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1959E" w14:textId="6D726802" w:rsidR="00D36465" w:rsidRPr="00CE2185" w:rsidRDefault="00047E0F" w:rsidP="00047E0F">
      <w:pPr>
        <w:pStyle w:val="Pagedecouverture"/>
        <w:rPr>
          <w:noProof/>
        </w:rPr>
      </w:pPr>
      <w:bookmarkStart w:id="0" w:name="LW_BM_COVERPAGE"/>
      <w:r>
        <w:rPr>
          <w:noProof/>
        </w:rPr>
        <w:pict w14:anchorId="77ECF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8655CF2-EEB3-48DD-92D4-EA9F701F25C7" style="width:455.25pt;height:471.75pt">
            <v:imagedata r:id="rId8" o:title=""/>
          </v:shape>
        </w:pict>
      </w:r>
    </w:p>
    <w:bookmarkEnd w:id="0"/>
    <w:p w14:paraId="65E68AB8" w14:textId="77777777" w:rsidR="008E022F" w:rsidRPr="00CE2185" w:rsidRDefault="008E022F" w:rsidP="00211B89">
      <w:pPr>
        <w:rPr>
          <w:noProof/>
        </w:rPr>
        <w:sectPr w:rsidR="008E022F" w:rsidRPr="00CE2185" w:rsidSect="00047E0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79CDB1AC" w14:textId="7E6908F4" w:rsidR="006B087E" w:rsidRPr="00CE2185" w:rsidRDefault="006B087E" w:rsidP="006D72E2">
      <w:pPr>
        <w:pStyle w:val="Pagedecouverture"/>
        <w:rPr>
          <w:noProof/>
        </w:rPr>
      </w:pPr>
      <w:bookmarkStart w:id="1" w:name="_GoBack"/>
      <w:bookmarkEnd w:id="1"/>
    </w:p>
    <w:sdt>
      <w:sdtPr>
        <w:rPr>
          <w:rFonts w:eastAsiaTheme="minorEastAsia"/>
          <w:b w:val="0"/>
          <w:noProof/>
          <w:szCs w:val="24"/>
        </w:rPr>
        <w:id w:val="-58244025"/>
        <w:docPartObj>
          <w:docPartGallery w:val="Table of Contents"/>
          <w:docPartUnique/>
        </w:docPartObj>
      </w:sdtPr>
      <w:sdtEndPr>
        <w:rPr>
          <w:sz w:val="22"/>
          <w:szCs w:val="22"/>
        </w:rPr>
      </w:sdtEndPr>
      <w:sdtContent>
        <w:p w14:paraId="67BA4805" w14:textId="6C9B32DD" w:rsidR="00C14ADF" w:rsidRPr="00712424" w:rsidRDefault="00C14ADF" w:rsidP="00DA6656">
          <w:pPr>
            <w:pStyle w:val="TOCHeading"/>
            <w:rPr>
              <w:noProof/>
              <w:szCs w:val="24"/>
            </w:rPr>
          </w:pPr>
          <w:r w:rsidRPr="00712424">
            <w:rPr>
              <w:noProof/>
              <w:szCs w:val="24"/>
            </w:rPr>
            <w:t>Table of contents</w:t>
          </w:r>
        </w:p>
        <w:bookmarkStart w:id="2" w:name="_Hlt210393926"/>
        <w:p w14:paraId="67515BA8" w14:textId="671AE822" w:rsidR="000D25A5" w:rsidRDefault="00C14ADF">
          <w:pPr>
            <w:pStyle w:val="TOC1"/>
            <w:rPr>
              <w:rFonts w:asciiTheme="minorHAnsi" w:eastAsiaTheme="minorEastAsia" w:hAnsiTheme="minorHAnsi" w:cstheme="minorBidi"/>
              <w:caps w:val="0"/>
              <w:noProof/>
              <w:kern w:val="2"/>
              <w:sz w:val="24"/>
              <w:szCs w:val="24"/>
              <w:lang w:val="en-IE" w:eastAsia="en-IE"/>
              <w14:ligatures w14:val="standardContextual"/>
            </w:rPr>
          </w:pPr>
          <w:r w:rsidRPr="00712424">
            <w:rPr>
              <w:noProof/>
              <w:sz w:val="24"/>
              <w:szCs w:val="24"/>
            </w:rPr>
            <w:fldChar w:fldCharType="begin"/>
          </w:r>
          <w:bookmarkEnd w:id="2"/>
          <w:r w:rsidRPr="00712424">
            <w:rPr>
              <w:noProof/>
              <w:sz w:val="24"/>
              <w:szCs w:val="24"/>
            </w:rPr>
            <w:instrText xml:space="preserve"> TOC \o "1-3" \h \z \u </w:instrText>
          </w:r>
          <w:r w:rsidRPr="00712424">
            <w:rPr>
              <w:noProof/>
              <w:sz w:val="24"/>
              <w:szCs w:val="24"/>
            </w:rPr>
            <w:fldChar w:fldCharType="separate"/>
          </w:r>
          <w:hyperlink w:anchor="_Toc219447334" w:history="1">
            <w:r w:rsidR="000D25A5" w:rsidRPr="006B5241">
              <w:rPr>
                <w:rStyle w:val="Hyperlink"/>
                <w:noProof/>
              </w:rPr>
              <w:t>List of tables and annexes</w:t>
            </w:r>
            <w:r w:rsidR="000D25A5">
              <w:rPr>
                <w:noProof/>
                <w:webHidden/>
              </w:rPr>
              <w:tab/>
            </w:r>
            <w:r w:rsidR="000D25A5">
              <w:rPr>
                <w:noProof/>
                <w:webHidden/>
              </w:rPr>
              <w:fldChar w:fldCharType="begin"/>
            </w:r>
            <w:r w:rsidR="000D25A5">
              <w:rPr>
                <w:noProof/>
                <w:webHidden/>
              </w:rPr>
              <w:instrText xml:space="preserve"> PAGEREF _Toc219447334 \h </w:instrText>
            </w:r>
            <w:r w:rsidR="000D25A5">
              <w:rPr>
                <w:noProof/>
                <w:webHidden/>
              </w:rPr>
            </w:r>
            <w:r w:rsidR="000D25A5">
              <w:rPr>
                <w:noProof/>
                <w:webHidden/>
              </w:rPr>
              <w:fldChar w:fldCharType="separate"/>
            </w:r>
            <w:r>
              <w:rPr>
                <w:noProof/>
                <w:webHidden/>
              </w:rPr>
              <w:t>3</w:t>
            </w:r>
            <w:r w:rsidR="000D25A5">
              <w:rPr>
                <w:noProof/>
                <w:webHidden/>
              </w:rPr>
              <w:fldChar w:fldCharType="end"/>
            </w:r>
          </w:hyperlink>
        </w:p>
        <w:p w14:paraId="37362B27" w14:textId="68CE6D02"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35" w:history="1">
            <w:r w:rsidR="000D25A5" w:rsidRPr="006B5241">
              <w:rPr>
                <w:rStyle w:val="Hyperlink"/>
                <w:noProof/>
              </w:rPr>
              <w:t>Glossary</w:t>
            </w:r>
            <w:r w:rsidR="000D25A5">
              <w:rPr>
                <w:noProof/>
                <w:webHidden/>
              </w:rPr>
              <w:tab/>
            </w:r>
            <w:r w:rsidR="000D25A5">
              <w:rPr>
                <w:noProof/>
                <w:webHidden/>
              </w:rPr>
              <w:fldChar w:fldCharType="begin"/>
            </w:r>
            <w:r w:rsidR="000D25A5">
              <w:rPr>
                <w:noProof/>
                <w:webHidden/>
              </w:rPr>
              <w:instrText xml:space="preserve"> PAGEREF _Toc219447335 \h </w:instrText>
            </w:r>
            <w:r w:rsidR="000D25A5">
              <w:rPr>
                <w:noProof/>
                <w:webHidden/>
              </w:rPr>
            </w:r>
            <w:r w:rsidR="000D25A5">
              <w:rPr>
                <w:noProof/>
                <w:webHidden/>
              </w:rPr>
              <w:fldChar w:fldCharType="separate"/>
            </w:r>
            <w:r w:rsidR="000D25A5">
              <w:rPr>
                <w:noProof/>
                <w:webHidden/>
              </w:rPr>
              <w:t>7</w:t>
            </w:r>
            <w:r w:rsidR="000D25A5">
              <w:rPr>
                <w:noProof/>
                <w:webHidden/>
              </w:rPr>
              <w:fldChar w:fldCharType="end"/>
            </w:r>
          </w:hyperlink>
        </w:p>
        <w:p w14:paraId="342238F5" w14:textId="5238E674"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36" w:history="1">
            <w:r w:rsidR="000D25A5" w:rsidRPr="006B5241">
              <w:rPr>
                <w:rStyle w:val="Hyperlink"/>
                <w:noProof/>
              </w:rPr>
              <w:t>1.</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Introduction: Political and legal context</w:t>
            </w:r>
            <w:r w:rsidR="000D25A5">
              <w:rPr>
                <w:noProof/>
                <w:webHidden/>
              </w:rPr>
              <w:tab/>
            </w:r>
            <w:r w:rsidR="000D25A5">
              <w:rPr>
                <w:noProof/>
                <w:webHidden/>
              </w:rPr>
              <w:fldChar w:fldCharType="begin"/>
            </w:r>
            <w:r w:rsidR="000D25A5">
              <w:rPr>
                <w:noProof/>
                <w:webHidden/>
              </w:rPr>
              <w:instrText xml:space="preserve"> PAGEREF _Toc219447336 \h </w:instrText>
            </w:r>
            <w:r w:rsidR="000D25A5">
              <w:rPr>
                <w:noProof/>
                <w:webHidden/>
              </w:rPr>
            </w:r>
            <w:r w:rsidR="000D25A5">
              <w:rPr>
                <w:noProof/>
                <w:webHidden/>
              </w:rPr>
              <w:fldChar w:fldCharType="separate"/>
            </w:r>
            <w:r w:rsidR="000D25A5">
              <w:rPr>
                <w:noProof/>
                <w:webHidden/>
              </w:rPr>
              <w:t>12</w:t>
            </w:r>
            <w:r w:rsidR="000D25A5">
              <w:rPr>
                <w:noProof/>
                <w:webHidden/>
              </w:rPr>
              <w:fldChar w:fldCharType="end"/>
            </w:r>
          </w:hyperlink>
        </w:p>
        <w:p w14:paraId="1FEFD4EA" w14:textId="6BEDCC3A"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37" w:history="1">
            <w:r w:rsidR="000D25A5" w:rsidRPr="006B5241">
              <w:rPr>
                <w:rStyle w:val="Hyperlink"/>
                <w:noProof/>
              </w:rPr>
              <w:t>2.</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Problem definition</w:t>
            </w:r>
            <w:r w:rsidR="000D25A5">
              <w:rPr>
                <w:noProof/>
                <w:webHidden/>
              </w:rPr>
              <w:tab/>
            </w:r>
            <w:r w:rsidR="000D25A5">
              <w:rPr>
                <w:noProof/>
                <w:webHidden/>
              </w:rPr>
              <w:fldChar w:fldCharType="begin"/>
            </w:r>
            <w:r w:rsidR="000D25A5">
              <w:rPr>
                <w:noProof/>
                <w:webHidden/>
              </w:rPr>
              <w:instrText xml:space="preserve"> PAGEREF _Toc219447337 \h </w:instrText>
            </w:r>
            <w:r w:rsidR="000D25A5">
              <w:rPr>
                <w:noProof/>
                <w:webHidden/>
              </w:rPr>
            </w:r>
            <w:r w:rsidR="000D25A5">
              <w:rPr>
                <w:noProof/>
                <w:webHidden/>
              </w:rPr>
              <w:fldChar w:fldCharType="separate"/>
            </w:r>
            <w:r w:rsidR="000D25A5">
              <w:rPr>
                <w:noProof/>
                <w:webHidden/>
              </w:rPr>
              <w:t>15</w:t>
            </w:r>
            <w:r w:rsidR="000D25A5">
              <w:rPr>
                <w:noProof/>
                <w:webHidden/>
              </w:rPr>
              <w:fldChar w:fldCharType="end"/>
            </w:r>
          </w:hyperlink>
        </w:p>
        <w:p w14:paraId="4EC7DA8A" w14:textId="1CC0AFFA"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38" w:history="1">
            <w:r w:rsidR="000D25A5" w:rsidRPr="006B5241">
              <w:rPr>
                <w:rStyle w:val="Hyperlink"/>
                <w:noProof/>
              </w:rPr>
              <w:t>2.1.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What is/are the problems?</w:t>
            </w:r>
            <w:r w:rsidR="000D25A5">
              <w:rPr>
                <w:noProof/>
                <w:webHidden/>
              </w:rPr>
              <w:tab/>
            </w:r>
            <w:r w:rsidR="000D25A5">
              <w:rPr>
                <w:noProof/>
                <w:webHidden/>
              </w:rPr>
              <w:fldChar w:fldCharType="begin"/>
            </w:r>
            <w:r w:rsidR="000D25A5">
              <w:rPr>
                <w:noProof/>
                <w:webHidden/>
              </w:rPr>
              <w:instrText xml:space="preserve"> PAGEREF _Toc219447338 \h </w:instrText>
            </w:r>
            <w:r w:rsidR="000D25A5">
              <w:rPr>
                <w:noProof/>
                <w:webHidden/>
              </w:rPr>
            </w:r>
            <w:r w:rsidR="000D25A5">
              <w:rPr>
                <w:noProof/>
                <w:webHidden/>
              </w:rPr>
              <w:fldChar w:fldCharType="separate"/>
            </w:r>
            <w:r w:rsidR="000D25A5">
              <w:rPr>
                <w:noProof/>
                <w:webHidden/>
              </w:rPr>
              <w:t>15</w:t>
            </w:r>
            <w:r w:rsidR="000D25A5">
              <w:rPr>
                <w:noProof/>
                <w:webHidden/>
              </w:rPr>
              <w:fldChar w:fldCharType="end"/>
            </w:r>
          </w:hyperlink>
        </w:p>
        <w:p w14:paraId="6C18A7C1" w14:textId="272BDAAB"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43" w:history="1">
            <w:r w:rsidR="000D25A5" w:rsidRPr="006B5241">
              <w:rPr>
                <w:rStyle w:val="Hyperlink"/>
                <w:noProof/>
              </w:rPr>
              <w:t>2.2.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What are the problem drivers?</w:t>
            </w:r>
            <w:r w:rsidR="000D25A5">
              <w:rPr>
                <w:noProof/>
                <w:webHidden/>
              </w:rPr>
              <w:tab/>
            </w:r>
            <w:r w:rsidR="000D25A5">
              <w:rPr>
                <w:noProof/>
                <w:webHidden/>
              </w:rPr>
              <w:fldChar w:fldCharType="begin"/>
            </w:r>
            <w:r w:rsidR="000D25A5">
              <w:rPr>
                <w:noProof/>
                <w:webHidden/>
              </w:rPr>
              <w:instrText xml:space="preserve"> PAGEREF _Toc219447343 \h </w:instrText>
            </w:r>
            <w:r w:rsidR="000D25A5">
              <w:rPr>
                <w:noProof/>
                <w:webHidden/>
              </w:rPr>
            </w:r>
            <w:r w:rsidR="000D25A5">
              <w:rPr>
                <w:noProof/>
                <w:webHidden/>
              </w:rPr>
              <w:fldChar w:fldCharType="separate"/>
            </w:r>
            <w:r w:rsidR="000D25A5">
              <w:rPr>
                <w:noProof/>
                <w:webHidden/>
              </w:rPr>
              <w:t>25</w:t>
            </w:r>
            <w:r w:rsidR="000D25A5">
              <w:rPr>
                <w:noProof/>
                <w:webHidden/>
              </w:rPr>
              <w:fldChar w:fldCharType="end"/>
            </w:r>
          </w:hyperlink>
        </w:p>
        <w:p w14:paraId="20378342" w14:textId="5870AB96"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53" w:history="1">
            <w:r w:rsidR="000D25A5" w:rsidRPr="006B5241">
              <w:rPr>
                <w:rStyle w:val="Hyperlink"/>
                <w:noProof/>
              </w:rPr>
              <w:t>2.3.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How likely is the problem to persist?</w:t>
            </w:r>
            <w:r w:rsidR="000D25A5">
              <w:rPr>
                <w:noProof/>
                <w:webHidden/>
              </w:rPr>
              <w:tab/>
            </w:r>
            <w:r w:rsidR="000D25A5">
              <w:rPr>
                <w:noProof/>
                <w:webHidden/>
              </w:rPr>
              <w:fldChar w:fldCharType="begin"/>
            </w:r>
            <w:r w:rsidR="000D25A5">
              <w:rPr>
                <w:noProof/>
                <w:webHidden/>
              </w:rPr>
              <w:instrText xml:space="preserve"> PAGEREF _Toc219447353 \h </w:instrText>
            </w:r>
            <w:r w:rsidR="000D25A5">
              <w:rPr>
                <w:noProof/>
                <w:webHidden/>
              </w:rPr>
            </w:r>
            <w:r w:rsidR="000D25A5">
              <w:rPr>
                <w:noProof/>
                <w:webHidden/>
              </w:rPr>
              <w:fldChar w:fldCharType="separate"/>
            </w:r>
            <w:r w:rsidR="000D25A5">
              <w:rPr>
                <w:noProof/>
                <w:webHidden/>
              </w:rPr>
              <w:t>36</w:t>
            </w:r>
            <w:r w:rsidR="000D25A5">
              <w:rPr>
                <w:noProof/>
                <w:webHidden/>
              </w:rPr>
              <w:fldChar w:fldCharType="end"/>
            </w:r>
          </w:hyperlink>
        </w:p>
        <w:p w14:paraId="0CB33E57" w14:textId="75736EAF"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54" w:history="1">
            <w:r w:rsidR="000D25A5" w:rsidRPr="006B5241">
              <w:rPr>
                <w:rStyle w:val="Hyperlink"/>
                <w:noProof/>
              </w:rPr>
              <w:t>3.</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Why should the EU act?</w:t>
            </w:r>
            <w:r w:rsidR="000D25A5">
              <w:rPr>
                <w:noProof/>
                <w:webHidden/>
              </w:rPr>
              <w:tab/>
            </w:r>
            <w:r w:rsidR="000D25A5">
              <w:rPr>
                <w:noProof/>
                <w:webHidden/>
              </w:rPr>
              <w:fldChar w:fldCharType="begin"/>
            </w:r>
            <w:r w:rsidR="000D25A5">
              <w:rPr>
                <w:noProof/>
                <w:webHidden/>
              </w:rPr>
              <w:instrText xml:space="preserve"> PAGEREF _Toc219447354 \h </w:instrText>
            </w:r>
            <w:r w:rsidR="000D25A5">
              <w:rPr>
                <w:noProof/>
                <w:webHidden/>
              </w:rPr>
            </w:r>
            <w:r w:rsidR="000D25A5">
              <w:rPr>
                <w:noProof/>
                <w:webHidden/>
              </w:rPr>
              <w:fldChar w:fldCharType="separate"/>
            </w:r>
            <w:r w:rsidR="000D25A5">
              <w:rPr>
                <w:noProof/>
                <w:webHidden/>
              </w:rPr>
              <w:t>37</w:t>
            </w:r>
            <w:r w:rsidR="000D25A5">
              <w:rPr>
                <w:noProof/>
                <w:webHidden/>
              </w:rPr>
              <w:fldChar w:fldCharType="end"/>
            </w:r>
          </w:hyperlink>
        </w:p>
        <w:p w14:paraId="536B4E65" w14:textId="686A1D91"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55" w:history="1">
            <w:r w:rsidR="000D25A5" w:rsidRPr="006B5241">
              <w:rPr>
                <w:rStyle w:val="Hyperlink"/>
                <w:noProof/>
              </w:rPr>
              <w:t>3.1.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Legal basis</w:t>
            </w:r>
            <w:r w:rsidR="000D25A5">
              <w:rPr>
                <w:noProof/>
                <w:webHidden/>
              </w:rPr>
              <w:tab/>
            </w:r>
            <w:r w:rsidR="000D25A5">
              <w:rPr>
                <w:noProof/>
                <w:webHidden/>
              </w:rPr>
              <w:fldChar w:fldCharType="begin"/>
            </w:r>
            <w:r w:rsidR="000D25A5">
              <w:rPr>
                <w:noProof/>
                <w:webHidden/>
              </w:rPr>
              <w:instrText xml:space="preserve"> PAGEREF _Toc219447355 \h </w:instrText>
            </w:r>
            <w:r w:rsidR="000D25A5">
              <w:rPr>
                <w:noProof/>
                <w:webHidden/>
              </w:rPr>
            </w:r>
            <w:r w:rsidR="000D25A5">
              <w:rPr>
                <w:noProof/>
                <w:webHidden/>
              </w:rPr>
              <w:fldChar w:fldCharType="separate"/>
            </w:r>
            <w:r w:rsidR="000D25A5">
              <w:rPr>
                <w:noProof/>
                <w:webHidden/>
              </w:rPr>
              <w:t>37</w:t>
            </w:r>
            <w:r w:rsidR="000D25A5">
              <w:rPr>
                <w:noProof/>
                <w:webHidden/>
              </w:rPr>
              <w:fldChar w:fldCharType="end"/>
            </w:r>
          </w:hyperlink>
        </w:p>
        <w:p w14:paraId="56AB5AC5" w14:textId="49FD366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56" w:history="1">
            <w:r w:rsidR="000D25A5" w:rsidRPr="006B5241">
              <w:rPr>
                <w:rStyle w:val="Hyperlink"/>
                <w:noProof/>
              </w:rPr>
              <w:t>3.2.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Subsidiarity: Necessity of EU action</w:t>
            </w:r>
            <w:r w:rsidR="000D25A5">
              <w:rPr>
                <w:noProof/>
                <w:webHidden/>
              </w:rPr>
              <w:tab/>
            </w:r>
            <w:r w:rsidR="000D25A5">
              <w:rPr>
                <w:noProof/>
                <w:webHidden/>
              </w:rPr>
              <w:fldChar w:fldCharType="begin"/>
            </w:r>
            <w:r w:rsidR="000D25A5">
              <w:rPr>
                <w:noProof/>
                <w:webHidden/>
              </w:rPr>
              <w:instrText xml:space="preserve"> PAGEREF _Toc219447356 \h </w:instrText>
            </w:r>
            <w:r w:rsidR="000D25A5">
              <w:rPr>
                <w:noProof/>
                <w:webHidden/>
              </w:rPr>
            </w:r>
            <w:r w:rsidR="000D25A5">
              <w:rPr>
                <w:noProof/>
                <w:webHidden/>
              </w:rPr>
              <w:fldChar w:fldCharType="separate"/>
            </w:r>
            <w:r w:rsidR="000D25A5">
              <w:rPr>
                <w:noProof/>
                <w:webHidden/>
              </w:rPr>
              <w:t>38</w:t>
            </w:r>
            <w:r w:rsidR="000D25A5">
              <w:rPr>
                <w:noProof/>
                <w:webHidden/>
              </w:rPr>
              <w:fldChar w:fldCharType="end"/>
            </w:r>
          </w:hyperlink>
        </w:p>
        <w:p w14:paraId="06C62EDB" w14:textId="121C77B1"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57" w:history="1">
            <w:r w:rsidR="000D25A5" w:rsidRPr="006B5241">
              <w:rPr>
                <w:rStyle w:val="Hyperlink"/>
                <w:noProof/>
              </w:rPr>
              <w:t>3.3.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Subsidiarity: Added value of EU action</w:t>
            </w:r>
            <w:r w:rsidR="000D25A5">
              <w:rPr>
                <w:noProof/>
                <w:webHidden/>
              </w:rPr>
              <w:tab/>
            </w:r>
            <w:r w:rsidR="000D25A5">
              <w:rPr>
                <w:noProof/>
                <w:webHidden/>
              </w:rPr>
              <w:fldChar w:fldCharType="begin"/>
            </w:r>
            <w:r w:rsidR="000D25A5">
              <w:rPr>
                <w:noProof/>
                <w:webHidden/>
              </w:rPr>
              <w:instrText xml:space="preserve"> PAGEREF _Toc219447357 \h </w:instrText>
            </w:r>
            <w:r w:rsidR="000D25A5">
              <w:rPr>
                <w:noProof/>
                <w:webHidden/>
              </w:rPr>
            </w:r>
            <w:r w:rsidR="000D25A5">
              <w:rPr>
                <w:noProof/>
                <w:webHidden/>
              </w:rPr>
              <w:fldChar w:fldCharType="separate"/>
            </w:r>
            <w:r w:rsidR="000D25A5">
              <w:rPr>
                <w:noProof/>
                <w:webHidden/>
              </w:rPr>
              <w:t>39</w:t>
            </w:r>
            <w:r w:rsidR="000D25A5">
              <w:rPr>
                <w:noProof/>
                <w:webHidden/>
              </w:rPr>
              <w:fldChar w:fldCharType="end"/>
            </w:r>
          </w:hyperlink>
        </w:p>
        <w:p w14:paraId="7C0041A0" w14:textId="69288136"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58" w:history="1">
            <w:r w:rsidR="000D25A5" w:rsidRPr="006B5241">
              <w:rPr>
                <w:rStyle w:val="Hyperlink"/>
                <w:noProof/>
              </w:rPr>
              <w:t>4.</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Objectives: What is to be achieved?</w:t>
            </w:r>
            <w:r w:rsidR="000D25A5">
              <w:rPr>
                <w:noProof/>
                <w:webHidden/>
              </w:rPr>
              <w:tab/>
            </w:r>
            <w:r w:rsidR="000D25A5">
              <w:rPr>
                <w:noProof/>
                <w:webHidden/>
              </w:rPr>
              <w:fldChar w:fldCharType="begin"/>
            </w:r>
            <w:r w:rsidR="000D25A5">
              <w:rPr>
                <w:noProof/>
                <w:webHidden/>
              </w:rPr>
              <w:instrText xml:space="preserve"> PAGEREF _Toc219447358 \h </w:instrText>
            </w:r>
            <w:r w:rsidR="000D25A5">
              <w:rPr>
                <w:noProof/>
                <w:webHidden/>
              </w:rPr>
            </w:r>
            <w:r w:rsidR="000D25A5">
              <w:rPr>
                <w:noProof/>
                <w:webHidden/>
              </w:rPr>
              <w:fldChar w:fldCharType="separate"/>
            </w:r>
            <w:r w:rsidR="000D25A5">
              <w:rPr>
                <w:noProof/>
                <w:webHidden/>
              </w:rPr>
              <w:t>39</w:t>
            </w:r>
            <w:r w:rsidR="000D25A5">
              <w:rPr>
                <w:noProof/>
                <w:webHidden/>
              </w:rPr>
              <w:fldChar w:fldCharType="end"/>
            </w:r>
          </w:hyperlink>
        </w:p>
        <w:p w14:paraId="30E28E90" w14:textId="51F1F27F"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59" w:history="1">
            <w:r w:rsidR="000D25A5" w:rsidRPr="006B5241">
              <w:rPr>
                <w:rStyle w:val="Hyperlink"/>
                <w:noProof/>
              </w:rPr>
              <w:t>4.1.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General objectives</w:t>
            </w:r>
            <w:r w:rsidR="000D25A5">
              <w:rPr>
                <w:noProof/>
                <w:webHidden/>
              </w:rPr>
              <w:tab/>
            </w:r>
            <w:r w:rsidR="000D25A5">
              <w:rPr>
                <w:noProof/>
                <w:webHidden/>
              </w:rPr>
              <w:fldChar w:fldCharType="begin"/>
            </w:r>
            <w:r w:rsidR="000D25A5">
              <w:rPr>
                <w:noProof/>
                <w:webHidden/>
              </w:rPr>
              <w:instrText xml:space="preserve"> PAGEREF _Toc219447359 \h </w:instrText>
            </w:r>
            <w:r w:rsidR="000D25A5">
              <w:rPr>
                <w:noProof/>
                <w:webHidden/>
              </w:rPr>
            </w:r>
            <w:r w:rsidR="000D25A5">
              <w:rPr>
                <w:noProof/>
                <w:webHidden/>
              </w:rPr>
              <w:fldChar w:fldCharType="separate"/>
            </w:r>
            <w:r w:rsidR="000D25A5">
              <w:rPr>
                <w:noProof/>
                <w:webHidden/>
              </w:rPr>
              <w:t>39</w:t>
            </w:r>
            <w:r w:rsidR="000D25A5">
              <w:rPr>
                <w:noProof/>
                <w:webHidden/>
              </w:rPr>
              <w:fldChar w:fldCharType="end"/>
            </w:r>
          </w:hyperlink>
        </w:p>
        <w:p w14:paraId="7E83F277" w14:textId="49F0D1F8"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0" w:history="1">
            <w:r w:rsidR="000D25A5" w:rsidRPr="006B5241">
              <w:rPr>
                <w:rStyle w:val="Hyperlink"/>
                <w:noProof/>
              </w:rPr>
              <w:t>4.2.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Specific objectives</w:t>
            </w:r>
            <w:r w:rsidR="000D25A5">
              <w:rPr>
                <w:noProof/>
                <w:webHidden/>
              </w:rPr>
              <w:tab/>
            </w:r>
            <w:r w:rsidR="000D25A5">
              <w:rPr>
                <w:noProof/>
                <w:webHidden/>
              </w:rPr>
              <w:fldChar w:fldCharType="begin"/>
            </w:r>
            <w:r w:rsidR="000D25A5">
              <w:rPr>
                <w:noProof/>
                <w:webHidden/>
              </w:rPr>
              <w:instrText xml:space="preserve"> PAGEREF _Toc219447360 \h </w:instrText>
            </w:r>
            <w:r w:rsidR="000D25A5">
              <w:rPr>
                <w:noProof/>
                <w:webHidden/>
              </w:rPr>
            </w:r>
            <w:r w:rsidR="000D25A5">
              <w:rPr>
                <w:noProof/>
                <w:webHidden/>
              </w:rPr>
              <w:fldChar w:fldCharType="separate"/>
            </w:r>
            <w:r w:rsidR="000D25A5">
              <w:rPr>
                <w:noProof/>
                <w:webHidden/>
              </w:rPr>
              <w:t>40</w:t>
            </w:r>
            <w:r w:rsidR="000D25A5">
              <w:rPr>
                <w:noProof/>
                <w:webHidden/>
              </w:rPr>
              <w:fldChar w:fldCharType="end"/>
            </w:r>
          </w:hyperlink>
        </w:p>
        <w:p w14:paraId="26F9BC5D" w14:textId="36B3FD26"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61" w:history="1">
            <w:r w:rsidR="000D25A5" w:rsidRPr="006B5241">
              <w:rPr>
                <w:rStyle w:val="Hyperlink"/>
                <w:noProof/>
              </w:rPr>
              <w:t>5.</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What are the available policy options?</w:t>
            </w:r>
            <w:r w:rsidR="000D25A5">
              <w:rPr>
                <w:noProof/>
                <w:webHidden/>
              </w:rPr>
              <w:tab/>
            </w:r>
            <w:r w:rsidR="000D25A5">
              <w:rPr>
                <w:noProof/>
                <w:webHidden/>
              </w:rPr>
              <w:fldChar w:fldCharType="begin"/>
            </w:r>
            <w:r w:rsidR="000D25A5">
              <w:rPr>
                <w:noProof/>
                <w:webHidden/>
              </w:rPr>
              <w:instrText xml:space="preserve"> PAGEREF _Toc219447361 \h </w:instrText>
            </w:r>
            <w:r w:rsidR="000D25A5">
              <w:rPr>
                <w:noProof/>
                <w:webHidden/>
              </w:rPr>
            </w:r>
            <w:r w:rsidR="000D25A5">
              <w:rPr>
                <w:noProof/>
                <w:webHidden/>
              </w:rPr>
              <w:fldChar w:fldCharType="separate"/>
            </w:r>
            <w:r w:rsidR="000D25A5">
              <w:rPr>
                <w:noProof/>
                <w:webHidden/>
              </w:rPr>
              <w:t>40</w:t>
            </w:r>
            <w:r w:rsidR="000D25A5">
              <w:rPr>
                <w:noProof/>
                <w:webHidden/>
              </w:rPr>
              <w:fldChar w:fldCharType="end"/>
            </w:r>
          </w:hyperlink>
        </w:p>
        <w:p w14:paraId="55BBFC73" w14:textId="32035D6B"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2" w:history="1">
            <w:r w:rsidR="000D25A5" w:rsidRPr="006B5241">
              <w:rPr>
                <w:rStyle w:val="Hyperlink"/>
                <w:noProof/>
              </w:rPr>
              <w:t>5.1.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What is the baseline from which options are assessed?</w:t>
            </w:r>
            <w:r w:rsidR="000D25A5">
              <w:rPr>
                <w:noProof/>
                <w:webHidden/>
              </w:rPr>
              <w:tab/>
            </w:r>
            <w:r w:rsidR="000D25A5">
              <w:rPr>
                <w:noProof/>
                <w:webHidden/>
              </w:rPr>
              <w:fldChar w:fldCharType="begin"/>
            </w:r>
            <w:r w:rsidR="000D25A5">
              <w:rPr>
                <w:noProof/>
                <w:webHidden/>
              </w:rPr>
              <w:instrText xml:space="preserve"> PAGEREF _Toc219447362 \h </w:instrText>
            </w:r>
            <w:r w:rsidR="000D25A5">
              <w:rPr>
                <w:noProof/>
                <w:webHidden/>
              </w:rPr>
            </w:r>
            <w:r w:rsidR="000D25A5">
              <w:rPr>
                <w:noProof/>
                <w:webHidden/>
              </w:rPr>
              <w:fldChar w:fldCharType="separate"/>
            </w:r>
            <w:r w:rsidR="000D25A5">
              <w:rPr>
                <w:noProof/>
                <w:webHidden/>
              </w:rPr>
              <w:t>40</w:t>
            </w:r>
            <w:r w:rsidR="000D25A5">
              <w:rPr>
                <w:noProof/>
                <w:webHidden/>
              </w:rPr>
              <w:fldChar w:fldCharType="end"/>
            </w:r>
          </w:hyperlink>
        </w:p>
        <w:p w14:paraId="27D09841" w14:textId="462397B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3" w:history="1">
            <w:r w:rsidR="000D25A5" w:rsidRPr="006B5241">
              <w:rPr>
                <w:rStyle w:val="Hyperlink"/>
                <w:noProof/>
              </w:rPr>
              <w:t>5.2.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Description of the policy options</w:t>
            </w:r>
            <w:r w:rsidR="000D25A5">
              <w:rPr>
                <w:noProof/>
                <w:webHidden/>
              </w:rPr>
              <w:tab/>
            </w:r>
            <w:r w:rsidR="000D25A5">
              <w:rPr>
                <w:noProof/>
                <w:webHidden/>
              </w:rPr>
              <w:fldChar w:fldCharType="begin"/>
            </w:r>
            <w:r w:rsidR="000D25A5">
              <w:rPr>
                <w:noProof/>
                <w:webHidden/>
              </w:rPr>
              <w:instrText xml:space="preserve"> PAGEREF _Toc219447363 \h </w:instrText>
            </w:r>
            <w:r w:rsidR="000D25A5">
              <w:rPr>
                <w:noProof/>
                <w:webHidden/>
              </w:rPr>
            </w:r>
            <w:r w:rsidR="000D25A5">
              <w:rPr>
                <w:noProof/>
                <w:webHidden/>
              </w:rPr>
              <w:fldChar w:fldCharType="separate"/>
            </w:r>
            <w:r w:rsidR="000D25A5">
              <w:rPr>
                <w:noProof/>
                <w:webHidden/>
              </w:rPr>
              <w:t>43</w:t>
            </w:r>
            <w:r w:rsidR="000D25A5">
              <w:rPr>
                <w:noProof/>
                <w:webHidden/>
              </w:rPr>
              <w:fldChar w:fldCharType="end"/>
            </w:r>
          </w:hyperlink>
        </w:p>
        <w:p w14:paraId="086DAC3D" w14:textId="5E7FB951"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4" w:history="1">
            <w:r w:rsidR="000D25A5" w:rsidRPr="006B5241">
              <w:rPr>
                <w:rStyle w:val="Hyperlink"/>
                <w:noProof/>
              </w:rPr>
              <w:t>5.3.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Options discarded at an early stage</w:t>
            </w:r>
            <w:r w:rsidR="000D25A5">
              <w:rPr>
                <w:noProof/>
                <w:webHidden/>
              </w:rPr>
              <w:tab/>
            </w:r>
            <w:r w:rsidR="000D25A5">
              <w:rPr>
                <w:noProof/>
                <w:webHidden/>
              </w:rPr>
              <w:fldChar w:fldCharType="begin"/>
            </w:r>
            <w:r w:rsidR="000D25A5">
              <w:rPr>
                <w:noProof/>
                <w:webHidden/>
              </w:rPr>
              <w:instrText xml:space="preserve"> PAGEREF _Toc219447364 \h </w:instrText>
            </w:r>
            <w:r w:rsidR="000D25A5">
              <w:rPr>
                <w:noProof/>
                <w:webHidden/>
              </w:rPr>
            </w:r>
            <w:r w:rsidR="000D25A5">
              <w:rPr>
                <w:noProof/>
                <w:webHidden/>
              </w:rPr>
              <w:fldChar w:fldCharType="separate"/>
            </w:r>
            <w:r w:rsidR="000D25A5">
              <w:rPr>
                <w:noProof/>
                <w:webHidden/>
              </w:rPr>
              <w:t>53</w:t>
            </w:r>
            <w:r w:rsidR="000D25A5">
              <w:rPr>
                <w:noProof/>
                <w:webHidden/>
              </w:rPr>
              <w:fldChar w:fldCharType="end"/>
            </w:r>
          </w:hyperlink>
        </w:p>
        <w:p w14:paraId="72756398" w14:textId="64F54BF7"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5" w:history="1">
            <w:r w:rsidR="000D25A5" w:rsidRPr="006B5241">
              <w:rPr>
                <w:rStyle w:val="Hyperlink"/>
                <w:noProof/>
              </w:rPr>
              <w:t>5.4.</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Complementary initiatives</w:t>
            </w:r>
            <w:r w:rsidR="000D25A5">
              <w:rPr>
                <w:noProof/>
                <w:webHidden/>
              </w:rPr>
              <w:tab/>
            </w:r>
            <w:r w:rsidR="000D25A5">
              <w:rPr>
                <w:noProof/>
                <w:webHidden/>
              </w:rPr>
              <w:fldChar w:fldCharType="begin"/>
            </w:r>
            <w:r w:rsidR="000D25A5">
              <w:rPr>
                <w:noProof/>
                <w:webHidden/>
              </w:rPr>
              <w:instrText xml:space="preserve"> PAGEREF _Toc219447365 \h </w:instrText>
            </w:r>
            <w:r w:rsidR="000D25A5">
              <w:rPr>
                <w:noProof/>
                <w:webHidden/>
              </w:rPr>
            </w:r>
            <w:r w:rsidR="000D25A5">
              <w:rPr>
                <w:noProof/>
                <w:webHidden/>
              </w:rPr>
              <w:fldChar w:fldCharType="separate"/>
            </w:r>
            <w:r w:rsidR="000D25A5">
              <w:rPr>
                <w:noProof/>
                <w:webHidden/>
              </w:rPr>
              <w:t>54</w:t>
            </w:r>
            <w:r w:rsidR="000D25A5">
              <w:rPr>
                <w:noProof/>
                <w:webHidden/>
              </w:rPr>
              <w:fldChar w:fldCharType="end"/>
            </w:r>
          </w:hyperlink>
        </w:p>
        <w:p w14:paraId="1C7AAA58" w14:textId="3170200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6" w:history="1">
            <w:r w:rsidR="000D25A5" w:rsidRPr="006B5241">
              <w:rPr>
                <w:rStyle w:val="Hyperlink"/>
                <w:noProof/>
              </w:rPr>
              <w:t>5.5.</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Possible combinations of options</w:t>
            </w:r>
            <w:r w:rsidR="000D25A5">
              <w:rPr>
                <w:noProof/>
                <w:webHidden/>
              </w:rPr>
              <w:tab/>
            </w:r>
            <w:r w:rsidR="000D25A5">
              <w:rPr>
                <w:noProof/>
                <w:webHidden/>
              </w:rPr>
              <w:fldChar w:fldCharType="begin"/>
            </w:r>
            <w:r w:rsidR="000D25A5">
              <w:rPr>
                <w:noProof/>
                <w:webHidden/>
              </w:rPr>
              <w:instrText xml:space="preserve"> PAGEREF _Toc219447366 \h </w:instrText>
            </w:r>
            <w:r w:rsidR="000D25A5">
              <w:rPr>
                <w:noProof/>
                <w:webHidden/>
              </w:rPr>
            </w:r>
            <w:r w:rsidR="000D25A5">
              <w:rPr>
                <w:noProof/>
                <w:webHidden/>
              </w:rPr>
              <w:fldChar w:fldCharType="separate"/>
            </w:r>
            <w:r w:rsidR="000D25A5">
              <w:rPr>
                <w:noProof/>
                <w:webHidden/>
              </w:rPr>
              <w:t>55</w:t>
            </w:r>
            <w:r w:rsidR="000D25A5">
              <w:rPr>
                <w:noProof/>
                <w:webHidden/>
              </w:rPr>
              <w:fldChar w:fldCharType="end"/>
            </w:r>
          </w:hyperlink>
        </w:p>
        <w:p w14:paraId="28E5A9A4" w14:textId="358918C3"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67" w:history="1">
            <w:r w:rsidR="000D25A5" w:rsidRPr="006B5241">
              <w:rPr>
                <w:rStyle w:val="Hyperlink"/>
                <w:noProof/>
              </w:rPr>
              <w:t>6.</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What are the impacts of the policy options?</w:t>
            </w:r>
            <w:r w:rsidR="000D25A5">
              <w:rPr>
                <w:noProof/>
                <w:webHidden/>
              </w:rPr>
              <w:tab/>
            </w:r>
            <w:r w:rsidR="000D25A5">
              <w:rPr>
                <w:noProof/>
                <w:webHidden/>
              </w:rPr>
              <w:fldChar w:fldCharType="begin"/>
            </w:r>
            <w:r w:rsidR="000D25A5">
              <w:rPr>
                <w:noProof/>
                <w:webHidden/>
              </w:rPr>
              <w:instrText xml:space="preserve"> PAGEREF _Toc219447367 \h </w:instrText>
            </w:r>
            <w:r w:rsidR="000D25A5">
              <w:rPr>
                <w:noProof/>
                <w:webHidden/>
              </w:rPr>
            </w:r>
            <w:r w:rsidR="000D25A5">
              <w:rPr>
                <w:noProof/>
                <w:webHidden/>
              </w:rPr>
              <w:fldChar w:fldCharType="separate"/>
            </w:r>
            <w:r w:rsidR="000D25A5">
              <w:rPr>
                <w:noProof/>
                <w:webHidden/>
              </w:rPr>
              <w:t>56</w:t>
            </w:r>
            <w:r w:rsidR="000D25A5">
              <w:rPr>
                <w:noProof/>
                <w:webHidden/>
              </w:rPr>
              <w:fldChar w:fldCharType="end"/>
            </w:r>
          </w:hyperlink>
        </w:p>
        <w:p w14:paraId="0DA9D0D9" w14:textId="6787CC7A"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68" w:history="1">
            <w:r w:rsidR="000D25A5" w:rsidRPr="006B5241">
              <w:rPr>
                <w:rStyle w:val="Hyperlink"/>
                <w:noProof/>
              </w:rPr>
              <w:t>6.1.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Economic Impacts</w:t>
            </w:r>
            <w:r w:rsidR="000D25A5">
              <w:rPr>
                <w:noProof/>
                <w:webHidden/>
              </w:rPr>
              <w:tab/>
            </w:r>
            <w:r w:rsidR="000D25A5">
              <w:rPr>
                <w:noProof/>
                <w:webHidden/>
              </w:rPr>
              <w:fldChar w:fldCharType="begin"/>
            </w:r>
            <w:r w:rsidR="000D25A5">
              <w:rPr>
                <w:noProof/>
                <w:webHidden/>
              </w:rPr>
              <w:instrText xml:space="preserve"> PAGEREF _Toc219447368 \h </w:instrText>
            </w:r>
            <w:r w:rsidR="000D25A5">
              <w:rPr>
                <w:noProof/>
                <w:webHidden/>
              </w:rPr>
            </w:r>
            <w:r w:rsidR="000D25A5">
              <w:rPr>
                <w:noProof/>
                <w:webHidden/>
              </w:rPr>
              <w:fldChar w:fldCharType="separate"/>
            </w:r>
            <w:r w:rsidR="000D25A5">
              <w:rPr>
                <w:noProof/>
                <w:webHidden/>
              </w:rPr>
              <w:t>57</w:t>
            </w:r>
            <w:r w:rsidR="000D25A5">
              <w:rPr>
                <w:noProof/>
                <w:webHidden/>
              </w:rPr>
              <w:fldChar w:fldCharType="end"/>
            </w:r>
          </w:hyperlink>
        </w:p>
        <w:p w14:paraId="46BDC742" w14:textId="5FBC43C7"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69" w:history="1">
            <w:r w:rsidR="000D25A5" w:rsidRPr="006B5241">
              <w:rPr>
                <w:rStyle w:val="Hyperlink"/>
                <w:iCs/>
                <w:noProof/>
              </w:rPr>
              <w:t>6.1.1.</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Cost impacts for businesses, public authorities, citizens</w:t>
            </w:r>
            <w:r w:rsidR="000D25A5">
              <w:rPr>
                <w:noProof/>
                <w:webHidden/>
              </w:rPr>
              <w:tab/>
            </w:r>
            <w:r w:rsidR="000D25A5">
              <w:rPr>
                <w:noProof/>
                <w:webHidden/>
              </w:rPr>
              <w:fldChar w:fldCharType="begin"/>
            </w:r>
            <w:r w:rsidR="000D25A5">
              <w:rPr>
                <w:noProof/>
                <w:webHidden/>
              </w:rPr>
              <w:instrText xml:space="preserve"> PAGEREF _Toc219447369 \h </w:instrText>
            </w:r>
            <w:r w:rsidR="000D25A5">
              <w:rPr>
                <w:noProof/>
                <w:webHidden/>
              </w:rPr>
            </w:r>
            <w:r w:rsidR="000D25A5">
              <w:rPr>
                <w:noProof/>
                <w:webHidden/>
              </w:rPr>
              <w:fldChar w:fldCharType="separate"/>
            </w:r>
            <w:r w:rsidR="000D25A5">
              <w:rPr>
                <w:noProof/>
                <w:webHidden/>
              </w:rPr>
              <w:t>58</w:t>
            </w:r>
            <w:r w:rsidR="000D25A5">
              <w:rPr>
                <w:noProof/>
                <w:webHidden/>
              </w:rPr>
              <w:fldChar w:fldCharType="end"/>
            </w:r>
          </w:hyperlink>
        </w:p>
        <w:p w14:paraId="7992122E" w14:textId="548112DE"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70" w:history="1">
            <w:r w:rsidR="000D25A5" w:rsidRPr="006B5241">
              <w:rPr>
                <w:rStyle w:val="Hyperlink"/>
                <w:iCs/>
                <w:noProof/>
              </w:rPr>
              <w:t>6.1.2.</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Impact on SMEs</w:t>
            </w:r>
            <w:r w:rsidR="000D25A5">
              <w:rPr>
                <w:noProof/>
                <w:webHidden/>
              </w:rPr>
              <w:tab/>
            </w:r>
            <w:r w:rsidR="000D25A5">
              <w:rPr>
                <w:noProof/>
                <w:webHidden/>
              </w:rPr>
              <w:fldChar w:fldCharType="begin"/>
            </w:r>
            <w:r w:rsidR="000D25A5">
              <w:rPr>
                <w:noProof/>
                <w:webHidden/>
              </w:rPr>
              <w:instrText xml:space="preserve"> PAGEREF _Toc219447370 \h </w:instrText>
            </w:r>
            <w:r w:rsidR="000D25A5">
              <w:rPr>
                <w:noProof/>
                <w:webHidden/>
              </w:rPr>
            </w:r>
            <w:r w:rsidR="000D25A5">
              <w:rPr>
                <w:noProof/>
                <w:webHidden/>
              </w:rPr>
              <w:fldChar w:fldCharType="separate"/>
            </w:r>
            <w:r w:rsidR="000D25A5">
              <w:rPr>
                <w:noProof/>
                <w:webHidden/>
              </w:rPr>
              <w:t>89</w:t>
            </w:r>
            <w:r w:rsidR="000D25A5">
              <w:rPr>
                <w:noProof/>
                <w:webHidden/>
              </w:rPr>
              <w:fldChar w:fldCharType="end"/>
            </w:r>
          </w:hyperlink>
        </w:p>
        <w:p w14:paraId="73D05B6E" w14:textId="76BDA5DD"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71" w:history="1">
            <w:r w:rsidR="000D25A5" w:rsidRPr="006B5241">
              <w:rPr>
                <w:rStyle w:val="Hyperlink"/>
                <w:iCs/>
                <w:noProof/>
              </w:rPr>
              <w:t>6.1.3.</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Functioning of the internal market</w:t>
            </w:r>
            <w:r w:rsidR="000D25A5">
              <w:rPr>
                <w:noProof/>
                <w:webHidden/>
              </w:rPr>
              <w:tab/>
            </w:r>
            <w:r w:rsidR="000D25A5">
              <w:rPr>
                <w:noProof/>
                <w:webHidden/>
              </w:rPr>
              <w:fldChar w:fldCharType="begin"/>
            </w:r>
            <w:r w:rsidR="000D25A5">
              <w:rPr>
                <w:noProof/>
                <w:webHidden/>
              </w:rPr>
              <w:instrText xml:space="preserve"> PAGEREF _Toc219447371 \h </w:instrText>
            </w:r>
            <w:r w:rsidR="000D25A5">
              <w:rPr>
                <w:noProof/>
                <w:webHidden/>
              </w:rPr>
            </w:r>
            <w:r w:rsidR="000D25A5">
              <w:rPr>
                <w:noProof/>
                <w:webHidden/>
              </w:rPr>
              <w:fldChar w:fldCharType="separate"/>
            </w:r>
            <w:r w:rsidR="000D25A5">
              <w:rPr>
                <w:noProof/>
                <w:webHidden/>
              </w:rPr>
              <w:t>90</w:t>
            </w:r>
            <w:r w:rsidR="000D25A5">
              <w:rPr>
                <w:noProof/>
                <w:webHidden/>
              </w:rPr>
              <w:fldChar w:fldCharType="end"/>
            </w:r>
          </w:hyperlink>
        </w:p>
        <w:p w14:paraId="1B507A62" w14:textId="6490F99B"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72" w:history="1">
            <w:r w:rsidR="000D25A5" w:rsidRPr="006B5241">
              <w:rPr>
                <w:rStyle w:val="Hyperlink"/>
                <w:iCs/>
                <w:noProof/>
              </w:rPr>
              <w:t>6.1.4.</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Impact on trade, competitiveness and innovation: impact on EU and non-EU companies</w:t>
            </w:r>
            <w:r w:rsidR="000D25A5">
              <w:rPr>
                <w:noProof/>
                <w:webHidden/>
              </w:rPr>
              <w:tab/>
            </w:r>
            <w:r w:rsidR="000D25A5">
              <w:rPr>
                <w:noProof/>
                <w:webHidden/>
              </w:rPr>
              <w:fldChar w:fldCharType="begin"/>
            </w:r>
            <w:r w:rsidR="000D25A5">
              <w:rPr>
                <w:noProof/>
                <w:webHidden/>
              </w:rPr>
              <w:instrText xml:space="preserve"> PAGEREF _Toc219447372 \h </w:instrText>
            </w:r>
            <w:r w:rsidR="000D25A5">
              <w:rPr>
                <w:noProof/>
                <w:webHidden/>
              </w:rPr>
            </w:r>
            <w:r w:rsidR="000D25A5">
              <w:rPr>
                <w:noProof/>
                <w:webHidden/>
              </w:rPr>
              <w:fldChar w:fldCharType="separate"/>
            </w:r>
            <w:r w:rsidR="000D25A5">
              <w:rPr>
                <w:noProof/>
                <w:webHidden/>
              </w:rPr>
              <w:t>91</w:t>
            </w:r>
            <w:r w:rsidR="000D25A5">
              <w:rPr>
                <w:noProof/>
                <w:webHidden/>
              </w:rPr>
              <w:fldChar w:fldCharType="end"/>
            </w:r>
          </w:hyperlink>
        </w:p>
        <w:p w14:paraId="7973B8F8" w14:textId="28C4A5EC"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73" w:history="1">
            <w:r w:rsidR="000D25A5" w:rsidRPr="006B5241">
              <w:rPr>
                <w:rStyle w:val="Hyperlink"/>
                <w:noProof/>
              </w:rPr>
              <w:t>6.2.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Impacts on security, including hybrid threats</w:t>
            </w:r>
            <w:r w:rsidR="000D25A5" w:rsidRPr="006B5241">
              <w:rPr>
                <w:rStyle w:val="Hyperlink"/>
                <w:bCs/>
                <w:noProof/>
              </w:rPr>
              <w:t xml:space="preserve">, </w:t>
            </w:r>
            <w:r w:rsidR="000D25A5" w:rsidRPr="006B5241">
              <w:rPr>
                <w:rStyle w:val="Hyperlink"/>
                <w:noProof/>
              </w:rPr>
              <w:t>resilience, technological sovereignty, open strategic autonomy and security of supply</w:t>
            </w:r>
            <w:r w:rsidR="000D25A5">
              <w:rPr>
                <w:noProof/>
                <w:webHidden/>
              </w:rPr>
              <w:tab/>
            </w:r>
            <w:r w:rsidR="000D25A5">
              <w:rPr>
                <w:noProof/>
                <w:webHidden/>
              </w:rPr>
              <w:fldChar w:fldCharType="begin"/>
            </w:r>
            <w:r w:rsidR="000D25A5">
              <w:rPr>
                <w:noProof/>
                <w:webHidden/>
              </w:rPr>
              <w:instrText xml:space="preserve"> PAGEREF _Toc219447373 \h </w:instrText>
            </w:r>
            <w:r w:rsidR="000D25A5">
              <w:rPr>
                <w:noProof/>
                <w:webHidden/>
              </w:rPr>
            </w:r>
            <w:r w:rsidR="000D25A5">
              <w:rPr>
                <w:noProof/>
                <w:webHidden/>
              </w:rPr>
              <w:fldChar w:fldCharType="separate"/>
            </w:r>
            <w:r w:rsidR="000D25A5">
              <w:rPr>
                <w:noProof/>
                <w:webHidden/>
              </w:rPr>
              <w:t>94</w:t>
            </w:r>
            <w:r w:rsidR="000D25A5">
              <w:rPr>
                <w:noProof/>
                <w:webHidden/>
              </w:rPr>
              <w:fldChar w:fldCharType="end"/>
            </w:r>
          </w:hyperlink>
        </w:p>
        <w:p w14:paraId="678C0B36" w14:textId="1B1E16D1"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74" w:history="1">
            <w:r w:rsidR="000D25A5" w:rsidRPr="006B5241">
              <w:rPr>
                <w:rStyle w:val="Hyperlink"/>
                <w:iCs/>
                <w:noProof/>
              </w:rPr>
              <w:t>6.2.1.</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Impacts on security, including hybrid threats</w:t>
            </w:r>
            <w:r w:rsidR="000D25A5">
              <w:rPr>
                <w:noProof/>
                <w:webHidden/>
              </w:rPr>
              <w:tab/>
            </w:r>
            <w:r w:rsidR="000D25A5">
              <w:rPr>
                <w:noProof/>
                <w:webHidden/>
              </w:rPr>
              <w:fldChar w:fldCharType="begin"/>
            </w:r>
            <w:r w:rsidR="000D25A5">
              <w:rPr>
                <w:noProof/>
                <w:webHidden/>
              </w:rPr>
              <w:instrText xml:space="preserve"> PAGEREF _Toc219447374 \h </w:instrText>
            </w:r>
            <w:r w:rsidR="000D25A5">
              <w:rPr>
                <w:noProof/>
                <w:webHidden/>
              </w:rPr>
            </w:r>
            <w:r w:rsidR="000D25A5">
              <w:rPr>
                <w:noProof/>
                <w:webHidden/>
              </w:rPr>
              <w:fldChar w:fldCharType="separate"/>
            </w:r>
            <w:r w:rsidR="000D25A5">
              <w:rPr>
                <w:noProof/>
                <w:webHidden/>
              </w:rPr>
              <w:t>94</w:t>
            </w:r>
            <w:r w:rsidR="000D25A5">
              <w:rPr>
                <w:noProof/>
                <w:webHidden/>
              </w:rPr>
              <w:fldChar w:fldCharType="end"/>
            </w:r>
          </w:hyperlink>
        </w:p>
        <w:p w14:paraId="0297000C" w14:textId="6C5E1FB9" w:rsidR="000D25A5" w:rsidRDefault="00047E0F">
          <w:pPr>
            <w:pStyle w:val="TOC3"/>
            <w:tabs>
              <w:tab w:val="left" w:pos="1260"/>
              <w:tab w:val="right" w:leader="dot" w:pos="8637"/>
            </w:tabs>
            <w:rPr>
              <w:rFonts w:asciiTheme="minorHAnsi" w:eastAsiaTheme="minorEastAsia" w:hAnsiTheme="minorHAnsi" w:cstheme="minorBidi"/>
              <w:noProof/>
              <w:kern w:val="2"/>
              <w:lang w:val="en-IE" w:eastAsia="en-IE"/>
              <w14:ligatures w14:val="standardContextual"/>
            </w:rPr>
          </w:pPr>
          <w:hyperlink w:anchor="_Toc219447375" w:history="1">
            <w:r w:rsidR="000D25A5" w:rsidRPr="006B5241">
              <w:rPr>
                <w:rStyle w:val="Hyperlink"/>
                <w:bCs/>
                <w:iCs/>
                <w:noProof/>
              </w:rPr>
              <w:t>6.2.2.</w:t>
            </w:r>
            <w:r w:rsidR="000D25A5">
              <w:rPr>
                <w:rFonts w:asciiTheme="minorHAnsi" w:eastAsiaTheme="minorEastAsia" w:hAnsiTheme="minorHAnsi" w:cstheme="minorBidi"/>
                <w:noProof/>
                <w:kern w:val="2"/>
                <w:lang w:val="en-IE" w:eastAsia="en-IE"/>
                <w14:ligatures w14:val="standardContextual"/>
              </w:rPr>
              <w:tab/>
            </w:r>
            <w:r w:rsidR="000D25A5" w:rsidRPr="006B5241">
              <w:rPr>
                <w:rStyle w:val="Hyperlink"/>
                <w:noProof/>
              </w:rPr>
              <w:t xml:space="preserve">Impacts on </w:t>
            </w:r>
            <w:r w:rsidR="000D25A5" w:rsidRPr="006B5241">
              <w:rPr>
                <w:rStyle w:val="Hyperlink"/>
                <w:bCs/>
                <w:noProof/>
              </w:rPr>
              <w:t>resilience, technological sovereignty, open strategic autonomy and security of supply</w:t>
            </w:r>
            <w:r w:rsidR="000D25A5">
              <w:rPr>
                <w:noProof/>
                <w:webHidden/>
              </w:rPr>
              <w:tab/>
            </w:r>
            <w:r w:rsidR="000D25A5">
              <w:rPr>
                <w:noProof/>
                <w:webHidden/>
              </w:rPr>
              <w:fldChar w:fldCharType="begin"/>
            </w:r>
            <w:r w:rsidR="000D25A5">
              <w:rPr>
                <w:noProof/>
                <w:webHidden/>
              </w:rPr>
              <w:instrText xml:space="preserve"> PAGEREF _Toc219447375 \h </w:instrText>
            </w:r>
            <w:r w:rsidR="000D25A5">
              <w:rPr>
                <w:noProof/>
                <w:webHidden/>
              </w:rPr>
            </w:r>
            <w:r w:rsidR="000D25A5">
              <w:rPr>
                <w:noProof/>
                <w:webHidden/>
              </w:rPr>
              <w:fldChar w:fldCharType="separate"/>
            </w:r>
            <w:r w:rsidR="000D25A5">
              <w:rPr>
                <w:noProof/>
                <w:webHidden/>
              </w:rPr>
              <w:t>95</w:t>
            </w:r>
            <w:r w:rsidR="000D25A5">
              <w:rPr>
                <w:noProof/>
                <w:webHidden/>
              </w:rPr>
              <w:fldChar w:fldCharType="end"/>
            </w:r>
          </w:hyperlink>
        </w:p>
        <w:p w14:paraId="75E96F46" w14:textId="71F3E73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76" w:history="1">
            <w:r w:rsidR="000D25A5" w:rsidRPr="006B5241">
              <w:rPr>
                <w:rStyle w:val="Hyperlink"/>
                <w:noProof/>
              </w:rPr>
              <w:t>6.3.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Social impacts, including fundamental rights</w:t>
            </w:r>
            <w:r w:rsidR="000D25A5">
              <w:rPr>
                <w:noProof/>
                <w:webHidden/>
              </w:rPr>
              <w:tab/>
            </w:r>
            <w:r w:rsidR="000D25A5">
              <w:rPr>
                <w:noProof/>
                <w:webHidden/>
              </w:rPr>
              <w:fldChar w:fldCharType="begin"/>
            </w:r>
            <w:r w:rsidR="000D25A5">
              <w:rPr>
                <w:noProof/>
                <w:webHidden/>
              </w:rPr>
              <w:instrText xml:space="preserve"> PAGEREF _Toc219447376 \h </w:instrText>
            </w:r>
            <w:r w:rsidR="000D25A5">
              <w:rPr>
                <w:noProof/>
                <w:webHidden/>
              </w:rPr>
            </w:r>
            <w:r w:rsidR="000D25A5">
              <w:rPr>
                <w:noProof/>
                <w:webHidden/>
              </w:rPr>
              <w:fldChar w:fldCharType="separate"/>
            </w:r>
            <w:r w:rsidR="000D25A5">
              <w:rPr>
                <w:noProof/>
                <w:webHidden/>
              </w:rPr>
              <w:t>96</w:t>
            </w:r>
            <w:r w:rsidR="000D25A5">
              <w:rPr>
                <w:noProof/>
                <w:webHidden/>
              </w:rPr>
              <w:fldChar w:fldCharType="end"/>
            </w:r>
          </w:hyperlink>
        </w:p>
        <w:p w14:paraId="175EC300" w14:textId="34F99E6B"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77" w:history="1">
            <w:r w:rsidR="000D25A5" w:rsidRPr="006B5241">
              <w:rPr>
                <w:rStyle w:val="Hyperlink"/>
                <w:noProof/>
              </w:rPr>
              <w:t>6.4.</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Impacts on the environment</w:t>
            </w:r>
            <w:r w:rsidR="000D25A5">
              <w:rPr>
                <w:noProof/>
                <w:webHidden/>
              </w:rPr>
              <w:tab/>
            </w:r>
            <w:r w:rsidR="000D25A5">
              <w:rPr>
                <w:noProof/>
                <w:webHidden/>
              </w:rPr>
              <w:fldChar w:fldCharType="begin"/>
            </w:r>
            <w:r w:rsidR="000D25A5">
              <w:rPr>
                <w:noProof/>
                <w:webHidden/>
              </w:rPr>
              <w:instrText xml:space="preserve"> PAGEREF _Toc219447377 \h </w:instrText>
            </w:r>
            <w:r w:rsidR="000D25A5">
              <w:rPr>
                <w:noProof/>
                <w:webHidden/>
              </w:rPr>
            </w:r>
            <w:r w:rsidR="000D25A5">
              <w:rPr>
                <w:noProof/>
                <w:webHidden/>
              </w:rPr>
              <w:fldChar w:fldCharType="separate"/>
            </w:r>
            <w:r w:rsidR="000D25A5">
              <w:rPr>
                <w:noProof/>
                <w:webHidden/>
              </w:rPr>
              <w:t>97</w:t>
            </w:r>
            <w:r w:rsidR="000D25A5">
              <w:rPr>
                <w:noProof/>
                <w:webHidden/>
              </w:rPr>
              <w:fldChar w:fldCharType="end"/>
            </w:r>
          </w:hyperlink>
        </w:p>
        <w:p w14:paraId="296B9711" w14:textId="673F3155"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78" w:history="1">
            <w:r w:rsidR="000D25A5" w:rsidRPr="006B5241">
              <w:rPr>
                <w:rStyle w:val="Hyperlink"/>
                <w:noProof/>
              </w:rPr>
              <w:t>7.</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How do the options compare?</w:t>
            </w:r>
            <w:r w:rsidR="000D25A5">
              <w:rPr>
                <w:noProof/>
                <w:webHidden/>
              </w:rPr>
              <w:tab/>
            </w:r>
            <w:r w:rsidR="000D25A5">
              <w:rPr>
                <w:noProof/>
                <w:webHidden/>
              </w:rPr>
              <w:fldChar w:fldCharType="begin"/>
            </w:r>
            <w:r w:rsidR="000D25A5">
              <w:rPr>
                <w:noProof/>
                <w:webHidden/>
              </w:rPr>
              <w:instrText xml:space="preserve"> PAGEREF _Toc219447378 \h </w:instrText>
            </w:r>
            <w:r w:rsidR="000D25A5">
              <w:rPr>
                <w:noProof/>
                <w:webHidden/>
              </w:rPr>
            </w:r>
            <w:r w:rsidR="000D25A5">
              <w:rPr>
                <w:noProof/>
                <w:webHidden/>
              </w:rPr>
              <w:fldChar w:fldCharType="separate"/>
            </w:r>
            <w:r w:rsidR="000D25A5">
              <w:rPr>
                <w:noProof/>
                <w:webHidden/>
              </w:rPr>
              <w:t>97</w:t>
            </w:r>
            <w:r w:rsidR="000D25A5">
              <w:rPr>
                <w:noProof/>
                <w:webHidden/>
              </w:rPr>
              <w:fldChar w:fldCharType="end"/>
            </w:r>
          </w:hyperlink>
        </w:p>
        <w:p w14:paraId="1F8F2645" w14:textId="7E546823"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79" w:history="1">
            <w:r w:rsidR="000D25A5" w:rsidRPr="006B5241">
              <w:rPr>
                <w:rStyle w:val="Hyperlink"/>
                <w:noProof/>
              </w:rPr>
              <w:t>7.1.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Methodology</w:t>
            </w:r>
            <w:r w:rsidR="000D25A5">
              <w:rPr>
                <w:noProof/>
                <w:webHidden/>
              </w:rPr>
              <w:tab/>
            </w:r>
            <w:r w:rsidR="000D25A5">
              <w:rPr>
                <w:noProof/>
                <w:webHidden/>
              </w:rPr>
              <w:fldChar w:fldCharType="begin"/>
            </w:r>
            <w:r w:rsidR="000D25A5">
              <w:rPr>
                <w:noProof/>
                <w:webHidden/>
              </w:rPr>
              <w:instrText xml:space="preserve"> PAGEREF _Toc219447379 \h </w:instrText>
            </w:r>
            <w:r w:rsidR="000D25A5">
              <w:rPr>
                <w:noProof/>
                <w:webHidden/>
              </w:rPr>
            </w:r>
            <w:r w:rsidR="000D25A5">
              <w:rPr>
                <w:noProof/>
                <w:webHidden/>
              </w:rPr>
              <w:fldChar w:fldCharType="separate"/>
            </w:r>
            <w:r w:rsidR="000D25A5">
              <w:rPr>
                <w:noProof/>
                <w:webHidden/>
              </w:rPr>
              <w:t>98</w:t>
            </w:r>
            <w:r w:rsidR="000D25A5">
              <w:rPr>
                <w:noProof/>
                <w:webHidden/>
              </w:rPr>
              <w:fldChar w:fldCharType="end"/>
            </w:r>
          </w:hyperlink>
        </w:p>
        <w:p w14:paraId="51BBD64B" w14:textId="072BF3E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0" w:history="1">
            <w:r w:rsidR="000D25A5" w:rsidRPr="006B5241">
              <w:rPr>
                <w:rStyle w:val="Hyperlink"/>
                <w:noProof/>
              </w:rPr>
              <w:t>7.2.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Effectiveness</w:t>
            </w:r>
            <w:r w:rsidR="000D25A5">
              <w:rPr>
                <w:noProof/>
                <w:webHidden/>
              </w:rPr>
              <w:tab/>
            </w:r>
            <w:r w:rsidR="000D25A5">
              <w:rPr>
                <w:noProof/>
                <w:webHidden/>
              </w:rPr>
              <w:fldChar w:fldCharType="begin"/>
            </w:r>
            <w:r w:rsidR="000D25A5">
              <w:rPr>
                <w:noProof/>
                <w:webHidden/>
              </w:rPr>
              <w:instrText xml:space="preserve"> PAGEREF _Toc219447380 \h </w:instrText>
            </w:r>
            <w:r w:rsidR="000D25A5">
              <w:rPr>
                <w:noProof/>
                <w:webHidden/>
              </w:rPr>
            </w:r>
            <w:r w:rsidR="000D25A5">
              <w:rPr>
                <w:noProof/>
                <w:webHidden/>
              </w:rPr>
              <w:fldChar w:fldCharType="separate"/>
            </w:r>
            <w:r w:rsidR="000D25A5">
              <w:rPr>
                <w:noProof/>
                <w:webHidden/>
              </w:rPr>
              <w:t>99</w:t>
            </w:r>
            <w:r w:rsidR="000D25A5">
              <w:rPr>
                <w:noProof/>
                <w:webHidden/>
              </w:rPr>
              <w:fldChar w:fldCharType="end"/>
            </w:r>
          </w:hyperlink>
        </w:p>
        <w:p w14:paraId="2E18E20D" w14:textId="3C3817F8"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1" w:history="1">
            <w:r w:rsidR="000D25A5" w:rsidRPr="006B5241">
              <w:rPr>
                <w:rStyle w:val="Hyperlink"/>
                <w:noProof/>
              </w:rPr>
              <w:t>7.3.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Efficiency and cost-benefit analysis</w:t>
            </w:r>
            <w:r w:rsidR="000D25A5">
              <w:rPr>
                <w:noProof/>
                <w:webHidden/>
              </w:rPr>
              <w:tab/>
            </w:r>
            <w:r w:rsidR="000D25A5">
              <w:rPr>
                <w:noProof/>
                <w:webHidden/>
              </w:rPr>
              <w:fldChar w:fldCharType="begin"/>
            </w:r>
            <w:r w:rsidR="000D25A5">
              <w:rPr>
                <w:noProof/>
                <w:webHidden/>
              </w:rPr>
              <w:instrText xml:space="preserve"> PAGEREF _Toc219447381 \h </w:instrText>
            </w:r>
            <w:r w:rsidR="000D25A5">
              <w:rPr>
                <w:noProof/>
                <w:webHidden/>
              </w:rPr>
            </w:r>
            <w:r w:rsidR="000D25A5">
              <w:rPr>
                <w:noProof/>
                <w:webHidden/>
              </w:rPr>
              <w:fldChar w:fldCharType="separate"/>
            </w:r>
            <w:r w:rsidR="000D25A5">
              <w:rPr>
                <w:noProof/>
                <w:webHidden/>
              </w:rPr>
              <w:t>102</w:t>
            </w:r>
            <w:r w:rsidR="000D25A5">
              <w:rPr>
                <w:noProof/>
                <w:webHidden/>
              </w:rPr>
              <w:fldChar w:fldCharType="end"/>
            </w:r>
          </w:hyperlink>
        </w:p>
        <w:p w14:paraId="0BA4C84B" w14:textId="4EFC4A07"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2" w:history="1">
            <w:r w:rsidR="000D25A5" w:rsidRPr="006B5241">
              <w:rPr>
                <w:rStyle w:val="Hyperlink"/>
                <w:noProof/>
              </w:rPr>
              <w:t>7.4.</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Coherence</w:t>
            </w:r>
            <w:r w:rsidR="000D25A5">
              <w:rPr>
                <w:noProof/>
                <w:webHidden/>
              </w:rPr>
              <w:tab/>
            </w:r>
            <w:r w:rsidR="000D25A5">
              <w:rPr>
                <w:noProof/>
                <w:webHidden/>
              </w:rPr>
              <w:fldChar w:fldCharType="begin"/>
            </w:r>
            <w:r w:rsidR="000D25A5">
              <w:rPr>
                <w:noProof/>
                <w:webHidden/>
              </w:rPr>
              <w:instrText xml:space="preserve"> PAGEREF _Toc219447382 \h </w:instrText>
            </w:r>
            <w:r w:rsidR="000D25A5">
              <w:rPr>
                <w:noProof/>
                <w:webHidden/>
              </w:rPr>
            </w:r>
            <w:r w:rsidR="000D25A5">
              <w:rPr>
                <w:noProof/>
                <w:webHidden/>
              </w:rPr>
              <w:fldChar w:fldCharType="separate"/>
            </w:r>
            <w:r w:rsidR="000D25A5">
              <w:rPr>
                <w:noProof/>
                <w:webHidden/>
              </w:rPr>
              <w:t>106</w:t>
            </w:r>
            <w:r w:rsidR="000D25A5">
              <w:rPr>
                <w:noProof/>
                <w:webHidden/>
              </w:rPr>
              <w:fldChar w:fldCharType="end"/>
            </w:r>
          </w:hyperlink>
        </w:p>
        <w:p w14:paraId="4BA4A83B" w14:textId="3FB0CC94"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3" w:history="1">
            <w:r w:rsidR="000D25A5" w:rsidRPr="006B5241">
              <w:rPr>
                <w:rStyle w:val="Hyperlink"/>
                <w:noProof/>
              </w:rPr>
              <w:t>7.5.</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Proportionality and trade-offs</w:t>
            </w:r>
            <w:r w:rsidR="000D25A5">
              <w:rPr>
                <w:noProof/>
                <w:webHidden/>
              </w:rPr>
              <w:tab/>
            </w:r>
            <w:r w:rsidR="000D25A5">
              <w:rPr>
                <w:noProof/>
                <w:webHidden/>
              </w:rPr>
              <w:fldChar w:fldCharType="begin"/>
            </w:r>
            <w:r w:rsidR="000D25A5">
              <w:rPr>
                <w:noProof/>
                <w:webHidden/>
              </w:rPr>
              <w:instrText xml:space="preserve"> PAGEREF _Toc219447383 \h </w:instrText>
            </w:r>
            <w:r w:rsidR="000D25A5">
              <w:rPr>
                <w:noProof/>
                <w:webHidden/>
              </w:rPr>
            </w:r>
            <w:r w:rsidR="000D25A5">
              <w:rPr>
                <w:noProof/>
                <w:webHidden/>
              </w:rPr>
              <w:fldChar w:fldCharType="separate"/>
            </w:r>
            <w:r w:rsidR="000D25A5">
              <w:rPr>
                <w:noProof/>
                <w:webHidden/>
              </w:rPr>
              <w:t>106</w:t>
            </w:r>
            <w:r w:rsidR="000D25A5">
              <w:rPr>
                <w:noProof/>
                <w:webHidden/>
              </w:rPr>
              <w:fldChar w:fldCharType="end"/>
            </w:r>
          </w:hyperlink>
        </w:p>
        <w:p w14:paraId="06D6C81D" w14:textId="7CA52207"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4" w:history="1">
            <w:r w:rsidR="000D25A5" w:rsidRPr="006B5241">
              <w:rPr>
                <w:rStyle w:val="Hyperlink"/>
                <w:noProof/>
              </w:rPr>
              <w:t>7.6.</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Uncertainty analysis</w:t>
            </w:r>
            <w:r w:rsidR="000D25A5">
              <w:rPr>
                <w:noProof/>
                <w:webHidden/>
              </w:rPr>
              <w:tab/>
            </w:r>
            <w:r w:rsidR="000D25A5">
              <w:rPr>
                <w:noProof/>
                <w:webHidden/>
              </w:rPr>
              <w:fldChar w:fldCharType="begin"/>
            </w:r>
            <w:r w:rsidR="000D25A5">
              <w:rPr>
                <w:noProof/>
                <w:webHidden/>
              </w:rPr>
              <w:instrText xml:space="preserve"> PAGEREF _Toc219447384 \h </w:instrText>
            </w:r>
            <w:r w:rsidR="000D25A5">
              <w:rPr>
                <w:noProof/>
                <w:webHidden/>
              </w:rPr>
            </w:r>
            <w:r w:rsidR="000D25A5">
              <w:rPr>
                <w:noProof/>
                <w:webHidden/>
              </w:rPr>
              <w:fldChar w:fldCharType="separate"/>
            </w:r>
            <w:r w:rsidR="000D25A5">
              <w:rPr>
                <w:noProof/>
                <w:webHidden/>
              </w:rPr>
              <w:t>107</w:t>
            </w:r>
            <w:r w:rsidR="000D25A5">
              <w:rPr>
                <w:noProof/>
                <w:webHidden/>
              </w:rPr>
              <w:fldChar w:fldCharType="end"/>
            </w:r>
          </w:hyperlink>
        </w:p>
        <w:p w14:paraId="78C7AA7E" w14:textId="661765B2"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5" w:history="1">
            <w:r w:rsidR="000D25A5" w:rsidRPr="006B5241">
              <w:rPr>
                <w:rStyle w:val="Hyperlink"/>
                <w:noProof/>
              </w:rPr>
              <w:t>7.7.</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Multi-criteria assessment</w:t>
            </w:r>
            <w:r w:rsidR="000D25A5">
              <w:rPr>
                <w:noProof/>
                <w:webHidden/>
              </w:rPr>
              <w:tab/>
            </w:r>
            <w:r w:rsidR="000D25A5">
              <w:rPr>
                <w:noProof/>
                <w:webHidden/>
              </w:rPr>
              <w:fldChar w:fldCharType="begin"/>
            </w:r>
            <w:r w:rsidR="000D25A5">
              <w:rPr>
                <w:noProof/>
                <w:webHidden/>
              </w:rPr>
              <w:instrText xml:space="preserve"> PAGEREF _Toc219447385 \h </w:instrText>
            </w:r>
            <w:r w:rsidR="000D25A5">
              <w:rPr>
                <w:noProof/>
                <w:webHidden/>
              </w:rPr>
            </w:r>
            <w:r w:rsidR="000D25A5">
              <w:rPr>
                <w:noProof/>
                <w:webHidden/>
              </w:rPr>
              <w:fldChar w:fldCharType="separate"/>
            </w:r>
            <w:r w:rsidR="000D25A5">
              <w:rPr>
                <w:noProof/>
                <w:webHidden/>
              </w:rPr>
              <w:t>108</w:t>
            </w:r>
            <w:r w:rsidR="000D25A5">
              <w:rPr>
                <w:noProof/>
                <w:webHidden/>
              </w:rPr>
              <w:fldChar w:fldCharType="end"/>
            </w:r>
          </w:hyperlink>
        </w:p>
        <w:p w14:paraId="1EE49930" w14:textId="2AA540F2"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86" w:history="1">
            <w:r w:rsidR="000D25A5" w:rsidRPr="006B5241">
              <w:rPr>
                <w:rStyle w:val="Hyperlink"/>
                <w:noProof/>
              </w:rPr>
              <w:t>8.</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Preferred option</w:t>
            </w:r>
            <w:r w:rsidR="000D25A5">
              <w:rPr>
                <w:noProof/>
                <w:webHidden/>
              </w:rPr>
              <w:tab/>
            </w:r>
            <w:r w:rsidR="000D25A5">
              <w:rPr>
                <w:noProof/>
                <w:webHidden/>
              </w:rPr>
              <w:fldChar w:fldCharType="begin"/>
            </w:r>
            <w:r w:rsidR="000D25A5">
              <w:rPr>
                <w:noProof/>
                <w:webHidden/>
              </w:rPr>
              <w:instrText xml:space="preserve"> PAGEREF _Toc219447386 \h </w:instrText>
            </w:r>
            <w:r w:rsidR="000D25A5">
              <w:rPr>
                <w:noProof/>
                <w:webHidden/>
              </w:rPr>
            </w:r>
            <w:r w:rsidR="000D25A5">
              <w:rPr>
                <w:noProof/>
                <w:webHidden/>
              </w:rPr>
              <w:fldChar w:fldCharType="separate"/>
            </w:r>
            <w:r w:rsidR="000D25A5">
              <w:rPr>
                <w:noProof/>
                <w:webHidden/>
              </w:rPr>
              <w:t>109</w:t>
            </w:r>
            <w:r w:rsidR="000D25A5">
              <w:rPr>
                <w:noProof/>
                <w:webHidden/>
              </w:rPr>
              <w:fldChar w:fldCharType="end"/>
            </w:r>
          </w:hyperlink>
        </w:p>
        <w:p w14:paraId="42D59231" w14:textId="20B9513E"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7" w:history="1">
            <w:r w:rsidR="000D25A5" w:rsidRPr="006B5241">
              <w:rPr>
                <w:rStyle w:val="Hyperlink"/>
                <w:noProof/>
              </w:rPr>
              <w:t>8.1.</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Rationale and benefits of the preferred option</w:t>
            </w:r>
            <w:r w:rsidR="000D25A5">
              <w:rPr>
                <w:noProof/>
                <w:webHidden/>
              </w:rPr>
              <w:tab/>
            </w:r>
            <w:r w:rsidR="000D25A5">
              <w:rPr>
                <w:noProof/>
                <w:webHidden/>
              </w:rPr>
              <w:fldChar w:fldCharType="begin"/>
            </w:r>
            <w:r w:rsidR="000D25A5">
              <w:rPr>
                <w:noProof/>
                <w:webHidden/>
              </w:rPr>
              <w:instrText xml:space="preserve"> PAGEREF _Toc219447387 \h </w:instrText>
            </w:r>
            <w:r w:rsidR="000D25A5">
              <w:rPr>
                <w:noProof/>
                <w:webHidden/>
              </w:rPr>
            </w:r>
            <w:r w:rsidR="000D25A5">
              <w:rPr>
                <w:noProof/>
                <w:webHidden/>
              </w:rPr>
              <w:fldChar w:fldCharType="separate"/>
            </w:r>
            <w:r w:rsidR="000D25A5">
              <w:rPr>
                <w:noProof/>
                <w:webHidden/>
              </w:rPr>
              <w:t>109</w:t>
            </w:r>
            <w:r w:rsidR="000D25A5">
              <w:rPr>
                <w:noProof/>
                <w:webHidden/>
              </w:rPr>
              <w:fldChar w:fldCharType="end"/>
            </w:r>
          </w:hyperlink>
        </w:p>
        <w:p w14:paraId="16562DC8" w14:textId="006E7C63"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8" w:history="1">
            <w:r w:rsidR="000D25A5" w:rsidRPr="006B5241">
              <w:rPr>
                <w:rStyle w:val="Hyperlink"/>
                <w:noProof/>
              </w:rPr>
              <w:t>8.2.</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REFIT (simplification and improved efficiency)</w:t>
            </w:r>
            <w:r w:rsidR="000D25A5">
              <w:rPr>
                <w:noProof/>
                <w:webHidden/>
              </w:rPr>
              <w:tab/>
            </w:r>
            <w:r w:rsidR="000D25A5">
              <w:rPr>
                <w:noProof/>
                <w:webHidden/>
              </w:rPr>
              <w:fldChar w:fldCharType="begin"/>
            </w:r>
            <w:r w:rsidR="000D25A5">
              <w:rPr>
                <w:noProof/>
                <w:webHidden/>
              </w:rPr>
              <w:instrText xml:space="preserve"> PAGEREF _Toc219447388 \h </w:instrText>
            </w:r>
            <w:r w:rsidR="000D25A5">
              <w:rPr>
                <w:noProof/>
                <w:webHidden/>
              </w:rPr>
            </w:r>
            <w:r w:rsidR="000D25A5">
              <w:rPr>
                <w:noProof/>
                <w:webHidden/>
              </w:rPr>
              <w:fldChar w:fldCharType="separate"/>
            </w:r>
            <w:r w:rsidR="000D25A5">
              <w:rPr>
                <w:noProof/>
                <w:webHidden/>
              </w:rPr>
              <w:t>111</w:t>
            </w:r>
            <w:r w:rsidR="000D25A5">
              <w:rPr>
                <w:noProof/>
                <w:webHidden/>
              </w:rPr>
              <w:fldChar w:fldCharType="end"/>
            </w:r>
          </w:hyperlink>
        </w:p>
        <w:p w14:paraId="03270C2E" w14:textId="29A692AC"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89" w:history="1">
            <w:r w:rsidR="000D25A5" w:rsidRPr="006B5241">
              <w:rPr>
                <w:rStyle w:val="Hyperlink"/>
                <w:noProof/>
              </w:rPr>
              <w:t>8.3.</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Application of the ‘one in, one out’ approach</w:t>
            </w:r>
            <w:r w:rsidR="000D25A5">
              <w:rPr>
                <w:noProof/>
                <w:webHidden/>
              </w:rPr>
              <w:tab/>
            </w:r>
            <w:r w:rsidR="000D25A5">
              <w:rPr>
                <w:noProof/>
                <w:webHidden/>
              </w:rPr>
              <w:fldChar w:fldCharType="begin"/>
            </w:r>
            <w:r w:rsidR="000D25A5">
              <w:rPr>
                <w:noProof/>
                <w:webHidden/>
              </w:rPr>
              <w:instrText xml:space="preserve"> PAGEREF _Toc219447389 \h </w:instrText>
            </w:r>
            <w:r w:rsidR="000D25A5">
              <w:rPr>
                <w:noProof/>
                <w:webHidden/>
              </w:rPr>
            </w:r>
            <w:r w:rsidR="000D25A5">
              <w:rPr>
                <w:noProof/>
                <w:webHidden/>
              </w:rPr>
              <w:fldChar w:fldCharType="separate"/>
            </w:r>
            <w:r w:rsidR="000D25A5">
              <w:rPr>
                <w:noProof/>
                <w:webHidden/>
              </w:rPr>
              <w:t>111</w:t>
            </w:r>
            <w:r w:rsidR="000D25A5">
              <w:rPr>
                <w:noProof/>
                <w:webHidden/>
              </w:rPr>
              <w:fldChar w:fldCharType="end"/>
            </w:r>
          </w:hyperlink>
        </w:p>
        <w:p w14:paraId="0C0AEEDF" w14:textId="76558681" w:rsidR="000D25A5" w:rsidRDefault="00047E0F">
          <w:pPr>
            <w:pStyle w:val="TOC2"/>
            <w:tabs>
              <w:tab w:val="left" w:pos="1082"/>
            </w:tabs>
            <w:rPr>
              <w:rFonts w:asciiTheme="minorHAnsi" w:eastAsiaTheme="minorEastAsia" w:hAnsiTheme="minorHAnsi" w:cstheme="minorBidi"/>
              <w:noProof/>
              <w:kern w:val="2"/>
              <w:szCs w:val="24"/>
              <w:lang w:val="en-IE" w:eastAsia="en-IE"/>
              <w14:ligatures w14:val="standardContextual"/>
            </w:rPr>
          </w:pPr>
          <w:hyperlink w:anchor="_Toc219447390" w:history="1">
            <w:r w:rsidR="000D25A5" w:rsidRPr="006B5241">
              <w:rPr>
                <w:rStyle w:val="Hyperlink"/>
                <w:noProof/>
              </w:rPr>
              <w:t>8.4.</w:t>
            </w:r>
            <w:r w:rsidR="000D25A5">
              <w:rPr>
                <w:rFonts w:asciiTheme="minorHAnsi" w:eastAsiaTheme="minorEastAsia" w:hAnsiTheme="minorHAnsi" w:cstheme="minorBidi"/>
                <w:noProof/>
                <w:kern w:val="2"/>
                <w:szCs w:val="24"/>
                <w:lang w:val="en-IE" w:eastAsia="en-IE"/>
                <w14:ligatures w14:val="standardContextual"/>
              </w:rPr>
              <w:tab/>
            </w:r>
            <w:r w:rsidR="000D25A5" w:rsidRPr="006B5241">
              <w:rPr>
                <w:rStyle w:val="Hyperlink"/>
                <w:noProof/>
              </w:rPr>
              <w:t>SME test</w:t>
            </w:r>
            <w:r w:rsidR="000D25A5">
              <w:rPr>
                <w:noProof/>
                <w:webHidden/>
              </w:rPr>
              <w:tab/>
            </w:r>
            <w:r w:rsidR="000D25A5">
              <w:rPr>
                <w:noProof/>
                <w:webHidden/>
              </w:rPr>
              <w:fldChar w:fldCharType="begin"/>
            </w:r>
            <w:r w:rsidR="000D25A5">
              <w:rPr>
                <w:noProof/>
                <w:webHidden/>
              </w:rPr>
              <w:instrText xml:space="preserve"> PAGEREF _Toc219447390 \h </w:instrText>
            </w:r>
            <w:r w:rsidR="000D25A5">
              <w:rPr>
                <w:noProof/>
                <w:webHidden/>
              </w:rPr>
            </w:r>
            <w:r w:rsidR="000D25A5">
              <w:rPr>
                <w:noProof/>
                <w:webHidden/>
              </w:rPr>
              <w:fldChar w:fldCharType="separate"/>
            </w:r>
            <w:r w:rsidR="000D25A5">
              <w:rPr>
                <w:noProof/>
                <w:webHidden/>
              </w:rPr>
              <w:t>112</w:t>
            </w:r>
            <w:r w:rsidR="000D25A5">
              <w:rPr>
                <w:noProof/>
                <w:webHidden/>
              </w:rPr>
              <w:fldChar w:fldCharType="end"/>
            </w:r>
          </w:hyperlink>
        </w:p>
        <w:p w14:paraId="1A7A904C" w14:textId="4A160D25" w:rsidR="000D25A5"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391" w:history="1">
            <w:r w:rsidR="000D25A5" w:rsidRPr="006B5241">
              <w:rPr>
                <w:rStyle w:val="Hyperlink"/>
                <w:noProof/>
              </w:rPr>
              <w:t>9.</w:t>
            </w:r>
            <w:r w:rsidR="000D25A5">
              <w:rPr>
                <w:rFonts w:asciiTheme="minorHAnsi" w:eastAsiaTheme="minorEastAsia" w:hAnsiTheme="minorHAnsi" w:cstheme="minorBidi"/>
                <w:caps w:val="0"/>
                <w:noProof/>
                <w:kern w:val="2"/>
                <w:sz w:val="24"/>
                <w:szCs w:val="24"/>
                <w:lang w:val="en-IE" w:eastAsia="en-IE"/>
                <w14:ligatures w14:val="standardContextual"/>
              </w:rPr>
              <w:tab/>
            </w:r>
            <w:r w:rsidR="000D25A5" w:rsidRPr="006B5241">
              <w:rPr>
                <w:rStyle w:val="Hyperlink"/>
                <w:noProof/>
              </w:rPr>
              <w:t>How will actual impacts be monitored and evaluated?</w:t>
            </w:r>
            <w:r w:rsidR="000D25A5">
              <w:rPr>
                <w:noProof/>
                <w:webHidden/>
              </w:rPr>
              <w:tab/>
            </w:r>
            <w:r w:rsidR="000D25A5">
              <w:rPr>
                <w:noProof/>
                <w:webHidden/>
              </w:rPr>
              <w:fldChar w:fldCharType="begin"/>
            </w:r>
            <w:r w:rsidR="000D25A5">
              <w:rPr>
                <w:noProof/>
                <w:webHidden/>
              </w:rPr>
              <w:instrText xml:space="preserve"> PAGEREF _Toc219447391 \h </w:instrText>
            </w:r>
            <w:r w:rsidR="000D25A5">
              <w:rPr>
                <w:noProof/>
                <w:webHidden/>
              </w:rPr>
            </w:r>
            <w:r w:rsidR="000D25A5">
              <w:rPr>
                <w:noProof/>
                <w:webHidden/>
              </w:rPr>
              <w:fldChar w:fldCharType="separate"/>
            </w:r>
            <w:r w:rsidR="000D25A5">
              <w:rPr>
                <w:noProof/>
                <w:webHidden/>
              </w:rPr>
              <w:t>113</w:t>
            </w:r>
            <w:r w:rsidR="000D25A5">
              <w:rPr>
                <w:noProof/>
                <w:webHidden/>
              </w:rPr>
              <w:fldChar w:fldCharType="end"/>
            </w:r>
          </w:hyperlink>
        </w:p>
        <w:p w14:paraId="7069C579" w14:textId="5CD4FAA2" w:rsidR="00C14ADF" w:rsidRPr="00CE2185" w:rsidRDefault="00C14ADF" w:rsidP="00C14ADF">
          <w:pPr>
            <w:rPr>
              <w:noProof/>
              <w:sz w:val="22"/>
              <w:szCs w:val="22"/>
            </w:rPr>
          </w:pPr>
          <w:r w:rsidRPr="00712424">
            <w:rPr>
              <w:b/>
              <w:bCs/>
              <w:noProof/>
            </w:rPr>
            <w:fldChar w:fldCharType="end"/>
          </w:r>
        </w:p>
      </w:sdtContent>
    </w:sdt>
    <w:p w14:paraId="50372C7E" w14:textId="77777777" w:rsidR="00FE7670" w:rsidRDefault="00FE7670">
      <w:pPr>
        <w:spacing w:after="200" w:line="276" w:lineRule="auto"/>
        <w:jc w:val="left"/>
        <w:rPr>
          <w:rFonts w:eastAsia="Times New Roman"/>
          <w:b/>
          <w:bCs/>
          <w:caps/>
          <w:noProof/>
          <w:sz w:val="20"/>
          <w:szCs w:val="20"/>
        </w:rPr>
      </w:pPr>
      <w:r>
        <w:rPr>
          <w:b/>
          <w:bCs/>
          <w:noProof/>
        </w:rPr>
        <w:br w:type="page"/>
      </w:r>
    </w:p>
    <w:p w14:paraId="11C79B78" w14:textId="31A40544" w:rsidR="00FA0083" w:rsidRPr="00FA0083" w:rsidRDefault="00497D6C" w:rsidP="00FA0083">
      <w:pPr>
        <w:pStyle w:val="Heading1"/>
        <w:numPr>
          <w:ilvl w:val="0"/>
          <w:numId w:val="0"/>
        </w:numPr>
        <w:ind w:left="480"/>
        <w:rPr>
          <w:noProof/>
        </w:rPr>
      </w:pPr>
      <w:bookmarkStart w:id="3" w:name="_Toc219447334"/>
      <w:r>
        <w:rPr>
          <w:noProof/>
        </w:rPr>
        <w:t>List of tables and annexes</w:t>
      </w:r>
      <w:bookmarkEnd w:id="3"/>
    </w:p>
    <w:p w14:paraId="047615BC" w14:textId="14E1FD1A" w:rsidR="00204F03" w:rsidRPr="00FE7670" w:rsidRDefault="00204F03" w:rsidP="00497D6C">
      <w:pPr>
        <w:pStyle w:val="TOC1"/>
        <w:jc w:val="center"/>
        <w:rPr>
          <w:b/>
          <w:bCs/>
          <w:noProof/>
        </w:rPr>
      </w:pPr>
      <w:r w:rsidRPr="00FE7670">
        <w:rPr>
          <w:b/>
          <w:bCs/>
          <w:noProof/>
        </w:rPr>
        <w:t>List of tables</w:t>
      </w:r>
    </w:p>
    <w:p w14:paraId="0AFF84D9" w14:textId="374FF5CF" w:rsidR="00BB702E" w:rsidRPr="00FE7670" w:rsidRDefault="00204F03">
      <w:pPr>
        <w:pStyle w:val="TOC1"/>
        <w:rPr>
          <w:rFonts w:eastAsiaTheme="minorEastAsia"/>
          <w:caps w:val="0"/>
          <w:noProof/>
          <w:kern w:val="2"/>
          <w:lang w:val="en-IE" w:eastAsia="en-IE"/>
          <w14:ligatures w14:val="standardContextual"/>
        </w:rPr>
      </w:pPr>
      <w:r w:rsidRPr="00FE7670">
        <w:rPr>
          <w:noProof/>
        </w:rPr>
        <w:fldChar w:fldCharType="begin"/>
      </w:r>
      <w:r w:rsidRPr="00FE7670">
        <w:rPr>
          <w:noProof/>
        </w:rPr>
        <w:instrText xml:space="preserve"> TOC \h \z \t "Heading 7;1" </w:instrText>
      </w:r>
      <w:r w:rsidRPr="00FE7670">
        <w:rPr>
          <w:noProof/>
        </w:rPr>
        <w:fldChar w:fldCharType="separate"/>
      </w:r>
      <w:hyperlink w:anchor="_Toc218767763" w:history="1">
        <w:r w:rsidR="00BB702E" w:rsidRPr="00FE7670">
          <w:rPr>
            <w:rStyle w:val="Hyperlink"/>
            <w:noProof/>
          </w:rPr>
          <w:t>Table 1: Elements of the drivers linked to the scope and linked to implementation and management</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_Toc218767763 \h </w:instrText>
        </w:r>
        <w:r w:rsidR="00BB702E" w:rsidRPr="00FE7670">
          <w:rPr>
            <w:noProof/>
            <w:webHidden/>
          </w:rPr>
        </w:r>
        <w:r w:rsidR="00BB702E" w:rsidRPr="00FE7670">
          <w:rPr>
            <w:noProof/>
            <w:webHidden/>
          </w:rPr>
          <w:fldChar w:fldCharType="separate"/>
        </w:r>
        <w:r>
          <w:rPr>
            <w:noProof/>
            <w:webHidden/>
          </w:rPr>
          <w:t>25</w:t>
        </w:r>
        <w:r w:rsidR="00BB702E" w:rsidRPr="00FE7670">
          <w:rPr>
            <w:noProof/>
            <w:webHidden/>
          </w:rPr>
          <w:fldChar w:fldCharType="end"/>
        </w:r>
      </w:hyperlink>
    </w:p>
    <w:p w14:paraId="07983514" w14:textId="1195DA59" w:rsidR="00BB702E" w:rsidRPr="00FE7670" w:rsidRDefault="00047E0F">
      <w:pPr>
        <w:pStyle w:val="TOC1"/>
        <w:rPr>
          <w:rFonts w:eastAsiaTheme="minorEastAsia"/>
          <w:caps w:val="0"/>
          <w:noProof/>
          <w:kern w:val="2"/>
          <w:lang w:val="en-IE" w:eastAsia="en-IE"/>
          <w14:ligatures w14:val="standardContextual"/>
        </w:rPr>
      </w:pPr>
      <w:hyperlink w:anchor="_Toc218767764" w:history="1">
        <w:r w:rsidR="00BB702E" w:rsidRPr="00FE7670">
          <w:rPr>
            <w:rStyle w:val="Hyperlink"/>
            <w:noProof/>
          </w:rPr>
          <w:t>Table 2: Allocation of FTEs and costs for Options A.1, A.2 and A.3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_Toc218767764 \h </w:instrText>
        </w:r>
        <w:r w:rsidR="00BB702E" w:rsidRPr="00FE7670">
          <w:rPr>
            <w:noProof/>
            <w:webHidden/>
          </w:rPr>
        </w:r>
        <w:r w:rsidR="00BB702E" w:rsidRPr="00FE7670">
          <w:rPr>
            <w:noProof/>
            <w:webHidden/>
          </w:rPr>
          <w:fldChar w:fldCharType="separate"/>
        </w:r>
        <w:r w:rsidR="00BB702E">
          <w:rPr>
            <w:noProof/>
            <w:webHidden/>
          </w:rPr>
          <w:t>65</w:t>
        </w:r>
        <w:r w:rsidR="00BB702E" w:rsidRPr="00FE7670">
          <w:rPr>
            <w:noProof/>
            <w:webHidden/>
          </w:rPr>
          <w:fldChar w:fldCharType="end"/>
        </w:r>
      </w:hyperlink>
    </w:p>
    <w:p w14:paraId="7538F53D" w14:textId="3CE64699" w:rsidR="00BB702E" w:rsidRPr="00FE7670" w:rsidRDefault="00047E0F">
      <w:pPr>
        <w:pStyle w:val="TOC1"/>
        <w:rPr>
          <w:rFonts w:eastAsiaTheme="minorEastAsia"/>
          <w:caps w:val="0"/>
          <w:noProof/>
          <w:kern w:val="2"/>
          <w:lang w:val="en-IE" w:eastAsia="en-IE"/>
          <w14:ligatures w14:val="standardContextual"/>
        </w:rPr>
      </w:pPr>
      <w:hyperlink w:anchor="_Toc218767765" w:history="1">
        <w:r w:rsidR="00BB702E" w:rsidRPr="00FE7670">
          <w:rPr>
            <w:rStyle w:val="Hyperlink"/>
            <w:noProof/>
          </w:rPr>
          <w:t>Table 3: Costs of policy options A (ENISA mandate)</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_Toc218767765 \h </w:instrText>
        </w:r>
        <w:r w:rsidR="00BB702E" w:rsidRPr="00FE7670">
          <w:rPr>
            <w:noProof/>
            <w:webHidden/>
          </w:rPr>
        </w:r>
        <w:r w:rsidR="00BB702E" w:rsidRPr="00FE7670">
          <w:rPr>
            <w:noProof/>
            <w:webHidden/>
          </w:rPr>
          <w:fldChar w:fldCharType="separate"/>
        </w:r>
        <w:r w:rsidR="00BB702E">
          <w:rPr>
            <w:noProof/>
            <w:webHidden/>
          </w:rPr>
          <w:t>66</w:t>
        </w:r>
        <w:r w:rsidR="00BB702E" w:rsidRPr="00FE7670">
          <w:rPr>
            <w:noProof/>
            <w:webHidden/>
          </w:rPr>
          <w:fldChar w:fldCharType="end"/>
        </w:r>
      </w:hyperlink>
    </w:p>
    <w:p w14:paraId="25250F1C" w14:textId="692F333F" w:rsidR="00BB702E" w:rsidRPr="00FE7670" w:rsidRDefault="00047E0F">
      <w:pPr>
        <w:pStyle w:val="TOC1"/>
        <w:rPr>
          <w:rFonts w:eastAsiaTheme="minorEastAsia"/>
          <w:caps w:val="0"/>
          <w:noProof/>
          <w:kern w:val="2"/>
          <w:lang w:val="en-IE" w:eastAsia="en-IE"/>
          <w14:ligatures w14:val="standardContextual"/>
        </w:rPr>
      </w:pPr>
      <w:hyperlink w:anchor="_Toc218767766" w:history="1">
        <w:r w:rsidR="00BB702E" w:rsidRPr="00FE7670">
          <w:rPr>
            <w:rStyle w:val="Hyperlink"/>
            <w:noProof/>
          </w:rPr>
          <w:t>Table 4: Benefits of policy options A (ENISA mandate)</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_Toc218767766 \h </w:instrText>
        </w:r>
        <w:r w:rsidR="00BB702E" w:rsidRPr="00FE7670">
          <w:rPr>
            <w:noProof/>
            <w:webHidden/>
          </w:rPr>
        </w:r>
        <w:r w:rsidR="00BB702E" w:rsidRPr="00FE7670">
          <w:rPr>
            <w:noProof/>
            <w:webHidden/>
          </w:rPr>
          <w:fldChar w:fldCharType="separate"/>
        </w:r>
        <w:r w:rsidR="00BB702E">
          <w:rPr>
            <w:noProof/>
            <w:webHidden/>
          </w:rPr>
          <w:t>71</w:t>
        </w:r>
        <w:r w:rsidR="00BB702E" w:rsidRPr="00FE7670">
          <w:rPr>
            <w:noProof/>
            <w:webHidden/>
          </w:rPr>
          <w:fldChar w:fldCharType="end"/>
        </w:r>
      </w:hyperlink>
    </w:p>
    <w:p w14:paraId="19C17905" w14:textId="52CDE5A8" w:rsidR="00BB702E" w:rsidRPr="00FE7670" w:rsidRDefault="00047E0F">
      <w:pPr>
        <w:pStyle w:val="TOC1"/>
        <w:rPr>
          <w:rFonts w:eastAsiaTheme="minorEastAsia"/>
          <w:caps w:val="0"/>
          <w:noProof/>
          <w:kern w:val="2"/>
          <w:lang w:val="en-IE" w:eastAsia="en-IE"/>
          <w14:ligatures w14:val="standardContextual"/>
        </w:rPr>
      </w:pPr>
      <w:hyperlink w:anchor="_Toc218767767" w:history="1">
        <w:r w:rsidR="00BB702E" w:rsidRPr="00FE7670">
          <w:rPr>
            <w:rStyle w:val="Hyperlink"/>
            <w:noProof/>
          </w:rPr>
          <w:t>Table 5: Overview of ENISA resources under option B.1</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_Toc218767767 \h </w:instrText>
        </w:r>
        <w:r w:rsidR="00BB702E" w:rsidRPr="00FE7670">
          <w:rPr>
            <w:noProof/>
            <w:webHidden/>
          </w:rPr>
        </w:r>
        <w:r w:rsidR="00BB702E" w:rsidRPr="00FE7670">
          <w:rPr>
            <w:noProof/>
            <w:webHidden/>
          </w:rPr>
          <w:fldChar w:fldCharType="separate"/>
        </w:r>
        <w:r w:rsidR="00BB702E">
          <w:rPr>
            <w:noProof/>
            <w:webHidden/>
          </w:rPr>
          <w:t>73</w:t>
        </w:r>
        <w:r w:rsidR="00BB702E" w:rsidRPr="00FE7670">
          <w:rPr>
            <w:noProof/>
            <w:webHidden/>
          </w:rPr>
          <w:fldChar w:fldCharType="end"/>
        </w:r>
      </w:hyperlink>
    </w:p>
    <w:p w14:paraId="2E4C721C" w14:textId="3FF03BD8" w:rsidR="00BB702E" w:rsidRPr="00FE7670" w:rsidRDefault="00047E0F">
      <w:pPr>
        <w:pStyle w:val="TOC1"/>
        <w:rPr>
          <w:rFonts w:eastAsiaTheme="minorEastAsia"/>
          <w:caps w:val="0"/>
          <w:noProof/>
          <w:kern w:val="2"/>
          <w:lang w:val="en-IE" w:eastAsia="en-IE"/>
          <w14:ligatures w14:val="standardContextual"/>
        </w:rPr>
      </w:pPr>
      <w:hyperlink w:anchor="_Toc218767768" w:history="1">
        <w:r w:rsidR="00BB702E" w:rsidRPr="00FE7670">
          <w:rPr>
            <w:rStyle w:val="Hyperlink"/>
            <w:noProof/>
          </w:rPr>
          <w:t>Table 6: Overview of costs for public authorities under option B.1</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_Toc218767768 \h </w:instrText>
        </w:r>
        <w:r w:rsidR="00BB702E" w:rsidRPr="00FE7670">
          <w:rPr>
            <w:noProof/>
            <w:webHidden/>
          </w:rPr>
        </w:r>
        <w:r w:rsidR="00BB702E" w:rsidRPr="00FE7670">
          <w:rPr>
            <w:noProof/>
            <w:webHidden/>
          </w:rPr>
          <w:fldChar w:fldCharType="separate"/>
        </w:r>
        <w:r w:rsidR="00BB702E">
          <w:rPr>
            <w:noProof/>
            <w:webHidden/>
          </w:rPr>
          <w:t>74</w:t>
        </w:r>
        <w:r w:rsidR="00BB702E" w:rsidRPr="00FE7670">
          <w:rPr>
            <w:noProof/>
            <w:webHidden/>
          </w:rPr>
          <w:fldChar w:fldCharType="end"/>
        </w:r>
      </w:hyperlink>
    </w:p>
    <w:p w14:paraId="45C265FA" w14:textId="7E3490D3" w:rsidR="00BB702E" w:rsidRPr="00FE7670" w:rsidRDefault="00047E0F">
      <w:pPr>
        <w:pStyle w:val="TOC1"/>
        <w:rPr>
          <w:rFonts w:eastAsiaTheme="minorEastAsia"/>
          <w:caps w:val="0"/>
          <w:noProof/>
          <w:kern w:val="2"/>
          <w:lang w:val="en-IE" w:eastAsia="en-IE"/>
          <w14:ligatures w14:val="standardContextual"/>
        </w:rPr>
      </w:pPr>
      <w:hyperlink w:anchor="_Toc218767769" w:history="1">
        <w:r w:rsidR="00BB702E" w:rsidRPr="00FE7670">
          <w:rPr>
            <w:rStyle w:val="Hyperlink"/>
            <w:noProof/>
          </w:rPr>
          <w:t>Table 7: Overview of ENISA resources under option B.2 (same for B.3)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_Toc218767769 \h </w:instrText>
        </w:r>
        <w:r w:rsidR="00BB702E" w:rsidRPr="00FE7670">
          <w:rPr>
            <w:noProof/>
            <w:webHidden/>
          </w:rPr>
        </w:r>
        <w:r w:rsidR="00BB702E" w:rsidRPr="00FE7670">
          <w:rPr>
            <w:noProof/>
            <w:webHidden/>
          </w:rPr>
          <w:fldChar w:fldCharType="separate"/>
        </w:r>
        <w:r w:rsidR="00BB702E">
          <w:rPr>
            <w:noProof/>
            <w:webHidden/>
          </w:rPr>
          <w:t>75</w:t>
        </w:r>
        <w:r w:rsidR="00BB702E" w:rsidRPr="00FE7670">
          <w:rPr>
            <w:noProof/>
            <w:webHidden/>
          </w:rPr>
          <w:fldChar w:fldCharType="end"/>
        </w:r>
      </w:hyperlink>
    </w:p>
    <w:p w14:paraId="4DCEFE70" w14:textId="41A4FA2B" w:rsidR="00BB702E" w:rsidRPr="00FE7670" w:rsidRDefault="00047E0F">
      <w:pPr>
        <w:pStyle w:val="TOC1"/>
        <w:rPr>
          <w:rFonts w:eastAsiaTheme="minorEastAsia"/>
          <w:caps w:val="0"/>
          <w:noProof/>
          <w:kern w:val="2"/>
          <w:lang w:val="en-IE" w:eastAsia="en-IE"/>
          <w14:ligatures w14:val="standardContextual"/>
        </w:rPr>
      </w:pPr>
      <w:hyperlink w:anchor="_Toc218767770" w:history="1">
        <w:r w:rsidR="00BB702E" w:rsidRPr="00FE7670">
          <w:rPr>
            <w:rStyle w:val="Hyperlink"/>
            <w:noProof/>
          </w:rPr>
          <w:t>Table 8: overview of costs for public authorities under Option B.2</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_Toc218767770 \h </w:instrText>
        </w:r>
        <w:r w:rsidR="00BB702E" w:rsidRPr="00FE7670">
          <w:rPr>
            <w:noProof/>
            <w:webHidden/>
          </w:rPr>
        </w:r>
        <w:r w:rsidR="00BB702E" w:rsidRPr="00FE7670">
          <w:rPr>
            <w:noProof/>
            <w:webHidden/>
          </w:rPr>
          <w:fldChar w:fldCharType="separate"/>
        </w:r>
        <w:r w:rsidR="00BB702E">
          <w:rPr>
            <w:noProof/>
            <w:webHidden/>
          </w:rPr>
          <w:t>76</w:t>
        </w:r>
        <w:r w:rsidR="00BB702E" w:rsidRPr="00FE7670">
          <w:rPr>
            <w:noProof/>
            <w:webHidden/>
          </w:rPr>
          <w:fldChar w:fldCharType="end"/>
        </w:r>
      </w:hyperlink>
    </w:p>
    <w:p w14:paraId="1903E7A1" w14:textId="711E25D9" w:rsidR="00BB702E" w:rsidRPr="00FE7670" w:rsidRDefault="00047E0F">
      <w:pPr>
        <w:pStyle w:val="TOC1"/>
        <w:rPr>
          <w:rFonts w:eastAsiaTheme="minorEastAsia"/>
          <w:caps w:val="0"/>
          <w:noProof/>
          <w:kern w:val="2"/>
          <w:lang w:val="en-IE" w:eastAsia="en-IE"/>
          <w14:ligatures w14:val="standardContextual"/>
        </w:rPr>
      </w:pPr>
      <w:hyperlink w:anchor="_Toc218767771" w:history="1">
        <w:r w:rsidR="00BB702E" w:rsidRPr="00FE7670">
          <w:rPr>
            <w:rStyle w:val="Hyperlink"/>
            <w:noProof/>
          </w:rPr>
          <w:t>Table 9: overview of costs for public authorities under Option B.3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_Toc218767771 \h </w:instrText>
        </w:r>
        <w:r w:rsidR="00BB702E" w:rsidRPr="00FE7670">
          <w:rPr>
            <w:noProof/>
            <w:webHidden/>
          </w:rPr>
        </w:r>
        <w:r w:rsidR="00BB702E" w:rsidRPr="00FE7670">
          <w:rPr>
            <w:noProof/>
            <w:webHidden/>
          </w:rPr>
          <w:fldChar w:fldCharType="separate"/>
        </w:r>
        <w:r w:rsidR="00BB702E">
          <w:rPr>
            <w:noProof/>
            <w:webHidden/>
          </w:rPr>
          <w:t>76</w:t>
        </w:r>
        <w:r w:rsidR="00BB702E" w:rsidRPr="00FE7670">
          <w:rPr>
            <w:noProof/>
            <w:webHidden/>
          </w:rPr>
          <w:fldChar w:fldCharType="end"/>
        </w:r>
      </w:hyperlink>
    </w:p>
    <w:p w14:paraId="45D9D644" w14:textId="2C9EFB0E" w:rsidR="00BB702E" w:rsidRPr="00FE7670" w:rsidRDefault="00047E0F">
      <w:pPr>
        <w:pStyle w:val="TOC1"/>
        <w:rPr>
          <w:rFonts w:eastAsiaTheme="minorEastAsia"/>
          <w:caps w:val="0"/>
          <w:noProof/>
          <w:kern w:val="2"/>
          <w:lang w:val="en-IE" w:eastAsia="en-IE"/>
          <w14:ligatures w14:val="standardContextual"/>
        </w:rPr>
      </w:pPr>
      <w:hyperlink w:anchor="_Toc218767772" w:history="1">
        <w:r w:rsidR="00BB702E" w:rsidRPr="00FE7670">
          <w:rPr>
            <w:rStyle w:val="Hyperlink"/>
            <w:noProof/>
          </w:rPr>
          <w:t>Table 10: Costs of policy options B (certification)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_Toc218767772 \h </w:instrText>
        </w:r>
        <w:r w:rsidR="00BB702E" w:rsidRPr="00FE7670">
          <w:rPr>
            <w:noProof/>
            <w:webHidden/>
          </w:rPr>
        </w:r>
        <w:r w:rsidR="00BB702E" w:rsidRPr="00FE7670">
          <w:rPr>
            <w:noProof/>
            <w:webHidden/>
          </w:rPr>
          <w:fldChar w:fldCharType="separate"/>
        </w:r>
        <w:r w:rsidR="00BB702E">
          <w:rPr>
            <w:noProof/>
            <w:webHidden/>
          </w:rPr>
          <w:t>77</w:t>
        </w:r>
        <w:r w:rsidR="00BB702E" w:rsidRPr="00FE7670">
          <w:rPr>
            <w:noProof/>
            <w:webHidden/>
          </w:rPr>
          <w:fldChar w:fldCharType="end"/>
        </w:r>
      </w:hyperlink>
    </w:p>
    <w:p w14:paraId="50FDD32E" w14:textId="6A12206D" w:rsidR="00BB702E" w:rsidRPr="00FE7670" w:rsidRDefault="00047E0F">
      <w:pPr>
        <w:pStyle w:val="TOC1"/>
        <w:rPr>
          <w:rFonts w:eastAsiaTheme="minorEastAsia"/>
          <w:caps w:val="0"/>
          <w:noProof/>
          <w:kern w:val="2"/>
          <w:lang w:val="en-IE" w:eastAsia="en-IE"/>
          <w14:ligatures w14:val="standardContextual"/>
        </w:rPr>
      </w:pPr>
      <w:hyperlink w:anchor="_Toc218767773" w:history="1">
        <w:r w:rsidR="00BB702E" w:rsidRPr="00FE7670">
          <w:rPr>
            <w:rStyle w:val="Hyperlink"/>
            <w:noProof/>
          </w:rPr>
          <w:t>Table 11: Cost savings of policy options B (certification)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_Toc218767773 \h </w:instrText>
        </w:r>
        <w:r w:rsidR="00BB702E" w:rsidRPr="00FE7670">
          <w:rPr>
            <w:noProof/>
            <w:webHidden/>
          </w:rPr>
        </w:r>
        <w:r w:rsidR="00BB702E" w:rsidRPr="00FE7670">
          <w:rPr>
            <w:noProof/>
            <w:webHidden/>
          </w:rPr>
          <w:fldChar w:fldCharType="separate"/>
        </w:r>
        <w:r w:rsidR="00BB702E">
          <w:rPr>
            <w:noProof/>
            <w:webHidden/>
          </w:rPr>
          <w:t>79</w:t>
        </w:r>
        <w:r w:rsidR="00BB702E" w:rsidRPr="00FE7670">
          <w:rPr>
            <w:noProof/>
            <w:webHidden/>
          </w:rPr>
          <w:fldChar w:fldCharType="end"/>
        </w:r>
      </w:hyperlink>
    </w:p>
    <w:p w14:paraId="349B7BCE" w14:textId="5472D55B" w:rsidR="00BB702E" w:rsidRPr="00FE7670" w:rsidRDefault="00047E0F">
      <w:pPr>
        <w:pStyle w:val="TOC1"/>
        <w:rPr>
          <w:rFonts w:eastAsiaTheme="minorEastAsia"/>
          <w:caps w:val="0"/>
          <w:noProof/>
          <w:kern w:val="2"/>
          <w:lang w:val="en-IE" w:eastAsia="en-IE"/>
          <w14:ligatures w14:val="standardContextual"/>
        </w:rPr>
      </w:pPr>
      <w:hyperlink w:anchor="_Toc218767774" w:history="1">
        <w:r w:rsidR="00BB702E" w:rsidRPr="00FE7670">
          <w:rPr>
            <w:rStyle w:val="Hyperlink"/>
            <w:noProof/>
          </w:rPr>
          <w:t>Table 12: Compliance costs of policy options C (simplification)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_Toc218767774 \h </w:instrText>
        </w:r>
        <w:r w:rsidR="00BB702E" w:rsidRPr="00FE7670">
          <w:rPr>
            <w:noProof/>
            <w:webHidden/>
          </w:rPr>
        </w:r>
        <w:r w:rsidR="00BB702E" w:rsidRPr="00FE7670">
          <w:rPr>
            <w:noProof/>
            <w:webHidden/>
          </w:rPr>
          <w:fldChar w:fldCharType="separate"/>
        </w:r>
        <w:r w:rsidR="00BB702E">
          <w:rPr>
            <w:noProof/>
            <w:webHidden/>
          </w:rPr>
          <w:t>81</w:t>
        </w:r>
        <w:r w:rsidR="00BB702E" w:rsidRPr="00FE7670">
          <w:rPr>
            <w:noProof/>
            <w:webHidden/>
          </w:rPr>
          <w:fldChar w:fldCharType="end"/>
        </w:r>
      </w:hyperlink>
    </w:p>
    <w:p w14:paraId="4BE95D7C" w14:textId="546FE324" w:rsidR="00BB702E" w:rsidRDefault="00047E0F">
      <w:pPr>
        <w:pStyle w:val="TOC1"/>
        <w:rPr>
          <w:noProof/>
        </w:rPr>
      </w:pPr>
      <w:hyperlink w:anchor="_Toc218767775" w:history="1">
        <w:r w:rsidR="00BB702E" w:rsidRPr="00FE7670">
          <w:rPr>
            <w:rStyle w:val="Hyperlink"/>
            <w:noProof/>
          </w:rPr>
          <w:t>Table 13: Benefits of policy options C (simplification)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_Toc218767775 \h </w:instrText>
        </w:r>
        <w:r w:rsidR="00BB702E" w:rsidRPr="00FE7670">
          <w:rPr>
            <w:noProof/>
            <w:webHidden/>
          </w:rPr>
        </w:r>
        <w:r w:rsidR="00BB702E" w:rsidRPr="00FE7670">
          <w:rPr>
            <w:noProof/>
            <w:webHidden/>
          </w:rPr>
          <w:fldChar w:fldCharType="separate"/>
        </w:r>
        <w:r w:rsidR="00BB702E">
          <w:rPr>
            <w:noProof/>
            <w:webHidden/>
          </w:rPr>
          <w:t>83</w:t>
        </w:r>
        <w:r w:rsidR="00BB702E" w:rsidRPr="00FE7670">
          <w:rPr>
            <w:noProof/>
            <w:webHidden/>
          </w:rPr>
          <w:fldChar w:fldCharType="end"/>
        </w:r>
      </w:hyperlink>
    </w:p>
    <w:p w14:paraId="754708A5" w14:textId="6369C92C" w:rsidR="00377754" w:rsidRDefault="00047E0F" w:rsidP="00377754">
      <w:pPr>
        <w:pStyle w:val="TOC1"/>
        <w:rPr>
          <w:noProof/>
        </w:rPr>
      </w:pPr>
      <w:hyperlink w:anchor="_Toc218767775" w:history="1">
        <w:r w:rsidR="00377754" w:rsidRPr="00FE7670">
          <w:rPr>
            <w:rStyle w:val="Hyperlink"/>
            <w:noProof/>
          </w:rPr>
          <w:t>Table 1</w:t>
        </w:r>
        <w:r w:rsidR="00377754">
          <w:rPr>
            <w:rStyle w:val="Hyperlink"/>
            <w:noProof/>
          </w:rPr>
          <w:t>4</w:t>
        </w:r>
        <w:r w:rsidR="00377754" w:rsidRPr="00FE7670">
          <w:rPr>
            <w:rStyle w:val="Hyperlink"/>
            <w:noProof/>
          </w:rPr>
          <w:t xml:space="preserve">: </w:t>
        </w:r>
        <w:r w:rsidR="00377754" w:rsidRPr="00CE2185">
          <w:rPr>
            <w:noProof/>
          </w:rPr>
          <w:t>Costs of policy options D (supply chain)</w:t>
        </w:r>
        <w:r w:rsidR="00377754" w:rsidRPr="00FE7670">
          <w:rPr>
            <w:noProof/>
            <w:webHidden/>
          </w:rPr>
          <w:tab/>
        </w:r>
        <w:r w:rsidR="00377754" w:rsidRPr="00FE7670">
          <w:rPr>
            <w:noProof/>
            <w:webHidden/>
          </w:rPr>
          <w:fldChar w:fldCharType="begin"/>
        </w:r>
        <w:r w:rsidR="00377754" w:rsidRPr="00FE7670">
          <w:rPr>
            <w:noProof/>
            <w:webHidden/>
          </w:rPr>
          <w:instrText xml:space="preserve"> PAGEREF _Toc218767775 \h </w:instrText>
        </w:r>
        <w:r w:rsidR="00377754" w:rsidRPr="00FE7670">
          <w:rPr>
            <w:noProof/>
            <w:webHidden/>
          </w:rPr>
        </w:r>
        <w:r w:rsidR="00377754" w:rsidRPr="00FE7670">
          <w:rPr>
            <w:noProof/>
            <w:webHidden/>
          </w:rPr>
          <w:fldChar w:fldCharType="separate"/>
        </w:r>
        <w:r w:rsidR="00377754">
          <w:rPr>
            <w:noProof/>
            <w:webHidden/>
          </w:rPr>
          <w:t>83</w:t>
        </w:r>
        <w:r w:rsidR="00377754" w:rsidRPr="00FE7670">
          <w:rPr>
            <w:noProof/>
            <w:webHidden/>
          </w:rPr>
          <w:fldChar w:fldCharType="end"/>
        </w:r>
      </w:hyperlink>
    </w:p>
    <w:p w14:paraId="6D683E89" w14:textId="6C5788CE" w:rsidR="00377754" w:rsidRPr="00377754" w:rsidRDefault="00047E0F" w:rsidP="00377754">
      <w:pPr>
        <w:pStyle w:val="TOC1"/>
        <w:rPr>
          <w:noProof/>
        </w:rPr>
      </w:pPr>
      <w:hyperlink w:anchor="_Toc218767775" w:history="1">
        <w:r w:rsidR="00377754" w:rsidRPr="00FE7670">
          <w:rPr>
            <w:rStyle w:val="Hyperlink"/>
            <w:noProof/>
          </w:rPr>
          <w:t>Table 1</w:t>
        </w:r>
        <w:r w:rsidR="00377754">
          <w:rPr>
            <w:rStyle w:val="Hyperlink"/>
            <w:noProof/>
          </w:rPr>
          <w:t>5</w:t>
        </w:r>
        <w:r w:rsidR="00377754" w:rsidRPr="00FE7670">
          <w:rPr>
            <w:rStyle w:val="Hyperlink"/>
            <w:noProof/>
          </w:rPr>
          <w:t xml:space="preserve">: </w:t>
        </w:r>
        <w:r w:rsidR="00377754" w:rsidRPr="00377754">
          <w:rPr>
            <w:noProof/>
          </w:rPr>
          <w:t>Cost savings of policy options D (supply chain)</w:t>
        </w:r>
        <w:r w:rsidR="00377754">
          <w:rPr>
            <w:noProof/>
          </w:rPr>
          <w:t xml:space="preserve"> </w:t>
        </w:r>
        <w:r w:rsidR="00377754" w:rsidRPr="00FE7670">
          <w:rPr>
            <w:noProof/>
            <w:webHidden/>
          </w:rPr>
          <w:tab/>
        </w:r>
        <w:r w:rsidR="00377754" w:rsidRPr="00FE7670">
          <w:rPr>
            <w:noProof/>
            <w:webHidden/>
          </w:rPr>
          <w:fldChar w:fldCharType="begin"/>
        </w:r>
        <w:r w:rsidR="00377754" w:rsidRPr="00FE7670">
          <w:rPr>
            <w:noProof/>
            <w:webHidden/>
          </w:rPr>
          <w:instrText xml:space="preserve"> PAGEREF _Toc218767775 \h </w:instrText>
        </w:r>
        <w:r w:rsidR="00377754" w:rsidRPr="00FE7670">
          <w:rPr>
            <w:noProof/>
            <w:webHidden/>
          </w:rPr>
        </w:r>
        <w:r w:rsidR="00377754" w:rsidRPr="00FE7670">
          <w:rPr>
            <w:noProof/>
            <w:webHidden/>
          </w:rPr>
          <w:fldChar w:fldCharType="separate"/>
        </w:r>
        <w:r w:rsidR="00377754">
          <w:rPr>
            <w:noProof/>
            <w:webHidden/>
          </w:rPr>
          <w:t>83</w:t>
        </w:r>
        <w:r w:rsidR="00377754" w:rsidRPr="00FE7670">
          <w:rPr>
            <w:noProof/>
            <w:webHidden/>
          </w:rPr>
          <w:fldChar w:fldCharType="end"/>
        </w:r>
      </w:hyperlink>
    </w:p>
    <w:p w14:paraId="79C7CE66" w14:textId="75282F48" w:rsidR="00BB702E" w:rsidRPr="00FE7670" w:rsidRDefault="00047E0F">
      <w:pPr>
        <w:pStyle w:val="TOC1"/>
        <w:rPr>
          <w:rFonts w:eastAsiaTheme="minorEastAsia"/>
          <w:caps w:val="0"/>
          <w:noProof/>
          <w:kern w:val="2"/>
          <w:lang w:val="en-IE" w:eastAsia="en-IE"/>
          <w14:ligatures w14:val="standardContextual"/>
        </w:rPr>
      </w:pPr>
      <w:hyperlink w:anchor="_Toc218767778" w:history="1">
        <w:r w:rsidR="00BB702E" w:rsidRPr="00FE7670">
          <w:rPr>
            <w:rStyle w:val="Hyperlink"/>
            <w:noProof/>
          </w:rPr>
          <w:t>Table 16: Combination of options: effectiveness of options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_Toc218767778 \h </w:instrText>
        </w:r>
        <w:r w:rsidR="00BB702E" w:rsidRPr="00FE7670">
          <w:rPr>
            <w:noProof/>
            <w:webHidden/>
          </w:rPr>
        </w:r>
        <w:r w:rsidR="00BB702E" w:rsidRPr="00FE7670">
          <w:rPr>
            <w:noProof/>
            <w:webHidden/>
          </w:rPr>
          <w:fldChar w:fldCharType="separate"/>
        </w:r>
        <w:r w:rsidR="00BB702E">
          <w:rPr>
            <w:noProof/>
            <w:webHidden/>
          </w:rPr>
          <w:t>99</w:t>
        </w:r>
        <w:r w:rsidR="00BB702E" w:rsidRPr="00FE7670">
          <w:rPr>
            <w:noProof/>
            <w:webHidden/>
          </w:rPr>
          <w:fldChar w:fldCharType="end"/>
        </w:r>
      </w:hyperlink>
    </w:p>
    <w:p w14:paraId="014623C2" w14:textId="21AAE574" w:rsidR="00BB702E" w:rsidRPr="00FE7670" w:rsidRDefault="00047E0F">
      <w:pPr>
        <w:pStyle w:val="TOC1"/>
        <w:rPr>
          <w:rFonts w:eastAsiaTheme="minorEastAsia"/>
          <w:caps w:val="0"/>
          <w:noProof/>
          <w:kern w:val="2"/>
          <w:lang w:val="en-IE" w:eastAsia="en-IE"/>
          <w14:ligatures w14:val="standardContextual"/>
        </w:rPr>
      </w:pPr>
      <w:hyperlink w:anchor="_Toc218767779" w:history="1">
        <w:r w:rsidR="00BB702E" w:rsidRPr="00FE7670">
          <w:rPr>
            <w:rStyle w:val="Hyperlink"/>
            <w:noProof/>
            <w:lang w:val="en-IE"/>
          </w:rPr>
          <w:t>Table 17: Overview net values and comparative analysis by stakeholders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_Toc218767779 \h </w:instrText>
        </w:r>
        <w:r w:rsidR="00BB702E" w:rsidRPr="00FE7670">
          <w:rPr>
            <w:noProof/>
            <w:webHidden/>
          </w:rPr>
        </w:r>
        <w:r w:rsidR="00BB702E" w:rsidRPr="00FE7670">
          <w:rPr>
            <w:noProof/>
            <w:webHidden/>
          </w:rPr>
          <w:fldChar w:fldCharType="separate"/>
        </w:r>
        <w:r w:rsidR="00BB702E">
          <w:rPr>
            <w:noProof/>
            <w:webHidden/>
          </w:rPr>
          <w:t>105</w:t>
        </w:r>
        <w:r w:rsidR="00BB702E" w:rsidRPr="00FE7670">
          <w:rPr>
            <w:noProof/>
            <w:webHidden/>
          </w:rPr>
          <w:fldChar w:fldCharType="end"/>
        </w:r>
      </w:hyperlink>
    </w:p>
    <w:p w14:paraId="7AD670F6" w14:textId="34315634" w:rsidR="00BB702E" w:rsidRPr="00FE7670" w:rsidRDefault="00047E0F">
      <w:pPr>
        <w:pStyle w:val="TOC1"/>
        <w:rPr>
          <w:rFonts w:eastAsiaTheme="minorEastAsia"/>
          <w:caps w:val="0"/>
          <w:noProof/>
          <w:kern w:val="2"/>
          <w:lang w:val="en-IE" w:eastAsia="en-IE"/>
          <w14:ligatures w14:val="standardContextual"/>
        </w:rPr>
      </w:pPr>
      <w:hyperlink w:anchor="_Toc218767780" w:history="1">
        <w:r w:rsidR="00BB702E" w:rsidRPr="00FE7670">
          <w:rPr>
            <w:rStyle w:val="Hyperlink"/>
            <w:noProof/>
          </w:rPr>
          <w:t>Table 18: Multi-criteria assessment</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_Toc218767780 \h </w:instrText>
        </w:r>
        <w:r w:rsidR="00BB702E" w:rsidRPr="00FE7670">
          <w:rPr>
            <w:noProof/>
            <w:webHidden/>
          </w:rPr>
        </w:r>
        <w:r w:rsidR="00BB702E" w:rsidRPr="00FE7670">
          <w:rPr>
            <w:noProof/>
            <w:webHidden/>
          </w:rPr>
          <w:fldChar w:fldCharType="separate"/>
        </w:r>
        <w:r w:rsidR="00BB702E">
          <w:rPr>
            <w:noProof/>
            <w:webHidden/>
          </w:rPr>
          <w:t>109</w:t>
        </w:r>
        <w:r w:rsidR="00BB702E" w:rsidRPr="00FE7670">
          <w:rPr>
            <w:noProof/>
            <w:webHidden/>
          </w:rPr>
          <w:fldChar w:fldCharType="end"/>
        </w:r>
      </w:hyperlink>
    </w:p>
    <w:p w14:paraId="443F3653" w14:textId="2D70AC00" w:rsidR="00EE3DF9" w:rsidRPr="00FE7670" w:rsidRDefault="00204F03" w:rsidP="00FE7670">
      <w:pPr>
        <w:rPr>
          <w:noProof/>
          <w:sz w:val="20"/>
          <w:szCs w:val="20"/>
        </w:rPr>
      </w:pPr>
      <w:r w:rsidRPr="00FE7670">
        <w:rPr>
          <w:noProof/>
          <w:sz w:val="20"/>
          <w:szCs w:val="20"/>
        </w:rPr>
        <w:fldChar w:fldCharType="end"/>
      </w:r>
      <w:bookmarkStart w:id="4" w:name="_Hlk210744125"/>
    </w:p>
    <w:p w14:paraId="313CFF8A" w14:textId="58A16F7F" w:rsidR="00EE3DF9" w:rsidRPr="00FE7670" w:rsidRDefault="00EE3DF9" w:rsidP="00EE3DF9">
      <w:pPr>
        <w:pStyle w:val="TOC1"/>
        <w:jc w:val="center"/>
        <w:rPr>
          <w:b/>
          <w:bCs/>
          <w:noProof/>
        </w:rPr>
      </w:pPr>
      <w:r w:rsidRPr="00FE7670">
        <w:rPr>
          <w:b/>
          <w:bCs/>
          <w:noProof/>
        </w:rPr>
        <w:t>LIST of Annexes</w:t>
      </w:r>
    </w:p>
    <w:bookmarkEnd w:id="4"/>
    <w:p w14:paraId="1EAE5B9E" w14:textId="4F50B9D1" w:rsidR="00BB702E" w:rsidRPr="00FE7670" w:rsidRDefault="00EE3DF9">
      <w:pPr>
        <w:pStyle w:val="TOC1"/>
        <w:rPr>
          <w:rFonts w:eastAsiaTheme="minorEastAsia"/>
          <w:caps w:val="0"/>
          <w:noProof/>
          <w:kern w:val="2"/>
          <w:lang w:val="en-IE" w:eastAsia="en-IE"/>
          <w14:ligatures w14:val="standardContextual"/>
        </w:rPr>
      </w:pPr>
      <w:r w:rsidRPr="00FE7670">
        <w:rPr>
          <w:noProof/>
        </w:rPr>
        <w:fldChar w:fldCharType="begin"/>
      </w:r>
      <w:r w:rsidRPr="00FE7670">
        <w:rPr>
          <w:noProof/>
        </w:rPr>
        <w:instrText xml:space="preserve"> TOC \h \z \t "Annex Title;1" </w:instrText>
      </w:r>
      <w:r w:rsidRPr="00FE7670">
        <w:rPr>
          <w:noProof/>
        </w:rPr>
        <w:fldChar w:fldCharType="separate"/>
      </w:r>
      <w:hyperlink w:anchor="_Toc218767781" w:history="1">
        <w:r w:rsidR="00BB702E" w:rsidRPr="00FE7670">
          <w:rPr>
            <w:rStyle w:val="Hyperlink"/>
            <w:noProof/>
          </w:rPr>
          <w:t>Annex 1: Procedural information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_Toc218767781 \h </w:instrText>
        </w:r>
        <w:r w:rsidR="00BB702E" w:rsidRPr="00FE7670">
          <w:rPr>
            <w:noProof/>
            <w:webHidden/>
          </w:rPr>
        </w:r>
        <w:r w:rsidR="00BB702E" w:rsidRPr="00FE7670">
          <w:rPr>
            <w:noProof/>
            <w:webHidden/>
          </w:rPr>
          <w:fldChar w:fldCharType="separate"/>
        </w:r>
        <w:r w:rsidR="00385971">
          <w:rPr>
            <w:noProof/>
            <w:webHidden/>
          </w:rPr>
          <w:t>114</w:t>
        </w:r>
        <w:r w:rsidR="00BB702E" w:rsidRPr="00FE7670">
          <w:rPr>
            <w:noProof/>
            <w:webHidden/>
          </w:rPr>
          <w:fldChar w:fldCharType="end"/>
        </w:r>
      </w:hyperlink>
    </w:p>
    <w:p w14:paraId="21FD7B91" w14:textId="70823A5F" w:rsidR="00BB702E" w:rsidRPr="00FE7670" w:rsidRDefault="00047E0F">
      <w:pPr>
        <w:pStyle w:val="TOC1"/>
        <w:rPr>
          <w:rFonts w:eastAsiaTheme="minorEastAsia"/>
          <w:caps w:val="0"/>
          <w:noProof/>
          <w:kern w:val="2"/>
          <w:lang w:val="en-IE" w:eastAsia="en-IE"/>
          <w14:ligatures w14:val="standardContextual"/>
        </w:rPr>
      </w:pPr>
      <w:hyperlink w:anchor="_Toc218767782" w:history="1">
        <w:r w:rsidR="00BB702E" w:rsidRPr="00FE7670">
          <w:rPr>
            <w:rStyle w:val="Hyperlink"/>
            <w:noProof/>
          </w:rPr>
          <w:t>Annex 2: Stakeholder consultation (Synopsis report)</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_Toc218767782 \h </w:instrText>
        </w:r>
        <w:r w:rsidR="00BB702E" w:rsidRPr="00FE7670">
          <w:rPr>
            <w:noProof/>
            <w:webHidden/>
          </w:rPr>
        </w:r>
        <w:r w:rsidR="00BB702E" w:rsidRPr="00FE7670">
          <w:rPr>
            <w:noProof/>
            <w:webHidden/>
          </w:rPr>
          <w:fldChar w:fldCharType="separate"/>
        </w:r>
        <w:r w:rsidR="00385971">
          <w:rPr>
            <w:noProof/>
            <w:webHidden/>
          </w:rPr>
          <w:t>124</w:t>
        </w:r>
        <w:r w:rsidR="00BB702E" w:rsidRPr="00FE7670">
          <w:rPr>
            <w:noProof/>
            <w:webHidden/>
          </w:rPr>
          <w:fldChar w:fldCharType="end"/>
        </w:r>
      </w:hyperlink>
    </w:p>
    <w:p w14:paraId="147A21E0" w14:textId="4F0633BD" w:rsidR="00BB702E" w:rsidRPr="00FE7670" w:rsidRDefault="00047E0F">
      <w:pPr>
        <w:pStyle w:val="TOC1"/>
        <w:rPr>
          <w:rFonts w:eastAsiaTheme="minorEastAsia"/>
          <w:caps w:val="0"/>
          <w:noProof/>
          <w:kern w:val="2"/>
          <w:lang w:val="en-IE" w:eastAsia="en-IE"/>
          <w14:ligatures w14:val="standardContextual"/>
        </w:rPr>
      </w:pPr>
      <w:hyperlink w:anchor="_Toc218767783" w:history="1">
        <w:r w:rsidR="00BB702E" w:rsidRPr="00FE7670">
          <w:rPr>
            <w:rStyle w:val="Hyperlink"/>
            <w:noProof/>
          </w:rPr>
          <w:t>Annex 3: Who is affected and how?</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_Toc218767783 \h </w:instrText>
        </w:r>
        <w:r w:rsidR="00BB702E" w:rsidRPr="00FE7670">
          <w:rPr>
            <w:noProof/>
            <w:webHidden/>
          </w:rPr>
        </w:r>
        <w:r w:rsidR="00BB702E" w:rsidRPr="00FE7670">
          <w:rPr>
            <w:noProof/>
            <w:webHidden/>
          </w:rPr>
          <w:fldChar w:fldCharType="separate"/>
        </w:r>
        <w:r w:rsidR="00BB702E">
          <w:rPr>
            <w:noProof/>
            <w:webHidden/>
          </w:rPr>
          <w:t>148</w:t>
        </w:r>
        <w:r w:rsidR="00BB702E" w:rsidRPr="00FE7670">
          <w:rPr>
            <w:noProof/>
            <w:webHidden/>
          </w:rPr>
          <w:fldChar w:fldCharType="end"/>
        </w:r>
      </w:hyperlink>
    </w:p>
    <w:p w14:paraId="2C724AB2" w14:textId="3BFBC2C9" w:rsidR="00BB702E" w:rsidRPr="00FE7670" w:rsidRDefault="00047E0F">
      <w:pPr>
        <w:pStyle w:val="TOC1"/>
        <w:rPr>
          <w:rFonts w:eastAsiaTheme="minorEastAsia"/>
          <w:caps w:val="0"/>
          <w:noProof/>
          <w:kern w:val="2"/>
          <w:lang w:val="en-IE" w:eastAsia="en-IE"/>
          <w14:ligatures w14:val="standardContextual"/>
        </w:rPr>
      </w:pPr>
      <w:hyperlink w:anchor="_Toc218767784" w:history="1">
        <w:r w:rsidR="00BB702E" w:rsidRPr="00FE7670">
          <w:rPr>
            <w:rStyle w:val="Hyperlink"/>
            <w:noProof/>
          </w:rPr>
          <w:t>Annex 4: Analytical methods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_Toc218767784 \h </w:instrText>
        </w:r>
        <w:r w:rsidR="00BB702E" w:rsidRPr="00FE7670">
          <w:rPr>
            <w:noProof/>
            <w:webHidden/>
          </w:rPr>
        </w:r>
        <w:r w:rsidR="00BB702E" w:rsidRPr="00FE7670">
          <w:rPr>
            <w:noProof/>
            <w:webHidden/>
          </w:rPr>
          <w:fldChar w:fldCharType="separate"/>
        </w:r>
        <w:r w:rsidR="00BB702E">
          <w:rPr>
            <w:noProof/>
            <w:webHidden/>
          </w:rPr>
          <w:t>161</w:t>
        </w:r>
        <w:r w:rsidR="00BB702E" w:rsidRPr="00FE7670">
          <w:rPr>
            <w:noProof/>
            <w:webHidden/>
          </w:rPr>
          <w:fldChar w:fldCharType="end"/>
        </w:r>
      </w:hyperlink>
    </w:p>
    <w:p w14:paraId="37A84A9C" w14:textId="446C6CCA" w:rsidR="00BB702E" w:rsidRPr="00FE7670" w:rsidRDefault="00047E0F">
      <w:pPr>
        <w:pStyle w:val="TOC1"/>
        <w:rPr>
          <w:rFonts w:eastAsiaTheme="minorEastAsia"/>
          <w:caps w:val="0"/>
          <w:noProof/>
          <w:kern w:val="2"/>
          <w:lang w:val="en-IE" w:eastAsia="en-IE"/>
          <w14:ligatures w14:val="standardContextual"/>
        </w:rPr>
      </w:pPr>
      <w:hyperlink w:anchor="_Toc218767785" w:history="1">
        <w:r w:rsidR="00BB702E" w:rsidRPr="00FE7670">
          <w:rPr>
            <w:rStyle w:val="Hyperlink"/>
            <w:noProof/>
          </w:rPr>
          <w:t>Annex 5: Competitiveness check</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_Toc218767785 \h </w:instrText>
        </w:r>
        <w:r w:rsidR="00BB702E" w:rsidRPr="00FE7670">
          <w:rPr>
            <w:noProof/>
            <w:webHidden/>
          </w:rPr>
        </w:r>
        <w:r w:rsidR="00BB702E" w:rsidRPr="00FE7670">
          <w:rPr>
            <w:noProof/>
            <w:webHidden/>
          </w:rPr>
          <w:fldChar w:fldCharType="separate"/>
        </w:r>
        <w:r w:rsidR="00BB702E">
          <w:rPr>
            <w:noProof/>
            <w:webHidden/>
          </w:rPr>
          <w:t>194</w:t>
        </w:r>
        <w:r w:rsidR="00BB702E" w:rsidRPr="00FE7670">
          <w:rPr>
            <w:noProof/>
            <w:webHidden/>
          </w:rPr>
          <w:fldChar w:fldCharType="end"/>
        </w:r>
      </w:hyperlink>
    </w:p>
    <w:p w14:paraId="4E430223" w14:textId="0E965E13" w:rsidR="00BB702E" w:rsidRPr="00FE7670" w:rsidRDefault="00047E0F">
      <w:pPr>
        <w:pStyle w:val="TOC1"/>
        <w:rPr>
          <w:rFonts w:eastAsiaTheme="minorEastAsia"/>
          <w:caps w:val="0"/>
          <w:noProof/>
          <w:kern w:val="2"/>
          <w:lang w:val="en-IE" w:eastAsia="en-IE"/>
          <w14:ligatures w14:val="standardContextual"/>
        </w:rPr>
      </w:pPr>
      <w:hyperlink w:anchor="_Toc218767786" w:history="1">
        <w:r w:rsidR="00BB702E" w:rsidRPr="00FE7670">
          <w:rPr>
            <w:rStyle w:val="Hyperlink"/>
            <w:noProof/>
          </w:rPr>
          <w:t>Annex 6: SME check</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_Toc218767786 \h </w:instrText>
        </w:r>
        <w:r w:rsidR="00BB702E" w:rsidRPr="00FE7670">
          <w:rPr>
            <w:noProof/>
            <w:webHidden/>
          </w:rPr>
        </w:r>
        <w:r w:rsidR="00BB702E" w:rsidRPr="00FE7670">
          <w:rPr>
            <w:noProof/>
            <w:webHidden/>
          </w:rPr>
          <w:fldChar w:fldCharType="separate"/>
        </w:r>
        <w:r w:rsidR="00BB702E">
          <w:rPr>
            <w:noProof/>
            <w:webHidden/>
          </w:rPr>
          <w:t>198</w:t>
        </w:r>
        <w:r w:rsidR="00BB702E" w:rsidRPr="00FE7670">
          <w:rPr>
            <w:noProof/>
            <w:webHidden/>
          </w:rPr>
          <w:fldChar w:fldCharType="end"/>
        </w:r>
      </w:hyperlink>
    </w:p>
    <w:p w14:paraId="7BB5CCC8" w14:textId="39A3A677" w:rsidR="00BB702E" w:rsidRPr="00FE7670" w:rsidRDefault="00047E0F">
      <w:pPr>
        <w:pStyle w:val="TOC1"/>
        <w:rPr>
          <w:rFonts w:eastAsiaTheme="minorEastAsia"/>
          <w:caps w:val="0"/>
          <w:noProof/>
          <w:kern w:val="2"/>
          <w:lang w:val="en-IE" w:eastAsia="en-IE"/>
          <w14:ligatures w14:val="standardContextual"/>
        </w:rPr>
      </w:pPr>
      <w:hyperlink w:anchor="_Toc218767787" w:history="1">
        <w:r w:rsidR="00BB702E" w:rsidRPr="00FE7670">
          <w:rPr>
            <w:rStyle w:val="Hyperlink"/>
            <w:noProof/>
          </w:rPr>
          <w:t>Annex 7: Magnitude and costs of cyber incidents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_Toc218767787 \h </w:instrText>
        </w:r>
        <w:r w:rsidR="00BB702E" w:rsidRPr="00FE7670">
          <w:rPr>
            <w:noProof/>
            <w:webHidden/>
          </w:rPr>
        </w:r>
        <w:r w:rsidR="00BB702E" w:rsidRPr="00FE7670">
          <w:rPr>
            <w:noProof/>
            <w:webHidden/>
          </w:rPr>
          <w:fldChar w:fldCharType="separate"/>
        </w:r>
        <w:r w:rsidR="00BB702E">
          <w:rPr>
            <w:noProof/>
            <w:webHidden/>
          </w:rPr>
          <w:t>202</w:t>
        </w:r>
        <w:r w:rsidR="00BB702E" w:rsidRPr="00FE7670">
          <w:rPr>
            <w:noProof/>
            <w:webHidden/>
          </w:rPr>
          <w:fldChar w:fldCharType="end"/>
        </w:r>
      </w:hyperlink>
    </w:p>
    <w:p w14:paraId="087E0D38" w14:textId="5635F979" w:rsidR="00BB702E" w:rsidRPr="00FE7670" w:rsidRDefault="00047E0F">
      <w:pPr>
        <w:pStyle w:val="TOC1"/>
        <w:rPr>
          <w:rFonts w:eastAsiaTheme="minorEastAsia"/>
          <w:caps w:val="0"/>
          <w:noProof/>
          <w:kern w:val="2"/>
          <w:lang w:val="en-IE" w:eastAsia="en-IE"/>
          <w14:ligatures w14:val="standardContextual"/>
        </w:rPr>
      </w:pPr>
      <w:hyperlink w:anchor="_Toc218767788" w:history="1">
        <w:r w:rsidR="00BB702E" w:rsidRPr="00FE7670">
          <w:rPr>
            <w:rStyle w:val="Hyperlink"/>
            <w:noProof/>
          </w:rPr>
          <w:t>Annex 8: Commission Staff Working Document Evaluation Accompanying the document REPORT FROM THE COMMISSION TO THE EUROPEAN PARLIAMENT AND THE COUNCIL on the evaluation of the European Union Agency for Cybersecurity (ENISA) and the European Cybersecurity Certification Framework</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_Toc218767788 \h </w:instrText>
        </w:r>
        <w:r w:rsidR="00BB702E" w:rsidRPr="00FE7670">
          <w:rPr>
            <w:noProof/>
            <w:webHidden/>
          </w:rPr>
        </w:r>
        <w:r w:rsidR="00BB702E" w:rsidRPr="00FE7670">
          <w:rPr>
            <w:noProof/>
            <w:webHidden/>
          </w:rPr>
          <w:fldChar w:fldCharType="separate"/>
        </w:r>
        <w:r w:rsidR="00BB702E">
          <w:rPr>
            <w:noProof/>
            <w:webHidden/>
          </w:rPr>
          <w:t>231</w:t>
        </w:r>
        <w:r w:rsidR="00BB702E" w:rsidRPr="00FE7670">
          <w:rPr>
            <w:noProof/>
            <w:webHidden/>
          </w:rPr>
          <w:fldChar w:fldCharType="end"/>
        </w:r>
      </w:hyperlink>
    </w:p>
    <w:p w14:paraId="66CDDADC" w14:textId="6FB0736A" w:rsidR="00BB702E" w:rsidRPr="00FE7670" w:rsidRDefault="00047E0F">
      <w:pPr>
        <w:pStyle w:val="TOC1"/>
        <w:rPr>
          <w:rFonts w:eastAsiaTheme="minorEastAsia"/>
          <w:caps w:val="0"/>
          <w:noProof/>
          <w:kern w:val="2"/>
          <w:lang w:val="en-IE" w:eastAsia="en-IE"/>
          <w14:ligatures w14:val="standardContextual"/>
        </w:rPr>
      </w:pPr>
      <w:hyperlink w:anchor="_Toc218767789" w:history="1">
        <w:r w:rsidR="00BB702E" w:rsidRPr="00FE7670">
          <w:rPr>
            <w:rStyle w:val="Hyperlink"/>
            <w:noProof/>
          </w:rPr>
          <w:t>Annex 9: Regulatory gaps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_Toc218767789 \h </w:instrText>
        </w:r>
        <w:r w:rsidR="00BB702E" w:rsidRPr="00FE7670">
          <w:rPr>
            <w:noProof/>
            <w:webHidden/>
          </w:rPr>
        </w:r>
        <w:r w:rsidR="00BB702E" w:rsidRPr="00FE7670">
          <w:rPr>
            <w:noProof/>
            <w:webHidden/>
          </w:rPr>
          <w:fldChar w:fldCharType="separate"/>
        </w:r>
        <w:r w:rsidR="00BB702E">
          <w:rPr>
            <w:noProof/>
            <w:webHidden/>
          </w:rPr>
          <w:t>320</w:t>
        </w:r>
        <w:r w:rsidR="00BB702E" w:rsidRPr="00FE7670">
          <w:rPr>
            <w:noProof/>
            <w:webHidden/>
          </w:rPr>
          <w:fldChar w:fldCharType="end"/>
        </w:r>
      </w:hyperlink>
    </w:p>
    <w:p w14:paraId="025208A3" w14:textId="5F48AF41" w:rsidR="00BB702E" w:rsidRPr="00FE7670" w:rsidRDefault="00047E0F">
      <w:pPr>
        <w:pStyle w:val="TOC1"/>
        <w:rPr>
          <w:rFonts w:eastAsiaTheme="minorEastAsia"/>
          <w:caps w:val="0"/>
          <w:noProof/>
          <w:kern w:val="2"/>
          <w:lang w:val="en-IE" w:eastAsia="en-IE"/>
          <w14:ligatures w14:val="standardContextual"/>
        </w:rPr>
      </w:pPr>
      <w:hyperlink w:anchor="_Toc218767790" w:history="1">
        <w:r w:rsidR="00BB702E" w:rsidRPr="00FE7670">
          <w:rPr>
            <w:rStyle w:val="Hyperlink"/>
            <w:noProof/>
          </w:rPr>
          <w:t>Annex 10: Overview of ENISA’s key stakeholders’ needs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_Toc218767790 \h </w:instrText>
        </w:r>
        <w:r w:rsidR="00BB702E" w:rsidRPr="00FE7670">
          <w:rPr>
            <w:noProof/>
            <w:webHidden/>
          </w:rPr>
        </w:r>
        <w:r w:rsidR="00BB702E" w:rsidRPr="00FE7670">
          <w:rPr>
            <w:noProof/>
            <w:webHidden/>
          </w:rPr>
          <w:fldChar w:fldCharType="separate"/>
        </w:r>
        <w:r w:rsidR="00BB702E">
          <w:rPr>
            <w:noProof/>
            <w:webHidden/>
          </w:rPr>
          <w:t>328</w:t>
        </w:r>
        <w:r w:rsidR="00BB702E" w:rsidRPr="00FE7670">
          <w:rPr>
            <w:noProof/>
            <w:webHidden/>
          </w:rPr>
          <w:fldChar w:fldCharType="end"/>
        </w:r>
      </w:hyperlink>
    </w:p>
    <w:p w14:paraId="2021F91C" w14:textId="0278334C" w:rsidR="00BB702E" w:rsidRPr="00FE7670" w:rsidRDefault="00047E0F">
      <w:pPr>
        <w:pStyle w:val="TOC1"/>
        <w:rPr>
          <w:rFonts w:eastAsiaTheme="minorEastAsia"/>
          <w:caps w:val="0"/>
          <w:noProof/>
          <w:kern w:val="2"/>
          <w:lang w:val="en-IE" w:eastAsia="en-IE"/>
          <w14:ligatures w14:val="standardContextual"/>
        </w:rPr>
      </w:pPr>
      <w:hyperlink w:anchor="_Toc218767791" w:history="1">
        <w:r w:rsidR="00BB702E" w:rsidRPr="00FE7670">
          <w:rPr>
            <w:rStyle w:val="Hyperlink"/>
            <w:noProof/>
          </w:rPr>
          <w:t>Annex 11: Evolution of ENISA’s activities from 2017 until 2024, including resource allocation (budget and FTEs)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_Toc218767791 \h </w:instrText>
        </w:r>
        <w:r w:rsidR="00BB702E" w:rsidRPr="00FE7670">
          <w:rPr>
            <w:noProof/>
            <w:webHidden/>
          </w:rPr>
        </w:r>
        <w:r w:rsidR="00BB702E" w:rsidRPr="00FE7670">
          <w:rPr>
            <w:noProof/>
            <w:webHidden/>
          </w:rPr>
          <w:fldChar w:fldCharType="separate"/>
        </w:r>
        <w:r w:rsidR="00BB702E">
          <w:rPr>
            <w:noProof/>
            <w:webHidden/>
          </w:rPr>
          <w:t>338</w:t>
        </w:r>
        <w:r w:rsidR="00BB702E" w:rsidRPr="00FE7670">
          <w:rPr>
            <w:noProof/>
            <w:webHidden/>
          </w:rPr>
          <w:fldChar w:fldCharType="end"/>
        </w:r>
      </w:hyperlink>
    </w:p>
    <w:p w14:paraId="525E5AE0" w14:textId="5854A68D" w:rsidR="00BB702E" w:rsidRPr="00FE7670" w:rsidRDefault="00047E0F">
      <w:pPr>
        <w:pStyle w:val="TOC1"/>
        <w:rPr>
          <w:rFonts w:eastAsiaTheme="minorEastAsia"/>
          <w:caps w:val="0"/>
          <w:noProof/>
          <w:kern w:val="2"/>
          <w:lang w:val="en-IE" w:eastAsia="en-IE"/>
          <w14:ligatures w14:val="standardContextual"/>
        </w:rPr>
      </w:pPr>
      <w:hyperlink w:anchor="_Toc218767792" w:history="1">
        <w:r w:rsidR="00BB702E" w:rsidRPr="00FE7670">
          <w:rPr>
            <w:rStyle w:val="Hyperlink"/>
            <w:noProof/>
          </w:rPr>
          <w:t>Annex 12: EUROPEAN CYBERSECURITY CERTIFICATION FRAMEWORK (ECCF)</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_Toc218767792 \h </w:instrText>
        </w:r>
        <w:r w:rsidR="00BB702E" w:rsidRPr="00FE7670">
          <w:rPr>
            <w:noProof/>
            <w:webHidden/>
          </w:rPr>
        </w:r>
        <w:r w:rsidR="00BB702E" w:rsidRPr="00FE7670">
          <w:rPr>
            <w:noProof/>
            <w:webHidden/>
          </w:rPr>
          <w:fldChar w:fldCharType="separate"/>
        </w:r>
        <w:r w:rsidR="00BB702E">
          <w:rPr>
            <w:noProof/>
            <w:webHidden/>
          </w:rPr>
          <w:t>342</w:t>
        </w:r>
        <w:r w:rsidR="00BB702E" w:rsidRPr="00FE7670">
          <w:rPr>
            <w:noProof/>
            <w:webHidden/>
          </w:rPr>
          <w:fldChar w:fldCharType="end"/>
        </w:r>
      </w:hyperlink>
    </w:p>
    <w:p w14:paraId="08D11A98" w14:textId="4286550D" w:rsidR="00BB702E" w:rsidRPr="00FE7670" w:rsidRDefault="00047E0F">
      <w:pPr>
        <w:pStyle w:val="TOC1"/>
        <w:rPr>
          <w:rFonts w:eastAsiaTheme="minorEastAsia"/>
          <w:caps w:val="0"/>
          <w:noProof/>
          <w:kern w:val="2"/>
          <w:lang w:val="en-IE" w:eastAsia="en-IE"/>
          <w14:ligatures w14:val="standardContextual"/>
        </w:rPr>
      </w:pPr>
      <w:hyperlink w:anchor="_Toc218767793" w:history="1">
        <w:r w:rsidR="00BB702E" w:rsidRPr="00FE7670">
          <w:rPr>
            <w:rStyle w:val="Hyperlink"/>
            <w:noProof/>
          </w:rPr>
          <w:t>Annex 13: Intervention logic with list of measures per policy options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_Toc218767793 \h </w:instrText>
        </w:r>
        <w:r w:rsidR="00BB702E" w:rsidRPr="00FE7670">
          <w:rPr>
            <w:noProof/>
            <w:webHidden/>
          </w:rPr>
        </w:r>
        <w:r w:rsidR="00BB702E" w:rsidRPr="00FE7670">
          <w:rPr>
            <w:noProof/>
            <w:webHidden/>
          </w:rPr>
          <w:fldChar w:fldCharType="separate"/>
        </w:r>
        <w:r w:rsidR="00BB702E">
          <w:rPr>
            <w:noProof/>
            <w:webHidden/>
          </w:rPr>
          <w:t>345</w:t>
        </w:r>
        <w:r w:rsidR="00BB702E" w:rsidRPr="00FE7670">
          <w:rPr>
            <w:noProof/>
            <w:webHidden/>
          </w:rPr>
          <w:fldChar w:fldCharType="end"/>
        </w:r>
      </w:hyperlink>
    </w:p>
    <w:p w14:paraId="58F5FD2D" w14:textId="3679BECC" w:rsidR="00BB702E" w:rsidRPr="00FE7670" w:rsidRDefault="00047E0F">
      <w:pPr>
        <w:pStyle w:val="TOC1"/>
        <w:rPr>
          <w:rFonts w:eastAsiaTheme="minorEastAsia"/>
          <w:caps w:val="0"/>
          <w:noProof/>
          <w:kern w:val="2"/>
          <w:lang w:val="en-IE" w:eastAsia="en-IE"/>
          <w14:ligatures w14:val="standardContextual"/>
        </w:rPr>
      </w:pPr>
      <w:hyperlink w:anchor="_Toc218767794" w:history="1">
        <w:r w:rsidR="00BB702E" w:rsidRPr="00FE7670">
          <w:rPr>
            <w:rStyle w:val="Hyperlink"/>
            <w:noProof/>
          </w:rPr>
          <w:t>Annex 14: Comparison of the options – criteria efficiency, coherence</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_Toc218767794 \h </w:instrText>
        </w:r>
        <w:r w:rsidR="00BB702E" w:rsidRPr="00FE7670">
          <w:rPr>
            <w:noProof/>
            <w:webHidden/>
          </w:rPr>
        </w:r>
        <w:r w:rsidR="00BB702E" w:rsidRPr="00FE7670">
          <w:rPr>
            <w:noProof/>
            <w:webHidden/>
          </w:rPr>
          <w:fldChar w:fldCharType="separate"/>
        </w:r>
        <w:r w:rsidR="00BB702E">
          <w:rPr>
            <w:noProof/>
            <w:webHidden/>
          </w:rPr>
          <w:t>349</w:t>
        </w:r>
        <w:r w:rsidR="00BB702E" w:rsidRPr="00FE7670">
          <w:rPr>
            <w:noProof/>
            <w:webHidden/>
          </w:rPr>
          <w:fldChar w:fldCharType="end"/>
        </w:r>
      </w:hyperlink>
    </w:p>
    <w:p w14:paraId="6FFE9DE2" w14:textId="7799613C" w:rsidR="00BB702E" w:rsidRPr="00FE7670" w:rsidRDefault="00047E0F">
      <w:pPr>
        <w:pStyle w:val="TOC1"/>
        <w:rPr>
          <w:rFonts w:eastAsiaTheme="minorEastAsia"/>
          <w:caps w:val="0"/>
          <w:noProof/>
          <w:kern w:val="2"/>
          <w:lang w:val="en-IE" w:eastAsia="en-IE"/>
          <w14:ligatures w14:val="standardContextual"/>
        </w:rPr>
      </w:pPr>
      <w:hyperlink w:anchor="_Toc218767795" w:history="1">
        <w:r w:rsidR="00BB702E" w:rsidRPr="00FE7670">
          <w:rPr>
            <w:rStyle w:val="Hyperlink"/>
            <w:noProof/>
          </w:rPr>
          <w:t>Annex 15: Monitoring and evaluation indicators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_Toc218767795 \h </w:instrText>
        </w:r>
        <w:r w:rsidR="00BB702E" w:rsidRPr="00FE7670">
          <w:rPr>
            <w:noProof/>
            <w:webHidden/>
          </w:rPr>
        </w:r>
        <w:r w:rsidR="00BB702E" w:rsidRPr="00FE7670">
          <w:rPr>
            <w:noProof/>
            <w:webHidden/>
          </w:rPr>
          <w:fldChar w:fldCharType="separate"/>
        </w:r>
        <w:r w:rsidR="00BB702E">
          <w:rPr>
            <w:noProof/>
            <w:webHidden/>
          </w:rPr>
          <w:t>354</w:t>
        </w:r>
        <w:r w:rsidR="00BB702E" w:rsidRPr="00FE7670">
          <w:rPr>
            <w:noProof/>
            <w:webHidden/>
          </w:rPr>
          <w:fldChar w:fldCharType="end"/>
        </w:r>
      </w:hyperlink>
    </w:p>
    <w:p w14:paraId="2625749F" w14:textId="627105FB" w:rsidR="00EE3DF9" w:rsidRPr="00FE7670" w:rsidRDefault="00EE3DF9" w:rsidP="00497D6C">
      <w:pPr>
        <w:pStyle w:val="TOC1"/>
        <w:ind w:left="0" w:firstLine="0"/>
        <w:rPr>
          <w:noProof/>
        </w:rPr>
      </w:pPr>
      <w:r w:rsidRPr="00FE7670">
        <w:rPr>
          <w:caps w:val="0"/>
          <w:noProof/>
        </w:rPr>
        <w:fldChar w:fldCharType="end"/>
      </w:r>
    </w:p>
    <w:p w14:paraId="05F7B8CE" w14:textId="6BF99779" w:rsidR="00EE3DF9" w:rsidRPr="00FE7670" w:rsidRDefault="00EE3DF9" w:rsidP="00EE3DF9">
      <w:pPr>
        <w:pStyle w:val="TOC1"/>
        <w:jc w:val="center"/>
        <w:rPr>
          <w:b/>
          <w:noProof/>
        </w:rPr>
      </w:pPr>
      <w:r w:rsidRPr="00FE7670">
        <w:rPr>
          <w:b/>
          <w:bCs/>
          <w:noProof/>
        </w:rPr>
        <w:t>List of tables</w:t>
      </w:r>
      <w:r w:rsidR="00B24F52" w:rsidRPr="00FE7670">
        <w:rPr>
          <w:b/>
          <w:bCs/>
          <w:noProof/>
        </w:rPr>
        <w:t xml:space="preserve"> (Annexes)</w:t>
      </w:r>
    </w:p>
    <w:p w14:paraId="614C5695" w14:textId="3A662E20" w:rsidR="00BB702E" w:rsidRPr="00FE7670" w:rsidRDefault="00EE3DF9">
      <w:pPr>
        <w:pStyle w:val="TOC1"/>
        <w:rPr>
          <w:rFonts w:eastAsiaTheme="minorEastAsia"/>
          <w:caps w:val="0"/>
          <w:noProof/>
          <w:kern w:val="2"/>
          <w:lang w:val="en-IE" w:eastAsia="en-IE"/>
          <w14:ligatures w14:val="standardContextual"/>
        </w:rPr>
      </w:pPr>
      <w:r w:rsidRPr="00FE7670">
        <w:rPr>
          <w:noProof/>
        </w:rPr>
        <w:fldChar w:fldCharType="begin"/>
      </w:r>
      <w:r w:rsidRPr="00FE7670">
        <w:rPr>
          <w:noProof/>
        </w:rPr>
        <w:instrText xml:space="preserve"> TOC \h \z \t "Heading 5;1" </w:instrText>
      </w:r>
      <w:r w:rsidRPr="00FE7670">
        <w:rPr>
          <w:noProof/>
        </w:rPr>
        <w:fldChar w:fldCharType="separate"/>
      </w:r>
      <w:hyperlink w:anchor="_Toc218767796" w:history="1">
        <w:r w:rsidR="00BB702E" w:rsidRPr="00FE7670">
          <w:rPr>
            <w:rStyle w:val="Hyperlink"/>
            <w:noProof/>
          </w:rPr>
          <w:t>Table 1: Changes made in the revised version of the impact assessment report</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_Toc218767796 \h </w:instrText>
        </w:r>
        <w:r w:rsidR="00BB702E" w:rsidRPr="00FE7670">
          <w:rPr>
            <w:noProof/>
            <w:webHidden/>
          </w:rPr>
        </w:r>
        <w:r w:rsidR="00BB702E" w:rsidRPr="00FE7670">
          <w:rPr>
            <w:noProof/>
            <w:webHidden/>
          </w:rPr>
          <w:fldChar w:fldCharType="separate"/>
        </w:r>
        <w:r w:rsidR="00385971">
          <w:rPr>
            <w:noProof/>
            <w:webHidden/>
          </w:rPr>
          <w:t>115</w:t>
        </w:r>
        <w:r w:rsidR="00BB702E" w:rsidRPr="00FE7670">
          <w:rPr>
            <w:noProof/>
            <w:webHidden/>
          </w:rPr>
          <w:fldChar w:fldCharType="end"/>
        </w:r>
      </w:hyperlink>
    </w:p>
    <w:p w14:paraId="48A28CC9" w14:textId="297DE9B1" w:rsidR="00BB702E" w:rsidRPr="00FE7670" w:rsidRDefault="00047E0F">
      <w:pPr>
        <w:pStyle w:val="TOC1"/>
        <w:rPr>
          <w:rFonts w:eastAsiaTheme="minorEastAsia"/>
          <w:caps w:val="0"/>
          <w:noProof/>
          <w:kern w:val="2"/>
          <w:lang w:val="en-IE" w:eastAsia="en-IE"/>
          <w14:ligatures w14:val="standardContextual"/>
        </w:rPr>
      </w:pPr>
      <w:hyperlink w:anchor="_Toc218767797" w:history="1">
        <w:r w:rsidR="00BB702E" w:rsidRPr="00FE7670">
          <w:rPr>
            <w:rStyle w:val="Hyperlink"/>
            <w:noProof/>
          </w:rPr>
          <w:t>Table 2: Respondents by stakeholder type (n = 193)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_Toc218767797 \h </w:instrText>
        </w:r>
        <w:r w:rsidR="00BB702E" w:rsidRPr="00FE7670">
          <w:rPr>
            <w:noProof/>
            <w:webHidden/>
          </w:rPr>
        </w:r>
        <w:r w:rsidR="00BB702E" w:rsidRPr="00FE7670">
          <w:rPr>
            <w:noProof/>
            <w:webHidden/>
          </w:rPr>
          <w:fldChar w:fldCharType="separate"/>
        </w:r>
        <w:r w:rsidR="00385971">
          <w:rPr>
            <w:noProof/>
            <w:webHidden/>
          </w:rPr>
          <w:t>126</w:t>
        </w:r>
        <w:r w:rsidR="00BB702E" w:rsidRPr="00FE7670">
          <w:rPr>
            <w:noProof/>
            <w:webHidden/>
          </w:rPr>
          <w:fldChar w:fldCharType="end"/>
        </w:r>
      </w:hyperlink>
    </w:p>
    <w:p w14:paraId="1EFFE220" w14:textId="2D33EDC6" w:rsidR="00BB702E" w:rsidRPr="00FE7670" w:rsidRDefault="00047E0F">
      <w:pPr>
        <w:pStyle w:val="TOC1"/>
        <w:rPr>
          <w:rFonts w:eastAsiaTheme="minorEastAsia"/>
          <w:caps w:val="0"/>
          <w:noProof/>
          <w:kern w:val="2"/>
          <w:lang w:val="en-IE" w:eastAsia="en-IE"/>
          <w14:ligatures w14:val="standardContextual"/>
        </w:rPr>
      </w:pPr>
      <w:hyperlink w:anchor="_Toc218767798" w:history="1">
        <w:r w:rsidR="00BB702E" w:rsidRPr="00FE7670">
          <w:rPr>
            <w:rStyle w:val="Hyperlink"/>
            <w:noProof/>
          </w:rPr>
          <w:t>Table 3: Company size distribution among business respondents (n = 79)</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_Toc218767798 \h </w:instrText>
        </w:r>
        <w:r w:rsidR="00BB702E" w:rsidRPr="00FE7670">
          <w:rPr>
            <w:noProof/>
            <w:webHidden/>
          </w:rPr>
        </w:r>
        <w:r w:rsidR="00BB702E" w:rsidRPr="00FE7670">
          <w:rPr>
            <w:noProof/>
            <w:webHidden/>
          </w:rPr>
          <w:fldChar w:fldCharType="separate"/>
        </w:r>
        <w:r w:rsidR="00385971">
          <w:rPr>
            <w:noProof/>
            <w:webHidden/>
          </w:rPr>
          <w:t>127</w:t>
        </w:r>
        <w:r w:rsidR="00BB702E" w:rsidRPr="00FE7670">
          <w:rPr>
            <w:noProof/>
            <w:webHidden/>
          </w:rPr>
          <w:fldChar w:fldCharType="end"/>
        </w:r>
      </w:hyperlink>
    </w:p>
    <w:p w14:paraId="599296B4" w14:textId="6DA059B0" w:rsidR="00BB702E" w:rsidRPr="00FE7670" w:rsidRDefault="00047E0F">
      <w:pPr>
        <w:pStyle w:val="TOC1"/>
        <w:rPr>
          <w:rFonts w:eastAsiaTheme="minorEastAsia"/>
          <w:caps w:val="0"/>
          <w:noProof/>
          <w:kern w:val="2"/>
          <w:lang w:val="en-IE" w:eastAsia="en-IE"/>
          <w14:ligatures w14:val="standardContextual"/>
        </w:rPr>
      </w:pPr>
      <w:hyperlink w:anchor="_Toc218767799" w:history="1">
        <w:r w:rsidR="00BB702E" w:rsidRPr="00FE7670">
          <w:rPr>
            <w:rStyle w:val="Hyperlink"/>
            <w:noProof/>
          </w:rPr>
          <w:t>Table 4: Respondents by country (n = 193)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_Toc218767799 \h </w:instrText>
        </w:r>
        <w:r w:rsidR="00BB702E" w:rsidRPr="00FE7670">
          <w:rPr>
            <w:noProof/>
            <w:webHidden/>
          </w:rPr>
        </w:r>
        <w:r w:rsidR="00BB702E" w:rsidRPr="00FE7670">
          <w:rPr>
            <w:noProof/>
            <w:webHidden/>
          </w:rPr>
          <w:fldChar w:fldCharType="separate"/>
        </w:r>
        <w:r w:rsidR="00385971">
          <w:rPr>
            <w:noProof/>
            <w:webHidden/>
          </w:rPr>
          <w:t>127</w:t>
        </w:r>
        <w:r w:rsidR="00BB702E" w:rsidRPr="00FE7670">
          <w:rPr>
            <w:noProof/>
            <w:webHidden/>
          </w:rPr>
          <w:fldChar w:fldCharType="end"/>
        </w:r>
      </w:hyperlink>
    </w:p>
    <w:p w14:paraId="67AC5041" w14:textId="3B9DA69B" w:rsidR="00BB702E" w:rsidRPr="00FE7670" w:rsidRDefault="00047E0F">
      <w:pPr>
        <w:pStyle w:val="TOC1"/>
        <w:rPr>
          <w:rFonts w:eastAsiaTheme="minorEastAsia"/>
          <w:caps w:val="0"/>
          <w:noProof/>
          <w:kern w:val="2"/>
          <w:lang w:val="en-IE" w:eastAsia="en-IE"/>
          <w14:ligatures w14:val="standardContextual"/>
        </w:rPr>
      </w:pPr>
      <w:hyperlink w:anchor="_Toc218767800" w:history="1">
        <w:r w:rsidR="00BB702E" w:rsidRPr="00FE7670">
          <w:rPr>
            <w:rStyle w:val="Hyperlink"/>
            <w:noProof/>
          </w:rPr>
          <w:t>Table 5: ICT maturity indicators in the EU for small, medium and large enterprises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_Toc218767800 \h </w:instrText>
        </w:r>
        <w:r w:rsidR="00BB702E" w:rsidRPr="00FE7670">
          <w:rPr>
            <w:noProof/>
            <w:webHidden/>
          </w:rPr>
        </w:r>
        <w:r w:rsidR="00BB702E" w:rsidRPr="00FE7670">
          <w:rPr>
            <w:noProof/>
            <w:webHidden/>
          </w:rPr>
          <w:fldChar w:fldCharType="separate"/>
        </w:r>
        <w:r w:rsidR="00BB702E">
          <w:rPr>
            <w:noProof/>
            <w:webHidden/>
          </w:rPr>
          <w:t>149</w:t>
        </w:r>
        <w:r w:rsidR="00BB702E" w:rsidRPr="00FE7670">
          <w:rPr>
            <w:noProof/>
            <w:webHidden/>
          </w:rPr>
          <w:fldChar w:fldCharType="end"/>
        </w:r>
      </w:hyperlink>
    </w:p>
    <w:p w14:paraId="588FB7C9" w14:textId="2A0D50EA" w:rsidR="00BB702E" w:rsidRPr="00FE7670" w:rsidRDefault="00047E0F">
      <w:pPr>
        <w:pStyle w:val="TOC1"/>
        <w:rPr>
          <w:rFonts w:eastAsiaTheme="minorEastAsia"/>
          <w:caps w:val="0"/>
          <w:noProof/>
          <w:kern w:val="2"/>
          <w:lang w:val="en-IE" w:eastAsia="en-IE"/>
          <w14:ligatures w14:val="standardContextual"/>
        </w:rPr>
      </w:pPr>
      <w:hyperlink w:anchor="_Toc218767801" w:history="1">
        <w:r w:rsidR="00BB702E" w:rsidRPr="00FE7670">
          <w:rPr>
            <w:rStyle w:val="Hyperlink"/>
            <w:noProof/>
          </w:rPr>
          <w:t>Table 6: Overview of Benefits (total for all provisions) – Preferred Option (incl. “OUTs” of the OIOO approach)</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_Toc218767801 \h </w:instrText>
        </w:r>
        <w:r w:rsidR="00BB702E" w:rsidRPr="00FE7670">
          <w:rPr>
            <w:noProof/>
            <w:webHidden/>
          </w:rPr>
        </w:r>
        <w:r w:rsidR="00BB702E" w:rsidRPr="00FE7670">
          <w:rPr>
            <w:noProof/>
            <w:webHidden/>
          </w:rPr>
          <w:fldChar w:fldCharType="separate"/>
        </w:r>
        <w:r w:rsidR="00BB702E">
          <w:rPr>
            <w:noProof/>
            <w:webHidden/>
          </w:rPr>
          <w:t>155</w:t>
        </w:r>
        <w:r w:rsidR="00BB702E" w:rsidRPr="00FE7670">
          <w:rPr>
            <w:noProof/>
            <w:webHidden/>
          </w:rPr>
          <w:fldChar w:fldCharType="end"/>
        </w:r>
      </w:hyperlink>
    </w:p>
    <w:p w14:paraId="1C8A829F" w14:textId="5BE5FB38" w:rsidR="00BB702E" w:rsidRPr="00FE7670" w:rsidRDefault="00047E0F">
      <w:pPr>
        <w:pStyle w:val="TOC1"/>
        <w:rPr>
          <w:rFonts w:eastAsiaTheme="minorEastAsia"/>
          <w:caps w:val="0"/>
          <w:noProof/>
          <w:kern w:val="2"/>
          <w:lang w:val="en-IE" w:eastAsia="en-IE"/>
          <w14:ligatures w14:val="standardContextual"/>
        </w:rPr>
      </w:pPr>
      <w:hyperlink w:anchor="_Toc218767802" w:history="1">
        <w:r w:rsidR="00BB702E" w:rsidRPr="00FE7670">
          <w:rPr>
            <w:rStyle w:val="Hyperlink"/>
            <w:noProof/>
          </w:rPr>
          <w:t>Tables 7 and 8 : Overview of costs – Preferred option (incl. “INs” of the OIOO approach) over five years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_Toc218767802 \h </w:instrText>
        </w:r>
        <w:r w:rsidR="00BB702E" w:rsidRPr="00FE7670">
          <w:rPr>
            <w:noProof/>
            <w:webHidden/>
          </w:rPr>
        </w:r>
        <w:r w:rsidR="00BB702E" w:rsidRPr="00FE7670">
          <w:rPr>
            <w:noProof/>
            <w:webHidden/>
          </w:rPr>
          <w:fldChar w:fldCharType="separate"/>
        </w:r>
        <w:r w:rsidR="00BB702E">
          <w:rPr>
            <w:noProof/>
            <w:webHidden/>
          </w:rPr>
          <w:t>156</w:t>
        </w:r>
        <w:r w:rsidR="00BB702E" w:rsidRPr="00FE7670">
          <w:rPr>
            <w:noProof/>
            <w:webHidden/>
          </w:rPr>
          <w:fldChar w:fldCharType="end"/>
        </w:r>
      </w:hyperlink>
    </w:p>
    <w:p w14:paraId="08C1D71F" w14:textId="20E387DC" w:rsidR="00BB702E" w:rsidRPr="00FE7670" w:rsidRDefault="00047E0F">
      <w:pPr>
        <w:pStyle w:val="TOC1"/>
        <w:rPr>
          <w:rFonts w:eastAsiaTheme="minorEastAsia"/>
          <w:caps w:val="0"/>
          <w:noProof/>
          <w:kern w:val="2"/>
          <w:lang w:val="en-IE" w:eastAsia="en-IE"/>
          <w14:ligatures w14:val="standardContextual"/>
        </w:rPr>
      </w:pPr>
      <w:hyperlink w:anchor="_Toc218767803" w:history="1">
        <w:r w:rsidR="00BB702E" w:rsidRPr="00FE7670">
          <w:rPr>
            <w:rStyle w:val="Hyperlink"/>
            <w:noProof/>
          </w:rPr>
          <w:t>Table 9: Overview of relevant sustainable development goals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_Toc218767803 \h </w:instrText>
        </w:r>
        <w:r w:rsidR="00BB702E" w:rsidRPr="00FE7670">
          <w:rPr>
            <w:noProof/>
            <w:webHidden/>
          </w:rPr>
        </w:r>
        <w:r w:rsidR="00BB702E" w:rsidRPr="00FE7670">
          <w:rPr>
            <w:noProof/>
            <w:webHidden/>
          </w:rPr>
          <w:fldChar w:fldCharType="separate"/>
        </w:r>
        <w:r w:rsidR="00BB702E">
          <w:rPr>
            <w:noProof/>
            <w:webHidden/>
          </w:rPr>
          <w:t>159</w:t>
        </w:r>
        <w:r w:rsidR="00BB702E" w:rsidRPr="00FE7670">
          <w:rPr>
            <w:noProof/>
            <w:webHidden/>
          </w:rPr>
          <w:fldChar w:fldCharType="end"/>
        </w:r>
      </w:hyperlink>
    </w:p>
    <w:p w14:paraId="0F666D12" w14:textId="53DFC7B5" w:rsidR="00BB702E" w:rsidRPr="00FE7670" w:rsidRDefault="00047E0F">
      <w:pPr>
        <w:pStyle w:val="TOC1"/>
        <w:rPr>
          <w:rFonts w:eastAsiaTheme="minorEastAsia"/>
          <w:caps w:val="0"/>
          <w:noProof/>
          <w:kern w:val="2"/>
          <w:lang w:val="en-IE" w:eastAsia="en-IE"/>
          <w14:ligatures w14:val="standardContextual"/>
        </w:rPr>
      </w:pPr>
      <w:hyperlink w:anchor="_Toc218767804" w:history="1">
        <w:r w:rsidR="00BB702E" w:rsidRPr="00FE7670">
          <w:rPr>
            <w:rStyle w:val="Hyperlink"/>
            <w:noProof/>
          </w:rPr>
          <w:t>Table 10: Overview of impacts by stakeholder</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_Toc218767804 \h </w:instrText>
        </w:r>
        <w:r w:rsidR="00BB702E" w:rsidRPr="00FE7670">
          <w:rPr>
            <w:noProof/>
            <w:webHidden/>
          </w:rPr>
        </w:r>
        <w:r w:rsidR="00BB702E" w:rsidRPr="00FE7670">
          <w:rPr>
            <w:noProof/>
            <w:webHidden/>
          </w:rPr>
          <w:fldChar w:fldCharType="separate"/>
        </w:r>
        <w:r w:rsidR="00BB702E">
          <w:rPr>
            <w:noProof/>
            <w:webHidden/>
          </w:rPr>
          <w:t>163</w:t>
        </w:r>
        <w:r w:rsidR="00BB702E" w:rsidRPr="00FE7670">
          <w:rPr>
            <w:noProof/>
            <w:webHidden/>
          </w:rPr>
          <w:fldChar w:fldCharType="end"/>
        </w:r>
      </w:hyperlink>
    </w:p>
    <w:p w14:paraId="677316D7" w14:textId="4AFD3ADA" w:rsidR="00BB702E" w:rsidRPr="00FE7670" w:rsidRDefault="00047E0F">
      <w:pPr>
        <w:pStyle w:val="TOC1"/>
        <w:rPr>
          <w:rFonts w:eastAsiaTheme="minorEastAsia"/>
          <w:caps w:val="0"/>
          <w:noProof/>
          <w:kern w:val="2"/>
          <w:lang w:val="en-IE" w:eastAsia="en-IE"/>
          <w14:ligatures w14:val="standardContextual"/>
        </w:rPr>
      </w:pPr>
      <w:hyperlink w:anchor="_Toc218767805" w:history="1">
        <w:r w:rsidR="00BB702E" w:rsidRPr="00FE7670">
          <w:rPr>
            <w:rStyle w:val="Hyperlink"/>
            <w:noProof/>
          </w:rPr>
          <w:t>Table 11: Allocation and costs of FTEs for Options A.1, A.2 and A.3</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_Toc218767805 \h </w:instrText>
        </w:r>
        <w:r w:rsidR="00BB702E" w:rsidRPr="00FE7670">
          <w:rPr>
            <w:noProof/>
            <w:webHidden/>
          </w:rPr>
        </w:r>
        <w:r w:rsidR="00BB702E" w:rsidRPr="00FE7670">
          <w:rPr>
            <w:noProof/>
            <w:webHidden/>
          </w:rPr>
          <w:fldChar w:fldCharType="separate"/>
        </w:r>
        <w:r w:rsidR="00BB702E">
          <w:rPr>
            <w:noProof/>
            <w:webHidden/>
          </w:rPr>
          <w:t>167</w:t>
        </w:r>
        <w:r w:rsidR="00BB702E" w:rsidRPr="00FE7670">
          <w:rPr>
            <w:noProof/>
            <w:webHidden/>
          </w:rPr>
          <w:fldChar w:fldCharType="end"/>
        </w:r>
      </w:hyperlink>
    </w:p>
    <w:p w14:paraId="45402500" w14:textId="6FC79DB3" w:rsidR="00BB702E" w:rsidRPr="00FE7670" w:rsidRDefault="00047E0F">
      <w:pPr>
        <w:pStyle w:val="TOC1"/>
        <w:rPr>
          <w:rFonts w:eastAsiaTheme="minorEastAsia"/>
          <w:caps w:val="0"/>
          <w:noProof/>
          <w:kern w:val="2"/>
          <w:lang w:val="en-IE" w:eastAsia="en-IE"/>
          <w14:ligatures w14:val="standardContextual"/>
        </w:rPr>
      </w:pPr>
      <w:hyperlink w:anchor="_Toc218767806" w:history="1">
        <w:r w:rsidR="00BB702E" w:rsidRPr="00FE7670">
          <w:rPr>
            <w:rStyle w:val="Hyperlink"/>
            <w:noProof/>
          </w:rPr>
          <w:t>Tables 12 and 13: Rates for accreditation of bodies certifying persons in Slovakia</w:t>
        </w:r>
        <w:r w:rsidR="00BB702E" w:rsidRPr="00FE7670">
          <w:rPr>
            <w:rStyle w:val="Hyperlink"/>
            <w:noProof/>
            <w:lang w:val="en-IE"/>
          </w:rPr>
          <w:t xml:space="preserve"> in 2025 (in EUR)</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_Toc218767806 \h </w:instrText>
        </w:r>
        <w:r w:rsidR="00BB702E" w:rsidRPr="00FE7670">
          <w:rPr>
            <w:noProof/>
            <w:webHidden/>
          </w:rPr>
        </w:r>
        <w:r w:rsidR="00BB702E" w:rsidRPr="00FE7670">
          <w:rPr>
            <w:noProof/>
            <w:webHidden/>
          </w:rPr>
          <w:fldChar w:fldCharType="separate"/>
        </w:r>
        <w:r w:rsidR="00BB702E">
          <w:rPr>
            <w:noProof/>
            <w:webHidden/>
          </w:rPr>
          <w:t>179</w:t>
        </w:r>
        <w:r w:rsidR="00BB702E" w:rsidRPr="00FE7670">
          <w:rPr>
            <w:noProof/>
            <w:webHidden/>
          </w:rPr>
          <w:fldChar w:fldCharType="end"/>
        </w:r>
      </w:hyperlink>
    </w:p>
    <w:p w14:paraId="48D8443F" w14:textId="57F9DA6E" w:rsidR="00BB702E" w:rsidRPr="00FE7670" w:rsidRDefault="00047E0F">
      <w:pPr>
        <w:pStyle w:val="TOC1"/>
        <w:rPr>
          <w:rFonts w:eastAsiaTheme="minorEastAsia"/>
          <w:caps w:val="0"/>
          <w:noProof/>
          <w:kern w:val="2"/>
          <w:lang w:val="en-IE" w:eastAsia="en-IE"/>
          <w14:ligatures w14:val="standardContextual"/>
        </w:rPr>
      </w:pPr>
      <w:hyperlink w:anchor="_Toc218767807" w:history="1">
        <w:r w:rsidR="00BB702E" w:rsidRPr="00FE7670">
          <w:rPr>
            <w:rStyle w:val="Hyperlink"/>
            <w:noProof/>
          </w:rPr>
          <w:t>Table 14: Scenarios for development of schemes under ECCF, and percentage of maintenance costs covered by fees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_Toc218767807 \h </w:instrText>
        </w:r>
        <w:r w:rsidR="00BB702E" w:rsidRPr="00FE7670">
          <w:rPr>
            <w:noProof/>
            <w:webHidden/>
          </w:rPr>
        </w:r>
        <w:r w:rsidR="00BB702E" w:rsidRPr="00FE7670">
          <w:rPr>
            <w:noProof/>
            <w:webHidden/>
          </w:rPr>
          <w:fldChar w:fldCharType="separate"/>
        </w:r>
        <w:r w:rsidR="00BB702E">
          <w:rPr>
            <w:noProof/>
            <w:webHidden/>
          </w:rPr>
          <w:t>183</w:t>
        </w:r>
        <w:r w:rsidR="00BB702E" w:rsidRPr="00FE7670">
          <w:rPr>
            <w:noProof/>
            <w:webHidden/>
          </w:rPr>
          <w:fldChar w:fldCharType="end"/>
        </w:r>
      </w:hyperlink>
    </w:p>
    <w:p w14:paraId="2BBEF729" w14:textId="273D9849" w:rsidR="00BB702E" w:rsidRPr="00FE7670" w:rsidRDefault="00047E0F">
      <w:pPr>
        <w:pStyle w:val="TOC1"/>
        <w:rPr>
          <w:rFonts w:eastAsiaTheme="minorEastAsia"/>
          <w:caps w:val="0"/>
          <w:noProof/>
          <w:kern w:val="2"/>
          <w:lang w:val="en-IE" w:eastAsia="en-IE"/>
          <w14:ligatures w14:val="standardContextual"/>
        </w:rPr>
      </w:pPr>
      <w:hyperlink w:anchor="_Toc218767808" w:history="1">
        <w:r w:rsidR="00BB702E" w:rsidRPr="00FE7670">
          <w:rPr>
            <w:rStyle w:val="Hyperlink"/>
            <w:noProof/>
            <w:lang w:val="en-IE"/>
          </w:rPr>
          <w:t>Table 15: Overview of existing national cloud certifications &amp; qualifications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_Toc218767808 \h </w:instrText>
        </w:r>
        <w:r w:rsidR="00BB702E" w:rsidRPr="00FE7670">
          <w:rPr>
            <w:noProof/>
            <w:webHidden/>
          </w:rPr>
        </w:r>
        <w:r w:rsidR="00BB702E" w:rsidRPr="00FE7670">
          <w:rPr>
            <w:noProof/>
            <w:webHidden/>
          </w:rPr>
          <w:fldChar w:fldCharType="separate"/>
        </w:r>
        <w:r w:rsidR="00BB702E">
          <w:rPr>
            <w:noProof/>
            <w:webHidden/>
          </w:rPr>
          <w:t>186</w:t>
        </w:r>
        <w:r w:rsidR="00BB702E" w:rsidRPr="00FE7670">
          <w:rPr>
            <w:noProof/>
            <w:webHidden/>
          </w:rPr>
          <w:fldChar w:fldCharType="end"/>
        </w:r>
      </w:hyperlink>
    </w:p>
    <w:p w14:paraId="581CA44E" w14:textId="0107F8B2" w:rsidR="00BB702E" w:rsidRPr="00FE7670" w:rsidRDefault="00047E0F">
      <w:pPr>
        <w:pStyle w:val="TOC1"/>
        <w:rPr>
          <w:rFonts w:eastAsiaTheme="minorEastAsia"/>
          <w:caps w:val="0"/>
          <w:noProof/>
          <w:kern w:val="2"/>
          <w:lang w:val="en-IE" w:eastAsia="en-IE"/>
          <w14:ligatures w14:val="standardContextual"/>
        </w:rPr>
      </w:pPr>
      <w:hyperlink w:anchor="_Toc218767809" w:history="1">
        <w:r w:rsidR="00BB702E" w:rsidRPr="00FE7670">
          <w:rPr>
            <w:rStyle w:val="Hyperlink"/>
            <w:noProof/>
            <w:lang w:val="en-IE"/>
          </w:rPr>
          <w:t>Table 16: Decrease in imports from China from 2020 to 2024.</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_Toc218767809 \h </w:instrText>
        </w:r>
        <w:r w:rsidR="00BB702E" w:rsidRPr="00FE7670">
          <w:rPr>
            <w:noProof/>
            <w:webHidden/>
          </w:rPr>
        </w:r>
        <w:r w:rsidR="00BB702E" w:rsidRPr="00FE7670">
          <w:rPr>
            <w:noProof/>
            <w:webHidden/>
          </w:rPr>
          <w:fldChar w:fldCharType="separate"/>
        </w:r>
        <w:r w:rsidR="00BB702E">
          <w:rPr>
            <w:noProof/>
            <w:webHidden/>
          </w:rPr>
          <w:t>193</w:t>
        </w:r>
        <w:r w:rsidR="00BB702E" w:rsidRPr="00FE7670">
          <w:rPr>
            <w:noProof/>
            <w:webHidden/>
          </w:rPr>
          <w:fldChar w:fldCharType="end"/>
        </w:r>
      </w:hyperlink>
    </w:p>
    <w:p w14:paraId="5DD817F4" w14:textId="29DC85C7" w:rsidR="00BB702E" w:rsidRPr="00FE7670" w:rsidRDefault="00047E0F">
      <w:pPr>
        <w:pStyle w:val="TOC1"/>
        <w:rPr>
          <w:rFonts w:eastAsiaTheme="minorEastAsia"/>
          <w:caps w:val="0"/>
          <w:noProof/>
          <w:kern w:val="2"/>
          <w:lang w:val="en-IE" w:eastAsia="en-IE"/>
          <w14:ligatures w14:val="standardContextual"/>
        </w:rPr>
      </w:pPr>
      <w:hyperlink w:anchor="_Toc218767810" w:history="1">
        <w:r w:rsidR="00BB702E" w:rsidRPr="00FE7670">
          <w:rPr>
            <w:rStyle w:val="Hyperlink"/>
            <w:noProof/>
            <w:lang w:eastAsia="en-IE"/>
          </w:rPr>
          <w:t>Table 17: Overview of impacts on competitiveness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_Toc218767810 \h </w:instrText>
        </w:r>
        <w:r w:rsidR="00BB702E" w:rsidRPr="00FE7670">
          <w:rPr>
            <w:noProof/>
            <w:webHidden/>
          </w:rPr>
        </w:r>
        <w:r w:rsidR="00BB702E" w:rsidRPr="00FE7670">
          <w:rPr>
            <w:noProof/>
            <w:webHidden/>
          </w:rPr>
          <w:fldChar w:fldCharType="separate"/>
        </w:r>
        <w:r w:rsidR="00BB702E">
          <w:rPr>
            <w:noProof/>
            <w:webHidden/>
          </w:rPr>
          <w:t>194</w:t>
        </w:r>
        <w:r w:rsidR="00BB702E" w:rsidRPr="00FE7670">
          <w:rPr>
            <w:noProof/>
            <w:webHidden/>
          </w:rPr>
          <w:fldChar w:fldCharType="end"/>
        </w:r>
      </w:hyperlink>
    </w:p>
    <w:p w14:paraId="461BE0C1" w14:textId="0C04F738" w:rsidR="00BB702E" w:rsidRPr="00FE7670" w:rsidRDefault="00047E0F">
      <w:pPr>
        <w:pStyle w:val="TOC1"/>
        <w:rPr>
          <w:rFonts w:eastAsiaTheme="minorEastAsia"/>
          <w:caps w:val="0"/>
          <w:noProof/>
          <w:kern w:val="2"/>
          <w:lang w:val="en-IE" w:eastAsia="en-IE"/>
          <w14:ligatures w14:val="standardContextual"/>
        </w:rPr>
      </w:pPr>
      <w:hyperlink w:anchor="_Toc218767811" w:history="1">
        <w:r w:rsidR="00BB702E" w:rsidRPr="00FE7670">
          <w:rPr>
            <w:rStyle w:val="Hyperlink"/>
            <w:noProof/>
            <w:lang w:eastAsia="en-IE"/>
          </w:rPr>
          <w:t>Table 18: Overview of average cost of breach and prevalence by initial attack vector</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_Toc218767811 \h </w:instrText>
        </w:r>
        <w:r w:rsidR="00BB702E" w:rsidRPr="00FE7670">
          <w:rPr>
            <w:noProof/>
            <w:webHidden/>
          </w:rPr>
        </w:r>
        <w:r w:rsidR="00BB702E" w:rsidRPr="00FE7670">
          <w:rPr>
            <w:noProof/>
            <w:webHidden/>
          </w:rPr>
          <w:fldChar w:fldCharType="separate"/>
        </w:r>
        <w:r w:rsidR="00BB702E">
          <w:rPr>
            <w:noProof/>
            <w:webHidden/>
          </w:rPr>
          <w:t>206</w:t>
        </w:r>
        <w:r w:rsidR="00BB702E" w:rsidRPr="00FE7670">
          <w:rPr>
            <w:noProof/>
            <w:webHidden/>
          </w:rPr>
          <w:fldChar w:fldCharType="end"/>
        </w:r>
      </w:hyperlink>
    </w:p>
    <w:p w14:paraId="368A2248" w14:textId="358CC8BE" w:rsidR="00BB702E" w:rsidRPr="00FE7670" w:rsidRDefault="00047E0F">
      <w:pPr>
        <w:pStyle w:val="TOC1"/>
        <w:rPr>
          <w:rFonts w:eastAsiaTheme="minorEastAsia"/>
          <w:caps w:val="0"/>
          <w:noProof/>
          <w:kern w:val="2"/>
          <w:lang w:val="en-IE" w:eastAsia="en-IE"/>
          <w14:ligatures w14:val="standardContextual"/>
        </w:rPr>
      </w:pPr>
      <w:hyperlink w:anchor="_Toc218767812" w:history="1">
        <w:r w:rsidR="00BB702E" w:rsidRPr="00FE7670">
          <w:rPr>
            <w:rStyle w:val="Hyperlink"/>
            <w:noProof/>
          </w:rPr>
          <w:t>Table 19: Average cost of data breach by countries/regions in 2024-2025</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_Toc218767812 \h </w:instrText>
        </w:r>
        <w:r w:rsidR="00BB702E" w:rsidRPr="00FE7670">
          <w:rPr>
            <w:noProof/>
            <w:webHidden/>
          </w:rPr>
        </w:r>
        <w:r w:rsidR="00BB702E" w:rsidRPr="00FE7670">
          <w:rPr>
            <w:noProof/>
            <w:webHidden/>
          </w:rPr>
          <w:fldChar w:fldCharType="separate"/>
        </w:r>
        <w:r w:rsidR="00BB702E">
          <w:rPr>
            <w:noProof/>
            <w:webHidden/>
          </w:rPr>
          <w:t>207</w:t>
        </w:r>
        <w:r w:rsidR="00BB702E" w:rsidRPr="00FE7670">
          <w:rPr>
            <w:noProof/>
            <w:webHidden/>
          </w:rPr>
          <w:fldChar w:fldCharType="end"/>
        </w:r>
      </w:hyperlink>
    </w:p>
    <w:p w14:paraId="6C51F9A6" w14:textId="74FDF55A" w:rsidR="00BB702E" w:rsidRPr="00FE7670" w:rsidRDefault="00047E0F">
      <w:pPr>
        <w:pStyle w:val="TOC1"/>
        <w:rPr>
          <w:rFonts w:eastAsiaTheme="minorEastAsia"/>
          <w:caps w:val="0"/>
          <w:noProof/>
          <w:kern w:val="2"/>
          <w:lang w:val="en-IE" w:eastAsia="en-IE"/>
          <w14:ligatures w14:val="standardContextual"/>
        </w:rPr>
      </w:pPr>
      <w:hyperlink w:anchor="_Toc218767813" w:history="1">
        <w:r w:rsidR="00BB702E" w:rsidRPr="00FE7670">
          <w:rPr>
            <w:rStyle w:val="Hyperlink"/>
            <w:noProof/>
          </w:rPr>
          <w:t>Table 20: Average cost of a ransomware incident (globally) in 2025</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_Toc218767813 \h </w:instrText>
        </w:r>
        <w:r w:rsidR="00BB702E" w:rsidRPr="00FE7670">
          <w:rPr>
            <w:noProof/>
            <w:webHidden/>
          </w:rPr>
        </w:r>
        <w:r w:rsidR="00BB702E" w:rsidRPr="00FE7670">
          <w:rPr>
            <w:noProof/>
            <w:webHidden/>
          </w:rPr>
          <w:fldChar w:fldCharType="separate"/>
        </w:r>
        <w:r w:rsidR="00BB702E">
          <w:rPr>
            <w:noProof/>
            <w:webHidden/>
          </w:rPr>
          <w:t>207</w:t>
        </w:r>
        <w:r w:rsidR="00BB702E" w:rsidRPr="00FE7670">
          <w:rPr>
            <w:noProof/>
            <w:webHidden/>
          </w:rPr>
          <w:fldChar w:fldCharType="end"/>
        </w:r>
      </w:hyperlink>
    </w:p>
    <w:p w14:paraId="1FE338D0" w14:textId="4DBA7B6D" w:rsidR="00BB702E" w:rsidRPr="00FE7670" w:rsidRDefault="00047E0F">
      <w:pPr>
        <w:pStyle w:val="TOC1"/>
        <w:rPr>
          <w:rFonts w:eastAsiaTheme="minorEastAsia"/>
          <w:caps w:val="0"/>
          <w:noProof/>
          <w:kern w:val="2"/>
          <w:lang w:val="en-IE" w:eastAsia="en-IE"/>
          <w14:ligatures w14:val="standardContextual"/>
        </w:rPr>
      </w:pPr>
      <w:hyperlink w:anchor="_Toc218767814" w:history="1">
        <w:r w:rsidR="00BB702E" w:rsidRPr="00FE7670">
          <w:rPr>
            <w:rStyle w:val="Hyperlink"/>
            <w:noProof/>
          </w:rPr>
          <w:t>Table 21: Average cost to recover, median ransom demand and median ransom payment by country/region in 2024</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_Toc218767814 \h </w:instrText>
        </w:r>
        <w:r w:rsidR="00BB702E" w:rsidRPr="00FE7670">
          <w:rPr>
            <w:noProof/>
            <w:webHidden/>
          </w:rPr>
        </w:r>
        <w:r w:rsidR="00BB702E" w:rsidRPr="00FE7670">
          <w:rPr>
            <w:noProof/>
            <w:webHidden/>
          </w:rPr>
          <w:fldChar w:fldCharType="separate"/>
        </w:r>
        <w:r w:rsidR="00BB702E">
          <w:rPr>
            <w:noProof/>
            <w:webHidden/>
          </w:rPr>
          <w:t>207</w:t>
        </w:r>
        <w:r w:rsidR="00BB702E" w:rsidRPr="00FE7670">
          <w:rPr>
            <w:noProof/>
            <w:webHidden/>
          </w:rPr>
          <w:fldChar w:fldCharType="end"/>
        </w:r>
      </w:hyperlink>
    </w:p>
    <w:p w14:paraId="6B073F6E" w14:textId="061DD6A6" w:rsidR="00BB702E" w:rsidRPr="00FE7670" w:rsidRDefault="00047E0F">
      <w:pPr>
        <w:pStyle w:val="TOC1"/>
        <w:rPr>
          <w:rFonts w:eastAsiaTheme="minorEastAsia"/>
          <w:caps w:val="0"/>
          <w:noProof/>
          <w:kern w:val="2"/>
          <w:lang w:val="en-IE" w:eastAsia="en-IE"/>
          <w14:ligatures w14:val="standardContextual"/>
        </w:rPr>
      </w:pPr>
      <w:hyperlink w:anchor="_Toc218767815" w:history="1">
        <w:r w:rsidR="00BB702E" w:rsidRPr="00FE7670">
          <w:rPr>
            <w:rStyle w:val="Hyperlink"/>
            <w:noProof/>
          </w:rPr>
          <w:t>Table 22: Mean-time-to-identify and mean-time-to-contain data breaches in 2021, 2024 and 2025 (in days)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_Toc218767815 \h </w:instrText>
        </w:r>
        <w:r w:rsidR="00BB702E" w:rsidRPr="00FE7670">
          <w:rPr>
            <w:noProof/>
            <w:webHidden/>
          </w:rPr>
        </w:r>
        <w:r w:rsidR="00BB702E" w:rsidRPr="00FE7670">
          <w:rPr>
            <w:noProof/>
            <w:webHidden/>
          </w:rPr>
          <w:fldChar w:fldCharType="separate"/>
        </w:r>
        <w:r w:rsidR="00BB702E">
          <w:rPr>
            <w:noProof/>
            <w:webHidden/>
          </w:rPr>
          <w:t>208</w:t>
        </w:r>
        <w:r w:rsidR="00BB702E" w:rsidRPr="00FE7670">
          <w:rPr>
            <w:noProof/>
            <w:webHidden/>
          </w:rPr>
          <w:fldChar w:fldCharType="end"/>
        </w:r>
      </w:hyperlink>
    </w:p>
    <w:p w14:paraId="10193DD3" w14:textId="41C04DCF" w:rsidR="00BB702E" w:rsidRPr="00FE7670" w:rsidRDefault="00047E0F">
      <w:pPr>
        <w:pStyle w:val="TOC1"/>
        <w:rPr>
          <w:rFonts w:eastAsiaTheme="minorEastAsia"/>
          <w:caps w:val="0"/>
          <w:noProof/>
          <w:kern w:val="2"/>
          <w:lang w:val="en-IE" w:eastAsia="en-IE"/>
          <w14:ligatures w14:val="standardContextual"/>
        </w:rPr>
      </w:pPr>
      <w:hyperlink w:anchor="_Toc218767816" w:history="1">
        <w:r w:rsidR="00BB702E" w:rsidRPr="00FE7670">
          <w:rPr>
            <w:rStyle w:val="Hyperlink"/>
            <w:noProof/>
          </w:rPr>
          <w:t>Table 23: Mean-time-to-identify and mean-time-to-contain data breaches per identification method in 2025 (in days)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_Toc218767816 \h </w:instrText>
        </w:r>
        <w:r w:rsidR="00BB702E" w:rsidRPr="00FE7670">
          <w:rPr>
            <w:noProof/>
            <w:webHidden/>
          </w:rPr>
        </w:r>
        <w:r w:rsidR="00BB702E" w:rsidRPr="00FE7670">
          <w:rPr>
            <w:noProof/>
            <w:webHidden/>
          </w:rPr>
          <w:fldChar w:fldCharType="separate"/>
        </w:r>
        <w:r w:rsidR="00BB702E">
          <w:rPr>
            <w:noProof/>
            <w:webHidden/>
          </w:rPr>
          <w:t>208</w:t>
        </w:r>
        <w:r w:rsidR="00BB702E" w:rsidRPr="00FE7670">
          <w:rPr>
            <w:noProof/>
            <w:webHidden/>
          </w:rPr>
          <w:fldChar w:fldCharType="end"/>
        </w:r>
      </w:hyperlink>
    </w:p>
    <w:p w14:paraId="336579A1" w14:textId="0975DE30" w:rsidR="00BB702E" w:rsidRPr="00FE7670" w:rsidRDefault="00047E0F">
      <w:pPr>
        <w:pStyle w:val="TOC1"/>
        <w:rPr>
          <w:rFonts w:eastAsiaTheme="minorEastAsia"/>
          <w:caps w:val="0"/>
          <w:noProof/>
          <w:kern w:val="2"/>
          <w:lang w:val="en-IE" w:eastAsia="en-IE"/>
          <w14:ligatures w14:val="standardContextual"/>
        </w:rPr>
      </w:pPr>
      <w:hyperlink w:anchor="_Toc218767817" w:history="1">
        <w:r w:rsidR="00BB702E" w:rsidRPr="00FE7670">
          <w:rPr>
            <w:rStyle w:val="Hyperlink"/>
            <w:noProof/>
          </w:rPr>
          <w:t>Table 24: Mean-time-to-identify and mean-time-to-contain data breaches per use of emerging technologies in 2025 (in days)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_Toc218767817 \h </w:instrText>
        </w:r>
        <w:r w:rsidR="00BB702E" w:rsidRPr="00FE7670">
          <w:rPr>
            <w:noProof/>
            <w:webHidden/>
          </w:rPr>
        </w:r>
        <w:r w:rsidR="00BB702E" w:rsidRPr="00FE7670">
          <w:rPr>
            <w:noProof/>
            <w:webHidden/>
          </w:rPr>
          <w:fldChar w:fldCharType="separate"/>
        </w:r>
        <w:r w:rsidR="00BB702E">
          <w:rPr>
            <w:noProof/>
            <w:webHidden/>
          </w:rPr>
          <w:t>209</w:t>
        </w:r>
        <w:r w:rsidR="00BB702E" w:rsidRPr="00FE7670">
          <w:rPr>
            <w:noProof/>
            <w:webHidden/>
          </w:rPr>
          <w:fldChar w:fldCharType="end"/>
        </w:r>
      </w:hyperlink>
    </w:p>
    <w:p w14:paraId="56F7F53F" w14:textId="09D97EB4" w:rsidR="00BB702E" w:rsidRPr="00FE7670" w:rsidRDefault="00047E0F">
      <w:pPr>
        <w:pStyle w:val="TOC1"/>
        <w:rPr>
          <w:rFonts w:eastAsiaTheme="minorEastAsia"/>
          <w:caps w:val="0"/>
          <w:noProof/>
          <w:kern w:val="2"/>
          <w:lang w:val="en-IE" w:eastAsia="en-IE"/>
          <w14:ligatures w14:val="standardContextual"/>
        </w:rPr>
      </w:pPr>
      <w:hyperlink w:anchor="_Toc218767818" w:history="1">
        <w:r w:rsidR="00BB702E" w:rsidRPr="00FE7670">
          <w:rPr>
            <w:rStyle w:val="Hyperlink"/>
            <w:noProof/>
          </w:rPr>
          <w:t>Table 25: Economic cost of time to recover (in USD)</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_Toc218767818 \h </w:instrText>
        </w:r>
        <w:r w:rsidR="00BB702E" w:rsidRPr="00FE7670">
          <w:rPr>
            <w:noProof/>
            <w:webHidden/>
          </w:rPr>
        </w:r>
        <w:r w:rsidR="00BB702E" w:rsidRPr="00FE7670">
          <w:rPr>
            <w:noProof/>
            <w:webHidden/>
          </w:rPr>
          <w:fldChar w:fldCharType="separate"/>
        </w:r>
        <w:r w:rsidR="00BB702E">
          <w:rPr>
            <w:noProof/>
            <w:webHidden/>
          </w:rPr>
          <w:t>209</w:t>
        </w:r>
        <w:r w:rsidR="00BB702E" w:rsidRPr="00FE7670">
          <w:rPr>
            <w:noProof/>
            <w:webHidden/>
          </w:rPr>
          <w:fldChar w:fldCharType="end"/>
        </w:r>
      </w:hyperlink>
    </w:p>
    <w:p w14:paraId="018850FA" w14:textId="77DE79C2" w:rsidR="00BB702E" w:rsidRPr="00FE7670" w:rsidRDefault="00047E0F">
      <w:pPr>
        <w:pStyle w:val="TOC1"/>
        <w:rPr>
          <w:rFonts w:eastAsiaTheme="minorEastAsia"/>
          <w:caps w:val="0"/>
          <w:noProof/>
          <w:kern w:val="2"/>
          <w:lang w:val="en-IE" w:eastAsia="en-IE"/>
          <w14:ligatures w14:val="standardContextual"/>
        </w:rPr>
      </w:pPr>
      <w:hyperlink w:anchor="_Toc218767819" w:history="1">
        <w:r w:rsidR="00BB702E" w:rsidRPr="00FE7670">
          <w:rPr>
            <w:rStyle w:val="Hyperlink"/>
            <w:noProof/>
          </w:rPr>
          <w:t>Table 26: Examples of incidents and sectoral trends with societal and/or economic cross border impact (Source: Sophos)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_Toc218767819 \h </w:instrText>
        </w:r>
        <w:r w:rsidR="00BB702E" w:rsidRPr="00FE7670">
          <w:rPr>
            <w:noProof/>
            <w:webHidden/>
          </w:rPr>
        </w:r>
        <w:r w:rsidR="00BB702E" w:rsidRPr="00FE7670">
          <w:rPr>
            <w:noProof/>
            <w:webHidden/>
          </w:rPr>
          <w:fldChar w:fldCharType="separate"/>
        </w:r>
        <w:r w:rsidR="00BB702E">
          <w:rPr>
            <w:noProof/>
            <w:webHidden/>
          </w:rPr>
          <w:t>210</w:t>
        </w:r>
        <w:r w:rsidR="00BB702E" w:rsidRPr="00FE7670">
          <w:rPr>
            <w:noProof/>
            <w:webHidden/>
          </w:rPr>
          <w:fldChar w:fldCharType="end"/>
        </w:r>
      </w:hyperlink>
    </w:p>
    <w:p w14:paraId="65972730" w14:textId="2CF1F46C" w:rsidR="00BB702E" w:rsidRPr="00FE7670" w:rsidRDefault="00047E0F">
      <w:pPr>
        <w:pStyle w:val="TOC1"/>
        <w:rPr>
          <w:rFonts w:eastAsiaTheme="minorEastAsia"/>
          <w:caps w:val="0"/>
          <w:noProof/>
          <w:kern w:val="2"/>
          <w:lang w:val="en-IE" w:eastAsia="en-IE"/>
          <w14:ligatures w14:val="standardContextual"/>
        </w:rPr>
      </w:pPr>
      <w:hyperlink w:anchor="_Toc218767820" w:history="1">
        <w:r w:rsidR="00BB702E" w:rsidRPr="00FE7670">
          <w:rPr>
            <w:rStyle w:val="Hyperlink"/>
            <w:noProof/>
          </w:rPr>
          <w:t>Table 27: Examples of cyber incidents affecting SMEs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_Toc218767820 \h </w:instrText>
        </w:r>
        <w:r w:rsidR="00BB702E" w:rsidRPr="00FE7670">
          <w:rPr>
            <w:noProof/>
            <w:webHidden/>
          </w:rPr>
        </w:r>
        <w:r w:rsidR="00BB702E" w:rsidRPr="00FE7670">
          <w:rPr>
            <w:noProof/>
            <w:webHidden/>
          </w:rPr>
          <w:fldChar w:fldCharType="separate"/>
        </w:r>
        <w:r w:rsidR="00BB702E">
          <w:rPr>
            <w:noProof/>
            <w:webHidden/>
          </w:rPr>
          <w:t>216</w:t>
        </w:r>
        <w:r w:rsidR="00BB702E" w:rsidRPr="00FE7670">
          <w:rPr>
            <w:noProof/>
            <w:webHidden/>
          </w:rPr>
          <w:fldChar w:fldCharType="end"/>
        </w:r>
      </w:hyperlink>
    </w:p>
    <w:p w14:paraId="72C74842" w14:textId="593AB145" w:rsidR="00BB702E" w:rsidRPr="00FE7670" w:rsidRDefault="00047E0F">
      <w:pPr>
        <w:pStyle w:val="TOC1"/>
        <w:rPr>
          <w:rFonts w:eastAsiaTheme="minorEastAsia"/>
          <w:caps w:val="0"/>
          <w:noProof/>
          <w:kern w:val="2"/>
          <w:lang w:val="en-IE" w:eastAsia="en-IE"/>
          <w14:ligatures w14:val="standardContextual"/>
        </w:rPr>
      </w:pPr>
      <w:hyperlink w:anchor="_Toc218767821" w:history="1">
        <w:r w:rsidR="00BB702E" w:rsidRPr="00FE7670">
          <w:rPr>
            <w:rStyle w:val="Hyperlink"/>
            <w:noProof/>
          </w:rPr>
          <w:t>Table 28: Cybersecurity problems chain reaction</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_Toc218767821 \h </w:instrText>
        </w:r>
        <w:r w:rsidR="00BB702E" w:rsidRPr="00FE7670">
          <w:rPr>
            <w:noProof/>
            <w:webHidden/>
          </w:rPr>
        </w:r>
        <w:r w:rsidR="00BB702E" w:rsidRPr="00FE7670">
          <w:rPr>
            <w:noProof/>
            <w:webHidden/>
          </w:rPr>
          <w:fldChar w:fldCharType="separate"/>
        </w:r>
        <w:r w:rsidR="00BB702E">
          <w:rPr>
            <w:noProof/>
            <w:webHidden/>
          </w:rPr>
          <w:t>217</w:t>
        </w:r>
        <w:r w:rsidR="00BB702E" w:rsidRPr="00FE7670">
          <w:rPr>
            <w:noProof/>
            <w:webHidden/>
          </w:rPr>
          <w:fldChar w:fldCharType="end"/>
        </w:r>
      </w:hyperlink>
    </w:p>
    <w:p w14:paraId="622BFFE4" w14:textId="3BAF7C55" w:rsidR="00BB702E" w:rsidRPr="00FE7670" w:rsidRDefault="00047E0F">
      <w:pPr>
        <w:pStyle w:val="TOC1"/>
        <w:rPr>
          <w:rFonts w:eastAsiaTheme="minorEastAsia"/>
          <w:caps w:val="0"/>
          <w:noProof/>
          <w:kern w:val="2"/>
          <w:lang w:val="en-IE" w:eastAsia="en-IE"/>
          <w14:ligatures w14:val="standardContextual"/>
        </w:rPr>
      </w:pPr>
      <w:hyperlink w:anchor="_Toc218767822" w:history="1">
        <w:r w:rsidR="00BB702E" w:rsidRPr="00FE7670">
          <w:rPr>
            <w:rStyle w:val="Hyperlink"/>
            <w:noProof/>
          </w:rPr>
          <w:t>Table 29: Ransomware attacks: financial, economic and human impacts, recovery and root causes in France, Germany, Italy, Spain, Switzerland and the United Kingdom (Q1 2025)</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_Toc218767822 \h </w:instrText>
        </w:r>
        <w:r w:rsidR="00BB702E" w:rsidRPr="00FE7670">
          <w:rPr>
            <w:noProof/>
            <w:webHidden/>
          </w:rPr>
        </w:r>
        <w:r w:rsidR="00BB702E" w:rsidRPr="00FE7670">
          <w:rPr>
            <w:noProof/>
            <w:webHidden/>
          </w:rPr>
          <w:fldChar w:fldCharType="separate"/>
        </w:r>
        <w:r w:rsidR="00BB702E">
          <w:rPr>
            <w:noProof/>
            <w:webHidden/>
          </w:rPr>
          <w:t>227</w:t>
        </w:r>
        <w:r w:rsidR="00BB702E" w:rsidRPr="00FE7670">
          <w:rPr>
            <w:noProof/>
            <w:webHidden/>
          </w:rPr>
          <w:fldChar w:fldCharType="end"/>
        </w:r>
      </w:hyperlink>
    </w:p>
    <w:p w14:paraId="4D04A7AB" w14:textId="5641A1AB" w:rsidR="00BB702E" w:rsidRPr="00FE7670" w:rsidRDefault="00047E0F">
      <w:pPr>
        <w:pStyle w:val="TOC1"/>
        <w:rPr>
          <w:rFonts w:eastAsiaTheme="minorEastAsia"/>
          <w:caps w:val="0"/>
          <w:noProof/>
          <w:kern w:val="2"/>
          <w:lang w:val="en-IE" w:eastAsia="en-IE"/>
          <w14:ligatures w14:val="standardContextual"/>
        </w:rPr>
      </w:pPr>
      <w:hyperlink w:anchor="_Toc218767823" w:history="1">
        <w:r w:rsidR="00BB702E" w:rsidRPr="00FE7670">
          <w:rPr>
            <w:rStyle w:val="Hyperlink"/>
            <w:noProof/>
          </w:rPr>
          <w:t>Table 30: General overview of ENISA’s key stakeholders, their expectations and unmet needs in relation to ENISA’s current tasks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_Toc218767823 \h </w:instrText>
        </w:r>
        <w:r w:rsidR="00BB702E" w:rsidRPr="00FE7670">
          <w:rPr>
            <w:noProof/>
            <w:webHidden/>
          </w:rPr>
        </w:r>
        <w:r w:rsidR="00BB702E" w:rsidRPr="00FE7670">
          <w:rPr>
            <w:noProof/>
            <w:webHidden/>
          </w:rPr>
          <w:fldChar w:fldCharType="separate"/>
        </w:r>
        <w:r w:rsidR="00BB702E">
          <w:rPr>
            <w:noProof/>
            <w:webHidden/>
          </w:rPr>
          <w:t>328</w:t>
        </w:r>
        <w:r w:rsidR="00BB702E" w:rsidRPr="00FE7670">
          <w:rPr>
            <w:noProof/>
            <w:webHidden/>
          </w:rPr>
          <w:fldChar w:fldCharType="end"/>
        </w:r>
      </w:hyperlink>
    </w:p>
    <w:p w14:paraId="46A11CCB" w14:textId="2EE40054" w:rsidR="00BB702E" w:rsidRPr="00FE7670" w:rsidRDefault="00047E0F">
      <w:pPr>
        <w:pStyle w:val="TOC1"/>
        <w:rPr>
          <w:rFonts w:eastAsiaTheme="minorEastAsia"/>
          <w:caps w:val="0"/>
          <w:noProof/>
          <w:kern w:val="2"/>
          <w:lang w:val="en-IE" w:eastAsia="en-IE"/>
          <w14:ligatures w14:val="standardContextual"/>
        </w:rPr>
      </w:pPr>
      <w:hyperlink w:anchor="_Toc218767824" w:history="1">
        <w:r w:rsidR="00BB702E" w:rsidRPr="00FE7670">
          <w:rPr>
            <w:rStyle w:val="Hyperlink"/>
            <w:noProof/>
          </w:rPr>
          <w:t>Table 31: ENISA’s key stakeholders, their expectations and unmet needs in relation to the ECCF</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_Toc218767824 \h </w:instrText>
        </w:r>
        <w:r w:rsidR="00BB702E" w:rsidRPr="00FE7670">
          <w:rPr>
            <w:noProof/>
            <w:webHidden/>
          </w:rPr>
        </w:r>
        <w:r w:rsidR="00BB702E" w:rsidRPr="00FE7670">
          <w:rPr>
            <w:noProof/>
            <w:webHidden/>
          </w:rPr>
          <w:fldChar w:fldCharType="separate"/>
        </w:r>
        <w:r w:rsidR="00BB702E">
          <w:rPr>
            <w:noProof/>
            <w:webHidden/>
          </w:rPr>
          <w:t>335</w:t>
        </w:r>
        <w:r w:rsidR="00BB702E" w:rsidRPr="00FE7670">
          <w:rPr>
            <w:noProof/>
            <w:webHidden/>
          </w:rPr>
          <w:fldChar w:fldCharType="end"/>
        </w:r>
      </w:hyperlink>
    </w:p>
    <w:p w14:paraId="2DDA7123" w14:textId="7BED5CDF" w:rsidR="00BB702E" w:rsidRPr="00FE7670" w:rsidRDefault="00047E0F">
      <w:pPr>
        <w:pStyle w:val="TOC1"/>
        <w:rPr>
          <w:rFonts w:eastAsiaTheme="minorEastAsia"/>
          <w:caps w:val="0"/>
          <w:noProof/>
          <w:kern w:val="2"/>
          <w:lang w:val="en-IE" w:eastAsia="en-IE"/>
          <w14:ligatures w14:val="standardContextual"/>
        </w:rPr>
      </w:pPr>
      <w:hyperlink w:anchor="_Toc218767825" w:history="1">
        <w:r w:rsidR="00BB702E" w:rsidRPr="00FE7670">
          <w:rPr>
            <w:rStyle w:val="Hyperlink"/>
            <w:noProof/>
          </w:rPr>
          <w:t>Table 32: Evolution of ENISA’s activities from 2017 until 2024, including resource allocation (budget and FTEs)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_Toc218767825 \h </w:instrText>
        </w:r>
        <w:r w:rsidR="00BB702E" w:rsidRPr="00FE7670">
          <w:rPr>
            <w:noProof/>
            <w:webHidden/>
          </w:rPr>
        </w:r>
        <w:r w:rsidR="00BB702E" w:rsidRPr="00FE7670">
          <w:rPr>
            <w:noProof/>
            <w:webHidden/>
          </w:rPr>
          <w:fldChar w:fldCharType="separate"/>
        </w:r>
        <w:r w:rsidR="00BB702E">
          <w:rPr>
            <w:noProof/>
            <w:webHidden/>
          </w:rPr>
          <w:t>338</w:t>
        </w:r>
        <w:r w:rsidR="00BB702E" w:rsidRPr="00FE7670">
          <w:rPr>
            <w:noProof/>
            <w:webHidden/>
          </w:rPr>
          <w:fldChar w:fldCharType="end"/>
        </w:r>
      </w:hyperlink>
    </w:p>
    <w:p w14:paraId="303319F1" w14:textId="5C10C65B" w:rsidR="00BB702E" w:rsidRPr="00FE7670" w:rsidRDefault="00047E0F">
      <w:pPr>
        <w:pStyle w:val="TOC1"/>
        <w:rPr>
          <w:rFonts w:eastAsiaTheme="minorEastAsia"/>
          <w:caps w:val="0"/>
          <w:noProof/>
          <w:kern w:val="2"/>
          <w:lang w:val="en-IE" w:eastAsia="en-IE"/>
          <w14:ligatures w14:val="standardContextual"/>
        </w:rPr>
      </w:pPr>
      <w:hyperlink w:anchor="_Toc218767826" w:history="1">
        <w:r w:rsidR="00BB702E" w:rsidRPr="00FE7670">
          <w:rPr>
            <w:rStyle w:val="Hyperlink"/>
            <w:noProof/>
          </w:rPr>
          <w:t>Table 33: Overview of the net value of policy options</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_Toc218767826 \h </w:instrText>
        </w:r>
        <w:r w:rsidR="00BB702E" w:rsidRPr="00FE7670">
          <w:rPr>
            <w:noProof/>
            <w:webHidden/>
          </w:rPr>
        </w:r>
        <w:r w:rsidR="00BB702E" w:rsidRPr="00FE7670">
          <w:rPr>
            <w:noProof/>
            <w:webHidden/>
          </w:rPr>
          <w:fldChar w:fldCharType="separate"/>
        </w:r>
        <w:r w:rsidR="00BB702E">
          <w:rPr>
            <w:noProof/>
            <w:webHidden/>
          </w:rPr>
          <w:t>349</w:t>
        </w:r>
        <w:r w:rsidR="00BB702E" w:rsidRPr="00FE7670">
          <w:rPr>
            <w:noProof/>
            <w:webHidden/>
          </w:rPr>
          <w:fldChar w:fldCharType="end"/>
        </w:r>
      </w:hyperlink>
    </w:p>
    <w:p w14:paraId="3376FE4E" w14:textId="0A9667E7" w:rsidR="00BB702E" w:rsidRPr="00FE7670" w:rsidRDefault="00047E0F">
      <w:pPr>
        <w:pStyle w:val="TOC1"/>
        <w:rPr>
          <w:rFonts w:eastAsiaTheme="minorEastAsia"/>
          <w:caps w:val="0"/>
          <w:noProof/>
          <w:kern w:val="2"/>
          <w:lang w:val="en-IE" w:eastAsia="en-IE"/>
          <w14:ligatures w14:val="standardContextual"/>
        </w:rPr>
      </w:pPr>
      <w:hyperlink w:anchor="_Toc218767827" w:history="1">
        <w:r w:rsidR="00BB702E" w:rsidRPr="00FE7670">
          <w:rPr>
            <w:rStyle w:val="Hyperlink"/>
            <w:noProof/>
          </w:rPr>
          <w:t>Table 34: Monitoring and evaluation indicators per Specific Objective</w:t>
        </w:r>
        <w:r w:rsidR="00BB702E" w:rsidRPr="00FE7670">
          <w:rPr>
            <w:noProof/>
            <w:webHidden/>
          </w:rPr>
          <w:tab/>
        </w:r>
        <w:r w:rsidR="00BB702E" w:rsidRPr="00FE7670">
          <w:rPr>
            <w:noProof/>
            <w:webHidden/>
          </w:rPr>
          <w:fldChar w:fldCharType="begin"/>
        </w:r>
        <w:r w:rsidR="00BB702E" w:rsidRPr="00FE7670">
          <w:rPr>
            <w:noProof/>
            <w:webHidden/>
          </w:rPr>
          <w:instrText xml:space="preserve"> PAGEREF _Toc218767827 \h </w:instrText>
        </w:r>
        <w:r w:rsidR="00BB702E" w:rsidRPr="00FE7670">
          <w:rPr>
            <w:noProof/>
            <w:webHidden/>
          </w:rPr>
        </w:r>
        <w:r w:rsidR="00BB702E" w:rsidRPr="00FE7670">
          <w:rPr>
            <w:noProof/>
            <w:webHidden/>
          </w:rPr>
          <w:fldChar w:fldCharType="separate"/>
        </w:r>
        <w:r w:rsidR="00BB702E">
          <w:rPr>
            <w:noProof/>
            <w:webHidden/>
          </w:rPr>
          <w:t>354</w:t>
        </w:r>
        <w:r w:rsidR="00BB702E" w:rsidRPr="00FE7670">
          <w:rPr>
            <w:noProof/>
            <w:webHidden/>
          </w:rPr>
          <w:fldChar w:fldCharType="end"/>
        </w:r>
      </w:hyperlink>
    </w:p>
    <w:p w14:paraId="7F963B81" w14:textId="6DE07E45" w:rsidR="00A05FC6" w:rsidRPr="00FE7670" w:rsidRDefault="00EE3DF9" w:rsidP="00A05FC6">
      <w:pPr>
        <w:pStyle w:val="TOCHeading"/>
        <w:rPr>
          <w:noProof/>
          <w:sz w:val="20"/>
        </w:rPr>
      </w:pPr>
      <w:r w:rsidRPr="00FE7670">
        <w:rPr>
          <w:noProof/>
          <w:sz w:val="20"/>
        </w:rPr>
        <w:fldChar w:fldCharType="end"/>
      </w:r>
    </w:p>
    <w:p w14:paraId="03470A0B" w14:textId="71825654" w:rsidR="00EA3E62" w:rsidRPr="00FE7670" w:rsidRDefault="006257B1" w:rsidP="00EA3E62">
      <w:pPr>
        <w:pStyle w:val="TOCHeading"/>
        <w:rPr>
          <w:caps/>
          <w:noProof/>
          <w:sz w:val="20"/>
        </w:rPr>
      </w:pPr>
      <w:r w:rsidRPr="00FE7670">
        <w:rPr>
          <w:bCs/>
          <w:caps/>
          <w:noProof/>
          <w:sz w:val="20"/>
        </w:rPr>
        <w:t xml:space="preserve">List </w:t>
      </w:r>
      <w:r w:rsidR="00EA3E62" w:rsidRPr="00FE7670">
        <w:rPr>
          <w:bCs/>
          <w:caps/>
          <w:noProof/>
          <w:sz w:val="20"/>
        </w:rPr>
        <w:t>of Figures</w:t>
      </w:r>
      <w:r w:rsidR="00A05FC6" w:rsidRPr="00FE7670">
        <w:rPr>
          <w:bCs/>
          <w:caps/>
          <w:noProof/>
          <w:sz w:val="20"/>
        </w:rPr>
        <w:t xml:space="preserve"> (Annexes)</w:t>
      </w:r>
    </w:p>
    <w:p w14:paraId="7F3DB7E7" w14:textId="3773BDD6" w:rsidR="009105A8" w:rsidRDefault="00913100">
      <w:pPr>
        <w:pStyle w:val="TOC1"/>
        <w:rPr>
          <w:rFonts w:asciiTheme="minorHAnsi" w:eastAsiaTheme="minorEastAsia" w:hAnsiTheme="minorHAnsi" w:cstheme="minorBidi"/>
          <w:caps w:val="0"/>
          <w:noProof/>
          <w:kern w:val="2"/>
          <w:sz w:val="24"/>
          <w:szCs w:val="24"/>
          <w:lang w:val="en-IE" w:eastAsia="en-IE"/>
          <w14:ligatures w14:val="standardContextual"/>
        </w:rPr>
      </w:pPr>
      <w:r w:rsidRPr="00FE7670">
        <w:rPr>
          <w:noProof/>
        </w:rPr>
        <w:fldChar w:fldCharType="begin"/>
      </w:r>
      <w:r w:rsidRPr="00FE7670">
        <w:rPr>
          <w:noProof/>
        </w:rPr>
        <w:instrText xml:space="preserve"> TOC \h \z \t "Caption;1" </w:instrText>
      </w:r>
      <w:r w:rsidRPr="00FE7670">
        <w:rPr>
          <w:noProof/>
        </w:rPr>
        <w:fldChar w:fldCharType="separate"/>
      </w:r>
      <w:hyperlink w:anchor="_Toc219447473" w:history="1">
        <w:r w:rsidR="009105A8" w:rsidRPr="007C77D6">
          <w:rPr>
            <w:rStyle w:val="Hyperlink"/>
            <w:noProof/>
          </w:rPr>
          <w:t>Figure 1 Stakeholder’s views in ENISA’s tasks rated by importance</w:t>
        </w:r>
        <w:r w:rsidR="009105A8">
          <w:rPr>
            <w:noProof/>
            <w:webHidden/>
          </w:rPr>
          <w:tab/>
        </w:r>
        <w:r w:rsidR="009105A8">
          <w:rPr>
            <w:noProof/>
            <w:webHidden/>
          </w:rPr>
          <w:fldChar w:fldCharType="begin"/>
        </w:r>
        <w:r w:rsidR="009105A8">
          <w:rPr>
            <w:noProof/>
            <w:webHidden/>
          </w:rPr>
          <w:instrText xml:space="preserve"> PAGEREF _Toc219447473 \h </w:instrText>
        </w:r>
        <w:r w:rsidR="009105A8">
          <w:rPr>
            <w:noProof/>
            <w:webHidden/>
          </w:rPr>
        </w:r>
        <w:r w:rsidR="009105A8">
          <w:rPr>
            <w:noProof/>
            <w:webHidden/>
          </w:rPr>
          <w:fldChar w:fldCharType="separate"/>
        </w:r>
        <w:r w:rsidR="00385971">
          <w:rPr>
            <w:noProof/>
            <w:webHidden/>
          </w:rPr>
          <w:t>131</w:t>
        </w:r>
        <w:r w:rsidR="009105A8">
          <w:rPr>
            <w:noProof/>
            <w:webHidden/>
          </w:rPr>
          <w:fldChar w:fldCharType="end"/>
        </w:r>
      </w:hyperlink>
    </w:p>
    <w:p w14:paraId="7DC51991" w14:textId="6E4679FB"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4" w:history="1">
        <w:r w:rsidR="009105A8" w:rsidRPr="007C77D6">
          <w:rPr>
            <w:rStyle w:val="Hyperlink"/>
            <w:noProof/>
          </w:rPr>
          <w:t>Figure 2 Stakeholder’s views on ENISA’s biggest added value</w:t>
        </w:r>
        <w:r w:rsidR="009105A8">
          <w:rPr>
            <w:noProof/>
            <w:webHidden/>
          </w:rPr>
          <w:tab/>
        </w:r>
        <w:r w:rsidR="009105A8">
          <w:rPr>
            <w:noProof/>
            <w:webHidden/>
          </w:rPr>
          <w:fldChar w:fldCharType="begin"/>
        </w:r>
        <w:r w:rsidR="009105A8">
          <w:rPr>
            <w:noProof/>
            <w:webHidden/>
          </w:rPr>
          <w:instrText xml:space="preserve"> PAGEREF _Toc219447474 \h </w:instrText>
        </w:r>
        <w:r w:rsidR="009105A8">
          <w:rPr>
            <w:noProof/>
            <w:webHidden/>
          </w:rPr>
        </w:r>
        <w:r w:rsidR="009105A8">
          <w:rPr>
            <w:noProof/>
            <w:webHidden/>
          </w:rPr>
          <w:fldChar w:fldCharType="separate"/>
        </w:r>
        <w:r w:rsidR="009105A8">
          <w:rPr>
            <w:noProof/>
            <w:webHidden/>
          </w:rPr>
          <w:t>133</w:t>
        </w:r>
        <w:r w:rsidR="009105A8">
          <w:rPr>
            <w:noProof/>
            <w:webHidden/>
          </w:rPr>
          <w:fldChar w:fldCharType="end"/>
        </w:r>
      </w:hyperlink>
    </w:p>
    <w:p w14:paraId="0D72CB3C" w14:textId="20C277B7"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5" w:history="1">
        <w:r w:rsidR="009105A8" w:rsidRPr="007C77D6">
          <w:rPr>
            <w:rStyle w:val="Hyperlink"/>
            <w:noProof/>
          </w:rPr>
          <w:t>Figure 3 Stakeholder's agreement with statements about ENISA</w:t>
        </w:r>
        <w:r w:rsidR="009105A8">
          <w:rPr>
            <w:noProof/>
            <w:webHidden/>
          </w:rPr>
          <w:tab/>
        </w:r>
        <w:r w:rsidR="009105A8">
          <w:rPr>
            <w:noProof/>
            <w:webHidden/>
          </w:rPr>
          <w:fldChar w:fldCharType="begin"/>
        </w:r>
        <w:r w:rsidR="009105A8">
          <w:rPr>
            <w:noProof/>
            <w:webHidden/>
          </w:rPr>
          <w:instrText xml:space="preserve"> PAGEREF _Toc219447475 \h </w:instrText>
        </w:r>
        <w:r w:rsidR="009105A8">
          <w:rPr>
            <w:noProof/>
            <w:webHidden/>
          </w:rPr>
        </w:r>
        <w:r w:rsidR="009105A8">
          <w:rPr>
            <w:noProof/>
            <w:webHidden/>
          </w:rPr>
          <w:fldChar w:fldCharType="separate"/>
        </w:r>
        <w:r w:rsidR="009105A8">
          <w:rPr>
            <w:noProof/>
            <w:webHidden/>
          </w:rPr>
          <w:t>137</w:t>
        </w:r>
        <w:r w:rsidR="009105A8">
          <w:rPr>
            <w:noProof/>
            <w:webHidden/>
          </w:rPr>
          <w:fldChar w:fldCharType="end"/>
        </w:r>
      </w:hyperlink>
    </w:p>
    <w:p w14:paraId="07EB8482" w14:textId="01A13267"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6" w:history="1">
        <w:r w:rsidR="009105A8" w:rsidRPr="007C77D6">
          <w:rPr>
            <w:rStyle w:val="Hyperlink"/>
            <w:noProof/>
          </w:rPr>
          <w:t>Figure 4 Stakeholder’s views on the considerations that would encourage them to apply for a certificate under the European cybersecurity certification scheme</w:t>
        </w:r>
        <w:r w:rsidR="009105A8">
          <w:rPr>
            <w:noProof/>
            <w:webHidden/>
          </w:rPr>
          <w:tab/>
        </w:r>
        <w:r w:rsidR="009105A8">
          <w:rPr>
            <w:noProof/>
            <w:webHidden/>
          </w:rPr>
          <w:fldChar w:fldCharType="begin"/>
        </w:r>
        <w:r w:rsidR="009105A8">
          <w:rPr>
            <w:noProof/>
            <w:webHidden/>
          </w:rPr>
          <w:instrText xml:space="preserve"> PAGEREF _Toc219447476 \h </w:instrText>
        </w:r>
        <w:r w:rsidR="009105A8">
          <w:rPr>
            <w:noProof/>
            <w:webHidden/>
          </w:rPr>
        </w:r>
        <w:r w:rsidR="009105A8">
          <w:rPr>
            <w:noProof/>
            <w:webHidden/>
          </w:rPr>
          <w:fldChar w:fldCharType="separate"/>
        </w:r>
        <w:r w:rsidR="00385971">
          <w:rPr>
            <w:noProof/>
            <w:webHidden/>
          </w:rPr>
          <w:t>138</w:t>
        </w:r>
        <w:r w:rsidR="009105A8">
          <w:rPr>
            <w:noProof/>
            <w:webHidden/>
          </w:rPr>
          <w:fldChar w:fldCharType="end"/>
        </w:r>
      </w:hyperlink>
    </w:p>
    <w:p w14:paraId="71471C2E" w14:textId="2017513E"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7" w:history="1">
        <w:r w:rsidR="009105A8" w:rsidRPr="007C77D6">
          <w:rPr>
            <w:rStyle w:val="Hyperlink"/>
            <w:noProof/>
          </w:rPr>
          <w:t>Figure 5 Stakeholder’s agreement with statements about certification schemes</w:t>
        </w:r>
        <w:r w:rsidR="009105A8">
          <w:rPr>
            <w:noProof/>
            <w:webHidden/>
          </w:rPr>
          <w:tab/>
        </w:r>
        <w:r w:rsidR="009105A8">
          <w:rPr>
            <w:noProof/>
            <w:webHidden/>
          </w:rPr>
          <w:fldChar w:fldCharType="begin"/>
        </w:r>
        <w:r w:rsidR="009105A8">
          <w:rPr>
            <w:noProof/>
            <w:webHidden/>
          </w:rPr>
          <w:instrText xml:space="preserve"> PAGEREF _Toc219447477 \h </w:instrText>
        </w:r>
        <w:r w:rsidR="009105A8">
          <w:rPr>
            <w:noProof/>
            <w:webHidden/>
          </w:rPr>
        </w:r>
        <w:r w:rsidR="009105A8">
          <w:rPr>
            <w:noProof/>
            <w:webHidden/>
          </w:rPr>
          <w:fldChar w:fldCharType="separate"/>
        </w:r>
        <w:r w:rsidR="009105A8">
          <w:rPr>
            <w:noProof/>
            <w:webHidden/>
          </w:rPr>
          <w:t>140</w:t>
        </w:r>
        <w:r w:rsidR="009105A8">
          <w:rPr>
            <w:noProof/>
            <w:webHidden/>
          </w:rPr>
          <w:fldChar w:fldCharType="end"/>
        </w:r>
      </w:hyperlink>
    </w:p>
    <w:p w14:paraId="50111050" w14:textId="3994775D"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8" w:history="1">
        <w:r w:rsidR="009105A8" w:rsidRPr="007C77D6">
          <w:rPr>
            <w:rStyle w:val="Hyperlink"/>
            <w:noProof/>
          </w:rPr>
          <w:t>Figure 6 Stakeholder’s views on the role of ENISA regarding multiple areas of the ECCF</w:t>
        </w:r>
        <w:r w:rsidR="009105A8">
          <w:rPr>
            <w:noProof/>
            <w:webHidden/>
          </w:rPr>
          <w:tab/>
        </w:r>
        <w:r w:rsidR="009105A8">
          <w:rPr>
            <w:noProof/>
            <w:webHidden/>
          </w:rPr>
          <w:fldChar w:fldCharType="begin"/>
        </w:r>
        <w:r w:rsidR="009105A8">
          <w:rPr>
            <w:noProof/>
            <w:webHidden/>
          </w:rPr>
          <w:instrText xml:space="preserve"> PAGEREF _Toc219447478 \h </w:instrText>
        </w:r>
        <w:r w:rsidR="009105A8">
          <w:rPr>
            <w:noProof/>
            <w:webHidden/>
          </w:rPr>
        </w:r>
        <w:r w:rsidR="009105A8">
          <w:rPr>
            <w:noProof/>
            <w:webHidden/>
          </w:rPr>
          <w:fldChar w:fldCharType="separate"/>
        </w:r>
        <w:r w:rsidR="009105A8">
          <w:rPr>
            <w:noProof/>
            <w:webHidden/>
          </w:rPr>
          <w:t>141</w:t>
        </w:r>
        <w:r w:rsidR="009105A8">
          <w:rPr>
            <w:noProof/>
            <w:webHidden/>
          </w:rPr>
          <w:fldChar w:fldCharType="end"/>
        </w:r>
      </w:hyperlink>
    </w:p>
    <w:p w14:paraId="39ABB3CA" w14:textId="0FB406D6"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79" w:history="1">
        <w:r w:rsidR="009105A8" w:rsidRPr="007C77D6">
          <w:rPr>
            <w:rStyle w:val="Hyperlink"/>
            <w:noProof/>
          </w:rPr>
          <w:t>Figure 7 Stakeholder’s agreement with statements about the ECCG</w:t>
        </w:r>
        <w:r w:rsidR="009105A8">
          <w:rPr>
            <w:noProof/>
            <w:webHidden/>
          </w:rPr>
          <w:tab/>
        </w:r>
        <w:r w:rsidR="009105A8">
          <w:rPr>
            <w:noProof/>
            <w:webHidden/>
          </w:rPr>
          <w:fldChar w:fldCharType="begin"/>
        </w:r>
        <w:r w:rsidR="009105A8">
          <w:rPr>
            <w:noProof/>
            <w:webHidden/>
          </w:rPr>
          <w:instrText xml:space="preserve"> PAGEREF _Toc219447479 \h </w:instrText>
        </w:r>
        <w:r w:rsidR="009105A8">
          <w:rPr>
            <w:noProof/>
            <w:webHidden/>
          </w:rPr>
        </w:r>
        <w:r w:rsidR="009105A8">
          <w:rPr>
            <w:noProof/>
            <w:webHidden/>
          </w:rPr>
          <w:fldChar w:fldCharType="separate"/>
        </w:r>
        <w:r w:rsidR="009105A8">
          <w:rPr>
            <w:noProof/>
            <w:webHidden/>
          </w:rPr>
          <w:t>142</w:t>
        </w:r>
        <w:r w:rsidR="009105A8">
          <w:rPr>
            <w:noProof/>
            <w:webHidden/>
          </w:rPr>
          <w:fldChar w:fldCharType="end"/>
        </w:r>
      </w:hyperlink>
    </w:p>
    <w:p w14:paraId="0B1D2759" w14:textId="08770C06"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0" w:history="1">
        <w:r w:rsidR="009105A8" w:rsidRPr="007C77D6">
          <w:rPr>
            <w:rStyle w:val="Hyperlink"/>
            <w:noProof/>
          </w:rPr>
          <w:t>Figure 8 Stakeholder’s agreement with statements about the SCCG</w:t>
        </w:r>
        <w:r w:rsidR="009105A8">
          <w:rPr>
            <w:noProof/>
            <w:webHidden/>
          </w:rPr>
          <w:tab/>
        </w:r>
        <w:r w:rsidR="009105A8">
          <w:rPr>
            <w:noProof/>
            <w:webHidden/>
          </w:rPr>
          <w:fldChar w:fldCharType="begin"/>
        </w:r>
        <w:r w:rsidR="009105A8">
          <w:rPr>
            <w:noProof/>
            <w:webHidden/>
          </w:rPr>
          <w:instrText xml:space="preserve"> PAGEREF _Toc219447480 \h </w:instrText>
        </w:r>
        <w:r w:rsidR="009105A8">
          <w:rPr>
            <w:noProof/>
            <w:webHidden/>
          </w:rPr>
        </w:r>
        <w:r w:rsidR="009105A8">
          <w:rPr>
            <w:noProof/>
            <w:webHidden/>
          </w:rPr>
          <w:fldChar w:fldCharType="separate"/>
        </w:r>
        <w:r w:rsidR="009105A8">
          <w:rPr>
            <w:noProof/>
            <w:webHidden/>
          </w:rPr>
          <w:t>143</w:t>
        </w:r>
        <w:r w:rsidR="009105A8">
          <w:rPr>
            <w:noProof/>
            <w:webHidden/>
          </w:rPr>
          <w:fldChar w:fldCharType="end"/>
        </w:r>
      </w:hyperlink>
    </w:p>
    <w:p w14:paraId="787B4870" w14:textId="5A14F235"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1" w:history="1">
        <w:r w:rsidR="009105A8" w:rsidRPr="007C77D6">
          <w:rPr>
            <w:rStyle w:val="Hyperlink"/>
            <w:noProof/>
          </w:rPr>
          <w:t>Figure 10 Stakeholder’s view on regulatory burden regarding EU legislation</w:t>
        </w:r>
        <w:r w:rsidR="009105A8">
          <w:rPr>
            <w:noProof/>
            <w:webHidden/>
          </w:rPr>
          <w:tab/>
        </w:r>
        <w:r w:rsidR="009105A8">
          <w:rPr>
            <w:noProof/>
            <w:webHidden/>
          </w:rPr>
          <w:fldChar w:fldCharType="begin"/>
        </w:r>
        <w:r w:rsidR="009105A8">
          <w:rPr>
            <w:noProof/>
            <w:webHidden/>
          </w:rPr>
          <w:instrText xml:space="preserve"> PAGEREF _Toc219447481 \h </w:instrText>
        </w:r>
        <w:r w:rsidR="009105A8">
          <w:rPr>
            <w:noProof/>
            <w:webHidden/>
          </w:rPr>
        </w:r>
        <w:r w:rsidR="009105A8">
          <w:rPr>
            <w:noProof/>
            <w:webHidden/>
          </w:rPr>
          <w:fldChar w:fldCharType="separate"/>
        </w:r>
        <w:r w:rsidR="009105A8">
          <w:rPr>
            <w:noProof/>
            <w:webHidden/>
          </w:rPr>
          <w:t>144</w:t>
        </w:r>
        <w:r w:rsidR="009105A8">
          <w:rPr>
            <w:noProof/>
            <w:webHidden/>
          </w:rPr>
          <w:fldChar w:fldCharType="end"/>
        </w:r>
      </w:hyperlink>
    </w:p>
    <w:p w14:paraId="2C96D8FD" w14:textId="709CC5A6"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2" w:history="1">
        <w:r w:rsidR="009105A8" w:rsidRPr="007C77D6">
          <w:rPr>
            <w:rStyle w:val="Hyperlink"/>
            <w:noProof/>
          </w:rPr>
          <w:t>Figure 11 Stakeholder’s view on effectiveness of solutions to remove administrative burden</w:t>
        </w:r>
        <w:r w:rsidR="009105A8">
          <w:rPr>
            <w:noProof/>
            <w:webHidden/>
          </w:rPr>
          <w:tab/>
        </w:r>
        <w:r w:rsidR="009105A8">
          <w:rPr>
            <w:noProof/>
            <w:webHidden/>
          </w:rPr>
          <w:fldChar w:fldCharType="begin"/>
        </w:r>
        <w:r w:rsidR="009105A8">
          <w:rPr>
            <w:noProof/>
            <w:webHidden/>
          </w:rPr>
          <w:instrText xml:space="preserve"> PAGEREF _Toc219447482 \h </w:instrText>
        </w:r>
        <w:r w:rsidR="009105A8">
          <w:rPr>
            <w:noProof/>
            <w:webHidden/>
          </w:rPr>
        </w:r>
        <w:r w:rsidR="009105A8">
          <w:rPr>
            <w:noProof/>
            <w:webHidden/>
          </w:rPr>
          <w:fldChar w:fldCharType="separate"/>
        </w:r>
        <w:r w:rsidR="009105A8">
          <w:rPr>
            <w:noProof/>
            <w:webHidden/>
          </w:rPr>
          <w:t>145</w:t>
        </w:r>
        <w:r w:rsidR="009105A8">
          <w:rPr>
            <w:noProof/>
            <w:webHidden/>
          </w:rPr>
          <w:fldChar w:fldCharType="end"/>
        </w:r>
      </w:hyperlink>
    </w:p>
    <w:p w14:paraId="320F35C2" w14:textId="49576ECF"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3" w:history="1">
        <w:r w:rsidR="009105A8" w:rsidRPr="007C77D6">
          <w:rPr>
            <w:rStyle w:val="Hyperlink"/>
            <w:noProof/>
          </w:rPr>
          <w:t>Figure 12 Breakdown of incidents analysed by ENISA by threat type (July 2023-June 2024)</w:t>
        </w:r>
        <w:r w:rsidR="009105A8">
          <w:rPr>
            <w:noProof/>
            <w:webHidden/>
          </w:rPr>
          <w:tab/>
        </w:r>
        <w:r w:rsidR="009105A8">
          <w:rPr>
            <w:noProof/>
            <w:webHidden/>
          </w:rPr>
          <w:fldChar w:fldCharType="begin"/>
        </w:r>
        <w:r w:rsidR="009105A8">
          <w:rPr>
            <w:noProof/>
            <w:webHidden/>
          </w:rPr>
          <w:instrText xml:space="preserve"> PAGEREF _Toc219447483 \h </w:instrText>
        </w:r>
        <w:r w:rsidR="009105A8">
          <w:rPr>
            <w:noProof/>
            <w:webHidden/>
          </w:rPr>
        </w:r>
        <w:r w:rsidR="009105A8">
          <w:rPr>
            <w:noProof/>
            <w:webHidden/>
          </w:rPr>
          <w:fldChar w:fldCharType="separate"/>
        </w:r>
        <w:r w:rsidR="009105A8">
          <w:rPr>
            <w:noProof/>
            <w:webHidden/>
          </w:rPr>
          <w:t>203</w:t>
        </w:r>
        <w:r w:rsidR="009105A8">
          <w:rPr>
            <w:noProof/>
            <w:webHidden/>
          </w:rPr>
          <w:fldChar w:fldCharType="end"/>
        </w:r>
      </w:hyperlink>
    </w:p>
    <w:p w14:paraId="0C8E10C5" w14:textId="3A42DEA1"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4" w:history="1">
        <w:r w:rsidR="009105A8" w:rsidRPr="007C77D6">
          <w:rPr>
            <w:rStyle w:val="Hyperlink"/>
            <w:noProof/>
          </w:rPr>
          <w:t>Figure 13 1 ENISA’s outputs in policy tasks</w:t>
        </w:r>
        <w:r w:rsidR="009105A8">
          <w:rPr>
            <w:noProof/>
            <w:webHidden/>
          </w:rPr>
          <w:tab/>
        </w:r>
        <w:r w:rsidR="009105A8">
          <w:rPr>
            <w:noProof/>
            <w:webHidden/>
          </w:rPr>
          <w:fldChar w:fldCharType="begin"/>
        </w:r>
        <w:r w:rsidR="009105A8">
          <w:rPr>
            <w:noProof/>
            <w:webHidden/>
          </w:rPr>
          <w:instrText xml:space="preserve"> PAGEREF _Toc219447484 \h </w:instrText>
        </w:r>
        <w:r w:rsidR="009105A8">
          <w:rPr>
            <w:noProof/>
            <w:webHidden/>
          </w:rPr>
        </w:r>
        <w:r w:rsidR="009105A8">
          <w:rPr>
            <w:noProof/>
            <w:webHidden/>
          </w:rPr>
          <w:fldChar w:fldCharType="separate"/>
        </w:r>
        <w:r w:rsidR="009105A8">
          <w:rPr>
            <w:noProof/>
            <w:webHidden/>
          </w:rPr>
          <w:t>299</w:t>
        </w:r>
        <w:r w:rsidR="009105A8">
          <w:rPr>
            <w:noProof/>
            <w:webHidden/>
          </w:rPr>
          <w:fldChar w:fldCharType="end"/>
        </w:r>
      </w:hyperlink>
    </w:p>
    <w:p w14:paraId="41261F5F" w14:textId="3263A1C1"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5" w:history="1">
        <w:r w:rsidR="009105A8" w:rsidRPr="007C77D6">
          <w:rPr>
            <w:rStyle w:val="Hyperlink"/>
            <w:noProof/>
          </w:rPr>
          <w:t>Figure 142 The Cybersecurity Support Action’s support to Member States in preventing and responding to cyber attacks</w:t>
        </w:r>
        <w:r w:rsidR="009105A8">
          <w:rPr>
            <w:noProof/>
            <w:webHidden/>
          </w:rPr>
          <w:tab/>
        </w:r>
        <w:r w:rsidR="009105A8">
          <w:rPr>
            <w:noProof/>
            <w:webHidden/>
          </w:rPr>
          <w:fldChar w:fldCharType="begin"/>
        </w:r>
        <w:r w:rsidR="009105A8">
          <w:rPr>
            <w:noProof/>
            <w:webHidden/>
          </w:rPr>
          <w:instrText xml:space="preserve"> PAGEREF _Toc219447485 \h </w:instrText>
        </w:r>
        <w:r w:rsidR="009105A8">
          <w:rPr>
            <w:noProof/>
            <w:webHidden/>
          </w:rPr>
        </w:r>
        <w:r w:rsidR="009105A8">
          <w:rPr>
            <w:noProof/>
            <w:webHidden/>
          </w:rPr>
          <w:fldChar w:fldCharType="separate"/>
        </w:r>
        <w:r w:rsidR="009105A8">
          <w:rPr>
            <w:noProof/>
            <w:webHidden/>
          </w:rPr>
          <w:t>300</w:t>
        </w:r>
        <w:r w:rsidR="009105A8">
          <w:rPr>
            <w:noProof/>
            <w:webHidden/>
          </w:rPr>
          <w:fldChar w:fldCharType="end"/>
        </w:r>
      </w:hyperlink>
    </w:p>
    <w:p w14:paraId="6E8E5620" w14:textId="334125BB"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6" w:history="1">
        <w:r w:rsidR="009105A8" w:rsidRPr="007C77D6">
          <w:rPr>
            <w:rStyle w:val="Hyperlink"/>
            <w:noProof/>
          </w:rPr>
          <w:t>Figure 15 3 Relevance of ENISA’s support to different groups of stakeholders</w:t>
        </w:r>
        <w:r w:rsidR="009105A8">
          <w:rPr>
            <w:noProof/>
            <w:webHidden/>
          </w:rPr>
          <w:tab/>
        </w:r>
        <w:r w:rsidR="009105A8">
          <w:rPr>
            <w:noProof/>
            <w:webHidden/>
          </w:rPr>
          <w:fldChar w:fldCharType="begin"/>
        </w:r>
        <w:r w:rsidR="009105A8">
          <w:rPr>
            <w:noProof/>
            <w:webHidden/>
          </w:rPr>
          <w:instrText xml:space="preserve"> PAGEREF _Toc219447486 \h </w:instrText>
        </w:r>
        <w:r w:rsidR="009105A8">
          <w:rPr>
            <w:noProof/>
            <w:webHidden/>
          </w:rPr>
        </w:r>
        <w:r w:rsidR="009105A8">
          <w:rPr>
            <w:noProof/>
            <w:webHidden/>
          </w:rPr>
          <w:fldChar w:fldCharType="separate"/>
        </w:r>
        <w:r w:rsidR="009105A8">
          <w:rPr>
            <w:noProof/>
            <w:webHidden/>
          </w:rPr>
          <w:t>302</w:t>
        </w:r>
        <w:r w:rsidR="009105A8">
          <w:rPr>
            <w:noProof/>
            <w:webHidden/>
          </w:rPr>
          <w:fldChar w:fldCharType="end"/>
        </w:r>
      </w:hyperlink>
    </w:p>
    <w:p w14:paraId="658B08ED" w14:textId="65514EBF"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7" w:history="1">
        <w:r w:rsidR="009105A8" w:rsidRPr="007C77D6">
          <w:rPr>
            <w:rStyle w:val="Hyperlink"/>
            <w:noProof/>
          </w:rPr>
          <w:t>Figure 16 4 ENISA sufficiently exploited synergies with other stakeholders</w:t>
        </w:r>
        <w:r w:rsidR="009105A8">
          <w:rPr>
            <w:noProof/>
            <w:webHidden/>
          </w:rPr>
          <w:tab/>
        </w:r>
        <w:r w:rsidR="009105A8">
          <w:rPr>
            <w:noProof/>
            <w:webHidden/>
          </w:rPr>
          <w:fldChar w:fldCharType="begin"/>
        </w:r>
        <w:r w:rsidR="009105A8">
          <w:rPr>
            <w:noProof/>
            <w:webHidden/>
          </w:rPr>
          <w:instrText xml:space="preserve"> PAGEREF _Toc219447487 \h </w:instrText>
        </w:r>
        <w:r w:rsidR="009105A8">
          <w:rPr>
            <w:noProof/>
            <w:webHidden/>
          </w:rPr>
        </w:r>
        <w:r w:rsidR="009105A8">
          <w:rPr>
            <w:noProof/>
            <w:webHidden/>
          </w:rPr>
          <w:fldChar w:fldCharType="separate"/>
        </w:r>
        <w:r w:rsidR="009105A8">
          <w:rPr>
            <w:noProof/>
            <w:webHidden/>
          </w:rPr>
          <w:t>304</w:t>
        </w:r>
        <w:r w:rsidR="009105A8">
          <w:rPr>
            <w:noProof/>
            <w:webHidden/>
          </w:rPr>
          <w:fldChar w:fldCharType="end"/>
        </w:r>
      </w:hyperlink>
    </w:p>
    <w:p w14:paraId="21E25D51" w14:textId="7B46F117"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8" w:history="1">
        <w:r w:rsidR="009105A8" w:rsidRPr="007C77D6">
          <w:rPr>
            <w:rStyle w:val="Hyperlink"/>
            <w:noProof/>
          </w:rPr>
          <w:t>Figure 175 Overlaps between ENISA and other stakeholders in the field of cybersecurity</w:t>
        </w:r>
        <w:r w:rsidR="009105A8">
          <w:rPr>
            <w:noProof/>
            <w:webHidden/>
          </w:rPr>
          <w:tab/>
        </w:r>
        <w:r w:rsidR="009105A8">
          <w:rPr>
            <w:noProof/>
            <w:webHidden/>
          </w:rPr>
          <w:fldChar w:fldCharType="begin"/>
        </w:r>
        <w:r w:rsidR="009105A8">
          <w:rPr>
            <w:noProof/>
            <w:webHidden/>
          </w:rPr>
          <w:instrText xml:space="preserve"> PAGEREF _Toc219447488 \h </w:instrText>
        </w:r>
        <w:r w:rsidR="009105A8">
          <w:rPr>
            <w:noProof/>
            <w:webHidden/>
          </w:rPr>
        </w:r>
        <w:r w:rsidR="009105A8">
          <w:rPr>
            <w:noProof/>
            <w:webHidden/>
          </w:rPr>
          <w:fldChar w:fldCharType="separate"/>
        </w:r>
        <w:r w:rsidR="009105A8">
          <w:rPr>
            <w:noProof/>
            <w:webHidden/>
          </w:rPr>
          <w:t>305</w:t>
        </w:r>
        <w:r w:rsidR="009105A8">
          <w:rPr>
            <w:noProof/>
            <w:webHidden/>
          </w:rPr>
          <w:fldChar w:fldCharType="end"/>
        </w:r>
      </w:hyperlink>
    </w:p>
    <w:p w14:paraId="0422B183" w14:textId="6B9BFB49"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89" w:history="1">
        <w:r w:rsidR="009105A8" w:rsidRPr="007C77D6">
          <w:rPr>
            <w:rStyle w:val="Hyperlink"/>
            <w:noProof/>
          </w:rPr>
          <w:t>Figure 18 6ENISA’s contribution to promoting cybersecurity cooperation</w:t>
        </w:r>
        <w:r w:rsidR="009105A8">
          <w:rPr>
            <w:noProof/>
            <w:webHidden/>
          </w:rPr>
          <w:tab/>
        </w:r>
        <w:r w:rsidR="009105A8">
          <w:rPr>
            <w:noProof/>
            <w:webHidden/>
          </w:rPr>
          <w:fldChar w:fldCharType="begin"/>
        </w:r>
        <w:r w:rsidR="009105A8">
          <w:rPr>
            <w:noProof/>
            <w:webHidden/>
          </w:rPr>
          <w:instrText xml:space="preserve"> PAGEREF _Toc219447489 \h </w:instrText>
        </w:r>
        <w:r w:rsidR="009105A8">
          <w:rPr>
            <w:noProof/>
            <w:webHidden/>
          </w:rPr>
        </w:r>
        <w:r w:rsidR="009105A8">
          <w:rPr>
            <w:noProof/>
            <w:webHidden/>
          </w:rPr>
          <w:fldChar w:fldCharType="separate"/>
        </w:r>
        <w:r w:rsidR="009105A8">
          <w:rPr>
            <w:noProof/>
            <w:webHidden/>
          </w:rPr>
          <w:t>306</w:t>
        </w:r>
        <w:r w:rsidR="009105A8">
          <w:rPr>
            <w:noProof/>
            <w:webHidden/>
          </w:rPr>
          <w:fldChar w:fldCharType="end"/>
        </w:r>
      </w:hyperlink>
    </w:p>
    <w:p w14:paraId="4200B433" w14:textId="5A040A24"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0" w:history="1">
        <w:r w:rsidR="009105A8" w:rsidRPr="007C77D6">
          <w:rPr>
            <w:rStyle w:val="Hyperlink"/>
            <w:noProof/>
          </w:rPr>
          <w:t>Figure 19 7ENISA’s contribution to cooperation and coordination between stakeholders</w:t>
        </w:r>
        <w:r w:rsidR="009105A8">
          <w:rPr>
            <w:noProof/>
            <w:webHidden/>
          </w:rPr>
          <w:tab/>
        </w:r>
        <w:r w:rsidR="009105A8">
          <w:rPr>
            <w:noProof/>
            <w:webHidden/>
          </w:rPr>
          <w:fldChar w:fldCharType="begin"/>
        </w:r>
        <w:r w:rsidR="009105A8">
          <w:rPr>
            <w:noProof/>
            <w:webHidden/>
          </w:rPr>
          <w:instrText xml:space="preserve"> PAGEREF _Toc219447490 \h </w:instrText>
        </w:r>
        <w:r w:rsidR="009105A8">
          <w:rPr>
            <w:noProof/>
            <w:webHidden/>
          </w:rPr>
        </w:r>
        <w:r w:rsidR="009105A8">
          <w:rPr>
            <w:noProof/>
            <w:webHidden/>
          </w:rPr>
          <w:fldChar w:fldCharType="separate"/>
        </w:r>
        <w:r w:rsidR="009105A8">
          <w:rPr>
            <w:noProof/>
            <w:webHidden/>
          </w:rPr>
          <w:t>307</w:t>
        </w:r>
        <w:r w:rsidR="009105A8">
          <w:rPr>
            <w:noProof/>
            <w:webHidden/>
          </w:rPr>
          <w:fldChar w:fldCharType="end"/>
        </w:r>
      </w:hyperlink>
    </w:p>
    <w:p w14:paraId="300DD88D" w14:textId="6805F333"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1" w:history="1">
        <w:r w:rsidR="009105A8" w:rsidRPr="007C77D6">
          <w:rPr>
            <w:rStyle w:val="Hyperlink"/>
            <w:noProof/>
          </w:rPr>
          <w:t>Figure 208 Achieving ENISA’s objectives without ENISA itself</w:t>
        </w:r>
        <w:r w:rsidR="009105A8">
          <w:rPr>
            <w:noProof/>
            <w:webHidden/>
          </w:rPr>
          <w:tab/>
        </w:r>
        <w:r w:rsidR="009105A8">
          <w:rPr>
            <w:noProof/>
            <w:webHidden/>
          </w:rPr>
          <w:fldChar w:fldCharType="begin"/>
        </w:r>
        <w:r w:rsidR="009105A8">
          <w:rPr>
            <w:noProof/>
            <w:webHidden/>
          </w:rPr>
          <w:instrText xml:space="preserve"> PAGEREF _Toc219447491 \h </w:instrText>
        </w:r>
        <w:r w:rsidR="009105A8">
          <w:rPr>
            <w:noProof/>
            <w:webHidden/>
          </w:rPr>
        </w:r>
        <w:r w:rsidR="009105A8">
          <w:rPr>
            <w:noProof/>
            <w:webHidden/>
          </w:rPr>
          <w:fldChar w:fldCharType="separate"/>
        </w:r>
        <w:r w:rsidR="009105A8">
          <w:rPr>
            <w:noProof/>
            <w:webHidden/>
          </w:rPr>
          <w:t>308</w:t>
        </w:r>
        <w:r w:rsidR="009105A8">
          <w:rPr>
            <w:noProof/>
            <w:webHidden/>
          </w:rPr>
          <w:fldChar w:fldCharType="end"/>
        </w:r>
      </w:hyperlink>
    </w:p>
    <w:p w14:paraId="1E3972C4" w14:textId="474FC97D"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2" w:history="1">
        <w:r w:rsidR="009105A8" w:rsidRPr="007C77D6">
          <w:rPr>
            <w:rStyle w:val="Hyperlink"/>
            <w:noProof/>
          </w:rPr>
          <w:t>Figure 21 9 Added value of ENISA’s activities</w:t>
        </w:r>
        <w:r w:rsidR="009105A8">
          <w:rPr>
            <w:noProof/>
            <w:webHidden/>
          </w:rPr>
          <w:tab/>
        </w:r>
        <w:r w:rsidR="009105A8">
          <w:rPr>
            <w:noProof/>
            <w:webHidden/>
          </w:rPr>
          <w:fldChar w:fldCharType="begin"/>
        </w:r>
        <w:r w:rsidR="009105A8">
          <w:rPr>
            <w:noProof/>
            <w:webHidden/>
          </w:rPr>
          <w:instrText xml:space="preserve"> PAGEREF _Toc219447492 \h </w:instrText>
        </w:r>
        <w:r w:rsidR="009105A8">
          <w:rPr>
            <w:noProof/>
            <w:webHidden/>
          </w:rPr>
        </w:r>
        <w:r w:rsidR="009105A8">
          <w:rPr>
            <w:noProof/>
            <w:webHidden/>
          </w:rPr>
          <w:fldChar w:fldCharType="separate"/>
        </w:r>
        <w:r w:rsidR="009105A8">
          <w:rPr>
            <w:noProof/>
            <w:webHidden/>
          </w:rPr>
          <w:t>309</w:t>
        </w:r>
        <w:r w:rsidR="009105A8">
          <w:rPr>
            <w:noProof/>
            <w:webHidden/>
          </w:rPr>
          <w:fldChar w:fldCharType="end"/>
        </w:r>
      </w:hyperlink>
    </w:p>
    <w:p w14:paraId="1CF47F01" w14:textId="5AF191B5"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3" w:history="1">
        <w:r w:rsidR="009105A8" w:rsidRPr="007C77D6">
          <w:rPr>
            <w:rStyle w:val="Hyperlink"/>
            <w:noProof/>
          </w:rPr>
          <w:t>Figure 22 10 Objectives that were not reached according to stakeholders</w:t>
        </w:r>
        <w:r w:rsidR="009105A8">
          <w:rPr>
            <w:noProof/>
            <w:webHidden/>
          </w:rPr>
          <w:tab/>
        </w:r>
        <w:r w:rsidR="009105A8">
          <w:rPr>
            <w:noProof/>
            <w:webHidden/>
          </w:rPr>
          <w:fldChar w:fldCharType="begin"/>
        </w:r>
        <w:r w:rsidR="009105A8">
          <w:rPr>
            <w:noProof/>
            <w:webHidden/>
          </w:rPr>
          <w:instrText xml:space="preserve"> PAGEREF _Toc219447493 \h </w:instrText>
        </w:r>
        <w:r w:rsidR="009105A8">
          <w:rPr>
            <w:noProof/>
            <w:webHidden/>
          </w:rPr>
        </w:r>
        <w:r w:rsidR="009105A8">
          <w:rPr>
            <w:noProof/>
            <w:webHidden/>
          </w:rPr>
          <w:fldChar w:fldCharType="separate"/>
        </w:r>
        <w:r w:rsidR="009105A8">
          <w:rPr>
            <w:noProof/>
            <w:webHidden/>
          </w:rPr>
          <w:t>310</w:t>
        </w:r>
        <w:r w:rsidR="009105A8">
          <w:rPr>
            <w:noProof/>
            <w:webHidden/>
          </w:rPr>
          <w:fldChar w:fldCharType="end"/>
        </w:r>
      </w:hyperlink>
    </w:p>
    <w:p w14:paraId="6AB90CDF" w14:textId="006FA9AB"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4" w:history="1">
        <w:r w:rsidR="009105A8" w:rsidRPr="007C77D6">
          <w:rPr>
            <w:rStyle w:val="Hyperlink"/>
            <w:noProof/>
          </w:rPr>
          <w:t>Figure 23 11External factors influencing the ECCF’s objective</w:t>
        </w:r>
        <w:r w:rsidR="009105A8">
          <w:rPr>
            <w:noProof/>
            <w:webHidden/>
          </w:rPr>
          <w:tab/>
        </w:r>
        <w:r w:rsidR="009105A8">
          <w:rPr>
            <w:noProof/>
            <w:webHidden/>
          </w:rPr>
          <w:fldChar w:fldCharType="begin"/>
        </w:r>
        <w:r w:rsidR="009105A8">
          <w:rPr>
            <w:noProof/>
            <w:webHidden/>
          </w:rPr>
          <w:instrText xml:space="preserve"> PAGEREF _Toc219447494 \h </w:instrText>
        </w:r>
        <w:r w:rsidR="009105A8">
          <w:rPr>
            <w:noProof/>
            <w:webHidden/>
          </w:rPr>
        </w:r>
        <w:r w:rsidR="009105A8">
          <w:rPr>
            <w:noProof/>
            <w:webHidden/>
          </w:rPr>
          <w:fldChar w:fldCharType="separate"/>
        </w:r>
        <w:r w:rsidR="009105A8">
          <w:rPr>
            <w:noProof/>
            <w:webHidden/>
          </w:rPr>
          <w:t>311</w:t>
        </w:r>
        <w:r w:rsidR="009105A8">
          <w:rPr>
            <w:noProof/>
            <w:webHidden/>
          </w:rPr>
          <w:fldChar w:fldCharType="end"/>
        </w:r>
      </w:hyperlink>
    </w:p>
    <w:p w14:paraId="582FBA1A" w14:textId="56CCC196"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5" w:history="1">
        <w:r w:rsidR="009105A8" w:rsidRPr="007C77D6">
          <w:rPr>
            <w:rStyle w:val="Hyperlink"/>
            <w:noProof/>
          </w:rPr>
          <w:t>Figure 24 12 Stakeholders’ contribution to ensuring smooth functioning of the ECCF</w:t>
        </w:r>
        <w:r w:rsidR="009105A8">
          <w:rPr>
            <w:noProof/>
            <w:webHidden/>
          </w:rPr>
          <w:tab/>
        </w:r>
        <w:r w:rsidR="009105A8">
          <w:rPr>
            <w:noProof/>
            <w:webHidden/>
          </w:rPr>
          <w:fldChar w:fldCharType="begin"/>
        </w:r>
        <w:r w:rsidR="009105A8">
          <w:rPr>
            <w:noProof/>
            <w:webHidden/>
          </w:rPr>
          <w:instrText xml:space="preserve"> PAGEREF _Toc219447495 \h </w:instrText>
        </w:r>
        <w:r w:rsidR="009105A8">
          <w:rPr>
            <w:noProof/>
            <w:webHidden/>
          </w:rPr>
        </w:r>
        <w:r w:rsidR="009105A8">
          <w:rPr>
            <w:noProof/>
            <w:webHidden/>
          </w:rPr>
          <w:fldChar w:fldCharType="separate"/>
        </w:r>
        <w:r w:rsidR="009105A8">
          <w:rPr>
            <w:noProof/>
            <w:webHidden/>
          </w:rPr>
          <w:t>312</w:t>
        </w:r>
        <w:r w:rsidR="009105A8">
          <w:rPr>
            <w:noProof/>
            <w:webHidden/>
          </w:rPr>
          <w:fldChar w:fldCharType="end"/>
        </w:r>
      </w:hyperlink>
    </w:p>
    <w:p w14:paraId="3A035149" w14:textId="082B87BD"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6" w:history="1">
        <w:r w:rsidR="009105A8" w:rsidRPr="007C77D6">
          <w:rPr>
            <w:rStyle w:val="Hyperlink"/>
            <w:noProof/>
          </w:rPr>
          <w:t>Figure 2513 ECCF improvements</w:t>
        </w:r>
        <w:r w:rsidR="009105A8">
          <w:rPr>
            <w:noProof/>
            <w:webHidden/>
          </w:rPr>
          <w:tab/>
        </w:r>
        <w:r w:rsidR="009105A8">
          <w:rPr>
            <w:noProof/>
            <w:webHidden/>
          </w:rPr>
          <w:fldChar w:fldCharType="begin"/>
        </w:r>
        <w:r w:rsidR="009105A8">
          <w:rPr>
            <w:noProof/>
            <w:webHidden/>
          </w:rPr>
          <w:instrText xml:space="preserve"> PAGEREF _Toc219447496 \h </w:instrText>
        </w:r>
        <w:r w:rsidR="009105A8">
          <w:rPr>
            <w:noProof/>
            <w:webHidden/>
          </w:rPr>
        </w:r>
        <w:r w:rsidR="009105A8">
          <w:rPr>
            <w:noProof/>
            <w:webHidden/>
          </w:rPr>
          <w:fldChar w:fldCharType="separate"/>
        </w:r>
        <w:r w:rsidR="009105A8">
          <w:rPr>
            <w:noProof/>
            <w:webHidden/>
          </w:rPr>
          <w:t>312</w:t>
        </w:r>
        <w:r w:rsidR="009105A8">
          <w:rPr>
            <w:noProof/>
            <w:webHidden/>
          </w:rPr>
          <w:fldChar w:fldCharType="end"/>
        </w:r>
      </w:hyperlink>
    </w:p>
    <w:p w14:paraId="2C522F31" w14:textId="0903205A"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7" w:history="1">
        <w:r w:rsidR="009105A8" w:rsidRPr="007C77D6">
          <w:rPr>
            <w:rStyle w:val="Hyperlink"/>
            <w:noProof/>
          </w:rPr>
          <w:t>Figure 26 14 Impact of the CRA proposal on the ECCF</w:t>
        </w:r>
        <w:r w:rsidR="009105A8">
          <w:rPr>
            <w:noProof/>
            <w:webHidden/>
          </w:rPr>
          <w:tab/>
        </w:r>
        <w:r w:rsidR="009105A8">
          <w:rPr>
            <w:noProof/>
            <w:webHidden/>
          </w:rPr>
          <w:fldChar w:fldCharType="begin"/>
        </w:r>
        <w:r w:rsidR="009105A8">
          <w:rPr>
            <w:noProof/>
            <w:webHidden/>
          </w:rPr>
          <w:instrText xml:space="preserve"> PAGEREF _Toc219447497 \h </w:instrText>
        </w:r>
        <w:r w:rsidR="009105A8">
          <w:rPr>
            <w:noProof/>
            <w:webHidden/>
          </w:rPr>
        </w:r>
        <w:r w:rsidR="009105A8">
          <w:rPr>
            <w:noProof/>
            <w:webHidden/>
          </w:rPr>
          <w:fldChar w:fldCharType="separate"/>
        </w:r>
        <w:r w:rsidR="009105A8">
          <w:rPr>
            <w:noProof/>
            <w:webHidden/>
          </w:rPr>
          <w:t>314</w:t>
        </w:r>
        <w:r w:rsidR="009105A8">
          <w:rPr>
            <w:noProof/>
            <w:webHidden/>
          </w:rPr>
          <w:fldChar w:fldCharType="end"/>
        </w:r>
      </w:hyperlink>
    </w:p>
    <w:p w14:paraId="67E94430" w14:textId="57FCC322"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8" w:history="1">
        <w:r w:rsidR="009105A8" w:rsidRPr="007C77D6">
          <w:rPr>
            <w:rStyle w:val="Hyperlink"/>
            <w:noProof/>
          </w:rPr>
          <w:t>Figure 2715 ECCF added value</w:t>
        </w:r>
        <w:r w:rsidR="009105A8">
          <w:rPr>
            <w:noProof/>
            <w:webHidden/>
          </w:rPr>
          <w:tab/>
        </w:r>
        <w:r w:rsidR="009105A8">
          <w:rPr>
            <w:noProof/>
            <w:webHidden/>
          </w:rPr>
          <w:fldChar w:fldCharType="begin"/>
        </w:r>
        <w:r w:rsidR="009105A8">
          <w:rPr>
            <w:noProof/>
            <w:webHidden/>
          </w:rPr>
          <w:instrText xml:space="preserve"> PAGEREF _Toc219447498 \h </w:instrText>
        </w:r>
        <w:r w:rsidR="009105A8">
          <w:rPr>
            <w:noProof/>
            <w:webHidden/>
          </w:rPr>
        </w:r>
        <w:r w:rsidR="009105A8">
          <w:rPr>
            <w:noProof/>
            <w:webHidden/>
          </w:rPr>
          <w:fldChar w:fldCharType="separate"/>
        </w:r>
        <w:r w:rsidR="009105A8">
          <w:rPr>
            <w:noProof/>
            <w:webHidden/>
          </w:rPr>
          <w:t>315</w:t>
        </w:r>
        <w:r w:rsidR="009105A8">
          <w:rPr>
            <w:noProof/>
            <w:webHidden/>
          </w:rPr>
          <w:fldChar w:fldCharType="end"/>
        </w:r>
      </w:hyperlink>
    </w:p>
    <w:p w14:paraId="7AE9DA06" w14:textId="16D6D029"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499" w:history="1">
        <w:r w:rsidR="009105A8" w:rsidRPr="007C77D6">
          <w:rPr>
            <w:rStyle w:val="Hyperlink"/>
            <w:noProof/>
          </w:rPr>
          <w:t>Figure 2816 ECCF trust and transparency added value</w:t>
        </w:r>
        <w:r w:rsidR="009105A8">
          <w:rPr>
            <w:noProof/>
            <w:webHidden/>
          </w:rPr>
          <w:tab/>
        </w:r>
        <w:r w:rsidR="009105A8">
          <w:rPr>
            <w:noProof/>
            <w:webHidden/>
          </w:rPr>
          <w:fldChar w:fldCharType="begin"/>
        </w:r>
        <w:r w:rsidR="009105A8">
          <w:rPr>
            <w:noProof/>
            <w:webHidden/>
          </w:rPr>
          <w:instrText xml:space="preserve"> PAGEREF _Toc219447499 \h </w:instrText>
        </w:r>
        <w:r w:rsidR="009105A8">
          <w:rPr>
            <w:noProof/>
            <w:webHidden/>
          </w:rPr>
        </w:r>
        <w:r w:rsidR="009105A8">
          <w:rPr>
            <w:noProof/>
            <w:webHidden/>
          </w:rPr>
          <w:fldChar w:fldCharType="separate"/>
        </w:r>
        <w:r w:rsidR="009105A8">
          <w:rPr>
            <w:noProof/>
            <w:webHidden/>
          </w:rPr>
          <w:t>315</w:t>
        </w:r>
        <w:r w:rsidR="009105A8">
          <w:rPr>
            <w:noProof/>
            <w:webHidden/>
          </w:rPr>
          <w:fldChar w:fldCharType="end"/>
        </w:r>
      </w:hyperlink>
    </w:p>
    <w:p w14:paraId="785E0A4B" w14:textId="49FC8272"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500" w:history="1">
        <w:r w:rsidR="009105A8" w:rsidRPr="007C77D6">
          <w:rPr>
            <w:rStyle w:val="Hyperlink"/>
            <w:noProof/>
          </w:rPr>
          <w:t>Figure 29 Cybersecurity regulatory landscape and the place of CSA (2025 before CSA revision)</w:t>
        </w:r>
        <w:r w:rsidR="009105A8">
          <w:rPr>
            <w:noProof/>
            <w:webHidden/>
          </w:rPr>
          <w:tab/>
        </w:r>
        <w:r w:rsidR="009105A8">
          <w:rPr>
            <w:noProof/>
            <w:webHidden/>
          </w:rPr>
          <w:fldChar w:fldCharType="begin"/>
        </w:r>
        <w:r w:rsidR="009105A8">
          <w:rPr>
            <w:noProof/>
            <w:webHidden/>
          </w:rPr>
          <w:instrText xml:space="preserve"> PAGEREF _Toc219447500 \h </w:instrText>
        </w:r>
        <w:r w:rsidR="009105A8">
          <w:rPr>
            <w:noProof/>
            <w:webHidden/>
          </w:rPr>
        </w:r>
        <w:r w:rsidR="009105A8">
          <w:rPr>
            <w:noProof/>
            <w:webHidden/>
          </w:rPr>
          <w:fldChar w:fldCharType="separate"/>
        </w:r>
        <w:r w:rsidR="009105A8">
          <w:rPr>
            <w:noProof/>
            <w:webHidden/>
          </w:rPr>
          <w:t>320</w:t>
        </w:r>
        <w:r w:rsidR="009105A8">
          <w:rPr>
            <w:noProof/>
            <w:webHidden/>
          </w:rPr>
          <w:fldChar w:fldCharType="end"/>
        </w:r>
      </w:hyperlink>
    </w:p>
    <w:p w14:paraId="4ABDD1A9" w14:textId="7725292D" w:rsidR="009105A8" w:rsidRDefault="00047E0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447501" w:history="1">
        <w:r w:rsidR="009105A8" w:rsidRPr="007C77D6">
          <w:rPr>
            <w:rStyle w:val="Hyperlink"/>
            <w:noProof/>
          </w:rPr>
          <w:t>Figure 3017 EU Cybersecurity Certification Scheme Development Process</w:t>
        </w:r>
        <w:r w:rsidR="009105A8">
          <w:rPr>
            <w:noProof/>
            <w:webHidden/>
          </w:rPr>
          <w:tab/>
        </w:r>
        <w:r w:rsidR="009105A8">
          <w:rPr>
            <w:noProof/>
            <w:webHidden/>
          </w:rPr>
          <w:fldChar w:fldCharType="begin"/>
        </w:r>
        <w:r w:rsidR="009105A8">
          <w:rPr>
            <w:noProof/>
            <w:webHidden/>
          </w:rPr>
          <w:instrText xml:space="preserve"> PAGEREF _Toc219447501 \h </w:instrText>
        </w:r>
        <w:r w:rsidR="009105A8">
          <w:rPr>
            <w:noProof/>
            <w:webHidden/>
          </w:rPr>
        </w:r>
        <w:r w:rsidR="009105A8">
          <w:rPr>
            <w:noProof/>
            <w:webHidden/>
          </w:rPr>
          <w:fldChar w:fldCharType="separate"/>
        </w:r>
        <w:r w:rsidR="009105A8">
          <w:rPr>
            <w:noProof/>
            <w:webHidden/>
          </w:rPr>
          <w:t>342</w:t>
        </w:r>
        <w:r w:rsidR="009105A8">
          <w:rPr>
            <w:noProof/>
            <w:webHidden/>
          </w:rPr>
          <w:fldChar w:fldCharType="end"/>
        </w:r>
      </w:hyperlink>
    </w:p>
    <w:p w14:paraId="1AB99A8F" w14:textId="6F212851" w:rsidR="001B0161" w:rsidRPr="00FE7670" w:rsidRDefault="00913100" w:rsidP="00EE3DF9">
      <w:pPr>
        <w:rPr>
          <w:noProof/>
          <w:sz w:val="22"/>
          <w:szCs w:val="22"/>
        </w:rPr>
      </w:pPr>
      <w:r w:rsidRPr="00FE7670">
        <w:rPr>
          <w:noProof/>
          <w:sz w:val="20"/>
          <w:szCs w:val="20"/>
        </w:rPr>
        <w:fldChar w:fldCharType="end"/>
      </w:r>
    </w:p>
    <w:p w14:paraId="1FE6A18A" w14:textId="77777777" w:rsidR="00EA3E62" w:rsidRDefault="00EA3E62">
      <w:pPr>
        <w:spacing w:after="200" w:line="276" w:lineRule="auto"/>
        <w:jc w:val="left"/>
        <w:rPr>
          <w:rFonts w:eastAsia="Times New Roman"/>
          <w:b/>
          <w:smallCaps/>
          <w:noProof/>
          <w:szCs w:val="20"/>
        </w:rPr>
      </w:pPr>
      <w:bookmarkStart w:id="5" w:name="_Toc210393796"/>
      <w:r>
        <w:rPr>
          <w:noProof/>
        </w:rPr>
        <w:br w:type="page"/>
      </w:r>
    </w:p>
    <w:p w14:paraId="40BB17CE" w14:textId="45708141" w:rsidR="0081339A" w:rsidRPr="00CE2185" w:rsidRDefault="0081339A" w:rsidP="0081339A">
      <w:pPr>
        <w:pStyle w:val="Heading1"/>
        <w:numPr>
          <w:ilvl w:val="0"/>
          <w:numId w:val="0"/>
        </w:numPr>
        <w:ind w:left="480" w:hanging="480"/>
        <w:rPr>
          <w:noProof/>
        </w:rPr>
      </w:pPr>
      <w:bookmarkStart w:id="6" w:name="_Toc219447335"/>
      <w:r w:rsidRPr="00CE2185">
        <w:rPr>
          <w:noProof/>
        </w:rPr>
        <w:t>Glossary</w:t>
      </w:r>
      <w:bookmarkEnd w:id="5"/>
      <w:bookmarkEnd w:id="6"/>
    </w:p>
    <w:p w14:paraId="5B7F8E26" w14:textId="56D9E3CF" w:rsidR="00E21971" w:rsidRPr="00CE2185" w:rsidRDefault="005E47CC" w:rsidP="00E21971">
      <w:pPr>
        <w:pStyle w:val="Text1"/>
        <w:ind w:left="0"/>
        <w:rPr>
          <w:noProof/>
        </w:rPr>
      </w:pPr>
      <w:r w:rsidRPr="00CE2185">
        <w:rPr>
          <w:noProof/>
        </w:rPr>
        <w:t xml:space="preserve">The below table explains the key terms </w:t>
      </w:r>
      <w:r w:rsidR="00005E8A" w:rsidRPr="00CE2185">
        <w:rPr>
          <w:noProof/>
        </w:rPr>
        <w:t>or acronyms used in this document.</w:t>
      </w:r>
    </w:p>
    <w:tbl>
      <w:tblPr>
        <w:tblStyle w:val="TableGrid"/>
        <w:tblW w:w="0" w:type="auto"/>
        <w:tblLook w:val="04A0" w:firstRow="1" w:lastRow="0" w:firstColumn="1" w:lastColumn="0" w:noHBand="0" w:noVBand="1"/>
      </w:tblPr>
      <w:tblGrid>
        <w:gridCol w:w="2315"/>
        <w:gridCol w:w="6548"/>
      </w:tblGrid>
      <w:tr w:rsidR="00614BE5" w:rsidRPr="00CE2185" w14:paraId="509860D3" w14:textId="77777777" w:rsidTr="00416674">
        <w:trPr>
          <w:tblHeader/>
        </w:trPr>
        <w:tc>
          <w:tcPr>
            <w:tcW w:w="2376" w:type="dxa"/>
            <w:shd w:val="clear" w:color="auto" w:fill="B8CCE4" w:themeFill="accent1" w:themeFillTint="66"/>
          </w:tcPr>
          <w:p w14:paraId="0CCB8820" w14:textId="49BB05BC" w:rsidR="00614BE5" w:rsidRPr="00CE2185" w:rsidRDefault="00614BE5" w:rsidP="00E21971">
            <w:pPr>
              <w:pStyle w:val="Text1"/>
              <w:ind w:left="0"/>
              <w:rPr>
                <w:i/>
                <w:noProof/>
              </w:rPr>
            </w:pPr>
            <w:r w:rsidRPr="00CE2185">
              <w:rPr>
                <w:i/>
                <w:noProof/>
              </w:rPr>
              <w:t>Term or acronym</w:t>
            </w:r>
          </w:p>
        </w:tc>
        <w:tc>
          <w:tcPr>
            <w:tcW w:w="6910" w:type="dxa"/>
            <w:shd w:val="clear" w:color="auto" w:fill="B8CCE4" w:themeFill="accent1" w:themeFillTint="66"/>
          </w:tcPr>
          <w:p w14:paraId="7731E7D9" w14:textId="7FE9F90F" w:rsidR="00614BE5" w:rsidRPr="00CE2185" w:rsidRDefault="00614BE5" w:rsidP="00E21971">
            <w:pPr>
              <w:pStyle w:val="Text1"/>
              <w:ind w:left="0"/>
              <w:rPr>
                <w:i/>
                <w:noProof/>
              </w:rPr>
            </w:pPr>
            <w:r w:rsidRPr="00CE2185">
              <w:rPr>
                <w:i/>
                <w:noProof/>
              </w:rPr>
              <w:t>Meaning or definition</w:t>
            </w:r>
          </w:p>
        </w:tc>
      </w:tr>
      <w:tr w:rsidR="009C42C6" w:rsidRPr="00CE2185" w14:paraId="3D7888E2" w14:textId="77777777" w:rsidTr="00416674">
        <w:tc>
          <w:tcPr>
            <w:tcW w:w="2376" w:type="dxa"/>
          </w:tcPr>
          <w:p w14:paraId="676B8267" w14:textId="1AB40E71" w:rsidR="009C42C6" w:rsidRPr="00CE2185" w:rsidRDefault="009C42C6" w:rsidP="009C42C6">
            <w:pPr>
              <w:pStyle w:val="Text1"/>
              <w:ind w:left="0"/>
              <w:rPr>
                <w:noProof/>
              </w:rPr>
            </w:pPr>
            <w:r w:rsidRPr="00CE2185">
              <w:rPr>
                <w:noProof/>
              </w:rPr>
              <w:t>2024 Evaluation report</w:t>
            </w:r>
          </w:p>
        </w:tc>
        <w:tc>
          <w:tcPr>
            <w:tcW w:w="6910" w:type="dxa"/>
          </w:tcPr>
          <w:p w14:paraId="2276AA86" w14:textId="089AC2DF" w:rsidR="009C42C6" w:rsidRPr="00CE2185" w:rsidRDefault="009C42C6" w:rsidP="009C42C6">
            <w:pPr>
              <w:pStyle w:val="Text1"/>
              <w:ind w:left="0"/>
              <w:rPr>
                <w:noProof/>
              </w:rPr>
            </w:pPr>
            <w:r w:rsidRPr="00CE2185">
              <w:rPr>
                <w:noProof/>
              </w:rPr>
              <w:t>Report from the Commission to the European Parliament and the Council on the Evaluation of the European Union Agency for Cybersecurity (ENISA) and the European Cybersecurity Certification Framework</w:t>
            </w:r>
          </w:p>
        </w:tc>
      </w:tr>
      <w:tr w:rsidR="00DA5428" w:rsidRPr="00CE2185" w14:paraId="1D2F18DB" w14:textId="77777777" w:rsidTr="00416674">
        <w:tc>
          <w:tcPr>
            <w:tcW w:w="2376" w:type="dxa"/>
          </w:tcPr>
          <w:p w14:paraId="6F9DAB49" w14:textId="12434BDF" w:rsidR="00DA5428" w:rsidRPr="00CE2185" w:rsidRDefault="00DA5428" w:rsidP="009C42C6">
            <w:pPr>
              <w:pStyle w:val="Text1"/>
              <w:ind w:left="0"/>
              <w:rPr>
                <w:noProof/>
              </w:rPr>
            </w:pPr>
            <w:r w:rsidRPr="00CE2185">
              <w:rPr>
                <w:noProof/>
              </w:rPr>
              <w:t>5G Cybersecurity Toolbox</w:t>
            </w:r>
          </w:p>
        </w:tc>
        <w:tc>
          <w:tcPr>
            <w:tcW w:w="6910" w:type="dxa"/>
          </w:tcPr>
          <w:p w14:paraId="0EC10024" w14:textId="4F18B293" w:rsidR="00DA5428" w:rsidRPr="00CE2185" w:rsidRDefault="00DA5428" w:rsidP="009C42C6">
            <w:pPr>
              <w:pStyle w:val="Text1"/>
              <w:ind w:left="0"/>
              <w:rPr>
                <w:noProof/>
              </w:rPr>
            </w:pPr>
            <w:r w:rsidRPr="00CE2185">
              <w:rPr>
                <w:noProof/>
                <w:szCs w:val="24"/>
              </w:rPr>
              <w:t>European Commission, Commission Recommendation (EU) 2019/534 of 26 March 2019, Cybersecurity of 5G networks.</w:t>
            </w:r>
          </w:p>
        </w:tc>
      </w:tr>
      <w:tr w:rsidR="007F06AE" w:rsidRPr="00CE2185" w14:paraId="645CE8BC" w14:textId="77777777" w:rsidTr="00416674">
        <w:tc>
          <w:tcPr>
            <w:tcW w:w="2376" w:type="dxa"/>
          </w:tcPr>
          <w:p w14:paraId="62B1D795" w14:textId="30E0BF48" w:rsidR="007F06AE" w:rsidRPr="00CE2185" w:rsidRDefault="007F06AE" w:rsidP="009C42C6">
            <w:pPr>
              <w:pStyle w:val="Text1"/>
              <w:ind w:left="0"/>
              <w:rPr>
                <w:noProof/>
              </w:rPr>
            </w:pPr>
            <w:r w:rsidRPr="00CE2185">
              <w:rPr>
                <w:noProof/>
              </w:rPr>
              <w:t>AHWG</w:t>
            </w:r>
          </w:p>
        </w:tc>
        <w:tc>
          <w:tcPr>
            <w:tcW w:w="6910" w:type="dxa"/>
          </w:tcPr>
          <w:p w14:paraId="5BA858A0" w14:textId="57469383" w:rsidR="007F06AE" w:rsidRPr="00CE2185" w:rsidRDefault="007F06AE" w:rsidP="009C42C6">
            <w:pPr>
              <w:pStyle w:val="Text1"/>
              <w:ind w:left="0"/>
              <w:rPr>
                <w:noProof/>
              </w:rPr>
            </w:pPr>
            <w:r w:rsidRPr="00CE2185">
              <w:rPr>
                <w:noProof/>
              </w:rPr>
              <w:t>Ad hoc working group</w:t>
            </w:r>
          </w:p>
        </w:tc>
      </w:tr>
      <w:tr w:rsidR="001E0411" w:rsidRPr="00CE2185" w14:paraId="425D665F" w14:textId="77777777" w:rsidTr="00416674">
        <w:tc>
          <w:tcPr>
            <w:tcW w:w="2376" w:type="dxa"/>
          </w:tcPr>
          <w:p w14:paraId="10EA349A" w14:textId="7322AF43" w:rsidR="001E0411" w:rsidRPr="00CE2185" w:rsidRDefault="001E0411" w:rsidP="009C42C6">
            <w:pPr>
              <w:pStyle w:val="Text1"/>
              <w:ind w:left="0"/>
              <w:rPr>
                <w:noProof/>
              </w:rPr>
            </w:pPr>
            <w:r w:rsidRPr="00CE2185">
              <w:rPr>
                <w:noProof/>
              </w:rPr>
              <w:t xml:space="preserve">CER Directive </w:t>
            </w:r>
          </w:p>
        </w:tc>
        <w:tc>
          <w:tcPr>
            <w:tcW w:w="6910" w:type="dxa"/>
          </w:tcPr>
          <w:p w14:paraId="03F0A7AE" w14:textId="73B61A72" w:rsidR="001E0411" w:rsidRPr="00CE2185" w:rsidRDefault="000A56C1" w:rsidP="009C42C6">
            <w:pPr>
              <w:pStyle w:val="Text1"/>
              <w:ind w:left="0"/>
              <w:rPr>
                <w:noProof/>
              </w:rPr>
            </w:pPr>
            <w:r w:rsidRPr="00CE2185">
              <w:rPr>
                <w:noProof/>
              </w:rPr>
              <w:t xml:space="preserve">Directive (EU) 2022/2557 of the European Parliament and of the Council of 14 December 2022 on the resilience of critical entities and repealing Council Directive 2008/114/EC </w:t>
            </w:r>
          </w:p>
        </w:tc>
      </w:tr>
      <w:tr w:rsidR="001405DA" w:rsidRPr="00CE2185" w14:paraId="15FB9C19" w14:textId="77777777" w:rsidTr="00416674">
        <w:tc>
          <w:tcPr>
            <w:tcW w:w="2376" w:type="dxa"/>
          </w:tcPr>
          <w:p w14:paraId="19F48C97" w14:textId="26352B0C" w:rsidR="001405DA" w:rsidRPr="00CE2185" w:rsidRDefault="001405DA" w:rsidP="009C42C6">
            <w:pPr>
              <w:pStyle w:val="Text1"/>
              <w:ind w:left="0"/>
              <w:rPr>
                <w:noProof/>
              </w:rPr>
            </w:pPr>
            <w:r w:rsidRPr="00CE2185">
              <w:rPr>
                <w:noProof/>
              </w:rPr>
              <w:t xml:space="preserve">CERT-EU </w:t>
            </w:r>
          </w:p>
        </w:tc>
        <w:tc>
          <w:tcPr>
            <w:tcW w:w="6910" w:type="dxa"/>
          </w:tcPr>
          <w:p w14:paraId="55C231C1" w14:textId="67921D96" w:rsidR="001405DA" w:rsidRPr="00CE2185" w:rsidRDefault="008C0816" w:rsidP="009C42C6">
            <w:pPr>
              <w:pStyle w:val="Text1"/>
              <w:ind w:left="0"/>
              <w:rPr>
                <w:noProof/>
              </w:rPr>
            </w:pPr>
            <w:r>
              <w:rPr>
                <w:noProof/>
              </w:rPr>
              <w:t>T</w:t>
            </w:r>
            <w:r w:rsidRPr="008C0816">
              <w:rPr>
                <w:noProof/>
              </w:rPr>
              <w:t>he Cybersecurity Service for Union institutions, bodies, offices and agencies</w:t>
            </w:r>
          </w:p>
        </w:tc>
      </w:tr>
      <w:tr w:rsidR="00033530" w:rsidRPr="00CE2185" w14:paraId="7948534F" w14:textId="77777777" w:rsidTr="00416674">
        <w:tc>
          <w:tcPr>
            <w:tcW w:w="2376" w:type="dxa"/>
          </w:tcPr>
          <w:p w14:paraId="00C1DF88" w14:textId="519497D5" w:rsidR="00033530" w:rsidRPr="00CE2185" w:rsidRDefault="00B67FDA" w:rsidP="00E2321B">
            <w:pPr>
              <w:pStyle w:val="Text1"/>
              <w:ind w:left="0"/>
              <w:rPr>
                <w:noProof/>
              </w:rPr>
            </w:pPr>
            <w:r w:rsidRPr="00CE2185">
              <w:rPr>
                <w:noProof/>
              </w:rPr>
              <w:t xml:space="preserve">Certification </w:t>
            </w:r>
          </w:p>
        </w:tc>
        <w:tc>
          <w:tcPr>
            <w:tcW w:w="6910" w:type="dxa"/>
          </w:tcPr>
          <w:p w14:paraId="28A912F0" w14:textId="50CF7AFE" w:rsidR="00033530" w:rsidRPr="00CE2185" w:rsidRDefault="003D0FAC" w:rsidP="00E2321B">
            <w:pPr>
              <w:pStyle w:val="Text1"/>
              <w:ind w:left="0"/>
              <w:rPr>
                <w:noProof/>
              </w:rPr>
            </w:pPr>
            <w:r w:rsidRPr="00CE2185">
              <w:rPr>
                <w:noProof/>
              </w:rPr>
              <w:t>The formal evaluation of products, services and processes by an independent and accredited body against a defined standard and the issuing of a certificate indicating conformance.</w:t>
            </w:r>
          </w:p>
        </w:tc>
      </w:tr>
      <w:tr w:rsidR="00E2321B" w:rsidRPr="00CE2185" w14:paraId="62753B2F" w14:textId="77777777" w:rsidTr="00416674">
        <w:tc>
          <w:tcPr>
            <w:tcW w:w="2376" w:type="dxa"/>
          </w:tcPr>
          <w:p w14:paraId="316FA057" w14:textId="5026D276" w:rsidR="00E2321B" w:rsidRPr="00CE2185" w:rsidRDefault="00E2321B" w:rsidP="00E2321B">
            <w:pPr>
              <w:pStyle w:val="Text1"/>
              <w:ind w:left="0"/>
              <w:rPr>
                <w:noProof/>
              </w:rPr>
            </w:pPr>
            <w:r w:rsidRPr="00CE2185">
              <w:rPr>
                <w:noProof/>
              </w:rPr>
              <w:t xml:space="preserve">CRA </w:t>
            </w:r>
          </w:p>
        </w:tc>
        <w:tc>
          <w:tcPr>
            <w:tcW w:w="6910" w:type="dxa"/>
          </w:tcPr>
          <w:p w14:paraId="2266F296" w14:textId="2FB67D40" w:rsidR="00E2321B" w:rsidRPr="00CE2185" w:rsidRDefault="001C7482" w:rsidP="00E2321B">
            <w:pPr>
              <w:pStyle w:val="Text1"/>
              <w:ind w:left="0"/>
              <w:rPr>
                <w:noProof/>
              </w:rPr>
            </w:pPr>
            <w:r w:rsidRPr="00CE2185">
              <w:rPr>
                <w:noProof/>
              </w:rPr>
              <w:t>Regulation (EU) 2024/2847 of the European Parliament and of the Council of 23 October 2024 on horizontal cybersecurity requirements for products with digital elements and amending Regulations (EU) No 168/2013 and (EU) 2019/1020 and Directive (EU) 2020/1828 (Cyber Resilience Act)</w:t>
            </w:r>
            <w:r w:rsidR="00344B7C" w:rsidRPr="00CE2185">
              <w:rPr>
                <w:noProof/>
              </w:rPr>
              <w:t>.</w:t>
            </w:r>
          </w:p>
        </w:tc>
      </w:tr>
      <w:tr w:rsidR="004B4203" w:rsidRPr="00CE2185" w14:paraId="3C77713A" w14:textId="77777777" w:rsidTr="00416674">
        <w:tc>
          <w:tcPr>
            <w:tcW w:w="2376" w:type="dxa"/>
          </w:tcPr>
          <w:p w14:paraId="0740A728" w14:textId="4F954ED4" w:rsidR="004B4203" w:rsidRPr="00CE2185" w:rsidRDefault="004B4203" w:rsidP="00E21971">
            <w:pPr>
              <w:pStyle w:val="Text1"/>
              <w:ind w:left="0"/>
              <w:rPr>
                <w:noProof/>
              </w:rPr>
            </w:pPr>
            <w:r w:rsidRPr="00CE2185">
              <w:rPr>
                <w:noProof/>
              </w:rPr>
              <w:t>CSA</w:t>
            </w:r>
          </w:p>
        </w:tc>
        <w:tc>
          <w:tcPr>
            <w:tcW w:w="6910" w:type="dxa"/>
          </w:tcPr>
          <w:p w14:paraId="56595750" w14:textId="7680CFD4" w:rsidR="004B4203" w:rsidRPr="00CE2185" w:rsidRDefault="00074304" w:rsidP="00E21971">
            <w:pPr>
              <w:pStyle w:val="Text1"/>
              <w:ind w:left="0"/>
              <w:rPr>
                <w:noProof/>
              </w:rPr>
            </w:pPr>
            <w:r w:rsidRPr="00CE2185">
              <w:rPr>
                <w:noProof/>
              </w:rPr>
              <w:t>Regulation (EU) 2019/881 of the European Parliament and of the Council of 17 April 2019 on ENISA (the European Union Agency for Cybersecurity) and on information and communications technology cybersecurity certification and repealing Regulation (EU) No 526/2013</w:t>
            </w:r>
            <w:r w:rsidR="001C7482" w:rsidRPr="00CE2185">
              <w:rPr>
                <w:noProof/>
              </w:rPr>
              <w:t>.</w:t>
            </w:r>
          </w:p>
        </w:tc>
      </w:tr>
      <w:tr w:rsidR="00F42C2B" w:rsidRPr="00CE2185" w14:paraId="58E77A79" w14:textId="77777777" w:rsidTr="00416674">
        <w:tc>
          <w:tcPr>
            <w:tcW w:w="2376" w:type="dxa"/>
          </w:tcPr>
          <w:p w14:paraId="292179BD" w14:textId="350DA7F0" w:rsidR="00F42C2B" w:rsidRPr="00CE2185" w:rsidRDefault="0000007A" w:rsidP="009C42C6">
            <w:pPr>
              <w:pStyle w:val="Text1"/>
              <w:ind w:left="0"/>
              <w:rPr>
                <w:noProof/>
              </w:rPr>
            </w:pPr>
            <w:r w:rsidRPr="00CE2185">
              <w:rPr>
                <w:noProof/>
              </w:rPr>
              <w:t>CSIRTs network</w:t>
            </w:r>
          </w:p>
        </w:tc>
        <w:tc>
          <w:tcPr>
            <w:tcW w:w="6910" w:type="dxa"/>
          </w:tcPr>
          <w:p w14:paraId="0447FDFD" w14:textId="1FEE9932" w:rsidR="00F42C2B" w:rsidRPr="00CE2185" w:rsidRDefault="0000007A" w:rsidP="009C42C6">
            <w:pPr>
              <w:pStyle w:val="Text1"/>
              <w:ind w:left="0"/>
              <w:rPr>
                <w:noProof/>
              </w:rPr>
            </w:pPr>
            <w:r w:rsidRPr="00CE2185">
              <w:rPr>
                <w:rStyle w:val="FootnoteReference"/>
                <w:noProof/>
                <w:szCs w:val="24"/>
                <w:vertAlign w:val="baseline"/>
              </w:rPr>
              <w:t>The CSIRTs network was established under the NIS Directive and its legal basis continued under the NIS</w:t>
            </w:r>
            <w:r w:rsidR="00497E9C" w:rsidRPr="00CE2185">
              <w:rPr>
                <w:noProof/>
                <w:szCs w:val="24"/>
              </w:rPr>
              <w:t xml:space="preserve"> </w:t>
            </w:r>
            <w:r w:rsidRPr="00CE2185">
              <w:rPr>
                <w:rStyle w:val="FootnoteReference"/>
                <w:noProof/>
                <w:szCs w:val="24"/>
                <w:vertAlign w:val="baseline"/>
              </w:rPr>
              <w:t>2 Directive. The mandate of the CSIRTs network is to contribute to the development of confidence and trust and to promote swift and effective operational cooperation among Member States.</w:t>
            </w:r>
          </w:p>
        </w:tc>
      </w:tr>
      <w:tr w:rsidR="00E2321B" w:rsidRPr="00CE2185" w14:paraId="05FB6170" w14:textId="77777777" w:rsidTr="00416674">
        <w:tc>
          <w:tcPr>
            <w:tcW w:w="2376" w:type="dxa"/>
          </w:tcPr>
          <w:p w14:paraId="0E0BF5E1" w14:textId="40536FF0" w:rsidR="00E2321B" w:rsidRPr="00CE2185" w:rsidRDefault="00260500" w:rsidP="00E2321B">
            <w:pPr>
              <w:pStyle w:val="Text1"/>
              <w:ind w:left="0"/>
              <w:rPr>
                <w:noProof/>
              </w:rPr>
            </w:pPr>
            <w:r w:rsidRPr="00CE2185">
              <w:rPr>
                <w:noProof/>
              </w:rPr>
              <w:t>CSoA</w:t>
            </w:r>
          </w:p>
        </w:tc>
        <w:tc>
          <w:tcPr>
            <w:tcW w:w="6910" w:type="dxa"/>
          </w:tcPr>
          <w:p w14:paraId="7BE47221" w14:textId="0A5D1DB8" w:rsidR="00E2321B" w:rsidRPr="00CE2185" w:rsidRDefault="00F5444B" w:rsidP="00E2321B">
            <w:pPr>
              <w:pStyle w:val="Text1"/>
              <w:ind w:left="0"/>
              <w:rPr>
                <w:noProof/>
              </w:rPr>
            </w:pPr>
            <w:r w:rsidRPr="00CE2185">
              <w:rPr>
                <w:noProof/>
              </w:rPr>
              <w:t>Regulation (EU) 2025/38 of the European Parliament and of the Council of 19 December 2024 laying down measures to strengthen solidarity and capacities in the Union to detect, prepare for and respond to cyber threats and incidents and amending Regulation (EU) 2021/694</w:t>
            </w:r>
          </w:p>
        </w:tc>
      </w:tr>
      <w:tr w:rsidR="00996D8B" w:rsidRPr="00CE2185" w14:paraId="18DB995C" w14:textId="77777777" w:rsidTr="00416674">
        <w:tc>
          <w:tcPr>
            <w:tcW w:w="2376" w:type="dxa"/>
          </w:tcPr>
          <w:p w14:paraId="531B20A0" w14:textId="5591B142" w:rsidR="00996D8B" w:rsidRPr="00CE2185" w:rsidRDefault="00996D8B" w:rsidP="009C42C6">
            <w:pPr>
              <w:pStyle w:val="Text1"/>
              <w:ind w:left="0"/>
              <w:rPr>
                <w:noProof/>
              </w:rPr>
            </w:pPr>
            <w:r w:rsidRPr="00CE2185">
              <w:rPr>
                <w:noProof/>
              </w:rPr>
              <w:t>CVD</w:t>
            </w:r>
          </w:p>
        </w:tc>
        <w:tc>
          <w:tcPr>
            <w:tcW w:w="6910" w:type="dxa"/>
          </w:tcPr>
          <w:p w14:paraId="52BF8845" w14:textId="49FFD6D3" w:rsidR="00996D8B" w:rsidRPr="00CE2185" w:rsidRDefault="00996D8B" w:rsidP="009C42C6">
            <w:pPr>
              <w:pStyle w:val="Text1"/>
              <w:ind w:left="0"/>
              <w:rPr>
                <w:noProof/>
              </w:rPr>
            </w:pPr>
            <w:r w:rsidRPr="00CE2185">
              <w:rPr>
                <w:noProof/>
              </w:rPr>
              <w:t xml:space="preserve">Coordinated vulnerability disclosure </w:t>
            </w:r>
          </w:p>
        </w:tc>
      </w:tr>
      <w:tr w:rsidR="00FB4EBA" w:rsidRPr="00CE2185" w14:paraId="691E767A" w14:textId="77777777" w:rsidTr="00416674">
        <w:tc>
          <w:tcPr>
            <w:tcW w:w="2376" w:type="dxa"/>
          </w:tcPr>
          <w:p w14:paraId="655DC817" w14:textId="64F3241B" w:rsidR="00FB4EBA" w:rsidRPr="00CE2185" w:rsidRDefault="00FB4EBA" w:rsidP="00FB4EBA">
            <w:pPr>
              <w:pStyle w:val="Text1"/>
              <w:ind w:left="0"/>
              <w:rPr>
                <w:noProof/>
              </w:rPr>
            </w:pPr>
            <w:r w:rsidRPr="00CE2185">
              <w:rPr>
                <w:noProof/>
              </w:rPr>
              <w:t>Cyber Blueprint</w:t>
            </w:r>
          </w:p>
        </w:tc>
        <w:tc>
          <w:tcPr>
            <w:tcW w:w="6910" w:type="dxa"/>
          </w:tcPr>
          <w:p w14:paraId="59D20534" w14:textId="4471AE99" w:rsidR="00FB4EBA" w:rsidRPr="00CE2185" w:rsidRDefault="00412383" w:rsidP="00FB4EBA">
            <w:pPr>
              <w:pStyle w:val="Text1"/>
              <w:ind w:left="0"/>
              <w:rPr>
                <w:noProof/>
              </w:rPr>
            </w:pPr>
            <w:r w:rsidRPr="00CE2185">
              <w:rPr>
                <w:noProof/>
              </w:rPr>
              <w:t>Council Recommendation on an EU blueprint for cyber crisis management - Council Recommendation approved by the Council at its meeting on 6 June 202</w:t>
            </w:r>
            <w:r w:rsidR="003C33DC" w:rsidRPr="00CE2185">
              <w:rPr>
                <w:noProof/>
              </w:rPr>
              <w:t xml:space="preserve">5. </w:t>
            </w:r>
            <w:r w:rsidR="00965FB4" w:rsidRPr="00CE2185">
              <w:rPr>
                <w:noProof/>
              </w:rPr>
              <w:t>The Cyber Blueprint describes clearly and simply who does what in an EU cyber crisis.</w:t>
            </w:r>
          </w:p>
        </w:tc>
      </w:tr>
      <w:tr w:rsidR="00282A88" w:rsidRPr="00CE2185" w14:paraId="7785E6B1" w14:textId="77777777" w:rsidTr="00416674">
        <w:tc>
          <w:tcPr>
            <w:tcW w:w="2376" w:type="dxa"/>
          </w:tcPr>
          <w:p w14:paraId="0558D078" w14:textId="504E7C95" w:rsidR="00282A88" w:rsidRPr="00CE2185" w:rsidRDefault="00282A88" w:rsidP="00FB4EBA">
            <w:pPr>
              <w:pStyle w:val="Text1"/>
              <w:ind w:left="0"/>
              <w:rPr>
                <w:noProof/>
              </w:rPr>
            </w:pPr>
            <w:r w:rsidRPr="00CE2185">
              <w:rPr>
                <w:noProof/>
              </w:rPr>
              <w:t>Data Act</w:t>
            </w:r>
          </w:p>
        </w:tc>
        <w:tc>
          <w:tcPr>
            <w:tcW w:w="6910" w:type="dxa"/>
          </w:tcPr>
          <w:p w14:paraId="3B423F5F" w14:textId="6D9CCBAA" w:rsidR="00282A88" w:rsidRPr="00CE2185" w:rsidRDefault="00282A88" w:rsidP="00FB4EBA">
            <w:pPr>
              <w:pStyle w:val="Text1"/>
              <w:ind w:left="0"/>
              <w:rPr>
                <w:noProof/>
              </w:rPr>
            </w:pPr>
            <w:r w:rsidRPr="00CE2185">
              <w:rPr>
                <w:noProof/>
              </w:rPr>
              <w:t>Regulation (EU) 2023/2854 of the European Parliament and of the Council of 13 December 2023 on harmonised rules on fair access to and use of data and amending Regulation (EU) 2017/2394 and Directive (EU) 2020/1828 (Data Act)</w:t>
            </w:r>
          </w:p>
        </w:tc>
      </w:tr>
      <w:tr w:rsidR="00086F3B" w:rsidRPr="00CE2185" w14:paraId="63CC85BD" w14:textId="77777777" w:rsidTr="00416674">
        <w:tc>
          <w:tcPr>
            <w:tcW w:w="2376" w:type="dxa"/>
          </w:tcPr>
          <w:p w14:paraId="051F6C0C" w14:textId="3D010A73" w:rsidR="00086F3B" w:rsidRPr="00CE2185" w:rsidRDefault="00086F3B" w:rsidP="00FB4EBA">
            <w:pPr>
              <w:pStyle w:val="Text1"/>
              <w:ind w:left="0"/>
              <w:rPr>
                <w:noProof/>
              </w:rPr>
            </w:pPr>
            <w:r w:rsidRPr="00CE2185">
              <w:rPr>
                <w:noProof/>
              </w:rPr>
              <w:t>Data Governance Act</w:t>
            </w:r>
          </w:p>
        </w:tc>
        <w:tc>
          <w:tcPr>
            <w:tcW w:w="6910" w:type="dxa"/>
          </w:tcPr>
          <w:p w14:paraId="2180C32E" w14:textId="444F37F3" w:rsidR="00086F3B" w:rsidRPr="00CE2185" w:rsidRDefault="00086F3B" w:rsidP="00FB4EBA">
            <w:pPr>
              <w:pStyle w:val="Text1"/>
              <w:ind w:left="0"/>
              <w:rPr>
                <w:noProof/>
              </w:rPr>
            </w:pPr>
            <w:r w:rsidRPr="00CE2185">
              <w:rPr>
                <w:noProof/>
              </w:rPr>
              <w:t>Regulation (EU) 2022/868 of the European Parliament and of the Council of 30 May 2022 on European data governance and amending Regulation (EU) 2018/1724 (Data Governance Act)</w:t>
            </w:r>
            <w:r w:rsidR="0052051B" w:rsidRPr="00CE2185">
              <w:rPr>
                <w:noProof/>
              </w:rPr>
              <w:t>.</w:t>
            </w:r>
          </w:p>
        </w:tc>
      </w:tr>
      <w:tr w:rsidR="00D8530E" w:rsidRPr="00CE2185" w14:paraId="75D48D87" w14:textId="77777777" w:rsidTr="00416674">
        <w:tc>
          <w:tcPr>
            <w:tcW w:w="2376" w:type="dxa"/>
          </w:tcPr>
          <w:p w14:paraId="685D81C3" w14:textId="72F5F5BC" w:rsidR="00D8530E" w:rsidRPr="00CE2185" w:rsidRDefault="00D8530E" w:rsidP="009C42C6">
            <w:pPr>
              <w:pStyle w:val="Text1"/>
              <w:ind w:left="0"/>
              <w:rPr>
                <w:noProof/>
              </w:rPr>
            </w:pPr>
            <w:r w:rsidRPr="00CE2185">
              <w:rPr>
                <w:noProof/>
              </w:rPr>
              <w:t>DEP</w:t>
            </w:r>
          </w:p>
        </w:tc>
        <w:tc>
          <w:tcPr>
            <w:tcW w:w="6910" w:type="dxa"/>
          </w:tcPr>
          <w:p w14:paraId="66481182" w14:textId="0C75D20B" w:rsidR="00D8530E" w:rsidRPr="00CE2185" w:rsidRDefault="0052051B" w:rsidP="009C42C6">
            <w:pPr>
              <w:pStyle w:val="Text1"/>
              <w:ind w:left="0"/>
              <w:rPr>
                <w:noProof/>
              </w:rPr>
            </w:pPr>
            <w:r w:rsidRPr="00CE2185">
              <w:rPr>
                <w:noProof/>
              </w:rPr>
              <w:t>Regulation (EU) 2021/694 of the European Parliament and of the Council of 29 April 2021 establishing the Digital Europe Programme and repealing Decision (EU) 2015/2240.</w:t>
            </w:r>
          </w:p>
        </w:tc>
      </w:tr>
      <w:tr w:rsidR="006C1D24" w:rsidRPr="00CE2185" w14:paraId="318F970D" w14:textId="77777777" w:rsidTr="00416674">
        <w:tc>
          <w:tcPr>
            <w:tcW w:w="2376" w:type="dxa"/>
          </w:tcPr>
          <w:p w14:paraId="7BCD9099" w14:textId="22D5EC75" w:rsidR="006C1D24" w:rsidRPr="00CE2185" w:rsidRDefault="006C1D24" w:rsidP="00E2321B">
            <w:pPr>
              <w:pStyle w:val="Text1"/>
              <w:ind w:left="0"/>
              <w:rPr>
                <w:noProof/>
              </w:rPr>
            </w:pPr>
            <w:r w:rsidRPr="00CE2185">
              <w:rPr>
                <w:noProof/>
              </w:rPr>
              <w:t>DORA</w:t>
            </w:r>
          </w:p>
        </w:tc>
        <w:tc>
          <w:tcPr>
            <w:tcW w:w="6910" w:type="dxa"/>
          </w:tcPr>
          <w:p w14:paraId="18312CC7" w14:textId="0B4DACEB" w:rsidR="006C1D24" w:rsidRPr="00CE2185" w:rsidRDefault="00962D61" w:rsidP="00E2321B">
            <w:pPr>
              <w:pStyle w:val="Text1"/>
              <w:ind w:left="0"/>
              <w:rPr>
                <w:noProof/>
              </w:rPr>
            </w:pPr>
            <w:r w:rsidRPr="00CE2185">
              <w:rPr>
                <w:noProof/>
              </w:rPr>
              <w:t>Regulation EU) 2022/2554 of the European Parliament and of the Council of 14 December 2022 on digital operational resilience for the financial sector and amending Regulations (EC) No 1060/2009, (EU) No 648/2012, (EU) No 600/2014, (EU) No 909/2014 and (EU) 2016/1011</w:t>
            </w:r>
          </w:p>
        </w:tc>
      </w:tr>
      <w:tr w:rsidR="00DF72A1" w:rsidRPr="00CE2185" w14:paraId="50DBE1BB" w14:textId="77777777" w:rsidTr="00416674">
        <w:tc>
          <w:tcPr>
            <w:tcW w:w="2376" w:type="dxa"/>
          </w:tcPr>
          <w:p w14:paraId="2751DB0D" w14:textId="06C5137C" w:rsidR="00DF72A1" w:rsidRPr="00CE2185" w:rsidRDefault="00DF72A1" w:rsidP="009C42C6">
            <w:pPr>
              <w:pStyle w:val="Text1"/>
              <w:ind w:left="0"/>
              <w:rPr>
                <w:noProof/>
              </w:rPr>
            </w:pPr>
            <w:r w:rsidRPr="00CE2185">
              <w:rPr>
                <w:noProof/>
              </w:rPr>
              <w:t>ECCC</w:t>
            </w:r>
          </w:p>
        </w:tc>
        <w:tc>
          <w:tcPr>
            <w:tcW w:w="6910" w:type="dxa"/>
          </w:tcPr>
          <w:p w14:paraId="0A4D41A4" w14:textId="4CB5E3BE" w:rsidR="00DF72A1" w:rsidRPr="00CE2185" w:rsidRDefault="00983AB3" w:rsidP="009C42C6">
            <w:pPr>
              <w:pStyle w:val="Text1"/>
              <w:ind w:left="0"/>
              <w:rPr>
                <w:noProof/>
              </w:rPr>
            </w:pPr>
            <w:r w:rsidRPr="00CE2185">
              <w:rPr>
                <w:noProof/>
              </w:rPr>
              <w:t>European Cybersecurity Competence Centre</w:t>
            </w:r>
          </w:p>
        </w:tc>
      </w:tr>
      <w:tr w:rsidR="00614BE5" w:rsidRPr="00CE2185" w14:paraId="2695DA9E" w14:textId="77777777" w:rsidTr="00416674">
        <w:tc>
          <w:tcPr>
            <w:tcW w:w="2376" w:type="dxa"/>
          </w:tcPr>
          <w:p w14:paraId="00C75533" w14:textId="7DAB9F12" w:rsidR="00614BE5" w:rsidRPr="00CE2185" w:rsidRDefault="00026D8C" w:rsidP="00E21971">
            <w:pPr>
              <w:pStyle w:val="Text1"/>
              <w:ind w:left="0"/>
              <w:rPr>
                <w:noProof/>
              </w:rPr>
            </w:pPr>
            <w:r w:rsidRPr="00CE2185">
              <w:rPr>
                <w:noProof/>
              </w:rPr>
              <w:t>ECCF</w:t>
            </w:r>
          </w:p>
        </w:tc>
        <w:tc>
          <w:tcPr>
            <w:tcW w:w="6910" w:type="dxa"/>
          </w:tcPr>
          <w:p w14:paraId="7A1C3122" w14:textId="727FA680" w:rsidR="00614BE5" w:rsidRPr="00CE2185" w:rsidRDefault="007F4AB1" w:rsidP="00E21971">
            <w:pPr>
              <w:pStyle w:val="Text1"/>
              <w:ind w:left="0"/>
              <w:rPr>
                <w:noProof/>
              </w:rPr>
            </w:pPr>
            <w:r w:rsidRPr="00CE2185">
              <w:rPr>
                <w:noProof/>
              </w:rPr>
              <w:t>European Cybersecurity Certification Framework</w:t>
            </w:r>
          </w:p>
        </w:tc>
      </w:tr>
      <w:tr w:rsidR="007F06AE" w:rsidRPr="00CE2185" w14:paraId="3C2F10A9" w14:textId="77777777" w:rsidTr="00416674">
        <w:tc>
          <w:tcPr>
            <w:tcW w:w="2376" w:type="dxa"/>
          </w:tcPr>
          <w:p w14:paraId="42BDE061" w14:textId="2E8037D1" w:rsidR="007F06AE" w:rsidRPr="00CE2185" w:rsidRDefault="007F06AE" w:rsidP="009C42C6">
            <w:pPr>
              <w:pStyle w:val="Text1"/>
              <w:ind w:left="0"/>
              <w:rPr>
                <w:noProof/>
              </w:rPr>
            </w:pPr>
            <w:r w:rsidRPr="00CE2185">
              <w:rPr>
                <w:noProof/>
              </w:rPr>
              <w:t>ECCG</w:t>
            </w:r>
          </w:p>
        </w:tc>
        <w:tc>
          <w:tcPr>
            <w:tcW w:w="6910" w:type="dxa"/>
          </w:tcPr>
          <w:p w14:paraId="0955D091" w14:textId="61E98E97" w:rsidR="007F06AE" w:rsidRPr="00CE2185" w:rsidRDefault="00280B15" w:rsidP="009C42C6">
            <w:pPr>
              <w:pStyle w:val="Text1"/>
              <w:ind w:left="0"/>
              <w:rPr>
                <w:noProof/>
              </w:rPr>
            </w:pPr>
            <w:r w:rsidRPr="00CE2185">
              <w:rPr>
                <w:noProof/>
                <w:szCs w:val="24"/>
              </w:rPr>
              <w:t>European Cybersecurity Certification Group</w:t>
            </w:r>
          </w:p>
        </w:tc>
      </w:tr>
      <w:tr w:rsidR="00F42C2B" w:rsidRPr="00CE2185" w14:paraId="608674CC" w14:textId="77777777" w:rsidTr="00416674">
        <w:tc>
          <w:tcPr>
            <w:tcW w:w="2376" w:type="dxa"/>
          </w:tcPr>
          <w:p w14:paraId="00867DF9" w14:textId="093A4637" w:rsidR="00F42C2B" w:rsidRPr="00CE2185" w:rsidRDefault="00F42C2B" w:rsidP="009C42C6">
            <w:pPr>
              <w:pStyle w:val="Text1"/>
              <w:ind w:left="0"/>
              <w:rPr>
                <w:noProof/>
              </w:rPr>
            </w:pPr>
            <w:r w:rsidRPr="00CE2185">
              <w:rPr>
                <w:noProof/>
              </w:rPr>
              <w:t>ECSF</w:t>
            </w:r>
          </w:p>
        </w:tc>
        <w:tc>
          <w:tcPr>
            <w:tcW w:w="6910" w:type="dxa"/>
          </w:tcPr>
          <w:p w14:paraId="429B728D" w14:textId="732EAEE8" w:rsidR="00F42C2B" w:rsidRPr="00CE2185" w:rsidRDefault="00F42C2B" w:rsidP="009C42C6">
            <w:pPr>
              <w:pStyle w:val="Text1"/>
              <w:ind w:left="0"/>
              <w:rPr>
                <w:noProof/>
              </w:rPr>
            </w:pPr>
            <w:r w:rsidRPr="00CE2185">
              <w:rPr>
                <w:noProof/>
              </w:rPr>
              <w:t>European Cybersecurity Skills Framework</w:t>
            </w:r>
          </w:p>
        </w:tc>
      </w:tr>
      <w:tr w:rsidR="00F142A5" w:rsidRPr="00CE2185" w14:paraId="1A8B9EF6" w14:textId="77777777" w:rsidTr="00416674">
        <w:tc>
          <w:tcPr>
            <w:tcW w:w="2376" w:type="dxa"/>
          </w:tcPr>
          <w:p w14:paraId="5953AD22" w14:textId="5F18C2D1" w:rsidR="00F142A5" w:rsidRPr="00CE2185" w:rsidRDefault="00F142A5" w:rsidP="009C42C6">
            <w:pPr>
              <w:pStyle w:val="Text1"/>
              <w:ind w:left="0"/>
              <w:rPr>
                <w:noProof/>
              </w:rPr>
            </w:pPr>
            <w:r w:rsidRPr="00CE2185">
              <w:rPr>
                <w:noProof/>
              </w:rPr>
              <w:t>EDBP</w:t>
            </w:r>
          </w:p>
        </w:tc>
        <w:tc>
          <w:tcPr>
            <w:tcW w:w="6910" w:type="dxa"/>
          </w:tcPr>
          <w:p w14:paraId="7A25E33D" w14:textId="76ABFDCA" w:rsidR="00F142A5" w:rsidRPr="00CE2185" w:rsidRDefault="00F142A5" w:rsidP="009C42C6">
            <w:pPr>
              <w:pStyle w:val="Text1"/>
              <w:ind w:left="0"/>
              <w:rPr>
                <w:noProof/>
              </w:rPr>
            </w:pPr>
            <w:r w:rsidRPr="00CE2185">
              <w:rPr>
                <w:noProof/>
              </w:rPr>
              <w:t>European Data Protection Board</w:t>
            </w:r>
          </w:p>
        </w:tc>
      </w:tr>
      <w:tr w:rsidR="001C205C" w:rsidRPr="00CE2185" w14:paraId="180CF9D4" w14:textId="77777777" w:rsidTr="00416674">
        <w:tc>
          <w:tcPr>
            <w:tcW w:w="2376" w:type="dxa"/>
          </w:tcPr>
          <w:p w14:paraId="65BB1D1A" w14:textId="686CFA91" w:rsidR="001C205C" w:rsidRPr="00CE2185" w:rsidRDefault="001C205C" w:rsidP="009C42C6">
            <w:pPr>
              <w:pStyle w:val="Text1"/>
              <w:ind w:left="0"/>
              <w:rPr>
                <w:noProof/>
              </w:rPr>
            </w:pPr>
            <w:r w:rsidRPr="00CE2185">
              <w:rPr>
                <w:noProof/>
                <w:color w:val="000000" w:themeColor="text1"/>
              </w:rPr>
              <w:t>eIDAS 2</w:t>
            </w:r>
          </w:p>
        </w:tc>
        <w:tc>
          <w:tcPr>
            <w:tcW w:w="6910" w:type="dxa"/>
          </w:tcPr>
          <w:p w14:paraId="5658644E" w14:textId="7A6D469F" w:rsidR="001C205C" w:rsidRPr="00CE2185" w:rsidRDefault="001C205C" w:rsidP="009C42C6">
            <w:pPr>
              <w:pStyle w:val="Text1"/>
              <w:ind w:left="0"/>
              <w:rPr>
                <w:noProof/>
              </w:rPr>
            </w:pPr>
            <w:r w:rsidRPr="00CE2185">
              <w:rPr>
                <w:noProof/>
                <w:color w:val="000000" w:themeColor="text1"/>
              </w:rPr>
              <w:t>Regulation (EU) 2024/1183 of the European Parliament and of the Council of 11 April 2024 amending Regulation (EU) No 910/2014 as regards establishing the European Digital Identity Framework</w:t>
            </w:r>
          </w:p>
        </w:tc>
      </w:tr>
      <w:tr w:rsidR="00614BE5" w:rsidRPr="00CE2185" w14:paraId="719806D2" w14:textId="77777777" w:rsidTr="00416674">
        <w:tc>
          <w:tcPr>
            <w:tcW w:w="2376" w:type="dxa"/>
          </w:tcPr>
          <w:p w14:paraId="5DF0A8C0" w14:textId="036EF669" w:rsidR="00614BE5" w:rsidRPr="00CE2185" w:rsidRDefault="00026D8C" w:rsidP="00E21971">
            <w:pPr>
              <w:pStyle w:val="Text1"/>
              <w:ind w:left="0"/>
              <w:rPr>
                <w:noProof/>
              </w:rPr>
            </w:pPr>
            <w:r w:rsidRPr="00CE2185">
              <w:rPr>
                <w:noProof/>
              </w:rPr>
              <w:t>ENISA</w:t>
            </w:r>
            <w:r w:rsidR="00A13EFF" w:rsidRPr="00CE2185">
              <w:rPr>
                <w:noProof/>
              </w:rPr>
              <w:t xml:space="preserve"> or the Agency</w:t>
            </w:r>
          </w:p>
        </w:tc>
        <w:tc>
          <w:tcPr>
            <w:tcW w:w="6910" w:type="dxa"/>
          </w:tcPr>
          <w:p w14:paraId="7486C748" w14:textId="53C87A80" w:rsidR="00614BE5" w:rsidRPr="00CE2185" w:rsidRDefault="00026D8C" w:rsidP="00E21971">
            <w:pPr>
              <w:pStyle w:val="Text1"/>
              <w:ind w:left="0"/>
              <w:rPr>
                <w:noProof/>
              </w:rPr>
            </w:pPr>
            <w:r w:rsidRPr="00CE2185">
              <w:rPr>
                <w:noProof/>
              </w:rPr>
              <w:t xml:space="preserve">European Union Agency for Cybersecurity </w:t>
            </w:r>
          </w:p>
        </w:tc>
      </w:tr>
      <w:tr w:rsidR="00E2321B" w:rsidRPr="00CE2185" w14:paraId="03780BD2" w14:textId="77777777" w:rsidTr="00416674">
        <w:tc>
          <w:tcPr>
            <w:tcW w:w="2376" w:type="dxa"/>
          </w:tcPr>
          <w:p w14:paraId="27B8068D" w14:textId="09E60BD3" w:rsidR="00E2321B" w:rsidRPr="00CE2185" w:rsidRDefault="00E2321B" w:rsidP="00E2321B">
            <w:pPr>
              <w:pStyle w:val="Text1"/>
              <w:ind w:left="0"/>
              <w:rPr>
                <w:noProof/>
              </w:rPr>
            </w:pPr>
            <w:r w:rsidRPr="00CE2185">
              <w:rPr>
                <w:noProof/>
              </w:rPr>
              <w:t>EU</w:t>
            </w:r>
          </w:p>
        </w:tc>
        <w:tc>
          <w:tcPr>
            <w:tcW w:w="6910" w:type="dxa"/>
          </w:tcPr>
          <w:p w14:paraId="59E00DA3" w14:textId="3A0C7BBF" w:rsidR="00E2321B" w:rsidRPr="00CE2185" w:rsidRDefault="00E2321B" w:rsidP="00E2321B">
            <w:pPr>
              <w:pStyle w:val="Text1"/>
              <w:ind w:left="0"/>
              <w:rPr>
                <w:noProof/>
              </w:rPr>
            </w:pPr>
            <w:r w:rsidRPr="00CE2185">
              <w:rPr>
                <w:noProof/>
              </w:rPr>
              <w:t>European Union</w:t>
            </w:r>
          </w:p>
        </w:tc>
      </w:tr>
      <w:tr w:rsidR="001878FF" w:rsidRPr="00CE2185" w14:paraId="405BA85C" w14:textId="77777777" w:rsidTr="00416674">
        <w:tc>
          <w:tcPr>
            <w:tcW w:w="2376" w:type="dxa"/>
          </w:tcPr>
          <w:p w14:paraId="3F381CF3" w14:textId="3034DD55" w:rsidR="001878FF" w:rsidRPr="00CE2185" w:rsidRDefault="001878FF" w:rsidP="009C42C6">
            <w:pPr>
              <w:pStyle w:val="Text1"/>
              <w:ind w:left="0"/>
              <w:rPr>
                <w:noProof/>
                <w:szCs w:val="24"/>
              </w:rPr>
            </w:pPr>
            <w:r w:rsidRPr="00CE2185">
              <w:rPr>
                <w:noProof/>
                <w:szCs w:val="24"/>
              </w:rPr>
              <w:t>EU5G</w:t>
            </w:r>
          </w:p>
        </w:tc>
        <w:tc>
          <w:tcPr>
            <w:tcW w:w="6910" w:type="dxa"/>
          </w:tcPr>
          <w:p w14:paraId="66BB73F0" w14:textId="041A5F6E" w:rsidR="001878FF" w:rsidRPr="00CE2185" w:rsidRDefault="001878FF" w:rsidP="0000007A">
            <w:pPr>
              <w:pStyle w:val="FootnoteText"/>
              <w:rPr>
                <w:rFonts w:eastAsia="Times New Roman"/>
                <w:noProof/>
                <w:color w:val="000000" w:themeColor="text1"/>
                <w:sz w:val="24"/>
                <w:szCs w:val="24"/>
              </w:rPr>
            </w:pPr>
            <w:r w:rsidRPr="00CE2185">
              <w:rPr>
                <w:noProof/>
                <w:sz w:val="24"/>
                <w:szCs w:val="24"/>
              </w:rPr>
              <w:t xml:space="preserve">EU 5G Cybersecurity Certification </w:t>
            </w:r>
          </w:p>
        </w:tc>
      </w:tr>
      <w:tr w:rsidR="00662EC9" w:rsidRPr="00CE2185" w14:paraId="6F48D8F5" w14:textId="77777777" w:rsidTr="00416674">
        <w:tc>
          <w:tcPr>
            <w:tcW w:w="2376" w:type="dxa"/>
          </w:tcPr>
          <w:p w14:paraId="6F2E4D76" w14:textId="317D7202" w:rsidR="00662EC9" w:rsidRPr="00CE2185" w:rsidRDefault="00662EC9" w:rsidP="009C42C6">
            <w:pPr>
              <w:pStyle w:val="Text1"/>
              <w:ind w:left="0"/>
              <w:rPr>
                <w:rStyle w:val="FootnoteReference"/>
                <w:noProof/>
                <w:szCs w:val="24"/>
                <w:vertAlign w:val="baseline"/>
              </w:rPr>
            </w:pPr>
            <w:r w:rsidRPr="00CE2185">
              <w:rPr>
                <w:noProof/>
                <w:szCs w:val="24"/>
              </w:rPr>
              <w:t>EUCC</w:t>
            </w:r>
          </w:p>
        </w:tc>
        <w:tc>
          <w:tcPr>
            <w:tcW w:w="6910" w:type="dxa"/>
          </w:tcPr>
          <w:p w14:paraId="5E5EA0BA" w14:textId="048D95A0" w:rsidR="00662EC9" w:rsidRPr="00CE2185" w:rsidRDefault="00D044F5" w:rsidP="0000007A">
            <w:pPr>
              <w:pStyle w:val="FootnoteText"/>
              <w:rPr>
                <w:rStyle w:val="FootnoteReference"/>
                <w:rFonts w:eastAsia="Times New Roman"/>
                <w:noProof/>
                <w:sz w:val="24"/>
                <w:szCs w:val="24"/>
                <w:vertAlign w:val="baseline"/>
              </w:rPr>
            </w:pPr>
            <w:r w:rsidRPr="00CE2185">
              <w:rPr>
                <w:rFonts w:eastAsia="Times New Roman"/>
                <w:noProof/>
                <w:color w:val="000000" w:themeColor="text1"/>
                <w:sz w:val="24"/>
                <w:szCs w:val="24"/>
              </w:rPr>
              <w:t>Commission Implementing Regulation (EU) 2024/482 of 31 January 2024 laying down rules for the application of Regulation (EU) 2019/881 of the European Parliament and of the Council as regards the adoption of the European Common Criteria-based cybersecurity certification scheme (EUCC)</w:t>
            </w:r>
          </w:p>
        </w:tc>
      </w:tr>
      <w:tr w:rsidR="002E310C" w:rsidRPr="00CE2185" w14:paraId="332BF729" w14:textId="77777777" w:rsidTr="00416674">
        <w:tc>
          <w:tcPr>
            <w:tcW w:w="2376" w:type="dxa"/>
          </w:tcPr>
          <w:p w14:paraId="70A91EA3" w14:textId="456A1950" w:rsidR="002E310C" w:rsidRPr="00CE2185" w:rsidRDefault="002E310C" w:rsidP="009C42C6">
            <w:pPr>
              <w:pStyle w:val="Text1"/>
              <w:ind w:left="0"/>
              <w:rPr>
                <w:rStyle w:val="FootnoteReference"/>
                <w:noProof/>
                <w:szCs w:val="24"/>
                <w:vertAlign w:val="baseline"/>
              </w:rPr>
            </w:pPr>
            <w:r w:rsidRPr="00CE2185">
              <w:rPr>
                <w:noProof/>
                <w:szCs w:val="24"/>
              </w:rPr>
              <w:t>EUCS</w:t>
            </w:r>
          </w:p>
        </w:tc>
        <w:tc>
          <w:tcPr>
            <w:tcW w:w="6910" w:type="dxa"/>
          </w:tcPr>
          <w:p w14:paraId="23093466" w14:textId="2AF1C0DF" w:rsidR="002E310C" w:rsidRPr="00CE2185" w:rsidRDefault="002E310C" w:rsidP="002E310C">
            <w:pPr>
              <w:pStyle w:val="FootnoteText"/>
              <w:rPr>
                <w:rStyle w:val="FootnoteReference"/>
                <w:rFonts w:eastAsia="Times New Roman"/>
                <w:noProof/>
                <w:sz w:val="24"/>
                <w:szCs w:val="24"/>
                <w:vertAlign w:val="baseline"/>
                <w:lang w:val="fr-BE"/>
              </w:rPr>
            </w:pPr>
            <w:r w:rsidRPr="00CE2185">
              <w:rPr>
                <w:noProof/>
                <w:sz w:val="24"/>
                <w:szCs w:val="24"/>
              </w:rPr>
              <w:t>EU Cloud Certification Scheme</w:t>
            </w:r>
          </w:p>
        </w:tc>
      </w:tr>
      <w:tr w:rsidR="00B85EEA" w:rsidRPr="00CE2185" w14:paraId="4E2B7D14" w14:textId="77777777" w:rsidTr="00416674">
        <w:tc>
          <w:tcPr>
            <w:tcW w:w="2376" w:type="dxa"/>
          </w:tcPr>
          <w:p w14:paraId="536B46E0" w14:textId="0422B85E" w:rsidR="00B85EEA" w:rsidRPr="00CE2185" w:rsidRDefault="00B85EEA" w:rsidP="009C42C6">
            <w:pPr>
              <w:pStyle w:val="Text1"/>
              <w:ind w:left="0"/>
              <w:rPr>
                <w:rStyle w:val="FootnoteReference"/>
                <w:noProof/>
                <w:szCs w:val="24"/>
                <w:vertAlign w:val="baseline"/>
              </w:rPr>
            </w:pPr>
            <w:r w:rsidRPr="00CE2185">
              <w:rPr>
                <w:noProof/>
                <w:szCs w:val="24"/>
              </w:rPr>
              <w:t>EU Cybersecurity Strategy</w:t>
            </w:r>
          </w:p>
        </w:tc>
        <w:tc>
          <w:tcPr>
            <w:tcW w:w="6910" w:type="dxa"/>
          </w:tcPr>
          <w:p w14:paraId="558AF024" w14:textId="3C84C7AB" w:rsidR="00B85EEA" w:rsidRPr="00CE2185" w:rsidRDefault="002108F7" w:rsidP="002E310C">
            <w:pPr>
              <w:pStyle w:val="FootnoteText"/>
              <w:rPr>
                <w:rStyle w:val="FootnoteReference"/>
                <w:rFonts w:eastAsia="Times New Roman"/>
                <w:noProof/>
                <w:sz w:val="24"/>
                <w:szCs w:val="24"/>
                <w:vertAlign w:val="baseline"/>
              </w:rPr>
            </w:pPr>
            <w:r w:rsidRPr="00CE2185">
              <w:rPr>
                <w:rFonts w:eastAsia="Times New Roman"/>
                <w:noProof/>
                <w:sz w:val="24"/>
                <w:szCs w:val="24"/>
              </w:rPr>
              <w:t>Joint Communication of the European Commission and the European External Action Service: Cybersecurity Strategy of the European Union: An Open, Safe and Secure Cyberspace – JOIN(2013)</w:t>
            </w:r>
          </w:p>
        </w:tc>
      </w:tr>
      <w:tr w:rsidR="0000007A" w:rsidRPr="00CE2185" w14:paraId="448506B2" w14:textId="77777777" w:rsidTr="00416674">
        <w:tc>
          <w:tcPr>
            <w:tcW w:w="2376" w:type="dxa"/>
          </w:tcPr>
          <w:p w14:paraId="2BD21070" w14:textId="02CE719E" w:rsidR="0000007A" w:rsidRPr="00CE2185" w:rsidRDefault="0000007A" w:rsidP="009C42C6">
            <w:pPr>
              <w:pStyle w:val="Text1"/>
              <w:ind w:left="0"/>
              <w:rPr>
                <w:noProof/>
                <w:szCs w:val="24"/>
              </w:rPr>
            </w:pPr>
            <w:r w:rsidRPr="00CE2185">
              <w:rPr>
                <w:rStyle w:val="FootnoteReference"/>
                <w:noProof/>
                <w:szCs w:val="24"/>
                <w:vertAlign w:val="baseline"/>
              </w:rPr>
              <w:t>EU-CyCLONe</w:t>
            </w:r>
          </w:p>
        </w:tc>
        <w:tc>
          <w:tcPr>
            <w:tcW w:w="6910" w:type="dxa"/>
          </w:tcPr>
          <w:p w14:paraId="34CD56BB" w14:textId="20E5DBB0" w:rsidR="0000007A" w:rsidRPr="00CE2185" w:rsidRDefault="0000007A" w:rsidP="002E310C">
            <w:pPr>
              <w:pStyle w:val="FootnoteText"/>
              <w:rPr>
                <w:noProof/>
                <w:szCs w:val="24"/>
              </w:rPr>
            </w:pPr>
            <w:r w:rsidRPr="00CE2185">
              <w:rPr>
                <w:rStyle w:val="FootnoteReference"/>
                <w:rFonts w:eastAsia="Times New Roman"/>
                <w:noProof/>
                <w:sz w:val="24"/>
                <w:szCs w:val="24"/>
                <w:vertAlign w:val="baseline"/>
              </w:rPr>
              <w:t>The European cyber crisis liaison organisation network (EU-CyCLONe) was established by the NIS</w:t>
            </w:r>
            <w:r w:rsidR="00497E9C" w:rsidRPr="00CE2185">
              <w:rPr>
                <w:rFonts w:eastAsia="Times New Roman"/>
                <w:noProof/>
                <w:sz w:val="24"/>
                <w:szCs w:val="24"/>
              </w:rPr>
              <w:t xml:space="preserve"> </w:t>
            </w:r>
            <w:r w:rsidRPr="00CE2185">
              <w:rPr>
                <w:rStyle w:val="FootnoteReference"/>
                <w:rFonts w:eastAsia="Times New Roman"/>
                <w:noProof/>
                <w:sz w:val="24"/>
                <w:szCs w:val="24"/>
                <w:vertAlign w:val="baseline"/>
              </w:rPr>
              <w:t>2 Directive to support the coordinated management of large-scale cybersecurity incidents and crises at operational level and to ensure the regular exchange of relevant information among Member States and Union institutions, bodies, offices and agencies.</w:t>
            </w:r>
          </w:p>
        </w:tc>
      </w:tr>
      <w:tr w:rsidR="00D86EAA" w:rsidRPr="00CE2185" w14:paraId="568A962C" w14:textId="77777777" w:rsidTr="00416674">
        <w:tc>
          <w:tcPr>
            <w:tcW w:w="2376" w:type="dxa"/>
          </w:tcPr>
          <w:p w14:paraId="470C782B" w14:textId="6D8DE318" w:rsidR="00D86EAA" w:rsidRPr="00CE2185" w:rsidRDefault="00D86EAA" w:rsidP="009C42C6">
            <w:pPr>
              <w:pStyle w:val="Text1"/>
              <w:ind w:left="0"/>
              <w:rPr>
                <w:noProof/>
              </w:rPr>
            </w:pPr>
            <w:r w:rsidRPr="00CE2185">
              <w:rPr>
                <w:noProof/>
              </w:rPr>
              <w:t>FTE</w:t>
            </w:r>
          </w:p>
        </w:tc>
        <w:tc>
          <w:tcPr>
            <w:tcW w:w="6910" w:type="dxa"/>
          </w:tcPr>
          <w:p w14:paraId="446AF6CB" w14:textId="3AE29FDC" w:rsidR="00D86EAA" w:rsidRPr="00CE2185" w:rsidRDefault="00D86EAA" w:rsidP="009C42C6">
            <w:pPr>
              <w:pStyle w:val="Text1"/>
              <w:ind w:left="0"/>
              <w:rPr>
                <w:noProof/>
              </w:rPr>
            </w:pPr>
            <w:r w:rsidRPr="00CE2185">
              <w:rPr>
                <w:noProof/>
              </w:rPr>
              <w:t>Full time e</w:t>
            </w:r>
            <w:r w:rsidR="54F8F947" w:rsidRPr="00CE2185">
              <w:rPr>
                <w:noProof/>
              </w:rPr>
              <w:t>quivalent</w:t>
            </w:r>
          </w:p>
        </w:tc>
      </w:tr>
      <w:tr w:rsidR="003C739A" w:rsidRPr="00CE2185" w14:paraId="384FF556" w14:textId="77777777" w:rsidTr="00416674">
        <w:tc>
          <w:tcPr>
            <w:tcW w:w="2376" w:type="dxa"/>
          </w:tcPr>
          <w:p w14:paraId="0900631E" w14:textId="7314DE0A" w:rsidR="003C739A" w:rsidRPr="00CE2185" w:rsidRDefault="003C739A" w:rsidP="009C42C6">
            <w:pPr>
              <w:pStyle w:val="Text1"/>
              <w:ind w:left="0"/>
              <w:rPr>
                <w:noProof/>
              </w:rPr>
            </w:pPr>
            <w:r w:rsidRPr="00CE2185">
              <w:rPr>
                <w:noProof/>
              </w:rPr>
              <w:t>GDPR</w:t>
            </w:r>
          </w:p>
        </w:tc>
        <w:tc>
          <w:tcPr>
            <w:tcW w:w="6910" w:type="dxa"/>
          </w:tcPr>
          <w:p w14:paraId="6EE73E5A" w14:textId="66E512D1" w:rsidR="003C739A" w:rsidRPr="00CE2185" w:rsidRDefault="00DC6B0A" w:rsidP="009C42C6">
            <w:pPr>
              <w:pStyle w:val="Text1"/>
              <w:ind w:left="0"/>
              <w:rPr>
                <w:noProof/>
              </w:rPr>
            </w:pPr>
            <w:r w:rsidRPr="00CE2185">
              <w:rPr>
                <w:noProof/>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p>
        </w:tc>
      </w:tr>
      <w:tr w:rsidR="0052051B" w:rsidRPr="00CE2185" w14:paraId="21316DB4" w14:textId="77777777" w:rsidTr="00416674">
        <w:tc>
          <w:tcPr>
            <w:tcW w:w="2376" w:type="dxa"/>
          </w:tcPr>
          <w:p w14:paraId="720704F9" w14:textId="05833480" w:rsidR="0052051B" w:rsidRPr="00CE2185" w:rsidRDefault="0052051B" w:rsidP="009C42C6">
            <w:pPr>
              <w:pStyle w:val="Text1"/>
              <w:ind w:left="0"/>
              <w:rPr>
                <w:noProof/>
              </w:rPr>
            </w:pPr>
            <w:r w:rsidRPr="00CE2185">
              <w:rPr>
                <w:noProof/>
              </w:rPr>
              <w:t>Horizon Europe</w:t>
            </w:r>
          </w:p>
        </w:tc>
        <w:tc>
          <w:tcPr>
            <w:tcW w:w="6910" w:type="dxa"/>
          </w:tcPr>
          <w:p w14:paraId="1256A62B" w14:textId="24B19202" w:rsidR="0052051B" w:rsidRPr="00CE2185" w:rsidRDefault="0052051B" w:rsidP="009C42C6">
            <w:pPr>
              <w:pStyle w:val="Text1"/>
              <w:ind w:left="0"/>
              <w:rPr>
                <w:noProof/>
              </w:rPr>
            </w:pPr>
            <w:r w:rsidRPr="00CE2185">
              <w:rPr>
                <w:noProof/>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w:t>
            </w:r>
          </w:p>
        </w:tc>
      </w:tr>
      <w:tr w:rsidR="00614BE5" w:rsidRPr="00CE2185" w14:paraId="381E08E6" w14:textId="77777777" w:rsidTr="00416674">
        <w:tc>
          <w:tcPr>
            <w:tcW w:w="2376" w:type="dxa"/>
          </w:tcPr>
          <w:p w14:paraId="704A9541" w14:textId="40AC6B22" w:rsidR="00614BE5" w:rsidRPr="00CE2185" w:rsidRDefault="00500E34" w:rsidP="00E21971">
            <w:pPr>
              <w:pStyle w:val="Text1"/>
              <w:ind w:left="0"/>
              <w:rPr>
                <w:noProof/>
              </w:rPr>
            </w:pPr>
            <w:r w:rsidRPr="00CE2185">
              <w:rPr>
                <w:noProof/>
              </w:rPr>
              <w:t>ICT</w:t>
            </w:r>
          </w:p>
        </w:tc>
        <w:tc>
          <w:tcPr>
            <w:tcW w:w="6910" w:type="dxa"/>
          </w:tcPr>
          <w:p w14:paraId="784CDF43" w14:textId="6A6E40FD" w:rsidR="00614BE5" w:rsidRPr="00CE2185" w:rsidRDefault="00500E34" w:rsidP="00E21971">
            <w:pPr>
              <w:pStyle w:val="Text1"/>
              <w:ind w:left="0"/>
              <w:rPr>
                <w:noProof/>
              </w:rPr>
            </w:pPr>
            <w:r w:rsidRPr="00CE2185">
              <w:rPr>
                <w:noProof/>
              </w:rPr>
              <w:t>Information and communication technology</w:t>
            </w:r>
          </w:p>
        </w:tc>
      </w:tr>
      <w:tr w:rsidR="00353729" w:rsidRPr="00CE2185" w14:paraId="07E34C24" w14:textId="77777777" w:rsidTr="00416674">
        <w:tc>
          <w:tcPr>
            <w:tcW w:w="2376" w:type="dxa"/>
          </w:tcPr>
          <w:p w14:paraId="1FC25EB8" w14:textId="13350386" w:rsidR="00353729" w:rsidRPr="00CE2185" w:rsidRDefault="00353729" w:rsidP="009C42C6">
            <w:pPr>
              <w:pStyle w:val="Text1"/>
              <w:ind w:left="0"/>
              <w:rPr>
                <w:noProof/>
              </w:rPr>
            </w:pPr>
            <w:r w:rsidRPr="00CE2185">
              <w:rPr>
                <w:noProof/>
              </w:rPr>
              <w:t>IICB</w:t>
            </w:r>
          </w:p>
        </w:tc>
        <w:tc>
          <w:tcPr>
            <w:tcW w:w="6910" w:type="dxa"/>
          </w:tcPr>
          <w:p w14:paraId="7EB8856B" w14:textId="2F630CEF" w:rsidR="00353729" w:rsidRPr="00CE2185" w:rsidRDefault="00353729" w:rsidP="009C42C6">
            <w:pPr>
              <w:pStyle w:val="Text1"/>
              <w:ind w:left="0"/>
              <w:rPr>
                <w:noProof/>
              </w:rPr>
            </w:pPr>
            <w:r w:rsidRPr="00CE2185">
              <w:rPr>
                <w:noProof/>
              </w:rPr>
              <w:t xml:space="preserve">Interinstitutional Cybersecurity Board </w:t>
            </w:r>
          </w:p>
        </w:tc>
      </w:tr>
      <w:tr w:rsidR="004A57F9" w:rsidRPr="00CE2185" w14:paraId="022EF255" w14:textId="77777777" w:rsidTr="00416674">
        <w:tc>
          <w:tcPr>
            <w:tcW w:w="2376" w:type="dxa"/>
          </w:tcPr>
          <w:p w14:paraId="7D08D623" w14:textId="598DCA30" w:rsidR="004A57F9" w:rsidRPr="00CE2185" w:rsidRDefault="000C64B3" w:rsidP="00E2321B">
            <w:pPr>
              <w:pStyle w:val="Text1"/>
              <w:ind w:left="0"/>
              <w:rPr>
                <w:noProof/>
              </w:rPr>
            </w:pPr>
            <w:r w:rsidRPr="00CE2185">
              <w:rPr>
                <w:noProof/>
              </w:rPr>
              <w:t>Impact</w:t>
            </w:r>
          </w:p>
        </w:tc>
        <w:tc>
          <w:tcPr>
            <w:tcW w:w="6910" w:type="dxa"/>
          </w:tcPr>
          <w:p w14:paraId="570BFE7D" w14:textId="6C3622B5" w:rsidR="004A57F9" w:rsidRPr="00CE2185" w:rsidRDefault="000C64B3" w:rsidP="00E2321B">
            <w:pPr>
              <w:pStyle w:val="Text1"/>
              <w:ind w:left="0"/>
              <w:rPr>
                <w:noProof/>
              </w:rPr>
            </w:pPr>
            <w:r w:rsidRPr="00CE2185">
              <w:rPr>
                <w:noProof/>
              </w:rPr>
              <w:t>In an impact assessment process, the term impact describes all the changes which are expected to happen due to the implementation and application of a given policy option/intervention. Such impacts may occur over different timescales, affect different actors and be relevant at different scales (local, regional, national and EU). In an evaluation context, impact refers to the changes associated with a particular intervention which occur over the longer term.</w:t>
            </w:r>
          </w:p>
        </w:tc>
      </w:tr>
      <w:tr w:rsidR="00C16570" w:rsidRPr="00CE2185" w14:paraId="60A1BDF6" w14:textId="77777777" w:rsidTr="00416674">
        <w:tc>
          <w:tcPr>
            <w:tcW w:w="2376" w:type="dxa"/>
          </w:tcPr>
          <w:p w14:paraId="14A1E8FF" w14:textId="5C17F037" w:rsidR="00C16570" w:rsidRPr="00CE2185" w:rsidRDefault="00C16570" w:rsidP="00E2321B">
            <w:pPr>
              <w:pStyle w:val="Text1"/>
              <w:ind w:left="0"/>
              <w:rPr>
                <w:noProof/>
              </w:rPr>
            </w:pPr>
            <w:r w:rsidRPr="00CE2185">
              <w:rPr>
                <w:noProof/>
              </w:rPr>
              <w:t>Impact Assessment / Impact Assessment Report</w:t>
            </w:r>
          </w:p>
        </w:tc>
        <w:tc>
          <w:tcPr>
            <w:tcW w:w="6910" w:type="dxa"/>
          </w:tcPr>
          <w:p w14:paraId="22743F01" w14:textId="38F272C5" w:rsidR="00C16570" w:rsidRPr="00CE2185" w:rsidRDefault="00C16570" w:rsidP="00E2321B">
            <w:pPr>
              <w:pStyle w:val="Text1"/>
              <w:ind w:left="0"/>
              <w:rPr>
                <w:noProof/>
              </w:rPr>
            </w:pPr>
            <w:r w:rsidRPr="00CE2185">
              <w:rPr>
                <w:noProof/>
              </w:rPr>
              <w:t>Impact Assessment is an integrated process to assess and to compare the merits of a range of policy options designed to address a well-defined problem. It is an aid to political decision making not a substitute for it. The Roadmap informs whether an impact assessment is planned or justifies why no impact assessment is carried out. An impact assessment report is a Staff Working Document (SWD) prepared by the lead service which presents the findings of the impact assessment process. It supports decision making inside of the Commission and is transmitted to the Legislator following adoption by the College of the relevant initiative. The quality of each IA report is checked by the Regulatory Scrutiny Board against the requirements of the relevant guidelines.</w:t>
            </w:r>
          </w:p>
        </w:tc>
      </w:tr>
      <w:tr w:rsidR="00E04563" w:rsidRPr="00CE2185" w14:paraId="1E5B694E" w14:textId="77777777" w:rsidTr="00416674">
        <w:tc>
          <w:tcPr>
            <w:tcW w:w="2376" w:type="dxa"/>
          </w:tcPr>
          <w:p w14:paraId="78E72067" w14:textId="058507E8" w:rsidR="00E04563" w:rsidRPr="00CE2185" w:rsidRDefault="00E04563" w:rsidP="009C42C6">
            <w:pPr>
              <w:pStyle w:val="Text1"/>
              <w:ind w:left="0"/>
              <w:rPr>
                <w:noProof/>
                <w:szCs w:val="24"/>
              </w:rPr>
            </w:pPr>
            <w:r w:rsidRPr="00CE2185">
              <w:rPr>
                <w:noProof/>
                <w:szCs w:val="24"/>
              </w:rPr>
              <w:t xml:space="preserve">International Digital Strategy </w:t>
            </w:r>
          </w:p>
        </w:tc>
        <w:tc>
          <w:tcPr>
            <w:tcW w:w="6910" w:type="dxa"/>
          </w:tcPr>
          <w:p w14:paraId="55D31863" w14:textId="35C7D903" w:rsidR="00E04563" w:rsidRPr="00CE2185" w:rsidRDefault="00E04563" w:rsidP="009C42C6">
            <w:pPr>
              <w:pStyle w:val="Text1"/>
              <w:ind w:left="0"/>
              <w:rPr>
                <w:noProof/>
                <w:szCs w:val="24"/>
              </w:rPr>
            </w:pPr>
            <w:r w:rsidRPr="00CE2185">
              <w:rPr>
                <w:noProof/>
                <w:szCs w:val="24"/>
              </w:rPr>
              <w:t>International Digital Strategy for the European Union, JOIN(2025) 140 final</w:t>
            </w:r>
          </w:p>
        </w:tc>
      </w:tr>
      <w:tr w:rsidR="008D3E11" w:rsidRPr="00CE2185" w14:paraId="4A384DE5" w14:textId="77777777" w:rsidTr="00416674">
        <w:tc>
          <w:tcPr>
            <w:tcW w:w="2376" w:type="dxa"/>
          </w:tcPr>
          <w:p w14:paraId="304274DD" w14:textId="0330D1D9" w:rsidR="008D3E11" w:rsidRPr="00CE2185" w:rsidRDefault="008D3E11" w:rsidP="009C42C6">
            <w:pPr>
              <w:pStyle w:val="Text1"/>
              <w:ind w:left="0"/>
              <w:rPr>
                <w:noProof/>
                <w:szCs w:val="24"/>
              </w:rPr>
            </w:pPr>
            <w:r w:rsidRPr="00CE2185">
              <w:rPr>
                <w:noProof/>
                <w:szCs w:val="24"/>
              </w:rPr>
              <w:t>MFF</w:t>
            </w:r>
          </w:p>
        </w:tc>
        <w:tc>
          <w:tcPr>
            <w:tcW w:w="6910" w:type="dxa"/>
          </w:tcPr>
          <w:p w14:paraId="008A06EC" w14:textId="5009F385" w:rsidR="008D3E11" w:rsidRPr="00CE2185" w:rsidRDefault="008D3E11" w:rsidP="009C42C6">
            <w:pPr>
              <w:pStyle w:val="Text1"/>
              <w:ind w:left="0"/>
              <w:rPr>
                <w:noProof/>
                <w:szCs w:val="24"/>
              </w:rPr>
            </w:pPr>
            <w:r w:rsidRPr="00CE2185">
              <w:rPr>
                <w:noProof/>
                <w:color w:val="000000" w:themeColor="text1"/>
              </w:rPr>
              <w:t>Multiannual financial framework of the EU</w:t>
            </w:r>
          </w:p>
        </w:tc>
      </w:tr>
      <w:tr w:rsidR="004D320C" w:rsidRPr="00CE2185" w14:paraId="40CC34DB" w14:textId="77777777" w:rsidTr="00416674">
        <w:tc>
          <w:tcPr>
            <w:tcW w:w="2376" w:type="dxa"/>
          </w:tcPr>
          <w:p w14:paraId="48206370" w14:textId="7896A494" w:rsidR="004D320C" w:rsidRPr="00CE2185" w:rsidRDefault="004D320C" w:rsidP="009C42C6">
            <w:pPr>
              <w:pStyle w:val="Text1"/>
              <w:ind w:left="0"/>
              <w:rPr>
                <w:noProof/>
                <w:szCs w:val="24"/>
              </w:rPr>
            </w:pPr>
            <w:r w:rsidRPr="00CE2185">
              <w:rPr>
                <w:noProof/>
                <w:szCs w:val="24"/>
              </w:rPr>
              <w:t>MSSP</w:t>
            </w:r>
          </w:p>
        </w:tc>
        <w:tc>
          <w:tcPr>
            <w:tcW w:w="6910" w:type="dxa"/>
          </w:tcPr>
          <w:p w14:paraId="1D938E71" w14:textId="23CBE62F" w:rsidR="004D320C" w:rsidRPr="00CE2185" w:rsidRDefault="004D320C" w:rsidP="009C42C6">
            <w:pPr>
              <w:pStyle w:val="Text1"/>
              <w:ind w:left="0"/>
              <w:rPr>
                <w:noProof/>
                <w:color w:val="000000" w:themeColor="text1"/>
              </w:rPr>
            </w:pPr>
            <w:r w:rsidRPr="00CE2185">
              <w:rPr>
                <w:noProof/>
              </w:rPr>
              <w:t>Managed security service provider</w:t>
            </w:r>
          </w:p>
        </w:tc>
      </w:tr>
      <w:tr w:rsidR="00AC0AA6" w:rsidRPr="00CE2185" w14:paraId="03D813A9" w14:textId="77777777" w:rsidTr="00416674">
        <w:tc>
          <w:tcPr>
            <w:tcW w:w="2376" w:type="dxa"/>
          </w:tcPr>
          <w:p w14:paraId="0A1E7FC8" w14:textId="68FB6C08" w:rsidR="00AC0AA6" w:rsidRPr="00CE2185" w:rsidRDefault="00AC0AA6" w:rsidP="009C42C6">
            <w:pPr>
              <w:pStyle w:val="Text1"/>
              <w:ind w:left="0"/>
              <w:rPr>
                <w:noProof/>
                <w:szCs w:val="24"/>
              </w:rPr>
            </w:pPr>
            <w:r w:rsidRPr="00CE2185">
              <w:rPr>
                <w:noProof/>
                <w:szCs w:val="24"/>
              </w:rPr>
              <w:t>NCCAs</w:t>
            </w:r>
          </w:p>
        </w:tc>
        <w:tc>
          <w:tcPr>
            <w:tcW w:w="6910" w:type="dxa"/>
          </w:tcPr>
          <w:p w14:paraId="4F18C205" w14:textId="30775297" w:rsidR="00AC0AA6" w:rsidRPr="00CE2185" w:rsidRDefault="00AC0AA6" w:rsidP="009C42C6">
            <w:pPr>
              <w:pStyle w:val="Text1"/>
              <w:ind w:left="0"/>
              <w:rPr>
                <w:noProof/>
                <w:szCs w:val="24"/>
              </w:rPr>
            </w:pPr>
            <w:r w:rsidRPr="00CE2185">
              <w:rPr>
                <w:noProof/>
              </w:rPr>
              <w:t xml:space="preserve">National Cybersecurity Certification Authorities </w:t>
            </w:r>
          </w:p>
        </w:tc>
      </w:tr>
      <w:tr w:rsidR="00506C56" w:rsidRPr="00CE2185" w14:paraId="14C472AE" w14:textId="77777777" w:rsidTr="00416674">
        <w:tc>
          <w:tcPr>
            <w:tcW w:w="2376" w:type="dxa"/>
          </w:tcPr>
          <w:p w14:paraId="599B7994" w14:textId="214B717F" w:rsidR="00506C56" w:rsidRPr="00CE2185" w:rsidRDefault="00506C56" w:rsidP="009C42C6">
            <w:pPr>
              <w:pStyle w:val="Text1"/>
              <w:ind w:left="0"/>
              <w:rPr>
                <w:noProof/>
                <w:szCs w:val="24"/>
              </w:rPr>
            </w:pPr>
            <w:r w:rsidRPr="00CE2185">
              <w:rPr>
                <w:noProof/>
                <w:szCs w:val="24"/>
              </w:rPr>
              <w:t>NCCS</w:t>
            </w:r>
          </w:p>
        </w:tc>
        <w:tc>
          <w:tcPr>
            <w:tcW w:w="6910" w:type="dxa"/>
          </w:tcPr>
          <w:p w14:paraId="3C93FFAD" w14:textId="397A1F79" w:rsidR="00506C56" w:rsidRPr="00CE2185" w:rsidRDefault="00C37B97" w:rsidP="009C42C6">
            <w:pPr>
              <w:pStyle w:val="Text1"/>
              <w:ind w:left="0"/>
              <w:rPr>
                <w:noProof/>
                <w:szCs w:val="24"/>
              </w:rPr>
            </w:pPr>
            <w:r w:rsidRPr="00CE2185">
              <w:rPr>
                <w:noProof/>
                <w:szCs w:val="24"/>
              </w:rPr>
              <w:t>Commission Delegated Regulation (EU) 2024/1366 of 11 March 2024 supplementing Regulation (EU) 2019/943 of the European Parliament and of the Council by establishing a network code on sector-specific rules for cybersecurity aspects of cross-border electricity flows</w:t>
            </w:r>
            <w:r w:rsidR="0008511B" w:rsidRPr="00CE2185">
              <w:rPr>
                <w:noProof/>
                <w:szCs w:val="24"/>
              </w:rPr>
              <w:t xml:space="preserve"> </w:t>
            </w:r>
          </w:p>
        </w:tc>
      </w:tr>
      <w:tr w:rsidR="00614BE5" w:rsidRPr="00CE2185" w14:paraId="38B414A3" w14:textId="77777777" w:rsidTr="00416674">
        <w:tc>
          <w:tcPr>
            <w:tcW w:w="2376" w:type="dxa"/>
          </w:tcPr>
          <w:p w14:paraId="73482742" w14:textId="1DF3A685" w:rsidR="00614BE5" w:rsidRPr="00CE2185" w:rsidRDefault="00E2321B" w:rsidP="00E21971">
            <w:pPr>
              <w:pStyle w:val="Text1"/>
              <w:ind w:left="0"/>
              <w:rPr>
                <w:noProof/>
              </w:rPr>
            </w:pPr>
            <w:r w:rsidRPr="00CE2185">
              <w:rPr>
                <w:noProof/>
              </w:rPr>
              <w:t xml:space="preserve">NIS </w:t>
            </w:r>
          </w:p>
        </w:tc>
        <w:tc>
          <w:tcPr>
            <w:tcW w:w="6910" w:type="dxa"/>
          </w:tcPr>
          <w:p w14:paraId="321708A9" w14:textId="0B1209B7" w:rsidR="00614BE5" w:rsidRPr="00CE2185" w:rsidRDefault="00FB4D71" w:rsidP="00E21971">
            <w:pPr>
              <w:pStyle w:val="Text1"/>
              <w:ind w:left="0"/>
              <w:rPr>
                <w:noProof/>
              </w:rPr>
            </w:pPr>
            <w:r w:rsidRPr="00CE2185">
              <w:rPr>
                <w:noProof/>
              </w:rPr>
              <w:t>Network and Information Systems</w:t>
            </w:r>
          </w:p>
        </w:tc>
      </w:tr>
      <w:tr w:rsidR="001345A0" w:rsidRPr="00CE2185" w14:paraId="6F554386" w14:textId="77777777" w:rsidTr="00416674">
        <w:tc>
          <w:tcPr>
            <w:tcW w:w="2376" w:type="dxa"/>
          </w:tcPr>
          <w:p w14:paraId="38AE4FC7" w14:textId="5B4E4815" w:rsidR="001345A0" w:rsidRPr="00CE2185" w:rsidRDefault="001345A0" w:rsidP="009C42C6">
            <w:pPr>
              <w:pStyle w:val="Text1"/>
              <w:ind w:left="0"/>
              <w:rPr>
                <w:noProof/>
              </w:rPr>
            </w:pPr>
            <w:r w:rsidRPr="00CE2185">
              <w:rPr>
                <w:noProof/>
              </w:rPr>
              <w:t>NIS</w:t>
            </w:r>
            <w:r w:rsidR="00497E9C" w:rsidRPr="00CE2185">
              <w:rPr>
                <w:noProof/>
              </w:rPr>
              <w:t xml:space="preserve"> </w:t>
            </w:r>
            <w:r w:rsidRPr="00CE2185">
              <w:rPr>
                <w:noProof/>
              </w:rPr>
              <w:t>2 Directive</w:t>
            </w:r>
          </w:p>
        </w:tc>
        <w:tc>
          <w:tcPr>
            <w:tcW w:w="6910" w:type="dxa"/>
          </w:tcPr>
          <w:p w14:paraId="12375219" w14:textId="17A0DB25" w:rsidR="001345A0" w:rsidRPr="00CE2185" w:rsidRDefault="006B107C" w:rsidP="009C42C6">
            <w:pPr>
              <w:pStyle w:val="Text1"/>
              <w:ind w:left="0"/>
              <w:rPr>
                <w:noProof/>
              </w:rPr>
            </w:pPr>
            <w:r w:rsidRPr="00CE2185">
              <w:rPr>
                <w:noProof/>
              </w:rPr>
              <w:t xml:space="preserve">Directive (EU) 2022/2555 of the European Parliament and of the Council of 14 December 2022 on measures for a high common level of cybersecurity across the Union, amending Regulation (EU) No 910/2014 and Directive (EU) 2018/1972, and repealing Directive (EU) 2016/1148 </w:t>
            </w:r>
          </w:p>
        </w:tc>
      </w:tr>
      <w:tr w:rsidR="00FA6DB5" w:rsidRPr="00CE2185" w14:paraId="3CD01FB8" w14:textId="77777777" w:rsidTr="00416674">
        <w:tc>
          <w:tcPr>
            <w:tcW w:w="2376" w:type="dxa"/>
          </w:tcPr>
          <w:p w14:paraId="2DD3C3E3" w14:textId="3287A3D9" w:rsidR="00FA6DB5" w:rsidRPr="00CE2185" w:rsidRDefault="00FA6DB5" w:rsidP="009C42C6">
            <w:pPr>
              <w:pStyle w:val="Text1"/>
              <w:ind w:left="0"/>
              <w:rPr>
                <w:noProof/>
              </w:rPr>
            </w:pPr>
            <w:r w:rsidRPr="00CE2185">
              <w:rPr>
                <w:noProof/>
              </w:rPr>
              <w:t>OECD</w:t>
            </w:r>
          </w:p>
        </w:tc>
        <w:tc>
          <w:tcPr>
            <w:tcW w:w="6910" w:type="dxa"/>
          </w:tcPr>
          <w:p w14:paraId="300EA4AC" w14:textId="4458C125" w:rsidR="00FA6DB5" w:rsidRPr="00CE2185" w:rsidRDefault="0075320B" w:rsidP="008A38E1">
            <w:pPr>
              <w:pStyle w:val="Text1"/>
              <w:ind w:left="0"/>
              <w:rPr>
                <w:noProof/>
                <w:szCs w:val="24"/>
              </w:rPr>
            </w:pPr>
            <w:r w:rsidRPr="00CE2185">
              <w:rPr>
                <w:noProof/>
                <w:szCs w:val="24"/>
              </w:rPr>
              <w:t>Organisation for Economic Co</w:t>
            </w:r>
            <w:r w:rsidR="00654E9E" w:rsidRPr="00CE2185">
              <w:rPr>
                <w:noProof/>
                <w:szCs w:val="24"/>
              </w:rPr>
              <w:t>-</w:t>
            </w:r>
            <w:r w:rsidRPr="00CE2185">
              <w:rPr>
                <w:noProof/>
                <w:szCs w:val="24"/>
              </w:rPr>
              <w:t>operation and Development</w:t>
            </w:r>
          </w:p>
        </w:tc>
      </w:tr>
      <w:tr w:rsidR="005F3CCC" w:rsidRPr="00CE2185" w14:paraId="4F2AA5C1" w14:textId="77777777" w:rsidTr="00416674">
        <w:tc>
          <w:tcPr>
            <w:tcW w:w="2376" w:type="dxa"/>
          </w:tcPr>
          <w:p w14:paraId="04250298" w14:textId="6B32B390" w:rsidR="005F3CCC" w:rsidRPr="00CE2185" w:rsidRDefault="005F3CCC" w:rsidP="009C42C6">
            <w:pPr>
              <w:pStyle w:val="Text1"/>
              <w:ind w:left="0"/>
              <w:rPr>
                <w:noProof/>
              </w:rPr>
            </w:pPr>
            <w:r w:rsidRPr="00CE2185">
              <w:rPr>
                <w:noProof/>
              </w:rPr>
              <w:t>PART-IS</w:t>
            </w:r>
          </w:p>
        </w:tc>
        <w:tc>
          <w:tcPr>
            <w:tcW w:w="6910" w:type="dxa"/>
          </w:tcPr>
          <w:p w14:paraId="1AE14542" w14:textId="3A078CFE" w:rsidR="005F3CCC" w:rsidRPr="00CE2185" w:rsidRDefault="007E7348" w:rsidP="008A38E1">
            <w:pPr>
              <w:pStyle w:val="Text1"/>
              <w:ind w:left="0"/>
              <w:rPr>
                <w:noProof/>
                <w:szCs w:val="24"/>
              </w:rPr>
            </w:pPr>
            <w:r w:rsidRPr="00CE2185">
              <w:rPr>
                <w:noProof/>
                <w:szCs w:val="24"/>
              </w:rPr>
              <w:t xml:space="preserve">Commission Implementing Regulation (EU) 2023/203 </w:t>
            </w:r>
            <w:r w:rsidR="00CA07B6" w:rsidRPr="00CE2185">
              <w:rPr>
                <w:noProof/>
                <w:szCs w:val="24"/>
              </w:rPr>
              <w:t xml:space="preserve">and Commission Delegated Regulation (EU) 2022/1645 </w:t>
            </w:r>
            <w:r w:rsidRPr="00CE2185">
              <w:rPr>
                <w:noProof/>
                <w:szCs w:val="24"/>
              </w:rPr>
              <w:t>on requirements for the management of information security risks with a potential impact on aviation safety for organisations and competent authorities</w:t>
            </w:r>
          </w:p>
        </w:tc>
      </w:tr>
      <w:tr w:rsidR="00161D7A" w:rsidRPr="00CE2185" w14:paraId="4EBEFF96" w14:textId="77777777" w:rsidTr="00416674">
        <w:tc>
          <w:tcPr>
            <w:tcW w:w="2376" w:type="dxa"/>
          </w:tcPr>
          <w:p w14:paraId="3E5321CA" w14:textId="11A54B49" w:rsidR="00161D7A" w:rsidRPr="00CE2185" w:rsidRDefault="00161D7A" w:rsidP="009C42C6">
            <w:pPr>
              <w:pStyle w:val="Text1"/>
              <w:ind w:left="0"/>
              <w:rPr>
                <w:noProof/>
              </w:rPr>
            </w:pPr>
            <w:r w:rsidRPr="00CE2185">
              <w:rPr>
                <w:noProof/>
              </w:rPr>
              <w:t>PC</w:t>
            </w:r>
          </w:p>
        </w:tc>
        <w:tc>
          <w:tcPr>
            <w:tcW w:w="6910" w:type="dxa"/>
          </w:tcPr>
          <w:p w14:paraId="16442152" w14:textId="6EB1F452" w:rsidR="00161D7A" w:rsidRPr="00CE2185" w:rsidRDefault="00161D7A" w:rsidP="008A38E1">
            <w:pPr>
              <w:pStyle w:val="Text1"/>
              <w:ind w:left="0"/>
              <w:rPr>
                <w:noProof/>
              </w:rPr>
            </w:pPr>
            <w:r w:rsidRPr="00CE2185">
              <w:rPr>
                <w:noProof/>
              </w:rPr>
              <w:t>Public consultation</w:t>
            </w:r>
          </w:p>
        </w:tc>
      </w:tr>
      <w:tr w:rsidR="00614BE5" w:rsidRPr="00CE2185" w14:paraId="585A0439" w14:textId="77777777" w:rsidTr="00416674">
        <w:tc>
          <w:tcPr>
            <w:tcW w:w="2376" w:type="dxa"/>
          </w:tcPr>
          <w:p w14:paraId="6F887180" w14:textId="119DACA9" w:rsidR="00614BE5" w:rsidRPr="00CE2185" w:rsidRDefault="00C43EC2" w:rsidP="00E21971">
            <w:pPr>
              <w:pStyle w:val="Text1"/>
              <w:ind w:left="0"/>
              <w:rPr>
                <w:noProof/>
              </w:rPr>
            </w:pPr>
            <w:r w:rsidRPr="00CE2185">
              <w:rPr>
                <w:noProof/>
              </w:rPr>
              <w:t>Preparedness Union Strategy</w:t>
            </w:r>
          </w:p>
        </w:tc>
        <w:tc>
          <w:tcPr>
            <w:tcW w:w="6910" w:type="dxa"/>
          </w:tcPr>
          <w:p w14:paraId="607735DB" w14:textId="747E1118" w:rsidR="00614BE5" w:rsidRPr="00CE2185" w:rsidRDefault="008A38E1" w:rsidP="00E21971">
            <w:pPr>
              <w:pStyle w:val="Text1"/>
              <w:ind w:left="0"/>
              <w:rPr>
                <w:noProof/>
              </w:rPr>
            </w:pPr>
            <w:r w:rsidRPr="00CE2185">
              <w:rPr>
                <w:noProof/>
                <w:szCs w:val="24"/>
              </w:rPr>
              <w:t>Joint Communication to the European Parliament, the European Council</w:t>
            </w:r>
            <w:r w:rsidR="0015494C" w:rsidRPr="00CE2185">
              <w:rPr>
                <w:noProof/>
                <w:szCs w:val="24"/>
              </w:rPr>
              <w:t>, the Council, the European Economic and Social Committee and the Comm</w:t>
            </w:r>
            <w:r w:rsidR="00A96B39" w:rsidRPr="00CE2185">
              <w:rPr>
                <w:noProof/>
                <w:szCs w:val="24"/>
              </w:rPr>
              <w:t>ittee of the Regions</w:t>
            </w:r>
            <w:r w:rsidRPr="00CE2185">
              <w:rPr>
                <w:noProof/>
                <w:szCs w:val="24"/>
              </w:rPr>
              <w:t xml:space="preserve"> </w:t>
            </w:r>
            <w:r w:rsidR="00213117" w:rsidRPr="00CE2185">
              <w:rPr>
                <w:noProof/>
                <w:szCs w:val="24"/>
              </w:rPr>
              <w:t>on the European Preparedness Union Strateg</w:t>
            </w:r>
            <w:r w:rsidR="00213117" w:rsidRPr="00CE2185">
              <w:rPr>
                <w:noProof/>
              </w:rPr>
              <w:t>y</w:t>
            </w:r>
            <w:r w:rsidR="00A96B39" w:rsidRPr="00CE2185">
              <w:rPr>
                <w:noProof/>
                <w:szCs w:val="24"/>
              </w:rPr>
              <w:t xml:space="preserve">, </w:t>
            </w:r>
            <w:r w:rsidR="008D3973" w:rsidRPr="00CE2185">
              <w:rPr>
                <w:noProof/>
                <w:szCs w:val="24"/>
              </w:rPr>
              <w:t>JOIN(2025) 130 final</w:t>
            </w:r>
          </w:p>
        </w:tc>
      </w:tr>
      <w:tr w:rsidR="00C43EC2" w:rsidRPr="00CE2185" w14:paraId="07BBC87F" w14:textId="77777777" w:rsidTr="00416674">
        <w:tc>
          <w:tcPr>
            <w:tcW w:w="2376" w:type="dxa"/>
          </w:tcPr>
          <w:p w14:paraId="5E3069FC" w14:textId="01F9E932" w:rsidR="00C43EC2" w:rsidRPr="00CE2185" w:rsidRDefault="00C43EC2" w:rsidP="009C42C6">
            <w:pPr>
              <w:pStyle w:val="Text1"/>
              <w:ind w:left="0"/>
              <w:rPr>
                <w:noProof/>
              </w:rPr>
            </w:pPr>
            <w:r w:rsidRPr="00CE2185">
              <w:rPr>
                <w:noProof/>
              </w:rPr>
              <w:t>ProtectEU Strategy</w:t>
            </w:r>
          </w:p>
        </w:tc>
        <w:tc>
          <w:tcPr>
            <w:tcW w:w="6910" w:type="dxa"/>
          </w:tcPr>
          <w:p w14:paraId="025EBE6B" w14:textId="6F5BB464" w:rsidR="00C43EC2" w:rsidRPr="00CE2185" w:rsidRDefault="008A38E1" w:rsidP="009C42C6">
            <w:pPr>
              <w:pStyle w:val="Text1"/>
              <w:ind w:left="0"/>
              <w:rPr>
                <w:noProof/>
              </w:rPr>
            </w:pPr>
            <w:r w:rsidRPr="00CE2185">
              <w:rPr>
                <w:noProof/>
                <w:szCs w:val="24"/>
              </w:rPr>
              <w:t>Communication from the Commission to the European Parliament, the Council, the European Economic and Social Committee and the Committee of the Regions on ProtectEU: a European Internal Security Strategy, COM(2025) 148 final</w:t>
            </w:r>
          </w:p>
        </w:tc>
      </w:tr>
      <w:tr w:rsidR="004F3D3D" w:rsidRPr="00CE2185" w14:paraId="3A1E961E" w14:textId="77777777" w:rsidTr="00416674">
        <w:tc>
          <w:tcPr>
            <w:tcW w:w="2376" w:type="dxa"/>
          </w:tcPr>
          <w:p w14:paraId="2C32C1A6" w14:textId="5F7DD3C0" w:rsidR="004F3D3D" w:rsidRPr="00CE2185" w:rsidRDefault="004F3D3D" w:rsidP="009C42C6">
            <w:pPr>
              <w:pStyle w:val="Text1"/>
              <w:ind w:left="0"/>
              <w:rPr>
                <w:noProof/>
              </w:rPr>
            </w:pPr>
            <w:r w:rsidRPr="00CE2185">
              <w:rPr>
                <w:noProof/>
              </w:rPr>
              <w:t>REFIT</w:t>
            </w:r>
          </w:p>
        </w:tc>
        <w:tc>
          <w:tcPr>
            <w:tcW w:w="6910" w:type="dxa"/>
          </w:tcPr>
          <w:p w14:paraId="323BC5C3" w14:textId="093EE699" w:rsidR="004F3D3D" w:rsidRPr="00CE2185" w:rsidRDefault="005E064C" w:rsidP="009C42C6">
            <w:pPr>
              <w:pStyle w:val="Text1"/>
              <w:ind w:left="0"/>
              <w:rPr>
                <w:noProof/>
              </w:rPr>
            </w:pPr>
            <w:r w:rsidRPr="00CE2185">
              <w:rPr>
                <w:noProof/>
              </w:rPr>
              <w:t>The European Commission's regulatory fitness and performance programme (REFIT) aims to ensure that EU laws deliver on their objectives at a minimum cost for the benefit of citizens and businesses.</w:t>
            </w:r>
          </w:p>
        </w:tc>
      </w:tr>
      <w:tr w:rsidR="005F2D54" w:rsidRPr="00CE2185" w14:paraId="11015A08" w14:textId="77777777" w:rsidTr="00416674">
        <w:tc>
          <w:tcPr>
            <w:tcW w:w="2376" w:type="dxa"/>
          </w:tcPr>
          <w:p w14:paraId="2B25C021" w14:textId="2573527F" w:rsidR="005F2D54" w:rsidRPr="00CE2185" w:rsidRDefault="005F2D54" w:rsidP="009C42C6">
            <w:pPr>
              <w:pStyle w:val="Text1"/>
              <w:ind w:left="0"/>
              <w:rPr>
                <w:noProof/>
              </w:rPr>
            </w:pPr>
            <w:r w:rsidRPr="00CE2185">
              <w:rPr>
                <w:noProof/>
              </w:rPr>
              <w:t>SCCG</w:t>
            </w:r>
          </w:p>
        </w:tc>
        <w:tc>
          <w:tcPr>
            <w:tcW w:w="6910" w:type="dxa"/>
          </w:tcPr>
          <w:p w14:paraId="624876C5" w14:textId="3D91EC80" w:rsidR="005F2D54" w:rsidRPr="00CE2185" w:rsidRDefault="005F2D54" w:rsidP="009C42C6">
            <w:pPr>
              <w:pStyle w:val="Text1"/>
              <w:ind w:left="0"/>
              <w:rPr>
                <w:noProof/>
              </w:rPr>
            </w:pPr>
            <w:r w:rsidRPr="00CE2185">
              <w:rPr>
                <w:noProof/>
              </w:rPr>
              <w:t xml:space="preserve">Stakeholder Cybersecurity Certification Group </w:t>
            </w:r>
          </w:p>
        </w:tc>
      </w:tr>
      <w:tr w:rsidR="0047151A" w:rsidRPr="00CE2185" w14:paraId="49E10FA4" w14:textId="77777777" w:rsidTr="00416674">
        <w:tc>
          <w:tcPr>
            <w:tcW w:w="2376" w:type="dxa"/>
          </w:tcPr>
          <w:p w14:paraId="405D5189" w14:textId="548F328F" w:rsidR="0047151A" w:rsidRPr="00CE2185" w:rsidRDefault="0047151A" w:rsidP="009C42C6">
            <w:pPr>
              <w:pStyle w:val="Text1"/>
              <w:ind w:left="0"/>
              <w:rPr>
                <w:noProof/>
              </w:rPr>
            </w:pPr>
            <w:r w:rsidRPr="00CE2185">
              <w:rPr>
                <w:noProof/>
              </w:rPr>
              <w:t>SMEs</w:t>
            </w:r>
          </w:p>
        </w:tc>
        <w:tc>
          <w:tcPr>
            <w:tcW w:w="6910" w:type="dxa"/>
          </w:tcPr>
          <w:p w14:paraId="570DDCEB" w14:textId="371A950E" w:rsidR="0047151A" w:rsidRPr="00CE2185" w:rsidRDefault="00384252" w:rsidP="009C42C6">
            <w:pPr>
              <w:pStyle w:val="Text1"/>
              <w:ind w:left="0"/>
              <w:rPr>
                <w:noProof/>
                <w:szCs w:val="24"/>
              </w:rPr>
            </w:pPr>
            <w:r w:rsidRPr="00CE2185">
              <w:rPr>
                <w:noProof/>
              </w:rPr>
              <w:t>S</w:t>
            </w:r>
            <w:r w:rsidR="0047151A" w:rsidRPr="00CE2185">
              <w:rPr>
                <w:noProof/>
              </w:rPr>
              <w:t xml:space="preserve">mall and medium-sized enterprises </w:t>
            </w:r>
          </w:p>
        </w:tc>
      </w:tr>
      <w:tr w:rsidR="0049227F" w:rsidRPr="00CE2185" w14:paraId="3F71DD34" w14:textId="77777777" w:rsidTr="00416674">
        <w:tc>
          <w:tcPr>
            <w:tcW w:w="2376" w:type="dxa"/>
          </w:tcPr>
          <w:p w14:paraId="61E16B66" w14:textId="70AE30B3" w:rsidR="0049227F" w:rsidRPr="00CE2185" w:rsidRDefault="0049227F" w:rsidP="009C42C6">
            <w:pPr>
              <w:pStyle w:val="Text1"/>
              <w:ind w:left="0"/>
              <w:rPr>
                <w:noProof/>
              </w:rPr>
            </w:pPr>
            <w:r w:rsidRPr="00CE2185">
              <w:rPr>
                <w:noProof/>
              </w:rPr>
              <w:t>TFEU</w:t>
            </w:r>
          </w:p>
        </w:tc>
        <w:tc>
          <w:tcPr>
            <w:tcW w:w="6910" w:type="dxa"/>
          </w:tcPr>
          <w:p w14:paraId="1FE215FA" w14:textId="10DB3B3B" w:rsidR="0049227F" w:rsidRPr="00CE2185" w:rsidRDefault="0049227F" w:rsidP="009C42C6">
            <w:pPr>
              <w:pStyle w:val="Text1"/>
              <w:ind w:left="0"/>
              <w:rPr>
                <w:noProof/>
              </w:rPr>
            </w:pPr>
            <w:r w:rsidRPr="00CE2185">
              <w:rPr>
                <w:noProof/>
              </w:rPr>
              <w:t xml:space="preserve">Treaty on the Functioning of the European Union </w:t>
            </w:r>
          </w:p>
        </w:tc>
      </w:tr>
      <w:tr w:rsidR="002735D2" w:rsidRPr="00CE2185" w14:paraId="7FA2D1FE" w14:textId="77777777" w:rsidTr="00416674">
        <w:tc>
          <w:tcPr>
            <w:tcW w:w="2376" w:type="dxa"/>
          </w:tcPr>
          <w:p w14:paraId="052B869C" w14:textId="586B7162" w:rsidR="002735D2" w:rsidRPr="00CE2185" w:rsidRDefault="002735D2" w:rsidP="009C42C6">
            <w:pPr>
              <w:pStyle w:val="Text1"/>
              <w:ind w:left="0"/>
              <w:rPr>
                <w:noProof/>
              </w:rPr>
            </w:pPr>
            <w:r w:rsidRPr="00CE2185">
              <w:rPr>
                <w:noProof/>
              </w:rPr>
              <w:t>TS</w:t>
            </w:r>
          </w:p>
        </w:tc>
        <w:tc>
          <w:tcPr>
            <w:tcW w:w="6910" w:type="dxa"/>
          </w:tcPr>
          <w:p w14:paraId="71D7D211" w14:textId="3F0C48B5" w:rsidR="002735D2" w:rsidRPr="00CE2185" w:rsidRDefault="002735D2" w:rsidP="009C42C6">
            <w:pPr>
              <w:pStyle w:val="Text1"/>
              <w:ind w:left="0"/>
              <w:rPr>
                <w:noProof/>
              </w:rPr>
            </w:pPr>
            <w:r w:rsidRPr="00CE2185">
              <w:rPr>
                <w:noProof/>
              </w:rPr>
              <w:t>Technical specifications</w:t>
            </w:r>
          </w:p>
        </w:tc>
      </w:tr>
      <w:tr w:rsidR="001D4573" w:rsidRPr="00CE2185" w14:paraId="63213958" w14:textId="77777777" w:rsidTr="00416674">
        <w:tc>
          <w:tcPr>
            <w:tcW w:w="2376" w:type="dxa"/>
          </w:tcPr>
          <w:p w14:paraId="42073368" w14:textId="1B901299" w:rsidR="001D4573" w:rsidRPr="00CE2185" w:rsidRDefault="001D4573" w:rsidP="009C42C6">
            <w:pPr>
              <w:pStyle w:val="Text1"/>
              <w:ind w:left="0"/>
              <w:rPr>
                <w:noProof/>
              </w:rPr>
            </w:pPr>
            <w:r w:rsidRPr="00CE2185">
              <w:rPr>
                <w:noProof/>
              </w:rPr>
              <w:t>URWP</w:t>
            </w:r>
          </w:p>
        </w:tc>
        <w:tc>
          <w:tcPr>
            <w:tcW w:w="6910" w:type="dxa"/>
          </w:tcPr>
          <w:p w14:paraId="294BFC77" w14:textId="407CFB23" w:rsidR="001D4573" w:rsidRPr="00CE2185" w:rsidRDefault="001D4573" w:rsidP="009C42C6">
            <w:pPr>
              <w:pStyle w:val="Text1"/>
              <w:ind w:left="0"/>
              <w:rPr>
                <w:noProof/>
                <w:szCs w:val="24"/>
              </w:rPr>
            </w:pPr>
            <w:r w:rsidRPr="00CE2185">
              <w:rPr>
                <w:noProof/>
              </w:rPr>
              <w:t xml:space="preserve">Union Rolling Work Programme for Cybersecurity Certification </w:t>
            </w:r>
          </w:p>
        </w:tc>
      </w:tr>
    </w:tbl>
    <w:p w14:paraId="046E67E1" w14:textId="77777777" w:rsidR="00051A71" w:rsidRPr="00CE2185" w:rsidRDefault="00051A71" w:rsidP="00E21971">
      <w:pPr>
        <w:pStyle w:val="Text1"/>
        <w:ind w:left="0"/>
        <w:rPr>
          <w:noProof/>
        </w:rPr>
      </w:pPr>
    </w:p>
    <w:p w14:paraId="3B4D8FAD" w14:textId="77777777" w:rsidR="00BE30B8" w:rsidRPr="00CE2185" w:rsidRDefault="00BE30B8">
      <w:pPr>
        <w:spacing w:after="200" w:line="276" w:lineRule="auto"/>
        <w:jc w:val="left"/>
        <w:rPr>
          <w:rFonts w:eastAsia="Times New Roman"/>
          <w:b/>
          <w:smallCaps/>
          <w:noProof/>
          <w:szCs w:val="20"/>
        </w:rPr>
      </w:pPr>
      <w:r w:rsidRPr="00CE2185">
        <w:rPr>
          <w:noProof/>
        </w:rPr>
        <w:br w:type="page"/>
      </w:r>
    </w:p>
    <w:p w14:paraId="473747AA" w14:textId="56E12306" w:rsidR="006B087E" w:rsidRPr="00CE2185" w:rsidRDefault="006B087E" w:rsidP="000E3086">
      <w:pPr>
        <w:pStyle w:val="Heading1"/>
        <w:rPr>
          <w:noProof/>
        </w:rPr>
      </w:pPr>
      <w:bookmarkStart w:id="7" w:name="_Toc210393797"/>
      <w:bookmarkStart w:id="8" w:name="_Toc219447336"/>
      <w:r w:rsidRPr="00CE2185">
        <w:rPr>
          <w:noProof/>
        </w:rPr>
        <w:t>Introduction: Political and legal context</w:t>
      </w:r>
      <w:bookmarkEnd w:id="7"/>
      <w:bookmarkEnd w:id="8"/>
    </w:p>
    <w:p w14:paraId="18F197B0" w14:textId="413FB350" w:rsidR="00C3434F" w:rsidRPr="00CE2185" w:rsidRDefault="00C3434F" w:rsidP="00C3434F">
      <w:pPr>
        <w:spacing w:after="160" w:line="259" w:lineRule="auto"/>
        <w:rPr>
          <w:noProof/>
          <w:lang w:val="en-IE"/>
        </w:rPr>
      </w:pPr>
      <w:r w:rsidRPr="00CE2185">
        <w:rPr>
          <w:noProof/>
          <w:lang w:val="en-IE"/>
        </w:rPr>
        <w:t>In today’s interconnected world, technology is the backbone of Europe’s economy, society, and sovereignty. From energy grids and hospitals to financial systems and transport networks, digital infrastructure powers every critical sector. With this transformation comes a reality which by now is widely acknowledged: cybersecurity is no longer optional. It is a political, economic, and strategic imperative.</w:t>
      </w:r>
      <w:r w:rsidR="00AF57B3" w:rsidRPr="00CE2185">
        <w:rPr>
          <w:noProof/>
          <w:lang w:val="en-IE"/>
        </w:rPr>
        <w:t xml:space="preserve"> </w:t>
      </w:r>
      <w:r w:rsidRPr="00CE2185">
        <w:rPr>
          <w:noProof/>
          <w:lang w:val="en-IE"/>
        </w:rPr>
        <w:t>The EU’s Preparedness Union</w:t>
      </w:r>
      <w:r w:rsidRPr="00CE2185">
        <w:rPr>
          <w:rStyle w:val="FootnoteReference"/>
          <w:noProof/>
          <w:lang w:val="en-IE"/>
        </w:rPr>
        <w:footnoteReference w:id="2"/>
      </w:r>
      <w:r w:rsidRPr="00CE2185">
        <w:rPr>
          <w:noProof/>
          <w:lang w:val="en-IE"/>
        </w:rPr>
        <w:t> and ProtectEU</w:t>
      </w:r>
      <w:r w:rsidRPr="00CE2185">
        <w:rPr>
          <w:rStyle w:val="FootnoteReference"/>
          <w:b/>
          <w:bCs/>
          <w:noProof/>
          <w:lang w:val="en-IE"/>
        </w:rPr>
        <w:footnoteReference w:id="3"/>
      </w:r>
      <w:r w:rsidRPr="00CE2185">
        <w:rPr>
          <w:noProof/>
          <w:lang w:val="en-IE"/>
        </w:rPr>
        <w:t> strategies have placed cybersecurity at the heart of Europe’s resilience agenda. These strategies recognise that persistent cybersecurity threats are not just technical challenges, but strategic risks to our democracy, economy, and way of life. The </w:t>
      </w:r>
      <w:r w:rsidRPr="00CE2185">
        <w:rPr>
          <w:b/>
          <w:bCs/>
          <w:noProof/>
          <w:lang w:val="en-IE"/>
        </w:rPr>
        <w:t>revision of the Cybersecurity Act (CSA)</w:t>
      </w:r>
      <w:r w:rsidRPr="00CE2185">
        <w:rPr>
          <w:noProof/>
          <w:lang w:val="en-IE"/>
        </w:rPr>
        <w:t xml:space="preserve"> is an important </w:t>
      </w:r>
      <w:r w:rsidR="7027BFCB" w:rsidRPr="00CE2185">
        <w:rPr>
          <w:noProof/>
          <w:lang w:val="en-IE"/>
        </w:rPr>
        <w:t>contribution</w:t>
      </w:r>
      <w:r w:rsidRPr="00CE2185">
        <w:rPr>
          <w:noProof/>
          <w:lang w:val="en-IE"/>
        </w:rPr>
        <w:t xml:space="preserve"> to reinforc</w:t>
      </w:r>
      <w:r w:rsidR="36D61E43" w:rsidRPr="00CE2185">
        <w:rPr>
          <w:noProof/>
          <w:lang w:val="en-IE"/>
        </w:rPr>
        <w:t>e</w:t>
      </w:r>
      <w:r w:rsidRPr="00CE2185">
        <w:rPr>
          <w:noProof/>
          <w:lang w:val="en-IE"/>
        </w:rPr>
        <w:t xml:space="preserve"> </w:t>
      </w:r>
      <w:r w:rsidR="75189F7A" w:rsidRPr="00CE2185">
        <w:rPr>
          <w:noProof/>
          <w:lang w:val="en-IE"/>
        </w:rPr>
        <w:t xml:space="preserve">EU </w:t>
      </w:r>
      <w:r w:rsidRPr="00CE2185">
        <w:rPr>
          <w:noProof/>
          <w:lang w:val="en-IE"/>
        </w:rPr>
        <w:t>preparedness and mak</w:t>
      </w:r>
      <w:r w:rsidR="30513EEB" w:rsidRPr="00CE2185">
        <w:rPr>
          <w:noProof/>
          <w:lang w:val="en-IE"/>
        </w:rPr>
        <w:t>e</w:t>
      </w:r>
      <w:r w:rsidRPr="00CE2185">
        <w:rPr>
          <w:noProof/>
          <w:lang w:val="en-IE"/>
        </w:rPr>
        <w:t xml:space="preserve"> the </w:t>
      </w:r>
      <w:r w:rsidR="3A2AE1A6" w:rsidRPr="00CE2185">
        <w:rPr>
          <w:noProof/>
          <w:lang w:val="en-IE"/>
        </w:rPr>
        <w:t xml:space="preserve">EU </w:t>
      </w:r>
      <w:r w:rsidRPr="00CE2185">
        <w:rPr>
          <w:noProof/>
          <w:lang w:val="en-IE"/>
        </w:rPr>
        <w:t>cybersecurity framework more eff</w:t>
      </w:r>
      <w:r w:rsidR="7AC9EA7C" w:rsidRPr="00CE2185">
        <w:rPr>
          <w:noProof/>
          <w:lang w:val="en-IE"/>
        </w:rPr>
        <w:t>ective and effi</w:t>
      </w:r>
      <w:r w:rsidRPr="00CE2185">
        <w:rPr>
          <w:noProof/>
          <w:lang w:val="en-IE"/>
        </w:rPr>
        <w:t>cient.</w:t>
      </w:r>
    </w:p>
    <w:p w14:paraId="07550665" w14:textId="7DCB52DB" w:rsidR="00C3434F" w:rsidRPr="00CE2185" w:rsidRDefault="00C3434F" w:rsidP="00C3434F">
      <w:pPr>
        <w:spacing w:after="160" w:line="259" w:lineRule="auto"/>
        <w:rPr>
          <w:noProof/>
          <w:lang w:val="en-IE"/>
        </w:rPr>
      </w:pPr>
      <w:r w:rsidRPr="00CE2185">
        <w:rPr>
          <w:noProof/>
          <w:lang w:val="en-IE"/>
        </w:rPr>
        <w:t>The </w:t>
      </w:r>
      <w:r w:rsidR="79967163" w:rsidRPr="00CE2185">
        <w:rPr>
          <w:noProof/>
          <w:lang w:val="en-IE"/>
        </w:rPr>
        <w:t xml:space="preserve">2019 </w:t>
      </w:r>
      <w:r w:rsidRPr="00CE2185">
        <w:rPr>
          <w:b/>
          <w:bCs/>
          <w:noProof/>
          <w:lang w:val="en-IE"/>
        </w:rPr>
        <w:t>CSA</w:t>
      </w:r>
      <w:r w:rsidRPr="00CE2185">
        <w:rPr>
          <w:noProof/>
          <w:lang w:val="en-IE"/>
        </w:rPr>
        <w:t xml:space="preserve"> empowered the EU Agency for cybersecurity (ENISA) and established the European Cybersecurity Certification Framework (ECCF) to ensure trust and consistency across the internal market. At the time, the EU cybersecurity regulatory and policy framework was rather limited. However, </w:t>
      </w:r>
      <w:r w:rsidRPr="00CE2185">
        <w:rPr>
          <w:b/>
          <w:bCs/>
          <w:noProof/>
          <w:lang w:val="en-IE"/>
        </w:rPr>
        <w:t>since 2019,</w:t>
      </w:r>
      <w:r w:rsidRPr="00CE2185">
        <w:rPr>
          <w:noProof/>
          <w:lang w:val="en-IE"/>
        </w:rPr>
        <w:t xml:space="preserve"> the cybersecurity threat landscape has significantly evolved</w:t>
      </w:r>
      <w:r w:rsidR="00964863" w:rsidRPr="00CE2185">
        <w:rPr>
          <w:rStyle w:val="FootnoteReference"/>
          <w:noProof/>
          <w:lang w:val="en-IE"/>
        </w:rPr>
        <w:footnoteReference w:id="4"/>
      </w:r>
      <w:r w:rsidRPr="00CE2185">
        <w:rPr>
          <w:noProof/>
          <w:lang w:val="en-IE"/>
        </w:rPr>
        <w:t xml:space="preserve"> in an increasingly complex geopolitical reality and subsequently triggered a more comprehensive European regulatory and policy approach. </w:t>
      </w:r>
    </w:p>
    <w:p w14:paraId="63E300CB" w14:textId="47ED4601" w:rsidR="00C3434F" w:rsidRPr="00CE2185" w:rsidRDefault="5DB70E53" w:rsidP="32C4CAA3">
      <w:pPr>
        <w:spacing w:after="160" w:line="259" w:lineRule="auto"/>
        <w:rPr>
          <w:rFonts w:eastAsiaTheme="minorEastAsia"/>
          <w:noProof/>
        </w:rPr>
      </w:pPr>
      <w:r w:rsidRPr="00CE2185">
        <w:rPr>
          <w:noProof/>
          <w:lang w:val="en-IE"/>
        </w:rPr>
        <w:t xml:space="preserve">Cyberattacks have surged and became more sophisticated, targeting critical infrastructure, businesses, and citizens. Emerging technologies like AI and quantum computing are reshaping the tools of defence and the tactics of adversaries. The overall cost of </w:t>
      </w:r>
      <w:r w:rsidRPr="00CE2185">
        <w:rPr>
          <w:noProof/>
        </w:rPr>
        <w:t>cybercrime in the global economy was estimated at amounting to EUR 5.5 trillion in 2020</w:t>
      </w:r>
      <w:r w:rsidR="00C3434F" w:rsidRPr="00CE2185">
        <w:rPr>
          <w:noProof/>
          <w:vertAlign w:val="superscript"/>
        </w:rPr>
        <w:footnoteReference w:id="5"/>
      </w:r>
      <w:r w:rsidR="3337D821" w:rsidRPr="00CE2185">
        <w:rPr>
          <w:noProof/>
        </w:rPr>
        <w:t xml:space="preserve">. </w:t>
      </w:r>
      <w:r w:rsidR="09D53699" w:rsidRPr="00CE2185">
        <w:rPr>
          <w:noProof/>
        </w:rPr>
        <w:t>Projections show that by 2031, ransomware will strike every 2 seconds</w:t>
      </w:r>
      <w:r w:rsidR="2CC20BA1" w:rsidRPr="00CE2185">
        <w:rPr>
          <w:noProof/>
        </w:rPr>
        <w:t xml:space="preserve"> down from 11 seconds today</w:t>
      </w:r>
      <w:r w:rsidR="007E6B3C">
        <w:rPr>
          <w:rStyle w:val="FootnoteReference"/>
          <w:noProof/>
        </w:rPr>
        <w:footnoteReference w:id="6"/>
      </w:r>
      <w:r w:rsidR="2CC20BA1" w:rsidRPr="00CE2185">
        <w:rPr>
          <w:noProof/>
        </w:rPr>
        <w:t>.</w:t>
      </w:r>
      <w:r w:rsidRPr="00CE2185">
        <w:rPr>
          <w:noProof/>
          <w:lang w:val="en-IE"/>
        </w:rPr>
        <w:t xml:space="preserve"> </w:t>
      </w:r>
      <w:r w:rsidR="2C77C286" w:rsidRPr="00CE2185">
        <w:rPr>
          <w:b/>
          <w:bCs/>
          <w:noProof/>
          <w:lang w:val="en-IE"/>
        </w:rPr>
        <w:t>S</w:t>
      </w:r>
      <w:r w:rsidRPr="00CE2185">
        <w:rPr>
          <w:b/>
          <w:bCs/>
          <w:noProof/>
          <w:lang w:val="en-IE"/>
        </w:rPr>
        <w:t xml:space="preserve">upply chain </w:t>
      </w:r>
      <w:r w:rsidR="211B3167" w:rsidRPr="00CE2185">
        <w:rPr>
          <w:b/>
          <w:bCs/>
          <w:noProof/>
          <w:lang w:val="en-IE"/>
        </w:rPr>
        <w:t>incidents</w:t>
      </w:r>
      <w:r w:rsidRPr="00CE2185">
        <w:rPr>
          <w:noProof/>
          <w:lang w:val="en-IE"/>
        </w:rPr>
        <w:t xml:space="preserve">, </w:t>
      </w:r>
      <w:r w:rsidR="7EEA3A9E" w:rsidRPr="00CE2185">
        <w:rPr>
          <w:noProof/>
          <w:lang w:val="en-IE"/>
        </w:rPr>
        <w:t>either</w:t>
      </w:r>
      <w:r w:rsidRPr="00CE2185">
        <w:rPr>
          <w:rFonts w:eastAsia="Times New Roman"/>
          <w:noProof/>
        </w:rPr>
        <w:t xml:space="preserve"> caused by </w:t>
      </w:r>
      <w:r w:rsidR="45659AC5" w:rsidRPr="00CE2185">
        <w:rPr>
          <w:rFonts w:eastAsia="Times New Roman"/>
          <w:noProof/>
        </w:rPr>
        <w:t>criminals</w:t>
      </w:r>
      <w:r w:rsidRPr="00CE2185">
        <w:rPr>
          <w:rFonts w:eastAsia="Times New Roman"/>
          <w:noProof/>
        </w:rPr>
        <w:t xml:space="preserve"> for financial gain or State actors for disruption, espionage, disinformation or warfare</w:t>
      </w:r>
      <w:r w:rsidRPr="00CE2185">
        <w:rPr>
          <w:rFonts w:eastAsia="Times New Roman"/>
          <w:b/>
          <w:bCs/>
          <w:noProof/>
        </w:rPr>
        <w:t xml:space="preserve"> </w:t>
      </w:r>
      <w:r w:rsidR="5D097410" w:rsidRPr="00CE2185">
        <w:rPr>
          <w:noProof/>
          <w:lang w:val="en-IE"/>
        </w:rPr>
        <w:t>have intensified</w:t>
      </w:r>
      <w:r w:rsidRPr="00CE2185">
        <w:rPr>
          <w:rFonts w:eastAsia="Times New Roman"/>
          <w:noProof/>
        </w:rPr>
        <w:t>.</w:t>
      </w:r>
      <w:r w:rsidRPr="00CE2185">
        <w:rPr>
          <w:rFonts w:eastAsiaTheme="minorEastAsia"/>
          <w:noProof/>
        </w:rPr>
        <w:t xml:space="preserve"> </w:t>
      </w:r>
      <w:r w:rsidR="5565EAC6" w:rsidRPr="00CE2185">
        <w:rPr>
          <w:rFonts w:eastAsiaTheme="minorEastAsia"/>
          <w:noProof/>
        </w:rPr>
        <w:t>Nowadays</w:t>
      </w:r>
      <w:r w:rsidR="789079C1" w:rsidRPr="00CE2185">
        <w:rPr>
          <w:rFonts w:eastAsiaTheme="minorEastAsia"/>
          <w:noProof/>
        </w:rPr>
        <w:t xml:space="preserve">, the impacts of </w:t>
      </w:r>
      <w:r w:rsidR="5565EAC6" w:rsidRPr="00CE2185">
        <w:rPr>
          <w:rFonts w:eastAsiaTheme="minorEastAsia"/>
          <w:noProof/>
        </w:rPr>
        <w:t>a c</w:t>
      </w:r>
      <w:r w:rsidRPr="00CE2185">
        <w:rPr>
          <w:rFonts w:eastAsiaTheme="minorEastAsia"/>
          <w:noProof/>
        </w:rPr>
        <w:t xml:space="preserve">yber incidents </w:t>
      </w:r>
      <w:r w:rsidR="5CAAA2F8" w:rsidRPr="00CE2185">
        <w:rPr>
          <w:rFonts w:eastAsiaTheme="minorEastAsia"/>
          <w:noProof/>
        </w:rPr>
        <w:t>do</w:t>
      </w:r>
      <w:r w:rsidR="378FE446" w:rsidRPr="00CE2185">
        <w:rPr>
          <w:rFonts w:eastAsiaTheme="minorEastAsia"/>
          <w:noProof/>
        </w:rPr>
        <w:t xml:space="preserve"> no</w:t>
      </w:r>
      <w:r w:rsidR="5CAAA2F8" w:rsidRPr="00CE2185">
        <w:rPr>
          <w:rFonts w:eastAsiaTheme="minorEastAsia"/>
          <w:noProof/>
        </w:rPr>
        <w:t>t just</w:t>
      </w:r>
      <w:r w:rsidRPr="00CE2185">
        <w:rPr>
          <w:rFonts w:eastAsiaTheme="minorEastAsia"/>
          <w:noProof/>
        </w:rPr>
        <w:t xml:space="preserve"> stop at stolen data or financial losses</w:t>
      </w:r>
      <w:r w:rsidR="7E517EBD" w:rsidRPr="00CE2185">
        <w:rPr>
          <w:rFonts w:eastAsiaTheme="minorEastAsia"/>
          <w:noProof/>
        </w:rPr>
        <w:t xml:space="preserve">. </w:t>
      </w:r>
      <w:r w:rsidR="42652B22" w:rsidRPr="00CE2185">
        <w:rPr>
          <w:rFonts w:eastAsiaTheme="minorEastAsia"/>
          <w:noProof/>
        </w:rPr>
        <w:t xml:space="preserve">As part of a wider hybrid strategy, </w:t>
      </w:r>
      <w:r w:rsidR="7E517EBD" w:rsidRPr="00CE2185">
        <w:rPr>
          <w:rFonts w:eastAsiaTheme="minorEastAsia"/>
          <w:noProof/>
        </w:rPr>
        <w:t>t</w:t>
      </w:r>
      <w:r w:rsidRPr="00CE2185">
        <w:rPr>
          <w:rFonts w:eastAsiaTheme="minorEastAsia"/>
          <w:noProof/>
        </w:rPr>
        <w:t>hey ripple outward, disrupting essential services, undermining trust in institutions, and</w:t>
      </w:r>
      <w:r w:rsidR="13EF9AB7" w:rsidRPr="00CE2185">
        <w:rPr>
          <w:rFonts w:eastAsiaTheme="minorEastAsia"/>
          <w:noProof/>
        </w:rPr>
        <w:t xml:space="preserve"> affect</w:t>
      </w:r>
      <w:r w:rsidR="26EAC284" w:rsidRPr="00CE2185">
        <w:rPr>
          <w:rFonts w:eastAsiaTheme="minorEastAsia"/>
          <w:noProof/>
        </w:rPr>
        <w:t>ing</w:t>
      </w:r>
      <w:r w:rsidR="13EF9AB7" w:rsidRPr="00CE2185">
        <w:rPr>
          <w:rFonts w:eastAsiaTheme="minorEastAsia"/>
          <w:noProof/>
        </w:rPr>
        <w:t xml:space="preserve"> our defence readiness. </w:t>
      </w:r>
      <w:r w:rsidR="459C5199" w:rsidRPr="00CE2185">
        <w:rPr>
          <w:rFonts w:eastAsiaTheme="minorEastAsia"/>
          <w:noProof/>
        </w:rPr>
        <w:t>The aval</w:t>
      </w:r>
      <w:r w:rsidR="6148AA5E" w:rsidRPr="00CE2185">
        <w:rPr>
          <w:rFonts w:eastAsiaTheme="minorEastAsia"/>
          <w:noProof/>
        </w:rPr>
        <w:t>anche effect</w:t>
      </w:r>
      <w:r w:rsidR="779D6E7D" w:rsidRPr="00CE2185">
        <w:rPr>
          <w:rFonts w:eastAsiaTheme="minorEastAsia"/>
          <w:noProof/>
        </w:rPr>
        <w:t>s</w:t>
      </w:r>
      <w:r w:rsidR="6148AA5E" w:rsidRPr="00CE2185">
        <w:rPr>
          <w:rFonts w:eastAsiaTheme="minorEastAsia"/>
          <w:noProof/>
        </w:rPr>
        <w:t xml:space="preserve"> of cybersecurity incidents </w:t>
      </w:r>
      <w:r w:rsidR="6366648F" w:rsidRPr="00CE2185">
        <w:rPr>
          <w:rFonts w:eastAsiaTheme="minorEastAsia"/>
          <w:noProof/>
        </w:rPr>
        <w:t>onto the real worl</w:t>
      </w:r>
      <w:r w:rsidR="36B2CF7C" w:rsidRPr="00CE2185">
        <w:rPr>
          <w:rFonts w:eastAsiaTheme="minorEastAsia"/>
          <w:noProof/>
        </w:rPr>
        <w:t xml:space="preserve">d </w:t>
      </w:r>
      <w:r w:rsidR="501637AE" w:rsidRPr="00CE2185">
        <w:rPr>
          <w:rFonts w:eastAsiaTheme="minorEastAsia"/>
          <w:noProof/>
        </w:rPr>
        <w:t xml:space="preserve">can have </w:t>
      </w:r>
      <w:r w:rsidR="5D76CC69" w:rsidRPr="00CE2185">
        <w:rPr>
          <w:rFonts w:eastAsiaTheme="minorEastAsia"/>
          <w:noProof/>
        </w:rPr>
        <w:t xml:space="preserve">impacts </w:t>
      </w:r>
      <w:r w:rsidR="2E940860" w:rsidRPr="00CE2185">
        <w:rPr>
          <w:rFonts w:eastAsiaTheme="minorEastAsia"/>
          <w:noProof/>
        </w:rPr>
        <w:t xml:space="preserve">from disruption </w:t>
      </w:r>
      <w:r w:rsidR="44376DEE" w:rsidRPr="00CE2185">
        <w:rPr>
          <w:rFonts w:eastAsiaTheme="minorEastAsia"/>
          <w:noProof/>
        </w:rPr>
        <w:t>of services and economic activity</w:t>
      </w:r>
      <w:r w:rsidR="729F3356" w:rsidRPr="00CE2185">
        <w:rPr>
          <w:rFonts w:eastAsiaTheme="minorEastAsia"/>
          <w:noProof/>
        </w:rPr>
        <w:t>, financial instability</w:t>
      </w:r>
      <w:r w:rsidR="44376DEE" w:rsidRPr="00CE2185">
        <w:rPr>
          <w:rFonts w:eastAsiaTheme="minorEastAsia"/>
          <w:noProof/>
        </w:rPr>
        <w:t xml:space="preserve"> </w:t>
      </w:r>
      <w:r w:rsidR="2E940860" w:rsidRPr="00CE2185">
        <w:rPr>
          <w:rFonts w:eastAsiaTheme="minorEastAsia"/>
          <w:noProof/>
        </w:rPr>
        <w:t>to existential</w:t>
      </w:r>
      <w:r w:rsidR="50A94F82" w:rsidRPr="00CE2185">
        <w:rPr>
          <w:rFonts w:eastAsiaTheme="minorEastAsia"/>
          <w:noProof/>
        </w:rPr>
        <w:t xml:space="preserve"> consequences</w:t>
      </w:r>
      <w:r w:rsidR="44376DEE" w:rsidRPr="00CE2185">
        <w:rPr>
          <w:rFonts w:eastAsiaTheme="minorEastAsia"/>
          <w:noProof/>
        </w:rPr>
        <w:t xml:space="preserve">, </w:t>
      </w:r>
      <w:r w:rsidR="65DB4B23" w:rsidRPr="00CE2185">
        <w:rPr>
          <w:rFonts w:eastAsiaTheme="minorEastAsia"/>
          <w:noProof/>
        </w:rPr>
        <w:t>with a risk on citizens’ lives</w:t>
      </w:r>
      <w:r w:rsidR="2E940860" w:rsidRPr="00CE2185">
        <w:rPr>
          <w:rFonts w:eastAsiaTheme="minorEastAsia"/>
          <w:noProof/>
        </w:rPr>
        <w:t xml:space="preserve">. </w:t>
      </w:r>
      <w:r w:rsidR="64DD923E" w:rsidRPr="00CE2185">
        <w:rPr>
          <w:rFonts w:eastAsiaTheme="minorEastAsia"/>
          <w:noProof/>
        </w:rPr>
        <w:t>I</w:t>
      </w:r>
      <w:r w:rsidR="328E05DD" w:rsidRPr="00CE2185">
        <w:rPr>
          <w:rFonts w:eastAsiaTheme="minorEastAsia"/>
          <w:noProof/>
        </w:rPr>
        <w:t xml:space="preserve">ncidents, such as </w:t>
      </w:r>
      <w:r w:rsidR="4C9A0238" w:rsidRPr="00CE2185">
        <w:rPr>
          <w:rFonts w:eastAsiaTheme="minorEastAsia"/>
          <w:noProof/>
        </w:rPr>
        <w:t xml:space="preserve">the </w:t>
      </w:r>
      <w:r w:rsidR="328E05DD" w:rsidRPr="00CE2185">
        <w:rPr>
          <w:rFonts w:eastAsiaTheme="minorEastAsia"/>
          <w:noProof/>
        </w:rPr>
        <w:t>2020 Solar</w:t>
      </w:r>
      <w:r w:rsidR="0EE77EB1" w:rsidRPr="00CE2185">
        <w:rPr>
          <w:rFonts w:eastAsiaTheme="minorEastAsia"/>
          <w:noProof/>
        </w:rPr>
        <w:t>W</w:t>
      </w:r>
      <w:r w:rsidR="328E05DD" w:rsidRPr="00CE2185">
        <w:rPr>
          <w:rFonts w:eastAsiaTheme="minorEastAsia"/>
          <w:noProof/>
        </w:rPr>
        <w:t>inds attack</w:t>
      </w:r>
      <w:r w:rsidR="6D93E359" w:rsidRPr="00CE2185">
        <w:rPr>
          <w:rFonts w:eastAsiaTheme="minorEastAsia"/>
          <w:noProof/>
        </w:rPr>
        <w:t>, which im</w:t>
      </w:r>
      <w:r w:rsidR="3A3F6BFB" w:rsidRPr="00CE2185">
        <w:rPr>
          <w:rFonts w:eastAsiaTheme="minorEastAsia"/>
          <w:noProof/>
        </w:rPr>
        <w:t>pa</w:t>
      </w:r>
      <w:r w:rsidR="6D93E359" w:rsidRPr="00CE2185">
        <w:rPr>
          <w:rFonts w:eastAsiaTheme="minorEastAsia"/>
          <w:noProof/>
        </w:rPr>
        <w:t>cted more tha</w:t>
      </w:r>
      <w:r w:rsidR="0EE77EB1" w:rsidRPr="00CE2185">
        <w:rPr>
          <w:rFonts w:eastAsiaTheme="minorEastAsia"/>
          <w:noProof/>
        </w:rPr>
        <w:t>n</w:t>
      </w:r>
      <w:r w:rsidR="6D93E359" w:rsidRPr="00CE2185">
        <w:rPr>
          <w:rFonts w:eastAsiaTheme="minorEastAsia"/>
          <w:noProof/>
        </w:rPr>
        <w:t xml:space="preserve"> 18</w:t>
      </w:r>
      <w:r w:rsidR="2191A88A" w:rsidRPr="00CE2185">
        <w:rPr>
          <w:rFonts w:eastAsiaTheme="minorEastAsia"/>
          <w:noProof/>
        </w:rPr>
        <w:t>,</w:t>
      </w:r>
      <w:r w:rsidR="6D93E359" w:rsidRPr="00CE2185">
        <w:rPr>
          <w:rFonts w:eastAsiaTheme="minorEastAsia"/>
          <w:noProof/>
        </w:rPr>
        <w:t>000 organisations worldwide incl</w:t>
      </w:r>
      <w:r w:rsidR="14AD6E94" w:rsidRPr="00CE2185">
        <w:rPr>
          <w:rFonts w:eastAsiaTheme="minorEastAsia"/>
          <w:noProof/>
        </w:rPr>
        <w:t>uding</w:t>
      </w:r>
      <w:r w:rsidR="6D93E359" w:rsidRPr="00CE2185">
        <w:rPr>
          <w:rFonts w:eastAsiaTheme="minorEastAsia"/>
          <w:noProof/>
        </w:rPr>
        <w:t xml:space="preserve"> EU defence actors,</w:t>
      </w:r>
      <w:r w:rsidR="328E05DD" w:rsidRPr="00CE2185">
        <w:rPr>
          <w:rFonts w:eastAsiaTheme="minorEastAsia"/>
          <w:noProof/>
        </w:rPr>
        <w:t xml:space="preserve"> or the</w:t>
      </w:r>
      <w:r w:rsidR="12E197EE" w:rsidRPr="00CE2185">
        <w:rPr>
          <w:rFonts w:eastAsiaTheme="minorEastAsia"/>
          <w:noProof/>
        </w:rPr>
        <w:t xml:space="preserve"> recent </w:t>
      </w:r>
      <w:r w:rsidR="328E05DD" w:rsidRPr="00CE2185">
        <w:rPr>
          <w:rFonts w:eastAsiaTheme="minorEastAsia"/>
          <w:noProof/>
        </w:rPr>
        <w:t xml:space="preserve">attack on Collins aerospace which disrupted </w:t>
      </w:r>
      <w:r w:rsidR="5DDD689D" w:rsidRPr="00CE2185">
        <w:rPr>
          <w:rFonts w:eastAsiaTheme="minorEastAsia"/>
          <w:noProof/>
        </w:rPr>
        <w:t xml:space="preserve">air traffic in several EU airports, </w:t>
      </w:r>
      <w:r w:rsidR="3A471351" w:rsidRPr="00CE2185">
        <w:rPr>
          <w:rFonts w:eastAsiaTheme="minorEastAsia"/>
          <w:noProof/>
        </w:rPr>
        <w:t xml:space="preserve">show the magnitude of impacts from </w:t>
      </w:r>
      <w:r w:rsidR="0526B530" w:rsidRPr="00CE2185">
        <w:rPr>
          <w:rFonts w:eastAsiaTheme="minorEastAsia"/>
          <w:noProof/>
        </w:rPr>
        <w:t xml:space="preserve">single incidents </w:t>
      </w:r>
      <w:r w:rsidR="00C3434F" w:rsidRPr="00CE2185">
        <w:rPr>
          <w:rStyle w:val="FootnoteReference"/>
          <w:rFonts w:eastAsiaTheme="minorEastAsia"/>
          <w:noProof/>
        </w:rPr>
        <w:footnoteReference w:id="7"/>
      </w:r>
      <w:r w:rsidRPr="00CE2185">
        <w:rPr>
          <w:rFonts w:eastAsiaTheme="minorEastAsia"/>
          <w:noProof/>
        </w:rPr>
        <w:t xml:space="preserve"> </w:t>
      </w:r>
      <w:r w:rsidR="3058011B" w:rsidRPr="00CE2185">
        <w:rPr>
          <w:rFonts w:eastAsiaTheme="minorEastAsia"/>
          <w:i/>
          <w:iCs/>
          <w:noProof/>
        </w:rPr>
        <w:t>(</w:t>
      </w:r>
      <w:r w:rsidRPr="00CE2185">
        <w:rPr>
          <w:rFonts w:eastAsiaTheme="minorEastAsia"/>
          <w:i/>
          <w:iCs/>
          <w:noProof/>
        </w:rPr>
        <w:t>see Annex 7</w:t>
      </w:r>
      <w:r w:rsidR="6654738C" w:rsidRPr="00CE2185">
        <w:rPr>
          <w:rFonts w:eastAsiaTheme="minorEastAsia"/>
          <w:i/>
          <w:iCs/>
          <w:noProof/>
        </w:rPr>
        <w:t xml:space="preserve">, Parts </w:t>
      </w:r>
      <w:r w:rsidR="6C015014" w:rsidRPr="00CE2185">
        <w:rPr>
          <w:rFonts w:eastAsiaTheme="minorEastAsia"/>
          <w:i/>
          <w:iCs/>
          <w:noProof/>
        </w:rPr>
        <w:t>2, 3 and 4</w:t>
      </w:r>
      <w:r w:rsidR="35FC488F" w:rsidRPr="00CE2185">
        <w:rPr>
          <w:rFonts w:eastAsiaTheme="minorEastAsia"/>
          <w:i/>
          <w:iCs/>
          <w:noProof/>
        </w:rPr>
        <w:t>)</w:t>
      </w:r>
      <w:r w:rsidRPr="00CE2185">
        <w:rPr>
          <w:rFonts w:eastAsiaTheme="minorEastAsia"/>
          <w:noProof/>
        </w:rPr>
        <w:t>.</w:t>
      </w:r>
    </w:p>
    <w:p w14:paraId="16A25D1E" w14:textId="46D3FC6D" w:rsidR="00C3434F" w:rsidRPr="00CE2185" w:rsidRDefault="788AC660" w:rsidP="62979ACF">
      <w:pPr>
        <w:pStyle w:val="Text1"/>
        <w:ind w:left="0"/>
        <w:rPr>
          <w:rFonts w:eastAsiaTheme="minorEastAsia"/>
          <w:b/>
          <w:bCs/>
          <w:noProof/>
        </w:rPr>
      </w:pPr>
      <w:r w:rsidRPr="00CE2185">
        <w:rPr>
          <w:noProof/>
          <w:lang w:val="en-IE"/>
        </w:rPr>
        <w:t>Th</w:t>
      </w:r>
      <w:r w:rsidR="00C3434F" w:rsidRPr="00CE2185">
        <w:rPr>
          <w:noProof/>
        </w:rPr>
        <w:t>e</w:t>
      </w:r>
      <w:r w:rsidR="00C3434F" w:rsidRPr="00CE2185">
        <w:rPr>
          <w:b/>
          <w:bCs/>
          <w:noProof/>
        </w:rPr>
        <w:t xml:space="preserve"> </w:t>
      </w:r>
      <w:r w:rsidR="00C3434F" w:rsidRPr="00CE2185">
        <w:rPr>
          <w:b/>
          <w:bCs/>
          <w:noProof/>
          <w:lang w:val="en-IE"/>
        </w:rPr>
        <w:t>EU has expanded its legal and policy tools</w:t>
      </w:r>
      <w:r w:rsidR="00C3434F" w:rsidRPr="00CE2185">
        <w:rPr>
          <w:noProof/>
        </w:rPr>
        <w:t xml:space="preserve"> with the adoption of the NIS2 Directive </w:t>
      </w:r>
      <w:r w:rsidR="00C3434F" w:rsidRPr="00CE2185">
        <w:rPr>
          <w:noProof/>
          <w:lang w:val="en-IE"/>
        </w:rPr>
        <w:t xml:space="preserve">to strengthen </w:t>
      </w:r>
      <w:r w:rsidR="3F62E1AD" w:rsidRPr="00CE2185">
        <w:rPr>
          <w:noProof/>
          <w:lang w:val="en-IE"/>
        </w:rPr>
        <w:t>cyber</w:t>
      </w:r>
      <w:r w:rsidR="00C3434F" w:rsidRPr="00CE2185">
        <w:rPr>
          <w:noProof/>
          <w:lang w:val="en-IE"/>
        </w:rPr>
        <w:t xml:space="preserve">security </w:t>
      </w:r>
      <w:r w:rsidR="0FD346F0" w:rsidRPr="00CE2185">
        <w:rPr>
          <w:noProof/>
          <w:lang w:val="en-IE"/>
        </w:rPr>
        <w:t xml:space="preserve">for </w:t>
      </w:r>
      <w:r w:rsidR="0CC8C2D8" w:rsidRPr="00CE2185">
        <w:rPr>
          <w:noProof/>
          <w:lang w:val="en-IE"/>
        </w:rPr>
        <w:t>critical</w:t>
      </w:r>
      <w:r w:rsidR="111B0374" w:rsidRPr="00CE2185">
        <w:rPr>
          <w:noProof/>
          <w:lang w:val="en-IE"/>
        </w:rPr>
        <w:t xml:space="preserve"> infrastructure</w:t>
      </w:r>
      <w:r w:rsidR="00C3434F" w:rsidRPr="00CE2185">
        <w:rPr>
          <w:noProof/>
          <w:lang w:val="en-IE"/>
        </w:rPr>
        <w:t xml:space="preserve">, complemented for physical security by its ‘sister directive’ CER, </w:t>
      </w:r>
      <w:r w:rsidR="00C3434F" w:rsidRPr="00CE2185">
        <w:rPr>
          <w:noProof/>
        </w:rPr>
        <w:t>the Cyber Resilience Act (CRA)</w:t>
      </w:r>
      <w:r w:rsidR="00C3434F" w:rsidRPr="00CE2185">
        <w:rPr>
          <w:noProof/>
          <w:lang w:val="en-IE"/>
        </w:rPr>
        <w:t xml:space="preserve"> to enhance the cybersecurity of products</w:t>
      </w:r>
      <w:r w:rsidR="00C3434F" w:rsidRPr="00CE2185">
        <w:rPr>
          <w:noProof/>
        </w:rPr>
        <w:t xml:space="preserve">, the Cyber Solidarity Act (CSoA) </w:t>
      </w:r>
      <w:r w:rsidR="00C3434F" w:rsidRPr="00CE2185">
        <w:rPr>
          <w:noProof/>
          <w:lang w:val="en-IE"/>
        </w:rPr>
        <w:t>to build EU-wide response capabilities,</w:t>
      </w:r>
      <w:r w:rsidR="00C3434F" w:rsidRPr="00CE2185">
        <w:rPr>
          <w:noProof/>
        </w:rPr>
        <w:t xml:space="preserve"> the EU Cyber Blueprint</w:t>
      </w:r>
      <w:r w:rsidR="00C3434F" w:rsidRPr="00CE2185">
        <w:rPr>
          <w:rStyle w:val="FootnoteReference"/>
          <w:noProof/>
        </w:rPr>
        <w:footnoteReference w:id="8"/>
      </w:r>
      <w:r w:rsidR="00C3434F" w:rsidRPr="00CE2185">
        <w:rPr>
          <w:noProof/>
        </w:rPr>
        <w:t xml:space="preserve"> </w:t>
      </w:r>
      <w:r w:rsidR="00C3434F" w:rsidRPr="00CE2185">
        <w:rPr>
          <w:noProof/>
          <w:lang w:val="en-IE"/>
        </w:rPr>
        <w:t xml:space="preserve">to support EU-level crisis management cooperation, </w:t>
      </w:r>
      <w:r w:rsidR="00C3434F" w:rsidRPr="00CE2185">
        <w:rPr>
          <w:noProof/>
        </w:rPr>
        <w:t>the 5G Cybersecurity Toolbox</w:t>
      </w:r>
      <w:r w:rsidR="00BC5BA8">
        <w:rPr>
          <w:rStyle w:val="FootnoteReference"/>
          <w:noProof/>
        </w:rPr>
        <w:footnoteReference w:id="9"/>
      </w:r>
      <w:r w:rsidR="00C3434F" w:rsidRPr="00CE2185">
        <w:rPr>
          <w:noProof/>
        </w:rPr>
        <w:t xml:space="preserve"> (5G Toolbox) and the Cybersecurity Skills Academy</w:t>
      </w:r>
      <w:r w:rsidR="00C3434F" w:rsidRPr="00CE2185">
        <w:rPr>
          <w:rStyle w:val="FootnoteReference"/>
          <w:noProof/>
        </w:rPr>
        <w:footnoteReference w:id="10"/>
      </w:r>
      <w:r w:rsidR="00C3434F" w:rsidRPr="00CE2185">
        <w:rPr>
          <w:noProof/>
        </w:rPr>
        <w:t xml:space="preserve"> </w:t>
      </w:r>
      <w:r w:rsidR="00C3434F" w:rsidRPr="00CE2185">
        <w:rPr>
          <w:noProof/>
          <w:lang w:val="en-IE"/>
        </w:rPr>
        <w:t xml:space="preserve">to address the growing challenge of the cybersecurity talent gap. </w:t>
      </w:r>
      <w:r w:rsidR="00C3434F" w:rsidRPr="00CE2185">
        <w:rPr>
          <w:noProof/>
        </w:rPr>
        <w:t xml:space="preserve">This cybersecurity framework was complemented by sector-specific legislation, i.e. the DORA Regulation for the financial sector, NCCS for the electricity sub-sector, PART-IS for the air transport sector, </w:t>
      </w:r>
      <w:r w:rsidR="00904081" w:rsidRPr="00CE2185">
        <w:rPr>
          <w:noProof/>
        </w:rPr>
        <w:t>a</w:t>
      </w:r>
      <w:r w:rsidR="4921D88B" w:rsidRPr="00CE2185">
        <w:rPr>
          <w:noProof/>
        </w:rPr>
        <w:t>nd</w:t>
      </w:r>
      <w:r w:rsidR="77141036" w:rsidRPr="00CE2185">
        <w:rPr>
          <w:noProof/>
        </w:rPr>
        <w:t xml:space="preserve"> policy such</w:t>
      </w:r>
      <w:r w:rsidR="19BE840C" w:rsidRPr="00CE2185">
        <w:rPr>
          <w:noProof/>
        </w:rPr>
        <w:t xml:space="preserve"> as</w:t>
      </w:r>
      <w:r w:rsidR="00C3434F" w:rsidRPr="00CE2185">
        <w:rPr>
          <w:noProof/>
        </w:rPr>
        <w:t xml:space="preserve"> the EU action plan on the cybersecurity of hospitals and healthcare providers</w:t>
      </w:r>
      <w:r w:rsidR="00C3434F" w:rsidRPr="00CE2185">
        <w:rPr>
          <w:rStyle w:val="FootnoteReference"/>
          <w:rFonts w:asciiTheme="minorHAnsi" w:eastAsiaTheme="minorEastAsia" w:hAnsiTheme="minorHAnsi" w:cstheme="minorBidi"/>
          <w:noProof/>
        </w:rPr>
        <w:footnoteReference w:id="11"/>
      </w:r>
      <w:r w:rsidR="00C3434F" w:rsidRPr="00CE2185">
        <w:rPr>
          <w:noProof/>
        </w:rPr>
        <w:t xml:space="preserve"> </w:t>
      </w:r>
      <w:r w:rsidR="00C3434F" w:rsidRPr="00CE2185">
        <w:rPr>
          <w:i/>
          <w:iCs/>
          <w:noProof/>
        </w:rPr>
        <w:t xml:space="preserve">(see Annex </w:t>
      </w:r>
      <w:r w:rsidR="009B3554" w:rsidRPr="00CE2185">
        <w:rPr>
          <w:i/>
          <w:iCs/>
          <w:noProof/>
        </w:rPr>
        <w:t>9</w:t>
      </w:r>
      <w:r w:rsidR="00C3434F" w:rsidRPr="00CE2185">
        <w:rPr>
          <w:i/>
          <w:iCs/>
          <w:noProof/>
        </w:rPr>
        <w:t>)</w:t>
      </w:r>
      <w:r w:rsidR="00C3434F" w:rsidRPr="00CE2185">
        <w:rPr>
          <w:rFonts w:asciiTheme="minorHAnsi" w:eastAsiaTheme="minorEastAsia" w:hAnsiTheme="minorHAnsi" w:cstheme="minorBidi"/>
          <w:i/>
          <w:iCs/>
          <w:noProof/>
        </w:rPr>
        <w:t>.</w:t>
      </w:r>
      <w:r w:rsidR="00C3434F" w:rsidRPr="00CE2185">
        <w:rPr>
          <w:rStyle w:val="FootnoteReference"/>
          <w:rFonts w:asciiTheme="minorHAnsi" w:eastAsiaTheme="minorEastAsia" w:hAnsiTheme="minorHAnsi" w:cstheme="minorBidi"/>
          <w:noProof/>
        </w:rPr>
        <w:t xml:space="preserve"> </w:t>
      </w:r>
      <w:r w:rsidR="00C3434F" w:rsidRPr="00CE2185">
        <w:rPr>
          <w:b/>
          <w:bCs/>
          <w:noProof/>
        </w:rPr>
        <w:t xml:space="preserve"> </w:t>
      </w:r>
    </w:p>
    <w:p w14:paraId="3684FF4D" w14:textId="707EAA0A" w:rsidR="00C3434F" w:rsidRPr="00CE2185" w:rsidRDefault="00C3434F" w:rsidP="62979ACF">
      <w:pPr>
        <w:pStyle w:val="Text1"/>
        <w:ind w:left="0"/>
        <w:rPr>
          <w:i/>
          <w:iCs/>
          <w:noProof/>
        </w:rPr>
      </w:pPr>
      <w:r w:rsidRPr="00CE2185">
        <w:rPr>
          <w:rFonts w:eastAsiaTheme="minorEastAsia"/>
          <w:noProof/>
        </w:rPr>
        <w:t xml:space="preserve">With such an extensive regulatory and policy framework in place, the </w:t>
      </w:r>
      <w:r w:rsidRPr="00CE2185">
        <w:rPr>
          <w:rFonts w:eastAsiaTheme="minorEastAsia"/>
          <w:b/>
          <w:bCs/>
          <w:noProof/>
        </w:rPr>
        <w:t>CSA revision</w:t>
      </w:r>
      <w:r w:rsidRPr="00CE2185">
        <w:rPr>
          <w:rFonts w:eastAsiaTheme="minorEastAsia"/>
          <w:noProof/>
        </w:rPr>
        <w:t xml:space="preserve"> comes to provide the necessary tools to</w:t>
      </w:r>
      <w:r w:rsidRPr="00CE2185">
        <w:rPr>
          <w:rFonts w:eastAsiaTheme="minorEastAsia"/>
          <w:b/>
          <w:bCs/>
          <w:noProof/>
        </w:rPr>
        <w:t xml:space="preserve"> make such framework more eff</w:t>
      </w:r>
      <w:r w:rsidR="68DBA4E1" w:rsidRPr="00CE2185">
        <w:rPr>
          <w:rFonts w:eastAsiaTheme="minorEastAsia"/>
          <w:b/>
          <w:bCs/>
          <w:noProof/>
        </w:rPr>
        <w:t>ective and eff</w:t>
      </w:r>
      <w:r w:rsidRPr="00CE2185">
        <w:rPr>
          <w:rFonts w:eastAsiaTheme="minorEastAsia"/>
          <w:b/>
          <w:bCs/>
          <w:noProof/>
        </w:rPr>
        <w:t>icient</w:t>
      </w:r>
      <w:r w:rsidRPr="00CE2185">
        <w:rPr>
          <w:rFonts w:eastAsiaTheme="minorEastAsia"/>
          <w:noProof/>
        </w:rPr>
        <w:t xml:space="preserve"> in delivering the expected results, provide for a </w:t>
      </w:r>
      <w:r w:rsidRPr="00CE2185">
        <w:rPr>
          <w:rFonts w:eastAsiaTheme="minorEastAsia"/>
          <w:b/>
          <w:bCs/>
          <w:noProof/>
        </w:rPr>
        <w:t>stronger European dimension</w:t>
      </w:r>
      <w:r w:rsidRPr="00CE2185">
        <w:rPr>
          <w:rFonts w:eastAsiaTheme="minorEastAsia"/>
          <w:noProof/>
        </w:rPr>
        <w:t xml:space="preserve"> and leverage and </w:t>
      </w:r>
      <w:r w:rsidRPr="00CE2185">
        <w:rPr>
          <w:rFonts w:eastAsiaTheme="minorEastAsia"/>
          <w:b/>
          <w:bCs/>
          <w:noProof/>
        </w:rPr>
        <w:t>fill in the remaining regulatory gaps</w:t>
      </w:r>
      <w:r w:rsidRPr="00CE2185">
        <w:rPr>
          <w:rFonts w:eastAsiaTheme="minorEastAsia"/>
          <w:noProof/>
        </w:rPr>
        <w:t xml:space="preserve">. </w:t>
      </w:r>
      <w:r w:rsidR="7711E01C" w:rsidRPr="00CE2185">
        <w:rPr>
          <w:rFonts w:eastAsiaTheme="minorEastAsia"/>
          <w:noProof/>
        </w:rPr>
        <w:t xml:space="preserve">Given the coverage of horizontal and sector-specific legislation, and the fact that numerous businesses provide multiple services across the internal market, it is necessary to explore further ways to </w:t>
      </w:r>
      <w:r w:rsidR="7711E01C" w:rsidRPr="00CE2185">
        <w:rPr>
          <w:rFonts w:eastAsiaTheme="minorEastAsia"/>
          <w:b/>
          <w:bCs/>
          <w:noProof/>
        </w:rPr>
        <w:t>facilitate compliance</w:t>
      </w:r>
      <w:r w:rsidR="7711E01C" w:rsidRPr="00CE2185">
        <w:rPr>
          <w:rFonts w:eastAsiaTheme="minorEastAsia"/>
          <w:noProof/>
        </w:rPr>
        <w:t xml:space="preserve"> with cybersecurity risk-management requirements arising from different regulatory instruments. </w:t>
      </w:r>
      <w:r w:rsidR="7711E01C" w:rsidRPr="00CE2185">
        <w:rPr>
          <w:rFonts w:eastAsiaTheme="minorEastAsia"/>
          <w:b/>
          <w:bCs/>
          <w:noProof/>
        </w:rPr>
        <w:t>Simplification</w:t>
      </w:r>
      <w:r w:rsidR="7711E01C" w:rsidRPr="00CE2185">
        <w:rPr>
          <w:rFonts w:eastAsiaTheme="minorEastAsia"/>
          <w:noProof/>
        </w:rPr>
        <w:t xml:space="preserve"> measures should unlock resources to strengthen the operational cybersecurity preparedness of entities in Europe’s critical sectors. These needs were also confirmed by the </w:t>
      </w:r>
      <w:r w:rsidR="7711E01C" w:rsidRPr="00CE2185">
        <w:rPr>
          <w:noProof/>
        </w:rPr>
        <w:t xml:space="preserve">responses to the public consultation </w:t>
      </w:r>
      <w:r w:rsidR="7711E01C" w:rsidRPr="00CE2185">
        <w:rPr>
          <w:i/>
          <w:iCs/>
          <w:noProof/>
        </w:rPr>
        <w:t>(see Annex 2).</w:t>
      </w:r>
    </w:p>
    <w:p w14:paraId="03E4CF52" w14:textId="3EE909EB" w:rsidR="00C3434F" w:rsidRPr="00CE2185" w:rsidRDefault="00C3434F" w:rsidP="00C3434F">
      <w:pPr>
        <w:rPr>
          <w:noProof/>
        </w:rPr>
      </w:pPr>
      <w:r w:rsidRPr="00CE2185">
        <w:rPr>
          <w:rFonts w:eastAsiaTheme="minorEastAsia"/>
          <w:noProof/>
        </w:rPr>
        <w:t xml:space="preserve">This impact assessment therefore </w:t>
      </w:r>
      <w:r w:rsidRPr="00CE2185">
        <w:rPr>
          <w:rFonts w:eastAsia="Times New Roman"/>
          <w:noProof/>
          <w:lang w:eastAsia="en-IE"/>
        </w:rPr>
        <w:t xml:space="preserve">analyses </w:t>
      </w:r>
      <w:r w:rsidRPr="00CE2185">
        <w:rPr>
          <w:noProof/>
        </w:rPr>
        <w:t xml:space="preserve">the needs for an updated and stronger </w:t>
      </w:r>
      <w:r w:rsidR="00D90111">
        <w:rPr>
          <w:noProof/>
        </w:rPr>
        <w:t>legislative framework</w:t>
      </w:r>
      <w:r w:rsidRPr="00CE2185">
        <w:rPr>
          <w:noProof/>
        </w:rPr>
        <w:t xml:space="preserve">, which would entail: (1) the </w:t>
      </w:r>
      <w:r w:rsidRPr="00CE2185">
        <w:rPr>
          <w:i/>
          <w:iCs/>
          <w:noProof/>
        </w:rPr>
        <w:t>revision of the mandate of ENISA</w:t>
      </w:r>
      <w:r w:rsidRPr="00CE2185">
        <w:rPr>
          <w:noProof/>
        </w:rPr>
        <w:t xml:space="preserve"> to adapt it to the evolving cybersecurity threat landscape and the main stakeholders’ needs; (2) </w:t>
      </w:r>
      <w:r w:rsidRPr="00CE2185">
        <w:rPr>
          <w:i/>
          <w:iCs/>
          <w:noProof/>
        </w:rPr>
        <w:t>the revision of the ECCF</w:t>
      </w:r>
      <w:r w:rsidRPr="00CE2185">
        <w:rPr>
          <w:noProof/>
        </w:rPr>
        <w:t>, to expand and clarify its scope and improve its governance and procedures</w:t>
      </w:r>
      <w:r w:rsidR="00BC62AF">
        <w:rPr>
          <w:noProof/>
        </w:rPr>
        <w:t xml:space="preserve"> and</w:t>
      </w:r>
      <w:r w:rsidRPr="00CE2185">
        <w:rPr>
          <w:noProof/>
        </w:rPr>
        <w:t xml:space="preserve"> (3) </w:t>
      </w:r>
      <w:r w:rsidRPr="00CE2185">
        <w:rPr>
          <w:i/>
          <w:iCs/>
          <w:noProof/>
        </w:rPr>
        <w:t>targeted amendments to the NIS2 Directive</w:t>
      </w:r>
      <w:r w:rsidRPr="00CE2185">
        <w:rPr>
          <w:noProof/>
        </w:rPr>
        <w:t xml:space="preserve"> to facilitate and align compliance across the internal market</w:t>
      </w:r>
      <w:r w:rsidR="00731F35">
        <w:rPr>
          <w:noProof/>
        </w:rPr>
        <w:t xml:space="preserve"> </w:t>
      </w:r>
      <w:r w:rsidR="00731F35" w:rsidRPr="00CE2185">
        <w:rPr>
          <w:noProof/>
        </w:rPr>
        <w:t xml:space="preserve">and (4) </w:t>
      </w:r>
      <w:r w:rsidR="00731F35" w:rsidRPr="00CE2185">
        <w:rPr>
          <w:i/>
          <w:iCs/>
          <w:noProof/>
        </w:rPr>
        <w:t>filling in regulatory gaps by setting up a framework at EU level to enhance ICT supply chain</w:t>
      </w:r>
      <w:r w:rsidR="00731F35" w:rsidRPr="00CE2185">
        <w:rPr>
          <w:noProof/>
        </w:rPr>
        <w:t xml:space="preserve"> security against the non-technical risks</w:t>
      </w:r>
      <w:r w:rsidRPr="00CE2185">
        <w:rPr>
          <w:noProof/>
        </w:rPr>
        <w:t xml:space="preserve">. </w:t>
      </w:r>
    </w:p>
    <w:p w14:paraId="6F94B47A" w14:textId="77777777" w:rsidR="00731F35" w:rsidRDefault="1CFF396C" w:rsidP="00731F35">
      <w:pPr>
        <w:rPr>
          <w:rFonts w:eastAsiaTheme="minorEastAsia"/>
          <w:noProof/>
        </w:rPr>
      </w:pPr>
      <w:r w:rsidRPr="00CE2185">
        <w:rPr>
          <w:noProof/>
        </w:rPr>
        <w:t>For what concerns ENISA, t</w:t>
      </w:r>
      <w:r w:rsidR="00C3434F" w:rsidRPr="00CE2185">
        <w:rPr>
          <w:noProof/>
        </w:rPr>
        <w:t xml:space="preserve">he </w:t>
      </w:r>
      <w:r w:rsidR="00C3434F" w:rsidRPr="00CE2185">
        <w:rPr>
          <w:b/>
          <w:bCs/>
          <w:noProof/>
        </w:rPr>
        <w:t>European Parliament</w:t>
      </w:r>
      <w:r w:rsidR="00C3434F" w:rsidRPr="00CE2185">
        <w:rPr>
          <w:noProof/>
        </w:rPr>
        <w:t xml:space="preserve"> underlined that with increasing cyber threats, ENISA’s budget should be accordingly increased</w:t>
      </w:r>
      <w:r w:rsidR="00C3434F" w:rsidRPr="00CE2185">
        <w:rPr>
          <w:rStyle w:val="FootnoteReference"/>
          <w:noProof/>
        </w:rPr>
        <w:footnoteReference w:id="12"/>
      </w:r>
      <w:r w:rsidR="00C3434F" w:rsidRPr="00CE2185">
        <w:rPr>
          <w:noProof/>
        </w:rPr>
        <w:t xml:space="preserve"> and the motion for a resolution </w:t>
      </w:r>
      <w:r w:rsidR="00C3434F" w:rsidRPr="00CE2185">
        <w:rPr>
          <w:noProof/>
          <w:lang w:val="en-IE"/>
        </w:rPr>
        <w:t>on European technological sovereignty and digital infrastructure</w:t>
      </w:r>
      <w:r w:rsidR="00C3434F" w:rsidRPr="00CE2185">
        <w:rPr>
          <w:rStyle w:val="FootnoteReference"/>
          <w:noProof/>
          <w:lang w:val="en-IE"/>
        </w:rPr>
        <w:footnoteReference w:id="13"/>
      </w:r>
      <w:r w:rsidR="00C3434F" w:rsidRPr="00CE2185">
        <w:rPr>
          <w:noProof/>
        </w:rPr>
        <w:t xml:space="preserve"> highlights the need to close the digital skills gap</w:t>
      </w:r>
      <w:r w:rsidR="00C3434F" w:rsidRPr="00CE2185">
        <w:rPr>
          <w:noProof/>
          <w:lang w:val="en-IE"/>
        </w:rPr>
        <w:t>.</w:t>
      </w:r>
      <w:r w:rsidR="00C3434F" w:rsidRPr="00CE2185">
        <w:rPr>
          <w:noProof/>
        </w:rPr>
        <w:t xml:space="preserve"> The </w:t>
      </w:r>
      <w:r w:rsidR="00C3434F" w:rsidRPr="00CE2185">
        <w:rPr>
          <w:b/>
          <w:bCs/>
          <w:noProof/>
        </w:rPr>
        <w:t>Council</w:t>
      </w:r>
      <w:r w:rsidR="00C3434F" w:rsidRPr="00CE2185">
        <w:rPr>
          <w:noProof/>
        </w:rPr>
        <w:t xml:space="preserve"> </w:t>
      </w:r>
      <w:r w:rsidR="0E77F26F" w:rsidRPr="00CE2185">
        <w:rPr>
          <w:noProof/>
        </w:rPr>
        <w:t xml:space="preserve">has </w:t>
      </w:r>
      <w:r w:rsidR="00C3434F" w:rsidRPr="00CE2185">
        <w:rPr>
          <w:noProof/>
        </w:rPr>
        <w:t>stressed the need for focused and clearly defined mandate, “with concrete strategic objectives” and invited the Commission to examine and strengthen ENISA’s role in supporting operational cooperation. The Council acknowledged ENISA’s role in the ECCF, underpinning trust in ICT products, services and processes”</w:t>
      </w:r>
      <w:r w:rsidR="00C3434F" w:rsidRPr="00CE2185">
        <w:rPr>
          <w:rStyle w:val="FootnoteReference"/>
          <w:noProof/>
        </w:rPr>
        <w:footnoteReference w:id="14"/>
      </w:r>
      <w:r w:rsidR="00C3434F" w:rsidRPr="00CE2185">
        <w:rPr>
          <w:noProof/>
        </w:rPr>
        <w:t>.</w:t>
      </w:r>
      <w:r w:rsidR="5ADBA796" w:rsidRPr="00CE2185">
        <w:rPr>
          <w:noProof/>
        </w:rPr>
        <w:t xml:space="preserve"> </w:t>
      </w:r>
      <w:r w:rsidR="00C3434F" w:rsidRPr="00CE2185">
        <w:rPr>
          <w:rFonts w:eastAsiaTheme="minorEastAsia"/>
          <w:noProof/>
        </w:rPr>
        <w:t> </w:t>
      </w:r>
    </w:p>
    <w:p w14:paraId="36DCAF25" w14:textId="77777777" w:rsidR="00731F35" w:rsidRPr="00CE2185" w:rsidRDefault="00731F35" w:rsidP="00731F35">
      <w:pPr>
        <w:spacing w:after="120"/>
        <w:rPr>
          <w:noProof/>
        </w:rPr>
      </w:pPr>
      <w:r w:rsidRPr="00CE2185">
        <w:rPr>
          <w:noProof/>
        </w:rPr>
        <w:t xml:space="preserve">In the </w:t>
      </w:r>
      <w:r w:rsidRPr="00CE2185">
        <w:rPr>
          <w:b/>
          <w:bCs/>
          <w:noProof/>
        </w:rPr>
        <w:t>ProtectEU Strategy</w:t>
      </w:r>
      <w:r w:rsidRPr="00CE2185">
        <w:rPr>
          <w:noProof/>
        </w:rPr>
        <w:t xml:space="preserve">, the Commission further stated that a harmonised approach to the security of the </w:t>
      </w:r>
      <w:r w:rsidRPr="00CE2185">
        <w:rPr>
          <w:b/>
          <w:bCs/>
          <w:noProof/>
        </w:rPr>
        <w:t>Information and Communication Technology (ICT) supply chain</w:t>
      </w:r>
      <w:r w:rsidRPr="00CE2185">
        <w:rPr>
          <w:noProof/>
        </w:rPr>
        <w:t xml:space="preserve"> can address the current fragmentation of the internal market caused by different approaches at national level, avoid critical dependencies and de-risk ICT supply chains from high-risk suppliers, in this way securing critical infrastructure. The </w:t>
      </w:r>
      <w:r w:rsidRPr="00CE2185">
        <w:rPr>
          <w:b/>
          <w:bCs/>
          <w:noProof/>
        </w:rPr>
        <w:t>Economic Security Strategy</w:t>
      </w:r>
      <w:r w:rsidRPr="00CE2185">
        <w:rPr>
          <w:noProof/>
        </w:rPr>
        <w:t xml:space="preserve"> also highlighted the need to make </w:t>
      </w:r>
      <w:r w:rsidRPr="00CE2185">
        <w:rPr>
          <w:rFonts w:eastAsiaTheme="minorEastAsia"/>
          <w:noProof/>
        </w:rPr>
        <w:t>the</w:t>
      </w:r>
      <w:r w:rsidRPr="00CE2185">
        <w:rPr>
          <w:noProof/>
        </w:rPr>
        <w:t xml:space="preserve"> EU’s economy and supply chain more resilient in order to promote its own competitiveness.</w:t>
      </w:r>
      <w:r w:rsidRPr="00CE2185">
        <w:rPr>
          <w:rStyle w:val="FootnoteReference"/>
          <w:noProof/>
        </w:rPr>
        <w:footnoteReference w:id="15"/>
      </w:r>
      <w:r w:rsidRPr="00CE2185">
        <w:rPr>
          <w:noProof/>
        </w:rPr>
        <w:t xml:space="preserve"> The need to address disruptions of supply chains and cyberattacks was also highlighted in the Preparedness Union Strategy and the White Paper for European Defence</w:t>
      </w:r>
      <w:r w:rsidRPr="00CE2185">
        <w:rPr>
          <w:rStyle w:val="FootnoteReference"/>
          <w:noProof/>
        </w:rPr>
        <w:footnoteReference w:id="16"/>
      </w:r>
      <w:r w:rsidRPr="00CE2185">
        <w:rPr>
          <w:noProof/>
        </w:rPr>
        <w:t xml:space="preserve">. The co-legislators further </w:t>
      </w:r>
      <w:r w:rsidRPr="00CE2185">
        <w:rPr>
          <w:noProof/>
          <w:lang w:val="en-US"/>
        </w:rPr>
        <w:t xml:space="preserve">share the sense of urgency </w:t>
      </w:r>
      <w:r w:rsidRPr="00CE2185">
        <w:rPr>
          <w:noProof/>
        </w:rPr>
        <w:t>to take enhanced actions to ensure the security of ICT supply chains. T</w:t>
      </w:r>
      <w:r w:rsidRPr="00CE2185">
        <w:rPr>
          <w:noProof/>
          <w:lang w:val="en-US"/>
        </w:rPr>
        <w:t xml:space="preserve">he </w:t>
      </w:r>
      <w:r w:rsidRPr="00CE2185">
        <w:rPr>
          <w:b/>
          <w:bCs/>
          <w:noProof/>
          <w:lang w:val="en-US"/>
        </w:rPr>
        <w:t>European Parliament</w:t>
      </w:r>
      <w:r w:rsidRPr="00CE2185">
        <w:rPr>
          <w:noProof/>
        </w:rPr>
        <w:t xml:space="preserve"> called on the Commission to develop binding ICT supply chain security legislation that addresses non-technical risk and to “exclude the use of equipment and software from manufacturers based in high-risk countries, particularly China and Russia”</w:t>
      </w:r>
      <w:r w:rsidRPr="00CE2185">
        <w:rPr>
          <w:rStyle w:val="FootnoteReference"/>
          <w:noProof/>
        </w:rPr>
        <w:footnoteReference w:id="17"/>
      </w:r>
      <w:r w:rsidRPr="00CE2185">
        <w:rPr>
          <w:noProof/>
        </w:rPr>
        <w:t>. Members of the European Parliament also called for urgent action to secure telecommunications infrastructure against undue foreign influence and security risks</w:t>
      </w:r>
      <w:r w:rsidRPr="00CE2185">
        <w:rPr>
          <w:rStyle w:val="FootnoteReference"/>
          <w:noProof/>
        </w:rPr>
        <w:footnoteReference w:id="18"/>
      </w:r>
      <w:r w:rsidRPr="00CE2185">
        <w:rPr>
          <w:noProof/>
        </w:rPr>
        <w:t xml:space="preserve">. Digital supply chain risks are further raised in the resolution </w:t>
      </w:r>
      <w:r w:rsidRPr="00CE2185">
        <w:rPr>
          <w:noProof/>
          <w:lang w:val="en-IE"/>
        </w:rPr>
        <w:t>on European technological sovereignty and digital infrastructure</w:t>
      </w:r>
      <w:r w:rsidRPr="00CE2185">
        <w:rPr>
          <w:rStyle w:val="FootnoteReference"/>
          <w:noProof/>
        </w:rPr>
        <w:footnoteReference w:id="19"/>
      </w:r>
      <w:r w:rsidRPr="00CE2185">
        <w:rPr>
          <w:noProof/>
        </w:rPr>
        <w:t xml:space="preserve">. The </w:t>
      </w:r>
      <w:r w:rsidRPr="00CE2185">
        <w:rPr>
          <w:b/>
          <w:bCs/>
          <w:noProof/>
        </w:rPr>
        <w:t>Council</w:t>
      </w:r>
      <w:r w:rsidRPr="00CE2185">
        <w:rPr>
          <w:noProof/>
        </w:rPr>
        <w:t xml:space="preserve"> in its conclusions on the Future of Cybersecurity</w:t>
      </w:r>
      <w:r w:rsidRPr="00CE2185">
        <w:rPr>
          <w:rStyle w:val="FootnoteReference"/>
          <w:noProof/>
        </w:rPr>
        <w:footnoteReference w:id="20"/>
      </w:r>
      <w:r w:rsidRPr="00CE2185">
        <w:rPr>
          <w:noProof/>
        </w:rPr>
        <w:t>, reiterated its commitment towards ensuring the security of the ICT supply chains and noting the relevance of non-technical risk factors</w:t>
      </w:r>
      <w:r w:rsidRPr="00CE2185">
        <w:rPr>
          <w:rStyle w:val="FootnoteReference"/>
          <w:rFonts w:asciiTheme="minorHAnsi" w:eastAsiaTheme="minorEastAsia" w:hAnsiTheme="minorHAnsi" w:cstheme="minorBidi"/>
          <w:noProof/>
        </w:rPr>
        <w:footnoteReference w:id="21"/>
      </w:r>
      <w:r w:rsidRPr="00CE2185">
        <w:rPr>
          <w:noProof/>
        </w:rPr>
        <w:t xml:space="preserve">. </w:t>
      </w:r>
    </w:p>
    <w:p w14:paraId="6C9C32C8" w14:textId="5B5B664D" w:rsidR="002A1015" w:rsidRPr="00CE2185" w:rsidRDefault="5DAF7B0D" w:rsidP="00731F35">
      <w:pPr>
        <w:rPr>
          <w:noProof/>
        </w:rPr>
      </w:pPr>
      <w:r w:rsidRPr="00CE2185">
        <w:rPr>
          <w:noProof/>
          <w:lang w:val="en-IE"/>
        </w:rPr>
        <w:t xml:space="preserve">In </w:t>
      </w:r>
      <w:r w:rsidR="0D98EAEB" w:rsidRPr="00CE2185">
        <w:rPr>
          <w:noProof/>
          <w:lang w:val="en-IE"/>
        </w:rPr>
        <w:t>his</w:t>
      </w:r>
      <w:r w:rsidRPr="00CE2185">
        <w:rPr>
          <w:noProof/>
          <w:lang w:val="en-IE"/>
        </w:rPr>
        <w:t xml:space="preserve"> 2024 </w:t>
      </w:r>
      <w:r w:rsidRPr="00CE2185">
        <w:rPr>
          <w:b/>
          <w:bCs/>
          <w:noProof/>
          <w:lang w:val="en-IE"/>
        </w:rPr>
        <w:t>report on ‘</w:t>
      </w:r>
      <w:r w:rsidRPr="00CE2185">
        <w:rPr>
          <w:b/>
          <w:bCs/>
          <w:noProof/>
        </w:rPr>
        <w:t>The Future of European Competitiveness’</w:t>
      </w:r>
      <w:r w:rsidRPr="00CE2185">
        <w:rPr>
          <w:noProof/>
        </w:rPr>
        <w:t xml:space="preserve">, Mario Draghi </w:t>
      </w:r>
      <w:r w:rsidR="239D8F4F" w:rsidRPr="00CE2185">
        <w:rPr>
          <w:noProof/>
        </w:rPr>
        <w:t>highlighted the</w:t>
      </w:r>
      <w:r w:rsidR="757A7B7B" w:rsidRPr="00CE2185">
        <w:rPr>
          <w:noProof/>
        </w:rPr>
        <w:t xml:space="preserve"> need to</w:t>
      </w:r>
      <w:r w:rsidR="239D8F4F" w:rsidRPr="00CE2185">
        <w:rPr>
          <w:noProof/>
        </w:rPr>
        <w:t xml:space="preserve"> </w:t>
      </w:r>
      <w:r w:rsidR="11CF3368" w:rsidRPr="00CE2185">
        <w:rPr>
          <w:noProof/>
        </w:rPr>
        <w:t>increase</w:t>
      </w:r>
      <w:r w:rsidR="239D8F4F" w:rsidRPr="00CE2185">
        <w:rPr>
          <w:noProof/>
        </w:rPr>
        <w:t xml:space="preserve"> </w:t>
      </w:r>
      <w:r w:rsidR="11CF3368" w:rsidRPr="00CE2185">
        <w:rPr>
          <w:noProof/>
        </w:rPr>
        <w:t>security and reduc</w:t>
      </w:r>
      <w:r w:rsidR="757A7B7B" w:rsidRPr="00CE2185">
        <w:rPr>
          <w:noProof/>
        </w:rPr>
        <w:t>e</w:t>
      </w:r>
      <w:r w:rsidR="11CF3368" w:rsidRPr="00CE2185">
        <w:rPr>
          <w:noProof/>
        </w:rPr>
        <w:t xml:space="preserve"> dependencies</w:t>
      </w:r>
      <w:r w:rsidR="757A7B7B" w:rsidRPr="00CE2185">
        <w:rPr>
          <w:noProof/>
        </w:rPr>
        <w:t xml:space="preserve"> </w:t>
      </w:r>
      <w:r w:rsidR="239D8F4F" w:rsidRPr="00CE2185">
        <w:rPr>
          <w:noProof/>
        </w:rPr>
        <w:t xml:space="preserve">as one main </w:t>
      </w:r>
      <w:r w:rsidR="757A7B7B" w:rsidRPr="00CE2185">
        <w:rPr>
          <w:noProof/>
        </w:rPr>
        <w:t xml:space="preserve">areas </w:t>
      </w:r>
      <w:r w:rsidR="239D8F4F" w:rsidRPr="00CE2185">
        <w:rPr>
          <w:noProof/>
        </w:rPr>
        <w:t>of action needed in Europe</w:t>
      </w:r>
      <w:r w:rsidR="007F6A4C" w:rsidRPr="00CE2185">
        <w:rPr>
          <w:rStyle w:val="FootnoteReference"/>
          <w:noProof/>
        </w:rPr>
        <w:footnoteReference w:id="22"/>
      </w:r>
      <w:r w:rsidRPr="00CE2185">
        <w:rPr>
          <w:noProof/>
        </w:rPr>
        <w:t>.</w:t>
      </w:r>
      <w:r w:rsidR="3D21B5DD" w:rsidRPr="00CE2185">
        <w:rPr>
          <w:noProof/>
        </w:rPr>
        <w:t xml:space="preserve"> </w:t>
      </w:r>
      <w:r w:rsidR="1394C1DF" w:rsidRPr="00CE2185">
        <w:rPr>
          <w:noProof/>
        </w:rPr>
        <w:t>EU companies should maintain a foothold in areas where technological sovereignty is required, such as secur</w:t>
      </w:r>
      <w:r w:rsidR="73B927C1" w:rsidRPr="00CE2185">
        <w:rPr>
          <w:noProof/>
        </w:rPr>
        <w:t>ity</w:t>
      </w:r>
      <w:r w:rsidR="54C6CE17" w:rsidRPr="00CE2185">
        <w:rPr>
          <w:noProof/>
        </w:rPr>
        <w:t xml:space="preserve">, referring to e.g. </w:t>
      </w:r>
      <w:r w:rsidR="1394C1DF" w:rsidRPr="00CE2185">
        <w:rPr>
          <w:noProof/>
        </w:rPr>
        <w:t>supply chain security needs</w:t>
      </w:r>
      <w:r w:rsidR="29397A73" w:rsidRPr="00CE2185">
        <w:rPr>
          <w:noProof/>
        </w:rPr>
        <w:t>.</w:t>
      </w:r>
      <w:r w:rsidR="5CC88C41" w:rsidRPr="00CE2185">
        <w:rPr>
          <w:noProof/>
        </w:rPr>
        <w:t xml:space="preserve"> </w:t>
      </w:r>
      <w:r w:rsidR="24B34439" w:rsidRPr="00CE2185">
        <w:rPr>
          <w:noProof/>
        </w:rPr>
        <w:t>In particular, the report stresses the need to e</w:t>
      </w:r>
      <w:r w:rsidR="24B34439" w:rsidRPr="00CE2185">
        <w:rPr>
          <w:rFonts w:eastAsia="Times New Roman"/>
          <w:noProof/>
        </w:rPr>
        <w:t xml:space="preserve">nforce compliance with the EU Toolbox for 5G security within a set timeframe to ensure that sensitive elements are from trusted </w:t>
      </w:r>
      <w:r w:rsidR="480E8B6F" w:rsidRPr="00CE2185">
        <w:rPr>
          <w:rFonts w:eastAsia="Times New Roman"/>
          <w:noProof/>
        </w:rPr>
        <w:t>supplie</w:t>
      </w:r>
      <w:r w:rsidR="6072F9E4" w:rsidRPr="00CE2185">
        <w:rPr>
          <w:rFonts w:eastAsia="Times New Roman"/>
          <w:noProof/>
        </w:rPr>
        <w:t>rs</w:t>
      </w:r>
      <w:r w:rsidR="24B34439" w:rsidRPr="00CE2185">
        <w:rPr>
          <w:rFonts w:eastAsia="Times New Roman"/>
          <w:noProof/>
        </w:rPr>
        <w:t>, and preferably from EU providers.</w:t>
      </w:r>
      <w:r w:rsidR="5CC88C41" w:rsidRPr="00CE2185">
        <w:rPr>
          <w:noProof/>
        </w:rPr>
        <w:t xml:space="preserve"> </w:t>
      </w:r>
      <w:r w:rsidR="1394C1DF" w:rsidRPr="00CE2185">
        <w:rPr>
          <w:noProof/>
        </w:rPr>
        <w:t xml:space="preserve"> The report </w:t>
      </w:r>
      <w:r w:rsidR="566E3789" w:rsidRPr="00CE2185">
        <w:rPr>
          <w:noProof/>
        </w:rPr>
        <w:t xml:space="preserve">further </w:t>
      </w:r>
      <w:r w:rsidR="7C41B8CB" w:rsidRPr="00CE2185">
        <w:rPr>
          <w:noProof/>
        </w:rPr>
        <w:t xml:space="preserve">underscores </w:t>
      </w:r>
      <w:r w:rsidR="0FFCF491" w:rsidRPr="00CE2185">
        <w:rPr>
          <w:noProof/>
        </w:rPr>
        <w:t>the need to fill in the skills gap in Europe.</w:t>
      </w:r>
    </w:p>
    <w:p w14:paraId="790A7148" w14:textId="43A939A6" w:rsidR="004E300A" w:rsidRPr="00CE2185" w:rsidRDefault="3A450218" w:rsidP="00D12B58">
      <w:pPr>
        <w:pStyle w:val="Text1"/>
        <w:ind w:left="0"/>
        <w:rPr>
          <w:noProof/>
          <w:lang w:val="en-IE"/>
        </w:rPr>
      </w:pPr>
      <w:r w:rsidRPr="00CE2185">
        <w:rPr>
          <w:noProof/>
        </w:rPr>
        <w:t xml:space="preserve">Finally, </w:t>
      </w:r>
      <w:r w:rsidR="0B6405E7" w:rsidRPr="00CE2185">
        <w:rPr>
          <w:noProof/>
        </w:rPr>
        <w:t>t</w:t>
      </w:r>
      <w:r w:rsidR="3AB2FA6C" w:rsidRPr="00CE2185">
        <w:rPr>
          <w:noProof/>
        </w:rPr>
        <w:t xml:space="preserve">he </w:t>
      </w:r>
      <w:r w:rsidR="0B6405E7" w:rsidRPr="00CE2185">
        <w:rPr>
          <w:noProof/>
        </w:rPr>
        <w:t xml:space="preserve">CSA </w:t>
      </w:r>
      <w:r w:rsidR="3AB2FA6C" w:rsidRPr="00CE2185">
        <w:rPr>
          <w:noProof/>
        </w:rPr>
        <w:t>revision would come to complement the Critical Entities Resilience (CER Directive) Directive which provides supply chain aspects as part of resilience measures of critical entities. Moreover, it would complement upcoming initiatives under preparation, such as the Cloud and AI Development Act (CA</w:t>
      </w:r>
      <w:r w:rsidR="216DBF9A" w:rsidRPr="00CE2185">
        <w:rPr>
          <w:noProof/>
        </w:rPr>
        <w:t>I</w:t>
      </w:r>
      <w:r w:rsidR="3AB2FA6C" w:rsidRPr="00CE2185">
        <w:rPr>
          <w:noProof/>
        </w:rPr>
        <w:t>DA) which aims, among others, to tackle the lack of a competitive EU-based offer of cloud computing services at sufficient scale to serve highly critical use cases or sectors; the upcoming Digital Networks Act (DNA); and the public procurement framework</w:t>
      </w:r>
      <w:r w:rsidR="004E300A" w:rsidRPr="00CE2185">
        <w:rPr>
          <w:rStyle w:val="FootnoteReference"/>
          <w:noProof/>
        </w:rPr>
        <w:footnoteReference w:id="23"/>
      </w:r>
      <w:r w:rsidR="3AB2FA6C" w:rsidRPr="00CE2185">
        <w:rPr>
          <w:noProof/>
        </w:rPr>
        <w:t xml:space="preserve"> which is currently under evaluation.</w:t>
      </w:r>
      <w:r w:rsidR="004E300A" w:rsidRPr="00CE2185">
        <w:rPr>
          <w:rStyle w:val="FootnoteReference"/>
          <w:noProof/>
        </w:rPr>
        <w:footnoteReference w:id="24"/>
      </w:r>
    </w:p>
    <w:p w14:paraId="5E40FBB1" w14:textId="721B2C45" w:rsidR="00233D55" w:rsidRPr="00CE2185" w:rsidRDefault="006B087E" w:rsidP="00AC475B">
      <w:pPr>
        <w:pStyle w:val="Heading1"/>
        <w:rPr>
          <w:rFonts w:eastAsiaTheme="minorEastAsia"/>
          <w:noProof/>
          <w:szCs w:val="24"/>
        </w:rPr>
      </w:pPr>
      <w:bookmarkStart w:id="9" w:name="_Toc210393798"/>
      <w:bookmarkStart w:id="10" w:name="_Toc219447337"/>
      <w:r w:rsidRPr="00CE2185">
        <w:rPr>
          <w:noProof/>
          <w:szCs w:val="24"/>
        </w:rPr>
        <w:t>Problem definition</w:t>
      </w:r>
      <w:bookmarkEnd w:id="9"/>
      <w:bookmarkEnd w:id="10"/>
    </w:p>
    <w:p w14:paraId="4566E949" w14:textId="5A271218" w:rsidR="1FABBA54" w:rsidRPr="00CE2185" w:rsidRDefault="006B087E" w:rsidP="399BEBAA">
      <w:pPr>
        <w:pStyle w:val="Heading2"/>
        <w:rPr>
          <w:noProof/>
          <w:szCs w:val="24"/>
        </w:rPr>
      </w:pPr>
      <w:bookmarkStart w:id="11" w:name="_Toc210393799"/>
      <w:bookmarkStart w:id="12" w:name="_Toc219447338"/>
      <w:r w:rsidRPr="00CE2185">
        <w:rPr>
          <w:noProof/>
          <w:szCs w:val="24"/>
        </w:rPr>
        <w:t>What is/are the problems?</w:t>
      </w:r>
      <w:bookmarkEnd w:id="11"/>
      <w:bookmarkEnd w:id="12"/>
    </w:p>
    <w:p w14:paraId="5A208213" w14:textId="3F8FDECF" w:rsidR="00246F90" w:rsidRPr="00CE2185" w:rsidRDefault="000F3444" w:rsidP="00BB4A6A">
      <w:pPr>
        <w:spacing w:after="160"/>
        <w:rPr>
          <w:noProof/>
        </w:rPr>
      </w:pPr>
      <w:r w:rsidRPr="00CE2185">
        <w:rPr>
          <w:noProof/>
        </w:rPr>
        <w:t xml:space="preserve">There are four </w:t>
      </w:r>
      <w:r w:rsidR="00A54787" w:rsidRPr="00CE2185">
        <w:rPr>
          <w:noProof/>
        </w:rPr>
        <w:t xml:space="preserve">main problems identified in relation to the </w:t>
      </w:r>
      <w:r w:rsidR="00BC713A" w:rsidRPr="00CE2185">
        <w:rPr>
          <w:noProof/>
        </w:rPr>
        <w:t xml:space="preserve">current CSA, as well as </w:t>
      </w:r>
      <w:r w:rsidR="00A10C39" w:rsidRPr="00CE2185">
        <w:rPr>
          <w:noProof/>
        </w:rPr>
        <w:t>more widely in relation to the effectiveness of the current EU cybersecurity regulatory framework</w:t>
      </w:r>
      <w:r w:rsidR="005C46D0" w:rsidRPr="00CE2185">
        <w:rPr>
          <w:noProof/>
        </w:rPr>
        <w:t>.</w:t>
      </w:r>
      <w:r w:rsidR="00A54787" w:rsidRPr="00CE2185">
        <w:rPr>
          <w:noProof/>
        </w:rPr>
        <w:t xml:space="preserve"> </w:t>
      </w:r>
      <w:r w:rsidR="372985E3" w:rsidRPr="00CE2185">
        <w:rPr>
          <w:noProof/>
        </w:rPr>
        <w:t>Th</w:t>
      </w:r>
      <w:r w:rsidR="00A54787" w:rsidRPr="00CE2185">
        <w:rPr>
          <w:noProof/>
        </w:rPr>
        <w:t xml:space="preserve">e problems </w:t>
      </w:r>
      <w:r w:rsidR="005C46D0" w:rsidRPr="00CE2185">
        <w:rPr>
          <w:noProof/>
        </w:rPr>
        <w:t xml:space="preserve">identified were broadly confirmed by the </w:t>
      </w:r>
      <w:r w:rsidR="00A54787" w:rsidRPr="00CE2185">
        <w:rPr>
          <w:noProof/>
        </w:rPr>
        <w:t>public consultation</w:t>
      </w:r>
      <w:r w:rsidR="00DB14F3" w:rsidRPr="00CE2185">
        <w:rPr>
          <w:noProof/>
        </w:rPr>
        <w:t>, the main stakeholders concerned by the respective framework</w:t>
      </w:r>
      <w:r w:rsidR="00403F05" w:rsidRPr="00CE2185">
        <w:rPr>
          <w:noProof/>
        </w:rPr>
        <w:t>s</w:t>
      </w:r>
      <w:r w:rsidR="00DB14F3" w:rsidRPr="00CE2185">
        <w:rPr>
          <w:noProof/>
        </w:rPr>
        <w:t xml:space="preserve">, as well as </w:t>
      </w:r>
      <w:r w:rsidR="001B3778" w:rsidRPr="00CE2185">
        <w:rPr>
          <w:noProof/>
        </w:rPr>
        <w:t>by calls of European Parliament and Council.</w:t>
      </w:r>
    </w:p>
    <w:p w14:paraId="6A7EBFB9" w14:textId="23D67AED" w:rsidR="00F57D9D" w:rsidRPr="00CE2185" w:rsidRDefault="00F57D9D" w:rsidP="00F57D9D">
      <w:pPr>
        <w:pStyle w:val="Heading3"/>
        <w:rPr>
          <w:noProof/>
          <w:szCs w:val="24"/>
          <w:lang w:eastAsia="en-GB"/>
        </w:rPr>
      </w:pPr>
      <w:bookmarkStart w:id="13" w:name="_Toc219447339"/>
      <w:bookmarkStart w:id="14" w:name="_Toc210393800"/>
      <w:bookmarkStart w:id="15" w:name="_Toc210419507"/>
      <w:r w:rsidRPr="00CE2185">
        <w:rPr>
          <w:noProof/>
          <w:szCs w:val="24"/>
          <w:lang w:eastAsia="en-GB"/>
        </w:rPr>
        <w:t xml:space="preserve">Problem 1: </w:t>
      </w:r>
      <w:r w:rsidR="00CE0085" w:rsidRPr="00CE2185">
        <w:rPr>
          <w:noProof/>
          <w:szCs w:val="24"/>
          <w:lang w:eastAsia="en-GB"/>
        </w:rPr>
        <w:t>Misalignment</w:t>
      </w:r>
      <w:r w:rsidRPr="00CE2185">
        <w:rPr>
          <w:noProof/>
          <w:szCs w:val="24"/>
          <w:lang w:eastAsia="en-GB"/>
        </w:rPr>
        <w:t xml:space="preserve"> between </w:t>
      </w:r>
      <w:r w:rsidR="00453C3F">
        <w:rPr>
          <w:noProof/>
          <w:szCs w:val="24"/>
          <w:lang w:eastAsia="en-GB"/>
        </w:rPr>
        <w:t>the Union’s</w:t>
      </w:r>
      <w:r w:rsidR="00453C3F" w:rsidRPr="00CE2185">
        <w:rPr>
          <w:noProof/>
          <w:szCs w:val="24"/>
          <w:lang w:eastAsia="en-GB"/>
        </w:rPr>
        <w:t xml:space="preserve"> </w:t>
      </w:r>
      <w:r w:rsidR="22CE0432" w:rsidRPr="00CE2185">
        <w:rPr>
          <w:noProof/>
          <w:szCs w:val="24"/>
          <w:lang w:eastAsia="en-GB"/>
        </w:rPr>
        <w:t xml:space="preserve">cybersecurity </w:t>
      </w:r>
      <w:r w:rsidR="3CCD65BC" w:rsidRPr="00CE2185">
        <w:rPr>
          <w:noProof/>
          <w:szCs w:val="24"/>
          <w:lang w:eastAsia="en-GB"/>
        </w:rPr>
        <w:t>policy</w:t>
      </w:r>
      <w:r w:rsidR="000A1DC9" w:rsidRPr="00CE2185">
        <w:rPr>
          <w:noProof/>
          <w:szCs w:val="24"/>
          <w:lang w:eastAsia="en-GB"/>
        </w:rPr>
        <w:t xml:space="preserve"> </w:t>
      </w:r>
      <w:r w:rsidR="22CE0432" w:rsidRPr="00CE2185">
        <w:rPr>
          <w:noProof/>
          <w:szCs w:val="24"/>
          <w:lang w:eastAsia="en-GB"/>
        </w:rPr>
        <w:t xml:space="preserve">framework </w:t>
      </w:r>
      <w:r w:rsidRPr="00CE2185">
        <w:rPr>
          <w:noProof/>
          <w:szCs w:val="24"/>
          <w:lang w:eastAsia="en-GB"/>
        </w:rPr>
        <w:t>and stakeholders' needs in an increasingly hostile threat landscape</w:t>
      </w:r>
      <w:bookmarkEnd w:id="13"/>
      <w:r w:rsidRPr="00CE2185">
        <w:rPr>
          <w:noProof/>
          <w:szCs w:val="24"/>
          <w:lang w:eastAsia="en-GB"/>
        </w:rPr>
        <w:t xml:space="preserve">  </w:t>
      </w:r>
      <w:bookmarkEnd w:id="14"/>
      <w:bookmarkEnd w:id="15"/>
    </w:p>
    <w:p w14:paraId="00B47407" w14:textId="0D023F44" w:rsidR="00D538A3" w:rsidRPr="00CE2185" w:rsidRDefault="00153A22" w:rsidP="00671B6B">
      <w:pPr>
        <w:spacing w:after="120"/>
        <w:rPr>
          <w:noProof/>
          <w:lang w:eastAsia="en-GB"/>
        </w:rPr>
      </w:pPr>
      <w:r w:rsidRPr="00CE2185">
        <w:rPr>
          <w:noProof/>
          <w:lang w:eastAsia="en-GB"/>
        </w:rPr>
        <w:t xml:space="preserve">The </w:t>
      </w:r>
      <w:r w:rsidR="00DC3830" w:rsidRPr="00CE2185">
        <w:rPr>
          <w:noProof/>
          <w:lang w:eastAsia="en-GB"/>
        </w:rPr>
        <w:t>CSA</w:t>
      </w:r>
      <w:r w:rsidRPr="00CE2185">
        <w:rPr>
          <w:noProof/>
          <w:lang w:eastAsia="en-GB"/>
        </w:rPr>
        <w:t xml:space="preserve"> gives since 2019 a permanent mandate to ENISA. However, the fast-evolving cybersecurity landscape</w:t>
      </w:r>
      <w:r w:rsidR="00640C34" w:rsidRPr="00CE2185">
        <w:rPr>
          <w:noProof/>
          <w:lang w:eastAsia="en-GB"/>
        </w:rPr>
        <w:t xml:space="preserve"> and its consequences on real-world economy </w:t>
      </w:r>
      <w:r w:rsidR="00640C34" w:rsidRPr="00CE2185">
        <w:rPr>
          <w:i/>
          <w:iCs/>
          <w:noProof/>
          <w:lang w:eastAsia="en-GB"/>
        </w:rPr>
        <w:t>(see</w:t>
      </w:r>
      <w:r w:rsidR="00553A6F" w:rsidRPr="00CE2185">
        <w:rPr>
          <w:i/>
          <w:iCs/>
          <w:noProof/>
          <w:lang w:eastAsia="en-GB"/>
        </w:rPr>
        <w:t xml:space="preserve"> </w:t>
      </w:r>
      <w:r w:rsidR="00537E27" w:rsidRPr="00CE2185">
        <w:rPr>
          <w:i/>
          <w:iCs/>
          <w:noProof/>
          <w:lang w:eastAsia="en-GB"/>
        </w:rPr>
        <w:t xml:space="preserve">Annex </w:t>
      </w:r>
      <w:r w:rsidR="00933022" w:rsidRPr="00CE2185">
        <w:rPr>
          <w:i/>
          <w:iCs/>
          <w:noProof/>
          <w:lang w:eastAsia="en-GB"/>
        </w:rPr>
        <w:t>7</w:t>
      </w:r>
      <w:r w:rsidR="00640C34" w:rsidRPr="00CE2185">
        <w:rPr>
          <w:i/>
          <w:iCs/>
          <w:noProof/>
          <w:lang w:eastAsia="en-GB"/>
        </w:rPr>
        <w:t>)</w:t>
      </w:r>
      <w:r w:rsidR="00640C34" w:rsidRPr="00CE2185">
        <w:rPr>
          <w:noProof/>
          <w:lang w:eastAsia="en-GB"/>
        </w:rPr>
        <w:t xml:space="preserve"> </w:t>
      </w:r>
      <w:r w:rsidR="00E14D59" w:rsidRPr="00CE2185">
        <w:rPr>
          <w:noProof/>
          <w:lang w:eastAsia="en-GB"/>
        </w:rPr>
        <w:t>and growing geopolitical instability</w:t>
      </w:r>
      <w:r w:rsidR="00E14D59" w:rsidRPr="00CE2185">
        <w:rPr>
          <w:rStyle w:val="FootnoteReference"/>
          <w:noProof/>
          <w:lang w:eastAsia="en-GB"/>
        </w:rPr>
        <w:footnoteReference w:id="25"/>
      </w:r>
      <w:r w:rsidR="00E14D59" w:rsidRPr="00CE2185">
        <w:rPr>
          <w:noProof/>
          <w:lang w:eastAsia="en-GB"/>
        </w:rPr>
        <w:t xml:space="preserve"> </w:t>
      </w:r>
      <w:r w:rsidRPr="00CE2185">
        <w:rPr>
          <w:noProof/>
          <w:lang w:eastAsia="en-GB"/>
        </w:rPr>
        <w:t>led</w:t>
      </w:r>
      <w:r w:rsidR="00E14D59" w:rsidRPr="00CE2185">
        <w:rPr>
          <w:noProof/>
          <w:lang w:eastAsia="en-GB"/>
        </w:rPr>
        <w:t xml:space="preserve"> over the past 5 years</w:t>
      </w:r>
      <w:r w:rsidRPr="00CE2185">
        <w:rPr>
          <w:noProof/>
          <w:lang w:eastAsia="en-GB"/>
        </w:rPr>
        <w:t xml:space="preserve"> to a</w:t>
      </w:r>
      <w:r w:rsidR="003E098C" w:rsidRPr="00CE2185">
        <w:rPr>
          <w:noProof/>
          <w:lang w:eastAsia="en-GB"/>
        </w:rPr>
        <w:t xml:space="preserve"> gradual</w:t>
      </w:r>
      <w:r w:rsidRPr="00CE2185">
        <w:rPr>
          <w:noProof/>
          <w:lang w:eastAsia="en-GB"/>
        </w:rPr>
        <w:t xml:space="preserve"> extension of ENISA’s </w:t>
      </w:r>
      <w:r w:rsidR="003418CD" w:rsidRPr="00CE2185">
        <w:rPr>
          <w:noProof/>
          <w:lang w:eastAsia="en-GB"/>
        </w:rPr>
        <w:t>tasks</w:t>
      </w:r>
      <w:r w:rsidRPr="00CE2185">
        <w:rPr>
          <w:noProof/>
          <w:lang w:eastAsia="en-GB"/>
        </w:rPr>
        <w:t xml:space="preserve"> through </w:t>
      </w:r>
      <w:r w:rsidR="7C7FC1FA" w:rsidRPr="00CE2185">
        <w:rPr>
          <w:noProof/>
          <w:lang w:eastAsia="en-GB"/>
        </w:rPr>
        <w:t>various</w:t>
      </w:r>
      <w:r w:rsidR="00E14D59" w:rsidRPr="00CE2185">
        <w:rPr>
          <w:noProof/>
          <w:lang w:eastAsia="en-GB"/>
        </w:rPr>
        <w:t xml:space="preserve"> legislative instruments</w:t>
      </w:r>
      <w:r w:rsidR="00EA221B" w:rsidRPr="00CE2185">
        <w:rPr>
          <w:noProof/>
          <w:lang w:eastAsia="en-GB"/>
        </w:rPr>
        <w:t xml:space="preserve"> </w:t>
      </w:r>
      <w:r w:rsidR="00EA221B" w:rsidRPr="00CE2185">
        <w:rPr>
          <w:i/>
          <w:iCs/>
          <w:noProof/>
          <w:lang w:eastAsia="en-GB"/>
        </w:rPr>
        <w:t>(see Annex</w:t>
      </w:r>
      <w:r w:rsidR="00144363" w:rsidRPr="00CE2185">
        <w:rPr>
          <w:i/>
          <w:iCs/>
          <w:noProof/>
          <w:lang w:eastAsia="en-GB"/>
        </w:rPr>
        <w:t xml:space="preserve"> </w:t>
      </w:r>
      <w:r w:rsidR="00972B2D" w:rsidRPr="00CE2185">
        <w:rPr>
          <w:i/>
          <w:iCs/>
          <w:noProof/>
          <w:lang w:eastAsia="en-GB"/>
        </w:rPr>
        <w:t>9)</w:t>
      </w:r>
      <w:r w:rsidR="00E14D59" w:rsidRPr="00CE2185">
        <w:rPr>
          <w:i/>
          <w:iCs/>
          <w:noProof/>
          <w:lang w:eastAsia="en-GB"/>
        </w:rPr>
        <w:t>.</w:t>
      </w:r>
      <w:r w:rsidR="00E14D59" w:rsidRPr="00CE2185">
        <w:rPr>
          <w:noProof/>
          <w:lang w:eastAsia="en-GB"/>
        </w:rPr>
        <w:t xml:space="preserve"> </w:t>
      </w:r>
      <w:r w:rsidR="009F13EA" w:rsidRPr="00CE2185">
        <w:rPr>
          <w:noProof/>
          <w:lang w:eastAsia="en-GB"/>
        </w:rPr>
        <w:t xml:space="preserve">Furthermore, </w:t>
      </w:r>
      <w:r w:rsidR="004A155B" w:rsidRPr="00CE2185">
        <w:rPr>
          <w:noProof/>
          <w:lang w:eastAsia="en-GB"/>
        </w:rPr>
        <w:t xml:space="preserve">other </w:t>
      </w:r>
      <w:r w:rsidR="009F13EA" w:rsidRPr="00CE2185">
        <w:rPr>
          <w:noProof/>
          <w:lang w:eastAsia="en-GB"/>
        </w:rPr>
        <w:t>new needs emerged, such as</w:t>
      </w:r>
      <w:r w:rsidR="008D2E51" w:rsidRPr="00CE2185">
        <w:rPr>
          <w:noProof/>
          <w:lang w:eastAsia="en-GB"/>
        </w:rPr>
        <w:t xml:space="preserve"> an increasing demand for more effective standardisation and certification process</w:t>
      </w:r>
      <w:r w:rsidR="003E099A" w:rsidRPr="00CE2185">
        <w:rPr>
          <w:noProof/>
          <w:lang w:eastAsia="en-GB"/>
        </w:rPr>
        <w:t>es</w:t>
      </w:r>
      <w:r w:rsidR="008D2E51" w:rsidRPr="00CE2185">
        <w:rPr>
          <w:noProof/>
          <w:lang w:eastAsia="en-GB"/>
        </w:rPr>
        <w:t xml:space="preserve"> to facilitate </w:t>
      </w:r>
      <w:r w:rsidR="00DD6E23" w:rsidRPr="00CE2185">
        <w:rPr>
          <w:noProof/>
          <w:lang w:eastAsia="en-GB"/>
        </w:rPr>
        <w:t xml:space="preserve">cybersecurity measures and </w:t>
      </w:r>
      <w:r w:rsidR="003779D2" w:rsidRPr="00CE2185">
        <w:rPr>
          <w:noProof/>
          <w:lang w:eastAsia="en-GB"/>
        </w:rPr>
        <w:t>l</w:t>
      </w:r>
      <w:r w:rsidR="00DD6E23" w:rsidRPr="00CE2185">
        <w:rPr>
          <w:noProof/>
          <w:lang w:eastAsia="en-GB"/>
        </w:rPr>
        <w:t>evel the playing field</w:t>
      </w:r>
      <w:r w:rsidR="003779D2" w:rsidRPr="00CE2185">
        <w:rPr>
          <w:noProof/>
          <w:lang w:eastAsia="en-GB"/>
        </w:rPr>
        <w:t xml:space="preserve"> or an increasing need to </w:t>
      </w:r>
      <w:r w:rsidR="003E099A" w:rsidRPr="00CE2185">
        <w:rPr>
          <w:noProof/>
          <w:lang w:eastAsia="en-GB"/>
        </w:rPr>
        <w:t>address</w:t>
      </w:r>
      <w:r w:rsidR="003779D2" w:rsidRPr="00CE2185">
        <w:rPr>
          <w:noProof/>
          <w:lang w:eastAsia="en-GB"/>
        </w:rPr>
        <w:t xml:space="preserve"> the cybersecurity skills gap and take more effective actions in this regard. </w:t>
      </w:r>
      <w:r w:rsidR="00A36D50" w:rsidRPr="00CE2185">
        <w:rPr>
          <w:noProof/>
          <w:lang w:eastAsia="en-GB"/>
        </w:rPr>
        <w:t>With the recent legislative</w:t>
      </w:r>
      <w:r w:rsidR="00EA1CAA" w:rsidRPr="00CE2185">
        <w:rPr>
          <w:noProof/>
          <w:lang w:eastAsia="en-GB"/>
        </w:rPr>
        <w:t xml:space="preserve"> instruments</w:t>
      </w:r>
      <w:r w:rsidR="00A36D50" w:rsidRPr="00CE2185">
        <w:rPr>
          <w:noProof/>
          <w:lang w:eastAsia="en-GB"/>
        </w:rPr>
        <w:t xml:space="preserve">, only some of the emerging needs </w:t>
      </w:r>
      <w:r w:rsidR="002F60B8" w:rsidRPr="00CE2185">
        <w:rPr>
          <w:noProof/>
          <w:lang w:eastAsia="en-GB"/>
        </w:rPr>
        <w:t>where ENISA can play an important role</w:t>
      </w:r>
      <w:r w:rsidR="5D6A00C1" w:rsidRPr="00CE2185">
        <w:rPr>
          <w:noProof/>
          <w:lang w:eastAsia="en-GB"/>
        </w:rPr>
        <w:t>,</w:t>
      </w:r>
      <w:r w:rsidR="002F60B8" w:rsidRPr="00CE2185">
        <w:rPr>
          <w:noProof/>
          <w:lang w:eastAsia="en-GB"/>
        </w:rPr>
        <w:t xml:space="preserve"> </w:t>
      </w:r>
      <w:r w:rsidR="00A36D50" w:rsidRPr="00CE2185">
        <w:rPr>
          <w:noProof/>
          <w:lang w:eastAsia="en-GB"/>
        </w:rPr>
        <w:t xml:space="preserve">were </w:t>
      </w:r>
      <w:r w:rsidR="002F60B8" w:rsidRPr="00CE2185">
        <w:rPr>
          <w:noProof/>
          <w:lang w:eastAsia="en-GB"/>
        </w:rPr>
        <w:t>tackled</w:t>
      </w:r>
      <w:r w:rsidR="00A36D50" w:rsidRPr="00CE2185">
        <w:rPr>
          <w:noProof/>
          <w:lang w:eastAsia="en-GB"/>
        </w:rPr>
        <w:t xml:space="preserve">, but these were rather </w:t>
      </w:r>
      <w:r w:rsidR="00EA1CAA" w:rsidRPr="00CE2185">
        <w:rPr>
          <w:noProof/>
          <w:lang w:eastAsia="en-GB"/>
        </w:rPr>
        <w:t>address</w:t>
      </w:r>
      <w:r w:rsidR="00E838AE" w:rsidRPr="00CE2185">
        <w:rPr>
          <w:noProof/>
          <w:lang w:eastAsia="en-GB"/>
        </w:rPr>
        <w:t xml:space="preserve">ed </w:t>
      </w:r>
      <w:r w:rsidR="00EE1E2B" w:rsidRPr="00CE2185">
        <w:rPr>
          <w:noProof/>
          <w:lang w:eastAsia="en-GB"/>
        </w:rPr>
        <w:t xml:space="preserve">disparately, </w:t>
      </w:r>
      <w:r w:rsidR="00A25CD4" w:rsidRPr="00CE2185">
        <w:rPr>
          <w:noProof/>
          <w:lang w:eastAsia="en-GB"/>
        </w:rPr>
        <w:t xml:space="preserve">and </w:t>
      </w:r>
      <w:r w:rsidR="00A25CD4" w:rsidRPr="00CE2185">
        <w:rPr>
          <w:b/>
          <w:bCs/>
          <w:noProof/>
          <w:lang w:eastAsia="en-GB"/>
        </w:rPr>
        <w:t>could not achieve</w:t>
      </w:r>
      <w:r w:rsidR="0010311B" w:rsidRPr="00CE2185">
        <w:rPr>
          <w:b/>
          <w:bCs/>
          <w:noProof/>
          <w:lang w:eastAsia="en-GB"/>
        </w:rPr>
        <w:t xml:space="preserve"> a </w:t>
      </w:r>
      <w:r w:rsidR="00EE1E2B" w:rsidRPr="00CE2185">
        <w:rPr>
          <w:b/>
          <w:bCs/>
          <w:noProof/>
          <w:lang w:eastAsia="en-GB"/>
        </w:rPr>
        <w:t xml:space="preserve">reboot of </w:t>
      </w:r>
      <w:r w:rsidR="008F361C" w:rsidRPr="00CE2185">
        <w:rPr>
          <w:b/>
          <w:bCs/>
          <w:noProof/>
          <w:lang w:eastAsia="en-GB"/>
        </w:rPr>
        <w:t xml:space="preserve">the overall </w:t>
      </w:r>
      <w:r w:rsidR="00EE1E2B" w:rsidRPr="00CE2185">
        <w:rPr>
          <w:b/>
          <w:bCs/>
          <w:noProof/>
          <w:lang w:eastAsia="en-GB"/>
        </w:rPr>
        <w:t xml:space="preserve">focus </w:t>
      </w:r>
      <w:r w:rsidR="00F63F60" w:rsidRPr="00CE2185">
        <w:rPr>
          <w:b/>
          <w:bCs/>
          <w:noProof/>
          <w:lang w:eastAsia="en-GB"/>
        </w:rPr>
        <w:t xml:space="preserve">of ENISA </w:t>
      </w:r>
      <w:r w:rsidR="0010311B" w:rsidRPr="00CE2185">
        <w:rPr>
          <w:b/>
          <w:bCs/>
          <w:noProof/>
          <w:lang w:eastAsia="en-GB"/>
        </w:rPr>
        <w:t xml:space="preserve">on most pressing needs </w:t>
      </w:r>
      <w:r w:rsidR="00A25CD4" w:rsidRPr="00CE2185">
        <w:rPr>
          <w:b/>
          <w:bCs/>
          <w:noProof/>
          <w:lang w:eastAsia="en-GB"/>
        </w:rPr>
        <w:t>where such a European agency can play a decisive role</w:t>
      </w:r>
      <w:r w:rsidR="00EA1CAA" w:rsidRPr="00CE2185">
        <w:rPr>
          <w:noProof/>
          <w:lang w:eastAsia="en-GB"/>
        </w:rPr>
        <w:t xml:space="preserve">. </w:t>
      </w:r>
    </w:p>
    <w:p w14:paraId="4098213B" w14:textId="27CB3B5D" w:rsidR="00813B30" w:rsidRPr="00CE2185" w:rsidRDefault="00D538A3" w:rsidP="00671B6B">
      <w:pPr>
        <w:spacing w:after="120"/>
        <w:rPr>
          <w:noProof/>
          <w:lang w:eastAsia="en-GB"/>
        </w:rPr>
      </w:pPr>
      <w:r w:rsidRPr="00CE2185">
        <w:rPr>
          <w:noProof/>
          <w:lang w:eastAsia="en-GB"/>
        </w:rPr>
        <w:t>O</w:t>
      </w:r>
      <w:r w:rsidR="00EA221B" w:rsidRPr="00CE2185">
        <w:rPr>
          <w:noProof/>
          <w:lang w:eastAsia="en-GB"/>
        </w:rPr>
        <w:t xml:space="preserve">verall, </w:t>
      </w:r>
      <w:r w:rsidR="001C17B2" w:rsidRPr="00CE2185">
        <w:rPr>
          <w:noProof/>
          <w:lang w:eastAsia="en-GB"/>
        </w:rPr>
        <w:t>whilst</w:t>
      </w:r>
      <w:r w:rsidR="00F57D9D" w:rsidRPr="00CE2185">
        <w:rPr>
          <w:noProof/>
          <w:lang w:eastAsia="en-GB"/>
        </w:rPr>
        <w:t xml:space="preserve"> </w:t>
      </w:r>
      <w:r w:rsidRPr="00CE2185">
        <w:rPr>
          <w:noProof/>
          <w:lang w:eastAsia="en-GB"/>
        </w:rPr>
        <w:t xml:space="preserve">Member States and industry, </w:t>
      </w:r>
      <w:r w:rsidR="001C17B2" w:rsidRPr="00CE2185">
        <w:rPr>
          <w:noProof/>
          <w:lang w:eastAsia="en-GB"/>
        </w:rPr>
        <w:t xml:space="preserve">value ENISA and its advisory role in policy implementation, they also indicate that </w:t>
      </w:r>
      <w:r w:rsidR="00B94CDD" w:rsidRPr="00CE2185">
        <w:rPr>
          <w:noProof/>
          <w:lang w:eastAsia="en-GB"/>
        </w:rPr>
        <w:t>the agency is not able</w:t>
      </w:r>
      <w:r w:rsidR="001C17B2" w:rsidRPr="00CE2185">
        <w:rPr>
          <w:noProof/>
          <w:lang w:eastAsia="en-GB"/>
        </w:rPr>
        <w:t xml:space="preserve"> to implement its mandate efficiently and effectively</w:t>
      </w:r>
      <w:r w:rsidR="001C17B2" w:rsidRPr="00CE2185">
        <w:rPr>
          <w:rStyle w:val="FootnoteReference"/>
          <w:noProof/>
          <w:lang w:eastAsia="en-GB"/>
        </w:rPr>
        <w:footnoteReference w:id="26"/>
      </w:r>
      <w:r w:rsidR="001C17B2" w:rsidRPr="00CE2185">
        <w:rPr>
          <w:noProof/>
          <w:lang w:eastAsia="en-GB"/>
        </w:rPr>
        <w:t>.</w:t>
      </w:r>
      <w:r w:rsidR="005D6332" w:rsidRPr="00CE2185">
        <w:rPr>
          <w:noProof/>
          <w:lang w:eastAsia="en-GB"/>
        </w:rPr>
        <w:t xml:space="preserve"> </w:t>
      </w:r>
    </w:p>
    <w:p w14:paraId="088E7DE3" w14:textId="1FBBB0EA" w:rsidR="003C1730" w:rsidRPr="00CE2185" w:rsidRDefault="003C1730" w:rsidP="00671B6B">
      <w:pPr>
        <w:spacing w:after="120"/>
        <w:rPr>
          <w:iCs/>
          <w:noProof/>
        </w:rPr>
      </w:pPr>
      <w:r w:rsidRPr="00CE2185">
        <w:rPr>
          <w:i/>
          <w:iCs/>
          <w:noProof/>
          <w:u w:val="single"/>
          <w:lang w:eastAsia="en-GB"/>
        </w:rPr>
        <w:t>First</w:t>
      </w:r>
      <w:r w:rsidRPr="00CE2185">
        <w:rPr>
          <w:b/>
          <w:bCs/>
          <w:noProof/>
          <w:lang w:eastAsia="en-GB"/>
        </w:rPr>
        <w:t xml:space="preserve">, </w:t>
      </w:r>
      <w:r w:rsidRPr="00CE2185">
        <w:rPr>
          <w:noProof/>
          <w:lang w:eastAsia="en-GB"/>
        </w:rPr>
        <w:t xml:space="preserve">ENISA does not meet stakeholders’ needs in </w:t>
      </w:r>
      <w:r w:rsidRPr="00CE2185">
        <w:rPr>
          <w:b/>
          <w:bCs/>
          <w:noProof/>
          <w:lang w:eastAsia="en-GB"/>
        </w:rPr>
        <w:t>supporting efficiently cooperation among Member States and bringing a consolidated European perspective to Member States and industry on situational awareness at the EU level</w:t>
      </w:r>
      <w:r w:rsidRPr="00CE2185">
        <w:rPr>
          <w:rStyle w:val="FootnoteReference"/>
          <w:noProof/>
          <w:lang w:eastAsia="en-GB"/>
        </w:rPr>
        <w:footnoteReference w:id="27"/>
      </w:r>
      <w:r w:rsidR="009B4D94" w:rsidRPr="00CE2185">
        <w:rPr>
          <w:b/>
          <w:bCs/>
          <w:noProof/>
          <w:lang w:eastAsia="en-GB"/>
        </w:rPr>
        <w:t xml:space="preserve"> or in </w:t>
      </w:r>
      <w:r w:rsidR="000249A1" w:rsidRPr="00CE2185">
        <w:rPr>
          <w:b/>
          <w:bCs/>
          <w:noProof/>
          <w:lang w:eastAsia="en-GB"/>
        </w:rPr>
        <w:t>reaching its full potential to support implementation of cybersecurity measures</w:t>
      </w:r>
      <w:r w:rsidR="001E1A9C" w:rsidRPr="00CE2185">
        <w:rPr>
          <w:b/>
          <w:bCs/>
          <w:noProof/>
          <w:lang w:eastAsia="en-GB"/>
        </w:rPr>
        <w:t xml:space="preserve"> and raise </w:t>
      </w:r>
      <w:r w:rsidR="005337F3" w:rsidRPr="00CE2185">
        <w:rPr>
          <w:b/>
          <w:bCs/>
          <w:noProof/>
          <w:lang w:eastAsia="en-GB"/>
        </w:rPr>
        <w:t>the bar for cybersecurity standards</w:t>
      </w:r>
      <w:r w:rsidRPr="00CE2185">
        <w:rPr>
          <w:noProof/>
          <w:lang w:eastAsia="en-GB"/>
        </w:rPr>
        <w:t xml:space="preserve">. </w:t>
      </w:r>
      <w:r w:rsidR="000D77B1" w:rsidRPr="00CE2185">
        <w:rPr>
          <w:noProof/>
          <w:lang w:eastAsia="en-GB"/>
        </w:rPr>
        <w:t xml:space="preserve">The NIS2 Directive and the CRA brought ENISA </w:t>
      </w:r>
      <w:r w:rsidR="000B2845" w:rsidRPr="00CE2185">
        <w:rPr>
          <w:noProof/>
          <w:lang w:eastAsia="en-GB"/>
        </w:rPr>
        <w:t xml:space="preserve">more responsibilities </w:t>
      </w:r>
      <w:r w:rsidR="00281025" w:rsidRPr="00CE2185">
        <w:rPr>
          <w:noProof/>
          <w:lang w:eastAsia="en-GB"/>
        </w:rPr>
        <w:t>for</w:t>
      </w:r>
      <w:r w:rsidR="000B2845" w:rsidRPr="00CE2185">
        <w:rPr>
          <w:noProof/>
          <w:lang w:eastAsia="en-GB"/>
        </w:rPr>
        <w:t xml:space="preserve"> holding an overview of vulnerabilities </w:t>
      </w:r>
      <w:r w:rsidR="00281025" w:rsidRPr="00CE2185">
        <w:rPr>
          <w:noProof/>
          <w:lang w:eastAsia="en-GB"/>
        </w:rPr>
        <w:t xml:space="preserve">exploited across the internal market. </w:t>
      </w:r>
      <w:r w:rsidR="002C1115" w:rsidRPr="00CE2185">
        <w:rPr>
          <w:noProof/>
          <w:lang w:eastAsia="en-GB"/>
        </w:rPr>
        <w:t>With the ex</w:t>
      </w:r>
      <w:r w:rsidR="002D3D35" w:rsidRPr="00CE2185">
        <w:rPr>
          <w:noProof/>
          <w:lang w:eastAsia="en-GB"/>
        </w:rPr>
        <w:t>panded</w:t>
      </w:r>
      <w:r w:rsidR="002C1115" w:rsidRPr="00CE2185">
        <w:rPr>
          <w:noProof/>
          <w:lang w:eastAsia="en-GB"/>
        </w:rPr>
        <w:t xml:space="preserve"> regulatory framework, ENISA is expected to support more effectively Member States in their overseeing of compliance with cybersecurity </w:t>
      </w:r>
      <w:r w:rsidR="002D3D35" w:rsidRPr="00CE2185">
        <w:rPr>
          <w:noProof/>
          <w:lang w:eastAsia="en-GB"/>
        </w:rPr>
        <w:t>requirements</w:t>
      </w:r>
      <w:r w:rsidR="002C1115" w:rsidRPr="00CE2185">
        <w:rPr>
          <w:noProof/>
          <w:lang w:eastAsia="en-GB"/>
        </w:rPr>
        <w:t xml:space="preserve">. </w:t>
      </w:r>
      <w:r w:rsidRPr="00CE2185">
        <w:rPr>
          <w:noProof/>
          <w:lang w:eastAsia="en-GB"/>
        </w:rPr>
        <w:t>The recently adopted Cyber Blueprint intends to improve coordination in cyber crisis management and to provide for clear roles and responsibilities. The CSoA further introduces measures such as the EU Cybersecurity Reserve</w:t>
      </w:r>
      <w:r w:rsidRPr="00CE2185">
        <w:rPr>
          <w:noProof/>
          <w:vertAlign w:val="superscript"/>
          <w:lang w:eastAsia="en-GB"/>
        </w:rPr>
        <w:footnoteReference w:id="28"/>
      </w:r>
      <w:r w:rsidRPr="00CE2185">
        <w:rPr>
          <w:noProof/>
          <w:lang w:eastAsia="en-GB"/>
        </w:rPr>
        <w:t>, explicitly recognising the need for additional support to address significant or large-scale cybersecurity incidents</w:t>
      </w:r>
      <w:r w:rsidRPr="00CE2185">
        <w:rPr>
          <w:rStyle w:val="FootnoteReference"/>
          <w:noProof/>
          <w:lang w:eastAsia="en-GB"/>
        </w:rPr>
        <w:footnoteReference w:id="29"/>
      </w:r>
      <w:r w:rsidRPr="00CE2185">
        <w:rPr>
          <w:noProof/>
          <w:lang w:eastAsia="en-GB"/>
        </w:rPr>
        <w:t>. ENISA’s role as a secretariat to the CSIRTs network</w:t>
      </w:r>
      <w:r w:rsidRPr="00CE2185">
        <w:rPr>
          <w:noProof/>
          <w:vertAlign w:val="superscript"/>
          <w:lang w:eastAsia="en-GB"/>
        </w:rPr>
        <w:t xml:space="preserve"> </w:t>
      </w:r>
      <w:r w:rsidRPr="00CE2185">
        <w:rPr>
          <w:noProof/>
          <w:lang w:eastAsia="en-GB"/>
        </w:rPr>
        <w:t>and EU-CyCLONe</w:t>
      </w:r>
      <w:r w:rsidRPr="00CE2185">
        <w:rPr>
          <w:noProof/>
          <w:vertAlign w:val="superscript"/>
          <w:lang w:eastAsia="en-GB"/>
        </w:rPr>
        <w:t xml:space="preserve"> </w:t>
      </w:r>
      <w:r w:rsidRPr="00CE2185">
        <w:rPr>
          <w:noProof/>
          <w:lang w:eastAsia="en-GB"/>
        </w:rPr>
        <w:t xml:space="preserve">is </w:t>
      </w:r>
      <w:r w:rsidR="00D148D0" w:rsidRPr="00CE2185">
        <w:rPr>
          <w:noProof/>
          <w:lang w:eastAsia="en-GB"/>
        </w:rPr>
        <w:t>limited to</w:t>
      </w:r>
      <w:r w:rsidRPr="00CE2185">
        <w:rPr>
          <w:noProof/>
          <w:lang w:eastAsia="en-GB"/>
        </w:rPr>
        <w:t xml:space="preserve"> providing coordination</w:t>
      </w:r>
      <w:r w:rsidR="004553B0" w:rsidRPr="00CE2185">
        <w:rPr>
          <w:noProof/>
          <w:lang w:eastAsia="en-GB"/>
        </w:rPr>
        <w:t>, requiring reflection on additional tasks and responsibilities for contributing to developing a cooperative response to large scale cross-border cyber incidents</w:t>
      </w:r>
      <w:r w:rsidRPr="00CE2185">
        <w:rPr>
          <w:noProof/>
          <w:lang w:eastAsia="en-GB"/>
        </w:rPr>
        <w:t xml:space="preserve"> and</w:t>
      </w:r>
      <w:r w:rsidR="00A76E51" w:rsidRPr="00CE2185">
        <w:rPr>
          <w:rStyle w:val="FootnoteReference"/>
          <w:noProof/>
          <w:lang w:eastAsia="en-GB"/>
        </w:rPr>
        <w:footnoteReference w:id="30"/>
      </w:r>
      <w:r w:rsidRPr="00CE2185">
        <w:rPr>
          <w:noProof/>
          <w:lang w:eastAsia="en-GB"/>
        </w:rPr>
        <w:t xml:space="preserve">. In 2024, the Agency further did not meet its targets </w:t>
      </w:r>
      <w:r w:rsidRPr="00CE2185">
        <w:rPr>
          <w:noProof/>
        </w:rPr>
        <w:t xml:space="preserve">to </w:t>
      </w:r>
      <w:r w:rsidRPr="00CE2185">
        <w:rPr>
          <w:i/>
          <w:iCs/>
          <w:noProof/>
          <w:lang w:eastAsia="en-GB"/>
        </w:rPr>
        <w:t>“</w:t>
      </w:r>
      <w:r w:rsidRPr="00CE2185">
        <w:rPr>
          <w:i/>
          <w:iCs/>
          <w:noProof/>
        </w:rPr>
        <w:t xml:space="preserve">provide regular risk monitoring </w:t>
      </w:r>
      <w:r w:rsidR="00687063" w:rsidRPr="00CE2185">
        <w:rPr>
          <w:i/>
          <w:iCs/>
          <w:noProof/>
        </w:rPr>
        <w:t>(…)</w:t>
      </w:r>
      <w:r w:rsidRPr="00CE2185">
        <w:rPr>
          <w:i/>
          <w:iCs/>
          <w:noProof/>
        </w:rPr>
        <w:t xml:space="preserve"> and provide specific risk assessments and threat landscapes as requested by Member States”</w:t>
      </w:r>
      <w:r w:rsidRPr="00CE2185">
        <w:rPr>
          <w:noProof/>
        </w:rPr>
        <w:t xml:space="preserve"> (target set on 50%, result for 2024 was 30%)</w:t>
      </w:r>
      <w:r w:rsidRPr="00CE2185">
        <w:rPr>
          <w:rStyle w:val="FootnoteReference"/>
          <w:noProof/>
        </w:rPr>
        <w:footnoteReference w:id="31"/>
      </w:r>
      <w:r w:rsidRPr="00CE2185">
        <w:rPr>
          <w:noProof/>
        </w:rPr>
        <w:t>.</w:t>
      </w:r>
      <w:r w:rsidR="0063086D" w:rsidRPr="00CE2185">
        <w:rPr>
          <w:noProof/>
        </w:rPr>
        <w:t xml:space="preserve"> </w:t>
      </w:r>
      <w:r w:rsidR="004D4A51" w:rsidRPr="00CE2185">
        <w:rPr>
          <w:noProof/>
        </w:rPr>
        <w:t xml:space="preserve">The </w:t>
      </w:r>
      <w:r w:rsidR="00274F23" w:rsidRPr="00CE2185">
        <w:rPr>
          <w:noProof/>
        </w:rPr>
        <w:t>capabilities</w:t>
      </w:r>
      <w:r w:rsidR="004D4A51" w:rsidRPr="00CE2185">
        <w:rPr>
          <w:noProof/>
        </w:rPr>
        <w:t xml:space="preserve"> for</w:t>
      </w:r>
      <w:r w:rsidR="00274F23" w:rsidRPr="00CE2185">
        <w:rPr>
          <w:noProof/>
        </w:rPr>
        <w:t xml:space="preserve"> developing</w:t>
      </w:r>
      <w:r w:rsidR="004D4A51" w:rsidRPr="00CE2185">
        <w:rPr>
          <w:noProof/>
        </w:rPr>
        <w:t xml:space="preserve"> standards and technical specifications to support implementation of </w:t>
      </w:r>
      <w:r w:rsidR="00274F23" w:rsidRPr="00CE2185">
        <w:rPr>
          <w:noProof/>
        </w:rPr>
        <w:t xml:space="preserve">CRA or ECCF are insufficient and the existing processes lack agility and </w:t>
      </w:r>
      <w:r w:rsidR="00A652FA" w:rsidRPr="00CE2185">
        <w:rPr>
          <w:noProof/>
        </w:rPr>
        <w:t>adaptability to the pace and extent of market needs.</w:t>
      </w:r>
    </w:p>
    <w:p w14:paraId="51E8391B" w14:textId="7E7EC065" w:rsidR="002E25B6" w:rsidRPr="00CE2185" w:rsidRDefault="00162938" w:rsidP="00671B6B">
      <w:pPr>
        <w:spacing w:after="120"/>
        <w:rPr>
          <w:noProof/>
          <w:lang w:eastAsia="en-GB"/>
        </w:rPr>
      </w:pPr>
      <w:r w:rsidRPr="00CE2185">
        <w:rPr>
          <w:i/>
          <w:iCs/>
          <w:noProof/>
          <w:u w:val="single"/>
          <w:lang w:eastAsia="en-GB"/>
        </w:rPr>
        <w:t>Second</w:t>
      </w:r>
      <w:r w:rsidR="000B6699" w:rsidRPr="00CE2185">
        <w:rPr>
          <w:noProof/>
          <w:lang w:eastAsia="en-GB"/>
        </w:rPr>
        <w:t xml:space="preserve">, </w:t>
      </w:r>
      <w:r w:rsidR="00B02B23" w:rsidRPr="00CE2185">
        <w:rPr>
          <w:noProof/>
          <w:lang w:eastAsia="en-GB"/>
        </w:rPr>
        <w:t>the</w:t>
      </w:r>
      <w:r w:rsidR="000B5836" w:rsidRPr="00CE2185">
        <w:rPr>
          <w:noProof/>
          <w:lang w:eastAsia="en-IE"/>
        </w:rPr>
        <w:t xml:space="preserve"> </w:t>
      </w:r>
      <w:r w:rsidR="00C62811" w:rsidRPr="00CE2185">
        <w:rPr>
          <w:noProof/>
          <w:lang w:eastAsia="en-IE"/>
        </w:rPr>
        <w:t>de</w:t>
      </w:r>
      <w:r w:rsidR="004E3091" w:rsidRPr="00CE2185">
        <w:rPr>
          <w:noProof/>
          <w:lang w:eastAsia="en-IE"/>
        </w:rPr>
        <w:t>-</w:t>
      </w:r>
      <w:r w:rsidR="00C62811" w:rsidRPr="00CE2185">
        <w:rPr>
          <w:noProof/>
          <w:lang w:eastAsia="en-IE"/>
        </w:rPr>
        <w:t>prioritisation</w:t>
      </w:r>
      <w:r w:rsidR="000B5836" w:rsidRPr="00CE2185">
        <w:rPr>
          <w:noProof/>
          <w:lang w:eastAsia="en-IE"/>
        </w:rPr>
        <w:t xml:space="preserve"> of the Agency towards cybersecurity </w:t>
      </w:r>
      <w:r w:rsidR="00B67A67" w:rsidRPr="00CE2185">
        <w:rPr>
          <w:noProof/>
          <w:lang w:eastAsia="en-IE"/>
        </w:rPr>
        <w:t>skills-related activities</w:t>
      </w:r>
      <w:r w:rsidR="008E3F7C" w:rsidRPr="00CE2185">
        <w:rPr>
          <w:rStyle w:val="FootnoteReference"/>
          <w:b/>
          <w:bCs/>
          <w:noProof/>
          <w:lang w:eastAsia="en-GB"/>
        </w:rPr>
        <w:footnoteReference w:id="32"/>
      </w:r>
      <w:r w:rsidR="000B5836" w:rsidRPr="00CE2185">
        <w:rPr>
          <w:noProof/>
          <w:lang w:eastAsia="en-IE"/>
        </w:rPr>
        <w:t xml:space="preserve"> </w:t>
      </w:r>
      <w:r w:rsidR="000B5836" w:rsidRPr="00CE2185" w:rsidDel="007B5724">
        <w:rPr>
          <w:noProof/>
          <w:lang w:eastAsia="en-IE"/>
        </w:rPr>
        <w:t>marks a discrepancy</w:t>
      </w:r>
      <w:r w:rsidR="000B5836" w:rsidRPr="00CE2185" w:rsidDel="007B5724">
        <w:rPr>
          <w:b/>
          <w:bCs/>
          <w:noProof/>
          <w:lang w:eastAsia="en-IE"/>
        </w:rPr>
        <w:t xml:space="preserve"> with stakeholders’ expectation</w:t>
      </w:r>
      <w:r w:rsidR="00A2605B" w:rsidRPr="00CE2185">
        <w:rPr>
          <w:b/>
          <w:bCs/>
          <w:noProof/>
          <w:lang w:eastAsia="en-IE"/>
        </w:rPr>
        <w:t xml:space="preserve"> to see ENISA leading</w:t>
      </w:r>
      <w:r w:rsidR="000B5836" w:rsidRPr="00CE2185" w:rsidDel="007B5724">
        <w:rPr>
          <w:b/>
          <w:bCs/>
          <w:noProof/>
          <w:lang w:eastAsia="en-IE"/>
        </w:rPr>
        <w:t xml:space="preserve"> skills</w:t>
      </w:r>
      <w:r w:rsidR="00A2605B" w:rsidRPr="00CE2185">
        <w:rPr>
          <w:b/>
          <w:bCs/>
          <w:noProof/>
          <w:lang w:eastAsia="en-IE"/>
        </w:rPr>
        <w:t>-related activities</w:t>
      </w:r>
      <w:r w:rsidR="00170338" w:rsidRPr="00CE2185">
        <w:rPr>
          <w:b/>
          <w:bCs/>
          <w:noProof/>
          <w:lang w:eastAsia="en-IE"/>
        </w:rPr>
        <w:t xml:space="preserve">, </w:t>
      </w:r>
      <w:r w:rsidR="00170338" w:rsidRPr="00CE2185">
        <w:rPr>
          <w:noProof/>
          <w:lang w:eastAsia="en-IE"/>
        </w:rPr>
        <w:t>such as</w:t>
      </w:r>
      <w:r w:rsidR="000B5836" w:rsidRPr="00CE2185">
        <w:rPr>
          <w:noProof/>
          <w:lang w:eastAsia="en-IE"/>
        </w:rPr>
        <w:t xml:space="preserve"> the development of an attestation scheme for cybersecurity skills</w:t>
      </w:r>
      <w:r w:rsidR="00170338" w:rsidRPr="00CE2185">
        <w:rPr>
          <w:b/>
          <w:bCs/>
          <w:noProof/>
          <w:lang w:eastAsia="en-IE"/>
        </w:rPr>
        <w:t xml:space="preserve"> </w:t>
      </w:r>
      <w:r w:rsidR="00170338" w:rsidRPr="00CE2185">
        <w:rPr>
          <w:noProof/>
          <w:lang w:eastAsia="en-IE"/>
        </w:rPr>
        <w:t>supported by</w:t>
      </w:r>
      <w:r w:rsidR="00FC12DD" w:rsidRPr="00CE2185">
        <w:rPr>
          <w:noProof/>
          <w:lang w:eastAsia="en-IE"/>
        </w:rPr>
        <w:t xml:space="preserve"> </w:t>
      </w:r>
      <w:r w:rsidR="000B5836" w:rsidRPr="00CE2185">
        <w:rPr>
          <w:noProof/>
          <w:lang w:eastAsia="en-IE"/>
        </w:rPr>
        <w:t xml:space="preserve">69.43% of respondents to the public </w:t>
      </w:r>
      <w:r w:rsidR="00170338" w:rsidRPr="00CE2185">
        <w:rPr>
          <w:noProof/>
          <w:lang w:eastAsia="en-IE"/>
        </w:rPr>
        <w:t xml:space="preserve">consultation </w:t>
      </w:r>
      <w:r w:rsidR="00170338" w:rsidRPr="00CE2185">
        <w:rPr>
          <w:i/>
          <w:iCs/>
          <w:noProof/>
          <w:lang w:eastAsia="en-IE"/>
        </w:rPr>
        <w:t>(</w:t>
      </w:r>
      <w:r w:rsidR="00993E47" w:rsidRPr="00CE2185">
        <w:rPr>
          <w:i/>
          <w:iCs/>
          <w:noProof/>
          <w:lang w:eastAsia="en-IE"/>
        </w:rPr>
        <w:t xml:space="preserve">see </w:t>
      </w:r>
      <w:r w:rsidR="00170338" w:rsidRPr="00CE2185">
        <w:rPr>
          <w:i/>
          <w:iCs/>
          <w:noProof/>
          <w:lang w:eastAsia="en-IE"/>
        </w:rPr>
        <w:t xml:space="preserve">Annex </w:t>
      </w:r>
      <w:r w:rsidR="00993E47" w:rsidRPr="00CE2185">
        <w:rPr>
          <w:i/>
          <w:iCs/>
          <w:noProof/>
          <w:lang w:eastAsia="en-IE"/>
        </w:rPr>
        <w:t>2</w:t>
      </w:r>
      <w:r w:rsidR="00B02B23" w:rsidRPr="00CE2185">
        <w:rPr>
          <w:i/>
          <w:iCs/>
          <w:noProof/>
          <w:lang w:eastAsia="en-IE"/>
        </w:rPr>
        <w:t>)</w:t>
      </w:r>
      <w:r w:rsidR="00931968" w:rsidRPr="00CE2185">
        <w:rPr>
          <w:noProof/>
          <w:lang w:eastAsia="en-IE"/>
        </w:rPr>
        <w:t xml:space="preserve">. This </w:t>
      </w:r>
      <w:r w:rsidR="00137793" w:rsidRPr="00CE2185">
        <w:rPr>
          <w:noProof/>
          <w:lang w:eastAsia="en-IE"/>
        </w:rPr>
        <w:t>disengagement is further in contradiction with</w:t>
      </w:r>
      <w:r w:rsidR="00931968" w:rsidRPr="00CE2185">
        <w:rPr>
          <w:noProof/>
          <w:lang w:eastAsia="en-IE"/>
        </w:rPr>
        <w:t xml:space="preserve"> </w:t>
      </w:r>
      <w:r w:rsidR="008225E0" w:rsidRPr="00CE2185">
        <w:rPr>
          <w:noProof/>
          <w:lang w:eastAsia="en-IE"/>
        </w:rPr>
        <w:t xml:space="preserve">the </w:t>
      </w:r>
      <w:r w:rsidR="00137793" w:rsidRPr="00CE2185">
        <w:rPr>
          <w:noProof/>
          <w:lang w:eastAsia="en-IE"/>
        </w:rPr>
        <w:t>ever-growing</w:t>
      </w:r>
      <w:r w:rsidR="008225E0" w:rsidRPr="00CE2185">
        <w:rPr>
          <w:b/>
          <w:bCs/>
          <w:noProof/>
          <w:lang w:eastAsia="en-GB"/>
        </w:rPr>
        <w:t xml:space="preserve"> </w:t>
      </w:r>
      <w:r w:rsidR="008225E0" w:rsidRPr="00CE2185">
        <w:rPr>
          <w:b/>
          <w:bCs/>
          <w:noProof/>
        </w:rPr>
        <w:t>gap in the cybersecurity workforce</w:t>
      </w:r>
      <w:r w:rsidR="00137793" w:rsidRPr="00CE2185">
        <w:rPr>
          <w:b/>
          <w:bCs/>
          <w:noProof/>
        </w:rPr>
        <w:t>, which</w:t>
      </w:r>
      <w:r w:rsidR="00C62811" w:rsidRPr="00CE2185">
        <w:rPr>
          <w:b/>
          <w:bCs/>
          <w:noProof/>
        </w:rPr>
        <w:t xml:space="preserve"> continued to </w:t>
      </w:r>
      <w:r w:rsidR="008225E0" w:rsidRPr="00CE2185">
        <w:rPr>
          <w:b/>
          <w:bCs/>
          <w:noProof/>
        </w:rPr>
        <w:t>increase</w:t>
      </w:r>
      <w:r w:rsidR="008225E0" w:rsidRPr="00CE2185">
        <w:rPr>
          <w:noProof/>
        </w:rPr>
        <w:t xml:space="preserve"> from an estimated 274,000 missing professionals in 2023 to 299,000 in 2024</w:t>
      </w:r>
      <w:r w:rsidR="008225E0" w:rsidRPr="00CE2185">
        <w:rPr>
          <w:rStyle w:val="FootnoteReference"/>
          <w:noProof/>
        </w:rPr>
        <w:footnoteReference w:id="33"/>
      </w:r>
      <w:r w:rsidR="008225E0" w:rsidRPr="00CE2185">
        <w:rPr>
          <w:noProof/>
        </w:rPr>
        <w:t xml:space="preserve"> (</w:t>
      </w:r>
      <w:r w:rsidR="00C62811" w:rsidRPr="00CE2185">
        <w:rPr>
          <w:noProof/>
        </w:rPr>
        <w:t>+</w:t>
      </w:r>
      <w:r w:rsidR="008225E0" w:rsidRPr="00CE2185">
        <w:rPr>
          <w:noProof/>
        </w:rPr>
        <w:t>9%</w:t>
      </w:r>
      <w:r w:rsidR="00C62811" w:rsidRPr="00CE2185">
        <w:rPr>
          <w:noProof/>
        </w:rPr>
        <w:t>)</w:t>
      </w:r>
      <w:r w:rsidR="0082300F" w:rsidRPr="00CE2185">
        <w:rPr>
          <w:noProof/>
        </w:rPr>
        <w:t>, leaving</w:t>
      </w:r>
      <w:r w:rsidR="00C62811" w:rsidRPr="00CE2185">
        <w:rPr>
          <w:noProof/>
        </w:rPr>
        <w:t xml:space="preserve"> </w:t>
      </w:r>
      <w:r w:rsidR="0082300F" w:rsidRPr="00CE2185">
        <w:rPr>
          <w:noProof/>
        </w:rPr>
        <w:t>public administrations and companies,</w:t>
      </w:r>
      <w:r w:rsidR="0082300F" w:rsidRPr="00CE2185">
        <w:rPr>
          <w:noProof/>
          <w:lang w:eastAsia="en-GB"/>
        </w:rPr>
        <w:t xml:space="preserve"> in particular </w:t>
      </w:r>
      <w:r w:rsidR="0082300F" w:rsidRPr="00CE2185">
        <w:rPr>
          <w:b/>
          <w:bCs/>
          <w:noProof/>
          <w:lang w:eastAsia="en-GB"/>
        </w:rPr>
        <w:t>SMEs vulnerable</w:t>
      </w:r>
      <w:r w:rsidR="0082300F" w:rsidRPr="00CE2185">
        <w:rPr>
          <w:noProof/>
          <w:lang w:eastAsia="en-GB"/>
        </w:rPr>
        <w:t xml:space="preserve"> due to lack of in-house cybersecurity expertise</w:t>
      </w:r>
      <w:r w:rsidR="0082300F" w:rsidRPr="00CE2185">
        <w:rPr>
          <w:rStyle w:val="FootnoteReference"/>
          <w:noProof/>
          <w:lang w:eastAsia="en-GB"/>
        </w:rPr>
        <w:footnoteReference w:id="34"/>
      </w:r>
      <w:r w:rsidR="0082300F" w:rsidRPr="00CE2185">
        <w:rPr>
          <w:noProof/>
          <w:lang w:eastAsia="en-GB"/>
        </w:rPr>
        <w:t>.</w:t>
      </w:r>
      <w:r w:rsidR="0082300F" w:rsidRPr="00CE2185">
        <w:rPr>
          <w:noProof/>
        </w:rPr>
        <w:t xml:space="preserve"> </w:t>
      </w:r>
    </w:p>
    <w:p w14:paraId="71DE572B" w14:textId="78F5F32C" w:rsidR="007F31AA" w:rsidRPr="00CE2185" w:rsidRDefault="003D2703" w:rsidP="008B5BE9">
      <w:pPr>
        <w:spacing w:after="120"/>
        <w:rPr>
          <w:noProof/>
          <w:lang w:val="en-IE"/>
        </w:rPr>
      </w:pPr>
      <w:r w:rsidRPr="00CE2185">
        <w:rPr>
          <w:noProof/>
          <w:lang w:eastAsia="en-GB"/>
        </w:rPr>
        <w:t>Th</w:t>
      </w:r>
      <w:r w:rsidR="00162938" w:rsidRPr="00CE2185">
        <w:rPr>
          <w:noProof/>
        </w:rPr>
        <w:t>e cybersecurity training offer is well developed by market actors such as higher education institutions, vocational education and training providers and companies</w:t>
      </w:r>
      <w:r w:rsidR="00162938" w:rsidRPr="00CE2185">
        <w:rPr>
          <w:rStyle w:val="FootnoteReference"/>
          <w:noProof/>
        </w:rPr>
        <w:footnoteReference w:id="35"/>
      </w:r>
      <w:r w:rsidR="00162938" w:rsidRPr="00CE2185">
        <w:rPr>
          <w:noProof/>
        </w:rPr>
        <w:t xml:space="preserve">, and </w:t>
      </w:r>
      <w:r w:rsidR="00F21059" w:rsidRPr="00CE2185">
        <w:rPr>
          <w:noProof/>
        </w:rPr>
        <w:t>regulators and other</w:t>
      </w:r>
      <w:r w:rsidR="00162938" w:rsidRPr="00CE2185">
        <w:rPr>
          <w:noProof/>
        </w:rPr>
        <w:t xml:space="preserve"> non-market actors</w:t>
      </w:r>
      <w:r w:rsidR="00F21059" w:rsidRPr="00CE2185">
        <w:rPr>
          <w:noProof/>
        </w:rPr>
        <w:t xml:space="preserve"> </w:t>
      </w:r>
      <w:r w:rsidR="00162938" w:rsidRPr="00CE2185">
        <w:rPr>
          <w:noProof/>
        </w:rPr>
        <w:t>are adopting strategies and recommendations to address the skills and talent shortages</w:t>
      </w:r>
      <w:r w:rsidR="00162938" w:rsidRPr="00CE2185">
        <w:rPr>
          <w:rStyle w:val="FootnoteReference"/>
          <w:noProof/>
        </w:rPr>
        <w:footnoteReference w:id="36"/>
      </w:r>
      <w:r w:rsidRPr="00CE2185">
        <w:rPr>
          <w:noProof/>
        </w:rPr>
        <w:t>. However</w:t>
      </w:r>
      <w:r w:rsidR="00162938" w:rsidRPr="00CE2185">
        <w:rPr>
          <w:noProof/>
        </w:rPr>
        <w:t xml:space="preserve">, the </w:t>
      </w:r>
      <w:r w:rsidR="002E25B6" w:rsidRPr="00CE2185">
        <w:rPr>
          <w:noProof/>
        </w:rPr>
        <w:t>absorption of cybersecurity-specific roles into existing non-cybersecurity related roles</w:t>
      </w:r>
      <w:r w:rsidR="002E25B6" w:rsidRPr="00CE2185">
        <w:rPr>
          <w:rStyle w:val="FootnoteReference"/>
          <w:noProof/>
        </w:rPr>
        <w:footnoteReference w:id="37"/>
      </w:r>
      <w:r w:rsidR="002E25B6" w:rsidRPr="00CE2185">
        <w:rPr>
          <w:noProof/>
        </w:rPr>
        <w:t xml:space="preserve"> shows the need</w:t>
      </w:r>
      <w:r w:rsidR="004471A1" w:rsidRPr="00CE2185">
        <w:rPr>
          <w:noProof/>
        </w:rPr>
        <w:t xml:space="preserve"> </w:t>
      </w:r>
      <w:r w:rsidR="0097120C" w:rsidRPr="00CE2185">
        <w:rPr>
          <w:noProof/>
        </w:rPr>
        <w:t xml:space="preserve">for </w:t>
      </w:r>
      <w:r w:rsidR="002E25B6" w:rsidRPr="00CE2185">
        <w:rPr>
          <w:noProof/>
        </w:rPr>
        <w:t xml:space="preserve">lifelong learning and </w:t>
      </w:r>
      <w:r w:rsidR="0097120C" w:rsidRPr="00CE2185">
        <w:rPr>
          <w:noProof/>
        </w:rPr>
        <w:t>established ways</w:t>
      </w:r>
      <w:r w:rsidR="002E25B6" w:rsidRPr="00CE2185">
        <w:rPr>
          <w:noProof/>
        </w:rPr>
        <w:t xml:space="preserve"> to prove </w:t>
      </w:r>
      <w:r w:rsidR="00117BBE" w:rsidRPr="00CE2185">
        <w:rPr>
          <w:noProof/>
        </w:rPr>
        <w:t>competences</w:t>
      </w:r>
      <w:r w:rsidR="002E25B6" w:rsidRPr="00CE2185">
        <w:rPr>
          <w:noProof/>
        </w:rPr>
        <w:t xml:space="preserve"> to ensure career evolution</w:t>
      </w:r>
      <w:r w:rsidR="002E25B6" w:rsidRPr="00CE2185">
        <w:rPr>
          <w:rStyle w:val="FootnoteReference"/>
          <w:noProof/>
        </w:rPr>
        <w:footnoteReference w:id="38"/>
      </w:r>
      <w:r w:rsidR="002E25B6" w:rsidRPr="00CE2185">
        <w:rPr>
          <w:noProof/>
        </w:rPr>
        <w:t xml:space="preserve">. </w:t>
      </w:r>
      <w:r w:rsidR="00EF481B" w:rsidRPr="00CE2185">
        <w:rPr>
          <w:noProof/>
        </w:rPr>
        <w:t xml:space="preserve">In this regard, the </w:t>
      </w:r>
      <w:r w:rsidR="00EF481B" w:rsidRPr="00CE2185">
        <w:rPr>
          <w:b/>
          <w:bCs/>
          <w:noProof/>
        </w:rPr>
        <w:t xml:space="preserve">cybersecurity </w:t>
      </w:r>
      <w:r w:rsidR="0034285D" w:rsidRPr="00CE2185">
        <w:rPr>
          <w:b/>
          <w:bCs/>
          <w:noProof/>
        </w:rPr>
        <w:t xml:space="preserve">labour market </w:t>
      </w:r>
      <w:r w:rsidR="00F04175" w:rsidRPr="00CE2185">
        <w:rPr>
          <w:b/>
          <w:bCs/>
          <w:noProof/>
        </w:rPr>
        <w:t>increasingly</w:t>
      </w:r>
      <w:r w:rsidR="0034285D" w:rsidRPr="00CE2185">
        <w:rPr>
          <w:b/>
          <w:bCs/>
          <w:noProof/>
        </w:rPr>
        <w:t xml:space="preserve"> relies on individual</w:t>
      </w:r>
      <w:r w:rsidR="001C123E" w:rsidRPr="00CE2185">
        <w:rPr>
          <w:b/>
          <w:bCs/>
          <w:noProof/>
        </w:rPr>
        <w:t xml:space="preserve"> cybersecurity</w:t>
      </w:r>
      <w:r w:rsidR="0034285D" w:rsidRPr="00CE2185">
        <w:rPr>
          <w:b/>
          <w:bCs/>
          <w:noProof/>
        </w:rPr>
        <w:t xml:space="preserve"> certifications</w:t>
      </w:r>
      <w:r w:rsidR="00F04175" w:rsidRPr="00CE2185">
        <w:rPr>
          <w:noProof/>
        </w:rPr>
        <w:t xml:space="preserve">: non-formal </w:t>
      </w:r>
      <w:r w:rsidR="001D6AEA" w:rsidRPr="00CE2185">
        <w:rPr>
          <w:noProof/>
        </w:rPr>
        <w:t xml:space="preserve">cybersecurity </w:t>
      </w:r>
      <w:r w:rsidR="00F04175" w:rsidRPr="00CE2185">
        <w:rPr>
          <w:noProof/>
        </w:rPr>
        <w:t>education</w:t>
      </w:r>
      <w:r w:rsidR="00A03F02" w:rsidRPr="00CE2185">
        <w:rPr>
          <w:noProof/>
        </w:rPr>
        <w:t xml:space="preserve"> through certification</w:t>
      </w:r>
      <w:r w:rsidR="00A336FE" w:rsidRPr="00CE2185">
        <w:rPr>
          <w:noProof/>
          <w:lang w:val="en-IE"/>
        </w:rPr>
        <w:t xml:space="preserve"> </w:t>
      </w:r>
      <w:r w:rsidR="28A8E19E" w:rsidRPr="00CE2185">
        <w:rPr>
          <w:noProof/>
          <w:lang w:val="en-IE"/>
        </w:rPr>
        <w:t>allows</w:t>
      </w:r>
      <w:r w:rsidR="00A336FE" w:rsidRPr="00CE2185">
        <w:rPr>
          <w:noProof/>
          <w:lang w:val="en-IE"/>
        </w:rPr>
        <w:t xml:space="preserve"> for recognition of skills associated to cybersecurity professionals</w:t>
      </w:r>
      <w:r w:rsidR="00A336FE" w:rsidRPr="00CE2185">
        <w:rPr>
          <w:rStyle w:val="FootnoteReference"/>
          <w:noProof/>
          <w:lang w:val="en-IE"/>
        </w:rPr>
        <w:footnoteReference w:id="39"/>
      </w:r>
      <w:r w:rsidR="00A336FE" w:rsidRPr="00CE2185">
        <w:rPr>
          <w:noProof/>
        </w:rPr>
        <w:t xml:space="preserve">, which </w:t>
      </w:r>
      <w:r w:rsidR="00F04175" w:rsidRPr="00CE2185">
        <w:rPr>
          <w:noProof/>
        </w:rPr>
        <w:t xml:space="preserve">is outpacing formal </w:t>
      </w:r>
      <w:r w:rsidR="001D6AEA" w:rsidRPr="00CE2185">
        <w:rPr>
          <w:noProof/>
        </w:rPr>
        <w:t>education in cybersecurity</w:t>
      </w:r>
      <w:r w:rsidR="001D6AEA" w:rsidRPr="00CE2185">
        <w:rPr>
          <w:rStyle w:val="FootnoteReference"/>
          <w:noProof/>
        </w:rPr>
        <w:footnoteReference w:id="40"/>
      </w:r>
      <w:r w:rsidR="003F3733" w:rsidRPr="00CE2185">
        <w:rPr>
          <w:noProof/>
          <w:lang w:val="en-IE"/>
        </w:rPr>
        <w:t xml:space="preserve">. </w:t>
      </w:r>
    </w:p>
    <w:p w14:paraId="33D0BABD" w14:textId="1833B231" w:rsidR="00B74E98" w:rsidRPr="00CE2185" w:rsidRDefault="00654303" w:rsidP="00671B6B">
      <w:pPr>
        <w:spacing w:after="120"/>
        <w:rPr>
          <w:noProof/>
          <w:lang w:val="en-IE"/>
        </w:rPr>
      </w:pPr>
      <w:r w:rsidRPr="00CE2185">
        <w:rPr>
          <w:noProof/>
        </w:rPr>
        <w:t>However</w:t>
      </w:r>
      <w:r w:rsidR="002E25B6" w:rsidRPr="00CE2185">
        <w:rPr>
          <w:noProof/>
        </w:rPr>
        <w:t xml:space="preserve">, </w:t>
      </w:r>
      <w:r w:rsidR="002E25B6" w:rsidRPr="00CE2185">
        <w:rPr>
          <w:noProof/>
          <w:lang w:val="en-IE"/>
        </w:rPr>
        <w:t xml:space="preserve">European individual certifications market suffers from </w:t>
      </w:r>
      <w:r w:rsidR="002E25B6" w:rsidRPr="00CE2185">
        <w:rPr>
          <w:b/>
          <w:bCs/>
          <w:noProof/>
          <w:lang w:val="en-IE"/>
        </w:rPr>
        <w:t>market failures</w:t>
      </w:r>
      <w:r w:rsidR="002E25B6" w:rsidRPr="00CE2185">
        <w:rPr>
          <w:noProof/>
          <w:lang w:val="en-IE"/>
        </w:rPr>
        <w:t xml:space="preserve">. In particular, </w:t>
      </w:r>
      <w:r w:rsidR="002E25B6" w:rsidRPr="00CE2185">
        <w:rPr>
          <w:noProof/>
          <w:lang w:eastAsia="en-GB"/>
        </w:rPr>
        <w:t>reputation</w:t>
      </w:r>
      <w:r w:rsidR="002E25B6" w:rsidRPr="00CE2185">
        <w:rPr>
          <w:noProof/>
          <w:lang w:val="en-IE"/>
        </w:rPr>
        <w:t xml:space="preserve">-based individual certifications are leading to </w:t>
      </w:r>
      <w:r w:rsidR="002E25B6" w:rsidRPr="00CE2185">
        <w:rPr>
          <w:b/>
          <w:bCs/>
          <w:noProof/>
          <w:lang w:val="en-IE"/>
        </w:rPr>
        <w:t>market control</w:t>
      </w:r>
      <w:r w:rsidR="002E25B6" w:rsidRPr="00CE2185">
        <w:rPr>
          <w:noProof/>
          <w:lang w:val="en-IE"/>
        </w:rPr>
        <w:t xml:space="preserve">, where job advertisements for cybersecurity positions </w:t>
      </w:r>
      <w:r w:rsidR="00616FC3" w:rsidRPr="00CE2185">
        <w:rPr>
          <w:noProof/>
          <w:lang w:val="en-IE"/>
        </w:rPr>
        <w:t xml:space="preserve">display </w:t>
      </w:r>
      <w:r w:rsidR="002E25B6" w:rsidRPr="00CE2185">
        <w:rPr>
          <w:noProof/>
          <w:lang w:val="en-IE"/>
        </w:rPr>
        <w:t xml:space="preserve">an </w:t>
      </w:r>
      <w:r w:rsidR="002E25B6" w:rsidRPr="00CE2185">
        <w:rPr>
          <w:b/>
          <w:bCs/>
          <w:noProof/>
          <w:lang w:val="en-IE"/>
        </w:rPr>
        <w:t>oligopoly</w:t>
      </w:r>
      <w:r w:rsidR="002E25B6" w:rsidRPr="00CE2185">
        <w:rPr>
          <w:noProof/>
          <w:lang w:val="en-IE"/>
        </w:rPr>
        <w:t xml:space="preserve"> of private actors. Th</w:t>
      </w:r>
      <w:r w:rsidR="001B240D" w:rsidRPr="00CE2185">
        <w:rPr>
          <w:noProof/>
          <w:lang w:val="en-IE"/>
        </w:rPr>
        <w:t>is</w:t>
      </w:r>
      <w:r w:rsidR="002E25B6" w:rsidRPr="00CE2185">
        <w:rPr>
          <w:noProof/>
          <w:lang w:val="en-IE"/>
        </w:rPr>
        <w:t xml:space="preserve"> market also suffers from </w:t>
      </w:r>
      <w:r w:rsidR="002E25B6" w:rsidRPr="00CE2185">
        <w:rPr>
          <w:b/>
          <w:bCs/>
          <w:noProof/>
          <w:lang w:val="en-IE"/>
        </w:rPr>
        <w:t>negative externalities</w:t>
      </w:r>
      <w:r w:rsidR="002E25B6" w:rsidRPr="00CE2185">
        <w:rPr>
          <w:noProof/>
          <w:lang w:val="en-IE"/>
        </w:rPr>
        <w:t xml:space="preserve">: whereas the labour market can, to </w:t>
      </w:r>
      <w:r w:rsidR="008231BC" w:rsidRPr="00CE2185">
        <w:rPr>
          <w:noProof/>
          <w:lang w:val="en-IE"/>
        </w:rPr>
        <w:t>the extent that they ease hiring processes and career evolutions</w:t>
      </w:r>
      <w:r w:rsidR="002E25B6" w:rsidRPr="00CE2185">
        <w:rPr>
          <w:noProof/>
          <w:lang w:val="en-IE"/>
        </w:rPr>
        <w:t xml:space="preserve">, benefit from market-recognised individual certifications, </w:t>
      </w:r>
      <w:r w:rsidR="00F81472" w:rsidRPr="00CE2185">
        <w:rPr>
          <w:noProof/>
          <w:lang w:val="en-IE"/>
        </w:rPr>
        <w:t>they impede the grow</w:t>
      </w:r>
      <w:r w:rsidR="00F64334" w:rsidRPr="00CE2185">
        <w:rPr>
          <w:noProof/>
          <w:lang w:val="en-IE"/>
        </w:rPr>
        <w:t>th</w:t>
      </w:r>
      <w:r w:rsidR="0078328D" w:rsidRPr="00CE2185">
        <w:rPr>
          <w:noProof/>
          <w:lang w:val="en-IE"/>
        </w:rPr>
        <w:t xml:space="preserve"> for</w:t>
      </w:r>
      <w:r w:rsidR="002E25B6" w:rsidRPr="00CE2185">
        <w:rPr>
          <w:noProof/>
          <w:lang w:val="en-IE"/>
        </w:rPr>
        <w:t xml:space="preserve"> other</w:t>
      </w:r>
      <w:r w:rsidR="0078328D" w:rsidRPr="00CE2185">
        <w:rPr>
          <w:noProof/>
          <w:lang w:val="en-IE"/>
        </w:rPr>
        <w:t>, less known</w:t>
      </w:r>
      <w:r w:rsidR="002E25B6" w:rsidRPr="00CE2185">
        <w:rPr>
          <w:noProof/>
          <w:lang w:val="en-IE"/>
        </w:rPr>
        <w:t xml:space="preserve"> certifications</w:t>
      </w:r>
      <w:r w:rsidR="00D5612B" w:rsidRPr="00CE2185">
        <w:rPr>
          <w:noProof/>
          <w:lang w:val="en-IE"/>
        </w:rPr>
        <w:t>, harming the emergence of new providers</w:t>
      </w:r>
      <w:r w:rsidR="002E25B6" w:rsidRPr="00CE2185">
        <w:rPr>
          <w:noProof/>
          <w:lang w:val="en-IE"/>
        </w:rPr>
        <w:t>.</w:t>
      </w:r>
      <w:r w:rsidR="00BF5ECC" w:rsidRPr="00CE2185">
        <w:rPr>
          <w:noProof/>
          <w:lang w:val="en-IE"/>
        </w:rPr>
        <w:t xml:space="preserve"> </w:t>
      </w:r>
    </w:p>
    <w:p w14:paraId="663381C5" w14:textId="7DDF43D5" w:rsidR="00B74E98" w:rsidRPr="00CE2185" w:rsidRDefault="00B74E98" w:rsidP="00B74E98">
      <w:pPr>
        <w:spacing w:after="120"/>
        <w:rPr>
          <w:noProof/>
          <w:lang w:val="en-IE"/>
        </w:rPr>
      </w:pPr>
      <w:r w:rsidRPr="00CE2185">
        <w:rPr>
          <w:noProof/>
          <w:lang w:val="en-IE"/>
        </w:rPr>
        <w:t xml:space="preserve">To address this, </w:t>
      </w:r>
      <w:r w:rsidRPr="00CE2185">
        <w:rPr>
          <w:noProof/>
          <w:lang w:eastAsia="en-GB"/>
        </w:rPr>
        <w:t>ENISA has been entrusted in the communication on the Cybersecurity Skills Academy with the development of a pilot project exploring the set-up of a European attestation scheme for cybersecurity skills</w:t>
      </w:r>
      <w:r w:rsidR="007C2522" w:rsidRPr="00CE2185">
        <w:rPr>
          <w:noProof/>
          <w:lang w:eastAsia="en-GB"/>
        </w:rPr>
        <w:t xml:space="preserve">. </w:t>
      </w:r>
      <w:r w:rsidRPr="00CE2185">
        <w:rPr>
          <w:noProof/>
          <w:lang w:eastAsia="en-GB"/>
        </w:rPr>
        <w:t xml:space="preserve">Despite having launched the pilots in 2024 and Member States support, materialised by </w:t>
      </w:r>
      <w:r w:rsidRPr="00CE2185">
        <w:rPr>
          <w:noProof/>
        </w:rPr>
        <w:t>ENISA’s Management Board’s call to further enhance the concept of attestation of skills</w:t>
      </w:r>
      <w:r w:rsidRPr="00CE2185">
        <w:rPr>
          <w:rStyle w:val="FootnoteReference"/>
          <w:noProof/>
        </w:rPr>
        <w:footnoteReference w:id="41"/>
      </w:r>
      <w:r w:rsidRPr="00CE2185">
        <w:rPr>
          <w:noProof/>
        </w:rPr>
        <w:t>, the Council call to build on the Cybersecurity Skills Academy</w:t>
      </w:r>
      <w:r w:rsidRPr="00CE2185">
        <w:rPr>
          <w:rStyle w:val="FootnoteReference"/>
          <w:noProof/>
        </w:rPr>
        <w:footnoteReference w:id="42"/>
      </w:r>
      <w:r w:rsidRPr="00CE2185">
        <w:rPr>
          <w:noProof/>
        </w:rPr>
        <w:t>, and eight Member States are taking part in the ENISA-run pilots</w:t>
      </w:r>
      <w:r w:rsidRPr="00CE2185">
        <w:rPr>
          <w:rStyle w:val="FootnoteReference"/>
          <w:noProof/>
        </w:rPr>
        <w:footnoteReference w:id="43"/>
      </w:r>
      <w:r w:rsidRPr="00CE2185">
        <w:rPr>
          <w:noProof/>
        </w:rPr>
        <w:t xml:space="preserve">, the project is moving forward at slow pace. </w:t>
      </w:r>
    </w:p>
    <w:p w14:paraId="536B3EE9" w14:textId="5A5AFADC" w:rsidR="004B2604" w:rsidRPr="00CE2185" w:rsidRDefault="001C17B2" w:rsidP="00671B6B">
      <w:pPr>
        <w:spacing w:after="120"/>
        <w:rPr>
          <w:noProof/>
          <w:lang w:eastAsia="en-GB"/>
        </w:rPr>
      </w:pPr>
      <w:r w:rsidRPr="00CE2185">
        <w:rPr>
          <w:i/>
          <w:iCs/>
          <w:noProof/>
          <w:u w:val="single"/>
          <w:lang w:eastAsia="en-GB"/>
        </w:rPr>
        <w:t>Third</w:t>
      </w:r>
      <w:r w:rsidR="00015223" w:rsidRPr="00CE2185">
        <w:rPr>
          <w:noProof/>
          <w:lang w:eastAsia="en-GB"/>
        </w:rPr>
        <w:t>,</w:t>
      </w:r>
      <w:r w:rsidR="00F42740" w:rsidRPr="00CE2185">
        <w:rPr>
          <w:noProof/>
          <w:lang w:eastAsia="en-GB"/>
        </w:rPr>
        <w:t xml:space="preserve"> ENISA operates alongside a range of </w:t>
      </w:r>
      <w:r w:rsidR="00F42740" w:rsidRPr="00CE2185">
        <w:rPr>
          <w:b/>
          <w:bCs/>
          <w:noProof/>
          <w:lang w:eastAsia="en-GB"/>
        </w:rPr>
        <w:t xml:space="preserve">complementary cybersecurity EU-level actors, </w:t>
      </w:r>
      <w:r w:rsidR="00F42740" w:rsidRPr="00CE2185">
        <w:rPr>
          <w:noProof/>
          <w:lang w:eastAsia="en-GB"/>
        </w:rPr>
        <w:t>including CERT-EU</w:t>
      </w:r>
      <w:r w:rsidR="0E32F041" w:rsidRPr="00CE2185">
        <w:rPr>
          <w:noProof/>
          <w:lang w:eastAsia="en-GB"/>
        </w:rPr>
        <w:t>, Europol (for cybercrime)</w:t>
      </w:r>
      <w:r w:rsidR="00F42740" w:rsidRPr="00CE2185">
        <w:rPr>
          <w:noProof/>
          <w:lang w:eastAsia="en-GB"/>
        </w:rPr>
        <w:t xml:space="preserve"> and the European Cybersecurity Competence Centre (ECCC). While their mandates are clearly delineated, synergies to avoid fragmentation and enhance collective resilience, especially in operational response, strategic coordination and innovation programming, have not sufficiently materialised.</w:t>
      </w:r>
      <w:r w:rsidR="00A95C85" w:rsidRPr="00CE2185">
        <w:rPr>
          <w:noProof/>
          <w:lang w:eastAsia="en-GB"/>
        </w:rPr>
        <w:t xml:space="preserve"> This problem has the potential of impacting the EU’s security at a time where EU agencies and bodies in justice, home affairs, and cybersecurity play a key role,</w:t>
      </w:r>
      <w:r w:rsidR="00015223" w:rsidRPr="00CE2185">
        <w:rPr>
          <w:noProof/>
          <w:lang w:eastAsia="en-GB"/>
        </w:rPr>
        <w:t xml:space="preserve"> in line with the ProtectEU Strategy</w:t>
      </w:r>
      <w:r w:rsidR="00015223" w:rsidRPr="00CE2185">
        <w:rPr>
          <w:noProof/>
          <w:vertAlign w:val="superscript"/>
          <w:lang w:eastAsia="en-GB"/>
        </w:rPr>
        <w:footnoteReference w:id="44"/>
      </w:r>
      <w:r w:rsidR="00602A13" w:rsidRPr="00CE2185">
        <w:rPr>
          <w:noProof/>
          <w:lang w:eastAsia="en-GB"/>
        </w:rPr>
        <w:t>.</w:t>
      </w:r>
      <w:r w:rsidR="3792DF59" w:rsidRPr="00CE2185">
        <w:rPr>
          <w:noProof/>
          <w:lang w:eastAsia="en-GB"/>
        </w:rPr>
        <w:t xml:space="preserve"> </w:t>
      </w:r>
      <w:r w:rsidR="00027169" w:rsidRPr="00CE2185">
        <w:rPr>
          <w:noProof/>
        </w:rPr>
        <w:t xml:space="preserve">Additionally, </w:t>
      </w:r>
      <w:r w:rsidR="00027169" w:rsidRPr="00CE2185">
        <w:rPr>
          <w:b/>
          <w:bCs/>
          <w:noProof/>
        </w:rPr>
        <w:t>s</w:t>
      </w:r>
      <w:r w:rsidR="00AE442F" w:rsidRPr="00CE2185">
        <w:rPr>
          <w:b/>
          <w:bCs/>
          <w:noProof/>
        </w:rPr>
        <w:t xml:space="preserve">tructured cooperation between ENISA and the </w:t>
      </w:r>
      <w:r w:rsidR="00027169" w:rsidRPr="00CE2185">
        <w:rPr>
          <w:b/>
          <w:bCs/>
          <w:noProof/>
        </w:rPr>
        <w:t>ECCC</w:t>
      </w:r>
      <w:r w:rsidR="00027169" w:rsidRPr="00CE2185">
        <w:rPr>
          <w:noProof/>
        </w:rPr>
        <w:t xml:space="preserve"> is not delineated </w:t>
      </w:r>
      <w:r w:rsidR="004F2474" w:rsidRPr="00CE2185">
        <w:rPr>
          <w:noProof/>
        </w:rPr>
        <w:t>in a way as</w:t>
      </w:r>
      <w:r w:rsidR="00AE442F" w:rsidRPr="00CE2185">
        <w:rPr>
          <w:noProof/>
        </w:rPr>
        <w:t xml:space="preserve"> to ensure synergies between their activities and plans. Further, while a representative of ENISA is a permanent observer in </w:t>
      </w:r>
      <w:r w:rsidR="00AE442F" w:rsidRPr="00CE2185">
        <w:rPr>
          <w:noProof/>
          <w:lang w:eastAsia="en-GB"/>
        </w:rPr>
        <w:t>meetings</w:t>
      </w:r>
      <w:r w:rsidR="00AE442F" w:rsidRPr="00CE2185">
        <w:rPr>
          <w:noProof/>
        </w:rPr>
        <w:t xml:space="preserve"> of the ECCC’s Governing Board under the ECCC Regulation</w:t>
      </w:r>
      <w:r w:rsidR="00AE442F" w:rsidRPr="00CE2185">
        <w:rPr>
          <w:rStyle w:val="FootnoteReference"/>
          <w:noProof/>
        </w:rPr>
        <w:footnoteReference w:id="45"/>
      </w:r>
      <w:r w:rsidR="00AE442F" w:rsidRPr="00CE2185">
        <w:rPr>
          <w:noProof/>
        </w:rPr>
        <w:t xml:space="preserve">, </w:t>
      </w:r>
      <w:r w:rsidR="004F2474" w:rsidRPr="00CE2185">
        <w:rPr>
          <w:noProof/>
        </w:rPr>
        <w:t xml:space="preserve">there is no </w:t>
      </w:r>
      <w:r w:rsidR="00AE442F" w:rsidRPr="00CE2185">
        <w:rPr>
          <w:noProof/>
        </w:rPr>
        <w:t>equivalent provision in the Management Board of ENISA. This renders the collaboration fragmented and inefficient.</w:t>
      </w:r>
    </w:p>
    <w:p w14:paraId="70C5CE69" w14:textId="3CC9BBDB" w:rsidR="00F57D9D" w:rsidRPr="00CE2185" w:rsidRDefault="00F57D9D" w:rsidP="00F57D9D">
      <w:pPr>
        <w:pStyle w:val="Heading3"/>
        <w:rPr>
          <w:noProof/>
          <w:szCs w:val="24"/>
          <w:lang w:val="en-IE" w:eastAsia="en-GB"/>
        </w:rPr>
      </w:pPr>
      <w:bookmarkStart w:id="16" w:name="_Toc210393801"/>
      <w:bookmarkStart w:id="17" w:name="_Toc219447340"/>
      <w:bookmarkStart w:id="18" w:name="_Toc210419508"/>
      <w:r w:rsidRPr="00CE2185">
        <w:rPr>
          <w:noProof/>
          <w:szCs w:val="24"/>
          <w:lang w:eastAsia="en-GB"/>
        </w:rPr>
        <w:t xml:space="preserve">Problem 2: </w:t>
      </w:r>
      <w:r w:rsidR="00206D9D" w:rsidRPr="00CE2185">
        <w:rPr>
          <w:noProof/>
          <w:szCs w:val="24"/>
          <w:lang w:eastAsia="en-GB"/>
        </w:rPr>
        <w:t>Stalled implementation of the ECCF</w:t>
      </w:r>
      <w:bookmarkEnd w:id="16"/>
      <w:bookmarkEnd w:id="17"/>
      <w:r w:rsidR="007438B7" w:rsidRPr="00CE2185">
        <w:rPr>
          <w:noProof/>
          <w:szCs w:val="24"/>
          <w:lang w:eastAsia="en-GB"/>
        </w:rPr>
        <w:t xml:space="preserve"> </w:t>
      </w:r>
      <w:bookmarkEnd w:id="18"/>
    </w:p>
    <w:p w14:paraId="58D22A10" w14:textId="06C2F962" w:rsidR="00DD2DC2" w:rsidRPr="00CE2185" w:rsidRDefault="0056025B" w:rsidP="00671B6B">
      <w:pPr>
        <w:spacing w:after="120"/>
        <w:rPr>
          <w:rStyle w:val="eop"/>
          <w:noProof/>
        </w:rPr>
      </w:pPr>
      <w:r w:rsidRPr="00CE2185">
        <w:rPr>
          <w:rStyle w:val="normaltextrun"/>
          <w:noProof/>
        </w:rPr>
        <w:t xml:space="preserve">The </w:t>
      </w:r>
      <w:r w:rsidR="00817D7A" w:rsidRPr="00CE2185">
        <w:rPr>
          <w:rStyle w:val="normaltextrun"/>
          <w:noProof/>
        </w:rPr>
        <w:t>CSA</w:t>
      </w:r>
      <w:r w:rsidRPr="00CE2185">
        <w:rPr>
          <w:rStyle w:val="normaltextrun"/>
          <w:noProof/>
        </w:rPr>
        <w:t xml:space="preserve"> (2019) set up </w:t>
      </w:r>
      <w:r w:rsidR="006E322B" w:rsidRPr="00CE2185">
        <w:rPr>
          <w:rStyle w:val="normaltextrun"/>
          <w:b/>
          <w:bCs/>
          <w:noProof/>
        </w:rPr>
        <w:t>the ECCF</w:t>
      </w:r>
      <w:r w:rsidRPr="00CE2185">
        <w:rPr>
          <w:rStyle w:val="normaltextrun"/>
          <w:noProof/>
        </w:rPr>
        <w:t xml:space="preserve"> for the development</w:t>
      </w:r>
      <w:r w:rsidR="00EA558D" w:rsidRPr="00CE2185">
        <w:rPr>
          <w:rStyle w:val="normaltextrun"/>
          <w:noProof/>
        </w:rPr>
        <w:t xml:space="preserve"> </w:t>
      </w:r>
      <w:r w:rsidRPr="00CE2185">
        <w:rPr>
          <w:rStyle w:val="normaltextrun"/>
          <w:noProof/>
        </w:rPr>
        <w:t>of voluntary E</w:t>
      </w:r>
      <w:r w:rsidR="2DACB2E5" w:rsidRPr="00CE2185">
        <w:rPr>
          <w:rStyle w:val="normaltextrun"/>
          <w:noProof/>
        </w:rPr>
        <w:t>U</w:t>
      </w:r>
      <w:r w:rsidRPr="00CE2185">
        <w:rPr>
          <w:rStyle w:val="normaltextrun"/>
          <w:noProof/>
        </w:rPr>
        <w:t xml:space="preserve"> cybersecurity certification schemes</w:t>
      </w:r>
      <w:r w:rsidRPr="00CE2185">
        <w:rPr>
          <w:rStyle w:val="normaltextrun"/>
          <w:b/>
          <w:bCs/>
          <w:i/>
          <w:iCs/>
          <w:noProof/>
        </w:rPr>
        <w:t xml:space="preserve"> </w:t>
      </w:r>
      <w:r w:rsidRPr="00CE2185">
        <w:rPr>
          <w:rStyle w:val="normaltextrun"/>
          <w:noProof/>
        </w:rPr>
        <w:t xml:space="preserve">for specific ICT products, services, processes, and, through a later amendment, for </w:t>
      </w:r>
      <w:r w:rsidRPr="00CE2185">
        <w:rPr>
          <w:noProof/>
        </w:rPr>
        <w:t>managed</w:t>
      </w:r>
      <w:r w:rsidRPr="00CE2185">
        <w:rPr>
          <w:rStyle w:val="normaltextrun"/>
          <w:noProof/>
        </w:rPr>
        <w:t xml:space="preserve"> security services, to ensure an adequate level of cybersecurity and avoid fragmentation. However, despite </w:t>
      </w:r>
      <w:r w:rsidR="5255F1D5" w:rsidRPr="00CE2185">
        <w:rPr>
          <w:rStyle w:val="normaltextrun"/>
          <w:noProof/>
        </w:rPr>
        <w:t xml:space="preserve">broad support and acknowledged value of the </w:t>
      </w:r>
      <w:r w:rsidR="00EA558D" w:rsidRPr="00CE2185">
        <w:rPr>
          <w:rStyle w:val="normaltextrun"/>
          <w:noProof/>
        </w:rPr>
        <w:t>ECC</w:t>
      </w:r>
      <w:r w:rsidR="5255F1D5" w:rsidRPr="00CE2185">
        <w:rPr>
          <w:rStyle w:val="normaltextrun"/>
          <w:noProof/>
        </w:rPr>
        <w:t>F</w:t>
      </w:r>
      <w:r w:rsidR="00EA558D" w:rsidRPr="00CE2185">
        <w:rPr>
          <w:rStyle w:val="normaltextrun"/>
          <w:noProof/>
        </w:rPr>
        <w:t xml:space="preserve"> and </w:t>
      </w:r>
      <w:r w:rsidRPr="00CE2185">
        <w:rPr>
          <w:rStyle w:val="normaltextrun"/>
          <w:noProof/>
        </w:rPr>
        <w:t xml:space="preserve">the efforts </w:t>
      </w:r>
      <w:r w:rsidR="0638D4FE" w:rsidRPr="00CE2185">
        <w:rPr>
          <w:rStyle w:val="normaltextrun"/>
          <w:noProof/>
        </w:rPr>
        <w:t>har</w:t>
      </w:r>
      <w:r w:rsidRPr="00CE2185">
        <w:rPr>
          <w:rStyle w:val="normaltextrun"/>
          <w:noProof/>
        </w:rPr>
        <w:t>monise cybersecurity certification across the EU, significant challenges remain.</w:t>
      </w:r>
      <w:r w:rsidRPr="00CE2185">
        <w:rPr>
          <w:rStyle w:val="eop"/>
          <w:noProof/>
        </w:rPr>
        <w:t> </w:t>
      </w:r>
    </w:p>
    <w:p w14:paraId="535A4998" w14:textId="12655857" w:rsidR="00DD2DC2" w:rsidRPr="00CE2185" w:rsidRDefault="0056025B" w:rsidP="00671B6B">
      <w:pPr>
        <w:spacing w:after="120"/>
        <w:rPr>
          <w:noProof/>
        </w:rPr>
      </w:pPr>
      <w:r w:rsidRPr="00CE2185">
        <w:rPr>
          <w:rStyle w:val="normaltextrun"/>
          <w:b/>
          <w:noProof/>
        </w:rPr>
        <w:t>Member States and industry have voiced their concerns over the</w:t>
      </w:r>
      <w:r w:rsidRPr="00CE2185">
        <w:rPr>
          <w:rStyle w:val="normaltextrun"/>
          <w:noProof/>
        </w:rPr>
        <w:t xml:space="preserve"> </w:t>
      </w:r>
      <w:r w:rsidRPr="00CE2185">
        <w:rPr>
          <w:rStyle w:val="normaltextrun"/>
          <w:b/>
          <w:noProof/>
        </w:rPr>
        <w:t>lengthy process of selection</w:t>
      </w:r>
      <w:r w:rsidRPr="00CE2185">
        <w:rPr>
          <w:rStyle w:val="normaltextrun"/>
          <w:noProof/>
        </w:rPr>
        <w:t>, elaboration and adoption of cybersecurity certification schemes, with Member States recurringly noting the</w:t>
      </w:r>
      <w:r w:rsidR="002C5F47" w:rsidRPr="00CE2185">
        <w:rPr>
          <w:rStyle w:val="normaltextrun"/>
          <w:noProof/>
        </w:rPr>
        <w:t>ir</w:t>
      </w:r>
      <w:r w:rsidRPr="00CE2185">
        <w:rPr>
          <w:rStyle w:val="normaltextrun"/>
          <w:noProof/>
        </w:rPr>
        <w:t xml:space="preserve"> </w:t>
      </w:r>
      <w:r w:rsidRPr="00CE2185">
        <w:rPr>
          <w:rStyle w:val="normaltextrun"/>
          <w:i/>
          <w:noProof/>
        </w:rPr>
        <w:t>“slow and challenging development</w:t>
      </w:r>
      <w:r w:rsidR="002C5F47" w:rsidRPr="00CE2185">
        <w:rPr>
          <w:rStyle w:val="normaltextrun"/>
          <w:i/>
          <w:noProof/>
        </w:rPr>
        <w:t>”</w:t>
      </w:r>
      <w:r w:rsidRPr="00CE2185">
        <w:rPr>
          <w:rStyle w:val="superscript"/>
          <w:noProof/>
          <w:vertAlign w:val="superscript"/>
        </w:rPr>
        <w:t>45</w:t>
      </w:r>
      <w:r w:rsidRPr="00CE2185">
        <w:rPr>
          <w:rStyle w:val="normaltextrun"/>
          <w:noProof/>
        </w:rPr>
        <w:t xml:space="preserve">. The </w:t>
      </w:r>
      <w:r w:rsidR="00CB5F4A" w:rsidRPr="00CE2185">
        <w:rPr>
          <w:rStyle w:val="normaltextrun"/>
          <w:noProof/>
        </w:rPr>
        <w:t>reply</w:t>
      </w:r>
      <w:r w:rsidRPr="00CE2185">
        <w:rPr>
          <w:rStyle w:val="normaltextrun"/>
          <w:noProof/>
        </w:rPr>
        <w:t xml:space="preserve"> to public consultation further shows dissatisfaction of over 70% of the respondents with the time required to develop and adopt </w:t>
      </w:r>
      <w:r w:rsidR="002C5F47" w:rsidRPr="00CE2185">
        <w:rPr>
          <w:rStyle w:val="normaltextrun"/>
          <w:noProof/>
        </w:rPr>
        <w:t>the</w:t>
      </w:r>
      <w:r w:rsidRPr="00CE2185">
        <w:rPr>
          <w:rStyle w:val="normaltextrun"/>
          <w:noProof/>
        </w:rPr>
        <w:t xml:space="preserve"> schemes. Companies are particularly critical in this regard, showing alignment between large companies (80%)</w:t>
      </w:r>
      <w:r w:rsidR="009E2D70" w:rsidRPr="00CE2185">
        <w:rPr>
          <w:rStyle w:val="normaltextrun"/>
          <w:noProof/>
        </w:rPr>
        <w:t xml:space="preserve"> and</w:t>
      </w:r>
      <w:r w:rsidRPr="00CE2185">
        <w:rPr>
          <w:rStyle w:val="normaltextrun"/>
          <w:noProof/>
        </w:rPr>
        <w:t xml:space="preserve"> small companies (78%).</w:t>
      </w:r>
      <w:r w:rsidRPr="00CE2185">
        <w:rPr>
          <w:rStyle w:val="normaltextrun"/>
          <w:b/>
          <w:bCs/>
          <w:noProof/>
        </w:rPr>
        <w:t> </w:t>
      </w:r>
      <w:r w:rsidRPr="00CE2185">
        <w:rPr>
          <w:rStyle w:val="eop"/>
          <w:noProof/>
        </w:rPr>
        <w:t> </w:t>
      </w:r>
    </w:p>
    <w:p w14:paraId="02FDD1CC" w14:textId="7038F72C" w:rsidR="00DD2DC2" w:rsidRPr="00CE2185" w:rsidRDefault="0056025B" w:rsidP="7410CB48">
      <w:pPr>
        <w:spacing w:after="120"/>
        <w:rPr>
          <w:i/>
          <w:iCs/>
          <w:noProof/>
        </w:rPr>
      </w:pPr>
      <w:r w:rsidRPr="00CE2185">
        <w:rPr>
          <w:rStyle w:val="normaltextrun"/>
          <w:noProof/>
          <w:color w:val="000000" w:themeColor="text1"/>
        </w:rPr>
        <w:t xml:space="preserve">Indeed, nearly five years after the CSA’s entry into force, </w:t>
      </w:r>
      <w:r w:rsidRPr="00CE2185">
        <w:rPr>
          <w:rStyle w:val="normaltextrun"/>
          <w:b/>
          <w:bCs/>
          <w:noProof/>
          <w:color w:val="000000" w:themeColor="text1"/>
        </w:rPr>
        <w:t>only one of five requested certification</w:t>
      </w:r>
      <w:r w:rsidRPr="00CE2185">
        <w:rPr>
          <w:rStyle w:val="normaltextrun"/>
          <w:noProof/>
          <w:color w:val="000000" w:themeColor="text1"/>
        </w:rPr>
        <w:t xml:space="preserve"> schemes (the European Common Criteria-based cybersecurity certification scheme (EUCC)), was adopted, while</w:t>
      </w:r>
      <w:r w:rsidRPr="00CE2185">
        <w:rPr>
          <w:rStyle w:val="normaltextrun"/>
          <w:noProof/>
        </w:rPr>
        <w:t xml:space="preserve"> the EU Cloud Certification Scheme (EUCS) and the EU 5G Cybersecurity Certification (EU5G) have faced repeated delays of four to </w:t>
      </w:r>
      <w:r w:rsidRPr="00CE2185">
        <w:rPr>
          <w:rStyle w:val="normaltextrun"/>
          <w:noProof/>
          <w:color w:val="000000" w:themeColor="text1"/>
        </w:rPr>
        <w:t>five years</w:t>
      </w:r>
      <w:r w:rsidR="00C6592B" w:rsidRPr="00CE2185">
        <w:rPr>
          <w:rStyle w:val="normaltextrun"/>
          <w:noProof/>
          <w:color w:val="000000" w:themeColor="text1"/>
        </w:rPr>
        <w:t xml:space="preserve"> or even blockage</w:t>
      </w:r>
      <w:r w:rsidRPr="00CE2185">
        <w:rPr>
          <w:rStyle w:val="normaltextrun"/>
          <w:noProof/>
          <w:color w:val="000000" w:themeColor="text1"/>
        </w:rPr>
        <w:t xml:space="preserve">. </w:t>
      </w:r>
      <w:r w:rsidR="00C12D4C" w:rsidRPr="00CE2185">
        <w:rPr>
          <w:rStyle w:val="normaltextrun"/>
          <w:noProof/>
          <w:color w:val="000000" w:themeColor="text1"/>
        </w:rPr>
        <w:t xml:space="preserve">Meanwhile the expectation and market standard for scheme </w:t>
      </w:r>
      <w:r w:rsidR="00C12D4C" w:rsidRPr="00CE2185">
        <w:rPr>
          <w:rStyle w:val="normaltextrun"/>
          <w:noProof/>
        </w:rPr>
        <w:t>development</w:t>
      </w:r>
      <w:r w:rsidR="00C12D4C" w:rsidRPr="00CE2185">
        <w:rPr>
          <w:rStyle w:val="normaltextrun"/>
          <w:noProof/>
          <w:color w:val="000000" w:themeColor="text1"/>
        </w:rPr>
        <w:t xml:space="preserve"> is estimated to be 2-2,5</w:t>
      </w:r>
      <w:r w:rsidR="36D50930" w:rsidRPr="00CE2185">
        <w:rPr>
          <w:rStyle w:val="normaltextrun"/>
          <w:noProof/>
          <w:color w:val="000000" w:themeColor="text1"/>
        </w:rPr>
        <w:t xml:space="preserve"> years</w:t>
      </w:r>
      <w:r w:rsidR="001A154F" w:rsidRPr="00CE2185">
        <w:rPr>
          <w:rStyle w:val="FootnoteReference"/>
          <w:noProof/>
          <w:color w:val="000000" w:themeColor="text1"/>
        </w:rPr>
        <w:footnoteReference w:id="46"/>
      </w:r>
      <w:r w:rsidR="4410E98C" w:rsidRPr="00CE2185">
        <w:rPr>
          <w:rStyle w:val="normaltextrun"/>
          <w:noProof/>
          <w:color w:val="000000" w:themeColor="text1"/>
        </w:rPr>
        <w:t xml:space="preserve">. </w:t>
      </w:r>
      <w:r w:rsidRPr="00CE2185">
        <w:rPr>
          <w:rStyle w:val="normaltextrun"/>
          <w:noProof/>
          <w:color w:val="000000" w:themeColor="text1"/>
        </w:rPr>
        <w:t>This stalled implementation of ECCF triggers real-world strategic, security and business problems:</w:t>
      </w:r>
      <w:r w:rsidRPr="00CE2185">
        <w:rPr>
          <w:rStyle w:val="eop"/>
          <w:noProof/>
          <w:color w:val="000000" w:themeColor="text1"/>
        </w:rPr>
        <w:t> </w:t>
      </w:r>
    </w:p>
    <w:p w14:paraId="3F81EC0D" w14:textId="6A026998" w:rsidR="00F340C1" w:rsidRPr="00CE2185" w:rsidRDefault="0056025B" w:rsidP="00671B6B">
      <w:pPr>
        <w:spacing w:after="120"/>
        <w:rPr>
          <w:rStyle w:val="normaltextrun"/>
          <w:noProof/>
          <w:color w:val="000000"/>
        </w:rPr>
      </w:pPr>
      <w:r w:rsidRPr="00CE2185">
        <w:rPr>
          <w:rStyle w:val="normaltextrun"/>
          <w:i/>
          <w:noProof/>
          <w:u w:val="single"/>
        </w:rPr>
        <w:t>First</w:t>
      </w:r>
      <w:r w:rsidRPr="00CE2185">
        <w:rPr>
          <w:rStyle w:val="normaltextrun"/>
          <w:noProof/>
        </w:rPr>
        <w:t>,</w:t>
      </w:r>
      <w:r w:rsidRPr="007E6B3C">
        <w:rPr>
          <w:rStyle w:val="normaltextrun"/>
          <w:rFonts w:eastAsia="Arial"/>
          <w:noProof/>
          <w:color w:val="881798"/>
        </w:rPr>
        <w:t xml:space="preserve"> </w:t>
      </w:r>
      <w:r w:rsidR="00BE34A5" w:rsidRPr="00CE2185">
        <w:rPr>
          <w:rStyle w:val="normaltextrun"/>
          <w:rFonts w:eastAsia="Arial"/>
          <w:noProof/>
          <w:color w:val="000000"/>
        </w:rPr>
        <w:t>it</w:t>
      </w:r>
      <w:r w:rsidR="00DD2DC2" w:rsidRPr="00CE2185">
        <w:rPr>
          <w:rStyle w:val="normaltextrun"/>
          <w:noProof/>
          <w:color w:val="000000"/>
        </w:rPr>
        <w:t xml:space="preserve"> </w:t>
      </w:r>
      <w:r w:rsidRPr="00CE2185">
        <w:rPr>
          <w:rStyle w:val="normaltextrun"/>
          <w:noProof/>
          <w:color w:val="000000"/>
        </w:rPr>
        <w:t>has</w:t>
      </w:r>
      <w:r w:rsidRPr="00CE2185">
        <w:rPr>
          <w:rStyle w:val="normaltextrun"/>
          <w:noProof/>
        </w:rPr>
        <w:t xml:space="preserve"> </w:t>
      </w:r>
      <w:r w:rsidRPr="00CE2185">
        <w:rPr>
          <w:rStyle w:val="normaltextrun"/>
          <w:b/>
          <w:noProof/>
          <w:color w:val="000000"/>
        </w:rPr>
        <w:t>hindered its capacity to support the implementation of a robust cybersecurity framework across the EU</w:t>
      </w:r>
      <w:r w:rsidRPr="00CE2185">
        <w:rPr>
          <w:rStyle w:val="normaltextrun"/>
          <w:noProof/>
        </w:rPr>
        <w:t xml:space="preserve">. </w:t>
      </w:r>
      <w:r w:rsidR="0023364F" w:rsidRPr="00CE2185">
        <w:rPr>
          <w:rStyle w:val="normaltextrun"/>
          <w:noProof/>
        </w:rPr>
        <w:t xml:space="preserve">In the current setting, </w:t>
      </w:r>
      <w:r w:rsidRPr="00CE2185">
        <w:rPr>
          <w:rStyle w:val="normaltextrun"/>
          <w:noProof/>
          <w:color w:val="000000"/>
        </w:rPr>
        <w:t xml:space="preserve">it cannot </w:t>
      </w:r>
      <w:r w:rsidR="00CF2BA2" w:rsidRPr="00CE2185">
        <w:rPr>
          <w:rStyle w:val="normaltextrun"/>
          <w:noProof/>
          <w:color w:val="000000"/>
        </w:rPr>
        <w:t xml:space="preserve">effectively </w:t>
      </w:r>
      <w:r w:rsidRPr="00CE2185">
        <w:rPr>
          <w:rStyle w:val="normaltextrun"/>
          <w:noProof/>
          <w:color w:val="000000"/>
        </w:rPr>
        <w:t xml:space="preserve">deliver the </w:t>
      </w:r>
      <w:r w:rsidR="0023364F" w:rsidRPr="00CE2185">
        <w:rPr>
          <w:rStyle w:val="normaltextrun"/>
          <w:noProof/>
          <w:color w:val="000000"/>
        </w:rPr>
        <w:t xml:space="preserve">needed support for the compliance with the </w:t>
      </w:r>
      <w:r w:rsidRPr="00CE2185">
        <w:rPr>
          <w:rStyle w:val="normaltextrun"/>
          <w:noProof/>
          <w:color w:val="000000"/>
        </w:rPr>
        <w:t xml:space="preserve">security requirements </w:t>
      </w:r>
      <w:r w:rsidR="0023364F" w:rsidRPr="00CE2185">
        <w:rPr>
          <w:rStyle w:val="normaltextrun"/>
          <w:noProof/>
          <w:color w:val="000000"/>
        </w:rPr>
        <w:t>laid down</w:t>
      </w:r>
      <w:r w:rsidRPr="00CE2185">
        <w:rPr>
          <w:rStyle w:val="normaltextrun"/>
          <w:noProof/>
          <w:color w:val="000000"/>
        </w:rPr>
        <w:t xml:space="preserve"> by </w:t>
      </w:r>
      <w:r w:rsidRPr="00CE2185">
        <w:rPr>
          <w:rStyle w:val="normaltextrun"/>
          <w:rFonts w:eastAsia="Arial"/>
          <w:noProof/>
          <w:color w:val="000000"/>
        </w:rPr>
        <w:t xml:space="preserve">multiple Union </w:t>
      </w:r>
      <w:r w:rsidRPr="00CE2185">
        <w:rPr>
          <w:rStyle w:val="normaltextrun"/>
          <w:rFonts w:eastAsia="Times New Roman"/>
          <w:noProof/>
          <w:color w:val="000000"/>
        </w:rPr>
        <w:t>legislative</w:t>
      </w:r>
      <w:r w:rsidRPr="00CE2185">
        <w:rPr>
          <w:rStyle w:val="normaltextrun"/>
          <w:rFonts w:eastAsia="Arial"/>
          <w:noProof/>
          <w:color w:val="000000"/>
        </w:rPr>
        <w:t xml:space="preserve"> </w:t>
      </w:r>
      <w:r w:rsidRPr="00CE2185">
        <w:rPr>
          <w:rStyle w:val="normaltextrun"/>
          <w:noProof/>
          <w:color w:val="000000"/>
        </w:rPr>
        <w:t>acts</w:t>
      </w:r>
      <w:r w:rsidRPr="00CE2185">
        <w:rPr>
          <w:rStyle w:val="normaltextrun"/>
          <w:rFonts w:eastAsia="Arial"/>
          <w:noProof/>
          <w:color w:val="000000"/>
        </w:rPr>
        <w:t xml:space="preserve"> (eIDAS2, CRA, NIS2, </w:t>
      </w:r>
      <w:r w:rsidR="00EE6EC7" w:rsidRPr="00CE2185">
        <w:rPr>
          <w:rStyle w:val="normaltextrun"/>
          <w:noProof/>
          <w:color w:val="000000"/>
        </w:rPr>
        <w:t>CSoA</w:t>
      </w:r>
      <w:r w:rsidRPr="00CE2185">
        <w:rPr>
          <w:rStyle w:val="normaltextrun"/>
          <w:rFonts w:eastAsia="Arial"/>
          <w:noProof/>
          <w:color w:val="000000"/>
        </w:rPr>
        <w:t>).</w:t>
      </w:r>
      <w:r w:rsidRPr="00CE2185">
        <w:rPr>
          <w:rStyle w:val="normaltextrun"/>
          <w:noProof/>
          <w:color w:val="000000"/>
        </w:rPr>
        <w:t> </w:t>
      </w:r>
    </w:p>
    <w:p w14:paraId="36A96403" w14:textId="6E44DC89" w:rsidR="0056025B" w:rsidRPr="00CE2185" w:rsidRDefault="0056025B" w:rsidP="00671B6B">
      <w:pPr>
        <w:spacing w:after="120"/>
        <w:rPr>
          <w:rFonts w:ascii="Segoe UI" w:hAnsi="Segoe UI" w:cs="Segoe UI"/>
          <w:noProof/>
        </w:rPr>
      </w:pPr>
      <w:r w:rsidRPr="00CE2185">
        <w:rPr>
          <w:rStyle w:val="normaltextrun"/>
          <w:i/>
          <w:noProof/>
          <w:u w:val="single"/>
        </w:rPr>
        <w:t>Second</w:t>
      </w:r>
      <w:r w:rsidRPr="00CE2185">
        <w:rPr>
          <w:rStyle w:val="normaltextrun"/>
          <w:noProof/>
        </w:rPr>
        <w:t xml:space="preserve">, the </w:t>
      </w:r>
      <w:r w:rsidRPr="00CE2185">
        <w:rPr>
          <w:rStyle w:val="normaltextrun"/>
          <w:b/>
          <w:noProof/>
        </w:rPr>
        <w:t>business</w:t>
      </w:r>
      <w:r w:rsidR="00FD61E6" w:rsidRPr="00CE2185">
        <w:rPr>
          <w:rStyle w:val="normaltextrun"/>
          <w:b/>
          <w:noProof/>
        </w:rPr>
        <w:t>es</w:t>
      </w:r>
      <w:r w:rsidRPr="00CE2185">
        <w:rPr>
          <w:rStyle w:val="normaltextrun"/>
          <w:b/>
          <w:noProof/>
        </w:rPr>
        <w:t xml:space="preserve"> c</w:t>
      </w:r>
      <w:r w:rsidR="00D8725A" w:rsidRPr="00CE2185">
        <w:rPr>
          <w:rStyle w:val="normaltextrun"/>
          <w:b/>
          <w:noProof/>
        </w:rPr>
        <w:t>ould not</w:t>
      </w:r>
      <w:r w:rsidRPr="00CE2185">
        <w:rPr>
          <w:rStyle w:val="normaltextrun"/>
          <w:b/>
          <w:noProof/>
        </w:rPr>
        <w:t xml:space="preserve"> consider certification a viable business opportuni</w:t>
      </w:r>
      <w:r w:rsidRPr="00CE2185">
        <w:rPr>
          <w:rStyle w:val="normaltextrun"/>
          <w:noProof/>
        </w:rPr>
        <w:t>ty. The first Union Rolling Work Programme for Cybersecurity Certification (URWP)</w:t>
      </w:r>
      <w:r w:rsidRPr="00CE2185">
        <w:rPr>
          <w:rStyle w:val="superscript"/>
          <w:noProof/>
          <w:vertAlign w:val="superscript"/>
        </w:rPr>
        <w:t>49</w:t>
      </w:r>
      <w:r w:rsidRPr="00CE2185">
        <w:rPr>
          <w:rStyle w:val="normaltextrun"/>
          <w:noProof/>
        </w:rPr>
        <w:t xml:space="preserve">, intended to define priorities and identify suitable ICT </w:t>
      </w:r>
      <w:r w:rsidRPr="00CE2185">
        <w:rPr>
          <w:rStyle w:val="normaltextrun"/>
          <w:iCs/>
          <w:noProof/>
        </w:rPr>
        <w:t>products</w:t>
      </w:r>
      <w:r w:rsidRPr="00CE2185">
        <w:rPr>
          <w:rStyle w:val="normaltextrun"/>
          <w:noProof/>
        </w:rPr>
        <w:t>, services and processes for certification, was only adopted in 2024, nearly 4 years after the date set out in the CSA</w:t>
      </w:r>
      <w:r w:rsidRPr="00CE2185">
        <w:rPr>
          <w:rStyle w:val="superscript"/>
          <w:noProof/>
          <w:vertAlign w:val="superscript"/>
        </w:rPr>
        <w:t>50</w:t>
      </w:r>
      <w:r w:rsidRPr="00CE2185">
        <w:rPr>
          <w:rStyle w:val="normaltextrun"/>
          <w:noProof/>
        </w:rPr>
        <w:t>. </w:t>
      </w:r>
      <w:r w:rsidRPr="00CE2185">
        <w:rPr>
          <w:rStyle w:val="eop"/>
          <w:noProof/>
        </w:rPr>
        <w:t> </w:t>
      </w:r>
      <w:r w:rsidR="00CF2BA2" w:rsidRPr="00CE2185">
        <w:rPr>
          <w:rStyle w:val="eop"/>
          <w:noProof/>
        </w:rPr>
        <w:t xml:space="preserve">Unclarity of coverage of risks and </w:t>
      </w:r>
      <w:r w:rsidR="00136F80" w:rsidRPr="00CE2185">
        <w:rPr>
          <w:rStyle w:val="eop"/>
          <w:noProof/>
        </w:rPr>
        <w:t xml:space="preserve">mixing </w:t>
      </w:r>
      <w:r w:rsidR="00840ACA" w:rsidRPr="00CE2185">
        <w:rPr>
          <w:rStyle w:val="eop"/>
          <w:noProof/>
        </w:rPr>
        <w:t>of</w:t>
      </w:r>
      <w:r w:rsidR="00CF2BA2" w:rsidRPr="00CE2185">
        <w:rPr>
          <w:rStyle w:val="eop"/>
          <w:noProof/>
        </w:rPr>
        <w:t xml:space="preserve"> </w:t>
      </w:r>
      <w:r w:rsidR="005E2150" w:rsidRPr="00CE2185">
        <w:rPr>
          <w:rStyle w:val="eop"/>
          <w:noProof/>
        </w:rPr>
        <w:t xml:space="preserve">aspects that go beyond technical risks </w:t>
      </w:r>
      <w:r w:rsidR="00136F80" w:rsidRPr="00CE2185">
        <w:rPr>
          <w:rStyle w:val="eop"/>
          <w:noProof/>
        </w:rPr>
        <w:t>also affected the predictability of upcoming certification schemes.</w:t>
      </w:r>
    </w:p>
    <w:p w14:paraId="4CBB1D47" w14:textId="19662DB4" w:rsidR="00DD2DC2" w:rsidRPr="00CE2185" w:rsidRDefault="0056025B" w:rsidP="00671B6B">
      <w:pPr>
        <w:pStyle w:val="Text1"/>
        <w:spacing w:before="120" w:after="120"/>
        <w:ind w:left="0"/>
        <w:rPr>
          <w:rStyle w:val="normaltextrun"/>
          <w:noProof/>
          <w:szCs w:val="24"/>
        </w:rPr>
      </w:pPr>
      <w:r w:rsidRPr="00CE2185">
        <w:rPr>
          <w:rStyle w:val="normaltextrun"/>
          <w:i/>
          <w:noProof/>
          <w:szCs w:val="24"/>
          <w:u w:val="single"/>
        </w:rPr>
        <w:t>Third</w:t>
      </w:r>
      <w:r w:rsidRPr="00CE2185">
        <w:rPr>
          <w:rStyle w:val="normaltextrun"/>
          <w:noProof/>
          <w:szCs w:val="24"/>
        </w:rPr>
        <w:t xml:space="preserve">, </w:t>
      </w:r>
      <w:r w:rsidR="00AE17EA" w:rsidRPr="00CE2185">
        <w:rPr>
          <w:rStyle w:val="normaltextrun"/>
          <w:noProof/>
          <w:szCs w:val="24"/>
        </w:rPr>
        <w:t xml:space="preserve">while </w:t>
      </w:r>
      <w:r w:rsidR="00A901CA" w:rsidRPr="00CE2185">
        <w:rPr>
          <w:rStyle w:val="normaltextrun"/>
          <w:noProof/>
          <w:szCs w:val="24"/>
        </w:rPr>
        <w:t>there is an expectation from both businesses and authorities</w:t>
      </w:r>
      <w:r w:rsidR="00AE17EA" w:rsidRPr="00CE2185">
        <w:rPr>
          <w:rStyle w:val="normaltextrun"/>
          <w:noProof/>
          <w:szCs w:val="24"/>
        </w:rPr>
        <w:t xml:space="preserve"> for certification schemes to support compliance processes, </w:t>
      </w:r>
      <w:r w:rsidRPr="00CE2185">
        <w:rPr>
          <w:rStyle w:val="normaltextrun"/>
          <w:noProof/>
          <w:szCs w:val="24"/>
        </w:rPr>
        <w:t xml:space="preserve">the absence of EU-wide certification schemes forces Member States and industry to </w:t>
      </w:r>
      <w:r w:rsidRPr="00CE2185">
        <w:rPr>
          <w:rStyle w:val="normaltextrun"/>
          <w:b/>
          <w:noProof/>
          <w:szCs w:val="24"/>
        </w:rPr>
        <w:t>rely on national-level schemes</w:t>
      </w:r>
      <w:r w:rsidRPr="00CE2185">
        <w:rPr>
          <w:rStyle w:val="normaltextrun"/>
          <w:noProof/>
          <w:szCs w:val="24"/>
        </w:rPr>
        <w:t xml:space="preserve"> (e.g. for cloud services; the German C5 attestation</w:t>
      </w:r>
      <w:r w:rsidRPr="00CE2185">
        <w:rPr>
          <w:rStyle w:val="superscript"/>
          <w:noProof/>
          <w:szCs w:val="24"/>
          <w:vertAlign w:val="superscript"/>
        </w:rPr>
        <w:t>51</w:t>
      </w:r>
      <w:r w:rsidRPr="00CE2185">
        <w:rPr>
          <w:rStyle w:val="normaltextrun"/>
          <w:noProof/>
          <w:szCs w:val="24"/>
        </w:rPr>
        <w:t xml:space="preserve"> or the French SecNumCloud</w:t>
      </w:r>
      <w:r w:rsidRPr="00CE2185">
        <w:rPr>
          <w:rStyle w:val="superscript"/>
          <w:noProof/>
          <w:szCs w:val="24"/>
          <w:vertAlign w:val="superscript"/>
        </w:rPr>
        <w:t>52</w:t>
      </w:r>
      <w:r w:rsidRPr="00CE2185">
        <w:rPr>
          <w:rStyle w:val="normaltextrun"/>
          <w:noProof/>
          <w:szCs w:val="24"/>
        </w:rPr>
        <w:t xml:space="preserve">), </w:t>
      </w:r>
      <w:r w:rsidRPr="00CE2185">
        <w:rPr>
          <w:rStyle w:val="normaltextrun"/>
          <w:b/>
          <w:noProof/>
          <w:szCs w:val="24"/>
        </w:rPr>
        <w:t>placing additional burden on companies, in particular SMEs, and hindering competitiveness</w:t>
      </w:r>
      <w:r w:rsidRPr="00CE2185">
        <w:rPr>
          <w:rStyle w:val="normaltextrun"/>
          <w:noProof/>
          <w:szCs w:val="24"/>
        </w:rPr>
        <w:t>. This lack of harmonisation, where providers of cloud services need to comply with four different sets of security requirements to provide their services in Germany, France, Spain and Netherlands, complicates cross-border procurement, limits the scalability of cybersecurity solutions, forcing providers to develop software solution per national market</w:t>
      </w:r>
      <w:r w:rsidR="00F9215F" w:rsidRPr="00CE2185">
        <w:rPr>
          <w:rStyle w:val="normaltextrun"/>
          <w:noProof/>
          <w:szCs w:val="24"/>
        </w:rPr>
        <w:t xml:space="preserve">. It also </w:t>
      </w:r>
      <w:r w:rsidRPr="00CE2185">
        <w:rPr>
          <w:rStyle w:val="normaltextrun"/>
          <w:noProof/>
          <w:szCs w:val="24"/>
        </w:rPr>
        <w:t>burdens SMEs with navigating multiple non-aligned or non-standardized schemes lacking mutual recognition</w:t>
      </w:r>
      <w:r w:rsidR="00341A32" w:rsidRPr="00CE2185">
        <w:rPr>
          <w:rStyle w:val="normaltextrun"/>
          <w:noProof/>
          <w:szCs w:val="24"/>
        </w:rPr>
        <w:t xml:space="preserve"> and limit their possibility to scale-up</w:t>
      </w:r>
      <w:r w:rsidRPr="00CE2185">
        <w:rPr>
          <w:rStyle w:val="normaltextrun"/>
          <w:noProof/>
          <w:szCs w:val="24"/>
        </w:rPr>
        <w:t>.</w:t>
      </w:r>
    </w:p>
    <w:p w14:paraId="1CBE8500" w14:textId="7F07A92F" w:rsidR="00AA414A" w:rsidRPr="00CE2185" w:rsidRDefault="00AA414A" w:rsidP="7410CB48">
      <w:pPr>
        <w:spacing w:before="120" w:after="120"/>
        <w:rPr>
          <w:b/>
          <w:bCs/>
          <w:noProof/>
        </w:rPr>
      </w:pPr>
      <w:r w:rsidRPr="00CE2185">
        <w:rPr>
          <w:i/>
          <w:iCs/>
          <w:noProof/>
          <w:lang w:eastAsia="en-GB"/>
        </w:rPr>
        <w:t xml:space="preserve">Annex </w:t>
      </w:r>
      <w:r w:rsidR="0027171D" w:rsidRPr="00CE2185">
        <w:rPr>
          <w:i/>
          <w:iCs/>
          <w:noProof/>
          <w:lang w:eastAsia="en-GB"/>
        </w:rPr>
        <w:t>10</w:t>
      </w:r>
      <w:r w:rsidRPr="00CE2185">
        <w:rPr>
          <w:noProof/>
          <w:lang w:eastAsia="en-GB"/>
        </w:rPr>
        <w:t xml:space="preserve"> provides a general overview of</w:t>
      </w:r>
      <w:r w:rsidRPr="00CE2185">
        <w:rPr>
          <w:b/>
          <w:bCs/>
          <w:noProof/>
        </w:rPr>
        <w:t xml:space="preserve"> ENISA’s key stakeholders, their expectations and unmet needs</w:t>
      </w:r>
      <w:r w:rsidR="00D005DD" w:rsidRPr="00CE2185">
        <w:rPr>
          <w:b/>
          <w:bCs/>
          <w:noProof/>
        </w:rPr>
        <w:t>, including with regards to certification</w:t>
      </w:r>
      <w:r w:rsidRPr="00CE2185">
        <w:rPr>
          <w:noProof/>
        </w:rPr>
        <w:t xml:space="preserve">. </w:t>
      </w:r>
    </w:p>
    <w:p w14:paraId="0F6E47F0" w14:textId="6EF710C7" w:rsidR="00F57D9D" w:rsidRPr="00CE2185" w:rsidRDefault="00F57D9D" w:rsidP="00F57D9D">
      <w:pPr>
        <w:pStyle w:val="Heading3"/>
        <w:rPr>
          <w:noProof/>
        </w:rPr>
      </w:pPr>
      <w:bookmarkStart w:id="19" w:name="_Toc210393802"/>
      <w:bookmarkStart w:id="20" w:name="_Toc210419509"/>
      <w:bookmarkStart w:id="21" w:name="_Toc219447341"/>
      <w:r w:rsidRPr="00CE2185">
        <w:rPr>
          <w:noProof/>
        </w:rPr>
        <w:t>Problem 3: Complexity and diversity of the cybersecurity</w:t>
      </w:r>
      <w:r w:rsidR="0095245A" w:rsidRPr="00CE2185">
        <w:rPr>
          <w:noProof/>
        </w:rPr>
        <w:t>-</w:t>
      </w:r>
      <w:r w:rsidRPr="00CE2185">
        <w:rPr>
          <w:noProof/>
        </w:rPr>
        <w:t>rel</w:t>
      </w:r>
      <w:r w:rsidR="00F810EF">
        <w:rPr>
          <w:noProof/>
        </w:rPr>
        <w:t>ated</w:t>
      </w:r>
      <w:r w:rsidRPr="00CE2185">
        <w:rPr>
          <w:noProof/>
        </w:rPr>
        <w:t xml:space="preserve"> policies impacting the Union’s cyber posture</w:t>
      </w:r>
      <w:bookmarkEnd w:id="19"/>
      <w:bookmarkEnd w:id="20"/>
      <w:bookmarkEnd w:id="21"/>
    </w:p>
    <w:p w14:paraId="7A8726BA" w14:textId="053E0609" w:rsidR="00251471" w:rsidRPr="00CE2185" w:rsidRDefault="00D62221" w:rsidP="00251471">
      <w:pPr>
        <w:spacing w:before="120" w:after="120"/>
        <w:rPr>
          <w:noProof/>
        </w:rPr>
      </w:pPr>
      <w:r w:rsidRPr="00CE2185">
        <w:rPr>
          <w:noProof/>
        </w:rPr>
        <w:t>The</w:t>
      </w:r>
      <w:r w:rsidR="00251471" w:rsidRPr="00CE2185">
        <w:rPr>
          <w:noProof/>
        </w:rPr>
        <w:t xml:space="preserve"> EU has horizontal and sectorial cybersecurity</w:t>
      </w:r>
      <w:r w:rsidR="00DB22AF" w:rsidRPr="00CE2185">
        <w:rPr>
          <w:noProof/>
        </w:rPr>
        <w:t>-relevant</w:t>
      </w:r>
      <w:r w:rsidR="00251471" w:rsidRPr="00CE2185">
        <w:rPr>
          <w:noProof/>
        </w:rPr>
        <w:t xml:space="preserve"> </w:t>
      </w:r>
      <w:r w:rsidR="00DB22AF" w:rsidRPr="00CE2185">
        <w:rPr>
          <w:noProof/>
        </w:rPr>
        <w:t>acts or policies</w:t>
      </w:r>
      <w:r w:rsidR="006D6EC5" w:rsidRPr="00CE2185">
        <w:rPr>
          <w:noProof/>
        </w:rPr>
        <w:t xml:space="preserve">, as </w:t>
      </w:r>
      <w:r w:rsidR="00DB22AF" w:rsidRPr="00CE2185">
        <w:rPr>
          <w:noProof/>
        </w:rPr>
        <w:t>mentioned</w:t>
      </w:r>
      <w:r w:rsidR="006D6EC5" w:rsidRPr="00CE2185">
        <w:rPr>
          <w:noProof/>
        </w:rPr>
        <w:t xml:space="preserve"> in </w:t>
      </w:r>
      <w:r w:rsidR="006D6EC5" w:rsidRPr="00CE2185">
        <w:rPr>
          <w:i/>
          <w:noProof/>
        </w:rPr>
        <w:t>Section 1</w:t>
      </w:r>
      <w:r w:rsidR="00251471" w:rsidRPr="00CE2185">
        <w:rPr>
          <w:noProof/>
        </w:rPr>
        <w:t xml:space="preserve">. </w:t>
      </w:r>
      <w:r w:rsidR="00FC068B" w:rsidRPr="00CE2185">
        <w:rPr>
          <w:noProof/>
        </w:rPr>
        <w:t>The</w:t>
      </w:r>
      <w:r w:rsidR="001A1E31" w:rsidRPr="00CE2185">
        <w:rPr>
          <w:noProof/>
        </w:rPr>
        <w:t xml:space="preserve">se </w:t>
      </w:r>
      <w:r w:rsidR="00251471" w:rsidRPr="00CE2185">
        <w:rPr>
          <w:noProof/>
        </w:rPr>
        <w:t xml:space="preserve">require entities to take cybersecurity risk-management measures and demonstrate compliance with requirements as set out in Union or national transposition law. </w:t>
      </w:r>
    </w:p>
    <w:p w14:paraId="2DE5B69E" w14:textId="1804AB1A" w:rsidR="00251471" w:rsidRPr="00CE2185" w:rsidRDefault="00275E9B" w:rsidP="00671B6B">
      <w:pPr>
        <w:spacing w:after="120"/>
        <w:rPr>
          <w:noProof/>
        </w:rPr>
      </w:pPr>
      <w:r w:rsidRPr="00CE2185">
        <w:rPr>
          <w:i/>
          <w:iCs/>
          <w:noProof/>
          <w:u w:val="single"/>
        </w:rPr>
        <w:t>First</w:t>
      </w:r>
      <w:r w:rsidRPr="00CE2185">
        <w:rPr>
          <w:noProof/>
        </w:rPr>
        <w:t>, w</w:t>
      </w:r>
      <w:r w:rsidR="00251471" w:rsidRPr="00CE2185">
        <w:rPr>
          <w:noProof/>
        </w:rPr>
        <w:t xml:space="preserve">hile these requirements are designed to achieve the </w:t>
      </w:r>
      <w:r w:rsidR="001A3D2C" w:rsidRPr="00CE2185">
        <w:rPr>
          <w:b/>
          <w:bCs/>
          <w:noProof/>
        </w:rPr>
        <w:t xml:space="preserve">specific </w:t>
      </w:r>
      <w:r w:rsidR="00251471" w:rsidRPr="00CE2185">
        <w:rPr>
          <w:b/>
          <w:bCs/>
          <w:noProof/>
        </w:rPr>
        <w:t>objectives</w:t>
      </w:r>
      <w:r w:rsidR="001A3D2C" w:rsidRPr="00CE2185">
        <w:rPr>
          <w:b/>
          <w:bCs/>
          <w:noProof/>
        </w:rPr>
        <w:t xml:space="preserve"> of the respective acts</w:t>
      </w:r>
      <w:r w:rsidR="00251471" w:rsidRPr="00CE2185">
        <w:rPr>
          <w:noProof/>
        </w:rPr>
        <w:t>, the public consultation evidenced that the</w:t>
      </w:r>
      <w:r w:rsidR="00251471" w:rsidRPr="00CE2185">
        <w:rPr>
          <w:b/>
          <w:bCs/>
          <w:noProof/>
        </w:rPr>
        <w:t xml:space="preserve"> </w:t>
      </w:r>
      <w:r w:rsidR="00E46471" w:rsidRPr="00CE2185">
        <w:rPr>
          <w:b/>
          <w:bCs/>
          <w:noProof/>
        </w:rPr>
        <w:t>similar</w:t>
      </w:r>
      <w:r w:rsidR="00251471" w:rsidRPr="00CE2185">
        <w:rPr>
          <w:b/>
          <w:bCs/>
          <w:noProof/>
        </w:rPr>
        <w:t xml:space="preserve"> cybersecurity risk-management measures </w:t>
      </w:r>
      <w:r w:rsidR="00934104" w:rsidRPr="00CE2185">
        <w:rPr>
          <w:b/>
          <w:bCs/>
          <w:noProof/>
        </w:rPr>
        <w:t xml:space="preserve">required </w:t>
      </w:r>
      <w:r w:rsidR="00741FE1" w:rsidRPr="00CE2185">
        <w:rPr>
          <w:b/>
          <w:bCs/>
          <w:noProof/>
        </w:rPr>
        <w:t>under different legal acts,</w:t>
      </w:r>
      <w:r w:rsidR="00251471" w:rsidRPr="00CE2185">
        <w:rPr>
          <w:b/>
          <w:bCs/>
          <w:noProof/>
        </w:rPr>
        <w:t xml:space="preserve"> and </w:t>
      </w:r>
      <w:r w:rsidR="00E46471" w:rsidRPr="00CE2185">
        <w:rPr>
          <w:b/>
          <w:bCs/>
          <w:noProof/>
        </w:rPr>
        <w:t xml:space="preserve">various required ways </w:t>
      </w:r>
      <w:r w:rsidR="00251471" w:rsidRPr="00CE2185">
        <w:rPr>
          <w:b/>
          <w:bCs/>
          <w:noProof/>
        </w:rPr>
        <w:t>to demonstrate compliance</w:t>
      </w:r>
      <w:r w:rsidR="00741FE1" w:rsidRPr="00CE2185">
        <w:rPr>
          <w:b/>
          <w:bCs/>
          <w:noProof/>
        </w:rPr>
        <w:t>,</w:t>
      </w:r>
      <w:r w:rsidR="00251471" w:rsidRPr="00CE2185">
        <w:rPr>
          <w:b/>
          <w:bCs/>
          <w:noProof/>
        </w:rPr>
        <w:t xml:space="preserve"> therewith creates high administrative burden on businesses</w:t>
      </w:r>
      <w:r w:rsidR="00251471" w:rsidRPr="00CE2185">
        <w:rPr>
          <w:rStyle w:val="FootnoteReference"/>
          <w:noProof/>
        </w:rPr>
        <w:footnoteReference w:id="47"/>
      </w:r>
      <w:r w:rsidR="00251471" w:rsidRPr="00CE2185">
        <w:rPr>
          <w:noProof/>
        </w:rPr>
        <w:t>. Many respondents indicated that multiple frameworks apply to their entities, including NIS2, GDPR, DORA, CER and the AI Act. For instance, diverging compliance requirements for security measures from various legal acts are evidenced in their deviating rules and terminology as can be seen in Guidance Materials developed by an Aviation Cybersecurity Subgroup under the NIS Cooperation Group.</w:t>
      </w:r>
      <w:r w:rsidR="00251471" w:rsidRPr="00CE2185">
        <w:rPr>
          <w:rStyle w:val="FootnoteReference"/>
          <w:noProof/>
        </w:rPr>
        <w:footnoteReference w:id="48"/>
      </w:r>
      <w:r w:rsidR="00251471" w:rsidRPr="00CE2185">
        <w:rPr>
          <w:noProof/>
        </w:rPr>
        <w:t xml:space="preserve"> In the Implementation Dialogue on Cybersecurity Policy held by EVP Virkkunen on 15 September 2025, stakeholders raised concerns about the cumulative burden of </w:t>
      </w:r>
      <w:r w:rsidR="00E20CCE" w:rsidRPr="00CE2185">
        <w:rPr>
          <w:noProof/>
        </w:rPr>
        <w:t xml:space="preserve">demonstrating compliance with </w:t>
      </w:r>
      <w:r w:rsidR="00251471" w:rsidRPr="00CE2185">
        <w:rPr>
          <w:noProof/>
        </w:rPr>
        <w:t xml:space="preserve">multiple cybersecurity obligations set out by various Union acts. For instance, </w:t>
      </w:r>
      <w:r w:rsidR="00E20CCE" w:rsidRPr="00CE2185">
        <w:rPr>
          <w:noProof/>
        </w:rPr>
        <w:t>in</w:t>
      </w:r>
      <w:r w:rsidR="00251471" w:rsidRPr="00CE2185">
        <w:rPr>
          <w:noProof/>
        </w:rPr>
        <w:t xml:space="preserve"> the aviation sector</w:t>
      </w:r>
      <w:r w:rsidR="00E20CCE" w:rsidRPr="00CE2185">
        <w:rPr>
          <w:noProof/>
        </w:rPr>
        <w:t xml:space="preserve"> reportedly </w:t>
      </w:r>
      <w:r w:rsidR="00251471" w:rsidRPr="00CE2185">
        <w:rPr>
          <w:noProof/>
        </w:rPr>
        <w:t xml:space="preserve">it took two to three months to map the NIS2 Directive and PART-IS for </w:t>
      </w:r>
      <w:r w:rsidR="00001268" w:rsidRPr="00CE2185">
        <w:rPr>
          <w:noProof/>
        </w:rPr>
        <w:t>an entity’s</w:t>
      </w:r>
      <w:r w:rsidR="00251471" w:rsidRPr="00CE2185">
        <w:rPr>
          <w:noProof/>
        </w:rPr>
        <w:t xml:space="preserve"> systems, raising doubts whether this is manageable for smaller companies. </w:t>
      </w:r>
      <w:r w:rsidR="00D90C6C" w:rsidRPr="00CE2185">
        <w:rPr>
          <w:noProof/>
        </w:rPr>
        <w:t xml:space="preserve">The stakeholders </w:t>
      </w:r>
      <w:r w:rsidR="00085D68" w:rsidRPr="00CE2185">
        <w:rPr>
          <w:noProof/>
        </w:rPr>
        <w:t xml:space="preserve">also </w:t>
      </w:r>
      <w:r w:rsidR="00D90C6C" w:rsidRPr="00CE2185">
        <w:rPr>
          <w:noProof/>
        </w:rPr>
        <w:t xml:space="preserve">raised </w:t>
      </w:r>
      <w:r w:rsidR="00B73979" w:rsidRPr="00CE2185">
        <w:rPr>
          <w:noProof/>
        </w:rPr>
        <w:t>that</w:t>
      </w:r>
      <w:r w:rsidR="00251471" w:rsidRPr="00CE2185">
        <w:rPr>
          <w:noProof/>
        </w:rPr>
        <w:t xml:space="preserve"> SMEs </w:t>
      </w:r>
      <w:r w:rsidR="002600AE" w:rsidRPr="00CE2185">
        <w:rPr>
          <w:noProof/>
        </w:rPr>
        <w:t xml:space="preserve">are </w:t>
      </w:r>
      <w:r w:rsidR="00251471" w:rsidRPr="00CE2185">
        <w:rPr>
          <w:noProof/>
        </w:rPr>
        <w:t xml:space="preserve">struggling to interpret which regulations apply to them and </w:t>
      </w:r>
      <w:r w:rsidR="00085D68" w:rsidRPr="00CE2185">
        <w:rPr>
          <w:noProof/>
        </w:rPr>
        <w:t xml:space="preserve">in what manner and </w:t>
      </w:r>
      <w:r w:rsidR="00251471" w:rsidRPr="00CE2185">
        <w:rPr>
          <w:noProof/>
        </w:rPr>
        <w:t>to ensure compliance without exhausting their resources. This fragmentation increases administrative overhead</w:t>
      </w:r>
      <w:r w:rsidR="00085D68" w:rsidRPr="00CE2185">
        <w:rPr>
          <w:noProof/>
        </w:rPr>
        <w:t xml:space="preserve">, undermining </w:t>
      </w:r>
      <w:r w:rsidR="00251471" w:rsidRPr="00CE2185">
        <w:rPr>
          <w:noProof/>
        </w:rPr>
        <w:t>a unified EU market approach</w:t>
      </w:r>
      <w:r w:rsidR="002600AE" w:rsidRPr="00CE2185">
        <w:rPr>
          <w:noProof/>
        </w:rPr>
        <w:t>.</w:t>
      </w:r>
    </w:p>
    <w:p w14:paraId="33BEC2D1" w14:textId="775C8D5E" w:rsidR="00F57D9D" w:rsidRPr="00CE2185" w:rsidRDefault="007C144E" w:rsidP="00671B6B">
      <w:pPr>
        <w:spacing w:after="120"/>
        <w:rPr>
          <w:noProof/>
        </w:rPr>
      </w:pPr>
      <w:r w:rsidRPr="00CE2185">
        <w:rPr>
          <w:i/>
          <w:iCs/>
          <w:noProof/>
          <w:u w:val="single"/>
        </w:rPr>
        <w:t>Second</w:t>
      </w:r>
      <w:r w:rsidR="00AB7BD9" w:rsidRPr="00CE2185">
        <w:rPr>
          <w:noProof/>
        </w:rPr>
        <w:t xml:space="preserve">, </w:t>
      </w:r>
      <w:r w:rsidR="00D7271A" w:rsidRPr="00CE2185">
        <w:rPr>
          <w:noProof/>
        </w:rPr>
        <w:t>u</w:t>
      </w:r>
      <w:r w:rsidR="00F57D9D" w:rsidRPr="00CE2185">
        <w:rPr>
          <w:noProof/>
        </w:rPr>
        <w:t xml:space="preserve">ndertakings and groups of undertakings which have entities falling under the </w:t>
      </w:r>
      <w:r w:rsidR="00F57D9D" w:rsidRPr="00CE2185">
        <w:rPr>
          <w:b/>
          <w:bCs/>
          <w:noProof/>
        </w:rPr>
        <w:t>jurisdiction of several Member States</w:t>
      </w:r>
      <w:r w:rsidR="00F57D9D" w:rsidRPr="00CE2185">
        <w:rPr>
          <w:noProof/>
        </w:rPr>
        <w:t xml:space="preserve">, are often </w:t>
      </w:r>
      <w:r w:rsidR="00F57D9D" w:rsidRPr="00CE2185">
        <w:rPr>
          <w:b/>
          <w:bCs/>
          <w:noProof/>
        </w:rPr>
        <w:t>subject to different approaches to supervision of cybersecurity requirements across Member States</w:t>
      </w:r>
      <w:r w:rsidR="005A5CAE" w:rsidRPr="00CE2185">
        <w:rPr>
          <w:b/>
          <w:bCs/>
          <w:noProof/>
        </w:rPr>
        <w:t xml:space="preserve">, which can result in </w:t>
      </w:r>
      <w:r w:rsidR="00F57D9D" w:rsidRPr="00CE2185">
        <w:rPr>
          <w:noProof/>
        </w:rPr>
        <w:t xml:space="preserve"> </w:t>
      </w:r>
      <w:r w:rsidR="007A6F12" w:rsidRPr="00CE2185">
        <w:rPr>
          <w:noProof/>
        </w:rPr>
        <w:t xml:space="preserve">an </w:t>
      </w:r>
      <w:r w:rsidR="00F57D9D" w:rsidRPr="00CE2185">
        <w:rPr>
          <w:noProof/>
        </w:rPr>
        <w:t xml:space="preserve">administrative burden </w:t>
      </w:r>
      <w:r w:rsidR="000E2336" w:rsidRPr="00CE2185">
        <w:rPr>
          <w:noProof/>
        </w:rPr>
        <w:t>when</w:t>
      </w:r>
      <w:r w:rsidR="00F57D9D" w:rsidRPr="00CE2185">
        <w:rPr>
          <w:noProof/>
        </w:rPr>
        <w:t xml:space="preserve"> </w:t>
      </w:r>
      <w:r w:rsidR="00FE2984" w:rsidRPr="00CE2185">
        <w:rPr>
          <w:noProof/>
        </w:rPr>
        <w:t xml:space="preserve">demonstrating </w:t>
      </w:r>
      <w:r w:rsidR="00F57D9D" w:rsidRPr="00CE2185">
        <w:rPr>
          <w:noProof/>
        </w:rPr>
        <w:t>compliance</w:t>
      </w:r>
      <w:r w:rsidR="00955AC1" w:rsidRPr="00CE2185">
        <w:rPr>
          <w:noProof/>
        </w:rPr>
        <w:t>,</w:t>
      </w:r>
      <w:r w:rsidR="009D0181" w:rsidRPr="00CE2185">
        <w:rPr>
          <w:noProof/>
        </w:rPr>
        <w:t xml:space="preserve"> as the</w:t>
      </w:r>
      <w:r w:rsidR="00955AC1" w:rsidRPr="00CE2185">
        <w:rPr>
          <w:noProof/>
        </w:rPr>
        <w:t xml:space="preserve"> entities</w:t>
      </w:r>
      <w:r w:rsidR="009D0181" w:rsidRPr="00CE2185">
        <w:rPr>
          <w:noProof/>
        </w:rPr>
        <w:t xml:space="preserve"> have to invest time and resources required to map </w:t>
      </w:r>
      <w:r w:rsidR="00C75AB1" w:rsidRPr="00CE2185">
        <w:rPr>
          <w:noProof/>
        </w:rPr>
        <w:t xml:space="preserve">in particular national </w:t>
      </w:r>
      <w:r w:rsidR="009D0181" w:rsidRPr="00CE2185">
        <w:rPr>
          <w:noProof/>
        </w:rPr>
        <w:t>frameworks internally for compliance purposes</w:t>
      </w:r>
      <w:r w:rsidR="00F57D9D" w:rsidRPr="00CE2185">
        <w:rPr>
          <w:noProof/>
        </w:rPr>
        <w:t>.</w:t>
      </w:r>
      <w:r w:rsidR="00972965" w:rsidRPr="00CE2185">
        <w:rPr>
          <w:rStyle w:val="FootnoteReference"/>
          <w:noProof/>
        </w:rPr>
        <w:footnoteReference w:id="49"/>
      </w:r>
      <w:r w:rsidR="00F57D9D" w:rsidRPr="00CE2185">
        <w:rPr>
          <w:noProof/>
        </w:rPr>
        <w:t xml:space="preserve"> </w:t>
      </w:r>
      <w:r w:rsidR="00251471" w:rsidRPr="00CE2185">
        <w:rPr>
          <w:noProof/>
        </w:rPr>
        <w:t xml:space="preserve">Entities which are subject to different national cybersecurity frameworks may have to obtain several certifications, increasing costs for compliance. </w:t>
      </w:r>
    </w:p>
    <w:p w14:paraId="1D14115C" w14:textId="03005102" w:rsidR="00425894" w:rsidRPr="00CE2185" w:rsidRDefault="007C144E" w:rsidP="00671B6B">
      <w:pPr>
        <w:spacing w:after="120"/>
        <w:rPr>
          <w:noProof/>
        </w:rPr>
      </w:pPr>
      <w:r w:rsidRPr="00CE2185">
        <w:rPr>
          <w:i/>
          <w:iCs/>
          <w:noProof/>
          <w:u w:val="single"/>
        </w:rPr>
        <w:t>Third,</w:t>
      </w:r>
      <w:r w:rsidRPr="00CE2185">
        <w:rPr>
          <w:noProof/>
        </w:rPr>
        <w:t xml:space="preserve"> r</w:t>
      </w:r>
      <w:r w:rsidR="00A3615D" w:rsidRPr="00CE2185">
        <w:rPr>
          <w:noProof/>
        </w:rPr>
        <w:t xml:space="preserve">egarding the </w:t>
      </w:r>
      <w:r w:rsidR="00A3615D" w:rsidRPr="00CE2185">
        <w:rPr>
          <w:b/>
          <w:noProof/>
        </w:rPr>
        <w:t>scope of application of the NIS</w:t>
      </w:r>
      <w:r w:rsidR="00497E9C" w:rsidRPr="00CE2185">
        <w:rPr>
          <w:b/>
          <w:noProof/>
        </w:rPr>
        <w:t xml:space="preserve"> </w:t>
      </w:r>
      <w:r w:rsidR="00A3615D" w:rsidRPr="00CE2185">
        <w:rPr>
          <w:b/>
          <w:noProof/>
        </w:rPr>
        <w:t>2 Directive</w:t>
      </w:r>
      <w:r w:rsidR="00E0486E" w:rsidRPr="00CE2185">
        <w:rPr>
          <w:noProof/>
        </w:rPr>
        <w:t xml:space="preserve">, certain challenges </w:t>
      </w:r>
      <w:r w:rsidR="00D04B18" w:rsidRPr="00CE2185">
        <w:rPr>
          <w:noProof/>
        </w:rPr>
        <w:t xml:space="preserve">to the interpretation </w:t>
      </w:r>
      <w:r w:rsidR="00364C07" w:rsidRPr="00CE2185">
        <w:rPr>
          <w:noProof/>
        </w:rPr>
        <w:t xml:space="preserve">of provisions </w:t>
      </w:r>
      <w:r w:rsidR="00AD2DFD" w:rsidRPr="00CE2185">
        <w:rPr>
          <w:noProof/>
        </w:rPr>
        <w:t xml:space="preserve">for both the entities and the Member States </w:t>
      </w:r>
      <w:r w:rsidR="00A3615D" w:rsidRPr="00CE2185">
        <w:rPr>
          <w:noProof/>
        </w:rPr>
        <w:t>were systematically brought to the attention of the Commission services</w:t>
      </w:r>
      <w:r w:rsidR="00366380" w:rsidRPr="00CE2185">
        <w:rPr>
          <w:noProof/>
        </w:rPr>
        <w:t>,</w:t>
      </w:r>
      <w:r w:rsidR="00205B56" w:rsidRPr="00CE2185">
        <w:rPr>
          <w:noProof/>
        </w:rPr>
        <w:t xml:space="preserve"> </w:t>
      </w:r>
      <w:r w:rsidR="00251471" w:rsidRPr="00CE2185">
        <w:rPr>
          <w:noProof/>
        </w:rPr>
        <w:t xml:space="preserve">notably during meetings of the NIS Cooperation Group, </w:t>
      </w:r>
      <w:r w:rsidR="00205B56" w:rsidRPr="00CE2185">
        <w:rPr>
          <w:noProof/>
        </w:rPr>
        <w:t>demonstrating the need for</w:t>
      </w:r>
      <w:r w:rsidR="007F2F5B" w:rsidRPr="00CE2185">
        <w:rPr>
          <w:noProof/>
        </w:rPr>
        <w:t xml:space="preserve"> clarification</w:t>
      </w:r>
      <w:r w:rsidR="00653508" w:rsidRPr="00CE2185">
        <w:rPr>
          <w:noProof/>
        </w:rPr>
        <w:t>.</w:t>
      </w:r>
      <w:r w:rsidR="00A3615D" w:rsidRPr="00CE2185">
        <w:rPr>
          <w:noProof/>
        </w:rPr>
        <w:t xml:space="preserve"> </w:t>
      </w:r>
      <w:r w:rsidR="00653508" w:rsidRPr="00CE2185">
        <w:rPr>
          <w:noProof/>
        </w:rPr>
        <w:t>For example,</w:t>
      </w:r>
      <w:r w:rsidR="00A3615D" w:rsidRPr="00CE2185">
        <w:rPr>
          <w:noProof/>
        </w:rPr>
        <w:t xml:space="preserve"> the definitions of healthcare providers, electricity producers </w:t>
      </w:r>
      <w:r w:rsidR="004B7040" w:rsidRPr="00CE2185">
        <w:rPr>
          <w:noProof/>
        </w:rPr>
        <w:t>and</w:t>
      </w:r>
      <w:r w:rsidR="00A3615D" w:rsidRPr="00CE2185">
        <w:rPr>
          <w:noProof/>
        </w:rPr>
        <w:t xml:space="preserve"> entities from the chemical sector</w:t>
      </w:r>
      <w:r w:rsidR="00A80453" w:rsidRPr="00CE2185">
        <w:rPr>
          <w:noProof/>
        </w:rPr>
        <w:t xml:space="preserve"> </w:t>
      </w:r>
      <w:r w:rsidR="004B7040" w:rsidRPr="00CE2185">
        <w:rPr>
          <w:noProof/>
        </w:rPr>
        <w:t>have been criticised</w:t>
      </w:r>
      <w:r w:rsidR="008A5A4C" w:rsidRPr="00CE2185">
        <w:rPr>
          <w:noProof/>
        </w:rPr>
        <w:t xml:space="preserve"> as providing for a wider scope than envisaged during the</w:t>
      </w:r>
      <w:r w:rsidR="0001056F" w:rsidRPr="00CE2185">
        <w:rPr>
          <w:noProof/>
        </w:rPr>
        <w:t xml:space="preserve"> preparation of the NIS2 Directive</w:t>
      </w:r>
      <w:r w:rsidR="0001056F" w:rsidRPr="00CE2185">
        <w:rPr>
          <w:rStyle w:val="FootnoteReference"/>
          <w:noProof/>
        </w:rPr>
        <w:footnoteReference w:id="50"/>
      </w:r>
      <w:r w:rsidR="0001056F" w:rsidRPr="00CE2185">
        <w:rPr>
          <w:noProof/>
        </w:rPr>
        <w:t>.</w:t>
      </w:r>
      <w:r w:rsidR="00A80453" w:rsidRPr="00CE2185">
        <w:rPr>
          <w:noProof/>
        </w:rPr>
        <w:t xml:space="preserve"> </w:t>
      </w:r>
      <w:r w:rsidR="0006444C" w:rsidRPr="00CE2185">
        <w:rPr>
          <w:noProof/>
        </w:rPr>
        <w:t>Likewise, stakeholder feedback has highlighted disproportionate requirements arising from</w:t>
      </w:r>
      <w:r w:rsidR="00A80453" w:rsidRPr="00CE2185">
        <w:rPr>
          <w:noProof/>
        </w:rPr>
        <w:t xml:space="preserve"> the application</w:t>
      </w:r>
      <w:r w:rsidR="002022EE" w:rsidRPr="00CE2185">
        <w:rPr>
          <w:noProof/>
        </w:rPr>
        <w:t xml:space="preserve"> with </w:t>
      </w:r>
      <w:r w:rsidR="00E62E5E" w:rsidRPr="00CE2185">
        <w:rPr>
          <w:noProof/>
        </w:rPr>
        <w:t xml:space="preserve">regard to </w:t>
      </w:r>
      <w:r w:rsidR="0028662E" w:rsidRPr="00CE2185">
        <w:rPr>
          <w:noProof/>
        </w:rPr>
        <w:t>certain</w:t>
      </w:r>
      <w:r w:rsidR="00E62E5E" w:rsidRPr="00CE2185">
        <w:rPr>
          <w:noProof/>
        </w:rPr>
        <w:t xml:space="preserve"> entities that </w:t>
      </w:r>
      <w:r w:rsidR="0028662E" w:rsidRPr="00CE2185">
        <w:rPr>
          <w:noProof/>
        </w:rPr>
        <w:t>would be subject to the Directive irrespective of their size</w:t>
      </w:r>
      <w:r w:rsidR="0006444C" w:rsidRPr="00CE2185">
        <w:rPr>
          <w:noProof/>
        </w:rPr>
        <w:t>, such as domain name system (DNS) service providers</w:t>
      </w:r>
      <w:r w:rsidR="0006444C" w:rsidRPr="00CE2185">
        <w:rPr>
          <w:rStyle w:val="FootnoteReference"/>
          <w:noProof/>
        </w:rPr>
        <w:footnoteReference w:id="51"/>
      </w:r>
      <w:r w:rsidR="00A3615D" w:rsidRPr="00CE2185">
        <w:rPr>
          <w:noProof/>
        </w:rPr>
        <w:t xml:space="preserve">. </w:t>
      </w:r>
    </w:p>
    <w:p w14:paraId="17E2E287" w14:textId="77777777" w:rsidR="0064058B" w:rsidRPr="00CE2185" w:rsidRDefault="0064058B" w:rsidP="0064058B">
      <w:pPr>
        <w:pStyle w:val="Heading3"/>
        <w:rPr>
          <w:noProof/>
        </w:rPr>
      </w:pPr>
      <w:bookmarkStart w:id="22" w:name="_Toc219038786"/>
      <w:bookmarkStart w:id="23" w:name="_Toc219447342"/>
      <w:bookmarkStart w:id="24" w:name="_Toc210393803"/>
      <w:bookmarkStart w:id="25" w:name="_Toc210419510"/>
      <w:bookmarkStart w:id="26" w:name="_Toc210991722"/>
      <w:r w:rsidRPr="00CE2185">
        <w:rPr>
          <w:noProof/>
        </w:rPr>
        <w:t>Problem 4: Increasing ICT supply chains security risks</w:t>
      </w:r>
      <w:bookmarkEnd w:id="22"/>
      <w:bookmarkEnd w:id="23"/>
      <w:r w:rsidRPr="00CE2185">
        <w:rPr>
          <w:noProof/>
        </w:rPr>
        <w:t xml:space="preserve"> </w:t>
      </w:r>
    </w:p>
    <w:p w14:paraId="761904B2" w14:textId="77777777" w:rsidR="0064058B" w:rsidRPr="00CE2185" w:rsidRDefault="0064058B" w:rsidP="0064058B">
      <w:pPr>
        <w:pStyle w:val="Heading4"/>
        <w:rPr>
          <w:noProof/>
          <w:u w:val="single"/>
        </w:rPr>
      </w:pPr>
      <w:r w:rsidRPr="00CE2185">
        <w:rPr>
          <w:noProof/>
        </w:rPr>
        <w:t xml:space="preserve"> </w:t>
      </w:r>
      <w:r w:rsidRPr="00CE2185">
        <w:rPr>
          <w:noProof/>
          <w:u w:val="single"/>
        </w:rPr>
        <w:t>Key concepts around ICT supply chain and interplay between technical and non-technical risks</w:t>
      </w:r>
    </w:p>
    <w:p w14:paraId="38D60E96" w14:textId="77777777" w:rsidR="0064058B" w:rsidRPr="00CE2185" w:rsidRDefault="0064058B" w:rsidP="0064058B">
      <w:pPr>
        <w:pStyle w:val="Text1"/>
        <w:spacing w:after="120"/>
        <w:ind w:left="0"/>
        <w:rPr>
          <w:noProof/>
        </w:rPr>
      </w:pPr>
      <w:r w:rsidRPr="00CE2185">
        <w:rPr>
          <w:i/>
          <w:iCs/>
          <w:noProof/>
        </w:rPr>
        <w:t xml:space="preserve">First, </w:t>
      </w:r>
      <w:r w:rsidRPr="00CE2185">
        <w:rPr>
          <w:noProof/>
        </w:rPr>
        <w:t>understanding information and communication technology (ICT) supply chains security risks requires defining supply chains and ICT supply chains, and clarifying the notions and distinction between technical risks and non-technical risks.</w:t>
      </w:r>
    </w:p>
    <w:p w14:paraId="06FA55F4" w14:textId="77777777" w:rsidR="0064058B" w:rsidRPr="00CE2185" w:rsidRDefault="0064058B" w:rsidP="0064058B">
      <w:pPr>
        <w:pStyle w:val="Text1"/>
        <w:spacing w:after="120"/>
        <w:ind w:left="0"/>
        <w:rPr>
          <w:noProof/>
          <w:lang w:val="en-IE"/>
        </w:rPr>
      </w:pPr>
      <w:r w:rsidRPr="00CE2185">
        <w:rPr>
          <w:b/>
          <w:bCs/>
          <w:noProof/>
        </w:rPr>
        <w:t>Supply chains</w:t>
      </w:r>
      <w:r w:rsidRPr="00CE2185">
        <w:rPr>
          <w:noProof/>
        </w:rPr>
        <w:t xml:space="preserve"> can be defined as the entire sequence of activities, organisations, resources, and technologies involved in the production and distribution of goods or services</w:t>
      </w:r>
      <w:r>
        <w:rPr>
          <w:noProof/>
        </w:rPr>
        <w:t xml:space="preserve"> </w:t>
      </w:r>
      <w:r w:rsidRPr="00CE2185">
        <w:rPr>
          <w:noProof/>
        </w:rPr>
        <w:t xml:space="preserve">from raw material extraction to final delivery to consumers, including disposal or reuse. Within supply chains, </w:t>
      </w:r>
      <w:r w:rsidRPr="00CE2185">
        <w:rPr>
          <w:b/>
          <w:bCs/>
          <w:noProof/>
        </w:rPr>
        <w:t>ICT supply chains</w:t>
      </w:r>
      <w:r w:rsidRPr="00CE2185">
        <w:rPr>
          <w:noProof/>
        </w:rPr>
        <w:t xml:space="preserve"> can be identified as a network of entities, processes, and technologies involved in the development, delivery, and maintenance of ICT products and services, including provision of support during ICT products and services’ life cycle</w:t>
      </w:r>
      <w:r w:rsidRPr="00CE2185">
        <w:rPr>
          <w:rStyle w:val="FootnoteReference"/>
          <w:noProof/>
        </w:rPr>
        <w:footnoteReference w:id="52"/>
      </w:r>
      <w:r w:rsidRPr="00CE2185">
        <w:rPr>
          <w:noProof/>
        </w:rPr>
        <w:t xml:space="preserve">. This includes hardware, software, and digital services that are critical to the functioning of modern digital infrastructure. </w:t>
      </w:r>
      <w:r w:rsidRPr="00CE2185">
        <w:rPr>
          <w:noProof/>
          <w:lang w:val="en-IE"/>
        </w:rPr>
        <w:t xml:space="preserve">They underpin critical infrastructures and ensure the flow and provision of essential goods and services – from transport, digital infrastructure and semiconductors to energy, food, medical supplies, banking.  In a time of heightened geopolitical tension, control over ICT supply chains can be used as a tool of influence and coercion. </w:t>
      </w:r>
    </w:p>
    <w:p w14:paraId="4CC033BA" w14:textId="77777777" w:rsidR="0064058B" w:rsidRPr="00CE2185" w:rsidRDefault="0064058B" w:rsidP="0064058B">
      <w:pPr>
        <w:pStyle w:val="Text1"/>
        <w:spacing w:after="120"/>
        <w:ind w:left="0"/>
        <w:rPr>
          <w:noProof/>
        </w:rPr>
      </w:pPr>
      <w:r w:rsidRPr="00CE2185">
        <w:rPr>
          <w:noProof/>
        </w:rPr>
        <w:t>ICT supply chains are vulnerable to two types of risks:</w:t>
      </w:r>
    </w:p>
    <w:p w14:paraId="048D485B" w14:textId="77777777" w:rsidR="0064058B" w:rsidRPr="00CE2185" w:rsidRDefault="0064058B" w:rsidP="0064058B">
      <w:pPr>
        <w:pStyle w:val="Text1"/>
        <w:numPr>
          <w:ilvl w:val="0"/>
          <w:numId w:val="20"/>
        </w:numPr>
        <w:spacing w:after="120"/>
        <w:ind w:left="425" w:hanging="357"/>
        <w:rPr>
          <w:noProof/>
        </w:rPr>
      </w:pPr>
      <w:r w:rsidRPr="00CE2185">
        <w:rPr>
          <w:b/>
          <w:bCs/>
          <w:noProof/>
        </w:rPr>
        <w:t xml:space="preserve">technical risks </w:t>
      </w:r>
      <w:r w:rsidRPr="00CE2185">
        <w:rPr>
          <w:noProof/>
        </w:rPr>
        <w:t>can be defined as dangers arising from failures in the components, configurations or human error within the supply chain or from disruption of the supply chain as such. Technical risks may occur accidentally or result from malicious cyber activity</w:t>
      </w:r>
      <w:r w:rsidRPr="00CE2185">
        <w:rPr>
          <w:rStyle w:val="FootnoteReference"/>
          <w:noProof/>
        </w:rPr>
        <w:footnoteReference w:id="53"/>
      </w:r>
      <w:r w:rsidRPr="00CE2185">
        <w:rPr>
          <w:noProof/>
        </w:rPr>
        <w:t>, such as a cyber threat actor exploiting a vulnerability to compromise a network/system. Technical cybersecurity risks such as phishing or a malicious software update, can affect both software or hardware, or arise from potential deficiencies in the security processes of any stakeholder along the supply chain. Existing regulatory framework such as the current CSA, the NIS2 Directive and the CRA address such technical cybersecurity risks.</w:t>
      </w:r>
    </w:p>
    <w:p w14:paraId="3B1D801C" w14:textId="77777777" w:rsidR="0064058B" w:rsidRPr="00CE2185" w:rsidRDefault="0064058B" w:rsidP="0064058B">
      <w:pPr>
        <w:pStyle w:val="Text1"/>
        <w:numPr>
          <w:ilvl w:val="0"/>
          <w:numId w:val="20"/>
        </w:numPr>
        <w:spacing w:after="120"/>
        <w:ind w:left="425" w:hanging="357"/>
        <w:rPr>
          <w:noProof/>
        </w:rPr>
      </w:pPr>
      <w:r w:rsidRPr="00CE2185">
        <w:rPr>
          <w:b/>
          <w:noProof/>
        </w:rPr>
        <w:t xml:space="preserve">non-technical risks </w:t>
      </w:r>
      <w:r w:rsidRPr="00CE2185">
        <w:rPr>
          <w:noProof/>
        </w:rPr>
        <w:t xml:space="preserve">could be defined as </w:t>
      </w:r>
      <w:r w:rsidRPr="004D0494">
        <w:rPr>
          <w:noProof/>
        </w:rPr>
        <w:t>the likelihood of the supplier being subject to undue influence by a third country with the potential to cause loss or disruption of the service provided or to compromise the product manufactured by an entity or to lead to exfiltration of data, including for the purposes of espionage or revenue generation</w:t>
      </w:r>
      <w:r w:rsidRPr="00CE2185">
        <w:rPr>
          <w:noProof/>
        </w:rPr>
        <w:t xml:space="preserve">. This could be the case when the suppliers of services or products are established or controlled by </w:t>
      </w:r>
      <w:r>
        <w:rPr>
          <w:noProof/>
        </w:rPr>
        <w:t xml:space="preserve">entities from </w:t>
      </w:r>
      <w:r w:rsidRPr="00CE2185">
        <w:rPr>
          <w:noProof/>
        </w:rPr>
        <w:t xml:space="preserve">certain third countries, subject to </w:t>
      </w:r>
      <w:r w:rsidRPr="001C0052">
        <w:rPr>
          <w:noProof/>
          <w:lang w:val="en-IE"/>
        </w:rPr>
        <w:t>laws which require entities under their jurisdiction to report information on software or hardware vulnerabilities to authorities of that third country prior to those vulnerabilities being known to have been exploited</w:t>
      </w:r>
      <w:r w:rsidRPr="00CE2185">
        <w:rPr>
          <w:noProof/>
        </w:rPr>
        <w:t xml:space="preserve">. </w:t>
      </w:r>
    </w:p>
    <w:p w14:paraId="75C87CB9" w14:textId="77777777" w:rsidR="0064058B" w:rsidRPr="00CE2185" w:rsidRDefault="0064058B" w:rsidP="0064058B">
      <w:pPr>
        <w:pStyle w:val="Text1"/>
        <w:spacing w:after="120"/>
        <w:ind w:left="0"/>
        <w:rPr>
          <w:noProof/>
        </w:rPr>
      </w:pPr>
      <w:r w:rsidRPr="00CE2185">
        <w:rPr>
          <w:i/>
          <w:iCs/>
          <w:noProof/>
        </w:rPr>
        <w:t>Second</w:t>
      </w:r>
      <w:r w:rsidRPr="00CE2185">
        <w:rPr>
          <w:noProof/>
        </w:rPr>
        <w:t xml:space="preserve">, regarding the </w:t>
      </w:r>
      <w:r w:rsidRPr="00CE2185">
        <w:rPr>
          <w:b/>
          <w:bCs/>
          <w:noProof/>
        </w:rPr>
        <w:t>interplay between technical and non-technical risks</w:t>
      </w:r>
      <w:r w:rsidRPr="00CE2185">
        <w:rPr>
          <w:noProof/>
        </w:rPr>
        <w:t>, these should not be regarded as being mutually exclusive. For instance, a software vulnerability (technical risk) can be weaponised where the law and governance in place in a given country leads to mandatory reporting to a public authority before a patch is available (non-technical risk).</w:t>
      </w:r>
    </w:p>
    <w:p w14:paraId="2765BB25" w14:textId="77777777" w:rsidR="0064058B" w:rsidRPr="00CE2185" w:rsidRDefault="0064058B" w:rsidP="0064058B">
      <w:pPr>
        <w:pStyle w:val="Text1"/>
        <w:spacing w:after="120"/>
        <w:ind w:left="0"/>
        <w:rPr>
          <w:noProof/>
        </w:rPr>
      </w:pPr>
      <w:r w:rsidRPr="00CE2185">
        <w:rPr>
          <w:noProof/>
        </w:rPr>
        <w:t>Additionally, in practice, non-technical risks alone – i.e. with no interplay with technical risks – can result in arbitrary and possibly extraterritorial governmental access to any kind of company operations or data, including sensitive data. Non-technical risks can enable a third country to engage into economic espionage, carry out malicious cyber activities or campaigns against the Union and its Member States, or engage in irresponsible state behaviour in cyberspace, leading to potential systemic supply disruptions, in particular in the case of technological lock-in or supplier dependency. Non-technical risks can also be linked to concealed vulnerabilities or backdoors.</w:t>
      </w:r>
    </w:p>
    <w:p w14:paraId="04C950B0" w14:textId="77777777" w:rsidR="0064058B" w:rsidRPr="00CE2185" w:rsidRDefault="0064058B" w:rsidP="0064058B">
      <w:pPr>
        <w:pStyle w:val="Heading4"/>
        <w:numPr>
          <w:ilvl w:val="3"/>
          <w:numId w:val="19"/>
        </w:numPr>
        <w:rPr>
          <w:noProof/>
          <w:u w:val="single"/>
        </w:rPr>
      </w:pPr>
      <w:r w:rsidRPr="00CE2185">
        <w:rPr>
          <w:noProof/>
          <w:u w:val="single"/>
        </w:rPr>
        <w:t xml:space="preserve">Destabilisation and disruption using ICT supply chains security risks </w:t>
      </w:r>
    </w:p>
    <w:p w14:paraId="3A292609" w14:textId="77777777" w:rsidR="0064058B" w:rsidRPr="00CE2185" w:rsidRDefault="0064058B" w:rsidP="0064058B">
      <w:pPr>
        <w:spacing w:after="120"/>
        <w:rPr>
          <w:noProof/>
          <w:lang w:val="en-IE"/>
        </w:rPr>
      </w:pPr>
      <w:r w:rsidRPr="00CE2185">
        <w:rPr>
          <w:noProof/>
          <w:lang w:val="en-IE"/>
        </w:rPr>
        <w:t xml:space="preserve">Concerns over the security of ICT supply chain are apparent from the public consultation, as well as calls from European Parliament and Council against a background where the current EU regulatory framework does not contain dedicated instruments to address non-technical risks. </w:t>
      </w:r>
    </w:p>
    <w:p w14:paraId="57A506A7" w14:textId="77777777" w:rsidR="0064058B" w:rsidRPr="00CE2185" w:rsidRDefault="0064058B" w:rsidP="0064058B">
      <w:pPr>
        <w:spacing w:after="120"/>
        <w:rPr>
          <w:noProof/>
          <w:lang w:val="en-IE"/>
        </w:rPr>
      </w:pPr>
      <w:r w:rsidRPr="00CE2185">
        <w:rPr>
          <w:noProof/>
          <w:lang w:val="en-IE"/>
        </w:rPr>
        <w:t xml:space="preserve">Respondents elaborated on the types of threats contributing to ICT supply chain-related cybersecurity incidents, commonly citing compromise of third-party software components, insertion of malicious code during software development or updates, and poor security practices among suppliers </w:t>
      </w:r>
      <w:r w:rsidRPr="00CE2185">
        <w:rPr>
          <w:i/>
          <w:iCs/>
          <w:noProof/>
          <w:lang w:val="en-IE"/>
        </w:rPr>
        <w:t>(see Annex 2)</w:t>
      </w:r>
      <w:r w:rsidRPr="00CE2185">
        <w:rPr>
          <w:noProof/>
          <w:lang w:val="en-IE"/>
        </w:rPr>
        <w:t>. These replies echo the findings of ENISA. According to the Agency’s Threat Landscape 2024, supply chain attacks remain one of the seven prime threats to cybersecurity</w:t>
      </w:r>
      <w:r w:rsidRPr="00CE2185" w:rsidDel="00F1164E">
        <w:rPr>
          <w:rStyle w:val="FootnoteReference"/>
          <w:noProof/>
          <w:lang w:val="en-IE"/>
        </w:rPr>
        <w:footnoteReference w:id="54"/>
      </w:r>
      <w:r w:rsidRPr="00CE2185">
        <w:rPr>
          <w:noProof/>
          <w:lang w:val="en-IE"/>
        </w:rPr>
        <w:t xml:space="preserve"> . It was already in 2021 identified as the second most prevalent initial vector for infection</w:t>
      </w:r>
      <w:r w:rsidRPr="00CE2185" w:rsidDel="00F1164E">
        <w:rPr>
          <w:rStyle w:val="FootnoteReference"/>
          <w:noProof/>
          <w:lang w:val="en-IE"/>
        </w:rPr>
        <w:footnoteReference w:id="55"/>
      </w:r>
      <w:r w:rsidRPr="00CE2185">
        <w:rPr>
          <w:noProof/>
          <w:lang w:val="en-IE"/>
        </w:rPr>
        <w:t xml:space="preserve"> and was estimated that between 39% and 62% of organisations were affected by a third-party cyber incident</w:t>
      </w:r>
      <w:r w:rsidRPr="00CE2185" w:rsidDel="00F1164E">
        <w:rPr>
          <w:rStyle w:val="FootnoteReference"/>
          <w:noProof/>
          <w:lang w:val="en-IE"/>
        </w:rPr>
        <w:footnoteReference w:id="56"/>
      </w:r>
      <w:r w:rsidRPr="00CE2185">
        <w:rPr>
          <w:noProof/>
          <w:lang w:val="en-IE"/>
        </w:rPr>
        <w:t xml:space="preserve">. </w:t>
      </w:r>
    </w:p>
    <w:p w14:paraId="70FD1745" w14:textId="77777777" w:rsidR="0064058B" w:rsidRPr="00CE2185" w:rsidRDefault="0064058B" w:rsidP="0064058B">
      <w:pPr>
        <w:pStyle w:val="Text1"/>
        <w:spacing w:after="120"/>
        <w:ind w:left="0"/>
        <w:rPr>
          <w:noProof/>
          <w:lang w:val="en-IE"/>
        </w:rPr>
      </w:pPr>
      <w:r w:rsidRPr="00CE2185">
        <w:rPr>
          <w:i/>
          <w:iCs/>
          <w:noProof/>
          <w:u w:val="single"/>
        </w:rPr>
        <w:t>First</w:t>
      </w:r>
      <w:r w:rsidRPr="00CE2185">
        <w:rPr>
          <w:noProof/>
        </w:rPr>
        <w:t xml:space="preserve">, </w:t>
      </w:r>
      <w:r w:rsidRPr="00CE2185">
        <w:rPr>
          <w:noProof/>
          <w:lang w:val="en-IE"/>
        </w:rPr>
        <w:t>ICT supply chain attacks entail strong financial, economic and societal impacts. A supply chain breach, even if seemingly small, can expand through the supply chain through lateral movement, affecting interconnected suppliers, partners, and customers, triggering a chain reaction often referred to as the domino effect</w:t>
      </w:r>
      <w:r w:rsidRPr="00CE2185">
        <w:rPr>
          <w:rStyle w:val="FootnoteReference"/>
          <w:noProof/>
          <w:lang w:val="en-IE"/>
        </w:rPr>
        <w:footnoteReference w:id="57"/>
      </w:r>
      <w:r w:rsidRPr="00CE2185">
        <w:rPr>
          <w:noProof/>
          <w:lang w:val="en-IE"/>
        </w:rPr>
        <w:t>. Supply chain compromises take the longest time to detect and contain (267 days)</w:t>
      </w:r>
      <w:r w:rsidRPr="00CE2185">
        <w:rPr>
          <w:rStyle w:val="FootnoteReference"/>
          <w:noProof/>
          <w:lang w:val="en-IE"/>
        </w:rPr>
        <w:footnoteReference w:id="58"/>
      </w:r>
      <w:r w:rsidRPr="00CE2185">
        <w:rPr>
          <w:b/>
          <w:bCs/>
          <w:noProof/>
          <w:lang w:val="en-IE"/>
        </w:rPr>
        <w:t xml:space="preserve"> </w:t>
      </w:r>
      <w:r w:rsidRPr="00CE2185">
        <w:rPr>
          <w:i/>
          <w:iCs/>
          <w:noProof/>
          <w:lang w:val="en-IE"/>
        </w:rPr>
        <w:t>(see Annex 7, part 1)</w:t>
      </w:r>
      <w:r w:rsidRPr="00CE2185">
        <w:rPr>
          <w:noProof/>
          <w:lang w:val="en-IE"/>
        </w:rPr>
        <w:t xml:space="preserve">.  Their aftermath includes direct and indirect costs ranging from costs of IT support to reputational and financial damage, severely impacting end users and, in some cases, leading to business closures due to customers losing </w:t>
      </w:r>
      <w:r w:rsidRPr="00CE2185">
        <w:rPr>
          <w:noProof/>
        </w:rPr>
        <w:t>confidence in the company’s ability to protect their data</w:t>
      </w:r>
      <w:r w:rsidRPr="00CE2185">
        <w:rPr>
          <w:rStyle w:val="FootnoteReference"/>
          <w:noProof/>
          <w:lang w:val="en-IE"/>
        </w:rPr>
        <w:footnoteReference w:id="59"/>
      </w:r>
      <w:r w:rsidRPr="00CE2185">
        <w:rPr>
          <w:noProof/>
          <w:lang w:val="en-IE"/>
        </w:rPr>
        <w:t>. In this regard, the average global direct cost of supply chain compromise as initial attack vector is estimated at USD 4.91 million</w:t>
      </w:r>
      <w:r w:rsidRPr="00CE2185">
        <w:rPr>
          <w:rStyle w:val="FootnoteReference"/>
          <w:noProof/>
          <w:lang w:val="en-IE"/>
        </w:rPr>
        <w:footnoteReference w:id="60"/>
      </w:r>
      <w:r w:rsidRPr="00CE2185">
        <w:rPr>
          <w:b/>
          <w:bCs/>
          <w:noProof/>
          <w:lang w:val="en-IE"/>
        </w:rPr>
        <w:t xml:space="preserve"> </w:t>
      </w:r>
      <w:r w:rsidRPr="00CE2185">
        <w:rPr>
          <w:i/>
          <w:iCs/>
          <w:noProof/>
          <w:lang w:val="en-IE"/>
        </w:rPr>
        <w:t>(see Annex 7, part 1)</w:t>
      </w:r>
      <w:r w:rsidRPr="00CE2185">
        <w:rPr>
          <w:noProof/>
          <w:lang w:val="en-IE"/>
        </w:rPr>
        <w:t>. The breach may further lead to rise of cybercrime against end users through ransomware attacks or data theft.</w:t>
      </w:r>
      <w:r w:rsidRPr="00CE2185">
        <w:rPr>
          <w:rStyle w:val="FootnoteReference"/>
          <w:noProof/>
          <w:lang w:val="en-IE"/>
        </w:rPr>
        <w:footnoteReference w:id="61"/>
      </w:r>
      <w:r w:rsidRPr="00CE2185">
        <w:rPr>
          <w:noProof/>
          <w:lang w:val="en-IE"/>
        </w:rPr>
        <w:t xml:space="preserve"> </w:t>
      </w:r>
    </w:p>
    <w:p w14:paraId="3872B3C5" w14:textId="77777777" w:rsidR="0064058B" w:rsidRPr="00CE2185" w:rsidRDefault="0064058B" w:rsidP="0064058B">
      <w:pPr>
        <w:rPr>
          <w:noProof/>
          <w:lang w:val="en-IE"/>
        </w:rPr>
      </w:pPr>
      <w:r w:rsidRPr="00CE2185">
        <w:rPr>
          <w:noProof/>
          <w:lang w:eastAsia="en-GB"/>
        </w:rPr>
        <w:drawing>
          <wp:inline distT="0" distB="0" distL="0" distR="0" wp14:anchorId="7A352BD5" wp14:editId="5B397336">
            <wp:extent cx="5705959" cy="2355610"/>
            <wp:effectExtent l="0" t="0" r="0" b="6985"/>
            <wp:docPr id="8341043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04345" name="Picture 1" descr="A screenshot of a computer screen&#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9273" cy="2365235"/>
                    </a:xfrm>
                    <a:prstGeom prst="rect">
                      <a:avLst/>
                    </a:prstGeom>
                    <a:noFill/>
                  </pic:spPr>
                </pic:pic>
              </a:graphicData>
            </a:graphic>
          </wp:inline>
        </w:drawing>
      </w:r>
    </w:p>
    <w:p w14:paraId="2367503B" w14:textId="2189B64A" w:rsidR="0064058B" w:rsidRPr="00CE2185" w:rsidRDefault="0064058B" w:rsidP="0064058B">
      <w:pPr>
        <w:pStyle w:val="Heading6"/>
        <w:rPr>
          <w:noProof/>
        </w:rPr>
      </w:pPr>
      <w:bookmarkStart w:id="27" w:name="_Toc207127803"/>
      <w:bookmarkStart w:id="28" w:name="_Toc218765295"/>
      <w:r w:rsidRPr="00CE2185">
        <w:rPr>
          <w:noProof/>
        </w:rPr>
        <w:t xml:space="preserve">Figure </w:t>
      </w:r>
      <w:r>
        <w:rPr>
          <w:noProof/>
        </w:rPr>
        <w:fldChar w:fldCharType="begin"/>
      </w:r>
      <w:r>
        <w:rPr>
          <w:noProof/>
        </w:rPr>
        <w:instrText xml:space="preserve"> SEQ Figure \* ARABIC </w:instrText>
      </w:r>
      <w:r>
        <w:rPr>
          <w:noProof/>
        </w:rPr>
        <w:fldChar w:fldCharType="separate"/>
      </w:r>
      <w:r w:rsidR="00385971">
        <w:rPr>
          <w:noProof/>
        </w:rPr>
        <w:t>1</w:t>
      </w:r>
      <w:r>
        <w:rPr>
          <w:noProof/>
        </w:rPr>
        <w:fldChar w:fldCharType="end"/>
      </w:r>
      <w:r w:rsidRPr="00CE2185">
        <w:rPr>
          <w:noProof/>
        </w:rPr>
        <w:t>: Illustration of supply chain dependency</w:t>
      </w:r>
      <w:bookmarkEnd w:id="27"/>
      <w:bookmarkEnd w:id="28"/>
    </w:p>
    <w:tbl>
      <w:tblPr>
        <w:tblStyle w:val="TableGrid"/>
        <w:tblW w:w="0" w:type="auto"/>
        <w:tblLook w:val="04A0" w:firstRow="1" w:lastRow="0" w:firstColumn="1" w:lastColumn="0" w:noHBand="0" w:noVBand="1"/>
      </w:tblPr>
      <w:tblGrid>
        <w:gridCol w:w="8863"/>
      </w:tblGrid>
      <w:tr w:rsidR="0064058B" w:rsidRPr="00CE2185" w14:paraId="46AEBF9D" w14:textId="77777777" w:rsidTr="00641B35">
        <w:tc>
          <w:tcPr>
            <w:tcW w:w="9286" w:type="dxa"/>
          </w:tcPr>
          <w:p w14:paraId="4D7D9BBC" w14:textId="77777777" w:rsidR="0064058B" w:rsidRPr="00CE2185" w:rsidRDefault="0064058B" w:rsidP="00641B35">
            <w:pPr>
              <w:spacing w:after="120"/>
              <w:rPr>
                <w:b/>
                <w:noProof/>
                <w:lang w:val="en-IE"/>
              </w:rPr>
            </w:pPr>
            <w:r w:rsidRPr="00CE2185">
              <w:rPr>
                <w:b/>
                <w:noProof/>
                <w:lang w:val="en-IE"/>
              </w:rPr>
              <w:t xml:space="preserve">Example of </w:t>
            </w:r>
            <w:r w:rsidRPr="00CE2185">
              <w:rPr>
                <w:b/>
                <w:bCs/>
                <w:noProof/>
                <w:lang w:val="en-IE"/>
              </w:rPr>
              <w:t>an impactful</w:t>
            </w:r>
            <w:r w:rsidRPr="00CE2185">
              <w:rPr>
                <w:b/>
                <w:noProof/>
                <w:lang w:val="en-IE"/>
              </w:rPr>
              <w:t xml:space="preserve"> </w:t>
            </w:r>
            <w:r w:rsidRPr="00CE2185" w:rsidDel="00F1164E">
              <w:rPr>
                <w:b/>
                <w:noProof/>
                <w:lang w:val="en-IE"/>
              </w:rPr>
              <w:t xml:space="preserve">supply chain </w:t>
            </w:r>
            <w:r w:rsidRPr="00CE2185" w:rsidDel="00F1164E">
              <w:rPr>
                <w:b/>
                <w:bCs/>
                <w:noProof/>
                <w:lang w:val="en-IE"/>
              </w:rPr>
              <w:t>attack</w:t>
            </w:r>
            <w:r w:rsidRPr="00CE2185">
              <w:rPr>
                <w:b/>
                <w:noProof/>
                <w:lang w:val="en-IE"/>
              </w:rPr>
              <w:t>: The</w:t>
            </w:r>
            <w:r w:rsidRPr="00CE2185" w:rsidDel="00F1164E">
              <w:rPr>
                <w:b/>
                <w:noProof/>
                <w:lang w:val="en-IE"/>
              </w:rPr>
              <w:t xml:space="preserve"> SolarWinds </w:t>
            </w:r>
            <w:r w:rsidRPr="00CE2185">
              <w:rPr>
                <w:b/>
                <w:noProof/>
                <w:lang w:val="en-IE"/>
              </w:rPr>
              <w:t>case</w:t>
            </w:r>
          </w:p>
          <w:p w14:paraId="66CC4CE4" w14:textId="77777777" w:rsidR="0064058B" w:rsidRPr="00CE2185" w:rsidRDefault="0064058B" w:rsidP="00641B35">
            <w:pPr>
              <w:spacing w:after="120"/>
              <w:rPr>
                <w:noProof/>
                <w:lang w:val="en-IE"/>
              </w:rPr>
            </w:pPr>
            <w:r w:rsidRPr="00CE2185">
              <w:rPr>
                <w:noProof/>
                <w:lang w:val="en-IE"/>
              </w:rPr>
              <w:t>In December 2020, malicious activity that led to the compromise of the software of a major provider was exploited to access data of more than 18,000 of the providers’ customers.</w:t>
            </w:r>
            <w:r w:rsidRPr="00CE2185">
              <w:rPr>
                <w:noProof/>
              </w:rPr>
              <w:t xml:space="preserve"> According to CERT-EU, t</w:t>
            </w:r>
            <w:r w:rsidRPr="00CE2185">
              <w:rPr>
                <w:noProof/>
                <w:lang w:val="en-IE"/>
              </w:rPr>
              <w:t>he attack was a very sophisticated supply chain attack</w:t>
            </w:r>
            <w:r w:rsidRPr="00CE2185">
              <w:rPr>
                <w:rStyle w:val="FootnoteReference"/>
                <w:b/>
                <w:bCs/>
                <w:noProof/>
                <w:lang w:val="en-IE"/>
              </w:rPr>
              <w:footnoteReference w:id="62"/>
            </w:r>
            <w:r w:rsidRPr="00CE2185">
              <w:rPr>
                <w:noProof/>
                <w:lang w:val="en-IE"/>
              </w:rPr>
              <w:t>. According to a survey</w:t>
            </w:r>
            <w:r w:rsidRPr="00CE2185" w:rsidDel="00F1164E">
              <w:rPr>
                <w:rStyle w:val="FootnoteReference"/>
                <w:noProof/>
                <w:lang w:val="en-IE"/>
              </w:rPr>
              <w:footnoteReference w:id="63"/>
            </w:r>
            <w:r w:rsidRPr="00CE2185">
              <w:rPr>
                <w:noProof/>
                <w:lang w:val="en-IE"/>
              </w:rPr>
              <w:t>, 85% of SolarWinds cyberattack victims said the attack had an impact ranging from ‘small’ to ‘significant’. One of the most notable impacts was</w:t>
            </w:r>
            <w:r w:rsidRPr="00CE2185" w:rsidDel="00A53561">
              <w:rPr>
                <w:noProof/>
                <w:lang w:val="en-IE"/>
              </w:rPr>
              <w:t xml:space="preserve"> </w:t>
            </w:r>
            <w:r w:rsidRPr="00CE2185">
              <w:rPr>
                <w:noProof/>
                <w:lang w:val="en-IE"/>
              </w:rPr>
              <w:t>its financial fallout. On average globally, the attack cost companies 11% of their annual revenue. These financial costs include incident response and remediation, system upgrades, legal and regulatory fines, customer notification and support, operational disruption and downtime, in addition to a wide range of indirect and long-term costs such as reputational damage and loss of trust, loss of intellectual property and sensitive data, insurance premium increases, litigation and legal fees, or loss of competitive advantage.</w:t>
            </w:r>
          </w:p>
        </w:tc>
      </w:tr>
    </w:tbl>
    <w:p w14:paraId="38F9BC62" w14:textId="77777777" w:rsidR="0064058B" w:rsidRPr="00CE2185" w:rsidRDefault="0064058B" w:rsidP="0064058B">
      <w:pPr>
        <w:spacing w:before="120" w:after="120"/>
        <w:rPr>
          <w:noProof/>
        </w:rPr>
      </w:pPr>
      <w:r w:rsidRPr="00CE2185">
        <w:rPr>
          <w:noProof/>
        </w:rPr>
        <w:t xml:space="preserve">Beyond impacts for supply chain actors and possible direct impacts on public entities, ICT supply chains attacks can lead to indirect impact for governments, with a need to step in to protect national supply chains </w:t>
      </w:r>
      <w:r w:rsidRPr="00CE2185">
        <w:rPr>
          <w:i/>
          <w:iCs/>
          <w:noProof/>
        </w:rPr>
        <w:t>(see further in Annex 7, parts 2 and 3)</w:t>
      </w:r>
      <w:r w:rsidRPr="00CE2185">
        <w:rPr>
          <w:noProof/>
        </w:rPr>
        <w:t xml:space="preserve">. </w:t>
      </w:r>
    </w:p>
    <w:tbl>
      <w:tblPr>
        <w:tblStyle w:val="TableGrid"/>
        <w:tblW w:w="0" w:type="auto"/>
        <w:tblLook w:val="04A0" w:firstRow="1" w:lastRow="0" w:firstColumn="1" w:lastColumn="0" w:noHBand="0" w:noVBand="1"/>
      </w:tblPr>
      <w:tblGrid>
        <w:gridCol w:w="8863"/>
      </w:tblGrid>
      <w:tr w:rsidR="0064058B" w:rsidRPr="00CE2185" w14:paraId="3BE5BAB3" w14:textId="77777777" w:rsidTr="00641B35">
        <w:tc>
          <w:tcPr>
            <w:tcW w:w="9286" w:type="dxa"/>
          </w:tcPr>
          <w:p w14:paraId="5FBCC6FA" w14:textId="77777777" w:rsidR="0064058B" w:rsidRPr="00CE2185" w:rsidRDefault="0064058B" w:rsidP="00641B35">
            <w:pPr>
              <w:pStyle w:val="Text1"/>
              <w:spacing w:after="120"/>
              <w:ind w:left="0"/>
              <w:rPr>
                <w:b/>
                <w:bCs/>
                <w:noProof/>
                <w:lang w:val="en-IE"/>
              </w:rPr>
            </w:pPr>
            <w:r w:rsidRPr="00CE2185">
              <w:rPr>
                <w:b/>
                <w:bCs/>
                <w:noProof/>
                <w:lang w:val="en-IE"/>
              </w:rPr>
              <w:t>An example of state-level impact of ICT supply chain attacks: the Jaguar Land Rover case</w:t>
            </w:r>
          </w:p>
          <w:p w14:paraId="682A5AAE" w14:textId="77777777" w:rsidR="0064058B" w:rsidRPr="00CE2185" w:rsidRDefault="0064058B" w:rsidP="00641B35">
            <w:pPr>
              <w:pStyle w:val="Text1"/>
              <w:spacing w:after="120"/>
              <w:ind w:left="0"/>
              <w:rPr>
                <w:noProof/>
              </w:rPr>
            </w:pPr>
            <w:r w:rsidRPr="00CE2185">
              <w:rPr>
                <w:noProof/>
              </w:rPr>
              <w:t xml:space="preserve">In September 2025, a major cyberattack forced Jaguar Land Rover (JLR) to halt production across its factories in the UK, China, Slovakia, and India, after its IT systems were effectively disabled by the attack. As a consequence, the </w:t>
            </w:r>
            <w:r w:rsidRPr="00CE2185">
              <w:rPr>
                <w:noProof/>
                <w:lang w:val="en-IE"/>
              </w:rPr>
              <w:t>manufacturer is forced to suspend production for weeks</w:t>
            </w:r>
            <w:r w:rsidRPr="00CE2185">
              <w:rPr>
                <w:noProof/>
              </w:rPr>
              <w:t>, crippling the automotive manufacturing sector, disrupting global supply chains, and threatening SMEs and thousands of jobs</w:t>
            </w:r>
            <w:r w:rsidRPr="00CE2185">
              <w:rPr>
                <w:rStyle w:val="FootnoteReference"/>
                <w:noProof/>
              </w:rPr>
              <w:footnoteReference w:id="64"/>
            </w:r>
            <w:r w:rsidRPr="00CE2185">
              <w:rPr>
                <w:noProof/>
              </w:rPr>
              <w:t xml:space="preserve">, </w:t>
            </w:r>
            <w:r w:rsidRPr="00CE2185">
              <w:rPr>
                <w:noProof/>
                <w:lang w:val="en-IE"/>
              </w:rPr>
              <w:t>30,000 people being directly employed at the company's UK plants and 100,000 working for firms in the supply chain</w:t>
            </w:r>
            <w:r w:rsidRPr="00CE2185">
              <w:rPr>
                <w:rStyle w:val="FootnoteReference"/>
                <w:noProof/>
                <w:lang w:val="en-IE"/>
              </w:rPr>
              <w:footnoteReference w:id="65"/>
            </w:r>
            <w:r w:rsidRPr="00CE2185">
              <w:rPr>
                <w:noProof/>
                <w:lang w:val="en-IE"/>
              </w:rPr>
              <w:t xml:space="preserve">. The incident triggered a 1.5 billion pounds loan guarantee from the British government to </w:t>
            </w:r>
            <w:r w:rsidRPr="00CE2185">
              <w:rPr>
                <w:noProof/>
              </w:rPr>
              <w:t>protect affected jobs.</w:t>
            </w:r>
          </w:p>
        </w:tc>
      </w:tr>
    </w:tbl>
    <w:p w14:paraId="773837AC" w14:textId="77777777" w:rsidR="0064058B" w:rsidRPr="00CE2185" w:rsidRDefault="0064058B" w:rsidP="0064058B">
      <w:pPr>
        <w:spacing w:after="120"/>
        <w:rPr>
          <w:noProof/>
        </w:rPr>
      </w:pPr>
      <w:r w:rsidRPr="00CE2185">
        <w:rPr>
          <w:i/>
          <w:iCs/>
          <w:noProof/>
          <w:u w:val="single"/>
          <w:lang w:val="en-IE"/>
        </w:rPr>
        <w:t>Second</w:t>
      </w:r>
      <w:r w:rsidRPr="00CE2185">
        <w:rPr>
          <w:noProof/>
          <w:lang w:val="en-IE"/>
        </w:rPr>
        <w:t>, weakening of the ICT supply chain entails risks to European economic security</w:t>
      </w:r>
      <w:r w:rsidRPr="00CE2185">
        <w:rPr>
          <w:rStyle w:val="FootnoteReference"/>
          <w:noProof/>
          <w:lang w:val="en-IE"/>
        </w:rPr>
        <w:footnoteReference w:id="66"/>
      </w:r>
      <w:r w:rsidRPr="00CE2185">
        <w:rPr>
          <w:noProof/>
          <w:lang w:val="en-IE"/>
        </w:rPr>
        <w:t xml:space="preserve">. The exposure to non-technical risks of the supply chain for ICT products has been internationally recognised in the context of efforts to ensure economic resilience and security, with a commitment to ensuring that </w:t>
      </w:r>
      <w:r w:rsidRPr="00CE2185">
        <w:rPr>
          <w:i/>
          <w:iCs/>
          <w:noProof/>
          <w:lang w:val="en-IE"/>
        </w:rPr>
        <w:t>“sensitive technologies that are crucial for national security or could threaten international peace and security are appropriately controlled (…)”</w:t>
      </w:r>
      <w:r w:rsidRPr="00CE2185">
        <w:rPr>
          <w:rStyle w:val="FootnoteReference"/>
          <w:noProof/>
          <w:lang w:val="en-IE"/>
        </w:rPr>
        <w:footnoteReference w:id="67"/>
      </w:r>
      <w:r w:rsidRPr="00CE2185">
        <w:rPr>
          <w:noProof/>
          <w:lang w:val="en-IE"/>
        </w:rPr>
        <w:t>. Further, the Cybersecurity Working Group of the G7 agreed that in order to address Internet of things (IoT) cybersecurity in its entirety, both technical and non-technical  risks , including the overall risk of influence of an IoT product vendor by a third country, should be taken into account.</w:t>
      </w:r>
      <w:r w:rsidRPr="00CE2185">
        <w:rPr>
          <w:rStyle w:val="FootnoteReference"/>
          <w:noProof/>
          <w:lang w:val="en-IE"/>
        </w:rPr>
        <w:footnoteReference w:id="68"/>
      </w:r>
      <w:r w:rsidRPr="00CE2185">
        <w:rPr>
          <w:noProof/>
          <w:lang w:val="en-IE"/>
        </w:rPr>
        <w:t xml:space="preserve"> </w:t>
      </w:r>
      <w:r w:rsidRPr="00CE2185">
        <w:rPr>
          <w:noProof/>
        </w:rPr>
        <w:t xml:space="preserve">At the </w:t>
      </w:r>
      <w:r w:rsidRPr="00CE2185">
        <w:rPr>
          <w:b/>
          <w:bCs/>
          <w:noProof/>
        </w:rPr>
        <w:t>global level</w:t>
      </w:r>
      <w:r w:rsidRPr="00CE2185">
        <w:rPr>
          <w:noProof/>
        </w:rPr>
        <w:t xml:space="preserve">, </w:t>
      </w:r>
      <w:r w:rsidRPr="00CE2185">
        <w:rPr>
          <w:noProof/>
          <w:lang w:val="en-IE"/>
        </w:rPr>
        <w:t>several international partners have taken or are planning action in this field</w:t>
      </w:r>
      <w:r w:rsidRPr="00CE2185">
        <w:rPr>
          <w:noProof/>
        </w:rPr>
        <w:t>to strengthen supply chain security, with the UK and Canada providing for legal safeguards to security of the telecommunication infrastructure, including from high-risk suppliers, the US and Australia having even broader approach.</w:t>
      </w:r>
    </w:p>
    <w:p w14:paraId="42BCA8BC" w14:textId="77777777" w:rsidR="0064058B" w:rsidRPr="00CE2185" w:rsidRDefault="0064058B" w:rsidP="0064058B">
      <w:pPr>
        <w:spacing w:before="120" w:after="120"/>
        <w:rPr>
          <w:noProof/>
          <w:lang w:val="en-IE"/>
        </w:rPr>
      </w:pPr>
      <w:r w:rsidRPr="00CE2185">
        <w:rPr>
          <w:noProof/>
          <w:lang w:val="en-IE"/>
        </w:rPr>
        <w:t xml:space="preserve">The </w:t>
      </w:r>
      <w:r w:rsidRPr="00CE2185">
        <w:rPr>
          <w:b/>
          <w:bCs/>
          <w:noProof/>
          <w:lang w:val="en-IE"/>
        </w:rPr>
        <w:t>EU’s 2023 Economic Security Strategy</w:t>
      </w:r>
      <w:r w:rsidRPr="00CE2185">
        <w:rPr>
          <w:noProof/>
          <w:lang w:val="en-IE"/>
        </w:rPr>
        <w:t xml:space="preserve"> also recognised as </w:t>
      </w:r>
      <w:r w:rsidRPr="00CE2185">
        <w:rPr>
          <w:noProof/>
        </w:rPr>
        <w:t>a priority the promotion of our own competitiveness by making our economy and supply chains more resilient bolstering innovation and industrial capacity</w:t>
      </w:r>
      <w:r w:rsidRPr="00CE2185">
        <w:rPr>
          <w:noProof/>
          <w:lang w:val="en-IE"/>
        </w:rPr>
        <w:t>.</w:t>
      </w:r>
      <w:r w:rsidRPr="00CE2185">
        <w:rPr>
          <w:rStyle w:val="FootnoteReference"/>
          <w:noProof/>
          <w:lang w:val="en-IE"/>
        </w:rPr>
        <w:footnoteReference w:id="69"/>
      </w:r>
      <w:r w:rsidRPr="00CE2185">
        <w:rPr>
          <w:noProof/>
          <w:lang w:val="en-IE"/>
        </w:rPr>
        <w:t xml:space="preserve"> </w:t>
      </w:r>
    </w:p>
    <w:p w14:paraId="5AA219D3" w14:textId="77777777" w:rsidR="0064058B" w:rsidRPr="00CE2185" w:rsidRDefault="0064058B" w:rsidP="0064058B">
      <w:pPr>
        <w:spacing w:after="120"/>
        <w:rPr>
          <w:noProof/>
          <w:lang w:val="en-IE"/>
        </w:rPr>
      </w:pPr>
      <w:r w:rsidRPr="00CE2185">
        <w:rPr>
          <w:i/>
          <w:iCs/>
          <w:noProof/>
          <w:u w:val="single"/>
          <w:lang w:val="en-IE"/>
        </w:rPr>
        <w:t>Third</w:t>
      </w:r>
      <w:r w:rsidRPr="00CE2185">
        <w:rPr>
          <w:b/>
          <w:bCs/>
          <w:noProof/>
          <w:lang w:val="en-IE"/>
        </w:rPr>
        <w:t xml:space="preserve">, </w:t>
      </w:r>
      <w:r w:rsidRPr="00CE2185">
        <w:rPr>
          <w:noProof/>
          <w:lang w:val="en-IE"/>
        </w:rPr>
        <w:t>ICT supply chain is a vector for disruption in a geopolitically instable world.</w:t>
      </w:r>
      <w:r w:rsidRPr="00CE2185" w:rsidDel="00F87D7C">
        <w:rPr>
          <w:noProof/>
          <w:lang w:val="en-IE"/>
        </w:rPr>
        <w:t xml:space="preserve"> </w:t>
      </w:r>
      <w:r w:rsidRPr="00CE2185">
        <w:rPr>
          <w:noProof/>
          <w:lang w:val="en-IE"/>
        </w:rPr>
        <w:t xml:space="preserve">Among non-technical risks, state-backed cyber campaigns targeting critical infrastructure have reached unprecedented levels of scale and sophistication. </w:t>
      </w:r>
      <w:r w:rsidRPr="00CE2185">
        <w:rPr>
          <w:noProof/>
        </w:rPr>
        <w:t xml:space="preserve">Hostile foreign states and state-sponsored actors seek to infiltrate and disrupt the EU’s critical infrastructure and supply chains, </w:t>
      </w:r>
      <w:r w:rsidRPr="00CE2185">
        <w:rPr>
          <w:noProof/>
          <w:lang w:val="en-IE"/>
        </w:rPr>
        <w:t>not merely for intelligence gathering, but to establish latent control and disruption capabilities</w:t>
      </w:r>
      <w:r w:rsidRPr="00CE2185">
        <w:rPr>
          <w:noProof/>
        </w:rPr>
        <w:t>. At the same time, state-nexus threat actors have always been increasingly adept at understanding the environments they infiltrate</w:t>
      </w:r>
      <w:r w:rsidRPr="00CE2185">
        <w:rPr>
          <w:rStyle w:val="FootnoteReference"/>
          <w:noProof/>
        </w:rPr>
        <w:footnoteReference w:id="70"/>
      </w:r>
      <w:r w:rsidRPr="00CE2185">
        <w:rPr>
          <w:noProof/>
        </w:rPr>
        <w:t>. They strategically deploy tools to conduct thorough reconnaissance and prevent the detection and analysis of their implants by employing robust anti-forensic measures</w:t>
      </w:r>
      <w:r w:rsidRPr="00CE2185">
        <w:rPr>
          <w:rStyle w:val="FootnoteReference"/>
          <w:noProof/>
        </w:rPr>
        <w:footnoteReference w:id="71"/>
      </w:r>
      <w:r w:rsidRPr="00CE2185">
        <w:rPr>
          <w:noProof/>
        </w:rPr>
        <w:t>. Predominantly, actors associated with Russia, Iran and North Korea continue to deploy disruptive malware</w:t>
      </w:r>
      <w:r w:rsidRPr="00CE2185">
        <w:rPr>
          <w:rStyle w:val="FootnoteReference"/>
          <w:noProof/>
        </w:rPr>
        <w:footnoteReference w:id="72"/>
      </w:r>
      <w:r w:rsidRPr="00CE2185">
        <w:rPr>
          <w:noProof/>
        </w:rPr>
        <w:t xml:space="preserve">. These activities oftentimes have the aim of espionage, i.e. to gather political, military and economic intelligence; or strategic disruption, i.e. to position oneself in critical infrastructure for a possible disruption of essential service in the future, for instance in the case of a conflict. </w:t>
      </w:r>
    </w:p>
    <w:tbl>
      <w:tblPr>
        <w:tblStyle w:val="TableGrid"/>
        <w:tblW w:w="0" w:type="auto"/>
        <w:tblLook w:val="04A0" w:firstRow="1" w:lastRow="0" w:firstColumn="1" w:lastColumn="0" w:noHBand="0" w:noVBand="1"/>
      </w:tblPr>
      <w:tblGrid>
        <w:gridCol w:w="8863"/>
      </w:tblGrid>
      <w:tr w:rsidR="0064058B" w:rsidRPr="00CE2185" w14:paraId="03BCB9EB" w14:textId="77777777" w:rsidTr="00641B35">
        <w:tc>
          <w:tcPr>
            <w:tcW w:w="9286" w:type="dxa"/>
          </w:tcPr>
          <w:p w14:paraId="17C59237" w14:textId="77777777" w:rsidR="0064058B" w:rsidRPr="00CE2185" w:rsidRDefault="0064058B" w:rsidP="00641B35">
            <w:pPr>
              <w:spacing w:after="120"/>
              <w:rPr>
                <w:b/>
                <w:noProof/>
                <w:lang w:val="en-IE"/>
              </w:rPr>
            </w:pPr>
            <w:r w:rsidRPr="00CE2185">
              <w:rPr>
                <w:b/>
                <w:noProof/>
                <w:lang w:val="en-IE"/>
              </w:rPr>
              <w:t>Example of a</w:t>
            </w:r>
            <w:r w:rsidRPr="00CE2185">
              <w:rPr>
                <w:b/>
                <w:bCs/>
                <w:noProof/>
                <w:lang w:val="en-IE"/>
              </w:rPr>
              <w:t xml:space="preserve"> state using ICT supply chains as a means of disruption</w:t>
            </w:r>
          </w:p>
          <w:p w14:paraId="1187044D" w14:textId="77777777" w:rsidR="0064058B" w:rsidRPr="00CE2185" w:rsidRDefault="0064058B" w:rsidP="00641B35">
            <w:pPr>
              <w:spacing w:after="120"/>
              <w:rPr>
                <w:noProof/>
                <w:lang w:val="en-IE"/>
              </w:rPr>
            </w:pPr>
            <w:r w:rsidRPr="00CE2185">
              <w:rPr>
                <w:noProof/>
              </w:rPr>
              <w:t>The Chinese state-sponsored ‘</w:t>
            </w:r>
            <w:r w:rsidRPr="00CE2185">
              <w:rPr>
                <w:b/>
                <w:bCs/>
                <w:noProof/>
              </w:rPr>
              <w:t>Salt Typhoon’</w:t>
            </w:r>
            <w:r w:rsidRPr="00CE2185">
              <w:rPr>
                <w:noProof/>
              </w:rPr>
              <w:t xml:space="preserve"> campaign</w:t>
            </w:r>
            <w:r w:rsidRPr="00CE2185">
              <w:rPr>
                <w:rStyle w:val="FootnoteReference"/>
                <w:noProof/>
              </w:rPr>
              <w:footnoteReference w:id="73"/>
            </w:r>
            <w:r w:rsidRPr="00CE2185">
              <w:rPr>
                <w:noProof/>
              </w:rPr>
              <w:t> , whereby the threat actor gained access to targets through a partner or a vendor or, targeted telecommunications entities around the world with the potential for major cascading effects including on public safety and Union security. Chinese state-sponsored actor ‘</w:t>
            </w:r>
            <w:r w:rsidRPr="00CE2185">
              <w:rPr>
                <w:b/>
                <w:bCs/>
                <w:noProof/>
              </w:rPr>
              <w:t>UNC5221</w:t>
            </w:r>
            <w:r w:rsidRPr="00CE2185">
              <w:rPr>
                <w:noProof/>
              </w:rPr>
              <w:t>’ compromised dozens of organisations worldwide by targeting vulnerabilities in Ivanti IT security products. These activities should be placed in the context of Chinese companies owning or having stakes in a wide range of European critical infrastructure, including ports, airports, customs, electricity companies, wind and solar farms and telecommunication, as well as the strategic aim of China to secure its access to EU markets and technologies.</w:t>
            </w:r>
            <w:r w:rsidRPr="00CE2185">
              <w:rPr>
                <w:rStyle w:val="FootnoteReference"/>
                <w:noProof/>
              </w:rPr>
              <w:footnoteReference w:id="74"/>
            </w:r>
            <w:r w:rsidRPr="00CE2185">
              <w:rPr>
                <w:rStyle w:val="FootnoteReference"/>
                <w:noProof/>
              </w:rPr>
              <w:t xml:space="preserve"> </w:t>
            </w:r>
          </w:p>
        </w:tc>
      </w:tr>
    </w:tbl>
    <w:p w14:paraId="63080C8E" w14:textId="6BBC3D59" w:rsidR="00D51D67" w:rsidRPr="00CE2185" w:rsidRDefault="006B087E" w:rsidP="00631E3C">
      <w:pPr>
        <w:pStyle w:val="Heading2"/>
        <w:spacing w:before="360"/>
        <w:ind w:left="1202"/>
        <w:rPr>
          <w:noProof/>
        </w:rPr>
      </w:pPr>
      <w:bookmarkStart w:id="29" w:name="_Toc210393804"/>
      <w:bookmarkStart w:id="30" w:name="_Toc210419511"/>
      <w:bookmarkStart w:id="31" w:name="_Toc219447343"/>
      <w:bookmarkEnd w:id="24"/>
      <w:bookmarkEnd w:id="25"/>
      <w:bookmarkEnd w:id="26"/>
      <w:r w:rsidRPr="00CE2185">
        <w:rPr>
          <w:noProof/>
        </w:rPr>
        <w:t>What are the problem drivers?</w:t>
      </w:r>
      <w:bookmarkEnd w:id="29"/>
      <w:bookmarkEnd w:id="30"/>
      <w:bookmarkEnd w:id="31"/>
    </w:p>
    <w:p w14:paraId="5110680A" w14:textId="726DEDB7" w:rsidR="00552146" w:rsidRPr="00CE2185" w:rsidRDefault="00294252" w:rsidP="00552146">
      <w:pPr>
        <w:spacing w:after="120"/>
        <w:rPr>
          <w:noProof/>
        </w:rPr>
      </w:pPr>
      <w:r w:rsidRPr="00CE2185">
        <w:rPr>
          <w:noProof/>
        </w:rPr>
        <w:t xml:space="preserve">Whereas </w:t>
      </w:r>
      <w:r w:rsidR="005A0919" w:rsidRPr="00CE2185">
        <w:rPr>
          <w:noProof/>
        </w:rPr>
        <w:t>three</w:t>
      </w:r>
      <w:r w:rsidRPr="00CE2185">
        <w:rPr>
          <w:noProof/>
        </w:rPr>
        <w:t xml:space="preserve"> drivers</w:t>
      </w:r>
      <w:r w:rsidR="0077796C" w:rsidRPr="00CE2185">
        <w:rPr>
          <w:noProof/>
        </w:rPr>
        <w:t xml:space="preserve"> are common to all problems (“horizontal</w:t>
      </w:r>
      <w:r w:rsidR="00DD2D19" w:rsidRPr="00CE2185">
        <w:rPr>
          <w:noProof/>
        </w:rPr>
        <w:t xml:space="preserve"> drivers</w:t>
      </w:r>
      <w:r w:rsidR="0077796C" w:rsidRPr="00CE2185">
        <w:rPr>
          <w:noProof/>
        </w:rPr>
        <w:t xml:space="preserve">”), </w:t>
      </w:r>
      <w:r w:rsidR="005A0919" w:rsidRPr="00CE2185">
        <w:rPr>
          <w:noProof/>
        </w:rPr>
        <w:t>other</w:t>
      </w:r>
      <w:r w:rsidR="0077796C" w:rsidRPr="00CE2185">
        <w:rPr>
          <w:noProof/>
        </w:rPr>
        <w:t xml:space="preserve"> drivers </w:t>
      </w:r>
      <w:r w:rsidR="009213F7" w:rsidRPr="00CE2185">
        <w:rPr>
          <w:noProof/>
        </w:rPr>
        <w:t>relate</w:t>
      </w:r>
      <w:r w:rsidR="0077796C" w:rsidRPr="00CE2185">
        <w:rPr>
          <w:noProof/>
        </w:rPr>
        <w:t xml:space="preserve"> to </w:t>
      </w:r>
      <w:r w:rsidR="009213F7" w:rsidRPr="00CE2185">
        <w:rPr>
          <w:noProof/>
        </w:rPr>
        <w:t xml:space="preserve">one or several problems. </w:t>
      </w:r>
      <w:r w:rsidR="00902371" w:rsidRPr="00CE2185">
        <w:rPr>
          <w:noProof/>
        </w:rPr>
        <w:t>These are presented hereafter</w:t>
      </w:r>
      <w:r w:rsidR="00DA0F2E" w:rsidRPr="00CE2185">
        <w:rPr>
          <w:noProof/>
        </w:rPr>
        <w:t xml:space="preserve">. </w:t>
      </w:r>
      <w:r w:rsidR="00115096" w:rsidRPr="00CE2185">
        <w:rPr>
          <w:noProof/>
        </w:rPr>
        <w:t>Following a different categorisation of the drivers, some elements of the drivers are linked to the scope whereas other elements are linked to implementation and management</w:t>
      </w:r>
      <w:r w:rsidR="003B2C5C" w:rsidRPr="00CE2185">
        <w:rPr>
          <w:noProof/>
        </w:rPr>
        <w:t>. This clas</w:t>
      </w:r>
      <w:r w:rsidR="0068154B" w:rsidRPr="00CE2185">
        <w:rPr>
          <w:noProof/>
        </w:rPr>
        <w:t>sification is p</w:t>
      </w:r>
      <w:r w:rsidR="00DA0F2E" w:rsidRPr="00CE2185">
        <w:rPr>
          <w:noProof/>
        </w:rPr>
        <w:t xml:space="preserve">resented in the </w:t>
      </w:r>
      <w:r w:rsidR="004A412C" w:rsidRPr="00CE2185">
        <w:rPr>
          <w:noProof/>
        </w:rPr>
        <w:t>table</w:t>
      </w:r>
      <w:r w:rsidR="0068154B" w:rsidRPr="00CE2185">
        <w:rPr>
          <w:noProof/>
        </w:rPr>
        <w:t xml:space="preserve"> below.</w:t>
      </w:r>
    </w:p>
    <w:p w14:paraId="7A0EC457" w14:textId="6EBDB6F1" w:rsidR="00F03D0E" w:rsidRPr="00CE2185" w:rsidRDefault="00902371" w:rsidP="0088445A">
      <w:pPr>
        <w:pStyle w:val="Heading7"/>
        <w:rPr>
          <w:noProof/>
        </w:rPr>
      </w:pPr>
      <w:bookmarkStart w:id="32" w:name="_Toc218767763"/>
      <w:r w:rsidRPr="00CE2185">
        <w:rPr>
          <w:noProof/>
        </w:rPr>
        <w:t>Table 1</w:t>
      </w:r>
      <w:r w:rsidR="00BC6048">
        <w:rPr>
          <w:noProof/>
        </w:rPr>
        <w:t>:</w:t>
      </w:r>
      <w:r w:rsidRPr="00CE2185">
        <w:rPr>
          <w:noProof/>
        </w:rPr>
        <w:t xml:space="preserve"> </w:t>
      </w:r>
      <w:r w:rsidR="0083261E" w:rsidRPr="00CE2185">
        <w:rPr>
          <w:noProof/>
        </w:rPr>
        <w:t xml:space="preserve">Elements of the drivers linked to the scope </w:t>
      </w:r>
      <w:r w:rsidR="00933B7C" w:rsidRPr="00CE2185">
        <w:rPr>
          <w:noProof/>
        </w:rPr>
        <w:t>and linked to implementation and management</w:t>
      </w:r>
      <w:bookmarkEnd w:id="32"/>
    </w:p>
    <w:tbl>
      <w:tblPr>
        <w:tblStyle w:val="TableGrid"/>
        <w:tblW w:w="0" w:type="auto"/>
        <w:tblLook w:val="04A0" w:firstRow="1" w:lastRow="0" w:firstColumn="1" w:lastColumn="0" w:noHBand="0" w:noVBand="1"/>
      </w:tblPr>
      <w:tblGrid>
        <w:gridCol w:w="1078"/>
        <w:gridCol w:w="4297"/>
        <w:gridCol w:w="3488"/>
      </w:tblGrid>
      <w:tr w:rsidR="001F2D6E" w:rsidRPr="00CE2185" w14:paraId="76B54865" w14:textId="77777777" w:rsidTr="00D10E17">
        <w:tc>
          <w:tcPr>
            <w:tcW w:w="1078" w:type="dxa"/>
          </w:tcPr>
          <w:p w14:paraId="43D07DE8" w14:textId="77777777" w:rsidR="00320095" w:rsidRPr="00CE2185" w:rsidRDefault="00320095" w:rsidP="00631E3C">
            <w:pPr>
              <w:spacing w:after="0"/>
              <w:rPr>
                <w:b/>
                <w:bCs/>
                <w:noProof/>
                <w:sz w:val="21"/>
                <w:szCs w:val="21"/>
              </w:rPr>
            </w:pPr>
          </w:p>
        </w:tc>
        <w:tc>
          <w:tcPr>
            <w:tcW w:w="4297" w:type="dxa"/>
          </w:tcPr>
          <w:p w14:paraId="307B00D4" w14:textId="77777777" w:rsidR="00320095" w:rsidRPr="00CE2185" w:rsidRDefault="00320095" w:rsidP="00631E3C">
            <w:pPr>
              <w:spacing w:after="0"/>
              <w:rPr>
                <w:b/>
                <w:bCs/>
                <w:noProof/>
                <w:sz w:val="21"/>
                <w:szCs w:val="21"/>
              </w:rPr>
            </w:pPr>
            <w:r w:rsidRPr="00CE2185">
              <w:rPr>
                <w:b/>
                <w:bCs/>
                <w:noProof/>
                <w:sz w:val="21"/>
                <w:szCs w:val="21"/>
              </w:rPr>
              <w:t>Elements of the drivers linked to the scope</w:t>
            </w:r>
          </w:p>
        </w:tc>
        <w:tc>
          <w:tcPr>
            <w:tcW w:w="3488" w:type="dxa"/>
          </w:tcPr>
          <w:p w14:paraId="79DB8CCB" w14:textId="77777777" w:rsidR="00320095" w:rsidRPr="00CE2185" w:rsidRDefault="00320095" w:rsidP="00631E3C">
            <w:pPr>
              <w:spacing w:after="0"/>
              <w:rPr>
                <w:b/>
                <w:bCs/>
                <w:noProof/>
                <w:sz w:val="21"/>
                <w:szCs w:val="21"/>
              </w:rPr>
            </w:pPr>
            <w:r w:rsidRPr="00CE2185">
              <w:rPr>
                <w:b/>
                <w:bCs/>
                <w:noProof/>
                <w:sz w:val="21"/>
                <w:szCs w:val="21"/>
              </w:rPr>
              <w:t>Elements of the driver linked to implementation and management</w:t>
            </w:r>
          </w:p>
        </w:tc>
      </w:tr>
      <w:tr w:rsidR="00D10E17" w:rsidRPr="00CE2185" w14:paraId="57EE98EF" w14:textId="77777777" w:rsidTr="00D10E17">
        <w:tc>
          <w:tcPr>
            <w:tcW w:w="1078" w:type="dxa"/>
          </w:tcPr>
          <w:p w14:paraId="23A74640" w14:textId="52FB8D38" w:rsidR="00D10E17" w:rsidRPr="00CE2185" w:rsidRDefault="00D10E17" w:rsidP="00D10E17">
            <w:pPr>
              <w:spacing w:after="0"/>
              <w:rPr>
                <w:b/>
                <w:bCs/>
                <w:noProof/>
                <w:sz w:val="21"/>
                <w:szCs w:val="21"/>
              </w:rPr>
            </w:pPr>
            <w:r w:rsidRPr="00CE2185">
              <w:rPr>
                <w:b/>
                <w:bCs/>
                <w:noProof/>
                <w:sz w:val="21"/>
                <w:szCs w:val="21"/>
              </w:rPr>
              <w:t xml:space="preserve">Driver 1 </w:t>
            </w:r>
          </w:p>
        </w:tc>
        <w:tc>
          <w:tcPr>
            <w:tcW w:w="4297" w:type="dxa"/>
          </w:tcPr>
          <w:p w14:paraId="2B22F0C1" w14:textId="77777777" w:rsidR="00D10E17" w:rsidRPr="00CE2185" w:rsidRDefault="00D10E17" w:rsidP="00D10E17">
            <w:pPr>
              <w:spacing w:after="0"/>
              <w:rPr>
                <w:noProof/>
                <w:sz w:val="21"/>
                <w:szCs w:val="21"/>
              </w:rPr>
            </w:pPr>
            <w:r w:rsidRPr="00CE2185">
              <w:rPr>
                <w:noProof/>
                <w:sz w:val="21"/>
                <w:szCs w:val="21"/>
              </w:rPr>
              <w:t>Evolution of threat and technological landscapes insufficiently catered for (horizontal)</w:t>
            </w:r>
          </w:p>
          <w:p w14:paraId="7B49A652" w14:textId="767AF02E" w:rsidR="00D10E17" w:rsidRPr="00CE2185" w:rsidRDefault="00D10E17" w:rsidP="00D10E17">
            <w:pPr>
              <w:spacing w:after="0"/>
              <w:rPr>
                <w:noProof/>
                <w:sz w:val="21"/>
                <w:szCs w:val="21"/>
              </w:rPr>
            </w:pPr>
            <w:r w:rsidRPr="00CE2185">
              <w:rPr>
                <w:noProof/>
                <w:sz w:val="21"/>
                <w:szCs w:val="21"/>
              </w:rPr>
              <w:t>Geopolitical factors insufficiently catered for (ECCF)</w:t>
            </w:r>
          </w:p>
        </w:tc>
        <w:tc>
          <w:tcPr>
            <w:tcW w:w="3488" w:type="dxa"/>
          </w:tcPr>
          <w:p w14:paraId="537E9764" w14:textId="77777777" w:rsidR="00D10E17" w:rsidRPr="00CE2185" w:rsidRDefault="00D10E17" w:rsidP="00D10E17">
            <w:pPr>
              <w:spacing w:after="0"/>
              <w:rPr>
                <w:noProof/>
                <w:sz w:val="21"/>
                <w:szCs w:val="21"/>
              </w:rPr>
            </w:pPr>
          </w:p>
        </w:tc>
      </w:tr>
      <w:tr w:rsidR="00D10E17" w:rsidRPr="00CE2185" w14:paraId="7F801E06" w14:textId="77777777" w:rsidTr="00D10E17">
        <w:tc>
          <w:tcPr>
            <w:tcW w:w="1078" w:type="dxa"/>
          </w:tcPr>
          <w:p w14:paraId="44C1FA0D" w14:textId="515357D1" w:rsidR="00D10E17" w:rsidRPr="00CE2185" w:rsidRDefault="00D10E17" w:rsidP="00D10E17">
            <w:pPr>
              <w:spacing w:after="0"/>
              <w:rPr>
                <w:b/>
                <w:bCs/>
                <w:noProof/>
                <w:sz w:val="21"/>
                <w:szCs w:val="21"/>
              </w:rPr>
            </w:pPr>
            <w:r w:rsidRPr="00CE2185">
              <w:rPr>
                <w:b/>
                <w:bCs/>
                <w:noProof/>
                <w:sz w:val="21"/>
                <w:szCs w:val="21"/>
              </w:rPr>
              <w:t xml:space="preserve">Driver 2 </w:t>
            </w:r>
          </w:p>
        </w:tc>
        <w:tc>
          <w:tcPr>
            <w:tcW w:w="4297" w:type="dxa"/>
          </w:tcPr>
          <w:p w14:paraId="3DD2F3F2" w14:textId="77777777" w:rsidR="00D10E17" w:rsidRPr="00CE2185" w:rsidRDefault="00D10E17" w:rsidP="00D10E17">
            <w:pPr>
              <w:spacing w:after="0"/>
              <w:rPr>
                <w:noProof/>
                <w:sz w:val="21"/>
                <w:szCs w:val="21"/>
              </w:rPr>
            </w:pPr>
            <w:r w:rsidRPr="00CE2185">
              <w:rPr>
                <w:noProof/>
                <w:sz w:val="21"/>
                <w:szCs w:val="21"/>
              </w:rPr>
              <w:t>Prioritisation of tasks across legislations, new tasks (ENISA mandate)</w:t>
            </w:r>
          </w:p>
          <w:p w14:paraId="60E5699F" w14:textId="77777777" w:rsidR="00D10E17" w:rsidRPr="00CE2185" w:rsidRDefault="00D10E17" w:rsidP="00D10E17">
            <w:pPr>
              <w:spacing w:after="0"/>
              <w:rPr>
                <w:noProof/>
                <w:sz w:val="21"/>
                <w:szCs w:val="21"/>
              </w:rPr>
            </w:pPr>
            <w:r w:rsidRPr="00CE2185">
              <w:rPr>
                <w:noProof/>
                <w:sz w:val="21"/>
                <w:szCs w:val="21"/>
              </w:rPr>
              <w:t>CRA and NLF coherence (ECCF)</w:t>
            </w:r>
          </w:p>
          <w:p w14:paraId="5C11E961" w14:textId="77777777" w:rsidR="00D10E17" w:rsidRPr="00CE2185" w:rsidRDefault="00D10E17" w:rsidP="00D10E17">
            <w:pPr>
              <w:spacing w:after="0"/>
              <w:rPr>
                <w:noProof/>
                <w:sz w:val="21"/>
                <w:szCs w:val="21"/>
              </w:rPr>
            </w:pPr>
            <w:r w:rsidRPr="00CE2185">
              <w:rPr>
                <w:noProof/>
                <w:sz w:val="21"/>
                <w:szCs w:val="21"/>
              </w:rPr>
              <w:t>Certification of cyber posture not covered (simplification)</w:t>
            </w:r>
          </w:p>
          <w:p w14:paraId="3633084E" w14:textId="77777777" w:rsidR="00D10E17" w:rsidRPr="00CE2185" w:rsidRDefault="00D10E17" w:rsidP="00D10E17">
            <w:pPr>
              <w:spacing w:after="0"/>
              <w:rPr>
                <w:noProof/>
                <w:sz w:val="21"/>
                <w:szCs w:val="21"/>
              </w:rPr>
            </w:pPr>
            <w:r w:rsidRPr="00CE2185">
              <w:rPr>
                <w:noProof/>
                <w:sz w:val="21"/>
                <w:szCs w:val="21"/>
              </w:rPr>
              <w:t>No maintenance mechanisms (ECCF)</w:t>
            </w:r>
          </w:p>
          <w:p w14:paraId="5ED2588C" w14:textId="77777777" w:rsidR="00D10E17" w:rsidRPr="00CE2185" w:rsidRDefault="00D10E17" w:rsidP="00D10E17">
            <w:pPr>
              <w:spacing w:after="0"/>
              <w:rPr>
                <w:noProof/>
                <w:sz w:val="21"/>
                <w:szCs w:val="21"/>
              </w:rPr>
            </w:pPr>
            <w:r w:rsidRPr="00CE2185">
              <w:rPr>
                <w:noProof/>
                <w:sz w:val="21"/>
                <w:szCs w:val="21"/>
              </w:rPr>
              <w:t>ICT supply chain security not covered (ICT supply chain</w:t>
            </w:r>
          </w:p>
          <w:p w14:paraId="469BE640" w14:textId="77777777" w:rsidR="00D10E17" w:rsidRPr="00CE2185" w:rsidRDefault="00D10E17" w:rsidP="00D10E17">
            <w:pPr>
              <w:spacing w:after="0"/>
              <w:rPr>
                <w:noProof/>
                <w:sz w:val="21"/>
                <w:szCs w:val="21"/>
              </w:rPr>
            </w:pPr>
            <w:r w:rsidRPr="00CE2185">
              <w:rPr>
                <w:noProof/>
                <w:sz w:val="21"/>
                <w:szCs w:val="21"/>
              </w:rPr>
              <w:t>No support for supervision (simplification)</w:t>
            </w:r>
          </w:p>
          <w:p w14:paraId="2B18BD91" w14:textId="65DCF499" w:rsidR="00D10E17" w:rsidRPr="00CE2185" w:rsidRDefault="00D10E17" w:rsidP="00D10E17">
            <w:pPr>
              <w:spacing w:after="0"/>
              <w:rPr>
                <w:noProof/>
                <w:sz w:val="21"/>
                <w:szCs w:val="21"/>
              </w:rPr>
            </w:pPr>
            <w:r w:rsidRPr="00CE2185">
              <w:rPr>
                <w:noProof/>
                <w:sz w:val="21"/>
                <w:szCs w:val="21"/>
              </w:rPr>
              <w:t>Interplay with NIS2 not sufficiently anticipated (simplification, ENISA mandate)</w:t>
            </w:r>
          </w:p>
        </w:tc>
        <w:tc>
          <w:tcPr>
            <w:tcW w:w="3488" w:type="dxa"/>
          </w:tcPr>
          <w:p w14:paraId="6F53E83D" w14:textId="77777777" w:rsidR="00D10E17" w:rsidRPr="00CE2185" w:rsidRDefault="00D10E17" w:rsidP="00D10E17">
            <w:pPr>
              <w:spacing w:after="0"/>
              <w:rPr>
                <w:noProof/>
                <w:sz w:val="21"/>
                <w:szCs w:val="21"/>
              </w:rPr>
            </w:pPr>
            <w:r w:rsidRPr="00CE2185">
              <w:rPr>
                <w:noProof/>
                <w:sz w:val="21"/>
                <w:szCs w:val="21"/>
              </w:rPr>
              <w:t>Ineffective synergies with other bodies (ECCF)</w:t>
            </w:r>
          </w:p>
          <w:p w14:paraId="32BDE3BC" w14:textId="010152AB" w:rsidR="00D10E17" w:rsidRPr="00CE2185" w:rsidRDefault="00D10E17" w:rsidP="00D10E17">
            <w:pPr>
              <w:spacing w:after="0"/>
              <w:rPr>
                <w:noProof/>
                <w:sz w:val="21"/>
                <w:szCs w:val="21"/>
              </w:rPr>
            </w:pPr>
            <w:r w:rsidRPr="00CE2185">
              <w:rPr>
                <w:noProof/>
                <w:sz w:val="21"/>
                <w:szCs w:val="21"/>
              </w:rPr>
              <w:t>Procedural deficiencies, lack of transparency (ECCF)</w:t>
            </w:r>
          </w:p>
        </w:tc>
      </w:tr>
      <w:tr w:rsidR="00D10E17" w:rsidRPr="00CE2185" w14:paraId="00D9D8B6" w14:textId="77777777" w:rsidTr="00D10E17">
        <w:tc>
          <w:tcPr>
            <w:tcW w:w="1078" w:type="dxa"/>
          </w:tcPr>
          <w:p w14:paraId="71A01B02" w14:textId="6DB9760C" w:rsidR="00D10E17" w:rsidRPr="00CE2185" w:rsidRDefault="00D10E17" w:rsidP="00D10E17">
            <w:pPr>
              <w:spacing w:after="0"/>
              <w:rPr>
                <w:b/>
                <w:bCs/>
                <w:noProof/>
                <w:sz w:val="21"/>
                <w:szCs w:val="21"/>
              </w:rPr>
            </w:pPr>
            <w:r w:rsidRPr="00CE2185">
              <w:rPr>
                <w:b/>
                <w:bCs/>
                <w:noProof/>
                <w:sz w:val="21"/>
                <w:szCs w:val="21"/>
              </w:rPr>
              <w:t xml:space="preserve">Driver 3 </w:t>
            </w:r>
          </w:p>
        </w:tc>
        <w:tc>
          <w:tcPr>
            <w:tcW w:w="4297" w:type="dxa"/>
          </w:tcPr>
          <w:p w14:paraId="16FE6A66" w14:textId="77777777" w:rsidR="00D10E17" w:rsidRPr="00CE2185" w:rsidRDefault="00D10E17" w:rsidP="00D10E17">
            <w:pPr>
              <w:spacing w:after="0"/>
              <w:rPr>
                <w:noProof/>
                <w:sz w:val="21"/>
                <w:szCs w:val="21"/>
              </w:rPr>
            </w:pPr>
            <w:r w:rsidRPr="00CE2185">
              <w:rPr>
                <w:noProof/>
                <w:sz w:val="21"/>
                <w:szCs w:val="21"/>
              </w:rPr>
              <w:t>High dependency on non-European suppliers not covered (all)</w:t>
            </w:r>
          </w:p>
          <w:p w14:paraId="3944975F" w14:textId="77777777" w:rsidR="00D10E17" w:rsidRPr="00CE2185" w:rsidRDefault="00D10E17" w:rsidP="00D10E17">
            <w:pPr>
              <w:spacing w:after="0"/>
              <w:rPr>
                <w:noProof/>
                <w:sz w:val="21"/>
                <w:szCs w:val="21"/>
              </w:rPr>
            </w:pPr>
            <w:r w:rsidRPr="00CE2185">
              <w:rPr>
                <w:noProof/>
                <w:sz w:val="21"/>
                <w:szCs w:val="21"/>
              </w:rPr>
              <w:t>Dependency on high-risk suppliers not covered (all)</w:t>
            </w:r>
          </w:p>
          <w:p w14:paraId="6751B134" w14:textId="176FDE36" w:rsidR="00D10E17" w:rsidRPr="00CE2185" w:rsidRDefault="00D10E17" w:rsidP="00D10E17">
            <w:pPr>
              <w:spacing w:after="0"/>
              <w:rPr>
                <w:noProof/>
                <w:sz w:val="21"/>
                <w:szCs w:val="21"/>
                <w:lang w:val="en-IE"/>
              </w:rPr>
            </w:pPr>
            <w:r w:rsidRPr="00CE2185">
              <w:rPr>
                <w:noProof/>
                <w:sz w:val="21"/>
                <w:szCs w:val="21"/>
                <w:lang w:val="en-IE"/>
              </w:rPr>
              <w:t>Non-technical risks not covered (</w:t>
            </w:r>
            <w:r w:rsidRPr="00CE2185">
              <w:rPr>
                <w:noProof/>
                <w:sz w:val="21"/>
                <w:szCs w:val="21"/>
              </w:rPr>
              <w:t>all)</w:t>
            </w:r>
          </w:p>
        </w:tc>
        <w:tc>
          <w:tcPr>
            <w:tcW w:w="3488" w:type="dxa"/>
          </w:tcPr>
          <w:p w14:paraId="4407F8A0" w14:textId="77777777" w:rsidR="00D10E17" w:rsidRPr="00CE2185" w:rsidRDefault="00D10E17" w:rsidP="00D10E17">
            <w:pPr>
              <w:spacing w:after="0"/>
              <w:rPr>
                <w:noProof/>
                <w:sz w:val="21"/>
                <w:szCs w:val="21"/>
                <w:lang w:val="en-IE"/>
              </w:rPr>
            </w:pPr>
          </w:p>
        </w:tc>
      </w:tr>
      <w:tr w:rsidR="00D10E17" w:rsidRPr="00CE2185" w14:paraId="24EDCAD9" w14:textId="77777777" w:rsidTr="00D10E17">
        <w:tc>
          <w:tcPr>
            <w:tcW w:w="1078" w:type="dxa"/>
          </w:tcPr>
          <w:p w14:paraId="405B75A4" w14:textId="742BA584" w:rsidR="00D10E17" w:rsidRPr="00CE2185" w:rsidRDefault="00D10E17" w:rsidP="00D10E17">
            <w:pPr>
              <w:spacing w:after="0"/>
              <w:rPr>
                <w:b/>
                <w:bCs/>
                <w:noProof/>
                <w:sz w:val="21"/>
                <w:szCs w:val="21"/>
                <w:lang w:val="en-IE"/>
              </w:rPr>
            </w:pPr>
            <w:r w:rsidRPr="00CE2185">
              <w:rPr>
                <w:b/>
                <w:bCs/>
                <w:noProof/>
                <w:sz w:val="21"/>
                <w:szCs w:val="21"/>
              </w:rPr>
              <w:t>Driver 4</w:t>
            </w:r>
          </w:p>
        </w:tc>
        <w:tc>
          <w:tcPr>
            <w:tcW w:w="4297" w:type="dxa"/>
          </w:tcPr>
          <w:p w14:paraId="26C65F8A" w14:textId="77777777" w:rsidR="00D10E17" w:rsidRPr="00CE2185" w:rsidRDefault="00D10E17" w:rsidP="00D10E17">
            <w:pPr>
              <w:spacing w:after="0"/>
              <w:rPr>
                <w:noProof/>
                <w:sz w:val="21"/>
                <w:szCs w:val="21"/>
                <w:lang w:val="en-IE"/>
              </w:rPr>
            </w:pPr>
            <w:r w:rsidRPr="00CE2185">
              <w:rPr>
                <w:noProof/>
                <w:sz w:val="21"/>
                <w:szCs w:val="21"/>
                <w:lang w:val="en-IE"/>
              </w:rPr>
              <w:t>Lack of clear focus of ENISA’s role in providing support in consistent implementation throughout the EU (ENISA mandate, ECCF)</w:t>
            </w:r>
          </w:p>
          <w:p w14:paraId="234C019C" w14:textId="77777777" w:rsidR="00D10E17" w:rsidRPr="00CE2185" w:rsidRDefault="00D10E17" w:rsidP="00D10E17">
            <w:pPr>
              <w:spacing w:after="0"/>
              <w:rPr>
                <w:noProof/>
                <w:sz w:val="21"/>
                <w:szCs w:val="21"/>
                <w:lang w:val="en-IE"/>
              </w:rPr>
            </w:pPr>
            <w:r w:rsidRPr="00CE2185">
              <w:rPr>
                <w:noProof/>
                <w:sz w:val="21"/>
                <w:szCs w:val="21"/>
                <w:lang w:val="en-IE"/>
              </w:rPr>
              <w:t>Weak and undefined mandate on cybersecurity skills (ENISA mandate)</w:t>
            </w:r>
          </w:p>
          <w:p w14:paraId="7CCDEABA" w14:textId="35E6744C" w:rsidR="00D10E17" w:rsidRPr="00CE2185" w:rsidRDefault="00D10E17" w:rsidP="00D10E17">
            <w:pPr>
              <w:spacing w:after="0"/>
              <w:rPr>
                <w:noProof/>
                <w:sz w:val="21"/>
                <w:szCs w:val="21"/>
                <w:lang w:val="en-IE"/>
              </w:rPr>
            </w:pPr>
            <w:r w:rsidRPr="00CE2185">
              <w:rPr>
                <w:noProof/>
                <w:sz w:val="21"/>
                <w:szCs w:val="21"/>
                <w:lang w:val="en-IE"/>
              </w:rPr>
              <w:t>Mandate unfit for active and operational role (ENISA mandate)</w:t>
            </w:r>
          </w:p>
        </w:tc>
        <w:tc>
          <w:tcPr>
            <w:tcW w:w="3488" w:type="dxa"/>
          </w:tcPr>
          <w:p w14:paraId="02B2EAFE" w14:textId="0A33D11F" w:rsidR="00D10E17" w:rsidRPr="00CE2185" w:rsidRDefault="00D10E17" w:rsidP="00D10E17">
            <w:pPr>
              <w:spacing w:after="0"/>
              <w:rPr>
                <w:noProof/>
                <w:sz w:val="21"/>
                <w:szCs w:val="21"/>
                <w:lang w:val="en-IE"/>
              </w:rPr>
            </w:pPr>
            <w:r w:rsidRPr="00CE2185">
              <w:rPr>
                <w:noProof/>
                <w:sz w:val="21"/>
                <w:szCs w:val="21"/>
                <w:lang w:val="en-IE"/>
              </w:rPr>
              <w:t>Overstretching of ENISA resources (ENISA mandate)</w:t>
            </w:r>
          </w:p>
        </w:tc>
      </w:tr>
      <w:tr w:rsidR="00D10E17" w:rsidRPr="00CE2185" w14:paraId="472312AC" w14:textId="77777777" w:rsidTr="00D10E17">
        <w:tc>
          <w:tcPr>
            <w:tcW w:w="1078" w:type="dxa"/>
          </w:tcPr>
          <w:p w14:paraId="518B9FA1" w14:textId="70B63F13" w:rsidR="00D10E17" w:rsidRPr="00211B89" w:rsidRDefault="00D10E17" w:rsidP="00D10E17">
            <w:pPr>
              <w:spacing w:after="0"/>
              <w:rPr>
                <w:b/>
                <w:bCs/>
                <w:noProof/>
                <w:sz w:val="21"/>
                <w:szCs w:val="21"/>
                <w:lang w:val="en-IE"/>
              </w:rPr>
            </w:pPr>
            <w:r w:rsidRPr="00211B89">
              <w:rPr>
                <w:b/>
                <w:bCs/>
                <w:noProof/>
                <w:sz w:val="21"/>
                <w:szCs w:val="21"/>
              </w:rPr>
              <w:t xml:space="preserve">Driver 5 </w:t>
            </w:r>
          </w:p>
        </w:tc>
        <w:tc>
          <w:tcPr>
            <w:tcW w:w="4297" w:type="dxa"/>
          </w:tcPr>
          <w:p w14:paraId="37204E38" w14:textId="77777777" w:rsidR="00D10E17" w:rsidRPr="00CE2185" w:rsidRDefault="00D10E17" w:rsidP="00D10E17">
            <w:pPr>
              <w:spacing w:after="0"/>
              <w:rPr>
                <w:noProof/>
                <w:sz w:val="21"/>
                <w:szCs w:val="21"/>
              </w:rPr>
            </w:pPr>
            <w:r w:rsidRPr="00CE2185">
              <w:rPr>
                <w:noProof/>
                <w:sz w:val="21"/>
                <w:szCs w:val="21"/>
              </w:rPr>
              <w:t>Lack of sufficient synergies between the mandates of ENISA and the ECCC as regards research and innovation.</w:t>
            </w:r>
          </w:p>
          <w:p w14:paraId="6D659741" w14:textId="77777777" w:rsidR="00D10E17" w:rsidRPr="00CE2185" w:rsidRDefault="00D10E17" w:rsidP="00D10E17">
            <w:pPr>
              <w:spacing w:after="0"/>
              <w:rPr>
                <w:noProof/>
                <w:sz w:val="21"/>
                <w:szCs w:val="21"/>
              </w:rPr>
            </w:pPr>
            <w:r w:rsidRPr="00CE2185">
              <w:rPr>
                <w:noProof/>
                <w:sz w:val="21"/>
                <w:szCs w:val="21"/>
              </w:rPr>
              <w:t>Lack of structured frameworks on how the Agency supports capacity building efforts in third countries</w:t>
            </w:r>
          </w:p>
          <w:p w14:paraId="0A2D320D" w14:textId="6D6886E8" w:rsidR="00D10E17" w:rsidRPr="00CE2185" w:rsidRDefault="00D10E17" w:rsidP="00D10E17">
            <w:pPr>
              <w:spacing w:after="0"/>
              <w:rPr>
                <w:noProof/>
                <w:sz w:val="21"/>
                <w:szCs w:val="21"/>
                <w:lang w:val="en-IE"/>
              </w:rPr>
            </w:pPr>
            <w:r w:rsidRPr="00CE2185">
              <w:rPr>
                <w:noProof/>
                <w:sz w:val="21"/>
                <w:szCs w:val="21"/>
              </w:rPr>
              <w:t>Overlapping roles and responsibilities and lack of clear framework on cooperation between ENISA and other EU Agencies (ECCF)</w:t>
            </w:r>
          </w:p>
        </w:tc>
        <w:tc>
          <w:tcPr>
            <w:tcW w:w="3488" w:type="dxa"/>
          </w:tcPr>
          <w:p w14:paraId="02E5DB84" w14:textId="77777777" w:rsidR="00D10E17" w:rsidRPr="00CE2185" w:rsidRDefault="00D10E17" w:rsidP="00D10E17">
            <w:pPr>
              <w:spacing w:after="0"/>
              <w:rPr>
                <w:noProof/>
                <w:sz w:val="21"/>
                <w:szCs w:val="21"/>
                <w:lang w:val="en-IE"/>
              </w:rPr>
            </w:pPr>
          </w:p>
        </w:tc>
      </w:tr>
      <w:tr w:rsidR="00D10E17" w:rsidRPr="00CE2185" w14:paraId="3FEC50DC" w14:textId="77777777" w:rsidTr="00D10E17">
        <w:tc>
          <w:tcPr>
            <w:tcW w:w="1078" w:type="dxa"/>
          </w:tcPr>
          <w:p w14:paraId="5F5E8A37" w14:textId="14F26139" w:rsidR="00D10E17" w:rsidRPr="00CE2185" w:rsidRDefault="00D10E17" w:rsidP="00D10E17">
            <w:pPr>
              <w:spacing w:after="0"/>
              <w:rPr>
                <w:b/>
                <w:bCs/>
                <w:noProof/>
                <w:sz w:val="21"/>
                <w:szCs w:val="21"/>
              </w:rPr>
            </w:pPr>
            <w:r w:rsidRPr="00CE2185">
              <w:rPr>
                <w:b/>
                <w:bCs/>
                <w:noProof/>
                <w:sz w:val="21"/>
                <w:szCs w:val="21"/>
              </w:rPr>
              <w:t xml:space="preserve">Driver 6 </w:t>
            </w:r>
          </w:p>
        </w:tc>
        <w:tc>
          <w:tcPr>
            <w:tcW w:w="4297" w:type="dxa"/>
          </w:tcPr>
          <w:p w14:paraId="1AF8FA2E" w14:textId="77777777" w:rsidR="00D10E17" w:rsidRPr="00CE2185" w:rsidRDefault="00D10E17" w:rsidP="00D10E17">
            <w:pPr>
              <w:spacing w:after="0"/>
              <w:rPr>
                <w:noProof/>
                <w:sz w:val="21"/>
                <w:szCs w:val="21"/>
                <w:lang w:eastAsia="ja-JP"/>
              </w:rPr>
            </w:pPr>
            <w:r w:rsidRPr="00CE2185">
              <w:rPr>
                <w:noProof/>
                <w:sz w:val="21"/>
                <w:szCs w:val="21"/>
                <w:lang w:eastAsia="ja-JP"/>
              </w:rPr>
              <w:t xml:space="preserve">Absence of maintenance structure in the CSA </w:t>
            </w:r>
          </w:p>
          <w:p w14:paraId="396F9B87" w14:textId="5CA27F17" w:rsidR="00D10E17" w:rsidRPr="00CE2185" w:rsidRDefault="00D10E17" w:rsidP="00D10E17">
            <w:pPr>
              <w:spacing w:after="0"/>
              <w:rPr>
                <w:noProof/>
                <w:sz w:val="21"/>
                <w:szCs w:val="21"/>
              </w:rPr>
            </w:pPr>
            <w:r w:rsidRPr="00CE2185">
              <w:rPr>
                <w:noProof/>
                <w:sz w:val="21"/>
                <w:szCs w:val="21"/>
                <w:lang w:eastAsia="ja-JP"/>
              </w:rPr>
              <w:t>Lack of clarity regarding the harmonisation effect of the schemes (ECCF)</w:t>
            </w:r>
          </w:p>
        </w:tc>
        <w:tc>
          <w:tcPr>
            <w:tcW w:w="3488" w:type="dxa"/>
          </w:tcPr>
          <w:p w14:paraId="524CC40E" w14:textId="77777777" w:rsidR="00D10E17" w:rsidRPr="00CE2185" w:rsidRDefault="00D10E17" w:rsidP="00D10E17">
            <w:pPr>
              <w:spacing w:after="0"/>
              <w:rPr>
                <w:noProof/>
                <w:sz w:val="21"/>
                <w:szCs w:val="21"/>
              </w:rPr>
            </w:pPr>
            <w:r w:rsidRPr="00CE2185">
              <w:rPr>
                <w:noProof/>
                <w:sz w:val="21"/>
                <w:szCs w:val="21"/>
              </w:rPr>
              <w:t>Lengthy adoption processes (ECCF)</w:t>
            </w:r>
          </w:p>
          <w:p w14:paraId="660A371C" w14:textId="77777777" w:rsidR="00D10E17" w:rsidRPr="00CE2185" w:rsidRDefault="00D10E17" w:rsidP="00D10E17">
            <w:pPr>
              <w:spacing w:after="0"/>
              <w:rPr>
                <w:noProof/>
                <w:sz w:val="21"/>
                <w:szCs w:val="21"/>
                <w:lang w:eastAsia="ja-JP"/>
              </w:rPr>
            </w:pPr>
            <w:r w:rsidRPr="00CE2185">
              <w:rPr>
                <w:noProof/>
                <w:sz w:val="21"/>
                <w:szCs w:val="21"/>
                <w:lang w:eastAsia="ja-JP"/>
              </w:rPr>
              <w:t>Unpredictable timings and lack of transparency in the development process of schemes; difficulty to translate draft schemes into implementing acts (ECCF)</w:t>
            </w:r>
          </w:p>
          <w:p w14:paraId="6866843F" w14:textId="30F107D6" w:rsidR="00D10E17" w:rsidRPr="00CE2185" w:rsidRDefault="00D10E17" w:rsidP="00D10E17">
            <w:pPr>
              <w:spacing w:after="0"/>
              <w:rPr>
                <w:noProof/>
                <w:sz w:val="21"/>
                <w:szCs w:val="21"/>
              </w:rPr>
            </w:pPr>
            <w:r w:rsidRPr="00CE2185">
              <w:rPr>
                <w:noProof/>
                <w:sz w:val="21"/>
                <w:szCs w:val="21"/>
              </w:rPr>
              <w:t>Unclear and rigid governance (ECCF)</w:t>
            </w:r>
          </w:p>
        </w:tc>
      </w:tr>
      <w:tr w:rsidR="00D10E17" w:rsidRPr="00CE2185" w14:paraId="5639DE8F" w14:textId="77777777" w:rsidTr="00D10E17">
        <w:tc>
          <w:tcPr>
            <w:tcW w:w="1078" w:type="dxa"/>
          </w:tcPr>
          <w:p w14:paraId="1DF73875" w14:textId="3F52DF0B" w:rsidR="00D10E17" w:rsidRPr="00CE2185" w:rsidRDefault="00D10E17" w:rsidP="00D10E17">
            <w:pPr>
              <w:spacing w:after="0"/>
              <w:rPr>
                <w:b/>
                <w:bCs/>
                <w:noProof/>
                <w:sz w:val="21"/>
                <w:szCs w:val="21"/>
              </w:rPr>
            </w:pPr>
            <w:r w:rsidRPr="00CE2185">
              <w:rPr>
                <w:b/>
                <w:bCs/>
                <w:noProof/>
                <w:sz w:val="21"/>
                <w:szCs w:val="21"/>
              </w:rPr>
              <w:t xml:space="preserve">Driver 7 </w:t>
            </w:r>
          </w:p>
        </w:tc>
        <w:tc>
          <w:tcPr>
            <w:tcW w:w="4297" w:type="dxa"/>
          </w:tcPr>
          <w:p w14:paraId="303D964E" w14:textId="3C83D207" w:rsidR="00D10E17" w:rsidRPr="00CE2185" w:rsidRDefault="00D10E17" w:rsidP="00D10E17">
            <w:pPr>
              <w:spacing w:after="0"/>
              <w:rPr>
                <w:noProof/>
                <w:sz w:val="21"/>
                <w:szCs w:val="21"/>
              </w:rPr>
            </w:pPr>
            <w:r w:rsidRPr="00CE2185">
              <w:rPr>
                <w:noProof/>
                <w:sz w:val="21"/>
                <w:szCs w:val="21"/>
              </w:rPr>
              <w:t>Bottlenecks created by the interplay CRA/ECCF</w:t>
            </w:r>
          </w:p>
        </w:tc>
        <w:tc>
          <w:tcPr>
            <w:tcW w:w="3488" w:type="dxa"/>
          </w:tcPr>
          <w:p w14:paraId="45BBF1D9" w14:textId="01B67E36" w:rsidR="00D10E17" w:rsidRPr="00CE2185" w:rsidRDefault="00D10E17" w:rsidP="00D10E17">
            <w:pPr>
              <w:spacing w:after="0"/>
              <w:rPr>
                <w:noProof/>
                <w:sz w:val="21"/>
                <w:szCs w:val="21"/>
              </w:rPr>
            </w:pPr>
            <w:r w:rsidRPr="00CE2185">
              <w:rPr>
                <w:bCs/>
                <w:noProof/>
                <w:sz w:val="21"/>
                <w:szCs w:val="21"/>
              </w:rPr>
              <w:t xml:space="preserve">Increasing demand for schemes </w:t>
            </w:r>
            <w:r w:rsidRPr="00CE2185">
              <w:rPr>
                <w:noProof/>
                <w:sz w:val="21"/>
                <w:szCs w:val="21"/>
                <w:lang w:eastAsia="ja-JP"/>
              </w:rPr>
              <w:t>(ECCF)</w:t>
            </w:r>
          </w:p>
        </w:tc>
      </w:tr>
      <w:tr w:rsidR="00D10E17" w:rsidRPr="00CE2185" w14:paraId="170DB69D" w14:textId="77777777" w:rsidTr="00D10E17">
        <w:tc>
          <w:tcPr>
            <w:tcW w:w="1078" w:type="dxa"/>
          </w:tcPr>
          <w:p w14:paraId="051BEDCB" w14:textId="73713F3C" w:rsidR="00D10E17" w:rsidRPr="00CE2185" w:rsidRDefault="00D10E17" w:rsidP="00D10E17">
            <w:pPr>
              <w:spacing w:after="0"/>
              <w:rPr>
                <w:b/>
                <w:bCs/>
                <w:noProof/>
                <w:sz w:val="21"/>
                <w:szCs w:val="21"/>
              </w:rPr>
            </w:pPr>
            <w:r w:rsidRPr="00CE2185">
              <w:rPr>
                <w:b/>
                <w:noProof/>
                <w:sz w:val="21"/>
                <w:szCs w:val="21"/>
              </w:rPr>
              <w:t xml:space="preserve">Driver </w:t>
            </w:r>
            <w:r w:rsidRPr="00CE2185">
              <w:rPr>
                <w:b/>
                <w:bCs/>
                <w:noProof/>
                <w:sz w:val="21"/>
                <w:szCs w:val="21"/>
              </w:rPr>
              <w:t xml:space="preserve">8 </w:t>
            </w:r>
          </w:p>
        </w:tc>
        <w:tc>
          <w:tcPr>
            <w:tcW w:w="4297" w:type="dxa"/>
          </w:tcPr>
          <w:p w14:paraId="1B82693E" w14:textId="77777777" w:rsidR="00D10E17" w:rsidRPr="00CE2185" w:rsidRDefault="00D10E17" w:rsidP="00D10E17">
            <w:pPr>
              <w:spacing w:after="0"/>
              <w:rPr>
                <w:noProof/>
                <w:sz w:val="21"/>
                <w:szCs w:val="21"/>
                <w:lang w:val="en-IE"/>
              </w:rPr>
            </w:pPr>
            <w:r w:rsidRPr="00CE2185">
              <w:rPr>
                <w:noProof/>
                <w:sz w:val="21"/>
                <w:szCs w:val="21"/>
                <w:lang w:val="en-IE"/>
              </w:rPr>
              <w:t>Definitions missing, not clear enough or inconsistent with other acts (ENISA mandate, simplification)</w:t>
            </w:r>
          </w:p>
          <w:p w14:paraId="53066279" w14:textId="750C32CE" w:rsidR="00D10E17" w:rsidRPr="00CE2185" w:rsidRDefault="00D10E17" w:rsidP="00D10E17">
            <w:pPr>
              <w:spacing w:after="0"/>
              <w:rPr>
                <w:noProof/>
                <w:sz w:val="21"/>
                <w:szCs w:val="21"/>
                <w:lang w:val="en-IE"/>
              </w:rPr>
            </w:pPr>
            <w:r w:rsidRPr="00CE2185">
              <w:rPr>
                <w:noProof/>
                <w:sz w:val="21"/>
                <w:szCs w:val="21"/>
                <w:lang w:val="en-IE"/>
              </w:rPr>
              <w:t>Diverging requirements for notification and reporting (ENISA mandate, simplification)</w:t>
            </w:r>
          </w:p>
        </w:tc>
        <w:tc>
          <w:tcPr>
            <w:tcW w:w="3488" w:type="dxa"/>
          </w:tcPr>
          <w:p w14:paraId="36FCB08C" w14:textId="333C4EE1" w:rsidR="00D10E17" w:rsidRPr="00CE2185" w:rsidRDefault="00D10E17" w:rsidP="00D10E17">
            <w:pPr>
              <w:spacing w:after="0"/>
              <w:rPr>
                <w:noProof/>
                <w:sz w:val="21"/>
                <w:szCs w:val="21"/>
                <w:lang w:val="en-IE"/>
              </w:rPr>
            </w:pPr>
            <w:r w:rsidRPr="00CE2185">
              <w:rPr>
                <w:noProof/>
                <w:sz w:val="21"/>
                <w:szCs w:val="21"/>
                <w:lang w:val="en-IE"/>
              </w:rPr>
              <w:t>Empowerments or supporting guidance for NIS2 implementation not used to their full potential (ENISA mandate, simplification)</w:t>
            </w:r>
          </w:p>
        </w:tc>
      </w:tr>
      <w:tr w:rsidR="00D10E17" w:rsidRPr="00CE2185" w14:paraId="4B1F604F" w14:textId="77777777" w:rsidTr="00D10E17">
        <w:tc>
          <w:tcPr>
            <w:tcW w:w="1078" w:type="dxa"/>
          </w:tcPr>
          <w:p w14:paraId="04237104" w14:textId="0DB42D8D" w:rsidR="00D10E17" w:rsidRPr="00CE2185" w:rsidRDefault="00D10E17" w:rsidP="00D10E17">
            <w:pPr>
              <w:spacing w:after="0"/>
              <w:rPr>
                <w:b/>
                <w:bCs/>
                <w:noProof/>
                <w:sz w:val="21"/>
                <w:szCs w:val="21"/>
                <w:lang w:val="en-IE"/>
              </w:rPr>
            </w:pPr>
            <w:r w:rsidRPr="00CE2185">
              <w:rPr>
                <w:b/>
                <w:bCs/>
                <w:noProof/>
                <w:sz w:val="21"/>
                <w:szCs w:val="21"/>
                <w:lang w:val="en-IE"/>
              </w:rPr>
              <w:t xml:space="preserve">Driver 9 </w:t>
            </w:r>
          </w:p>
        </w:tc>
        <w:tc>
          <w:tcPr>
            <w:tcW w:w="4297" w:type="dxa"/>
          </w:tcPr>
          <w:p w14:paraId="562CAE51" w14:textId="77777777" w:rsidR="00D10E17" w:rsidRPr="00CE2185" w:rsidRDefault="00D10E17" w:rsidP="00D10E17">
            <w:pPr>
              <w:spacing w:after="0"/>
              <w:rPr>
                <w:noProof/>
                <w:sz w:val="21"/>
                <w:szCs w:val="21"/>
              </w:rPr>
            </w:pPr>
            <w:r w:rsidRPr="00CE2185">
              <w:rPr>
                <w:noProof/>
                <w:sz w:val="21"/>
                <w:szCs w:val="21"/>
              </w:rPr>
              <w:t>No obligation for entities to comply with supply chain security measures based on non-technical risks (ICT supply chains)</w:t>
            </w:r>
          </w:p>
          <w:p w14:paraId="229C04FA" w14:textId="0B283B5C" w:rsidR="00D10E17" w:rsidRPr="00CE2185" w:rsidRDefault="00D10E17" w:rsidP="00D10E17">
            <w:pPr>
              <w:spacing w:after="0"/>
              <w:rPr>
                <w:noProof/>
                <w:sz w:val="21"/>
                <w:szCs w:val="21"/>
              </w:rPr>
            </w:pPr>
            <w:r w:rsidRPr="00CE2185">
              <w:rPr>
                <w:noProof/>
                <w:sz w:val="21"/>
                <w:szCs w:val="21"/>
              </w:rPr>
              <w:t>Limited scope of specific supply chain security risks in specific areas not covering the whole spectrum of non-technical risks (ICT supply chains)</w:t>
            </w:r>
          </w:p>
        </w:tc>
        <w:tc>
          <w:tcPr>
            <w:tcW w:w="3488" w:type="dxa"/>
          </w:tcPr>
          <w:p w14:paraId="5677C076" w14:textId="5FAEAD74" w:rsidR="00D10E17" w:rsidRPr="00CE2185" w:rsidRDefault="00D10E17" w:rsidP="00D10E17">
            <w:pPr>
              <w:spacing w:after="0"/>
              <w:rPr>
                <w:noProof/>
                <w:sz w:val="21"/>
                <w:szCs w:val="21"/>
              </w:rPr>
            </w:pPr>
            <w:r w:rsidRPr="00CE2185">
              <w:rPr>
                <w:noProof/>
                <w:sz w:val="21"/>
                <w:szCs w:val="21"/>
                <w:lang w:val="en-IE"/>
              </w:rPr>
              <w:t xml:space="preserve">Diverging implementation of security measures </w:t>
            </w:r>
            <w:r w:rsidRPr="00CE2185">
              <w:rPr>
                <w:noProof/>
                <w:sz w:val="21"/>
                <w:szCs w:val="21"/>
              </w:rPr>
              <w:t>(ICT supply chains)</w:t>
            </w:r>
          </w:p>
        </w:tc>
      </w:tr>
    </w:tbl>
    <w:p w14:paraId="51818139" w14:textId="77777777" w:rsidR="000203C4" w:rsidRPr="00CE2185" w:rsidRDefault="000203C4" w:rsidP="00631E3C">
      <w:pPr>
        <w:spacing w:after="120"/>
        <w:rPr>
          <w:noProof/>
        </w:rPr>
      </w:pPr>
    </w:p>
    <w:p w14:paraId="5712EEDA" w14:textId="726CCB1F" w:rsidR="00B16254" w:rsidRPr="00CE2185" w:rsidRDefault="00AC692A" w:rsidP="00A87807">
      <w:pPr>
        <w:pStyle w:val="Heading3"/>
        <w:rPr>
          <w:noProof/>
        </w:rPr>
      </w:pPr>
      <w:bookmarkStart w:id="33" w:name="_Toc210393805"/>
      <w:bookmarkStart w:id="34" w:name="_Toc210419512"/>
      <w:bookmarkStart w:id="35" w:name="_Toc219447344"/>
      <w:bookmarkStart w:id="36" w:name="_Hlk210334251"/>
      <w:r w:rsidRPr="00CE2185">
        <w:rPr>
          <w:noProof/>
        </w:rPr>
        <w:t>Driver 1 – Increasingly hostile and unpredictable threat landscape</w:t>
      </w:r>
      <w:r w:rsidR="00AD25D6" w:rsidRPr="00CE2185">
        <w:rPr>
          <w:noProof/>
        </w:rPr>
        <w:t xml:space="preserve"> in a </w:t>
      </w:r>
      <w:r w:rsidR="00AA2D6B" w:rsidRPr="00CE2185">
        <w:rPr>
          <w:noProof/>
        </w:rPr>
        <w:t>rapidly evolving technological environment</w:t>
      </w:r>
      <w:r w:rsidR="00CF0A96" w:rsidRPr="00CE2185">
        <w:rPr>
          <w:noProof/>
        </w:rPr>
        <w:t xml:space="preserve"> (horizontal driver)</w:t>
      </w:r>
      <w:r w:rsidR="003F7678" w:rsidRPr="00CE2185">
        <w:rPr>
          <w:noProof/>
        </w:rPr>
        <w:t>.</w:t>
      </w:r>
      <w:bookmarkEnd w:id="33"/>
      <w:bookmarkEnd w:id="34"/>
      <w:bookmarkEnd w:id="35"/>
      <w:r w:rsidRPr="00CE2185">
        <w:rPr>
          <w:noProof/>
        </w:rPr>
        <w:t xml:space="preserve"> </w:t>
      </w:r>
    </w:p>
    <w:bookmarkEnd w:id="36"/>
    <w:p w14:paraId="28EF9B5F" w14:textId="51F0A544" w:rsidR="00D94309" w:rsidRPr="00CE2185" w:rsidRDefault="00AC692A" w:rsidP="00671B6B">
      <w:pPr>
        <w:spacing w:after="120"/>
        <w:rPr>
          <w:rFonts w:eastAsia="Times New Roman"/>
          <w:noProof/>
          <w:color w:val="000000" w:themeColor="text1"/>
        </w:rPr>
      </w:pPr>
      <w:r w:rsidRPr="00CE2185">
        <w:rPr>
          <w:noProof/>
          <w:lang w:val="en-IE"/>
        </w:rPr>
        <w:t>The threat landscape, as well as the security and defence prerequisites for Europe, have changed significantly since 2019</w:t>
      </w:r>
      <w:r w:rsidR="00597471" w:rsidRPr="00CE2185">
        <w:rPr>
          <w:rStyle w:val="FootnoteReference"/>
          <w:noProof/>
          <w:lang w:val="en-IE"/>
        </w:rPr>
        <w:footnoteReference w:id="75"/>
      </w:r>
      <w:r w:rsidRPr="00CE2185">
        <w:rPr>
          <w:noProof/>
          <w:lang w:val="en-IE"/>
        </w:rPr>
        <w:t xml:space="preserve">. These realities triggered a renewed need for a </w:t>
      </w:r>
      <w:r w:rsidRPr="00CE2185">
        <w:rPr>
          <w:b/>
          <w:bCs/>
          <w:noProof/>
          <w:lang w:val="en-IE"/>
        </w:rPr>
        <w:t xml:space="preserve">stronger and more strategic role of </w:t>
      </w:r>
      <w:r w:rsidR="00713FCE" w:rsidRPr="00CE2185">
        <w:rPr>
          <w:b/>
          <w:bCs/>
          <w:noProof/>
          <w:lang w:val="en-IE"/>
        </w:rPr>
        <w:t>ENISA</w:t>
      </w:r>
      <w:r w:rsidRPr="00CE2185">
        <w:rPr>
          <w:b/>
          <w:bCs/>
          <w:noProof/>
          <w:lang w:val="en-IE"/>
        </w:rPr>
        <w:t xml:space="preserve"> </w:t>
      </w:r>
      <w:r w:rsidR="001F15F2" w:rsidRPr="00CE2185">
        <w:rPr>
          <w:b/>
          <w:bCs/>
          <w:noProof/>
          <w:lang w:val="en-IE"/>
        </w:rPr>
        <w:t>as well as</w:t>
      </w:r>
      <w:r w:rsidRPr="00CE2185">
        <w:rPr>
          <w:b/>
          <w:bCs/>
          <w:noProof/>
          <w:lang w:val="en-IE"/>
        </w:rPr>
        <w:t xml:space="preserve"> for a stronger leveraging position </w:t>
      </w:r>
      <w:r w:rsidR="005E206C" w:rsidRPr="00CE2185">
        <w:rPr>
          <w:b/>
          <w:bCs/>
          <w:noProof/>
          <w:lang w:val="en-IE"/>
        </w:rPr>
        <w:t>of the EU</w:t>
      </w:r>
      <w:r w:rsidRPr="00CE2185">
        <w:rPr>
          <w:b/>
          <w:bCs/>
          <w:noProof/>
          <w:lang w:val="en-IE"/>
        </w:rPr>
        <w:t xml:space="preserve"> globally,</w:t>
      </w:r>
      <w:r w:rsidRPr="00CE2185">
        <w:rPr>
          <w:noProof/>
          <w:lang w:val="en-IE"/>
        </w:rPr>
        <w:t xml:space="preserve"> while building own capabilities in a more sustainable manner in a number of areas, such as vulnerability disclosure</w:t>
      </w:r>
      <w:r w:rsidR="00615F76" w:rsidRPr="00CE2185">
        <w:rPr>
          <w:noProof/>
          <w:lang w:val="en-IE"/>
        </w:rPr>
        <w:t xml:space="preserve">, where </w:t>
      </w:r>
      <w:r w:rsidR="00EB5953" w:rsidRPr="00CE2185">
        <w:rPr>
          <w:noProof/>
          <w:lang w:val="en-IE"/>
        </w:rPr>
        <w:t xml:space="preserve">there are current dependencies of </w:t>
      </w:r>
      <w:r w:rsidR="00BC308E" w:rsidRPr="00CE2185">
        <w:rPr>
          <w:rFonts w:eastAsia="Times New Roman"/>
          <w:noProof/>
          <w:color w:val="000000" w:themeColor="text1"/>
        </w:rPr>
        <w:t xml:space="preserve">common vulnerabilities and exposure services </w:t>
      </w:r>
      <w:r w:rsidR="00EB5953" w:rsidRPr="00CE2185">
        <w:rPr>
          <w:noProof/>
          <w:lang w:val="en-IE"/>
        </w:rPr>
        <w:t xml:space="preserve">on </w:t>
      </w:r>
      <w:r w:rsidR="00EB5953" w:rsidRPr="00CE2185">
        <w:rPr>
          <w:rFonts w:eastAsia="Times New Roman"/>
          <w:noProof/>
          <w:color w:val="000000" w:themeColor="text1"/>
        </w:rPr>
        <w:t>one third country government steer and funding,</w:t>
      </w:r>
      <w:r w:rsidR="00BC308E" w:rsidRPr="00CE2185">
        <w:rPr>
          <w:rFonts w:eastAsia="Times New Roman"/>
          <w:noProof/>
          <w:color w:val="000000" w:themeColor="text1"/>
        </w:rPr>
        <w:t xml:space="preserve"> as well as</w:t>
      </w:r>
      <w:r w:rsidRPr="00CE2185">
        <w:rPr>
          <w:rFonts w:eastAsia="Times New Roman"/>
          <w:noProof/>
          <w:color w:val="000000" w:themeColor="text1"/>
        </w:rPr>
        <w:t xml:space="preserve"> </w:t>
      </w:r>
      <w:r w:rsidRPr="00CE2185">
        <w:rPr>
          <w:noProof/>
          <w:lang w:val="en-IE"/>
        </w:rPr>
        <w:t>management or standardisation.</w:t>
      </w:r>
      <w:r w:rsidR="25D9F614" w:rsidRPr="00CE2185">
        <w:rPr>
          <w:noProof/>
          <w:lang w:val="en-IE"/>
        </w:rPr>
        <w:t xml:space="preserve"> </w:t>
      </w:r>
      <w:r w:rsidRPr="00CE2185">
        <w:rPr>
          <w:noProof/>
          <w:lang w:val="en-IE"/>
        </w:rPr>
        <w:t>Russia is waging a hybrid campaign against the EU and its Member States</w:t>
      </w:r>
      <w:r w:rsidR="00502803" w:rsidRPr="00CE2185">
        <w:rPr>
          <w:noProof/>
          <w:lang w:val="en-IE"/>
        </w:rPr>
        <w:t>, using</w:t>
      </w:r>
      <w:r w:rsidRPr="00CE2185">
        <w:rPr>
          <w:noProof/>
          <w:lang w:val="en-IE"/>
        </w:rPr>
        <w:t xml:space="preserve"> cyberattacks </w:t>
      </w:r>
      <w:r w:rsidR="00502803" w:rsidRPr="00CE2185">
        <w:rPr>
          <w:noProof/>
          <w:lang w:val="en-IE"/>
        </w:rPr>
        <w:t>as</w:t>
      </w:r>
      <w:r w:rsidRPr="00CE2185">
        <w:rPr>
          <w:noProof/>
          <w:lang w:val="en-IE"/>
        </w:rPr>
        <w:t xml:space="preserve"> one tool; China is seeking to advance its geopolitical agenda through control of </w:t>
      </w:r>
      <w:r w:rsidRPr="00CE2185">
        <w:rPr>
          <w:b/>
          <w:bCs/>
          <w:noProof/>
          <w:lang w:val="en-IE"/>
        </w:rPr>
        <w:t>supply chains</w:t>
      </w:r>
      <w:r w:rsidRPr="00CE2185">
        <w:rPr>
          <w:noProof/>
          <w:lang w:val="en-IE"/>
        </w:rPr>
        <w:t xml:space="preserve">, exploitation of software vulnerabilities and economic dependencies: these trends demand </w:t>
      </w:r>
      <w:r w:rsidR="00A662DD" w:rsidRPr="00CE2185">
        <w:rPr>
          <w:b/>
          <w:bCs/>
          <w:noProof/>
          <w:lang w:val="en-IE"/>
        </w:rPr>
        <w:t>increased operational cooperation</w:t>
      </w:r>
      <w:r w:rsidR="00A662DD" w:rsidRPr="00CE2185">
        <w:rPr>
          <w:noProof/>
          <w:lang w:val="en-IE"/>
        </w:rPr>
        <w:t xml:space="preserve">, </w:t>
      </w:r>
      <w:r w:rsidR="00334490" w:rsidRPr="00CE2185">
        <w:rPr>
          <w:noProof/>
          <w:lang w:val="en-IE"/>
        </w:rPr>
        <w:t>a</w:t>
      </w:r>
      <w:r w:rsidR="00A662DD" w:rsidRPr="00CE2185">
        <w:rPr>
          <w:noProof/>
          <w:lang w:val="en-IE"/>
        </w:rPr>
        <w:t>t the forefront of which</w:t>
      </w:r>
      <w:r w:rsidR="00334490" w:rsidRPr="00CE2185">
        <w:rPr>
          <w:noProof/>
          <w:lang w:val="en-IE"/>
        </w:rPr>
        <w:t xml:space="preserve"> enhanced</w:t>
      </w:r>
      <w:r w:rsidR="00A662DD" w:rsidRPr="00CE2185">
        <w:rPr>
          <w:noProof/>
          <w:lang w:val="en-IE"/>
        </w:rPr>
        <w:t xml:space="preserve"> </w:t>
      </w:r>
      <w:r w:rsidRPr="00CE2185">
        <w:rPr>
          <w:b/>
          <w:bCs/>
          <w:noProof/>
          <w:lang w:val="en-IE"/>
        </w:rPr>
        <w:t>shared situational awareness</w:t>
      </w:r>
      <w:r w:rsidR="00A662DD" w:rsidRPr="00CE2185">
        <w:rPr>
          <w:b/>
          <w:bCs/>
          <w:noProof/>
          <w:lang w:val="en-IE"/>
        </w:rPr>
        <w:t xml:space="preserve"> </w:t>
      </w:r>
      <w:r w:rsidRPr="00CE2185">
        <w:rPr>
          <w:noProof/>
          <w:lang w:val="en-IE"/>
        </w:rPr>
        <w:t>among Member States</w:t>
      </w:r>
      <w:r w:rsidR="008A20BF" w:rsidRPr="00CE2185">
        <w:rPr>
          <w:noProof/>
          <w:lang w:val="en-IE"/>
        </w:rPr>
        <w:t xml:space="preserve">, </w:t>
      </w:r>
      <w:r w:rsidRPr="00CE2185">
        <w:rPr>
          <w:noProof/>
          <w:lang w:val="en-IE"/>
        </w:rPr>
        <w:t>EU</w:t>
      </w:r>
      <w:r w:rsidR="00544E09" w:rsidRPr="00CE2185">
        <w:rPr>
          <w:noProof/>
          <w:lang w:val="en-IE"/>
        </w:rPr>
        <w:t xml:space="preserve"> entities </w:t>
      </w:r>
      <w:r w:rsidR="00544E09" w:rsidRPr="00CE2185">
        <w:rPr>
          <w:i/>
          <w:iCs/>
          <w:noProof/>
          <w:lang w:val="en-IE"/>
        </w:rPr>
        <w:t xml:space="preserve">(see Annex </w:t>
      </w:r>
      <w:r w:rsidR="001500AC" w:rsidRPr="00CE2185">
        <w:rPr>
          <w:i/>
          <w:iCs/>
          <w:noProof/>
          <w:lang w:val="en-IE"/>
        </w:rPr>
        <w:t>10</w:t>
      </w:r>
      <w:r w:rsidR="00004E3A" w:rsidRPr="00CE2185">
        <w:rPr>
          <w:i/>
          <w:iCs/>
          <w:noProof/>
          <w:lang w:val="en-IE"/>
        </w:rPr>
        <w:t>)</w:t>
      </w:r>
      <w:r w:rsidRPr="00CE2185">
        <w:rPr>
          <w:noProof/>
          <w:lang w:val="en-IE"/>
        </w:rPr>
        <w:t xml:space="preserve">.  </w:t>
      </w:r>
      <w:r w:rsidR="00D94309" w:rsidRPr="00CE2185">
        <w:rPr>
          <w:rFonts w:eastAsia="Times New Roman"/>
          <w:noProof/>
          <w:color w:val="000000" w:themeColor="text1"/>
        </w:rPr>
        <w:t xml:space="preserve">In addition, after Brexit, the EU is not part of the main intelligence network (the </w:t>
      </w:r>
      <w:r w:rsidR="002D13F3" w:rsidRPr="00CE2185">
        <w:rPr>
          <w:rFonts w:eastAsia="Times New Roman"/>
          <w:noProof/>
          <w:color w:val="000000" w:themeColor="text1"/>
        </w:rPr>
        <w:t xml:space="preserve">Five Eyes alliance </w:t>
      </w:r>
      <w:r w:rsidR="00D94309" w:rsidRPr="00CE2185">
        <w:rPr>
          <w:rFonts w:eastAsia="Times New Roman"/>
          <w:noProof/>
          <w:color w:val="000000" w:themeColor="text1"/>
        </w:rPr>
        <w:t xml:space="preserve">between the US, CAN, UK, NZ and AU). </w:t>
      </w:r>
    </w:p>
    <w:p w14:paraId="0348C983" w14:textId="7864DFA8" w:rsidR="0004583D" w:rsidRPr="00CE2185" w:rsidRDefault="0004583D" w:rsidP="00671B6B">
      <w:pPr>
        <w:spacing w:after="120"/>
        <w:rPr>
          <w:noProof/>
        </w:rPr>
      </w:pPr>
      <w:r w:rsidRPr="00CE2185">
        <w:rPr>
          <w:noProof/>
          <w:lang w:val="en-IE"/>
        </w:rPr>
        <w:t>Furthermore, technical evolutions such as AI are giving both cyber criminals and non-state and state actors a whole new set of capabilities, reducing the time for mass exploitation of vulnerabilities from weeks or months to a matter of days.</w:t>
      </w:r>
      <w:r w:rsidR="00D94309" w:rsidRPr="00CE2185">
        <w:rPr>
          <w:noProof/>
          <w:lang w:val="en-IE"/>
        </w:rPr>
        <w:t xml:space="preserve"> </w:t>
      </w:r>
      <w:r w:rsidR="00FE2602" w:rsidRPr="00CE2185" w:rsidDel="00FE2602">
        <w:rPr>
          <w:noProof/>
          <w:lang w:val="en-IE"/>
        </w:rPr>
        <w:t>Emerging technologies</w:t>
      </w:r>
      <w:r w:rsidR="00FE2602" w:rsidRPr="00CE2185" w:rsidDel="00FE2602">
        <w:rPr>
          <w:b/>
          <w:bCs/>
          <w:noProof/>
          <w:lang w:val="en-IE"/>
        </w:rPr>
        <w:t xml:space="preserve"> </w:t>
      </w:r>
      <w:r w:rsidR="00FE2602" w:rsidRPr="00CE2185" w:rsidDel="00FE2602">
        <w:rPr>
          <w:noProof/>
          <w:lang w:val="en-IE"/>
        </w:rPr>
        <w:t>are further considered by cybersecurity professionals to be the biggest challenge to come in the EU in the next two years</w:t>
      </w:r>
      <w:r w:rsidR="00D65A81" w:rsidRPr="00CE2185" w:rsidDel="00220D45">
        <w:rPr>
          <w:rStyle w:val="FootnoteReference"/>
          <w:noProof/>
          <w:lang w:val="en-IE"/>
        </w:rPr>
        <w:footnoteReference w:id="76"/>
      </w:r>
      <w:r w:rsidR="00FE2602" w:rsidRPr="00CE2185" w:rsidDel="008F7419">
        <w:rPr>
          <w:noProof/>
          <w:lang w:val="en-IE"/>
        </w:rPr>
        <w:t xml:space="preserve">. The </w:t>
      </w:r>
      <w:r w:rsidR="00FE2602" w:rsidRPr="00CE2185" w:rsidDel="00092489">
        <w:rPr>
          <w:noProof/>
          <w:lang w:val="en-IE"/>
        </w:rPr>
        <w:t xml:space="preserve">World Economic Forum </w:t>
      </w:r>
      <w:r w:rsidR="00FE2602" w:rsidRPr="00CE2185" w:rsidDel="00AF4C9B">
        <w:rPr>
          <w:noProof/>
          <w:lang w:val="en-IE"/>
        </w:rPr>
        <w:t xml:space="preserve">(WEF) </w:t>
      </w:r>
      <w:r w:rsidR="00FE2602" w:rsidRPr="00CE2185" w:rsidDel="00092489">
        <w:rPr>
          <w:noProof/>
          <w:lang w:val="en-IE"/>
        </w:rPr>
        <w:t xml:space="preserve">acknowledges that </w:t>
      </w:r>
      <w:r w:rsidR="00FE2602" w:rsidRPr="00CE2185" w:rsidDel="00A354ED">
        <w:rPr>
          <w:noProof/>
          <w:lang w:val="en-IE"/>
        </w:rPr>
        <w:t xml:space="preserve">skills in operating AI and </w:t>
      </w:r>
      <w:r w:rsidR="00FE2602" w:rsidRPr="00CE2185" w:rsidDel="004F3FBF">
        <w:rPr>
          <w:noProof/>
          <w:lang w:val="en-IE"/>
        </w:rPr>
        <w:t xml:space="preserve">defending against </w:t>
      </w:r>
      <w:r w:rsidR="00FE2602" w:rsidRPr="00CE2185" w:rsidDel="00A354ED">
        <w:rPr>
          <w:noProof/>
          <w:lang w:val="en-IE"/>
        </w:rPr>
        <w:t xml:space="preserve">it </w:t>
      </w:r>
      <w:r w:rsidR="00FE2602" w:rsidRPr="00CE2185" w:rsidDel="004F3FBF">
        <w:rPr>
          <w:noProof/>
          <w:lang w:val="en-IE"/>
        </w:rPr>
        <w:t>are becoming increasingly important</w:t>
      </w:r>
      <w:r w:rsidR="00FE2602" w:rsidRPr="00CE2185" w:rsidDel="0095296C">
        <w:rPr>
          <w:noProof/>
          <w:lang w:val="en-IE"/>
        </w:rPr>
        <w:t>, and c</w:t>
      </w:r>
      <w:r w:rsidR="00FE2602" w:rsidRPr="00CE2185" w:rsidDel="00AF4C9B">
        <w:rPr>
          <w:noProof/>
          <w:lang w:val="en-IE"/>
        </w:rPr>
        <w:t>ompanies</w:t>
      </w:r>
      <w:r w:rsidR="00FE2602" w:rsidRPr="00CE2185" w:rsidDel="00AF4C9B">
        <w:rPr>
          <w:noProof/>
        </w:rPr>
        <w:t xml:space="preserve"> must commit to equipping their workforce </w:t>
      </w:r>
      <w:r w:rsidR="00460754" w:rsidRPr="00CE2185">
        <w:rPr>
          <w:noProof/>
        </w:rPr>
        <w:t>and</w:t>
      </w:r>
      <w:r w:rsidR="00220D45" w:rsidRPr="00CE2185">
        <w:rPr>
          <w:noProof/>
        </w:rPr>
        <w:t xml:space="preserve"> </w:t>
      </w:r>
      <w:r w:rsidR="00FE2602" w:rsidRPr="00CE2185" w:rsidDel="00AF4C9B">
        <w:rPr>
          <w:noProof/>
        </w:rPr>
        <w:t xml:space="preserve">educational curricula </w:t>
      </w:r>
      <w:r w:rsidR="00460754" w:rsidRPr="00CE2185">
        <w:rPr>
          <w:noProof/>
        </w:rPr>
        <w:t>should</w:t>
      </w:r>
      <w:r w:rsidR="00FE2602" w:rsidRPr="00CE2185" w:rsidDel="00AF4C9B">
        <w:rPr>
          <w:b/>
          <w:bCs/>
          <w:noProof/>
        </w:rPr>
        <w:t xml:space="preserve"> </w:t>
      </w:r>
      <w:r w:rsidR="0052051B" w:rsidRPr="00CE2185">
        <w:rPr>
          <w:i/>
          <w:iCs/>
          <w:noProof/>
        </w:rPr>
        <w:t>“</w:t>
      </w:r>
      <w:r w:rsidR="00FE2602" w:rsidRPr="00CE2185" w:rsidDel="00AF4C9B">
        <w:rPr>
          <w:i/>
          <w:iCs/>
          <w:noProof/>
        </w:rPr>
        <w:t xml:space="preserve">mirror the dynamic </w:t>
      </w:r>
      <w:r w:rsidR="004F0E1D" w:rsidRPr="00CE2185">
        <w:rPr>
          <w:i/>
          <w:iCs/>
          <w:noProof/>
        </w:rPr>
        <w:t>of</w:t>
      </w:r>
      <w:r w:rsidR="00220D45" w:rsidRPr="00CE2185">
        <w:rPr>
          <w:i/>
          <w:iCs/>
          <w:noProof/>
        </w:rPr>
        <w:t xml:space="preserve"> </w:t>
      </w:r>
      <w:r w:rsidR="00FE2602" w:rsidRPr="00CE2185" w:rsidDel="00AF4C9B">
        <w:rPr>
          <w:i/>
          <w:iCs/>
          <w:noProof/>
        </w:rPr>
        <w:t>cyberthreat landscape and emerging technologies</w:t>
      </w:r>
      <w:r w:rsidR="00FE2602" w:rsidRPr="00CE2185" w:rsidDel="0095296C">
        <w:rPr>
          <w:i/>
          <w:iCs/>
          <w:noProof/>
        </w:rPr>
        <w:t>”</w:t>
      </w:r>
      <w:r w:rsidR="0095296C" w:rsidRPr="00CE2185" w:rsidDel="00220D45">
        <w:rPr>
          <w:rStyle w:val="FootnoteReference"/>
          <w:noProof/>
          <w:lang w:val="en-IE"/>
        </w:rPr>
        <w:footnoteReference w:id="77"/>
      </w:r>
      <w:r w:rsidR="00FE2602" w:rsidRPr="00CE2185" w:rsidDel="00AF4C9B">
        <w:rPr>
          <w:noProof/>
        </w:rPr>
        <w:t>.</w:t>
      </w:r>
      <w:r w:rsidR="004B6E24" w:rsidRPr="00CE2185">
        <w:rPr>
          <w:noProof/>
        </w:rPr>
        <w:t xml:space="preserve"> </w:t>
      </w:r>
      <w:r w:rsidR="00F81A40" w:rsidRPr="00CE2185">
        <w:rPr>
          <w:noProof/>
          <w:lang w:val="en-IE"/>
        </w:rPr>
        <w:t xml:space="preserve">While </w:t>
      </w:r>
      <w:r w:rsidR="00AC692A" w:rsidRPr="00CE2185">
        <w:rPr>
          <w:noProof/>
          <w:lang w:val="en-IE"/>
        </w:rPr>
        <w:t>ENISA is uniquely placed to facilitate this shared awareness</w:t>
      </w:r>
      <w:r w:rsidR="00CA214E" w:rsidRPr="00CE2185">
        <w:rPr>
          <w:noProof/>
          <w:lang w:val="en-IE"/>
        </w:rPr>
        <w:t xml:space="preserve">, the Agency is </w:t>
      </w:r>
      <w:r w:rsidR="00815EF3" w:rsidRPr="00CE2185">
        <w:rPr>
          <w:noProof/>
          <w:lang w:val="en-IE"/>
        </w:rPr>
        <w:t xml:space="preserve">currently </w:t>
      </w:r>
      <w:r w:rsidR="00CA214E" w:rsidRPr="00CE2185">
        <w:rPr>
          <w:noProof/>
          <w:lang w:val="en-IE"/>
        </w:rPr>
        <w:t xml:space="preserve">not </w:t>
      </w:r>
      <w:r w:rsidR="00831C9A" w:rsidRPr="00CE2185">
        <w:rPr>
          <w:noProof/>
          <w:lang w:val="en-IE"/>
        </w:rPr>
        <w:t xml:space="preserve">appropriately equipped to enhance its support </w:t>
      </w:r>
      <w:r w:rsidR="0019729B" w:rsidRPr="00CE2185">
        <w:rPr>
          <w:noProof/>
          <w:lang w:val="en-IE"/>
        </w:rPr>
        <w:t xml:space="preserve">in this area. </w:t>
      </w:r>
    </w:p>
    <w:p w14:paraId="6B71EBAB" w14:textId="1E9D63D2" w:rsidR="00081B06" w:rsidRPr="00CE2185" w:rsidRDefault="00081B06" w:rsidP="00671B6B">
      <w:pPr>
        <w:spacing w:after="120"/>
        <w:rPr>
          <w:noProof/>
        </w:rPr>
      </w:pPr>
      <w:r w:rsidRPr="00CE2185">
        <w:rPr>
          <w:noProof/>
        </w:rPr>
        <w:t>The evolution of</w:t>
      </w:r>
      <w:r w:rsidRPr="00CE2185">
        <w:rPr>
          <w:b/>
          <w:bCs/>
          <w:noProof/>
        </w:rPr>
        <w:t xml:space="preserve"> geopolitical landscape</w:t>
      </w:r>
      <w:r w:rsidRPr="00CE2185">
        <w:rPr>
          <w:noProof/>
        </w:rPr>
        <w:t xml:space="preserve"> considerably affected the </w:t>
      </w:r>
      <w:r w:rsidRPr="00CE2185">
        <w:rPr>
          <w:b/>
          <w:bCs/>
          <w:noProof/>
        </w:rPr>
        <w:t>ECCF</w:t>
      </w:r>
      <w:r w:rsidRPr="00CE2185">
        <w:rPr>
          <w:noProof/>
        </w:rPr>
        <w:t xml:space="preserve">. </w:t>
      </w:r>
      <w:r w:rsidRPr="00CE2185">
        <w:rPr>
          <w:rFonts w:eastAsia="Arial"/>
          <w:noProof/>
        </w:rPr>
        <w:t xml:space="preserve">According to the 2024 Evaluation </w:t>
      </w:r>
      <w:r w:rsidR="003D1F26" w:rsidRPr="00CE2185">
        <w:rPr>
          <w:rFonts w:eastAsia="Arial"/>
          <w:noProof/>
        </w:rPr>
        <w:t>Report,</w:t>
      </w:r>
      <w:r w:rsidRPr="00CE2185">
        <w:rPr>
          <w:rFonts w:eastAsia="Arial"/>
          <w:noProof/>
        </w:rPr>
        <w:t xml:space="preserve"> 49% of stakeholders </w:t>
      </w:r>
      <w:r w:rsidR="003C7F13" w:rsidRPr="00CE2185">
        <w:rPr>
          <w:rFonts w:eastAsia="Arial"/>
          <w:noProof/>
        </w:rPr>
        <w:t>considered</w:t>
      </w:r>
      <w:r w:rsidRPr="00CE2185">
        <w:rPr>
          <w:rFonts w:eastAsia="Arial"/>
          <w:noProof/>
        </w:rPr>
        <w:t xml:space="preserve"> that geopolitical factors impacted the ECCF negatively or highly negatively. </w:t>
      </w:r>
      <w:r w:rsidRPr="00CE2185">
        <w:rPr>
          <w:noProof/>
        </w:rPr>
        <w:t xml:space="preserve">In particular, </w:t>
      </w:r>
      <w:r w:rsidRPr="00CE2185">
        <w:rPr>
          <w:rFonts w:eastAsia="Arial"/>
          <w:noProof/>
        </w:rPr>
        <w:t>the politicisation of the discussion related to the structure of the cloud computing market in Europe (heavily dominated by non-EU players) impacted the development of EUCS. Triggering factors included international developments such as the adoption of the US Cloud Act and the related privacy concerns. Several other EU initiatives, such as the European strategy for data</w:t>
      </w:r>
      <w:r w:rsidR="0047430B" w:rsidRPr="00CE2185">
        <w:rPr>
          <w:rStyle w:val="FootnoteReference"/>
          <w:rFonts w:eastAsia="Arial"/>
          <w:noProof/>
        </w:rPr>
        <w:footnoteReference w:id="78"/>
      </w:r>
      <w:r w:rsidRPr="00CE2185">
        <w:rPr>
          <w:rFonts w:eastAsia="Arial"/>
          <w:noProof/>
        </w:rPr>
        <w:t xml:space="preserve">, and the subsequently adopted </w:t>
      </w:r>
      <w:r w:rsidR="00086F3B" w:rsidRPr="00CE2185">
        <w:rPr>
          <w:rFonts w:eastAsia="Arial"/>
          <w:noProof/>
        </w:rPr>
        <w:t xml:space="preserve">the </w:t>
      </w:r>
      <w:r w:rsidRPr="00CE2185">
        <w:rPr>
          <w:rFonts w:eastAsia="Arial"/>
          <w:noProof/>
        </w:rPr>
        <w:t xml:space="preserve">Data Act and the Data Governance Act, reflected the increasing concern about the protection against unlawful access to data stemming from third-country legislations that have extra-territorial effects in conflict with EU laws.  </w:t>
      </w:r>
    </w:p>
    <w:p w14:paraId="7D52C58F" w14:textId="23BFA68C" w:rsidR="00081B06" w:rsidRPr="00CE2185" w:rsidRDefault="00081B06" w:rsidP="00671B6B">
      <w:pPr>
        <w:spacing w:after="120"/>
        <w:rPr>
          <w:rFonts w:eastAsia="Arial"/>
          <w:noProof/>
        </w:rPr>
      </w:pPr>
      <w:r w:rsidRPr="00CE2185">
        <w:rPr>
          <w:rFonts w:eastAsia="Arial"/>
          <w:noProof/>
        </w:rPr>
        <w:t xml:space="preserve">In this context, the uncertainty related to the scope of the </w:t>
      </w:r>
      <w:r w:rsidR="00B318DF" w:rsidRPr="00CE2185">
        <w:rPr>
          <w:rFonts w:eastAsia="Arial"/>
          <w:noProof/>
        </w:rPr>
        <w:t>ECCF</w:t>
      </w:r>
      <w:r w:rsidRPr="00CE2185">
        <w:rPr>
          <w:rFonts w:eastAsia="Arial"/>
          <w:noProof/>
        </w:rPr>
        <w:t xml:space="preserve"> as to the types of risks covered </w:t>
      </w:r>
      <w:r w:rsidRPr="00CE2185">
        <w:rPr>
          <w:rFonts w:eastAsia="Arial"/>
          <w:i/>
          <w:iCs/>
          <w:noProof/>
        </w:rPr>
        <w:t>(</w:t>
      </w:r>
      <w:r w:rsidR="009B3554" w:rsidRPr="00CE2185">
        <w:rPr>
          <w:rFonts w:eastAsia="Arial"/>
          <w:i/>
          <w:iCs/>
          <w:noProof/>
        </w:rPr>
        <w:t xml:space="preserve">see </w:t>
      </w:r>
      <w:r w:rsidRPr="00CE2185">
        <w:rPr>
          <w:rFonts w:eastAsia="Arial"/>
          <w:i/>
          <w:iCs/>
          <w:noProof/>
        </w:rPr>
        <w:t>Driver 8)</w:t>
      </w:r>
      <w:r w:rsidRPr="00CE2185">
        <w:rPr>
          <w:rFonts w:eastAsia="Arial"/>
          <w:noProof/>
        </w:rPr>
        <w:t xml:space="preserve"> became prominent. It created political bottlenecks in the preparation of candidate schemes due to disagreements between Member States. It has also triggered criticism regarding the lack of transparency of the framework and insufficient stakeholder involvement</w:t>
      </w:r>
      <w:r w:rsidRPr="00CE2185">
        <w:rPr>
          <w:rStyle w:val="FootnoteReference"/>
          <w:rFonts w:eastAsia="Arial"/>
          <w:noProof/>
        </w:rPr>
        <w:footnoteReference w:id="79"/>
      </w:r>
      <w:r w:rsidR="005447E9" w:rsidRPr="00CE2185">
        <w:rPr>
          <w:rFonts w:eastAsia="Arial"/>
          <w:noProof/>
        </w:rPr>
        <w:t xml:space="preserve"> and</w:t>
      </w:r>
      <w:r w:rsidRPr="00CE2185">
        <w:rPr>
          <w:rFonts w:eastAsia="Arial"/>
          <w:noProof/>
        </w:rPr>
        <w:t xml:space="preserve"> that the certification would go against the security interests of the EU by certifying hyperscalers, and creating overdependency on non-EU provider. </w:t>
      </w:r>
    </w:p>
    <w:p w14:paraId="0724077C" w14:textId="2859AB3E" w:rsidR="00B86CCA" w:rsidRPr="00CE2185" w:rsidRDefault="005B7B70" w:rsidP="00B86CCA">
      <w:pPr>
        <w:pStyle w:val="Heading3"/>
        <w:rPr>
          <w:noProof/>
        </w:rPr>
      </w:pPr>
      <w:bookmarkStart w:id="37" w:name="_Toc219447345"/>
      <w:bookmarkStart w:id="38" w:name="_Toc210393806"/>
      <w:bookmarkStart w:id="39" w:name="_Toc210419513"/>
      <w:r w:rsidRPr="00CE2185">
        <w:rPr>
          <w:noProof/>
        </w:rPr>
        <w:t>Driver 2 – Regulatory gaps</w:t>
      </w:r>
      <w:r w:rsidR="00B86CCA" w:rsidRPr="00CE2185">
        <w:rPr>
          <w:noProof/>
        </w:rPr>
        <w:t xml:space="preserve"> (horizontal driver)</w:t>
      </w:r>
      <w:bookmarkEnd w:id="37"/>
      <w:r w:rsidRPr="00CE2185">
        <w:rPr>
          <w:noProof/>
        </w:rPr>
        <w:t xml:space="preserve"> </w:t>
      </w:r>
      <w:bookmarkEnd w:id="38"/>
      <w:bookmarkEnd w:id="39"/>
    </w:p>
    <w:p w14:paraId="1CB83E62" w14:textId="620F7C65" w:rsidR="001B560A" w:rsidRPr="00CE2185" w:rsidRDefault="001B560A" w:rsidP="009771D1">
      <w:pPr>
        <w:spacing w:after="120"/>
        <w:rPr>
          <w:b/>
          <w:bCs/>
          <w:noProof/>
          <w:lang w:val="en-IE"/>
        </w:rPr>
      </w:pPr>
      <w:r w:rsidRPr="00CE2185">
        <w:rPr>
          <w:noProof/>
        </w:rPr>
        <w:t xml:space="preserve">Since the adoption of the CSA in 2019, the EU cybersecurity regulatory landscape evolved considerably </w:t>
      </w:r>
      <w:r w:rsidRPr="00CE2185">
        <w:rPr>
          <w:i/>
          <w:noProof/>
        </w:rPr>
        <w:t xml:space="preserve">(see </w:t>
      </w:r>
      <w:r w:rsidR="00B8479D" w:rsidRPr="00CE2185">
        <w:rPr>
          <w:i/>
          <w:noProof/>
        </w:rPr>
        <w:t>Section 1)</w:t>
      </w:r>
      <w:r w:rsidR="00B8479D" w:rsidRPr="00CE2185">
        <w:rPr>
          <w:noProof/>
        </w:rPr>
        <w:t>.</w:t>
      </w:r>
    </w:p>
    <w:p w14:paraId="47B572F9" w14:textId="0381FB96" w:rsidR="00577A68" w:rsidRPr="00CE2185" w:rsidRDefault="00577A68" w:rsidP="007D4548">
      <w:pPr>
        <w:spacing w:after="120"/>
        <w:rPr>
          <w:noProof/>
        </w:rPr>
      </w:pPr>
      <w:r w:rsidRPr="00CE2185">
        <w:rPr>
          <w:noProof/>
        </w:rPr>
        <w:t xml:space="preserve">Each of the instruments is </w:t>
      </w:r>
      <w:r w:rsidR="004C6EC3" w:rsidRPr="00CE2185">
        <w:rPr>
          <w:noProof/>
        </w:rPr>
        <w:t xml:space="preserve">either </w:t>
      </w:r>
      <w:r w:rsidRPr="00CE2185">
        <w:rPr>
          <w:noProof/>
        </w:rPr>
        <w:t xml:space="preserve">filling regulatory gaps or </w:t>
      </w:r>
      <w:r w:rsidR="004C6EC3" w:rsidRPr="00CE2185">
        <w:rPr>
          <w:noProof/>
        </w:rPr>
        <w:t xml:space="preserve">resetting focus of </w:t>
      </w:r>
      <w:r w:rsidRPr="00CE2185">
        <w:rPr>
          <w:noProof/>
        </w:rPr>
        <w:t>policy objectives</w:t>
      </w:r>
      <w:r w:rsidR="007B65B3" w:rsidRPr="00CE2185">
        <w:rPr>
          <w:noProof/>
        </w:rPr>
        <w:t xml:space="preserve"> and compliance facilitation</w:t>
      </w:r>
      <w:r w:rsidRPr="00CE2185">
        <w:rPr>
          <w:noProof/>
        </w:rPr>
        <w:t xml:space="preserve">. Main regulatory gaps were identified and are </w:t>
      </w:r>
      <w:r w:rsidRPr="00CE2185">
        <w:rPr>
          <w:b/>
          <w:noProof/>
        </w:rPr>
        <w:t xml:space="preserve">further detailed in Annex </w:t>
      </w:r>
      <w:r w:rsidR="00D43F87" w:rsidRPr="00CE2185">
        <w:rPr>
          <w:b/>
          <w:noProof/>
        </w:rPr>
        <w:t>9</w:t>
      </w:r>
      <w:r w:rsidRPr="00CE2185">
        <w:rPr>
          <w:noProof/>
        </w:rPr>
        <w:t>.</w:t>
      </w:r>
    </w:p>
    <w:p w14:paraId="28879A79" w14:textId="337CDBD3" w:rsidR="003821C5" w:rsidRPr="00CE2185" w:rsidRDefault="00FC74EA" w:rsidP="003821C5">
      <w:pPr>
        <w:spacing w:before="120" w:after="120"/>
        <w:rPr>
          <w:noProof/>
          <w:lang w:val="en-IE"/>
        </w:rPr>
      </w:pPr>
      <w:r w:rsidRPr="00CE2185">
        <w:rPr>
          <w:noProof/>
          <w:lang w:eastAsia="en-GB"/>
        </w:rPr>
        <w:drawing>
          <wp:inline distT="0" distB="0" distL="0" distR="0" wp14:anchorId="787AD082" wp14:editId="667849E3">
            <wp:extent cx="6064898" cy="2864729"/>
            <wp:effectExtent l="0" t="0" r="0" b="0"/>
            <wp:docPr id="6558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0258" cy="2886155"/>
                    </a:xfrm>
                    <a:prstGeom prst="rect">
                      <a:avLst/>
                    </a:prstGeom>
                    <a:noFill/>
                  </pic:spPr>
                </pic:pic>
              </a:graphicData>
            </a:graphic>
          </wp:inline>
        </w:drawing>
      </w:r>
    </w:p>
    <w:p w14:paraId="753DE69A" w14:textId="53F1EAA6" w:rsidR="003821C5" w:rsidRPr="00CE2185" w:rsidRDefault="00E60928" w:rsidP="7410CB48">
      <w:pPr>
        <w:pStyle w:val="Heading6"/>
        <w:rPr>
          <w:noProof/>
        </w:rPr>
      </w:pPr>
      <w:r w:rsidRPr="00CE2185">
        <w:rPr>
          <w:noProof/>
        </w:rPr>
        <w:t>Figure 2: Overview</w:t>
      </w:r>
      <w:r w:rsidR="00BE1769" w:rsidRPr="00CE2185">
        <w:rPr>
          <w:noProof/>
        </w:rPr>
        <w:t xml:space="preserve"> of regulatory gaps</w:t>
      </w:r>
    </w:p>
    <w:p w14:paraId="42EC34A6" w14:textId="77777777" w:rsidR="00D10E17" w:rsidRPr="00CE2185" w:rsidRDefault="00D10E17" w:rsidP="00D10E17">
      <w:pPr>
        <w:pStyle w:val="Heading3"/>
        <w:rPr>
          <w:noProof/>
        </w:rPr>
      </w:pPr>
      <w:bookmarkStart w:id="40" w:name="_Toc219038790"/>
      <w:bookmarkStart w:id="41" w:name="_Toc219447346"/>
      <w:r w:rsidRPr="00CE2185">
        <w:rPr>
          <w:noProof/>
        </w:rPr>
        <w:t>Driver 3 – Vulnerabilities linked to non-technical risks (horizontal driver)</w:t>
      </w:r>
      <w:bookmarkEnd w:id="40"/>
      <w:bookmarkEnd w:id="41"/>
    </w:p>
    <w:p w14:paraId="7AAC973F" w14:textId="77777777" w:rsidR="00D10E17" w:rsidRPr="00CE2185" w:rsidRDefault="00D10E17" w:rsidP="00D10E17">
      <w:pPr>
        <w:spacing w:after="120"/>
        <w:rPr>
          <w:noProof/>
          <w:lang w:val="en-IE"/>
        </w:rPr>
      </w:pPr>
      <w:r w:rsidRPr="00CE2185">
        <w:rPr>
          <w:noProof/>
        </w:rPr>
        <w:t>As a general rule, in cybersecurity any dependency creates a vulnerability. A root cause for ICT supply chain risks, in particular non-technical risks, are the vulnerabilities induced by high dependency on non-European suppliers, on high-risk suppliers and single suppliers (lack of diversification of the supply chains). Additionally, non-anticipation of such non-technical risks can be identified as a source of stalled implementation of ECCF.</w:t>
      </w:r>
    </w:p>
    <w:p w14:paraId="4A334F03" w14:textId="77777777" w:rsidR="00D10E17" w:rsidRPr="00CE2185" w:rsidRDefault="00D10E17" w:rsidP="00D10E17">
      <w:pPr>
        <w:spacing w:after="120"/>
        <w:rPr>
          <w:noProof/>
          <w:lang w:val="en-IE"/>
        </w:rPr>
      </w:pPr>
      <w:r w:rsidRPr="00CE2185">
        <w:rPr>
          <w:i/>
          <w:iCs/>
          <w:noProof/>
          <w:u w:val="single"/>
        </w:rPr>
        <w:t>First</w:t>
      </w:r>
      <w:r w:rsidRPr="00CE2185">
        <w:rPr>
          <w:noProof/>
        </w:rPr>
        <w:t xml:space="preserve">, </w:t>
      </w:r>
      <w:r w:rsidRPr="00CE2185">
        <w:rPr>
          <w:b/>
          <w:bCs/>
          <w:noProof/>
        </w:rPr>
        <w:t>high dependency on non-European suppliers leads to increased ICT supply chains security risks</w:t>
      </w:r>
      <w:r w:rsidRPr="00CE2185">
        <w:rPr>
          <w:noProof/>
        </w:rPr>
        <w:t>. This covers the situation where the suppliers are established</w:t>
      </w:r>
      <w:r>
        <w:rPr>
          <w:noProof/>
        </w:rPr>
        <w:t xml:space="preserve"> in</w:t>
      </w:r>
      <w:r w:rsidRPr="00CE2185">
        <w:rPr>
          <w:noProof/>
        </w:rPr>
        <w:t xml:space="preserve"> or controlled by </w:t>
      </w:r>
      <w:r>
        <w:rPr>
          <w:noProof/>
        </w:rPr>
        <w:t xml:space="preserve">entities from a </w:t>
      </w:r>
      <w:r w:rsidRPr="00CE2185">
        <w:rPr>
          <w:noProof/>
        </w:rPr>
        <w:t>third countr</w:t>
      </w:r>
      <w:r>
        <w:rPr>
          <w:noProof/>
        </w:rPr>
        <w:t>yposing cybersecurity concerns</w:t>
      </w:r>
      <w:r w:rsidRPr="00CE2185">
        <w:rPr>
          <w:noProof/>
        </w:rPr>
        <w:t>, factoring in legal obligations of suppliers subject to the third countries’ laws or other obligations or requirements imposed on the supplier. In 2022, it was estimated that European countries were strongly digitally dependent for over 80% of their digital products, services, infrastructures and intellectual property</w:t>
      </w:r>
      <w:r w:rsidRPr="00CE2185">
        <w:rPr>
          <w:rStyle w:val="FootnoteReference"/>
          <w:noProof/>
        </w:rPr>
        <w:footnoteReference w:id="80"/>
      </w:r>
      <w:r w:rsidRPr="00CE2185">
        <w:rPr>
          <w:noProof/>
        </w:rPr>
        <w:t>. For example, submarine data cables, which carry 99 % of inter-continental Internet traffic, where certain components are not manufactured by any single European supplier (e.g. submarine optical fibre), creating a strong reliance on non-EU suppliers</w:t>
      </w:r>
      <w:r w:rsidRPr="00CE2185">
        <w:rPr>
          <w:rStyle w:val="FootnoteReference"/>
          <w:noProof/>
        </w:rPr>
        <w:footnoteReference w:id="81"/>
      </w:r>
      <w:r w:rsidRPr="00CE2185">
        <w:rPr>
          <w:noProof/>
        </w:rPr>
        <w:t>.</w:t>
      </w:r>
      <w:r w:rsidRPr="00CE2185">
        <w:rPr>
          <w:noProof/>
          <w:lang w:val="en-IE"/>
        </w:rPr>
        <w:t> </w:t>
      </w:r>
    </w:p>
    <w:p w14:paraId="2D6AFB23" w14:textId="77777777" w:rsidR="00D10E17" w:rsidRPr="00CE2185" w:rsidRDefault="00D10E17" w:rsidP="00D10E17">
      <w:pPr>
        <w:spacing w:after="120"/>
        <w:rPr>
          <w:noProof/>
          <w:lang w:val="en-IE"/>
        </w:rPr>
      </w:pPr>
      <w:r w:rsidRPr="00CE2185">
        <w:rPr>
          <w:i/>
          <w:iCs/>
          <w:noProof/>
          <w:u w:val="single"/>
        </w:rPr>
        <w:t>Second</w:t>
      </w:r>
      <w:r w:rsidRPr="00CE2185">
        <w:rPr>
          <w:noProof/>
        </w:rPr>
        <w:t>, the risks are further increased in situations where such dependency exists on high-risk suppliers, as the possibility of foreign interference is substantially higher. This is the case especially if such dependency manifests itself in sectors and services which are of vital importance to key societal and economic activities, the sectors of high criticality and other critical sectors covered by the NIS2 Directive</w:t>
      </w:r>
      <w:r w:rsidRPr="00CE2185">
        <w:rPr>
          <w:rStyle w:val="FootnoteReference"/>
          <w:noProof/>
        </w:rPr>
        <w:footnoteReference w:id="82"/>
      </w:r>
      <w:r w:rsidRPr="00CE2185">
        <w:rPr>
          <w:noProof/>
        </w:rPr>
        <w:t xml:space="preserve">, such as banking, digital infrastructures,  health, energy, transport, which have reportedly been affected by supply chain security incidents as highlighted in reply to the public consultation </w:t>
      </w:r>
      <w:r w:rsidRPr="00CE2185">
        <w:rPr>
          <w:i/>
          <w:iCs/>
          <w:noProof/>
        </w:rPr>
        <w:t>(see Annex 2)</w:t>
      </w:r>
      <w:r w:rsidRPr="00CE2185">
        <w:rPr>
          <w:noProof/>
        </w:rPr>
        <w:t>.  </w:t>
      </w:r>
      <w:r w:rsidRPr="00CE2185">
        <w:rPr>
          <w:noProof/>
          <w:lang w:val="en-IE"/>
        </w:rPr>
        <w:t> </w:t>
      </w:r>
    </w:p>
    <w:p w14:paraId="7C312768" w14:textId="77777777" w:rsidR="00D10E17" w:rsidRPr="00CE2185" w:rsidRDefault="00D10E17" w:rsidP="00D10E17">
      <w:pPr>
        <w:spacing w:after="120"/>
        <w:rPr>
          <w:noProof/>
          <w:lang w:val="en-IE"/>
        </w:rPr>
      </w:pPr>
      <w:r w:rsidRPr="00CE2185">
        <w:rPr>
          <w:noProof/>
        </w:rPr>
        <w:t>The presence of high-risk suppliers in the EU’s 4G, 5G and fixed telecommunications networks</w:t>
      </w:r>
      <w:r w:rsidRPr="00CE2185">
        <w:rPr>
          <w:rStyle w:val="FootnoteReference"/>
          <w:noProof/>
        </w:rPr>
        <w:footnoteReference w:id="83"/>
      </w:r>
      <w:r w:rsidRPr="00CE2185">
        <w:rPr>
          <w:noProof/>
        </w:rPr>
        <w:t xml:space="preserve"> illustrates the extent of the Union’s vulnerability, at the forefront of which strategic dependency and exposition of the EU to risks of third country interference</w:t>
      </w:r>
      <w:r w:rsidRPr="00CE2185">
        <w:rPr>
          <w:rStyle w:val="FootnoteReference"/>
          <w:noProof/>
        </w:rPr>
        <w:footnoteReference w:id="84"/>
      </w:r>
      <w:r w:rsidRPr="00CE2185">
        <w:rPr>
          <w:noProof/>
        </w:rPr>
        <w:t>. Indeed, eleven Member States have reportedly an over 40% share of high-risk suppliers in their 5G radio access network (RAN) and 41% of the mobile subscribers in Europe have access to 5G RAN from high-risk suppliers</w:t>
      </w:r>
      <w:r w:rsidRPr="00CE2185">
        <w:rPr>
          <w:rStyle w:val="FootnoteReference"/>
          <w:noProof/>
        </w:rPr>
        <w:footnoteReference w:id="85"/>
      </w:r>
      <w:r w:rsidRPr="00CE2185">
        <w:rPr>
          <w:noProof/>
        </w:rPr>
        <w:t>. This vulnerability becomes particularly exacerbated considering the role of 5G in modern defence systems, military logistics and counter drone initiatives, where it should be seen against a backdrop of the no limit partnership announced by Russia and China in February 2022.</w:t>
      </w:r>
    </w:p>
    <w:tbl>
      <w:tblPr>
        <w:tblStyle w:val="TableGrid"/>
        <w:tblW w:w="0" w:type="auto"/>
        <w:tblLook w:val="04A0" w:firstRow="1" w:lastRow="0" w:firstColumn="1" w:lastColumn="0" w:noHBand="0" w:noVBand="1"/>
      </w:tblPr>
      <w:tblGrid>
        <w:gridCol w:w="8863"/>
      </w:tblGrid>
      <w:tr w:rsidR="00D10E17" w:rsidRPr="00CE2185" w14:paraId="67F9ACCE" w14:textId="77777777" w:rsidTr="00641B35">
        <w:tc>
          <w:tcPr>
            <w:tcW w:w="9286" w:type="dxa"/>
          </w:tcPr>
          <w:p w14:paraId="04C1BBBE" w14:textId="77777777" w:rsidR="00D10E17" w:rsidRPr="00CE2185" w:rsidRDefault="00D10E17" w:rsidP="00641B35">
            <w:pPr>
              <w:spacing w:before="120" w:after="120"/>
              <w:rPr>
                <w:b/>
                <w:i/>
                <w:noProof/>
              </w:rPr>
            </w:pPr>
            <w:r w:rsidRPr="00CE2185">
              <w:rPr>
                <w:b/>
                <w:i/>
                <w:noProof/>
              </w:rPr>
              <w:t xml:space="preserve">Illustrative case of </w:t>
            </w:r>
            <w:r w:rsidRPr="00CE2185">
              <w:rPr>
                <w:b/>
                <w:bCs/>
                <w:i/>
                <w:iCs/>
                <w:noProof/>
              </w:rPr>
              <w:t>vulnerability: the EU’s</w:t>
            </w:r>
            <w:r w:rsidRPr="00CE2185">
              <w:rPr>
                <w:b/>
                <w:i/>
                <w:noProof/>
              </w:rPr>
              <w:t xml:space="preserve"> high dependency on high-risk supplier</w:t>
            </w:r>
            <w:r w:rsidRPr="00CE2185">
              <w:rPr>
                <w:b/>
                <w:bCs/>
                <w:i/>
                <w:iCs/>
                <w:noProof/>
              </w:rPr>
              <w:t xml:space="preserve"> for</w:t>
            </w:r>
            <w:r w:rsidRPr="00CE2185">
              <w:rPr>
                <w:b/>
                <w:i/>
                <w:noProof/>
              </w:rPr>
              <w:t xml:space="preserve"> photovoltaic systems </w:t>
            </w:r>
          </w:p>
          <w:p w14:paraId="174C1E59" w14:textId="77777777" w:rsidR="00D10E17" w:rsidRPr="00CE2185" w:rsidRDefault="00D10E17" w:rsidP="00641B35">
            <w:pPr>
              <w:spacing w:before="120" w:after="120"/>
              <w:rPr>
                <w:noProof/>
              </w:rPr>
            </w:pPr>
            <w:r w:rsidRPr="00CE2185">
              <w:rPr>
                <w:noProof/>
              </w:rPr>
              <w:t>Solar inverters are highly critical components for delivering the core functions of a photovoltaic system, significantly contributing to grid stability and holding information about electricity demand</w:t>
            </w:r>
            <w:r w:rsidRPr="00CE2185">
              <w:rPr>
                <w:rStyle w:val="FootnoteReference"/>
                <w:noProof/>
              </w:rPr>
              <w:footnoteReference w:id="86"/>
            </w:r>
            <w:r w:rsidRPr="00CE2185">
              <w:rPr>
                <w:noProof/>
              </w:rPr>
              <w:t>. Nine of the top ten inverter shipment leaders from 2023 were headquartered in China</w:t>
            </w:r>
            <w:r w:rsidRPr="00CE2185">
              <w:rPr>
                <w:rStyle w:val="FootnoteReference"/>
                <w:noProof/>
              </w:rPr>
              <w:footnoteReference w:id="87"/>
            </w:r>
            <w:r w:rsidRPr="00CE2185">
              <w:rPr>
                <w:noProof/>
              </w:rPr>
              <w:t>. From a total of 350 Gigawatt (GW) photovoltaic inverter shipments to Europe over 2015-2023, 225 GW or 64% were coming from Chinese companies, with 114 GW from Huawei alone</w:t>
            </w:r>
            <w:r w:rsidRPr="00CE2185">
              <w:rPr>
                <w:rStyle w:val="FootnoteReference"/>
                <w:noProof/>
              </w:rPr>
              <w:footnoteReference w:id="88"/>
            </w:r>
            <w:r w:rsidRPr="00CE2185">
              <w:rPr>
                <w:noProof/>
              </w:rPr>
              <w:t>. In 2023, 70% of inverters installed in Europe originated from Chinese vendors, with two Chinese vendors having control of remote access to 168 GW of photovoltaic capacity in Europe</w:t>
            </w:r>
            <w:r w:rsidRPr="00CE2185">
              <w:rPr>
                <w:rStyle w:val="FootnoteReference"/>
                <w:noProof/>
              </w:rPr>
              <w:footnoteReference w:id="89"/>
            </w:r>
            <w:r w:rsidRPr="00CE2185">
              <w:rPr>
                <w:noProof/>
              </w:rPr>
              <w:t>.</w:t>
            </w:r>
          </w:p>
          <w:p w14:paraId="5E350A42" w14:textId="77777777" w:rsidR="00D10E17" w:rsidRPr="00CE2185" w:rsidRDefault="00D10E17" w:rsidP="00641B35">
            <w:pPr>
              <w:spacing w:before="120" w:after="120"/>
              <w:rPr>
                <w:noProof/>
                <w:lang w:val="en-IE"/>
              </w:rPr>
            </w:pPr>
            <w:r w:rsidRPr="00CE2185">
              <w:rPr>
                <w:noProof/>
              </w:rPr>
              <w:t>Technical risks arise from the fact that inverters are connected to the Internet, allowing remote access for software and firmware. Those technical risks could also be a vehicle for non-technical risks if connected with the inverters; supplier could be subject to an interference from a third country. Switching off inverters remotely, changing their settings and behaviour can destabilise power grids, damage energy infrastructure, trigger widespread blackouts and prevent grid recovery. In addition to this risk of sabotage, insight into operational data of solar inverters can provide real-time grid intelligence and reveal the location and behaviour of sensitive assets that can be exploited for strategic, economic, or military advantage. </w:t>
            </w:r>
            <w:r w:rsidRPr="00CE2185">
              <w:rPr>
                <w:noProof/>
                <w:lang w:val="en-IE"/>
              </w:rPr>
              <w:t> </w:t>
            </w:r>
          </w:p>
          <w:p w14:paraId="33D75C38" w14:textId="77777777" w:rsidR="00D10E17" w:rsidRPr="00CE2185" w:rsidRDefault="00D10E17" w:rsidP="00641B35">
            <w:pPr>
              <w:spacing w:before="120" w:after="120"/>
              <w:rPr>
                <w:noProof/>
                <w:lang w:val="en-IE"/>
              </w:rPr>
            </w:pPr>
            <w:r w:rsidRPr="00CE2185">
              <w:rPr>
                <w:noProof/>
              </w:rPr>
              <w:t>Rogue communication devices not listed in product documents are reported to been found in Chinese solar power inverters</w:t>
            </w:r>
            <w:r w:rsidRPr="00CE2185">
              <w:rPr>
                <w:rStyle w:val="FootnoteReference"/>
                <w:noProof/>
              </w:rPr>
              <w:footnoteReference w:id="90"/>
            </w:r>
            <w:r w:rsidRPr="00CE2185">
              <w:rPr>
                <w:noProof/>
              </w:rPr>
              <w:t>. The rogue components provide additional, undocumented communication channels that could allow firewalls used by utility companies to prevent direct communication back to China to be circumvented remotely</w:t>
            </w:r>
            <w:r w:rsidRPr="00CE2185">
              <w:rPr>
                <w:rStyle w:val="FootnoteReference"/>
                <w:noProof/>
              </w:rPr>
              <w:footnoteReference w:id="91"/>
            </w:r>
            <w:r w:rsidRPr="00CE2185">
              <w:rPr>
                <w:noProof/>
              </w:rPr>
              <w:t>, with potentially catastrophic consequences as described above. Furthermore, a recent bibliometric study of open-source Chinese academic literature</w:t>
            </w:r>
            <w:r w:rsidRPr="00CE2185">
              <w:rPr>
                <w:rStyle w:val="FootnoteReference"/>
                <w:noProof/>
              </w:rPr>
              <w:footnoteReference w:id="92"/>
            </w:r>
            <w:r w:rsidRPr="00CE2185">
              <w:rPr>
                <w:noProof/>
              </w:rPr>
              <w:t xml:space="preserve"> has revealed a systematic and sustained research effort focused on identifying vulnerabilities in Western power grids, including those in Europe (with over 150 Chinese-authored publications simulating disruptions targeting EU. </w:t>
            </w:r>
            <w:r w:rsidRPr="00CE2185">
              <w:rPr>
                <w:noProof/>
                <w:lang w:val="en-IE"/>
              </w:rPr>
              <w:t> </w:t>
            </w:r>
          </w:p>
        </w:tc>
      </w:tr>
    </w:tbl>
    <w:p w14:paraId="632A7BDB" w14:textId="48E986B5" w:rsidR="00F57D9D" w:rsidRPr="00CE2185" w:rsidRDefault="00D10E17" w:rsidP="00FC38F6">
      <w:pPr>
        <w:spacing w:before="120" w:after="120"/>
        <w:rPr>
          <w:noProof/>
        </w:rPr>
      </w:pPr>
      <w:r w:rsidRPr="00CE2185">
        <w:rPr>
          <w:i/>
          <w:noProof/>
          <w:u w:val="single"/>
          <w:lang w:val="en-IE"/>
        </w:rPr>
        <w:t>Third</w:t>
      </w:r>
      <w:r w:rsidRPr="00CE2185">
        <w:rPr>
          <w:noProof/>
          <w:u w:val="single"/>
          <w:lang w:val="en-IE"/>
        </w:rPr>
        <w:t xml:space="preserve">, </w:t>
      </w:r>
      <w:r w:rsidRPr="00CE2185">
        <w:rPr>
          <w:b/>
          <w:noProof/>
          <w:lang w:val="en-IE"/>
        </w:rPr>
        <w:t>the non-anticipation of non-technical risks</w:t>
      </w:r>
      <w:r w:rsidRPr="00CE2185">
        <w:rPr>
          <w:noProof/>
          <w:lang w:val="en-IE"/>
        </w:rPr>
        <w:t xml:space="preserve"> can be considered a root cause for the stalled implementation of ECCF. Drawing</w:t>
      </w:r>
      <w:r w:rsidRPr="00CE2185">
        <w:rPr>
          <w:noProof/>
        </w:rPr>
        <w:t xml:space="preserve"> on the experience of the</w:t>
      </w:r>
      <w:r w:rsidRPr="00CE2185" w:rsidDel="49DFDC98">
        <w:rPr>
          <w:noProof/>
        </w:rPr>
        <w:t xml:space="preserve"> </w:t>
      </w:r>
      <w:r w:rsidRPr="00CE2185">
        <w:rPr>
          <w:noProof/>
        </w:rPr>
        <w:t>preparation of several schemes, major issues related to how to cater for non-technical risks have stalled the adoption of the schemes (blockage of the EUCS and the EU5G). The ECCF was not designed to cover these risks in an efficient manner as it only addresses technical risks</w:t>
      </w:r>
      <w:r>
        <w:rPr>
          <w:noProof/>
        </w:rPr>
        <w:t>.</w:t>
      </w:r>
    </w:p>
    <w:p w14:paraId="68D2217A" w14:textId="7E816456" w:rsidR="00A6628E" w:rsidRPr="00CE2185" w:rsidRDefault="00343A4D" w:rsidP="00366D0A">
      <w:pPr>
        <w:pStyle w:val="Heading3"/>
        <w:rPr>
          <w:noProof/>
        </w:rPr>
      </w:pPr>
      <w:bookmarkStart w:id="42" w:name="_Toc210393808"/>
      <w:bookmarkStart w:id="43" w:name="_Toc210419515"/>
      <w:bookmarkStart w:id="44" w:name="_Toc219447347"/>
      <w:r w:rsidRPr="00CE2185">
        <w:rPr>
          <w:noProof/>
        </w:rPr>
        <w:t xml:space="preserve">Driver </w:t>
      </w:r>
      <w:r w:rsidR="006B5E66" w:rsidRPr="00CE2185">
        <w:rPr>
          <w:noProof/>
        </w:rPr>
        <w:t>4</w:t>
      </w:r>
      <w:r w:rsidR="004812CB" w:rsidRPr="00CE2185">
        <w:rPr>
          <w:noProof/>
        </w:rPr>
        <w:t xml:space="preserve"> – </w:t>
      </w:r>
      <w:r w:rsidR="001D374F" w:rsidRPr="00CE2185">
        <w:rPr>
          <w:noProof/>
        </w:rPr>
        <w:t>Unsuitable ENISA mandate and resources to evolve with EU cyber ecosystem’s and regulatory needs</w:t>
      </w:r>
      <w:r w:rsidR="00A6628E" w:rsidRPr="00CE2185">
        <w:rPr>
          <w:noProof/>
        </w:rPr>
        <w:t>.</w:t>
      </w:r>
      <w:bookmarkEnd w:id="42"/>
      <w:bookmarkEnd w:id="43"/>
      <w:bookmarkEnd w:id="44"/>
    </w:p>
    <w:p w14:paraId="3802AE07" w14:textId="0B23BE5F" w:rsidR="00AD1EF7" w:rsidRPr="00CE2185" w:rsidRDefault="004812CB" w:rsidP="00795DF0">
      <w:pPr>
        <w:spacing w:after="120"/>
        <w:rPr>
          <w:noProof/>
        </w:rPr>
      </w:pPr>
      <w:r w:rsidRPr="00CE2185">
        <w:rPr>
          <w:noProof/>
          <w:lang w:val="en-IE"/>
        </w:rPr>
        <w:t>The current CSA does not reflect properly the nature of the tasks that has been given to ENISA through different Union legal acts</w:t>
      </w:r>
      <w:r w:rsidR="00D60754" w:rsidRPr="00CE2185">
        <w:rPr>
          <w:noProof/>
          <w:lang w:val="en-IE"/>
        </w:rPr>
        <w:t xml:space="preserve"> nor</w:t>
      </w:r>
      <w:r w:rsidR="008029C8" w:rsidRPr="00CE2185">
        <w:rPr>
          <w:noProof/>
          <w:lang w:val="en-IE"/>
        </w:rPr>
        <w:t xml:space="preserve"> the needs of the cybersecurity ecosystem</w:t>
      </w:r>
      <w:r w:rsidR="00AC717E" w:rsidRPr="00CE2185">
        <w:rPr>
          <w:noProof/>
          <w:lang w:val="en-IE"/>
        </w:rPr>
        <w:t xml:space="preserve"> or the focused European </w:t>
      </w:r>
      <w:r w:rsidR="004810A9" w:rsidRPr="00CE2185">
        <w:rPr>
          <w:noProof/>
          <w:lang w:val="en-IE"/>
        </w:rPr>
        <w:t>added value that such agency is needed to be in support of the EU cybersecurity objectives</w:t>
      </w:r>
      <w:r w:rsidR="00AB5BDC" w:rsidRPr="00CE2185">
        <w:rPr>
          <w:noProof/>
          <w:lang w:val="en-IE"/>
        </w:rPr>
        <w:t xml:space="preserve"> </w:t>
      </w:r>
      <w:r w:rsidR="004159EB" w:rsidRPr="00CE2185">
        <w:rPr>
          <w:i/>
          <w:iCs/>
          <w:noProof/>
        </w:rPr>
        <w:t xml:space="preserve">(see Driver 2 and Annex </w:t>
      </w:r>
      <w:r w:rsidR="001E359E" w:rsidRPr="00CE2185">
        <w:rPr>
          <w:i/>
          <w:iCs/>
          <w:noProof/>
        </w:rPr>
        <w:t>9</w:t>
      </w:r>
      <w:r w:rsidR="004159EB" w:rsidRPr="00CE2185">
        <w:rPr>
          <w:i/>
          <w:iCs/>
          <w:noProof/>
        </w:rPr>
        <w:t>)</w:t>
      </w:r>
      <w:r w:rsidR="004159EB" w:rsidRPr="00CE2185">
        <w:rPr>
          <w:noProof/>
        </w:rPr>
        <w:t xml:space="preserve">. </w:t>
      </w:r>
      <w:r w:rsidR="00092376" w:rsidRPr="00CE2185">
        <w:rPr>
          <w:noProof/>
        </w:rPr>
        <w:t>What is more</w:t>
      </w:r>
      <w:r w:rsidR="003721EA" w:rsidRPr="00CE2185">
        <w:rPr>
          <w:noProof/>
        </w:rPr>
        <w:t xml:space="preserve">, the current </w:t>
      </w:r>
      <w:r w:rsidR="00A20E7F" w:rsidRPr="00CE2185">
        <w:rPr>
          <w:noProof/>
        </w:rPr>
        <w:t xml:space="preserve">resourcing model </w:t>
      </w:r>
      <w:r w:rsidR="003721EA" w:rsidRPr="00CE2185">
        <w:rPr>
          <w:noProof/>
        </w:rPr>
        <w:t xml:space="preserve">is not appropriately </w:t>
      </w:r>
      <w:r w:rsidR="00A20E7F" w:rsidRPr="00CE2185">
        <w:rPr>
          <w:noProof/>
        </w:rPr>
        <w:t>matching</w:t>
      </w:r>
      <w:r w:rsidR="003721EA" w:rsidRPr="00CE2185">
        <w:rPr>
          <w:noProof/>
        </w:rPr>
        <w:t xml:space="preserve"> </w:t>
      </w:r>
      <w:r w:rsidR="00A20E7F" w:rsidRPr="00CE2185">
        <w:rPr>
          <w:noProof/>
        </w:rPr>
        <w:t>its new responsibilities</w:t>
      </w:r>
      <w:r w:rsidR="003721EA" w:rsidRPr="00CE2185">
        <w:rPr>
          <w:noProof/>
        </w:rPr>
        <w:t>.</w:t>
      </w:r>
      <w:r w:rsidRPr="00CE2185">
        <w:rPr>
          <w:noProof/>
          <w:lang w:val="en-IE"/>
        </w:rPr>
        <w:t xml:space="preserve"> </w:t>
      </w:r>
      <w:r w:rsidR="00A6583A" w:rsidRPr="00CE2185">
        <w:rPr>
          <w:noProof/>
          <w:lang w:val="en-IE"/>
        </w:rPr>
        <w:t xml:space="preserve">The </w:t>
      </w:r>
      <w:r w:rsidR="00A6583A" w:rsidRPr="00CE2185">
        <w:rPr>
          <w:b/>
          <w:bCs/>
          <w:noProof/>
          <w:lang w:val="en-IE"/>
        </w:rPr>
        <w:t>current CSA does not ensure a clear focus of</w:t>
      </w:r>
      <w:r w:rsidR="00A6583A" w:rsidRPr="00CE2185">
        <w:rPr>
          <w:noProof/>
          <w:lang w:val="en-IE"/>
        </w:rPr>
        <w:t xml:space="preserve"> </w:t>
      </w:r>
      <w:r w:rsidRPr="00CE2185">
        <w:rPr>
          <w:b/>
          <w:bCs/>
          <w:noProof/>
          <w:lang w:val="en-IE"/>
        </w:rPr>
        <w:t>ENISA’s role in providing support in consistent implementation throughout the EU</w:t>
      </w:r>
      <w:r w:rsidR="00035C1E" w:rsidRPr="00CE2185">
        <w:rPr>
          <w:noProof/>
          <w:lang w:val="en-IE"/>
        </w:rPr>
        <w:t>, with certain new</w:t>
      </w:r>
      <w:r w:rsidR="00CC0E66" w:rsidRPr="00CE2185">
        <w:rPr>
          <w:noProof/>
          <w:lang w:val="en-IE"/>
        </w:rPr>
        <w:t xml:space="preserve"> tasks carrying an important weight, </w:t>
      </w:r>
      <w:r w:rsidR="00721DA1" w:rsidRPr="00CE2185">
        <w:rPr>
          <w:noProof/>
          <w:lang w:val="en-IE"/>
        </w:rPr>
        <w:t xml:space="preserve">for instance </w:t>
      </w:r>
      <w:r w:rsidR="00C43659" w:rsidRPr="00CE2185">
        <w:rPr>
          <w:noProof/>
          <w:lang w:val="en-IE"/>
        </w:rPr>
        <w:t>managing</w:t>
      </w:r>
      <w:r w:rsidR="00721DA1" w:rsidRPr="00CE2185">
        <w:rPr>
          <w:noProof/>
          <w:lang w:val="en-IE"/>
        </w:rPr>
        <w:t xml:space="preserve"> </w:t>
      </w:r>
      <w:r w:rsidR="00C43659" w:rsidRPr="00CE2185">
        <w:rPr>
          <w:noProof/>
          <w:lang w:val="en-IE"/>
        </w:rPr>
        <w:t xml:space="preserve">and enriching </w:t>
      </w:r>
      <w:r w:rsidR="00721DA1" w:rsidRPr="00CE2185">
        <w:rPr>
          <w:noProof/>
          <w:lang w:val="en-IE"/>
        </w:rPr>
        <w:t xml:space="preserve">vulnerability </w:t>
      </w:r>
      <w:r w:rsidR="00C43659" w:rsidRPr="00CE2185">
        <w:rPr>
          <w:noProof/>
          <w:lang w:val="en-IE"/>
        </w:rPr>
        <w:t>records</w:t>
      </w:r>
      <w:r w:rsidR="00517564" w:rsidRPr="00CE2185">
        <w:rPr>
          <w:noProof/>
          <w:lang w:val="en-IE"/>
        </w:rPr>
        <w:t xml:space="preserve"> or</w:t>
      </w:r>
      <w:r w:rsidR="00DA62D6" w:rsidRPr="00CE2185">
        <w:rPr>
          <w:noProof/>
          <w:lang w:val="en-IE"/>
        </w:rPr>
        <w:t xml:space="preserve"> standardisation support </w:t>
      </w:r>
      <w:r w:rsidR="00517564" w:rsidRPr="00CE2185">
        <w:rPr>
          <w:noProof/>
          <w:lang w:val="en-IE"/>
        </w:rPr>
        <w:t>for the CRA and for ECCF</w:t>
      </w:r>
      <w:r w:rsidRPr="00CE2185">
        <w:rPr>
          <w:noProof/>
          <w:lang w:val="en-IE"/>
        </w:rPr>
        <w:t>.</w:t>
      </w:r>
      <w:r w:rsidR="00AD1EF7" w:rsidRPr="00CE2185">
        <w:rPr>
          <w:noProof/>
          <w:lang w:val="en-IE"/>
        </w:rPr>
        <w:t xml:space="preserve"> </w:t>
      </w:r>
      <w:r w:rsidR="00752B79" w:rsidRPr="00CE2185">
        <w:rPr>
          <w:noProof/>
        </w:rPr>
        <w:t>Certain</w:t>
      </w:r>
      <w:r w:rsidRPr="00CE2185">
        <w:rPr>
          <w:noProof/>
        </w:rPr>
        <w:t xml:space="preserve"> </w:t>
      </w:r>
      <w:r w:rsidR="00517564" w:rsidRPr="00CE2185">
        <w:rPr>
          <w:noProof/>
        </w:rPr>
        <w:t xml:space="preserve">other </w:t>
      </w:r>
      <w:r w:rsidRPr="00CE2185">
        <w:rPr>
          <w:noProof/>
        </w:rPr>
        <w:t xml:space="preserve">tasks </w:t>
      </w:r>
      <w:r w:rsidR="002E3E90" w:rsidRPr="00CE2185">
        <w:rPr>
          <w:noProof/>
        </w:rPr>
        <w:t xml:space="preserve">in the CSA </w:t>
      </w:r>
      <w:r w:rsidR="00517564" w:rsidRPr="00CE2185">
        <w:rPr>
          <w:noProof/>
        </w:rPr>
        <w:t xml:space="preserve">also </w:t>
      </w:r>
      <w:r w:rsidRPr="00CE2185">
        <w:rPr>
          <w:noProof/>
        </w:rPr>
        <w:t>give a very broad mandate to ENISA, without providing a focus or direction</w:t>
      </w:r>
      <w:r w:rsidR="00311027" w:rsidRPr="00CE2185">
        <w:rPr>
          <w:noProof/>
        </w:rPr>
        <w:t xml:space="preserve">, </w:t>
      </w:r>
      <w:r w:rsidR="001F401F" w:rsidRPr="00CE2185">
        <w:rPr>
          <w:noProof/>
        </w:rPr>
        <w:t>i</w:t>
      </w:r>
      <w:r w:rsidR="009C3958" w:rsidRPr="00CE2185">
        <w:rPr>
          <w:noProof/>
        </w:rPr>
        <w:t>.</w:t>
      </w:r>
      <w:r w:rsidR="001F401F" w:rsidRPr="00CE2185">
        <w:rPr>
          <w:noProof/>
        </w:rPr>
        <w:t>e.</w:t>
      </w:r>
      <w:r w:rsidR="00311027" w:rsidRPr="00CE2185">
        <w:rPr>
          <w:noProof/>
        </w:rPr>
        <w:t xml:space="preserve"> in the area of international cooperation</w:t>
      </w:r>
      <w:r w:rsidR="009C3958" w:rsidRPr="00CE2185">
        <w:rPr>
          <w:rStyle w:val="FootnoteReference"/>
          <w:noProof/>
        </w:rPr>
        <w:footnoteReference w:id="93"/>
      </w:r>
      <w:r w:rsidRPr="00CE2185">
        <w:rPr>
          <w:noProof/>
        </w:rPr>
        <w:t xml:space="preserve">. </w:t>
      </w:r>
    </w:p>
    <w:p w14:paraId="2B55A594" w14:textId="77777777" w:rsidR="00C952AA" w:rsidRPr="00CE2185" w:rsidRDefault="001C4AFB" w:rsidP="00795DF0">
      <w:pPr>
        <w:spacing w:after="120"/>
        <w:rPr>
          <w:noProof/>
          <w:lang w:eastAsia="en-GB"/>
        </w:rPr>
      </w:pPr>
      <w:r w:rsidRPr="00CE2185">
        <w:rPr>
          <w:noProof/>
        </w:rPr>
        <w:t>In contrast, r</w:t>
      </w:r>
      <w:r w:rsidR="00C952AA" w:rsidRPr="00CE2185">
        <w:rPr>
          <w:noProof/>
        </w:rPr>
        <w:t>egarding the growth</w:t>
      </w:r>
      <w:r w:rsidR="00C952AA" w:rsidRPr="00CE2185">
        <w:rPr>
          <w:noProof/>
          <w:lang w:eastAsia="en-GB"/>
        </w:rPr>
        <w:t xml:space="preserve"> and strengthening of the </w:t>
      </w:r>
      <w:r w:rsidR="00C952AA" w:rsidRPr="00CE2185">
        <w:rPr>
          <w:b/>
          <w:bCs/>
          <w:noProof/>
          <w:lang w:eastAsia="en-GB"/>
        </w:rPr>
        <w:t>cybersecurity workforce, ENISA’s current mandate is further weak and undefined</w:t>
      </w:r>
      <w:r w:rsidR="00C952AA" w:rsidRPr="00CE2185">
        <w:rPr>
          <w:rStyle w:val="FootnoteReference"/>
          <w:b/>
          <w:bCs/>
          <w:noProof/>
          <w:lang w:eastAsia="en-GB"/>
        </w:rPr>
        <w:footnoteReference w:id="94"/>
      </w:r>
      <w:r w:rsidR="00C952AA" w:rsidRPr="00CE2185">
        <w:rPr>
          <w:noProof/>
          <w:lang w:eastAsia="en-GB"/>
        </w:rPr>
        <w:t xml:space="preserve">, </w:t>
      </w:r>
      <w:r w:rsidR="00B63FE1" w:rsidRPr="00CE2185">
        <w:rPr>
          <w:noProof/>
          <w:lang w:eastAsia="en-GB"/>
        </w:rPr>
        <w:t>with no</w:t>
      </w:r>
      <w:r w:rsidR="00C952AA" w:rsidRPr="00CE2185">
        <w:rPr>
          <w:noProof/>
          <w:lang w:eastAsia="en-GB"/>
        </w:rPr>
        <w:t xml:space="preserve"> clarif</w:t>
      </w:r>
      <w:r w:rsidR="00B63FE1" w:rsidRPr="00CE2185">
        <w:rPr>
          <w:noProof/>
          <w:lang w:eastAsia="en-GB"/>
        </w:rPr>
        <w:t>ication</w:t>
      </w:r>
      <w:r w:rsidR="00C952AA" w:rsidRPr="00CE2185">
        <w:rPr>
          <w:noProof/>
          <w:lang w:eastAsia="en-GB"/>
        </w:rPr>
        <w:t xml:space="preserve"> </w:t>
      </w:r>
      <w:r w:rsidR="007D2819" w:rsidRPr="00CE2185">
        <w:rPr>
          <w:noProof/>
          <w:lang w:eastAsia="en-GB"/>
        </w:rPr>
        <w:t xml:space="preserve">on </w:t>
      </w:r>
      <w:r w:rsidR="00C952AA" w:rsidRPr="00CE2185">
        <w:rPr>
          <w:noProof/>
          <w:lang w:eastAsia="en-GB"/>
        </w:rPr>
        <w:t>how ENISA can achieve the objective of supporting its stakeholders in addressing the skills and talent gap. As a result, ENISA’s support in this field lacks necessary focus, visibility and scaling, as shown by strong disparity in the level of awareness and uptake of the 2022-born European Cybersecurity Skills Framework (ECSF) across Member States</w:t>
      </w:r>
      <w:r w:rsidR="00C952AA" w:rsidRPr="00CE2185">
        <w:rPr>
          <w:rStyle w:val="FootnoteReference"/>
          <w:rFonts w:asciiTheme="minorHAnsi" w:eastAsiaTheme="minorEastAsia" w:hAnsiTheme="minorHAnsi" w:cstheme="minorBidi"/>
          <w:noProof/>
        </w:rPr>
        <w:footnoteReference w:id="95"/>
      </w:r>
      <w:r w:rsidR="00C952AA" w:rsidRPr="00CE2185">
        <w:rPr>
          <w:noProof/>
          <w:lang w:eastAsia="en-GB"/>
        </w:rPr>
        <w:t xml:space="preserve">. </w:t>
      </w:r>
    </w:p>
    <w:p w14:paraId="3DABE54C" w14:textId="1F8E0CC1" w:rsidR="008F64B6" w:rsidRPr="00CE2185" w:rsidRDefault="00D166EA" w:rsidP="00795DF0">
      <w:pPr>
        <w:spacing w:after="120"/>
        <w:rPr>
          <w:noProof/>
        </w:rPr>
      </w:pPr>
      <w:r w:rsidRPr="00CE2185">
        <w:rPr>
          <w:noProof/>
          <w:lang w:eastAsia="en-GB"/>
        </w:rPr>
        <w:t>Additionally,</w:t>
      </w:r>
      <w:r w:rsidR="0012013F" w:rsidRPr="00CE2185">
        <w:rPr>
          <w:noProof/>
          <w:lang w:eastAsia="en-GB"/>
        </w:rPr>
        <w:t xml:space="preserve"> w</w:t>
      </w:r>
      <w:r w:rsidR="00C85429" w:rsidRPr="00CE2185">
        <w:rPr>
          <w:noProof/>
          <w:lang w:eastAsia="en-GB"/>
        </w:rPr>
        <w:t xml:space="preserve">hereas ENISA has </w:t>
      </w:r>
      <w:r w:rsidR="00C07D19" w:rsidRPr="00CE2185">
        <w:rPr>
          <w:noProof/>
          <w:lang w:eastAsia="en-GB"/>
        </w:rPr>
        <w:t xml:space="preserve">been entrusted </w:t>
      </w:r>
      <w:r w:rsidR="00193E01" w:rsidRPr="00CE2185">
        <w:rPr>
          <w:noProof/>
          <w:lang w:eastAsia="en-GB"/>
        </w:rPr>
        <w:t xml:space="preserve">in the </w:t>
      </w:r>
      <w:r w:rsidR="00193E01" w:rsidRPr="00CE2185">
        <w:rPr>
          <w:b/>
          <w:bCs/>
          <w:noProof/>
          <w:lang w:eastAsia="en-GB"/>
        </w:rPr>
        <w:t xml:space="preserve">communication on the Cybersecurity Skills Academy </w:t>
      </w:r>
      <w:r w:rsidR="00294DA9" w:rsidRPr="00CE2185">
        <w:rPr>
          <w:b/>
          <w:bCs/>
          <w:noProof/>
          <w:lang w:eastAsia="en-GB"/>
        </w:rPr>
        <w:t>with the development of a pilot project</w:t>
      </w:r>
      <w:r w:rsidR="00294DA9" w:rsidRPr="00CE2185">
        <w:rPr>
          <w:noProof/>
          <w:lang w:eastAsia="en-GB"/>
        </w:rPr>
        <w:t xml:space="preserve"> exploring the set-up of a European attestation scheme for cybersecurity skills, it lacks the means</w:t>
      </w:r>
      <w:r w:rsidR="002D6550" w:rsidRPr="00CE2185">
        <w:rPr>
          <w:noProof/>
          <w:lang w:eastAsia="en-GB"/>
        </w:rPr>
        <w:t xml:space="preserve"> </w:t>
      </w:r>
      <w:r w:rsidR="00C9325F" w:rsidRPr="00CE2185">
        <w:rPr>
          <w:noProof/>
          <w:lang w:eastAsia="en-GB"/>
        </w:rPr>
        <w:t xml:space="preserve">and </w:t>
      </w:r>
      <w:r w:rsidR="006D5CAC" w:rsidRPr="00CE2185">
        <w:rPr>
          <w:noProof/>
          <w:lang w:eastAsia="en-GB"/>
        </w:rPr>
        <w:t>prioritisation of this task</w:t>
      </w:r>
      <w:r w:rsidR="00294DA9" w:rsidRPr="00CE2185">
        <w:rPr>
          <w:noProof/>
          <w:lang w:eastAsia="en-GB"/>
        </w:rPr>
        <w:t xml:space="preserve"> to implement the project</w:t>
      </w:r>
      <w:r w:rsidR="00F1589B" w:rsidRPr="00CE2185">
        <w:rPr>
          <w:noProof/>
          <w:lang w:eastAsia="en-GB"/>
        </w:rPr>
        <w:t xml:space="preserve"> </w:t>
      </w:r>
      <w:r w:rsidR="001E2381" w:rsidRPr="00CE2185">
        <w:rPr>
          <w:noProof/>
          <w:lang w:eastAsia="en-GB"/>
        </w:rPr>
        <w:t>in a timely</w:t>
      </w:r>
      <w:r w:rsidR="00FE15E5" w:rsidRPr="00CE2185">
        <w:rPr>
          <w:noProof/>
        </w:rPr>
        <w:t xml:space="preserve"> and </w:t>
      </w:r>
      <w:r w:rsidR="00FE15E5" w:rsidRPr="00CE2185">
        <w:rPr>
          <w:noProof/>
          <w:lang w:eastAsia="en-GB"/>
        </w:rPr>
        <w:t>thorough</w:t>
      </w:r>
      <w:r w:rsidR="00FE15E5" w:rsidRPr="00CE2185">
        <w:rPr>
          <w:noProof/>
        </w:rPr>
        <w:t xml:space="preserve"> manner</w:t>
      </w:r>
      <w:r w:rsidR="003C2547" w:rsidRPr="00CE2185">
        <w:rPr>
          <w:rStyle w:val="FootnoteReference"/>
          <w:noProof/>
          <w:lang w:eastAsia="en-GB"/>
        </w:rPr>
        <w:footnoteReference w:id="96"/>
      </w:r>
      <w:r w:rsidR="000E26AE" w:rsidRPr="00CE2185">
        <w:rPr>
          <w:noProof/>
        </w:rPr>
        <w:t xml:space="preserve">. </w:t>
      </w:r>
      <w:r w:rsidR="004A7CC1" w:rsidRPr="00CE2185">
        <w:rPr>
          <w:noProof/>
        </w:rPr>
        <w:t xml:space="preserve"> </w:t>
      </w:r>
    </w:p>
    <w:p w14:paraId="7686B426" w14:textId="5097576D" w:rsidR="00747F3B" w:rsidRPr="00CE2185" w:rsidRDefault="00A20E7F" w:rsidP="00795DF0">
      <w:pPr>
        <w:spacing w:after="120"/>
        <w:rPr>
          <w:noProof/>
        </w:rPr>
      </w:pPr>
      <w:r w:rsidRPr="00CE2185">
        <w:rPr>
          <w:noProof/>
        </w:rPr>
        <w:t>Also</w:t>
      </w:r>
      <w:r w:rsidR="00747F3B" w:rsidRPr="00CE2185">
        <w:rPr>
          <w:noProof/>
        </w:rPr>
        <w:t>, ENISA</w:t>
      </w:r>
      <w:r w:rsidR="00D51E18" w:rsidRPr="00CE2185">
        <w:rPr>
          <w:noProof/>
        </w:rPr>
        <w:t xml:space="preserve">’s </w:t>
      </w:r>
      <w:r w:rsidR="00851DE9" w:rsidRPr="00CE2185">
        <w:rPr>
          <w:noProof/>
        </w:rPr>
        <w:t>mandate is not constructed</w:t>
      </w:r>
      <w:r w:rsidR="00747F3B" w:rsidRPr="00CE2185">
        <w:rPr>
          <w:noProof/>
        </w:rPr>
        <w:t xml:space="preserve"> </w:t>
      </w:r>
      <w:r w:rsidR="008369A1" w:rsidRPr="00CE2185">
        <w:rPr>
          <w:noProof/>
        </w:rPr>
        <w:t xml:space="preserve">for </w:t>
      </w:r>
      <w:r w:rsidR="00703EF9" w:rsidRPr="00CE2185">
        <w:rPr>
          <w:noProof/>
        </w:rPr>
        <w:t xml:space="preserve">the </w:t>
      </w:r>
      <w:r w:rsidR="008369A1" w:rsidRPr="00CE2185">
        <w:rPr>
          <w:noProof/>
        </w:rPr>
        <w:t>agency</w:t>
      </w:r>
      <w:r w:rsidR="00747F3B" w:rsidRPr="00CE2185">
        <w:rPr>
          <w:noProof/>
        </w:rPr>
        <w:t xml:space="preserve"> to take a more active and operational role. This is particularly the case of sharing sensitive information based on enhanced EU situational awareness or handling sensitive reported incidents. </w:t>
      </w:r>
    </w:p>
    <w:p w14:paraId="188AD26E" w14:textId="77777777" w:rsidR="00582A87" w:rsidRPr="00CE2185" w:rsidRDefault="431228EE" w:rsidP="00795DF0">
      <w:pPr>
        <w:pStyle w:val="Text1"/>
        <w:spacing w:after="120"/>
        <w:ind w:left="0"/>
        <w:rPr>
          <w:noProof/>
          <w:lang w:eastAsia="en-GB"/>
        </w:rPr>
      </w:pPr>
      <w:r w:rsidRPr="00CE2185">
        <w:rPr>
          <w:noProof/>
        </w:rPr>
        <w:t xml:space="preserve">In parallel, ENISA’s budget has </w:t>
      </w:r>
      <w:r w:rsidR="6F7AE662" w:rsidRPr="00CE2185">
        <w:rPr>
          <w:noProof/>
        </w:rPr>
        <w:t xml:space="preserve">increased </w:t>
      </w:r>
      <w:r w:rsidRPr="00CE2185">
        <w:rPr>
          <w:noProof/>
        </w:rPr>
        <w:t xml:space="preserve">from </w:t>
      </w:r>
      <w:r w:rsidR="367244CF" w:rsidRPr="00CE2185">
        <w:rPr>
          <w:noProof/>
        </w:rPr>
        <w:t xml:space="preserve">almost </w:t>
      </w:r>
      <w:r w:rsidR="008413EA" w:rsidRPr="00CE2185">
        <w:rPr>
          <w:noProof/>
        </w:rPr>
        <w:t xml:space="preserve">EUR </w:t>
      </w:r>
      <w:r w:rsidR="367244CF" w:rsidRPr="00CE2185">
        <w:rPr>
          <w:noProof/>
        </w:rPr>
        <w:t xml:space="preserve">17 million </w:t>
      </w:r>
      <w:r w:rsidRPr="00CE2185">
        <w:rPr>
          <w:noProof/>
        </w:rPr>
        <w:t>in 2019</w:t>
      </w:r>
      <w:r w:rsidRPr="00CE2185">
        <w:rPr>
          <w:noProof/>
          <w:vertAlign w:val="superscript"/>
        </w:rPr>
        <w:footnoteReference w:id="97"/>
      </w:r>
      <w:r w:rsidRPr="00CE2185">
        <w:rPr>
          <w:noProof/>
          <w:vertAlign w:val="superscript"/>
        </w:rPr>
        <w:t xml:space="preserve"> </w:t>
      </w:r>
      <w:r w:rsidRPr="00CE2185">
        <w:rPr>
          <w:noProof/>
        </w:rPr>
        <w:t xml:space="preserve">to </w:t>
      </w:r>
      <w:r w:rsidR="46903BA1" w:rsidRPr="00CE2185">
        <w:rPr>
          <w:noProof/>
        </w:rPr>
        <w:t xml:space="preserve">more than </w:t>
      </w:r>
      <w:r w:rsidR="008413EA" w:rsidRPr="00CE2185">
        <w:rPr>
          <w:noProof/>
        </w:rPr>
        <w:t xml:space="preserve">EUR </w:t>
      </w:r>
      <w:r w:rsidR="46903BA1" w:rsidRPr="00CE2185">
        <w:rPr>
          <w:noProof/>
        </w:rPr>
        <w:t>26 million</w:t>
      </w:r>
      <w:r w:rsidRPr="00CE2185">
        <w:rPr>
          <w:noProof/>
        </w:rPr>
        <w:t xml:space="preserve"> in 2024</w:t>
      </w:r>
      <w:r w:rsidRPr="00CE2185">
        <w:rPr>
          <w:noProof/>
          <w:vertAlign w:val="superscript"/>
        </w:rPr>
        <w:footnoteReference w:id="98"/>
      </w:r>
      <w:r w:rsidR="58BB4F79" w:rsidRPr="00CE2185">
        <w:rPr>
          <w:noProof/>
        </w:rPr>
        <w:t xml:space="preserve">. </w:t>
      </w:r>
      <w:r w:rsidR="3963CC36" w:rsidRPr="00CE2185">
        <w:rPr>
          <w:noProof/>
        </w:rPr>
        <w:t xml:space="preserve">While the increase may </w:t>
      </w:r>
      <w:r w:rsidR="00D74AFD" w:rsidRPr="00CE2185">
        <w:rPr>
          <w:noProof/>
        </w:rPr>
        <w:t xml:space="preserve">be </w:t>
      </w:r>
      <w:r w:rsidR="3963CC36" w:rsidRPr="00CE2185">
        <w:rPr>
          <w:noProof/>
        </w:rPr>
        <w:t>see</w:t>
      </w:r>
      <w:r w:rsidR="009919F1" w:rsidRPr="00CE2185">
        <w:rPr>
          <w:noProof/>
        </w:rPr>
        <w:t>n as</w:t>
      </w:r>
      <w:r w:rsidR="00D74AFD" w:rsidRPr="00CE2185">
        <w:rPr>
          <w:noProof/>
        </w:rPr>
        <w:t xml:space="preserve"> </w:t>
      </w:r>
      <w:r w:rsidR="009919F1" w:rsidRPr="00CE2185">
        <w:rPr>
          <w:noProof/>
        </w:rPr>
        <w:t>noticeable</w:t>
      </w:r>
      <w:r w:rsidR="3963CC36" w:rsidRPr="00CE2185">
        <w:rPr>
          <w:noProof/>
        </w:rPr>
        <w:t xml:space="preserve">, it does not </w:t>
      </w:r>
      <w:r w:rsidR="28EE7A65" w:rsidRPr="00CE2185">
        <w:rPr>
          <w:noProof/>
        </w:rPr>
        <w:t>address</w:t>
      </w:r>
      <w:r w:rsidR="3963CC36" w:rsidRPr="00CE2185">
        <w:rPr>
          <w:noProof/>
        </w:rPr>
        <w:t xml:space="preserve"> the </w:t>
      </w:r>
      <w:r w:rsidR="1EDBE191" w:rsidRPr="00CE2185">
        <w:rPr>
          <w:noProof/>
        </w:rPr>
        <w:t>actual</w:t>
      </w:r>
      <w:r w:rsidR="3963CC36" w:rsidRPr="00CE2185">
        <w:rPr>
          <w:noProof/>
        </w:rPr>
        <w:t xml:space="preserve"> needs. </w:t>
      </w:r>
      <w:r w:rsidR="00582A87" w:rsidRPr="00CE2185">
        <w:rPr>
          <w:noProof/>
          <w:lang w:eastAsia="en-GB"/>
        </w:rPr>
        <w:t>The increasing use of contribution agreements to deliver some tasks, such as the Cybersecurity Support Action, also demonstrates the lack of sufficient resources.</w:t>
      </w:r>
    </w:p>
    <w:p w14:paraId="1C5384D8" w14:textId="32CC5673" w:rsidR="007B37D1" w:rsidRPr="00CE2185" w:rsidRDefault="00FE0CD3" w:rsidP="00795DF0">
      <w:pPr>
        <w:spacing w:after="120"/>
        <w:rPr>
          <w:noProof/>
        </w:rPr>
      </w:pPr>
      <w:r w:rsidRPr="00CE2185">
        <w:rPr>
          <w:noProof/>
        </w:rPr>
        <w:t>As concluded by the 2024 Evaluation report, t</w:t>
      </w:r>
      <w:r w:rsidR="00F57D9D" w:rsidRPr="00CE2185">
        <w:rPr>
          <w:noProof/>
        </w:rPr>
        <w:t>h</w:t>
      </w:r>
      <w:r w:rsidR="1B098805" w:rsidRPr="00CE2185">
        <w:rPr>
          <w:noProof/>
        </w:rPr>
        <w:t>e</w:t>
      </w:r>
      <w:r w:rsidR="00F57D9D" w:rsidRPr="00CE2185">
        <w:rPr>
          <w:noProof/>
        </w:rPr>
        <w:t xml:space="preserve"> </w:t>
      </w:r>
      <w:r w:rsidR="00F57D9D" w:rsidRPr="00CE2185">
        <w:rPr>
          <w:b/>
          <w:bCs/>
          <w:noProof/>
        </w:rPr>
        <w:t xml:space="preserve">proliferation of tasks </w:t>
      </w:r>
      <w:r w:rsidR="00CF0334" w:rsidRPr="00CE2185">
        <w:rPr>
          <w:b/>
          <w:bCs/>
          <w:noProof/>
        </w:rPr>
        <w:t>is</w:t>
      </w:r>
      <w:r w:rsidR="00075BE8" w:rsidRPr="00CE2185">
        <w:rPr>
          <w:b/>
          <w:bCs/>
          <w:noProof/>
        </w:rPr>
        <w:t xml:space="preserve"> </w:t>
      </w:r>
      <w:r w:rsidR="00F57D9D" w:rsidRPr="00CE2185">
        <w:rPr>
          <w:b/>
          <w:bCs/>
          <w:noProof/>
        </w:rPr>
        <w:t>overstretching ENISA’s resources</w:t>
      </w:r>
      <w:r w:rsidR="00F57D9D" w:rsidRPr="00CE2185">
        <w:rPr>
          <w:noProof/>
        </w:rPr>
        <w:t xml:space="preserve"> and its ability to </w:t>
      </w:r>
      <w:r w:rsidR="00F65369" w:rsidRPr="00CE2185">
        <w:rPr>
          <w:noProof/>
        </w:rPr>
        <w:t>focus</w:t>
      </w:r>
      <w:r w:rsidR="00F57D9D" w:rsidRPr="00CE2185">
        <w:rPr>
          <w:noProof/>
        </w:rPr>
        <w:t xml:space="preserve"> actions </w:t>
      </w:r>
      <w:r w:rsidR="00CE5C05" w:rsidRPr="00CE2185">
        <w:rPr>
          <w:noProof/>
        </w:rPr>
        <w:t>on</w:t>
      </w:r>
      <w:r w:rsidR="00F57D9D" w:rsidRPr="00CE2185">
        <w:rPr>
          <w:noProof/>
        </w:rPr>
        <w:t xml:space="preserve"> alignment with the Union’s priorities and stakeholders' expectation. </w:t>
      </w:r>
      <w:r w:rsidR="00097D1B" w:rsidRPr="00CE2185">
        <w:rPr>
          <w:noProof/>
        </w:rPr>
        <w:t>I</w:t>
      </w:r>
      <w:r w:rsidR="007A379B" w:rsidRPr="00CE2185">
        <w:rPr>
          <w:noProof/>
        </w:rPr>
        <w:t>nsufficient</w:t>
      </w:r>
      <w:r w:rsidR="00097D1B" w:rsidRPr="00CE2185">
        <w:rPr>
          <w:noProof/>
        </w:rPr>
        <w:t xml:space="preserve"> </w:t>
      </w:r>
      <w:r w:rsidR="00F57D9D" w:rsidRPr="00CE2185">
        <w:rPr>
          <w:noProof/>
        </w:rPr>
        <w:t xml:space="preserve">resources </w:t>
      </w:r>
      <w:r w:rsidR="00AD6B9A" w:rsidRPr="00CE2185">
        <w:rPr>
          <w:noProof/>
        </w:rPr>
        <w:t>limit</w:t>
      </w:r>
      <w:r w:rsidR="00F57D9D" w:rsidRPr="00CE2185">
        <w:rPr>
          <w:noProof/>
        </w:rPr>
        <w:t xml:space="preserve"> ENISA</w:t>
      </w:r>
      <w:r w:rsidR="005E4D84" w:rsidRPr="00CE2185">
        <w:rPr>
          <w:noProof/>
        </w:rPr>
        <w:t>’s ability</w:t>
      </w:r>
      <w:r w:rsidR="00F57D9D" w:rsidRPr="00CE2185">
        <w:rPr>
          <w:noProof/>
        </w:rPr>
        <w:t xml:space="preserve"> to respond with </w:t>
      </w:r>
      <w:r w:rsidR="005450CB" w:rsidRPr="00CE2185">
        <w:rPr>
          <w:noProof/>
        </w:rPr>
        <w:t xml:space="preserve">the necessary </w:t>
      </w:r>
      <w:r w:rsidR="00F57D9D" w:rsidRPr="00CE2185">
        <w:rPr>
          <w:noProof/>
        </w:rPr>
        <w:t xml:space="preserve">agility to the dynamic cybersecurity </w:t>
      </w:r>
      <w:r w:rsidR="002A75BB" w:rsidRPr="00CE2185">
        <w:rPr>
          <w:noProof/>
        </w:rPr>
        <w:t xml:space="preserve">and technological </w:t>
      </w:r>
      <w:r w:rsidR="00F57D9D" w:rsidRPr="00CE2185">
        <w:rPr>
          <w:noProof/>
        </w:rPr>
        <w:t xml:space="preserve">landscape. </w:t>
      </w:r>
      <w:r w:rsidR="002A75BB" w:rsidRPr="00CE2185">
        <w:rPr>
          <w:noProof/>
        </w:rPr>
        <w:t>There is</w:t>
      </w:r>
      <w:r w:rsidR="009E55BC" w:rsidRPr="00CE2185">
        <w:rPr>
          <w:noProof/>
        </w:rPr>
        <w:t xml:space="preserve"> a</w:t>
      </w:r>
      <w:r w:rsidR="00C81293" w:rsidRPr="00CE2185">
        <w:rPr>
          <w:noProof/>
        </w:rPr>
        <w:t xml:space="preserve"> relatively small </w:t>
      </w:r>
      <w:r w:rsidR="00E973E8" w:rsidRPr="00CE2185">
        <w:rPr>
          <w:noProof/>
        </w:rPr>
        <w:t>and not steady</w:t>
      </w:r>
      <w:r w:rsidR="00C81293" w:rsidRPr="00CE2185">
        <w:rPr>
          <w:noProof/>
        </w:rPr>
        <w:t xml:space="preserve"> increase of FTEs between</w:t>
      </w:r>
      <w:r w:rsidR="0094764F" w:rsidRPr="00CE2185">
        <w:rPr>
          <w:noProof/>
        </w:rPr>
        <w:t xml:space="preserve"> 2017 </w:t>
      </w:r>
      <w:r w:rsidR="00761567" w:rsidRPr="00CE2185">
        <w:rPr>
          <w:noProof/>
        </w:rPr>
        <w:t>(</w:t>
      </w:r>
      <w:r w:rsidR="00D771B2" w:rsidRPr="00CE2185">
        <w:rPr>
          <w:noProof/>
        </w:rPr>
        <w:t xml:space="preserve">83.25 </w:t>
      </w:r>
      <w:r w:rsidR="00761567" w:rsidRPr="00CE2185">
        <w:rPr>
          <w:noProof/>
        </w:rPr>
        <w:t>FTEs)</w:t>
      </w:r>
      <w:r w:rsidR="0094764F" w:rsidRPr="00CE2185">
        <w:rPr>
          <w:noProof/>
        </w:rPr>
        <w:t xml:space="preserve"> and 202</w:t>
      </w:r>
      <w:r w:rsidR="00065D9A" w:rsidRPr="00CE2185">
        <w:rPr>
          <w:noProof/>
        </w:rPr>
        <w:t>4 (</w:t>
      </w:r>
      <w:r w:rsidR="0094764F" w:rsidRPr="00CE2185">
        <w:rPr>
          <w:noProof/>
        </w:rPr>
        <w:t xml:space="preserve">110.74 </w:t>
      </w:r>
      <w:r w:rsidR="00065D9A" w:rsidRPr="00CE2185">
        <w:rPr>
          <w:noProof/>
        </w:rPr>
        <w:t xml:space="preserve">FTEs) </w:t>
      </w:r>
      <w:r w:rsidR="00065D9A" w:rsidRPr="00CE2185">
        <w:rPr>
          <w:i/>
          <w:iCs/>
          <w:noProof/>
        </w:rPr>
        <w:t xml:space="preserve">(see Annex </w:t>
      </w:r>
      <w:r w:rsidR="00D67935" w:rsidRPr="00CE2185">
        <w:rPr>
          <w:i/>
          <w:iCs/>
          <w:noProof/>
        </w:rPr>
        <w:t>1</w:t>
      </w:r>
      <w:r w:rsidR="00D34C49" w:rsidRPr="00CE2185">
        <w:rPr>
          <w:i/>
          <w:iCs/>
          <w:noProof/>
        </w:rPr>
        <w:t>1</w:t>
      </w:r>
      <w:r w:rsidR="00065D9A" w:rsidRPr="00CE2185">
        <w:rPr>
          <w:i/>
          <w:iCs/>
          <w:noProof/>
        </w:rPr>
        <w:t>)</w:t>
      </w:r>
      <w:r w:rsidR="005D5154" w:rsidRPr="00CE2185">
        <w:rPr>
          <w:noProof/>
        </w:rPr>
        <w:t>.</w:t>
      </w:r>
      <w:r w:rsidR="0094764F" w:rsidRPr="00CE2185">
        <w:rPr>
          <w:noProof/>
        </w:rPr>
        <w:t xml:space="preserve"> </w:t>
      </w:r>
      <w:r w:rsidR="00D771B2" w:rsidRPr="00CE2185">
        <w:rPr>
          <w:noProof/>
        </w:rPr>
        <w:t xml:space="preserve">The number of main activities carried out by ENISA grew from 5 Activities in 2017 to 13 in 2024 </w:t>
      </w:r>
      <w:r w:rsidR="00D771B2" w:rsidRPr="00CE2185">
        <w:rPr>
          <w:i/>
          <w:iCs/>
          <w:noProof/>
        </w:rPr>
        <w:t xml:space="preserve">(see Annex </w:t>
      </w:r>
      <w:r w:rsidR="00D34C49" w:rsidRPr="00CE2185">
        <w:rPr>
          <w:i/>
          <w:iCs/>
          <w:noProof/>
        </w:rPr>
        <w:t>11</w:t>
      </w:r>
      <w:r w:rsidR="00D67935" w:rsidRPr="00CE2185">
        <w:rPr>
          <w:i/>
          <w:iCs/>
          <w:noProof/>
        </w:rPr>
        <w:t>)</w:t>
      </w:r>
      <w:r w:rsidR="00D771B2" w:rsidRPr="00CE2185">
        <w:rPr>
          <w:noProof/>
        </w:rPr>
        <w:t>.</w:t>
      </w:r>
    </w:p>
    <w:p w14:paraId="70A2F52B" w14:textId="1D2E203D" w:rsidR="00A6628E" w:rsidRPr="00CE2185" w:rsidRDefault="00BB395B" w:rsidP="00200AD6">
      <w:pPr>
        <w:pStyle w:val="Heading3"/>
        <w:rPr>
          <w:noProof/>
        </w:rPr>
      </w:pPr>
      <w:bookmarkStart w:id="47" w:name="_Toc210393809"/>
      <w:bookmarkStart w:id="48" w:name="_Toc210419516"/>
      <w:bookmarkStart w:id="49" w:name="_Toc219447348"/>
      <w:r w:rsidRPr="00CE2185">
        <w:rPr>
          <w:noProof/>
        </w:rPr>
        <w:t xml:space="preserve">Driver </w:t>
      </w:r>
      <w:r w:rsidR="009E500B" w:rsidRPr="00CE2185">
        <w:rPr>
          <w:noProof/>
        </w:rPr>
        <w:t>5</w:t>
      </w:r>
      <w:r w:rsidRPr="00CE2185">
        <w:rPr>
          <w:noProof/>
        </w:rPr>
        <w:t xml:space="preserve"> – Complex and fragmented collaboration on cybersecurity among EU agencies, governance bodies and stakeholders.</w:t>
      </w:r>
      <w:bookmarkEnd w:id="47"/>
      <w:bookmarkEnd w:id="48"/>
      <w:bookmarkEnd w:id="49"/>
      <w:r w:rsidRPr="00CE2185">
        <w:rPr>
          <w:noProof/>
        </w:rPr>
        <w:t xml:space="preserve"> </w:t>
      </w:r>
    </w:p>
    <w:p w14:paraId="34764340" w14:textId="572E8550" w:rsidR="00BB395B" w:rsidRPr="00CE2185" w:rsidRDefault="00BB395B" w:rsidP="00795DF0">
      <w:pPr>
        <w:spacing w:after="120"/>
        <w:rPr>
          <w:noProof/>
        </w:rPr>
      </w:pPr>
      <w:r w:rsidRPr="00CE2185">
        <w:rPr>
          <w:noProof/>
        </w:rPr>
        <w:t xml:space="preserve">In the area of research and innovation, ENISA advises on priorities, participates in implementation, and contributes to the EU strategic innovation and research agenda. However, with the creation of the ECCC, which now manages relevant parts of the Digital Europe Programme (DEP) and Horizon Europe, strengthening cybersecurity technology and industrial capacities in the EU, there is a risk of inefficiencies and lack of sufficient synergies between the mandates of ENISA and the ECCC </w:t>
      </w:r>
      <w:r w:rsidR="002714A9" w:rsidRPr="00CE2185">
        <w:rPr>
          <w:noProof/>
        </w:rPr>
        <w:t>as</w:t>
      </w:r>
      <w:r w:rsidRPr="00CE2185">
        <w:rPr>
          <w:noProof/>
        </w:rPr>
        <w:t xml:space="preserve"> regards research and innovation</w:t>
      </w:r>
      <w:r w:rsidR="002714A9" w:rsidRPr="00CE2185">
        <w:rPr>
          <w:noProof/>
        </w:rPr>
        <w:t>.</w:t>
      </w:r>
    </w:p>
    <w:p w14:paraId="5B9C967A" w14:textId="15C274C9" w:rsidR="00BB395B" w:rsidRPr="00CE2185" w:rsidRDefault="00BB395B" w:rsidP="00795DF0">
      <w:pPr>
        <w:spacing w:after="120"/>
        <w:rPr>
          <w:rFonts w:eastAsia="Times New Roman"/>
          <w:noProof/>
        </w:rPr>
      </w:pPr>
      <w:r w:rsidRPr="00CE2185">
        <w:rPr>
          <w:rFonts w:eastAsia="Times New Roman"/>
          <w:noProof/>
        </w:rPr>
        <w:t xml:space="preserve">On the international level, </w:t>
      </w:r>
      <w:r w:rsidR="008A5F5F" w:rsidRPr="00CE2185">
        <w:rPr>
          <w:rFonts w:eastAsia="Times New Roman"/>
          <w:noProof/>
        </w:rPr>
        <w:t xml:space="preserve">while the international cybersecurity policies have significantly evolved since </w:t>
      </w:r>
      <w:r w:rsidR="008A5F5F" w:rsidRPr="00CE2185" w:rsidDel="00495D89">
        <w:rPr>
          <w:rFonts w:eastAsia="Times New Roman"/>
          <w:noProof/>
        </w:rPr>
        <w:t>2019</w:t>
      </w:r>
      <w:r w:rsidR="008A5F5F" w:rsidRPr="00CE2185">
        <w:rPr>
          <w:rFonts w:eastAsia="Times New Roman"/>
          <w:noProof/>
        </w:rPr>
        <w:t xml:space="preserve">, </w:t>
      </w:r>
      <w:r w:rsidRPr="00CE2185">
        <w:rPr>
          <w:rFonts w:eastAsia="Times New Roman"/>
          <w:noProof/>
        </w:rPr>
        <w:t xml:space="preserve">ENISA responds to requests of third countries and organisations on an ad hoc basis. For instance, ENISA signed a contribution agreement with the Commission to support Western Balkans. This shows a lack of structured frameworks on how the Agency will be supporting the </w:t>
      </w:r>
      <w:r w:rsidRPr="00CE2185" w:rsidDel="00495D89">
        <w:rPr>
          <w:rFonts w:eastAsia="Times New Roman"/>
          <w:noProof/>
        </w:rPr>
        <w:t xml:space="preserve">Union </w:t>
      </w:r>
      <w:r w:rsidRPr="00CE2185">
        <w:rPr>
          <w:rFonts w:eastAsia="Times New Roman"/>
          <w:noProof/>
        </w:rPr>
        <w:t xml:space="preserve">capacity building efforts in third countries. </w:t>
      </w:r>
    </w:p>
    <w:p w14:paraId="42955B61" w14:textId="2729B6B7" w:rsidR="00F57D9D" w:rsidRPr="00CE2185" w:rsidRDefault="00BD6306" w:rsidP="00795DF0">
      <w:pPr>
        <w:spacing w:after="120"/>
        <w:rPr>
          <w:noProof/>
          <w:lang w:val="en-IE"/>
        </w:rPr>
      </w:pPr>
      <w:r w:rsidRPr="00CE2185">
        <w:rPr>
          <w:noProof/>
        </w:rPr>
        <w:t>T</w:t>
      </w:r>
      <w:r w:rsidR="00F57D9D" w:rsidRPr="00CE2185">
        <w:rPr>
          <w:noProof/>
        </w:rPr>
        <w:t xml:space="preserve">he wider EU cybersecurity ecosystem involves numerous overlapping roles and responsibilities. For example, </w:t>
      </w:r>
      <w:r w:rsidR="006472E1" w:rsidRPr="00CE2185">
        <w:rPr>
          <w:noProof/>
        </w:rPr>
        <w:t>with regard to the ECCF</w:t>
      </w:r>
      <w:r w:rsidR="00F57D9D" w:rsidRPr="00CE2185">
        <w:rPr>
          <w:noProof/>
        </w:rPr>
        <w:t xml:space="preserve">, ENISA co-chairs the Stakeholder Cybersecurity Certification Group (SCCG), </w:t>
      </w:r>
      <w:r w:rsidR="00F374A3" w:rsidRPr="00CE2185">
        <w:rPr>
          <w:noProof/>
        </w:rPr>
        <w:t xml:space="preserve">establishes and </w:t>
      </w:r>
      <w:r w:rsidR="00F57D9D" w:rsidRPr="00CE2185">
        <w:rPr>
          <w:noProof/>
        </w:rPr>
        <w:t>steers ad</w:t>
      </w:r>
      <w:r w:rsidR="00C811A4" w:rsidRPr="00CE2185">
        <w:rPr>
          <w:noProof/>
        </w:rPr>
        <w:t xml:space="preserve"> </w:t>
      </w:r>
      <w:r w:rsidR="00F57D9D" w:rsidRPr="00CE2185">
        <w:rPr>
          <w:noProof/>
        </w:rPr>
        <w:t>hoc working groups</w:t>
      </w:r>
      <w:r w:rsidR="00157385" w:rsidRPr="00CE2185">
        <w:rPr>
          <w:noProof/>
        </w:rPr>
        <w:t xml:space="preserve">, </w:t>
      </w:r>
      <w:r w:rsidR="00F57D9D" w:rsidRPr="00CE2185">
        <w:rPr>
          <w:noProof/>
        </w:rPr>
        <w:t>and consult</w:t>
      </w:r>
      <w:r w:rsidR="003E624E" w:rsidRPr="00CE2185">
        <w:rPr>
          <w:noProof/>
        </w:rPr>
        <w:t xml:space="preserve">s private entities </w:t>
      </w:r>
      <w:r w:rsidR="00F57D9D" w:rsidRPr="00CE2185">
        <w:rPr>
          <w:noProof/>
        </w:rPr>
        <w:t>on the development of the certification candidate schemes, often involving the same stakeholders</w:t>
      </w:r>
      <w:r w:rsidR="317E42D6" w:rsidRPr="00CE2185">
        <w:rPr>
          <w:noProof/>
        </w:rPr>
        <w:t>,</w:t>
      </w:r>
      <w:r w:rsidR="00F57D9D" w:rsidRPr="00CE2185">
        <w:rPr>
          <w:noProof/>
        </w:rPr>
        <w:t xml:space="preserve"> multiple times.</w:t>
      </w:r>
      <w:r w:rsidR="56666F31" w:rsidRPr="00CE2185">
        <w:rPr>
          <w:noProof/>
        </w:rPr>
        <w:t xml:space="preserve"> </w:t>
      </w:r>
      <w:r w:rsidR="00F30988" w:rsidRPr="00CE2185">
        <w:rPr>
          <w:noProof/>
        </w:rPr>
        <w:t>This bring</w:t>
      </w:r>
      <w:r w:rsidR="2C349758" w:rsidRPr="00CE2185">
        <w:rPr>
          <w:noProof/>
        </w:rPr>
        <w:t xml:space="preserve">s </w:t>
      </w:r>
      <w:r w:rsidR="0036311B" w:rsidRPr="00CE2185">
        <w:rPr>
          <w:noProof/>
        </w:rPr>
        <w:t xml:space="preserve">a </w:t>
      </w:r>
      <w:r w:rsidR="2C349758" w:rsidRPr="00CE2185">
        <w:rPr>
          <w:noProof/>
        </w:rPr>
        <w:t>risk of</w:t>
      </w:r>
      <w:r w:rsidR="00F30988" w:rsidRPr="00CE2185">
        <w:rPr>
          <w:noProof/>
        </w:rPr>
        <w:t xml:space="preserve"> inconsistency of the </w:t>
      </w:r>
      <w:r w:rsidR="00FC40E0" w:rsidRPr="00CE2185">
        <w:rPr>
          <w:noProof/>
        </w:rPr>
        <w:t xml:space="preserve">stakeholders’ </w:t>
      </w:r>
      <w:r w:rsidR="00F30988" w:rsidRPr="00CE2185">
        <w:rPr>
          <w:noProof/>
        </w:rPr>
        <w:t xml:space="preserve">input, which would lead to inefficient use of resources. </w:t>
      </w:r>
      <w:r w:rsidR="00B0350A" w:rsidRPr="00CE2185">
        <w:rPr>
          <w:noProof/>
        </w:rPr>
        <w:t xml:space="preserve">The ECCF also does </w:t>
      </w:r>
      <w:r w:rsidR="00D2691D" w:rsidRPr="00CE2185">
        <w:rPr>
          <w:noProof/>
        </w:rPr>
        <w:t xml:space="preserve">not provide for </w:t>
      </w:r>
      <w:r w:rsidR="21F0D677" w:rsidRPr="00CE2185">
        <w:rPr>
          <w:noProof/>
        </w:rPr>
        <w:t xml:space="preserve">a </w:t>
      </w:r>
      <w:r w:rsidR="00D2691D" w:rsidRPr="00CE2185">
        <w:rPr>
          <w:noProof/>
        </w:rPr>
        <w:t xml:space="preserve">clear framework </w:t>
      </w:r>
      <w:r w:rsidR="003E6065" w:rsidRPr="00CE2185">
        <w:rPr>
          <w:noProof/>
        </w:rPr>
        <w:t>for the</w:t>
      </w:r>
      <w:r w:rsidR="00D2691D" w:rsidRPr="00CE2185">
        <w:rPr>
          <w:noProof/>
        </w:rPr>
        <w:t xml:space="preserve"> </w:t>
      </w:r>
      <w:r w:rsidR="00FB6EC1" w:rsidRPr="00CE2185">
        <w:rPr>
          <w:noProof/>
        </w:rPr>
        <w:t>cooperation between ENISA and other EU Agencies</w:t>
      </w:r>
      <w:r>
        <w:rPr>
          <w:noProof/>
        </w:rPr>
        <w:t xml:space="preserve"> and bodies</w:t>
      </w:r>
      <w:r w:rsidR="00FB6EC1" w:rsidRPr="00CE2185">
        <w:rPr>
          <w:noProof/>
        </w:rPr>
        <w:t xml:space="preserve"> in certification. This has </w:t>
      </w:r>
      <w:r w:rsidR="76E1AFC3" w:rsidRPr="00CE2185">
        <w:rPr>
          <w:noProof/>
        </w:rPr>
        <w:t>contributed to</w:t>
      </w:r>
      <w:r w:rsidR="00FB6EC1" w:rsidRPr="00CE2185">
        <w:rPr>
          <w:noProof/>
        </w:rPr>
        <w:t xml:space="preserve"> </w:t>
      </w:r>
      <w:r w:rsidR="00072A26" w:rsidRPr="00CE2185">
        <w:rPr>
          <w:noProof/>
        </w:rPr>
        <w:t xml:space="preserve">the lack of meaningful </w:t>
      </w:r>
      <w:r w:rsidR="00A15F94" w:rsidRPr="00CE2185">
        <w:rPr>
          <w:noProof/>
        </w:rPr>
        <w:t>collaborat</w:t>
      </w:r>
      <w:r w:rsidR="00072A26" w:rsidRPr="00CE2185">
        <w:rPr>
          <w:noProof/>
        </w:rPr>
        <w:t>ion</w:t>
      </w:r>
      <w:r w:rsidR="00A15F94" w:rsidRPr="00CE2185">
        <w:rPr>
          <w:noProof/>
        </w:rPr>
        <w:t xml:space="preserve"> with the European Data Protection Board (EDPB)</w:t>
      </w:r>
      <w:r w:rsidR="00CC2692" w:rsidRPr="00CE2185">
        <w:rPr>
          <w:noProof/>
        </w:rPr>
        <w:t xml:space="preserve"> to establish</w:t>
      </w:r>
      <w:r w:rsidR="0002238E" w:rsidRPr="00CE2185">
        <w:rPr>
          <w:noProof/>
        </w:rPr>
        <w:t xml:space="preserve"> </w:t>
      </w:r>
      <w:r w:rsidR="00CC2692" w:rsidRPr="00CE2185">
        <w:rPr>
          <w:noProof/>
          <w:lang w:val="en-IE"/>
        </w:rPr>
        <w:t xml:space="preserve">synergies </w:t>
      </w:r>
      <w:r w:rsidR="00D82562" w:rsidRPr="00CE2185">
        <w:rPr>
          <w:noProof/>
          <w:lang w:val="en-IE"/>
        </w:rPr>
        <w:t xml:space="preserve">with </w:t>
      </w:r>
      <w:r w:rsidR="00CC2692" w:rsidRPr="00CE2185">
        <w:rPr>
          <w:noProof/>
          <w:lang w:val="en-IE"/>
        </w:rPr>
        <w:t>the GDPR’s certification schemes</w:t>
      </w:r>
      <w:r w:rsidR="00CC2692" w:rsidRPr="00CE2185">
        <w:rPr>
          <w:noProof/>
        </w:rPr>
        <w:t>.</w:t>
      </w:r>
    </w:p>
    <w:p w14:paraId="3408DB83" w14:textId="739CB409" w:rsidR="00FF017F" w:rsidRPr="00CE2185" w:rsidRDefault="004A1621" w:rsidP="00B55C54">
      <w:pPr>
        <w:pStyle w:val="Heading3"/>
        <w:rPr>
          <w:noProof/>
          <w:lang w:eastAsia="ja-JP"/>
        </w:rPr>
      </w:pPr>
      <w:bookmarkStart w:id="50" w:name="_Toc210393810"/>
      <w:bookmarkStart w:id="51" w:name="_Toc210419517"/>
      <w:bookmarkStart w:id="52" w:name="_Toc219447349"/>
      <w:r w:rsidRPr="00CE2185">
        <w:rPr>
          <w:noProof/>
        </w:rPr>
        <w:t xml:space="preserve">Driver </w:t>
      </w:r>
      <w:r w:rsidR="009E500B" w:rsidRPr="00CE2185">
        <w:rPr>
          <w:noProof/>
        </w:rPr>
        <w:t>6</w:t>
      </w:r>
      <w:r w:rsidRPr="00CE2185">
        <w:rPr>
          <w:noProof/>
        </w:rPr>
        <w:t xml:space="preserve"> </w:t>
      </w:r>
      <w:r w:rsidR="00D60F3A" w:rsidRPr="00CE2185">
        <w:rPr>
          <w:noProof/>
        </w:rPr>
        <w:t>– Implementation failure: T</w:t>
      </w:r>
      <w:r w:rsidR="00D60F3A" w:rsidRPr="00CE2185">
        <w:rPr>
          <w:rFonts w:eastAsia="Arial"/>
          <w:noProof/>
        </w:rPr>
        <w:t xml:space="preserve">he practical experience of the </w:t>
      </w:r>
      <w:r w:rsidR="00D60F3A" w:rsidRPr="00CE2185">
        <w:rPr>
          <w:noProof/>
        </w:rPr>
        <w:t>development and adoption process of first schemes</w:t>
      </w:r>
      <w:bookmarkEnd w:id="50"/>
      <w:bookmarkEnd w:id="51"/>
      <w:bookmarkEnd w:id="52"/>
      <w:r w:rsidR="00D60F3A" w:rsidRPr="00CE2185">
        <w:rPr>
          <w:noProof/>
          <w:lang w:eastAsia="ja-JP"/>
        </w:rPr>
        <w:t xml:space="preserve"> </w:t>
      </w:r>
    </w:p>
    <w:p w14:paraId="2DCD34CA" w14:textId="56F08044" w:rsidR="004F1480" w:rsidRPr="00CE2185" w:rsidRDefault="003540B0" w:rsidP="00795DF0">
      <w:pPr>
        <w:spacing w:after="120"/>
        <w:rPr>
          <w:noProof/>
          <w:lang w:eastAsia="ja-JP"/>
        </w:rPr>
      </w:pPr>
      <w:r w:rsidRPr="00CE2185">
        <w:rPr>
          <w:noProof/>
          <w:lang w:eastAsia="ja-JP"/>
        </w:rPr>
        <w:t>Aside the lengthy adoption process for the first and only existing European cybersecurity certification schemes, t</w:t>
      </w:r>
      <w:r w:rsidR="00750442" w:rsidRPr="00CE2185">
        <w:rPr>
          <w:noProof/>
          <w:lang w:eastAsia="ja-JP"/>
        </w:rPr>
        <w:t xml:space="preserve">he blockage in </w:t>
      </w:r>
      <w:r w:rsidR="009D5DA7" w:rsidRPr="00CE2185">
        <w:rPr>
          <w:noProof/>
          <w:lang w:eastAsia="ja-JP"/>
        </w:rPr>
        <w:t xml:space="preserve">the </w:t>
      </w:r>
      <w:r w:rsidR="00750442" w:rsidRPr="00CE2185">
        <w:rPr>
          <w:noProof/>
          <w:lang w:eastAsia="ja-JP"/>
        </w:rPr>
        <w:t>development of</w:t>
      </w:r>
      <w:r w:rsidR="00D60F3A" w:rsidRPr="00CE2185">
        <w:rPr>
          <w:noProof/>
          <w:lang w:eastAsia="ja-JP"/>
        </w:rPr>
        <w:t xml:space="preserve"> EUCS and EU5G</w:t>
      </w:r>
      <w:r w:rsidR="00750442" w:rsidRPr="00CE2185">
        <w:rPr>
          <w:noProof/>
          <w:lang w:eastAsia="ja-JP"/>
        </w:rPr>
        <w:t xml:space="preserve"> has</w:t>
      </w:r>
      <w:r w:rsidR="00D60F3A" w:rsidRPr="00CE2185">
        <w:rPr>
          <w:noProof/>
          <w:lang w:eastAsia="ja-JP"/>
        </w:rPr>
        <w:t xml:space="preserve"> evidenced technical complexities and general shortcomings of the framework, which were not estimated with the adoption of the </w:t>
      </w:r>
      <w:r w:rsidR="00817D7A" w:rsidRPr="00CE2185">
        <w:rPr>
          <w:noProof/>
          <w:lang w:eastAsia="ja-JP"/>
        </w:rPr>
        <w:t>CSA</w:t>
      </w:r>
      <w:r w:rsidR="00D60F3A" w:rsidRPr="00CE2185">
        <w:rPr>
          <w:noProof/>
          <w:lang w:eastAsia="ja-JP"/>
        </w:rPr>
        <w:t xml:space="preserve"> and hence negatively impacted the design and development of the schemes. This included in particular</w:t>
      </w:r>
      <w:r w:rsidR="00D60F3A" w:rsidRPr="00CE2185">
        <w:rPr>
          <w:rStyle w:val="FootnoteReference"/>
          <w:noProof/>
          <w:lang w:eastAsia="ja-JP"/>
        </w:rPr>
        <w:footnoteReference w:id="99"/>
      </w:r>
      <w:r w:rsidR="00D60F3A" w:rsidRPr="00CE2185">
        <w:rPr>
          <w:noProof/>
          <w:lang w:eastAsia="ja-JP"/>
        </w:rPr>
        <w:t xml:space="preserve"> (i) the unpredictable timings and lack of transparency in the development process of schemes; (ii) the difficulty to translate draft schemes into legal text (i.e. implementing acts) </w:t>
      </w:r>
      <w:r w:rsidR="00E8055D" w:rsidRPr="00CE2185">
        <w:rPr>
          <w:noProof/>
          <w:lang w:eastAsia="ja-JP"/>
        </w:rPr>
        <w:t>and</w:t>
      </w:r>
      <w:r w:rsidR="00D60F3A" w:rsidRPr="00CE2185">
        <w:rPr>
          <w:noProof/>
          <w:lang w:eastAsia="ja-JP"/>
        </w:rPr>
        <w:t xml:space="preserve"> (iii) the absence of maintenance structure in the CSA </w:t>
      </w:r>
      <w:r w:rsidR="00853265" w:rsidRPr="00CE2185">
        <w:rPr>
          <w:noProof/>
          <w:lang w:eastAsia="ja-JP"/>
        </w:rPr>
        <w:t xml:space="preserve">both </w:t>
      </w:r>
      <w:r w:rsidR="00D60F3A" w:rsidRPr="00CE2185">
        <w:rPr>
          <w:noProof/>
          <w:lang w:eastAsia="ja-JP"/>
        </w:rPr>
        <w:t xml:space="preserve">evidenced by the implementation of the EUCC; and (iv) the lack of clarity regarding the harmonisation effect of </w:t>
      </w:r>
      <w:r w:rsidR="00325D4F" w:rsidRPr="00CE2185">
        <w:rPr>
          <w:noProof/>
          <w:lang w:eastAsia="ja-JP"/>
        </w:rPr>
        <w:t>the</w:t>
      </w:r>
      <w:r w:rsidR="00D60F3A" w:rsidRPr="00CE2185">
        <w:rPr>
          <w:noProof/>
          <w:lang w:eastAsia="ja-JP"/>
        </w:rPr>
        <w:t xml:space="preserve"> schemes, which was challenged </w:t>
      </w:r>
      <w:r w:rsidR="00D3017D" w:rsidRPr="00CE2185">
        <w:rPr>
          <w:noProof/>
          <w:lang w:eastAsia="ja-JP"/>
        </w:rPr>
        <w:t>mainly</w:t>
      </w:r>
      <w:r w:rsidR="00D60F3A" w:rsidRPr="00CE2185">
        <w:rPr>
          <w:noProof/>
          <w:lang w:eastAsia="ja-JP"/>
        </w:rPr>
        <w:t xml:space="preserve"> in the context of EUCS. </w:t>
      </w:r>
      <w:r w:rsidR="0007186A" w:rsidRPr="00CE2185">
        <w:rPr>
          <w:noProof/>
          <w:lang w:eastAsia="ja-JP"/>
        </w:rPr>
        <w:t>For instance</w:t>
      </w:r>
      <w:r w:rsidR="004F1480" w:rsidRPr="00CE2185">
        <w:rPr>
          <w:noProof/>
          <w:lang w:eastAsia="ja-JP"/>
        </w:rPr>
        <w:t xml:space="preserve">, the current requesting, development and decision-making processes do not envisage any clear development plan </w:t>
      </w:r>
      <w:r w:rsidR="00820C37" w:rsidRPr="00CE2185">
        <w:rPr>
          <w:noProof/>
          <w:lang w:eastAsia="ja-JP"/>
        </w:rPr>
        <w:t xml:space="preserve">or </w:t>
      </w:r>
      <w:r w:rsidR="000D146A" w:rsidRPr="00CE2185">
        <w:rPr>
          <w:noProof/>
          <w:lang w:eastAsia="ja-JP"/>
        </w:rPr>
        <w:t>even</w:t>
      </w:r>
      <w:r w:rsidR="00820C37" w:rsidRPr="00CE2185">
        <w:rPr>
          <w:noProof/>
          <w:lang w:eastAsia="ja-JP"/>
        </w:rPr>
        <w:t xml:space="preserve"> a timeline</w:t>
      </w:r>
      <w:r w:rsidR="004F1480" w:rsidRPr="00CE2185">
        <w:rPr>
          <w:noProof/>
          <w:lang w:eastAsia="ja-JP"/>
        </w:rPr>
        <w:t xml:space="preserve"> for a requested scheme</w:t>
      </w:r>
      <w:r w:rsidR="004F22C5" w:rsidRPr="00CE2185">
        <w:rPr>
          <w:noProof/>
          <w:lang w:eastAsia="ja-JP"/>
        </w:rPr>
        <w:t xml:space="preserve">, which leads to </w:t>
      </w:r>
      <w:r w:rsidR="00CA00AF" w:rsidRPr="00CE2185">
        <w:rPr>
          <w:noProof/>
          <w:lang w:eastAsia="ja-JP"/>
        </w:rPr>
        <w:t>lack</w:t>
      </w:r>
      <w:r w:rsidR="00D21685" w:rsidRPr="00CE2185">
        <w:rPr>
          <w:noProof/>
          <w:lang w:eastAsia="ja-JP"/>
        </w:rPr>
        <w:t xml:space="preserve"> of</w:t>
      </w:r>
      <w:r w:rsidR="00CA00AF" w:rsidRPr="00CE2185">
        <w:rPr>
          <w:noProof/>
          <w:lang w:eastAsia="ja-JP"/>
        </w:rPr>
        <w:t xml:space="preserve"> </w:t>
      </w:r>
      <w:r w:rsidR="004F1480" w:rsidRPr="00CE2185">
        <w:rPr>
          <w:noProof/>
          <w:lang w:eastAsia="ja-JP"/>
        </w:rPr>
        <w:t xml:space="preserve">predictability </w:t>
      </w:r>
      <w:r w:rsidR="00CA00AF" w:rsidRPr="00CE2185">
        <w:rPr>
          <w:noProof/>
          <w:lang w:eastAsia="ja-JP"/>
        </w:rPr>
        <w:t>for stakeholders</w:t>
      </w:r>
      <w:r w:rsidR="00D04847" w:rsidRPr="00CE2185">
        <w:rPr>
          <w:noProof/>
          <w:lang w:eastAsia="ja-JP"/>
        </w:rPr>
        <w:t xml:space="preserve"> and</w:t>
      </w:r>
      <w:r w:rsidR="00B90149" w:rsidRPr="00CE2185">
        <w:rPr>
          <w:noProof/>
          <w:lang w:eastAsia="ja-JP"/>
        </w:rPr>
        <w:t xml:space="preserve"> accountability of the </w:t>
      </w:r>
      <w:r w:rsidR="00C3155C" w:rsidRPr="00CE2185">
        <w:rPr>
          <w:noProof/>
          <w:lang w:eastAsia="ja-JP"/>
        </w:rPr>
        <w:t>actors involved in the process (</w:t>
      </w:r>
      <w:r w:rsidR="00334405" w:rsidRPr="00CE2185">
        <w:rPr>
          <w:noProof/>
          <w:lang w:eastAsia="ja-JP"/>
        </w:rPr>
        <w:t>Commission, ENISA, ECCG).</w:t>
      </w:r>
    </w:p>
    <w:p w14:paraId="75346A75" w14:textId="03C2FC2F" w:rsidR="0007186A" w:rsidRPr="00CE2185" w:rsidRDefault="0007186A" w:rsidP="00795DF0">
      <w:pPr>
        <w:spacing w:after="120"/>
        <w:rPr>
          <w:noProof/>
          <w:lang w:val="en-IE" w:eastAsia="ja-JP"/>
        </w:rPr>
      </w:pPr>
      <w:r w:rsidRPr="00CE2185">
        <w:rPr>
          <w:b/>
          <w:noProof/>
          <w:lang w:val="en-IE" w:eastAsia="ja-JP"/>
        </w:rPr>
        <w:t>Unclear and rigid governance</w:t>
      </w:r>
      <w:r w:rsidRPr="00CE2185">
        <w:rPr>
          <w:noProof/>
          <w:lang w:val="en-IE" w:eastAsia="ja-JP"/>
        </w:rPr>
        <w:t xml:space="preserve"> has also resulted in coordination challenges across various stakeholder groups contributing to the scheme development.</w:t>
      </w:r>
      <w:r w:rsidR="007E7429" w:rsidRPr="00CE2185">
        <w:rPr>
          <w:noProof/>
          <w:lang w:val="en-IE" w:eastAsia="ja-JP"/>
        </w:rPr>
        <w:t xml:space="preserve"> </w:t>
      </w:r>
      <w:r w:rsidR="00D528FA" w:rsidRPr="00CE2185">
        <w:rPr>
          <w:noProof/>
          <w:lang w:val="en-IE" w:eastAsia="ja-JP"/>
        </w:rPr>
        <w:t xml:space="preserve">The 2024 Evaluation report also recognised these challenges </w:t>
      </w:r>
      <w:r w:rsidR="005223D8" w:rsidRPr="00CE2185">
        <w:rPr>
          <w:noProof/>
          <w:lang w:val="en-IE" w:eastAsia="ja-JP"/>
        </w:rPr>
        <w:t>and the private</w:t>
      </w:r>
      <w:r w:rsidRPr="00CE2185">
        <w:rPr>
          <w:noProof/>
          <w:lang w:val="en-IE" w:eastAsia="ja-JP"/>
        </w:rPr>
        <w:t xml:space="preserve"> stakeholder groups have asked the Commission to clarify the scope of ECCF </w:t>
      </w:r>
      <w:r w:rsidRPr="00CE2185">
        <w:rPr>
          <w:i/>
          <w:noProof/>
          <w:lang w:val="en-IE" w:eastAsia="ja-JP"/>
        </w:rPr>
        <w:t xml:space="preserve">(see </w:t>
      </w:r>
      <w:r w:rsidR="00BB74DC" w:rsidRPr="00CE2185">
        <w:rPr>
          <w:i/>
          <w:noProof/>
          <w:lang w:val="en-IE" w:eastAsia="ja-JP"/>
        </w:rPr>
        <w:t>Driver 2</w:t>
      </w:r>
      <w:r w:rsidR="00445AC7" w:rsidRPr="00CE2185">
        <w:rPr>
          <w:i/>
          <w:noProof/>
          <w:lang w:val="en-IE" w:eastAsia="ja-JP"/>
        </w:rPr>
        <w:t xml:space="preserve"> and Annex </w:t>
      </w:r>
      <w:r w:rsidR="0031003E" w:rsidRPr="00CE2185">
        <w:rPr>
          <w:i/>
          <w:noProof/>
          <w:lang w:val="en-IE" w:eastAsia="ja-JP"/>
        </w:rPr>
        <w:t>9</w:t>
      </w:r>
      <w:r w:rsidR="00445AC7" w:rsidRPr="00CE2185">
        <w:rPr>
          <w:i/>
          <w:noProof/>
          <w:lang w:val="en-IE" w:eastAsia="ja-JP"/>
        </w:rPr>
        <w:t>)</w:t>
      </w:r>
      <w:r w:rsidRPr="00CE2185">
        <w:rPr>
          <w:noProof/>
          <w:lang w:val="en-IE" w:eastAsia="ja-JP"/>
        </w:rPr>
        <w:t xml:space="preserve">, including whether the schemes should address non-technical risks or, to provide more legal clarity by including </w:t>
      </w:r>
      <w:r w:rsidR="000F0AAF" w:rsidRPr="00CE2185">
        <w:rPr>
          <w:noProof/>
          <w:lang w:val="en-IE" w:eastAsia="ja-JP"/>
        </w:rPr>
        <w:t xml:space="preserve">more </w:t>
      </w:r>
      <w:r w:rsidRPr="00CE2185">
        <w:rPr>
          <w:noProof/>
          <w:lang w:val="en-IE" w:eastAsia="ja-JP"/>
        </w:rPr>
        <w:t>elements (e.g. extended security requirements</w:t>
      </w:r>
      <w:r w:rsidR="007744CA" w:rsidRPr="00CE2185">
        <w:rPr>
          <w:noProof/>
          <w:lang w:val="en-IE" w:eastAsia="ja-JP"/>
        </w:rPr>
        <w:t xml:space="preserve"> or </w:t>
      </w:r>
      <w:r w:rsidR="00555DA3" w:rsidRPr="00CE2185">
        <w:rPr>
          <w:rFonts w:eastAsia="Times New Roman"/>
          <w:noProof/>
          <w:lang w:eastAsia="en-IE"/>
        </w:rPr>
        <w:t>continuity of certification activities during crisis scenarios</w:t>
      </w:r>
      <w:r w:rsidRPr="00CE2185">
        <w:rPr>
          <w:noProof/>
          <w:lang w:val="en-IE" w:eastAsia="ja-JP"/>
        </w:rPr>
        <w:t>).</w:t>
      </w:r>
    </w:p>
    <w:p w14:paraId="6C186584" w14:textId="6FEBDE68" w:rsidR="003F3B94" w:rsidRPr="00CE2185" w:rsidRDefault="00D60F3A" w:rsidP="00795DF0">
      <w:pPr>
        <w:spacing w:after="120"/>
        <w:rPr>
          <w:noProof/>
          <w:lang w:eastAsia="ja-JP"/>
        </w:rPr>
      </w:pPr>
      <w:r w:rsidRPr="00CE2185">
        <w:rPr>
          <w:noProof/>
          <w:lang w:eastAsia="ja-JP"/>
        </w:rPr>
        <w:t xml:space="preserve">Against this backdrop, the only adopted scheme, EUCC, </w:t>
      </w:r>
      <w:r w:rsidR="007B56FE" w:rsidRPr="00CE2185">
        <w:rPr>
          <w:noProof/>
          <w:lang w:eastAsia="ja-JP"/>
        </w:rPr>
        <w:t>demonstrates the potential of the ECCF as it</w:t>
      </w:r>
      <w:r w:rsidRPr="00CE2185">
        <w:rPr>
          <w:noProof/>
          <w:lang w:eastAsia="ja-JP"/>
        </w:rPr>
        <w:t xml:space="preserve"> has already gained solid uptake with over 20 accredited conformity assessment bodies</w:t>
      </w:r>
      <w:r w:rsidRPr="00CE2185">
        <w:rPr>
          <w:rStyle w:val="FootnoteReference"/>
          <w:noProof/>
          <w:lang w:eastAsia="ja-JP"/>
        </w:rPr>
        <w:footnoteReference w:id="100"/>
      </w:r>
      <w:r w:rsidRPr="00CE2185">
        <w:rPr>
          <w:noProof/>
          <w:lang w:eastAsia="ja-JP"/>
        </w:rPr>
        <w:t xml:space="preserve"> and multiple certificates issued since it entered into application in February 2025</w:t>
      </w:r>
      <w:r w:rsidR="0080187A" w:rsidRPr="00CE2185">
        <w:rPr>
          <w:noProof/>
          <w:lang w:eastAsia="ja-JP"/>
        </w:rPr>
        <w:t xml:space="preserve">. It </w:t>
      </w:r>
      <w:r w:rsidRPr="00CE2185">
        <w:rPr>
          <w:noProof/>
          <w:lang w:eastAsia="ja-JP"/>
        </w:rPr>
        <w:t>is expected to be immensely useful in the upcoming years due to its broad scope</w:t>
      </w:r>
      <w:r w:rsidR="0067771E" w:rsidRPr="00CE2185">
        <w:rPr>
          <w:noProof/>
          <w:lang w:eastAsia="ja-JP"/>
        </w:rPr>
        <w:t xml:space="preserve"> (</w:t>
      </w:r>
      <w:r w:rsidRPr="00CE2185">
        <w:rPr>
          <w:noProof/>
          <w:lang w:eastAsia="ja-JP"/>
        </w:rPr>
        <w:t>any ICT products</w:t>
      </w:r>
      <w:r w:rsidR="0067771E" w:rsidRPr="00CE2185">
        <w:rPr>
          <w:noProof/>
          <w:lang w:eastAsia="ja-JP"/>
        </w:rPr>
        <w:t>)</w:t>
      </w:r>
      <w:r w:rsidRPr="00CE2185">
        <w:rPr>
          <w:noProof/>
          <w:lang w:eastAsia="ja-JP"/>
        </w:rPr>
        <w:t>, and its harmonisation effect unlocking the single market benefits. Furthermore, Europe has a unique standing in the world of common criteria for ICT products</w:t>
      </w:r>
      <w:r w:rsidR="00CC6674" w:rsidRPr="00CE2185">
        <w:rPr>
          <w:noProof/>
          <w:lang w:eastAsia="ja-JP"/>
        </w:rPr>
        <w:t xml:space="preserve"> with</w:t>
      </w:r>
      <w:r w:rsidRPr="00CE2185">
        <w:rPr>
          <w:noProof/>
          <w:lang w:eastAsia="ja-JP"/>
        </w:rPr>
        <w:t xml:space="preserve"> 44% of the total assessment bodies, a number which we expect to grow in the coming years</w:t>
      </w:r>
      <w:r w:rsidRPr="00CE2185">
        <w:rPr>
          <w:rStyle w:val="FootnoteReference"/>
          <w:noProof/>
          <w:lang w:eastAsia="ja-JP"/>
        </w:rPr>
        <w:footnoteReference w:id="101"/>
      </w:r>
      <w:r w:rsidRPr="00CE2185">
        <w:rPr>
          <w:noProof/>
          <w:lang w:eastAsia="ja-JP"/>
        </w:rPr>
        <w:t>.</w:t>
      </w:r>
    </w:p>
    <w:p w14:paraId="62477955" w14:textId="5CAA4A01" w:rsidR="00DF185B" w:rsidRPr="00CE2185" w:rsidRDefault="004A1621" w:rsidP="000B79F5">
      <w:pPr>
        <w:pStyle w:val="Heading3"/>
        <w:rPr>
          <w:noProof/>
        </w:rPr>
      </w:pPr>
      <w:bookmarkStart w:id="53" w:name="_Toc210393811"/>
      <w:bookmarkStart w:id="54" w:name="_Toc210419518"/>
      <w:bookmarkStart w:id="55" w:name="_Toc219447350"/>
      <w:r w:rsidRPr="00CE2185">
        <w:rPr>
          <w:noProof/>
        </w:rPr>
        <w:t xml:space="preserve">Driver </w:t>
      </w:r>
      <w:r w:rsidR="009E500B" w:rsidRPr="00CE2185">
        <w:rPr>
          <w:noProof/>
        </w:rPr>
        <w:t>7</w:t>
      </w:r>
      <w:r w:rsidRPr="00CE2185">
        <w:rPr>
          <w:noProof/>
        </w:rPr>
        <w:t xml:space="preserve"> </w:t>
      </w:r>
      <w:r w:rsidR="00D60F3A" w:rsidRPr="00CE2185">
        <w:rPr>
          <w:noProof/>
        </w:rPr>
        <w:t>– Legislative developments</w:t>
      </w:r>
      <w:bookmarkEnd w:id="53"/>
      <w:bookmarkEnd w:id="54"/>
      <w:r w:rsidR="00AF448C" w:rsidRPr="00CE2185">
        <w:rPr>
          <w:noProof/>
        </w:rPr>
        <w:t xml:space="preserve"> not factored in the </w:t>
      </w:r>
      <w:r w:rsidR="000B52BD" w:rsidRPr="00CE2185">
        <w:rPr>
          <w:noProof/>
        </w:rPr>
        <w:t xml:space="preserve">current </w:t>
      </w:r>
      <w:r w:rsidR="00AF448C" w:rsidRPr="00CE2185">
        <w:rPr>
          <w:noProof/>
        </w:rPr>
        <w:t>ECCF</w:t>
      </w:r>
      <w:bookmarkEnd w:id="55"/>
    </w:p>
    <w:p w14:paraId="026D8A61" w14:textId="66353E4C" w:rsidR="00D60F3A" w:rsidRPr="00CE2185" w:rsidRDefault="00973FA6" w:rsidP="00795DF0">
      <w:pPr>
        <w:spacing w:after="120"/>
        <w:rPr>
          <w:rFonts w:eastAsia="Arial"/>
          <w:noProof/>
        </w:rPr>
      </w:pPr>
      <w:r w:rsidRPr="00CE2185">
        <w:rPr>
          <w:noProof/>
        </w:rPr>
        <w:t>The</w:t>
      </w:r>
      <w:r w:rsidR="00D60F3A" w:rsidRPr="00CE2185">
        <w:rPr>
          <w:rFonts w:eastAsia="Arial"/>
          <w:noProof/>
        </w:rPr>
        <w:t xml:space="preserve"> legislative </w:t>
      </w:r>
      <w:r w:rsidRPr="00CE2185">
        <w:rPr>
          <w:rFonts w:eastAsia="Arial"/>
          <w:noProof/>
        </w:rPr>
        <w:t>developments</w:t>
      </w:r>
      <w:r w:rsidR="00D60F3A" w:rsidRPr="00CE2185">
        <w:rPr>
          <w:rFonts w:eastAsia="Arial"/>
          <w:noProof/>
        </w:rPr>
        <w:t xml:space="preserve"> in the area of cybersecurity </w:t>
      </w:r>
      <w:r w:rsidRPr="00CE2185">
        <w:rPr>
          <w:rFonts w:eastAsia="Arial"/>
          <w:noProof/>
        </w:rPr>
        <w:t xml:space="preserve">since 2019 have been </w:t>
      </w:r>
      <w:r w:rsidR="00ED2D97" w:rsidRPr="00CE2185">
        <w:rPr>
          <w:noProof/>
        </w:rPr>
        <w:t>driving</w:t>
      </w:r>
      <w:r w:rsidR="00D60F3A" w:rsidRPr="00CE2185">
        <w:rPr>
          <w:noProof/>
        </w:rPr>
        <w:t xml:space="preserve"> an </w:t>
      </w:r>
      <w:r w:rsidR="00D60F3A" w:rsidRPr="00CE2185">
        <w:rPr>
          <w:b/>
          <w:noProof/>
        </w:rPr>
        <w:t>increasing demand for schemes</w:t>
      </w:r>
      <w:r w:rsidR="00782D14" w:rsidRPr="00CE2185">
        <w:rPr>
          <w:b/>
          <w:noProof/>
        </w:rPr>
        <w:t xml:space="preserve">, </w:t>
      </w:r>
      <w:r w:rsidR="00947FDA" w:rsidRPr="00CE2185">
        <w:rPr>
          <w:bCs/>
          <w:noProof/>
        </w:rPr>
        <w:t>as apart from</w:t>
      </w:r>
      <w:r w:rsidR="00D60F3A" w:rsidRPr="00CE2185">
        <w:rPr>
          <w:rFonts w:eastAsia="Arial"/>
          <w:noProof/>
        </w:rPr>
        <w:t xml:space="preserve"> providing a harmonised way of demonstrating security assurance, there </w:t>
      </w:r>
      <w:r w:rsidR="00947FDA" w:rsidRPr="00CE2185">
        <w:rPr>
          <w:rFonts w:eastAsia="Arial"/>
          <w:noProof/>
        </w:rPr>
        <w:t>is</w:t>
      </w:r>
      <w:r w:rsidR="00093812" w:rsidRPr="00CE2185">
        <w:rPr>
          <w:rFonts w:eastAsia="Arial"/>
          <w:noProof/>
        </w:rPr>
        <w:t xml:space="preserve"> </w:t>
      </w:r>
      <w:r w:rsidR="00D60F3A" w:rsidRPr="00CE2185">
        <w:rPr>
          <w:rFonts w:eastAsia="Arial"/>
          <w:noProof/>
        </w:rPr>
        <w:t xml:space="preserve">an increasing expectation </w:t>
      </w:r>
      <w:r w:rsidR="00093812" w:rsidRPr="00CE2185">
        <w:rPr>
          <w:rFonts w:eastAsia="Arial"/>
          <w:noProof/>
        </w:rPr>
        <w:t>they can</w:t>
      </w:r>
      <w:r w:rsidR="00D60F3A" w:rsidRPr="00CE2185">
        <w:rPr>
          <w:rFonts w:eastAsia="Arial"/>
          <w:noProof/>
        </w:rPr>
        <w:t xml:space="preserve"> facilitate compliance. At the same time, it revealed shortcomings in the scope of the framework and design of schemes</w:t>
      </w:r>
      <w:r w:rsidR="00B24ACD" w:rsidRPr="00CE2185">
        <w:rPr>
          <w:rFonts w:eastAsia="Arial"/>
          <w:noProof/>
        </w:rPr>
        <w:t xml:space="preserve"> </w:t>
      </w:r>
      <w:r w:rsidR="00BE168E" w:rsidRPr="00CE2185">
        <w:rPr>
          <w:rFonts w:eastAsia="Arial"/>
          <w:noProof/>
        </w:rPr>
        <w:t>(i.e. NIS 2 Directive</w:t>
      </w:r>
      <w:r w:rsidR="007145FC" w:rsidRPr="00CE2185">
        <w:rPr>
          <w:rFonts w:eastAsia="Arial"/>
          <w:noProof/>
        </w:rPr>
        <w:t xml:space="preserve"> demonstrated </w:t>
      </w:r>
      <w:r w:rsidR="00D60F3A" w:rsidRPr="00CE2185">
        <w:rPr>
          <w:rFonts w:eastAsia="Arial"/>
          <w:noProof/>
        </w:rPr>
        <w:t>the absence of certification of entities</w:t>
      </w:r>
      <w:r w:rsidR="007145FC" w:rsidRPr="00CE2185">
        <w:rPr>
          <w:rFonts w:eastAsia="Arial"/>
          <w:noProof/>
        </w:rPr>
        <w:t xml:space="preserve">). </w:t>
      </w:r>
      <w:r w:rsidR="00D60F3A" w:rsidRPr="00CE2185">
        <w:rPr>
          <w:rFonts w:eastAsia="Arial"/>
          <w:noProof/>
        </w:rPr>
        <w:t xml:space="preserve"> Furthermore, a growing number of legislations referred </w:t>
      </w:r>
      <w:r w:rsidR="00A7553F" w:rsidRPr="00CE2185">
        <w:rPr>
          <w:rFonts w:eastAsia="Arial"/>
          <w:noProof/>
        </w:rPr>
        <w:t>the ECCF</w:t>
      </w:r>
      <w:r w:rsidR="00D60F3A" w:rsidRPr="00CE2185">
        <w:rPr>
          <w:rFonts w:eastAsia="Arial"/>
          <w:noProof/>
        </w:rPr>
        <w:t xml:space="preserve"> as a mean to demonstrate compliance (CRA; AIA; NCCS).</w:t>
      </w:r>
    </w:p>
    <w:p w14:paraId="3EDEF53B" w14:textId="7F9C34FD" w:rsidR="00F938E8" w:rsidRPr="00CE2185" w:rsidRDefault="00BF1101" w:rsidP="00795DF0">
      <w:pPr>
        <w:spacing w:after="120"/>
        <w:rPr>
          <w:noProof/>
        </w:rPr>
      </w:pPr>
      <w:r w:rsidRPr="00CE2185">
        <w:rPr>
          <w:noProof/>
        </w:rPr>
        <w:t>T</w:t>
      </w:r>
      <w:r w:rsidR="00F97531" w:rsidRPr="00CE2185">
        <w:rPr>
          <w:noProof/>
        </w:rPr>
        <w:t xml:space="preserve">he </w:t>
      </w:r>
      <w:r w:rsidR="00F97531" w:rsidRPr="00CE2185">
        <w:rPr>
          <w:b/>
          <w:noProof/>
        </w:rPr>
        <w:t xml:space="preserve">interplay between the ECCF and the CRA </w:t>
      </w:r>
      <w:r w:rsidR="00F97531" w:rsidRPr="00CE2185">
        <w:rPr>
          <w:noProof/>
        </w:rPr>
        <w:t xml:space="preserve">has </w:t>
      </w:r>
      <w:r w:rsidRPr="00CE2185">
        <w:rPr>
          <w:noProof/>
        </w:rPr>
        <w:t>also</w:t>
      </w:r>
      <w:r w:rsidR="00F97531" w:rsidRPr="00CE2185">
        <w:rPr>
          <w:noProof/>
        </w:rPr>
        <w:t xml:space="preserve"> </w:t>
      </w:r>
      <w:r w:rsidR="00F938E8" w:rsidRPr="00CE2185">
        <w:rPr>
          <w:noProof/>
        </w:rPr>
        <w:t xml:space="preserve">created </w:t>
      </w:r>
      <w:r w:rsidR="00F45BC1" w:rsidRPr="00CE2185">
        <w:rPr>
          <w:noProof/>
        </w:rPr>
        <w:t xml:space="preserve">following </w:t>
      </w:r>
      <w:r w:rsidR="00F938E8" w:rsidRPr="00CE2185">
        <w:rPr>
          <w:noProof/>
        </w:rPr>
        <w:t>bottlenecks</w:t>
      </w:r>
      <w:r w:rsidR="002E047B" w:rsidRPr="00CE2185">
        <w:rPr>
          <w:noProof/>
        </w:rPr>
        <w:t>:</w:t>
      </w:r>
    </w:p>
    <w:p w14:paraId="2B04C86B" w14:textId="3982CA1A" w:rsidR="00F938E8" w:rsidRPr="00CE2185" w:rsidRDefault="00F938E8" w:rsidP="00795DF0">
      <w:pPr>
        <w:spacing w:after="120"/>
        <w:rPr>
          <w:noProof/>
        </w:rPr>
      </w:pPr>
      <w:r w:rsidRPr="00CE2185">
        <w:rPr>
          <w:i/>
          <w:iCs/>
          <w:noProof/>
          <w:u w:val="single"/>
        </w:rPr>
        <w:t>First</w:t>
      </w:r>
      <w:r w:rsidRPr="00CE2185">
        <w:rPr>
          <w:noProof/>
        </w:rPr>
        <w:t xml:space="preserve">, </w:t>
      </w:r>
      <w:r w:rsidRPr="00CE2185">
        <w:rPr>
          <w:b/>
          <w:bCs/>
          <w:noProof/>
        </w:rPr>
        <w:t>the preparation and adoption of the CRA ha</w:t>
      </w:r>
      <w:r w:rsidR="7C41BCCC" w:rsidRPr="00CE2185">
        <w:rPr>
          <w:b/>
          <w:bCs/>
          <w:noProof/>
        </w:rPr>
        <w:t>ve</w:t>
      </w:r>
      <w:r w:rsidRPr="00CE2185">
        <w:rPr>
          <w:b/>
          <w:bCs/>
          <w:noProof/>
        </w:rPr>
        <w:t xml:space="preserve"> significantly impacted the delay in the publication of the Union Rolling Work Programme</w:t>
      </w:r>
      <w:r w:rsidRPr="00CE2185">
        <w:rPr>
          <w:noProof/>
        </w:rPr>
        <w:t xml:space="preserve"> on strategic priorities for European cybersecurity certification schemes (URWP)</w:t>
      </w:r>
      <w:r w:rsidRPr="00CE2185">
        <w:rPr>
          <w:rStyle w:val="FootnoteReference"/>
          <w:noProof/>
        </w:rPr>
        <w:footnoteReference w:id="102"/>
      </w:r>
      <w:r w:rsidRPr="00CE2185">
        <w:rPr>
          <w:noProof/>
        </w:rPr>
        <w:t>. The broad scope of the CRA impacting all products with digital elements and introducing a conformity assessment regime of such products, changed considerably the legislative context of the ECCF</w:t>
      </w:r>
      <w:r w:rsidR="00CC5D34" w:rsidRPr="00CE2185">
        <w:rPr>
          <w:noProof/>
        </w:rPr>
        <w:t>, as</w:t>
      </w:r>
      <w:r w:rsidRPr="00CE2185">
        <w:rPr>
          <w:noProof/>
        </w:rPr>
        <w:t xml:space="preserve"> all potential ICT products for which a scheme could be developed are also covered by the CRA. While the CRA foresees</w:t>
      </w:r>
      <w:r w:rsidR="00E77E6A" w:rsidRPr="00CE2185">
        <w:rPr>
          <w:noProof/>
        </w:rPr>
        <w:t xml:space="preserve"> that the</w:t>
      </w:r>
      <w:r w:rsidRPr="00CE2185">
        <w:rPr>
          <w:noProof/>
        </w:rPr>
        <w:t xml:space="preserve"> schemes that can provide presumption of conformity, any</w:t>
      </w:r>
      <w:r w:rsidR="00F53885" w:rsidRPr="00CE2185">
        <w:rPr>
          <w:noProof/>
        </w:rPr>
        <w:t xml:space="preserve"> scheme</w:t>
      </w:r>
      <w:r w:rsidRPr="00CE2185">
        <w:rPr>
          <w:noProof/>
        </w:rPr>
        <w:t xml:space="preserve"> related to products shall be designed with the CRA in mind. The contrary would mean additional burden through duplications of requirements for manufacturers. </w:t>
      </w:r>
    </w:p>
    <w:p w14:paraId="095EFCBC" w14:textId="06EDBADE" w:rsidR="00F938E8" w:rsidRPr="00CE2185" w:rsidRDefault="00F938E8" w:rsidP="00795DF0">
      <w:pPr>
        <w:spacing w:after="120"/>
        <w:rPr>
          <w:rFonts w:eastAsia="Calibri"/>
          <w:noProof/>
        </w:rPr>
      </w:pPr>
      <w:r w:rsidRPr="00CE2185">
        <w:rPr>
          <w:i/>
          <w:noProof/>
          <w:u w:val="single"/>
        </w:rPr>
        <w:t>Second</w:t>
      </w:r>
      <w:r w:rsidRPr="00CE2185">
        <w:rPr>
          <w:noProof/>
        </w:rPr>
        <w:t xml:space="preserve">, </w:t>
      </w:r>
      <w:r w:rsidRPr="00CE2185">
        <w:rPr>
          <w:b/>
          <w:noProof/>
        </w:rPr>
        <w:t>in the context of the EUCC</w:t>
      </w:r>
      <w:r w:rsidR="003F5514" w:rsidRPr="00CE2185">
        <w:rPr>
          <w:b/>
          <w:bCs/>
          <w:noProof/>
        </w:rPr>
        <w:t xml:space="preserve"> (scheme for product certification)</w:t>
      </w:r>
      <w:r w:rsidRPr="00CE2185">
        <w:rPr>
          <w:b/>
          <w:noProof/>
        </w:rPr>
        <w:t>, some general misalignment between the CRA and the ECCF has been evidenced</w:t>
      </w:r>
      <w:r w:rsidRPr="00CE2185">
        <w:rPr>
          <w:noProof/>
        </w:rPr>
        <w:t xml:space="preserve">. This misalignment occurred while the EUCC was already well underway. </w:t>
      </w:r>
      <w:r w:rsidR="003F2F1D" w:rsidRPr="00CE2185">
        <w:rPr>
          <w:rFonts w:eastAsia="Calibri"/>
          <w:noProof/>
        </w:rPr>
        <w:t>S</w:t>
      </w:r>
      <w:r w:rsidRPr="00CE2185">
        <w:rPr>
          <w:rFonts w:eastAsia="Calibri"/>
          <w:noProof/>
        </w:rPr>
        <w:t>ecurity requirements stemming from the CRA such as those related to vulnerability handling could not be considered from the design of the EUCC. Furthermore, the governance frameworks of the CRA based on the New Legislative Framework and the</w:t>
      </w:r>
      <w:r w:rsidR="00BF1101" w:rsidRPr="00CE2185">
        <w:rPr>
          <w:rFonts w:eastAsia="Calibri"/>
          <w:noProof/>
        </w:rPr>
        <w:t xml:space="preserve"> </w:t>
      </w:r>
      <w:r w:rsidRPr="00CE2185">
        <w:rPr>
          <w:rFonts w:eastAsia="Calibri"/>
          <w:noProof/>
        </w:rPr>
        <w:t>ECCF apply different regime for the governance (competence requirements, obligations and supervision) of conformity assessment bodies, which does not appear justified. For instance, a CAB does not have the same obligations towards the supervisory authority under the ECCF and the CRA. Th</w:t>
      </w:r>
      <w:r w:rsidR="000F4333" w:rsidRPr="00CE2185">
        <w:rPr>
          <w:rFonts w:eastAsia="Calibri"/>
          <w:noProof/>
        </w:rPr>
        <w:t>ose</w:t>
      </w:r>
      <w:r w:rsidRPr="00CE2185">
        <w:rPr>
          <w:rFonts w:eastAsia="Calibri"/>
          <w:noProof/>
        </w:rPr>
        <w:t xml:space="preserve"> inconsistencies will lead to </w:t>
      </w:r>
      <w:r w:rsidRPr="00CE2185">
        <w:rPr>
          <w:rFonts w:eastAsia="Calibri"/>
          <w:b/>
          <w:noProof/>
        </w:rPr>
        <w:t>administrative burden</w:t>
      </w:r>
      <w:r w:rsidRPr="00CE2185">
        <w:rPr>
          <w:rFonts w:eastAsia="Calibri"/>
          <w:noProof/>
        </w:rPr>
        <w:t xml:space="preserve"> for product manufacturers, public authorities and CABs. </w:t>
      </w:r>
    </w:p>
    <w:p w14:paraId="2B4F6D6F" w14:textId="7C0CBE4B" w:rsidR="00A6628E" w:rsidRPr="00CE2185" w:rsidRDefault="002972DA" w:rsidP="009078EF">
      <w:pPr>
        <w:pStyle w:val="Heading3"/>
        <w:rPr>
          <w:noProof/>
        </w:rPr>
      </w:pPr>
      <w:bookmarkStart w:id="56" w:name="_Toc210393812"/>
      <w:bookmarkStart w:id="57" w:name="_Toc210419519"/>
      <w:bookmarkStart w:id="58" w:name="_Toc219447351"/>
      <w:r w:rsidRPr="00CE2185">
        <w:rPr>
          <w:rFonts w:eastAsiaTheme="minorHAnsi"/>
          <w:noProof/>
        </w:rPr>
        <w:t xml:space="preserve">Driver </w:t>
      </w:r>
      <w:r w:rsidR="009E500B" w:rsidRPr="00CE2185">
        <w:rPr>
          <w:noProof/>
        </w:rPr>
        <w:t>8</w:t>
      </w:r>
      <w:r w:rsidRPr="00CE2185">
        <w:rPr>
          <w:noProof/>
        </w:rPr>
        <w:t xml:space="preserve"> </w:t>
      </w:r>
      <w:r w:rsidRPr="00CE2185">
        <w:rPr>
          <w:rFonts w:eastAsiaTheme="minorHAnsi"/>
          <w:noProof/>
        </w:rPr>
        <w:t xml:space="preserve">– </w:t>
      </w:r>
      <w:r w:rsidR="001F5998" w:rsidRPr="00CE2185">
        <w:rPr>
          <w:rFonts w:eastAsiaTheme="minorHAnsi"/>
          <w:noProof/>
        </w:rPr>
        <w:t>Fragmented compliance landscape and complexity of horizontal and sectoral frameworks</w:t>
      </w:r>
      <w:bookmarkEnd w:id="56"/>
      <w:bookmarkEnd w:id="57"/>
      <w:bookmarkEnd w:id="58"/>
      <w:r w:rsidR="00E6010A" w:rsidRPr="00CE2185">
        <w:rPr>
          <w:noProof/>
        </w:rPr>
        <w:t xml:space="preserve"> </w:t>
      </w:r>
    </w:p>
    <w:p w14:paraId="303BB3A4" w14:textId="73C392B5" w:rsidR="00F57D9D" w:rsidRPr="00CE2185" w:rsidRDefault="00F57D9D" w:rsidP="00795DF0">
      <w:pPr>
        <w:spacing w:after="120"/>
        <w:rPr>
          <w:noProof/>
        </w:rPr>
      </w:pPr>
      <w:r w:rsidRPr="00CE2185">
        <w:rPr>
          <w:noProof/>
        </w:rPr>
        <w:t xml:space="preserve">Companies, notably those providing multiple </w:t>
      </w:r>
      <w:r w:rsidR="00F6676E" w:rsidRPr="00CE2185">
        <w:rPr>
          <w:noProof/>
        </w:rPr>
        <w:t>different type</w:t>
      </w:r>
      <w:r w:rsidR="001C60A7" w:rsidRPr="00CE2185">
        <w:rPr>
          <w:noProof/>
        </w:rPr>
        <w:t xml:space="preserve">s of </w:t>
      </w:r>
      <w:r w:rsidRPr="00CE2185">
        <w:rPr>
          <w:noProof/>
        </w:rPr>
        <w:t>services, face various cybersecurity</w:t>
      </w:r>
      <w:r w:rsidR="00917387" w:rsidRPr="00CE2185">
        <w:rPr>
          <w:noProof/>
        </w:rPr>
        <w:t>-</w:t>
      </w:r>
      <w:r w:rsidRPr="00CE2185">
        <w:rPr>
          <w:noProof/>
        </w:rPr>
        <w:t>related obligations under horizontal instruments</w:t>
      </w:r>
      <w:r w:rsidR="00F6243A" w:rsidRPr="00CE2185">
        <w:rPr>
          <w:noProof/>
        </w:rPr>
        <w:t>,</w:t>
      </w:r>
      <w:r w:rsidRPr="00CE2185">
        <w:rPr>
          <w:noProof/>
        </w:rPr>
        <w:t xml:space="preserve"> such as the NIS</w:t>
      </w:r>
      <w:r w:rsidR="00497E9C" w:rsidRPr="00CE2185">
        <w:rPr>
          <w:noProof/>
        </w:rPr>
        <w:t xml:space="preserve"> </w:t>
      </w:r>
      <w:r w:rsidRPr="00CE2185">
        <w:rPr>
          <w:noProof/>
        </w:rPr>
        <w:t xml:space="preserve">2 </w:t>
      </w:r>
      <w:r w:rsidR="00CB2FA8" w:rsidRPr="00CE2185">
        <w:rPr>
          <w:noProof/>
        </w:rPr>
        <w:t>D</w:t>
      </w:r>
      <w:r w:rsidRPr="00CE2185">
        <w:rPr>
          <w:noProof/>
        </w:rPr>
        <w:t xml:space="preserve">irective, </w:t>
      </w:r>
      <w:r w:rsidR="001C60A7" w:rsidRPr="00CE2185">
        <w:rPr>
          <w:noProof/>
        </w:rPr>
        <w:t xml:space="preserve">the </w:t>
      </w:r>
      <w:r w:rsidRPr="00CE2185">
        <w:rPr>
          <w:noProof/>
        </w:rPr>
        <w:t>GDPR, as well as sector-specific instruments. As a result, compliance with cybersecurity risk</w:t>
      </w:r>
      <w:r w:rsidR="001500FE" w:rsidRPr="00CE2185">
        <w:rPr>
          <w:noProof/>
        </w:rPr>
        <w:t>-</w:t>
      </w:r>
      <w:r w:rsidRPr="00CE2185">
        <w:rPr>
          <w:noProof/>
        </w:rPr>
        <w:t>management measures</w:t>
      </w:r>
      <w:r w:rsidR="00212CF8" w:rsidRPr="00CE2185">
        <w:rPr>
          <w:noProof/>
        </w:rPr>
        <w:t xml:space="preserve"> involve</w:t>
      </w:r>
      <w:r w:rsidR="004D3947" w:rsidRPr="00CE2185">
        <w:rPr>
          <w:noProof/>
        </w:rPr>
        <w:t>s</w:t>
      </w:r>
      <w:r w:rsidR="00E95F4B" w:rsidRPr="00CE2185">
        <w:rPr>
          <w:noProof/>
        </w:rPr>
        <w:t xml:space="preserve"> navigating</w:t>
      </w:r>
      <w:r w:rsidRPr="00CE2185">
        <w:rPr>
          <w:noProof/>
        </w:rPr>
        <w:t xml:space="preserve"> various legal requirements </w:t>
      </w:r>
      <w:r w:rsidR="00514BFB" w:rsidRPr="00CE2185">
        <w:rPr>
          <w:noProof/>
        </w:rPr>
        <w:t>and</w:t>
      </w:r>
      <w:r w:rsidRPr="00CE2185">
        <w:rPr>
          <w:noProof/>
        </w:rPr>
        <w:t xml:space="preserve">, where relevant, different </w:t>
      </w:r>
      <w:r w:rsidR="009A390C" w:rsidRPr="00CE2185">
        <w:rPr>
          <w:noProof/>
        </w:rPr>
        <w:t xml:space="preserve">national </w:t>
      </w:r>
      <w:r w:rsidRPr="00CE2185">
        <w:rPr>
          <w:noProof/>
        </w:rPr>
        <w:t>transpositions and implementation approaches</w:t>
      </w:r>
      <w:r w:rsidR="006F583F" w:rsidRPr="00CE2185">
        <w:rPr>
          <w:noProof/>
        </w:rPr>
        <w:t xml:space="preserve">, aggravated in cases where Member States </w:t>
      </w:r>
      <w:r w:rsidR="005A76C4" w:rsidRPr="00CE2185">
        <w:rPr>
          <w:noProof/>
        </w:rPr>
        <w:t xml:space="preserve">adopt </w:t>
      </w:r>
      <w:r w:rsidR="00F4604C" w:rsidRPr="00CE2185">
        <w:rPr>
          <w:noProof/>
        </w:rPr>
        <w:t xml:space="preserve">additional </w:t>
      </w:r>
      <w:r w:rsidR="007923A8" w:rsidRPr="00CE2185">
        <w:rPr>
          <w:noProof/>
        </w:rPr>
        <w:t>measur</w:t>
      </w:r>
      <w:r w:rsidR="001604E6" w:rsidRPr="00CE2185">
        <w:rPr>
          <w:noProof/>
        </w:rPr>
        <w:t xml:space="preserve">es </w:t>
      </w:r>
      <w:r w:rsidR="0052351A" w:rsidRPr="00CE2185">
        <w:rPr>
          <w:noProof/>
        </w:rPr>
        <w:t>beyond the</w:t>
      </w:r>
      <w:r w:rsidR="00A87EF1" w:rsidRPr="00CE2185">
        <w:rPr>
          <w:noProof/>
        </w:rPr>
        <w:t xml:space="preserve"> </w:t>
      </w:r>
      <w:r w:rsidRPr="00CE2185">
        <w:rPr>
          <w:noProof/>
        </w:rPr>
        <w:t xml:space="preserve">minimum harmonisation </w:t>
      </w:r>
      <w:r w:rsidR="0052351A" w:rsidRPr="00CE2185">
        <w:rPr>
          <w:noProof/>
        </w:rPr>
        <w:t xml:space="preserve">requirements of </w:t>
      </w:r>
      <w:r w:rsidR="00F4604C" w:rsidRPr="00CE2185">
        <w:rPr>
          <w:noProof/>
        </w:rPr>
        <w:t>legal acts</w:t>
      </w:r>
      <w:r w:rsidR="00221D3D" w:rsidRPr="00CE2185">
        <w:rPr>
          <w:noProof/>
        </w:rPr>
        <w:t>,</w:t>
      </w:r>
      <w:r w:rsidR="00F4604C" w:rsidRPr="00CE2185">
        <w:rPr>
          <w:noProof/>
        </w:rPr>
        <w:t xml:space="preserve"> such as the NIS</w:t>
      </w:r>
      <w:r w:rsidR="00497E9C" w:rsidRPr="00CE2185">
        <w:rPr>
          <w:noProof/>
        </w:rPr>
        <w:t xml:space="preserve"> </w:t>
      </w:r>
      <w:r w:rsidR="00F4604C" w:rsidRPr="00CE2185">
        <w:rPr>
          <w:noProof/>
        </w:rPr>
        <w:t>2 Directive</w:t>
      </w:r>
      <w:r w:rsidR="00DD5426" w:rsidRPr="00CE2185">
        <w:rPr>
          <w:rStyle w:val="FootnoteReference"/>
          <w:noProof/>
        </w:rPr>
        <w:footnoteReference w:id="103"/>
      </w:r>
      <w:r w:rsidRPr="00CE2185">
        <w:rPr>
          <w:noProof/>
        </w:rPr>
        <w:t xml:space="preserve">. Furthermore, national supervisory approaches for enforcing the same rules differ </w:t>
      </w:r>
      <w:r w:rsidR="00221D3D" w:rsidRPr="00CE2185">
        <w:rPr>
          <w:noProof/>
        </w:rPr>
        <w:t>in</w:t>
      </w:r>
      <w:r w:rsidRPr="00CE2185">
        <w:rPr>
          <w:noProof/>
        </w:rPr>
        <w:t xml:space="preserve"> Member State</w:t>
      </w:r>
      <w:r w:rsidR="00221D3D" w:rsidRPr="00CE2185">
        <w:rPr>
          <w:noProof/>
        </w:rPr>
        <w:t>s</w:t>
      </w:r>
      <w:r w:rsidRPr="00CE2185">
        <w:rPr>
          <w:noProof/>
        </w:rPr>
        <w:t xml:space="preserve">. </w:t>
      </w:r>
      <w:r w:rsidR="000B1CB7" w:rsidRPr="00CE2185">
        <w:rPr>
          <w:noProof/>
        </w:rPr>
        <w:t>They</w:t>
      </w:r>
      <w:r w:rsidRPr="00CE2185">
        <w:rPr>
          <w:noProof/>
        </w:rPr>
        <w:t xml:space="preserve"> affect more strongly </w:t>
      </w:r>
      <w:r w:rsidR="00D75A28" w:rsidRPr="00CE2185">
        <w:rPr>
          <w:noProof/>
        </w:rPr>
        <w:t xml:space="preserve">the </w:t>
      </w:r>
      <w:r w:rsidRPr="00CE2185">
        <w:rPr>
          <w:noProof/>
        </w:rPr>
        <w:t>undertakings and groups of undertakings which have entities falling under the jurisdiction of several Member States or are subject to obligations arising from multiple instruments.</w:t>
      </w:r>
    </w:p>
    <w:p w14:paraId="61AF1325" w14:textId="70D37F3E" w:rsidR="00D83466" w:rsidRPr="00CE2185" w:rsidRDefault="0078189E" w:rsidP="00795DF0">
      <w:pPr>
        <w:spacing w:after="120"/>
        <w:rPr>
          <w:noProof/>
        </w:rPr>
      </w:pPr>
      <w:r w:rsidRPr="00CE2185">
        <w:rPr>
          <w:noProof/>
        </w:rPr>
        <w:t xml:space="preserve">In addition, several </w:t>
      </w:r>
      <w:r w:rsidR="002C340C" w:rsidRPr="00CE2185">
        <w:rPr>
          <w:noProof/>
        </w:rPr>
        <w:t xml:space="preserve">further clarifications and adjustments are needed, as revealed by the implementation process thus far and </w:t>
      </w:r>
      <w:r w:rsidR="00152773" w:rsidRPr="00CE2185">
        <w:rPr>
          <w:noProof/>
        </w:rPr>
        <w:t xml:space="preserve">the </w:t>
      </w:r>
      <w:r w:rsidR="002C340C" w:rsidRPr="00CE2185">
        <w:rPr>
          <w:noProof/>
        </w:rPr>
        <w:t>interaction with stakeholders</w:t>
      </w:r>
      <w:r w:rsidRPr="00CE2185">
        <w:rPr>
          <w:noProof/>
        </w:rPr>
        <w:t>:</w:t>
      </w:r>
    </w:p>
    <w:p w14:paraId="2644A97C" w14:textId="77777777" w:rsidR="00631E3C" w:rsidRPr="00CE2185" w:rsidRDefault="0078189E" w:rsidP="00751ED9">
      <w:pPr>
        <w:spacing w:after="120"/>
        <w:rPr>
          <w:noProof/>
        </w:rPr>
      </w:pPr>
      <w:r w:rsidRPr="00CE2185">
        <w:rPr>
          <w:i/>
          <w:noProof/>
          <w:u w:val="single"/>
        </w:rPr>
        <w:t>First</w:t>
      </w:r>
      <w:r w:rsidRPr="00CE2185">
        <w:rPr>
          <w:i/>
          <w:iCs/>
          <w:noProof/>
        </w:rPr>
        <w:t xml:space="preserve">, </w:t>
      </w:r>
      <w:r w:rsidR="00FF523A" w:rsidRPr="00CE2185">
        <w:rPr>
          <w:b/>
          <w:noProof/>
        </w:rPr>
        <w:t xml:space="preserve">certain </w:t>
      </w:r>
      <w:r w:rsidR="00F57D9D" w:rsidRPr="00CE2185" w:rsidDel="00FF523A">
        <w:rPr>
          <w:b/>
          <w:noProof/>
        </w:rPr>
        <w:t xml:space="preserve">scope-related </w:t>
      </w:r>
      <w:r w:rsidR="005C2E04" w:rsidRPr="00CE2185">
        <w:rPr>
          <w:b/>
          <w:noProof/>
        </w:rPr>
        <w:t>clarifications</w:t>
      </w:r>
      <w:r w:rsidR="005C2E04" w:rsidRPr="00CE2185">
        <w:rPr>
          <w:bCs/>
          <w:noProof/>
        </w:rPr>
        <w:t xml:space="preserve"> </w:t>
      </w:r>
      <w:r w:rsidR="005C2E04" w:rsidRPr="00CE2185">
        <w:rPr>
          <w:b/>
          <w:noProof/>
        </w:rPr>
        <w:t>to ensure legal certainty</w:t>
      </w:r>
      <w:r w:rsidR="001B72B5" w:rsidRPr="00CE2185">
        <w:rPr>
          <w:noProof/>
        </w:rPr>
        <w:t>, e.g. on the definitions of healthcare providers, electricity producers or with respect to entities from the chemical sector</w:t>
      </w:r>
      <w:r w:rsidR="00DE3C1B" w:rsidRPr="00CE2185">
        <w:rPr>
          <w:noProof/>
        </w:rPr>
        <w:t xml:space="preserve">. </w:t>
      </w:r>
      <w:r w:rsidR="00F5777F" w:rsidRPr="00CE2185">
        <w:rPr>
          <w:noProof/>
        </w:rPr>
        <w:t>For example,</w:t>
      </w:r>
      <w:r w:rsidR="00F548C0" w:rsidRPr="00CE2185">
        <w:rPr>
          <w:noProof/>
        </w:rPr>
        <w:t xml:space="preserve"> t</w:t>
      </w:r>
      <w:r w:rsidR="00AF2F27" w:rsidRPr="00CE2185">
        <w:rPr>
          <w:noProof/>
        </w:rPr>
        <w:t>he Impact Assessment Report for the proposal for the NIS</w:t>
      </w:r>
      <w:r w:rsidR="00497E9C" w:rsidRPr="00CE2185">
        <w:rPr>
          <w:noProof/>
        </w:rPr>
        <w:t xml:space="preserve"> </w:t>
      </w:r>
      <w:r w:rsidR="00AF2F27" w:rsidRPr="00CE2185">
        <w:rPr>
          <w:noProof/>
        </w:rPr>
        <w:t>2 Directive estimated</w:t>
      </w:r>
      <w:r w:rsidR="008745E4" w:rsidRPr="00CE2185">
        <w:rPr>
          <w:noProof/>
        </w:rPr>
        <w:t xml:space="preserve"> the number of </w:t>
      </w:r>
      <w:r w:rsidR="00F5777F" w:rsidRPr="00CE2185">
        <w:rPr>
          <w:noProof/>
        </w:rPr>
        <w:t>electricity producers</w:t>
      </w:r>
      <w:r w:rsidR="008745E4" w:rsidRPr="00CE2185">
        <w:rPr>
          <w:noProof/>
        </w:rPr>
        <w:t xml:space="preserve"> </w:t>
      </w:r>
      <w:r w:rsidR="008141B7" w:rsidRPr="00CE2185">
        <w:rPr>
          <w:noProof/>
        </w:rPr>
        <w:t>a</w:t>
      </w:r>
      <w:r w:rsidR="008745E4" w:rsidRPr="00CE2185">
        <w:rPr>
          <w:noProof/>
        </w:rPr>
        <w:t>s about 3,944 companies and the number of companies in scope</w:t>
      </w:r>
      <w:r w:rsidR="008745E4" w:rsidRPr="00CE2185" w:rsidDel="00415570">
        <w:rPr>
          <w:noProof/>
        </w:rPr>
        <w:t xml:space="preserve"> </w:t>
      </w:r>
      <w:r w:rsidR="00415570" w:rsidRPr="00CE2185">
        <w:rPr>
          <w:noProof/>
        </w:rPr>
        <w:t xml:space="preserve">as </w:t>
      </w:r>
      <w:r w:rsidR="008745E4" w:rsidRPr="00CE2185">
        <w:rPr>
          <w:noProof/>
        </w:rPr>
        <w:t xml:space="preserve">82 main electricity generating companies. </w:t>
      </w:r>
      <w:r w:rsidR="006F78BC" w:rsidRPr="00CE2185">
        <w:rPr>
          <w:noProof/>
        </w:rPr>
        <w:t xml:space="preserve">However, </w:t>
      </w:r>
      <w:r w:rsidR="004E429E" w:rsidRPr="00CE2185">
        <w:rPr>
          <w:noProof/>
        </w:rPr>
        <w:t xml:space="preserve">with the current definitions of NIS2, </w:t>
      </w:r>
      <w:r w:rsidR="00F5777F" w:rsidRPr="00CE2185">
        <w:rPr>
          <w:noProof/>
        </w:rPr>
        <w:t>any entity that operates solar panels to consume the self-generated</w:t>
      </w:r>
      <w:r w:rsidR="008745E4" w:rsidRPr="00CE2185">
        <w:rPr>
          <w:noProof/>
        </w:rPr>
        <w:t xml:space="preserve"> electricity </w:t>
      </w:r>
      <w:r w:rsidR="00F5777F" w:rsidRPr="00CE2185">
        <w:rPr>
          <w:noProof/>
        </w:rPr>
        <w:t xml:space="preserve">could qualify as essential or important entity </w:t>
      </w:r>
      <w:r w:rsidR="006F78BC" w:rsidRPr="00CE2185">
        <w:rPr>
          <w:noProof/>
        </w:rPr>
        <w:t>if</w:t>
      </w:r>
      <w:r w:rsidR="008745E4" w:rsidRPr="00CE2185">
        <w:rPr>
          <w:noProof/>
        </w:rPr>
        <w:t xml:space="preserve"> they meet size-cap criterion </w:t>
      </w:r>
      <w:r w:rsidR="00F5777F" w:rsidRPr="00CE2185">
        <w:rPr>
          <w:noProof/>
        </w:rPr>
        <w:t>of the NIS</w:t>
      </w:r>
      <w:r w:rsidR="00497E9C" w:rsidRPr="00CE2185">
        <w:rPr>
          <w:noProof/>
        </w:rPr>
        <w:t xml:space="preserve"> </w:t>
      </w:r>
      <w:r w:rsidR="00F5777F" w:rsidRPr="00CE2185">
        <w:rPr>
          <w:noProof/>
        </w:rPr>
        <w:t>2 Directive</w:t>
      </w:r>
      <w:r w:rsidR="00287207" w:rsidRPr="00CE2185">
        <w:rPr>
          <w:noProof/>
        </w:rPr>
        <w:t>, which would be a far higher number given the increasing use of renewable sources</w:t>
      </w:r>
      <w:r w:rsidR="00CA2E19" w:rsidRPr="00CE2185">
        <w:rPr>
          <w:noProof/>
        </w:rPr>
        <w:t xml:space="preserve">. </w:t>
      </w:r>
      <w:r w:rsidR="00DE3C1B" w:rsidRPr="00CE2185">
        <w:rPr>
          <w:noProof/>
        </w:rPr>
        <w:t>This</w:t>
      </w:r>
      <w:r w:rsidR="00F57D9D" w:rsidRPr="00CE2185">
        <w:rPr>
          <w:noProof/>
        </w:rPr>
        <w:t xml:space="preserve"> </w:t>
      </w:r>
      <w:r w:rsidR="000B3D93" w:rsidRPr="00CE2185">
        <w:rPr>
          <w:noProof/>
        </w:rPr>
        <w:t xml:space="preserve">broad interpretation </w:t>
      </w:r>
      <w:r w:rsidR="00F57D9D" w:rsidRPr="00CE2185">
        <w:rPr>
          <w:noProof/>
        </w:rPr>
        <w:t>lead</w:t>
      </w:r>
      <w:r w:rsidR="00DA58F1" w:rsidRPr="00CE2185">
        <w:rPr>
          <w:noProof/>
        </w:rPr>
        <w:t>s</w:t>
      </w:r>
      <w:r w:rsidR="00F57D9D" w:rsidRPr="00CE2185">
        <w:rPr>
          <w:noProof/>
        </w:rPr>
        <w:t xml:space="preserve"> to</w:t>
      </w:r>
      <w:r w:rsidR="00695DFF" w:rsidRPr="00CE2185">
        <w:rPr>
          <w:noProof/>
        </w:rPr>
        <w:t xml:space="preserve"> </w:t>
      </w:r>
      <w:r w:rsidR="00F57D9D" w:rsidRPr="00CE2185">
        <w:rPr>
          <w:noProof/>
        </w:rPr>
        <w:t>compliance burden for both entities</w:t>
      </w:r>
      <w:r w:rsidR="00CF1077" w:rsidRPr="00CE2185">
        <w:rPr>
          <w:noProof/>
        </w:rPr>
        <w:t>,</w:t>
      </w:r>
      <w:r w:rsidR="00F57D9D" w:rsidRPr="00CE2185">
        <w:rPr>
          <w:noProof/>
        </w:rPr>
        <w:t xml:space="preserve"> and </w:t>
      </w:r>
      <w:r w:rsidR="00CF1077" w:rsidRPr="00CE2185">
        <w:rPr>
          <w:noProof/>
        </w:rPr>
        <w:t xml:space="preserve">for </w:t>
      </w:r>
      <w:r w:rsidR="00F57D9D" w:rsidRPr="00CE2185">
        <w:rPr>
          <w:noProof/>
        </w:rPr>
        <w:t>national authorities</w:t>
      </w:r>
      <w:r w:rsidR="00CF1077" w:rsidRPr="00CE2185">
        <w:rPr>
          <w:noProof/>
        </w:rPr>
        <w:t xml:space="preserve"> which have to supervise a larger number of entities than originally estimated</w:t>
      </w:r>
      <w:r w:rsidR="00F57D9D" w:rsidRPr="00CE2185">
        <w:rPr>
          <w:noProof/>
        </w:rPr>
        <w:t xml:space="preserve">. </w:t>
      </w:r>
      <w:r w:rsidR="00E35512" w:rsidRPr="00CE2185">
        <w:rPr>
          <w:noProof/>
        </w:rPr>
        <w:t xml:space="preserve">On the other hand, </w:t>
      </w:r>
      <w:r w:rsidR="008152DC" w:rsidRPr="00CE2185">
        <w:rPr>
          <w:noProof/>
        </w:rPr>
        <w:t xml:space="preserve">certain </w:t>
      </w:r>
      <w:r w:rsidR="00AF1160" w:rsidRPr="00CE2185">
        <w:rPr>
          <w:noProof/>
        </w:rPr>
        <w:t>providers</w:t>
      </w:r>
      <w:r w:rsidR="008152DC" w:rsidRPr="00CE2185">
        <w:rPr>
          <w:noProof/>
        </w:rPr>
        <w:t xml:space="preserve"> whose cybersecurity is </w:t>
      </w:r>
      <w:r w:rsidR="000D6C39" w:rsidRPr="00CE2185">
        <w:rPr>
          <w:noProof/>
        </w:rPr>
        <w:t>necessary</w:t>
      </w:r>
      <w:r w:rsidR="008152DC" w:rsidRPr="00CE2185">
        <w:rPr>
          <w:noProof/>
        </w:rPr>
        <w:t xml:space="preserve"> for</w:t>
      </w:r>
      <w:r w:rsidR="000D6C39" w:rsidRPr="00CE2185">
        <w:rPr>
          <w:noProof/>
        </w:rPr>
        <w:t xml:space="preserve"> critical</w:t>
      </w:r>
      <w:r w:rsidR="008152DC" w:rsidRPr="00CE2185">
        <w:rPr>
          <w:noProof/>
        </w:rPr>
        <w:t xml:space="preserve"> </w:t>
      </w:r>
      <w:r w:rsidR="000D6C39" w:rsidRPr="00CE2185">
        <w:rPr>
          <w:noProof/>
        </w:rPr>
        <w:t>services, such as providers of European Digital Identity Wallets</w:t>
      </w:r>
      <w:r w:rsidR="0090140D" w:rsidRPr="00CE2185">
        <w:rPr>
          <w:noProof/>
        </w:rPr>
        <w:t xml:space="preserve"> and operators of submarine cable infrastructure</w:t>
      </w:r>
      <w:r w:rsidR="000D6C39" w:rsidRPr="00CE2185">
        <w:rPr>
          <w:noProof/>
        </w:rPr>
        <w:t xml:space="preserve">, </w:t>
      </w:r>
      <w:r w:rsidR="00A26DC8" w:rsidRPr="00CE2185">
        <w:rPr>
          <w:noProof/>
        </w:rPr>
        <w:t xml:space="preserve">are not specifically </w:t>
      </w:r>
      <w:r w:rsidR="00D622DA" w:rsidRPr="00CE2185">
        <w:rPr>
          <w:noProof/>
        </w:rPr>
        <w:t xml:space="preserve">outlined as a </w:t>
      </w:r>
      <w:r w:rsidR="00590E7B" w:rsidRPr="00CE2185">
        <w:rPr>
          <w:noProof/>
        </w:rPr>
        <w:t xml:space="preserve">type of entity to be covered, which </w:t>
      </w:r>
      <w:r w:rsidR="003D0FEB" w:rsidRPr="00CE2185">
        <w:rPr>
          <w:noProof/>
        </w:rPr>
        <w:t xml:space="preserve">requires national authorities to </w:t>
      </w:r>
      <w:r w:rsidR="00266D62" w:rsidRPr="00CE2185">
        <w:rPr>
          <w:noProof/>
        </w:rPr>
        <w:t xml:space="preserve">use </w:t>
      </w:r>
      <w:r w:rsidR="00AF1160" w:rsidRPr="00CE2185">
        <w:rPr>
          <w:noProof/>
        </w:rPr>
        <w:t>alternative legal options</w:t>
      </w:r>
      <w:r w:rsidR="00AF1160" w:rsidRPr="00CE2185">
        <w:rPr>
          <w:rStyle w:val="FootnoteReference"/>
          <w:noProof/>
        </w:rPr>
        <w:footnoteReference w:id="104"/>
      </w:r>
      <w:r w:rsidR="00AF1160" w:rsidRPr="00CE2185">
        <w:rPr>
          <w:noProof/>
        </w:rPr>
        <w:t xml:space="preserve"> to ensure that NIS2 obligations apply to those entities.</w:t>
      </w:r>
    </w:p>
    <w:p w14:paraId="32922287" w14:textId="7EEEB28C" w:rsidR="00751ED9" w:rsidRPr="00CE2185" w:rsidRDefault="00BE61F8" w:rsidP="00751ED9">
      <w:pPr>
        <w:spacing w:after="120"/>
        <w:rPr>
          <w:noProof/>
        </w:rPr>
      </w:pPr>
      <w:r w:rsidRPr="00CE2185">
        <w:rPr>
          <w:i/>
          <w:iCs/>
          <w:noProof/>
          <w:u w:val="single"/>
        </w:rPr>
        <w:t>Second</w:t>
      </w:r>
      <w:r w:rsidR="00751ED9" w:rsidRPr="00CE2185">
        <w:rPr>
          <w:noProof/>
        </w:rPr>
        <w:t xml:space="preserve">, </w:t>
      </w:r>
      <w:r w:rsidR="000A721E" w:rsidRPr="00CE2185">
        <w:rPr>
          <w:noProof/>
        </w:rPr>
        <w:t xml:space="preserve">the </w:t>
      </w:r>
      <w:r w:rsidR="00C56C43" w:rsidRPr="00CE2185">
        <w:rPr>
          <w:b/>
          <w:bCs/>
          <w:noProof/>
        </w:rPr>
        <w:t>EU level</w:t>
      </w:r>
      <w:r w:rsidR="00751ED9" w:rsidRPr="00CE2185">
        <w:rPr>
          <w:noProof/>
        </w:rPr>
        <w:t xml:space="preserve"> </w:t>
      </w:r>
      <w:r w:rsidR="00751ED9" w:rsidRPr="00CE2185">
        <w:rPr>
          <w:b/>
          <w:bCs/>
          <w:noProof/>
        </w:rPr>
        <w:t>overview of entities under NIS2 scope and incident</w:t>
      </w:r>
      <w:r w:rsidR="00C56C43" w:rsidRPr="00CE2185">
        <w:rPr>
          <w:b/>
          <w:bCs/>
          <w:noProof/>
        </w:rPr>
        <w:t>s to be reported</w:t>
      </w:r>
      <w:r w:rsidR="00751ED9" w:rsidRPr="00CE2185">
        <w:rPr>
          <w:noProof/>
        </w:rPr>
        <w:t xml:space="preserve">, </w:t>
      </w:r>
      <w:r w:rsidR="00C56C43" w:rsidRPr="00CE2185">
        <w:rPr>
          <w:noProof/>
        </w:rPr>
        <w:t>is</w:t>
      </w:r>
      <w:r w:rsidR="000A721E" w:rsidRPr="00CE2185">
        <w:rPr>
          <w:noProof/>
        </w:rPr>
        <w:t xml:space="preserve"> insufficient</w:t>
      </w:r>
      <w:r w:rsidR="00673F6A" w:rsidRPr="00CE2185">
        <w:rPr>
          <w:noProof/>
        </w:rPr>
        <w:t xml:space="preserve">, affecting the </w:t>
      </w:r>
      <w:r w:rsidR="00F753F9" w:rsidRPr="00CE2185">
        <w:rPr>
          <w:noProof/>
        </w:rPr>
        <w:t>overall</w:t>
      </w:r>
      <w:r w:rsidR="00673F6A" w:rsidRPr="00CE2185">
        <w:rPr>
          <w:noProof/>
        </w:rPr>
        <w:t xml:space="preserve"> EU situational awareness and the potential for an effective </w:t>
      </w:r>
      <w:r w:rsidR="00E91F65" w:rsidRPr="00CE2185">
        <w:rPr>
          <w:noProof/>
        </w:rPr>
        <w:t xml:space="preserve">cybersecurity </w:t>
      </w:r>
      <w:r w:rsidR="00673F6A" w:rsidRPr="00CE2185">
        <w:rPr>
          <w:noProof/>
        </w:rPr>
        <w:t>compliance across internal market</w:t>
      </w:r>
      <w:r w:rsidR="004C6424" w:rsidRPr="00CE2185">
        <w:rPr>
          <w:noProof/>
        </w:rPr>
        <w:t xml:space="preserve">. Furthermore, </w:t>
      </w:r>
      <w:r w:rsidR="00751ED9" w:rsidRPr="00CE2185">
        <w:rPr>
          <w:noProof/>
        </w:rPr>
        <w:t xml:space="preserve">divergent requirements related to notifying specific types of cybersecurity incidents, in particular </w:t>
      </w:r>
      <w:r w:rsidR="00751ED9" w:rsidRPr="00CE2185">
        <w:rPr>
          <w:b/>
          <w:bCs/>
          <w:noProof/>
        </w:rPr>
        <w:t>ransomware incidents</w:t>
      </w:r>
      <w:r w:rsidR="00751ED9" w:rsidRPr="00CE2185">
        <w:rPr>
          <w:rStyle w:val="FootnoteReference"/>
          <w:noProof/>
        </w:rPr>
        <w:footnoteReference w:id="105"/>
      </w:r>
      <w:r w:rsidR="00751ED9" w:rsidRPr="00CE2185">
        <w:rPr>
          <w:noProof/>
        </w:rPr>
        <w:t xml:space="preserve">, cause authorities to have a disjointed overview of the landscape of incidents, whereas the entities notifying incidents may face diverging requirements </w:t>
      </w:r>
      <w:r w:rsidR="00BB1286" w:rsidRPr="00CE2185">
        <w:rPr>
          <w:noProof/>
        </w:rPr>
        <w:t xml:space="preserve">among </w:t>
      </w:r>
      <w:r w:rsidR="00751ED9" w:rsidRPr="00CE2185">
        <w:rPr>
          <w:noProof/>
        </w:rPr>
        <w:t xml:space="preserve">Member States. </w:t>
      </w:r>
    </w:p>
    <w:p w14:paraId="6114256C" w14:textId="1E0F7829" w:rsidR="00DA6708" w:rsidRPr="00CE2185" w:rsidRDefault="005C478A" w:rsidP="00795DF0">
      <w:pPr>
        <w:spacing w:after="120"/>
        <w:rPr>
          <w:noProof/>
        </w:rPr>
      </w:pPr>
      <w:r w:rsidRPr="00CE2185">
        <w:rPr>
          <w:i/>
          <w:iCs/>
          <w:noProof/>
          <w:u w:val="single"/>
        </w:rPr>
        <w:t>Finally</w:t>
      </w:r>
      <w:r w:rsidR="00077DDB" w:rsidRPr="00CE2185">
        <w:rPr>
          <w:i/>
          <w:iCs/>
          <w:noProof/>
        </w:rPr>
        <w:t>,</w:t>
      </w:r>
      <w:r w:rsidR="00077DDB" w:rsidRPr="00CE2185">
        <w:rPr>
          <w:noProof/>
        </w:rPr>
        <w:t xml:space="preserve"> </w:t>
      </w:r>
      <w:r w:rsidR="009E030F" w:rsidRPr="00CE2185">
        <w:rPr>
          <w:b/>
          <w:bCs/>
          <w:noProof/>
        </w:rPr>
        <w:t xml:space="preserve">empowerments </w:t>
      </w:r>
      <w:r w:rsidR="00073373" w:rsidRPr="00CE2185">
        <w:rPr>
          <w:b/>
          <w:bCs/>
          <w:noProof/>
        </w:rPr>
        <w:t xml:space="preserve">or </w:t>
      </w:r>
      <w:r w:rsidR="009E030F" w:rsidRPr="00CE2185">
        <w:rPr>
          <w:b/>
          <w:bCs/>
          <w:noProof/>
        </w:rPr>
        <w:t xml:space="preserve">supporting guidance for NIS2 implementation </w:t>
      </w:r>
      <w:r w:rsidR="00627051" w:rsidRPr="00CE2185">
        <w:rPr>
          <w:b/>
          <w:bCs/>
          <w:noProof/>
        </w:rPr>
        <w:t>were not used to their full potential</w:t>
      </w:r>
      <w:r w:rsidR="00627051" w:rsidRPr="00CE2185">
        <w:rPr>
          <w:noProof/>
        </w:rPr>
        <w:t xml:space="preserve"> to </w:t>
      </w:r>
      <w:r w:rsidR="001D1F65" w:rsidRPr="00CE2185">
        <w:rPr>
          <w:noProof/>
        </w:rPr>
        <w:t>level more the playing field in the implementation approaches across Member States</w:t>
      </w:r>
      <w:r w:rsidR="00967C38" w:rsidRPr="00CE2185">
        <w:rPr>
          <w:noProof/>
        </w:rPr>
        <w:t xml:space="preserve">. For example, </w:t>
      </w:r>
      <w:r w:rsidR="00077DDB" w:rsidRPr="00CE2185">
        <w:rPr>
          <w:noProof/>
        </w:rPr>
        <w:t>s</w:t>
      </w:r>
      <w:r w:rsidR="00F57D9D" w:rsidRPr="00CE2185">
        <w:rPr>
          <w:noProof/>
        </w:rPr>
        <w:t xml:space="preserve">uppliers to entities in scope of the </w:t>
      </w:r>
      <w:r w:rsidR="00E47D43" w:rsidRPr="00CE2185">
        <w:rPr>
          <w:noProof/>
        </w:rPr>
        <w:t>NIS 2</w:t>
      </w:r>
      <w:r w:rsidR="00F57D9D" w:rsidRPr="00CE2185">
        <w:rPr>
          <w:noProof/>
        </w:rPr>
        <w:t xml:space="preserve"> Directive are confronted with diverse implementation and interpretation of the supply chain security requirements set out by the </w:t>
      </w:r>
      <w:r w:rsidR="00E47D43" w:rsidRPr="00CE2185">
        <w:rPr>
          <w:noProof/>
        </w:rPr>
        <w:t>NIS 2</w:t>
      </w:r>
      <w:r w:rsidR="00F57D9D" w:rsidRPr="00CE2185">
        <w:rPr>
          <w:noProof/>
        </w:rPr>
        <w:t xml:space="preserve"> Directive. </w:t>
      </w:r>
      <w:r w:rsidR="00F80730" w:rsidRPr="00CE2185">
        <w:rPr>
          <w:noProof/>
        </w:rPr>
        <w:t xml:space="preserve">The absence of </w:t>
      </w:r>
      <w:r w:rsidR="464F00F0" w:rsidRPr="00CE2185">
        <w:rPr>
          <w:noProof/>
        </w:rPr>
        <w:t>streamlined</w:t>
      </w:r>
      <w:r w:rsidR="00F80730" w:rsidRPr="00CE2185">
        <w:rPr>
          <w:noProof/>
        </w:rPr>
        <w:t xml:space="preserve"> approaches, inconsistent and overlapping security assessment practices like questionnaires</w:t>
      </w:r>
      <w:r w:rsidR="001B5080" w:rsidRPr="00CE2185">
        <w:rPr>
          <w:noProof/>
        </w:rPr>
        <w:t xml:space="preserve">, </w:t>
      </w:r>
      <w:r w:rsidR="00F80730" w:rsidRPr="00CE2185">
        <w:rPr>
          <w:noProof/>
        </w:rPr>
        <w:t xml:space="preserve">create </w:t>
      </w:r>
      <w:r w:rsidR="00243A90" w:rsidRPr="00CE2185">
        <w:rPr>
          <w:noProof/>
        </w:rPr>
        <w:t>additional</w:t>
      </w:r>
      <w:r w:rsidR="00F80730" w:rsidRPr="00CE2185">
        <w:rPr>
          <w:noProof/>
        </w:rPr>
        <w:t xml:space="preserve"> administrative burden</w:t>
      </w:r>
      <w:r w:rsidR="000A03A1" w:rsidRPr="00CE2185">
        <w:rPr>
          <w:noProof/>
        </w:rPr>
        <w:t xml:space="preserve">. </w:t>
      </w:r>
      <w:r w:rsidR="00DA6708" w:rsidRPr="00CE2185">
        <w:rPr>
          <w:noProof/>
        </w:rPr>
        <w:t xml:space="preserve"> </w:t>
      </w:r>
    </w:p>
    <w:p w14:paraId="67529A87" w14:textId="35029BB9" w:rsidR="00344B26" w:rsidRPr="00CE2185" w:rsidRDefault="00A567F0" w:rsidP="00344B26">
      <w:pPr>
        <w:pStyle w:val="Heading3"/>
        <w:rPr>
          <w:noProof/>
        </w:rPr>
      </w:pPr>
      <w:bookmarkStart w:id="59" w:name="_Toc210393813"/>
      <w:bookmarkStart w:id="60" w:name="_Toc210419520"/>
      <w:bookmarkStart w:id="61" w:name="_Toc210991732"/>
      <w:bookmarkStart w:id="62" w:name="_Toc219447352"/>
      <w:r w:rsidRPr="00CE2185">
        <w:rPr>
          <w:noProof/>
        </w:rPr>
        <w:t xml:space="preserve">Driver </w:t>
      </w:r>
      <w:r w:rsidR="009E500B" w:rsidRPr="00CE2185">
        <w:rPr>
          <w:noProof/>
        </w:rPr>
        <w:t>9</w:t>
      </w:r>
      <w:bookmarkEnd w:id="59"/>
      <w:bookmarkEnd w:id="60"/>
      <w:bookmarkEnd w:id="61"/>
      <w:r w:rsidRPr="00CE2185">
        <w:rPr>
          <w:noProof/>
        </w:rPr>
        <w:t xml:space="preserve"> </w:t>
      </w:r>
      <w:r w:rsidR="00D10E17">
        <w:rPr>
          <w:noProof/>
        </w:rPr>
        <w:t xml:space="preserve">- </w:t>
      </w:r>
      <w:r w:rsidR="00D10E17" w:rsidRPr="00D10E17">
        <w:rPr>
          <w:noProof/>
        </w:rPr>
        <w:t>Inadequate measures to address ICT supply chain cybersecurity risks</w:t>
      </w:r>
      <w:bookmarkEnd w:id="62"/>
    </w:p>
    <w:p w14:paraId="000A2B31" w14:textId="77777777" w:rsidR="00D10E17" w:rsidRPr="00CE2185" w:rsidRDefault="00D10E17" w:rsidP="00D10E17">
      <w:pPr>
        <w:spacing w:after="120"/>
        <w:rPr>
          <w:noProof/>
          <w:lang w:val="en-IE"/>
        </w:rPr>
      </w:pPr>
      <w:r w:rsidRPr="00CE2185">
        <w:rPr>
          <w:noProof/>
          <w:lang w:val="en-IE"/>
        </w:rPr>
        <w:t xml:space="preserve">Taking into account the growing threat to the cybersecurity of ICT supply chains, the EU has already put in place certain measures in recent years. Regarding technical risks, the CRA contributes to the supply chain security objectives by introducing cybersecurity requirements for hardware and software accessing the internal market. The ECCF, while </w:t>
      </w:r>
      <w:r w:rsidRPr="00CE2185">
        <w:rPr>
          <w:noProof/>
        </w:rPr>
        <w:t xml:space="preserve">addressing technical risks, it does not cover non-technical risks </w:t>
      </w:r>
      <w:r w:rsidRPr="00CE2185">
        <w:rPr>
          <w:i/>
          <w:noProof/>
        </w:rPr>
        <w:t>(see Driver 4)</w:t>
      </w:r>
      <w:r w:rsidRPr="00CE2185">
        <w:rPr>
          <w:noProof/>
        </w:rPr>
        <w:t>.</w:t>
      </w:r>
      <w:r w:rsidRPr="00CE2185">
        <w:rPr>
          <w:noProof/>
          <w:lang w:val="en-IE"/>
        </w:rPr>
        <w:t>The NIS2 Directive mandates Member States to ensure that essential and important entities take appropriate and proportionate technical, operational and organisational measures to manage the risks to the security of network and information systems, including risks related to supply chain security and provides for a framework for Union coordinated security risk assessments of specific critical ICT services, ICT systems or ICT products supply chains. It should be conducted at the EU level, taking into account technical and, where relevant, non-technical risk factors.</w:t>
      </w:r>
      <w:r w:rsidRPr="00CE2185">
        <w:rPr>
          <w:noProof/>
        </w:rPr>
        <w:t xml:space="preserve"> These risk assessments conducted jointly by Member States, Commission and ENISA analyse specific critical supply chains, where critical dependencies and urgent risks may materialise in relation to specific assets, and high-risk suppliers. However, due to the nature of the NIS2 Directive and the fact that there is no obligation for entities to comply with supply chain security measures based on non-technical risks, their implementation varies at national level leading to fragmentation. This poses challenges to the internal market, as identification and restrictions of high-risk suppliers may vary among Member States. </w:t>
      </w:r>
    </w:p>
    <w:p w14:paraId="2127B5F8" w14:textId="77777777" w:rsidR="00D10E17" w:rsidRPr="00CE2185" w:rsidRDefault="00D10E17" w:rsidP="00D10E17">
      <w:pPr>
        <w:spacing w:after="120"/>
        <w:rPr>
          <w:noProof/>
          <w:lang w:val="en-IE"/>
        </w:rPr>
      </w:pPr>
      <w:r w:rsidRPr="00CE2185">
        <w:rPr>
          <w:noProof/>
          <w:lang w:val="en-IE"/>
        </w:rPr>
        <w:t>For instance, in the area of 5G networks, five years after the adoption of the 5G Toolbox, there are still significant shortcomings and gaps</w:t>
      </w:r>
      <w:r w:rsidRPr="00CE2185">
        <w:rPr>
          <w:rStyle w:val="FootnoteReference"/>
          <w:noProof/>
          <w:lang w:val="en-IE"/>
        </w:rPr>
        <w:footnoteReference w:id="106"/>
      </w:r>
      <w:r w:rsidRPr="00CE2185">
        <w:rPr>
          <w:noProof/>
          <w:lang w:val="en-IE"/>
        </w:rPr>
        <w:t>. Only</w:t>
      </w:r>
      <w:r w:rsidRPr="00CE2185" w:rsidDel="003E2DAE">
        <w:rPr>
          <w:noProof/>
          <w:lang w:val="en-IE"/>
        </w:rPr>
        <w:t xml:space="preserve"> </w:t>
      </w:r>
      <w:r w:rsidRPr="00CE2185">
        <w:rPr>
          <w:noProof/>
          <w:lang w:val="en-IE"/>
        </w:rPr>
        <w:t>thirteen Member States have implemented restrictions on high-risk suppliers. In addition, the scope of potential restrictions on high-risk suppliers is fragmented across Member States.</w:t>
      </w:r>
      <w:r w:rsidRPr="00CE2185">
        <w:rPr>
          <w:rStyle w:val="FootnoteReference"/>
          <w:noProof/>
          <w:lang w:val="en-IE"/>
        </w:rPr>
        <w:footnoteReference w:id="107"/>
      </w:r>
      <w:r w:rsidRPr="00CE2185">
        <w:rPr>
          <w:noProof/>
          <w:lang w:val="en-IE"/>
        </w:rPr>
        <w:t xml:space="preserve"> Differences exist also as regards, assets covered by those restrictions, with some Member States not following the recommendations of the 5G Toolbox. What is more,</w:t>
      </w:r>
      <w:r w:rsidRPr="00CE2185" w:rsidDel="00AC5BDD">
        <w:rPr>
          <w:noProof/>
          <w:lang w:val="en-IE"/>
        </w:rPr>
        <w:t xml:space="preserve"> </w:t>
      </w:r>
      <w:r w:rsidRPr="00CE2185">
        <w:rPr>
          <w:noProof/>
          <w:lang w:val="en-IE"/>
        </w:rPr>
        <w:t>it is likely that a majority of Member States’ authorities have no clear picture of which suppliers are present in the deployed networks. These divergencies were emphasised in the European Court of Auditors’ audit on the 5G roll-out in the EU</w:t>
      </w:r>
      <w:r w:rsidRPr="00CE2185">
        <w:rPr>
          <w:rStyle w:val="FootnoteReference"/>
          <w:noProof/>
          <w:lang w:val="en-IE"/>
        </w:rPr>
        <w:footnoteReference w:id="108"/>
      </w:r>
      <w:r w:rsidRPr="00CE2185">
        <w:rPr>
          <w:noProof/>
          <w:lang w:val="en-IE"/>
        </w:rPr>
        <w:t xml:space="preserve"> stating that </w:t>
      </w:r>
      <w:r w:rsidRPr="00CE2185">
        <w:rPr>
          <w:i/>
          <w:iCs/>
          <w:noProof/>
          <w:lang w:val="en-IE"/>
        </w:rPr>
        <w:t>“the absence of a concerted approach across the EU, may impact the effective functioning of the single market”</w:t>
      </w:r>
      <w:r w:rsidRPr="00CE2185">
        <w:rPr>
          <w:rStyle w:val="FootnoteReference"/>
          <w:noProof/>
          <w:lang w:val="en-IE"/>
        </w:rPr>
        <w:footnoteReference w:id="109"/>
      </w:r>
      <w:r w:rsidRPr="00CE2185">
        <w:rPr>
          <w:noProof/>
          <w:lang w:val="en-IE"/>
        </w:rPr>
        <w:t xml:space="preserve">. </w:t>
      </w:r>
    </w:p>
    <w:p w14:paraId="0B7CA34B" w14:textId="77777777" w:rsidR="00D10E17" w:rsidRPr="00CE2185" w:rsidRDefault="00D10E17" w:rsidP="00D10E17">
      <w:pPr>
        <w:spacing w:after="120"/>
        <w:rPr>
          <w:noProof/>
        </w:rPr>
      </w:pPr>
      <w:r w:rsidRPr="00CE2185">
        <w:rPr>
          <w:noProof/>
          <w:lang w:val="en-IE"/>
        </w:rPr>
        <w:t>Beyond 5G, in the absence of comprehensive and effective measures at EU level, some Member States have also put in place national frameworks and measures to address non-technical risks related to ICT supply chain security risks (the Czech Republic</w:t>
      </w:r>
      <w:r w:rsidRPr="00CE2185">
        <w:rPr>
          <w:rStyle w:val="FootnoteReference"/>
          <w:noProof/>
          <w:lang w:val="en-IE"/>
        </w:rPr>
        <w:footnoteReference w:id="110"/>
      </w:r>
      <w:r w:rsidRPr="00CE2185">
        <w:rPr>
          <w:noProof/>
          <w:lang w:val="en-IE"/>
        </w:rPr>
        <w:t>, Belgium</w:t>
      </w:r>
      <w:r w:rsidRPr="00CE2185">
        <w:rPr>
          <w:rStyle w:val="FootnoteReference"/>
          <w:noProof/>
          <w:lang w:val="en-IE"/>
        </w:rPr>
        <w:footnoteReference w:id="111"/>
      </w:r>
      <w:r w:rsidRPr="00CE2185">
        <w:rPr>
          <w:noProof/>
          <w:lang w:val="en-IE"/>
        </w:rPr>
        <w:t xml:space="preserve"> and Lithuania). </w:t>
      </w:r>
      <w:r w:rsidRPr="00CE2185">
        <w:rPr>
          <w:noProof/>
        </w:rPr>
        <w:t xml:space="preserve">However, the effectiveness of such measures may be limited where they are applicable only in one Member State. </w:t>
      </w:r>
    </w:p>
    <w:p w14:paraId="47913E33" w14:textId="77777777" w:rsidR="00D10E17" w:rsidRPr="00CE2185" w:rsidRDefault="00D10E17" w:rsidP="00D10E17">
      <w:pPr>
        <w:spacing w:after="120"/>
        <w:rPr>
          <w:noProof/>
          <w:lang w:val="en-IE"/>
        </w:rPr>
      </w:pPr>
      <w:r w:rsidRPr="00CE2185">
        <w:rPr>
          <w:noProof/>
          <w:lang w:val="en-IE"/>
        </w:rPr>
        <w:t>Further, the Commission took action to reduce supply chain cybersecurity risks in the context of deploying energy from renewable sources</w:t>
      </w:r>
      <w:r w:rsidRPr="00CE2185">
        <w:rPr>
          <w:rStyle w:val="FootnoteReference"/>
          <w:noProof/>
          <w:lang w:val="en-IE"/>
        </w:rPr>
        <w:footnoteReference w:id="112"/>
      </w:r>
      <w:r w:rsidRPr="00CE2185">
        <w:rPr>
          <w:noProof/>
          <w:lang w:val="en-IE"/>
        </w:rPr>
        <w:t xml:space="preserve"> and hydrogen</w:t>
      </w:r>
      <w:r w:rsidRPr="00CE2185">
        <w:rPr>
          <w:rStyle w:val="FootnoteReference"/>
          <w:noProof/>
          <w:lang w:val="en-IE"/>
        </w:rPr>
        <w:footnoteReference w:id="113"/>
      </w:r>
      <w:r w:rsidRPr="00CE2185">
        <w:rPr>
          <w:noProof/>
          <w:lang w:val="en-IE"/>
        </w:rPr>
        <w:t xml:space="preserve">. These recent initiatives also aimed to address non-technical cybersecurity risk factors. However, their scope remains limited to specific auctions and the measures set out in these initiatives are not apt to address in a comprehensive manner the whole spectrum of non-technical risk. </w:t>
      </w:r>
    </w:p>
    <w:p w14:paraId="3FB71FBF" w14:textId="6925FA91" w:rsidR="00010004" w:rsidRPr="00CE2185" w:rsidRDefault="00D10E17" w:rsidP="1FAC61A4">
      <w:pPr>
        <w:spacing w:after="120"/>
        <w:rPr>
          <w:noProof/>
        </w:rPr>
      </w:pPr>
      <w:r w:rsidRPr="1FAC61A4">
        <w:rPr>
          <w:noProof/>
        </w:rPr>
        <w:t>Although a number of measures have been taken at EU level and in Member States the Union lacks a comprehensive framework for addressing ICT supply chain risks.</w:t>
      </w:r>
      <w:r w:rsidR="00010004" w:rsidRPr="1FAC61A4">
        <w:rPr>
          <w:noProof/>
        </w:rPr>
        <w:t xml:space="preserve">  </w:t>
      </w:r>
    </w:p>
    <w:p w14:paraId="1A1FDE26" w14:textId="10DF8B23" w:rsidR="006B087E" w:rsidRPr="00CE2185" w:rsidRDefault="006B087E" w:rsidP="000E3086">
      <w:pPr>
        <w:pStyle w:val="Heading2"/>
        <w:rPr>
          <w:noProof/>
        </w:rPr>
      </w:pPr>
      <w:bookmarkStart w:id="65" w:name="_Toc210393814"/>
      <w:bookmarkStart w:id="66" w:name="_Toc219447353"/>
      <w:r w:rsidRPr="00CE2185">
        <w:rPr>
          <w:noProof/>
        </w:rPr>
        <w:t xml:space="preserve">How </w:t>
      </w:r>
      <w:r w:rsidR="00CC3AAC" w:rsidRPr="00CE2185">
        <w:rPr>
          <w:noProof/>
        </w:rPr>
        <w:t>likely is the problem to persist?</w:t>
      </w:r>
      <w:bookmarkEnd w:id="65"/>
      <w:bookmarkEnd w:id="66"/>
    </w:p>
    <w:p w14:paraId="19F08571" w14:textId="77777777" w:rsidR="00AA55F8" w:rsidRPr="00CE2185" w:rsidRDefault="00AA55F8" w:rsidP="00795DF0">
      <w:pPr>
        <w:spacing w:after="120"/>
        <w:rPr>
          <w:noProof/>
        </w:rPr>
      </w:pPr>
      <w:r w:rsidRPr="00CE2185">
        <w:rPr>
          <w:noProof/>
        </w:rPr>
        <w:t xml:space="preserve">All the aforementioned problems can only be expected to become increasingly acute. </w:t>
      </w:r>
    </w:p>
    <w:p w14:paraId="12246414" w14:textId="26EEB5DA" w:rsidR="00F57D9D" w:rsidRPr="00CE2185" w:rsidRDefault="00F57D9D" w:rsidP="00795DF0">
      <w:pPr>
        <w:spacing w:after="120"/>
        <w:rPr>
          <w:noProof/>
        </w:rPr>
      </w:pPr>
      <w:r w:rsidRPr="00CE2185">
        <w:rPr>
          <w:noProof/>
        </w:rPr>
        <w:t>The 2024 ENISA Threat Landscape Report</w:t>
      </w:r>
      <w:r w:rsidRPr="00CE2185">
        <w:rPr>
          <w:rStyle w:val="FootnoteReference"/>
          <w:noProof/>
        </w:rPr>
        <w:footnoteReference w:id="114"/>
      </w:r>
      <w:r w:rsidRPr="00CE2185">
        <w:rPr>
          <w:noProof/>
        </w:rPr>
        <w:t xml:space="preserve"> together with the 2025 EU-SOCTA Report</w:t>
      </w:r>
      <w:r w:rsidRPr="00CE2185">
        <w:rPr>
          <w:rStyle w:val="FootnoteReference"/>
          <w:noProof/>
        </w:rPr>
        <w:footnoteReference w:id="115"/>
      </w:r>
      <w:r w:rsidRPr="00CE2185">
        <w:rPr>
          <w:noProof/>
        </w:rPr>
        <w:t xml:space="preserve"> warn of increasingly complex, AI enhanced and state sponsored threats targeting critical infrastructure across Member States. ENISA’s Foresight on Cybersecurity Threats for 2030</w:t>
      </w:r>
      <w:r w:rsidRPr="00CE2185">
        <w:rPr>
          <w:rStyle w:val="FootnoteReference"/>
          <w:noProof/>
        </w:rPr>
        <w:footnoteReference w:id="116"/>
      </w:r>
      <w:r w:rsidRPr="00CE2185">
        <w:rPr>
          <w:noProof/>
        </w:rPr>
        <w:t xml:space="preserve"> highlights that the skills shortage in the cybersecurity field and the vulnerabilities in legacy systems are </w:t>
      </w:r>
      <w:r w:rsidR="00F64BE4" w:rsidRPr="00CE2185">
        <w:rPr>
          <w:noProof/>
        </w:rPr>
        <w:t>amongst the top threats</w:t>
      </w:r>
      <w:r w:rsidRPr="00CE2185">
        <w:rPr>
          <w:noProof/>
        </w:rPr>
        <w:t xml:space="preserve">, especially for SMEs and the public administration. </w:t>
      </w:r>
      <w:r w:rsidR="00DF0334" w:rsidRPr="00CE2185">
        <w:rPr>
          <w:noProof/>
        </w:rPr>
        <w:t>It</w:t>
      </w:r>
      <w:r w:rsidRPr="00CE2185">
        <w:rPr>
          <w:noProof/>
        </w:rPr>
        <w:t xml:space="preserve"> highlights </w:t>
      </w:r>
      <w:r w:rsidR="00DF0334" w:rsidRPr="00CE2185">
        <w:rPr>
          <w:noProof/>
        </w:rPr>
        <w:t>that</w:t>
      </w:r>
      <w:r w:rsidRPr="00CE2185">
        <w:rPr>
          <w:noProof/>
        </w:rPr>
        <w:t xml:space="preserve"> emerging technologies and the rise of targeted attacks will result in higher and new classes of risks.</w:t>
      </w:r>
    </w:p>
    <w:p w14:paraId="3DB6CC68" w14:textId="272DB25A" w:rsidR="00C934B6" w:rsidRPr="00CE2185" w:rsidRDefault="00C934B6" w:rsidP="00795DF0">
      <w:pPr>
        <w:spacing w:after="120"/>
        <w:rPr>
          <w:noProof/>
          <w:lang w:val="en-IE"/>
        </w:rPr>
      </w:pPr>
      <w:r w:rsidRPr="00CE2185">
        <w:rPr>
          <w:noProof/>
          <w:lang w:val="en-IE"/>
        </w:rPr>
        <w:t>Furthermore, as highlighted in the Ev</w:t>
      </w:r>
      <w:r w:rsidR="00C27C50" w:rsidRPr="00CE2185">
        <w:rPr>
          <w:noProof/>
          <w:lang w:val="en-IE"/>
        </w:rPr>
        <w:t>a</w:t>
      </w:r>
      <w:r w:rsidRPr="00CE2185">
        <w:rPr>
          <w:noProof/>
          <w:lang w:val="en-IE"/>
        </w:rPr>
        <w:t>luation report</w:t>
      </w:r>
      <w:r w:rsidR="00066E30" w:rsidRPr="00CE2185">
        <w:rPr>
          <w:rStyle w:val="FootnoteReference"/>
          <w:noProof/>
          <w:lang w:val="en-IE"/>
        </w:rPr>
        <w:footnoteReference w:id="117"/>
      </w:r>
      <w:r w:rsidRPr="00CE2185">
        <w:rPr>
          <w:noProof/>
          <w:lang w:val="en-IE"/>
        </w:rPr>
        <w:t xml:space="preserve"> rapid technological change, overlapping funding initiatives</w:t>
      </w:r>
      <w:r w:rsidR="00136199" w:rsidRPr="00CE2185">
        <w:rPr>
          <w:noProof/>
          <w:lang w:val="en-IE"/>
        </w:rPr>
        <w:t xml:space="preserve"> </w:t>
      </w:r>
      <w:r w:rsidRPr="00CE2185">
        <w:rPr>
          <w:noProof/>
          <w:lang w:val="en-IE"/>
        </w:rPr>
        <w:t>and geopolitical instability are threats that could strain ENISA’s resources and reshape policy priorities, requiring increased funding and access to resources.</w:t>
      </w:r>
    </w:p>
    <w:p w14:paraId="009DB426" w14:textId="77777777" w:rsidR="009B2126" w:rsidRPr="00CE2185" w:rsidRDefault="00391B90" w:rsidP="32C4CAA3">
      <w:pPr>
        <w:spacing w:after="120"/>
        <w:rPr>
          <w:noProof/>
        </w:rPr>
      </w:pPr>
      <w:r w:rsidRPr="00CE2185">
        <w:rPr>
          <w:noProof/>
        </w:rPr>
        <w:t xml:space="preserve">The stakeholder feedback collected during the 2024 Evaluation report indicates that 46% of private bodies and 46% of national authorities perceive </w:t>
      </w:r>
      <w:r w:rsidRPr="00CE2185">
        <w:rPr>
          <w:i/>
          <w:iCs/>
          <w:noProof/>
        </w:rPr>
        <w:t>“somewhat”</w:t>
      </w:r>
      <w:r w:rsidRPr="00CE2185">
        <w:rPr>
          <w:noProof/>
        </w:rPr>
        <w:t xml:space="preserve">, </w:t>
      </w:r>
      <w:r w:rsidRPr="00CE2185">
        <w:rPr>
          <w:i/>
          <w:iCs/>
          <w:noProof/>
        </w:rPr>
        <w:t>“to a small extent”</w:t>
      </w:r>
      <w:r w:rsidRPr="00CE2185">
        <w:rPr>
          <w:noProof/>
        </w:rPr>
        <w:t xml:space="preserve"> or </w:t>
      </w:r>
      <w:r w:rsidRPr="00CE2185">
        <w:rPr>
          <w:i/>
          <w:iCs/>
          <w:noProof/>
        </w:rPr>
        <w:t>“not at all”</w:t>
      </w:r>
      <w:r w:rsidRPr="00CE2185">
        <w:rPr>
          <w:noProof/>
        </w:rPr>
        <w:t xml:space="preserve"> that ENISA provides</w:t>
      </w:r>
      <w:r w:rsidR="00FC676E" w:rsidRPr="00CE2185">
        <w:rPr>
          <w:noProof/>
        </w:rPr>
        <w:t xml:space="preserve"> </w:t>
      </w:r>
      <w:r w:rsidRPr="00CE2185">
        <w:rPr>
          <w:noProof/>
        </w:rPr>
        <w:t>added value</w:t>
      </w:r>
      <w:r w:rsidR="003204CD" w:rsidRPr="00CE2185">
        <w:rPr>
          <w:noProof/>
        </w:rPr>
        <w:t xml:space="preserve"> to the activities of their organisation.</w:t>
      </w:r>
      <w:r w:rsidRPr="00CE2185">
        <w:rPr>
          <w:noProof/>
        </w:rPr>
        <w:t xml:space="preserve"> </w:t>
      </w:r>
      <w:r w:rsidR="00F57D9D" w:rsidRPr="00CE2185">
        <w:rPr>
          <w:noProof/>
        </w:rPr>
        <w:t xml:space="preserve">As more responsibilities are added to ENISA under various legislative </w:t>
      </w:r>
      <w:r w:rsidR="00E76407" w:rsidRPr="00CE2185">
        <w:rPr>
          <w:noProof/>
        </w:rPr>
        <w:t>acts</w:t>
      </w:r>
      <w:r w:rsidR="00C41008" w:rsidRPr="00CE2185">
        <w:rPr>
          <w:noProof/>
        </w:rPr>
        <w:t>,</w:t>
      </w:r>
      <w:r w:rsidR="00E76407" w:rsidRPr="00CE2185">
        <w:rPr>
          <w:noProof/>
        </w:rPr>
        <w:t xml:space="preserve"> </w:t>
      </w:r>
      <w:r w:rsidR="00F57D9D" w:rsidRPr="00CE2185">
        <w:rPr>
          <w:noProof/>
        </w:rPr>
        <w:t xml:space="preserve">its ability to prioritise and act </w:t>
      </w:r>
      <w:r w:rsidR="00213869" w:rsidRPr="00CE2185">
        <w:rPr>
          <w:noProof/>
        </w:rPr>
        <w:t xml:space="preserve">in a focused </w:t>
      </w:r>
      <w:r w:rsidR="00F57D9D" w:rsidRPr="00CE2185">
        <w:rPr>
          <w:noProof/>
        </w:rPr>
        <w:t>effectiv</w:t>
      </w:r>
      <w:r w:rsidR="00213869" w:rsidRPr="00CE2185">
        <w:rPr>
          <w:noProof/>
        </w:rPr>
        <w:t>e manner</w:t>
      </w:r>
      <w:r w:rsidR="00F57D9D" w:rsidRPr="00CE2185">
        <w:rPr>
          <w:noProof/>
        </w:rPr>
        <w:t xml:space="preserve"> is likely to continue to diminish without institutional adjustment.  </w:t>
      </w:r>
    </w:p>
    <w:p w14:paraId="3B5C6C7C" w14:textId="21F6A93D" w:rsidR="00985549" w:rsidRPr="00CE2185" w:rsidRDefault="009B2126" w:rsidP="00795DF0">
      <w:pPr>
        <w:spacing w:after="120"/>
        <w:rPr>
          <w:noProof/>
        </w:rPr>
      </w:pPr>
      <w:r w:rsidRPr="00CE2185">
        <w:rPr>
          <w:noProof/>
        </w:rPr>
        <w:t>Furthermore</w:t>
      </w:r>
      <w:r w:rsidR="00F57D9D" w:rsidRPr="00CE2185">
        <w:rPr>
          <w:noProof/>
        </w:rPr>
        <w:t xml:space="preserve">, without further simplifying and facilitating compliance with cybersecurity risk-management requirements, entities may disproportionately dedicate resources to </w:t>
      </w:r>
      <w:r w:rsidR="008A23F2" w:rsidRPr="00CE2185">
        <w:rPr>
          <w:noProof/>
        </w:rPr>
        <w:t>compliance documentation</w:t>
      </w:r>
      <w:r w:rsidR="0013255D" w:rsidRPr="00CE2185">
        <w:rPr>
          <w:noProof/>
        </w:rPr>
        <w:t>s</w:t>
      </w:r>
      <w:r w:rsidR="006829E2" w:rsidRPr="00CE2185">
        <w:rPr>
          <w:noProof/>
        </w:rPr>
        <w:t>. This</w:t>
      </w:r>
      <w:r w:rsidR="000D34B7" w:rsidRPr="00CE2185">
        <w:rPr>
          <w:noProof/>
        </w:rPr>
        <w:t xml:space="preserve"> </w:t>
      </w:r>
      <w:r w:rsidR="00CB4843" w:rsidRPr="00CE2185">
        <w:rPr>
          <w:noProof/>
        </w:rPr>
        <w:t xml:space="preserve">may </w:t>
      </w:r>
      <w:r w:rsidR="000D34B7" w:rsidRPr="00CE2185">
        <w:rPr>
          <w:noProof/>
        </w:rPr>
        <w:t>compromise their</w:t>
      </w:r>
      <w:r w:rsidR="7280E6F7" w:rsidRPr="00CE2185">
        <w:rPr>
          <w:noProof/>
        </w:rPr>
        <w:t xml:space="preserve"> </w:t>
      </w:r>
      <w:r w:rsidR="004B48D5" w:rsidRPr="00CE2185">
        <w:rPr>
          <w:noProof/>
        </w:rPr>
        <w:t>ability to invest and focus on substantive actions needed for preparedness and response</w:t>
      </w:r>
      <w:r w:rsidR="00F57D9D" w:rsidRPr="00CE2185">
        <w:rPr>
          <w:noProof/>
        </w:rPr>
        <w:t xml:space="preserve">. Given that multiple Member States are still transposing some of the relevant legislation (in particular the </w:t>
      </w:r>
      <w:r w:rsidR="00E47D43" w:rsidRPr="00CE2185">
        <w:rPr>
          <w:noProof/>
        </w:rPr>
        <w:t>NIS 2</w:t>
      </w:r>
      <w:r w:rsidR="00F57D9D" w:rsidRPr="00CE2185">
        <w:rPr>
          <w:noProof/>
        </w:rPr>
        <w:t xml:space="preserve"> Directive), without dedicated action, the issue of complexity in cybersecurity compliance and legal unclarity is likely to persist. </w:t>
      </w:r>
    </w:p>
    <w:p w14:paraId="20192B43" w14:textId="51EB87A3" w:rsidR="00A730AA" w:rsidRPr="00CE2185" w:rsidRDefault="00F57D9D" w:rsidP="00795DF0">
      <w:pPr>
        <w:spacing w:after="120"/>
        <w:rPr>
          <w:noProof/>
        </w:rPr>
      </w:pPr>
      <w:r w:rsidRPr="00CE2185">
        <w:rPr>
          <w:noProof/>
        </w:rPr>
        <w:t xml:space="preserve">Meanwhile, </w:t>
      </w:r>
      <w:r w:rsidR="00F64BE4" w:rsidRPr="00CE2185">
        <w:rPr>
          <w:noProof/>
        </w:rPr>
        <w:t>w</w:t>
      </w:r>
      <w:r w:rsidRPr="00CE2185">
        <w:rPr>
          <w:noProof/>
        </w:rPr>
        <w:t xml:space="preserve">ithout a </w:t>
      </w:r>
      <w:r w:rsidR="007C069D" w:rsidRPr="00CE2185">
        <w:rPr>
          <w:noProof/>
        </w:rPr>
        <w:t xml:space="preserve">clarified scope, streamlined procedures, </w:t>
      </w:r>
      <w:r w:rsidRPr="00CE2185">
        <w:rPr>
          <w:noProof/>
        </w:rPr>
        <w:t xml:space="preserve">lifecycle management mechanism and clear governance, new </w:t>
      </w:r>
      <w:r w:rsidR="00F64BE4" w:rsidRPr="00CE2185">
        <w:rPr>
          <w:noProof/>
        </w:rPr>
        <w:t xml:space="preserve">certification </w:t>
      </w:r>
      <w:r w:rsidRPr="00CE2185">
        <w:rPr>
          <w:noProof/>
        </w:rPr>
        <w:t xml:space="preserve">schemes are unlikely to emerge in a timely or coherent manner. </w:t>
      </w:r>
      <w:r w:rsidR="3334A0DE" w:rsidRPr="00CE2185">
        <w:rPr>
          <w:noProof/>
        </w:rPr>
        <w:t>However</w:t>
      </w:r>
      <w:r w:rsidR="00CE5C05" w:rsidRPr="00CE2185">
        <w:rPr>
          <w:noProof/>
        </w:rPr>
        <w:t>,</w:t>
      </w:r>
      <w:r w:rsidRPr="00CE2185">
        <w:rPr>
          <w:noProof/>
        </w:rPr>
        <w:t xml:space="preserve"> </w:t>
      </w:r>
      <w:r w:rsidR="007C069D" w:rsidRPr="00CE2185">
        <w:rPr>
          <w:noProof/>
        </w:rPr>
        <w:t>there is a demand for schemes across the internal market. T</w:t>
      </w:r>
      <w:r w:rsidR="007A7153" w:rsidRPr="00CE2185">
        <w:rPr>
          <w:noProof/>
        </w:rPr>
        <w:t xml:space="preserve">he </w:t>
      </w:r>
      <w:r w:rsidRPr="00CE2185">
        <w:rPr>
          <w:noProof/>
        </w:rPr>
        <w:t xml:space="preserve">2024 Evaluation </w:t>
      </w:r>
      <w:r w:rsidR="007A7153" w:rsidRPr="00CE2185">
        <w:rPr>
          <w:noProof/>
        </w:rPr>
        <w:t>r</w:t>
      </w:r>
      <w:r w:rsidRPr="00CE2185">
        <w:rPr>
          <w:noProof/>
        </w:rPr>
        <w:t>eport notes that national certification schemes are increasing, despite the ECCF, which could lead to further fragmentation. Member States and the industry, especially those organisations operating across borders, confirmed the value of replacing national certification schemes with EU ones</w:t>
      </w:r>
      <w:r w:rsidR="00CC70EC" w:rsidRPr="00CE2185">
        <w:rPr>
          <w:noProof/>
        </w:rPr>
        <w:t xml:space="preserve"> to ease</w:t>
      </w:r>
      <w:r w:rsidRPr="00CE2185">
        <w:rPr>
          <w:noProof/>
        </w:rPr>
        <w:t xml:space="preserve"> administrative burden. </w:t>
      </w:r>
      <w:r w:rsidR="00EE0325" w:rsidRPr="00CE2185">
        <w:rPr>
          <w:noProof/>
        </w:rPr>
        <w:t>I</w:t>
      </w:r>
      <w:r w:rsidR="00F71F0F" w:rsidRPr="00CE2185">
        <w:rPr>
          <w:noProof/>
        </w:rPr>
        <w:t>t</w:t>
      </w:r>
      <w:r w:rsidR="00A730AA" w:rsidRPr="00CE2185">
        <w:rPr>
          <w:noProof/>
        </w:rPr>
        <w:t xml:space="preserve"> is expected that European cybersecurity certification schemes will remain highly relevant and complementary to the </w:t>
      </w:r>
      <w:r w:rsidR="00407DFF" w:rsidRPr="00CE2185">
        <w:rPr>
          <w:noProof/>
        </w:rPr>
        <w:t>existing regulatory framework</w:t>
      </w:r>
      <w:r w:rsidR="00A730AA" w:rsidRPr="00CE2185">
        <w:rPr>
          <w:noProof/>
        </w:rPr>
        <w:t xml:space="preserve">. </w:t>
      </w:r>
    </w:p>
    <w:p w14:paraId="117667C6" w14:textId="77777777" w:rsidR="00D10E17" w:rsidRPr="00CE2185" w:rsidRDefault="00D10E17" w:rsidP="00D10E17">
      <w:pPr>
        <w:spacing w:after="120"/>
        <w:rPr>
          <w:noProof/>
        </w:rPr>
      </w:pPr>
      <w:r w:rsidRPr="00CE2185">
        <w:rPr>
          <w:noProof/>
        </w:rPr>
        <w:t xml:space="preserve">ENISA’s Foresight on Cybersecurity Threats for 2030 further lists supply chain compromises as the number one threat. ENISA indicates that if not effectively addressed, this problem will persist and most probably will be aggravated, as it is foreseen that by 2030, there will be more integration of components and services combined into new products. The responses in the public consultation show that there is a strong perception of increasing cybersecurity risks in ICT supply chains, in a wide range of critical and highly critical sectors </w:t>
      </w:r>
      <w:r w:rsidRPr="00CE2185">
        <w:rPr>
          <w:i/>
          <w:iCs/>
          <w:noProof/>
        </w:rPr>
        <w:t>(see Annex 2)</w:t>
      </w:r>
      <w:r w:rsidRPr="00CE2185">
        <w:rPr>
          <w:noProof/>
        </w:rPr>
        <w:t xml:space="preserve">. </w:t>
      </w:r>
    </w:p>
    <w:p w14:paraId="539A1492" w14:textId="320A0CA8" w:rsidR="006B087E" w:rsidRPr="00CE2185" w:rsidRDefault="00F57D9D" w:rsidP="00795DF0">
      <w:pPr>
        <w:spacing w:after="120"/>
        <w:rPr>
          <w:noProof/>
        </w:rPr>
      </w:pPr>
      <w:r w:rsidRPr="00CE2185">
        <w:rPr>
          <w:noProof/>
        </w:rPr>
        <w:t xml:space="preserve">In conclusion, the available evidence indicates that the identified problems are well established in the current cybersecurity landscape and are not likely to be resolved through incremental change or Member States’ initiatives alone. </w:t>
      </w:r>
    </w:p>
    <w:p w14:paraId="59140ACA" w14:textId="77777777" w:rsidR="006B087E" w:rsidRPr="00CE2185" w:rsidRDefault="006B087E" w:rsidP="000E3086">
      <w:pPr>
        <w:pStyle w:val="Heading1"/>
        <w:rPr>
          <w:noProof/>
        </w:rPr>
      </w:pPr>
      <w:bookmarkStart w:id="67" w:name="_Toc210393815"/>
      <w:bookmarkStart w:id="68" w:name="_Toc219447354"/>
      <w:r w:rsidRPr="00CE2185">
        <w:rPr>
          <w:noProof/>
        </w:rPr>
        <w:t>Why should the EU act?</w:t>
      </w:r>
      <w:bookmarkEnd w:id="67"/>
      <w:bookmarkEnd w:id="68"/>
    </w:p>
    <w:p w14:paraId="70EEDAD8" w14:textId="77777777" w:rsidR="006B087E" w:rsidRPr="00CE2185" w:rsidRDefault="006B087E" w:rsidP="000E3086">
      <w:pPr>
        <w:pStyle w:val="Heading2"/>
        <w:rPr>
          <w:noProof/>
        </w:rPr>
      </w:pPr>
      <w:bookmarkStart w:id="69" w:name="_Toc210393816"/>
      <w:bookmarkStart w:id="70" w:name="_Toc219447355"/>
      <w:r w:rsidRPr="00CE2185">
        <w:rPr>
          <w:noProof/>
        </w:rPr>
        <w:t>Legal basis</w:t>
      </w:r>
      <w:bookmarkEnd w:id="69"/>
      <w:bookmarkEnd w:id="70"/>
    </w:p>
    <w:p w14:paraId="3743BB3D" w14:textId="4B29E3D2" w:rsidR="00F57D9D" w:rsidRDefault="00F57D9D" w:rsidP="00795DF0">
      <w:pPr>
        <w:spacing w:after="120"/>
        <w:rPr>
          <w:noProof/>
        </w:rPr>
      </w:pPr>
      <w:r w:rsidRPr="00CE2185">
        <w:rPr>
          <w:noProof/>
        </w:rPr>
        <w:t xml:space="preserve">The legal basis for a revision of the </w:t>
      </w:r>
      <w:r w:rsidR="00817D7A" w:rsidRPr="00CE2185">
        <w:rPr>
          <w:noProof/>
        </w:rPr>
        <w:t>CSA</w:t>
      </w:r>
      <w:r w:rsidRPr="00CE2185">
        <w:rPr>
          <w:noProof/>
        </w:rPr>
        <w:t xml:space="preserve"> is Article 114 of the Treaty on the Functioning of the European Union (TFEU), which empowers the European Union to adopt measures aimed at establishing and ensuring the functioning of the internal market. Regulation (EU) 2019/881, commonly known as the CSA, was originally adopted under this provision.</w:t>
      </w:r>
      <w:r w:rsidR="00E52417" w:rsidRPr="00CE2185">
        <w:rPr>
          <w:noProof/>
        </w:rPr>
        <w:t xml:space="preserve"> </w:t>
      </w:r>
      <w:r w:rsidRPr="00CE2185">
        <w:rPr>
          <w:noProof/>
        </w:rPr>
        <w:t xml:space="preserve">The CSA established a permanent mandate for ENISA, and laid down the structure of the ECCF, intended to facilitate trust in ICT products and services across the EU. </w:t>
      </w:r>
    </w:p>
    <w:p w14:paraId="00D2AB82" w14:textId="77777777" w:rsidR="00D10E17" w:rsidRPr="00CE2185" w:rsidRDefault="00D10E17" w:rsidP="00D10E17">
      <w:pPr>
        <w:spacing w:after="120"/>
        <w:rPr>
          <w:noProof/>
        </w:rPr>
      </w:pPr>
      <w:r>
        <w:rPr>
          <w:noProof/>
        </w:rPr>
        <w:t>The changes introduced in this proposal are based on the framework already established in the CSA and follow its regulatory logic. They are intended to strengthen ENISA’s role in contributing to reducing the fragmentation of the internal market and further harmonise the approach at Union level to the cybersecurity certification.</w:t>
      </w:r>
    </w:p>
    <w:p w14:paraId="2D0A568C" w14:textId="77777777" w:rsidR="00D10E17" w:rsidRPr="00CE2185" w:rsidRDefault="00D10E17" w:rsidP="00D10E17">
      <w:pPr>
        <w:spacing w:after="120"/>
        <w:rPr>
          <w:noProof/>
        </w:rPr>
      </w:pPr>
      <w:r w:rsidRPr="00CE2185">
        <w:rPr>
          <w:noProof/>
        </w:rPr>
        <w:t>In the area of the cybersecurity of ICT supply chain security, the fragmentation of national frameworks addressing non-technical risk factors brings negative effects to the functioning of the internal market in terms of data flows but also resilience and trustworthiness.</w:t>
      </w:r>
    </w:p>
    <w:p w14:paraId="164E8D27" w14:textId="099AF802" w:rsidR="006B087E" w:rsidRDefault="00F57D9D" w:rsidP="00795DF0">
      <w:pPr>
        <w:spacing w:after="120"/>
        <w:rPr>
          <w:noProof/>
        </w:rPr>
      </w:pPr>
      <w:r w:rsidRPr="00CE2185">
        <w:rPr>
          <w:noProof/>
        </w:rPr>
        <w:t>Amending the CSA under Article 114 TFEU is justified given the evolving nature of cybersecurity challenges</w:t>
      </w:r>
      <w:r w:rsidR="00670DF6" w:rsidRPr="00CE2185">
        <w:rPr>
          <w:noProof/>
        </w:rPr>
        <w:t>, limited impact of the current act</w:t>
      </w:r>
      <w:r w:rsidRPr="00CE2185">
        <w:rPr>
          <w:noProof/>
        </w:rPr>
        <w:t xml:space="preserve"> and the increasing interdependence of Member States’ digital systems. Adjustments to the legal framework must reflect the most recent developments in the cybersecurity legislative landscape, especially in light of ENISA’s growing responsibilities and the expanding scope of certifications and risk management.</w:t>
      </w:r>
    </w:p>
    <w:p w14:paraId="5F77AEE1" w14:textId="0398DFC7" w:rsidR="002C39CC" w:rsidRPr="002C39CC" w:rsidRDefault="002C39CC" w:rsidP="00795DF0">
      <w:pPr>
        <w:spacing w:after="120"/>
        <w:rPr>
          <w:noProof/>
        </w:rPr>
      </w:pPr>
      <w:r w:rsidRPr="002C39CC">
        <w:rPr>
          <w:noProof/>
        </w:rPr>
        <w:t>The legal basis for the proposal for a Directive amending the NIS 2 Directive as regards simplification measures and alignment with the proposal for the CSA2 is Article 114 of the TFEU. This proposal amends the NIS 2 Directive which was adopted under Article 114 TFEU. </w:t>
      </w:r>
    </w:p>
    <w:p w14:paraId="5E89CE3C" w14:textId="77777777" w:rsidR="006B087E" w:rsidRPr="00CE2185" w:rsidRDefault="006B087E" w:rsidP="000E3086">
      <w:pPr>
        <w:pStyle w:val="Heading2"/>
        <w:rPr>
          <w:noProof/>
        </w:rPr>
      </w:pPr>
      <w:bookmarkStart w:id="71" w:name="_Toc210393817"/>
      <w:bookmarkStart w:id="72" w:name="_Toc219447356"/>
      <w:r w:rsidRPr="00CE2185">
        <w:rPr>
          <w:noProof/>
        </w:rPr>
        <w:t>Subsidiarity: Necessity of EU action</w:t>
      </w:r>
      <w:bookmarkEnd w:id="71"/>
      <w:bookmarkEnd w:id="72"/>
    </w:p>
    <w:p w14:paraId="1614EA00" w14:textId="3AB696F4" w:rsidR="009463B3" w:rsidRPr="00CE2185" w:rsidRDefault="009463B3" w:rsidP="009463B3">
      <w:pPr>
        <w:spacing w:after="120"/>
        <w:rPr>
          <w:noProof/>
        </w:rPr>
      </w:pPr>
      <w:r w:rsidRPr="00CE2185">
        <w:rPr>
          <w:noProof/>
        </w:rPr>
        <w:t>ENISA’s mandate has expanded through subsequent legislation, without a comprehensive revision of its core responsibilities and resourcing. This has created overlaps, inefficiencies, and insufficient prioritisation of core support tasks for Member States.</w:t>
      </w:r>
    </w:p>
    <w:p w14:paraId="3514F7AB" w14:textId="7B7B5317" w:rsidR="00F57D9D" w:rsidRPr="00CE2185" w:rsidRDefault="00F57D9D" w:rsidP="00795DF0">
      <w:pPr>
        <w:spacing w:after="120"/>
        <w:rPr>
          <w:noProof/>
        </w:rPr>
      </w:pPr>
      <w:r w:rsidRPr="00CE2185">
        <w:rPr>
          <w:noProof/>
        </w:rPr>
        <w:t>Several Member States have implemented their own national cybersecurity certification schemes, which significantly differ in scope and conformity assessment procedures. This creates market fragmentation and duplicative burdens for operators</w:t>
      </w:r>
      <w:r w:rsidR="009F6AD4" w:rsidRPr="00CE2185">
        <w:rPr>
          <w:noProof/>
        </w:rPr>
        <w:t xml:space="preserve"> and</w:t>
      </w:r>
      <w:r w:rsidRPr="00CE2185">
        <w:rPr>
          <w:noProof/>
        </w:rPr>
        <w:t xml:space="preserve"> SMEs, seeking to be certified once and operate across the EU. The ECCF was</w:t>
      </w:r>
      <w:r w:rsidRPr="00CE2185" w:rsidDel="00BE2839">
        <w:rPr>
          <w:noProof/>
        </w:rPr>
        <w:t xml:space="preserve"> </w:t>
      </w:r>
      <w:r w:rsidR="00BE2839" w:rsidRPr="00CE2185">
        <w:rPr>
          <w:noProof/>
        </w:rPr>
        <w:t>established in</w:t>
      </w:r>
      <w:r w:rsidRPr="00CE2185">
        <w:rPr>
          <w:noProof/>
        </w:rPr>
        <w:t xml:space="preserve"> the CSA to address market fragmentation, but implementation has been slow and inconsistent. </w:t>
      </w:r>
    </w:p>
    <w:p w14:paraId="006E3ACF" w14:textId="28A823CA" w:rsidR="00F57D9D" w:rsidRPr="00CE2185" w:rsidRDefault="00F57D9D" w:rsidP="00795DF0">
      <w:pPr>
        <w:spacing w:after="120"/>
        <w:rPr>
          <w:noProof/>
        </w:rPr>
      </w:pPr>
      <w:r w:rsidRPr="00CE2185">
        <w:rPr>
          <w:noProof/>
        </w:rPr>
        <w:t>Similarly, several horizontal and sectoral legal acts set out cybersecurity measures with different purposes and objectives, leading also to differences in compliance check and superv</w:t>
      </w:r>
      <w:r w:rsidR="00037C0B" w:rsidRPr="00CE2185">
        <w:rPr>
          <w:noProof/>
        </w:rPr>
        <w:t>isory</w:t>
      </w:r>
      <w:r w:rsidRPr="00CE2185">
        <w:rPr>
          <w:noProof/>
        </w:rPr>
        <w:t xml:space="preserve"> approaches set by Member States. As a consequence, entities, especially SMEs or businesses operating across several Member States face additional compliance burden</w:t>
      </w:r>
      <w:r w:rsidR="00C8708C" w:rsidRPr="00CE2185">
        <w:rPr>
          <w:noProof/>
        </w:rPr>
        <w:t>, negatively impacting their competitiveness</w:t>
      </w:r>
      <w:r w:rsidRPr="00CE2185">
        <w:rPr>
          <w:noProof/>
        </w:rPr>
        <w:t>.</w:t>
      </w:r>
    </w:p>
    <w:p w14:paraId="2C276464" w14:textId="77777777" w:rsidR="00D10E17" w:rsidRPr="00CE2185" w:rsidRDefault="00D10E17" w:rsidP="00D10E17">
      <w:pPr>
        <w:spacing w:after="120"/>
        <w:rPr>
          <w:noProof/>
        </w:rPr>
      </w:pPr>
      <w:r w:rsidRPr="00CE2185">
        <w:rPr>
          <w:noProof/>
        </w:rPr>
        <w:t>Concerning ICT supply chain security, dependencies on high-risk suppliers affect entities across the Union, while significant supply chain cybersecurity incidents often spread across national borders. Addressing the issue at national level alone is not likely to be efficient.</w:t>
      </w:r>
    </w:p>
    <w:p w14:paraId="7E430B98" w14:textId="77777777" w:rsidR="00D10E17" w:rsidRPr="00CE2185" w:rsidRDefault="00D10E17" w:rsidP="00D10E17">
      <w:pPr>
        <w:spacing w:after="120"/>
        <w:rPr>
          <w:noProof/>
        </w:rPr>
      </w:pPr>
      <w:r w:rsidRPr="00CE2185">
        <w:rPr>
          <w:noProof/>
        </w:rPr>
        <w:t>As is explained under Driver 9, diverse approaches to ICT supply chain security and different measures taken by the Member States lead to market fragmentation, and different compliance requirements for entities. In particular, given the cross-border nature of ICT supply chains, fragmentation of compliance requirements within the internal market would undermine legal certainty for entities. Differing national frameworks for the restriction of high-risk suppliers risks creating barriers for the movement of goods and services across borders within the internal market. Finally, as ICT supply chains may involve critical entities and infrastructure, regardless of where those suppliers are established, fragmentation and gaps in cybersecurity measures creates additional security risks to those entities.</w:t>
      </w:r>
    </w:p>
    <w:p w14:paraId="6D20BA0E" w14:textId="77777777" w:rsidR="00D10E17" w:rsidRPr="00CE2185" w:rsidRDefault="00D10E17" w:rsidP="00D10E17">
      <w:pPr>
        <w:spacing w:after="120"/>
        <w:rPr>
          <w:noProof/>
        </w:rPr>
      </w:pPr>
      <w:r w:rsidRPr="00CE2185">
        <w:rPr>
          <w:noProof/>
        </w:rPr>
        <w:t>Furthermore, the proposals for Multiannual Financial Framework (MFF) programmes include a horizontal provision which mandates the exclusion of high-risk suppliers identified under EU law, in order to protect the integrity of the EU budget and ensure that Union expenditure does not contradict essential Union security interest. The CSA supply chain framework would be the mechanism which allows for this identification in the area of ICT supply chains and can thus only be carried out at the EU level.</w:t>
      </w:r>
    </w:p>
    <w:p w14:paraId="67B9AF0F" w14:textId="195AB9E2" w:rsidR="006B087E" w:rsidRPr="00CE2185" w:rsidRDefault="00F57D9D" w:rsidP="00795DF0">
      <w:pPr>
        <w:spacing w:after="120"/>
        <w:rPr>
          <w:noProof/>
        </w:rPr>
      </w:pPr>
      <w:r w:rsidRPr="00CE2185">
        <w:rPr>
          <w:noProof/>
        </w:rPr>
        <w:t>EU intervention is crucial as cybersecurity threats and related challenges extend beyond individual Member States. Fragmented national solutions have proven insufficient to achieve market-wide trust and coordination. A revised EU legal framework is required to remove barriers, ensure consistent implementation, and support Member States in an increasingly complex regulatory and threat environment.</w:t>
      </w:r>
    </w:p>
    <w:p w14:paraId="597DB56E" w14:textId="77777777" w:rsidR="006B087E" w:rsidRPr="00CE2185" w:rsidRDefault="006B087E" w:rsidP="000E3086">
      <w:pPr>
        <w:pStyle w:val="Heading2"/>
        <w:rPr>
          <w:noProof/>
        </w:rPr>
      </w:pPr>
      <w:bookmarkStart w:id="73" w:name="_Toc210393818"/>
      <w:bookmarkStart w:id="74" w:name="_Toc219447357"/>
      <w:r w:rsidRPr="00CE2185">
        <w:rPr>
          <w:noProof/>
        </w:rPr>
        <w:t>Subsidiarity: Added value of EU action</w:t>
      </w:r>
      <w:bookmarkEnd w:id="73"/>
      <w:bookmarkEnd w:id="74"/>
    </w:p>
    <w:p w14:paraId="16AF0104" w14:textId="625562A3" w:rsidR="0017400B" w:rsidRPr="00CE2185" w:rsidRDefault="00F57D9D" w:rsidP="00795DF0">
      <w:pPr>
        <w:spacing w:after="120"/>
        <w:rPr>
          <w:noProof/>
        </w:rPr>
      </w:pPr>
      <w:r w:rsidRPr="00CE2185">
        <w:rPr>
          <w:noProof/>
        </w:rPr>
        <w:t xml:space="preserve">Action at the European level can deliver substantial added value by ensuring coherence, effectiveness, and operational efficiency across Member States. A revision of the CSA </w:t>
      </w:r>
      <w:r w:rsidR="00B81D2C" w:rsidRPr="00CE2185">
        <w:rPr>
          <w:noProof/>
        </w:rPr>
        <w:t>w</w:t>
      </w:r>
      <w:r w:rsidRPr="00CE2185">
        <w:rPr>
          <w:noProof/>
        </w:rPr>
        <w:t xml:space="preserve">ould enhance the ability to address cybersecurity threats </w:t>
      </w:r>
      <w:r w:rsidR="003A11C2" w:rsidRPr="00CE2185">
        <w:rPr>
          <w:noProof/>
        </w:rPr>
        <w:t>through harmonised cybersecurity certification schemes</w:t>
      </w:r>
      <w:r w:rsidR="0003159F" w:rsidRPr="00CE2185">
        <w:rPr>
          <w:noProof/>
        </w:rPr>
        <w:t xml:space="preserve"> by </w:t>
      </w:r>
      <w:r w:rsidR="008F6D79" w:rsidRPr="00CE2185">
        <w:rPr>
          <w:noProof/>
        </w:rPr>
        <w:t>making the framework more effective and efficient</w:t>
      </w:r>
      <w:r w:rsidRPr="00CE2185">
        <w:rPr>
          <w:noProof/>
        </w:rPr>
        <w:t>, simplifying compliance for entities, and clarifying role</w:t>
      </w:r>
      <w:r w:rsidR="005805DA" w:rsidRPr="00CE2185">
        <w:rPr>
          <w:noProof/>
        </w:rPr>
        <w:t xml:space="preserve"> of the relevant actors in the process</w:t>
      </w:r>
      <w:r w:rsidRPr="00CE2185">
        <w:rPr>
          <w:noProof/>
        </w:rPr>
        <w:t>.</w:t>
      </w:r>
      <w:r w:rsidR="0031693D" w:rsidRPr="00CE2185">
        <w:rPr>
          <w:noProof/>
        </w:rPr>
        <w:t xml:space="preserve"> </w:t>
      </w:r>
      <w:r w:rsidR="003B2002" w:rsidRPr="00CE2185">
        <w:rPr>
          <w:noProof/>
        </w:rPr>
        <w:t>A</w:t>
      </w:r>
      <w:r w:rsidR="0017400B" w:rsidRPr="00CE2185">
        <w:rPr>
          <w:noProof/>
        </w:rPr>
        <w:t xml:space="preserve">ddressing the fragmentation on the internal market would </w:t>
      </w:r>
      <w:r w:rsidR="003B2002" w:rsidRPr="00CE2185">
        <w:rPr>
          <w:noProof/>
        </w:rPr>
        <w:t xml:space="preserve">also </w:t>
      </w:r>
      <w:r w:rsidR="0017400B" w:rsidRPr="00CE2185">
        <w:rPr>
          <w:noProof/>
        </w:rPr>
        <w:t>contribute to reduction of administrative burden for businesses.</w:t>
      </w:r>
      <w:r w:rsidR="000D3CBE" w:rsidRPr="00CE2185">
        <w:rPr>
          <w:noProof/>
        </w:rPr>
        <w:t xml:space="preserve"> </w:t>
      </w:r>
      <w:r w:rsidR="00B852B2" w:rsidRPr="00CE2185">
        <w:rPr>
          <w:noProof/>
        </w:rPr>
        <w:t>Finally,</w:t>
      </w:r>
      <w:r w:rsidR="000D3CBE" w:rsidRPr="00CE2185">
        <w:rPr>
          <w:noProof/>
        </w:rPr>
        <w:t xml:space="preserve"> the newly introduce maintenance mechanism will </w:t>
      </w:r>
      <w:r w:rsidR="00CD20C9" w:rsidRPr="00CE2185">
        <w:rPr>
          <w:noProof/>
        </w:rPr>
        <w:t>ensure that schemes will remain future</w:t>
      </w:r>
      <w:r w:rsidR="00370D02" w:rsidRPr="00CE2185">
        <w:rPr>
          <w:noProof/>
        </w:rPr>
        <w:t>-</w:t>
      </w:r>
      <w:r w:rsidR="00CD20C9" w:rsidRPr="00CE2185">
        <w:rPr>
          <w:noProof/>
        </w:rPr>
        <w:t xml:space="preserve"> and cyber</w:t>
      </w:r>
      <w:r w:rsidR="00370D02" w:rsidRPr="00CE2185">
        <w:rPr>
          <w:noProof/>
        </w:rPr>
        <w:t>-</w:t>
      </w:r>
      <w:r w:rsidR="00CD20C9" w:rsidRPr="00CE2185">
        <w:rPr>
          <w:noProof/>
        </w:rPr>
        <w:t xml:space="preserve"> proof</w:t>
      </w:r>
      <w:r w:rsidR="00370D02" w:rsidRPr="00CE2185">
        <w:rPr>
          <w:noProof/>
        </w:rPr>
        <w:t>.</w:t>
      </w:r>
    </w:p>
    <w:p w14:paraId="552F5E23" w14:textId="6C69AC88" w:rsidR="00F57D9D" w:rsidRPr="00CE2185" w:rsidRDefault="00F57D9D" w:rsidP="00795DF0">
      <w:pPr>
        <w:spacing w:after="120"/>
        <w:rPr>
          <w:noProof/>
        </w:rPr>
      </w:pPr>
      <w:r w:rsidRPr="00CE2185">
        <w:rPr>
          <w:noProof/>
        </w:rPr>
        <w:t xml:space="preserve">A </w:t>
      </w:r>
      <w:r w:rsidR="00FD019E" w:rsidRPr="00CE2185">
        <w:rPr>
          <w:noProof/>
        </w:rPr>
        <w:t>revision</w:t>
      </w:r>
      <w:r w:rsidRPr="00CE2185">
        <w:rPr>
          <w:noProof/>
        </w:rPr>
        <w:t xml:space="preserve"> of the CSA </w:t>
      </w:r>
      <w:r w:rsidR="00FD019E" w:rsidRPr="00CE2185">
        <w:rPr>
          <w:noProof/>
        </w:rPr>
        <w:t xml:space="preserve">would </w:t>
      </w:r>
      <w:r w:rsidRPr="00CE2185">
        <w:rPr>
          <w:noProof/>
        </w:rPr>
        <w:t xml:space="preserve">further streamline compliance with various horizontal and sectoral cybersecurity-relevant legislation. This simplification </w:t>
      </w:r>
      <w:r w:rsidR="00FD019E" w:rsidRPr="00CE2185">
        <w:rPr>
          <w:noProof/>
        </w:rPr>
        <w:t>would</w:t>
      </w:r>
      <w:r w:rsidRPr="00CE2185" w:rsidDel="00D4525C">
        <w:rPr>
          <w:noProof/>
        </w:rPr>
        <w:t xml:space="preserve"> </w:t>
      </w:r>
      <w:r w:rsidR="00D4525C" w:rsidRPr="00CE2185">
        <w:rPr>
          <w:noProof/>
        </w:rPr>
        <w:t xml:space="preserve">aim to </w:t>
      </w:r>
      <w:r w:rsidRPr="00CE2185">
        <w:rPr>
          <w:noProof/>
        </w:rPr>
        <w:t>reduce compliance costs and legal uncertainty for affected entities, facilitating and improving the rate of compliance with cybersecurity requirements</w:t>
      </w:r>
      <w:r w:rsidR="000C656E" w:rsidRPr="00CE2185">
        <w:rPr>
          <w:noProof/>
        </w:rPr>
        <w:t>,</w:t>
      </w:r>
      <w:r w:rsidRPr="00CE2185">
        <w:rPr>
          <w:noProof/>
        </w:rPr>
        <w:t xml:space="preserve"> and help </w:t>
      </w:r>
      <w:r w:rsidR="000C656E" w:rsidRPr="00CE2185">
        <w:rPr>
          <w:noProof/>
        </w:rPr>
        <w:t xml:space="preserve">to </w:t>
      </w:r>
      <w:r w:rsidRPr="00CE2185">
        <w:rPr>
          <w:noProof/>
        </w:rPr>
        <w:t xml:space="preserve">level the playing field on approaches to supervision and compliance checks across Member States. </w:t>
      </w:r>
    </w:p>
    <w:p w14:paraId="5A2F7EB0" w14:textId="77777777" w:rsidR="00D10E17" w:rsidRPr="00CE2185" w:rsidRDefault="00D10E17" w:rsidP="00D10E17">
      <w:pPr>
        <w:spacing w:after="120"/>
        <w:rPr>
          <w:noProof/>
        </w:rPr>
      </w:pPr>
      <w:r w:rsidRPr="00CE2185">
        <w:rPr>
          <w:noProof/>
        </w:rPr>
        <w:t xml:space="preserve">In relation to ICT supply chain security, only intervention at the EU level will ensure the same level of security in the Union and necessary harmonisation of approaches. EU action would benefit from interplay with the future MFF programmes, as they were proposed, by enabling an EU-wide restrictions of high-risk suppliers identified under EU law as well as with synergy with economic security framework. On a sectorial level, the intervention will be in synergy with the upcoming CAIDA, which will complement the CSA, by introducing a framework that will ensure that the EU cloud industry remains competitive and can serve the needs stemming from highly critical use cases. Moreover, the intervention will also be leveraged by the upcoming DNA, aiming to improve access to secure, fast, and reliable connectivity for the transition towards cloud-based infrastructure and Artificial Intelligence. They will together address cybersecurity and competitiveness failures in the cloud market. </w:t>
      </w:r>
    </w:p>
    <w:p w14:paraId="153B5ABB" w14:textId="6A2DE7B3" w:rsidR="00F57D9D" w:rsidRPr="00CE2185" w:rsidRDefault="00F57D9D" w:rsidP="00795DF0">
      <w:pPr>
        <w:spacing w:after="120"/>
        <w:rPr>
          <w:noProof/>
        </w:rPr>
      </w:pPr>
      <w:r w:rsidRPr="00CE2185">
        <w:rPr>
          <w:noProof/>
        </w:rPr>
        <w:t>Reinforcing ENISA’s mandate would enable it to act as a single point of expertise for cybersecurity at Union level</w:t>
      </w:r>
      <w:r w:rsidR="001C128D" w:rsidRPr="00CE2185">
        <w:rPr>
          <w:noProof/>
        </w:rPr>
        <w:t xml:space="preserve">. This would </w:t>
      </w:r>
      <w:r w:rsidRPr="00CE2185">
        <w:rPr>
          <w:noProof/>
        </w:rPr>
        <w:t>strengthen its contributions to policy implementation</w:t>
      </w:r>
      <w:r w:rsidR="00C85671" w:rsidRPr="00CE2185">
        <w:rPr>
          <w:noProof/>
        </w:rPr>
        <w:t xml:space="preserve"> and</w:t>
      </w:r>
      <w:r w:rsidRPr="00CE2185">
        <w:rPr>
          <w:noProof/>
        </w:rPr>
        <w:t xml:space="preserve"> support to Member States</w:t>
      </w:r>
      <w:r w:rsidR="00366506" w:rsidRPr="00CE2185">
        <w:rPr>
          <w:noProof/>
        </w:rPr>
        <w:t>,</w:t>
      </w:r>
      <w:r w:rsidRPr="00CE2185">
        <w:rPr>
          <w:noProof/>
        </w:rPr>
        <w:t xml:space="preserve"> by providing an overview of the uptake and impact of cybersecurity measures</w:t>
      </w:r>
      <w:r w:rsidR="00366506" w:rsidRPr="00CE2185">
        <w:rPr>
          <w:noProof/>
        </w:rPr>
        <w:t>,</w:t>
      </w:r>
      <w:r w:rsidRPr="00CE2185">
        <w:rPr>
          <w:noProof/>
        </w:rPr>
        <w:t xml:space="preserve"> </w:t>
      </w:r>
      <w:r w:rsidR="005A018D" w:rsidRPr="00CE2185">
        <w:rPr>
          <w:noProof/>
        </w:rPr>
        <w:t xml:space="preserve">as well as </w:t>
      </w:r>
      <w:r w:rsidR="00BE4BFF" w:rsidRPr="00CE2185">
        <w:rPr>
          <w:noProof/>
        </w:rPr>
        <w:t xml:space="preserve">identifying </w:t>
      </w:r>
      <w:r w:rsidRPr="00CE2185">
        <w:rPr>
          <w:noProof/>
        </w:rPr>
        <w:t>existing challenges across the whole internal market</w:t>
      </w:r>
      <w:r w:rsidR="00BE4BFF" w:rsidRPr="00CE2185">
        <w:rPr>
          <w:noProof/>
        </w:rPr>
        <w:t xml:space="preserve">. </w:t>
      </w:r>
      <w:r w:rsidR="00EB4288" w:rsidRPr="00CE2185">
        <w:rPr>
          <w:noProof/>
        </w:rPr>
        <w:t>It would also enhance</w:t>
      </w:r>
      <w:r w:rsidRPr="00CE2185">
        <w:rPr>
          <w:noProof/>
        </w:rPr>
        <w:t xml:space="preserve"> capacity building, operational coordination, and </w:t>
      </w:r>
      <w:r w:rsidR="003C7A3F" w:rsidRPr="00CE2185">
        <w:rPr>
          <w:noProof/>
        </w:rPr>
        <w:t xml:space="preserve">the </w:t>
      </w:r>
      <w:r w:rsidRPr="00CE2185">
        <w:rPr>
          <w:noProof/>
        </w:rPr>
        <w:t xml:space="preserve">development and implementation of certification schemes. </w:t>
      </w:r>
    </w:p>
    <w:p w14:paraId="46A614C7" w14:textId="60C9B298" w:rsidR="006B087E" w:rsidRPr="00CE2185" w:rsidRDefault="00F57D9D" w:rsidP="00795DF0">
      <w:pPr>
        <w:spacing w:after="120"/>
        <w:rPr>
          <w:noProof/>
        </w:rPr>
      </w:pPr>
      <w:r w:rsidRPr="00CE2185">
        <w:rPr>
          <w:noProof/>
        </w:rPr>
        <w:t xml:space="preserve">In conclusion, action at the EU level </w:t>
      </w:r>
      <w:r w:rsidR="0003062B" w:rsidRPr="00CE2185">
        <w:rPr>
          <w:noProof/>
        </w:rPr>
        <w:t xml:space="preserve">would </w:t>
      </w:r>
      <w:r w:rsidRPr="00CE2185">
        <w:rPr>
          <w:noProof/>
        </w:rPr>
        <w:t>offer clear added value by supporting harmonisation, legal clarity and coordinated responses to cybersecurity challenges. A comprehensive analysis is needed to determine the most appropriate level and form of intervention, including whether EU action would lead to better outcomes than Member State solutions alone.</w:t>
      </w:r>
    </w:p>
    <w:p w14:paraId="4F97A1C8" w14:textId="6B2E7AE3" w:rsidR="006B087E" w:rsidRPr="00CE2185" w:rsidRDefault="006B087E" w:rsidP="00CD5902">
      <w:pPr>
        <w:pStyle w:val="Heading1"/>
        <w:ind w:left="482" w:hanging="482"/>
        <w:rPr>
          <w:noProof/>
        </w:rPr>
      </w:pPr>
      <w:bookmarkStart w:id="75" w:name="_Toc210393819"/>
      <w:bookmarkStart w:id="76" w:name="_Toc219447358"/>
      <w:r w:rsidRPr="00CE2185">
        <w:rPr>
          <w:noProof/>
        </w:rPr>
        <w:t>Objectives: What is to be achieved?</w:t>
      </w:r>
      <w:bookmarkEnd w:id="75"/>
      <w:bookmarkEnd w:id="76"/>
    </w:p>
    <w:p w14:paraId="07266048" w14:textId="77777777" w:rsidR="006B087E" w:rsidRPr="00CE2185" w:rsidRDefault="006B087E" w:rsidP="000E3086">
      <w:pPr>
        <w:pStyle w:val="Heading2"/>
        <w:rPr>
          <w:noProof/>
        </w:rPr>
      </w:pPr>
      <w:bookmarkStart w:id="77" w:name="_Toc210393820"/>
      <w:bookmarkStart w:id="78" w:name="_Toc219447359"/>
      <w:r w:rsidRPr="00CE2185">
        <w:rPr>
          <w:noProof/>
        </w:rPr>
        <w:t>General objectives</w:t>
      </w:r>
      <w:bookmarkEnd w:id="77"/>
      <w:bookmarkEnd w:id="78"/>
    </w:p>
    <w:p w14:paraId="4645081F" w14:textId="2BEF2E39" w:rsidR="00F57D9D" w:rsidRPr="00CE2185" w:rsidRDefault="00F57D9D" w:rsidP="00795DF0">
      <w:pPr>
        <w:pStyle w:val="paragraph"/>
        <w:spacing w:before="0" w:beforeAutospacing="0" w:after="120" w:afterAutospacing="0"/>
        <w:jc w:val="both"/>
        <w:textAlignment w:val="baseline"/>
        <w:rPr>
          <w:rFonts w:eastAsiaTheme="majorEastAsia"/>
          <w:b/>
          <w:noProof/>
        </w:rPr>
      </w:pPr>
      <w:r w:rsidRPr="00CE2185">
        <w:rPr>
          <w:rStyle w:val="normaltextrun"/>
          <w:rFonts w:eastAsiaTheme="majorEastAsia"/>
          <w:noProof/>
        </w:rPr>
        <w:t xml:space="preserve">Based on the main problems identified in section 2.1, and in line with the EU’s cybersecurity strategy, the main objectives of the intervention should be to </w:t>
      </w:r>
      <w:r w:rsidR="00D83D68">
        <w:rPr>
          <w:rFonts w:eastAsiaTheme="majorEastAsia"/>
          <w:b/>
          <w:noProof/>
        </w:rPr>
        <w:t>increase</w:t>
      </w:r>
      <w:r w:rsidR="00D83D68" w:rsidRPr="00CE2185">
        <w:rPr>
          <w:rFonts w:eastAsiaTheme="majorEastAsia"/>
          <w:b/>
          <w:noProof/>
        </w:rPr>
        <w:t xml:space="preserve"> </w:t>
      </w:r>
      <w:r w:rsidRPr="00CE2185">
        <w:rPr>
          <w:rFonts w:eastAsiaTheme="majorEastAsia"/>
          <w:b/>
          <w:noProof/>
        </w:rPr>
        <w:t xml:space="preserve">cybersecurity capabilities and resilience </w:t>
      </w:r>
      <w:r w:rsidRPr="00CE2185">
        <w:rPr>
          <w:rStyle w:val="normaltextrun"/>
          <w:rFonts w:eastAsiaTheme="majorEastAsia"/>
          <w:b/>
          <w:bCs/>
          <w:noProof/>
        </w:rPr>
        <w:t xml:space="preserve">and prevent fragmentation </w:t>
      </w:r>
      <w:r w:rsidRPr="00CE2185">
        <w:rPr>
          <w:rFonts w:eastAsiaTheme="majorEastAsia"/>
          <w:b/>
          <w:noProof/>
        </w:rPr>
        <w:t xml:space="preserve">across the </w:t>
      </w:r>
      <w:r w:rsidR="00D83D68">
        <w:rPr>
          <w:rFonts w:eastAsiaTheme="majorEastAsia"/>
          <w:b/>
          <w:noProof/>
        </w:rPr>
        <w:t>single</w:t>
      </w:r>
      <w:r w:rsidR="00D83D68" w:rsidRPr="00CE2185">
        <w:rPr>
          <w:rFonts w:eastAsiaTheme="majorEastAsia"/>
          <w:b/>
          <w:noProof/>
        </w:rPr>
        <w:t xml:space="preserve"> </w:t>
      </w:r>
      <w:r w:rsidRPr="00CE2185">
        <w:rPr>
          <w:rFonts w:eastAsiaTheme="majorEastAsia"/>
          <w:b/>
          <w:noProof/>
        </w:rPr>
        <w:t>market by:</w:t>
      </w:r>
    </w:p>
    <w:p w14:paraId="61556035" w14:textId="4A3E9659" w:rsidR="00F57D9D" w:rsidRPr="00CE2185" w:rsidRDefault="00D83D68" w:rsidP="00EE3DF9">
      <w:pPr>
        <w:pStyle w:val="paragraph"/>
        <w:numPr>
          <w:ilvl w:val="0"/>
          <w:numId w:val="4"/>
        </w:numPr>
        <w:spacing w:before="0" w:beforeAutospacing="0" w:after="120" w:afterAutospacing="0"/>
        <w:ind w:left="426"/>
        <w:jc w:val="both"/>
        <w:textAlignment w:val="baseline"/>
        <w:rPr>
          <w:rFonts w:eastAsiaTheme="majorEastAsia"/>
          <w:noProof/>
        </w:rPr>
      </w:pPr>
      <w:r>
        <w:rPr>
          <w:rFonts w:eastAsiaTheme="majorEastAsia"/>
          <w:noProof/>
        </w:rPr>
        <w:t>c</w:t>
      </w:r>
      <w:r w:rsidR="5B2B5FB2" w:rsidRPr="00CE2185">
        <w:rPr>
          <w:rFonts w:eastAsiaTheme="majorEastAsia"/>
          <w:noProof/>
        </w:rPr>
        <w:t>ontribut</w:t>
      </w:r>
      <w:r>
        <w:rPr>
          <w:rFonts w:eastAsiaTheme="majorEastAsia"/>
          <w:noProof/>
        </w:rPr>
        <w:t>ing</w:t>
      </w:r>
      <w:r w:rsidR="5B2B5FB2" w:rsidRPr="00CE2185">
        <w:rPr>
          <w:rFonts w:eastAsiaTheme="majorEastAsia"/>
          <w:noProof/>
        </w:rPr>
        <w:t xml:space="preserve"> to </w:t>
      </w:r>
      <w:r w:rsidR="74663729" w:rsidRPr="00CE2185">
        <w:rPr>
          <w:rFonts w:eastAsiaTheme="majorEastAsia"/>
          <w:noProof/>
        </w:rPr>
        <w:t>s</w:t>
      </w:r>
      <w:r w:rsidR="00F57D9D" w:rsidRPr="00CE2185">
        <w:rPr>
          <w:rFonts w:eastAsiaTheme="majorEastAsia"/>
          <w:noProof/>
        </w:rPr>
        <w:t xml:space="preserve">trengthening the </w:t>
      </w:r>
      <w:r>
        <w:rPr>
          <w:rFonts w:eastAsiaTheme="majorEastAsia"/>
          <w:noProof/>
        </w:rPr>
        <w:t>Union</w:t>
      </w:r>
      <w:r w:rsidR="00971B46">
        <w:rPr>
          <w:rFonts w:eastAsiaTheme="majorEastAsia"/>
          <w:noProof/>
        </w:rPr>
        <w:t>’</w:t>
      </w:r>
      <w:r w:rsidRPr="00CE2185">
        <w:rPr>
          <w:rFonts w:eastAsiaTheme="majorEastAsia"/>
          <w:noProof/>
        </w:rPr>
        <w:t xml:space="preserve">s </w:t>
      </w:r>
      <w:r w:rsidR="00F57D9D" w:rsidRPr="00CE2185">
        <w:rPr>
          <w:rFonts w:eastAsiaTheme="majorEastAsia"/>
          <w:noProof/>
        </w:rPr>
        <w:t xml:space="preserve">cybersecurity governance and </w:t>
      </w:r>
      <w:r w:rsidR="00AD7D56" w:rsidRPr="00CE2185">
        <w:rPr>
          <w:rFonts w:eastAsiaTheme="majorEastAsia"/>
          <w:noProof/>
        </w:rPr>
        <w:t xml:space="preserve">helping </w:t>
      </w:r>
      <w:r w:rsidR="00F57D9D" w:rsidRPr="00CE2185">
        <w:rPr>
          <w:rFonts w:eastAsiaTheme="majorEastAsia"/>
          <w:noProof/>
        </w:rPr>
        <w:t>to ensur</w:t>
      </w:r>
      <w:r w:rsidR="00AD7D56" w:rsidRPr="00CE2185">
        <w:rPr>
          <w:rFonts w:eastAsiaTheme="majorEastAsia"/>
          <w:noProof/>
        </w:rPr>
        <w:t>e</w:t>
      </w:r>
      <w:r w:rsidR="00F57D9D" w:rsidRPr="00CE2185">
        <w:rPr>
          <w:rFonts w:eastAsiaTheme="majorEastAsia"/>
          <w:noProof/>
        </w:rPr>
        <w:t xml:space="preserve"> that relevant institutions, authorities and other stakeholders are better prepared to prevent, detect, and respond to cybersecurity threats in a coordinated and effective manner.</w:t>
      </w:r>
    </w:p>
    <w:p w14:paraId="2358AE04" w14:textId="4AC86241" w:rsidR="00F57D9D" w:rsidRPr="00CE2185" w:rsidRDefault="00971B46" w:rsidP="00EE3DF9">
      <w:pPr>
        <w:pStyle w:val="paragraph"/>
        <w:numPr>
          <w:ilvl w:val="0"/>
          <w:numId w:val="4"/>
        </w:numPr>
        <w:spacing w:before="0" w:beforeAutospacing="0" w:after="120" w:afterAutospacing="0"/>
        <w:ind w:left="426"/>
        <w:jc w:val="both"/>
        <w:textAlignment w:val="baseline"/>
        <w:rPr>
          <w:rStyle w:val="normaltextrun"/>
          <w:rFonts w:eastAsiaTheme="majorEastAsia"/>
          <w:noProof/>
        </w:rPr>
      </w:pPr>
      <w:r>
        <w:rPr>
          <w:rStyle w:val="normaltextrun"/>
          <w:rFonts w:eastAsiaTheme="majorEastAsia"/>
          <w:noProof/>
        </w:rPr>
        <w:t>s</w:t>
      </w:r>
      <w:r w:rsidR="00F57D9D" w:rsidRPr="00CE2185">
        <w:rPr>
          <w:rStyle w:val="normaltextrun"/>
          <w:rFonts w:eastAsiaTheme="majorEastAsia"/>
          <w:noProof/>
        </w:rPr>
        <w:t xml:space="preserve">upporting the development, implementation and uptake of common </w:t>
      </w:r>
      <w:r>
        <w:rPr>
          <w:rStyle w:val="normaltextrun"/>
          <w:rFonts w:eastAsiaTheme="majorEastAsia"/>
          <w:noProof/>
        </w:rPr>
        <w:t>Union</w:t>
      </w:r>
      <w:r w:rsidRPr="00CE2185">
        <w:rPr>
          <w:rStyle w:val="normaltextrun"/>
          <w:rFonts w:eastAsiaTheme="majorEastAsia"/>
          <w:noProof/>
        </w:rPr>
        <w:t xml:space="preserve"> </w:t>
      </w:r>
      <w:r w:rsidR="00F57D9D" w:rsidRPr="00CE2185">
        <w:rPr>
          <w:rStyle w:val="normaltextrun"/>
          <w:rFonts w:eastAsiaTheme="majorEastAsia"/>
          <w:noProof/>
        </w:rPr>
        <w:t xml:space="preserve">cybersecurity instruments, such as certification schemes and </w:t>
      </w:r>
      <w:r>
        <w:rPr>
          <w:rStyle w:val="normaltextrun"/>
          <w:rFonts w:eastAsiaTheme="majorEastAsia"/>
          <w:noProof/>
        </w:rPr>
        <w:t>providing</w:t>
      </w:r>
      <w:r w:rsidRPr="00CE2185">
        <w:rPr>
          <w:rStyle w:val="normaltextrun"/>
          <w:rFonts w:eastAsiaTheme="majorEastAsia"/>
          <w:noProof/>
        </w:rPr>
        <w:t xml:space="preserve"> </w:t>
      </w:r>
      <w:r w:rsidR="00F57D9D" w:rsidRPr="00CE2185">
        <w:rPr>
          <w:rStyle w:val="normaltextrun"/>
          <w:rFonts w:eastAsiaTheme="majorEastAsia"/>
          <w:noProof/>
        </w:rPr>
        <w:t xml:space="preserve">harmonised frameworks that </w:t>
      </w:r>
      <w:r w:rsidR="00F22521" w:rsidRPr="00CE2185">
        <w:rPr>
          <w:rStyle w:val="normaltextrun"/>
          <w:rFonts w:eastAsiaTheme="majorEastAsia"/>
          <w:noProof/>
        </w:rPr>
        <w:t xml:space="preserve">build </w:t>
      </w:r>
      <w:r w:rsidR="00F57D9D" w:rsidRPr="00CE2185">
        <w:rPr>
          <w:rStyle w:val="normaltextrun"/>
          <w:rFonts w:eastAsiaTheme="majorEastAsia"/>
          <w:noProof/>
        </w:rPr>
        <w:t>trust and interoperability across Member States.</w:t>
      </w:r>
    </w:p>
    <w:p w14:paraId="66486FD6" w14:textId="717D1C76" w:rsidR="006B087E" w:rsidRPr="00CE2185" w:rsidRDefault="00743E63" w:rsidP="00795DF0">
      <w:pPr>
        <w:pStyle w:val="paragraph"/>
        <w:spacing w:before="0" w:beforeAutospacing="0" w:after="120" w:afterAutospacing="0"/>
        <w:jc w:val="both"/>
        <w:textAlignment w:val="baseline"/>
        <w:rPr>
          <w:rFonts w:eastAsiaTheme="majorEastAsia"/>
          <w:noProof/>
        </w:rPr>
      </w:pPr>
      <w:r w:rsidRPr="00CE2185">
        <w:rPr>
          <w:rStyle w:val="normaltextrun"/>
          <w:rFonts w:eastAsiaTheme="majorEastAsia"/>
          <w:noProof/>
        </w:rPr>
        <w:t xml:space="preserve">These </w:t>
      </w:r>
      <w:r w:rsidR="00F57D9D" w:rsidRPr="00CE2185">
        <w:rPr>
          <w:rStyle w:val="normaltextrun"/>
          <w:rFonts w:eastAsiaTheme="majorEastAsia"/>
          <w:noProof/>
        </w:rPr>
        <w:t>general objective</w:t>
      </w:r>
      <w:r w:rsidRPr="00CE2185">
        <w:rPr>
          <w:rStyle w:val="normaltextrun"/>
          <w:rFonts w:eastAsiaTheme="majorEastAsia"/>
          <w:noProof/>
        </w:rPr>
        <w:t>s</w:t>
      </w:r>
      <w:r w:rsidR="00F57D9D" w:rsidRPr="00CE2185">
        <w:rPr>
          <w:rStyle w:val="normaltextrun"/>
          <w:rFonts w:eastAsiaTheme="majorEastAsia"/>
          <w:noProof/>
        </w:rPr>
        <w:t xml:space="preserve"> respond to the key challenges identified in the problem definition.</w:t>
      </w:r>
      <w:r w:rsidR="00026427" w:rsidRPr="00CE2185">
        <w:rPr>
          <w:rStyle w:val="normaltextrun"/>
          <w:rFonts w:eastAsiaTheme="majorEastAsia"/>
          <w:noProof/>
        </w:rPr>
        <w:t xml:space="preserve"> They</w:t>
      </w:r>
      <w:r w:rsidR="00F57D9D" w:rsidRPr="00CE2185">
        <w:rPr>
          <w:rStyle w:val="normaltextrun"/>
          <w:rFonts w:eastAsiaTheme="majorEastAsia"/>
          <w:noProof/>
        </w:rPr>
        <w:t xml:space="preserve"> reflect the overarching policy aim of strengthening cybersecurity governance in the </w:t>
      </w:r>
      <w:r w:rsidR="00692BD6">
        <w:rPr>
          <w:rStyle w:val="normaltextrun"/>
          <w:rFonts w:eastAsiaTheme="majorEastAsia"/>
          <w:noProof/>
        </w:rPr>
        <w:t>Union</w:t>
      </w:r>
      <w:r w:rsidR="00692BD6" w:rsidRPr="00CE2185">
        <w:rPr>
          <w:rStyle w:val="normaltextrun"/>
          <w:rFonts w:eastAsiaTheme="majorEastAsia"/>
          <w:noProof/>
        </w:rPr>
        <w:t xml:space="preserve"> </w:t>
      </w:r>
      <w:r w:rsidR="00F57D9D" w:rsidRPr="00CE2185">
        <w:rPr>
          <w:rStyle w:val="normaltextrun"/>
          <w:rFonts w:eastAsiaTheme="majorEastAsia"/>
          <w:noProof/>
        </w:rPr>
        <w:t xml:space="preserve">and supporting the development of a secure, resilient and competitive </w:t>
      </w:r>
      <w:r w:rsidR="00692BD6">
        <w:rPr>
          <w:rStyle w:val="normaltextrun"/>
          <w:rFonts w:eastAsiaTheme="majorEastAsia"/>
          <w:noProof/>
        </w:rPr>
        <w:t>sd</w:t>
      </w:r>
      <w:r w:rsidR="00F57D9D" w:rsidRPr="00CE2185">
        <w:rPr>
          <w:rStyle w:val="normaltextrun"/>
          <w:rFonts w:eastAsiaTheme="majorEastAsia"/>
          <w:noProof/>
        </w:rPr>
        <w:t xml:space="preserve">gital </w:t>
      </w:r>
      <w:r w:rsidR="00692BD6">
        <w:rPr>
          <w:rStyle w:val="normaltextrun"/>
          <w:rFonts w:eastAsiaTheme="majorEastAsia"/>
          <w:noProof/>
        </w:rPr>
        <w:t>s</w:t>
      </w:r>
      <w:r w:rsidR="00F57D9D" w:rsidRPr="00CE2185">
        <w:rPr>
          <w:rStyle w:val="normaltextrun"/>
          <w:rFonts w:eastAsiaTheme="majorEastAsia"/>
          <w:noProof/>
        </w:rPr>
        <w:t xml:space="preserve">ingle </w:t>
      </w:r>
      <w:r w:rsidR="00692BD6">
        <w:rPr>
          <w:rStyle w:val="normaltextrun"/>
          <w:rFonts w:eastAsiaTheme="majorEastAsia"/>
          <w:noProof/>
        </w:rPr>
        <w:t>m</w:t>
      </w:r>
      <w:r w:rsidR="00F57D9D" w:rsidRPr="00CE2185">
        <w:rPr>
          <w:rStyle w:val="normaltextrun"/>
          <w:rFonts w:eastAsiaTheme="majorEastAsia"/>
          <w:noProof/>
        </w:rPr>
        <w:t>arket.</w:t>
      </w:r>
    </w:p>
    <w:p w14:paraId="03F7621A" w14:textId="77777777" w:rsidR="006B087E" w:rsidRPr="00CE2185" w:rsidRDefault="006B087E" w:rsidP="000E3086">
      <w:pPr>
        <w:pStyle w:val="Heading2"/>
        <w:rPr>
          <w:noProof/>
        </w:rPr>
      </w:pPr>
      <w:bookmarkStart w:id="79" w:name="_Toc210393821"/>
      <w:bookmarkStart w:id="80" w:name="_Toc219447360"/>
      <w:r w:rsidRPr="00CE2185">
        <w:rPr>
          <w:noProof/>
        </w:rPr>
        <w:t>Specific objectives</w:t>
      </w:r>
      <w:bookmarkEnd w:id="79"/>
      <w:bookmarkEnd w:id="80"/>
    </w:p>
    <w:p w14:paraId="2E32F9B3" w14:textId="291AFADE" w:rsidR="00F57D9D" w:rsidRPr="00CE2185" w:rsidRDefault="00F57D9D" w:rsidP="00795DF0">
      <w:pPr>
        <w:pStyle w:val="paragraph"/>
        <w:spacing w:before="0" w:beforeAutospacing="0" w:after="120" w:afterAutospacing="0"/>
        <w:jc w:val="both"/>
        <w:textAlignment w:val="baseline"/>
        <w:rPr>
          <w:rStyle w:val="eop"/>
          <w:rFonts w:eastAsiaTheme="majorEastAsia"/>
          <w:noProof/>
        </w:rPr>
      </w:pPr>
      <w:r w:rsidRPr="00CE2185">
        <w:rPr>
          <w:rStyle w:val="normaltextrun"/>
          <w:rFonts w:eastAsiaTheme="majorEastAsia"/>
          <w:noProof/>
        </w:rPr>
        <w:t xml:space="preserve">To </w:t>
      </w:r>
      <w:r w:rsidR="000D7612" w:rsidRPr="00CE2185">
        <w:rPr>
          <w:rStyle w:val="normaltextrun"/>
          <w:rFonts w:eastAsiaTheme="majorEastAsia"/>
          <w:noProof/>
        </w:rPr>
        <w:t xml:space="preserve">help </w:t>
      </w:r>
      <w:r w:rsidR="00A26232" w:rsidRPr="00CE2185">
        <w:rPr>
          <w:rStyle w:val="normaltextrun"/>
          <w:rFonts w:eastAsiaTheme="majorEastAsia"/>
          <w:noProof/>
        </w:rPr>
        <w:t>achiev</w:t>
      </w:r>
      <w:r w:rsidR="00692BD6">
        <w:rPr>
          <w:rStyle w:val="normaltextrun"/>
          <w:rFonts w:eastAsiaTheme="majorEastAsia"/>
          <w:noProof/>
        </w:rPr>
        <w:t>e</w:t>
      </w:r>
      <w:r w:rsidRPr="00CE2185">
        <w:rPr>
          <w:rStyle w:val="normaltextrun"/>
          <w:rFonts w:eastAsiaTheme="majorEastAsia"/>
          <w:noProof/>
        </w:rPr>
        <w:t xml:space="preserve"> the general objective</w:t>
      </w:r>
      <w:r w:rsidR="0087121A" w:rsidRPr="00CE2185">
        <w:rPr>
          <w:rStyle w:val="normaltextrun"/>
          <w:rFonts w:eastAsiaTheme="majorEastAsia"/>
          <w:noProof/>
        </w:rPr>
        <w:t>s</w:t>
      </w:r>
      <w:r w:rsidRPr="00CE2185">
        <w:rPr>
          <w:rStyle w:val="normaltextrun"/>
          <w:rFonts w:eastAsiaTheme="majorEastAsia"/>
          <w:noProof/>
        </w:rPr>
        <w:t xml:space="preserve"> listed </w:t>
      </w:r>
      <w:r w:rsidR="00EF2848" w:rsidRPr="00CE2185">
        <w:rPr>
          <w:rStyle w:val="normaltextrun"/>
          <w:rFonts w:eastAsiaTheme="majorEastAsia"/>
          <w:noProof/>
        </w:rPr>
        <w:t>above and</w:t>
      </w:r>
      <w:r w:rsidRPr="00CE2185">
        <w:rPr>
          <w:rStyle w:val="normaltextrun"/>
          <w:rFonts w:eastAsiaTheme="majorEastAsia"/>
          <w:noProof/>
        </w:rPr>
        <w:t xml:space="preserve"> based on the problem drivers identified in section 2.2, this intervention pursues the following specific objectives:</w:t>
      </w:r>
    </w:p>
    <w:p w14:paraId="3EA23C1D" w14:textId="30A7317C" w:rsidR="00121DE1" w:rsidRPr="00CE2185" w:rsidRDefault="00121DE1" w:rsidP="00795DF0">
      <w:pPr>
        <w:spacing w:after="120"/>
        <w:textAlignment w:val="baseline"/>
        <w:rPr>
          <w:rFonts w:eastAsia="Yu Gothic Light"/>
          <w:i/>
          <w:noProof/>
          <w:lang w:eastAsia="en-GB"/>
        </w:rPr>
      </w:pPr>
      <w:r w:rsidRPr="00CE2185">
        <w:rPr>
          <w:rFonts w:eastAsia="Yu Gothic Light"/>
          <w:i/>
          <w:iCs/>
          <w:noProof/>
          <w:lang w:eastAsia="en-GB"/>
        </w:rPr>
        <w:t xml:space="preserve">To address the misalignment between the </w:t>
      </w:r>
      <w:r w:rsidR="003D69E0">
        <w:rPr>
          <w:rFonts w:eastAsia="Yu Gothic Light"/>
          <w:i/>
          <w:iCs/>
          <w:noProof/>
          <w:lang w:eastAsia="en-GB"/>
        </w:rPr>
        <w:t>Union</w:t>
      </w:r>
      <w:r w:rsidR="003D69E0" w:rsidRPr="00CE2185">
        <w:rPr>
          <w:rFonts w:eastAsia="Yu Gothic Light"/>
          <w:i/>
          <w:iCs/>
          <w:noProof/>
          <w:lang w:eastAsia="en-GB"/>
        </w:rPr>
        <w:t xml:space="preserve"> </w:t>
      </w:r>
      <w:r w:rsidRPr="00CE2185">
        <w:rPr>
          <w:rFonts w:eastAsia="Yu Gothic Light"/>
          <w:i/>
          <w:iCs/>
          <w:noProof/>
          <w:lang w:eastAsia="en-GB"/>
        </w:rPr>
        <w:t>cybersecurity policy framework and stakeholders’ needs:</w:t>
      </w:r>
    </w:p>
    <w:p w14:paraId="70E90527" w14:textId="4AF63F75" w:rsidR="00121DE1" w:rsidRPr="00CE2185" w:rsidRDefault="00121DE1" w:rsidP="00EE3DF9">
      <w:pPr>
        <w:numPr>
          <w:ilvl w:val="0"/>
          <w:numId w:val="6"/>
        </w:numPr>
        <w:spacing w:after="120"/>
        <w:ind w:left="426"/>
        <w:textAlignment w:val="baseline"/>
        <w:rPr>
          <w:rFonts w:eastAsia="Yu Gothic Light"/>
          <w:b/>
          <w:bCs/>
          <w:i/>
          <w:iCs/>
          <w:noProof/>
          <w:lang w:eastAsia="en-GB"/>
        </w:rPr>
      </w:pPr>
      <w:r w:rsidRPr="00CE2185">
        <w:rPr>
          <w:rFonts w:eastAsia="Yu Gothic Light"/>
          <w:b/>
          <w:bCs/>
          <w:i/>
          <w:iCs/>
          <w:noProof/>
          <w:lang w:eastAsia="en-GB"/>
        </w:rPr>
        <w:t xml:space="preserve">Specific Objective (SPO) 1: Create the capacity </w:t>
      </w:r>
      <w:r w:rsidR="00C5558E">
        <w:rPr>
          <w:rFonts w:eastAsia="Yu Gothic Light"/>
          <w:b/>
          <w:bCs/>
          <w:i/>
          <w:iCs/>
          <w:noProof/>
          <w:lang w:eastAsia="en-GB"/>
        </w:rPr>
        <w:t>to</w:t>
      </w:r>
      <w:r w:rsidR="00C5558E" w:rsidRPr="00CE2185">
        <w:rPr>
          <w:rFonts w:eastAsia="Yu Gothic Light"/>
          <w:b/>
          <w:bCs/>
          <w:i/>
          <w:iCs/>
          <w:noProof/>
          <w:lang w:eastAsia="en-GB"/>
        </w:rPr>
        <w:t xml:space="preserve"> </w:t>
      </w:r>
      <w:r w:rsidRPr="00CE2185">
        <w:rPr>
          <w:rFonts w:eastAsia="Yu Gothic Light"/>
          <w:b/>
          <w:bCs/>
          <w:i/>
          <w:iCs/>
          <w:noProof/>
          <w:lang w:eastAsia="en-GB"/>
        </w:rPr>
        <w:t>effective</w:t>
      </w:r>
      <w:r w:rsidR="00FA6527">
        <w:rPr>
          <w:rFonts w:eastAsia="Yu Gothic Light"/>
          <w:b/>
          <w:bCs/>
          <w:i/>
          <w:iCs/>
          <w:noProof/>
          <w:lang w:eastAsia="en-GB"/>
        </w:rPr>
        <w:t>ly</w:t>
      </w:r>
      <w:r w:rsidRPr="00CE2185">
        <w:rPr>
          <w:rFonts w:eastAsia="Yu Gothic Light"/>
          <w:b/>
          <w:bCs/>
          <w:i/>
          <w:iCs/>
          <w:noProof/>
          <w:lang w:eastAsia="en-GB"/>
        </w:rPr>
        <w:t xml:space="preserve"> implement </w:t>
      </w:r>
      <w:r w:rsidR="00FA6527">
        <w:rPr>
          <w:rFonts w:eastAsia="Yu Gothic Light"/>
          <w:b/>
          <w:bCs/>
          <w:i/>
          <w:iCs/>
          <w:noProof/>
          <w:lang w:eastAsia="en-GB"/>
        </w:rPr>
        <w:t>Union</w:t>
      </w:r>
      <w:r w:rsidRPr="00CE2185">
        <w:rPr>
          <w:rFonts w:eastAsia="Yu Gothic Light"/>
          <w:b/>
          <w:bCs/>
          <w:i/>
          <w:iCs/>
          <w:noProof/>
          <w:lang w:eastAsia="en-GB"/>
        </w:rPr>
        <w:t xml:space="preserve"> cybersecurity policies and continuous operational cooperation enabl</w:t>
      </w:r>
      <w:r w:rsidR="18ADCFE6" w:rsidRPr="00CE2185">
        <w:rPr>
          <w:rFonts w:eastAsia="Yu Gothic Light"/>
          <w:b/>
          <w:bCs/>
          <w:i/>
          <w:iCs/>
          <w:noProof/>
          <w:lang w:eastAsia="en-GB"/>
        </w:rPr>
        <w:t>ing</w:t>
      </w:r>
      <w:r w:rsidRPr="00CE2185">
        <w:rPr>
          <w:rFonts w:eastAsia="Yu Gothic Light"/>
          <w:b/>
          <w:bCs/>
          <w:i/>
          <w:iCs/>
          <w:noProof/>
          <w:lang w:eastAsia="en-GB"/>
        </w:rPr>
        <w:t xml:space="preserve"> more structured cooperation between Member States.</w:t>
      </w:r>
    </w:p>
    <w:p w14:paraId="36779ECE" w14:textId="5AF51D29" w:rsidR="00121DE1" w:rsidRPr="00CE2185" w:rsidRDefault="00121DE1" w:rsidP="00EE3DF9">
      <w:pPr>
        <w:numPr>
          <w:ilvl w:val="0"/>
          <w:numId w:val="6"/>
        </w:numPr>
        <w:spacing w:after="120"/>
        <w:ind w:left="426"/>
        <w:rPr>
          <w:rFonts w:eastAsia="Yu Gothic Light"/>
          <w:b/>
          <w:i/>
          <w:noProof/>
          <w:lang w:eastAsia="en-GB"/>
        </w:rPr>
      </w:pPr>
      <w:r w:rsidRPr="00CE2185">
        <w:rPr>
          <w:rFonts w:eastAsia="Yu Gothic Light"/>
          <w:b/>
          <w:i/>
          <w:noProof/>
          <w:lang w:eastAsia="en-GB"/>
        </w:rPr>
        <w:t xml:space="preserve">SPO2: Develop and </w:t>
      </w:r>
      <w:r w:rsidR="00081D42">
        <w:rPr>
          <w:rFonts w:eastAsia="Yu Gothic Light"/>
          <w:b/>
          <w:i/>
          <w:noProof/>
          <w:lang w:eastAsia="en-GB"/>
        </w:rPr>
        <w:t>implement</w:t>
      </w:r>
      <w:r w:rsidRPr="00CE2185">
        <w:rPr>
          <w:rFonts w:eastAsia="Yu Gothic Light"/>
          <w:b/>
          <w:i/>
          <w:noProof/>
          <w:lang w:eastAsia="en-GB"/>
        </w:rPr>
        <w:t xml:space="preserve"> means and mechanisms to effectively support and address the needs of Member States, industry and other stakeholders.</w:t>
      </w:r>
    </w:p>
    <w:p w14:paraId="26142592" w14:textId="77777777" w:rsidR="00121DE1" w:rsidRPr="00CE2185" w:rsidRDefault="00121DE1" w:rsidP="00795DF0">
      <w:pPr>
        <w:spacing w:after="120"/>
        <w:textAlignment w:val="baseline"/>
        <w:rPr>
          <w:rFonts w:eastAsia="Yu Gothic Light"/>
          <w:i/>
          <w:noProof/>
          <w:lang w:eastAsia="en-GB"/>
        </w:rPr>
      </w:pPr>
      <w:r w:rsidRPr="00CE2185">
        <w:rPr>
          <w:rFonts w:eastAsia="Yu Gothic Light"/>
          <w:i/>
          <w:iCs/>
          <w:noProof/>
          <w:lang w:eastAsia="en-GB"/>
        </w:rPr>
        <w:t>To address the limited uptake and effectiveness of the ECCF:</w:t>
      </w:r>
    </w:p>
    <w:p w14:paraId="6DF2189E" w14:textId="713052DE" w:rsidR="00121DE1" w:rsidRPr="00CE2185" w:rsidRDefault="00121DE1" w:rsidP="00EE3DF9">
      <w:pPr>
        <w:numPr>
          <w:ilvl w:val="0"/>
          <w:numId w:val="7"/>
        </w:numPr>
        <w:spacing w:after="120"/>
        <w:ind w:left="426"/>
        <w:textAlignment w:val="baseline"/>
        <w:rPr>
          <w:rFonts w:eastAsia="Times New Roman"/>
          <w:i/>
          <w:noProof/>
          <w:sz w:val="20"/>
          <w:szCs w:val="20"/>
          <w:lang w:eastAsia="en-GB"/>
        </w:rPr>
      </w:pPr>
      <w:r w:rsidRPr="00CE2185">
        <w:rPr>
          <w:rFonts w:eastAsia="Yu Gothic Light"/>
          <w:b/>
          <w:bCs/>
          <w:i/>
          <w:iCs/>
          <w:noProof/>
          <w:lang w:eastAsia="en-GB"/>
        </w:rPr>
        <w:t xml:space="preserve">SPO3: Create the prerequisites for faster delivery of cybersecurity certification schemes driven by market needs by broadening the scope of the ECCF, ensuring effective maintenance and agile procedures and </w:t>
      </w:r>
      <w:r w:rsidR="00B7743A">
        <w:rPr>
          <w:rFonts w:eastAsia="Yu Gothic Light"/>
          <w:b/>
          <w:bCs/>
          <w:i/>
          <w:iCs/>
          <w:noProof/>
          <w:lang w:eastAsia="en-GB"/>
        </w:rPr>
        <w:t>increasing</w:t>
      </w:r>
      <w:r w:rsidR="00B7743A" w:rsidRPr="00CE2185">
        <w:rPr>
          <w:rFonts w:eastAsia="Yu Gothic Light"/>
          <w:b/>
          <w:bCs/>
          <w:i/>
          <w:iCs/>
          <w:noProof/>
          <w:lang w:eastAsia="en-GB"/>
        </w:rPr>
        <w:t xml:space="preserve"> </w:t>
      </w:r>
      <w:r w:rsidRPr="00CE2185">
        <w:rPr>
          <w:rFonts w:eastAsia="Yu Gothic Light"/>
          <w:b/>
          <w:bCs/>
          <w:i/>
          <w:iCs/>
          <w:noProof/>
          <w:lang w:eastAsia="en-GB"/>
        </w:rPr>
        <w:t>transparency.</w:t>
      </w:r>
    </w:p>
    <w:p w14:paraId="7BA769A5" w14:textId="77777777" w:rsidR="00121DE1" w:rsidRPr="00CE2185" w:rsidRDefault="00121DE1" w:rsidP="00795DF0">
      <w:pPr>
        <w:spacing w:after="120"/>
        <w:rPr>
          <w:rFonts w:eastAsia="Yu Gothic Light"/>
          <w:i/>
          <w:noProof/>
          <w:szCs w:val="20"/>
          <w:lang w:eastAsia="en-GB"/>
        </w:rPr>
      </w:pPr>
      <w:r w:rsidRPr="00CE2185">
        <w:rPr>
          <w:rFonts w:eastAsia="Yu Gothic Light"/>
          <w:i/>
          <w:noProof/>
          <w:szCs w:val="20"/>
          <w:lang w:eastAsia="en-GB"/>
        </w:rPr>
        <w:t>To address the fragmented compliance landscape and complexity of horizontal and sectoral frameworks:</w:t>
      </w:r>
    </w:p>
    <w:p w14:paraId="608CCFB5" w14:textId="2AC62FDC" w:rsidR="00121DE1" w:rsidRPr="00CE2185" w:rsidRDefault="00121DE1" w:rsidP="00EE3DF9">
      <w:pPr>
        <w:numPr>
          <w:ilvl w:val="0"/>
          <w:numId w:val="5"/>
        </w:numPr>
        <w:spacing w:after="120"/>
        <w:ind w:left="426"/>
        <w:rPr>
          <w:rFonts w:eastAsia="Yu Gothic Light"/>
          <w:b/>
          <w:i/>
          <w:noProof/>
          <w:lang w:eastAsia="en-GB"/>
        </w:rPr>
      </w:pPr>
      <w:r w:rsidRPr="00CE2185">
        <w:rPr>
          <w:rFonts w:eastAsia="Yu Gothic Light"/>
          <w:b/>
          <w:i/>
          <w:noProof/>
          <w:lang w:eastAsia="en-GB"/>
        </w:rPr>
        <w:t xml:space="preserve">SPO4: </w:t>
      </w:r>
      <w:r w:rsidR="00B7743A">
        <w:rPr>
          <w:rFonts w:eastAsia="Yu Gothic Light"/>
          <w:b/>
          <w:bCs/>
          <w:i/>
          <w:iCs/>
          <w:noProof/>
          <w:lang w:eastAsia="en-GB"/>
        </w:rPr>
        <w:t>Create</w:t>
      </w:r>
      <w:r w:rsidR="00B7743A" w:rsidRPr="00CE2185">
        <w:rPr>
          <w:rFonts w:eastAsia="Yu Gothic Light"/>
          <w:b/>
          <w:bCs/>
          <w:i/>
          <w:iCs/>
          <w:noProof/>
          <w:lang w:eastAsia="en-GB"/>
        </w:rPr>
        <w:t xml:space="preserve"> </w:t>
      </w:r>
      <w:r w:rsidRPr="00CE2185">
        <w:rPr>
          <w:rFonts w:eastAsia="Yu Gothic Light"/>
          <w:b/>
          <w:bCs/>
          <w:i/>
          <w:iCs/>
          <w:noProof/>
          <w:lang w:eastAsia="en-GB"/>
        </w:rPr>
        <w:t>mechanisms and conditions to facilitate</w:t>
      </w:r>
      <w:r w:rsidRPr="00CE2185">
        <w:rPr>
          <w:rFonts w:eastAsia="Yu Gothic Light"/>
          <w:b/>
          <w:i/>
          <w:noProof/>
          <w:lang w:eastAsia="en-GB"/>
        </w:rPr>
        <w:t xml:space="preserve"> compliance with cybersecurity requirements</w:t>
      </w:r>
      <w:r w:rsidR="0023532F">
        <w:rPr>
          <w:rFonts w:eastAsia="Yu Gothic Light"/>
          <w:b/>
          <w:i/>
          <w:noProof/>
          <w:lang w:eastAsia="en-GB"/>
        </w:rPr>
        <w:t>, thereby making</w:t>
      </w:r>
      <w:r w:rsidRPr="00CE2185">
        <w:rPr>
          <w:rFonts w:eastAsia="Yu Gothic Light"/>
          <w:b/>
          <w:i/>
          <w:noProof/>
          <w:lang w:eastAsia="en-GB"/>
        </w:rPr>
        <w:t xml:space="preserve"> </w:t>
      </w:r>
      <w:r w:rsidRPr="00CE2185">
        <w:rPr>
          <w:rFonts w:eastAsia="Yu Gothic Light"/>
          <w:b/>
          <w:bCs/>
          <w:i/>
          <w:iCs/>
          <w:noProof/>
          <w:lang w:eastAsia="en-GB"/>
        </w:rPr>
        <w:t>their implementation</w:t>
      </w:r>
      <w:r w:rsidRPr="00CE2185">
        <w:rPr>
          <w:rFonts w:eastAsia="Yu Gothic Light"/>
          <w:b/>
          <w:i/>
          <w:noProof/>
          <w:lang w:eastAsia="en-GB"/>
        </w:rPr>
        <w:t xml:space="preserve"> more coherent and effective.  </w:t>
      </w:r>
    </w:p>
    <w:p w14:paraId="033CF1EF" w14:textId="77777777" w:rsidR="00D10E17" w:rsidRPr="00CE2185" w:rsidRDefault="00D10E17" w:rsidP="00D10E17">
      <w:pPr>
        <w:spacing w:after="120"/>
        <w:rPr>
          <w:rFonts w:eastAsia="Yu Gothic Light"/>
          <w:i/>
          <w:iCs/>
          <w:noProof/>
          <w:lang w:eastAsia="en-GB"/>
        </w:rPr>
      </w:pPr>
      <w:r w:rsidRPr="00CE2185">
        <w:rPr>
          <w:rFonts w:eastAsia="Yu Gothic Light"/>
          <w:i/>
          <w:iCs/>
          <w:noProof/>
          <w:lang w:eastAsia="en-GB"/>
        </w:rPr>
        <w:t>To address cybersecurity risks in the supply chain:</w:t>
      </w:r>
    </w:p>
    <w:p w14:paraId="359F5F72" w14:textId="454FB382" w:rsidR="00121DE1" w:rsidRPr="00CE2185" w:rsidRDefault="00D10E17" w:rsidP="00D10E17">
      <w:pPr>
        <w:numPr>
          <w:ilvl w:val="0"/>
          <w:numId w:val="5"/>
        </w:numPr>
        <w:spacing w:after="120"/>
        <w:ind w:left="426"/>
        <w:rPr>
          <w:rFonts w:eastAsia="Yu Gothic Light"/>
          <w:b/>
          <w:bCs/>
          <w:i/>
          <w:iCs/>
          <w:noProof/>
          <w:lang w:eastAsia="en-GB"/>
        </w:rPr>
      </w:pPr>
      <w:r w:rsidRPr="00CE2185">
        <w:rPr>
          <w:rFonts w:eastAsia="Yu Gothic Light"/>
          <w:b/>
          <w:bCs/>
          <w:i/>
          <w:iCs/>
          <w:noProof/>
          <w:lang w:eastAsia="en-GB"/>
        </w:rPr>
        <w:t xml:space="preserve">SPO5: De-risk critical ICT supply chains from entities </w:t>
      </w:r>
      <w:r>
        <w:rPr>
          <w:rFonts w:eastAsia="Yu Gothic Light"/>
          <w:b/>
          <w:bCs/>
          <w:i/>
          <w:iCs/>
          <w:noProof/>
          <w:lang w:eastAsia="en-GB"/>
        </w:rPr>
        <w:t>established in</w:t>
      </w:r>
      <w:r w:rsidRPr="00CE2185">
        <w:rPr>
          <w:rFonts w:eastAsia="Yu Gothic Light"/>
          <w:b/>
          <w:bCs/>
          <w:i/>
          <w:iCs/>
          <w:noProof/>
          <w:lang w:eastAsia="en-GB"/>
        </w:rPr>
        <w:t xml:space="preserve"> or controlled by </w:t>
      </w:r>
      <w:r>
        <w:rPr>
          <w:rFonts w:eastAsia="Yu Gothic Light"/>
          <w:b/>
          <w:bCs/>
          <w:i/>
          <w:iCs/>
          <w:noProof/>
          <w:lang w:eastAsia="en-GB"/>
        </w:rPr>
        <w:t>entities from</w:t>
      </w:r>
      <w:r w:rsidRPr="00CE2185">
        <w:rPr>
          <w:rFonts w:eastAsia="Yu Gothic Light"/>
          <w:b/>
          <w:bCs/>
          <w:i/>
          <w:iCs/>
          <w:noProof/>
          <w:lang w:eastAsia="en-GB"/>
        </w:rPr>
        <w:t xml:space="preserve"> third countries posing cybersecurity concerns (high-risk suppliers) and reduce critical dependencies by developing a coherent and effective framework at EU level to address ICT supply chain security risks</w:t>
      </w:r>
      <w:r>
        <w:rPr>
          <w:rFonts w:eastAsia="Yu Gothic Light"/>
          <w:b/>
          <w:bCs/>
          <w:i/>
          <w:iCs/>
          <w:noProof/>
          <w:lang w:eastAsia="en-GB"/>
        </w:rPr>
        <w:t>.</w:t>
      </w:r>
    </w:p>
    <w:p w14:paraId="3F015C9F" w14:textId="4AC72FD6" w:rsidR="006B087E" w:rsidRPr="00CE2185" w:rsidRDefault="006B087E" w:rsidP="000E3086">
      <w:pPr>
        <w:pStyle w:val="Heading1"/>
        <w:rPr>
          <w:noProof/>
        </w:rPr>
      </w:pPr>
      <w:bookmarkStart w:id="81" w:name="_Toc210393822"/>
      <w:bookmarkStart w:id="82" w:name="_Toc219447361"/>
      <w:r w:rsidRPr="00CE2185">
        <w:rPr>
          <w:noProof/>
        </w:rPr>
        <w:t>What are the available policy options?</w:t>
      </w:r>
      <w:bookmarkEnd w:id="81"/>
      <w:bookmarkEnd w:id="82"/>
    </w:p>
    <w:p w14:paraId="7E24BB87" w14:textId="34EBF1A2" w:rsidR="6A29567D" w:rsidRPr="00CE2185" w:rsidRDefault="006B087E" w:rsidP="0092143E">
      <w:pPr>
        <w:pStyle w:val="Heading2"/>
        <w:rPr>
          <w:noProof/>
        </w:rPr>
      </w:pPr>
      <w:bookmarkStart w:id="83" w:name="_Toc210393823"/>
      <w:bookmarkStart w:id="84" w:name="_Toc219447362"/>
      <w:r w:rsidRPr="00CE2185">
        <w:rPr>
          <w:noProof/>
        </w:rPr>
        <w:t>What is the baseline from which options are assessed?</w:t>
      </w:r>
      <w:bookmarkEnd w:id="83"/>
      <w:bookmarkEnd w:id="84"/>
    </w:p>
    <w:p w14:paraId="3A9B7792" w14:textId="4C2FF2D3" w:rsidR="00F57D9D" w:rsidRPr="00CE2185" w:rsidRDefault="00F57D9D" w:rsidP="00795DF0">
      <w:pPr>
        <w:spacing w:after="120"/>
        <w:rPr>
          <w:rFonts w:eastAsia="Times New Roman"/>
          <w:noProof/>
          <w:color w:val="000000" w:themeColor="text1"/>
        </w:rPr>
      </w:pPr>
      <w:r w:rsidRPr="00CE2185">
        <w:rPr>
          <w:rFonts w:eastAsia="Times New Roman"/>
          <w:noProof/>
          <w:color w:val="000000" w:themeColor="text1"/>
        </w:rPr>
        <w:t>Under the baseline scenario, no new policy intervention would be introduced</w:t>
      </w:r>
      <w:r w:rsidR="17F8DCAD" w:rsidRPr="00CE2185">
        <w:rPr>
          <w:rFonts w:eastAsia="Times New Roman"/>
          <w:noProof/>
          <w:color w:val="000000" w:themeColor="text1"/>
        </w:rPr>
        <w:t xml:space="preserve">, as regard the CSA </w:t>
      </w:r>
      <w:r w:rsidR="00D10E17" w:rsidRPr="00CE2185">
        <w:rPr>
          <w:rFonts w:eastAsia="Times New Roman"/>
          <w:noProof/>
          <w:color w:val="000000" w:themeColor="text1"/>
        </w:rPr>
        <w:t>and in the area of ICT supply chain security</w:t>
      </w:r>
      <w:r w:rsidRPr="00CE2185">
        <w:rPr>
          <w:rFonts w:eastAsia="Times New Roman"/>
          <w:noProof/>
          <w:color w:val="000000" w:themeColor="text1"/>
        </w:rPr>
        <w:t xml:space="preserve">. The existing legal and policy framework established by the CSA and other EU instruments would continue to apply in its current form. </w:t>
      </w:r>
    </w:p>
    <w:p w14:paraId="1C296C00" w14:textId="470583C8" w:rsidR="009A1F6C" w:rsidRPr="00CE2185" w:rsidRDefault="009459AB" w:rsidP="00795DF0">
      <w:pPr>
        <w:spacing w:after="120"/>
        <w:rPr>
          <w:rFonts w:eastAsia="Times New Roman"/>
          <w:noProof/>
          <w:color w:val="000000" w:themeColor="text1"/>
        </w:rPr>
      </w:pPr>
      <w:r w:rsidRPr="00CE2185">
        <w:rPr>
          <w:rFonts w:eastAsia="Times New Roman"/>
          <w:noProof/>
          <w:color w:val="000000" w:themeColor="text1"/>
        </w:rPr>
        <w:t xml:space="preserve">Regarding </w:t>
      </w:r>
      <w:r w:rsidRPr="00CE2185">
        <w:rPr>
          <w:rFonts w:eastAsia="Times New Roman"/>
          <w:b/>
          <w:noProof/>
          <w:color w:val="000000" w:themeColor="text1"/>
        </w:rPr>
        <w:t>ENISA</w:t>
      </w:r>
      <w:r w:rsidRPr="00CE2185">
        <w:rPr>
          <w:rFonts w:eastAsia="Times New Roman"/>
          <w:noProof/>
          <w:color w:val="000000" w:themeColor="text1"/>
        </w:rPr>
        <w:t xml:space="preserve">, </w:t>
      </w:r>
      <w:r w:rsidR="009A1F6C" w:rsidRPr="00CE2185">
        <w:rPr>
          <w:rFonts w:eastAsia="Times New Roman"/>
          <w:noProof/>
          <w:color w:val="000000" w:themeColor="text1"/>
        </w:rPr>
        <w:t>the fragmentation of responsibilities across EU legislation will probably continue to impact ENISA’s ability to prioritise and allocate resources effectively generat</w:t>
      </w:r>
      <w:r w:rsidR="00463883" w:rsidRPr="00CE2185">
        <w:rPr>
          <w:rFonts w:eastAsia="Times New Roman"/>
          <w:noProof/>
          <w:color w:val="000000" w:themeColor="text1"/>
        </w:rPr>
        <w:t>ing</w:t>
      </w:r>
      <w:r w:rsidR="009A1F6C" w:rsidRPr="00CE2185">
        <w:rPr>
          <w:rFonts w:eastAsia="Times New Roman"/>
          <w:noProof/>
          <w:color w:val="000000" w:themeColor="text1"/>
        </w:rPr>
        <w:t xml:space="preserve"> inefficiencies and limited strategic focus for the Agency.</w:t>
      </w:r>
    </w:p>
    <w:p w14:paraId="112D0D33" w14:textId="48A79042" w:rsidR="00463473" w:rsidRPr="00CE2185" w:rsidRDefault="00344148" w:rsidP="00795DF0">
      <w:pPr>
        <w:spacing w:after="120"/>
        <w:rPr>
          <w:rFonts w:eastAsia="Times New Roman"/>
          <w:noProof/>
          <w:color w:val="000000" w:themeColor="text1"/>
        </w:rPr>
      </w:pPr>
      <w:r w:rsidRPr="00CE2185">
        <w:rPr>
          <w:rFonts w:eastAsia="Times New Roman"/>
          <w:noProof/>
          <w:color w:val="000000" w:themeColor="text1"/>
        </w:rPr>
        <w:t>T</w:t>
      </w:r>
      <w:r w:rsidR="00E76CA3" w:rsidRPr="00CE2185">
        <w:rPr>
          <w:rFonts w:eastAsia="Times New Roman"/>
          <w:noProof/>
          <w:color w:val="000000" w:themeColor="text1"/>
        </w:rPr>
        <w:t>he cyber threat landscape</w:t>
      </w:r>
      <w:r w:rsidRPr="00CE2185">
        <w:rPr>
          <w:rFonts w:eastAsia="Times New Roman"/>
          <w:noProof/>
          <w:color w:val="000000" w:themeColor="text1"/>
        </w:rPr>
        <w:t>,</w:t>
      </w:r>
      <w:r w:rsidR="00E76CA3" w:rsidRPr="00CE2185">
        <w:rPr>
          <w:rFonts w:eastAsia="Times New Roman"/>
          <w:noProof/>
          <w:color w:val="000000" w:themeColor="text1"/>
        </w:rPr>
        <w:t xml:space="preserve"> </w:t>
      </w:r>
      <w:r w:rsidRPr="00CE2185">
        <w:rPr>
          <w:rFonts w:eastAsia="Times New Roman"/>
          <w:noProof/>
          <w:color w:val="000000" w:themeColor="text1"/>
        </w:rPr>
        <w:t xml:space="preserve">as described in </w:t>
      </w:r>
      <w:r w:rsidRPr="00CE2185">
        <w:rPr>
          <w:rFonts w:eastAsia="Times New Roman"/>
          <w:i/>
          <w:iCs/>
          <w:noProof/>
          <w:color w:val="000000" w:themeColor="text1"/>
        </w:rPr>
        <w:t>Section 2.5</w:t>
      </w:r>
      <w:r w:rsidRPr="00CE2185">
        <w:rPr>
          <w:rFonts w:eastAsia="Times New Roman"/>
          <w:noProof/>
          <w:color w:val="000000" w:themeColor="text1"/>
        </w:rPr>
        <w:t>,</w:t>
      </w:r>
      <w:r w:rsidR="00E76CA3" w:rsidRPr="00CE2185">
        <w:rPr>
          <w:rFonts w:eastAsia="Times New Roman"/>
          <w:noProof/>
          <w:color w:val="000000" w:themeColor="text1"/>
        </w:rPr>
        <w:t xml:space="preserve"> is likely to evolve and get more complex and attacks more sophisticated.</w:t>
      </w:r>
      <w:r w:rsidR="00F57D9D" w:rsidRPr="00CE2185">
        <w:rPr>
          <w:rFonts w:eastAsia="Times New Roman"/>
          <w:noProof/>
          <w:color w:val="000000" w:themeColor="text1"/>
        </w:rPr>
        <w:t xml:space="preserve"> </w:t>
      </w:r>
      <w:r w:rsidR="000648A6" w:rsidRPr="00CE2185">
        <w:rPr>
          <w:rFonts w:eastAsia="Times New Roman"/>
          <w:noProof/>
          <w:color w:val="000000" w:themeColor="text1"/>
        </w:rPr>
        <w:t>Under</w:t>
      </w:r>
      <w:r w:rsidR="1902870C" w:rsidRPr="00CE2185">
        <w:rPr>
          <w:rFonts w:eastAsia="Times New Roman"/>
          <w:noProof/>
          <w:color w:val="000000" w:themeColor="text1"/>
        </w:rPr>
        <w:t xml:space="preserve"> the </w:t>
      </w:r>
      <w:r w:rsidR="000648A6" w:rsidRPr="00CE2185">
        <w:rPr>
          <w:rFonts w:eastAsia="Times New Roman"/>
          <w:noProof/>
          <w:color w:val="000000" w:themeColor="text1"/>
        </w:rPr>
        <w:t>baseline scenario,</w:t>
      </w:r>
      <w:r w:rsidR="1902870C" w:rsidRPr="00CE2185">
        <w:rPr>
          <w:rFonts w:eastAsia="Times New Roman"/>
          <w:noProof/>
          <w:color w:val="000000" w:themeColor="text1"/>
        </w:rPr>
        <w:t xml:space="preserve"> </w:t>
      </w:r>
      <w:r w:rsidR="00F57D9D" w:rsidRPr="00CE2185">
        <w:rPr>
          <w:rFonts w:eastAsia="Times New Roman"/>
          <w:noProof/>
          <w:color w:val="000000" w:themeColor="text1"/>
        </w:rPr>
        <w:t>the current mandate</w:t>
      </w:r>
      <w:r w:rsidR="000648A6" w:rsidRPr="00CE2185">
        <w:rPr>
          <w:rFonts w:eastAsia="Times New Roman"/>
          <w:noProof/>
          <w:color w:val="000000" w:themeColor="text1"/>
        </w:rPr>
        <w:t xml:space="preserve"> </w:t>
      </w:r>
      <w:r w:rsidR="008674A9" w:rsidRPr="00CE2185">
        <w:rPr>
          <w:rFonts w:eastAsia="Times New Roman"/>
          <w:noProof/>
          <w:color w:val="000000" w:themeColor="text1"/>
        </w:rPr>
        <w:t>of</w:t>
      </w:r>
      <w:r w:rsidR="00F57D9D" w:rsidRPr="00CE2185">
        <w:rPr>
          <w:rFonts w:eastAsia="Times New Roman"/>
          <w:noProof/>
          <w:color w:val="000000" w:themeColor="text1"/>
        </w:rPr>
        <w:t xml:space="preserve"> ENISA remains </w:t>
      </w:r>
      <w:r w:rsidR="008674A9" w:rsidRPr="00CE2185">
        <w:rPr>
          <w:rFonts w:eastAsia="Times New Roman"/>
          <w:noProof/>
          <w:color w:val="000000" w:themeColor="text1"/>
        </w:rPr>
        <w:t>unchanged,</w:t>
      </w:r>
      <w:r w:rsidR="00F57D9D" w:rsidRPr="00CE2185">
        <w:rPr>
          <w:rFonts w:eastAsia="Times New Roman"/>
          <w:noProof/>
          <w:color w:val="000000" w:themeColor="text1"/>
        </w:rPr>
        <w:t xml:space="preserve"> constrained in its ability to scale up its activities to match the speed of these developments.</w:t>
      </w:r>
      <w:r w:rsidR="641A425F" w:rsidRPr="00CE2185">
        <w:rPr>
          <w:rFonts w:eastAsia="Times New Roman"/>
          <w:noProof/>
          <w:color w:val="000000" w:themeColor="text1"/>
        </w:rPr>
        <w:t xml:space="preserve"> In particular, </w:t>
      </w:r>
      <w:r w:rsidR="00EF7216" w:rsidRPr="00CE2185">
        <w:rPr>
          <w:rFonts w:eastAsia="Times New Roman"/>
          <w:noProof/>
          <w:color w:val="000000" w:themeColor="text1"/>
        </w:rPr>
        <w:t>in</w:t>
      </w:r>
      <w:r w:rsidR="4A08596C" w:rsidRPr="00CE2185">
        <w:rPr>
          <w:rFonts w:eastAsia="Times New Roman"/>
          <w:noProof/>
          <w:color w:val="000000" w:themeColor="text1"/>
        </w:rPr>
        <w:t xml:space="preserve"> accordance with the NIS2 Directive, ENISA will be supporting Member States to share information in the CSIRTs network and EU</w:t>
      </w:r>
      <w:r w:rsidR="00E3524A" w:rsidRPr="00CE2185">
        <w:rPr>
          <w:rFonts w:eastAsia="Times New Roman"/>
          <w:noProof/>
          <w:color w:val="000000" w:themeColor="text1"/>
        </w:rPr>
        <w:t>-</w:t>
      </w:r>
      <w:r w:rsidR="4A08596C" w:rsidRPr="00CE2185">
        <w:rPr>
          <w:rFonts w:eastAsia="Times New Roman"/>
          <w:noProof/>
          <w:color w:val="000000" w:themeColor="text1"/>
        </w:rPr>
        <w:t>CyCLONe</w:t>
      </w:r>
      <w:r w:rsidR="5268D0B5" w:rsidRPr="00CE2185">
        <w:rPr>
          <w:rFonts w:eastAsia="Times New Roman"/>
          <w:noProof/>
          <w:color w:val="000000" w:themeColor="text1"/>
        </w:rPr>
        <w:t>, as a secretariat of the networks</w:t>
      </w:r>
      <w:r w:rsidR="4A08596C" w:rsidRPr="00CE2185">
        <w:rPr>
          <w:rFonts w:eastAsia="Times New Roman"/>
          <w:noProof/>
          <w:color w:val="000000" w:themeColor="text1"/>
        </w:rPr>
        <w:t xml:space="preserve"> but </w:t>
      </w:r>
      <w:r w:rsidR="0C713A43" w:rsidRPr="00CE2185">
        <w:rPr>
          <w:rFonts w:eastAsia="Times New Roman"/>
          <w:noProof/>
          <w:color w:val="000000" w:themeColor="text1"/>
        </w:rPr>
        <w:t>a clear task, adequate tools or a stable resourcing to effectively support and bring significant added value to the operational cooperation</w:t>
      </w:r>
      <w:r w:rsidR="00C83D89" w:rsidRPr="00CE2185">
        <w:rPr>
          <w:rFonts w:eastAsia="Times New Roman"/>
          <w:noProof/>
          <w:color w:val="000000" w:themeColor="text1"/>
        </w:rPr>
        <w:t>, including</w:t>
      </w:r>
      <w:r w:rsidR="0C713A43" w:rsidRPr="00CE2185">
        <w:rPr>
          <w:rFonts w:eastAsia="Times New Roman"/>
          <w:noProof/>
          <w:color w:val="000000" w:themeColor="text1"/>
        </w:rPr>
        <w:t xml:space="preserve"> situational awareness will most probably </w:t>
      </w:r>
      <w:r w:rsidR="58132B10" w:rsidRPr="00CE2185">
        <w:rPr>
          <w:rFonts w:eastAsia="Times New Roman"/>
          <w:noProof/>
          <w:color w:val="000000" w:themeColor="text1"/>
        </w:rPr>
        <w:t>stay</w:t>
      </w:r>
      <w:r w:rsidR="0C713A43" w:rsidRPr="00CE2185">
        <w:rPr>
          <w:rFonts w:eastAsia="Times New Roman"/>
          <w:noProof/>
          <w:color w:val="000000" w:themeColor="text1"/>
        </w:rPr>
        <w:t xml:space="preserve"> </w:t>
      </w:r>
      <w:r w:rsidR="0C713A43" w:rsidRPr="00CE2185">
        <w:rPr>
          <w:rFonts w:eastAsia="Times New Roman"/>
          <w:b/>
          <w:bCs/>
          <w:noProof/>
          <w:color w:val="000000" w:themeColor="text1"/>
        </w:rPr>
        <w:t>fragmented along national lines</w:t>
      </w:r>
      <w:r w:rsidR="0C713A43" w:rsidRPr="00CE2185">
        <w:rPr>
          <w:rFonts w:eastAsia="Times New Roman"/>
          <w:noProof/>
          <w:color w:val="000000" w:themeColor="text1"/>
        </w:rPr>
        <w:t>.</w:t>
      </w:r>
      <w:r w:rsidR="4B8D96C7" w:rsidRPr="00CE2185">
        <w:rPr>
          <w:rFonts w:eastAsia="Times New Roman"/>
          <w:noProof/>
          <w:color w:val="000000" w:themeColor="text1"/>
        </w:rPr>
        <w:t xml:space="preserve">  In addition, after Brexit, the EU is not part of the main intelligence network (the 5 eyes agreement between the US, CAN, UK, NZ and AU). Without strong cooperation for </w:t>
      </w:r>
      <w:r w:rsidR="00E748BA" w:rsidRPr="00CE2185">
        <w:rPr>
          <w:rFonts w:eastAsia="Times New Roman"/>
          <w:noProof/>
          <w:color w:val="000000" w:themeColor="text1"/>
        </w:rPr>
        <w:t>Union</w:t>
      </w:r>
      <w:r w:rsidR="4B8D96C7" w:rsidRPr="00CE2185">
        <w:rPr>
          <w:rFonts w:eastAsia="Times New Roman"/>
          <w:noProof/>
          <w:color w:val="000000" w:themeColor="text1"/>
        </w:rPr>
        <w:t xml:space="preserve"> situational awareness, </w:t>
      </w:r>
      <w:r w:rsidR="526C3EA5" w:rsidRPr="00CE2185">
        <w:rPr>
          <w:rFonts w:eastAsia="Times New Roman"/>
          <w:noProof/>
          <w:color w:val="000000" w:themeColor="text1"/>
        </w:rPr>
        <w:t>EU may be further sideways</w:t>
      </w:r>
      <w:r w:rsidR="001E355D" w:rsidRPr="00CE2185">
        <w:rPr>
          <w:rFonts w:eastAsia="Times New Roman"/>
          <w:noProof/>
          <w:color w:val="000000" w:themeColor="text1"/>
        </w:rPr>
        <w:t xml:space="preserve"> at the global level</w:t>
      </w:r>
      <w:r w:rsidR="526C3EA5" w:rsidRPr="00CE2185">
        <w:rPr>
          <w:rFonts w:eastAsia="Times New Roman"/>
          <w:noProof/>
          <w:color w:val="000000" w:themeColor="text1"/>
        </w:rPr>
        <w:t xml:space="preserve">, as considered not to be interesting partner. This could further </w:t>
      </w:r>
      <w:r w:rsidR="3F55085C" w:rsidRPr="00CE2185">
        <w:rPr>
          <w:rFonts w:eastAsia="Times New Roman"/>
          <w:noProof/>
          <w:color w:val="000000" w:themeColor="text1"/>
        </w:rPr>
        <w:t>deepen</w:t>
      </w:r>
      <w:r w:rsidR="526C3EA5" w:rsidRPr="00CE2185">
        <w:rPr>
          <w:rFonts w:eastAsia="Times New Roman"/>
          <w:noProof/>
          <w:color w:val="000000" w:themeColor="text1"/>
        </w:rPr>
        <w:t xml:space="preserve"> </w:t>
      </w:r>
      <w:r w:rsidR="4FFEAA70" w:rsidRPr="00CE2185">
        <w:rPr>
          <w:rFonts w:eastAsia="Times New Roman"/>
          <w:noProof/>
          <w:color w:val="000000" w:themeColor="text1"/>
        </w:rPr>
        <w:t>fragmentation</w:t>
      </w:r>
      <w:r w:rsidR="526C3EA5" w:rsidRPr="00CE2185">
        <w:rPr>
          <w:rFonts w:eastAsia="Times New Roman"/>
          <w:noProof/>
          <w:color w:val="000000" w:themeColor="text1"/>
        </w:rPr>
        <w:t xml:space="preserve"> and in</w:t>
      </w:r>
      <w:r w:rsidR="2DA5E226" w:rsidRPr="00CE2185">
        <w:rPr>
          <w:rFonts w:eastAsia="Times New Roman"/>
          <w:noProof/>
          <w:color w:val="000000" w:themeColor="text1"/>
        </w:rPr>
        <w:t xml:space="preserve">equalities among Member States, with the most </w:t>
      </w:r>
      <w:r w:rsidR="002D4717" w:rsidRPr="00CE2185">
        <w:rPr>
          <w:rFonts w:eastAsia="Times New Roman"/>
          <w:noProof/>
          <w:color w:val="000000" w:themeColor="text1"/>
        </w:rPr>
        <w:t>cybersecurity matured</w:t>
      </w:r>
      <w:r w:rsidR="2DA5E226" w:rsidRPr="00CE2185">
        <w:rPr>
          <w:rFonts w:eastAsia="Times New Roman"/>
          <w:noProof/>
          <w:color w:val="000000" w:themeColor="text1"/>
        </w:rPr>
        <w:t xml:space="preserve"> ones to deepen cooperation with the global partners rather than sharing with other Member States.</w:t>
      </w:r>
      <w:r w:rsidR="00F4571A" w:rsidRPr="00CE2185">
        <w:rPr>
          <w:rFonts w:eastAsia="Times New Roman"/>
          <w:noProof/>
          <w:color w:val="000000" w:themeColor="text1"/>
        </w:rPr>
        <w:t xml:space="preserve"> </w:t>
      </w:r>
      <w:r w:rsidR="79486486" w:rsidRPr="00CE2185">
        <w:rPr>
          <w:rFonts w:eastAsia="Times New Roman"/>
          <w:noProof/>
          <w:color w:val="000000" w:themeColor="text1"/>
        </w:rPr>
        <w:t xml:space="preserve">Similarly, for the </w:t>
      </w:r>
      <w:r w:rsidR="79486486" w:rsidRPr="00CE2185">
        <w:rPr>
          <w:rFonts w:eastAsia="Times New Roman"/>
          <w:b/>
          <w:bCs/>
          <w:noProof/>
          <w:color w:val="000000" w:themeColor="text1"/>
        </w:rPr>
        <w:t xml:space="preserve">vulnerability </w:t>
      </w:r>
      <w:r w:rsidR="00DD57A1" w:rsidRPr="00CE2185">
        <w:rPr>
          <w:rFonts w:eastAsia="Times New Roman"/>
          <w:b/>
          <w:bCs/>
          <w:noProof/>
          <w:color w:val="000000" w:themeColor="text1"/>
        </w:rPr>
        <w:t>records</w:t>
      </w:r>
      <w:r w:rsidR="00FE5D27" w:rsidRPr="00CE2185">
        <w:rPr>
          <w:rFonts w:eastAsia="Times New Roman"/>
          <w:b/>
          <w:bCs/>
          <w:noProof/>
          <w:color w:val="000000" w:themeColor="text1"/>
        </w:rPr>
        <w:t xml:space="preserve"> and </w:t>
      </w:r>
      <w:r w:rsidR="79486486" w:rsidRPr="00CE2185">
        <w:rPr>
          <w:rFonts w:eastAsia="Times New Roman"/>
          <w:b/>
          <w:bCs/>
          <w:noProof/>
          <w:color w:val="000000" w:themeColor="text1"/>
        </w:rPr>
        <w:t xml:space="preserve">management system, </w:t>
      </w:r>
      <w:r w:rsidR="79486486" w:rsidRPr="00CE2185">
        <w:rPr>
          <w:rFonts w:eastAsia="Times New Roman"/>
          <w:noProof/>
          <w:color w:val="000000" w:themeColor="text1"/>
        </w:rPr>
        <w:t>without changes to ENISA’s mandate</w:t>
      </w:r>
      <w:r w:rsidR="4479AA14" w:rsidRPr="00CE2185">
        <w:rPr>
          <w:rFonts w:eastAsia="Times New Roman"/>
          <w:noProof/>
          <w:color w:val="000000" w:themeColor="text1"/>
        </w:rPr>
        <w:t xml:space="preserve"> (currently not a task of the agency)</w:t>
      </w:r>
      <w:r w:rsidR="79486486" w:rsidRPr="00CE2185">
        <w:rPr>
          <w:rFonts w:eastAsia="Times New Roman"/>
          <w:noProof/>
          <w:color w:val="000000" w:themeColor="text1"/>
        </w:rPr>
        <w:t>, the EU would continue rely</w:t>
      </w:r>
      <w:r w:rsidR="00916487" w:rsidRPr="00CE2185">
        <w:rPr>
          <w:rFonts w:eastAsia="Times New Roman"/>
          <w:noProof/>
          <w:color w:val="000000" w:themeColor="text1"/>
        </w:rPr>
        <w:t>ing</w:t>
      </w:r>
      <w:r w:rsidR="79486486" w:rsidRPr="00CE2185">
        <w:rPr>
          <w:rFonts w:eastAsia="Times New Roman"/>
          <w:noProof/>
          <w:color w:val="000000" w:themeColor="text1"/>
        </w:rPr>
        <w:t xml:space="preserve"> on the </w:t>
      </w:r>
      <w:r w:rsidR="06088043" w:rsidRPr="00CE2185">
        <w:rPr>
          <w:rFonts w:eastAsia="Times New Roman"/>
          <w:noProof/>
          <w:color w:val="000000" w:themeColor="text1"/>
        </w:rPr>
        <w:t>Common Vulnerabilities and Exposure (CVE)</w:t>
      </w:r>
      <w:r w:rsidR="00916487" w:rsidRPr="00CE2185">
        <w:rPr>
          <w:rFonts w:eastAsia="Times New Roman"/>
          <w:noProof/>
          <w:color w:val="000000" w:themeColor="text1"/>
        </w:rPr>
        <w:t xml:space="preserve"> services</w:t>
      </w:r>
      <w:r w:rsidR="06088043" w:rsidRPr="00CE2185">
        <w:rPr>
          <w:rFonts w:eastAsia="Times New Roman"/>
          <w:noProof/>
          <w:color w:val="000000" w:themeColor="text1"/>
        </w:rPr>
        <w:t>, which is currently run by a US association – MITRE – dependent on the US government funding. In the baseline scenario, this depende</w:t>
      </w:r>
      <w:r w:rsidR="00916487" w:rsidRPr="00CE2185">
        <w:rPr>
          <w:rFonts w:eastAsia="Times New Roman"/>
          <w:noProof/>
          <w:color w:val="000000" w:themeColor="text1"/>
        </w:rPr>
        <w:t>n</w:t>
      </w:r>
      <w:r w:rsidR="06088043" w:rsidRPr="00CE2185">
        <w:rPr>
          <w:rFonts w:eastAsia="Times New Roman"/>
          <w:noProof/>
          <w:color w:val="000000" w:themeColor="text1"/>
        </w:rPr>
        <w:t>cy woul</w:t>
      </w:r>
      <w:r w:rsidR="71EADD00" w:rsidRPr="00CE2185">
        <w:rPr>
          <w:rFonts w:eastAsia="Times New Roman"/>
          <w:noProof/>
          <w:color w:val="000000" w:themeColor="text1"/>
        </w:rPr>
        <w:t xml:space="preserve">d persist and </w:t>
      </w:r>
      <w:r w:rsidR="00C52D5D" w:rsidRPr="00CE2185">
        <w:rPr>
          <w:rFonts w:eastAsia="Times New Roman"/>
          <w:noProof/>
          <w:color w:val="000000" w:themeColor="text1"/>
        </w:rPr>
        <w:t xml:space="preserve">would not allow sufficient grounds to </w:t>
      </w:r>
      <w:r w:rsidR="00B97F9B" w:rsidRPr="00CE2185">
        <w:rPr>
          <w:rFonts w:eastAsia="Times New Roman"/>
          <w:noProof/>
          <w:color w:val="000000" w:themeColor="text1"/>
        </w:rPr>
        <w:t>increase ENISA’ capabilities and added value in this regard</w:t>
      </w:r>
      <w:r w:rsidR="78CC0B92" w:rsidRPr="00CE2185">
        <w:rPr>
          <w:rFonts w:eastAsia="Times New Roman"/>
          <w:noProof/>
          <w:color w:val="000000" w:themeColor="text1"/>
        </w:rPr>
        <w:t>.</w:t>
      </w:r>
      <w:r w:rsidR="00B227DE" w:rsidRPr="00CE2185">
        <w:rPr>
          <w:rFonts w:eastAsia="Times New Roman"/>
          <w:noProof/>
          <w:color w:val="000000" w:themeColor="text1"/>
        </w:rPr>
        <w:t xml:space="preserve"> </w:t>
      </w:r>
    </w:p>
    <w:p w14:paraId="3B6CF8C7" w14:textId="4228DC78" w:rsidR="00F57D9D" w:rsidRPr="00CE2185" w:rsidRDefault="00DB28C3" w:rsidP="00795DF0">
      <w:pPr>
        <w:spacing w:after="120"/>
        <w:rPr>
          <w:rFonts w:eastAsia="Times New Roman"/>
          <w:noProof/>
          <w:color w:val="000000" w:themeColor="text1"/>
        </w:rPr>
      </w:pPr>
      <w:r w:rsidRPr="00CE2185">
        <w:rPr>
          <w:rFonts w:eastAsia="Times New Roman"/>
          <w:noProof/>
          <w:color w:val="000000" w:themeColor="text1"/>
        </w:rPr>
        <w:t xml:space="preserve">In the area of </w:t>
      </w:r>
      <w:r w:rsidR="005F415C" w:rsidRPr="00CE2185">
        <w:rPr>
          <w:rFonts w:eastAsia="Times New Roman"/>
          <w:noProof/>
          <w:color w:val="000000" w:themeColor="text1"/>
        </w:rPr>
        <w:t xml:space="preserve">skills, </w:t>
      </w:r>
      <w:r w:rsidR="4221A173" w:rsidRPr="00CE2185">
        <w:rPr>
          <w:rFonts w:eastAsia="Times New Roman"/>
          <w:noProof/>
          <w:color w:val="000000" w:themeColor="text1"/>
        </w:rPr>
        <w:t>without</w:t>
      </w:r>
      <w:r w:rsidR="343D222B" w:rsidRPr="00CE2185">
        <w:rPr>
          <w:rFonts w:eastAsia="Times New Roman"/>
          <w:noProof/>
          <w:color w:val="000000" w:themeColor="text1"/>
        </w:rPr>
        <w:t xml:space="preserve"> intervention, </w:t>
      </w:r>
      <w:r w:rsidR="2AB8DCF1" w:rsidRPr="00CE2185">
        <w:rPr>
          <w:rFonts w:eastAsia="Times New Roman"/>
          <w:noProof/>
          <w:color w:val="000000" w:themeColor="text1"/>
        </w:rPr>
        <w:t xml:space="preserve">the ECSF would </w:t>
      </w:r>
      <w:r w:rsidR="080D0CED" w:rsidRPr="00CE2185">
        <w:rPr>
          <w:rFonts w:eastAsia="Times New Roman"/>
          <w:noProof/>
          <w:color w:val="000000" w:themeColor="text1"/>
        </w:rPr>
        <w:t>not fulfil its potential as</w:t>
      </w:r>
      <w:r w:rsidR="2AB8DCF1" w:rsidRPr="00CE2185">
        <w:rPr>
          <w:rFonts w:eastAsia="Times New Roman"/>
          <w:noProof/>
          <w:color w:val="000000" w:themeColor="text1"/>
        </w:rPr>
        <w:t xml:space="preserve"> a reference framework to the skills and competencies recognition</w:t>
      </w:r>
      <w:r w:rsidR="23D495A0" w:rsidRPr="00CE2185">
        <w:rPr>
          <w:rFonts w:eastAsia="Times New Roman"/>
          <w:noProof/>
          <w:color w:val="000000" w:themeColor="text1"/>
        </w:rPr>
        <w:t>, as ENISA has no task to develop skills attestation schemes based on the ECSF</w:t>
      </w:r>
      <w:r w:rsidR="2AB8DCF1" w:rsidRPr="00CE2185">
        <w:rPr>
          <w:rFonts w:eastAsia="Times New Roman"/>
          <w:noProof/>
          <w:color w:val="000000" w:themeColor="text1"/>
        </w:rPr>
        <w:t xml:space="preserve">. </w:t>
      </w:r>
      <w:r w:rsidR="00CD4D44" w:rsidRPr="00CE2185">
        <w:rPr>
          <w:rFonts w:eastAsia="Times New Roman"/>
          <w:noProof/>
          <w:color w:val="000000" w:themeColor="text1"/>
        </w:rPr>
        <w:t>I</w:t>
      </w:r>
      <w:r w:rsidR="2AB8DCF1" w:rsidRPr="00CE2185">
        <w:rPr>
          <w:rFonts w:eastAsia="Times New Roman"/>
          <w:noProof/>
          <w:color w:val="000000" w:themeColor="text1"/>
        </w:rPr>
        <w:t xml:space="preserve">ndividual certifications recognised on the market </w:t>
      </w:r>
      <w:r w:rsidR="1FAE8CB9" w:rsidRPr="00CE2185">
        <w:rPr>
          <w:rFonts w:eastAsia="Times New Roman"/>
          <w:noProof/>
          <w:color w:val="000000" w:themeColor="text1"/>
        </w:rPr>
        <w:t xml:space="preserve">would </w:t>
      </w:r>
      <w:r w:rsidR="203A2AA1" w:rsidRPr="00CE2185">
        <w:rPr>
          <w:rFonts w:eastAsia="Times New Roman"/>
          <w:noProof/>
          <w:color w:val="000000" w:themeColor="text1"/>
        </w:rPr>
        <w:t>remain with a few</w:t>
      </w:r>
      <w:r w:rsidR="2AB8DCF1" w:rsidRPr="00CE2185">
        <w:rPr>
          <w:rFonts w:eastAsia="Times New Roman"/>
          <w:noProof/>
          <w:color w:val="000000" w:themeColor="text1"/>
        </w:rPr>
        <w:t xml:space="preserve"> non-European private players and prove expensive for individuals to obtain. </w:t>
      </w:r>
      <w:r w:rsidR="345AF4CC" w:rsidRPr="00CE2185">
        <w:rPr>
          <w:rFonts w:eastAsia="Times New Roman"/>
          <w:noProof/>
          <w:color w:val="000000" w:themeColor="text1"/>
        </w:rPr>
        <w:t>Alternatively, i</w:t>
      </w:r>
      <w:r w:rsidR="0CCC64A1" w:rsidRPr="00CE2185">
        <w:rPr>
          <w:rFonts w:eastAsia="Times New Roman"/>
          <w:noProof/>
          <w:color w:val="000000" w:themeColor="text1"/>
        </w:rPr>
        <w:t>t could also lead to M</w:t>
      </w:r>
      <w:r w:rsidR="343D222B" w:rsidRPr="00CE2185">
        <w:rPr>
          <w:rFonts w:eastAsia="Times New Roman"/>
          <w:noProof/>
          <w:color w:val="000000" w:themeColor="text1"/>
        </w:rPr>
        <w:t xml:space="preserve">ember States </w:t>
      </w:r>
      <w:r w:rsidR="37534F7C" w:rsidRPr="00CE2185">
        <w:rPr>
          <w:rFonts w:eastAsia="Times New Roman"/>
          <w:noProof/>
          <w:color w:val="000000" w:themeColor="text1"/>
        </w:rPr>
        <w:t xml:space="preserve">developing their own schemes </w:t>
      </w:r>
      <w:r w:rsidR="0DA72061" w:rsidRPr="00CE2185">
        <w:rPr>
          <w:rFonts w:eastAsia="Times New Roman"/>
          <w:noProof/>
          <w:color w:val="000000" w:themeColor="text1"/>
        </w:rPr>
        <w:t>limiting skills portability in the Single Market.</w:t>
      </w:r>
    </w:p>
    <w:p w14:paraId="343700EA" w14:textId="73284E4B" w:rsidR="00F57D9D" w:rsidRPr="00CE2185" w:rsidRDefault="4273F661" w:rsidP="00795DF0">
      <w:pPr>
        <w:spacing w:after="120"/>
        <w:rPr>
          <w:rFonts w:eastAsia="Times New Roman"/>
          <w:noProof/>
          <w:color w:val="000000" w:themeColor="text1"/>
        </w:rPr>
      </w:pPr>
      <w:r w:rsidRPr="00CE2185">
        <w:rPr>
          <w:rFonts w:eastAsia="Times New Roman"/>
          <w:noProof/>
          <w:color w:val="000000" w:themeColor="text1"/>
        </w:rPr>
        <w:t xml:space="preserve">Finally, </w:t>
      </w:r>
      <w:r w:rsidR="007750E0" w:rsidRPr="00CE2185">
        <w:rPr>
          <w:rFonts w:eastAsia="Times New Roman"/>
          <w:noProof/>
          <w:color w:val="000000" w:themeColor="text1"/>
        </w:rPr>
        <w:t xml:space="preserve">in </w:t>
      </w:r>
      <w:r w:rsidRPr="00CE2185">
        <w:rPr>
          <w:rFonts w:eastAsia="Times New Roman"/>
          <w:noProof/>
          <w:color w:val="000000" w:themeColor="text1"/>
        </w:rPr>
        <w:t xml:space="preserve">the </w:t>
      </w:r>
      <w:r w:rsidR="007750E0" w:rsidRPr="00CE2185">
        <w:rPr>
          <w:rFonts w:eastAsia="Times New Roman"/>
          <w:noProof/>
          <w:color w:val="000000" w:themeColor="text1"/>
        </w:rPr>
        <w:t>baseline scenario</w:t>
      </w:r>
      <w:r w:rsidR="008D17B3" w:rsidRPr="00CE2185">
        <w:rPr>
          <w:rFonts w:eastAsia="Times New Roman"/>
          <w:noProof/>
          <w:color w:val="000000" w:themeColor="text1"/>
        </w:rPr>
        <w:t>,</w:t>
      </w:r>
      <w:r w:rsidR="55DFCBBE" w:rsidRPr="00CE2185">
        <w:rPr>
          <w:rFonts w:eastAsia="Times New Roman"/>
          <w:noProof/>
          <w:color w:val="000000" w:themeColor="text1"/>
        </w:rPr>
        <w:t xml:space="preserve"> </w:t>
      </w:r>
      <w:r w:rsidR="003044E6" w:rsidRPr="00CE2185">
        <w:rPr>
          <w:rFonts w:eastAsia="Times New Roman"/>
          <w:noProof/>
          <w:color w:val="000000" w:themeColor="text1"/>
        </w:rPr>
        <w:t xml:space="preserve">the Commission will continue to lack substantial technical support </w:t>
      </w:r>
      <w:r w:rsidR="00D81790" w:rsidRPr="00CE2185">
        <w:rPr>
          <w:rFonts w:eastAsia="Times New Roman"/>
          <w:noProof/>
          <w:color w:val="000000" w:themeColor="text1"/>
        </w:rPr>
        <w:t>and expertise</w:t>
      </w:r>
      <w:r w:rsidR="003044E6" w:rsidRPr="00CE2185">
        <w:rPr>
          <w:rFonts w:eastAsia="Times New Roman"/>
          <w:noProof/>
          <w:color w:val="000000" w:themeColor="text1"/>
        </w:rPr>
        <w:t xml:space="preserve"> </w:t>
      </w:r>
      <w:r w:rsidR="00BA7621" w:rsidRPr="00CE2185">
        <w:rPr>
          <w:rFonts w:eastAsia="Times New Roman"/>
          <w:noProof/>
          <w:color w:val="000000" w:themeColor="text1"/>
        </w:rPr>
        <w:t>i</w:t>
      </w:r>
      <w:r w:rsidR="00E22D15" w:rsidRPr="00CE2185">
        <w:rPr>
          <w:rFonts w:eastAsia="Times New Roman"/>
          <w:noProof/>
          <w:color w:val="000000" w:themeColor="text1"/>
        </w:rPr>
        <w:t>n</w:t>
      </w:r>
      <w:r w:rsidR="003044E6" w:rsidRPr="00CE2185">
        <w:rPr>
          <w:rFonts w:eastAsia="Times New Roman"/>
          <w:noProof/>
          <w:color w:val="000000" w:themeColor="text1"/>
        </w:rPr>
        <w:t xml:space="preserve"> </w:t>
      </w:r>
      <w:r w:rsidR="55DFCBBE" w:rsidRPr="00CE2185">
        <w:rPr>
          <w:rFonts w:eastAsia="Times New Roman"/>
          <w:noProof/>
          <w:color w:val="000000" w:themeColor="text1"/>
        </w:rPr>
        <w:t xml:space="preserve">European and international </w:t>
      </w:r>
      <w:r w:rsidR="00962434" w:rsidRPr="00CE2185">
        <w:rPr>
          <w:rFonts w:eastAsia="Times New Roman"/>
          <w:noProof/>
          <w:color w:val="000000" w:themeColor="text1"/>
        </w:rPr>
        <w:t>standards</w:t>
      </w:r>
      <w:r w:rsidR="55DFCBBE" w:rsidRPr="00CE2185">
        <w:rPr>
          <w:rFonts w:eastAsia="Times New Roman"/>
          <w:noProof/>
          <w:color w:val="000000" w:themeColor="text1"/>
        </w:rPr>
        <w:t xml:space="preserve"> </w:t>
      </w:r>
      <w:r w:rsidR="008D17B3" w:rsidRPr="00CE2185">
        <w:rPr>
          <w:rFonts w:eastAsia="Times New Roman"/>
          <w:noProof/>
          <w:color w:val="000000" w:themeColor="text1"/>
        </w:rPr>
        <w:t>development activities</w:t>
      </w:r>
      <w:r w:rsidR="55DFCBBE" w:rsidRPr="00CE2185">
        <w:rPr>
          <w:rFonts w:eastAsia="Times New Roman"/>
          <w:noProof/>
          <w:color w:val="000000" w:themeColor="text1"/>
        </w:rPr>
        <w:t xml:space="preserve"> </w:t>
      </w:r>
      <w:r w:rsidR="00D81790" w:rsidRPr="00CE2185">
        <w:rPr>
          <w:rFonts w:eastAsia="Times New Roman"/>
          <w:noProof/>
          <w:color w:val="000000" w:themeColor="text1"/>
        </w:rPr>
        <w:t>to facili</w:t>
      </w:r>
      <w:r w:rsidR="00506B5D" w:rsidRPr="00CE2185">
        <w:rPr>
          <w:rFonts w:eastAsia="Times New Roman"/>
          <w:noProof/>
          <w:color w:val="000000" w:themeColor="text1"/>
        </w:rPr>
        <w:t>t</w:t>
      </w:r>
      <w:r w:rsidR="00D81790" w:rsidRPr="00CE2185">
        <w:rPr>
          <w:rFonts w:eastAsia="Times New Roman"/>
          <w:noProof/>
          <w:color w:val="000000" w:themeColor="text1"/>
        </w:rPr>
        <w:t xml:space="preserve">ate the implementation of the </w:t>
      </w:r>
      <w:r w:rsidR="55DFCBBE" w:rsidRPr="00CE2185">
        <w:rPr>
          <w:rFonts w:eastAsia="Times New Roman"/>
          <w:noProof/>
          <w:color w:val="000000" w:themeColor="text1"/>
        </w:rPr>
        <w:t xml:space="preserve">CRA, the ECCF as well as </w:t>
      </w:r>
      <w:r w:rsidR="00A0668B" w:rsidRPr="00CE2185">
        <w:rPr>
          <w:rFonts w:eastAsia="Times New Roman"/>
          <w:noProof/>
          <w:color w:val="000000" w:themeColor="text1"/>
        </w:rPr>
        <w:t>international</w:t>
      </w:r>
      <w:r w:rsidR="55DFCBBE" w:rsidRPr="00CE2185">
        <w:rPr>
          <w:rFonts w:eastAsia="Times New Roman"/>
          <w:noProof/>
          <w:color w:val="000000" w:themeColor="text1"/>
        </w:rPr>
        <w:t xml:space="preserve"> efforts to </w:t>
      </w:r>
      <w:r w:rsidR="00A0668B" w:rsidRPr="00CE2185">
        <w:rPr>
          <w:rFonts w:eastAsia="Times New Roman"/>
          <w:noProof/>
          <w:color w:val="000000" w:themeColor="text1"/>
        </w:rPr>
        <w:t xml:space="preserve">promote the technical alignment with main international partners, such as the </w:t>
      </w:r>
      <w:r w:rsidR="55DFCBBE" w:rsidRPr="00CE2185">
        <w:rPr>
          <w:rFonts w:eastAsia="Times New Roman"/>
          <w:noProof/>
          <w:color w:val="000000" w:themeColor="text1"/>
        </w:rPr>
        <w:t>US.</w:t>
      </w:r>
      <w:r w:rsidR="3F126933" w:rsidRPr="00CE2185">
        <w:rPr>
          <w:rFonts w:eastAsia="Times New Roman"/>
          <w:noProof/>
          <w:color w:val="000000" w:themeColor="text1"/>
        </w:rPr>
        <w:t xml:space="preserve"> </w:t>
      </w:r>
      <w:r w:rsidR="60F9D86E" w:rsidRPr="00CE2185">
        <w:rPr>
          <w:rFonts w:eastAsia="Times New Roman"/>
          <w:noProof/>
          <w:color w:val="000000" w:themeColor="text1"/>
        </w:rPr>
        <w:t xml:space="preserve">Current ENISA’s mandate does not foresee the agency role in the standards development. </w:t>
      </w:r>
      <w:r w:rsidR="00A0668B" w:rsidRPr="00CE2185">
        <w:rPr>
          <w:rFonts w:eastAsia="Times New Roman"/>
          <w:noProof/>
          <w:color w:val="000000" w:themeColor="text1"/>
        </w:rPr>
        <w:t>S</w:t>
      </w:r>
      <w:r w:rsidR="3F126933" w:rsidRPr="00CE2185">
        <w:rPr>
          <w:rFonts w:eastAsia="Times New Roman"/>
          <w:noProof/>
          <w:color w:val="000000" w:themeColor="text1"/>
        </w:rPr>
        <w:t>tandardisation</w:t>
      </w:r>
      <w:r w:rsidR="00A0668B" w:rsidRPr="00CE2185">
        <w:rPr>
          <w:rFonts w:eastAsia="Times New Roman"/>
          <w:noProof/>
          <w:color w:val="000000" w:themeColor="text1"/>
        </w:rPr>
        <w:t xml:space="preserve"> development activities would</w:t>
      </w:r>
      <w:r w:rsidR="3F126933" w:rsidRPr="00CE2185">
        <w:rPr>
          <w:rFonts w:eastAsia="Times New Roman"/>
          <w:noProof/>
          <w:color w:val="000000" w:themeColor="text1"/>
        </w:rPr>
        <w:t xml:space="preserve"> continue to be supported by Member States</w:t>
      </w:r>
      <w:r w:rsidR="233975D3" w:rsidRPr="00CE2185">
        <w:rPr>
          <w:rFonts w:eastAsia="Times New Roman"/>
          <w:noProof/>
          <w:color w:val="000000" w:themeColor="text1"/>
        </w:rPr>
        <w:t xml:space="preserve"> </w:t>
      </w:r>
      <w:r w:rsidR="00A0668B" w:rsidRPr="00CE2185">
        <w:rPr>
          <w:rFonts w:eastAsia="Times New Roman"/>
          <w:noProof/>
          <w:color w:val="000000" w:themeColor="text1"/>
        </w:rPr>
        <w:t xml:space="preserve">and industry, </w:t>
      </w:r>
      <w:r w:rsidR="233975D3" w:rsidRPr="00CE2185">
        <w:rPr>
          <w:rFonts w:eastAsia="Times New Roman"/>
          <w:noProof/>
          <w:color w:val="000000" w:themeColor="text1"/>
        </w:rPr>
        <w:t xml:space="preserve">but it </w:t>
      </w:r>
      <w:r w:rsidR="00F40BDE" w:rsidRPr="00CE2185">
        <w:rPr>
          <w:rFonts w:eastAsia="Times New Roman"/>
          <w:noProof/>
          <w:color w:val="000000" w:themeColor="text1"/>
        </w:rPr>
        <w:t>c</w:t>
      </w:r>
      <w:r w:rsidR="233975D3" w:rsidRPr="00CE2185">
        <w:rPr>
          <w:rFonts w:eastAsia="Times New Roman"/>
          <w:noProof/>
          <w:color w:val="000000" w:themeColor="text1"/>
        </w:rPr>
        <w:t xml:space="preserve">ould </w:t>
      </w:r>
      <w:r w:rsidR="003D0F36" w:rsidRPr="00CE2185">
        <w:rPr>
          <w:rFonts w:eastAsia="Times New Roman"/>
          <w:noProof/>
          <w:color w:val="000000" w:themeColor="text1"/>
        </w:rPr>
        <w:t>also</w:t>
      </w:r>
      <w:r w:rsidR="233975D3" w:rsidRPr="00CE2185">
        <w:rPr>
          <w:rFonts w:eastAsia="Times New Roman"/>
          <w:noProof/>
          <w:color w:val="000000" w:themeColor="text1"/>
        </w:rPr>
        <w:t xml:space="preserve"> lead to the EU needing to rely on work done by th</w:t>
      </w:r>
      <w:r w:rsidR="00F40BDE" w:rsidRPr="00CE2185">
        <w:rPr>
          <w:rFonts w:eastAsia="Times New Roman"/>
          <w:noProof/>
          <w:color w:val="000000" w:themeColor="text1"/>
        </w:rPr>
        <w:t>ird</w:t>
      </w:r>
      <w:r w:rsidR="00E76078" w:rsidRPr="00CE2185">
        <w:rPr>
          <w:rFonts w:eastAsia="Times New Roman"/>
          <w:noProof/>
          <w:color w:val="000000" w:themeColor="text1"/>
        </w:rPr>
        <w:t xml:space="preserve"> </w:t>
      </w:r>
      <w:r w:rsidR="233975D3" w:rsidRPr="00CE2185">
        <w:rPr>
          <w:rFonts w:eastAsia="Times New Roman"/>
          <w:noProof/>
          <w:color w:val="000000" w:themeColor="text1"/>
        </w:rPr>
        <w:t xml:space="preserve">countries </w:t>
      </w:r>
      <w:r w:rsidR="005F2241" w:rsidRPr="00CE2185">
        <w:rPr>
          <w:rFonts w:eastAsia="Times New Roman"/>
          <w:noProof/>
          <w:color w:val="000000" w:themeColor="text1"/>
        </w:rPr>
        <w:t>weakening</w:t>
      </w:r>
      <w:r w:rsidR="00F40BDE" w:rsidRPr="00CE2185">
        <w:rPr>
          <w:rFonts w:eastAsia="Times New Roman"/>
          <w:noProof/>
          <w:color w:val="000000" w:themeColor="text1"/>
        </w:rPr>
        <w:t xml:space="preserve"> its technological leadership and values</w:t>
      </w:r>
      <w:r w:rsidR="233975D3" w:rsidRPr="00CE2185">
        <w:rPr>
          <w:rFonts w:eastAsia="Times New Roman"/>
          <w:noProof/>
          <w:color w:val="000000" w:themeColor="text1"/>
        </w:rPr>
        <w:t xml:space="preserve">. </w:t>
      </w:r>
      <w:r w:rsidR="0074427F" w:rsidRPr="00CE2185">
        <w:rPr>
          <w:rFonts w:eastAsia="Times New Roman"/>
          <w:noProof/>
          <w:color w:val="000000" w:themeColor="text1"/>
        </w:rPr>
        <w:t xml:space="preserve"> </w:t>
      </w:r>
    </w:p>
    <w:p w14:paraId="11F79504" w14:textId="0A78F695" w:rsidR="00F57D9D" w:rsidRPr="00CE2185" w:rsidRDefault="002853F2" w:rsidP="00795DF0">
      <w:pPr>
        <w:spacing w:after="120"/>
        <w:rPr>
          <w:rFonts w:eastAsia="Times New Roman"/>
          <w:noProof/>
          <w:color w:val="000000" w:themeColor="text1"/>
        </w:rPr>
      </w:pPr>
      <w:r w:rsidRPr="00CE2185">
        <w:rPr>
          <w:rFonts w:eastAsia="Times New Roman"/>
          <w:noProof/>
          <w:color w:val="000000" w:themeColor="text1"/>
        </w:rPr>
        <w:t>For t</w:t>
      </w:r>
      <w:r w:rsidR="00F57D9D" w:rsidRPr="00CE2185">
        <w:rPr>
          <w:rFonts w:eastAsia="Times New Roman"/>
          <w:noProof/>
          <w:color w:val="000000" w:themeColor="text1"/>
        </w:rPr>
        <w:t xml:space="preserve">he </w:t>
      </w:r>
      <w:r w:rsidR="00F57D9D" w:rsidRPr="00CE2185">
        <w:rPr>
          <w:rFonts w:eastAsia="Times New Roman"/>
          <w:b/>
          <w:bCs/>
          <w:noProof/>
          <w:color w:val="000000" w:themeColor="text1"/>
        </w:rPr>
        <w:t>ECCF</w:t>
      </w:r>
      <w:r w:rsidR="00F57D9D" w:rsidRPr="00CE2185">
        <w:rPr>
          <w:rFonts w:eastAsia="Times New Roman"/>
          <w:noProof/>
          <w:color w:val="000000" w:themeColor="text1"/>
        </w:rPr>
        <w:t xml:space="preserve">'s </w:t>
      </w:r>
      <w:r w:rsidR="00B90F7E" w:rsidRPr="00CE2185">
        <w:rPr>
          <w:rFonts w:eastAsia="Times New Roman"/>
          <w:noProof/>
          <w:color w:val="000000" w:themeColor="text1"/>
        </w:rPr>
        <w:t>under the baseline scenario</w:t>
      </w:r>
      <w:r w:rsidR="00C10F0E" w:rsidRPr="00CE2185">
        <w:rPr>
          <w:rFonts w:eastAsia="Times New Roman"/>
          <w:noProof/>
          <w:color w:val="000000" w:themeColor="text1"/>
        </w:rPr>
        <w:t xml:space="preserve">, </w:t>
      </w:r>
      <w:r w:rsidR="00F57D9D" w:rsidRPr="00CE2185">
        <w:rPr>
          <w:rFonts w:eastAsia="Times New Roman"/>
          <w:noProof/>
          <w:color w:val="000000" w:themeColor="text1"/>
        </w:rPr>
        <w:t xml:space="preserve">the slow development and adoption of schemes under the ECCF, </w:t>
      </w:r>
      <w:r w:rsidR="00660677" w:rsidRPr="00CE2185">
        <w:rPr>
          <w:rFonts w:eastAsia="Times New Roman"/>
          <w:noProof/>
          <w:color w:val="000000" w:themeColor="text1"/>
        </w:rPr>
        <w:t xml:space="preserve">including the average time of developing schemes (4 to 4.5 years – </w:t>
      </w:r>
      <w:r w:rsidR="00660677" w:rsidRPr="00CE2185">
        <w:rPr>
          <w:i/>
          <w:iCs/>
          <w:noProof/>
        </w:rPr>
        <w:t>see</w:t>
      </w:r>
      <w:r w:rsidR="00660677" w:rsidRPr="00CE2185">
        <w:rPr>
          <w:rFonts w:eastAsia="Times New Roman"/>
          <w:noProof/>
          <w:color w:val="000000" w:themeColor="text1"/>
        </w:rPr>
        <w:t xml:space="preserve"> </w:t>
      </w:r>
      <w:r w:rsidR="00660677" w:rsidRPr="00CE2185">
        <w:rPr>
          <w:rFonts w:eastAsia="Times New Roman"/>
          <w:i/>
          <w:iCs/>
          <w:noProof/>
          <w:color w:val="000000" w:themeColor="text1"/>
        </w:rPr>
        <w:t xml:space="preserve">Annex </w:t>
      </w:r>
      <w:r w:rsidR="00D34C49" w:rsidRPr="00CE2185">
        <w:rPr>
          <w:rFonts w:eastAsia="Times New Roman"/>
          <w:i/>
          <w:iCs/>
          <w:noProof/>
          <w:color w:val="000000" w:themeColor="text1"/>
        </w:rPr>
        <w:t>12</w:t>
      </w:r>
      <w:r w:rsidR="0096496F" w:rsidRPr="00CE2185">
        <w:rPr>
          <w:rFonts w:eastAsia="Times New Roman"/>
          <w:noProof/>
          <w:color w:val="000000" w:themeColor="text1"/>
        </w:rPr>
        <w:t>)</w:t>
      </w:r>
      <w:r w:rsidR="00551B2B" w:rsidRPr="00CE2185">
        <w:rPr>
          <w:rFonts w:eastAsia="Times New Roman"/>
          <w:noProof/>
          <w:color w:val="000000" w:themeColor="text1"/>
        </w:rPr>
        <w:t xml:space="preserve"> is likely to persist,</w:t>
      </w:r>
      <w:r w:rsidR="00F57D9D" w:rsidRPr="00CE2185">
        <w:rPr>
          <w:rFonts w:eastAsia="Times New Roman"/>
          <w:noProof/>
          <w:color w:val="000000" w:themeColor="text1"/>
        </w:rPr>
        <w:t xml:space="preserve"> coupled with </w:t>
      </w:r>
      <w:r w:rsidR="00691274" w:rsidRPr="00CE2185">
        <w:rPr>
          <w:rFonts w:eastAsia="Times New Roman"/>
          <w:noProof/>
          <w:color w:val="000000" w:themeColor="text1"/>
        </w:rPr>
        <w:t xml:space="preserve">inefficient </w:t>
      </w:r>
      <w:r w:rsidR="00F57D9D" w:rsidRPr="00CE2185">
        <w:rPr>
          <w:rFonts w:eastAsia="Times New Roman"/>
          <w:noProof/>
          <w:color w:val="000000" w:themeColor="text1"/>
        </w:rPr>
        <w:t>procedures</w:t>
      </w:r>
      <w:r w:rsidR="00C10F0E" w:rsidRPr="00CE2185">
        <w:rPr>
          <w:rFonts w:eastAsia="Times New Roman"/>
          <w:noProof/>
          <w:color w:val="000000" w:themeColor="text1"/>
        </w:rPr>
        <w:t xml:space="preserve"> as noted in </w:t>
      </w:r>
      <w:r w:rsidR="00C10F0E" w:rsidRPr="00CE2185">
        <w:rPr>
          <w:rFonts w:eastAsia="Times New Roman"/>
          <w:i/>
          <w:iCs/>
          <w:noProof/>
          <w:color w:val="000000" w:themeColor="text1"/>
        </w:rPr>
        <w:t>Section 2.1.2</w:t>
      </w:r>
      <w:r w:rsidR="00551B2B" w:rsidRPr="00CE2185">
        <w:rPr>
          <w:rFonts w:eastAsia="Times New Roman"/>
          <w:i/>
          <w:iCs/>
          <w:noProof/>
          <w:color w:val="000000" w:themeColor="text1"/>
        </w:rPr>
        <w:t xml:space="preserve">. </w:t>
      </w:r>
      <w:r w:rsidR="00551B2B" w:rsidRPr="00CE2185">
        <w:rPr>
          <w:rFonts w:eastAsia="Times New Roman"/>
          <w:noProof/>
          <w:color w:val="000000" w:themeColor="text1"/>
        </w:rPr>
        <w:t xml:space="preserve">The </w:t>
      </w:r>
      <w:r w:rsidR="0056273A" w:rsidRPr="00CE2185">
        <w:rPr>
          <w:rFonts w:eastAsia="Times New Roman"/>
          <w:noProof/>
          <w:color w:val="000000" w:themeColor="text1"/>
        </w:rPr>
        <w:t>lack of</w:t>
      </w:r>
      <w:r w:rsidR="00F57D9D" w:rsidRPr="00CE2185">
        <w:rPr>
          <w:rFonts w:eastAsia="Times New Roman"/>
          <w:noProof/>
          <w:color w:val="000000" w:themeColor="text1"/>
        </w:rPr>
        <w:t xml:space="preserve"> a robust scheme maintenance mechanism</w:t>
      </w:r>
      <w:r w:rsidR="000C53E2" w:rsidRPr="00CE2185">
        <w:rPr>
          <w:rFonts w:eastAsia="Times New Roman"/>
          <w:noProof/>
          <w:color w:val="000000" w:themeColor="text1"/>
        </w:rPr>
        <w:t xml:space="preserve"> </w:t>
      </w:r>
      <w:r w:rsidR="69FAF1D1" w:rsidRPr="00CE2185">
        <w:rPr>
          <w:rFonts w:eastAsia="Times New Roman"/>
          <w:noProof/>
          <w:color w:val="000000" w:themeColor="text1"/>
        </w:rPr>
        <w:t xml:space="preserve">(not part of the current ECCF) </w:t>
      </w:r>
      <w:r w:rsidR="000C53E2" w:rsidRPr="00CE2185">
        <w:rPr>
          <w:rFonts w:eastAsia="Times New Roman"/>
          <w:noProof/>
          <w:color w:val="000000" w:themeColor="text1"/>
        </w:rPr>
        <w:t>will</w:t>
      </w:r>
      <w:r w:rsidR="00F57D9D" w:rsidRPr="00CE2185">
        <w:rPr>
          <w:rFonts w:eastAsia="Times New Roman"/>
          <w:noProof/>
          <w:color w:val="000000" w:themeColor="text1"/>
        </w:rPr>
        <w:t xml:space="preserve"> persist, leading to </w:t>
      </w:r>
      <w:r w:rsidR="003C3944" w:rsidRPr="00CE2185">
        <w:rPr>
          <w:rFonts w:eastAsia="Times New Roman"/>
          <w:noProof/>
          <w:color w:val="000000" w:themeColor="text1"/>
        </w:rPr>
        <w:t>the risk of adopted schemes to become quickly outdated</w:t>
      </w:r>
      <w:r w:rsidR="00F57D9D" w:rsidRPr="00CE2185">
        <w:rPr>
          <w:rFonts w:eastAsia="Times New Roman"/>
          <w:noProof/>
          <w:color w:val="000000" w:themeColor="text1"/>
        </w:rPr>
        <w:t>.</w:t>
      </w:r>
      <w:r w:rsidR="00A54304" w:rsidRPr="00CE2185">
        <w:rPr>
          <w:rFonts w:eastAsia="Times New Roman"/>
          <w:noProof/>
          <w:color w:val="000000" w:themeColor="text1"/>
        </w:rPr>
        <w:t xml:space="preserve"> </w:t>
      </w:r>
      <w:r w:rsidR="003B07F0" w:rsidRPr="00CE2185">
        <w:rPr>
          <w:rFonts w:eastAsia="Times New Roman"/>
          <w:noProof/>
          <w:color w:val="000000" w:themeColor="text1"/>
        </w:rPr>
        <w:t>The</w:t>
      </w:r>
      <w:r w:rsidR="00551B2B" w:rsidRPr="00CE2185">
        <w:rPr>
          <w:rFonts w:eastAsia="Times New Roman"/>
          <w:noProof/>
          <w:color w:val="000000" w:themeColor="text1"/>
        </w:rPr>
        <w:t>se</w:t>
      </w:r>
      <w:r w:rsidR="00660677" w:rsidRPr="00CE2185">
        <w:rPr>
          <w:rFonts w:eastAsia="Times New Roman"/>
          <w:noProof/>
          <w:color w:val="000000" w:themeColor="text1"/>
        </w:rPr>
        <w:t xml:space="preserve"> shortcomings of the ECCF</w:t>
      </w:r>
      <w:r w:rsidR="00551B2B" w:rsidRPr="00CE2185">
        <w:rPr>
          <w:rFonts w:eastAsia="Times New Roman"/>
          <w:noProof/>
          <w:color w:val="000000" w:themeColor="text1"/>
        </w:rPr>
        <w:t xml:space="preserve"> </w:t>
      </w:r>
      <w:r w:rsidR="00A2437B" w:rsidRPr="00CE2185">
        <w:rPr>
          <w:rFonts w:eastAsia="Times New Roman"/>
          <w:noProof/>
          <w:color w:val="000000" w:themeColor="text1"/>
        </w:rPr>
        <w:t>will</w:t>
      </w:r>
      <w:r w:rsidR="00551B2B" w:rsidRPr="00CE2185">
        <w:rPr>
          <w:rFonts w:eastAsia="Times New Roman"/>
          <w:noProof/>
          <w:color w:val="000000" w:themeColor="text1"/>
        </w:rPr>
        <w:t xml:space="preserve"> likely</w:t>
      </w:r>
      <w:r w:rsidR="00BB26DC" w:rsidRPr="00CE2185">
        <w:rPr>
          <w:rFonts w:eastAsia="Times New Roman"/>
          <w:noProof/>
          <w:color w:val="000000" w:themeColor="text1"/>
        </w:rPr>
        <w:t xml:space="preserve"> </w:t>
      </w:r>
      <w:r w:rsidR="00A2437B" w:rsidRPr="00CE2185">
        <w:rPr>
          <w:rFonts w:eastAsia="Times New Roman"/>
          <w:noProof/>
          <w:color w:val="000000" w:themeColor="text1"/>
        </w:rPr>
        <w:t>undermine the</w:t>
      </w:r>
      <w:r w:rsidR="00551B2B" w:rsidRPr="00CE2185">
        <w:rPr>
          <w:rFonts w:eastAsia="Times New Roman"/>
          <w:noProof/>
          <w:color w:val="000000" w:themeColor="text1"/>
        </w:rPr>
        <w:t xml:space="preserve"> </w:t>
      </w:r>
      <w:r w:rsidR="009E4BAC" w:rsidRPr="00CE2185">
        <w:rPr>
          <w:rFonts w:eastAsia="Times New Roman"/>
          <w:noProof/>
          <w:color w:val="000000" w:themeColor="text1"/>
        </w:rPr>
        <w:t xml:space="preserve">request for and </w:t>
      </w:r>
      <w:r w:rsidR="00A2437B" w:rsidRPr="00CE2185">
        <w:rPr>
          <w:rFonts w:eastAsia="Times New Roman"/>
          <w:noProof/>
          <w:color w:val="000000" w:themeColor="text1"/>
        </w:rPr>
        <w:t>adoption of</w:t>
      </w:r>
      <w:r w:rsidR="00BB26DC" w:rsidRPr="00CE2185">
        <w:rPr>
          <w:rFonts w:eastAsia="Times New Roman"/>
          <w:noProof/>
          <w:color w:val="000000" w:themeColor="text1"/>
        </w:rPr>
        <w:t xml:space="preserve"> new schemes</w:t>
      </w:r>
      <w:r w:rsidR="563F0BE9" w:rsidRPr="00CE2185">
        <w:rPr>
          <w:rFonts w:eastAsia="Times New Roman"/>
          <w:noProof/>
          <w:color w:val="000000" w:themeColor="text1"/>
        </w:rPr>
        <w:t xml:space="preserve"> </w:t>
      </w:r>
      <w:r w:rsidR="00BB26DC" w:rsidRPr="00CE2185">
        <w:rPr>
          <w:rFonts w:eastAsia="Times New Roman"/>
          <w:noProof/>
          <w:color w:val="000000" w:themeColor="text1"/>
        </w:rPr>
        <w:t>Draft s</w:t>
      </w:r>
      <w:r w:rsidR="013665AC" w:rsidRPr="00CE2185">
        <w:rPr>
          <w:rFonts w:eastAsia="Times New Roman"/>
          <w:noProof/>
          <w:color w:val="000000" w:themeColor="text1"/>
        </w:rPr>
        <w:t xml:space="preserve">chemes such as EUCS and EU5G </w:t>
      </w:r>
      <w:r w:rsidR="00BB26DC" w:rsidRPr="00CE2185">
        <w:rPr>
          <w:rFonts w:eastAsia="Times New Roman"/>
          <w:noProof/>
          <w:color w:val="000000" w:themeColor="text1"/>
        </w:rPr>
        <w:t xml:space="preserve">will </w:t>
      </w:r>
      <w:r w:rsidR="64C8448D" w:rsidRPr="00CE2185">
        <w:rPr>
          <w:rFonts w:eastAsia="Times New Roman"/>
          <w:noProof/>
          <w:color w:val="000000" w:themeColor="text1"/>
        </w:rPr>
        <w:t xml:space="preserve">continue </w:t>
      </w:r>
      <w:r w:rsidR="013665AC" w:rsidRPr="00CE2185">
        <w:rPr>
          <w:rFonts w:eastAsia="Times New Roman"/>
          <w:noProof/>
          <w:color w:val="000000" w:themeColor="text1"/>
        </w:rPr>
        <w:t xml:space="preserve">being </w:t>
      </w:r>
      <w:r w:rsidR="00A1CFD8" w:rsidRPr="00CE2185">
        <w:rPr>
          <w:rFonts w:eastAsia="Times New Roman"/>
          <w:noProof/>
          <w:color w:val="000000" w:themeColor="text1"/>
        </w:rPr>
        <w:t>blocked</w:t>
      </w:r>
      <w:r w:rsidR="438EEBD3" w:rsidRPr="00CE2185">
        <w:rPr>
          <w:rFonts w:eastAsia="Times New Roman"/>
          <w:noProof/>
          <w:color w:val="000000" w:themeColor="text1"/>
        </w:rPr>
        <w:t xml:space="preserve"> due to lack of measures to </w:t>
      </w:r>
      <w:r w:rsidR="00750112" w:rsidRPr="00CE2185">
        <w:rPr>
          <w:rFonts w:eastAsia="Times New Roman"/>
          <w:noProof/>
          <w:color w:val="000000" w:themeColor="text1"/>
        </w:rPr>
        <w:t>address</w:t>
      </w:r>
      <w:r w:rsidR="438EEBD3" w:rsidRPr="00CE2185">
        <w:rPr>
          <w:rFonts w:eastAsia="Times New Roman"/>
          <w:noProof/>
          <w:color w:val="000000" w:themeColor="text1"/>
        </w:rPr>
        <w:t xml:space="preserve"> non</w:t>
      </w:r>
      <w:r w:rsidR="00750112" w:rsidRPr="00CE2185">
        <w:rPr>
          <w:rFonts w:eastAsia="Times New Roman"/>
          <w:noProof/>
          <w:color w:val="000000" w:themeColor="text1"/>
        </w:rPr>
        <w:t>-</w:t>
      </w:r>
      <w:r w:rsidR="438EEBD3" w:rsidRPr="00CE2185">
        <w:rPr>
          <w:rFonts w:eastAsia="Times New Roman"/>
          <w:noProof/>
          <w:color w:val="000000" w:themeColor="text1"/>
        </w:rPr>
        <w:t>technical risks</w:t>
      </w:r>
      <w:r w:rsidR="00A1CFD8" w:rsidRPr="00CE2185">
        <w:rPr>
          <w:rFonts w:eastAsia="Times New Roman"/>
          <w:noProof/>
          <w:color w:val="000000" w:themeColor="text1"/>
        </w:rPr>
        <w:t>.</w:t>
      </w:r>
      <w:r w:rsidR="685A6F2A" w:rsidRPr="00CE2185">
        <w:rPr>
          <w:rFonts w:eastAsia="Times New Roman"/>
          <w:noProof/>
          <w:color w:val="000000" w:themeColor="text1"/>
        </w:rPr>
        <w:t xml:space="preserve"> </w:t>
      </w:r>
      <w:r w:rsidR="00A54304" w:rsidRPr="00CE2185">
        <w:rPr>
          <w:rFonts w:eastAsia="Times New Roman"/>
          <w:noProof/>
          <w:color w:val="000000" w:themeColor="text1"/>
          <w:lang w:val="en-IE"/>
        </w:rPr>
        <w:t xml:space="preserve"> </w:t>
      </w:r>
      <w:r w:rsidR="00F44025" w:rsidRPr="00CE2185">
        <w:rPr>
          <w:rFonts w:eastAsia="Times New Roman"/>
          <w:noProof/>
          <w:color w:val="000000" w:themeColor="text1"/>
          <w:lang w:val="en-IE"/>
        </w:rPr>
        <w:t>Regarding the schemes on</w:t>
      </w:r>
      <w:r w:rsidR="00A54304" w:rsidRPr="00CE2185">
        <w:rPr>
          <w:rFonts w:eastAsia="Times New Roman"/>
          <w:noProof/>
          <w:color w:val="000000" w:themeColor="text1"/>
          <w:lang w:val="en-IE"/>
        </w:rPr>
        <w:t xml:space="preserve"> Managed Security Services (MSS) European ID Wallet (EUID)</w:t>
      </w:r>
      <w:r w:rsidR="00F44025" w:rsidRPr="00CE2185">
        <w:rPr>
          <w:rFonts w:eastAsia="Times New Roman"/>
          <w:noProof/>
          <w:color w:val="000000" w:themeColor="text1"/>
        </w:rPr>
        <w:t>, while</w:t>
      </w:r>
      <w:r w:rsidR="007958D1" w:rsidRPr="00CE2185">
        <w:rPr>
          <w:rFonts w:eastAsia="Times New Roman"/>
          <w:noProof/>
          <w:color w:val="000000" w:themeColor="text1"/>
        </w:rPr>
        <w:t xml:space="preserve"> their </w:t>
      </w:r>
      <w:r w:rsidR="00F44025" w:rsidRPr="00CE2185">
        <w:rPr>
          <w:rFonts w:eastAsia="Times New Roman"/>
          <w:noProof/>
          <w:color w:val="000000" w:themeColor="text1"/>
        </w:rPr>
        <w:t xml:space="preserve">development is </w:t>
      </w:r>
      <w:r w:rsidR="001B56CF" w:rsidRPr="00CE2185">
        <w:rPr>
          <w:rFonts w:eastAsia="Times New Roman"/>
          <w:noProof/>
          <w:color w:val="000000" w:themeColor="text1"/>
        </w:rPr>
        <w:t>driven by</w:t>
      </w:r>
      <w:r w:rsidR="007958D1" w:rsidRPr="00CE2185">
        <w:rPr>
          <w:rFonts w:eastAsia="Times New Roman"/>
          <w:noProof/>
          <w:color w:val="000000" w:themeColor="text1"/>
        </w:rPr>
        <w:t xml:space="preserve"> existing legislative frameworks</w:t>
      </w:r>
      <w:r w:rsidR="00D607E1" w:rsidRPr="00CE2185">
        <w:rPr>
          <w:rFonts w:eastAsia="Times New Roman"/>
          <w:noProof/>
          <w:color w:val="000000" w:themeColor="text1"/>
        </w:rPr>
        <w:t xml:space="preserve">, </w:t>
      </w:r>
      <w:r w:rsidR="00096D61" w:rsidRPr="00CE2185">
        <w:rPr>
          <w:rFonts w:eastAsia="Times New Roman"/>
          <w:noProof/>
          <w:color w:val="000000" w:themeColor="text1"/>
        </w:rPr>
        <w:t xml:space="preserve">implementation </w:t>
      </w:r>
      <w:r w:rsidR="001A61AC" w:rsidRPr="00CE2185">
        <w:rPr>
          <w:rFonts w:eastAsia="Times New Roman"/>
          <w:noProof/>
          <w:color w:val="000000" w:themeColor="text1"/>
        </w:rPr>
        <w:t xml:space="preserve">issues could arise </w:t>
      </w:r>
      <w:r w:rsidR="001B56CF" w:rsidRPr="00CE2185">
        <w:rPr>
          <w:rFonts w:eastAsia="Times New Roman"/>
          <w:noProof/>
          <w:color w:val="000000" w:themeColor="text1"/>
        </w:rPr>
        <w:t xml:space="preserve">especially for the </w:t>
      </w:r>
      <w:r w:rsidR="001A61AC" w:rsidRPr="00CE2185">
        <w:rPr>
          <w:rFonts w:eastAsia="Times New Roman"/>
          <w:noProof/>
          <w:color w:val="000000" w:themeColor="text1"/>
        </w:rPr>
        <w:t>assurance level high</w:t>
      </w:r>
      <w:r w:rsidR="00264C04" w:rsidRPr="00CE2185">
        <w:rPr>
          <w:rFonts w:eastAsia="Times New Roman"/>
          <w:noProof/>
          <w:color w:val="000000" w:themeColor="text1"/>
        </w:rPr>
        <w:t xml:space="preserve"> in the ab</w:t>
      </w:r>
      <w:r w:rsidR="002F5D25" w:rsidRPr="00CE2185">
        <w:rPr>
          <w:rFonts w:eastAsia="Times New Roman"/>
          <w:noProof/>
          <w:color w:val="000000" w:themeColor="text1"/>
        </w:rPr>
        <w:t>senc</w:t>
      </w:r>
      <w:r w:rsidR="00264C04" w:rsidRPr="00CE2185">
        <w:rPr>
          <w:rFonts w:eastAsia="Times New Roman"/>
          <w:noProof/>
          <w:color w:val="000000" w:themeColor="text1"/>
        </w:rPr>
        <w:t xml:space="preserve">e of </w:t>
      </w:r>
      <w:r w:rsidR="007958D1" w:rsidRPr="00CE2185">
        <w:rPr>
          <w:rFonts w:eastAsia="Times New Roman"/>
          <w:noProof/>
          <w:color w:val="000000" w:themeColor="text1"/>
        </w:rPr>
        <w:t>measures to tackle non-technical risks</w:t>
      </w:r>
      <w:r w:rsidR="0019252E" w:rsidRPr="00CE2185">
        <w:rPr>
          <w:rFonts w:eastAsia="Times New Roman"/>
          <w:noProof/>
          <w:color w:val="000000" w:themeColor="text1"/>
        </w:rPr>
        <w:t>.</w:t>
      </w:r>
      <w:r w:rsidR="00A54304" w:rsidRPr="00CE2185">
        <w:rPr>
          <w:rFonts w:eastAsia="Times New Roman"/>
          <w:noProof/>
          <w:color w:val="000000" w:themeColor="text1"/>
        </w:rPr>
        <w:t xml:space="preserve"> </w:t>
      </w:r>
      <w:r w:rsidR="003C3944" w:rsidRPr="00CE2185">
        <w:rPr>
          <w:rFonts w:eastAsia="Times New Roman"/>
          <w:noProof/>
          <w:color w:val="000000" w:themeColor="text1"/>
        </w:rPr>
        <w:t xml:space="preserve"> While it is likely that the EUCC will enable businesses to benefit from a presumption of conformity with the CRA, conformity assessment bodies </w:t>
      </w:r>
      <w:r w:rsidR="0019252E" w:rsidRPr="00CE2185">
        <w:rPr>
          <w:rFonts w:eastAsia="Times New Roman"/>
          <w:noProof/>
          <w:color w:val="000000" w:themeColor="text1"/>
        </w:rPr>
        <w:t>(CABs)</w:t>
      </w:r>
      <w:r w:rsidR="003C3944" w:rsidRPr="00CE2185">
        <w:rPr>
          <w:rFonts w:eastAsia="Times New Roman"/>
          <w:noProof/>
          <w:color w:val="000000" w:themeColor="text1"/>
        </w:rPr>
        <w:t xml:space="preserve"> will continue to be subject to different governance regimes. </w:t>
      </w:r>
      <w:r w:rsidR="00F57D9D" w:rsidRPr="00CE2185">
        <w:rPr>
          <w:rFonts w:eastAsia="Times New Roman"/>
          <w:noProof/>
          <w:color w:val="000000" w:themeColor="text1"/>
        </w:rPr>
        <w:t xml:space="preserve">This inaction is likely to increase </w:t>
      </w:r>
      <w:r w:rsidR="00F57D9D" w:rsidRPr="00CE2185">
        <w:rPr>
          <w:rFonts w:eastAsia="Times New Roman"/>
          <w:b/>
          <w:bCs/>
          <w:noProof/>
          <w:color w:val="000000" w:themeColor="text1"/>
        </w:rPr>
        <w:t>regulatory fragmentation</w:t>
      </w:r>
      <w:r w:rsidR="00F57D9D" w:rsidRPr="00CE2185">
        <w:rPr>
          <w:rFonts w:eastAsia="Times New Roman"/>
          <w:noProof/>
          <w:color w:val="000000" w:themeColor="text1"/>
        </w:rPr>
        <w:t xml:space="preserve">, as </w:t>
      </w:r>
      <w:r w:rsidR="6B86040A" w:rsidRPr="00CE2185">
        <w:rPr>
          <w:rFonts w:eastAsia="Times New Roman"/>
          <w:noProof/>
          <w:color w:val="000000" w:themeColor="text1"/>
        </w:rPr>
        <w:t xml:space="preserve">at </w:t>
      </w:r>
      <w:r w:rsidR="6B86040A" w:rsidRPr="00CE2185">
        <w:rPr>
          <w:rFonts w:eastAsia="Times New Roman"/>
          <w:b/>
          <w:bCs/>
          <w:noProof/>
          <w:color w:val="000000" w:themeColor="text1"/>
        </w:rPr>
        <w:t>national level,</w:t>
      </w:r>
      <w:r w:rsidR="00F57D9D" w:rsidRPr="00CE2185">
        <w:rPr>
          <w:rFonts w:eastAsia="Times New Roman"/>
          <w:b/>
          <w:bCs/>
          <w:noProof/>
          <w:color w:val="000000" w:themeColor="text1"/>
        </w:rPr>
        <w:t xml:space="preserve"> </w:t>
      </w:r>
      <w:r w:rsidR="00F57D9D" w:rsidRPr="00CE2185">
        <w:rPr>
          <w:rFonts w:eastAsia="Times New Roman"/>
          <w:noProof/>
          <w:color w:val="000000" w:themeColor="text1"/>
        </w:rPr>
        <w:t xml:space="preserve">Member States </w:t>
      </w:r>
      <w:r w:rsidR="00697D6F" w:rsidRPr="00CE2185">
        <w:rPr>
          <w:rFonts w:eastAsia="Times New Roman"/>
          <w:noProof/>
          <w:color w:val="000000" w:themeColor="text1"/>
        </w:rPr>
        <w:t xml:space="preserve">will </w:t>
      </w:r>
      <w:r w:rsidR="00F57D9D" w:rsidRPr="00CE2185">
        <w:rPr>
          <w:rFonts w:eastAsia="Times New Roman"/>
          <w:noProof/>
          <w:color w:val="000000" w:themeColor="text1"/>
        </w:rPr>
        <w:t>continue to develop their own national certification schemes</w:t>
      </w:r>
      <w:r w:rsidR="72027ED1" w:rsidRPr="00CE2185">
        <w:rPr>
          <w:rFonts w:eastAsia="Times New Roman"/>
          <w:noProof/>
          <w:color w:val="000000" w:themeColor="text1"/>
        </w:rPr>
        <w:t xml:space="preserve"> leadi</w:t>
      </w:r>
      <w:r w:rsidR="00AE61CB" w:rsidRPr="00CE2185">
        <w:rPr>
          <w:rFonts w:eastAsia="Times New Roman"/>
          <w:noProof/>
          <w:color w:val="000000" w:themeColor="text1"/>
        </w:rPr>
        <w:t>ng</w:t>
      </w:r>
      <w:r w:rsidR="72027ED1" w:rsidRPr="00CE2185">
        <w:rPr>
          <w:rFonts w:eastAsia="Times New Roman"/>
          <w:noProof/>
          <w:color w:val="000000" w:themeColor="text1"/>
        </w:rPr>
        <w:t xml:space="preserve"> to </w:t>
      </w:r>
      <w:r w:rsidR="7930AFA6" w:rsidRPr="00CE2185">
        <w:rPr>
          <w:rFonts w:eastAsia="Times New Roman"/>
          <w:noProof/>
          <w:color w:val="000000" w:themeColor="text1"/>
        </w:rPr>
        <w:t>sub</w:t>
      </w:r>
      <w:r w:rsidR="00F57D9D" w:rsidRPr="00CE2185">
        <w:rPr>
          <w:rFonts w:eastAsia="Times New Roman"/>
          <w:noProof/>
          <w:color w:val="000000" w:themeColor="text1"/>
        </w:rPr>
        <w:t>stantial compliance costs on cross-border operations, particularly affecting SMEs</w:t>
      </w:r>
      <w:r w:rsidR="00096D61" w:rsidRPr="00CE2185">
        <w:rPr>
          <w:rFonts w:eastAsia="Times New Roman"/>
          <w:noProof/>
          <w:color w:val="000000" w:themeColor="text1"/>
        </w:rPr>
        <w:t xml:space="preserve"> </w:t>
      </w:r>
      <w:r w:rsidR="00403766" w:rsidRPr="00CE2185">
        <w:rPr>
          <w:rFonts w:eastAsia="Times New Roman"/>
          <w:noProof/>
          <w:color w:val="000000" w:themeColor="text1"/>
        </w:rPr>
        <w:t>that have less resources to deal with market fragmentation</w:t>
      </w:r>
      <w:r w:rsidR="00F57D9D" w:rsidRPr="00CE2185">
        <w:rPr>
          <w:rFonts w:eastAsia="Times New Roman"/>
          <w:noProof/>
          <w:color w:val="000000" w:themeColor="text1"/>
        </w:rPr>
        <w:t>.</w:t>
      </w:r>
      <w:r w:rsidR="006A28CB" w:rsidRPr="00CE2185">
        <w:rPr>
          <w:rFonts w:eastAsia="Times New Roman"/>
          <w:noProof/>
          <w:color w:val="000000" w:themeColor="text1"/>
        </w:rPr>
        <w:t xml:space="preserve"> Currently </w:t>
      </w:r>
      <w:r w:rsidR="00C720E1" w:rsidRPr="00CE2185">
        <w:rPr>
          <w:rFonts w:eastAsia="Times New Roman"/>
          <w:noProof/>
          <w:color w:val="000000" w:themeColor="text1"/>
        </w:rPr>
        <w:t xml:space="preserve">at least </w:t>
      </w:r>
      <w:r w:rsidR="006A28CB" w:rsidRPr="00CE2185">
        <w:rPr>
          <w:rFonts w:eastAsia="Times New Roman"/>
          <w:noProof/>
          <w:color w:val="000000" w:themeColor="text1"/>
        </w:rPr>
        <w:t xml:space="preserve">four </w:t>
      </w:r>
      <w:r w:rsidR="00044A99" w:rsidRPr="00CE2185">
        <w:rPr>
          <w:rFonts w:eastAsia="Times New Roman"/>
          <w:noProof/>
          <w:color w:val="000000" w:themeColor="text1"/>
        </w:rPr>
        <w:t xml:space="preserve">Member States have schemes in </w:t>
      </w:r>
      <w:r w:rsidR="00C720E1" w:rsidRPr="00CE2185">
        <w:rPr>
          <w:rFonts w:eastAsia="Times New Roman"/>
          <w:noProof/>
          <w:color w:val="000000" w:themeColor="text1"/>
        </w:rPr>
        <w:t>place on cloud security</w:t>
      </w:r>
      <w:r w:rsidR="00C720E1" w:rsidRPr="00CE2185">
        <w:rPr>
          <w:rStyle w:val="FootnoteReference"/>
          <w:rFonts w:eastAsia="Times New Roman"/>
          <w:noProof/>
          <w:color w:val="000000" w:themeColor="text1"/>
        </w:rPr>
        <w:footnoteReference w:id="118"/>
      </w:r>
      <w:r w:rsidR="00403766" w:rsidRPr="00CE2185">
        <w:rPr>
          <w:rFonts w:eastAsia="Times New Roman"/>
          <w:noProof/>
          <w:color w:val="000000" w:themeColor="text1"/>
        </w:rPr>
        <w:t>.</w:t>
      </w:r>
      <w:r w:rsidR="00F57D9D" w:rsidRPr="00CE2185">
        <w:rPr>
          <w:rFonts w:eastAsia="Times New Roman"/>
          <w:noProof/>
          <w:color w:val="000000" w:themeColor="text1"/>
        </w:rPr>
        <w:t xml:space="preserve"> The persistence of non-harmonised approaches will </w:t>
      </w:r>
      <w:r w:rsidR="00F53F08" w:rsidRPr="00CE2185">
        <w:rPr>
          <w:rFonts w:eastAsia="Times New Roman"/>
          <w:noProof/>
          <w:color w:val="000000" w:themeColor="text1"/>
        </w:rPr>
        <w:t xml:space="preserve">likely </w:t>
      </w:r>
      <w:r w:rsidR="00F57D9D" w:rsidRPr="00CE2185">
        <w:rPr>
          <w:rFonts w:eastAsia="Times New Roman"/>
          <w:noProof/>
          <w:color w:val="000000" w:themeColor="text1"/>
        </w:rPr>
        <w:t xml:space="preserve">further erode trust in certification as reliable assurance mechanism and limit the potential of </w:t>
      </w:r>
      <w:r w:rsidR="007E4504" w:rsidRPr="00CE2185">
        <w:rPr>
          <w:rFonts w:eastAsia="Times New Roman"/>
          <w:noProof/>
          <w:color w:val="000000" w:themeColor="text1"/>
        </w:rPr>
        <w:t>the</w:t>
      </w:r>
      <w:r w:rsidR="00F57D9D" w:rsidRPr="00CE2185">
        <w:rPr>
          <w:rFonts w:eastAsia="Times New Roman"/>
          <w:noProof/>
          <w:color w:val="000000" w:themeColor="text1"/>
        </w:rPr>
        <w:t xml:space="preserve"> Digital Single Market.</w:t>
      </w:r>
    </w:p>
    <w:p w14:paraId="5AA3913E" w14:textId="7CD2B3A9" w:rsidR="00F57D9D" w:rsidRPr="00CE2185" w:rsidRDefault="005E17BA" w:rsidP="00795DF0">
      <w:pPr>
        <w:spacing w:after="120"/>
        <w:rPr>
          <w:rFonts w:eastAsia="Times New Roman"/>
          <w:noProof/>
          <w:color w:val="000000" w:themeColor="text1"/>
        </w:rPr>
      </w:pPr>
      <w:r w:rsidRPr="00CE2185">
        <w:rPr>
          <w:rFonts w:eastAsia="Times New Roman"/>
          <w:noProof/>
          <w:color w:val="000000" w:themeColor="text1"/>
        </w:rPr>
        <w:t xml:space="preserve">In the baseline scenario, </w:t>
      </w:r>
      <w:r w:rsidR="00A37F37" w:rsidRPr="00CE2185">
        <w:rPr>
          <w:rFonts w:eastAsia="Times New Roman"/>
          <w:noProof/>
          <w:color w:val="000000" w:themeColor="text1"/>
        </w:rPr>
        <w:t xml:space="preserve">the </w:t>
      </w:r>
      <w:r w:rsidR="1F1D00BB" w:rsidRPr="00CE2185">
        <w:rPr>
          <w:rFonts w:eastAsia="Times New Roman"/>
          <w:noProof/>
          <w:color w:val="000000" w:themeColor="text1"/>
        </w:rPr>
        <w:t>diverg</w:t>
      </w:r>
      <w:r w:rsidR="00251768" w:rsidRPr="00CE2185">
        <w:rPr>
          <w:rFonts w:eastAsia="Times New Roman"/>
          <w:noProof/>
          <w:color w:val="000000" w:themeColor="text1"/>
        </w:rPr>
        <w:t>ence of</w:t>
      </w:r>
      <w:r w:rsidR="1F1D00BB" w:rsidRPr="00CE2185">
        <w:rPr>
          <w:rFonts w:eastAsia="Times New Roman"/>
          <w:noProof/>
          <w:color w:val="000000" w:themeColor="text1"/>
        </w:rPr>
        <w:t xml:space="preserve"> national </w:t>
      </w:r>
      <w:r w:rsidR="00A37F37" w:rsidRPr="00CE2185">
        <w:rPr>
          <w:rFonts w:eastAsia="Times New Roman"/>
          <w:noProof/>
          <w:color w:val="000000" w:themeColor="text1"/>
        </w:rPr>
        <w:t xml:space="preserve">approaches to </w:t>
      </w:r>
      <w:r w:rsidR="002C7EEB" w:rsidRPr="00CE2185">
        <w:rPr>
          <w:rFonts w:eastAsia="Times New Roman"/>
          <w:noProof/>
          <w:color w:val="000000" w:themeColor="text1"/>
        </w:rPr>
        <w:t>cybersecurity risk-management</w:t>
      </w:r>
      <w:r w:rsidR="1F1D00BB" w:rsidRPr="00CE2185">
        <w:rPr>
          <w:rFonts w:eastAsia="Times New Roman"/>
          <w:noProof/>
          <w:color w:val="000000" w:themeColor="text1"/>
        </w:rPr>
        <w:t xml:space="preserve"> frameworks </w:t>
      </w:r>
      <w:r w:rsidR="002C7EEB" w:rsidRPr="00CE2185">
        <w:rPr>
          <w:rFonts w:eastAsia="Times New Roman"/>
          <w:noProof/>
          <w:color w:val="000000" w:themeColor="text1"/>
        </w:rPr>
        <w:t xml:space="preserve">in transposition of the </w:t>
      </w:r>
      <w:r w:rsidR="002C7EEB" w:rsidRPr="00CE2185">
        <w:rPr>
          <w:rFonts w:eastAsia="Times New Roman"/>
          <w:b/>
          <w:bCs/>
          <w:noProof/>
          <w:color w:val="000000" w:themeColor="text1"/>
        </w:rPr>
        <w:t>NIS2 Directive</w:t>
      </w:r>
      <w:r w:rsidR="00251768" w:rsidRPr="00CE2185">
        <w:rPr>
          <w:rFonts w:eastAsia="Times New Roman"/>
          <w:noProof/>
          <w:color w:val="000000" w:themeColor="text1"/>
        </w:rPr>
        <w:t xml:space="preserve"> </w:t>
      </w:r>
      <w:r w:rsidR="00A37F37" w:rsidRPr="00CE2185">
        <w:rPr>
          <w:rFonts w:eastAsia="Times New Roman"/>
          <w:noProof/>
          <w:color w:val="000000" w:themeColor="text1"/>
        </w:rPr>
        <w:t>would</w:t>
      </w:r>
      <w:r w:rsidR="00251768" w:rsidRPr="00CE2185">
        <w:rPr>
          <w:rFonts w:eastAsia="Times New Roman"/>
          <w:noProof/>
          <w:color w:val="000000" w:themeColor="text1"/>
        </w:rPr>
        <w:t xml:space="preserve"> persist</w:t>
      </w:r>
      <w:r w:rsidR="1F1D00BB" w:rsidRPr="00CE2185">
        <w:rPr>
          <w:rFonts w:eastAsia="Times New Roman"/>
          <w:noProof/>
          <w:color w:val="000000" w:themeColor="text1"/>
        </w:rPr>
        <w:t xml:space="preserve">. </w:t>
      </w:r>
      <w:r w:rsidR="6E71DA68" w:rsidRPr="00CE2185">
        <w:rPr>
          <w:rFonts w:eastAsia="Times New Roman"/>
          <w:noProof/>
          <w:color w:val="000000" w:themeColor="text1"/>
        </w:rPr>
        <w:t>T</w:t>
      </w:r>
      <w:r w:rsidR="1F1D00BB" w:rsidRPr="00CE2185">
        <w:rPr>
          <w:rFonts w:eastAsia="Times New Roman"/>
          <w:noProof/>
          <w:color w:val="000000" w:themeColor="text1"/>
        </w:rPr>
        <w:t xml:space="preserve">he NIS2 Directive </w:t>
      </w:r>
      <w:r w:rsidR="007D4DC5" w:rsidRPr="00CE2185">
        <w:rPr>
          <w:rFonts w:eastAsia="Times New Roman"/>
          <w:noProof/>
          <w:color w:val="000000" w:themeColor="text1"/>
        </w:rPr>
        <w:t xml:space="preserve">will continue </w:t>
      </w:r>
      <w:r w:rsidR="1F1D00BB" w:rsidRPr="00CE2185">
        <w:rPr>
          <w:rFonts w:eastAsia="Times New Roman"/>
          <w:noProof/>
          <w:color w:val="000000" w:themeColor="text1"/>
        </w:rPr>
        <w:t>provid</w:t>
      </w:r>
      <w:r w:rsidR="007D4DC5" w:rsidRPr="00CE2185">
        <w:rPr>
          <w:rFonts w:eastAsia="Times New Roman"/>
          <w:noProof/>
          <w:color w:val="000000" w:themeColor="text1"/>
        </w:rPr>
        <w:t>ing</w:t>
      </w:r>
      <w:r w:rsidR="1F1D00BB" w:rsidRPr="00CE2185">
        <w:rPr>
          <w:rFonts w:eastAsia="Times New Roman"/>
          <w:noProof/>
          <w:color w:val="000000" w:themeColor="text1"/>
        </w:rPr>
        <w:t xml:space="preserve"> for minimum harmonisation</w:t>
      </w:r>
      <w:r w:rsidR="00440BE9" w:rsidRPr="00CE2185">
        <w:rPr>
          <w:rFonts w:eastAsia="Times New Roman"/>
          <w:noProof/>
          <w:color w:val="000000" w:themeColor="text1"/>
        </w:rPr>
        <w:t xml:space="preserve"> in relation to </w:t>
      </w:r>
      <w:r w:rsidR="00A63F88" w:rsidRPr="00CE2185">
        <w:rPr>
          <w:rFonts w:eastAsia="Times New Roman"/>
          <w:noProof/>
          <w:color w:val="000000" w:themeColor="text1"/>
        </w:rPr>
        <w:t xml:space="preserve">empowerments for </w:t>
      </w:r>
      <w:r w:rsidR="00440BE9" w:rsidRPr="00CE2185">
        <w:rPr>
          <w:rFonts w:eastAsia="Times New Roman"/>
          <w:noProof/>
          <w:color w:val="000000" w:themeColor="text1"/>
        </w:rPr>
        <w:t>further specifying cybersecurity risks management measures</w:t>
      </w:r>
      <w:r w:rsidR="1A1F1D9D" w:rsidRPr="00CE2185">
        <w:rPr>
          <w:rFonts w:eastAsia="Times New Roman"/>
          <w:noProof/>
          <w:color w:val="000000" w:themeColor="text1"/>
        </w:rPr>
        <w:t>, allowing for national gold</w:t>
      </w:r>
      <w:r w:rsidR="0097240C" w:rsidRPr="00CE2185">
        <w:rPr>
          <w:rFonts w:eastAsia="Times New Roman"/>
          <w:noProof/>
          <w:color w:val="000000" w:themeColor="text1"/>
        </w:rPr>
        <w:t>-</w:t>
      </w:r>
      <w:r w:rsidR="1A1F1D9D" w:rsidRPr="00CE2185">
        <w:rPr>
          <w:rFonts w:eastAsia="Times New Roman"/>
          <w:noProof/>
          <w:color w:val="000000" w:themeColor="text1"/>
        </w:rPr>
        <w:t>plating.</w:t>
      </w:r>
      <w:r w:rsidR="1F1D00BB" w:rsidRPr="00CE2185">
        <w:rPr>
          <w:rFonts w:eastAsia="Times New Roman"/>
          <w:noProof/>
          <w:color w:val="000000" w:themeColor="text1"/>
        </w:rPr>
        <w:t xml:space="preserve"> </w:t>
      </w:r>
      <w:r w:rsidR="00764843" w:rsidRPr="00CE2185">
        <w:rPr>
          <w:rFonts w:eastAsia="Times New Roman"/>
          <w:noProof/>
          <w:color w:val="000000" w:themeColor="text1"/>
        </w:rPr>
        <w:t>Furthermore</w:t>
      </w:r>
      <w:r w:rsidR="00972B80" w:rsidRPr="00CE2185">
        <w:rPr>
          <w:rFonts w:eastAsia="Times New Roman"/>
          <w:noProof/>
          <w:color w:val="000000" w:themeColor="text1"/>
        </w:rPr>
        <w:t xml:space="preserve">, </w:t>
      </w:r>
      <w:r w:rsidR="00764843" w:rsidRPr="00CE2185">
        <w:rPr>
          <w:rFonts w:eastAsia="Times New Roman"/>
          <w:noProof/>
          <w:color w:val="000000" w:themeColor="text1"/>
        </w:rPr>
        <w:t>c</w:t>
      </w:r>
      <w:r w:rsidR="1F1D00BB" w:rsidRPr="00CE2185">
        <w:rPr>
          <w:rFonts w:eastAsia="Times New Roman"/>
          <w:noProof/>
          <w:color w:val="000000" w:themeColor="text1"/>
        </w:rPr>
        <w:t xml:space="preserve">ertain unclarities surrounding the scope and definitions in </w:t>
      </w:r>
      <w:r w:rsidR="00B82AB2" w:rsidRPr="00CE2185">
        <w:rPr>
          <w:rFonts w:eastAsia="Times New Roman"/>
          <w:noProof/>
          <w:color w:val="000000" w:themeColor="text1"/>
        </w:rPr>
        <w:t xml:space="preserve">the </w:t>
      </w:r>
      <w:r w:rsidR="1F1D00BB" w:rsidRPr="00CE2185">
        <w:rPr>
          <w:rFonts w:eastAsia="Times New Roman"/>
          <w:noProof/>
          <w:color w:val="000000" w:themeColor="text1"/>
        </w:rPr>
        <w:t>NIS2</w:t>
      </w:r>
      <w:r w:rsidR="75CDEF15" w:rsidRPr="00CE2185">
        <w:rPr>
          <w:rFonts w:eastAsia="Times New Roman"/>
          <w:noProof/>
          <w:color w:val="000000" w:themeColor="text1"/>
        </w:rPr>
        <w:t xml:space="preserve"> Directive will remain</w:t>
      </w:r>
      <w:r w:rsidR="00620C29" w:rsidRPr="00CE2185">
        <w:rPr>
          <w:rFonts w:eastAsia="Times New Roman"/>
          <w:noProof/>
          <w:color w:val="000000" w:themeColor="text1"/>
        </w:rPr>
        <w:t xml:space="preserve"> (</w:t>
      </w:r>
      <w:r w:rsidR="00620C29" w:rsidRPr="00CE2185">
        <w:rPr>
          <w:rFonts w:eastAsia="Times New Roman"/>
          <w:i/>
          <w:iCs/>
          <w:noProof/>
          <w:color w:val="000000" w:themeColor="text1"/>
        </w:rPr>
        <w:t>Section 2.2.7</w:t>
      </w:r>
      <w:r w:rsidR="00620C29" w:rsidRPr="00CE2185">
        <w:rPr>
          <w:rFonts w:eastAsia="Times New Roman"/>
          <w:noProof/>
          <w:color w:val="000000" w:themeColor="text1"/>
        </w:rPr>
        <w:t>)</w:t>
      </w:r>
      <w:r w:rsidR="1F1D00BB" w:rsidRPr="00CE2185">
        <w:rPr>
          <w:rFonts w:eastAsia="Times New Roman"/>
          <w:noProof/>
          <w:color w:val="000000" w:themeColor="text1"/>
        </w:rPr>
        <w:t xml:space="preserve">. </w:t>
      </w:r>
      <w:r w:rsidR="00440BE9" w:rsidRPr="00CE2185">
        <w:rPr>
          <w:rFonts w:eastAsia="Times New Roman"/>
          <w:noProof/>
          <w:color w:val="000000" w:themeColor="text1"/>
        </w:rPr>
        <w:t xml:space="preserve">Moreover, </w:t>
      </w:r>
      <w:r w:rsidR="00AD0663" w:rsidRPr="00CE2185">
        <w:rPr>
          <w:rFonts w:eastAsia="Times New Roman"/>
          <w:noProof/>
          <w:color w:val="000000" w:themeColor="text1"/>
        </w:rPr>
        <w:t xml:space="preserve">other than </w:t>
      </w:r>
      <w:r w:rsidR="00373AEC" w:rsidRPr="00CE2185">
        <w:rPr>
          <w:rFonts w:eastAsia="Times New Roman"/>
          <w:noProof/>
          <w:color w:val="000000" w:themeColor="text1"/>
        </w:rPr>
        <w:t xml:space="preserve">for </w:t>
      </w:r>
      <w:r w:rsidR="00AD0663" w:rsidRPr="00CE2185">
        <w:rPr>
          <w:rFonts w:eastAsia="Times New Roman"/>
          <w:noProof/>
          <w:color w:val="000000" w:themeColor="text1"/>
        </w:rPr>
        <w:t>the digital service providers</w:t>
      </w:r>
      <w:r w:rsidR="00373AEC" w:rsidRPr="00CE2185">
        <w:rPr>
          <w:rFonts w:eastAsia="Times New Roman"/>
          <w:noProof/>
          <w:color w:val="000000" w:themeColor="text1"/>
        </w:rPr>
        <w:t xml:space="preserve"> where ENISA holds a registry</w:t>
      </w:r>
      <w:r w:rsidR="00AD0663" w:rsidRPr="00CE2185">
        <w:rPr>
          <w:rFonts w:eastAsia="Times New Roman"/>
          <w:noProof/>
          <w:color w:val="000000" w:themeColor="text1"/>
        </w:rPr>
        <w:t xml:space="preserve">, </w:t>
      </w:r>
      <w:r w:rsidR="001245C2" w:rsidRPr="00CE2185">
        <w:rPr>
          <w:rFonts w:eastAsia="Times New Roman"/>
          <w:noProof/>
          <w:color w:val="000000" w:themeColor="text1"/>
        </w:rPr>
        <w:t xml:space="preserve">there would </w:t>
      </w:r>
      <w:r w:rsidR="00403A2E" w:rsidRPr="00CE2185">
        <w:rPr>
          <w:rFonts w:eastAsia="Times New Roman"/>
          <w:noProof/>
          <w:color w:val="000000" w:themeColor="text1"/>
        </w:rPr>
        <w:t xml:space="preserve">still </w:t>
      </w:r>
      <w:r w:rsidR="001245C2" w:rsidRPr="00CE2185">
        <w:rPr>
          <w:rFonts w:eastAsia="Times New Roman"/>
          <w:noProof/>
          <w:color w:val="000000" w:themeColor="text1"/>
        </w:rPr>
        <w:t>be no</w:t>
      </w:r>
      <w:r w:rsidR="00A63F88" w:rsidRPr="00CE2185">
        <w:rPr>
          <w:rFonts w:eastAsia="Times New Roman"/>
          <w:noProof/>
          <w:color w:val="000000" w:themeColor="text1"/>
        </w:rPr>
        <w:t xml:space="preserve"> EU level overview of </w:t>
      </w:r>
      <w:r w:rsidR="00373AEC" w:rsidRPr="00CE2185">
        <w:rPr>
          <w:rFonts w:eastAsia="Times New Roman"/>
          <w:noProof/>
          <w:color w:val="000000" w:themeColor="text1"/>
        </w:rPr>
        <w:t xml:space="preserve">all the other </w:t>
      </w:r>
      <w:r w:rsidR="00A63F88" w:rsidRPr="00CE2185">
        <w:rPr>
          <w:rFonts w:eastAsia="Times New Roman"/>
          <w:noProof/>
          <w:color w:val="000000" w:themeColor="text1"/>
        </w:rPr>
        <w:t xml:space="preserve">entities in </w:t>
      </w:r>
      <w:r w:rsidR="007F1758" w:rsidRPr="00CE2185">
        <w:rPr>
          <w:rFonts w:eastAsia="Times New Roman"/>
          <w:noProof/>
          <w:color w:val="000000" w:themeColor="text1"/>
        </w:rPr>
        <w:t xml:space="preserve">the </w:t>
      </w:r>
      <w:r w:rsidR="00A63F88" w:rsidRPr="00CE2185">
        <w:rPr>
          <w:rFonts w:eastAsia="Times New Roman"/>
          <w:noProof/>
          <w:color w:val="000000" w:themeColor="text1"/>
        </w:rPr>
        <w:t>scope of NIS2</w:t>
      </w:r>
      <w:r w:rsidR="00AD0663" w:rsidRPr="00CE2185">
        <w:rPr>
          <w:rFonts w:eastAsia="Times New Roman"/>
          <w:noProof/>
          <w:color w:val="000000" w:themeColor="text1"/>
        </w:rPr>
        <w:t xml:space="preserve">. </w:t>
      </w:r>
      <w:r w:rsidR="00373AEC" w:rsidRPr="00CE2185">
        <w:rPr>
          <w:rFonts w:eastAsia="Times New Roman"/>
          <w:noProof/>
          <w:color w:val="000000" w:themeColor="text1"/>
        </w:rPr>
        <w:t>It would therefore be more difficult to detect potential c</w:t>
      </w:r>
      <w:r w:rsidR="00A63F88" w:rsidRPr="00CE2185">
        <w:rPr>
          <w:rFonts w:eastAsia="Times New Roman"/>
          <w:noProof/>
          <w:color w:val="000000" w:themeColor="text1"/>
        </w:rPr>
        <w:t xml:space="preserve">ompliance issues </w:t>
      </w:r>
      <w:r w:rsidR="00373AEC" w:rsidRPr="00CE2185">
        <w:rPr>
          <w:rFonts w:eastAsia="Times New Roman"/>
          <w:noProof/>
          <w:color w:val="000000" w:themeColor="text1"/>
        </w:rPr>
        <w:t xml:space="preserve">when Member States would not </w:t>
      </w:r>
      <w:r w:rsidR="00492F70" w:rsidRPr="00CE2185">
        <w:rPr>
          <w:rFonts w:eastAsia="Times New Roman"/>
          <w:noProof/>
          <w:color w:val="000000" w:themeColor="text1"/>
        </w:rPr>
        <w:t xml:space="preserve">have a cross-border visibility </w:t>
      </w:r>
      <w:r w:rsidR="007F1758" w:rsidRPr="00CE2185">
        <w:rPr>
          <w:rFonts w:eastAsia="Times New Roman"/>
          <w:noProof/>
          <w:color w:val="000000" w:themeColor="text1"/>
        </w:rPr>
        <w:t xml:space="preserve">of issues </w:t>
      </w:r>
      <w:r w:rsidR="00492F70" w:rsidRPr="00CE2185">
        <w:rPr>
          <w:rFonts w:eastAsia="Times New Roman"/>
          <w:noProof/>
          <w:color w:val="000000" w:themeColor="text1"/>
        </w:rPr>
        <w:t>encountered across the internal market</w:t>
      </w:r>
      <w:r w:rsidR="00A63F88" w:rsidRPr="00CE2185">
        <w:rPr>
          <w:rFonts w:eastAsia="Times New Roman"/>
          <w:noProof/>
          <w:color w:val="000000" w:themeColor="text1"/>
        </w:rPr>
        <w:t>.</w:t>
      </w:r>
    </w:p>
    <w:p w14:paraId="424A1A23" w14:textId="77777777" w:rsidR="00D10E17" w:rsidRPr="00CE2185" w:rsidRDefault="00D10E17" w:rsidP="00D10E17">
      <w:pPr>
        <w:spacing w:after="120"/>
        <w:rPr>
          <w:noProof/>
        </w:rPr>
      </w:pPr>
      <w:r w:rsidRPr="00CE2185">
        <w:rPr>
          <w:rFonts w:eastAsia="Times New Roman"/>
          <w:noProof/>
          <w:color w:val="000000" w:themeColor="text1"/>
        </w:rPr>
        <w:t xml:space="preserve">In relation to </w:t>
      </w:r>
      <w:r w:rsidRPr="00CE2185">
        <w:rPr>
          <w:rFonts w:eastAsia="Times New Roman"/>
          <w:b/>
          <w:noProof/>
          <w:color w:val="000000" w:themeColor="text1"/>
        </w:rPr>
        <w:t>ICT supply chain security</w:t>
      </w:r>
      <w:r w:rsidRPr="00CE2185">
        <w:rPr>
          <w:rFonts w:eastAsia="Times New Roman"/>
          <w:noProof/>
          <w:color w:val="000000" w:themeColor="text1"/>
        </w:rPr>
        <w:t xml:space="preserve">, the baseline scenario would likely entail a continuation of the growing dependency on third-country suppliers, including high-risk suppliers in sectors and for services such as telecommunications and digital infrastructure.  Under the baseline scenario, the EU and Member States could carry out </w:t>
      </w:r>
      <w:r w:rsidRPr="00CE2185">
        <w:rPr>
          <w:noProof/>
        </w:rPr>
        <w:t xml:space="preserve">one or several coordinated security risk assessments of specific critical supply chains under the NIS2 Directive and develop a non-binding set of recommending measures to mitigate those risks. The non-binding nature of those recommendations would likely result in fragmented implementation among Member States. </w:t>
      </w:r>
    </w:p>
    <w:p w14:paraId="2FD988AF" w14:textId="77777777" w:rsidR="00D10E17" w:rsidRPr="00CE2185" w:rsidRDefault="00D10E17" w:rsidP="00D10E17">
      <w:pPr>
        <w:spacing w:after="120"/>
        <w:rPr>
          <w:noProof/>
        </w:rPr>
      </w:pPr>
      <w:r w:rsidRPr="00CE2185">
        <w:rPr>
          <w:noProof/>
        </w:rPr>
        <w:t xml:space="preserve">In addition, there are only limited possibilities to exclude high-risk suppliers from the funding programmes (such as those under </w:t>
      </w:r>
      <w:r w:rsidRPr="00CE2185" w:rsidDel="00121DE1">
        <w:rPr>
          <w:noProof/>
        </w:rPr>
        <w:t xml:space="preserve">the </w:t>
      </w:r>
      <w:r w:rsidRPr="00CE2185">
        <w:rPr>
          <w:noProof/>
        </w:rPr>
        <w:t>current framework of Horizon Europe</w:t>
      </w:r>
      <w:r w:rsidRPr="00CE2185">
        <w:rPr>
          <w:rStyle w:val="FootnoteReference"/>
          <w:noProof/>
        </w:rPr>
        <w:footnoteReference w:id="119"/>
      </w:r>
      <w:r w:rsidRPr="00CE2185">
        <w:rPr>
          <w:noProof/>
        </w:rPr>
        <w:t xml:space="preserve"> and DEP</w:t>
      </w:r>
      <w:r w:rsidRPr="00CE2185">
        <w:rPr>
          <w:rStyle w:val="FootnoteReference"/>
          <w:noProof/>
        </w:rPr>
        <w:footnoteReference w:id="120"/>
      </w:r>
      <w:r w:rsidRPr="00CE2185">
        <w:rPr>
          <w:noProof/>
        </w:rPr>
        <w:t>) The proposed provision under the new  Multiannual Financial Framework on high risk suppliers, even if adopted as proposed, cannot effectively restrict the participation of high risk suppliers in EU fundings if there would be is no EU mechanism to identify those high risks suppliers.</w:t>
      </w:r>
      <w:r w:rsidRPr="00CE2185" w:rsidDel="00121DE1">
        <w:rPr>
          <w:noProof/>
        </w:rPr>
        <w:t xml:space="preserve"> </w:t>
      </w:r>
    </w:p>
    <w:p w14:paraId="337BD800" w14:textId="2DAA6C06" w:rsidR="009854B2" w:rsidRPr="00CE2185" w:rsidRDefault="00D10E17" w:rsidP="00D10E17">
      <w:pPr>
        <w:spacing w:after="120"/>
        <w:rPr>
          <w:noProof/>
        </w:rPr>
      </w:pPr>
      <w:r w:rsidRPr="00CE2185">
        <w:rPr>
          <w:noProof/>
        </w:rPr>
        <w:t xml:space="preserve">At </w:t>
      </w:r>
      <w:r w:rsidRPr="00CE2185">
        <w:rPr>
          <w:b/>
          <w:noProof/>
        </w:rPr>
        <w:t>the global level</w:t>
      </w:r>
      <w:r w:rsidRPr="00CE2185">
        <w:rPr>
          <w:noProof/>
        </w:rPr>
        <w:t>, international partners are working towards strengthening supply chain security, with the UK and Canada providing for legal safeguards to security of the telecommunication infrastructure, including from high-risk suppliers, the US and Australia having eve broader approach and G7 discussing the IoT supply chain security. In baseline scenario, the EU will not be able to meaningfully influence those discussions</w:t>
      </w:r>
      <w:r>
        <w:rPr>
          <w:noProof/>
        </w:rPr>
        <w:t>.</w:t>
      </w:r>
      <w:r w:rsidR="5D4595E4" w:rsidRPr="00CE2185" w:rsidDel="00121DE1">
        <w:rPr>
          <w:noProof/>
        </w:rPr>
        <w:t xml:space="preserve"> </w:t>
      </w:r>
    </w:p>
    <w:p w14:paraId="15A5FE03" w14:textId="77777777" w:rsidR="006B087E" w:rsidRPr="00CE2185" w:rsidRDefault="006B087E" w:rsidP="000E3086">
      <w:pPr>
        <w:pStyle w:val="Heading2"/>
        <w:rPr>
          <w:noProof/>
        </w:rPr>
      </w:pPr>
      <w:bookmarkStart w:id="85" w:name="_Toc210393824"/>
      <w:bookmarkStart w:id="86" w:name="_Toc219447363"/>
      <w:r w:rsidRPr="00CE2185">
        <w:rPr>
          <w:noProof/>
        </w:rPr>
        <w:t>Description of the policy options</w:t>
      </w:r>
      <w:bookmarkEnd w:id="85"/>
      <w:bookmarkEnd w:id="86"/>
    </w:p>
    <w:p w14:paraId="35EEB7DE" w14:textId="4BCEC0F0" w:rsidR="00F57D9D" w:rsidRPr="00CE2185" w:rsidRDefault="006123B9" w:rsidP="00795DF0">
      <w:pPr>
        <w:spacing w:after="120"/>
        <w:rPr>
          <w:rFonts w:eastAsia="Times New Roman"/>
          <w:noProof/>
          <w:color w:val="000000" w:themeColor="text1"/>
        </w:rPr>
      </w:pPr>
      <w:r w:rsidRPr="00CE2185">
        <w:rPr>
          <w:rFonts w:eastAsia="Times New Roman"/>
          <w:noProof/>
          <w:color w:val="000000" w:themeColor="text1"/>
        </w:rPr>
        <w:t xml:space="preserve">This report analyses </w:t>
      </w:r>
      <w:r w:rsidRPr="00CE2185">
        <w:rPr>
          <w:rFonts w:eastAsia="Times New Roman"/>
          <w:b/>
          <w:bCs/>
          <w:noProof/>
          <w:color w:val="000000" w:themeColor="text1"/>
        </w:rPr>
        <w:t xml:space="preserve">four </w:t>
      </w:r>
      <w:r w:rsidR="00782A11" w:rsidRPr="00CE2185">
        <w:rPr>
          <w:rFonts w:eastAsia="Times New Roman"/>
          <w:b/>
          <w:bCs/>
          <w:noProof/>
          <w:color w:val="000000" w:themeColor="text1"/>
        </w:rPr>
        <w:t xml:space="preserve">areas of intervention, each with a </w:t>
      </w:r>
      <w:r w:rsidRPr="00CE2185">
        <w:rPr>
          <w:rFonts w:eastAsia="Times New Roman"/>
          <w:b/>
          <w:bCs/>
          <w:noProof/>
          <w:color w:val="000000" w:themeColor="text1"/>
        </w:rPr>
        <w:t>set of policy options</w:t>
      </w:r>
      <w:r w:rsidR="00D95479" w:rsidRPr="00CE2185">
        <w:rPr>
          <w:rFonts w:eastAsia="Times New Roman"/>
          <w:b/>
          <w:bCs/>
          <w:noProof/>
          <w:color w:val="000000" w:themeColor="text1"/>
        </w:rPr>
        <w:t xml:space="preserve"> </w:t>
      </w:r>
      <w:r w:rsidR="00D95479" w:rsidRPr="00CE2185">
        <w:rPr>
          <w:rFonts w:eastAsia="Times New Roman"/>
          <w:noProof/>
          <w:color w:val="000000" w:themeColor="text1"/>
        </w:rPr>
        <w:t xml:space="preserve">considered in view of the specific objectives to be achieved as set out in </w:t>
      </w:r>
      <w:r w:rsidR="00303754" w:rsidRPr="00CE2185">
        <w:rPr>
          <w:rFonts w:eastAsia="Times New Roman"/>
          <w:noProof/>
          <w:color w:val="000000" w:themeColor="text1"/>
        </w:rPr>
        <w:t>S</w:t>
      </w:r>
      <w:r w:rsidR="00D95479" w:rsidRPr="00CE2185">
        <w:rPr>
          <w:rFonts w:eastAsia="Times New Roman"/>
          <w:noProof/>
          <w:color w:val="000000" w:themeColor="text1"/>
        </w:rPr>
        <w:t>ection 4.2 above</w:t>
      </w:r>
      <w:r w:rsidR="00F70B28" w:rsidRPr="00CE2185">
        <w:rPr>
          <w:rFonts w:eastAsia="Times New Roman"/>
          <w:noProof/>
          <w:color w:val="000000" w:themeColor="text1"/>
        </w:rPr>
        <w:t xml:space="preserve">: (1) ENISA mandate </w:t>
      </w:r>
      <w:r w:rsidR="00F70B28" w:rsidRPr="00CE2185">
        <w:rPr>
          <w:rFonts w:eastAsia="Times New Roman"/>
          <w:i/>
          <w:iCs/>
          <w:noProof/>
          <w:color w:val="000000" w:themeColor="text1"/>
        </w:rPr>
        <w:t>(</w:t>
      </w:r>
      <w:r w:rsidR="00303754" w:rsidRPr="00CE2185">
        <w:rPr>
          <w:rFonts w:eastAsia="Times New Roman"/>
          <w:i/>
          <w:iCs/>
          <w:noProof/>
          <w:color w:val="000000" w:themeColor="text1"/>
        </w:rPr>
        <w:t>also part of the</w:t>
      </w:r>
      <w:r w:rsidR="00F70B28" w:rsidRPr="00CE2185">
        <w:rPr>
          <w:rFonts w:eastAsia="Times New Roman"/>
          <w:i/>
          <w:iCs/>
          <w:noProof/>
          <w:color w:val="000000" w:themeColor="text1"/>
        </w:rPr>
        <w:t xml:space="preserve"> current CSA); </w:t>
      </w:r>
      <w:r w:rsidR="00F70B28" w:rsidRPr="00CE2185">
        <w:rPr>
          <w:rFonts w:eastAsia="Times New Roman"/>
          <w:noProof/>
          <w:color w:val="000000" w:themeColor="text1"/>
        </w:rPr>
        <w:t xml:space="preserve">(2) ECCF </w:t>
      </w:r>
      <w:r w:rsidR="00F70B28" w:rsidRPr="00CE2185">
        <w:rPr>
          <w:rFonts w:eastAsia="Times New Roman"/>
          <w:i/>
          <w:iCs/>
          <w:noProof/>
          <w:color w:val="000000" w:themeColor="text1"/>
        </w:rPr>
        <w:t>(</w:t>
      </w:r>
      <w:r w:rsidR="00303754" w:rsidRPr="00CE2185">
        <w:rPr>
          <w:rFonts w:eastAsia="Times New Roman"/>
          <w:i/>
          <w:iCs/>
          <w:noProof/>
          <w:color w:val="000000" w:themeColor="text1"/>
        </w:rPr>
        <w:t>also part of</w:t>
      </w:r>
      <w:r w:rsidR="00F70B28" w:rsidRPr="00CE2185">
        <w:rPr>
          <w:rFonts w:eastAsia="Times New Roman"/>
          <w:i/>
          <w:iCs/>
          <w:noProof/>
          <w:color w:val="000000" w:themeColor="text1"/>
        </w:rPr>
        <w:t xml:space="preserve"> the current CSA); </w:t>
      </w:r>
      <w:r w:rsidR="00F70B28" w:rsidRPr="00CE2185">
        <w:rPr>
          <w:rFonts w:eastAsia="Times New Roman"/>
          <w:noProof/>
          <w:color w:val="000000" w:themeColor="text1"/>
        </w:rPr>
        <w:t xml:space="preserve">(3) targeted amendments notably </w:t>
      </w:r>
      <w:r w:rsidR="00EA184D" w:rsidRPr="00CE2185">
        <w:rPr>
          <w:rFonts w:eastAsia="Times New Roman"/>
          <w:noProof/>
          <w:color w:val="000000" w:themeColor="text1"/>
        </w:rPr>
        <w:t xml:space="preserve">concerning the NIS2 Directive and </w:t>
      </w:r>
      <w:r w:rsidR="00F70B28" w:rsidRPr="00CE2185">
        <w:rPr>
          <w:rFonts w:eastAsia="Times New Roman"/>
          <w:noProof/>
          <w:color w:val="000000" w:themeColor="text1"/>
        </w:rPr>
        <w:t>aiming at simplification</w:t>
      </w:r>
      <w:r w:rsidR="00EA184D" w:rsidRPr="00CE2185">
        <w:rPr>
          <w:rFonts w:eastAsia="Times New Roman"/>
          <w:noProof/>
          <w:color w:val="000000" w:themeColor="text1"/>
        </w:rPr>
        <w:t xml:space="preserve">, but also interlinked with ENISA mandate and ECCF; </w:t>
      </w:r>
      <w:r w:rsidR="00D10E17" w:rsidRPr="00CE2185">
        <w:rPr>
          <w:rFonts w:eastAsia="Times New Roman"/>
          <w:noProof/>
          <w:color w:val="000000" w:themeColor="text1"/>
        </w:rPr>
        <w:t>(4) ICT supply chain security, which is also relevant both for NIS2 ecosystem and for ECCF</w:t>
      </w:r>
      <w:r w:rsidR="00B42C4A" w:rsidRPr="00CE2185">
        <w:rPr>
          <w:rFonts w:eastAsia="Times New Roman"/>
          <w:noProof/>
          <w:color w:val="000000" w:themeColor="text1"/>
        </w:rPr>
        <w:t xml:space="preserve">. Each of these sets of options </w:t>
      </w:r>
      <w:r w:rsidR="00303754" w:rsidRPr="00CE2185">
        <w:rPr>
          <w:rFonts w:eastAsia="Times New Roman"/>
          <w:noProof/>
          <w:color w:val="000000" w:themeColor="text1"/>
        </w:rPr>
        <w:t>are</w:t>
      </w:r>
      <w:r w:rsidR="005A3259" w:rsidRPr="00CE2185">
        <w:rPr>
          <w:rFonts w:eastAsia="Times New Roman"/>
          <w:noProof/>
          <w:color w:val="000000" w:themeColor="text1"/>
        </w:rPr>
        <w:t xml:space="preserve"> intervention areas on their own, while at the same time </w:t>
      </w:r>
      <w:r w:rsidR="00D95479" w:rsidRPr="00CE2185">
        <w:rPr>
          <w:rFonts w:eastAsia="Times New Roman"/>
          <w:noProof/>
          <w:color w:val="000000" w:themeColor="text1"/>
        </w:rPr>
        <w:t>interlinked and relevant to each other</w:t>
      </w:r>
      <w:r w:rsidR="004C0ABB" w:rsidRPr="00CE2185">
        <w:rPr>
          <w:rFonts w:eastAsia="Times New Roman"/>
          <w:noProof/>
          <w:color w:val="000000" w:themeColor="text1"/>
        </w:rPr>
        <w:t>.</w:t>
      </w:r>
      <w:r w:rsidR="00D95479" w:rsidRPr="00CE2185">
        <w:rPr>
          <w:rFonts w:eastAsia="Times New Roman"/>
          <w:noProof/>
          <w:color w:val="000000" w:themeColor="text1"/>
        </w:rPr>
        <w:t xml:space="preserve"> </w:t>
      </w:r>
      <w:r w:rsidR="00303754" w:rsidRPr="00CE2185">
        <w:rPr>
          <w:rFonts w:eastAsia="Times New Roman"/>
          <w:noProof/>
          <w:color w:val="000000" w:themeColor="text1"/>
        </w:rPr>
        <w:t>Within each set</w:t>
      </w:r>
      <w:r w:rsidR="00B018A7" w:rsidRPr="00CE2185">
        <w:rPr>
          <w:rFonts w:eastAsia="Times New Roman"/>
          <w:noProof/>
          <w:color w:val="000000" w:themeColor="text1"/>
        </w:rPr>
        <w:t>,</w:t>
      </w:r>
      <w:r w:rsidR="0015493A" w:rsidRPr="00CE2185">
        <w:rPr>
          <w:rFonts w:eastAsia="Times New Roman"/>
          <w:noProof/>
          <w:color w:val="000000" w:themeColor="text1"/>
        </w:rPr>
        <w:t xml:space="preserve"> the options </w:t>
      </w:r>
      <w:r w:rsidR="00303754" w:rsidRPr="00CE2185">
        <w:rPr>
          <w:rFonts w:eastAsia="Times New Roman"/>
          <w:noProof/>
          <w:color w:val="000000" w:themeColor="text1"/>
        </w:rPr>
        <w:t>considered</w:t>
      </w:r>
      <w:r w:rsidR="0015493A" w:rsidRPr="00CE2185">
        <w:rPr>
          <w:rFonts w:eastAsia="Times New Roman"/>
          <w:noProof/>
          <w:color w:val="000000" w:themeColor="text1"/>
        </w:rPr>
        <w:t xml:space="preserve"> </w:t>
      </w:r>
      <w:r w:rsidR="00F57D9D" w:rsidRPr="00CE2185">
        <w:rPr>
          <w:rFonts w:eastAsia="Times New Roman"/>
          <w:noProof/>
          <w:color w:val="000000" w:themeColor="text1"/>
        </w:rPr>
        <w:t xml:space="preserve">range from those </w:t>
      </w:r>
      <w:r w:rsidR="00DC793C" w:rsidRPr="00CE2185">
        <w:rPr>
          <w:rFonts w:eastAsia="Times New Roman"/>
          <w:noProof/>
          <w:color w:val="000000" w:themeColor="text1"/>
        </w:rPr>
        <w:t xml:space="preserve">involving </w:t>
      </w:r>
      <w:r w:rsidR="00F57D9D" w:rsidRPr="00CE2185">
        <w:rPr>
          <w:rFonts w:eastAsia="Times New Roman"/>
          <w:noProof/>
          <w:color w:val="000000" w:themeColor="text1"/>
        </w:rPr>
        <w:t xml:space="preserve">the least intervention at the EU level and therefore closer to the baseline scenario </w:t>
      </w:r>
      <w:r w:rsidR="00121A5A" w:rsidRPr="00CE2185">
        <w:rPr>
          <w:rFonts w:eastAsia="Times New Roman"/>
          <w:noProof/>
          <w:color w:val="000000" w:themeColor="text1"/>
        </w:rPr>
        <w:t>(</w:t>
      </w:r>
      <w:r w:rsidR="00C546A5" w:rsidRPr="00CE2185">
        <w:rPr>
          <w:rFonts w:eastAsia="Times New Roman"/>
          <w:noProof/>
          <w:color w:val="000000" w:themeColor="text1"/>
        </w:rPr>
        <w:t xml:space="preserve">a </w:t>
      </w:r>
      <w:r w:rsidR="00F57D9D" w:rsidRPr="00CE2185">
        <w:rPr>
          <w:rFonts w:eastAsia="Times New Roman"/>
          <w:noProof/>
          <w:color w:val="000000" w:themeColor="text1"/>
        </w:rPr>
        <w:t>soft law and non-legislative instruments approach</w:t>
      </w:r>
      <w:r w:rsidR="00121A5A" w:rsidRPr="00CE2185">
        <w:rPr>
          <w:rFonts w:eastAsia="Times New Roman"/>
          <w:noProof/>
          <w:color w:val="000000" w:themeColor="text1"/>
        </w:rPr>
        <w:t>)</w:t>
      </w:r>
      <w:r w:rsidR="00F57D9D" w:rsidRPr="00CE2185">
        <w:rPr>
          <w:rFonts w:eastAsia="Times New Roman"/>
          <w:noProof/>
          <w:color w:val="000000" w:themeColor="text1"/>
        </w:rPr>
        <w:t xml:space="preserve"> through a lighter option that could </w:t>
      </w:r>
      <w:r w:rsidR="008A28EF" w:rsidRPr="00CE2185">
        <w:rPr>
          <w:rFonts w:eastAsia="Times New Roman"/>
          <w:noProof/>
          <w:color w:val="000000" w:themeColor="text1"/>
        </w:rPr>
        <w:t xml:space="preserve">involve </w:t>
      </w:r>
      <w:r w:rsidR="00F57D9D" w:rsidRPr="00CE2185">
        <w:rPr>
          <w:rFonts w:eastAsia="Times New Roman"/>
          <w:noProof/>
          <w:color w:val="000000" w:themeColor="text1"/>
        </w:rPr>
        <w:t xml:space="preserve">minimum legislative interventions, up to the most interventionist </w:t>
      </w:r>
      <w:r w:rsidR="000607D7" w:rsidRPr="00CE2185">
        <w:rPr>
          <w:rFonts w:eastAsia="Times New Roman"/>
          <w:noProof/>
          <w:color w:val="000000" w:themeColor="text1"/>
        </w:rPr>
        <w:t xml:space="preserve">action </w:t>
      </w:r>
      <w:r w:rsidR="000A42E9" w:rsidRPr="00CE2185">
        <w:rPr>
          <w:rFonts w:eastAsia="Times New Roman"/>
          <w:noProof/>
          <w:color w:val="000000" w:themeColor="text1"/>
        </w:rPr>
        <w:t>proposing comprehensive regulatory intervention</w:t>
      </w:r>
      <w:r w:rsidR="00B018A7" w:rsidRPr="00CE2185">
        <w:rPr>
          <w:rFonts w:eastAsia="Times New Roman"/>
          <w:noProof/>
          <w:color w:val="000000" w:themeColor="text1"/>
        </w:rPr>
        <w:t>. Each intervention area on its own could have certain expected impact, yet various combinations with various policy options from</w:t>
      </w:r>
      <w:r w:rsidR="00F57D9D" w:rsidRPr="00CE2185">
        <w:rPr>
          <w:rFonts w:eastAsia="Times New Roman"/>
          <w:noProof/>
          <w:color w:val="000000" w:themeColor="text1"/>
        </w:rPr>
        <w:t xml:space="preserve"> </w:t>
      </w:r>
      <w:r w:rsidR="00B018A7" w:rsidRPr="00CE2185">
        <w:rPr>
          <w:rFonts w:eastAsia="Times New Roman"/>
          <w:noProof/>
          <w:color w:val="000000" w:themeColor="text1"/>
        </w:rPr>
        <w:t xml:space="preserve">other intervention areas are in fact </w:t>
      </w:r>
      <w:r w:rsidR="00E372AB" w:rsidRPr="00CE2185">
        <w:rPr>
          <w:rFonts w:eastAsia="Times New Roman"/>
          <w:noProof/>
          <w:color w:val="000000" w:themeColor="text1"/>
        </w:rPr>
        <w:t>determinant</w:t>
      </w:r>
      <w:r w:rsidR="00B018A7" w:rsidRPr="00CE2185">
        <w:rPr>
          <w:rFonts w:eastAsia="Times New Roman"/>
          <w:noProof/>
          <w:color w:val="000000" w:themeColor="text1"/>
        </w:rPr>
        <w:t xml:space="preserve"> to </w:t>
      </w:r>
      <w:r w:rsidR="00E372AB" w:rsidRPr="00CE2185">
        <w:rPr>
          <w:rFonts w:eastAsia="Times New Roman"/>
          <w:noProof/>
          <w:color w:val="000000" w:themeColor="text1"/>
        </w:rPr>
        <w:t>impacts to be assessed as per the problems and problem drivers identified</w:t>
      </w:r>
      <w:r w:rsidR="00BA78C5" w:rsidRPr="00CE2185">
        <w:rPr>
          <w:rFonts w:eastAsia="Times New Roman"/>
          <w:noProof/>
          <w:color w:val="000000" w:themeColor="text1"/>
        </w:rPr>
        <w:t>.</w:t>
      </w:r>
      <w:r w:rsidR="00E372AB" w:rsidRPr="00CE2185">
        <w:rPr>
          <w:rFonts w:eastAsia="Times New Roman"/>
          <w:noProof/>
          <w:color w:val="000000" w:themeColor="text1"/>
        </w:rPr>
        <w:t xml:space="preserve"> T</w:t>
      </w:r>
      <w:r w:rsidR="20A140CB" w:rsidRPr="00CE2185">
        <w:rPr>
          <w:rFonts w:eastAsia="Times New Roman"/>
          <w:noProof/>
          <w:color w:val="000000" w:themeColor="text1"/>
        </w:rPr>
        <w:t xml:space="preserve">he possible combinations of options </w:t>
      </w:r>
      <w:r w:rsidR="761703BB" w:rsidRPr="00CE2185">
        <w:rPr>
          <w:rFonts w:eastAsia="Times New Roman"/>
          <w:noProof/>
          <w:color w:val="000000" w:themeColor="text1"/>
        </w:rPr>
        <w:t xml:space="preserve">that reinforce </w:t>
      </w:r>
      <w:r w:rsidR="6EC76C44" w:rsidRPr="00CE2185">
        <w:rPr>
          <w:rFonts w:eastAsia="Times New Roman"/>
          <w:noProof/>
          <w:color w:val="000000" w:themeColor="text1"/>
        </w:rPr>
        <w:t xml:space="preserve">the </w:t>
      </w:r>
      <w:r w:rsidR="761703BB" w:rsidRPr="00CE2185">
        <w:rPr>
          <w:rFonts w:eastAsia="Times New Roman"/>
          <w:noProof/>
          <w:color w:val="000000" w:themeColor="text1"/>
        </w:rPr>
        <w:t>effects or are complementary</w:t>
      </w:r>
      <w:r w:rsidR="20A140CB" w:rsidRPr="00CE2185">
        <w:rPr>
          <w:rFonts w:eastAsia="Times New Roman"/>
          <w:noProof/>
          <w:color w:val="000000" w:themeColor="text1"/>
        </w:rPr>
        <w:t xml:space="preserve"> are presented</w:t>
      </w:r>
      <w:r w:rsidR="00E372AB" w:rsidRPr="00CE2185">
        <w:rPr>
          <w:rFonts w:eastAsia="Times New Roman"/>
          <w:noProof/>
          <w:color w:val="000000" w:themeColor="text1"/>
        </w:rPr>
        <w:t xml:space="preserve"> in </w:t>
      </w:r>
      <w:r w:rsidR="00474B6B" w:rsidRPr="00CE2185">
        <w:rPr>
          <w:rFonts w:eastAsia="Times New Roman"/>
          <w:noProof/>
          <w:color w:val="000000" w:themeColor="text1"/>
        </w:rPr>
        <w:t>section 5.</w:t>
      </w:r>
      <w:r w:rsidR="00E372AB" w:rsidRPr="00CE2185">
        <w:rPr>
          <w:rFonts w:eastAsia="Times New Roman"/>
          <w:noProof/>
          <w:color w:val="000000" w:themeColor="text1"/>
        </w:rPr>
        <w:t>5 below</w:t>
      </w:r>
      <w:r w:rsidR="761703BB" w:rsidRPr="00CE2185">
        <w:rPr>
          <w:rFonts w:eastAsia="Times New Roman"/>
          <w:noProof/>
          <w:color w:val="000000" w:themeColor="text1"/>
        </w:rPr>
        <w:t>.</w:t>
      </w:r>
      <w:r w:rsidR="00610F93" w:rsidRPr="00CE2185">
        <w:rPr>
          <w:rFonts w:eastAsia="Times New Roman"/>
          <w:noProof/>
          <w:color w:val="000000" w:themeColor="text1"/>
        </w:rPr>
        <w:t xml:space="preserve"> For better illustration of measures included in all option presented below, see </w:t>
      </w:r>
      <w:r w:rsidR="00610F93" w:rsidRPr="00CE2185">
        <w:rPr>
          <w:rFonts w:eastAsia="Times New Roman"/>
          <w:i/>
          <w:iCs/>
          <w:noProof/>
          <w:color w:val="000000" w:themeColor="text1"/>
        </w:rPr>
        <w:t>Annex</w:t>
      </w:r>
      <w:r w:rsidR="00697E53" w:rsidRPr="00CE2185">
        <w:rPr>
          <w:rFonts w:eastAsia="Times New Roman"/>
          <w:i/>
          <w:iCs/>
          <w:noProof/>
          <w:color w:val="000000" w:themeColor="text1"/>
        </w:rPr>
        <w:t xml:space="preserve"> 13</w:t>
      </w:r>
      <w:r w:rsidR="00610F93" w:rsidRPr="00CE2185">
        <w:rPr>
          <w:rFonts w:eastAsia="Times New Roman"/>
          <w:noProof/>
          <w:color w:val="000000" w:themeColor="text1"/>
        </w:rPr>
        <w:t>.</w:t>
      </w:r>
    </w:p>
    <w:p w14:paraId="22108735" w14:textId="6D2B4496" w:rsidR="00F57D9D" w:rsidRPr="00CE2185" w:rsidRDefault="00F57D9D" w:rsidP="00F57D9D">
      <w:pPr>
        <w:rPr>
          <w:rFonts w:eastAsia="Times New Roman"/>
          <w:b/>
          <w:bCs/>
          <w:noProof/>
          <w:color w:val="000000" w:themeColor="text1"/>
        </w:rPr>
      </w:pPr>
      <w:r w:rsidRPr="00CE2185">
        <w:rPr>
          <w:rFonts w:eastAsia="Times New Roman"/>
          <w:b/>
          <w:bCs/>
          <w:noProof/>
          <w:color w:val="000000" w:themeColor="text1"/>
        </w:rPr>
        <w:t xml:space="preserve">5.2.1 </w:t>
      </w:r>
      <w:r w:rsidR="004D1986" w:rsidRPr="00CE2185">
        <w:rPr>
          <w:rFonts w:eastAsia="Times New Roman"/>
          <w:b/>
          <w:bCs/>
          <w:noProof/>
          <w:color w:val="000000" w:themeColor="text1"/>
        </w:rPr>
        <w:t xml:space="preserve">Options to address the </w:t>
      </w:r>
      <w:r w:rsidR="00CE0085" w:rsidRPr="00CE2185">
        <w:rPr>
          <w:rFonts w:eastAsia="Times New Roman"/>
          <w:b/>
          <w:bCs/>
          <w:noProof/>
          <w:color w:val="000000" w:themeColor="text1"/>
        </w:rPr>
        <w:t>misalignment</w:t>
      </w:r>
      <w:r w:rsidR="004D1986" w:rsidRPr="00CE2185">
        <w:rPr>
          <w:rFonts w:eastAsia="Times New Roman"/>
          <w:b/>
          <w:bCs/>
          <w:noProof/>
          <w:color w:val="000000" w:themeColor="text1"/>
        </w:rPr>
        <w:t xml:space="preserve"> of the </w:t>
      </w:r>
      <w:r w:rsidR="006A2DE2">
        <w:rPr>
          <w:rFonts w:eastAsia="Times New Roman"/>
          <w:b/>
          <w:bCs/>
          <w:noProof/>
          <w:color w:val="000000" w:themeColor="text1"/>
        </w:rPr>
        <w:t>Union</w:t>
      </w:r>
      <w:r w:rsidR="006A2DE2" w:rsidRPr="00CE2185">
        <w:rPr>
          <w:rFonts w:eastAsia="Times New Roman"/>
          <w:b/>
          <w:bCs/>
          <w:noProof/>
          <w:color w:val="000000" w:themeColor="text1"/>
        </w:rPr>
        <w:t xml:space="preserve"> </w:t>
      </w:r>
      <w:r w:rsidR="004D1986" w:rsidRPr="00CE2185">
        <w:rPr>
          <w:rFonts w:eastAsia="Times New Roman"/>
          <w:b/>
          <w:bCs/>
          <w:noProof/>
          <w:color w:val="000000" w:themeColor="text1"/>
        </w:rPr>
        <w:t>cybersecurity policy framework and stakeholders’ needs in an increasingly hostile environment</w:t>
      </w:r>
    </w:p>
    <w:tbl>
      <w:tblPr>
        <w:tblStyle w:val="TableGrid"/>
        <w:tblW w:w="0" w:type="auto"/>
        <w:tblLayout w:type="fixed"/>
        <w:tblLook w:val="06A0" w:firstRow="1" w:lastRow="0" w:firstColumn="1" w:lastColumn="0" w:noHBand="1" w:noVBand="1"/>
      </w:tblPr>
      <w:tblGrid>
        <w:gridCol w:w="9180"/>
      </w:tblGrid>
      <w:tr w:rsidR="00F57D9D" w:rsidRPr="00CE2185" w14:paraId="30546BB3" w14:textId="77777777" w:rsidTr="00EF2848">
        <w:trPr>
          <w:trHeight w:val="300"/>
        </w:trPr>
        <w:tc>
          <w:tcPr>
            <w:tcW w:w="9180" w:type="dxa"/>
          </w:tcPr>
          <w:p w14:paraId="6F1FC1A3" w14:textId="792BDA56"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A.1: </w:t>
            </w:r>
            <w:r w:rsidR="21C6EB36" w:rsidRPr="00CE2185">
              <w:rPr>
                <w:b/>
                <w:bCs/>
                <w:i/>
                <w:iCs/>
                <w:noProof/>
                <w:color w:val="000000" w:themeColor="text1"/>
              </w:rPr>
              <w:t xml:space="preserve">Clarifying ENISA’s mandate </w:t>
            </w:r>
            <w:r w:rsidR="0880A5DB" w:rsidRPr="00CE2185">
              <w:rPr>
                <w:b/>
                <w:bCs/>
                <w:i/>
                <w:iCs/>
                <w:noProof/>
                <w:color w:val="000000" w:themeColor="text1"/>
              </w:rPr>
              <w:t>and providing for prioritisation</w:t>
            </w:r>
            <w:r w:rsidR="21C6EB36" w:rsidRPr="00CE2185">
              <w:rPr>
                <w:b/>
                <w:bCs/>
                <w:i/>
                <w:iCs/>
                <w:noProof/>
                <w:color w:val="000000" w:themeColor="text1"/>
              </w:rPr>
              <w:t xml:space="preserve"> </w:t>
            </w:r>
          </w:p>
        </w:tc>
      </w:tr>
    </w:tbl>
    <w:p w14:paraId="31B471A5" w14:textId="4A9A0EFA" w:rsidR="00F57D9D" w:rsidRPr="00CE2185" w:rsidRDefault="0FED51B4" w:rsidP="00795DF0">
      <w:pPr>
        <w:spacing w:after="120"/>
        <w:rPr>
          <w:rFonts w:eastAsia="Times New Roman"/>
          <w:noProof/>
          <w:color w:val="000000" w:themeColor="text1"/>
        </w:rPr>
      </w:pPr>
      <w:r w:rsidRPr="00CE2185">
        <w:rPr>
          <w:rFonts w:eastAsia="Times New Roman"/>
          <w:noProof/>
          <w:color w:val="000000" w:themeColor="text1"/>
        </w:rPr>
        <w:t>This option would</w:t>
      </w:r>
      <w:r w:rsidR="0EA6475D" w:rsidRPr="00CE2185">
        <w:rPr>
          <w:rFonts w:eastAsia="Times New Roman"/>
          <w:noProof/>
          <w:color w:val="000000" w:themeColor="text1"/>
        </w:rPr>
        <w:t xml:space="preserve"> </w:t>
      </w:r>
      <w:r w:rsidR="5B63D533" w:rsidRPr="00CE2185">
        <w:rPr>
          <w:rFonts w:eastAsia="Times New Roman"/>
          <w:noProof/>
          <w:color w:val="000000" w:themeColor="text1"/>
        </w:rPr>
        <w:t>ensure</w:t>
      </w:r>
      <w:r w:rsidR="00F57D9D" w:rsidRPr="00CE2185">
        <w:rPr>
          <w:rFonts w:eastAsia="Times New Roman"/>
          <w:noProof/>
          <w:color w:val="000000" w:themeColor="text1"/>
        </w:rPr>
        <w:t xml:space="preserve"> a clear </w:t>
      </w:r>
      <w:r w:rsidR="002A3F04" w:rsidRPr="00CE2185">
        <w:rPr>
          <w:rFonts w:eastAsia="Times New Roman"/>
          <w:noProof/>
          <w:color w:val="000000" w:themeColor="text1"/>
        </w:rPr>
        <w:t xml:space="preserve">and </w:t>
      </w:r>
      <w:r w:rsidR="00F57D9D" w:rsidRPr="00CE2185">
        <w:rPr>
          <w:rFonts w:eastAsia="Times New Roman"/>
          <w:b/>
          <w:bCs/>
          <w:noProof/>
          <w:color w:val="000000" w:themeColor="text1"/>
        </w:rPr>
        <w:t xml:space="preserve">stable framework for the tasks of ENISA </w:t>
      </w:r>
      <w:r w:rsidR="36547C9F" w:rsidRPr="00CE2185">
        <w:rPr>
          <w:rFonts w:eastAsia="Times New Roman"/>
          <w:b/>
          <w:bCs/>
          <w:noProof/>
          <w:color w:val="000000" w:themeColor="text1"/>
        </w:rPr>
        <w:t xml:space="preserve">by </w:t>
      </w:r>
      <w:r w:rsidR="00D97952" w:rsidRPr="00CE2185">
        <w:rPr>
          <w:rFonts w:eastAsia="Times New Roman"/>
          <w:b/>
          <w:bCs/>
          <w:noProof/>
          <w:color w:val="000000" w:themeColor="text1"/>
        </w:rPr>
        <w:t xml:space="preserve">incorporating the </w:t>
      </w:r>
      <w:r w:rsidR="36547C9F" w:rsidRPr="00CE2185">
        <w:rPr>
          <w:rFonts w:eastAsia="Times New Roman"/>
          <w:b/>
          <w:bCs/>
          <w:noProof/>
          <w:color w:val="000000" w:themeColor="text1"/>
        </w:rPr>
        <w:t>tasks</w:t>
      </w:r>
      <w:r w:rsidR="00F57D9D" w:rsidRPr="00CE2185">
        <w:rPr>
          <w:rFonts w:eastAsia="Times New Roman"/>
          <w:b/>
          <w:bCs/>
          <w:noProof/>
          <w:color w:val="000000" w:themeColor="text1"/>
        </w:rPr>
        <w:t xml:space="preserve"> set out by other </w:t>
      </w:r>
      <w:r w:rsidR="178896BE" w:rsidRPr="00CE2185">
        <w:rPr>
          <w:rFonts w:eastAsia="Times New Roman"/>
          <w:b/>
          <w:bCs/>
          <w:noProof/>
          <w:color w:val="000000" w:themeColor="text1"/>
        </w:rPr>
        <w:t xml:space="preserve">pieces of </w:t>
      </w:r>
      <w:r w:rsidR="00F57D9D" w:rsidRPr="00CE2185">
        <w:rPr>
          <w:rFonts w:eastAsia="Times New Roman"/>
          <w:b/>
          <w:bCs/>
          <w:noProof/>
          <w:color w:val="000000" w:themeColor="text1"/>
        </w:rPr>
        <w:t>legislation</w:t>
      </w:r>
      <w:r w:rsidR="00F57D9D" w:rsidRPr="00CE2185">
        <w:rPr>
          <w:rFonts w:eastAsia="Times New Roman"/>
          <w:noProof/>
          <w:color w:val="000000" w:themeColor="text1"/>
        </w:rPr>
        <w:t>, such as the NIS 2 Directive, the CRA, the CS</w:t>
      </w:r>
      <w:r w:rsidR="00916AF0" w:rsidRPr="00CE2185">
        <w:rPr>
          <w:rFonts w:eastAsia="Times New Roman"/>
          <w:noProof/>
          <w:color w:val="000000" w:themeColor="text1"/>
        </w:rPr>
        <w:t>o</w:t>
      </w:r>
      <w:r w:rsidR="00F57D9D" w:rsidRPr="00CE2185">
        <w:rPr>
          <w:rFonts w:eastAsia="Times New Roman"/>
          <w:noProof/>
          <w:color w:val="000000" w:themeColor="text1"/>
        </w:rPr>
        <w:t xml:space="preserve">A, DORA and NCCS. </w:t>
      </w:r>
      <w:r w:rsidR="18694138" w:rsidRPr="00CE2185">
        <w:rPr>
          <w:rFonts w:eastAsia="Times New Roman"/>
          <w:noProof/>
          <w:color w:val="000000" w:themeColor="text1"/>
        </w:rPr>
        <w:t>It</w:t>
      </w:r>
      <w:r w:rsidR="371B3BD0" w:rsidRPr="00CE2185">
        <w:rPr>
          <w:rFonts w:eastAsia="Times New Roman"/>
          <w:noProof/>
          <w:color w:val="000000" w:themeColor="text1"/>
        </w:rPr>
        <w:t xml:space="preserve"> would </w:t>
      </w:r>
      <w:r w:rsidR="18694138" w:rsidRPr="00CE2185">
        <w:rPr>
          <w:rFonts w:eastAsia="Times New Roman"/>
          <w:noProof/>
          <w:color w:val="000000" w:themeColor="text1"/>
        </w:rPr>
        <w:t>not change</w:t>
      </w:r>
      <w:r w:rsidR="371B3BD0" w:rsidRPr="00CE2185">
        <w:rPr>
          <w:rFonts w:eastAsia="Times New Roman"/>
          <w:noProof/>
          <w:color w:val="000000" w:themeColor="text1"/>
        </w:rPr>
        <w:t xml:space="preserve"> the </w:t>
      </w:r>
      <w:r w:rsidR="18694138" w:rsidRPr="00CE2185">
        <w:rPr>
          <w:rFonts w:eastAsia="Times New Roman"/>
          <w:noProof/>
          <w:color w:val="000000" w:themeColor="text1"/>
        </w:rPr>
        <w:t xml:space="preserve">structure of </w:t>
      </w:r>
      <w:r w:rsidR="371B3BD0" w:rsidRPr="00CE2185">
        <w:rPr>
          <w:rFonts w:eastAsia="Times New Roman"/>
          <w:noProof/>
          <w:color w:val="000000" w:themeColor="text1"/>
        </w:rPr>
        <w:t xml:space="preserve">the </w:t>
      </w:r>
      <w:r w:rsidR="18694138" w:rsidRPr="00CE2185">
        <w:rPr>
          <w:rFonts w:eastAsia="Times New Roman"/>
          <w:noProof/>
          <w:color w:val="000000" w:themeColor="text1"/>
        </w:rPr>
        <w:t xml:space="preserve">mandate. </w:t>
      </w:r>
      <w:r w:rsidR="00F57D9D" w:rsidRPr="00CE2185">
        <w:rPr>
          <w:rFonts w:eastAsia="Times New Roman"/>
          <w:noProof/>
          <w:color w:val="000000" w:themeColor="text1"/>
        </w:rPr>
        <w:t xml:space="preserve">The intervention would also ensure for synergies with the ECCC </w:t>
      </w:r>
      <w:r w:rsidR="31DCFBB1" w:rsidRPr="00CE2185">
        <w:rPr>
          <w:rFonts w:eastAsia="Times New Roman"/>
          <w:noProof/>
          <w:color w:val="000000" w:themeColor="text1"/>
        </w:rPr>
        <w:t xml:space="preserve">by providing the Centre with the </w:t>
      </w:r>
      <w:r w:rsidR="703162CA" w:rsidRPr="00CE2185">
        <w:rPr>
          <w:rFonts w:eastAsia="Times New Roman"/>
          <w:noProof/>
          <w:color w:val="000000" w:themeColor="text1"/>
        </w:rPr>
        <w:t>necessary</w:t>
      </w:r>
      <w:r w:rsidR="31DCFBB1" w:rsidRPr="00CE2185">
        <w:rPr>
          <w:rFonts w:eastAsia="Times New Roman"/>
          <w:noProof/>
          <w:color w:val="000000" w:themeColor="text1"/>
        </w:rPr>
        <w:t xml:space="preserve"> information about the cybersecurity </w:t>
      </w:r>
      <w:r w:rsidR="49889A98" w:rsidRPr="00CE2185">
        <w:rPr>
          <w:rFonts w:eastAsia="Times New Roman"/>
          <w:noProof/>
          <w:color w:val="000000" w:themeColor="text1"/>
        </w:rPr>
        <w:t>trends, especially</w:t>
      </w:r>
      <w:r w:rsidR="31DCFBB1" w:rsidRPr="00CE2185">
        <w:rPr>
          <w:rFonts w:eastAsia="Times New Roman"/>
          <w:noProof/>
          <w:color w:val="000000" w:themeColor="text1"/>
        </w:rPr>
        <w:t xml:space="preserve"> in relation to emerging tec</w:t>
      </w:r>
      <w:r w:rsidR="7EA95B5D" w:rsidRPr="00CE2185">
        <w:rPr>
          <w:rFonts w:eastAsia="Times New Roman"/>
          <w:noProof/>
          <w:color w:val="000000" w:themeColor="text1"/>
        </w:rPr>
        <w:t>hnologies and providing for a</w:t>
      </w:r>
      <w:r w:rsidR="00BC5792" w:rsidRPr="00CE2185">
        <w:rPr>
          <w:rFonts w:eastAsia="Times New Roman"/>
          <w:noProof/>
          <w:color w:val="000000" w:themeColor="text1"/>
        </w:rPr>
        <w:t>n</w:t>
      </w:r>
      <w:r w:rsidR="7EA95B5D" w:rsidRPr="00CE2185">
        <w:rPr>
          <w:rFonts w:eastAsia="Times New Roman"/>
          <w:noProof/>
          <w:color w:val="000000" w:themeColor="text1"/>
        </w:rPr>
        <w:t xml:space="preserve"> observer status for the ECCC in the Management Board of ENISA. </w:t>
      </w:r>
      <w:r w:rsidR="7FAFACB3" w:rsidRPr="00CE2185">
        <w:rPr>
          <w:rFonts w:eastAsia="Times New Roman"/>
          <w:noProof/>
          <w:color w:val="000000" w:themeColor="text1"/>
        </w:rPr>
        <w:t>ENISA</w:t>
      </w:r>
      <w:r w:rsidR="001565B4" w:rsidRPr="00CE2185">
        <w:rPr>
          <w:rFonts w:eastAsia="Times New Roman"/>
          <w:noProof/>
          <w:color w:val="000000" w:themeColor="text1"/>
        </w:rPr>
        <w:t>’s</w:t>
      </w:r>
      <w:r w:rsidR="7FAFACB3" w:rsidRPr="00CE2185">
        <w:rPr>
          <w:rFonts w:eastAsia="Times New Roman"/>
          <w:noProof/>
          <w:color w:val="000000" w:themeColor="text1"/>
        </w:rPr>
        <w:t xml:space="preserve"> tasks</w:t>
      </w:r>
      <w:r w:rsidR="7EA95B5D" w:rsidRPr="00CE2185">
        <w:rPr>
          <w:rFonts w:eastAsia="Times New Roman"/>
          <w:noProof/>
          <w:color w:val="000000" w:themeColor="text1"/>
        </w:rPr>
        <w:t xml:space="preserve"> in the area of </w:t>
      </w:r>
      <w:r w:rsidR="54BF2A5A" w:rsidRPr="00CE2185">
        <w:rPr>
          <w:rFonts w:eastAsia="Times New Roman"/>
          <w:noProof/>
          <w:color w:val="000000" w:themeColor="text1"/>
        </w:rPr>
        <w:t xml:space="preserve">research and innovation </w:t>
      </w:r>
      <w:r w:rsidR="0E27A0EC" w:rsidRPr="00CE2185">
        <w:rPr>
          <w:rFonts w:eastAsia="Times New Roman"/>
          <w:noProof/>
          <w:color w:val="000000" w:themeColor="text1"/>
        </w:rPr>
        <w:t>w</w:t>
      </w:r>
      <w:r w:rsidR="6D166891" w:rsidRPr="00CE2185">
        <w:rPr>
          <w:rFonts w:eastAsia="Times New Roman"/>
          <w:noProof/>
          <w:color w:val="000000" w:themeColor="text1"/>
        </w:rPr>
        <w:t>ould be removed</w:t>
      </w:r>
      <w:r w:rsidR="00F57D9D" w:rsidRPr="00CE2185">
        <w:rPr>
          <w:rFonts w:eastAsia="Times New Roman"/>
          <w:noProof/>
          <w:color w:val="000000" w:themeColor="text1"/>
        </w:rPr>
        <w:t xml:space="preserve">. </w:t>
      </w:r>
    </w:p>
    <w:p w14:paraId="72788295" w14:textId="1237E993" w:rsidR="00F57D9D" w:rsidRPr="00CE2185" w:rsidRDefault="00F57D9D" w:rsidP="00795DF0">
      <w:pPr>
        <w:spacing w:after="120"/>
        <w:rPr>
          <w:noProof/>
          <w:color w:val="000000" w:themeColor="text1"/>
        </w:rPr>
      </w:pPr>
      <w:r w:rsidRPr="00CE2185">
        <w:rPr>
          <w:noProof/>
          <w:color w:val="000000" w:themeColor="text1"/>
        </w:rPr>
        <w:t xml:space="preserve">To ensure higher efficiency in terms of the use of resources, this option </w:t>
      </w:r>
      <w:r w:rsidR="009D043E" w:rsidRPr="00CE2185">
        <w:rPr>
          <w:noProof/>
          <w:color w:val="000000" w:themeColor="text1"/>
        </w:rPr>
        <w:t>proposes</w:t>
      </w:r>
      <w:r w:rsidRPr="00CE2185">
        <w:rPr>
          <w:noProof/>
          <w:color w:val="000000" w:themeColor="text1"/>
        </w:rPr>
        <w:t xml:space="preserve"> setting a clear </w:t>
      </w:r>
      <w:r w:rsidRPr="00CE2185">
        <w:rPr>
          <w:b/>
          <w:bCs/>
          <w:noProof/>
          <w:color w:val="000000" w:themeColor="text1"/>
        </w:rPr>
        <w:t>prioritisation</w:t>
      </w:r>
      <w:r w:rsidRPr="00CE2185">
        <w:rPr>
          <w:noProof/>
          <w:color w:val="000000" w:themeColor="text1"/>
        </w:rPr>
        <w:t xml:space="preserve"> of the Agency’s tasks, with </w:t>
      </w:r>
      <w:r w:rsidR="001779D2" w:rsidRPr="00CE2185">
        <w:rPr>
          <w:noProof/>
          <w:color w:val="000000" w:themeColor="text1"/>
        </w:rPr>
        <w:t xml:space="preserve">a greater </w:t>
      </w:r>
      <w:r w:rsidRPr="00CE2185">
        <w:rPr>
          <w:noProof/>
          <w:color w:val="000000" w:themeColor="text1"/>
        </w:rPr>
        <w:t>focus on support for policy implementation, including</w:t>
      </w:r>
      <w:r w:rsidR="000933B5" w:rsidRPr="00CE2185">
        <w:rPr>
          <w:noProof/>
          <w:color w:val="000000" w:themeColor="text1"/>
        </w:rPr>
        <w:t xml:space="preserve"> </w:t>
      </w:r>
      <w:r w:rsidR="301BF52B" w:rsidRPr="00CE2185">
        <w:rPr>
          <w:noProof/>
          <w:color w:val="000000" w:themeColor="text1"/>
        </w:rPr>
        <w:t>incr</w:t>
      </w:r>
      <w:r w:rsidR="007561B3" w:rsidRPr="00CE2185">
        <w:rPr>
          <w:noProof/>
          <w:color w:val="000000" w:themeColor="text1"/>
        </w:rPr>
        <w:t>e</w:t>
      </w:r>
      <w:r w:rsidR="301BF52B" w:rsidRPr="00CE2185">
        <w:rPr>
          <w:noProof/>
          <w:color w:val="000000" w:themeColor="text1"/>
        </w:rPr>
        <w:t xml:space="preserve">asing </w:t>
      </w:r>
      <w:r w:rsidR="000933B5" w:rsidRPr="00CE2185">
        <w:rPr>
          <w:noProof/>
          <w:color w:val="000000" w:themeColor="text1"/>
        </w:rPr>
        <w:t>the</w:t>
      </w:r>
      <w:r w:rsidRPr="00CE2185">
        <w:rPr>
          <w:noProof/>
          <w:color w:val="000000" w:themeColor="text1"/>
        </w:rPr>
        <w:t xml:space="preserve"> issuance of sector specific guidelines. </w:t>
      </w:r>
      <w:r w:rsidR="3F5FFE8E" w:rsidRPr="00CE2185">
        <w:rPr>
          <w:noProof/>
          <w:color w:val="000000" w:themeColor="text1"/>
        </w:rPr>
        <w:t xml:space="preserve">Under this option, </w:t>
      </w:r>
      <w:r w:rsidR="145FEFA2" w:rsidRPr="00CE2185">
        <w:rPr>
          <w:noProof/>
          <w:color w:val="000000" w:themeColor="text1"/>
        </w:rPr>
        <w:t xml:space="preserve">ENISA would </w:t>
      </w:r>
      <w:r w:rsidR="193FF28D" w:rsidRPr="00CE2185">
        <w:rPr>
          <w:noProof/>
          <w:color w:val="000000" w:themeColor="text1"/>
        </w:rPr>
        <w:t>receive</w:t>
      </w:r>
      <w:r w:rsidRPr="00CE2185">
        <w:rPr>
          <w:noProof/>
          <w:color w:val="000000" w:themeColor="text1"/>
        </w:rPr>
        <w:t xml:space="preserve"> </w:t>
      </w:r>
      <w:r w:rsidR="193FF28D" w:rsidRPr="00CE2185">
        <w:rPr>
          <w:noProof/>
          <w:color w:val="000000" w:themeColor="text1"/>
        </w:rPr>
        <w:t>further</w:t>
      </w:r>
      <w:r w:rsidRPr="00CE2185">
        <w:rPr>
          <w:noProof/>
          <w:color w:val="000000" w:themeColor="text1"/>
        </w:rPr>
        <w:t xml:space="preserve"> tasks </w:t>
      </w:r>
      <w:r w:rsidR="00601806" w:rsidRPr="00CE2185">
        <w:rPr>
          <w:noProof/>
          <w:color w:val="000000" w:themeColor="text1"/>
        </w:rPr>
        <w:t xml:space="preserve">to </w:t>
      </w:r>
      <w:r w:rsidRPr="00CE2185">
        <w:rPr>
          <w:noProof/>
          <w:color w:val="000000" w:themeColor="text1"/>
        </w:rPr>
        <w:t>support operational cooperation, making ENISA not only a secretariat of two operational networks</w:t>
      </w:r>
      <w:r w:rsidR="00FB41A7" w:rsidRPr="00CE2185">
        <w:rPr>
          <w:noProof/>
          <w:color w:val="000000" w:themeColor="text1"/>
        </w:rPr>
        <w:t xml:space="preserve"> (</w:t>
      </w:r>
      <w:r w:rsidRPr="00CE2185">
        <w:rPr>
          <w:noProof/>
          <w:color w:val="000000" w:themeColor="text1"/>
        </w:rPr>
        <w:t>CSIRTs network and EU CyCLONe</w:t>
      </w:r>
      <w:r w:rsidR="00FB41A7" w:rsidRPr="00CE2185">
        <w:rPr>
          <w:noProof/>
          <w:color w:val="000000" w:themeColor="text1"/>
        </w:rPr>
        <w:t>)</w:t>
      </w:r>
      <w:r w:rsidRPr="00CE2185">
        <w:rPr>
          <w:noProof/>
          <w:color w:val="000000" w:themeColor="text1"/>
        </w:rPr>
        <w:t xml:space="preserve">, but also strengthening its role </w:t>
      </w:r>
      <w:r w:rsidR="00D704B4" w:rsidRPr="00CE2185">
        <w:rPr>
          <w:noProof/>
          <w:color w:val="000000" w:themeColor="text1"/>
        </w:rPr>
        <w:t>in</w:t>
      </w:r>
      <w:r w:rsidRPr="00CE2185">
        <w:rPr>
          <w:noProof/>
          <w:color w:val="000000" w:themeColor="text1"/>
        </w:rPr>
        <w:t xml:space="preserve"> facilitat</w:t>
      </w:r>
      <w:r w:rsidR="00D704B4" w:rsidRPr="00CE2185">
        <w:rPr>
          <w:noProof/>
          <w:color w:val="000000" w:themeColor="text1"/>
        </w:rPr>
        <w:t>ing</w:t>
      </w:r>
      <w:r w:rsidRPr="00CE2185" w:rsidDel="007B3589">
        <w:rPr>
          <w:b/>
          <w:bCs/>
          <w:noProof/>
          <w:color w:val="000000" w:themeColor="text1"/>
        </w:rPr>
        <w:t xml:space="preserve"> </w:t>
      </w:r>
      <w:r w:rsidRPr="00CE2185">
        <w:rPr>
          <w:b/>
          <w:bCs/>
          <w:noProof/>
          <w:color w:val="000000" w:themeColor="text1"/>
        </w:rPr>
        <w:t>operational cooperation between Member States within those networks</w:t>
      </w:r>
      <w:r w:rsidRPr="00CE2185">
        <w:rPr>
          <w:noProof/>
          <w:color w:val="000000" w:themeColor="text1"/>
        </w:rPr>
        <w:t xml:space="preserve">, </w:t>
      </w:r>
      <w:r w:rsidR="00084D8B" w:rsidRPr="00CE2185">
        <w:rPr>
          <w:noProof/>
          <w:color w:val="000000" w:themeColor="text1"/>
        </w:rPr>
        <w:t>in</w:t>
      </w:r>
      <w:r w:rsidRPr="00CE2185">
        <w:rPr>
          <w:noProof/>
          <w:color w:val="000000" w:themeColor="text1"/>
        </w:rPr>
        <w:t xml:space="preserve"> case</w:t>
      </w:r>
      <w:r w:rsidR="00084D8B" w:rsidRPr="00CE2185">
        <w:rPr>
          <w:noProof/>
          <w:color w:val="000000" w:themeColor="text1"/>
        </w:rPr>
        <w:t>s</w:t>
      </w:r>
      <w:r w:rsidRPr="00CE2185">
        <w:rPr>
          <w:noProof/>
          <w:color w:val="000000" w:themeColor="text1"/>
        </w:rPr>
        <w:t xml:space="preserve"> of cross-border incidents.</w:t>
      </w:r>
      <w:r w:rsidR="00445ABC" w:rsidRPr="00CE2185">
        <w:rPr>
          <w:noProof/>
          <w:color w:val="000000" w:themeColor="text1"/>
        </w:rPr>
        <w:t xml:space="preserve">, for example by providing </w:t>
      </w:r>
      <w:r w:rsidR="001A2828" w:rsidRPr="00CE2185">
        <w:rPr>
          <w:noProof/>
          <w:color w:val="000000" w:themeColor="text1"/>
        </w:rPr>
        <w:t xml:space="preserve">coordination </w:t>
      </w:r>
      <w:r w:rsidR="007840CE" w:rsidRPr="00CE2185">
        <w:rPr>
          <w:noProof/>
          <w:color w:val="000000" w:themeColor="text1"/>
        </w:rPr>
        <w:t xml:space="preserve">in relation to </w:t>
      </w:r>
      <w:r w:rsidR="003B3FD7" w:rsidRPr="00CE2185">
        <w:rPr>
          <w:noProof/>
          <w:color w:val="000000" w:themeColor="text1"/>
        </w:rPr>
        <w:t xml:space="preserve">a joint </w:t>
      </w:r>
      <w:r w:rsidR="007840CE" w:rsidRPr="00CE2185">
        <w:rPr>
          <w:noProof/>
          <w:color w:val="000000" w:themeColor="text1"/>
        </w:rPr>
        <w:t>incident response</w:t>
      </w:r>
      <w:r w:rsidR="001D042B" w:rsidRPr="00CE2185">
        <w:rPr>
          <w:noProof/>
          <w:color w:val="000000" w:themeColor="text1"/>
        </w:rPr>
        <w:t>.</w:t>
      </w:r>
      <w:r w:rsidRPr="00CE2185">
        <w:rPr>
          <w:noProof/>
          <w:color w:val="000000" w:themeColor="text1"/>
        </w:rPr>
        <w:t xml:space="preserve"> The Agency’s resourcing mechanisms would be changed by adjusting the current budget to reflect the additional tasks from other legislative acts</w:t>
      </w:r>
      <w:r w:rsidR="5645FB7E" w:rsidRPr="00CE2185">
        <w:rPr>
          <w:noProof/>
          <w:color w:val="000000" w:themeColor="text1"/>
        </w:rPr>
        <w:t xml:space="preserve"> and include </w:t>
      </w:r>
      <w:r w:rsidR="489A4224" w:rsidRPr="00CE2185">
        <w:rPr>
          <w:noProof/>
          <w:color w:val="000000" w:themeColor="text1"/>
        </w:rPr>
        <w:t xml:space="preserve">the cost of human resources </w:t>
      </w:r>
      <w:r w:rsidR="00223D65" w:rsidRPr="00CE2185">
        <w:rPr>
          <w:noProof/>
          <w:color w:val="000000" w:themeColor="text1"/>
        </w:rPr>
        <w:t>needed</w:t>
      </w:r>
      <w:r w:rsidR="5645FB7E" w:rsidRPr="00CE2185">
        <w:rPr>
          <w:noProof/>
          <w:color w:val="000000" w:themeColor="text1"/>
        </w:rPr>
        <w:t xml:space="preserve"> within ENISA’s establishment plan</w:t>
      </w:r>
      <w:r w:rsidR="7ECC3E9A" w:rsidRPr="00CE2185">
        <w:rPr>
          <w:noProof/>
          <w:color w:val="000000" w:themeColor="text1"/>
        </w:rPr>
        <w:t xml:space="preserve">. </w:t>
      </w:r>
      <w:r w:rsidR="1C1DC4BF" w:rsidRPr="00CE2185">
        <w:rPr>
          <w:noProof/>
          <w:color w:val="000000" w:themeColor="text1"/>
        </w:rPr>
        <w:t>It would</w:t>
      </w:r>
      <w:r w:rsidR="7ECC3E9A" w:rsidRPr="00CE2185">
        <w:rPr>
          <w:noProof/>
          <w:color w:val="000000" w:themeColor="text1"/>
        </w:rPr>
        <w:t xml:space="preserve"> limit</w:t>
      </w:r>
      <w:r w:rsidR="00223D65" w:rsidRPr="00CE2185">
        <w:rPr>
          <w:noProof/>
          <w:color w:val="000000" w:themeColor="text1"/>
        </w:rPr>
        <w:t xml:space="preserve"> </w:t>
      </w:r>
      <w:r w:rsidRPr="00CE2185">
        <w:rPr>
          <w:noProof/>
          <w:color w:val="000000" w:themeColor="text1"/>
        </w:rPr>
        <w:t>ad hoc contribution agreements</w:t>
      </w:r>
      <w:r w:rsidR="0D0DD24B" w:rsidRPr="00CE2185">
        <w:rPr>
          <w:noProof/>
          <w:color w:val="000000" w:themeColor="text1"/>
        </w:rPr>
        <w:t xml:space="preserve">, limiting </w:t>
      </w:r>
      <w:r w:rsidR="66940174" w:rsidRPr="00CE2185">
        <w:rPr>
          <w:noProof/>
          <w:color w:val="000000" w:themeColor="text1"/>
        </w:rPr>
        <w:t>administrative</w:t>
      </w:r>
      <w:r w:rsidR="0D0DD24B" w:rsidRPr="00CE2185">
        <w:rPr>
          <w:noProof/>
          <w:color w:val="000000" w:themeColor="text1"/>
        </w:rPr>
        <w:t xml:space="preserve"> costs related to the</w:t>
      </w:r>
      <w:r w:rsidR="1551C942" w:rsidRPr="00CE2185">
        <w:rPr>
          <w:noProof/>
          <w:color w:val="000000" w:themeColor="text1"/>
        </w:rPr>
        <w:t>m</w:t>
      </w:r>
      <w:r w:rsidRPr="00CE2185">
        <w:rPr>
          <w:noProof/>
          <w:color w:val="000000" w:themeColor="text1"/>
        </w:rPr>
        <w:t>.</w:t>
      </w:r>
    </w:p>
    <w:tbl>
      <w:tblPr>
        <w:tblStyle w:val="TableGrid"/>
        <w:tblW w:w="0" w:type="auto"/>
        <w:tblLayout w:type="fixed"/>
        <w:tblLook w:val="06A0" w:firstRow="1" w:lastRow="0" w:firstColumn="1" w:lastColumn="0" w:noHBand="1" w:noVBand="1"/>
      </w:tblPr>
      <w:tblGrid>
        <w:gridCol w:w="9186"/>
      </w:tblGrid>
      <w:tr w:rsidR="00F57D9D" w:rsidRPr="00CE2185" w14:paraId="099DC00C" w14:textId="77777777" w:rsidTr="00A63574">
        <w:trPr>
          <w:trHeight w:val="349"/>
        </w:trPr>
        <w:tc>
          <w:tcPr>
            <w:tcW w:w="9186" w:type="dxa"/>
          </w:tcPr>
          <w:p w14:paraId="14367E73" w14:textId="42CEB3C5"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A.2: </w:t>
            </w:r>
            <w:r w:rsidR="52AD9A89" w:rsidRPr="00CE2185">
              <w:rPr>
                <w:b/>
                <w:bCs/>
                <w:i/>
                <w:iCs/>
                <w:noProof/>
                <w:color w:val="000000" w:themeColor="text1"/>
              </w:rPr>
              <w:t>Reform</w:t>
            </w:r>
            <w:r w:rsidR="008D65A2">
              <w:rPr>
                <w:b/>
                <w:bCs/>
                <w:i/>
                <w:iCs/>
                <w:noProof/>
                <w:color w:val="000000" w:themeColor="text1"/>
              </w:rPr>
              <w:t>ing</w:t>
            </w:r>
            <w:r w:rsidR="52AD9A89" w:rsidRPr="00CE2185">
              <w:rPr>
                <w:b/>
                <w:bCs/>
                <w:i/>
                <w:iCs/>
                <w:noProof/>
                <w:color w:val="000000" w:themeColor="text1"/>
              </w:rPr>
              <w:t xml:space="preserve"> of ENISA’s mandate </w:t>
            </w:r>
          </w:p>
        </w:tc>
      </w:tr>
    </w:tbl>
    <w:p w14:paraId="3898941A" w14:textId="728E0CDC" w:rsidR="004871AC" w:rsidRPr="00CE2185" w:rsidRDefault="00F57D9D" w:rsidP="00C743D0">
      <w:pPr>
        <w:pStyle w:val="Text2"/>
        <w:spacing w:before="120" w:after="120"/>
        <w:ind w:left="0"/>
        <w:rPr>
          <w:noProof/>
          <w:color w:val="000000" w:themeColor="text1"/>
        </w:rPr>
      </w:pPr>
      <w:r w:rsidRPr="00CE2185">
        <w:rPr>
          <w:noProof/>
          <w:color w:val="000000" w:themeColor="text1"/>
        </w:rPr>
        <w:t xml:space="preserve">This option would repeal </w:t>
      </w:r>
      <w:r w:rsidR="00B86FD1" w:rsidRPr="00CE2185">
        <w:rPr>
          <w:noProof/>
          <w:color w:val="000000" w:themeColor="text1"/>
        </w:rPr>
        <w:t xml:space="preserve">and replace </w:t>
      </w:r>
      <w:r w:rsidRPr="00CE2185">
        <w:rPr>
          <w:noProof/>
          <w:color w:val="000000" w:themeColor="text1"/>
        </w:rPr>
        <w:t>the CSA</w:t>
      </w:r>
      <w:r w:rsidR="45BE5F4A" w:rsidRPr="00CE2185">
        <w:rPr>
          <w:noProof/>
          <w:color w:val="000000" w:themeColor="text1"/>
        </w:rPr>
        <w:t>, providi</w:t>
      </w:r>
      <w:r w:rsidR="00406E5C" w:rsidRPr="00CE2185">
        <w:rPr>
          <w:noProof/>
          <w:color w:val="000000" w:themeColor="text1"/>
        </w:rPr>
        <w:t>n</w:t>
      </w:r>
      <w:r w:rsidR="45BE5F4A" w:rsidRPr="00CE2185">
        <w:rPr>
          <w:noProof/>
          <w:color w:val="000000" w:themeColor="text1"/>
        </w:rPr>
        <w:t>g an overhaul of t</w:t>
      </w:r>
      <w:r w:rsidR="00406E5C" w:rsidRPr="00CE2185">
        <w:rPr>
          <w:noProof/>
          <w:color w:val="000000" w:themeColor="text1"/>
        </w:rPr>
        <w:t>he</w:t>
      </w:r>
      <w:r w:rsidR="45BE5F4A" w:rsidRPr="00CE2185">
        <w:rPr>
          <w:noProof/>
          <w:color w:val="000000" w:themeColor="text1"/>
        </w:rPr>
        <w:t xml:space="preserve"> Agency mandate</w:t>
      </w:r>
      <w:r w:rsidR="00B86FD1" w:rsidRPr="00CE2185">
        <w:rPr>
          <w:noProof/>
          <w:color w:val="000000" w:themeColor="text1"/>
        </w:rPr>
        <w:t xml:space="preserve">. </w:t>
      </w:r>
      <w:r w:rsidR="00B35E7F" w:rsidRPr="00CE2185">
        <w:rPr>
          <w:noProof/>
          <w:color w:val="000000" w:themeColor="text1"/>
        </w:rPr>
        <w:t xml:space="preserve"> </w:t>
      </w:r>
    </w:p>
    <w:p w14:paraId="7B6C4853" w14:textId="4E903CF9" w:rsidR="00ED0857" w:rsidRPr="00CE2185" w:rsidRDefault="004871AC" w:rsidP="00C743D0">
      <w:pPr>
        <w:pStyle w:val="Text2"/>
        <w:spacing w:before="120" w:after="120"/>
        <w:ind w:left="0"/>
        <w:rPr>
          <w:rStyle w:val="cf11"/>
          <w:rFonts w:ascii="Times New Roman" w:eastAsia="Times New Roman" w:hAnsi="Times New Roman" w:cs="Times New Roman"/>
          <w:noProof/>
          <w:color w:val="000000" w:themeColor="text1"/>
          <w:sz w:val="24"/>
          <w:szCs w:val="24"/>
        </w:rPr>
      </w:pPr>
      <w:r w:rsidRPr="00CE2185">
        <w:rPr>
          <w:noProof/>
          <w:color w:val="000000" w:themeColor="text1"/>
        </w:rPr>
        <w:t xml:space="preserve">The mandate would </w:t>
      </w:r>
      <w:r w:rsidR="00B35E7F" w:rsidRPr="00CE2185">
        <w:rPr>
          <w:noProof/>
          <w:color w:val="000000" w:themeColor="text1"/>
        </w:rPr>
        <w:t>organise</w:t>
      </w:r>
      <w:r w:rsidR="00F57D9D" w:rsidRPr="00CE2185">
        <w:rPr>
          <w:noProof/>
          <w:color w:val="000000" w:themeColor="text1"/>
        </w:rPr>
        <w:t xml:space="preserve"> ENISA’s tasks along three main pillars</w:t>
      </w:r>
      <w:r w:rsidR="001D4F23" w:rsidRPr="00CE2185">
        <w:rPr>
          <w:noProof/>
          <w:color w:val="000000" w:themeColor="text1"/>
        </w:rPr>
        <w:t xml:space="preserve"> bringing the possibility to create synergies between those tasks</w:t>
      </w:r>
      <w:r w:rsidR="00574F1F" w:rsidRPr="00CE2185">
        <w:rPr>
          <w:noProof/>
          <w:color w:val="000000" w:themeColor="text1"/>
        </w:rPr>
        <w:t xml:space="preserve"> and clarifying the </w:t>
      </w:r>
      <w:r w:rsidR="00857E2E" w:rsidRPr="00CE2185">
        <w:rPr>
          <w:noProof/>
          <w:color w:val="000000" w:themeColor="text1"/>
        </w:rPr>
        <w:t>priorities for the Agency</w:t>
      </w:r>
      <w:r w:rsidR="00F57D9D" w:rsidRPr="00CE2185">
        <w:rPr>
          <w:noProof/>
          <w:color w:val="000000" w:themeColor="text1"/>
        </w:rPr>
        <w:t xml:space="preserve">: </w:t>
      </w:r>
      <w:r w:rsidR="00F57D9D" w:rsidRPr="00CE2185">
        <w:rPr>
          <w:b/>
          <w:noProof/>
          <w:color w:val="000000" w:themeColor="text1"/>
        </w:rPr>
        <w:t>(</w:t>
      </w:r>
      <w:r w:rsidR="000A362D" w:rsidRPr="00CE2185">
        <w:rPr>
          <w:b/>
          <w:bCs/>
          <w:noProof/>
          <w:color w:val="000000" w:themeColor="text1"/>
        </w:rPr>
        <w:t>i</w:t>
      </w:r>
      <w:r w:rsidR="00F57D9D" w:rsidRPr="00CE2185">
        <w:rPr>
          <w:b/>
          <w:noProof/>
          <w:color w:val="000000" w:themeColor="text1"/>
        </w:rPr>
        <w:t>)</w:t>
      </w:r>
      <w:r w:rsidR="00F57D9D" w:rsidRPr="00CE2185">
        <w:rPr>
          <w:noProof/>
          <w:color w:val="000000" w:themeColor="text1"/>
        </w:rPr>
        <w:t xml:space="preserve"> supporting </w:t>
      </w:r>
      <w:r w:rsidR="00F57D9D" w:rsidRPr="00CE2185">
        <w:rPr>
          <w:b/>
          <w:noProof/>
          <w:color w:val="000000" w:themeColor="text1"/>
        </w:rPr>
        <w:t>implementation of general and sector-specific cybersecurity policies and legislation</w:t>
      </w:r>
      <w:r w:rsidR="00451D14" w:rsidRPr="00CE2185">
        <w:rPr>
          <w:b/>
          <w:noProof/>
          <w:color w:val="000000" w:themeColor="text1"/>
        </w:rPr>
        <w:t>,</w:t>
      </w:r>
      <w:r w:rsidR="00F57D9D" w:rsidRPr="00CE2185">
        <w:rPr>
          <w:rStyle w:val="cf11"/>
          <w:rFonts w:ascii="Times New Roman" w:eastAsia="Times New Roman" w:hAnsi="Times New Roman" w:cs="Times New Roman"/>
          <w:noProof/>
          <w:color w:val="000000" w:themeColor="text1"/>
          <w:sz w:val="24"/>
          <w:szCs w:val="24"/>
        </w:rPr>
        <w:t xml:space="preserve"> such as NIS 2, DORA, Action Plan for the cybersecurity of hospitals and healthcare providers, NCCS etc.</w:t>
      </w:r>
      <w:r w:rsidR="005D15DF" w:rsidRPr="00CE2185">
        <w:rPr>
          <w:rStyle w:val="cf11"/>
          <w:rFonts w:ascii="Times New Roman" w:eastAsia="Times New Roman" w:hAnsi="Times New Roman" w:cs="Times New Roman"/>
          <w:noProof/>
          <w:color w:val="000000" w:themeColor="text1"/>
          <w:sz w:val="24"/>
          <w:szCs w:val="24"/>
        </w:rPr>
        <w:t xml:space="preserve">; </w:t>
      </w:r>
      <w:r w:rsidR="00F57D9D" w:rsidRPr="00CE2185">
        <w:rPr>
          <w:rStyle w:val="cf11"/>
          <w:rFonts w:ascii="Times New Roman" w:eastAsia="Times New Roman" w:hAnsi="Times New Roman" w:cs="Times New Roman"/>
          <w:b/>
          <w:noProof/>
          <w:color w:val="000000" w:themeColor="text1"/>
          <w:sz w:val="24"/>
          <w:szCs w:val="24"/>
        </w:rPr>
        <w:t>(</w:t>
      </w:r>
      <w:r w:rsidR="000A362D" w:rsidRPr="00CE2185">
        <w:rPr>
          <w:rStyle w:val="cf11"/>
          <w:rFonts w:ascii="Times New Roman" w:eastAsia="Times New Roman" w:hAnsi="Times New Roman" w:cs="Times New Roman"/>
          <w:b/>
          <w:bCs/>
          <w:noProof/>
          <w:color w:val="000000" w:themeColor="text1"/>
          <w:sz w:val="24"/>
          <w:szCs w:val="24"/>
        </w:rPr>
        <w:t>ii</w:t>
      </w:r>
      <w:r w:rsidR="00F57D9D" w:rsidRPr="00CE2185">
        <w:rPr>
          <w:rStyle w:val="cf11"/>
          <w:rFonts w:ascii="Times New Roman" w:eastAsia="Times New Roman" w:hAnsi="Times New Roman" w:cs="Times New Roman"/>
          <w:b/>
          <w:noProof/>
          <w:color w:val="000000" w:themeColor="text1"/>
          <w:sz w:val="24"/>
          <w:szCs w:val="24"/>
        </w:rPr>
        <w:t>)</w:t>
      </w:r>
      <w:r w:rsidR="00F57D9D" w:rsidRPr="00CE2185">
        <w:rPr>
          <w:rStyle w:val="BodyPlaceholderText"/>
          <w:rFonts w:ascii="Times New Roman" w:eastAsia="Times New Roman" w:hAnsi="Times New Roman" w:cs="Times New Roman"/>
          <w:noProof/>
          <w:sz w:val="24"/>
          <w:szCs w:val="24"/>
        </w:rPr>
        <w:t xml:space="preserve"> </w:t>
      </w:r>
      <w:r w:rsidR="00F57D9D" w:rsidRPr="00CE2185">
        <w:rPr>
          <w:b/>
          <w:noProof/>
          <w:color w:val="000000" w:themeColor="text1"/>
        </w:rPr>
        <w:t>operational s</w:t>
      </w:r>
      <w:r w:rsidR="00F57D9D" w:rsidRPr="00CE2185">
        <w:rPr>
          <w:rStyle w:val="cf01"/>
          <w:rFonts w:ascii="Times New Roman" w:hAnsi="Times New Roman" w:cs="Times New Roman"/>
          <w:noProof/>
          <w:color w:val="000000" w:themeColor="text1"/>
          <w:sz w:val="24"/>
          <w:szCs w:val="24"/>
        </w:rPr>
        <w:t xml:space="preserve">upport, </w:t>
      </w:r>
      <w:r w:rsidR="00F57D9D" w:rsidRPr="00CE2185">
        <w:rPr>
          <w:rStyle w:val="cf01"/>
          <w:rFonts w:ascii="Times New Roman" w:hAnsi="Times New Roman" w:cs="Times New Roman"/>
          <w:b w:val="0"/>
          <w:noProof/>
          <w:color w:val="000000" w:themeColor="text1"/>
          <w:sz w:val="24"/>
          <w:szCs w:val="24"/>
        </w:rPr>
        <w:t>including in activities such as</w:t>
      </w:r>
      <w:r w:rsidR="00F57D9D" w:rsidRPr="00CE2185">
        <w:rPr>
          <w:rStyle w:val="cf01"/>
          <w:rFonts w:ascii="Times New Roman" w:hAnsi="Times New Roman" w:cs="Times New Roman"/>
          <w:noProof/>
          <w:color w:val="000000" w:themeColor="text1"/>
          <w:sz w:val="24"/>
          <w:szCs w:val="24"/>
        </w:rPr>
        <w:t xml:space="preserve"> </w:t>
      </w:r>
      <w:r w:rsidR="00F57D9D" w:rsidRPr="00CE2185">
        <w:rPr>
          <w:rStyle w:val="cf11"/>
          <w:rFonts w:ascii="Times New Roman" w:eastAsia="Times New Roman" w:hAnsi="Times New Roman" w:cs="Times New Roman"/>
          <w:noProof/>
          <w:color w:val="000000" w:themeColor="text1"/>
          <w:sz w:val="24"/>
          <w:szCs w:val="24"/>
        </w:rPr>
        <w:t>the EU Cybersecurity Reserve under the C</w:t>
      </w:r>
      <w:r w:rsidR="76934466" w:rsidRPr="00CE2185">
        <w:rPr>
          <w:rStyle w:val="cf11"/>
          <w:rFonts w:ascii="Times New Roman" w:eastAsia="Times New Roman" w:hAnsi="Times New Roman" w:cs="Times New Roman"/>
          <w:noProof/>
          <w:color w:val="000000" w:themeColor="text1"/>
          <w:sz w:val="24"/>
          <w:szCs w:val="24"/>
        </w:rPr>
        <w:t>SoA</w:t>
      </w:r>
      <w:r w:rsidR="00F57D9D" w:rsidRPr="00CE2185">
        <w:rPr>
          <w:rStyle w:val="cf11"/>
          <w:rFonts w:ascii="Times New Roman" w:eastAsia="Times New Roman" w:hAnsi="Times New Roman" w:cs="Times New Roman"/>
          <w:noProof/>
          <w:color w:val="000000" w:themeColor="text1"/>
          <w:sz w:val="24"/>
          <w:szCs w:val="24"/>
        </w:rPr>
        <w:t xml:space="preserve"> </w:t>
      </w:r>
      <w:r w:rsidR="00390F55" w:rsidRPr="00CE2185">
        <w:rPr>
          <w:rStyle w:val="cf11"/>
          <w:rFonts w:ascii="Times New Roman" w:eastAsia="Times New Roman" w:hAnsi="Times New Roman" w:cs="Times New Roman"/>
          <w:noProof/>
          <w:color w:val="000000" w:themeColor="text1"/>
          <w:sz w:val="24"/>
          <w:szCs w:val="24"/>
        </w:rPr>
        <w:t>and</w:t>
      </w:r>
      <w:r w:rsidR="00F57D9D" w:rsidRPr="00CE2185">
        <w:rPr>
          <w:rStyle w:val="cf11"/>
          <w:rFonts w:ascii="Times New Roman" w:eastAsia="Times New Roman" w:hAnsi="Times New Roman" w:cs="Times New Roman"/>
          <w:noProof/>
          <w:color w:val="000000" w:themeColor="text1"/>
          <w:sz w:val="24"/>
          <w:szCs w:val="24"/>
        </w:rPr>
        <w:t xml:space="preserve"> enhancing support for Member States to contribute to better situational awareness</w:t>
      </w:r>
      <w:r w:rsidR="00ED0857" w:rsidRPr="00CE2185">
        <w:rPr>
          <w:rStyle w:val="cf11"/>
          <w:rFonts w:ascii="Times New Roman" w:eastAsia="Times New Roman" w:hAnsi="Times New Roman" w:cs="Times New Roman"/>
          <w:noProof/>
          <w:color w:val="000000" w:themeColor="text1"/>
          <w:sz w:val="24"/>
          <w:szCs w:val="24"/>
        </w:rPr>
        <w:t>, and</w:t>
      </w:r>
      <w:r w:rsidR="00F57D9D" w:rsidRPr="00CE2185">
        <w:rPr>
          <w:rStyle w:val="cf01"/>
          <w:rFonts w:ascii="Times New Roman" w:hAnsi="Times New Roman" w:cs="Times New Roman"/>
          <w:noProof/>
          <w:color w:val="000000" w:themeColor="text1"/>
          <w:sz w:val="24"/>
          <w:szCs w:val="24"/>
        </w:rPr>
        <w:t xml:space="preserve"> (</w:t>
      </w:r>
      <w:r w:rsidR="000A362D" w:rsidRPr="00CE2185">
        <w:rPr>
          <w:rStyle w:val="cf01"/>
          <w:rFonts w:ascii="Times New Roman" w:hAnsi="Times New Roman" w:cs="Times New Roman"/>
          <w:noProof/>
          <w:color w:val="000000" w:themeColor="text1"/>
          <w:sz w:val="24"/>
          <w:szCs w:val="24"/>
        </w:rPr>
        <w:t>iii</w:t>
      </w:r>
      <w:r w:rsidR="00F57D9D" w:rsidRPr="00CE2185">
        <w:rPr>
          <w:rStyle w:val="cf01"/>
          <w:rFonts w:ascii="Times New Roman" w:hAnsi="Times New Roman" w:cs="Times New Roman"/>
          <w:noProof/>
          <w:color w:val="000000" w:themeColor="text1"/>
          <w:sz w:val="24"/>
          <w:szCs w:val="24"/>
        </w:rPr>
        <w:t>) cybersecurity certification</w:t>
      </w:r>
      <w:r w:rsidR="00FB20FE" w:rsidRPr="00CE2185">
        <w:rPr>
          <w:rStyle w:val="cf01"/>
          <w:rFonts w:ascii="Times New Roman" w:hAnsi="Times New Roman" w:cs="Times New Roman"/>
          <w:noProof/>
          <w:color w:val="000000" w:themeColor="text1"/>
          <w:sz w:val="24"/>
          <w:szCs w:val="24"/>
        </w:rPr>
        <w:t xml:space="preserve">, </w:t>
      </w:r>
      <w:r w:rsidR="00F57D9D" w:rsidRPr="00CE2185">
        <w:rPr>
          <w:rStyle w:val="cf01"/>
          <w:rFonts w:ascii="Times New Roman" w:hAnsi="Times New Roman" w:cs="Times New Roman"/>
          <w:noProof/>
          <w:color w:val="000000" w:themeColor="text1"/>
          <w:sz w:val="24"/>
          <w:szCs w:val="24"/>
        </w:rPr>
        <w:t>standardisation</w:t>
      </w:r>
      <w:r w:rsidR="00F57D9D" w:rsidRPr="00CE2185">
        <w:rPr>
          <w:rStyle w:val="cf11"/>
          <w:rFonts w:ascii="Times New Roman" w:eastAsia="Times New Roman" w:hAnsi="Times New Roman" w:cs="Times New Roman"/>
          <w:noProof/>
          <w:color w:val="000000" w:themeColor="text1"/>
          <w:sz w:val="24"/>
          <w:szCs w:val="24"/>
        </w:rPr>
        <w:t xml:space="preserve"> (including on CRA implementation)</w:t>
      </w:r>
      <w:r w:rsidR="00FB20FE" w:rsidRPr="00CE2185">
        <w:rPr>
          <w:rStyle w:val="cf11"/>
          <w:rFonts w:ascii="Times New Roman" w:eastAsia="Times New Roman" w:hAnsi="Times New Roman" w:cs="Times New Roman"/>
          <w:noProof/>
          <w:color w:val="000000" w:themeColor="text1"/>
          <w:sz w:val="24"/>
          <w:szCs w:val="24"/>
        </w:rPr>
        <w:t xml:space="preserve"> </w:t>
      </w:r>
      <w:r w:rsidR="00FB20FE" w:rsidRPr="00CE2185">
        <w:rPr>
          <w:rStyle w:val="cf11"/>
          <w:rFonts w:ascii="Times New Roman" w:eastAsia="Times New Roman" w:hAnsi="Times New Roman" w:cs="Times New Roman"/>
          <w:b/>
          <w:bCs/>
          <w:noProof/>
          <w:color w:val="000000" w:themeColor="text1"/>
          <w:sz w:val="24"/>
          <w:szCs w:val="24"/>
        </w:rPr>
        <w:t xml:space="preserve">and attestation </w:t>
      </w:r>
      <w:r w:rsidR="0059759E" w:rsidRPr="00CE2185">
        <w:rPr>
          <w:rStyle w:val="cf11"/>
          <w:rFonts w:ascii="Times New Roman" w:eastAsia="Times New Roman" w:hAnsi="Times New Roman" w:cs="Times New Roman"/>
          <w:b/>
          <w:bCs/>
          <w:noProof/>
          <w:color w:val="000000" w:themeColor="text1"/>
          <w:sz w:val="24"/>
          <w:szCs w:val="24"/>
        </w:rPr>
        <w:t>for cybersecurity skills</w:t>
      </w:r>
      <w:r w:rsidR="00F57D9D" w:rsidRPr="00CE2185">
        <w:rPr>
          <w:rStyle w:val="cf11"/>
          <w:rFonts w:ascii="Times New Roman" w:eastAsia="Times New Roman" w:hAnsi="Times New Roman" w:cs="Times New Roman"/>
          <w:noProof/>
          <w:color w:val="000000" w:themeColor="text1"/>
          <w:sz w:val="24"/>
          <w:szCs w:val="24"/>
        </w:rPr>
        <w:t xml:space="preserve">. </w:t>
      </w:r>
    </w:p>
    <w:p w14:paraId="2FBC2EB0" w14:textId="055F3D84" w:rsidR="6F121C61" w:rsidRPr="00CE2185" w:rsidRDefault="6F121C61" w:rsidP="36F2E928">
      <w:pPr>
        <w:pStyle w:val="Text2"/>
        <w:ind w:left="0"/>
        <w:rPr>
          <w:rStyle w:val="cf11"/>
          <w:rFonts w:ascii="Times New Roman" w:eastAsia="Times New Roman" w:hAnsi="Times New Roman" w:cs="Times New Roman"/>
          <w:noProof/>
          <w:color w:val="000000" w:themeColor="text1"/>
          <w:sz w:val="24"/>
          <w:szCs w:val="24"/>
        </w:rPr>
      </w:pPr>
      <w:r w:rsidRPr="00CE2185">
        <w:rPr>
          <w:rStyle w:val="cf11"/>
          <w:rFonts w:ascii="Times New Roman" w:eastAsia="Times New Roman" w:hAnsi="Times New Roman" w:cs="Times New Roman"/>
          <w:noProof/>
          <w:color w:val="000000" w:themeColor="text1"/>
          <w:sz w:val="24"/>
          <w:szCs w:val="24"/>
        </w:rPr>
        <w:t>On</w:t>
      </w:r>
      <w:r w:rsidR="00F57D9D" w:rsidRPr="00CE2185">
        <w:rPr>
          <w:rStyle w:val="cf11"/>
          <w:rFonts w:ascii="Times New Roman" w:eastAsia="Times New Roman" w:hAnsi="Times New Roman" w:cs="Times New Roman"/>
          <w:noProof/>
          <w:color w:val="000000" w:themeColor="text1"/>
          <w:sz w:val="24"/>
          <w:szCs w:val="24"/>
        </w:rPr>
        <w:t xml:space="preserve"> </w:t>
      </w:r>
      <w:r w:rsidR="00F57D9D" w:rsidRPr="00CE2185">
        <w:rPr>
          <w:b/>
          <w:bCs/>
          <w:noProof/>
          <w:color w:val="000000" w:themeColor="text1"/>
        </w:rPr>
        <w:t>resourcing</w:t>
      </w:r>
      <w:r w:rsidR="525AE45C" w:rsidRPr="00CE2185">
        <w:rPr>
          <w:b/>
          <w:bCs/>
          <w:noProof/>
          <w:color w:val="000000" w:themeColor="text1"/>
        </w:rPr>
        <w:t xml:space="preserve">, </w:t>
      </w:r>
      <w:r w:rsidR="525AE45C" w:rsidRPr="00CE2185">
        <w:rPr>
          <w:noProof/>
          <w:color w:val="000000" w:themeColor="text1"/>
        </w:rPr>
        <w:t>i</w:t>
      </w:r>
      <w:r w:rsidR="00F46043" w:rsidRPr="00CE2185">
        <w:rPr>
          <w:noProof/>
          <w:color w:val="000000" w:themeColor="text1"/>
        </w:rPr>
        <w:t>n this option, ENISA will not only rely on the Administrative Heading of the MFF</w:t>
      </w:r>
      <w:r w:rsidR="00160964" w:rsidRPr="00CE2185">
        <w:rPr>
          <w:noProof/>
          <w:color w:val="000000" w:themeColor="text1"/>
        </w:rPr>
        <w:t xml:space="preserve"> to ensure the </w:t>
      </w:r>
      <w:r w:rsidR="00F57D9D" w:rsidRPr="00CE2185">
        <w:rPr>
          <w:noProof/>
          <w:color w:val="000000" w:themeColor="text1"/>
        </w:rPr>
        <w:t>sustainable growth of the Agency.</w:t>
      </w:r>
      <w:r w:rsidR="00160964" w:rsidRPr="00CE2185">
        <w:rPr>
          <w:noProof/>
          <w:color w:val="000000" w:themeColor="text1"/>
        </w:rPr>
        <w:t xml:space="preserve"> ENISA</w:t>
      </w:r>
      <w:r w:rsidR="00223E23" w:rsidRPr="00CE2185">
        <w:rPr>
          <w:noProof/>
          <w:color w:val="000000" w:themeColor="text1"/>
        </w:rPr>
        <w:t xml:space="preserve">’s activities could be </w:t>
      </w:r>
      <w:r w:rsidR="00A51750" w:rsidRPr="00CE2185">
        <w:rPr>
          <w:noProof/>
          <w:color w:val="000000" w:themeColor="text1"/>
        </w:rPr>
        <w:t xml:space="preserve">supported by </w:t>
      </w:r>
      <w:r w:rsidR="003529EA" w:rsidRPr="00CE2185">
        <w:rPr>
          <w:noProof/>
          <w:color w:val="000000" w:themeColor="text1"/>
        </w:rPr>
        <w:t>national liaison officers delegated by each Member State</w:t>
      </w:r>
      <w:r w:rsidR="3E9A4FED" w:rsidRPr="00CE2185">
        <w:rPr>
          <w:noProof/>
          <w:color w:val="000000" w:themeColor="text1"/>
        </w:rPr>
        <w:t>,</w:t>
      </w:r>
      <w:r w:rsidR="0016109E" w:rsidRPr="00CE2185">
        <w:rPr>
          <w:noProof/>
          <w:color w:val="000000" w:themeColor="text1"/>
        </w:rPr>
        <w:t xml:space="preserve"> in particular </w:t>
      </w:r>
      <w:r w:rsidR="3E9A4FED" w:rsidRPr="00CE2185">
        <w:rPr>
          <w:noProof/>
          <w:color w:val="000000" w:themeColor="text1"/>
        </w:rPr>
        <w:t xml:space="preserve">to </w:t>
      </w:r>
      <w:r w:rsidR="0016109E" w:rsidRPr="00CE2185">
        <w:rPr>
          <w:noProof/>
          <w:color w:val="000000" w:themeColor="text1"/>
        </w:rPr>
        <w:t xml:space="preserve">reinforce </w:t>
      </w:r>
      <w:r w:rsidR="3E9A4FED" w:rsidRPr="00CE2185">
        <w:rPr>
          <w:noProof/>
          <w:color w:val="000000" w:themeColor="text1"/>
        </w:rPr>
        <w:t>operation</w:t>
      </w:r>
      <w:r w:rsidR="0016109E" w:rsidRPr="00CE2185">
        <w:rPr>
          <w:noProof/>
          <w:color w:val="000000" w:themeColor="text1"/>
        </w:rPr>
        <w:t xml:space="preserve"> cooperation activities</w:t>
      </w:r>
      <w:r w:rsidR="00554193" w:rsidRPr="00CE2185">
        <w:rPr>
          <w:noProof/>
          <w:color w:val="000000" w:themeColor="text1"/>
        </w:rPr>
        <w:t xml:space="preserve"> ENISA </w:t>
      </w:r>
      <w:r w:rsidR="00406E5C" w:rsidRPr="00CE2185">
        <w:rPr>
          <w:noProof/>
          <w:color w:val="000000" w:themeColor="text1"/>
        </w:rPr>
        <w:t>would</w:t>
      </w:r>
      <w:r w:rsidR="49174F33" w:rsidRPr="00CE2185">
        <w:rPr>
          <w:noProof/>
          <w:color w:val="000000" w:themeColor="text1"/>
        </w:rPr>
        <w:t xml:space="preserve"> be able to</w:t>
      </w:r>
      <w:r w:rsidR="00554193" w:rsidRPr="00CE2185">
        <w:rPr>
          <w:noProof/>
          <w:color w:val="000000" w:themeColor="text1"/>
        </w:rPr>
        <w:t xml:space="preserve">c collect fees </w:t>
      </w:r>
      <w:r w:rsidR="2657ECC5" w:rsidRPr="00CE2185">
        <w:rPr>
          <w:noProof/>
          <w:color w:val="000000" w:themeColor="text1"/>
        </w:rPr>
        <w:t>from activities related to cybersecurity certification and skills authorisation.</w:t>
      </w:r>
      <w:r w:rsidR="7047B03A" w:rsidRPr="00CE2185">
        <w:rPr>
          <w:rStyle w:val="cf11"/>
          <w:rFonts w:ascii="Times New Roman" w:eastAsia="Times New Roman" w:hAnsi="Times New Roman" w:cs="Times New Roman"/>
          <w:noProof/>
          <w:color w:val="000000" w:themeColor="text1"/>
          <w:sz w:val="24"/>
          <w:szCs w:val="24"/>
        </w:rPr>
        <w:t xml:space="preserve"> In particula</w:t>
      </w:r>
      <w:r w:rsidR="54D6DBB2" w:rsidRPr="00CE2185">
        <w:rPr>
          <w:rStyle w:val="cf11"/>
          <w:rFonts w:ascii="Times New Roman" w:eastAsia="Times New Roman" w:hAnsi="Times New Roman" w:cs="Times New Roman"/>
          <w:noProof/>
          <w:color w:val="000000" w:themeColor="text1"/>
          <w:sz w:val="24"/>
          <w:szCs w:val="24"/>
        </w:rPr>
        <w:t xml:space="preserve">r, the fees </w:t>
      </w:r>
      <w:r w:rsidR="00BD5A68" w:rsidRPr="00CE2185">
        <w:rPr>
          <w:rStyle w:val="cf11"/>
          <w:rFonts w:ascii="Times New Roman" w:eastAsia="Times New Roman" w:hAnsi="Times New Roman" w:cs="Times New Roman"/>
          <w:noProof/>
          <w:color w:val="000000" w:themeColor="text1"/>
          <w:sz w:val="24"/>
          <w:szCs w:val="24"/>
        </w:rPr>
        <w:t>c</w:t>
      </w:r>
      <w:r w:rsidR="54D6DBB2" w:rsidRPr="00CE2185">
        <w:rPr>
          <w:rStyle w:val="cf11"/>
          <w:rFonts w:ascii="Times New Roman" w:eastAsia="Times New Roman" w:hAnsi="Times New Roman" w:cs="Times New Roman"/>
          <w:noProof/>
          <w:color w:val="000000" w:themeColor="text1"/>
          <w:sz w:val="24"/>
          <w:szCs w:val="24"/>
        </w:rPr>
        <w:t xml:space="preserve">ould cover the </w:t>
      </w:r>
      <w:r w:rsidR="00DC21A6" w:rsidRPr="00CE2185">
        <w:rPr>
          <w:rStyle w:val="cf11"/>
          <w:rFonts w:ascii="Times New Roman" w:eastAsia="Times New Roman" w:hAnsi="Times New Roman" w:cs="Times New Roman"/>
          <w:noProof/>
          <w:color w:val="000000" w:themeColor="text1"/>
          <w:sz w:val="24"/>
          <w:szCs w:val="24"/>
        </w:rPr>
        <w:t xml:space="preserve">development and maintenance of attestation schemes </w:t>
      </w:r>
      <w:r w:rsidR="00DC21A6" w:rsidRPr="00CE2185">
        <w:rPr>
          <w:noProof/>
        </w:rPr>
        <w:t xml:space="preserve">and the </w:t>
      </w:r>
      <w:r w:rsidR="54D6DBB2" w:rsidRPr="00CE2185">
        <w:rPr>
          <w:noProof/>
        </w:rPr>
        <w:t xml:space="preserve">process of verification </w:t>
      </w:r>
      <w:r w:rsidR="10CB7482" w:rsidRPr="00CE2185">
        <w:rPr>
          <w:noProof/>
        </w:rPr>
        <w:t xml:space="preserve">of providers that apply to </w:t>
      </w:r>
      <w:r w:rsidR="00DC21A6" w:rsidRPr="00CE2185">
        <w:rPr>
          <w:noProof/>
        </w:rPr>
        <w:t>be</w:t>
      </w:r>
      <w:r w:rsidR="10CB7482" w:rsidRPr="00CE2185">
        <w:rPr>
          <w:noProof/>
        </w:rPr>
        <w:t xml:space="preserve"> authorised to issue EU skills attestations or </w:t>
      </w:r>
      <w:r w:rsidR="00C927C2" w:rsidRPr="00CE2185">
        <w:rPr>
          <w:noProof/>
        </w:rPr>
        <w:t>to additionally</w:t>
      </w:r>
      <w:r w:rsidR="00C927C2" w:rsidRPr="00CE2185">
        <w:rPr>
          <w:rStyle w:val="cf11"/>
          <w:rFonts w:ascii="Times New Roman" w:eastAsia="Times New Roman" w:hAnsi="Times New Roman" w:cs="Times New Roman"/>
          <w:noProof/>
          <w:color w:val="000000" w:themeColor="text1"/>
          <w:sz w:val="24"/>
          <w:szCs w:val="24"/>
        </w:rPr>
        <w:t xml:space="preserve"> support</w:t>
      </w:r>
      <w:r w:rsidR="00BD5A68" w:rsidRPr="00CE2185">
        <w:rPr>
          <w:rStyle w:val="cf11"/>
          <w:rFonts w:ascii="Times New Roman" w:eastAsia="Times New Roman" w:hAnsi="Times New Roman" w:cs="Times New Roman"/>
          <w:noProof/>
          <w:color w:val="000000" w:themeColor="text1"/>
          <w:sz w:val="24"/>
          <w:szCs w:val="24"/>
        </w:rPr>
        <w:t xml:space="preserve"> maintenance</w:t>
      </w:r>
      <w:r w:rsidR="10CB7482" w:rsidRPr="00CE2185">
        <w:rPr>
          <w:rStyle w:val="cf11"/>
          <w:rFonts w:ascii="Times New Roman" w:eastAsia="Times New Roman" w:hAnsi="Times New Roman" w:cs="Times New Roman"/>
          <w:noProof/>
          <w:color w:val="000000" w:themeColor="text1"/>
          <w:sz w:val="24"/>
          <w:szCs w:val="24"/>
        </w:rPr>
        <w:t xml:space="preserve"> </w:t>
      </w:r>
      <w:r w:rsidR="00C927C2" w:rsidRPr="00CE2185">
        <w:rPr>
          <w:rStyle w:val="cf11"/>
          <w:rFonts w:ascii="Times New Roman" w:eastAsia="Times New Roman" w:hAnsi="Times New Roman" w:cs="Times New Roman"/>
          <w:noProof/>
          <w:color w:val="000000" w:themeColor="text1"/>
          <w:sz w:val="24"/>
          <w:szCs w:val="24"/>
        </w:rPr>
        <w:t>work related to</w:t>
      </w:r>
      <w:r w:rsidR="00E60A87" w:rsidRPr="00CE2185">
        <w:rPr>
          <w:rStyle w:val="cf11"/>
          <w:rFonts w:ascii="Times New Roman" w:eastAsia="Times New Roman" w:hAnsi="Times New Roman" w:cs="Times New Roman"/>
          <w:noProof/>
          <w:color w:val="000000" w:themeColor="text1"/>
          <w:sz w:val="24"/>
          <w:szCs w:val="24"/>
        </w:rPr>
        <w:t xml:space="preserve"> European certification schemes</w:t>
      </w:r>
      <w:r w:rsidR="00C927C2" w:rsidRPr="00CE2185">
        <w:rPr>
          <w:rStyle w:val="cf11"/>
          <w:rFonts w:ascii="Times New Roman" w:eastAsia="Times New Roman" w:hAnsi="Times New Roman" w:cs="Times New Roman"/>
          <w:noProof/>
          <w:color w:val="000000" w:themeColor="text1"/>
          <w:sz w:val="24"/>
          <w:szCs w:val="24"/>
        </w:rPr>
        <w:t xml:space="preserve"> (additionally to ENISA FTEs provided)</w:t>
      </w:r>
      <w:r w:rsidR="00022E3E" w:rsidRPr="00CE2185">
        <w:rPr>
          <w:rStyle w:val="cf11"/>
          <w:rFonts w:ascii="Times New Roman" w:eastAsia="Times New Roman" w:hAnsi="Times New Roman" w:cs="Times New Roman"/>
          <w:noProof/>
          <w:color w:val="000000" w:themeColor="text1"/>
          <w:sz w:val="24"/>
          <w:szCs w:val="24"/>
        </w:rPr>
        <w:t>.</w:t>
      </w:r>
      <w:r w:rsidR="10CB7482" w:rsidRPr="00CE2185">
        <w:rPr>
          <w:rStyle w:val="cf11"/>
          <w:rFonts w:ascii="Times New Roman" w:eastAsia="Times New Roman" w:hAnsi="Times New Roman" w:cs="Times New Roman"/>
          <w:noProof/>
          <w:color w:val="000000" w:themeColor="text1"/>
          <w:sz w:val="24"/>
          <w:szCs w:val="24"/>
        </w:rPr>
        <w:t xml:space="preserve"> </w:t>
      </w:r>
    </w:p>
    <w:p w14:paraId="091C0400" w14:textId="254CB2AF" w:rsidR="2DD6A189" w:rsidRPr="00CE2185" w:rsidRDefault="2DD6A189" w:rsidP="29A9947E">
      <w:pPr>
        <w:pStyle w:val="Text2"/>
        <w:ind w:left="0"/>
        <w:rPr>
          <w:rStyle w:val="cf11"/>
          <w:rFonts w:ascii="Times New Roman" w:eastAsia="Times New Roman" w:hAnsi="Times New Roman" w:cs="Times New Roman"/>
          <w:noProof/>
          <w:color w:val="000000" w:themeColor="text1"/>
          <w:sz w:val="24"/>
          <w:szCs w:val="24"/>
        </w:rPr>
      </w:pPr>
      <w:r w:rsidRPr="00CE2185">
        <w:rPr>
          <w:rStyle w:val="cf11"/>
          <w:rFonts w:ascii="Times New Roman" w:eastAsia="Times New Roman" w:hAnsi="Times New Roman" w:cs="Times New Roman"/>
          <w:noProof/>
          <w:color w:val="000000" w:themeColor="text1"/>
          <w:sz w:val="24"/>
          <w:szCs w:val="24"/>
        </w:rPr>
        <w:t>This option, as option A.1, would also provide for an observer status for the ECCC in the Management Board of ENISA</w:t>
      </w:r>
      <w:r w:rsidR="6757A298" w:rsidRPr="00CE2185">
        <w:rPr>
          <w:rStyle w:val="cf11"/>
          <w:rFonts w:ascii="Times New Roman" w:eastAsia="Times New Roman" w:hAnsi="Times New Roman" w:cs="Times New Roman"/>
          <w:noProof/>
          <w:color w:val="000000" w:themeColor="text1"/>
          <w:sz w:val="24"/>
          <w:szCs w:val="24"/>
        </w:rPr>
        <w:t>.</w:t>
      </w:r>
    </w:p>
    <w:p w14:paraId="55C5268D" w14:textId="660E2D62" w:rsidR="00B86FD1" w:rsidRPr="00CE2185" w:rsidRDefault="00F57D9D" w:rsidP="00F57D9D">
      <w:pPr>
        <w:rPr>
          <w:rFonts w:eastAsia="Times New Roman"/>
          <w:noProof/>
          <w:color w:val="000000" w:themeColor="text1"/>
        </w:rPr>
      </w:pPr>
      <w:r w:rsidRPr="00CE2185">
        <w:rPr>
          <w:rFonts w:eastAsia="Times New Roman"/>
          <w:b/>
          <w:bCs/>
          <w:noProof/>
          <w:color w:val="000000" w:themeColor="text1"/>
        </w:rPr>
        <w:t>Under the first pillar</w:t>
      </w:r>
      <w:r w:rsidRPr="00CE2185">
        <w:rPr>
          <w:rFonts w:eastAsia="Times New Roman"/>
          <w:noProof/>
          <w:color w:val="000000" w:themeColor="text1"/>
        </w:rPr>
        <w:t>, this option would strengthen ENISA’s role and added value in actively supporting the implementation of cybersecurity legislation and policy</w:t>
      </w:r>
      <w:r w:rsidR="00CF10BB" w:rsidRPr="00CE2185">
        <w:rPr>
          <w:rFonts w:eastAsia="Times New Roman"/>
          <w:noProof/>
          <w:color w:val="000000" w:themeColor="text1"/>
        </w:rPr>
        <w:t xml:space="preserve">. </w:t>
      </w:r>
      <w:r w:rsidR="003B434B" w:rsidRPr="00CE2185">
        <w:rPr>
          <w:rFonts w:eastAsia="Times New Roman"/>
          <w:noProof/>
          <w:color w:val="000000" w:themeColor="text1"/>
        </w:rPr>
        <w:t>More specifically,</w:t>
      </w:r>
      <w:r w:rsidR="6E843A41" w:rsidRPr="00CE2185">
        <w:rPr>
          <w:rFonts w:eastAsia="Times New Roman"/>
          <w:noProof/>
          <w:color w:val="000000" w:themeColor="text1"/>
        </w:rPr>
        <w:t xml:space="preserve"> EN</w:t>
      </w:r>
      <w:r w:rsidR="0C72EF44" w:rsidRPr="00CE2185">
        <w:rPr>
          <w:rFonts w:eastAsia="Times New Roman"/>
          <w:noProof/>
          <w:color w:val="000000" w:themeColor="text1"/>
        </w:rPr>
        <w:t>I</w:t>
      </w:r>
      <w:r w:rsidR="6E843A41" w:rsidRPr="00CE2185">
        <w:rPr>
          <w:rFonts w:eastAsia="Times New Roman"/>
          <w:noProof/>
          <w:color w:val="000000" w:themeColor="text1"/>
        </w:rPr>
        <w:t>SA wou</w:t>
      </w:r>
      <w:r w:rsidR="00406E5C" w:rsidRPr="00CE2185">
        <w:rPr>
          <w:rFonts w:eastAsia="Times New Roman"/>
          <w:noProof/>
          <w:color w:val="000000" w:themeColor="text1"/>
        </w:rPr>
        <w:t>ld</w:t>
      </w:r>
      <w:r w:rsidR="6E843A41" w:rsidRPr="00CE2185">
        <w:rPr>
          <w:rFonts w:eastAsia="Times New Roman"/>
          <w:noProof/>
          <w:color w:val="000000" w:themeColor="text1"/>
        </w:rPr>
        <w:t xml:space="preserve"> become a European </w:t>
      </w:r>
      <w:r w:rsidR="00406E5C" w:rsidRPr="00CE2185">
        <w:rPr>
          <w:rFonts w:eastAsia="Times New Roman"/>
          <w:noProof/>
          <w:color w:val="000000" w:themeColor="text1"/>
        </w:rPr>
        <w:t>equivalent</w:t>
      </w:r>
      <w:r w:rsidR="6E843A41" w:rsidRPr="00CE2185">
        <w:rPr>
          <w:rFonts w:eastAsia="Times New Roman"/>
          <w:noProof/>
          <w:color w:val="000000" w:themeColor="text1"/>
        </w:rPr>
        <w:t xml:space="preserve"> to MITRE, allowing it to </w:t>
      </w:r>
      <w:r w:rsidR="00DF0AB3" w:rsidRPr="00CE2185">
        <w:rPr>
          <w:rFonts w:eastAsia="Times New Roman"/>
          <w:noProof/>
          <w:color w:val="000000" w:themeColor="text1"/>
        </w:rPr>
        <w:t xml:space="preserve">act as Union’s root authority </w:t>
      </w:r>
      <w:r w:rsidR="003C5702" w:rsidRPr="00CE2185">
        <w:rPr>
          <w:rFonts w:eastAsia="Times New Roman"/>
          <w:noProof/>
          <w:color w:val="000000" w:themeColor="text1"/>
        </w:rPr>
        <w:t xml:space="preserve">within international vulnerability identification systems, handle more effectively </w:t>
      </w:r>
      <w:r w:rsidR="0072365C" w:rsidRPr="00CE2185">
        <w:rPr>
          <w:rFonts w:eastAsia="Times New Roman"/>
          <w:noProof/>
          <w:color w:val="000000" w:themeColor="text1"/>
        </w:rPr>
        <w:t>methodologies</w:t>
      </w:r>
      <w:r w:rsidR="003B434B" w:rsidRPr="00CE2185">
        <w:rPr>
          <w:rFonts w:eastAsia="Times New Roman"/>
          <w:noProof/>
          <w:color w:val="000000" w:themeColor="text1"/>
        </w:rPr>
        <w:t xml:space="preserve"> in this respect, enrich disclosed vulnerability records and create</w:t>
      </w:r>
      <w:r w:rsidR="003C5702" w:rsidRPr="00CE2185">
        <w:rPr>
          <w:rFonts w:eastAsia="Times New Roman"/>
          <w:noProof/>
          <w:color w:val="000000" w:themeColor="text1"/>
        </w:rPr>
        <w:t xml:space="preserve"> more synergies with </w:t>
      </w:r>
      <w:r w:rsidR="0072365C" w:rsidRPr="00CE2185">
        <w:rPr>
          <w:rFonts w:eastAsia="Times New Roman"/>
          <w:noProof/>
          <w:color w:val="000000" w:themeColor="text1"/>
        </w:rPr>
        <w:t xml:space="preserve">related </w:t>
      </w:r>
      <w:r w:rsidR="0079335F" w:rsidRPr="00CE2185">
        <w:rPr>
          <w:rFonts w:eastAsia="Times New Roman"/>
          <w:noProof/>
          <w:color w:val="000000" w:themeColor="text1"/>
        </w:rPr>
        <w:t>responsibilities</w:t>
      </w:r>
      <w:r w:rsidR="003C5702" w:rsidRPr="00CE2185">
        <w:rPr>
          <w:rFonts w:eastAsia="Times New Roman"/>
          <w:noProof/>
          <w:color w:val="000000" w:themeColor="text1"/>
        </w:rPr>
        <w:t xml:space="preserve"> of ENISA such as </w:t>
      </w:r>
      <w:r w:rsidR="0072365C" w:rsidRPr="00CE2185">
        <w:rPr>
          <w:rFonts w:eastAsia="Times New Roman"/>
          <w:noProof/>
          <w:color w:val="000000" w:themeColor="text1"/>
        </w:rPr>
        <w:t>the managing of the CRA single reporting platform</w:t>
      </w:r>
      <w:r w:rsidR="003B434B" w:rsidRPr="00CE2185">
        <w:rPr>
          <w:rFonts w:eastAsia="Times New Roman"/>
          <w:noProof/>
          <w:color w:val="000000" w:themeColor="text1"/>
        </w:rPr>
        <w:t>. The new mandate, in combination with related targeted NIS2 amendments</w:t>
      </w:r>
      <w:r w:rsidR="009C63AE" w:rsidRPr="00CE2185">
        <w:rPr>
          <w:rFonts w:eastAsia="Times New Roman"/>
          <w:noProof/>
          <w:color w:val="000000" w:themeColor="text1"/>
        </w:rPr>
        <w:t xml:space="preserve"> (</w:t>
      </w:r>
      <w:r w:rsidR="009C63AE" w:rsidRPr="00CE2185">
        <w:rPr>
          <w:rFonts w:eastAsia="Times New Roman"/>
          <w:i/>
          <w:iCs/>
          <w:noProof/>
          <w:color w:val="000000" w:themeColor="text1"/>
        </w:rPr>
        <w:t>link to options C2</w:t>
      </w:r>
      <w:r w:rsidR="009C63AE" w:rsidRPr="00CE2185">
        <w:rPr>
          <w:rFonts w:eastAsia="Times New Roman"/>
          <w:noProof/>
          <w:color w:val="000000" w:themeColor="text1"/>
        </w:rPr>
        <w:t>)</w:t>
      </w:r>
      <w:r w:rsidR="003B434B" w:rsidRPr="00CE2185">
        <w:rPr>
          <w:rFonts w:eastAsia="Times New Roman"/>
          <w:noProof/>
          <w:color w:val="000000" w:themeColor="text1"/>
        </w:rPr>
        <w:t xml:space="preserve">, would also allow for more support of ENISA to Member States’ </w:t>
      </w:r>
      <w:r w:rsidR="00B67FFA" w:rsidRPr="00CE2185">
        <w:rPr>
          <w:rFonts w:eastAsia="Times New Roman"/>
          <w:noProof/>
          <w:color w:val="000000" w:themeColor="text1"/>
        </w:rPr>
        <w:t>supervision of compliance</w:t>
      </w:r>
      <w:r w:rsidR="009C63AE" w:rsidRPr="00CE2185">
        <w:rPr>
          <w:rFonts w:eastAsia="Times New Roman"/>
          <w:noProof/>
          <w:color w:val="000000" w:themeColor="text1"/>
        </w:rPr>
        <w:t xml:space="preserve"> and mutual assistance</w:t>
      </w:r>
      <w:r w:rsidR="00B67FFA" w:rsidRPr="00CE2185">
        <w:rPr>
          <w:rFonts w:eastAsia="Times New Roman"/>
          <w:noProof/>
          <w:color w:val="000000" w:themeColor="text1"/>
        </w:rPr>
        <w:t>,</w:t>
      </w:r>
      <w:r w:rsidR="003B434B" w:rsidRPr="00CE2185">
        <w:rPr>
          <w:rFonts w:eastAsia="Times New Roman"/>
          <w:noProof/>
          <w:color w:val="000000" w:themeColor="text1"/>
        </w:rPr>
        <w:t xml:space="preserve"> notably when cross-border aspects </w:t>
      </w:r>
      <w:r w:rsidR="009C63AE" w:rsidRPr="00CE2185">
        <w:rPr>
          <w:rFonts w:eastAsia="Times New Roman"/>
          <w:noProof/>
          <w:color w:val="000000" w:themeColor="text1"/>
        </w:rPr>
        <w:t>and ‘multi-country entities’</w:t>
      </w:r>
      <w:r w:rsidR="009C63AE" w:rsidRPr="00CE2185">
        <w:rPr>
          <w:rFonts w:eastAsia="Times New Roman"/>
          <w:noProof/>
          <w:color w:val="000000" w:themeColor="text1"/>
          <w:vertAlign w:val="superscript"/>
        </w:rPr>
        <w:footnoteReference w:id="121"/>
      </w:r>
      <w:r w:rsidR="009C63AE" w:rsidRPr="00CE2185">
        <w:rPr>
          <w:rFonts w:eastAsia="Times New Roman"/>
          <w:noProof/>
          <w:color w:val="000000" w:themeColor="text1"/>
        </w:rPr>
        <w:t xml:space="preserve"> </w:t>
      </w:r>
      <w:r w:rsidR="003B434B" w:rsidRPr="00CE2185">
        <w:rPr>
          <w:rFonts w:eastAsia="Times New Roman"/>
          <w:noProof/>
          <w:color w:val="000000" w:themeColor="text1"/>
        </w:rPr>
        <w:t>are concerned</w:t>
      </w:r>
      <w:r w:rsidR="0072365C" w:rsidRPr="00CE2185">
        <w:rPr>
          <w:rFonts w:eastAsia="Times New Roman"/>
          <w:noProof/>
          <w:color w:val="000000" w:themeColor="text1"/>
        </w:rPr>
        <w:t>,</w:t>
      </w:r>
      <w:r w:rsidR="003C5702" w:rsidRPr="00CE2185">
        <w:rPr>
          <w:rFonts w:eastAsia="Times New Roman"/>
          <w:noProof/>
          <w:color w:val="000000" w:themeColor="text1"/>
        </w:rPr>
        <w:t xml:space="preserve"> </w:t>
      </w:r>
      <w:r w:rsidR="00B67FFA" w:rsidRPr="00CE2185">
        <w:rPr>
          <w:rFonts w:eastAsia="Times New Roman"/>
          <w:noProof/>
          <w:color w:val="000000" w:themeColor="text1"/>
        </w:rPr>
        <w:t xml:space="preserve">and a better overview of </w:t>
      </w:r>
      <w:r w:rsidR="009C63AE" w:rsidRPr="00CE2185">
        <w:rPr>
          <w:rFonts w:eastAsia="Times New Roman"/>
          <w:noProof/>
          <w:color w:val="000000" w:themeColor="text1"/>
        </w:rPr>
        <w:t>cybersecurity</w:t>
      </w:r>
      <w:r w:rsidR="00B67FFA" w:rsidRPr="00CE2185">
        <w:rPr>
          <w:rFonts w:eastAsia="Times New Roman"/>
          <w:noProof/>
          <w:color w:val="000000" w:themeColor="text1"/>
        </w:rPr>
        <w:t xml:space="preserve"> maturity of </w:t>
      </w:r>
      <w:r w:rsidR="009C63AE" w:rsidRPr="00CE2185">
        <w:rPr>
          <w:rFonts w:eastAsia="Times New Roman"/>
          <w:noProof/>
          <w:color w:val="000000" w:themeColor="text1"/>
        </w:rPr>
        <w:t>the key sectors of the Union’s economy</w:t>
      </w:r>
      <w:r w:rsidR="00B67FFA" w:rsidRPr="00CE2185">
        <w:rPr>
          <w:rFonts w:eastAsia="Times New Roman"/>
          <w:noProof/>
          <w:color w:val="000000" w:themeColor="text1"/>
        </w:rPr>
        <w:t xml:space="preserve"> and </w:t>
      </w:r>
      <w:r w:rsidR="009C63AE" w:rsidRPr="00CE2185">
        <w:rPr>
          <w:rFonts w:eastAsia="Times New Roman"/>
          <w:noProof/>
          <w:color w:val="000000" w:themeColor="text1"/>
        </w:rPr>
        <w:t xml:space="preserve">society. It would also </w:t>
      </w:r>
      <w:r w:rsidRPr="00CE2185">
        <w:rPr>
          <w:rFonts w:eastAsia="Times New Roman"/>
          <w:noProof/>
          <w:color w:val="000000" w:themeColor="text1"/>
        </w:rPr>
        <w:t xml:space="preserve">further specify the role of ENISA in capacity building efforts, especially concerning sectorial support (such as the Health Action Plan). </w:t>
      </w:r>
      <w:r w:rsidR="000D77F5" w:rsidRPr="00CE2185">
        <w:rPr>
          <w:rStyle w:val="cf11"/>
          <w:rFonts w:ascii="Times New Roman" w:eastAsia="Times New Roman" w:hAnsi="Times New Roman" w:cs="Times New Roman"/>
          <w:noProof/>
          <w:color w:val="000000" w:themeColor="text1"/>
          <w:sz w:val="24"/>
          <w:szCs w:val="24"/>
        </w:rPr>
        <w:t xml:space="preserve">ENISA’s international activities </w:t>
      </w:r>
      <w:r w:rsidR="00570CA2" w:rsidRPr="00CE2185">
        <w:rPr>
          <w:rStyle w:val="cf11"/>
          <w:rFonts w:ascii="Times New Roman" w:eastAsia="Times New Roman" w:hAnsi="Times New Roman" w:cs="Times New Roman"/>
          <w:noProof/>
          <w:color w:val="000000" w:themeColor="text1"/>
          <w:sz w:val="24"/>
          <w:szCs w:val="24"/>
        </w:rPr>
        <w:t>would</w:t>
      </w:r>
      <w:r w:rsidR="000D77F5" w:rsidRPr="00CE2185">
        <w:rPr>
          <w:rStyle w:val="cf11"/>
          <w:rFonts w:ascii="Times New Roman" w:eastAsia="Times New Roman" w:hAnsi="Times New Roman" w:cs="Times New Roman"/>
          <w:noProof/>
          <w:color w:val="000000" w:themeColor="text1"/>
          <w:sz w:val="24"/>
          <w:szCs w:val="24"/>
        </w:rPr>
        <w:t xml:space="preserve"> be </w:t>
      </w:r>
      <w:r w:rsidR="7D51E82F" w:rsidRPr="00CE2185">
        <w:rPr>
          <w:rStyle w:val="cf11"/>
          <w:rFonts w:ascii="Times New Roman" w:eastAsia="Times New Roman" w:hAnsi="Times New Roman" w:cs="Times New Roman"/>
          <w:noProof/>
          <w:color w:val="000000" w:themeColor="text1"/>
          <w:sz w:val="24"/>
          <w:szCs w:val="24"/>
        </w:rPr>
        <w:t>linked</w:t>
      </w:r>
      <w:r w:rsidR="000D77F5" w:rsidRPr="00CE2185">
        <w:rPr>
          <w:rStyle w:val="cf11"/>
          <w:rFonts w:ascii="Times New Roman" w:eastAsia="Times New Roman" w:hAnsi="Times New Roman" w:cs="Times New Roman"/>
          <w:noProof/>
          <w:color w:val="000000" w:themeColor="text1"/>
          <w:sz w:val="24"/>
          <w:szCs w:val="24"/>
        </w:rPr>
        <w:t xml:space="preserve"> to the Union’s priorities</w:t>
      </w:r>
      <w:r w:rsidR="7AAD5DD8" w:rsidRPr="00CE2185">
        <w:rPr>
          <w:rStyle w:val="cf11"/>
          <w:rFonts w:ascii="Times New Roman" w:eastAsia="Times New Roman" w:hAnsi="Times New Roman" w:cs="Times New Roman"/>
          <w:noProof/>
          <w:color w:val="000000" w:themeColor="text1"/>
          <w:sz w:val="24"/>
          <w:szCs w:val="24"/>
        </w:rPr>
        <w:t xml:space="preserve"> to</w:t>
      </w:r>
      <w:r w:rsidR="00D84D7F" w:rsidRPr="00CE2185">
        <w:rPr>
          <w:rStyle w:val="cf11"/>
          <w:rFonts w:ascii="Times New Roman" w:eastAsia="Times New Roman" w:hAnsi="Times New Roman" w:cs="Times New Roman"/>
          <w:noProof/>
          <w:color w:val="000000" w:themeColor="text1"/>
          <w:sz w:val="24"/>
          <w:szCs w:val="24"/>
        </w:rPr>
        <w:t xml:space="preserve"> bring a clear added value to the Union’s cyber posture.</w:t>
      </w:r>
    </w:p>
    <w:p w14:paraId="075CAB12" w14:textId="43B2BC88" w:rsidR="00F57D9D" w:rsidRPr="00CE2185" w:rsidRDefault="00F57D9D" w:rsidP="00F57D9D">
      <w:pPr>
        <w:rPr>
          <w:rFonts w:eastAsia="Times New Roman"/>
          <w:noProof/>
          <w:color w:val="000000" w:themeColor="text1"/>
        </w:rPr>
      </w:pPr>
      <w:r w:rsidRPr="00CE2185">
        <w:rPr>
          <w:rFonts w:eastAsia="Times New Roman"/>
          <w:b/>
          <w:bCs/>
          <w:noProof/>
          <w:color w:val="000000" w:themeColor="text1"/>
        </w:rPr>
        <w:t>Under the second pillar</w:t>
      </w:r>
      <w:r w:rsidRPr="00CE2185">
        <w:rPr>
          <w:rFonts w:eastAsia="Times New Roman"/>
          <w:noProof/>
          <w:color w:val="000000" w:themeColor="text1"/>
        </w:rPr>
        <w:t>, ENISA</w:t>
      </w:r>
      <w:r w:rsidR="04CAA475" w:rsidRPr="00CE2185">
        <w:rPr>
          <w:rFonts w:eastAsia="Times New Roman"/>
          <w:noProof/>
          <w:color w:val="000000" w:themeColor="text1"/>
        </w:rPr>
        <w:t xml:space="preserve"> would develop the necessary capabilities to </w:t>
      </w:r>
      <w:r w:rsidR="3E10A121" w:rsidRPr="00CE2185">
        <w:rPr>
          <w:rFonts w:eastAsia="Times New Roman"/>
          <w:noProof/>
          <w:color w:val="000000" w:themeColor="text1"/>
        </w:rPr>
        <w:t>establish shared</w:t>
      </w:r>
      <w:r w:rsidR="460EF78E" w:rsidRPr="00CE2185">
        <w:rPr>
          <w:rFonts w:eastAsia="Times New Roman"/>
          <w:noProof/>
          <w:color w:val="000000" w:themeColor="text1"/>
        </w:rPr>
        <w:t xml:space="preserve"> EU situational awareness</w:t>
      </w:r>
      <w:r w:rsidR="00497F32" w:rsidRPr="00CE2185">
        <w:rPr>
          <w:rFonts w:eastAsia="Times New Roman"/>
          <w:noProof/>
          <w:color w:val="000000" w:themeColor="text1"/>
        </w:rPr>
        <w:t xml:space="preserve"> </w:t>
      </w:r>
      <w:r w:rsidR="00DF76AB" w:rsidRPr="00CE2185">
        <w:rPr>
          <w:rFonts w:eastAsia="Times New Roman"/>
          <w:noProof/>
          <w:color w:val="000000" w:themeColor="text1"/>
        </w:rPr>
        <w:t xml:space="preserve">in cooperation </w:t>
      </w:r>
      <w:r w:rsidR="00497F32" w:rsidRPr="00CE2185">
        <w:rPr>
          <w:rFonts w:eastAsia="Times New Roman"/>
          <w:noProof/>
          <w:color w:val="000000" w:themeColor="text1"/>
        </w:rPr>
        <w:t xml:space="preserve">with </w:t>
      </w:r>
      <w:r w:rsidR="460EF78E" w:rsidRPr="00CE2185">
        <w:rPr>
          <w:rFonts w:eastAsia="Times New Roman"/>
          <w:noProof/>
          <w:color w:val="000000" w:themeColor="text1"/>
        </w:rPr>
        <w:t xml:space="preserve">Member States </w:t>
      </w:r>
      <w:r w:rsidR="6F640676" w:rsidRPr="00CE2185">
        <w:rPr>
          <w:rFonts w:eastAsia="Times New Roman"/>
          <w:noProof/>
          <w:color w:val="000000" w:themeColor="text1"/>
        </w:rPr>
        <w:t>within the</w:t>
      </w:r>
      <w:r w:rsidR="00D5526A" w:rsidRPr="00CE2185">
        <w:rPr>
          <w:rFonts w:eastAsia="Times New Roman"/>
          <w:noProof/>
          <w:color w:val="000000" w:themeColor="text1"/>
        </w:rPr>
        <w:t xml:space="preserve"> Union level networks (i.e. </w:t>
      </w:r>
      <w:r w:rsidR="00C70265" w:rsidRPr="00CE2185">
        <w:rPr>
          <w:rFonts w:eastAsia="Times New Roman"/>
          <w:noProof/>
          <w:color w:val="000000" w:themeColor="text1"/>
        </w:rPr>
        <w:t xml:space="preserve">EU </w:t>
      </w:r>
      <w:r w:rsidR="002F3C4C" w:rsidRPr="00CE2185">
        <w:rPr>
          <w:rFonts w:eastAsia="Times New Roman"/>
          <w:noProof/>
          <w:color w:val="000000" w:themeColor="text1"/>
        </w:rPr>
        <w:t>C</w:t>
      </w:r>
      <w:r w:rsidR="002F4F37" w:rsidRPr="00CE2185">
        <w:rPr>
          <w:rFonts w:eastAsia="Times New Roman"/>
          <w:noProof/>
          <w:color w:val="000000" w:themeColor="text1"/>
        </w:rPr>
        <w:t>y</w:t>
      </w:r>
      <w:r w:rsidR="002F3C4C" w:rsidRPr="00CE2185">
        <w:rPr>
          <w:rFonts w:eastAsia="Times New Roman"/>
          <w:noProof/>
          <w:color w:val="000000" w:themeColor="text1"/>
        </w:rPr>
        <w:t>CLONe and</w:t>
      </w:r>
      <w:r w:rsidR="0096234B" w:rsidRPr="00CE2185">
        <w:rPr>
          <w:rFonts w:eastAsia="Times New Roman"/>
          <w:noProof/>
          <w:color w:val="000000" w:themeColor="text1"/>
        </w:rPr>
        <w:t xml:space="preserve"> </w:t>
      </w:r>
      <w:r w:rsidR="002F3C4C" w:rsidRPr="00CE2185">
        <w:rPr>
          <w:rFonts w:eastAsia="Times New Roman"/>
          <w:noProof/>
          <w:color w:val="000000" w:themeColor="text1"/>
        </w:rPr>
        <w:t>CSIRT network</w:t>
      </w:r>
      <w:r w:rsidR="00D5526A" w:rsidRPr="00CE2185">
        <w:rPr>
          <w:rFonts w:eastAsia="Times New Roman"/>
          <w:noProof/>
          <w:color w:val="000000" w:themeColor="text1"/>
        </w:rPr>
        <w:t>)</w:t>
      </w:r>
      <w:r w:rsidR="00497F32" w:rsidRPr="00CE2185">
        <w:rPr>
          <w:rFonts w:eastAsia="Times New Roman"/>
          <w:noProof/>
          <w:color w:val="000000" w:themeColor="text1"/>
        </w:rPr>
        <w:t xml:space="preserve"> </w:t>
      </w:r>
      <w:r w:rsidR="0096234B" w:rsidRPr="00CE2185">
        <w:rPr>
          <w:rFonts w:eastAsia="Times New Roman"/>
          <w:noProof/>
          <w:color w:val="000000" w:themeColor="text1"/>
        </w:rPr>
        <w:t>as well as with</w:t>
      </w:r>
      <w:r w:rsidR="00497F32" w:rsidRPr="00CE2185">
        <w:rPr>
          <w:rFonts w:eastAsia="Times New Roman"/>
          <w:noProof/>
          <w:color w:val="000000" w:themeColor="text1"/>
        </w:rPr>
        <w:t xml:space="preserve"> relevant Union entities such </w:t>
      </w:r>
      <w:r w:rsidR="00EF6936" w:rsidRPr="00CE2185">
        <w:rPr>
          <w:rFonts w:eastAsia="Times New Roman"/>
          <w:noProof/>
          <w:color w:val="000000" w:themeColor="text1"/>
        </w:rPr>
        <w:t>as EUROPO</w:t>
      </w:r>
      <w:r w:rsidR="00C109AB" w:rsidRPr="00CE2185">
        <w:rPr>
          <w:rFonts w:eastAsia="Times New Roman"/>
          <w:noProof/>
          <w:color w:val="000000" w:themeColor="text1"/>
        </w:rPr>
        <w:t>L</w:t>
      </w:r>
      <w:r w:rsidR="460EF78E" w:rsidRPr="00CE2185">
        <w:rPr>
          <w:rFonts w:eastAsia="Times New Roman"/>
          <w:noProof/>
          <w:color w:val="000000" w:themeColor="text1"/>
        </w:rPr>
        <w:t xml:space="preserve">. ENISA would develop a single repository </w:t>
      </w:r>
      <w:r w:rsidR="00380261" w:rsidRPr="00CE2185">
        <w:rPr>
          <w:rFonts w:eastAsia="Times New Roman"/>
          <w:noProof/>
          <w:color w:val="000000" w:themeColor="text1"/>
        </w:rPr>
        <w:t>of</w:t>
      </w:r>
      <w:r w:rsidR="00DF3FAF" w:rsidRPr="00CE2185">
        <w:rPr>
          <w:rFonts w:eastAsia="Times New Roman"/>
          <w:noProof/>
          <w:color w:val="000000" w:themeColor="text1"/>
        </w:rPr>
        <w:t xml:space="preserve"> verified </w:t>
      </w:r>
      <w:r w:rsidR="002B3666" w:rsidRPr="00CE2185">
        <w:rPr>
          <w:rFonts w:eastAsia="Times New Roman"/>
          <w:noProof/>
          <w:color w:val="000000" w:themeColor="text1"/>
        </w:rPr>
        <w:t>reliable cyber threat intelligence</w:t>
      </w:r>
      <w:r w:rsidR="001A6A53" w:rsidRPr="00CE2185">
        <w:rPr>
          <w:rFonts w:eastAsia="Times New Roman"/>
          <w:noProof/>
          <w:color w:val="000000" w:themeColor="text1"/>
        </w:rPr>
        <w:t xml:space="preserve"> that would</w:t>
      </w:r>
      <w:r w:rsidR="00792434" w:rsidRPr="00CE2185">
        <w:rPr>
          <w:rFonts w:eastAsia="Times New Roman"/>
          <w:noProof/>
          <w:color w:val="000000" w:themeColor="text1"/>
        </w:rPr>
        <w:t xml:space="preserve"> </w:t>
      </w:r>
      <w:r w:rsidR="001A6A53" w:rsidRPr="00CE2185">
        <w:rPr>
          <w:rFonts w:eastAsia="Times New Roman"/>
          <w:noProof/>
          <w:color w:val="000000" w:themeColor="text1"/>
        </w:rPr>
        <w:t>enhance ENISA</w:t>
      </w:r>
      <w:r w:rsidR="00325A02" w:rsidRPr="00CE2185">
        <w:rPr>
          <w:rFonts w:eastAsia="Times New Roman"/>
          <w:noProof/>
          <w:color w:val="000000" w:themeColor="text1"/>
        </w:rPr>
        <w:t xml:space="preserve">’s </w:t>
      </w:r>
      <w:r w:rsidR="00A75646" w:rsidRPr="00CE2185">
        <w:rPr>
          <w:rFonts w:eastAsia="Times New Roman"/>
          <w:noProof/>
          <w:color w:val="000000" w:themeColor="text1"/>
        </w:rPr>
        <w:t xml:space="preserve">operational </w:t>
      </w:r>
      <w:r w:rsidR="000F2DDF" w:rsidRPr="00CE2185">
        <w:rPr>
          <w:rFonts w:eastAsia="Times New Roman"/>
          <w:noProof/>
          <w:color w:val="000000" w:themeColor="text1"/>
        </w:rPr>
        <w:t xml:space="preserve">capabilities </w:t>
      </w:r>
      <w:r w:rsidR="00961054" w:rsidRPr="00CE2185">
        <w:rPr>
          <w:rFonts w:eastAsia="Times New Roman"/>
          <w:noProof/>
          <w:color w:val="000000" w:themeColor="text1"/>
        </w:rPr>
        <w:t>for</w:t>
      </w:r>
      <w:r w:rsidR="0099405D" w:rsidRPr="00CE2185">
        <w:rPr>
          <w:rFonts w:eastAsia="Times New Roman"/>
          <w:noProof/>
          <w:color w:val="000000" w:themeColor="text1"/>
        </w:rPr>
        <w:t xml:space="preserve"> supporting Member States</w:t>
      </w:r>
      <w:r w:rsidR="005B6890" w:rsidRPr="00CE2185">
        <w:rPr>
          <w:rFonts w:eastAsia="Times New Roman"/>
          <w:noProof/>
          <w:color w:val="000000" w:themeColor="text1"/>
        </w:rPr>
        <w:t xml:space="preserve"> </w:t>
      </w:r>
      <w:r w:rsidR="007E74D6" w:rsidRPr="00CE2185">
        <w:rPr>
          <w:rFonts w:eastAsia="Times New Roman"/>
          <w:noProof/>
          <w:color w:val="000000" w:themeColor="text1"/>
        </w:rPr>
        <w:t xml:space="preserve">in </w:t>
      </w:r>
      <w:r w:rsidR="00F46B4D" w:rsidRPr="00CE2185">
        <w:rPr>
          <w:rFonts w:eastAsia="Times New Roman"/>
          <w:noProof/>
          <w:color w:val="000000" w:themeColor="text1"/>
        </w:rPr>
        <w:t>ha</w:t>
      </w:r>
      <w:r w:rsidR="00B861F8" w:rsidRPr="00CE2185">
        <w:rPr>
          <w:rFonts w:eastAsia="Times New Roman"/>
          <w:noProof/>
          <w:color w:val="000000" w:themeColor="text1"/>
        </w:rPr>
        <w:t>ndling cyber threats</w:t>
      </w:r>
      <w:r w:rsidR="00ED3EEF" w:rsidRPr="00CE2185">
        <w:rPr>
          <w:rFonts w:eastAsia="Times New Roman"/>
          <w:noProof/>
          <w:color w:val="000000" w:themeColor="text1"/>
        </w:rPr>
        <w:t xml:space="preserve"> and incidents.</w:t>
      </w:r>
      <w:r w:rsidR="04CAA475" w:rsidRPr="00CE2185">
        <w:rPr>
          <w:rFonts w:eastAsia="Times New Roman"/>
          <w:noProof/>
          <w:color w:val="000000" w:themeColor="text1"/>
        </w:rPr>
        <w:t xml:space="preserve"> </w:t>
      </w:r>
      <w:r w:rsidR="006F7332" w:rsidRPr="00CE2185">
        <w:rPr>
          <w:rFonts w:eastAsia="Times New Roman"/>
          <w:noProof/>
          <w:color w:val="000000" w:themeColor="text1"/>
        </w:rPr>
        <w:t xml:space="preserve">Furthermore, </w:t>
      </w:r>
      <w:r w:rsidR="00C219C1" w:rsidRPr="00CE2185">
        <w:rPr>
          <w:rFonts w:eastAsia="Times New Roman"/>
          <w:noProof/>
          <w:color w:val="000000" w:themeColor="text1"/>
        </w:rPr>
        <w:t xml:space="preserve">ENISA’s </w:t>
      </w:r>
      <w:r w:rsidRPr="00CE2185">
        <w:rPr>
          <w:rFonts w:eastAsia="Times New Roman"/>
          <w:noProof/>
          <w:color w:val="000000" w:themeColor="text1"/>
        </w:rPr>
        <w:t xml:space="preserve">supporting role in the operation of EU networks (EU-CyCLONe and CSIRTs network) </w:t>
      </w:r>
      <w:r w:rsidR="00C219C1" w:rsidRPr="00CE2185">
        <w:rPr>
          <w:rFonts w:eastAsia="Times New Roman"/>
          <w:noProof/>
          <w:color w:val="000000" w:themeColor="text1"/>
        </w:rPr>
        <w:t>would be strengthen</w:t>
      </w:r>
      <w:r w:rsidR="00455518" w:rsidRPr="00CE2185">
        <w:rPr>
          <w:rFonts w:eastAsia="Times New Roman"/>
          <w:noProof/>
          <w:color w:val="000000" w:themeColor="text1"/>
        </w:rPr>
        <w:t>ed</w:t>
      </w:r>
      <w:r w:rsidR="00C219C1" w:rsidRPr="00CE2185">
        <w:rPr>
          <w:rFonts w:eastAsia="Times New Roman"/>
          <w:noProof/>
          <w:color w:val="000000" w:themeColor="text1"/>
        </w:rPr>
        <w:t xml:space="preserve"> </w:t>
      </w:r>
      <w:r w:rsidRPr="00CE2185">
        <w:rPr>
          <w:rFonts w:eastAsia="Times New Roman"/>
          <w:noProof/>
          <w:color w:val="000000" w:themeColor="text1"/>
        </w:rPr>
        <w:t xml:space="preserve">by </w:t>
      </w:r>
      <w:r w:rsidR="00127D40" w:rsidRPr="00CE2185">
        <w:rPr>
          <w:rFonts w:eastAsia="Times New Roman"/>
          <w:noProof/>
          <w:color w:val="000000" w:themeColor="text1"/>
        </w:rPr>
        <w:t xml:space="preserve">allowing ENISA to analyse </w:t>
      </w:r>
      <w:r w:rsidRPr="00CE2185">
        <w:rPr>
          <w:rFonts w:eastAsia="Times New Roman"/>
          <w:noProof/>
          <w:color w:val="000000" w:themeColor="text1"/>
        </w:rPr>
        <w:t xml:space="preserve">relevant information on threats and cybersecurity events </w:t>
      </w:r>
      <w:r w:rsidR="00127D40" w:rsidRPr="00CE2185">
        <w:rPr>
          <w:rFonts w:eastAsia="Times New Roman"/>
          <w:noProof/>
          <w:color w:val="000000" w:themeColor="text1"/>
        </w:rPr>
        <w:t xml:space="preserve">gathered </w:t>
      </w:r>
      <w:r w:rsidRPr="00CE2185">
        <w:rPr>
          <w:rFonts w:eastAsia="Times New Roman"/>
          <w:noProof/>
          <w:color w:val="000000" w:themeColor="text1"/>
        </w:rPr>
        <w:t xml:space="preserve">from Member States </w:t>
      </w:r>
      <w:r w:rsidR="009310A2" w:rsidRPr="00CE2185">
        <w:rPr>
          <w:rFonts w:eastAsia="Times New Roman"/>
          <w:noProof/>
          <w:color w:val="000000" w:themeColor="text1"/>
        </w:rPr>
        <w:t xml:space="preserve">and from other sources and </w:t>
      </w:r>
      <w:r w:rsidR="001B2464" w:rsidRPr="00CE2185">
        <w:rPr>
          <w:rFonts w:eastAsia="Times New Roman"/>
          <w:noProof/>
          <w:color w:val="000000" w:themeColor="text1"/>
        </w:rPr>
        <w:t xml:space="preserve">producing </w:t>
      </w:r>
      <w:r w:rsidR="00AA76B0" w:rsidRPr="00CE2185">
        <w:rPr>
          <w:rFonts w:eastAsia="Times New Roman"/>
          <w:noProof/>
          <w:color w:val="000000" w:themeColor="text1"/>
        </w:rPr>
        <w:t xml:space="preserve">Union wide </w:t>
      </w:r>
      <w:r w:rsidR="00EF7965" w:rsidRPr="00CE2185">
        <w:rPr>
          <w:rFonts w:eastAsia="Times New Roman"/>
          <w:noProof/>
          <w:color w:val="000000" w:themeColor="text1"/>
        </w:rPr>
        <w:t xml:space="preserve">early </w:t>
      </w:r>
      <w:r w:rsidR="00DA73DD" w:rsidRPr="00CE2185">
        <w:rPr>
          <w:rFonts w:eastAsia="Times New Roman"/>
          <w:noProof/>
          <w:color w:val="000000" w:themeColor="text1"/>
        </w:rPr>
        <w:t xml:space="preserve">warnings </w:t>
      </w:r>
      <w:r w:rsidR="001B2464" w:rsidRPr="00CE2185">
        <w:rPr>
          <w:rFonts w:eastAsia="Times New Roman"/>
          <w:noProof/>
          <w:color w:val="000000" w:themeColor="text1"/>
        </w:rPr>
        <w:t xml:space="preserve">regarding actual or potential </w:t>
      </w:r>
      <w:r w:rsidR="0003657B" w:rsidRPr="00CE2185">
        <w:rPr>
          <w:rFonts w:eastAsia="Times New Roman"/>
          <w:noProof/>
          <w:color w:val="000000" w:themeColor="text1"/>
        </w:rPr>
        <w:t xml:space="preserve">incidents </w:t>
      </w:r>
      <w:r w:rsidR="000376D5" w:rsidRPr="00CE2185">
        <w:rPr>
          <w:rFonts w:eastAsia="Times New Roman"/>
          <w:noProof/>
          <w:color w:val="000000" w:themeColor="text1"/>
        </w:rPr>
        <w:t>or cyber threats of potential cross-border nature</w:t>
      </w:r>
      <w:r w:rsidR="001B2464" w:rsidRPr="00CE2185">
        <w:rPr>
          <w:rFonts w:eastAsia="Times New Roman"/>
          <w:noProof/>
          <w:color w:val="000000" w:themeColor="text1"/>
        </w:rPr>
        <w:t>s</w:t>
      </w:r>
      <w:r w:rsidR="00736661" w:rsidRPr="00CE2185">
        <w:rPr>
          <w:rFonts w:eastAsia="Times New Roman"/>
          <w:noProof/>
          <w:color w:val="000000" w:themeColor="text1"/>
        </w:rPr>
        <w:t xml:space="preserve"> to be shared through these networks</w:t>
      </w:r>
      <w:r w:rsidR="62C979F9" w:rsidRPr="00CE2185">
        <w:rPr>
          <w:rFonts w:eastAsia="Times New Roman"/>
          <w:noProof/>
          <w:color w:val="000000" w:themeColor="text1"/>
        </w:rPr>
        <w:t xml:space="preserve"> ENISA would also become a member of the CSIRTs network.</w:t>
      </w:r>
      <w:r w:rsidR="561E9C35" w:rsidRPr="00CE2185">
        <w:rPr>
          <w:rFonts w:eastAsia="Times New Roman"/>
          <w:noProof/>
          <w:color w:val="000000" w:themeColor="text1"/>
        </w:rPr>
        <w:t xml:space="preserve"> In addition, ENISA would also support incident response activities, i.e. the EU Cybersecurity Reserve under the CSoA</w:t>
      </w:r>
      <w:r w:rsidR="68832B96" w:rsidRPr="00CE2185">
        <w:rPr>
          <w:rFonts w:eastAsia="Times New Roman"/>
          <w:noProof/>
          <w:color w:val="000000" w:themeColor="text1"/>
        </w:rPr>
        <w:t>.</w:t>
      </w:r>
    </w:p>
    <w:p w14:paraId="342DAE50" w14:textId="146F71D8" w:rsidR="00D44142" w:rsidRPr="00CE2185" w:rsidRDefault="00F57D9D" w:rsidP="00F57D9D">
      <w:pPr>
        <w:rPr>
          <w:rFonts w:eastAsia="Times New Roman"/>
          <w:noProof/>
          <w:color w:val="000000" w:themeColor="text1"/>
        </w:rPr>
      </w:pPr>
      <w:r w:rsidRPr="00CE2185">
        <w:rPr>
          <w:rFonts w:eastAsia="Times New Roman"/>
          <w:b/>
          <w:bCs/>
          <w:noProof/>
          <w:color w:val="000000" w:themeColor="text1"/>
        </w:rPr>
        <w:t>Under the third pillar,</w:t>
      </w:r>
      <w:r w:rsidRPr="00CE2185">
        <w:rPr>
          <w:rFonts w:eastAsia="Times New Roman"/>
          <w:noProof/>
          <w:color w:val="000000" w:themeColor="text1"/>
        </w:rPr>
        <w:t xml:space="preserve"> this option would </w:t>
      </w:r>
      <w:r w:rsidR="76ECDEBB" w:rsidRPr="00CE2185">
        <w:rPr>
          <w:rFonts w:eastAsia="Times New Roman"/>
          <w:noProof/>
          <w:color w:val="000000" w:themeColor="text1"/>
        </w:rPr>
        <w:t xml:space="preserve">entrust </w:t>
      </w:r>
      <w:r w:rsidRPr="00CE2185">
        <w:rPr>
          <w:rFonts w:eastAsia="Times New Roman"/>
          <w:noProof/>
          <w:color w:val="000000" w:themeColor="text1"/>
        </w:rPr>
        <w:t>ENISA</w:t>
      </w:r>
      <w:r w:rsidR="008038D2" w:rsidRPr="00CE2185">
        <w:rPr>
          <w:rFonts w:eastAsia="Times New Roman"/>
          <w:noProof/>
          <w:color w:val="000000" w:themeColor="text1"/>
        </w:rPr>
        <w:t xml:space="preserve">, as a scheme manager </w:t>
      </w:r>
      <w:r w:rsidR="008038D2" w:rsidRPr="00CE2185">
        <w:rPr>
          <w:rFonts w:eastAsia="Times New Roman"/>
          <w:i/>
          <w:noProof/>
          <w:color w:val="000000" w:themeColor="text1"/>
        </w:rPr>
        <w:t>(see option</w:t>
      </w:r>
      <w:r w:rsidR="00C64D04" w:rsidRPr="00CE2185">
        <w:rPr>
          <w:rFonts w:eastAsia="Times New Roman"/>
          <w:i/>
          <w:noProof/>
          <w:color w:val="000000" w:themeColor="text1"/>
        </w:rPr>
        <w:t>s</w:t>
      </w:r>
      <w:r w:rsidR="008038D2" w:rsidRPr="00CE2185">
        <w:rPr>
          <w:rFonts w:eastAsia="Times New Roman"/>
          <w:i/>
          <w:noProof/>
          <w:color w:val="000000" w:themeColor="text1"/>
        </w:rPr>
        <w:t xml:space="preserve"> B</w:t>
      </w:r>
      <w:r w:rsidR="00C64D04" w:rsidRPr="00CE2185">
        <w:rPr>
          <w:rFonts w:eastAsia="Times New Roman"/>
          <w:i/>
          <w:noProof/>
          <w:color w:val="000000" w:themeColor="text1"/>
        </w:rPr>
        <w:t>1, B2 and B3</w:t>
      </w:r>
      <w:r w:rsidR="008038D2" w:rsidRPr="00CE2185">
        <w:rPr>
          <w:rFonts w:eastAsia="Times New Roman"/>
          <w:i/>
          <w:noProof/>
          <w:color w:val="000000" w:themeColor="text1"/>
        </w:rPr>
        <w:t>)</w:t>
      </w:r>
      <w:r w:rsidRPr="00CE2185">
        <w:rPr>
          <w:rFonts w:eastAsia="Times New Roman"/>
          <w:noProof/>
          <w:color w:val="000000" w:themeColor="text1"/>
        </w:rPr>
        <w:t xml:space="preserve"> with the development and implementation of the certification schemes, upon request from the Commission. ENISA would </w:t>
      </w:r>
      <w:r w:rsidR="0FA7F1B4" w:rsidRPr="00CE2185">
        <w:rPr>
          <w:rFonts w:eastAsia="Times New Roman"/>
          <w:noProof/>
          <w:color w:val="000000" w:themeColor="text1"/>
        </w:rPr>
        <w:t>develop the necessary capacity to support the</w:t>
      </w:r>
      <w:r w:rsidRPr="00CE2185">
        <w:rPr>
          <w:rFonts w:eastAsia="Times New Roman"/>
          <w:noProof/>
          <w:color w:val="000000" w:themeColor="text1"/>
        </w:rPr>
        <w:t xml:space="preserve"> </w:t>
      </w:r>
      <w:r w:rsidR="0FA7F1B4" w:rsidRPr="00CE2185">
        <w:rPr>
          <w:rFonts w:eastAsia="Times New Roman"/>
          <w:noProof/>
          <w:color w:val="000000" w:themeColor="text1"/>
        </w:rPr>
        <w:t xml:space="preserve">development of </w:t>
      </w:r>
      <w:r w:rsidR="3D7E1179" w:rsidRPr="00CE2185">
        <w:rPr>
          <w:rFonts w:eastAsia="Times New Roman"/>
          <w:noProof/>
          <w:color w:val="000000" w:themeColor="text1"/>
        </w:rPr>
        <w:t xml:space="preserve">cybersecurity </w:t>
      </w:r>
      <w:r w:rsidRPr="00CE2185">
        <w:rPr>
          <w:rFonts w:eastAsia="Times New Roman"/>
          <w:noProof/>
          <w:color w:val="000000" w:themeColor="text1"/>
        </w:rPr>
        <w:t>standards for the industry (e.g. for the implementation of CRA or NIS 2</w:t>
      </w:r>
      <w:r w:rsidR="00B84332" w:rsidRPr="00CE2185">
        <w:rPr>
          <w:rFonts w:eastAsia="Times New Roman"/>
          <w:noProof/>
          <w:color w:val="000000" w:themeColor="text1"/>
        </w:rPr>
        <w:t xml:space="preserve"> Directive</w:t>
      </w:r>
      <w:r w:rsidRPr="00CE2185">
        <w:rPr>
          <w:rFonts w:eastAsia="Times New Roman"/>
          <w:noProof/>
          <w:color w:val="000000" w:themeColor="text1"/>
        </w:rPr>
        <w:t>)</w:t>
      </w:r>
      <w:r w:rsidR="006D1DC3" w:rsidRPr="00CE2185">
        <w:rPr>
          <w:rFonts w:eastAsia="Times New Roman"/>
          <w:noProof/>
          <w:color w:val="000000" w:themeColor="text1"/>
        </w:rPr>
        <w:t xml:space="preserve"> and </w:t>
      </w:r>
      <w:r w:rsidR="00AC7773" w:rsidRPr="00CE2185">
        <w:rPr>
          <w:rFonts w:eastAsia="Times New Roman"/>
          <w:noProof/>
          <w:color w:val="000000" w:themeColor="text1"/>
        </w:rPr>
        <w:t>the adoption procedure of technical specifications supporting the development of the ECCF schemes</w:t>
      </w:r>
      <w:r w:rsidRPr="00CE2185">
        <w:rPr>
          <w:rFonts w:eastAsia="Times New Roman"/>
          <w:noProof/>
          <w:color w:val="000000" w:themeColor="text1"/>
        </w:rPr>
        <w:t xml:space="preserve">. This </w:t>
      </w:r>
      <w:r w:rsidR="0BF83931" w:rsidRPr="00CE2185">
        <w:rPr>
          <w:rFonts w:eastAsia="Times New Roman"/>
          <w:noProof/>
          <w:color w:val="000000" w:themeColor="text1"/>
        </w:rPr>
        <w:t>would</w:t>
      </w:r>
      <w:r w:rsidRPr="00CE2185">
        <w:rPr>
          <w:rFonts w:eastAsia="Times New Roman"/>
          <w:noProof/>
          <w:color w:val="000000" w:themeColor="text1"/>
        </w:rPr>
        <w:t xml:space="preserve"> </w:t>
      </w:r>
      <w:r w:rsidR="00F13850" w:rsidRPr="00CE2185">
        <w:rPr>
          <w:rFonts w:eastAsia="Times New Roman"/>
          <w:noProof/>
          <w:color w:val="000000" w:themeColor="text1"/>
        </w:rPr>
        <w:t>enable</w:t>
      </w:r>
      <w:r w:rsidRPr="00CE2185">
        <w:rPr>
          <w:rFonts w:eastAsia="Times New Roman"/>
          <w:noProof/>
          <w:color w:val="000000" w:themeColor="text1"/>
        </w:rPr>
        <w:t xml:space="preserve"> ENISA to leverage its expertise to support Member States in </w:t>
      </w:r>
      <w:r w:rsidR="00740EC4" w:rsidRPr="00CE2185">
        <w:rPr>
          <w:rFonts w:eastAsia="Times New Roman"/>
          <w:noProof/>
          <w:color w:val="000000" w:themeColor="text1"/>
        </w:rPr>
        <w:t xml:space="preserve">building </w:t>
      </w:r>
      <w:r w:rsidRPr="00CE2185">
        <w:rPr>
          <w:rFonts w:eastAsia="Times New Roman"/>
          <w:noProof/>
          <w:color w:val="000000" w:themeColor="text1"/>
        </w:rPr>
        <w:t xml:space="preserve">certification capacity. </w:t>
      </w:r>
    </w:p>
    <w:p w14:paraId="091B94E7" w14:textId="3D85B4E6" w:rsidR="00F57D9D" w:rsidRPr="00CE2185" w:rsidRDefault="00F57D9D" w:rsidP="00F57D9D">
      <w:pPr>
        <w:rPr>
          <w:rFonts w:eastAsia="Times New Roman"/>
          <w:noProof/>
          <w:color w:val="000000" w:themeColor="text1"/>
        </w:rPr>
      </w:pPr>
      <w:r w:rsidRPr="00CE2185">
        <w:rPr>
          <w:rFonts w:eastAsia="Times New Roman"/>
          <w:noProof/>
          <w:color w:val="000000" w:themeColor="text1"/>
        </w:rPr>
        <w:t xml:space="preserve">Finally, </w:t>
      </w:r>
      <w:r w:rsidR="32565BE1" w:rsidRPr="00CE2185">
        <w:rPr>
          <w:rFonts w:eastAsia="Times New Roman"/>
          <w:noProof/>
          <w:color w:val="000000" w:themeColor="text1"/>
        </w:rPr>
        <w:t xml:space="preserve">under </w:t>
      </w:r>
      <w:r w:rsidRPr="00CE2185">
        <w:rPr>
          <w:rFonts w:eastAsia="Times New Roman"/>
          <w:noProof/>
          <w:color w:val="000000" w:themeColor="text1"/>
        </w:rPr>
        <w:t>this option ENISA</w:t>
      </w:r>
      <w:r w:rsidR="00655D2B" w:rsidRPr="00CE2185">
        <w:rPr>
          <w:rFonts w:eastAsia="Times New Roman"/>
          <w:noProof/>
          <w:color w:val="000000" w:themeColor="text1"/>
        </w:rPr>
        <w:t xml:space="preserve"> </w:t>
      </w:r>
      <w:r w:rsidR="5D04DD9C" w:rsidRPr="00CE2185">
        <w:rPr>
          <w:rFonts w:eastAsia="Times New Roman"/>
          <w:noProof/>
          <w:color w:val="000000" w:themeColor="text1"/>
        </w:rPr>
        <w:t xml:space="preserve">would </w:t>
      </w:r>
      <w:r w:rsidR="0047229A" w:rsidRPr="00CE2185">
        <w:rPr>
          <w:rFonts w:eastAsia="Times New Roman"/>
          <w:noProof/>
          <w:color w:val="000000" w:themeColor="text1"/>
        </w:rPr>
        <w:t>develop and maintain</w:t>
      </w:r>
      <w:r w:rsidRPr="00CE2185">
        <w:rPr>
          <w:rFonts w:eastAsia="Times New Roman"/>
          <w:noProof/>
          <w:color w:val="000000" w:themeColor="text1"/>
        </w:rPr>
        <w:t xml:space="preserve"> </w:t>
      </w:r>
      <w:r w:rsidR="4F6F225A" w:rsidRPr="00CE2185">
        <w:rPr>
          <w:rFonts w:eastAsia="Times New Roman"/>
          <w:noProof/>
          <w:color w:val="000000" w:themeColor="text1"/>
        </w:rPr>
        <w:t xml:space="preserve">European individual </w:t>
      </w:r>
      <w:r w:rsidR="4289A9C3" w:rsidRPr="00CE2185">
        <w:rPr>
          <w:rFonts w:eastAsia="Times New Roman"/>
          <w:noProof/>
          <w:color w:val="000000" w:themeColor="text1"/>
        </w:rPr>
        <w:t>cybersec</w:t>
      </w:r>
      <w:r w:rsidR="00E83790" w:rsidRPr="00CE2185">
        <w:rPr>
          <w:rFonts w:eastAsia="Times New Roman"/>
          <w:noProof/>
          <w:color w:val="000000" w:themeColor="text1"/>
        </w:rPr>
        <w:t>u</w:t>
      </w:r>
      <w:r w:rsidR="4289A9C3" w:rsidRPr="00CE2185">
        <w:rPr>
          <w:rFonts w:eastAsia="Times New Roman"/>
          <w:noProof/>
          <w:color w:val="000000" w:themeColor="text1"/>
        </w:rPr>
        <w:t xml:space="preserve">rity skills </w:t>
      </w:r>
      <w:r w:rsidR="4F6F225A" w:rsidRPr="00CE2185">
        <w:rPr>
          <w:rFonts w:eastAsia="Times New Roman"/>
          <w:noProof/>
          <w:color w:val="000000" w:themeColor="text1"/>
        </w:rPr>
        <w:t xml:space="preserve">attestations </w:t>
      </w:r>
      <w:r w:rsidR="14C9A504" w:rsidRPr="00CE2185">
        <w:rPr>
          <w:rFonts w:eastAsia="Times New Roman"/>
          <w:noProof/>
          <w:color w:val="000000" w:themeColor="text1"/>
        </w:rPr>
        <w:t>schemes</w:t>
      </w:r>
      <w:r w:rsidR="00373E54" w:rsidRPr="00CE2185">
        <w:rPr>
          <w:rFonts w:eastAsia="Times New Roman"/>
          <w:noProof/>
          <w:color w:val="000000" w:themeColor="text1"/>
        </w:rPr>
        <w:t>, hereby</w:t>
      </w:r>
      <w:r w:rsidR="00282081" w:rsidRPr="00CE2185">
        <w:rPr>
          <w:rFonts w:eastAsia="Times New Roman"/>
          <w:noProof/>
          <w:color w:val="000000" w:themeColor="text1"/>
        </w:rPr>
        <w:t xml:space="preserve"> </w:t>
      </w:r>
      <w:r w:rsidR="00FE2001" w:rsidRPr="00CE2185">
        <w:rPr>
          <w:rFonts w:eastAsia="Times New Roman"/>
          <w:noProof/>
          <w:color w:val="000000" w:themeColor="text1"/>
        </w:rPr>
        <w:t>support</w:t>
      </w:r>
      <w:r w:rsidR="00373E54" w:rsidRPr="00CE2185">
        <w:rPr>
          <w:rFonts w:eastAsia="Times New Roman"/>
          <w:noProof/>
          <w:color w:val="000000" w:themeColor="text1"/>
        </w:rPr>
        <w:t>ing</w:t>
      </w:r>
      <w:r w:rsidR="00FE2001" w:rsidRPr="00CE2185">
        <w:rPr>
          <w:rFonts w:eastAsia="Times New Roman"/>
          <w:noProof/>
          <w:color w:val="000000" w:themeColor="text1"/>
        </w:rPr>
        <w:t xml:space="preserve"> the recognition </w:t>
      </w:r>
      <w:r w:rsidR="005909F4" w:rsidRPr="00CE2185">
        <w:rPr>
          <w:rFonts w:eastAsia="Times New Roman"/>
          <w:noProof/>
          <w:color w:val="000000" w:themeColor="text1"/>
        </w:rPr>
        <w:t xml:space="preserve">and </w:t>
      </w:r>
      <w:r w:rsidR="00BB430E" w:rsidRPr="00CE2185">
        <w:rPr>
          <w:rFonts w:eastAsia="Times New Roman"/>
          <w:noProof/>
          <w:color w:val="000000" w:themeColor="text1"/>
        </w:rPr>
        <w:t>portability of skills across</w:t>
      </w:r>
      <w:r w:rsidR="00750112" w:rsidRPr="00CE2185">
        <w:rPr>
          <w:rFonts w:eastAsia="Times New Roman"/>
          <w:noProof/>
          <w:color w:val="000000" w:themeColor="text1"/>
        </w:rPr>
        <w:t xml:space="preserve"> </w:t>
      </w:r>
      <w:r w:rsidR="00FE2001" w:rsidRPr="00CE2185">
        <w:rPr>
          <w:rFonts w:eastAsia="Times New Roman"/>
          <w:noProof/>
          <w:color w:val="000000" w:themeColor="text1"/>
        </w:rPr>
        <w:t xml:space="preserve">Member </w:t>
      </w:r>
      <w:r w:rsidR="03A99DAA" w:rsidRPr="00CE2185">
        <w:rPr>
          <w:rFonts w:eastAsia="Times New Roman"/>
          <w:noProof/>
          <w:color w:val="000000" w:themeColor="text1"/>
        </w:rPr>
        <w:t>S</w:t>
      </w:r>
      <w:r w:rsidR="00FE2001" w:rsidRPr="00CE2185">
        <w:rPr>
          <w:rFonts w:eastAsia="Times New Roman"/>
          <w:noProof/>
          <w:color w:val="000000" w:themeColor="text1"/>
        </w:rPr>
        <w:t>tates</w:t>
      </w:r>
      <w:r w:rsidR="07E4D7A7" w:rsidRPr="00CE2185">
        <w:rPr>
          <w:rFonts w:eastAsia="Times New Roman"/>
          <w:noProof/>
          <w:color w:val="000000" w:themeColor="text1"/>
        </w:rPr>
        <w:t>.</w:t>
      </w:r>
      <w:r w:rsidR="14C9A504" w:rsidRPr="00CE2185">
        <w:rPr>
          <w:rFonts w:eastAsia="Times New Roman"/>
          <w:noProof/>
          <w:color w:val="000000" w:themeColor="text1"/>
        </w:rPr>
        <w:t xml:space="preserve"> </w:t>
      </w:r>
    </w:p>
    <w:tbl>
      <w:tblPr>
        <w:tblStyle w:val="TableGrid"/>
        <w:tblW w:w="9180" w:type="dxa"/>
        <w:tblLayout w:type="fixed"/>
        <w:tblLook w:val="06A0" w:firstRow="1" w:lastRow="0" w:firstColumn="1" w:lastColumn="0" w:noHBand="1" w:noVBand="1"/>
      </w:tblPr>
      <w:tblGrid>
        <w:gridCol w:w="9180"/>
      </w:tblGrid>
      <w:tr w:rsidR="00F57D9D" w:rsidRPr="00CE2185" w14:paraId="71EFA1D5" w14:textId="77777777" w:rsidTr="00795DF0">
        <w:trPr>
          <w:trHeight w:val="432"/>
        </w:trPr>
        <w:tc>
          <w:tcPr>
            <w:tcW w:w="9180" w:type="dxa"/>
          </w:tcPr>
          <w:p w14:paraId="022C20B6" w14:textId="40BB167E"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A.3: </w:t>
            </w:r>
            <w:r w:rsidR="611E695D" w:rsidRPr="00CE2185">
              <w:rPr>
                <w:b/>
                <w:bCs/>
                <w:i/>
                <w:iCs/>
                <w:noProof/>
                <w:color w:val="000000" w:themeColor="text1"/>
              </w:rPr>
              <w:t>R</w:t>
            </w:r>
            <w:r w:rsidRPr="00CE2185">
              <w:rPr>
                <w:b/>
                <w:bCs/>
                <w:i/>
                <w:iCs/>
                <w:noProof/>
                <w:color w:val="000000" w:themeColor="text1"/>
              </w:rPr>
              <w:t>eform</w:t>
            </w:r>
            <w:r w:rsidR="008D65A2">
              <w:rPr>
                <w:b/>
                <w:bCs/>
                <w:i/>
                <w:iCs/>
                <w:noProof/>
                <w:color w:val="000000" w:themeColor="text1"/>
              </w:rPr>
              <w:t>ing</w:t>
            </w:r>
            <w:r w:rsidRPr="00CE2185">
              <w:rPr>
                <w:b/>
                <w:bCs/>
                <w:i/>
                <w:iCs/>
                <w:noProof/>
                <w:color w:val="000000" w:themeColor="text1"/>
              </w:rPr>
              <w:t xml:space="preserve"> of ENISA’s mandate with a strong operational support focus</w:t>
            </w:r>
          </w:p>
        </w:tc>
      </w:tr>
    </w:tbl>
    <w:p w14:paraId="11205FAC" w14:textId="508E6976" w:rsidR="00F57D9D" w:rsidRPr="00CE2185" w:rsidRDefault="00F57D9D" w:rsidP="00F57D9D">
      <w:pPr>
        <w:spacing w:after="200"/>
        <w:rPr>
          <w:rFonts w:eastAsia="Times New Roman"/>
          <w:noProof/>
          <w:color w:val="000000" w:themeColor="text1"/>
        </w:rPr>
      </w:pPr>
      <w:r w:rsidRPr="00CE2185">
        <w:rPr>
          <w:rFonts w:eastAsia="Times New Roman"/>
          <w:noProof/>
          <w:color w:val="000000" w:themeColor="text1"/>
        </w:rPr>
        <w:t xml:space="preserve">This option would </w:t>
      </w:r>
      <w:r w:rsidR="00DD397F" w:rsidRPr="00CE2185">
        <w:rPr>
          <w:rFonts w:eastAsia="Times New Roman"/>
          <w:noProof/>
          <w:color w:val="000000" w:themeColor="text1"/>
        </w:rPr>
        <w:t>build upon</w:t>
      </w:r>
      <w:r w:rsidRPr="00CE2185">
        <w:rPr>
          <w:rFonts w:eastAsia="Times New Roman"/>
          <w:noProof/>
          <w:color w:val="000000" w:themeColor="text1"/>
        </w:rPr>
        <w:t xml:space="preserve"> option A.2</w:t>
      </w:r>
      <w:r w:rsidR="042D8928" w:rsidRPr="00CE2185">
        <w:rPr>
          <w:rFonts w:eastAsia="Times New Roman"/>
          <w:noProof/>
          <w:color w:val="000000" w:themeColor="text1"/>
        </w:rPr>
        <w:t>. I</w:t>
      </w:r>
      <w:r w:rsidR="2F17D405" w:rsidRPr="00CE2185">
        <w:rPr>
          <w:rFonts w:eastAsia="Times New Roman"/>
          <w:noProof/>
          <w:color w:val="000000" w:themeColor="text1"/>
        </w:rPr>
        <w:t xml:space="preserve">In addition, </w:t>
      </w:r>
      <w:r w:rsidRPr="00CE2185">
        <w:rPr>
          <w:rFonts w:eastAsia="Times New Roman"/>
          <w:noProof/>
          <w:color w:val="000000" w:themeColor="text1"/>
        </w:rPr>
        <w:t xml:space="preserve">ENISA would </w:t>
      </w:r>
      <w:r w:rsidR="7F1E0EE8" w:rsidRPr="00CE2185">
        <w:rPr>
          <w:rFonts w:eastAsia="Times New Roman"/>
          <w:noProof/>
          <w:color w:val="000000" w:themeColor="text1"/>
        </w:rPr>
        <w:t>develop capabilities to</w:t>
      </w:r>
      <w:r w:rsidRPr="00CE2185">
        <w:rPr>
          <w:rFonts w:eastAsia="Times New Roman"/>
          <w:noProof/>
          <w:color w:val="000000" w:themeColor="text1"/>
        </w:rPr>
        <w:t xml:space="preserve"> support NIS 2 Directive entities directly in responding to and recovering from the cybersecurity incident upon Member State’s request. </w:t>
      </w:r>
      <w:r w:rsidR="39ADB317" w:rsidRPr="00CE2185">
        <w:rPr>
          <w:rFonts w:eastAsia="Times New Roman"/>
          <w:noProof/>
          <w:color w:val="000000" w:themeColor="text1"/>
        </w:rPr>
        <w:t>T</w:t>
      </w:r>
      <w:r w:rsidRPr="00CE2185">
        <w:rPr>
          <w:rFonts w:eastAsia="Times New Roman"/>
          <w:noProof/>
          <w:color w:val="000000" w:themeColor="text1"/>
        </w:rPr>
        <w:t xml:space="preserve">he Agency </w:t>
      </w:r>
      <w:r w:rsidR="00905941" w:rsidRPr="00CE2185">
        <w:rPr>
          <w:rFonts w:eastAsia="Times New Roman"/>
          <w:noProof/>
          <w:color w:val="000000" w:themeColor="text1"/>
        </w:rPr>
        <w:t>would</w:t>
      </w:r>
      <w:r w:rsidR="007D2798" w:rsidRPr="00CE2185">
        <w:rPr>
          <w:rFonts w:eastAsia="Times New Roman"/>
          <w:noProof/>
          <w:color w:val="000000" w:themeColor="text1"/>
        </w:rPr>
        <w:t xml:space="preserve"> </w:t>
      </w:r>
      <w:r w:rsidRPr="00CE2185">
        <w:rPr>
          <w:rFonts w:eastAsia="Times New Roman"/>
          <w:noProof/>
          <w:color w:val="000000" w:themeColor="text1"/>
        </w:rPr>
        <w:t>be equipped with an operational team</w:t>
      </w:r>
      <w:r w:rsidR="007D2798" w:rsidRPr="00CE2185">
        <w:rPr>
          <w:rFonts w:eastAsia="Times New Roman"/>
          <w:noProof/>
          <w:color w:val="000000" w:themeColor="text1"/>
        </w:rPr>
        <w:t xml:space="preserve">, </w:t>
      </w:r>
      <w:r w:rsidR="00171675" w:rsidRPr="00CE2185">
        <w:rPr>
          <w:rFonts w:eastAsia="Times New Roman"/>
          <w:noProof/>
          <w:color w:val="000000" w:themeColor="text1"/>
        </w:rPr>
        <w:t>available 24/7,</w:t>
      </w:r>
      <w:r w:rsidRPr="00CE2185">
        <w:rPr>
          <w:rFonts w:eastAsia="Times New Roman"/>
          <w:noProof/>
          <w:color w:val="000000" w:themeColor="text1"/>
        </w:rPr>
        <w:t xml:space="preserve"> </w:t>
      </w:r>
      <w:r w:rsidR="0038621F" w:rsidRPr="00CE2185">
        <w:rPr>
          <w:rFonts w:eastAsia="Times New Roman"/>
          <w:noProof/>
          <w:color w:val="000000" w:themeColor="text1"/>
        </w:rPr>
        <w:t xml:space="preserve">consisting </w:t>
      </w:r>
      <w:r w:rsidRPr="00CE2185">
        <w:rPr>
          <w:rFonts w:eastAsia="Times New Roman"/>
          <w:noProof/>
          <w:color w:val="000000" w:themeColor="text1"/>
        </w:rPr>
        <w:t xml:space="preserve">of ENISA’s staff and </w:t>
      </w:r>
      <w:r w:rsidR="00905941" w:rsidRPr="00CE2185">
        <w:rPr>
          <w:rFonts w:eastAsia="Times New Roman"/>
          <w:noProof/>
          <w:color w:val="000000" w:themeColor="text1"/>
        </w:rPr>
        <w:t>re</w:t>
      </w:r>
      <w:r w:rsidR="000E104D" w:rsidRPr="00CE2185">
        <w:rPr>
          <w:rFonts w:eastAsia="Times New Roman"/>
          <w:noProof/>
          <w:color w:val="000000" w:themeColor="text1"/>
        </w:rPr>
        <w:t>i</w:t>
      </w:r>
      <w:r w:rsidRPr="00CE2185">
        <w:rPr>
          <w:rFonts w:eastAsia="Times New Roman"/>
          <w:noProof/>
          <w:color w:val="000000" w:themeColor="text1"/>
        </w:rPr>
        <w:t>nforced by national liaison officers and service providers</w:t>
      </w:r>
      <w:r w:rsidR="25B11198" w:rsidRPr="00CE2185">
        <w:rPr>
          <w:rFonts w:eastAsia="Times New Roman"/>
          <w:noProof/>
          <w:color w:val="000000" w:themeColor="text1"/>
        </w:rPr>
        <w:t>.</w:t>
      </w:r>
      <w:r w:rsidRPr="00CE2185">
        <w:rPr>
          <w:rFonts w:eastAsia="Times New Roman"/>
          <w:noProof/>
          <w:color w:val="000000" w:themeColor="text1"/>
        </w:rPr>
        <w:t xml:space="preserve"> </w:t>
      </w:r>
      <w:r w:rsidR="00A2770A" w:rsidRPr="00CE2185">
        <w:rPr>
          <w:rFonts w:eastAsia="Times New Roman"/>
          <w:noProof/>
          <w:color w:val="000000" w:themeColor="text1"/>
        </w:rPr>
        <w:t xml:space="preserve">In addition, ENISA would also act as an EU-level cybersecurity umbrella, </w:t>
      </w:r>
      <w:r w:rsidR="00790A60" w:rsidRPr="00CE2185">
        <w:rPr>
          <w:rFonts w:eastAsia="Times New Roman"/>
          <w:noProof/>
          <w:color w:val="000000" w:themeColor="text1"/>
        </w:rPr>
        <w:t>providing</w:t>
      </w:r>
      <w:r w:rsidR="00A2770A" w:rsidRPr="00CE2185">
        <w:rPr>
          <w:rFonts w:eastAsia="Times New Roman"/>
          <w:noProof/>
          <w:color w:val="000000" w:themeColor="text1"/>
        </w:rPr>
        <w:t xml:space="preserve"> </w:t>
      </w:r>
      <w:r w:rsidR="00B27528" w:rsidRPr="00CE2185">
        <w:rPr>
          <w:rFonts w:eastAsia="Times New Roman"/>
          <w:noProof/>
          <w:color w:val="000000" w:themeColor="text1"/>
        </w:rPr>
        <w:t>technical</w:t>
      </w:r>
      <w:r w:rsidR="00A2770A" w:rsidRPr="00CE2185">
        <w:rPr>
          <w:rFonts w:eastAsia="Times New Roman"/>
          <w:noProof/>
          <w:color w:val="000000" w:themeColor="text1"/>
        </w:rPr>
        <w:t xml:space="preserve"> advice</w:t>
      </w:r>
      <w:r w:rsidR="00B27528" w:rsidRPr="00CE2185">
        <w:rPr>
          <w:rFonts w:eastAsia="Times New Roman"/>
          <w:noProof/>
          <w:color w:val="000000" w:themeColor="text1"/>
        </w:rPr>
        <w:t xml:space="preserve"> to entities</w:t>
      </w:r>
      <w:r w:rsidR="00C40203" w:rsidRPr="00CE2185">
        <w:rPr>
          <w:rFonts w:eastAsia="Times New Roman"/>
          <w:noProof/>
          <w:color w:val="000000" w:themeColor="text1"/>
        </w:rPr>
        <w:t xml:space="preserve"> implemen</w:t>
      </w:r>
      <w:r w:rsidR="009D7063" w:rsidRPr="00CE2185">
        <w:rPr>
          <w:rFonts w:eastAsia="Times New Roman"/>
          <w:noProof/>
          <w:color w:val="000000" w:themeColor="text1"/>
        </w:rPr>
        <w:t>ting NIS 2 Directive</w:t>
      </w:r>
      <w:r w:rsidR="00790A60" w:rsidRPr="00CE2185">
        <w:rPr>
          <w:rFonts w:eastAsia="Times New Roman"/>
          <w:noProof/>
          <w:color w:val="000000" w:themeColor="text1"/>
        </w:rPr>
        <w:t xml:space="preserve"> and </w:t>
      </w:r>
      <w:r w:rsidR="00A2770A" w:rsidRPr="00CE2185">
        <w:rPr>
          <w:rFonts w:eastAsia="Times New Roman"/>
          <w:noProof/>
          <w:color w:val="000000" w:themeColor="text1"/>
        </w:rPr>
        <w:t>serving as a centre for information</w:t>
      </w:r>
      <w:r w:rsidR="00790A60" w:rsidRPr="00CE2185">
        <w:rPr>
          <w:rFonts w:eastAsia="Times New Roman"/>
          <w:noProof/>
          <w:color w:val="000000" w:themeColor="text1"/>
        </w:rPr>
        <w:t>.</w:t>
      </w:r>
      <w:r w:rsidRPr="00CE2185">
        <w:rPr>
          <w:rFonts w:eastAsia="Times New Roman"/>
          <w:noProof/>
          <w:color w:val="000000" w:themeColor="text1"/>
        </w:rPr>
        <w:t xml:space="preserve"> </w:t>
      </w:r>
      <w:r w:rsidR="00F931B5" w:rsidRPr="00CE2185">
        <w:rPr>
          <w:rFonts w:eastAsia="Times New Roman"/>
          <w:noProof/>
          <w:color w:val="000000" w:themeColor="text1"/>
        </w:rPr>
        <w:t xml:space="preserve">These would entail a </w:t>
      </w:r>
      <w:r w:rsidR="00C7662E" w:rsidRPr="00CE2185">
        <w:rPr>
          <w:rFonts w:eastAsia="Times New Roman"/>
          <w:noProof/>
          <w:color w:val="000000" w:themeColor="text1"/>
        </w:rPr>
        <w:t xml:space="preserve">notable </w:t>
      </w:r>
      <w:r w:rsidR="00F931B5" w:rsidRPr="00CE2185">
        <w:rPr>
          <w:rFonts w:eastAsia="Times New Roman"/>
          <w:noProof/>
          <w:color w:val="000000" w:themeColor="text1"/>
        </w:rPr>
        <w:t xml:space="preserve">shift of ENISA’s priorities and </w:t>
      </w:r>
      <w:r w:rsidR="002025A2" w:rsidRPr="00CE2185">
        <w:rPr>
          <w:rFonts w:eastAsia="Times New Roman"/>
          <w:noProof/>
          <w:color w:val="000000" w:themeColor="text1"/>
        </w:rPr>
        <w:t>tasks</w:t>
      </w:r>
      <w:r w:rsidR="009345CD" w:rsidRPr="00CE2185">
        <w:rPr>
          <w:rFonts w:eastAsia="Times New Roman"/>
          <w:noProof/>
          <w:color w:val="000000" w:themeColor="text1"/>
        </w:rPr>
        <w:t xml:space="preserve">, </w:t>
      </w:r>
      <w:r w:rsidR="00DB7B9E" w:rsidRPr="00CE2185">
        <w:rPr>
          <w:rFonts w:eastAsia="Times New Roman"/>
          <w:noProof/>
          <w:color w:val="000000" w:themeColor="text1"/>
        </w:rPr>
        <w:t>with a clear focus on the support for operational cooperation</w:t>
      </w:r>
      <w:r w:rsidR="005941E5" w:rsidRPr="00CE2185">
        <w:rPr>
          <w:rFonts w:eastAsia="Times New Roman"/>
          <w:noProof/>
          <w:color w:val="000000" w:themeColor="text1"/>
        </w:rPr>
        <w:t xml:space="preserve"> which</w:t>
      </w:r>
      <w:r w:rsidR="00750112" w:rsidRPr="00CE2185">
        <w:rPr>
          <w:rFonts w:eastAsia="Times New Roman"/>
          <w:noProof/>
          <w:color w:val="000000" w:themeColor="text1"/>
        </w:rPr>
        <w:t xml:space="preserve"> </w:t>
      </w:r>
      <w:r w:rsidR="00A85326" w:rsidRPr="00CE2185">
        <w:rPr>
          <w:rFonts w:eastAsia="Times New Roman"/>
          <w:noProof/>
          <w:color w:val="000000" w:themeColor="text1"/>
        </w:rPr>
        <w:t xml:space="preserve">would require </w:t>
      </w:r>
      <w:r w:rsidR="005D0596" w:rsidRPr="00CE2185">
        <w:rPr>
          <w:rFonts w:eastAsia="Times New Roman"/>
          <w:noProof/>
          <w:color w:val="000000" w:themeColor="text1"/>
        </w:rPr>
        <w:t xml:space="preserve">more </w:t>
      </w:r>
      <w:r w:rsidR="00932020" w:rsidRPr="00CE2185">
        <w:rPr>
          <w:rFonts w:eastAsia="Times New Roman"/>
          <w:noProof/>
          <w:color w:val="000000" w:themeColor="text1"/>
        </w:rPr>
        <w:t xml:space="preserve">operational-driven </w:t>
      </w:r>
      <w:r w:rsidR="009345CD" w:rsidRPr="00CE2185">
        <w:rPr>
          <w:rFonts w:eastAsia="Times New Roman"/>
          <w:noProof/>
          <w:color w:val="000000" w:themeColor="text1"/>
        </w:rPr>
        <w:t>skills and profiles</w:t>
      </w:r>
      <w:r w:rsidR="008D566E" w:rsidRPr="00CE2185">
        <w:rPr>
          <w:rFonts w:eastAsia="Times New Roman"/>
          <w:noProof/>
          <w:color w:val="000000" w:themeColor="text1"/>
        </w:rPr>
        <w:t>.</w:t>
      </w:r>
      <w:r w:rsidR="3CA6F9AE" w:rsidRPr="00CE2185">
        <w:rPr>
          <w:rFonts w:eastAsia="Times New Roman"/>
          <w:noProof/>
          <w:color w:val="000000" w:themeColor="text1"/>
        </w:rPr>
        <w:t xml:space="preserve"> T</w:t>
      </w:r>
      <w:r w:rsidR="00674961" w:rsidRPr="00CE2185">
        <w:rPr>
          <w:rFonts w:eastAsia="Times New Roman"/>
          <w:noProof/>
          <w:color w:val="000000" w:themeColor="text1"/>
        </w:rPr>
        <w:t>he approach to the</w:t>
      </w:r>
      <w:r w:rsidR="007F25BD" w:rsidRPr="00CE2185">
        <w:rPr>
          <w:rFonts w:eastAsia="Times New Roman"/>
          <w:noProof/>
          <w:color w:val="000000" w:themeColor="text1"/>
        </w:rPr>
        <w:t xml:space="preserve"> </w:t>
      </w:r>
      <w:r w:rsidRPr="00CE2185">
        <w:rPr>
          <w:rFonts w:eastAsia="Times New Roman"/>
          <w:noProof/>
          <w:color w:val="000000" w:themeColor="text1"/>
        </w:rPr>
        <w:t>resourcing of the Agency</w:t>
      </w:r>
      <w:r w:rsidR="0000745F" w:rsidRPr="00CE2185">
        <w:rPr>
          <w:rFonts w:eastAsia="Times New Roman"/>
          <w:noProof/>
          <w:color w:val="000000" w:themeColor="text1"/>
        </w:rPr>
        <w:t xml:space="preserve"> </w:t>
      </w:r>
      <w:r w:rsidR="00674961" w:rsidRPr="00CE2185">
        <w:rPr>
          <w:rFonts w:eastAsia="Times New Roman"/>
          <w:noProof/>
          <w:color w:val="000000" w:themeColor="text1"/>
        </w:rPr>
        <w:t>would be the same</w:t>
      </w:r>
      <w:r w:rsidR="0000745F" w:rsidRPr="00CE2185">
        <w:rPr>
          <w:rFonts w:eastAsia="Times New Roman"/>
          <w:noProof/>
          <w:color w:val="000000" w:themeColor="text1"/>
        </w:rPr>
        <w:t xml:space="preserve"> </w:t>
      </w:r>
      <w:r w:rsidR="0038621F" w:rsidRPr="00CE2185">
        <w:rPr>
          <w:rFonts w:eastAsia="Times New Roman"/>
          <w:noProof/>
          <w:color w:val="000000" w:themeColor="text1"/>
        </w:rPr>
        <w:t xml:space="preserve">as </w:t>
      </w:r>
      <w:r w:rsidR="0000745F" w:rsidRPr="00CE2185">
        <w:rPr>
          <w:rFonts w:eastAsia="Times New Roman"/>
          <w:noProof/>
          <w:color w:val="000000" w:themeColor="text1"/>
        </w:rPr>
        <w:t>defined</w:t>
      </w:r>
      <w:r w:rsidR="0038621F" w:rsidRPr="00CE2185">
        <w:rPr>
          <w:rFonts w:eastAsia="Times New Roman"/>
          <w:noProof/>
          <w:color w:val="000000" w:themeColor="text1"/>
        </w:rPr>
        <w:t xml:space="preserve"> in option A.2</w:t>
      </w:r>
      <w:r w:rsidR="00FB37BB" w:rsidRPr="00CE2185">
        <w:rPr>
          <w:rFonts w:eastAsia="Times New Roman"/>
          <w:noProof/>
          <w:color w:val="000000" w:themeColor="text1"/>
        </w:rPr>
        <w:t xml:space="preserve">, adding the possibility of additional </w:t>
      </w:r>
      <w:r w:rsidR="00C41CB2" w:rsidRPr="00CE2185">
        <w:rPr>
          <w:rFonts w:eastAsia="Times New Roman"/>
          <w:noProof/>
          <w:color w:val="000000" w:themeColor="text1"/>
        </w:rPr>
        <w:t>seconded national experts to be sent by Member States</w:t>
      </w:r>
      <w:r w:rsidRPr="00CE2185">
        <w:rPr>
          <w:rFonts w:eastAsia="Times New Roman"/>
          <w:noProof/>
          <w:color w:val="000000" w:themeColor="text1"/>
        </w:rPr>
        <w:t>.</w:t>
      </w:r>
    </w:p>
    <w:p w14:paraId="2202F445" w14:textId="6A64C1EC" w:rsidR="00F57D9D" w:rsidRPr="00CE2185" w:rsidRDefault="00F57D9D" w:rsidP="00F57D9D">
      <w:pPr>
        <w:keepNext/>
        <w:rPr>
          <w:rFonts w:eastAsia="Times New Roman"/>
          <w:noProof/>
          <w:color w:val="000000" w:themeColor="text1"/>
        </w:rPr>
      </w:pPr>
      <w:r w:rsidRPr="00CE2185">
        <w:rPr>
          <w:rFonts w:eastAsia="Times New Roman"/>
          <w:b/>
          <w:bCs/>
          <w:noProof/>
          <w:color w:val="000000" w:themeColor="text1"/>
        </w:rPr>
        <w:t>5.2.2 Options for the European Cybersecurity Certification Framework</w:t>
      </w:r>
    </w:p>
    <w:tbl>
      <w:tblPr>
        <w:tblStyle w:val="TableGrid"/>
        <w:tblW w:w="0" w:type="auto"/>
        <w:tblLayout w:type="fixed"/>
        <w:tblLook w:val="06A0" w:firstRow="1" w:lastRow="0" w:firstColumn="1" w:lastColumn="0" w:noHBand="1" w:noVBand="1"/>
      </w:tblPr>
      <w:tblGrid>
        <w:gridCol w:w="9180"/>
      </w:tblGrid>
      <w:tr w:rsidR="00F57D9D" w:rsidRPr="00CE2185" w14:paraId="5090CCB4" w14:textId="77777777" w:rsidTr="00B849C1">
        <w:trPr>
          <w:trHeight w:val="300"/>
        </w:trPr>
        <w:tc>
          <w:tcPr>
            <w:tcW w:w="9180" w:type="dxa"/>
          </w:tcPr>
          <w:p w14:paraId="6661CA0A" w14:textId="05195ABC"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B.1: </w:t>
            </w:r>
            <w:r w:rsidR="00A97BB6" w:rsidRPr="00CE2185">
              <w:rPr>
                <w:b/>
                <w:bCs/>
                <w:i/>
                <w:iCs/>
                <w:noProof/>
                <w:color w:val="000000" w:themeColor="text1"/>
              </w:rPr>
              <w:t>C</w:t>
            </w:r>
            <w:r w:rsidR="79045F8B" w:rsidRPr="00CE2185">
              <w:rPr>
                <w:b/>
                <w:bCs/>
                <w:i/>
                <w:iCs/>
                <w:noProof/>
                <w:color w:val="000000" w:themeColor="text1"/>
              </w:rPr>
              <w:t>larif</w:t>
            </w:r>
            <w:r w:rsidR="001E3D64">
              <w:rPr>
                <w:b/>
                <w:bCs/>
                <w:i/>
                <w:iCs/>
                <w:noProof/>
                <w:color w:val="000000" w:themeColor="text1"/>
              </w:rPr>
              <w:t>ying</w:t>
            </w:r>
            <w:r w:rsidR="79045F8B" w:rsidRPr="00CE2185">
              <w:rPr>
                <w:b/>
                <w:bCs/>
                <w:i/>
                <w:iCs/>
                <w:noProof/>
                <w:color w:val="000000" w:themeColor="text1"/>
              </w:rPr>
              <w:t xml:space="preserve"> the ECCF</w:t>
            </w:r>
            <w:r w:rsidR="001E3D64">
              <w:rPr>
                <w:b/>
                <w:bCs/>
                <w:i/>
                <w:iCs/>
                <w:noProof/>
                <w:color w:val="000000" w:themeColor="text1"/>
              </w:rPr>
              <w:t>’s</w:t>
            </w:r>
            <w:r w:rsidR="79045F8B" w:rsidRPr="00CE2185">
              <w:rPr>
                <w:b/>
                <w:bCs/>
                <w:i/>
                <w:iCs/>
                <w:noProof/>
                <w:color w:val="000000" w:themeColor="text1"/>
              </w:rPr>
              <w:t xml:space="preserve"> </w:t>
            </w:r>
            <w:r w:rsidR="00914EE5" w:rsidRPr="00CE2185">
              <w:rPr>
                <w:b/>
                <w:bCs/>
                <w:i/>
                <w:iCs/>
                <w:noProof/>
                <w:color w:val="000000" w:themeColor="text1"/>
              </w:rPr>
              <w:t>scope, elements and objectives</w:t>
            </w:r>
            <w:r w:rsidR="004202A9" w:rsidRPr="00CE2185">
              <w:rPr>
                <w:b/>
                <w:bCs/>
                <w:i/>
                <w:iCs/>
                <w:noProof/>
                <w:color w:val="000000" w:themeColor="text1"/>
              </w:rPr>
              <w:t xml:space="preserve"> and introduc</w:t>
            </w:r>
            <w:r w:rsidR="001E3D64">
              <w:rPr>
                <w:b/>
                <w:bCs/>
                <w:i/>
                <w:iCs/>
                <w:noProof/>
                <w:color w:val="000000" w:themeColor="text1"/>
              </w:rPr>
              <w:t>ing</w:t>
            </w:r>
            <w:r w:rsidR="00A87094">
              <w:rPr>
                <w:b/>
                <w:bCs/>
                <w:i/>
                <w:iCs/>
                <w:noProof/>
                <w:color w:val="000000" w:themeColor="text1"/>
              </w:rPr>
              <w:t>a</w:t>
            </w:r>
            <w:r w:rsidR="004202A9" w:rsidRPr="00CE2185">
              <w:rPr>
                <w:b/>
                <w:bCs/>
                <w:i/>
                <w:iCs/>
                <w:noProof/>
                <w:color w:val="000000" w:themeColor="text1"/>
              </w:rPr>
              <w:t xml:space="preserve"> maintenance mechanism</w:t>
            </w:r>
          </w:p>
        </w:tc>
      </w:tr>
    </w:tbl>
    <w:p w14:paraId="51CA64B3" w14:textId="521D4CC2" w:rsidR="00595280" w:rsidRPr="00CE2185" w:rsidRDefault="00F70F28" w:rsidP="00795DF0">
      <w:pPr>
        <w:spacing w:after="120"/>
        <w:rPr>
          <w:rFonts w:eastAsia="Times New Roman"/>
          <w:noProof/>
          <w:color w:val="000000" w:themeColor="text1"/>
        </w:rPr>
      </w:pPr>
      <w:r w:rsidRPr="00CE2185">
        <w:rPr>
          <w:rFonts w:eastAsia="Times New Roman"/>
          <w:noProof/>
          <w:color w:val="000000" w:themeColor="text1"/>
        </w:rPr>
        <w:t>T</w:t>
      </w:r>
      <w:r w:rsidR="00F57D9D" w:rsidRPr="00CE2185">
        <w:rPr>
          <w:rFonts w:eastAsia="Times New Roman"/>
          <w:noProof/>
          <w:color w:val="000000" w:themeColor="text1"/>
        </w:rPr>
        <w:t xml:space="preserve">his option </w:t>
      </w:r>
      <w:r w:rsidR="007A11CB" w:rsidRPr="00CE2185">
        <w:rPr>
          <w:rFonts w:eastAsia="Times New Roman"/>
          <w:noProof/>
          <w:color w:val="000000" w:themeColor="text1"/>
        </w:rPr>
        <w:t xml:space="preserve">will provide </w:t>
      </w:r>
      <w:r w:rsidR="007A11CB" w:rsidRPr="00CE2185">
        <w:rPr>
          <w:rFonts w:eastAsia="Times New Roman"/>
          <w:b/>
          <w:noProof/>
          <w:color w:val="000000" w:themeColor="text1"/>
        </w:rPr>
        <w:t xml:space="preserve">for </w:t>
      </w:r>
      <w:r w:rsidR="00920BC1" w:rsidRPr="00CE2185">
        <w:rPr>
          <w:rFonts w:eastAsia="Times New Roman"/>
          <w:b/>
          <w:noProof/>
          <w:color w:val="000000" w:themeColor="text1"/>
        </w:rPr>
        <w:t>a</w:t>
      </w:r>
      <w:r w:rsidR="007A11CB" w:rsidRPr="00CE2185">
        <w:rPr>
          <w:rFonts w:eastAsia="Times New Roman"/>
          <w:b/>
          <w:noProof/>
          <w:color w:val="000000" w:themeColor="text1"/>
        </w:rPr>
        <w:t xml:space="preserve"> </w:t>
      </w:r>
      <w:r w:rsidR="72270C80" w:rsidRPr="00CE2185">
        <w:rPr>
          <w:rFonts w:eastAsia="Times New Roman"/>
          <w:b/>
          <w:bCs/>
          <w:noProof/>
          <w:color w:val="000000" w:themeColor="text1"/>
        </w:rPr>
        <w:t xml:space="preserve">new </w:t>
      </w:r>
      <w:r w:rsidR="007A11CB" w:rsidRPr="00CE2185">
        <w:rPr>
          <w:rFonts w:eastAsia="Times New Roman"/>
          <w:b/>
          <w:bCs/>
          <w:noProof/>
          <w:color w:val="000000" w:themeColor="text1"/>
        </w:rPr>
        <w:t>maintenance</w:t>
      </w:r>
      <w:r w:rsidR="00EA39C2" w:rsidRPr="00CE2185">
        <w:rPr>
          <w:rFonts w:eastAsia="Times New Roman"/>
          <w:b/>
          <w:noProof/>
          <w:color w:val="000000" w:themeColor="text1"/>
        </w:rPr>
        <w:t xml:space="preserve"> </w:t>
      </w:r>
      <w:r w:rsidR="00CC588B" w:rsidRPr="00CE2185">
        <w:rPr>
          <w:rFonts w:eastAsia="Times New Roman"/>
          <w:b/>
          <w:bCs/>
          <w:noProof/>
          <w:color w:val="000000" w:themeColor="text1"/>
        </w:rPr>
        <w:t>mechanism</w:t>
      </w:r>
      <w:r w:rsidR="00EA39C2" w:rsidRPr="00CE2185">
        <w:rPr>
          <w:rFonts w:eastAsia="Times New Roman"/>
          <w:b/>
          <w:bCs/>
          <w:noProof/>
          <w:color w:val="000000" w:themeColor="text1"/>
        </w:rPr>
        <w:t xml:space="preserve"> </w:t>
      </w:r>
      <w:r w:rsidR="00EA39C2" w:rsidRPr="00CE2185">
        <w:rPr>
          <w:rFonts w:eastAsia="Times New Roman"/>
          <w:b/>
          <w:noProof/>
          <w:color w:val="000000" w:themeColor="text1"/>
        </w:rPr>
        <w:t>of the schemes</w:t>
      </w:r>
      <w:r w:rsidR="00EA39C2" w:rsidRPr="00CE2185">
        <w:rPr>
          <w:rFonts w:eastAsia="Times New Roman"/>
          <w:noProof/>
          <w:color w:val="000000" w:themeColor="text1"/>
        </w:rPr>
        <w:t xml:space="preserve">, </w:t>
      </w:r>
      <w:r w:rsidR="006670FD" w:rsidRPr="00CE2185">
        <w:rPr>
          <w:rFonts w:eastAsia="Times New Roman"/>
          <w:noProof/>
          <w:color w:val="000000" w:themeColor="text1"/>
        </w:rPr>
        <w:t>after</w:t>
      </w:r>
      <w:r w:rsidR="00EA39C2" w:rsidRPr="00CE2185">
        <w:rPr>
          <w:rFonts w:eastAsia="Times New Roman"/>
          <w:noProof/>
          <w:color w:val="000000" w:themeColor="text1"/>
        </w:rPr>
        <w:t xml:space="preserve"> their adoption</w:t>
      </w:r>
      <w:r w:rsidR="29F55757" w:rsidRPr="00CE2185">
        <w:rPr>
          <w:rFonts w:eastAsia="Times New Roman"/>
          <w:noProof/>
          <w:color w:val="000000" w:themeColor="text1"/>
        </w:rPr>
        <w:t>, to be done by ENISA</w:t>
      </w:r>
      <w:r w:rsidR="00920BC1" w:rsidRPr="00CE2185">
        <w:rPr>
          <w:rFonts w:eastAsia="Times New Roman"/>
          <w:noProof/>
          <w:color w:val="000000" w:themeColor="text1"/>
        </w:rPr>
        <w:t xml:space="preserve">. </w:t>
      </w:r>
      <w:r w:rsidR="71DBAC16" w:rsidRPr="00CE2185">
        <w:rPr>
          <w:rFonts w:eastAsia="Times New Roman"/>
          <w:noProof/>
          <w:color w:val="000000" w:themeColor="text1"/>
        </w:rPr>
        <w:t>It</w:t>
      </w:r>
      <w:r w:rsidR="00662798" w:rsidRPr="00CE2185">
        <w:rPr>
          <w:rFonts w:eastAsia="Times New Roman"/>
          <w:noProof/>
          <w:color w:val="000000" w:themeColor="text1"/>
        </w:rPr>
        <w:t xml:space="preserve"> </w:t>
      </w:r>
      <w:r w:rsidR="00920BC1" w:rsidRPr="00CE2185">
        <w:rPr>
          <w:rFonts w:eastAsia="Times New Roman"/>
          <w:noProof/>
          <w:color w:val="000000" w:themeColor="text1"/>
        </w:rPr>
        <w:t xml:space="preserve">would </w:t>
      </w:r>
      <w:r w:rsidR="00662798" w:rsidRPr="00CE2185">
        <w:rPr>
          <w:rFonts w:eastAsia="Times New Roman"/>
          <w:noProof/>
          <w:color w:val="000000" w:themeColor="text1"/>
        </w:rPr>
        <w:t>leverag</w:t>
      </w:r>
      <w:r w:rsidR="00920BC1" w:rsidRPr="00CE2185">
        <w:rPr>
          <w:rFonts w:eastAsia="Times New Roman"/>
          <w:noProof/>
          <w:color w:val="000000" w:themeColor="text1"/>
        </w:rPr>
        <w:t>e</w:t>
      </w:r>
      <w:r w:rsidR="00662798" w:rsidRPr="00CE2185">
        <w:rPr>
          <w:rFonts w:eastAsia="Times New Roman"/>
          <w:noProof/>
          <w:color w:val="000000" w:themeColor="text1"/>
        </w:rPr>
        <w:t xml:space="preserve"> the</w:t>
      </w:r>
      <w:r w:rsidR="002B3608" w:rsidRPr="00CE2185">
        <w:rPr>
          <w:rFonts w:eastAsia="Times New Roman"/>
          <w:noProof/>
          <w:color w:val="000000" w:themeColor="text1"/>
        </w:rPr>
        <w:t xml:space="preserve"> new tasks </w:t>
      </w:r>
      <w:r w:rsidR="00662798" w:rsidRPr="00CE2185">
        <w:rPr>
          <w:rFonts w:eastAsia="Times New Roman"/>
          <w:noProof/>
          <w:color w:val="000000" w:themeColor="text1"/>
        </w:rPr>
        <w:t xml:space="preserve">of </w:t>
      </w:r>
      <w:r w:rsidR="27A0365B" w:rsidRPr="00CE2185">
        <w:rPr>
          <w:rFonts w:eastAsia="Times New Roman"/>
          <w:noProof/>
          <w:color w:val="000000" w:themeColor="text1"/>
        </w:rPr>
        <w:t>ENISA</w:t>
      </w:r>
      <w:r w:rsidR="002B3608" w:rsidRPr="00CE2185">
        <w:rPr>
          <w:rFonts w:eastAsia="Times New Roman"/>
          <w:noProof/>
          <w:color w:val="000000" w:themeColor="text1"/>
        </w:rPr>
        <w:t xml:space="preserve"> in standardisation under options A.2 and A.3</w:t>
      </w:r>
      <w:r w:rsidR="5B77D9EB" w:rsidRPr="00CE2185">
        <w:rPr>
          <w:rFonts w:eastAsia="Times New Roman"/>
          <w:noProof/>
          <w:color w:val="000000" w:themeColor="text1"/>
        </w:rPr>
        <w:t>.</w:t>
      </w:r>
      <w:r w:rsidR="00EA39C2" w:rsidRPr="00CE2185">
        <w:rPr>
          <w:rFonts w:eastAsia="Times New Roman"/>
          <w:noProof/>
          <w:color w:val="000000" w:themeColor="text1"/>
        </w:rPr>
        <w:t xml:space="preserve"> </w:t>
      </w:r>
      <w:r w:rsidR="00846B5B" w:rsidRPr="00CE2185">
        <w:rPr>
          <w:rFonts w:eastAsia="Times New Roman"/>
          <w:noProof/>
          <w:color w:val="000000" w:themeColor="text1"/>
        </w:rPr>
        <w:t>To this aim,</w:t>
      </w:r>
      <w:r w:rsidR="007A11CB" w:rsidRPr="00CE2185">
        <w:rPr>
          <w:rFonts w:eastAsia="Times New Roman"/>
          <w:noProof/>
          <w:color w:val="000000" w:themeColor="text1"/>
        </w:rPr>
        <w:t xml:space="preserve"> it would</w:t>
      </w:r>
      <w:r w:rsidR="00595280" w:rsidRPr="00CE2185">
        <w:rPr>
          <w:rFonts w:eastAsia="Times New Roman"/>
          <w:noProof/>
          <w:color w:val="000000" w:themeColor="text1"/>
        </w:rPr>
        <w:t>:</w:t>
      </w:r>
    </w:p>
    <w:p w14:paraId="2BAC499E" w14:textId="72FA4348" w:rsidR="00595280" w:rsidRPr="00CE2185" w:rsidRDefault="4239F3C4"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noProof/>
          <w:color w:val="000000" w:themeColor="text1"/>
        </w:rPr>
        <w:t>formalise and detail the procedure for</w:t>
      </w:r>
      <w:r w:rsidR="00016DB3" w:rsidRPr="00CE2185">
        <w:rPr>
          <w:rFonts w:eastAsia="Times New Roman"/>
          <w:noProof/>
          <w:color w:val="000000" w:themeColor="text1"/>
        </w:rPr>
        <w:t xml:space="preserve"> </w:t>
      </w:r>
      <w:r w:rsidR="007A11CB" w:rsidRPr="00CE2185">
        <w:rPr>
          <w:rFonts w:eastAsia="Times New Roman"/>
          <w:noProof/>
          <w:color w:val="000000" w:themeColor="text1"/>
        </w:rPr>
        <w:t xml:space="preserve">the preparation, update and endorsement of technical specifications </w:t>
      </w:r>
      <w:r w:rsidR="002B3608" w:rsidRPr="00CE2185">
        <w:rPr>
          <w:rFonts w:eastAsia="Times New Roman"/>
          <w:noProof/>
          <w:color w:val="000000" w:themeColor="text1"/>
        </w:rPr>
        <w:t>(new for ENISA under options A.2 and A.3)</w:t>
      </w:r>
      <w:r w:rsidR="007A11CB" w:rsidRPr="00CE2185">
        <w:rPr>
          <w:rFonts w:eastAsia="Times New Roman"/>
          <w:noProof/>
          <w:color w:val="000000" w:themeColor="text1"/>
        </w:rPr>
        <w:t xml:space="preserve"> and guidelines, to support the harmonised operation of the schemes</w:t>
      </w:r>
      <w:r w:rsidR="00117C36" w:rsidRPr="00CE2185">
        <w:rPr>
          <w:rFonts w:eastAsia="Times New Roman"/>
          <w:noProof/>
          <w:color w:val="000000" w:themeColor="text1"/>
        </w:rPr>
        <w:t>;</w:t>
      </w:r>
    </w:p>
    <w:p w14:paraId="52122D5D" w14:textId="518DBA9D" w:rsidR="009D2DA9" w:rsidRPr="00CE2185" w:rsidRDefault="00D04C52"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noProof/>
          <w:color w:val="000000" w:themeColor="text1"/>
        </w:rPr>
        <w:t>provide for the mechanism to consult</w:t>
      </w:r>
      <w:r w:rsidR="007A11CB" w:rsidRPr="00CE2185">
        <w:rPr>
          <w:rFonts w:eastAsia="Times New Roman"/>
          <w:noProof/>
          <w:color w:val="000000" w:themeColor="text1"/>
        </w:rPr>
        <w:t xml:space="preserve"> and</w:t>
      </w:r>
      <w:r w:rsidRPr="00CE2185">
        <w:rPr>
          <w:rFonts w:eastAsia="Times New Roman"/>
          <w:noProof/>
          <w:color w:val="000000" w:themeColor="text1"/>
        </w:rPr>
        <w:t xml:space="preserve"> liaise</w:t>
      </w:r>
      <w:r w:rsidR="007A11CB" w:rsidRPr="00CE2185">
        <w:rPr>
          <w:rFonts w:eastAsia="Times New Roman"/>
          <w:noProof/>
          <w:color w:val="000000" w:themeColor="text1"/>
        </w:rPr>
        <w:t xml:space="preserve"> with relevant stakeholders, including for the purpose of receiving technical contributions</w:t>
      </w:r>
      <w:r w:rsidR="007A655D" w:rsidRPr="00CE2185">
        <w:rPr>
          <w:rFonts w:eastAsia="Times New Roman"/>
          <w:noProof/>
          <w:color w:val="000000" w:themeColor="text1"/>
        </w:rPr>
        <w:t xml:space="preserve">, </w:t>
      </w:r>
      <w:r w:rsidR="008659E9" w:rsidRPr="00CE2185">
        <w:rPr>
          <w:rFonts w:eastAsia="Times New Roman"/>
          <w:noProof/>
          <w:color w:val="000000" w:themeColor="text1"/>
        </w:rPr>
        <w:t xml:space="preserve">and </w:t>
      </w:r>
      <w:r w:rsidR="007A655D" w:rsidRPr="00CE2185">
        <w:rPr>
          <w:rFonts w:eastAsia="Times New Roman"/>
          <w:noProof/>
          <w:color w:val="000000" w:themeColor="text1"/>
        </w:rPr>
        <w:t xml:space="preserve">exchange of information related to </w:t>
      </w:r>
      <w:r w:rsidR="00E620A0" w:rsidRPr="00CE2185">
        <w:rPr>
          <w:rFonts w:eastAsia="Times New Roman"/>
          <w:noProof/>
          <w:color w:val="000000" w:themeColor="text1"/>
        </w:rPr>
        <w:t>identify</w:t>
      </w:r>
      <w:r w:rsidR="007A11CB" w:rsidRPr="00CE2185">
        <w:rPr>
          <w:rFonts w:eastAsia="Times New Roman"/>
          <w:noProof/>
          <w:color w:val="000000" w:themeColor="text1"/>
        </w:rPr>
        <w:t xml:space="preserve"> </w:t>
      </w:r>
      <w:r w:rsidR="00E620A0" w:rsidRPr="00CE2185">
        <w:rPr>
          <w:rFonts w:eastAsia="Times New Roman"/>
          <w:noProof/>
          <w:color w:val="000000" w:themeColor="text1"/>
        </w:rPr>
        <w:t xml:space="preserve">where </w:t>
      </w:r>
      <w:r w:rsidR="007A11CB" w:rsidRPr="00CE2185">
        <w:rPr>
          <w:rFonts w:eastAsia="Times New Roman"/>
          <w:noProof/>
          <w:color w:val="000000" w:themeColor="text1"/>
        </w:rPr>
        <w:t xml:space="preserve">updates to the </w:t>
      </w:r>
      <w:r w:rsidR="007A655D" w:rsidRPr="00CE2185">
        <w:rPr>
          <w:rFonts w:eastAsia="Times New Roman"/>
          <w:noProof/>
          <w:color w:val="000000" w:themeColor="text1"/>
        </w:rPr>
        <w:t>schemes</w:t>
      </w:r>
      <w:r w:rsidR="00E620A0" w:rsidRPr="00CE2185">
        <w:rPr>
          <w:rFonts w:eastAsia="Times New Roman"/>
          <w:noProof/>
          <w:color w:val="000000" w:themeColor="text1"/>
        </w:rPr>
        <w:t xml:space="preserve"> are needed</w:t>
      </w:r>
      <w:r w:rsidR="001B4C44" w:rsidRPr="00CE2185">
        <w:rPr>
          <w:rFonts w:eastAsia="Times New Roman"/>
          <w:noProof/>
          <w:color w:val="000000" w:themeColor="text1"/>
        </w:rPr>
        <w:t xml:space="preserve">. </w:t>
      </w:r>
    </w:p>
    <w:p w14:paraId="37C13277" w14:textId="3857AACB" w:rsidR="00FE35F2" w:rsidRPr="00CE2185" w:rsidRDefault="00FE35F2" w:rsidP="00795DF0">
      <w:pPr>
        <w:spacing w:after="120"/>
        <w:rPr>
          <w:rFonts w:eastAsia="Times New Roman"/>
          <w:noProof/>
          <w:color w:val="000000" w:themeColor="text1"/>
        </w:rPr>
      </w:pPr>
      <w:r w:rsidRPr="00CE2185">
        <w:rPr>
          <w:rFonts w:eastAsia="Times New Roman"/>
          <w:noProof/>
          <w:color w:val="000000" w:themeColor="text1"/>
        </w:rPr>
        <w:t xml:space="preserve">This option would </w:t>
      </w:r>
      <w:r w:rsidR="106049D0" w:rsidRPr="00CE2185">
        <w:rPr>
          <w:rFonts w:eastAsia="Times New Roman"/>
          <w:noProof/>
          <w:color w:val="000000" w:themeColor="text1"/>
        </w:rPr>
        <w:t>also</w:t>
      </w:r>
      <w:r w:rsidRPr="00CE2185">
        <w:rPr>
          <w:rFonts w:eastAsia="Times New Roman"/>
          <w:noProof/>
          <w:color w:val="000000" w:themeColor="text1"/>
        </w:rPr>
        <w:t xml:space="preserve"> provide clarification of the scope of the ECCF in terms of risks covered</w:t>
      </w:r>
      <w:r w:rsidR="4EE5ED7F" w:rsidRPr="00CE2185">
        <w:rPr>
          <w:rFonts w:eastAsia="Times New Roman"/>
          <w:noProof/>
          <w:color w:val="000000" w:themeColor="text1"/>
        </w:rPr>
        <w:t>, clarifying</w:t>
      </w:r>
      <w:r w:rsidR="005D13C9" w:rsidRPr="00CE2185">
        <w:rPr>
          <w:rFonts w:eastAsia="Times New Roman"/>
          <w:noProof/>
          <w:color w:val="000000" w:themeColor="text1"/>
        </w:rPr>
        <w:t xml:space="preserve"> covering </w:t>
      </w:r>
      <w:r w:rsidR="005D13C9" w:rsidRPr="00CE2185">
        <w:rPr>
          <w:rFonts w:eastAsia="Times New Roman"/>
          <w:b/>
          <w:noProof/>
          <w:color w:val="000000" w:themeColor="text1"/>
        </w:rPr>
        <w:t>only technical risks</w:t>
      </w:r>
      <w:r w:rsidR="004E5A83" w:rsidRPr="00CE2185">
        <w:rPr>
          <w:rFonts w:eastAsia="Times New Roman"/>
          <w:b/>
          <w:noProof/>
          <w:color w:val="000000" w:themeColor="text1"/>
        </w:rPr>
        <w:t xml:space="preserve"> factors</w:t>
      </w:r>
      <w:r w:rsidR="00D10E17">
        <w:rPr>
          <w:rFonts w:eastAsia="Times New Roman"/>
          <w:b/>
          <w:noProof/>
          <w:color w:val="000000" w:themeColor="text1"/>
        </w:rPr>
        <w:t xml:space="preserve"> </w:t>
      </w:r>
      <w:r w:rsidR="00D10E17" w:rsidRPr="00CE2185">
        <w:rPr>
          <w:rFonts w:eastAsia="Times New Roman"/>
          <w:noProof/>
          <w:color w:val="000000" w:themeColor="text1"/>
        </w:rPr>
        <w:t>(</w:t>
      </w:r>
      <w:r w:rsidR="00D10E17" w:rsidRPr="00CE2185">
        <w:rPr>
          <w:rFonts w:eastAsia="Times New Roman"/>
          <w:i/>
          <w:noProof/>
          <w:color w:val="000000" w:themeColor="text1"/>
        </w:rPr>
        <w:t>this option could be complemented by option D.3, establishing the framework to cover non-technical risk factors and would be inefficient if not combined</w:t>
      </w:r>
      <w:r w:rsidR="00D10E17" w:rsidRPr="00CE2185">
        <w:rPr>
          <w:rFonts w:eastAsia="Times New Roman"/>
          <w:i/>
          <w:iCs/>
          <w:noProof/>
          <w:color w:val="000000" w:themeColor="text1"/>
        </w:rPr>
        <w:t>. The combination of those options does not mean that an entity would need to be certified, not be considered high-risk, see further</w:t>
      </w:r>
      <w:r w:rsidR="00D10E17" w:rsidRPr="00CE2185">
        <w:rPr>
          <w:rFonts w:eastAsia="Times New Roman"/>
          <w:noProof/>
          <w:color w:val="000000" w:themeColor="text1"/>
        </w:rPr>
        <w:t>)</w:t>
      </w:r>
      <w:r w:rsidR="004E5A83" w:rsidRPr="00CE2185">
        <w:rPr>
          <w:rFonts w:eastAsia="Times New Roman"/>
          <w:noProof/>
          <w:color w:val="000000" w:themeColor="text1"/>
        </w:rPr>
        <w:t>.</w:t>
      </w:r>
    </w:p>
    <w:p w14:paraId="7DEC14C7" w14:textId="3A815EEF" w:rsidR="6A29567D" w:rsidRPr="00CE2185" w:rsidRDefault="00FE35F2" w:rsidP="00795DF0">
      <w:pPr>
        <w:spacing w:after="120"/>
        <w:rPr>
          <w:rFonts w:eastAsia="Times New Roman"/>
          <w:noProof/>
          <w:color w:val="000000" w:themeColor="text1"/>
        </w:rPr>
      </w:pPr>
      <w:r w:rsidRPr="00CE2185">
        <w:rPr>
          <w:rFonts w:eastAsia="Times New Roman"/>
          <w:noProof/>
          <w:color w:val="000000" w:themeColor="text1"/>
        </w:rPr>
        <w:t xml:space="preserve">Finally, targeted changes to the ECCF would </w:t>
      </w:r>
      <w:r w:rsidR="004143D1" w:rsidRPr="00CE2185">
        <w:rPr>
          <w:rFonts w:eastAsia="Times New Roman"/>
          <w:noProof/>
          <w:color w:val="000000" w:themeColor="text1"/>
        </w:rPr>
        <w:t xml:space="preserve">be introduced to </w:t>
      </w:r>
      <w:r w:rsidRPr="00CE2185">
        <w:rPr>
          <w:rFonts w:eastAsia="Times New Roman"/>
          <w:noProof/>
          <w:color w:val="000000" w:themeColor="text1"/>
        </w:rPr>
        <w:t>improve its synergy with the CRA</w:t>
      </w:r>
      <w:r w:rsidR="00B72421" w:rsidRPr="00CE2185">
        <w:rPr>
          <w:rFonts w:eastAsia="Times New Roman"/>
          <w:noProof/>
          <w:color w:val="000000" w:themeColor="text1"/>
        </w:rPr>
        <w:t xml:space="preserve"> and NLF</w:t>
      </w:r>
      <w:r w:rsidR="2A777C9A" w:rsidRPr="00CE2185">
        <w:rPr>
          <w:rFonts w:eastAsia="Times New Roman"/>
          <w:noProof/>
          <w:color w:val="000000" w:themeColor="text1"/>
        </w:rPr>
        <w:t xml:space="preserve">, and in particular </w:t>
      </w:r>
      <w:r w:rsidR="064D1B30" w:rsidRPr="00CE2185">
        <w:rPr>
          <w:rFonts w:eastAsia="Times New Roman"/>
          <w:noProof/>
          <w:color w:val="000000" w:themeColor="text1"/>
        </w:rPr>
        <w:t xml:space="preserve">as regards </w:t>
      </w:r>
      <w:r w:rsidR="2A777C9A" w:rsidRPr="00CE2185">
        <w:rPr>
          <w:rFonts w:eastAsia="Times New Roman"/>
          <w:noProof/>
          <w:color w:val="000000" w:themeColor="text1"/>
        </w:rPr>
        <w:t>security objectives</w:t>
      </w:r>
      <w:r w:rsidR="00FB3C9F" w:rsidRPr="00CE2185">
        <w:rPr>
          <w:rFonts w:eastAsia="Times New Roman"/>
          <w:noProof/>
          <w:color w:val="000000" w:themeColor="text1"/>
        </w:rPr>
        <w:t xml:space="preserve"> </w:t>
      </w:r>
      <w:r w:rsidR="66A51E18" w:rsidRPr="00CE2185">
        <w:rPr>
          <w:rFonts w:eastAsia="Times New Roman"/>
          <w:noProof/>
          <w:color w:val="000000" w:themeColor="text1"/>
        </w:rPr>
        <w:t>for</w:t>
      </w:r>
      <w:r w:rsidR="2A40C700" w:rsidRPr="00CE2185">
        <w:rPr>
          <w:rFonts w:eastAsia="Times New Roman"/>
          <w:noProof/>
          <w:color w:val="000000" w:themeColor="text1"/>
        </w:rPr>
        <w:t xml:space="preserve"> product security</w:t>
      </w:r>
      <w:r w:rsidR="00B72421" w:rsidRPr="00CE2185">
        <w:rPr>
          <w:rFonts w:eastAsia="Times New Roman"/>
          <w:noProof/>
          <w:color w:val="000000" w:themeColor="text1"/>
        </w:rPr>
        <w:t xml:space="preserve"> and </w:t>
      </w:r>
      <w:r w:rsidR="00B72421" w:rsidRPr="00CE2185">
        <w:rPr>
          <w:noProof/>
        </w:rPr>
        <w:t>the requirements on conformity assessment bodies</w:t>
      </w:r>
      <w:r w:rsidR="2A40C700" w:rsidRPr="00CE2185">
        <w:rPr>
          <w:rFonts w:eastAsia="Times New Roman"/>
          <w:noProof/>
          <w:color w:val="000000" w:themeColor="text1"/>
        </w:rPr>
        <w:t>.</w:t>
      </w:r>
      <w:r w:rsidR="002514B8" w:rsidRPr="00CE2185">
        <w:rPr>
          <w:rFonts w:eastAsia="Times New Roman"/>
          <w:noProof/>
          <w:color w:val="000000" w:themeColor="text1"/>
        </w:rPr>
        <w:t xml:space="preserve"> This would allow</w:t>
      </w:r>
      <w:r w:rsidRPr="00CE2185">
        <w:rPr>
          <w:rFonts w:eastAsia="Times New Roman"/>
          <w:noProof/>
          <w:color w:val="000000" w:themeColor="text1"/>
        </w:rPr>
        <w:t xml:space="preserve"> that the schemes such as the EUCC and the future EUCS can better facilitate the implementation of the CRA through presumption of conformity.</w:t>
      </w:r>
    </w:p>
    <w:p w14:paraId="38FA029A" w14:textId="02D414E1" w:rsidR="00B90F59" w:rsidRPr="00CE2185" w:rsidRDefault="00B90F59" w:rsidP="00795DF0">
      <w:pPr>
        <w:spacing w:after="120"/>
        <w:rPr>
          <w:rFonts w:eastAsia="Times New Roman"/>
          <w:noProof/>
          <w:color w:val="000000" w:themeColor="text1"/>
        </w:rPr>
      </w:pPr>
      <w:r w:rsidRPr="00CE2185">
        <w:rPr>
          <w:rFonts w:eastAsia="Times New Roman"/>
          <w:noProof/>
          <w:color w:val="000000" w:themeColor="text1"/>
        </w:rPr>
        <w:t xml:space="preserve">Under this option, certification as such remains voluntary as is in the current CSA </w:t>
      </w:r>
      <w:r w:rsidRPr="00CE2185">
        <w:rPr>
          <w:rStyle w:val="FootnoteReference"/>
          <w:rFonts w:eastAsia="Times New Roman"/>
          <w:noProof/>
          <w:color w:val="000000" w:themeColor="text1"/>
        </w:rPr>
        <w:footnoteReference w:id="122"/>
      </w:r>
      <w:r w:rsidRPr="00CE2185">
        <w:rPr>
          <w:rFonts w:eastAsia="Times New Roman"/>
          <w:noProof/>
          <w:color w:val="000000" w:themeColor="text1"/>
        </w:rPr>
        <w:t>.</w:t>
      </w:r>
    </w:p>
    <w:tbl>
      <w:tblPr>
        <w:tblStyle w:val="TableGrid"/>
        <w:tblW w:w="0" w:type="auto"/>
        <w:tblLayout w:type="fixed"/>
        <w:tblLook w:val="06A0" w:firstRow="1" w:lastRow="0" w:firstColumn="1" w:lastColumn="0" w:noHBand="1" w:noVBand="1"/>
      </w:tblPr>
      <w:tblGrid>
        <w:gridCol w:w="9180"/>
      </w:tblGrid>
      <w:tr w:rsidR="00F57D9D" w:rsidRPr="00CE2185" w14:paraId="22C27B9A" w14:textId="77777777" w:rsidTr="00B849C1">
        <w:trPr>
          <w:trHeight w:val="300"/>
        </w:trPr>
        <w:tc>
          <w:tcPr>
            <w:tcW w:w="9180" w:type="dxa"/>
          </w:tcPr>
          <w:p w14:paraId="416A36BB" w14:textId="2D7FC80E"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B.2: </w:t>
            </w:r>
            <w:r w:rsidR="73AEF01D" w:rsidRPr="00CE2185">
              <w:rPr>
                <w:b/>
                <w:bCs/>
                <w:i/>
                <w:iCs/>
                <w:noProof/>
                <w:color w:val="000000" w:themeColor="text1"/>
              </w:rPr>
              <w:t>R</w:t>
            </w:r>
            <w:r w:rsidRPr="00CE2185">
              <w:rPr>
                <w:b/>
                <w:bCs/>
                <w:i/>
                <w:iCs/>
                <w:noProof/>
                <w:color w:val="000000" w:themeColor="text1"/>
              </w:rPr>
              <w:t>eform</w:t>
            </w:r>
            <w:r w:rsidR="00A87094">
              <w:rPr>
                <w:b/>
                <w:bCs/>
                <w:i/>
                <w:iCs/>
                <w:noProof/>
                <w:color w:val="000000" w:themeColor="text1"/>
              </w:rPr>
              <w:t>ing</w:t>
            </w:r>
            <w:r w:rsidRPr="00CE2185">
              <w:rPr>
                <w:b/>
                <w:bCs/>
                <w:i/>
                <w:iCs/>
                <w:noProof/>
                <w:color w:val="000000" w:themeColor="text1"/>
              </w:rPr>
              <w:t xml:space="preserve"> the ECCF</w:t>
            </w:r>
            <w:r w:rsidR="00D60463" w:rsidRPr="00CE2185">
              <w:rPr>
                <w:b/>
                <w:bCs/>
                <w:i/>
                <w:iCs/>
                <w:noProof/>
                <w:color w:val="000000" w:themeColor="text1"/>
              </w:rPr>
              <w:t xml:space="preserve"> by revising </w:t>
            </w:r>
            <w:r w:rsidR="00A87094">
              <w:rPr>
                <w:b/>
                <w:bCs/>
                <w:i/>
                <w:iCs/>
                <w:noProof/>
                <w:color w:val="000000" w:themeColor="text1"/>
              </w:rPr>
              <w:t>its</w:t>
            </w:r>
            <w:r w:rsidR="00A87094" w:rsidRPr="00CE2185">
              <w:rPr>
                <w:b/>
                <w:bCs/>
                <w:i/>
                <w:iCs/>
                <w:noProof/>
                <w:color w:val="000000" w:themeColor="text1"/>
              </w:rPr>
              <w:t xml:space="preserve"> </w:t>
            </w:r>
            <w:r w:rsidR="00D60463" w:rsidRPr="00CE2185">
              <w:rPr>
                <w:b/>
                <w:bCs/>
                <w:i/>
                <w:iCs/>
                <w:noProof/>
                <w:color w:val="000000" w:themeColor="text1"/>
              </w:rPr>
              <w:t>procedure</w:t>
            </w:r>
            <w:r w:rsidR="00A87094">
              <w:rPr>
                <w:b/>
                <w:bCs/>
                <w:i/>
                <w:iCs/>
                <w:noProof/>
                <w:color w:val="000000" w:themeColor="text1"/>
              </w:rPr>
              <w:t>s</w:t>
            </w:r>
            <w:r w:rsidR="007B18BB" w:rsidRPr="00CE2185">
              <w:rPr>
                <w:b/>
                <w:bCs/>
                <w:i/>
                <w:iCs/>
                <w:noProof/>
                <w:color w:val="000000" w:themeColor="text1"/>
              </w:rPr>
              <w:t xml:space="preserve"> and</w:t>
            </w:r>
            <w:r w:rsidR="00D60463" w:rsidRPr="00CE2185">
              <w:rPr>
                <w:b/>
                <w:bCs/>
                <w:i/>
                <w:iCs/>
                <w:noProof/>
                <w:color w:val="000000" w:themeColor="text1"/>
              </w:rPr>
              <w:t xml:space="preserve"> extending the scope</w:t>
            </w:r>
            <w:r w:rsidR="004B33A2" w:rsidRPr="00CE2185">
              <w:rPr>
                <w:b/>
                <w:bCs/>
                <w:i/>
                <w:iCs/>
                <w:noProof/>
                <w:color w:val="000000" w:themeColor="text1"/>
              </w:rPr>
              <w:t xml:space="preserve"> to facilitate</w:t>
            </w:r>
            <w:r w:rsidR="007B18BB" w:rsidRPr="00CE2185">
              <w:rPr>
                <w:b/>
                <w:bCs/>
                <w:i/>
                <w:iCs/>
                <w:noProof/>
                <w:color w:val="000000" w:themeColor="text1"/>
              </w:rPr>
              <w:t xml:space="preserve"> simplification of</w:t>
            </w:r>
            <w:r w:rsidR="004B33A2" w:rsidRPr="00CE2185">
              <w:rPr>
                <w:b/>
                <w:bCs/>
                <w:i/>
                <w:iCs/>
                <w:noProof/>
                <w:color w:val="000000" w:themeColor="text1"/>
              </w:rPr>
              <w:t xml:space="preserve"> regulatory complianc</w:t>
            </w:r>
            <w:r w:rsidR="007B18BB" w:rsidRPr="00CE2185">
              <w:rPr>
                <w:b/>
                <w:bCs/>
                <w:i/>
                <w:iCs/>
                <w:noProof/>
                <w:color w:val="000000" w:themeColor="text1"/>
              </w:rPr>
              <w:t>e</w:t>
            </w:r>
          </w:p>
        </w:tc>
      </w:tr>
    </w:tbl>
    <w:p w14:paraId="67F68918" w14:textId="53E39EEE" w:rsidR="00DD1B7A" w:rsidRPr="00CE2185" w:rsidRDefault="00F57D9D" w:rsidP="00E52793">
      <w:pPr>
        <w:spacing w:before="120" w:after="120"/>
        <w:rPr>
          <w:rFonts w:eastAsia="Times New Roman"/>
          <w:noProof/>
          <w:color w:val="000000" w:themeColor="text1"/>
        </w:rPr>
      </w:pPr>
      <w:r w:rsidRPr="00CE2185">
        <w:rPr>
          <w:rFonts w:eastAsia="Times New Roman"/>
          <w:noProof/>
          <w:color w:val="000000" w:themeColor="text1"/>
        </w:rPr>
        <w:t>In this option</w:t>
      </w:r>
      <w:r w:rsidR="00A97CBE" w:rsidRPr="00CE2185">
        <w:rPr>
          <w:rFonts w:eastAsia="Times New Roman"/>
          <w:noProof/>
          <w:color w:val="000000" w:themeColor="text1"/>
        </w:rPr>
        <w:t>,</w:t>
      </w:r>
      <w:r w:rsidRPr="00CE2185">
        <w:rPr>
          <w:rFonts w:eastAsia="Times New Roman"/>
          <w:noProof/>
          <w:color w:val="000000" w:themeColor="text1"/>
        </w:rPr>
        <w:t xml:space="preserve"> the </w:t>
      </w:r>
      <w:r w:rsidR="00625954" w:rsidRPr="00CE2185">
        <w:rPr>
          <w:rFonts w:eastAsia="Times New Roman"/>
          <w:noProof/>
          <w:color w:val="000000" w:themeColor="text1"/>
        </w:rPr>
        <w:t xml:space="preserve">CSA </w:t>
      </w:r>
      <w:r w:rsidRPr="00CE2185">
        <w:rPr>
          <w:rFonts w:eastAsia="Times New Roman"/>
          <w:noProof/>
          <w:color w:val="000000" w:themeColor="text1"/>
        </w:rPr>
        <w:t>would be repealed and replaced</w:t>
      </w:r>
      <w:r w:rsidR="00625954" w:rsidRPr="00CE2185">
        <w:rPr>
          <w:rFonts w:eastAsia="Times New Roman"/>
          <w:noProof/>
          <w:color w:val="000000" w:themeColor="text1"/>
        </w:rPr>
        <w:t xml:space="preserve"> by a new regulation</w:t>
      </w:r>
      <w:r w:rsidR="00BC0A30" w:rsidRPr="00CE2185">
        <w:rPr>
          <w:rFonts w:eastAsia="Times New Roman"/>
          <w:noProof/>
          <w:color w:val="000000" w:themeColor="text1"/>
        </w:rPr>
        <w:t>. In addition to</w:t>
      </w:r>
      <w:r w:rsidRPr="00CE2185">
        <w:rPr>
          <w:rFonts w:eastAsia="Times New Roman"/>
          <w:noProof/>
          <w:color w:val="000000" w:themeColor="text1"/>
        </w:rPr>
        <w:t xml:space="preserve"> option B.1, a complete </w:t>
      </w:r>
      <w:r w:rsidRPr="00CE2185">
        <w:rPr>
          <w:rFonts w:eastAsia="Times New Roman"/>
          <w:b/>
          <w:bCs/>
          <w:noProof/>
          <w:color w:val="000000" w:themeColor="text1"/>
        </w:rPr>
        <w:t xml:space="preserve">revision of the procedure </w:t>
      </w:r>
      <w:r w:rsidRPr="00CE2185">
        <w:rPr>
          <w:rFonts w:eastAsia="Times New Roman"/>
          <w:noProof/>
          <w:color w:val="000000" w:themeColor="text1"/>
        </w:rPr>
        <w:t xml:space="preserve">related to request, development and adoption of schemes would be introduced to improve accountability and efficiency </w:t>
      </w:r>
      <w:r w:rsidR="00DD1B7A" w:rsidRPr="00CE2185">
        <w:rPr>
          <w:rFonts w:eastAsia="Times New Roman"/>
          <w:noProof/>
          <w:color w:val="000000" w:themeColor="text1"/>
        </w:rPr>
        <w:t>through:</w:t>
      </w:r>
    </w:p>
    <w:p w14:paraId="7794BEED" w14:textId="61F27A3D" w:rsidR="00047F27" w:rsidRPr="00CE2185" w:rsidRDefault="00047F27"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noProof/>
          <w:color w:val="000000" w:themeColor="text1"/>
        </w:rPr>
        <w:t xml:space="preserve">New </w:t>
      </w:r>
      <w:r w:rsidRPr="00CE2185">
        <w:rPr>
          <w:rFonts w:eastAsia="Times New Roman"/>
          <w:b/>
          <w:bCs/>
          <w:noProof/>
          <w:color w:val="000000" w:themeColor="text1"/>
        </w:rPr>
        <w:t>Strategic planning</w:t>
      </w:r>
      <w:r w:rsidRPr="00CE2185">
        <w:rPr>
          <w:rFonts w:eastAsia="Times New Roman"/>
          <w:noProof/>
          <w:color w:val="000000" w:themeColor="text1"/>
        </w:rPr>
        <w:t xml:space="preserve"> with streamlined procedure, </w:t>
      </w:r>
      <w:r w:rsidR="053BA893" w:rsidRPr="00CE2185">
        <w:rPr>
          <w:rFonts w:eastAsia="Times New Roman"/>
          <w:noProof/>
          <w:color w:val="000000" w:themeColor="text1"/>
        </w:rPr>
        <w:t>to</w:t>
      </w:r>
      <w:r w:rsidRPr="00CE2185">
        <w:rPr>
          <w:rFonts w:eastAsia="Times New Roman"/>
          <w:noProof/>
          <w:color w:val="000000" w:themeColor="text1"/>
        </w:rPr>
        <w:t xml:space="preserve"> be regularly updated and published on a new Commission website together with overview of the ongoing work</w:t>
      </w:r>
      <w:r w:rsidR="00E52793" w:rsidRPr="00CE2185">
        <w:rPr>
          <w:rFonts w:eastAsia="Times New Roman"/>
          <w:noProof/>
          <w:color w:val="000000" w:themeColor="text1"/>
        </w:rPr>
        <w:t xml:space="preserve"> and allowing interactions with stakeholders</w:t>
      </w:r>
      <w:r w:rsidRPr="00CE2185">
        <w:rPr>
          <w:rFonts w:eastAsia="Times New Roman"/>
          <w:noProof/>
          <w:color w:val="000000" w:themeColor="text1"/>
        </w:rPr>
        <w:t xml:space="preserve">; </w:t>
      </w:r>
    </w:p>
    <w:p w14:paraId="6A509F16" w14:textId="5530893C" w:rsidR="00B54F41" w:rsidRPr="00CE2185" w:rsidRDefault="00FC63AC"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b/>
          <w:bCs/>
          <w:noProof/>
          <w:color w:val="000000" w:themeColor="text1"/>
        </w:rPr>
        <w:t>D</w:t>
      </w:r>
      <w:r w:rsidR="00047F27" w:rsidRPr="00CE2185">
        <w:rPr>
          <w:rFonts w:eastAsia="Times New Roman"/>
          <w:b/>
          <w:bCs/>
          <w:noProof/>
          <w:color w:val="000000" w:themeColor="text1"/>
        </w:rPr>
        <w:t>etailed</w:t>
      </w:r>
      <w:r w:rsidRPr="00CE2185">
        <w:rPr>
          <w:rFonts w:eastAsia="Times New Roman"/>
          <w:b/>
          <w:bCs/>
          <w:noProof/>
          <w:color w:val="000000" w:themeColor="text1"/>
        </w:rPr>
        <w:t xml:space="preserve"> Commission</w:t>
      </w:r>
      <w:r w:rsidR="00047F27" w:rsidRPr="00CE2185">
        <w:rPr>
          <w:rFonts w:eastAsia="Times New Roman"/>
          <w:b/>
          <w:bCs/>
          <w:noProof/>
          <w:color w:val="000000" w:themeColor="text1"/>
        </w:rPr>
        <w:t xml:space="preserve"> requests for schemes</w:t>
      </w:r>
      <w:r w:rsidR="00047F27" w:rsidRPr="00CE2185">
        <w:rPr>
          <w:rFonts w:eastAsia="Times New Roman"/>
          <w:noProof/>
          <w:color w:val="000000" w:themeColor="text1"/>
        </w:rPr>
        <w:t xml:space="preserve">, which will be informed by </w:t>
      </w:r>
      <w:r w:rsidR="1D9594C9" w:rsidRPr="00CE2185">
        <w:rPr>
          <w:rFonts w:eastAsia="Times New Roman"/>
          <w:noProof/>
          <w:color w:val="000000" w:themeColor="text1"/>
        </w:rPr>
        <w:t>m</w:t>
      </w:r>
      <w:r w:rsidR="00047F27" w:rsidRPr="00CE2185">
        <w:rPr>
          <w:rFonts w:eastAsia="Times New Roman"/>
          <w:noProof/>
          <w:color w:val="000000" w:themeColor="text1"/>
        </w:rPr>
        <w:t xml:space="preserve">arket </w:t>
      </w:r>
      <w:r w:rsidR="53F92D8C" w:rsidRPr="00CE2185">
        <w:rPr>
          <w:rFonts w:eastAsia="Times New Roman"/>
          <w:noProof/>
          <w:color w:val="000000" w:themeColor="text1"/>
        </w:rPr>
        <w:t>s</w:t>
      </w:r>
      <w:r w:rsidR="00047F27" w:rsidRPr="00CE2185">
        <w:rPr>
          <w:rFonts w:eastAsia="Times New Roman"/>
          <w:noProof/>
          <w:color w:val="000000" w:themeColor="text1"/>
        </w:rPr>
        <w:t>tudies to be performed by ENISA, set</w:t>
      </w:r>
      <w:r w:rsidR="33975774" w:rsidRPr="00CE2185">
        <w:rPr>
          <w:rFonts w:eastAsia="Times New Roman"/>
          <w:noProof/>
          <w:color w:val="000000" w:themeColor="text1"/>
        </w:rPr>
        <w:t>ting</w:t>
      </w:r>
      <w:r w:rsidR="00047F27" w:rsidRPr="00CE2185">
        <w:rPr>
          <w:rFonts w:eastAsia="Times New Roman"/>
          <w:noProof/>
          <w:color w:val="000000" w:themeColor="text1"/>
        </w:rPr>
        <w:t xml:space="preserve"> out clear scope of the future scheme, </w:t>
      </w:r>
      <w:r w:rsidR="00047F27" w:rsidRPr="00CE2185">
        <w:rPr>
          <w:rFonts w:eastAsia="Times New Roman"/>
          <w:b/>
          <w:bCs/>
          <w:noProof/>
          <w:color w:val="000000" w:themeColor="text1"/>
        </w:rPr>
        <w:t>development plan and strict timeline</w:t>
      </w:r>
      <w:r w:rsidR="00047F27" w:rsidRPr="00CE2185">
        <w:rPr>
          <w:rFonts w:eastAsia="Times New Roman"/>
          <w:noProof/>
          <w:color w:val="000000" w:themeColor="text1"/>
        </w:rPr>
        <w:t xml:space="preserve"> (expected between </w:t>
      </w:r>
      <w:r w:rsidR="001C7DD7" w:rsidRPr="00CE2185">
        <w:rPr>
          <w:rFonts w:eastAsia="Times New Roman"/>
          <w:noProof/>
          <w:color w:val="000000" w:themeColor="text1"/>
        </w:rPr>
        <w:t>2</w:t>
      </w:r>
      <w:r w:rsidR="00047F27" w:rsidRPr="00CE2185">
        <w:rPr>
          <w:rFonts w:eastAsia="Times New Roman"/>
          <w:noProof/>
          <w:color w:val="000000" w:themeColor="text1"/>
        </w:rPr>
        <w:t>-</w:t>
      </w:r>
      <w:r w:rsidR="001C7DD7" w:rsidRPr="00CE2185">
        <w:rPr>
          <w:rFonts w:eastAsia="Times New Roman"/>
          <w:noProof/>
          <w:color w:val="000000" w:themeColor="text1"/>
        </w:rPr>
        <w:t>2</w:t>
      </w:r>
      <w:r w:rsidR="00047F27" w:rsidRPr="00CE2185">
        <w:rPr>
          <w:rFonts w:eastAsia="Times New Roman"/>
          <w:noProof/>
          <w:color w:val="000000" w:themeColor="text1"/>
        </w:rPr>
        <w:t>.5 years) for delivery</w:t>
      </w:r>
      <w:r w:rsidR="4A321E33" w:rsidRPr="00CE2185">
        <w:rPr>
          <w:rFonts w:eastAsia="Times New Roman"/>
          <w:noProof/>
          <w:color w:val="000000" w:themeColor="text1"/>
        </w:rPr>
        <w:t xml:space="preserve"> of the candidate scheme</w:t>
      </w:r>
      <w:r w:rsidR="00BE5DAE" w:rsidRPr="00CE2185">
        <w:rPr>
          <w:rFonts w:eastAsia="Times New Roman"/>
          <w:noProof/>
          <w:color w:val="000000" w:themeColor="text1"/>
        </w:rPr>
        <w:t xml:space="preserve"> and its </w:t>
      </w:r>
      <w:r w:rsidR="002F547F" w:rsidRPr="00CE2185">
        <w:rPr>
          <w:rFonts w:eastAsia="Times New Roman"/>
          <w:noProof/>
          <w:color w:val="000000" w:themeColor="text1"/>
        </w:rPr>
        <w:t>preparation for adoption by the Commission;</w:t>
      </w:r>
    </w:p>
    <w:p w14:paraId="4D434781" w14:textId="73543E97" w:rsidR="007B635C" w:rsidRPr="00CE2185" w:rsidRDefault="00BA08FF"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noProof/>
          <w:color w:val="000000" w:themeColor="text1"/>
        </w:rPr>
        <w:t>The development</w:t>
      </w:r>
      <w:r w:rsidR="04466A7C" w:rsidRPr="00CE2185">
        <w:rPr>
          <w:rFonts w:eastAsia="Times New Roman"/>
          <w:noProof/>
          <w:color w:val="000000" w:themeColor="text1"/>
        </w:rPr>
        <w:t xml:space="preserve"> of the candidate scheme</w:t>
      </w:r>
      <w:r w:rsidRPr="00CE2185">
        <w:rPr>
          <w:rFonts w:eastAsia="Times New Roman"/>
          <w:noProof/>
          <w:color w:val="000000" w:themeColor="text1"/>
        </w:rPr>
        <w:t xml:space="preserve"> will be fully in hands of ENISA</w:t>
      </w:r>
      <w:r w:rsidR="007B635C" w:rsidRPr="00CE2185">
        <w:rPr>
          <w:rFonts w:eastAsia="Times New Roman"/>
          <w:noProof/>
          <w:color w:val="000000" w:themeColor="text1"/>
        </w:rPr>
        <w:t xml:space="preserve"> (</w:t>
      </w:r>
      <w:r w:rsidR="001E2425" w:rsidRPr="00CE2185">
        <w:rPr>
          <w:rFonts w:eastAsia="Times New Roman"/>
          <w:noProof/>
          <w:color w:val="000000" w:themeColor="text1"/>
        </w:rPr>
        <w:t>i.e.</w:t>
      </w:r>
      <w:r w:rsidR="003552F6" w:rsidRPr="00CE2185">
        <w:rPr>
          <w:rFonts w:eastAsia="Times New Roman"/>
          <w:noProof/>
          <w:color w:val="000000" w:themeColor="text1"/>
        </w:rPr>
        <w:t xml:space="preserve"> </w:t>
      </w:r>
      <w:r w:rsidR="003552F6" w:rsidRPr="00CE2185">
        <w:rPr>
          <w:rFonts w:eastAsia="Times New Roman"/>
          <w:b/>
          <w:noProof/>
          <w:color w:val="000000" w:themeColor="text1"/>
        </w:rPr>
        <w:t>role as a scheme manager</w:t>
      </w:r>
      <w:r w:rsidR="003552F6" w:rsidRPr="00CE2185">
        <w:rPr>
          <w:rFonts w:eastAsia="Times New Roman"/>
          <w:noProof/>
          <w:color w:val="000000" w:themeColor="text1"/>
        </w:rPr>
        <w:t xml:space="preserve"> - </w:t>
      </w:r>
      <w:r w:rsidR="007B635C" w:rsidRPr="00CE2185">
        <w:rPr>
          <w:rFonts w:eastAsia="Times New Roman"/>
          <w:i/>
          <w:noProof/>
          <w:color w:val="000000" w:themeColor="text1"/>
        </w:rPr>
        <w:t>links to options A.2 and A.3</w:t>
      </w:r>
      <w:r w:rsidR="007B635C" w:rsidRPr="00CE2185">
        <w:rPr>
          <w:rFonts w:eastAsia="Times New Roman"/>
          <w:noProof/>
          <w:color w:val="000000" w:themeColor="text1"/>
        </w:rPr>
        <w:t>)</w:t>
      </w:r>
      <w:r w:rsidRPr="00CE2185">
        <w:rPr>
          <w:rFonts w:eastAsia="Times New Roman"/>
          <w:noProof/>
          <w:color w:val="000000" w:themeColor="text1"/>
        </w:rPr>
        <w:t xml:space="preserve">, advised by the ECCG and </w:t>
      </w:r>
      <w:r w:rsidR="001E2425" w:rsidRPr="00CE2185">
        <w:rPr>
          <w:rFonts w:eastAsia="Times New Roman"/>
          <w:noProof/>
          <w:color w:val="000000" w:themeColor="text1"/>
        </w:rPr>
        <w:t>ad hoc working group (</w:t>
      </w:r>
      <w:r w:rsidRPr="00CE2185">
        <w:rPr>
          <w:rFonts w:eastAsia="Times New Roman"/>
          <w:noProof/>
          <w:color w:val="000000" w:themeColor="text1"/>
        </w:rPr>
        <w:t>AHWG</w:t>
      </w:r>
      <w:r w:rsidR="001E2425" w:rsidRPr="00CE2185">
        <w:rPr>
          <w:rFonts w:eastAsia="Times New Roman"/>
          <w:noProof/>
          <w:color w:val="000000" w:themeColor="text1"/>
        </w:rPr>
        <w:t>)</w:t>
      </w:r>
      <w:r w:rsidRPr="00CE2185">
        <w:rPr>
          <w:rFonts w:eastAsia="Times New Roman"/>
          <w:noProof/>
          <w:color w:val="000000" w:themeColor="text1"/>
        </w:rPr>
        <w:t xml:space="preserve">, with a support of the Commission guarding the integrity of the process and </w:t>
      </w:r>
      <w:r w:rsidR="00A31DEA" w:rsidRPr="00CE2185">
        <w:rPr>
          <w:rFonts w:eastAsia="Times New Roman"/>
          <w:noProof/>
          <w:color w:val="000000" w:themeColor="text1"/>
        </w:rPr>
        <w:t xml:space="preserve">deciding on the adoption of the scheme within a clearly defined </w:t>
      </w:r>
      <w:r w:rsidR="007B635C" w:rsidRPr="00CE2185">
        <w:rPr>
          <w:rFonts w:eastAsia="Times New Roman"/>
          <w:noProof/>
          <w:color w:val="000000" w:themeColor="text1"/>
        </w:rPr>
        <w:t>timeframe</w:t>
      </w:r>
      <w:r w:rsidR="002F547F" w:rsidRPr="00CE2185">
        <w:rPr>
          <w:rFonts w:eastAsia="Times New Roman"/>
          <w:noProof/>
          <w:color w:val="000000" w:themeColor="text1"/>
        </w:rPr>
        <w:t>;</w:t>
      </w:r>
    </w:p>
    <w:p w14:paraId="61BC327E" w14:textId="717E914F" w:rsidR="00DD1B7A" w:rsidRPr="00CE2185" w:rsidRDefault="00DD1B7A"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b/>
          <w:noProof/>
          <w:color w:val="000000" w:themeColor="text1"/>
        </w:rPr>
        <w:t>Strengthen</w:t>
      </w:r>
      <w:r w:rsidR="005E6772" w:rsidRPr="00CE2185">
        <w:rPr>
          <w:rFonts w:eastAsia="Times New Roman"/>
          <w:b/>
          <w:bCs/>
          <w:noProof/>
          <w:color w:val="000000" w:themeColor="text1"/>
        </w:rPr>
        <w:t>ed</w:t>
      </w:r>
      <w:r w:rsidRPr="00CE2185">
        <w:rPr>
          <w:rFonts w:eastAsia="Times New Roman"/>
          <w:b/>
          <w:noProof/>
          <w:color w:val="000000" w:themeColor="text1"/>
        </w:rPr>
        <w:t xml:space="preserve"> stakeholder engagement</w:t>
      </w:r>
      <w:r w:rsidRPr="00CE2185">
        <w:rPr>
          <w:rFonts w:eastAsia="Times New Roman"/>
          <w:noProof/>
          <w:color w:val="000000" w:themeColor="text1"/>
        </w:rPr>
        <w:t xml:space="preserve"> across various stages (planning, request, adoption) of the development, streamlined through </w:t>
      </w:r>
      <w:r w:rsidRPr="00CE2185">
        <w:rPr>
          <w:rFonts w:eastAsia="Times New Roman"/>
          <w:b/>
          <w:noProof/>
          <w:color w:val="000000" w:themeColor="text1"/>
        </w:rPr>
        <w:t>public consultation</w:t>
      </w:r>
      <w:r w:rsidRPr="00CE2185">
        <w:rPr>
          <w:rFonts w:eastAsia="Times New Roman"/>
          <w:noProof/>
          <w:color w:val="000000" w:themeColor="text1"/>
        </w:rPr>
        <w:t>;</w:t>
      </w:r>
      <w:r w:rsidR="002F547F" w:rsidRPr="00CE2185">
        <w:rPr>
          <w:rFonts w:eastAsia="Times New Roman"/>
          <w:noProof/>
          <w:color w:val="000000" w:themeColor="text1"/>
        </w:rPr>
        <w:t xml:space="preserve"> and</w:t>
      </w:r>
    </w:p>
    <w:p w14:paraId="4A4E4C59" w14:textId="77777777" w:rsidR="00DD1B7A" w:rsidRPr="00CE2185" w:rsidRDefault="00DD1B7A" w:rsidP="00EE3DF9">
      <w:pPr>
        <w:pStyle w:val="ListParagraph"/>
        <w:numPr>
          <w:ilvl w:val="0"/>
          <w:numId w:val="15"/>
        </w:numPr>
        <w:spacing w:after="120"/>
        <w:ind w:left="425" w:hanging="357"/>
        <w:contextualSpacing w:val="0"/>
        <w:rPr>
          <w:rFonts w:eastAsia="Times New Roman"/>
          <w:noProof/>
          <w:color w:val="000000" w:themeColor="text1"/>
        </w:rPr>
      </w:pPr>
      <w:r w:rsidRPr="00CE2185">
        <w:rPr>
          <w:rFonts w:eastAsia="Times New Roman"/>
          <w:b/>
          <w:noProof/>
          <w:color w:val="000000" w:themeColor="text1"/>
        </w:rPr>
        <w:t>Clarification of the roles of relevant stakeholders</w:t>
      </w:r>
      <w:r w:rsidRPr="00CE2185">
        <w:rPr>
          <w:rFonts w:eastAsia="Times New Roman"/>
          <w:noProof/>
          <w:color w:val="000000" w:themeColor="text1"/>
        </w:rPr>
        <w:t xml:space="preserve"> (EC, ECCG, AHWG and ENISA) in the process resulting in more accountability and ownership in the procedure.</w:t>
      </w:r>
    </w:p>
    <w:p w14:paraId="6367B6EE" w14:textId="6E44FEF9" w:rsidR="00DD1B7A" w:rsidRPr="00CE2185" w:rsidRDefault="00F57D9D" w:rsidP="002945EA">
      <w:pPr>
        <w:spacing w:after="200"/>
        <w:rPr>
          <w:rFonts w:eastAsia="Times New Roman"/>
          <w:noProof/>
          <w:color w:val="000000" w:themeColor="text1"/>
        </w:rPr>
      </w:pPr>
      <w:r w:rsidRPr="00CE2185">
        <w:rPr>
          <w:rFonts w:eastAsia="Times New Roman"/>
          <w:noProof/>
          <w:color w:val="000000" w:themeColor="text1"/>
        </w:rPr>
        <w:t xml:space="preserve"> </w:t>
      </w:r>
      <w:r w:rsidR="009222A4" w:rsidRPr="00CE2185">
        <w:rPr>
          <w:rFonts w:eastAsia="Times New Roman"/>
          <w:noProof/>
          <w:szCs w:val="20"/>
          <w:lang w:eastAsia="en-GB"/>
        </w:rPr>
        <w:drawing>
          <wp:inline distT="0" distB="0" distL="0" distR="0" wp14:anchorId="38280198" wp14:editId="34C6E798">
            <wp:extent cx="5566410" cy="2642669"/>
            <wp:effectExtent l="0" t="0" r="0" b="0"/>
            <wp:docPr id="8850844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84439" name=""/>
                    <pic:cNvPicPr/>
                  </pic:nvPicPr>
                  <pic:blipFill rotWithShape="1">
                    <a:blip r:embed="rId17">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8"/>
                        </a:ext>
                      </a:extLst>
                    </a:blip>
                    <a:srcRect t="15602"/>
                    <a:stretch/>
                  </pic:blipFill>
                  <pic:spPr bwMode="auto">
                    <a:xfrm>
                      <a:off x="0" y="0"/>
                      <a:ext cx="5566410" cy="2642669"/>
                    </a:xfrm>
                    <a:prstGeom prst="rect">
                      <a:avLst/>
                    </a:prstGeom>
                    <a:ln>
                      <a:noFill/>
                    </a:ln>
                    <a:extLst>
                      <a:ext uri="{53640926-AAD7-44D8-BBD7-CCE9431645EC}">
                        <a14:shadowObscured xmlns:a14="http://schemas.microsoft.com/office/drawing/2010/main"/>
                      </a:ext>
                    </a:extLst>
                  </pic:spPr>
                </pic:pic>
              </a:graphicData>
            </a:graphic>
          </wp:inline>
        </w:drawing>
      </w:r>
    </w:p>
    <w:p w14:paraId="3E7C7F93" w14:textId="3C55BAAB" w:rsidR="000C3DC7" w:rsidRPr="00CE2185" w:rsidRDefault="000C3DC7" w:rsidP="7410CB48">
      <w:pPr>
        <w:pStyle w:val="Heading6"/>
        <w:rPr>
          <w:noProof/>
        </w:rPr>
      </w:pPr>
      <w:r w:rsidRPr="00CE2185">
        <w:rPr>
          <w:noProof/>
        </w:rPr>
        <w:t>Figure 3: ECCF revised procedure</w:t>
      </w:r>
    </w:p>
    <w:p w14:paraId="1A0C8A5B" w14:textId="61F0EC20" w:rsidR="00F57D9D" w:rsidRPr="00CE2185" w:rsidRDefault="005E51D8" w:rsidP="00795DF0">
      <w:pPr>
        <w:spacing w:after="120"/>
        <w:rPr>
          <w:rFonts w:eastAsia="Times New Roman"/>
          <w:noProof/>
          <w:color w:val="000000" w:themeColor="text1"/>
        </w:rPr>
      </w:pPr>
      <w:r w:rsidRPr="00CE2185">
        <w:rPr>
          <w:rFonts w:eastAsia="Times New Roman"/>
          <w:noProof/>
          <w:color w:val="000000" w:themeColor="text1"/>
        </w:rPr>
        <w:t>This</w:t>
      </w:r>
      <w:r w:rsidRPr="00CE2185" w:rsidDel="00C2426F">
        <w:rPr>
          <w:rFonts w:eastAsia="Times New Roman"/>
          <w:noProof/>
          <w:color w:val="000000" w:themeColor="text1"/>
        </w:rPr>
        <w:t xml:space="preserve"> </w:t>
      </w:r>
      <w:r w:rsidR="00C2426F" w:rsidRPr="00CE2185">
        <w:rPr>
          <w:rFonts w:eastAsia="Times New Roman"/>
          <w:noProof/>
          <w:color w:val="000000" w:themeColor="text1"/>
        </w:rPr>
        <w:t>option</w:t>
      </w:r>
      <w:r w:rsidRPr="00CE2185">
        <w:rPr>
          <w:rFonts w:eastAsia="Times New Roman"/>
          <w:noProof/>
          <w:color w:val="000000" w:themeColor="text1"/>
        </w:rPr>
        <w:t xml:space="preserve"> would</w:t>
      </w:r>
      <w:r w:rsidR="00F57D9D" w:rsidRPr="00CE2185">
        <w:rPr>
          <w:rFonts w:eastAsia="Times New Roman"/>
          <w:noProof/>
          <w:color w:val="000000" w:themeColor="text1"/>
        </w:rPr>
        <w:t xml:space="preserve"> </w:t>
      </w:r>
      <w:r w:rsidR="008C78DC" w:rsidRPr="00CE2185">
        <w:rPr>
          <w:rFonts w:eastAsia="Times New Roman"/>
          <w:noProof/>
          <w:color w:val="000000" w:themeColor="text1"/>
        </w:rPr>
        <w:t xml:space="preserve">build on </w:t>
      </w:r>
      <w:r w:rsidR="00F76EDF" w:rsidRPr="00CE2185">
        <w:rPr>
          <w:rFonts w:eastAsia="Times New Roman"/>
          <w:noProof/>
          <w:color w:val="000000" w:themeColor="text1"/>
        </w:rPr>
        <w:t xml:space="preserve">the </w:t>
      </w:r>
      <w:r w:rsidR="008C78DC" w:rsidRPr="00CE2185">
        <w:rPr>
          <w:rFonts w:eastAsia="Times New Roman"/>
          <w:noProof/>
          <w:color w:val="000000" w:themeColor="text1"/>
        </w:rPr>
        <w:t>maintenance procedure envisaged in option B.1</w:t>
      </w:r>
      <w:r w:rsidR="003E37C6" w:rsidRPr="00CE2185">
        <w:rPr>
          <w:rFonts w:eastAsia="Times New Roman"/>
          <w:noProof/>
          <w:color w:val="000000" w:themeColor="text1"/>
        </w:rPr>
        <w:t>,</w:t>
      </w:r>
      <w:r w:rsidR="008C78DC" w:rsidRPr="00CE2185">
        <w:rPr>
          <w:rFonts w:eastAsia="Times New Roman"/>
          <w:noProof/>
          <w:color w:val="000000" w:themeColor="text1"/>
        </w:rPr>
        <w:t xml:space="preserve"> by introducing a </w:t>
      </w:r>
      <w:r w:rsidR="007154B3" w:rsidRPr="00CE2185">
        <w:rPr>
          <w:rFonts w:eastAsia="Times New Roman"/>
          <w:noProof/>
          <w:color w:val="000000" w:themeColor="text1"/>
        </w:rPr>
        <w:t>limited possibility to</w:t>
      </w:r>
      <w:r w:rsidR="008C78DC" w:rsidRPr="00CE2185">
        <w:rPr>
          <w:rFonts w:eastAsia="Times New Roman"/>
          <w:noProof/>
          <w:color w:val="000000" w:themeColor="text1"/>
        </w:rPr>
        <w:t xml:space="preserve"> </w:t>
      </w:r>
      <w:r w:rsidR="007154B3" w:rsidRPr="00CE2185">
        <w:rPr>
          <w:rFonts w:eastAsia="Times New Roman"/>
          <w:noProof/>
          <w:color w:val="000000" w:themeColor="text1"/>
        </w:rPr>
        <w:t xml:space="preserve">develop </w:t>
      </w:r>
      <w:r w:rsidR="003E684F" w:rsidRPr="00CE2185">
        <w:rPr>
          <w:rFonts w:eastAsia="Times New Roman"/>
          <w:noProof/>
          <w:color w:val="000000" w:themeColor="text1"/>
        </w:rPr>
        <w:t>minor updates</w:t>
      </w:r>
      <w:r w:rsidR="003E684F" w:rsidRPr="00CE2185">
        <w:rPr>
          <w:rStyle w:val="FootnoteReference"/>
          <w:rFonts w:eastAsia="Times New Roman"/>
          <w:noProof/>
          <w:color w:val="000000" w:themeColor="text1"/>
        </w:rPr>
        <w:footnoteReference w:id="123"/>
      </w:r>
      <w:r w:rsidR="003E684F" w:rsidRPr="00CE2185">
        <w:rPr>
          <w:rFonts w:eastAsia="Times New Roman"/>
          <w:noProof/>
          <w:color w:val="000000" w:themeColor="text1"/>
        </w:rPr>
        <w:t xml:space="preserve"> </w:t>
      </w:r>
      <w:r w:rsidR="00F25907" w:rsidRPr="00CE2185">
        <w:rPr>
          <w:rFonts w:eastAsia="Times New Roman"/>
          <w:noProof/>
          <w:color w:val="000000" w:themeColor="text1"/>
        </w:rPr>
        <w:t>for</w:t>
      </w:r>
      <w:r w:rsidR="003E684F" w:rsidRPr="00CE2185">
        <w:rPr>
          <w:rFonts w:eastAsia="Times New Roman"/>
          <w:noProof/>
          <w:color w:val="000000" w:themeColor="text1"/>
        </w:rPr>
        <w:t xml:space="preserve"> certification schemes in </w:t>
      </w:r>
      <w:r w:rsidR="00F25907" w:rsidRPr="00CE2185">
        <w:rPr>
          <w:rFonts w:eastAsia="Times New Roman"/>
          <w:noProof/>
          <w:color w:val="000000" w:themeColor="text1"/>
        </w:rPr>
        <w:t xml:space="preserve">the </w:t>
      </w:r>
      <w:r w:rsidR="003E684F" w:rsidRPr="00CE2185">
        <w:rPr>
          <w:rFonts w:eastAsia="Times New Roman"/>
          <w:noProof/>
          <w:color w:val="000000" w:themeColor="text1"/>
        </w:rPr>
        <w:t xml:space="preserve">maintenance phase </w:t>
      </w:r>
      <w:r w:rsidR="003E66B9" w:rsidRPr="00CE2185">
        <w:rPr>
          <w:rFonts w:eastAsia="Times New Roman"/>
          <w:noProof/>
          <w:color w:val="000000" w:themeColor="text1"/>
        </w:rPr>
        <w:t xml:space="preserve">without </w:t>
      </w:r>
      <w:r w:rsidR="00F57D9D" w:rsidRPr="00CE2185">
        <w:rPr>
          <w:rFonts w:eastAsia="Times New Roman"/>
          <w:noProof/>
          <w:color w:val="000000" w:themeColor="text1"/>
        </w:rPr>
        <w:t xml:space="preserve">requiring comitology. </w:t>
      </w:r>
    </w:p>
    <w:p w14:paraId="3A15FACF" w14:textId="545D98A7" w:rsidR="006F457C" w:rsidRPr="00CE2185" w:rsidRDefault="00E372F3" w:rsidP="00795DF0">
      <w:pPr>
        <w:spacing w:after="120"/>
        <w:rPr>
          <w:rFonts w:eastAsia="Times New Roman"/>
          <w:noProof/>
          <w:color w:val="000000" w:themeColor="text1"/>
        </w:rPr>
      </w:pPr>
      <w:r w:rsidRPr="00CE2185">
        <w:rPr>
          <w:rFonts w:eastAsia="Times New Roman"/>
          <w:noProof/>
          <w:color w:val="000000" w:themeColor="text1"/>
        </w:rPr>
        <w:t>T</w:t>
      </w:r>
      <w:r w:rsidR="00F57D9D" w:rsidRPr="00CE2185">
        <w:rPr>
          <w:rFonts w:eastAsia="Times New Roman"/>
          <w:noProof/>
          <w:color w:val="000000" w:themeColor="text1"/>
        </w:rPr>
        <w:t xml:space="preserve">he revision would seek to solidify a </w:t>
      </w:r>
      <w:r w:rsidR="00F57D9D" w:rsidRPr="00CE2185">
        <w:rPr>
          <w:rFonts w:eastAsia="Times New Roman"/>
          <w:b/>
          <w:bCs/>
          <w:noProof/>
          <w:color w:val="000000" w:themeColor="text1"/>
        </w:rPr>
        <w:t>synergy between the certification framework and other recent cybersecurity legislation</w:t>
      </w:r>
      <w:r w:rsidR="00F57D9D" w:rsidRPr="00CE2185">
        <w:rPr>
          <w:rFonts w:eastAsia="Times New Roman"/>
          <w:noProof/>
          <w:color w:val="000000" w:themeColor="text1"/>
        </w:rPr>
        <w:t xml:space="preserve">, </w:t>
      </w:r>
      <w:r w:rsidR="00841834" w:rsidRPr="00CE2185">
        <w:rPr>
          <w:rFonts w:eastAsia="Times New Roman"/>
          <w:noProof/>
          <w:color w:val="000000" w:themeColor="text1"/>
        </w:rPr>
        <w:t xml:space="preserve">by adding, in </w:t>
      </w:r>
      <w:r w:rsidR="00C83E93" w:rsidRPr="00CE2185">
        <w:rPr>
          <w:rFonts w:eastAsia="Times New Roman"/>
          <w:noProof/>
          <w:color w:val="000000" w:themeColor="text1"/>
        </w:rPr>
        <w:t>addition</w:t>
      </w:r>
      <w:r w:rsidR="00841834" w:rsidRPr="00CE2185">
        <w:rPr>
          <w:rFonts w:eastAsia="Times New Roman"/>
          <w:noProof/>
          <w:color w:val="000000" w:themeColor="text1"/>
        </w:rPr>
        <w:t xml:space="preserve"> to the alignment with CRA under B1, </w:t>
      </w:r>
      <w:r w:rsidR="00A8350F" w:rsidRPr="00CE2185">
        <w:rPr>
          <w:rFonts w:eastAsia="Times New Roman"/>
          <w:noProof/>
          <w:color w:val="000000" w:themeColor="text1"/>
        </w:rPr>
        <w:t>alignment with requirements related to</w:t>
      </w:r>
      <w:r w:rsidR="00F57D9D" w:rsidRPr="00CE2185">
        <w:rPr>
          <w:rFonts w:eastAsia="Times New Roman"/>
          <w:noProof/>
          <w:color w:val="000000" w:themeColor="text1"/>
        </w:rPr>
        <w:t xml:space="preserve"> organi</w:t>
      </w:r>
      <w:r w:rsidR="00067F9A" w:rsidRPr="00CE2185">
        <w:rPr>
          <w:rFonts w:eastAsia="Times New Roman"/>
          <w:noProof/>
          <w:color w:val="000000" w:themeColor="text1"/>
        </w:rPr>
        <w:t>s</w:t>
      </w:r>
      <w:r w:rsidR="00F57D9D" w:rsidRPr="00CE2185">
        <w:rPr>
          <w:rFonts w:eastAsia="Times New Roman"/>
          <w:noProof/>
          <w:color w:val="000000" w:themeColor="text1"/>
        </w:rPr>
        <w:t>ational security (NIS 2 Directive)</w:t>
      </w:r>
      <w:r w:rsidR="002432DE" w:rsidRPr="00CE2185">
        <w:rPr>
          <w:rFonts w:eastAsia="Times New Roman"/>
          <w:noProof/>
          <w:color w:val="000000" w:themeColor="text1"/>
        </w:rPr>
        <w:t>,</w:t>
      </w:r>
      <w:r w:rsidR="007B377B" w:rsidRPr="00CE2185">
        <w:rPr>
          <w:rFonts w:eastAsia="Times New Roman"/>
          <w:noProof/>
          <w:color w:val="000000" w:themeColor="text1"/>
        </w:rPr>
        <w:t xml:space="preserve"> and support compliance with </w:t>
      </w:r>
      <w:r w:rsidR="00823855" w:rsidRPr="00CE2185">
        <w:rPr>
          <w:rFonts w:eastAsia="Times New Roman"/>
          <w:noProof/>
          <w:color w:val="000000" w:themeColor="text1"/>
        </w:rPr>
        <w:t xml:space="preserve">the relevant </w:t>
      </w:r>
      <w:r w:rsidR="007B377B" w:rsidRPr="00CE2185">
        <w:rPr>
          <w:rFonts w:eastAsia="Times New Roman"/>
          <w:noProof/>
          <w:color w:val="000000" w:themeColor="text1"/>
        </w:rPr>
        <w:t>legislation</w:t>
      </w:r>
      <w:r w:rsidR="00F57D9D" w:rsidRPr="00CE2185">
        <w:rPr>
          <w:rFonts w:eastAsia="Times New Roman"/>
          <w:noProof/>
          <w:color w:val="000000" w:themeColor="text1"/>
        </w:rPr>
        <w:t xml:space="preserve">. </w:t>
      </w:r>
      <w:r w:rsidR="00A538F9" w:rsidRPr="00CE2185">
        <w:rPr>
          <w:rFonts w:eastAsia="Times New Roman"/>
          <w:noProof/>
          <w:color w:val="000000" w:themeColor="text1"/>
        </w:rPr>
        <w:t xml:space="preserve">To this end, this option would extend the </w:t>
      </w:r>
      <w:r w:rsidR="00F57D9D" w:rsidRPr="00CE2185">
        <w:rPr>
          <w:rFonts w:eastAsia="Times New Roman"/>
          <w:noProof/>
          <w:color w:val="000000" w:themeColor="text1"/>
        </w:rPr>
        <w:t xml:space="preserve">scope of the </w:t>
      </w:r>
      <w:r w:rsidR="2FA0EE61" w:rsidRPr="00CE2185">
        <w:rPr>
          <w:rFonts w:eastAsia="Times New Roman"/>
          <w:noProof/>
          <w:color w:val="000000" w:themeColor="text1"/>
        </w:rPr>
        <w:t>ECCF</w:t>
      </w:r>
      <w:r w:rsidR="00F57D9D" w:rsidRPr="00CE2185">
        <w:rPr>
          <w:rFonts w:eastAsia="Times New Roman"/>
          <w:noProof/>
          <w:color w:val="000000" w:themeColor="text1"/>
        </w:rPr>
        <w:t xml:space="preserve"> to cater for </w:t>
      </w:r>
      <w:r w:rsidR="008E72FA" w:rsidRPr="00CE2185">
        <w:rPr>
          <w:rFonts w:eastAsia="Times New Roman"/>
          <w:noProof/>
          <w:color w:val="000000" w:themeColor="text1"/>
        </w:rPr>
        <w:t xml:space="preserve">the </w:t>
      </w:r>
      <w:r w:rsidR="00F57D9D" w:rsidRPr="00CE2185">
        <w:rPr>
          <w:rFonts w:eastAsia="Times New Roman"/>
          <w:b/>
          <w:bCs/>
          <w:noProof/>
          <w:color w:val="000000" w:themeColor="text1"/>
        </w:rPr>
        <w:t>certification of organisation-wide security posture</w:t>
      </w:r>
      <w:r w:rsidR="00AB5CDC" w:rsidRPr="00CE2185">
        <w:rPr>
          <w:rFonts w:eastAsia="Times New Roman"/>
          <w:b/>
          <w:bCs/>
          <w:noProof/>
          <w:color w:val="000000" w:themeColor="text1"/>
        </w:rPr>
        <w:t xml:space="preserve"> </w:t>
      </w:r>
      <w:r w:rsidR="008E72FA" w:rsidRPr="00CE2185">
        <w:rPr>
          <w:rFonts w:eastAsia="Times New Roman"/>
          <w:noProof/>
          <w:color w:val="000000" w:themeColor="text1"/>
        </w:rPr>
        <w:t>(i.e. certification of entities)</w:t>
      </w:r>
      <w:r w:rsidR="008E72FA" w:rsidRPr="00CE2185">
        <w:rPr>
          <w:rFonts w:eastAsia="Times New Roman"/>
          <w:b/>
          <w:bCs/>
          <w:noProof/>
          <w:color w:val="000000" w:themeColor="text1"/>
        </w:rPr>
        <w:t xml:space="preserve"> </w:t>
      </w:r>
      <w:r w:rsidR="00AB5CDC" w:rsidRPr="00CE2185">
        <w:rPr>
          <w:rFonts w:eastAsia="Times New Roman"/>
          <w:noProof/>
          <w:color w:val="000000" w:themeColor="text1"/>
        </w:rPr>
        <w:t>allow</w:t>
      </w:r>
      <w:r w:rsidR="37A1B468" w:rsidRPr="00CE2185">
        <w:rPr>
          <w:rFonts w:eastAsia="Times New Roman"/>
          <w:noProof/>
          <w:color w:val="000000" w:themeColor="text1"/>
        </w:rPr>
        <w:t>ing</w:t>
      </w:r>
      <w:r w:rsidR="00AB5CDC" w:rsidRPr="00CE2185">
        <w:rPr>
          <w:rFonts w:eastAsia="Times New Roman"/>
          <w:noProof/>
          <w:color w:val="000000" w:themeColor="text1"/>
        </w:rPr>
        <w:t xml:space="preserve"> for demonstrating compliance with the cybersecurity requirements laid down by the </w:t>
      </w:r>
      <w:r w:rsidR="029C74B1" w:rsidRPr="00CE2185">
        <w:rPr>
          <w:rFonts w:eastAsia="Times New Roman"/>
          <w:noProof/>
          <w:color w:val="000000" w:themeColor="text1"/>
        </w:rPr>
        <w:t xml:space="preserve">NIS 2 </w:t>
      </w:r>
      <w:r w:rsidR="00AB5CDC" w:rsidRPr="00CE2185">
        <w:rPr>
          <w:rFonts w:eastAsia="Times New Roman"/>
          <w:noProof/>
          <w:color w:val="000000" w:themeColor="text1"/>
        </w:rPr>
        <w:t>Directive – links with option C2</w:t>
      </w:r>
      <w:r w:rsidR="008E72FA" w:rsidRPr="00CE2185">
        <w:rPr>
          <w:rFonts w:eastAsia="Times New Roman"/>
          <w:noProof/>
          <w:color w:val="000000" w:themeColor="text1"/>
        </w:rPr>
        <w:t xml:space="preserve"> and C3</w:t>
      </w:r>
      <w:r w:rsidR="00AB5CDC" w:rsidRPr="00CE2185">
        <w:rPr>
          <w:rFonts w:eastAsia="Times New Roman"/>
          <w:noProof/>
          <w:color w:val="000000" w:themeColor="text1"/>
        </w:rPr>
        <w:t>)</w:t>
      </w:r>
      <w:r w:rsidR="00F57D9D" w:rsidRPr="00CE2185">
        <w:rPr>
          <w:rFonts w:eastAsia="Times New Roman"/>
          <w:noProof/>
          <w:color w:val="000000" w:themeColor="text1"/>
        </w:rPr>
        <w:t xml:space="preserve">.  </w:t>
      </w:r>
    </w:p>
    <w:p w14:paraId="6E848DB2" w14:textId="3FC7C3BF" w:rsidR="462785E2" w:rsidRPr="00CE2185" w:rsidRDefault="00BE789D" w:rsidP="00795DF0">
      <w:pPr>
        <w:spacing w:after="120"/>
        <w:rPr>
          <w:rFonts w:eastAsia="Times New Roman"/>
          <w:noProof/>
          <w:color w:val="000000" w:themeColor="text1"/>
        </w:rPr>
      </w:pPr>
      <w:r w:rsidRPr="00CE2185">
        <w:rPr>
          <w:rFonts w:eastAsia="Times New Roman"/>
          <w:noProof/>
          <w:color w:val="000000" w:themeColor="text1"/>
        </w:rPr>
        <w:t>As in option B1, also u</w:t>
      </w:r>
      <w:r w:rsidR="00A52757" w:rsidRPr="00CE2185">
        <w:rPr>
          <w:rFonts w:eastAsia="Times New Roman"/>
          <w:noProof/>
          <w:color w:val="000000" w:themeColor="text1"/>
        </w:rPr>
        <w:t>nder this option certification remains voluntary</w:t>
      </w:r>
      <w:r w:rsidR="00542669" w:rsidRPr="00CE2185">
        <w:rPr>
          <w:rFonts w:eastAsia="Times New Roman"/>
          <w:noProof/>
          <w:color w:val="000000" w:themeColor="text1"/>
        </w:rPr>
        <w:t>, unless explicitly provided otherwise in other acts</w:t>
      </w:r>
      <w:r w:rsidR="00E41441" w:rsidRPr="00CE2185">
        <w:rPr>
          <w:rFonts w:eastAsia="Times New Roman"/>
          <w:noProof/>
          <w:color w:val="000000" w:themeColor="text1"/>
        </w:rPr>
        <w:t xml:space="preserve"> for specific use cases</w:t>
      </w:r>
      <w:r w:rsidR="00F57D9D" w:rsidRPr="00CE2185">
        <w:rPr>
          <w:rFonts w:eastAsia="Times New Roman"/>
          <w:noProof/>
          <w:color w:val="000000" w:themeColor="text1"/>
        </w:rPr>
        <w:t>.</w:t>
      </w:r>
    </w:p>
    <w:tbl>
      <w:tblPr>
        <w:tblStyle w:val="TableGrid"/>
        <w:tblW w:w="0" w:type="auto"/>
        <w:tblLayout w:type="fixed"/>
        <w:tblLook w:val="06A0" w:firstRow="1" w:lastRow="0" w:firstColumn="1" w:lastColumn="0" w:noHBand="1" w:noVBand="1"/>
      </w:tblPr>
      <w:tblGrid>
        <w:gridCol w:w="9180"/>
      </w:tblGrid>
      <w:tr w:rsidR="00F57D9D" w:rsidRPr="00CE2185" w14:paraId="2D3F41B9" w14:textId="77777777" w:rsidTr="00B849C1">
        <w:trPr>
          <w:trHeight w:val="300"/>
        </w:trPr>
        <w:tc>
          <w:tcPr>
            <w:tcW w:w="9180" w:type="dxa"/>
          </w:tcPr>
          <w:p w14:paraId="08C94A97" w14:textId="5EBFD7E5"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B.3: </w:t>
            </w:r>
            <w:r w:rsidRPr="00CE2185">
              <w:rPr>
                <w:b/>
                <w:i/>
                <w:noProof/>
                <w:color w:val="000000" w:themeColor="text1"/>
              </w:rPr>
              <w:t>Reform</w:t>
            </w:r>
            <w:r w:rsidR="004770E3">
              <w:rPr>
                <w:b/>
                <w:i/>
                <w:noProof/>
                <w:color w:val="000000" w:themeColor="text1"/>
              </w:rPr>
              <w:t>ing</w:t>
            </w:r>
            <w:r w:rsidRPr="00CE2185">
              <w:rPr>
                <w:b/>
                <w:i/>
                <w:noProof/>
                <w:color w:val="000000" w:themeColor="text1"/>
              </w:rPr>
              <w:t xml:space="preserve"> the ECCF </w:t>
            </w:r>
            <w:r w:rsidR="004202A9" w:rsidRPr="00CE2185">
              <w:rPr>
                <w:b/>
                <w:i/>
                <w:noProof/>
                <w:color w:val="000000" w:themeColor="text1"/>
              </w:rPr>
              <w:t xml:space="preserve">as envisaged under option B.2 </w:t>
            </w:r>
            <w:r w:rsidRPr="00CE2185">
              <w:rPr>
                <w:b/>
                <w:i/>
                <w:noProof/>
                <w:color w:val="000000" w:themeColor="text1"/>
              </w:rPr>
              <w:t>and introduc</w:t>
            </w:r>
            <w:r w:rsidR="00A97BB6" w:rsidRPr="00CE2185">
              <w:rPr>
                <w:b/>
                <w:i/>
                <w:noProof/>
                <w:color w:val="000000" w:themeColor="text1"/>
              </w:rPr>
              <w:t>e</w:t>
            </w:r>
            <w:r w:rsidRPr="00CE2185">
              <w:rPr>
                <w:b/>
                <w:i/>
                <w:noProof/>
                <w:color w:val="000000" w:themeColor="text1"/>
              </w:rPr>
              <w:t xml:space="preserve"> mandatory certification</w:t>
            </w:r>
            <w:r w:rsidR="00D777A4" w:rsidRPr="00CE2185">
              <w:rPr>
                <w:b/>
                <w:i/>
                <w:noProof/>
                <w:color w:val="000000" w:themeColor="text1"/>
              </w:rPr>
              <w:t xml:space="preserve"> for cyber posture</w:t>
            </w:r>
          </w:p>
        </w:tc>
      </w:tr>
    </w:tbl>
    <w:p w14:paraId="5A3CDD8A" w14:textId="3A6EC994" w:rsidR="00126342" w:rsidRPr="00CE2185" w:rsidRDefault="00F57D9D" w:rsidP="00DA6AB2">
      <w:pPr>
        <w:spacing w:before="120" w:after="120"/>
        <w:rPr>
          <w:rFonts w:eastAsia="Times New Roman"/>
          <w:b/>
          <w:bCs/>
          <w:noProof/>
          <w:color w:val="000000" w:themeColor="text1"/>
        </w:rPr>
      </w:pPr>
      <w:r w:rsidRPr="00CE2185">
        <w:rPr>
          <w:rFonts w:eastAsia="Times New Roman"/>
          <w:noProof/>
          <w:color w:val="000000" w:themeColor="text1"/>
        </w:rPr>
        <w:t xml:space="preserve">This option </w:t>
      </w:r>
      <w:r w:rsidR="00F30815" w:rsidRPr="00CE2185">
        <w:rPr>
          <w:rFonts w:eastAsia="Times New Roman"/>
          <w:noProof/>
          <w:color w:val="000000" w:themeColor="text1"/>
        </w:rPr>
        <w:t xml:space="preserve">would build on option B.2, but </w:t>
      </w:r>
      <w:r w:rsidR="00BE3E0F" w:rsidRPr="00CE2185">
        <w:rPr>
          <w:rFonts w:eastAsia="Times New Roman"/>
          <w:noProof/>
          <w:color w:val="000000" w:themeColor="text1"/>
        </w:rPr>
        <w:t>aims a</w:t>
      </w:r>
      <w:r w:rsidR="008C4549" w:rsidRPr="00CE2185">
        <w:rPr>
          <w:rFonts w:eastAsia="Times New Roman"/>
          <w:noProof/>
          <w:color w:val="000000" w:themeColor="text1"/>
        </w:rPr>
        <w:t xml:space="preserve">t further strengthening </w:t>
      </w:r>
      <w:r w:rsidR="00A603C7" w:rsidRPr="00CE2185">
        <w:rPr>
          <w:rFonts w:eastAsia="Times New Roman"/>
          <w:noProof/>
          <w:color w:val="000000" w:themeColor="text1"/>
        </w:rPr>
        <w:t xml:space="preserve">the impact of the framework by introducing </w:t>
      </w:r>
      <w:r w:rsidR="00A603C7" w:rsidRPr="00CE2185">
        <w:rPr>
          <w:rFonts w:eastAsia="Times New Roman"/>
          <w:b/>
          <w:bCs/>
          <w:noProof/>
          <w:color w:val="000000" w:themeColor="text1"/>
        </w:rPr>
        <w:t xml:space="preserve">mandatory certification </w:t>
      </w:r>
      <w:r w:rsidR="007528B7" w:rsidRPr="00CE2185">
        <w:rPr>
          <w:rFonts w:eastAsia="Times New Roman"/>
          <w:b/>
          <w:bCs/>
          <w:noProof/>
          <w:color w:val="000000" w:themeColor="text1"/>
        </w:rPr>
        <w:t>of essential entities</w:t>
      </w:r>
      <w:r w:rsidR="00A603C7" w:rsidRPr="00CE2185">
        <w:rPr>
          <w:rFonts w:eastAsia="Times New Roman"/>
          <w:b/>
          <w:bCs/>
          <w:noProof/>
          <w:color w:val="000000" w:themeColor="text1"/>
        </w:rPr>
        <w:t xml:space="preserve"> </w:t>
      </w:r>
      <w:r w:rsidR="009D7A53" w:rsidRPr="00CE2185">
        <w:rPr>
          <w:rFonts w:eastAsia="Times New Roman"/>
          <w:b/>
          <w:bCs/>
          <w:noProof/>
          <w:color w:val="000000" w:themeColor="text1"/>
        </w:rPr>
        <w:t xml:space="preserve">considering </w:t>
      </w:r>
      <w:r w:rsidR="00A603C7" w:rsidRPr="00CE2185">
        <w:rPr>
          <w:rFonts w:eastAsia="Times New Roman"/>
          <w:b/>
          <w:bCs/>
          <w:noProof/>
          <w:color w:val="000000" w:themeColor="text1"/>
        </w:rPr>
        <w:t xml:space="preserve">specific </w:t>
      </w:r>
      <w:r w:rsidR="00F8038C" w:rsidRPr="00CE2185">
        <w:rPr>
          <w:rFonts w:eastAsia="Times New Roman"/>
          <w:b/>
          <w:bCs/>
          <w:noProof/>
          <w:color w:val="000000" w:themeColor="text1"/>
        </w:rPr>
        <w:t xml:space="preserve">risk </w:t>
      </w:r>
      <w:r w:rsidR="0092057C" w:rsidRPr="00CE2185">
        <w:rPr>
          <w:rFonts w:eastAsia="Times New Roman"/>
          <w:b/>
          <w:bCs/>
          <w:noProof/>
          <w:color w:val="000000" w:themeColor="text1"/>
        </w:rPr>
        <w:t>scenario</w:t>
      </w:r>
      <w:r w:rsidR="00E92D7B" w:rsidRPr="00CE2185">
        <w:rPr>
          <w:rFonts w:eastAsia="Times New Roman"/>
          <w:b/>
          <w:bCs/>
          <w:noProof/>
          <w:color w:val="000000" w:themeColor="text1"/>
        </w:rPr>
        <w:t>s</w:t>
      </w:r>
      <w:r w:rsidR="00A45DC8" w:rsidRPr="00CE2185">
        <w:rPr>
          <w:rFonts w:eastAsia="Times New Roman"/>
          <w:noProof/>
          <w:color w:val="000000" w:themeColor="text1"/>
        </w:rPr>
        <w:t xml:space="preserve">, </w:t>
      </w:r>
      <w:r w:rsidR="002E6EE0" w:rsidRPr="00CE2185">
        <w:rPr>
          <w:rFonts w:eastAsia="Times New Roman"/>
          <w:noProof/>
          <w:color w:val="000000" w:themeColor="text1"/>
        </w:rPr>
        <w:t>instead</w:t>
      </w:r>
      <w:r w:rsidR="00A45DC8" w:rsidRPr="00CE2185">
        <w:rPr>
          <w:rFonts w:eastAsia="Times New Roman"/>
          <w:noProof/>
          <w:color w:val="000000" w:themeColor="text1"/>
        </w:rPr>
        <w:t xml:space="preserve"> of relying solely on voluntary certification of entities. </w:t>
      </w:r>
      <w:r w:rsidR="00953DEE" w:rsidRPr="00CE2185">
        <w:rPr>
          <w:rFonts w:eastAsia="Times New Roman"/>
          <w:noProof/>
          <w:color w:val="000000" w:themeColor="text1"/>
        </w:rPr>
        <w:t xml:space="preserve"> </w:t>
      </w:r>
      <w:r w:rsidR="00082F91" w:rsidRPr="00CE2185">
        <w:rPr>
          <w:rFonts w:eastAsia="Times New Roman"/>
          <w:b/>
          <w:bCs/>
          <w:noProof/>
          <w:color w:val="000000" w:themeColor="text1"/>
        </w:rPr>
        <w:t xml:space="preserve"> </w:t>
      </w:r>
    </w:p>
    <w:p w14:paraId="69DF6C64" w14:textId="115493C1" w:rsidR="005160A5" w:rsidRPr="00CE2185" w:rsidRDefault="00D153D4" w:rsidP="00795DF0">
      <w:pPr>
        <w:spacing w:after="120"/>
        <w:rPr>
          <w:rFonts w:eastAsia="Times New Roman"/>
          <w:noProof/>
          <w:color w:val="000000" w:themeColor="text1"/>
        </w:rPr>
      </w:pPr>
      <w:r w:rsidRPr="00CE2185">
        <w:rPr>
          <w:rFonts w:eastAsia="Times New Roman"/>
          <w:noProof/>
          <w:color w:val="000000" w:themeColor="text1"/>
        </w:rPr>
        <w:t>Specifically, t</w:t>
      </w:r>
      <w:r w:rsidR="003409C1" w:rsidRPr="00CE2185">
        <w:rPr>
          <w:rFonts w:eastAsia="Times New Roman"/>
          <w:noProof/>
          <w:color w:val="000000" w:themeColor="text1"/>
        </w:rPr>
        <w:t xml:space="preserve">he revision of the CSA would </w:t>
      </w:r>
      <w:r w:rsidR="1026E7EA" w:rsidRPr="00CE2185">
        <w:rPr>
          <w:rFonts w:eastAsia="Times New Roman"/>
          <w:noProof/>
          <w:color w:val="000000" w:themeColor="text1"/>
        </w:rPr>
        <w:t>provide</w:t>
      </w:r>
      <w:r w:rsidR="1B6ECE04" w:rsidRPr="00CE2185">
        <w:rPr>
          <w:rFonts w:eastAsia="Times New Roman"/>
          <w:noProof/>
          <w:color w:val="000000" w:themeColor="text1"/>
        </w:rPr>
        <w:t xml:space="preserve"> legal basis for the Commission to </w:t>
      </w:r>
      <w:r w:rsidR="1B6ECE04" w:rsidRPr="00CE2185">
        <w:rPr>
          <w:rFonts w:eastAsia="Times New Roman"/>
          <w:b/>
          <w:bCs/>
          <w:noProof/>
          <w:color w:val="000000" w:themeColor="text1"/>
        </w:rPr>
        <w:t>mandate</w:t>
      </w:r>
      <w:r w:rsidR="008C4549" w:rsidRPr="00CE2185" w:rsidDel="003F3D90">
        <w:rPr>
          <w:rFonts w:eastAsia="Times New Roman"/>
          <w:b/>
          <w:noProof/>
          <w:color w:val="000000" w:themeColor="text1"/>
        </w:rPr>
        <w:t xml:space="preserve"> </w:t>
      </w:r>
      <w:r w:rsidR="006C7AD4" w:rsidRPr="00CE2185">
        <w:rPr>
          <w:rFonts w:eastAsia="Times New Roman"/>
          <w:b/>
          <w:noProof/>
          <w:color w:val="000000" w:themeColor="text1"/>
        </w:rPr>
        <w:t xml:space="preserve">the future </w:t>
      </w:r>
      <w:r w:rsidR="07ED9CE9" w:rsidRPr="00CE2185">
        <w:rPr>
          <w:rFonts w:eastAsia="Times New Roman"/>
          <w:b/>
          <w:noProof/>
          <w:color w:val="000000" w:themeColor="text1"/>
        </w:rPr>
        <w:t xml:space="preserve">certification of </w:t>
      </w:r>
      <w:r w:rsidR="006C7AD4" w:rsidRPr="00CE2185">
        <w:rPr>
          <w:rFonts w:eastAsia="Times New Roman"/>
          <w:b/>
          <w:noProof/>
          <w:color w:val="000000" w:themeColor="text1"/>
        </w:rPr>
        <w:t xml:space="preserve">organisation-wide </w:t>
      </w:r>
      <w:r w:rsidR="770FC3DB" w:rsidRPr="00CE2185">
        <w:rPr>
          <w:rFonts w:eastAsia="Times New Roman"/>
          <w:b/>
          <w:noProof/>
          <w:color w:val="000000" w:themeColor="text1"/>
        </w:rPr>
        <w:t>cyber</w:t>
      </w:r>
      <w:r w:rsidR="006C7AD4" w:rsidRPr="00CE2185">
        <w:rPr>
          <w:rFonts w:eastAsia="Times New Roman"/>
          <w:b/>
          <w:noProof/>
          <w:color w:val="000000" w:themeColor="text1"/>
        </w:rPr>
        <w:t xml:space="preserve"> posture</w:t>
      </w:r>
      <w:r w:rsidR="003F3D90" w:rsidRPr="00CE2185">
        <w:rPr>
          <w:rFonts w:eastAsia="Times New Roman"/>
          <w:b/>
          <w:noProof/>
          <w:color w:val="000000" w:themeColor="text1"/>
        </w:rPr>
        <w:t xml:space="preserve"> </w:t>
      </w:r>
      <w:r w:rsidR="00953DEE" w:rsidRPr="00CE2185">
        <w:rPr>
          <w:rFonts w:eastAsia="Times New Roman"/>
          <w:b/>
          <w:noProof/>
          <w:color w:val="000000" w:themeColor="text1"/>
        </w:rPr>
        <w:t>for</w:t>
      </w:r>
      <w:r w:rsidR="4ADC855A" w:rsidRPr="00CE2185">
        <w:rPr>
          <w:rFonts w:eastAsia="Times New Roman"/>
          <w:b/>
          <w:noProof/>
          <w:color w:val="000000" w:themeColor="text1"/>
        </w:rPr>
        <w:t xml:space="preserve"> </w:t>
      </w:r>
      <w:r w:rsidR="00A31CEA" w:rsidRPr="00CE2185">
        <w:rPr>
          <w:rFonts w:eastAsia="Times New Roman"/>
          <w:b/>
          <w:noProof/>
          <w:color w:val="000000" w:themeColor="text1"/>
        </w:rPr>
        <w:t xml:space="preserve">the targeted scope of </w:t>
      </w:r>
      <w:r w:rsidR="00540E05" w:rsidRPr="00CE2185">
        <w:rPr>
          <w:rFonts w:eastAsia="Times New Roman"/>
          <w:b/>
          <w:noProof/>
          <w:color w:val="000000" w:themeColor="text1"/>
        </w:rPr>
        <w:t>all or certain</w:t>
      </w:r>
      <w:r w:rsidR="4ADC855A" w:rsidRPr="00CE2185">
        <w:rPr>
          <w:rFonts w:eastAsia="Times New Roman"/>
          <w:b/>
          <w:noProof/>
          <w:color w:val="000000" w:themeColor="text1"/>
        </w:rPr>
        <w:t xml:space="preserve"> essential entities</w:t>
      </w:r>
      <w:r w:rsidR="4ADC855A" w:rsidRPr="00CE2185">
        <w:rPr>
          <w:rFonts w:eastAsia="Times New Roman"/>
          <w:noProof/>
          <w:color w:val="000000" w:themeColor="text1"/>
        </w:rPr>
        <w:t xml:space="preserve"> </w:t>
      </w:r>
      <w:r w:rsidR="00953DEE" w:rsidRPr="00CE2185">
        <w:rPr>
          <w:rFonts w:eastAsia="Times New Roman"/>
          <w:noProof/>
          <w:color w:val="000000" w:themeColor="text1"/>
        </w:rPr>
        <w:t>listed in Annex I of the NIS2 Directive</w:t>
      </w:r>
      <w:r w:rsidR="003F3D90" w:rsidRPr="00CE2185">
        <w:rPr>
          <w:rFonts w:eastAsia="Times New Roman"/>
          <w:noProof/>
          <w:color w:val="000000" w:themeColor="text1"/>
        </w:rPr>
        <w:t>.</w:t>
      </w:r>
      <w:r w:rsidR="00DD17D9" w:rsidRPr="00CE2185">
        <w:rPr>
          <w:rFonts w:eastAsia="Times New Roman"/>
          <w:noProof/>
          <w:color w:val="000000" w:themeColor="text1"/>
        </w:rPr>
        <w:t xml:space="preserve"> </w:t>
      </w:r>
      <w:r w:rsidR="00540E05" w:rsidRPr="00CE2185">
        <w:rPr>
          <w:rFonts w:eastAsia="Times New Roman"/>
          <w:noProof/>
          <w:color w:val="000000" w:themeColor="text1"/>
        </w:rPr>
        <w:t>Such designated essential</w:t>
      </w:r>
      <w:r w:rsidR="001D487A" w:rsidRPr="00CE2185">
        <w:rPr>
          <w:rFonts w:eastAsia="Times New Roman"/>
          <w:noProof/>
          <w:color w:val="000000" w:themeColor="text1"/>
        </w:rPr>
        <w:t xml:space="preserve"> entities</w:t>
      </w:r>
      <w:r w:rsidR="00540E05" w:rsidRPr="00CE2185">
        <w:rPr>
          <w:rFonts w:eastAsia="Times New Roman"/>
          <w:noProof/>
          <w:color w:val="000000" w:themeColor="text1"/>
        </w:rPr>
        <w:t xml:space="preserve">, due to their </w:t>
      </w:r>
      <w:r w:rsidR="00D341A6" w:rsidRPr="00CE2185">
        <w:rPr>
          <w:rFonts w:eastAsia="Times New Roman"/>
          <w:noProof/>
          <w:color w:val="000000" w:themeColor="text1"/>
        </w:rPr>
        <w:t>critical role for cyber resilience of the economy and society would be mandated to demonstrate that the</w:t>
      </w:r>
      <w:r w:rsidR="00F747DE" w:rsidRPr="00CE2185">
        <w:rPr>
          <w:rFonts w:eastAsia="Times New Roman"/>
          <w:noProof/>
          <w:color w:val="000000" w:themeColor="text1"/>
        </w:rPr>
        <w:t>y</w:t>
      </w:r>
      <w:r w:rsidR="00D341A6" w:rsidRPr="00CE2185">
        <w:rPr>
          <w:rFonts w:eastAsia="Times New Roman"/>
          <w:noProof/>
          <w:color w:val="000000" w:themeColor="text1"/>
        </w:rPr>
        <w:t xml:space="preserve"> meet </w:t>
      </w:r>
      <w:r w:rsidR="00A31CEA" w:rsidRPr="00CE2185">
        <w:rPr>
          <w:rFonts w:eastAsia="Times New Roman"/>
          <w:noProof/>
          <w:color w:val="000000" w:themeColor="text1"/>
        </w:rPr>
        <w:t xml:space="preserve">adequate organisational cybersecurity measures (i.e. </w:t>
      </w:r>
      <w:r w:rsidR="00D341A6" w:rsidRPr="00CE2185">
        <w:rPr>
          <w:rFonts w:eastAsia="Times New Roman"/>
          <w:noProof/>
          <w:color w:val="000000" w:themeColor="text1"/>
        </w:rPr>
        <w:t>requirements of the NIS2 Directive</w:t>
      </w:r>
      <w:r w:rsidR="00A31CEA" w:rsidRPr="00CE2185">
        <w:rPr>
          <w:rFonts w:eastAsia="Times New Roman"/>
          <w:noProof/>
          <w:color w:val="000000" w:themeColor="text1"/>
        </w:rPr>
        <w:t>)</w:t>
      </w:r>
      <w:r w:rsidR="00D341A6" w:rsidRPr="00CE2185">
        <w:rPr>
          <w:rFonts w:eastAsia="Times New Roman"/>
          <w:noProof/>
          <w:color w:val="000000" w:themeColor="text1"/>
        </w:rPr>
        <w:t xml:space="preserve"> through cybersecurity certification</w:t>
      </w:r>
      <w:r w:rsidR="00A45DC8" w:rsidRPr="00CE2185">
        <w:rPr>
          <w:rFonts w:eastAsia="Times New Roman"/>
          <w:noProof/>
          <w:color w:val="000000" w:themeColor="text1"/>
        </w:rPr>
        <w:t xml:space="preserve"> (</w:t>
      </w:r>
      <w:r w:rsidR="00A45DC8" w:rsidRPr="00CE2185">
        <w:rPr>
          <w:rFonts w:eastAsia="Times New Roman"/>
          <w:i/>
          <w:noProof/>
          <w:color w:val="000000" w:themeColor="text1"/>
        </w:rPr>
        <w:t>links to option C2</w:t>
      </w:r>
      <w:r w:rsidR="008E72FA" w:rsidRPr="00CE2185">
        <w:rPr>
          <w:rFonts w:eastAsia="Times New Roman"/>
          <w:i/>
          <w:noProof/>
          <w:color w:val="000000" w:themeColor="text1"/>
        </w:rPr>
        <w:t xml:space="preserve"> and C3</w:t>
      </w:r>
      <w:r w:rsidR="69A2F8E7" w:rsidRPr="00CE2185">
        <w:rPr>
          <w:rFonts w:eastAsia="Times New Roman"/>
          <w:i/>
          <w:noProof/>
          <w:color w:val="000000" w:themeColor="text1"/>
        </w:rPr>
        <w:t xml:space="preserve"> enhancing efficiency of the options</w:t>
      </w:r>
      <w:r w:rsidR="00A45DC8" w:rsidRPr="00CE2185">
        <w:rPr>
          <w:rFonts w:eastAsia="Times New Roman"/>
          <w:noProof/>
          <w:color w:val="000000" w:themeColor="text1"/>
        </w:rPr>
        <w:t>)</w:t>
      </w:r>
      <w:r w:rsidR="00D341A6" w:rsidRPr="00CE2185">
        <w:rPr>
          <w:rFonts w:eastAsia="Times New Roman"/>
          <w:noProof/>
          <w:color w:val="000000" w:themeColor="text1"/>
        </w:rPr>
        <w:t xml:space="preserve">. </w:t>
      </w:r>
      <w:r w:rsidR="00A31CEA" w:rsidRPr="00CE2185">
        <w:rPr>
          <w:rFonts w:eastAsia="Times New Roman"/>
          <w:noProof/>
          <w:color w:val="000000" w:themeColor="text1"/>
        </w:rPr>
        <w:t>This possibility w</w:t>
      </w:r>
      <w:r w:rsidR="00E9114F" w:rsidRPr="00CE2185">
        <w:rPr>
          <w:rFonts w:eastAsia="Times New Roman"/>
          <w:noProof/>
          <w:color w:val="000000" w:themeColor="text1"/>
        </w:rPr>
        <w:t>ould</w:t>
      </w:r>
      <w:r w:rsidR="00A31CEA" w:rsidRPr="00CE2185">
        <w:rPr>
          <w:rFonts w:eastAsia="Times New Roman"/>
          <w:noProof/>
          <w:color w:val="000000" w:themeColor="text1"/>
        </w:rPr>
        <w:t xml:space="preserve"> </w:t>
      </w:r>
      <w:r w:rsidR="003B068B" w:rsidRPr="00CE2185">
        <w:rPr>
          <w:rFonts w:eastAsia="Times New Roman"/>
          <w:noProof/>
          <w:color w:val="000000" w:themeColor="text1"/>
        </w:rPr>
        <w:t>complement</w:t>
      </w:r>
      <w:r w:rsidR="00A31CEA" w:rsidRPr="00CE2185">
        <w:rPr>
          <w:rFonts w:eastAsia="Times New Roman"/>
          <w:noProof/>
          <w:color w:val="000000" w:themeColor="text1"/>
        </w:rPr>
        <w:t xml:space="preserve"> existing empowerments that allow mandating certification in the context of NIS 2 Directive</w:t>
      </w:r>
      <w:r w:rsidR="7D48561B" w:rsidRPr="00CE2185">
        <w:rPr>
          <w:rFonts w:eastAsia="Times New Roman"/>
          <w:noProof/>
          <w:color w:val="000000" w:themeColor="text1"/>
        </w:rPr>
        <w:t xml:space="preserve">, </w:t>
      </w:r>
      <w:r w:rsidR="00A31CEA" w:rsidRPr="00CE2185">
        <w:rPr>
          <w:rFonts w:eastAsia="Times New Roman"/>
          <w:noProof/>
          <w:color w:val="000000" w:themeColor="text1"/>
        </w:rPr>
        <w:t>CRA or the European Digital Identity Regulation (mandating certification of European ID Wallets).</w:t>
      </w:r>
      <w:r w:rsidR="00540E05" w:rsidRPr="00CE2185">
        <w:rPr>
          <w:rFonts w:eastAsia="Times New Roman"/>
          <w:noProof/>
          <w:color w:val="000000" w:themeColor="text1"/>
        </w:rPr>
        <w:t xml:space="preserve"> </w:t>
      </w:r>
    </w:p>
    <w:p w14:paraId="25B6C079" w14:textId="2E376B08" w:rsidR="00961EDA" w:rsidRPr="00CE2185" w:rsidRDefault="0F6F2DB2" w:rsidP="00795DF0">
      <w:pPr>
        <w:spacing w:after="120"/>
        <w:rPr>
          <w:rFonts w:eastAsia="Times New Roman"/>
          <w:noProof/>
          <w:color w:val="000000" w:themeColor="text1"/>
        </w:rPr>
      </w:pPr>
      <w:r w:rsidRPr="00CE2185">
        <w:rPr>
          <w:rFonts w:eastAsia="Times New Roman"/>
          <w:noProof/>
          <w:color w:val="000000" w:themeColor="text1"/>
        </w:rPr>
        <w:t>To facilitate this process</w:t>
      </w:r>
      <w:r w:rsidR="00CB6571" w:rsidRPr="00CE2185">
        <w:rPr>
          <w:rFonts w:eastAsia="Times New Roman"/>
          <w:noProof/>
          <w:color w:val="000000" w:themeColor="text1"/>
        </w:rPr>
        <w:t>,</w:t>
      </w:r>
      <w:r w:rsidR="00A45DC8" w:rsidRPr="00CE2185">
        <w:rPr>
          <w:rFonts w:eastAsia="Times New Roman"/>
          <w:noProof/>
          <w:color w:val="000000" w:themeColor="text1"/>
        </w:rPr>
        <w:t xml:space="preserve"> next to the actual establishment of the scheme</w:t>
      </w:r>
      <w:r w:rsidR="00CB6571" w:rsidRPr="00CE2185">
        <w:rPr>
          <w:rFonts w:eastAsia="Times New Roman"/>
          <w:noProof/>
          <w:color w:val="000000" w:themeColor="text1"/>
        </w:rPr>
        <w:t xml:space="preserve"> </w:t>
      </w:r>
      <w:r w:rsidR="003B068B" w:rsidRPr="00CE2185">
        <w:rPr>
          <w:rFonts w:eastAsia="Times New Roman"/>
          <w:noProof/>
          <w:color w:val="000000" w:themeColor="text1"/>
        </w:rPr>
        <w:t>foreseen under B2,</w:t>
      </w:r>
      <w:r w:rsidR="00CB6571" w:rsidRPr="00CE2185">
        <w:rPr>
          <w:rFonts w:eastAsia="Times New Roman"/>
          <w:noProof/>
          <w:color w:val="000000" w:themeColor="text1"/>
        </w:rPr>
        <w:t xml:space="preserve"> t</w:t>
      </w:r>
      <w:r w:rsidR="00DD17D9" w:rsidRPr="00CE2185">
        <w:rPr>
          <w:rFonts w:eastAsia="Times New Roman"/>
          <w:noProof/>
          <w:color w:val="000000" w:themeColor="text1"/>
        </w:rPr>
        <w:t xml:space="preserve">his option would include </w:t>
      </w:r>
      <w:r w:rsidR="2555F18B" w:rsidRPr="00CE2185">
        <w:rPr>
          <w:rFonts w:eastAsia="Times New Roman"/>
          <w:noProof/>
          <w:color w:val="000000" w:themeColor="text1"/>
        </w:rPr>
        <w:t>a</w:t>
      </w:r>
      <w:r w:rsidR="1A668554" w:rsidRPr="00CE2185">
        <w:rPr>
          <w:rFonts w:eastAsia="Times New Roman"/>
          <w:noProof/>
          <w:color w:val="000000" w:themeColor="text1"/>
        </w:rPr>
        <w:t>n</w:t>
      </w:r>
      <w:r w:rsidR="00D341A6" w:rsidRPr="00CE2185" w:rsidDel="00DD17D9">
        <w:rPr>
          <w:rFonts w:eastAsia="Times New Roman"/>
          <w:noProof/>
          <w:color w:val="000000" w:themeColor="text1"/>
        </w:rPr>
        <w:t xml:space="preserve"> </w:t>
      </w:r>
      <w:r w:rsidR="00DD17D9" w:rsidRPr="00CE2185">
        <w:rPr>
          <w:rFonts w:eastAsia="Times New Roman"/>
          <w:noProof/>
          <w:color w:val="000000" w:themeColor="text1"/>
        </w:rPr>
        <w:t xml:space="preserve">empowerment </w:t>
      </w:r>
      <w:r w:rsidR="00953DEE" w:rsidRPr="00CE2185">
        <w:rPr>
          <w:rFonts w:eastAsia="Times New Roman"/>
          <w:noProof/>
          <w:color w:val="000000" w:themeColor="text1"/>
        </w:rPr>
        <w:t xml:space="preserve">(implementing act) </w:t>
      </w:r>
      <w:r w:rsidR="00DD17D9" w:rsidRPr="00CE2185">
        <w:rPr>
          <w:rFonts w:eastAsia="Times New Roman"/>
          <w:noProof/>
          <w:color w:val="000000" w:themeColor="text1"/>
        </w:rPr>
        <w:t xml:space="preserve">for the Commission to </w:t>
      </w:r>
      <w:r w:rsidR="3233333B" w:rsidRPr="00CE2185">
        <w:rPr>
          <w:rFonts w:eastAsia="Times New Roman"/>
          <w:noProof/>
          <w:color w:val="000000" w:themeColor="text1"/>
        </w:rPr>
        <w:t xml:space="preserve">identify and </w:t>
      </w:r>
      <w:r w:rsidR="2555F18B" w:rsidRPr="00CE2185">
        <w:rPr>
          <w:rFonts w:eastAsia="Times New Roman"/>
          <w:noProof/>
          <w:color w:val="000000" w:themeColor="text1"/>
        </w:rPr>
        <w:t xml:space="preserve">adjust the list of </w:t>
      </w:r>
      <w:r w:rsidR="28A50A68" w:rsidRPr="00CE2185">
        <w:rPr>
          <w:rFonts w:eastAsia="Times New Roman"/>
          <w:noProof/>
          <w:color w:val="000000" w:themeColor="text1"/>
        </w:rPr>
        <w:t xml:space="preserve">sectors </w:t>
      </w:r>
      <w:r w:rsidR="00953DEE" w:rsidRPr="00CE2185">
        <w:rPr>
          <w:rFonts w:eastAsia="Times New Roman"/>
          <w:noProof/>
          <w:color w:val="000000" w:themeColor="text1"/>
        </w:rPr>
        <w:t xml:space="preserve">(amongst those listed in Annex I) </w:t>
      </w:r>
      <w:r w:rsidR="28A50A68" w:rsidRPr="00CE2185">
        <w:rPr>
          <w:rFonts w:eastAsia="Times New Roman"/>
          <w:noProof/>
          <w:color w:val="000000" w:themeColor="text1"/>
        </w:rPr>
        <w:t xml:space="preserve">where the scheme would be mandated </w:t>
      </w:r>
      <w:r w:rsidR="00E9114F" w:rsidRPr="00CE2185">
        <w:rPr>
          <w:rFonts w:eastAsia="Times New Roman"/>
          <w:noProof/>
          <w:color w:val="000000" w:themeColor="text1"/>
        </w:rPr>
        <w:t xml:space="preserve">following an </w:t>
      </w:r>
      <w:r w:rsidR="00E9114F" w:rsidRPr="00CE2185">
        <w:rPr>
          <w:rFonts w:eastAsia="Times New Roman"/>
          <w:b/>
          <w:noProof/>
          <w:color w:val="000000" w:themeColor="text1"/>
        </w:rPr>
        <w:t>impact assessment considering</w:t>
      </w:r>
      <w:r w:rsidR="00E9114F" w:rsidRPr="00CE2185">
        <w:rPr>
          <w:rFonts w:eastAsia="Times New Roman"/>
          <w:noProof/>
          <w:color w:val="000000" w:themeColor="text1"/>
        </w:rPr>
        <w:t xml:space="preserve"> </w:t>
      </w:r>
      <w:r w:rsidR="28A50A68" w:rsidRPr="00CE2185">
        <w:rPr>
          <w:rFonts w:eastAsia="Times New Roman"/>
          <w:b/>
          <w:noProof/>
          <w:color w:val="000000" w:themeColor="text1"/>
        </w:rPr>
        <w:t xml:space="preserve">technical risk factors as well as </w:t>
      </w:r>
      <w:r w:rsidR="00953DEE" w:rsidRPr="00CE2185">
        <w:rPr>
          <w:rFonts w:eastAsia="Times New Roman"/>
          <w:b/>
          <w:noProof/>
          <w:color w:val="000000" w:themeColor="text1"/>
        </w:rPr>
        <w:t>the market impact</w:t>
      </w:r>
      <w:r w:rsidR="28A50A68" w:rsidRPr="00CE2185">
        <w:rPr>
          <w:rFonts w:eastAsia="Times New Roman"/>
          <w:noProof/>
          <w:color w:val="000000" w:themeColor="text1"/>
        </w:rPr>
        <w:t xml:space="preserve"> </w:t>
      </w:r>
      <w:r w:rsidR="00953DEE" w:rsidRPr="00CE2185">
        <w:rPr>
          <w:rFonts w:eastAsia="Times New Roman"/>
          <w:noProof/>
          <w:color w:val="000000" w:themeColor="text1"/>
        </w:rPr>
        <w:t>(</w:t>
      </w:r>
      <w:r w:rsidR="28A50A68" w:rsidRPr="00CE2185">
        <w:rPr>
          <w:rFonts w:eastAsia="Times New Roman"/>
          <w:noProof/>
          <w:color w:val="000000" w:themeColor="text1"/>
        </w:rPr>
        <w:t>proportionality and necessity of the intervention</w:t>
      </w:r>
      <w:r w:rsidR="00953DEE" w:rsidRPr="00CE2185">
        <w:rPr>
          <w:rFonts w:eastAsia="Times New Roman"/>
          <w:noProof/>
          <w:color w:val="000000" w:themeColor="text1"/>
        </w:rPr>
        <w:t>)</w:t>
      </w:r>
      <w:r w:rsidR="28A50A68" w:rsidRPr="00CE2185">
        <w:rPr>
          <w:rFonts w:eastAsia="Times New Roman"/>
          <w:noProof/>
          <w:color w:val="000000" w:themeColor="text1"/>
        </w:rPr>
        <w:t>. The</w:t>
      </w:r>
      <w:r w:rsidR="00D341A6" w:rsidRPr="00CE2185" w:rsidDel="28A50A68">
        <w:rPr>
          <w:rFonts w:eastAsia="Times New Roman"/>
          <w:noProof/>
          <w:color w:val="000000" w:themeColor="text1"/>
        </w:rPr>
        <w:t xml:space="preserve"> </w:t>
      </w:r>
      <w:r w:rsidR="00FB19A3" w:rsidRPr="00CE2185">
        <w:rPr>
          <w:rFonts w:eastAsia="Times New Roman"/>
          <w:noProof/>
          <w:color w:val="000000" w:themeColor="text1"/>
        </w:rPr>
        <w:t>assessment of the potential market impacts</w:t>
      </w:r>
      <w:r w:rsidR="28A50A68" w:rsidRPr="00CE2185">
        <w:rPr>
          <w:rFonts w:eastAsia="Times New Roman"/>
          <w:noProof/>
          <w:color w:val="000000" w:themeColor="text1"/>
        </w:rPr>
        <w:t xml:space="preserve"> and </w:t>
      </w:r>
      <w:r w:rsidR="00FB19A3" w:rsidRPr="00CE2185">
        <w:rPr>
          <w:rFonts w:eastAsia="Times New Roman"/>
          <w:noProof/>
          <w:color w:val="000000" w:themeColor="text1"/>
        </w:rPr>
        <w:t>of the cybersecurity risks</w:t>
      </w:r>
      <w:r w:rsidR="003B068B" w:rsidRPr="00CE2185">
        <w:rPr>
          <w:rFonts w:eastAsia="Times New Roman"/>
          <w:noProof/>
          <w:color w:val="000000" w:themeColor="text1"/>
        </w:rPr>
        <w:t xml:space="preserve"> </w:t>
      </w:r>
      <w:r w:rsidR="00E9114F" w:rsidRPr="00CE2185">
        <w:rPr>
          <w:rFonts w:eastAsia="Times New Roman"/>
          <w:noProof/>
          <w:color w:val="000000" w:themeColor="text1"/>
        </w:rPr>
        <w:t>(impact assessment)</w:t>
      </w:r>
      <w:r w:rsidR="00DB0242" w:rsidRPr="00CE2185">
        <w:rPr>
          <w:rFonts w:eastAsia="Times New Roman"/>
          <w:noProof/>
          <w:color w:val="000000" w:themeColor="text1"/>
        </w:rPr>
        <w:t xml:space="preserve"> </w:t>
      </w:r>
      <w:r w:rsidR="003B068B" w:rsidRPr="00CE2185">
        <w:rPr>
          <w:rFonts w:eastAsia="Times New Roman"/>
          <w:noProof/>
          <w:color w:val="000000" w:themeColor="text1"/>
        </w:rPr>
        <w:t>would be</w:t>
      </w:r>
      <w:r w:rsidR="28A50A68" w:rsidRPr="00CE2185">
        <w:rPr>
          <w:rFonts w:eastAsia="Times New Roman"/>
          <w:noProof/>
          <w:color w:val="000000" w:themeColor="text1"/>
        </w:rPr>
        <w:t xml:space="preserve"> conducted by </w:t>
      </w:r>
      <w:r w:rsidR="00DB0242" w:rsidRPr="00CE2185">
        <w:rPr>
          <w:rFonts w:eastAsia="Times New Roman"/>
          <w:noProof/>
          <w:color w:val="000000" w:themeColor="text1"/>
        </w:rPr>
        <w:t xml:space="preserve">the Commission in </w:t>
      </w:r>
      <w:r w:rsidR="00A54283" w:rsidRPr="00CE2185">
        <w:rPr>
          <w:rFonts w:eastAsia="Times New Roman"/>
          <w:noProof/>
          <w:color w:val="000000" w:themeColor="text1"/>
        </w:rPr>
        <w:t>consultation</w:t>
      </w:r>
      <w:r w:rsidR="00DB0242" w:rsidRPr="00CE2185">
        <w:rPr>
          <w:rFonts w:eastAsia="Times New Roman"/>
          <w:noProof/>
          <w:color w:val="000000" w:themeColor="text1"/>
        </w:rPr>
        <w:t xml:space="preserve"> with </w:t>
      </w:r>
      <w:r w:rsidR="28A50A68" w:rsidRPr="00CE2185">
        <w:rPr>
          <w:rFonts w:eastAsia="Times New Roman"/>
          <w:noProof/>
          <w:color w:val="000000" w:themeColor="text1"/>
        </w:rPr>
        <w:t>ENISA</w:t>
      </w:r>
      <w:r w:rsidR="00A54283" w:rsidRPr="00CE2185">
        <w:rPr>
          <w:rFonts w:eastAsia="Times New Roman"/>
          <w:noProof/>
          <w:color w:val="000000" w:themeColor="text1"/>
        </w:rPr>
        <w:t xml:space="preserve"> and all relevant stakeholders, including</w:t>
      </w:r>
      <w:r w:rsidR="00D341A6" w:rsidRPr="00CE2185" w:rsidDel="28A50A68">
        <w:rPr>
          <w:rFonts w:eastAsia="Times New Roman"/>
          <w:noProof/>
          <w:color w:val="000000" w:themeColor="text1"/>
        </w:rPr>
        <w:t xml:space="preserve"> </w:t>
      </w:r>
      <w:r w:rsidR="28A50A68" w:rsidRPr="00CE2185">
        <w:rPr>
          <w:rFonts w:eastAsia="Times New Roman"/>
          <w:noProof/>
          <w:color w:val="000000" w:themeColor="text1"/>
        </w:rPr>
        <w:t>the E</w:t>
      </w:r>
      <w:r w:rsidR="43ED7B81" w:rsidRPr="00CE2185">
        <w:rPr>
          <w:rFonts w:eastAsia="Times New Roman"/>
          <w:noProof/>
          <w:color w:val="000000" w:themeColor="text1"/>
        </w:rPr>
        <w:t>CCG</w:t>
      </w:r>
      <w:r w:rsidR="28A50A68" w:rsidRPr="00CE2185">
        <w:rPr>
          <w:rFonts w:eastAsia="Times New Roman"/>
          <w:noProof/>
          <w:color w:val="000000" w:themeColor="text1"/>
        </w:rPr>
        <w:t xml:space="preserve"> and </w:t>
      </w:r>
      <w:r w:rsidR="00DB0242" w:rsidRPr="00CE2185">
        <w:rPr>
          <w:rFonts w:eastAsia="Times New Roman"/>
          <w:noProof/>
          <w:color w:val="000000" w:themeColor="text1"/>
        </w:rPr>
        <w:t>the NIS2 C</w:t>
      </w:r>
      <w:r w:rsidR="00A54283" w:rsidRPr="00CE2185">
        <w:rPr>
          <w:rFonts w:eastAsia="Times New Roman"/>
          <w:noProof/>
          <w:color w:val="000000" w:themeColor="text1"/>
        </w:rPr>
        <w:t>ooperation</w:t>
      </w:r>
      <w:r w:rsidR="00DB0242" w:rsidRPr="00CE2185">
        <w:rPr>
          <w:rFonts w:eastAsia="Times New Roman"/>
          <w:noProof/>
          <w:color w:val="000000" w:themeColor="text1"/>
        </w:rPr>
        <w:t xml:space="preserve"> Group</w:t>
      </w:r>
      <w:r w:rsidR="00D341A6" w:rsidRPr="00CE2185" w:rsidDel="00126342">
        <w:rPr>
          <w:rFonts w:eastAsia="Times New Roman"/>
          <w:noProof/>
          <w:color w:val="000000" w:themeColor="text1"/>
        </w:rPr>
        <w:t xml:space="preserve">. </w:t>
      </w:r>
    </w:p>
    <w:p w14:paraId="7393147D" w14:textId="13C16488" w:rsidR="00261A8F" w:rsidRPr="00CE2185" w:rsidRDefault="00961EDA" w:rsidP="00795DF0">
      <w:pPr>
        <w:spacing w:after="120"/>
        <w:rPr>
          <w:rFonts w:eastAsia="Times New Roman"/>
          <w:noProof/>
          <w:color w:val="000000" w:themeColor="text1"/>
        </w:rPr>
      </w:pPr>
      <w:r w:rsidRPr="00CE2185">
        <w:rPr>
          <w:rFonts w:eastAsia="Times New Roman"/>
          <w:noProof/>
          <w:color w:val="000000" w:themeColor="text1"/>
        </w:rPr>
        <w:t>What is more, a</w:t>
      </w:r>
      <w:r w:rsidR="00303418" w:rsidRPr="00CE2185">
        <w:rPr>
          <w:rFonts w:eastAsia="Times New Roman"/>
          <w:noProof/>
          <w:color w:val="000000" w:themeColor="text1"/>
        </w:rPr>
        <w:t>s in options B1 and B2, c</w:t>
      </w:r>
      <w:r w:rsidR="00261A8F" w:rsidRPr="00CE2185">
        <w:rPr>
          <w:rFonts w:eastAsia="Times New Roman"/>
          <w:noProof/>
          <w:color w:val="000000" w:themeColor="text1"/>
        </w:rPr>
        <w:t>ertification</w:t>
      </w:r>
      <w:r w:rsidR="004A318F" w:rsidRPr="00CE2185">
        <w:rPr>
          <w:rFonts w:eastAsia="Times New Roman"/>
          <w:noProof/>
          <w:color w:val="000000" w:themeColor="text1"/>
        </w:rPr>
        <w:t xml:space="preserve"> under this option</w:t>
      </w:r>
      <w:r w:rsidR="00261A8F" w:rsidRPr="00CE2185">
        <w:rPr>
          <w:rFonts w:eastAsia="Times New Roman"/>
          <w:noProof/>
          <w:color w:val="000000" w:themeColor="text1"/>
        </w:rPr>
        <w:t xml:space="preserve"> would cover </w:t>
      </w:r>
      <w:r w:rsidR="00303418" w:rsidRPr="00CE2185">
        <w:rPr>
          <w:rFonts w:eastAsia="Times New Roman"/>
          <w:noProof/>
          <w:color w:val="000000" w:themeColor="text1"/>
        </w:rPr>
        <w:t xml:space="preserve">only </w:t>
      </w:r>
      <w:r w:rsidR="00261A8F" w:rsidRPr="00CE2185">
        <w:rPr>
          <w:rFonts w:eastAsia="Times New Roman"/>
          <w:b/>
          <w:noProof/>
          <w:color w:val="000000" w:themeColor="text1"/>
        </w:rPr>
        <w:t>technical risk factors</w:t>
      </w:r>
      <w:r w:rsidR="00D10E17">
        <w:rPr>
          <w:rFonts w:eastAsia="Times New Roman"/>
          <w:b/>
          <w:noProof/>
          <w:color w:val="000000" w:themeColor="text1"/>
        </w:rPr>
        <w:t xml:space="preserve"> </w:t>
      </w:r>
      <w:r w:rsidR="00D10E17" w:rsidRPr="00CE2185">
        <w:rPr>
          <w:rFonts w:eastAsia="Times New Roman"/>
          <w:b/>
          <w:noProof/>
          <w:color w:val="000000" w:themeColor="text1"/>
        </w:rPr>
        <w:t>(</w:t>
      </w:r>
      <w:r w:rsidR="00D10E17" w:rsidRPr="00CE2185">
        <w:rPr>
          <w:rFonts w:eastAsia="Times New Roman"/>
          <w:noProof/>
          <w:color w:val="000000" w:themeColor="text1"/>
        </w:rPr>
        <w:t>non-technical aspects outside of the scope of the framework – links with option D.3, without which this option could be inefficient</w:t>
      </w:r>
      <w:r w:rsidR="00D10E17">
        <w:rPr>
          <w:rFonts w:eastAsia="Times New Roman"/>
          <w:noProof/>
          <w:color w:val="000000" w:themeColor="text1"/>
        </w:rPr>
        <w:t>)</w:t>
      </w:r>
      <w:r w:rsidR="00261A8F" w:rsidRPr="00CE2185">
        <w:rPr>
          <w:rFonts w:eastAsia="Times New Roman"/>
          <w:noProof/>
          <w:color w:val="000000" w:themeColor="text1"/>
        </w:rPr>
        <w:t xml:space="preserve">. </w:t>
      </w:r>
    </w:p>
    <w:p w14:paraId="543A5228" w14:textId="57539250" w:rsidR="00F57D9D" w:rsidRPr="00CE2185" w:rsidRDefault="00F57D9D" w:rsidP="00F57D9D">
      <w:pPr>
        <w:rPr>
          <w:rFonts w:eastAsia="Times New Roman"/>
          <w:b/>
          <w:bCs/>
          <w:noProof/>
          <w:color w:val="000000" w:themeColor="text1"/>
        </w:rPr>
      </w:pPr>
      <w:r w:rsidRPr="00CE2185">
        <w:rPr>
          <w:rFonts w:eastAsia="Times New Roman"/>
          <w:b/>
          <w:bCs/>
          <w:noProof/>
          <w:color w:val="000000" w:themeColor="text1"/>
        </w:rPr>
        <w:t>5.2.3 Options for simplification</w:t>
      </w:r>
    </w:p>
    <w:tbl>
      <w:tblPr>
        <w:tblStyle w:val="TableGrid"/>
        <w:tblW w:w="0" w:type="auto"/>
        <w:tblLayout w:type="fixed"/>
        <w:tblLook w:val="06A0" w:firstRow="1" w:lastRow="0" w:firstColumn="1" w:lastColumn="0" w:noHBand="1" w:noVBand="1"/>
      </w:tblPr>
      <w:tblGrid>
        <w:gridCol w:w="9180"/>
      </w:tblGrid>
      <w:tr w:rsidR="00F57D9D" w:rsidRPr="00CE2185" w14:paraId="1A8BD15E" w14:textId="77777777" w:rsidTr="00B849C1">
        <w:trPr>
          <w:trHeight w:val="300"/>
        </w:trPr>
        <w:tc>
          <w:tcPr>
            <w:tcW w:w="9180" w:type="dxa"/>
          </w:tcPr>
          <w:p w14:paraId="5C6E9D0D" w14:textId="5B419004"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C.1: </w:t>
            </w:r>
            <w:r w:rsidR="00153EEE">
              <w:rPr>
                <w:b/>
                <w:bCs/>
                <w:i/>
                <w:iCs/>
                <w:noProof/>
                <w:color w:val="000000" w:themeColor="text1"/>
              </w:rPr>
              <w:t>Taking a s</w:t>
            </w:r>
            <w:r w:rsidRPr="00CE2185">
              <w:rPr>
                <w:b/>
                <w:bCs/>
                <w:i/>
                <w:iCs/>
                <w:noProof/>
                <w:color w:val="000000" w:themeColor="text1"/>
              </w:rPr>
              <w:t>oft law and non-legislative instruments approach</w:t>
            </w:r>
            <w:r w:rsidR="00153EEE">
              <w:rPr>
                <w:b/>
                <w:bCs/>
                <w:i/>
                <w:iCs/>
                <w:noProof/>
                <w:color w:val="000000" w:themeColor="text1"/>
              </w:rPr>
              <w:t>, including</w:t>
            </w:r>
            <w:r w:rsidR="00422BF1">
              <w:rPr>
                <w:b/>
                <w:bCs/>
                <w:i/>
                <w:iCs/>
                <w:noProof/>
                <w:color w:val="000000" w:themeColor="text1"/>
              </w:rPr>
              <w:t xml:space="preserve"> </w:t>
            </w:r>
            <w:r w:rsidR="00153EEE">
              <w:rPr>
                <w:b/>
                <w:bCs/>
                <w:i/>
                <w:iCs/>
                <w:noProof/>
                <w:color w:val="000000" w:themeColor="text1"/>
              </w:rPr>
              <w:t>the</w:t>
            </w:r>
            <w:r w:rsidRPr="00CE2185">
              <w:rPr>
                <w:b/>
                <w:bCs/>
                <w:i/>
                <w:iCs/>
                <w:noProof/>
                <w:color w:val="000000" w:themeColor="text1"/>
              </w:rPr>
              <w:t xml:space="preserve"> use of existing empowerments (adoption of implementing acts under Article 21(5) and </w:t>
            </w:r>
            <w:r w:rsidR="00530FA8">
              <w:rPr>
                <w:b/>
                <w:bCs/>
                <w:i/>
                <w:iCs/>
                <w:noProof/>
                <w:color w:val="000000" w:themeColor="text1"/>
              </w:rPr>
              <w:t xml:space="preserve">Article </w:t>
            </w:r>
            <w:r w:rsidRPr="00CE2185">
              <w:rPr>
                <w:b/>
                <w:bCs/>
                <w:i/>
                <w:iCs/>
                <w:noProof/>
                <w:color w:val="000000" w:themeColor="text1"/>
              </w:rPr>
              <w:t xml:space="preserve">23(11) of the </w:t>
            </w:r>
            <w:r w:rsidR="00E47D43" w:rsidRPr="00CE2185">
              <w:rPr>
                <w:b/>
                <w:bCs/>
                <w:i/>
                <w:iCs/>
                <w:noProof/>
                <w:color w:val="000000" w:themeColor="text1"/>
              </w:rPr>
              <w:t>NIS 2</w:t>
            </w:r>
            <w:r w:rsidRPr="00CE2185">
              <w:rPr>
                <w:b/>
                <w:bCs/>
                <w:i/>
                <w:iCs/>
                <w:noProof/>
                <w:color w:val="000000" w:themeColor="text1"/>
              </w:rPr>
              <w:t xml:space="preserve"> Directive) </w:t>
            </w:r>
          </w:p>
        </w:tc>
      </w:tr>
    </w:tbl>
    <w:p w14:paraId="718F19D7" w14:textId="5E5C13C8" w:rsidR="00C447B4" w:rsidRPr="00CE2185" w:rsidRDefault="00F57D9D" w:rsidP="00D12B58">
      <w:pPr>
        <w:spacing w:before="120" w:after="120"/>
        <w:rPr>
          <w:rFonts w:eastAsia="Times New Roman"/>
          <w:noProof/>
          <w:color w:val="000000" w:themeColor="text1"/>
        </w:rPr>
      </w:pPr>
      <w:r w:rsidRPr="00CE2185">
        <w:rPr>
          <w:rFonts w:eastAsia="Times New Roman"/>
          <w:noProof/>
          <w:color w:val="000000" w:themeColor="text1"/>
        </w:rPr>
        <w:t>Th</w:t>
      </w:r>
      <w:r w:rsidR="00EC5FA7" w:rsidRPr="00CE2185">
        <w:rPr>
          <w:rFonts w:eastAsia="Times New Roman"/>
          <w:noProof/>
          <w:color w:val="000000" w:themeColor="text1"/>
        </w:rPr>
        <w:t>is</w:t>
      </w:r>
      <w:r w:rsidRPr="00CE2185">
        <w:rPr>
          <w:rFonts w:eastAsia="Times New Roman"/>
          <w:noProof/>
          <w:color w:val="000000" w:themeColor="text1"/>
        </w:rPr>
        <w:t xml:space="preserve"> option foresees the adoption of implementing acts under </w:t>
      </w:r>
      <w:r w:rsidR="00063CDE" w:rsidRPr="00CE2185">
        <w:rPr>
          <w:rFonts w:eastAsia="Times New Roman"/>
          <w:noProof/>
          <w:color w:val="000000" w:themeColor="text1"/>
        </w:rPr>
        <w:t xml:space="preserve">the </w:t>
      </w:r>
      <w:r w:rsidR="00032CAF" w:rsidRPr="00CE2185">
        <w:rPr>
          <w:rFonts w:eastAsia="Times New Roman"/>
          <w:noProof/>
          <w:color w:val="000000" w:themeColor="text1"/>
        </w:rPr>
        <w:t xml:space="preserve">existing </w:t>
      </w:r>
      <w:r w:rsidRPr="00CE2185">
        <w:rPr>
          <w:rFonts w:eastAsia="Times New Roman"/>
          <w:noProof/>
          <w:color w:val="000000" w:themeColor="text1"/>
        </w:rPr>
        <w:t xml:space="preserve">empowerments </w:t>
      </w:r>
      <w:r w:rsidR="00972122" w:rsidRPr="00CE2185">
        <w:rPr>
          <w:rFonts w:eastAsia="Times New Roman"/>
          <w:noProof/>
          <w:color w:val="000000" w:themeColor="text1"/>
        </w:rPr>
        <w:t xml:space="preserve">of </w:t>
      </w:r>
      <w:r w:rsidR="00D042F8" w:rsidRPr="00CE2185">
        <w:rPr>
          <w:rFonts w:eastAsia="Times New Roman"/>
          <w:noProof/>
          <w:color w:val="000000" w:themeColor="text1"/>
        </w:rPr>
        <w:t xml:space="preserve">the </w:t>
      </w:r>
      <w:r w:rsidR="00032CAF" w:rsidRPr="00CE2185">
        <w:rPr>
          <w:rFonts w:eastAsia="Times New Roman"/>
          <w:noProof/>
          <w:color w:val="000000" w:themeColor="text1"/>
        </w:rPr>
        <w:t>NIS2 Directive</w:t>
      </w:r>
      <w:r w:rsidR="00972122" w:rsidRPr="00CE2185">
        <w:rPr>
          <w:rFonts w:eastAsia="Times New Roman"/>
          <w:noProof/>
          <w:color w:val="000000" w:themeColor="text1"/>
        </w:rPr>
        <w:t xml:space="preserve"> </w:t>
      </w:r>
      <w:r w:rsidRPr="00CE2185">
        <w:rPr>
          <w:rFonts w:eastAsia="Times New Roman"/>
          <w:noProof/>
          <w:color w:val="000000" w:themeColor="text1"/>
        </w:rPr>
        <w:t>to ensure a higher degree of harmoni</w:t>
      </w:r>
      <w:r w:rsidR="001C5738" w:rsidRPr="00CE2185">
        <w:rPr>
          <w:rFonts w:eastAsia="Times New Roman"/>
          <w:noProof/>
          <w:color w:val="000000" w:themeColor="text1"/>
        </w:rPr>
        <w:t>s</w:t>
      </w:r>
      <w:r w:rsidRPr="00CE2185">
        <w:rPr>
          <w:rFonts w:eastAsia="Times New Roman"/>
          <w:noProof/>
          <w:color w:val="000000" w:themeColor="text1"/>
        </w:rPr>
        <w:t xml:space="preserve">ation </w:t>
      </w:r>
      <w:r w:rsidR="00063CDE" w:rsidRPr="00CE2185">
        <w:rPr>
          <w:rFonts w:eastAsia="Times New Roman"/>
          <w:noProof/>
          <w:color w:val="000000" w:themeColor="text1"/>
        </w:rPr>
        <w:t xml:space="preserve">of </w:t>
      </w:r>
      <w:r w:rsidRPr="00CE2185">
        <w:rPr>
          <w:rFonts w:eastAsia="Times New Roman"/>
          <w:noProof/>
          <w:color w:val="000000" w:themeColor="text1"/>
        </w:rPr>
        <w:t>the cybersecurity risk-management measures, incident reporting thresholds</w:t>
      </w:r>
      <w:r w:rsidR="00063CDE" w:rsidRPr="00CE2185">
        <w:rPr>
          <w:rFonts w:eastAsia="Times New Roman"/>
          <w:noProof/>
          <w:color w:val="000000" w:themeColor="text1"/>
        </w:rPr>
        <w:t>,</w:t>
      </w:r>
      <w:r w:rsidRPr="00CE2185">
        <w:rPr>
          <w:rFonts w:eastAsia="Times New Roman"/>
          <w:noProof/>
          <w:color w:val="000000" w:themeColor="text1"/>
        </w:rPr>
        <w:t xml:space="preserve"> as well as information, formats and procedures of notifications. The implementing acts regarding the cybersecurity risk-management measures and incident reporting thresholds would be horizontal and </w:t>
      </w:r>
      <w:r w:rsidR="00FB2B01" w:rsidRPr="00CE2185">
        <w:rPr>
          <w:rFonts w:eastAsia="Times New Roman"/>
          <w:noProof/>
          <w:color w:val="000000" w:themeColor="text1"/>
        </w:rPr>
        <w:t xml:space="preserve">could be </w:t>
      </w:r>
      <w:r w:rsidRPr="00CE2185">
        <w:rPr>
          <w:rFonts w:eastAsia="Times New Roman"/>
          <w:noProof/>
          <w:color w:val="000000" w:themeColor="text1"/>
        </w:rPr>
        <w:t xml:space="preserve">supplemented by sectoral specifications </w:t>
      </w:r>
      <w:r w:rsidR="00C447B4" w:rsidRPr="00CE2185">
        <w:rPr>
          <w:rFonts w:eastAsia="Times New Roman"/>
          <w:noProof/>
          <w:color w:val="000000" w:themeColor="text1"/>
        </w:rPr>
        <w:t xml:space="preserve">(also by virtue of an implementing act under existing empowerments) </w:t>
      </w:r>
      <w:r w:rsidRPr="00CE2185">
        <w:rPr>
          <w:rFonts w:eastAsia="Times New Roman"/>
          <w:noProof/>
          <w:color w:val="000000" w:themeColor="text1"/>
        </w:rPr>
        <w:t xml:space="preserve">where necessary, such as for providers of public electronic communications networks or of publicly available electronic communications services. </w:t>
      </w:r>
      <w:r w:rsidR="2306EE62" w:rsidRPr="00CE2185">
        <w:rPr>
          <w:rFonts w:eastAsia="Times New Roman"/>
          <w:noProof/>
          <w:color w:val="000000" w:themeColor="text1"/>
        </w:rPr>
        <w:t xml:space="preserve">While the empowerment exists under the baseline scenario, </w:t>
      </w:r>
      <w:r w:rsidR="4AA7A7EA" w:rsidRPr="00CE2185">
        <w:rPr>
          <w:rFonts w:eastAsia="Times New Roman"/>
          <w:noProof/>
          <w:color w:val="000000" w:themeColor="text1"/>
        </w:rPr>
        <w:t>th</w:t>
      </w:r>
      <w:r w:rsidR="274B1330" w:rsidRPr="00CE2185">
        <w:rPr>
          <w:rFonts w:eastAsia="Times New Roman"/>
          <w:noProof/>
          <w:color w:val="000000" w:themeColor="text1"/>
        </w:rPr>
        <w:t>e</w:t>
      </w:r>
      <w:r w:rsidR="4AA7A7EA" w:rsidRPr="00CE2185">
        <w:rPr>
          <w:rFonts w:eastAsia="Times New Roman"/>
          <w:noProof/>
          <w:color w:val="000000" w:themeColor="text1"/>
        </w:rPr>
        <w:t>re is no obligation for</w:t>
      </w:r>
      <w:r w:rsidR="75DF466B" w:rsidRPr="00CE2185">
        <w:rPr>
          <w:rFonts w:eastAsia="Times New Roman"/>
          <w:noProof/>
          <w:color w:val="000000" w:themeColor="text1"/>
        </w:rPr>
        <w:t xml:space="preserve"> </w:t>
      </w:r>
      <w:r w:rsidR="2306EE62" w:rsidRPr="00CE2185">
        <w:rPr>
          <w:rFonts w:eastAsia="Times New Roman"/>
          <w:noProof/>
          <w:color w:val="000000" w:themeColor="text1"/>
        </w:rPr>
        <w:t>th</w:t>
      </w:r>
      <w:r w:rsidR="4E774696" w:rsidRPr="00CE2185">
        <w:rPr>
          <w:rFonts w:eastAsia="Times New Roman"/>
          <w:noProof/>
          <w:color w:val="000000" w:themeColor="text1"/>
        </w:rPr>
        <w:t xml:space="preserve">e Commission </w:t>
      </w:r>
      <w:r w:rsidR="26133CCC" w:rsidRPr="00CE2185">
        <w:rPr>
          <w:rFonts w:eastAsia="Times New Roman"/>
          <w:noProof/>
          <w:color w:val="000000" w:themeColor="text1"/>
        </w:rPr>
        <w:t>t</w:t>
      </w:r>
      <w:r w:rsidR="4E774696" w:rsidRPr="00CE2185">
        <w:rPr>
          <w:rFonts w:eastAsia="Times New Roman"/>
          <w:noProof/>
          <w:color w:val="000000" w:themeColor="text1"/>
        </w:rPr>
        <w:t>o propose such implementing acts</w:t>
      </w:r>
      <w:r w:rsidR="3F28F23B" w:rsidRPr="00CE2185">
        <w:rPr>
          <w:rFonts w:eastAsia="Times New Roman"/>
          <w:noProof/>
          <w:color w:val="000000" w:themeColor="text1"/>
        </w:rPr>
        <w:t>.</w:t>
      </w:r>
    </w:p>
    <w:p w14:paraId="336DAE5C" w14:textId="5B5D88EC" w:rsidR="00C447B4" w:rsidRPr="00CE2185" w:rsidRDefault="00F57D9D" w:rsidP="00795DF0">
      <w:pPr>
        <w:spacing w:after="120"/>
        <w:rPr>
          <w:rFonts w:eastAsia="Times New Roman"/>
          <w:noProof/>
          <w:color w:val="000000" w:themeColor="text1"/>
        </w:rPr>
      </w:pPr>
      <w:r w:rsidRPr="00CE2185">
        <w:rPr>
          <w:rFonts w:eastAsia="Times New Roman"/>
          <w:noProof/>
          <w:color w:val="000000" w:themeColor="text1"/>
        </w:rPr>
        <w:t>Moreover, the Commission would adopt guidelines</w:t>
      </w:r>
      <w:r w:rsidR="00C447B4" w:rsidRPr="00CE2185">
        <w:rPr>
          <w:rFonts w:eastAsia="Times New Roman"/>
          <w:noProof/>
          <w:color w:val="000000" w:themeColor="text1"/>
        </w:rPr>
        <w:t>:</w:t>
      </w:r>
    </w:p>
    <w:p w14:paraId="39501926" w14:textId="3734C899" w:rsidR="0039471A" w:rsidRPr="00CE2185" w:rsidRDefault="0033097B" w:rsidP="00EE3DF9">
      <w:pPr>
        <w:pStyle w:val="ListParagraph"/>
        <w:numPr>
          <w:ilvl w:val="0"/>
          <w:numId w:val="16"/>
        </w:numPr>
        <w:spacing w:after="120"/>
        <w:ind w:left="360"/>
        <w:contextualSpacing w:val="0"/>
        <w:rPr>
          <w:rFonts w:eastAsia="Times New Roman"/>
          <w:noProof/>
          <w:color w:val="000000" w:themeColor="text1"/>
        </w:rPr>
      </w:pPr>
      <w:r w:rsidRPr="00CE2185">
        <w:rPr>
          <w:rFonts w:eastAsia="Times New Roman"/>
          <w:noProof/>
          <w:color w:val="000000" w:themeColor="text1"/>
        </w:rPr>
        <w:t>on</w:t>
      </w:r>
      <w:r w:rsidR="00F57D9D" w:rsidRPr="00CE2185">
        <w:rPr>
          <w:rFonts w:eastAsia="Times New Roman"/>
          <w:noProof/>
          <w:color w:val="000000" w:themeColor="text1"/>
        </w:rPr>
        <w:t xml:space="preserve"> the </w:t>
      </w:r>
      <w:r w:rsidR="006D2D66" w:rsidRPr="00CE2185">
        <w:rPr>
          <w:rFonts w:eastAsia="Times New Roman"/>
          <w:noProof/>
          <w:color w:val="000000" w:themeColor="text1"/>
        </w:rPr>
        <w:t xml:space="preserve">application of supply chain </w:t>
      </w:r>
      <w:r w:rsidR="009E0D0C" w:rsidRPr="00CE2185">
        <w:rPr>
          <w:rFonts w:eastAsia="Times New Roman"/>
          <w:noProof/>
          <w:color w:val="000000" w:themeColor="text1"/>
        </w:rPr>
        <w:t xml:space="preserve">security requirements </w:t>
      </w:r>
      <w:r w:rsidR="33EB5ED0" w:rsidRPr="00CE2185">
        <w:rPr>
          <w:rFonts w:eastAsia="Times New Roman"/>
          <w:noProof/>
          <w:color w:val="000000" w:themeColor="text1"/>
        </w:rPr>
        <w:t>that</w:t>
      </w:r>
      <w:r w:rsidR="009E0D0C" w:rsidRPr="00CE2185">
        <w:rPr>
          <w:rFonts w:eastAsia="Times New Roman"/>
          <w:noProof/>
          <w:color w:val="000000" w:themeColor="text1"/>
        </w:rPr>
        <w:t xml:space="preserve"> </w:t>
      </w:r>
      <w:r w:rsidR="00192DD8" w:rsidRPr="00CE2185">
        <w:rPr>
          <w:rFonts w:eastAsia="Times New Roman"/>
          <w:noProof/>
          <w:color w:val="000000" w:themeColor="text1"/>
        </w:rPr>
        <w:t xml:space="preserve">entities in scope of </w:t>
      </w:r>
      <w:r w:rsidR="00877108" w:rsidRPr="00CE2185">
        <w:rPr>
          <w:rFonts w:eastAsia="Times New Roman"/>
          <w:noProof/>
          <w:color w:val="000000" w:themeColor="text1"/>
        </w:rPr>
        <w:t xml:space="preserve">the </w:t>
      </w:r>
      <w:r w:rsidR="009E0D0C" w:rsidRPr="00CE2185">
        <w:rPr>
          <w:rFonts w:eastAsia="Times New Roman"/>
          <w:noProof/>
          <w:color w:val="000000" w:themeColor="text1"/>
        </w:rPr>
        <w:t>NIS2 Directive</w:t>
      </w:r>
      <w:r w:rsidR="00D409C6" w:rsidRPr="00CE2185">
        <w:rPr>
          <w:rFonts w:eastAsia="Times New Roman"/>
          <w:noProof/>
          <w:color w:val="000000" w:themeColor="text1"/>
        </w:rPr>
        <w:t xml:space="preserve"> </w:t>
      </w:r>
      <w:r w:rsidR="3B0DE4F0" w:rsidRPr="00CE2185">
        <w:rPr>
          <w:rFonts w:eastAsia="Times New Roman"/>
          <w:noProof/>
          <w:color w:val="000000" w:themeColor="text1"/>
        </w:rPr>
        <w:t>pass on to their suppliers</w:t>
      </w:r>
      <w:r w:rsidR="00192DD8" w:rsidRPr="00CE2185">
        <w:rPr>
          <w:rFonts w:eastAsia="Times New Roman"/>
          <w:noProof/>
          <w:color w:val="000000" w:themeColor="text1"/>
        </w:rPr>
        <w:t>, in order</w:t>
      </w:r>
      <w:r w:rsidR="65E396D7" w:rsidRPr="00CE2185">
        <w:rPr>
          <w:rFonts w:eastAsia="Times New Roman"/>
          <w:noProof/>
          <w:color w:val="000000" w:themeColor="text1"/>
        </w:rPr>
        <w:t xml:space="preserve"> </w:t>
      </w:r>
      <w:r w:rsidR="00D409C6" w:rsidRPr="00CE2185">
        <w:rPr>
          <w:rFonts w:eastAsia="Times New Roman"/>
          <w:noProof/>
          <w:color w:val="000000" w:themeColor="text1"/>
        </w:rPr>
        <w:t xml:space="preserve">to ensure legal certainty and </w:t>
      </w:r>
      <w:r w:rsidR="0039471A" w:rsidRPr="00CE2185">
        <w:rPr>
          <w:rFonts w:eastAsia="Times New Roman"/>
          <w:noProof/>
          <w:color w:val="000000" w:themeColor="text1"/>
        </w:rPr>
        <w:t xml:space="preserve">prevent the undue passing on of obligations on entities not in scope of the NIS2 Directive </w:t>
      </w:r>
      <w:r w:rsidR="001561CD">
        <w:rPr>
          <w:rFonts w:eastAsia="Times New Roman"/>
          <w:noProof/>
          <w:color w:val="000000" w:themeColor="text1"/>
        </w:rPr>
        <w:t>[…]</w:t>
      </w:r>
      <w:r w:rsidR="0039471A" w:rsidRPr="00CE2185">
        <w:rPr>
          <w:rFonts w:eastAsia="Times New Roman"/>
          <w:noProof/>
          <w:color w:val="000000" w:themeColor="text1"/>
        </w:rPr>
        <w:t>;</w:t>
      </w:r>
    </w:p>
    <w:p w14:paraId="4DCD6B68" w14:textId="630F2CB8" w:rsidR="0033097B" w:rsidRPr="00CE2185" w:rsidRDefault="00BD04AE" w:rsidP="00EE3DF9">
      <w:pPr>
        <w:pStyle w:val="ListParagraph"/>
        <w:numPr>
          <w:ilvl w:val="0"/>
          <w:numId w:val="16"/>
        </w:numPr>
        <w:spacing w:after="120"/>
        <w:ind w:left="360"/>
        <w:contextualSpacing w:val="0"/>
        <w:rPr>
          <w:rFonts w:eastAsia="Times New Roman"/>
          <w:noProof/>
          <w:color w:val="000000" w:themeColor="text1"/>
        </w:rPr>
      </w:pPr>
      <w:r w:rsidRPr="00CE2185">
        <w:rPr>
          <w:rFonts w:eastAsia="Times New Roman"/>
          <w:noProof/>
          <w:color w:val="000000" w:themeColor="text1"/>
        </w:rPr>
        <w:t>clarifying</w:t>
      </w:r>
      <w:r w:rsidR="0039471A" w:rsidRPr="00CE2185">
        <w:rPr>
          <w:rFonts w:eastAsia="Times New Roman"/>
          <w:noProof/>
          <w:color w:val="000000" w:themeColor="text1"/>
        </w:rPr>
        <w:t xml:space="preserve"> </w:t>
      </w:r>
      <w:r w:rsidR="00F57D9D" w:rsidRPr="00CE2185">
        <w:rPr>
          <w:rFonts w:eastAsia="Times New Roman"/>
          <w:noProof/>
          <w:color w:val="000000" w:themeColor="text1"/>
        </w:rPr>
        <w:t>the scope</w:t>
      </w:r>
      <w:r w:rsidR="0062531A" w:rsidRPr="00CE2185">
        <w:rPr>
          <w:rFonts w:eastAsia="Times New Roman"/>
          <w:noProof/>
          <w:color w:val="000000" w:themeColor="text1"/>
        </w:rPr>
        <w:t xml:space="preserve"> of the NIS2 Directive, including definitions</w:t>
      </w:r>
      <w:r w:rsidR="4DE08EFC" w:rsidRPr="00CE2185">
        <w:rPr>
          <w:rFonts w:eastAsia="Times New Roman"/>
          <w:noProof/>
          <w:color w:val="000000" w:themeColor="text1"/>
        </w:rPr>
        <w:t>;</w:t>
      </w:r>
      <w:r w:rsidR="00F57D9D" w:rsidRPr="00CE2185">
        <w:rPr>
          <w:rFonts w:eastAsia="Times New Roman"/>
          <w:noProof/>
          <w:color w:val="000000" w:themeColor="text1"/>
        </w:rPr>
        <w:t xml:space="preserve"> </w:t>
      </w:r>
    </w:p>
    <w:p w14:paraId="26BF5C10" w14:textId="6C4747F6" w:rsidR="00F57D9D" w:rsidRPr="00CE2185" w:rsidRDefault="00CC2615" w:rsidP="00EE3DF9">
      <w:pPr>
        <w:pStyle w:val="ListParagraph"/>
        <w:numPr>
          <w:ilvl w:val="0"/>
          <w:numId w:val="16"/>
        </w:numPr>
        <w:spacing w:after="120"/>
        <w:ind w:left="360"/>
        <w:contextualSpacing w:val="0"/>
        <w:rPr>
          <w:rFonts w:eastAsia="Times New Roman"/>
          <w:noProof/>
          <w:color w:val="000000" w:themeColor="text1"/>
        </w:rPr>
      </w:pPr>
      <w:r w:rsidRPr="00CE2185">
        <w:rPr>
          <w:rFonts w:eastAsia="Times New Roman"/>
          <w:noProof/>
          <w:color w:val="000000" w:themeColor="text1"/>
        </w:rPr>
        <w:t xml:space="preserve">to streamline </w:t>
      </w:r>
      <w:r w:rsidR="00F57D9D" w:rsidRPr="00CE2185">
        <w:rPr>
          <w:rFonts w:eastAsia="Times New Roman"/>
          <w:noProof/>
          <w:color w:val="000000" w:themeColor="text1"/>
        </w:rPr>
        <w:t xml:space="preserve">ransomware reporting to inform policies and assess the effectiveness of measures taken against ransomware attacks. </w:t>
      </w:r>
    </w:p>
    <w:tbl>
      <w:tblPr>
        <w:tblStyle w:val="TableGrid"/>
        <w:tblW w:w="9180" w:type="dxa"/>
        <w:tblLayout w:type="fixed"/>
        <w:tblLook w:val="06A0" w:firstRow="1" w:lastRow="0" w:firstColumn="1" w:lastColumn="0" w:noHBand="1" w:noVBand="1"/>
      </w:tblPr>
      <w:tblGrid>
        <w:gridCol w:w="9180"/>
      </w:tblGrid>
      <w:tr w:rsidR="00F57D9D" w:rsidRPr="00CE2185" w14:paraId="04E274A5" w14:textId="77777777" w:rsidTr="00B849C1">
        <w:trPr>
          <w:trHeight w:val="300"/>
        </w:trPr>
        <w:tc>
          <w:tcPr>
            <w:tcW w:w="9180" w:type="dxa"/>
          </w:tcPr>
          <w:p w14:paraId="163B8823" w14:textId="5865D0B8" w:rsidR="00F57D9D" w:rsidRPr="00CE2185" w:rsidRDefault="00F57D9D" w:rsidP="00795DF0">
            <w:pPr>
              <w:spacing w:before="120" w:after="120"/>
              <w:rPr>
                <w:b/>
                <w:bCs/>
                <w:i/>
                <w:iCs/>
                <w:noProof/>
                <w:color w:val="000000" w:themeColor="text1"/>
              </w:rPr>
            </w:pPr>
            <w:r w:rsidRPr="00CE2185">
              <w:rPr>
                <w:b/>
                <w:bCs/>
                <w:i/>
                <w:iCs/>
                <w:noProof/>
                <w:color w:val="000000" w:themeColor="text1"/>
              </w:rPr>
              <w:t xml:space="preserve">Option C.2: </w:t>
            </w:r>
            <w:r w:rsidR="00E50E0A" w:rsidRPr="00CE2185">
              <w:rPr>
                <w:b/>
                <w:bCs/>
                <w:i/>
                <w:iCs/>
                <w:noProof/>
                <w:color w:val="000000" w:themeColor="text1"/>
              </w:rPr>
              <w:t>Targeted intervention – further simplification of compliance with relevant Union cybersecurity legislative framework</w:t>
            </w:r>
          </w:p>
        </w:tc>
      </w:tr>
    </w:tbl>
    <w:p w14:paraId="387E3520" w14:textId="18EC1453" w:rsidR="00F07127" w:rsidRPr="00CE2185" w:rsidRDefault="00F57D9D" w:rsidP="009B6D44">
      <w:pPr>
        <w:spacing w:before="120" w:after="120"/>
        <w:rPr>
          <w:rFonts w:eastAsia="Times New Roman"/>
          <w:noProof/>
          <w:color w:val="000000" w:themeColor="text1"/>
        </w:rPr>
      </w:pPr>
      <w:r w:rsidRPr="00CE2185">
        <w:rPr>
          <w:rFonts w:eastAsia="Times New Roman"/>
          <w:noProof/>
          <w:color w:val="000000" w:themeColor="text1"/>
        </w:rPr>
        <w:t xml:space="preserve">Option C.2 involves limited intervention </w:t>
      </w:r>
      <w:r w:rsidR="004517D5" w:rsidRPr="00CE2185">
        <w:rPr>
          <w:rFonts w:eastAsia="Times New Roman"/>
          <w:noProof/>
          <w:color w:val="000000" w:themeColor="text1"/>
        </w:rPr>
        <w:t>through changes in the CSA and the NIS2 Directive</w:t>
      </w:r>
      <w:r w:rsidRPr="00CE2185">
        <w:rPr>
          <w:rFonts w:eastAsia="Times New Roman"/>
          <w:noProof/>
          <w:color w:val="000000" w:themeColor="text1"/>
        </w:rPr>
        <w:t xml:space="preserve"> aiming at simplifying specific aspects of the cybersecurity framework</w:t>
      </w:r>
      <w:r w:rsidR="000C2D75" w:rsidRPr="00CE2185">
        <w:rPr>
          <w:rFonts w:eastAsia="Times New Roman"/>
          <w:noProof/>
          <w:color w:val="000000" w:themeColor="text1"/>
        </w:rPr>
        <w:t xml:space="preserve"> and </w:t>
      </w:r>
      <w:r w:rsidR="00646DC0" w:rsidRPr="00CE2185">
        <w:rPr>
          <w:rFonts w:eastAsia="Times New Roman"/>
          <w:noProof/>
          <w:color w:val="000000" w:themeColor="text1"/>
        </w:rPr>
        <w:t xml:space="preserve">adoption of </w:t>
      </w:r>
      <w:r w:rsidR="000C2D75" w:rsidRPr="00CE2185">
        <w:rPr>
          <w:rFonts w:eastAsia="Times New Roman"/>
          <w:noProof/>
          <w:color w:val="000000" w:themeColor="text1"/>
        </w:rPr>
        <w:t xml:space="preserve">the set of guidelines to </w:t>
      </w:r>
      <w:r w:rsidR="00646DC0" w:rsidRPr="00CE2185">
        <w:rPr>
          <w:rFonts w:eastAsia="Times New Roman"/>
          <w:noProof/>
          <w:color w:val="000000" w:themeColor="text1"/>
        </w:rPr>
        <w:t xml:space="preserve">enhance legal certainty and </w:t>
      </w:r>
      <w:r w:rsidR="00B87430" w:rsidRPr="00CE2185">
        <w:rPr>
          <w:rFonts w:eastAsia="Times New Roman"/>
          <w:noProof/>
          <w:color w:val="000000" w:themeColor="text1"/>
        </w:rPr>
        <w:t>harmonised implementation</w:t>
      </w:r>
      <w:r w:rsidRPr="00CE2185">
        <w:rPr>
          <w:rFonts w:eastAsia="Times New Roman"/>
          <w:noProof/>
          <w:color w:val="000000" w:themeColor="text1"/>
        </w:rPr>
        <w:t xml:space="preserve">. </w:t>
      </w:r>
    </w:p>
    <w:p w14:paraId="60BBBFA3" w14:textId="1CC6D9A1" w:rsidR="006A260D" w:rsidRPr="00CE2185" w:rsidRDefault="00B87430" w:rsidP="00795DF0">
      <w:pPr>
        <w:spacing w:after="120"/>
        <w:rPr>
          <w:rFonts w:eastAsia="Times New Roman"/>
          <w:noProof/>
          <w:color w:val="000000" w:themeColor="text1"/>
        </w:rPr>
      </w:pPr>
      <w:r w:rsidRPr="00CE2185">
        <w:rPr>
          <w:rFonts w:eastAsia="Times New Roman"/>
          <w:noProof/>
        </w:rPr>
        <w:t>This option</w:t>
      </w:r>
      <w:r w:rsidR="006A260D" w:rsidRPr="00CE2185">
        <w:rPr>
          <w:rFonts w:eastAsia="Times New Roman"/>
          <w:noProof/>
        </w:rPr>
        <w:t xml:space="preserve"> would </w:t>
      </w:r>
      <w:r w:rsidR="006A260D" w:rsidRPr="00CE2185">
        <w:rPr>
          <w:rFonts w:eastAsia="Times New Roman"/>
          <w:noProof/>
          <w:color w:val="000000" w:themeColor="text1"/>
        </w:rPr>
        <w:t xml:space="preserve">introduce the possibility of </w:t>
      </w:r>
      <w:r w:rsidR="002115D4" w:rsidRPr="00CE2185">
        <w:rPr>
          <w:rFonts w:eastAsia="Times New Roman"/>
          <w:noProof/>
          <w:color w:val="000000" w:themeColor="text1"/>
        </w:rPr>
        <w:t xml:space="preserve">using </w:t>
      </w:r>
      <w:r w:rsidR="006A260D" w:rsidRPr="00CE2185">
        <w:rPr>
          <w:rFonts w:eastAsia="Times New Roman"/>
          <w:noProof/>
          <w:color w:val="000000" w:themeColor="text1"/>
        </w:rPr>
        <w:t xml:space="preserve">organisational cybersecurity certification schemes </w:t>
      </w:r>
      <w:r w:rsidR="002115D4" w:rsidRPr="00CE2185">
        <w:rPr>
          <w:rFonts w:eastAsia="Times New Roman"/>
          <w:noProof/>
          <w:color w:val="000000" w:themeColor="text1"/>
        </w:rPr>
        <w:t>developed with</w:t>
      </w:r>
      <w:r w:rsidR="006A260D" w:rsidRPr="00CE2185">
        <w:rPr>
          <w:rFonts w:eastAsia="Times New Roman"/>
          <w:noProof/>
          <w:color w:val="000000" w:themeColor="text1"/>
        </w:rPr>
        <w:t>in the ECCF</w:t>
      </w:r>
      <w:r w:rsidR="006A260D" w:rsidRPr="00CE2185">
        <w:rPr>
          <w:rStyle w:val="FootnoteReference"/>
          <w:rFonts w:eastAsia="Times New Roman"/>
          <w:noProof/>
          <w:color w:val="000000" w:themeColor="text1"/>
        </w:rPr>
        <w:footnoteReference w:id="124"/>
      </w:r>
      <w:r w:rsidR="002115D4" w:rsidRPr="00CE2185">
        <w:rPr>
          <w:rFonts w:eastAsia="Times New Roman"/>
          <w:noProof/>
          <w:color w:val="000000" w:themeColor="text1"/>
        </w:rPr>
        <w:t xml:space="preserve"> (</w:t>
      </w:r>
      <w:r w:rsidR="1F6777EC" w:rsidRPr="00CE2185">
        <w:rPr>
          <w:rFonts w:eastAsia="Times New Roman"/>
          <w:i/>
          <w:iCs/>
          <w:noProof/>
          <w:color w:val="000000" w:themeColor="text1"/>
        </w:rPr>
        <w:t>cannot materialise without</w:t>
      </w:r>
      <w:r w:rsidR="002115D4" w:rsidRPr="00CE2185">
        <w:rPr>
          <w:rFonts w:eastAsia="Times New Roman"/>
          <w:i/>
          <w:iCs/>
          <w:noProof/>
          <w:color w:val="000000" w:themeColor="text1"/>
        </w:rPr>
        <w:t xml:space="preserve"> options B.2 a</w:t>
      </w:r>
      <w:r w:rsidR="00C12924" w:rsidRPr="00CE2185">
        <w:rPr>
          <w:rFonts w:eastAsia="Times New Roman"/>
          <w:i/>
          <w:iCs/>
          <w:noProof/>
          <w:color w:val="000000" w:themeColor="text1"/>
        </w:rPr>
        <w:t>nd B</w:t>
      </w:r>
      <w:r w:rsidR="00C12924" w:rsidRPr="00CE2185">
        <w:rPr>
          <w:rFonts w:eastAsia="Times New Roman"/>
          <w:noProof/>
          <w:color w:val="000000" w:themeColor="text1"/>
        </w:rPr>
        <w:t>.3</w:t>
      </w:r>
      <w:r w:rsidR="00DC495B" w:rsidRPr="00CE2185">
        <w:rPr>
          <w:rFonts w:eastAsia="Times New Roman"/>
          <w:noProof/>
          <w:color w:val="000000" w:themeColor="text1"/>
        </w:rPr>
        <w:t>)</w:t>
      </w:r>
      <w:r w:rsidR="00C12924" w:rsidRPr="00CE2185">
        <w:rPr>
          <w:rFonts w:eastAsia="Times New Roman"/>
          <w:noProof/>
          <w:color w:val="000000" w:themeColor="text1"/>
        </w:rPr>
        <w:t>,</w:t>
      </w:r>
      <w:r w:rsidR="006A260D" w:rsidRPr="00CE2185">
        <w:rPr>
          <w:rFonts w:eastAsia="Times New Roman"/>
          <w:noProof/>
          <w:color w:val="000000" w:themeColor="text1"/>
        </w:rPr>
        <w:t xml:space="preserve"> which would enable entities </w:t>
      </w:r>
      <w:r w:rsidR="00C27716" w:rsidRPr="00CE2185">
        <w:rPr>
          <w:rFonts w:eastAsia="Times New Roman"/>
          <w:noProof/>
          <w:color w:val="000000" w:themeColor="text1"/>
        </w:rPr>
        <w:t>and</w:t>
      </w:r>
      <w:r w:rsidR="006A260D" w:rsidRPr="00CE2185">
        <w:rPr>
          <w:rFonts w:eastAsia="Times New Roman"/>
          <w:noProof/>
          <w:color w:val="000000" w:themeColor="text1"/>
        </w:rPr>
        <w:t xml:space="preserve"> suppliers to demonstrate compliance with the NIS2 Directive and other Union legal acts where a scheme covers the respective legal requirements. This could i</w:t>
      </w:r>
      <w:r w:rsidR="006A260D" w:rsidRPr="00CE2185">
        <w:rPr>
          <w:noProof/>
        </w:rPr>
        <w:t xml:space="preserve">mprove the </w:t>
      </w:r>
      <w:r w:rsidR="006A260D" w:rsidRPr="00CE2185">
        <w:rPr>
          <w:rFonts w:eastAsia="Times New Roman"/>
          <w:noProof/>
          <w:color w:val="000000" w:themeColor="text1"/>
        </w:rPr>
        <w:t>coherent implementation of cybersecurity requirements of Union legal acts to</w:t>
      </w:r>
      <w:r w:rsidR="006A260D" w:rsidRPr="00CE2185">
        <w:rPr>
          <w:noProof/>
        </w:rPr>
        <w:t xml:space="preserve"> level the playing field across Member States.</w:t>
      </w:r>
      <w:r w:rsidR="006A260D" w:rsidRPr="00CE2185">
        <w:rPr>
          <w:rStyle w:val="FootnoteReference"/>
          <w:noProof/>
        </w:rPr>
        <w:footnoteReference w:id="125"/>
      </w:r>
      <w:r w:rsidR="006A260D" w:rsidRPr="00CE2185">
        <w:rPr>
          <w:noProof/>
        </w:rPr>
        <w:t xml:space="preserve"> </w:t>
      </w:r>
      <w:r w:rsidR="63194A35" w:rsidRPr="00CE2185">
        <w:rPr>
          <w:noProof/>
        </w:rPr>
        <w:t>Moreover</w:t>
      </w:r>
      <w:r w:rsidR="006A260D" w:rsidRPr="00CE2185">
        <w:rPr>
          <w:noProof/>
        </w:rPr>
        <w:t>, targeted amendments to the NIS2 Directive and other relevant Union legal acts would ensure that holding valid certificat</w:t>
      </w:r>
      <w:r w:rsidR="00805EF7" w:rsidRPr="00CE2185">
        <w:rPr>
          <w:noProof/>
        </w:rPr>
        <w:t>es</w:t>
      </w:r>
      <w:r w:rsidR="006A260D" w:rsidRPr="00CE2185">
        <w:rPr>
          <w:noProof/>
        </w:rPr>
        <w:t xml:space="preserve"> </w:t>
      </w:r>
      <w:r w:rsidR="00D35EB7">
        <w:rPr>
          <w:noProof/>
        </w:rPr>
        <w:t>enable to demonstrate conformity and to confer</w:t>
      </w:r>
      <w:r w:rsidR="006A260D" w:rsidRPr="00CE2185">
        <w:rPr>
          <w:noProof/>
        </w:rPr>
        <w:t xml:space="preserve"> presumption of conformity with the respective legal acts. </w:t>
      </w:r>
      <w:r w:rsidR="085AC034" w:rsidRPr="00CE2185">
        <w:rPr>
          <w:noProof/>
        </w:rPr>
        <w:t>It</w:t>
      </w:r>
      <w:r w:rsidR="006A260D" w:rsidRPr="00CE2185">
        <w:rPr>
          <w:noProof/>
        </w:rPr>
        <w:t xml:space="preserve"> </w:t>
      </w:r>
      <w:r w:rsidR="006A260D" w:rsidRPr="00CE2185">
        <w:rPr>
          <w:rFonts w:eastAsia="Times New Roman"/>
          <w:noProof/>
          <w:color w:val="000000" w:themeColor="text1"/>
        </w:rPr>
        <w:t xml:space="preserve">would open the possibility for mutual recognition of compliance audits amongst Member States.  </w:t>
      </w:r>
    </w:p>
    <w:p w14:paraId="6E4884B0" w14:textId="3040C457" w:rsidR="007F4D60" w:rsidRPr="00CE2185" w:rsidRDefault="007F4D60" w:rsidP="00795DF0">
      <w:pPr>
        <w:spacing w:after="120"/>
        <w:rPr>
          <w:rFonts w:eastAsia="Times New Roman"/>
          <w:noProof/>
          <w:color w:val="000000" w:themeColor="text1"/>
        </w:rPr>
      </w:pPr>
      <w:r w:rsidRPr="00CE2185">
        <w:rPr>
          <w:rFonts w:eastAsia="Times New Roman"/>
          <w:noProof/>
          <w:color w:val="000000" w:themeColor="text1"/>
        </w:rPr>
        <w:t xml:space="preserve">To further facilitate compliance with cybersecurity risk-management measures for multi-country entities subject to supervision by competent authorities from several Member States, ENISA would </w:t>
      </w:r>
      <w:r w:rsidR="00B95A35" w:rsidRPr="00CE2185">
        <w:rPr>
          <w:rFonts w:eastAsia="Times New Roman"/>
          <w:noProof/>
          <w:color w:val="000000" w:themeColor="text1"/>
        </w:rPr>
        <w:t>have</w:t>
      </w:r>
      <w:r w:rsidRPr="00CE2185">
        <w:rPr>
          <w:rFonts w:eastAsia="Times New Roman"/>
          <w:noProof/>
          <w:color w:val="000000" w:themeColor="text1"/>
        </w:rPr>
        <w:t xml:space="preserve"> a new role supporting Member States in the supervision of these entities and facilitate mutual assistance</w:t>
      </w:r>
      <w:r w:rsidR="00EE00DC" w:rsidRPr="00CE2185">
        <w:rPr>
          <w:rFonts w:eastAsia="Times New Roman"/>
          <w:noProof/>
          <w:color w:val="000000" w:themeColor="text1"/>
        </w:rPr>
        <w:t xml:space="preserve"> </w:t>
      </w:r>
      <w:r w:rsidR="008C3C5B" w:rsidRPr="00CE2185">
        <w:rPr>
          <w:rFonts w:eastAsia="Times New Roman"/>
          <w:noProof/>
          <w:color w:val="000000" w:themeColor="text1"/>
        </w:rPr>
        <w:t>and would also have for this purpose a better overview of entities under NIS2 sc</w:t>
      </w:r>
      <w:r w:rsidR="00B95A35" w:rsidRPr="00CE2185">
        <w:rPr>
          <w:rFonts w:eastAsia="Times New Roman"/>
          <w:noProof/>
          <w:color w:val="000000" w:themeColor="text1"/>
        </w:rPr>
        <w:t>ope and incidents reported across the internal market</w:t>
      </w:r>
      <w:r w:rsidR="00EE00DC" w:rsidRPr="00CE2185">
        <w:rPr>
          <w:rFonts w:eastAsia="Times New Roman"/>
          <w:noProof/>
          <w:color w:val="000000" w:themeColor="text1"/>
        </w:rPr>
        <w:t xml:space="preserve"> (</w:t>
      </w:r>
      <w:r w:rsidR="003D5784" w:rsidRPr="00CE2185">
        <w:rPr>
          <w:rFonts w:eastAsia="Times New Roman"/>
          <w:i/>
          <w:noProof/>
          <w:color w:val="000000" w:themeColor="text1"/>
        </w:rPr>
        <w:t>see option</w:t>
      </w:r>
      <w:r w:rsidR="00EE00DC" w:rsidRPr="00CE2185">
        <w:rPr>
          <w:rFonts w:eastAsia="Times New Roman"/>
          <w:i/>
          <w:noProof/>
          <w:color w:val="000000" w:themeColor="text1"/>
        </w:rPr>
        <w:t xml:space="preserve"> A.2</w:t>
      </w:r>
      <w:r w:rsidR="00EE00DC" w:rsidRPr="00CE2185">
        <w:rPr>
          <w:rFonts w:eastAsia="Times New Roman"/>
          <w:noProof/>
          <w:color w:val="000000" w:themeColor="text1"/>
        </w:rPr>
        <w:t>)</w:t>
      </w:r>
      <w:r w:rsidRPr="00CE2185">
        <w:rPr>
          <w:rFonts w:eastAsia="Times New Roman"/>
          <w:noProof/>
          <w:color w:val="000000" w:themeColor="text1"/>
        </w:rPr>
        <w:t xml:space="preserve">. </w:t>
      </w:r>
    </w:p>
    <w:p w14:paraId="01B16ED9" w14:textId="0FCC5002" w:rsidR="00775AFD" w:rsidRPr="00CE2185" w:rsidRDefault="00964ED5" w:rsidP="00795DF0">
      <w:pPr>
        <w:spacing w:after="120"/>
        <w:rPr>
          <w:rFonts w:eastAsia="Times New Roman"/>
          <w:noProof/>
          <w:color w:val="000000" w:themeColor="text1"/>
        </w:rPr>
      </w:pPr>
      <w:r w:rsidRPr="00CE2185">
        <w:rPr>
          <w:rFonts w:eastAsia="Times New Roman"/>
          <w:noProof/>
          <w:color w:val="000000" w:themeColor="text1"/>
        </w:rPr>
        <w:t>This option would also provide for a series of targeted amendments to the NIS 2 Directive</w:t>
      </w:r>
      <w:r w:rsidR="00775AFD" w:rsidRPr="00CE2185">
        <w:rPr>
          <w:rFonts w:eastAsia="Times New Roman"/>
          <w:noProof/>
          <w:color w:val="000000" w:themeColor="text1"/>
        </w:rPr>
        <w:t>:</w:t>
      </w:r>
    </w:p>
    <w:p w14:paraId="4ADBECCE" w14:textId="4444F207" w:rsidR="00775AFD" w:rsidRPr="00CE2185" w:rsidRDefault="00F57D9D" w:rsidP="00EE3DF9">
      <w:pPr>
        <w:pStyle w:val="ListParagraph"/>
        <w:numPr>
          <w:ilvl w:val="0"/>
          <w:numId w:val="17"/>
        </w:numPr>
        <w:spacing w:after="120"/>
        <w:ind w:left="425" w:hanging="357"/>
        <w:contextualSpacing w:val="0"/>
        <w:rPr>
          <w:rFonts w:eastAsia="Times New Roman"/>
          <w:noProof/>
          <w:color w:val="000000" w:themeColor="text1"/>
        </w:rPr>
      </w:pPr>
      <w:r w:rsidRPr="00CE2185">
        <w:rPr>
          <w:rFonts w:eastAsia="Times New Roman"/>
          <w:noProof/>
          <w:color w:val="000000" w:themeColor="text1"/>
        </w:rPr>
        <w:t>clarify the scope and definitions</w:t>
      </w:r>
      <w:r w:rsidR="4515C24E" w:rsidRPr="00CE2185">
        <w:rPr>
          <w:rFonts w:eastAsia="Times New Roman"/>
          <w:noProof/>
          <w:color w:val="000000" w:themeColor="text1"/>
        </w:rPr>
        <w:t xml:space="preserve"> (</w:t>
      </w:r>
      <w:r w:rsidR="002061AE" w:rsidRPr="00CE2185">
        <w:rPr>
          <w:rFonts w:eastAsia="Times New Roman"/>
          <w:noProof/>
          <w:color w:val="000000" w:themeColor="text1"/>
        </w:rPr>
        <w:t>e.g.</w:t>
      </w:r>
      <w:r w:rsidRPr="00CE2185">
        <w:rPr>
          <w:rFonts w:eastAsia="Times New Roman"/>
          <w:noProof/>
          <w:color w:val="000000" w:themeColor="text1"/>
        </w:rPr>
        <w:t xml:space="preserve"> </w:t>
      </w:r>
      <w:r w:rsidR="00056C36" w:rsidRPr="00CE2185">
        <w:rPr>
          <w:rFonts w:eastAsia="Times New Roman"/>
          <w:noProof/>
          <w:color w:val="000000" w:themeColor="text1"/>
        </w:rPr>
        <w:t>a</w:t>
      </w:r>
      <w:r w:rsidRPr="00CE2185">
        <w:rPr>
          <w:rFonts w:eastAsia="Times New Roman"/>
          <w:noProof/>
          <w:color w:val="000000" w:themeColor="text1"/>
        </w:rPr>
        <w:t xml:space="preserve"> targeted amendment to </w:t>
      </w:r>
      <w:r w:rsidR="0041359A" w:rsidRPr="00CE2185">
        <w:rPr>
          <w:rFonts w:eastAsia="Times New Roman"/>
          <w:noProof/>
          <w:color w:val="000000" w:themeColor="text1"/>
        </w:rPr>
        <w:t xml:space="preserve">clarify that the scope </w:t>
      </w:r>
      <w:r w:rsidR="764F14CE" w:rsidRPr="00CE2185">
        <w:rPr>
          <w:rFonts w:eastAsia="Times New Roman"/>
          <w:noProof/>
          <w:color w:val="000000" w:themeColor="text1"/>
        </w:rPr>
        <w:t>cover</w:t>
      </w:r>
      <w:r w:rsidR="0041359A" w:rsidRPr="00CE2185">
        <w:rPr>
          <w:rFonts w:eastAsia="Times New Roman"/>
          <w:noProof/>
          <w:color w:val="000000" w:themeColor="text1"/>
        </w:rPr>
        <w:t>s</w:t>
      </w:r>
      <w:r w:rsidRPr="00CE2185">
        <w:rPr>
          <w:rFonts w:eastAsia="Times New Roman"/>
          <w:noProof/>
          <w:color w:val="000000" w:themeColor="text1"/>
        </w:rPr>
        <w:t xml:space="preserve"> only entities for which generation of electricity is an essential part of their general activity</w:t>
      </w:r>
      <w:r w:rsidR="5B758FC2" w:rsidRPr="00CE2185">
        <w:rPr>
          <w:rFonts w:eastAsia="Times New Roman"/>
          <w:noProof/>
          <w:color w:val="000000" w:themeColor="text1"/>
        </w:rPr>
        <w:t>);</w:t>
      </w:r>
      <w:r w:rsidRPr="00CE2185">
        <w:rPr>
          <w:rFonts w:eastAsia="Times New Roman"/>
          <w:noProof/>
          <w:color w:val="000000" w:themeColor="text1"/>
        </w:rPr>
        <w:t xml:space="preserve"> </w:t>
      </w:r>
    </w:p>
    <w:p w14:paraId="1B882ECC" w14:textId="4C8F3EC5" w:rsidR="00DB64DD" w:rsidRPr="00CE2185" w:rsidRDefault="00F57D9D" w:rsidP="00EE3DF9">
      <w:pPr>
        <w:pStyle w:val="ListParagraph"/>
        <w:numPr>
          <w:ilvl w:val="0"/>
          <w:numId w:val="17"/>
        </w:numPr>
        <w:spacing w:after="120"/>
        <w:ind w:left="425" w:hanging="357"/>
        <w:contextualSpacing w:val="0"/>
        <w:rPr>
          <w:rFonts w:eastAsia="Times New Roman"/>
          <w:noProof/>
          <w:color w:val="000000" w:themeColor="text1"/>
        </w:rPr>
      </w:pPr>
      <w:r w:rsidRPr="00CE2185">
        <w:rPr>
          <w:rFonts w:eastAsia="Times New Roman"/>
          <w:noProof/>
          <w:color w:val="000000" w:themeColor="text1"/>
        </w:rPr>
        <w:t>reduce the scope as regard</w:t>
      </w:r>
      <w:r w:rsidR="00FD39EB" w:rsidRPr="00CE2185">
        <w:rPr>
          <w:rFonts w:eastAsia="Times New Roman"/>
          <w:noProof/>
          <w:color w:val="000000" w:themeColor="text1"/>
        </w:rPr>
        <w:t>s</w:t>
      </w:r>
      <w:r w:rsidRPr="00CE2185">
        <w:rPr>
          <w:rFonts w:eastAsia="Times New Roman"/>
          <w:noProof/>
          <w:color w:val="000000" w:themeColor="text1"/>
        </w:rPr>
        <w:t xml:space="preserve"> micro- and small-sized DNS service providers</w:t>
      </w:r>
      <w:r w:rsidR="0BDE9F26" w:rsidRPr="00CE2185">
        <w:rPr>
          <w:rFonts w:eastAsia="Times New Roman"/>
          <w:noProof/>
          <w:color w:val="000000" w:themeColor="text1"/>
        </w:rPr>
        <w:t>;</w:t>
      </w:r>
      <w:r w:rsidRPr="00CE2185">
        <w:rPr>
          <w:rFonts w:eastAsia="Times New Roman"/>
          <w:noProof/>
          <w:color w:val="000000" w:themeColor="text1"/>
        </w:rPr>
        <w:t xml:space="preserve"> </w:t>
      </w:r>
    </w:p>
    <w:p w14:paraId="77D65416" w14:textId="77777777" w:rsidR="0042754E" w:rsidRPr="00CE2185" w:rsidRDefault="0042754E" w:rsidP="00EE3DF9">
      <w:pPr>
        <w:pStyle w:val="ListParagraph"/>
        <w:numPr>
          <w:ilvl w:val="0"/>
          <w:numId w:val="17"/>
        </w:numPr>
        <w:spacing w:after="120"/>
        <w:ind w:left="425" w:hanging="357"/>
        <w:contextualSpacing w:val="0"/>
        <w:rPr>
          <w:rFonts w:eastAsia="Times New Roman"/>
          <w:noProof/>
          <w:color w:val="000000" w:themeColor="text1"/>
        </w:rPr>
      </w:pPr>
      <w:r w:rsidRPr="00CE2185">
        <w:rPr>
          <w:rFonts w:eastAsia="Times New Roman"/>
          <w:noProof/>
          <w:color w:val="000000" w:themeColor="text1"/>
        </w:rPr>
        <w:t xml:space="preserve">introduce maximum harmonisation for implementing acts under Articles 21(5) – </w:t>
      </w:r>
      <w:r w:rsidRPr="00CE2185">
        <w:rPr>
          <w:rFonts w:eastAsia="Times New Roman"/>
          <w:i/>
          <w:noProof/>
          <w:color w:val="000000" w:themeColor="text1"/>
        </w:rPr>
        <w:t>specifying the</w:t>
      </w:r>
      <w:r w:rsidRPr="00CE2185">
        <w:rPr>
          <w:rFonts w:eastAsia="Times New Roman"/>
          <w:noProof/>
          <w:color w:val="000000" w:themeColor="text1"/>
        </w:rPr>
        <w:t xml:space="preserve"> </w:t>
      </w:r>
      <w:r w:rsidRPr="00CE2185">
        <w:rPr>
          <w:rFonts w:eastAsia="Times New Roman"/>
          <w:i/>
          <w:iCs/>
          <w:noProof/>
          <w:color w:val="000000" w:themeColor="text1"/>
        </w:rPr>
        <w:t>cybersecurity risk-management measures</w:t>
      </w:r>
      <w:r w:rsidRPr="00CE2185">
        <w:rPr>
          <w:rFonts w:eastAsia="Times New Roman"/>
          <w:noProof/>
          <w:color w:val="000000" w:themeColor="text1"/>
        </w:rPr>
        <w:t xml:space="preserve"> – and 23(11) – </w:t>
      </w:r>
      <w:r w:rsidRPr="00CE2185">
        <w:rPr>
          <w:rFonts w:eastAsia="Times New Roman"/>
          <w:i/>
          <w:noProof/>
          <w:color w:val="000000" w:themeColor="text1"/>
        </w:rPr>
        <w:t>specifying</w:t>
      </w:r>
      <w:r w:rsidRPr="00CE2185" w:rsidDel="7380AE1E">
        <w:rPr>
          <w:rFonts w:eastAsia="Times New Roman"/>
          <w:i/>
          <w:noProof/>
          <w:color w:val="000000" w:themeColor="text1"/>
        </w:rPr>
        <w:t xml:space="preserve"> </w:t>
      </w:r>
      <w:r w:rsidRPr="00CE2185">
        <w:rPr>
          <w:rFonts w:eastAsia="Times New Roman"/>
          <w:i/>
          <w:noProof/>
          <w:color w:val="000000" w:themeColor="text1"/>
        </w:rPr>
        <w:t>the</w:t>
      </w:r>
      <w:r w:rsidRPr="00CE2185">
        <w:rPr>
          <w:rFonts w:eastAsia="Times New Roman"/>
          <w:noProof/>
          <w:color w:val="000000" w:themeColor="text1"/>
        </w:rPr>
        <w:t xml:space="preserve"> </w:t>
      </w:r>
      <w:r w:rsidRPr="00CE2185">
        <w:rPr>
          <w:rFonts w:eastAsia="Times New Roman"/>
          <w:i/>
          <w:iCs/>
          <w:noProof/>
          <w:color w:val="000000" w:themeColor="text1"/>
        </w:rPr>
        <w:t xml:space="preserve">significant incidents – </w:t>
      </w:r>
      <w:r w:rsidRPr="00CE2185">
        <w:rPr>
          <w:rFonts w:eastAsia="Times New Roman"/>
          <w:noProof/>
          <w:color w:val="000000" w:themeColor="text1"/>
        </w:rPr>
        <w:t xml:space="preserve">to facilitate compliance for entities and supervision for authorities. </w:t>
      </w:r>
    </w:p>
    <w:p w14:paraId="6F23EEA8" w14:textId="1E8D67FE" w:rsidR="008E4A1C" w:rsidRPr="00CE2185" w:rsidRDefault="00DB64DD" w:rsidP="00EE3DF9">
      <w:pPr>
        <w:pStyle w:val="ListParagraph"/>
        <w:numPr>
          <w:ilvl w:val="0"/>
          <w:numId w:val="17"/>
        </w:numPr>
        <w:spacing w:after="120"/>
        <w:ind w:left="425" w:hanging="357"/>
        <w:contextualSpacing w:val="0"/>
        <w:rPr>
          <w:rFonts w:eastAsia="Times New Roman"/>
          <w:noProof/>
          <w:color w:val="000000" w:themeColor="text1"/>
        </w:rPr>
      </w:pPr>
      <w:r w:rsidRPr="00CE2185">
        <w:rPr>
          <w:rFonts w:eastAsia="Times New Roman"/>
          <w:noProof/>
          <w:color w:val="000000" w:themeColor="text1"/>
        </w:rPr>
        <w:t xml:space="preserve">introduce </w:t>
      </w:r>
      <w:r w:rsidR="008C75A4" w:rsidRPr="00CE2185">
        <w:rPr>
          <w:rFonts w:eastAsia="Times New Roman"/>
          <w:noProof/>
          <w:color w:val="000000" w:themeColor="text1"/>
        </w:rPr>
        <w:t>a new category of small mid-caps, in line with the 2025 Commission Recommendation on the definition of small mid-cap enterprises.</w:t>
      </w:r>
      <w:r w:rsidR="008C75A4" w:rsidRPr="00CE2185">
        <w:rPr>
          <w:rStyle w:val="FootnoteReference"/>
          <w:rFonts w:eastAsia="Times New Roman"/>
          <w:noProof/>
          <w:color w:val="000000" w:themeColor="text1"/>
        </w:rPr>
        <w:footnoteReference w:id="126"/>
      </w:r>
      <w:r w:rsidR="008C75A4" w:rsidRPr="00CE2185">
        <w:rPr>
          <w:rFonts w:eastAsia="Times New Roman"/>
          <w:noProof/>
          <w:color w:val="000000" w:themeColor="text1"/>
        </w:rPr>
        <w:t xml:space="preserve"> Entities qualifying </w:t>
      </w:r>
      <w:bookmarkStart w:id="87" w:name="_Hlk209983314"/>
      <w:r w:rsidR="008C75A4" w:rsidRPr="00CE2185">
        <w:rPr>
          <w:rFonts w:eastAsia="Times New Roman"/>
          <w:noProof/>
          <w:color w:val="000000" w:themeColor="text1"/>
        </w:rPr>
        <w:t>as small mid-caps would be designated as important entities</w:t>
      </w:r>
      <w:bookmarkEnd w:id="87"/>
      <w:r w:rsidR="008C75A4" w:rsidRPr="00CE2185">
        <w:rPr>
          <w:rFonts w:eastAsia="Times New Roman"/>
          <w:noProof/>
          <w:color w:val="000000" w:themeColor="text1"/>
        </w:rPr>
        <w:t>, reducing the</w:t>
      </w:r>
      <w:r w:rsidR="5424DB5A" w:rsidRPr="00CE2185">
        <w:rPr>
          <w:rFonts w:eastAsia="Times New Roman"/>
          <w:noProof/>
          <w:color w:val="000000" w:themeColor="text1"/>
        </w:rPr>
        <w:t>ir</w:t>
      </w:r>
      <w:r w:rsidR="008C75A4" w:rsidRPr="00CE2185">
        <w:rPr>
          <w:rFonts w:eastAsia="Times New Roman"/>
          <w:noProof/>
          <w:color w:val="000000" w:themeColor="text1"/>
        </w:rPr>
        <w:t xml:space="preserve"> burden of compliance </w:t>
      </w:r>
      <w:r w:rsidR="67388E3A" w:rsidRPr="00CE2185">
        <w:rPr>
          <w:rFonts w:eastAsia="Times New Roman"/>
          <w:noProof/>
          <w:color w:val="000000" w:themeColor="text1"/>
        </w:rPr>
        <w:t>and</w:t>
      </w:r>
      <w:r w:rsidR="008C75A4" w:rsidRPr="00CE2185">
        <w:rPr>
          <w:rFonts w:eastAsia="Times New Roman"/>
          <w:noProof/>
          <w:color w:val="000000" w:themeColor="text1"/>
        </w:rPr>
        <w:t xml:space="preserve"> the burden of supervision for competent authorities</w:t>
      </w:r>
      <w:r w:rsidR="1AEAAA7D" w:rsidRPr="00CE2185">
        <w:rPr>
          <w:rFonts w:eastAsia="Times New Roman"/>
          <w:noProof/>
          <w:color w:val="000000" w:themeColor="text1"/>
        </w:rPr>
        <w:t>;</w:t>
      </w:r>
      <w:r w:rsidR="008C75A4" w:rsidRPr="00CE2185">
        <w:rPr>
          <w:rFonts w:eastAsia="Times New Roman"/>
          <w:noProof/>
          <w:color w:val="000000" w:themeColor="text1"/>
        </w:rPr>
        <w:t xml:space="preserve"> </w:t>
      </w:r>
    </w:p>
    <w:p w14:paraId="01110864" w14:textId="4AC045A4" w:rsidR="002E59A2" w:rsidRPr="00CE2185" w:rsidRDefault="008E4A1C" w:rsidP="00EE3DF9">
      <w:pPr>
        <w:pStyle w:val="ListParagraph"/>
        <w:numPr>
          <w:ilvl w:val="0"/>
          <w:numId w:val="17"/>
        </w:numPr>
        <w:spacing w:after="120"/>
        <w:ind w:left="425" w:hanging="357"/>
        <w:rPr>
          <w:rFonts w:eastAsia="Times New Roman"/>
          <w:noProof/>
          <w:color w:val="000000" w:themeColor="text1"/>
        </w:rPr>
      </w:pPr>
      <w:r w:rsidRPr="00CE2185">
        <w:rPr>
          <w:rFonts w:eastAsia="Times New Roman"/>
          <w:noProof/>
          <w:color w:val="000000" w:themeColor="text1"/>
        </w:rPr>
        <w:t>ensure</w:t>
      </w:r>
      <w:r w:rsidR="00F57D9D" w:rsidRPr="00CE2185">
        <w:rPr>
          <w:rFonts w:eastAsia="Times New Roman"/>
          <w:noProof/>
          <w:color w:val="000000" w:themeColor="text1"/>
        </w:rPr>
        <w:t xml:space="preserve"> </w:t>
      </w:r>
      <w:r w:rsidR="000D3B13" w:rsidRPr="00CE2185">
        <w:rPr>
          <w:rFonts w:eastAsia="Times New Roman"/>
          <w:noProof/>
          <w:color w:val="000000" w:themeColor="text1"/>
        </w:rPr>
        <w:t xml:space="preserve">a harmonised collection of data on ransomware attacks by amending Article 23 of the NIS2 Directive </w:t>
      </w:r>
      <w:r w:rsidR="684C72B7" w:rsidRPr="00CE2185">
        <w:rPr>
          <w:rFonts w:eastAsia="Times New Roman"/>
          <w:noProof/>
          <w:color w:val="000000" w:themeColor="text1"/>
        </w:rPr>
        <w:t>on reporting obligations</w:t>
      </w:r>
      <w:r w:rsidR="3D26608B" w:rsidRPr="00CE2185">
        <w:rPr>
          <w:rFonts w:eastAsia="Times New Roman"/>
          <w:noProof/>
          <w:color w:val="000000" w:themeColor="text1"/>
        </w:rPr>
        <w:t>;</w:t>
      </w:r>
      <w:r w:rsidR="684C72B7" w:rsidRPr="00CE2185">
        <w:rPr>
          <w:rFonts w:eastAsia="Times New Roman"/>
          <w:noProof/>
          <w:color w:val="000000" w:themeColor="text1"/>
        </w:rPr>
        <w:t xml:space="preserve"> </w:t>
      </w:r>
    </w:p>
    <w:p w14:paraId="71F23B6A" w14:textId="3681E08F" w:rsidR="007F4617" w:rsidRPr="00CE2185" w:rsidRDefault="006E60BE" w:rsidP="00795DF0">
      <w:pPr>
        <w:spacing w:after="120"/>
        <w:rPr>
          <w:rFonts w:eastAsia="Times New Roman"/>
          <w:noProof/>
          <w:color w:val="000000" w:themeColor="text1"/>
        </w:rPr>
      </w:pPr>
      <w:r w:rsidRPr="00CE2185">
        <w:rPr>
          <w:rFonts w:eastAsia="Times New Roman"/>
          <w:noProof/>
          <w:color w:val="000000" w:themeColor="text1"/>
        </w:rPr>
        <w:t xml:space="preserve">As in Option C.1, this option would further foresee the adoption of guidelines on the application of supply chain security requirements.  </w:t>
      </w:r>
      <w:r w:rsidR="00F57D9D" w:rsidRPr="00CE2185">
        <w:rPr>
          <w:rFonts w:eastAsia="Times New Roman"/>
          <w:noProof/>
          <w:color w:val="000000" w:themeColor="text1"/>
        </w:rPr>
        <w:t xml:space="preserve"> </w:t>
      </w:r>
    </w:p>
    <w:tbl>
      <w:tblPr>
        <w:tblStyle w:val="TableGrid"/>
        <w:tblW w:w="0" w:type="auto"/>
        <w:tblLayout w:type="fixed"/>
        <w:tblLook w:val="06A0" w:firstRow="1" w:lastRow="0" w:firstColumn="1" w:lastColumn="0" w:noHBand="1" w:noVBand="1"/>
      </w:tblPr>
      <w:tblGrid>
        <w:gridCol w:w="9039"/>
      </w:tblGrid>
      <w:tr w:rsidR="00F57D9D" w:rsidRPr="00CE2185" w14:paraId="52813647" w14:textId="77777777" w:rsidTr="00B849C1">
        <w:trPr>
          <w:trHeight w:val="300"/>
        </w:trPr>
        <w:tc>
          <w:tcPr>
            <w:tcW w:w="9039" w:type="dxa"/>
          </w:tcPr>
          <w:p w14:paraId="4BBDFC34" w14:textId="2C1E21B5" w:rsidR="00F57D9D" w:rsidRPr="00CE2185" w:rsidRDefault="00F57D9D" w:rsidP="00795DF0">
            <w:pPr>
              <w:spacing w:before="120" w:after="120"/>
              <w:rPr>
                <w:b/>
                <w:bCs/>
                <w:i/>
                <w:iCs/>
                <w:noProof/>
                <w:color w:val="000000" w:themeColor="text1"/>
              </w:rPr>
            </w:pPr>
            <w:r w:rsidRPr="00CE2185">
              <w:rPr>
                <w:b/>
                <w:bCs/>
                <w:i/>
                <w:iCs/>
                <w:noProof/>
                <w:color w:val="000000" w:themeColor="text1"/>
              </w:rPr>
              <w:t>Option C.</w:t>
            </w:r>
            <w:r w:rsidR="003D72DB" w:rsidRPr="00CE2185">
              <w:rPr>
                <w:b/>
                <w:bCs/>
                <w:i/>
                <w:iCs/>
                <w:noProof/>
                <w:color w:val="000000" w:themeColor="text1"/>
              </w:rPr>
              <w:t>3</w:t>
            </w:r>
            <w:r w:rsidRPr="00CE2185">
              <w:rPr>
                <w:b/>
                <w:bCs/>
                <w:i/>
                <w:iCs/>
                <w:noProof/>
                <w:color w:val="000000" w:themeColor="text1"/>
              </w:rPr>
              <w:t>: Harmonis</w:t>
            </w:r>
            <w:r w:rsidR="00530FA8">
              <w:rPr>
                <w:b/>
                <w:bCs/>
                <w:i/>
                <w:iCs/>
                <w:noProof/>
                <w:color w:val="000000" w:themeColor="text1"/>
              </w:rPr>
              <w:t>ing</w:t>
            </w:r>
            <w:r w:rsidRPr="00CE2185">
              <w:rPr>
                <w:b/>
                <w:bCs/>
                <w:i/>
                <w:iCs/>
                <w:noProof/>
                <w:color w:val="000000" w:themeColor="text1"/>
              </w:rPr>
              <w:t xml:space="preserve"> cybersecurity-related measures set out in Union legislation</w:t>
            </w:r>
          </w:p>
        </w:tc>
      </w:tr>
    </w:tbl>
    <w:p w14:paraId="4DE449D0" w14:textId="7FCFA6F0" w:rsidR="00226969" w:rsidRPr="00CE2185" w:rsidRDefault="00F57D9D" w:rsidP="0042754E">
      <w:pPr>
        <w:spacing w:before="120" w:after="120"/>
        <w:rPr>
          <w:rFonts w:eastAsia="Times New Roman"/>
          <w:noProof/>
          <w:color w:val="000000" w:themeColor="text1"/>
        </w:rPr>
      </w:pPr>
      <w:r w:rsidRPr="00CE2185">
        <w:rPr>
          <w:rFonts w:eastAsia="Times New Roman"/>
          <w:noProof/>
          <w:color w:val="000000" w:themeColor="text1"/>
        </w:rPr>
        <w:t>This option would build on the solutions encompassed by option C.</w:t>
      </w:r>
      <w:r w:rsidR="04795BCB" w:rsidRPr="00CE2185">
        <w:rPr>
          <w:rFonts w:eastAsia="Times New Roman"/>
          <w:noProof/>
          <w:color w:val="000000" w:themeColor="text1"/>
        </w:rPr>
        <w:t>2</w:t>
      </w:r>
      <w:r w:rsidRPr="00CE2185">
        <w:rPr>
          <w:rFonts w:eastAsia="Times New Roman"/>
          <w:noProof/>
          <w:color w:val="000000" w:themeColor="text1"/>
        </w:rPr>
        <w:t xml:space="preserve">. </w:t>
      </w:r>
      <w:r w:rsidR="51F70E17" w:rsidRPr="00CE2185">
        <w:rPr>
          <w:rFonts w:eastAsia="Times New Roman"/>
          <w:noProof/>
          <w:color w:val="000000" w:themeColor="text1"/>
        </w:rPr>
        <w:t>T</w:t>
      </w:r>
      <w:r w:rsidR="77456D9D" w:rsidRPr="00CE2185">
        <w:rPr>
          <w:rFonts w:eastAsia="Times New Roman"/>
          <w:noProof/>
          <w:color w:val="000000" w:themeColor="text1"/>
        </w:rPr>
        <w:t>his option</w:t>
      </w:r>
      <w:r w:rsidRPr="00CE2185">
        <w:rPr>
          <w:rFonts w:eastAsia="Times New Roman"/>
          <w:noProof/>
          <w:color w:val="000000" w:themeColor="text1"/>
        </w:rPr>
        <w:t xml:space="preserve"> would remov</w:t>
      </w:r>
      <w:r w:rsidR="00A535EA" w:rsidRPr="00CE2185">
        <w:rPr>
          <w:rFonts w:eastAsia="Times New Roman"/>
          <w:noProof/>
          <w:color w:val="000000" w:themeColor="text1"/>
        </w:rPr>
        <w:t>e</w:t>
      </w:r>
      <w:r w:rsidRPr="00CE2185">
        <w:rPr>
          <w:rFonts w:eastAsia="Times New Roman"/>
          <w:noProof/>
          <w:color w:val="000000" w:themeColor="text1"/>
        </w:rPr>
        <w:t xml:space="preserve"> all cybersecurity risk-management measures or empowerments in relation </w:t>
      </w:r>
      <w:r w:rsidR="00F1649D" w:rsidRPr="00CE2185">
        <w:rPr>
          <w:rFonts w:eastAsia="Times New Roman"/>
          <w:noProof/>
          <w:color w:val="000000" w:themeColor="text1"/>
        </w:rPr>
        <w:t>to</w:t>
      </w:r>
      <w:r w:rsidRPr="00CE2185">
        <w:rPr>
          <w:rFonts w:eastAsia="Times New Roman"/>
          <w:noProof/>
          <w:color w:val="000000" w:themeColor="text1"/>
        </w:rPr>
        <w:t xml:space="preserve"> </w:t>
      </w:r>
      <w:r w:rsidR="00F1649D" w:rsidRPr="00CE2185">
        <w:rPr>
          <w:rFonts w:eastAsia="Times New Roman"/>
          <w:noProof/>
          <w:color w:val="000000" w:themeColor="text1"/>
        </w:rPr>
        <w:t xml:space="preserve">the cybersecurity risk-management measures </w:t>
      </w:r>
      <w:r w:rsidRPr="00CE2185">
        <w:rPr>
          <w:rFonts w:eastAsia="Times New Roman"/>
          <w:noProof/>
          <w:color w:val="000000" w:themeColor="text1"/>
        </w:rPr>
        <w:t>from sector</w:t>
      </w:r>
      <w:r w:rsidR="00020E99" w:rsidRPr="00CE2185">
        <w:rPr>
          <w:rFonts w:eastAsia="Times New Roman"/>
          <w:noProof/>
          <w:color w:val="000000" w:themeColor="text1"/>
        </w:rPr>
        <w:t>i</w:t>
      </w:r>
      <w:r w:rsidRPr="00CE2185">
        <w:rPr>
          <w:rFonts w:eastAsia="Times New Roman"/>
          <w:noProof/>
          <w:color w:val="000000" w:themeColor="text1"/>
        </w:rPr>
        <w:t>al legislation</w:t>
      </w:r>
      <w:r w:rsidR="104AC9AB" w:rsidRPr="00CE2185">
        <w:rPr>
          <w:rFonts w:eastAsia="Times New Roman"/>
          <w:noProof/>
          <w:color w:val="000000" w:themeColor="text1"/>
        </w:rPr>
        <w:t>, DORA, NCCS, PART-IS</w:t>
      </w:r>
      <w:r w:rsidR="0039023E" w:rsidRPr="00CE2185">
        <w:rPr>
          <w:rFonts w:eastAsia="Times New Roman"/>
          <w:noProof/>
          <w:color w:val="000000" w:themeColor="text1"/>
        </w:rPr>
        <w:t xml:space="preserve">. </w:t>
      </w:r>
      <w:r w:rsidR="00E85755" w:rsidRPr="00CE2185">
        <w:rPr>
          <w:rFonts w:eastAsia="Times New Roman"/>
          <w:noProof/>
          <w:color w:val="000000" w:themeColor="text1"/>
        </w:rPr>
        <w:t>I</w:t>
      </w:r>
      <w:r w:rsidR="00226969" w:rsidRPr="00CE2185">
        <w:rPr>
          <w:rFonts w:eastAsia="Times New Roman"/>
          <w:noProof/>
          <w:color w:val="000000" w:themeColor="text1"/>
        </w:rPr>
        <w:t>nstead</w:t>
      </w:r>
      <w:r w:rsidR="00356E01" w:rsidRPr="00CE2185">
        <w:rPr>
          <w:rFonts w:eastAsia="Times New Roman"/>
          <w:noProof/>
          <w:color w:val="000000" w:themeColor="text1"/>
        </w:rPr>
        <w:t>,</w:t>
      </w:r>
      <w:r w:rsidR="00226969" w:rsidRPr="00CE2185">
        <w:rPr>
          <w:rFonts w:eastAsia="Times New Roman"/>
          <w:noProof/>
          <w:color w:val="000000" w:themeColor="text1"/>
        </w:rPr>
        <w:t xml:space="preserve"> the </w:t>
      </w:r>
      <w:r w:rsidR="00E47D43" w:rsidRPr="00CE2185">
        <w:rPr>
          <w:rFonts w:eastAsia="Times New Roman"/>
          <w:noProof/>
          <w:color w:val="000000" w:themeColor="text1"/>
        </w:rPr>
        <w:t>NIS2</w:t>
      </w:r>
      <w:r w:rsidR="00226969" w:rsidRPr="00CE2185">
        <w:rPr>
          <w:rFonts w:eastAsia="Times New Roman"/>
          <w:noProof/>
          <w:color w:val="000000" w:themeColor="text1"/>
        </w:rPr>
        <w:t xml:space="preserve"> Directive ecosystem would </w:t>
      </w:r>
      <w:r w:rsidR="00020E99" w:rsidRPr="00CE2185">
        <w:rPr>
          <w:rFonts w:eastAsia="Times New Roman"/>
          <w:noProof/>
          <w:color w:val="000000" w:themeColor="text1"/>
        </w:rPr>
        <w:t xml:space="preserve">be amended to </w:t>
      </w:r>
      <w:r w:rsidR="00226969" w:rsidRPr="00CE2185">
        <w:rPr>
          <w:rFonts w:eastAsia="Times New Roman"/>
          <w:noProof/>
          <w:color w:val="000000" w:themeColor="text1"/>
        </w:rPr>
        <w:t xml:space="preserve">provide for </w:t>
      </w:r>
      <w:r w:rsidR="00D76E97" w:rsidRPr="00CE2185">
        <w:rPr>
          <w:rFonts w:eastAsia="Times New Roman"/>
          <w:noProof/>
          <w:color w:val="000000" w:themeColor="text1"/>
        </w:rPr>
        <w:t>streamlined requirements for all types of entities</w:t>
      </w:r>
      <w:r w:rsidR="00B70C07" w:rsidRPr="00CE2185">
        <w:rPr>
          <w:rFonts w:eastAsia="Times New Roman"/>
          <w:noProof/>
          <w:color w:val="000000" w:themeColor="text1"/>
        </w:rPr>
        <w:t>, ensuring in that way deeper harmonisation</w:t>
      </w:r>
      <w:r w:rsidR="00D76E97" w:rsidRPr="00CE2185">
        <w:rPr>
          <w:rFonts w:eastAsia="Times New Roman"/>
          <w:noProof/>
          <w:color w:val="000000" w:themeColor="text1"/>
        </w:rPr>
        <w:t>.</w:t>
      </w:r>
      <w:r w:rsidR="00E53F15" w:rsidRPr="00CE2185">
        <w:rPr>
          <w:rFonts w:eastAsia="Times New Roman"/>
          <w:noProof/>
          <w:color w:val="000000" w:themeColor="text1"/>
        </w:rPr>
        <w:t xml:space="preserve"> More specifically, </w:t>
      </w:r>
      <w:r w:rsidR="00C111B8" w:rsidRPr="00CE2185">
        <w:rPr>
          <w:rFonts w:eastAsia="Times New Roman"/>
          <w:noProof/>
          <w:color w:val="000000" w:themeColor="text1"/>
        </w:rPr>
        <w:t xml:space="preserve">the NIS2 ecosystem would ensure direct application of </w:t>
      </w:r>
      <w:r w:rsidR="00015134" w:rsidRPr="00CE2185">
        <w:rPr>
          <w:rFonts w:eastAsia="Times New Roman"/>
          <w:noProof/>
          <w:color w:val="000000" w:themeColor="text1"/>
        </w:rPr>
        <w:t>the</w:t>
      </w:r>
      <w:r w:rsidR="00C111B8" w:rsidRPr="00CE2185">
        <w:rPr>
          <w:rFonts w:eastAsia="Times New Roman"/>
          <w:noProof/>
          <w:color w:val="000000" w:themeColor="text1"/>
        </w:rPr>
        <w:t xml:space="preserve"> cybersecurity requirements, which could be achieved either through turning NIS2 in a regulation, or, </w:t>
      </w:r>
      <w:r w:rsidR="00015134" w:rsidRPr="00CE2185">
        <w:rPr>
          <w:rFonts w:eastAsia="Times New Roman"/>
          <w:noProof/>
          <w:color w:val="000000" w:themeColor="text1"/>
        </w:rPr>
        <w:t>while still remaining</w:t>
      </w:r>
      <w:r w:rsidR="00C111B8" w:rsidRPr="00CE2185">
        <w:rPr>
          <w:rFonts w:eastAsia="Times New Roman"/>
          <w:noProof/>
          <w:color w:val="000000" w:themeColor="text1"/>
        </w:rPr>
        <w:t xml:space="preserve"> </w:t>
      </w:r>
      <w:r w:rsidR="007E51E6" w:rsidRPr="00CE2185">
        <w:rPr>
          <w:rFonts w:eastAsia="Times New Roman"/>
          <w:noProof/>
          <w:color w:val="000000" w:themeColor="text1"/>
        </w:rPr>
        <w:t>a directive</w:t>
      </w:r>
      <w:r w:rsidR="00015134" w:rsidRPr="00CE2185">
        <w:rPr>
          <w:rFonts w:eastAsia="Times New Roman"/>
          <w:noProof/>
          <w:color w:val="000000" w:themeColor="text1"/>
        </w:rPr>
        <w:t>,</w:t>
      </w:r>
      <w:r w:rsidR="007E51E6" w:rsidRPr="00CE2185">
        <w:rPr>
          <w:rFonts w:eastAsia="Times New Roman"/>
          <w:noProof/>
          <w:color w:val="000000" w:themeColor="text1"/>
        </w:rPr>
        <w:t xml:space="preserve"> allowing </w:t>
      </w:r>
      <w:r w:rsidR="00015134" w:rsidRPr="00CE2185">
        <w:rPr>
          <w:rFonts w:eastAsia="Times New Roman"/>
          <w:noProof/>
          <w:color w:val="000000" w:themeColor="text1"/>
        </w:rPr>
        <w:t xml:space="preserve">for </w:t>
      </w:r>
      <w:r w:rsidR="007E51E6" w:rsidRPr="00CE2185">
        <w:rPr>
          <w:rFonts w:eastAsia="Times New Roman"/>
          <w:noProof/>
          <w:color w:val="000000" w:themeColor="text1"/>
        </w:rPr>
        <w:t>maximum harmonisation of empowerments for implementing acts, which can also be sector-specific</w:t>
      </w:r>
      <w:r w:rsidR="006002C6" w:rsidRPr="00CE2185">
        <w:rPr>
          <w:rFonts w:eastAsia="Times New Roman"/>
          <w:noProof/>
          <w:color w:val="000000" w:themeColor="text1"/>
        </w:rPr>
        <w:t>, complemented by the needed supportive standards or technical specifications. The NIS2 ecosystem can also be adapted to adjust to a wider circle of cooperation among authorities and information sharing, while ensuring secure and automatised channels of communication</w:t>
      </w:r>
      <w:r w:rsidR="00761D32" w:rsidRPr="00CE2185">
        <w:rPr>
          <w:rFonts w:eastAsia="Times New Roman"/>
          <w:noProof/>
          <w:color w:val="000000" w:themeColor="text1"/>
        </w:rPr>
        <w:t xml:space="preserve"> and reporting</w:t>
      </w:r>
      <w:r w:rsidR="006002C6" w:rsidRPr="00CE2185">
        <w:rPr>
          <w:rFonts w:eastAsia="Times New Roman"/>
          <w:noProof/>
          <w:color w:val="000000" w:themeColor="text1"/>
        </w:rPr>
        <w:t xml:space="preserve">. </w:t>
      </w:r>
      <w:r w:rsidR="00761D32" w:rsidRPr="00CE2185">
        <w:rPr>
          <w:rFonts w:eastAsia="Times New Roman"/>
          <w:noProof/>
          <w:color w:val="000000" w:themeColor="text1"/>
        </w:rPr>
        <w:t>As necessary, the NIS2 scope can also be adjusted to cater for specific sectorial coverage.</w:t>
      </w:r>
    </w:p>
    <w:p w14:paraId="296A283A" w14:textId="77777777" w:rsidR="00D10E17" w:rsidRPr="00CE2185" w:rsidRDefault="00121DE1" w:rsidP="00D10E17">
      <w:pPr>
        <w:rPr>
          <w:noProof/>
          <w:lang w:val="en-IE"/>
        </w:rPr>
      </w:pPr>
      <w:r w:rsidRPr="00CE2185">
        <w:rPr>
          <w:b/>
          <w:bCs/>
          <w:noProof/>
        </w:rPr>
        <w:t xml:space="preserve">5.2.4 </w:t>
      </w:r>
      <w:r w:rsidR="00D10E17" w:rsidRPr="00CE2185">
        <w:rPr>
          <w:b/>
          <w:bCs/>
          <w:noProof/>
        </w:rPr>
        <w:t>Options for ICT supply chain security</w:t>
      </w:r>
      <w:r w:rsidR="00D10E17" w:rsidRPr="00CE2185">
        <w:rPr>
          <w:noProof/>
          <w:lang w:val="en-IE"/>
        </w:rPr>
        <w:t> </w:t>
      </w:r>
    </w:p>
    <w:tbl>
      <w:tblPr>
        <w:tblStyle w:val="TableGrid"/>
        <w:tblW w:w="0" w:type="auto"/>
        <w:tblLook w:val="04A0" w:firstRow="1" w:lastRow="0" w:firstColumn="1" w:lastColumn="0" w:noHBand="0" w:noVBand="1"/>
      </w:tblPr>
      <w:tblGrid>
        <w:gridCol w:w="8863"/>
      </w:tblGrid>
      <w:tr w:rsidR="00D10E17" w:rsidRPr="00CE2185" w14:paraId="5D8EC6C7" w14:textId="77777777" w:rsidTr="00641B35">
        <w:tc>
          <w:tcPr>
            <w:tcW w:w="9286" w:type="dxa"/>
          </w:tcPr>
          <w:p w14:paraId="6896001A" w14:textId="77777777" w:rsidR="00D10E17" w:rsidRPr="00CE2185" w:rsidRDefault="00D10E17" w:rsidP="00641B35">
            <w:pPr>
              <w:spacing w:before="120" w:after="120"/>
              <w:rPr>
                <w:b/>
                <w:bCs/>
                <w:i/>
                <w:iCs/>
                <w:noProof/>
                <w:color w:val="000000" w:themeColor="text1"/>
              </w:rPr>
            </w:pPr>
            <w:r w:rsidRPr="00CE2185">
              <w:rPr>
                <w:b/>
                <w:bCs/>
                <w:i/>
                <w:iCs/>
                <w:noProof/>
                <w:color w:val="000000" w:themeColor="text1"/>
              </w:rPr>
              <w:t xml:space="preserve">Option D.1: </w:t>
            </w:r>
            <w:r>
              <w:rPr>
                <w:b/>
                <w:bCs/>
                <w:i/>
                <w:iCs/>
                <w:noProof/>
                <w:color w:val="000000" w:themeColor="text1"/>
              </w:rPr>
              <w:t>Taking a s</w:t>
            </w:r>
            <w:r w:rsidRPr="00CE2185">
              <w:rPr>
                <w:b/>
                <w:bCs/>
                <w:i/>
                <w:iCs/>
                <w:noProof/>
                <w:color w:val="000000" w:themeColor="text1"/>
              </w:rPr>
              <w:t>oft law approach to address cybersecurity risks for ICT supply chains</w:t>
            </w:r>
          </w:p>
        </w:tc>
      </w:tr>
    </w:tbl>
    <w:p w14:paraId="496C9842" w14:textId="77777777" w:rsidR="00D10E17" w:rsidRPr="00CE2185" w:rsidRDefault="00D10E17" w:rsidP="00D10E17">
      <w:pPr>
        <w:spacing w:before="120" w:after="120"/>
        <w:rPr>
          <w:noProof/>
        </w:rPr>
      </w:pPr>
      <w:r w:rsidRPr="00CE2185">
        <w:rPr>
          <w:noProof/>
        </w:rPr>
        <w:t xml:space="preserve">This option would not provide for regulatory intervention at EU level. Instead, the Commission would increase the number of coordinated risk assessments and voluntary toolboxes, It would provide for the priority list of areas where the risk assessments and recommendations to apply measures will be proposed with the immediate follow-up. </w:t>
      </w:r>
    </w:p>
    <w:p w14:paraId="6619FF41" w14:textId="77777777" w:rsidR="00D10E17" w:rsidRPr="00CE2185" w:rsidRDefault="00D10E17" w:rsidP="00D10E17">
      <w:pPr>
        <w:spacing w:after="120"/>
        <w:rPr>
          <w:noProof/>
        </w:rPr>
      </w:pPr>
      <w:r w:rsidRPr="00CE2185">
        <w:rPr>
          <w:noProof/>
        </w:rPr>
        <w:t>Based on this priority list, the Commission would identify the supply chains to be assessed by the NIS Cooperation Group and to develop non-binding set of recommending measures to mitigate them, as in the baseline scenario. The difference with the baseline scenario, is that the Commission will commit itself to proceed with announced risk assessments and measures. The Commission would further support the implementation of these toolboxes in relation to specific critical supply chains, by raising awareness of the non-technical risk factors and promoting use of trusted suppliers.</w:t>
      </w:r>
    </w:p>
    <w:p w14:paraId="0E62544E" w14:textId="77777777" w:rsidR="00D10E17" w:rsidRPr="00CE2185" w:rsidRDefault="00D10E17" w:rsidP="00D10E17">
      <w:pPr>
        <w:spacing w:after="120"/>
        <w:rPr>
          <w:noProof/>
        </w:rPr>
      </w:pPr>
      <w:r w:rsidRPr="00CE2185">
        <w:rPr>
          <w:noProof/>
        </w:rPr>
        <w:t>Finally, the Commission, as possible in the baseline scenario, would continue introducing security requirements on an ad hoc basis to address rising concerns related to ICT supply chains in public procurement tenders or auctions.</w:t>
      </w:r>
    </w:p>
    <w:tbl>
      <w:tblPr>
        <w:tblStyle w:val="TableGrid"/>
        <w:tblW w:w="0" w:type="auto"/>
        <w:tblLook w:val="04A0" w:firstRow="1" w:lastRow="0" w:firstColumn="1" w:lastColumn="0" w:noHBand="0" w:noVBand="1"/>
      </w:tblPr>
      <w:tblGrid>
        <w:gridCol w:w="8863"/>
      </w:tblGrid>
      <w:tr w:rsidR="00D10E17" w:rsidRPr="00CE2185" w14:paraId="238CCA3C" w14:textId="77777777" w:rsidTr="00641B35">
        <w:tc>
          <w:tcPr>
            <w:tcW w:w="9286" w:type="dxa"/>
          </w:tcPr>
          <w:p w14:paraId="6D48F931" w14:textId="77777777" w:rsidR="00D10E17" w:rsidRPr="00CE2185" w:rsidRDefault="00D10E17" w:rsidP="00641B35">
            <w:pPr>
              <w:spacing w:before="120" w:after="120"/>
              <w:rPr>
                <w:b/>
                <w:bCs/>
                <w:i/>
                <w:iCs/>
                <w:noProof/>
                <w:lang w:val="en-IE"/>
              </w:rPr>
            </w:pPr>
            <w:r w:rsidRPr="00CE2185">
              <w:rPr>
                <w:b/>
                <w:bCs/>
                <w:i/>
                <w:iCs/>
                <w:noProof/>
                <w:lang w:val="en-IE"/>
              </w:rPr>
              <w:t xml:space="preserve">Option D.2: Ad hoc regulatory intervention codifying the 5G Toolbox </w:t>
            </w:r>
          </w:p>
        </w:tc>
      </w:tr>
    </w:tbl>
    <w:p w14:paraId="6B3715F8" w14:textId="77777777" w:rsidR="00D10E17" w:rsidRPr="00CE2185" w:rsidRDefault="00D10E17" w:rsidP="00D10E17">
      <w:pPr>
        <w:spacing w:after="120"/>
        <w:rPr>
          <w:noProof/>
        </w:rPr>
      </w:pPr>
      <w:r w:rsidRPr="00CE2185">
        <w:rPr>
          <w:noProof/>
        </w:rPr>
        <w:t>This option would codify the 5G Toolbox measures. It would introduce an obligation for Member States to ensure that</w:t>
      </w:r>
      <w:r w:rsidRPr="00CE2185" w:rsidDel="00121DE1">
        <w:rPr>
          <w:noProof/>
        </w:rPr>
        <w:t xml:space="preserve"> </w:t>
      </w:r>
      <w:r w:rsidRPr="00CE2185">
        <w:rPr>
          <w:noProof/>
        </w:rPr>
        <w:t>components from high-risk suppliers are not used in key assets of the network as identified by the EU coordinated risk assessment on 5G security</w:t>
      </w:r>
      <w:r w:rsidRPr="00CE2185">
        <w:rPr>
          <w:rStyle w:val="FootnoteReference"/>
          <w:noProof/>
        </w:rPr>
        <w:footnoteReference w:id="127"/>
      </w:r>
      <w:r w:rsidRPr="00CE2185">
        <w:rPr>
          <w:noProof/>
        </w:rPr>
        <w:t xml:space="preserve">. Rather than specifying specific deadlines at EU level, this option would oblige Member States to conduct risk assessments of suppliers, design mitigation strategies, and implement measures to restrict use of equipment as identified in the EU coordinated risk assessment (i.e. core network, network function virtualisation management and orchestration (MANO), and RAN) from high-risk suppliers in 5G networks. </w:t>
      </w:r>
    </w:p>
    <w:p w14:paraId="3B52B172" w14:textId="77777777" w:rsidR="00D10E17" w:rsidRPr="00CE2185" w:rsidRDefault="00D10E17" w:rsidP="00D10E17">
      <w:pPr>
        <w:spacing w:after="120"/>
        <w:rPr>
          <w:noProof/>
          <w:lang w:val="en-IE"/>
        </w:rPr>
      </w:pPr>
      <w:r w:rsidRPr="00CE2185">
        <w:rPr>
          <w:noProof/>
        </w:rPr>
        <w:t xml:space="preserve">In addition, Member States would require operators to provide detailed and up-to-date information about their plans for the sourcing of 5G equipment and for the involvement of third-party suppliers. </w:t>
      </w:r>
    </w:p>
    <w:tbl>
      <w:tblPr>
        <w:tblStyle w:val="TableGrid"/>
        <w:tblW w:w="0" w:type="auto"/>
        <w:tblLook w:val="04A0" w:firstRow="1" w:lastRow="0" w:firstColumn="1" w:lastColumn="0" w:noHBand="0" w:noVBand="1"/>
      </w:tblPr>
      <w:tblGrid>
        <w:gridCol w:w="8863"/>
      </w:tblGrid>
      <w:tr w:rsidR="00D10E17" w:rsidRPr="00CE2185" w14:paraId="16C25303" w14:textId="77777777" w:rsidTr="00641B35">
        <w:tc>
          <w:tcPr>
            <w:tcW w:w="9286" w:type="dxa"/>
          </w:tcPr>
          <w:p w14:paraId="6E6E410C" w14:textId="77777777" w:rsidR="00D10E17" w:rsidRPr="00CE2185" w:rsidRDefault="00D10E17" w:rsidP="00641B35">
            <w:pPr>
              <w:spacing w:before="120" w:after="120"/>
              <w:rPr>
                <w:b/>
                <w:bCs/>
                <w:i/>
                <w:iCs/>
                <w:noProof/>
                <w:lang w:val="en-IE"/>
              </w:rPr>
            </w:pPr>
            <w:r w:rsidRPr="00CE2185">
              <w:rPr>
                <w:b/>
                <w:bCs/>
                <w:i/>
                <w:iCs/>
                <w:noProof/>
                <w:lang w:val="en-IE"/>
              </w:rPr>
              <w:t xml:space="preserve">Option D.3: </w:t>
            </w:r>
            <w:bookmarkStart w:id="88" w:name="_Hlk210606530"/>
            <w:r w:rsidRPr="00CE2185">
              <w:rPr>
                <w:b/>
                <w:bCs/>
                <w:i/>
                <w:iCs/>
                <w:noProof/>
                <w:lang w:val="en-IE"/>
              </w:rPr>
              <w:t xml:space="preserve">Comprehensive and horizontal </w:t>
            </w:r>
            <w:r w:rsidRPr="00CE2185">
              <w:rPr>
                <w:b/>
                <w:bCs/>
                <w:i/>
                <w:iCs/>
                <w:noProof/>
              </w:rPr>
              <w:t>framework</w:t>
            </w:r>
            <w:r w:rsidRPr="00CE2185">
              <w:rPr>
                <w:b/>
                <w:bCs/>
                <w:i/>
                <w:iCs/>
                <w:noProof/>
                <w:lang w:val="en-IE"/>
              </w:rPr>
              <w:t xml:space="preserve"> to address ICT supply chains cybersecurity risks </w:t>
            </w:r>
            <w:bookmarkEnd w:id="88"/>
          </w:p>
        </w:tc>
      </w:tr>
    </w:tbl>
    <w:p w14:paraId="37F75210" w14:textId="77777777" w:rsidR="00D10E17" w:rsidRPr="00CE2185" w:rsidRDefault="00D10E17" w:rsidP="00D10E17">
      <w:pPr>
        <w:spacing w:before="120" w:after="120"/>
        <w:rPr>
          <w:noProof/>
          <w:lang w:val="en-IE"/>
        </w:rPr>
      </w:pPr>
      <w:r w:rsidRPr="00CE2185">
        <w:rPr>
          <w:noProof/>
        </w:rPr>
        <w:t xml:space="preserve">This option would establish a </w:t>
      </w:r>
      <w:r w:rsidRPr="00CE2185">
        <w:rPr>
          <w:b/>
          <w:bCs/>
          <w:noProof/>
        </w:rPr>
        <w:t>horizontal, technology and sector-neutral regulatory framework</w:t>
      </w:r>
      <w:r w:rsidRPr="00CE2185">
        <w:rPr>
          <w:noProof/>
        </w:rPr>
        <w:t xml:space="preserve"> to address in particular </w:t>
      </w:r>
      <w:r w:rsidRPr="00CE2185">
        <w:rPr>
          <w:b/>
          <w:bCs/>
          <w:noProof/>
        </w:rPr>
        <w:t>non-technical cybersecurity risks, in ICT supply chains.</w:t>
      </w:r>
      <w:r w:rsidRPr="00CE2185">
        <w:rPr>
          <w:noProof/>
        </w:rPr>
        <w:t xml:space="preserve"> It would not include directly applicable measures on any ICT supply chains.</w:t>
      </w:r>
      <w:r w:rsidRPr="00CE2185">
        <w:rPr>
          <w:noProof/>
          <w:lang w:val="en-IE"/>
        </w:rPr>
        <w:t> </w:t>
      </w:r>
    </w:p>
    <w:p w14:paraId="2613FD97" w14:textId="77777777" w:rsidR="00D10E17" w:rsidRPr="00CE2185" w:rsidRDefault="00D10E17" w:rsidP="00D10E17">
      <w:pPr>
        <w:spacing w:after="120"/>
        <w:rPr>
          <w:noProof/>
        </w:rPr>
      </w:pPr>
      <w:r w:rsidRPr="00CE2185">
        <w:rPr>
          <w:rFonts w:eastAsia="Times New Roman"/>
          <w:noProof/>
          <w:lang w:val="en-IE"/>
        </w:rPr>
        <w:t xml:space="preserve">Instead, the framework would include empowerments allowing measures to be applied only in specific contexts, and only after several preparatory steps have been completed. This to ensure that any measure triggered is necessary and proportionate to address the security risks. Each application of the framework to a particular ICT supply chain would be based on a dedicated risk and accompanied by an assessment of economic impacts of the measures proposed — including   analysis of factors such as the availability of alternative suppliers and the potential impact on industry. The work would involve the participation of relevant stakeholders, including Member States, as described below. </w:t>
      </w:r>
      <w:r w:rsidRPr="00CE2185">
        <w:rPr>
          <w:noProof/>
        </w:rPr>
        <w:t>The framework would contain the following steps:</w:t>
      </w:r>
    </w:p>
    <w:p w14:paraId="67F45229" w14:textId="77777777" w:rsidR="00D10E17" w:rsidRPr="00CE2185" w:rsidRDefault="00D10E17" w:rsidP="00D10E17">
      <w:pPr>
        <w:numPr>
          <w:ilvl w:val="0"/>
          <w:numId w:val="18"/>
        </w:numPr>
        <w:spacing w:after="120"/>
        <w:ind w:left="425" w:hanging="357"/>
        <w:rPr>
          <w:noProof/>
          <w:lang w:val="en-IE"/>
        </w:rPr>
      </w:pPr>
      <w:r w:rsidRPr="00CE2185">
        <w:rPr>
          <w:b/>
          <w:bCs/>
          <w:noProof/>
        </w:rPr>
        <w:t xml:space="preserve">A dedicated EU coordinated security risk assessment </w:t>
      </w:r>
      <w:r w:rsidRPr="00CE2185">
        <w:rPr>
          <w:noProof/>
        </w:rPr>
        <w:t xml:space="preserve">for each identified ICT supply chain, based on the existing framework set out in the NIS2 Directive. The risk assessment will be carried out using the common methodology that was elaborated with Member States in the NIS Cooperation Group assessing risks related to  countries posing cybersecurity concerns and high-risk suppliers as well as dependencies. This step also includes a comprehensive </w:t>
      </w:r>
      <w:r w:rsidRPr="00CE2185">
        <w:rPr>
          <w:b/>
          <w:bCs/>
          <w:noProof/>
        </w:rPr>
        <w:t xml:space="preserve">economic analysis </w:t>
      </w:r>
      <w:r w:rsidRPr="00CE2185">
        <w:rPr>
          <w:noProof/>
        </w:rPr>
        <w:t>addressing among others, economic feasibility, available alternatives in the market, impact on economic operators including SMEs, and the lifecycle of the specific products, which would be factored in when determining appropriate mitigating measures such as phase-out periods for assets coming from high-risk suppliers or transition periods to remove security risk dependencies; </w:t>
      </w:r>
      <w:r w:rsidRPr="00CE2185">
        <w:rPr>
          <w:noProof/>
          <w:lang w:val="en-IE"/>
        </w:rPr>
        <w:t> </w:t>
      </w:r>
    </w:p>
    <w:p w14:paraId="2300D39A" w14:textId="77777777" w:rsidR="00D10E17" w:rsidRPr="00CE2185" w:rsidRDefault="00D10E17" w:rsidP="00D10E17">
      <w:pPr>
        <w:numPr>
          <w:ilvl w:val="0"/>
          <w:numId w:val="18"/>
        </w:numPr>
        <w:spacing w:after="120"/>
        <w:ind w:left="425" w:hanging="357"/>
        <w:rPr>
          <w:noProof/>
          <w:lang w:val="en-IE"/>
        </w:rPr>
      </w:pPr>
      <w:r w:rsidRPr="00CE2185">
        <w:rPr>
          <w:b/>
          <w:bCs/>
          <w:noProof/>
        </w:rPr>
        <w:t xml:space="preserve">Development of mitigation measures </w:t>
      </w:r>
      <w:r w:rsidRPr="00CE2185">
        <w:rPr>
          <w:noProof/>
        </w:rPr>
        <w:t xml:space="preserve">will be based on the results of the EU coordinated security risk assessments and the economic analysis, and a </w:t>
      </w:r>
      <w:r w:rsidRPr="00CE2185">
        <w:rPr>
          <w:b/>
          <w:bCs/>
          <w:noProof/>
        </w:rPr>
        <w:t>list of key assets will be established. In addition, targeted and proportionate mitigation measures to be applied for the identified key assets, will be agreed with Member States</w:t>
      </w:r>
      <w:r w:rsidRPr="00CE2185">
        <w:rPr>
          <w:noProof/>
        </w:rPr>
        <w:t xml:space="preserve">. Such mitigation measures could range from restrictions such as imposition of data localisation requirements or requirements for diversification of providers to reduce over-reliance, restrictions in terms of ownership and control, bans in public procurement or prohibition to use products from certain suppliers or from suppliers from certain countries posing cybersecurity concerns, where transition periods for phasing out hardware and software from such suppliers in these key assets would also be established; </w:t>
      </w:r>
    </w:p>
    <w:p w14:paraId="71C27337" w14:textId="77777777" w:rsidR="00D10E17" w:rsidRPr="00CE2185" w:rsidRDefault="00D10E17" w:rsidP="00D10E17">
      <w:pPr>
        <w:numPr>
          <w:ilvl w:val="0"/>
          <w:numId w:val="18"/>
        </w:numPr>
        <w:spacing w:after="120"/>
        <w:ind w:left="425" w:hanging="357"/>
        <w:rPr>
          <w:b/>
          <w:bCs/>
          <w:noProof/>
          <w:lang w:val="en-IE"/>
        </w:rPr>
      </w:pPr>
      <w:r w:rsidRPr="00CE2185">
        <w:rPr>
          <w:noProof/>
        </w:rPr>
        <w:t xml:space="preserve">The Commission would then prepare implementing acts establishing the necessary </w:t>
      </w:r>
      <w:r w:rsidRPr="00CE2185">
        <w:rPr>
          <w:b/>
          <w:bCs/>
          <w:noProof/>
        </w:rPr>
        <w:t xml:space="preserve">mitigation measures, </w:t>
      </w:r>
      <w:r w:rsidRPr="00CE2185">
        <w:rPr>
          <w:noProof/>
        </w:rPr>
        <w:t>which would be adopted following comitology procedure</w:t>
      </w:r>
      <w:r w:rsidRPr="00CE2185">
        <w:rPr>
          <w:b/>
          <w:bCs/>
          <w:noProof/>
        </w:rPr>
        <w:t xml:space="preserve"> </w:t>
      </w:r>
      <w:r w:rsidRPr="00CE2185">
        <w:rPr>
          <w:noProof/>
        </w:rPr>
        <w:t>(i.e. examination procedure).</w:t>
      </w:r>
      <w:r w:rsidRPr="00CE2185">
        <w:rPr>
          <w:b/>
          <w:bCs/>
          <w:noProof/>
        </w:rPr>
        <w:t xml:space="preserve"> </w:t>
      </w:r>
      <w:r w:rsidRPr="00CE2185">
        <w:rPr>
          <w:noProof/>
        </w:rPr>
        <w:t>The implementing acts will be</w:t>
      </w:r>
      <w:r w:rsidRPr="00CE2185">
        <w:rPr>
          <w:b/>
          <w:bCs/>
          <w:noProof/>
        </w:rPr>
        <w:t xml:space="preserve"> accompanied by a thorough assessment of the potential economic impact of the envisaged measures in accordance with the Better Regulation Toolbox. </w:t>
      </w:r>
      <w:r w:rsidRPr="00CE2185">
        <w:rPr>
          <w:b/>
          <w:bCs/>
          <w:noProof/>
          <w:lang w:val="en-IE"/>
        </w:rPr>
        <w:t> </w:t>
      </w:r>
    </w:p>
    <w:p w14:paraId="4BCAEEA1" w14:textId="77777777" w:rsidR="00D10E17" w:rsidRPr="00CE2185" w:rsidRDefault="00D10E17" w:rsidP="00D10E17">
      <w:pPr>
        <w:spacing w:after="120"/>
        <w:rPr>
          <w:noProof/>
          <w:lang w:val="en-IE"/>
        </w:rPr>
      </w:pPr>
      <w:r w:rsidRPr="00CE2185">
        <w:rPr>
          <w:noProof/>
        </w:rPr>
        <w:t>The chart below illustrates how the roll-out of option D.3 would work in practice.</w:t>
      </w:r>
      <w:r w:rsidRPr="00CE2185">
        <w:rPr>
          <w:noProof/>
          <w:lang w:val="en-IE"/>
        </w:rPr>
        <w:t> </w:t>
      </w:r>
    </w:p>
    <w:p w14:paraId="433174D3" w14:textId="77777777" w:rsidR="00D10E17" w:rsidRPr="00CE2185" w:rsidRDefault="00D10E17" w:rsidP="00D10E17">
      <w:pPr>
        <w:rPr>
          <w:noProof/>
          <w:lang w:val="en-IE"/>
        </w:rPr>
      </w:pPr>
      <w:r w:rsidRPr="00CE2185">
        <w:rPr>
          <w:noProof/>
          <w:lang w:eastAsia="en-GB"/>
        </w:rPr>
        <w:drawing>
          <wp:inline distT="0" distB="0" distL="0" distR="0" wp14:anchorId="401E1320" wp14:editId="494A68C6">
            <wp:extent cx="5748655" cy="3482975"/>
            <wp:effectExtent l="0" t="0" r="0" b="0"/>
            <wp:docPr id="1762244247" name="Picture 2" descr="A diagram of a company'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44247" name="Picture 2" descr="A diagram of a company's proces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8655" cy="3482975"/>
                    </a:xfrm>
                    <a:prstGeom prst="rect">
                      <a:avLst/>
                    </a:prstGeom>
                    <a:noFill/>
                    <a:ln>
                      <a:noFill/>
                    </a:ln>
                  </pic:spPr>
                </pic:pic>
              </a:graphicData>
            </a:graphic>
          </wp:inline>
        </w:drawing>
      </w:r>
    </w:p>
    <w:p w14:paraId="5B5B906D" w14:textId="77777777" w:rsidR="00D10E17" w:rsidRPr="00CE2185" w:rsidRDefault="00D10E17" w:rsidP="00D10E17">
      <w:pPr>
        <w:pStyle w:val="Heading6"/>
        <w:rPr>
          <w:noProof/>
        </w:rPr>
      </w:pPr>
      <w:r w:rsidRPr="00CE2185">
        <w:rPr>
          <w:noProof/>
        </w:rPr>
        <w:t>Figure 4: Roll-out of option D.3</w:t>
      </w:r>
    </w:p>
    <w:p w14:paraId="62C09444" w14:textId="77777777" w:rsidR="00D10E17" w:rsidRPr="00CE2185" w:rsidRDefault="00D10E17" w:rsidP="00D10E17">
      <w:pPr>
        <w:spacing w:after="120"/>
        <w:rPr>
          <w:noProof/>
        </w:rPr>
      </w:pPr>
      <w:r w:rsidRPr="00CE2185">
        <w:rPr>
          <w:noProof/>
          <w:lang w:val="en-IE"/>
        </w:rPr>
        <w:t xml:space="preserve">Under this option, the first concrete application of the framework would be in relation to </w:t>
      </w:r>
      <w:r w:rsidRPr="00CE2185">
        <w:rPr>
          <w:noProof/>
        </w:rPr>
        <w:t>telecommunications, including 5G networks. The EU coordinated risk assessment of the cybersecurity of 5G networks has already been carried out in 2019</w:t>
      </w:r>
      <w:r w:rsidRPr="00CE2185">
        <w:rPr>
          <w:rStyle w:val="FootnoteReference"/>
          <w:noProof/>
        </w:rPr>
        <w:footnoteReference w:id="128"/>
      </w:r>
      <w:r w:rsidRPr="00CE2185">
        <w:rPr>
          <w:noProof/>
        </w:rPr>
        <w:t xml:space="preserve">  and  the next steps would therefore be to establish by law which assets of 5G networks are considered as key assets, as well as designate of countries posing cybersecurity concerns, high-risk suppliers (through empowerment). </w:t>
      </w:r>
    </w:p>
    <w:p w14:paraId="1104D969" w14:textId="77777777" w:rsidR="00D10E17" w:rsidRPr="00CE2185" w:rsidRDefault="00D10E17" w:rsidP="00D10E17">
      <w:pPr>
        <w:spacing w:after="120"/>
        <w:rPr>
          <w:noProof/>
          <w:lang w:val="en-IE"/>
        </w:rPr>
      </w:pPr>
      <w:r w:rsidRPr="00CE2185">
        <w:rPr>
          <w:noProof/>
        </w:rPr>
        <w:t xml:space="preserve">The potential ICT supply chains to be assessed – after 5G networks – could be the following: scanning equipment, submarine cables, and electricity supply chain. For each of these ICT supply chains, dedicated EU coordinated security risk assessments have started or are about to start. Additional EU coordinated security risk assessments could be initiated by the Commission and the Member States. Before proposing an implementing act to identify key assets and appropriate mitigation measures, the impacts of the proposed measures, including economic impacts will be assessed. </w:t>
      </w:r>
    </w:p>
    <w:p w14:paraId="0215496B" w14:textId="77777777" w:rsidR="00D10E17" w:rsidRPr="00CE2185" w:rsidRDefault="00D10E17" w:rsidP="00D10E17">
      <w:pPr>
        <w:spacing w:after="120"/>
        <w:rPr>
          <w:noProof/>
        </w:rPr>
      </w:pPr>
      <w:r w:rsidRPr="00CE2185">
        <w:rPr>
          <w:noProof/>
        </w:rPr>
        <w:t>In addition, the framework would provide a basis for other relevant EU legislation to address non-technical cybersecurity risks, in relation to ICT supply chains in the internal market, including for example in relation to:</w:t>
      </w:r>
    </w:p>
    <w:p w14:paraId="05AE5129" w14:textId="77777777" w:rsidR="00D10E17" w:rsidRPr="00CE2185" w:rsidRDefault="00D10E17" w:rsidP="00D10E17">
      <w:pPr>
        <w:pStyle w:val="ListParagraph"/>
        <w:numPr>
          <w:ilvl w:val="0"/>
          <w:numId w:val="11"/>
        </w:numPr>
        <w:spacing w:after="120"/>
        <w:ind w:left="426" w:hanging="357"/>
        <w:rPr>
          <w:noProof/>
        </w:rPr>
      </w:pPr>
      <w:r w:rsidRPr="00CE2185">
        <w:rPr>
          <w:noProof/>
        </w:rPr>
        <w:t>the ECCF to</w:t>
      </w:r>
      <w:r w:rsidRPr="00CE2185">
        <w:rPr>
          <w:b/>
          <w:bCs/>
          <w:noProof/>
        </w:rPr>
        <w:t xml:space="preserve"> </w:t>
      </w:r>
      <w:r w:rsidRPr="00CE2185">
        <w:rPr>
          <w:noProof/>
        </w:rPr>
        <w:t xml:space="preserve">exclude from certification ICT products, services or processes provided by entities </w:t>
      </w:r>
      <w:r>
        <w:rPr>
          <w:noProof/>
        </w:rPr>
        <w:t xml:space="preserve">established in </w:t>
      </w:r>
      <w:r w:rsidRPr="00CE2185">
        <w:rPr>
          <w:noProof/>
        </w:rPr>
        <w:t xml:space="preserve">or </w:t>
      </w:r>
      <w:r w:rsidRPr="00BC6048">
        <w:rPr>
          <w:noProof/>
        </w:rPr>
        <w:t xml:space="preserve">controlled by </w:t>
      </w:r>
      <w:r w:rsidRPr="001A0C1B">
        <w:rPr>
          <w:noProof/>
        </w:rPr>
        <w:t xml:space="preserve">entities from third </w:t>
      </w:r>
      <w:r w:rsidRPr="00BC6048">
        <w:rPr>
          <w:noProof/>
        </w:rPr>
        <w:t>countries</w:t>
      </w:r>
      <w:r w:rsidRPr="00CE2185">
        <w:rPr>
          <w:noProof/>
        </w:rPr>
        <w:t xml:space="preserve"> posing cybersecurity concerns </w:t>
      </w:r>
      <w:r>
        <w:rPr>
          <w:noProof/>
        </w:rPr>
        <w:t>(high-risk-suppliers)</w:t>
      </w:r>
      <w:r w:rsidRPr="00CE2185">
        <w:rPr>
          <w:noProof/>
        </w:rPr>
        <w:t xml:space="preserve"> in relation to key </w:t>
      </w:r>
      <w:r>
        <w:rPr>
          <w:noProof/>
        </w:rPr>
        <w:t xml:space="preserve">ICT </w:t>
      </w:r>
      <w:r w:rsidRPr="00CE2185">
        <w:rPr>
          <w:noProof/>
        </w:rPr>
        <w:t>assets or limit the eligibility for certification under specific assurance levels;</w:t>
      </w:r>
    </w:p>
    <w:p w14:paraId="0B6C49B9" w14:textId="77777777" w:rsidR="00D10E17" w:rsidRPr="00CE2185" w:rsidRDefault="00D10E17" w:rsidP="00D10E17">
      <w:pPr>
        <w:pStyle w:val="ListParagraph"/>
        <w:numPr>
          <w:ilvl w:val="0"/>
          <w:numId w:val="11"/>
        </w:numPr>
        <w:spacing w:after="120"/>
        <w:ind w:left="426" w:hanging="357"/>
        <w:rPr>
          <w:noProof/>
        </w:rPr>
      </w:pPr>
      <w:r w:rsidRPr="00CE2185">
        <w:rPr>
          <w:noProof/>
        </w:rPr>
        <w:t xml:space="preserve">the European individual cybersecurity skills attestations to exclude entities </w:t>
      </w:r>
      <w:r>
        <w:rPr>
          <w:noProof/>
        </w:rPr>
        <w:t>established in or</w:t>
      </w:r>
      <w:r w:rsidRPr="00CE2185">
        <w:rPr>
          <w:noProof/>
        </w:rPr>
        <w:t xml:space="preserve"> </w:t>
      </w:r>
      <w:r w:rsidRPr="00BC6048">
        <w:rPr>
          <w:noProof/>
        </w:rPr>
        <w:t xml:space="preserve">controlled by </w:t>
      </w:r>
      <w:r w:rsidRPr="001A0C1B">
        <w:rPr>
          <w:noProof/>
        </w:rPr>
        <w:t xml:space="preserve">entities from third </w:t>
      </w:r>
      <w:r w:rsidRPr="00BC6048">
        <w:rPr>
          <w:noProof/>
        </w:rPr>
        <w:t>countries</w:t>
      </w:r>
      <w:r w:rsidRPr="00CE2185">
        <w:rPr>
          <w:noProof/>
        </w:rPr>
        <w:t xml:space="preserve"> posing cybersecurity concerns </w:t>
      </w:r>
      <w:r>
        <w:rPr>
          <w:noProof/>
        </w:rPr>
        <w:t>(high-risk-suppliers)</w:t>
      </w:r>
      <w:r w:rsidRPr="00CE2185">
        <w:rPr>
          <w:noProof/>
        </w:rPr>
        <w:t xml:space="preserve"> from becoming authorised providers of cybersecurity skills attestations;</w:t>
      </w:r>
    </w:p>
    <w:p w14:paraId="5454EEAD" w14:textId="77777777" w:rsidR="00D10E17" w:rsidRPr="00CE2185" w:rsidRDefault="00D10E17" w:rsidP="00D10E17">
      <w:pPr>
        <w:pStyle w:val="ListParagraph"/>
        <w:numPr>
          <w:ilvl w:val="0"/>
          <w:numId w:val="11"/>
        </w:numPr>
        <w:spacing w:after="120"/>
        <w:ind w:left="426" w:hanging="357"/>
        <w:rPr>
          <w:noProof/>
          <w:lang w:val="en-IE"/>
        </w:rPr>
      </w:pPr>
      <w:r w:rsidRPr="00CE2185">
        <w:rPr>
          <w:noProof/>
          <w:lang w:val="en-IE"/>
        </w:rPr>
        <w:t xml:space="preserve">the revised public procurement directives to restrict participation in public procurement procedures of entities </w:t>
      </w:r>
      <w:r>
        <w:rPr>
          <w:noProof/>
          <w:lang w:val="en-IE"/>
        </w:rPr>
        <w:t>established in</w:t>
      </w:r>
      <w:r w:rsidRPr="00CE2185">
        <w:rPr>
          <w:noProof/>
          <w:lang w:val="en-IE"/>
        </w:rPr>
        <w:t xml:space="preserve"> or </w:t>
      </w:r>
      <w:r w:rsidRPr="00BC6048">
        <w:rPr>
          <w:noProof/>
          <w:lang w:val="en-IE"/>
        </w:rPr>
        <w:t xml:space="preserve">controlled </w:t>
      </w:r>
      <w:r w:rsidRPr="00E5147D">
        <w:rPr>
          <w:noProof/>
          <w:lang w:val="en-IE"/>
        </w:rPr>
        <w:t xml:space="preserve">by entities from third </w:t>
      </w:r>
      <w:r w:rsidRPr="00BC6048">
        <w:rPr>
          <w:noProof/>
          <w:lang w:val="en-IE"/>
        </w:rPr>
        <w:t>countries</w:t>
      </w:r>
      <w:r w:rsidRPr="00CE2185">
        <w:rPr>
          <w:noProof/>
          <w:lang w:val="en-IE"/>
        </w:rPr>
        <w:t xml:space="preserve"> posing cybersecurity concerns</w:t>
      </w:r>
      <w:r>
        <w:rPr>
          <w:noProof/>
          <w:lang w:val="en-IE"/>
        </w:rPr>
        <w:t xml:space="preserve"> </w:t>
      </w:r>
      <w:r>
        <w:rPr>
          <w:noProof/>
        </w:rPr>
        <w:t>(high-risk-suppliers)</w:t>
      </w:r>
      <w:r w:rsidRPr="00CE2185">
        <w:rPr>
          <w:noProof/>
          <w:lang w:val="en-IE"/>
        </w:rPr>
        <w:t>;</w:t>
      </w:r>
    </w:p>
    <w:p w14:paraId="5955416F" w14:textId="77777777" w:rsidR="00D10E17" w:rsidRPr="00CE2185" w:rsidRDefault="00D10E17" w:rsidP="00D10E17">
      <w:pPr>
        <w:pStyle w:val="ListParagraph"/>
        <w:numPr>
          <w:ilvl w:val="0"/>
          <w:numId w:val="11"/>
        </w:numPr>
        <w:spacing w:after="120"/>
        <w:ind w:left="426" w:hanging="357"/>
        <w:rPr>
          <w:noProof/>
          <w:lang w:val="en-IE"/>
        </w:rPr>
      </w:pPr>
      <w:r w:rsidRPr="00CE2185">
        <w:rPr>
          <w:noProof/>
          <w:lang w:val="en-IE"/>
        </w:rPr>
        <w:t>the proposed MFF framework</w:t>
      </w:r>
      <w:r w:rsidRPr="00CE2185">
        <w:rPr>
          <w:rStyle w:val="FootnoteReference"/>
          <w:noProof/>
          <w:lang w:val="en-IE"/>
        </w:rPr>
        <w:footnoteReference w:id="129"/>
      </w:r>
      <w:r w:rsidRPr="00CE2185">
        <w:rPr>
          <w:noProof/>
          <w:lang w:val="en-IE"/>
        </w:rPr>
        <w:t xml:space="preserve"> and the Financial Regulation</w:t>
      </w:r>
      <w:r w:rsidRPr="00CE2185">
        <w:rPr>
          <w:rStyle w:val="FootnoteReference"/>
          <w:noProof/>
          <w:lang w:val="en-IE"/>
        </w:rPr>
        <w:footnoteReference w:id="130"/>
      </w:r>
      <w:r w:rsidRPr="00CE2185">
        <w:rPr>
          <w:noProof/>
          <w:lang w:val="en-IE"/>
        </w:rPr>
        <w:t xml:space="preserve">, by providing for the legal basis to restrict participation of entities </w:t>
      </w:r>
      <w:r>
        <w:rPr>
          <w:noProof/>
          <w:lang w:val="en-IE"/>
        </w:rPr>
        <w:t>established in</w:t>
      </w:r>
      <w:r w:rsidRPr="00CE2185">
        <w:rPr>
          <w:noProof/>
          <w:lang w:val="en-IE"/>
        </w:rPr>
        <w:t xml:space="preserve"> or </w:t>
      </w:r>
      <w:r w:rsidRPr="00BC6048">
        <w:rPr>
          <w:noProof/>
          <w:lang w:val="en-IE"/>
        </w:rPr>
        <w:t xml:space="preserve">controlled by </w:t>
      </w:r>
      <w:r w:rsidRPr="00E5147D">
        <w:rPr>
          <w:noProof/>
          <w:lang w:val="en-IE"/>
        </w:rPr>
        <w:t xml:space="preserve">entities from third </w:t>
      </w:r>
      <w:r w:rsidRPr="00BC6048">
        <w:rPr>
          <w:noProof/>
          <w:lang w:val="en-IE"/>
        </w:rPr>
        <w:t>countries</w:t>
      </w:r>
      <w:r w:rsidRPr="00CE2185">
        <w:rPr>
          <w:noProof/>
          <w:lang w:val="en-IE"/>
        </w:rPr>
        <w:t xml:space="preserve"> posing cybersecurity concerns </w:t>
      </w:r>
      <w:r>
        <w:rPr>
          <w:noProof/>
        </w:rPr>
        <w:t>(high-risk-suppliers)</w:t>
      </w:r>
      <w:r w:rsidRPr="00CE2185">
        <w:rPr>
          <w:noProof/>
        </w:rPr>
        <w:t xml:space="preserve"> </w:t>
      </w:r>
      <w:r w:rsidRPr="00CE2185">
        <w:rPr>
          <w:noProof/>
          <w:lang w:val="en-IE"/>
        </w:rPr>
        <w:t>in EU funding programmes and instruments.</w:t>
      </w:r>
    </w:p>
    <w:p w14:paraId="36BC296C" w14:textId="77777777" w:rsidR="00D10E17" w:rsidRPr="00CE2185" w:rsidRDefault="00D10E17" w:rsidP="00D10E17">
      <w:pPr>
        <w:pStyle w:val="ListParagraph"/>
        <w:spacing w:after="120"/>
        <w:ind w:left="426" w:hanging="357"/>
        <w:rPr>
          <w:noProof/>
          <w:lang w:val="en-IE"/>
        </w:rPr>
      </w:pPr>
    </w:p>
    <w:p w14:paraId="477D93DE" w14:textId="2D1B2B6E" w:rsidR="00121DE1" w:rsidRPr="00CE2185" w:rsidRDefault="00D10E17" w:rsidP="00D10E17">
      <w:pPr>
        <w:rPr>
          <w:noProof/>
          <w:lang w:val="en-IE"/>
        </w:rPr>
      </w:pPr>
      <w:r w:rsidRPr="00CE2185">
        <w:rPr>
          <w:noProof/>
          <w:lang w:val="en-IE"/>
        </w:rPr>
        <w:t xml:space="preserve">Under this option, in order to ensure a coherent enforcement by the Member States of the restrictions on high-risk suppliers or entities originating or </w:t>
      </w:r>
      <w:r w:rsidRPr="00BC6048">
        <w:rPr>
          <w:noProof/>
          <w:lang w:val="en-IE"/>
        </w:rPr>
        <w:t>controlled from countries</w:t>
      </w:r>
      <w:r w:rsidRPr="00CE2185">
        <w:rPr>
          <w:noProof/>
          <w:lang w:val="en-IE"/>
        </w:rPr>
        <w:t xml:space="preserve"> posing cybersecurity concerns adopted at EU-level, the Commission will assist Member States with unravelling corporate ownership structures and subsidiaries of those entities building on existing registries and mechanisms</w:t>
      </w:r>
      <w:r>
        <w:rPr>
          <w:b/>
          <w:bCs/>
          <w:noProof/>
        </w:rPr>
        <w:t>.</w:t>
      </w:r>
    </w:p>
    <w:p w14:paraId="47647F49" w14:textId="64745CC6" w:rsidR="55777844" w:rsidRPr="00CE2185" w:rsidRDefault="66B555E6" w:rsidP="73EEA4A2">
      <w:pPr>
        <w:pStyle w:val="ListParagraph"/>
        <w:ind w:left="0"/>
        <w:rPr>
          <w:noProof/>
          <w:lang w:val="en-IE"/>
        </w:rPr>
      </w:pPr>
      <w:r w:rsidRPr="00CE2185">
        <w:rPr>
          <w:noProof/>
          <w:lang w:val="en-IE"/>
        </w:rPr>
        <w:t xml:space="preserve"> </w:t>
      </w:r>
    </w:p>
    <w:p w14:paraId="7225544D" w14:textId="77777777" w:rsidR="006B087E" w:rsidRPr="00CE2185" w:rsidRDefault="006B087E" w:rsidP="000E3086">
      <w:pPr>
        <w:pStyle w:val="Heading2"/>
        <w:rPr>
          <w:noProof/>
        </w:rPr>
      </w:pPr>
      <w:bookmarkStart w:id="89" w:name="_Toc210393825"/>
      <w:bookmarkStart w:id="90" w:name="_Toc219447364"/>
      <w:r w:rsidRPr="00CE2185">
        <w:rPr>
          <w:noProof/>
        </w:rPr>
        <w:t>Options discarded at an early stage</w:t>
      </w:r>
      <w:bookmarkEnd w:id="89"/>
      <w:bookmarkEnd w:id="90"/>
    </w:p>
    <w:p w14:paraId="1E5A3566" w14:textId="7BF6DD8B" w:rsidR="00F57D9D" w:rsidRPr="00CE2185" w:rsidRDefault="00F57D9D" w:rsidP="00795DF0">
      <w:pPr>
        <w:spacing w:after="120"/>
        <w:rPr>
          <w:rFonts w:eastAsia="Times New Roman"/>
          <w:noProof/>
          <w:color w:val="000000" w:themeColor="text1"/>
        </w:rPr>
      </w:pPr>
      <w:r w:rsidRPr="00CE2185">
        <w:rPr>
          <w:rFonts w:eastAsia="Times New Roman"/>
          <w:noProof/>
          <w:color w:val="000000" w:themeColor="text1"/>
        </w:rPr>
        <w:t>In addition to the policy options presented in section 5.2, in the analysis of potential policy options that could address the problems described in section 2 and reach the general and specific objectives set out in section 4, the following alternative option</w:t>
      </w:r>
      <w:r w:rsidR="007D5F2D" w:rsidRPr="00CE2185">
        <w:rPr>
          <w:rFonts w:eastAsia="Times New Roman"/>
          <w:noProof/>
          <w:color w:val="000000" w:themeColor="text1"/>
        </w:rPr>
        <w:t>s</w:t>
      </w:r>
      <w:r w:rsidRPr="00CE2185">
        <w:rPr>
          <w:rFonts w:eastAsia="Times New Roman"/>
          <w:noProof/>
          <w:color w:val="000000" w:themeColor="text1"/>
        </w:rPr>
        <w:t xml:space="preserve"> entailing regulatory intervention w</w:t>
      </w:r>
      <w:r w:rsidR="007D5F2D" w:rsidRPr="00CE2185">
        <w:rPr>
          <w:rFonts w:eastAsia="Times New Roman"/>
          <w:noProof/>
          <w:color w:val="000000" w:themeColor="text1"/>
        </w:rPr>
        <w:t>ere</w:t>
      </w:r>
      <w:r w:rsidRPr="00CE2185">
        <w:rPr>
          <w:rFonts w:eastAsia="Times New Roman"/>
          <w:noProof/>
          <w:color w:val="000000" w:themeColor="text1"/>
        </w:rPr>
        <w:t xml:space="preserve"> discarded at an early stage and therefore not assessed in further detail: </w:t>
      </w:r>
    </w:p>
    <w:p w14:paraId="05BF3AFD" w14:textId="65D889A5" w:rsidR="00F57D9D" w:rsidRPr="00CE2185" w:rsidRDefault="00F367C7" w:rsidP="00EE3DF9">
      <w:pPr>
        <w:pStyle w:val="ListParagraph"/>
        <w:numPr>
          <w:ilvl w:val="0"/>
          <w:numId w:val="6"/>
        </w:numPr>
        <w:spacing w:after="120"/>
        <w:ind w:left="426"/>
        <w:contextualSpacing w:val="0"/>
        <w:rPr>
          <w:rFonts w:eastAsia="Times New Roman"/>
          <w:noProof/>
          <w:color w:val="000000" w:themeColor="text1"/>
        </w:rPr>
      </w:pPr>
      <w:r w:rsidRPr="00CE2185">
        <w:rPr>
          <w:rFonts w:eastAsia="Times New Roman"/>
          <w:b/>
          <w:bCs/>
          <w:noProof/>
          <w:color w:val="000000" w:themeColor="text1"/>
        </w:rPr>
        <w:t>R</w:t>
      </w:r>
      <w:r w:rsidR="00F57D9D" w:rsidRPr="00CE2185">
        <w:rPr>
          <w:rFonts w:eastAsia="Times New Roman"/>
          <w:b/>
          <w:bCs/>
          <w:noProof/>
          <w:color w:val="000000" w:themeColor="text1"/>
        </w:rPr>
        <w:t>epeal</w:t>
      </w:r>
      <w:r w:rsidRPr="00CE2185">
        <w:rPr>
          <w:rFonts w:eastAsia="Times New Roman"/>
          <w:b/>
          <w:bCs/>
          <w:noProof/>
          <w:color w:val="000000" w:themeColor="text1"/>
        </w:rPr>
        <w:t>ing</w:t>
      </w:r>
      <w:r w:rsidR="00F57D9D" w:rsidRPr="00CE2185">
        <w:rPr>
          <w:rFonts w:eastAsia="Times New Roman"/>
          <w:b/>
          <w:bCs/>
          <w:noProof/>
          <w:color w:val="000000" w:themeColor="text1"/>
        </w:rPr>
        <w:t xml:space="preserve"> the ECCF without equivalent substitute</w:t>
      </w:r>
      <w:r w:rsidR="00F57D9D" w:rsidRPr="00CE2185">
        <w:rPr>
          <w:rFonts w:eastAsia="Times New Roman"/>
          <w:noProof/>
          <w:color w:val="000000" w:themeColor="text1"/>
        </w:rPr>
        <w:t xml:space="preserve"> was discarded </w:t>
      </w:r>
      <w:r w:rsidRPr="00CE2185">
        <w:rPr>
          <w:rFonts w:eastAsia="Times New Roman"/>
          <w:noProof/>
          <w:color w:val="000000" w:themeColor="text1"/>
        </w:rPr>
        <w:t xml:space="preserve">as an option </w:t>
      </w:r>
      <w:r w:rsidR="00F57D9D" w:rsidRPr="00CE2185">
        <w:rPr>
          <w:rFonts w:eastAsia="Times New Roman"/>
          <w:noProof/>
          <w:color w:val="000000" w:themeColor="text1"/>
        </w:rPr>
        <w:t>at an early stage. While certifications could be</w:t>
      </w:r>
      <w:r w:rsidRPr="00CE2185">
        <w:rPr>
          <w:rFonts w:eastAsia="Times New Roman"/>
          <w:noProof/>
          <w:color w:val="000000" w:themeColor="text1"/>
        </w:rPr>
        <w:t>,</w:t>
      </w:r>
      <w:r w:rsidR="00F57D9D" w:rsidRPr="00CE2185">
        <w:rPr>
          <w:rFonts w:eastAsia="Times New Roman"/>
          <w:noProof/>
          <w:color w:val="000000" w:themeColor="text1"/>
        </w:rPr>
        <w:t xml:space="preserve"> in part</w:t>
      </w:r>
      <w:r w:rsidRPr="00CE2185">
        <w:rPr>
          <w:rFonts w:eastAsia="Times New Roman"/>
          <w:noProof/>
          <w:color w:val="000000" w:themeColor="text1"/>
        </w:rPr>
        <w:t>,</w:t>
      </w:r>
      <w:r w:rsidR="00F57D9D" w:rsidRPr="00CE2185">
        <w:rPr>
          <w:rFonts w:eastAsia="Times New Roman"/>
          <w:noProof/>
          <w:color w:val="000000" w:themeColor="text1"/>
        </w:rPr>
        <w:t xml:space="preserve"> replaced by technical specifications (TS) developed by ENISA </w:t>
      </w:r>
      <w:r w:rsidR="00545AAA" w:rsidRPr="00CE2185">
        <w:rPr>
          <w:rFonts w:eastAsia="Times New Roman"/>
          <w:noProof/>
          <w:color w:val="000000" w:themeColor="text1"/>
        </w:rPr>
        <w:t xml:space="preserve">to </w:t>
      </w:r>
      <w:r w:rsidR="00F57D9D" w:rsidRPr="00CE2185">
        <w:rPr>
          <w:rFonts w:eastAsia="Times New Roman"/>
          <w:noProof/>
          <w:color w:val="000000" w:themeColor="text1"/>
        </w:rPr>
        <w:t>address technical risk factors, such approach would not provide the necessary assurance or inclu</w:t>
      </w:r>
      <w:r w:rsidR="00E92BE3" w:rsidRPr="00CE2185">
        <w:rPr>
          <w:rFonts w:eastAsia="Times New Roman"/>
          <w:noProof/>
          <w:color w:val="000000" w:themeColor="text1"/>
        </w:rPr>
        <w:t>de</w:t>
      </w:r>
      <w:r w:rsidR="00F57D9D" w:rsidRPr="00CE2185">
        <w:rPr>
          <w:rFonts w:eastAsia="Times New Roman"/>
          <w:noProof/>
          <w:color w:val="000000" w:themeColor="text1"/>
        </w:rPr>
        <w:t xml:space="preserve"> various </w:t>
      </w:r>
      <w:r w:rsidR="00A028A8" w:rsidRPr="00CE2185">
        <w:rPr>
          <w:rFonts w:eastAsia="Times New Roman"/>
          <w:noProof/>
          <w:color w:val="000000" w:themeColor="text1"/>
        </w:rPr>
        <w:t>relevant</w:t>
      </w:r>
      <w:r w:rsidR="00F57D9D" w:rsidRPr="00CE2185">
        <w:rPr>
          <w:rFonts w:eastAsia="Times New Roman"/>
          <w:noProof/>
          <w:color w:val="000000" w:themeColor="text1"/>
        </w:rPr>
        <w:t xml:space="preserve"> security stakeholders. To illustrate the difference, TS lack </w:t>
      </w:r>
      <w:r w:rsidR="007946E9" w:rsidRPr="00CE2185">
        <w:rPr>
          <w:rFonts w:eastAsia="Times New Roman"/>
          <w:noProof/>
          <w:color w:val="000000" w:themeColor="text1"/>
        </w:rPr>
        <w:t xml:space="preserve">a </w:t>
      </w:r>
      <w:r w:rsidR="00F57D9D" w:rsidRPr="00CE2185">
        <w:rPr>
          <w:rFonts w:eastAsia="Times New Roman"/>
          <w:noProof/>
          <w:color w:val="000000" w:themeColor="text1"/>
        </w:rPr>
        <w:t>process that confirms and provides evidence</w:t>
      </w:r>
      <w:r w:rsidR="00B5733C" w:rsidRPr="00CE2185">
        <w:rPr>
          <w:rFonts w:eastAsia="Times New Roman"/>
          <w:noProof/>
          <w:color w:val="000000" w:themeColor="text1"/>
        </w:rPr>
        <w:t>,</w:t>
      </w:r>
      <w:r w:rsidR="00F57D9D" w:rsidRPr="00CE2185">
        <w:rPr>
          <w:rFonts w:eastAsia="Times New Roman"/>
          <w:noProof/>
          <w:color w:val="000000" w:themeColor="text1"/>
        </w:rPr>
        <w:t xml:space="preserve"> verified by a third-party conformity assessment body</w:t>
      </w:r>
      <w:r w:rsidR="00B5733C" w:rsidRPr="00CE2185">
        <w:rPr>
          <w:rFonts w:eastAsia="Times New Roman"/>
          <w:noProof/>
          <w:color w:val="000000" w:themeColor="text1"/>
        </w:rPr>
        <w:t>,</w:t>
      </w:r>
      <w:r w:rsidR="00F57D9D" w:rsidRPr="00CE2185">
        <w:rPr>
          <w:rFonts w:eastAsia="Times New Roman"/>
          <w:noProof/>
          <w:color w:val="000000" w:themeColor="text1"/>
        </w:rPr>
        <w:t xml:space="preserve"> that security requirements listed in </w:t>
      </w:r>
      <w:r w:rsidR="00B5733C" w:rsidRPr="00CE2185">
        <w:rPr>
          <w:rFonts w:eastAsia="Times New Roman"/>
          <w:noProof/>
          <w:color w:val="000000" w:themeColor="text1"/>
        </w:rPr>
        <w:t>TS</w:t>
      </w:r>
      <w:r w:rsidR="00F57D9D" w:rsidRPr="00CE2185">
        <w:rPr>
          <w:rFonts w:eastAsia="Times New Roman"/>
          <w:noProof/>
          <w:color w:val="000000" w:themeColor="text1"/>
        </w:rPr>
        <w:t xml:space="preserve"> or standard are met by a certification object. Moreover, there is a clear market </w:t>
      </w:r>
      <w:r w:rsidR="006578CD" w:rsidRPr="00CE2185">
        <w:rPr>
          <w:rFonts w:eastAsia="Times New Roman"/>
          <w:noProof/>
          <w:color w:val="000000" w:themeColor="text1"/>
        </w:rPr>
        <w:t>demand</w:t>
      </w:r>
      <w:r w:rsidR="00F57D9D" w:rsidRPr="00CE2185">
        <w:rPr>
          <w:rFonts w:eastAsia="Times New Roman"/>
          <w:noProof/>
          <w:color w:val="000000" w:themeColor="text1"/>
        </w:rPr>
        <w:t xml:space="preserve"> for certification. </w:t>
      </w:r>
      <w:r w:rsidR="7DF43D77" w:rsidRPr="00CE2185">
        <w:rPr>
          <w:rFonts w:eastAsia="Times New Roman"/>
          <w:noProof/>
          <w:color w:val="000000" w:themeColor="text1"/>
        </w:rPr>
        <w:t>Public consultation s</w:t>
      </w:r>
      <w:r w:rsidR="00F57D9D" w:rsidRPr="00CE2185">
        <w:rPr>
          <w:rFonts w:eastAsia="Times New Roman"/>
          <w:noProof/>
          <w:color w:val="000000" w:themeColor="text1"/>
        </w:rPr>
        <w:t>how</w:t>
      </w:r>
      <w:r w:rsidR="49AC8788" w:rsidRPr="00CE2185">
        <w:rPr>
          <w:rFonts w:eastAsia="Times New Roman"/>
          <w:noProof/>
          <w:color w:val="000000" w:themeColor="text1"/>
        </w:rPr>
        <w:t>ed</w:t>
      </w:r>
      <w:r w:rsidR="00F57D9D" w:rsidRPr="00CE2185">
        <w:rPr>
          <w:rFonts w:eastAsia="Times New Roman"/>
          <w:noProof/>
          <w:color w:val="000000" w:themeColor="text1"/>
        </w:rPr>
        <w:t xml:space="preserve"> that c</w:t>
      </w:r>
      <w:r w:rsidR="00F57D9D" w:rsidRPr="00CE2185">
        <w:rPr>
          <w:noProof/>
        </w:rPr>
        <w:t xml:space="preserve">ertification is widely perceived as a tool </w:t>
      </w:r>
      <w:r w:rsidR="00B5733C" w:rsidRPr="00CE2185">
        <w:rPr>
          <w:noProof/>
        </w:rPr>
        <w:t>for</w:t>
      </w:r>
      <w:r w:rsidR="00F57D9D" w:rsidRPr="00CE2185">
        <w:rPr>
          <w:noProof/>
        </w:rPr>
        <w:t xml:space="preserve"> enhanc</w:t>
      </w:r>
      <w:r w:rsidR="00B5733C" w:rsidRPr="00CE2185">
        <w:rPr>
          <w:noProof/>
        </w:rPr>
        <w:t>ing</w:t>
      </w:r>
      <w:r w:rsidR="00F57D9D" w:rsidRPr="00CE2185">
        <w:rPr>
          <w:noProof/>
        </w:rPr>
        <w:t xml:space="preserve"> product and service security, with micro businesses being the most supportive</w:t>
      </w:r>
      <w:r w:rsidR="00BD5DA2" w:rsidRPr="00CE2185">
        <w:rPr>
          <w:noProof/>
        </w:rPr>
        <w:t xml:space="preserve"> </w:t>
      </w:r>
      <w:r w:rsidR="00B5733C" w:rsidRPr="00CE2185">
        <w:rPr>
          <w:noProof/>
        </w:rPr>
        <w:t>(</w:t>
      </w:r>
      <w:r w:rsidR="00F57D9D" w:rsidRPr="00CE2185">
        <w:rPr>
          <w:noProof/>
        </w:rPr>
        <w:t>66.67% strongly agree that certification improves security</w:t>
      </w:r>
      <w:r w:rsidR="00B5733C" w:rsidRPr="00CE2185">
        <w:rPr>
          <w:noProof/>
        </w:rPr>
        <w:t>)</w:t>
      </w:r>
      <w:r w:rsidR="00F57D9D" w:rsidRPr="00CE2185">
        <w:rPr>
          <w:noProof/>
        </w:rPr>
        <w:t>.</w:t>
      </w:r>
    </w:p>
    <w:p w14:paraId="22D474ED" w14:textId="30440BE0" w:rsidR="6A29567D" w:rsidRPr="00CE2185" w:rsidRDefault="00F57D9D" w:rsidP="00EE3DF9">
      <w:pPr>
        <w:pStyle w:val="ListParagraph"/>
        <w:numPr>
          <w:ilvl w:val="0"/>
          <w:numId w:val="6"/>
        </w:numPr>
        <w:spacing w:after="120"/>
        <w:ind w:left="426"/>
        <w:contextualSpacing w:val="0"/>
        <w:rPr>
          <w:rFonts w:eastAsia="Times New Roman"/>
          <w:noProof/>
          <w:lang w:val="en-IE"/>
        </w:rPr>
      </w:pPr>
      <w:r w:rsidRPr="00CE2185">
        <w:rPr>
          <w:rFonts w:eastAsia="Times New Roman"/>
          <w:noProof/>
          <w:color w:val="000000" w:themeColor="text1"/>
        </w:rPr>
        <w:t xml:space="preserve">A </w:t>
      </w:r>
      <w:r w:rsidRPr="00CE2185">
        <w:rPr>
          <w:rFonts w:eastAsia="Times New Roman"/>
          <w:b/>
          <w:bCs/>
          <w:noProof/>
          <w:color w:val="000000" w:themeColor="text1"/>
          <w:lang w:eastAsia="en-GB"/>
        </w:rPr>
        <w:t>soft law and non-legislative instruments approach as regards ECCF</w:t>
      </w:r>
      <w:r w:rsidRPr="00CE2185">
        <w:rPr>
          <w:rFonts w:eastAsia="Times New Roman"/>
          <w:noProof/>
          <w:color w:val="000000" w:themeColor="text1"/>
          <w:lang w:eastAsia="en-GB"/>
        </w:rPr>
        <w:t xml:space="preserve"> </w:t>
      </w:r>
      <w:r w:rsidRPr="00CE2185">
        <w:rPr>
          <w:noProof/>
        </w:rPr>
        <w:t xml:space="preserve">was initially considered due to minimal financial burdens for stakeholders. </w:t>
      </w:r>
      <w:r w:rsidR="00E76D42" w:rsidRPr="00CE2185">
        <w:rPr>
          <w:rFonts w:eastAsia="Times New Roman"/>
          <w:noProof/>
          <w:color w:val="000000" w:themeColor="text1"/>
        </w:rPr>
        <w:t xml:space="preserve">Under this option, the Commission would issue </w:t>
      </w:r>
      <w:r w:rsidR="00E76D42" w:rsidRPr="00CE2185">
        <w:rPr>
          <w:rFonts w:eastAsia="Times New Roman"/>
          <w:b/>
          <w:bCs/>
          <w:noProof/>
          <w:color w:val="000000" w:themeColor="text1"/>
        </w:rPr>
        <w:t>guidance on good practices and procedures</w:t>
      </w:r>
      <w:r w:rsidR="00E76D42" w:rsidRPr="00CE2185">
        <w:rPr>
          <w:rFonts w:eastAsia="Times New Roman"/>
          <w:noProof/>
          <w:color w:val="000000" w:themeColor="text1"/>
        </w:rPr>
        <w:t xml:space="preserve"> with the aim of improving efficiency of the development and implementation of the cybersecurity certification schemes. This guidance could suggest ways of better organising the procedures</w:t>
      </w:r>
      <w:r w:rsidR="008D024C" w:rsidRPr="00CE2185">
        <w:rPr>
          <w:rFonts w:eastAsia="Times New Roman"/>
          <w:noProof/>
          <w:color w:val="000000" w:themeColor="text1"/>
        </w:rPr>
        <w:t>,</w:t>
      </w:r>
      <w:r w:rsidR="00E76D42" w:rsidRPr="00CE2185">
        <w:rPr>
          <w:rFonts w:eastAsia="Times New Roman"/>
          <w:noProof/>
          <w:color w:val="000000" w:themeColor="text1"/>
        </w:rPr>
        <w:t xml:space="preserve"> but would not be able to change the ones in place</w:t>
      </w:r>
      <w:r w:rsidR="008D024C" w:rsidRPr="00CE2185">
        <w:rPr>
          <w:rFonts w:eastAsia="Times New Roman"/>
          <w:noProof/>
          <w:color w:val="000000" w:themeColor="text1"/>
        </w:rPr>
        <w:t>,</w:t>
      </w:r>
      <w:r w:rsidR="00E76D42" w:rsidRPr="00CE2185">
        <w:rPr>
          <w:rFonts w:eastAsia="Times New Roman"/>
          <w:noProof/>
          <w:color w:val="000000" w:themeColor="text1"/>
        </w:rPr>
        <w:t xml:space="preserve"> or introduce new ones. It could also provide limited clarifications on interpretation of the scoping and harmonisation effect of the ECCF. </w:t>
      </w:r>
      <w:r w:rsidR="00CD5CDD" w:rsidRPr="00CE2185">
        <w:rPr>
          <w:rFonts w:eastAsia="Times New Roman"/>
          <w:noProof/>
          <w:color w:val="000000" w:themeColor="text1"/>
        </w:rPr>
        <w:t>What is important, this option would not resolve an issue of the maintenance mechanism of the schemes, as no formal</w:t>
      </w:r>
      <w:r w:rsidR="00AB4C7E" w:rsidRPr="00CE2185">
        <w:rPr>
          <w:rFonts w:eastAsia="Times New Roman"/>
          <w:noProof/>
          <w:color w:val="000000" w:themeColor="text1"/>
        </w:rPr>
        <w:t xml:space="preserve"> procedure could be introduced. </w:t>
      </w:r>
      <w:r w:rsidRPr="00CE2185">
        <w:rPr>
          <w:noProof/>
        </w:rPr>
        <w:t xml:space="preserve">This option was </w:t>
      </w:r>
      <w:r w:rsidRPr="00CE2185">
        <w:rPr>
          <w:rFonts w:eastAsia="Times New Roman"/>
          <w:noProof/>
          <w:color w:val="000000" w:themeColor="text1"/>
          <w:lang w:eastAsia="en-GB"/>
        </w:rPr>
        <w:t xml:space="preserve">discarded </w:t>
      </w:r>
      <w:r w:rsidRPr="00CE2185">
        <w:rPr>
          <w:rFonts w:eastAsia="Times New Roman"/>
          <w:noProof/>
          <w:color w:val="000000" w:themeColor="text1"/>
        </w:rPr>
        <w:t xml:space="preserve">at an early stage </w:t>
      </w:r>
      <w:r w:rsidRPr="00CE2185">
        <w:rPr>
          <w:rFonts w:eastAsia="Times New Roman"/>
          <w:noProof/>
          <w:color w:val="000000" w:themeColor="text1"/>
          <w:lang w:eastAsia="en-GB"/>
        </w:rPr>
        <w:t xml:space="preserve">because of its negligible impact </w:t>
      </w:r>
      <w:r w:rsidR="004B4852" w:rsidRPr="00CE2185">
        <w:rPr>
          <w:rFonts w:eastAsia="Times New Roman"/>
          <w:noProof/>
          <w:color w:val="000000" w:themeColor="text1"/>
          <w:lang w:eastAsia="en-GB"/>
        </w:rPr>
        <w:t>on</w:t>
      </w:r>
      <w:r w:rsidRPr="00CE2185">
        <w:rPr>
          <w:rFonts w:eastAsia="Times New Roman"/>
          <w:noProof/>
          <w:color w:val="000000" w:themeColor="text1"/>
          <w:lang w:eastAsia="en-GB"/>
        </w:rPr>
        <w:t xml:space="preserve"> </w:t>
      </w:r>
      <w:r w:rsidR="009F7FD3" w:rsidRPr="00CE2185">
        <w:rPr>
          <w:rFonts w:eastAsia="Times New Roman"/>
          <w:noProof/>
          <w:color w:val="000000" w:themeColor="text1"/>
          <w:lang w:eastAsia="en-GB"/>
        </w:rPr>
        <w:t>identified problem drivers</w:t>
      </w:r>
      <w:r w:rsidR="003019FA" w:rsidRPr="00CE2185">
        <w:rPr>
          <w:rFonts w:eastAsia="Times New Roman"/>
          <w:noProof/>
          <w:color w:val="000000" w:themeColor="text1"/>
          <w:lang w:eastAsia="en-GB"/>
        </w:rPr>
        <w:t xml:space="preserve">. </w:t>
      </w:r>
    </w:p>
    <w:p w14:paraId="16F06432" w14:textId="77777777" w:rsidR="00DB44C9" w:rsidRPr="00CE2185" w:rsidRDefault="00DB44C9" w:rsidP="00DB44C9">
      <w:pPr>
        <w:pStyle w:val="ListParagraph"/>
        <w:numPr>
          <w:ilvl w:val="0"/>
          <w:numId w:val="6"/>
        </w:numPr>
        <w:spacing w:after="120"/>
        <w:ind w:left="426"/>
        <w:contextualSpacing w:val="0"/>
        <w:rPr>
          <w:rFonts w:eastAsia="Times New Roman"/>
          <w:noProof/>
          <w:lang w:val="en-IE"/>
        </w:rPr>
      </w:pPr>
      <w:r w:rsidRPr="00CE2185">
        <w:rPr>
          <w:noProof/>
        </w:rPr>
        <w:t xml:space="preserve">An option to adopt a </w:t>
      </w:r>
      <w:r w:rsidRPr="00CE2185">
        <w:rPr>
          <w:b/>
          <w:bCs/>
          <w:noProof/>
        </w:rPr>
        <w:t xml:space="preserve">Commission Recommendation </w:t>
      </w:r>
      <w:r w:rsidRPr="00CE2185">
        <w:rPr>
          <w:noProof/>
        </w:rPr>
        <w:t xml:space="preserve">on security of 5G networks was discarded at an early stage. This option would entail recommending Member States to implement the 5G Toolbox with regard to the restriction or exclusion of the high-risk suppliers from providing </w:t>
      </w:r>
      <w:r w:rsidRPr="00CE2185">
        <w:rPr>
          <w:b/>
          <w:bCs/>
          <w:noProof/>
        </w:rPr>
        <w:t xml:space="preserve">critical and highly sensitive </w:t>
      </w:r>
      <w:r w:rsidRPr="00CE2185">
        <w:rPr>
          <w:rFonts w:eastAsia="Times New Roman"/>
          <w:b/>
          <w:bCs/>
          <w:noProof/>
        </w:rPr>
        <w:t>assets as identified in the EU coordinated risk assessment of the cybersecurity of 5G networks</w:t>
      </w:r>
      <w:r w:rsidRPr="00CE2185">
        <w:rPr>
          <w:rStyle w:val="FootnoteReference"/>
          <w:rFonts w:eastAsia="Times New Roman"/>
          <w:b/>
          <w:bCs/>
          <w:noProof/>
          <w:lang w:val="en-IE"/>
        </w:rPr>
        <w:footnoteReference w:id="131"/>
      </w:r>
      <w:r w:rsidRPr="00CE2185">
        <w:rPr>
          <w:rFonts w:eastAsia="Times New Roman"/>
          <w:noProof/>
          <w:lang w:val="en-IE"/>
        </w:rPr>
        <w:t xml:space="preserve">, namely the core network, network function virtualisation management and orchestration, and the RAN. This option was discarded at an early stage as it was considered that it would not have a significant impact beyond the baseline scenario and would not lead to significant limitation to the fragmented implementation. </w:t>
      </w:r>
    </w:p>
    <w:p w14:paraId="1F409407" w14:textId="77777777" w:rsidR="00DB44C9" w:rsidRPr="00CE2185" w:rsidRDefault="00DB44C9" w:rsidP="00DB44C9">
      <w:pPr>
        <w:pStyle w:val="ListParagraph"/>
        <w:numPr>
          <w:ilvl w:val="0"/>
          <w:numId w:val="6"/>
        </w:numPr>
        <w:spacing w:after="120"/>
        <w:ind w:left="426"/>
        <w:contextualSpacing w:val="0"/>
        <w:rPr>
          <w:rFonts w:eastAsia="Times New Roman"/>
          <w:noProof/>
          <w:color w:val="000000" w:themeColor="text1"/>
        </w:rPr>
      </w:pPr>
      <w:r w:rsidRPr="00CE2185">
        <w:rPr>
          <w:rFonts w:eastAsia="Times New Roman"/>
          <w:noProof/>
          <w:color w:val="000000" w:themeColor="text1"/>
        </w:rPr>
        <w:t xml:space="preserve">An option to propose </w:t>
      </w:r>
      <w:r w:rsidRPr="00CE2185">
        <w:rPr>
          <w:rFonts w:eastAsia="Times New Roman"/>
          <w:b/>
          <w:bCs/>
          <w:noProof/>
          <w:color w:val="000000" w:themeColor="text1"/>
        </w:rPr>
        <w:t>an intervention based on a comprehensive ICT supply chain security framework that would apply directly to key assets</w:t>
      </w:r>
      <w:r w:rsidRPr="00CE2185">
        <w:rPr>
          <w:rFonts w:eastAsia="Times New Roman"/>
          <w:noProof/>
          <w:color w:val="000000" w:themeColor="text1"/>
        </w:rPr>
        <w:t>, was discarded at the early stage. This option would have b</w:t>
      </w:r>
      <w:r w:rsidRPr="00CE2185">
        <w:rPr>
          <w:noProof/>
        </w:rPr>
        <w:t xml:space="preserve">uilt upon option D.3 but would expand the list of key assets/technologies in highly critical and other critical sectors, as provided in Annexes I and II of the NIS2 Directive, directly in the act (without further empowerments). Consequently, in this option, an obligation not to use assets provided by entities </w:t>
      </w:r>
      <w:r>
        <w:rPr>
          <w:noProof/>
        </w:rPr>
        <w:t xml:space="preserve">established in or </w:t>
      </w:r>
      <w:r w:rsidRPr="00CE2185">
        <w:rPr>
          <w:noProof/>
        </w:rPr>
        <w:t xml:space="preserve">controlled by </w:t>
      </w:r>
      <w:r>
        <w:rPr>
          <w:noProof/>
        </w:rPr>
        <w:t xml:space="preserve">entities from third </w:t>
      </w:r>
      <w:r w:rsidRPr="00CE2185">
        <w:rPr>
          <w:noProof/>
        </w:rPr>
        <w:t>countries posing cybersecurity concerns</w:t>
      </w:r>
      <w:r>
        <w:rPr>
          <w:noProof/>
        </w:rPr>
        <w:t xml:space="preserve"> (high-risk suppliers)</w:t>
      </w:r>
      <w:r w:rsidRPr="00CE2185">
        <w:rPr>
          <w:noProof/>
        </w:rPr>
        <w:t>, would be imposed to specified entities. This option was discarded at the early stage as the absence of a relevant data to identify the key assets and proportional and necessary measures to address them, could lead to disproportionate restrictions with unknown impact on the relevant market.</w:t>
      </w:r>
    </w:p>
    <w:p w14:paraId="3E79190E" w14:textId="1C8A6390" w:rsidR="00844A3D" w:rsidRPr="00CE2185" w:rsidRDefault="00DB44C9" w:rsidP="00DB44C9">
      <w:pPr>
        <w:pStyle w:val="ListParagraph"/>
        <w:numPr>
          <w:ilvl w:val="0"/>
          <w:numId w:val="6"/>
        </w:numPr>
        <w:spacing w:after="120"/>
        <w:ind w:left="426"/>
        <w:contextualSpacing w:val="0"/>
        <w:rPr>
          <w:noProof/>
        </w:rPr>
      </w:pPr>
      <w:r w:rsidRPr="00CE2185">
        <w:rPr>
          <w:noProof/>
        </w:rPr>
        <w:t xml:space="preserve">Another option that was discarded at an early stage was to </w:t>
      </w:r>
      <w:r w:rsidRPr="00CE2185">
        <w:rPr>
          <w:b/>
          <w:bCs/>
          <w:noProof/>
        </w:rPr>
        <w:t>introduce a comprehensive and horizontal framework to address ICT supply chains cybersecurity risks in the NIS2 Directive</w:t>
      </w:r>
      <w:r w:rsidRPr="00CE2185">
        <w:rPr>
          <w:noProof/>
        </w:rPr>
        <w:t>. This is in fact a variation of the discarded option above, using a different legislative vehicle (a Directive instead of a Regulation). In addition to the reasoning for discarding the option above, in this option, introducing the framework in a directive would likely result in fragmented implementation across Member States.</w:t>
      </w:r>
    </w:p>
    <w:p w14:paraId="7487345F" w14:textId="10E9DAE1" w:rsidR="00F57D9D" w:rsidRPr="00CE2185" w:rsidRDefault="00F57D9D" w:rsidP="005D08B2">
      <w:pPr>
        <w:pStyle w:val="Heading2"/>
        <w:rPr>
          <w:noProof/>
        </w:rPr>
      </w:pPr>
      <w:bookmarkStart w:id="91" w:name="_Toc210393826"/>
      <w:bookmarkStart w:id="92" w:name="_Toc219447365"/>
      <w:r w:rsidRPr="00CE2185">
        <w:rPr>
          <w:noProof/>
        </w:rPr>
        <w:t>Complementary initiatives</w:t>
      </w:r>
      <w:bookmarkEnd w:id="91"/>
      <w:bookmarkEnd w:id="92"/>
    </w:p>
    <w:p w14:paraId="01F1085E" w14:textId="4A018B13" w:rsidR="00F57D9D" w:rsidRPr="00CE2185" w:rsidRDefault="00F57D9D" w:rsidP="00795DF0">
      <w:pPr>
        <w:spacing w:after="120"/>
        <w:rPr>
          <w:noProof/>
        </w:rPr>
      </w:pPr>
      <w:r w:rsidRPr="00CE2185">
        <w:rPr>
          <w:noProof/>
        </w:rPr>
        <w:t xml:space="preserve">The options analysed in this Impact Assessment Report should be considered </w:t>
      </w:r>
      <w:r w:rsidR="008D024C" w:rsidRPr="00CE2185">
        <w:rPr>
          <w:noProof/>
        </w:rPr>
        <w:t>to be</w:t>
      </w:r>
      <w:r w:rsidRPr="00CE2185">
        <w:rPr>
          <w:noProof/>
        </w:rPr>
        <w:t xml:space="preserve"> complementarity to </w:t>
      </w:r>
      <w:r w:rsidR="008D024C" w:rsidRPr="00CE2185">
        <w:rPr>
          <w:noProof/>
        </w:rPr>
        <w:t xml:space="preserve">the </w:t>
      </w:r>
      <w:r w:rsidRPr="00CE2185">
        <w:rPr>
          <w:noProof/>
        </w:rPr>
        <w:t>measures foreseen in the Digital Omnibus</w:t>
      </w:r>
      <w:r w:rsidR="00614FD7" w:rsidRPr="00CE2185">
        <w:rPr>
          <w:noProof/>
        </w:rPr>
        <w:t xml:space="preserve">, </w:t>
      </w:r>
      <w:r w:rsidR="00625B09" w:rsidRPr="00CE2185">
        <w:rPr>
          <w:noProof/>
        </w:rPr>
        <w:t>part of the Digital package</w:t>
      </w:r>
      <w:r w:rsidR="00614FD7" w:rsidRPr="00CE2185" w:rsidDel="00625B09">
        <w:rPr>
          <w:noProof/>
        </w:rPr>
        <w:t xml:space="preserve"> </w:t>
      </w:r>
      <w:r w:rsidR="00614FD7" w:rsidRPr="00CE2185">
        <w:rPr>
          <w:noProof/>
        </w:rPr>
        <w:t>announced in the Commission Work Programme 2025</w:t>
      </w:r>
      <w:r w:rsidRPr="00CE2185">
        <w:rPr>
          <w:noProof/>
        </w:rPr>
        <w:t xml:space="preserve">. </w:t>
      </w:r>
      <w:r w:rsidR="00A93AAA" w:rsidRPr="00CE2185">
        <w:rPr>
          <w:noProof/>
        </w:rPr>
        <w:t>The Digital Omnibus will not include substantive amendments to NIS</w:t>
      </w:r>
      <w:r w:rsidR="52A4CBE8" w:rsidRPr="00CE2185">
        <w:rPr>
          <w:noProof/>
        </w:rPr>
        <w:t xml:space="preserve"> </w:t>
      </w:r>
      <w:r w:rsidR="00A93AAA" w:rsidRPr="00CE2185">
        <w:rPr>
          <w:noProof/>
        </w:rPr>
        <w:t>2</w:t>
      </w:r>
      <w:r w:rsidR="27FCD9F3" w:rsidRPr="00CE2185">
        <w:rPr>
          <w:noProof/>
        </w:rPr>
        <w:t xml:space="preserve"> Directive</w:t>
      </w:r>
      <w:r w:rsidR="00A93AAA" w:rsidRPr="00CE2185">
        <w:rPr>
          <w:noProof/>
        </w:rPr>
        <w:t xml:space="preserve"> scope or other provisions. </w:t>
      </w:r>
      <w:r w:rsidRPr="00CE2185">
        <w:rPr>
          <w:noProof/>
        </w:rPr>
        <w:t xml:space="preserve">In the Digital Omnibus, a Union-level single-entry point for cybersecurity relevant incident and data breach reporting obligations under multiple Union legal acts (e.g., </w:t>
      </w:r>
      <w:r w:rsidR="00E47D43" w:rsidRPr="00CE2185">
        <w:rPr>
          <w:noProof/>
        </w:rPr>
        <w:t>NIS 2</w:t>
      </w:r>
      <w:r w:rsidRPr="00CE2185">
        <w:rPr>
          <w:noProof/>
        </w:rPr>
        <w:t>, GDPR, the Network Code on Cybersecurity, Part-IS) would be proposed. Once entities report the information required by the respective legal acts</w:t>
      </w:r>
      <w:r w:rsidR="00CF360E" w:rsidRPr="00CE2185">
        <w:rPr>
          <w:noProof/>
        </w:rPr>
        <w:t xml:space="preserve"> via the single-entry point</w:t>
      </w:r>
      <w:r w:rsidRPr="00CE2185">
        <w:rPr>
          <w:noProof/>
        </w:rPr>
        <w:t>, the reports would reach</w:t>
      </w:r>
      <w:r w:rsidR="004D7F84" w:rsidRPr="00CE2185">
        <w:rPr>
          <w:noProof/>
        </w:rPr>
        <w:t xml:space="preserve"> </w:t>
      </w:r>
      <w:r w:rsidRPr="00CE2185">
        <w:rPr>
          <w:noProof/>
        </w:rPr>
        <w:t xml:space="preserve">the relevant recipients as required by the respective Union legal acts and their national transpositions (such as CSIRTs or national authorities). The </w:t>
      </w:r>
      <w:r w:rsidR="002F0283" w:rsidRPr="00CE2185">
        <w:rPr>
          <w:noProof/>
        </w:rPr>
        <w:t>s</w:t>
      </w:r>
      <w:r w:rsidRPr="00CE2185">
        <w:rPr>
          <w:noProof/>
        </w:rPr>
        <w:t xml:space="preserve">ingle-entry point would be established and maintained by ENISA. The Digital Omnibus would mandate the use of the Union-level single-entry point by all entities covered by the incident reporting obligations in those legal acts. </w:t>
      </w:r>
    </w:p>
    <w:p w14:paraId="5DD83556" w14:textId="3AFA90ED" w:rsidR="00B120A4" w:rsidRPr="00CE2185" w:rsidRDefault="00F57D9D" w:rsidP="7C3C8D1B">
      <w:pPr>
        <w:pStyle w:val="BodyText"/>
        <w:rPr>
          <w:i/>
          <w:iCs/>
          <w:noProof/>
          <w:color w:val="000000" w:themeColor="text1"/>
        </w:rPr>
      </w:pPr>
      <w:r w:rsidRPr="00CE2185">
        <w:rPr>
          <w:noProof/>
        </w:rPr>
        <w:t xml:space="preserve">The measures under the Digital Omnibus would also </w:t>
      </w:r>
      <w:r w:rsidR="00686648" w:rsidRPr="00CE2185">
        <w:rPr>
          <w:noProof/>
        </w:rPr>
        <w:t>aim</w:t>
      </w:r>
      <w:r w:rsidRPr="00CE2185">
        <w:rPr>
          <w:noProof/>
        </w:rPr>
        <w:t xml:space="preserve"> to reduce</w:t>
      </w:r>
      <w:r w:rsidR="00686648" w:rsidRPr="00CE2185">
        <w:rPr>
          <w:noProof/>
        </w:rPr>
        <w:t xml:space="preserve"> the</w:t>
      </w:r>
      <w:r w:rsidRPr="00CE2185">
        <w:rPr>
          <w:noProof/>
        </w:rPr>
        <w:t xml:space="preserve"> compliance burden </w:t>
      </w:r>
      <w:r w:rsidR="00686648" w:rsidRPr="00CE2185">
        <w:rPr>
          <w:noProof/>
        </w:rPr>
        <w:t>on</w:t>
      </w:r>
      <w:r w:rsidRPr="00CE2185">
        <w:rPr>
          <w:noProof/>
        </w:rPr>
        <w:t xml:space="preserve"> entities </w:t>
      </w:r>
      <w:r w:rsidR="00686648" w:rsidRPr="00CE2185">
        <w:rPr>
          <w:noProof/>
        </w:rPr>
        <w:t>regarding</w:t>
      </w:r>
      <w:r w:rsidRPr="00CE2185">
        <w:rPr>
          <w:noProof/>
        </w:rPr>
        <w:t xml:space="preserve"> incident reporting obligations stemming from various legal acts and their national implementations. </w:t>
      </w:r>
      <w:r w:rsidR="00B120A4" w:rsidRPr="00CE2185">
        <w:rPr>
          <w:noProof/>
          <w:color w:val="000000" w:themeColor="text1"/>
        </w:rPr>
        <w:t>The impacts, costs</w:t>
      </w:r>
      <w:r w:rsidR="00591A91" w:rsidRPr="00CE2185">
        <w:rPr>
          <w:noProof/>
          <w:color w:val="000000" w:themeColor="text1"/>
        </w:rPr>
        <w:t xml:space="preserve"> (</w:t>
      </w:r>
      <w:r w:rsidR="00ED020C" w:rsidRPr="00CE2185">
        <w:rPr>
          <w:noProof/>
          <w:color w:val="000000" w:themeColor="text1"/>
        </w:rPr>
        <w:t>with the exception of</w:t>
      </w:r>
      <w:r w:rsidR="00591A91" w:rsidRPr="00CE2185">
        <w:rPr>
          <w:noProof/>
          <w:color w:val="000000" w:themeColor="text1"/>
        </w:rPr>
        <w:t xml:space="preserve"> the costs of ENISA’s staff </w:t>
      </w:r>
      <w:r w:rsidR="36E7EF59" w:rsidRPr="00CE2185">
        <w:rPr>
          <w:noProof/>
          <w:color w:val="000000" w:themeColor="text1"/>
        </w:rPr>
        <w:t xml:space="preserve">and costs </w:t>
      </w:r>
      <w:r w:rsidR="00591A91" w:rsidRPr="00CE2185">
        <w:rPr>
          <w:noProof/>
          <w:color w:val="000000" w:themeColor="text1"/>
        </w:rPr>
        <w:t>needed to</w:t>
      </w:r>
      <w:r w:rsidR="00B120A4" w:rsidRPr="00CE2185">
        <w:rPr>
          <w:noProof/>
          <w:color w:val="000000" w:themeColor="text1"/>
        </w:rPr>
        <w:t xml:space="preserve"> </w:t>
      </w:r>
      <w:r w:rsidR="00F44051" w:rsidRPr="00CE2185">
        <w:rPr>
          <w:noProof/>
          <w:color w:val="000000" w:themeColor="text1"/>
        </w:rPr>
        <w:t>develop and maintain</w:t>
      </w:r>
      <w:r w:rsidR="112B7B01" w:rsidRPr="00CE2185">
        <w:rPr>
          <w:noProof/>
          <w:color w:val="000000" w:themeColor="text1"/>
        </w:rPr>
        <w:t xml:space="preserve"> the single-entry point</w:t>
      </w:r>
      <w:r w:rsidR="5F67E191" w:rsidRPr="00CE2185">
        <w:rPr>
          <w:noProof/>
          <w:color w:val="000000" w:themeColor="text1"/>
        </w:rPr>
        <w:t xml:space="preserve"> that is part of this Report</w:t>
      </w:r>
      <w:r w:rsidR="00F44051" w:rsidRPr="00CE2185">
        <w:rPr>
          <w:noProof/>
          <w:color w:val="000000" w:themeColor="text1"/>
        </w:rPr>
        <w:t>)</w:t>
      </w:r>
      <w:r w:rsidR="00B120A4" w:rsidRPr="00CE2185">
        <w:rPr>
          <w:noProof/>
          <w:color w:val="000000" w:themeColor="text1"/>
        </w:rPr>
        <w:t xml:space="preserve"> and benefits related to the single-entry point are assessed within the proposed Digital Omnibus and are not taken into account in the assessment of impacts for the C</w:t>
      </w:r>
      <w:r w:rsidR="00817D7A" w:rsidRPr="00CE2185">
        <w:rPr>
          <w:noProof/>
          <w:color w:val="000000" w:themeColor="text1"/>
        </w:rPr>
        <w:t>SA</w:t>
      </w:r>
      <w:r w:rsidR="00B120A4" w:rsidRPr="00CE2185">
        <w:rPr>
          <w:noProof/>
          <w:color w:val="000000" w:themeColor="text1"/>
        </w:rPr>
        <w:t>.</w:t>
      </w:r>
      <w:r w:rsidR="00B120A4" w:rsidRPr="00CE2185">
        <w:rPr>
          <w:i/>
          <w:iCs/>
          <w:noProof/>
          <w:color w:val="000000" w:themeColor="text1"/>
        </w:rPr>
        <w:t xml:space="preserve"> </w:t>
      </w:r>
    </w:p>
    <w:p w14:paraId="459AD8A1" w14:textId="42D97686" w:rsidR="5557EBD8" w:rsidRPr="00CE2185" w:rsidRDefault="5557EBD8" w:rsidP="0092143E">
      <w:pPr>
        <w:pStyle w:val="Heading2"/>
        <w:rPr>
          <w:noProof/>
        </w:rPr>
      </w:pPr>
      <w:bookmarkStart w:id="93" w:name="_Toc210393827"/>
      <w:bookmarkStart w:id="94" w:name="_Toc219447366"/>
      <w:r w:rsidRPr="00CE2185">
        <w:rPr>
          <w:noProof/>
        </w:rPr>
        <w:t>Possible combinations of options</w:t>
      </w:r>
      <w:bookmarkEnd w:id="93"/>
      <w:bookmarkEnd w:id="94"/>
    </w:p>
    <w:p w14:paraId="54D692E1" w14:textId="33A9821C" w:rsidR="004A7B1A" w:rsidRPr="00CE2185" w:rsidRDefault="68AF6E5F" w:rsidP="00795DF0">
      <w:pPr>
        <w:pStyle w:val="Text2"/>
        <w:spacing w:after="120"/>
        <w:ind w:left="0"/>
        <w:rPr>
          <w:noProof/>
        </w:rPr>
      </w:pPr>
      <w:r w:rsidRPr="00CE2185">
        <w:rPr>
          <w:noProof/>
        </w:rPr>
        <w:t xml:space="preserve">There are several links between options as described above. </w:t>
      </w:r>
      <w:r w:rsidR="14D67FA2" w:rsidRPr="00CE2185">
        <w:rPr>
          <w:noProof/>
        </w:rPr>
        <w:t xml:space="preserve">Combination of certain options </w:t>
      </w:r>
      <w:r w:rsidRPr="00CE2185">
        <w:rPr>
          <w:noProof/>
        </w:rPr>
        <w:t xml:space="preserve">will reinforce </w:t>
      </w:r>
      <w:r w:rsidR="4A61BC6E" w:rsidRPr="00CE2185">
        <w:rPr>
          <w:noProof/>
        </w:rPr>
        <w:t>effectiveness</w:t>
      </w:r>
      <w:r w:rsidRPr="00CE2185">
        <w:rPr>
          <w:noProof/>
        </w:rPr>
        <w:t xml:space="preserve"> of the option</w:t>
      </w:r>
      <w:r w:rsidR="4A238F28" w:rsidRPr="00CE2185">
        <w:rPr>
          <w:noProof/>
        </w:rPr>
        <w:t>s in question</w:t>
      </w:r>
      <w:r w:rsidR="686D6FBF" w:rsidRPr="00CE2185">
        <w:rPr>
          <w:noProof/>
        </w:rPr>
        <w:t xml:space="preserve"> or ensure that options can materialise at all</w:t>
      </w:r>
      <w:r w:rsidR="002F2D56" w:rsidRPr="00CE2185">
        <w:rPr>
          <w:noProof/>
        </w:rPr>
        <w:t>, n</w:t>
      </w:r>
      <w:r w:rsidR="00246E48" w:rsidRPr="00CE2185">
        <w:rPr>
          <w:noProof/>
        </w:rPr>
        <w:t>amely:</w:t>
      </w:r>
    </w:p>
    <w:p w14:paraId="2D63A702" w14:textId="22352684" w:rsidR="004A7B1A" w:rsidRPr="00CE2185" w:rsidRDefault="004A7B1A" w:rsidP="00EE3DF9">
      <w:pPr>
        <w:pStyle w:val="ListParagraph"/>
        <w:numPr>
          <w:ilvl w:val="0"/>
          <w:numId w:val="6"/>
        </w:numPr>
        <w:spacing w:after="120"/>
        <w:ind w:left="426"/>
        <w:contextualSpacing w:val="0"/>
        <w:rPr>
          <w:noProof/>
        </w:rPr>
      </w:pPr>
      <w:r w:rsidRPr="00CE2185">
        <w:rPr>
          <w:noProof/>
        </w:rPr>
        <w:t>combination of B2</w:t>
      </w:r>
      <w:r w:rsidR="00246E48" w:rsidRPr="00CE2185">
        <w:rPr>
          <w:noProof/>
        </w:rPr>
        <w:t>/</w:t>
      </w:r>
      <w:r w:rsidRPr="00CE2185">
        <w:rPr>
          <w:noProof/>
        </w:rPr>
        <w:t xml:space="preserve"> B3 that propose extending the scope of the ECCF and introduce the certification of organisations with C2</w:t>
      </w:r>
      <w:r w:rsidR="009B7CD7" w:rsidRPr="00CE2185">
        <w:rPr>
          <w:noProof/>
        </w:rPr>
        <w:t>/</w:t>
      </w:r>
      <w:r w:rsidRPr="00CE2185">
        <w:rPr>
          <w:noProof/>
        </w:rPr>
        <w:t>C3, which would then use such certification to demonstrate compliance could generate more benefits for economic entities and national authorities as it would facilitate supervision.</w:t>
      </w:r>
      <w:r w:rsidR="002265D7" w:rsidRPr="00CE2185">
        <w:rPr>
          <w:noProof/>
        </w:rPr>
        <w:t xml:space="preserve"> B3 that introduces the mandatory use of such certification for essential entities under NIS2 would not make sense without C2/C3</w:t>
      </w:r>
      <w:r w:rsidR="00660229" w:rsidRPr="00CE2185">
        <w:rPr>
          <w:noProof/>
        </w:rPr>
        <w:t xml:space="preserve"> as it would mean to make those entities subject to two supervisory regime</w:t>
      </w:r>
      <w:r w:rsidR="00690C64" w:rsidRPr="00CE2185">
        <w:rPr>
          <w:noProof/>
        </w:rPr>
        <w:t>;</w:t>
      </w:r>
      <w:r w:rsidR="00660229" w:rsidRPr="00CE2185">
        <w:rPr>
          <w:noProof/>
        </w:rPr>
        <w:t xml:space="preserve"> </w:t>
      </w:r>
      <w:r w:rsidR="002265D7" w:rsidRPr="00CE2185">
        <w:rPr>
          <w:noProof/>
        </w:rPr>
        <w:t xml:space="preserve"> </w:t>
      </w:r>
    </w:p>
    <w:p w14:paraId="047EA9F4" w14:textId="77777777" w:rsidR="00DB44C9" w:rsidRDefault="00DB44C9" w:rsidP="00EE3DF9">
      <w:pPr>
        <w:pStyle w:val="ListParagraph"/>
        <w:numPr>
          <w:ilvl w:val="0"/>
          <w:numId w:val="6"/>
        </w:numPr>
        <w:spacing w:after="120"/>
        <w:ind w:left="426"/>
        <w:contextualSpacing w:val="0"/>
        <w:rPr>
          <w:noProof/>
        </w:rPr>
      </w:pPr>
      <w:r w:rsidRPr="00CE2185">
        <w:rPr>
          <w:noProof/>
        </w:rPr>
        <w:t>combination of C1/C2/C3 that provide for the guidelines on the application of supply chain security requirements in the NIS 2 Directive with D1/D3 where further recommendations or obligations, respectively, regarding supply chain security are foreseen would reinforce and complement their effect</w:t>
      </w:r>
      <w:r>
        <w:rPr>
          <w:noProof/>
        </w:rPr>
        <w:t>;</w:t>
      </w:r>
    </w:p>
    <w:p w14:paraId="2FBD88DE" w14:textId="7A2BFC65" w:rsidR="004A7B1A" w:rsidRPr="00CE2185" w:rsidRDefault="006C383B" w:rsidP="00EE3DF9">
      <w:pPr>
        <w:pStyle w:val="ListParagraph"/>
        <w:numPr>
          <w:ilvl w:val="0"/>
          <w:numId w:val="6"/>
        </w:numPr>
        <w:spacing w:after="120"/>
        <w:ind w:left="426"/>
        <w:contextualSpacing w:val="0"/>
        <w:rPr>
          <w:noProof/>
        </w:rPr>
      </w:pPr>
      <w:r w:rsidRPr="00CE2185">
        <w:rPr>
          <w:noProof/>
        </w:rPr>
        <w:t>o</w:t>
      </w:r>
      <w:r w:rsidR="004C0960" w:rsidRPr="00CE2185">
        <w:rPr>
          <w:noProof/>
        </w:rPr>
        <w:t xml:space="preserve">ptions </w:t>
      </w:r>
      <w:r w:rsidR="008B0832" w:rsidRPr="00CE2185">
        <w:rPr>
          <w:noProof/>
        </w:rPr>
        <w:t>B1/</w:t>
      </w:r>
      <w:r w:rsidR="00A408A2" w:rsidRPr="00CE2185">
        <w:rPr>
          <w:noProof/>
        </w:rPr>
        <w:t xml:space="preserve">B2/B3 could not materialise without </w:t>
      </w:r>
      <w:r w:rsidR="004A7B1A" w:rsidRPr="00CE2185">
        <w:rPr>
          <w:noProof/>
        </w:rPr>
        <w:t>A2/A3 that empower ENISA to be a cybersecurity certification scheme manager and is tasked to do the maintenance of the schemes</w:t>
      </w:r>
      <w:r w:rsidR="00690C64" w:rsidRPr="00CE2185">
        <w:rPr>
          <w:noProof/>
        </w:rPr>
        <w:t>;</w:t>
      </w:r>
      <w:r w:rsidR="005C1CA0" w:rsidRPr="00CE2185">
        <w:rPr>
          <w:noProof/>
        </w:rPr>
        <w:t xml:space="preserve"> </w:t>
      </w:r>
    </w:p>
    <w:p w14:paraId="153881D8" w14:textId="5B8057FE" w:rsidR="004A7B1A" w:rsidRPr="00CE2185" w:rsidRDefault="004A7B1A" w:rsidP="00EE3DF9">
      <w:pPr>
        <w:pStyle w:val="ListParagraph"/>
        <w:numPr>
          <w:ilvl w:val="0"/>
          <w:numId w:val="6"/>
        </w:numPr>
        <w:spacing w:after="120"/>
        <w:ind w:left="426"/>
        <w:contextualSpacing w:val="0"/>
        <w:rPr>
          <w:noProof/>
        </w:rPr>
      </w:pPr>
      <w:r w:rsidRPr="00CE2185">
        <w:rPr>
          <w:noProof/>
        </w:rPr>
        <w:t>options C2/C3 that provide for further facilitation of compliance with cybersecurity risk-management measures for multi-country entities subject to supervision by competent authorities from several Member States</w:t>
      </w:r>
      <w:r w:rsidR="004E7F23" w:rsidRPr="00CE2185">
        <w:rPr>
          <w:noProof/>
        </w:rPr>
        <w:t xml:space="preserve"> would not be possible if</w:t>
      </w:r>
      <w:r w:rsidR="004212E6" w:rsidRPr="00CE2185">
        <w:rPr>
          <w:noProof/>
        </w:rPr>
        <w:t xml:space="preserve"> </w:t>
      </w:r>
      <w:r w:rsidRPr="00CE2185">
        <w:rPr>
          <w:noProof/>
        </w:rPr>
        <w:t xml:space="preserve">ENISA would </w:t>
      </w:r>
      <w:r w:rsidR="004212E6" w:rsidRPr="00CE2185">
        <w:rPr>
          <w:noProof/>
        </w:rPr>
        <w:t>not</w:t>
      </w:r>
      <w:r w:rsidRPr="00CE2185">
        <w:rPr>
          <w:noProof/>
        </w:rPr>
        <w:t xml:space="preserve"> receive a new role supporting Member States in the supervision of these entities and facilitate mutual assistance</w:t>
      </w:r>
      <w:r w:rsidR="009B256C" w:rsidRPr="00CE2185">
        <w:rPr>
          <w:noProof/>
        </w:rPr>
        <w:t xml:space="preserve"> under A2 and A3</w:t>
      </w:r>
      <w:r w:rsidR="004212E6" w:rsidRPr="00CE2185">
        <w:rPr>
          <w:noProof/>
        </w:rPr>
        <w:t>;</w:t>
      </w:r>
      <w:r w:rsidRPr="00CE2185">
        <w:rPr>
          <w:noProof/>
        </w:rPr>
        <w:t xml:space="preserve">   </w:t>
      </w:r>
    </w:p>
    <w:p w14:paraId="33DA031A" w14:textId="4A03114D" w:rsidR="004A7B1A" w:rsidRPr="00CE2185" w:rsidRDefault="00DB44C9" w:rsidP="00EE3DF9">
      <w:pPr>
        <w:pStyle w:val="ListParagraph"/>
        <w:numPr>
          <w:ilvl w:val="0"/>
          <w:numId w:val="6"/>
        </w:numPr>
        <w:spacing w:after="120"/>
        <w:ind w:left="426"/>
        <w:rPr>
          <w:noProof/>
        </w:rPr>
      </w:pPr>
      <w:r w:rsidRPr="00CE2185">
        <w:rPr>
          <w:noProof/>
        </w:rPr>
        <w:t>options B1/B2/B3 that clarify that the ECCF would only tackle technical risk factors would be inefficient and would not provide added value to the baseline scenario if they are not combined with option D.3 that provides for the horizontal framework on the ICT supply chain security, addressing the issue of non-technical risk factors. As this was an important reason for blockage of the EUCS and EU5G certification schemes. Lack of solutions of option D3 could also put at risk the managed security services certification, in particular for the assurance level high. The combination with option D2, would address the issue of non-technical risk factors for the EU5G certification scheme. Option D.3 would provide that</w:t>
      </w:r>
      <w:r>
        <w:rPr>
          <w:noProof/>
        </w:rPr>
        <w:t xml:space="preserve"> </w:t>
      </w:r>
      <w:r w:rsidRPr="00CE2185">
        <w:rPr>
          <w:noProof/>
        </w:rPr>
        <w:t xml:space="preserve">entities </w:t>
      </w:r>
      <w:r>
        <w:rPr>
          <w:noProof/>
        </w:rPr>
        <w:t>established</w:t>
      </w:r>
      <w:r w:rsidRPr="00CE2185">
        <w:rPr>
          <w:noProof/>
        </w:rPr>
        <w:t xml:space="preserve"> </w:t>
      </w:r>
      <w:r>
        <w:rPr>
          <w:noProof/>
        </w:rPr>
        <w:t xml:space="preserve">in </w:t>
      </w:r>
      <w:r w:rsidRPr="00CE2185">
        <w:rPr>
          <w:noProof/>
        </w:rPr>
        <w:t xml:space="preserve">or controlled by </w:t>
      </w:r>
      <w:r>
        <w:rPr>
          <w:noProof/>
        </w:rPr>
        <w:t>entities from third</w:t>
      </w:r>
      <w:r w:rsidRPr="00CE2185">
        <w:rPr>
          <w:noProof/>
        </w:rPr>
        <w:t xml:space="preserve"> countries posing cybersecurity concerns </w:t>
      </w:r>
      <w:r>
        <w:rPr>
          <w:noProof/>
        </w:rPr>
        <w:t xml:space="preserve">(high-risk suppliers) </w:t>
      </w:r>
      <w:r w:rsidRPr="00CE2185">
        <w:rPr>
          <w:noProof/>
        </w:rPr>
        <w:t>would not be eligible to apply for the ECCF certification. The combination of options B with option D.3 does not entail that an entity would need to be certified not be considered high-risk</w:t>
      </w:r>
      <w:r w:rsidR="423F71E5" w:rsidRPr="00CE2185">
        <w:rPr>
          <w:noProof/>
        </w:rPr>
        <w:t>.</w:t>
      </w:r>
    </w:p>
    <w:p w14:paraId="0A1399D8" w14:textId="464A7A4D" w:rsidR="00024262" w:rsidRPr="00CE2185" w:rsidRDefault="006B087E" w:rsidP="001302AB">
      <w:pPr>
        <w:pStyle w:val="Heading1"/>
        <w:rPr>
          <w:noProof/>
        </w:rPr>
      </w:pPr>
      <w:bookmarkStart w:id="95" w:name="_Toc210393828"/>
      <w:bookmarkStart w:id="96" w:name="_Toc219447367"/>
      <w:r w:rsidRPr="00CE2185">
        <w:rPr>
          <w:noProof/>
        </w:rPr>
        <w:t>What are the impacts of the policy options?</w:t>
      </w:r>
      <w:bookmarkEnd w:id="95"/>
      <w:bookmarkEnd w:id="96"/>
      <w:r w:rsidR="0056499F" w:rsidRPr="00CE2185">
        <w:rPr>
          <w:noProof/>
        </w:rPr>
        <w:t xml:space="preserve"> </w:t>
      </w:r>
    </w:p>
    <w:p w14:paraId="6302B90D" w14:textId="1F95B0EA" w:rsidR="00AD1E8D" w:rsidRPr="00CE2185" w:rsidRDefault="00BA719F" w:rsidP="00BA719F">
      <w:pPr>
        <w:pStyle w:val="Text1"/>
        <w:ind w:left="0"/>
        <w:rPr>
          <w:noProof/>
        </w:rPr>
      </w:pPr>
      <w:r w:rsidRPr="00CE2185">
        <w:rPr>
          <w:noProof/>
        </w:rPr>
        <w:t xml:space="preserve">This section outlines main impacts of the policy options. Given that </w:t>
      </w:r>
      <w:r w:rsidR="00476858" w:rsidRPr="00CE2185">
        <w:rPr>
          <w:noProof/>
        </w:rPr>
        <w:t xml:space="preserve">different markets will be affected, economic impacts are addressed in </w:t>
      </w:r>
      <w:r w:rsidR="00476858" w:rsidRPr="00167CA3">
        <w:rPr>
          <w:noProof/>
        </w:rPr>
        <w:t>detail</w:t>
      </w:r>
      <w:r w:rsidR="00DB44C9">
        <w:rPr>
          <w:noProof/>
        </w:rPr>
        <w:t xml:space="preserve"> </w:t>
      </w:r>
      <w:r w:rsidR="00167CA3" w:rsidRPr="00167CA3">
        <w:rPr>
          <w:noProof/>
        </w:rPr>
        <w:t>(</w:t>
      </w:r>
      <w:r w:rsidR="00167CA3" w:rsidRPr="00167CA3">
        <w:rPr>
          <w:i/>
          <w:iCs/>
          <w:noProof/>
        </w:rPr>
        <w:t>see section 6.1)</w:t>
      </w:r>
      <w:r w:rsidR="00AD1E8D" w:rsidRPr="00167CA3">
        <w:rPr>
          <w:noProof/>
        </w:rPr>
        <w:t>,</w:t>
      </w:r>
      <w:r w:rsidR="00AD1E8D" w:rsidRPr="00CE2185">
        <w:rPr>
          <w:noProof/>
        </w:rPr>
        <w:t xml:space="preserve"> including impacts on compliance costs, </w:t>
      </w:r>
      <w:r w:rsidR="00EC5618" w:rsidRPr="00CE2185">
        <w:rPr>
          <w:noProof/>
        </w:rPr>
        <w:t xml:space="preserve">on SMEs and impacts on </w:t>
      </w:r>
      <w:r w:rsidR="00AC72BE" w:rsidRPr="00CE2185">
        <w:rPr>
          <w:noProof/>
        </w:rPr>
        <w:t>trade, innovation and competitiveness</w:t>
      </w:r>
      <w:r w:rsidR="00476858" w:rsidRPr="00CE2185">
        <w:rPr>
          <w:noProof/>
        </w:rPr>
        <w:t xml:space="preserve">. Furthermore, given the relevance to the policy options, </w:t>
      </w:r>
      <w:r w:rsidR="00D21B83" w:rsidRPr="00CE2185">
        <w:rPr>
          <w:noProof/>
        </w:rPr>
        <w:t>next to economic impacts, also</w:t>
      </w:r>
      <w:r w:rsidR="00476858" w:rsidRPr="00CE2185">
        <w:rPr>
          <w:noProof/>
        </w:rPr>
        <w:t xml:space="preserve"> impacts on cyber resilience and technological sovereignty</w:t>
      </w:r>
      <w:r w:rsidR="00D21B83" w:rsidRPr="00CE2185">
        <w:rPr>
          <w:noProof/>
        </w:rPr>
        <w:t xml:space="preserve"> are analysed in detail</w:t>
      </w:r>
      <w:r w:rsidR="00DF21D1" w:rsidRPr="00CE2185">
        <w:rPr>
          <w:noProof/>
        </w:rPr>
        <w:t xml:space="preserve"> (</w:t>
      </w:r>
      <w:r w:rsidR="00DF21D1" w:rsidRPr="00CE2185">
        <w:rPr>
          <w:i/>
          <w:iCs/>
          <w:noProof/>
        </w:rPr>
        <w:t>see section 6.2</w:t>
      </w:r>
      <w:r w:rsidR="00D3685E" w:rsidRPr="00CE2185">
        <w:rPr>
          <w:noProof/>
        </w:rPr>
        <w:t>)</w:t>
      </w:r>
      <w:r w:rsidR="00476858" w:rsidRPr="00CE2185">
        <w:rPr>
          <w:noProof/>
        </w:rPr>
        <w:t xml:space="preserve">. </w:t>
      </w:r>
    </w:p>
    <w:p w14:paraId="35C4AFA7" w14:textId="77777777" w:rsidR="00AD1E8D" w:rsidRPr="00CE2185" w:rsidRDefault="00AD1E8D" w:rsidP="00AD1E8D">
      <w:pPr>
        <w:tabs>
          <w:tab w:val="left" w:pos="2302"/>
        </w:tabs>
        <w:spacing w:after="120"/>
        <w:rPr>
          <w:rFonts w:eastAsia="Times New Roman"/>
          <w:noProof/>
        </w:rPr>
      </w:pPr>
      <w:r w:rsidRPr="00CE2185">
        <w:rPr>
          <w:rFonts w:eastAsia="Times New Roman"/>
          <w:noProof/>
        </w:rPr>
        <w:t xml:space="preserve">The following stakeholders are expected to be impacted by the different policy options: </w:t>
      </w:r>
    </w:p>
    <w:p w14:paraId="55936040" w14:textId="77777777" w:rsidR="00AD1E8D" w:rsidRPr="00CE2185" w:rsidRDefault="00AD1E8D" w:rsidP="00EE3DF9">
      <w:pPr>
        <w:pStyle w:val="ListParagraph"/>
        <w:numPr>
          <w:ilvl w:val="0"/>
          <w:numId w:val="24"/>
        </w:numPr>
        <w:tabs>
          <w:tab w:val="left" w:pos="2302"/>
        </w:tabs>
        <w:spacing w:after="120"/>
        <w:ind w:left="425" w:hanging="357"/>
        <w:rPr>
          <w:rFonts w:eastAsia="Times New Roman"/>
          <w:noProof/>
        </w:rPr>
      </w:pPr>
      <w:r w:rsidRPr="00CE2185">
        <w:rPr>
          <w:rFonts w:eastAsia="Times New Roman"/>
          <w:b/>
          <w:bCs/>
          <w:noProof/>
        </w:rPr>
        <w:t>Businesses</w:t>
      </w:r>
      <w:r w:rsidRPr="00CE2185">
        <w:rPr>
          <w:rFonts w:eastAsia="Times New Roman"/>
          <w:noProof/>
        </w:rPr>
        <w:t xml:space="preserve"> (both large and SMEs): essential and important entities covered by NIS2; suppliers of ICT products, services, processes, managed security services; businesses using ICT solutions and relying on critical infrastructure; providers of individual skills attestations.  </w:t>
      </w:r>
    </w:p>
    <w:p w14:paraId="11E05523" w14:textId="77777777" w:rsidR="00AD1E8D" w:rsidRPr="00CE2185" w:rsidRDefault="00AD1E8D" w:rsidP="00EE3DF9">
      <w:pPr>
        <w:pStyle w:val="ListParagraph"/>
        <w:numPr>
          <w:ilvl w:val="0"/>
          <w:numId w:val="23"/>
        </w:numPr>
        <w:tabs>
          <w:tab w:val="left" w:pos="2302"/>
        </w:tabs>
        <w:spacing w:after="120"/>
        <w:ind w:left="425" w:hanging="357"/>
        <w:rPr>
          <w:rFonts w:eastAsia="Times New Roman"/>
          <w:noProof/>
        </w:rPr>
      </w:pPr>
      <w:r w:rsidRPr="00CE2185">
        <w:rPr>
          <w:b/>
          <w:bCs/>
          <w:noProof/>
        </w:rPr>
        <w:t xml:space="preserve">Public authorities: </w:t>
      </w:r>
      <w:r w:rsidRPr="00CE2185">
        <w:rPr>
          <w:noProof/>
        </w:rPr>
        <w:t xml:space="preserve">National cybersecurity authorities; national cybersecurity certification authorities; national accreditation authorities; ICT users. </w:t>
      </w:r>
    </w:p>
    <w:p w14:paraId="662EEA0B" w14:textId="77777777" w:rsidR="00AD1E8D" w:rsidRPr="00CE2185" w:rsidRDefault="00AD1E8D" w:rsidP="00EE3DF9">
      <w:pPr>
        <w:pStyle w:val="ListParagraph"/>
        <w:numPr>
          <w:ilvl w:val="0"/>
          <w:numId w:val="23"/>
        </w:numPr>
        <w:tabs>
          <w:tab w:val="left" w:pos="2302"/>
        </w:tabs>
        <w:spacing w:after="120"/>
        <w:ind w:left="425" w:hanging="357"/>
        <w:rPr>
          <w:rFonts w:eastAsia="Times New Roman"/>
          <w:noProof/>
        </w:rPr>
      </w:pPr>
      <w:r w:rsidRPr="00CE2185">
        <w:rPr>
          <w:b/>
          <w:bCs/>
          <w:noProof/>
        </w:rPr>
        <w:t xml:space="preserve">Consumers and citizens </w:t>
      </w:r>
      <w:r w:rsidRPr="00CE2185">
        <w:rPr>
          <w:noProof/>
        </w:rPr>
        <w:t>as actual and potential cybersecurity professionals, ICT users and users of public services.</w:t>
      </w:r>
    </w:p>
    <w:p w14:paraId="30D58908" w14:textId="77777777" w:rsidR="00AD1E8D" w:rsidRPr="00CE2185" w:rsidRDefault="00AD1E8D" w:rsidP="00EE3DF9">
      <w:pPr>
        <w:pStyle w:val="ListParagraph"/>
        <w:numPr>
          <w:ilvl w:val="0"/>
          <w:numId w:val="23"/>
        </w:numPr>
        <w:tabs>
          <w:tab w:val="left" w:pos="2302"/>
        </w:tabs>
        <w:spacing w:after="120"/>
        <w:ind w:left="425" w:hanging="357"/>
        <w:rPr>
          <w:noProof/>
        </w:rPr>
      </w:pPr>
      <w:r w:rsidRPr="00CE2185">
        <w:rPr>
          <w:noProof/>
        </w:rPr>
        <w:t xml:space="preserve">EU institutions and agencies, in particular </w:t>
      </w:r>
      <w:r w:rsidRPr="00CE2185">
        <w:rPr>
          <w:b/>
          <w:bCs/>
          <w:noProof/>
        </w:rPr>
        <w:t xml:space="preserve">ENISA. </w:t>
      </w:r>
    </w:p>
    <w:p w14:paraId="7F44A60B" w14:textId="49CA9DA2" w:rsidR="003F0ED8" w:rsidRPr="00CE2185" w:rsidRDefault="003F0ED8" w:rsidP="00BA719F">
      <w:pPr>
        <w:pStyle w:val="Text1"/>
        <w:ind w:left="0"/>
        <w:rPr>
          <w:noProof/>
        </w:rPr>
      </w:pPr>
      <w:r w:rsidRPr="00CE2185">
        <w:rPr>
          <w:noProof/>
        </w:rPr>
        <w:t xml:space="preserve">To ensure readability of this document and provide for a concise overview, methodological background, including details of calculations for the estimates, is provided in </w:t>
      </w:r>
      <w:r w:rsidRPr="00CE2185">
        <w:rPr>
          <w:i/>
          <w:iCs/>
          <w:noProof/>
        </w:rPr>
        <w:t>Annex 4</w:t>
      </w:r>
      <w:r w:rsidRPr="00CE2185">
        <w:rPr>
          <w:noProof/>
        </w:rPr>
        <w:t>.  Below</w:t>
      </w:r>
      <w:r w:rsidR="000F6B47" w:rsidRPr="00CE2185">
        <w:rPr>
          <w:noProof/>
        </w:rPr>
        <w:t>,</w:t>
      </w:r>
      <w:r w:rsidRPr="00CE2185">
        <w:rPr>
          <w:noProof/>
        </w:rPr>
        <w:t xml:space="preserve"> an overview of key methodological considerations is provided. </w:t>
      </w:r>
    </w:p>
    <w:tbl>
      <w:tblPr>
        <w:tblStyle w:val="TableGrid"/>
        <w:tblW w:w="0" w:type="auto"/>
        <w:tblLook w:val="04A0" w:firstRow="1" w:lastRow="0" w:firstColumn="1" w:lastColumn="0" w:noHBand="0" w:noVBand="1"/>
      </w:tblPr>
      <w:tblGrid>
        <w:gridCol w:w="8863"/>
      </w:tblGrid>
      <w:tr w:rsidR="00D21B83" w:rsidRPr="00CE2185" w14:paraId="79FCCF67" w14:textId="77777777" w:rsidTr="00416674">
        <w:tc>
          <w:tcPr>
            <w:tcW w:w="9286" w:type="dxa"/>
          </w:tcPr>
          <w:p w14:paraId="0C296BBB" w14:textId="11341E00" w:rsidR="00F6133C" w:rsidRPr="00CE2185" w:rsidRDefault="00F6133C" w:rsidP="00A22CC5">
            <w:pPr>
              <w:spacing w:after="120"/>
              <w:rPr>
                <w:b/>
                <w:bCs/>
                <w:noProof/>
              </w:rPr>
            </w:pPr>
            <w:r w:rsidRPr="00CE2185">
              <w:rPr>
                <w:b/>
                <w:bCs/>
                <w:noProof/>
              </w:rPr>
              <w:t>Key methodological</w:t>
            </w:r>
            <w:r w:rsidR="003F0ED8" w:rsidRPr="00CE2185">
              <w:rPr>
                <w:b/>
                <w:bCs/>
                <w:noProof/>
              </w:rPr>
              <w:t xml:space="preserve"> considerations</w:t>
            </w:r>
          </w:p>
          <w:p w14:paraId="5CD34D80" w14:textId="41153FCF" w:rsidR="006C2884" w:rsidRPr="00CE2185" w:rsidRDefault="00A22CC5" w:rsidP="00A22CC5">
            <w:pPr>
              <w:spacing w:after="120"/>
              <w:rPr>
                <w:noProof/>
              </w:rPr>
            </w:pPr>
            <w:r w:rsidRPr="00CE2185">
              <w:rPr>
                <w:noProof/>
              </w:rPr>
              <w:t xml:space="preserve">To the extent possible, </w:t>
            </w:r>
            <w:r w:rsidRPr="00CE2185">
              <w:rPr>
                <w:b/>
                <w:noProof/>
              </w:rPr>
              <w:t>specific and aggregated quantitative</w:t>
            </w:r>
            <w:r w:rsidRPr="00CE2185">
              <w:rPr>
                <w:noProof/>
              </w:rPr>
              <w:t xml:space="preserve"> estimates have been elaborated for the different sources of costs and benefits with relevant assumptions. </w:t>
            </w:r>
            <w:r w:rsidR="006C2884" w:rsidRPr="00CE2185">
              <w:rPr>
                <w:noProof/>
              </w:rPr>
              <w:t xml:space="preserve">Different methodologies have been used depending on the options and are further explained in </w:t>
            </w:r>
            <w:r w:rsidR="006C2884" w:rsidRPr="00CE2185">
              <w:rPr>
                <w:i/>
                <w:iCs/>
                <w:noProof/>
              </w:rPr>
              <w:t>Annex 4</w:t>
            </w:r>
            <w:r w:rsidR="006C2884" w:rsidRPr="00CE2185">
              <w:rPr>
                <w:noProof/>
              </w:rPr>
              <w:t>.</w:t>
            </w:r>
            <w:r w:rsidRPr="00CE2185">
              <w:rPr>
                <w:noProof/>
              </w:rPr>
              <w:t xml:space="preserve"> </w:t>
            </w:r>
          </w:p>
          <w:p w14:paraId="7CD3DDF0" w14:textId="4C14FA59" w:rsidR="006C2884" w:rsidRPr="00CE2185" w:rsidRDefault="006C2884" w:rsidP="00A22CC5">
            <w:pPr>
              <w:spacing w:after="120"/>
              <w:rPr>
                <w:noProof/>
              </w:rPr>
            </w:pPr>
            <w:r w:rsidRPr="00CE2185">
              <w:rPr>
                <w:noProof/>
              </w:rPr>
              <w:t xml:space="preserve">To complement quantitative estimates, </w:t>
            </w:r>
            <w:r w:rsidRPr="00CE2185">
              <w:rPr>
                <w:b/>
                <w:bCs/>
                <w:noProof/>
              </w:rPr>
              <w:t>qualitative assessments</w:t>
            </w:r>
            <w:r w:rsidRPr="00CE2185">
              <w:rPr>
                <w:noProof/>
              </w:rPr>
              <w:t xml:space="preserve"> of impacts (costs and benefits) have been included. To compare the policy options, a scale from neutral “0” to +++ / --- has been used (with "+++" indicating the highest impact for the benefits</w:t>
            </w:r>
            <w:r w:rsidR="00BC7F01">
              <w:rPr>
                <w:noProof/>
              </w:rPr>
              <w:t xml:space="preserve">, </w:t>
            </w:r>
            <w:r w:rsidR="00167CA3">
              <w:rPr>
                <w:noProof/>
              </w:rPr>
              <w:t>including</w:t>
            </w:r>
            <w:r w:rsidR="00BC7F01">
              <w:rPr>
                <w:noProof/>
              </w:rPr>
              <w:t xml:space="preserve"> cost savings,</w:t>
            </w:r>
            <w:r w:rsidRPr="00CE2185">
              <w:rPr>
                <w:noProof/>
              </w:rPr>
              <w:t xml:space="preserve"> and “---” indicating the highest impact for the costs).</w:t>
            </w:r>
          </w:p>
          <w:p w14:paraId="27154CC2" w14:textId="6141F338" w:rsidR="006C2884" w:rsidRPr="00CE2185" w:rsidRDefault="00A22CC5" w:rsidP="00A22CC5">
            <w:pPr>
              <w:spacing w:after="120"/>
              <w:rPr>
                <w:noProof/>
              </w:rPr>
            </w:pPr>
            <w:r w:rsidRPr="00CE2185">
              <w:rPr>
                <w:noProof/>
              </w:rPr>
              <w:t xml:space="preserve">The </w:t>
            </w:r>
            <w:r w:rsidR="00337A33" w:rsidRPr="00CE2185">
              <w:rPr>
                <w:noProof/>
              </w:rPr>
              <w:t>cost</w:t>
            </w:r>
            <w:r w:rsidRPr="00CE2185">
              <w:rPr>
                <w:noProof/>
              </w:rPr>
              <w:t xml:space="preserve"> aggregation has been done </w:t>
            </w:r>
            <w:r w:rsidRPr="00CE2185">
              <w:rPr>
                <w:b/>
                <w:noProof/>
              </w:rPr>
              <w:t xml:space="preserve">over </w:t>
            </w:r>
            <w:r w:rsidRPr="00CE2185">
              <w:rPr>
                <w:b/>
                <w:bCs/>
                <w:noProof/>
              </w:rPr>
              <w:t>five</w:t>
            </w:r>
            <w:r w:rsidRPr="00CE2185">
              <w:rPr>
                <w:b/>
                <w:noProof/>
              </w:rPr>
              <w:t xml:space="preserve"> years </w:t>
            </w:r>
            <w:r w:rsidRPr="00CE2185">
              <w:rPr>
                <w:bCs/>
                <w:noProof/>
              </w:rPr>
              <w:t>(2028 – 2032)</w:t>
            </w:r>
            <w:r w:rsidRPr="00CE2185">
              <w:rPr>
                <w:noProof/>
              </w:rPr>
              <w:t xml:space="preserve"> to have a representative assessment of impacts</w:t>
            </w:r>
            <w:r w:rsidR="006C2884" w:rsidRPr="00CE2185">
              <w:rPr>
                <w:noProof/>
              </w:rPr>
              <w:t xml:space="preserve"> (e.g. some cost impacts would only intervene after couple of years)</w:t>
            </w:r>
            <w:r w:rsidR="00DB44C9" w:rsidRPr="00CE2185">
              <w:rPr>
                <w:noProof/>
              </w:rPr>
              <w:t xml:space="preserve"> )</w:t>
            </w:r>
            <w:r w:rsidR="00DB44C9">
              <w:rPr>
                <w:noProof/>
              </w:rPr>
              <w:t xml:space="preserve">, with the exception of the measures related to supply chain security where a </w:t>
            </w:r>
            <w:r w:rsidR="00DB44C9" w:rsidRPr="0091334E">
              <w:rPr>
                <w:b/>
                <w:bCs/>
                <w:noProof/>
              </w:rPr>
              <w:t>th</w:t>
            </w:r>
            <w:r w:rsidR="00DB44C9">
              <w:rPr>
                <w:b/>
                <w:bCs/>
                <w:noProof/>
              </w:rPr>
              <w:t>r</w:t>
            </w:r>
            <w:r w:rsidR="00DB44C9" w:rsidRPr="0091334E">
              <w:rPr>
                <w:b/>
                <w:bCs/>
                <w:noProof/>
              </w:rPr>
              <w:t>ee years</w:t>
            </w:r>
            <w:r w:rsidR="00DB44C9">
              <w:rPr>
                <w:noProof/>
              </w:rPr>
              <w:t xml:space="preserve"> transition period is foreseen for the phasing out of high-risk equipment in the area of 5G</w:t>
            </w:r>
            <w:r w:rsidRPr="00CE2185">
              <w:rPr>
                <w:noProof/>
              </w:rPr>
              <w:t>.</w:t>
            </w:r>
          </w:p>
          <w:p w14:paraId="57499D9F" w14:textId="34F71030" w:rsidR="00337A33" w:rsidRDefault="00A22CC5" w:rsidP="00A22CC5">
            <w:pPr>
              <w:spacing w:after="120"/>
              <w:rPr>
                <w:noProof/>
              </w:rPr>
            </w:pPr>
            <w:r w:rsidRPr="00CE2185">
              <w:rPr>
                <w:noProof/>
              </w:rPr>
              <w:t xml:space="preserve">The costs are indicated compared to the </w:t>
            </w:r>
            <w:r w:rsidRPr="00120691">
              <w:rPr>
                <w:b/>
                <w:bCs/>
                <w:noProof/>
              </w:rPr>
              <w:t>business-as-usual</w:t>
            </w:r>
            <w:r w:rsidRPr="00CE2185">
              <w:rPr>
                <w:b/>
                <w:bCs/>
                <w:noProof/>
              </w:rPr>
              <w:t xml:space="preserve"> scenario </w:t>
            </w:r>
            <w:r w:rsidRPr="00120691">
              <w:rPr>
                <w:noProof/>
              </w:rPr>
              <w:t>(</w:t>
            </w:r>
            <w:r w:rsidR="00790119" w:rsidRPr="00120691">
              <w:rPr>
                <w:noProof/>
              </w:rPr>
              <w:t>BaU)</w:t>
            </w:r>
            <w:r w:rsidRPr="00CE2185">
              <w:rPr>
                <w:noProof/>
              </w:rPr>
              <w:t xml:space="preserve"> (</w:t>
            </w:r>
            <w:r w:rsidRPr="00CE2185">
              <w:rPr>
                <w:i/>
                <w:iCs/>
                <w:noProof/>
              </w:rPr>
              <w:t>see baseline</w:t>
            </w:r>
            <w:r w:rsidR="003669C8" w:rsidRPr="00CE2185">
              <w:rPr>
                <w:i/>
                <w:iCs/>
                <w:noProof/>
              </w:rPr>
              <w:t xml:space="preserve"> in section </w:t>
            </w:r>
            <w:r w:rsidR="006A436F" w:rsidRPr="00CE2185">
              <w:rPr>
                <w:i/>
                <w:iCs/>
                <w:noProof/>
              </w:rPr>
              <w:t>5.1</w:t>
            </w:r>
            <w:r w:rsidR="009B32EE" w:rsidRPr="00CE2185">
              <w:rPr>
                <w:noProof/>
              </w:rPr>
              <w:t xml:space="preserve">). Where relevant those costs are specified under each specific section. </w:t>
            </w:r>
          </w:p>
          <w:p w14:paraId="719F5F5F" w14:textId="1A4D0D03" w:rsidR="00492FB8" w:rsidRPr="00492FB8" w:rsidRDefault="00492FB8" w:rsidP="00A22CC5">
            <w:pPr>
              <w:spacing w:after="120"/>
              <w:rPr>
                <w:i/>
                <w:iCs/>
                <w:noProof/>
              </w:rPr>
            </w:pPr>
            <w:r w:rsidRPr="008D1581">
              <w:rPr>
                <w:noProof/>
              </w:rPr>
              <w:t xml:space="preserve">The cost estimation per FTE across this impact assessment is based on previous evaluations, estimates from similar activities conducted in comparable EU agencies, and the CSA impact assessment, where the average cost of one FTE, adjusted for inflation, is calculated at </w:t>
            </w:r>
            <w:r w:rsidRPr="008D1581">
              <w:rPr>
                <w:b/>
                <w:bCs/>
                <w:noProof/>
              </w:rPr>
              <w:t>EUR 128</w:t>
            </w:r>
            <w:r>
              <w:rPr>
                <w:b/>
                <w:bCs/>
                <w:noProof/>
              </w:rPr>
              <w:t xml:space="preserve"> </w:t>
            </w:r>
            <w:r w:rsidRPr="008D1581">
              <w:rPr>
                <w:b/>
                <w:bCs/>
                <w:noProof/>
              </w:rPr>
              <w:t>277</w:t>
            </w:r>
            <w:r>
              <w:rPr>
                <w:rStyle w:val="FootnoteReference"/>
                <w:b/>
                <w:bCs/>
                <w:noProof/>
              </w:rPr>
              <w:footnoteReference w:id="132"/>
            </w:r>
            <w:r>
              <w:rPr>
                <w:b/>
                <w:bCs/>
                <w:noProof/>
              </w:rPr>
              <w:t xml:space="preserve"> </w:t>
            </w:r>
            <w:r w:rsidRPr="0066583F">
              <w:rPr>
                <w:i/>
                <w:iCs/>
                <w:noProof/>
              </w:rPr>
              <w:t>(see more explanations in Annex 4).</w:t>
            </w:r>
          </w:p>
          <w:p w14:paraId="7685737B" w14:textId="53BBFE2B" w:rsidR="00BE25EE" w:rsidRPr="00CE2185" w:rsidRDefault="00BE25EE" w:rsidP="00A22CC5">
            <w:pPr>
              <w:spacing w:after="120"/>
              <w:rPr>
                <w:noProof/>
              </w:rPr>
            </w:pPr>
            <w:r w:rsidRPr="00CE2185">
              <w:rPr>
                <w:noProof/>
              </w:rPr>
              <w:t xml:space="preserve">A more detailed overview of the </w:t>
            </w:r>
            <w:r w:rsidRPr="00CE2185">
              <w:rPr>
                <w:b/>
                <w:bCs/>
                <w:noProof/>
              </w:rPr>
              <w:t xml:space="preserve">possible </w:t>
            </w:r>
            <w:r w:rsidR="00C6492E" w:rsidRPr="00CE2185">
              <w:rPr>
                <w:b/>
                <w:bCs/>
                <w:noProof/>
              </w:rPr>
              <w:t>direct and indirect</w:t>
            </w:r>
            <w:r w:rsidRPr="00CE2185">
              <w:rPr>
                <w:b/>
                <w:bCs/>
                <w:noProof/>
              </w:rPr>
              <w:t xml:space="preserve"> costs and benefits</w:t>
            </w:r>
            <w:r w:rsidRPr="00CE2185">
              <w:rPr>
                <w:noProof/>
              </w:rPr>
              <w:t xml:space="preserve"> </w:t>
            </w:r>
            <w:r w:rsidR="00C6492E" w:rsidRPr="00CE2185">
              <w:rPr>
                <w:noProof/>
              </w:rPr>
              <w:t xml:space="preserve">for all categories of stakeholders </w:t>
            </w:r>
            <w:r w:rsidRPr="00CE2185">
              <w:rPr>
                <w:noProof/>
              </w:rPr>
              <w:t xml:space="preserve">is provided in </w:t>
            </w:r>
            <w:r w:rsidRPr="00CE2185">
              <w:rPr>
                <w:i/>
                <w:iCs/>
                <w:noProof/>
              </w:rPr>
              <w:t>Annex 4</w:t>
            </w:r>
            <w:r w:rsidRPr="00CE2185">
              <w:rPr>
                <w:noProof/>
              </w:rPr>
              <w:t xml:space="preserve">. </w:t>
            </w:r>
          </w:p>
          <w:p w14:paraId="19FD6C65" w14:textId="144C1B1D" w:rsidR="00D3685E" w:rsidRPr="00CE2185" w:rsidRDefault="001D67D5" w:rsidP="00A22CC5">
            <w:pPr>
              <w:spacing w:after="120"/>
              <w:rPr>
                <w:noProof/>
              </w:rPr>
            </w:pPr>
            <w:r w:rsidRPr="00CE2185">
              <w:rPr>
                <w:noProof/>
              </w:rPr>
              <w:t xml:space="preserve">In terms of </w:t>
            </w:r>
            <w:r w:rsidRPr="00CE2185">
              <w:rPr>
                <w:b/>
                <w:bCs/>
                <w:noProof/>
              </w:rPr>
              <w:t>benefits</w:t>
            </w:r>
            <w:r w:rsidRPr="00CE2185">
              <w:rPr>
                <w:noProof/>
              </w:rPr>
              <w:t>, r</w:t>
            </w:r>
            <w:r w:rsidR="00A22CC5" w:rsidRPr="00CE2185">
              <w:rPr>
                <w:noProof/>
              </w:rPr>
              <w:t xml:space="preserve">egarding the </w:t>
            </w:r>
            <w:r w:rsidR="00707FC4" w:rsidRPr="00CE2185">
              <w:rPr>
                <w:b/>
                <w:bCs/>
                <w:noProof/>
              </w:rPr>
              <w:t>main</w:t>
            </w:r>
            <w:r w:rsidR="00DF21D1" w:rsidRPr="00CE2185">
              <w:rPr>
                <w:b/>
                <w:bCs/>
                <w:noProof/>
              </w:rPr>
              <w:t xml:space="preserve"> </w:t>
            </w:r>
            <w:r w:rsidR="00D3685E" w:rsidRPr="00CE2185">
              <w:rPr>
                <w:b/>
                <w:bCs/>
                <w:noProof/>
              </w:rPr>
              <w:t>cost</w:t>
            </w:r>
            <w:r w:rsidR="00707FC4" w:rsidRPr="00CE2185">
              <w:rPr>
                <w:b/>
                <w:bCs/>
                <w:noProof/>
              </w:rPr>
              <w:t xml:space="preserve"> </w:t>
            </w:r>
            <w:r w:rsidR="00421A41" w:rsidRPr="00CE2185">
              <w:rPr>
                <w:b/>
                <w:bCs/>
                <w:noProof/>
              </w:rPr>
              <w:t>saving</w:t>
            </w:r>
            <w:r w:rsidRPr="00CE2185">
              <w:rPr>
                <w:b/>
                <w:bCs/>
                <w:noProof/>
              </w:rPr>
              <w:t>s</w:t>
            </w:r>
            <w:r w:rsidR="18959055" w:rsidRPr="00CE2185">
              <w:rPr>
                <w:b/>
                <w:bCs/>
                <w:noProof/>
              </w:rPr>
              <w:t xml:space="preserve"> </w:t>
            </w:r>
            <w:r w:rsidR="00D3685E" w:rsidRPr="00CE2185">
              <w:rPr>
                <w:noProof/>
              </w:rPr>
              <w:t>(</w:t>
            </w:r>
            <w:r w:rsidR="00D3685E" w:rsidRPr="00CE2185">
              <w:rPr>
                <w:i/>
                <w:iCs/>
                <w:noProof/>
              </w:rPr>
              <w:t>see section 6.1.1</w:t>
            </w:r>
            <w:r w:rsidR="00425AA7" w:rsidRPr="00CE2185">
              <w:rPr>
                <w:noProof/>
              </w:rPr>
              <w:t>)</w:t>
            </w:r>
            <w:r w:rsidR="00A22CC5" w:rsidRPr="00CE2185">
              <w:rPr>
                <w:noProof/>
              </w:rPr>
              <w:t>,</w:t>
            </w:r>
            <w:r w:rsidR="00707FC4" w:rsidRPr="00CE2185">
              <w:rPr>
                <w:noProof/>
              </w:rPr>
              <w:t xml:space="preserve"> they focus </w:t>
            </w:r>
            <w:r w:rsidR="0031620A" w:rsidRPr="00CE2185">
              <w:rPr>
                <w:noProof/>
              </w:rPr>
              <w:t xml:space="preserve">mainly </w:t>
            </w:r>
            <w:r w:rsidR="00707FC4" w:rsidRPr="00CE2185">
              <w:rPr>
                <w:noProof/>
              </w:rPr>
              <w:t>on i) procedural efficiencies, ii) administrative cost savings, and iii)</w:t>
            </w:r>
            <w:r w:rsidR="00A22CC5" w:rsidRPr="00CE2185">
              <w:rPr>
                <w:noProof/>
              </w:rPr>
              <w:t xml:space="preserve"> cost savings related to reducing the probability or impacts of cybersecurity incidents</w:t>
            </w:r>
            <w:r w:rsidR="00DF21D1" w:rsidRPr="00CE2185">
              <w:rPr>
                <w:noProof/>
              </w:rPr>
              <w:t xml:space="preserve">. </w:t>
            </w:r>
            <w:r w:rsidR="00425AA7" w:rsidRPr="00CE2185">
              <w:rPr>
                <w:noProof/>
              </w:rPr>
              <w:t xml:space="preserve"> Broader benefits are </w:t>
            </w:r>
            <w:r w:rsidRPr="00CE2185">
              <w:rPr>
                <w:noProof/>
              </w:rPr>
              <w:t>analy</w:t>
            </w:r>
            <w:r w:rsidR="0014135A" w:rsidRPr="00CE2185">
              <w:rPr>
                <w:noProof/>
              </w:rPr>
              <w:t>s</w:t>
            </w:r>
            <w:r w:rsidRPr="00CE2185">
              <w:rPr>
                <w:noProof/>
              </w:rPr>
              <w:t xml:space="preserve">ed </w:t>
            </w:r>
            <w:r w:rsidR="009001BF" w:rsidRPr="00CE2185">
              <w:rPr>
                <w:noProof/>
              </w:rPr>
              <w:t>related to</w:t>
            </w:r>
            <w:r w:rsidR="0014135A" w:rsidRPr="00CE2185">
              <w:rPr>
                <w:noProof/>
              </w:rPr>
              <w:t xml:space="preserve"> SMEs (</w:t>
            </w:r>
            <w:r w:rsidR="0014135A" w:rsidRPr="00CE2185">
              <w:rPr>
                <w:i/>
                <w:iCs/>
                <w:noProof/>
              </w:rPr>
              <w:t>section 6.1.2</w:t>
            </w:r>
            <w:r w:rsidR="0014135A" w:rsidRPr="00CE2185">
              <w:rPr>
                <w:noProof/>
              </w:rPr>
              <w:t>), internal market (</w:t>
            </w:r>
            <w:r w:rsidR="0014135A" w:rsidRPr="00CE2185">
              <w:rPr>
                <w:i/>
                <w:iCs/>
                <w:noProof/>
              </w:rPr>
              <w:t>section 6.1.3</w:t>
            </w:r>
            <w:r w:rsidR="0014135A" w:rsidRPr="00CE2185">
              <w:rPr>
                <w:noProof/>
              </w:rPr>
              <w:t>), trade, innovation and competitiveness (</w:t>
            </w:r>
            <w:r w:rsidR="0014135A" w:rsidRPr="00CE2185">
              <w:rPr>
                <w:i/>
                <w:iCs/>
                <w:noProof/>
              </w:rPr>
              <w:t>section 6.1.4</w:t>
            </w:r>
            <w:r w:rsidR="0014135A" w:rsidRPr="00CE2185">
              <w:rPr>
                <w:noProof/>
              </w:rPr>
              <w:t xml:space="preserve">), and </w:t>
            </w:r>
            <w:r w:rsidR="009001BF" w:rsidRPr="00CE2185">
              <w:rPr>
                <w:noProof/>
              </w:rPr>
              <w:t>cybersecurity resilience</w:t>
            </w:r>
            <w:r w:rsidR="0014135A" w:rsidRPr="00CE2185">
              <w:rPr>
                <w:noProof/>
              </w:rPr>
              <w:t xml:space="preserve"> (</w:t>
            </w:r>
            <w:r w:rsidR="0014135A" w:rsidRPr="00CE2185">
              <w:rPr>
                <w:i/>
                <w:iCs/>
                <w:noProof/>
              </w:rPr>
              <w:t>section 6.2</w:t>
            </w:r>
            <w:r w:rsidR="0078725F">
              <w:rPr>
                <w:i/>
                <w:iCs/>
                <w:noProof/>
              </w:rPr>
              <w:t xml:space="preserve"> </w:t>
            </w:r>
            <w:r w:rsidR="0078725F" w:rsidRPr="0078725F">
              <w:rPr>
                <w:i/>
                <w:iCs/>
                <w:noProof/>
              </w:rPr>
              <w:t>and see hereafter</w:t>
            </w:r>
            <w:r w:rsidR="0014135A" w:rsidRPr="0078725F">
              <w:rPr>
                <w:noProof/>
              </w:rPr>
              <w:t>)</w:t>
            </w:r>
            <w:r w:rsidR="0078725F" w:rsidRPr="0078725F">
              <w:rPr>
                <w:noProof/>
              </w:rPr>
              <w:t>.</w:t>
            </w:r>
          </w:p>
          <w:p w14:paraId="1EDAADBC" w14:textId="7F53477D" w:rsidR="00822EC1" w:rsidRPr="00CE2185" w:rsidRDefault="00822EC1" w:rsidP="00A22CC5">
            <w:pPr>
              <w:spacing w:after="120"/>
              <w:rPr>
                <w:noProof/>
              </w:rPr>
            </w:pPr>
            <w:r w:rsidRPr="00CE2185">
              <w:rPr>
                <w:noProof/>
              </w:rPr>
              <w:t xml:space="preserve">In terms of </w:t>
            </w:r>
            <w:r w:rsidRPr="00CE2185">
              <w:rPr>
                <w:b/>
                <w:bCs/>
                <w:noProof/>
              </w:rPr>
              <w:t>costs</w:t>
            </w:r>
            <w:r w:rsidR="00345450" w:rsidRPr="00CE2185">
              <w:rPr>
                <w:b/>
                <w:bCs/>
                <w:noProof/>
              </w:rPr>
              <w:t xml:space="preserve">, </w:t>
            </w:r>
            <w:r w:rsidR="00070D77" w:rsidRPr="00CE2185">
              <w:rPr>
                <w:noProof/>
              </w:rPr>
              <w:t xml:space="preserve">the </w:t>
            </w:r>
            <w:r w:rsidR="00070D77" w:rsidRPr="00CE2185">
              <w:rPr>
                <w:b/>
                <w:bCs/>
                <w:noProof/>
              </w:rPr>
              <w:t>main costs drivers</w:t>
            </w:r>
            <w:r w:rsidR="00834DA9" w:rsidRPr="00CE2185">
              <w:rPr>
                <w:b/>
                <w:bCs/>
                <w:noProof/>
              </w:rPr>
              <w:t xml:space="preserve"> </w:t>
            </w:r>
            <w:r w:rsidR="00DB497E" w:rsidRPr="00CE2185">
              <w:rPr>
                <w:noProof/>
              </w:rPr>
              <w:t>(</w:t>
            </w:r>
            <w:r w:rsidR="00DB497E" w:rsidRPr="00CE2185">
              <w:rPr>
                <w:i/>
                <w:iCs/>
                <w:noProof/>
              </w:rPr>
              <w:t>see section 6.1.1)</w:t>
            </w:r>
            <w:r w:rsidR="00E0274D" w:rsidRPr="00CE2185">
              <w:rPr>
                <w:i/>
                <w:iCs/>
                <w:noProof/>
              </w:rPr>
              <w:t xml:space="preserve"> </w:t>
            </w:r>
            <w:r w:rsidR="00E0274D" w:rsidRPr="00CE2185">
              <w:rPr>
                <w:noProof/>
              </w:rPr>
              <w:t xml:space="preserve">stem from i) </w:t>
            </w:r>
            <w:r w:rsidR="005033D5" w:rsidRPr="00CE2185">
              <w:rPr>
                <w:noProof/>
              </w:rPr>
              <w:t>adjustment</w:t>
            </w:r>
            <w:r w:rsidR="00E0274D" w:rsidRPr="00CE2185">
              <w:rPr>
                <w:noProof/>
              </w:rPr>
              <w:t xml:space="preserve"> </w:t>
            </w:r>
            <w:r w:rsidR="007124D1" w:rsidRPr="00CE2185">
              <w:rPr>
                <w:noProof/>
              </w:rPr>
              <w:t>and administrative costs</w:t>
            </w:r>
            <w:r w:rsidR="00E82802" w:rsidRPr="00CE2185">
              <w:rPr>
                <w:noProof/>
              </w:rPr>
              <w:t>;</w:t>
            </w:r>
            <w:r w:rsidR="00D77A9E" w:rsidRPr="00CE2185">
              <w:rPr>
                <w:noProof/>
              </w:rPr>
              <w:t xml:space="preserve"> ii) substitution and transaction costs; iii)</w:t>
            </w:r>
            <w:r w:rsidR="00E82802" w:rsidRPr="00CE2185">
              <w:rPr>
                <w:noProof/>
              </w:rPr>
              <w:t xml:space="preserve"> enforcement costs</w:t>
            </w:r>
            <w:r w:rsidR="00CD7E10" w:rsidRPr="00CE2185">
              <w:rPr>
                <w:noProof/>
              </w:rPr>
              <w:t xml:space="preserve">, iv) </w:t>
            </w:r>
            <w:r w:rsidR="0078725F">
              <w:rPr>
                <w:noProof/>
              </w:rPr>
              <w:t xml:space="preserve">potential </w:t>
            </w:r>
            <w:r w:rsidR="00CD7E10" w:rsidRPr="00CE2185">
              <w:rPr>
                <w:noProof/>
              </w:rPr>
              <w:t xml:space="preserve">price increase. </w:t>
            </w:r>
            <w:r w:rsidR="00861327" w:rsidRPr="00CE2185">
              <w:rPr>
                <w:noProof/>
              </w:rPr>
              <w:t xml:space="preserve">Broader costs </w:t>
            </w:r>
            <w:r w:rsidR="00376B49" w:rsidRPr="00CE2185">
              <w:rPr>
                <w:noProof/>
              </w:rPr>
              <w:t xml:space="preserve">might stem from </w:t>
            </w:r>
            <w:r w:rsidR="00CE29C5" w:rsidRPr="00CE2185">
              <w:rPr>
                <w:noProof/>
              </w:rPr>
              <w:t xml:space="preserve">impact on </w:t>
            </w:r>
            <w:r w:rsidR="00C6492E" w:rsidRPr="00CE2185">
              <w:rPr>
                <w:noProof/>
              </w:rPr>
              <w:t>market access</w:t>
            </w:r>
            <w:r w:rsidR="00CE29C5" w:rsidRPr="00CE2185">
              <w:rPr>
                <w:noProof/>
              </w:rPr>
              <w:t xml:space="preserve"> (</w:t>
            </w:r>
            <w:r w:rsidR="00CE29C5" w:rsidRPr="00CE2185">
              <w:rPr>
                <w:i/>
                <w:iCs/>
                <w:noProof/>
              </w:rPr>
              <w:t>section 6.1.4</w:t>
            </w:r>
            <w:r w:rsidR="00CE29C5" w:rsidRPr="00CE2185">
              <w:rPr>
                <w:noProof/>
              </w:rPr>
              <w:t xml:space="preserve">). </w:t>
            </w:r>
          </w:p>
          <w:p w14:paraId="25D51113" w14:textId="68CA0692" w:rsidR="00D21B83" w:rsidRPr="00CE2185" w:rsidRDefault="00AC1014" w:rsidP="00D12B58">
            <w:pPr>
              <w:spacing w:after="120"/>
              <w:rPr>
                <w:noProof/>
              </w:rPr>
            </w:pPr>
            <w:r w:rsidRPr="00CE2185">
              <w:rPr>
                <w:noProof/>
              </w:rPr>
              <w:t>Given the</w:t>
            </w:r>
            <w:r w:rsidR="006A725A" w:rsidRPr="00CE2185">
              <w:rPr>
                <w:noProof/>
              </w:rPr>
              <w:t xml:space="preserve"> </w:t>
            </w:r>
            <w:r w:rsidR="008439C2" w:rsidRPr="00CE2185">
              <w:rPr>
                <w:rFonts w:eastAsiaTheme="minorEastAsia"/>
                <w:noProof/>
              </w:rPr>
              <w:t>geo</w:t>
            </w:r>
            <w:r w:rsidR="006A725A" w:rsidRPr="00CE2185">
              <w:rPr>
                <w:noProof/>
              </w:rPr>
              <w:t xml:space="preserve">political context and the </w:t>
            </w:r>
            <w:r w:rsidR="00793839" w:rsidRPr="00CE2185">
              <w:rPr>
                <w:noProof/>
              </w:rPr>
              <w:t xml:space="preserve">avalanche </w:t>
            </w:r>
            <w:r w:rsidR="006A725A" w:rsidRPr="00CE2185">
              <w:rPr>
                <w:noProof/>
              </w:rPr>
              <w:t>effects cyber incidents can have on the real world (</w:t>
            </w:r>
            <w:r w:rsidR="006A725A" w:rsidRPr="00CE2185">
              <w:rPr>
                <w:i/>
                <w:iCs/>
                <w:noProof/>
              </w:rPr>
              <w:t xml:space="preserve">see </w:t>
            </w:r>
            <w:r w:rsidR="00042BBA" w:rsidRPr="00CE2185">
              <w:rPr>
                <w:i/>
                <w:iCs/>
                <w:noProof/>
              </w:rPr>
              <w:t>sub-</w:t>
            </w:r>
            <w:r w:rsidR="009B2FCC" w:rsidRPr="00CE2185">
              <w:rPr>
                <w:i/>
                <w:iCs/>
                <w:noProof/>
              </w:rPr>
              <w:t>section 1</w:t>
            </w:r>
            <w:r w:rsidR="00793839" w:rsidRPr="00CE2185">
              <w:rPr>
                <w:rFonts w:eastAsiaTheme="minorEastAsia"/>
                <w:i/>
                <w:iCs/>
                <w:noProof/>
              </w:rPr>
              <w:t>,</w:t>
            </w:r>
            <w:r w:rsidR="00A76620" w:rsidRPr="00CE2185">
              <w:rPr>
                <w:rFonts w:eastAsiaTheme="minorEastAsia"/>
                <w:i/>
                <w:iCs/>
                <w:noProof/>
              </w:rPr>
              <w:t xml:space="preserve"> 2.1.4.2,</w:t>
            </w:r>
            <w:r w:rsidR="00793839" w:rsidRPr="00CE2185">
              <w:rPr>
                <w:rFonts w:eastAsiaTheme="minorEastAsia"/>
                <w:i/>
                <w:iCs/>
                <w:noProof/>
              </w:rPr>
              <w:t xml:space="preserve"> 2.2</w:t>
            </w:r>
            <w:r w:rsidR="00916C6C" w:rsidRPr="00CE2185">
              <w:rPr>
                <w:rFonts w:eastAsiaTheme="minorEastAsia"/>
                <w:i/>
                <w:iCs/>
                <w:noProof/>
              </w:rPr>
              <w:t>.1</w:t>
            </w:r>
            <w:r w:rsidR="00793839" w:rsidRPr="00CE2185">
              <w:rPr>
                <w:i/>
                <w:iCs/>
                <w:noProof/>
              </w:rPr>
              <w:t xml:space="preserve"> and Annex 7</w:t>
            </w:r>
            <w:r w:rsidR="00793839" w:rsidRPr="00CE2185">
              <w:rPr>
                <w:noProof/>
              </w:rPr>
              <w:t xml:space="preserve">), </w:t>
            </w:r>
            <w:r w:rsidR="00793839" w:rsidRPr="00CE2185">
              <w:rPr>
                <w:rFonts w:eastAsiaTheme="minorEastAsia"/>
                <w:b/>
                <w:bCs/>
                <w:noProof/>
              </w:rPr>
              <w:t>i</w:t>
            </w:r>
            <w:r w:rsidR="00DF21D1" w:rsidRPr="00CE2185">
              <w:rPr>
                <w:rFonts w:eastAsiaTheme="minorEastAsia"/>
                <w:b/>
                <w:bCs/>
                <w:noProof/>
              </w:rPr>
              <w:t>mpact</w:t>
            </w:r>
            <w:r w:rsidR="00220789" w:rsidRPr="00CE2185">
              <w:rPr>
                <w:rFonts w:eastAsiaTheme="minorEastAsia"/>
                <w:b/>
                <w:bCs/>
                <w:noProof/>
              </w:rPr>
              <w:t>s</w:t>
            </w:r>
            <w:r w:rsidR="00DF21D1" w:rsidRPr="00CE2185">
              <w:rPr>
                <w:rFonts w:eastAsiaTheme="minorEastAsia"/>
                <w:b/>
                <w:bCs/>
                <w:noProof/>
              </w:rPr>
              <w:t xml:space="preserve"> on </w:t>
            </w:r>
            <w:r w:rsidR="006C772C" w:rsidRPr="00CE2185">
              <w:rPr>
                <w:rFonts w:eastAsiaTheme="minorEastAsia"/>
                <w:b/>
                <w:bCs/>
                <w:noProof/>
              </w:rPr>
              <w:t>security, including hybrid threats</w:t>
            </w:r>
            <w:r w:rsidR="00A16CA8" w:rsidRPr="00CE2185">
              <w:rPr>
                <w:rFonts w:eastAsiaTheme="minorEastAsia"/>
                <w:b/>
                <w:bCs/>
                <w:noProof/>
              </w:rPr>
              <w:t>,</w:t>
            </w:r>
            <w:r w:rsidR="00A22CC5" w:rsidRPr="00CE2185">
              <w:rPr>
                <w:noProof/>
              </w:rPr>
              <w:t xml:space="preserve"> </w:t>
            </w:r>
            <w:r w:rsidR="00220789" w:rsidRPr="00CE2185">
              <w:rPr>
                <w:b/>
                <w:bCs/>
                <w:noProof/>
              </w:rPr>
              <w:t xml:space="preserve">and on resilience, technological sovereignty, open strategic autonomy </w:t>
            </w:r>
            <w:r w:rsidR="00DB44C9" w:rsidRPr="00CE2185">
              <w:rPr>
                <w:b/>
                <w:bCs/>
                <w:noProof/>
              </w:rPr>
              <w:t>and security of supply</w:t>
            </w:r>
            <w:r w:rsidR="00220789" w:rsidRPr="00CE2185">
              <w:rPr>
                <w:b/>
                <w:bCs/>
                <w:noProof/>
              </w:rPr>
              <w:t xml:space="preserve"> </w:t>
            </w:r>
            <w:r w:rsidR="00220789" w:rsidRPr="00CE2185">
              <w:rPr>
                <w:noProof/>
              </w:rPr>
              <w:t xml:space="preserve">are </w:t>
            </w:r>
            <w:r w:rsidR="00A22CC5" w:rsidRPr="00CE2185">
              <w:rPr>
                <w:noProof/>
              </w:rPr>
              <w:t xml:space="preserve">an important benefit considered for public authorities, businesses and citizens across policy options. Given </w:t>
            </w:r>
            <w:r w:rsidR="00DF21D1" w:rsidRPr="00CE2185">
              <w:rPr>
                <w:noProof/>
              </w:rPr>
              <w:t>its</w:t>
            </w:r>
            <w:r w:rsidR="00A22CC5" w:rsidRPr="00CE2185">
              <w:rPr>
                <w:noProof/>
              </w:rPr>
              <w:t xml:space="preserve"> broader implications, </w:t>
            </w:r>
            <w:r w:rsidR="00DF21D1" w:rsidRPr="00CE2185">
              <w:rPr>
                <w:noProof/>
              </w:rPr>
              <w:t>this aspect is</w:t>
            </w:r>
            <w:r w:rsidR="00A22CC5" w:rsidRPr="00CE2185">
              <w:rPr>
                <w:noProof/>
              </w:rPr>
              <w:t xml:space="preserve"> also </w:t>
            </w:r>
            <w:r w:rsidR="00253A8F" w:rsidRPr="00CE2185">
              <w:rPr>
                <w:noProof/>
              </w:rPr>
              <w:t>analysed</w:t>
            </w:r>
            <w:r w:rsidR="00A22CC5" w:rsidRPr="00CE2185">
              <w:rPr>
                <w:noProof/>
              </w:rPr>
              <w:t xml:space="preserve"> in more details in </w:t>
            </w:r>
            <w:r w:rsidR="00A22CC5" w:rsidRPr="00CE2185">
              <w:rPr>
                <w:i/>
                <w:iCs/>
                <w:noProof/>
              </w:rPr>
              <w:t>section 6.2</w:t>
            </w:r>
            <w:r w:rsidR="00A22CC5" w:rsidRPr="00CE2185">
              <w:rPr>
                <w:noProof/>
              </w:rPr>
              <w:t xml:space="preserve">. Limited availability of reliable market data did not allow for granular and accurate quantitative assessments of cost savings related to the specific policy measures being assessed. The limitations are further explained in </w:t>
            </w:r>
            <w:r w:rsidR="00A22CC5" w:rsidRPr="00CE2185">
              <w:rPr>
                <w:i/>
                <w:iCs/>
                <w:noProof/>
              </w:rPr>
              <w:t>Annex 7</w:t>
            </w:r>
            <w:r w:rsidR="00A22CC5" w:rsidRPr="00CE2185">
              <w:rPr>
                <w:noProof/>
              </w:rPr>
              <w:t>. To the extent available, estimates to illustrate the costs related to cybersecurity incidents have been included in the impact assessment and summari</w:t>
            </w:r>
            <w:r w:rsidR="00007F9E" w:rsidRPr="00CE2185">
              <w:rPr>
                <w:noProof/>
              </w:rPr>
              <w:t>s</w:t>
            </w:r>
            <w:r w:rsidR="00A22CC5" w:rsidRPr="00CE2185">
              <w:rPr>
                <w:noProof/>
              </w:rPr>
              <w:t>ed in this Annex.</w:t>
            </w:r>
            <w:r w:rsidR="00A22CC5" w:rsidRPr="00CE2185">
              <w:rPr>
                <w:b/>
                <w:bCs/>
                <w:noProof/>
              </w:rPr>
              <w:t xml:space="preserve"> </w:t>
            </w:r>
            <w:r w:rsidR="0053185B" w:rsidRPr="00CE2185">
              <w:rPr>
                <w:noProof/>
              </w:rPr>
              <w:t>To the extent possible, a</w:t>
            </w:r>
            <w:r w:rsidR="0024686B" w:rsidRPr="00CE2185">
              <w:rPr>
                <w:noProof/>
              </w:rPr>
              <w:t xml:space="preserve">ggregated quantitative estimates have been elaborated with necessary </w:t>
            </w:r>
            <w:r w:rsidR="49359E2C" w:rsidRPr="00CE2185">
              <w:rPr>
                <w:noProof/>
              </w:rPr>
              <w:t>disclaimers</w:t>
            </w:r>
            <w:r w:rsidR="0024686B" w:rsidRPr="00CE2185">
              <w:rPr>
                <w:noProof/>
              </w:rPr>
              <w:t xml:space="preserve"> and assumptions to evidence the impact of </w:t>
            </w:r>
            <w:r w:rsidR="0053185B" w:rsidRPr="00CE2185">
              <w:rPr>
                <w:noProof/>
              </w:rPr>
              <w:t xml:space="preserve">relevant </w:t>
            </w:r>
            <w:r w:rsidR="0024686B" w:rsidRPr="00CE2185">
              <w:rPr>
                <w:noProof/>
              </w:rPr>
              <w:t xml:space="preserve">policy options. </w:t>
            </w:r>
            <w:r w:rsidR="0024686B" w:rsidRPr="00CE2185">
              <w:rPr>
                <w:noProof/>
                <w:lang w:val="en-IE"/>
              </w:rPr>
              <w:t>D</w:t>
            </w:r>
            <w:r w:rsidR="00A22CC5" w:rsidRPr="00CE2185">
              <w:rPr>
                <w:noProof/>
                <w:lang w:val="en-IE"/>
              </w:rPr>
              <w:t xml:space="preserve">ue to the lack of available data, it is difficult to quantify the </w:t>
            </w:r>
            <w:r w:rsidR="0078725F">
              <w:rPr>
                <w:noProof/>
                <w:lang w:val="en-IE"/>
              </w:rPr>
              <w:t xml:space="preserve">direct </w:t>
            </w:r>
            <w:r w:rsidR="00A22CC5" w:rsidRPr="00CE2185">
              <w:rPr>
                <w:noProof/>
                <w:lang w:val="en-IE"/>
              </w:rPr>
              <w:t xml:space="preserve">causality between the measures included in the different policy options and related cost savings in terms of probability and impact of cybersecurity incidents. All measures contribute to different degrees to the general objective of </w:t>
            </w:r>
            <w:r w:rsidR="00A22CC5" w:rsidRPr="00CE2185">
              <w:rPr>
                <w:noProof/>
              </w:rPr>
              <w:t xml:space="preserve">mitigating risks (and related costs) of cyber incidents occurring (e.g. through faster detection) and safeguard against potential adverse cybersecurity events (e.g. faster response) of unpredictable nature.  </w:t>
            </w:r>
          </w:p>
        </w:tc>
      </w:tr>
    </w:tbl>
    <w:p w14:paraId="79AEC86E" w14:textId="554D90C0" w:rsidR="00D21B83" w:rsidRPr="00CE2185" w:rsidRDefault="00D21B83" w:rsidP="00BA719F">
      <w:pPr>
        <w:pStyle w:val="Text1"/>
        <w:ind w:left="0"/>
        <w:rPr>
          <w:noProof/>
        </w:rPr>
      </w:pPr>
    </w:p>
    <w:p w14:paraId="1A95748E" w14:textId="11D1B8BB" w:rsidR="00F972A9" w:rsidRPr="00CE2185" w:rsidRDefault="00F972A9" w:rsidP="0068200A">
      <w:pPr>
        <w:pStyle w:val="Heading2"/>
        <w:rPr>
          <w:b w:val="0"/>
          <w:noProof/>
        </w:rPr>
      </w:pPr>
      <w:bookmarkStart w:id="97" w:name="_Toc219447368"/>
      <w:r w:rsidRPr="00CE2185">
        <w:rPr>
          <w:noProof/>
        </w:rPr>
        <w:t>Economic Impacts</w:t>
      </w:r>
      <w:bookmarkEnd w:id="97"/>
    </w:p>
    <w:p w14:paraId="0162F94A" w14:textId="0519E273" w:rsidR="0031620A" w:rsidRPr="00CE2185" w:rsidRDefault="00F57D9D" w:rsidP="00A1267B">
      <w:pPr>
        <w:tabs>
          <w:tab w:val="left" w:pos="2302"/>
        </w:tabs>
        <w:spacing w:after="120"/>
        <w:rPr>
          <w:rFonts w:eastAsia="Times New Roman"/>
          <w:b/>
          <w:noProof/>
        </w:rPr>
      </w:pPr>
      <w:r w:rsidRPr="00CE2185">
        <w:rPr>
          <w:rFonts w:eastAsia="Times New Roman"/>
          <w:noProof/>
        </w:rPr>
        <w:t xml:space="preserve">This section outlines the expected economic impacts of the policy options described </w:t>
      </w:r>
      <w:r w:rsidR="00BE25EE" w:rsidRPr="00CE2185">
        <w:rPr>
          <w:rFonts w:eastAsia="Times New Roman"/>
          <w:noProof/>
        </w:rPr>
        <w:t xml:space="preserve">in </w:t>
      </w:r>
      <w:r w:rsidR="00BE25EE" w:rsidRPr="00CE2185">
        <w:rPr>
          <w:rFonts w:eastAsia="Times New Roman"/>
          <w:i/>
          <w:iCs/>
          <w:noProof/>
        </w:rPr>
        <w:t>section 5.2</w:t>
      </w:r>
      <w:r w:rsidR="157B4BFE" w:rsidRPr="00CE2185">
        <w:rPr>
          <w:rFonts w:eastAsia="Times New Roman"/>
          <w:i/>
          <w:iCs/>
          <w:noProof/>
        </w:rPr>
        <w:t>.</w:t>
      </w:r>
      <w:r w:rsidR="00F52AF6" w:rsidRPr="00CE2185">
        <w:rPr>
          <w:rFonts w:eastAsia="Times New Roman"/>
          <w:noProof/>
        </w:rPr>
        <w:t xml:space="preserve"> </w:t>
      </w:r>
      <w:r w:rsidR="00C202BA" w:rsidRPr="00CE2185">
        <w:rPr>
          <w:rFonts w:eastAsia="Times New Roman"/>
          <w:noProof/>
        </w:rPr>
        <w:t xml:space="preserve">Next to </w:t>
      </w:r>
      <w:r w:rsidR="0066711B" w:rsidRPr="00CE2185">
        <w:rPr>
          <w:rFonts w:eastAsia="Times New Roman"/>
          <w:noProof/>
        </w:rPr>
        <w:t>direct and indirect</w:t>
      </w:r>
      <w:r w:rsidR="003F153D" w:rsidRPr="00CE2185">
        <w:rPr>
          <w:rFonts w:eastAsia="Times New Roman"/>
          <w:noProof/>
        </w:rPr>
        <w:t xml:space="preserve"> costs</w:t>
      </w:r>
      <w:r w:rsidR="0066711B" w:rsidRPr="00CE2185">
        <w:rPr>
          <w:rFonts w:eastAsia="Times New Roman"/>
          <w:noProof/>
        </w:rPr>
        <w:t xml:space="preserve"> and cost savings</w:t>
      </w:r>
      <w:r w:rsidR="00C202BA" w:rsidRPr="00CE2185">
        <w:rPr>
          <w:rFonts w:eastAsia="Times New Roman"/>
          <w:noProof/>
        </w:rPr>
        <w:t xml:space="preserve">, </w:t>
      </w:r>
      <w:r w:rsidR="005C2989" w:rsidRPr="00CE2185">
        <w:rPr>
          <w:rFonts w:eastAsia="Times New Roman"/>
          <w:noProof/>
        </w:rPr>
        <w:t xml:space="preserve">broader </w:t>
      </w:r>
      <w:r w:rsidR="00C202BA" w:rsidRPr="00CE2185">
        <w:rPr>
          <w:rFonts w:eastAsia="Times New Roman"/>
          <w:noProof/>
        </w:rPr>
        <w:t xml:space="preserve">impacts on the internal market, on SMEs, and on trade, competitiveness and innovation are analysed. </w:t>
      </w:r>
    </w:p>
    <w:p w14:paraId="3811A841" w14:textId="6F58714F" w:rsidR="005376E4" w:rsidRPr="00CE2185" w:rsidRDefault="005376E4" w:rsidP="005376E4">
      <w:pPr>
        <w:tabs>
          <w:tab w:val="left" w:pos="2680"/>
        </w:tabs>
        <w:rPr>
          <w:rFonts w:eastAsia="Times New Roman"/>
          <w:noProof/>
        </w:rPr>
      </w:pPr>
    </w:p>
    <w:p w14:paraId="181572E5" w14:textId="03073451" w:rsidR="001F4733" w:rsidRPr="00CE2185" w:rsidRDefault="007956A7" w:rsidP="7410CB48">
      <w:pPr>
        <w:pStyle w:val="Heading3"/>
        <w:spacing w:after="120"/>
        <w:rPr>
          <w:noProof/>
        </w:rPr>
      </w:pPr>
      <w:bookmarkStart w:id="98" w:name="_Toc210922700"/>
      <w:bookmarkStart w:id="99" w:name="_Toc210393829"/>
      <w:bookmarkStart w:id="100" w:name="_Toc219447369"/>
      <w:bookmarkEnd w:id="98"/>
      <w:r w:rsidRPr="00CE2185">
        <w:rPr>
          <w:noProof/>
        </w:rPr>
        <w:t>Cost</w:t>
      </w:r>
      <w:r w:rsidR="00A020B0" w:rsidRPr="00CE2185">
        <w:rPr>
          <w:noProof/>
        </w:rPr>
        <w:t xml:space="preserve"> </w:t>
      </w:r>
      <w:r w:rsidRPr="00CE2185">
        <w:rPr>
          <w:noProof/>
        </w:rPr>
        <w:t>impacts</w:t>
      </w:r>
      <w:r w:rsidR="003149AD" w:rsidRPr="00CE2185">
        <w:rPr>
          <w:noProof/>
        </w:rPr>
        <w:t xml:space="preserve"> </w:t>
      </w:r>
      <w:r w:rsidR="001F4733" w:rsidRPr="00CE2185">
        <w:rPr>
          <w:noProof/>
        </w:rPr>
        <w:t>for business</w:t>
      </w:r>
      <w:r w:rsidR="003A082C" w:rsidRPr="00CE2185">
        <w:rPr>
          <w:noProof/>
        </w:rPr>
        <w:t>es</w:t>
      </w:r>
      <w:r w:rsidR="001F4733" w:rsidRPr="00CE2185">
        <w:rPr>
          <w:noProof/>
        </w:rPr>
        <w:t xml:space="preserve">, public </w:t>
      </w:r>
      <w:r w:rsidR="00A020B0" w:rsidRPr="00CE2185">
        <w:rPr>
          <w:noProof/>
        </w:rPr>
        <w:t>authorities</w:t>
      </w:r>
      <w:r w:rsidR="006B2094" w:rsidRPr="00CE2185">
        <w:rPr>
          <w:noProof/>
        </w:rPr>
        <w:t>, citizens</w:t>
      </w:r>
      <w:bookmarkEnd w:id="99"/>
      <w:bookmarkEnd w:id="100"/>
      <w:r w:rsidR="001F4733" w:rsidRPr="00CE2185">
        <w:rPr>
          <w:noProof/>
        </w:rPr>
        <w:t xml:space="preserve"> </w:t>
      </w:r>
    </w:p>
    <w:p w14:paraId="324C8EC1" w14:textId="332A7B3E" w:rsidR="00F57D9D" w:rsidRPr="00CE2185" w:rsidRDefault="00422383" w:rsidP="00E31813">
      <w:pPr>
        <w:pStyle w:val="Heading4"/>
        <w:spacing w:before="120"/>
        <w:ind w:left="1996"/>
        <w:rPr>
          <w:noProof/>
        </w:rPr>
      </w:pPr>
      <w:r w:rsidRPr="00CE2185">
        <w:rPr>
          <w:noProof/>
        </w:rPr>
        <w:t xml:space="preserve"> Policy options related to </w:t>
      </w:r>
      <w:r w:rsidR="00F57D9D" w:rsidRPr="00CE2185">
        <w:rPr>
          <w:noProof/>
        </w:rPr>
        <w:t>ENISA (A.1 to A.3)</w:t>
      </w:r>
    </w:p>
    <w:p w14:paraId="384E1F3E" w14:textId="0350B24B" w:rsidR="00207F62" w:rsidRPr="00CE2185" w:rsidRDefault="0044548E" w:rsidP="00EE3DF9">
      <w:pPr>
        <w:pStyle w:val="Heading4"/>
        <w:numPr>
          <w:ilvl w:val="4"/>
          <w:numId w:val="10"/>
        </w:numPr>
        <w:rPr>
          <w:noProof/>
        </w:rPr>
      </w:pPr>
      <w:r w:rsidRPr="00CE2185">
        <w:rPr>
          <w:noProof/>
        </w:rPr>
        <w:t>Enforcement and c</w:t>
      </w:r>
      <w:r w:rsidR="007956A7" w:rsidRPr="00CE2185">
        <w:rPr>
          <w:noProof/>
        </w:rPr>
        <w:t>ompliance c</w:t>
      </w:r>
      <w:r w:rsidR="00207F62" w:rsidRPr="00CE2185">
        <w:rPr>
          <w:noProof/>
        </w:rPr>
        <w:t xml:space="preserve">osts for public authorities, </w:t>
      </w:r>
      <w:r w:rsidR="00DA5BA2" w:rsidRPr="00CE2185">
        <w:rPr>
          <w:noProof/>
        </w:rPr>
        <w:t xml:space="preserve">citizens, </w:t>
      </w:r>
      <w:r w:rsidR="00207F62" w:rsidRPr="00CE2185">
        <w:rPr>
          <w:noProof/>
        </w:rPr>
        <w:t>businesses</w:t>
      </w:r>
    </w:p>
    <w:p w14:paraId="547CE6E4" w14:textId="4D7AF887" w:rsidR="0072463F" w:rsidRPr="00CE2185" w:rsidRDefault="00BD0F19" w:rsidP="0072463F">
      <w:pPr>
        <w:spacing w:after="120"/>
        <w:rPr>
          <w:noProof/>
        </w:rPr>
      </w:pPr>
      <w:r w:rsidRPr="00CE2185">
        <w:rPr>
          <w:noProof/>
        </w:rPr>
        <w:t xml:space="preserve">At the end of </w:t>
      </w:r>
      <w:r w:rsidR="00EA23EB" w:rsidRPr="00CE2185">
        <w:rPr>
          <w:noProof/>
        </w:rPr>
        <w:t xml:space="preserve">2024 </w:t>
      </w:r>
      <w:r w:rsidR="00C716D0" w:rsidRPr="00CE2185">
        <w:rPr>
          <w:noProof/>
        </w:rPr>
        <w:t xml:space="preserve">ENISA </w:t>
      </w:r>
      <w:r w:rsidR="00EC5671" w:rsidRPr="00CE2185">
        <w:rPr>
          <w:noProof/>
        </w:rPr>
        <w:t>had 132 employees and reported a total budget of EUR 26 218 721</w:t>
      </w:r>
      <w:r w:rsidR="00EC5671" w:rsidRPr="00CE2185">
        <w:rPr>
          <w:rStyle w:val="FootnoteReference"/>
          <w:noProof/>
        </w:rPr>
        <w:footnoteReference w:id="133"/>
      </w:r>
      <w:r w:rsidR="0078725F">
        <w:rPr>
          <w:noProof/>
        </w:rPr>
        <w:t xml:space="preserve"> (business as usual)</w:t>
      </w:r>
      <w:r w:rsidR="00EC5671" w:rsidRPr="00CE2185">
        <w:rPr>
          <w:noProof/>
        </w:rPr>
        <w:t>.</w:t>
      </w:r>
      <w:r w:rsidR="00E86AE5" w:rsidRPr="00CE2185">
        <w:rPr>
          <w:noProof/>
        </w:rPr>
        <w:t xml:space="preserve"> A detailed overview of</w:t>
      </w:r>
      <w:r w:rsidR="001F77B9" w:rsidRPr="00CE2185">
        <w:rPr>
          <w:noProof/>
        </w:rPr>
        <w:t xml:space="preserve"> ENISA’s</w:t>
      </w:r>
      <w:r w:rsidR="00E86AE5" w:rsidRPr="00CE2185">
        <w:rPr>
          <w:noProof/>
        </w:rPr>
        <w:t xml:space="preserve"> FTEs by activity </w:t>
      </w:r>
      <w:r w:rsidR="00EC5671" w:rsidRPr="00CE2185">
        <w:rPr>
          <w:noProof/>
        </w:rPr>
        <w:t xml:space="preserve">(for the operational and corporate activities) </w:t>
      </w:r>
      <w:r w:rsidR="00E86AE5" w:rsidRPr="00CE2185">
        <w:rPr>
          <w:noProof/>
        </w:rPr>
        <w:t xml:space="preserve">is available in </w:t>
      </w:r>
      <w:r w:rsidR="00E86AE5" w:rsidRPr="00CE2185">
        <w:rPr>
          <w:i/>
          <w:iCs/>
          <w:noProof/>
        </w:rPr>
        <w:t xml:space="preserve">Annex </w:t>
      </w:r>
      <w:r w:rsidR="007B4716" w:rsidRPr="00CE2185">
        <w:rPr>
          <w:i/>
          <w:iCs/>
          <w:noProof/>
        </w:rPr>
        <w:t>11</w:t>
      </w:r>
      <w:r w:rsidR="00E86AE5" w:rsidRPr="00CE2185">
        <w:rPr>
          <w:noProof/>
        </w:rPr>
        <w:t>.</w:t>
      </w:r>
      <w:r w:rsidR="00DD61B0" w:rsidRPr="00CE2185">
        <w:rPr>
          <w:noProof/>
        </w:rPr>
        <w:t xml:space="preserve"> </w:t>
      </w:r>
    </w:p>
    <w:p w14:paraId="57B6D295" w14:textId="723BF0C9" w:rsidR="00F57D9D" w:rsidRPr="00CE2185" w:rsidRDefault="00F57D9D" w:rsidP="00795DF0">
      <w:pPr>
        <w:spacing w:after="120"/>
        <w:rPr>
          <w:noProof/>
        </w:rPr>
      </w:pPr>
      <w:r w:rsidRPr="00CE2185">
        <w:rPr>
          <w:b/>
          <w:noProof/>
        </w:rPr>
        <w:t>Option A.1</w:t>
      </w:r>
      <w:r w:rsidRPr="00CE2185">
        <w:rPr>
          <w:noProof/>
        </w:rPr>
        <w:t xml:space="preserve"> entails a targeted intervention through limited amendments to the CSA, with the objective of enhancing the role of ENISA within the evolving cybersecurity landscape. By supporting and issuing sector-specific guidelines, this option aims to enhance resource efficiency without incurring additional costs, as these tasks are already part of ENISA’s existing mandate. This option also seeks to establish clear processes and mechanisms for cooperation between ENISA and the ECCC. </w:t>
      </w:r>
    </w:p>
    <w:p w14:paraId="523BBC5D" w14:textId="59D6CB01" w:rsidR="004E57C8" w:rsidRPr="00CE2185" w:rsidRDefault="1B0C38E7" w:rsidP="00795DF0">
      <w:pPr>
        <w:spacing w:after="120"/>
        <w:rPr>
          <w:noProof/>
        </w:rPr>
      </w:pPr>
      <w:r w:rsidRPr="00CE2185">
        <w:rPr>
          <w:noProof/>
        </w:rPr>
        <w:t xml:space="preserve">Overall, the estimated </w:t>
      </w:r>
      <w:r w:rsidRPr="00CE2185">
        <w:rPr>
          <w:b/>
          <w:bCs/>
          <w:noProof/>
        </w:rPr>
        <w:t>costs</w:t>
      </w:r>
      <w:r w:rsidRPr="00CE2185">
        <w:rPr>
          <w:noProof/>
        </w:rPr>
        <w:t xml:space="preserve"> for </w:t>
      </w:r>
      <w:r w:rsidRPr="00CE2185">
        <w:rPr>
          <w:b/>
          <w:bCs/>
          <w:noProof/>
        </w:rPr>
        <w:t>EU institutions</w:t>
      </w:r>
      <w:r w:rsidR="318559EB" w:rsidRPr="00CE2185">
        <w:rPr>
          <w:b/>
          <w:bCs/>
          <w:noProof/>
        </w:rPr>
        <w:t xml:space="preserve"> </w:t>
      </w:r>
      <w:r w:rsidR="34C1DA79" w:rsidRPr="00CE2185">
        <w:rPr>
          <w:b/>
          <w:bCs/>
          <w:noProof/>
        </w:rPr>
        <w:t xml:space="preserve">and </w:t>
      </w:r>
      <w:r w:rsidR="163DA81E" w:rsidRPr="00CE2185">
        <w:rPr>
          <w:b/>
          <w:bCs/>
          <w:noProof/>
        </w:rPr>
        <w:t>agenc</w:t>
      </w:r>
      <w:r w:rsidR="34C1DA79" w:rsidRPr="00CE2185">
        <w:rPr>
          <w:b/>
          <w:bCs/>
          <w:noProof/>
        </w:rPr>
        <w:t>ies</w:t>
      </w:r>
      <w:r w:rsidR="72AF8E9A" w:rsidRPr="00CE2185">
        <w:rPr>
          <w:b/>
          <w:bCs/>
          <w:noProof/>
        </w:rPr>
        <w:t>,</w:t>
      </w:r>
      <w:r w:rsidR="795771D0" w:rsidRPr="00CE2185">
        <w:rPr>
          <w:b/>
          <w:bCs/>
          <w:noProof/>
        </w:rPr>
        <w:t xml:space="preserve"> </w:t>
      </w:r>
      <w:r w:rsidRPr="00CE2185">
        <w:rPr>
          <w:b/>
          <w:bCs/>
          <w:noProof/>
        </w:rPr>
        <w:t>in particular ENISA</w:t>
      </w:r>
      <w:r w:rsidR="72AF8E9A" w:rsidRPr="00CE2185">
        <w:rPr>
          <w:b/>
          <w:bCs/>
          <w:noProof/>
        </w:rPr>
        <w:t>,</w:t>
      </w:r>
      <w:r w:rsidRPr="00CE2185">
        <w:rPr>
          <w:noProof/>
        </w:rPr>
        <w:t xml:space="preserve"> in human resources and logistical support for this option are marginal, considering that ENISA already engages in coordination efforts as part of its mandate and regular work. The prioritisation and streamlining of resources would incur rather reorganisation of existing resources and </w:t>
      </w:r>
      <w:r w:rsidR="7CBBA87C" w:rsidRPr="00CE2185">
        <w:rPr>
          <w:noProof/>
        </w:rPr>
        <w:t>w</w:t>
      </w:r>
      <w:r w:rsidR="0078725F">
        <w:rPr>
          <w:noProof/>
        </w:rPr>
        <w:t>ould</w:t>
      </w:r>
      <w:r w:rsidR="7CBBA87C" w:rsidRPr="00CE2185">
        <w:rPr>
          <w:noProof/>
        </w:rPr>
        <w:t xml:space="preserve"> entail </w:t>
      </w:r>
      <w:r w:rsidRPr="00CE2185">
        <w:rPr>
          <w:noProof/>
        </w:rPr>
        <w:t>only marginal increase of FTEs</w:t>
      </w:r>
      <w:r w:rsidR="11CE5562" w:rsidRPr="00CE2185">
        <w:rPr>
          <w:noProof/>
        </w:rPr>
        <w:t>, which w</w:t>
      </w:r>
      <w:r w:rsidR="0078725F">
        <w:rPr>
          <w:noProof/>
        </w:rPr>
        <w:t>ould</w:t>
      </w:r>
      <w:r w:rsidR="11CE5562" w:rsidRPr="00CE2185">
        <w:rPr>
          <w:noProof/>
        </w:rPr>
        <w:t xml:space="preserve"> be offset by the marginal cost savings mentioned under benefits</w:t>
      </w:r>
      <w:r w:rsidR="76428FBC" w:rsidRPr="00CE2185">
        <w:rPr>
          <w:noProof/>
        </w:rPr>
        <w:t>.</w:t>
      </w:r>
      <w:r w:rsidRPr="00CE2185">
        <w:rPr>
          <w:noProof/>
        </w:rPr>
        <w:t xml:space="preserve"> </w:t>
      </w:r>
    </w:p>
    <w:p w14:paraId="17B5B3D5" w14:textId="49C2538D" w:rsidR="00F57D9D" w:rsidRPr="00CE2185" w:rsidRDefault="180DCD79" w:rsidP="00795DF0">
      <w:pPr>
        <w:spacing w:after="120"/>
        <w:rPr>
          <w:noProof/>
        </w:rPr>
      </w:pPr>
      <w:r w:rsidRPr="00CE2185">
        <w:rPr>
          <w:noProof/>
        </w:rPr>
        <w:t xml:space="preserve">As for </w:t>
      </w:r>
      <w:r w:rsidRPr="00CE2185">
        <w:rPr>
          <w:b/>
          <w:bCs/>
          <w:noProof/>
        </w:rPr>
        <w:t>costs for national authorities</w:t>
      </w:r>
      <w:r w:rsidR="764BA6A8" w:rsidRPr="00CE2185">
        <w:rPr>
          <w:b/>
          <w:bCs/>
          <w:noProof/>
        </w:rPr>
        <w:t>,</w:t>
      </w:r>
      <w:r w:rsidR="764BA6A8" w:rsidRPr="00CE2185">
        <w:rPr>
          <w:noProof/>
        </w:rPr>
        <w:t xml:space="preserve"> given that CSIRTs network and EU</w:t>
      </w:r>
      <w:r w:rsidR="00F94725" w:rsidRPr="00CE2185">
        <w:rPr>
          <w:noProof/>
        </w:rPr>
        <w:t>-</w:t>
      </w:r>
      <w:r w:rsidR="764BA6A8" w:rsidRPr="00CE2185">
        <w:rPr>
          <w:noProof/>
        </w:rPr>
        <w:t>CyCLONe are already institutionalised, this measure primarily involves reorganisation, with minimal impact on costs for Member States</w:t>
      </w:r>
      <w:r w:rsidR="00F57D9D" w:rsidRPr="00CE2185">
        <w:rPr>
          <w:noProof/>
          <w:vertAlign w:val="superscript"/>
        </w:rPr>
        <w:footnoteReference w:id="134"/>
      </w:r>
      <w:r w:rsidR="764BA6A8" w:rsidRPr="00CE2185">
        <w:rPr>
          <w:noProof/>
        </w:rPr>
        <w:t xml:space="preserve">. </w:t>
      </w:r>
      <w:r w:rsidR="000A60F7" w:rsidRPr="00CE2185">
        <w:rPr>
          <w:noProof/>
        </w:rPr>
        <w:t>As for</w:t>
      </w:r>
      <w:r w:rsidR="002342B8" w:rsidRPr="00CE2185">
        <w:rPr>
          <w:noProof/>
        </w:rPr>
        <w:t xml:space="preserve"> costs for</w:t>
      </w:r>
      <w:r w:rsidR="0014407D" w:rsidRPr="00CE2185">
        <w:rPr>
          <w:noProof/>
        </w:rPr>
        <w:t xml:space="preserve"> businesses</w:t>
      </w:r>
      <w:r w:rsidR="005A20F4" w:rsidRPr="00CE2185">
        <w:rPr>
          <w:noProof/>
        </w:rPr>
        <w:t xml:space="preserve"> and citizens</w:t>
      </w:r>
      <w:r w:rsidR="006573D0" w:rsidRPr="00CE2185">
        <w:rPr>
          <w:noProof/>
        </w:rPr>
        <w:t>,</w:t>
      </w:r>
      <w:r w:rsidR="00C70D05" w:rsidRPr="00CE2185">
        <w:rPr>
          <w:noProof/>
        </w:rPr>
        <w:t xml:space="preserve"> there </w:t>
      </w:r>
      <w:r w:rsidR="00301E6C" w:rsidRPr="00CE2185">
        <w:rPr>
          <w:noProof/>
        </w:rPr>
        <w:t>are</w:t>
      </w:r>
      <w:r w:rsidR="00C70D05" w:rsidRPr="00CE2185">
        <w:rPr>
          <w:noProof/>
        </w:rPr>
        <w:t xml:space="preserve"> </w:t>
      </w:r>
      <w:r w:rsidR="006573D0" w:rsidRPr="00CE2185">
        <w:rPr>
          <w:noProof/>
        </w:rPr>
        <w:t>none under</w:t>
      </w:r>
      <w:r w:rsidR="0014407D" w:rsidRPr="00CE2185">
        <w:rPr>
          <w:noProof/>
        </w:rPr>
        <w:t xml:space="preserve"> this option</w:t>
      </w:r>
      <w:r w:rsidR="006573D0" w:rsidRPr="00CE2185">
        <w:rPr>
          <w:noProof/>
        </w:rPr>
        <w:t xml:space="preserve">. </w:t>
      </w:r>
    </w:p>
    <w:p w14:paraId="1A58E8F9" w14:textId="6F6BDE65" w:rsidR="008E73F2" w:rsidRPr="00CE2185" w:rsidRDefault="00F57D9D" w:rsidP="008E73F2">
      <w:pPr>
        <w:spacing w:after="120"/>
        <w:rPr>
          <w:noProof/>
        </w:rPr>
      </w:pPr>
      <w:r w:rsidRPr="00CE2185">
        <w:rPr>
          <w:noProof/>
        </w:rPr>
        <w:t xml:space="preserve">For implementing </w:t>
      </w:r>
      <w:r w:rsidRPr="00CE2185">
        <w:rPr>
          <w:b/>
          <w:bCs/>
          <w:i/>
          <w:iCs/>
          <w:noProof/>
        </w:rPr>
        <w:t>Option A.2</w:t>
      </w:r>
      <w:r w:rsidR="00ED2722" w:rsidRPr="00CE2185">
        <w:rPr>
          <w:b/>
          <w:bCs/>
          <w:noProof/>
        </w:rPr>
        <w:t>,</w:t>
      </w:r>
      <w:r w:rsidR="3955C4EC" w:rsidRPr="00CE2185">
        <w:rPr>
          <w:noProof/>
        </w:rPr>
        <w:t xml:space="preserve"> </w:t>
      </w:r>
      <w:r w:rsidR="00623391" w:rsidRPr="00CE2185">
        <w:rPr>
          <w:noProof/>
        </w:rPr>
        <w:t>ENISA requires</w:t>
      </w:r>
      <w:r w:rsidR="00905117" w:rsidRPr="00CE2185">
        <w:rPr>
          <w:noProof/>
        </w:rPr>
        <w:t xml:space="preserve"> </w:t>
      </w:r>
      <w:r w:rsidRPr="00CE2185">
        <w:rPr>
          <w:noProof/>
        </w:rPr>
        <w:t xml:space="preserve">a total </w:t>
      </w:r>
      <w:r w:rsidR="00001A61" w:rsidRPr="00CE2185">
        <w:rPr>
          <w:noProof/>
        </w:rPr>
        <w:t xml:space="preserve">of </w:t>
      </w:r>
      <w:r w:rsidR="00001A61" w:rsidRPr="00CE2185">
        <w:rPr>
          <w:b/>
          <w:noProof/>
        </w:rPr>
        <w:t xml:space="preserve">EUR </w:t>
      </w:r>
      <w:r w:rsidR="00DF4722" w:rsidRPr="00CE2185">
        <w:rPr>
          <w:b/>
          <w:bCs/>
          <w:noProof/>
        </w:rPr>
        <w:t>148 </w:t>
      </w:r>
      <w:r w:rsidR="00821ACB" w:rsidRPr="00CE2185">
        <w:rPr>
          <w:b/>
          <w:bCs/>
          <w:noProof/>
        </w:rPr>
        <w:t>118 870</w:t>
      </w:r>
      <w:r w:rsidR="00517C7B" w:rsidRPr="00CE2185">
        <w:rPr>
          <w:b/>
          <w:noProof/>
        </w:rPr>
        <w:t xml:space="preserve"> additional cost over 5 years</w:t>
      </w:r>
      <w:r w:rsidR="008E67A0" w:rsidRPr="00CE2185">
        <w:rPr>
          <w:b/>
          <w:noProof/>
        </w:rPr>
        <w:t>,</w:t>
      </w:r>
      <w:r w:rsidR="008E67A0" w:rsidRPr="00CE2185">
        <w:rPr>
          <w:noProof/>
        </w:rPr>
        <w:t xml:space="preserve"> which is a</w:t>
      </w:r>
      <w:r w:rsidR="00AE4407" w:rsidRPr="00CE2185">
        <w:rPr>
          <w:noProof/>
        </w:rPr>
        <w:t>n</w:t>
      </w:r>
      <w:r w:rsidR="008E67A0" w:rsidRPr="00CE2185">
        <w:rPr>
          <w:noProof/>
        </w:rPr>
        <w:t xml:space="preserve"> incremental cost </w:t>
      </w:r>
      <w:r w:rsidR="00441151" w:rsidRPr="00CE2185">
        <w:rPr>
          <w:noProof/>
        </w:rPr>
        <w:t>compared to the baseline</w:t>
      </w:r>
      <w:r w:rsidR="00542618" w:rsidRPr="00CE2185">
        <w:rPr>
          <w:noProof/>
        </w:rPr>
        <w:t xml:space="preserve"> (i.e. it does not include current ongoing activities)</w:t>
      </w:r>
      <w:r w:rsidR="00517C7B" w:rsidRPr="00CE2185">
        <w:rPr>
          <w:noProof/>
        </w:rPr>
        <w:t>.</w:t>
      </w:r>
      <w:r w:rsidR="00BA675D" w:rsidRPr="00CE2185">
        <w:rPr>
          <w:noProof/>
        </w:rPr>
        <w:t xml:space="preserve"> </w:t>
      </w:r>
    </w:p>
    <w:p w14:paraId="4AE7FFDA" w14:textId="321F0BA3" w:rsidR="003F1A1B" w:rsidRPr="00CE2185" w:rsidRDefault="00BA675D" w:rsidP="00795DF0">
      <w:pPr>
        <w:spacing w:after="120"/>
        <w:rPr>
          <w:noProof/>
        </w:rPr>
      </w:pPr>
      <w:r w:rsidRPr="00CE2185">
        <w:rPr>
          <w:noProof/>
        </w:rPr>
        <w:t xml:space="preserve">This </w:t>
      </w:r>
      <w:r w:rsidR="00031120" w:rsidRPr="00CE2185">
        <w:rPr>
          <w:noProof/>
        </w:rPr>
        <w:t xml:space="preserve">additional budget of EUR </w:t>
      </w:r>
      <w:r w:rsidR="00821ACB" w:rsidRPr="00CE2185">
        <w:rPr>
          <w:noProof/>
        </w:rPr>
        <w:t>148.12</w:t>
      </w:r>
      <w:r w:rsidR="00031120" w:rsidRPr="00CE2185">
        <w:rPr>
          <w:noProof/>
        </w:rPr>
        <w:t xml:space="preserve"> million</w:t>
      </w:r>
      <w:r w:rsidR="005E1E33" w:rsidRPr="00CE2185">
        <w:rPr>
          <w:noProof/>
        </w:rPr>
        <w:t xml:space="preserve"> (M)</w:t>
      </w:r>
      <w:r w:rsidR="00031120" w:rsidRPr="00CE2185">
        <w:rPr>
          <w:noProof/>
        </w:rPr>
        <w:t xml:space="preserve"> </w:t>
      </w:r>
      <w:r w:rsidRPr="00CE2185">
        <w:rPr>
          <w:noProof/>
        </w:rPr>
        <w:t>includes</w:t>
      </w:r>
      <w:r w:rsidR="00966B79" w:rsidRPr="00CE2185">
        <w:rPr>
          <w:noProof/>
        </w:rPr>
        <w:t xml:space="preserve"> </w:t>
      </w:r>
      <w:r w:rsidR="00B21B69" w:rsidRPr="00CE2185">
        <w:rPr>
          <w:b/>
          <w:bCs/>
          <w:noProof/>
        </w:rPr>
        <w:t>one-off</w:t>
      </w:r>
      <w:r w:rsidR="00607374" w:rsidRPr="00CE2185">
        <w:rPr>
          <w:b/>
          <w:bCs/>
          <w:noProof/>
        </w:rPr>
        <w:t xml:space="preserve"> costs of </w:t>
      </w:r>
      <w:r w:rsidR="003E43A7" w:rsidRPr="00CE2185">
        <w:rPr>
          <w:b/>
          <w:bCs/>
          <w:noProof/>
        </w:rPr>
        <w:t xml:space="preserve">EUR </w:t>
      </w:r>
      <w:r w:rsidR="00F349ED" w:rsidRPr="00CE2185">
        <w:rPr>
          <w:b/>
          <w:bCs/>
          <w:noProof/>
        </w:rPr>
        <w:t>10</w:t>
      </w:r>
      <w:r w:rsidR="00867BD0" w:rsidRPr="00CE2185">
        <w:rPr>
          <w:b/>
          <w:bCs/>
          <w:noProof/>
        </w:rPr>
        <w:t>.1</w:t>
      </w:r>
      <w:r w:rsidR="00821ACB" w:rsidRPr="00CE2185">
        <w:rPr>
          <w:b/>
          <w:bCs/>
          <w:noProof/>
        </w:rPr>
        <w:t>M</w:t>
      </w:r>
      <w:r w:rsidR="00AD4A81" w:rsidRPr="00CE2185">
        <w:rPr>
          <w:noProof/>
        </w:rPr>
        <w:t xml:space="preserve"> </w:t>
      </w:r>
      <w:r w:rsidR="00B21B69" w:rsidRPr="00CE2185">
        <w:rPr>
          <w:noProof/>
        </w:rPr>
        <w:t xml:space="preserve">and </w:t>
      </w:r>
      <w:r w:rsidR="00A22881" w:rsidRPr="00CE2185">
        <w:rPr>
          <w:b/>
          <w:bCs/>
          <w:noProof/>
        </w:rPr>
        <w:t xml:space="preserve">recurring cost of </w:t>
      </w:r>
      <w:r w:rsidR="00836F11" w:rsidRPr="00CE2185">
        <w:rPr>
          <w:b/>
          <w:bCs/>
          <w:noProof/>
        </w:rPr>
        <w:t>138</w:t>
      </w:r>
      <w:r w:rsidR="00A22881" w:rsidRPr="00CE2185">
        <w:rPr>
          <w:b/>
          <w:bCs/>
          <w:noProof/>
        </w:rPr>
        <w:t xml:space="preserve">M over 5 years (EUR </w:t>
      </w:r>
      <w:r w:rsidR="009A1BC0" w:rsidRPr="00CE2185">
        <w:rPr>
          <w:b/>
          <w:bCs/>
          <w:noProof/>
        </w:rPr>
        <w:t>26.7</w:t>
      </w:r>
      <w:r w:rsidR="0097486B" w:rsidRPr="00CE2185">
        <w:rPr>
          <w:b/>
          <w:bCs/>
          <w:noProof/>
        </w:rPr>
        <w:t>M</w:t>
      </w:r>
      <w:r w:rsidR="00A22881" w:rsidRPr="00CE2185">
        <w:rPr>
          <w:b/>
          <w:bCs/>
          <w:noProof/>
        </w:rPr>
        <w:t xml:space="preserve"> in 2028 and EUR</w:t>
      </w:r>
      <w:r w:rsidR="007F3954" w:rsidRPr="00CE2185">
        <w:rPr>
          <w:b/>
          <w:bCs/>
          <w:noProof/>
        </w:rPr>
        <w:t> </w:t>
      </w:r>
      <w:r w:rsidR="003F57E8" w:rsidRPr="00CE2185">
        <w:rPr>
          <w:b/>
          <w:bCs/>
          <w:noProof/>
        </w:rPr>
        <w:t>27.8</w:t>
      </w:r>
      <w:r w:rsidR="0097486B" w:rsidRPr="00CE2185">
        <w:rPr>
          <w:b/>
          <w:bCs/>
          <w:noProof/>
        </w:rPr>
        <w:t>M</w:t>
      </w:r>
      <w:r w:rsidR="00A22881" w:rsidRPr="00CE2185">
        <w:rPr>
          <w:b/>
          <w:bCs/>
          <w:noProof/>
        </w:rPr>
        <w:t xml:space="preserve"> yearly from 2029 to 2032)</w:t>
      </w:r>
      <w:r w:rsidR="002F39BD" w:rsidRPr="00CE2185">
        <w:rPr>
          <w:noProof/>
        </w:rPr>
        <w:t>, which represent mainly adjustment costs</w:t>
      </w:r>
      <w:r w:rsidR="008277D7" w:rsidRPr="00CE2185">
        <w:rPr>
          <w:noProof/>
        </w:rPr>
        <w:t xml:space="preserve"> to comply with the new regulation</w:t>
      </w:r>
      <w:r w:rsidR="00051443" w:rsidRPr="00CE2185">
        <w:rPr>
          <w:noProof/>
        </w:rPr>
        <w:t>, broken down as follows:</w:t>
      </w:r>
      <w:r w:rsidR="00C51E2F" w:rsidRPr="00CE2185">
        <w:rPr>
          <w:noProof/>
        </w:rPr>
        <w:t xml:space="preserve"> ca. </w:t>
      </w:r>
      <w:r w:rsidR="003D721F" w:rsidRPr="00CE2185">
        <w:rPr>
          <w:noProof/>
        </w:rPr>
        <w:t xml:space="preserve">EUR </w:t>
      </w:r>
      <w:r w:rsidR="00A9450C" w:rsidRPr="00CE2185">
        <w:rPr>
          <w:noProof/>
        </w:rPr>
        <w:t>12</w:t>
      </w:r>
      <w:r w:rsidR="00DA11C9" w:rsidRPr="00CE2185">
        <w:rPr>
          <w:noProof/>
        </w:rPr>
        <w:t xml:space="preserve">.2 </w:t>
      </w:r>
      <w:r w:rsidR="00DC1F60" w:rsidRPr="00CE2185">
        <w:rPr>
          <w:noProof/>
        </w:rPr>
        <w:t>M per year</w:t>
      </w:r>
      <w:r w:rsidR="00B80356" w:rsidRPr="00CE2185">
        <w:rPr>
          <w:noProof/>
        </w:rPr>
        <w:t xml:space="preserve">, </w:t>
      </w:r>
      <w:r w:rsidR="00A57E57" w:rsidRPr="00CE2185">
        <w:rPr>
          <w:noProof/>
        </w:rPr>
        <w:t>(</w:t>
      </w:r>
      <w:r w:rsidR="00DC1F60" w:rsidRPr="00CE2185">
        <w:rPr>
          <w:noProof/>
        </w:rPr>
        <w:t xml:space="preserve">i.e. </w:t>
      </w:r>
      <w:r w:rsidR="00C51E2F" w:rsidRPr="00CE2185">
        <w:rPr>
          <w:b/>
          <w:bCs/>
          <w:noProof/>
        </w:rPr>
        <w:t xml:space="preserve">EUR </w:t>
      </w:r>
      <w:r w:rsidR="00B316F8" w:rsidRPr="00CE2185">
        <w:rPr>
          <w:b/>
          <w:bCs/>
          <w:noProof/>
        </w:rPr>
        <w:t>61.06</w:t>
      </w:r>
      <w:r w:rsidR="00C02CA4" w:rsidRPr="00CE2185">
        <w:rPr>
          <w:b/>
          <w:bCs/>
          <w:noProof/>
        </w:rPr>
        <w:t xml:space="preserve">M </w:t>
      </w:r>
      <w:r w:rsidR="00C51E2F" w:rsidRPr="00CE2185">
        <w:rPr>
          <w:noProof/>
        </w:rPr>
        <w:t>over five years</w:t>
      </w:r>
      <w:r w:rsidR="00A57E57" w:rsidRPr="00CE2185">
        <w:rPr>
          <w:noProof/>
        </w:rPr>
        <w:t xml:space="preserve">) </w:t>
      </w:r>
      <w:r w:rsidR="008D452E" w:rsidRPr="00CE2185">
        <w:rPr>
          <w:noProof/>
        </w:rPr>
        <w:t xml:space="preserve">related to </w:t>
      </w:r>
      <w:r w:rsidR="002E54DF" w:rsidRPr="00CE2185">
        <w:rPr>
          <w:noProof/>
        </w:rPr>
        <w:t>CVD, CTI, CRA</w:t>
      </w:r>
      <w:r w:rsidR="00A8446F">
        <w:rPr>
          <w:noProof/>
        </w:rPr>
        <w:t xml:space="preserve"> single reporting platform</w:t>
      </w:r>
      <w:r w:rsidR="00EE321E" w:rsidRPr="00CE2185">
        <w:rPr>
          <w:noProof/>
        </w:rPr>
        <w:t xml:space="preserve"> maintenance</w:t>
      </w:r>
      <w:r w:rsidR="00A8446F">
        <w:rPr>
          <w:noProof/>
        </w:rPr>
        <w:t xml:space="preserve">, </w:t>
      </w:r>
      <w:r w:rsidR="00A8446F" w:rsidRPr="00A8446F">
        <w:rPr>
          <w:noProof/>
        </w:rPr>
        <w:t>single entry point, CRA</w:t>
      </w:r>
      <w:r w:rsidR="00EE321E" w:rsidRPr="00CE2185">
        <w:rPr>
          <w:noProof/>
        </w:rPr>
        <w:t xml:space="preserve"> implementation</w:t>
      </w:r>
      <w:r w:rsidR="002E54DF" w:rsidRPr="00CE2185">
        <w:rPr>
          <w:noProof/>
        </w:rPr>
        <w:t xml:space="preserve">, skills </w:t>
      </w:r>
      <w:r w:rsidR="007D17B3" w:rsidRPr="00CE2185">
        <w:rPr>
          <w:noProof/>
        </w:rPr>
        <w:t xml:space="preserve">attestation </w:t>
      </w:r>
      <w:r w:rsidR="002E54DF" w:rsidRPr="00CE2185">
        <w:rPr>
          <w:noProof/>
        </w:rPr>
        <w:t>schemes</w:t>
      </w:r>
      <w:r w:rsidR="000D0261" w:rsidRPr="00CE2185">
        <w:rPr>
          <w:noProof/>
        </w:rPr>
        <w:t xml:space="preserve">, </w:t>
      </w:r>
      <w:r w:rsidR="00EE321E" w:rsidRPr="00CE2185">
        <w:rPr>
          <w:noProof/>
        </w:rPr>
        <w:t xml:space="preserve">and cyber maturity, </w:t>
      </w:r>
      <w:r w:rsidR="000D0261" w:rsidRPr="00CE2185">
        <w:rPr>
          <w:noProof/>
        </w:rPr>
        <w:t>see details below</w:t>
      </w:r>
      <w:r w:rsidR="00EC0AD2" w:rsidRPr="00CE2185">
        <w:rPr>
          <w:noProof/>
        </w:rPr>
        <w:t>;</w:t>
      </w:r>
      <w:r w:rsidR="00264955" w:rsidRPr="00CE2185">
        <w:rPr>
          <w:noProof/>
        </w:rPr>
        <w:t xml:space="preserve"> </w:t>
      </w:r>
      <w:r w:rsidR="007F3D9A" w:rsidRPr="00CE2185">
        <w:rPr>
          <w:noProof/>
        </w:rPr>
        <w:t xml:space="preserve">the </w:t>
      </w:r>
      <w:r w:rsidR="00C20832" w:rsidRPr="00CE2185">
        <w:rPr>
          <w:noProof/>
        </w:rPr>
        <w:t xml:space="preserve">yearly maintenance of </w:t>
      </w:r>
      <w:r w:rsidR="007F3D9A" w:rsidRPr="00CE2185">
        <w:rPr>
          <w:noProof/>
        </w:rPr>
        <w:t xml:space="preserve">secure communications </w:t>
      </w:r>
      <w:r w:rsidR="00285B60" w:rsidRPr="00CE2185">
        <w:rPr>
          <w:noProof/>
        </w:rPr>
        <w:t>of EUR 1 083 250 from 2029 to 20</w:t>
      </w:r>
      <w:r w:rsidR="00CD15C2" w:rsidRPr="00CE2185">
        <w:rPr>
          <w:noProof/>
        </w:rPr>
        <w:t>32 (EUR 4.3M over 4 years)</w:t>
      </w:r>
      <w:r w:rsidR="00285B60" w:rsidRPr="00CE2185">
        <w:rPr>
          <w:noProof/>
        </w:rPr>
        <w:t>;</w:t>
      </w:r>
      <w:r w:rsidR="00760511" w:rsidRPr="00CE2185">
        <w:rPr>
          <w:noProof/>
        </w:rPr>
        <w:t xml:space="preserve"> </w:t>
      </w:r>
      <w:r w:rsidR="008E3C6A" w:rsidRPr="00CE2185">
        <w:rPr>
          <w:noProof/>
        </w:rPr>
        <w:t>the</w:t>
      </w:r>
      <w:r w:rsidR="00F57D9D" w:rsidRPr="00CE2185">
        <w:rPr>
          <w:b/>
          <w:bCs/>
          <w:noProof/>
        </w:rPr>
        <w:t xml:space="preserve"> </w:t>
      </w:r>
      <w:r w:rsidR="00FF424C" w:rsidRPr="00CE2185">
        <w:rPr>
          <w:noProof/>
        </w:rPr>
        <w:t xml:space="preserve">annual </w:t>
      </w:r>
      <w:r w:rsidR="00F57D9D" w:rsidRPr="00CE2185">
        <w:rPr>
          <w:noProof/>
        </w:rPr>
        <w:t>cost</w:t>
      </w:r>
      <w:r w:rsidR="009250D9" w:rsidRPr="00CE2185">
        <w:rPr>
          <w:noProof/>
        </w:rPr>
        <w:t>s</w:t>
      </w:r>
      <w:r w:rsidR="00F57D9D" w:rsidRPr="00CE2185">
        <w:rPr>
          <w:noProof/>
        </w:rPr>
        <w:t xml:space="preserve"> of EUR </w:t>
      </w:r>
      <w:r w:rsidR="00A72A7C" w:rsidRPr="00CE2185">
        <w:rPr>
          <w:noProof/>
        </w:rPr>
        <w:t>13.08</w:t>
      </w:r>
      <w:r w:rsidR="00CC38F0" w:rsidRPr="00CE2185">
        <w:rPr>
          <w:noProof/>
        </w:rPr>
        <w:t xml:space="preserve"> </w:t>
      </w:r>
      <w:r w:rsidR="00F57D9D" w:rsidRPr="00CE2185">
        <w:rPr>
          <w:noProof/>
        </w:rPr>
        <w:t xml:space="preserve">million </w:t>
      </w:r>
      <w:r w:rsidR="009E2F27" w:rsidRPr="00CE2185">
        <w:rPr>
          <w:noProof/>
        </w:rPr>
        <w:t>(</w:t>
      </w:r>
      <w:r w:rsidR="00317DB2" w:rsidRPr="00CE2185">
        <w:rPr>
          <w:noProof/>
        </w:rPr>
        <w:t xml:space="preserve">i.e. </w:t>
      </w:r>
      <w:r w:rsidR="00320119" w:rsidRPr="00CE2185">
        <w:rPr>
          <w:b/>
          <w:bCs/>
          <w:noProof/>
        </w:rPr>
        <w:t xml:space="preserve">EUR </w:t>
      </w:r>
      <w:r w:rsidR="001C7802" w:rsidRPr="00CE2185">
        <w:rPr>
          <w:b/>
          <w:bCs/>
          <w:noProof/>
        </w:rPr>
        <w:t>65.42</w:t>
      </w:r>
      <w:r w:rsidR="00C02CA4" w:rsidRPr="00CE2185">
        <w:rPr>
          <w:b/>
          <w:bCs/>
          <w:noProof/>
        </w:rPr>
        <w:t xml:space="preserve">M </w:t>
      </w:r>
      <w:r w:rsidR="009A2073" w:rsidRPr="00CE2185">
        <w:rPr>
          <w:b/>
          <w:bCs/>
          <w:noProof/>
        </w:rPr>
        <w:t>over 5 years</w:t>
      </w:r>
      <w:r w:rsidR="00320119" w:rsidRPr="00CE2185">
        <w:rPr>
          <w:noProof/>
        </w:rPr>
        <w:t>)</w:t>
      </w:r>
      <w:r w:rsidR="002830FE" w:rsidRPr="00CE2185">
        <w:rPr>
          <w:noProof/>
        </w:rPr>
        <w:t xml:space="preserve"> </w:t>
      </w:r>
      <w:r w:rsidR="00317DB2" w:rsidRPr="00CE2185">
        <w:rPr>
          <w:noProof/>
        </w:rPr>
        <w:t>for</w:t>
      </w:r>
      <w:r w:rsidR="00DF2BA1" w:rsidRPr="00CE2185">
        <w:rPr>
          <w:noProof/>
        </w:rPr>
        <w:t xml:space="preserve"> </w:t>
      </w:r>
      <w:r w:rsidR="008B4D82" w:rsidRPr="00CE2185">
        <w:rPr>
          <w:noProof/>
        </w:rPr>
        <w:t>additional</w:t>
      </w:r>
      <w:r w:rsidR="2CBC7DD1" w:rsidRPr="00CE2185">
        <w:rPr>
          <w:noProof/>
        </w:rPr>
        <w:t xml:space="preserve"> </w:t>
      </w:r>
      <w:r w:rsidR="001C7802" w:rsidRPr="00CE2185">
        <w:rPr>
          <w:b/>
          <w:bCs/>
          <w:noProof/>
        </w:rPr>
        <w:t>102</w:t>
      </w:r>
      <w:r w:rsidR="00F73A07" w:rsidRPr="00CE2185">
        <w:rPr>
          <w:b/>
          <w:bCs/>
          <w:noProof/>
        </w:rPr>
        <w:t xml:space="preserve"> </w:t>
      </w:r>
      <w:r w:rsidR="00A14E79" w:rsidRPr="00CE2185">
        <w:rPr>
          <w:b/>
          <w:bCs/>
          <w:noProof/>
        </w:rPr>
        <w:t>FTEs</w:t>
      </w:r>
      <w:r w:rsidR="2CBC7DD1" w:rsidRPr="00CE2185">
        <w:rPr>
          <w:noProof/>
        </w:rPr>
        <w:t xml:space="preserve"> </w:t>
      </w:r>
      <w:r w:rsidR="00B31767" w:rsidRPr="00CE2185">
        <w:rPr>
          <w:noProof/>
        </w:rPr>
        <w:t>at ENISA</w:t>
      </w:r>
      <w:r w:rsidR="2CBC7DD1" w:rsidRPr="00CE2185">
        <w:rPr>
          <w:noProof/>
        </w:rPr>
        <w:t xml:space="preserve"> to deliver</w:t>
      </w:r>
      <w:r w:rsidR="00F57D9D" w:rsidRPr="00CE2185" w:rsidDel="2CBC7DD1">
        <w:rPr>
          <w:noProof/>
        </w:rPr>
        <w:t xml:space="preserve"> </w:t>
      </w:r>
      <w:r w:rsidR="2CBC7DD1" w:rsidRPr="00CE2185">
        <w:rPr>
          <w:noProof/>
        </w:rPr>
        <w:t>the additional tasks</w:t>
      </w:r>
      <w:r w:rsidR="00F401D7" w:rsidRPr="00CE2185">
        <w:rPr>
          <w:noProof/>
        </w:rPr>
        <w:t>;</w:t>
      </w:r>
      <w:r w:rsidR="00F357AB" w:rsidRPr="00CE2185">
        <w:rPr>
          <w:noProof/>
        </w:rPr>
        <w:t xml:space="preserve"> the costs</w:t>
      </w:r>
      <w:r w:rsidR="000278D9" w:rsidRPr="00CE2185">
        <w:rPr>
          <w:noProof/>
        </w:rPr>
        <w:t xml:space="preserve"> of </w:t>
      </w:r>
      <w:r w:rsidR="0048043B" w:rsidRPr="00CE2185">
        <w:rPr>
          <w:noProof/>
        </w:rPr>
        <w:t>40</w:t>
      </w:r>
      <w:r w:rsidR="000278D9" w:rsidRPr="00CE2185">
        <w:rPr>
          <w:noProof/>
        </w:rPr>
        <w:t xml:space="preserve"> NLOs seconded to ENISA in amount of </w:t>
      </w:r>
      <w:r w:rsidR="00F92803" w:rsidRPr="00CE2185">
        <w:rPr>
          <w:noProof/>
        </w:rPr>
        <w:t>1.44</w:t>
      </w:r>
      <w:r w:rsidR="00D04B78" w:rsidRPr="00CE2185">
        <w:rPr>
          <w:noProof/>
        </w:rPr>
        <w:t xml:space="preserve"> M</w:t>
      </w:r>
      <w:r w:rsidR="000278D9" w:rsidRPr="00CE2185">
        <w:rPr>
          <w:noProof/>
        </w:rPr>
        <w:t xml:space="preserve"> yearly (</w:t>
      </w:r>
      <w:r w:rsidR="00A77819" w:rsidRPr="00CE2185">
        <w:rPr>
          <w:noProof/>
        </w:rPr>
        <w:t xml:space="preserve">i.e. </w:t>
      </w:r>
      <w:r w:rsidR="000278D9" w:rsidRPr="00CE2185">
        <w:rPr>
          <w:b/>
          <w:bCs/>
          <w:noProof/>
        </w:rPr>
        <w:t xml:space="preserve">EUR </w:t>
      </w:r>
      <w:r w:rsidR="003E0077" w:rsidRPr="00CE2185">
        <w:rPr>
          <w:b/>
          <w:bCs/>
          <w:noProof/>
        </w:rPr>
        <w:t>7.2M</w:t>
      </w:r>
      <w:r w:rsidR="00B842FF" w:rsidRPr="00CE2185">
        <w:rPr>
          <w:b/>
          <w:bCs/>
          <w:noProof/>
        </w:rPr>
        <w:t xml:space="preserve"> over 5 years</w:t>
      </w:r>
      <w:r w:rsidR="00B842FF" w:rsidRPr="00CE2185">
        <w:rPr>
          <w:noProof/>
        </w:rPr>
        <w:t>)</w:t>
      </w:r>
      <w:r w:rsidR="00315F94" w:rsidRPr="00CE2185">
        <w:rPr>
          <w:noProof/>
        </w:rPr>
        <w:t>.</w:t>
      </w:r>
      <w:r w:rsidR="00A3013B" w:rsidRPr="00CE2185">
        <w:rPr>
          <w:noProof/>
        </w:rPr>
        <w:t xml:space="preserve"> </w:t>
      </w:r>
    </w:p>
    <w:p w14:paraId="2BFB8497" w14:textId="49651413" w:rsidR="00AC7679" w:rsidRPr="00CE2185" w:rsidRDefault="00A8446F" w:rsidP="00795DF0">
      <w:pPr>
        <w:spacing w:after="120"/>
        <w:rPr>
          <w:noProof/>
        </w:rPr>
      </w:pPr>
      <w:r w:rsidRPr="00A8446F">
        <w:rPr>
          <w:noProof/>
        </w:rPr>
        <w:t>As a reminder, t</w:t>
      </w:r>
      <w:r w:rsidR="00CA0E35" w:rsidRPr="00A8446F">
        <w:rPr>
          <w:noProof/>
        </w:rPr>
        <w:t>he</w:t>
      </w:r>
      <w:r w:rsidR="00CA0E35" w:rsidRPr="00CE2185">
        <w:rPr>
          <w:noProof/>
        </w:rPr>
        <w:t xml:space="preserve"> cost estimation per FTE</w:t>
      </w:r>
      <w:r w:rsidR="00A67DC4" w:rsidRPr="00CE2185">
        <w:rPr>
          <w:noProof/>
        </w:rPr>
        <w:t xml:space="preserve"> </w:t>
      </w:r>
      <w:r w:rsidR="00E329EA" w:rsidRPr="00CE2185">
        <w:rPr>
          <w:noProof/>
        </w:rPr>
        <w:t>for ENISA</w:t>
      </w:r>
      <w:r w:rsidR="00CA0E35" w:rsidRPr="00CE2185">
        <w:rPr>
          <w:noProof/>
        </w:rPr>
        <w:t xml:space="preserve"> is based on previous evaluations</w:t>
      </w:r>
      <w:r w:rsidR="00CA0E35" w:rsidRPr="00CE2185">
        <w:rPr>
          <w:noProof/>
          <w:vertAlign w:val="superscript"/>
        </w:rPr>
        <w:footnoteReference w:id="135"/>
      </w:r>
      <w:r w:rsidR="00143880" w:rsidRPr="00CE2185">
        <w:rPr>
          <w:noProof/>
        </w:rPr>
        <w:t xml:space="preserve"> </w:t>
      </w:r>
      <w:r w:rsidR="00246B6F" w:rsidRPr="00CE2185">
        <w:rPr>
          <w:noProof/>
        </w:rPr>
        <w:t>and amounts to EUR 128 277 per yea</w:t>
      </w:r>
      <w:r w:rsidR="00E45C50" w:rsidRPr="00CE2185">
        <w:rPr>
          <w:noProof/>
        </w:rPr>
        <w:t>r</w:t>
      </w:r>
      <w:r w:rsidR="007E013E" w:rsidRPr="00CE2185">
        <w:rPr>
          <w:noProof/>
        </w:rPr>
        <w:t xml:space="preserve"> (this relates to salaries</w:t>
      </w:r>
      <w:r w:rsidR="002375B8" w:rsidRPr="00CE2185">
        <w:rPr>
          <w:noProof/>
        </w:rPr>
        <w:t>, social</w:t>
      </w:r>
      <w:r w:rsidR="00303BAE" w:rsidRPr="00CE2185">
        <w:rPr>
          <w:noProof/>
        </w:rPr>
        <w:t xml:space="preserve"> contributions and </w:t>
      </w:r>
      <w:r w:rsidR="002375B8" w:rsidRPr="00CE2185">
        <w:rPr>
          <w:noProof/>
        </w:rPr>
        <w:t>allowances</w:t>
      </w:r>
      <w:r w:rsidR="008E2F98" w:rsidRPr="00CE2185">
        <w:rPr>
          <w:noProof/>
        </w:rPr>
        <w:t>, excludes overhead</w:t>
      </w:r>
      <w:r w:rsidR="00790447" w:rsidRPr="00CE2185">
        <w:rPr>
          <w:noProof/>
        </w:rPr>
        <w:t xml:space="preserve"> </w:t>
      </w:r>
      <w:r w:rsidR="004F0554" w:rsidRPr="00CE2185">
        <w:rPr>
          <w:noProof/>
        </w:rPr>
        <w:t>(</w:t>
      </w:r>
      <w:r w:rsidR="00790447" w:rsidRPr="00CE2185">
        <w:rPr>
          <w:i/>
          <w:iCs/>
          <w:noProof/>
        </w:rPr>
        <w:t>see Annex 4</w:t>
      </w:r>
      <w:r w:rsidR="00C60516" w:rsidRPr="00CE2185">
        <w:rPr>
          <w:i/>
          <w:iCs/>
          <w:noProof/>
        </w:rPr>
        <w:t>, section 2</w:t>
      </w:r>
      <w:r w:rsidR="002375B8" w:rsidRPr="00CE2185">
        <w:rPr>
          <w:noProof/>
        </w:rPr>
        <w:t>)</w:t>
      </w:r>
      <w:r w:rsidR="00FB2F28" w:rsidRPr="00CE2185">
        <w:rPr>
          <w:noProof/>
        </w:rPr>
        <w:t>)</w:t>
      </w:r>
      <w:r w:rsidR="00A93AC8" w:rsidRPr="00CE2185">
        <w:rPr>
          <w:noProof/>
        </w:rPr>
        <w:t xml:space="preserve">. </w:t>
      </w:r>
      <w:r w:rsidR="00AF1EAF" w:rsidRPr="00CE2185">
        <w:rPr>
          <w:noProof/>
        </w:rPr>
        <w:t xml:space="preserve">A detailed breakdown of the allocation of FTEs by task </w:t>
      </w:r>
      <w:r w:rsidR="001743D4" w:rsidRPr="00CE2185">
        <w:rPr>
          <w:noProof/>
        </w:rPr>
        <w:t xml:space="preserve">and related costs </w:t>
      </w:r>
      <w:r w:rsidR="009C70D3" w:rsidRPr="00CE2185">
        <w:rPr>
          <w:noProof/>
        </w:rPr>
        <w:t xml:space="preserve">on a yearly basis </w:t>
      </w:r>
      <w:r w:rsidR="00A26B27" w:rsidRPr="00CE2185">
        <w:rPr>
          <w:noProof/>
        </w:rPr>
        <w:t>is</w:t>
      </w:r>
      <w:r w:rsidR="00AF1EAF" w:rsidRPr="00CE2185">
        <w:rPr>
          <w:noProof/>
        </w:rPr>
        <w:t xml:space="preserve"> provided below.</w:t>
      </w:r>
      <w:r w:rsidR="00D7268A" w:rsidRPr="00CE2185">
        <w:rPr>
          <w:noProof/>
        </w:rPr>
        <w:t xml:space="preserve"> </w:t>
      </w:r>
      <w:r w:rsidR="00C344B6" w:rsidRPr="00CE2185">
        <w:rPr>
          <w:noProof/>
        </w:rPr>
        <w:t xml:space="preserve">The salary estimation of an NLO </w:t>
      </w:r>
      <w:r w:rsidR="007E6B9B" w:rsidRPr="00CE2185">
        <w:rPr>
          <w:noProof/>
        </w:rPr>
        <w:t xml:space="preserve">seconded to ENISA </w:t>
      </w:r>
      <w:r w:rsidR="00C344B6" w:rsidRPr="00CE2185">
        <w:rPr>
          <w:noProof/>
        </w:rPr>
        <w:t>(</w:t>
      </w:r>
      <w:r w:rsidR="007E6B9B" w:rsidRPr="00CE2185">
        <w:rPr>
          <w:noProof/>
        </w:rPr>
        <w:t>paid by the Member State) is</w:t>
      </w:r>
      <w:r w:rsidR="00C344B6" w:rsidRPr="00CE2185">
        <w:rPr>
          <w:noProof/>
        </w:rPr>
        <w:t xml:space="preserve"> of 56</w:t>
      </w:r>
      <w:r w:rsidR="0055225C" w:rsidRPr="00CE2185">
        <w:rPr>
          <w:noProof/>
        </w:rPr>
        <w:t xml:space="preserve"> </w:t>
      </w:r>
      <w:r w:rsidR="00C344B6" w:rsidRPr="00CE2185">
        <w:rPr>
          <w:noProof/>
        </w:rPr>
        <w:t>500 EUR (</w:t>
      </w:r>
      <w:r w:rsidR="00C344B6" w:rsidRPr="00CE2185">
        <w:rPr>
          <w:i/>
          <w:iCs/>
          <w:noProof/>
        </w:rPr>
        <w:t>see Annex 4</w:t>
      </w:r>
      <w:r w:rsidR="00C344B6" w:rsidRPr="00CE2185">
        <w:rPr>
          <w:noProof/>
        </w:rPr>
        <w:t xml:space="preserve">, </w:t>
      </w:r>
      <w:r w:rsidR="00C344B6" w:rsidRPr="00CE2185">
        <w:rPr>
          <w:i/>
          <w:iCs/>
          <w:noProof/>
        </w:rPr>
        <w:t>section 4.2</w:t>
      </w:r>
      <w:r w:rsidR="00C344B6" w:rsidRPr="00CE2185">
        <w:rPr>
          <w:noProof/>
        </w:rPr>
        <w:t>)</w:t>
      </w:r>
      <w:r w:rsidR="002163D6" w:rsidRPr="00CE2185">
        <w:rPr>
          <w:rStyle w:val="FootnoteReference"/>
          <w:noProof/>
        </w:rPr>
        <w:footnoteReference w:id="136"/>
      </w:r>
      <w:r w:rsidR="000F60F1" w:rsidRPr="00CE2185">
        <w:rPr>
          <w:noProof/>
        </w:rPr>
        <w:t>.</w:t>
      </w:r>
    </w:p>
    <w:p w14:paraId="30C0B032" w14:textId="03829335" w:rsidR="00F57D9D" w:rsidRPr="00CE2185" w:rsidRDefault="00054432" w:rsidP="00795DF0">
      <w:pPr>
        <w:spacing w:after="120"/>
        <w:rPr>
          <w:noProof/>
        </w:rPr>
      </w:pPr>
      <w:r w:rsidRPr="00CE2185">
        <w:rPr>
          <w:noProof/>
        </w:rPr>
        <w:t xml:space="preserve">To be noted that </w:t>
      </w:r>
      <w:r w:rsidR="008C7B2F" w:rsidRPr="00CE2185">
        <w:rPr>
          <w:noProof/>
        </w:rPr>
        <w:t xml:space="preserve">ENISA’s </w:t>
      </w:r>
      <w:r w:rsidR="00D7268A" w:rsidRPr="00CE2185">
        <w:rPr>
          <w:noProof/>
        </w:rPr>
        <w:t xml:space="preserve">FTEs and </w:t>
      </w:r>
      <w:r w:rsidR="00A8446F">
        <w:rPr>
          <w:noProof/>
        </w:rPr>
        <w:t xml:space="preserve">operational </w:t>
      </w:r>
      <w:r w:rsidR="00D7268A" w:rsidRPr="00CE2185">
        <w:rPr>
          <w:noProof/>
        </w:rPr>
        <w:t xml:space="preserve">costs related to </w:t>
      </w:r>
      <w:r w:rsidR="00900520" w:rsidRPr="00CE2185">
        <w:rPr>
          <w:noProof/>
        </w:rPr>
        <w:t xml:space="preserve">the </w:t>
      </w:r>
      <w:r w:rsidR="00D7268A" w:rsidRPr="00CE2185">
        <w:rPr>
          <w:noProof/>
        </w:rPr>
        <w:t xml:space="preserve">certification are </w:t>
      </w:r>
      <w:r w:rsidR="001E3477" w:rsidRPr="00CE2185">
        <w:rPr>
          <w:noProof/>
        </w:rPr>
        <w:t>listed</w:t>
      </w:r>
      <w:r w:rsidR="00D7268A" w:rsidRPr="00CE2185">
        <w:rPr>
          <w:noProof/>
        </w:rPr>
        <w:t xml:space="preserve"> under Option B.2</w:t>
      </w:r>
      <w:r w:rsidR="00AA4A2D" w:rsidRPr="00CE2185">
        <w:rPr>
          <w:noProof/>
        </w:rPr>
        <w:t xml:space="preserve"> and amount to </w:t>
      </w:r>
      <w:r w:rsidR="666F2CD7" w:rsidRPr="00CE2185">
        <w:rPr>
          <w:noProof/>
        </w:rPr>
        <w:t xml:space="preserve">between </w:t>
      </w:r>
      <w:r w:rsidR="623C4EE6" w:rsidRPr="00CE2185">
        <w:rPr>
          <w:b/>
          <w:bCs/>
          <w:noProof/>
        </w:rPr>
        <w:t>8</w:t>
      </w:r>
      <w:r w:rsidR="65D176B1" w:rsidRPr="00CE2185">
        <w:rPr>
          <w:b/>
          <w:bCs/>
          <w:noProof/>
        </w:rPr>
        <w:t xml:space="preserve"> </w:t>
      </w:r>
      <w:r w:rsidR="623C4EE6" w:rsidRPr="00CE2185">
        <w:rPr>
          <w:b/>
          <w:bCs/>
          <w:noProof/>
        </w:rPr>
        <w:t xml:space="preserve">(in 2028) </w:t>
      </w:r>
      <w:r w:rsidR="0A3A5012" w:rsidRPr="00CE2185">
        <w:rPr>
          <w:b/>
          <w:bCs/>
          <w:noProof/>
        </w:rPr>
        <w:t>and</w:t>
      </w:r>
      <w:r w:rsidR="623C4EE6" w:rsidRPr="00CE2185">
        <w:rPr>
          <w:b/>
          <w:bCs/>
          <w:noProof/>
        </w:rPr>
        <w:t xml:space="preserve"> </w:t>
      </w:r>
      <w:r w:rsidR="5C2E9D94" w:rsidRPr="00CE2185">
        <w:rPr>
          <w:b/>
          <w:bCs/>
          <w:noProof/>
        </w:rPr>
        <w:t>14</w:t>
      </w:r>
      <w:r w:rsidR="042D5909" w:rsidRPr="00CE2185">
        <w:rPr>
          <w:b/>
          <w:bCs/>
          <w:noProof/>
        </w:rPr>
        <w:t xml:space="preserve"> FTEs</w:t>
      </w:r>
      <w:r w:rsidR="5C2E9D94" w:rsidRPr="00CE2185">
        <w:rPr>
          <w:noProof/>
        </w:rPr>
        <w:t xml:space="preserve"> </w:t>
      </w:r>
      <w:r w:rsidR="22E30809" w:rsidRPr="00CE2185">
        <w:rPr>
          <w:noProof/>
        </w:rPr>
        <w:t>(</w:t>
      </w:r>
      <w:r w:rsidR="1BE85635" w:rsidRPr="00CE2185">
        <w:rPr>
          <w:noProof/>
        </w:rPr>
        <w:t>from</w:t>
      </w:r>
      <w:r w:rsidR="22E30809" w:rsidRPr="00CE2185">
        <w:rPr>
          <w:noProof/>
        </w:rPr>
        <w:t xml:space="preserve"> 203</w:t>
      </w:r>
      <w:r w:rsidR="21D7905F" w:rsidRPr="00CE2185">
        <w:rPr>
          <w:noProof/>
        </w:rPr>
        <w:t>0</w:t>
      </w:r>
      <w:r w:rsidR="701FF728" w:rsidRPr="00CE2185">
        <w:rPr>
          <w:noProof/>
        </w:rPr>
        <w:t xml:space="preserve"> onwards</w:t>
      </w:r>
      <w:r w:rsidR="22E30809" w:rsidRPr="00CE2185">
        <w:rPr>
          <w:noProof/>
        </w:rPr>
        <w:t>)</w:t>
      </w:r>
      <w:r w:rsidR="0098348F" w:rsidRPr="00CE2185">
        <w:rPr>
          <w:noProof/>
        </w:rPr>
        <w:t>.</w:t>
      </w:r>
      <w:r w:rsidR="00EC313D" w:rsidRPr="00CE2185">
        <w:rPr>
          <w:noProof/>
        </w:rPr>
        <w:t xml:space="preserve"> </w:t>
      </w:r>
      <w:r w:rsidR="00871D8E" w:rsidRPr="00CE2185">
        <w:rPr>
          <w:noProof/>
        </w:rPr>
        <w:t>These costs are not counted under Option A</w:t>
      </w:r>
      <w:r w:rsidR="0098348F" w:rsidRPr="00CE2185">
        <w:rPr>
          <w:noProof/>
        </w:rPr>
        <w:t>.</w:t>
      </w:r>
      <w:r w:rsidR="001F39FD" w:rsidRPr="00CE2185">
        <w:rPr>
          <w:noProof/>
        </w:rPr>
        <w:t>2., only under Option B.2., thus the</w:t>
      </w:r>
      <w:r w:rsidR="00571A71" w:rsidRPr="00CE2185">
        <w:rPr>
          <w:noProof/>
        </w:rPr>
        <w:t xml:space="preserve"> costs under the two options</w:t>
      </w:r>
      <w:r w:rsidR="001F39FD" w:rsidRPr="00CE2185">
        <w:rPr>
          <w:noProof/>
        </w:rPr>
        <w:t xml:space="preserve"> are mutually exclusive</w:t>
      </w:r>
      <w:r w:rsidR="0098348F" w:rsidRPr="00CE2185">
        <w:rPr>
          <w:noProof/>
        </w:rPr>
        <w:t>.</w:t>
      </w:r>
      <w:r w:rsidR="00EC313D" w:rsidRPr="00CE2185">
        <w:rPr>
          <w:noProof/>
        </w:rPr>
        <w:t xml:space="preserve"> </w:t>
      </w:r>
      <w:r w:rsidR="004E06D1" w:rsidRPr="00CE2185">
        <w:rPr>
          <w:noProof/>
        </w:rPr>
        <w:t xml:space="preserve">This means that </w:t>
      </w:r>
      <w:r w:rsidR="004E06D1" w:rsidRPr="00CE2185">
        <w:rPr>
          <w:b/>
          <w:bCs/>
          <w:noProof/>
        </w:rPr>
        <w:t>ENISA’s</w:t>
      </w:r>
      <w:r w:rsidR="00764E2E" w:rsidRPr="00CE2185">
        <w:rPr>
          <w:b/>
          <w:bCs/>
          <w:noProof/>
        </w:rPr>
        <w:t xml:space="preserve"> total</w:t>
      </w:r>
      <w:r w:rsidR="004E06D1" w:rsidRPr="00CE2185">
        <w:rPr>
          <w:b/>
          <w:bCs/>
          <w:noProof/>
        </w:rPr>
        <w:t xml:space="preserve"> number of </w:t>
      </w:r>
      <w:r w:rsidR="00194452" w:rsidRPr="00CE2185">
        <w:rPr>
          <w:b/>
          <w:bCs/>
          <w:noProof/>
        </w:rPr>
        <w:t>employees</w:t>
      </w:r>
      <w:r w:rsidR="004E06D1" w:rsidRPr="00CE2185">
        <w:rPr>
          <w:noProof/>
        </w:rPr>
        <w:t xml:space="preserve"> would be increased from </w:t>
      </w:r>
      <w:r w:rsidR="00A51976" w:rsidRPr="00CE2185">
        <w:rPr>
          <w:noProof/>
        </w:rPr>
        <w:t xml:space="preserve">the </w:t>
      </w:r>
      <w:r w:rsidR="004E06D1" w:rsidRPr="00CE2185">
        <w:rPr>
          <w:b/>
          <w:bCs/>
          <w:noProof/>
        </w:rPr>
        <w:t>132</w:t>
      </w:r>
      <w:r w:rsidR="00A51976" w:rsidRPr="00CE2185">
        <w:rPr>
          <w:b/>
          <w:bCs/>
          <w:noProof/>
        </w:rPr>
        <w:t xml:space="preserve"> in 2024</w:t>
      </w:r>
      <w:r w:rsidR="004E06D1" w:rsidRPr="00CE2185">
        <w:rPr>
          <w:b/>
          <w:bCs/>
          <w:noProof/>
        </w:rPr>
        <w:t xml:space="preserve"> to 2</w:t>
      </w:r>
      <w:r w:rsidR="00E90795" w:rsidRPr="00CE2185">
        <w:rPr>
          <w:b/>
          <w:bCs/>
          <w:noProof/>
        </w:rPr>
        <w:t>8</w:t>
      </w:r>
      <w:r w:rsidR="00194452" w:rsidRPr="00CE2185">
        <w:rPr>
          <w:b/>
          <w:bCs/>
          <w:noProof/>
        </w:rPr>
        <w:t>8</w:t>
      </w:r>
      <w:r w:rsidR="00A51976" w:rsidRPr="00CE2185">
        <w:rPr>
          <w:b/>
          <w:bCs/>
          <w:noProof/>
        </w:rPr>
        <w:t xml:space="preserve"> by 2030</w:t>
      </w:r>
      <w:r w:rsidR="004E06D1" w:rsidRPr="00CE2185">
        <w:rPr>
          <w:noProof/>
        </w:rPr>
        <w:t xml:space="preserve"> (considering the</w:t>
      </w:r>
      <w:r w:rsidR="00194452" w:rsidRPr="00CE2185">
        <w:rPr>
          <w:noProof/>
        </w:rPr>
        <w:t xml:space="preserve"> </w:t>
      </w:r>
      <w:r w:rsidR="001623A1" w:rsidRPr="00CE2185">
        <w:rPr>
          <w:noProof/>
        </w:rPr>
        <w:t>40</w:t>
      </w:r>
      <w:r w:rsidR="00194452" w:rsidRPr="00CE2185">
        <w:rPr>
          <w:noProof/>
        </w:rPr>
        <w:t xml:space="preserve"> NLOs and the</w:t>
      </w:r>
      <w:r w:rsidR="004E06D1" w:rsidRPr="00CE2185">
        <w:rPr>
          <w:noProof/>
        </w:rPr>
        <w:t xml:space="preserve"> </w:t>
      </w:r>
      <w:r w:rsidR="001623A1" w:rsidRPr="00CE2185">
        <w:rPr>
          <w:noProof/>
        </w:rPr>
        <w:t xml:space="preserve">14 </w:t>
      </w:r>
      <w:r w:rsidR="004E06D1" w:rsidRPr="00CE2185">
        <w:rPr>
          <w:noProof/>
        </w:rPr>
        <w:t>FTEs under Option B.2. as wel</w:t>
      </w:r>
      <w:r w:rsidR="00A8446F">
        <w:rPr>
          <w:noProof/>
        </w:rPr>
        <w:t>l</w:t>
      </w:r>
      <w:r w:rsidR="00A8446F" w:rsidRPr="00A8446F">
        <w:rPr>
          <w:noProof/>
        </w:rPr>
        <w:t xml:space="preserve"> as 102 FTEs under option A.2</w:t>
      </w:r>
      <w:r w:rsidR="00A62131" w:rsidRPr="00CE2185">
        <w:rPr>
          <w:noProof/>
        </w:rPr>
        <w:t xml:space="preserve">, i.e. </w:t>
      </w:r>
      <w:r w:rsidR="00A62131" w:rsidRPr="00CE2185">
        <w:rPr>
          <w:b/>
          <w:bCs/>
          <w:noProof/>
        </w:rPr>
        <w:t>1</w:t>
      </w:r>
      <w:r w:rsidR="001623A1" w:rsidRPr="00CE2185">
        <w:rPr>
          <w:b/>
          <w:bCs/>
          <w:noProof/>
        </w:rPr>
        <w:t>5</w:t>
      </w:r>
      <w:r w:rsidR="00A62131" w:rsidRPr="00CE2185">
        <w:rPr>
          <w:b/>
          <w:bCs/>
          <w:noProof/>
        </w:rPr>
        <w:t>6 additional</w:t>
      </w:r>
      <w:r w:rsidR="00A62131" w:rsidRPr="00CE2185">
        <w:rPr>
          <w:noProof/>
        </w:rPr>
        <w:t xml:space="preserve"> </w:t>
      </w:r>
      <w:r w:rsidR="00A62131" w:rsidRPr="00CE2185">
        <w:rPr>
          <w:b/>
          <w:bCs/>
          <w:noProof/>
        </w:rPr>
        <w:t>employees</w:t>
      </w:r>
      <w:r w:rsidR="004E06D1" w:rsidRPr="00CE2185">
        <w:rPr>
          <w:noProof/>
        </w:rPr>
        <w:t>)</w:t>
      </w:r>
      <w:r w:rsidR="000F0F06" w:rsidRPr="00CE2185">
        <w:rPr>
          <w:noProof/>
        </w:rPr>
        <w:t xml:space="preserve"> – </w:t>
      </w:r>
      <w:r w:rsidR="000F0F06" w:rsidRPr="00CE2185">
        <w:rPr>
          <w:b/>
          <w:bCs/>
          <w:noProof/>
        </w:rPr>
        <w:t xml:space="preserve">an increase of </w:t>
      </w:r>
      <w:r w:rsidR="00EB74E4" w:rsidRPr="00CE2185">
        <w:rPr>
          <w:b/>
          <w:bCs/>
          <w:noProof/>
        </w:rPr>
        <w:t>118</w:t>
      </w:r>
      <w:r w:rsidR="00985201" w:rsidRPr="00CE2185">
        <w:rPr>
          <w:b/>
          <w:bCs/>
          <w:noProof/>
        </w:rPr>
        <w:t>%</w:t>
      </w:r>
      <w:r w:rsidR="00094F98" w:rsidRPr="00CE2185">
        <w:rPr>
          <w:b/>
          <w:bCs/>
          <w:noProof/>
        </w:rPr>
        <w:t xml:space="preserve"> compared to the baseline</w:t>
      </w:r>
      <w:r w:rsidR="004E06D1" w:rsidRPr="00CE2185">
        <w:rPr>
          <w:b/>
          <w:bCs/>
          <w:noProof/>
        </w:rPr>
        <w:t>.</w:t>
      </w:r>
      <w:r w:rsidR="00825F76" w:rsidRPr="00CE2185">
        <w:rPr>
          <w:b/>
          <w:bCs/>
          <w:noProof/>
        </w:rPr>
        <w:t xml:space="preserve"> </w:t>
      </w:r>
      <w:r w:rsidR="00825F76" w:rsidRPr="00CE2185">
        <w:rPr>
          <w:noProof/>
        </w:rPr>
        <w:t>The total additional budget for</w:t>
      </w:r>
      <w:r w:rsidR="00977F04" w:rsidRPr="00CE2185">
        <w:rPr>
          <w:noProof/>
        </w:rPr>
        <w:t xml:space="preserve"> ENISA under</w:t>
      </w:r>
      <w:r w:rsidR="00825F76" w:rsidRPr="00CE2185">
        <w:rPr>
          <w:noProof/>
        </w:rPr>
        <w:t xml:space="preserve"> Option A</w:t>
      </w:r>
      <w:r w:rsidR="00977F04" w:rsidRPr="00CE2185">
        <w:rPr>
          <w:noProof/>
        </w:rPr>
        <w:t>.</w:t>
      </w:r>
      <w:r w:rsidR="00825F76" w:rsidRPr="00CE2185">
        <w:rPr>
          <w:noProof/>
        </w:rPr>
        <w:t xml:space="preserve">2 and </w:t>
      </w:r>
      <w:r w:rsidR="00977F04" w:rsidRPr="00CE2185">
        <w:rPr>
          <w:noProof/>
        </w:rPr>
        <w:t xml:space="preserve">Option </w:t>
      </w:r>
      <w:r w:rsidR="00825F76" w:rsidRPr="00CE2185">
        <w:rPr>
          <w:noProof/>
        </w:rPr>
        <w:t>B</w:t>
      </w:r>
      <w:r w:rsidR="00977F04" w:rsidRPr="00CE2185">
        <w:rPr>
          <w:noProof/>
        </w:rPr>
        <w:t>.</w:t>
      </w:r>
      <w:r w:rsidR="00825F76" w:rsidRPr="00CE2185">
        <w:rPr>
          <w:noProof/>
        </w:rPr>
        <w:t xml:space="preserve">2 </w:t>
      </w:r>
      <w:r w:rsidR="004B6002" w:rsidRPr="00CE2185">
        <w:rPr>
          <w:noProof/>
        </w:rPr>
        <w:t>amounts to</w:t>
      </w:r>
      <w:r w:rsidR="00825F76" w:rsidRPr="00CE2185">
        <w:rPr>
          <w:noProof/>
        </w:rPr>
        <w:t xml:space="preserve"> EUR 161.3 M.</w:t>
      </w:r>
    </w:p>
    <w:p w14:paraId="0E0CD8D5" w14:textId="02BEF461" w:rsidR="00EE61E6" w:rsidRPr="00CE2185" w:rsidRDefault="00B02579" w:rsidP="00795DF0">
      <w:pPr>
        <w:spacing w:after="120"/>
        <w:rPr>
          <w:b/>
          <w:bCs/>
          <w:noProof/>
        </w:rPr>
      </w:pPr>
      <w:r w:rsidRPr="00CE2185">
        <w:rPr>
          <w:noProof/>
        </w:rPr>
        <w:t xml:space="preserve">The </w:t>
      </w:r>
      <w:r w:rsidR="003F1A1B" w:rsidRPr="00CE2185">
        <w:rPr>
          <w:noProof/>
        </w:rPr>
        <w:t xml:space="preserve">detailed breakdown of this </w:t>
      </w:r>
      <w:r w:rsidRPr="00CE2185">
        <w:rPr>
          <w:noProof/>
        </w:rPr>
        <w:t xml:space="preserve">additional budget of EUR </w:t>
      </w:r>
      <w:r w:rsidR="00D67DC9" w:rsidRPr="00CE2185">
        <w:rPr>
          <w:noProof/>
        </w:rPr>
        <w:t>1</w:t>
      </w:r>
      <w:r w:rsidR="00355263" w:rsidRPr="00CE2185">
        <w:rPr>
          <w:noProof/>
        </w:rPr>
        <w:t>48.12</w:t>
      </w:r>
      <w:r w:rsidRPr="00CE2185">
        <w:rPr>
          <w:noProof/>
        </w:rPr>
        <w:t xml:space="preserve"> million </w:t>
      </w:r>
      <w:r w:rsidR="00446767" w:rsidRPr="00CE2185">
        <w:rPr>
          <w:noProof/>
        </w:rPr>
        <w:t xml:space="preserve">for Option A.2 </w:t>
      </w:r>
      <w:r w:rsidRPr="00CE2185">
        <w:rPr>
          <w:noProof/>
        </w:rPr>
        <w:t xml:space="preserve">is </w:t>
      </w:r>
      <w:r w:rsidR="00446767" w:rsidRPr="00CE2185">
        <w:rPr>
          <w:noProof/>
        </w:rPr>
        <w:t>provided</w:t>
      </w:r>
      <w:r w:rsidRPr="00CE2185">
        <w:rPr>
          <w:noProof/>
        </w:rPr>
        <w:t xml:space="preserve"> below</w:t>
      </w:r>
      <w:r w:rsidR="003E43A7" w:rsidRPr="00CE2185">
        <w:rPr>
          <w:noProof/>
        </w:rPr>
        <w:t>.</w:t>
      </w:r>
    </w:p>
    <w:p w14:paraId="672D3D7C" w14:textId="30DA8B70" w:rsidR="00ED53F8" w:rsidRPr="00CE2185" w:rsidRDefault="004119B3" w:rsidP="00EE3DF9">
      <w:pPr>
        <w:numPr>
          <w:ilvl w:val="0"/>
          <w:numId w:val="8"/>
        </w:numPr>
        <w:spacing w:after="120"/>
        <w:ind w:left="357" w:hanging="357"/>
        <w:rPr>
          <w:noProof/>
        </w:rPr>
      </w:pPr>
      <w:r w:rsidRPr="00CE2185">
        <w:rPr>
          <w:noProof/>
        </w:rPr>
        <w:t>Firstly</w:t>
      </w:r>
      <w:r w:rsidR="00F57D9D" w:rsidRPr="00CE2185">
        <w:rPr>
          <w:noProof/>
        </w:rPr>
        <w:t xml:space="preserve">, the administration and operation of the </w:t>
      </w:r>
      <w:r w:rsidR="00F57D9D" w:rsidRPr="00CE2185">
        <w:rPr>
          <w:b/>
          <w:bCs/>
          <w:noProof/>
        </w:rPr>
        <w:t>EU Cybersecurity Reserve</w:t>
      </w:r>
      <w:r w:rsidR="00F57D9D" w:rsidRPr="00CE2185">
        <w:rPr>
          <w:noProof/>
        </w:rPr>
        <w:t xml:space="preserve"> require around </w:t>
      </w:r>
      <w:r w:rsidR="00F57D9D" w:rsidRPr="00CE2185">
        <w:rPr>
          <w:b/>
          <w:noProof/>
        </w:rPr>
        <w:t>10 FTEs</w:t>
      </w:r>
      <w:r w:rsidR="00F57D9D" w:rsidRPr="00CE2185">
        <w:rPr>
          <w:rFonts w:eastAsiaTheme="minorEastAsia"/>
          <w:noProof/>
          <w:vertAlign w:val="superscript"/>
        </w:rPr>
        <w:footnoteReference w:id="137"/>
      </w:r>
      <w:r w:rsidR="162D8D15" w:rsidRPr="00CE2185">
        <w:rPr>
          <w:noProof/>
        </w:rPr>
        <w:t xml:space="preserve">, resulting in a total </w:t>
      </w:r>
      <w:r w:rsidR="00526D7F" w:rsidRPr="00CE2185">
        <w:rPr>
          <w:noProof/>
        </w:rPr>
        <w:t xml:space="preserve">recurring </w:t>
      </w:r>
      <w:r w:rsidR="162D8D15" w:rsidRPr="00CE2185">
        <w:rPr>
          <w:noProof/>
        </w:rPr>
        <w:t xml:space="preserve">cost of </w:t>
      </w:r>
      <w:r w:rsidR="162D8D15" w:rsidRPr="00CE2185">
        <w:rPr>
          <w:b/>
          <w:noProof/>
        </w:rPr>
        <w:t>EUR 1</w:t>
      </w:r>
      <w:r w:rsidR="00FC0982" w:rsidRPr="00CE2185">
        <w:rPr>
          <w:b/>
          <w:noProof/>
        </w:rPr>
        <w:t> </w:t>
      </w:r>
      <w:r w:rsidR="00435879" w:rsidRPr="00CE2185">
        <w:rPr>
          <w:b/>
          <w:noProof/>
        </w:rPr>
        <w:t>282</w:t>
      </w:r>
      <w:r w:rsidR="00FC0982" w:rsidRPr="00CE2185">
        <w:rPr>
          <w:b/>
          <w:noProof/>
        </w:rPr>
        <w:t> </w:t>
      </w:r>
      <w:r w:rsidR="00435879" w:rsidRPr="00CE2185">
        <w:rPr>
          <w:b/>
          <w:noProof/>
        </w:rPr>
        <w:t>770</w:t>
      </w:r>
      <w:r w:rsidR="162D8D15" w:rsidRPr="00CE2185">
        <w:rPr>
          <w:noProof/>
        </w:rPr>
        <w:t xml:space="preserve"> per year</w:t>
      </w:r>
      <w:r w:rsidR="00355263" w:rsidRPr="00CE2185">
        <w:rPr>
          <w:noProof/>
        </w:rPr>
        <w:t xml:space="preserve"> (i.e. EUR</w:t>
      </w:r>
      <w:r w:rsidR="003C1490" w:rsidRPr="00CE2185">
        <w:rPr>
          <w:noProof/>
        </w:rPr>
        <w:t> 6.4M over 5 years)</w:t>
      </w:r>
      <w:r w:rsidR="003947D6" w:rsidRPr="00CE2185">
        <w:rPr>
          <w:noProof/>
        </w:rPr>
        <w:t>; to</w:t>
      </w:r>
      <w:r w:rsidR="00F57D9D" w:rsidRPr="00CE2185">
        <w:rPr>
          <w:noProof/>
        </w:rPr>
        <w:t xml:space="preserve"> be complemented by procured services from trusted managed security service providers</w:t>
      </w:r>
      <w:r w:rsidR="00F57D9D" w:rsidRPr="00CE2185">
        <w:rPr>
          <w:rFonts w:eastAsiaTheme="minorEastAsia"/>
          <w:noProof/>
          <w:vertAlign w:val="superscript"/>
        </w:rPr>
        <w:footnoteReference w:id="138"/>
      </w:r>
      <w:r w:rsidR="00F57D9D" w:rsidRPr="00CE2185">
        <w:rPr>
          <w:noProof/>
        </w:rPr>
        <w:t xml:space="preserve">. </w:t>
      </w:r>
    </w:p>
    <w:p w14:paraId="33EDCC49" w14:textId="65068DAD" w:rsidR="00F57D9D" w:rsidRPr="00CE2185" w:rsidRDefault="00A40086" w:rsidP="00EE3DF9">
      <w:pPr>
        <w:numPr>
          <w:ilvl w:val="0"/>
          <w:numId w:val="8"/>
        </w:numPr>
        <w:spacing w:after="120"/>
        <w:ind w:left="357" w:hanging="357"/>
        <w:rPr>
          <w:noProof/>
        </w:rPr>
      </w:pPr>
      <w:r w:rsidRPr="00CE2185">
        <w:rPr>
          <w:noProof/>
        </w:rPr>
        <w:t>Secondly</w:t>
      </w:r>
      <w:r w:rsidR="00F57D9D" w:rsidRPr="00CE2185">
        <w:rPr>
          <w:noProof/>
        </w:rPr>
        <w:t xml:space="preserve">, </w:t>
      </w:r>
      <w:r w:rsidR="0F7DFF8C" w:rsidRPr="00CE2185">
        <w:rPr>
          <w:noProof/>
        </w:rPr>
        <w:t xml:space="preserve">the work </w:t>
      </w:r>
      <w:r w:rsidR="00510467" w:rsidRPr="00CE2185">
        <w:rPr>
          <w:noProof/>
        </w:rPr>
        <w:t>on the</w:t>
      </w:r>
      <w:r w:rsidR="0F7DFF8C" w:rsidRPr="00CE2185">
        <w:rPr>
          <w:noProof/>
        </w:rPr>
        <w:t xml:space="preserve"> </w:t>
      </w:r>
      <w:r w:rsidR="0F7DFF8C" w:rsidRPr="00CE2185">
        <w:rPr>
          <w:b/>
          <w:noProof/>
        </w:rPr>
        <w:t>E</w:t>
      </w:r>
      <w:r w:rsidR="00A02149" w:rsidRPr="00CE2185">
        <w:rPr>
          <w:b/>
          <w:noProof/>
        </w:rPr>
        <w:t>u</w:t>
      </w:r>
      <w:r w:rsidR="0F7DFF8C" w:rsidRPr="00CE2185">
        <w:rPr>
          <w:b/>
          <w:noProof/>
        </w:rPr>
        <w:t xml:space="preserve">ropean </w:t>
      </w:r>
      <w:r w:rsidR="00510467" w:rsidRPr="00CE2185">
        <w:rPr>
          <w:b/>
          <w:noProof/>
        </w:rPr>
        <w:t>vulnerability</w:t>
      </w:r>
      <w:r w:rsidR="0F7DFF8C" w:rsidRPr="00CE2185">
        <w:rPr>
          <w:b/>
          <w:noProof/>
        </w:rPr>
        <w:t xml:space="preserve"> </w:t>
      </w:r>
      <w:r w:rsidR="00510467" w:rsidRPr="00CE2185">
        <w:rPr>
          <w:b/>
          <w:noProof/>
        </w:rPr>
        <w:t>database</w:t>
      </w:r>
      <w:r w:rsidR="00510467" w:rsidRPr="00CE2185">
        <w:rPr>
          <w:noProof/>
        </w:rPr>
        <w:t xml:space="preserve"> and relating actions stemming for this including involvement and representation at global level, enrichment of the database, etc</w:t>
      </w:r>
      <w:r w:rsidR="00F57D9D" w:rsidRPr="00CE2185">
        <w:rPr>
          <w:noProof/>
        </w:rPr>
        <w:t xml:space="preserve">. </w:t>
      </w:r>
      <w:r w:rsidR="00432EE2" w:rsidRPr="00CE2185">
        <w:rPr>
          <w:noProof/>
        </w:rPr>
        <w:t>For this action</w:t>
      </w:r>
      <w:r w:rsidR="00042B2A" w:rsidRPr="00CE2185">
        <w:rPr>
          <w:noProof/>
        </w:rPr>
        <w:t xml:space="preserve"> (</w:t>
      </w:r>
      <w:r w:rsidR="00A8446F">
        <w:rPr>
          <w:noProof/>
        </w:rPr>
        <w:t xml:space="preserve">further </w:t>
      </w:r>
      <w:r w:rsidR="00042B2A" w:rsidRPr="00CE2185">
        <w:rPr>
          <w:noProof/>
        </w:rPr>
        <w:t xml:space="preserve">details </w:t>
      </w:r>
      <w:r w:rsidR="00042B2A" w:rsidRPr="00CE2185">
        <w:rPr>
          <w:i/>
          <w:iCs/>
          <w:noProof/>
        </w:rPr>
        <w:t>section 5.2</w:t>
      </w:r>
      <w:r w:rsidR="00042B2A" w:rsidRPr="00CE2185">
        <w:rPr>
          <w:noProof/>
        </w:rPr>
        <w:t>)</w:t>
      </w:r>
      <w:r w:rsidR="00F57D9D" w:rsidRPr="00CE2185">
        <w:rPr>
          <w:noProof/>
        </w:rPr>
        <w:t xml:space="preserve">, ENISA would require </w:t>
      </w:r>
      <w:r w:rsidR="00A35BCC" w:rsidRPr="00CE2185">
        <w:rPr>
          <w:noProof/>
        </w:rPr>
        <w:t>15</w:t>
      </w:r>
      <w:r w:rsidR="00DF71D7" w:rsidRPr="00CE2185">
        <w:rPr>
          <w:noProof/>
        </w:rPr>
        <w:t xml:space="preserve"> </w:t>
      </w:r>
      <w:r w:rsidR="00F57D9D" w:rsidRPr="00CE2185">
        <w:rPr>
          <w:b/>
          <w:noProof/>
        </w:rPr>
        <w:t>additional FTEs</w:t>
      </w:r>
      <w:r w:rsidR="6B79EAA7" w:rsidRPr="00CE2185">
        <w:rPr>
          <w:noProof/>
        </w:rPr>
        <w:t xml:space="preserve">, which </w:t>
      </w:r>
      <w:r w:rsidR="003E09D1" w:rsidRPr="00CE2185">
        <w:rPr>
          <w:noProof/>
        </w:rPr>
        <w:t xml:space="preserve">results </w:t>
      </w:r>
      <w:r w:rsidR="00F57D9D" w:rsidRPr="00CE2185">
        <w:rPr>
          <w:noProof/>
        </w:rPr>
        <w:t xml:space="preserve">in a total </w:t>
      </w:r>
      <w:r w:rsidR="00526D7F" w:rsidRPr="00CE2185">
        <w:rPr>
          <w:noProof/>
        </w:rPr>
        <w:t>recurring</w:t>
      </w:r>
      <w:r w:rsidR="00F57D9D" w:rsidRPr="00CE2185">
        <w:rPr>
          <w:noProof/>
        </w:rPr>
        <w:t xml:space="preserve"> cost of approximately EUR </w:t>
      </w:r>
      <w:r w:rsidR="004119B3" w:rsidRPr="00CE2185">
        <w:rPr>
          <w:noProof/>
        </w:rPr>
        <w:t>1</w:t>
      </w:r>
      <w:r w:rsidR="00E27BA6" w:rsidRPr="00CE2185">
        <w:rPr>
          <w:noProof/>
        </w:rPr>
        <w:t> 924 155</w:t>
      </w:r>
      <w:r w:rsidR="00F57D9D" w:rsidRPr="00CE2185">
        <w:rPr>
          <w:noProof/>
        </w:rPr>
        <w:t xml:space="preserve"> </w:t>
      </w:r>
      <w:r w:rsidR="00F57D9D" w:rsidRPr="00CE2185">
        <w:rPr>
          <w:b/>
          <w:noProof/>
        </w:rPr>
        <w:t>per year</w:t>
      </w:r>
      <w:r w:rsidR="309D1F2C" w:rsidRPr="00CE2185">
        <w:rPr>
          <w:b/>
          <w:noProof/>
        </w:rPr>
        <w:t xml:space="preserve"> </w:t>
      </w:r>
      <w:r w:rsidR="003D41C7" w:rsidRPr="00CE2185">
        <w:rPr>
          <w:b/>
          <w:bCs/>
          <w:noProof/>
        </w:rPr>
        <w:t xml:space="preserve">(i.e. </w:t>
      </w:r>
      <w:r w:rsidR="00EB3476" w:rsidRPr="00CE2185">
        <w:rPr>
          <w:b/>
          <w:bCs/>
          <w:noProof/>
        </w:rPr>
        <w:t>9.62M</w:t>
      </w:r>
      <w:r w:rsidR="007F3954" w:rsidRPr="00CE2185">
        <w:rPr>
          <w:b/>
          <w:bCs/>
          <w:noProof/>
        </w:rPr>
        <w:t xml:space="preserve"> over 5 years)</w:t>
      </w:r>
      <w:r w:rsidR="309D1F2C" w:rsidRPr="00CE2185">
        <w:rPr>
          <w:noProof/>
        </w:rPr>
        <w:t xml:space="preserve"> and </w:t>
      </w:r>
      <w:r w:rsidR="44321F16" w:rsidRPr="00CE2185">
        <w:rPr>
          <w:b/>
          <w:noProof/>
        </w:rPr>
        <w:t>EUR</w:t>
      </w:r>
      <w:r w:rsidR="00942D76" w:rsidRPr="00CE2185">
        <w:rPr>
          <w:b/>
          <w:bCs/>
          <w:noProof/>
        </w:rPr>
        <w:t> </w:t>
      </w:r>
      <w:r w:rsidR="309D1F2C" w:rsidRPr="00CE2185">
        <w:rPr>
          <w:b/>
          <w:noProof/>
        </w:rPr>
        <w:t>1</w:t>
      </w:r>
      <w:r w:rsidR="00C02CA4" w:rsidRPr="00CE2185">
        <w:rPr>
          <w:b/>
          <w:noProof/>
        </w:rPr>
        <w:t>M</w:t>
      </w:r>
      <w:r w:rsidR="309D1F2C" w:rsidRPr="00CE2185">
        <w:rPr>
          <w:noProof/>
        </w:rPr>
        <w:t xml:space="preserve"> </w:t>
      </w:r>
      <w:r w:rsidR="101AFF15" w:rsidRPr="00CE2185">
        <w:rPr>
          <w:noProof/>
        </w:rPr>
        <w:t>recur</w:t>
      </w:r>
      <w:r w:rsidR="003C1490" w:rsidRPr="00CE2185">
        <w:rPr>
          <w:noProof/>
        </w:rPr>
        <w:t>ring</w:t>
      </w:r>
      <w:r w:rsidR="309D1F2C" w:rsidRPr="00CE2185">
        <w:rPr>
          <w:noProof/>
        </w:rPr>
        <w:t xml:space="preserve"> costs</w:t>
      </w:r>
      <w:r w:rsidR="228C9CCD" w:rsidRPr="00CE2185">
        <w:rPr>
          <w:noProof/>
        </w:rPr>
        <w:t xml:space="preserve"> </w:t>
      </w:r>
      <w:r w:rsidR="007F3954" w:rsidRPr="00CE2185">
        <w:rPr>
          <w:noProof/>
        </w:rPr>
        <w:t>for</w:t>
      </w:r>
      <w:r w:rsidR="228C9CCD" w:rsidRPr="00CE2185">
        <w:rPr>
          <w:noProof/>
        </w:rPr>
        <w:t xml:space="preserve"> setting up and operating the </w:t>
      </w:r>
      <w:r w:rsidR="7C4D0C1B" w:rsidRPr="00CE2185">
        <w:rPr>
          <w:noProof/>
        </w:rPr>
        <w:t>database</w:t>
      </w:r>
      <w:r w:rsidR="00C02CA4" w:rsidRPr="00CE2185">
        <w:rPr>
          <w:noProof/>
        </w:rPr>
        <w:t xml:space="preserve"> </w:t>
      </w:r>
      <w:r w:rsidR="007F3954" w:rsidRPr="00CE2185">
        <w:rPr>
          <w:noProof/>
        </w:rPr>
        <w:t>(</w:t>
      </w:r>
      <w:r w:rsidR="00C02CA4" w:rsidRPr="00CE2185">
        <w:rPr>
          <w:noProof/>
        </w:rPr>
        <w:t xml:space="preserve">totalling </w:t>
      </w:r>
      <w:r w:rsidR="00C02CA4" w:rsidRPr="00CE2185">
        <w:rPr>
          <w:b/>
          <w:noProof/>
        </w:rPr>
        <w:t>EUR 5M</w:t>
      </w:r>
      <w:r w:rsidR="00C02CA4" w:rsidRPr="00CE2185">
        <w:rPr>
          <w:noProof/>
        </w:rPr>
        <w:t xml:space="preserve"> over </w:t>
      </w:r>
      <w:r w:rsidR="007F3954" w:rsidRPr="00CE2185">
        <w:rPr>
          <w:noProof/>
        </w:rPr>
        <w:t>5</w:t>
      </w:r>
      <w:r w:rsidR="00C02CA4" w:rsidRPr="00CE2185">
        <w:rPr>
          <w:noProof/>
        </w:rPr>
        <w:t xml:space="preserve"> years</w:t>
      </w:r>
      <w:r w:rsidR="007F3954" w:rsidRPr="00CE2185">
        <w:rPr>
          <w:noProof/>
        </w:rPr>
        <w:t>)</w:t>
      </w:r>
      <w:r w:rsidR="7C4D0C1B" w:rsidRPr="00CE2185">
        <w:rPr>
          <w:noProof/>
        </w:rPr>
        <w:t>.</w:t>
      </w:r>
      <w:r w:rsidR="00F57D9D" w:rsidRPr="00CE2185">
        <w:rPr>
          <w:noProof/>
        </w:rPr>
        <w:t xml:space="preserve"> </w:t>
      </w:r>
    </w:p>
    <w:p w14:paraId="2007977A" w14:textId="03A5B115" w:rsidR="002B588A" w:rsidRPr="00CE2185" w:rsidRDefault="00A40086" w:rsidP="00EE3DF9">
      <w:pPr>
        <w:numPr>
          <w:ilvl w:val="0"/>
          <w:numId w:val="8"/>
        </w:numPr>
        <w:spacing w:after="120"/>
        <w:ind w:left="357" w:hanging="357"/>
        <w:rPr>
          <w:noProof/>
        </w:rPr>
      </w:pPr>
      <w:r w:rsidRPr="00CE2185">
        <w:rPr>
          <w:noProof/>
        </w:rPr>
        <w:t>Thirdly</w:t>
      </w:r>
      <w:r w:rsidR="00F57D9D" w:rsidRPr="00CE2185">
        <w:rPr>
          <w:noProof/>
        </w:rPr>
        <w:t>, ENISA</w:t>
      </w:r>
      <w:r w:rsidR="00A8446F">
        <w:rPr>
          <w:noProof/>
        </w:rPr>
        <w:t>’s</w:t>
      </w:r>
      <w:r w:rsidR="00F57D9D" w:rsidRPr="00CE2185">
        <w:rPr>
          <w:noProof/>
        </w:rPr>
        <w:t xml:space="preserve"> support </w:t>
      </w:r>
      <w:r w:rsidR="47815B45" w:rsidRPr="00CE2185">
        <w:rPr>
          <w:noProof/>
        </w:rPr>
        <w:t xml:space="preserve">to </w:t>
      </w:r>
      <w:r w:rsidR="00F57D9D" w:rsidRPr="00CE2185">
        <w:rPr>
          <w:noProof/>
        </w:rPr>
        <w:t xml:space="preserve">Member States in the </w:t>
      </w:r>
      <w:r w:rsidR="00F57D9D" w:rsidRPr="00CE2185">
        <w:rPr>
          <w:b/>
          <w:bCs/>
          <w:noProof/>
        </w:rPr>
        <w:t xml:space="preserve">mutual assistance and supervision </w:t>
      </w:r>
      <w:r w:rsidR="002C1120" w:rsidRPr="00CE2185">
        <w:rPr>
          <w:b/>
          <w:bCs/>
          <w:noProof/>
        </w:rPr>
        <w:t>NIS 2 Directive</w:t>
      </w:r>
      <w:r w:rsidR="00F57D9D" w:rsidRPr="00CE2185">
        <w:rPr>
          <w:b/>
          <w:bCs/>
          <w:noProof/>
        </w:rPr>
        <w:t xml:space="preserve"> entities</w:t>
      </w:r>
      <w:r w:rsidR="002C1120" w:rsidRPr="00CE2185">
        <w:rPr>
          <w:noProof/>
        </w:rPr>
        <w:t>,</w:t>
      </w:r>
      <w:r w:rsidR="00F57D9D" w:rsidRPr="00CE2185">
        <w:rPr>
          <w:noProof/>
        </w:rPr>
        <w:t xml:space="preserve"> subject to the jurisdiction of several Member States</w:t>
      </w:r>
      <w:r w:rsidR="00AA6201" w:rsidRPr="00CE2185">
        <w:rPr>
          <w:noProof/>
        </w:rPr>
        <w:t xml:space="preserve"> (link with option C)</w:t>
      </w:r>
      <w:r w:rsidR="00F57D9D" w:rsidRPr="00CE2185">
        <w:rPr>
          <w:noProof/>
        </w:rPr>
        <w:t xml:space="preserve"> would result in </w:t>
      </w:r>
      <w:r w:rsidR="00526D7F" w:rsidRPr="00CE2185">
        <w:rPr>
          <w:noProof/>
        </w:rPr>
        <w:t xml:space="preserve">recurring </w:t>
      </w:r>
      <w:r w:rsidR="00F57D9D" w:rsidRPr="00CE2185">
        <w:rPr>
          <w:noProof/>
        </w:rPr>
        <w:t xml:space="preserve">costs for human resources with minimum </w:t>
      </w:r>
      <w:r w:rsidR="00F57D9D" w:rsidRPr="00CE2185">
        <w:rPr>
          <w:b/>
          <w:noProof/>
        </w:rPr>
        <w:t>4 additional FTEs</w:t>
      </w:r>
      <w:r w:rsidR="00F57D9D" w:rsidRPr="00CE2185">
        <w:rPr>
          <w:noProof/>
        </w:rPr>
        <w:t xml:space="preserve">, equal to </w:t>
      </w:r>
      <w:r w:rsidR="00F57D9D" w:rsidRPr="00CE2185">
        <w:rPr>
          <w:b/>
          <w:noProof/>
        </w:rPr>
        <w:t>EUR 513 108</w:t>
      </w:r>
      <w:r w:rsidR="00BF4058" w:rsidRPr="00CE2185">
        <w:rPr>
          <w:noProof/>
        </w:rPr>
        <w:t xml:space="preserve"> per year</w:t>
      </w:r>
      <w:r w:rsidR="006F4FFA" w:rsidRPr="00CE2185">
        <w:rPr>
          <w:noProof/>
        </w:rPr>
        <w:t xml:space="preserve"> (i.e. EUR </w:t>
      </w:r>
      <w:r w:rsidR="00B921B2" w:rsidRPr="00CE2185">
        <w:rPr>
          <w:noProof/>
        </w:rPr>
        <w:t>2.57M over 5 years)</w:t>
      </w:r>
      <w:r w:rsidR="00F57D9D" w:rsidRPr="00CE2185">
        <w:rPr>
          <w:noProof/>
        </w:rPr>
        <w:t>.</w:t>
      </w:r>
    </w:p>
    <w:p w14:paraId="5C0015E0" w14:textId="37EC69DA" w:rsidR="008C5D41" w:rsidRPr="00CE2185" w:rsidRDefault="008C5D41" w:rsidP="00EE3DF9">
      <w:pPr>
        <w:numPr>
          <w:ilvl w:val="0"/>
          <w:numId w:val="8"/>
        </w:numPr>
        <w:spacing w:after="120"/>
        <w:ind w:left="357" w:hanging="357"/>
        <w:rPr>
          <w:noProof/>
        </w:rPr>
      </w:pPr>
      <w:r w:rsidRPr="00CE2185">
        <w:rPr>
          <w:noProof/>
        </w:rPr>
        <w:t xml:space="preserve">Fourthly, </w:t>
      </w:r>
      <w:r w:rsidR="00330A45" w:rsidRPr="00CE2185">
        <w:rPr>
          <w:noProof/>
        </w:rPr>
        <w:t xml:space="preserve">for the support </w:t>
      </w:r>
      <w:r w:rsidR="00FE1C1D" w:rsidRPr="00CE2185">
        <w:rPr>
          <w:noProof/>
        </w:rPr>
        <w:t>of</w:t>
      </w:r>
      <w:r w:rsidR="00330A45" w:rsidRPr="00CE2185">
        <w:rPr>
          <w:noProof/>
        </w:rPr>
        <w:t xml:space="preserve"> critical sectors resilience (</w:t>
      </w:r>
      <w:r w:rsidR="00A8446F">
        <w:rPr>
          <w:noProof/>
        </w:rPr>
        <w:t>including</w:t>
      </w:r>
      <w:r w:rsidR="00330A45" w:rsidRPr="00CE2185">
        <w:rPr>
          <w:noProof/>
        </w:rPr>
        <w:t xml:space="preserve"> implementation</w:t>
      </w:r>
      <w:r w:rsidR="00A8446F">
        <w:rPr>
          <w:noProof/>
        </w:rPr>
        <w:t xml:space="preserve"> </w:t>
      </w:r>
      <w:r w:rsidR="00A8446F" w:rsidRPr="00A8446F">
        <w:rPr>
          <w:noProof/>
        </w:rPr>
        <w:t>of the European action plan on healthcare cybersecurity</w:t>
      </w:r>
      <w:r w:rsidR="00330A45" w:rsidRPr="00CE2185">
        <w:rPr>
          <w:noProof/>
        </w:rPr>
        <w:t>) 5 FTEs</w:t>
      </w:r>
      <w:r w:rsidR="00FE1C1D" w:rsidRPr="00CE2185">
        <w:rPr>
          <w:noProof/>
        </w:rPr>
        <w:t xml:space="preserve"> are</w:t>
      </w:r>
      <w:r w:rsidR="00330A45" w:rsidRPr="00CE2185">
        <w:rPr>
          <w:noProof/>
        </w:rPr>
        <w:t xml:space="preserve"> needed, which amounts to </w:t>
      </w:r>
      <w:r w:rsidR="00641A5D" w:rsidRPr="00CE2185">
        <w:rPr>
          <w:noProof/>
        </w:rPr>
        <w:t>a yearly recurring cost of EUR 641</w:t>
      </w:r>
      <w:r w:rsidR="00FE1C1D" w:rsidRPr="00CE2185">
        <w:rPr>
          <w:noProof/>
        </w:rPr>
        <w:t xml:space="preserve"> 385, i.e. EUR 3.2M over 5 years.</w:t>
      </w:r>
    </w:p>
    <w:p w14:paraId="74C868E6" w14:textId="3F3E2623" w:rsidR="002344BD" w:rsidRPr="00CE2185" w:rsidRDefault="007C34CB" w:rsidP="00EE3DF9">
      <w:pPr>
        <w:numPr>
          <w:ilvl w:val="0"/>
          <w:numId w:val="8"/>
        </w:numPr>
        <w:spacing w:after="120"/>
        <w:ind w:left="357" w:hanging="357"/>
        <w:rPr>
          <w:noProof/>
          <w:lang w:val="en-US"/>
        </w:rPr>
      </w:pPr>
      <w:r w:rsidRPr="00CE2185">
        <w:rPr>
          <w:noProof/>
        </w:rPr>
        <w:t>Fifthly</w:t>
      </w:r>
      <w:r w:rsidR="00F57D9D" w:rsidRPr="00CE2185">
        <w:rPr>
          <w:noProof/>
        </w:rPr>
        <w:t>, the development of</w:t>
      </w:r>
      <w:r w:rsidR="00B857F7" w:rsidRPr="00CE2185">
        <w:rPr>
          <w:noProof/>
        </w:rPr>
        <w:t xml:space="preserve"> the first</w:t>
      </w:r>
      <w:r w:rsidR="00F57D9D" w:rsidRPr="00CE2185">
        <w:rPr>
          <w:noProof/>
        </w:rPr>
        <w:t xml:space="preserve"> </w:t>
      </w:r>
      <w:r w:rsidR="33C3A5EB" w:rsidRPr="00CE2185">
        <w:rPr>
          <w:b/>
          <w:bCs/>
          <w:noProof/>
        </w:rPr>
        <w:t xml:space="preserve">European individual </w:t>
      </w:r>
      <w:r w:rsidR="00031D9E" w:rsidRPr="00CE2185">
        <w:rPr>
          <w:b/>
          <w:bCs/>
          <w:noProof/>
        </w:rPr>
        <w:t xml:space="preserve">cybersecurity skills </w:t>
      </w:r>
      <w:r w:rsidR="00F57D9D" w:rsidRPr="00CE2185">
        <w:rPr>
          <w:b/>
          <w:bCs/>
          <w:noProof/>
        </w:rPr>
        <w:t>attestation scheme</w:t>
      </w:r>
      <w:r w:rsidR="007D4BF6" w:rsidRPr="00CE2185">
        <w:rPr>
          <w:b/>
          <w:bCs/>
          <w:noProof/>
        </w:rPr>
        <w:t xml:space="preserve"> </w:t>
      </w:r>
      <w:r w:rsidR="00F57D9D" w:rsidRPr="00CE2185">
        <w:rPr>
          <w:noProof/>
        </w:rPr>
        <w:t xml:space="preserve">action would </w:t>
      </w:r>
      <w:r w:rsidR="007F43DC" w:rsidRPr="00CE2185">
        <w:rPr>
          <w:noProof/>
        </w:rPr>
        <w:t>require</w:t>
      </w:r>
      <w:r w:rsidR="00F57D9D" w:rsidRPr="00CE2185">
        <w:rPr>
          <w:noProof/>
        </w:rPr>
        <w:t xml:space="preserve"> </w:t>
      </w:r>
      <w:r w:rsidR="00AD63F5" w:rsidRPr="00CE2185">
        <w:rPr>
          <w:b/>
          <w:noProof/>
        </w:rPr>
        <w:t>2</w:t>
      </w:r>
      <w:r w:rsidR="00C4238A" w:rsidRPr="00CE2185">
        <w:rPr>
          <w:b/>
          <w:noProof/>
        </w:rPr>
        <w:t xml:space="preserve"> </w:t>
      </w:r>
      <w:r w:rsidR="00F57D9D" w:rsidRPr="00CE2185">
        <w:rPr>
          <w:b/>
          <w:noProof/>
        </w:rPr>
        <w:t>additional FTEs</w:t>
      </w:r>
      <w:r w:rsidR="00F57D9D" w:rsidRPr="00CE2185">
        <w:rPr>
          <w:noProof/>
        </w:rPr>
        <w:t xml:space="preserve">, </w:t>
      </w:r>
      <w:r w:rsidR="001C23B2" w:rsidRPr="00CE2185">
        <w:rPr>
          <w:noProof/>
        </w:rPr>
        <w:t xml:space="preserve">amounting </w:t>
      </w:r>
      <w:r w:rsidR="00F57D9D" w:rsidRPr="00CE2185">
        <w:rPr>
          <w:noProof/>
        </w:rPr>
        <w:t xml:space="preserve">to </w:t>
      </w:r>
      <w:r w:rsidR="00526D7F" w:rsidRPr="00CE2185">
        <w:rPr>
          <w:noProof/>
        </w:rPr>
        <w:t xml:space="preserve">recurring costs of </w:t>
      </w:r>
      <w:r w:rsidR="00F57D9D" w:rsidRPr="00CE2185">
        <w:rPr>
          <w:b/>
          <w:noProof/>
        </w:rPr>
        <w:t xml:space="preserve">EUR </w:t>
      </w:r>
      <w:r w:rsidR="00AD63F5" w:rsidRPr="00CE2185">
        <w:rPr>
          <w:b/>
          <w:noProof/>
        </w:rPr>
        <w:t>256</w:t>
      </w:r>
      <w:r w:rsidR="00297EF7" w:rsidRPr="00CE2185">
        <w:rPr>
          <w:b/>
          <w:noProof/>
        </w:rPr>
        <w:t> 554</w:t>
      </w:r>
      <w:r w:rsidR="00DC20CF" w:rsidRPr="00CE2185">
        <w:rPr>
          <w:noProof/>
        </w:rPr>
        <w:t xml:space="preserve"> </w:t>
      </w:r>
      <w:r w:rsidR="003C2D83" w:rsidRPr="00CE2185">
        <w:rPr>
          <w:noProof/>
        </w:rPr>
        <w:t>per year</w:t>
      </w:r>
      <w:r w:rsidR="00B921B2" w:rsidRPr="00CE2185">
        <w:rPr>
          <w:noProof/>
        </w:rPr>
        <w:t xml:space="preserve"> (i.e. EUR </w:t>
      </w:r>
      <w:r w:rsidR="009252AE" w:rsidRPr="00CE2185">
        <w:rPr>
          <w:noProof/>
        </w:rPr>
        <w:t>1.28M over 5 years)</w:t>
      </w:r>
      <w:r w:rsidR="00F57D9D" w:rsidRPr="00CE2185">
        <w:rPr>
          <w:noProof/>
        </w:rPr>
        <w:t xml:space="preserve">. In addition, </w:t>
      </w:r>
      <w:r w:rsidR="00F57D9D" w:rsidRPr="00CE2185">
        <w:rPr>
          <w:b/>
          <w:noProof/>
        </w:rPr>
        <w:t>6 FTEs</w:t>
      </w:r>
      <w:r w:rsidR="00F57D9D" w:rsidRPr="00CE2185">
        <w:rPr>
          <w:noProof/>
        </w:rPr>
        <w:t xml:space="preserve"> would be required for maintenance and auditing tasks </w:t>
      </w:r>
      <w:r w:rsidR="002D5DCD" w:rsidRPr="00CE2185">
        <w:rPr>
          <w:noProof/>
        </w:rPr>
        <w:t>of</w:t>
      </w:r>
      <w:r w:rsidR="004B66EE" w:rsidRPr="00CE2185">
        <w:rPr>
          <w:noProof/>
        </w:rPr>
        <w:t xml:space="preserve"> </w:t>
      </w:r>
      <w:r w:rsidR="00F57D9D" w:rsidRPr="00CE2185">
        <w:rPr>
          <w:noProof/>
        </w:rPr>
        <w:t xml:space="preserve">the providers that would be granted the role of entities issuing attestations, costing </w:t>
      </w:r>
      <w:r w:rsidR="00F57D9D" w:rsidRPr="00CE2185">
        <w:rPr>
          <w:b/>
          <w:noProof/>
        </w:rPr>
        <w:t>EUR 769 662</w:t>
      </w:r>
      <w:r w:rsidR="003C2D83" w:rsidRPr="00CE2185">
        <w:rPr>
          <w:b/>
          <w:noProof/>
        </w:rPr>
        <w:t xml:space="preserve"> </w:t>
      </w:r>
      <w:r w:rsidR="009252AE" w:rsidRPr="00CE2185">
        <w:rPr>
          <w:b/>
          <w:bCs/>
          <w:noProof/>
        </w:rPr>
        <w:t xml:space="preserve">recurring costs </w:t>
      </w:r>
      <w:r w:rsidR="003C2D83" w:rsidRPr="00CE2185">
        <w:rPr>
          <w:b/>
          <w:noProof/>
        </w:rPr>
        <w:t>per yea</w:t>
      </w:r>
      <w:r w:rsidR="003C2D83" w:rsidRPr="00CE2185">
        <w:rPr>
          <w:noProof/>
        </w:rPr>
        <w:t>r</w:t>
      </w:r>
      <w:r w:rsidR="0021368D" w:rsidRPr="00CE2185">
        <w:rPr>
          <w:i/>
          <w:iCs/>
          <w:noProof/>
          <w:lang w:val="en-IE"/>
        </w:rPr>
        <w:t xml:space="preserve"> (</w:t>
      </w:r>
      <w:r w:rsidR="009252AE" w:rsidRPr="00CE2185">
        <w:rPr>
          <w:i/>
          <w:iCs/>
          <w:noProof/>
          <w:lang w:val="en-IE"/>
        </w:rPr>
        <w:t xml:space="preserve">i.e. </w:t>
      </w:r>
      <w:r w:rsidR="009252AE" w:rsidRPr="00CE2185">
        <w:rPr>
          <w:noProof/>
          <w:lang w:val="en-IE"/>
        </w:rPr>
        <w:t xml:space="preserve">EUR </w:t>
      </w:r>
      <w:r w:rsidR="001A6826" w:rsidRPr="00CE2185">
        <w:rPr>
          <w:noProof/>
          <w:lang w:val="en-IE"/>
        </w:rPr>
        <w:t xml:space="preserve">3.85M over 5 years, </w:t>
      </w:r>
      <w:r w:rsidR="0021368D" w:rsidRPr="00CE2185">
        <w:rPr>
          <w:noProof/>
          <w:lang w:val="en-IE"/>
        </w:rPr>
        <w:t>see Annex 4, section 4.1.2.</w:t>
      </w:r>
      <w:r w:rsidR="004D5DBA" w:rsidRPr="00CE2185">
        <w:rPr>
          <w:noProof/>
          <w:lang w:val="en-IE"/>
        </w:rPr>
        <w:t>2</w:t>
      </w:r>
      <w:r w:rsidR="0021368D" w:rsidRPr="00CE2185">
        <w:rPr>
          <w:noProof/>
          <w:lang w:val="en-IE"/>
        </w:rPr>
        <w:t>(a))</w:t>
      </w:r>
      <w:r w:rsidR="00880E0D" w:rsidRPr="00CE2185">
        <w:rPr>
          <w:noProof/>
        </w:rPr>
        <w:t>.</w:t>
      </w:r>
      <w:r w:rsidR="001D1FF3" w:rsidRPr="00CE2185">
        <w:rPr>
          <w:noProof/>
        </w:rPr>
        <w:t xml:space="preserve"> </w:t>
      </w:r>
      <w:r w:rsidR="002344BD" w:rsidRPr="00CE2185">
        <w:rPr>
          <w:noProof/>
        </w:rPr>
        <w:t>These</w:t>
      </w:r>
      <w:r w:rsidR="008C431E" w:rsidRPr="00CE2185">
        <w:rPr>
          <w:noProof/>
        </w:rPr>
        <w:t xml:space="preserve"> FTEs w</w:t>
      </w:r>
      <w:r w:rsidR="00880E0D" w:rsidRPr="00CE2185">
        <w:rPr>
          <w:noProof/>
        </w:rPr>
        <w:t>ould be</w:t>
      </w:r>
      <w:r w:rsidR="00880E0D" w:rsidRPr="00CE2185">
        <w:rPr>
          <w:b/>
          <w:bCs/>
          <w:noProof/>
        </w:rPr>
        <w:t xml:space="preserve"> </w:t>
      </w:r>
      <w:r w:rsidR="00B94CC8" w:rsidRPr="00CE2185">
        <w:rPr>
          <w:b/>
          <w:bCs/>
          <w:noProof/>
        </w:rPr>
        <w:t>needed</w:t>
      </w:r>
      <w:r w:rsidR="00880E0D" w:rsidRPr="00CE2185">
        <w:rPr>
          <w:b/>
          <w:bCs/>
          <w:noProof/>
        </w:rPr>
        <w:t xml:space="preserve"> for the first five years, </w:t>
      </w:r>
      <w:r w:rsidR="00880E0D" w:rsidRPr="00CE2185">
        <w:rPr>
          <w:noProof/>
        </w:rPr>
        <w:t>covering the preparation and roll-out of the first European individual attestation scheme</w:t>
      </w:r>
      <w:r w:rsidR="002A1D06" w:rsidRPr="00CE2185">
        <w:rPr>
          <w:noProof/>
        </w:rPr>
        <w:t xml:space="preserve"> and starting the second scheme</w:t>
      </w:r>
      <w:r w:rsidR="002A1D06" w:rsidRPr="00CE2185">
        <w:rPr>
          <w:rStyle w:val="FootnoteReference"/>
          <w:noProof/>
        </w:rPr>
        <w:footnoteReference w:id="139"/>
      </w:r>
      <w:r w:rsidR="00880E0D" w:rsidRPr="00CE2185">
        <w:rPr>
          <w:noProof/>
        </w:rPr>
        <w:t xml:space="preserve">. </w:t>
      </w:r>
      <w:r w:rsidR="004C0A6A" w:rsidRPr="00CE2185">
        <w:rPr>
          <w:noProof/>
        </w:rPr>
        <w:t xml:space="preserve">To meet the market demand most effectively and ensure budgetary efficiency, </w:t>
      </w:r>
      <w:r w:rsidR="004C0A6A" w:rsidRPr="00CE2185">
        <w:rPr>
          <w:b/>
          <w:bCs/>
          <w:noProof/>
        </w:rPr>
        <w:t xml:space="preserve">fees collected from providers </w:t>
      </w:r>
      <w:r w:rsidR="004C0A6A" w:rsidRPr="00CE2185">
        <w:rPr>
          <w:noProof/>
        </w:rPr>
        <w:t xml:space="preserve">would gradually complement and fully replace the EU budget after five years.  </w:t>
      </w:r>
      <w:r w:rsidR="001D1FF3" w:rsidRPr="00CE2185">
        <w:rPr>
          <w:noProof/>
        </w:rPr>
        <w:t>In addition</w:t>
      </w:r>
      <w:r w:rsidR="002344BD" w:rsidRPr="00CE2185">
        <w:rPr>
          <w:noProof/>
        </w:rPr>
        <w:t xml:space="preserve">, there would be a </w:t>
      </w:r>
      <w:r w:rsidR="002344BD" w:rsidRPr="00CE2185">
        <w:rPr>
          <w:b/>
          <w:bCs/>
          <w:noProof/>
        </w:rPr>
        <w:t xml:space="preserve">one-off </w:t>
      </w:r>
      <w:r w:rsidR="0067141E" w:rsidRPr="00CE2185">
        <w:rPr>
          <w:b/>
          <w:bCs/>
          <w:noProof/>
        </w:rPr>
        <w:t>operational</w:t>
      </w:r>
      <w:r w:rsidR="002344BD" w:rsidRPr="00CE2185">
        <w:rPr>
          <w:b/>
          <w:bCs/>
          <w:noProof/>
        </w:rPr>
        <w:t xml:space="preserve"> </w:t>
      </w:r>
      <w:r w:rsidR="000D705F" w:rsidRPr="00CE2185">
        <w:rPr>
          <w:b/>
          <w:bCs/>
          <w:noProof/>
        </w:rPr>
        <w:t xml:space="preserve">adjustment </w:t>
      </w:r>
      <w:r w:rsidR="002344BD" w:rsidRPr="00CE2185">
        <w:rPr>
          <w:b/>
          <w:bCs/>
          <w:noProof/>
        </w:rPr>
        <w:t xml:space="preserve">cost </w:t>
      </w:r>
      <w:r w:rsidR="00CE4975" w:rsidRPr="00CE2185">
        <w:rPr>
          <w:b/>
          <w:bCs/>
          <w:noProof/>
        </w:rPr>
        <w:t>of EUR 1</w:t>
      </w:r>
      <w:r w:rsidR="00381200" w:rsidRPr="00CE2185">
        <w:rPr>
          <w:b/>
          <w:bCs/>
          <w:noProof/>
        </w:rPr>
        <w:t>M</w:t>
      </w:r>
      <w:r w:rsidR="00CE4975" w:rsidRPr="00CE2185">
        <w:rPr>
          <w:b/>
          <w:bCs/>
          <w:noProof/>
        </w:rPr>
        <w:t xml:space="preserve"> to </w:t>
      </w:r>
      <w:r w:rsidR="00CE4975" w:rsidRPr="00CE2185">
        <w:rPr>
          <w:noProof/>
        </w:rPr>
        <w:t xml:space="preserve">design, develop, and penetration-test a secure </w:t>
      </w:r>
      <w:r w:rsidR="003C4204" w:rsidRPr="00CE2185">
        <w:rPr>
          <w:noProof/>
        </w:rPr>
        <w:t xml:space="preserve">website </w:t>
      </w:r>
      <w:r w:rsidR="00CE4975" w:rsidRPr="00CE2185">
        <w:rPr>
          <w:noProof/>
        </w:rPr>
        <w:t xml:space="preserve">for running </w:t>
      </w:r>
      <w:r w:rsidR="00F818AD" w:rsidRPr="00CE2185">
        <w:rPr>
          <w:noProof/>
        </w:rPr>
        <w:t>the</w:t>
      </w:r>
      <w:r w:rsidR="00CE4975" w:rsidRPr="00CE2185">
        <w:rPr>
          <w:noProof/>
        </w:rPr>
        <w:t xml:space="preserve"> mechanism</w:t>
      </w:r>
      <w:r w:rsidR="004C65F5" w:rsidRPr="00CE2185">
        <w:rPr>
          <w:rStyle w:val="FootnoteReference"/>
          <w:b/>
          <w:bCs/>
          <w:noProof/>
        </w:rPr>
        <w:footnoteReference w:id="140"/>
      </w:r>
      <w:r w:rsidR="005C2345" w:rsidRPr="00CE2185">
        <w:rPr>
          <w:b/>
          <w:bCs/>
          <w:noProof/>
        </w:rPr>
        <w:t xml:space="preserve"> </w:t>
      </w:r>
      <w:r w:rsidR="005C2345" w:rsidRPr="00CE2185">
        <w:rPr>
          <w:noProof/>
        </w:rPr>
        <w:t>(</w:t>
      </w:r>
      <w:r w:rsidR="005C2345" w:rsidRPr="00CE2185">
        <w:rPr>
          <w:i/>
          <w:iCs/>
          <w:noProof/>
          <w:lang w:val="en-IE"/>
        </w:rPr>
        <w:t>see</w:t>
      </w:r>
      <w:r w:rsidR="005C2345" w:rsidRPr="00CE2185">
        <w:rPr>
          <w:noProof/>
          <w:lang w:val="en-IE"/>
        </w:rPr>
        <w:t xml:space="preserve"> </w:t>
      </w:r>
      <w:r w:rsidR="005C2345" w:rsidRPr="00CE2185">
        <w:rPr>
          <w:i/>
          <w:iCs/>
          <w:noProof/>
          <w:lang w:val="en-IE"/>
        </w:rPr>
        <w:t>Annex 4, section 4.1.2.</w:t>
      </w:r>
      <w:r w:rsidR="004D5DBA" w:rsidRPr="00CE2185">
        <w:rPr>
          <w:i/>
          <w:iCs/>
          <w:noProof/>
          <w:lang w:val="en-IE"/>
        </w:rPr>
        <w:t>2</w:t>
      </w:r>
      <w:r w:rsidR="005C2345" w:rsidRPr="00CE2185">
        <w:rPr>
          <w:i/>
          <w:iCs/>
          <w:noProof/>
          <w:lang w:val="en-IE"/>
        </w:rPr>
        <w:t>(</w:t>
      </w:r>
      <w:r w:rsidR="00A2688B" w:rsidRPr="00CE2185">
        <w:rPr>
          <w:i/>
          <w:iCs/>
          <w:noProof/>
          <w:lang w:val="en-IE"/>
        </w:rPr>
        <w:t>b</w:t>
      </w:r>
      <w:r w:rsidR="005C2345" w:rsidRPr="00CE2185">
        <w:rPr>
          <w:i/>
          <w:iCs/>
          <w:noProof/>
          <w:lang w:val="en-IE"/>
        </w:rPr>
        <w:t>)</w:t>
      </w:r>
      <w:r w:rsidR="005C2345" w:rsidRPr="00CE2185">
        <w:rPr>
          <w:noProof/>
          <w:lang w:val="en-IE"/>
        </w:rPr>
        <w:t>).</w:t>
      </w:r>
      <w:r w:rsidR="003A54FF" w:rsidRPr="00CE2185">
        <w:rPr>
          <w:noProof/>
          <w:lang w:val="en-IE"/>
        </w:rPr>
        <w:t xml:space="preserve"> </w:t>
      </w:r>
      <w:r w:rsidR="00120766" w:rsidRPr="00CE2185">
        <w:rPr>
          <w:noProof/>
          <w:lang w:val="en-IE"/>
        </w:rPr>
        <w:t>Additional</w:t>
      </w:r>
      <w:r w:rsidR="00120766" w:rsidRPr="00CE2185" w:rsidDel="00B44548">
        <w:rPr>
          <w:noProof/>
          <w:lang w:val="en-IE"/>
        </w:rPr>
        <w:t xml:space="preserve"> </w:t>
      </w:r>
      <w:r w:rsidR="00A02493" w:rsidRPr="00CE2185">
        <w:rPr>
          <w:b/>
          <w:bCs/>
          <w:noProof/>
          <w:lang w:val="en-IE"/>
        </w:rPr>
        <w:t>operational</w:t>
      </w:r>
      <w:r w:rsidR="00A02493" w:rsidRPr="00CE2185">
        <w:rPr>
          <w:b/>
          <w:bCs/>
          <w:noProof/>
          <w:lang w:val="en-US"/>
        </w:rPr>
        <w:t xml:space="preserve"> </w:t>
      </w:r>
      <w:r w:rsidR="00670B9A" w:rsidRPr="00CE2185">
        <w:rPr>
          <w:b/>
          <w:bCs/>
          <w:noProof/>
          <w:lang w:val="en-US"/>
        </w:rPr>
        <w:t>adjustment</w:t>
      </w:r>
      <w:r w:rsidR="00A02493" w:rsidRPr="00CE2185">
        <w:rPr>
          <w:b/>
          <w:bCs/>
          <w:noProof/>
          <w:lang w:val="en-US"/>
        </w:rPr>
        <w:t xml:space="preserve"> costs </w:t>
      </w:r>
      <w:r w:rsidR="00A02493" w:rsidRPr="00CE2185">
        <w:rPr>
          <w:noProof/>
          <w:lang w:val="en-US"/>
        </w:rPr>
        <w:t xml:space="preserve">borne by EU budget during the first three years and shared between EU budget and fees during the </w:t>
      </w:r>
      <w:r w:rsidR="00912F60" w:rsidRPr="00CE2185">
        <w:rPr>
          <w:noProof/>
          <w:lang w:val="en-US"/>
        </w:rPr>
        <w:t>two-</w:t>
      </w:r>
      <w:r w:rsidR="00A02493" w:rsidRPr="00CE2185">
        <w:rPr>
          <w:noProof/>
          <w:lang w:val="en-US"/>
        </w:rPr>
        <w:t xml:space="preserve">year transition period </w:t>
      </w:r>
      <w:r w:rsidR="00912F60" w:rsidRPr="00CE2185">
        <w:rPr>
          <w:noProof/>
          <w:lang w:val="en-US"/>
        </w:rPr>
        <w:t>(see explanations below)</w:t>
      </w:r>
      <w:r w:rsidR="0005249E" w:rsidRPr="00CE2185">
        <w:rPr>
          <w:b/>
          <w:bCs/>
          <w:noProof/>
          <w:lang w:val="en-US"/>
        </w:rPr>
        <w:t xml:space="preserve"> </w:t>
      </w:r>
      <w:r w:rsidR="00A02493" w:rsidRPr="00CE2185">
        <w:rPr>
          <w:noProof/>
          <w:lang w:val="en-US"/>
        </w:rPr>
        <w:t xml:space="preserve">would cover </w:t>
      </w:r>
      <w:r w:rsidR="00A02493" w:rsidRPr="00CE2185">
        <w:rPr>
          <w:b/>
          <w:bCs/>
          <w:noProof/>
          <w:lang w:val="en-US"/>
        </w:rPr>
        <w:t>scheme</w:t>
      </w:r>
      <w:r w:rsidR="00912F60" w:rsidRPr="00CE2185">
        <w:rPr>
          <w:b/>
          <w:bCs/>
          <w:noProof/>
          <w:lang w:val="en-US"/>
        </w:rPr>
        <w:t xml:space="preserve"> development and maintenance activities</w:t>
      </w:r>
      <w:r w:rsidR="00912F60" w:rsidRPr="00CE2185">
        <w:rPr>
          <w:noProof/>
          <w:lang w:val="en-US"/>
        </w:rPr>
        <w:t>, such as expert involvement and</w:t>
      </w:r>
      <w:r w:rsidR="00A02493" w:rsidRPr="00CE2185">
        <w:rPr>
          <w:noProof/>
          <w:lang w:val="en-US"/>
        </w:rPr>
        <w:t xml:space="preserve"> </w:t>
      </w:r>
      <w:r w:rsidR="00912F60" w:rsidRPr="00CE2185">
        <w:rPr>
          <w:noProof/>
          <w:lang w:val="en-US"/>
        </w:rPr>
        <w:t>audits of</w:t>
      </w:r>
      <w:r w:rsidR="00A02493" w:rsidRPr="00CE2185">
        <w:rPr>
          <w:noProof/>
          <w:lang w:val="en-US"/>
        </w:rPr>
        <w:t xml:space="preserve"> providers. It can be estimated that the </w:t>
      </w:r>
      <w:r w:rsidR="00566961" w:rsidRPr="00CE2185">
        <w:rPr>
          <w:noProof/>
          <w:lang w:val="en-US"/>
        </w:rPr>
        <w:t xml:space="preserve">recurring </w:t>
      </w:r>
      <w:r w:rsidR="00A02493" w:rsidRPr="00CE2185">
        <w:rPr>
          <w:noProof/>
          <w:lang w:val="en-US"/>
        </w:rPr>
        <w:t xml:space="preserve">costs would amount to EUR </w:t>
      </w:r>
      <w:r w:rsidR="00381200" w:rsidRPr="00CE2185">
        <w:rPr>
          <w:noProof/>
          <w:lang w:val="en-US"/>
        </w:rPr>
        <w:t>212 920 per year</w:t>
      </w:r>
      <w:r w:rsidR="00566961" w:rsidRPr="00CE2185">
        <w:rPr>
          <w:noProof/>
          <w:lang w:val="en-US"/>
        </w:rPr>
        <w:t xml:space="preserve">, </w:t>
      </w:r>
      <w:r w:rsidR="00566961" w:rsidRPr="00CE2185">
        <w:rPr>
          <w:b/>
          <w:bCs/>
          <w:noProof/>
          <w:lang w:val="en-US"/>
        </w:rPr>
        <w:t xml:space="preserve">i.e. </w:t>
      </w:r>
      <w:r w:rsidR="00A02493" w:rsidRPr="00CE2185">
        <w:rPr>
          <w:b/>
          <w:bCs/>
          <w:noProof/>
          <w:lang w:val="en-US"/>
        </w:rPr>
        <w:t>EUR 1</w:t>
      </w:r>
      <w:r w:rsidR="00AD3770">
        <w:rPr>
          <w:b/>
          <w:bCs/>
          <w:noProof/>
          <w:lang w:val="en-US"/>
        </w:rPr>
        <w:t> </w:t>
      </w:r>
      <w:r w:rsidR="00A02493" w:rsidRPr="00CE2185">
        <w:rPr>
          <w:b/>
          <w:bCs/>
          <w:noProof/>
          <w:lang w:val="en-US"/>
        </w:rPr>
        <w:t>064</w:t>
      </w:r>
      <w:r w:rsidR="00AD3770">
        <w:rPr>
          <w:b/>
          <w:bCs/>
          <w:noProof/>
          <w:lang w:val="en-US"/>
        </w:rPr>
        <w:t> </w:t>
      </w:r>
      <w:r w:rsidR="00A02493" w:rsidRPr="00CE2185">
        <w:rPr>
          <w:b/>
          <w:bCs/>
          <w:noProof/>
          <w:lang w:val="en-US"/>
        </w:rPr>
        <w:t xml:space="preserve">600 </w:t>
      </w:r>
      <w:r w:rsidR="009A4A74" w:rsidRPr="00CE2185">
        <w:rPr>
          <w:b/>
          <w:bCs/>
          <w:noProof/>
          <w:lang w:val="en-US"/>
        </w:rPr>
        <w:t xml:space="preserve">in total </w:t>
      </w:r>
      <w:r w:rsidR="00A02493" w:rsidRPr="00CE2185">
        <w:rPr>
          <w:b/>
          <w:bCs/>
          <w:noProof/>
          <w:lang w:val="en-US"/>
        </w:rPr>
        <w:t xml:space="preserve">over </w:t>
      </w:r>
      <w:r w:rsidR="009A4A74" w:rsidRPr="00CE2185">
        <w:rPr>
          <w:b/>
          <w:bCs/>
          <w:noProof/>
          <w:lang w:val="en-US"/>
        </w:rPr>
        <w:t xml:space="preserve">the first </w:t>
      </w:r>
      <w:r w:rsidR="00A02493" w:rsidRPr="00CE2185">
        <w:rPr>
          <w:b/>
          <w:bCs/>
          <w:noProof/>
          <w:lang w:val="en-US"/>
        </w:rPr>
        <w:t>5 years</w:t>
      </w:r>
      <w:r w:rsidR="00954F02" w:rsidRPr="00CE2185">
        <w:rPr>
          <w:noProof/>
          <w:lang w:val="en-US"/>
        </w:rPr>
        <w:t xml:space="preserve">, after which these </w:t>
      </w:r>
      <w:r w:rsidR="001D0D2E" w:rsidRPr="00CE2185">
        <w:rPr>
          <w:noProof/>
          <w:lang w:val="en-US"/>
        </w:rPr>
        <w:t>operational costs would no longer be borne by the EU budget</w:t>
      </w:r>
      <w:r w:rsidR="00E15A42" w:rsidRPr="00CE2185">
        <w:rPr>
          <w:noProof/>
          <w:lang w:val="en-US"/>
        </w:rPr>
        <w:t xml:space="preserve"> </w:t>
      </w:r>
      <w:r w:rsidR="00E15A42" w:rsidRPr="00CE2185">
        <w:rPr>
          <w:noProof/>
        </w:rPr>
        <w:t>(</w:t>
      </w:r>
      <w:r w:rsidR="00E15A42" w:rsidRPr="00CE2185">
        <w:rPr>
          <w:i/>
          <w:iCs/>
          <w:noProof/>
          <w:lang w:val="en-IE"/>
        </w:rPr>
        <w:t>see</w:t>
      </w:r>
      <w:r w:rsidR="00E15A42" w:rsidRPr="00CE2185">
        <w:rPr>
          <w:noProof/>
          <w:lang w:val="en-IE"/>
        </w:rPr>
        <w:t xml:space="preserve"> </w:t>
      </w:r>
      <w:r w:rsidR="00E15A42" w:rsidRPr="00CE2185">
        <w:rPr>
          <w:i/>
          <w:iCs/>
          <w:noProof/>
          <w:lang w:val="en-IE"/>
        </w:rPr>
        <w:t>Annex 4, section 4.1.2.2(b)</w:t>
      </w:r>
      <w:r w:rsidR="00E15A42" w:rsidRPr="00CE2185">
        <w:rPr>
          <w:noProof/>
          <w:lang w:val="en-IE"/>
        </w:rPr>
        <w:t>)</w:t>
      </w:r>
      <w:r w:rsidR="001D0D2E" w:rsidRPr="00CE2185">
        <w:rPr>
          <w:noProof/>
          <w:lang w:val="en-US"/>
        </w:rPr>
        <w:t>.</w:t>
      </w:r>
    </w:p>
    <w:p w14:paraId="5BA72E37" w14:textId="7D9A978A" w:rsidR="004E513B" w:rsidRPr="00CE2185" w:rsidRDefault="004C0A6A" w:rsidP="004E513B">
      <w:pPr>
        <w:spacing w:after="120"/>
        <w:ind w:left="357"/>
        <w:rPr>
          <w:noProof/>
        </w:rPr>
      </w:pPr>
      <w:r w:rsidRPr="00CE2185">
        <w:rPr>
          <w:noProof/>
        </w:rPr>
        <w:t>In more details, b</w:t>
      </w:r>
      <w:r w:rsidR="00E12AE2" w:rsidRPr="00CE2185">
        <w:rPr>
          <w:noProof/>
        </w:rPr>
        <w:t xml:space="preserve">ased on ENISA’s experience in running pilot projects, </w:t>
      </w:r>
      <w:r w:rsidR="008C431E" w:rsidRPr="00CE2185">
        <w:rPr>
          <w:noProof/>
        </w:rPr>
        <w:t>the</w:t>
      </w:r>
      <w:r w:rsidR="00E12AE2" w:rsidRPr="00CE2185">
        <w:rPr>
          <w:noProof/>
        </w:rPr>
        <w:t xml:space="preserve"> first scheme would take five years to set up, test and roll-out</w:t>
      </w:r>
      <w:r w:rsidR="00C87D98" w:rsidRPr="00CE2185">
        <w:rPr>
          <w:rStyle w:val="FootnoteReference"/>
          <w:noProof/>
        </w:rPr>
        <w:footnoteReference w:id="141"/>
      </w:r>
      <w:r w:rsidR="00E12AE2" w:rsidRPr="00CE2185">
        <w:rPr>
          <w:noProof/>
        </w:rPr>
        <w:t xml:space="preserve">. </w:t>
      </w:r>
      <w:r w:rsidR="00880E0D" w:rsidRPr="00CE2185">
        <w:rPr>
          <w:noProof/>
        </w:rPr>
        <w:t>During the first five years, EU budget</w:t>
      </w:r>
      <w:r w:rsidR="008C431E" w:rsidRPr="00CE2185">
        <w:rPr>
          <w:noProof/>
        </w:rPr>
        <w:t xml:space="preserve"> </w:t>
      </w:r>
      <w:r w:rsidR="00880E0D" w:rsidRPr="00CE2185">
        <w:rPr>
          <w:noProof/>
        </w:rPr>
        <w:t xml:space="preserve">would allow to cover the development, testing and rolling out of the first European individual attestation scheme. This period would be divided into two phases: </w:t>
      </w:r>
      <w:r w:rsidR="00940BDC" w:rsidRPr="00CE2185">
        <w:rPr>
          <w:noProof/>
        </w:rPr>
        <w:t xml:space="preserve">(1) </w:t>
      </w:r>
      <w:r w:rsidR="00880E0D" w:rsidRPr="00CE2185">
        <w:rPr>
          <w:noProof/>
        </w:rPr>
        <w:t>after an initial three-year period, during which EU budget would be necessary to nurture and test the model,</w:t>
      </w:r>
      <w:r w:rsidR="007E4CA2" w:rsidRPr="00CE2185">
        <w:rPr>
          <w:noProof/>
        </w:rPr>
        <w:t xml:space="preserve"> (2)</w:t>
      </w:r>
      <w:r w:rsidR="00880E0D" w:rsidRPr="00CE2185">
        <w:rPr>
          <w:noProof/>
        </w:rPr>
        <w:t xml:space="preserve"> the activity would gradually become self-financed while still being supported by EU budget over the two following years. </w:t>
      </w:r>
      <w:r w:rsidR="00BF4563" w:rsidRPr="00CE2185">
        <w:rPr>
          <w:noProof/>
        </w:rPr>
        <w:t>During this</w:t>
      </w:r>
      <w:r w:rsidR="00880E0D" w:rsidRPr="00CE2185">
        <w:rPr>
          <w:noProof/>
        </w:rPr>
        <w:t xml:space="preserve"> two-year transition period</w:t>
      </w:r>
      <w:r w:rsidR="00BF4563" w:rsidRPr="00CE2185">
        <w:rPr>
          <w:noProof/>
        </w:rPr>
        <w:t xml:space="preserve">, </w:t>
      </w:r>
      <w:r w:rsidR="00880E0D" w:rsidRPr="00CE2185">
        <w:rPr>
          <w:noProof/>
        </w:rPr>
        <w:t xml:space="preserve">both fee-based revenues and EU budget would support the model </w:t>
      </w:r>
      <w:r w:rsidR="00DC201B" w:rsidRPr="00CE2185">
        <w:rPr>
          <w:noProof/>
        </w:rPr>
        <w:t xml:space="preserve">until it </w:t>
      </w:r>
      <w:r w:rsidR="00880E0D" w:rsidRPr="00CE2185">
        <w:rPr>
          <w:noProof/>
        </w:rPr>
        <w:t>reaches sufficient maturity</w:t>
      </w:r>
      <w:r w:rsidR="00DC201B" w:rsidRPr="00CE2185">
        <w:rPr>
          <w:noProof/>
        </w:rPr>
        <w:t>. In parallel, during the years four and five, ENISA would start developing a second scheme</w:t>
      </w:r>
      <w:r w:rsidR="05EFC4AB" w:rsidRPr="00CE2185">
        <w:rPr>
          <w:noProof/>
        </w:rPr>
        <w:t xml:space="preserve"> </w:t>
      </w:r>
      <w:r w:rsidR="00A666CD" w:rsidRPr="00CE2185">
        <w:rPr>
          <w:noProof/>
        </w:rPr>
        <w:t>justifying to keep</w:t>
      </w:r>
      <w:r w:rsidR="00DC201B" w:rsidRPr="00CE2185">
        <w:rPr>
          <w:noProof/>
        </w:rPr>
        <w:t xml:space="preserve"> the</w:t>
      </w:r>
      <w:r w:rsidR="00A666CD" w:rsidRPr="00CE2185">
        <w:rPr>
          <w:noProof/>
        </w:rPr>
        <w:t xml:space="preserve"> same</w:t>
      </w:r>
      <w:r w:rsidR="00DC201B" w:rsidRPr="00CE2185">
        <w:rPr>
          <w:noProof/>
        </w:rPr>
        <w:t xml:space="preserve"> level of financing from EU budget for all </w:t>
      </w:r>
      <w:r w:rsidR="002A1D06" w:rsidRPr="00CE2185">
        <w:rPr>
          <w:noProof/>
        </w:rPr>
        <w:t xml:space="preserve">five </w:t>
      </w:r>
      <w:r w:rsidR="00DC201B" w:rsidRPr="00CE2185">
        <w:rPr>
          <w:noProof/>
        </w:rPr>
        <w:t>years</w:t>
      </w:r>
      <w:r w:rsidR="00A438B4" w:rsidRPr="00CE2185">
        <w:rPr>
          <w:noProof/>
        </w:rPr>
        <w:t>, b</w:t>
      </w:r>
      <w:r w:rsidR="00A666CD" w:rsidRPr="00CE2185">
        <w:rPr>
          <w:noProof/>
        </w:rPr>
        <w:t>efore the</w:t>
      </w:r>
      <w:r w:rsidR="002A1D06" w:rsidRPr="00CE2185">
        <w:rPr>
          <w:noProof/>
        </w:rPr>
        <w:t xml:space="preserve"> </w:t>
      </w:r>
      <w:r w:rsidR="00DC201B" w:rsidRPr="00CE2185">
        <w:rPr>
          <w:noProof/>
        </w:rPr>
        <w:t xml:space="preserve">model would </w:t>
      </w:r>
      <w:r w:rsidR="00A666CD" w:rsidRPr="00CE2185">
        <w:rPr>
          <w:noProof/>
        </w:rPr>
        <w:t>become</w:t>
      </w:r>
      <w:r w:rsidR="00DC201B" w:rsidRPr="00CE2185">
        <w:rPr>
          <w:noProof/>
        </w:rPr>
        <w:t xml:space="preserve"> </w:t>
      </w:r>
      <w:r w:rsidR="00880E0D" w:rsidRPr="00CE2185">
        <w:rPr>
          <w:noProof/>
        </w:rPr>
        <w:t xml:space="preserve">fully independent financially. </w:t>
      </w:r>
    </w:p>
    <w:p w14:paraId="4A10CAE4" w14:textId="396654CD" w:rsidR="002A563B" w:rsidRDefault="00ED4710" w:rsidP="7410CB48">
      <w:pPr>
        <w:spacing w:after="120"/>
        <w:ind w:left="357"/>
        <w:rPr>
          <w:noProof/>
        </w:rPr>
      </w:pPr>
      <w:r w:rsidRPr="00CE2185">
        <w:rPr>
          <w:noProof/>
        </w:rPr>
        <w:t>It is taken into account that a</w:t>
      </w:r>
      <w:r w:rsidR="00880E0D" w:rsidRPr="00CE2185">
        <w:rPr>
          <w:noProof/>
        </w:rPr>
        <w:t>s the schemes and the demand for authorisation from providers grows, this could lead to numerous applications of candidate</w:t>
      </w:r>
      <w:r w:rsidR="00147C7B" w:rsidRPr="00CE2185">
        <w:rPr>
          <w:noProof/>
        </w:rPr>
        <w:t xml:space="preserve"> attestation</w:t>
      </w:r>
      <w:r w:rsidR="00880E0D" w:rsidRPr="00CE2185">
        <w:rPr>
          <w:noProof/>
        </w:rPr>
        <w:t xml:space="preserve"> providers to be assessed by ENISA and ultimately, a growing number of providers for ENISA to supervise to ensure consistency in implementing the schemes. Consequently, ENISA would likely need additional resources to deliver on its tasks (authorisation and supervision). </w:t>
      </w:r>
      <w:r w:rsidR="001D1FF3" w:rsidRPr="00CE2185">
        <w:rPr>
          <w:noProof/>
        </w:rPr>
        <w:t>After year five, t</w:t>
      </w:r>
      <w:r w:rsidR="00880E0D" w:rsidRPr="00CE2185">
        <w:rPr>
          <w:noProof/>
        </w:rPr>
        <w:t xml:space="preserve">hese additional </w:t>
      </w:r>
      <w:r w:rsidR="00880E0D" w:rsidRPr="00CE2185">
        <w:rPr>
          <w:b/>
          <w:bCs/>
          <w:noProof/>
        </w:rPr>
        <w:t>costs would no longer be funded by the EU budget but by the fees collected from providers.</w:t>
      </w:r>
      <w:r w:rsidR="00880E0D" w:rsidRPr="00CE2185">
        <w:rPr>
          <w:noProof/>
        </w:rPr>
        <w:t xml:space="preserve"> </w:t>
      </w:r>
    </w:p>
    <w:p w14:paraId="6F97473F" w14:textId="50E4FBF4" w:rsidR="008D4A9D" w:rsidRPr="00CE2185" w:rsidRDefault="008D4A9D" w:rsidP="7410CB48">
      <w:pPr>
        <w:spacing w:after="120"/>
        <w:ind w:left="357"/>
        <w:rPr>
          <w:noProof/>
        </w:rPr>
      </w:pPr>
      <w:r>
        <w:rPr>
          <w:noProof/>
        </w:rPr>
        <w:t>The fees could also be used by</w:t>
      </w:r>
      <w:r w:rsidRPr="00CE2185">
        <w:rPr>
          <w:noProof/>
        </w:rPr>
        <w:t xml:space="preserve"> ENISA </w:t>
      </w:r>
      <w:r>
        <w:rPr>
          <w:noProof/>
        </w:rPr>
        <w:t>to cover the cost of</w:t>
      </w:r>
      <w:r w:rsidRPr="00CE2185">
        <w:rPr>
          <w:noProof/>
        </w:rPr>
        <w:t xml:space="preserve"> training a pool of auditors in each Member State to perform the supervision tasks and to set up an internal governance ensuring uniform implementation of the schemes. </w:t>
      </w:r>
    </w:p>
    <w:p w14:paraId="31F12ACD" w14:textId="41CFC24A" w:rsidR="00803A83" w:rsidRPr="00CE2185" w:rsidRDefault="007005B9" w:rsidP="7410CB48">
      <w:pPr>
        <w:spacing w:after="120"/>
        <w:ind w:left="357"/>
        <w:rPr>
          <w:noProof/>
          <w:lang w:val="en-US"/>
        </w:rPr>
      </w:pPr>
      <w:r w:rsidRPr="00CE2185">
        <w:rPr>
          <w:noProof/>
        </w:rPr>
        <w:t>Regarding cost-offsetting</w:t>
      </w:r>
      <w:r w:rsidR="0078565B" w:rsidRPr="00CE2185">
        <w:rPr>
          <w:noProof/>
        </w:rPr>
        <w:t xml:space="preserve"> for ENISA after the </w:t>
      </w:r>
      <w:r w:rsidR="00DB4316" w:rsidRPr="00CE2185">
        <w:rPr>
          <w:noProof/>
        </w:rPr>
        <w:t>five-</w:t>
      </w:r>
      <w:r w:rsidR="0078565B" w:rsidRPr="00CE2185">
        <w:rPr>
          <w:noProof/>
        </w:rPr>
        <w:t>year period</w:t>
      </w:r>
      <w:r w:rsidRPr="00CE2185">
        <w:rPr>
          <w:noProof/>
        </w:rPr>
        <w:t xml:space="preserve">, </w:t>
      </w:r>
      <w:r w:rsidR="00BD3078" w:rsidRPr="00CE2185">
        <w:rPr>
          <w:noProof/>
        </w:rPr>
        <w:t xml:space="preserve">provided that operational costs for </w:t>
      </w:r>
      <w:r w:rsidR="0078565B" w:rsidRPr="00CE2185">
        <w:rPr>
          <w:noProof/>
        </w:rPr>
        <w:t>the Agency</w:t>
      </w:r>
      <w:r w:rsidR="00BD3078" w:rsidRPr="00CE2185">
        <w:rPr>
          <w:noProof/>
        </w:rPr>
        <w:t xml:space="preserve"> are estimated </w:t>
      </w:r>
      <w:r w:rsidR="00313EAF" w:rsidRPr="00CE2185">
        <w:rPr>
          <w:noProof/>
          <w:lang w:val="en-US"/>
        </w:rPr>
        <w:t>at EUR 1</w:t>
      </w:r>
      <w:r w:rsidR="00AD3770">
        <w:rPr>
          <w:noProof/>
          <w:lang w:val="en-US"/>
        </w:rPr>
        <w:t> </w:t>
      </w:r>
      <w:r w:rsidR="00313EAF" w:rsidRPr="00CE2185">
        <w:rPr>
          <w:noProof/>
          <w:lang w:val="en-US"/>
        </w:rPr>
        <w:t>064</w:t>
      </w:r>
      <w:r w:rsidR="00AD3770">
        <w:rPr>
          <w:noProof/>
          <w:lang w:val="en-US"/>
        </w:rPr>
        <w:t> </w:t>
      </w:r>
      <w:r w:rsidR="00313EAF" w:rsidRPr="00CE2185">
        <w:rPr>
          <w:noProof/>
          <w:lang w:val="en-US"/>
        </w:rPr>
        <w:t>600 in total over the first 5 years</w:t>
      </w:r>
      <w:r w:rsidR="00EA7E35" w:rsidRPr="00CE2185">
        <w:rPr>
          <w:noProof/>
          <w:lang w:val="en-US"/>
        </w:rPr>
        <w:t xml:space="preserve">, </w:t>
      </w:r>
      <w:r w:rsidR="0078565B" w:rsidRPr="00CE2185">
        <w:rPr>
          <w:noProof/>
          <w:lang w:val="en-US"/>
        </w:rPr>
        <w:t xml:space="preserve">i.e. </w:t>
      </w:r>
      <w:r w:rsidR="00CC572E" w:rsidRPr="00CE2185">
        <w:rPr>
          <w:noProof/>
          <w:lang w:val="en-US"/>
        </w:rPr>
        <w:t xml:space="preserve">recurring </w:t>
      </w:r>
      <w:r w:rsidR="00ED02EE" w:rsidRPr="00CE2185">
        <w:rPr>
          <w:noProof/>
          <w:lang w:val="en-US"/>
        </w:rPr>
        <w:t>EUR 212</w:t>
      </w:r>
      <w:r w:rsidR="00AD3770">
        <w:rPr>
          <w:noProof/>
          <w:lang w:val="en-US"/>
        </w:rPr>
        <w:t> </w:t>
      </w:r>
      <w:r w:rsidR="00B5699D" w:rsidRPr="00CE2185">
        <w:rPr>
          <w:noProof/>
          <w:lang w:val="en-US"/>
        </w:rPr>
        <w:t>920</w:t>
      </w:r>
      <w:r w:rsidR="00ED02EE" w:rsidRPr="00CE2185">
        <w:rPr>
          <w:noProof/>
          <w:lang w:val="en-US"/>
        </w:rPr>
        <w:t xml:space="preserve"> per year on average</w:t>
      </w:r>
      <w:r w:rsidR="001D6C38" w:rsidRPr="00CE2185">
        <w:rPr>
          <w:noProof/>
          <w:lang w:val="en-US"/>
        </w:rPr>
        <w:t xml:space="preserve">, </w:t>
      </w:r>
      <w:r w:rsidR="647D3FB3" w:rsidRPr="00CE2185">
        <w:rPr>
          <w:noProof/>
          <w:lang w:val="en-US"/>
        </w:rPr>
        <w:t>and admitting that the</w:t>
      </w:r>
      <w:r w:rsidR="001D6C38" w:rsidRPr="00CE2185">
        <w:rPr>
          <w:noProof/>
          <w:lang w:val="en-US"/>
        </w:rPr>
        <w:t xml:space="preserve"> </w:t>
      </w:r>
      <w:r w:rsidR="007359ED">
        <w:rPr>
          <w:noProof/>
          <w:lang w:val="en-US"/>
        </w:rPr>
        <w:t xml:space="preserve"> the approximated average cost of </w:t>
      </w:r>
      <w:r w:rsidR="00ED02EE" w:rsidRPr="00CE2185">
        <w:rPr>
          <w:noProof/>
          <w:lang w:val="en-US"/>
        </w:rPr>
        <w:t xml:space="preserve"> an</w:t>
      </w:r>
      <w:r w:rsidR="00DB4316" w:rsidRPr="00CE2185">
        <w:rPr>
          <w:noProof/>
          <w:lang w:val="en-US"/>
        </w:rPr>
        <w:t xml:space="preserve"> </w:t>
      </w:r>
      <w:r w:rsidR="00E14AEA" w:rsidRPr="00CE2185">
        <w:rPr>
          <w:noProof/>
          <w:lang w:val="en-US"/>
        </w:rPr>
        <w:t>authorisation</w:t>
      </w:r>
      <w:r w:rsidR="00DB4316" w:rsidRPr="00CE2185">
        <w:rPr>
          <w:noProof/>
          <w:lang w:val="en-US"/>
        </w:rPr>
        <w:t xml:space="preserve"> </w:t>
      </w:r>
      <w:r w:rsidR="1149114E" w:rsidRPr="4305DC8C">
        <w:rPr>
          <w:noProof/>
          <w:lang w:val="en-US"/>
        </w:rPr>
        <w:t xml:space="preserve">would amount to </w:t>
      </w:r>
      <w:r w:rsidR="00265556" w:rsidRPr="00CE2185">
        <w:rPr>
          <w:noProof/>
          <w:lang w:val="en-US"/>
        </w:rPr>
        <w:t>EUR 8</w:t>
      </w:r>
      <w:r w:rsidR="006F545D" w:rsidRPr="00CE2185">
        <w:rPr>
          <w:noProof/>
          <w:lang w:val="en-US"/>
        </w:rPr>
        <w:t> </w:t>
      </w:r>
      <w:r w:rsidR="00265556" w:rsidRPr="00CE2185">
        <w:rPr>
          <w:noProof/>
          <w:lang w:val="en-US"/>
        </w:rPr>
        <w:t>540 (see below,</w:t>
      </w:r>
      <w:r w:rsidR="00E14AEA" w:rsidRPr="00CE2185">
        <w:rPr>
          <w:noProof/>
          <w:lang w:val="en-US"/>
        </w:rPr>
        <w:t xml:space="preserve"> compliance costs for businesses and national authorities)</w:t>
      </w:r>
      <w:r w:rsidR="001F36E7" w:rsidRPr="00CE2185">
        <w:rPr>
          <w:noProof/>
          <w:lang w:val="en-US"/>
        </w:rPr>
        <w:t xml:space="preserve"> and</w:t>
      </w:r>
      <w:r w:rsidR="00DD30AE" w:rsidRPr="00CE2185">
        <w:rPr>
          <w:noProof/>
          <w:lang w:val="en-US"/>
        </w:rPr>
        <w:t xml:space="preserve"> </w:t>
      </w:r>
      <w:r w:rsidR="001D6C38" w:rsidRPr="00CE2185">
        <w:rPr>
          <w:noProof/>
          <w:lang w:val="en-US"/>
        </w:rPr>
        <w:t xml:space="preserve">that </w:t>
      </w:r>
      <w:r w:rsidR="00DD30AE" w:rsidRPr="00CE2185">
        <w:rPr>
          <w:noProof/>
          <w:lang w:val="en-US"/>
        </w:rPr>
        <w:t xml:space="preserve">renewing </w:t>
      </w:r>
      <w:r w:rsidR="7CF36BAA" w:rsidRPr="00CE2185">
        <w:rPr>
          <w:noProof/>
          <w:lang w:val="en-US"/>
        </w:rPr>
        <w:t>yearly</w:t>
      </w:r>
      <w:r w:rsidR="00DD30AE" w:rsidRPr="00CE2185">
        <w:rPr>
          <w:noProof/>
          <w:lang w:val="en-US"/>
        </w:rPr>
        <w:t xml:space="preserve"> the</w:t>
      </w:r>
      <w:r w:rsidR="001430F6" w:rsidRPr="00CE2185">
        <w:rPr>
          <w:noProof/>
          <w:lang w:val="en-US"/>
        </w:rPr>
        <w:t xml:space="preserve"> authorisation </w:t>
      </w:r>
      <w:r w:rsidR="001F36E7" w:rsidRPr="00CE2185">
        <w:rPr>
          <w:noProof/>
          <w:lang w:val="en-US"/>
        </w:rPr>
        <w:t xml:space="preserve"> </w:t>
      </w:r>
      <w:r w:rsidR="39CC14A9" w:rsidRPr="00CE2185">
        <w:rPr>
          <w:noProof/>
          <w:lang w:val="en-US"/>
        </w:rPr>
        <w:t>would cost on average</w:t>
      </w:r>
      <w:r w:rsidR="001F36E7" w:rsidRPr="00CE2185">
        <w:rPr>
          <w:noProof/>
          <w:lang w:val="en-US"/>
        </w:rPr>
        <w:t xml:space="preserve"> EUR 800 per year, </w:t>
      </w:r>
      <w:r w:rsidR="003572E1" w:rsidRPr="00CE2185">
        <w:rPr>
          <w:b/>
          <w:bCs/>
          <w:noProof/>
          <w:lang w:val="en-US"/>
        </w:rPr>
        <w:t xml:space="preserve">25 new </w:t>
      </w:r>
      <w:r w:rsidR="001D6C38" w:rsidRPr="00CE2185">
        <w:rPr>
          <w:b/>
          <w:bCs/>
          <w:noProof/>
          <w:lang w:val="en-US"/>
        </w:rPr>
        <w:t xml:space="preserve">attestation </w:t>
      </w:r>
      <w:r w:rsidR="003572E1" w:rsidRPr="00CE2185">
        <w:rPr>
          <w:b/>
          <w:bCs/>
          <w:noProof/>
          <w:lang w:val="en-US"/>
        </w:rPr>
        <w:t>providers would need to be authori</w:t>
      </w:r>
      <w:r w:rsidR="00233BC4" w:rsidRPr="00CE2185">
        <w:rPr>
          <w:b/>
          <w:bCs/>
          <w:noProof/>
          <w:lang w:val="en-US"/>
        </w:rPr>
        <w:t>s</w:t>
      </w:r>
      <w:r w:rsidR="003572E1" w:rsidRPr="00CE2185">
        <w:rPr>
          <w:b/>
          <w:bCs/>
          <w:noProof/>
          <w:lang w:val="en-US"/>
        </w:rPr>
        <w:t xml:space="preserve">ed every year </w:t>
      </w:r>
      <w:r w:rsidR="00091752" w:rsidRPr="00CE2185">
        <w:rPr>
          <w:b/>
          <w:bCs/>
          <w:noProof/>
          <w:lang w:val="en-US"/>
        </w:rPr>
        <w:t>or 266 authorisation renewals</w:t>
      </w:r>
      <w:r w:rsidR="00091752" w:rsidRPr="00CE2185">
        <w:rPr>
          <w:noProof/>
          <w:lang w:val="en-US"/>
        </w:rPr>
        <w:t xml:space="preserve"> </w:t>
      </w:r>
      <w:r w:rsidR="00091752" w:rsidRPr="00CE2185">
        <w:rPr>
          <w:b/>
          <w:bCs/>
          <w:noProof/>
          <w:lang w:val="en-US"/>
        </w:rPr>
        <w:t>granted</w:t>
      </w:r>
      <w:r w:rsidR="00091752" w:rsidRPr="00CE2185">
        <w:rPr>
          <w:noProof/>
          <w:lang w:val="en-US"/>
        </w:rPr>
        <w:t xml:space="preserve"> </w:t>
      </w:r>
      <w:r w:rsidR="003572E1" w:rsidRPr="00CE2185">
        <w:rPr>
          <w:b/>
          <w:bCs/>
          <w:noProof/>
          <w:lang w:val="en-US"/>
        </w:rPr>
        <w:t>to offset the operational costs</w:t>
      </w:r>
      <w:r w:rsidR="00CE26FA" w:rsidRPr="00CE2185">
        <w:rPr>
          <w:noProof/>
          <w:lang w:val="en-US"/>
        </w:rPr>
        <w:t xml:space="preserve"> incurred by ENISA.</w:t>
      </w:r>
      <w:r w:rsidR="005202EF" w:rsidRPr="00CE2185">
        <w:rPr>
          <w:noProof/>
          <w:lang w:val="en-US"/>
        </w:rPr>
        <w:t xml:space="preserve"> </w:t>
      </w:r>
      <w:r w:rsidR="00E77C54" w:rsidRPr="00CE2185">
        <w:rPr>
          <w:noProof/>
          <w:lang w:val="en-US"/>
        </w:rPr>
        <w:t xml:space="preserve">On the medium run, it can be anticipated that </w:t>
      </w:r>
      <w:r w:rsidR="008B55E4" w:rsidRPr="00CE2185">
        <w:rPr>
          <w:noProof/>
          <w:lang w:val="en-US"/>
        </w:rPr>
        <w:t xml:space="preserve">cost-offsetting should be a hybrid model </w:t>
      </w:r>
      <w:r w:rsidR="00A0407F" w:rsidRPr="00CE2185">
        <w:rPr>
          <w:noProof/>
          <w:lang w:val="en-US"/>
        </w:rPr>
        <w:t>of authorisations for new providers and renewals.</w:t>
      </w:r>
    </w:p>
    <w:p w14:paraId="558F3262" w14:textId="60CF88B5" w:rsidR="00766FC4" w:rsidRPr="00CE2185" w:rsidRDefault="007C34CB" w:rsidP="00EE3DF9">
      <w:pPr>
        <w:numPr>
          <w:ilvl w:val="0"/>
          <w:numId w:val="8"/>
        </w:numPr>
        <w:spacing w:after="120"/>
        <w:ind w:left="357" w:hanging="357"/>
        <w:rPr>
          <w:noProof/>
          <w:lang w:val="en-IE"/>
        </w:rPr>
      </w:pPr>
      <w:r w:rsidRPr="00CE2185">
        <w:rPr>
          <w:noProof/>
        </w:rPr>
        <w:t>Sixthly</w:t>
      </w:r>
      <w:r w:rsidR="00D86922" w:rsidRPr="00CE2185">
        <w:rPr>
          <w:noProof/>
        </w:rPr>
        <w:t>,</w:t>
      </w:r>
      <w:r w:rsidR="0047342A" w:rsidRPr="00CE2185">
        <w:rPr>
          <w:noProof/>
        </w:rPr>
        <w:t xml:space="preserve"> </w:t>
      </w:r>
      <w:r w:rsidR="005B3145" w:rsidRPr="00CE2185">
        <w:rPr>
          <w:noProof/>
        </w:rPr>
        <w:t>in</w:t>
      </w:r>
      <w:r w:rsidR="0047342A" w:rsidRPr="00CE2185">
        <w:rPr>
          <w:noProof/>
        </w:rPr>
        <w:t xml:space="preserve"> </w:t>
      </w:r>
      <w:r w:rsidR="00871700" w:rsidRPr="00CE2185">
        <w:rPr>
          <w:noProof/>
        </w:rPr>
        <w:t xml:space="preserve">relation </w:t>
      </w:r>
      <w:r w:rsidR="00AD1FEA" w:rsidRPr="00CE2185">
        <w:rPr>
          <w:noProof/>
        </w:rPr>
        <w:t xml:space="preserve">to </w:t>
      </w:r>
      <w:r w:rsidR="00871700" w:rsidRPr="00CE2185">
        <w:rPr>
          <w:noProof/>
        </w:rPr>
        <w:t>the</w:t>
      </w:r>
      <w:r w:rsidR="005B3145" w:rsidRPr="00CE2185">
        <w:rPr>
          <w:noProof/>
        </w:rPr>
        <w:t xml:space="preserve"> </w:t>
      </w:r>
      <w:r w:rsidR="006C38C4" w:rsidRPr="00CE2185">
        <w:rPr>
          <w:b/>
          <w:bCs/>
          <w:noProof/>
        </w:rPr>
        <w:t>CRA</w:t>
      </w:r>
      <w:r w:rsidR="00AD1FEA" w:rsidRPr="00CE2185">
        <w:rPr>
          <w:b/>
          <w:bCs/>
          <w:noProof/>
        </w:rPr>
        <w:t xml:space="preserve"> single reporting platform</w:t>
      </w:r>
      <w:r w:rsidR="00D262B7" w:rsidRPr="00CE2185">
        <w:rPr>
          <w:b/>
          <w:bCs/>
          <w:noProof/>
        </w:rPr>
        <w:t xml:space="preserve"> (SRP)</w:t>
      </w:r>
      <w:r w:rsidR="00A8446F" w:rsidRPr="00A8446F">
        <w:rPr>
          <w:noProof/>
        </w:rPr>
        <w:t xml:space="preserve"> </w:t>
      </w:r>
      <w:r w:rsidR="00A8446F" w:rsidRPr="00A8446F">
        <w:rPr>
          <w:b/>
          <w:bCs/>
          <w:noProof/>
        </w:rPr>
        <w:t>and the single entry point (SEP</w:t>
      </w:r>
      <w:r w:rsidR="00A8446F">
        <w:rPr>
          <w:b/>
          <w:bCs/>
          <w:noProof/>
        </w:rPr>
        <w:t>)</w:t>
      </w:r>
      <w:r w:rsidR="00484430" w:rsidRPr="00CE2185">
        <w:rPr>
          <w:noProof/>
        </w:rPr>
        <w:t>,</w:t>
      </w:r>
      <w:r w:rsidR="006C38C4" w:rsidRPr="00CE2185">
        <w:rPr>
          <w:noProof/>
        </w:rPr>
        <w:t xml:space="preserve"> </w:t>
      </w:r>
      <w:r w:rsidR="00A24544" w:rsidRPr="00CE2185">
        <w:rPr>
          <w:b/>
          <w:noProof/>
        </w:rPr>
        <w:t>23</w:t>
      </w:r>
      <w:r w:rsidR="008A6B8E" w:rsidRPr="00CE2185">
        <w:rPr>
          <w:b/>
          <w:bCs/>
          <w:noProof/>
        </w:rPr>
        <w:t xml:space="preserve"> </w:t>
      </w:r>
      <w:r w:rsidR="005F0AA3" w:rsidRPr="00CE2185">
        <w:rPr>
          <w:b/>
          <w:noProof/>
        </w:rPr>
        <w:t>FTEs</w:t>
      </w:r>
      <w:r w:rsidR="005F0AA3" w:rsidRPr="00CE2185">
        <w:rPr>
          <w:noProof/>
        </w:rPr>
        <w:t xml:space="preserve"> are needed</w:t>
      </w:r>
      <w:r w:rsidR="006F545D" w:rsidRPr="00CE2185">
        <w:rPr>
          <w:noProof/>
        </w:rPr>
        <w:t>:</w:t>
      </w:r>
      <w:r w:rsidR="00BF1325" w:rsidRPr="00CE2185">
        <w:rPr>
          <w:noProof/>
        </w:rPr>
        <w:t xml:space="preserve"> </w:t>
      </w:r>
      <w:r w:rsidR="000F230C" w:rsidRPr="00CE2185">
        <w:rPr>
          <w:noProof/>
        </w:rPr>
        <w:t xml:space="preserve">10 FTEs </w:t>
      </w:r>
      <w:r w:rsidR="00981A70" w:rsidRPr="00CE2185">
        <w:rPr>
          <w:noProof/>
        </w:rPr>
        <w:t xml:space="preserve">for the </w:t>
      </w:r>
      <w:r w:rsidR="000F230C" w:rsidRPr="00CE2185">
        <w:rPr>
          <w:b/>
          <w:noProof/>
        </w:rPr>
        <w:t xml:space="preserve">management of the </w:t>
      </w:r>
      <w:r w:rsidR="00A8446F">
        <w:rPr>
          <w:b/>
          <w:noProof/>
        </w:rPr>
        <w:t>SRP</w:t>
      </w:r>
      <w:r w:rsidR="00733B70" w:rsidRPr="00CE2185">
        <w:rPr>
          <w:b/>
          <w:noProof/>
        </w:rPr>
        <w:t>,</w:t>
      </w:r>
      <w:r w:rsidR="000F230C" w:rsidRPr="00CE2185">
        <w:rPr>
          <w:noProof/>
        </w:rPr>
        <w:t xml:space="preserve"> </w:t>
      </w:r>
      <w:r w:rsidR="008A6B8E" w:rsidRPr="00CE2185">
        <w:rPr>
          <w:noProof/>
        </w:rPr>
        <w:t xml:space="preserve">5 </w:t>
      </w:r>
      <w:r w:rsidR="0081516B" w:rsidRPr="00CE2185">
        <w:rPr>
          <w:noProof/>
        </w:rPr>
        <w:t xml:space="preserve">FTEs for </w:t>
      </w:r>
      <w:r w:rsidR="00A8446F">
        <w:rPr>
          <w:noProof/>
        </w:rPr>
        <w:t xml:space="preserve">related </w:t>
      </w:r>
      <w:r w:rsidR="0081516B" w:rsidRPr="00CE2185">
        <w:rPr>
          <w:noProof/>
        </w:rPr>
        <w:t>platform services (vulnerability analysis)</w:t>
      </w:r>
      <w:r w:rsidR="00766FC4" w:rsidRPr="00CE2185">
        <w:rPr>
          <w:noProof/>
          <w:lang w:val="en-IE"/>
        </w:rPr>
        <w:t xml:space="preserve"> </w:t>
      </w:r>
      <w:r w:rsidR="00733B70" w:rsidRPr="00CE2185">
        <w:rPr>
          <w:noProof/>
          <w:lang w:val="en-IE"/>
        </w:rPr>
        <w:t>and</w:t>
      </w:r>
      <w:r w:rsidR="00766FC4" w:rsidRPr="00CE2185">
        <w:rPr>
          <w:noProof/>
          <w:lang w:val="en-IE"/>
        </w:rPr>
        <w:t xml:space="preserve"> </w:t>
      </w:r>
      <w:r w:rsidR="00766FC4" w:rsidRPr="00CE2185">
        <w:rPr>
          <w:noProof/>
        </w:rPr>
        <w:t xml:space="preserve">to cater for future needs driven by legislative developments, </w:t>
      </w:r>
      <w:r w:rsidR="009844A7" w:rsidRPr="00CE2185">
        <w:rPr>
          <w:noProof/>
        </w:rPr>
        <w:t>8</w:t>
      </w:r>
      <w:r w:rsidR="007C3249" w:rsidRPr="00CE2185">
        <w:rPr>
          <w:noProof/>
        </w:rPr>
        <w:t> </w:t>
      </w:r>
      <w:r w:rsidR="00766FC4" w:rsidRPr="00CE2185">
        <w:rPr>
          <w:noProof/>
        </w:rPr>
        <w:t>additional FTEs should be foreseen</w:t>
      </w:r>
      <w:r w:rsidR="00E12D47" w:rsidRPr="00CE2185">
        <w:rPr>
          <w:noProof/>
        </w:rPr>
        <w:t xml:space="preserve"> for </w:t>
      </w:r>
      <w:r w:rsidR="00E12D47" w:rsidRPr="00CE2185">
        <w:rPr>
          <w:b/>
          <w:noProof/>
        </w:rPr>
        <w:t>managing the single</w:t>
      </w:r>
      <w:r w:rsidR="00F04D88" w:rsidRPr="00CE2185">
        <w:rPr>
          <w:b/>
          <w:noProof/>
        </w:rPr>
        <w:t>-</w:t>
      </w:r>
      <w:r w:rsidR="00E12D47" w:rsidRPr="00CE2185">
        <w:rPr>
          <w:b/>
          <w:noProof/>
        </w:rPr>
        <w:t>entry point</w:t>
      </w:r>
      <w:r w:rsidR="00CE0DDD" w:rsidRPr="00CE2185">
        <w:rPr>
          <w:noProof/>
        </w:rPr>
        <w:t xml:space="preserve"> </w:t>
      </w:r>
      <w:r w:rsidR="00557748" w:rsidRPr="00CE2185">
        <w:rPr>
          <w:noProof/>
        </w:rPr>
        <w:t xml:space="preserve">where the CRA platform will also be integrated </w:t>
      </w:r>
      <w:r w:rsidR="00CE0DDD" w:rsidRPr="00CE2185">
        <w:rPr>
          <w:noProof/>
        </w:rPr>
        <w:t xml:space="preserve">(in connection with the </w:t>
      </w:r>
      <w:r w:rsidR="000B1505" w:rsidRPr="00CE2185">
        <w:rPr>
          <w:noProof/>
        </w:rPr>
        <w:t>Digital Omnibus</w:t>
      </w:r>
      <w:r w:rsidR="002B1826" w:rsidRPr="00CE2185">
        <w:rPr>
          <w:noProof/>
        </w:rPr>
        <w:t xml:space="preserve"> </w:t>
      </w:r>
      <w:r w:rsidR="002B1826" w:rsidRPr="00CE2185">
        <w:rPr>
          <w:i/>
          <w:noProof/>
        </w:rPr>
        <w:t xml:space="preserve">see </w:t>
      </w:r>
      <w:r w:rsidR="002B1826" w:rsidRPr="00CE2185">
        <w:rPr>
          <w:i/>
          <w:iCs/>
          <w:noProof/>
        </w:rPr>
        <w:t>Section 5.4</w:t>
      </w:r>
      <w:r w:rsidR="0077722C" w:rsidRPr="00CE2185">
        <w:rPr>
          <w:noProof/>
        </w:rPr>
        <w:t>)</w:t>
      </w:r>
      <w:r w:rsidR="00E12D47" w:rsidRPr="00CE2185">
        <w:rPr>
          <w:noProof/>
        </w:rPr>
        <w:t xml:space="preserve">. </w:t>
      </w:r>
      <w:r w:rsidR="004B737E" w:rsidRPr="00CE2185">
        <w:rPr>
          <w:noProof/>
        </w:rPr>
        <w:t xml:space="preserve">This amounts to a total of </w:t>
      </w:r>
      <w:r w:rsidR="004B737E" w:rsidRPr="00CE2185">
        <w:rPr>
          <w:b/>
          <w:noProof/>
        </w:rPr>
        <w:t xml:space="preserve">EUR </w:t>
      </w:r>
      <w:r w:rsidR="0017583D" w:rsidRPr="00CE2185">
        <w:rPr>
          <w:b/>
          <w:noProof/>
        </w:rPr>
        <w:t>2 950 371</w:t>
      </w:r>
      <w:r w:rsidR="00E2641A" w:rsidRPr="00CE2185">
        <w:rPr>
          <w:b/>
          <w:bCs/>
          <w:noProof/>
        </w:rPr>
        <w:t xml:space="preserve"> </w:t>
      </w:r>
      <w:r w:rsidR="000B1505" w:rsidRPr="00CE2185">
        <w:rPr>
          <w:b/>
          <w:noProof/>
        </w:rPr>
        <w:t>per year</w:t>
      </w:r>
      <w:r w:rsidR="00A92768" w:rsidRPr="00CE2185">
        <w:rPr>
          <w:b/>
          <w:bCs/>
          <w:noProof/>
        </w:rPr>
        <w:t xml:space="preserve">, as </w:t>
      </w:r>
      <w:r w:rsidR="00A92768" w:rsidRPr="00CE2185">
        <w:rPr>
          <w:noProof/>
        </w:rPr>
        <w:t xml:space="preserve">a </w:t>
      </w:r>
      <w:r w:rsidR="00794014" w:rsidRPr="00CE2185">
        <w:rPr>
          <w:noProof/>
        </w:rPr>
        <w:t>recurr</w:t>
      </w:r>
      <w:r w:rsidR="00CC572E" w:rsidRPr="00CE2185">
        <w:rPr>
          <w:noProof/>
        </w:rPr>
        <w:t>ing</w:t>
      </w:r>
      <w:r w:rsidR="00794014" w:rsidRPr="00CE2185">
        <w:rPr>
          <w:noProof/>
        </w:rPr>
        <w:t xml:space="preserve"> cost</w:t>
      </w:r>
      <w:r w:rsidR="00D255B6" w:rsidRPr="00CE2185">
        <w:rPr>
          <w:noProof/>
        </w:rPr>
        <w:t xml:space="preserve"> </w:t>
      </w:r>
      <w:r w:rsidR="00AE4D2F" w:rsidRPr="00CE2185">
        <w:rPr>
          <w:noProof/>
        </w:rPr>
        <w:t>(i.e.</w:t>
      </w:r>
      <w:r w:rsidR="00230685" w:rsidRPr="00CE2185">
        <w:rPr>
          <w:noProof/>
        </w:rPr>
        <w:t xml:space="preserve"> EUR </w:t>
      </w:r>
      <w:r w:rsidR="00007A87" w:rsidRPr="00CE2185">
        <w:rPr>
          <w:noProof/>
        </w:rPr>
        <w:t xml:space="preserve">14.75M </w:t>
      </w:r>
      <w:r w:rsidR="00230685" w:rsidRPr="00CE2185">
        <w:rPr>
          <w:noProof/>
        </w:rPr>
        <w:t>over 5 years</w:t>
      </w:r>
      <w:r w:rsidR="00794014" w:rsidRPr="00CE2185">
        <w:rPr>
          <w:noProof/>
        </w:rPr>
        <w:t>)</w:t>
      </w:r>
      <w:r w:rsidR="002E2D16" w:rsidRPr="00CE2185">
        <w:rPr>
          <w:noProof/>
          <w:lang w:val="hu-HU"/>
        </w:rPr>
        <w:t>.</w:t>
      </w:r>
      <w:r w:rsidR="00C640AC" w:rsidRPr="00CE2185">
        <w:rPr>
          <w:noProof/>
          <w:lang w:val="hu-HU"/>
        </w:rPr>
        <w:t xml:space="preserve"> </w:t>
      </w:r>
    </w:p>
    <w:p w14:paraId="35CE7C33" w14:textId="77777777" w:rsidR="00CD3C1D" w:rsidRPr="00CE2185" w:rsidRDefault="00A26BEB" w:rsidP="00977C14">
      <w:pPr>
        <w:spacing w:after="120"/>
        <w:ind w:left="357"/>
        <w:rPr>
          <w:noProof/>
          <w:lang w:val="en-IE"/>
        </w:rPr>
      </w:pPr>
      <w:r w:rsidRPr="00CE2185">
        <w:rPr>
          <w:noProof/>
          <w:lang w:val="en-IE"/>
        </w:rPr>
        <w:t xml:space="preserve">In addition, </w:t>
      </w:r>
      <w:r w:rsidR="00D76B80" w:rsidRPr="00CE2185">
        <w:rPr>
          <w:noProof/>
          <w:lang w:val="en-IE"/>
        </w:rPr>
        <w:t>o</w:t>
      </w:r>
      <w:r w:rsidR="00977C14" w:rsidRPr="00CE2185">
        <w:rPr>
          <w:noProof/>
          <w:lang w:val="en-IE"/>
        </w:rPr>
        <w:t>ther</w:t>
      </w:r>
      <w:r w:rsidR="00036A87" w:rsidRPr="00CE2185">
        <w:rPr>
          <w:noProof/>
          <w:lang w:val="en-IE"/>
        </w:rPr>
        <w:t xml:space="preserve"> </w:t>
      </w:r>
      <w:r w:rsidR="005D2D3D" w:rsidRPr="00CE2185">
        <w:rPr>
          <w:noProof/>
          <w:lang w:val="en-IE"/>
        </w:rPr>
        <w:t xml:space="preserve">costs </w:t>
      </w:r>
      <w:r w:rsidR="00D76B80" w:rsidRPr="00CE2185">
        <w:rPr>
          <w:noProof/>
          <w:lang w:val="en-IE"/>
        </w:rPr>
        <w:t xml:space="preserve">amounting to </w:t>
      </w:r>
      <w:r w:rsidR="00D76B80" w:rsidRPr="00CE2185">
        <w:rPr>
          <w:b/>
          <w:bCs/>
          <w:noProof/>
          <w:lang w:val="en-IE"/>
        </w:rPr>
        <w:t xml:space="preserve">EUR 18 million </w:t>
      </w:r>
      <w:r w:rsidR="00320311" w:rsidRPr="00CE2185">
        <w:rPr>
          <w:b/>
          <w:bCs/>
          <w:noProof/>
          <w:lang w:val="en-IE"/>
        </w:rPr>
        <w:t>over five years</w:t>
      </w:r>
      <w:r w:rsidR="00D76B80" w:rsidRPr="00CE2185">
        <w:rPr>
          <w:noProof/>
          <w:lang w:val="en-IE"/>
        </w:rPr>
        <w:t xml:space="preserve"> </w:t>
      </w:r>
      <w:r w:rsidR="00977C14" w:rsidRPr="00CE2185">
        <w:rPr>
          <w:noProof/>
          <w:lang w:val="en-IE"/>
        </w:rPr>
        <w:t>will occur</w:t>
      </w:r>
      <w:r w:rsidR="00D13FE4" w:rsidRPr="00CE2185">
        <w:rPr>
          <w:noProof/>
          <w:lang w:val="en-IE"/>
        </w:rPr>
        <w:t xml:space="preserve"> related to the operation and on-going maintenance</w:t>
      </w:r>
      <w:r w:rsidR="00977C14" w:rsidRPr="00CE2185">
        <w:rPr>
          <w:noProof/>
          <w:lang w:val="en-IE"/>
        </w:rPr>
        <w:t xml:space="preserve"> </w:t>
      </w:r>
      <w:r w:rsidR="00D13FE4" w:rsidRPr="00CE2185">
        <w:rPr>
          <w:noProof/>
          <w:lang w:val="en-IE"/>
        </w:rPr>
        <w:t>(e.g. renting out for server space, paying for software licences</w:t>
      </w:r>
      <w:r w:rsidR="00766FC4" w:rsidRPr="00CE2185">
        <w:rPr>
          <w:noProof/>
          <w:lang w:val="en-IE"/>
        </w:rPr>
        <w:t>)</w:t>
      </w:r>
      <w:r w:rsidR="00D76B80" w:rsidRPr="00CE2185">
        <w:rPr>
          <w:noProof/>
          <w:lang w:val="en-IE"/>
        </w:rPr>
        <w:t>, as follows</w:t>
      </w:r>
      <w:r w:rsidR="00977C14" w:rsidRPr="00CE2185">
        <w:rPr>
          <w:noProof/>
          <w:lang w:val="en-IE"/>
        </w:rPr>
        <w:t>.</w:t>
      </w:r>
      <w:r w:rsidR="00766FC4" w:rsidRPr="00CE2185">
        <w:rPr>
          <w:noProof/>
          <w:lang w:val="en-IE"/>
        </w:rPr>
        <w:t xml:space="preserve"> For the CRA single reporting platform</w:t>
      </w:r>
      <w:r w:rsidR="00733CA1" w:rsidRPr="00CE2185">
        <w:rPr>
          <w:noProof/>
          <w:lang w:val="en-IE"/>
        </w:rPr>
        <w:t xml:space="preserve"> </w:t>
      </w:r>
      <w:r w:rsidR="004B1A64" w:rsidRPr="00CE2185">
        <w:rPr>
          <w:noProof/>
          <w:lang w:val="en-IE"/>
        </w:rPr>
        <w:t>and d</w:t>
      </w:r>
      <w:r w:rsidR="00977C14" w:rsidRPr="00CE2185">
        <w:rPr>
          <w:noProof/>
          <w:lang w:val="en-IE"/>
        </w:rPr>
        <w:t>epending on the final architecture of the CRA platform</w:t>
      </w:r>
      <w:r w:rsidR="006D0D7D" w:rsidRPr="00CE2185">
        <w:rPr>
          <w:noProof/>
          <w:lang w:val="en-IE"/>
        </w:rPr>
        <w:t xml:space="preserve"> (including possible extensions </w:t>
      </w:r>
      <w:r w:rsidR="00BE410A" w:rsidRPr="00CE2185">
        <w:rPr>
          <w:noProof/>
          <w:lang w:val="en-IE"/>
        </w:rPr>
        <w:t xml:space="preserve">with the </w:t>
      </w:r>
      <w:r w:rsidR="1D2F5887" w:rsidRPr="00CE2185">
        <w:rPr>
          <w:noProof/>
          <w:lang w:val="en-IE"/>
        </w:rPr>
        <w:t>single-entry</w:t>
      </w:r>
      <w:r w:rsidR="00BE410A" w:rsidRPr="00CE2185">
        <w:rPr>
          <w:noProof/>
          <w:lang w:val="en-IE"/>
        </w:rPr>
        <w:t xml:space="preserve"> point</w:t>
      </w:r>
      <w:r w:rsidR="00965A71" w:rsidRPr="00CE2185">
        <w:rPr>
          <w:noProof/>
          <w:lang w:val="en-IE"/>
        </w:rPr>
        <w:t>)</w:t>
      </w:r>
      <w:r w:rsidR="00977C14" w:rsidRPr="00CE2185">
        <w:rPr>
          <w:noProof/>
          <w:lang w:val="en-IE"/>
        </w:rPr>
        <w:t xml:space="preserve">, those costs could amount yearly </w:t>
      </w:r>
      <w:r w:rsidR="00766FC4" w:rsidRPr="00CE2185">
        <w:rPr>
          <w:noProof/>
          <w:lang w:val="en-IE"/>
        </w:rPr>
        <w:t xml:space="preserve">for </w:t>
      </w:r>
      <w:r w:rsidR="00977C14" w:rsidRPr="00CE2185">
        <w:rPr>
          <w:noProof/>
          <w:lang w:val="en-IE"/>
        </w:rPr>
        <w:t>up to</w:t>
      </w:r>
      <w:r w:rsidR="00D13FE4" w:rsidRPr="00CE2185">
        <w:rPr>
          <w:noProof/>
          <w:lang w:val="en-IE"/>
        </w:rPr>
        <w:t xml:space="preserve"> </w:t>
      </w:r>
      <w:r w:rsidR="00977C14" w:rsidRPr="00CE2185">
        <w:rPr>
          <w:noProof/>
          <w:lang w:val="en-IE"/>
        </w:rPr>
        <w:t xml:space="preserve">EUR </w:t>
      </w:r>
      <w:r w:rsidR="00EC61C1" w:rsidRPr="00CE2185">
        <w:rPr>
          <w:noProof/>
          <w:lang w:val="en-IE"/>
        </w:rPr>
        <w:t>2</w:t>
      </w:r>
      <w:r w:rsidR="000B601B" w:rsidRPr="00CE2185">
        <w:rPr>
          <w:noProof/>
          <w:lang w:val="en-IE"/>
        </w:rPr>
        <w:t>M</w:t>
      </w:r>
      <w:r w:rsidR="008060F3" w:rsidRPr="00CE2185">
        <w:rPr>
          <w:noProof/>
          <w:lang w:val="en-IE"/>
        </w:rPr>
        <w:t xml:space="preserve"> recurr</w:t>
      </w:r>
      <w:r w:rsidR="00A92768" w:rsidRPr="00CE2185">
        <w:rPr>
          <w:noProof/>
          <w:lang w:val="en-IE"/>
        </w:rPr>
        <w:t>ing</w:t>
      </w:r>
      <w:r w:rsidR="008060F3" w:rsidRPr="00CE2185">
        <w:rPr>
          <w:noProof/>
          <w:lang w:val="en-IE"/>
        </w:rPr>
        <w:t xml:space="preserve"> costs</w:t>
      </w:r>
      <w:r w:rsidR="00A717E9" w:rsidRPr="00CE2185">
        <w:rPr>
          <w:noProof/>
          <w:lang w:val="en-IE"/>
        </w:rPr>
        <w:t xml:space="preserve">, i.e. a </w:t>
      </w:r>
      <w:r w:rsidR="00270F1D" w:rsidRPr="00CE2185">
        <w:rPr>
          <w:b/>
          <w:bCs/>
          <w:noProof/>
          <w:lang w:val="en-IE"/>
        </w:rPr>
        <w:t>total of EUR 10</w:t>
      </w:r>
      <w:r w:rsidR="000B601B" w:rsidRPr="00CE2185">
        <w:rPr>
          <w:b/>
          <w:bCs/>
          <w:noProof/>
          <w:lang w:val="en-IE"/>
        </w:rPr>
        <w:t>M</w:t>
      </w:r>
      <w:r w:rsidR="00160175" w:rsidRPr="00CE2185">
        <w:rPr>
          <w:noProof/>
          <w:lang w:val="en-IE"/>
        </w:rPr>
        <w:t xml:space="preserve"> over 5 years</w:t>
      </w:r>
      <w:r w:rsidR="00FC528B" w:rsidRPr="00CE2185">
        <w:rPr>
          <w:noProof/>
          <w:lang w:val="en-IE"/>
        </w:rPr>
        <w:t>.</w:t>
      </w:r>
      <w:r w:rsidR="00FC528B" w:rsidRPr="00CE2185">
        <w:rPr>
          <w:b/>
          <w:bCs/>
          <w:noProof/>
          <w:lang w:val="en-IE"/>
        </w:rPr>
        <w:t xml:space="preserve"> </w:t>
      </w:r>
      <w:r w:rsidR="00FC528B" w:rsidRPr="00CE2185">
        <w:rPr>
          <w:noProof/>
          <w:lang w:val="en-IE"/>
        </w:rPr>
        <w:t>The estimate is based on preliminary experience in setting up the platform</w:t>
      </w:r>
      <w:r w:rsidR="00766FC4" w:rsidRPr="00CE2185">
        <w:rPr>
          <w:noProof/>
          <w:lang w:val="en-IE"/>
        </w:rPr>
        <w:t xml:space="preserve"> (</w:t>
      </w:r>
      <w:r w:rsidR="00766FC4" w:rsidRPr="00CE2185">
        <w:rPr>
          <w:i/>
          <w:iCs/>
          <w:noProof/>
          <w:lang w:val="en-IE"/>
        </w:rPr>
        <w:t>see</w:t>
      </w:r>
      <w:r w:rsidR="00766FC4" w:rsidRPr="00CE2185">
        <w:rPr>
          <w:noProof/>
          <w:lang w:val="en-IE"/>
        </w:rPr>
        <w:t xml:space="preserve"> </w:t>
      </w:r>
      <w:r w:rsidR="00766FC4" w:rsidRPr="00CE2185">
        <w:rPr>
          <w:i/>
          <w:iCs/>
          <w:noProof/>
          <w:lang w:val="en-IE"/>
        </w:rPr>
        <w:t>Annex 4</w:t>
      </w:r>
      <w:r w:rsidR="006542CA" w:rsidRPr="00CE2185">
        <w:rPr>
          <w:i/>
          <w:iCs/>
          <w:noProof/>
          <w:lang w:val="en-IE"/>
        </w:rPr>
        <w:t>, section 4.1.2.</w:t>
      </w:r>
      <w:r w:rsidR="00655B49" w:rsidRPr="00CE2185">
        <w:rPr>
          <w:i/>
          <w:iCs/>
          <w:noProof/>
          <w:lang w:val="en-IE"/>
        </w:rPr>
        <w:t>2</w:t>
      </w:r>
      <w:r w:rsidR="006542CA" w:rsidRPr="00CE2185">
        <w:rPr>
          <w:i/>
          <w:iCs/>
          <w:noProof/>
          <w:lang w:val="en-IE"/>
        </w:rPr>
        <w:t>(b)</w:t>
      </w:r>
      <w:r w:rsidR="00766FC4" w:rsidRPr="00CE2185">
        <w:rPr>
          <w:noProof/>
          <w:lang w:val="en-IE"/>
        </w:rPr>
        <w:t>)</w:t>
      </w:r>
      <w:r w:rsidR="00EC61C1" w:rsidRPr="00CE2185">
        <w:rPr>
          <w:noProof/>
          <w:lang w:val="en-IE"/>
        </w:rPr>
        <w:t xml:space="preserve">. </w:t>
      </w:r>
    </w:p>
    <w:p w14:paraId="69C14838" w14:textId="17446474" w:rsidR="007A3A8F" w:rsidRPr="00CE2185" w:rsidRDefault="00C640AC" w:rsidP="00977C14">
      <w:pPr>
        <w:spacing w:after="120"/>
        <w:ind w:left="357"/>
        <w:rPr>
          <w:noProof/>
          <w:lang w:val="en-IE"/>
        </w:rPr>
      </w:pPr>
      <w:r w:rsidRPr="00CE2185">
        <w:rPr>
          <w:noProof/>
        </w:rPr>
        <w:t xml:space="preserve">Furthermore, </w:t>
      </w:r>
      <w:r w:rsidR="00687C63" w:rsidRPr="00CE2185">
        <w:rPr>
          <w:noProof/>
        </w:rPr>
        <w:t>the</w:t>
      </w:r>
      <w:r w:rsidRPr="00CE2185">
        <w:rPr>
          <w:noProof/>
        </w:rPr>
        <w:t xml:space="preserve"> </w:t>
      </w:r>
      <w:r w:rsidR="00DE4F14" w:rsidRPr="00CE2185">
        <w:rPr>
          <w:noProof/>
        </w:rPr>
        <w:t xml:space="preserve">extension of the CRA </w:t>
      </w:r>
      <w:r w:rsidR="00E61B3D" w:rsidRPr="00CE2185">
        <w:rPr>
          <w:noProof/>
        </w:rPr>
        <w:t>s</w:t>
      </w:r>
      <w:r w:rsidR="00DE4F14" w:rsidRPr="00CE2185">
        <w:rPr>
          <w:noProof/>
        </w:rPr>
        <w:t xml:space="preserve">ingle reporting platform to the </w:t>
      </w:r>
      <w:r w:rsidR="00A66FCC" w:rsidRPr="00CE2185">
        <w:rPr>
          <w:noProof/>
        </w:rPr>
        <w:t>s</w:t>
      </w:r>
      <w:r w:rsidR="00DE4F14" w:rsidRPr="00CE2185">
        <w:rPr>
          <w:noProof/>
        </w:rPr>
        <w:t xml:space="preserve">ingle-entry point is expected to amount to initial </w:t>
      </w:r>
      <w:r w:rsidR="004C0302" w:rsidRPr="00CE2185">
        <w:rPr>
          <w:noProof/>
        </w:rPr>
        <w:t>one-off adjustment cost</w:t>
      </w:r>
      <w:r w:rsidR="00816BA4" w:rsidRPr="00CE2185">
        <w:rPr>
          <w:noProof/>
        </w:rPr>
        <w:t>s</w:t>
      </w:r>
      <w:r w:rsidR="004C0302" w:rsidRPr="00CE2185">
        <w:rPr>
          <w:noProof/>
        </w:rPr>
        <w:t xml:space="preserve"> of</w:t>
      </w:r>
      <w:r w:rsidR="004C0302" w:rsidRPr="00CE2185">
        <w:rPr>
          <w:b/>
          <w:noProof/>
        </w:rPr>
        <w:t xml:space="preserve"> </w:t>
      </w:r>
      <w:r w:rsidR="00DE4F14" w:rsidRPr="00CE2185">
        <w:rPr>
          <w:noProof/>
        </w:rPr>
        <w:t>EUR 6 million</w:t>
      </w:r>
      <w:r w:rsidR="004C0302" w:rsidRPr="00CE2185">
        <w:rPr>
          <w:noProof/>
        </w:rPr>
        <w:t xml:space="preserve"> </w:t>
      </w:r>
      <w:r w:rsidR="00343277" w:rsidRPr="00CE2185">
        <w:rPr>
          <w:noProof/>
        </w:rPr>
        <w:t xml:space="preserve">for various </w:t>
      </w:r>
      <w:r w:rsidR="00311A62" w:rsidRPr="00CE2185">
        <w:rPr>
          <w:noProof/>
        </w:rPr>
        <w:t>activities ranging from design to equipment</w:t>
      </w:r>
      <w:r w:rsidR="00343277" w:rsidRPr="00CE2185">
        <w:rPr>
          <w:noProof/>
        </w:rPr>
        <w:t xml:space="preserve"> </w:t>
      </w:r>
      <w:r w:rsidR="004C0302" w:rsidRPr="00CE2185">
        <w:rPr>
          <w:noProof/>
        </w:rPr>
        <w:t>(</w:t>
      </w:r>
      <w:r w:rsidR="004C0302" w:rsidRPr="00CE2185">
        <w:rPr>
          <w:i/>
          <w:noProof/>
          <w:lang w:val="en-IE"/>
        </w:rPr>
        <w:t>see</w:t>
      </w:r>
      <w:r w:rsidR="004C0302" w:rsidRPr="00CE2185">
        <w:rPr>
          <w:noProof/>
          <w:lang w:val="en-IE"/>
        </w:rPr>
        <w:t xml:space="preserve"> </w:t>
      </w:r>
      <w:r w:rsidR="004C0302" w:rsidRPr="00CE2185">
        <w:rPr>
          <w:i/>
          <w:noProof/>
          <w:lang w:val="en-IE"/>
        </w:rPr>
        <w:t>Annex 4</w:t>
      </w:r>
      <w:r w:rsidR="006542CA" w:rsidRPr="00CE2185">
        <w:rPr>
          <w:i/>
          <w:iCs/>
          <w:noProof/>
          <w:lang w:val="en-IE"/>
        </w:rPr>
        <w:t>, section 4.1.2.</w:t>
      </w:r>
      <w:r w:rsidR="00655B49" w:rsidRPr="00CE2185">
        <w:rPr>
          <w:i/>
          <w:iCs/>
          <w:noProof/>
          <w:lang w:val="en-IE"/>
        </w:rPr>
        <w:t>2</w:t>
      </w:r>
      <w:r w:rsidR="006542CA" w:rsidRPr="00CE2185">
        <w:rPr>
          <w:i/>
          <w:iCs/>
          <w:noProof/>
          <w:lang w:val="en-IE"/>
        </w:rPr>
        <w:t>(b)</w:t>
      </w:r>
      <w:r w:rsidR="006542CA" w:rsidRPr="00CE2185">
        <w:rPr>
          <w:noProof/>
          <w:lang w:val="en-IE"/>
        </w:rPr>
        <w:t>)</w:t>
      </w:r>
      <w:r w:rsidR="004C0302" w:rsidRPr="00CE2185">
        <w:rPr>
          <w:noProof/>
        </w:rPr>
        <w:t>.</w:t>
      </w:r>
      <w:r w:rsidR="00DE4F14" w:rsidRPr="00CE2185">
        <w:rPr>
          <w:noProof/>
        </w:rPr>
        <w:t xml:space="preserve"> In addition, operational expenses are estimated </w:t>
      </w:r>
      <w:r w:rsidR="00311A62" w:rsidRPr="00CE2185">
        <w:rPr>
          <w:noProof/>
        </w:rPr>
        <w:t>to be</w:t>
      </w:r>
      <w:r w:rsidR="00DE4F14" w:rsidRPr="00CE2185">
        <w:rPr>
          <w:noProof/>
        </w:rPr>
        <w:t xml:space="preserve"> around</w:t>
      </w:r>
      <w:r w:rsidR="00DE4F14" w:rsidRPr="00CE2185">
        <w:rPr>
          <w:noProof/>
          <w:lang w:val="en-US"/>
        </w:rPr>
        <w:t xml:space="preserve"> EUR 500 000 per newly added legislation</w:t>
      </w:r>
      <w:r w:rsidR="00AB1ECE" w:rsidRPr="00CE2185">
        <w:rPr>
          <w:noProof/>
          <w:lang w:val="en-US"/>
        </w:rPr>
        <w:t xml:space="preserve"> (</w:t>
      </w:r>
      <w:r w:rsidR="00E01284" w:rsidRPr="00CE2185">
        <w:rPr>
          <w:noProof/>
          <w:lang w:val="en-US"/>
        </w:rPr>
        <w:t xml:space="preserve">one-off </w:t>
      </w:r>
      <w:r w:rsidR="001408CC" w:rsidRPr="00CE2185">
        <w:rPr>
          <w:noProof/>
          <w:lang w:val="en-US"/>
        </w:rPr>
        <w:t xml:space="preserve">adjustment </w:t>
      </w:r>
      <w:r w:rsidR="00AB1ECE" w:rsidRPr="00CE2185">
        <w:rPr>
          <w:noProof/>
          <w:lang w:val="en-US"/>
        </w:rPr>
        <w:t>costs)</w:t>
      </w:r>
      <w:r w:rsidR="00E01284" w:rsidRPr="00CE2185">
        <w:rPr>
          <w:noProof/>
          <w:lang w:val="en-US"/>
        </w:rPr>
        <w:t xml:space="preserve"> for the extension</w:t>
      </w:r>
      <w:r w:rsidR="00DE4F14" w:rsidRPr="00CE2185">
        <w:rPr>
          <w:noProof/>
          <w:lang w:val="en-US"/>
        </w:rPr>
        <w:t>.</w:t>
      </w:r>
      <w:r w:rsidR="00476A66" w:rsidRPr="00CE2185">
        <w:rPr>
          <w:noProof/>
          <w:lang w:val="en-US"/>
        </w:rPr>
        <w:t xml:space="preserve"> The assumption is that at least </w:t>
      </w:r>
      <w:r w:rsidR="00EE6394" w:rsidRPr="00CE2185">
        <w:rPr>
          <w:noProof/>
          <w:lang w:val="en-US"/>
        </w:rPr>
        <w:t>four</w:t>
      </w:r>
      <w:r w:rsidR="00476A66" w:rsidRPr="00CE2185">
        <w:rPr>
          <w:noProof/>
          <w:lang w:val="en-US"/>
        </w:rPr>
        <w:t xml:space="preserve"> legislations would be added in the </w:t>
      </w:r>
      <w:r w:rsidR="00EE6394" w:rsidRPr="00CE2185">
        <w:rPr>
          <w:noProof/>
          <w:lang w:val="en-US"/>
        </w:rPr>
        <w:t xml:space="preserve">next five years, amounting to </w:t>
      </w:r>
      <w:r w:rsidR="00E01284" w:rsidRPr="00CE2185">
        <w:rPr>
          <w:noProof/>
          <w:lang w:val="en-US"/>
        </w:rPr>
        <w:t>EUR 2</w:t>
      </w:r>
      <w:r w:rsidR="00B71927" w:rsidRPr="00CE2185">
        <w:rPr>
          <w:noProof/>
          <w:lang w:val="en-US"/>
        </w:rPr>
        <w:t>M</w:t>
      </w:r>
      <w:r w:rsidR="00112B21" w:rsidRPr="00CE2185">
        <w:rPr>
          <w:noProof/>
          <w:lang w:val="en-US"/>
        </w:rPr>
        <w:t>. Th</w:t>
      </w:r>
      <w:r w:rsidR="00AA148F" w:rsidRPr="00CE2185">
        <w:rPr>
          <w:noProof/>
          <w:lang w:val="en-US"/>
        </w:rPr>
        <w:t>ese</w:t>
      </w:r>
      <w:r w:rsidR="00B07944" w:rsidRPr="00CE2185">
        <w:rPr>
          <w:noProof/>
          <w:lang w:val="en-US"/>
        </w:rPr>
        <w:t xml:space="preserve"> one-off costs of </w:t>
      </w:r>
      <w:r w:rsidR="00AA148F" w:rsidRPr="00CE2185">
        <w:rPr>
          <w:noProof/>
          <w:lang w:val="en-US"/>
        </w:rPr>
        <w:t>EUR 2</w:t>
      </w:r>
      <w:r w:rsidR="00B71927" w:rsidRPr="00CE2185">
        <w:rPr>
          <w:noProof/>
          <w:lang w:val="en-US"/>
        </w:rPr>
        <w:t>M</w:t>
      </w:r>
      <w:r w:rsidR="00AA148F" w:rsidRPr="00CE2185">
        <w:rPr>
          <w:noProof/>
          <w:lang w:val="en-US"/>
        </w:rPr>
        <w:t xml:space="preserve"> and the one-off costs of 6</w:t>
      </w:r>
      <w:r w:rsidR="00B71927" w:rsidRPr="00CE2185">
        <w:rPr>
          <w:noProof/>
          <w:lang w:val="en-US"/>
        </w:rPr>
        <w:t>M</w:t>
      </w:r>
      <w:r w:rsidR="00AA148F" w:rsidRPr="00CE2185">
        <w:rPr>
          <w:noProof/>
          <w:lang w:val="en-US"/>
        </w:rPr>
        <w:t xml:space="preserve"> add up </w:t>
      </w:r>
      <w:r w:rsidR="00BE410A" w:rsidRPr="00CE2185">
        <w:rPr>
          <w:noProof/>
          <w:lang w:val="en-US"/>
        </w:rPr>
        <w:t xml:space="preserve">to </w:t>
      </w:r>
      <w:r w:rsidR="00EE6394" w:rsidRPr="00CE2185">
        <w:rPr>
          <w:noProof/>
          <w:lang w:val="en-US"/>
        </w:rPr>
        <w:t xml:space="preserve">a total of </w:t>
      </w:r>
      <w:r w:rsidR="00EE6394" w:rsidRPr="00CE2185">
        <w:rPr>
          <w:b/>
          <w:noProof/>
          <w:lang w:val="en-US"/>
        </w:rPr>
        <w:t>EUR 8</w:t>
      </w:r>
      <w:r w:rsidR="00B71927" w:rsidRPr="00CE2185">
        <w:rPr>
          <w:b/>
          <w:noProof/>
          <w:lang w:val="en-US"/>
        </w:rPr>
        <w:t>M</w:t>
      </w:r>
      <w:r w:rsidR="00EE6394" w:rsidRPr="00CE2185">
        <w:rPr>
          <w:b/>
          <w:noProof/>
          <w:lang w:val="en-US"/>
        </w:rPr>
        <w:t xml:space="preserve"> </w:t>
      </w:r>
      <w:r w:rsidR="00B87252" w:rsidRPr="00CE2185">
        <w:rPr>
          <w:b/>
          <w:noProof/>
          <w:lang w:val="en-US"/>
        </w:rPr>
        <w:t xml:space="preserve">one-off </w:t>
      </w:r>
      <w:r w:rsidR="00C37B12" w:rsidRPr="00CE2185">
        <w:rPr>
          <w:b/>
          <w:noProof/>
          <w:lang w:val="en-US"/>
        </w:rPr>
        <w:t xml:space="preserve">adjustment </w:t>
      </w:r>
      <w:r w:rsidR="00B87252" w:rsidRPr="00CE2185">
        <w:rPr>
          <w:b/>
          <w:noProof/>
          <w:lang w:val="en-US"/>
        </w:rPr>
        <w:t>costs</w:t>
      </w:r>
      <w:r w:rsidR="00EE6394" w:rsidRPr="00CE2185">
        <w:rPr>
          <w:noProof/>
          <w:lang w:val="en-US"/>
        </w:rPr>
        <w:t>.</w:t>
      </w:r>
      <w:r w:rsidR="00DE4F14" w:rsidRPr="00CE2185">
        <w:rPr>
          <w:noProof/>
          <w:lang w:val="en-US"/>
        </w:rPr>
        <w:t xml:space="preserve"> </w:t>
      </w:r>
      <w:r w:rsidR="004C0302" w:rsidRPr="00CE2185">
        <w:rPr>
          <w:noProof/>
          <w:lang w:val="en-US"/>
        </w:rPr>
        <w:t xml:space="preserve">The estimate is based per analogy with the single reporting platform and experience with the implementation of other platforms supporting EU legislation in which ENISA is involved. </w:t>
      </w:r>
    </w:p>
    <w:p w14:paraId="18001E74" w14:textId="1E1ECC8A" w:rsidR="003979A4" w:rsidRPr="00CE2185" w:rsidRDefault="007C34CB" w:rsidP="00EE3DF9">
      <w:pPr>
        <w:numPr>
          <w:ilvl w:val="0"/>
          <w:numId w:val="8"/>
        </w:numPr>
        <w:spacing w:after="120"/>
        <w:ind w:left="357" w:hanging="357"/>
        <w:rPr>
          <w:noProof/>
        </w:rPr>
      </w:pPr>
      <w:r w:rsidRPr="00CE2185">
        <w:rPr>
          <w:noProof/>
        </w:rPr>
        <w:t>Seventhly</w:t>
      </w:r>
      <w:r w:rsidR="007A3A8F" w:rsidRPr="00CE2185">
        <w:rPr>
          <w:noProof/>
        </w:rPr>
        <w:t xml:space="preserve">, </w:t>
      </w:r>
      <w:r w:rsidR="00D86922" w:rsidRPr="00CE2185">
        <w:rPr>
          <w:noProof/>
        </w:rPr>
        <w:t xml:space="preserve">for </w:t>
      </w:r>
      <w:r w:rsidR="00DC494A" w:rsidRPr="00CE2185">
        <w:rPr>
          <w:noProof/>
        </w:rPr>
        <w:t xml:space="preserve">supporting the </w:t>
      </w:r>
      <w:r w:rsidR="00DC494A" w:rsidRPr="00CE2185">
        <w:rPr>
          <w:b/>
          <w:noProof/>
        </w:rPr>
        <w:t xml:space="preserve">implementation of the </w:t>
      </w:r>
      <w:r w:rsidR="00F04D88" w:rsidRPr="00CE2185">
        <w:rPr>
          <w:b/>
          <w:noProof/>
        </w:rPr>
        <w:t>CRA</w:t>
      </w:r>
      <w:r w:rsidR="002E2D16" w:rsidRPr="00CE2185">
        <w:rPr>
          <w:noProof/>
        </w:rPr>
        <w:t>,</w:t>
      </w:r>
      <w:r w:rsidR="00A94D9A" w:rsidRPr="00CE2185">
        <w:rPr>
          <w:noProof/>
        </w:rPr>
        <w:t xml:space="preserve"> </w:t>
      </w:r>
      <w:r w:rsidR="005068C4" w:rsidRPr="00CE2185">
        <w:rPr>
          <w:noProof/>
        </w:rPr>
        <w:t xml:space="preserve">22 </w:t>
      </w:r>
      <w:r w:rsidR="00946E4A" w:rsidRPr="00CE2185">
        <w:rPr>
          <w:noProof/>
        </w:rPr>
        <w:t>FTEs are needed</w:t>
      </w:r>
      <w:r w:rsidR="00F04D88" w:rsidRPr="00CE2185">
        <w:rPr>
          <w:noProof/>
        </w:rPr>
        <w:t xml:space="preserve"> (</w:t>
      </w:r>
      <w:r w:rsidR="00AC4D4A" w:rsidRPr="00CE2185">
        <w:rPr>
          <w:noProof/>
        </w:rPr>
        <w:t>8</w:t>
      </w:r>
      <w:r w:rsidR="00E23344" w:rsidRPr="00CE2185">
        <w:rPr>
          <w:noProof/>
        </w:rPr>
        <w:t xml:space="preserve"> </w:t>
      </w:r>
      <w:r w:rsidR="00DC494A" w:rsidRPr="00CE2185">
        <w:rPr>
          <w:noProof/>
        </w:rPr>
        <w:t>FTEs</w:t>
      </w:r>
      <w:r w:rsidR="00703057" w:rsidRPr="00CE2185">
        <w:rPr>
          <w:noProof/>
        </w:rPr>
        <w:t xml:space="preserve"> </w:t>
      </w:r>
      <w:r w:rsidR="00DC494A" w:rsidRPr="00CE2185">
        <w:rPr>
          <w:noProof/>
        </w:rPr>
        <w:t xml:space="preserve">for </w:t>
      </w:r>
      <w:r w:rsidR="002000E2" w:rsidRPr="00CE2185">
        <w:rPr>
          <w:noProof/>
        </w:rPr>
        <w:t>the</w:t>
      </w:r>
      <w:r w:rsidR="00DC494A" w:rsidRPr="00CE2185">
        <w:rPr>
          <w:noProof/>
        </w:rPr>
        <w:t xml:space="preserve"> work on technical guidance, product security expertise and market analysis</w:t>
      </w:r>
      <w:r w:rsidR="00E23344" w:rsidRPr="00CE2185">
        <w:rPr>
          <w:noProof/>
        </w:rPr>
        <w:t xml:space="preserve">, </w:t>
      </w:r>
      <w:r w:rsidR="00FA79C7" w:rsidRPr="00CE2185">
        <w:rPr>
          <w:noProof/>
        </w:rPr>
        <w:t xml:space="preserve">5 FTEs on standardisation </w:t>
      </w:r>
      <w:r w:rsidR="00A8446F">
        <w:rPr>
          <w:noProof/>
        </w:rPr>
        <w:t>related to</w:t>
      </w:r>
      <w:r w:rsidR="00FA79C7" w:rsidRPr="00CE2185">
        <w:rPr>
          <w:noProof/>
        </w:rPr>
        <w:t xml:space="preserve"> CRA implementation</w:t>
      </w:r>
      <w:r w:rsidR="00A8446F">
        <w:rPr>
          <w:noProof/>
        </w:rPr>
        <w:t xml:space="preserve"> and certification</w:t>
      </w:r>
      <w:r w:rsidR="00FA79C7" w:rsidRPr="00CE2185">
        <w:rPr>
          <w:noProof/>
        </w:rPr>
        <w:t>, 5</w:t>
      </w:r>
      <w:r w:rsidR="00E23344" w:rsidRPr="00CE2185">
        <w:rPr>
          <w:noProof/>
        </w:rPr>
        <w:t xml:space="preserve"> </w:t>
      </w:r>
      <w:r w:rsidR="00C83AFF" w:rsidRPr="00CE2185">
        <w:rPr>
          <w:noProof/>
        </w:rPr>
        <w:t>FTEs</w:t>
      </w:r>
      <w:r w:rsidR="00E23344" w:rsidRPr="00CE2185">
        <w:rPr>
          <w:noProof/>
        </w:rPr>
        <w:t xml:space="preserve"> for </w:t>
      </w:r>
      <w:r w:rsidR="00C83AFF" w:rsidRPr="00CE2185">
        <w:rPr>
          <w:noProof/>
        </w:rPr>
        <w:t xml:space="preserve">supporting the market surveillance activities and </w:t>
      </w:r>
      <w:r w:rsidR="00B4182E" w:rsidRPr="00CE2185">
        <w:rPr>
          <w:noProof/>
        </w:rPr>
        <w:t>4</w:t>
      </w:r>
      <w:r w:rsidR="00C83AFF" w:rsidRPr="00CE2185">
        <w:rPr>
          <w:noProof/>
        </w:rPr>
        <w:t xml:space="preserve"> FTEs</w:t>
      </w:r>
      <w:r w:rsidR="006B26C7" w:rsidRPr="00CE2185">
        <w:rPr>
          <w:noProof/>
        </w:rPr>
        <w:t xml:space="preserve"> for conformity/testing and security evaluations. This amounts </w:t>
      </w:r>
      <w:r w:rsidR="006D0047" w:rsidRPr="00CE2185">
        <w:rPr>
          <w:noProof/>
        </w:rPr>
        <w:t>to</w:t>
      </w:r>
      <w:r w:rsidR="006B26C7" w:rsidRPr="00CE2185">
        <w:rPr>
          <w:noProof/>
        </w:rPr>
        <w:t xml:space="preserve"> </w:t>
      </w:r>
      <w:r w:rsidR="007D6CBC" w:rsidRPr="00CE2185">
        <w:rPr>
          <w:noProof/>
        </w:rPr>
        <w:t xml:space="preserve">a recurring cost of </w:t>
      </w:r>
      <w:r w:rsidR="00D30176" w:rsidRPr="00CE2185">
        <w:rPr>
          <w:b/>
          <w:noProof/>
        </w:rPr>
        <w:t xml:space="preserve">EUR </w:t>
      </w:r>
      <w:r w:rsidR="006F269D" w:rsidRPr="00CE2185">
        <w:rPr>
          <w:b/>
          <w:bCs/>
          <w:noProof/>
        </w:rPr>
        <w:t>2 822 094</w:t>
      </w:r>
      <w:r w:rsidR="00D30176" w:rsidRPr="00CE2185">
        <w:rPr>
          <w:b/>
          <w:noProof/>
        </w:rPr>
        <w:t xml:space="preserve"> </w:t>
      </w:r>
      <w:r w:rsidR="003C2D83" w:rsidRPr="00CE2185">
        <w:rPr>
          <w:b/>
          <w:noProof/>
        </w:rPr>
        <w:t>per year</w:t>
      </w:r>
      <w:r w:rsidR="00271BC1" w:rsidRPr="00CE2185">
        <w:rPr>
          <w:b/>
          <w:bCs/>
          <w:noProof/>
        </w:rPr>
        <w:t xml:space="preserve"> (i.e. EUR 14.11M over 5 years)</w:t>
      </w:r>
      <w:r w:rsidR="009F7B70" w:rsidRPr="00CE2185">
        <w:rPr>
          <w:noProof/>
        </w:rPr>
        <w:t xml:space="preserve"> (</w:t>
      </w:r>
      <w:r w:rsidR="009F7B70" w:rsidRPr="00CE2185">
        <w:rPr>
          <w:i/>
          <w:noProof/>
          <w:lang w:val="en-IE"/>
        </w:rPr>
        <w:t>see</w:t>
      </w:r>
      <w:r w:rsidR="009F7B70" w:rsidRPr="00CE2185">
        <w:rPr>
          <w:noProof/>
          <w:lang w:val="en-IE"/>
        </w:rPr>
        <w:t xml:space="preserve"> </w:t>
      </w:r>
      <w:r w:rsidR="009F7B70" w:rsidRPr="00CE2185">
        <w:rPr>
          <w:i/>
          <w:iCs/>
          <w:noProof/>
          <w:lang w:val="en-IE"/>
        </w:rPr>
        <w:t>Annex 4, section 4.1.2.</w:t>
      </w:r>
      <w:r w:rsidR="00655B49" w:rsidRPr="00CE2185">
        <w:rPr>
          <w:i/>
          <w:iCs/>
          <w:noProof/>
          <w:lang w:val="en-IE"/>
        </w:rPr>
        <w:t>2</w:t>
      </w:r>
      <w:r w:rsidR="009F7B70" w:rsidRPr="00CE2185">
        <w:rPr>
          <w:i/>
          <w:iCs/>
          <w:noProof/>
          <w:lang w:val="en-IE"/>
        </w:rPr>
        <w:t>(b)</w:t>
      </w:r>
      <w:r w:rsidR="009F7B70" w:rsidRPr="00CE2185">
        <w:rPr>
          <w:noProof/>
          <w:lang w:val="en-IE"/>
        </w:rPr>
        <w:t>)</w:t>
      </w:r>
      <w:r w:rsidR="00271BC1" w:rsidRPr="00CE2185">
        <w:rPr>
          <w:noProof/>
          <w:lang w:val="en-IE"/>
        </w:rPr>
        <w:t>.</w:t>
      </w:r>
      <w:r w:rsidR="009C62D2" w:rsidRPr="00CE2185">
        <w:rPr>
          <w:noProof/>
          <w:lang w:val="en-IE"/>
        </w:rPr>
        <w:t xml:space="preserve"> Additionally, there is a yearly </w:t>
      </w:r>
      <w:r w:rsidR="009C62D2" w:rsidRPr="00A8446F">
        <w:rPr>
          <w:b/>
          <w:bCs/>
          <w:noProof/>
          <w:lang w:val="en-IE"/>
        </w:rPr>
        <w:t>EUR 2M</w:t>
      </w:r>
      <w:r w:rsidR="00A8446F" w:rsidRPr="00A8446F">
        <w:rPr>
          <w:b/>
          <w:bCs/>
          <w:noProof/>
          <w:lang w:val="en-IE"/>
        </w:rPr>
        <w:t xml:space="preserve"> operational costs</w:t>
      </w:r>
      <w:r w:rsidR="009C62D2" w:rsidRPr="00CE2185">
        <w:rPr>
          <w:noProof/>
          <w:lang w:val="en-IE"/>
        </w:rPr>
        <w:t xml:space="preserve"> related to the implementation </w:t>
      </w:r>
      <w:r w:rsidR="002D2C82" w:rsidRPr="00CE2185">
        <w:rPr>
          <w:noProof/>
          <w:lang w:val="en-IE"/>
        </w:rPr>
        <w:t>of the CRA</w:t>
      </w:r>
      <w:r w:rsidR="00805E6A" w:rsidRPr="00CE2185">
        <w:rPr>
          <w:noProof/>
          <w:lang w:val="en-IE"/>
        </w:rPr>
        <w:t>, i.e. EUR 10M over 5 years</w:t>
      </w:r>
      <w:r w:rsidR="002D2C82" w:rsidRPr="00CE2185">
        <w:rPr>
          <w:noProof/>
          <w:lang w:val="en-IE"/>
        </w:rPr>
        <w:t>.</w:t>
      </w:r>
    </w:p>
    <w:p w14:paraId="6DF0A12A" w14:textId="4BB7C0ED" w:rsidR="00F41D35" w:rsidRPr="00CE2185" w:rsidRDefault="00A03633" w:rsidP="00EE3DF9">
      <w:pPr>
        <w:numPr>
          <w:ilvl w:val="0"/>
          <w:numId w:val="8"/>
        </w:numPr>
        <w:spacing w:after="120"/>
        <w:ind w:left="357" w:hanging="357"/>
        <w:rPr>
          <w:noProof/>
        </w:rPr>
      </w:pPr>
      <w:r w:rsidRPr="00CE2185">
        <w:rPr>
          <w:noProof/>
        </w:rPr>
        <w:t>Eighthly</w:t>
      </w:r>
      <w:r w:rsidR="00EC2330" w:rsidRPr="00CE2185">
        <w:rPr>
          <w:noProof/>
        </w:rPr>
        <w:t xml:space="preserve">, for </w:t>
      </w:r>
      <w:r w:rsidR="00EC2330" w:rsidRPr="00CE2185">
        <w:rPr>
          <w:b/>
          <w:noProof/>
        </w:rPr>
        <w:t>operational cooperation</w:t>
      </w:r>
      <w:r w:rsidR="002367E5" w:rsidRPr="00CE2185">
        <w:rPr>
          <w:b/>
          <w:noProof/>
        </w:rPr>
        <w:t>,</w:t>
      </w:r>
      <w:r w:rsidR="00D9446E" w:rsidRPr="00CE2185">
        <w:rPr>
          <w:b/>
          <w:noProof/>
        </w:rPr>
        <w:t xml:space="preserve"> including situational awareness</w:t>
      </w:r>
      <w:r w:rsidR="002367E5" w:rsidRPr="00CE2185">
        <w:rPr>
          <w:b/>
          <w:noProof/>
        </w:rPr>
        <w:t>,</w:t>
      </w:r>
      <w:r w:rsidR="007B2FD0" w:rsidRPr="00CE2185">
        <w:rPr>
          <w:noProof/>
        </w:rPr>
        <w:t xml:space="preserve"> additional </w:t>
      </w:r>
      <w:r w:rsidR="00177431" w:rsidRPr="00CE2185">
        <w:rPr>
          <w:noProof/>
        </w:rPr>
        <w:t xml:space="preserve">recurring </w:t>
      </w:r>
      <w:r w:rsidR="0044116E" w:rsidRPr="00CE2185">
        <w:rPr>
          <w:noProof/>
        </w:rPr>
        <w:t xml:space="preserve">adjustment </w:t>
      </w:r>
      <w:r w:rsidR="00177431" w:rsidRPr="00CE2185">
        <w:rPr>
          <w:noProof/>
        </w:rPr>
        <w:t xml:space="preserve">costs of </w:t>
      </w:r>
      <w:r w:rsidR="00E37480" w:rsidRPr="00CE2185">
        <w:rPr>
          <w:noProof/>
        </w:rPr>
        <w:t xml:space="preserve">approximately </w:t>
      </w:r>
      <w:r w:rsidR="00CE6446" w:rsidRPr="00CE2185">
        <w:rPr>
          <w:noProof/>
        </w:rPr>
        <w:t xml:space="preserve">EUR 4 641 385 </w:t>
      </w:r>
      <w:r w:rsidR="00124D94" w:rsidRPr="00CE2185">
        <w:rPr>
          <w:noProof/>
        </w:rPr>
        <w:t>are</w:t>
      </w:r>
      <w:r w:rsidR="00912EC6" w:rsidRPr="00CE2185">
        <w:rPr>
          <w:noProof/>
        </w:rPr>
        <w:t xml:space="preserve"> needed per year</w:t>
      </w:r>
      <w:r w:rsidR="001F0D12" w:rsidRPr="00CE2185">
        <w:rPr>
          <w:noProof/>
        </w:rPr>
        <w:t xml:space="preserve">, </w:t>
      </w:r>
      <w:r w:rsidR="003021B0" w:rsidRPr="00CE2185">
        <w:rPr>
          <w:noProof/>
        </w:rPr>
        <w:t xml:space="preserve">which </w:t>
      </w:r>
      <w:r w:rsidR="001F0D12" w:rsidRPr="00CE2185">
        <w:rPr>
          <w:noProof/>
        </w:rPr>
        <w:t>amount</w:t>
      </w:r>
      <w:r w:rsidR="003021B0" w:rsidRPr="00CE2185">
        <w:rPr>
          <w:noProof/>
        </w:rPr>
        <w:t>s</w:t>
      </w:r>
      <w:r w:rsidR="001F0D12" w:rsidRPr="00CE2185">
        <w:rPr>
          <w:noProof/>
        </w:rPr>
        <w:t xml:space="preserve"> to </w:t>
      </w:r>
      <w:r w:rsidR="003021B0" w:rsidRPr="00CE2185">
        <w:rPr>
          <w:noProof/>
        </w:rPr>
        <w:t xml:space="preserve">EUR </w:t>
      </w:r>
      <w:r w:rsidR="003021B0" w:rsidRPr="00CE2185">
        <w:rPr>
          <w:b/>
          <w:noProof/>
        </w:rPr>
        <w:t>23</w:t>
      </w:r>
      <w:r w:rsidR="009740CC" w:rsidRPr="00CE2185">
        <w:rPr>
          <w:b/>
          <w:noProof/>
        </w:rPr>
        <w:t>.</w:t>
      </w:r>
      <w:r w:rsidR="003021B0" w:rsidRPr="00CE2185">
        <w:rPr>
          <w:b/>
          <w:noProof/>
        </w:rPr>
        <w:t>2</w:t>
      </w:r>
      <w:r w:rsidR="009740CC" w:rsidRPr="00CE2185">
        <w:rPr>
          <w:b/>
          <w:noProof/>
        </w:rPr>
        <w:t>1M</w:t>
      </w:r>
      <w:r w:rsidR="001F0D12" w:rsidRPr="00CE2185">
        <w:rPr>
          <w:noProof/>
        </w:rPr>
        <w:t xml:space="preserve"> over 5 years</w:t>
      </w:r>
      <w:r w:rsidR="00BE65DA" w:rsidRPr="00CE2185">
        <w:rPr>
          <w:noProof/>
        </w:rPr>
        <w:t>. This amount</w:t>
      </w:r>
      <w:r w:rsidR="00912EC6" w:rsidRPr="00CE2185">
        <w:rPr>
          <w:noProof/>
        </w:rPr>
        <w:t xml:space="preserve"> would cover </w:t>
      </w:r>
      <w:r w:rsidR="007B2FD0" w:rsidRPr="00CE2185">
        <w:rPr>
          <w:noProof/>
        </w:rPr>
        <w:t>5 FTEs</w:t>
      </w:r>
      <w:r w:rsidR="002627A3" w:rsidRPr="00CE2185">
        <w:rPr>
          <w:noProof/>
        </w:rPr>
        <w:t xml:space="preserve">, </w:t>
      </w:r>
      <w:r w:rsidR="00BE65DA" w:rsidRPr="00CE2185">
        <w:rPr>
          <w:noProof/>
        </w:rPr>
        <w:t xml:space="preserve">i.e. </w:t>
      </w:r>
      <w:r w:rsidR="00DC674F" w:rsidRPr="00CE2185">
        <w:rPr>
          <w:b/>
          <w:noProof/>
        </w:rPr>
        <w:t>EUR 641 385 yearly</w:t>
      </w:r>
      <w:r w:rsidR="002627A3" w:rsidRPr="00CE2185">
        <w:rPr>
          <w:noProof/>
        </w:rPr>
        <w:t>,</w:t>
      </w:r>
      <w:r w:rsidR="00912EC6" w:rsidRPr="00CE2185">
        <w:rPr>
          <w:noProof/>
        </w:rPr>
        <w:t xml:space="preserve"> and </w:t>
      </w:r>
      <w:r w:rsidR="001239DA" w:rsidRPr="00CE2185">
        <w:rPr>
          <w:noProof/>
        </w:rPr>
        <w:t xml:space="preserve">the costs related to procuring </w:t>
      </w:r>
      <w:r w:rsidR="000855D2" w:rsidRPr="00CE2185">
        <w:rPr>
          <w:noProof/>
        </w:rPr>
        <w:t>cyber threat intelligence</w:t>
      </w:r>
      <w:r w:rsidR="00D6383A" w:rsidRPr="00CE2185">
        <w:rPr>
          <w:noProof/>
        </w:rPr>
        <w:t xml:space="preserve"> </w:t>
      </w:r>
      <w:r w:rsidR="000855D2" w:rsidRPr="00CE2185">
        <w:rPr>
          <w:noProof/>
        </w:rPr>
        <w:t>(</w:t>
      </w:r>
      <w:r w:rsidR="001B2745" w:rsidRPr="00CE2185">
        <w:rPr>
          <w:noProof/>
        </w:rPr>
        <w:t>CTI)</w:t>
      </w:r>
      <w:r w:rsidR="00830420" w:rsidRPr="00CE2185">
        <w:rPr>
          <w:noProof/>
        </w:rPr>
        <w:t xml:space="preserve">, </w:t>
      </w:r>
      <w:r w:rsidR="004F1FE3" w:rsidRPr="00CE2185">
        <w:rPr>
          <w:noProof/>
        </w:rPr>
        <w:t>which would amount to</w:t>
      </w:r>
      <w:r w:rsidR="00E37480" w:rsidRPr="00CE2185">
        <w:rPr>
          <w:noProof/>
        </w:rPr>
        <w:t xml:space="preserve"> approximately</w:t>
      </w:r>
      <w:r w:rsidR="004F1FE3" w:rsidRPr="00CE2185">
        <w:rPr>
          <w:noProof/>
        </w:rPr>
        <w:t xml:space="preserve"> </w:t>
      </w:r>
      <w:r w:rsidR="00287FCF" w:rsidRPr="00CE2185">
        <w:rPr>
          <w:b/>
          <w:noProof/>
        </w:rPr>
        <w:t>EUR 4</w:t>
      </w:r>
      <w:r w:rsidR="009740CC" w:rsidRPr="00CE2185">
        <w:rPr>
          <w:b/>
          <w:bCs/>
          <w:noProof/>
        </w:rPr>
        <w:t>M</w:t>
      </w:r>
      <w:r w:rsidR="00912EC6" w:rsidRPr="00CE2185">
        <w:rPr>
          <w:b/>
          <w:noProof/>
        </w:rPr>
        <w:t xml:space="preserve"> per </w:t>
      </w:r>
      <w:r w:rsidR="000855D2" w:rsidRPr="00CE2185">
        <w:rPr>
          <w:b/>
          <w:noProof/>
        </w:rPr>
        <w:t>year</w:t>
      </w:r>
      <w:r w:rsidR="007258F7" w:rsidRPr="00CE2185">
        <w:rPr>
          <w:b/>
          <w:bCs/>
          <w:noProof/>
        </w:rPr>
        <w:t xml:space="preserve"> (i.e. EUR 20M over 5 years)</w:t>
      </w:r>
      <w:r w:rsidR="001D0B3A" w:rsidRPr="00CE2185">
        <w:rPr>
          <w:noProof/>
        </w:rPr>
        <w:t xml:space="preserve"> (</w:t>
      </w:r>
      <w:r w:rsidR="001D0B3A" w:rsidRPr="00CE2185">
        <w:rPr>
          <w:i/>
          <w:noProof/>
          <w:lang w:val="en-IE"/>
        </w:rPr>
        <w:t>see</w:t>
      </w:r>
      <w:r w:rsidR="001D0B3A" w:rsidRPr="00CE2185">
        <w:rPr>
          <w:noProof/>
          <w:lang w:val="en-IE"/>
        </w:rPr>
        <w:t xml:space="preserve"> </w:t>
      </w:r>
      <w:r w:rsidR="001D0B3A" w:rsidRPr="00CE2185">
        <w:rPr>
          <w:i/>
          <w:iCs/>
          <w:noProof/>
          <w:lang w:val="en-IE"/>
        </w:rPr>
        <w:t>Annex 4, section 4.1.2.</w:t>
      </w:r>
      <w:r w:rsidR="00655B49" w:rsidRPr="00CE2185">
        <w:rPr>
          <w:i/>
          <w:iCs/>
          <w:noProof/>
          <w:lang w:val="en-IE"/>
        </w:rPr>
        <w:t>2</w:t>
      </w:r>
      <w:r w:rsidR="001D0B3A" w:rsidRPr="00CE2185">
        <w:rPr>
          <w:i/>
          <w:iCs/>
          <w:noProof/>
          <w:lang w:val="en-IE"/>
        </w:rPr>
        <w:t>(a) and (b)</w:t>
      </w:r>
      <w:r w:rsidR="001D0B3A" w:rsidRPr="00CE2185">
        <w:rPr>
          <w:noProof/>
          <w:lang w:val="en-IE"/>
        </w:rPr>
        <w:t>).</w:t>
      </w:r>
      <w:r w:rsidR="003F167A" w:rsidRPr="00CE2185">
        <w:rPr>
          <w:noProof/>
        </w:rPr>
        <w:t xml:space="preserve"> </w:t>
      </w:r>
      <w:r w:rsidR="003C2BDA" w:rsidRPr="00CE2185">
        <w:rPr>
          <w:noProof/>
        </w:rPr>
        <w:t xml:space="preserve">The estimate </w:t>
      </w:r>
      <w:r w:rsidR="005F5C59" w:rsidRPr="00CE2185">
        <w:rPr>
          <w:noProof/>
        </w:rPr>
        <w:t xml:space="preserve">is based per analogy with </w:t>
      </w:r>
      <w:r w:rsidR="004C473B" w:rsidRPr="00CE2185">
        <w:rPr>
          <w:noProof/>
        </w:rPr>
        <w:t>similar CTI platforms</w:t>
      </w:r>
      <w:r w:rsidR="00820E04" w:rsidRPr="00CE2185">
        <w:rPr>
          <w:noProof/>
        </w:rPr>
        <w:t xml:space="preserve"> </w:t>
      </w:r>
      <w:r w:rsidR="00591448" w:rsidRPr="00CE2185">
        <w:rPr>
          <w:noProof/>
        </w:rPr>
        <w:t>(</w:t>
      </w:r>
      <w:r w:rsidR="004C473B" w:rsidRPr="00CE2185">
        <w:rPr>
          <w:i/>
          <w:iCs/>
          <w:noProof/>
        </w:rPr>
        <w:t>se</w:t>
      </w:r>
      <w:r w:rsidR="00820E04" w:rsidRPr="00CE2185">
        <w:rPr>
          <w:i/>
          <w:iCs/>
          <w:noProof/>
        </w:rPr>
        <w:t>e</w:t>
      </w:r>
      <w:r w:rsidR="004C473B" w:rsidRPr="00CE2185">
        <w:rPr>
          <w:noProof/>
        </w:rPr>
        <w:t xml:space="preserve"> </w:t>
      </w:r>
      <w:r w:rsidR="004C473B" w:rsidRPr="00CE2185">
        <w:rPr>
          <w:i/>
          <w:iCs/>
          <w:noProof/>
        </w:rPr>
        <w:t>Annex 4</w:t>
      </w:r>
      <w:r w:rsidR="000D6639" w:rsidRPr="00CE2185">
        <w:rPr>
          <w:i/>
          <w:iCs/>
          <w:noProof/>
        </w:rPr>
        <w:t xml:space="preserve">, </w:t>
      </w:r>
      <w:r w:rsidR="000D6639" w:rsidRPr="00CE2185">
        <w:rPr>
          <w:i/>
          <w:iCs/>
          <w:noProof/>
          <w:lang w:val="en-IE"/>
        </w:rPr>
        <w:t>section 4.1.2.</w:t>
      </w:r>
      <w:r w:rsidR="00655B49" w:rsidRPr="00CE2185">
        <w:rPr>
          <w:i/>
          <w:iCs/>
          <w:noProof/>
          <w:lang w:val="en-IE"/>
        </w:rPr>
        <w:t>2</w:t>
      </w:r>
      <w:r w:rsidR="000D6639" w:rsidRPr="00CE2185">
        <w:rPr>
          <w:i/>
          <w:iCs/>
          <w:noProof/>
          <w:lang w:val="en-IE"/>
        </w:rPr>
        <w:t>(b)</w:t>
      </w:r>
      <w:r w:rsidR="00591448" w:rsidRPr="00CE2185">
        <w:rPr>
          <w:noProof/>
        </w:rPr>
        <w:t>)</w:t>
      </w:r>
      <w:r w:rsidR="00820E04" w:rsidRPr="00CE2185">
        <w:rPr>
          <w:noProof/>
        </w:rPr>
        <w:t>.</w:t>
      </w:r>
      <w:r w:rsidR="003F5501" w:rsidRPr="00CE2185">
        <w:rPr>
          <w:noProof/>
        </w:rPr>
        <w:t xml:space="preserve"> </w:t>
      </w:r>
    </w:p>
    <w:p w14:paraId="3876FC6B" w14:textId="3D2A9C85" w:rsidR="00200BEE" w:rsidRPr="00CE2185" w:rsidRDefault="00964BD9" w:rsidP="00EE3DF9">
      <w:pPr>
        <w:numPr>
          <w:ilvl w:val="0"/>
          <w:numId w:val="8"/>
        </w:numPr>
        <w:spacing w:after="120"/>
        <w:ind w:left="357" w:hanging="357"/>
        <w:rPr>
          <w:noProof/>
        </w:rPr>
      </w:pPr>
      <w:r w:rsidRPr="00CE2185">
        <w:rPr>
          <w:noProof/>
        </w:rPr>
        <w:t>Ninthly</w:t>
      </w:r>
      <w:r w:rsidR="00200BEE" w:rsidRPr="00CE2185">
        <w:rPr>
          <w:noProof/>
        </w:rPr>
        <w:t xml:space="preserve">, for setting up secure communications a one-off cost of </w:t>
      </w:r>
      <w:r w:rsidR="00A231B1" w:rsidRPr="00CE2185">
        <w:rPr>
          <w:noProof/>
        </w:rPr>
        <w:t xml:space="preserve">EUR 1.1M was calculated in the first year and then a </w:t>
      </w:r>
      <w:r w:rsidR="005C46CB" w:rsidRPr="00CE2185">
        <w:rPr>
          <w:noProof/>
        </w:rPr>
        <w:t xml:space="preserve">recurring yearly </w:t>
      </w:r>
      <w:r w:rsidR="00A231B1" w:rsidRPr="00CE2185">
        <w:rPr>
          <w:noProof/>
        </w:rPr>
        <w:t>maintenance cost of EUR 1</w:t>
      </w:r>
      <w:r w:rsidR="005C46CB" w:rsidRPr="00CE2185">
        <w:rPr>
          <w:noProof/>
        </w:rPr>
        <w:t xml:space="preserve"> 083 250 is needed over 4 years (i.e. a total of </w:t>
      </w:r>
      <w:r w:rsidR="00ED2595" w:rsidRPr="00CE2185">
        <w:rPr>
          <w:noProof/>
        </w:rPr>
        <w:t>EUR 4.33 M over 4 years).</w:t>
      </w:r>
    </w:p>
    <w:p w14:paraId="7F9122D8" w14:textId="70E12232" w:rsidR="00ED2595" w:rsidRPr="00CE2185" w:rsidRDefault="00964BD9" w:rsidP="00EE3DF9">
      <w:pPr>
        <w:numPr>
          <w:ilvl w:val="0"/>
          <w:numId w:val="8"/>
        </w:numPr>
        <w:spacing w:after="120"/>
        <w:ind w:left="357" w:hanging="357"/>
        <w:rPr>
          <w:noProof/>
        </w:rPr>
      </w:pPr>
      <w:r w:rsidRPr="00CE2185">
        <w:rPr>
          <w:noProof/>
        </w:rPr>
        <w:t>Tenthly</w:t>
      </w:r>
      <w:r w:rsidR="008A7C30" w:rsidRPr="00CE2185">
        <w:rPr>
          <w:noProof/>
        </w:rPr>
        <w:t xml:space="preserve">, for </w:t>
      </w:r>
      <w:r w:rsidR="008E5F91" w:rsidRPr="00CE2185">
        <w:rPr>
          <w:noProof/>
        </w:rPr>
        <w:t>the reaching the required cyber maturity level, a yearly EUR 3 million is needed, i.e. EUR 15 million over 5 years.</w:t>
      </w:r>
      <w:r w:rsidR="00A83938" w:rsidRPr="00CE2185">
        <w:rPr>
          <w:noProof/>
        </w:rPr>
        <w:t xml:space="preserve"> This</w:t>
      </w:r>
      <w:r w:rsidR="20085EFC" w:rsidRPr="00CE2185">
        <w:rPr>
          <w:noProof/>
        </w:rPr>
        <w:t xml:space="preserve"> is based on consultations with ENISA and among other things</w:t>
      </w:r>
      <w:r w:rsidR="00A83938" w:rsidRPr="00CE2185">
        <w:rPr>
          <w:noProof/>
        </w:rPr>
        <w:t xml:space="preserve"> include</w:t>
      </w:r>
      <w:r w:rsidR="009740CC" w:rsidRPr="00CE2185">
        <w:rPr>
          <w:noProof/>
        </w:rPr>
        <w:t>s</w:t>
      </w:r>
      <w:r w:rsidR="00A83938" w:rsidRPr="00CE2185">
        <w:rPr>
          <w:noProof/>
        </w:rPr>
        <w:t xml:space="preserve"> the migration to a secure European Da</w:t>
      </w:r>
      <w:r w:rsidR="2C2DB6CC" w:rsidRPr="00CE2185">
        <w:rPr>
          <w:noProof/>
        </w:rPr>
        <w:t>t</w:t>
      </w:r>
      <w:r w:rsidR="00A83938" w:rsidRPr="00CE2185">
        <w:rPr>
          <w:noProof/>
        </w:rPr>
        <w:t>a Centre</w:t>
      </w:r>
      <w:r w:rsidR="009740CC" w:rsidRPr="00CE2185">
        <w:rPr>
          <w:noProof/>
        </w:rPr>
        <w:t>.</w:t>
      </w:r>
      <w:r w:rsidR="24060F0E" w:rsidRPr="00CE2185">
        <w:rPr>
          <w:noProof/>
        </w:rPr>
        <w:t xml:space="preserve"> It is of paramount importance that the EU Cybersecurity Agency has the highest levels of </w:t>
      </w:r>
      <w:r w:rsidR="431D67CB" w:rsidRPr="00CE2185">
        <w:rPr>
          <w:noProof/>
        </w:rPr>
        <w:t>cybersecurity and is rec</w:t>
      </w:r>
      <w:r w:rsidR="0C17AFC6" w:rsidRPr="00CE2185">
        <w:rPr>
          <w:noProof/>
        </w:rPr>
        <w:t>o</w:t>
      </w:r>
      <w:r w:rsidR="431D67CB" w:rsidRPr="00CE2185">
        <w:rPr>
          <w:noProof/>
        </w:rPr>
        <w:t>gnised as a trust partner and lead by example in Europe.</w:t>
      </w:r>
    </w:p>
    <w:p w14:paraId="78CBB7CD" w14:textId="086C2498" w:rsidR="003F5501" w:rsidRPr="00CE2185" w:rsidRDefault="003F5501" w:rsidP="00EE3DF9">
      <w:pPr>
        <w:numPr>
          <w:ilvl w:val="0"/>
          <w:numId w:val="8"/>
        </w:numPr>
        <w:spacing w:after="120"/>
        <w:ind w:left="357" w:hanging="357"/>
        <w:rPr>
          <w:noProof/>
        </w:rPr>
      </w:pPr>
      <w:r w:rsidRPr="00CE2185">
        <w:rPr>
          <w:noProof/>
        </w:rPr>
        <w:t xml:space="preserve">Additionally, in the context of operational cooperation, an additional cost stems from the daily allowance of </w:t>
      </w:r>
      <w:r w:rsidRPr="00CE2185">
        <w:rPr>
          <w:b/>
          <w:noProof/>
        </w:rPr>
        <w:t xml:space="preserve">National Liaison Officers </w:t>
      </w:r>
      <w:r w:rsidR="004170EC" w:rsidRPr="00CE2185">
        <w:rPr>
          <w:b/>
          <w:noProof/>
        </w:rPr>
        <w:t>(NLOs)</w:t>
      </w:r>
      <w:r w:rsidRPr="00CE2185">
        <w:rPr>
          <w:b/>
          <w:noProof/>
        </w:rPr>
        <w:t xml:space="preserve"> seconded by each Member State</w:t>
      </w:r>
      <w:r w:rsidRPr="00CE2185">
        <w:rPr>
          <w:noProof/>
        </w:rPr>
        <w:t xml:space="preserve"> to ENISA, </w:t>
      </w:r>
      <w:r w:rsidR="00C97440" w:rsidRPr="00CE2185">
        <w:rPr>
          <w:noProof/>
        </w:rPr>
        <w:t>(</w:t>
      </w:r>
      <w:r w:rsidRPr="00CE2185">
        <w:rPr>
          <w:i/>
          <w:noProof/>
        </w:rPr>
        <w:t>see below</w:t>
      </w:r>
      <w:r w:rsidR="005624C7" w:rsidRPr="00CE2185">
        <w:rPr>
          <w:i/>
          <w:noProof/>
        </w:rPr>
        <w:t xml:space="preserve"> under ‘costs for national authorities’</w:t>
      </w:r>
      <w:r w:rsidR="00C97440" w:rsidRPr="00CE2185">
        <w:rPr>
          <w:noProof/>
        </w:rPr>
        <w:t>)</w:t>
      </w:r>
      <w:r w:rsidR="00521700" w:rsidRPr="00CE2185">
        <w:rPr>
          <w:noProof/>
        </w:rPr>
        <w:t xml:space="preserve">, which amounts to </w:t>
      </w:r>
      <w:r w:rsidR="0086141F" w:rsidRPr="00CE2185">
        <w:rPr>
          <w:noProof/>
        </w:rPr>
        <w:t>a recurring</w:t>
      </w:r>
      <w:r w:rsidR="00445196" w:rsidRPr="00CE2185">
        <w:rPr>
          <w:noProof/>
        </w:rPr>
        <w:t xml:space="preserve"> adjustment</w:t>
      </w:r>
      <w:r w:rsidR="0086141F" w:rsidRPr="00CE2185">
        <w:rPr>
          <w:noProof/>
        </w:rPr>
        <w:t xml:space="preserve"> cost of</w:t>
      </w:r>
      <w:r w:rsidR="00521700" w:rsidRPr="00CE2185">
        <w:rPr>
          <w:noProof/>
        </w:rPr>
        <w:t xml:space="preserve"> EUR </w:t>
      </w:r>
      <w:r w:rsidR="00566E9E" w:rsidRPr="00CE2185">
        <w:rPr>
          <w:b/>
          <w:bCs/>
          <w:noProof/>
        </w:rPr>
        <w:t>1 440</w:t>
      </w:r>
      <w:r w:rsidR="00CB6B1B" w:rsidRPr="00CE2185">
        <w:rPr>
          <w:b/>
          <w:noProof/>
        </w:rPr>
        <w:t> 000 yearly</w:t>
      </w:r>
      <w:r w:rsidR="00617B7C" w:rsidRPr="00CE2185">
        <w:rPr>
          <w:noProof/>
        </w:rPr>
        <w:t xml:space="preserve"> for </w:t>
      </w:r>
      <w:r w:rsidR="00566E9E" w:rsidRPr="00CE2185">
        <w:rPr>
          <w:b/>
          <w:bCs/>
          <w:noProof/>
        </w:rPr>
        <w:t xml:space="preserve">40 </w:t>
      </w:r>
      <w:r w:rsidR="00542DED" w:rsidRPr="00CE2185">
        <w:rPr>
          <w:b/>
          <w:bCs/>
          <w:noProof/>
        </w:rPr>
        <w:t>NLOs</w:t>
      </w:r>
      <w:r w:rsidR="00566E9E" w:rsidRPr="00CE2185">
        <w:rPr>
          <w:b/>
          <w:bCs/>
          <w:noProof/>
        </w:rPr>
        <w:t xml:space="preserve"> (i.e. </w:t>
      </w:r>
      <w:r w:rsidR="007E4650" w:rsidRPr="00CE2185">
        <w:rPr>
          <w:b/>
          <w:bCs/>
          <w:noProof/>
        </w:rPr>
        <w:t>EUR 7.2M over 5 years)</w:t>
      </w:r>
      <w:r w:rsidR="005624C7" w:rsidRPr="00CE2185">
        <w:rPr>
          <w:noProof/>
        </w:rPr>
        <w:t>.</w:t>
      </w:r>
    </w:p>
    <w:p w14:paraId="0328162A" w14:textId="11524995" w:rsidR="00CA061D" w:rsidRPr="00CE2185" w:rsidRDefault="00CA061D" w:rsidP="00EE3DF9">
      <w:pPr>
        <w:numPr>
          <w:ilvl w:val="0"/>
          <w:numId w:val="8"/>
        </w:numPr>
        <w:spacing w:after="120"/>
        <w:ind w:left="357" w:hanging="357"/>
        <w:rPr>
          <w:b/>
          <w:noProof/>
        </w:rPr>
      </w:pPr>
      <w:r w:rsidRPr="00CE2185">
        <w:rPr>
          <w:noProof/>
        </w:rPr>
        <w:t>Finally,</w:t>
      </w:r>
      <w:r w:rsidR="00AC1ED6" w:rsidRPr="00CE2185">
        <w:rPr>
          <w:noProof/>
        </w:rPr>
        <w:t xml:space="preserve"> given the </w:t>
      </w:r>
      <w:r w:rsidR="00B44A65" w:rsidRPr="00CE2185">
        <w:rPr>
          <w:noProof/>
        </w:rPr>
        <w:t xml:space="preserve">overall </w:t>
      </w:r>
      <w:r w:rsidR="00AC1ED6" w:rsidRPr="00CE2185">
        <w:rPr>
          <w:noProof/>
        </w:rPr>
        <w:t xml:space="preserve">increased headcount of ENISA an additional </w:t>
      </w:r>
      <w:r w:rsidR="00F85CA6" w:rsidRPr="00CE2185">
        <w:rPr>
          <w:noProof/>
        </w:rPr>
        <w:t xml:space="preserve">10 </w:t>
      </w:r>
      <w:r w:rsidR="00AC1ED6" w:rsidRPr="00CE2185">
        <w:rPr>
          <w:noProof/>
        </w:rPr>
        <w:t xml:space="preserve">FTEs are needed for </w:t>
      </w:r>
      <w:r w:rsidR="00B24E7E" w:rsidRPr="00CE2185">
        <w:rPr>
          <w:noProof/>
        </w:rPr>
        <w:t>admin/</w:t>
      </w:r>
      <w:r w:rsidR="00AC1ED6" w:rsidRPr="00CE2185">
        <w:rPr>
          <w:noProof/>
        </w:rPr>
        <w:t>support functions (such as accounting, HR, IT etc.)</w:t>
      </w:r>
      <w:r w:rsidR="00542DED" w:rsidRPr="00CE2185">
        <w:rPr>
          <w:noProof/>
        </w:rPr>
        <w:t xml:space="preserve"> amounting to</w:t>
      </w:r>
      <w:r w:rsidR="00445196" w:rsidRPr="00CE2185">
        <w:rPr>
          <w:noProof/>
        </w:rPr>
        <w:t xml:space="preserve"> a recurring adjustment cost</w:t>
      </w:r>
      <w:r w:rsidR="00542DED" w:rsidRPr="00CE2185">
        <w:rPr>
          <w:noProof/>
        </w:rPr>
        <w:t xml:space="preserve"> </w:t>
      </w:r>
      <w:r w:rsidR="00542DED" w:rsidRPr="00CE2185">
        <w:rPr>
          <w:b/>
          <w:bCs/>
          <w:noProof/>
        </w:rPr>
        <w:t xml:space="preserve">EUR </w:t>
      </w:r>
      <w:r w:rsidR="001C2809" w:rsidRPr="00CE2185">
        <w:rPr>
          <w:b/>
          <w:bCs/>
          <w:noProof/>
        </w:rPr>
        <w:t>1 282 770</w:t>
      </w:r>
      <w:r w:rsidR="00542DED" w:rsidRPr="00CE2185">
        <w:rPr>
          <w:b/>
          <w:bCs/>
          <w:noProof/>
        </w:rPr>
        <w:t xml:space="preserve"> year</w:t>
      </w:r>
      <w:r w:rsidR="00906CCD" w:rsidRPr="00CE2185">
        <w:rPr>
          <w:b/>
          <w:bCs/>
          <w:noProof/>
        </w:rPr>
        <w:t>l</w:t>
      </w:r>
      <w:r w:rsidR="00542DED" w:rsidRPr="00CE2185">
        <w:rPr>
          <w:b/>
          <w:bCs/>
          <w:noProof/>
        </w:rPr>
        <w:t>y</w:t>
      </w:r>
      <w:r w:rsidR="00FC3F93" w:rsidRPr="00CE2185">
        <w:rPr>
          <w:b/>
          <w:bCs/>
          <w:noProof/>
        </w:rPr>
        <w:t xml:space="preserve"> (i.e. EUR 6.41 M over 5 years)</w:t>
      </w:r>
      <w:r w:rsidR="00DA5631" w:rsidRPr="00CE2185">
        <w:rPr>
          <w:b/>
          <w:bCs/>
          <w:noProof/>
        </w:rPr>
        <w:t>.</w:t>
      </w:r>
      <w:r w:rsidR="00DA5631" w:rsidRPr="00CE2185">
        <w:rPr>
          <w:b/>
          <w:noProof/>
        </w:rPr>
        <w:t xml:space="preserve"> </w:t>
      </w:r>
    </w:p>
    <w:p w14:paraId="204310C0" w14:textId="5C7A6407" w:rsidR="00D012F3" w:rsidRPr="00CE2185" w:rsidRDefault="00D012F3" w:rsidP="00795DF0">
      <w:pPr>
        <w:spacing w:after="120"/>
        <w:rPr>
          <w:noProof/>
        </w:rPr>
      </w:pPr>
      <w:r w:rsidRPr="00CE2185">
        <w:rPr>
          <w:noProof/>
        </w:rPr>
        <w:t xml:space="preserve">Regarding </w:t>
      </w:r>
      <w:r w:rsidRPr="00CE2185">
        <w:rPr>
          <w:b/>
          <w:bCs/>
          <w:noProof/>
        </w:rPr>
        <w:t>national authorities</w:t>
      </w:r>
      <w:r w:rsidRPr="00CE2185">
        <w:rPr>
          <w:noProof/>
        </w:rPr>
        <w:t xml:space="preserve">, </w:t>
      </w:r>
      <w:r w:rsidR="008F08E1" w:rsidRPr="00CE2185">
        <w:rPr>
          <w:noProof/>
        </w:rPr>
        <w:t>a</w:t>
      </w:r>
      <w:r w:rsidR="008D08F3" w:rsidRPr="00CE2185">
        <w:rPr>
          <w:noProof/>
        </w:rPr>
        <w:t xml:space="preserve"> recurring adjustment</w:t>
      </w:r>
      <w:r w:rsidRPr="00CE2185">
        <w:rPr>
          <w:noProof/>
        </w:rPr>
        <w:t xml:space="preserve"> cost</w:t>
      </w:r>
      <w:r w:rsidR="003716FD" w:rsidRPr="00CE2185">
        <w:rPr>
          <w:noProof/>
        </w:rPr>
        <w:t xml:space="preserve"> emerges by</w:t>
      </w:r>
      <w:r w:rsidRPr="00CE2185">
        <w:rPr>
          <w:noProof/>
        </w:rPr>
        <w:t xml:space="preserve"> second</w:t>
      </w:r>
      <w:r w:rsidR="00B10B6E" w:rsidRPr="00CE2185">
        <w:rPr>
          <w:noProof/>
        </w:rPr>
        <w:t>ing</w:t>
      </w:r>
      <w:r w:rsidRPr="00CE2185">
        <w:rPr>
          <w:noProof/>
        </w:rPr>
        <w:t xml:space="preserve"> to ENISA at least one national liaison officer per Member State (i.e. </w:t>
      </w:r>
      <w:r w:rsidR="008D08F3" w:rsidRPr="00CE2185">
        <w:rPr>
          <w:noProof/>
        </w:rPr>
        <w:t xml:space="preserve">in total </w:t>
      </w:r>
      <w:r w:rsidRPr="00CE2185">
        <w:rPr>
          <w:noProof/>
        </w:rPr>
        <w:t xml:space="preserve">at least </w:t>
      </w:r>
      <w:r w:rsidR="0019197F" w:rsidRPr="00CE2185">
        <w:rPr>
          <w:noProof/>
        </w:rPr>
        <w:t xml:space="preserve">40 </w:t>
      </w:r>
      <w:r w:rsidRPr="00CE2185">
        <w:rPr>
          <w:noProof/>
        </w:rPr>
        <w:t>additional NLOs) for tasks related to operational cooperation</w:t>
      </w:r>
      <w:r w:rsidR="003716FD" w:rsidRPr="00CE2185">
        <w:rPr>
          <w:noProof/>
        </w:rPr>
        <w:t>, which amounts to a</w:t>
      </w:r>
      <w:r w:rsidR="008B1198" w:rsidRPr="00CE2185">
        <w:rPr>
          <w:noProof/>
        </w:rPr>
        <w:t>n</w:t>
      </w:r>
      <w:r w:rsidRPr="00CE2185">
        <w:rPr>
          <w:noProof/>
        </w:rPr>
        <w:t xml:space="preserve"> annual recurr</w:t>
      </w:r>
      <w:r w:rsidR="00973D53" w:rsidRPr="00CE2185">
        <w:rPr>
          <w:noProof/>
        </w:rPr>
        <w:t>ing</w:t>
      </w:r>
      <w:r w:rsidRPr="00CE2185">
        <w:rPr>
          <w:noProof/>
        </w:rPr>
        <w:t xml:space="preserve"> cost</w:t>
      </w:r>
      <w:r w:rsidR="00A8332C" w:rsidRPr="00CE2185">
        <w:rPr>
          <w:noProof/>
        </w:rPr>
        <w:t xml:space="preserve"> of EUR 56 500 per NLO</w:t>
      </w:r>
      <w:r w:rsidR="00ED4468" w:rsidRPr="00CE2185">
        <w:rPr>
          <w:noProof/>
        </w:rPr>
        <w:t>, i.e.</w:t>
      </w:r>
      <w:r w:rsidRPr="00CE2185">
        <w:rPr>
          <w:noProof/>
        </w:rPr>
        <w:t xml:space="preserve"> EUR</w:t>
      </w:r>
      <w:r w:rsidR="005D4EE2" w:rsidRPr="00CE2185">
        <w:rPr>
          <w:noProof/>
        </w:rPr>
        <w:t xml:space="preserve"> </w:t>
      </w:r>
      <w:r w:rsidR="00F170FA" w:rsidRPr="00CE2185">
        <w:rPr>
          <w:b/>
          <w:noProof/>
        </w:rPr>
        <w:t>2</w:t>
      </w:r>
      <w:r w:rsidR="60FBD695" w:rsidRPr="00CE2185">
        <w:rPr>
          <w:b/>
          <w:bCs/>
          <w:noProof/>
        </w:rPr>
        <w:t>.</w:t>
      </w:r>
      <w:r w:rsidR="00F170FA" w:rsidRPr="00CE2185">
        <w:rPr>
          <w:b/>
          <w:bCs/>
          <w:noProof/>
        </w:rPr>
        <w:t>26</w:t>
      </w:r>
      <w:r w:rsidR="55131311" w:rsidRPr="00CE2185">
        <w:rPr>
          <w:b/>
          <w:bCs/>
          <w:noProof/>
        </w:rPr>
        <w:t>M</w:t>
      </w:r>
      <w:r w:rsidR="00F170FA" w:rsidRPr="00CE2185">
        <w:rPr>
          <w:b/>
          <w:noProof/>
        </w:rPr>
        <w:t xml:space="preserve"> </w:t>
      </w:r>
      <w:r w:rsidR="008B1198" w:rsidRPr="00CE2185">
        <w:rPr>
          <w:noProof/>
        </w:rPr>
        <w:t xml:space="preserve">for </w:t>
      </w:r>
      <w:r w:rsidR="00453BE6" w:rsidRPr="00CE2185">
        <w:rPr>
          <w:noProof/>
        </w:rPr>
        <w:t>40</w:t>
      </w:r>
      <w:r w:rsidR="008B1198" w:rsidRPr="00CE2185">
        <w:rPr>
          <w:noProof/>
        </w:rPr>
        <w:t xml:space="preserve"> NLOs</w:t>
      </w:r>
      <w:r w:rsidR="00A8332C" w:rsidRPr="00CE2185">
        <w:rPr>
          <w:noProof/>
        </w:rPr>
        <w:t xml:space="preserve"> </w:t>
      </w:r>
      <w:r w:rsidR="00A95F9F" w:rsidRPr="00CE2185">
        <w:rPr>
          <w:noProof/>
        </w:rPr>
        <w:t>(</w:t>
      </w:r>
      <w:r w:rsidR="00A95F9F" w:rsidRPr="00CE2185">
        <w:rPr>
          <w:b/>
          <w:bCs/>
          <w:noProof/>
        </w:rPr>
        <w:t>i.e. EUR 11.3M over 5 years</w:t>
      </w:r>
      <w:r w:rsidR="00A95F9F" w:rsidRPr="00CE2185">
        <w:rPr>
          <w:noProof/>
        </w:rPr>
        <w:t xml:space="preserve">) </w:t>
      </w:r>
      <w:r w:rsidR="00755149" w:rsidRPr="00CE2185">
        <w:rPr>
          <w:i/>
          <w:noProof/>
          <w:lang w:val="en-IE"/>
        </w:rPr>
        <w:t xml:space="preserve">(see Annex </w:t>
      </w:r>
      <w:r w:rsidR="00591448" w:rsidRPr="00CE2185">
        <w:rPr>
          <w:i/>
          <w:iCs/>
          <w:noProof/>
          <w:lang w:val="en-IE"/>
        </w:rPr>
        <w:t>4</w:t>
      </w:r>
      <w:r w:rsidR="001F5F5A" w:rsidRPr="00CE2185">
        <w:rPr>
          <w:i/>
          <w:iCs/>
          <w:noProof/>
          <w:lang w:val="en-IE"/>
        </w:rPr>
        <w:t>, section 4.1.2.</w:t>
      </w:r>
      <w:r w:rsidR="00F72566" w:rsidRPr="00CE2185">
        <w:rPr>
          <w:i/>
          <w:iCs/>
          <w:noProof/>
          <w:lang w:val="en-IE"/>
        </w:rPr>
        <w:t>3</w:t>
      </w:r>
      <w:r w:rsidR="00FE1BE3" w:rsidRPr="00CE2185">
        <w:rPr>
          <w:i/>
          <w:noProof/>
          <w:lang w:val="en-IE"/>
        </w:rPr>
        <w:t>)</w:t>
      </w:r>
      <w:r w:rsidR="00755149" w:rsidRPr="00CE2185">
        <w:rPr>
          <w:noProof/>
        </w:rPr>
        <w:t xml:space="preserve">. </w:t>
      </w:r>
    </w:p>
    <w:p w14:paraId="0C457A11" w14:textId="5FFFA3EF" w:rsidR="00DF48D4" w:rsidRPr="00CE2185" w:rsidRDefault="005D4928" w:rsidP="00795DF0">
      <w:pPr>
        <w:spacing w:after="120"/>
        <w:rPr>
          <w:noProof/>
        </w:rPr>
      </w:pPr>
      <w:r w:rsidRPr="00CE2185">
        <w:rPr>
          <w:noProof/>
        </w:rPr>
        <w:t xml:space="preserve">Related to the </w:t>
      </w:r>
      <w:r w:rsidRPr="00CE2185">
        <w:rPr>
          <w:b/>
          <w:bCs/>
          <w:noProof/>
        </w:rPr>
        <w:t>European individual attestation scheme</w:t>
      </w:r>
      <w:r w:rsidRPr="00CE2185">
        <w:rPr>
          <w:noProof/>
        </w:rPr>
        <w:t xml:space="preserve">, </w:t>
      </w:r>
      <w:r w:rsidR="00DF48D4" w:rsidRPr="00CE2185">
        <w:rPr>
          <w:noProof/>
        </w:rPr>
        <w:t xml:space="preserve">next to the costs for ENISA, it is not possible to provide aggregated costs as participation would remain </w:t>
      </w:r>
      <w:r w:rsidR="5B091D38" w:rsidRPr="00CE2185">
        <w:rPr>
          <w:noProof/>
        </w:rPr>
        <w:t xml:space="preserve">voluntary </w:t>
      </w:r>
      <w:r w:rsidR="00DF48D4" w:rsidRPr="00CE2185">
        <w:rPr>
          <w:noProof/>
        </w:rPr>
        <w:t xml:space="preserve">in nature. The following </w:t>
      </w:r>
      <w:r w:rsidRPr="00CE2185">
        <w:rPr>
          <w:noProof/>
        </w:rPr>
        <w:t>costs would</w:t>
      </w:r>
      <w:r w:rsidR="007D4BF6" w:rsidRPr="00CE2185">
        <w:rPr>
          <w:noProof/>
        </w:rPr>
        <w:t xml:space="preserve"> nevertheless</w:t>
      </w:r>
      <w:r w:rsidRPr="00CE2185">
        <w:rPr>
          <w:noProof/>
        </w:rPr>
        <w:t xml:space="preserve"> occur for the stakeholders</w:t>
      </w:r>
      <w:r w:rsidR="00155A62" w:rsidRPr="00CE2185">
        <w:rPr>
          <w:noProof/>
        </w:rPr>
        <w:t xml:space="preserve"> (public and private)</w:t>
      </w:r>
      <w:r w:rsidRPr="00CE2185">
        <w:rPr>
          <w:noProof/>
        </w:rPr>
        <w:t xml:space="preserve"> </w:t>
      </w:r>
      <w:r w:rsidR="00057F0D" w:rsidRPr="00CE2185">
        <w:rPr>
          <w:noProof/>
        </w:rPr>
        <w:t>who voluntarily decide to apply to becoming authorised attestation providers</w:t>
      </w:r>
      <w:r w:rsidRPr="00CE2185">
        <w:rPr>
          <w:noProof/>
        </w:rPr>
        <w:t xml:space="preserve">: </w:t>
      </w:r>
    </w:p>
    <w:p w14:paraId="3C26FBEA" w14:textId="11E5A0A5" w:rsidR="000C77F1" w:rsidRPr="00CE2185" w:rsidRDefault="00DF48D4" w:rsidP="00EE3DF9">
      <w:pPr>
        <w:pStyle w:val="ListParagraph"/>
        <w:numPr>
          <w:ilvl w:val="0"/>
          <w:numId w:val="25"/>
        </w:numPr>
        <w:spacing w:after="120"/>
        <w:ind w:left="357" w:hanging="357"/>
        <w:rPr>
          <w:noProof/>
        </w:rPr>
      </w:pPr>
      <w:r w:rsidRPr="00CE2185">
        <w:rPr>
          <w:noProof/>
        </w:rPr>
        <w:t xml:space="preserve">For </w:t>
      </w:r>
      <w:r w:rsidRPr="00CE2185">
        <w:rPr>
          <w:b/>
          <w:bCs/>
          <w:noProof/>
        </w:rPr>
        <w:t>businesses</w:t>
      </w:r>
      <w:r w:rsidR="0041142D" w:rsidRPr="00CE2185">
        <w:rPr>
          <w:b/>
          <w:bCs/>
          <w:noProof/>
        </w:rPr>
        <w:t xml:space="preserve"> and national authorities</w:t>
      </w:r>
      <w:r w:rsidRPr="00CE2185">
        <w:rPr>
          <w:noProof/>
        </w:rPr>
        <w:t xml:space="preserve">: </w:t>
      </w:r>
      <w:r w:rsidR="00464229" w:rsidRPr="00CE2185">
        <w:rPr>
          <w:noProof/>
        </w:rPr>
        <w:t xml:space="preserve">compliance costs would </w:t>
      </w:r>
      <w:r w:rsidR="000C77F1" w:rsidRPr="00CE2185">
        <w:rPr>
          <w:noProof/>
        </w:rPr>
        <w:t>cover:</w:t>
      </w:r>
    </w:p>
    <w:p w14:paraId="4119C481" w14:textId="1A79E44D" w:rsidR="00A14F60" w:rsidRPr="00CE2185" w:rsidRDefault="00005497">
      <w:pPr>
        <w:pStyle w:val="ListParagraph"/>
        <w:spacing w:before="240" w:after="120"/>
        <w:ind w:left="357"/>
        <w:rPr>
          <w:noProof/>
        </w:rPr>
      </w:pPr>
      <w:r w:rsidRPr="00CE2185">
        <w:rPr>
          <w:noProof/>
          <w:u w:val="single"/>
        </w:rPr>
        <w:t>A</w:t>
      </w:r>
      <w:r w:rsidR="00AE404E" w:rsidRPr="00CE2185">
        <w:rPr>
          <w:noProof/>
          <w:u w:val="single"/>
        </w:rPr>
        <w:t xml:space="preserve">dministrative </w:t>
      </w:r>
      <w:r w:rsidR="00D429AE" w:rsidRPr="00CE2185">
        <w:rPr>
          <w:noProof/>
          <w:u w:val="single"/>
        </w:rPr>
        <w:t>costs</w:t>
      </w:r>
      <w:r w:rsidR="00AE404E" w:rsidRPr="00CE2185">
        <w:rPr>
          <w:noProof/>
        </w:rPr>
        <w:t>:</w:t>
      </w:r>
      <w:r w:rsidR="006A7279" w:rsidRPr="00CE2185">
        <w:rPr>
          <w:noProof/>
        </w:rPr>
        <w:t xml:space="preserve"> </w:t>
      </w:r>
      <w:r w:rsidR="00A36C1B" w:rsidRPr="00CE2185">
        <w:rPr>
          <w:noProof/>
        </w:rPr>
        <w:t>providers</w:t>
      </w:r>
      <w:r w:rsidR="00DF48D4" w:rsidRPr="00CE2185">
        <w:rPr>
          <w:noProof/>
        </w:rPr>
        <w:t xml:space="preserve"> of </w:t>
      </w:r>
      <w:r w:rsidR="00AA2CB4" w:rsidRPr="00CE2185">
        <w:rPr>
          <w:noProof/>
        </w:rPr>
        <w:t xml:space="preserve">European individual </w:t>
      </w:r>
      <w:r w:rsidR="4D9F0277" w:rsidRPr="00CE2185">
        <w:rPr>
          <w:noProof/>
        </w:rPr>
        <w:t xml:space="preserve">cybersecurity skills </w:t>
      </w:r>
      <w:r w:rsidR="00AA2CB4" w:rsidRPr="00CE2185">
        <w:rPr>
          <w:noProof/>
        </w:rPr>
        <w:t>attestations</w:t>
      </w:r>
      <w:r w:rsidR="00DF48D4" w:rsidRPr="00CE2185">
        <w:rPr>
          <w:noProof/>
        </w:rPr>
        <w:t xml:space="preserve"> would</w:t>
      </w:r>
      <w:r w:rsidR="00AA2CB4" w:rsidRPr="00CE2185">
        <w:rPr>
          <w:noProof/>
        </w:rPr>
        <w:t xml:space="preserve"> </w:t>
      </w:r>
      <w:r w:rsidR="002E6A9C" w:rsidRPr="00CE2185">
        <w:rPr>
          <w:noProof/>
        </w:rPr>
        <w:t xml:space="preserve">bear </w:t>
      </w:r>
      <w:r w:rsidR="00AA2CB4" w:rsidRPr="00CE2185">
        <w:rPr>
          <w:b/>
          <w:bCs/>
          <w:noProof/>
        </w:rPr>
        <w:t xml:space="preserve">both one-off and recurrent </w:t>
      </w:r>
      <w:r w:rsidR="00E042EB" w:rsidRPr="00CE2185">
        <w:rPr>
          <w:b/>
          <w:bCs/>
          <w:noProof/>
        </w:rPr>
        <w:t>fees</w:t>
      </w:r>
      <w:r w:rsidR="00AA2CB4" w:rsidRPr="00CE2185">
        <w:rPr>
          <w:noProof/>
        </w:rPr>
        <w:t xml:space="preserve">. </w:t>
      </w:r>
      <w:r w:rsidR="00A36C1B" w:rsidRPr="00CE2185">
        <w:rPr>
          <w:noProof/>
        </w:rPr>
        <w:t>Providers</w:t>
      </w:r>
      <w:r w:rsidR="00AA2CB4" w:rsidRPr="00CE2185">
        <w:rPr>
          <w:noProof/>
        </w:rPr>
        <w:t xml:space="preserve"> would </w:t>
      </w:r>
      <w:r w:rsidR="00DF48D4" w:rsidRPr="00CE2185">
        <w:rPr>
          <w:noProof/>
        </w:rPr>
        <w:t xml:space="preserve">pay a fee to ENISA to </w:t>
      </w:r>
      <w:r w:rsidR="00E73BD8" w:rsidRPr="00CE2185">
        <w:rPr>
          <w:noProof/>
        </w:rPr>
        <w:t xml:space="preserve">apply to </w:t>
      </w:r>
      <w:r w:rsidR="00DF48D4" w:rsidRPr="00CE2185">
        <w:rPr>
          <w:noProof/>
        </w:rPr>
        <w:t>become an authorised provider</w:t>
      </w:r>
      <w:r w:rsidR="00C97363" w:rsidRPr="00CE2185">
        <w:rPr>
          <w:noProof/>
        </w:rPr>
        <w:t xml:space="preserve"> for a </w:t>
      </w:r>
      <w:r w:rsidR="001C2867" w:rsidRPr="00CE2185">
        <w:rPr>
          <w:noProof/>
        </w:rPr>
        <w:t xml:space="preserve">particular cybersecurity role profile </w:t>
      </w:r>
      <w:r w:rsidR="009A2BE4" w:rsidRPr="00CE2185">
        <w:rPr>
          <w:noProof/>
        </w:rPr>
        <w:t>as laid down in the European Cybersecurity Skills Framework, or for a subset thereof</w:t>
      </w:r>
      <w:r w:rsidR="001C2867" w:rsidRPr="00CE2185">
        <w:rPr>
          <w:noProof/>
        </w:rPr>
        <w:t xml:space="preserve"> (e.g. emergency incident responder)</w:t>
      </w:r>
      <w:r w:rsidR="00DF48D4" w:rsidRPr="00CE2185">
        <w:rPr>
          <w:noProof/>
        </w:rPr>
        <w:t xml:space="preserve">. </w:t>
      </w:r>
      <w:r w:rsidR="00FC75C1" w:rsidRPr="00CE2185">
        <w:rPr>
          <w:noProof/>
        </w:rPr>
        <w:t xml:space="preserve">ENISA would carry out regular audit to ensure that those </w:t>
      </w:r>
      <w:r w:rsidR="002C5885" w:rsidRPr="00CE2185">
        <w:rPr>
          <w:noProof/>
        </w:rPr>
        <w:t xml:space="preserve">providers can </w:t>
      </w:r>
      <w:r w:rsidR="00C97363" w:rsidRPr="00CE2185">
        <w:rPr>
          <w:noProof/>
        </w:rPr>
        <w:t xml:space="preserve">be authorised and </w:t>
      </w:r>
      <w:r w:rsidR="00FC75C1" w:rsidRPr="00CE2185">
        <w:rPr>
          <w:noProof/>
        </w:rPr>
        <w:t xml:space="preserve">maintain their </w:t>
      </w:r>
      <w:r w:rsidR="002C5885" w:rsidRPr="00CE2185">
        <w:rPr>
          <w:noProof/>
        </w:rPr>
        <w:t xml:space="preserve">authorisation </w:t>
      </w:r>
      <w:r w:rsidR="00FC75C1" w:rsidRPr="00CE2185">
        <w:rPr>
          <w:noProof/>
        </w:rPr>
        <w:t>(recurrent costs).</w:t>
      </w:r>
      <w:r w:rsidR="009A2BE4" w:rsidRPr="00CE2185">
        <w:rPr>
          <w:noProof/>
        </w:rPr>
        <w:t xml:space="preserve"> The costs </w:t>
      </w:r>
      <w:r w:rsidR="00DF2E9C" w:rsidRPr="00CE2185">
        <w:rPr>
          <w:noProof/>
        </w:rPr>
        <w:t>of an application</w:t>
      </w:r>
      <w:r w:rsidR="00E34989" w:rsidRPr="00CE2185">
        <w:rPr>
          <w:noProof/>
        </w:rPr>
        <w:t xml:space="preserve"> or a renewal</w:t>
      </w:r>
      <w:r w:rsidR="00DF2E9C" w:rsidRPr="00CE2185">
        <w:rPr>
          <w:noProof/>
        </w:rPr>
        <w:t xml:space="preserve"> </w:t>
      </w:r>
      <w:r w:rsidR="009A2BE4" w:rsidRPr="00CE2185">
        <w:rPr>
          <w:noProof/>
        </w:rPr>
        <w:t>would vary</w:t>
      </w:r>
      <w:r w:rsidR="00E54114" w:rsidRPr="00CE2185">
        <w:rPr>
          <w:noProof/>
        </w:rPr>
        <w:t xml:space="preserve"> depending on the cybersecurity role profile</w:t>
      </w:r>
      <w:r w:rsidR="00DF2E9C" w:rsidRPr="00CE2185">
        <w:rPr>
          <w:noProof/>
        </w:rPr>
        <w:t xml:space="preserve"> </w:t>
      </w:r>
      <w:r w:rsidR="00D4149C" w:rsidRPr="00CE2185">
        <w:rPr>
          <w:noProof/>
        </w:rPr>
        <w:t xml:space="preserve">for which the </w:t>
      </w:r>
      <w:r w:rsidR="00241B1F" w:rsidRPr="00CE2185">
        <w:rPr>
          <w:noProof/>
        </w:rPr>
        <w:t>provider</w:t>
      </w:r>
      <w:r w:rsidR="00D4149C" w:rsidRPr="00CE2185">
        <w:rPr>
          <w:noProof/>
        </w:rPr>
        <w:t xml:space="preserve"> applies. For instance</w:t>
      </w:r>
      <w:r w:rsidR="000261FE" w:rsidRPr="00CE2185">
        <w:rPr>
          <w:noProof/>
        </w:rPr>
        <w:t xml:space="preserve">, an application to become authorised provider for a role that entails </w:t>
      </w:r>
      <w:r w:rsidR="00D01174" w:rsidRPr="00CE2185">
        <w:rPr>
          <w:noProof/>
        </w:rPr>
        <w:t xml:space="preserve">a </w:t>
      </w:r>
      <w:r w:rsidR="000D7C66" w:rsidRPr="00CE2185">
        <w:rPr>
          <w:noProof/>
        </w:rPr>
        <w:t>practical assessment (e.g. use of a cyber range</w:t>
      </w:r>
      <w:r w:rsidR="00AE51E0" w:rsidRPr="00CE2185">
        <w:rPr>
          <w:noProof/>
        </w:rPr>
        <w:t xml:space="preserve"> or</w:t>
      </w:r>
      <w:r w:rsidR="000B4926" w:rsidRPr="00CE2185">
        <w:rPr>
          <w:noProof/>
        </w:rPr>
        <w:t xml:space="preserve"> labs</w:t>
      </w:r>
      <w:r w:rsidR="000D7C66" w:rsidRPr="00CE2185">
        <w:rPr>
          <w:noProof/>
        </w:rPr>
        <w:t xml:space="preserve">) </w:t>
      </w:r>
      <w:r w:rsidR="00241B1F" w:rsidRPr="00CE2185">
        <w:rPr>
          <w:noProof/>
        </w:rPr>
        <w:t>would</w:t>
      </w:r>
      <w:r w:rsidR="4B7EF285" w:rsidRPr="00CE2185">
        <w:rPr>
          <w:noProof/>
        </w:rPr>
        <w:t xml:space="preserve"> </w:t>
      </w:r>
      <w:r w:rsidR="35B7C41A" w:rsidRPr="00CE2185">
        <w:rPr>
          <w:noProof/>
        </w:rPr>
        <w:t>likely</w:t>
      </w:r>
      <w:r w:rsidR="00241B1F" w:rsidRPr="00CE2185">
        <w:rPr>
          <w:noProof/>
        </w:rPr>
        <w:t xml:space="preserve"> be higher than </w:t>
      </w:r>
      <w:r w:rsidR="009B1F71" w:rsidRPr="00CE2185">
        <w:rPr>
          <w:noProof/>
        </w:rPr>
        <w:t xml:space="preserve">the cost of an application </w:t>
      </w:r>
      <w:r w:rsidR="00C81B81" w:rsidRPr="00CE2185">
        <w:rPr>
          <w:noProof/>
        </w:rPr>
        <w:t xml:space="preserve">that entails </w:t>
      </w:r>
      <w:r w:rsidR="00D12CD1" w:rsidRPr="00CE2185">
        <w:rPr>
          <w:noProof/>
        </w:rPr>
        <w:t>theoretical assessment on</w:t>
      </w:r>
      <w:r w:rsidR="00C81B81" w:rsidRPr="00CE2185">
        <w:rPr>
          <w:noProof/>
        </w:rPr>
        <w:t>ly</w:t>
      </w:r>
      <w:r w:rsidR="00D12CD1" w:rsidRPr="00CE2185">
        <w:rPr>
          <w:noProof/>
        </w:rPr>
        <w:t>.</w:t>
      </w:r>
      <w:r w:rsidR="000D7C66" w:rsidRPr="00CE2185">
        <w:rPr>
          <w:noProof/>
        </w:rPr>
        <w:t xml:space="preserve"> </w:t>
      </w:r>
      <w:r w:rsidR="001B388A" w:rsidRPr="00CE2185">
        <w:rPr>
          <w:noProof/>
        </w:rPr>
        <w:t xml:space="preserve">In order to </w:t>
      </w:r>
      <w:r w:rsidR="00F56384" w:rsidRPr="00CE2185">
        <w:rPr>
          <w:noProof/>
        </w:rPr>
        <w:t>evaluate the range of costs</w:t>
      </w:r>
      <w:r w:rsidR="00127842" w:rsidRPr="00CE2185">
        <w:rPr>
          <w:noProof/>
        </w:rPr>
        <w:t xml:space="preserve">, </w:t>
      </w:r>
      <w:r w:rsidR="004D40D1" w:rsidRPr="00CE2185">
        <w:rPr>
          <w:noProof/>
        </w:rPr>
        <w:t>national authorities who have developed such mechanisms for specific role profiles</w:t>
      </w:r>
      <w:r w:rsidR="00D175B6" w:rsidRPr="00CE2185">
        <w:rPr>
          <w:noProof/>
        </w:rPr>
        <w:t xml:space="preserve"> and are known to the Commission</w:t>
      </w:r>
      <w:r w:rsidR="004D40D1" w:rsidRPr="00CE2185">
        <w:rPr>
          <w:noProof/>
        </w:rPr>
        <w:t xml:space="preserve"> have been</w:t>
      </w:r>
      <w:r w:rsidR="0007765A" w:rsidRPr="00CE2185">
        <w:rPr>
          <w:noProof/>
        </w:rPr>
        <w:t xml:space="preserve"> explored</w:t>
      </w:r>
      <w:r w:rsidR="00CE71BF" w:rsidRPr="00CE2185">
        <w:rPr>
          <w:noProof/>
        </w:rPr>
        <w:t xml:space="preserve"> (</w:t>
      </w:r>
      <w:r w:rsidR="00CE71BF" w:rsidRPr="00CE2185">
        <w:rPr>
          <w:i/>
          <w:iCs/>
          <w:noProof/>
        </w:rPr>
        <w:t>see Annex 4, section 4.1.2.</w:t>
      </w:r>
      <w:r w:rsidR="00A47D4C" w:rsidRPr="00CE2185">
        <w:rPr>
          <w:i/>
          <w:iCs/>
          <w:noProof/>
        </w:rPr>
        <w:t>3</w:t>
      </w:r>
      <w:r w:rsidR="00CE71BF" w:rsidRPr="00CE2185">
        <w:rPr>
          <w:i/>
          <w:iCs/>
          <w:noProof/>
        </w:rPr>
        <w:t>)</w:t>
      </w:r>
      <w:r w:rsidR="006C24C7" w:rsidRPr="00CE2185">
        <w:rPr>
          <w:noProof/>
        </w:rPr>
        <w:t>.</w:t>
      </w:r>
      <w:r w:rsidR="006177C1" w:rsidRPr="00CE2185">
        <w:rPr>
          <w:noProof/>
        </w:rPr>
        <w:t xml:space="preserve"> </w:t>
      </w:r>
      <w:r w:rsidR="00E34989" w:rsidRPr="00CE2185">
        <w:rPr>
          <w:noProof/>
        </w:rPr>
        <w:t>Based on one Member State’s publicly available information</w:t>
      </w:r>
      <w:r w:rsidR="003043B5" w:rsidRPr="00CE2185">
        <w:rPr>
          <w:rStyle w:val="FootnoteReference"/>
          <w:noProof/>
        </w:rPr>
        <w:footnoteReference w:id="142"/>
      </w:r>
      <w:r w:rsidR="00E34989" w:rsidRPr="00CE2185">
        <w:rPr>
          <w:noProof/>
        </w:rPr>
        <w:t>, it can be estimated</w:t>
      </w:r>
      <w:r w:rsidR="00C75443" w:rsidRPr="00CE2185">
        <w:rPr>
          <w:noProof/>
        </w:rPr>
        <w:t xml:space="preserve"> that the cost </w:t>
      </w:r>
      <w:r w:rsidR="005F3C48" w:rsidRPr="00CE2185">
        <w:rPr>
          <w:noProof/>
        </w:rPr>
        <w:t>for providers of an </w:t>
      </w:r>
      <w:r w:rsidR="00C75443" w:rsidRPr="00CE2185">
        <w:rPr>
          <w:b/>
          <w:bCs/>
          <w:noProof/>
        </w:rPr>
        <w:t>initial authorisation</w:t>
      </w:r>
      <w:r w:rsidR="005F3C48" w:rsidRPr="00CE2185">
        <w:rPr>
          <w:b/>
          <w:bCs/>
          <w:noProof/>
        </w:rPr>
        <w:t>, including</w:t>
      </w:r>
      <w:r w:rsidR="00C75443" w:rsidRPr="00CE2185">
        <w:rPr>
          <w:b/>
          <w:bCs/>
          <w:noProof/>
        </w:rPr>
        <w:t xml:space="preserve"> surveillance</w:t>
      </w:r>
      <w:r w:rsidR="00C75443" w:rsidRPr="00CE2185">
        <w:rPr>
          <w:noProof/>
        </w:rPr>
        <w:t xml:space="preserve"> for the profiles of Cybersecurity Manager and Cybersecurity Auditor would amount to </w:t>
      </w:r>
      <w:r w:rsidR="79BE652B" w:rsidRPr="00120691">
        <w:rPr>
          <w:noProof/>
        </w:rPr>
        <w:t>an estimated</w:t>
      </w:r>
      <w:r w:rsidR="263BEE20" w:rsidRPr="00CE2185">
        <w:rPr>
          <w:noProof/>
        </w:rPr>
        <w:t xml:space="preserve"> </w:t>
      </w:r>
      <w:r w:rsidR="263BEE20" w:rsidRPr="00CE2185">
        <w:rPr>
          <w:b/>
          <w:bCs/>
          <w:noProof/>
        </w:rPr>
        <w:t xml:space="preserve">EUR </w:t>
      </w:r>
      <w:r w:rsidR="20E077E0" w:rsidRPr="00CE2185">
        <w:rPr>
          <w:b/>
          <w:bCs/>
          <w:noProof/>
        </w:rPr>
        <w:t>8</w:t>
      </w:r>
      <w:r w:rsidR="4C972F5F" w:rsidRPr="00CE2185">
        <w:rPr>
          <w:b/>
          <w:bCs/>
          <w:noProof/>
        </w:rPr>
        <w:t> </w:t>
      </w:r>
      <w:r w:rsidR="20E077E0" w:rsidRPr="00CE2185">
        <w:rPr>
          <w:b/>
          <w:bCs/>
          <w:noProof/>
        </w:rPr>
        <w:t>540.</w:t>
      </w:r>
      <w:r w:rsidR="263BEE20" w:rsidRPr="00CE2185">
        <w:rPr>
          <w:b/>
          <w:bCs/>
          <w:noProof/>
        </w:rPr>
        <w:t xml:space="preserve">  </w:t>
      </w:r>
      <w:r w:rsidR="6CD521F2" w:rsidRPr="00120691">
        <w:rPr>
          <w:noProof/>
        </w:rPr>
        <w:t>Using the same</w:t>
      </w:r>
      <w:r w:rsidR="6CD521F2" w:rsidRPr="211C3D34">
        <w:rPr>
          <w:noProof/>
        </w:rPr>
        <w:t xml:space="preserve"> country’s publicly available information, i</w:t>
      </w:r>
      <w:r w:rsidR="00FF2F36" w:rsidRPr="00FF2F36">
        <w:rPr>
          <w:noProof/>
        </w:rPr>
        <w:t>t can</w:t>
      </w:r>
      <w:r w:rsidR="00FF2F36">
        <w:rPr>
          <w:b/>
          <w:bCs/>
          <w:noProof/>
        </w:rPr>
        <w:t xml:space="preserve"> </w:t>
      </w:r>
      <w:r w:rsidR="00FF2F36" w:rsidRPr="00FF2F36">
        <w:rPr>
          <w:noProof/>
        </w:rPr>
        <w:t xml:space="preserve">be </w:t>
      </w:r>
      <w:r w:rsidR="00FF2F36">
        <w:rPr>
          <w:noProof/>
        </w:rPr>
        <w:t>estimated that</w:t>
      </w:r>
      <w:r w:rsidR="00FF5F76">
        <w:rPr>
          <w:noProof/>
        </w:rPr>
        <w:t xml:space="preserve"> </w:t>
      </w:r>
      <w:r w:rsidR="00EE7B5D">
        <w:rPr>
          <w:noProof/>
        </w:rPr>
        <w:t>t</w:t>
      </w:r>
      <w:r w:rsidR="00C75443" w:rsidRPr="00CE2185">
        <w:rPr>
          <w:noProof/>
        </w:rPr>
        <w:t xml:space="preserve">he </w:t>
      </w:r>
      <w:r w:rsidR="005F3C48" w:rsidRPr="00CE2185">
        <w:rPr>
          <w:noProof/>
        </w:rPr>
        <w:t xml:space="preserve">provider would additionally pay </w:t>
      </w:r>
      <w:r w:rsidR="005F3C48" w:rsidRPr="00CE2185">
        <w:rPr>
          <w:b/>
          <w:bCs/>
          <w:noProof/>
        </w:rPr>
        <w:t>a yearly</w:t>
      </w:r>
      <w:r w:rsidR="00235957" w:rsidRPr="00235957">
        <w:rPr>
          <w:b/>
          <w:bCs/>
          <w:noProof/>
        </w:rPr>
        <w:t xml:space="preserve"> </w:t>
      </w:r>
      <w:r w:rsidR="00235957">
        <w:rPr>
          <w:b/>
          <w:bCs/>
          <w:noProof/>
        </w:rPr>
        <w:t>fee of around</w:t>
      </w:r>
      <w:r w:rsidR="005F3C48" w:rsidRPr="00CE2185">
        <w:rPr>
          <w:b/>
          <w:bCs/>
          <w:noProof/>
        </w:rPr>
        <w:t xml:space="preserve"> EUR 800 </w:t>
      </w:r>
      <w:r w:rsidR="005F3C48" w:rsidRPr="00CE2185">
        <w:rPr>
          <w:noProof/>
        </w:rPr>
        <w:t>for maintaining the a</w:t>
      </w:r>
      <w:r w:rsidR="00F716EE">
        <w:rPr>
          <w:noProof/>
        </w:rPr>
        <w:t>uthorisa</w:t>
      </w:r>
      <w:r w:rsidR="005F3C48" w:rsidRPr="00CE2185">
        <w:rPr>
          <w:noProof/>
        </w:rPr>
        <w:t xml:space="preserve">tion </w:t>
      </w:r>
      <w:r w:rsidR="20E077E0" w:rsidRPr="00CE2185">
        <w:rPr>
          <w:noProof/>
        </w:rPr>
        <w:t>(recurring cost of EUR 800, every year</w:t>
      </w:r>
      <w:r w:rsidR="6D3F9812" w:rsidRPr="00CE2185">
        <w:rPr>
          <w:noProof/>
        </w:rPr>
        <w:t xml:space="preserve"> for a duration set in the schem</w:t>
      </w:r>
      <w:r w:rsidR="0053A7E0" w:rsidRPr="00CE2185">
        <w:rPr>
          <w:noProof/>
        </w:rPr>
        <w:t>e</w:t>
      </w:r>
      <w:r w:rsidR="20E077E0" w:rsidRPr="00CE2185">
        <w:rPr>
          <w:noProof/>
        </w:rPr>
        <w:t>)</w:t>
      </w:r>
      <w:r w:rsidR="444F388A" w:rsidRPr="00CE2185">
        <w:rPr>
          <w:noProof/>
        </w:rPr>
        <w:t xml:space="preserve"> </w:t>
      </w:r>
      <w:r w:rsidR="444F388A" w:rsidRPr="211C3D34">
        <w:rPr>
          <w:i/>
          <w:iCs/>
          <w:noProof/>
        </w:rPr>
        <w:t>(</w:t>
      </w:r>
      <w:r w:rsidR="0F731ED3" w:rsidRPr="211C3D34">
        <w:rPr>
          <w:i/>
          <w:iCs/>
          <w:noProof/>
        </w:rPr>
        <w:t>see Annex 4, section 4.1.2.</w:t>
      </w:r>
      <w:r w:rsidR="5A5B1D03" w:rsidRPr="211C3D34">
        <w:rPr>
          <w:i/>
          <w:iCs/>
          <w:noProof/>
        </w:rPr>
        <w:t>3</w:t>
      </w:r>
      <w:r w:rsidR="444F388A" w:rsidRPr="211C3D34">
        <w:rPr>
          <w:i/>
          <w:iCs/>
          <w:noProof/>
        </w:rPr>
        <w:t>).</w:t>
      </w:r>
      <w:r w:rsidR="278D6DE8" w:rsidRPr="00CE2185">
        <w:rPr>
          <w:noProof/>
        </w:rPr>
        <w:t xml:space="preserve"> </w:t>
      </w:r>
      <w:r w:rsidR="237C83A2" w:rsidRPr="00CE2185">
        <w:rPr>
          <w:noProof/>
        </w:rPr>
        <w:t>It should be noted that t</w:t>
      </w:r>
      <w:r w:rsidR="57456021" w:rsidRPr="00CE2185">
        <w:rPr>
          <w:noProof/>
        </w:rPr>
        <w:t>his estimation represents an order of magnitude of t</w:t>
      </w:r>
      <w:r w:rsidR="16CA22FC" w:rsidRPr="00CE2185">
        <w:rPr>
          <w:noProof/>
        </w:rPr>
        <w:t xml:space="preserve">he fees related to </w:t>
      </w:r>
      <w:r w:rsidR="07C0715A" w:rsidRPr="00CE2185">
        <w:rPr>
          <w:noProof/>
        </w:rPr>
        <w:t xml:space="preserve">authorising providers for </w:t>
      </w:r>
      <w:r w:rsidR="16CA22FC" w:rsidRPr="00CE2185">
        <w:rPr>
          <w:noProof/>
        </w:rPr>
        <w:t>two specific role profiles in one Member State</w:t>
      </w:r>
      <w:r w:rsidR="575EA019" w:rsidRPr="00CE2185">
        <w:rPr>
          <w:noProof/>
        </w:rPr>
        <w:t>, based on publicly available data</w:t>
      </w:r>
      <w:r w:rsidR="3A9EA4C2" w:rsidRPr="00CE2185">
        <w:rPr>
          <w:noProof/>
        </w:rPr>
        <w:t>.</w:t>
      </w:r>
      <w:r w:rsidR="0B280C9A" w:rsidRPr="00CE2185">
        <w:rPr>
          <w:noProof/>
        </w:rPr>
        <w:t xml:space="preserve"> </w:t>
      </w:r>
      <w:r w:rsidR="59574076" w:rsidRPr="00120691">
        <w:rPr>
          <w:noProof/>
        </w:rPr>
        <w:t>It does</w:t>
      </w:r>
      <w:r w:rsidR="6934CBE5" w:rsidRPr="00120691">
        <w:rPr>
          <w:noProof/>
        </w:rPr>
        <w:t xml:space="preserve"> not</w:t>
      </w:r>
      <w:r w:rsidR="59574076" w:rsidRPr="00120691">
        <w:rPr>
          <w:noProof/>
        </w:rPr>
        <w:t xml:space="preserve"> reflect an average </w:t>
      </w:r>
      <w:r w:rsidR="4B5EC12D" w:rsidRPr="00120691">
        <w:rPr>
          <w:noProof/>
        </w:rPr>
        <w:t xml:space="preserve">fee </w:t>
      </w:r>
      <w:r w:rsidR="59574076" w:rsidRPr="00120691">
        <w:rPr>
          <w:noProof/>
        </w:rPr>
        <w:t xml:space="preserve">across Member States nor </w:t>
      </w:r>
      <w:r w:rsidR="2E7CA071" w:rsidRPr="00120691">
        <w:rPr>
          <w:noProof/>
        </w:rPr>
        <w:t xml:space="preserve">caters for </w:t>
      </w:r>
      <w:r w:rsidR="59574076" w:rsidRPr="00120691">
        <w:rPr>
          <w:noProof/>
        </w:rPr>
        <w:t xml:space="preserve">the variation of </w:t>
      </w:r>
      <w:r w:rsidR="14FB3E84" w:rsidRPr="00120691">
        <w:rPr>
          <w:noProof/>
        </w:rPr>
        <w:t xml:space="preserve">costs </w:t>
      </w:r>
      <w:r w:rsidR="59574076" w:rsidRPr="00120691">
        <w:rPr>
          <w:noProof/>
        </w:rPr>
        <w:t>from one country to another</w:t>
      </w:r>
      <w:r w:rsidR="773AFD9A" w:rsidRPr="00120691">
        <w:rPr>
          <w:noProof/>
        </w:rPr>
        <w:t xml:space="preserve">. It does not cover </w:t>
      </w:r>
      <w:r w:rsidR="7FDB35D1" w:rsidRPr="00120691">
        <w:rPr>
          <w:noProof/>
        </w:rPr>
        <w:t xml:space="preserve">the variations in the </w:t>
      </w:r>
      <w:r w:rsidR="7B72AC7C" w:rsidRPr="00120691">
        <w:rPr>
          <w:noProof/>
        </w:rPr>
        <w:t xml:space="preserve">costs </w:t>
      </w:r>
      <w:r w:rsidR="6C6BA219" w:rsidRPr="00120691">
        <w:rPr>
          <w:noProof/>
        </w:rPr>
        <w:t xml:space="preserve">across all </w:t>
      </w:r>
      <w:r w:rsidR="312380F3" w:rsidRPr="00120691">
        <w:rPr>
          <w:noProof/>
        </w:rPr>
        <w:t xml:space="preserve">ECSF </w:t>
      </w:r>
      <w:r w:rsidR="7FDB35D1" w:rsidRPr="00120691">
        <w:rPr>
          <w:noProof/>
        </w:rPr>
        <w:t>role profile</w:t>
      </w:r>
      <w:r w:rsidR="440A95FF" w:rsidRPr="00120691">
        <w:rPr>
          <w:noProof/>
        </w:rPr>
        <w:t>s</w:t>
      </w:r>
      <w:r w:rsidR="7FDB35D1" w:rsidRPr="00120691">
        <w:rPr>
          <w:noProof/>
        </w:rPr>
        <w:t xml:space="preserve">. </w:t>
      </w:r>
      <w:r w:rsidR="1836D8C9" w:rsidRPr="00120691">
        <w:rPr>
          <w:noProof/>
        </w:rPr>
        <w:t>In this regard</w:t>
      </w:r>
      <w:r w:rsidR="7FDB35D1" w:rsidRPr="00120691">
        <w:rPr>
          <w:noProof/>
        </w:rPr>
        <w:t xml:space="preserve">, </w:t>
      </w:r>
      <w:r w:rsidR="29233007" w:rsidRPr="00120691">
        <w:rPr>
          <w:noProof/>
        </w:rPr>
        <w:t xml:space="preserve">it can be noted that </w:t>
      </w:r>
      <w:r w:rsidR="7FDB35D1" w:rsidRPr="00120691">
        <w:rPr>
          <w:noProof/>
        </w:rPr>
        <w:t>the fees to take an exam with a private cybersecurity certification provider</w:t>
      </w:r>
      <w:r w:rsidR="3C4BCACF" w:rsidRPr="00120691">
        <w:rPr>
          <w:noProof/>
        </w:rPr>
        <w:t xml:space="preserve"> vary depending on the role profile, e.g. </w:t>
      </w:r>
      <w:r w:rsidR="012D445A" w:rsidRPr="00120691">
        <w:rPr>
          <w:noProof/>
        </w:rPr>
        <w:t>the certificat</w:t>
      </w:r>
      <w:r w:rsidR="259AE4C9" w:rsidRPr="00120691">
        <w:rPr>
          <w:noProof/>
        </w:rPr>
        <w:t xml:space="preserve">ion </w:t>
      </w:r>
      <w:r w:rsidR="012D445A" w:rsidRPr="00120691">
        <w:rPr>
          <w:noProof/>
        </w:rPr>
        <w:t>exam</w:t>
      </w:r>
      <w:r w:rsidR="7B8A1E62" w:rsidRPr="00120691">
        <w:rPr>
          <w:noProof/>
        </w:rPr>
        <w:t>s</w:t>
      </w:r>
      <w:r w:rsidR="012D445A" w:rsidRPr="00120691">
        <w:rPr>
          <w:noProof/>
        </w:rPr>
        <w:t xml:space="preserve"> associated to the </w:t>
      </w:r>
      <w:r w:rsidR="75CD5A79" w:rsidRPr="00120691">
        <w:rPr>
          <w:noProof/>
        </w:rPr>
        <w:t xml:space="preserve">ECSF </w:t>
      </w:r>
      <w:r w:rsidR="012D445A" w:rsidRPr="00120691">
        <w:rPr>
          <w:noProof/>
        </w:rPr>
        <w:t xml:space="preserve">profile Cybersecurity Architect </w:t>
      </w:r>
      <w:r w:rsidR="2861A03F" w:rsidRPr="00120691">
        <w:rPr>
          <w:noProof/>
        </w:rPr>
        <w:t xml:space="preserve">are more expensive than the certification exams associated to the ECSF role profile </w:t>
      </w:r>
      <w:r w:rsidR="19396206" w:rsidRPr="00120691">
        <w:rPr>
          <w:noProof/>
        </w:rPr>
        <w:t>Cybersecurity Implementer</w:t>
      </w:r>
      <w:r w:rsidR="7C5E766A" w:rsidRPr="00120691">
        <w:rPr>
          <w:noProof/>
          <w:vertAlign w:val="superscript"/>
        </w:rPr>
        <w:footnoteReference w:id="143"/>
      </w:r>
      <w:r w:rsidR="708D39C3" w:rsidRPr="000425C4">
        <w:rPr>
          <w:noProof/>
        </w:rPr>
        <w:t xml:space="preserve">. </w:t>
      </w:r>
      <w:r w:rsidR="27FB82C7" w:rsidRPr="000425C4">
        <w:rPr>
          <w:noProof/>
        </w:rPr>
        <w:t xml:space="preserve">The fact that an exam, notably the assessment method, costs more for some role profiles </w:t>
      </w:r>
      <w:r w:rsidR="708D39C3" w:rsidRPr="000425C4">
        <w:rPr>
          <w:noProof/>
        </w:rPr>
        <w:t xml:space="preserve">could in turn </w:t>
      </w:r>
      <w:r w:rsidR="659117C5" w:rsidRPr="000425C4">
        <w:rPr>
          <w:noProof/>
        </w:rPr>
        <w:t xml:space="preserve">entail higher fees </w:t>
      </w:r>
      <w:r w:rsidR="388C477F" w:rsidRPr="000425C4">
        <w:rPr>
          <w:noProof/>
        </w:rPr>
        <w:t>to be</w:t>
      </w:r>
      <w:r w:rsidR="11D8A45D" w:rsidRPr="000425C4">
        <w:rPr>
          <w:noProof/>
        </w:rPr>
        <w:t>come</w:t>
      </w:r>
      <w:r w:rsidR="388C477F" w:rsidRPr="000425C4">
        <w:rPr>
          <w:noProof/>
        </w:rPr>
        <w:t xml:space="preserve"> authorised</w:t>
      </w:r>
      <w:r w:rsidR="61885703" w:rsidRPr="000425C4">
        <w:rPr>
          <w:noProof/>
        </w:rPr>
        <w:t>. Similarly, the differ</w:t>
      </w:r>
      <w:r w:rsidR="27C1A6CE" w:rsidRPr="000425C4">
        <w:rPr>
          <w:noProof/>
        </w:rPr>
        <w:t>ent levels of proficiency could have</w:t>
      </w:r>
      <w:r w:rsidR="20C1CD94" w:rsidRPr="000425C4">
        <w:rPr>
          <w:noProof/>
        </w:rPr>
        <w:t xml:space="preserve"> an impact</w:t>
      </w:r>
      <w:r w:rsidR="27C1A6CE" w:rsidRPr="000425C4">
        <w:rPr>
          <w:noProof/>
        </w:rPr>
        <w:t xml:space="preserve"> on the fees</w:t>
      </w:r>
      <w:r w:rsidR="21348C0B" w:rsidRPr="000425C4">
        <w:rPr>
          <w:noProof/>
        </w:rPr>
        <w:t xml:space="preserve"> to become authorised</w:t>
      </w:r>
      <w:r w:rsidR="7C5E766A" w:rsidRPr="000425C4">
        <w:rPr>
          <w:noProof/>
          <w:vertAlign w:val="superscript"/>
        </w:rPr>
        <w:footnoteReference w:id="144"/>
      </w:r>
      <w:r w:rsidR="27C1A6CE" w:rsidRPr="000425C4">
        <w:rPr>
          <w:noProof/>
        </w:rPr>
        <w:t xml:space="preserve">. </w:t>
      </w:r>
      <w:r w:rsidR="6A69B861" w:rsidRPr="000425C4">
        <w:rPr>
          <w:noProof/>
        </w:rPr>
        <w:t xml:space="preserve">Therefore, the estimation provided in this report should be understood as illustrative and </w:t>
      </w:r>
      <w:r w:rsidR="338EFDCC" w:rsidRPr="000425C4">
        <w:rPr>
          <w:noProof/>
        </w:rPr>
        <w:t xml:space="preserve">does not </w:t>
      </w:r>
      <w:r w:rsidR="3B15BB5E" w:rsidRPr="000425C4">
        <w:rPr>
          <w:noProof/>
        </w:rPr>
        <w:t>pre-empt</w:t>
      </w:r>
      <w:r w:rsidR="338EFDCC" w:rsidRPr="000425C4">
        <w:rPr>
          <w:noProof/>
        </w:rPr>
        <w:t xml:space="preserve"> nor impact the</w:t>
      </w:r>
      <w:r w:rsidR="5C77824B" w:rsidRPr="000425C4">
        <w:rPr>
          <w:noProof/>
        </w:rPr>
        <w:t xml:space="preserve"> future</w:t>
      </w:r>
      <w:r w:rsidR="338EFDCC" w:rsidRPr="000425C4">
        <w:rPr>
          <w:noProof/>
        </w:rPr>
        <w:t xml:space="preserve"> </w:t>
      </w:r>
      <w:r w:rsidR="281D2D94" w:rsidRPr="000425C4">
        <w:rPr>
          <w:noProof/>
        </w:rPr>
        <w:t>implementing</w:t>
      </w:r>
      <w:r w:rsidR="338EFDCC" w:rsidRPr="000425C4">
        <w:rPr>
          <w:noProof/>
        </w:rPr>
        <w:t xml:space="preserve"> acts that </w:t>
      </w:r>
      <w:r w:rsidR="298B4789" w:rsidRPr="000425C4">
        <w:rPr>
          <w:noProof/>
        </w:rPr>
        <w:t>will determine the fees associated each European individual cybersecurity skills attestation schemes</w:t>
      </w:r>
      <w:r w:rsidR="3200525F">
        <w:rPr>
          <w:noProof/>
        </w:rPr>
        <w:t>.</w:t>
      </w:r>
    </w:p>
    <w:p w14:paraId="3ED9D7BD" w14:textId="2CFA27E5" w:rsidR="0041142D" w:rsidRPr="00CE2185" w:rsidRDefault="00BD50C3" w:rsidP="00CD3C1D">
      <w:pPr>
        <w:pStyle w:val="ListParagraph"/>
        <w:spacing w:before="240" w:after="120"/>
        <w:ind w:left="357"/>
        <w:contextualSpacing w:val="0"/>
        <w:rPr>
          <w:noProof/>
        </w:rPr>
      </w:pPr>
      <w:r w:rsidRPr="00CE2185">
        <w:rPr>
          <w:noProof/>
          <w:u w:val="single"/>
        </w:rPr>
        <w:t>A</w:t>
      </w:r>
      <w:r w:rsidR="00155A62" w:rsidRPr="00CE2185">
        <w:rPr>
          <w:noProof/>
          <w:u w:val="single"/>
        </w:rPr>
        <w:t>djustment costs</w:t>
      </w:r>
      <w:r w:rsidR="00155A62" w:rsidRPr="00CE2185">
        <w:rPr>
          <w:noProof/>
        </w:rPr>
        <w:t>:</w:t>
      </w:r>
      <w:r w:rsidR="0041142D" w:rsidRPr="00CE2185">
        <w:rPr>
          <w:noProof/>
        </w:rPr>
        <w:t xml:space="preserve"> </w:t>
      </w:r>
      <w:r w:rsidR="00057F0D" w:rsidRPr="00CE2185">
        <w:rPr>
          <w:noProof/>
        </w:rPr>
        <w:t xml:space="preserve">providers </w:t>
      </w:r>
      <w:r w:rsidR="00B82134" w:rsidRPr="00CE2185">
        <w:rPr>
          <w:noProof/>
        </w:rPr>
        <w:t>will</w:t>
      </w:r>
      <w:r w:rsidR="00057F0D" w:rsidRPr="00CE2185">
        <w:rPr>
          <w:noProof/>
        </w:rPr>
        <w:t xml:space="preserve"> need</w:t>
      </w:r>
      <w:r w:rsidR="00B82134" w:rsidRPr="00CE2185">
        <w:rPr>
          <w:noProof/>
        </w:rPr>
        <w:t xml:space="preserve"> </w:t>
      </w:r>
      <w:r w:rsidR="00057F0D" w:rsidRPr="00CE2185">
        <w:rPr>
          <w:noProof/>
        </w:rPr>
        <w:t>in practice</w:t>
      </w:r>
      <w:r w:rsidR="00B82134" w:rsidRPr="00CE2185">
        <w:rPr>
          <w:noProof/>
        </w:rPr>
        <w:t xml:space="preserve"> to adjust </w:t>
      </w:r>
      <w:r w:rsidR="369C1288">
        <w:rPr>
          <w:noProof/>
        </w:rPr>
        <w:t>to meet</w:t>
      </w:r>
      <w:r w:rsidR="00B82134" w:rsidRPr="00CE2185">
        <w:rPr>
          <w:noProof/>
        </w:rPr>
        <w:t xml:space="preserve"> the European individual cybersecurity s</w:t>
      </w:r>
      <w:r w:rsidR="00D26F4B" w:rsidRPr="00CE2185">
        <w:rPr>
          <w:noProof/>
        </w:rPr>
        <w:t>k</w:t>
      </w:r>
      <w:r w:rsidR="00B82134" w:rsidRPr="00CE2185">
        <w:rPr>
          <w:noProof/>
        </w:rPr>
        <w:t>ills</w:t>
      </w:r>
      <w:r w:rsidR="00057F0D" w:rsidRPr="00CE2185">
        <w:rPr>
          <w:noProof/>
        </w:rPr>
        <w:t xml:space="preserve"> </w:t>
      </w:r>
      <w:r w:rsidR="0041142D" w:rsidRPr="00CE2185">
        <w:rPr>
          <w:noProof/>
        </w:rPr>
        <w:t>attestation scheme requirements</w:t>
      </w:r>
      <w:r w:rsidR="00F52C5C" w:rsidRPr="00CE2185">
        <w:rPr>
          <w:noProof/>
        </w:rPr>
        <w:t>. These costs will</w:t>
      </w:r>
      <w:r w:rsidR="00AA0D7C" w:rsidRPr="00CE2185">
        <w:rPr>
          <w:noProof/>
        </w:rPr>
        <w:t xml:space="preserve"> </w:t>
      </w:r>
      <w:r w:rsidR="00F52C5C" w:rsidRPr="00CE2185">
        <w:rPr>
          <w:b/>
          <w:bCs/>
          <w:noProof/>
        </w:rPr>
        <w:t xml:space="preserve">vary </w:t>
      </w:r>
      <w:r w:rsidR="00711671" w:rsidRPr="00CE2185">
        <w:rPr>
          <w:b/>
          <w:bCs/>
          <w:noProof/>
        </w:rPr>
        <w:t xml:space="preserve">from </w:t>
      </w:r>
      <w:r w:rsidR="000E5821" w:rsidRPr="00CE2185">
        <w:rPr>
          <w:b/>
          <w:bCs/>
          <w:noProof/>
        </w:rPr>
        <w:t xml:space="preserve">one </w:t>
      </w:r>
      <w:r w:rsidR="00711671" w:rsidRPr="00CE2185">
        <w:rPr>
          <w:b/>
          <w:bCs/>
          <w:noProof/>
        </w:rPr>
        <w:t xml:space="preserve">provider to another, </w:t>
      </w:r>
      <w:r w:rsidR="00F52C5C" w:rsidRPr="00CE2185">
        <w:rPr>
          <w:b/>
          <w:bCs/>
          <w:noProof/>
        </w:rPr>
        <w:t>depending on the level of maturity of the provider</w:t>
      </w:r>
      <w:r w:rsidR="00AA0D7C" w:rsidRPr="00CE2185">
        <w:rPr>
          <w:b/>
          <w:bCs/>
          <w:noProof/>
        </w:rPr>
        <w:t xml:space="preserve"> and its </w:t>
      </w:r>
      <w:r w:rsidR="00A22893" w:rsidRPr="00CE2185">
        <w:rPr>
          <w:b/>
          <w:bCs/>
          <w:noProof/>
        </w:rPr>
        <w:t>already ongoing activities</w:t>
      </w:r>
      <w:r w:rsidR="00A22893" w:rsidRPr="00CE2185">
        <w:rPr>
          <w:noProof/>
        </w:rPr>
        <w:t xml:space="preserve">. </w:t>
      </w:r>
      <w:r w:rsidR="000E5821">
        <w:rPr>
          <w:noProof/>
        </w:rPr>
        <w:t>For instance</w:t>
      </w:r>
      <w:r w:rsidR="002F02F4">
        <w:rPr>
          <w:noProof/>
        </w:rPr>
        <w:t>,</w:t>
      </w:r>
      <w:r w:rsidR="77DF16EE">
        <w:rPr>
          <w:noProof/>
        </w:rPr>
        <w:t xml:space="preserve"> adjustment costs may cover:</w:t>
      </w:r>
      <w:r w:rsidR="002F02F4" w:rsidRPr="00CE2185">
        <w:rPr>
          <w:noProof/>
        </w:rPr>
        <w:t xml:space="preserve"> to</w:t>
      </w:r>
      <w:r w:rsidR="006378B9" w:rsidRPr="00CE2185">
        <w:rPr>
          <w:noProof/>
        </w:rPr>
        <w:t xml:space="preserve"> </w:t>
      </w:r>
      <w:r w:rsidR="00E71E04" w:rsidRPr="00CE2185">
        <w:rPr>
          <w:noProof/>
        </w:rPr>
        <w:t xml:space="preserve">have or to hire individuals to </w:t>
      </w:r>
      <w:r w:rsidR="00A52D3A" w:rsidRPr="00CE2185">
        <w:rPr>
          <w:noProof/>
        </w:rPr>
        <w:t xml:space="preserve">conduct and supervise the assessments, to </w:t>
      </w:r>
      <w:r w:rsidR="00F02860" w:rsidRPr="00CE2185">
        <w:rPr>
          <w:noProof/>
        </w:rPr>
        <w:t>have the necessary personnel to ensure</w:t>
      </w:r>
      <w:r w:rsidR="00D317DA" w:rsidRPr="00CE2185">
        <w:rPr>
          <w:noProof/>
        </w:rPr>
        <w:t xml:space="preserve"> </w:t>
      </w:r>
      <w:r w:rsidR="00F66DD1" w:rsidRPr="00CE2185">
        <w:rPr>
          <w:noProof/>
        </w:rPr>
        <w:t>that</w:t>
      </w:r>
      <w:r w:rsidR="00D317DA" w:rsidRPr="00CE2185">
        <w:rPr>
          <w:noProof/>
        </w:rPr>
        <w:t xml:space="preserve"> the scheme requirements continue to be met, to submit </w:t>
      </w:r>
      <w:r w:rsidR="00016807" w:rsidRPr="00CE2185">
        <w:rPr>
          <w:noProof/>
        </w:rPr>
        <w:t xml:space="preserve">the </w:t>
      </w:r>
      <w:r w:rsidR="00E9363F" w:rsidRPr="00CE2185">
        <w:rPr>
          <w:noProof/>
        </w:rPr>
        <w:t xml:space="preserve">application </w:t>
      </w:r>
      <w:r w:rsidR="00E67B9D" w:rsidRPr="00CE2185">
        <w:rPr>
          <w:noProof/>
        </w:rPr>
        <w:t>to</w:t>
      </w:r>
      <w:r w:rsidR="00E9363F" w:rsidRPr="00CE2185">
        <w:rPr>
          <w:noProof/>
        </w:rPr>
        <w:t xml:space="preserve"> ENISA</w:t>
      </w:r>
      <w:r w:rsidR="00E67B9D" w:rsidRPr="00CE2185">
        <w:rPr>
          <w:noProof/>
        </w:rPr>
        <w:t xml:space="preserve"> and maintain their authorisation, to</w:t>
      </w:r>
      <w:r w:rsidR="00D44DD9" w:rsidRPr="00CE2185">
        <w:rPr>
          <w:noProof/>
        </w:rPr>
        <w:t xml:space="preserve"> comply with scheme elements such as the storage method of the attestation in the </w:t>
      </w:r>
      <w:r w:rsidR="0095164A" w:rsidRPr="00CE2185">
        <w:rPr>
          <w:noProof/>
        </w:rPr>
        <w:t>European</w:t>
      </w:r>
      <w:r w:rsidR="00D44DD9" w:rsidRPr="00CE2185">
        <w:rPr>
          <w:noProof/>
        </w:rPr>
        <w:t xml:space="preserve"> Union Digital I</w:t>
      </w:r>
      <w:r w:rsidR="0095164A" w:rsidRPr="00CE2185">
        <w:rPr>
          <w:noProof/>
        </w:rPr>
        <w:t>dentity wallet.</w:t>
      </w:r>
      <w:r w:rsidR="00247847" w:rsidRPr="00CE2185">
        <w:rPr>
          <w:noProof/>
        </w:rPr>
        <w:t xml:space="preserve"> </w:t>
      </w:r>
      <w:r w:rsidR="000875C8" w:rsidRPr="00CE2185">
        <w:rPr>
          <w:noProof/>
        </w:rPr>
        <w:t>These adjustment costs will be</w:t>
      </w:r>
      <w:r w:rsidR="000875C8" w:rsidRPr="00CE2185">
        <w:rPr>
          <w:b/>
          <w:bCs/>
          <w:noProof/>
        </w:rPr>
        <w:t xml:space="preserve"> one-off costs</w:t>
      </w:r>
      <w:r w:rsidR="000875C8" w:rsidRPr="00CE2185">
        <w:rPr>
          <w:noProof/>
        </w:rPr>
        <w:t>, to</w:t>
      </w:r>
      <w:r w:rsidR="00F31F5C" w:rsidRPr="00CE2185">
        <w:rPr>
          <w:noProof/>
        </w:rPr>
        <w:t xml:space="preserve"> be in a capacity to be authorised and to</w:t>
      </w:r>
      <w:r w:rsidR="000875C8" w:rsidRPr="00CE2185">
        <w:rPr>
          <w:noProof/>
        </w:rPr>
        <w:t xml:space="preserve"> implement the scheme</w:t>
      </w:r>
      <w:r w:rsidR="00F31F5C" w:rsidRPr="00CE2185">
        <w:rPr>
          <w:noProof/>
        </w:rPr>
        <w:t xml:space="preserve">. </w:t>
      </w:r>
      <w:r w:rsidR="00247847" w:rsidRPr="00CE2185">
        <w:rPr>
          <w:noProof/>
        </w:rPr>
        <w:t>It can</w:t>
      </w:r>
      <w:r w:rsidR="00F31F5C" w:rsidRPr="00CE2185">
        <w:rPr>
          <w:noProof/>
        </w:rPr>
        <w:t xml:space="preserve"> further</w:t>
      </w:r>
      <w:r w:rsidR="00247847" w:rsidRPr="00CE2185">
        <w:rPr>
          <w:noProof/>
        </w:rPr>
        <w:t xml:space="preserve"> be anticipated that these adjustment costs will be higher </w:t>
      </w:r>
      <w:r w:rsidR="0090117E" w:rsidRPr="00CE2185">
        <w:rPr>
          <w:noProof/>
        </w:rPr>
        <w:t>for the first authorisation</w:t>
      </w:r>
      <w:r w:rsidR="00A3187C" w:rsidRPr="00CE2185">
        <w:rPr>
          <w:noProof/>
        </w:rPr>
        <w:t>.</w:t>
      </w:r>
      <w:r w:rsidR="00E3523F" w:rsidRPr="00CE2185">
        <w:rPr>
          <w:noProof/>
        </w:rPr>
        <w:t xml:space="preserve"> </w:t>
      </w:r>
      <w:r w:rsidR="00E3523F" w:rsidRPr="00CE2185">
        <w:rPr>
          <w:b/>
          <w:bCs/>
          <w:noProof/>
        </w:rPr>
        <w:t>Recurring costs</w:t>
      </w:r>
      <w:r w:rsidR="00E3523F" w:rsidRPr="00CE2185">
        <w:rPr>
          <w:noProof/>
        </w:rPr>
        <w:t xml:space="preserve"> to </w:t>
      </w:r>
      <w:r w:rsidR="00435C7C" w:rsidRPr="00CE2185">
        <w:rPr>
          <w:noProof/>
        </w:rPr>
        <w:t xml:space="preserve">maintain the authorisation or to </w:t>
      </w:r>
      <w:r w:rsidR="00E3523F" w:rsidRPr="00CE2185">
        <w:rPr>
          <w:noProof/>
        </w:rPr>
        <w:t xml:space="preserve">adapt to the other schemes should be marginal. </w:t>
      </w:r>
      <w:r w:rsidR="0095164A" w:rsidRPr="00CE2185">
        <w:rPr>
          <w:noProof/>
        </w:rPr>
        <w:t xml:space="preserve"> </w:t>
      </w:r>
      <w:r w:rsidR="00711671" w:rsidRPr="00CE2185">
        <w:rPr>
          <w:noProof/>
        </w:rPr>
        <w:t xml:space="preserve">Additionally, the </w:t>
      </w:r>
      <w:r w:rsidR="00711671" w:rsidRPr="00CE2185">
        <w:rPr>
          <w:b/>
          <w:bCs/>
          <w:noProof/>
        </w:rPr>
        <w:t>costs will vary</w:t>
      </w:r>
      <w:r w:rsidR="003024C2" w:rsidRPr="00CE2185">
        <w:rPr>
          <w:b/>
          <w:bCs/>
          <w:noProof/>
        </w:rPr>
        <w:t xml:space="preserve"> from one scheme to another</w:t>
      </w:r>
      <w:r w:rsidR="0095164A" w:rsidRPr="00CE2185">
        <w:rPr>
          <w:noProof/>
        </w:rPr>
        <w:t>, in particular with relation to</w:t>
      </w:r>
      <w:r w:rsidR="002F5E08" w:rsidRPr="00CE2185">
        <w:rPr>
          <w:noProof/>
        </w:rPr>
        <w:t xml:space="preserve"> the assessment</w:t>
      </w:r>
      <w:r w:rsidR="007E4920" w:rsidRPr="00CE2185">
        <w:rPr>
          <w:noProof/>
        </w:rPr>
        <w:t xml:space="preserve"> method</w:t>
      </w:r>
      <w:r w:rsidR="002F5E08" w:rsidRPr="00CE2185">
        <w:rPr>
          <w:noProof/>
        </w:rPr>
        <w:t xml:space="preserve"> to be used by the provider according to the</w:t>
      </w:r>
      <w:r w:rsidR="007E4920" w:rsidRPr="00CE2185">
        <w:rPr>
          <w:noProof/>
        </w:rPr>
        <w:t xml:space="preserve"> applicable</w:t>
      </w:r>
      <w:r w:rsidR="002F5E08" w:rsidRPr="00CE2185">
        <w:rPr>
          <w:noProof/>
        </w:rPr>
        <w:t xml:space="preserve"> scheme</w:t>
      </w:r>
      <w:r w:rsidR="0041142D" w:rsidRPr="00CE2185">
        <w:rPr>
          <w:noProof/>
        </w:rPr>
        <w:t>.</w:t>
      </w:r>
      <w:r w:rsidR="002F5E08" w:rsidRPr="00CE2185">
        <w:rPr>
          <w:noProof/>
        </w:rPr>
        <w:t xml:space="preserve"> </w:t>
      </w:r>
      <w:r w:rsidR="007E4920" w:rsidRPr="00CE2185">
        <w:rPr>
          <w:noProof/>
        </w:rPr>
        <w:t>For example, an assessment method based on testing knowledge</w:t>
      </w:r>
      <w:r w:rsidR="00046C9C" w:rsidRPr="00CE2185">
        <w:rPr>
          <w:noProof/>
        </w:rPr>
        <w:t xml:space="preserve"> only</w:t>
      </w:r>
      <w:r w:rsidR="00016C93" w:rsidRPr="00CE2185">
        <w:rPr>
          <w:noProof/>
        </w:rPr>
        <w:t xml:space="preserve"> would entail less costs than </w:t>
      </w:r>
      <w:r w:rsidR="00C932B2" w:rsidRPr="00CE2185">
        <w:rPr>
          <w:noProof/>
        </w:rPr>
        <w:t>an assessment method that could in</w:t>
      </w:r>
      <w:r w:rsidR="00046C9C" w:rsidRPr="00CE2185">
        <w:rPr>
          <w:noProof/>
        </w:rPr>
        <w:t>duce practical testing on a virtual machine.</w:t>
      </w:r>
      <w:r w:rsidR="00E3523F" w:rsidRPr="00CE2185">
        <w:rPr>
          <w:noProof/>
        </w:rPr>
        <w:t xml:space="preserve"> Without the scheme </w:t>
      </w:r>
      <w:r w:rsidR="00C00503" w:rsidRPr="00CE2185">
        <w:rPr>
          <w:noProof/>
        </w:rPr>
        <w:t xml:space="preserve">in place and the assessment methods defined, it is not possible to anticipate the extent of the variation in costs. </w:t>
      </w:r>
      <w:r w:rsidR="00494431" w:rsidRPr="00CE2185">
        <w:rPr>
          <w:noProof/>
        </w:rPr>
        <w:t xml:space="preserve">Such costs </w:t>
      </w:r>
      <w:r w:rsidR="00030D96" w:rsidRPr="00CE2185">
        <w:rPr>
          <w:noProof/>
        </w:rPr>
        <w:t>will</w:t>
      </w:r>
      <w:r w:rsidR="00030D96">
        <w:rPr>
          <w:noProof/>
        </w:rPr>
        <w:t xml:space="preserve"> </w:t>
      </w:r>
      <w:r w:rsidR="59BE8BA6">
        <w:rPr>
          <w:noProof/>
        </w:rPr>
        <w:t>likely</w:t>
      </w:r>
      <w:r w:rsidR="00030D96" w:rsidRPr="00CE2185">
        <w:rPr>
          <w:noProof/>
        </w:rPr>
        <w:t xml:space="preserve"> be linked</w:t>
      </w:r>
      <w:r w:rsidR="00EB747C" w:rsidRPr="00CE2185">
        <w:rPr>
          <w:noProof/>
        </w:rPr>
        <w:t xml:space="preserve"> to the IT equipment</w:t>
      </w:r>
      <w:r w:rsidR="00E73DD8" w:rsidRPr="00CE2185">
        <w:rPr>
          <w:noProof/>
        </w:rPr>
        <w:t xml:space="preserve"> a provider will need to invest in to conduct the assessments</w:t>
      </w:r>
      <w:r w:rsidR="006B21C1" w:rsidRPr="00CE2185">
        <w:rPr>
          <w:noProof/>
        </w:rPr>
        <w:t xml:space="preserve"> and can therefore be anticipated to be </w:t>
      </w:r>
      <w:r w:rsidR="000821F8" w:rsidRPr="00CE2185">
        <w:rPr>
          <w:b/>
          <w:bCs/>
          <w:noProof/>
        </w:rPr>
        <w:t>one-off</w:t>
      </w:r>
      <w:r w:rsidR="00E73DD8" w:rsidRPr="00CE2185">
        <w:rPr>
          <w:noProof/>
        </w:rPr>
        <w:t xml:space="preserve"> cost.</w:t>
      </w:r>
      <w:r w:rsidR="000821F8" w:rsidRPr="00CE2185">
        <w:rPr>
          <w:noProof/>
        </w:rPr>
        <w:t xml:space="preserve">  </w:t>
      </w:r>
    </w:p>
    <w:p w14:paraId="71B74DC8" w14:textId="19F630D5" w:rsidR="00DF48D4" w:rsidRPr="00CE2185" w:rsidRDefault="00EE57C9" w:rsidP="00EE3DF9">
      <w:pPr>
        <w:pStyle w:val="ListParagraph"/>
        <w:numPr>
          <w:ilvl w:val="0"/>
          <w:numId w:val="25"/>
        </w:numPr>
        <w:spacing w:after="120"/>
        <w:ind w:left="357" w:hanging="357"/>
        <w:contextualSpacing w:val="0"/>
        <w:rPr>
          <w:noProof/>
        </w:rPr>
      </w:pPr>
      <w:r w:rsidRPr="00CE2185">
        <w:rPr>
          <w:noProof/>
        </w:rPr>
        <w:t>The</w:t>
      </w:r>
      <w:r w:rsidR="00A14F60" w:rsidRPr="00CE2185">
        <w:rPr>
          <w:noProof/>
        </w:rPr>
        <w:t xml:space="preserve"> </w:t>
      </w:r>
      <w:r w:rsidRPr="00CE2185">
        <w:rPr>
          <w:noProof/>
        </w:rPr>
        <w:t xml:space="preserve">fees </w:t>
      </w:r>
      <w:r w:rsidR="00D162A2" w:rsidRPr="00CE2185">
        <w:rPr>
          <w:noProof/>
        </w:rPr>
        <w:t xml:space="preserve">applying to providers </w:t>
      </w:r>
      <w:r w:rsidRPr="00CE2185">
        <w:rPr>
          <w:noProof/>
        </w:rPr>
        <w:t>would be partly offset b</w:t>
      </w:r>
      <w:r w:rsidR="00A14F60" w:rsidRPr="00CE2185">
        <w:rPr>
          <w:noProof/>
        </w:rPr>
        <w:t xml:space="preserve">y the prices of individual attestations paid by </w:t>
      </w:r>
      <w:r w:rsidR="00631A82" w:rsidRPr="00CE2185">
        <w:rPr>
          <w:b/>
          <w:bCs/>
          <w:noProof/>
        </w:rPr>
        <w:t>individuals</w:t>
      </w:r>
      <w:r w:rsidR="00A14F60" w:rsidRPr="00CE2185">
        <w:rPr>
          <w:noProof/>
        </w:rPr>
        <w:t>.</w:t>
      </w:r>
      <w:r w:rsidR="00D162A2" w:rsidRPr="00CE2185">
        <w:rPr>
          <w:noProof/>
        </w:rPr>
        <w:t xml:space="preserve"> Those fees would be likely </w:t>
      </w:r>
      <w:r w:rsidRPr="00CE2185">
        <w:rPr>
          <w:noProof/>
        </w:rPr>
        <w:t>one-off and recurr</w:t>
      </w:r>
      <w:r w:rsidR="0035151F" w:rsidRPr="00CE2185">
        <w:rPr>
          <w:noProof/>
        </w:rPr>
        <w:t>ing</w:t>
      </w:r>
      <w:r w:rsidR="00D162A2" w:rsidRPr="00CE2185">
        <w:rPr>
          <w:noProof/>
        </w:rPr>
        <w:t xml:space="preserve"> in case the </w:t>
      </w:r>
      <w:r w:rsidR="0002453B" w:rsidRPr="00CE2185">
        <w:rPr>
          <w:noProof/>
        </w:rPr>
        <w:t>professional</w:t>
      </w:r>
      <w:r w:rsidR="00D162A2" w:rsidRPr="00CE2185">
        <w:rPr>
          <w:noProof/>
        </w:rPr>
        <w:t xml:space="preserve"> wishes to maintain the skills </w:t>
      </w:r>
      <w:r w:rsidR="004A487E" w:rsidRPr="00CE2185">
        <w:rPr>
          <w:noProof/>
        </w:rPr>
        <w:t>attestation</w:t>
      </w:r>
      <w:r w:rsidR="00D162A2" w:rsidRPr="00CE2185">
        <w:rPr>
          <w:noProof/>
        </w:rPr>
        <w:t xml:space="preserve">. </w:t>
      </w:r>
      <w:r w:rsidR="00E042EB" w:rsidRPr="00CE2185">
        <w:rPr>
          <w:noProof/>
        </w:rPr>
        <w:t xml:space="preserve">However, considering that the foreseen cost of the European individual cybersecurity </w:t>
      </w:r>
      <w:r w:rsidR="00F54AAE" w:rsidRPr="00CE2185">
        <w:rPr>
          <w:noProof/>
        </w:rPr>
        <w:t xml:space="preserve">skills </w:t>
      </w:r>
      <w:r w:rsidR="00E042EB" w:rsidRPr="00CE2185">
        <w:rPr>
          <w:noProof/>
        </w:rPr>
        <w:t xml:space="preserve">attestation would be potentially closer to those delivered by public organisations, and lower than the current average cost of cybersecurity certifications delivered by private certification bodies, this could in fact lead to costs savings (see further below).   </w:t>
      </w:r>
    </w:p>
    <w:p w14:paraId="0C0F9DA5" w14:textId="695299D9" w:rsidR="00374A64" w:rsidRPr="00CE2185" w:rsidRDefault="00836487" w:rsidP="00EE3DF9">
      <w:pPr>
        <w:pStyle w:val="ListParagraph"/>
        <w:numPr>
          <w:ilvl w:val="0"/>
          <w:numId w:val="25"/>
        </w:numPr>
        <w:spacing w:after="120"/>
        <w:ind w:left="357" w:hanging="357"/>
        <w:contextualSpacing w:val="0"/>
        <w:rPr>
          <w:noProof/>
        </w:rPr>
      </w:pPr>
      <w:r w:rsidRPr="00CE2185">
        <w:rPr>
          <w:noProof/>
        </w:rPr>
        <w:t xml:space="preserve">No </w:t>
      </w:r>
      <w:r w:rsidR="00DE287E" w:rsidRPr="00CE2185">
        <w:rPr>
          <w:noProof/>
        </w:rPr>
        <w:t xml:space="preserve">further </w:t>
      </w:r>
      <w:r w:rsidR="00F54AAE" w:rsidRPr="00CE2185">
        <w:rPr>
          <w:noProof/>
        </w:rPr>
        <w:t xml:space="preserve">compliance </w:t>
      </w:r>
      <w:r w:rsidR="0035215D" w:rsidRPr="00CE2185">
        <w:rPr>
          <w:noProof/>
        </w:rPr>
        <w:t>costs</w:t>
      </w:r>
      <w:r w:rsidRPr="00CE2185">
        <w:rPr>
          <w:noProof/>
        </w:rPr>
        <w:t xml:space="preserve"> are foreseen</w:t>
      </w:r>
      <w:r w:rsidR="10E63DC3" w:rsidRPr="00CE2185">
        <w:rPr>
          <w:b/>
          <w:bCs/>
          <w:noProof/>
        </w:rPr>
        <w:t xml:space="preserve"> for national authorities</w:t>
      </w:r>
      <w:r w:rsidRPr="00CE2185">
        <w:rPr>
          <w:noProof/>
        </w:rPr>
        <w:t xml:space="preserve">. They may cooperate with ENISA to shape the </w:t>
      </w:r>
      <w:r w:rsidR="00E042EB" w:rsidRPr="00CE2185">
        <w:rPr>
          <w:noProof/>
        </w:rPr>
        <w:t>individual attestation schemes on a voluntary basis</w:t>
      </w:r>
      <w:r w:rsidR="008A09C6" w:rsidRPr="00CE2185">
        <w:rPr>
          <w:noProof/>
        </w:rPr>
        <w:t xml:space="preserve">, </w:t>
      </w:r>
      <w:r w:rsidR="000C369E" w:rsidRPr="00CE2185">
        <w:rPr>
          <w:noProof/>
        </w:rPr>
        <w:t xml:space="preserve">deciding on the </w:t>
      </w:r>
      <w:r w:rsidR="009B0F13" w:rsidRPr="00CE2185">
        <w:rPr>
          <w:noProof/>
        </w:rPr>
        <w:t xml:space="preserve">resources </w:t>
      </w:r>
      <w:r w:rsidR="00624EF6" w:rsidRPr="00CE2185">
        <w:rPr>
          <w:noProof/>
        </w:rPr>
        <w:t>to invest</w:t>
      </w:r>
      <w:r w:rsidR="00E042EB" w:rsidRPr="00CE2185">
        <w:rPr>
          <w:noProof/>
        </w:rPr>
        <w:t>.</w:t>
      </w:r>
    </w:p>
    <w:p w14:paraId="11051718" w14:textId="366B949D" w:rsidR="00FD1B18" w:rsidRPr="00CE2185" w:rsidRDefault="00336E1B" w:rsidP="00795DF0">
      <w:pPr>
        <w:spacing w:after="120"/>
        <w:rPr>
          <w:noProof/>
        </w:rPr>
      </w:pPr>
      <w:r w:rsidRPr="00CE2185">
        <w:rPr>
          <w:b/>
          <w:bCs/>
          <w:i/>
          <w:iCs/>
          <w:noProof/>
        </w:rPr>
        <w:t>Option A.3</w:t>
      </w:r>
      <w:r w:rsidRPr="00CE2185">
        <w:rPr>
          <w:noProof/>
        </w:rPr>
        <w:t xml:space="preserve"> extensive</w:t>
      </w:r>
      <w:r w:rsidR="008A5C75" w:rsidRPr="00CE2185">
        <w:rPr>
          <w:noProof/>
        </w:rPr>
        <w:t>ly</w:t>
      </w:r>
      <w:r w:rsidRPr="00CE2185">
        <w:rPr>
          <w:noProof/>
        </w:rPr>
        <w:t xml:space="preserve"> reform</w:t>
      </w:r>
      <w:r w:rsidR="008A5C75" w:rsidRPr="00CE2185">
        <w:rPr>
          <w:noProof/>
        </w:rPr>
        <w:t>s</w:t>
      </w:r>
      <w:r w:rsidRPr="00CE2185">
        <w:rPr>
          <w:noProof/>
        </w:rPr>
        <w:t xml:space="preserve"> of ENISA’s mandate, </w:t>
      </w:r>
      <w:r w:rsidR="00D3378F" w:rsidRPr="00CE2185">
        <w:rPr>
          <w:noProof/>
        </w:rPr>
        <w:t xml:space="preserve">giving ENISA possibility to </w:t>
      </w:r>
      <w:r w:rsidR="005135B2" w:rsidRPr="00CE2185">
        <w:rPr>
          <w:noProof/>
        </w:rPr>
        <w:t>directly</w:t>
      </w:r>
      <w:r w:rsidRPr="00CE2185">
        <w:rPr>
          <w:noProof/>
        </w:rPr>
        <w:t xml:space="preserve"> support</w:t>
      </w:r>
      <w:r w:rsidR="00D3378F" w:rsidRPr="00CE2185">
        <w:rPr>
          <w:noProof/>
        </w:rPr>
        <w:t xml:space="preserve"> operationally </w:t>
      </w:r>
      <w:r w:rsidR="005135B2" w:rsidRPr="00CE2185">
        <w:rPr>
          <w:noProof/>
        </w:rPr>
        <w:t>individual entities</w:t>
      </w:r>
      <w:r w:rsidRPr="00CE2185">
        <w:rPr>
          <w:noProof/>
        </w:rPr>
        <w:t xml:space="preserve">. This approach builds upon the reforms proposed in option A.2. The financial implications of implementing option A.3 are considerable, with an estimated </w:t>
      </w:r>
      <w:r w:rsidRPr="00CE2185">
        <w:rPr>
          <w:b/>
          <w:noProof/>
        </w:rPr>
        <w:t xml:space="preserve">total </w:t>
      </w:r>
      <w:r w:rsidR="00CB3FD2" w:rsidRPr="00CE2185">
        <w:rPr>
          <w:b/>
          <w:noProof/>
        </w:rPr>
        <w:t xml:space="preserve">recurring </w:t>
      </w:r>
      <w:r w:rsidR="0072396B" w:rsidRPr="00CE2185">
        <w:rPr>
          <w:b/>
          <w:noProof/>
        </w:rPr>
        <w:t xml:space="preserve">adjustment </w:t>
      </w:r>
      <w:r w:rsidRPr="00CE2185">
        <w:rPr>
          <w:b/>
          <w:noProof/>
        </w:rPr>
        <w:t>cost</w:t>
      </w:r>
      <w:r w:rsidRPr="00CE2185">
        <w:rPr>
          <w:noProof/>
        </w:rPr>
        <w:t xml:space="preserve"> of approximately EUR </w:t>
      </w:r>
      <w:r w:rsidR="00855A8F" w:rsidRPr="00CE2185">
        <w:rPr>
          <w:noProof/>
        </w:rPr>
        <w:t>14</w:t>
      </w:r>
      <w:r w:rsidR="00B54ED4" w:rsidRPr="00CE2185">
        <w:rPr>
          <w:noProof/>
        </w:rPr>
        <w:t>.04</w:t>
      </w:r>
      <w:r w:rsidR="00A9083A" w:rsidRPr="00CE2185">
        <w:rPr>
          <w:noProof/>
        </w:rPr>
        <w:t>M</w:t>
      </w:r>
      <w:r w:rsidR="00686079" w:rsidRPr="00CE2185">
        <w:rPr>
          <w:noProof/>
        </w:rPr>
        <w:t xml:space="preserve"> yearly </w:t>
      </w:r>
      <w:r w:rsidR="00FF33DD" w:rsidRPr="00CE2185">
        <w:rPr>
          <w:noProof/>
        </w:rPr>
        <w:t>for ENISA</w:t>
      </w:r>
      <w:r w:rsidR="00686079" w:rsidRPr="00CE2185">
        <w:rPr>
          <w:noProof/>
        </w:rPr>
        <w:t xml:space="preserve"> (</w:t>
      </w:r>
      <w:r w:rsidR="00D3676F" w:rsidRPr="00CE2185">
        <w:rPr>
          <w:noProof/>
        </w:rPr>
        <w:t xml:space="preserve">see </w:t>
      </w:r>
      <w:r w:rsidR="00D3676F" w:rsidRPr="00CE2185">
        <w:rPr>
          <w:i/>
          <w:iCs/>
          <w:noProof/>
        </w:rPr>
        <w:t>Annex 4</w:t>
      </w:r>
      <w:r w:rsidR="00E06B0B" w:rsidRPr="00CE2185">
        <w:rPr>
          <w:noProof/>
        </w:rPr>
        <w:t>)</w:t>
      </w:r>
      <w:r w:rsidRPr="00CE2185">
        <w:rPr>
          <w:b/>
          <w:bCs/>
          <w:noProof/>
        </w:rPr>
        <w:t>.</w:t>
      </w:r>
      <w:r w:rsidRPr="00CE2185">
        <w:rPr>
          <w:noProof/>
        </w:rPr>
        <w:t xml:space="preserve"> </w:t>
      </w:r>
      <w:r w:rsidR="00647CA4" w:rsidRPr="00CE2185">
        <w:rPr>
          <w:noProof/>
        </w:rPr>
        <w:t>This amounts</w:t>
      </w:r>
      <w:r w:rsidR="00462AAB" w:rsidRPr="00CE2185">
        <w:rPr>
          <w:noProof/>
        </w:rPr>
        <w:t xml:space="preserve"> to</w:t>
      </w:r>
      <w:r w:rsidR="00647CA4" w:rsidRPr="00CE2185">
        <w:rPr>
          <w:noProof/>
        </w:rPr>
        <w:t xml:space="preserve"> </w:t>
      </w:r>
      <w:r w:rsidR="00E06B0B" w:rsidRPr="00CE2185">
        <w:rPr>
          <w:noProof/>
        </w:rPr>
        <w:t xml:space="preserve">EUR </w:t>
      </w:r>
      <w:r w:rsidR="000B5525" w:rsidRPr="00CE2185">
        <w:rPr>
          <w:noProof/>
        </w:rPr>
        <w:t>70.22</w:t>
      </w:r>
      <w:r w:rsidR="00A9083A" w:rsidRPr="00CE2185">
        <w:rPr>
          <w:noProof/>
        </w:rPr>
        <w:t xml:space="preserve">M </w:t>
      </w:r>
      <w:r w:rsidR="00E06B0B" w:rsidRPr="00CE2185">
        <w:rPr>
          <w:noProof/>
        </w:rPr>
        <w:t>over 5 years</w:t>
      </w:r>
      <w:r w:rsidR="00782197" w:rsidRPr="00CE2185">
        <w:rPr>
          <w:noProof/>
        </w:rPr>
        <w:t>.</w:t>
      </w:r>
      <w:r w:rsidR="00647CA4" w:rsidRPr="00CE2185">
        <w:rPr>
          <w:noProof/>
        </w:rPr>
        <w:t xml:space="preserve"> </w:t>
      </w:r>
      <w:r w:rsidR="00295BDE" w:rsidRPr="00CE2185">
        <w:rPr>
          <w:noProof/>
        </w:rPr>
        <w:t>It</w:t>
      </w:r>
      <w:r w:rsidRPr="00CE2185">
        <w:rPr>
          <w:noProof/>
        </w:rPr>
        <w:t xml:space="preserve"> reflects the investment required to extend ENISA’s mandate and transform its operational capabilities. </w:t>
      </w:r>
    </w:p>
    <w:p w14:paraId="69B43E26" w14:textId="02AF735A" w:rsidR="00336E1B" w:rsidRPr="00CE2185" w:rsidRDefault="00336E1B" w:rsidP="00795DF0">
      <w:pPr>
        <w:spacing w:after="120"/>
        <w:rPr>
          <w:noProof/>
        </w:rPr>
      </w:pPr>
      <w:r w:rsidRPr="00CE2185">
        <w:rPr>
          <w:noProof/>
        </w:rPr>
        <w:t>The</w:t>
      </w:r>
      <w:r w:rsidR="00F90E84" w:rsidRPr="00CE2185">
        <w:rPr>
          <w:noProof/>
        </w:rPr>
        <w:t xml:space="preserve"> first key</w:t>
      </w:r>
      <w:r w:rsidRPr="00CE2185">
        <w:rPr>
          <w:noProof/>
        </w:rPr>
        <w:t xml:space="preserve"> </w:t>
      </w:r>
      <w:r w:rsidR="00F3041D" w:rsidRPr="00CE2185">
        <w:rPr>
          <w:noProof/>
        </w:rPr>
        <w:t xml:space="preserve">component is </w:t>
      </w:r>
      <w:r w:rsidR="00A12943" w:rsidRPr="00CE2185">
        <w:rPr>
          <w:noProof/>
        </w:rPr>
        <w:t xml:space="preserve">establishing an operational team for direct intervention </w:t>
      </w:r>
      <w:r w:rsidR="00C41CFB" w:rsidRPr="00CE2185">
        <w:rPr>
          <w:noProof/>
        </w:rPr>
        <w:t xml:space="preserve">to </w:t>
      </w:r>
      <w:r w:rsidR="00F3041D" w:rsidRPr="00CE2185">
        <w:rPr>
          <w:noProof/>
        </w:rPr>
        <w:t>support to entities under the NIS 2 Directive. This team</w:t>
      </w:r>
      <w:r w:rsidR="007D4397" w:rsidRPr="00CE2185">
        <w:rPr>
          <w:noProof/>
        </w:rPr>
        <w:t xml:space="preserve"> would </w:t>
      </w:r>
      <w:r w:rsidR="00936B96" w:rsidRPr="00CE2185">
        <w:rPr>
          <w:noProof/>
        </w:rPr>
        <w:t xml:space="preserve">be </w:t>
      </w:r>
      <w:r w:rsidR="00F3041D" w:rsidRPr="00CE2185">
        <w:rPr>
          <w:noProof/>
        </w:rPr>
        <w:t>composed of ENISA staff and national liaison officers</w:t>
      </w:r>
      <w:r w:rsidR="007D4397" w:rsidRPr="00CE2185">
        <w:rPr>
          <w:rStyle w:val="CommentReference"/>
          <w:noProof/>
        </w:rPr>
        <w:t>.</w:t>
      </w:r>
      <w:r w:rsidR="00F3041D" w:rsidRPr="00CE2185">
        <w:rPr>
          <w:noProof/>
        </w:rPr>
        <w:t xml:space="preserve"> Based on previous estimates</w:t>
      </w:r>
      <w:r w:rsidR="00F3041D" w:rsidRPr="00CE2185">
        <w:rPr>
          <w:rFonts w:asciiTheme="minorHAnsi" w:eastAsiaTheme="minorEastAsia" w:hAnsiTheme="minorHAnsi" w:cstheme="minorBidi"/>
          <w:noProof/>
          <w:vertAlign w:val="superscript"/>
        </w:rPr>
        <w:footnoteReference w:id="145"/>
      </w:r>
      <w:r w:rsidR="00F3041D" w:rsidRPr="00CE2185">
        <w:rPr>
          <w:noProof/>
        </w:rPr>
        <w:t>, the initial setup would cost around EUR 1.92</w:t>
      </w:r>
      <w:r w:rsidR="00672D51" w:rsidRPr="00CE2185">
        <w:rPr>
          <w:noProof/>
        </w:rPr>
        <w:t>M</w:t>
      </w:r>
      <w:r w:rsidR="00F3041D" w:rsidRPr="00CE2185">
        <w:rPr>
          <w:noProof/>
        </w:rPr>
        <w:t xml:space="preserve"> and require 15 FTEs (in the 1</w:t>
      </w:r>
      <w:r w:rsidR="00F3041D" w:rsidRPr="00CE2185">
        <w:rPr>
          <w:noProof/>
          <w:vertAlign w:val="superscript"/>
        </w:rPr>
        <w:t>st</w:t>
      </w:r>
      <w:r w:rsidR="00F3041D" w:rsidRPr="00CE2185">
        <w:rPr>
          <w:noProof/>
        </w:rPr>
        <w:t xml:space="preserve"> year). Once fully operational, management and maintenance costs would reach around EUR 3.2</w:t>
      </w:r>
      <w:r w:rsidR="00F4508C" w:rsidRPr="00CE2185">
        <w:rPr>
          <w:noProof/>
        </w:rPr>
        <w:t>1</w:t>
      </w:r>
      <w:r w:rsidR="00B03CFA" w:rsidRPr="00CE2185">
        <w:rPr>
          <w:noProof/>
        </w:rPr>
        <w:t>M</w:t>
      </w:r>
      <w:r w:rsidR="00F3041D" w:rsidRPr="00CE2185">
        <w:rPr>
          <w:noProof/>
        </w:rPr>
        <w:t>, assuming that the team would progressively grow to reach 25 FTEs in the 2</w:t>
      </w:r>
      <w:r w:rsidR="00F3041D" w:rsidRPr="00CE2185">
        <w:rPr>
          <w:noProof/>
          <w:vertAlign w:val="superscript"/>
        </w:rPr>
        <w:t>nd</w:t>
      </w:r>
      <w:r w:rsidR="00F3041D" w:rsidRPr="00CE2185">
        <w:rPr>
          <w:noProof/>
        </w:rPr>
        <w:t xml:space="preserve"> year. </w:t>
      </w:r>
      <w:r w:rsidR="00137B9C" w:rsidRPr="00CE2185">
        <w:rPr>
          <w:noProof/>
        </w:rPr>
        <w:t>T</w:t>
      </w:r>
      <w:r w:rsidR="00F3041D" w:rsidRPr="00CE2185">
        <w:rPr>
          <w:noProof/>
        </w:rPr>
        <w:t>he total cost for this component is estimated at EUR 14.75</w:t>
      </w:r>
      <w:r w:rsidR="00672D51" w:rsidRPr="00CE2185">
        <w:rPr>
          <w:noProof/>
        </w:rPr>
        <w:t>M</w:t>
      </w:r>
      <w:r w:rsidR="00F3041D" w:rsidRPr="00CE2185">
        <w:rPr>
          <w:noProof/>
        </w:rPr>
        <w:t xml:space="preserve"> </w:t>
      </w:r>
      <w:r w:rsidR="00511388" w:rsidRPr="00CE2185">
        <w:rPr>
          <w:noProof/>
        </w:rPr>
        <w:t xml:space="preserve">over 5 years </w:t>
      </w:r>
      <w:r w:rsidR="00F3041D" w:rsidRPr="00CE2185">
        <w:rPr>
          <w:noProof/>
        </w:rPr>
        <w:t xml:space="preserve">(with 25 FTEs from the 2nd year), which </w:t>
      </w:r>
      <w:r w:rsidR="00EC2B2E" w:rsidRPr="00CE2185">
        <w:rPr>
          <w:noProof/>
        </w:rPr>
        <w:t>gives</w:t>
      </w:r>
      <w:r w:rsidR="00F3041D" w:rsidRPr="00CE2185">
        <w:rPr>
          <w:noProof/>
        </w:rPr>
        <w:t xml:space="preserve"> </w:t>
      </w:r>
      <w:r w:rsidR="00614522" w:rsidRPr="00CE2185">
        <w:rPr>
          <w:noProof/>
        </w:rPr>
        <w:t>when divided</w:t>
      </w:r>
      <w:r w:rsidR="00EA71F3" w:rsidRPr="00CE2185">
        <w:rPr>
          <w:noProof/>
        </w:rPr>
        <w:t xml:space="preserve"> in 5</w:t>
      </w:r>
      <w:r w:rsidR="00614522" w:rsidRPr="00CE2185">
        <w:rPr>
          <w:noProof/>
        </w:rPr>
        <w:t xml:space="preserve"> </w:t>
      </w:r>
      <w:r w:rsidR="00F3041D" w:rsidRPr="00CE2185">
        <w:rPr>
          <w:noProof/>
        </w:rPr>
        <w:t xml:space="preserve">an average </w:t>
      </w:r>
      <w:r w:rsidR="0052501C" w:rsidRPr="00CE2185">
        <w:rPr>
          <w:noProof/>
        </w:rPr>
        <w:t>recurring cost</w:t>
      </w:r>
      <w:r w:rsidR="00F3041D" w:rsidRPr="00CE2185">
        <w:rPr>
          <w:noProof/>
        </w:rPr>
        <w:t xml:space="preserve"> of EUR 2.9</w:t>
      </w:r>
      <w:r w:rsidR="00672D51" w:rsidRPr="00CE2185">
        <w:rPr>
          <w:noProof/>
        </w:rPr>
        <w:t>M</w:t>
      </w:r>
      <w:r w:rsidR="00F3041D" w:rsidRPr="00CE2185">
        <w:rPr>
          <w:noProof/>
        </w:rPr>
        <w:t xml:space="preserve"> per year. </w:t>
      </w:r>
    </w:p>
    <w:p w14:paraId="1960C98B" w14:textId="0709A5FC" w:rsidR="00604062" w:rsidRPr="00CE2185" w:rsidRDefault="00F90E84" w:rsidP="00795DF0">
      <w:pPr>
        <w:spacing w:after="120"/>
        <w:rPr>
          <w:noProof/>
        </w:rPr>
      </w:pPr>
      <w:r w:rsidRPr="00CE2185">
        <w:rPr>
          <w:noProof/>
        </w:rPr>
        <w:t>The second key</w:t>
      </w:r>
      <w:r w:rsidR="00336E1B" w:rsidRPr="00CE2185">
        <w:rPr>
          <w:noProof/>
        </w:rPr>
        <w:t xml:space="preserve"> </w:t>
      </w:r>
      <w:r w:rsidR="00F3041D" w:rsidRPr="00CE2185">
        <w:rPr>
          <w:noProof/>
        </w:rPr>
        <w:t xml:space="preserve">component focuses on building operational support, akin to an EU-level cybersecurity umbrella, includes </w:t>
      </w:r>
      <w:r w:rsidR="006378CA" w:rsidRPr="00CE2185">
        <w:rPr>
          <w:noProof/>
        </w:rPr>
        <w:t>technical</w:t>
      </w:r>
      <w:r w:rsidR="00F3041D" w:rsidRPr="00CE2185">
        <w:rPr>
          <w:noProof/>
        </w:rPr>
        <w:t xml:space="preserve"> advice</w:t>
      </w:r>
      <w:r w:rsidR="00FF0B06" w:rsidRPr="00CE2185">
        <w:rPr>
          <w:noProof/>
        </w:rPr>
        <w:t xml:space="preserve"> to</w:t>
      </w:r>
      <w:r w:rsidR="00304E84" w:rsidRPr="00CE2185">
        <w:rPr>
          <w:noProof/>
        </w:rPr>
        <w:t xml:space="preserve"> </w:t>
      </w:r>
      <w:r w:rsidR="006102BA" w:rsidRPr="00CE2185">
        <w:rPr>
          <w:noProof/>
        </w:rPr>
        <w:t xml:space="preserve">NIS2 </w:t>
      </w:r>
      <w:r w:rsidR="00FF0B06" w:rsidRPr="00CE2185">
        <w:rPr>
          <w:noProof/>
        </w:rPr>
        <w:t>entities</w:t>
      </w:r>
      <w:r w:rsidR="00F3041D" w:rsidRPr="00CE2185">
        <w:rPr>
          <w:noProof/>
        </w:rPr>
        <w:t xml:space="preserve">, serving as a centre for information. Based on past cost estimates </w:t>
      </w:r>
      <w:r w:rsidR="00F3041D" w:rsidRPr="00CE2185">
        <w:rPr>
          <w:rFonts w:eastAsia="Times New Roman"/>
          <w:noProof/>
          <w:color w:val="000000" w:themeColor="text1"/>
        </w:rPr>
        <w:t>for creating such an umbrella</w:t>
      </w:r>
      <w:r w:rsidR="00F3041D" w:rsidRPr="00CE2185">
        <w:rPr>
          <w:noProof/>
          <w:vertAlign w:val="superscript"/>
        </w:rPr>
        <w:footnoteReference w:id="146"/>
      </w:r>
      <w:r w:rsidR="00F3041D" w:rsidRPr="00CE2185">
        <w:rPr>
          <w:noProof/>
        </w:rPr>
        <w:t xml:space="preserve">, 2.5 FTEs would have to be added to the reforms </w:t>
      </w:r>
      <w:r w:rsidR="00BF27F4" w:rsidRPr="00CE2185">
        <w:rPr>
          <w:noProof/>
        </w:rPr>
        <w:t>of</w:t>
      </w:r>
      <w:r w:rsidR="00F3041D" w:rsidRPr="00CE2185">
        <w:rPr>
          <w:noProof/>
        </w:rPr>
        <w:t xml:space="preserve"> Option A.2</w:t>
      </w:r>
      <w:r w:rsidR="00C77E3C" w:rsidRPr="00CE2185">
        <w:rPr>
          <w:noProof/>
        </w:rPr>
        <w:t xml:space="preserve">, with the </w:t>
      </w:r>
      <w:r w:rsidR="0052501C" w:rsidRPr="00CE2185">
        <w:rPr>
          <w:noProof/>
        </w:rPr>
        <w:t xml:space="preserve">recurring </w:t>
      </w:r>
      <w:r w:rsidR="00C77E3C" w:rsidRPr="00CE2185">
        <w:rPr>
          <w:noProof/>
        </w:rPr>
        <w:t xml:space="preserve">cost of </w:t>
      </w:r>
      <w:r w:rsidR="00F3041D" w:rsidRPr="00CE2185">
        <w:rPr>
          <w:noProof/>
        </w:rPr>
        <w:t>EUR 320 693 per year, i.e. EUR 1.6</w:t>
      </w:r>
      <w:r w:rsidR="00B434C5" w:rsidRPr="00CE2185">
        <w:rPr>
          <w:noProof/>
        </w:rPr>
        <w:t>M</w:t>
      </w:r>
      <w:r w:rsidR="00F3041D" w:rsidRPr="00CE2185">
        <w:rPr>
          <w:noProof/>
        </w:rPr>
        <w:t xml:space="preserve"> over 5 years. </w:t>
      </w:r>
      <w:r w:rsidR="00604062" w:rsidRPr="00CE2185">
        <w:rPr>
          <w:noProof/>
        </w:rPr>
        <w:t xml:space="preserve">The two key components will </w:t>
      </w:r>
      <w:r w:rsidR="00880B2F" w:rsidRPr="00CE2185">
        <w:rPr>
          <w:noProof/>
        </w:rPr>
        <w:t>generate a</w:t>
      </w:r>
      <w:r w:rsidR="00672D51" w:rsidRPr="00CE2185">
        <w:rPr>
          <w:noProof/>
        </w:rPr>
        <w:t xml:space="preserve"> </w:t>
      </w:r>
      <w:r w:rsidR="00604062" w:rsidRPr="00CE2185">
        <w:rPr>
          <w:noProof/>
        </w:rPr>
        <w:t xml:space="preserve">yearly </w:t>
      </w:r>
      <w:r w:rsidR="008B02FE" w:rsidRPr="00CE2185">
        <w:rPr>
          <w:noProof/>
        </w:rPr>
        <w:t>recurring cost of</w:t>
      </w:r>
      <w:r w:rsidR="00604062" w:rsidRPr="00CE2185">
        <w:rPr>
          <w:noProof/>
        </w:rPr>
        <w:t xml:space="preserve"> EUR </w:t>
      </w:r>
      <w:r w:rsidR="001413F5" w:rsidRPr="00CE2185">
        <w:rPr>
          <w:noProof/>
        </w:rPr>
        <w:t>3 271 064.</w:t>
      </w:r>
    </w:p>
    <w:p w14:paraId="7276B91D" w14:textId="32DA02FC" w:rsidR="002B70B5" w:rsidRPr="00CE2185" w:rsidRDefault="004A3F0A" w:rsidP="00795DF0">
      <w:pPr>
        <w:spacing w:after="120"/>
        <w:rPr>
          <w:b/>
          <w:noProof/>
        </w:rPr>
      </w:pPr>
      <w:r w:rsidRPr="00CE2185">
        <w:rPr>
          <w:noProof/>
        </w:rPr>
        <w:t xml:space="preserve">In addition, ENISA will pay the daily allowances of 5 </w:t>
      </w:r>
      <w:r w:rsidR="00944264" w:rsidRPr="00CE2185">
        <w:rPr>
          <w:noProof/>
        </w:rPr>
        <w:t>SNEs</w:t>
      </w:r>
      <w:r w:rsidRPr="00CE2185">
        <w:rPr>
          <w:noProof/>
        </w:rPr>
        <w:t xml:space="preserve"> seconded to ENISA (additionally to the </w:t>
      </w:r>
      <w:r w:rsidR="00EA71F3" w:rsidRPr="00CE2185">
        <w:rPr>
          <w:noProof/>
        </w:rPr>
        <w:t xml:space="preserve">40 </w:t>
      </w:r>
      <w:r w:rsidRPr="00CE2185">
        <w:rPr>
          <w:noProof/>
        </w:rPr>
        <w:t xml:space="preserve">NLOs seconded to ENISA under Option </w:t>
      </w:r>
      <w:r w:rsidR="000C7777" w:rsidRPr="00CE2185">
        <w:rPr>
          <w:noProof/>
        </w:rPr>
        <w:t xml:space="preserve">A.2), which amount to </w:t>
      </w:r>
      <w:r w:rsidR="00C06FFD" w:rsidRPr="00CE2185">
        <w:rPr>
          <w:noProof/>
        </w:rPr>
        <w:t>a recurring cost of</w:t>
      </w:r>
      <w:r w:rsidR="000C7777" w:rsidRPr="00CE2185">
        <w:rPr>
          <w:noProof/>
        </w:rPr>
        <w:t xml:space="preserve"> EUR 180 000 yearly</w:t>
      </w:r>
      <w:r w:rsidR="000032DC" w:rsidRPr="00CE2185">
        <w:rPr>
          <w:noProof/>
        </w:rPr>
        <w:t>. i.e. EUR0.9M over 5 years</w:t>
      </w:r>
      <w:r w:rsidR="000C7777" w:rsidRPr="00CE2185">
        <w:rPr>
          <w:noProof/>
        </w:rPr>
        <w:t xml:space="preserve"> (see further details on NLOs </w:t>
      </w:r>
      <w:r w:rsidR="00944264" w:rsidRPr="00CE2185">
        <w:rPr>
          <w:noProof/>
        </w:rPr>
        <w:t xml:space="preserve">and SNEs </w:t>
      </w:r>
      <w:r w:rsidR="000C7777" w:rsidRPr="00CE2185">
        <w:rPr>
          <w:noProof/>
        </w:rPr>
        <w:t>below).</w:t>
      </w:r>
      <w:r w:rsidR="00336E1B" w:rsidRPr="00CE2185">
        <w:rPr>
          <w:noProof/>
        </w:rPr>
        <w:t xml:space="preserve"> Moreover, additional organisational burdens would derive from the need to integrate </w:t>
      </w:r>
      <w:r w:rsidR="00665B31" w:rsidRPr="00CE2185">
        <w:rPr>
          <w:noProof/>
        </w:rPr>
        <w:t>NLOs</w:t>
      </w:r>
      <w:r w:rsidR="00336E1B" w:rsidRPr="00CE2185">
        <w:rPr>
          <w:noProof/>
        </w:rPr>
        <w:t xml:space="preserve"> and </w:t>
      </w:r>
      <w:r w:rsidR="00665B31" w:rsidRPr="00CE2185">
        <w:rPr>
          <w:noProof/>
        </w:rPr>
        <w:t>SNEs</w:t>
      </w:r>
      <w:r w:rsidR="00336E1B" w:rsidRPr="00CE2185">
        <w:rPr>
          <w:noProof/>
        </w:rPr>
        <w:t xml:space="preserve">. </w:t>
      </w:r>
    </w:p>
    <w:p w14:paraId="0843E546" w14:textId="76FEB080" w:rsidR="00336E1B" w:rsidRPr="00CE2185" w:rsidRDefault="002B70B5" w:rsidP="00795DF0">
      <w:pPr>
        <w:spacing w:after="120"/>
        <w:rPr>
          <w:noProof/>
        </w:rPr>
      </w:pPr>
      <w:r w:rsidRPr="00CE2185">
        <w:rPr>
          <w:b/>
          <w:noProof/>
        </w:rPr>
        <w:t>N</w:t>
      </w:r>
      <w:r w:rsidR="00336E1B" w:rsidRPr="00CE2185">
        <w:rPr>
          <w:b/>
          <w:noProof/>
        </w:rPr>
        <w:t xml:space="preserve">ational authorities would incur </w:t>
      </w:r>
      <w:r w:rsidR="00825B81" w:rsidRPr="00CE2185">
        <w:rPr>
          <w:b/>
          <w:noProof/>
        </w:rPr>
        <w:t xml:space="preserve">recurring adjustment </w:t>
      </w:r>
      <w:r w:rsidR="00336E1B" w:rsidRPr="00CE2185">
        <w:rPr>
          <w:b/>
          <w:noProof/>
        </w:rPr>
        <w:t>costs</w:t>
      </w:r>
      <w:r w:rsidR="0033360F" w:rsidRPr="00CE2185">
        <w:rPr>
          <w:b/>
          <w:noProof/>
        </w:rPr>
        <w:t xml:space="preserve"> of </w:t>
      </w:r>
      <w:r w:rsidR="0033360F" w:rsidRPr="00CE2185">
        <w:rPr>
          <w:noProof/>
        </w:rPr>
        <w:t xml:space="preserve">EUR </w:t>
      </w:r>
      <w:r w:rsidR="007B1623" w:rsidRPr="00CE2185">
        <w:rPr>
          <w:noProof/>
        </w:rPr>
        <w:t>282 500</w:t>
      </w:r>
      <w:r w:rsidR="003E5820" w:rsidRPr="00CE2185">
        <w:rPr>
          <w:noProof/>
        </w:rPr>
        <w:t xml:space="preserve"> (i.e. EUR</w:t>
      </w:r>
      <w:r w:rsidR="001550D8" w:rsidRPr="00CE2185">
        <w:rPr>
          <w:noProof/>
        </w:rPr>
        <w:t> 1.41M over 5 years)</w:t>
      </w:r>
      <w:r w:rsidR="00336E1B" w:rsidRPr="00CE2185">
        <w:rPr>
          <w:noProof/>
        </w:rPr>
        <w:t xml:space="preserve"> for delegating additional </w:t>
      </w:r>
      <w:r w:rsidR="00B43357" w:rsidRPr="00CE2185">
        <w:rPr>
          <w:noProof/>
        </w:rPr>
        <w:t xml:space="preserve">approximately 5 </w:t>
      </w:r>
      <w:r w:rsidR="00AE0559" w:rsidRPr="00CE2185">
        <w:rPr>
          <w:noProof/>
        </w:rPr>
        <w:t>SNEs</w:t>
      </w:r>
      <w:r w:rsidR="00336E1B" w:rsidRPr="00CE2185">
        <w:rPr>
          <w:noProof/>
        </w:rPr>
        <w:t xml:space="preserve"> to ENISA. </w:t>
      </w:r>
    </w:p>
    <w:p w14:paraId="50252AD8" w14:textId="74C1514A" w:rsidR="002D3BCA" w:rsidRPr="00CE2185" w:rsidRDefault="00454E68" w:rsidP="000425C4">
      <w:pPr>
        <w:pStyle w:val="Heading7"/>
        <w:rPr>
          <w:noProof/>
        </w:rPr>
      </w:pPr>
      <w:bookmarkStart w:id="101" w:name="_Toc218767764"/>
      <w:r w:rsidRPr="00CE2185">
        <w:rPr>
          <w:noProof/>
        </w:rPr>
        <w:t>Table</w:t>
      </w:r>
      <w:r w:rsidR="00FC7FB3" w:rsidRPr="00CE2185">
        <w:rPr>
          <w:noProof/>
        </w:rPr>
        <w:t xml:space="preserve"> </w:t>
      </w:r>
      <w:r w:rsidR="00833030" w:rsidRPr="00CE2185">
        <w:rPr>
          <w:noProof/>
        </w:rPr>
        <w:t>2</w:t>
      </w:r>
      <w:r w:rsidR="0079256F">
        <w:rPr>
          <w:noProof/>
        </w:rPr>
        <w:t>:</w:t>
      </w:r>
      <w:r w:rsidR="00C42CD3" w:rsidRPr="00CE2185">
        <w:rPr>
          <w:noProof/>
        </w:rPr>
        <w:t xml:space="preserve"> Allocation of</w:t>
      </w:r>
      <w:r w:rsidRPr="00CE2185">
        <w:rPr>
          <w:noProof/>
        </w:rPr>
        <w:t xml:space="preserve"> </w:t>
      </w:r>
      <w:r w:rsidR="00C42CD3" w:rsidRPr="00CE2185">
        <w:rPr>
          <w:noProof/>
        </w:rPr>
        <w:t xml:space="preserve">FTEs and costs </w:t>
      </w:r>
      <w:r w:rsidR="009D1519" w:rsidRPr="00CE2185">
        <w:rPr>
          <w:noProof/>
        </w:rPr>
        <w:t>for Options A.1, A.2 and A.3</w:t>
      </w:r>
      <w:bookmarkEnd w:id="101"/>
    </w:p>
    <w:tbl>
      <w:tblPr>
        <w:tblStyle w:val="TableGrid"/>
        <w:tblW w:w="10163" w:type="dxa"/>
        <w:tblLayout w:type="fixed"/>
        <w:tblLook w:val="04A0" w:firstRow="1" w:lastRow="0" w:firstColumn="1" w:lastColumn="0" w:noHBand="0" w:noVBand="1"/>
      </w:tblPr>
      <w:tblGrid>
        <w:gridCol w:w="2660"/>
        <w:gridCol w:w="1418"/>
        <w:gridCol w:w="709"/>
        <w:gridCol w:w="708"/>
        <w:gridCol w:w="709"/>
        <w:gridCol w:w="709"/>
        <w:gridCol w:w="709"/>
        <w:gridCol w:w="1275"/>
        <w:gridCol w:w="1266"/>
      </w:tblGrid>
      <w:tr w:rsidR="00F31888" w:rsidRPr="00CE2185" w14:paraId="273C2EAE" w14:textId="77777777" w:rsidTr="006529E5">
        <w:trPr>
          <w:tblHeader/>
        </w:trPr>
        <w:tc>
          <w:tcPr>
            <w:tcW w:w="2660" w:type="dxa"/>
            <w:shd w:val="clear" w:color="auto" w:fill="F2F2F2" w:themeFill="background1" w:themeFillShade="F2"/>
          </w:tcPr>
          <w:p w14:paraId="5FE2B331" w14:textId="77777777" w:rsidR="002D3BCA" w:rsidRPr="00CE2185" w:rsidRDefault="002D3BCA">
            <w:pPr>
              <w:jc w:val="center"/>
              <w:rPr>
                <w:b/>
                <w:bCs/>
                <w:noProof/>
                <w:sz w:val="16"/>
                <w:szCs w:val="16"/>
              </w:rPr>
            </w:pPr>
            <w:r w:rsidRPr="00CE2185">
              <w:rPr>
                <w:b/>
                <w:bCs/>
                <w:noProof/>
                <w:sz w:val="16"/>
                <w:szCs w:val="16"/>
              </w:rPr>
              <w:t>Option/ Stakeholder/ Purpose</w:t>
            </w:r>
          </w:p>
        </w:tc>
        <w:tc>
          <w:tcPr>
            <w:tcW w:w="1418" w:type="dxa"/>
            <w:shd w:val="clear" w:color="auto" w:fill="F2F2F2" w:themeFill="background1" w:themeFillShade="F2"/>
          </w:tcPr>
          <w:p w14:paraId="17014169" w14:textId="77777777" w:rsidR="002D3BCA" w:rsidRPr="00CE2185" w:rsidRDefault="002D3BCA">
            <w:pPr>
              <w:jc w:val="center"/>
              <w:rPr>
                <w:b/>
                <w:bCs/>
                <w:noProof/>
                <w:sz w:val="16"/>
                <w:szCs w:val="16"/>
              </w:rPr>
            </w:pPr>
            <w:r w:rsidRPr="00CE2185">
              <w:rPr>
                <w:b/>
                <w:bCs/>
                <w:noProof/>
                <w:sz w:val="16"/>
                <w:szCs w:val="16"/>
              </w:rPr>
              <w:t>Details</w:t>
            </w:r>
          </w:p>
        </w:tc>
        <w:tc>
          <w:tcPr>
            <w:tcW w:w="709" w:type="dxa"/>
            <w:shd w:val="clear" w:color="auto" w:fill="F2F2F2" w:themeFill="background1" w:themeFillShade="F2"/>
          </w:tcPr>
          <w:p w14:paraId="26370E1F" w14:textId="77777777" w:rsidR="002D3BCA" w:rsidRPr="00CE2185" w:rsidRDefault="002D3BCA">
            <w:pPr>
              <w:jc w:val="center"/>
              <w:rPr>
                <w:b/>
                <w:bCs/>
                <w:noProof/>
                <w:sz w:val="16"/>
                <w:szCs w:val="16"/>
              </w:rPr>
            </w:pPr>
            <w:r w:rsidRPr="00CE2185">
              <w:rPr>
                <w:b/>
                <w:bCs/>
                <w:noProof/>
                <w:sz w:val="16"/>
                <w:szCs w:val="16"/>
              </w:rPr>
              <w:t>2028</w:t>
            </w:r>
          </w:p>
          <w:p w14:paraId="29257ED9" w14:textId="77777777" w:rsidR="002D3BCA" w:rsidRPr="00CE2185" w:rsidRDefault="002D3BCA">
            <w:pPr>
              <w:jc w:val="center"/>
              <w:rPr>
                <w:b/>
                <w:bCs/>
                <w:noProof/>
                <w:sz w:val="16"/>
                <w:szCs w:val="16"/>
              </w:rPr>
            </w:pPr>
            <w:r w:rsidRPr="00CE2185">
              <w:rPr>
                <w:b/>
                <w:bCs/>
                <w:noProof/>
                <w:sz w:val="16"/>
                <w:szCs w:val="16"/>
              </w:rPr>
              <w:t>FTEs</w:t>
            </w:r>
          </w:p>
        </w:tc>
        <w:tc>
          <w:tcPr>
            <w:tcW w:w="708" w:type="dxa"/>
            <w:shd w:val="clear" w:color="auto" w:fill="F2F2F2" w:themeFill="background1" w:themeFillShade="F2"/>
          </w:tcPr>
          <w:p w14:paraId="1E801E88" w14:textId="77777777" w:rsidR="002D3BCA" w:rsidRPr="00CE2185" w:rsidRDefault="002D3BCA">
            <w:pPr>
              <w:jc w:val="center"/>
              <w:rPr>
                <w:b/>
                <w:bCs/>
                <w:noProof/>
                <w:sz w:val="16"/>
                <w:szCs w:val="16"/>
              </w:rPr>
            </w:pPr>
            <w:r w:rsidRPr="00CE2185">
              <w:rPr>
                <w:b/>
                <w:bCs/>
                <w:noProof/>
                <w:sz w:val="16"/>
                <w:szCs w:val="16"/>
              </w:rPr>
              <w:t>2029</w:t>
            </w:r>
          </w:p>
          <w:p w14:paraId="341FF6C3" w14:textId="77777777" w:rsidR="002D3BCA" w:rsidRPr="00CE2185" w:rsidRDefault="002D3BCA">
            <w:pPr>
              <w:jc w:val="center"/>
              <w:rPr>
                <w:b/>
                <w:bCs/>
                <w:noProof/>
                <w:sz w:val="16"/>
                <w:szCs w:val="16"/>
              </w:rPr>
            </w:pPr>
            <w:r w:rsidRPr="00CE2185">
              <w:rPr>
                <w:b/>
                <w:bCs/>
                <w:noProof/>
                <w:sz w:val="16"/>
                <w:szCs w:val="16"/>
              </w:rPr>
              <w:t>FTEs</w:t>
            </w:r>
          </w:p>
        </w:tc>
        <w:tc>
          <w:tcPr>
            <w:tcW w:w="709" w:type="dxa"/>
            <w:shd w:val="clear" w:color="auto" w:fill="F2F2F2" w:themeFill="background1" w:themeFillShade="F2"/>
          </w:tcPr>
          <w:p w14:paraId="494A68E3" w14:textId="77777777" w:rsidR="002D3BCA" w:rsidRPr="00CE2185" w:rsidRDefault="002D3BCA">
            <w:pPr>
              <w:jc w:val="center"/>
              <w:rPr>
                <w:b/>
                <w:bCs/>
                <w:noProof/>
                <w:sz w:val="16"/>
                <w:szCs w:val="16"/>
              </w:rPr>
            </w:pPr>
            <w:r w:rsidRPr="00CE2185">
              <w:rPr>
                <w:b/>
                <w:bCs/>
                <w:noProof/>
                <w:sz w:val="16"/>
                <w:szCs w:val="16"/>
              </w:rPr>
              <w:t>2030</w:t>
            </w:r>
          </w:p>
          <w:p w14:paraId="46A6A255" w14:textId="77777777" w:rsidR="002D3BCA" w:rsidRPr="00CE2185" w:rsidRDefault="002D3BCA">
            <w:pPr>
              <w:jc w:val="center"/>
              <w:rPr>
                <w:b/>
                <w:bCs/>
                <w:noProof/>
                <w:sz w:val="16"/>
                <w:szCs w:val="16"/>
              </w:rPr>
            </w:pPr>
            <w:r w:rsidRPr="00CE2185">
              <w:rPr>
                <w:b/>
                <w:bCs/>
                <w:noProof/>
                <w:sz w:val="16"/>
                <w:szCs w:val="16"/>
              </w:rPr>
              <w:t>FTEs</w:t>
            </w:r>
          </w:p>
        </w:tc>
        <w:tc>
          <w:tcPr>
            <w:tcW w:w="709" w:type="dxa"/>
            <w:shd w:val="clear" w:color="auto" w:fill="F2F2F2" w:themeFill="background1" w:themeFillShade="F2"/>
          </w:tcPr>
          <w:p w14:paraId="01AE76DE" w14:textId="77777777" w:rsidR="002D3BCA" w:rsidRPr="00CE2185" w:rsidRDefault="002D3BCA">
            <w:pPr>
              <w:jc w:val="center"/>
              <w:rPr>
                <w:b/>
                <w:bCs/>
                <w:noProof/>
                <w:sz w:val="16"/>
                <w:szCs w:val="16"/>
              </w:rPr>
            </w:pPr>
            <w:r w:rsidRPr="00CE2185">
              <w:rPr>
                <w:b/>
                <w:bCs/>
                <w:noProof/>
                <w:sz w:val="16"/>
                <w:szCs w:val="16"/>
              </w:rPr>
              <w:t>2031</w:t>
            </w:r>
          </w:p>
          <w:p w14:paraId="1D12C9EA" w14:textId="77777777" w:rsidR="002D3BCA" w:rsidRPr="00CE2185" w:rsidRDefault="002D3BCA">
            <w:pPr>
              <w:jc w:val="center"/>
              <w:rPr>
                <w:b/>
                <w:bCs/>
                <w:noProof/>
                <w:sz w:val="16"/>
                <w:szCs w:val="16"/>
              </w:rPr>
            </w:pPr>
            <w:r w:rsidRPr="00CE2185">
              <w:rPr>
                <w:b/>
                <w:bCs/>
                <w:noProof/>
                <w:sz w:val="16"/>
                <w:szCs w:val="16"/>
              </w:rPr>
              <w:t>FTEs</w:t>
            </w:r>
          </w:p>
        </w:tc>
        <w:tc>
          <w:tcPr>
            <w:tcW w:w="709" w:type="dxa"/>
            <w:shd w:val="clear" w:color="auto" w:fill="F2F2F2" w:themeFill="background1" w:themeFillShade="F2"/>
          </w:tcPr>
          <w:p w14:paraId="74D8D060" w14:textId="236A510B" w:rsidR="002D3BCA" w:rsidRPr="00CE2185" w:rsidRDefault="002D3BCA">
            <w:pPr>
              <w:jc w:val="center"/>
              <w:rPr>
                <w:b/>
                <w:bCs/>
                <w:noProof/>
                <w:sz w:val="16"/>
                <w:szCs w:val="16"/>
              </w:rPr>
            </w:pPr>
            <w:r w:rsidRPr="00CE2185">
              <w:rPr>
                <w:b/>
                <w:bCs/>
                <w:noProof/>
                <w:sz w:val="16"/>
                <w:szCs w:val="16"/>
              </w:rPr>
              <w:t>203</w:t>
            </w:r>
            <w:r w:rsidR="008133C0" w:rsidRPr="00CE2185">
              <w:rPr>
                <w:b/>
                <w:bCs/>
                <w:noProof/>
                <w:sz w:val="16"/>
                <w:szCs w:val="16"/>
              </w:rPr>
              <w:t>2</w:t>
            </w:r>
          </w:p>
          <w:p w14:paraId="3CBEF6D3" w14:textId="77777777" w:rsidR="002D3BCA" w:rsidRPr="00CE2185" w:rsidRDefault="002D3BCA">
            <w:pPr>
              <w:jc w:val="center"/>
              <w:rPr>
                <w:b/>
                <w:bCs/>
                <w:noProof/>
                <w:sz w:val="16"/>
                <w:szCs w:val="16"/>
              </w:rPr>
            </w:pPr>
            <w:r w:rsidRPr="00CE2185">
              <w:rPr>
                <w:b/>
                <w:bCs/>
                <w:noProof/>
                <w:sz w:val="16"/>
                <w:szCs w:val="16"/>
              </w:rPr>
              <w:t>FTEs</w:t>
            </w:r>
          </w:p>
        </w:tc>
        <w:tc>
          <w:tcPr>
            <w:tcW w:w="1275" w:type="dxa"/>
            <w:shd w:val="clear" w:color="auto" w:fill="F2F2F2" w:themeFill="background1" w:themeFillShade="F2"/>
          </w:tcPr>
          <w:p w14:paraId="050FD18D" w14:textId="77777777" w:rsidR="002D3BCA" w:rsidRPr="00CE2185" w:rsidRDefault="002D3BCA">
            <w:pPr>
              <w:jc w:val="center"/>
              <w:rPr>
                <w:b/>
                <w:bCs/>
                <w:noProof/>
                <w:sz w:val="16"/>
                <w:szCs w:val="16"/>
              </w:rPr>
            </w:pPr>
            <w:r w:rsidRPr="00CE2185">
              <w:rPr>
                <w:b/>
                <w:bCs/>
                <w:noProof/>
                <w:sz w:val="16"/>
                <w:szCs w:val="16"/>
              </w:rPr>
              <w:t>Costs per year</w:t>
            </w:r>
          </w:p>
          <w:p w14:paraId="4AE6B9FB" w14:textId="77777777" w:rsidR="002D3BCA" w:rsidRPr="00CE2185" w:rsidRDefault="002D3BCA">
            <w:pPr>
              <w:jc w:val="center"/>
              <w:rPr>
                <w:b/>
                <w:bCs/>
                <w:noProof/>
                <w:sz w:val="16"/>
                <w:szCs w:val="16"/>
              </w:rPr>
            </w:pPr>
            <w:r w:rsidRPr="00CE2185">
              <w:rPr>
                <w:b/>
                <w:bCs/>
                <w:noProof/>
                <w:sz w:val="16"/>
                <w:szCs w:val="16"/>
              </w:rPr>
              <w:t>(EUR)</w:t>
            </w:r>
          </w:p>
        </w:tc>
        <w:tc>
          <w:tcPr>
            <w:tcW w:w="1266" w:type="dxa"/>
            <w:shd w:val="clear" w:color="auto" w:fill="F2F2F2" w:themeFill="background1" w:themeFillShade="F2"/>
          </w:tcPr>
          <w:p w14:paraId="1079AF06" w14:textId="77777777" w:rsidR="002D3BCA" w:rsidRPr="00CE2185" w:rsidRDefault="002D3BCA">
            <w:pPr>
              <w:jc w:val="center"/>
              <w:rPr>
                <w:b/>
                <w:bCs/>
                <w:noProof/>
                <w:sz w:val="16"/>
                <w:szCs w:val="16"/>
              </w:rPr>
            </w:pPr>
            <w:r w:rsidRPr="00CE2185">
              <w:rPr>
                <w:b/>
                <w:bCs/>
                <w:noProof/>
                <w:sz w:val="16"/>
                <w:szCs w:val="16"/>
              </w:rPr>
              <w:t>Total costs over 5 years (EUR)</w:t>
            </w:r>
          </w:p>
        </w:tc>
      </w:tr>
      <w:tr w:rsidR="00F31888" w:rsidRPr="00CE2185" w14:paraId="21013322" w14:textId="77777777" w:rsidTr="006529E5">
        <w:tc>
          <w:tcPr>
            <w:tcW w:w="2660" w:type="dxa"/>
            <w:shd w:val="clear" w:color="auto" w:fill="C6D9F1" w:themeFill="text2" w:themeFillTint="33"/>
          </w:tcPr>
          <w:p w14:paraId="3F1E9EA1" w14:textId="77777777" w:rsidR="004B45D3" w:rsidRPr="00CE2185" w:rsidRDefault="004B45D3" w:rsidP="00363BAE">
            <w:pPr>
              <w:spacing w:after="60"/>
              <w:rPr>
                <w:b/>
                <w:noProof/>
                <w:sz w:val="16"/>
                <w:szCs w:val="16"/>
              </w:rPr>
            </w:pPr>
            <w:r w:rsidRPr="00CE2185">
              <w:rPr>
                <w:b/>
                <w:noProof/>
                <w:sz w:val="16"/>
                <w:szCs w:val="16"/>
              </w:rPr>
              <w:t>Option A.1/</w:t>
            </w:r>
          </w:p>
          <w:p w14:paraId="2B2DE367" w14:textId="68D499D6" w:rsidR="002D3BCA" w:rsidRPr="00CE2185" w:rsidRDefault="002D3BCA" w:rsidP="00363BAE">
            <w:pPr>
              <w:spacing w:after="60"/>
              <w:rPr>
                <w:b/>
                <w:noProof/>
                <w:sz w:val="16"/>
                <w:szCs w:val="16"/>
              </w:rPr>
            </w:pPr>
            <w:r w:rsidRPr="00CE2185">
              <w:rPr>
                <w:b/>
                <w:noProof/>
                <w:sz w:val="16"/>
                <w:szCs w:val="16"/>
              </w:rPr>
              <w:t>ENISA</w:t>
            </w:r>
            <w:r w:rsidR="004B45D3" w:rsidRPr="00CE2185">
              <w:rPr>
                <w:b/>
                <w:noProof/>
                <w:sz w:val="16"/>
                <w:szCs w:val="16"/>
              </w:rPr>
              <w:t>, MS, businesses, citizens</w:t>
            </w:r>
          </w:p>
        </w:tc>
        <w:tc>
          <w:tcPr>
            <w:tcW w:w="1418" w:type="dxa"/>
            <w:shd w:val="clear" w:color="auto" w:fill="C6D9F1" w:themeFill="text2" w:themeFillTint="33"/>
          </w:tcPr>
          <w:p w14:paraId="1A79B279" w14:textId="77777777" w:rsidR="002D3BCA" w:rsidRPr="00CE2185" w:rsidRDefault="002D3BCA" w:rsidP="00363BAE">
            <w:pPr>
              <w:spacing w:after="60"/>
              <w:rPr>
                <w:noProof/>
                <w:sz w:val="16"/>
                <w:szCs w:val="16"/>
              </w:rPr>
            </w:pPr>
          </w:p>
        </w:tc>
        <w:tc>
          <w:tcPr>
            <w:tcW w:w="709" w:type="dxa"/>
            <w:shd w:val="clear" w:color="auto" w:fill="C6D9F1" w:themeFill="text2" w:themeFillTint="33"/>
          </w:tcPr>
          <w:p w14:paraId="49C08D72" w14:textId="77777777" w:rsidR="002D3BCA" w:rsidRPr="00CE2185" w:rsidRDefault="002D3BCA" w:rsidP="00363BAE">
            <w:pPr>
              <w:spacing w:after="60"/>
              <w:jc w:val="left"/>
              <w:rPr>
                <w:noProof/>
                <w:sz w:val="16"/>
                <w:szCs w:val="16"/>
              </w:rPr>
            </w:pPr>
            <w:r w:rsidRPr="00CE2185">
              <w:rPr>
                <w:noProof/>
                <w:sz w:val="16"/>
                <w:szCs w:val="16"/>
              </w:rPr>
              <w:t>-</w:t>
            </w:r>
          </w:p>
        </w:tc>
        <w:tc>
          <w:tcPr>
            <w:tcW w:w="708" w:type="dxa"/>
            <w:shd w:val="clear" w:color="auto" w:fill="C6D9F1" w:themeFill="text2" w:themeFillTint="33"/>
          </w:tcPr>
          <w:p w14:paraId="7AFF1ECF" w14:textId="77777777" w:rsidR="002D3BCA" w:rsidRPr="00CE2185" w:rsidRDefault="002D3BCA" w:rsidP="00363BAE">
            <w:pPr>
              <w:spacing w:after="60"/>
              <w:rPr>
                <w:noProof/>
                <w:sz w:val="16"/>
                <w:szCs w:val="16"/>
              </w:rPr>
            </w:pPr>
            <w:r w:rsidRPr="00CE2185">
              <w:rPr>
                <w:noProof/>
                <w:sz w:val="16"/>
                <w:szCs w:val="16"/>
              </w:rPr>
              <w:t>-</w:t>
            </w:r>
          </w:p>
        </w:tc>
        <w:tc>
          <w:tcPr>
            <w:tcW w:w="709" w:type="dxa"/>
            <w:shd w:val="clear" w:color="auto" w:fill="C6D9F1" w:themeFill="text2" w:themeFillTint="33"/>
          </w:tcPr>
          <w:p w14:paraId="284DE795" w14:textId="77777777" w:rsidR="002D3BCA" w:rsidRPr="00CE2185" w:rsidRDefault="002D3BCA" w:rsidP="00363BAE">
            <w:pPr>
              <w:spacing w:after="60"/>
              <w:rPr>
                <w:noProof/>
                <w:sz w:val="16"/>
                <w:szCs w:val="16"/>
              </w:rPr>
            </w:pPr>
            <w:r w:rsidRPr="00CE2185">
              <w:rPr>
                <w:noProof/>
                <w:sz w:val="16"/>
                <w:szCs w:val="16"/>
              </w:rPr>
              <w:t>-</w:t>
            </w:r>
          </w:p>
        </w:tc>
        <w:tc>
          <w:tcPr>
            <w:tcW w:w="709" w:type="dxa"/>
            <w:shd w:val="clear" w:color="auto" w:fill="C6D9F1" w:themeFill="text2" w:themeFillTint="33"/>
          </w:tcPr>
          <w:p w14:paraId="4FBA06AF" w14:textId="77777777" w:rsidR="002D3BCA" w:rsidRPr="00CE2185" w:rsidRDefault="002D3BCA" w:rsidP="00363BAE">
            <w:pPr>
              <w:spacing w:after="60"/>
              <w:rPr>
                <w:noProof/>
                <w:sz w:val="16"/>
                <w:szCs w:val="16"/>
              </w:rPr>
            </w:pPr>
            <w:r w:rsidRPr="00CE2185">
              <w:rPr>
                <w:noProof/>
                <w:sz w:val="16"/>
                <w:szCs w:val="16"/>
              </w:rPr>
              <w:t>-</w:t>
            </w:r>
          </w:p>
        </w:tc>
        <w:tc>
          <w:tcPr>
            <w:tcW w:w="709" w:type="dxa"/>
            <w:shd w:val="clear" w:color="auto" w:fill="C6D9F1" w:themeFill="text2" w:themeFillTint="33"/>
          </w:tcPr>
          <w:p w14:paraId="2E9F5353" w14:textId="77777777" w:rsidR="002D3BCA" w:rsidRPr="00CE2185" w:rsidRDefault="002D3BCA" w:rsidP="00363BAE">
            <w:pPr>
              <w:spacing w:after="60"/>
              <w:rPr>
                <w:noProof/>
                <w:sz w:val="16"/>
                <w:szCs w:val="16"/>
              </w:rPr>
            </w:pPr>
            <w:r w:rsidRPr="00CE2185">
              <w:rPr>
                <w:noProof/>
                <w:sz w:val="16"/>
                <w:szCs w:val="16"/>
              </w:rPr>
              <w:t>-</w:t>
            </w:r>
          </w:p>
        </w:tc>
        <w:tc>
          <w:tcPr>
            <w:tcW w:w="1275" w:type="dxa"/>
            <w:shd w:val="clear" w:color="auto" w:fill="C6D9F1" w:themeFill="text2" w:themeFillTint="33"/>
          </w:tcPr>
          <w:p w14:paraId="314C5246" w14:textId="77777777" w:rsidR="002D3BCA" w:rsidRPr="00CE2185" w:rsidRDefault="002D3BCA" w:rsidP="00363BAE">
            <w:pPr>
              <w:spacing w:after="60"/>
              <w:rPr>
                <w:noProof/>
                <w:sz w:val="16"/>
                <w:szCs w:val="16"/>
              </w:rPr>
            </w:pPr>
            <w:r w:rsidRPr="00CE2185">
              <w:rPr>
                <w:noProof/>
                <w:sz w:val="16"/>
                <w:szCs w:val="16"/>
              </w:rPr>
              <w:t>-</w:t>
            </w:r>
          </w:p>
        </w:tc>
        <w:tc>
          <w:tcPr>
            <w:tcW w:w="1266" w:type="dxa"/>
            <w:shd w:val="clear" w:color="auto" w:fill="C6D9F1" w:themeFill="text2" w:themeFillTint="33"/>
          </w:tcPr>
          <w:p w14:paraId="57FD06F8" w14:textId="77777777" w:rsidR="002D3BCA" w:rsidRPr="00CE2185" w:rsidRDefault="002D3BCA" w:rsidP="00363BAE">
            <w:pPr>
              <w:spacing w:after="60"/>
              <w:rPr>
                <w:noProof/>
                <w:sz w:val="16"/>
                <w:szCs w:val="16"/>
              </w:rPr>
            </w:pPr>
            <w:r w:rsidRPr="00CE2185">
              <w:rPr>
                <w:noProof/>
                <w:sz w:val="16"/>
                <w:szCs w:val="16"/>
              </w:rPr>
              <w:t>-</w:t>
            </w:r>
          </w:p>
        </w:tc>
      </w:tr>
      <w:tr w:rsidR="00F31888" w:rsidRPr="00CE2185" w14:paraId="41AB40E2" w14:textId="77777777" w:rsidTr="006529E5">
        <w:tc>
          <w:tcPr>
            <w:tcW w:w="2660" w:type="dxa"/>
            <w:shd w:val="clear" w:color="auto" w:fill="FBD4B4" w:themeFill="accent6" w:themeFillTint="66"/>
          </w:tcPr>
          <w:p w14:paraId="094BD155" w14:textId="77777777" w:rsidR="002D3BCA" w:rsidRPr="00CE2185" w:rsidRDefault="002D3BCA" w:rsidP="00363BAE">
            <w:pPr>
              <w:spacing w:after="60"/>
              <w:rPr>
                <w:b/>
                <w:noProof/>
                <w:sz w:val="16"/>
                <w:szCs w:val="16"/>
              </w:rPr>
            </w:pPr>
            <w:r w:rsidRPr="00CE2185">
              <w:rPr>
                <w:b/>
                <w:noProof/>
                <w:sz w:val="16"/>
                <w:szCs w:val="16"/>
              </w:rPr>
              <w:t>Option A.2</w:t>
            </w:r>
          </w:p>
        </w:tc>
        <w:tc>
          <w:tcPr>
            <w:tcW w:w="1418" w:type="dxa"/>
            <w:shd w:val="clear" w:color="auto" w:fill="FBD4B4" w:themeFill="accent6" w:themeFillTint="66"/>
          </w:tcPr>
          <w:p w14:paraId="3CAA5929"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6E2B44F8" w14:textId="77777777" w:rsidR="002D3BCA" w:rsidRPr="00CE2185" w:rsidRDefault="002D3BCA" w:rsidP="00363BAE">
            <w:pPr>
              <w:spacing w:after="60"/>
              <w:rPr>
                <w:noProof/>
                <w:sz w:val="16"/>
                <w:szCs w:val="16"/>
              </w:rPr>
            </w:pPr>
          </w:p>
        </w:tc>
        <w:tc>
          <w:tcPr>
            <w:tcW w:w="708" w:type="dxa"/>
            <w:shd w:val="clear" w:color="auto" w:fill="FBD4B4" w:themeFill="accent6" w:themeFillTint="66"/>
          </w:tcPr>
          <w:p w14:paraId="0D01DE73"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1BBF9B1A"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20ADE633"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4A64FD61" w14:textId="77777777" w:rsidR="002D3BCA" w:rsidRPr="00CE2185" w:rsidRDefault="002D3BCA" w:rsidP="00363BAE">
            <w:pPr>
              <w:spacing w:after="60"/>
              <w:rPr>
                <w:noProof/>
                <w:sz w:val="16"/>
                <w:szCs w:val="16"/>
              </w:rPr>
            </w:pPr>
          </w:p>
        </w:tc>
        <w:tc>
          <w:tcPr>
            <w:tcW w:w="1275" w:type="dxa"/>
            <w:shd w:val="clear" w:color="auto" w:fill="FBD4B4" w:themeFill="accent6" w:themeFillTint="66"/>
          </w:tcPr>
          <w:p w14:paraId="1F595DB0" w14:textId="77777777" w:rsidR="002D3BCA" w:rsidRPr="00CE2185" w:rsidRDefault="002D3BCA" w:rsidP="00363BAE">
            <w:pPr>
              <w:spacing w:after="60"/>
              <w:rPr>
                <w:noProof/>
                <w:sz w:val="16"/>
                <w:szCs w:val="16"/>
              </w:rPr>
            </w:pPr>
          </w:p>
        </w:tc>
        <w:tc>
          <w:tcPr>
            <w:tcW w:w="1266" w:type="dxa"/>
            <w:shd w:val="clear" w:color="auto" w:fill="FBD4B4" w:themeFill="accent6" w:themeFillTint="66"/>
          </w:tcPr>
          <w:p w14:paraId="426BEE8C" w14:textId="77777777" w:rsidR="002D3BCA" w:rsidRPr="00CE2185" w:rsidRDefault="002D3BCA" w:rsidP="00363BAE">
            <w:pPr>
              <w:spacing w:after="60"/>
              <w:rPr>
                <w:noProof/>
                <w:sz w:val="16"/>
                <w:szCs w:val="16"/>
              </w:rPr>
            </w:pPr>
          </w:p>
        </w:tc>
      </w:tr>
      <w:tr w:rsidR="00F31888" w:rsidRPr="00CE2185" w14:paraId="23CE4B87" w14:textId="77777777" w:rsidTr="006529E5">
        <w:tc>
          <w:tcPr>
            <w:tcW w:w="2660" w:type="dxa"/>
            <w:shd w:val="clear" w:color="auto" w:fill="FBD4B4" w:themeFill="accent6" w:themeFillTint="66"/>
          </w:tcPr>
          <w:p w14:paraId="61E4F7A4" w14:textId="77777777" w:rsidR="002D3BCA" w:rsidRPr="00CE2185" w:rsidRDefault="002D3BCA" w:rsidP="00363BAE">
            <w:pPr>
              <w:spacing w:after="60"/>
              <w:rPr>
                <w:b/>
                <w:noProof/>
                <w:sz w:val="16"/>
                <w:szCs w:val="16"/>
              </w:rPr>
            </w:pPr>
            <w:r w:rsidRPr="00CE2185">
              <w:rPr>
                <w:b/>
                <w:noProof/>
                <w:sz w:val="16"/>
                <w:szCs w:val="16"/>
              </w:rPr>
              <w:t>ENISA</w:t>
            </w:r>
          </w:p>
        </w:tc>
        <w:tc>
          <w:tcPr>
            <w:tcW w:w="1418" w:type="dxa"/>
            <w:shd w:val="clear" w:color="auto" w:fill="FBD4B4" w:themeFill="accent6" w:themeFillTint="66"/>
          </w:tcPr>
          <w:p w14:paraId="27FD2ABE"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365D7E89" w14:textId="77777777" w:rsidR="002D3BCA" w:rsidRPr="00CE2185" w:rsidRDefault="002D3BCA" w:rsidP="00363BAE">
            <w:pPr>
              <w:spacing w:after="60"/>
              <w:rPr>
                <w:noProof/>
                <w:sz w:val="16"/>
                <w:szCs w:val="16"/>
              </w:rPr>
            </w:pPr>
          </w:p>
        </w:tc>
        <w:tc>
          <w:tcPr>
            <w:tcW w:w="708" w:type="dxa"/>
            <w:shd w:val="clear" w:color="auto" w:fill="FBD4B4" w:themeFill="accent6" w:themeFillTint="66"/>
          </w:tcPr>
          <w:p w14:paraId="3BCC1A7F"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202153FA"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399F6F7E" w14:textId="77777777" w:rsidR="002D3BCA" w:rsidRPr="00CE2185" w:rsidRDefault="002D3BCA" w:rsidP="00363BAE">
            <w:pPr>
              <w:spacing w:after="60"/>
              <w:rPr>
                <w:noProof/>
                <w:sz w:val="16"/>
                <w:szCs w:val="16"/>
              </w:rPr>
            </w:pPr>
          </w:p>
        </w:tc>
        <w:tc>
          <w:tcPr>
            <w:tcW w:w="709" w:type="dxa"/>
            <w:shd w:val="clear" w:color="auto" w:fill="FBD4B4" w:themeFill="accent6" w:themeFillTint="66"/>
          </w:tcPr>
          <w:p w14:paraId="34850E2A" w14:textId="77777777" w:rsidR="002D3BCA" w:rsidRPr="00CE2185" w:rsidRDefault="002D3BCA" w:rsidP="00363BAE">
            <w:pPr>
              <w:spacing w:after="60"/>
              <w:rPr>
                <w:noProof/>
                <w:sz w:val="16"/>
                <w:szCs w:val="16"/>
              </w:rPr>
            </w:pPr>
          </w:p>
        </w:tc>
        <w:tc>
          <w:tcPr>
            <w:tcW w:w="1275" w:type="dxa"/>
            <w:shd w:val="clear" w:color="auto" w:fill="FBD4B4" w:themeFill="accent6" w:themeFillTint="66"/>
          </w:tcPr>
          <w:p w14:paraId="6F7D2F7B" w14:textId="77777777" w:rsidR="002D3BCA" w:rsidRPr="00CE2185" w:rsidRDefault="002D3BCA" w:rsidP="00363BAE">
            <w:pPr>
              <w:spacing w:after="60"/>
              <w:rPr>
                <w:noProof/>
                <w:sz w:val="16"/>
                <w:szCs w:val="16"/>
              </w:rPr>
            </w:pPr>
          </w:p>
        </w:tc>
        <w:tc>
          <w:tcPr>
            <w:tcW w:w="1266" w:type="dxa"/>
            <w:shd w:val="clear" w:color="auto" w:fill="FBD4B4" w:themeFill="accent6" w:themeFillTint="66"/>
          </w:tcPr>
          <w:p w14:paraId="309373CD" w14:textId="77777777" w:rsidR="002D3BCA" w:rsidRPr="00CE2185" w:rsidRDefault="002D3BCA" w:rsidP="00363BAE">
            <w:pPr>
              <w:spacing w:after="60"/>
              <w:rPr>
                <w:noProof/>
                <w:sz w:val="16"/>
                <w:szCs w:val="16"/>
              </w:rPr>
            </w:pPr>
          </w:p>
        </w:tc>
      </w:tr>
      <w:tr w:rsidR="00F31888" w:rsidRPr="00CE2185" w14:paraId="06590A8F" w14:textId="77777777" w:rsidTr="006529E5">
        <w:tc>
          <w:tcPr>
            <w:tcW w:w="2660" w:type="dxa"/>
            <w:shd w:val="clear" w:color="auto" w:fill="FDE9D9" w:themeFill="accent6" w:themeFillTint="33"/>
          </w:tcPr>
          <w:p w14:paraId="3C343B88" w14:textId="77777777" w:rsidR="002D3BCA" w:rsidRPr="00CE2185" w:rsidRDefault="002D3BCA" w:rsidP="00363BAE">
            <w:pPr>
              <w:spacing w:after="60"/>
              <w:rPr>
                <w:noProof/>
                <w:sz w:val="16"/>
                <w:szCs w:val="16"/>
              </w:rPr>
            </w:pPr>
            <w:r w:rsidRPr="00CE2185">
              <w:rPr>
                <w:noProof/>
                <w:sz w:val="16"/>
                <w:szCs w:val="16"/>
              </w:rPr>
              <w:t>Reserve</w:t>
            </w:r>
          </w:p>
        </w:tc>
        <w:tc>
          <w:tcPr>
            <w:tcW w:w="1418" w:type="dxa"/>
            <w:shd w:val="clear" w:color="auto" w:fill="FDE9D9" w:themeFill="accent6" w:themeFillTint="33"/>
          </w:tcPr>
          <w:p w14:paraId="3ADCA0CE" w14:textId="77777777" w:rsidR="002D3BCA" w:rsidRPr="00CE2185" w:rsidRDefault="002D3BCA" w:rsidP="00363BAE">
            <w:pPr>
              <w:spacing w:after="60"/>
              <w:rPr>
                <w:noProof/>
                <w:sz w:val="16"/>
                <w:szCs w:val="16"/>
              </w:rPr>
            </w:pPr>
          </w:p>
        </w:tc>
        <w:tc>
          <w:tcPr>
            <w:tcW w:w="709" w:type="dxa"/>
            <w:shd w:val="clear" w:color="auto" w:fill="FDE9D9" w:themeFill="accent6" w:themeFillTint="33"/>
          </w:tcPr>
          <w:p w14:paraId="3D11D4DB" w14:textId="77777777" w:rsidR="002D3BCA" w:rsidRPr="00CE2185" w:rsidRDefault="002D3BCA" w:rsidP="00363BAE">
            <w:pPr>
              <w:spacing w:after="60"/>
              <w:jc w:val="right"/>
              <w:rPr>
                <w:noProof/>
                <w:sz w:val="16"/>
                <w:szCs w:val="16"/>
              </w:rPr>
            </w:pPr>
            <w:r w:rsidRPr="00CE2185">
              <w:rPr>
                <w:noProof/>
                <w:sz w:val="16"/>
                <w:szCs w:val="16"/>
              </w:rPr>
              <w:t>10</w:t>
            </w:r>
          </w:p>
        </w:tc>
        <w:tc>
          <w:tcPr>
            <w:tcW w:w="708" w:type="dxa"/>
            <w:shd w:val="clear" w:color="auto" w:fill="FDE9D9" w:themeFill="accent6" w:themeFillTint="33"/>
          </w:tcPr>
          <w:p w14:paraId="701F9D1D" w14:textId="77777777" w:rsidR="002D3BCA" w:rsidRPr="00CE2185" w:rsidRDefault="002D3BCA" w:rsidP="00363BAE">
            <w:pPr>
              <w:spacing w:after="60"/>
              <w:jc w:val="right"/>
              <w:rPr>
                <w:noProof/>
                <w:sz w:val="16"/>
                <w:szCs w:val="16"/>
              </w:rPr>
            </w:pPr>
            <w:r w:rsidRPr="00CE2185">
              <w:rPr>
                <w:noProof/>
                <w:sz w:val="16"/>
                <w:szCs w:val="16"/>
              </w:rPr>
              <w:t>10</w:t>
            </w:r>
          </w:p>
        </w:tc>
        <w:tc>
          <w:tcPr>
            <w:tcW w:w="709" w:type="dxa"/>
            <w:shd w:val="clear" w:color="auto" w:fill="FDE9D9" w:themeFill="accent6" w:themeFillTint="33"/>
          </w:tcPr>
          <w:p w14:paraId="07DB4D49" w14:textId="77777777" w:rsidR="002D3BCA" w:rsidRPr="00CE2185" w:rsidRDefault="002D3BCA" w:rsidP="00363BAE">
            <w:pPr>
              <w:spacing w:after="60"/>
              <w:jc w:val="right"/>
              <w:rPr>
                <w:noProof/>
                <w:sz w:val="16"/>
                <w:szCs w:val="16"/>
              </w:rPr>
            </w:pPr>
            <w:r w:rsidRPr="00CE2185">
              <w:rPr>
                <w:noProof/>
                <w:sz w:val="16"/>
                <w:szCs w:val="16"/>
              </w:rPr>
              <w:t>10</w:t>
            </w:r>
          </w:p>
        </w:tc>
        <w:tc>
          <w:tcPr>
            <w:tcW w:w="709" w:type="dxa"/>
            <w:shd w:val="clear" w:color="auto" w:fill="FDE9D9" w:themeFill="accent6" w:themeFillTint="33"/>
          </w:tcPr>
          <w:p w14:paraId="0330A4CB" w14:textId="77777777" w:rsidR="002D3BCA" w:rsidRPr="00CE2185" w:rsidRDefault="002D3BCA" w:rsidP="00363BAE">
            <w:pPr>
              <w:spacing w:after="60"/>
              <w:jc w:val="right"/>
              <w:rPr>
                <w:noProof/>
                <w:sz w:val="16"/>
                <w:szCs w:val="16"/>
              </w:rPr>
            </w:pPr>
            <w:r w:rsidRPr="00CE2185">
              <w:rPr>
                <w:noProof/>
                <w:sz w:val="16"/>
                <w:szCs w:val="16"/>
              </w:rPr>
              <w:t>10</w:t>
            </w:r>
          </w:p>
        </w:tc>
        <w:tc>
          <w:tcPr>
            <w:tcW w:w="709" w:type="dxa"/>
            <w:shd w:val="clear" w:color="auto" w:fill="FDE9D9" w:themeFill="accent6" w:themeFillTint="33"/>
          </w:tcPr>
          <w:p w14:paraId="7C2EA6DB" w14:textId="77777777" w:rsidR="002D3BCA" w:rsidRPr="00CE2185" w:rsidRDefault="002D3BCA" w:rsidP="00363BAE">
            <w:pPr>
              <w:spacing w:after="60"/>
              <w:jc w:val="right"/>
              <w:rPr>
                <w:noProof/>
                <w:sz w:val="16"/>
                <w:szCs w:val="16"/>
              </w:rPr>
            </w:pPr>
            <w:r w:rsidRPr="00CE2185">
              <w:rPr>
                <w:noProof/>
                <w:sz w:val="16"/>
                <w:szCs w:val="16"/>
              </w:rPr>
              <w:t>10</w:t>
            </w:r>
          </w:p>
        </w:tc>
        <w:tc>
          <w:tcPr>
            <w:tcW w:w="1275" w:type="dxa"/>
            <w:shd w:val="clear" w:color="auto" w:fill="FDE9D9" w:themeFill="accent6" w:themeFillTint="33"/>
          </w:tcPr>
          <w:p w14:paraId="24C418B9" w14:textId="77777777" w:rsidR="002D3BCA" w:rsidRPr="00CE2185" w:rsidRDefault="002D3BCA" w:rsidP="00363BAE">
            <w:pPr>
              <w:spacing w:after="60"/>
              <w:jc w:val="right"/>
              <w:rPr>
                <w:noProof/>
                <w:sz w:val="16"/>
                <w:szCs w:val="16"/>
              </w:rPr>
            </w:pPr>
            <w:r w:rsidRPr="00CE2185">
              <w:rPr>
                <w:noProof/>
                <w:sz w:val="16"/>
                <w:szCs w:val="16"/>
              </w:rPr>
              <w:t>1 282 770</w:t>
            </w:r>
          </w:p>
        </w:tc>
        <w:tc>
          <w:tcPr>
            <w:tcW w:w="1266" w:type="dxa"/>
            <w:shd w:val="clear" w:color="auto" w:fill="FDE9D9" w:themeFill="accent6" w:themeFillTint="33"/>
          </w:tcPr>
          <w:p w14:paraId="11F530AD" w14:textId="77777777" w:rsidR="002D3BCA" w:rsidRPr="00CE2185" w:rsidRDefault="002D3BCA" w:rsidP="00363BAE">
            <w:pPr>
              <w:spacing w:after="60"/>
              <w:jc w:val="right"/>
              <w:rPr>
                <w:noProof/>
                <w:sz w:val="16"/>
                <w:szCs w:val="16"/>
              </w:rPr>
            </w:pPr>
            <w:r w:rsidRPr="00CE2185">
              <w:rPr>
                <w:noProof/>
                <w:sz w:val="16"/>
                <w:szCs w:val="16"/>
              </w:rPr>
              <w:t>6 413 850</w:t>
            </w:r>
          </w:p>
        </w:tc>
      </w:tr>
      <w:tr w:rsidR="00F31888" w:rsidRPr="00CE2185" w14:paraId="3D80007B" w14:textId="77777777" w:rsidTr="006529E5">
        <w:tc>
          <w:tcPr>
            <w:tcW w:w="2660" w:type="dxa"/>
            <w:shd w:val="clear" w:color="auto" w:fill="FDE9D9" w:themeFill="accent6" w:themeFillTint="33"/>
          </w:tcPr>
          <w:p w14:paraId="20F6BBC9" w14:textId="77777777" w:rsidR="002D3BCA" w:rsidRPr="00CE2185" w:rsidRDefault="002D3BCA" w:rsidP="00363BAE">
            <w:pPr>
              <w:spacing w:after="60"/>
              <w:rPr>
                <w:bCs/>
                <w:noProof/>
                <w:sz w:val="16"/>
                <w:szCs w:val="16"/>
              </w:rPr>
            </w:pPr>
            <w:r w:rsidRPr="00CE2185">
              <w:rPr>
                <w:bCs/>
                <w:noProof/>
                <w:sz w:val="16"/>
                <w:szCs w:val="16"/>
              </w:rPr>
              <w:t>CVD</w:t>
            </w:r>
          </w:p>
        </w:tc>
        <w:tc>
          <w:tcPr>
            <w:tcW w:w="1418" w:type="dxa"/>
            <w:shd w:val="clear" w:color="auto" w:fill="FDE9D9" w:themeFill="accent6" w:themeFillTint="33"/>
          </w:tcPr>
          <w:p w14:paraId="348ECB76" w14:textId="77777777" w:rsidR="002D3BCA" w:rsidRPr="00CE2185" w:rsidRDefault="002D3BCA" w:rsidP="00363BAE">
            <w:pPr>
              <w:spacing w:after="60"/>
              <w:rPr>
                <w:bCs/>
                <w:noProof/>
                <w:sz w:val="16"/>
                <w:szCs w:val="16"/>
              </w:rPr>
            </w:pPr>
          </w:p>
        </w:tc>
        <w:tc>
          <w:tcPr>
            <w:tcW w:w="709" w:type="dxa"/>
            <w:shd w:val="clear" w:color="auto" w:fill="FDE9D9" w:themeFill="accent6" w:themeFillTint="33"/>
          </w:tcPr>
          <w:p w14:paraId="6520459B" w14:textId="367E5006" w:rsidR="002D3BCA" w:rsidRPr="00CE2185" w:rsidRDefault="002D3BCA" w:rsidP="00363BAE">
            <w:pPr>
              <w:spacing w:after="60"/>
              <w:jc w:val="right"/>
              <w:rPr>
                <w:noProof/>
                <w:sz w:val="16"/>
                <w:szCs w:val="16"/>
              </w:rPr>
            </w:pPr>
            <w:r w:rsidRPr="00CE2185">
              <w:rPr>
                <w:noProof/>
                <w:sz w:val="16"/>
                <w:szCs w:val="16"/>
              </w:rPr>
              <w:t>15</w:t>
            </w:r>
          </w:p>
        </w:tc>
        <w:tc>
          <w:tcPr>
            <w:tcW w:w="708" w:type="dxa"/>
            <w:shd w:val="clear" w:color="auto" w:fill="FDE9D9" w:themeFill="accent6" w:themeFillTint="33"/>
          </w:tcPr>
          <w:p w14:paraId="221B400D" w14:textId="5C254547" w:rsidR="002D3BCA" w:rsidRPr="00CE2185" w:rsidRDefault="002D3BCA" w:rsidP="00363BAE">
            <w:pPr>
              <w:spacing w:after="60"/>
              <w:jc w:val="right"/>
              <w:rPr>
                <w:noProof/>
                <w:sz w:val="16"/>
                <w:szCs w:val="16"/>
              </w:rPr>
            </w:pPr>
            <w:r w:rsidRPr="00CE2185">
              <w:rPr>
                <w:noProof/>
                <w:sz w:val="16"/>
                <w:szCs w:val="16"/>
              </w:rPr>
              <w:t>15</w:t>
            </w:r>
          </w:p>
        </w:tc>
        <w:tc>
          <w:tcPr>
            <w:tcW w:w="709" w:type="dxa"/>
            <w:shd w:val="clear" w:color="auto" w:fill="FDE9D9" w:themeFill="accent6" w:themeFillTint="33"/>
          </w:tcPr>
          <w:p w14:paraId="0A74E60D" w14:textId="227E62DB" w:rsidR="002D3BCA" w:rsidRPr="00CE2185" w:rsidRDefault="002D3BCA" w:rsidP="00363BAE">
            <w:pPr>
              <w:spacing w:after="60"/>
              <w:jc w:val="right"/>
              <w:rPr>
                <w:noProof/>
                <w:sz w:val="16"/>
                <w:szCs w:val="16"/>
              </w:rPr>
            </w:pPr>
            <w:r w:rsidRPr="00CE2185">
              <w:rPr>
                <w:noProof/>
                <w:sz w:val="16"/>
                <w:szCs w:val="16"/>
              </w:rPr>
              <w:t>15</w:t>
            </w:r>
          </w:p>
        </w:tc>
        <w:tc>
          <w:tcPr>
            <w:tcW w:w="709" w:type="dxa"/>
            <w:shd w:val="clear" w:color="auto" w:fill="FDE9D9" w:themeFill="accent6" w:themeFillTint="33"/>
          </w:tcPr>
          <w:p w14:paraId="41AA4475" w14:textId="43C6C749" w:rsidR="002D3BCA" w:rsidRPr="00CE2185" w:rsidRDefault="002D3BCA" w:rsidP="00363BAE">
            <w:pPr>
              <w:spacing w:after="60"/>
              <w:jc w:val="right"/>
              <w:rPr>
                <w:noProof/>
                <w:sz w:val="16"/>
                <w:szCs w:val="16"/>
              </w:rPr>
            </w:pPr>
            <w:r w:rsidRPr="00CE2185">
              <w:rPr>
                <w:noProof/>
                <w:sz w:val="16"/>
                <w:szCs w:val="16"/>
              </w:rPr>
              <w:t>15</w:t>
            </w:r>
          </w:p>
        </w:tc>
        <w:tc>
          <w:tcPr>
            <w:tcW w:w="709" w:type="dxa"/>
            <w:shd w:val="clear" w:color="auto" w:fill="FDE9D9" w:themeFill="accent6" w:themeFillTint="33"/>
          </w:tcPr>
          <w:p w14:paraId="3C111E23" w14:textId="7556AF80" w:rsidR="002D3BCA" w:rsidRPr="00CE2185" w:rsidRDefault="002D3BCA" w:rsidP="00363BAE">
            <w:pPr>
              <w:spacing w:after="60"/>
              <w:jc w:val="right"/>
              <w:rPr>
                <w:noProof/>
                <w:sz w:val="16"/>
                <w:szCs w:val="16"/>
              </w:rPr>
            </w:pPr>
            <w:r w:rsidRPr="00CE2185">
              <w:rPr>
                <w:noProof/>
                <w:sz w:val="16"/>
                <w:szCs w:val="16"/>
              </w:rPr>
              <w:t>15</w:t>
            </w:r>
          </w:p>
        </w:tc>
        <w:tc>
          <w:tcPr>
            <w:tcW w:w="1275" w:type="dxa"/>
            <w:shd w:val="clear" w:color="auto" w:fill="FDE9D9" w:themeFill="accent6" w:themeFillTint="33"/>
          </w:tcPr>
          <w:p w14:paraId="77BDF230" w14:textId="27B58019" w:rsidR="002D3BCA" w:rsidRPr="00CE2185" w:rsidRDefault="002D3BCA" w:rsidP="00363BAE">
            <w:pPr>
              <w:spacing w:after="60"/>
              <w:jc w:val="right"/>
              <w:rPr>
                <w:noProof/>
                <w:sz w:val="16"/>
                <w:szCs w:val="16"/>
              </w:rPr>
            </w:pPr>
            <w:r w:rsidRPr="00CE2185">
              <w:rPr>
                <w:noProof/>
                <w:sz w:val="16"/>
                <w:szCs w:val="16"/>
              </w:rPr>
              <w:t>1 924 155</w:t>
            </w:r>
          </w:p>
        </w:tc>
        <w:tc>
          <w:tcPr>
            <w:tcW w:w="1266" w:type="dxa"/>
            <w:shd w:val="clear" w:color="auto" w:fill="FDE9D9" w:themeFill="accent6" w:themeFillTint="33"/>
          </w:tcPr>
          <w:p w14:paraId="4D011499" w14:textId="60EA74E6" w:rsidR="002D3BCA" w:rsidRPr="00CE2185" w:rsidRDefault="002D3BCA" w:rsidP="00363BAE">
            <w:pPr>
              <w:spacing w:after="60"/>
              <w:jc w:val="right"/>
              <w:rPr>
                <w:noProof/>
                <w:sz w:val="16"/>
                <w:szCs w:val="16"/>
              </w:rPr>
            </w:pPr>
            <w:r w:rsidRPr="00CE2185">
              <w:rPr>
                <w:noProof/>
                <w:sz w:val="16"/>
                <w:szCs w:val="16"/>
              </w:rPr>
              <w:t>9 620 775</w:t>
            </w:r>
          </w:p>
        </w:tc>
      </w:tr>
      <w:tr w:rsidR="00F31888" w:rsidRPr="00CE2185" w14:paraId="0CE6682A" w14:textId="77777777" w:rsidTr="006529E5">
        <w:tc>
          <w:tcPr>
            <w:tcW w:w="2660" w:type="dxa"/>
            <w:shd w:val="clear" w:color="auto" w:fill="FDE9D9" w:themeFill="accent6" w:themeFillTint="33"/>
          </w:tcPr>
          <w:p w14:paraId="729F52C9" w14:textId="21E6465E" w:rsidR="002D3BCA" w:rsidRPr="00CE2185" w:rsidRDefault="002D3BCA" w:rsidP="00363BAE">
            <w:pPr>
              <w:spacing w:after="60"/>
              <w:rPr>
                <w:noProof/>
                <w:sz w:val="16"/>
                <w:szCs w:val="16"/>
              </w:rPr>
            </w:pPr>
            <w:r w:rsidRPr="00CE2185">
              <w:rPr>
                <w:noProof/>
                <w:sz w:val="16"/>
                <w:szCs w:val="16"/>
              </w:rPr>
              <w:t>Mutual Assistance</w:t>
            </w:r>
            <w:r w:rsidR="001643F3" w:rsidRPr="00CE2185">
              <w:rPr>
                <w:noProof/>
                <w:sz w:val="16"/>
                <w:szCs w:val="16"/>
              </w:rPr>
              <w:t xml:space="preserve"> on NIS2</w:t>
            </w:r>
          </w:p>
        </w:tc>
        <w:tc>
          <w:tcPr>
            <w:tcW w:w="1418" w:type="dxa"/>
            <w:shd w:val="clear" w:color="auto" w:fill="FDE9D9" w:themeFill="accent6" w:themeFillTint="33"/>
          </w:tcPr>
          <w:p w14:paraId="6537DCA2" w14:textId="77777777" w:rsidR="002D3BCA" w:rsidRPr="00CE2185" w:rsidRDefault="002D3BCA" w:rsidP="00363BAE">
            <w:pPr>
              <w:spacing w:after="60"/>
              <w:rPr>
                <w:noProof/>
                <w:sz w:val="16"/>
                <w:szCs w:val="16"/>
              </w:rPr>
            </w:pPr>
          </w:p>
        </w:tc>
        <w:tc>
          <w:tcPr>
            <w:tcW w:w="709" w:type="dxa"/>
            <w:shd w:val="clear" w:color="auto" w:fill="FDE9D9" w:themeFill="accent6" w:themeFillTint="33"/>
          </w:tcPr>
          <w:p w14:paraId="2B18172F" w14:textId="77777777" w:rsidR="002D3BCA" w:rsidRPr="00CE2185" w:rsidRDefault="002D3BCA" w:rsidP="00363BAE">
            <w:pPr>
              <w:spacing w:after="60"/>
              <w:jc w:val="right"/>
              <w:rPr>
                <w:noProof/>
                <w:sz w:val="16"/>
                <w:szCs w:val="16"/>
              </w:rPr>
            </w:pPr>
            <w:r w:rsidRPr="00CE2185">
              <w:rPr>
                <w:noProof/>
                <w:sz w:val="16"/>
                <w:szCs w:val="16"/>
              </w:rPr>
              <w:t>4</w:t>
            </w:r>
          </w:p>
        </w:tc>
        <w:tc>
          <w:tcPr>
            <w:tcW w:w="708" w:type="dxa"/>
            <w:shd w:val="clear" w:color="auto" w:fill="FDE9D9" w:themeFill="accent6" w:themeFillTint="33"/>
          </w:tcPr>
          <w:p w14:paraId="563E21DE" w14:textId="77777777" w:rsidR="002D3BCA" w:rsidRPr="00CE2185" w:rsidRDefault="002D3BCA" w:rsidP="00363BAE">
            <w:pPr>
              <w:spacing w:after="60"/>
              <w:jc w:val="right"/>
              <w:rPr>
                <w:noProof/>
                <w:sz w:val="16"/>
                <w:szCs w:val="16"/>
              </w:rPr>
            </w:pPr>
            <w:r w:rsidRPr="00CE2185">
              <w:rPr>
                <w:noProof/>
                <w:sz w:val="16"/>
                <w:szCs w:val="16"/>
              </w:rPr>
              <w:t>4</w:t>
            </w:r>
          </w:p>
        </w:tc>
        <w:tc>
          <w:tcPr>
            <w:tcW w:w="709" w:type="dxa"/>
            <w:shd w:val="clear" w:color="auto" w:fill="FDE9D9" w:themeFill="accent6" w:themeFillTint="33"/>
          </w:tcPr>
          <w:p w14:paraId="28A6198B" w14:textId="77777777" w:rsidR="002D3BCA" w:rsidRPr="00CE2185" w:rsidRDefault="002D3BCA" w:rsidP="00363BAE">
            <w:pPr>
              <w:spacing w:after="60"/>
              <w:jc w:val="right"/>
              <w:rPr>
                <w:noProof/>
                <w:sz w:val="16"/>
                <w:szCs w:val="16"/>
              </w:rPr>
            </w:pPr>
            <w:r w:rsidRPr="00CE2185">
              <w:rPr>
                <w:noProof/>
                <w:sz w:val="16"/>
                <w:szCs w:val="16"/>
              </w:rPr>
              <w:t>4</w:t>
            </w:r>
          </w:p>
        </w:tc>
        <w:tc>
          <w:tcPr>
            <w:tcW w:w="709" w:type="dxa"/>
            <w:shd w:val="clear" w:color="auto" w:fill="FDE9D9" w:themeFill="accent6" w:themeFillTint="33"/>
          </w:tcPr>
          <w:p w14:paraId="072E9F73" w14:textId="77777777" w:rsidR="002D3BCA" w:rsidRPr="00CE2185" w:rsidRDefault="002D3BCA" w:rsidP="00363BAE">
            <w:pPr>
              <w:spacing w:after="60"/>
              <w:jc w:val="right"/>
              <w:rPr>
                <w:noProof/>
                <w:sz w:val="16"/>
                <w:szCs w:val="16"/>
              </w:rPr>
            </w:pPr>
            <w:r w:rsidRPr="00CE2185">
              <w:rPr>
                <w:noProof/>
                <w:sz w:val="16"/>
                <w:szCs w:val="16"/>
              </w:rPr>
              <w:t>4</w:t>
            </w:r>
          </w:p>
        </w:tc>
        <w:tc>
          <w:tcPr>
            <w:tcW w:w="709" w:type="dxa"/>
            <w:shd w:val="clear" w:color="auto" w:fill="FDE9D9" w:themeFill="accent6" w:themeFillTint="33"/>
          </w:tcPr>
          <w:p w14:paraId="22A7A9DD" w14:textId="77777777" w:rsidR="002D3BCA" w:rsidRPr="00CE2185" w:rsidRDefault="002D3BCA" w:rsidP="00363BAE">
            <w:pPr>
              <w:spacing w:after="60"/>
              <w:jc w:val="right"/>
              <w:rPr>
                <w:noProof/>
                <w:sz w:val="16"/>
                <w:szCs w:val="16"/>
              </w:rPr>
            </w:pPr>
            <w:r w:rsidRPr="00CE2185">
              <w:rPr>
                <w:noProof/>
                <w:sz w:val="16"/>
                <w:szCs w:val="16"/>
              </w:rPr>
              <w:t>4</w:t>
            </w:r>
          </w:p>
        </w:tc>
        <w:tc>
          <w:tcPr>
            <w:tcW w:w="1275" w:type="dxa"/>
            <w:shd w:val="clear" w:color="auto" w:fill="FDE9D9" w:themeFill="accent6" w:themeFillTint="33"/>
          </w:tcPr>
          <w:p w14:paraId="152C47C6" w14:textId="77777777" w:rsidR="002D3BCA" w:rsidRPr="00CE2185" w:rsidRDefault="002D3BCA" w:rsidP="00363BAE">
            <w:pPr>
              <w:spacing w:after="60"/>
              <w:jc w:val="right"/>
              <w:rPr>
                <w:noProof/>
                <w:sz w:val="16"/>
                <w:szCs w:val="16"/>
              </w:rPr>
            </w:pPr>
            <w:r w:rsidRPr="00CE2185">
              <w:rPr>
                <w:noProof/>
                <w:sz w:val="16"/>
                <w:szCs w:val="16"/>
              </w:rPr>
              <w:t>513 108</w:t>
            </w:r>
          </w:p>
        </w:tc>
        <w:tc>
          <w:tcPr>
            <w:tcW w:w="1266" w:type="dxa"/>
            <w:shd w:val="clear" w:color="auto" w:fill="FDE9D9" w:themeFill="accent6" w:themeFillTint="33"/>
          </w:tcPr>
          <w:p w14:paraId="5ECA2B27" w14:textId="77777777" w:rsidR="002D3BCA" w:rsidRPr="00CE2185" w:rsidRDefault="002D3BCA" w:rsidP="00363BAE">
            <w:pPr>
              <w:spacing w:after="60"/>
              <w:jc w:val="right"/>
              <w:rPr>
                <w:noProof/>
                <w:sz w:val="16"/>
                <w:szCs w:val="16"/>
              </w:rPr>
            </w:pPr>
            <w:r w:rsidRPr="00CE2185">
              <w:rPr>
                <w:noProof/>
                <w:sz w:val="16"/>
                <w:szCs w:val="16"/>
              </w:rPr>
              <w:t>2 565 540</w:t>
            </w:r>
          </w:p>
        </w:tc>
      </w:tr>
      <w:tr w:rsidR="000E7D75" w:rsidRPr="00CE2185" w14:paraId="1BD91E14" w14:textId="77777777" w:rsidTr="006529E5">
        <w:tc>
          <w:tcPr>
            <w:tcW w:w="2660" w:type="dxa"/>
            <w:shd w:val="clear" w:color="auto" w:fill="FDE9D9" w:themeFill="accent6" w:themeFillTint="33"/>
          </w:tcPr>
          <w:p w14:paraId="61D315EC" w14:textId="3FE9C4FA" w:rsidR="000E7D75" w:rsidRPr="00CE2185" w:rsidRDefault="000E7D75" w:rsidP="000E7D75">
            <w:pPr>
              <w:spacing w:after="60"/>
              <w:rPr>
                <w:noProof/>
                <w:sz w:val="16"/>
                <w:szCs w:val="16"/>
              </w:rPr>
            </w:pPr>
            <w:r w:rsidRPr="00CE2185">
              <w:rPr>
                <w:noProof/>
                <w:sz w:val="16"/>
                <w:szCs w:val="16"/>
              </w:rPr>
              <w:t xml:space="preserve">Support for critical sectors resilience </w:t>
            </w:r>
          </w:p>
        </w:tc>
        <w:tc>
          <w:tcPr>
            <w:tcW w:w="1418" w:type="dxa"/>
            <w:shd w:val="clear" w:color="auto" w:fill="FDE9D9" w:themeFill="accent6" w:themeFillTint="33"/>
          </w:tcPr>
          <w:p w14:paraId="79FCF26C" w14:textId="77777777" w:rsidR="000E7D75" w:rsidRPr="00CE2185" w:rsidRDefault="000E7D75" w:rsidP="000E7D75">
            <w:pPr>
              <w:spacing w:after="60"/>
              <w:rPr>
                <w:noProof/>
                <w:sz w:val="16"/>
                <w:szCs w:val="16"/>
              </w:rPr>
            </w:pPr>
          </w:p>
        </w:tc>
        <w:tc>
          <w:tcPr>
            <w:tcW w:w="709" w:type="dxa"/>
            <w:shd w:val="clear" w:color="auto" w:fill="FDE9D9" w:themeFill="accent6" w:themeFillTint="33"/>
          </w:tcPr>
          <w:p w14:paraId="77ED0474" w14:textId="5E93AFA7" w:rsidR="000E7D75" w:rsidRPr="00CE2185" w:rsidRDefault="000E7D75" w:rsidP="000E7D75">
            <w:pPr>
              <w:spacing w:after="60"/>
              <w:jc w:val="right"/>
              <w:rPr>
                <w:noProof/>
                <w:sz w:val="16"/>
                <w:szCs w:val="16"/>
              </w:rPr>
            </w:pPr>
            <w:r w:rsidRPr="00CE2185">
              <w:rPr>
                <w:noProof/>
                <w:sz w:val="16"/>
                <w:szCs w:val="16"/>
              </w:rPr>
              <w:t>5</w:t>
            </w:r>
          </w:p>
        </w:tc>
        <w:tc>
          <w:tcPr>
            <w:tcW w:w="708" w:type="dxa"/>
            <w:shd w:val="clear" w:color="auto" w:fill="FDE9D9" w:themeFill="accent6" w:themeFillTint="33"/>
          </w:tcPr>
          <w:p w14:paraId="5AD0D3A5" w14:textId="136878B8" w:rsidR="000E7D75" w:rsidRPr="00CE2185" w:rsidRDefault="000E7D75" w:rsidP="000E7D75">
            <w:pPr>
              <w:spacing w:after="60"/>
              <w:jc w:val="right"/>
              <w:rPr>
                <w:noProof/>
                <w:sz w:val="16"/>
                <w:szCs w:val="16"/>
              </w:rPr>
            </w:pPr>
            <w:r w:rsidRPr="00CE2185">
              <w:rPr>
                <w:noProof/>
                <w:sz w:val="16"/>
                <w:szCs w:val="16"/>
              </w:rPr>
              <w:t>5</w:t>
            </w:r>
          </w:p>
        </w:tc>
        <w:tc>
          <w:tcPr>
            <w:tcW w:w="709" w:type="dxa"/>
            <w:shd w:val="clear" w:color="auto" w:fill="FDE9D9" w:themeFill="accent6" w:themeFillTint="33"/>
          </w:tcPr>
          <w:p w14:paraId="18544460" w14:textId="23E7FFD6" w:rsidR="000E7D75" w:rsidRPr="00CE2185" w:rsidRDefault="000E7D75" w:rsidP="000E7D75">
            <w:pPr>
              <w:spacing w:after="60"/>
              <w:jc w:val="right"/>
              <w:rPr>
                <w:noProof/>
                <w:sz w:val="16"/>
                <w:szCs w:val="16"/>
              </w:rPr>
            </w:pPr>
            <w:r w:rsidRPr="00CE2185">
              <w:rPr>
                <w:noProof/>
                <w:sz w:val="16"/>
                <w:szCs w:val="16"/>
              </w:rPr>
              <w:t>5</w:t>
            </w:r>
          </w:p>
        </w:tc>
        <w:tc>
          <w:tcPr>
            <w:tcW w:w="709" w:type="dxa"/>
            <w:shd w:val="clear" w:color="auto" w:fill="FDE9D9" w:themeFill="accent6" w:themeFillTint="33"/>
          </w:tcPr>
          <w:p w14:paraId="73CFCBC6" w14:textId="6E483987" w:rsidR="000E7D75" w:rsidRPr="00CE2185" w:rsidRDefault="000E7D75" w:rsidP="000E7D75">
            <w:pPr>
              <w:spacing w:after="60"/>
              <w:jc w:val="right"/>
              <w:rPr>
                <w:noProof/>
                <w:sz w:val="16"/>
                <w:szCs w:val="16"/>
              </w:rPr>
            </w:pPr>
            <w:r w:rsidRPr="00CE2185">
              <w:rPr>
                <w:noProof/>
                <w:sz w:val="16"/>
                <w:szCs w:val="16"/>
              </w:rPr>
              <w:t>5</w:t>
            </w:r>
          </w:p>
        </w:tc>
        <w:tc>
          <w:tcPr>
            <w:tcW w:w="709" w:type="dxa"/>
            <w:shd w:val="clear" w:color="auto" w:fill="FDE9D9" w:themeFill="accent6" w:themeFillTint="33"/>
          </w:tcPr>
          <w:p w14:paraId="05C94DEA" w14:textId="1FA385C3" w:rsidR="000E7D75" w:rsidRPr="00CE2185" w:rsidRDefault="000E7D75" w:rsidP="000E7D75">
            <w:pPr>
              <w:spacing w:after="60"/>
              <w:jc w:val="right"/>
              <w:rPr>
                <w:noProof/>
                <w:sz w:val="16"/>
                <w:szCs w:val="16"/>
              </w:rPr>
            </w:pPr>
            <w:r w:rsidRPr="00CE2185">
              <w:rPr>
                <w:noProof/>
                <w:sz w:val="16"/>
                <w:szCs w:val="16"/>
              </w:rPr>
              <w:t>5</w:t>
            </w:r>
          </w:p>
        </w:tc>
        <w:tc>
          <w:tcPr>
            <w:tcW w:w="1275" w:type="dxa"/>
            <w:shd w:val="clear" w:color="auto" w:fill="FDE9D9" w:themeFill="accent6" w:themeFillTint="33"/>
          </w:tcPr>
          <w:p w14:paraId="16BEBB8A" w14:textId="2D648579" w:rsidR="000E7D75" w:rsidRPr="00CE2185" w:rsidRDefault="000E7D75" w:rsidP="000E7D75">
            <w:pPr>
              <w:spacing w:after="60"/>
              <w:jc w:val="right"/>
              <w:rPr>
                <w:noProof/>
                <w:sz w:val="16"/>
                <w:szCs w:val="16"/>
              </w:rPr>
            </w:pPr>
            <w:r w:rsidRPr="00CE2185">
              <w:rPr>
                <w:bCs/>
                <w:noProof/>
                <w:sz w:val="16"/>
                <w:szCs w:val="16"/>
              </w:rPr>
              <w:t>641 385</w:t>
            </w:r>
          </w:p>
        </w:tc>
        <w:tc>
          <w:tcPr>
            <w:tcW w:w="1266" w:type="dxa"/>
            <w:shd w:val="clear" w:color="auto" w:fill="FDE9D9" w:themeFill="accent6" w:themeFillTint="33"/>
          </w:tcPr>
          <w:p w14:paraId="2E2D5315" w14:textId="04614ADB" w:rsidR="000E7D75" w:rsidRPr="00CE2185" w:rsidRDefault="000E7D75" w:rsidP="000E7D75">
            <w:pPr>
              <w:spacing w:after="60"/>
              <w:jc w:val="right"/>
              <w:rPr>
                <w:noProof/>
                <w:sz w:val="16"/>
                <w:szCs w:val="16"/>
              </w:rPr>
            </w:pPr>
            <w:r w:rsidRPr="00CE2185">
              <w:rPr>
                <w:bCs/>
                <w:noProof/>
                <w:sz w:val="16"/>
                <w:szCs w:val="16"/>
              </w:rPr>
              <w:t>3 206 925</w:t>
            </w:r>
          </w:p>
        </w:tc>
      </w:tr>
      <w:tr w:rsidR="000E7D75" w:rsidRPr="00CE2185" w14:paraId="33D0833C" w14:textId="77777777" w:rsidTr="006529E5">
        <w:tc>
          <w:tcPr>
            <w:tcW w:w="2660" w:type="dxa"/>
            <w:shd w:val="clear" w:color="auto" w:fill="FDE9D9" w:themeFill="accent6" w:themeFillTint="33"/>
          </w:tcPr>
          <w:p w14:paraId="285CF88E" w14:textId="241DF755" w:rsidR="000E7D75" w:rsidRPr="00CE2185" w:rsidRDefault="000E7D75" w:rsidP="000E7D75">
            <w:pPr>
              <w:spacing w:after="60"/>
              <w:rPr>
                <w:bCs/>
                <w:noProof/>
                <w:sz w:val="16"/>
                <w:szCs w:val="16"/>
              </w:rPr>
            </w:pPr>
            <w:r w:rsidRPr="00CE2185">
              <w:rPr>
                <w:bCs/>
                <w:noProof/>
                <w:sz w:val="16"/>
                <w:szCs w:val="16"/>
              </w:rPr>
              <w:t>Skills scheme development</w:t>
            </w:r>
          </w:p>
        </w:tc>
        <w:tc>
          <w:tcPr>
            <w:tcW w:w="1418" w:type="dxa"/>
            <w:shd w:val="clear" w:color="auto" w:fill="FDE9D9" w:themeFill="accent6" w:themeFillTint="33"/>
          </w:tcPr>
          <w:p w14:paraId="11B8377B" w14:textId="77777777" w:rsidR="000E7D75" w:rsidRPr="00CE2185" w:rsidRDefault="000E7D75" w:rsidP="000E7D75">
            <w:pPr>
              <w:spacing w:after="60"/>
              <w:rPr>
                <w:bCs/>
                <w:noProof/>
                <w:sz w:val="16"/>
                <w:szCs w:val="16"/>
              </w:rPr>
            </w:pPr>
          </w:p>
        </w:tc>
        <w:tc>
          <w:tcPr>
            <w:tcW w:w="709" w:type="dxa"/>
            <w:shd w:val="clear" w:color="auto" w:fill="FDE9D9" w:themeFill="accent6" w:themeFillTint="33"/>
          </w:tcPr>
          <w:p w14:paraId="63351FA1" w14:textId="42C17CC3" w:rsidR="000E7D75" w:rsidRPr="00CE2185" w:rsidRDefault="000E7D75" w:rsidP="000E7D75">
            <w:pPr>
              <w:spacing w:after="60"/>
              <w:jc w:val="right"/>
              <w:rPr>
                <w:noProof/>
                <w:sz w:val="16"/>
                <w:szCs w:val="16"/>
              </w:rPr>
            </w:pPr>
            <w:r w:rsidRPr="00CE2185">
              <w:rPr>
                <w:noProof/>
                <w:sz w:val="16"/>
                <w:szCs w:val="16"/>
              </w:rPr>
              <w:t>2</w:t>
            </w:r>
          </w:p>
        </w:tc>
        <w:tc>
          <w:tcPr>
            <w:tcW w:w="708" w:type="dxa"/>
            <w:shd w:val="clear" w:color="auto" w:fill="FDE9D9" w:themeFill="accent6" w:themeFillTint="33"/>
          </w:tcPr>
          <w:p w14:paraId="080B5B4D" w14:textId="6F98DC11" w:rsidR="000E7D75" w:rsidRPr="00CE2185" w:rsidRDefault="000E7D75" w:rsidP="000E7D75">
            <w:pPr>
              <w:spacing w:after="60"/>
              <w:jc w:val="right"/>
              <w:rPr>
                <w:noProof/>
                <w:sz w:val="16"/>
                <w:szCs w:val="16"/>
              </w:rPr>
            </w:pPr>
            <w:r w:rsidRPr="00CE2185">
              <w:rPr>
                <w:noProof/>
                <w:sz w:val="16"/>
                <w:szCs w:val="16"/>
              </w:rPr>
              <w:t>2</w:t>
            </w:r>
          </w:p>
        </w:tc>
        <w:tc>
          <w:tcPr>
            <w:tcW w:w="709" w:type="dxa"/>
            <w:shd w:val="clear" w:color="auto" w:fill="FDE9D9" w:themeFill="accent6" w:themeFillTint="33"/>
          </w:tcPr>
          <w:p w14:paraId="36BA5D75" w14:textId="1D63FC2F" w:rsidR="000E7D75" w:rsidRPr="00CE2185" w:rsidRDefault="000E7D75" w:rsidP="000E7D75">
            <w:pPr>
              <w:spacing w:after="60"/>
              <w:jc w:val="right"/>
              <w:rPr>
                <w:noProof/>
                <w:sz w:val="16"/>
                <w:szCs w:val="16"/>
              </w:rPr>
            </w:pPr>
            <w:r w:rsidRPr="00CE2185">
              <w:rPr>
                <w:noProof/>
                <w:sz w:val="16"/>
                <w:szCs w:val="16"/>
              </w:rPr>
              <w:t>2</w:t>
            </w:r>
          </w:p>
        </w:tc>
        <w:tc>
          <w:tcPr>
            <w:tcW w:w="709" w:type="dxa"/>
            <w:shd w:val="clear" w:color="auto" w:fill="FDE9D9" w:themeFill="accent6" w:themeFillTint="33"/>
          </w:tcPr>
          <w:p w14:paraId="26A02C18" w14:textId="0D65BA8E" w:rsidR="000E7D75" w:rsidRPr="00CE2185" w:rsidRDefault="000E7D75" w:rsidP="000E7D75">
            <w:pPr>
              <w:spacing w:after="60"/>
              <w:jc w:val="right"/>
              <w:rPr>
                <w:noProof/>
                <w:sz w:val="16"/>
                <w:szCs w:val="16"/>
              </w:rPr>
            </w:pPr>
            <w:r w:rsidRPr="00CE2185">
              <w:rPr>
                <w:noProof/>
                <w:sz w:val="16"/>
                <w:szCs w:val="16"/>
              </w:rPr>
              <w:t>2</w:t>
            </w:r>
          </w:p>
        </w:tc>
        <w:tc>
          <w:tcPr>
            <w:tcW w:w="709" w:type="dxa"/>
            <w:shd w:val="clear" w:color="auto" w:fill="FDE9D9" w:themeFill="accent6" w:themeFillTint="33"/>
          </w:tcPr>
          <w:p w14:paraId="69C85F58" w14:textId="4D7E8EA9" w:rsidR="000E7D75" w:rsidRPr="00CE2185" w:rsidRDefault="000E7D75" w:rsidP="000E7D75">
            <w:pPr>
              <w:spacing w:after="60"/>
              <w:jc w:val="right"/>
              <w:rPr>
                <w:noProof/>
                <w:sz w:val="16"/>
                <w:szCs w:val="16"/>
              </w:rPr>
            </w:pPr>
            <w:r w:rsidRPr="00CE2185">
              <w:rPr>
                <w:noProof/>
                <w:sz w:val="16"/>
                <w:szCs w:val="16"/>
              </w:rPr>
              <w:t>2</w:t>
            </w:r>
          </w:p>
        </w:tc>
        <w:tc>
          <w:tcPr>
            <w:tcW w:w="1275" w:type="dxa"/>
            <w:shd w:val="clear" w:color="auto" w:fill="FDE9D9" w:themeFill="accent6" w:themeFillTint="33"/>
          </w:tcPr>
          <w:p w14:paraId="46FEAFE0" w14:textId="48D0C67A" w:rsidR="000E7D75" w:rsidRPr="00CE2185" w:rsidRDefault="000E7D75" w:rsidP="000E7D75">
            <w:pPr>
              <w:spacing w:after="60"/>
              <w:jc w:val="right"/>
              <w:rPr>
                <w:noProof/>
                <w:sz w:val="16"/>
                <w:szCs w:val="16"/>
              </w:rPr>
            </w:pPr>
            <w:r w:rsidRPr="00CE2185">
              <w:rPr>
                <w:noProof/>
                <w:sz w:val="16"/>
                <w:szCs w:val="16"/>
              </w:rPr>
              <w:t>256 554</w:t>
            </w:r>
          </w:p>
        </w:tc>
        <w:tc>
          <w:tcPr>
            <w:tcW w:w="1266" w:type="dxa"/>
            <w:shd w:val="clear" w:color="auto" w:fill="FDE9D9" w:themeFill="accent6" w:themeFillTint="33"/>
          </w:tcPr>
          <w:p w14:paraId="33ADF659" w14:textId="1CB2AB2B" w:rsidR="000E7D75" w:rsidRPr="00CE2185" w:rsidRDefault="000E7D75" w:rsidP="000E7D75">
            <w:pPr>
              <w:spacing w:after="60"/>
              <w:jc w:val="right"/>
              <w:rPr>
                <w:noProof/>
                <w:sz w:val="16"/>
                <w:szCs w:val="16"/>
              </w:rPr>
            </w:pPr>
            <w:r w:rsidRPr="00CE2185">
              <w:rPr>
                <w:noProof/>
                <w:sz w:val="16"/>
                <w:szCs w:val="16"/>
              </w:rPr>
              <w:t>1 282 770</w:t>
            </w:r>
          </w:p>
        </w:tc>
      </w:tr>
      <w:tr w:rsidR="000E7D75" w:rsidRPr="00CE2185" w14:paraId="344EF325" w14:textId="77777777" w:rsidTr="006529E5">
        <w:tc>
          <w:tcPr>
            <w:tcW w:w="2660" w:type="dxa"/>
            <w:shd w:val="clear" w:color="auto" w:fill="FDE9D9" w:themeFill="accent6" w:themeFillTint="33"/>
          </w:tcPr>
          <w:p w14:paraId="7E36C36F" w14:textId="6BBD8ECA" w:rsidR="000E7D75" w:rsidRPr="00CE2185" w:rsidRDefault="000E7D75" w:rsidP="000E7D75">
            <w:pPr>
              <w:spacing w:after="60"/>
              <w:rPr>
                <w:bCs/>
                <w:noProof/>
                <w:sz w:val="16"/>
                <w:szCs w:val="16"/>
              </w:rPr>
            </w:pPr>
            <w:r w:rsidRPr="00CE2185">
              <w:rPr>
                <w:bCs/>
                <w:noProof/>
                <w:sz w:val="16"/>
                <w:szCs w:val="16"/>
              </w:rPr>
              <w:t>Skills scheme maintenance</w:t>
            </w:r>
          </w:p>
        </w:tc>
        <w:tc>
          <w:tcPr>
            <w:tcW w:w="1418" w:type="dxa"/>
            <w:shd w:val="clear" w:color="auto" w:fill="FDE9D9" w:themeFill="accent6" w:themeFillTint="33"/>
          </w:tcPr>
          <w:p w14:paraId="15F471A9" w14:textId="77777777" w:rsidR="000E7D75" w:rsidRPr="00CE2185" w:rsidRDefault="000E7D75" w:rsidP="000E7D75">
            <w:pPr>
              <w:spacing w:after="60"/>
              <w:rPr>
                <w:bCs/>
                <w:noProof/>
                <w:sz w:val="16"/>
                <w:szCs w:val="16"/>
              </w:rPr>
            </w:pPr>
          </w:p>
        </w:tc>
        <w:tc>
          <w:tcPr>
            <w:tcW w:w="709" w:type="dxa"/>
            <w:shd w:val="clear" w:color="auto" w:fill="FDE9D9" w:themeFill="accent6" w:themeFillTint="33"/>
          </w:tcPr>
          <w:p w14:paraId="5DB92F71" w14:textId="1920A94A" w:rsidR="000E7D75" w:rsidRPr="00CE2185" w:rsidRDefault="000E7D75" w:rsidP="000E7D75">
            <w:pPr>
              <w:spacing w:after="60"/>
              <w:jc w:val="right"/>
              <w:rPr>
                <w:noProof/>
                <w:sz w:val="16"/>
                <w:szCs w:val="16"/>
              </w:rPr>
            </w:pPr>
            <w:r w:rsidRPr="00CE2185">
              <w:rPr>
                <w:noProof/>
                <w:sz w:val="16"/>
                <w:szCs w:val="16"/>
              </w:rPr>
              <w:t>6</w:t>
            </w:r>
          </w:p>
        </w:tc>
        <w:tc>
          <w:tcPr>
            <w:tcW w:w="708" w:type="dxa"/>
            <w:shd w:val="clear" w:color="auto" w:fill="FDE9D9" w:themeFill="accent6" w:themeFillTint="33"/>
          </w:tcPr>
          <w:p w14:paraId="245DF418" w14:textId="6C100C77" w:rsidR="000E7D75" w:rsidRPr="00CE2185" w:rsidRDefault="000E7D75" w:rsidP="000E7D75">
            <w:pPr>
              <w:spacing w:after="60"/>
              <w:jc w:val="right"/>
              <w:rPr>
                <w:noProof/>
                <w:sz w:val="16"/>
                <w:szCs w:val="16"/>
              </w:rPr>
            </w:pPr>
            <w:r w:rsidRPr="00CE2185">
              <w:rPr>
                <w:noProof/>
                <w:sz w:val="16"/>
                <w:szCs w:val="16"/>
              </w:rPr>
              <w:t>6</w:t>
            </w:r>
          </w:p>
        </w:tc>
        <w:tc>
          <w:tcPr>
            <w:tcW w:w="709" w:type="dxa"/>
            <w:shd w:val="clear" w:color="auto" w:fill="FDE9D9" w:themeFill="accent6" w:themeFillTint="33"/>
          </w:tcPr>
          <w:p w14:paraId="436A01BA" w14:textId="2EBA7D31" w:rsidR="000E7D75" w:rsidRPr="00CE2185" w:rsidRDefault="000E7D75" w:rsidP="000E7D75">
            <w:pPr>
              <w:spacing w:after="60"/>
              <w:jc w:val="right"/>
              <w:rPr>
                <w:noProof/>
                <w:sz w:val="16"/>
                <w:szCs w:val="16"/>
              </w:rPr>
            </w:pPr>
            <w:r w:rsidRPr="00CE2185">
              <w:rPr>
                <w:noProof/>
                <w:sz w:val="16"/>
                <w:szCs w:val="16"/>
              </w:rPr>
              <w:t>6</w:t>
            </w:r>
          </w:p>
        </w:tc>
        <w:tc>
          <w:tcPr>
            <w:tcW w:w="709" w:type="dxa"/>
            <w:shd w:val="clear" w:color="auto" w:fill="FDE9D9" w:themeFill="accent6" w:themeFillTint="33"/>
          </w:tcPr>
          <w:p w14:paraId="54D12193" w14:textId="1228BABF" w:rsidR="000E7D75" w:rsidRPr="00CE2185" w:rsidRDefault="000E7D75" w:rsidP="000E7D75">
            <w:pPr>
              <w:spacing w:after="60"/>
              <w:jc w:val="right"/>
              <w:rPr>
                <w:noProof/>
                <w:sz w:val="16"/>
                <w:szCs w:val="16"/>
              </w:rPr>
            </w:pPr>
            <w:r w:rsidRPr="00CE2185">
              <w:rPr>
                <w:noProof/>
                <w:sz w:val="16"/>
                <w:szCs w:val="16"/>
              </w:rPr>
              <w:t>6</w:t>
            </w:r>
          </w:p>
        </w:tc>
        <w:tc>
          <w:tcPr>
            <w:tcW w:w="709" w:type="dxa"/>
            <w:shd w:val="clear" w:color="auto" w:fill="FDE9D9" w:themeFill="accent6" w:themeFillTint="33"/>
          </w:tcPr>
          <w:p w14:paraId="7601D88B" w14:textId="3404EB54" w:rsidR="000E7D75" w:rsidRPr="00CE2185" w:rsidRDefault="000E7D75" w:rsidP="000E7D75">
            <w:pPr>
              <w:spacing w:after="60"/>
              <w:jc w:val="right"/>
              <w:rPr>
                <w:noProof/>
                <w:sz w:val="16"/>
                <w:szCs w:val="16"/>
              </w:rPr>
            </w:pPr>
            <w:r w:rsidRPr="00CE2185">
              <w:rPr>
                <w:noProof/>
                <w:sz w:val="16"/>
                <w:szCs w:val="16"/>
              </w:rPr>
              <w:t>6</w:t>
            </w:r>
          </w:p>
        </w:tc>
        <w:tc>
          <w:tcPr>
            <w:tcW w:w="1275" w:type="dxa"/>
            <w:shd w:val="clear" w:color="auto" w:fill="FDE9D9" w:themeFill="accent6" w:themeFillTint="33"/>
          </w:tcPr>
          <w:p w14:paraId="3FDD4C06" w14:textId="6996FECD" w:rsidR="000E7D75" w:rsidRPr="00CE2185" w:rsidRDefault="000E7D75" w:rsidP="000E7D75">
            <w:pPr>
              <w:spacing w:after="60"/>
              <w:jc w:val="right"/>
              <w:rPr>
                <w:noProof/>
                <w:sz w:val="16"/>
                <w:szCs w:val="16"/>
              </w:rPr>
            </w:pPr>
            <w:r w:rsidRPr="00CE2185">
              <w:rPr>
                <w:noProof/>
                <w:sz w:val="16"/>
                <w:szCs w:val="16"/>
              </w:rPr>
              <w:t>769 662</w:t>
            </w:r>
          </w:p>
        </w:tc>
        <w:tc>
          <w:tcPr>
            <w:tcW w:w="1266" w:type="dxa"/>
            <w:shd w:val="clear" w:color="auto" w:fill="FDE9D9" w:themeFill="accent6" w:themeFillTint="33"/>
          </w:tcPr>
          <w:p w14:paraId="27BA6204" w14:textId="409023BD" w:rsidR="000E7D75" w:rsidRPr="00CE2185" w:rsidRDefault="000E7D75" w:rsidP="000E7D75">
            <w:pPr>
              <w:spacing w:after="60"/>
              <w:jc w:val="right"/>
              <w:rPr>
                <w:noProof/>
                <w:sz w:val="16"/>
                <w:szCs w:val="16"/>
              </w:rPr>
            </w:pPr>
            <w:r w:rsidRPr="00CE2185">
              <w:rPr>
                <w:noProof/>
                <w:sz w:val="16"/>
                <w:szCs w:val="16"/>
              </w:rPr>
              <w:t>3 848 310</w:t>
            </w:r>
          </w:p>
        </w:tc>
      </w:tr>
      <w:tr w:rsidR="000E7D75" w:rsidRPr="00CE2185" w14:paraId="2211D3F4" w14:textId="77777777" w:rsidTr="006529E5">
        <w:trPr>
          <w:trHeight w:val="236"/>
        </w:trPr>
        <w:tc>
          <w:tcPr>
            <w:tcW w:w="2660" w:type="dxa"/>
            <w:shd w:val="clear" w:color="auto" w:fill="FDE9D9" w:themeFill="accent6" w:themeFillTint="33"/>
          </w:tcPr>
          <w:p w14:paraId="4A92871D" w14:textId="32CCFB4B" w:rsidR="000E7D75" w:rsidRPr="00CE2185" w:rsidRDefault="000E7D75" w:rsidP="000E7D75">
            <w:pPr>
              <w:spacing w:after="60"/>
              <w:rPr>
                <w:bCs/>
                <w:noProof/>
                <w:sz w:val="16"/>
                <w:szCs w:val="16"/>
              </w:rPr>
            </w:pPr>
            <w:r w:rsidRPr="00CE2185">
              <w:rPr>
                <w:bCs/>
                <w:noProof/>
                <w:sz w:val="16"/>
                <w:szCs w:val="16"/>
              </w:rPr>
              <w:t>CRA platform &amp; single-entry point</w:t>
            </w:r>
          </w:p>
        </w:tc>
        <w:tc>
          <w:tcPr>
            <w:tcW w:w="1418" w:type="dxa"/>
            <w:shd w:val="clear" w:color="auto" w:fill="FDE9D9" w:themeFill="accent6" w:themeFillTint="33"/>
          </w:tcPr>
          <w:p w14:paraId="72562D7D" w14:textId="595D8142" w:rsidR="000E7D75" w:rsidRPr="00CE2185" w:rsidRDefault="000E7D75" w:rsidP="000E7D75">
            <w:pPr>
              <w:spacing w:after="60"/>
              <w:rPr>
                <w:bCs/>
                <w:noProof/>
                <w:sz w:val="16"/>
                <w:szCs w:val="16"/>
              </w:rPr>
            </w:pPr>
          </w:p>
        </w:tc>
        <w:tc>
          <w:tcPr>
            <w:tcW w:w="709" w:type="dxa"/>
            <w:shd w:val="clear" w:color="auto" w:fill="FDE9D9" w:themeFill="accent6" w:themeFillTint="33"/>
          </w:tcPr>
          <w:p w14:paraId="6F1BF8F6" w14:textId="7F561CA2" w:rsidR="000E7D75" w:rsidRPr="00CE2185" w:rsidRDefault="00FE0FFF" w:rsidP="000E7D75">
            <w:pPr>
              <w:spacing w:after="60"/>
              <w:jc w:val="right"/>
              <w:rPr>
                <w:b/>
                <w:noProof/>
                <w:sz w:val="16"/>
                <w:szCs w:val="16"/>
              </w:rPr>
            </w:pPr>
            <w:r w:rsidRPr="00CE2185">
              <w:rPr>
                <w:noProof/>
                <w:sz w:val="16"/>
                <w:szCs w:val="16"/>
              </w:rPr>
              <w:t>23</w:t>
            </w:r>
          </w:p>
        </w:tc>
        <w:tc>
          <w:tcPr>
            <w:tcW w:w="708" w:type="dxa"/>
            <w:shd w:val="clear" w:color="auto" w:fill="FDE9D9" w:themeFill="accent6" w:themeFillTint="33"/>
          </w:tcPr>
          <w:p w14:paraId="1F2AEC95" w14:textId="5B5BEFF9" w:rsidR="000E7D75" w:rsidRPr="00CE2185" w:rsidRDefault="00C35DA5" w:rsidP="000E7D75">
            <w:pPr>
              <w:spacing w:after="60"/>
              <w:jc w:val="right"/>
              <w:rPr>
                <w:noProof/>
                <w:sz w:val="16"/>
                <w:szCs w:val="16"/>
              </w:rPr>
            </w:pPr>
            <w:r w:rsidRPr="00CE2185">
              <w:rPr>
                <w:noProof/>
                <w:sz w:val="16"/>
                <w:szCs w:val="16"/>
              </w:rPr>
              <w:t>23</w:t>
            </w:r>
          </w:p>
        </w:tc>
        <w:tc>
          <w:tcPr>
            <w:tcW w:w="709" w:type="dxa"/>
            <w:shd w:val="clear" w:color="auto" w:fill="FDE9D9" w:themeFill="accent6" w:themeFillTint="33"/>
          </w:tcPr>
          <w:p w14:paraId="4CC2C34E" w14:textId="1271FEF3" w:rsidR="000E7D75" w:rsidRPr="00CE2185" w:rsidRDefault="00C35DA5" w:rsidP="000E7D75">
            <w:pPr>
              <w:spacing w:after="60"/>
              <w:jc w:val="right"/>
              <w:rPr>
                <w:noProof/>
                <w:sz w:val="16"/>
                <w:szCs w:val="16"/>
              </w:rPr>
            </w:pPr>
            <w:r w:rsidRPr="00CE2185">
              <w:rPr>
                <w:noProof/>
                <w:sz w:val="16"/>
                <w:szCs w:val="16"/>
              </w:rPr>
              <w:t>23</w:t>
            </w:r>
          </w:p>
        </w:tc>
        <w:tc>
          <w:tcPr>
            <w:tcW w:w="709" w:type="dxa"/>
            <w:shd w:val="clear" w:color="auto" w:fill="FDE9D9" w:themeFill="accent6" w:themeFillTint="33"/>
          </w:tcPr>
          <w:p w14:paraId="66CB637F" w14:textId="68FB14B5" w:rsidR="000E7D75" w:rsidRPr="00CE2185" w:rsidRDefault="00C35DA5" w:rsidP="000E7D75">
            <w:pPr>
              <w:spacing w:after="60"/>
              <w:jc w:val="right"/>
              <w:rPr>
                <w:noProof/>
                <w:sz w:val="16"/>
                <w:szCs w:val="16"/>
              </w:rPr>
            </w:pPr>
            <w:r w:rsidRPr="00CE2185">
              <w:rPr>
                <w:noProof/>
                <w:sz w:val="16"/>
                <w:szCs w:val="16"/>
              </w:rPr>
              <w:t>23</w:t>
            </w:r>
          </w:p>
        </w:tc>
        <w:tc>
          <w:tcPr>
            <w:tcW w:w="709" w:type="dxa"/>
            <w:shd w:val="clear" w:color="auto" w:fill="FDE9D9" w:themeFill="accent6" w:themeFillTint="33"/>
          </w:tcPr>
          <w:p w14:paraId="23B4E903" w14:textId="78386008" w:rsidR="000E7D75" w:rsidRPr="00CE2185" w:rsidRDefault="00C35DA5" w:rsidP="000E7D75">
            <w:pPr>
              <w:spacing w:after="60"/>
              <w:jc w:val="right"/>
              <w:rPr>
                <w:noProof/>
                <w:sz w:val="16"/>
                <w:szCs w:val="16"/>
              </w:rPr>
            </w:pPr>
            <w:r w:rsidRPr="00CE2185">
              <w:rPr>
                <w:noProof/>
                <w:sz w:val="16"/>
                <w:szCs w:val="16"/>
              </w:rPr>
              <w:t>23</w:t>
            </w:r>
          </w:p>
        </w:tc>
        <w:tc>
          <w:tcPr>
            <w:tcW w:w="1275" w:type="dxa"/>
            <w:shd w:val="clear" w:color="auto" w:fill="FDE9D9" w:themeFill="accent6" w:themeFillTint="33"/>
          </w:tcPr>
          <w:p w14:paraId="6E5BE4D0" w14:textId="25C90254" w:rsidR="000E7D75" w:rsidRPr="00CE2185" w:rsidRDefault="00AC587D" w:rsidP="000E7D75">
            <w:pPr>
              <w:spacing w:after="60"/>
              <w:jc w:val="right"/>
              <w:rPr>
                <w:b/>
                <w:noProof/>
                <w:sz w:val="16"/>
                <w:szCs w:val="16"/>
              </w:rPr>
            </w:pPr>
            <w:r w:rsidRPr="00CE2185">
              <w:rPr>
                <w:noProof/>
                <w:sz w:val="16"/>
                <w:szCs w:val="16"/>
              </w:rPr>
              <w:t xml:space="preserve"> </w:t>
            </w:r>
            <w:r w:rsidR="00BA25B4" w:rsidRPr="00CE2185">
              <w:rPr>
                <w:noProof/>
                <w:sz w:val="16"/>
                <w:szCs w:val="16"/>
              </w:rPr>
              <w:t>2 950 371</w:t>
            </w:r>
          </w:p>
        </w:tc>
        <w:tc>
          <w:tcPr>
            <w:tcW w:w="1266" w:type="dxa"/>
            <w:shd w:val="clear" w:color="auto" w:fill="FDE9D9" w:themeFill="accent6" w:themeFillTint="33"/>
          </w:tcPr>
          <w:p w14:paraId="5665FFC4" w14:textId="052EA675" w:rsidR="000E7D75" w:rsidRPr="00CE2185" w:rsidRDefault="003C32EA" w:rsidP="000E7D75">
            <w:pPr>
              <w:spacing w:after="60"/>
              <w:jc w:val="right"/>
              <w:rPr>
                <w:bCs/>
                <w:noProof/>
                <w:sz w:val="16"/>
                <w:szCs w:val="16"/>
              </w:rPr>
            </w:pPr>
            <w:r w:rsidRPr="00CE2185">
              <w:rPr>
                <w:bCs/>
                <w:noProof/>
                <w:sz w:val="16"/>
                <w:szCs w:val="16"/>
              </w:rPr>
              <w:t xml:space="preserve"> 14 751 855</w:t>
            </w:r>
          </w:p>
        </w:tc>
      </w:tr>
      <w:tr w:rsidR="000E7D75" w:rsidRPr="00CE2185" w14:paraId="430658D2" w14:textId="77777777" w:rsidTr="006529E5">
        <w:trPr>
          <w:trHeight w:val="126"/>
        </w:trPr>
        <w:tc>
          <w:tcPr>
            <w:tcW w:w="2660" w:type="dxa"/>
            <w:shd w:val="clear" w:color="auto" w:fill="FDE9D9" w:themeFill="accent6" w:themeFillTint="33"/>
          </w:tcPr>
          <w:p w14:paraId="6626F1C5" w14:textId="77777777" w:rsidR="000E7D75" w:rsidRPr="00CE2185" w:rsidRDefault="000E7D75" w:rsidP="000E7D75">
            <w:pPr>
              <w:spacing w:after="60"/>
              <w:rPr>
                <w:bCs/>
                <w:noProof/>
                <w:sz w:val="16"/>
                <w:szCs w:val="16"/>
              </w:rPr>
            </w:pPr>
            <w:r w:rsidRPr="00CE2185">
              <w:rPr>
                <w:bCs/>
                <w:noProof/>
                <w:sz w:val="16"/>
                <w:szCs w:val="16"/>
              </w:rPr>
              <w:t>CRA implementation</w:t>
            </w:r>
          </w:p>
        </w:tc>
        <w:tc>
          <w:tcPr>
            <w:tcW w:w="1418" w:type="dxa"/>
            <w:shd w:val="clear" w:color="auto" w:fill="FDE9D9" w:themeFill="accent6" w:themeFillTint="33"/>
          </w:tcPr>
          <w:p w14:paraId="7F15FD09" w14:textId="7334A8F9" w:rsidR="000E7D75" w:rsidRPr="00CE2185" w:rsidRDefault="000E7D75" w:rsidP="000E7D75">
            <w:pPr>
              <w:spacing w:after="60"/>
              <w:rPr>
                <w:bCs/>
                <w:noProof/>
                <w:sz w:val="16"/>
                <w:szCs w:val="16"/>
              </w:rPr>
            </w:pPr>
          </w:p>
        </w:tc>
        <w:tc>
          <w:tcPr>
            <w:tcW w:w="709" w:type="dxa"/>
            <w:shd w:val="clear" w:color="auto" w:fill="FDE9D9" w:themeFill="accent6" w:themeFillTint="33"/>
          </w:tcPr>
          <w:p w14:paraId="099946BF" w14:textId="593F49CE" w:rsidR="000E7D75" w:rsidRPr="00CE2185" w:rsidRDefault="000E7D75" w:rsidP="000E7D75">
            <w:pPr>
              <w:spacing w:after="60"/>
              <w:jc w:val="right"/>
              <w:rPr>
                <w:noProof/>
                <w:sz w:val="16"/>
                <w:szCs w:val="16"/>
              </w:rPr>
            </w:pPr>
            <w:r w:rsidRPr="00CE2185">
              <w:rPr>
                <w:noProof/>
                <w:sz w:val="16"/>
                <w:szCs w:val="16"/>
              </w:rPr>
              <w:t>22</w:t>
            </w:r>
          </w:p>
        </w:tc>
        <w:tc>
          <w:tcPr>
            <w:tcW w:w="708" w:type="dxa"/>
            <w:shd w:val="clear" w:color="auto" w:fill="FDE9D9" w:themeFill="accent6" w:themeFillTint="33"/>
          </w:tcPr>
          <w:p w14:paraId="583BC642" w14:textId="7AFA1996" w:rsidR="000E7D75" w:rsidRPr="00CE2185" w:rsidRDefault="000E7D75" w:rsidP="000E7D75">
            <w:pPr>
              <w:spacing w:after="60"/>
              <w:jc w:val="right"/>
              <w:rPr>
                <w:noProof/>
                <w:sz w:val="16"/>
                <w:szCs w:val="16"/>
              </w:rPr>
            </w:pPr>
            <w:r w:rsidRPr="00CE2185">
              <w:rPr>
                <w:noProof/>
                <w:sz w:val="16"/>
                <w:szCs w:val="16"/>
              </w:rPr>
              <w:t>22</w:t>
            </w:r>
          </w:p>
        </w:tc>
        <w:tc>
          <w:tcPr>
            <w:tcW w:w="709" w:type="dxa"/>
            <w:shd w:val="clear" w:color="auto" w:fill="FDE9D9" w:themeFill="accent6" w:themeFillTint="33"/>
          </w:tcPr>
          <w:p w14:paraId="0831A6A6" w14:textId="1602D49D" w:rsidR="000E7D75" w:rsidRPr="00CE2185" w:rsidRDefault="000E7D75" w:rsidP="000E7D75">
            <w:pPr>
              <w:spacing w:after="60"/>
              <w:jc w:val="right"/>
              <w:rPr>
                <w:noProof/>
                <w:sz w:val="16"/>
                <w:szCs w:val="16"/>
              </w:rPr>
            </w:pPr>
            <w:r w:rsidRPr="00CE2185">
              <w:rPr>
                <w:noProof/>
                <w:sz w:val="16"/>
                <w:szCs w:val="16"/>
              </w:rPr>
              <w:t>22</w:t>
            </w:r>
          </w:p>
        </w:tc>
        <w:tc>
          <w:tcPr>
            <w:tcW w:w="709" w:type="dxa"/>
            <w:shd w:val="clear" w:color="auto" w:fill="FDE9D9" w:themeFill="accent6" w:themeFillTint="33"/>
          </w:tcPr>
          <w:p w14:paraId="73D2EB85" w14:textId="6896C5C9" w:rsidR="000E7D75" w:rsidRPr="00CE2185" w:rsidRDefault="000E7D75" w:rsidP="000E7D75">
            <w:pPr>
              <w:spacing w:after="60"/>
              <w:jc w:val="right"/>
              <w:rPr>
                <w:noProof/>
                <w:sz w:val="16"/>
                <w:szCs w:val="16"/>
              </w:rPr>
            </w:pPr>
            <w:r w:rsidRPr="00CE2185">
              <w:rPr>
                <w:noProof/>
                <w:sz w:val="16"/>
                <w:szCs w:val="16"/>
              </w:rPr>
              <w:t>22</w:t>
            </w:r>
          </w:p>
        </w:tc>
        <w:tc>
          <w:tcPr>
            <w:tcW w:w="709" w:type="dxa"/>
            <w:shd w:val="clear" w:color="auto" w:fill="FDE9D9" w:themeFill="accent6" w:themeFillTint="33"/>
          </w:tcPr>
          <w:p w14:paraId="7DA23683" w14:textId="093B01C9" w:rsidR="000E7D75" w:rsidRPr="00CE2185" w:rsidRDefault="000E7D75" w:rsidP="000E7D75">
            <w:pPr>
              <w:spacing w:after="60"/>
              <w:jc w:val="right"/>
              <w:rPr>
                <w:noProof/>
                <w:sz w:val="16"/>
                <w:szCs w:val="16"/>
              </w:rPr>
            </w:pPr>
            <w:r w:rsidRPr="00CE2185">
              <w:rPr>
                <w:noProof/>
                <w:sz w:val="16"/>
                <w:szCs w:val="16"/>
              </w:rPr>
              <w:t>22</w:t>
            </w:r>
          </w:p>
        </w:tc>
        <w:tc>
          <w:tcPr>
            <w:tcW w:w="1275" w:type="dxa"/>
            <w:shd w:val="clear" w:color="auto" w:fill="FDE9D9" w:themeFill="accent6" w:themeFillTint="33"/>
          </w:tcPr>
          <w:p w14:paraId="531240B1" w14:textId="231C614C" w:rsidR="000E7D75" w:rsidRPr="00CE2185" w:rsidRDefault="000E7D75" w:rsidP="000E7D75">
            <w:pPr>
              <w:spacing w:after="60"/>
              <w:jc w:val="right"/>
              <w:rPr>
                <w:noProof/>
                <w:sz w:val="16"/>
                <w:szCs w:val="16"/>
              </w:rPr>
            </w:pPr>
            <w:r w:rsidRPr="00CE2185">
              <w:rPr>
                <w:noProof/>
                <w:sz w:val="16"/>
                <w:szCs w:val="16"/>
              </w:rPr>
              <w:t>2 822 094</w:t>
            </w:r>
          </w:p>
        </w:tc>
        <w:tc>
          <w:tcPr>
            <w:tcW w:w="1266" w:type="dxa"/>
            <w:shd w:val="clear" w:color="auto" w:fill="FDE9D9" w:themeFill="accent6" w:themeFillTint="33"/>
          </w:tcPr>
          <w:p w14:paraId="7E489EF0" w14:textId="6FD6DA1D" w:rsidR="000E7D75" w:rsidRPr="00CE2185" w:rsidRDefault="000E7D75" w:rsidP="000E7D75">
            <w:pPr>
              <w:spacing w:after="60"/>
              <w:jc w:val="right"/>
              <w:rPr>
                <w:bCs/>
                <w:noProof/>
                <w:sz w:val="16"/>
                <w:szCs w:val="16"/>
              </w:rPr>
            </w:pPr>
            <w:r w:rsidRPr="00CE2185">
              <w:rPr>
                <w:bCs/>
                <w:noProof/>
                <w:sz w:val="16"/>
                <w:szCs w:val="16"/>
              </w:rPr>
              <w:t>14 110 470 </w:t>
            </w:r>
          </w:p>
        </w:tc>
      </w:tr>
      <w:tr w:rsidR="000E7D75" w:rsidRPr="00CE2185" w14:paraId="4FA62AF2" w14:textId="77777777" w:rsidTr="006529E5">
        <w:trPr>
          <w:trHeight w:val="227"/>
        </w:trPr>
        <w:tc>
          <w:tcPr>
            <w:tcW w:w="2660" w:type="dxa"/>
            <w:shd w:val="clear" w:color="auto" w:fill="FDE9D9" w:themeFill="accent6" w:themeFillTint="33"/>
          </w:tcPr>
          <w:p w14:paraId="11BAB7D4" w14:textId="77777777" w:rsidR="000E7D75" w:rsidRPr="00CE2185" w:rsidRDefault="000E7D75" w:rsidP="000E7D75">
            <w:pPr>
              <w:spacing w:after="60"/>
              <w:rPr>
                <w:bCs/>
                <w:noProof/>
                <w:sz w:val="16"/>
                <w:szCs w:val="16"/>
              </w:rPr>
            </w:pPr>
            <w:r w:rsidRPr="00CE2185">
              <w:rPr>
                <w:bCs/>
                <w:noProof/>
                <w:sz w:val="16"/>
                <w:szCs w:val="16"/>
              </w:rPr>
              <w:t>Operational cooperation</w:t>
            </w:r>
          </w:p>
        </w:tc>
        <w:tc>
          <w:tcPr>
            <w:tcW w:w="1418" w:type="dxa"/>
            <w:shd w:val="clear" w:color="auto" w:fill="FDE9D9" w:themeFill="accent6" w:themeFillTint="33"/>
          </w:tcPr>
          <w:p w14:paraId="432AFE82" w14:textId="77777777" w:rsidR="000E7D75" w:rsidRPr="00CE2185" w:rsidRDefault="000E7D75" w:rsidP="000E7D75">
            <w:pPr>
              <w:spacing w:after="60"/>
              <w:rPr>
                <w:bCs/>
                <w:noProof/>
                <w:sz w:val="16"/>
                <w:szCs w:val="16"/>
              </w:rPr>
            </w:pPr>
          </w:p>
        </w:tc>
        <w:tc>
          <w:tcPr>
            <w:tcW w:w="709" w:type="dxa"/>
            <w:shd w:val="clear" w:color="auto" w:fill="FDE9D9" w:themeFill="accent6" w:themeFillTint="33"/>
          </w:tcPr>
          <w:p w14:paraId="6372876F" w14:textId="77777777" w:rsidR="000E7D75" w:rsidRPr="00CE2185" w:rsidRDefault="000E7D75" w:rsidP="000E7D75">
            <w:pPr>
              <w:spacing w:after="60"/>
              <w:jc w:val="right"/>
              <w:rPr>
                <w:bCs/>
                <w:noProof/>
                <w:sz w:val="16"/>
                <w:szCs w:val="16"/>
              </w:rPr>
            </w:pPr>
            <w:r w:rsidRPr="00CE2185">
              <w:rPr>
                <w:bCs/>
                <w:noProof/>
                <w:sz w:val="16"/>
                <w:szCs w:val="16"/>
              </w:rPr>
              <w:t>5</w:t>
            </w:r>
          </w:p>
        </w:tc>
        <w:tc>
          <w:tcPr>
            <w:tcW w:w="708" w:type="dxa"/>
            <w:shd w:val="clear" w:color="auto" w:fill="FDE9D9" w:themeFill="accent6" w:themeFillTint="33"/>
          </w:tcPr>
          <w:p w14:paraId="3BC28EBB" w14:textId="77777777" w:rsidR="000E7D75" w:rsidRPr="00CE2185" w:rsidRDefault="000E7D75" w:rsidP="000E7D75">
            <w:pPr>
              <w:spacing w:after="60"/>
              <w:jc w:val="right"/>
              <w:rPr>
                <w:bCs/>
                <w:noProof/>
                <w:sz w:val="16"/>
                <w:szCs w:val="16"/>
              </w:rPr>
            </w:pPr>
            <w:r w:rsidRPr="00CE2185">
              <w:rPr>
                <w:bCs/>
                <w:noProof/>
                <w:sz w:val="16"/>
                <w:szCs w:val="16"/>
              </w:rPr>
              <w:t>5</w:t>
            </w:r>
          </w:p>
        </w:tc>
        <w:tc>
          <w:tcPr>
            <w:tcW w:w="709" w:type="dxa"/>
            <w:shd w:val="clear" w:color="auto" w:fill="FDE9D9" w:themeFill="accent6" w:themeFillTint="33"/>
          </w:tcPr>
          <w:p w14:paraId="31EA7ADE" w14:textId="77777777" w:rsidR="000E7D75" w:rsidRPr="00CE2185" w:rsidRDefault="000E7D75" w:rsidP="000E7D75">
            <w:pPr>
              <w:spacing w:after="60"/>
              <w:jc w:val="right"/>
              <w:rPr>
                <w:bCs/>
                <w:noProof/>
                <w:sz w:val="16"/>
                <w:szCs w:val="16"/>
              </w:rPr>
            </w:pPr>
            <w:r w:rsidRPr="00CE2185">
              <w:rPr>
                <w:bCs/>
                <w:noProof/>
                <w:sz w:val="16"/>
                <w:szCs w:val="16"/>
              </w:rPr>
              <w:t>5</w:t>
            </w:r>
          </w:p>
        </w:tc>
        <w:tc>
          <w:tcPr>
            <w:tcW w:w="709" w:type="dxa"/>
            <w:shd w:val="clear" w:color="auto" w:fill="FDE9D9" w:themeFill="accent6" w:themeFillTint="33"/>
          </w:tcPr>
          <w:p w14:paraId="0B7875D0" w14:textId="77777777" w:rsidR="000E7D75" w:rsidRPr="00CE2185" w:rsidRDefault="000E7D75" w:rsidP="000E7D75">
            <w:pPr>
              <w:spacing w:after="60"/>
              <w:jc w:val="right"/>
              <w:rPr>
                <w:bCs/>
                <w:noProof/>
                <w:sz w:val="16"/>
                <w:szCs w:val="16"/>
              </w:rPr>
            </w:pPr>
            <w:r w:rsidRPr="00CE2185">
              <w:rPr>
                <w:bCs/>
                <w:noProof/>
                <w:sz w:val="16"/>
                <w:szCs w:val="16"/>
              </w:rPr>
              <w:t>5</w:t>
            </w:r>
          </w:p>
        </w:tc>
        <w:tc>
          <w:tcPr>
            <w:tcW w:w="709" w:type="dxa"/>
            <w:shd w:val="clear" w:color="auto" w:fill="FDE9D9" w:themeFill="accent6" w:themeFillTint="33"/>
          </w:tcPr>
          <w:p w14:paraId="274C53E7" w14:textId="77777777" w:rsidR="000E7D75" w:rsidRPr="00CE2185" w:rsidRDefault="000E7D75" w:rsidP="000E7D75">
            <w:pPr>
              <w:spacing w:after="60"/>
              <w:jc w:val="right"/>
              <w:rPr>
                <w:bCs/>
                <w:noProof/>
                <w:sz w:val="16"/>
                <w:szCs w:val="16"/>
              </w:rPr>
            </w:pPr>
            <w:r w:rsidRPr="00CE2185">
              <w:rPr>
                <w:bCs/>
                <w:noProof/>
                <w:sz w:val="16"/>
                <w:szCs w:val="16"/>
              </w:rPr>
              <w:t>5</w:t>
            </w:r>
          </w:p>
        </w:tc>
        <w:tc>
          <w:tcPr>
            <w:tcW w:w="1275" w:type="dxa"/>
            <w:shd w:val="clear" w:color="auto" w:fill="FDE9D9" w:themeFill="accent6" w:themeFillTint="33"/>
          </w:tcPr>
          <w:p w14:paraId="363B8642" w14:textId="77777777" w:rsidR="000E7D75" w:rsidRPr="00CE2185" w:rsidRDefault="000E7D75" w:rsidP="000E7D75">
            <w:pPr>
              <w:spacing w:after="60"/>
              <w:jc w:val="right"/>
              <w:rPr>
                <w:bCs/>
                <w:noProof/>
                <w:sz w:val="16"/>
                <w:szCs w:val="16"/>
              </w:rPr>
            </w:pPr>
            <w:r w:rsidRPr="00CE2185">
              <w:rPr>
                <w:bCs/>
                <w:noProof/>
                <w:sz w:val="16"/>
                <w:szCs w:val="16"/>
              </w:rPr>
              <w:t>641 385</w:t>
            </w:r>
          </w:p>
        </w:tc>
        <w:tc>
          <w:tcPr>
            <w:tcW w:w="1266" w:type="dxa"/>
            <w:shd w:val="clear" w:color="auto" w:fill="FDE9D9" w:themeFill="accent6" w:themeFillTint="33"/>
          </w:tcPr>
          <w:p w14:paraId="249A5471" w14:textId="77777777" w:rsidR="000E7D75" w:rsidRPr="00CE2185" w:rsidRDefault="000E7D75" w:rsidP="000E7D75">
            <w:pPr>
              <w:spacing w:after="60"/>
              <w:jc w:val="right"/>
              <w:rPr>
                <w:bCs/>
                <w:noProof/>
                <w:sz w:val="16"/>
                <w:szCs w:val="16"/>
              </w:rPr>
            </w:pPr>
            <w:r w:rsidRPr="00CE2185">
              <w:rPr>
                <w:bCs/>
                <w:noProof/>
                <w:sz w:val="16"/>
                <w:szCs w:val="16"/>
              </w:rPr>
              <w:t>3 206 925</w:t>
            </w:r>
          </w:p>
        </w:tc>
      </w:tr>
      <w:tr w:rsidR="000E7D75" w:rsidRPr="00CE2185" w14:paraId="2858C092" w14:textId="77777777" w:rsidTr="006529E5">
        <w:trPr>
          <w:trHeight w:val="176"/>
        </w:trPr>
        <w:tc>
          <w:tcPr>
            <w:tcW w:w="2660" w:type="dxa"/>
            <w:shd w:val="clear" w:color="auto" w:fill="FDE9D9" w:themeFill="accent6" w:themeFillTint="33"/>
          </w:tcPr>
          <w:p w14:paraId="34CA7316" w14:textId="77777777" w:rsidR="000E7D75" w:rsidRPr="00CE2185" w:rsidRDefault="000E7D75" w:rsidP="000E7D75">
            <w:pPr>
              <w:spacing w:after="60"/>
              <w:rPr>
                <w:bCs/>
                <w:noProof/>
                <w:sz w:val="16"/>
                <w:szCs w:val="16"/>
              </w:rPr>
            </w:pPr>
            <w:r w:rsidRPr="00CE2185">
              <w:rPr>
                <w:bCs/>
                <w:noProof/>
                <w:sz w:val="16"/>
                <w:szCs w:val="16"/>
              </w:rPr>
              <w:t>Admin</w:t>
            </w:r>
          </w:p>
        </w:tc>
        <w:tc>
          <w:tcPr>
            <w:tcW w:w="1418" w:type="dxa"/>
            <w:shd w:val="clear" w:color="auto" w:fill="FDE9D9" w:themeFill="accent6" w:themeFillTint="33"/>
          </w:tcPr>
          <w:p w14:paraId="55ADDF6B" w14:textId="77777777" w:rsidR="000E7D75" w:rsidRPr="00CE2185" w:rsidRDefault="000E7D75" w:rsidP="000E7D75">
            <w:pPr>
              <w:spacing w:after="60"/>
              <w:rPr>
                <w:b/>
                <w:noProof/>
                <w:sz w:val="16"/>
                <w:szCs w:val="16"/>
              </w:rPr>
            </w:pPr>
          </w:p>
        </w:tc>
        <w:tc>
          <w:tcPr>
            <w:tcW w:w="709" w:type="dxa"/>
            <w:shd w:val="clear" w:color="auto" w:fill="FDE9D9" w:themeFill="accent6" w:themeFillTint="33"/>
          </w:tcPr>
          <w:p w14:paraId="0A60F034" w14:textId="207A8006" w:rsidR="000E7D75" w:rsidRPr="00CE2185" w:rsidRDefault="000E7D75" w:rsidP="000E7D75">
            <w:pPr>
              <w:spacing w:after="60"/>
              <w:jc w:val="right"/>
              <w:rPr>
                <w:bCs/>
                <w:noProof/>
                <w:sz w:val="16"/>
                <w:szCs w:val="16"/>
              </w:rPr>
            </w:pPr>
            <w:r w:rsidRPr="00CE2185">
              <w:rPr>
                <w:bCs/>
                <w:noProof/>
                <w:sz w:val="16"/>
                <w:szCs w:val="16"/>
              </w:rPr>
              <w:t>10</w:t>
            </w:r>
          </w:p>
        </w:tc>
        <w:tc>
          <w:tcPr>
            <w:tcW w:w="708" w:type="dxa"/>
            <w:shd w:val="clear" w:color="auto" w:fill="FDE9D9" w:themeFill="accent6" w:themeFillTint="33"/>
          </w:tcPr>
          <w:p w14:paraId="43EBB6AF" w14:textId="168E38D4" w:rsidR="000E7D75" w:rsidRPr="00CE2185" w:rsidRDefault="000E7D75" w:rsidP="000E7D75">
            <w:pPr>
              <w:spacing w:after="60"/>
              <w:jc w:val="right"/>
              <w:rPr>
                <w:bCs/>
                <w:noProof/>
                <w:sz w:val="16"/>
                <w:szCs w:val="16"/>
              </w:rPr>
            </w:pPr>
            <w:r w:rsidRPr="00CE2185">
              <w:rPr>
                <w:bCs/>
                <w:noProof/>
                <w:sz w:val="16"/>
                <w:szCs w:val="16"/>
              </w:rPr>
              <w:t>10</w:t>
            </w:r>
          </w:p>
        </w:tc>
        <w:tc>
          <w:tcPr>
            <w:tcW w:w="709" w:type="dxa"/>
            <w:shd w:val="clear" w:color="auto" w:fill="FDE9D9" w:themeFill="accent6" w:themeFillTint="33"/>
          </w:tcPr>
          <w:p w14:paraId="44CC2F77" w14:textId="6926DDE7" w:rsidR="000E7D75" w:rsidRPr="00CE2185" w:rsidRDefault="000E7D75" w:rsidP="000E7D75">
            <w:pPr>
              <w:spacing w:after="60"/>
              <w:jc w:val="right"/>
              <w:rPr>
                <w:bCs/>
                <w:noProof/>
                <w:sz w:val="16"/>
                <w:szCs w:val="16"/>
              </w:rPr>
            </w:pPr>
            <w:r w:rsidRPr="00CE2185">
              <w:rPr>
                <w:bCs/>
                <w:noProof/>
                <w:sz w:val="16"/>
                <w:szCs w:val="16"/>
              </w:rPr>
              <w:t>10</w:t>
            </w:r>
          </w:p>
        </w:tc>
        <w:tc>
          <w:tcPr>
            <w:tcW w:w="709" w:type="dxa"/>
            <w:shd w:val="clear" w:color="auto" w:fill="FDE9D9" w:themeFill="accent6" w:themeFillTint="33"/>
          </w:tcPr>
          <w:p w14:paraId="6845C48A" w14:textId="131BCC4D" w:rsidR="000E7D75" w:rsidRPr="00CE2185" w:rsidRDefault="000E7D75" w:rsidP="000E7D75">
            <w:pPr>
              <w:spacing w:after="60"/>
              <w:jc w:val="right"/>
              <w:rPr>
                <w:bCs/>
                <w:noProof/>
                <w:sz w:val="16"/>
                <w:szCs w:val="16"/>
              </w:rPr>
            </w:pPr>
            <w:r w:rsidRPr="00CE2185">
              <w:rPr>
                <w:bCs/>
                <w:noProof/>
                <w:sz w:val="16"/>
                <w:szCs w:val="16"/>
              </w:rPr>
              <w:t>10</w:t>
            </w:r>
          </w:p>
        </w:tc>
        <w:tc>
          <w:tcPr>
            <w:tcW w:w="709" w:type="dxa"/>
            <w:shd w:val="clear" w:color="auto" w:fill="FDE9D9" w:themeFill="accent6" w:themeFillTint="33"/>
          </w:tcPr>
          <w:p w14:paraId="5791D9F1" w14:textId="2C79503C" w:rsidR="000E7D75" w:rsidRPr="00CE2185" w:rsidRDefault="000E7D75" w:rsidP="000E7D75">
            <w:pPr>
              <w:spacing w:after="60"/>
              <w:jc w:val="right"/>
              <w:rPr>
                <w:bCs/>
                <w:noProof/>
                <w:sz w:val="16"/>
                <w:szCs w:val="16"/>
              </w:rPr>
            </w:pPr>
            <w:r w:rsidRPr="00CE2185">
              <w:rPr>
                <w:bCs/>
                <w:noProof/>
                <w:sz w:val="16"/>
                <w:szCs w:val="16"/>
              </w:rPr>
              <w:t>10</w:t>
            </w:r>
          </w:p>
        </w:tc>
        <w:tc>
          <w:tcPr>
            <w:tcW w:w="1275" w:type="dxa"/>
            <w:shd w:val="clear" w:color="auto" w:fill="FDE9D9" w:themeFill="accent6" w:themeFillTint="33"/>
          </w:tcPr>
          <w:p w14:paraId="1162DD67" w14:textId="4507D25B" w:rsidR="000E7D75" w:rsidRPr="00CE2185" w:rsidRDefault="000E7D75" w:rsidP="000E7D75">
            <w:pPr>
              <w:spacing w:after="60"/>
              <w:jc w:val="right"/>
              <w:rPr>
                <w:b/>
                <w:noProof/>
                <w:sz w:val="16"/>
                <w:szCs w:val="16"/>
              </w:rPr>
            </w:pPr>
            <w:r w:rsidRPr="00CE2185">
              <w:rPr>
                <w:bCs/>
                <w:noProof/>
                <w:sz w:val="16"/>
                <w:szCs w:val="16"/>
              </w:rPr>
              <w:t>1 252 770</w:t>
            </w:r>
          </w:p>
        </w:tc>
        <w:tc>
          <w:tcPr>
            <w:tcW w:w="1266" w:type="dxa"/>
            <w:shd w:val="clear" w:color="auto" w:fill="FDE9D9" w:themeFill="accent6" w:themeFillTint="33"/>
          </w:tcPr>
          <w:p w14:paraId="18D46CA5" w14:textId="581DCE9D" w:rsidR="000E7D75" w:rsidRPr="00CE2185" w:rsidRDefault="000E7D75" w:rsidP="000E7D75">
            <w:pPr>
              <w:spacing w:after="60"/>
              <w:jc w:val="right"/>
              <w:rPr>
                <w:bCs/>
                <w:noProof/>
                <w:sz w:val="16"/>
                <w:szCs w:val="16"/>
              </w:rPr>
            </w:pPr>
            <w:r w:rsidRPr="00CE2185">
              <w:rPr>
                <w:bCs/>
                <w:noProof/>
                <w:sz w:val="16"/>
                <w:szCs w:val="16"/>
              </w:rPr>
              <w:t>6 413 850</w:t>
            </w:r>
          </w:p>
        </w:tc>
      </w:tr>
      <w:tr w:rsidR="000E7D75" w:rsidRPr="00CE2185" w14:paraId="0D73218C" w14:textId="77777777" w:rsidTr="00E60DCB">
        <w:trPr>
          <w:trHeight w:val="262"/>
        </w:trPr>
        <w:tc>
          <w:tcPr>
            <w:tcW w:w="2660" w:type="dxa"/>
            <w:shd w:val="clear" w:color="auto" w:fill="FBD4B4" w:themeFill="accent6" w:themeFillTint="66"/>
          </w:tcPr>
          <w:p w14:paraId="6FE07794" w14:textId="449D0FCC" w:rsidR="000E7D75" w:rsidRPr="00CE2185" w:rsidRDefault="000E7D75" w:rsidP="000E7D75">
            <w:pPr>
              <w:spacing w:after="60"/>
              <w:rPr>
                <w:b/>
                <w:noProof/>
                <w:sz w:val="16"/>
                <w:szCs w:val="16"/>
              </w:rPr>
            </w:pPr>
            <w:r w:rsidRPr="00CE2185">
              <w:rPr>
                <w:b/>
                <w:bCs/>
                <w:noProof/>
                <w:sz w:val="16"/>
                <w:szCs w:val="16"/>
              </w:rPr>
              <w:t>TOTAL FTEs for ENISA</w:t>
            </w:r>
            <w:r w:rsidRPr="00CE2185">
              <w:rPr>
                <w:rStyle w:val="FootnoteReference"/>
                <w:b/>
                <w:bCs/>
                <w:noProof/>
                <w:sz w:val="16"/>
                <w:szCs w:val="16"/>
              </w:rPr>
              <w:footnoteReference w:id="147"/>
            </w:r>
          </w:p>
        </w:tc>
        <w:tc>
          <w:tcPr>
            <w:tcW w:w="1418" w:type="dxa"/>
            <w:shd w:val="clear" w:color="auto" w:fill="FBD4B4" w:themeFill="accent6" w:themeFillTint="66"/>
          </w:tcPr>
          <w:p w14:paraId="1158611B" w14:textId="77777777" w:rsidR="000E7D75" w:rsidRPr="00CE2185" w:rsidRDefault="000E7D75" w:rsidP="000E7D75">
            <w:pPr>
              <w:spacing w:after="60"/>
              <w:rPr>
                <w:b/>
                <w:noProof/>
                <w:sz w:val="16"/>
                <w:szCs w:val="16"/>
              </w:rPr>
            </w:pPr>
          </w:p>
        </w:tc>
        <w:tc>
          <w:tcPr>
            <w:tcW w:w="709" w:type="dxa"/>
            <w:shd w:val="clear" w:color="auto" w:fill="FBD4B4" w:themeFill="accent6" w:themeFillTint="66"/>
          </w:tcPr>
          <w:p w14:paraId="0691F180" w14:textId="0A8C49E9" w:rsidR="000E7D75" w:rsidRPr="00CE2185" w:rsidRDefault="000E7D75" w:rsidP="000E7D75">
            <w:pPr>
              <w:spacing w:after="60"/>
              <w:jc w:val="right"/>
              <w:rPr>
                <w:b/>
                <w:noProof/>
                <w:sz w:val="16"/>
                <w:szCs w:val="16"/>
              </w:rPr>
            </w:pPr>
            <w:r w:rsidRPr="00CE2185">
              <w:rPr>
                <w:b/>
                <w:noProof/>
                <w:sz w:val="16"/>
                <w:szCs w:val="16"/>
              </w:rPr>
              <w:t>102</w:t>
            </w:r>
          </w:p>
        </w:tc>
        <w:tc>
          <w:tcPr>
            <w:tcW w:w="708" w:type="dxa"/>
            <w:shd w:val="clear" w:color="auto" w:fill="FBD4B4" w:themeFill="accent6" w:themeFillTint="66"/>
          </w:tcPr>
          <w:p w14:paraId="27EA60D1" w14:textId="42FC2033" w:rsidR="000E7D75" w:rsidRPr="00CE2185" w:rsidRDefault="000E7D75" w:rsidP="000E7D75">
            <w:pPr>
              <w:spacing w:after="60"/>
              <w:jc w:val="right"/>
              <w:rPr>
                <w:b/>
                <w:noProof/>
                <w:sz w:val="16"/>
                <w:szCs w:val="16"/>
              </w:rPr>
            </w:pPr>
            <w:r w:rsidRPr="00CE2185">
              <w:rPr>
                <w:b/>
                <w:noProof/>
                <w:sz w:val="16"/>
                <w:szCs w:val="16"/>
              </w:rPr>
              <w:t>102</w:t>
            </w:r>
          </w:p>
        </w:tc>
        <w:tc>
          <w:tcPr>
            <w:tcW w:w="709" w:type="dxa"/>
            <w:shd w:val="clear" w:color="auto" w:fill="FBD4B4" w:themeFill="accent6" w:themeFillTint="66"/>
          </w:tcPr>
          <w:p w14:paraId="6590F6EF" w14:textId="5D6C12FA" w:rsidR="000E7D75" w:rsidRPr="00CE2185" w:rsidRDefault="000E7D75" w:rsidP="000E7D75">
            <w:pPr>
              <w:spacing w:after="60"/>
              <w:jc w:val="right"/>
              <w:rPr>
                <w:b/>
                <w:noProof/>
                <w:sz w:val="16"/>
                <w:szCs w:val="16"/>
              </w:rPr>
            </w:pPr>
            <w:r w:rsidRPr="00CE2185">
              <w:rPr>
                <w:b/>
                <w:noProof/>
                <w:sz w:val="16"/>
                <w:szCs w:val="16"/>
              </w:rPr>
              <w:t>102</w:t>
            </w:r>
          </w:p>
        </w:tc>
        <w:tc>
          <w:tcPr>
            <w:tcW w:w="709" w:type="dxa"/>
            <w:shd w:val="clear" w:color="auto" w:fill="FBD4B4" w:themeFill="accent6" w:themeFillTint="66"/>
          </w:tcPr>
          <w:p w14:paraId="055E13D5" w14:textId="1620E17B" w:rsidR="000E7D75" w:rsidRPr="00CE2185" w:rsidRDefault="000E7D75" w:rsidP="000E7D75">
            <w:pPr>
              <w:spacing w:after="60"/>
              <w:jc w:val="right"/>
              <w:rPr>
                <w:b/>
                <w:noProof/>
                <w:sz w:val="16"/>
                <w:szCs w:val="16"/>
              </w:rPr>
            </w:pPr>
            <w:r w:rsidRPr="00CE2185">
              <w:rPr>
                <w:b/>
                <w:noProof/>
                <w:sz w:val="16"/>
                <w:szCs w:val="16"/>
              </w:rPr>
              <w:t>102</w:t>
            </w:r>
          </w:p>
        </w:tc>
        <w:tc>
          <w:tcPr>
            <w:tcW w:w="709" w:type="dxa"/>
            <w:shd w:val="clear" w:color="auto" w:fill="FBD4B4" w:themeFill="accent6" w:themeFillTint="66"/>
          </w:tcPr>
          <w:p w14:paraId="052B802A" w14:textId="0676EB4D" w:rsidR="000E7D75" w:rsidRPr="00CE2185" w:rsidRDefault="000E7D75" w:rsidP="000E7D75">
            <w:pPr>
              <w:spacing w:after="60"/>
              <w:jc w:val="right"/>
              <w:rPr>
                <w:b/>
                <w:noProof/>
                <w:sz w:val="16"/>
                <w:szCs w:val="16"/>
              </w:rPr>
            </w:pPr>
            <w:r w:rsidRPr="00CE2185">
              <w:rPr>
                <w:b/>
                <w:noProof/>
                <w:sz w:val="16"/>
                <w:szCs w:val="16"/>
              </w:rPr>
              <w:t>102</w:t>
            </w:r>
          </w:p>
        </w:tc>
        <w:tc>
          <w:tcPr>
            <w:tcW w:w="1275" w:type="dxa"/>
            <w:shd w:val="clear" w:color="auto" w:fill="FBD4B4" w:themeFill="accent6" w:themeFillTint="66"/>
          </w:tcPr>
          <w:p w14:paraId="70E07E0E" w14:textId="1B2DA49E" w:rsidR="000E7D75" w:rsidRPr="00CE2185" w:rsidRDefault="000E7D75" w:rsidP="000E7D75">
            <w:pPr>
              <w:spacing w:after="60"/>
              <w:jc w:val="right"/>
              <w:rPr>
                <w:b/>
                <w:noProof/>
                <w:sz w:val="16"/>
                <w:szCs w:val="16"/>
              </w:rPr>
            </w:pPr>
            <w:r w:rsidRPr="00CE2185">
              <w:rPr>
                <w:b/>
                <w:noProof/>
                <w:sz w:val="16"/>
                <w:szCs w:val="16"/>
              </w:rPr>
              <w:t>13 084 254</w:t>
            </w:r>
          </w:p>
        </w:tc>
        <w:tc>
          <w:tcPr>
            <w:tcW w:w="1266" w:type="dxa"/>
            <w:shd w:val="clear" w:color="auto" w:fill="FBD4B4" w:themeFill="accent6" w:themeFillTint="66"/>
          </w:tcPr>
          <w:p w14:paraId="6F50E521" w14:textId="41110B5A" w:rsidR="000E7D75" w:rsidRPr="00CE2185" w:rsidRDefault="000E7D75" w:rsidP="000E7D75">
            <w:pPr>
              <w:spacing w:after="60"/>
              <w:jc w:val="right"/>
              <w:rPr>
                <w:b/>
                <w:noProof/>
                <w:sz w:val="16"/>
                <w:szCs w:val="16"/>
              </w:rPr>
            </w:pPr>
            <w:r w:rsidRPr="00CE2185">
              <w:rPr>
                <w:b/>
                <w:noProof/>
                <w:sz w:val="16"/>
                <w:szCs w:val="16"/>
              </w:rPr>
              <w:t>65 421 270</w:t>
            </w:r>
          </w:p>
        </w:tc>
      </w:tr>
      <w:tr w:rsidR="000E7D75" w:rsidRPr="00CE2185" w14:paraId="270CE669" w14:textId="77777777" w:rsidTr="006529E5">
        <w:trPr>
          <w:trHeight w:val="422"/>
        </w:trPr>
        <w:tc>
          <w:tcPr>
            <w:tcW w:w="2660" w:type="dxa"/>
            <w:shd w:val="clear" w:color="auto" w:fill="FDE9D9" w:themeFill="accent6" w:themeFillTint="33"/>
          </w:tcPr>
          <w:p w14:paraId="14DAA365" w14:textId="09A1BD8E" w:rsidR="000E7D75" w:rsidRPr="00CE2185" w:rsidRDefault="000E7D75" w:rsidP="000E7D75">
            <w:pPr>
              <w:spacing w:after="60"/>
              <w:rPr>
                <w:noProof/>
                <w:sz w:val="16"/>
                <w:szCs w:val="16"/>
              </w:rPr>
            </w:pPr>
            <w:r w:rsidRPr="00CE2185">
              <w:rPr>
                <w:noProof/>
                <w:sz w:val="16"/>
                <w:szCs w:val="16"/>
              </w:rPr>
              <w:t>NLOs seconded to ENISA (budget split between. ENISA &amp;MS)</w:t>
            </w:r>
          </w:p>
        </w:tc>
        <w:tc>
          <w:tcPr>
            <w:tcW w:w="1418" w:type="dxa"/>
            <w:shd w:val="clear" w:color="auto" w:fill="FDE9D9" w:themeFill="accent6" w:themeFillTint="33"/>
          </w:tcPr>
          <w:p w14:paraId="22BB21A0" w14:textId="77777777" w:rsidR="000E7D75" w:rsidRPr="00CE2185" w:rsidRDefault="000E7D75" w:rsidP="000E7D75">
            <w:pPr>
              <w:spacing w:after="60"/>
              <w:rPr>
                <w:noProof/>
                <w:sz w:val="16"/>
                <w:szCs w:val="16"/>
              </w:rPr>
            </w:pPr>
            <w:r w:rsidRPr="00CE2185">
              <w:rPr>
                <w:noProof/>
                <w:sz w:val="16"/>
                <w:szCs w:val="16"/>
              </w:rPr>
              <w:t>Daily allowances (EU budget)</w:t>
            </w:r>
          </w:p>
        </w:tc>
        <w:tc>
          <w:tcPr>
            <w:tcW w:w="709" w:type="dxa"/>
            <w:shd w:val="clear" w:color="auto" w:fill="FDE9D9" w:themeFill="accent6" w:themeFillTint="33"/>
          </w:tcPr>
          <w:p w14:paraId="0005B8FE" w14:textId="45ED6040" w:rsidR="000E7D75" w:rsidRPr="00CE2185" w:rsidRDefault="000E7D75" w:rsidP="000E7D75">
            <w:pPr>
              <w:spacing w:after="60"/>
              <w:jc w:val="right"/>
              <w:rPr>
                <w:noProof/>
                <w:sz w:val="16"/>
                <w:szCs w:val="16"/>
              </w:rPr>
            </w:pPr>
            <w:r w:rsidRPr="00CE2185">
              <w:rPr>
                <w:noProof/>
                <w:sz w:val="16"/>
                <w:szCs w:val="16"/>
              </w:rPr>
              <w:t>40</w:t>
            </w:r>
          </w:p>
        </w:tc>
        <w:tc>
          <w:tcPr>
            <w:tcW w:w="708" w:type="dxa"/>
            <w:shd w:val="clear" w:color="auto" w:fill="FDE9D9" w:themeFill="accent6" w:themeFillTint="33"/>
          </w:tcPr>
          <w:p w14:paraId="76968EC9" w14:textId="42222075" w:rsidR="000E7D75" w:rsidRPr="00CE2185" w:rsidRDefault="000E7D75" w:rsidP="000E7D75">
            <w:pPr>
              <w:spacing w:after="60"/>
              <w:jc w:val="right"/>
              <w:rPr>
                <w:noProof/>
                <w:sz w:val="16"/>
                <w:szCs w:val="16"/>
              </w:rPr>
            </w:pPr>
            <w:r w:rsidRPr="00CE2185">
              <w:rPr>
                <w:noProof/>
                <w:sz w:val="16"/>
                <w:szCs w:val="16"/>
              </w:rPr>
              <w:t>40</w:t>
            </w:r>
          </w:p>
        </w:tc>
        <w:tc>
          <w:tcPr>
            <w:tcW w:w="709" w:type="dxa"/>
            <w:shd w:val="clear" w:color="auto" w:fill="FDE9D9" w:themeFill="accent6" w:themeFillTint="33"/>
          </w:tcPr>
          <w:p w14:paraId="08F09CCD" w14:textId="324408B7" w:rsidR="000E7D75" w:rsidRPr="00CE2185" w:rsidRDefault="000E7D75" w:rsidP="000E7D75">
            <w:pPr>
              <w:spacing w:after="60"/>
              <w:jc w:val="right"/>
              <w:rPr>
                <w:noProof/>
                <w:sz w:val="16"/>
                <w:szCs w:val="16"/>
              </w:rPr>
            </w:pPr>
            <w:r w:rsidRPr="00CE2185">
              <w:rPr>
                <w:noProof/>
                <w:sz w:val="16"/>
                <w:szCs w:val="16"/>
              </w:rPr>
              <w:t>40</w:t>
            </w:r>
          </w:p>
        </w:tc>
        <w:tc>
          <w:tcPr>
            <w:tcW w:w="709" w:type="dxa"/>
            <w:shd w:val="clear" w:color="auto" w:fill="FDE9D9" w:themeFill="accent6" w:themeFillTint="33"/>
          </w:tcPr>
          <w:p w14:paraId="11BC1567" w14:textId="770F10A5" w:rsidR="000E7D75" w:rsidRPr="00CE2185" w:rsidRDefault="000E7D75" w:rsidP="000E7D75">
            <w:pPr>
              <w:spacing w:after="60"/>
              <w:jc w:val="right"/>
              <w:rPr>
                <w:noProof/>
                <w:sz w:val="16"/>
                <w:szCs w:val="16"/>
              </w:rPr>
            </w:pPr>
            <w:r w:rsidRPr="00CE2185">
              <w:rPr>
                <w:noProof/>
                <w:sz w:val="16"/>
                <w:szCs w:val="16"/>
              </w:rPr>
              <w:t>40</w:t>
            </w:r>
          </w:p>
        </w:tc>
        <w:tc>
          <w:tcPr>
            <w:tcW w:w="709" w:type="dxa"/>
            <w:shd w:val="clear" w:color="auto" w:fill="FDE9D9" w:themeFill="accent6" w:themeFillTint="33"/>
          </w:tcPr>
          <w:p w14:paraId="778DDB58" w14:textId="17FE84AD" w:rsidR="000E7D75" w:rsidRPr="00CE2185" w:rsidRDefault="000E7D75" w:rsidP="000E7D75">
            <w:pPr>
              <w:spacing w:after="60"/>
              <w:jc w:val="right"/>
              <w:rPr>
                <w:noProof/>
                <w:sz w:val="16"/>
                <w:szCs w:val="16"/>
              </w:rPr>
            </w:pPr>
            <w:r w:rsidRPr="00CE2185">
              <w:rPr>
                <w:noProof/>
                <w:sz w:val="16"/>
                <w:szCs w:val="16"/>
              </w:rPr>
              <w:t>40</w:t>
            </w:r>
          </w:p>
        </w:tc>
        <w:tc>
          <w:tcPr>
            <w:tcW w:w="1275" w:type="dxa"/>
            <w:shd w:val="clear" w:color="auto" w:fill="FDE9D9" w:themeFill="accent6" w:themeFillTint="33"/>
          </w:tcPr>
          <w:p w14:paraId="1824B163" w14:textId="1A34A8B5" w:rsidR="000E7D75" w:rsidRPr="00CE2185" w:rsidRDefault="000E7D75" w:rsidP="000E7D75">
            <w:pPr>
              <w:spacing w:after="60"/>
              <w:jc w:val="right"/>
              <w:rPr>
                <w:noProof/>
                <w:sz w:val="16"/>
                <w:szCs w:val="16"/>
              </w:rPr>
            </w:pPr>
            <w:r w:rsidRPr="00CE2185">
              <w:rPr>
                <w:noProof/>
                <w:sz w:val="16"/>
                <w:szCs w:val="16"/>
              </w:rPr>
              <w:t>1 440 000</w:t>
            </w:r>
          </w:p>
        </w:tc>
        <w:tc>
          <w:tcPr>
            <w:tcW w:w="1266" w:type="dxa"/>
            <w:shd w:val="clear" w:color="auto" w:fill="FDE9D9" w:themeFill="accent6" w:themeFillTint="33"/>
          </w:tcPr>
          <w:p w14:paraId="52B5E487" w14:textId="7138E2A5" w:rsidR="000E7D75" w:rsidRPr="00CE2185" w:rsidRDefault="000E7D75" w:rsidP="000E7D75">
            <w:pPr>
              <w:spacing w:after="60"/>
              <w:jc w:val="right"/>
              <w:rPr>
                <w:bCs/>
                <w:noProof/>
                <w:sz w:val="16"/>
                <w:szCs w:val="16"/>
              </w:rPr>
            </w:pPr>
            <w:r w:rsidRPr="00CE2185">
              <w:rPr>
                <w:bCs/>
                <w:noProof/>
                <w:sz w:val="16"/>
                <w:szCs w:val="16"/>
              </w:rPr>
              <w:t>7 200 000</w:t>
            </w:r>
          </w:p>
        </w:tc>
      </w:tr>
      <w:tr w:rsidR="000E7D75" w:rsidRPr="00CE2185" w14:paraId="63A3B37C" w14:textId="77777777" w:rsidTr="00E60DCB">
        <w:trPr>
          <w:trHeight w:val="377"/>
        </w:trPr>
        <w:tc>
          <w:tcPr>
            <w:tcW w:w="2660" w:type="dxa"/>
            <w:shd w:val="clear" w:color="auto" w:fill="FBD4B4" w:themeFill="accent6" w:themeFillTint="66"/>
          </w:tcPr>
          <w:p w14:paraId="34F01C0B" w14:textId="7040CD51" w:rsidR="000E7D75" w:rsidRPr="00CE2185" w:rsidRDefault="000E7D75" w:rsidP="000E7D75">
            <w:pPr>
              <w:spacing w:after="60"/>
              <w:rPr>
                <w:b/>
                <w:noProof/>
                <w:sz w:val="16"/>
                <w:szCs w:val="16"/>
              </w:rPr>
            </w:pPr>
            <w:r w:rsidRPr="00CE2185">
              <w:rPr>
                <w:b/>
                <w:noProof/>
                <w:sz w:val="16"/>
                <w:szCs w:val="16"/>
              </w:rPr>
              <w:t>TOTAL costs for FTEs + NLOs for ENISA</w:t>
            </w:r>
          </w:p>
        </w:tc>
        <w:tc>
          <w:tcPr>
            <w:tcW w:w="1418" w:type="dxa"/>
            <w:shd w:val="clear" w:color="auto" w:fill="FBD4B4" w:themeFill="accent6" w:themeFillTint="66"/>
          </w:tcPr>
          <w:p w14:paraId="7A7099ED" w14:textId="77777777" w:rsidR="000E7D75" w:rsidRPr="00CE2185" w:rsidRDefault="000E7D75" w:rsidP="000E7D75">
            <w:pPr>
              <w:spacing w:after="60"/>
              <w:rPr>
                <w:b/>
                <w:noProof/>
                <w:sz w:val="16"/>
                <w:szCs w:val="16"/>
              </w:rPr>
            </w:pPr>
          </w:p>
        </w:tc>
        <w:tc>
          <w:tcPr>
            <w:tcW w:w="709" w:type="dxa"/>
            <w:shd w:val="clear" w:color="auto" w:fill="FBD4B4" w:themeFill="accent6" w:themeFillTint="66"/>
          </w:tcPr>
          <w:p w14:paraId="4CCE0153" w14:textId="2E5BCB4E" w:rsidR="000E7D75" w:rsidRPr="00CE2185" w:rsidRDefault="000E7D75" w:rsidP="000E7D75">
            <w:pPr>
              <w:spacing w:after="60"/>
              <w:jc w:val="right"/>
              <w:rPr>
                <w:b/>
                <w:noProof/>
                <w:sz w:val="16"/>
                <w:szCs w:val="16"/>
              </w:rPr>
            </w:pPr>
            <w:r w:rsidRPr="00CE2185">
              <w:rPr>
                <w:b/>
                <w:noProof/>
                <w:sz w:val="16"/>
                <w:szCs w:val="16"/>
              </w:rPr>
              <w:t>142</w:t>
            </w:r>
          </w:p>
        </w:tc>
        <w:tc>
          <w:tcPr>
            <w:tcW w:w="708" w:type="dxa"/>
            <w:shd w:val="clear" w:color="auto" w:fill="FBD4B4" w:themeFill="accent6" w:themeFillTint="66"/>
          </w:tcPr>
          <w:p w14:paraId="16159A1B" w14:textId="12933074" w:rsidR="000E7D75" w:rsidRPr="00CE2185" w:rsidRDefault="000E7D75" w:rsidP="000E7D75">
            <w:pPr>
              <w:spacing w:after="60"/>
              <w:jc w:val="right"/>
              <w:rPr>
                <w:b/>
                <w:noProof/>
                <w:sz w:val="16"/>
                <w:szCs w:val="16"/>
              </w:rPr>
            </w:pPr>
            <w:r w:rsidRPr="00CE2185">
              <w:rPr>
                <w:b/>
                <w:noProof/>
                <w:sz w:val="16"/>
                <w:szCs w:val="16"/>
              </w:rPr>
              <w:t>142</w:t>
            </w:r>
          </w:p>
        </w:tc>
        <w:tc>
          <w:tcPr>
            <w:tcW w:w="709" w:type="dxa"/>
            <w:shd w:val="clear" w:color="auto" w:fill="FBD4B4" w:themeFill="accent6" w:themeFillTint="66"/>
          </w:tcPr>
          <w:p w14:paraId="55C5C630" w14:textId="33B67FB3" w:rsidR="000E7D75" w:rsidRPr="00CE2185" w:rsidRDefault="000E7D75" w:rsidP="000E7D75">
            <w:pPr>
              <w:spacing w:after="60"/>
              <w:jc w:val="right"/>
              <w:rPr>
                <w:b/>
                <w:noProof/>
                <w:sz w:val="16"/>
                <w:szCs w:val="16"/>
              </w:rPr>
            </w:pPr>
            <w:r w:rsidRPr="00CE2185">
              <w:rPr>
                <w:b/>
                <w:noProof/>
                <w:sz w:val="16"/>
                <w:szCs w:val="16"/>
              </w:rPr>
              <w:t>142</w:t>
            </w:r>
          </w:p>
        </w:tc>
        <w:tc>
          <w:tcPr>
            <w:tcW w:w="709" w:type="dxa"/>
            <w:shd w:val="clear" w:color="auto" w:fill="FBD4B4" w:themeFill="accent6" w:themeFillTint="66"/>
          </w:tcPr>
          <w:p w14:paraId="1F510B1D" w14:textId="7B4DBA49" w:rsidR="000E7D75" w:rsidRPr="00CE2185" w:rsidRDefault="000E7D75" w:rsidP="000E7D75">
            <w:pPr>
              <w:spacing w:after="60"/>
              <w:jc w:val="right"/>
              <w:rPr>
                <w:b/>
                <w:noProof/>
                <w:sz w:val="16"/>
                <w:szCs w:val="16"/>
              </w:rPr>
            </w:pPr>
            <w:r w:rsidRPr="00CE2185">
              <w:rPr>
                <w:b/>
                <w:noProof/>
                <w:sz w:val="16"/>
                <w:szCs w:val="16"/>
              </w:rPr>
              <w:t>142</w:t>
            </w:r>
          </w:p>
        </w:tc>
        <w:tc>
          <w:tcPr>
            <w:tcW w:w="709" w:type="dxa"/>
            <w:shd w:val="clear" w:color="auto" w:fill="FBD4B4" w:themeFill="accent6" w:themeFillTint="66"/>
          </w:tcPr>
          <w:p w14:paraId="03240BB0" w14:textId="6FF06E90" w:rsidR="000E7D75" w:rsidRPr="00CE2185" w:rsidRDefault="000E7D75" w:rsidP="000E7D75">
            <w:pPr>
              <w:spacing w:after="60"/>
              <w:jc w:val="right"/>
              <w:rPr>
                <w:b/>
                <w:noProof/>
                <w:sz w:val="16"/>
                <w:szCs w:val="16"/>
              </w:rPr>
            </w:pPr>
            <w:r w:rsidRPr="00CE2185">
              <w:rPr>
                <w:b/>
                <w:noProof/>
                <w:sz w:val="16"/>
                <w:szCs w:val="16"/>
              </w:rPr>
              <w:t>142</w:t>
            </w:r>
          </w:p>
        </w:tc>
        <w:tc>
          <w:tcPr>
            <w:tcW w:w="1275" w:type="dxa"/>
            <w:shd w:val="clear" w:color="auto" w:fill="FBD4B4" w:themeFill="accent6" w:themeFillTint="66"/>
          </w:tcPr>
          <w:p w14:paraId="18E1229A" w14:textId="75CE87D0" w:rsidR="000E7D75" w:rsidRPr="00CE2185" w:rsidRDefault="000E7D75" w:rsidP="000E7D75">
            <w:pPr>
              <w:spacing w:after="60"/>
              <w:jc w:val="right"/>
              <w:rPr>
                <w:b/>
                <w:noProof/>
                <w:sz w:val="16"/>
                <w:szCs w:val="16"/>
              </w:rPr>
            </w:pPr>
            <w:r w:rsidRPr="00CE2185">
              <w:rPr>
                <w:b/>
                <w:noProof/>
                <w:sz w:val="16"/>
                <w:szCs w:val="16"/>
              </w:rPr>
              <w:t>14 524 254</w:t>
            </w:r>
          </w:p>
        </w:tc>
        <w:tc>
          <w:tcPr>
            <w:tcW w:w="1266" w:type="dxa"/>
            <w:shd w:val="clear" w:color="auto" w:fill="FBD4B4" w:themeFill="accent6" w:themeFillTint="66"/>
          </w:tcPr>
          <w:p w14:paraId="0FF92240" w14:textId="0F3D405C" w:rsidR="000E7D75" w:rsidRPr="00CE2185" w:rsidRDefault="000E7D75" w:rsidP="000E7D75">
            <w:pPr>
              <w:spacing w:after="60"/>
              <w:jc w:val="right"/>
              <w:rPr>
                <w:b/>
                <w:noProof/>
                <w:sz w:val="16"/>
                <w:szCs w:val="16"/>
              </w:rPr>
            </w:pPr>
            <w:r w:rsidRPr="00CE2185">
              <w:rPr>
                <w:b/>
                <w:noProof/>
                <w:sz w:val="16"/>
                <w:szCs w:val="16"/>
              </w:rPr>
              <w:t>72 621 270</w:t>
            </w:r>
          </w:p>
        </w:tc>
      </w:tr>
      <w:tr w:rsidR="000E7D75" w:rsidRPr="00CE2185" w14:paraId="47C07A13" w14:textId="77777777" w:rsidTr="1F636726">
        <w:trPr>
          <w:trHeight w:val="300"/>
        </w:trPr>
        <w:tc>
          <w:tcPr>
            <w:tcW w:w="2660" w:type="dxa"/>
            <w:shd w:val="clear" w:color="auto" w:fill="FAFADC"/>
          </w:tcPr>
          <w:p w14:paraId="34BB9B15" w14:textId="1681D652" w:rsidR="000E7D75" w:rsidRPr="00CE2185" w:rsidRDefault="000E7D75" w:rsidP="000E7D75">
            <w:pPr>
              <w:rPr>
                <w:noProof/>
                <w:sz w:val="16"/>
                <w:szCs w:val="16"/>
              </w:rPr>
            </w:pPr>
            <w:r w:rsidRPr="00CE2185">
              <w:rPr>
                <w:noProof/>
                <w:sz w:val="16"/>
                <w:szCs w:val="16"/>
              </w:rPr>
              <w:t>Setting up and operating the CVD database</w:t>
            </w:r>
          </w:p>
        </w:tc>
        <w:tc>
          <w:tcPr>
            <w:tcW w:w="1418" w:type="dxa"/>
            <w:shd w:val="clear" w:color="auto" w:fill="FAFADC"/>
          </w:tcPr>
          <w:p w14:paraId="1C394627" w14:textId="77777777" w:rsidR="000E7D75" w:rsidRPr="00CE2185" w:rsidRDefault="000E7D75" w:rsidP="000E7D75">
            <w:pPr>
              <w:rPr>
                <w:noProof/>
                <w:sz w:val="16"/>
                <w:szCs w:val="16"/>
              </w:rPr>
            </w:pPr>
          </w:p>
        </w:tc>
        <w:tc>
          <w:tcPr>
            <w:tcW w:w="709" w:type="dxa"/>
            <w:shd w:val="clear" w:color="auto" w:fill="FAFADC"/>
          </w:tcPr>
          <w:p w14:paraId="5C45119F" w14:textId="77777777" w:rsidR="000E7D75" w:rsidRPr="00CE2185" w:rsidRDefault="000E7D75" w:rsidP="000E7D75">
            <w:pPr>
              <w:jc w:val="right"/>
              <w:rPr>
                <w:noProof/>
                <w:sz w:val="16"/>
                <w:szCs w:val="16"/>
              </w:rPr>
            </w:pPr>
          </w:p>
        </w:tc>
        <w:tc>
          <w:tcPr>
            <w:tcW w:w="708" w:type="dxa"/>
            <w:shd w:val="clear" w:color="auto" w:fill="FAFADC"/>
          </w:tcPr>
          <w:p w14:paraId="60C1D73A" w14:textId="77777777" w:rsidR="000E7D75" w:rsidRPr="00CE2185" w:rsidRDefault="000E7D75" w:rsidP="000E7D75">
            <w:pPr>
              <w:jc w:val="right"/>
              <w:rPr>
                <w:noProof/>
                <w:sz w:val="16"/>
                <w:szCs w:val="16"/>
              </w:rPr>
            </w:pPr>
          </w:p>
        </w:tc>
        <w:tc>
          <w:tcPr>
            <w:tcW w:w="709" w:type="dxa"/>
            <w:shd w:val="clear" w:color="auto" w:fill="FAFADC"/>
          </w:tcPr>
          <w:p w14:paraId="076ABD71" w14:textId="77777777" w:rsidR="000E7D75" w:rsidRPr="00CE2185" w:rsidRDefault="000E7D75" w:rsidP="000E7D75">
            <w:pPr>
              <w:jc w:val="right"/>
              <w:rPr>
                <w:noProof/>
                <w:sz w:val="16"/>
                <w:szCs w:val="16"/>
              </w:rPr>
            </w:pPr>
          </w:p>
        </w:tc>
        <w:tc>
          <w:tcPr>
            <w:tcW w:w="709" w:type="dxa"/>
            <w:shd w:val="clear" w:color="auto" w:fill="FAFADC"/>
          </w:tcPr>
          <w:p w14:paraId="24F244B6" w14:textId="77777777" w:rsidR="000E7D75" w:rsidRPr="00CE2185" w:rsidRDefault="000E7D75" w:rsidP="000E7D75">
            <w:pPr>
              <w:jc w:val="right"/>
              <w:rPr>
                <w:noProof/>
                <w:sz w:val="16"/>
                <w:szCs w:val="16"/>
              </w:rPr>
            </w:pPr>
          </w:p>
        </w:tc>
        <w:tc>
          <w:tcPr>
            <w:tcW w:w="709" w:type="dxa"/>
            <w:shd w:val="clear" w:color="auto" w:fill="FAFADC"/>
          </w:tcPr>
          <w:p w14:paraId="7D42B77B" w14:textId="77777777" w:rsidR="000E7D75" w:rsidRPr="00CE2185" w:rsidRDefault="000E7D75" w:rsidP="000E7D75">
            <w:pPr>
              <w:jc w:val="right"/>
              <w:rPr>
                <w:noProof/>
                <w:sz w:val="16"/>
                <w:szCs w:val="16"/>
              </w:rPr>
            </w:pPr>
          </w:p>
        </w:tc>
        <w:tc>
          <w:tcPr>
            <w:tcW w:w="1275" w:type="dxa"/>
            <w:shd w:val="clear" w:color="auto" w:fill="FAFADC"/>
          </w:tcPr>
          <w:p w14:paraId="0385E0D3" w14:textId="0E07D472" w:rsidR="000E7D75" w:rsidRPr="00CE2185" w:rsidRDefault="000E7D75" w:rsidP="000E7D75">
            <w:pPr>
              <w:jc w:val="right"/>
              <w:rPr>
                <w:noProof/>
                <w:sz w:val="16"/>
                <w:szCs w:val="16"/>
              </w:rPr>
            </w:pPr>
            <w:r w:rsidRPr="00CE2185">
              <w:rPr>
                <w:noProof/>
                <w:sz w:val="16"/>
                <w:szCs w:val="16"/>
              </w:rPr>
              <w:t>1 000 000</w:t>
            </w:r>
          </w:p>
        </w:tc>
        <w:tc>
          <w:tcPr>
            <w:tcW w:w="1266" w:type="dxa"/>
            <w:shd w:val="clear" w:color="auto" w:fill="FAFADC"/>
          </w:tcPr>
          <w:p w14:paraId="420EAAEF" w14:textId="5D6DC5EC" w:rsidR="000E7D75" w:rsidRPr="00CE2185" w:rsidRDefault="000E7D75" w:rsidP="000E7D75">
            <w:pPr>
              <w:jc w:val="right"/>
              <w:rPr>
                <w:noProof/>
                <w:sz w:val="16"/>
                <w:szCs w:val="16"/>
              </w:rPr>
            </w:pPr>
            <w:r w:rsidRPr="00CE2185">
              <w:rPr>
                <w:noProof/>
                <w:sz w:val="16"/>
                <w:szCs w:val="16"/>
              </w:rPr>
              <w:t>5 000 000</w:t>
            </w:r>
          </w:p>
        </w:tc>
      </w:tr>
      <w:tr w:rsidR="000E7D75" w:rsidRPr="00CE2185" w14:paraId="712A1E83" w14:textId="77777777" w:rsidTr="1F636726">
        <w:trPr>
          <w:trHeight w:val="300"/>
        </w:trPr>
        <w:tc>
          <w:tcPr>
            <w:tcW w:w="2660" w:type="dxa"/>
            <w:shd w:val="clear" w:color="auto" w:fill="FAFADC"/>
          </w:tcPr>
          <w:p w14:paraId="4A57E840" w14:textId="71297567" w:rsidR="000E7D75" w:rsidRPr="00CE2185" w:rsidRDefault="000E7D75" w:rsidP="000E7D75">
            <w:pPr>
              <w:rPr>
                <w:noProof/>
                <w:sz w:val="16"/>
                <w:szCs w:val="16"/>
              </w:rPr>
            </w:pPr>
            <w:r w:rsidRPr="00CE2185">
              <w:rPr>
                <w:noProof/>
                <w:sz w:val="16"/>
                <w:szCs w:val="16"/>
              </w:rPr>
              <w:t>Skills scheme development and maintenance</w:t>
            </w:r>
          </w:p>
        </w:tc>
        <w:tc>
          <w:tcPr>
            <w:tcW w:w="1418" w:type="dxa"/>
            <w:shd w:val="clear" w:color="auto" w:fill="FAFADC"/>
          </w:tcPr>
          <w:p w14:paraId="2975C9B0" w14:textId="77777777" w:rsidR="000E7D75" w:rsidRPr="00CE2185" w:rsidRDefault="000E7D75" w:rsidP="000E7D75">
            <w:pPr>
              <w:rPr>
                <w:noProof/>
                <w:sz w:val="16"/>
                <w:szCs w:val="16"/>
              </w:rPr>
            </w:pPr>
          </w:p>
        </w:tc>
        <w:tc>
          <w:tcPr>
            <w:tcW w:w="709" w:type="dxa"/>
            <w:shd w:val="clear" w:color="auto" w:fill="FAFADC"/>
          </w:tcPr>
          <w:p w14:paraId="26C72C6C" w14:textId="77777777" w:rsidR="000E7D75" w:rsidRPr="00CE2185" w:rsidRDefault="000E7D75" w:rsidP="000E7D75">
            <w:pPr>
              <w:jc w:val="right"/>
              <w:rPr>
                <w:noProof/>
                <w:sz w:val="16"/>
                <w:szCs w:val="16"/>
              </w:rPr>
            </w:pPr>
          </w:p>
        </w:tc>
        <w:tc>
          <w:tcPr>
            <w:tcW w:w="708" w:type="dxa"/>
            <w:shd w:val="clear" w:color="auto" w:fill="FAFADC"/>
          </w:tcPr>
          <w:p w14:paraId="41FFE9A6" w14:textId="77777777" w:rsidR="000E7D75" w:rsidRPr="00CE2185" w:rsidRDefault="000E7D75" w:rsidP="000E7D75">
            <w:pPr>
              <w:jc w:val="right"/>
              <w:rPr>
                <w:noProof/>
                <w:sz w:val="16"/>
                <w:szCs w:val="16"/>
              </w:rPr>
            </w:pPr>
          </w:p>
        </w:tc>
        <w:tc>
          <w:tcPr>
            <w:tcW w:w="709" w:type="dxa"/>
            <w:shd w:val="clear" w:color="auto" w:fill="FAFADC"/>
          </w:tcPr>
          <w:p w14:paraId="11B36AE9" w14:textId="77777777" w:rsidR="000E7D75" w:rsidRPr="00CE2185" w:rsidRDefault="000E7D75" w:rsidP="000E7D75">
            <w:pPr>
              <w:jc w:val="right"/>
              <w:rPr>
                <w:noProof/>
                <w:sz w:val="16"/>
                <w:szCs w:val="16"/>
              </w:rPr>
            </w:pPr>
          </w:p>
        </w:tc>
        <w:tc>
          <w:tcPr>
            <w:tcW w:w="709" w:type="dxa"/>
            <w:shd w:val="clear" w:color="auto" w:fill="FAFADC"/>
          </w:tcPr>
          <w:p w14:paraId="2B192BD0" w14:textId="77777777" w:rsidR="000E7D75" w:rsidRPr="00CE2185" w:rsidRDefault="000E7D75" w:rsidP="000E7D75">
            <w:pPr>
              <w:jc w:val="right"/>
              <w:rPr>
                <w:noProof/>
                <w:sz w:val="16"/>
                <w:szCs w:val="16"/>
              </w:rPr>
            </w:pPr>
          </w:p>
        </w:tc>
        <w:tc>
          <w:tcPr>
            <w:tcW w:w="709" w:type="dxa"/>
            <w:shd w:val="clear" w:color="auto" w:fill="FAFADC"/>
          </w:tcPr>
          <w:p w14:paraId="7FB282C1" w14:textId="77777777" w:rsidR="000E7D75" w:rsidRPr="00CE2185" w:rsidRDefault="000E7D75" w:rsidP="000E7D75">
            <w:pPr>
              <w:jc w:val="right"/>
              <w:rPr>
                <w:noProof/>
                <w:sz w:val="16"/>
                <w:szCs w:val="16"/>
              </w:rPr>
            </w:pPr>
          </w:p>
        </w:tc>
        <w:tc>
          <w:tcPr>
            <w:tcW w:w="1275" w:type="dxa"/>
            <w:shd w:val="clear" w:color="auto" w:fill="FAFADC"/>
          </w:tcPr>
          <w:p w14:paraId="7E4F2F27" w14:textId="38C3B0C9" w:rsidR="000E7D75" w:rsidRPr="00CE2185" w:rsidRDefault="000E7D75" w:rsidP="000E7D75">
            <w:pPr>
              <w:jc w:val="right"/>
              <w:rPr>
                <w:noProof/>
                <w:sz w:val="16"/>
                <w:szCs w:val="16"/>
              </w:rPr>
            </w:pPr>
            <w:r w:rsidRPr="00CE2185">
              <w:rPr>
                <w:noProof/>
                <w:sz w:val="16"/>
                <w:szCs w:val="16"/>
              </w:rPr>
              <w:t>212 920</w:t>
            </w:r>
          </w:p>
        </w:tc>
        <w:tc>
          <w:tcPr>
            <w:tcW w:w="1266" w:type="dxa"/>
            <w:shd w:val="clear" w:color="auto" w:fill="FAFADC"/>
          </w:tcPr>
          <w:p w14:paraId="3ED0F3EA" w14:textId="2B02E990" w:rsidR="000E7D75" w:rsidRPr="00CE2185" w:rsidRDefault="000E7D75" w:rsidP="000E7D75">
            <w:pPr>
              <w:jc w:val="right"/>
              <w:rPr>
                <w:noProof/>
                <w:sz w:val="16"/>
                <w:szCs w:val="16"/>
              </w:rPr>
            </w:pPr>
            <w:r w:rsidRPr="00CE2185">
              <w:rPr>
                <w:noProof/>
                <w:sz w:val="16"/>
                <w:szCs w:val="16"/>
              </w:rPr>
              <w:t>1 064 600</w:t>
            </w:r>
          </w:p>
        </w:tc>
      </w:tr>
      <w:tr w:rsidR="000E7D75" w:rsidRPr="00CE2185" w14:paraId="1444AEAD" w14:textId="77777777" w:rsidTr="1F636726">
        <w:trPr>
          <w:trHeight w:val="300"/>
        </w:trPr>
        <w:tc>
          <w:tcPr>
            <w:tcW w:w="2660" w:type="dxa"/>
            <w:shd w:val="clear" w:color="auto" w:fill="FAFADC"/>
          </w:tcPr>
          <w:p w14:paraId="38572A04" w14:textId="3BDABE66" w:rsidR="000E7D75" w:rsidRPr="00CE2185" w:rsidRDefault="000E7D75" w:rsidP="000E7D75">
            <w:pPr>
              <w:rPr>
                <w:noProof/>
                <w:sz w:val="16"/>
                <w:szCs w:val="16"/>
              </w:rPr>
            </w:pPr>
            <w:r w:rsidRPr="00CE2185">
              <w:rPr>
                <w:noProof/>
                <w:sz w:val="16"/>
                <w:szCs w:val="16"/>
              </w:rPr>
              <w:t>Skills website (one-off cost)</w:t>
            </w:r>
          </w:p>
        </w:tc>
        <w:tc>
          <w:tcPr>
            <w:tcW w:w="1418" w:type="dxa"/>
            <w:shd w:val="clear" w:color="auto" w:fill="FAFADC"/>
          </w:tcPr>
          <w:p w14:paraId="207C2AEF" w14:textId="1D14300A" w:rsidR="000E7D75" w:rsidRPr="00CE2185" w:rsidRDefault="000E7D75" w:rsidP="000E7D75">
            <w:pPr>
              <w:rPr>
                <w:noProof/>
                <w:sz w:val="16"/>
                <w:szCs w:val="16"/>
              </w:rPr>
            </w:pPr>
          </w:p>
        </w:tc>
        <w:tc>
          <w:tcPr>
            <w:tcW w:w="709" w:type="dxa"/>
            <w:shd w:val="clear" w:color="auto" w:fill="FAFADC"/>
          </w:tcPr>
          <w:p w14:paraId="221234BF" w14:textId="5EDC5339" w:rsidR="000E7D75" w:rsidRPr="00CE2185" w:rsidRDefault="000E7D75" w:rsidP="000E7D75">
            <w:pPr>
              <w:jc w:val="right"/>
              <w:rPr>
                <w:noProof/>
                <w:sz w:val="16"/>
                <w:szCs w:val="16"/>
              </w:rPr>
            </w:pPr>
          </w:p>
        </w:tc>
        <w:tc>
          <w:tcPr>
            <w:tcW w:w="708" w:type="dxa"/>
            <w:shd w:val="clear" w:color="auto" w:fill="FAFADC"/>
          </w:tcPr>
          <w:p w14:paraId="323BC3D2" w14:textId="62EDBCA9" w:rsidR="000E7D75" w:rsidRPr="00CE2185" w:rsidRDefault="000E7D75" w:rsidP="000E7D75">
            <w:pPr>
              <w:jc w:val="right"/>
              <w:rPr>
                <w:noProof/>
                <w:sz w:val="16"/>
                <w:szCs w:val="16"/>
              </w:rPr>
            </w:pPr>
          </w:p>
        </w:tc>
        <w:tc>
          <w:tcPr>
            <w:tcW w:w="709" w:type="dxa"/>
            <w:shd w:val="clear" w:color="auto" w:fill="FAFADC"/>
          </w:tcPr>
          <w:p w14:paraId="22422AAC" w14:textId="2CE7A030" w:rsidR="000E7D75" w:rsidRPr="00CE2185" w:rsidRDefault="000E7D75" w:rsidP="000E7D75">
            <w:pPr>
              <w:jc w:val="right"/>
              <w:rPr>
                <w:noProof/>
                <w:sz w:val="16"/>
                <w:szCs w:val="16"/>
              </w:rPr>
            </w:pPr>
          </w:p>
        </w:tc>
        <w:tc>
          <w:tcPr>
            <w:tcW w:w="709" w:type="dxa"/>
            <w:shd w:val="clear" w:color="auto" w:fill="FAFADC"/>
          </w:tcPr>
          <w:p w14:paraId="631BB8F8" w14:textId="1F30FA9F" w:rsidR="000E7D75" w:rsidRPr="00CE2185" w:rsidRDefault="000E7D75" w:rsidP="000E7D75">
            <w:pPr>
              <w:jc w:val="right"/>
              <w:rPr>
                <w:noProof/>
                <w:sz w:val="16"/>
                <w:szCs w:val="16"/>
              </w:rPr>
            </w:pPr>
          </w:p>
        </w:tc>
        <w:tc>
          <w:tcPr>
            <w:tcW w:w="709" w:type="dxa"/>
            <w:shd w:val="clear" w:color="auto" w:fill="FAFADC"/>
          </w:tcPr>
          <w:p w14:paraId="6AEB9108" w14:textId="6815D4E9" w:rsidR="000E7D75" w:rsidRPr="00CE2185" w:rsidRDefault="000E7D75" w:rsidP="000E7D75">
            <w:pPr>
              <w:jc w:val="right"/>
              <w:rPr>
                <w:noProof/>
                <w:sz w:val="16"/>
                <w:szCs w:val="16"/>
              </w:rPr>
            </w:pPr>
          </w:p>
        </w:tc>
        <w:tc>
          <w:tcPr>
            <w:tcW w:w="1275" w:type="dxa"/>
            <w:shd w:val="clear" w:color="auto" w:fill="FAFADC"/>
          </w:tcPr>
          <w:p w14:paraId="4A028F11" w14:textId="3A7E41B4" w:rsidR="000E7D75" w:rsidRPr="00CE2185" w:rsidRDefault="000E7D75" w:rsidP="000E7D75">
            <w:pPr>
              <w:jc w:val="right"/>
              <w:rPr>
                <w:noProof/>
                <w:sz w:val="16"/>
                <w:szCs w:val="16"/>
              </w:rPr>
            </w:pPr>
          </w:p>
        </w:tc>
        <w:tc>
          <w:tcPr>
            <w:tcW w:w="1266" w:type="dxa"/>
            <w:shd w:val="clear" w:color="auto" w:fill="FAFADC"/>
          </w:tcPr>
          <w:p w14:paraId="5050D2D5" w14:textId="58CD2C2B" w:rsidR="000E7D75" w:rsidRPr="00CE2185" w:rsidRDefault="000E7D75" w:rsidP="000E7D75">
            <w:pPr>
              <w:jc w:val="right"/>
              <w:rPr>
                <w:noProof/>
                <w:sz w:val="16"/>
                <w:szCs w:val="16"/>
              </w:rPr>
            </w:pPr>
            <w:r w:rsidRPr="00CE2185">
              <w:rPr>
                <w:noProof/>
                <w:sz w:val="16"/>
                <w:szCs w:val="16"/>
              </w:rPr>
              <w:t>1 000 000</w:t>
            </w:r>
          </w:p>
        </w:tc>
      </w:tr>
      <w:tr w:rsidR="000E7D75" w:rsidRPr="00CE2185" w14:paraId="6496187B" w14:textId="77777777" w:rsidTr="76AA9DB6">
        <w:trPr>
          <w:trHeight w:val="495"/>
        </w:trPr>
        <w:tc>
          <w:tcPr>
            <w:tcW w:w="2660" w:type="dxa"/>
            <w:shd w:val="clear" w:color="auto" w:fill="FAFADC"/>
          </w:tcPr>
          <w:p w14:paraId="3079A398" w14:textId="51C712A4" w:rsidR="000E7D75" w:rsidRPr="00CE2185" w:rsidRDefault="000E7D75" w:rsidP="000E7D75">
            <w:pPr>
              <w:rPr>
                <w:noProof/>
                <w:sz w:val="16"/>
                <w:szCs w:val="16"/>
              </w:rPr>
            </w:pPr>
            <w:r w:rsidRPr="00CE2185">
              <w:rPr>
                <w:bCs/>
                <w:noProof/>
                <w:sz w:val="16"/>
                <w:szCs w:val="16"/>
              </w:rPr>
              <w:t>CRA platform maintenance</w:t>
            </w:r>
          </w:p>
        </w:tc>
        <w:tc>
          <w:tcPr>
            <w:tcW w:w="1418" w:type="dxa"/>
            <w:shd w:val="clear" w:color="auto" w:fill="FAFADC"/>
          </w:tcPr>
          <w:p w14:paraId="5B270199" w14:textId="6DC8FB42" w:rsidR="000E7D75" w:rsidRPr="00CE2185" w:rsidRDefault="000E7D75" w:rsidP="000E7D75">
            <w:pPr>
              <w:rPr>
                <w:noProof/>
                <w:sz w:val="16"/>
                <w:szCs w:val="16"/>
              </w:rPr>
            </w:pPr>
          </w:p>
        </w:tc>
        <w:tc>
          <w:tcPr>
            <w:tcW w:w="709" w:type="dxa"/>
            <w:shd w:val="clear" w:color="auto" w:fill="FAFADC"/>
          </w:tcPr>
          <w:p w14:paraId="6BE09811" w14:textId="6279BF0E" w:rsidR="000E7D75" w:rsidRPr="00CE2185" w:rsidRDefault="000E7D75" w:rsidP="000E7D75">
            <w:pPr>
              <w:jc w:val="right"/>
              <w:rPr>
                <w:noProof/>
                <w:sz w:val="16"/>
                <w:szCs w:val="16"/>
              </w:rPr>
            </w:pPr>
          </w:p>
        </w:tc>
        <w:tc>
          <w:tcPr>
            <w:tcW w:w="708" w:type="dxa"/>
            <w:shd w:val="clear" w:color="auto" w:fill="FAFADC"/>
          </w:tcPr>
          <w:p w14:paraId="3433120F" w14:textId="3A9024BF" w:rsidR="000E7D75" w:rsidRPr="00CE2185" w:rsidRDefault="000E7D75" w:rsidP="000E7D75">
            <w:pPr>
              <w:jc w:val="right"/>
              <w:rPr>
                <w:noProof/>
                <w:sz w:val="16"/>
                <w:szCs w:val="16"/>
              </w:rPr>
            </w:pPr>
          </w:p>
        </w:tc>
        <w:tc>
          <w:tcPr>
            <w:tcW w:w="709" w:type="dxa"/>
            <w:shd w:val="clear" w:color="auto" w:fill="FAFADC"/>
          </w:tcPr>
          <w:p w14:paraId="4848E7B7" w14:textId="0DA808D9" w:rsidR="000E7D75" w:rsidRPr="00CE2185" w:rsidRDefault="000E7D75" w:rsidP="000E7D75">
            <w:pPr>
              <w:jc w:val="right"/>
              <w:rPr>
                <w:noProof/>
                <w:sz w:val="16"/>
                <w:szCs w:val="16"/>
              </w:rPr>
            </w:pPr>
          </w:p>
        </w:tc>
        <w:tc>
          <w:tcPr>
            <w:tcW w:w="709" w:type="dxa"/>
            <w:shd w:val="clear" w:color="auto" w:fill="FAFADC"/>
          </w:tcPr>
          <w:p w14:paraId="6921348A" w14:textId="02599397" w:rsidR="000E7D75" w:rsidRPr="00CE2185" w:rsidRDefault="000E7D75" w:rsidP="000E7D75">
            <w:pPr>
              <w:jc w:val="right"/>
              <w:rPr>
                <w:noProof/>
                <w:sz w:val="16"/>
                <w:szCs w:val="16"/>
              </w:rPr>
            </w:pPr>
          </w:p>
        </w:tc>
        <w:tc>
          <w:tcPr>
            <w:tcW w:w="709" w:type="dxa"/>
            <w:shd w:val="clear" w:color="auto" w:fill="FAFADC"/>
          </w:tcPr>
          <w:p w14:paraId="3B8E8CA4" w14:textId="5630120B" w:rsidR="000E7D75" w:rsidRPr="00CE2185" w:rsidRDefault="000E7D75" w:rsidP="000E7D75">
            <w:pPr>
              <w:jc w:val="right"/>
              <w:rPr>
                <w:noProof/>
                <w:sz w:val="16"/>
                <w:szCs w:val="16"/>
              </w:rPr>
            </w:pPr>
          </w:p>
        </w:tc>
        <w:tc>
          <w:tcPr>
            <w:tcW w:w="1275" w:type="dxa"/>
            <w:shd w:val="clear" w:color="auto" w:fill="FAFADC"/>
          </w:tcPr>
          <w:p w14:paraId="35C1EDE0" w14:textId="5D22F146" w:rsidR="000E7D75" w:rsidRPr="00CE2185" w:rsidRDefault="000E7D75" w:rsidP="000E7D75">
            <w:pPr>
              <w:jc w:val="right"/>
              <w:rPr>
                <w:noProof/>
                <w:sz w:val="16"/>
                <w:szCs w:val="16"/>
              </w:rPr>
            </w:pPr>
            <w:r w:rsidRPr="00CE2185">
              <w:rPr>
                <w:noProof/>
                <w:sz w:val="16"/>
                <w:szCs w:val="16"/>
              </w:rPr>
              <w:t>2 000 000</w:t>
            </w:r>
          </w:p>
        </w:tc>
        <w:tc>
          <w:tcPr>
            <w:tcW w:w="1266" w:type="dxa"/>
            <w:shd w:val="clear" w:color="auto" w:fill="FAFADC"/>
          </w:tcPr>
          <w:p w14:paraId="20A61D86" w14:textId="208EE026" w:rsidR="000E7D75" w:rsidRPr="00CE2185" w:rsidRDefault="000E7D75" w:rsidP="000E7D75">
            <w:pPr>
              <w:jc w:val="right"/>
              <w:rPr>
                <w:noProof/>
                <w:sz w:val="16"/>
                <w:szCs w:val="16"/>
              </w:rPr>
            </w:pPr>
            <w:r w:rsidRPr="00CE2185">
              <w:rPr>
                <w:noProof/>
                <w:sz w:val="16"/>
                <w:szCs w:val="16"/>
              </w:rPr>
              <w:t>10 000 000</w:t>
            </w:r>
          </w:p>
        </w:tc>
      </w:tr>
      <w:tr w:rsidR="000E7D75" w:rsidRPr="00CE2185" w14:paraId="63EF781B" w14:textId="77777777" w:rsidTr="00A91FEB">
        <w:trPr>
          <w:trHeight w:val="94"/>
        </w:trPr>
        <w:tc>
          <w:tcPr>
            <w:tcW w:w="2660" w:type="dxa"/>
            <w:shd w:val="clear" w:color="auto" w:fill="FAFADC"/>
          </w:tcPr>
          <w:p w14:paraId="412A8483" w14:textId="142339CD" w:rsidR="000E7D75" w:rsidRPr="00CE2185" w:rsidRDefault="000E7D75" w:rsidP="000E7D75">
            <w:pPr>
              <w:spacing w:after="60"/>
              <w:rPr>
                <w:noProof/>
                <w:sz w:val="16"/>
                <w:szCs w:val="16"/>
              </w:rPr>
            </w:pPr>
            <w:r w:rsidRPr="00CE2185">
              <w:rPr>
                <w:noProof/>
                <w:sz w:val="16"/>
                <w:szCs w:val="16"/>
              </w:rPr>
              <w:t>CRA implementation</w:t>
            </w:r>
          </w:p>
        </w:tc>
        <w:tc>
          <w:tcPr>
            <w:tcW w:w="1418" w:type="dxa"/>
            <w:shd w:val="clear" w:color="auto" w:fill="FAFADC"/>
          </w:tcPr>
          <w:p w14:paraId="172A6BE9" w14:textId="77777777" w:rsidR="000E7D75" w:rsidRPr="00CE2185" w:rsidRDefault="000E7D75" w:rsidP="000E7D75">
            <w:pPr>
              <w:spacing w:after="60"/>
              <w:rPr>
                <w:noProof/>
                <w:sz w:val="16"/>
                <w:szCs w:val="16"/>
              </w:rPr>
            </w:pPr>
          </w:p>
        </w:tc>
        <w:tc>
          <w:tcPr>
            <w:tcW w:w="709" w:type="dxa"/>
            <w:shd w:val="clear" w:color="auto" w:fill="FAFADC"/>
          </w:tcPr>
          <w:p w14:paraId="517A86B6" w14:textId="77777777" w:rsidR="000E7D75" w:rsidRPr="00CE2185" w:rsidRDefault="000E7D75" w:rsidP="000E7D75">
            <w:pPr>
              <w:spacing w:after="60"/>
              <w:jc w:val="right"/>
              <w:rPr>
                <w:noProof/>
                <w:sz w:val="16"/>
                <w:szCs w:val="16"/>
              </w:rPr>
            </w:pPr>
          </w:p>
        </w:tc>
        <w:tc>
          <w:tcPr>
            <w:tcW w:w="708" w:type="dxa"/>
            <w:shd w:val="clear" w:color="auto" w:fill="FAFADC"/>
          </w:tcPr>
          <w:p w14:paraId="648ECF61" w14:textId="77777777" w:rsidR="000E7D75" w:rsidRPr="00CE2185" w:rsidRDefault="000E7D75" w:rsidP="000E7D75">
            <w:pPr>
              <w:spacing w:after="60"/>
              <w:jc w:val="right"/>
              <w:rPr>
                <w:noProof/>
                <w:sz w:val="16"/>
                <w:szCs w:val="16"/>
              </w:rPr>
            </w:pPr>
          </w:p>
        </w:tc>
        <w:tc>
          <w:tcPr>
            <w:tcW w:w="709" w:type="dxa"/>
            <w:shd w:val="clear" w:color="auto" w:fill="FAFADC"/>
          </w:tcPr>
          <w:p w14:paraId="55B69F38" w14:textId="77777777" w:rsidR="000E7D75" w:rsidRPr="00CE2185" w:rsidRDefault="000E7D75" w:rsidP="000E7D75">
            <w:pPr>
              <w:spacing w:after="60"/>
              <w:jc w:val="right"/>
              <w:rPr>
                <w:noProof/>
                <w:sz w:val="16"/>
                <w:szCs w:val="16"/>
              </w:rPr>
            </w:pPr>
          </w:p>
        </w:tc>
        <w:tc>
          <w:tcPr>
            <w:tcW w:w="709" w:type="dxa"/>
            <w:shd w:val="clear" w:color="auto" w:fill="FAFADC"/>
          </w:tcPr>
          <w:p w14:paraId="5A06FF29" w14:textId="77777777" w:rsidR="000E7D75" w:rsidRPr="00CE2185" w:rsidRDefault="000E7D75" w:rsidP="000E7D75">
            <w:pPr>
              <w:spacing w:after="60"/>
              <w:jc w:val="right"/>
              <w:rPr>
                <w:noProof/>
                <w:sz w:val="16"/>
                <w:szCs w:val="16"/>
              </w:rPr>
            </w:pPr>
          </w:p>
        </w:tc>
        <w:tc>
          <w:tcPr>
            <w:tcW w:w="709" w:type="dxa"/>
            <w:shd w:val="clear" w:color="auto" w:fill="FAFADC"/>
          </w:tcPr>
          <w:p w14:paraId="59779D3D" w14:textId="77777777" w:rsidR="000E7D75" w:rsidRPr="00CE2185" w:rsidRDefault="000E7D75" w:rsidP="000E7D75">
            <w:pPr>
              <w:spacing w:after="60"/>
              <w:jc w:val="right"/>
              <w:rPr>
                <w:noProof/>
                <w:sz w:val="16"/>
                <w:szCs w:val="16"/>
              </w:rPr>
            </w:pPr>
          </w:p>
        </w:tc>
        <w:tc>
          <w:tcPr>
            <w:tcW w:w="1275" w:type="dxa"/>
            <w:shd w:val="clear" w:color="auto" w:fill="FAFADC"/>
          </w:tcPr>
          <w:p w14:paraId="5CD802BA" w14:textId="58028CE0" w:rsidR="000E7D75" w:rsidRPr="00CE2185" w:rsidRDefault="000E7D75" w:rsidP="000E7D75">
            <w:pPr>
              <w:spacing w:after="60"/>
              <w:jc w:val="right"/>
              <w:rPr>
                <w:noProof/>
                <w:sz w:val="16"/>
                <w:szCs w:val="16"/>
              </w:rPr>
            </w:pPr>
            <w:r w:rsidRPr="00CE2185">
              <w:rPr>
                <w:noProof/>
                <w:sz w:val="16"/>
                <w:szCs w:val="16"/>
              </w:rPr>
              <w:t>2 000 000</w:t>
            </w:r>
          </w:p>
        </w:tc>
        <w:tc>
          <w:tcPr>
            <w:tcW w:w="1266" w:type="dxa"/>
            <w:shd w:val="clear" w:color="auto" w:fill="FAFADC"/>
          </w:tcPr>
          <w:p w14:paraId="65ED840B" w14:textId="4D94E5AF" w:rsidR="000E7D75" w:rsidRPr="00CE2185" w:rsidRDefault="000E7D75" w:rsidP="000E7D75">
            <w:pPr>
              <w:spacing w:after="60"/>
              <w:jc w:val="right"/>
              <w:rPr>
                <w:noProof/>
                <w:sz w:val="16"/>
                <w:szCs w:val="16"/>
              </w:rPr>
            </w:pPr>
            <w:r w:rsidRPr="00CE2185">
              <w:rPr>
                <w:noProof/>
                <w:sz w:val="16"/>
                <w:szCs w:val="16"/>
              </w:rPr>
              <w:t>10 000 000</w:t>
            </w:r>
          </w:p>
        </w:tc>
      </w:tr>
      <w:tr w:rsidR="000E7D75" w:rsidRPr="00CE2185" w14:paraId="1DB72A32" w14:textId="77777777" w:rsidTr="00A91FEB">
        <w:trPr>
          <w:trHeight w:val="94"/>
        </w:trPr>
        <w:tc>
          <w:tcPr>
            <w:tcW w:w="2660" w:type="dxa"/>
            <w:shd w:val="clear" w:color="auto" w:fill="FAFADC"/>
          </w:tcPr>
          <w:p w14:paraId="1BA3C95C" w14:textId="5D1E40D7" w:rsidR="000E7D75" w:rsidRPr="00CE2185" w:rsidRDefault="000E7D75" w:rsidP="000E7D75">
            <w:pPr>
              <w:spacing w:after="60"/>
              <w:rPr>
                <w:noProof/>
                <w:sz w:val="16"/>
                <w:szCs w:val="16"/>
              </w:rPr>
            </w:pPr>
            <w:r w:rsidRPr="00CE2185">
              <w:rPr>
                <w:noProof/>
                <w:sz w:val="16"/>
                <w:szCs w:val="16"/>
              </w:rPr>
              <w:t>CTI services</w:t>
            </w:r>
          </w:p>
        </w:tc>
        <w:tc>
          <w:tcPr>
            <w:tcW w:w="1418" w:type="dxa"/>
            <w:shd w:val="clear" w:color="auto" w:fill="FAFADC"/>
          </w:tcPr>
          <w:p w14:paraId="757097B3" w14:textId="77777777" w:rsidR="000E7D75" w:rsidRPr="00CE2185" w:rsidRDefault="000E7D75" w:rsidP="000E7D75">
            <w:pPr>
              <w:spacing w:after="60"/>
              <w:rPr>
                <w:noProof/>
                <w:sz w:val="16"/>
                <w:szCs w:val="16"/>
              </w:rPr>
            </w:pPr>
          </w:p>
        </w:tc>
        <w:tc>
          <w:tcPr>
            <w:tcW w:w="709" w:type="dxa"/>
            <w:shd w:val="clear" w:color="auto" w:fill="FAFADC"/>
          </w:tcPr>
          <w:p w14:paraId="7B78A097" w14:textId="77777777" w:rsidR="000E7D75" w:rsidRPr="00CE2185" w:rsidRDefault="000E7D75" w:rsidP="000E7D75">
            <w:pPr>
              <w:spacing w:after="60"/>
              <w:jc w:val="right"/>
              <w:rPr>
                <w:noProof/>
                <w:sz w:val="16"/>
                <w:szCs w:val="16"/>
              </w:rPr>
            </w:pPr>
          </w:p>
        </w:tc>
        <w:tc>
          <w:tcPr>
            <w:tcW w:w="708" w:type="dxa"/>
            <w:shd w:val="clear" w:color="auto" w:fill="FAFADC"/>
          </w:tcPr>
          <w:p w14:paraId="5DB5B6B7" w14:textId="77777777" w:rsidR="000E7D75" w:rsidRPr="00CE2185" w:rsidRDefault="000E7D75" w:rsidP="000E7D75">
            <w:pPr>
              <w:spacing w:after="60"/>
              <w:jc w:val="right"/>
              <w:rPr>
                <w:noProof/>
                <w:sz w:val="16"/>
                <w:szCs w:val="16"/>
              </w:rPr>
            </w:pPr>
          </w:p>
        </w:tc>
        <w:tc>
          <w:tcPr>
            <w:tcW w:w="709" w:type="dxa"/>
            <w:shd w:val="clear" w:color="auto" w:fill="FAFADC"/>
          </w:tcPr>
          <w:p w14:paraId="1F2F800C" w14:textId="77777777" w:rsidR="000E7D75" w:rsidRPr="00CE2185" w:rsidRDefault="000E7D75" w:rsidP="000E7D75">
            <w:pPr>
              <w:spacing w:after="60"/>
              <w:jc w:val="right"/>
              <w:rPr>
                <w:noProof/>
                <w:sz w:val="16"/>
                <w:szCs w:val="16"/>
              </w:rPr>
            </w:pPr>
          </w:p>
        </w:tc>
        <w:tc>
          <w:tcPr>
            <w:tcW w:w="709" w:type="dxa"/>
            <w:shd w:val="clear" w:color="auto" w:fill="FAFADC"/>
          </w:tcPr>
          <w:p w14:paraId="7C4FFF9B" w14:textId="77777777" w:rsidR="000E7D75" w:rsidRPr="00CE2185" w:rsidRDefault="000E7D75" w:rsidP="000E7D75">
            <w:pPr>
              <w:spacing w:after="60"/>
              <w:jc w:val="right"/>
              <w:rPr>
                <w:noProof/>
                <w:sz w:val="16"/>
                <w:szCs w:val="16"/>
              </w:rPr>
            </w:pPr>
          </w:p>
        </w:tc>
        <w:tc>
          <w:tcPr>
            <w:tcW w:w="709" w:type="dxa"/>
            <w:shd w:val="clear" w:color="auto" w:fill="FAFADC"/>
          </w:tcPr>
          <w:p w14:paraId="240DE6CE" w14:textId="77777777" w:rsidR="000E7D75" w:rsidRPr="00CE2185" w:rsidRDefault="000E7D75" w:rsidP="000E7D75">
            <w:pPr>
              <w:spacing w:after="60"/>
              <w:jc w:val="right"/>
              <w:rPr>
                <w:noProof/>
                <w:sz w:val="16"/>
                <w:szCs w:val="16"/>
              </w:rPr>
            </w:pPr>
          </w:p>
        </w:tc>
        <w:tc>
          <w:tcPr>
            <w:tcW w:w="1275" w:type="dxa"/>
            <w:shd w:val="clear" w:color="auto" w:fill="FAFADC"/>
          </w:tcPr>
          <w:p w14:paraId="445C2C4D" w14:textId="1B59AD79" w:rsidR="000E7D75" w:rsidRPr="00CE2185" w:rsidRDefault="000E7D75" w:rsidP="000E7D75">
            <w:pPr>
              <w:spacing w:after="60"/>
              <w:jc w:val="right"/>
              <w:rPr>
                <w:noProof/>
                <w:sz w:val="16"/>
                <w:szCs w:val="16"/>
              </w:rPr>
            </w:pPr>
            <w:r w:rsidRPr="00CE2185">
              <w:rPr>
                <w:noProof/>
                <w:sz w:val="16"/>
                <w:szCs w:val="16"/>
              </w:rPr>
              <w:t>4 000 000</w:t>
            </w:r>
          </w:p>
        </w:tc>
        <w:tc>
          <w:tcPr>
            <w:tcW w:w="1266" w:type="dxa"/>
            <w:shd w:val="clear" w:color="auto" w:fill="FAFADC"/>
          </w:tcPr>
          <w:p w14:paraId="1F1C5A0B" w14:textId="31847A20" w:rsidR="000E7D75" w:rsidRPr="00CE2185" w:rsidRDefault="000E7D75" w:rsidP="000E7D75">
            <w:pPr>
              <w:spacing w:after="60"/>
              <w:jc w:val="right"/>
              <w:rPr>
                <w:noProof/>
                <w:sz w:val="16"/>
                <w:szCs w:val="16"/>
              </w:rPr>
            </w:pPr>
            <w:r w:rsidRPr="00CE2185">
              <w:rPr>
                <w:noProof/>
                <w:sz w:val="16"/>
                <w:szCs w:val="16"/>
              </w:rPr>
              <w:t>20 000 000</w:t>
            </w:r>
          </w:p>
        </w:tc>
      </w:tr>
      <w:tr w:rsidR="000E7D75" w:rsidRPr="00CE2185" w14:paraId="27ECF3AD" w14:textId="77777777" w:rsidTr="00A91FEB">
        <w:trPr>
          <w:trHeight w:val="94"/>
        </w:trPr>
        <w:tc>
          <w:tcPr>
            <w:tcW w:w="2660" w:type="dxa"/>
            <w:shd w:val="clear" w:color="auto" w:fill="FAFADC"/>
          </w:tcPr>
          <w:p w14:paraId="1C3CFE2C" w14:textId="3EC7A61B" w:rsidR="000E7D75" w:rsidRPr="00CE2185" w:rsidRDefault="000E7D75" w:rsidP="000E7D75">
            <w:pPr>
              <w:spacing w:after="60"/>
              <w:rPr>
                <w:noProof/>
                <w:sz w:val="16"/>
                <w:szCs w:val="16"/>
              </w:rPr>
            </w:pPr>
            <w:r w:rsidRPr="00CE2185">
              <w:rPr>
                <w:noProof/>
                <w:sz w:val="16"/>
                <w:szCs w:val="16"/>
              </w:rPr>
              <w:t>Single entry point – one-off costs</w:t>
            </w:r>
          </w:p>
        </w:tc>
        <w:tc>
          <w:tcPr>
            <w:tcW w:w="1418" w:type="dxa"/>
            <w:shd w:val="clear" w:color="auto" w:fill="FAFADC"/>
          </w:tcPr>
          <w:p w14:paraId="6AEF98F3" w14:textId="1DC8CEC5" w:rsidR="000E7D75" w:rsidRPr="00CE2185" w:rsidRDefault="000E7D75" w:rsidP="000E7D75">
            <w:pPr>
              <w:spacing w:after="60"/>
              <w:rPr>
                <w:noProof/>
                <w:sz w:val="16"/>
                <w:szCs w:val="16"/>
              </w:rPr>
            </w:pPr>
            <w:r w:rsidRPr="00CE2185">
              <w:rPr>
                <w:noProof/>
                <w:sz w:val="16"/>
                <w:szCs w:val="16"/>
              </w:rPr>
              <w:t>Design, equipment, legislations</w:t>
            </w:r>
          </w:p>
        </w:tc>
        <w:tc>
          <w:tcPr>
            <w:tcW w:w="709" w:type="dxa"/>
            <w:shd w:val="clear" w:color="auto" w:fill="FAFADC"/>
          </w:tcPr>
          <w:p w14:paraId="04CBA09C" w14:textId="77777777" w:rsidR="000E7D75" w:rsidRPr="00CE2185" w:rsidRDefault="000E7D75" w:rsidP="000E7D75">
            <w:pPr>
              <w:spacing w:after="60"/>
              <w:jc w:val="right"/>
              <w:rPr>
                <w:noProof/>
                <w:sz w:val="16"/>
                <w:szCs w:val="16"/>
              </w:rPr>
            </w:pPr>
          </w:p>
        </w:tc>
        <w:tc>
          <w:tcPr>
            <w:tcW w:w="708" w:type="dxa"/>
            <w:shd w:val="clear" w:color="auto" w:fill="FAFADC"/>
          </w:tcPr>
          <w:p w14:paraId="12DD3DBE" w14:textId="77777777" w:rsidR="000E7D75" w:rsidRPr="00CE2185" w:rsidRDefault="000E7D75" w:rsidP="000E7D75">
            <w:pPr>
              <w:spacing w:after="60"/>
              <w:jc w:val="right"/>
              <w:rPr>
                <w:noProof/>
                <w:sz w:val="16"/>
                <w:szCs w:val="16"/>
              </w:rPr>
            </w:pPr>
          </w:p>
        </w:tc>
        <w:tc>
          <w:tcPr>
            <w:tcW w:w="709" w:type="dxa"/>
            <w:shd w:val="clear" w:color="auto" w:fill="FAFADC"/>
          </w:tcPr>
          <w:p w14:paraId="4C9656EC" w14:textId="77777777" w:rsidR="000E7D75" w:rsidRPr="00CE2185" w:rsidRDefault="000E7D75" w:rsidP="000E7D75">
            <w:pPr>
              <w:spacing w:after="60"/>
              <w:jc w:val="right"/>
              <w:rPr>
                <w:noProof/>
                <w:sz w:val="16"/>
                <w:szCs w:val="16"/>
              </w:rPr>
            </w:pPr>
          </w:p>
        </w:tc>
        <w:tc>
          <w:tcPr>
            <w:tcW w:w="709" w:type="dxa"/>
            <w:shd w:val="clear" w:color="auto" w:fill="FAFADC"/>
          </w:tcPr>
          <w:p w14:paraId="3E917EB7" w14:textId="77777777" w:rsidR="000E7D75" w:rsidRPr="00CE2185" w:rsidRDefault="000E7D75" w:rsidP="000E7D75">
            <w:pPr>
              <w:spacing w:after="60"/>
              <w:jc w:val="right"/>
              <w:rPr>
                <w:noProof/>
                <w:sz w:val="16"/>
                <w:szCs w:val="16"/>
              </w:rPr>
            </w:pPr>
          </w:p>
        </w:tc>
        <w:tc>
          <w:tcPr>
            <w:tcW w:w="709" w:type="dxa"/>
            <w:shd w:val="clear" w:color="auto" w:fill="FAFADC"/>
          </w:tcPr>
          <w:p w14:paraId="6EB70A4B" w14:textId="77777777" w:rsidR="000E7D75" w:rsidRPr="00CE2185" w:rsidRDefault="000E7D75" w:rsidP="000E7D75">
            <w:pPr>
              <w:spacing w:after="60"/>
              <w:jc w:val="right"/>
              <w:rPr>
                <w:noProof/>
                <w:sz w:val="16"/>
                <w:szCs w:val="16"/>
              </w:rPr>
            </w:pPr>
          </w:p>
        </w:tc>
        <w:tc>
          <w:tcPr>
            <w:tcW w:w="1275" w:type="dxa"/>
            <w:shd w:val="clear" w:color="auto" w:fill="FAFADC"/>
          </w:tcPr>
          <w:p w14:paraId="7F12DAF3" w14:textId="77777777" w:rsidR="000E7D75" w:rsidRPr="00CE2185" w:rsidRDefault="000E7D75" w:rsidP="000E7D75">
            <w:pPr>
              <w:spacing w:after="60"/>
              <w:jc w:val="right"/>
              <w:rPr>
                <w:noProof/>
                <w:sz w:val="16"/>
                <w:szCs w:val="16"/>
              </w:rPr>
            </w:pPr>
          </w:p>
        </w:tc>
        <w:tc>
          <w:tcPr>
            <w:tcW w:w="1266" w:type="dxa"/>
            <w:shd w:val="clear" w:color="auto" w:fill="FAFADC"/>
          </w:tcPr>
          <w:p w14:paraId="11669849" w14:textId="0922EF4F" w:rsidR="000E7D75" w:rsidRPr="00CE2185" w:rsidRDefault="000E7D75" w:rsidP="000E7D75">
            <w:pPr>
              <w:spacing w:after="60"/>
              <w:jc w:val="right"/>
              <w:rPr>
                <w:noProof/>
                <w:sz w:val="16"/>
                <w:szCs w:val="16"/>
              </w:rPr>
            </w:pPr>
            <w:r w:rsidRPr="00CE2185">
              <w:rPr>
                <w:noProof/>
                <w:sz w:val="16"/>
                <w:szCs w:val="16"/>
              </w:rPr>
              <w:t>8 000 000</w:t>
            </w:r>
          </w:p>
        </w:tc>
      </w:tr>
      <w:tr w:rsidR="000E7D75" w:rsidRPr="00CE2185" w14:paraId="6FA0A8E7" w14:textId="77777777" w:rsidTr="00A91FEB">
        <w:trPr>
          <w:trHeight w:val="94"/>
        </w:trPr>
        <w:tc>
          <w:tcPr>
            <w:tcW w:w="2660" w:type="dxa"/>
            <w:shd w:val="clear" w:color="auto" w:fill="FAFADC"/>
          </w:tcPr>
          <w:p w14:paraId="2A1053F3" w14:textId="2439E3DA" w:rsidR="000E7D75" w:rsidRPr="00CE2185" w:rsidRDefault="000E7D75" w:rsidP="000E7D75">
            <w:pPr>
              <w:spacing w:after="60"/>
              <w:rPr>
                <w:noProof/>
                <w:sz w:val="16"/>
                <w:szCs w:val="16"/>
              </w:rPr>
            </w:pPr>
            <w:r w:rsidRPr="00CE2185">
              <w:rPr>
                <w:bCs/>
                <w:noProof/>
                <w:sz w:val="16"/>
                <w:szCs w:val="16"/>
              </w:rPr>
              <w:t>Secure communications set-up (one-off costs)</w:t>
            </w:r>
          </w:p>
        </w:tc>
        <w:tc>
          <w:tcPr>
            <w:tcW w:w="1418" w:type="dxa"/>
            <w:shd w:val="clear" w:color="auto" w:fill="FAFADC"/>
          </w:tcPr>
          <w:p w14:paraId="4F716D10" w14:textId="77777777" w:rsidR="000E7D75" w:rsidRPr="00CE2185" w:rsidRDefault="000E7D75" w:rsidP="000E7D75">
            <w:pPr>
              <w:spacing w:after="60"/>
              <w:rPr>
                <w:noProof/>
                <w:sz w:val="16"/>
                <w:szCs w:val="16"/>
              </w:rPr>
            </w:pPr>
          </w:p>
        </w:tc>
        <w:tc>
          <w:tcPr>
            <w:tcW w:w="709" w:type="dxa"/>
            <w:shd w:val="clear" w:color="auto" w:fill="FAFADC"/>
          </w:tcPr>
          <w:p w14:paraId="4D71EC35" w14:textId="77777777" w:rsidR="000E7D75" w:rsidRPr="00CE2185" w:rsidRDefault="000E7D75" w:rsidP="000E7D75">
            <w:pPr>
              <w:spacing w:after="60"/>
              <w:jc w:val="right"/>
              <w:rPr>
                <w:noProof/>
                <w:sz w:val="16"/>
                <w:szCs w:val="16"/>
              </w:rPr>
            </w:pPr>
          </w:p>
        </w:tc>
        <w:tc>
          <w:tcPr>
            <w:tcW w:w="708" w:type="dxa"/>
            <w:shd w:val="clear" w:color="auto" w:fill="FAFADC"/>
          </w:tcPr>
          <w:p w14:paraId="267F8E96" w14:textId="77777777" w:rsidR="000E7D75" w:rsidRPr="00CE2185" w:rsidRDefault="000E7D75" w:rsidP="000E7D75">
            <w:pPr>
              <w:spacing w:after="60"/>
              <w:jc w:val="right"/>
              <w:rPr>
                <w:noProof/>
                <w:sz w:val="16"/>
                <w:szCs w:val="16"/>
              </w:rPr>
            </w:pPr>
          </w:p>
        </w:tc>
        <w:tc>
          <w:tcPr>
            <w:tcW w:w="709" w:type="dxa"/>
            <w:shd w:val="clear" w:color="auto" w:fill="FAFADC"/>
          </w:tcPr>
          <w:p w14:paraId="068DE876" w14:textId="77777777" w:rsidR="000E7D75" w:rsidRPr="00CE2185" w:rsidRDefault="000E7D75" w:rsidP="000E7D75">
            <w:pPr>
              <w:spacing w:after="60"/>
              <w:jc w:val="right"/>
              <w:rPr>
                <w:noProof/>
                <w:sz w:val="16"/>
                <w:szCs w:val="16"/>
              </w:rPr>
            </w:pPr>
          </w:p>
        </w:tc>
        <w:tc>
          <w:tcPr>
            <w:tcW w:w="709" w:type="dxa"/>
            <w:shd w:val="clear" w:color="auto" w:fill="FAFADC"/>
          </w:tcPr>
          <w:p w14:paraId="0D1BB3CA" w14:textId="77777777" w:rsidR="000E7D75" w:rsidRPr="00CE2185" w:rsidRDefault="000E7D75" w:rsidP="000E7D75">
            <w:pPr>
              <w:spacing w:after="60"/>
              <w:jc w:val="right"/>
              <w:rPr>
                <w:noProof/>
                <w:sz w:val="16"/>
                <w:szCs w:val="16"/>
              </w:rPr>
            </w:pPr>
          </w:p>
        </w:tc>
        <w:tc>
          <w:tcPr>
            <w:tcW w:w="709" w:type="dxa"/>
            <w:shd w:val="clear" w:color="auto" w:fill="FAFADC"/>
          </w:tcPr>
          <w:p w14:paraId="7ACCF358" w14:textId="77777777" w:rsidR="000E7D75" w:rsidRPr="00CE2185" w:rsidRDefault="000E7D75" w:rsidP="000E7D75">
            <w:pPr>
              <w:spacing w:after="60"/>
              <w:jc w:val="right"/>
              <w:rPr>
                <w:noProof/>
                <w:sz w:val="16"/>
                <w:szCs w:val="16"/>
              </w:rPr>
            </w:pPr>
          </w:p>
        </w:tc>
        <w:tc>
          <w:tcPr>
            <w:tcW w:w="1275" w:type="dxa"/>
            <w:shd w:val="clear" w:color="auto" w:fill="FAFADC"/>
          </w:tcPr>
          <w:p w14:paraId="23A06231" w14:textId="0F359508" w:rsidR="000E7D75" w:rsidRPr="00CE2185" w:rsidRDefault="000E7D75" w:rsidP="000E7D75">
            <w:pPr>
              <w:spacing w:after="60"/>
              <w:jc w:val="right"/>
              <w:rPr>
                <w:noProof/>
                <w:sz w:val="16"/>
                <w:szCs w:val="16"/>
              </w:rPr>
            </w:pPr>
          </w:p>
        </w:tc>
        <w:tc>
          <w:tcPr>
            <w:tcW w:w="1266" w:type="dxa"/>
            <w:shd w:val="clear" w:color="auto" w:fill="FAFADC"/>
          </w:tcPr>
          <w:p w14:paraId="5AE3C8F1" w14:textId="2D3C0B4C" w:rsidR="000E7D75" w:rsidRPr="00CE2185" w:rsidRDefault="000E7D75" w:rsidP="000E7D75">
            <w:pPr>
              <w:spacing w:after="60"/>
              <w:jc w:val="right"/>
              <w:rPr>
                <w:noProof/>
                <w:sz w:val="16"/>
                <w:szCs w:val="16"/>
              </w:rPr>
            </w:pPr>
            <w:r w:rsidRPr="00CE2185">
              <w:rPr>
                <w:noProof/>
                <w:sz w:val="16"/>
                <w:szCs w:val="16"/>
              </w:rPr>
              <w:t>1 100 000</w:t>
            </w:r>
          </w:p>
        </w:tc>
      </w:tr>
      <w:tr w:rsidR="000E7D75" w:rsidRPr="00CE2185" w14:paraId="37571F0A" w14:textId="77777777" w:rsidTr="00A91FEB">
        <w:trPr>
          <w:trHeight w:val="94"/>
        </w:trPr>
        <w:tc>
          <w:tcPr>
            <w:tcW w:w="2660" w:type="dxa"/>
            <w:shd w:val="clear" w:color="auto" w:fill="FAFADC"/>
          </w:tcPr>
          <w:p w14:paraId="3D18B056" w14:textId="7EEEA151" w:rsidR="000E7D75" w:rsidRPr="00CE2185" w:rsidDel="00793CDF" w:rsidRDefault="000E7D75" w:rsidP="000E7D75">
            <w:pPr>
              <w:spacing w:after="60"/>
              <w:rPr>
                <w:bCs/>
                <w:noProof/>
                <w:sz w:val="16"/>
                <w:szCs w:val="16"/>
              </w:rPr>
            </w:pPr>
            <w:r w:rsidRPr="00CE2185">
              <w:rPr>
                <w:bCs/>
                <w:noProof/>
                <w:sz w:val="16"/>
                <w:szCs w:val="16"/>
              </w:rPr>
              <w:t>Secure communications maintenance</w:t>
            </w:r>
          </w:p>
        </w:tc>
        <w:tc>
          <w:tcPr>
            <w:tcW w:w="1418" w:type="dxa"/>
            <w:shd w:val="clear" w:color="auto" w:fill="FAFADC"/>
          </w:tcPr>
          <w:p w14:paraId="7731A1EA" w14:textId="77777777" w:rsidR="000E7D75" w:rsidRPr="00CE2185" w:rsidRDefault="000E7D75" w:rsidP="000E7D75">
            <w:pPr>
              <w:spacing w:after="60"/>
              <w:rPr>
                <w:noProof/>
                <w:sz w:val="16"/>
                <w:szCs w:val="16"/>
              </w:rPr>
            </w:pPr>
          </w:p>
        </w:tc>
        <w:tc>
          <w:tcPr>
            <w:tcW w:w="709" w:type="dxa"/>
            <w:shd w:val="clear" w:color="auto" w:fill="FAFADC"/>
          </w:tcPr>
          <w:p w14:paraId="461D8F09" w14:textId="77777777" w:rsidR="000E7D75" w:rsidRPr="00CE2185" w:rsidRDefault="000E7D75" w:rsidP="000E7D75">
            <w:pPr>
              <w:spacing w:after="60"/>
              <w:jc w:val="right"/>
              <w:rPr>
                <w:noProof/>
                <w:sz w:val="16"/>
                <w:szCs w:val="16"/>
              </w:rPr>
            </w:pPr>
          </w:p>
        </w:tc>
        <w:tc>
          <w:tcPr>
            <w:tcW w:w="708" w:type="dxa"/>
            <w:shd w:val="clear" w:color="auto" w:fill="FAFADC"/>
          </w:tcPr>
          <w:p w14:paraId="77051E03" w14:textId="5B525F2C" w:rsidR="000E7D75" w:rsidRPr="00CE2185" w:rsidRDefault="000E7D75" w:rsidP="000E7D75">
            <w:pPr>
              <w:spacing w:after="60"/>
              <w:jc w:val="right"/>
              <w:rPr>
                <w:noProof/>
                <w:sz w:val="16"/>
                <w:szCs w:val="16"/>
              </w:rPr>
            </w:pPr>
          </w:p>
        </w:tc>
        <w:tc>
          <w:tcPr>
            <w:tcW w:w="709" w:type="dxa"/>
            <w:shd w:val="clear" w:color="auto" w:fill="FAFADC"/>
          </w:tcPr>
          <w:p w14:paraId="1A5D5FD0" w14:textId="77777777" w:rsidR="000E7D75" w:rsidRPr="00CE2185" w:rsidRDefault="000E7D75" w:rsidP="000E7D75">
            <w:pPr>
              <w:spacing w:after="60"/>
              <w:jc w:val="right"/>
              <w:rPr>
                <w:noProof/>
                <w:sz w:val="16"/>
                <w:szCs w:val="16"/>
              </w:rPr>
            </w:pPr>
          </w:p>
        </w:tc>
        <w:tc>
          <w:tcPr>
            <w:tcW w:w="709" w:type="dxa"/>
            <w:shd w:val="clear" w:color="auto" w:fill="FAFADC"/>
          </w:tcPr>
          <w:p w14:paraId="0B3178D2" w14:textId="77777777" w:rsidR="000E7D75" w:rsidRPr="00CE2185" w:rsidRDefault="000E7D75" w:rsidP="000E7D75">
            <w:pPr>
              <w:spacing w:after="60"/>
              <w:jc w:val="right"/>
              <w:rPr>
                <w:noProof/>
                <w:sz w:val="16"/>
                <w:szCs w:val="16"/>
              </w:rPr>
            </w:pPr>
          </w:p>
        </w:tc>
        <w:tc>
          <w:tcPr>
            <w:tcW w:w="709" w:type="dxa"/>
            <w:shd w:val="clear" w:color="auto" w:fill="FAFADC"/>
          </w:tcPr>
          <w:p w14:paraId="03F4C3FE" w14:textId="77777777" w:rsidR="000E7D75" w:rsidRPr="00CE2185" w:rsidRDefault="000E7D75" w:rsidP="000E7D75">
            <w:pPr>
              <w:spacing w:after="60"/>
              <w:jc w:val="right"/>
              <w:rPr>
                <w:noProof/>
                <w:sz w:val="16"/>
                <w:szCs w:val="16"/>
              </w:rPr>
            </w:pPr>
          </w:p>
        </w:tc>
        <w:tc>
          <w:tcPr>
            <w:tcW w:w="1275" w:type="dxa"/>
            <w:shd w:val="clear" w:color="auto" w:fill="FAFADC"/>
          </w:tcPr>
          <w:p w14:paraId="600FA77C" w14:textId="52907575" w:rsidR="000E7D75" w:rsidRPr="00CE2185" w:rsidDel="00793CDF" w:rsidRDefault="000E7D75" w:rsidP="000E7D75">
            <w:pPr>
              <w:spacing w:after="60"/>
              <w:jc w:val="right"/>
              <w:rPr>
                <w:noProof/>
                <w:sz w:val="16"/>
                <w:szCs w:val="16"/>
              </w:rPr>
            </w:pPr>
            <w:r w:rsidRPr="00CE2185">
              <w:rPr>
                <w:noProof/>
                <w:sz w:val="16"/>
                <w:szCs w:val="16"/>
              </w:rPr>
              <w:t>1 083 250</w:t>
            </w:r>
          </w:p>
        </w:tc>
        <w:tc>
          <w:tcPr>
            <w:tcW w:w="1266" w:type="dxa"/>
            <w:shd w:val="clear" w:color="auto" w:fill="FAFADC"/>
          </w:tcPr>
          <w:p w14:paraId="53993370" w14:textId="1082314E" w:rsidR="000E7D75" w:rsidRPr="00CE2185" w:rsidDel="00793CDF" w:rsidRDefault="000E7D75" w:rsidP="000E7D75">
            <w:pPr>
              <w:spacing w:after="60"/>
              <w:jc w:val="right"/>
              <w:rPr>
                <w:noProof/>
                <w:sz w:val="16"/>
                <w:szCs w:val="16"/>
              </w:rPr>
            </w:pPr>
            <w:r w:rsidRPr="00CE2185">
              <w:rPr>
                <w:noProof/>
                <w:sz w:val="16"/>
                <w:szCs w:val="16"/>
              </w:rPr>
              <w:t>4 333 000</w:t>
            </w:r>
          </w:p>
        </w:tc>
      </w:tr>
      <w:tr w:rsidR="000E7D75" w:rsidRPr="00CE2185" w14:paraId="4B4FC361" w14:textId="77777777" w:rsidTr="00A91FEB">
        <w:trPr>
          <w:trHeight w:val="94"/>
        </w:trPr>
        <w:tc>
          <w:tcPr>
            <w:tcW w:w="2660" w:type="dxa"/>
            <w:shd w:val="clear" w:color="auto" w:fill="FAFADC"/>
          </w:tcPr>
          <w:p w14:paraId="772AADB2" w14:textId="051C4A54" w:rsidR="000E7D75" w:rsidRPr="00CE2185" w:rsidRDefault="000E7D75" w:rsidP="000E7D75">
            <w:pPr>
              <w:spacing w:after="60"/>
              <w:rPr>
                <w:bCs/>
                <w:noProof/>
                <w:sz w:val="16"/>
                <w:szCs w:val="16"/>
              </w:rPr>
            </w:pPr>
            <w:r w:rsidRPr="00CE2185">
              <w:rPr>
                <w:bCs/>
                <w:noProof/>
                <w:sz w:val="16"/>
                <w:szCs w:val="16"/>
              </w:rPr>
              <w:t>Cyber maturity</w:t>
            </w:r>
          </w:p>
        </w:tc>
        <w:tc>
          <w:tcPr>
            <w:tcW w:w="1418" w:type="dxa"/>
            <w:shd w:val="clear" w:color="auto" w:fill="FAFADC"/>
          </w:tcPr>
          <w:p w14:paraId="3B56754F" w14:textId="77777777" w:rsidR="000E7D75" w:rsidRPr="00CE2185" w:rsidRDefault="000E7D75" w:rsidP="000E7D75">
            <w:pPr>
              <w:spacing w:after="60"/>
              <w:rPr>
                <w:noProof/>
                <w:sz w:val="16"/>
                <w:szCs w:val="16"/>
              </w:rPr>
            </w:pPr>
          </w:p>
        </w:tc>
        <w:tc>
          <w:tcPr>
            <w:tcW w:w="709" w:type="dxa"/>
            <w:shd w:val="clear" w:color="auto" w:fill="FAFADC"/>
          </w:tcPr>
          <w:p w14:paraId="7EDF240C" w14:textId="77777777" w:rsidR="000E7D75" w:rsidRPr="00CE2185" w:rsidRDefault="000E7D75" w:rsidP="000E7D75">
            <w:pPr>
              <w:spacing w:after="60"/>
              <w:jc w:val="right"/>
              <w:rPr>
                <w:noProof/>
                <w:sz w:val="16"/>
                <w:szCs w:val="16"/>
              </w:rPr>
            </w:pPr>
          </w:p>
        </w:tc>
        <w:tc>
          <w:tcPr>
            <w:tcW w:w="708" w:type="dxa"/>
            <w:shd w:val="clear" w:color="auto" w:fill="FAFADC"/>
          </w:tcPr>
          <w:p w14:paraId="5176E415" w14:textId="77777777" w:rsidR="000E7D75" w:rsidRPr="00CE2185" w:rsidRDefault="000E7D75" w:rsidP="000E7D75">
            <w:pPr>
              <w:spacing w:after="60"/>
              <w:jc w:val="right"/>
              <w:rPr>
                <w:noProof/>
                <w:sz w:val="16"/>
                <w:szCs w:val="16"/>
              </w:rPr>
            </w:pPr>
          </w:p>
        </w:tc>
        <w:tc>
          <w:tcPr>
            <w:tcW w:w="709" w:type="dxa"/>
            <w:shd w:val="clear" w:color="auto" w:fill="FAFADC"/>
          </w:tcPr>
          <w:p w14:paraId="5918E00E" w14:textId="77777777" w:rsidR="000E7D75" w:rsidRPr="00CE2185" w:rsidRDefault="000E7D75" w:rsidP="000E7D75">
            <w:pPr>
              <w:spacing w:after="60"/>
              <w:jc w:val="right"/>
              <w:rPr>
                <w:noProof/>
                <w:sz w:val="16"/>
                <w:szCs w:val="16"/>
              </w:rPr>
            </w:pPr>
          </w:p>
        </w:tc>
        <w:tc>
          <w:tcPr>
            <w:tcW w:w="709" w:type="dxa"/>
            <w:shd w:val="clear" w:color="auto" w:fill="FAFADC"/>
          </w:tcPr>
          <w:p w14:paraId="2A585E8A" w14:textId="77777777" w:rsidR="000E7D75" w:rsidRPr="00CE2185" w:rsidRDefault="000E7D75" w:rsidP="000E7D75">
            <w:pPr>
              <w:spacing w:after="60"/>
              <w:jc w:val="right"/>
              <w:rPr>
                <w:noProof/>
                <w:sz w:val="16"/>
                <w:szCs w:val="16"/>
              </w:rPr>
            </w:pPr>
          </w:p>
        </w:tc>
        <w:tc>
          <w:tcPr>
            <w:tcW w:w="709" w:type="dxa"/>
            <w:shd w:val="clear" w:color="auto" w:fill="FAFADC"/>
          </w:tcPr>
          <w:p w14:paraId="1B2FABBA" w14:textId="77777777" w:rsidR="000E7D75" w:rsidRPr="00CE2185" w:rsidRDefault="000E7D75" w:rsidP="000E7D75">
            <w:pPr>
              <w:spacing w:after="60"/>
              <w:jc w:val="right"/>
              <w:rPr>
                <w:noProof/>
                <w:sz w:val="16"/>
                <w:szCs w:val="16"/>
              </w:rPr>
            </w:pPr>
          </w:p>
        </w:tc>
        <w:tc>
          <w:tcPr>
            <w:tcW w:w="1275" w:type="dxa"/>
            <w:shd w:val="clear" w:color="auto" w:fill="FAFADC"/>
          </w:tcPr>
          <w:p w14:paraId="0EDBBF03" w14:textId="1CC1746A" w:rsidR="000E7D75" w:rsidRPr="00CE2185" w:rsidRDefault="000E7D75" w:rsidP="000E7D75">
            <w:pPr>
              <w:spacing w:after="60"/>
              <w:jc w:val="right"/>
              <w:rPr>
                <w:noProof/>
                <w:sz w:val="16"/>
                <w:szCs w:val="16"/>
              </w:rPr>
            </w:pPr>
            <w:r w:rsidRPr="00CE2185">
              <w:rPr>
                <w:noProof/>
                <w:sz w:val="16"/>
                <w:szCs w:val="16"/>
              </w:rPr>
              <w:t>3 000 000</w:t>
            </w:r>
          </w:p>
        </w:tc>
        <w:tc>
          <w:tcPr>
            <w:tcW w:w="1266" w:type="dxa"/>
            <w:shd w:val="clear" w:color="auto" w:fill="FAFADC"/>
          </w:tcPr>
          <w:p w14:paraId="1F3B91A9" w14:textId="047F5AB8" w:rsidR="000E7D75" w:rsidRPr="00CE2185" w:rsidRDefault="000E7D75" w:rsidP="000E7D75">
            <w:pPr>
              <w:spacing w:after="60"/>
              <w:jc w:val="right"/>
              <w:rPr>
                <w:noProof/>
                <w:sz w:val="16"/>
                <w:szCs w:val="16"/>
              </w:rPr>
            </w:pPr>
            <w:r w:rsidRPr="00CE2185">
              <w:rPr>
                <w:noProof/>
                <w:sz w:val="16"/>
                <w:szCs w:val="16"/>
              </w:rPr>
              <w:t>15 000 000</w:t>
            </w:r>
          </w:p>
        </w:tc>
      </w:tr>
      <w:tr w:rsidR="000E7D75" w:rsidRPr="00CE2185" w14:paraId="4181C715" w14:textId="77777777" w:rsidTr="006529E5">
        <w:trPr>
          <w:trHeight w:val="94"/>
        </w:trPr>
        <w:tc>
          <w:tcPr>
            <w:tcW w:w="2660" w:type="dxa"/>
            <w:shd w:val="clear" w:color="auto" w:fill="FBD4B4" w:themeFill="accent6" w:themeFillTint="66"/>
          </w:tcPr>
          <w:p w14:paraId="61B2BE14" w14:textId="285AAC05" w:rsidR="000E7D75" w:rsidRPr="00CE2185" w:rsidRDefault="000E7D75" w:rsidP="000E7D75">
            <w:pPr>
              <w:spacing w:after="60"/>
              <w:rPr>
                <w:b/>
                <w:noProof/>
                <w:sz w:val="16"/>
                <w:szCs w:val="16"/>
              </w:rPr>
            </w:pPr>
            <w:r w:rsidRPr="00CE2185">
              <w:rPr>
                <w:b/>
                <w:noProof/>
                <w:sz w:val="16"/>
                <w:szCs w:val="16"/>
              </w:rPr>
              <w:t>Total costs for ENISA</w:t>
            </w:r>
          </w:p>
        </w:tc>
        <w:tc>
          <w:tcPr>
            <w:tcW w:w="1418" w:type="dxa"/>
            <w:shd w:val="clear" w:color="auto" w:fill="FBD4B4" w:themeFill="accent6" w:themeFillTint="66"/>
          </w:tcPr>
          <w:p w14:paraId="2132F80F" w14:textId="77777777" w:rsidR="000E7D75" w:rsidRPr="00CE2185" w:rsidRDefault="000E7D75" w:rsidP="000E7D75">
            <w:pPr>
              <w:spacing w:after="60"/>
              <w:rPr>
                <w:b/>
                <w:noProof/>
                <w:sz w:val="16"/>
                <w:szCs w:val="16"/>
              </w:rPr>
            </w:pPr>
          </w:p>
        </w:tc>
        <w:tc>
          <w:tcPr>
            <w:tcW w:w="709" w:type="dxa"/>
            <w:shd w:val="clear" w:color="auto" w:fill="FBD4B4" w:themeFill="accent6" w:themeFillTint="66"/>
          </w:tcPr>
          <w:p w14:paraId="3B63156A" w14:textId="77777777" w:rsidR="000E7D75" w:rsidRPr="00CE2185" w:rsidRDefault="000E7D75" w:rsidP="000E7D75">
            <w:pPr>
              <w:spacing w:after="60"/>
              <w:jc w:val="right"/>
              <w:rPr>
                <w:b/>
                <w:noProof/>
                <w:sz w:val="16"/>
                <w:szCs w:val="16"/>
              </w:rPr>
            </w:pPr>
          </w:p>
        </w:tc>
        <w:tc>
          <w:tcPr>
            <w:tcW w:w="708" w:type="dxa"/>
            <w:shd w:val="clear" w:color="auto" w:fill="FBD4B4" w:themeFill="accent6" w:themeFillTint="66"/>
          </w:tcPr>
          <w:p w14:paraId="633965A9"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2BFE02A6"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4AB8769E"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21AB5CD9" w14:textId="77777777" w:rsidR="000E7D75" w:rsidRPr="00CE2185" w:rsidRDefault="000E7D75" w:rsidP="000E7D75">
            <w:pPr>
              <w:spacing w:after="60"/>
              <w:jc w:val="right"/>
              <w:rPr>
                <w:b/>
                <w:noProof/>
                <w:sz w:val="16"/>
                <w:szCs w:val="16"/>
              </w:rPr>
            </w:pPr>
          </w:p>
        </w:tc>
        <w:tc>
          <w:tcPr>
            <w:tcW w:w="1275" w:type="dxa"/>
            <w:shd w:val="clear" w:color="auto" w:fill="FBD4B4" w:themeFill="accent6" w:themeFillTint="66"/>
          </w:tcPr>
          <w:p w14:paraId="4615B551" w14:textId="77777777" w:rsidR="000E7D75" w:rsidRPr="00CE2185" w:rsidRDefault="000E7D75" w:rsidP="000E7D75">
            <w:pPr>
              <w:spacing w:after="60"/>
              <w:jc w:val="right"/>
              <w:rPr>
                <w:b/>
                <w:noProof/>
                <w:sz w:val="16"/>
                <w:szCs w:val="16"/>
              </w:rPr>
            </w:pPr>
          </w:p>
        </w:tc>
        <w:tc>
          <w:tcPr>
            <w:tcW w:w="1266" w:type="dxa"/>
            <w:shd w:val="clear" w:color="auto" w:fill="FBD4B4" w:themeFill="accent6" w:themeFillTint="66"/>
          </w:tcPr>
          <w:p w14:paraId="49D9BF04" w14:textId="738A2CEF" w:rsidR="000E7D75" w:rsidRPr="00CE2185" w:rsidRDefault="000E7D75" w:rsidP="000E7D75">
            <w:pPr>
              <w:spacing w:after="60"/>
              <w:jc w:val="right"/>
              <w:rPr>
                <w:b/>
                <w:noProof/>
                <w:sz w:val="16"/>
                <w:szCs w:val="16"/>
              </w:rPr>
            </w:pPr>
            <w:r w:rsidRPr="00CE2185">
              <w:rPr>
                <w:b/>
                <w:bCs/>
                <w:noProof/>
                <w:sz w:val="16"/>
                <w:szCs w:val="16"/>
              </w:rPr>
              <w:t>148 118 870</w:t>
            </w:r>
            <w:r w:rsidRPr="00CE2185">
              <w:rPr>
                <w:b/>
                <w:noProof/>
                <w:sz w:val="16"/>
                <w:szCs w:val="16"/>
              </w:rPr>
              <w:t> </w:t>
            </w:r>
          </w:p>
        </w:tc>
      </w:tr>
      <w:tr w:rsidR="000E7D75" w:rsidRPr="00CE2185" w14:paraId="7F11E755" w14:textId="77777777" w:rsidTr="006529E5">
        <w:trPr>
          <w:trHeight w:val="94"/>
        </w:trPr>
        <w:tc>
          <w:tcPr>
            <w:tcW w:w="2660" w:type="dxa"/>
            <w:shd w:val="clear" w:color="auto" w:fill="FBD4B4" w:themeFill="accent6" w:themeFillTint="66"/>
          </w:tcPr>
          <w:p w14:paraId="1A298BC5" w14:textId="77777777" w:rsidR="000E7D75" w:rsidRPr="00CE2185" w:rsidRDefault="000E7D75" w:rsidP="000E7D75">
            <w:pPr>
              <w:spacing w:after="60"/>
              <w:rPr>
                <w:b/>
                <w:noProof/>
                <w:sz w:val="16"/>
                <w:szCs w:val="16"/>
              </w:rPr>
            </w:pPr>
            <w:r w:rsidRPr="00CE2185">
              <w:rPr>
                <w:b/>
                <w:noProof/>
                <w:sz w:val="16"/>
                <w:szCs w:val="16"/>
              </w:rPr>
              <w:t>Member States</w:t>
            </w:r>
          </w:p>
        </w:tc>
        <w:tc>
          <w:tcPr>
            <w:tcW w:w="1418" w:type="dxa"/>
            <w:shd w:val="clear" w:color="auto" w:fill="FBD4B4" w:themeFill="accent6" w:themeFillTint="66"/>
          </w:tcPr>
          <w:p w14:paraId="46E3B160" w14:textId="77777777" w:rsidR="000E7D75" w:rsidRPr="00CE2185" w:rsidRDefault="000E7D75" w:rsidP="000E7D75">
            <w:pPr>
              <w:spacing w:after="60"/>
              <w:rPr>
                <w:b/>
                <w:noProof/>
                <w:sz w:val="16"/>
                <w:szCs w:val="16"/>
              </w:rPr>
            </w:pPr>
          </w:p>
        </w:tc>
        <w:tc>
          <w:tcPr>
            <w:tcW w:w="709" w:type="dxa"/>
            <w:shd w:val="clear" w:color="auto" w:fill="FBD4B4" w:themeFill="accent6" w:themeFillTint="66"/>
          </w:tcPr>
          <w:p w14:paraId="28187B2E" w14:textId="77777777" w:rsidR="000E7D75" w:rsidRPr="00CE2185" w:rsidRDefault="000E7D75" w:rsidP="000E7D75">
            <w:pPr>
              <w:spacing w:after="60"/>
              <w:jc w:val="right"/>
              <w:rPr>
                <w:b/>
                <w:noProof/>
                <w:sz w:val="16"/>
                <w:szCs w:val="16"/>
              </w:rPr>
            </w:pPr>
          </w:p>
        </w:tc>
        <w:tc>
          <w:tcPr>
            <w:tcW w:w="708" w:type="dxa"/>
            <w:shd w:val="clear" w:color="auto" w:fill="FBD4B4" w:themeFill="accent6" w:themeFillTint="66"/>
          </w:tcPr>
          <w:p w14:paraId="4E3A5C3E"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2FF189C5"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603F1CD6" w14:textId="77777777" w:rsidR="000E7D75" w:rsidRPr="00CE2185" w:rsidRDefault="000E7D75" w:rsidP="000E7D75">
            <w:pPr>
              <w:spacing w:after="60"/>
              <w:jc w:val="right"/>
              <w:rPr>
                <w:b/>
                <w:noProof/>
                <w:sz w:val="16"/>
                <w:szCs w:val="16"/>
              </w:rPr>
            </w:pPr>
          </w:p>
        </w:tc>
        <w:tc>
          <w:tcPr>
            <w:tcW w:w="709" w:type="dxa"/>
            <w:shd w:val="clear" w:color="auto" w:fill="FBD4B4" w:themeFill="accent6" w:themeFillTint="66"/>
          </w:tcPr>
          <w:p w14:paraId="70422883" w14:textId="77777777" w:rsidR="000E7D75" w:rsidRPr="00CE2185" w:rsidRDefault="000E7D75" w:rsidP="000E7D75">
            <w:pPr>
              <w:spacing w:after="60"/>
              <w:jc w:val="right"/>
              <w:rPr>
                <w:b/>
                <w:noProof/>
                <w:sz w:val="16"/>
                <w:szCs w:val="16"/>
              </w:rPr>
            </w:pPr>
          </w:p>
        </w:tc>
        <w:tc>
          <w:tcPr>
            <w:tcW w:w="1275" w:type="dxa"/>
            <w:shd w:val="clear" w:color="auto" w:fill="FBD4B4" w:themeFill="accent6" w:themeFillTint="66"/>
          </w:tcPr>
          <w:p w14:paraId="35192393" w14:textId="77777777" w:rsidR="000E7D75" w:rsidRPr="00CE2185" w:rsidRDefault="000E7D75" w:rsidP="000E7D75">
            <w:pPr>
              <w:spacing w:after="60"/>
              <w:jc w:val="right"/>
              <w:rPr>
                <w:b/>
                <w:noProof/>
                <w:sz w:val="16"/>
                <w:szCs w:val="16"/>
              </w:rPr>
            </w:pPr>
          </w:p>
        </w:tc>
        <w:tc>
          <w:tcPr>
            <w:tcW w:w="1266" w:type="dxa"/>
            <w:shd w:val="clear" w:color="auto" w:fill="FBD4B4" w:themeFill="accent6" w:themeFillTint="66"/>
          </w:tcPr>
          <w:p w14:paraId="20768D27" w14:textId="77777777" w:rsidR="000E7D75" w:rsidRPr="00CE2185" w:rsidRDefault="000E7D75" w:rsidP="000E7D75">
            <w:pPr>
              <w:spacing w:after="60"/>
              <w:jc w:val="right"/>
              <w:rPr>
                <w:b/>
                <w:noProof/>
                <w:sz w:val="16"/>
                <w:szCs w:val="16"/>
              </w:rPr>
            </w:pPr>
          </w:p>
        </w:tc>
      </w:tr>
      <w:tr w:rsidR="000E7D75" w:rsidRPr="00CE2185" w14:paraId="5D70BE7C" w14:textId="77777777" w:rsidTr="006529E5">
        <w:trPr>
          <w:trHeight w:val="67"/>
        </w:trPr>
        <w:tc>
          <w:tcPr>
            <w:tcW w:w="2660" w:type="dxa"/>
            <w:shd w:val="clear" w:color="auto" w:fill="FDE9D9" w:themeFill="accent6" w:themeFillTint="33"/>
          </w:tcPr>
          <w:p w14:paraId="6CE4A3BC" w14:textId="0AAC4331" w:rsidR="000E7D75" w:rsidRPr="00CE2185" w:rsidRDefault="000E7D75" w:rsidP="000E7D75">
            <w:pPr>
              <w:spacing w:after="60"/>
              <w:rPr>
                <w:noProof/>
                <w:sz w:val="16"/>
                <w:szCs w:val="16"/>
              </w:rPr>
            </w:pPr>
            <w:r w:rsidRPr="00CE2185">
              <w:rPr>
                <w:noProof/>
                <w:sz w:val="16"/>
                <w:szCs w:val="16"/>
              </w:rPr>
              <w:t>NLOs seconded to ENISA (budget split between. ENISA and MS)</w:t>
            </w:r>
          </w:p>
        </w:tc>
        <w:tc>
          <w:tcPr>
            <w:tcW w:w="1418" w:type="dxa"/>
            <w:shd w:val="clear" w:color="auto" w:fill="FDE9D9" w:themeFill="accent6" w:themeFillTint="33"/>
          </w:tcPr>
          <w:p w14:paraId="1A6A46E1" w14:textId="77777777" w:rsidR="000E7D75" w:rsidRPr="00CE2185" w:rsidRDefault="000E7D75" w:rsidP="000E7D75">
            <w:pPr>
              <w:spacing w:after="60"/>
              <w:rPr>
                <w:noProof/>
                <w:sz w:val="16"/>
                <w:szCs w:val="16"/>
              </w:rPr>
            </w:pPr>
            <w:r w:rsidRPr="00CE2185">
              <w:rPr>
                <w:noProof/>
                <w:sz w:val="16"/>
                <w:szCs w:val="16"/>
              </w:rPr>
              <w:t>MS budget</w:t>
            </w:r>
          </w:p>
        </w:tc>
        <w:tc>
          <w:tcPr>
            <w:tcW w:w="709" w:type="dxa"/>
            <w:shd w:val="clear" w:color="auto" w:fill="FDE9D9" w:themeFill="accent6" w:themeFillTint="33"/>
          </w:tcPr>
          <w:p w14:paraId="7A2DE8A5" w14:textId="16EAD439" w:rsidR="000E7D75" w:rsidRPr="00CE2185" w:rsidRDefault="000E7D75" w:rsidP="000E7D75">
            <w:pPr>
              <w:spacing w:after="60"/>
              <w:jc w:val="right"/>
              <w:rPr>
                <w:i/>
                <w:noProof/>
                <w:sz w:val="16"/>
                <w:szCs w:val="16"/>
              </w:rPr>
            </w:pPr>
            <w:r w:rsidRPr="00CE2185">
              <w:rPr>
                <w:i/>
                <w:noProof/>
                <w:sz w:val="16"/>
                <w:szCs w:val="16"/>
              </w:rPr>
              <w:t>(40)</w:t>
            </w:r>
          </w:p>
        </w:tc>
        <w:tc>
          <w:tcPr>
            <w:tcW w:w="708" w:type="dxa"/>
            <w:shd w:val="clear" w:color="auto" w:fill="FDE9D9" w:themeFill="accent6" w:themeFillTint="33"/>
          </w:tcPr>
          <w:p w14:paraId="4E430A03" w14:textId="49DC4AE0" w:rsidR="000E7D75" w:rsidRPr="00CE2185" w:rsidRDefault="000E7D75" w:rsidP="000E7D75">
            <w:pPr>
              <w:spacing w:after="60"/>
              <w:jc w:val="right"/>
              <w:rPr>
                <w:i/>
                <w:noProof/>
                <w:sz w:val="16"/>
                <w:szCs w:val="16"/>
              </w:rPr>
            </w:pPr>
            <w:r w:rsidRPr="00CE2185">
              <w:rPr>
                <w:i/>
                <w:noProof/>
                <w:sz w:val="16"/>
                <w:szCs w:val="16"/>
              </w:rPr>
              <w:t>(40)</w:t>
            </w:r>
          </w:p>
        </w:tc>
        <w:tc>
          <w:tcPr>
            <w:tcW w:w="709" w:type="dxa"/>
            <w:shd w:val="clear" w:color="auto" w:fill="FDE9D9" w:themeFill="accent6" w:themeFillTint="33"/>
          </w:tcPr>
          <w:p w14:paraId="7CE3E988" w14:textId="233147BF" w:rsidR="000E7D75" w:rsidRPr="00CE2185" w:rsidRDefault="000E7D75" w:rsidP="000E7D75">
            <w:pPr>
              <w:spacing w:after="60"/>
              <w:jc w:val="right"/>
              <w:rPr>
                <w:i/>
                <w:noProof/>
                <w:sz w:val="16"/>
                <w:szCs w:val="16"/>
              </w:rPr>
            </w:pPr>
            <w:r w:rsidRPr="00CE2185">
              <w:rPr>
                <w:i/>
                <w:noProof/>
                <w:sz w:val="16"/>
                <w:szCs w:val="16"/>
              </w:rPr>
              <w:t>(40)</w:t>
            </w:r>
          </w:p>
        </w:tc>
        <w:tc>
          <w:tcPr>
            <w:tcW w:w="709" w:type="dxa"/>
            <w:shd w:val="clear" w:color="auto" w:fill="FDE9D9" w:themeFill="accent6" w:themeFillTint="33"/>
          </w:tcPr>
          <w:p w14:paraId="4E82FB72" w14:textId="349A3218" w:rsidR="000E7D75" w:rsidRPr="00CE2185" w:rsidRDefault="000E7D75" w:rsidP="000E7D75">
            <w:pPr>
              <w:spacing w:after="60"/>
              <w:jc w:val="right"/>
              <w:rPr>
                <w:i/>
                <w:noProof/>
                <w:sz w:val="16"/>
                <w:szCs w:val="16"/>
              </w:rPr>
            </w:pPr>
            <w:r w:rsidRPr="00CE2185">
              <w:rPr>
                <w:i/>
                <w:noProof/>
                <w:sz w:val="16"/>
                <w:szCs w:val="16"/>
              </w:rPr>
              <w:t>(40)</w:t>
            </w:r>
          </w:p>
        </w:tc>
        <w:tc>
          <w:tcPr>
            <w:tcW w:w="709" w:type="dxa"/>
            <w:shd w:val="clear" w:color="auto" w:fill="FDE9D9" w:themeFill="accent6" w:themeFillTint="33"/>
          </w:tcPr>
          <w:p w14:paraId="11F513C4" w14:textId="1A80960B" w:rsidR="000E7D75" w:rsidRPr="00CE2185" w:rsidRDefault="000E7D75" w:rsidP="000E7D75">
            <w:pPr>
              <w:spacing w:after="60"/>
              <w:jc w:val="right"/>
              <w:rPr>
                <w:i/>
                <w:noProof/>
                <w:sz w:val="16"/>
                <w:szCs w:val="16"/>
              </w:rPr>
            </w:pPr>
            <w:r w:rsidRPr="00CE2185">
              <w:rPr>
                <w:i/>
                <w:noProof/>
                <w:sz w:val="16"/>
                <w:szCs w:val="16"/>
              </w:rPr>
              <w:t>(40)</w:t>
            </w:r>
          </w:p>
        </w:tc>
        <w:tc>
          <w:tcPr>
            <w:tcW w:w="1275" w:type="dxa"/>
            <w:shd w:val="clear" w:color="auto" w:fill="FDE9D9" w:themeFill="accent6" w:themeFillTint="33"/>
          </w:tcPr>
          <w:p w14:paraId="02040765" w14:textId="5208D6DF" w:rsidR="000E7D75" w:rsidRPr="00CE2185" w:rsidRDefault="000E7D75" w:rsidP="000E7D75">
            <w:pPr>
              <w:spacing w:after="60"/>
              <w:jc w:val="right"/>
              <w:rPr>
                <w:noProof/>
                <w:sz w:val="16"/>
                <w:szCs w:val="16"/>
              </w:rPr>
            </w:pPr>
            <w:r w:rsidRPr="00CE2185">
              <w:rPr>
                <w:noProof/>
                <w:sz w:val="16"/>
                <w:szCs w:val="16"/>
              </w:rPr>
              <w:t>2 260 000</w:t>
            </w:r>
          </w:p>
        </w:tc>
        <w:tc>
          <w:tcPr>
            <w:tcW w:w="1266" w:type="dxa"/>
            <w:shd w:val="clear" w:color="auto" w:fill="FDE9D9" w:themeFill="accent6" w:themeFillTint="33"/>
          </w:tcPr>
          <w:p w14:paraId="6F9C6237" w14:textId="38280FAA" w:rsidR="000E7D75" w:rsidRPr="00CE2185" w:rsidRDefault="000E7D75" w:rsidP="000E7D75">
            <w:pPr>
              <w:spacing w:after="60"/>
              <w:jc w:val="right"/>
              <w:rPr>
                <w:noProof/>
                <w:sz w:val="16"/>
                <w:szCs w:val="16"/>
              </w:rPr>
            </w:pPr>
            <w:r w:rsidRPr="00CE2185">
              <w:rPr>
                <w:noProof/>
                <w:sz w:val="16"/>
                <w:szCs w:val="16"/>
              </w:rPr>
              <w:t>11 300 000</w:t>
            </w:r>
          </w:p>
        </w:tc>
      </w:tr>
      <w:tr w:rsidR="000E7D75" w:rsidRPr="00CE2185" w14:paraId="2ACA2EDD" w14:textId="77777777" w:rsidTr="006529E5">
        <w:trPr>
          <w:trHeight w:val="278"/>
        </w:trPr>
        <w:tc>
          <w:tcPr>
            <w:tcW w:w="2660" w:type="dxa"/>
            <w:shd w:val="clear" w:color="auto" w:fill="FDE9D9" w:themeFill="accent6" w:themeFillTint="33"/>
          </w:tcPr>
          <w:p w14:paraId="4948782F" w14:textId="1E10DDC0" w:rsidR="000E7D75" w:rsidRPr="00CE2185" w:rsidRDefault="000E7D75" w:rsidP="000E7D75">
            <w:pPr>
              <w:spacing w:after="60"/>
              <w:rPr>
                <w:b/>
                <w:noProof/>
                <w:sz w:val="16"/>
                <w:szCs w:val="16"/>
              </w:rPr>
            </w:pPr>
            <w:r w:rsidRPr="00CE2185">
              <w:rPr>
                <w:b/>
                <w:noProof/>
                <w:sz w:val="16"/>
                <w:szCs w:val="16"/>
              </w:rPr>
              <w:t>TOTAL for Member States</w:t>
            </w:r>
          </w:p>
        </w:tc>
        <w:tc>
          <w:tcPr>
            <w:tcW w:w="1418" w:type="dxa"/>
            <w:shd w:val="clear" w:color="auto" w:fill="FDE9D9" w:themeFill="accent6" w:themeFillTint="33"/>
          </w:tcPr>
          <w:p w14:paraId="7C377471" w14:textId="77777777" w:rsidR="000E7D75" w:rsidRPr="00CE2185" w:rsidRDefault="000E7D75" w:rsidP="000E7D75">
            <w:pPr>
              <w:spacing w:after="60"/>
              <w:rPr>
                <w:b/>
                <w:noProof/>
                <w:sz w:val="16"/>
                <w:szCs w:val="16"/>
              </w:rPr>
            </w:pPr>
          </w:p>
        </w:tc>
        <w:tc>
          <w:tcPr>
            <w:tcW w:w="709" w:type="dxa"/>
            <w:shd w:val="clear" w:color="auto" w:fill="FDE9D9" w:themeFill="accent6" w:themeFillTint="33"/>
          </w:tcPr>
          <w:p w14:paraId="767B1D4A" w14:textId="73EDC0C0" w:rsidR="000E7D75" w:rsidRPr="00CE2185" w:rsidRDefault="000E7D75" w:rsidP="000E7D75">
            <w:pPr>
              <w:spacing w:after="60"/>
              <w:jc w:val="right"/>
              <w:rPr>
                <w:b/>
                <w:noProof/>
                <w:sz w:val="16"/>
                <w:szCs w:val="16"/>
              </w:rPr>
            </w:pPr>
            <w:r w:rsidRPr="00CE2185">
              <w:rPr>
                <w:i/>
                <w:noProof/>
                <w:sz w:val="16"/>
                <w:szCs w:val="16"/>
              </w:rPr>
              <w:t>(40)</w:t>
            </w:r>
          </w:p>
        </w:tc>
        <w:tc>
          <w:tcPr>
            <w:tcW w:w="708" w:type="dxa"/>
            <w:shd w:val="clear" w:color="auto" w:fill="FDE9D9" w:themeFill="accent6" w:themeFillTint="33"/>
          </w:tcPr>
          <w:p w14:paraId="6C1FA507" w14:textId="03087758" w:rsidR="000E7D75" w:rsidRPr="00CE2185" w:rsidRDefault="000E7D75" w:rsidP="000E7D75">
            <w:pPr>
              <w:spacing w:after="60"/>
              <w:jc w:val="right"/>
              <w:rPr>
                <w:b/>
                <w:noProof/>
                <w:sz w:val="16"/>
                <w:szCs w:val="16"/>
              </w:rPr>
            </w:pPr>
            <w:r w:rsidRPr="00CE2185">
              <w:rPr>
                <w:i/>
                <w:noProof/>
                <w:sz w:val="16"/>
                <w:szCs w:val="16"/>
              </w:rPr>
              <w:t>(40)</w:t>
            </w:r>
          </w:p>
        </w:tc>
        <w:tc>
          <w:tcPr>
            <w:tcW w:w="709" w:type="dxa"/>
            <w:shd w:val="clear" w:color="auto" w:fill="FDE9D9" w:themeFill="accent6" w:themeFillTint="33"/>
          </w:tcPr>
          <w:p w14:paraId="150AF535" w14:textId="76D72C87" w:rsidR="000E7D75" w:rsidRPr="00CE2185" w:rsidRDefault="000E7D75" w:rsidP="000E7D75">
            <w:pPr>
              <w:spacing w:after="60"/>
              <w:jc w:val="right"/>
              <w:rPr>
                <w:b/>
                <w:noProof/>
                <w:sz w:val="16"/>
                <w:szCs w:val="16"/>
              </w:rPr>
            </w:pPr>
            <w:r w:rsidRPr="00CE2185">
              <w:rPr>
                <w:i/>
                <w:noProof/>
                <w:sz w:val="16"/>
                <w:szCs w:val="16"/>
              </w:rPr>
              <w:t>(40)</w:t>
            </w:r>
          </w:p>
        </w:tc>
        <w:tc>
          <w:tcPr>
            <w:tcW w:w="709" w:type="dxa"/>
            <w:shd w:val="clear" w:color="auto" w:fill="FDE9D9" w:themeFill="accent6" w:themeFillTint="33"/>
          </w:tcPr>
          <w:p w14:paraId="606DA8E0" w14:textId="37D434C7" w:rsidR="000E7D75" w:rsidRPr="00CE2185" w:rsidRDefault="000E7D75" w:rsidP="000E7D75">
            <w:pPr>
              <w:spacing w:after="60"/>
              <w:jc w:val="right"/>
              <w:rPr>
                <w:b/>
                <w:noProof/>
                <w:sz w:val="16"/>
                <w:szCs w:val="16"/>
              </w:rPr>
            </w:pPr>
            <w:r w:rsidRPr="00CE2185">
              <w:rPr>
                <w:i/>
                <w:noProof/>
                <w:sz w:val="16"/>
                <w:szCs w:val="16"/>
              </w:rPr>
              <w:t>(40)</w:t>
            </w:r>
          </w:p>
        </w:tc>
        <w:tc>
          <w:tcPr>
            <w:tcW w:w="709" w:type="dxa"/>
            <w:shd w:val="clear" w:color="auto" w:fill="FDE9D9" w:themeFill="accent6" w:themeFillTint="33"/>
          </w:tcPr>
          <w:p w14:paraId="69F4832C" w14:textId="62F978E7" w:rsidR="000E7D75" w:rsidRPr="00CE2185" w:rsidRDefault="000E7D75" w:rsidP="000E7D75">
            <w:pPr>
              <w:spacing w:after="60"/>
              <w:jc w:val="right"/>
              <w:rPr>
                <w:b/>
                <w:noProof/>
                <w:sz w:val="16"/>
                <w:szCs w:val="16"/>
              </w:rPr>
            </w:pPr>
            <w:r w:rsidRPr="00CE2185">
              <w:rPr>
                <w:i/>
                <w:noProof/>
                <w:sz w:val="16"/>
                <w:szCs w:val="16"/>
              </w:rPr>
              <w:t>(40)</w:t>
            </w:r>
          </w:p>
        </w:tc>
        <w:tc>
          <w:tcPr>
            <w:tcW w:w="1275" w:type="dxa"/>
            <w:shd w:val="clear" w:color="auto" w:fill="FDE9D9" w:themeFill="accent6" w:themeFillTint="33"/>
          </w:tcPr>
          <w:p w14:paraId="64591B1B" w14:textId="17A0221E" w:rsidR="000E7D75" w:rsidRPr="00CE2185" w:rsidRDefault="000E7D75" w:rsidP="000E7D75">
            <w:pPr>
              <w:spacing w:after="60"/>
              <w:jc w:val="right"/>
              <w:rPr>
                <w:b/>
                <w:noProof/>
                <w:sz w:val="16"/>
                <w:szCs w:val="16"/>
              </w:rPr>
            </w:pPr>
            <w:r w:rsidRPr="00CE2185">
              <w:rPr>
                <w:b/>
                <w:bCs/>
                <w:noProof/>
                <w:sz w:val="16"/>
                <w:szCs w:val="16"/>
              </w:rPr>
              <w:t>2 260 000</w:t>
            </w:r>
          </w:p>
        </w:tc>
        <w:tc>
          <w:tcPr>
            <w:tcW w:w="1266" w:type="dxa"/>
            <w:shd w:val="clear" w:color="auto" w:fill="FDE9D9" w:themeFill="accent6" w:themeFillTint="33"/>
          </w:tcPr>
          <w:p w14:paraId="4971B8C5" w14:textId="75499776" w:rsidR="000E7D75" w:rsidRPr="00CE2185" w:rsidRDefault="000E7D75" w:rsidP="000E7D75">
            <w:pPr>
              <w:spacing w:after="60"/>
              <w:jc w:val="right"/>
              <w:rPr>
                <w:b/>
                <w:noProof/>
                <w:sz w:val="16"/>
                <w:szCs w:val="16"/>
              </w:rPr>
            </w:pPr>
            <w:r w:rsidRPr="00CE2185">
              <w:rPr>
                <w:b/>
                <w:bCs/>
                <w:noProof/>
                <w:sz w:val="16"/>
                <w:szCs w:val="16"/>
              </w:rPr>
              <w:t>11 300 000</w:t>
            </w:r>
          </w:p>
        </w:tc>
      </w:tr>
      <w:tr w:rsidR="000E7D75" w:rsidRPr="00CE2185" w14:paraId="1B379A1B" w14:textId="77777777" w:rsidTr="008E47E1">
        <w:trPr>
          <w:trHeight w:val="202"/>
        </w:trPr>
        <w:tc>
          <w:tcPr>
            <w:tcW w:w="10163" w:type="dxa"/>
            <w:gridSpan w:val="9"/>
            <w:shd w:val="clear" w:color="auto" w:fill="FBD4B4" w:themeFill="accent6" w:themeFillTint="66"/>
          </w:tcPr>
          <w:p w14:paraId="54249A12" w14:textId="2F05BDBE" w:rsidR="000E7D75" w:rsidRPr="00CE2185" w:rsidRDefault="000E7D75" w:rsidP="000E7D75">
            <w:pPr>
              <w:spacing w:after="60"/>
              <w:jc w:val="left"/>
              <w:rPr>
                <w:b/>
                <w:noProof/>
                <w:sz w:val="16"/>
                <w:szCs w:val="16"/>
              </w:rPr>
            </w:pPr>
            <w:r w:rsidRPr="00CE2185">
              <w:rPr>
                <w:b/>
                <w:noProof/>
                <w:sz w:val="16"/>
                <w:szCs w:val="16"/>
              </w:rPr>
              <w:t>Businesses - Potential cost of paying a fee to ENISA to get authorised to deliver European individual attestations</w:t>
            </w:r>
          </w:p>
        </w:tc>
      </w:tr>
      <w:tr w:rsidR="000E7D75" w:rsidRPr="00CE2185" w14:paraId="3F7CE7D7" w14:textId="77777777" w:rsidTr="008E47E1">
        <w:trPr>
          <w:trHeight w:val="233"/>
        </w:trPr>
        <w:tc>
          <w:tcPr>
            <w:tcW w:w="10163" w:type="dxa"/>
            <w:gridSpan w:val="9"/>
            <w:shd w:val="clear" w:color="auto" w:fill="FBD4B4" w:themeFill="accent6" w:themeFillTint="66"/>
          </w:tcPr>
          <w:p w14:paraId="7D1F93FA" w14:textId="2487D344" w:rsidR="000E7D75" w:rsidRPr="00CE2185" w:rsidRDefault="000E7D75" w:rsidP="000E7D75">
            <w:pPr>
              <w:spacing w:after="60"/>
              <w:jc w:val="left"/>
              <w:rPr>
                <w:b/>
                <w:noProof/>
                <w:sz w:val="16"/>
                <w:szCs w:val="16"/>
              </w:rPr>
            </w:pPr>
            <w:r w:rsidRPr="00CE2185">
              <w:rPr>
                <w:b/>
                <w:noProof/>
                <w:sz w:val="16"/>
                <w:szCs w:val="16"/>
              </w:rPr>
              <w:t>Citizens - Potential cost of acquiring the individual skills attestation</w:t>
            </w:r>
          </w:p>
        </w:tc>
      </w:tr>
      <w:tr w:rsidR="000E7D75" w:rsidRPr="00CE2185" w14:paraId="6A869560" w14:textId="77777777" w:rsidTr="006529E5">
        <w:trPr>
          <w:trHeight w:val="349"/>
        </w:trPr>
        <w:tc>
          <w:tcPr>
            <w:tcW w:w="2660" w:type="dxa"/>
            <w:shd w:val="clear" w:color="auto" w:fill="D6E3BC" w:themeFill="accent3" w:themeFillTint="66"/>
          </w:tcPr>
          <w:p w14:paraId="35D6ED10" w14:textId="786CEEEC" w:rsidR="000E7D75" w:rsidRPr="00CE2185" w:rsidRDefault="000E7D75" w:rsidP="000E7D75">
            <w:pPr>
              <w:spacing w:after="60"/>
              <w:rPr>
                <w:noProof/>
                <w:sz w:val="16"/>
                <w:szCs w:val="16"/>
              </w:rPr>
            </w:pPr>
            <w:r w:rsidRPr="00CE2185">
              <w:rPr>
                <w:b/>
                <w:noProof/>
                <w:sz w:val="16"/>
                <w:szCs w:val="16"/>
              </w:rPr>
              <w:t xml:space="preserve">Option A.3 </w:t>
            </w:r>
            <w:r w:rsidRPr="00CE2185">
              <w:rPr>
                <w:bCs/>
                <w:noProof/>
                <w:sz w:val="16"/>
                <w:szCs w:val="16"/>
              </w:rPr>
              <w:t>(building on option A2)</w:t>
            </w:r>
          </w:p>
        </w:tc>
        <w:tc>
          <w:tcPr>
            <w:tcW w:w="1418" w:type="dxa"/>
            <w:shd w:val="clear" w:color="auto" w:fill="D6E3BC" w:themeFill="accent3" w:themeFillTint="66"/>
          </w:tcPr>
          <w:p w14:paraId="11513D02"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749E200F" w14:textId="77777777" w:rsidR="000E7D75" w:rsidRPr="00CE2185" w:rsidRDefault="000E7D75" w:rsidP="000E7D75">
            <w:pPr>
              <w:spacing w:after="60"/>
              <w:rPr>
                <w:b/>
                <w:noProof/>
                <w:sz w:val="16"/>
                <w:szCs w:val="16"/>
              </w:rPr>
            </w:pPr>
          </w:p>
        </w:tc>
        <w:tc>
          <w:tcPr>
            <w:tcW w:w="708" w:type="dxa"/>
            <w:shd w:val="clear" w:color="auto" w:fill="D6E3BC" w:themeFill="accent3" w:themeFillTint="66"/>
          </w:tcPr>
          <w:p w14:paraId="7140D156"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5EABD40A"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00F270F5"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6FE41B00" w14:textId="77777777" w:rsidR="000E7D75" w:rsidRPr="00CE2185" w:rsidRDefault="000E7D75" w:rsidP="000E7D75">
            <w:pPr>
              <w:spacing w:after="60"/>
              <w:rPr>
                <w:b/>
                <w:noProof/>
                <w:sz w:val="16"/>
                <w:szCs w:val="16"/>
              </w:rPr>
            </w:pPr>
          </w:p>
        </w:tc>
        <w:tc>
          <w:tcPr>
            <w:tcW w:w="1275" w:type="dxa"/>
            <w:shd w:val="clear" w:color="auto" w:fill="D6E3BC" w:themeFill="accent3" w:themeFillTint="66"/>
          </w:tcPr>
          <w:p w14:paraId="1CECD174" w14:textId="77777777" w:rsidR="000E7D75" w:rsidRPr="00CE2185" w:rsidRDefault="000E7D75" w:rsidP="000E7D75">
            <w:pPr>
              <w:spacing w:after="60"/>
              <w:jc w:val="right"/>
              <w:rPr>
                <w:b/>
                <w:noProof/>
                <w:sz w:val="16"/>
                <w:szCs w:val="16"/>
              </w:rPr>
            </w:pPr>
          </w:p>
        </w:tc>
        <w:tc>
          <w:tcPr>
            <w:tcW w:w="1266" w:type="dxa"/>
            <w:shd w:val="clear" w:color="auto" w:fill="D6E3BC" w:themeFill="accent3" w:themeFillTint="66"/>
          </w:tcPr>
          <w:p w14:paraId="442C174C" w14:textId="77777777" w:rsidR="000E7D75" w:rsidRPr="00CE2185" w:rsidRDefault="000E7D75" w:rsidP="000E7D75">
            <w:pPr>
              <w:spacing w:after="60"/>
              <w:jc w:val="right"/>
              <w:rPr>
                <w:b/>
                <w:noProof/>
                <w:sz w:val="16"/>
                <w:szCs w:val="16"/>
              </w:rPr>
            </w:pPr>
          </w:p>
        </w:tc>
      </w:tr>
      <w:tr w:rsidR="000E7D75" w:rsidRPr="00CE2185" w14:paraId="429BB9C1" w14:textId="77777777" w:rsidTr="006529E5">
        <w:trPr>
          <w:trHeight w:val="130"/>
        </w:trPr>
        <w:tc>
          <w:tcPr>
            <w:tcW w:w="2660" w:type="dxa"/>
            <w:shd w:val="clear" w:color="auto" w:fill="D6E3BC" w:themeFill="accent3" w:themeFillTint="66"/>
          </w:tcPr>
          <w:p w14:paraId="481D6AC0" w14:textId="77777777" w:rsidR="000E7D75" w:rsidRPr="00CE2185" w:rsidRDefault="000E7D75" w:rsidP="000E7D75">
            <w:pPr>
              <w:spacing w:after="60"/>
              <w:rPr>
                <w:b/>
                <w:noProof/>
                <w:sz w:val="16"/>
                <w:szCs w:val="16"/>
              </w:rPr>
            </w:pPr>
            <w:r w:rsidRPr="00CE2185">
              <w:rPr>
                <w:b/>
                <w:noProof/>
                <w:sz w:val="16"/>
                <w:szCs w:val="16"/>
              </w:rPr>
              <w:t>ENISA</w:t>
            </w:r>
          </w:p>
        </w:tc>
        <w:tc>
          <w:tcPr>
            <w:tcW w:w="1418" w:type="dxa"/>
            <w:shd w:val="clear" w:color="auto" w:fill="D6E3BC" w:themeFill="accent3" w:themeFillTint="66"/>
          </w:tcPr>
          <w:p w14:paraId="2B9530A7"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15783589" w14:textId="77777777" w:rsidR="000E7D75" w:rsidRPr="00CE2185" w:rsidRDefault="000E7D75" w:rsidP="000E7D75">
            <w:pPr>
              <w:spacing w:after="60"/>
              <w:rPr>
                <w:b/>
                <w:noProof/>
                <w:sz w:val="16"/>
                <w:szCs w:val="16"/>
              </w:rPr>
            </w:pPr>
          </w:p>
        </w:tc>
        <w:tc>
          <w:tcPr>
            <w:tcW w:w="708" w:type="dxa"/>
            <w:shd w:val="clear" w:color="auto" w:fill="D6E3BC" w:themeFill="accent3" w:themeFillTint="66"/>
          </w:tcPr>
          <w:p w14:paraId="3FAA8B75"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0CB4D44F"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10419526"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3F0379FE" w14:textId="77777777" w:rsidR="000E7D75" w:rsidRPr="00CE2185" w:rsidRDefault="000E7D75" w:rsidP="000E7D75">
            <w:pPr>
              <w:spacing w:after="60"/>
              <w:rPr>
                <w:b/>
                <w:noProof/>
                <w:sz w:val="16"/>
                <w:szCs w:val="16"/>
              </w:rPr>
            </w:pPr>
          </w:p>
        </w:tc>
        <w:tc>
          <w:tcPr>
            <w:tcW w:w="1275" w:type="dxa"/>
            <w:shd w:val="clear" w:color="auto" w:fill="D6E3BC" w:themeFill="accent3" w:themeFillTint="66"/>
          </w:tcPr>
          <w:p w14:paraId="036BDF0B" w14:textId="77777777" w:rsidR="000E7D75" w:rsidRPr="00CE2185" w:rsidRDefault="000E7D75" w:rsidP="000E7D75">
            <w:pPr>
              <w:spacing w:after="60"/>
              <w:jc w:val="right"/>
              <w:rPr>
                <w:b/>
                <w:noProof/>
                <w:sz w:val="16"/>
                <w:szCs w:val="16"/>
              </w:rPr>
            </w:pPr>
          </w:p>
        </w:tc>
        <w:tc>
          <w:tcPr>
            <w:tcW w:w="1266" w:type="dxa"/>
            <w:shd w:val="clear" w:color="auto" w:fill="D6E3BC" w:themeFill="accent3" w:themeFillTint="66"/>
          </w:tcPr>
          <w:p w14:paraId="5C584D56" w14:textId="77777777" w:rsidR="000E7D75" w:rsidRPr="00CE2185" w:rsidRDefault="000E7D75" w:rsidP="000E7D75">
            <w:pPr>
              <w:spacing w:after="60"/>
              <w:jc w:val="right"/>
              <w:rPr>
                <w:b/>
                <w:noProof/>
                <w:sz w:val="16"/>
                <w:szCs w:val="16"/>
              </w:rPr>
            </w:pPr>
          </w:p>
        </w:tc>
      </w:tr>
      <w:tr w:rsidR="000E7D75" w:rsidRPr="00CE2185" w14:paraId="37AADB67" w14:textId="77777777" w:rsidTr="00720B8F">
        <w:trPr>
          <w:trHeight w:val="517"/>
        </w:trPr>
        <w:tc>
          <w:tcPr>
            <w:tcW w:w="2660" w:type="dxa"/>
            <w:shd w:val="clear" w:color="auto" w:fill="EAF1DD" w:themeFill="accent3" w:themeFillTint="33"/>
          </w:tcPr>
          <w:p w14:paraId="2A5BDB80" w14:textId="2038ECD1" w:rsidR="000E7D75" w:rsidRPr="00CE2185" w:rsidRDefault="000E7D75" w:rsidP="000E7D75">
            <w:pPr>
              <w:spacing w:after="60"/>
              <w:rPr>
                <w:noProof/>
                <w:sz w:val="16"/>
                <w:szCs w:val="16"/>
              </w:rPr>
            </w:pPr>
            <w:r w:rsidRPr="00CE2185">
              <w:rPr>
                <w:bCs/>
                <w:noProof/>
                <w:sz w:val="16"/>
                <w:szCs w:val="16"/>
              </w:rPr>
              <w:t>FTEs covering areas under</w:t>
            </w:r>
            <w:r w:rsidRPr="00CE2185">
              <w:rPr>
                <w:noProof/>
                <w:sz w:val="16"/>
                <w:szCs w:val="16"/>
              </w:rPr>
              <w:t xml:space="preserve"> Option A.2  (FTEs + NLOs)</w:t>
            </w:r>
          </w:p>
        </w:tc>
        <w:tc>
          <w:tcPr>
            <w:tcW w:w="1418" w:type="dxa"/>
            <w:shd w:val="clear" w:color="auto" w:fill="EAF1DD" w:themeFill="accent3" w:themeFillTint="33"/>
          </w:tcPr>
          <w:p w14:paraId="21009877"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2EE5D457" w14:textId="23447D69" w:rsidR="000E7D75" w:rsidRPr="00CE2185" w:rsidRDefault="000E7D75" w:rsidP="00CD3C1D">
            <w:pPr>
              <w:spacing w:after="60"/>
              <w:jc w:val="right"/>
              <w:rPr>
                <w:noProof/>
                <w:sz w:val="16"/>
                <w:szCs w:val="16"/>
              </w:rPr>
            </w:pPr>
            <w:r w:rsidRPr="00CE2185">
              <w:rPr>
                <w:b/>
                <w:noProof/>
                <w:sz w:val="16"/>
                <w:szCs w:val="16"/>
              </w:rPr>
              <w:t>142</w:t>
            </w:r>
          </w:p>
        </w:tc>
        <w:tc>
          <w:tcPr>
            <w:tcW w:w="708" w:type="dxa"/>
            <w:shd w:val="clear" w:color="auto" w:fill="EAF1DD" w:themeFill="accent3" w:themeFillTint="33"/>
          </w:tcPr>
          <w:p w14:paraId="420FCF8B" w14:textId="158BDC38" w:rsidR="000E7D75" w:rsidRPr="00CE2185" w:rsidRDefault="000E7D75" w:rsidP="00CD3C1D">
            <w:pPr>
              <w:spacing w:after="60"/>
              <w:jc w:val="right"/>
              <w:rPr>
                <w:noProof/>
                <w:sz w:val="16"/>
                <w:szCs w:val="16"/>
              </w:rPr>
            </w:pPr>
            <w:r w:rsidRPr="00CE2185">
              <w:rPr>
                <w:b/>
                <w:noProof/>
                <w:sz w:val="16"/>
                <w:szCs w:val="16"/>
              </w:rPr>
              <w:t>142</w:t>
            </w:r>
          </w:p>
        </w:tc>
        <w:tc>
          <w:tcPr>
            <w:tcW w:w="709" w:type="dxa"/>
            <w:shd w:val="clear" w:color="auto" w:fill="EAF1DD" w:themeFill="accent3" w:themeFillTint="33"/>
          </w:tcPr>
          <w:p w14:paraId="7399DB57" w14:textId="318C173A" w:rsidR="000E7D75" w:rsidRPr="00CE2185" w:rsidRDefault="000E7D75" w:rsidP="00CD3C1D">
            <w:pPr>
              <w:spacing w:after="60"/>
              <w:jc w:val="right"/>
              <w:rPr>
                <w:noProof/>
                <w:sz w:val="16"/>
                <w:szCs w:val="16"/>
              </w:rPr>
            </w:pPr>
            <w:r w:rsidRPr="00CE2185">
              <w:rPr>
                <w:b/>
                <w:noProof/>
                <w:sz w:val="16"/>
                <w:szCs w:val="16"/>
              </w:rPr>
              <w:t>142</w:t>
            </w:r>
          </w:p>
        </w:tc>
        <w:tc>
          <w:tcPr>
            <w:tcW w:w="709" w:type="dxa"/>
            <w:shd w:val="clear" w:color="auto" w:fill="EAF1DD" w:themeFill="accent3" w:themeFillTint="33"/>
          </w:tcPr>
          <w:p w14:paraId="70807C42" w14:textId="6663DF77" w:rsidR="000E7D75" w:rsidRPr="00CE2185" w:rsidRDefault="000E7D75" w:rsidP="00CD3C1D">
            <w:pPr>
              <w:spacing w:after="60"/>
              <w:jc w:val="right"/>
              <w:rPr>
                <w:noProof/>
                <w:sz w:val="16"/>
                <w:szCs w:val="16"/>
              </w:rPr>
            </w:pPr>
            <w:r w:rsidRPr="00CE2185">
              <w:rPr>
                <w:b/>
                <w:noProof/>
                <w:sz w:val="16"/>
                <w:szCs w:val="16"/>
              </w:rPr>
              <w:t>142</w:t>
            </w:r>
          </w:p>
        </w:tc>
        <w:tc>
          <w:tcPr>
            <w:tcW w:w="709" w:type="dxa"/>
            <w:shd w:val="clear" w:color="auto" w:fill="EAF1DD" w:themeFill="accent3" w:themeFillTint="33"/>
          </w:tcPr>
          <w:p w14:paraId="0C2BE04C" w14:textId="2080B871" w:rsidR="000E7D75" w:rsidRPr="00CE2185" w:rsidRDefault="000E7D75" w:rsidP="00CD3C1D">
            <w:pPr>
              <w:spacing w:after="60"/>
              <w:jc w:val="right"/>
              <w:rPr>
                <w:noProof/>
                <w:sz w:val="16"/>
                <w:szCs w:val="16"/>
              </w:rPr>
            </w:pPr>
            <w:r w:rsidRPr="00CE2185">
              <w:rPr>
                <w:b/>
                <w:noProof/>
                <w:sz w:val="16"/>
                <w:szCs w:val="16"/>
              </w:rPr>
              <w:t>142</w:t>
            </w:r>
          </w:p>
        </w:tc>
        <w:tc>
          <w:tcPr>
            <w:tcW w:w="1275" w:type="dxa"/>
            <w:shd w:val="clear" w:color="auto" w:fill="EAF1DD" w:themeFill="accent3" w:themeFillTint="33"/>
          </w:tcPr>
          <w:p w14:paraId="0A4881E1" w14:textId="05308339" w:rsidR="000E7D75" w:rsidRPr="00CE2185" w:rsidRDefault="000E7D75" w:rsidP="000E7D75">
            <w:pPr>
              <w:spacing w:after="60"/>
              <w:jc w:val="right"/>
              <w:rPr>
                <w:noProof/>
                <w:sz w:val="16"/>
                <w:szCs w:val="16"/>
              </w:rPr>
            </w:pPr>
            <w:r w:rsidRPr="00CE2185">
              <w:rPr>
                <w:b/>
                <w:noProof/>
                <w:sz w:val="16"/>
                <w:szCs w:val="16"/>
              </w:rPr>
              <w:t>14 524 254</w:t>
            </w:r>
          </w:p>
        </w:tc>
        <w:tc>
          <w:tcPr>
            <w:tcW w:w="1266" w:type="dxa"/>
            <w:shd w:val="clear" w:color="auto" w:fill="EAF1DD" w:themeFill="accent3" w:themeFillTint="33"/>
          </w:tcPr>
          <w:p w14:paraId="1AAB460B" w14:textId="3126CFB7" w:rsidR="000E7D75" w:rsidRPr="00CE2185" w:rsidRDefault="000E7D75" w:rsidP="000E7D75">
            <w:pPr>
              <w:spacing w:after="60"/>
              <w:jc w:val="right"/>
              <w:rPr>
                <w:noProof/>
                <w:sz w:val="16"/>
                <w:szCs w:val="16"/>
              </w:rPr>
            </w:pPr>
            <w:r w:rsidRPr="00CE2185">
              <w:rPr>
                <w:b/>
                <w:noProof/>
                <w:sz w:val="16"/>
                <w:szCs w:val="16"/>
              </w:rPr>
              <w:t>72 621 270</w:t>
            </w:r>
          </w:p>
        </w:tc>
      </w:tr>
      <w:tr w:rsidR="000E7D75" w:rsidRPr="00CE2185" w14:paraId="157CFECE" w14:textId="77777777" w:rsidTr="006529E5">
        <w:trPr>
          <w:trHeight w:val="496"/>
        </w:trPr>
        <w:tc>
          <w:tcPr>
            <w:tcW w:w="2660" w:type="dxa"/>
            <w:shd w:val="clear" w:color="auto" w:fill="EAF1DD" w:themeFill="accent3" w:themeFillTint="33"/>
          </w:tcPr>
          <w:p w14:paraId="2E839A3D" w14:textId="76E1110E" w:rsidR="000E7D75" w:rsidRPr="00CE2185" w:rsidRDefault="000E7D75" w:rsidP="000E7D75">
            <w:pPr>
              <w:spacing w:after="60"/>
              <w:rPr>
                <w:bCs/>
                <w:noProof/>
                <w:sz w:val="16"/>
                <w:szCs w:val="16"/>
              </w:rPr>
            </w:pPr>
            <w:r w:rsidRPr="00CE2185">
              <w:rPr>
                <w:bCs/>
                <w:noProof/>
                <w:sz w:val="16"/>
                <w:szCs w:val="16"/>
              </w:rPr>
              <w:t>Other costs for ENISA under Option A.2</w:t>
            </w:r>
          </w:p>
        </w:tc>
        <w:tc>
          <w:tcPr>
            <w:tcW w:w="1418" w:type="dxa"/>
            <w:shd w:val="clear" w:color="auto" w:fill="EAF1DD" w:themeFill="accent3" w:themeFillTint="33"/>
          </w:tcPr>
          <w:p w14:paraId="09C0E9EF" w14:textId="77777777" w:rsidR="000E7D75" w:rsidRPr="00CE2185" w:rsidRDefault="000E7D75" w:rsidP="000E7D75">
            <w:pPr>
              <w:spacing w:after="60"/>
              <w:rPr>
                <w:bCs/>
                <w:noProof/>
                <w:sz w:val="16"/>
                <w:szCs w:val="16"/>
              </w:rPr>
            </w:pPr>
          </w:p>
        </w:tc>
        <w:tc>
          <w:tcPr>
            <w:tcW w:w="709" w:type="dxa"/>
            <w:shd w:val="clear" w:color="auto" w:fill="EAF1DD" w:themeFill="accent3" w:themeFillTint="33"/>
          </w:tcPr>
          <w:p w14:paraId="48DB2C26" w14:textId="77777777" w:rsidR="000E7D75" w:rsidRPr="00CE2185" w:rsidRDefault="000E7D75" w:rsidP="00CD3C1D">
            <w:pPr>
              <w:spacing w:after="60"/>
              <w:jc w:val="right"/>
              <w:rPr>
                <w:bCs/>
                <w:noProof/>
                <w:sz w:val="16"/>
                <w:szCs w:val="16"/>
              </w:rPr>
            </w:pPr>
          </w:p>
        </w:tc>
        <w:tc>
          <w:tcPr>
            <w:tcW w:w="708" w:type="dxa"/>
            <w:shd w:val="clear" w:color="auto" w:fill="EAF1DD" w:themeFill="accent3" w:themeFillTint="33"/>
          </w:tcPr>
          <w:p w14:paraId="1B397BBC" w14:textId="77777777" w:rsidR="000E7D75" w:rsidRPr="00CE2185" w:rsidRDefault="000E7D75" w:rsidP="00CD3C1D">
            <w:pPr>
              <w:spacing w:after="60"/>
              <w:jc w:val="right"/>
              <w:rPr>
                <w:bCs/>
                <w:noProof/>
                <w:sz w:val="16"/>
                <w:szCs w:val="16"/>
              </w:rPr>
            </w:pPr>
          </w:p>
        </w:tc>
        <w:tc>
          <w:tcPr>
            <w:tcW w:w="709" w:type="dxa"/>
            <w:shd w:val="clear" w:color="auto" w:fill="EAF1DD" w:themeFill="accent3" w:themeFillTint="33"/>
          </w:tcPr>
          <w:p w14:paraId="074C8B2E" w14:textId="77777777" w:rsidR="000E7D75" w:rsidRPr="00CE2185" w:rsidRDefault="000E7D75" w:rsidP="00CD3C1D">
            <w:pPr>
              <w:spacing w:after="60"/>
              <w:jc w:val="right"/>
              <w:rPr>
                <w:bCs/>
                <w:noProof/>
                <w:sz w:val="16"/>
                <w:szCs w:val="16"/>
              </w:rPr>
            </w:pPr>
          </w:p>
        </w:tc>
        <w:tc>
          <w:tcPr>
            <w:tcW w:w="709" w:type="dxa"/>
            <w:shd w:val="clear" w:color="auto" w:fill="EAF1DD" w:themeFill="accent3" w:themeFillTint="33"/>
          </w:tcPr>
          <w:p w14:paraId="1E8419D0" w14:textId="77777777" w:rsidR="000E7D75" w:rsidRPr="00CE2185" w:rsidRDefault="000E7D75" w:rsidP="00CD3C1D">
            <w:pPr>
              <w:spacing w:after="60"/>
              <w:jc w:val="right"/>
              <w:rPr>
                <w:bCs/>
                <w:noProof/>
                <w:sz w:val="16"/>
                <w:szCs w:val="16"/>
              </w:rPr>
            </w:pPr>
          </w:p>
        </w:tc>
        <w:tc>
          <w:tcPr>
            <w:tcW w:w="709" w:type="dxa"/>
            <w:shd w:val="clear" w:color="auto" w:fill="EAF1DD" w:themeFill="accent3" w:themeFillTint="33"/>
          </w:tcPr>
          <w:p w14:paraId="4CDEF995" w14:textId="77777777" w:rsidR="000E7D75" w:rsidRPr="00CE2185" w:rsidRDefault="000E7D75" w:rsidP="00CD3C1D">
            <w:pPr>
              <w:spacing w:after="60"/>
              <w:jc w:val="right"/>
              <w:rPr>
                <w:bCs/>
                <w:noProof/>
                <w:sz w:val="16"/>
                <w:szCs w:val="16"/>
              </w:rPr>
            </w:pPr>
          </w:p>
        </w:tc>
        <w:tc>
          <w:tcPr>
            <w:tcW w:w="1275" w:type="dxa"/>
            <w:shd w:val="clear" w:color="auto" w:fill="EAF1DD" w:themeFill="accent3" w:themeFillTint="33"/>
          </w:tcPr>
          <w:p w14:paraId="2119ABBD" w14:textId="77777777" w:rsidR="000E7D75" w:rsidRPr="00CE2185" w:rsidRDefault="000E7D75" w:rsidP="000E7D75">
            <w:pPr>
              <w:spacing w:after="60"/>
              <w:jc w:val="right"/>
              <w:rPr>
                <w:bCs/>
                <w:noProof/>
                <w:sz w:val="16"/>
                <w:szCs w:val="16"/>
              </w:rPr>
            </w:pPr>
          </w:p>
        </w:tc>
        <w:tc>
          <w:tcPr>
            <w:tcW w:w="1266" w:type="dxa"/>
            <w:shd w:val="clear" w:color="auto" w:fill="EAF1DD" w:themeFill="accent3" w:themeFillTint="33"/>
          </w:tcPr>
          <w:p w14:paraId="32A4841A" w14:textId="1FB26FC3" w:rsidR="000E7D75" w:rsidRPr="00CE2185" w:rsidRDefault="000E7D75" w:rsidP="000E7D75">
            <w:pPr>
              <w:spacing w:after="60"/>
              <w:jc w:val="right"/>
              <w:rPr>
                <w:b/>
                <w:noProof/>
                <w:sz w:val="16"/>
                <w:szCs w:val="16"/>
              </w:rPr>
            </w:pPr>
            <w:r w:rsidRPr="00CE2185">
              <w:rPr>
                <w:b/>
                <w:bCs/>
                <w:noProof/>
                <w:sz w:val="16"/>
                <w:szCs w:val="16"/>
              </w:rPr>
              <w:t>75 497 600</w:t>
            </w:r>
          </w:p>
          <w:p w14:paraId="70DE26A2" w14:textId="02C1BC85" w:rsidR="000E7D75" w:rsidRPr="00CE2185" w:rsidRDefault="000E7D75" w:rsidP="000E7D75">
            <w:pPr>
              <w:spacing w:after="60"/>
              <w:jc w:val="right"/>
              <w:rPr>
                <w:b/>
                <w:noProof/>
                <w:sz w:val="16"/>
                <w:szCs w:val="16"/>
              </w:rPr>
            </w:pPr>
          </w:p>
        </w:tc>
      </w:tr>
      <w:tr w:rsidR="000E7D75" w:rsidRPr="00CE2185" w14:paraId="77397219" w14:textId="77777777" w:rsidTr="006529E5">
        <w:trPr>
          <w:trHeight w:val="496"/>
        </w:trPr>
        <w:tc>
          <w:tcPr>
            <w:tcW w:w="2660" w:type="dxa"/>
            <w:shd w:val="clear" w:color="auto" w:fill="EAF1DD" w:themeFill="accent3" w:themeFillTint="33"/>
          </w:tcPr>
          <w:p w14:paraId="30AFDC3B" w14:textId="1C5D00B4" w:rsidR="000E7D75" w:rsidRPr="00CE2185" w:rsidRDefault="000E7D75" w:rsidP="000E7D75">
            <w:pPr>
              <w:spacing w:after="60"/>
              <w:rPr>
                <w:noProof/>
                <w:sz w:val="16"/>
                <w:szCs w:val="16"/>
              </w:rPr>
            </w:pPr>
            <w:r w:rsidRPr="00CE2185">
              <w:rPr>
                <w:noProof/>
                <w:sz w:val="16"/>
                <w:szCs w:val="16"/>
              </w:rPr>
              <w:t>Operational team - direct support under the NIS 2 Directive</w:t>
            </w:r>
          </w:p>
        </w:tc>
        <w:tc>
          <w:tcPr>
            <w:tcW w:w="1418" w:type="dxa"/>
            <w:shd w:val="clear" w:color="auto" w:fill="EAF1DD" w:themeFill="accent3" w:themeFillTint="33"/>
          </w:tcPr>
          <w:p w14:paraId="65A086CB" w14:textId="5296F7C5" w:rsidR="000E7D75" w:rsidRPr="00CE2185" w:rsidRDefault="000E7D75" w:rsidP="000E7D75">
            <w:pPr>
              <w:spacing w:after="60"/>
              <w:rPr>
                <w:noProof/>
                <w:sz w:val="16"/>
                <w:szCs w:val="16"/>
              </w:rPr>
            </w:pPr>
          </w:p>
        </w:tc>
        <w:tc>
          <w:tcPr>
            <w:tcW w:w="709" w:type="dxa"/>
            <w:shd w:val="clear" w:color="auto" w:fill="EAF1DD" w:themeFill="accent3" w:themeFillTint="33"/>
          </w:tcPr>
          <w:p w14:paraId="5A5FFEE6" w14:textId="77777777" w:rsidR="000E7D75" w:rsidRPr="00CE2185" w:rsidRDefault="000E7D75" w:rsidP="00CD3C1D">
            <w:pPr>
              <w:spacing w:after="60"/>
              <w:jc w:val="right"/>
              <w:rPr>
                <w:noProof/>
                <w:sz w:val="16"/>
                <w:szCs w:val="16"/>
              </w:rPr>
            </w:pPr>
            <w:r w:rsidRPr="00CE2185">
              <w:rPr>
                <w:noProof/>
                <w:sz w:val="16"/>
                <w:szCs w:val="16"/>
              </w:rPr>
              <w:t>15</w:t>
            </w:r>
          </w:p>
        </w:tc>
        <w:tc>
          <w:tcPr>
            <w:tcW w:w="708" w:type="dxa"/>
            <w:shd w:val="clear" w:color="auto" w:fill="EAF1DD" w:themeFill="accent3" w:themeFillTint="33"/>
          </w:tcPr>
          <w:p w14:paraId="2FC29FA3" w14:textId="77777777" w:rsidR="000E7D75" w:rsidRPr="00CE2185" w:rsidRDefault="000E7D75" w:rsidP="00CD3C1D">
            <w:pPr>
              <w:spacing w:after="60"/>
              <w:jc w:val="right"/>
              <w:rPr>
                <w:noProof/>
                <w:sz w:val="16"/>
                <w:szCs w:val="16"/>
              </w:rPr>
            </w:pPr>
            <w:r w:rsidRPr="00CE2185">
              <w:rPr>
                <w:noProof/>
                <w:sz w:val="16"/>
                <w:szCs w:val="16"/>
              </w:rPr>
              <w:t>25</w:t>
            </w:r>
          </w:p>
        </w:tc>
        <w:tc>
          <w:tcPr>
            <w:tcW w:w="709" w:type="dxa"/>
            <w:shd w:val="clear" w:color="auto" w:fill="EAF1DD" w:themeFill="accent3" w:themeFillTint="33"/>
          </w:tcPr>
          <w:p w14:paraId="58730123" w14:textId="77777777" w:rsidR="000E7D75" w:rsidRPr="00CE2185" w:rsidRDefault="000E7D75" w:rsidP="00CD3C1D">
            <w:pPr>
              <w:spacing w:after="60"/>
              <w:jc w:val="right"/>
              <w:rPr>
                <w:noProof/>
                <w:sz w:val="16"/>
                <w:szCs w:val="16"/>
              </w:rPr>
            </w:pPr>
            <w:r w:rsidRPr="00CE2185">
              <w:rPr>
                <w:noProof/>
                <w:sz w:val="16"/>
                <w:szCs w:val="16"/>
              </w:rPr>
              <w:t>25</w:t>
            </w:r>
          </w:p>
        </w:tc>
        <w:tc>
          <w:tcPr>
            <w:tcW w:w="709" w:type="dxa"/>
            <w:shd w:val="clear" w:color="auto" w:fill="EAF1DD" w:themeFill="accent3" w:themeFillTint="33"/>
          </w:tcPr>
          <w:p w14:paraId="4EFF7C26" w14:textId="77777777" w:rsidR="000E7D75" w:rsidRPr="00CE2185" w:rsidRDefault="000E7D75" w:rsidP="00CD3C1D">
            <w:pPr>
              <w:spacing w:after="60"/>
              <w:jc w:val="right"/>
              <w:rPr>
                <w:noProof/>
                <w:sz w:val="16"/>
                <w:szCs w:val="16"/>
              </w:rPr>
            </w:pPr>
            <w:r w:rsidRPr="00CE2185">
              <w:rPr>
                <w:noProof/>
                <w:sz w:val="16"/>
                <w:szCs w:val="16"/>
              </w:rPr>
              <w:t>25</w:t>
            </w:r>
          </w:p>
        </w:tc>
        <w:tc>
          <w:tcPr>
            <w:tcW w:w="709" w:type="dxa"/>
            <w:shd w:val="clear" w:color="auto" w:fill="EAF1DD" w:themeFill="accent3" w:themeFillTint="33"/>
          </w:tcPr>
          <w:p w14:paraId="3A4A8EE1" w14:textId="77777777" w:rsidR="000E7D75" w:rsidRPr="00CE2185" w:rsidRDefault="000E7D75" w:rsidP="00CD3C1D">
            <w:pPr>
              <w:spacing w:after="60"/>
              <w:jc w:val="right"/>
              <w:rPr>
                <w:noProof/>
                <w:sz w:val="16"/>
                <w:szCs w:val="16"/>
              </w:rPr>
            </w:pPr>
            <w:r w:rsidRPr="00CE2185">
              <w:rPr>
                <w:noProof/>
                <w:sz w:val="16"/>
                <w:szCs w:val="16"/>
              </w:rPr>
              <w:t>25</w:t>
            </w:r>
          </w:p>
        </w:tc>
        <w:tc>
          <w:tcPr>
            <w:tcW w:w="1275" w:type="dxa"/>
            <w:shd w:val="clear" w:color="auto" w:fill="EAF1DD" w:themeFill="accent3" w:themeFillTint="33"/>
          </w:tcPr>
          <w:p w14:paraId="595815BE" w14:textId="77777777" w:rsidR="000E7D75" w:rsidRPr="00CE2185" w:rsidRDefault="000E7D75" w:rsidP="000E7D75">
            <w:pPr>
              <w:spacing w:after="60"/>
              <w:jc w:val="right"/>
              <w:rPr>
                <w:noProof/>
                <w:sz w:val="16"/>
                <w:szCs w:val="16"/>
              </w:rPr>
            </w:pPr>
            <w:r w:rsidRPr="00CE2185">
              <w:rPr>
                <w:noProof/>
                <w:sz w:val="16"/>
                <w:szCs w:val="16"/>
              </w:rPr>
              <w:t>2 950 371</w:t>
            </w:r>
          </w:p>
        </w:tc>
        <w:tc>
          <w:tcPr>
            <w:tcW w:w="1266" w:type="dxa"/>
            <w:shd w:val="clear" w:color="auto" w:fill="EAF1DD" w:themeFill="accent3" w:themeFillTint="33"/>
          </w:tcPr>
          <w:p w14:paraId="23470938" w14:textId="4FFF51F1" w:rsidR="000E7D75" w:rsidRPr="00CE2185" w:rsidRDefault="000E7D75" w:rsidP="000E7D75">
            <w:pPr>
              <w:spacing w:after="60"/>
              <w:jc w:val="right"/>
              <w:rPr>
                <w:noProof/>
                <w:sz w:val="16"/>
                <w:szCs w:val="16"/>
              </w:rPr>
            </w:pPr>
            <w:r w:rsidRPr="00CE2185">
              <w:rPr>
                <w:noProof/>
                <w:sz w:val="16"/>
                <w:szCs w:val="16"/>
              </w:rPr>
              <w:t>14 </w:t>
            </w:r>
            <w:r w:rsidRPr="00CE2185">
              <w:rPr>
                <w:bCs/>
                <w:noProof/>
                <w:sz w:val="16"/>
                <w:szCs w:val="16"/>
              </w:rPr>
              <w:t>751</w:t>
            </w:r>
            <w:r w:rsidRPr="00CE2185">
              <w:rPr>
                <w:noProof/>
                <w:sz w:val="16"/>
                <w:szCs w:val="16"/>
              </w:rPr>
              <w:t> 855</w:t>
            </w:r>
          </w:p>
        </w:tc>
      </w:tr>
      <w:tr w:rsidR="000E7D75" w:rsidRPr="00CE2185" w14:paraId="33D1C3AA" w14:textId="77777777" w:rsidTr="006529E5">
        <w:trPr>
          <w:trHeight w:val="154"/>
        </w:trPr>
        <w:tc>
          <w:tcPr>
            <w:tcW w:w="2660" w:type="dxa"/>
            <w:shd w:val="clear" w:color="auto" w:fill="EAF1DD" w:themeFill="accent3" w:themeFillTint="33"/>
          </w:tcPr>
          <w:p w14:paraId="71DB113B" w14:textId="77777777" w:rsidR="000E7D75" w:rsidRPr="00CE2185" w:rsidRDefault="000E7D75" w:rsidP="000E7D75">
            <w:pPr>
              <w:spacing w:after="60"/>
              <w:rPr>
                <w:bCs/>
                <w:noProof/>
                <w:sz w:val="16"/>
                <w:szCs w:val="16"/>
              </w:rPr>
            </w:pPr>
            <w:r w:rsidRPr="00CE2185">
              <w:rPr>
                <w:bCs/>
                <w:noProof/>
                <w:sz w:val="16"/>
                <w:szCs w:val="16"/>
              </w:rPr>
              <w:t>EU Cybersecurity Umbrella</w:t>
            </w:r>
          </w:p>
        </w:tc>
        <w:tc>
          <w:tcPr>
            <w:tcW w:w="1418" w:type="dxa"/>
            <w:shd w:val="clear" w:color="auto" w:fill="EAF1DD" w:themeFill="accent3" w:themeFillTint="33"/>
          </w:tcPr>
          <w:p w14:paraId="7C30F0DA" w14:textId="77777777" w:rsidR="000E7D75" w:rsidRPr="00CE2185" w:rsidRDefault="000E7D75" w:rsidP="000E7D75">
            <w:pPr>
              <w:spacing w:after="60"/>
              <w:rPr>
                <w:bCs/>
                <w:noProof/>
                <w:sz w:val="16"/>
                <w:szCs w:val="16"/>
              </w:rPr>
            </w:pPr>
          </w:p>
        </w:tc>
        <w:tc>
          <w:tcPr>
            <w:tcW w:w="709" w:type="dxa"/>
            <w:shd w:val="clear" w:color="auto" w:fill="EAF1DD" w:themeFill="accent3" w:themeFillTint="33"/>
          </w:tcPr>
          <w:p w14:paraId="7C94D51A" w14:textId="77777777" w:rsidR="000E7D75" w:rsidRPr="00CE2185" w:rsidRDefault="000E7D75" w:rsidP="00CD3C1D">
            <w:pPr>
              <w:spacing w:after="60"/>
              <w:jc w:val="right"/>
              <w:rPr>
                <w:bCs/>
                <w:noProof/>
                <w:sz w:val="16"/>
                <w:szCs w:val="16"/>
              </w:rPr>
            </w:pPr>
            <w:r w:rsidRPr="00CE2185">
              <w:rPr>
                <w:bCs/>
                <w:noProof/>
                <w:sz w:val="16"/>
                <w:szCs w:val="16"/>
              </w:rPr>
              <w:t>2.5</w:t>
            </w:r>
          </w:p>
        </w:tc>
        <w:tc>
          <w:tcPr>
            <w:tcW w:w="708" w:type="dxa"/>
            <w:shd w:val="clear" w:color="auto" w:fill="EAF1DD" w:themeFill="accent3" w:themeFillTint="33"/>
          </w:tcPr>
          <w:p w14:paraId="74C034A9" w14:textId="77777777" w:rsidR="000E7D75" w:rsidRPr="00CE2185" w:rsidRDefault="000E7D75" w:rsidP="00CD3C1D">
            <w:pPr>
              <w:spacing w:after="60"/>
              <w:jc w:val="right"/>
              <w:rPr>
                <w:bCs/>
                <w:noProof/>
                <w:sz w:val="16"/>
                <w:szCs w:val="16"/>
              </w:rPr>
            </w:pPr>
            <w:r w:rsidRPr="00CE2185">
              <w:rPr>
                <w:bCs/>
                <w:noProof/>
                <w:sz w:val="16"/>
                <w:szCs w:val="16"/>
              </w:rPr>
              <w:t>2.5</w:t>
            </w:r>
          </w:p>
        </w:tc>
        <w:tc>
          <w:tcPr>
            <w:tcW w:w="709" w:type="dxa"/>
            <w:shd w:val="clear" w:color="auto" w:fill="EAF1DD" w:themeFill="accent3" w:themeFillTint="33"/>
          </w:tcPr>
          <w:p w14:paraId="0CB13F18" w14:textId="77777777" w:rsidR="000E7D75" w:rsidRPr="00CE2185" w:rsidRDefault="000E7D75" w:rsidP="00CD3C1D">
            <w:pPr>
              <w:spacing w:after="60"/>
              <w:jc w:val="right"/>
              <w:rPr>
                <w:bCs/>
                <w:noProof/>
                <w:sz w:val="16"/>
                <w:szCs w:val="16"/>
              </w:rPr>
            </w:pPr>
            <w:r w:rsidRPr="00CE2185">
              <w:rPr>
                <w:bCs/>
                <w:noProof/>
                <w:sz w:val="16"/>
                <w:szCs w:val="16"/>
              </w:rPr>
              <w:t>2.5</w:t>
            </w:r>
          </w:p>
        </w:tc>
        <w:tc>
          <w:tcPr>
            <w:tcW w:w="709" w:type="dxa"/>
            <w:shd w:val="clear" w:color="auto" w:fill="EAF1DD" w:themeFill="accent3" w:themeFillTint="33"/>
          </w:tcPr>
          <w:p w14:paraId="06CE2D66" w14:textId="77777777" w:rsidR="000E7D75" w:rsidRPr="00CE2185" w:rsidRDefault="000E7D75" w:rsidP="00CD3C1D">
            <w:pPr>
              <w:spacing w:after="60"/>
              <w:jc w:val="right"/>
              <w:rPr>
                <w:bCs/>
                <w:noProof/>
                <w:sz w:val="16"/>
                <w:szCs w:val="16"/>
              </w:rPr>
            </w:pPr>
            <w:r w:rsidRPr="00CE2185">
              <w:rPr>
                <w:bCs/>
                <w:noProof/>
                <w:sz w:val="16"/>
                <w:szCs w:val="16"/>
              </w:rPr>
              <w:t>2.5</w:t>
            </w:r>
          </w:p>
        </w:tc>
        <w:tc>
          <w:tcPr>
            <w:tcW w:w="709" w:type="dxa"/>
            <w:shd w:val="clear" w:color="auto" w:fill="EAF1DD" w:themeFill="accent3" w:themeFillTint="33"/>
          </w:tcPr>
          <w:p w14:paraId="2EB065F1" w14:textId="77777777" w:rsidR="000E7D75" w:rsidRPr="00CE2185" w:rsidRDefault="000E7D75" w:rsidP="00CD3C1D">
            <w:pPr>
              <w:spacing w:after="60"/>
              <w:jc w:val="right"/>
              <w:rPr>
                <w:bCs/>
                <w:noProof/>
                <w:sz w:val="16"/>
                <w:szCs w:val="16"/>
              </w:rPr>
            </w:pPr>
            <w:r w:rsidRPr="00CE2185">
              <w:rPr>
                <w:bCs/>
                <w:noProof/>
                <w:sz w:val="16"/>
                <w:szCs w:val="16"/>
              </w:rPr>
              <w:t>2.5</w:t>
            </w:r>
          </w:p>
        </w:tc>
        <w:tc>
          <w:tcPr>
            <w:tcW w:w="1275" w:type="dxa"/>
            <w:shd w:val="clear" w:color="auto" w:fill="EAF1DD" w:themeFill="accent3" w:themeFillTint="33"/>
          </w:tcPr>
          <w:p w14:paraId="404397C2" w14:textId="77777777" w:rsidR="000E7D75" w:rsidRPr="00CE2185" w:rsidRDefault="000E7D75" w:rsidP="000E7D75">
            <w:pPr>
              <w:spacing w:after="60"/>
              <w:jc w:val="right"/>
              <w:rPr>
                <w:bCs/>
                <w:noProof/>
                <w:sz w:val="16"/>
                <w:szCs w:val="16"/>
              </w:rPr>
            </w:pPr>
            <w:r w:rsidRPr="00CE2185">
              <w:rPr>
                <w:bCs/>
                <w:noProof/>
                <w:sz w:val="16"/>
                <w:szCs w:val="16"/>
              </w:rPr>
              <w:t>320 693</w:t>
            </w:r>
          </w:p>
        </w:tc>
        <w:tc>
          <w:tcPr>
            <w:tcW w:w="1266" w:type="dxa"/>
            <w:shd w:val="clear" w:color="auto" w:fill="EAF1DD" w:themeFill="accent3" w:themeFillTint="33"/>
          </w:tcPr>
          <w:p w14:paraId="7C21B2B5" w14:textId="77777777" w:rsidR="000E7D75" w:rsidRPr="00CE2185" w:rsidRDefault="000E7D75" w:rsidP="000E7D75">
            <w:pPr>
              <w:spacing w:after="60"/>
              <w:jc w:val="right"/>
              <w:rPr>
                <w:bCs/>
                <w:noProof/>
                <w:sz w:val="16"/>
                <w:szCs w:val="16"/>
              </w:rPr>
            </w:pPr>
            <w:r w:rsidRPr="00CE2185">
              <w:rPr>
                <w:bCs/>
                <w:noProof/>
                <w:sz w:val="16"/>
                <w:szCs w:val="16"/>
              </w:rPr>
              <w:t>1 603 463</w:t>
            </w:r>
          </w:p>
        </w:tc>
      </w:tr>
      <w:tr w:rsidR="000E7D75" w:rsidRPr="00CE2185" w14:paraId="6B8C0660" w14:textId="77777777" w:rsidTr="006529E5">
        <w:trPr>
          <w:trHeight w:val="463"/>
        </w:trPr>
        <w:tc>
          <w:tcPr>
            <w:tcW w:w="2660" w:type="dxa"/>
            <w:shd w:val="clear" w:color="auto" w:fill="EAF1DD" w:themeFill="accent3" w:themeFillTint="33"/>
          </w:tcPr>
          <w:p w14:paraId="2B048D1E" w14:textId="7D301060" w:rsidR="000E7D75" w:rsidRPr="00CE2185" w:rsidRDefault="000E7D75" w:rsidP="000E7D75">
            <w:pPr>
              <w:spacing w:after="60"/>
              <w:rPr>
                <w:noProof/>
                <w:sz w:val="16"/>
                <w:szCs w:val="16"/>
              </w:rPr>
            </w:pPr>
            <w:r w:rsidRPr="00CE2185">
              <w:rPr>
                <w:noProof/>
                <w:sz w:val="16"/>
                <w:szCs w:val="16"/>
              </w:rPr>
              <w:t>Additional SNEs Option A.3 (budget split between</w:t>
            </w:r>
            <w:r w:rsidRPr="00CE2185">
              <w:rPr>
                <w:bCs/>
                <w:noProof/>
                <w:sz w:val="16"/>
                <w:szCs w:val="16"/>
              </w:rPr>
              <w:t>.</w:t>
            </w:r>
            <w:r w:rsidRPr="00CE2185">
              <w:rPr>
                <w:noProof/>
                <w:sz w:val="16"/>
                <w:szCs w:val="16"/>
              </w:rPr>
              <w:t xml:space="preserve"> ENISA &amp; MS)</w:t>
            </w:r>
          </w:p>
        </w:tc>
        <w:tc>
          <w:tcPr>
            <w:tcW w:w="1418" w:type="dxa"/>
            <w:shd w:val="clear" w:color="auto" w:fill="EAF1DD" w:themeFill="accent3" w:themeFillTint="33"/>
          </w:tcPr>
          <w:p w14:paraId="68A68A51" w14:textId="77777777" w:rsidR="000E7D75" w:rsidRPr="00CE2185" w:rsidRDefault="000E7D75" w:rsidP="000E7D75">
            <w:pPr>
              <w:spacing w:after="60"/>
              <w:rPr>
                <w:noProof/>
                <w:sz w:val="16"/>
                <w:szCs w:val="16"/>
              </w:rPr>
            </w:pPr>
            <w:r w:rsidRPr="00CE2185">
              <w:rPr>
                <w:noProof/>
                <w:sz w:val="16"/>
                <w:szCs w:val="16"/>
              </w:rPr>
              <w:t>Daily allowances (EU budget)</w:t>
            </w:r>
          </w:p>
        </w:tc>
        <w:tc>
          <w:tcPr>
            <w:tcW w:w="709" w:type="dxa"/>
            <w:shd w:val="clear" w:color="auto" w:fill="EAF1DD" w:themeFill="accent3" w:themeFillTint="33"/>
          </w:tcPr>
          <w:p w14:paraId="58153E22" w14:textId="77777777" w:rsidR="000E7D75" w:rsidRPr="00CE2185" w:rsidRDefault="000E7D75" w:rsidP="00CD3C1D">
            <w:pPr>
              <w:spacing w:after="60"/>
              <w:jc w:val="right"/>
              <w:rPr>
                <w:i/>
                <w:noProof/>
                <w:sz w:val="16"/>
                <w:szCs w:val="16"/>
              </w:rPr>
            </w:pPr>
            <w:r w:rsidRPr="00CE2185">
              <w:rPr>
                <w:i/>
                <w:noProof/>
                <w:sz w:val="16"/>
                <w:szCs w:val="16"/>
              </w:rPr>
              <w:t>5</w:t>
            </w:r>
          </w:p>
        </w:tc>
        <w:tc>
          <w:tcPr>
            <w:tcW w:w="708" w:type="dxa"/>
            <w:shd w:val="clear" w:color="auto" w:fill="EAF1DD" w:themeFill="accent3" w:themeFillTint="33"/>
          </w:tcPr>
          <w:p w14:paraId="41FD9018" w14:textId="77777777"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378DB838" w14:textId="77777777"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52E10B78" w14:textId="77777777"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1E81CD3E" w14:textId="77777777" w:rsidR="000E7D75" w:rsidRPr="00CE2185" w:rsidRDefault="000E7D75" w:rsidP="00CD3C1D">
            <w:pPr>
              <w:spacing w:after="60"/>
              <w:jc w:val="right"/>
              <w:rPr>
                <w:i/>
                <w:noProof/>
                <w:sz w:val="16"/>
                <w:szCs w:val="16"/>
              </w:rPr>
            </w:pPr>
            <w:r w:rsidRPr="00CE2185">
              <w:rPr>
                <w:i/>
                <w:noProof/>
                <w:sz w:val="16"/>
                <w:szCs w:val="16"/>
              </w:rPr>
              <w:t>5</w:t>
            </w:r>
          </w:p>
        </w:tc>
        <w:tc>
          <w:tcPr>
            <w:tcW w:w="1275" w:type="dxa"/>
            <w:shd w:val="clear" w:color="auto" w:fill="EAF1DD" w:themeFill="accent3" w:themeFillTint="33"/>
          </w:tcPr>
          <w:p w14:paraId="74AB8469" w14:textId="77777777" w:rsidR="000E7D75" w:rsidRPr="00CE2185" w:rsidRDefault="000E7D75" w:rsidP="000E7D75">
            <w:pPr>
              <w:spacing w:after="60"/>
              <w:jc w:val="right"/>
              <w:rPr>
                <w:noProof/>
                <w:sz w:val="16"/>
                <w:szCs w:val="16"/>
              </w:rPr>
            </w:pPr>
            <w:r w:rsidRPr="00CE2185">
              <w:rPr>
                <w:noProof/>
                <w:sz w:val="16"/>
                <w:szCs w:val="16"/>
              </w:rPr>
              <w:t>180 000 </w:t>
            </w:r>
          </w:p>
        </w:tc>
        <w:tc>
          <w:tcPr>
            <w:tcW w:w="1266" w:type="dxa"/>
            <w:shd w:val="clear" w:color="auto" w:fill="EAF1DD" w:themeFill="accent3" w:themeFillTint="33"/>
          </w:tcPr>
          <w:p w14:paraId="73039585" w14:textId="77777777" w:rsidR="000E7D75" w:rsidRPr="00CE2185" w:rsidRDefault="000E7D75" w:rsidP="000E7D75">
            <w:pPr>
              <w:spacing w:after="60"/>
              <w:jc w:val="right"/>
              <w:rPr>
                <w:noProof/>
                <w:sz w:val="16"/>
                <w:szCs w:val="16"/>
              </w:rPr>
            </w:pPr>
            <w:r w:rsidRPr="00CE2185">
              <w:rPr>
                <w:noProof/>
                <w:sz w:val="16"/>
                <w:szCs w:val="16"/>
              </w:rPr>
              <w:t>900 000</w:t>
            </w:r>
          </w:p>
        </w:tc>
      </w:tr>
      <w:tr w:rsidR="000E7D75" w:rsidRPr="00CE2185" w14:paraId="6D95A34F" w14:textId="77777777" w:rsidTr="006529E5">
        <w:trPr>
          <w:trHeight w:val="452"/>
        </w:trPr>
        <w:tc>
          <w:tcPr>
            <w:tcW w:w="2660" w:type="dxa"/>
            <w:shd w:val="clear" w:color="auto" w:fill="EAF1DD" w:themeFill="accent3" w:themeFillTint="33"/>
          </w:tcPr>
          <w:p w14:paraId="19366B26" w14:textId="3433101E" w:rsidR="000E7D75" w:rsidRPr="00CE2185" w:rsidRDefault="000E7D75" w:rsidP="000E7D75">
            <w:pPr>
              <w:spacing w:after="60"/>
              <w:rPr>
                <w:b/>
                <w:noProof/>
                <w:sz w:val="16"/>
                <w:szCs w:val="16"/>
              </w:rPr>
            </w:pPr>
            <w:r w:rsidRPr="00CE2185">
              <w:rPr>
                <w:b/>
                <w:noProof/>
                <w:sz w:val="16"/>
                <w:szCs w:val="16"/>
              </w:rPr>
              <w:t xml:space="preserve">TOTAL costs related to FTEs, NLOs and SNEs </w:t>
            </w:r>
          </w:p>
        </w:tc>
        <w:tc>
          <w:tcPr>
            <w:tcW w:w="1418" w:type="dxa"/>
            <w:shd w:val="clear" w:color="auto" w:fill="EAF1DD" w:themeFill="accent3" w:themeFillTint="33"/>
          </w:tcPr>
          <w:p w14:paraId="57B95271"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7B9C9762" w14:textId="1B763EB8" w:rsidR="000E7D75" w:rsidRPr="00CE2185" w:rsidRDefault="000E7D75" w:rsidP="00CD3C1D">
            <w:pPr>
              <w:spacing w:after="60"/>
              <w:jc w:val="right"/>
              <w:rPr>
                <w:b/>
                <w:noProof/>
                <w:sz w:val="16"/>
                <w:szCs w:val="16"/>
              </w:rPr>
            </w:pPr>
            <w:r w:rsidRPr="00CE2185">
              <w:rPr>
                <w:b/>
                <w:noProof/>
                <w:sz w:val="16"/>
                <w:szCs w:val="16"/>
              </w:rPr>
              <w:t>164.5</w:t>
            </w:r>
          </w:p>
        </w:tc>
        <w:tc>
          <w:tcPr>
            <w:tcW w:w="708" w:type="dxa"/>
            <w:shd w:val="clear" w:color="auto" w:fill="EAF1DD" w:themeFill="accent3" w:themeFillTint="33"/>
          </w:tcPr>
          <w:p w14:paraId="41687EBE" w14:textId="3C871CE6" w:rsidR="000E7D75" w:rsidRPr="00CE2185" w:rsidRDefault="000E7D75" w:rsidP="00CD3C1D">
            <w:pPr>
              <w:spacing w:after="60"/>
              <w:jc w:val="right"/>
              <w:rPr>
                <w:b/>
                <w:noProof/>
                <w:sz w:val="16"/>
                <w:szCs w:val="16"/>
              </w:rPr>
            </w:pPr>
            <w:r w:rsidRPr="00CE2185">
              <w:rPr>
                <w:b/>
                <w:noProof/>
                <w:sz w:val="16"/>
                <w:szCs w:val="16"/>
              </w:rPr>
              <w:t>174.5</w:t>
            </w:r>
          </w:p>
        </w:tc>
        <w:tc>
          <w:tcPr>
            <w:tcW w:w="709" w:type="dxa"/>
            <w:shd w:val="clear" w:color="auto" w:fill="EAF1DD" w:themeFill="accent3" w:themeFillTint="33"/>
          </w:tcPr>
          <w:p w14:paraId="60D3077A" w14:textId="56F501D9" w:rsidR="000E7D75" w:rsidRPr="00CE2185" w:rsidRDefault="000E7D75" w:rsidP="00CD3C1D">
            <w:pPr>
              <w:spacing w:after="60"/>
              <w:jc w:val="right"/>
              <w:rPr>
                <w:b/>
                <w:noProof/>
                <w:sz w:val="16"/>
                <w:szCs w:val="16"/>
              </w:rPr>
            </w:pPr>
            <w:r w:rsidRPr="00CE2185">
              <w:rPr>
                <w:b/>
                <w:noProof/>
                <w:sz w:val="16"/>
                <w:szCs w:val="16"/>
              </w:rPr>
              <w:t>174.5</w:t>
            </w:r>
          </w:p>
        </w:tc>
        <w:tc>
          <w:tcPr>
            <w:tcW w:w="709" w:type="dxa"/>
            <w:shd w:val="clear" w:color="auto" w:fill="EAF1DD" w:themeFill="accent3" w:themeFillTint="33"/>
          </w:tcPr>
          <w:p w14:paraId="1AD2C5F7" w14:textId="1054B6F4" w:rsidR="000E7D75" w:rsidRPr="00CE2185" w:rsidRDefault="000E7D75" w:rsidP="00CD3C1D">
            <w:pPr>
              <w:spacing w:after="60"/>
              <w:jc w:val="right"/>
              <w:rPr>
                <w:b/>
                <w:noProof/>
                <w:sz w:val="16"/>
                <w:szCs w:val="16"/>
              </w:rPr>
            </w:pPr>
            <w:r w:rsidRPr="00CE2185">
              <w:rPr>
                <w:b/>
                <w:noProof/>
                <w:sz w:val="16"/>
                <w:szCs w:val="16"/>
              </w:rPr>
              <w:t>174.5</w:t>
            </w:r>
          </w:p>
        </w:tc>
        <w:tc>
          <w:tcPr>
            <w:tcW w:w="709" w:type="dxa"/>
            <w:shd w:val="clear" w:color="auto" w:fill="EAF1DD" w:themeFill="accent3" w:themeFillTint="33"/>
          </w:tcPr>
          <w:p w14:paraId="230144C3" w14:textId="1CFB6F4E" w:rsidR="000E7D75" w:rsidRPr="00CE2185" w:rsidRDefault="000E7D75" w:rsidP="00CD3C1D">
            <w:pPr>
              <w:spacing w:after="60"/>
              <w:jc w:val="right"/>
              <w:rPr>
                <w:b/>
                <w:noProof/>
                <w:sz w:val="16"/>
                <w:szCs w:val="16"/>
              </w:rPr>
            </w:pPr>
            <w:r w:rsidRPr="00CE2185">
              <w:rPr>
                <w:b/>
                <w:noProof/>
                <w:sz w:val="16"/>
                <w:szCs w:val="16"/>
              </w:rPr>
              <w:t>174.5</w:t>
            </w:r>
          </w:p>
        </w:tc>
        <w:tc>
          <w:tcPr>
            <w:tcW w:w="1275" w:type="dxa"/>
            <w:shd w:val="clear" w:color="auto" w:fill="EAF1DD" w:themeFill="accent3" w:themeFillTint="33"/>
          </w:tcPr>
          <w:p w14:paraId="02B7B0E1" w14:textId="74E9D3CE" w:rsidR="000E7D75" w:rsidRPr="00CE2185" w:rsidRDefault="000E7D75" w:rsidP="000E7D75">
            <w:pPr>
              <w:spacing w:after="60"/>
              <w:jc w:val="right"/>
              <w:rPr>
                <w:b/>
                <w:noProof/>
                <w:sz w:val="16"/>
                <w:szCs w:val="16"/>
              </w:rPr>
            </w:pPr>
            <w:r w:rsidRPr="00CE2185">
              <w:rPr>
                <w:b/>
                <w:noProof/>
                <w:sz w:val="16"/>
                <w:szCs w:val="16"/>
              </w:rPr>
              <w:t> 17 975 318</w:t>
            </w:r>
          </w:p>
        </w:tc>
        <w:tc>
          <w:tcPr>
            <w:tcW w:w="1266" w:type="dxa"/>
            <w:shd w:val="clear" w:color="auto" w:fill="EAF1DD" w:themeFill="accent3" w:themeFillTint="33"/>
          </w:tcPr>
          <w:p w14:paraId="5C095884" w14:textId="2B8C36A1" w:rsidR="000E7D75" w:rsidRPr="00CE2185" w:rsidRDefault="000E7D75" w:rsidP="000E7D75">
            <w:pPr>
              <w:spacing w:after="60"/>
              <w:jc w:val="right"/>
              <w:rPr>
                <w:b/>
                <w:noProof/>
                <w:sz w:val="16"/>
                <w:szCs w:val="16"/>
              </w:rPr>
            </w:pPr>
            <w:r w:rsidRPr="00CE2185">
              <w:rPr>
                <w:b/>
                <w:noProof/>
                <w:sz w:val="16"/>
                <w:szCs w:val="16"/>
              </w:rPr>
              <w:t>89 876 590</w:t>
            </w:r>
          </w:p>
        </w:tc>
      </w:tr>
      <w:tr w:rsidR="000E7D75" w:rsidRPr="00CE2185" w14:paraId="7757795B" w14:textId="77777777" w:rsidTr="00614293">
        <w:trPr>
          <w:trHeight w:val="273"/>
        </w:trPr>
        <w:tc>
          <w:tcPr>
            <w:tcW w:w="2660" w:type="dxa"/>
            <w:shd w:val="clear" w:color="auto" w:fill="EAF1DD" w:themeFill="accent3" w:themeFillTint="33"/>
          </w:tcPr>
          <w:p w14:paraId="492E9596" w14:textId="0E5950DC" w:rsidR="000E7D75" w:rsidRPr="00CE2185" w:rsidRDefault="000E7D75" w:rsidP="000E7D75">
            <w:pPr>
              <w:spacing w:after="60"/>
              <w:rPr>
                <w:b/>
                <w:noProof/>
                <w:sz w:val="16"/>
                <w:szCs w:val="16"/>
              </w:rPr>
            </w:pPr>
            <w:r w:rsidRPr="00CE2185">
              <w:rPr>
                <w:b/>
                <w:noProof/>
                <w:sz w:val="16"/>
                <w:szCs w:val="16"/>
              </w:rPr>
              <w:t>TOTAL Option A.3 for ENISA</w:t>
            </w:r>
          </w:p>
        </w:tc>
        <w:tc>
          <w:tcPr>
            <w:tcW w:w="1418" w:type="dxa"/>
            <w:shd w:val="clear" w:color="auto" w:fill="EAF1DD" w:themeFill="accent3" w:themeFillTint="33"/>
          </w:tcPr>
          <w:p w14:paraId="1B2D709D"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3945F7B3" w14:textId="77777777" w:rsidR="000E7D75" w:rsidRPr="00CE2185" w:rsidRDefault="000E7D75" w:rsidP="000E7D75">
            <w:pPr>
              <w:spacing w:after="60"/>
              <w:rPr>
                <w:b/>
                <w:noProof/>
                <w:sz w:val="16"/>
                <w:szCs w:val="16"/>
              </w:rPr>
            </w:pPr>
          </w:p>
        </w:tc>
        <w:tc>
          <w:tcPr>
            <w:tcW w:w="708" w:type="dxa"/>
            <w:shd w:val="clear" w:color="auto" w:fill="EAF1DD" w:themeFill="accent3" w:themeFillTint="33"/>
          </w:tcPr>
          <w:p w14:paraId="4C3C5E80"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4302317C"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46314BD8" w14:textId="77777777" w:rsidR="000E7D75" w:rsidRPr="00CE2185" w:rsidRDefault="000E7D75" w:rsidP="000E7D75">
            <w:pPr>
              <w:spacing w:after="60"/>
              <w:rPr>
                <w:b/>
                <w:noProof/>
                <w:sz w:val="16"/>
                <w:szCs w:val="16"/>
              </w:rPr>
            </w:pPr>
          </w:p>
        </w:tc>
        <w:tc>
          <w:tcPr>
            <w:tcW w:w="709" w:type="dxa"/>
            <w:shd w:val="clear" w:color="auto" w:fill="EAF1DD" w:themeFill="accent3" w:themeFillTint="33"/>
          </w:tcPr>
          <w:p w14:paraId="6C378997" w14:textId="77777777" w:rsidR="000E7D75" w:rsidRPr="00CE2185" w:rsidRDefault="000E7D75" w:rsidP="000E7D75">
            <w:pPr>
              <w:spacing w:after="60"/>
              <w:rPr>
                <w:b/>
                <w:noProof/>
                <w:sz w:val="16"/>
                <w:szCs w:val="16"/>
              </w:rPr>
            </w:pPr>
          </w:p>
        </w:tc>
        <w:tc>
          <w:tcPr>
            <w:tcW w:w="1275" w:type="dxa"/>
            <w:shd w:val="clear" w:color="auto" w:fill="EAF1DD" w:themeFill="accent3" w:themeFillTint="33"/>
          </w:tcPr>
          <w:p w14:paraId="29A643D1" w14:textId="77777777" w:rsidR="000E7D75" w:rsidRPr="00CE2185" w:rsidRDefault="000E7D75" w:rsidP="000E7D75">
            <w:pPr>
              <w:spacing w:after="60"/>
              <w:jc w:val="right"/>
              <w:rPr>
                <w:b/>
                <w:noProof/>
                <w:sz w:val="16"/>
                <w:szCs w:val="16"/>
              </w:rPr>
            </w:pPr>
          </w:p>
        </w:tc>
        <w:tc>
          <w:tcPr>
            <w:tcW w:w="1266" w:type="dxa"/>
            <w:shd w:val="clear" w:color="auto" w:fill="EAF1DD" w:themeFill="accent3" w:themeFillTint="33"/>
          </w:tcPr>
          <w:p w14:paraId="6A847A5F" w14:textId="3D18916F" w:rsidR="000E7D75" w:rsidRPr="00CE2185" w:rsidRDefault="000E7D75" w:rsidP="000E7D75">
            <w:pPr>
              <w:spacing w:after="60"/>
              <w:jc w:val="right"/>
              <w:rPr>
                <w:b/>
                <w:noProof/>
                <w:sz w:val="16"/>
                <w:szCs w:val="16"/>
              </w:rPr>
            </w:pPr>
            <w:r w:rsidRPr="00CE2185">
              <w:rPr>
                <w:b/>
                <w:noProof/>
                <w:sz w:val="16"/>
                <w:szCs w:val="16"/>
              </w:rPr>
              <w:t xml:space="preserve">165 374 188 </w:t>
            </w:r>
          </w:p>
        </w:tc>
      </w:tr>
      <w:tr w:rsidR="000E7D75" w:rsidRPr="00CE2185" w14:paraId="11BB1E01" w14:textId="77777777" w:rsidTr="006529E5">
        <w:trPr>
          <w:trHeight w:val="273"/>
        </w:trPr>
        <w:tc>
          <w:tcPr>
            <w:tcW w:w="2660" w:type="dxa"/>
            <w:shd w:val="clear" w:color="auto" w:fill="D6E3BC" w:themeFill="accent3" w:themeFillTint="66"/>
          </w:tcPr>
          <w:p w14:paraId="20A6F900" w14:textId="77777777" w:rsidR="000E7D75" w:rsidRPr="00CE2185" w:rsidRDefault="000E7D75" w:rsidP="000E7D75">
            <w:pPr>
              <w:spacing w:after="60"/>
              <w:rPr>
                <w:b/>
                <w:noProof/>
                <w:sz w:val="16"/>
                <w:szCs w:val="16"/>
              </w:rPr>
            </w:pPr>
            <w:r w:rsidRPr="00CE2185">
              <w:rPr>
                <w:b/>
                <w:noProof/>
                <w:sz w:val="16"/>
                <w:szCs w:val="16"/>
              </w:rPr>
              <w:t>Member States</w:t>
            </w:r>
          </w:p>
        </w:tc>
        <w:tc>
          <w:tcPr>
            <w:tcW w:w="1418" w:type="dxa"/>
            <w:shd w:val="clear" w:color="auto" w:fill="D6E3BC" w:themeFill="accent3" w:themeFillTint="66"/>
          </w:tcPr>
          <w:p w14:paraId="40AB2CAC"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01DD9AC1" w14:textId="77777777" w:rsidR="000E7D75" w:rsidRPr="00CE2185" w:rsidRDefault="000E7D75" w:rsidP="000E7D75">
            <w:pPr>
              <w:spacing w:after="60"/>
              <w:rPr>
                <w:b/>
                <w:noProof/>
                <w:sz w:val="16"/>
                <w:szCs w:val="16"/>
              </w:rPr>
            </w:pPr>
          </w:p>
        </w:tc>
        <w:tc>
          <w:tcPr>
            <w:tcW w:w="708" w:type="dxa"/>
            <w:shd w:val="clear" w:color="auto" w:fill="D6E3BC" w:themeFill="accent3" w:themeFillTint="66"/>
          </w:tcPr>
          <w:p w14:paraId="2D86908B"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1E63E158"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78C8A3F7" w14:textId="77777777" w:rsidR="000E7D75" w:rsidRPr="00CE2185" w:rsidRDefault="000E7D75" w:rsidP="000E7D75">
            <w:pPr>
              <w:spacing w:after="60"/>
              <w:rPr>
                <w:b/>
                <w:noProof/>
                <w:sz w:val="16"/>
                <w:szCs w:val="16"/>
              </w:rPr>
            </w:pPr>
          </w:p>
        </w:tc>
        <w:tc>
          <w:tcPr>
            <w:tcW w:w="709" w:type="dxa"/>
            <w:shd w:val="clear" w:color="auto" w:fill="D6E3BC" w:themeFill="accent3" w:themeFillTint="66"/>
          </w:tcPr>
          <w:p w14:paraId="44472102" w14:textId="77777777" w:rsidR="000E7D75" w:rsidRPr="00CE2185" w:rsidRDefault="000E7D75" w:rsidP="000E7D75">
            <w:pPr>
              <w:spacing w:after="60"/>
              <w:rPr>
                <w:b/>
                <w:noProof/>
                <w:sz w:val="16"/>
                <w:szCs w:val="16"/>
              </w:rPr>
            </w:pPr>
          </w:p>
        </w:tc>
        <w:tc>
          <w:tcPr>
            <w:tcW w:w="1275" w:type="dxa"/>
            <w:shd w:val="clear" w:color="auto" w:fill="D6E3BC" w:themeFill="accent3" w:themeFillTint="66"/>
          </w:tcPr>
          <w:p w14:paraId="77CA2151" w14:textId="77777777" w:rsidR="000E7D75" w:rsidRPr="00CE2185" w:rsidRDefault="000E7D75" w:rsidP="000E7D75">
            <w:pPr>
              <w:spacing w:after="60"/>
              <w:jc w:val="right"/>
              <w:rPr>
                <w:b/>
                <w:noProof/>
                <w:sz w:val="16"/>
                <w:szCs w:val="16"/>
              </w:rPr>
            </w:pPr>
          </w:p>
        </w:tc>
        <w:tc>
          <w:tcPr>
            <w:tcW w:w="1266" w:type="dxa"/>
            <w:shd w:val="clear" w:color="auto" w:fill="D6E3BC" w:themeFill="accent3" w:themeFillTint="66"/>
          </w:tcPr>
          <w:p w14:paraId="206D073B" w14:textId="77777777" w:rsidR="000E7D75" w:rsidRPr="00CE2185" w:rsidRDefault="000E7D75" w:rsidP="000E7D75">
            <w:pPr>
              <w:spacing w:after="60"/>
              <w:jc w:val="right"/>
              <w:rPr>
                <w:b/>
                <w:noProof/>
                <w:sz w:val="16"/>
                <w:szCs w:val="16"/>
              </w:rPr>
            </w:pPr>
          </w:p>
        </w:tc>
      </w:tr>
      <w:tr w:rsidR="000E7D75" w:rsidRPr="00CE2185" w14:paraId="44CA4E06" w14:textId="77777777" w:rsidTr="006529E5">
        <w:trPr>
          <w:trHeight w:val="703"/>
        </w:trPr>
        <w:tc>
          <w:tcPr>
            <w:tcW w:w="2660" w:type="dxa"/>
            <w:shd w:val="clear" w:color="auto" w:fill="EAF1DD" w:themeFill="accent3" w:themeFillTint="33"/>
          </w:tcPr>
          <w:p w14:paraId="24ABA863" w14:textId="4C3B1593" w:rsidR="000E7D75" w:rsidRPr="00CE2185" w:rsidRDefault="000E7D75" w:rsidP="000E7D75">
            <w:pPr>
              <w:spacing w:after="60"/>
              <w:rPr>
                <w:noProof/>
                <w:sz w:val="16"/>
                <w:szCs w:val="16"/>
              </w:rPr>
            </w:pPr>
            <w:r w:rsidRPr="00CE2185">
              <w:rPr>
                <w:noProof/>
                <w:sz w:val="16"/>
                <w:szCs w:val="16"/>
              </w:rPr>
              <w:t>From Option A.2 NLOs seconded to ENISA (budget split between ENISA and MS)</w:t>
            </w:r>
          </w:p>
        </w:tc>
        <w:tc>
          <w:tcPr>
            <w:tcW w:w="1418" w:type="dxa"/>
            <w:shd w:val="clear" w:color="auto" w:fill="EAF1DD" w:themeFill="accent3" w:themeFillTint="33"/>
          </w:tcPr>
          <w:p w14:paraId="686793D6" w14:textId="3837FD8D" w:rsidR="000E7D75" w:rsidRPr="00CE2185" w:rsidRDefault="000E7D75" w:rsidP="000E7D75">
            <w:pPr>
              <w:spacing w:after="60"/>
              <w:rPr>
                <w:noProof/>
                <w:sz w:val="16"/>
                <w:szCs w:val="16"/>
              </w:rPr>
            </w:pPr>
            <w:r w:rsidRPr="00CE2185">
              <w:rPr>
                <w:noProof/>
                <w:sz w:val="16"/>
                <w:szCs w:val="16"/>
              </w:rPr>
              <w:t>MS budget</w:t>
            </w:r>
          </w:p>
        </w:tc>
        <w:tc>
          <w:tcPr>
            <w:tcW w:w="709" w:type="dxa"/>
            <w:shd w:val="clear" w:color="auto" w:fill="EAF1DD" w:themeFill="accent3" w:themeFillTint="33"/>
          </w:tcPr>
          <w:p w14:paraId="689F6995" w14:textId="0FDDFB76" w:rsidR="000E7D75" w:rsidRPr="00CE2185" w:rsidRDefault="000E7D75" w:rsidP="00CD3C1D">
            <w:pPr>
              <w:spacing w:after="60"/>
              <w:jc w:val="right"/>
              <w:rPr>
                <w:i/>
                <w:noProof/>
                <w:sz w:val="16"/>
                <w:szCs w:val="16"/>
              </w:rPr>
            </w:pPr>
            <w:r w:rsidRPr="00CE2185">
              <w:rPr>
                <w:i/>
                <w:noProof/>
                <w:sz w:val="16"/>
                <w:szCs w:val="16"/>
              </w:rPr>
              <w:t>(40)</w:t>
            </w:r>
          </w:p>
        </w:tc>
        <w:tc>
          <w:tcPr>
            <w:tcW w:w="708" w:type="dxa"/>
            <w:shd w:val="clear" w:color="auto" w:fill="EAF1DD" w:themeFill="accent3" w:themeFillTint="33"/>
          </w:tcPr>
          <w:p w14:paraId="46A26819" w14:textId="520491A4" w:rsidR="000E7D75" w:rsidRPr="00CE2185" w:rsidRDefault="000E7D75" w:rsidP="00CD3C1D">
            <w:pPr>
              <w:spacing w:after="60"/>
              <w:jc w:val="right"/>
              <w:rPr>
                <w:i/>
                <w:noProof/>
                <w:sz w:val="16"/>
                <w:szCs w:val="16"/>
              </w:rPr>
            </w:pPr>
            <w:r w:rsidRPr="00CE2185">
              <w:rPr>
                <w:i/>
                <w:noProof/>
                <w:sz w:val="16"/>
                <w:szCs w:val="16"/>
              </w:rPr>
              <w:t>(40)</w:t>
            </w:r>
          </w:p>
        </w:tc>
        <w:tc>
          <w:tcPr>
            <w:tcW w:w="709" w:type="dxa"/>
            <w:shd w:val="clear" w:color="auto" w:fill="EAF1DD" w:themeFill="accent3" w:themeFillTint="33"/>
          </w:tcPr>
          <w:p w14:paraId="5F80614B" w14:textId="14542E20" w:rsidR="000E7D75" w:rsidRPr="00CE2185" w:rsidRDefault="000E7D75" w:rsidP="00CD3C1D">
            <w:pPr>
              <w:spacing w:after="60"/>
              <w:jc w:val="right"/>
              <w:rPr>
                <w:i/>
                <w:noProof/>
                <w:sz w:val="16"/>
                <w:szCs w:val="16"/>
              </w:rPr>
            </w:pPr>
            <w:r w:rsidRPr="00CE2185">
              <w:rPr>
                <w:i/>
                <w:noProof/>
                <w:sz w:val="16"/>
                <w:szCs w:val="16"/>
              </w:rPr>
              <w:t>(40)</w:t>
            </w:r>
          </w:p>
        </w:tc>
        <w:tc>
          <w:tcPr>
            <w:tcW w:w="709" w:type="dxa"/>
            <w:shd w:val="clear" w:color="auto" w:fill="EAF1DD" w:themeFill="accent3" w:themeFillTint="33"/>
          </w:tcPr>
          <w:p w14:paraId="5B216EC2" w14:textId="7C7A4A87" w:rsidR="000E7D75" w:rsidRPr="00CE2185" w:rsidRDefault="000E7D75" w:rsidP="00CD3C1D">
            <w:pPr>
              <w:spacing w:after="60"/>
              <w:jc w:val="right"/>
              <w:rPr>
                <w:i/>
                <w:noProof/>
                <w:sz w:val="16"/>
                <w:szCs w:val="16"/>
              </w:rPr>
            </w:pPr>
            <w:r w:rsidRPr="00CE2185">
              <w:rPr>
                <w:i/>
                <w:noProof/>
                <w:sz w:val="16"/>
                <w:szCs w:val="16"/>
              </w:rPr>
              <w:t>(40)</w:t>
            </w:r>
          </w:p>
        </w:tc>
        <w:tc>
          <w:tcPr>
            <w:tcW w:w="709" w:type="dxa"/>
            <w:shd w:val="clear" w:color="auto" w:fill="EAF1DD" w:themeFill="accent3" w:themeFillTint="33"/>
          </w:tcPr>
          <w:p w14:paraId="2CA2F3A0" w14:textId="7A8A1320" w:rsidR="000E7D75" w:rsidRPr="00CE2185" w:rsidRDefault="000E7D75" w:rsidP="00CD3C1D">
            <w:pPr>
              <w:spacing w:after="60"/>
              <w:jc w:val="right"/>
              <w:rPr>
                <w:i/>
                <w:noProof/>
                <w:sz w:val="16"/>
                <w:szCs w:val="16"/>
              </w:rPr>
            </w:pPr>
            <w:r w:rsidRPr="00CE2185">
              <w:rPr>
                <w:i/>
                <w:noProof/>
                <w:sz w:val="16"/>
                <w:szCs w:val="16"/>
              </w:rPr>
              <w:t>(40)</w:t>
            </w:r>
          </w:p>
        </w:tc>
        <w:tc>
          <w:tcPr>
            <w:tcW w:w="1275" w:type="dxa"/>
            <w:shd w:val="clear" w:color="auto" w:fill="EAF1DD" w:themeFill="accent3" w:themeFillTint="33"/>
          </w:tcPr>
          <w:p w14:paraId="0269113A" w14:textId="1E0CBD05" w:rsidR="000E7D75" w:rsidRPr="00CE2185" w:rsidRDefault="000E7D75" w:rsidP="000E7D75">
            <w:pPr>
              <w:spacing w:after="60"/>
              <w:jc w:val="right"/>
              <w:rPr>
                <w:bCs/>
                <w:noProof/>
                <w:sz w:val="16"/>
                <w:szCs w:val="16"/>
              </w:rPr>
            </w:pPr>
            <w:r w:rsidRPr="00CE2185">
              <w:rPr>
                <w:noProof/>
                <w:sz w:val="16"/>
                <w:szCs w:val="16"/>
              </w:rPr>
              <w:t>2 260 000</w:t>
            </w:r>
          </w:p>
        </w:tc>
        <w:tc>
          <w:tcPr>
            <w:tcW w:w="1266" w:type="dxa"/>
            <w:shd w:val="clear" w:color="auto" w:fill="EAF1DD" w:themeFill="accent3" w:themeFillTint="33"/>
          </w:tcPr>
          <w:p w14:paraId="13C69838" w14:textId="69BC2F2C" w:rsidR="000E7D75" w:rsidRPr="00CE2185" w:rsidRDefault="000E7D75" w:rsidP="000E7D75">
            <w:pPr>
              <w:spacing w:after="60"/>
              <w:jc w:val="right"/>
              <w:rPr>
                <w:bCs/>
                <w:noProof/>
                <w:sz w:val="16"/>
                <w:szCs w:val="16"/>
              </w:rPr>
            </w:pPr>
            <w:r w:rsidRPr="00CE2185">
              <w:rPr>
                <w:noProof/>
                <w:sz w:val="16"/>
                <w:szCs w:val="16"/>
              </w:rPr>
              <w:t>11 300 000</w:t>
            </w:r>
          </w:p>
        </w:tc>
      </w:tr>
      <w:tr w:rsidR="000E7D75" w:rsidRPr="00CE2185" w14:paraId="532FDEF0" w14:textId="77777777" w:rsidTr="006529E5">
        <w:trPr>
          <w:trHeight w:val="94"/>
        </w:trPr>
        <w:tc>
          <w:tcPr>
            <w:tcW w:w="2660" w:type="dxa"/>
            <w:shd w:val="clear" w:color="auto" w:fill="EAF1DD" w:themeFill="accent3" w:themeFillTint="33"/>
          </w:tcPr>
          <w:p w14:paraId="527ACF59" w14:textId="28244E8D" w:rsidR="000E7D75" w:rsidRPr="00CE2185" w:rsidRDefault="000E7D75" w:rsidP="000E7D75">
            <w:pPr>
              <w:spacing w:after="60"/>
              <w:rPr>
                <w:noProof/>
                <w:sz w:val="16"/>
                <w:szCs w:val="16"/>
              </w:rPr>
            </w:pPr>
            <w:r w:rsidRPr="00CE2185">
              <w:rPr>
                <w:noProof/>
                <w:sz w:val="16"/>
                <w:szCs w:val="16"/>
              </w:rPr>
              <w:t>Additional SNEs Option A.3 (budget split between ENISA &amp; MS)</w:t>
            </w:r>
          </w:p>
        </w:tc>
        <w:tc>
          <w:tcPr>
            <w:tcW w:w="1418" w:type="dxa"/>
            <w:shd w:val="clear" w:color="auto" w:fill="EAF1DD" w:themeFill="accent3" w:themeFillTint="33"/>
          </w:tcPr>
          <w:p w14:paraId="4C717202" w14:textId="77777777" w:rsidR="000E7D75" w:rsidRPr="00CE2185" w:rsidRDefault="000E7D75" w:rsidP="000E7D75">
            <w:pPr>
              <w:spacing w:after="60"/>
              <w:rPr>
                <w:noProof/>
                <w:sz w:val="16"/>
                <w:szCs w:val="16"/>
              </w:rPr>
            </w:pPr>
            <w:r w:rsidRPr="00CE2185">
              <w:rPr>
                <w:noProof/>
                <w:sz w:val="16"/>
                <w:szCs w:val="16"/>
              </w:rPr>
              <w:t>MS budget</w:t>
            </w:r>
          </w:p>
        </w:tc>
        <w:tc>
          <w:tcPr>
            <w:tcW w:w="709" w:type="dxa"/>
            <w:shd w:val="clear" w:color="auto" w:fill="EAF1DD" w:themeFill="accent3" w:themeFillTint="33"/>
          </w:tcPr>
          <w:p w14:paraId="372F870D" w14:textId="0AC37991" w:rsidR="000E7D75" w:rsidRPr="00CE2185" w:rsidRDefault="000E7D75" w:rsidP="00CD3C1D">
            <w:pPr>
              <w:spacing w:after="60"/>
              <w:jc w:val="right"/>
              <w:rPr>
                <w:i/>
                <w:noProof/>
                <w:sz w:val="16"/>
                <w:szCs w:val="16"/>
              </w:rPr>
            </w:pPr>
            <w:r w:rsidRPr="00CE2185">
              <w:rPr>
                <w:i/>
                <w:noProof/>
                <w:sz w:val="16"/>
                <w:szCs w:val="16"/>
              </w:rPr>
              <w:t>(5)</w:t>
            </w:r>
          </w:p>
        </w:tc>
        <w:tc>
          <w:tcPr>
            <w:tcW w:w="708" w:type="dxa"/>
            <w:shd w:val="clear" w:color="auto" w:fill="EAF1DD" w:themeFill="accent3" w:themeFillTint="33"/>
          </w:tcPr>
          <w:p w14:paraId="355CCCC6" w14:textId="3365DD23"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4428939B" w14:textId="45633164"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63B38CAE" w14:textId="4BAD4D94" w:rsidR="000E7D75" w:rsidRPr="00CE2185" w:rsidRDefault="000E7D75" w:rsidP="00CD3C1D">
            <w:pPr>
              <w:spacing w:after="60"/>
              <w:jc w:val="right"/>
              <w:rPr>
                <w:i/>
                <w:noProof/>
                <w:sz w:val="16"/>
                <w:szCs w:val="16"/>
              </w:rPr>
            </w:pPr>
            <w:r w:rsidRPr="00CE2185">
              <w:rPr>
                <w:i/>
                <w:noProof/>
                <w:sz w:val="16"/>
                <w:szCs w:val="16"/>
              </w:rPr>
              <w:t>(5)</w:t>
            </w:r>
          </w:p>
        </w:tc>
        <w:tc>
          <w:tcPr>
            <w:tcW w:w="709" w:type="dxa"/>
            <w:shd w:val="clear" w:color="auto" w:fill="EAF1DD" w:themeFill="accent3" w:themeFillTint="33"/>
          </w:tcPr>
          <w:p w14:paraId="7A28D436" w14:textId="2A0B1790" w:rsidR="000E7D75" w:rsidRPr="00CE2185" w:rsidRDefault="000E7D75" w:rsidP="00CD3C1D">
            <w:pPr>
              <w:spacing w:after="60"/>
              <w:jc w:val="right"/>
              <w:rPr>
                <w:i/>
                <w:noProof/>
                <w:sz w:val="16"/>
                <w:szCs w:val="16"/>
              </w:rPr>
            </w:pPr>
            <w:r w:rsidRPr="00CE2185">
              <w:rPr>
                <w:i/>
                <w:noProof/>
                <w:sz w:val="16"/>
                <w:szCs w:val="16"/>
              </w:rPr>
              <w:t>(5)</w:t>
            </w:r>
          </w:p>
        </w:tc>
        <w:tc>
          <w:tcPr>
            <w:tcW w:w="1275" w:type="dxa"/>
            <w:shd w:val="clear" w:color="auto" w:fill="EAF1DD" w:themeFill="accent3" w:themeFillTint="33"/>
          </w:tcPr>
          <w:p w14:paraId="0B621621" w14:textId="736A9A53" w:rsidR="000E7D75" w:rsidRPr="00CE2185" w:rsidRDefault="000E7D75" w:rsidP="000E7D75">
            <w:pPr>
              <w:spacing w:after="60"/>
              <w:jc w:val="right"/>
              <w:rPr>
                <w:noProof/>
                <w:sz w:val="16"/>
                <w:szCs w:val="16"/>
              </w:rPr>
            </w:pPr>
            <w:r w:rsidRPr="00CE2185">
              <w:rPr>
                <w:bCs/>
                <w:noProof/>
                <w:sz w:val="16"/>
                <w:szCs w:val="16"/>
              </w:rPr>
              <w:t>282 500</w:t>
            </w:r>
          </w:p>
        </w:tc>
        <w:tc>
          <w:tcPr>
            <w:tcW w:w="1266" w:type="dxa"/>
            <w:shd w:val="clear" w:color="auto" w:fill="EAF1DD" w:themeFill="accent3" w:themeFillTint="33"/>
          </w:tcPr>
          <w:p w14:paraId="4CF7A2DD" w14:textId="5BAF5F35" w:rsidR="000E7D75" w:rsidRPr="00CE2185" w:rsidRDefault="000E7D75" w:rsidP="000E7D75">
            <w:pPr>
              <w:spacing w:after="60"/>
              <w:jc w:val="right"/>
              <w:rPr>
                <w:noProof/>
                <w:sz w:val="16"/>
                <w:szCs w:val="16"/>
              </w:rPr>
            </w:pPr>
            <w:r w:rsidRPr="00CE2185">
              <w:rPr>
                <w:bCs/>
                <w:noProof/>
                <w:sz w:val="16"/>
                <w:szCs w:val="16"/>
              </w:rPr>
              <w:t>1 412 500</w:t>
            </w:r>
          </w:p>
        </w:tc>
      </w:tr>
      <w:tr w:rsidR="000E7D75" w:rsidRPr="00CE2185" w14:paraId="32014E03" w14:textId="77777777" w:rsidTr="006529E5">
        <w:trPr>
          <w:trHeight w:val="703"/>
        </w:trPr>
        <w:tc>
          <w:tcPr>
            <w:tcW w:w="2660" w:type="dxa"/>
            <w:shd w:val="clear" w:color="auto" w:fill="EAF1DD" w:themeFill="accent3" w:themeFillTint="33"/>
          </w:tcPr>
          <w:p w14:paraId="6E88712E" w14:textId="02A19665" w:rsidR="000E7D75" w:rsidRPr="00CE2185" w:rsidRDefault="000E7D75" w:rsidP="000E7D75">
            <w:pPr>
              <w:spacing w:after="60"/>
              <w:rPr>
                <w:b/>
                <w:noProof/>
                <w:sz w:val="16"/>
                <w:szCs w:val="16"/>
              </w:rPr>
            </w:pPr>
            <w:r w:rsidRPr="00CE2185">
              <w:rPr>
                <w:b/>
                <w:noProof/>
                <w:sz w:val="16"/>
                <w:szCs w:val="16"/>
              </w:rPr>
              <w:t>TOTAL NLOs Option A.3 (Option A.2 + additional SNEs under Option A.3)</w:t>
            </w:r>
          </w:p>
        </w:tc>
        <w:tc>
          <w:tcPr>
            <w:tcW w:w="1418" w:type="dxa"/>
            <w:shd w:val="clear" w:color="auto" w:fill="EAF1DD" w:themeFill="accent3" w:themeFillTint="33"/>
          </w:tcPr>
          <w:p w14:paraId="036AE34E" w14:textId="77777777" w:rsidR="000E7D75" w:rsidRPr="00CE2185" w:rsidRDefault="000E7D75" w:rsidP="000E7D75">
            <w:pPr>
              <w:spacing w:after="60"/>
              <w:rPr>
                <w:noProof/>
                <w:sz w:val="16"/>
                <w:szCs w:val="16"/>
              </w:rPr>
            </w:pPr>
            <w:r w:rsidRPr="00CE2185">
              <w:rPr>
                <w:noProof/>
                <w:sz w:val="16"/>
                <w:szCs w:val="16"/>
              </w:rPr>
              <w:t>MS budget</w:t>
            </w:r>
          </w:p>
        </w:tc>
        <w:tc>
          <w:tcPr>
            <w:tcW w:w="709" w:type="dxa"/>
            <w:shd w:val="clear" w:color="auto" w:fill="EAF1DD" w:themeFill="accent3" w:themeFillTint="33"/>
          </w:tcPr>
          <w:p w14:paraId="369EE8E6" w14:textId="71E4543C" w:rsidR="000E7D75" w:rsidRPr="00CE2185" w:rsidRDefault="000E7D75" w:rsidP="00CD3C1D">
            <w:pPr>
              <w:spacing w:after="60"/>
              <w:jc w:val="right"/>
              <w:rPr>
                <w:b/>
                <w:i/>
                <w:noProof/>
                <w:sz w:val="16"/>
                <w:szCs w:val="16"/>
              </w:rPr>
            </w:pPr>
            <w:r w:rsidRPr="00CE2185">
              <w:rPr>
                <w:b/>
                <w:i/>
                <w:noProof/>
                <w:sz w:val="16"/>
                <w:szCs w:val="16"/>
              </w:rPr>
              <w:t>(45)</w:t>
            </w:r>
          </w:p>
        </w:tc>
        <w:tc>
          <w:tcPr>
            <w:tcW w:w="708" w:type="dxa"/>
            <w:shd w:val="clear" w:color="auto" w:fill="EAF1DD" w:themeFill="accent3" w:themeFillTint="33"/>
          </w:tcPr>
          <w:p w14:paraId="095996ED" w14:textId="5F8075C9" w:rsidR="000E7D75" w:rsidRPr="00CE2185" w:rsidRDefault="000E7D75" w:rsidP="00CD3C1D">
            <w:pPr>
              <w:spacing w:after="60"/>
              <w:jc w:val="right"/>
              <w:rPr>
                <w:b/>
                <w:i/>
                <w:noProof/>
                <w:sz w:val="16"/>
                <w:szCs w:val="16"/>
              </w:rPr>
            </w:pPr>
            <w:r w:rsidRPr="00CE2185">
              <w:rPr>
                <w:b/>
                <w:i/>
                <w:noProof/>
                <w:sz w:val="16"/>
                <w:szCs w:val="16"/>
              </w:rPr>
              <w:t>(45)</w:t>
            </w:r>
          </w:p>
        </w:tc>
        <w:tc>
          <w:tcPr>
            <w:tcW w:w="709" w:type="dxa"/>
            <w:shd w:val="clear" w:color="auto" w:fill="EAF1DD" w:themeFill="accent3" w:themeFillTint="33"/>
          </w:tcPr>
          <w:p w14:paraId="4CFFADA1" w14:textId="5E3380C0" w:rsidR="000E7D75" w:rsidRPr="00CE2185" w:rsidRDefault="000E7D75" w:rsidP="00CD3C1D">
            <w:pPr>
              <w:spacing w:after="60"/>
              <w:jc w:val="right"/>
              <w:rPr>
                <w:b/>
                <w:i/>
                <w:noProof/>
                <w:sz w:val="16"/>
                <w:szCs w:val="16"/>
              </w:rPr>
            </w:pPr>
            <w:r w:rsidRPr="00CE2185">
              <w:rPr>
                <w:b/>
                <w:i/>
                <w:noProof/>
                <w:sz w:val="16"/>
                <w:szCs w:val="16"/>
              </w:rPr>
              <w:t>(45)</w:t>
            </w:r>
          </w:p>
        </w:tc>
        <w:tc>
          <w:tcPr>
            <w:tcW w:w="709" w:type="dxa"/>
            <w:shd w:val="clear" w:color="auto" w:fill="EAF1DD" w:themeFill="accent3" w:themeFillTint="33"/>
          </w:tcPr>
          <w:p w14:paraId="07B4E7C9" w14:textId="78DF32B1" w:rsidR="000E7D75" w:rsidRPr="00CE2185" w:rsidRDefault="000E7D75" w:rsidP="00CD3C1D">
            <w:pPr>
              <w:spacing w:after="60"/>
              <w:jc w:val="right"/>
              <w:rPr>
                <w:b/>
                <w:i/>
                <w:noProof/>
                <w:sz w:val="16"/>
                <w:szCs w:val="16"/>
              </w:rPr>
            </w:pPr>
            <w:r w:rsidRPr="00CE2185">
              <w:rPr>
                <w:b/>
                <w:i/>
                <w:noProof/>
                <w:sz w:val="16"/>
                <w:szCs w:val="16"/>
              </w:rPr>
              <w:t>(45)</w:t>
            </w:r>
          </w:p>
        </w:tc>
        <w:tc>
          <w:tcPr>
            <w:tcW w:w="709" w:type="dxa"/>
            <w:shd w:val="clear" w:color="auto" w:fill="EAF1DD" w:themeFill="accent3" w:themeFillTint="33"/>
          </w:tcPr>
          <w:p w14:paraId="422CCBE2" w14:textId="25A8B48D" w:rsidR="000E7D75" w:rsidRPr="00CE2185" w:rsidRDefault="000E7D75" w:rsidP="00CD3C1D">
            <w:pPr>
              <w:spacing w:after="60"/>
              <w:jc w:val="right"/>
              <w:rPr>
                <w:b/>
                <w:i/>
                <w:noProof/>
                <w:sz w:val="16"/>
                <w:szCs w:val="16"/>
              </w:rPr>
            </w:pPr>
            <w:r w:rsidRPr="00CE2185">
              <w:rPr>
                <w:b/>
                <w:i/>
                <w:noProof/>
                <w:sz w:val="16"/>
                <w:szCs w:val="16"/>
              </w:rPr>
              <w:t>(45)</w:t>
            </w:r>
          </w:p>
        </w:tc>
        <w:tc>
          <w:tcPr>
            <w:tcW w:w="1275" w:type="dxa"/>
            <w:shd w:val="clear" w:color="auto" w:fill="EAF1DD" w:themeFill="accent3" w:themeFillTint="33"/>
          </w:tcPr>
          <w:p w14:paraId="4B9669FA" w14:textId="54234FA0" w:rsidR="000E7D75" w:rsidRPr="00CE2185" w:rsidRDefault="000E7D75" w:rsidP="000E7D75">
            <w:pPr>
              <w:spacing w:after="60"/>
              <w:jc w:val="right"/>
              <w:rPr>
                <w:b/>
                <w:noProof/>
                <w:sz w:val="16"/>
                <w:szCs w:val="16"/>
              </w:rPr>
            </w:pPr>
            <w:r w:rsidRPr="00CE2185">
              <w:rPr>
                <w:b/>
                <w:noProof/>
                <w:sz w:val="16"/>
                <w:szCs w:val="16"/>
              </w:rPr>
              <w:t>2 542 500</w:t>
            </w:r>
          </w:p>
        </w:tc>
        <w:tc>
          <w:tcPr>
            <w:tcW w:w="1266" w:type="dxa"/>
            <w:shd w:val="clear" w:color="auto" w:fill="EAF1DD" w:themeFill="accent3" w:themeFillTint="33"/>
          </w:tcPr>
          <w:p w14:paraId="646C8398" w14:textId="69B29520" w:rsidR="000E7D75" w:rsidRPr="00CE2185" w:rsidRDefault="000E7D75" w:rsidP="000E7D75">
            <w:pPr>
              <w:spacing w:after="60"/>
              <w:jc w:val="right"/>
              <w:rPr>
                <w:b/>
                <w:noProof/>
                <w:sz w:val="16"/>
                <w:szCs w:val="16"/>
              </w:rPr>
            </w:pPr>
            <w:r w:rsidRPr="00CE2185">
              <w:rPr>
                <w:b/>
                <w:noProof/>
                <w:sz w:val="16"/>
                <w:szCs w:val="16"/>
              </w:rPr>
              <w:t>12 712 500</w:t>
            </w:r>
          </w:p>
        </w:tc>
      </w:tr>
      <w:tr w:rsidR="000E7D75" w:rsidRPr="00CE2185" w14:paraId="14931BD2" w14:textId="77777777" w:rsidTr="008E47E1">
        <w:trPr>
          <w:trHeight w:val="140"/>
        </w:trPr>
        <w:tc>
          <w:tcPr>
            <w:tcW w:w="10163" w:type="dxa"/>
            <w:gridSpan w:val="9"/>
            <w:shd w:val="clear" w:color="auto" w:fill="D6E3BC" w:themeFill="accent3" w:themeFillTint="66"/>
          </w:tcPr>
          <w:p w14:paraId="2E2D228C" w14:textId="56B1874D" w:rsidR="000E7D75" w:rsidRPr="00CE2185" w:rsidRDefault="000E7D75" w:rsidP="000E7D75">
            <w:pPr>
              <w:spacing w:after="60"/>
              <w:jc w:val="left"/>
              <w:rPr>
                <w:b/>
                <w:noProof/>
                <w:sz w:val="16"/>
                <w:szCs w:val="16"/>
              </w:rPr>
            </w:pPr>
            <w:r w:rsidRPr="00CE2185">
              <w:rPr>
                <w:b/>
                <w:noProof/>
                <w:sz w:val="16"/>
                <w:szCs w:val="16"/>
              </w:rPr>
              <w:t xml:space="preserve">Businesses &amp; Citizens - </w:t>
            </w:r>
            <w:r w:rsidRPr="00CE2185">
              <w:rPr>
                <w:noProof/>
                <w:sz w:val="16"/>
                <w:szCs w:val="16"/>
              </w:rPr>
              <w:t>The same as Option A.2 (No additional costs under Option A.3.)</w:t>
            </w:r>
          </w:p>
        </w:tc>
      </w:tr>
    </w:tbl>
    <w:p w14:paraId="5696D007" w14:textId="77777777" w:rsidR="00850102" w:rsidRDefault="00850102" w:rsidP="00681B25">
      <w:pPr>
        <w:pStyle w:val="Heading7"/>
        <w:rPr>
          <w:noProof/>
        </w:rPr>
      </w:pPr>
    </w:p>
    <w:p w14:paraId="394CBA19" w14:textId="516B074D" w:rsidR="001E2C0C" w:rsidRPr="00CE2185" w:rsidRDefault="00DC1816" w:rsidP="000425C4">
      <w:pPr>
        <w:pStyle w:val="Heading7"/>
        <w:rPr>
          <w:noProof/>
        </w:rPr>
      </w:pPr>
      <w:bookmarkStart w:id="102" w:name="_Toc218767765"/>
      <w:r w:rsidRPr="00CE2185">
        <w:rPr>
          <w:noProof/>
        </w:rPr>
        <w:t xml:space="preserve">Table </w:t>
      </w:r>
      <w:r w:rsidR="00F5756C" w:rsidRPr="00CE2185">
        <w:rPr>
          <w:noProof/>
        </w:rPr>
        <w:t>3</w:t>
      </w:r>
      <w:r w:rsidR="0079256F">
        <w:rPr>
          <w:noProof/>
        </w:rPr>
        <w:t>:</w:t>
      </w:r>
      <w:r w:rsidRPr="00CE2185">
        <w:rPr>
          <w:noProof/>
        </w:rPr>
        <w:t xml:space="preserve"> Costs of policy options A (ENISA mandate)</w:t>
      </w:r>
      <w:bookmarkEnd w:id="102"/>
    </w:p>
    <w:tbl>
      <w:tblPr>
        <w:tblStyle w:val="TableGrid"/>
        <w:tblW w:w="0" w:type="auto"/>
        <w:tblLayout w:type="fixed"/>
        <w:tblLook w:val="04A0" w:firstRow="1" w:lastRow="0" w:firstColumn="1" w:lastColumn="0" w:noHBand="0" w:noVBand="1"/>
      </w:tblPr>
      <w:tblGrid>
        <w:gridCol w:w="1101"/>
        <w:gridCol w:w="2268"/>
        <w:gridCol w:w="3118"/>
        <w:gridCol w:w="2799"/>
      </w:tblGrid>
      <w:tr w:rsidR="00AA149D" w:rsidRPr="00CE2185" w14:paraId="5E273C50" w14:textId="77777777" w:rsidTr="00481660">
        <w:trPr>
          <w:trHeight w:val="134"/>
          <w:tblHeader/>
        </w:trPr>
        <w:tc>
          <w:tcPr>
            <w:tcW w:w="1101" w:type="dxa"/>
            <w:vMerge w:val="restart"/>
            <w:shd w:val="clear" w:color="auto" w:fill="EAF1DD" w:themeFill="accent3" w:themeFillTint="33"/>
            <w:vAlign w:val="center"/>
          </w:tcPr>
          <w:p w14:paraId="22B14160" w14:textId="240321F0" w:rsidR="002B30A6" w:rsidRPr="00CE2185" w:rsidRDefault="001E2C0C">
            <w:pPr>
              <w:spacing w:after="0"/>
              <w:jc w:val="center"/>
              <w:rPr>
                <w:b/>
                <w:noProof/>
                <w:sz w:val="20"/>
                <w:szCs w:val="20"/>
              </w:rPr>
            </w:pPr>
            <w:r w:rsidRPr="00CE2185">
              <w:rPr>
                <w:b/>
                <w:noProof/>
                <w:sz w:val="20"/>
                <w:szCs w:val="20"/>
              </w:rPr>
              <w:t xml:space="preserve"> </w:t>
            </w:r>
            <w:r w:rsidR="002B30A6" w:rsidRPr="00CE2185">
              <w:rPr>
                <w:b/>
                <w:noProof/>
                <w:sz w:val="20"/>
                <w:szCs w:val="20"/>
              </w:rPr>
              <w:t>C</w:t>
            </w:r>
            <w:r w:rsidRPr="00CE2185">
              <w:rPr>
                <w:b/>
                <w:noProof/>
                <w:sz w:val="20"/>
                <w:szCs w:val="20"/>
              </w:rPr>
              <w:t>osts</w:t>
            </w:r>
          </w:p>
          <w:p w14:paraId="5AE8814E" w14:textId="44C777D8" w:rsidR="001E2C0C" w:rsidRPr="00CE2185" w:rsidRDefault="002B30A6">
            <w:pPr>
              <w:spacing w:after="0"/>
              <w:jc w:val="center"/>
              <w:rPr>
                <w:noProof/>
                <w:sz w:val="20"/>
                <w:szCs w:val="20"/>
              </w:rPr>
            </w:pPr>
            <w:r w:rsidRPr="00CE2185">
              <w:rPr>
                <w:b/>
                <w:noProof/>
                <w:sz w:val="20"/>
                <w:szCs w:val="20"/>
              </w:rPr>
              <w:t>(EUR)</w:t>
            </w:r>
            <w:r w:rsidR="00642C31" w:rsidRPr="00CE2185">
              <w:rPr>
                <w:b/>
                <w:noProof/>
                <w:sz w:val="20"/>
                <w:szCs w:val="20"/>
              </w:rPr>
              <w:t xml:space="preserve"> over 5 years</w:t>
            </w:r>
            <w:r w:rsidR="001E2C0C" w:rsidRPr="00CE2185">
              <w:rPr>
                <w:b/>
                <w:noProof/>
                <w:sz w:val="20"/>
                <w:szCs w:val="20"/>
              </w:rPr>
              <w:t xml:space="preserve"> </w:t>
            </w:r>
          </w:p>
        </w:tc>
        <w:tc>
          <w:tcPr>
            <w:tcW w:w="8185" w:type="dxa"/>
            <w:gridSpan w:val="3"/>
            <w:shd w:val="clear" w:color="auto" w:fill="B7CFED"/>
            <w:vAlign w:val="center"/>
          </w:tcPr>
          <w:p w14:paraId="24B5666D" w14:textId="0FA8D996" w:rsidR="001E2C0C" w:rsidRPr="00CE2185" w:rsidRDefault="001E2C0C">
            <w:pPr>
              <w:spacing w:after="0"/>
              <w:jc w:val="center"/>
              <w:rPr>
                <w:noProof/>
                <w:sz w:val="20"/>
                <w:szCs w:val="20"/>
              </w:rPr>
            </w:pPr>
            <w:r w:rsidRPr="00CE2185">
              <w:rPr>
                <w:b/>
                <w:noProof/>
                <w:sz w:val="20"/>
                <w:szCs w:val="20"/>
              </w:rPr>
              <w:t>Policy options [ENISA mandate]</w:t>
            </w:r>
          </w:p>
        </w:tc>
      </w:tr>
      <w:tr w:rsidR="001E2C0C" w:rsidRPr="00CE2185" w14:paraId="4CF02A18" w14:textId="77777777" w:rsidTr="00481660">
        <w:trPr>
          <w:trHeight w:val="125"/>
          <w:tblHeader/>
        </w:trPr>
        <w:tc>
          <w:tcPr>
            <w:tcW w:w="1101" w:type="dxa"/>
            <w:vMerge/>
            <w:vAlign w:val="center"/>
          </w:tcPr>
          <w:p w14:paraId="2241A54D" w14:textId="77777777" w:rsidR="001E2C0C" w:rsidRPr="00CE2185" w:rsidRDefault="001E2C0C">
            <w:pPr>
              <w:jc w:val="center"/>
              <w:rPr>
                <w:noProof/>
                <w:sz w:val="20"/>
                <w:szCs w:val="20"/>
              </w:rPr>
            </w:pPr>
          </w:p>
        </w:tc>
        <w:tc>
          <w:tcPr>
            <w:tcW w:w="2268" w:type="dxa"/>
            <w:shd w:val="clear" w:color="auto" w:fill="E1EBF7"/>
            <w:vAlign w:val="center"/>
          </w:tcPr>
          <w:p w14:paraId="4B6F4573" w14:textId="4E542773" w:rsidR="001E2C0C" w:rsidRPr="00CE2185" w:rsidRDefault="001E2C0C">
            <w:pPr>
              <w:spacing w:after="0"/>
              <w:jc w:val="center"/>
              <w:rPr>
                <w:b/>
                <w:noProof/>
                <w:sz w:val="20"/>
                <w:szCs w:val="20"/>
              </w:rPr>
            </w:pPr>
            <w:r w:rsidRPr="00CE2185">
              <w:rPr>
                <w:b/>
                <w:noProof/>
                <w:sz w:val="20"/>
                <w:szCs w:val="20"/>
              </w:rPr>
              <w:t>A1</w:t>
            </w:r>
          </w:p>
        </w:tc>
        <w:tc>
          <w:tcPr>
            <w:tcW w:w="3118" w:type="dxa"/>
            <w:shd w:val="clear" w:color="auto" w:fill="E1EBF7"/>
            <w:vAlign w:val="center"/>
          </w:tcPr>
          <w:p w14:paraId="06C83BC0" w14:textId="5971A7C1" w:rsidR="001E2C0C" w:rsidRPr="00CE2185" w:rsidRDefault="001E2C0C">
            <w:pPr>
              <w:spacing w:after="0"/>
              <w:jc w:val="center"/>
              <w:rPr>
                <w:b/>
                <w:noProof/>
                <w:sz w:val="20"/>
                <w:szCs w:val="20"/>
              </w:rPr>
            </w:pPr>
            <w:r w:rsidRPr="00CE2185">
              <w:rPr>
                <w:b/>
                <w:noProof/>
                <w:sz w:val="20"/>
                <w:szCs w:val="20"/>
              </w:rPr>
              <w:t>A2</w:t>
            </w:r>
          </w:p>
        </w:tc>
        <w:tc>
          <w:tcPr>
            <w:tcW w:w="2799" w:type="dxa"/>
            <w:shd w:val="clear" w:color="auto" w:fill="E1EBF7"/>
            <w:vAlign w:val="center"/>
          </w:tcPr>
          <w:p w14:paraId="4AA8E89A" w14:textId="60A0CC36" w:rsidR="001E2C0C" w:rsidRPr="00CE2185" w:rsidRDefault="001E2C0C">
            <w:pPr>
              <w:spacing w:after="0"/>
              <w:jc w:val="center"/>
              <w:rPr>
                <w:b/>
                <w:noProof/>
                <w:sz w:val="20"/>
                <w:szCs w:val="20"/>
              </w:rPr>
            </w:pPr>
            <w:r w:rsidRPr="00CE2185">
              <w:rPr>
                <w:b/>
                <w:noProof/>
                <w:sz w:val="20"/>
                <w:szCs w:val="20"/>
              </w:rPr>
              <w:t>A3</w:t>
            </w:r>
          </w:p>
        </w:tc>
      </w:tr>
      <w:tr w:rsidR="001E2C0C" w:rsidRPr="00CE2185" w14:paraId="2B3E31F6" w14:textId="77777777" w:rsidTr="7C3C8D1B">
        <w:trPr>
          <w:trHeight w:val="352"/>
        </w:trPr>
        <w:tc>
          <w:tcPr>
            <w:tcW w:w="1101" w:type="dxa"/>
          </w:tcPr>
          <w:p w14:paraId="348BC5DE" w14:textId="77777777" w:rsidR="001E2C0C" w:rsidRPr="00CE2185" w:rsidRDefault="001E2C0C">
            <w:pPr>
              <w:spacing w:after="0"/>
              <w:rPr>
                <w:noProof/>
                <w:sz w:val="20"/>
                <w:szCs w:val="20"/>
              </w:rPr>
            </w:pPr>
            <w:r w:rsidRPr="00CE2185">
              <w:rPr>
                <w:noProof/>
                <w:sz w:val="20"/>
                <w:szCs w:val="20"/>
              </w:rPr>
              <w:t>Businesses</w:t>
            </w:r>
          </w:p>
        </w:tc>
        <w:tc>
          <w:tcPr>
            <w:tcW w:w="2268" w:type="dxa"/>
          </w:tcPr>
          <w:p w14:paraId="3F0D70E5" w14:textId="0E283959" w:rsidR="001E2C0C" w:rsidRPr="00CE2185" w:rsidRDefault="00CD4D83">
            <w:pPr>
              <w:spacing w:after="0"/>
              <w:rPr>
                <w:noProof/>
                <w:sz w:val="20"/>
                <w:szCs w:val="20"/>
              </w:rPr>
            </w:pPr>
            <w:r w:rsidRPr="00CE2185">
              <w:rPr>
                <w:noProof/>
                <w:sz w:val="20"/>
                <w:szCs w:val="20"/>
              </w:rPr>
              <w:t>No costs</w:t>
            </w:r>
          </w:p>
        </w:tc>
        <w:tc>
          <w:tcPr>
            <w:tcW w:w="3118" w:type="dxa"/>
          </w:tcPr>
          <w:p w14:paraId="454336BD" w14:textId="77777777" w:rsidR="00B00195" w:rsidRPr="00CE2185" w:rsidRDefault="00B00195" w:rsidP="00B00195">
            <w:pPr>
              <w:spacing w:after="0"/>
              <w:rPr>
                <w:noProof/>
                <w:sz w:val="20"/>
                <w:szCs w:val="20"/>
              </w:rPr>
            </w:pPr>
            <w:r w:rsidRPr="00CE2185">
              <w:rPr>
                <w:noProof/>
                <w:sz w:val="20"/>
                <w:szCs w:val="20"/>
              </w:rPr>
              <w:t xml:space="preserve">Administrative cost: potential fee to be paid to ENISA to apply for becoming authorised attestation provider and maintenance costs </w:t>
            </w:r>
          </w:p>
          <w:p w14:paraId="1B7AF557" w14:textId="77777777" w:rsidR="0088361F" w:rsidRPr="00CE2185" w:rsidRDefault="0088361F" w:rsidP="00B00195">
            <w:pPr>
              <w:spacing w:after="0"/>
              <w:rPr>
                <w:noProof/>
                <w:sz w:val="20"/>
                <w:szCs w:val="20"/>
              </w:rPr>
            </w:pPr>
          </w:p>
          <w:p w14:paraId="77C380C7" w14:textId="13AF61DF" w:rsidR="001E2C0C" w:rsidRPr="00CE2185" w:rsidRDefault="00B00195">
            <w:pPr>
              <w:spacing w:after="0"/>
              <w:rPr>
                <w:noProof/>
                <w:sz w:val="20"/>
                <w:szCs w:val="20"/>
              </w:rPr>
            </w:pPr>
            <w:r w:rsidRPr="00CE2185">
              <w:rPr>
                <w:noProof/>
                <w:sz w:val="20"/>
                <w:szCs w:val="20"/>
              </w:rPr>
              <w:t>Adjustment costs to</w:t>
            </w:r>
            <w:r w:rsidRPr="00CE2185">
              <w:rPr>
                <w:noProof/>
              </w:rPr>
              <w:t xml:space="preserve"> </w:t>
            </w:r>
            <w:r w:rsidRPr="00CE2185">
              <w:rPr>
                <w:noProof/>
                <w:sz w:val="20"/>
                <w:szCs w:val="20"/>
              </w:rPr>
              <w:t xml:space="preserve">meet the European individual cybersecurity skills attestation scheme requirements: one-off costs for first authorisation and marginal recurring costs to adapt to other schemes requirements or for renewal of authorisation  </w:t>
            </w:r>
            <w:r w:rsidRPr="00CE2185">
              <w:rPr>
                <w:noProof/>
              </w:rPr>
              <w:t xml:space="preserve"> </w:t>
            </w:r>
          </w:p>
        </w:tc>
        <w:tc>
          <w:tcPr>
            <w:tcW w:w="2799" w:type="dxa"/>
          </w:tcPr>
          <w:p w14:paraId="4F7A65C9" w14:textId="77777777" w:rsidR="00B00195" w:rsidRPr="00CE2185" w:rsidRDefault="00B00195" w:rsidP="00B00195">
            <w:pPr>
              <w:spacing w:after="0"/>
              <w:rPr>
                <w:noProof/>
                <w:sz w:val="20"/>
                <w:szCs w:val="20"/>
              </w:rPr>
            </w:pPr>
            <w:r w:rsidRPr="00CE2185">
              <w:rPr>
                <w:noProof/>
                <w:sz w:val="20"/>
                <w:szCs w:val="20"/>
              </w:rPr>
              <w:t xml:space="preserve">Administrative cost: potential fee to be paid to ENISA to apply for becoming authorised attestation provider and maintenance costs </w:t>
            </w:r>
          </w:p>
          <w:p w14:paraId="2B8080C3" w14:textId="77777777" w:rsidR="0088361F" w:rsidRPr="00CE2185" w:rsidRDefault="0088361F" w:rsidP="00B00195">
            <w:pPr>
              <w:spacing w:after="0"/>
              <w:rPr>
                <w:noProof/>
                <w:sz w:val="20"/>
                <w:szCs w:val="20"/>
              </w:rPr>
            </w:pPr>
          </w:p>
          <w:p w14:paraId="33359FBF" w14:textId="127D7692" w:rsidR="001E2C0C" w:rsidRPr="00CE2185" w:rsidRDefault="00B00195" w:rsidP="001E2C0C">
            <w:pPr>
              <w:spacing w:after="0"/>
              <w:rPr>
                <w:noProof/>
                <w:sz w:val="20"/>
                <w:szCs w:val="20"/>
              </w:rPr>
            </w:pPr>
            <w:r w:rsidRPr="00CE2185">
              <w:rPr>
                <w:noProof/>
                <w:sz w:val="20"/>
                <w:szCs w:val="20"/>
              </w:rPr>
              <w:t>Adjustment costs to</w:t>
            </w:r>
            <w:r w:rsidRPr="00CE2185">
              <w:rPr>
                <w:noProof/>
              </w:rPr>
              <w:t xml:space="preserve"> </w:t>
            </w:r>
            <w:r w:rsidRPr="00CE2185">
              <w:rPr>
                <w:noProof/>
                <w:sz w:val="20"/>
                <w:szCs w:val="20"/>
              </w:rPr>
              <w:t xml:space="preserve">meet the European individual cybersecurity skills attestation scheme requirements: one-off costs for first authorisation and marginal recurring costs to adapt to other schemes requirements or for renewal of authorisation  </w:t>
            </w:r>
            <w:r w:rsidRPr="00CE2185">
              <w:rPr>
                <w:noProof/>
              </w:rPr>
              <w:t xml:space="preserve"> </w:t>
            </w:r>
          </w:p>
        </w:tc>
      </w:tr>
      <w:tr w:rsidR="001E2C0C" w:rsidRPr="00CE2185" w14:paraId="04E68086" w14:textId="77777777" w:rsidTr="7C3C8D1B">
        <w:trPr>
          <w:trHeight w:val="687"/>
        </w:trPr>
        <w:tc>
          <w:tcPr>
            <w:tcW w:w="1101" w:type="dxa"/>
          </w:tcPr>
          <w:p w14:paraId="0C0F8077" w14:textId="77777777" w:rsidR="001E2C0C" w:rsidRPr="00CE2185" w:rsidRDefault="001E2C0C">
            <w:pPr>
              <w:spacing w:after="0"/>
              <w:rPr>
                <w:noProof/>
                <w:sz w:val="20"/>
                <w:szCs w:val="20"/>
              </w:rPr>
            </w:pPr>
            <w:r w:rsidRPr="00CE2185">
              <w:rPr>
                <w:noProof/>
                <w:sz w:val="20"/>
                <w:szCs w:val="20"/>
              </w:rPr>
              <w:t>Public authorities</w:t>
            </w:r>
          </w:p>
        </w:tc>
        <w:tc>
          <w:tcPr>
            <w:tcW w:w="2268" w:type="dxa"/>
          </w:tcPr>
          <w:p w14:paraId="49BFFD64" w14:textId="57CE1383" w:rsidR="001E2C0C" w:rsidRPr="00CE2185" w:rsidRDefault="00CD4D83">
            <w:pPr>
              <w:spacing w:after="0"/>
              <w:rPr>
                <w:noProof/>
                <w:sz w:val="20"/>
                <w:szCs w:val="20"/>
              </w:rPr>
            </w:pPr>
            <w:r w:rsidRPr="00CE2185">
              <w:rPr>
                <w:noProof/>
                <w:sz w:val="20"/>
                <w:szCs w:val="20"/>
              </w:rPr>
              <w:t>No costs</w:t>
            </w:r>
          </w:p>
        </w:tc>
        <w:tc>
          <w:tcPr>
            <w:tcW w:w="3118" w:type="dxa"/>
          </w:tcPr>
          <w:p w14:paraId="69215CEF" w14:textId="34CA2E8F" w:rsidR="00C70FEE" w:rsidRPr="006479EC" w:rsidRDefault="007D00F4">
            <w:pPr>
              <w:spacing w:after="0"/>
              <w:rPr>
                <w:noProof/>
                <w:sz w:val="20"/>
                <w:szCs w:val="20"/>
                <w:lang w:val="fr-BE"/>
              </w:rPr>
            </w:pPr>
            <w:r w:rsidRPr="006479EC">
              <w:rPr>
                <w:noProof/>
                <w:sz w:val="20"/>
                <w:szCs w:val="20"/>
                <w:lang w:val="fr-BE"/>
              </w:rPr>
              <w:t xml:space="preserve">EUR </w:t>
            </w:r>
            <w:r w:rsidR="00521CFF" w:rsidRPr="006479EC">
              <w:rPr>
                <w:noProof/>
                <w:sz w:val="20"/>
                <w:szCs w:val="20"/>
                <w:lang w:val="fr-BE"/>
              </w:rPr>
              <w:t>11.3</w:t>
            </w:r>
            <w:r w:rsidR="00BD1DC6" w:rsidRPr="006479EC">
              <w:rPr>
                <w:noProof/>
                <w:sz w:val="20"/>
                <w:szCs w:val="20"/>
                <w:lang w:val="fr-BE"/>
              </w:rPr>
              <w:t>M</w:t>
            </w:r>
            <w:r w:rsidR="00E327BD" w:rsidRPr="006479EC">
              <w:rPr>
                <w:noProof/>
                <w:sz w:val="20"/>
                <w:szCs w:val="20"/>
                <w:lang w:val="fr-BE"/>
              </w:rPr>
              <w:t xml:space="preserve"> (</w:t>
            </w:r>
            <w:r w:rsidR="009242E8" w:rsidRPr="006479EC">
              <w:rPr>
                <w:noProof/>
                <w:sz w:val="20"/>
                <w:szCs w:val="20"/>
                <w:lang w:val="fr-BE"/>
              </w:rPr>
              <w:t>40</w:t>
            </w:r>
          </w:p>
          <w:p w14:paraId="2A4A039E" w14:textId="1FE0A2F1" w:rsidR="001E2C0C" w:rsidRPr="006479EC" w:rsidRDefault="00C70FEE">
            <w:pPr>
              <w:spacing w:after="0"/>
              <w:rPr>
                <w:noProof/>
                <w:sz w:val="20"/>
                <w:szCs w:val="20"/>
                <w:lang w:val="fr-BE"/>
              </w:rPr>
            </w:pPr>
            <w:r w:rsidRPr="006479EC">
              <w:rPr>
                <w:noProof/>
                <w:sz w:val="20"/>
                <w:szCs w:val="20"/>
                <w:lang w:val="fr-BE"/>
              </w:rPr>
              <w:t xml:space="preserve"> </w:t>
            </w:r>
            <w:r w:rsidR="00E327BD" w:rsidRPr="006479EC">
              <w:rPr>
                <w:noProof/>
                <w:sz w:val="20"/>
                <w:szCs w:val="20"/>
                <w:lang w:val="fr-BE"/>
              </w:rPr>
              <w:t>national lia</w:t>
            </w:r>
            <w:r w:rsidR="00160091" w:rsidRPr="006479EC">
              <w:rPr>
                <w:noProof/>
                <w:sz w:val="20"/>
                <w:szCs w:val="20"/>
                <w:lang w:val="fr-BE"/>
              </w:rPr>
              <w:t>i</w:t>
            </w:r>
            <w:r w:rsidR="00E327BD" w:rsidRPr="006479EC">
              <w:rPr>
                <w:noProof/>
                <w:sz w:val="20"/>
                <w:szCs w:val="20"/>
                <w:lang w:val="fr-BE"/>
              </w:rPr>
              <w:t>son officers)</w:t>
            </w:r>
          </w:p>
          <w:p w14:paraId="18EBE207" w14:textId="77777777" w:rsidR="00E327BD" w:rsidRPr="006479EC" w:rsidRDefault="00E327BD">
            <w:pPr>
              <w:spacing w:after="0"/>
              <w:rPr>
                <w:noProof/>
                <w:sz w:val="20"/>
                <w:szCs w:val="20"/>
                <w:lang w:val="fr-BE"/>
              </w:rPr>
            </w:pPr>
          </w:p>
          <w:p w14:paraId="3C1DBA4F" w14:textId="77777777" w:rsidR="00B00195" w:rsidRPr="00CE2185" w:rsidRDefault="00B00195" w:rsidP="00B00195">
            <w:pPr>
              <w:spacing w:after="0"/>
              <w:rPr>
                <w:noProof/>
                <w:sz w:val="20"/>
                <w:szCs w:val="20"/>
              </w:rPr>
            </w:pPr>
            <w:r w:rsidRPr="00CE2185">
              <w:rPr>
                <w:noProof/>
                <w:sz w:val="20"/>
                <w:szCs w:val="20"/>
              </w:rPr>
              <w:t xml:space="preserve">Administrative cost: potential fee to be paid to ENISA to apply for becoming authorised attestation provider and maintenance costs </w:t>
            </w:r>
          </w:p>
          <w:p w14:paraId="51AF2521" w14:textId="77777777" w:rsidR="0088361F" w:rsidRPr="00CE2185" w:rsidRDefault="0088361F" w:rsidP="00B00195">
            <w:pPr>
              <w:spacing w:after="0"/>
              <w:rPr>
                <w:noProof/>
                <w:sz w:val="20"/>
                <w:szCs w:val="20"/>
              </w:rPr>
            </w:pPr>
          </w:p>
          <w:p w14:paraId="04B68230" w14:textId="57109A9D" w:rsidR="00E327BD" w:rsidRPr="00CE2185" w:rsidRDefault="00B00195">
            <w:pPr>
              <w:spacing w:after="0"/>
              <w:rPr>
                <w:bCs/>
                <w:noProof/>
                <w:sz w:val="20"/>
                <w:szCs w:val="20"/>
              </w:rPr>
            </w:pPr>
            <w:r w:rsidRPr="00CE2185">
              <w:rPr>
                <w:noProof/>
                <w:sz w:val="20"/>
                <w:szCs w:val="20"/>
              </w:rPr>
              <w:t>Adjustment costs to</w:t>
            </w:r>
            <w:r w:rsidRPr="00CE2185">
              <w:rPr>
                <w:noProof/>
              </w:rPr>
              <w:t xml:space="preserve"> </w:t>
            </w:r>
            <w:r w:rsidRPr="00CE2185">
              <w:rPr>
                <w:noProof/>
                <w:sz w:val="20"/>
                <w:szCs w:val="20"/>
              </w:rPr>
              <w:t xml:space="preserve">meet the European individual cybersecurity skills attestation scheme requirements: one-off costs for first authorisation and marginal recurring costs to adapt to other schemes requirements or for renewal of authorisation  </w:t>
            </w:r>
            <w:r w:rsidRPr="00CE2185">
              <w:rPr>
                <w:noProof/>
              </w:rPr>
              <w:t xml:space="preserve"> </w:t>
            </w:r>
          </w:p>
          <w:p w14:paraId="6568CCF4" w14:textId="29B9D65C" w:rsidR="001E2C0C" w:rsidRPr="00CE2185" w:rsidRDefault="001E2C0C">
            <w:pPr>
              <w:spacing w:after="0"/>
              <w:rPr>
                <w:noProof/>
                <w:sz w:val="20"/>
                <w:szCs w:val="20"/>
              </w:rPr>
            </w:pPr>
          </w:p>
        </w:tc>
        <w:tc>
          <w:tcPr>
            <w:tcW w:w="2799" w:type="dxa"/>
          </w:tcPr>
          <w:p w14:paraId="7A70B4CB" w14:textId="06B5E0B7" w:rsidR="001E2C0C" w:rsidRPr="00CE2185" w:rsidRDefault="001A680C">
            <w:pPr>
              <w:spacing w:after="0"/>
              <w:rPr>
                <w:bCs/>
                <w:noProof/>
                <w:sz w:val="20"/>
                <w:szCs w:val="20"/>
                <w:lang w:val="fr-BE"/>
              </w:rPr>
            </w:pPr>
            <w:r w:rsidRPr="00CE2185">
              <w:rPr>
                <w:bCs/>
                <w:noProof/>
                <w:sz w:val="20"/>
                <w:szCs w:val="20"/>
                <w:lang w:val="fr-BE"/>
              </w:rPr>
              <w:t xml:space="preserve">EUR </w:t>
            </w:r>
            <w:r w:rsidR="00886938" w:rsidRPr="00CE2185">
              <w:rPr>
                <w:bCs/>
                <w:noProof/>
                <w:sz w:val="20"/>
                <w:szCs w:val="20"/>
                <w:lang w:val="fr-BE"/>
              </w:rPr>
              <w:t>12.7</w:t>
            </w:r>
            <w:r w:rsidR="00BD1DC6" w:rsidRPr="00CE2185">
              <w:rPr>
                <w:bCs/>
                <w:noProof/>
                <w:sz w:val="20"/>
                <w:szCs w:val="20"/>
                <w:lang w:val="fr-BE"/>
              </w:rPr>
              <w:t>M</w:t>
            </w:r>
            <w:r w:rsidR="00C70FEE" w:rsidRPr="00CE2185">
              <w:rPr>
                <w:bCs/>
                <w:noProof/>
                <w:sz w:val="20"/>
                <w:szCs w:val="20"/>
                <w:lang w:val="fr-BE"/>
              </w:rPr>
              <w:t xml:space="preserve"> </w:t>
            </w:r>
            <w:r w:rsidR="00E327BD" w:rsidRPr="00CE2185">
              <w:rPr>
                <w:bCs/>
                <w:noProof/>
                <w:sz w:val="20"/>
                <w:szCs w:val="20"/>
                <w:lang w:val="fr-BE"/>
              </w:rPr>
              <w:t>(</w:t>
            </w:r>
            <w:r w:rsidR="00521CFF" w:rsidRPr="00CE2185">
              <w:rPr>
                <w:bCs/>
                <w:noProof/>
                <w:sz w:val="20"/>
                <w:szCs w:val="20"/>
                <w:lang w:val="fr-BE"/>
              </w:rPr>
              <w:t>45</w:t>
            </w:r>
            <w:r w:rsidR="00F539D6" w:rsidRPr="00CE2185">
              <w:rPr>
                <w:bCs/>
                <w:noProof/>
                <w:sz w:val="20"/>
                <w:szCs w:val="20"/>
                <w:lang w:val="fr-BE"/>
              </w:rPr>
              <w:t xml:space="preserve"> </w:t>
            </w:r>
            <w:r w:rsidR="00E327BD" w:rsidRPr="00CE2185">
              <w:rPr>
                <w:bCs/>
                <w:noProof/>
                <w:sz w:val="20"/>
                <w:szCs w:val="20"/>
                <w:lang w:val="fr-BE"/>
              </w:rPr>
              <w:t>national liaison officers)</w:t>
            </w:r>
          </w:p>
          <w:p w14:paraId="20B272F6" w14:textId="77777777" w:rsidR="00E327BD" w:rsidRPr="00CE2185" w:rsidRDefault="00E327BD">
            <w:pPr>
              <w:spacing w:after="0"/>
              <w:rPr>
                <w:bCs/>
                <w:noProof/>
                <w:sz w:val="20"/>
                <w:szCs w:val="20"/>
                <w:lang w:val="fr-BE"/>
              </w:rPr>
            </w:pPr>
          </w:p>
          <w:p w14:paraId="03491634" w14:textId="77777777" w:rsidR="00B00195" w:rsidRPr="00CE2185" w:rsidRDefault="00B00195" w:rsidP="00B00195">
            <w:pPr>
              <w:spacing w:after="0"/>
              <w:rPr>
                <w:noProof/>
                <w:sz w:val="20"/>
                <w:szCs w:val="20"/>
              </w:rPr>
            </w:pPr>
            <w:r w:rsidRPr="00CE2185">
              <w:rPr>
                <w:noProof/>
                <w:sz w:val="20"/>
                <w:szCs w:val="20"/>
              </w:rPr>
              <w:t xml:space="preserve">Administrative cost: potential fee to be paid to ENISA to apply for becoming authorised attestation provider and maintenance costs </w:t>
            </w:r>
          </w:p>
          <w:p w14:paraId="6C6D9F35" w14:textId="77777777" w:rsidR="0088361F" w:rsidRPr="00CE2185" w:rsidRDefault="0088361F" w:rsidP="00B00195">
            <w:pPr>
              <w:spacing w:after="0"/>
              <w:rPr>
                <w:noProof/>
                <w:sz w:val="20"/>
                <w:szCs w:val="20"/>
              </w:rPr>
            </w:pPr>
          </w:p>
          <w:p w14:paraId="008B8E80" w14:textId="5021ED04" w:rsidR="001E2C0C" w:rsidRPr="00CE2185" w:rsidRDefault="00B00195">
            <w:pPr>
              <w:spacing w:after="0"/>
              <w:rPr>
                <w:noProof/>
                <w:sz w:val="20"/>
                <w:szCs w:val="20"/>
              </w:rPr>
            </w:pPr>
            <w:r w:rsidRPr="00CE2185">
              <w:rPr>
                <w:noProof/>
                <w:sz w:val="20"/>
                <w:szCs w:val="20"/>
              </w:rPr>
              <w:t>Adjustment costs to</w:t>
            </w:r>
            <w:r w:rsidRPr="00CE2185">
              <w:rPr>
                <w:noProof/>
              </w:rPr>
              <w:t xml:space="preserve"> </w:t>
            </w:r>
            <w:r w:rsidRPr="00CE2185">
              <w:rPr>
                <w:noProof/>
                <w:sz w:val="20"/>
                <w:szCs w:val="20"/>
              </w:rPr>
              <w:t xml:space="preserve">meet the European individual cybersecurity skills attestation scheme requirements: one-off costs for first authorisation and marginal recurring costs to adapt to other schemes requirements or for renewal of authorisation  </w:t>
            </w:r>
            <w:r w:rsidRPr="00CE2185">
              <w:rPr>
                <w:noProof/>
              </w:rPr>
              <w:t xml:space="preserve"> </w:t>
            </w:r>
          </w:p>
        </w:tc>
      </w:tr>
      <w:tr w:rsidR="001E2C0C" w:rsidRPr="00CE2185" w14:paraId="433CDB7B" w14:textId="77777777" w:rsidTr="7C3C8D1B">
        <w:trPr>
          <w:trHeight w:val="281"/>
        </w:trPr>
        <w:tc>
          <w:tcPr>
            <w:tcW w:w="1101" w:type="dxa"/>
          </w:tcPr>
          <w:p w14:paraId="19DD34C1" w14:textId="77777777" w:rsidR="001E2C0C" w:rsidRPr="00CE2185" w:rsidRDefault="001E2C0C">
            <w:pPr>
              <w:spacing w:after="0"/>
              <w:rPr>
                <w:noProof/>
                <w:sz w:val="20"/>
                <w:szCs w:val="20"/>
              </w:rPr>
            </w:pPr>
            <w:r w:rsidRPr="00CE2185">
              <w:rPr>
                <w:noProof/>
                <w:sz w:val="20"/>
                <w:szCs w:val="20"/>
              </w:rPr>
              <w:t xml:space="preserve">ENISA </w:t>
            </w:r>
          </w:p>
        </w:tc>
        <w:tc>
          <w:tcPr>
            <w:tcW w:w="2268" w:type="dxa"/>
          </w:tcPr>
          <w:p w14:paraId="7C5FD8BF" w14:textId="2B74E01B" w:rsidR="001E2C0C" w:rsidRPr="00CE2185" w:rsidRDefault="001E2C0C">
            <w:pPr>
              <w:spacing w:after="0"/>
              <w:rPr>
                <w:noProof/>
                <w:sz w:val="20"/>
                <w:szCs w:val="20"/>
              </w:rPr>
            </w:pPr>
            <w:r w:rsidRPr="00CE2185">
              <w:rPr>
                <w:noProof/>
                <w:sz w:val="20"/>
                <w:szCs w:val="20"/>
              </w:rPr>
              <w:t>FTEs</w:t>
            </w:r>
            <w:r w:rsidR="00483F3B" w:rsidRPr="00CE2185">
              <w:rPr>
                <w:noProof/>
                <w:sz w:val="20"/>
                <w:szCs w:val="20"/>
              </w:rPr>
              <w:t>: negligible</w:t>
            </w:r>
          </w:p>
          <w:p w14:paraId="563D8532" w14:textId="1545DFD8" w:rsidR="001E2C0C" w:rsidRPr="00CE2185" w:rsidRDefault="001E2C0C">
            <w:pPr>
              <w:spacing w:after="0"/>
              <w:rPr>
                <w:noProof/>
                <w:sz w:val="20"/>
                <w:szCs w:val="20"/>
              </w:rPr>
            </w:pPr>
            <w:r w:rsidRPr="00CE2185">
              <w:rPr>
                <w:noProof/>
                <w:sz w:val="20"/>
                <w:szCs w:val="20"/>
              </w:rPr>
              <w:t>Other costs</w:t>
            </w:r>
            <w:r w:rsidR="00483F3B" w:rsidRPr="00CE2185">
              <w:rPr>
                <w:noProof/>
                <w:sz w:val="20"/>
                <w:szCs w:val="20"/>
              </w:rPr>
              <w:t>: negligible</w:t>
            </w:r>
          </w:p>
        </w:tc>
        <w:tc>
          <w:tcPr>
            <w:tcW w:w="3118" w:type="dxa"/>
          </w:tcPr>
          <w:p w14:paraId="57F9D4A8" w14:textId="27B8B5C4" w:rsidR="001F06B3" w:rsidRPr="00CE2185" w:rsidRDefault="442DBCB2">
            <w:pPr>
              <w:spacing w:after="0"/>
              <w:rPr>
                <w:noProof/>
                <w:sz w:val="20"/>
                <w:szCs w:val="20"/>
                <w:lang w:val="en-IE"/>
              </w:rPr>
            </w:pPr>
            <w:r w:rsidRPr="00CE2185">
              <w:rPr>
                <w:b/>
                <w:noProof/>
                <w:sz w:val="20"/>
                <w:szCs w:val="20"/>
                <w:lang w:val="en-IE"/>
              </w:rPr>
              <w:t xml:space="preserve">Total: EUR </w:t>
            </w:r>
            <w:r w:rsidR="00886938" w:rsidRPr="00CE2185">
              <w:rPr>
                <w:b/>
                <w:noProof/>
                <w:sz w:val="20"/>
                <w:szCs w:val="20"/>
                <w:lang w:val="en-IE"/>
              </w:rPr>
              <w:t>148.</w:t>
            </w:r>
            <w:r w:rsidR="00446298" w:rsidRPr="00CE2185">
              <w:rPr>
                <w:b/>
                <w:noProof/>
                <w:sz w:val="20"/>
                <w:szCs w:val="20"/>
                <w:lang w:val="en-IE"/>
              </w:rPr>
              <w:t>12</w:t>
            </w:r>
            <w:r w:rsidRPr="00CE2185">
              <w:rPr>
                <w:b/>
                <w:noProof/>
                <w:sz w:val="20"/>
                <w:szCs w:val="20"/>
                <w:lang w:val="en-IE"/>
              </w:rPr>
              <w:t>M</w:t>
            </w:r>
            <w:r w:rsidR="001129CC" w:rsidRPr="00CE2185">
              <w:rPr>
                <w:b/>
                <w:noProof/>
                <w:sz w:val="20"/>
                <w:szCs w:val="20"/>
                <w:lang w:val="en-IE"/>
              </w:rPr>
              <w:t xml:space="preserve"> </w:t>
            </w:r>
            <w:r w:rsidR="0088361F" w:rsidRPr="00CE2185">
              <w:rPr>
                <w:b/>
                <w:noProof/>
                <w:sz w:val="20"/>
                <w:szCs w:val="20"/>
                <w:lang w:val="en-IE"/>
              </w:rPr>
              <w:t xml:space="preserve"> </w:t>
            </w:r>
            <w:r w:rsidR="0088361F" w:rsidRPr="00CE2185">
              <w:rPr>
                <w:bCs/>
                <w:noProof/>
                <w:sz w:val="20"/>
                <w:szCs w:val="20"/>
                <w:lang w:val="en-IE"/>
              </w:rPr>
              <w:t>(one-off and recurrent adjustment costs)</w:t>
            </w:r>
            <w:r w:rsidR="0088361F" w:rsidRPr="00CE2185">
              <w:rPr>
                <w:b/>
                <w:noProof/>
                <w:sz w:val="20"/>
                <w:szCs w:val="20"/>
                <w:lang w:val="en-IE"/>
              </w:rPr>
              <w:t xml:space="preserve"> </w:t>
            </w:r>
          </w:p>
          <w:p w14:paraId="1D2B33FA" w14:textId="25CD15F8" w:rsidR="001E2C0C" w:rsidRDefault="4EA854F5" w:rsidP="7410CB48">
            <w:pPr>
              <w:spacing w:after="0"/>
              <w:rPr>
                <w:b/>
                <w:noProof/>
                <w:sz w:val="20"/>
                <w:szCs w:val="20"/>
                <w:lang w:val="fr-BE"/>
              </w:rPr>
            </w:pPr>
            <w:r>
              <w:rPr>
                <w:b/>
                <w:noProof/>
                <w:sz w:val="20"/>
                <w:szCs w:val="20"/>
                <w:lang w:val="fr-BE"/>
              </w:rPr>
              <w:t>FTEs</w:t>
            </w:r>
            <w:r w:rsidR="00A92EA6">
              <w:rPr>
                <w:b/>
                <w:noProof/>
                <w:sz w:val="20"/>
                <w:szCs w:val="20"/>
                <w:lang w:val="fr-BE"/>
              </w:rPr>
              <w:t xml:space="preserve"> + NLOs</w:t>
            </w:r>
            <w:r w:rsidR="0CBFCBEF">
              <w:rPr>
                <w:b/>
                <w:noProof/>
                <w:sz w:val="20"/>
                <w:szCs w:val="20"/>
                <w:lang w:val="fr-BE"/>
              </w:rPr>
              <w:t xml:space="preserve">: EUR </w:t>
            </w:r>
            <w:r w:rsidR="00446298">
              <w:rPr>
                <w:b/>
                <w:noProof/>
                <w:sz w:val="20"/>
                <w:szCs w:val="20"/>
                <w:lang w:val="fr-BE"/>
              </w:rPr>
              <w:t>72.6</w:t>
            </w:r>
            <w:r w:rsidR="6D102C8B">
              <w:rPr>
                <w:b/>
                <w:noProof/>
                <w:sz w:val="20"/>
                <w:szCs w:val="20"/>
                <w:lang w:val="fr-BE"/>
              </w:rPr>
              <w:t>M</w:t>
            </w:r>
            <w:r w:rsidR="00C02CA4">
              <w:rPr>
                <w:b/>
                <w:noProof/>
                <w:sz w:val="20"/>
                <w:szCs w:val="20"/>
                <w:lang w:val="fr-BE"/>
              </w:rPr>
              <w:t xml:space="preserve"> (</w:t>
            </w:r>
            <w:r w:rsidR="00446298">
              <w:rPr>
                <w:b/>
                <w:noProof/>
                <w:sz w:val="20"/>
                <w:szCs w:val="20"/>
                <w:lang w:val="fr-BE"/>
              </w:rPr>
              <w:t xml:space="preserve">102 </w:t>
            </w:r>
            <w:r w:rsidR="00C02CA4">
              <w:rPr>
                <w:b/>
                <w:noProof/>
                <w:sz w:val="20"/>
                <w:szCs w:val="20"/>
                <w:lang w:val="fr-BE"/>
              </w:rPr>
              <w:t>FTEs</w:t>
            </w:r>
            <w:r w:rsidR="00C619FB">
              <w:rPr>
                <w:b/>
                <w:noProof/>
                <w:sz w:val="20"/>
                <w:szCs w:val="20"/>
                <w:lang w:val="fr-BE"/>
              </w:rPr>
              <w:t xml:space="preserve"> +</w:t>
            </w:r>
            <w:r w:rsidR="00446298">
              <w:rPr>
                <w:b/>
                <w:noProof/>
                <w:sz w:val="20"/>
                <w:szCs w:val="20"/>
                <w:lang w:val="fr-BE"/>
              </w:rPr>
              <w:t>40</w:t>
            </w:r>
            <w:r w:rsidR="00172B0A">
              <w:rPr>
                <w:b/>
                <w:noProof/>
                <w:sz w:val="20"/>
                <w:szCs w:val="20"/>
                <w:lang w:val="fr-BE"/>
              </w:rPr>
              <w:t xml:space="preserve"> NLOs</w:t>
            </w:r>
            <w:r w:rsidR="00C02CA4">
              <w:rPr>
                <w:b/>
                <w:noProof/>
                <w:sz w:val="20"/>
                <w:szCs w:val="20"/>
                <w:lang w:val="fr-BE"/>
              </w:rPr>
              <w:t xml:space="preserve">) </w:t>
            </w:r>
          </w:p>
          <w:p w14:paraId="48DE79B7" w14:textId="77777777" w:rsidR="00C16738" w:rsidRDefault="00C16738" w:rsidP="7410CB48">
            <w:pPr>
              <w:spacing w:after="0"/>
              <w:rPr>
                <w:b/>
                <w:noProof/>
                <w:sz w:val="20"/>
                <w:szCs w:val="20"/>
                <w:lang w:val="fr-BE"/>
              </w:rPr>
            </w:pPr>
          </w:p>
          <w:p w14:paraId="5D1C0490" w14:textId="7B2EC981" w:rsidR="00000863" w:rsidRPr="00CE2185" w:rsidRDefault="4EA854F5">
            <w:pPr>
              <w:spacing w:after="0"/>
              <w:rPr>
                <w:noProof/>
                <w:sz w:val="20"/>
                <w:szCs w:val="20"/>
              </w:rPr>
            </w:pPr>
            <w:r w:rsidRPr="00CE2185">
              <w:rPr>
                <w:noProof/>
                <w:sz w:val="20"/>
                <w:szCs w:val="20"/>
              </w:rPr>
              <w:t>Other costs</w:t>
            </w:r>
            <w:r w:rsidR="00292183" w:rsidRPr="00CE2185">
              <w:rPr>
                <w:noProof/>
                <w:sz w:val="20"/>
                <w:szCs w:val="20"/>
              </w:rPr>
              <w:t xml:space="preserve"> over five years</w:t>
            </w:r>
            <w:r w:rsidR="12DDD86D" w:rsidRPr="00CE2185">
              <w:rPr>
                <w:noProof/>
                <w:sz w:val="20"/>
                <w:szCs w:val="20"/>
              </w:rPr>
              <w:t xml:space="preserve">: </w:t>
            </w:r>
            <w:r w:rsidR="12DDD86D" w:rsidRPr="00CE2185">
              <w:rPr>
                <w:b/>
                <w:bCs/>
                <w:noProof/>
                <w:sz w:val="20"/>
                <w:szCs w:val="20"/>
              </w:rPr>
              <w:t xml:space="preserve">EUR </w:t>
            </w:r>
            <w:r w:rsidR="00446298" w:rsidRPr="00CE2185">
              <w:rPr>
                <w:b/>
                <w:bCs/>
                <w:noProof/>
                <w:sz w:val="20"/>
                <w:szCs w:val="20"/>
              </w:rPr>
              <w:t>75.5M</w:t>
            </w:r>
            <w:r w:rsidR="00C16738" w:rsidRPr="00CE2185">
              <w:rPr>
                <w:b/>
                <w:bCs/>
                <w:noProof/>
                <w:sz w:val="20"/>
                <w:szCs w:val="20"/>
              </w:rPr>
              <w:t xml:space="preserve"> </w:t>
            </w:r>
            <w:r w:rsidR="00C16738" w:rsidRPr="00CE2185">
              <w:rPr>
                <w:noProof/>
                <w:sz w:val="20"/>
                <w:szCs w:val="20"/>
              </w:rPr>
              <w:t>(adjustment costs)</w:t>
            </w:r>
            <w:r w:rsidR="00C16738" w:rsidRPr="00CE2185">
              <w:rPr>
                <w:b/>
                <w:bCs/>
                <w:noProof/>
                <w:sz w:val="20"/>
                <w:szCs w:val="20"/>
              </w:rPr>
              <w:t xml:space="preserve"> </w:t>
            </w:r>
          </w:p>
          <w:p w14:paraId="75004156" w14:textId="77777777" w:rsidR="00820FE8" w:rsidRPr="00CE2185" w:rsidRDefault="00820FE8" w:rsidP="00EE3DF9">
            <w:pPr>
              <w:pStyle w:val="ListParagraph"/>
              <w:numPr>
                <w:ilvl w:val="0"/>
                <w:numId w:val="42"/>
              </w:numPr>
              <w:spacing w:after="0"/>
              <w:jc w:val="left"/>
              <w:rPr>
                <w:noProof/>
                <w:sz w:val="20"/>
                <w:szCs w:val="20"/>
                <w:lang w:val="en-IE"/>
              </w:rPr>
            </w:pPr>
            <w:r w:rsidRPr="00CE2185">
              <w:rPr>
                <w:noProof/>
                <w:sz w:val="20"/>
                <w:szCs w:val="20"/>
                <w:lang w:val="en-IE"/>
              </w:rPr>
              <w:t>Setting up and operating the CVD database: EUR 5M (one-off and recurrent)</w:t>
            </w:r>
          </w:p>
          <w:p w14:paraId="676AE350" w14:textId="183533C4" w:rsidR="00F12BED" w:rsidRPr="00CE2185" w:rsidRDefault="71DFE35F" w:rsidP="00EE3DF9">
            <w:pPr>
              <w:pStyle w:val="ListParagraph"/>
              <w:numPr>
                <w:ilvl w:val="0"/>
                <w:numId w:val="42"/>
              </w:numPr>
              <w:spacing w:after="0"/>
              <w:jc w:val="left"/>
              <w:rPr>
                <w:noProof/>
                <w:sz w:val="20"/>
                <w:szCs w:val="20"/>
                <w:lang w:val="en-IE"/>
              </w:rPr>
            </w:pPr>
            <w:r w:rsidRPr="00CE2185">
              <w:rPr>
                <w:noProof/>
                <w:sz w:val="20"/>
                <w:szCs w:val="20"/>
                <w:lang w:val="en-IE"/>
              </w:rPr>
              <w:t xml:space="preserve">CTI </w:t>
            </w:r>
            <w:r w:rsidR="442DBCB2" w:rsidRPr="00CE2185">
              <w:rPr>
                <w:noProof/>
                <w:sz w:val="20"/>
                <w:szCs w:val="20"/>
                <w:lang w:val="en-IE"/>
              </w:rPr>
              <w:t>single repository: EUR</w:t>
            </w:r>
            <w:r w:rsidRPr="00CE2185">
              <w:rPr>
                <w:noProof/>
                <w:sz w:val="20"/>
                <w:szCs w:val="20"/>
                <w:lang w:val="en-IE"/>
              </w:rPr>
              <w:t xml:space="preserve"> 20</w:t>
            </w:r>
            <w:r w:rsidR="00C81EFB" w:rsidRPr="00CE2185">
              <w:rPr>
                <w:noProof/>
                <w:sz w:val="20"/>
                <w:szCs w:val="20"/>
                <w:lang w:val="en-IE"/>
              </w:rPr>
              <w:t>M</w:t>
            </w:r>
            <w:r w:rsidRPr="00CE2185">
              <w:rPr>
                <w:noProof/>
                <w:sz w:val="20"/>
                <w:szCs w:val="20"/>
                <w:lang w:val="en-IE"/>
              </w:rPr>
              <w:t xml:space="preserve"> </w:t>
            </w:r>
            <w:r w:rsidR="0088361F" w:rsidRPr="00CE2185">
              <w:rPr>
                <w:noProof/>
                <w:sz w:val="20"/>
                <w:szCs w:val="20"/>
                <w:lang w:val="en-IE"/>
              </w:rPr>
              <w:t>(one-off and recurrent)</w:t>
            </w:r>
          </w:p>
          <w:p w14:paraId="11034D0D" w14:textId="3114B9FD" w:rsidR="0011239E" w:rsidRPr="00CE2185" w:rsidRDefault="00365687" w:rsidP="00EE3DF9">
            <w:pPr>
              <w:pStyle w:val="ListParagraph"/>
              <w:numPr>
                <w:ilvl w:val="0"/>
                <w:numId w:val="42"/>
              </w:numPr>
              <w:spacing w:after="0"/>
              <w:jc w:val="left"/>
              <w:rPr>
                <w:noProof/>
                <w:sz w:val="20"/>
                <w:szCs w:val="20"/>
                <w:lang w:val="en-IE"/>
              </w:rPr>
            </w:pPr>
            <w:r w:rsidRPr="00CE2185">
              <w:rPr>
                <w:noProof/>
                <w:sz w:val="20"/>
                <w:szCs w:val="20"/>
                <w:lang w:val="en-IE"/>
              </w:rPr>
              <w:t>Skills website &amp; other attestation schemes activities</w:t>
            </w:r>
            <w:r w:rsidR="3A0746FF" w:rsidRPr="00CE2185">
              <w:rPr>
                <w:noProof/>
                <w:sz w:val="20"/>
                <w:szCs w:val="20"/>
                <w:lang w:val="en-IE"/>
              </w:rPr>
              <w:t xml:space="preserve">: EUR </w:t>
            </w:r>
            <w:r w:rsidR="00B47C1F" w:rsidRPr="00CE2185">
              <w:rPr>
                <w:noProof/>
                <w:sz w:val="20"/>
                <w:szCs w:val="20"/>
                <w:lang w:val="en-IE"/>
              </w:rPr>
              <w:t>2.06</w:t>
            </w:r>
            <w:r w:rsidR="3A0746FF" w:rsidRPr="00CE2185">
              <w:rPr>
                <w:noProof/>
                <w:sz w:val="20"/>
                <w:szCs w:val="20"/>
                <w:lang w:val="en-IE"/>
              </w:rPr>
              <w:t xml:space="preserve"> million</w:t>
            </w:r>
            <w:r w:rsidR="00292183" w:rsidRPr="00CE2185">
              <w:rPr>
                <w:noProof/>
                <w:sz w:val="20"/>
                <w:szCs w:val="20"/>
                <w:lang w:val="en-IE"/>
              </w:rPr>
              <w:t xml:space="preserve"> (one-off and recurrent)</w:t>
            </w:r>
          </w:p>
          <w:p w14:paraId="0A9F6309" w14:textId="0140E8A5" w:rsidR="00F12BED" w:rsidRPr="00CE2185" w:rsidRDefault="00F12BED" w:rsidP="00EE3DF9">
            <w:pPr>
              <w:pStyle w:val="ListParagraph"/>
              <w:numPr>
                <w:ilvl w:val="0"/>
                <w:numId w:val="42"/>
              </w:numPr>
              <w:spacing w:after="0"/>
              <w:jc w:val="left"/>
              <w:rPr>
                <w:noProof/>
                <w:sz w:val="20"/>
                <w:szCs w:val="20"/>
                <w:lang w:val="en-IE"/>
              </w:rPr>
            </w:pPr>
            <w:r w:rsidRPr="00CE2185">
              <w:rPr>
                <w:noProof/>
                <w:sz w:val="20"/>
                <w:szCs w:val="20"/>
                <w:lang w:val="en-IE"/>
              </w:rPr>
              <w:t xml:space="preserve">Single reporting </w:t>
            </w:r>
            <w:r w:rsidR="001F06B3" w:rsidRPr="00CE2185">
              <w:rPr>
                <w:noProof/>
                <w:sz w:val="20"/>
                <w:szCs w:val="20"/>
                <w:lang w:val="en-IE"/>
              </w:rPr>
              <w:t>: EUR</w:t>
            </w:r>
            <w:r w:rsidRPr="00CE2185">
              <w:rPr>
                <w:noProof/>
                <w:sz w:val="20"/>
                <w:szCs w:val="20"/>
                <w:lang w:val="en-IE"/>
              </w:rPr>
              <w:t xml:space="preserve"> 10</w:t>
            </w:r>
            <w:r w:rsidR="00914BC9" w:rsidRPr="00CE2185">
              <w:rPr>
                <w:noProof/>
                <w:sz w:val="20"/>
                <w:szCs w:val="20"/>
                <w:lang w:val="en-IE"/>
              </w:rPr>
              <w:t>M</w:t>
            </w:r>
            <w:r w:rsidRPr="00CE2185">
              <w:rPr>
                <w:noProof/>
                <w:sz w:val="20"/>
                <w:szCs w:val="20"/>
                <w:lang w:val="en-IE"/>
              </w:rPr>
              <w:t xml:space="preserve"> </w:t>
            </w:r>
            <w:r w:rsidR="0088361F" w:rsidRPr="00CE2185">
              <w:rPr>
                <w:noProof/>
                <w:sz w:val="20"/>
                <w:szCs w:val="20"/>
                <w:lang w:val="en-IE"/>
              </w:rPr>
              <w:t xml:space="preserve"> (one-off and recurrent)</w:t>
            </w:r>
          </w:p>
          <w:p w14:paraId="62064CDD" w14:textId="6D478E97" w:rsidR="005E7B10" w:rsidRPr="00CE2185" w:rsidRDefault="005E7B10" w:rsidP="00EE3DF9">
            <w:pPr>
              <w:pStyle w:val="ListParagraph"/>
              <w:numPr>
                <w:ilvl w:val="0"/>
                <w:numId w:val="42"/>
              </w:numPr>
              <w:spacing w:after="0"/>
              <w:jc w:val="left"/>
              <w:rPr>
                <w:noProof/>
                <w:sz w:val="20"/>
                <w:szCs w:val="20"/>
                <w:lang w:val="en-IE"/>
              </w:rPr>
            </w:pPr>
            <w:r w:rsidRPr="00CE2185">
              <w:rPr>
                <w:noProof/>
                <w:sz w:val="20"/>
                <w:szCs w:val="20"/>
                <w:lang w:val="en-IE"/>
              </w:rPr>
              <w:t>CRA implementation: EUR 10M</w:t>
            </w:r>
          </w:p>
          <w:p w14:paraId="66B1967D" w14:textId="15FB3FD4" w:rsidR="001E2C0C" w:rsidRPr="00CE2185" w:rsidRDefault="71DFE35F" w:rsidP="00EE3DF9">
            <w:pPr>
              <w:pStyle w:val="ListParagraph"/>
              <w:numPr>
                <w:ilvl w:val="0"/>
                <w:numId w:val="42"/>
              </w:numPr>
              <w:spacing w:after="0"/>
              <w:jc w:val="left"/>
              <w:rPr>
                <w:noProof/>
                <w:sz w:val="20"/>
                <w:szCs w:val="20"/>
                <w:lang w:val="en-IE"/>
              </w:rPr>
            </w:pPr>
            <w:r w:rsidRPr="00CE2185">
              <w:rPr>
                <w:noProof/>
                <w:sz w:val="20"/>
                <w:szCs w:val="20"/>
                <w:lang w:val="en-IE"/>
              </w:rPr>
              <w:t>Single entry point</w:t>
            </w:r>
            <w:r w:rsidR="442DBCB2" w:rsidRPr="00CE2185">
              <w:rPr>
                <w:noProof/>
                <w:sz w:val="20"/>
                <w:szCs w:val="20"/>
                <w:lang w:val="en-IE"/>
              </w:rPr>
              <w:t>:</w:t>
            </w:r>
            <w:r w:rsidRPr="00CE2185">
              <w:rPr>
                <w:noProof/>
                <w:sz w:val="20"/>
                <w:szCs w:val="20"/>
                <w:lang w:val="en-IE"/>
              </w:rPr>
              <w:t xml:space="preserve"> EUR 8</w:t>
            </w:r>
            <w:r w:rsidR="00914BC9" w:rsidRPr="00CE2185">
              <w:rPr>
                <w:noProof/>
                <w:sz w:val="20"/>
                <w:szCs w:val="20"/>
                <w:lang w:val="en-IE"/>
              </w:rPr>
              <w:t>M</w:t>
            </w:r>
            <w:r w:rsidR="0088361F" w:rsidRPr="00CE2185">
              <w:rPr>
                <w:noProof/>
                <w:sz w:val="20"/>
                <w:szCs w:val="20"/>
                <w:lang w:val="en-IE"/>
              </w:rPr>
              <w:t xml:space="preserve"> (o</w:t>
            </w:r>
            <w:r w:rsidR="00292183" w:rsidRPr="00CE2185">
              <w:rPr>
                <w:noProof/>
                <w:sz w:val="20"/>
                <w:szCs w:val="20"/>
                <w:lang w:val="en-IE"/>
              </w:rPr>
              <w:t>ne-off</w:t>
            </w:r>
            <w:r w:rsidR="0088361F" w:rsidRPr="00CE2185">
              <w:rPr>
                <w:noProof/>
                <w:sz w:val="20"/>
                <w:szCs w:val="20"/>
                <w:lang w:val="en-IE"/>
              </w:rPr>
              <w:t>)</w:t>
            </w:r>
          </w:p>
          <w:p w14:paraId="362C8341" w14:textId="7C99EDB6" w:rsidR="00B40D1C" w:rsidRPr="00CE2185" w:rsidRDefault="00B40D1C" w:rsidP="00EE3DF9">
            <w:pPr>
              <w:pStyle w:val="ListParagraph"/>
              <w:numPr>
                <w:ilvl w:val="0"/>
                <w:numId w:val="42"/>
              </w:numPr>
              <w:spacing w:after="0"/>
              <w:jc w:val="left"/>
              <w:rPr>
                <w:noProof/>
                <w:sz w:val="20"/>
                <w:szCs w:val="20"/>
                <w:lang w:val="en-IE"/>
              </w:rPr>
            </w:pPr>
            <w:r w:rsidRPr="00CE2185">
              <w:rPr>
                <w:noProof/>
                <w:sz w:val="20"/>
                <w:szCs w:val="20"/>
                <w:lang w:val="en-IE"/>
              </w:rPr>
              <w:t xml:space="preserve">Secure communications set-up and maintenance: </w:t>
            </w:r>
            <w:r w:rsidR="00B528F0" w:rsidRPr="00CE2185">
              <w:rPr>
                <w:noProof/>
                <w:sz w:val="20"/>
                <w:szCs w:val="20"/>
                <w:lang w:val="en-IE"/>
              </w:rPr>
              <w:t xml:space="preserve">EUR </w:t>
            </w:r>
            <w:r w:rsidRPr="00CE2185">
              <w:rPr>
                <w:noProof/>
                <w:sz w:val="20"/>
                <w:szCs w:val="20"/>
                <w:lang w:val="en-IE"/>
              </w:rPr>
              <w:t>5.5M (one-off and recurrent)</w:t>
            </w:r>
          </w:p>
          <w:p w14:paraId="112BA8C3" w14:textId="18D2ECC9" w:rsidR="001E2C0C" w:rsidRPr="00CE2185" w:rsidRDefault="00B528F0" w:rsidP="00EE3DF9">
            <w:pPr>
              <w:pStyle w:val="ListParagraph"/>
              <w:numPr>
                <w:ilvl w:val="0"/>
                <w:numId w:val="42"/>
              </w:numPr>
              <w:spacing w:after="0"/>
              <w:jc w:val="left"/>
              <w:rPr>
                <w:noProof/>
                <w:sz w:val="20"/>
                <w:szCs w:val="20"/>
                <w:lang w:val="en-IE"/>
              </w:rPr>
            </w:pPr>
            <w:r w:rsidRPr="00CE2185">
              <w:rPr>
                <w:noProof/>
                <w:sz w:val="20"/>
                <w:szCs w:val="20"/>
                <w:lang w:val="en-IE"/>
              </w:rPr>
              <w:t>Cyber maturity</w:t>
            </w:r>
            <w:r w:rsidR="00285A9F" w:rsidRPr="00CE2185">
              <w:rPr>
                <w:noProof/>
                <w:sz w:val="20"/>
                <w:szCs w:val="20"/>
                <w:lang w:val="en-IE"/>
              </w:rPr>
              <w:t xml:space="preserve"> (recurrent)</w:t>
            </w:r>
            <w:r w:rsidRPr="00CE2185">
              <w:rPr>
                <w:noProof/>
                <w:sz w:val="20"/>
                <w:szCs w:val="20"/>
                <w:lang w:val="en-IE"/>
              </w:rPr>
              <w:t>: EUR 15M</w:t>
            </w:r>
          </w:p>
        </w:tc>
        <w:tc>
          <w:tcPr>
            <w:tcW w:w="2799" w:type="dxa"/>
          </w:tcPr>
          <w:p w14:paraId="2E54534F" w14:textId="663D3E68" w:rsidR="001F06B3" w:rsidRPr="00CE2185" w:rsidRDefault="442DBCB2" w:rsidP="7410CB48">
            <w:pPr>
              <w:spacing w:after="0"/>
              <w:rPr>
                <w:b/>
                <w:noProof/>
                <w:sz w:val="20"/>
                <w:szCs w:val="20"/>
                <w:lang w:val="en-IE"/>
              </w:rPr>
            </w:pPr>
            <w:r w:rsidRPr="00CE2185">
              <w:rPr>
                <w:b/>
                <w:noProof/>
                <w:sz w:val="20"/>
                <w:szCs w:val="20"/>
                <w:lang w:val="en-IE"/>
              </w:rPr>
              <w:t xml:space="preserve">Total: </w:t>
            </w:r>
            <w:r w:rsidR="005F1357" w:rsidRPr="00211B89">
              <w:rPr>
                <w:b/>
                <w:noProof/>
                <w:sz w:val="20"/>
                <w:szCs w:val="20"/>
                <w:lang w:val="en-IE"/>
              </w:rPr>
              <w:t>165.37</w:t>
            </w:r>
            <w:r w:rsidR="5678F7AF" w:rsidRPr="00CE2185">
              <w:rPr>
                <w:b/>
                <w:noProof/>
                <w:sz w:val="20"/>
                <w:szCs w:val="20"/>
                <w:lang w:val="en-IE"/>
              </w:rPr>
              <w:t xml:space="preserve"> EUR</w:t>
            </w:r>
            <w:r w:rsidR="001129CC" w:rsidRPr="00CE2185">
              <w:rPr>
                <w:b/>
                <w:noProof/>
                <w:sz w:val="20"/>
                <w:szCs w:val="20"/>
                <w:lang w:val="en-IE"/>
              </w:rPr>
              <w:t xml:space="preserve"> </w:t>
            </w:r>
            <w:r w:rsidR="0088361F" w:rsidRPr="00CE2185">
              <w:rPr>
                <w:bCs/>
                <w:noProof/>
                <w:sz w:val="20"/>
                <w:szCs w:val="20"/>
                <w:lang w:val="en-IE"/>
              </w:rPr>
              <w:t>(one-off and recurrent adjustment costs)</w:t>
            </w:r>
            <w:r w:rsidR="0088361F" w:rsidRPr="00CE2185">
              <w:rPr>
                <w:b/>
                <w:noProof/>
                <w:sz w:val="20"/>
                <w:szCs w:val="20"/>
                <w:lang w:val="en-IE"/>
              </w:rPr>
              <w:t xml:space="preserve"> </w:t>
            </w:r>
          </w:p>
          <w:p w14:paraId="776733D0" w14:textId="22D505CB" w:rsidR="001E2C0C" w:rsidRPr="00CE2185" w:rsidRDefault="00483F3B">
            <w:pPr>
              <w:spacing w:after="0"/>
              <w:rPr>
                <w:noProof/>
                <w:sz w:val="20"/>
                <w:szCs w:val="20"/>
                <w:lang w:val="fr-BE"/>
              </w:rPr>
            </w:pPr>
            <w:r w:rsidRPr="00CE2185">
              <w:rPr>
                <w:noProof/>
                <w:sz w:val="20"/>
                <w:szCs w:val="20"/>
                <w:lang w:val="fr-BE"/>
              </w:rPr>
              <w:t>FTEs</w:t>
            </w:r>
            <w:r w:rsidR="00B36E04" w:rsidRPr="00CE2185">
              <w:rPr>
                <w:noProof/>
                <w:sz w:val="20"/>
                <w:szCs w:val="20"/>
                <w:lang w:val="fr-BE"/>
              </w:rPr>
              <w:t xml:space="preserve"> + NLOs</w:t>
            </w:r>
            <w:r w:rsidRPr="00CE2185">
              <w:rPr>
                <w:noProof/>
                <w:sz w:val="20"/>
                <w:szCs w:val="20"/>
                <w:lang w:val="fr-BE"/>
              </w:rPr>
              <w:t>:</w:t>
            </w:r>
            <w:r w:rsidR="00C404B6" w:rsidRPr="00CE2185">
              <w:rPr>
                <w:noProof/>
                <w:sz w:val="20"/>
                <w:szCs w:val="20"/>
                <w:lang w:val="fr-BE"/>
              </w:rPr>
              <w:t xml:space="preserve"> </w:t>
            </w:r>
            <w:r w:rsidR="00C23707" w:rsidRPr="00CE2185">
              <w:rPr>
                <w:noProof/>
                <w:sz w:val="20"/>
                <w:szCs w:val="20"/>
                <w:lang w:val="fr-BE"/>
              </w:rPr>
              <w:t xml:space="preserve">EUR </w:t>
            </w:r>
            <w:r w:rsidR="002E44AE" w:rsidRPr="00CE2185">
              <w:rPr>
                <w:noProof/>
                <w:sz w:val="20"/>
                <w:szCs w:val="20"/>
                <w:lang w:val="fr-BE"/>
              </w:rPr>
              <w:t>89.88M</w:t>
            </w:r>
            <w:r w:rsidR="00C23707" w:rsidRPr="00CE2185">
              <w:rPr>
                <w:noProof/>
                <w:sz w:val="20"/>
                <w:szCs w:val="20"/>
                <w:lang w:val="fr-BE"/>
              </w:rPr>
              <w:t xml:space="preserve"> million</w:t>
            </w:r>
            <w:r w:rsidR="00B36E04" w:rsidRPr="00CE2185">
              <w:rPr>
                <w:noProof/>
                <w:sz w:val="20"/>
                <w:szCs w:val="20"/>
                <w:lang w:val="fr-BE"/>
              </w:rPr>
              <w:t xml:space="preserve"> (</w:t>
            </w:r>
            <w:r w:rsidR="0008588D" w:rsidRPr="00CE2185">
              <w:rPr>
                <w:noProof/>
                <w:sz w:val="20"/>
                <w:szCs w:val="20"/>
                <w:lang w:val="fr-BE"/>
              </w:rPr>
              <w:t>102</w:t>
            </w:r>
            <w:r w:rsidR="00B36E04" w:rsidRPr="00CE2185">
              <w:rPr>
                <w:noProof/>
                <w:sz w:val="20"/>
                <w:szCs w:val="20"/>
                <w:lang w:val="fr-BE"/>
              </w:rPr>
              <w:t xml:space="preserve"> FTEs + </w:t>
            </w:r>
            <w:r w:rsidR="0008588D" w:rsidRPr="00CE2185">
              <w:rPr>
                <w:noProof/>
                <w:sz w:val="20"/>
                <w:szCs w:val="20"/>
                <w:lang w:val="fr-BE"/>
              </w:rPr>
              <w:t>45</w:t>
            </w:r>
            <w:r w:rsidR="00B36E04" w:rsidRPr="00CE2185">
              <w:rPr>
                <w:noProof/>
                <w:sz w:val="20"/>
                <w:szCs w:val="20"/>
                <w:lang w:val="fr-BE"/>
              </w:rPr>
              <w:t xml:space="preserve"> NLOs)</w:t>
            </w:r>
          </w:p>
          <w:p w14:paraId="5F3B9DEB" w14:textId="77777777" w:rsidR="00C16738" w:rsidRPr="00CE2185" w:rsidRDefault="00C16738">
            <w:pPr>
              <w:spacing w:after="0"/>
              <w:rPr>
                <w:noProof/>
                <w:sz w:val="20"/>
                <w:szCs w:val="20"/>
                <w:lang w:val="fr-BE"/>
              </w:rPr>
            </w:pPr>
          </w:p>
          <w:p w14:paraId="52F60579" w14:textId="492ADD8B" w:rsidR="001E2C0C" w:rsidRPr="00CE2185" w:rsidRDefault="12DDD86D">
            <w:pPr>
              <w:spacing w:after="0"/>
              <w:rPr>
                <w:noProof/>
                <w:sz w:val="20"/>
                <w:szCs w:val="20"/>
              </w:rPr>
            </w:pPr>
            <w:r w:rsidRPr="00CE2185">
              <w:rPr>
                <w:noProof/>
                <w:sz w:val="20"/>
                <w:szCs w:val="20"/>
              </w:rPr>
              <w:t xml:space="preserve">Other costs: </w:t>
            </w:r>
            <w:r w:rsidR="75A86DF7" w:rsidRPr="00CE2185">
              <w:rPr>
                <w:noProof/>
                <w:sz w:val="20"/>
                <w:szCs w:val="20"/>
              </w:rPr>
              <w:t xml:space="preserve">EUR </w:t>
            </w:r>
            <w:r w:rsidR="002E44AE" w:rsidRPr="00CE2185">
              <w:rPr>
                <w:noProof/>
                <w:sz w:val="20"/>
                <w:szCs w:val="20"/>
              </w:rPr>
              <w:t>75.5M</w:t>
            </w:r>
            <w:r w:rsidR="001129CC" w:rsidRPr="00CE2185">
              <w:rPr>
                <w:noProof/>
                <w:sz w:val="20"/>
                <w:szCs w:val="20"/>
              </w:rPr>
              <w:t xml:space="preserve"> </w:t>
            </w:r>
            <w:r w:rsidR="00C16738" w:rsidRPr="00CE2185">
              <w:rPr>
                <w:noProof/>
                <w:sz w:val="20"/>
                <w:szCs w:val="20"/>
              </w:rPr>
              <w:t xml:space="preserve">(adjustment costs) </w:t>
            </w:r>
          </w:p>
        </w:tc>
      </w:tr>
      <w:tr w:rsidR="001E2C0C" w:rsidRPr="00CE2185" w14:paraId="2FFE9787" w14:textId="77777777" w:rsidTr="7C3C8D1B">
        <w:trPr>
          <w:trHeight w:val="210"/>
        </w:trPr>
        <w:tc>
          <w:tcPr>
            <w:tcW w:w="1101" w:type="dxa"/>
          </w:tcPr>
          <w:p w14:paraId="10BCE670" w14:textId="77777777" w:rsidR="001E2C0C" w:rsidRPr="00CE2185" w:rsidRDefault="001E2C0C">
            <w:pPr>
              <w:spacing w:after="0"/>
              <w:rPr>
                <w:noProof/>
                <w:sz w:val="20"/>
                <w:szCs w:val="20"/>
              </w:rPr>
            </w:pPr>
            <w:r w:rsidRPr="00CE2185">
              <w:rPr>
                <w:noProof/>
                <w:sz w:val="20"/>
                <w:szCs w:val="20"/>
              </w:rPr>
              <w:t>Citizens</w:t>
            </w:r>
          </w:p>
        </w:tc>
        <w:tc>
          <w:tcPr>
            <w:tcW w:w="2268" w:type="dxa"/>
          </w:tcPr>
          <w:p w14:paraId="39E1079E" w14:textId="47345CDA" w:rsidR="001E2C0C" w:rsidRPr="00CE2185" w:rsidRDefault="00C63173">
            <w:pPr>
              <w:spacing w:after="0"/>
              <w:rPr>
                <w:noProof/>
                <w:sz w:val="20"/>
                <w:szCs w:val="20"/>
              </w:rPr>
            </w:pPr>
            <w:r w:rsidRPr="00CE2185">
              <w:rPr>
                <w:noProof/>
                <w:sz w:val="20"/>
                <w:szCs w:val="20"/>
              </w:rPr>
              <w:t>No costs</w:t>
            </w:r>
          </w:p>
        </w:tc>
        <w:tc>
          <w:tcPr>
            <w:tcW w:w="3118" w:type="dxa"/>
          </w:tcPr>
          <w:p w14:paraId="08EE0355" w14:textId="54F31C84" w:rsidR="001E2C0C" w:rsidRPr="00CE2185" w:rsidRDefault="0010706A">
            <w:pPr>
              <w:spacing w:after="0"/>
              <w:rPr>
                <w:noProof/>
                <w:sz w:val="20"/>
                <w:szCs w:val="20"/>
              </w:rPr>
            </w:pPr>
            <w:r w:rsidRPr="00CE2185">
              <w:rPr>
                <w:noProof/>
                <w:sz w:val="20"/>
                <w:szCs w:val="20"/>
              </w:rPr>
              <w:t>Potential cost of acquiring the individual skills attestation</w:t>
            </w:r>
            <w:r w:rsidR="00C16738" w:rsidRPr="00CE2185">
              <w:rPr>
                <w:noProof/>
                <w:sz w:val="20"/>
                <w:szCs w:val="20"/>
              </w:rPr>
              <w:t xml:space="preserve"> (one-off) </w:t>
            </w:r>
          </w:p>
        </w:tc>
        <w:tc>
          <w:tcPr>
            <w:tcW w:w="2799" w:type="dxa"/>
          </w:tcPr>
          <w:p w14:paraId="2E027992" w14:textId="1DA8EB0E" w:rsidR="001E2C0C" w:rsidRPr="00CE2185" w:rsidRDefault="0010706A">
            <w:pPr>
              <w:spacing w:after="0"/>
              <w:rPr>
                <w:noProof/>
                <w:sz w:val="20"/>
                <w:szCs w:val="20"/>
              </w:rPr>
            </w:pPr>
            <w:r w:rsidRPr="00CE2185">
              <w:rPr>
                <w:noProof/>
                <w:sz w:val="20"/>
                <w:szCs w:val="20"/>
              </w:rPr>
              <w:t>Potential cost of acquiring the individual skills attestation</w:t>
            </w:r>
            <w:r w:rsidR="00C16738" w:rsidRPr="00CE2185">
              <w:rPr>
                <w:noProof/>
                <w:sz w:val="20"/>
                <w:szCs w:val="20"/>
              </w:rPr>
              <w:t xml:space="preserve"> (one-off) </w:t>
            </w:r>
          </w:p>
        </w:tc>
      </w:tr>
    </w:tbl>
    <w:p w14:paraId="0A4E1EDA" w14:textId="77777777" w:rsidR="001E2C0C" w:rsidRPr="00CE2185" w:rsidRDefault="001E2C0C" w:rsidP="001E2C0C">
      <w:pPr>
        <w:rPr>
          <w:noProof/>
        </w:rPr>
      </w:pPr>
    </w:p>
    <w:p w14:paraId="7D69222D" w14:textId="7DFF6EE3" w:rsidR="002E2C50" w:rsidRPr="00CE2185" w:rsidRDefault="002E2C50" w:rsidP="00EE3DF9">
      <w:pPr>
        <w:pStyle w:val="Heading4"/>
        <w:numPr>
          <w:ilvl w:val="4"/>
          <w:numId w:val="10"/>
        </w:numPr>
        <w:spacing w:before="120" w:after="120"/>
        <w:ind w:left="1797" w:hanging="357"/>
        <w:rPr>
          <w:noProof/>
        </w:rPr>
      </w:pPr>
      <w:r w:rsidRPr="00CE2185">
        <w:rPr>
          <w:noProof/>
        </w:rPr>
        <w:t xml:space="preserve"> </w:t>
      </w:r>
      <w:r w:rsidR="007D4275" w:rsidRPr="00CE2185">
        <w:rPr>
          <w:noProof/>
        </w:rPr>
        <w:t>Cost savings</w:t>
      </w:r>
      <w:r w:rsidRPr="00CE2185">
        <w:rPr>
          <w:noProof/>
        </w:rPr>
        <w:t xml:space="preserve"> for public authorities, citizens, businesses </w:t>
      </w:r>
      <w:r w:rsidR="00603F71" w:rsidRPr="00CE2185">
        <w:rPr>
          <w:noProof/>
        </w:rPr>
        <w:t xml:space="preserve">related to </w:t>
      </w:r>
      <w:r w:rsidR="00603F71" w:rsidRPr="00CE2185">
        <w:rPr>
          <w:b/>
          <w:noProof/>
        </w:rPr>
        <w:t xml:space="preserve">efficiency and reduction of time to detect and respond to incidents. </w:t>
      </w:r>
    </w:p>
    <w:p w14:paraId="64174C8E" w14:textId="067DF178" w:rsidR="0095127E" w:rsidRPr="00CE2185" w:rsidRDefault="00E042EB" w:rsidP="00795DF0">
      <w:pPr>
        <w:spacing w:after="120"/>
        <w:rPr>
          <w:noProof/>
        </w:rPr>
      </w:pPr>
      <w:r w:rsidRPr="00CE2185">
        <w:rPr>
          <w:noProof/>
        </w:rPr>
        <w:t xml:space="preserve">Under </w:t>
      </w:r>
      <w:r w:rsidR="0095127E" w:rsidRPr="00CE2185">
        <w:rPr>
          <w:b/>
          <w:bCs/>
          <w:noProof/>
        </w:rPr>
        <w:t>Option A</w:t>
      </w:r>
      <w:r w:rsidR="00BD1792" w:rsidRPr="00CE2185">
        <w:rPr>
          <w:b/>
          <w:bCs/>
          <w:noProof/>
        </w:rPr>
        <w:t>.</w:t>
      </w:r>
      <w:r w:rsidR="0095127E" w:rsidRPr="00CE2185">
        <w:rPr>
          <w:b/>
          <w:bCs/>
          <w:noProof/>
        </w:rPr>
        <w:t>1</w:t>
      </w:r>
      <w:r w:rsidRPr="00CE2185">
        <w:rPr>
          <w:noProof/>
        </w:rPr>
        <w:t>, t</w:t>
      </w:r>
      <w:r w:rsidR="0095127E" w:rsidRPr="00CE2185">
        <w:rPr>
          <w:noProof/>
        </w:rPr>
        <w:t>he anticipated economic impact on EU institutions and bodies,</w:t>
      </w:r>
      <w:r w:rsidR="0095127E" w:rsidRPr="00CE2185" w:rsidDel="00AE7ADF">
        <w:rPr>
          <w:noProof/>
        </w:rPr>
        <w:t xml:space="preserve"> </w:t>
      </w:r>
      <w:r w:rsidR="0095127E" w:rsidRPr="00CE2185">
        <w:rPr>
          <w:noProof/>
        </w:rPr>
        <w:t xml:space="preserve">in particular on </w:t>
      </w:r>
      <w:r w:rsidR="0095127E" w:rsidRPr="00CE2185">
        <w:rPr>
          <w:b/>
          <w:bCs/>
          <w:noProof/>
        </w:rPr>
        <w:t>ENISA,</w:t>
      </w:r>
      <w:r w:rsidR="0095127E" w:rsidRPr="00CE2185">
        <w:rPr>
          <w:noProof/>
        </w:rPr>
        <w:t xml:space="preserve"> is characterised by enhanced resource efficiency, improved coordination, and sector-specific support, and </w:t>
      </w:r>
      <w:r w:rsidR="00A8446F">
        <w:rPr>
          <w:noProof/>
        </w:rPr>
        <w:t xml:space="preserve">would </w:t>
      </w:r>
      <w:r w:rsidR="0095127E" w:rsidRPr="00CE2185">
        <w:rPr>
          <w:noProof/>
        </w:rPr>
        <w:t xml:space="preserve">generate </w:t>
      </w:r>
      <w:r w:rsidR="00C45EF3" w:rsidRPr="00CE2185">
        <w:rPr>
          <w:noProof/>
        </w:rPr>
        <w:t>limited</w:t>
      </w:r>
      <w:r w:rsidR="0095127E" w:rsidRPr="00CE2185">
        <w:rPr>
          <w:noProof/>
        </w:rPr>
        <w:t xml:space="preserve"> cost savings of almost EUR 70 000</w:t>
      </w:r>
      <w:r w:rsidR="0095127E" w:rsidRPr="00CE2185">
        <w:rPr>
          <w:rFonts w:eastAsiaTheme="minorEastAsia"/>
          <w:noProof/>
          <w:vertAlign w:val="superscript"/>
        </w:rPr>
        <w:footnoteReference w:id="148"/>
      </w:r>
      <w:r w:rsidR="0095127E" w:rsidRPr="00CE2185">
        <w:rPr>
          <w:noProof/>
        </w:rPr>
        <w:t xml:space="preserve"> in ENISA’s annual budget</w:t>
      </w:r>
      <w:r w:rsidR="002B4C29" w:rsidRPr="00CE2185">
        <w:rPr>
          <w:noProof/>
        </w:rPr>
        <w:t>, which would be absorbed by other activity areas</w:t>
      </w:r>
      <w:r w:rsidR="00B7780F" w:rsidRPr="00CE2185">
        <w:rPr>
          <w:noProof/>
        </w:rPr>
        <w:t xml:space="preserve"> that will be enhanced (such as operational cooperation)</w:t>
      </w:r>
      <w:r w:rsidR="0095127E" w:rsidRPr="00CE2185">
        <w:rPr>
          <w:bCs/>
          <w:noProof/>
        </w:rPr>
        <w:t>.</w:t>
      </w:r>
      <w:r w:rsidR="0095127E" w:rsidRPr="00CE2185">
        <w:rPr>
          <w:noProof/>
        </w:rPr>
        <w:t xml:space="preserve"> Currently, ENISA collaborates with several stakeholders on various activities related to cybersecurity market, research and development</w:t>
      </w:r>
      <w:r w:rsidR="006B0C47" w:rsidRPr="00CE2185">
        <w:rPr>
          <w:noProof/>
        </w:rPr>
        <w:t xml:space="preserve">, </w:t>
      </w:r>
      <w:r w:rsidR="0027004B" w:rsidRPr="00CE2185">
        <w:rPr>
          <w:noProof/>
        </w:rPr>
        <w:t>i</w:t>
      </w:r>
      <w:r w:rsidR="616BD0F1" w:rsidRPr="00CE2185">
        <w:rPr>
          <w:noProof/>
        </w:rPr>
        <w:t>.</w:t>
      </w:r>
      <w:r w:rsidR="0027004B" w:rsidRPr="00CE2185">
        <w:rPr>
          <w:noProof/>
        </w:rPr>
        <w:t>e.</w:t>
      </w:r>
      <w:r w:rsidR="0095127E" w:rsidRPr="00CE2185">
        <w:rPr>
          <w:noProof/>
        </w:rPr>
        <w:t xml:space="preserve"> </w:t>
      </w:r>
      <w:r w:rsidR="00DD7286" w:rsidRPr="00CE2185">
        <w:rPr>
          <w:noProof/>
        </w:rPr>
        <w:t>n</w:t>
      </w:r>
      <w:r w:rsidR="0095127E" w:rsidRPr="00CE2185">
        <w:rPr>
          <w:noProof/>
        </w:rPr>
        <w:t xml:space="preserve">ational and EU R&amp;I </w:t>
      </w:r>
      <w:r w:rsidR="009D566C" w:rsidRPr="00CE2185">
        <w:rPr>
          <w:noProof/>
        </w:rPr>
        <w:t>e</w:t>
      </w:r>
      <w:r w:rsidR="0095127E" w:rsidRPr="00CE2185">
        <w:rPr>
          <w:noProof/>
        </w:rPr>
        <w:t xml:space="preserve">ntities, </w:t>
      </w:r>
      <w:r w:rsidR="009D566C" w:rsidRPr="00CE2185">
        <w:rPr>
          <w:noProof/>
        </w:rPr>
        <w:t>a</w:t>
      </w:r>
      <w:r w:rsidR="0095127E" w:rsidRPr="00CE2185">
        <w:rPr>
          <w:noProof/>
        </w:rPr>
        <w:t xml:space="preserve">cademia and </w:t>
      </w:r>
      <w:r w:rsidR="009D566C" w:rsidRPr="00CE2185">
        <w:rPr>
          <w:noProof/>
        </w:rPr>
        <w:t>i</w:t>
      </w:r>
      <w:r w:rsidR="0095127E" w:rsidRPr="00CE2185">
        <w:rPr>
          <w:noProof/>
        </w:rPr>
        <w:t xml:space="preserve">ndustry and the ECCC. Under this Option A.1, ENISA’s research-related activities would be </w:t>
      </w:r>
      <w:r w:rsidR="00AA36EF" w:rsidRPr="00CE2185">
        <w:rPr>
          <w:noProof/>
        </w:rPr>
        <w:t>removed</w:t>
      </w:r>
      <w:r w:rsidR="0095127E" w:rsidRPr="00CE2185">
        <w:rPr>
          <w:noProof/>
        </w:rPr>
        <w:t>, avoiding duplication of efforts already undertaken by the ECCC or project consortia. In this view, ENISA would focus on strategic oversight, enabling a more targeted use of its resources.</w:t>
      </w:r>
    </w:p>
    <w:p w14:paraId="606775E1" w14:textId="7691C5D1" w:rsidR="005E0C09" w:rsidRPr="00CE2185" w:rsidRDefault="00D01A3C" w:rsidP="00795DF0">
      <w:pPr>
        <w:spacing w:after="120"/>
        <w:rPr>
          <w:noProof/>
        </w:rPr>
      </w:pPr>
      <w:r w:rsidRPr="00CE2185">
        <w:rPr>
          <w:noProof/>
        </w:rPr>
        <w:t>For</w:t>
      </w:r>
      <w:r w:rsidR="0095127E" w:rsidRPr="00CE2185">
        <w:rPr>
          <w:b/>
          <w:bCs/>
          <w:noProof/>
        </w:rPr>
        <w:t xml:space="preserve"> national authorities</w:t>
      </w:r>
      <w:r w:rsidR="0095127E" w:rsidRPr="00CE2185">
        <w:rPr>
          <w:noProof/>
        </w:rPr>
        <w:t>, by facilitating collaboration, the policy option aims to streamline efforts and avoid duplication, thereby reducing administrative overhead and improving the efficiency of cybersecurity initiatives across Member States. Additionally, this policy option enhanc</w:t>
      </w:r>
      <w:r w:rsidR="004A3665" w:rsidRPr="00CE2185">
        <w:rPr>
          <w:noProof/>
        </w:rPr>
        <w:t>es</w:t>
      </w:r>
      <w:r w:rsidR="0095127E" w:rsidRPr="00CE2185">
        <w:rPr>
          <w:noProof/>
        </w:rPr>
        <w:t xml:space="preserve"> ENISA’s role as the secretariat of two operational networks, the CSIRTs network and EU CyCLONe</w:t>
      </w:r>
      <w:r w:rsidR="005E0C09" w:rsidRPr="00CE2185">
        <w:rPr>
          <w:noProof/>
        </w:rPr>
        <w:t>, which</w:t>
      </w:r>
      <w:r w:rsidR="0095127E" w:rsidRPr="00CE2185">
        <w:rPr>
          <w:noProof/>
        </w:rPr>
        <w:t xml:space="preserve"> would </w:t>
      </w:r>
      <w:r w:rsidR="005E0C09" w:rsidRPr="00CE2185">
        <w:rPr>
          <w:noProof/>
        </w:rPr>
        <w:t xml:space="preserve">lead to further procedural efficiencies. </w:t>
      </w:r>
    </w:p>
    <w:p w14:paraId="13D20ABC" w14:textId="40970E7B" w:rsidR="0095127E" w:rsidRPr="00CE2185" w:rsidRDefault="005E0C09" w:rsidP="00795DF0">
      <w:pPr>
        <w:spacing w:after="120"/>
        <w:rPr>
          <w:noProof/>
        </w:rPr>
      </w:pPr>
      <w:r w:rsidRPr="00CE2185">
        <w:rPr>
          <w:noProof/>
        </w:rPr>
        <w:t xml:space="preserve">Option A1 </w:t>
      </w:r>
      <w:r w:rsidR="0095127E" w:rsidRPr="00CE2185">
        <w:rPr>
          <w:noProof/>
        </w:rPr>
        <w:t xml:space="preserve">would </w:t>
      </w:r>
      <w:r w:rsidRPr="00CE2185">
        <w:rPr>
          <w:noProof/>
        </w:rPr>
        <w:t xml:space="preserve">also </w:t>
      </w:r>
      <w:r w:rsidR="0095127E" w:rsidRPr="00CE2185">
        <w:rPr>
          <w:noProof/>
        </w:rPr>
        <w:t>bring costs savings</w:t>
      </w:r>
      <w:r w:rsidR="0095127E" w:rsidRPr="00CE2185">
        <w:rPr>
          <w:b/>
          <w:bCs/>
          <w:noProof/>
        </w:rPr>
        <w:t xml:space="preserve"> for businesses</w:t>
      </w:r>
      <w:r w:rsidR="0095127E" w:rsidRPr="00CE2185">
        <w:rPr>
          <w:noProof/>
        </w:rPr>
        <w:t>. As a facilitator of operational cooperation between Member States, particularly for cross-border incidents and information flows, ENISA</w:t>
      </w:r>
      <w:r w:rsidR="00AF6CB5" w:rsidRPr="00CE2185">
        <w:rPr>
          <w:noProof/>
        </w:rPr>
        <w:t xml:space="preserve"> would further contribute</w:t>
      </w:r>
      <w:r w:rsidR="0095127E" w:rsidRPr="00CE2185">
        <w:rPr>
          <w:noProof/>
        </w:rPr>
        <w:t xml:space="preserve"> to incident </w:t>
      </w:r>
      <w:r w:rsidR="00FB5F84" w:rsidRPr="00CE2185">
        <w:rPr>
          <w:noProof/>
        </w:rPr>
        <w:t>response</w:t>
      </w:r>
      <w:r w:rsidR="003D5EF7" w:rsidRPr="00CE2185">
        <w:rPr>
          <w:noProof/>
        </w:rPr>
        <w:t>, which could</w:t>
      </w:r>
      <w:r w:rsidR="00A60EF5" w:rsidRPr="00CE2185">
        <w:rPr>
          <w:noProof/>
        </w:rPr>
        <w:t xml:space="preserve"> potentially help with</w:t>
      </w:r>
      <w:r w:rsidR="0095127E" w:rsidRPr="00CE2185">
        <w:rPr>
          <w:noProof/>
        </w:rPr>
        <w:t xml:space="preserve"> minimising potential financial losses for businesses</w:t>
      </w:r>
      <w:r w:rsidR="00CC0921" w:rsidRPr="00CE2185">
        <w:rPr>
          <w:noProof/>
        </w:rPr>
        <w:t xml:space="preserve"> </w:t>
      </w:r>
      <w:r w:rsidR="00BB3E3F" w:rsidRPr="00CE2185">
        <w:rPr>
          <w:noProof/>
        </w:rPr>
        <w:t>by preventing prolonged disruptions</w:t>
      </w:r>
      <w:r w:rsidR="00CC0921" w:rsidRPr="00CE2185">
        <w:rPr>
          <w:noProof/>
        </w:rPr>
        <w:t xml:space="preserve"> and </w:t>
      </w:r>
      <w:r w:rsidR="000B36A3" w:rsidRPr="00CE2185">
        <w:rPr>
          <w:noProof/>
        </w:rPr>
        <w:t>result</w:t>
      </w:r>
      <w:r w:rsidR="0095127E" w:rsidRPr="00CE2185">
        <w:rPr>
          <w:noProof/>
        </w:rPr>
        <w:t xml:space="preserve"> in </w:t>
      </w:r>
      <w:r w:rsidR="000B36A3" w:rsidRPr="00CE2185">
        <w:rPr>
          <w:noProof/>
        </w:rPr>
        <w:t>some</w:t>
      </w:r>
      <w:r w:rsidR="0095127E" w:rsidRPr="00CE2185">
        <w:rPr>
          <w:noProof/>
        </w:rPr>
        <w:t xml:space="preserve"> cost efficiencies</w:t>
      </w:r>
      <w:r w:rsidR="006F62C5" w:rsidRPr="00CE2185">
        <w:rPr>
          <w:noProof/>
        </w:rPr>
        <w:t xml:space="preserve">, by reducing the overhead associated </w:t>
      </w:r>
      <w:r w:rsidR="00731689" w:rsidRPr="00CE2185">
        <w:rPr>
          <w:noProof/>
        </w:rPr>
        <w:t>with incident management</w:t>
      </w:r>
      <w:r w:rsidR="0095127E" w:rsidRPr="00CE2185">
        <w:rPr>
          <w:noProof/>
        </w:rPr>
        <w:t>.</w:t>
      </w:r>
      <w:r w:rsidR="00090C07" w:rsidRPr="00CE2185">
        <w:rPr>
          <w:noProof/>
        </w:rPr>
        <w:t xml:space="preserve"> </w:t>
      </w:r>
      <w:r w:rsidR="00E3105C" w:rsidRPr="00CE2185">
        <w:rPr>
          <w:noProof/>
        </w:rPr>
        <w:t xml:space="preserve"> </w:t>
      </w:r>
    </w:p>
    <w:p w14:paraId="74EA5229" w14:textId="77777777" w:rsidR="00A8446F" w:rsidRDefault="005E0C09" w:rsidP="60B04A72">
      <w:pPr>
        <w:rPr>
          <w:noProof/>
        </w:rPr>
      </w:pPr>
      <w:r w:rsidRPr="00CE2185">
        <w:rPr>
          <w:noProof/>
        </w:rPr>
        <w:t xml:space="preserve">Under </w:t>
      </w:r>
      <w:r w:rsidR="0095127E" w:rsidRPr="00CE2185">
        <w:rPr>
          <w:b/>
          <w:bCs/>
          <w:noProof/>
        </w:rPr>
        <w:t>Option A2</w:t>
      </w:r>
      <w:r w:rsidR="00F57D9D" w:rsidRPr="00CE2185">
        <w:rPr>
          <w:b/>
          <w:bCs/>
          <w:noProof/>
        </w:rPr>
        <w:t xml:space="preserve">, </w:t>
      </w:r>
      <w:r w:rsidR="00F57D9D" w:rsidRPr="00CE2185">
        <w:rPr>
          <w:noProof/>
        </w:rPr>
        <w:t xml:space="preserve">increased awareness and improved </w:t>
      </w:r>
      <w:r w:rsidR="00CE1706" w:rsidRPr="00CE2185">
        <w:rPr>
          <w:noProof/>
        </w:rPr>
        <w:t>operational coordination</w:t>
      </w:r>
      <w:r w:rsidR="00F57D9D" w:rsidRPr="00CE2185">
        <w:rPr>
          <w:noProof/>
        </w:rPr>
        <w:t xml:space="preserve"> could generate considerable costs savings </w:t>
      </w:r>
      <w:r w:rsidR="00CE1706" w:rsidRPr="00CE2185">
        <w:rPr>
          <w:noProof/>
        </w:rPr>
        <w:t xml:space="preserve">related to </w:t>
      </w:r>
      <w:r w:rsidR="00CE1706" w:rsidRPr="00CE2185">
        <w:rPr>
          <w:b/>
          <w:bCs/>
          <w:noProof/>
        </w:rPr>
        <w:t xml:space="preserve">faster incident </w:t>
      </w:r>
      <w:r w:rsidR="008C0A93" w:rsidRPr="00CE2185">
        <w:rPr>
          <w:b/>
          <w:bCs/>
          <w:noProof/>
        </w:rPr>
        <w:t xml:space="preserve">detection and </w:t>
      </w:r>
      <w:r w:rsidR="00CE1706" w:rsidRPr="00CE2185">
        <w:rPr>
          <w:b/>
          <w:bCs/>
          <w:noProof/>
        </w:rPr>
        <w:t>response</w:t>
      </w:r>
      <w:r w:rsidR="00F57D9D" w:rsidRPr="00CE2185">
        <w:rPr>
          <w:noProof/>
        </w:rPr>
        <w:t xml:space="preserve"> </w:t>
      </w:r>
      <w:r w:rsidR="00CE1706" w:rsidRPr="00CE2185">
        <w:rPr>
          <w:noProof/>
        </w:rPr>
        <w:t>for</w:t>
      </w:r>
      <w:r w:rsidR="00F57D9D" w:rsidRPr="00CE2185">
        <w:rPr>
          <w:noProof/>
        </w:rPr>
        <w:t xml:space="preserve"> </w:t>
      </w:r>
      <w:r w:rsidR="00CE1706" w:rsidRPr="00CE2185">
        <w:rPr>
          <w:b/>
          <w:bCs/>
          <w:noProof/>
        </w:rPr>
        <w:t>businesses</w:t>
      </w:r>
      <w:r w:rsidR="006972DD" w:rsidRPr="00CE2185">
        <w:rPr>
          <w:b/>
          <w:bCs/>
          <w:noProof/>
        </w:rPr>
        <w:t>,</w:t>
      </w:r>
      <w:r w:rsidR="00CE1706" w:rsidRPr="00CE2185">
        <w:rPr>
          <w:b/>
          <w:bCs/>
          <w:noProof/>
        </w:rPr>
        <w:t xml:space="preserve"> public authorities</w:t>
      </w:r>
      <w:r w:rsidR="006972DD" w:rsidRPr="00CE2185">
        <w:rPr>
          <w:b/>
          <w:bCs/>
          <w:noProof/>
        </w:rPr>
        <w:t xml:space="preserve"> and citizens</w:t>
      </w:r>
      <w:r w:rsidR="30ED0CB8" w:rsidRPr="00CE2185">
        <w:rPr>
          <w:b/>
          <w:bCs/>
          <w:noProof/>
        </w:rPr>
        <w:t xml:space="preserve"> </w:t>
      </w:r>
      <w:r w:rsidR="00285885" w:rsidRPr="00CE2185">
        <w:rPr>
          <w:noProof/>
        </w:rPr>
        <w:t>(</w:t>
      </w:r>
      <w:r w:rsidR="00CE1706" w:rsidRPr="00CE2185">
        <w:rPr>
          <w:i/>
          <w:iCs/>
          <w:noProof/>
        </w:rPr>
        <w:t xml:space="preserve">Annex </w:t>
      </w:r>
      <w:r w:rsidR="00EF67B9" w:rsidRPr="00CE2185">
        <w:rPr>
          <w:i/>
          <w:iCs/>
          <w:noProof/>
        </w:rPr>
        <w:t>7</w:t>
      </w:r>
      <w:r w:rsidR="0A1AEAEA" w:rsidRPr="00CE2185">
        <w:rPr>
          <w:i/>
          <w:iCs/>
          <w:noProof/>
        </w:rPr>
        <w:t>)</w:t>
      </w:r>
      <w:r w:rsidR="00285885" w:rsidRPr="00CE2185">
        <w:rPr>
          <w:noProof/>
        </w:rPr>
        <w:t>. Data</w:t>
      </w:r>
      <w:r w:rsidR="00CE1706" w:rsidRPr="00CE2185">
        <w:rPr>
          <w:noProof/>
        </w:rPr>
        <w:t xml:space="preserve"> </w:t>
      </w:r>
      <w:r w:rsidR="007E2B11" w:rsidRPr="00CE2185">
        <w:rPr>
          <w:noProof/>
        </w:rPr>
        <w:t>shows the importance of</w:t>
      </w:r>
      <w:r w:rsidR="008C0A93" w:rsidRPr="00CE2185">
        <w:rPr>
          <w:noProof/>
        </w:rPr>
        <w:t xml:space="preserve"> detecting and</w:t>
      </w:r>
      <w:r w:rsidR="007E2B11" w:rsidRPr="00CE2185">
        <w:rPr>
          <w:noProof/>
        </w:rPr>
        <w:t xml:space="preserve"> </w:t>
      </w:r>
      <w:r w:rsidR="00D7468B" w:rsidRPr="00CE2185">
        <w:rPr>
          <w:noProof/>
        </w:rPr>
        <w:t>responding in a timely manner to</w:t>
      </w:r>
      <w:r w:rsidR="0014556B" w:rsidRPr="00CE2185">
        <w:rPr>
          <w:noProof/>
        </w:rPr>
        <w:t xml:space="preserve"> reduce the impacts of</w:t>
      </w:r>
      <w:r w:rsidR="00D7468B" w:rsidRPr="00CE2185">
        <w:rPr>
          <w:noProof/>
        </w:rPr>
        <w:t xml:space="preserve"> cybersecurity incidents</w:t>
      </w:r>
      <w:r w:rsidR="0014556B" w:rsidRPr="00CE2185">
        <w:rPr>
          <w:noProof/>
        </w:rPr>
        <w:t xml:space="preserve"> (time to resolve)</w:t>
      </w:r>
      <w:r w:rsidR="008C0A93" w:rsidRPr="00CE2185">
        <w:rPr>
          <w:noProof/>
        </w:rPr>
        <w:t xml:space="preserve">. </w:t>
      </w:r>
      <w:r w:rsidR="00285885" w:rsidRPr="00CE2185">
        <w:rPr>
          <w:noProof/>
        </w:rPr>
        <w:t>I</w:t>
      </w:r>
      <w:r w:rsidR="00F57D9D" w:rsidRPr="00CE2185">
        <w:rPr>
          <w:noProof/>
        </w:rPr>
        <w:t xml:space="preserve">mproved information flows, improved cybersecurity approaches and cooperation among Member </w:t>
      </w:r>
      <w:r w:rsidR="706C4E85" w:rsidRPr="00CE2185">
        <w:rPr>
          <w:noProof/>
        </w:rPr>
        <w:t>States</w:t>
      </w:r>
      <w:r w:rsidR="00285885" w:rsidRPr="00CE2185">
        <w:rPr>
          <w:noProof/>
        </w:rPr>
        <w:t xml:space="preserve"> will impact also better preparedness and prevent cybersecurity incidents from occurring avoiding potentially very large material and non-material damages (see </w:t>
      </w:r>
      <w:r w:rsidR="00130892" w:rsidRPr="00CE2185">
        <w:rPr>
          <w:noProof/>
        </w:rPr>
        <w:t xml:space="preserve">examples of incidents and </w:t>
      </w:r>
      <w:r w:rsidR="006314CE" w:rsidRPr="00CE2185">
        <w:rPr>
          <w:noProof/>
        </w:rPr>
        <w:t>real-world</w:t>
      </w:r>
      <w:r w:rsidR="00130892" w:rsidRPr="00CE2185">
        <w:rPr>
          <w:noProof/>
        </w:rPr>
        <w:t xml:space="preserve"> cases in </w:t>
      </w:r>
      <w:r w:rsidR="00130892" w:rsidRPr="00CE2185">
        <w:rPr>
          <w:i/>
          <w:iCs/>
          <w:noProof/>
        </w:rPr>
        <w:t>Annex 7</w:t>
      </w:r>
      <w:r w:rsidR="00130892" w:rsidRPr="00CE2185">
        <w:rPr>
          <w:noProof/>
        </w:rPr>
        <w:t>)</w:t>
      </w:r>
      <w:r w:rsidR="000E1D02" w:rsidRPr="00CE2185">
        <w:rPr>
          <w:noProof/>
        </w:rPr>
        <w:t xml:space="preserve">. </w:t>
      </w:r>
      <w:r w:rsidR="006314CE" w:rsidRPr="00CE2185">
        <w:rPr>
          <w:noProof/>
        </w:rPr>
        <w:t xml:space="preserve">Concretely, </w:t>
      </w:r>
      <w:r w:rsidR="00A8446F">
        <w:rPr>
          <w:noProof/>
        </w:rPr>
        <w:t xml:space="preserve">if </w:t>
      </w:r>
      <w:r w:rsidR="006314CE" w:rsidRPr="00CE2185">
        <w:rPr>
          <w:noProof/>
        </w:rPr>
        <w:t xml:space="preserve">the additional </w:t>
      </w:r>
      <w:r w:rsidR="34220604" w:rsidRPr="00CE2185">
        <w:rPr>
          <w:noProof/>
        </w:rPr>
        <w:t>resources</w:t>
      </w:r>
      <w:r w:rsidR="006314CE" w:rsidRPr="00CE2185">
        <w:rPr>
          <w:noProof/>
        </w:rPr>
        <w:t xml:space="preserve"> could lead</w:t>
      </w:r>
      <w:r w:rsidR="00F57D9D" w:rsidRPr="00CE2185">
        <w:rPr>
          <w:noProof/>
        </w:rPr>
        <w:t xml:space="preserve"> ENISA</w:t>
      </w:r>
      <w:r w:rsidR="00A8446F" w:rsidRPr="00A8446F">
        <w:rPr>
          <w:noProof/>
        </w:rPr>
        <w:t xml:space="preserve"> to effectively increase its support on incident response and situational awareness</w:t>
      </w:r>
      <w:r w:rsidR="00F57D9D" w:rsidRPr="00CE2185">
        <w:rPr>
          <w:noProof/>
          <w:vertAlign w:val="superscript"/>
        </w:rPr>
        <w:footnoteReference w:id="149"/>
      </w:r>
      <w:r w:rsidR="00A17D72" w:rsidRPr="00CE2185">
        <w:rPr>
          <w:noProof/>
        </w:rPr>
        <w:t xml:space="preserve">, </w:t>
      </w:r>
      <w:r w:rsidR="00F57D9D" w:rsidRPr="00CE2185">
        <w:rPr>
          <w:noProof/>
        </w:rPr>
        <w:t xml:space="preserve">the potential cost savings for </w:t>
      </w:r>
      <w:r w:rsidR="00F57D9D" w:rsidRPr="00CE2185">
        <w:rPr>
          <w:b/>
          <w:bCs/>
          <w:noProof/>
        </w:rPr>
        <w:t>businesses</w:t>
      </w:r>
      <w:r w:rsidR="00F57D9D" w:rsidRPr="00CE2185">
        <w:rPr>
          <w:noProof/>
        </w:rPr>
        <w:t xml:space="preserve"> and </w:t>
      </w:r>
      <w:r w:rsidR="0014556B" w:rsidRPr="00CE2185">
        <w:rPr>
          <w:b/>
          <w:bCs/>
          <w:noProof/>
        </w:rPr>
        <w:t>public</w:t>
      </w:r>
      <w:r w:rsidR="57A643FF" w:rsidRPr="00CE2185">
        <w:rPr>
          <w:b/>
          <w:bCs/>
          <w:noProof/>
        </w:rPr>
        <w:t xml:space="preserve"> authorities</w:t>
      </w:r>
      <w:r w:rsidR="57A643FF" w:rsidRPr="00CE2185">
        <w:rPr>
          <w:noProof/>
        </w:rPr>
        <w:t xml:space="preserve"> </w:t>
      </w:r>
      <w:r w:rsidR="00F57D9D" w:rsidRPr="00CE2185">
        <w:rPr>
          <w:noProof/>
        </w:rPr>
        <w:t xml:space="preserve">would </w:t>
      </w:r>
      <w:r w:rsidR="0014556B" w:rsidRPr="00CE2185">
        <w:rPr>
          <w:noProof/>
        </w:rPr>
        <w:t>very likely</w:t>
      </w:r>
      <w:r w:rsidR="00F57D9D" w:rsidRPr="00CE2185">
        <w:rPr>
          <w:noProof/>
        </w:rPr>
        <w:t xml:space="preserve"> be </w:t>
      </w:r>
      <w:r w:rsidR="001C2D29" w:rsidRPr="00CE2185">
        <w:rPr>
          <w:noProof/>
        </w:rPr>
        <w:t>significant</w:t>
      </w:r>
      <w:r w:rsidR="00F57D9D" w:rsidRPr="00CE2185">
        <w:rPr>
          <w:noProof/>
        </w:rPr>
        <w:t xml:space="preserve">. </w:t>
      </w:r>
    </w:p>
    <w:p w14:paraId="2E9731C7" w14:textId="15D87712" w:rsidR="2605970E" w:rsidRPr="00CE2185" w:rsidRDefault="00A8446F" w:rsidP="60B04A72">
      <w:pPr>
        <w:rPr>
          <w:noProof/>
        </w:rPr>
      </w:pPr>
      <w:r w:rsidRPr="00A8446F">
        <w:rPr>
          <w:rFonts w:eastAsia="Times New Roman"/>
          <w:noProof/>
          <w:color w:val="000000" w:themeColor="text1"/>
        </w:rPr>
        <w:t>Regarding situational awareness</w:t>
      </w:r>
      <w:r w:rsidR="00584523" w:rsidRPr="00CE2185">
        <w:rPr>
          <w:rFonts w:eastAsia="Times New Roman"/>
          <w:noProof/>
          <w:color w:val="000000" w:themeColor="text1"/>
        </w:rPr>
        <w:t>, c</w:t>
      </w:r>
      <w:r w:rsidR="67BCAA68" w:rsidRPr="00CE2185">
        <w:rPr>
          <w:rFonts w:eastAsia="Times New Roman"/>
          <w:noProof/>
          <w:color w:val="000000" w:themeColor="text1"/>
        </w:rPr>
        <w:t>urrently, d</w:t>
      </w:r>
      <w:r w:rsidR="758A1AA4" w:rsidRPr="00CE2185">
        <w:rPr>
          <w:rFonts w:eastAsia="Times New Roman"/>
          <w:noProof/>
          <w:color w:val="000000" w:themeColor="text1"/>
        </w:rPr>
        <w:t xml:space="preserve">ifferent EU entities are using CTI coming from different vendors that have different focuses and that leaves intelligence gaps creating a fragmented picture between the Union entities. A common repository of cyber threat intelligence feeds could, in turn, close those gaps and ensure the reliability of data, which, in turn would contribute to a common situational awareness. In addition to that, the EU-wide common threat landscape could benefit not only the Union entities but also the Member States representatives within the CSIRTs Network and CyCLONe, thus, potentially, with enriched and verified information, feeding into the work of the national agencies/ institutions. This, however, cannot be quantified as the cost of each CTI feed depends on the needs for the service (the scope, whether the service includes CTI reports (and, if so, their breadth and frequency), whether it is only open-source or also closed/human intelligence, the extent to which this is tailored to a customer, institutions etc. </w:t>
      </w:r>
    </w:p>
    <w:p w14:paraId="23AF0BFA" w14:textId="2A7FD4D3" w:rsidR="001B27B5" w:rsidRPr="00CE2185" w:rsidRDefault="00331F6B" w:rsidP="60B04A72">
      <w:pPr>
        <w:rPr>
          <w:noProof/>
        </w:rPr>
      </w:pPr>
      <w:r w:rsidRPr="00CE2185">
        <w:rPr>
          <w:noProof/>
        </w:rPr>
        <w:t>The quantification of the</w:t>
      </w:r>
      <w:r w:rsidR="00325D41" w:rsidRPr="00CE2185">
        <w:rPr>
          <w:noProof/>
        </w:rPr>
        <w:t xml:space="preserve"> positive</w:t>
      </w:r>
      <w:r w:rsidRPr="00CE2185">
        <w:rPr>
          <w:noProof/>
        </w:rPr>
        <w:t xml:space="preserve"> impact of the measures </w:t>
      </w:r>
      <w:r w:rsidR="00F56104" w:rsidRPr="00CE2185">
        <w:rPr>
          <w:noProof/>
        </w:rPr>
        <w:t>would</w:t>
      </w:r>
      <w:r w:rsidR="004D24DD" w:rsidRPr="00CE2185">
        <w:rPr>
          <w:noProof/>
        </w:rPr>
        <w:t xml:space="preserve"> in theory need to</w:t>
      </w:r>
      <w:r w:rsidR="00F56104" w:rsidRPr="00CE2185">
        <w:rPr>
          <w:noProof/>
        </w:rPr>
        <w:t xml:space="preserve"> include both </w:t>
      </w:r>
      <w:r w:rsidR="00F56104" w:rsidRPr="211C3D34">
        <w:rPr>
          <w:b/>
          <w:bCs/>
          <w:noProof/>
        </w:rPr>
        <w:t>avoided incidents</w:t>
      </w:r>
      <w:r w:rsidR="00F56104" w:rsidRPr="00CE2185">
        <w:rPr>
          <w:noProof/>
        </w:rPr>
        <w:t xml:space="preserve"> and </w:t>
      </w:r>
      <w:r w:rsidR="00F56104" w:rsidRPr="211C3D34">
        <w:rPr>
          <w:b/>
          <w:bCs/>
          <w:noProof/>
        </w:rPr>
        <w:t>reduction of</w:t>
      </w:r>
      <w:r w:rsidR="00325D41" w:rsidRPr="211C3D34">
        <w:rPr>
          <w:b/>
          <w:bCs/>
          <w:noProof/>
        </w:rPr>
        <w:t xml:space="preserve"> the impact of incidents</w:t>
      </w:r>
      <w:r w:rsidR="00325D41" w:rsidRPr="00CE2185">
        <w:rPr>
          <w:noProof/>
        </w:rPr>
        <w:t xml:space="preserve"> that occur</w:t>
      </w:r>
      <w:r w:rsidR="00A8446F">
        <w:rPr>
          <w:noProof/>
        </w:rPr>
        <w:t>.</w:t>
      </w:r>
      <w:r w:rsidR="00A8446F" w:rsidRPr="00A8446F">
        <w:rPr>
          <w:noProof/>
        </w:rPr>
        <w:t xml:space="preserve"> Both parameters are difficult to quantify</w:t>
      </w:r>
      <w:r w:rsidR="00325D41" w:rsidRPr="00CE2185">
        <w:rPr>
          <w:noProof/>
        </w:rPr>
        <w:t>.</w:t>
      </w:r>
      <w:r w:rsidR="00C32AE9" w:rsidRPr="00CE2185">
        <w:rPr>
          <w:noProof/>
        </w:rPr>
        <w:t xml:space="preserve"> </w:t>
      </w:r>
      <w:r w:rsidR="001B27B5" w:rsidRPr="00CE2185">
        <w:rPr>
          <w:noProof/>
        </w:rPr>
        <w:t>If ENISA, based on these additional resources, could double its involvement and support for incident response activities - from 1</w:t>
      </w:r>
      <w:r w:rsidR="001F66ED" w:rsidRPr="00CE2185">
        <w:rPr>
          <w:noProof/>
        </w:rPr>
        <w:t> </w:t>
      </w:r>
      <w:r w:rsidR="001B27B5" w:rsidRPr="00CE2185">
        <w:rPr>
          <w:noProof/>
        </w:rPr>
        <w:t xml:space="preserve">550 incidents compared to the involvement in 775 in 2022 based on ENISA’s reporting </w:t>
      </w:r>
      <w:r w:rsidR="001B27B5" w:rsidRPr="00CE2185">
        <w:rPr>
          <w:noProof/>
          <w:vertAlign w:val="superscript"/>
        </w:rPr>
        <w:footnoteReference w:id="150"/>
      </w:r>
      <w:r w:rsidR="001B27B5" w:rsidRPr="00CE2185">
        <w:rPr>
          <w:noProof/>
        </w:rPr>
        <w:t xml:space="preserve">- the potential cost savings </w:t>
      </w:r>
      <w:r w:rsidR="00E120E5" w:rsidRPr="00CE2185">
        <w:rPr>
          <w:noProof/>
        </w:rPr>
        <w:t>related to impact reduction</w:t>
      </w:r>
      <w:r w:rsidR="001B27B5" w:rsidRPr="00CE2185">
        <w:rPr>
          <w:noProof/>
        </w:rPr>
        <w:t xml:space="preserve"> for EU businesses and national authorities would be substantial. It is possible to establish that due to the fact that ENISA’s current capabilities would be already higher and that therefore additional resources could help manage incidents</w:t>
      </w:r>
      <w:r w:rsidR="00004EC7">
        <w:rPr>
          <w:noProof/>
        </w:rPr>
        <w:t xml:space="preserve"> more</w:t>
      </w:r>
      <w:r w:rsidR="001B27B5" w:rsidRPr="00CE2185">
        <w:rPr>
          <w:noProof/>
        </w:rPr>
        <w:t xml:space="preserve"> effectively, it is likely that the response to incidents could be faster. While it is also possible to assume that through enhanced situational awareness, incidents could be avoided, no credible assumption could be defined as to the number of avoided incidents. When it comes to preventing incidents, the measures would particularly impact incidents with malicious intents (vs</w:t>
      </w:r>
      <w:r w:rsidR="00277C81" w:rsidRPr="00CE2185">
        <w:rPr>
          <w:noProof/>
        </w:rPr>
        <w:t>.</w:t>
      </w:r>
      <w:r w:rsidR="001B27B5" w:rsidRPr="00CE2185">
        <w:rPr>
          <w:noProof/>
        </w:rPr>
        <w:t xml:space="preserve"> incidents due to human error or natural disasters)</w:t>
      </w:r>
      <w:r w:rsidR="0016250B" w:rsidRPr="00CE2185">
        <w:rPr>
          <w:noProof/>
        </w:rPr>
        <w:t xml:space="preserve"> as shared situational awareness would </w:t>
      </w:r>
      <w:r w:rsidR="007E66E9" w:rsidRPr="00CE2185">
        <w:rPr>
          <w:noProof/>
        </w:rPr>
        <w:t xml:space="preserve">aim to </w:t>
      </w:r>
      <w:r w:rsidR="0016250B" w:rsidRPr="00CE2185">
        <w:rPr>
          <w:noProof/>
        </w:rPr>
        <w:t xml:space="preserve">target </w:t>
      </w:r>
      <w:r w:rsidR="00277C81" w:rsidRPr="00CE2185">
        <w:rPr>
          <w:noProof/>
        </w:rPr>
        <w:t>the detection of</w:t>
      </w:r>
      <w:r w:rsidR="0016250B" w:rsidRPr="00CE2185">
        <w:rPr>
          <w:noProof/>
        </w:rPr>
        <w:t xml:space="preserve"> such activity</w:t>
      </w:r>
      <w:r w:rsidR="001B27B5" w:rsidRPr="00CE2185">
        <w:rPr>
          <w:noProof/>
        </w:rPr>
        <w:t xml:space="preserve">. Considering available data regarding certain types of cybersecurity incidents, it is typically considered that 51% of the incidents can be attributed to malicious activities. </w:t>
      </w:r>
    </w:p>
    <w:p w14:paraId="4BEA7806" w14:textId="549174E9" w:rsidR="00E606A3" w:rsidRPr="00CE2185" w:rsidRDefault="002809BD" w:rsidP="00D12B58">
      <w:pPr>
        <w:spacing w:after="120"/>
        <w:rPr>
          <w:rFonts w:eastAsia="Times New Roman"/>
          <w:noProof/>
        </w:rPr>
      </w:pPr>
      <w:r w:rsidRPr="00CE2185">
        <w:rPr>
          <w:noProof/>
        </w:rPr>
        <w:t>Looking at the impacts in terms of reducing the costs of incidents that occur, t</w:t>
      </w:r>
      <w:r w:rsidR="00584523" w:rsidRPr="00CE2185">
        <w:rPr>
          <w:noProof/>
        </w:rPr>
        <w:t>o quantify the possible cost savings related to enhanced situational awareness and better operational coordination, the assumption is taken that the measures will lead to a reduced recovery time</w:t>
      </w:r>
      <w:r w:rsidR="00543B07" w:rsidRPr="00CE2185">
        <w:rPr>
          <w:noProof/>
        </w:rPr>
        <w:t xml:space="preserve"> thanks to faster detection and response</w:t>
      </w:r>
      <w:r w:rsidR="0044034F" w:rsidRPr="00CE2185">
        <w:rPr>
          <w:noProof/>
        </w:rPr>
        <w:t xml:space="preserve"> (i.e. </w:t>
      </w:r>
      <w:r w:rsidR="0044034F" w:rsidRPr="00CE2185">
        <w:rPr>
          <w:b/>
          <w:bCs/>
          <w:noProof/>
        </w:rPr>
        <w:t>reduction of the impact of malicious incidents</w:t>
      </w:r>
      <w:r w:rsidR="0044034F" w:rsidRPr="00CE2185">
        <w:rPr>
          <w:noProof/>
        </w:rPr>
        <w:t>)</w:t>
      </w:r>
      <w:r w:rsidR="00543B07" w:rsidRPr="00CE2185">
        <w:rPr>
          <w:noProof/>
        </w:rPr>
        <w:t xml:space="preserve">. </w:t>
      </w:r>
      <w:r w:rsidR="00E627B1" w:rsidRPr="00CE2185">
        <w:rPr>
          <w:noProof/>
        </w:rPr>
        <w:t>It is found that</w:t>
      </w:r>
      <w:r w:rsidR="00584523" w:rsidRPr="00CE2185">
        <w:rPr>
          <w:noProof/>
        </w:rPr>
        <w:t xml:space="preserve"> </w:t>
      </w:r>
      <w:r w:rsidR="00584523" w:rsidRPr="00CE2185">
        <w:rPr>
          <w:b/>
          <w:bCs/>
          <w:noProof/>
        </w:rPr>
        <w:t xml:space="preserve">cost savings for businesses and public authorities </w:t>
      </w:r>
      <w:r w:rsidR="00E627B1" w:rsidRPr="00CE2185">
        <w:rPr>
          <w:b/>
          <w:bCs/>
          <w:noProof/>
        </w:rPr>
        <w:t xml:space="preserve">could be </w:t>
      </w:r>
      <w:r w:rsidR="00584523" w:rsidRPr="00CE2185">
        <w:rPr>
          <w:b/>
          <w:bCs/>
          <w:noProof/>
        </w:rPr>
        <w:t>of</w:t>
      </w:r>
      <w:r w:rsidR="00584523" w:rsidRPr="00CE2185">
        <w:rPr>
          <w:noProof/>
        </w:rPr>
        <w:t xml:space="preserve"> </w:t>
      </w:r>
      <w:r w:rsidR="00584523" w:rsidRPr="00CE2185">
        <w:rPr>
          <w:b/>
          <w:bCs/>
          <w:noProof/>
        </w:rPr>
        <w:t>EUR</w:t>
      </w:r>
      <w:r w:rsidR="00CD3885" w:rsidRPr="00CE2185">
        <w:rPr>
          <w:b/>
          <w:bCs/>
          <w:noProof/>
        </w:rPr>
        <w:t> </w:t>
      </w:r>
      <w:r w:rsidR="00584523" w:rsidRPr="00CE2185">
        <w:rPr>
          <w:b/>
          <w:bCs/>
          <w:noProof/>
        </w:rPr>
        <w:t>3.7 to 4.4 bn</w:t>
      </w:r>
      <w:r w:rsidR="00584523" w:rsidRPr="00CE2185">
        <w:rPr>
          <w:noProof/>
        </w:rPr>
        <w:t xml:space="preserve"> </w:t>
      </w:r>
      <w:r w:rsidR="00584523" w:rsidRPr="00CE2185">
        <w:rPr>
          <w:b/>
          <w:bCs/>
          <w:noProof/>
        </w:rPr>
        <w:t>over five years</w:t>
      </w:r>
      <w:r w:rsidR="00530449" w:rsidRPr="00CE2185">
        <w:rPr>
          <w:b/>
          <w:bCs/>
          <w:noProof/>
        </w:rPr>
        <w:t xml:space="preserve"> thanks to faster recovery time</w:t>
      </w:r>
      <w:r w:rsidR="001B27B5" w:rsidRPr="00CE2185">
        <w:rPr>
          <w:b/>
          <w:bCs/>
          <w:noProof/>
        </w:rPr>
        <w:t xml:space="preserve"> from a cybersecurity incident</w:t>
      </w:r>
      <w:r w:rsidR="00A758C0" w:rsidRPr="00CE2185">
        <w:rPr>
          <w:noProof/>
        </w:rPr>
        <w:t>. This estimate is based on data available</w:t>
      </w:r>
      <w:r w:rsidR="000E11ED" w:rsidRPr="00CE2185">
        <w:rPr>
          <w:rStyle w:val="FootnoteReference"/>
          <w:noProof/>
        </w:rPr>
        <w:footnoteReference w:id="151"/>
      </w:r>
      <w:r w:rsidR="00A758C0" w:rsidRPr="00CE2185">
        <w:rPr>
          <w:noProof/>
        </w:rPr>
        <w:t xml:space="preserve">related to the average cost of data breaches in Europe </w:t>
      </w:r>
      <w:r w:rsidR="00F056FC" w:rsidRPr="00CE2185">
        <w:rPr>
          <w:noProof/>
        </w:rPr>
        <w:t>that serves as proxy. The</w:t>
      </w:r>
      <w:r w:rsidR="00A758C0" w:rsidRPr="00CE2185">
        <w:rPr>
          <w:noProof/>
        </w:rPr>
        <w:t xml:space="preserve"> assumption </w:t>
      </w:r>
      <w:r w:rsidR="0036523C" w:rsidRPr="00CE2185">
        <w:rPr>
          <w:noProof/>
        </w:rPr>
        <w:t>is</w:t>
      </w:r>
      <w:r w:rsidR="00A758C0" w:rsidRPr="00CE2185">
        <w:rPr>
          <w:noProof/>
        </w:rPr>
        <w:t xml:space="preserve"> that</w:t>
      </w:r>
      <w:r w:rsidR="007F7165" w:rsidRPr="00CE2185">
        <w:rPr>
          <w:noProof/>
        </w:rPr>
        <w:t xml:space="preserve"> recovery time from data breaches would be reduced from 2</w:t>
      </w:r>
      <w:r w:rsidR="00A758C0" w:rsidRPr="00CE2185">
        <w:rPr>
          <w:noProof/>
        </w:rPr>
        <w:t>41 to below 200 days</w:t>
      </w:r>
      <w:r w:rsidR="004041A8" w:rsidRPr="00CE2185">
        <w:rPr>
          <w:noProof/>
        </w:rPr>
        <w:t xml:space="preserve"> </w:t>
      </w:r>
      <w:r w:rsidR="00D63100" w:rsidRPr="00CE2185">
        <w:rPr>
          <w:noProof/>
        </w:rPr>
        <w:t xml:space="preserve">over </w:t>
      </w:r>
      <w:r w:rsidR="004041A8" w:rsidRPr="00CE2185">
        <w:rPr>
          <w:noProof/>
        </w:rPr>
        <w:t>five years</w:t>
      </w:r>
      <w:r w:rsidR="003A5192" w:rsidRPr="00CE2185">
        <w:rPr>
          <w:noProof/>
        </w:rPr>
        <w:t xml:space="preserve"> after the application of the measures (in 2032)</w:t>
      </w:r>
      <w:r w:rsidR="00A758C0" w:rsidRPr="00CE2185">
        <w:rPr>
          <w:noProof/>
        </w:rPr>
        <w:t xml:space="preserve">, </w:t>
      </w:r>
      <w:r w:rsidR="004041A8" w:rsidRPr="00CE2185">
        <w:rPr>
          <w:noProof/>
        </w:rPr>
        <w:t>assuming 11,079 incidents</w:t>
      </w:r>
      <w:r w:rsidR="00766BAA" w:rsidRPr="00CE2185">
        <w:rPr>
          <w:noProof/>
        </w:rPr>
        <w:t xml:space="preserve"> </w:t>
      </w:r>
      <w:r w:rsidR="000C5695" w:rsidRPr="00CE2185">
        <w:rPr>
          <w:noProof/>
        </w:rPr>
        <w:t>affecting NIS entities</w:t>
      </w:r>
      <w:r w:rsidR="00ED509D" w:rsidRPr="00CE2185">
        <w:rPr>
          <w:noProof/>
        </w:rPr>
        <w:t xml:space="preserve"> (with malicious intent)</w:t>
      </w:r>
      <w:r w:rsidR="00766BAA" w:rsidRPr="00CE2185">
        <w:rPr>
          <w:noProof/>
        </w:rPr>
        <w:t xml:space="preserve"> and taking into account that existing measures under the BaU would lead to a reduction of cost related to incidents between 20 and 33%.</w:t>
      </w:r>
      <w:r w:rsidR="004041A8" w:rsidRPr="00CE2185">
        <w:rPr>
          <w:noProof/>
        </w:rPr>
        <w:t xml:space="preserve"> </w:t>
      </w:r>
      <w:r w:rsidR="00584523" w:rsidRPr="00CE2185">
        <w:rPr>
          <w:noProof/>
        </w:rPr>
        <w:t xml:space="preserve">(see </w:t>
      </w:r>
      <w:r w:rsidR="00584523" w:rsidRPr="00CE2185">
        <w:rPr>
          <w:i/>
          <w:iCs/>
          <w:noProof/>
        </w:rPr>
        <w:t>Annex 4</w:t>
      </w:r>
      <w:r w:rsidR="00C02D8E" w:rsidRPr="00CE2185">
        <w:rPr>
          <w:i/>
          <w:iCs/>
          <w:noProof/>
        </w:rPr>
        <w:t xml:space="preserve">, section </w:t>
      </w:r>
      <w:r w:rsidR="002C0835" w:rsidRPr="00CE2185">
        <w:rPr>
          <w:i/>
          <w:iCs/>
          <w:noProof/>
        </w:rPr>
        <w:t>4.1.1.1</w:t>
      </w:r>
      <w:r w:rsidR="00584523" w:rsidRPr="00CE2185">
        <w:rPr>
          <w:noProof/>
        </w:rPr>
        <w:t xml:space="preserve">). </w:t>
      </w:r>
      <w:r w:rsidR="00D027C8" w:rsidRPr="00CE2185">
        <w:rPr>
          <w:noProof/>
        </w:rPr>
        <w:t xml:space="preserve"> These assumptions can be challenged and</w:t>
      </w:r>
      <w:r w:rsidR="008737BD" w:rsidRPr="00CE2185">
        <w:rPr>
          <w:noProof/>
        </w:rPr>
        <w:t xml:space="preserve"> are informed by available data (e.g.</w:t>
      </w:r>
      <w:r w:rsidR="00D542F9" w:rsidRPr="00CE2185">
        <w:rPr>
          <w:noProof/>
        </w:rPr>
        <w:t xml:space="preserve"> </w:t>
      </w:r>
      <w:r w:rsidR="008737BD" w:rsidRPr="00CE2185">
        <w:rPr>
          <w:noProof/>
        </w:rPr>
        <w:t>estimate</w:t>
      </w:r>
      <w:r w:rsidR="00D542F9" w:rsidRPr="00CE2185">
        <w:rPr>
          <w:noProof/>
        </w:rPr>
        <w:t>s for</w:t>
      </w:r>
      <w:r w:rsidR="008737BD" w:rsidRPr="00CE2185">
        <w:rPr>
          <w:noProof/>
        </w:rPr>
        <w:t xml:space="preserve"> the costs for recover times under 200 days</w:t>
      </w:r>
      <w:r w:rsidR="00D542F9" w:rsidRPr="00CE2185">
        <w:rPr>
          <w:noProof/>
        </w:rPr>
        <w:t xml:space="preserve"> vs. above 200 days</w:t>
      </w:r>
      <w:r w:rsidR="008737BD" w:rsidRPr="00CE2185">
        <w:rPr>
          <w:noProof/>
        </w:rPr>
        <w:t xml:space="preserve">), hence the quantitative benefits </w:t>
      </w:r>
      <w:r w:rsidR="00AB7DBD" w:rsidRPr="00CE2185">
        <w:rPr>
          <w:noProof/>
        </w:rPr>
        <w:t>should be treated as very broad estimates that illustrate a possible impact of the proposed measures.</w:t>
      </w:r>
      <w:r w:rsidR="000C5695" w:rsidRPr="00CE2185">
        <w:rPr>
          <w:noProof/>
        </w:rPr>
        <w:t xml:space="preserve"> In practice, the cost savings could be lower as the report assumes the same cost saving per incident across all NIS2 entities, while it is to be expected that they can be sectoral and size differences.</w:t>
      </w:r>
      <w:r w:rsidR="00AB7DBD" w:rsidRPr="00CE2185">
        <w:rPr>
          <w:noProof/>
        </w:rPr>
        <w:t xml:space="preserve"> </w:t>
      </w:r>
      <w:r w:rsidR="000C5695" w:rsidRPr="00CE2185">
        <w:rPr>
          <w:noProof/>
        </w:rPr>
        <w:t>Other approaches and proxies</w:t>
      </w:r>
      <w:r w:rsidR="00D542F9" w:rsidRPr="00CE2185">
        <w:rPr>
          <w:noProof/>
        </w:rPr>
        <w:t xml:space="preserve"> could have likely been chosen (e.g. </w:t>
      </w:r>
      <w:r w:rsidR="000C5695" w:rsidRPr="00CE2185">
        <w:rPr>
          <w:noProof/>
        </w:rPr>
        <w:t xml:space="preserve">make an assumption </w:t>
      </w:r>
      <w:r w:rsidR="00D542F9" w:rsidRPr="00CE2185">
        <w:rPr>
          <w:noProof/>
        </w:rPr>
        <w:t>a percentage of avoided data breaches)</w:t>
      </w:r>
      <w:r w:rsidR="000C5695" w:rsidRPr="00CE2185">
        <w:rPr>
          <w:noProof/>
        </w:rPr>
        <w:t xml:space="preserve">, however </w:t>
      </w:r>
      <w:r w:rsidR="00D542F9" w:rsidRPr="00CE2185">
        <w:rPr>
          <w:noProof/>
        </w:rPr>
        <w:t xml:space="preserve">have been discarded due to </w:t>
      </w:r>
      <w:r w:rsidR="00FD4250" w:rsidRPr="00CE2185">
        <w:rPr>
          <w:noProof/>
        </w:rPr>
        <w:t>insufficient data</w:t>
      </w:r>
      <w:r w:rsidR="00D542F9" w:rsidRPr="00CE2185">
        <w:rPr>
          <w:noProof/>
        </w:rPr>
        <w:t xml:space="preserve">. </w:t>
      </w:r>
      <w:r w:rsidR="002479AD" w:rsidRPr="00CE2185">
        <w:rPr>
          <w:noProof/>
        </w:rPr>
        <w:t>Additionally, t</w:t>
      </w:r>
      <w:r w:rsidR="00D5596C" w:rsidRPr="00CE2185">
        <w:rPr>
          <w:noProof/>
        </w:rPr>
        <w:t xml:space="preserve">he </w:t>
      </w:r>
      <w:r w:rsidR="00F57D9D" w:rsidRPr="00CE2185">
        <w:rPr>
          <w:noProof/>
        </w:rPr>
        <w:t xml:space="preserve">development of </w:t>
      </w:r>
      <w:r w:rsidR="00F57D9D" w:rsidRPr="00CE2185">
        <w:rPr>
          <w:b/>
          <w:bCs/>
          <w:noProof/>
        </w:rPr>
        <w:t xml:space="preserve">European individual </w:t>
      </w:r>
      <w:r w:rsidR="00F3609A" w:rsidRPr="00CE2185">
        <w:rPr>
          <w:b/>
          <w:bCs/>
          <w:noProof/>
        </w:rPr>
        <w:t>cybersecurity skills</w:t>
      </w:r>
      <w:r w:rsidR="00F57D9D" w:rsidRPr="00CE2185">
        <w:rPr>
          <w:b/>
          <w:bCs/>
          <w:noProof/>
        </w:rPr>
        <w:t xml:space="preserve"> </w:t>
      </w:r>
      <w:r w:rsidR="0BA7382F" w:rsidRPr="00CE2185">
        <w:rPr>
          <w:b/>
          <w:bCs/>
          <w:noProof/>
        </w:rPr>
        <w:t>attestation schemes</w:t>
      </w:r>
      <w:r w:rsidR="0BA7382F" w:rsidRPr="00CE2185">
        <w:rPr>
          <w:noProof/>
        </w:rPr>
        <w:t xml:space="preserve"> would</w:t>
      </w:r>
      <w:r w:rsidR="00D5596C" w:rsidRPr="00CE2185">
        <w:rPr>
          <w:noProof/>
        </w:rPr>
        <w:t xml:space="preserve"> entail a number of</w:t>
      </w:r>
      <w:r w:rsidR="0BA7382F" w:rsidRPr="00CE2185">
        <w:rPr>
          <w:noProof/>
        </w:rPr>
        <w:t xml:space="preserve"> benefit</w:t>
      </w:r>
      <w:r w:rsidR="00D5596C" w:rsidRPr="00CE2185">
        <w:rPr>
          <w:noProof/>
        </w:rPr>
        <w:t>s</w:t>
      </w:r>
      <w:r w:rsidR="005175CC" w:rsidRPr="00CE2185">
        <w:rPr>
          <w:noProof/>
        </w:rPr>
        <w:t xml:space="preserve">, further detailed in </w:t>
      </w:r>
      <w:r w:rsidR="005175CC" w:rsidRPr="00CE2185">
        <w:rPr>
          <w:i/>
          <w:iCs/>
          <w:noProof/>
        </w:rPr>
        <w:t>Annex 4, section 4</w:t>
      </w:r>
      <w:r w:rsidR="00046A46" w:rsidRPr="00CE2185">
        <w:rPr>
          <w:i/>
          <w:iCs/>
          <w:noProof/>
        </w:rPr>
        <w:t>.1.1.2</w:t>
      </w:r>
      <w:r w:rsidR="00BD49ED" w:rsidRPr="00CE2185">
        <w:rPr>
          <w:noProof/>
        </w:rPr>
        <w:t>.</w:t>
      </w:r>
      <w:r w:rsidR="00BA0AC4" w:rsidRPr="00CE2185">
        <w:rPr>
          <w:noProof/>
        </w:rPr>
        <w:t xml:space="preserve"> </w:t>
      </w:r>
      <w:r w:rsidR="00BA0AC4" w:rsidRPr="00CE2185">
        <w:rPr>
          <w:b/>
          <w:bCs/>
          <w:noProof/>
        </w:rPr>
        <w:t>National authorities</w:t>
      </w:r>
      <w:r w:rsidR="00BA0AC4" w:rsidRPr="00CE2185">
        <w:rPr>
          <w:noProof/>
        </w:rPr>
        <w:t xml:space="preserve"> would not be constrained to develop or maintain in-house schemes as they could rely on the European individual cybersecurity skills attestations, notably to check the competence of individuals working for managed security service providers, for hiring purposes. </w:t>
      </w:r>
      <w:r w:rsidR="006909A8" w:rsidRPr="00CE2185">
        <w:rPr>
          <w:noProof/>
        </w:rPr>
        <w:t>C</w:t>
      </w:r>
      <w:r w:rsidR="00BA0AC4" w:rsidRPr="00CE2185">
        <w:rPr>
          <w:noProof/>
        </w:rPr>
        <w:t>entralised EU individual attestation scheme</w:t>
      </w:r>
      <w:r w:rsidR="006909A8" w:rsidRPr="00CE2185">
        <w:rPr>
          <w:noProof/>
        </w:rPr>
        <w:t>s, which would be developed with the support of national authorities themselves, industry and academia,</w:t>
      </w:r>
      <w:r w:rsidR="00BA0AC4" w:rsidRPr="00CE2185">
        <w:rPr>
          <w:noProof/>
        </w:rPr>
        <w:t xml:space="preserve"> would further rationalise the costs, avoiding proliferation of national schemes which aim at a similar objective across Member States but are developed </w:t>
      </w:r>
      <w:r w:rsidR="006909A8" w:rsidRPr="00CE2185">
        <w:rPr>
          <w:noProof/>
        </w:rPr>
        <w:t>in silos</w:t>
      </w:r>
      <w:r w:rsidR="00BA0AC4" w:rsidRPr="00CE2185">
        <w:rPr>
          <w:noProof/>
        </w:rPr>
        <w:t>.</w:t>
      </w:r>
      <w:r w:rsidR="006909A8" w:rsidRPr="00CE2185">
        <w:rPr>
          <w:noProof/>
        </w:rPr>
        <w:t xml:space="preserve"> </w:t>
      </w:r>
      <w:r w:rsidR="00D5596C" w:rsidRPr="00CE2185">
        <w:rPr>
          <w:b/>
          <w:bCs/>
          <w:noProof/>
        </w:rPr>
        <w:t xml:space="preserve">For </w:t>
      </w:r>
      <w:r w:rsidR="0014556B" w:rsidRPr="00CE2185">
        <w:rPr>
          <w:b/>
          <w:bCs/>
          <w:noProof/>
        </w:rPr>
        <w:t>businesses</w:t>
      </w:r>
      <w:r w:rsidR="0BA7382F" w:rsidRPr="00CE2185">
        <w:rPr>
          <w:b/>
          <w:bCs/>
          <w:noProof/>
        </w:rPr>
        <w:t xml:space="preserve"> </w:t>
      </w:r>
      <w:r w:rsidR="0BA7382F" w:rsidRPr="00CE2185">
        <w:rPr>
          <w:noProof/>
        </w:rPr>
        <w:t>authorised to deliver such attestations</w:t>
      </w:r>
      <w:r w:rsidR="0014556B" w:rsidRPr="00CE2185">
        <w:rPr>
          <w:noProof/>
        </w:rPr>
        <w:t xml:space="preserve"> </w:t>
      </w:r>
      <w:r w:rsidR="00922312" w:rsidRPr="00CE2185">
        <w:rPr>
          <w:noProof/>
        </w:rPr>
        <w:t>it will</w:t>
      </w:r>
      <w:r w:rsidR="0014556B" w:rsidRPr="00CE2185">
        <w:rPr>
          <w:noProof/>
        </w:rPr>
        <w:t xml:space="preserve"> creat</w:t>
      </w:r>
      <w:r w:rsidR="00922312" w:rsidRPr="00CE2185">
        <w:rPr>
          <w:noProof/>
        </w:rPr>
        <w:t>e</w:t>
      </w:r>
      <w:r w:rsidR="0014556B" w:rsidRPr="00CE2185">
        <w:rPr>
          <w:noProof/>
        </w:rPr>
        <w:t xml:space="preserve"> new business opportunities. </w:t>
      </w:r>
      <w:r w:rsidR="00BD459F" w:rsidRPr="00CE2185">
        <w:rPr>
          <w:noProof/>
        </w:rPr>
        <w:t xml:space="preserve">For the wider economy, it </w:t>
      </w:r>
      <w:r w:rsidR="0014556B" w:rsidRPr="00CE2185">
        <w:rPr>
          <w:noProof/>
        </w:rPr>
        <w:t>would</w:t>
      </w:r>
      <w:r w:rsidR="0BA7382F" w:rsidRPr="00CE2185">
        <w:rPr>
          <w:noProof/>
        </w:rPr>
        <w:t xml:space="preserve"> support training and hiring practices</w:t>
      </w:r>
      <w:r w:rsidR="6F313F8F" w:rsidRPr="00CE2185">
        <w:rPr>
          <w:noProof/>
        </w:rPr>
        <w:t xml:space="preserve"> </w:t>
      </w:r>
      <w:r w:rsidR="0BA7382F" w:rsidRPr="00CE2185">
        <w:rPr>
          <w:noProof/>
        </w:rPr>
        <w:t>by providing visibility</w:t>
      </w:r>
      <w:r w:rsidR="5545408D" w:rsidRPr="00CE2185">
        <w:rPr>
          <w:noProof/>
        </w:rPr>
        <w:t xml:space="preserve"> of competences and</w:t>
      </w:r>
      <w:r w:rsidR="0BA7382F" w:rsidRPr="00CE2185">
        <w:rPr>
          <w:noProof/>
        </w:rPr>
        <w:t xml:space="preserve"> quality assurance</w:t>
      </w:r>
      <w:r w:rsidR="7C3F6466" w:rsidRPr="00CE2185">
        <w:rPr>
          <w:noProof/>
        </w:rPr>
        <w:t xml:space="preserve"> of candidates</w:t>
      </w:r>
      <w:r w:rsidR="18008D29" w:rsidRPr="00CE2185">
        <w:rPr>
          <w:noProof/>
        </w:rPr>
        <w:t xml:space="preserve">. </w:t>
      </w:r>
      <w:r w:rsidR="00673F64" w:rsidRPr="00CE2185">
        <w:rPr>
          <w:noProof/>
        </w:rPr>
        <w:t xml:space="preserve">In particular, </w:t>
      </w:r>
      <w:r w:rsidR="000A5AB5" w:rsidRPr="00CE2185">
        <w:rPr>
          <w:noProof/>
        </w:rPr>
        <w:t xml:space="preserve">SMEs, which </w:t>
      </w:r>
      <w:r w:rsidR="0049086A" w:rsidRPr="00CE2185">
        <w:rPr>
          <w:noProof/>
        </w:rPr>
        <w:t xml:space="preserve">have little chance of seeing their </w:t>
      </w:r>
      <w:r w:rsidR="00C70D6C" w:rsidRPr="00CE2185">
        <w:rPr>
          <w:noProof/>
        </w:rPr>
        <w:t>in-house developed attestations recognised by the market in the face of major cybersecurity players</w:t>
      </w:r>
      <w:r w:rsidR="00C54351" w:rsidRPr="00CE2185">
        <w:rPr>
          <w:noProof/>
        </w:rPr>
        <w:t xml:space="preserve">, would be given access to the market of </w:t>
      </w:r>
      <w:r w:rsidR="00B22A7D" w:rsidRPr="00CE2185">
        <w:rPr>
          <w:noProof/>
        </w:rPr>
        <w:t>“individual cybersecurity certifications”</w:t>
      </w:r>
      <w:r w:rsidR="00C54351" w:rsidRPr="00CE2185">
        <w:rPr>
          <w:noProof/>
        </w:rPr>
        <w:t>.</w:t>
      </w:r>
      <w:r w:rsidR="18008D29" w:rsidRPr="00CE2185">
        <w:rPr>
          <w:noProof/>
        </w:rPr>
        <w:t xml:space="preserve"> </w:t>
      </w:r>
      <w:r w:rsidR="00DB6D93" w:rsidRPr="00CE2185">
        <w:rPr>
          <w:b/>
          <w:bCs/>
          <w:noProof/>
        </w:rPr>
        <w:t>F</w:t>
      </w:r>
      <w:r w:rsidR="18008D29" w:rsidRPr="00CE2185">
        <w:rPr>
          <w:b/>
          <w:bCs/>
          <w:noProof/>
        </w:rPr>
        <w:t>or ENISA</w:t>
      </w:r>
      <w:r w:rsidR="00C21586" w:rsidRPr="00CE2185">
        <w:rPr>
          <w:b/>
          <w:bCs/>
          <w:noProof/>
        </w:rPr>
        <w:t>,</w:t>
      </w:r>
      <w:r w:rsidR="00075D5A" w:rsidRPr="00CE2185">
        <w:rPr>
          <w:b/>
          <w:bCs/>
          <w:noProof/>
        </w:rPr>
        <w:t xml:space="preserve"> </w:t>
      </w:r>
      <w:r w:rsidR="00922312" w:rsidRPr="00CE2185">
        <w:rPr>
          <w:noProof/>
        </w:rPr>
        <w:t>there are</w:t>
      </w:r>
      <w:r w:rsidR="18008D29" w:rsidRPr="00CE2185">
        <w:rPr>
          <w:noProof/>
        </w:rPr>
        <w:t xml:space="preserve"> direct benefits </w:t>
      </w:r>
      <w:r w:rsidR="2E6298C6" w:rsidRPr="00CE2185">
        <w:rPr>
          <w:noProof/>
        </w:rPr>
        <w:t>counterweighting the costs of the development and maintenance of European attestation schemes, as this activity could be funded through fees</w:t>
      </w:r>
      <w:r w:rsidR="00B57D89" w:rsidRPr="00CE2185">
        <w:rPr>
          <w:noProof/>
        </w:rPr>
        <w:t xml:space="preserve"> charged to the </w:t>
      </w:r>
      <w:r w:rsidR="00057D0F" w:rsidRPr="00CE2185">
        <w:rPr>
          <w:noProof/>
        </w:rPr>
        <w:t>providers</w:t>
      </w:r>
      <w:r w:rsidR="2E6298C6" w:rsidRPr="00CE2185">
        <w:rPr>
          <w:noProof/>
        </w:rPr>
        <w:t>. Th</w:t>
      </w:r>
      <w:r w:rsidR="00872301" w:rsidRPr="00CE2185">
        <w:rPr>
          <w:noProof/>
        </w:rPr>
        <w:t>ese fees</w:t>
      </w:r>
      <w:r w:rsidR="2E6298C6" w:rsidRPr="00CE2185">
        <w:rPr>
          <w:noProof/>
        </w:rPr>
        <w:t xml:space="preserve"> would </w:t>
      </w:r>
      <w:r w:rsidR="230138FD" w:rsidRPr="00CE2185">
        <w:rPr>
          <w:noProof/>
        </w:rPr>
        <w:t>off</w:t>
      </w:r>
      <w:r w:rsidR="00715BA0" w:rsidRPr="00CE2185">
        <w:rPr>
          <w:noProof/>
        </w:rPr>
        <w:t>set</w:t>
      </w:r>
      <w:r w:rsidR="03C7EFD5" w:rsidRPr="00CE2185">
        <w:rPr>
          <w:noProof/>
        </w:rPr>
        <w:t xml:space="preserve"> the costs for the Agency</w:t>
      </w:r>
      <w:r w:rsidR="00D94F90" w:rsidRPr="00CE2185">
        <w:rPr>
          <w:noProof/>
        </w:rPr>
        <w:t>,</w:t>
      </w:r>
      <w:r w:rsidR="03C7EFD5" w:rsidRPr="00CE2185">
        <w:rPr>
          <w:noProof/>
        </w:rPr>
        <w:t xml:space="preserve"> as they would </w:t>
      </w:r>
      <w:r w:rsidR="2E6298C6" w:rsidRPr="00CE2185">
        <w:rPr>
          <w:noProof/>
        </w:rPr>
        <w:t xml:space="preserve">reflect the real costs of the related activity and </w:t>
      </w:r>
      <w:r w:rsidR="00FA676E" w:rsidRPr="00CE2185">
        <w:rPr>
          <w:noProof/>
        </w:rPr>
        <w:t xml:space="preserve">would </w:t>
      </w:r>
      <w:r w:rsidR="37DB247F" w:rsidRPr="00CE2185">
        <w:rPr>
          <w:noProof/>
        </w:rPr>
        <w:t>not generate</w:t>
      </w:r>
      <w:r w:rsidR="2E6298C6" w:rsidRPr="00CE2185">
        <w:rPr>
          <w:noProof/>
        </w:rPr>
        <w:t xml:space="preserve"> a profit. </w:t>
      </w:r>
      <w:r w:rsidR="5FB62CA0" w:rsidRPr="00CE2185">
        <w:rPr>
          <w:noProof/>
        </w:rPr>
        <w:t>The amount of the fee</w:t>
      </w:r>
      <w:r w:rsidR="008C76A2" w:rsidRPr="00CE2185">
        <w:rPr>
          <w:noProof/>
        </w:rPr>
        <w:t>s</w:t>
      </w:r>
      <w:r w:rsidR="5FB62CA0" w:rsidRPr="00CE2185">
        <w:rPr>
          <w:noProof/>
        </w:rPr>
        <w:t xml:space="preserve"> would be </w:t>
      </w:r>
      <w:r w:rsidR="00355337" w:rsidRPr="00CE2185">
        <w:rPr>
          <w:noProof/>
        </w:rPr>
        <w:t>adapted to</w:t>
      </w:r>
      <w:r w:rsidR="5FB62CA0" w:rsidRPr="00CE2185">
        <w:rPr>
          <w:noProof/>
        </w:rPr>
        <w:t xml:space="preserve"> each European individual </w:t>
      </w:r>
      <w:r w:rsidR="00355337" w:rsidRPr="00CE2185">
        <w:rPr>
          <w:noProof/>
        </w:rPr>
        <w:t xml:space="preserve">cybersecurity skills </w:t>
      </w:r>
      <w:r w:rsidR="5FB62CA0" w:rsidRPr="00CE2185">
        <w:rPr>
          <w:noProof/>
        </w:rPr>
        <w:t>attestation scheme</w:t>
      </w:r>
      <w:r w:rsidR="00D94F90" w:rsidRPr="00CE2185">
        <w:rPr>
          <w:noProof/>
        </w:rPr>
        <w:t>,</w:t>
      </w:r>
      <w:r w:rsidR="5FB62CA0" w:rsidRPr="00CE2185">
        <w:rPr>
          <w:noProof/>
        </w:rPr>
        <w:t xml:space="preserve"> to ensure a price as close </w:t>
      </w:r>
      <w:r w:rsidR="000E3AFB" w:rsidRPr="00CE2185">
        <w:rPr>
          <w:noProof/>
        </w:rPr>
        <w:t>as</w:t>
      </w:r>
      <w:r w:rsidR="5FB62CA0" w:rsidRPr="00CE2185">
        <w:rPr>
          <w:noProof/>
        </w:rPr>
        <w:t xml:space="preserve"> possible to the expenses incurred to perform this task. </w:t>
      </w:r>
      <w:r w:rsidR="00D5596C" w:rsidRPr="00CE2185">
        <w:rPr>
          <w:rFonts w:eastAsia="Times New Roman"/>
          <w:b/>
          <w:bCs/>
          <w:noProof/>
        </w:rPr>
        <w:t>C</w:t>
      </w:r>
      <w:r w:rsidR="37B5B5AD" w:rsidRPr="00CE2185">
        <w:rPr>
          <w:rFonts w:eastAsia="Times New Roman"/>
          <w:b/>
          <w:bCs/>
          <w:noProof/>
        </w:rPr>
        <w:t>onsumers</w:t>
      </w:r>
      <w:r w:rsidR="00FA2CDE" w:rsidRPr="00CE2185">
        <w:rPr>
          <w:rFonts w:eastAsia="Times New Roman"/>
          <w:b/>
          <w:bCs/>
          <w:noProof/>
        </w:rPr>
        <w:t>, such</w:t>
      </w:r>
      <w:r w:rsidR="00D5596C" w:rsidRPr="00CE2185">
        <w:rPr>
          <w:rFonts w:eastAsia="Times New Roman"/>
          <w:b/>
          <w:bCs/>
          <w:noProof/>
        </w:rPr>
        <w:t xml:space="preserve"> </w:t>
      </w:r>
      <w:r w:rsidR="00E606A3" w:rsidRPr="00CE2185">
        <w:rPr>
          <w:rFonts w:eastAsia="Times New Roman"/>
          <w:b/>
          <w:bCs/>
          <w:noProof/>
        </w:rPr>
        <w:t xml:space="preserve">as </w:t>
      </w:r>
      <w:r w:rsidR="007F1497" w:rsidRPr="00CE2185">
        <w:rPr>
          <w:rFonts w:eastAsia="Times New Roman"/>
          <w:b/>
          <w:bCs/>
          <w:noProof/>
        </w:rPr>
        <w:t>cybersecurity</w:t>
      </w:r>
      <w:r w:rsidR="00E606A3" w:rsidRPr="00CE2185">
        <w:rPr>
          <w:rFonts w:eastAsia="Times New Roman"/>
          <w:b/>
          <w:bCs/>
          <w:noProof/>
        </w:rPr>
        <w:t xml:space="preserve"> professionals</w:t>
      </w:r>
      <w:r w:rsidR="004679ED" w:rsidRPr="00CE2185">
        <w:rPr>
          <w:rFonts w:eastAsia="Times New Roman"/>
          <w:b/>
          <w:bCs/>
          <w:noProof/>
        </w:rPr>
        <w:t>,</w:t>
      </w:r>
      <w:r w:rsidR="00E606A3" w:rsidRPr="00CE2185">
        <w:rPr>
          <w:rFonts w:eastAsia="Times New Roman"/>
          <w:noProof/>
        </w:rPr>
        <w:t xml:space="preserve"> </w:t>
      </w:r>
      <w:r w:rsidR="00D5596C" w:rsidRPr="00CE2185">
        <w:rPr>
          <w:rFonts w:eastAsia="Times New Roman"/>
          <w:noProof/>
        </w:rPr>
        <w:t>will benefit from holding an individual skills attestation</w:t>
      </w:r>
      <w:r w:rsidR="000C3CB8" w:rsidRPr="00CE2185">
        <w:rPr>
          <w:rFonts w:eastAsia="Times New Roman"/>
          <w:noProof/>
        </w:rPr>
        <w:t xml:space="preserve"> </w:t>
      </w:r>
      <w:r w:rsidR="00E677E9" w:rsidRPr="00CE2185">
        <w:rPr>
          <w:rFonts w:eastAsia="Times New Roman"/>
          <w:noProof/>
        </w:rPr>
        <w:t>recognised at EU level</w:t>
      </w:r>
      <w:r w:rsidR="000C3CB8" w:rsidRPr="00CE2185">
        <w:rPr>
          <w:rFonts w:eastAsia="Times New Roman"/>
          <w:noProof/>
        </w:rPr>
        <w:t xml:space="preserve"> which would </w:t>
      </w:r>
      <w:r w:rsidR="00F57D9D" w:rsidRPr="00CE2185">
        <w:rPr>
          <w:rFonts w:eastAsia="Times New Roman"/>
          <w:noProof/>
        </w:rPr>
        <w:t>not only enhance an individual's appeal in the job market</w:t>
      </w:r>
      <w:r w:rsidR="00E606A3" w:rsidRPr="00CE2185">
        <w:rPr>
          <w:rFonts w:eastAsia="Times New Roman"/>
          <w:noProof/>
          <w:vertAlign w:val="superscript"/>
        </w:rPr>
        <w:t xml:space="preserve"> </w:t>
      </w:r>
      <w:r w:rsidR="00F57D9D" w:rsidRPr="00CE2185">
        <w:rPr>
          <w:rFonts w:eastAsia="Times New Roman"/>
          <w:noProof/>
        </w:rPr>
        <w:t xml:space="preserve">but also </w:t>
      </w:r>
      <w:r w:rsidR="00E606A3" w:rsidRPr="00CE2185">
        <w:rPr>
          <w:rFonts w:eastAsia="Times New Roman"/>
          <w:noProof/>
        </w:rPr>
        <w:t>foster</w:t>
      </w:r>
      <w:r w:rsidR="37B5B5AD" w:rsidRPr="00CE2185">
        <w:rPr>
          <w:rFonts w:eastAsia="Times New Roman"/>
          <w:noProof/>
        </w:rPr>
        <w:t xml:space="preserve"> wage increase</w:t>
      </w:r>
      <w:r w:rsidR="00046A46" w:rsidRPr="00CE2185">
        <w:rPr>
          <w:rFonts w:eastAsia="Times New Roman"/>
          <w:noProof/>
        </w:rPr>
        <w:t xml:space="preserve">. </w:t>
      </w:r>
      <w:r w:rsidR="00046A46" w:rsidRPr="00CE2185">
        <w:rPr>
          <w:noProof/>
        </w:rPr>
        <w:t>According to recent studies, 59 % of employees report a salary increase of 6–20 % within a year after being certified</w:t>
      </w:r>
      <w:r w:rsidR="00046A46" w:rsidRPr="00CE2185">
        <w:rPr>
          <w:rStyle w:val="FootnoteReference"/>
          <w:noProof/>
        </w:rPr>
        <w:footnoteReference w:id="152"/>
      </w:r>
      <w:r w:rsidR="00046A46" w:rsidRPr="00CE2185">
        <w:rPr>
          <w:noProof/>
        </w:rPr>
        <w:t>. Attestations also support external career mobility</w:t>
      </w:r>
      <w:r w:rsidR="00046A46" w:rsidRPr="00CE2185">
        <w:rPr>
          <w:rStyle w:val="FootnoteReference"/>
          <w:noProof/>
        </w:rPr>
        <w:footnoteReference w:id="153"/>
      </w:r>
      <w:r w:rsidR="00046A46" w:rsidRPr="00CE2185">
        <w:rPr>
          <w:noProof/>
        </w:rPr>
        <w:t xml:space="preserve"> and skills portability, which is particularly valuable for entry-level professionals, young graduates, SMEs, and workers seeking mobility. </w:t>
      </w:r>
      <w:r w:rsidR="00046A46" w:rsidRPr="00CE2185">
        <w:rPr>
          <w:rFonts w:eastAsia="Times New Roman"/>
          <w:noProof/>
        </w:rPr>
        <w:t>This has a positive impact on salary levels, reflecting the recognised value of their expertise</w:t>
      </w:r>
      <w:r w:rsidR="00046A46" w:rsidRPr="00CE2185">
        <w:rPr>
          <w:rFonts w:eastAsiaTheme="minorEastAsia"/>
          <w:noProof/>
          <w:vertAlign w:val="superscript"/>
        </w:rPr>
        <w:footnoteReference w:id="154"/>
      </w:r>
      <w:r w:rsidR="00046A46" w:rsidRPr="00CE2185">
        <w:rPr>
          <w:rFonts w:eastAsia="Times New Roman"/>
          <w:noProof/>
        </w:rPr>
        <w:t>.</w:t>
      </w:r>
      <w:r w:rsidR="00046A46" w:rsidRPr="00CE2185" w:rsidDel="00046A46">
        <w:rPr>
          <w:rFonts w:eastAsia="Times New Roman"/>
          <w:i/>
          <w:iCs/>
          <w:noProof/>
        </w:rPr>
        <w:t xml:space="preserve"> </w:t>
      </w:r>
      <w:r w:rsidR="37B5B5AD" w:rsidRPr="00CE2185">
        <w:rPr>
          <w:rFonts w:eastAsia="Times New Roman"/>
          <w:noProof/>
        </w:rPr>
        <w:t>Moreover, defining the costs of a</w:t>
      </w:r>
      <w:r w:rsidR="00981063" w:rsidRPr="00CE2185">
        <w:rPr>
          <w:rFonts w:eastAsia="Times New Roman"/>
          <w:noProof/>
        </w:rPr>
        <w:t>n</w:t>
      </w:r>
      <w:r w:rsidR="37B5B5AD" w:rsidRPr="00CE2185">
        <w:rPr>
          <w:rFonts w:eastAsia="Times New Roman"/>
          <w:noProof/>
        </w:rPr>
        <w:t xml:space="preserve"> attestation at EU level could lead to </w:t>
      </w:r>
      <w:r w:rsidR="37B5B5AD" w:rsidRPr="00CE2185">
        <w:rPr>
          <w:rFonts w:eastAsia="Times New Roman"/>
          <w:b/>
          <w:bCs/>
          <w:noProof/>
        </w:rPr>
        <w:t>potential cost savings</w:t>
      </w:r>
      <w:r w:rsidR="37B5B5AD" w:rsidRPr="00CE2185">
        <w:rPr>
          <w:rFonts w:eastAsia="Times New Roman"/>
          <w:noProof/>
        </w:rPr>
        <w:t xml:space="preserve">, </w:t>
      </w:r>
      <w:r w:rsidR="00E425FD" w:rsidRPr="00CE2185">
        <w:rPr>
          <w:rFonts w:eastAsia="Times New Roman"/>
          <w:noProof/>
        </w:rPr>
        <w:t xml:space="preserve">likely </w:t>
      </w:r>
      <w:r w:rsidR="37B5B5AD" w:rsidRPr="00CE2185">
        <w:rPr>
          <w:rFonts w:eastAsia="Times New Roman"/>
          <w:noProof/>
        </w:rPr>
        <w:t>be</w:t>
      </w:r>
      <w:r w:rsidR="00E94063" w:rsidRPr="00CE2185">
        <w:rPr>
          <w:rFonts w:eastAsia="Times New Roman"/>
          <w:noProof/>
        </w:rPr>
        <w:t>ing</w:t>
      </w:r>
      <w:r w:rsidR="37B5B5AD" w:rsidRPr="00CE2185">
        <w:rPr>
          <w:rFonts w:eastAsia="Times New Roman"/>
          <w:noProof/>
        </w:rPr>
        <w:t xml:space="preserve"> closer to those delivered by public organisations and lower</w:t>
      </w:r>
      <w:r w:rsidR="00BE236B" w:rsidRPr="00CE2185">
        <w:rPr>
          <w:rFonts w:eastAsia="Times New Roman"/>
          <w:noProof/>
        </w:rPr>
        <w:t xml:space="preserve"> in cost</w:t>
      </w:r>
      <w:r w:rsidR="37B5B5AD" w:rsidRPr="00CE2185">
        <w:rPr>
          <w:rFonts w:eastAsia="Times New Roman"/>
          <w:noProof/>
        </w:rPr>
        <w:t xml:space="preserve"> than</w:t>
      </w:r>
      <w:r w:rsidR="50A13355" w:rsidRPr="00CE2185">
        <w:rPr>
          <w:rFonts w:eastAsia="Times New Roman"/>
          <w:noProof/>
        </w:rPr>
        <w:t xml:space="preserve"> those</w:t>
      </w:r>
      <w:r w:rsidR="37B5B5AD" w:rsidRPr="00CE2185">
        <w:rPr>
          <w:rFonts w:eastAsia="Times New Roman"/>
          <w:noProof/>
        </w:rPr>
        <w:t xml:space="preserve"> delivered by private certification bodies</w:t>
      </w:r>
      <w:r w:rsidR="000C3CB8" w:rsidRPr="00CE2185">
        <w:rPr>
          <w:rFonts w:eastAsia="Times New Roman"/>
          <w:noProof/>
        </w:rPr>
        <w:t xml:space="preserve"> </w:t>
      </w:r>
      <w:r w:rsidR="000C3CB8" w:rsidRPr="00CE2185">
        <w:rPr>
          <w:rFonts w:eastAsia="Times New Roman"/>
          <w:i/>
          <w:iCs/>
          <w:noProof/>
        </w:rPr>
        <w:t>(</w:t>
      </w:r>
      <w:r w:rsidR="00BB0199" w:rsidRPr="00CE2185">
        <w:rPr>
          <w:rFonts w:eastAsia="Times New Roman"/>
          <w:i/>
          <w:iCs/>
          <w:noProof/>
        </w:rPr>
        <w:t>ibid.</w:t>
      </w:r>
      <w:r w:rsidR="000C3CB8" w:rsidRPr="00CE2185">
        <w:rPr>
          <w:rFonts w:eastAsia="Times New Roman"/>
          <w:i/>
          <w:iCs/>
          <w:noProof/>
        </w:rPr>
        <w:t>)</w:t>
      </w:r>
      <w:r w:rsidR="37B5B5AD" w:rsidRPr="00CE2185">
        <w:rPr>
          <w:rFonts w:eastAsia="Times New Roman"/>
          <w:noProof/>
        </w:rPr>
        <w:t>.</w:t>
      </w:r>
    </w:p>
    <w:p w14:paraId="7B687BA0" w14:textId="28CB3FE5" w:rsidR="00141E97" w:rsidRPr="00CE2185" w:rsidRDefault="00C055E2" w:rsidP="00795DF0">
      <w:pPr>
        <w:spacing w:after="120"/>
        <w:rPr>
          <w:noProof/>
        </w:rPr>
      </w:pPr>
      <w:r w:rsidRPr="00CE2185">
        <w:rPr>
          <w:noProof/>
        </w:rPr>
        <w:t>Under</w:t>
      </w:r>
      <w:r w:rsidRPr="00CE2185">
        <w:rPr>
          <w:b/>
          <w:bCs/>
          <w:noProof/>
        </w:rPr>
        <w:t xml:space="preserve"> o</w:t>
      </w:r>
      <w:r w:rsidR="00336E1B" w:rsidRPr="00CE2185">
        <w:rPr>
          <w:b/>
          <w:bCs/>
          <w:noProof/>
        </w:rPr>
        <w:t>ption A</w:t>
      </w:r>
      <w:r w:rsidR="00956DB7" w:rsidRPr="00CE2185">
        <w:rPr>
          <w:b/>
          <w:bCs/>
          <w:noProof/>
        </w:rPr>
        <w:t>.</w:t>
      </w:r>
      <w:r w:rsidR="00336E1B" w:rsidRPr="00CE2185">
        <w:rPr>
          <w:b/>
          <w:bCs/>
          <w:noProof/>
        </w:rPr>
        <w:t>3</w:t>
      </w:r>
      <w:r w:rsidRPr="00CE2185">
        <w:rPr>
          <w:noProof/>
        </w:rPr>
        <w:t xml:space="preserve">, the </w:t>
      </w:r>
      <w:r w:rsidR="4DA8634A" w:rsidRPr="00CE2185">
        <w:rPr>
          <w:noProof/>
        </w:rPr>
        <w:t xml:space="preserve">benefits </w:t>
      </w:r>
      <w:r w:rsidRPr="00CE2185">
        <w:rPr>
          <w:noProof/>
        </w:rPr>
        <w:t xml:space="preserve">described for A2 related to </w:t>
      </w:r>
      <w:r w:rsidRPr="00CE2185">
        <w:rPr>
          <w:b/>
          <w:bCs/>
          <w:noProof/>
        </w:rPr>
        <w:t xml:space="preserve">faster response and </w:t>
      </w:r>
      <w:r w:rsidR="27BB57F6" w:rsidRPr="00CE2185">
        <w:rPr>
          <w:b/>
          <w:bCs/>
          <w:noProof/>
        </w:rPr>
        <w:t>slowing down prolifera</w:t>
      </w:r>
      <w:r w:rsidR="00BA1241" w:rsidRPr="00CE2185">
        <w:rPr>
          <w:b/>
          <w:bCs/>
          <w:noProof/>
        </w:rPr>
        <w:t>t</w:t>
      </w:r>
      <w:r w:rsidR="27BB57F6" w:rsidRPr="00CE2185">
        <w:rPr>
          <w:b/>
          <w:bCs/>
          <w:noProof/>
        </w:rPr>
        <w:t>ion</w:t>
      </w:r>
      <w:r w:rsidRPr="00CE2185">
        <w:rPr>
          <w:b/>
          <w:bCs/>
          <w:noProof/>
        </w:rPr>
        <w:t xml:space="preserve"> </w:t>
      </w:r>
      <w:r w:rsidRPr="00CE2185">
        <w:rPr>
          <w:noProof/>
        </w:rPr>
        <w:t>of</w:t>
      </w:r>
      <w:r w:rsidRPr="00CE2185">
        <w:rPr>
          <w:b/>
          <w:bCs/>
          <w:noProof/>
        </w:rPr>
        <w:t xml:space="preserve"> cybersecurity incidents </w:t>
      </w:r>
      <w:r w:rsidRPr="00CE2185">
        <w:rPr>
          <w:noProof/>
        </w:rPr>
        <w:t xml:space="preserve">would be </w:t>
      </w:r>
      <w:r w:rsidR="00C62BE7" w:rsidRPr="00CE2185">
        <w:rPr>
          <w:noProof/>
        </w:rPr>
        <w:t>likely</w:t>
      </w:r>
      <w:r w:rsidRPr="00CE2185">
        <w:rPr>
          <w:noProof/>
        </w:rPr>
        <w:t xml:space="preserve"> increased</w:t>
      </w:r>
      <w:r w:rsidR="4DA8634A" w:rsidRPr="00CE2185">
        <w:rPr>
          <w:noProof/>
        </w:rPr>
        <w:t xml:space="preserve">. </w:t>
      </w:r>
      <w:r w:rsidRPr="00CE2185">
        <w:rPr>
          <w:noProof/>
        </w:rPr>
        <w:t>The</w:t>
      </w:r>
      <w:r w:rsidR="30DA4E5D" w:rsidRPr="00CE2185">
        <w:rPr>
          <w:noProof/>
        </w:rPr>
        <w:t xml:space="preserve"> direct operational support from ENISA to the </w:t>
      </w:r>
      <w:r w:rsidR="00E47D43" w:rsidRPr="00CE2185">
        <w:rPr>
          <w:noProof/>
        </w:rPr>
        <w:t>NIS 2</w:t>
      </w:r>
      <w:r w:rsidR="30DA4E5D" w:rsidRPr="00CE2185">
        <w:rPr>
          <w:noProof/>
        </w:rPr>
        <w:t xml:space="preserve"> </w:t>
      </w:r>
      <w:r w:rsidR="00C2EB8E" w:rsidRPr="00CE2185">
        <w:rPr>
          <w:noProof/>
        </w:rPr>
        <w:t xml:space="preserve">Directive entities would bring cost savings for </w:t>
      </w:r>
      <w:r w:rsidR="00C2EB8E" w:rsidRPr="00CE2185">
        <w:rPr>
          <w:b/>
          <w:bCs/>
          <w:noProof/>
        </w:rPr>
        <w:t>national authorities</w:t>
      </w:r>
      <w:r w:rsidR="00C2EB8E" w:rsidRPr="00CE2185">
        <w:rPr>
          <w:noProof/>
        </w:rPr>
        <w:t xml:space="preserve">, as </w:t>
      </w:r>
      <w:r w:rsidR="7B03C3F6" w:rsidRPr="00CE2185">
        <w:rPr>
          <w:noProof/>
        </w:rPr>
        <w:t>ENISA’s team would</w:t>
      </w:r>
      <w:r w:rsidR="00523686" w:rsidRPr="00CE2185">
        <w:rPr>
          <w:noProof/>
        </w:rPr>
        <w:t>,</w:t>
      </w:r>
      <w:r w:rsidR="7B03C3F6" w:rsidRPr="00CE2185">
        <w:rPr>
          <w:noProof/>
        </w:rPr>
        <w:t xml:space="preserve"> at least partially</w:t>
      </w:r>
      <w:r w:rsidR="00523686" w:rsidRPr="00CE2185">
        <w:rPr>
          <w:noProof/>
        </w:rPr>
        <w:t>,</w:t>
      </w:r>
      <w:r w:rsidR="7B03C3F6" w:rsidRPr="00CE2185">
        <w:rPr>
          <w:noProof/>
        </w:rPr>
        <w:t xml:space="preserve"> take over support activities</w:t>
      </w:r>
      <w:r w:rsidR="00C2EB8E" w:rsidRPr="00CE2185">
        <w:rPr>
          <w:noProof/>
        </w:rPr>
        <w:t xml:space="preserve"> </w:t>
      </w:r>
      <w:r w:rsidR="7B03C3F6" w:rsidRPr="00CE2185">
        <w:rPr>
          <w:noProof/>
        </w:rPr>
        <w:t>for incident response</w:t>
      </w:r>
      <w:r w:rsidR="00523686" w:rsidRPr="00CE2185">
        <w:rPr>
          <w:noProof/>
        </w:rPr>
        <w:t>,</w:t>
      </w:r>
      <w:r w:rsidR="7B03C3F6" w:rsidRPr="00CE2185">
        <w:rPr>
          <w:noProof/>
        </w:rPr>
        <w:t xml:space="preserve"> </w:t>
      </w:r>
      <w:r w:rsidR="00523686" w:rsidRPr="00CE2185">
        <w:rPr>
          <w:noProof/>
        </w:rPr>
        <w:t xml:space="preserve">which </w:t>
      </w:r>
      <w:r w:rsidR="7B03C3F6" w:rsidRPr="00CE2185">
        <w:rPr>
          <w:noProof/>
        </w:rPr>
        <w:t>are now carried by national CSIRTs</w:t>
      </w:r>
      <w:r w:rsidR="1EDCFB3A" w:rsidRPr="00CE2185">
        <w:rPr>
          <w:noProof/>
        </w:rPr>
        <w:t>. As the support would be provided in</w:t>
      </w:r>
      <w:r w:rsidR="00C2EB8E" w:rsidRPr="00CE2185">
        <w:rPr>
          <w:noProof/>
        </w:rPr>
        <w:t xml:space="preserve"> </w:t>
      </w:r>
      <w:r w:rsidR="1EDCFB3A" w:rsidRPr="00CE2185">
        <w:rPr>
          <w:noProof/>
        </w:rPr>
        <w:t>a coordinated manner, especially in case of cross-border cyberse</w:t>
      </w:r>
      <w:r w:rsidR="5E00F448" w:rsidRPr="00CE2185">
        <w:rPr>
          <w:noProof/>
        </w:rPr>
        <w:t>curity incidents</w:t>
      </w:r>
      <w:r w:rsidR="1EDCFB3A" w:rsidRPr="00CE2185">
        <w:rPr>
          <w:noProof/>
        </w:rPr>
        <w:t>, it could lead to higher savings tha</w:t>
      </w:r>
      <w:r w:rsidR="00B35394" w:rsidRPr="00CE2185">
        <w:rPr>
          <w:noProof/>
        </w:rPr>
        <w:t>n</w:t>
      </w:r>
      <w:r w:rsidR="1EDCFB3A" w:rsidRPr="00CE2185">
        <w:rPr>
          <w:noProof/>
        </w:rPr>
        <w:t xml:space="preserve"> the cost of delegating additional national liaison officers</w:t>
      </w:r>
      <w:r w:rsidR="5FD829A8" w:rsidRPr="00CE2185">
        <w:rPr>
          <w:noProof/>
        </w:rPr>
        <w:t>.</w:t>
      </w:r>
      <w:r w:rsidR="00C2EB8E" w:rsidRPr="00CE2185">
        <w:rPr>
          <w:noProof/>
        </w:rPr>
        <w:t xml:space="preserve"> </w:t>
      </w:r>
      <w:r w:rsidR="001E5C78" w:rsidRPr="00CE2185">
        <w:rPr>
          <w:noProof/>
        </w:rPr>
        <w:t>C</w:t>
      </w:r>
      <w:r w:rsidR="00F57D9D" w:rsidRPr="00CE2185">
        <w:rPr>
          <w:noProof/>
        </w:rPr>
        <w:t>loser collaboration between ENISA and the Member States</w:t>
      </w:r>
      <w:r w:rsidR="00D26558" w:rsidRPr="00CE2185">
        <w:rPr>
          <w:noProof/>
        </w:rPr>
        <w:t xml:space="preserve"> would enhance</w:t>
      </w:r>
      <w:r w:rsidR="00F57D9D" w:rsidRPr="00CE2185">
        <w:rPr>
          <w:noProof/>
        </w:rPr>
        <w:t xml:space="preserve"> the collective cybersecurity posture. </w:t>
      </w:r>
      <w:r w:rsidR="00766BAA" w:rsidRPr="00CE2185">
        <w:rPr>
          <w:noProof/>
        </w:rPr>
        <w:t xml:space="preserve"> Based on the quantitative estimates provided under A2, it can be assumed that the reduced impacts of incidents would also apply here and be higher, ranging from </w:t>
      </w:r>
      <w:r w:rsidR="00766BAA" w:rsidRPr="00CE2185">
        <w:rPr>
          <w:b/>
          <w:bCs/>
          <w:noProof/>
        </w:rPr>
        <w:t>EUR 3.7 to 4.4 bn over five years</w:t>
      </w:r>
      <w:r w:rsidR="00766BAA" w:rsidRPr="00CE2185">
        <w:rPr>
          <w:noProof/>
        </w:rPr>
        <w:t xml:space="preserve">. </w:t>
      </w:r>
    </w:p>
    <w:p w14:paraId="27A170E8" w14:textId="77777777" w:rsidR="00766BAA" w:rsidRPr="00CE2185" w:rsidRDefault="00766BAA" w:rsidP="00795DF0">
      <w:pPr>
        <w:spacing w:after="120"/>
        <w:rPr>
          <w:noProof/>
        </w:rPr>
      </w:pPr>
    </w:p>
    <w:p w14:paraId="060074C5" w14:textId="30604967" w:rsidR="00F35F35" w:rsidRPr="00CE2185" w:rsidRDefault="00F35F35" w:rsidP="000425C4">
      <w:pPr>
        <w:pStyle w:val="Heading7"/>
        <w:rPr>
          <w:noProof/>
        </w:rPr>
      </w:pPr>
      <w:bookmarkStart w:id="103" w:name="_Toc218767766"/>
      <w:r w:rsidRPr="00CE2185">
        <w:rPr>
          <w:noProof/>
        </w:rPr>
        <w:t xml:space="preserve">Table </w:t>
      </w:r>
      <w:r w:rsidR="001D0451" w:rsidRPr="00CE2185">
        <w:rPr>
          <w:noProof/>
        </w:rPr>
        <w:t>4</w:t>
      </w:r>
      <w:r w:rsidR="00850102">
        <w:rPr>
          <w:noProof/>
        </w:rPr>
        <w:t>:</w:t>
      </w:r>
      <w:r w:rsidRPr="00CE2185">
        <w:rPr>
          <w:noProof/>
        </w:rPr>
        <w:t xml:space="preserve"> Benefits of policy options A (ENISA mandate)</w:t>
      </w:r>
      <w:bookmarkEnd w:id="103"/>
    </w:p>
    <w:tbl>
      <w:tblPr>
        <w:tblStyle w:val="TableGrid"/>
        <w:tblW w:w="0" w:type="auto"/>
        <w:tblLook w:val="04A0" w:firstRow="1" w:lastRow="0" w:firstColumn="1" w:lastColumn="0" w:noHBand="0" w:noVBand="1"/>
      </w:tblPr>
      <w:tblGrid>
        <w:gridCol w:w="1359"/>
        <w:gridCol w:w="2168"/>
        <w:gridCol w:w="2432"/>
        <w:gridCol w:w="2904"/>
      </w:tblGrid>
      <w:tr w:rsidR="008F1737" w:rsidRPr="00CE2185" w14:paraId="66789350" w14:textId="77777777" w:rsidTr="00416674">
        <w:tc>
          <w:tcPr>
            <w:tcW w:w="1384" w:type="dxa"/>
            <w:vMerge w:val="restart"/>
            <w:shd w:val="clear" w:color="auto" w:fill="DAEEF3" w:themeFill="accent5" w:themeFillTint="33"/>
            <w:vAlign w:val="center"/>
          </w:tcPr>
          <w:p w14:paraId="28FFEF48" w14:textId="2275128D" w:rsidR="008F1737" w:rsidRPr="00CE2185" w:rsidRDefault="008F1737" w:rsidP="00347F4B">
            <w:pPr>
              <w:spacing w:after="0"/>
              <w:jc w:val="center"/>
              <w:rPr>
                <w:noProof/>
                <w:sz w:val="16"/>
                <w:szCs w:val="16"/>
              </w:rPr>
            </w:pPr>
            <w:r w:rsidRPr="00CE2185">
              <w:rPr>
                <w:b/>
                <w:bCs/>
                <w:noProof/>
                <w:sz w:val="16"/>
                <w:szCs w:val="16"/>
              </w:rPr>
              <w:t>Benefits</w:t>
            </w:r>
          </w:p>
        </w:tc>
        <w:tc>
          <w:tcPr>
            <w:tcW w:w="7902" w:type="dxa"/>
            <w:gridSpan w:val="3"/>
            <w:shd w:val="clear" w:color="auto" w:fill="B7CFED"/>
            <w:vAlign w:val="center"/>
          </w:tcPr>
          <w:p w14:paraId="7D8B5CEB" w14:textId="77777777" w:rsidR="008F1737" w:rsidRPr="00CE2185" w:rsidRDefault="008F1737" w:rsidP="00347F4B">
            <w:pPr>
              <w:spacing w:after="0"/>
              <w:jc w:val="center"/>
              <w:rPr>
                <w:noProof/>
                <w:sz w:val="16"/>
                <w:szCs w:val="16"/>
              </w:rPr>
            </w:pPr>
            <w:r w:rsidRPr="00CE2185">
              <w:rPr>
                <w:b/>
                <w:bCs/>
                <w:noProof/>
                <w:sz w:val="16"/>
                <w:szCs w:val="16"/>
              </w:rPr>
              <w:t>Policy options [ENISA mandate]</w:t>
            </w:r>
          </w:p>
        </w:tc>
      </w:tr>
      <w:tr w:rsidR="008F1737" w:rsidRPr="00CE2185" w14:paraId="02A85024" w14:textId="77777777" w:rsidTr="00416674">
        <w:tc>
          <w:tcPr>
            <w:tcW w:w="1384" w:type="dxa"/>
            <w:vMerge/>
            <w:vAlign w:val="center"/>
          </w:tcPr>
          <w:p w14:paraId="3AB84C4A" w14:textId="77777777" w:rsidR="008F1737" w:rsidRPr="00CE2185" w:rsidRDefault="008F1737" w:rsidP="00347F4B">
            <w:pPr>
              <w:spacing w:after="0"/>
              <w:jc w:val="center"/>
              <w:rPr>
                <w:noProof/>
                <w:sz w:val="16"/>
                <w:szCs w:val="16"/>
              </w:rPr>
            </w:pPr>
          </w:p>
        </w:tc>
        <w:tc>
          <w:tcPr>
            <w:tcW w:w="2268" w:type="dxa"/>
            <w:shd w:val="clear" w:color="auto" w:fill="E1EBF7"/>
            <w:vAlign w:val="center"/>
          </w:tcPr>
          <w:p w14:paraId="4B537FC2" w14:textId="77777777" w:rsidR="008F1737" w:rsidRPr="00CE2185" w:rsidRDefault="008F1737" w:rsidP="00347F4B">
            <w:pPr>
              <w:spacing w:after="0"/>
              <w:jc w:val="center"/>
              <w:rPr>
                <w:b/>
                <w:bCs/>
                <w:noProof/>
                <w:sz w:val="16"/>
                <w:szCs w:val="16"/>
              </w:rPr>
            </w:pPr>
            <w:r w:rsidRPr="00CE2185">
              <w:rPr>
                <w:b/>
                <w:bCs/>
                <w:noProof/>
                <w:sz w:val="16"/>
                <w:szCs w:val="16"/>
              </w:rPr>
              <w:t>A1</w:t>
            </w:r>
          </w:p>
        </w:tc>
        <w:tc>
          <w:tcPr>
            <w:tcW w:w="2552" w:type="dxa"/>
            <w:shd w:val="clear" w:color="auto" w:fill="E1EBF7"/>
            <w:vAlign w:val="center"/>
          </w:tcPr>
          <w:p w14:paraId="5D591D40" w14:textId="77777777" w:rsidR="008F1737" w:rsidRPr="00CE2185" w:rsidRDefault="008F1737" w:rsidP="00347F4B">
            <w:pPr>
              <w:spacing w:after="0"/>
              <w:jc w:val="center"/>
              <w:rPr>
                <w:b/>
                <w:bCs/>
                <w:noProof/>
                <w:sz w:val="16"/>
                <w:szCs w:val="16"/>
              </w:rPr>
            </w:pPr>
            <w:r w:rsidRPr="00CE2185">
              <w:rPr>
                <w:b/>
                <w:bCs/>
                <w:noProof/>
                <w:sz w:val="16"/>
                <w:szCs w:val="16"/>
              </w:rPr>
              <w:t>A2</w:t>
            </w:r>
          </w:p>
        </w:tc>
        <w:tc>
          <w:tcPr>
            <w:tcW w:w="3082" w:type="dxa"/>
            <w:shd w:val="clear" w:color="auto" w:fill="E1EBF7"/>
            <w:vAlign w:val="center"/>
          </w:tcPr>
          <w:p w14:paraId="3EC4100B" w14:textId="77777777" w:rsidR="008F1737" w:rsidRPr="00CE2185" w:rsidRDefault="008F1737" w:rsidP="00347F4B">
            <w:pPr>
              <w:spacing w:after="0"/>
              <w:jc w:val="center"/>
              <w:rPr>
                <w:b/>
                <w:bCs/>
                <w:noProof/>
                <w:sz w:val="16"/>
                <w:szCs w:val="16"/>
              </w:rPr>
            </w:pPr>
            <w:r w:rsidRPr="00CE2185">
              <w:rPr>
                <w:b/>
                <w:bCs/>
                <w:noProof/>
                <w:sz w:val="16"/>
                <w:szCs w:val="16"/>
              </w:rPr>
              <w:t>A3</w:t>
            </w:r>
          </w:p>
        </w:tc>
      </w:tr>
      <w:tr w:rsidR="009637B3" w:rsidRPr="00CE2185" w14:paraId="5F015F4D" w14:textId="77777777" w:rsidTr="00416674">
        <w:tc>
          <w:tcPr>
            <w:tcW w:w="1384" w:type="dxa"/>
          </w:tcPr>
          <w:p w14:paraId="14281780" w14:textId="23530454" w:rsidR="009637B3" w:rsidRPr="00CE2185" w:rsidRDefault="009637B3">
            <w:pPr>
              <w:rPr>
                <w:noProof/>
                <w:sz w:val="20"/>
                <w:szCs w:val="20"/>
              </w:rPr>
            </w:pPr>
            <w:r w:rsidRPr="00CE2185">
              <w:rPr>
                <w:noProof/>
                <w:sz w:val="20"/>
                <w:szCs w:val="20"/>
              </w:rPr>
              <w:t>Citizens</w:t>
            </w:r>
          </w:p>
        </w:tc>
        <w:tc>
          <w:tcPr>
            <w:tcW w:w="2268" w:type="dxa"/>
          </w:tcPr>
          <w:p w14:paraId="611A381B" w14:textId="3C4FBB06" w:rsidR="009637B3" w:rsidRPr="00CE2185" w:rsidRDefault="002236FA" w:rsidP="00B17D2C">
            <w:pPr>
              <w:spacing w:after="0"/>
              <w:jc w:val="left"/>
              <w:rPr>
                <w:noProof/>
                <w:sz w:val="20"/>
                <w:szCs w:val="20"/>
              </w:rPr>
            </w:pPr>
            <w:r w:rsidRPr="00CE2185">
              <w:rPr>
                <w:noProof/>
                <w:sz w:val="20"/>
                <w:szCs w:val="20"/>
              </w:rPr>
              <w:t>Neutral</w:t>
            </w:r>
            <w:r w:rsidR="00B17D2C" w:rsidRPr="00CE2185">
              <w:rPr>
                <w:noProof/>
                <w:sz w:val="20"/>
                <w:szCs w:val="20"/>
              </w:rPr>
              <w:t xml:space="preserve"> </w:t>
            </w:r>
          </w:p>
        </w:tc>
        <w:tc>
          <w:tcPr>
            <w:tcW w:w="2552" w:type="dxa"/>
          </w:tcPr>
          <w:p w14:paraId="3B651BD2" w14:textId="58D64D21" w:rsidR="00417A1A" w:rsidRPr="00CE2185" w:rsidRDefault="00417A1A" w:rsidP="00417A1A">
            <w:pPr>
              <w:spacing w:after="0"/>
              <w:rPr>
                <w:noProof/>
                <w:sz w:val="20"/>
                <w:szCs w:val="20"/>
              </w:rPr>
            </w:pPr>
            <w:r w:rsidRPr="00CE2185">
              <w:rPr>
                <w:noProof/>
                <w:sz w:val="20"/>
                <w:szCs w:val="20"/>
              </w:rPr>
              <w:t>&gt; A1</w:t>
            </w:r>
          </w:p>
          <w:p w14:paraId="4228BBEF" w14:textId="6EDE379F" w:rsidR="009637B3" w:rsidRPr="00CE2185" w:rsidRDefault="002236FA" w:rsidP="00EE3DF9">
            <w:pPr>
              <w:pStyle w:val="ListParagraph"/>
              <w:numPr>
                <w:ilvl w:val="0"/>
                <w:numId w:val="27"/>
              </w:numPr>
              <w:spacing w:after="0"/>
              <w:rPr>
                <w:noProof/>
                <w:sz w:val="20"/>
                <w:szCs w:val="20"/>
              </w:rPr>
            </w:pPr>
            <w:r w:rsidRPr="00CE2185">
              <w:rPr>
                <w:noProof/>
                <w:sz w:val="20"/>
                <w:szCs w:val="20"/>
              </w:rPr>
              <w:t xml:space="preserve">Indirectly benefit </w:t>
            </w:r>
            <w:r w:rsidR="00DF7D20" w:rsidRPr="00CE2185">
              <w:rPr>
                <w:noProof/>
                <w:sz w:val="20"/>
                <w:szCs w:val="20"/>
              </w:rPr>
              <w:t>of enhanced</w:t>
            </w:r>
            <w:r w:rsidRPr="00CE2185">
              <w:rPr>
                <w:noProof/>
                <w:sz w:val="20"/>
                <w:szCs w:val="20"/>
              </w:rPr>
              <w:t xml:space="preserve"> cyber posture</w:t>
            </w:r>
          </w:p>
          <w:p w14:paraId="03C05C17" w14:textId="5887244C" w:rsidR="009637B3" w:rsidRPr="00CE2185" w:rsidRDefault="00DA7E84" w:rsidP="00EE3DF9">
            <w:pPr>
              <w:pStyle w:val="ListParagraph"/>
              <w:numPr>
                <w:ilvl w:val="0"/>
                <w:numId w:val="27"/>
              </w:numPr>
              <w:spacing w:after="0"/>
              <w:rPr>
                <w:noProof/>
                <w:sz w:val="20"/>
                <w:szCs w:val="20"/>
              </w:rPr>
            </w:pPr>
            <w:r w:rsidRPr="00CE2185">
              <w:rPr>
                <w:noProof/>
                <w:sz w:val="20"/>
                <w:szCs w:val="20"/>
              </w:rPr>
              <w:t>Better visibility on the labour market</w:t>
            </w:r>
            <w:r w:rsidR="00DF7D20" w:rsidRPr="00CE2185">
              <w:rPr>
                <w:noProof/>
                <w:sz w:val="20"/>
                <w:szCs w:val="20"/>
              </w:rPr>
              <w:t xml:space="preserve"> for </w:t>
            </w:r>
            <w:r w:rsidR="005849D4" w:rsidRPr="00CE2185">
              <w:rPr>
                <w:noProof/>
                <w:sz w:val="20"/>
                <w:szCs w:val="20"/>
              </w:rPr>
              <w:t>cybersecurity</w:t>
            </w:r>
            <w:r w:rsidR="00DF7D20" w:rsidRPr="00CE2185">
              <w:rPr>
                <w:noProof/>
                <w:sz w:val="20"/>
                <w:szCs w:val="20"/>
              </w:rPr>
              <w:t xml:space="preserve"> professionals</w:t>
            </w:r>
            <w:r w:rsidR="00E80284" w:rsidRPr="00CE2185">
              <w:rPr>
                <w:noProof/>
                <w:sz w:val="20"/>
                <w:szCs w:val="20"/>
              </w:rPr>
              <w:t>, increased career advancements, better wages</w:t>
            </w:r>
          </w:p>
          <w:p w14:paraId="6A653BF0" w14:textId="5F636871" w:rsidR="009637B3" w:rsidRPr="00CE2185" w:rsidRDefault="00162E38" w:rsidP="00EE3DF9">
            <w:pPr>
              <w:pStyle w:val="ListParagraph"/>
              <w:numPr>
                <w:ilvl w:val="0"/>
                <w:numId w:val="27"/>
              </w:numPr>
              <w:spacing w:after="0"/>
              <w:jc w:val="left"/>
              <w:rPr>
                <w:noProof/>
                <w:sz w:val="20"/>
                <w:szCs w:val="20"/>
              </w:rPr>
            </w:pPr>
            <w:r w:rsidRPr="00CE2185">
              <w:rPr>
                <w:noProof/>
                <w:sz w:val="20"/>
                <w:szCs w:val="20"/>
              </w:rPr>
              <w:t>Enhanced s</w:t>
            </w:r>
            <w:r w:rsidR="00DA7E84" w:rsidRPr="00CE2185">
              <w:rPr>
                <w:noProof/>
                <w:sz w:val="20"/>
                <w:szCs w:val="20"/>
              </w:rPr>
              <w:t>kills portability</w:t>
            </w:r>
            <w:r w:rsidR="00DF7D20" w:rsidRPr="00CE2185">
              <w:rPr>
                <w:noProof/>
                <w:sz w:val="20"/>
                <w:szCs w:val="20"/>
              </w:rPr>
              <w:t xml:space="preserve"> </w:t>
            </w:r>
          </w:p>
          <w:p w14:paraId="45E73CE6" w14:textId="3F52E1C6" w:rsidR="009637B3" w:rsidRPr="00CE2185" w:rsidRDefault="00B41D8E" w:rsidP="00EE3DF9">
            <w:pPr>
              <w:pStyle w:val="ListParagraph"/>
              <w:numPr>
                <w:ilvl w:val="0"/>
                <w:numId w:val="27"/>
              </w:numPr>
              <w:spacing w:after="0"/>
              <w:rPr>
                <w:noProof/>
                <w:sz w:val="20"/>
                <w:szCs w:val="20"/>
              </w:rPr>
            </w:pPr>
            <w:r w:rsidRPr="00CE2185">
              <w:rPr>
                <w:noProof/>
                <w:sz w:val="20"/>
                <w:szCs w:val="20"/>
                <w:lang w:val="fr-BE"/>
              </w:rPr>
              <w:t>Attestation cost</w:t>
            </w:r>
            <w:r w:rsidRPr="00CE2185">
              <w:rPr>
                <w:noProof/>
                <w:sz w:val="20"/>
                <w:szCs w:val="20"/>
                <w:u w:val="single"/>
                <w:lang w:val="fr-BE"/>
              </w:rPr>
              <w:t xml:space="preserve"> per attestation</w:t>
            </w:r>
            <w:r w:rsidRPr="00CE2185">
              <w:rPr>
                <w:noProof/>
                <w:sz w:val="20"/>
                <w:szCs w:val="20"/>
                <w:lang w:val="fr-BE"/>
              </w:rPr>
              <w:t>: ~EUR 300–350 (public) vs. ~EUR 677 (private)</w:t>
            </w:r>
          </w:p>
        </w:tc>
        <w:tc>
          <w:tcPr>
            <w:tcW w:w="3082" w:type="dxa"/>
          </w:tcPr>
          <w:p w14:paraId="53181C45" w14:textId="6BE27DB6" w:rsidR="009637B3" w:rsidRPr="00CE2185" w:rsidRDefault="002236FA" w:rsidP="00347F4B">
            <w:pPr>
              <w:spacing w:after="0"/>
              <w:rPr>
                <w:noProof/>
                <w:sz w:val="20"/>
                <w:szCs w:val="20"/>
              </w:rPr>
            </w:pPr>
            <w:r w:rsidRPr="00CE2185">
              <w:rPr>
                <w:noProof/>
                <w:sz w:val="20"/>
                <w:szCs w:val="20"/>
              </w:rPr>
              <w:t>Indirectly benefit from improved cyber posture</w:t>
            </w:r>
            <w:r w:rsidR="00DF7D20" w:rsidRPr="00CE2185">
              <w:rPr>
                <w:noProof/>
                <w:sz w:val="20"/>
                <w:szCs w:val="20"/>
              </w:rPr>
              <w:t xml:space="preserve"> &gt;A2 </w:t>
            </w:r>
          </w:p>
        </w:tc>
      </w:tr>
      <w:tr w:rsidR="008F1737" w:rsidRPr="00CE2185" w14:paraId="029A4EAA" w14:textId="77777777" w:rsidTr="00416674">
        <w:tc>
          <w:tcPr>
            <w:tcW w:w="1384" w:type="dxa"/>
          </w:tcPr>
          <w:p w14:paraId="0E1715E6" w14:textId="0D4D6739" w:rsidR="008F1737" w:rsidRPr="00CE2185" w:rsidRDefault="008F1737">
            <w:pPr>
              <w:rPr>
                <w:noProof/>
                <w:sz w:val="20"/>
                <w:szCs w:val="20"/>
              </w:rPr>
            </w:pPr>
            <w:r w:rsidRPr="00CE2185">
              <w:rPr>
                <w:noProof/>
                <w:sz w:val="20"/>
                <w:szCs w:val="20"/>
              </w:rPr>
              <w:t>Businesses</w:t>
            </w:r>
          </w:p>
        </w:tc>
        <w:tc>
          <w:tcPr>
            <w:tcW w:w="2268" w:type="dxa"/>
          </w:tcPr>
          <w:p w14:paraId="26AFE177" w14:textId="5B857352" w:rsidR="008F1737" w:rsidRPr="00CE2185" w:rsidRDefault="004B50A5" w:rsidP="00B17D2C">
            <w:pPr>
              <w:spacing w:after="0"/>
              <w:jc w:val="left"/>
              <w:rPr>
                <w:noProof/>
                <w:sz w:val="20"/>
                <w:szCs w:val="20"/>
              </w:rPr>
            </w:pPr>
            <w:r w:rsidRPr="00CE2185">
              <w:rPr>
                <w:noProof/>
                <w:sz w:val="20"/>
                <w:szCs w:val="20"/>
              </w:rPr>
              <w:t>Some c</w:t>
            </w:r>
            <w:r w:rsidR="00F815CA" w:rsidRPr="00CE2185">
              <w:rPr>
                <w:noProof/>
                <w:sz w:val="20"/>
                <w:szCs w:val="20"/>
              </w:rPr>
              <w:t>ost savings</w:t>
            </w:r>
            <w:r w:rsidR="00B17D2C" w:rsidRPr="00CE2185">
              <w:rPr>
                <w:noProof/>
                <w:sz w:val="20"/>
                <w:szCs w:val="20"/>
              </w:rPr>
              <w:t xml:space="preserve"> </w:t>
            </w:r>
            <w:r w:rsidR="002903DD" w:rsidRPr="00CE2185">
              <w:rPr>
                <w:noProof/>
                <w:sz w:val="20"/>
                <w:szCs w:val="20"/>
              </w:rPr>
              <w:t>rel</w:t>
            </w:r>
            <w:r w:rsidR="00A84984" w:rsidRPr="00CE2185">
              <w:rPr>
                <w:noProof/>
                <w:sz w:val="20"/>
                <w:szCs w:val="20"/>
              </w:rPr>
              <w:t>a</w:t>
            </w:r>
            <w:r w:rsidR="002903DD" w:rsidRPr="00CE2185">
              <w:rPr>
                <w:noProof/>
                <w:sz w:val="20"/>
                <w:szCs w:val="20"/>
              </w:rPr>
              <w:t>ted to cyber incidents</w:t>
            </w:r>
          </w:p>
        </w:tc>
        <w:tc>
          <w:tcPr>
            <w:tcW w:w="2552" w:type="dxa"/>
          </w:tcPr>
          <w:p w14:paraId="43A615FD" w14:textId="3886EF58" w:rsidR="008F1737" w:rsidRPr="00CE2185" w:rsidRDefault="007B7780" w:rsidP="00EE3DF9">
            <w:pPr>
              <w:pStyle w:val="ListParagraph"/>
              <w:numPr>
                <w:ilvl w:val="0"/>
                <w:numId w:val="37"/>
              </w:numPr>
              <w:spacing w:after="0"/>
              <w:rPr>
                <w:noProof/>
                <w:sz w:val="20"/>
                <w:szCs w:val="20"/>
              </w:rPr>
            </w:pPr>
            <w:r w:rsidRPr="00CE2185">
              <w:rPr>
                <w:noProof/>
                <w:sz w:val="20"/>
                <w:szCs w:val="20"/>
              </w:rPr>
              <w:t>Substantial b</w:t>
            </w:r>
            <w:r w:rsidR="00F815CA" w:rsidRPr="00CE2185">
              <w:rPr>
                <w:noProof/>
                <w:sz w:val="20"/>
                <w:szCs w:val="20"/>
              </w:rPr>
              <w:t xml:space="preserve">enefits from reduced </w:t>
            </w:r>
            <w:r w:rsidR="00B17D2C" w:rsidRPr="00CE2185">
              <w:rPr>
                <w:noProof/>
                <w:sz w:val="20"/>
                <w:szCs w:val="20"/>
              </w:rPr>
              <w:t>impacts</w:t>
            </w:r>
            <w:r w:rsidR="00F815CA" w:rsidRPr="00CE2185">
              <w:rPr>
                <w:noProof/>
                <w:sz w:val="20"/>
                <w:szCs w:val="20"/>
              </w:rPr>
              <w:t xml:space="preserve"> of incidents</w:t>
            </w:r>
            <w:r w:rsidR="00766BAA" w:rsidRPr="00CE2185">
              <w:rPr>
                <w:noProof/>
                <w:sz w:val="20"/>
                <w:szCs w:val="20"/>
              </w:rPr>
              <w:t xml:space="preserve">, that could range from </w:t>
            </w:r>
            <w:r w:rsidR="008F393D" w:rsidRPr="00CE2185">
              <w:rPr>
                <w:b/>
                <w:bCs/>
                <w:noProof/>
                <w:sz w:val="20"/>
                <w:szCs w:val="20"/>
              </w:rPr>
              <w:t>EUR</w:t>
            </w:r>
            <w:r w:rsidR="008F393D" w:rsidRPr="00CE2185">
              <w:rPr>
                <w:noProof/>
                <w:sz w:val="20"/>
                <w:szCs w:val="20"/>
              </w:rPr>
              <w:t xml:space="preserve"> </w:t>
            </w:r>
            <w:r w:rsidR="00766BAA" w:rsidRPr="00CE2185">
              <w:rPr>
                <w:b/>
                <w:bCs/>
                <w:noProof/>
                <w:sz w:val="20"/>
                <w:szCs w:val="20"/>
              </w:rPr>
              <w:t>3.7 to 4.4 bn over five years</w:t>
            </w:r>
            <w:r w:rsidR="00417A1A" w:rsidRPr="00CE2185">
              <w:rPr>
                <w:noProof/>
                <w:sz w:val="20"/>
                <w:szCs w:val="20"/>
              </w:rPr>
              <w:t xml:space="preserve"> &gt; A1</w:t>
            </w:r>
          </w:p>
          <w:p w14:paraId="02AAF065" w14:textId="55F3FCEA" w:rsidR="008F1737" w:rsidRPr="00CE2185" w:rsidRDefault="00ED08C2" w:rsidP="00EE3DF9">
            <w:pPr>
              <w:pStyle w:val="ListParagraph"/>
              <w:numPr>
                <w:ilvl w:val="0"/>
                <w:numId w:val="37"/>
              </w:numPr>
              <w:spacing w:after="0"/>
              <w:rPr>
                <w:noProof/>
                <w:sz w:val="20"/>
                <w:szCs w:val="20"/>
              </w:rPr>
            </w:pPr>
            <w:r w:rsidRPr="00CE2185">
              <w:rPr>
                <w:noProof/>
                <w:sz w:val="20"/>
                <w:szCs w:val="20"/>
              </w:rPr>
              <w:t xml:space="preserve">Reputation of skills attestation </w:t>
            </w:r>
            <w:r w:rsidR="00F35D24" w:rsidRPr="00CE2185">
              <w:rPr>
                <w:noProof/>
                <w:sz w:val="20"/>
                <w:szCs w:val="20"/>
              </w:rPr>
              <w:t>providers</w:t>
            </w:r>
          </w:p>
          <w:p w14:paraId="44695298" w14:textId="39D58F88" w:rsidR="008F1737" w:rsidRPr="00CE2185" w:rsidRDefault="00646E9D" w:rsidP="00EE3DF9">
            <w:pPr>
              <w:pStyle w:val="ListParagraph"/>
              <w:numPr>
                <w:ilvl w:val="0"/>
                <w:numId w:val="37"/>
              </w:numPr>
              <w:spacing w:after="0"/>
              <w:rPr>
                <w:noProof/>
                <w:sz w:val="20"/>
                <w:szCs w:val="20"/>
              </w:rPr>
            </w:pPr>
            <w:r w:rsidRPr="00CE2185">
              <w:rPr>
                <w:noProof/>
                <w:sz w:val="20"/>
                <w:szCs w:val="20"/>
              </w:rPr>
              <w:t xml:space="preserve">Access to the </w:t>
            </w:r>
            <w:r w:rsidR="00F35D24" w:rsidRPr="00CE2185">
              <w:rPr>
                <w:noProof/>
                <w:sz w:val="20"/>
                <w:szCs w:val="20"/>
              </w:rPr>
              <w:t xml:space="preserve">cybersecurity skills </w:t>
            </w:r>
            <w:r w:rsidRPr="00CE2185">
              <w:rPr>
                <w:noProof/>
                <w:sz w:val="20"/>
                <w:szCs w:val="20"/>
              </w:rPr>
              <w:t>market (especially SMEs)</w:t>
            </w:r>
          </w:p>
        </w:tc>
        <w:tc>
          <w:tcPr>
            <w:tcW w:w="3082" w:type="dxa"/>
          </w:tcPr>
          <w:p w14:paraId="73B938AB" w14:textId="18702457" w:rsidR="00DF7D20" w:rsidRPr="00CE2185" w:rsidRDefault="007B7780" w:rsidP="00DF7D20">
            <w:pPr>
              <w:spacing w:after="0"/>
              <w:rPr>
                <w:noProof/>
                <w:sz w:val="20"/>
                <w:szCs w:val="20"/>
              </w:rPr>
            </w:pPr>
            <w:r w:rsidRPr="00CE2185">
              <w:rPr>
                <w:noProof/>
                <w:sz w:val="20"/>
                <w:szCs w:val="20"/>
              </w:rPr>
              <w:t xml:space="preserve">Substantial benefits from reduced </w:t>
            </w:r>
            <w:r w:rsidR="00C3205B" w:rsidRPr="00CE2185">
              <w:rPr>
                <w:noProof/>
                <w:sz w:val="20"/>
                <w:szCs w:val="20"/>
              </w:rPr>
              <w:t>impacts</w:t>
            </w:r>
            <w:r w:rsidRPr="00CE2185">
              <w:rPr>
                <w:noProof/>
                <w:sz w:val="20"/>
                <w:szCs w:val="20"/>
              </w:rPr>
              <w:t xml:space="preserve"> of incidents</w:t>
            </w:r>
            <w:r w:rsidR="00C3205B" w:rsidRPr="00CE2185">
              <w:rPr>
                <w:noProof/>
                <w:sz w:val="20"/>
                <w:szCs w:val="20"/>
              </w:rPr>
              <w:t xml:space="preserve">, that could range from </w:t>
            </w:r>
            <w:r w:rsidR="00C3205B" w:rsidRPr="00CE2185">
              <w:rPr>
                <w:b/>
                <w:bCs/>
                <w:noProof/>
                <w:sz w:val="20"/>
                <w:szCs w:val="20"/>
              </w:rPr>
              <w:t>EUR</w:t>
            </w:r>
            <w:r w:rsidR="00C3205B" w:rsidRPr="00CE2185">
              <w:rPr>
                <w:noProof/>
                <w:sz w:val="20"/>
                <w:szCs w:val="20"/>
              </w:rPr>
              <w:t xml:space="preserve"> </w:t>
            </w:r>
            <w:r w:rsidR="00C3205B" w:rsidRPr="00CE2185">
              <w:rPr>
                <w:b/>
                <w:bCs/>
                <w:noProof/>
                <w:sz w:val="20"/>
                <w:szCs w:val="20"/>
              </w:rPr>
              <w:t>3.7 to 4.4 bn over five years</w:t>
            </w:r>
            <w:r w:rsidR="00DF7D20" w:rsidRPr="00CE2185">
              <w:rPr>
                <w:noProof/>
                <w:sz w:val="20"/>
                <w:szCs w:val="20"/>
              </w:rPr>
              <w:t xml:space="preserve"> &gt;A2 </w:t>
            </w:r>
          </w:p>
          <w:p w14:paraId="17926C2F" w14:textId="04EF8475" w:rsidR="008F1737" w:rsidRPr="00CE2185" w:rsidRDefault="008F1737" w:rsidP="00347F4B">
            <w:pPr>
              <w:spacing w:after="0"/>
              <w:rPr>
                <w:noProof/>
                <w:sz w:val="20"/>
                <w:szCs w:val="20"/>
              </w:rPr>
            </w:pPr>
          </w:p>
        </w:tc>
      </w:tr>
      <w:tr w:rsidR="008F1737" w:rsidRPr="00CE2185" w14:paraId="16561150" w14:textId="77777777" w:rsidTr="00416674">
        <w:tc>
          <w:tcPr>
            <w:tcW w:w="1384" w:type="dxa"/>
          </w:tcPr>
          <w:p w14:paraId="4C6A985A" w14:textId="6DCE9E7B" w:rsidR="008F1737" w:rsidRPr="00CE2185" w:rsidRDefault="00143134">
            <w:pPr>
              <w:rPr>
                <w:noProof/>
                <w:sz w:val="20"/>
                <w:szCs w:val="20"/>
              </w:rPr>
            </w:pPr>
            <w:r w:rsidRPr="00CE2185">
              <w:rPr>
                <w:noProof/>
                <w:sz w:val="20"/>
                <w:szCs w:val="20"/>
              </w:rPr>
              <w:t>Public authorities</w:t>
            </w:r>
          </w:p>
        </w:tc>
        <w:tc>
          <w:tcPr>
            <w:tcW w:w="2268" w:type="dxa"/>
          </w:tcPr>
          <w:p w14:paraId="3063A1B8" w14:textId="245E5D8A" w:rsidR="008F1737" w:rsidRPr="00CE2185" w:rsidRDefault="007B7780" w:rsidP="00B17D2C">
            <w:pPr>
              <w:spacing w:after="0"/>
              <w:jc w:val="left"/>
              <w:rPr>
                <w:noProof/>
                <w:sz w:val="20"/>
                <w:szCs w:val="20"/>
              </w:rPr>
            </w:pPr>
            <w:r w:rsidRPr="00CE2185">
              <w:rPr>
                <w:noProof/>
                <w:sz w:val="20"/>
                <w:szCs w:val="20"/>
              </w:rPr>
              <w:t>Reduces administrative overhead</w:t>
            </w:r>
          </w:p>
        </w:tc>
        <w:tc>
          <w:tcPr>
            <w:tcW w:w="2552" w:type="dxa"/>
          </w:tcPr>
          <w:p w14:paraId="0922D40A" w14:textId="77777777" w:rsidR="008F1737" w:rsidRPr="00CE2185" w:rsidRDefault="007B7780" w:rsidP="00EE3DF9">
            <w:pPr>
              <w:pStyle w:val="ListParagraph"/>
              <w:numPr>
                <w:ilvl w:val="0"/>
                <w:numId w:val="36"/>
              </w:numPr>
              <w:spacing w:after="0"/>
              <w:rPr>
                <w:noProof/>
                <w:sz w:val="20"/>
                <w:szCs w:val="20"/>
              </w:rPr>
            </w:pPr>
            <w:r w:rsidRPr="00CE2185">
              <w:rPr>
                <w:noProof/>
                <w:sz w:val="20"/>
                <w:szCs w:val="20"/>
              </w:rPr>
              <w:t xml:space="preserve">Substantial benefits from reduced </w:t>
            </w:r>
            <w:r w:rsidR="00B17D2C" w:rsidRPr="00CE2185">
              <w:rPr>
                <w:noProof/>
                <w:sz w:val="20"/>
                <w:szCs w:val="20"/>
              </w:rPr>
              <w:t>impacts</w:t>
            </w:r>
            <w:r w:rsidRPr="00CE2185">
              <w:rPr>
                <w:noProof/>
                <w:sz w:val="20"/>
                <w:szCs w:val="20"/>
              </w:rPr>
              <w:t xml:space="preserve"> of incidents</w:t>
            </w:r>
            <w:r w:rsidR="00766BAA" w:rsidRPr="00CE2185">
              <w:rPr>
                <w:noProof/>
                <w:sz w:val="20"/>
                <w:szCs w:val="20"/>
              </w:rPr>
              <w:t xml:space="preserve">, that could range from </w:t>
            </w:r>
            <w:r w:rsidR="008F393D" w:rsidRPr="00CE2185">
              <w:rPr>
                <w:b/>
                <w:bCs/>
                <w:noProof/>
                <w:sz w:val="20"/>
                <w:szCs w:val="20"/>
              </w:rPr>
              <w:t>EUR</w:t>
            </w:r>
            <w:r w:rsidR="008F393D" w:rsidRPr="00CE2185">
              <w:rPr>
                <w:noProof/>
                <w:sz w:val="20"/>
                <w:szCs w:val="20"/>
              </w:rPr>
              <w:t xml:space="preserve"> </w:t>
            </w:r>
            <w:r w:rsidR="00766BAA" w:rsidRPr="00CE2185">
              <w:rPr>
                <w:b/>
                <w:bCs/>
                <w:noProof/>
                <w:sz w:val="20"/>
                <w:szCs w:val="20"/>
              </w:rPr>
              <w:t>3.7 to 4.4 bn over five years</w:t>
            </w:r>
            <w:r w:rsidR="00417A1A" w:rsidRPr="00CE2185">
              <w:rPr>
                <w:noProof/>
                <w:sz w:val="20"/>
                <w:szCs w:val="20"/>
              </w:rPr>
              <w:t xml:space="preserve"> &gt; A1</w:t>
            </w:r>
          </w:p>
          <w:p w14:paraId="793FCE55" w14:textId="4FA93B4F" w:rsidR="008F1737" w:rsidRPr="00CE2185" w:rsidRDefault="00DA7E84" w:rsidP="00EE3DF9">
            <w:pPr>
              <w:pStyle w:val="ListParagraph"/>
              <w:numPr>
                <w:ilvl w:val="0"/>
                <w:numId w:val="36"/>
              </w:numPr>
              <w:spacing w:after="0"/>
              <w:rPr>
                <w:noProof/>
                <w:sz w:val="20"/>
                <w:szCs w:val="20"/>
              </w:rPr>
            </w:pPr>
            <w:r w:rsidRPr="00CE2185">
              <w:rPr>
                <w:noProof/>
                <w:sz w:val="20"/>
                <w:szCs w:val="20"/>
              </w:rPr>
              <w:t xml:space="preserve">Cost avoidance </w:t>
            </w:r>
            <w:r w:rsidR="00443FC1" w:rsidRPr="00CE2185">
              <w:rPr>
                <w:noProof/>
                <w:sz w:val="20"/>
                <w:szCs w:val="20"/>
              </w:rPr>
              <w:t xml:space="preserve">for public authorities that are developing or envisage to develop </w:t>
            </w:r>
            <w:r w:rsidR="000621BA" w:rsidRPr="00CE2185">
              <w:rPr>
                <w:noProof/>
                <w:sz w:val="20"/>
                <w:szCs w:val="20"/>
              </w:rPr>
              <w:t>attestation schemes</w:t>
            </w:r>
            <w:r w:rsidR="00452A78" w:rsidRPr="00CE2185">
              <w:rPr>
                <w:noProof/>
                <w:sz w:val="20"/>
                <w:szCs w:val="20"/>
              </w:rPr>
              <w:t xml:space="preserve"> (</w:t>
            </w:r>
            <w:r w:rsidR="00452A78" w:rsidRPr="00CE2185">
              <w:rPr>
                <w:noProof/>
                <w:sz w:val="20"/>
                <w:szCs w:val="20"/>
                <w:u w:val="single"/>
                <w:lang w:val="en-IE"/>
              </w:rPr>
              <w:t>r</w:t>
            </w:r>
            <w:r w:rsidR="00452A78" w:rsidRPr="00CE2185">
              <w:rPr>
                <w:noProof/>
                <w:sz w:val="20"/>
                <w:szCs w:val="20"/>
                <w:lang w:val="en-IE"/>
              </w:rPr>
              <w:t>educed compliance and supervisory burden for authorities</w:t>
            </w:r>
            <w:r w:rsidR="00452A78" w:rsidRPr="00CE2185">
              <w:rPr>
                <w:noProof/>
                <w:sz w:val="20"/>
                <w:szCs w:val="20"/>
                <w:u w:val="single"/>
                <w:lang w:val="en-IE"/>
              </w:rPr>
              <w:t>)</w:t>
            </w:r>
          </w:p>
        </w:tc>
        <w:tc>
          <w:tcPr>
            <w:tcW w:w="3082" w:type="dxa"/>
          </w:tcPr>
          <w:p w14:paraId="36B22A70" w14:textId="617ABEBF" w:rsidR="00DF7D20" w:rsidRPr="00CE2185" w:rsidRDefault="007B7780" w:rsidP="00EE3DF9">
            <w:pPr>
              <w:pStyle w:val="ListParagraph"/>
              <w:numPr>
                <w:ilvl w:val="0"/>
                <w:numId w:val="26"/>
              </w:numPr>
              <w:spacing w:after="0"/>
              <w:rPr>
                <w:noProof/>
                <w:sz w:val="20"/>
                <w:szCs w:val="20"/>
              </w:rPr>
            </w:pPr>
            <w:r w:rsidRPr="00CE2185">
              <w:rPr>
                <w:noProof/>
                <w:sz w:val="20"/>
                <w:szCs w:val="20"/>
              </w:rPr>
              <w:t xml:space="preserve">Substantial benefits from reduced </w:t>
            </w:r>
            <w:r w:rsidR="00C3205B" w:rsidRPr="00CE2185">
              <w:rPr>
                <w:noProof/>
                <w:sz w:val="20"/>
                <w:szCs w:val="20"/>
              </w:rPr>
              <w:t>impacts</w:t>
            </w:r>
            <w:r w:rsidRPr="00CE2185">
              <w:rPr>
                <w:noProof/>
                <w:sz w:val="20"/>
                <w:szCs w:val="20"/>
              </w:rPr>
              <w:t xml:space="preserve"> of incidents</w:t>
            </w:r>
            <w:r w:rsidR="00C3205B" w:rsidRPr="00CE2185">
              <w:rPr>
                <w:noProof/>
                <w:sz w:val="20"/>
                <w:szCs w:val="20"/>
              </w:rPr>
              <w:t xml:space="preserve">, that could range from </w:t>
            </w:r>
            <w:r w:rsidR="00C3205B" w:rsidRPr="00CE2185">
              <w:rPr>
                <w:b/>
                <w:bCs/>
                <w:noProof/>
                <w:sz w:val="20"/>
                <w:szCs w:val="20"/>
              </w:rPr>
              <w:t>EUR</w:t>
            </w:r>
            <w:r w:rsidR="00C3205B" w:rsidRPr="00CE2185">
              <w:rPr>
                <w:noProof/>
                <w:sz w:val="20"/>
                <w:szCs w:val="20"/>
              </w:rPr>
              <w:t xml:space="preserve"> </w:t>
            </w:r>
            <w:r w:rsidR="00C3205B" w:rsidRPr="00CE2185">
              <w:rPr>
                <w:b/>
                <w:bCs/>
                <w:noProof/>
                <w:sz w:val="20"/>
                <w:szCs w:val="20"/>
              </w:rPr>
              <w:t>3.7 to 4.4 bn over five years</w:t>
            </w:r>
            <w:r w:rsidR="00367A98" w:rsidRPr="00CE2185">
              <w:rPr>
                <w:noProof/>
                <w:sz w:val="20"/>
                <w:szCs w:val="20"/>
              </w:rPr>
              <w:t xml:space="preserve"> </w:t>
            </w:r>
            <w:r w:rsidR="00DF7D20" w:rsidRPr="00CE2185">
              <w:rPr>
                <w:noProof/>
                <w:sz w:val="20"/>
                <w:szCs w:val="20"/>
              </w:rPr>
              <w:t>&gt;A2</w:t>
            </w:r>
            <w:r w:rsidR="00DF2F47" w:rsidRPr="00CE2185">
              <w:rPr>
                <w:noProof/>
                <w:sz w:val="20"/>
                <w:szCs w:val="20"/>
              </w:rPr>
              <w:t xml:space="preserve"> </w:t>
            </w:r>
          </w:p>
          <w:p w14:paraId="1FDB7F74" w14:textId="120DCE5B" w:rsidR="008F1737" w:rsidRPr="00CE2185" w:rsidRDefault="00DF2F47" w:rsidP="00EE3DF9">
            <w:pPr>
              <w:pStyle w:val="ListParagraph"/>
              <w:numPr>
                <w:ilvl w:val="0"/>
                <w:numId w:val="26"/>
              </w:numPr>
              <w:spacing w:after="0"/>
              <w:rPr>
                <w:noProof/>
                <w:sz w:val="20"/>
                <w:szCs w:val="20"/>
              </w:rPr>
            </w:pPr>
            <w:r w:rsidRPr="00CE2185">
              <w:rPr>
                <w:noProof/>
                <w:sz w:val="20"/>
                <w:szCs w:val="20"/>
              </w:rPr>
              <w:t>cost savings through direct operational support by ENISA</w:t>
            </w:r>
          </w:p>
        </w:tc>
      </w:tr>
      <w:tr w:rsidR="008F1737" w:rsidRPr="00CE2185" w14:paraId="1B3BC683" w14:textId="77777777" w:rsidTr="00416674">
        <w:trPr>
          <w:trHeight w:val="539"/>
        </w:trPr>
        <w:tc>
          <w:tcPr>
            <w:tcW w:w="1384" w:type="dxa"/>
          </w:tcPr>
          <w:p w14:paraId="3E6F09E1" w14:textId="5DF10120" w:rsidR="008F1737" w:rsidRPr="00CE2185" w:rsidRDefault="00143134">
            <w:pPr>
              <w:rPr>
                <w:noProof/>
                <w:sz w:val="20"/>
                <w:szCs w:val="20"/>
              </w:rPr>
            </w:pPr>
            <w:r w:rsidRPr="00CE2185">
              <w:rPr>
                <w:noProof/>
                <w:sz w:val="20"/>
                <w:szCs w:val="20"/>
              </w:rPr>
              <w:t xml:space="preserve">EU institutions/ ENISA </w:t>
            </w:r>
          </w:p>
        </w:tc>
        <w:tc>
          <w:tcPr>
            <w:tcW w:w="2268" w:type="dxa"/>
          </w:tcPr>
          <w:p w14:paraId="7C1935C6" w14:textId="4EEFCE65" w:rsidR="008F1737" w:rsidRPr="00CE2185" w:rsidRDefault="73C105F4" w:rsidP="00347F4B">
            <w:pPr>
              <w:spacing w:after="0"/>
              <w:rPr>
                <w:noProof/>
                <w:sz w:val="20"/>
                <w:szCs w:val="20"/>
              </w:rPr>
            </w:pPr>
            <w:r w:rsidRPr="00CE2185">
              <w:rPr>
                <w:noProof/>
                <w:sz w:val="20"/>
                <w:szCs w:val="20"/>
              </w:rPr>
              <w:t>E</w:t>
            </w:r>
            <w:r w:rsidR="53F6AF9F" w:rsidRPr="00CE2185">
              <w:rPr>
                <w:noProof/>
                <w:sz w:val="20"/>
                <w:szCs w:val="20"/>
              </w:rPr>
              <w:t>fficiency gains</w:t>
            </w:r>
          </w:p>
          <w:p w14:paraId="44DAD7C7" w14:textId="42B8FE63" w:rsidR="008F1737" w:rsidRPr="00CE2185" w:rsidRDefault="008F1737" w:rsidP="00347F4B">
            <w:pPr>
              <w:spacing w:after="0"/>
              <w:rPr>
                <w:noProof/>
                <w:sz w:val="20"/>
                <w:szCs w:val="20"/>
              </w:rPr>
            </w:pPr>
          </w:p>
        </w:tc>
        <w:tc>
          <w:tcPr>
            <w:tcW w:w="2552" w:type="dxa"/>
          </w:tcPr>
          <w:p w14:paraId="33709A91" w14:textId="70C8E61D" w:rsidR="008F1737" w:rsidRPr="00CE2185" w:rsidRDefault="007E194B" w:rsidP="00347F4B">
            <w:pPr>
              <w:spacing w:after="0"/>
              <w:rPr>
                <w:noProof/>
                <w:sz w:val="20"/>
                <w:szCs w:val="20"/>
              </w:rPr>
            </w:pPr>
            <w:r w:rsidRPr="00CE2185">
              <w:rPr>
                <w:noProof/>
                <w:sz w:val="20"/>
                <w:szCs w:val="20"/>
              </w:rPr>
              <w:t xml:space="preserve">Same as in Option A.1 </w:t>
            </w:r>
          </w:p>
          <w:p w14:paraId="1A94BB5F" w14:textId="2DB4DF17" w:rsidR="008F1737" w:rsidRPr="00CE2185" w:rsidRDefault="008F1737" w:rsidP="7410CB48">
            <w:pPr>
              <w:spacing w:after="0"/>
              <w:rPr>
                <w:noProof/>
                <w:sz w:val="20"/>
                <w:szCs w:val="20"/>
              </w:rPr>
            </w:pPr>
          </w:p>
        </w:tc>
        <w:tc>
          <w:tcPr>
            <w:tcW w:w="3082" w:type="dxa"/>
          </w:tcPr>
          <w:p w14:paraId="761C1C8F" w14:textId="3143B589" w:rsidR="008F1737" w:rsidRPr="00CE2185" w:rsidRDefault="00A26729" w:rsidP="00347F4B">
            <w:pPr>
              <w:spacing w:after="0"/>
              <w:rPr>
                <w:noProof/>
                <w:sz w:val="20"/>
                <w:szCs w:val="20"/>
              </w:rPr>
            </w:pPr>
            <w:r w:rsidRPr="00CE2185">
              <w:rPr>
                <w:noProof/>
                <w:sz w:val="20"/>
                <w:szCs w:val="20"/>
              </w:rPr>
              <w:t>Same as in Option A.1</w:t>
            </w:r>
          </w:p>
          <w:p w14:paraId="7EFA3AED" w14:textId="77777777" w:rsidR="00367A98" w:rsidRPr="00CE2185" w:rsidRDefault="00367A98" w:rsidP="00347F4B">
            <w:pPr>
              <w:spacing w:after="0"/>
              <w:rPr>
                <w:noProof/>
                <w:sz w:val="20"/>
                <w:szCs w:val="20"/>
              </w:rPr>
            </w:pPr>
          </w:p>
          <w:p w14:paraId="56E4E954" w14:textId="681D5310" w:rsidR="008F1737" w:rsidRPr="00CE2185" w:rsidRDefault="008F1737" w:rsidP="00347F4B">
            <w:pPr>
              <w:spacing w:after="0"/>
              <w:rPr>
                <w:noProof/>
                <w:sz w:val="20"/>
                <w:szCs w:val="20"/>
              </w:rPr>
            </w:pPr>
          </w:p>
        </w:tc>
      </w:tr>
    </w:tbl>
    <w:p w14:paraId="32305C75" w14:textId="4582BEF6" w:rsidR="006A4836" w:rsidRPr="00CE2185" w:rsidRDefault="00422383" w:rsidP="00795DF0">
      <w:pPr>
        <w:pStyle w:val="Heading4"/>
        <w:spacing w:before="120"/>
        <w:ind w:left="1996"/>
        <w:rPr>
          <w:noProof/>
        </w:rPr>
      </w:pPr>
      <w:r w:rsidRPr="00CE2185">
        <w:rPr>
          <w:noProof/>
        </w:rPr>
        <w:t xml:space="preserve"> </w:t>
      </w:r>
      <w:r w:rsidR="006A4836" w:rsidRPr="00CE2185">
        <w:rPr>
          <w:noProof/>
        </w:rPr>
        <w:t>Certification (Policy Options B.1 to B.3)</w:t>
      </w:r>
    </w:p>
    <w:p w14:paraId="00D7BD74" w14:textId="53132E42" w:rsidR="007F3901" w:rsidRPr="00CE2185" w:rsidRDefault="00624BF4" w:rsidP="00795DF0">
      <w:pPr>
        <w:spacing w:after="120"/>
        <w:rPr>
          <w:noProof/>
          <w:lang w:val="en-IE"/>
        </w:rPr>
      </w:pPr>
      <w:r w:rsidRPr="00CE2185">
        <w:rPr>
          <w:noProof/>
        </w:rPr>
        <w:t>The</w:t>
      </w:r>
      <w:r w:rsidR="00E0274A" w:rsidRPr="00CE2185">
        <w:rPr>
          <w:noProof/>
        </w:rPr>
        <w:t xml:space="preserve"> possible </w:t>
      </w:r>
      <w:r w:rsidR="00655CAA" w:rsidRPr="00CE2185">
        <w:rPr>
          <w:noProof/>
        </w:rPr>
        <w:t xml:space="preserve">economic </w:t>
      </w:r>
      <w:r w:rsidR="00E0274A" w:rsidRPr="00CE2185">
        <w:rPr>
          <w:noProof/>
        </w:rPr>
        <w:t xml:space="preserve">impacts regarding the policy options related to certification </w:t>
      </w:r>
      <w:r w:rsidR="00EF67B9" w:rsidRPr="00CE2185">
        <w:rPr>
          <w:noProof/>
        </w:rPr>
        <w:t>consider</w:t>
      </w:r>
      <w:r w:rsidRPr="00CE2185">
        <w:rPr>
          <w:noProof/>
        </w:rPr>
        <w:t xml:space="preserve"> how </w:t>
      </w:r>
      <w:r w:rsidR="00655CAA" w:rsidRPr="00CE2185">
        <w:rPr>
          <w:noProof/>
        </w:rPr>
        <w:t>the policy options (and their combination) would</w:t>
      </w:r>
      <w:r w:rsidRPr="00CE2185">
        <w:rPr>
          <w:noProof/>
        </w:rPr>
        <w:t xml:space="preserve"> impact</w:t>
      </w:r>
      <w:r w:rsidR="00E0274A" w:rsidRPr="00CE2185">
        <w:rPr>
          <w:noProof/>
        </w:rPr>
        <w:t xml:space="preserve"> the scenarios for the development of cybersecurity certification schemes</w:t>
      </w:r>
      <w:r w:rsidR="003D0C87" w:rsidRPr="00CE2185">
        <w:rPr>
          <w:noProof/>
        </w:rPr>
        <w:t xml:space="preserve"> by ENISA and the start</w:t>
      </w:r>
      <w:r w:rsidR="00E0274A" w:rsidRPr="00CE2185">
        <w:rPr>
          <w:noProof/>
        </w:rPr>
        <w:t xml:space="preserve"> of </w:t>
      </w:r>
      <w:r w:rsidR="003D0C87" w:rsidRPr="00CE2185">
        <w:rPr>
          <w:noProof/>
        </w:rPr>
        <w:t>the maintenance period</w:t>
      </w:r>
      <w:r w:rsidR="00E0274A" w:rsidRPr="00CE2185">
        <w:rPr>
          <w:noProof/>
        </w:rPr>
        <w:t>.</w:t>
      </w:r>
      <w:r w:rsidR="00655CAA" w:rsidRPr="00CE2185">
        <w:rPr>
          <w:noProof/>
        </w:rPr>
        <w:t xml:space="preserve"> </w:t>
      </w:r>
      <w:r w:rsidR="00836B25" w:rsidRPr="00CE2185">
        <w:rPr>
          <w:i/>
          <w:iCs/>
          <w:noProof/>
        </w:rPr>
        <w:t xml:space="preserve">Annex </w:t>
      </w:r>
      <w:r w:rsidR="00EF67B9" w:rsidRPr="00CE2185">
        <w:rPr>
          <w:i/>
          <w:iCs/>
          <w:noProof/>
        </w:rPr>
        <w:t>4</w:t>
      </w:r>
      <w:r w:rsidR="00A9084C" w:rsidRPr="00CE2185">
        <w:rPr>
          <w:i/>
          <w:iCs/>
          <w:noProof/>
        </w:rPr>
        <w:t xml:space="preserve"> (section 4.2)</w:t>
      </w:r>
      <w:r w:rsidR="00836B25" w:rsidRPr="00CE2185">
        <w:rPr>
          <w:noProof/>
        </w:rPr>
        <w:t xml:space="preserve"> illustrates</w:t>
      </w:r>
      <w:r w:rsidR="005E2049" w:rsidRPr="00CE2185">
        <w:rPr>
          <w:noProof/>
        </w:rPr>
        <w:t xml:space="preserve"> the </w:t>
      </w:r>
      <w:r w:rsidR="00D1183D" w:rsidRPr="00CE2185">
        <w:rPr>
          <w:noProof/>
        </w:rPr>
        <w:t>timeline</w:t>
      </w:r>
      <w:r w:rsidR="005E2049" w:rsidRPr="00CE2185">
        <w:rPr>
          <w:noProof/>
        </w:rPr>
        <w:t xml:space="preserve"> </w:t>
      </w:r>
      <w:r w:rsidR="00F83EAA" w:rsidRPr="00CE2185">
        <w:rPr>
          <w:noProof/>
        </w:rPr>
        <w:t>for maintenance if</w:t>
      </w:r>
      <w:r w:rsidR="005E2049" w:rsidRPr="00CE2185">
        <w:rPr>
          <w:noProof/>
        </w:rPr>
        <w:t xml:space="preserve"> relevant schemes would materialize</w:t>
      </w:r>
      <w:r w:rsidR="00ED5495" w:rsidRPr="00CE2185">
        <w:rPr>
          <w:noProof/>
        </w:rPr>
        <w:t xml:space="preserve"> and shows in </w:t>
      </w:r>
      <w:r w:rsidR="008D5A9C" w:rsidRPr="00CE2185">
        <w:rPr>
          <w:noProof/>
        </w:rPr>
        <w:t>detail</w:t>
      </w:r>
      <w:r w:rsidR="00ED5495" w:rsidRPr="00CE2185">
        <w:rPr>
          <w:noProof/>
        </w:rPr>
        <w:t xml:space="preserve"> how this impacts the number of FTEs at ENISA and </w:t>
      </w:r>
      <w:r w:rsidR="008D5A9C" w:rsidRPr="00CE2185">
        <w:rPr>
          <w:noProof/>
        </w:rPr>
        <w:t xml:space="preserve">at </w:t>
      </w:r>
      <w:r w:rsidR="00C644BD" w:rsidRPr="00CE2185">
        <w:rPr>
          <w:noProof/>
        </w:rPr>
        <w:t>national</w:t>
      </w:r>
      <w:r w:rsidR="008D5A9C" w:rsidRPr="00CE2185">
        <w:rPr>
          <w:noProof/>
        </w:rPr>
        <w:t xml:space="preserve"> level</w:t>
      </w:r>
      <w:r w:rsidR="00EF67B9" w:rsidRPr="00CE2185">
        <w:rPr>
          <w:noProof/>
        </w:rPr>
        <w:t xml:space="preserve">. Depending on the policy options, the following schemes will be in maintenance for the next years: </w:t>
      </w:r>
      <w:r w:rsidR="00D1183D" w:rsidRPr="00CE2185">
        <w:rPr>
          <w:noProof/>
          <w:lang w:val="en-IE"/>
        </w:rPr>
        <w:t>202</w:t>
      </w:r>
      <w:r w:rsidR="005F4E01" w:rsidRPr="00CE2185">
        <w:rPr>
          <w:noProof/>
          <w:lang w:val="en-IE"/>
        </w:rPr>
        <w:t>8 (</w:t>
      </w:r>
      <w:r w:rsidR="00905CE1" w:rsidRPr="00CE2185">
        <w:rPr>
          <w:b/>
          <w:bCs/>
          <w:noProof/>
        </w:rPr>
        <w:t>BaU</w:t>
      </w:r>
      <w:r w:rsidR="005F4E01" w:rsidRPr="00CE2185">
        <w:rPr>
          <w:noProof/>
        </w:rPr>
        <w:t>)</w:t>
      </w:r>
      <w:r w:rsidR="00EF67B9" w:rsidRPr="00CE2185">
        <w:rPr>
          <w:noProof/>
          <w:lang w:val="en-IE"/>
        </w:rPr>
        <w:t xml:space="preserve"> -</w:t>
      </w:r>
      <w:r w:rsidR="00D1183D" w:rsidRPr="00CE2185">
        <w:rPr>
          <w:noProof/>
          <w:lang w:val="en-IE"/>
        </w:rPr>
        <w:t xml:space="preserve"> EUCC, MSS, EU ID Wallet</w:t>
      </w:r>
      <w:r w:rsidR="00F83EAA" w:rsidRPr="00CE2185">
        <w:rPr>
          <w:noProof/>
          <w:lang w:val="en-IE"/>
        </w:rPr>
        <w:t>; 2029</w:t>
      </w:r>
      <w:r w:rsidR="00EF67B9" w:rsidRPr="00CE2185">
        <w:rPr>
          <w:noProof/>
          <w:lang w:val="en-IE"/>
        </w:rPr>
        <w:t xml:space="preserve"> </w:t>
      </w:r>
      <w:r w:rsidR="008D5A9C" w:rsidRPr="00CE2185">
        <w:rPr>
          <w:noProof/>
          <w:lang w:val="en-IE"/>
        </w:rPr>
        <w:t>(</w:t>
      </w:r>
      <w:r w:rsidR="008D5A9C" w:rsidRPr="00CE2185">
        <w:rPr>
          <w:b/>
          <w:bCs/>
          <w:noProof/>
          <w:lang w:val="en-IE"/>
        </w:rPr>
        <w:t>B + D2</w:t>
      </w:r>
      <w:r w:rsidR="005F4E01" w:rsidRPr="00CE2185">
        <w:rPr>
          <w:noProof/>
          <w:lang w:val="en-IE"/>
        </w:rPr>
        <w:t>)</w:t>
      </w:r>
      <w:r w:rsidR="00EF67B9" w:rsidRPr="00CE2185">
        <w:rPr>
          <w:noProof/>
          <w:lang w:val="en-IE"/>
        </w:rPr>
        <w:t xml:space="preserve"> </w:t>
      </w:r>
      <w:r w:rsidR="005F4E01" w:rsidRPr="00CE2185">
        <w:rPr>
          <w:noProof/>
          <w:lang w:val="en-IE"/>
        </w:rPr>
        <w:t>–</w:t>
      </w:r>
      <w:r w:rsidR="00F83EAA" w:rsidRPr="00CE2185">
        <w:rPr>
          <w:noProof/>
          <w:lang w:val="en-IE"/>
        </w:rPr>
        <w:t xml:space="preserve"> </w:t>
      </w:r>
      <w:r w:rsidR="005F4E01" w:rsidRPr="00CE2185">
        <w:rPr>
          <w:noProof/>
          <w:lang w:val="en-IE"/>
        </w:rPr>
        <w:t>EU5G; 2029 (</w:t>
      </w:r>
      <w:r w:rsidR="005F4E01" w:rsidRPr="00CE2185">
        <w:rPr>
          <w:b/>
          <w:bCs/>
          <w:noProof/>
          <w:lang w:val="en-IE"/>
        </w:rPr>
        <w:t xml:space="preserve">B + </w:t>
      </w:r>
      <w:r w:rsidR="008D5A9C" w:rsidRPr="00CE2185">
        <w:rPr>
          <w:b/>
          <w:bCs/>
          <w:noProof/>
          <w:lang w:val="en-IE"/>
        </w:rPr>
        <w:t>D3</w:t>
      </w:r>
      <w:r w:rsidR="005F4E01" w:rsidRPr="00CE2185">
        <w:rPr>
          <w:noProof/>
          <w:lang w:val="en-IE"/>
        </w:rPr>
        <w:t>)</w:t>
      </w:r>
      <w:r w:rsidR="00F83EAA" w:rsidRPr="00CE2185">
        <w:rPr>
          <w:noProof/>
          <w:lang w:val="en-IE"/>
        </w:rPr>
        <w:t xml:space="preserve"> EUCS and EU5G; </w:t>
      </w:r>
      <w:r w:rsidR="005F4E01" w:rsidRPr="00CE2185">
        <w:rPr>
          <w:noProof/>
          <w:lang w:val="en-IE"/>
        </w:rPr>
        <w:t>(</w:t>
      </w:r>
      <w:r w:rsidR="005F4E01" w:rsidRPr="00CE2185">
        <w:rPr>
          <w:b/>
          <w:bCs/>
          <w:noProof/>
          <w:lang w:val="en-IE"/>
        </w:rPr>
        <w:t>B2/B3</w:t>
      </w:r>
      <w:r w:rsidR="005F4E01" w:rsidRPr="00CE2185">
        <w:rPr>
          <w:noProof/>
          <w:lang w:val="en-IE"/>
        </w:rPr>
        <w:t>)</w:t>
      </w:r>
      <w:r w:rsidR="00F83EAA" w:rsidRPr="00CE2185">
        <w:rPr>
          <w:noProof/>
          <w:lang w:val="en-IE"/>
        </w:rPr>
        <w:t xml:space="preserve"> 2030</w:t>
      </w:r>
      <w:r w:rsidR="00EF67B9" w:rsidRPr="00CE2185">
        <w:rPr>
          <w:noProof/>
          <w:lang w:val="en-IE"/>
        </w:rPr>
        <w:t xml:space="preserve"> -</w:t>
      </w:r>
      <w:r w:rsidR="00F83EAA" w:rsidRPr="00CE2185">
        <w:rPr>
          <w:noProof/>
          <w:lang w:val="en-IE"/>
        </w:rPr>
        <w:t xml:space="preserve"> </w:t>
      </w:r>
      <w:r w:rsidR="0052051B" w:rsidRPr="00CE2185">
        <w:rPr>
          <w:noProof/>
          <w:lang w:val="en-IE"/>
        </w:rPr>
        <w:t>C</w:t>
      </w:r>
      <w:r w:rsidR="00F83EAA" w:rsidRPr="00CE2185">
        <w:rPr>
          <w:noProof/>
          <w:lang w:val="en-IE"/>
        </w:rPr>
        <w:t>yber</w:t>
      </w:r>
      <w:r w:rsidR="0052051B" w:rsidRPr="00CE2185">
        <w:rPr>
          <w:noProof/>
          <w:lang w:val="en-IE"/>
        </w:rPr>
        <w:t xml:space="preserve"> </w:t>
      </w:r>
      <w:r w:rsidR="00F83EAA" w:rsidRPr="00CE2185">
        <w:rPr>
          <w:noProof/>
          <w:lang w:val="en-IE"/>
        </w:rPr>
        <w:t>posture scheme</w:t>
      </w:r>
      <w:r w:rsidR="005E2049" w:rsidRPr="00CE2185">
        <w:rPr>
          <w:noProof/>
          <w:lang w:val="en-IE"/>
        </w:rPr>
        <w:t>.</w:t>
      </w:r>
    </w:p>
    <w:p w14:paraId="107DA71D" w14:textId="6DFD989C" w:rsidR="00C56F63" w:rsidRPr="00CE2185" w:rsidRDefault="007D4275" w:rsidP="00EE3DF9">
      <w:pPr>
        <w:pStyle w:val="Heading4"/>
        <w:numPr>
          <w:ilvl w:val="4"/>
          <w:numId w:val="44"/>
        </w:numPr>
        <w:rPr>
          <w:noProof/>
        </w:rPr>
      </w:pPr>
      <w:r w:rsidRPr="00CE2185">
        <w:rPr>
          <w:noProof/>
        </w:rPr>
        <w:t>Costs</w:t>
      </w:r>
      <w:r w:rsidR="00C56F63" w:rsidRPr="00CE2185">
        <w:rPr>
          <w:noProof/>
        </w:rPr>
        <w:t xml:space="preserve"> for businesses</w:t>
      </w:r>
      <w:r w:rsidR="00C644BD" w:rsidRPr="00CE2185">
        <w:rPr>
          <w:noProof/>
        </w:rPr>
        <w:t>,</w:t>
      </w:r>
      <w:r w:rsidR="00C56F63" w:rsidRPr="00CE2185">
        <w:rPr>
          <w:noProof/>
        </w:rPr>
        <w:t xml:space="preserve"> public authorities</w:t>
      </w:r>
      <w:r w:rsidR="00C644BD" w:rsidRPr="00CE2185">
        <w:rPr>
          <w:noProof/>
        </w:rPr>
        <w:t>, citizens</w:t>
      </w:r>
    </w:p>
    <w:p w14:paraId="10599C19" w14:textId="77777777" w:rsidR="00BF1485" w:rsidRPr="00CE2185" w:rsidRDefault="00A47D97" w:rsidP="00795DF0">
      <w:pPr>
        <w:spacing w:after="120"/>
        <w:rPr>
          <w:noProof/>
        </w:rPr>
      </w:pPr>
      <w:r w:rsidRPr="00CE2185">
        <w:rPr>
          <w:noProof/>
        </w:rPr>
        <w:t xml:space="preserve">Under </w:t>
      </w:r>
      <w:r w:rsidR="00F57D9D" w:rsidRPr="00CE2185">
        <w:rPr>
          <w:b/>
          <w:bCs/>
          <w:i/>
          <w:iCs/>
          <w:noProof/>
        </w:rPr>
        <w:t>Option B.1</w:t>
      </w:r>
      <w:r w:rsidR="00F57D9D" w:rsidRPr="00CE2185">
        <w:rPr>
          <w:noProof/>
        </w:rPr>
        <w:t xml:space="preserve"> </w:t>
      </w:r>
      <w:r w:rsidR="009F5280" w:rsidRPr="00CE2185">
        <w:rPr>
          <w:noProof/>
        </w:rPr>
        <w:t xml:space="preserve">compliance </w:t>
      </w:r>
      <w:r w:rsidR="007F7E0A" w:rsidRPr="00CE2185">
        <w:rPr>
          <w:noProof/>
        </w:rPr>
        <w:t>costs</w:t>
      </w:r>
      <w:r w:rsidR="009F5280" w:rsidRPr="00CE2185">
        <w:rPr>
          <w:noProof/>
        </w:rPr>
        <w:t xml:space="preserve"> would occur due to the setting up of the maintenance structure</w:t>
      </w:r>
      <w:r w:rsidR="009954F4" w:rsidRPr="00CE2185">
        <w:rPr>
          <w:noProof/>
        </w:rPr>
        <w:t xml:space="preserve"> and</w:t>
      </w:r>
      <w:r w:rsidR="009F5280" w:rsidRPr="00CE2185">
        <w:rPr>
          <w:noProof/>
        </w:rPr>
        <w:t xml:space="preserve"> the alignment of schemes with </w:t>
      </w:r>
      <w:r w:rsidR="009954F4" w:rsidRPr="00CE2185">
        <w:rPr>
          <w:noProof/>
        </w:rPr>
        <w:t xml:space="preserve">existing </w:t>
      </w:r>
      <w:r w:rsidR="00BF1485" w:rsidRPr="00CE2185">
        <w:rPr>
          <w:noProof/>
        </w:rPr>
        <w:t xml:space="preserve">cyber </w:t>
      </w:r>
      <w:r w:rsidR="009954F4" w:rsidRPr="00CE2185">
        <w:rPr>
          <w:noProof/>
        </w:rPr>
        <w:t xml:space="preserve">legislation, in particular the CRA. </w:t>
      </w:r>
      <w:r w:rsidR="007F7E0A" w:rsidRPr="00CE2185">
        <w:rPr>
          <w:noProof/>
        </w:rPr>
        <w:t xml:space="preserve"> </w:t>
      </w:r>
    </w:p>
    <w:p w14:paraId="74AAC77A" w14:textId="4512E4EF" w:rsidR="004D6748" w:rsidRPr="00CE2185" w:rsidRDefault="000024AE" w:rsidP="00795DF0">
      <w:pPr>
        <w:spacing w:after="120"/>
        <w:rPr>
          <w:noProof/>
        </w:rPr>
      </w:pPr>
      <w:r w:rsidRPr="00CE2185">
        <w:rPr>
          <w:noProof/>
        </w:rPr>
        <w:t xml:space="preserve">ENISA would carry </w:t>
      </w:r>
      <w:r w:rsidR="00B620B3" w:rsidRPr="00CE2185">
        <w:rPr>
          <w:b/>
          <w:bCs/>
          <w:noProof/>
        </w:rPr>
        <w:t>adjustment cos</w:t>
      </w:r>
      <w:r w:rsidRPr="00CE2185">
        <w:rPr>
          <w:b/>
          <w:bCs/>
          <w:noProof/>
        </w:rPr>
        <w:t>ts</w:t>
      </w:r>
      <w:r w:rsidRPr="00CE2185">
        <w:rPr>
          <w:noProof/>
        </w:rPr>
        <w:t xml:space="preserve"> </w:t>
      </w:r>
      <w:r w:rsidR="009F5280" w:rsidRPr="00CE2185">
        <w:rPr>
          <w:noProof/>
        </w:rPr>
        <w:t>to</w:t>
      </w:r>
      <w:r w:rsidR="00B620B3" w:rsidRPr="00CE2185">
        <w:rPr>
          <w:noProof/>
        </w:rPr>
        <w:t xml:space="preserve"> </w:t>
      </w:r>
      <w:r w:rsidR="007F3901" w:rsidRPr="00CE2185">
        <w:rPr>
          <w:noProof/>
        </w:rPr>
        <w:t>align</w:t>
      </w:r>
      <w:r w:rsidRPr="00CE2185">
        <w:rPr>
          <w:noProof/>
        </w:rPr>
        <w:t xml:space="preserve"> </w:t>
      </w:r>
      <w:r w:rsidR="007F3901" w:rsidRPr="00CE2185">
        <w:rPr>
          <w:noProof/>
        </w:rPr>
        <w:t>existing schemes (EUCC) and draft candidates scheme under development (ID Wallet and MSS)</w:t>
      </w:r>
      <w:r w:rsidR="002A08D4" w:rsidRPr="00CE2185">
        <w:rPr>
          <w:noProof/>
        </w:rPr>
        <w:t xml:space="preserve"> with </w:t>
      </w:r>
      <w:r w:rsidR="002A08D4" w:rsidRPr="00CE2185">
        <w:rPr>
          <w:b/>
          <w:bCs/>
          <w:noProof/>
        </w:rPr>
        <w:t>existing legislation</w:t>
      </w:r>
      <w:r w:rsidRPr="00CE2185">
        <w:rPr>
          <w:noProof/>
        </w:rPr>
        <w:t xml:space="preserve">. The </w:t>
      </w:r>
      <w:r w:rsidR="00BF1485" w:rsidRPr="00CE2185">
        <w:rPr>
          <w:noProof/>
        </w:rPr>
        <w:t>technical review</w:t>
      </w:r>
      <w:r w:rsidRPr="00CE2185">
        <w:rPr>
          <w:noProof/>
        </w:rPr>
        <w:t xml:space="preserve"> of</w:t>
      </w:r>
      <w:r w:rsidR="00BF1485" w:rsidRPr="00CE2185">
        <w:rPr>
          <w:noProof/>
        </w:rPr>
        <w:t xml:space="preserve"> draft candidate</w:t>
      </w:r>
      <w:r w:rsidRPr="00CE2185">
        <w:rPr>
          <w:noProof/>
        </w:rPr>
        <w:t xml:space="preserve"> scheme</w:t>
      </w:r>
      <w:r w:rsidR="00BF1485" w:rsidRPr="00CE2185">
        <w:rPr>
          <w:noProof/>
        </w:rPr>
        <w:t>s</w:t>
      </w:r>
      <w:r w:rsidRPr="00CE2185">
        <w:rPr>
          <w:noProof/>
        </w:rPr>
        <w:t xml:space="preserve"> would also include EU5G </w:t>
      </w:r>
      <w:r w:rsidR="00BF1485" w:rsidRPr="00CE2185">
        <w:rPr>
          <w:noProof/>
        </w:rPr>
        <w:t>(</w:t>
      </w:r>
      <w:r w:rsidR="007E058E" w:rsidRPr="00CE2185">
        <w:rPr>
          <w:noProof/>
        </w:rPr>
        <w:t xml:space="preserve">with </w:t>
      </w:r>
      <w:r w:rsidR="00BF1485" w:rsidRPr="00CE2185">
        <w:rPr>
          <w:noProof/>
        </w:rPr>
        <w:t>policy option</w:t>
      </w:r>
      <w:r w:rsidR="007E058E" w:rsidRPr="00CE2185">
        <w:rPr>
          <w:noProof/>
        </w:rPr>
        <w:t xml:space="preserve"> D</w:t>
      </w:r>
      <w:r w:rsidR="00B620B3" w:rsidRPr="00CE2185">
        <w:rPr>
          <w:noProof/>
        </w:rPr>
        <w:t>2</w:t>
      </w:r>
      <w:r w:rsidR="00BF1485" w:rsidRPr="00CE2185">
        <w:rPr>
          <w:noProof/>
        </w:rPr>
        <w:t>/D3)</w:t>
      </w:r>
      <w:r w:rsidR="007E058E" w:rsidRPr="00CE2185">
        <w:rPr>
          <w:noProof/>
        </w:rPr>
        <w:t xml:space="preserve"> </w:t>
      </w:r>
      <w:r w:rsidRPr="00CE2185">
        <w:rPr>
          <w:noProof/>
        </w:rPr>
        <w:t xml:space="preserve">and EUCS </w:t>
      </w:r>
      <w:r w:rsidR="00BF1485" w:rsidRPr="00CE2185">
        <w:rPr>
          <w:noProof/>
        </w:rPr>
        <w:t>(</w:t>
      </w:r>
      <w:r w:rsidRPr="00CE2185">
        <w:rPr>
          <w:noProof/>
        </w:rPr>
        <w:t>with</w:t>
      </w:r>
      <w:r w:rsidR="00B620B3" w:rsidRPr="00CE2185">
        <w:rPr>
          <w:noProof/>
        </w:rPr>
        <w:t xml:space="preserve"> D3</w:t>
      </w:r>
      <w:r w:rsidR="00BF1485" w:rsidRPr="00CE2185">
        <w:rPr>
          <w:noProof/>
        </w:rPr>
        <w:t>)</w:t>
      </w:r>
      <w:r w:rsidR="007F7E0A" w:rsidRPr="00CE2185">
        <w:rPr>
          <w:noProof/>
        </w:rPr>
        <w:t xml:space="preserve">. </w:t>
      </w:r>
      <w:r w:rsidR="00ED0BA8" w:rsidRPr="00CE2185">
        <w:rPr>
          <w:noProof/>
        </w:rPr>
        <w:t>A</w:t>
      </w:r>
      <w:r w:rsidR="00F57D9D" w:rsidRPr="00CE2185">
        <w:rPr>
          <w:noProof/>
        </w:rPr>
        <w:t xml:space="preserve"> one-off </w:t>
      </w:r>
      <w:r w:rsidR="002B5E47" w:rsidRPr="00CE2185">
        <w:rPr>
          <w:noProof/>
        </w:rPr>
        <w:t>adjustment</w:t>
      </w:r>
      <w:r w:rsidR="00F57D9D" w:rsidRPr="00CE2185">
        <w:rPr>
          <w:noProof/>
        </w:rPr>
        <w:t xml:space="preserve"> cost is foreseen for the necessary technical updates and documentation revisions</w:t>
      </w:r>
      <w:r w:rsidR="006D0093" w:rsidRPr="00CE2185">
        <w:rPr>
          <w:noProof/>
        </w:rPr>
        <w:t xml:space="preserve"> of existing schemes</w:t>
      </w:r>
      <w:r w:rsidR="00F57D9D" w:rsidRPr="00CE2185">
        <w:rPr>
          <w:noProof/>
        </w:rPr>
        <w:t xml:space="preserve">. </w:t>
      </w:r>
      <w:r w:rsidR="002B5E47" w:rsidRPr="00CE2185">
        <w:rPr>
          <w:noProof/>
        </w:rPr>
        <w:t>At a minimum, the EUCC scheme would be reviewed</w:t>
      </w:r>
      <w:r w:rsidR="00620A9C" w:rsidRPr="00CE2185">
        <w:rPr>
          <w:noProof/>
        </w:rPr>
        <w:t xml:space="preserve">. It is assumed that this work could be covered by the existing FTEs </w:t>
      </w:r>
      <w:r w:rsidR="002A08D4" w:rsidRPr="00CE2185">
        <w:rPr>
          <w:noProof/>
        </w:rPr>
        <w:t>dedicated to scheme development</w:t>
      </w:r>
      <w:r w:rsidR="002B5E47" w:rsidRPr="00CE2185">
        <w:rPr>
          <w:noProof/>
        </w:rPr>
        <w:t>.</w:t>
      </w:r>
      <w:r w:rsidR="00F57D9D" w:rsidRPr="00CE2185">
        <w:rPr>
          <w:noProof/>
        </w:rPr>
        <w:t xml:space="preserve"> </w:t>
      </w:r>
    </w:p>
    <w:p w14:paraId="468A074F" w14:textId="15435015" w:rsidR="00CD2736" w:rsidRPr="00CE2185" w:rsidRDefault="00256977" w:rsidP="00795DF0">
      <w:pPr>
        <w:spacing w:after="120"/>
        <w:rPr>
          <w:noProof/>
        </w:rPr>
      </w:pPr>
      <w:r w:rsidRPr="00256977">
        <w:rPr>
          <w:noProof/>
        </w:rPr>
        <w:t xml:space="preserve">Furthermore, the (one-off and recurrent adjustment) costs of the establishment of a maintenance mechanism for existing and upcoming schemes would be mainly sustained by ENISA. </w:t>
      </w:r>
      <w:r w:rsidR="00E27D41" w:rsidRPr="00CE2185">
        <w:rPr>
          <w:noProof/>
        </w:rPr>
        <w:t>Additional</w:t>
      </w:r>
      <w:r w:rsidR="00F57D9D" w:rsidRPr="00CE2185">
        <w:rPr>
          <w:noProof/>
        </w:rPr>
        <w:t xml:space="preserve"> recurrent</w:t>
      </w:r>
      <w:r w:rsidR="00986873" w:rsidRPr="00CE2185">
        <w:rPr>
          <w:noProof/>
        </w:rPr>
        <w:t xml:space="preserve"> (adjustment)</w:t>
      </w:r>
      <w:r w:rsidR="00F57D9D" w:rsidRPr="00CE2185">
        <w:rPr>
          <w:noProof/>
        </w:rPr>
        <w:t xml:space="preserve"> costs for schemes maintenance </w:t>
      </w:r>
      <w:r w:rsidR="00E27D41" w:rsidRPr="00CE2185">
        <w:rPr>
          <w:noProof/>
        </w:rPr>
        <w:t xml:space="preserve">would be added </w:t>
      </w:r>
      <w:r w:rsidR="00F57D9D" w:rsidRPr="00CE2185">
        <w:rPr>
          <w:noProof/>
        </w:rPr>
        <w:t xml:space="preserve">with an estimated </w:t>
      </w:r>
      <w:r w:rsidR="00F57D9D" w:rsidRPr="00CE2185">
        <w:rPr>
          <w:b/>
          <w:bCs/>
          <w:noProof/>
        </w:rPr>
        <w:t xml:space="preserve">2 FTEs dedicated to the maintenance of </w:t>
      </w:r>
      <w:r w:rsidR="006454D4" w:rsidRPr="00CE2185">
        <w:rPr>
          <w:b/>
          <w:bCs/>
          <w:noProof/>
        </w:rPr>
        <w:t xml:space="preserve">each </w:t>
      </w:r>
      <w:r w:rsidR="00F57D9D" w:rsidRPr="00CE2185">
        <w:rPr>
          <w:b/>
          <w:bCs/>
          <w:noProof/>
        </w:rPr>
        <w:t>scheme</w:t>
      </w:r>
      <w:r w:rsidR="00F57D9D" w:rsidRPr="00CE2185">
        <w:rPr>
          <w:noProof/>
        </w:rPr>
        <w:t>, for a total of EUR 256 554 per year (per scheme)</w:t>
      </w:r>
      <w:r w:rsidR="00FE25C3" w:rsidRPr="00CE2185">
        <w:rPr>
          <w:noProof/>
        </w:rPr>
        <w:t xml:space="preserve"> </w:t>
      </w:r>
      <w:r w:rsidR="004579D9" w:rsidRPr="00CE2185">
        <w:rPr>
          <w:noProof/>
        </w:rPr>
        <w:t xml:space="preserve">taking 1 FTE = </w:t>
      </w:r>
      <w:r w:rsidR="00BF1485" w:rsidRPr="00CE2185">
        <w:rPr>
          <w:noProof/>
        </w:rPr>
        <w:t>EUR</w:t>
      </w:r>
      <w:r w:rsidR="004579D9" w:rsidRPr="00CE2185">
        <w:rPr>
          <w:noProof/>
        </w:rPr>
        <w:t xml:space="preserve"> </w:t>
      </w:r>
      <w:r w:rsidR="007C6C4D" w:rsidRPr="00CE2185">
        <w:rPr>
          <w:noProof/>
        </w:rPr>
        <w:t xml:space="preserve">128,277 EUR </w:t>
      </w:r>
      <w:r w:rsidR="00FE25C3" w:rsidRPr="00CE2185">
        <w:rPr>
          <w:noProof/>
        </w:rPr>
        <w:t>(</w:t>
      </w:r>
      <w:r w:rsidR="00FE25C3" w:rsidRPr="00CE2185">
        <w:rPr>
          <w:i/>
          <w:iCs/>
          <w:noProof/>
        </w:rPr>
        <w:t xml:space="preserve">see Annex </w:t>
      </w:r>
      <w:r w:rsidR="00591448" w:rsidRPr="00CE2185">
        <w:rPr>
          <w:i/>
          <w:iCs/>
          <w:noProof/>
        </w:rPr>
        <w:t>4</w:t>
      </w:r>
      <w:r w:rsidR="00BC7A62" w:rsidRPr="00CE2185">
        <w:rPr>
          <w:noProof/>
        </w:rPr>
        <w:t xml:space="preserve">, </w:t>
      </w:r>
      <w:r w:rsidR="00BC7A62" w:rsidRPr="00CE2185">
        <w:rPr>
          <w:i/>
          <w:iCs/>
          <w:noProof/>
        </w:rPr>
        <w:t>section 4.2</w:t>
      </w:r>
      <w:r w:rsidR="00FE25C3" w:rsidRPr="00CE2185">
        <w:rPr>
          <w:noProof/>
        </w:rPr>
        <w:t>)</w:t>
      </w:r>
      <w:r w:rsidR="00F57D9D" w:rsidRPr="00CE2185">
        <w:rPr>
          <w:noProof/>
        </w:rPr>
        <w:t>.</w:t>
      </w:r>
      <w:r w:rsidR="00F85B40" w:rsidRPr="00CE2185">
        <w:rPr>
          <w:noProof/>
        </w:rPr>
        <w:t xml:space="preserve"> </w:t>
      </w:r>
      <w:r w:rsidR="004D6748" w:rsidRPr="00CE2185">
        <w:rPr>
          <w:noProof/>
        </w:rPr>
        <w:t xml:space="preserve">Furthermore, </w:t>
      </w:r>
      <w:r w:rsidR="00986873" w:rsidRPr="00CE2185">
        <w:rPr>
          <w:noProof/>
        </w:rPr>
        <w:t xml:space="preserve">the maintenance of schemes would lead to recurrent operational costs covering </w:t>
      </w:r>
      <w:r w:rsidR="00E67105" w:rsidRPr="00CE2185">
        <w:rPr>
          <w:noProof/>
        </w:rPr>
        <w:t xml:space="preserve">the activities of the dedicated ECCG sub-group, including regular in-person meetings and </w:t>
      </w:r>
      <w:r w:rsidR="00C87B85" w:rsidRPr="00CE2185">
        <w:rPr>
          <w:noProof/>
        </w:rPr>
        <w:t>the work of experts supporting the technical work</w:t>
      </w:r>
      <w:r w:rsidR="003B1A31" w:rsidRPr="00CE2185">
        <w:rPr>
          <w:noProof/>
        </w:rPr>
        <w:t>, that are estimated at EUR 200 000 per year (</w:t>
      </w:r>
      <w:r w:rsidR="003B1A31" w:rsidRPr="00CE2185">
        <w:rPr>
          <w:i/>
          <w:iCs/>
          <w:noProof/>
        </w:rPr>
        <w:t>See Annex 4</w:t>
      </w:r>
      <w:r w:rsidR="003B1A31" w:rsidRPr="00CE2185">
        <w:rPr>
          <w:i/>
          <w:noProof/>
        </w:rPr>
        <w:t xml:space="preserve"> </w:t>
      </w:r>
      <w:r w:rsidR="0000710E" w:rsidRPr="00CE2185">
        <w:rPr>
          <w:i/>
          <w:iCs/>
          <w:noProof/>
        </w:rPr>
        <w:t>Section 4.1</w:t>
      </w:r>
      <w:r w:rsidR="0000710E" w:rsidRPr="00CE2185">
        <w:rPr>
          <w:noProof/>
        </w:rPr>
        <w:t>).</w:t>
      </w:r>
      <w:r w:rsidR="003B1A31" w:rsidRPr="00CE2185">
        <w:rPr>
          <w:noProof/>
        </w:rPr>
        <w:t xml:space="preserve"> </w:t>
      </w:r>
      <w:r w:rsidR="004F6B48" w:rsidRPr="00CE2185">
        <w:rPr>
          <w:noProof/>
        </w:rPr>
        <w:t xml:space="preserve">Under B1, </w:t>
      </w:r>
      <w:r w:rsidR="003B1A31" w:rsidRPr="00CE2185">
        <w:rPr>
          <w:noProof/>
        </w:rPr>
        <w:t xml:space="preserve">those operational costs </w:t>
      </w:r>
      <w:r w:rsidR="00B7264F" w:rsidRPr="00CE2185">
        <w:rPr>
          <w:noProof/>
        </w:rPr>
        <w:t xml:space="preserve">would not be compensated by any fees contrary to the option B2. </w:t>
      </w:r>
      <w:r w:rsidR="0085749F" w:rsidRPr="00CE2185">
        <w:rPr>
          <w:noProof/>
        </w:rPr>
        <w:t xml:space="preserve">These costs would gradually </w:t>
      </w:r>
      <w:r w:rsidR="007072E9" w:rsidRPr="00CE2185">
        <w:rPr>
          <w:noProof/>
        </w:rPr>
        <w:t>be carried by</w:t>
      </w:r>
      <w:r w:rsidR="0085749F" w:rsidRPr="00CE2185">
        <w:rPr>
          <w:noProof/>
        </w:rPr>
        <w:t xml:space="preserve"> ENISA as </w:t>
      </w:r>
      <w:r w:rsidR="002A08D4" w:rsidRPr="00CE2185">
        <w:rPr>
          <w:noProof/>
        </w:rPr>
        <w:t xml:space="preserve">candidate </w:t>
      </w:r>
      <w:r w:rsidR="0085749F" w:rsidRPr="00CE2185">
        <w:rPr>
          <w:noProof/>
        </w:rPr>
        <w:t xml:space="preserve">schemes </w:t>
      </w:r>
      <w:r w:rsidR="3EB22BB9" w:rsidRPr="00CE2185">
        <w:rPr>
          <w:noProof/>
        </w:rPr>
        <w:t xml:space="preserve">is </w:t>
      </w:r>
      <w:r w:rsidR="452098D1" w:rsidRPr="00CE2185">
        <w:rPr>
          <w:noProof/>
        </w:rPr>
        <w:t>submitted,</w:t>
      </w:r>
      <w:r w:rsidR="002A08D4" w:rsidRPr="00CE2185">
        <w:rPr>
          <w:noProof/>
        </w:rPr>
        <w:t xml:space="preserve"> and maintenance phase starts following their adoption</w:t>
      </w:r>
      <w:r w:rsidR="0085749F" w:rsidRPr="00CE2185">
        <w:rPr>
          <w:noProof/>
        </w:rPr>
        <w:t xml:space="preserve"> (see table</w:t>
      </w:r>
      <w:r w:rsidR="002A08D4" w:rsidRPr="00CE2185">
        <w:rPr>
          <w:noProof/>
        </w:rPr>
        <w:t xml:space="preserve"> below</w:t>
      </w:r>
      <w:r w:rsidR="0085749F" w:rsidRPr="00CE2185">
        <w:rPr>
          <w:noProof/>
        </w:rPr>
        <w:t>).</w:t>
      </w:r>
      <w:r w:rsidR="00F85B40" w:rsidRPr="00CE2185">
        <w:rPr>
          <w:noProof/>
        </w:rPr>
        <w:t xml:space="preserve"> </w:t>
      </w:r>
    </w:p>
    <w:p w14:paraId="4C87BFFE" w14:textId="4EDB18F4" w:rsidR="00380712" w:rsidRPr="00CE2185" w:rsidRDefault="00330C36" w:rsidP="00795DF0">
      <w:pPr>
        <w:spacing w:after="120"/>
        <w:rPr>
          <w:noProof/>
        </w:rPr>
      </w:pPr>
      <w:r w:rsidRPr="00CE2185">
        <w:rPr>
          <w:noProof/>
        </w:rPr>
        <w:t xml:space="preserve">Regarding </w:t>
      </w:r>
      <w:r w:rsidRPr="00CE2185">
        <w:rPr>
          <w:b/>
          <w:bCs/>
          <w:noProof/>
        </w:rPr>
        <w:t>businesses</w:t>
      </w:r>
      <w:r w:rsidR="00F6074E" w:rsidRPr="00CE2185">
        <w:rPr>
          <w:noProof/>
        </w:rPr>
        <w:t xml:space="preserve"> and </w:t>
      </w:r>
      <w:r w:rsidR="00F6074E" w:rsidRPr="00CE2185">
        <w:rPr>
          <w:b/>
          <w:bCs/>
          <w:noProof/>
        </w:rPr>
        <w:t>public authorities</w:t>
      </w:r>
      <w:r w:rsidR="001E6583" w:rsidRPr="00CE2185">
        <w:rPr>
          <w:b/>
          <w:bCs/>
          <w:noProof/>
        </w:rPr>
        <w:t>,</w:t>
      </w:r>
      <w:r w:rsidR="00F6074E" w:rsidRPr="00CE2185">
        <w:rPr>
          <w:noProof/>
        </w:rPr>
        <w:t xml:space="preserve"> </w:t>
      </w:r>
      <w:r w:rsidR="001E6583" w:rsidRPr="00CE2185">
        <w:rPr>
          <w:noProof/>
        </w:rPr>
        <w:t xml:space="preserve">compared to the </w:t>
      </w:r>
      <w:r w:rsidR="001E6583" w:rsidRPr="00CE2185">
        <w:rPr>
          <w:i/>
          <w:iCs/>
          <w:noProof/>
        </w:rPr>
        <w:t>business</w:t>
      </w:r>
      <w:r w:rsidR="00A90BCC" w:rsidRPr="00CE2185">
        <w:rPr>
          <w:i/>
          <w:iCs/>
          <w:noProof/>
        </w:rPr>
        <w:t>-</w:t>
      </w:r>
      <w:r w:rsidR="001E6583" w:rsidRPr="00CE2185">
        <w:rPr>
          <w:i/>
          <w:iCs/>
          <w:noProof/>
        </w:rPr>
        <w:t>as</w:t>
      </w:r>
      <w:r w:rsidR="00A90BCC" w:rsidRPr="00CE2185">
        <w:rPr>
          <w:i/>
          <w:iCs/>
          <w:noProof/>
        </w:rPr>
        <w:t>-</w:t>
      </w:r>
      <w:r w:rsidR="001E6583" w:rsidRPr="00CE2185">
        <w:rPr>
          <w:i/>
          <w:iCs/>
          <w:noProof/>
        </w:rPr>
        <w:t>usual</w:t>
      </w:r>
      <w:r w:rsidR="001E6583" w:rsidRPr="00CE2185">
        <w:rPr>
          <w:noProof/>
        </w:rPr>
        <w:t xml:space="preserve">, the </w:t>
      </w:r>
      <w:r w:rsidR="001E6583" w:rsidRPr="00CE2185">
        <w:rPr>
          <w:b/>
          <w:bCs/>
          <w:noProof/>
        </w:rPr>
        <w:t>maintenance structure</w:t>
      </w:r>
      <w:r w:rsidR="001E6583" w:rsidRPr="00CE2185">
        <w:rPr>
          <w:noProof/>
        </w:rPr>
        <w:t xml:space="preserve"> </w:t>
      </w:r>
      <w:r w:rsidR="007C5412" w:rsidRPr="00CE2185">
        <w:rPr>
          <w:noProof/>
        </w:rPr>
        <w:t>would not lead to specific costs.</w:t>
      </w:r>
      <w:r w:rsidR="005A7729" w:rsidRPr="00CE2185">
        <w:rPr>
          <w:noProof/>
        </w:rPr>
        <w:t xml:space="preserve"> </w:t>
      </w:r>
      <w:r w:rsidR="00E571F7" w:rsidRPr="00CE2185">
        <w:rPr>
          <w:noProof/>
        </w:rPr>
        <w:t xml:space="preserve">In the long-term, more </w:t>
      </w:r>
      <w:r w:rsidR="0085749F" w:rsidRPr="00CE2185">
        <w:rPr>
          <w:noProof/>
        </w:rPr>
        <w:t>future-pr</w:t>
      </w:r>
      <w:r w:rsidR="00AF5013" w:rsidRPr="00CE2185">
        <w:rPr>
          <w:noProof/>
        </w:rPr>
        <w:t>o</w:t>
      </w:r>
      <w:r w:rsidR="0085749F" w:rsidRPr="00CE2185">
        <w:rPr>
          <w:noProof/>
        </w:rPr>
        <w:t>of schemes</w:t>
      </w:r>
      <w:r w:rsidR="00E571F7" w:rsidRPr="00CE2185">
        <w:rPr>
          <w:noProof/>
        </w:rPr>
        <w:t xml:space="preserve"> could lead to higher demand </w:t>
      </w:r>
      <w:r w:rsidR="00CD2736" w:rsidRPr="00CE2185">
        <w:rPr>
          <w:noProof/>
        </w:rPr>
        <w:t xml:space="preserve">for </w:t>
      </w:r>
      <w:r w:rsidR="00AF5013" w:rsidRPr="00CE2185">
        <w:rPr>
          <w:noProof/>
        </w:rPr>
        <w:t>schemes, for</w:t>
      </w:r>
      <w:r w:rsidR="00CD2736" w:rsidRPr="00CE2185">
        <w:rPr>
          <w:noProof/>
        </w:rPr>
        <w:t xml:space="preserve"> instance in the context of public procurement</w:t>
      </w:r>
      <w:r w:rsidR="00C958C0" w:rsidRPr="00CE2185">
        <w:rPr>
          <w:noProof/>
        </w:rPr>
        <w:t xml:space="preserve">. </w:t>
      </w:r>
      <w:r w:rsidR="00CD2736" w:rsidRPr="00CE2185">
        <w:rPr>
          <w:noProof/>
        </w:rPr>
        <w:t>However, given that, compared to the baselin</w:t>
      </w:r>
      <w:r w:rsidR="0085749F" w:rsidRPr="00CE2185">
        <w:rPr>
          <w:noProof/>
        </w:rPr>
        <w:t>e</w:t>
      </w:r>
      <w:r w:rsidR="00CD2736" w:rsidRPr="00CE2185">
        <w:rPr>
          <w:noProof/>
        </w:rPr>
        <w:t xml:space="preserve"> scenario, this policy option will not introduce any mandatory requirements, only the participating </w:t>
      </w:r>
      <w:r w:rsidR="0085749F" w:rsidRPr="00CE2185">
        <w:rPr>
          <w:noProof/>
        </w:rPr>
        <w:t>vendors</w:t>
      </w:r>
      <w:r w:rsidR="00CD2736" w:rsidRPr="00CE2185">
        <w:rPr>
          <w:noProof/>
        </w:rPr>
        <w:t xml:space="preserve"> would bear</w:t>
      </w:r>
      <w:r w:rsidR="00CD2736" w:rsidRPr="00CE2185">
        <w:rPr>
          <w:b/>
          <w:bCs/>
          <w:noProof/>
        </w:rPr>
        <w:t xml:space="preserve"> possible additional adjustment and administrative costs</w:t>
      </w:r>
      <w:r w:rsidR="00CD2736" w:rsidRPr="00CE2185">
        <w:rPr>
          <w:noProof/>
        </w:rPr>
        <w:t>.</w:t>
      </w:r>
      <w:r w:rsidR="0085749F" w:rsidRPr="00CE2185">
        <w:rPr>
          <w:noProof/>
        </w:rPr>
        <w:t xml:space="preserve"> The decision to certify would be driven by business considerations (i.e. cost to certify vs. revenues generated by winning tenders).</w:t>
      </w:r>
      <w:r w:rsidR="00CD2736" w:rsidRPr="00CE2185">
        <w:rPr>
          <w:noProof/>
        </w:rPr>
        <w:t xml:space="preserve"> As these costs would depend on the engagement of the manufacturers into voluntary initiatives, it is not possible to give aggregated cost estimates</w:t>
      </w:r>
      <w:r w:rsidR="002B5E47" w:rsidRPr="00CE2185">
        <w:rPr>
          <w:noProof/>
        </w:rPr>
        <w:t>, under any scenario</w:t>
      </w:r>
      <w:r w:rsidR="00D35768" w:rsidRPr="00CE2185">
        <w:rPr>
          <w:noProof/>
        </w:rPr>
        <w:t xml:space="preserve"> (see below)</w:t>
      </w:r>
      <w:r w:rsidR="002B5E47" w:rsidRPr="00CE2185">
        <w:rPr>
          <w:noProof/>
        </w:rPr>
        <w:t xml:space="preserve">. </w:t>
      </w:r>
      <w:r w:rsidR="00626481" w:rsidRPr="00CE2185">
        <w:rPr>
          <w:noProof/>
        </w:rPr>
        <w:t xml:space="preserve"> </w:t>
      </w:r>
    </w:p>
    <w:p w14:paraId="3D1C3B8C" w14:textId="7E05E535" w:rsidR="009D453D" w:rsidRPr="00CE2185" w:rsidRDefault="00626481" w:rsidP="00795DF0">
      <w:pPr>
        <w:spacing w:after="120"/>
        <w:rPr>
          <w:noProof/>
        </w:rPr>
      </w:pPr>
      <w:r w:rsidRPr="00CE2185">
        <w:rPr>
          <w:noProof/>
        </w:rPr>
        <w:t xml:space="preserve">Following cost indications can be provided related to </w:t>
      </w:r>
      <w:r w:rsidRPr="00CE2185">
        <w:rPr>
          <w:b/>
          <w:noProof/>
        </w:rPr>
        <w:t xml:space="preserve">new schemes that could be </w:t>
      </w:r>
      <w:r w:rsidR="00A77FD3" w:rsidRPr="00CE2185">
        <w:rPr>
          <w:b/>
          <w:bCs/>
          <w:noProof/>
        </w:rPr>
        <w:t>finalised</w:t>
      </w:r>
      <w:r w:rsidRPr="00CE2185">
        <w:rPr>
          <w:noProof/>
        </w:rPr>
        <w:t xml:space="preserve"> under B1</w:t>
      </w:r>
      <w:r w:rsidR="00380712" w:rsidRPr="00CE2185">
        <w:rPr>
          <w:noProof/>
        </w:rPr>
        <w:t xml:space="preserve"> depending on the scenarios:</w:t>
      </w:r>
      <w:r w:rsidR="00CE4335" w:rsidRPr="00CE2185">
        <w:rPr>
          <w:noProof/>
        </w:rPr>
        <w:t xml:space="preserve"> </w:t>
      </w:r>
      <w:r w:rsidR="00380712" w:rsidRPr="00CE2185">
        <w:rPr>
          <w:noProof/>
        </w:rPr>
        <w:t>a</w:t>
      </w:r>
      <w:r w:rsidR="00CE4335" w:rsidRPr="00CE2185">
        <w:rPr>
          <w:noProof/>
        </w:rPr>
        <w:t xml:space="preserve">n additional 5G scheme could be adopted under </w:t>
      </w:r>
      <w:r w:rsidR="00C92D53" w:rsidRPr="00CE2185">
        <w:rPr>
          <w:noProof/>
        </w:rPr>
        <w:t>B1 + D2 or D3</w:t>
      </w:r>
      <w:r w:rsidR="00CE4335" w:rsidRPr="00CE2185">
        <w:rPr>
          <w:noProof/>
        </w:rPr>
        <w:t xml:space="preserve">. Both EU5G and </w:t>
      </w:r>
      <w:r w:rsidR="00C92D53" w:rsidRPr="00CE2185">
        <w:rPr>
          <w:noProof/>
        </w:rPr>
        <w:t>EUCS</w:t>
      </w:r>
      <w:r w:rsidR="00C92D53" w:rsidRPr="00CE2185">
        <w:rPr>
          <w:i/>
          <w:iCs/>
          <w:noProof/>
        </w:rPr>
        <w:t xml:space="preserve"> </w:t>
      </w:r>
      <w:r w:rsidR="00CE4335" w:rsidRPr="00CE2185">
        <w:rPr>
          <w:noProof/>
        </w:rPr>
        <w:t xml:space="preserve">would be adopted under </w:t>
      </w:r>
      <w:r w:rsidR="00C92D53" w:rsidRPr="00CE2185">
        <w:rPr>
          <w:noProof/>
        </w:rPr>
        <w:t>B1 + D3</w:t>
      </w:r>
      <w:r w:rsidR="00CE4335" w:rsidRPr="00CE2185">
        <w:rPr>
          <w:noProof/>
        </w:rPr>
        <w:t xml:space="preserve">. </w:t>
      </w:r>
      <w:r w:rsidR="005A6B6B" w:rsidRPr="00CE2185">
        <w:rPr>
          <w:noProof/>
        </w:rPr>
        <w:t xml:space="preserve">The </w:t>
      </w:r>
      <w:r w:rsidR="005A6B6B" w:rsidRPr="00CE2185">
        <w:rPr>
          <w:b/>
          <w:noProof/>
        </w:rPr>
        <w:t>costs related to the adoption of a new scheme</w:t>
      </w:r>
      <w:r w:rsidR="005A6B6B" w:rsidRPr="00CE2185">
        <w:rPr>
          <w:noProof/>
        </w:rPr>
        <w:t xml:space="preserve"> would</w:t>
      </w:r>
      <w:r w:rsidR="009D453D" w:rsidRPr="00CE2185">
        <w:rPr>
          <w:noProof/>
        </w:rPr>
        <w:t xml:space="preserve"> typicall</w:t>
      </w:r>
      <w:r w:rsidR="005A6B6B" w:rsidRPr="00CE2185">
        <w:rPr>
          <w:noProof/>
        </w:rPr>
        <w:t>y</w:t>
      </w:r>
      <w:r w:rsidR="009D453D" w:rsidRPr="00CE2185">
        <w:rPr>
          <w:noProof/>
        </w:rPr>
        <w:t xml:space="preserve"> includ</w:t>
      </w:r>
      <w:r w:rsidR="00A77FD3" w:rsidRPr="00CE2185">
        <w:rPr>
          <w:noProof/>
        </w:rPr>
        <w:t>e</w:t>
      </w:r>
      <w:r w:rsidR="009D453D" w:rsidRPr="00CE2185">
        <w:rPr>
          <w:noProof/>
        </w:rPr>
        <w:t xml:space="preserve"> the following: </w:t>
      </w:r>
    </w:p>
    <w:p w14:paraId="63A3FD83" w14:textId="7C33C738" w:rsidR="00887C40" w:rsidRPr="00CE2185" w:rsidRDefault="009D453D" w:rsidP="7410CB48">
      <w:pPr>
        <w:spacing w:after="120"/>
        <w:rPr>
          <w:rFonts w:eastAsia="Times New Roman"/>
          <w:noProof/>
          <w:color w:val="000000" w:themeColor="text1"/>
        </w:rPr>
      </w:pPr>
      <w:r w:rsidRPr="00CE2185">
        <w:rPr>
          <w:noProof/>
        </w:rPr>
        <w:t xml:space="preserve">For </w:t>
      </w:r>
      <w:r w:rsidRPr="00CE2185">
        <w:rPr>
          <w:b/>
          <w:bCs/>
          <w:noProof/>
        </w:rPr>
        <w:t>businesses</w:t>
      </w:r>
      <w:r w:rsidRPr="00CE2185">
        <w:rPr>
          <w:noProof/>
        </w:rPr>
        <w:t xml:space="preserve">: </w:t>
      </w:r>
      <w:r w:rsidR="005057A5" w:rsidRPr="00CE2185">
        <w:rPr>
          <w:noProof/>
        </w:rPr>
        <w:t xml:space="preserve">a certification process involves </w:t>
      </w:r>
      <w:r w:rsidRPr="00CE2185">
        <w:rPr>
          <w:noProof/>
        </w:rPr>
        <w:t>adjustment</w:t>
      </w:r>
      <w:r w:rsidR="004A5AE2" w:rsidRPr="00CE2185">
        <w:rPr>
          <w:noProof/>
        </w:rPr>
        <w:t xml:space="preserve"> costs (to meet scheme requirements)</w:t>
      </w:r>
      <w:r w:rsidRPr="00CE2185">
        <w:rPr>
          <w:noProof/>
        </w:rPr>
        <w:t xml:space="preserve"> and </w:t>
      </w:r>
      <w:r w:rsidR="00CE4335" w:rsidRPr="00CE2185">
        <w:rPr>
          <w:noProof/>
        </w:rPr>
        <w:t xml:space="preserve">one-off and recurrent </w:t>
      </w:r>
      <w:r w:rsidRPr="00CE2185">
        <w:rPr>
          <w:noProof/>
        </w:rPr>
        <w:t>administrative costs (</w:t>
      </w:r>
      <w:r w:rsidR="00A77FD3" w:rsidRPr="00CE2185">
        <w:rPr>
          <w:noProof/>
        </w:rPr>
        <w:t xml:space="preserve">covering </w:t>
      </w:r>
      <w:r w:rsidR="00CE4335" w:rsidRPr="00CE2185">
        <w:rPr>
          <w:noProof/>
        </w:rPr>
        <w:t>documentation; certification; regular audits</w:t>
      </w:r>
      <w:r w:rsidR="005057A5" w:rsidRPr="00CE2185">
        <w:rPr>
          <w:noProof/>
        </w:rPr>
        <w:t xml:space="preserve"> as illustrated in </w:t>
      </w:r>
      <w:r w:rsidR="008F1390" w:rsidRPr="00CE2185">
        <w:rPr>
          <w:i/>
          <w:iCs/>
          <w:noProof/>
        </w:rPr>
        <w:t xml:space="preserve">Annex </w:t>
      </w:r>
      <w:r w:rsidR="006C7FFC" w:rsidRPr="00CE2185">
        <w:rPr>
          <w:i/>
          <w:iCs/>
          <w:noProof/>
        </w:rPr>
        <w:t>4</w:t>
      </w:r>
      <w:r w:rsidR="004A51F9" w:rsidRPr="00CE2185">
        <w:rPr>
          <w:i/>
          <w:iCs/>
          <w:noProof/>
        </w:rPr>
        <w:t>,</w:t>
      </w:r>
      <w:r w:rsidR="004A51F9" w:rsidRPr="00CE2185">
        <w:rPr>
          <w:noProof/>
        </w:rPr>
        <w:t xml:space="preserve"> </w:t>
      </w:r>
      <w:r w:rsidR="004A51F9" w:rsidRPr="00CE2185">
        <w:rPr>
          <w:i/>
          <w:iCs/>
          <w:noProof/>
        </w:rPr>
        <w:t>section 4.2</w:t>
      </w:r>
      <w:r w:rsidR="00A77FD3" w:rsidRPr="00CE2185">
        <w:rPr>
          <w:rStyle w:val="FootnoteReference"/>
          <w:noProof/>
        </w:rPr>
        <w:footnoteReference w:id="155"/>
      </w:r>
      <w:r w:rsidR="00A77FD3" w:rsidRPr="00CE2185">
        <w:rPr>
          <w:noProof/>
        </w:rPr>
        <w:t>)</w:t>
      </w:r>
      <w:r w:rsidR="00CE4335" w:rsidRPr="00CE2185">
        <w:rPr>
          <w:noProof/>
        </w:rPr>
        <w:t xml:space="preserve">. </w:t>
      </w:r>
      <w:r w:rsidR="00480C2F" w:rsidRPr="00CE2185">
        <w:rPr>
          <w:noProof/>
        </w:rPr>
        <w:t>These</w:t>
      </w:r>
      <w:r w:rsidR="00626481" w:rsidRPr="00CE2185">
        <w:rPr>
          <w:noProof/>
        </w:rPr>
        <w:t xml:space="preserve"> costs are not always directly communicated and depend </w:t>
      </w:r>
      <w:r w:rsidR="00480C2F" w:rsidRPr="00CE2185">
        <w:rPr>
          <w:noProof/>
        </w:rPr>
        <w:t>greatly</w:t>
      </w:r>
      <w:r w:rsidR="00626481" w:rsidRPr="00CE2185">
        <w:rPr>
          <w:noProof/>
        </w:rPr>
        <w:t xml:space="preserve"> on the size and complexity of the assessment</w:t>
      </w:r>
      <w:r w:rsidR="00480C2F" w:rsidRPr="00CE2185">
        <w:rPr>
          <w:noProof/>
        </w:rPr>
        <w:t xml:space="preserve">. </w:t>
      </w:r>
      <w:r w:rsidR="007B6C6B" w:rsidRPr="00CE2185">
        <w:rPr>
          <w:noProof/>
        </w:rPr>
        <w:t xml:space="preserve">Regarding cloud certification, </w:t>
      </w:r>
      <w:r w:rsidR="006C7FFC" w:rsidRPr="00CE2185">
        <w:rPr>
          <w:noProof/>
        </w:rPr>
        <w:t>based on available data,</w:t>
      </w:r>
      <w:r w:rsidR="00626481" w:rsidRPr="00CE2185">
        <w:rPr>
          <w:noProof/>
        </w:rPr>
        <w:t xml:space="preserve"> estimates range from a minimum of</w:t>
      </w:r>
      <w:r w:rsidR="00626481" w:rsidRPr="00CE2185">
        <w:rPr>
          <w:b/>
          <w:bCs/>
          <w:noProof/>
        </w:rPr>
        <w:t xml:space="preserve"> EUR 5 000 to 160 000</w:t>
      </w:r>
      <w:r w:rsidR="00626481" w:rsidRPr="00CE2185">
        <w:rPr>
          <w:noProof/>
        </w:rPr>
        <w:t xml:space="preserve"> </w:t>
      </w:r>
      <w:r w:rsidR="00A77FD3" w:rsidRPr="00CE2185">
        <w:rPr>
          <w:noProof/>
        </w:rPr>
        <w:t>depending on the certification process</w:t>
      </w:r>
      <w:r w:rsidR="00825F3E" w:rsidRPr="00CE2185">
        <w:rPr>
          <w:noProof/>
        </w:rPr>
        <w:t xml:space="preserve"> (</w:t>
      </w:r>
      <w:r w:rsidR="00A77FD3" w:rsidRPr="00CE2185">
        <w:rPr>
          <w:i/>
          <w:iCs/>
          <w:noProof/>
        </w:rPr>
        <w:t>see</w:t>
      </w:r>
      <w:r w:rsidR="00A77FD3" w:rsidRPr="00CE2185">
        <w:rPr>
          <w:noProof/>
        </w:rPr>
        <w:t xml:space="preserve"> </w:t>
      </w:r>
      <w:r w:rsidR="00A77FD3" w:rsidRPr="00CE2185">
        <w:rPr>
          <w:i/>
          <w:iCs/>
          <w:noProof/>
        </w:rPr>
        <w:t xml:space="preserve">Annex </w:t>
      </w:r>
      <w:r w:rsidR="00EF67B9" w:rsidRPr="00CE2185">
        <w:rPr>
          <w:i/>
          <w:iCs/>
          <w:noProof/>
        </w:rPr>
        <w:t>4</w:t>
      </w:r>
      <w:r w:rsidR="00466762" w:rsidRPr="00CE2185">
        <w:rPr>
          <w:i/>
          <w:iCs/>
          <w:noProof/>
        </w:rPr>
        <w:t>, section 4.2</w:t>
      </w:r>
      <w:r w:rsidR="007B6C6B" w:rsidRPr="00CE2185">
        <w:rPr>
          <w:noProof/>
        </w:rPr>
        <w:t>).</w:t>
      </w:r>
      <w:r w:rsidR="00C25249" w:rsidRPr="00CE2185">
        <w:rPr>
          <w:noProof/>
        </w:rPr>
        <w:t xml:space="preserve"> </w:t>
      </w:r>
      <w:r w:rsidR="001F148F" w:rsidRPr="00CE2185">
        <w:rPr>
          <w:noProof/>
        </w:rPr>
        <w:t>M</w:t>
      </w:r>
      <w:r w:rsidR="00591961" w:rsidRPr="00CE2185">
        <w:rPr>
          <w:rFonts w:eastAsia="Times New Roman"/>
          <w:noProof/>
          <w:color w:val="000000" w:themeColor="text1"/>
        </w:rPr>
        <w:t>aintaining</w:t>
      </w:r>
      <w:r w:rsidR="001F148F" w:rsidRPr="00CE2185">
        <w:rPr>
          <w:rFonts w:eastAsia="Times New Roman"/>
          <w:noProof/>
          <w:color w:val="000000" w:themeColor="text1"/>
        </w:rPr>
        <w:t xml:space="preserve"> </w:t>
      </w:r>
      <w:r w:rsidR="006C7FFC" w:rsidRPr="00CE2185">
        <w:rPr>
          <w:rFonts w:eastAsia="Times New Roman"/>
          <w:noProof/>
          <w:color w:val="000000" w:themeColor="text1"/>
        </w:rPr>
        <w:t>a</w:t>
      </w:r>
      <w:r w:rsidR="00591961" w:rsidRPr="00CE2185">
        <w:rPr>
          <w:rFonts w:eastAsia="Times New Roman"/>
          <w:noProof/>
          <w:color w:val="000000" w:themeColor="text1"/>
        </w:rPr>
        <w:t xml:space="preserve"> certification also entail</w:t>
      </w:r>
      <w:r w:rsidR="006C7FFC" w:rsidRPr="00CE2185">
        <w:rPr>
          <w:rFonts w:eastAsia="Times New Roman"/>
          <w:noProof/>
          <w:color w:val="000000" w:themeColor="text1"/>
        </w:rPr>
        <w:t>s</w:t>
      </w:r>
      <w:r w:rsidR="00591961" w:rsidRPr="00CE2185">
        <w:rPr>
          <w:rFonts w:eastAsia="Times New Roman"/>
          <w:noProof/>
          <w:color w:val="000000" w:themeColor="text1"/>
        </w:rPr>
        <w:t xml:space="preserve"> </w:t>
      </w:r>
      <w:r w:rsidR="00591961" w:rsidRPr="00CE2185">
        <w:rPr>
          <w:rFonts w:eastAsia="Times New Roman"/>
          <w:b/>
          <w:bCs/>
          <w:noProof/>
          <w:color w:val="000000" w:themeColor="text1"/>
        </w:rPr>
        <w:t>recurrent costs</w:t>
      </w:r>
      <w:r w:rsidR="00591961" w:rsidRPr="00CE2185">
        <w:rPr>
          <w:rFonts w:eastAsia="Times New Roman"/>
          <w:noProof/>
          <w:color w:val="000000" w:themeColor="text1"/>
        </w:rPr>
        <w:t xml:space="preserve">, such as periodic updates </w:t>
      </w:r>
      <w:r w:rsidR="006C7FFC" w:rsidRPr="00CE2185">
        <w:rPr>
          <w:rFonts w:eastAsia="Times New Roman"/>
          <w:noProof/>
          <w:color w:val="000000" w:themeColor="text1"/>
        </w:rPr>
        <w:t>and audits</w:t>
      </w:r>
      <w:r w:rsidR="00591961" w:rsidRPr="00CE2185">
        <w:rPr>
          <w:rFonts w:eastAsia="Times New Roman"/>
          <w:noProof/>
          <w:color w:val="000000" w:themeColor="text1"/>
        </w:rPr>
        <w:t xml:space="preserve"> to comply with evolving scheme requirements. </w:t>
      </w:r>
      <w:r w:rsidR="006C7FFC" w:rsidRPr="00CE2185">
        <w:rPr>
          <w:rFonts w:eastAsia="Times New Roman"/>
          <w:noProof/>
          <w:color w:val="000000" w:themeColor="text1"/>
        </w:rPr>
        <w:t xml:space="preserve">They are more demanding the higher the assurance level.  </w:t>
      </w:r>
    </w:p>
    <w:p w14:paraId="77309564" w14:textId="38DBB56A" w:rsidR="005A6B6B" w:rsidRPr="00CE2185" w:rsidRDefault="005A6B6B" w:rsidP="00795DF0">
      <w:pPr>
        <w:spacing w:after="120"/>
        <w:rPr>
          <w:noProof/>
        </w:rPr>
      </w:pPr>
      <w:r w:rsidRPr="00CE2185">
        <w:rPr>
          <w:noProof/>
        </w:rPr>
        <w:t xml:space="preserve">For </w:t>
      </w:r>
      <w:r w:rsidRPr="00CE2185">
        <w:rPr>
          <w:b/>
          <w:bCs/>
          <w:noProof/>
        </w:rPr>
        <w:t>public authorities</w:t>
      </w:r>
      <w:r w:rsidRPr="00CE2185">
        <w:rPr>
          <w:noProof/>
        </w:rPr>
        <w:t xml:space="preserve">: every new scheme would come with additional resources in terms of supervision </w:t>
      </w:r>
      <w:r w:rsidR="00BE5F32" w:rsidRPr="00CE2185">
        <w:rPr>
          <w:noProof/>
        </w:rPr>
        <w:t>of competent</w:t>
      </w:r>
      <w:r w:rsidR="00124465" w:rsidRPr="00CE2185">
        <w:rPr>
          <w:noProof/>
        </w:rPr>
        <w:t xml:space="preserve"> conformity assessment bodies and </w:t>
      </w:r>
      <w:r w:rsidR="00BE5F32" w:rsidRPr="00CE2185">
        <w:rPr>
          <w:noProof/>
        </w:rPr>
        <w:t>the</w:t>
      </w:r>
      <w:r w:rsidR="00124465" w:rsidRPr="00CE2185">
        <w:rPr>
          <w:noProof/>
        </w:rPr>
        <w:t xml:space="preserve"> compliance of businesses </w:t>
      </w:r>
      <w:r w:rsidR="00BE5F32" w:rsidRPr="00CE2185">
        <w:rPr>
          <w:noProof/>
        </w:rPr>
        <w:t>as well as possibly issuance of certificates at level high</w:t>
      </w:r>
      <w:r w:rsidR="00124465" w:rsidRPr="00CE2185">
        <w:rPr>
          <w:noProof/>
        </w:rPr>
        <w:t xml:space="preserve"> </w:t>
      </w:r>
      <w:r w:rsidRPr="00CE2185">
        <w:rPr>
          <w:noProof/>
        </w:rPr>
        <w:t xml:space="preserve">(one off and recurrent </w:t>
      </w:r>
      <w:r w:rsidR="00B175C8" w:rsidRPr="00CE2185">
        <w:rPr>
          <w:noProof/>
        </w:rPr>
        <w:t xml:space="preserve">enforcement </w:t>
      </w:r>
      <w:r w:rsidR="009E1CD2" w:rsidRPr="00CE2185">
        <w:rPr>
          <w:noProof/>
        </w:rPr>
        <w:t>costs)</w:t>
      </w:r>
      <w:r w:rsidRPr="00CE2185">
        <w:rPr>
          <w:noProof/>
        </w:rPr>
        <w:t xml:space="preserve">. </w:t>
      </w:r>
      <w:r w:rsidR="00855A8B" w:rsidRPr="00CE2185">
        <w:rPr>
          <w:noProof/>
        </w:rPr>
        <w:t>The findings of a consultation run in July and August 2025,</w:t>
      </w:r>
      <w:r w:rsidRPr="00CE2185">
        <w:rPr>
          <w:noProof/>
        </w:rPr>
        <w:t xml:space="preserve"> indicated that those could </w:t>
      </w:r>
      <w:r w:rsidR="00033DDF" w:rsidRPr="00CE2185">
        <w:rPr>
          <w:noProof/>
        </w:rPr>
        <w:t xml:space="preserve">be in </w:t>
      </w:r>
      <w:r w:rsidR="00033DDF" w:rsidRPr="00CE2185">
        <w:rPr>
          <w:b/>
          <w:bCs/>
          <w:noProof/>
        </w:rPr>
        <w:t>average</w:t>
      </w:r>
      <w:r w:rsidR="006D4D69" w:rsidRPr="00CE2185">
        <w:rPr>
          <w:b/>
          <w:bCs/>
          <w:noProof/>
        </w:rPr>
        <w:t xml:space="preserve"> 5</w:t>
      </w:r>
      <w:r w:rsidR="00BB7C10" w:rsidRPr="00CE2185">
        <w:rPr>
          <w:b/>
          <w:bCs/>
          <w:noProof/>
        </w:rPr>
        <w:t xml:space="preserve"> FTEs</w:t>
      </w:r>
      <w:r w:rsidR="00105467" w:rsidRPr="00CE2185">
        <w:rPr>
          <w:noProof/>
        </w:rPr>
        <w:t xml:space="preserve">, taking an estimation of </w:t>
      </w:r>
      <w:r w:rsidR="00520B1D" w:rsidRPr="00CE2185">
        <w:rPr>
          <w:noProof/>
        </w:rPr>
        <w:t xml:space="preserve">56,500 </w:t>
      </w:r>
      <w:r w:rsidR="007C6C4D" w:rsidRPr="00CE2185">
        <w:rPr>
          <w:noProof/>
        </w:rPr>
        <w:t>EUR</w:t>
      </w:r>
      <w:r w:rsidR="00520B1D" w:rsidRPr="00CE2185">
        <w:rPr>
          <w:noProof/>
        </w:rPr>
        <w:t xml:space="preserve"> </w:t>
      </w:r>
      <w:r w:rsidR="00BB7C10" w:rsidRPr="00CE2185">
        <w:rPr>
          <w:noProof/>
        </w:rPr>
        <w:t>for one FTE</w:t>
      </w:r>
      <w:r w:rsidR="001A0980" w:rsidRPr="00CE2185">
        <w:rPr>
          <w:noProof/>
        </w:rPr>
        <w:t xml:space="preserve"> (</w:t>
      </w:r>
      <w:r w:rsidR="00591448" w:rsidRPr="00CE2185">
        <w:rPr>
          <w:i/>
          <w:iCs/>
          <w:noProof/>
        </w:rPr>
        <w:t>s</w:t>
      </w:r>
      <w:r w:rsidR="001A0980" w:rsidRPr="00CE2185">
        <w:rPr>
          <w:i/>
          <w:iCs/>
          <w:noProof/>
        </w:rPr>
        <w:t xml:space="preserve">ee Annex </w:t>
      </w:r>
      <w:r w:rsidR="00591448" w:rsidRPr="00CE2185">
        <w:rPr>
          <w:i/>
          <w:iCs/>
          <w:noProof/>
        </w:rPr>
        <w:t>4</w:t>
      </w:r>
      <w:r w:rsidR="00E9195D" w:rsidRPr="00CE2185">
        <w:rPr>
          <w:noProof/>
        </w:rPr>
        <w:t xml:space="preserve">, </w:t>
      </w:r>
      <w:r w:rsidR="00E9195D" w:rsidRPr="00CE2185">
        <w:rPr>
          <w:i/>
          <w:iCs/>
          <w:noProof/>
        </w:rPr>
        <w:t>section 4.2</w:t>
      </w:r>
      <w:r w:rsidR="001A0980" w:rsidRPr="00CE2185">
        <w:rPr>
          <w:noProof/>
        </w:rPr>
        <w:t>)</w:t>
      </w:r>
      <w:r w:rsidR="00BB7C10" w:rsidRPr="00CE2185">
        <w:rPr>
          <w:noProof/>
        </w:rPr>
        <w:t xml:space="preserve">, </w:t>
      </w:r>
      <w:r w:rsidR="00105467" w:rsidRPr="00CE2185">
        <w:rPr>
          <w:noProof/>
        </w:rPr>
        <w:t xml:space="preserve">this would lead </w:t>
      </w:r>
      <w:r w:rsidR="0014235B" w:rsidRPr="00CE2185">
        <w:rPr>
          <w:noProof/>
        </w:rPr>
        <w:t>282.500</w:t>
      </w:r>
      <w:r w:rsidR="007A146B" w:rsidRPr="00CE2185">
        <w:rPr>
          <w:noProof/>
        </w:rPr>
        <w:t xml:space="preserve"> EUR for 5 FTEs</w:t>
      </w:r>
      <w:r w:rsidR="00105467" w:rsidRPr="00CE2185">
        <w:rPr>
          <w:noProof/>
        </w:rPr>
        <w:t xml:space="preserve"> of recurrent costs</w:t>
      </w:r>
      <w:r w:rsidR="0014235B" w:rsidRPr="00CE2185">
        <w:rPr>
          <w:noProof/>
        </w:rPr>
        <w:t xml:space="preserve"> </w:t>
      </w:r>
      <w:r w:rsidR="001A0980" w:rsidRPr="00CE2185">
        <w:rPr>
          <w:noProof/>
        </w:rPr>
        <w:t>by Member State</w:t>
      </w:r>
      <w:r w:rsidR="002D00FB" w:rsidRPr="00CE2185">
        <w:rPr>
          <w:noProof/>
        </w:rPr>
        <w:t>.</w:t>
      </w:r>
      <w:r w:rsidRPr="00CE2185">
        <w:rPr>
          <w:noProof/>
        </w:rPr>
        <w:t xml:space="preserve"> </w:t>
      </w:r>
      <w:r w:rsidR="00B175C8" w:rsidRPr="00CE2185">
        <w:rPr>
          <w:noProof/>
        </w:rPr>
        <w:t xml:space="preserve">The costs would be higher for Member States that have not yet </w:t>
      </w:r>
      <w:r w:rsidR="002D00FB" w:rsidRPr="00CE2185">
        <w:rPr>
          <w:noProof/>
        </w:rPr>
        <w:t>any national schemes in place</w:t>
      </w:r>
      <w:r w:rsidR="003F117E" w:rsidRPr="00CE2185">
        <w:rPr>
          <w:noProof/>
        </w:rPr>
        <w:t xml:space="preserve"> and/or that decide to issue certification at level high</w:t>
      </w:r>
      <w:r w:rsidR="00627205" w:rsidRPr="00CE2185">
        <w:rPr>
          <w:noProof/>
        </w:rPr>
        <w:t xml:space="preserve"> (to be issued by a public authority)</w:t>
      </w:r>
      <w:r w:rsidR="002D00FB" w:rsidRPr="00CE2185">
        <w:rPr>
          <w:noProof/>
        </w:rPr>
        <w:t>.</w:t>
      </w:r>
      <w:r w:rsidR="005F2898" w:rsidRPr="00CE2185">
        <w:rPr>
          <w:noProof/>
        </w:rPr>
        <w:t xml:space="preserve"> Member States with existing national schemes would likely </w:t>
      </w:r>
      <w:r w:rsidR="001D2303" w:rsidRPr="00CE2185">
        <w:rPr>
          <w:noProof/>
        </w:rPr>
        <w:t>use existing resources to implement the European scheme.</w:t>
      </w:r>
      <w:r w:rsidR="002D00FB" w:rsidRPr="00CE2185">
        <w:rPr>
          <w:noProof/>
        </w:rPr>
        <w:t xml:space="preserve"> Member States with schemes in place would mainly bear adjustment costs.</w:t>
      </w:r>
      <w:r w:rsidR="0028355B" w:rsidRPr="00CE2185">
        <w:rPr>
          <w:noProof/>
        </w:rPr>
        <w:t xml:space="preserve"> </w:t>
      </w:r>
      <w:r w:rsidR="000443AE" w:rsidRPr="00CE2185">
        <w:rPr>
          <w:noProof/>
        </w:rPr>
        <w:t xml:space="preserve">Assuming </w:t>
      </w:r>
      <w:r w:rsidR="007B08C8" w:rsidRPr="00CE2185">
        <w:rPr>
          <w:noProof/>
        </w:rPr>
        <w:t>generous</w:t>
      </w:r>
      <w:r w:rsidR="00D836CB" w:rsidRPr="00CE2185">
        <w:rPr>
          <w:noProof/>
        </w:rPr>
        <w:t>l</w:t>
      </w:r>
      <w:r w:rsidR="007B08C8" w:rsidRPr="00CE2185">
        <w:rPr>
          <w:noProof/>
        </w:rPr>
        <w:t xml:space="preserve">y </w:t>
      </w:r>
      <w:r w:rsidR="000443AE" w:rsidRPr="00CE2185">
        <w:rPr>
          <w:noProof/>
        </w:rPr>
        <w:t xml:space="preserve">that </w:t>
      </w:r>
      <w:r w:rsidR="007B08C8" w:rsidRPr="00CE2185">
        <w:rPr>
          <w:noProof/>
        </w:rPr>
        <w:t>27</w:t>
      </w:r>
      <w:r w:rsidR="000443AE" w:rsidRPr="00CE2185">
        <w:rPr>
          <w:noProof/>
        </w:rPr>
        <w:t xml:space="preserve"> MS would adopt the new scheme</w:t>
      </w:r>
      <w:r w:rsidR="007B08C8" w:rsidRPr="00CE2185">
        <w:rPr>
          <w:noProof/>
        </w:rPr>
        <w:t xml:space="preserve"> in the first year</w:t>
      </w:r>
      <w:r w:rsidR="000443AE" w:rsidRPr="00CE2185">
        <w:rPr>
          <w:noProof/>
        </w:rPr>
        <w:t xml:space="preserve">, and </w:t>
      </w:r>
      <w:r w:rsidR="003F117E" w:rsidRPr="00CE2185">
        <w:rPr>
          <w:noProof/>
        </w:rPr>
        <w:t xml:space="preserve">allocate an average </w:t>
      </w:r>
      <w:r w:rsidR="00A06715" w:rsidRPr="00CE2185">
        <w:rPr>
          <w:noProof/>
        </w:rPr>
        <w:t xml:space="preserve">of 5 FTEs, this could mean </w:t>
      </w:r>
      <w:r w:rsidR="00125E30" w:rsidRPr="00CE2185">
        <w:rPr>
          <w:b/>
          <w:bCs/>
          <w:noProof/>
        </w:rPr>
        <w:t>7</w:t>
      </w:r>
      <w:r w:rsidR="00466264" w:rsidRPr="00CE2185">
        <w:rPr>
          <w:b/>
          <w:bCs/>
          <w:noProof/>
        </w:rPr>
        <w:t xml:space="preserve"> </w:t>
      </w:r>
      <w:r w:rsidR="00125E30" w:rsidRPr="00CE2185">
        <w:rPr>
          <w:b/>
          <w:bCs/>
          <w:noProof/>
        </w:rPr>
        <w:t>627</w:t>
      </w:r>
      <w:r w:rsidR="00466264" w:rsidRPr="00CE2185">
        <w:rPr>
          <w:b/>
          <w:bCs/>
          <w:noProof/>
        </w:rPr>
        <w:t xml:space="preserve"> </w:t>
      </w:r>
      <w:r w:rsidR="00125E30" w:rsidRPr="00CE2185">
        <w:rPr>
          <w:b/>
          <w:bCs/>
          <w:noProof/>
        </w:rPr>
        <w:t xml:space="preserve">500 </w:t>
      </w:r>
      <w:r w:rsidR="00A06715" w:rsidRPr="00CE2185">
        <w:rPr>
          <w:b/>
          <w:bCs/>
          <w:noProof/>
        </w:rPr>
        <w:t>EUR per year</w:t>
      </w:r>
      <w:r w:rsidR="00115AF6" w:rsidRPr="00CE2185">
        <w:rPr>
          <w:noProof/>
        </w:rPr>
        <w:t xml:space="preserve"> </w:t>
      </w:r>
      <w:r w:rsidR="00125E30" w:rsidRPr="00CE2185">
        <w:rPr>
          <w:b/>
          <w:bCs/>
          <w:noProof/>
        </w:rPr>
        <w:t>for all 27 Member States for the</w:t>
      </w:r>
      <w:r w:rsidR="00DB4D7C" w:rsidRPr="00CE2185">
        <w:rPr>
          <w:b/>
          <w:bCs/>
          <w:noProof/>
        </w:rPr>
        <w:t xml:space="preserve"> adoption of a new scheme</w:t>
      </w:r>
      <w:r w:rsidR="00256977" w:rsidRPr="00256977">
        <w:rPr>
          <w:noProof/>
        </w:rPr>
        <w:t xml:space="preserve"> </w:t>
      </w:r>
      <w:r w:rsidR="00256977" w:rsidRPr="00256977">
        <w:rPr>
          <w:b/>
          <w:bCs/>
          <w:noProof/>
        </w:rPr>
        <w:t>(compared to BaU)</w:t>
      </w:r>
      <w:r w:rsidR="00DB4D7C" w:rsidRPr="00CE2185">
        <w:rPr>
          <w:noProof/>
        </w:rPr>
        <w:t xml:space="preserve">. The aggregated costs are indicated in the table </w:t>
      </w:r>
      <w:r w:rsidR="004B2BBE" w:rsidRPr="00CE2185">
        <w:rPr>
          <w:noProof/>
        </w:rPr>
        <w:t>below</w:t>
      </w:r>
      <w:r w:rsidR="00DB4D7C" w:rsidRPr="00CE2185">
        <w:rPr>
          <w:noProof/>
        </w:rPr>
        <w:t xml:space="preserve">. </w:t>
      </w:r>
    </w:p>
    <w:p w14:paraId="13A76977" w14:textId="67F5178F" w:rsidR="009E1CD2" w:rsidRPr="00CE2185" w:rsidRDefault="00BC2073" w:rsidP="00795DF0">
      <w:pPr>
        <w:spacing w:after="120"/>
        <w:rPr>
          <w:noProof/>
        </w:rPr>
      </w:pPr>
      <w:r w:rsidRPr="00CE2185">
        <w:rPr>
          <w:b/>
          <w:bCs/>
          <w:noProof/>
        </w:rPr>
        <w:t>CABs</w:t>
      </w:r>
      <w:r w:rsidR="00765CB7" w:rsidRPr="00CE2185">
        <w:rPr>
          <w:b/>
          <w:bCs/>
          <w:noProof/>
        </w:rPr>
        <w:t xml:space="preserve"> </w:t>
      </w:r>
      <w:r w:rsidR="00765CB7" w:rsidRPr="00CE2185">
        <w:rPr>
          <w:noProof/>
        </w:rPr>
        <w:t xml:space="preserve">would support </w:t>
      </w:r>
      <w:r w:rsidR="00D54DB6" w:rsidRPr="00CE2185">
        <w:rPr>
          <w:noProof/>
        </w:rPr>
        <w:t xml:space="preserve">mainly </w:t>
      </w:r>
      <w:r w:rsidR="00765CB7" w:rsidRPr="00CE2185">
        <w:rPr>
          <w:noProof/>
        </w:rPr>
        <w:t xml:space="preserve">adjustment costs </w:t>
      </w:r>
      <w:r w:rsidR="00D54DB6" w:rsidRPr="00CE2185">
        <w:rPr>
          <w:noProof/>
        </w:rPr>
        <w:t>(training an</w:t>
      </w:r>
      <w:r w:rsidR="00916D27" w:rsidRPr="00CE2185">
        <w:rPr>
          <w:noProof/>
        </w:rPr>
        <w:t>d meeting requirements to get accredited)</w:t>
      </w:r>
      <w:r w:rsidR="00D54DB6" w:rsidRPr="00CE2185">
        <w:rPr>
          <w:noProof/>
        </w:rPr>
        <w:t xml:space="preserve"> and </w:t>
      </w:r>
      <w:r w:rsidR="00565E10" w:rsidRPr="00CE2185">
        <w:rPr>
          <w:noProof/>
        </w:rPr>
        <w:t>one-off and recurrent</w:t>
      </w:r>
      <w:r w:rsidR="00D54DB6" w:rsidRPr="00CE2185">
        <w:rPr>
          <w:noProof/>
        </w:rPr>
        <w:t xml:space="preserve"> </w:t>
      </w:r>
      <w:r w:rsidR="00765CB7" w:rsidRPr="00CE2185">
        <w:rPr>
          <w:noProof/>
        </w:rPr>
        <w:t xml:space="preserve">administrative </w:t>
      </w:r>
      <w:r w:rsidR="00D54DB6" w:rsidRPr="00CE2185">
        <w:rPr>
          <w:noProof/>
        </w:rPr>
        <w:t>costs</w:t>
      </w:r>
      <w:r w:rsidR="00765CB7" w:rsidRPr="00CE2185">
        <w:rPr>
          <w:noProof/>
        </w:rPr>
        <w:t xml:space="preserve"> due to accreditation and monitoring of their competence</w:t>
      </w:r>
      <w:r w:rsidR="00916D27" w:rsidRPr="00CE2185">
        <w:rPr>
          <w:noProof/>
        </w:rPr>
        <w:t xml:space="preserve"> by relevant authorities</w:t>
      </w:r>
      <w:r w:rsidR="00765CB7" w:rsidRPr="00CE2185">
        <w:rPr>
          <w:noProof/>
        </w:rPr>
        <w:t xml:space="preserve">. </w:t>
      </w:r>
      <w:r w:rsidR="00D54DB6" w:rsidRPr="00CE2185">
        <w:rPr>
          <w:noProof/>
        </w:rPr>
        <w:t>The administrative costs for accreditation can range between EUR 4 000 and EUR 20 000 per accreditation</w:t>
      </w:r>
      <w:r w:rsidR="009E1CD2" w:rsidRPr="00CE2185">
        <w:rPr>
          <w:noProof/>
        </w:rPr>
        <w:t xml:space="preserve"> </w:t>
      </w:r>
      <w:r w:rsidR="00D54DB6" w:rsidRPr="00CE2185">
        <w:rPr>
          <w:noProof/>
        </w:rPr>
        <w:t>according to secondary sources</w:t>
      </w:r>
      <w:r w:rsidR="00916D27" w:rsidRPr="00CE2185">
        <w:rPr>
          <w:rStyle w:val="FootnoteReference"/>
          <w:noProof/>
        </w:rPr>
        <w:footnoteReference w:id="156"/>
      </w:r>
      <w:r w:rsidR="0051758A" w:rsidRPr="00CE2185">
        <w:rPr>
          <w:noProof/>
        </w:rPr>
        <w:t>, with part of these costs being</w:t>
      </w:r>
      <w:r w:rsidR="00084DEF" w:rsidRPr="00CE2185">
        <w:rPr>
          <w:noProof/>
        </w:rPr>
        <w:t xml:space="preserve"> recurrent (payment of accreditation fees every one or two years)</w:t>
      </w:r>
      <w:r w:rsidR="00DE2DAA" w:rsidRPr="00CE2185">
        <w:rPr>
          <w:noProof/>
        </w:rPr>
        <w:t>.</w:t>
      </w:r>
      <w:r w:rsidR="00565E10" w:rsidRPr="00CE2185">
        <w:rPr>
          <w:noProof/>
        </w:rPr>
        <w:t xml:space="preserve"> </w:t>
      </w:r>
      <w:r w:rsidR="00632A00" w:rsidRPr="00CE2185">
        <w:rPr>
          <w:noProof/>
        </w:rPr>
        <w:t>It is not possible to give an agg</w:t>
      </w:r>
      <w:r w:rsidR="000F4576" w:rsidRPr="00CE2185">
        <w:rPr>
          <w:noProof/>
        </w:rPr>
        <w:t xml:space="preserve">regated estimate as this would depend </w:t>
      </w:r>
      <w:r w:rsidRPr="00CE2185">
        <w:rPr>
          <w:noProof/>
        </w:rPr>
        <w:t xml:space="preserve">on the voluntary engagement of CABs. </w:t>
      </w:r>
      <w:r w:rsidR="001F4835" w:rsidRPr="00CE2185">
        <w:rPr>
          <w:noProof/>
        </w:rPr>
        <w:t xml:space="preserve">Furthermore, the costs would be largely offset by revenues (see </w:t>
      </w:r>
      <w:r w:rsidR="00565E10" w:rsidRPr="00CE2185">
        <w:rPr>
          <w:noProof/>
        </w:rPr>
        <w:t>sub-</w:t>
      </w:r>
      <w:r w:rsidR="001F4835" w:rsidRPr="00CE2185">
        <w:rPr>
          <w:noProof/>
        </w:rPr>
        <w:t xml:space="preserve">section on benefits). </w:t>
      </w:r>
    </w:p>
    <w:p w14:paraId="18DC6161" w14:textId="13BCE437" w:rsidR="003228FB" w:rsidRPr="00CE2185" w:rsidRDefault="002B5E47" w:rsidP="00795DF0">
      <w:pPr>
        <w:spacing w:after="120"/>
        <w:rPr>
          <w:noProof/>
        </w:rPr>
      </w:pPr>
      <w:r w:rsidRPr="00CE2185">
        <w:rPr>
          <w:noProof/>
        </w:rPr>
        <w:t>R</w:t>
      </w:r>
      <w:r w:rsidR="005A7729" w:rsidRPr="00CE2185">
        <w:rPr>
          <w:noProof/>
        </w:rPr>
        <w:t xml:space="preserve">egarding the </w:t>
      </w:r>
      <w:r w:rsidR="005A7729" w:rsidRPr="00CE2185">
        <w:rPr>
          <w:b/>
          <w:noProof/>
        </w:rPr>
        <w:t>alignment with existing legislation</w:t>
      </w:r>
      <w:r w:rsidR="005A7729" w:rsidRPr="00CE2185">
        <w:rPr>
          <w:noProof/>
        </w:rPr>
        <w:t xml:space="preserve">, </w:t>
      </w:r>
      <w:r w:rsidR="00FF16F3" w:rsidRPr="00CE2185">
        <w:rPr>
          <w:noProof/>
        </w:rPr>
        <w:t>the</w:t>
      </w:r>
      <w:r w:rsidR="00C52CB4" w:rsidRPr="00CE2185">
        <w:rPr>
          <w:noProof/>
        </w:rPr>
        <w:t xml:space="preserve"> adjustment costs for businesses</w:t>
      </w:r>
      <w:r w:rsidR="00072D27" w:rsidRPr="00CE2185">
        <w:rPr>
          <w:noProof/>
        </w:rPr>
        <w:t xml:space="preserve"> </w:t>
      </w:r>
      <w:r w:rsidR="002B4FFC" w:rsidRPr="00CE2185">
        <w:rPr>
          <w:noProof/>
        </w:rPr>
        <w:t>would be mitigate</w:t>
      </w:r>
      <w:r w:rsidR="006B1700" w:rsidRPr="00CE2185">
        <w:rPr>
          <w:noProof/>
        </w:rPr>
        <w:t>d</w:t>
      </w:r>
      <w:r w:rsidR="002B4FFC" w:rsidRPr="00CE2185">
        <w:rPr>
          <w:noProof/>
        </w:rPr>
        <w:t xml:space="preserve"> </w:t>
      </w:r>
      <w:r w:rsidR="00072D27" w:rsidRPr="00CE2185">
        <w:rPr>
          <w:noProof/>
        </w:rPr>
        <w:t xml:space="preserve">thanks to transition periods. </w:t>
      </w:r>
      <w:r w:rsidR="002B4FFC" w:rsidRPr="00CE2185">
        <w:rPr>
          <w:noProof/>
        </w:rPr>
        <w:t>For EUCC, b</w:t>
      </w:r>
      <w:r w:rsidR="00072D27" w:rsidRPr="00CE2185">
        <w:rPr>
          <w:noProof/>
        </w:rPr>
        <w:t>usinesses</w:t>
      </w:r>
      <w:r w:rsidR="00C52CB4" w:rsidRPr="00CE2185">
        <w:rPr>
          <w:noProof/>
        </w:rPr>
        <w:t xml:space="preserve"> </w:t>
      </w:r>
      <w:r w:rsidR="00072D27" w:rsidRPr="00CE2185">
        <w:rPr>
          <w:noProof/>
        </w:rPr>
        <w:t xml:space="preserve">would align with the reviewed scheme either when applying to a new certificate or reviewing their old certificate. </w:t>
      </w:r>
      <w:r w:rsidR="00284176" w:rsidRPr="00CE2185">
        <w:rPr>
          <w:noProof/>
        </w:rPr>
        <w:t xml:space="preserve">Furthermore, </w:t>
      </w:r>
      <w:r w:rsidR="006A3997" w:rsidRPr="00CE2185">
        <w:rPr>
          <w:noProof/>
        </w:rPr>
        <w:t>for manufacturers covered by the CRA</w:t>
      </w:r>
      <w:r w:rsidR="00284176" w:rsidRPr="00CE2185">
        <w:rPr>
          <w:noProof/>
        </w:rPr>
        <w:t xml:space="preserve">, </w:t>
      </w:r>
      <w:r w:rsidR="006B1700" w:rsidRPr="00CE2185">
        <w:rPr>
          <w:noProof/>
        </w:rPr>
        <w:t>t</w:t>
      </w:r>
      <w:r w:rsidR="005A237D" w:rsidRPr="00CE2185">
        <w:rPr>
          <w:noProof/>
        </w:rPr>
        <w:t xml:space="preserve">his would </w:t>
      </w:r>
      <w:r w:rsidR="00E12D24" w:rsidRPr="00CE2185">
        <w:rPr>
          <w:noProof/>
        </w:rPr>
        <w:t>likely</w:t>
      </w:r>
      <w:r w:rsidR="005A237D" w:rsidRPr="00CE2185">
        <w:rPr>
          <w:noProof/>
        </w:rPr>
        <w:t xml:space="preserve"> build on </w:t>
      </w:r>
      <w:r w:rsidR="006B1700" w:rsidRPr="00CE2185">
        <w:rPr>
          <w:noProof/>
        </w:rPr>
        <w:t>on-going work rela</w:t>
      </w:r>
      <w:r w:rsidR="005A237D" w:rsidRPr="00CE2185">
        <w:rPr>
          <w:noProof/>
        </w:rPr>
        <w:t xml:space="preserve">ted to the preparation for the presumption of conformity of EUCC with CRA (see baseline scenario). </w:t>
      </w:r>
      <w:r w:rsidR="00A13E75" w:rsidRPr="00CE2185">
        <w:rPr>
          <w:noProof/>
        </w:rPr>
        <w:t xml:space="preserve">For </w:t>
      </w:r>
      <w:r w:rsidR="00A13E75" w:rsidRPr="00CE2185">
        <w:rPr>
          <w:b/>
          <w:noProof/>
        </w:rPr>
        <w:t>public authorities</w:t>
      </w:r>
      <w:r w:rsidR="00A13E75" w:rsidRPr="00CE2185">
        <w:rPr>
          <w:noProof/>
        </w:rPr>
        <w:t xml:space="preserve">, </w:t>
      </w:r>
      <w:r w:rsidR="000E0FD6" w:rsidRPr="00CE2185">
        <w:rPr>
          <w:noProof/>
        </w:rPr>
        <w:t xml:space="preserve">no additional compliance costs are foreseen. </w:t>
      </w:r>
    </w:p>
    <w:p w14:paraId="583584BF" w14:textId="17F89FD2" w:rsidR="005C11B4" w:rsidRPr="00CE2185" w:rsidRDefault="004579D9" w:rsidP="001E5D9D">
      <w:pPr>
        <w:pStyle w:val="Heading7"/>
        <w:rPr>
          <w:i/>
          <w:iCs/>
          <w:noProof/>
        </w:rPr>
      </w:pPr>
      <w:bookmarkStart w:id="104" w:name="_Toc218767767"/>
      <w:r w:rsidRPr="00CE2185">
        <w:rPr>
          <w:noProof/>
        </w:rPr>
        <w:t>Table</w:t>
      </w:r>
      <w:r w:rsidR="007C0F70" w:rsidRPr="00CE2185">
        <w:rPr>
          <w:noProof/>
        </w:rPr>
        <w:t xml:space="preserve"> </w:t>
      </w:r>
      <w:r w:rsidR="00362531" w:rsidRPr="00CE2185">
        <w:rPr>
          <w:noProof/>
        </w:rPr>
        <w:t>5</w:t>
      </w:r>
      <w:r w:rsidRPr="00CE2185">
        <w:rPr>
          <w:noProof/>
        </w:rPr>
        <w:t>: Overview of ENISA resources under option B</w:t>
      </w:r>
      <w:r w:rsidR="008231E1" w:rsidRPr="00CE2185">
        <w:rPr>
          <w:noProof/>
        </w:rPr>
        <w:t>.</w:t>
      </w:r>
      <w:r w:rsidRPr="00CE2185">
        <w:rPr>
          <w:noProof/>
        </w:rPr>
        <w:t>1</w:t>
      </w:r>
      <w:bookmarkEnd w:id="104"/>
      <w:r w:rsidRPr="00CE2185">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1726"/>
        <w:gridCol w:w="812"/>
        <w:gridCol w:w="812"/>
        <w:gridCol w:w="812"/>
        <w:gridCol w:w="812"/>
        <w:gridCol w:w="783"/>
        <w:gridCol w:w="830"/>
        <w:gridCol w:w="1142"/>
        <w:gridCol w:w="1134"/>
      </w:tblGrid>
      <w:tr w:rsidR="00CD3C1D" w:rsidRPr="00CE2185" w14:paraId="7C6CF696" w14:textId="3F400A86" w:rsidTr="00CD3C1D">
        <w:trPr>
          <w:trHeight w:val="315"/>
        </w:trPr>
        <w:tc>
          <w:tcPr>
            <w:tcW w:w="974" w:type="pct"/>
            <w:shd w:val="clear" w:color="000000" w:fill="D0D0D0"/>
            <w:noWrap/>
            <w:vAlign w:val="center"/>
            <w:hideMark/>
          </w:tcPr>
          <w:p w14:paraId="0270F2E5" w14:textId="7E7F9D68" w:rsidR="00F83306" w:rsidRPr="00CE2185" w:rsidRDefault="00916B85" w:rsidP="00916B85">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Option B.</w:t>
            </w:r>
            <w:r w:rsidR="003228FB" w:rsidRPr="00CE2185">
              <w:rPr>
                <w:rFonts w:eastAsia="Times New Roman"/>
                <w:b/>
                <w:noProof/>
                <w:color w:val="000000"/>
                <w:sz w:val="18"/>
                <w:szCs w:val="18"/>
                <w:lang w:val="en-IE" w:eastAsia="en-IE"/>
              </w:rPr>
              <w:t>1</w:t>
            </w:r>
            <w:r w:rsidR="00B178D6" w:rsidRPr="00CE2185">
              <w:rPr>
                <w:rFonts w:eastAsia="Times New Roman"/>
                <w:b/>
                <w:noProof/>
                <w:color w:val="000000"/>
                <w:sz w:val="18"/>
                <w:szCs w:val="18"/>
                <w:lang w:val="en-IE" w:eastAsia="en-IE"/>
              </w:rPr>
              <w:t xml:space="preserve"> </w:t>
            </w:r>
            <w:r w:rsidR="00F83306" w:rsidRPr="00CE2185">
              <w:rPr>
                <w:rFonts w:eastAsia="Times New Roman"/>
                <w:b/>
                <w:noProof/>
                <w:color w:val="000000"/>
                <w:sz w:val="18"/>
                <w:szCs w:val="18"/>
                <w:lang w:val="en-IE" w:eastAsia="en-IE"/>
              </w:rPr>
              <w:t>–</w:t>
            </w:r>
            <w:r w:rsidR="00B178D6" w:rsidRPr="00CE2185">
              <w:rPr>
                <w:rFonts w:eastAsia="Times New Roman"/>
                <w:b/>
                <w:noProof/>
                <w:color w:val="000000"/>
                <w:sz w:val="18"/>
                <w:szCs w:val="18"/>
                <w:lang w:val="en-IE" w:eastAsia="en-IE"/>
              </w:rPr>
              <w:t xml:space="preserve"> FTEs</w:t>
            </w:r>
            <w:r w:rsidR="00F83306" w:rsidRPr="00CE2185">
              <w:rPr>
                <w:rFonts w:eastAsia="Times New Roman"/>
                <w:b/>
                <w:noProof/>
                <w:color w:val="000000"/>
                <w:sz w:val="18"/>
                <w:szCs w:val="18"/>
                <w:lang w:val="en-IE" w:eastAsia="en-IE"/>
              </w:rPr>
              <w:t xml:space="preserve"> </w:t>
            </w:r>
          </w:p>
          <w:p w14:paraId="54396CB4" w14:textId="4067B39F" w:rsidR="00916B85" w:rsidRPr="00CE2185" w:rsidRDefault="00F83306" w:rsidP="00916B85">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w:t>
            </w:r>
            <w:r w:rsidRPr="00CE2185">
              <w:rPr>
                <w:rFonts w:eastAsia="Times New Roman"/>
                <w:b/>
                <w:bCs/>
                <w:noProof/>
                <w:color w:val="000000"/>
                <w:sz w:val="18"/>
                <w:szCs w:val="18"/>
                <w:lang w:val="en-IE" w:eastAsia="en-IE"/>
              </w:rPr>
              <w:t>one</w:t>
            </w:r>
            <w:r w:rsidRPr="00CE2185">
              <w:rPr>
                <w:rFonts w:eastAsia="Times New Roman"/>
                <w:b/>
                <w:noProof/>
                <w:color w:val="000000"/>
                <w:sz w:val="18"/>
                <w:szCs w:val="18"/>
                <w:lang w:val="en-IE" w:eastAsia="en-IE"/>
              </w:rPr>
              <w:t xml:space="preserve">-off and recurrent costs for ENISA) </w:t>
            </w:r>
            <w:r w:rsidR="004579D9" w:rsidRPr="00CE2185">
              <w:rPr>
                <w:rFonts w:eastAsia="Times New Roman"/>
                <w:b/>
                <w:noProof/>
                <w:color w:val="000000"/>
                <w:sz w:val="18"/>
                <w:szCs w:val="18"/>
                <w:lang w:val="en-IE" w:eastAsia="en-IE"/>
              </w:rPr>
              <w:t xml:space="preserve">1 FTE = </w:t>
            </w:r>
            <w:r w:rsidR="006D1C48" w:rsidRPr="00CE2185">
              <w:rPr>
                <w:rFonts w:eastAsia="Times New Roman"/>
                <w:b/>
                <w:noProof/>
                <w:color w:val="000000"/>
                <w:sz w:val="18"/>
                <w:szCs w:val="18"/>
                <w:lang w:val="en-IE" w:eastAsia="en-IE"/>
              </w:rPr>
              <w:t xml:space="preserve">EUR </w:t>
            </w:r>
            <w:r w:rsidR="007C6C4D" w:rsidRPr="00CE2185">
              <w:rPr>
                <w:rFonts w:eastAsia="Times New Roman"/>
                <w:b/>
                <w:noProof/>
                <w:color w:val="000000"/>
                <w:sz w:val="18"/>
                <w:szCs w:val="18"/>
                <w:lang w:val="en-IE" w:eastAsia="en-IE"/>
              </w:rPr>
              <w:t>128</w:t>
            </w:r>
            <w:r w:rsidR="006D1C48" w:rsidRPr="00CE2185">
              <w:rPr>
                <w:rFonts w:eastAsia="Times New Roman"/>
                <w:b/>
                <w:noProof/>
                <w:color w:val="000000"/>
                <w:sz w:val="18"/>
                <w:szCs w:val="18"/>
                <w:lang w:val="en-IE" w:eastAsia="en-IE"/>
              </w:rPr>
              <w:t> </w:t>
            </w:r>
            <w:r w:rsidR="007C6C4D" w:rsidRPr="00CE2185">
              <w:rPr>
                <w:rFonts w:eastAsia="Times New Roman"/>
                <w:b/>
                <w:noProof/>
                <w:color w:val="000000"/>
                <w:sz w:val="18"/>
                <w:szCs w:val="18"/>
                <w:lang w:val="en-IE" w:eastAsia="en-IE"/>
              </w:rPr>
              <w:t xml:space="preserve">277 </w:t>
            </w:r>
          </w:p>
        </w:tc>
        <w:tc>
          <w:tcPr>
            <w:tcW w:w="458" w:type="pct"/>
            <w:shd w:val="clear" w:color="000000" w:fill="D0D0D0"/>
            <w:vAlign w:val="center"/>
            <w:hideMark/>
          </w:tcPr>
          <w:p w14:paraId="27A3F8BB" w14:textId="6C8EBCE4" w:rsidR="00916B85" w:rsidRPr="00CE2185" w:rsidRDefault="00916B85" w:rsidP="00FF16F3">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2028</w:t>
            </w:r>
          </w:p>
        </w:tc>
        <w:tc>
          <w:tcPr>
            <w:tcW w:w="458" w:type="pct"/>
            <w:shd w:val="clear" w:color="000000" w:fill="D0D0D0"/>
            <w:vAlign w:val="center"/>
            <w:hideMark/>
          </w:tcPr>
          <w:p w14:paraId="5889F78C" w14:textId="7B07E5F6" w:rsidR="00916B85" w:rsidRPr="00CE2185" w:rsidRDefault="00916B85" w:rsidP="00916B85">
            <w:pPr>
              <w:spacing w:after="0"/>
              <w:jc w:val="left"/>
              <w:rPr>
                <w:rFonts w:eastAsia="Times New Roman"/>
                <w:noProof/>
                <w:sz w:val="18"/>
                <w:szCs w:val="18"/>
                <w:lang w:val="en-IE" w:eastAsia="en-IE"/>
              </w:rPr>
            </w:pPr>
            <w:r w:rsidRPr="00CE2185">
              <w:rPr>
                <w:rFonts w:eastAsia="Times New Roman"/>
                <w:noProof/>
                <w:sz w:val="18"/>
                <w:szCs w:val="18"/>
                <w:lang w:val="en-IE" w:eastAsia="en-IE"/>
              </w:rPr>
              <w:t>2029</w:t>
            </w:r>
          </w:p>
        </w:tc>
        <w:tc>
          <w:tcPr>
            <w:tcW w:w="458" w:type="pct"/>
            <w:shd w:val="clear" w:color="000000" w:fill="D0D0D0"/>
            <w:vAlign w:val="center"/>
            <w:hideMark/>
          </w:tcPr>
          <w:p w14:paraId="3FEA98FD" w14:textId="7566D0E1" w:rsidR="00916B85" w:rsidRPr="00CE2185" w:rsidRDefault="00916B85" w:rsidP="00916B85">
            <w:pPr>
              <w:spacing w:after="0"/>
              <w:jc w:val="left"/>
              <w:rPr>
                <w:rFonts w:eastAsia="Times New Roman"/>
                <w:noProof/>
                <w:sz w:val="18"/>
                <w:szCs w:val="18"/>
                <w:lang w:val="en-IE" w:eastAsia="en-IE"/>
              </w:rPr>
            </w:pPr>
            <w:r w:rsidRPr="00CE2185">
              <w:rPr>
                <w:rFonts w:eastAsia="Times New Roman"/>
                <w:noProof/>
                <w:sz w:val="18"/>
                <w:szCs w:val="18"/>
                <w:lang w:val="en-IE" w:eastAsia="en-IE"/>
              </w:rPr>
              <w:t>2030</w:t>
            </w:r>
          </w:p>
        </w:tc>
        <w:tc>
          <w:tcPr>
            <w:tcW w:w="458" w:type="pct"/>
            <w:shd w:val="clear" w:color="000000" w:fill="D0D0D0"/>
            <w:vAlign w:val="center"/>
            <w:hideMark/>
          </w:tcPr>
          <w:p w14:paraId="25FC07AA" w14:textId="67820FC9" w:rsidR="00916B85" w:rsidRPr="00CE2185" w:rsidRDefault="00916B85" w:rsidP="00916B85">
            <w:pPr>
              <w:spacing w:after="0"/>
              <w:jc w:val="left"/>
              <w:rPr>
                <w:rFonts w:eastAsia="Times New Roman"/>
                <w:noProof/>
                <w:sz w:val="18"/>
                <w:szCs w:val="18"/>
                <w:lang w:val="en-IE" w:eastAsia="en-IE"/>
              </w:rPr>
            </w:pPr>
            <w:r w:rsidRPr="00CE2185">
              <w:rPr>
                <w:rFonts w:eastAsia="Times New Roman"/>
                <w:noProof/>
                <w:sz w:val="18"/>
                <w:szCs w:val="18"/>
                <w:lang w:val="en-IE" w:eastAsia="en-IE"/>
              </w:rPr>
              <w:t>2031</w:t>
            </w:r>
          </w:p>
        </w:tc>
        <w:tc>
          <w:tcPr>
            <w:tcW w:w="442" w:type="pct"/>
            <w:shd w:val="clear" w:color="000000" w:fill="D0D0D0"/>
            <w:vAlign w:val="center"/>
            <w:hideMark/>
          </w:tcPr>
          <w:p w14:paraId="50BED1DC" w14:textId="3C1340C2" w:rsidR="00916B85" w:rsidRPr="00CE2185" w:rsidRDefault="00916B85" w:rsidP="00916B85">
            <w:pPr>
              <w:spacing w:after="0"/>
              <w:jc w:val="left"/>
              <w:rPr>
                <w:rFonts w:eastAsia="Times New Roman"/>
                <w:noProof/>
                <w:sz w:val="18"/>
                <w:szCs w:val="18"/>
                <w:lang w:val="en-IE" w:eastAsia="en-IE"/>
              </w:rPr>
            </w:pPr>
            <w:r w:rsidRPr="00CE2185">
              <w:rPr>
                <w:rFonts w:eastAsia="Times New Roman"/>
                <w:noProof/>
                <w:sz w:val="18"/>
                <w:szCs w:val="18"/>
                <w:lang w:val="en-IE" w:eastAsia="en-IE"/>
              </w:rPr>
              <w:t>2032</w:t>
            </w:r>
          </w:p>
        </w:tc>
        <w:tc>
          <w:tcPr>
            <w:tcW w:w="468" w:type="pct"/>
            <w:shd w:val="clear" w:color="000000" w:fill="D0D0D0"/>
            <w:vAlign w:val="center"/>
          </w:tcPr>
          <w:p w14:paraId="5688137F" w14:textId="1AFF7FF5" w:rsidR="00B47DF2" w:rsidRPr="00CE2185" w:rsidRDefault="00B47DF2" w:rsidP="00B47DF2">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Average yearly cost</w:t>
            </w:r>
            <w:r w:rsidR="002B5069" w:rsidRPr="00CE2185">
              <w:rPr>
                <w:rFonts w:eastAsia="Times New Roman"/>
                <w:b/>
                <w:noProof/>
                <w:color w:val="000000"/>
                <w:sz w:val="18"/>
                <w:szCs w:val="18"/>
                <w:lang w:val="en-IE" w:eastAsia="en-IE"/>
              </w:rPr>
              <w:t xml:space="preserve"> </w:t>
            </w:r>
            <w:r w:rsidR="006D1C48" w:rsidRPr="00CE2185">
              <w:rPr>
                <w:rFonts w:eastAsia="Times New Roman"/>
                <w:b/>
                <w:noProof/>
                <w:color w:val="000000"/>
                <w:sz w:val="18"/>
                <w:szCs w:val="18"/>
                <w:lang w:val="en-IE" w:eastAsia="en-IE"/>
              </w:rPr>
              <w:t>(EUR)</w:t>
            </w:r>
          </w:p>
        </w:tc>
        <w:tc>
          <w:tcPr>
            <w:tcW w:w="644" w:type="pct"/>
            <w:shd w:val="clear" w:color="000000" w:fill="D0D0D0"/>
            <w:noWrap/>
            <w:vAlign w:val="center"/>
            <w:hideMark/>
          </w:tcPr>
          <w:p w14:paraId="4BB1C65D" w14:textId="77777777" w:rsidR="00C17854" w:rsidRPr="00CE2185" w:rsidRDefault="00916B85" w:rsidP="00916B85">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Total costs over 5 years</w:t>
            </w:r>
          </w:p>
          <w:p w14:paraId="4385BB3D" w14:textId="2E2C0B99" w:rsidR="00916B85" w:rsidRPr="00CE2185" w:rsidRDefault="006D1C48" w:rsidP="00916B85">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 (EUR)</w:t>
            </w:r>
          </w:p>
        </w:tc>
        <w:tc>
          <w:tcPr>
            <w:tcW w:w="640" w:type="pct"/>
            <w:shd w:val="clear" w:color="000000" w:fill="D0D0D0"/>
          </w:tcPr>
          <w:p w14:paraId="66CCABCA" w14:textId="2B47410A" w:rsidR="00AD1009" w:rsidRPr="00CE2185" w:rsidRDefault="00AD1009" w:rsidP="00916B85">
            <w:pPr>
              <w:spacing w:after="0"/>
              <w:jc w:val="left"/>
              <w:rPr>
                <w:rFonts w:eastAsia="Times New Roman"/>
                <w:b/>
                <w:noProof/>
                <w:color w:val="000000"/>
                <w:sz w:val="18"/>
                <w:szCs w:val="18"/>
                <w:lang w:val="en-IE" w:eastAsia="en-IE"/>
              </w:rPr>
            </w:pPr>
          </w:p>
        </w:tc>
      </w:tr>
      <w:tr w:rsidR="00DF6D88" w:rsidRPr="00CE2185" w14:paraId="1CC6D404" w14:textId="1915A1E9" w:rsidTr="00CD3C1D">
        <w:trPr>
          <w:trHeight w:val="215"/>
        </w:trPr>
        <w:tc>
          <w:tcPr>
            <w:tcW w:w="974" w:type="pct"/>
            <w:noWrap/>
            <w:vAlign w:val="center"/>
            <w:hideMark/>
          </w:tcPr>
          <w:p w14:paraId="7B3CDA1D" w14:textId="4D484CA7" w:rsidR="00916B85" w:rsidRPr="00CE2185" w:rsidRDefault="00B178D6" w:rsidP="00916B85">
            <w:pPr>
              <w:spacing w:after="0"/>
              <w:jc w:val="left"/>
              <w:rPr>
                <w:rFonts w:eastAsia="Times New Roman"/>
                <w:noProof/>
                <w:color w:val="000000"/>
                <w:sz w:val="18"/>
                <w:szCs w:val="18"/>
                <w:lang w:val="en-IE" w:eastAsia="en-IE"/>
              </w:rPr>
            </w:pPr>
            <w:r w:rsidRPr="00CE2185">
              <w:rPr>
                <w:rFonts w:eastAsia="Times New Roman"/>
                <w:b/>
                <w:noProof/>
                <w:color w:val="000000"/>
                <w:sz w:val="18"/>
                <w:szCs w:val="18"/>
                <w:lang w:val="en-IE" w:eastAsia="en-IE"/>
              </w:rPr>
              <w:t>B1</w:t>
            </w:r>
          </w:p>
        </w:tc>
        <w:tc>
          <w:tcPr>
            <w:tcW w:w="458" w:type="pct"/>
            <w:vAlign w:val="center"/>
            <w:hideMark/>
          </w:tcPr>
          <w:p w14:paraId="4B4671BF" w14:textId="77777777" w:rsidR="00916B85" w:rsidRPr="00CE2185" w:rsidRDefault="00916B85"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w:t>
            </w:r>
          </w:p>
        </w:tc>
        <w:tc>
          <w:tcPr>
            <w:tcW w:w="458" w:type="pct"/>
            <w:vAlign w:val="center"/>
            <w:hideMark/>
          </w:tcPr>
          <w:p w14:paraId="68867AC2" w14:textId="4E752CF2" w:rsidR="00916B85" w:rsidRPr="00CE2185" w:rsidRDefault="00B178D6"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w:t>
            </w:r>
          </w:p>
        </w:tc>
        <w:tc>
          <w:tcPr>
            <w:tcW w:w="458" w:type="pct"/>
            <w:vAlign w:val="center"/>
            <w:hideMark/>
          </w:tcPr>
          <w:p w14:paraId="0A206488" w14:textId="594583A2" w:rsidR="00916B85" w:rsidRPr="00CE2185" w:rsidRDefault="00B178D6"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w:t>
            </w:r>
          </w:p>
        </w:tc>
        <w:tc>
          <w:tcPr>
            <w:tcW w:w="458" w:type="pct"/>
            <w:vAlign w:val="center"/>
            <w:hideMark/>
          </w:tcPr>
          <w:p w14:paraId="17BD7925" w14:textId="2DB394A5" w:rsidR="00916B85" w:rsidRPr="00CE2185" w:rsidRDefault="00B178D6"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w:t>
            </w:r>
          </w:p>
        </w:tc>
        <w:tc>
          <w:tcPr>
            <w:tcW w:w="442" w:type="pct"/>
            <w:vAlign w:val="center"/>
            <w:hideMark/>
          </w:tcPr>
          <w:p w14:paraId="5ADD3BB5" w14:textId="454372E5" w:rsidR="00916B85" w:rsidRPr="00CE2185" w:rsidRDefault="00B178D6"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w:t>
            </w:r>
          </w:p>
        </w:tc>
        <w:tc>
          <w:tcPr>
            <w:tcW w:w="468" w:type="pct"/>
            <w:vAlign w:val="center"/>
          </w:tcPr>
          <w:p w14:paraId="1A4200AC" w14:textId="5472C1CD" w:rsidR="00B47DF2" w:rsidRPr="00CE2185" w:rsidRDefault="00043F62"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769 662</w:t>
            </w:r>
          </w:p>
        </w:tc>
        <w:tc>
          <w:tcPr>
            <w:tcW w:w="644" w:type="pct"/>
            <w:vAlign w:val="center"/>
            <w:hideMark/>
          </w:tcPr>
          <w:p w14:paraId="74488297" w14:textId="7AEFB005" w:rsidR="00916B85" w:rsidRPr="00CE2185" w:rsidRDefault="005A7C23" w:rsidP="00916B85">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3 848 310</w:t>
            </w:r>
          </w:p>
        </w:tc>
        <w:tc>
          <w:tcPr>
            <w:tcW w:w="640" w:type="pct"/>
          </w:tcPr>
          <w:p w14:paraId="25627AC1" w14:textId="77777777" w:rsidR="00AD1009" w:rsidRPr="00CE2185" w:rsidRDefault="00AD1009" w:rsidP="00916B85">
            <w:pPr>
              <w:spacing w:after="0"/>
              <w:jc w:val="right"/>
              <w:rPr>
                <w:rFonts w:eastAsia="Times New Roman"/>
                <w:b/>
                <w:noProof/>
                <w:color w:val="000000"/>
                <w:sz w:val="18"/>
                <w:szCs w:val="18"/>
                <w:lang w:val="en-IE" w:eastAsia="en-IE"/>
              </w:rPr>
            </w:pPr>
          </w:p>
        </w:tc>
      </w:tr>
      <w:tr w:rsidR="00DF6D88" w:rsidRPr="00CE2185" w14:paraId="739EE6E9" w14:textId="064E293B" w:rsidTr="00CD3C1D">
        <w:trPr>
          <w:trHeight w:val="119"/>
        </w:trPr>
        <w:tc>
          <w:tcPr>
            <w:tcW w:w="974" w:type="pct"/>
            <w:noWrap/>
            <w:vAlign w:val="center"/>
          </w:tcPr>
          <w:p w14:paraId="49F7DF7B" w14:textId="7B325589" w:rsidR="00C17854" w:rsidRPr="00CE2185" w:rsidRDefault="00B178D6" w:rsidP="00916B85">
            <w:pPr>
              <w:spacing w:after="0"/>
              <w:jc w:val="left"/>
              <w:rPr>
                <w:rFonts w:eastAsia="Times New Roman"/>
                <w:noProof/>
                <w:color w:val="000000"/>
                <w:sz w:val="18"/>
                <w:szCs w:val="18"/>
                <w:lang w:val="en-IE" w:eastAsia="en-IE"/>
              </w:rPr>
            </w:pPr>
            <w:r w:rsidRPr="00CE2185">
              <w:rPr>
                <w:rFonts w:eastAsia="Times New Roman"/>
                <w:b/>
                <w:noProof/>
                <w:color w:val="000000"/>
                <w:sz w:val="18"/>
                <w:szCs w:val="18"/>
                <w:lang w:val="en-IE" w:eastAsia="en-IE"/>
              </w:rPr>
              <w:t>B1+ D2</w:t>
            </w:r>
          </w:p>
        </w:tc>
        <w:tc>
          <w:tcPr>
            <w:tcW w:w="458" w:type="pct"/>
            <w:vAlign w:val="center"/>
          </w:tcPr>
          <w:p w14:paraId="45455A5C" w14:textId="46E966B3" w:rsidR="00C17854" w:rsidRPr="00CE2185" w:rsidRDefault="00F83306"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 xml:space="preserve">6 </w:t>
            </w:r>
          </w:p>
        </w:tc>
        <w:tc>
          <w:tcPr>
            <w:tcW w:w="458" w:type="pct"/>
            <w:vAlign w:val="center"/>
          </w:tcPr>
          <w:p w14:paraId="10A84BC0" w14:textId="521BB75D" w:rsidR="00C17854"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458" w:type="pct"/>
            <w:vAlign w:val="center"/>
          </w:tcPr>
          <w:p w14:paraId="236EAD70" w14:textId="644C4AB7" w:rsidR="00C17854" w:rsidRPr="00CE2185" w:rsidRDefault="00182B5D" w:rsidP="00483AF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458" w:type="pct"/>
            <w:vAlign w:val="center"/>
          </w:tcPr>
          <w:p w14:paraId="68006D5D" w14:textId="510B5E46" w:rsidR="00C17854"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442" w:type="pct"/>
            <w:vAlign w:val="center"/>
          </w:tcPr>
          <w:p w14:paraId="73707428" w14:textId="40386A04" w:rsidR="00C17854"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468" w:type="pct"/>
            <w:vAlign w:val="center"/>
          </w:tcPr>
          <w:p w14:paraId="29B80848" w14:textId="65D26F55" w:rsidR="00B47DF2" w:rsidRPr="00CE2185" w:rsidRDefault="00043F62"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974 905</w:t>
            </w:r>
          </w:p>
        </w:tc>
        <w:tc>
          <w:tcPr>
            <w:tcW w:w="644" w:type="pct"/>
            <w:vAlign w:val="center"/>
          </w:tcPr>
          <w:p w14:paraId="3C250789" w14:textId="78CBEA88" w:rsidR="00C17854" w:rsidRPr="00CE2185" w:rsidRDefault="00043F62" w:rsidP="00916B85">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4 874 526</w:t>
            </w:r>
          </w:p>
        </w:tc>
        <w:tc>
          <w:tcPr>
            <w:tcW w:w="640" w:type="pct"/>
          </w:tcPr>
          <w:p w14:paraId="3E4898EF" w14:textId="77777777" w:rsidR="00AD1009" w:rsidRPr="00CE2185" w:rsidRDefault="00AD1009" w:rsidP="00916B85">
            <w:pPr>
              <w:spacing w:after="0"/>
              <w:jc w:val="right"/>
              <w:rPr>
                <w:rFonts w:eastAsia="Times New Roman"/>
                <w:b/>
                <w:noProof/>
                <w:color w:val="000000"/>
                <w:sz w:val="18"/>
                <w:szCs w:val="18"/>
                <w:lang w:val="en-IE" w:eastAsia="en-IE"/>
              </w:rPr>
            </w:pPr>
          </w:p>
        </w:tc>
      </w:tr>
      <w:tr w:rsidR="00DF6D88" w:rsidRPr="00CE2185" w14:paraId="42C3D678" w14:textId="205CE0C8" w:rsidTr="00CD3C1D">
        <w:trPr>
          <w:trHeight w:val="35"/>
        </w:trPr>
        <w:tc>
          <w:tcPr>
            <w:tcW w:w="974" w:type="pct"/>
            <w:noWrap/>
            <w:vAlign w:val="center"/>
          </w:tcPr>
          <w:p w14:paraId="1A386574" w14:textId="70671046" w:rsidR="00B178D6" w:rsidRPr="00CE2185" w:rsidRDefault="00B178D6" w:rsidP="00B178D6">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 D3</w:t>
            </w:r>
          </w:p>
        </w:tc>
        <w:tc>
          <w:tcPr>
            <w:tcW w:w="458" w:type="pct"/>
            <w:vAlign w:val="center"/>
          </w:tcPr>
          <w:p w14:paraId="0098E08C" w14:textId="3477C78C" w:rsidR="00B178D6"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 xml:space="preserve">6 </w:t>
            </w:r>
          </w:p>
        </w:tc>
        <w:tc>
          <w:tcPr>
            <w:tcW w:w="458" w:type="pct"/>
            <w:vAlign w:val="center"/>
          </w:tcPr>
          <w:p w14:paraId="03EB0054" w14:textId="2793E8ED" w:rsidR="00B178D6"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69784319" w14:textId="6A9128AC" w:rsidR="00B178D6"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45B2FE57" w14:textId="3B060F13" w:rsidR="00B178D6"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42" w:type="pct"/>
            <w:vAlign w:val="center"/>
          </w:tcPr>
          <w:p w14:paraId="7ED42B8A" w14:textId="74EA62EF" w:rsidR="00B178D6" w:rsidRPr="00CE2185" w:rsidRDefault="00182B5D"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68" w:type="pct"/>
            <w:vAlign w:val="center"/>
          </w:tcPr>
          <w:p w14:paraId="0F91683F" w14:textId="5F8A5B3C" w:rsidR="00B47DF2" w:rsidRPr="00CE2185" w:rsidRDefault="00043F62"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1 180 148</w:t>
            </w:r>
          </w:p>
        </w:tc>
        <w:tc>
          <w:tcPr>
            <w:tcW w:w="644" w:type="pct"/>
            <w:vAlign w:val="center"/>
          </w:tcPr>
          <w:p w14:paraId="2C974877" w14:textId="1370B1DB" w:rsidR="00B178D6" w:rsidRPr="00CE2185" w:rsidRDefault="005A7C23" w:rsidP="00916B85">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5 900 742</w:t>
            </w:r>
          </w:p>
        </w:tc>
        <w:tc>
          <w:tcPr>
            <w:tcW w:w="640" w:type="pct"/>
          </w:tcPr>
          <w:p w14:paraId="450343B8" w14:textId="77777777" w:rsidR="00AD1009" w:rsidRPr="00CE2185" w:rsidRDefault="00AD1009" w:rsidP="00916B85">
            <w:pPr>
              <w:spacing w:after="0"/>
              <w:jc w:val="right"/>
              <w:rPr>
                <w:rFonts w:eastAsia="Times New Roman"/>
                <w:b/>
                <w:noProof/>
                <w:color w:val="000000"/>
                <w:sz w:val="18"/>
                <w:szCs w:val="18"/>
                <w:lang w:val="en-IE" w:eastAsia="en-IE"/>
              </w:rPr>
            </w:pPr>
          </w:p>
        </w:tc>
      </w:tr>
      <w:tr w:rsidR="00CD3C1D" w:rsidRPr="00CE2185" w14:paraId="796ED026" w14:textId="2E8A1563" w:rsidTr="00CD3C1D">
        <w:trPr>
          <w:trHeight w:val="35"/>
        </w:trPr>
        <w:tc>
          <w:tcPr>
            <w:tcW w:w="974" w:type="pct"/>
            <w:shd w:val="clear" w:color="auto" w:fill="D9D9D9" w:themeFill="background1" w:themeFillShade="D9"/>
            <w:noWrap/>
            <w:vAlign w:val="center"/>
          </w:tcPr>
          <w:p w14:paraId="737DB957" w14:textId="6767B7B2" w:rsidR="004F6B48" w:rsidRPr="00CE2185" w:rsidRDefault="004F6B48" w:rsidP="00B178D6">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Operational costs (recurrent costs)</w:t>
            </w:r>
            <w:r w:rsidR="00F53FD2" w:rsidRPr="00CE2185">
              <w:rPr>
                <w:rFonts w:eastAsia="Times New Roman"/>
                <w:b/>
                <w:noProof/>
                <w:color w:val="000000"/>
                <w:sz w:val="18"/>
                <w:szCs w:val="18"/>
                <w:lang w:val="en-IE" w:eastAsia="en-IE"/>
              </w:rPr>
              <w:t xml:space="preserve"> EUR 200 000 / year</w:t>
            </w:r>
          </w:p>
        </w:tc>
        <w:tc>
          <w:tcPr>
            <w:tcW w:w="458" w:type="pct"/>
            <w:shd w:val="clear" w:color="auto" w:fill="D9D9D9" w:themeFill="background1" w:themeFillShade="D9"/>
            <w:vAlign w:val="center"/>
          </w:tcPr>
          <w:p w14:paraId="393C2BDA" w14:textId="77D3EFCE"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2028</w:t>
            </w:r>
          </w:p>
        </w:tc>
        <w:tc>
          <w:tcPr>
            <w:tcW w:w="458" w:type="pct"/>
            <w:shd w:val="clear" w:color="auto" w:fill="D9D9D9" w:themeFill="background1" w:themeFillShade="D9"/>
            <w:vAlign w:val="center"/>
          </w:tcPr>
          <w:p w14:paraId="546B1DBD" w14:textId="18A3AF91"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noProof/>
                <w:sz w:val="18"/>
                <w:szCs w:val="18"/>
                <w:lang w:val="en-IE" w:eastAsia="en-IE"/>
              </w:rPr>
              <w:t>2029</w:t>
            </w:r>
          </w:p>
        </w:tc>
        <w:tc>
          <w:tcPr>
            <w:tcW w:w="458" w:type="pct"/>
            <w:shd w:val="clear" w:color="auto" w:fill="D9D9D9" w:themeFill="background1" w:themeFillShade="D9"/>
            <w:vAlign w:val="center"/>
          </w:tcPr>
          <w:p w14:paraId="2C60C9CE" w14:textId="5A931FB9"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noProof/>
                <w:sz w:val="18"/>
                <w:szCs w:val="18"/>
                <w:lang w:val="en-IE" w:eastAsia="en-IE"/>
              </w:rPr>
              <w:t>2030</w:t>
            </w:r>
          </w:p>
        </w:tc>
        <w:tc>
          <w:tcPr>
            <w:tcW w:w="458" w:type="pct"/>
            <w:shd w:val="clear" w:color="auto" w:fill="D9D9D9" w:themeFill="background1" w:themeFillShade="D9"/>
            <w:vAlign w:val="center"/>
          </w:tcPr>
          <w:p w14:paraId="182ABE21" w14:textId="5934D213"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noProof/>
                <w:sz w:val="18"/>
                <w:szCs w:val="18"/>
                <w:lang w:val="en-IE" w:eastAsia="en-IE"/>
              </w:rPr>
              <w:t>2031</w:t>
            </w:r>
          </w:p>
        </w:tc>
        <w:tc>
          <w:tcPr>
            <w:tcW w:w="442" w:type="pct"/>
            <w:shd w:val="clear" w:color="auto" w:fill="D9D9D9" w:themeFill="background1" w:themeFillShade="D9"/>
            <w:vAlign w:val="center"/>
          </w:tcPr>
          <w:p w14:paraId="3ACCA6BF" w14:textId="5A6C02E2"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noProof/>
                <w:sz w:val="18"/>
                <w:szCs w:val="18"/>
                <w:lang w:val="en-IE" w:eastAsia="en-IE"/>
              </w:rPr>
              <w:t>2032</w:t>
            </w:r>
          </w:p>
        </w:tc>
        <w:tc>
          <w:tcPr>
            <w:tcW w:w="468" w:type="pct"/>
            <w:shd w:val="clear" w:color="auto" w:fill="D9D9D9" w:themeFill="background1" w:themeFillShade="D9"/>
            <w:vAlign w:val="center"/>
          </w:tcPr>
          <w:p w14:paraId="5825AE0C" w14:textId="7CB78C16" w:rsidR="004F6B48" w:rsidRPr="00CE2185" w:rsidRDefault="00705557" w:rsidP="00916B85">
            <w:pPr>
              <w:spacing w:after="0"/>
              <w:jc w:val="right"/>
              <w:rPr>
                <w:rFonts w:eastAsia="Times New Roman"/>
                <w:noProof/>
                <w:color w:val="000000"/>
                <w:sz w:val="18"/>
                <w:szCs w:val="18"/>
                <w:lang w:val="en-IE" w:eastAsia="en-IE"/>
              </w:rPr>
            </w:pPr>
            <w:r w:rsidRPr="00CE2185">
              <w:rPr>
                <w:rFonts w:eastAsia="Times New Roman"/>
                <w:b/>
                <w:noProof/>
                <w:color w:val="000000"/>
                <w:sz w:val="18"/>
                <w:szCs w:val="18"/>
                <w:lang w:val="en-IE" w:eastAsia="en-IE"/>
              </w:rPr>
              <w:t>Average yearly cost (EUR)</w:t>
            </w:r>
          </w:p>
        </w:tc>
        <w:tc>
          <w:tcPr>
            <w:tcW w:w="644" w:type="pct"/>
            <w:shd w:val="clear" w:color="auto" w:fill="D9D9D9" w:themeFill="background1" w:themeFillShade="D9"/>
            <w:vAlign w:val="center"/>
          </w:tcPr>
          <w:p w14:paraId="3892F932" w14:textId="47D69349" w:rsidR="004F6B48" w:rsidRPr="00CE2185" w:rsidRDefault="00705557" w:rsidP="00CD3C1D">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Total </w:t>
            </w:r>
            <w:r w:rsidR="00E96986" w:rsidRPr="00CE2185">
              <w:rPr>
                <w:rFonts w:eastAsia="Times New Roman"/>
                <w:b/>
                <w:noProof/>
                <w:color w:val="000000"/>
                <w:sz w:val="18"/>
                <w:szCs w:val="18"/>
                <w:lang w:val="en-IE" w:eastAsia="en-IE"/>
              </w:rPr>
              <w:t xml:space="preserve">operational </w:t>
            </w:r>
            <w:r w:rsidRPr="00CE2185">
              <w:rPr>
                <w:rFonts w:eastAsia="Times New Roman"/>
                <w:b/>
                <w:noProof/>
                <w:color w:val="000000"/>
                <w:sz w:val="18"/>
                <w:szCs w:val="18"/>
                <w:lang w:val="en-IE" w:eastAsia="en-IE"/>
              </w:rPr>
              <w:t>costs over 5 years</w:t>
            </w:r>
            <w:r w:rsidR="00E96986" w:rsidRPr="00CE2185">
              <w:rPr>
                <w:rFonts w:eastAsia="Times New Roman"/>
                <w:b/>
                <w:noProof/>
                <w:color w:val="000000"/>
                <w:sz w:val="18"/>
                <w:szCs w:val="18"/>
                <w:lang w:val="en-IE" w:eastAsia="en-IE"/>
              </w:rPr>
              <w:t xml:space="preserve"> </w:t>
            </w:r>
            <w:r w:rsidRPr="00CE2185">
              <w:rPr>
                <w:rFonts w:eastAsia="Times New Roman"/>
                <w:b/>
                <w:noProof/>
                <w:color w:val="000000"/>
                <w:sz w:val="18"/>
                <w:szCs w:val="18"/>
                <w:lang w:val="en-IE" w:eastAsia="en-IE"/>
              </w:rPr>
              <w:t>(EUR)</w:t>
            </w:r>
          </w:p>
        </w:tc>
        <w:tc>
          <w:tcPr>
            <w:tcW w:w="640" w:type="pct"/>
            <w:shd w:val="clear" w:color="auto" w:fill="DBE5F1" w:themeFill="accent1" w:themeFillTint="33"/>
          </w:tcPr>
          <w:p w14:paraId="74094065" w14:textId="73B738BD" w:rsidR="00AD1009" w:rsidRPr="00CE2185" w:rsidRDefault="00AD1009" w:rsidP="00916B85">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Total recurrent adjustment costs </w:t>
            </w:r>
            <w:r w:rsidR="000D290C" w:rsidRPr="00CE2185">
              <w:rPr>
                <w:rFonts w:eastAsia="Times New Roman"/>
                <w:b/>
                <w:noProof/>
                <w:color w:val="000000"/>
                <w:sz w:val="18"/>
                <w:szCs w:val="18"/>
                <w:lang w:val="en-IE" w:eastAsia="en-IE"/>
              </w:rPr>
              <w:t>over 5 years</w:t>
            </w:r>
            <w:r w:rsidR="00E9437E" w:rsidRPr="00CE2185">
              <w:rPr>
                <w:rFonts w:eastAsia="Times New Roman"/>
                <w:b/>
                <w:noProof/>
                <w:color w:val="000000"/>
                <w:sz w:val="18"/>
                <w:szCs w:val="18"/>
                <w:lang w:val="en-IE" w:eastAsia="en-IE"/>
              </w:rPr>
              <w:t xml:space="preserve"> </w:t>
            </w:r>
            <w:r w:rsidR="00E9437E" w:rsidRPr="00CE2185">
              <w:rPr>
                <w:rFonts w:eastAsia="Times New Roman"/>
                <w:bCs/>
                <w:noProof/>
                <w:color w:val="000000"/>
                <w:sz w:val="18"/>
                <w:szCs w:val="18"/>
                <w:lang w:val="en-IE" w:eastAsia="en-IE"/>
              </w:rPr>
              <w:t>(FTEs + operational</w:t>
            </w:r>
            <w:r w:rsidR="00E9437E" w:rsidRPr="00CE2185">
              <w:rPr>
                <w:rFonts w:eastAsia="Times New Roman"/>
                <w:b/>
                <w:noProof/>
                <w:color w:val="000000"/>
                <w:sz w:val="18"/>
                <w:szCs w:val="18"/>
                <w:lang w:val="en-IE" w:eastAsia="en-IE"/>
              </w:rPr>
              <w:t xml:space="preserve">) </w:t>
            </w:r>
            <w:r w:rsidRPr="00CE2185">
              <w:rPr>
                <w:rFonts w:eastAsia="Times New Roman"/>
                <w:b/>
                <w:noProof/>
                <w:color w:val="000000"/>
                <w:sz w:val="18"/>
                <w:szCs w:val="18"/>
                <w:lang w:val="en-IE" w:eastAsia="en-IE"/>
              </w:rPr>
              <w:t xml:space="preserve"> </w:t>
            </w:r>
          </w:p>
        </w:tc>
      </w:tr>
      <w:tr w:rsidR="00CD3C1D" w:rsidRPr="00CE2185" w14:paraId="7FBBABDB" w14:textId="1563CD61" w:rsidTr="00CD3C1D">
        <w:trPr>
          <w:trHeight w:val="35"/>
        </w:trPr>
        <w:tc>
          <w:tcPr>
            <w:tcW w:w="974" w:type="pct"/>
            <w:noWrap/>
            <w:vAlign w:val="center"/>
          </w:tcPr>
          <w:p w14:paraId="503063BF" w14:textId="6AFE482D" w:rsidR="004F6B48" w:rsidRPr="00CE2185" w:rsidRDefault="004F6B48" w:rsidP="004F6B48">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w:t>
            </w:r>
            <w:r w:rsidR="00334B52" w:rsidRPr="00CE2185">
              <w:rPr>
                <w:rFonts w:eastAsia="Times New Roman"/>
                <w:b/>
                <w:noProof/>
                <w:color w:val="000000"/>
                <w:sz w:val="18"/>
                <w:szCs w:val="18"/>
                <w:lang w:val="en-IE" w:eastAsia="en-IE"/>
              </w:rPr>
              <w:t xml:space="preserve"> (3 schemes)</w:t>
            </w:r>
          </w:p>
        </w:tc>
        <w:tc>
          <w:tcPr>
            <w:tcW w:w="458" w:type="pct"/>
            <w:vAlign w:val="center"/>
          </w:tcPr>
          <w:p w14:paraId="6B6F765E" w14:textId="439ECD16" w:rsidR="004F6B48" w:rsidRPr="00CE2185" w:rsidRDefault="00F53FD2"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8" w:type="pct"/>
            <w:vAlign w:val="center"/>
          </w:tcPr>
          <w:p w14:paraId="2E1CE824" w14:textId="539CE0A5" w:rsidR="004F6B48" w:rsidRPr="00CE2185" w:rsidRDefault="00F53FD2" w:rsidP="00CD3C1D">
            <w:pPr>
              <w:spacing w:after="0"/>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8" w:type="pct"/>
            <w:vAlign w:val="center"/>
          </w:tcPr>
          <w:p w14:paraId="26026773" w14:textId="2F8DAE0E" w:rsidR="004F6B48" w:rsidRPr="00CE2185" w:rsidRDefault="00F53FD2"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8" w:type="pct"/>
            <w:vAlign w:val="center"/>
          </w:tcPr>
          <w:p w14:paraId="45476D5C" w14:textId="3C722D8C" w:rsidR="004F6B48" w:rsidRPr="00CE2185" w:rsidRDefault="00F53FD2"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42" w:type="pct"/>
            <w:vAlign w:val="center"/>
          </w:tcPr>
          <w:p w14:paraId="603B404E" w14:textId="22EC220B" w:rsidR="004F6B48" w:rsidRPr="00CE2185" w:rsidRDefault="00F53FD2"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68" w:type="pct"/>
            <w:vAlign w:val="center"/>
          </w:tcPr>
          <w:p w14:paraId="5C1EE107" w14:textId="20A1623B" w:rsidR="004F6B48" w:rsidRPr="00CE2185" w:rsidRDefault="00F53FD2"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644" w:type="pct"/>
            <w:vAlign w:val="center"/>
          </w:tcPr>
          <w:p w14:paraId="27ABAA94" w14:textId="2C7434D6" w:rsidR="004F6B48" w:rsidRPr="00CE2185" w:rsidRDefault="00D81178" w:rsidP="004F6B48">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3 000 000</w:t>
            </w:r>
          </w:p>
        </w:tc>
        <w:tc>
          <w:tcPr>
            <w:tcW w:w="640" w:type="pct"/>
            <w:shd w:val="clear" w:color="auto" w:fill="DBE5F1" w:themeFill="accent1" w:themeFillTint="33"/>
          </w:tcPr>
          <w:p w14:paraId="26AC68B1" w14:textId="32BE82E1" w:rsidR="00AD1009" w:rsidRPr="00CE2185" w:rsidRDefault="00AD1009" w:rsidP="004F6B48">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6 848</w:t>
            </w:r>
            <w:r w:rsidR="000D290C" w:rsidRPr="00CE2185">
              <w:rPr>
                <w:rFonts w:eastAsia="Times New Roman"/>
                <w:b/>
                <w:noProof/>
                <w:color w:val="000000"/>
                <w:sz w:val="18"/>
                <w:szCs w:val="18"/>
                <w:lang w:val="en-IE" w:eastAsia="en-IE"/>
              </w:rPr>
              <w:t xml:space="preserve"> 310 </w:t>
            </w:r>
          </w:p>
        </w:tc>
      </w:tr>
      <w:tr w:rsidR="00CD3C1D" w:rsidRPr="00CE2185" w14:paraId="58ADF047" w14:textId="30E4EDEB" w:rsidTr="00CD3C1D">
        <w:trPr>
          <w:trHeight w:val="35"/>
        </w:trPr>
        <w:tc>
          <w:tcPr>
            <w:tcW w:w="974" w:type="pct"/>
            <w:noWrap/>
            <w:vAlign w:val="center"/>
          </w:tcPr>
          <w:p w14:paraId="271D1DBC" w14:textId="049846FB" w:rsidR="004F6B48" w:rsidRPr="00CE2185" w:rsidRDefault="004F6B48" w:rsidP="004F6B48">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 D2</w:t>
            </w:r>
            <w:r w:rsidR="00334B52" w:rsidRPr="00CE2185">
              <w:rPr>
                <w:rFonts w:eastAsia="Times New Roman"/>
                <w:b/>
                <w:noProof/>
                <w:color w:val="000000"/>
                <w:sz w:val="18"/>
                <w:szCs w:val="18"/>
                <w:lang w:val="en-IE" w:eastAsia="en-IE"/>
              </w:rPr>
              <w:t xml:space="preserve"> (4 schemes)</w:t>
            </w:r>
          </w:p>
        </w:tc>
        <w:tc>
          <w:tcPr>
            <w:tcW w:w="458" w:type="pct"/>
            <w:vAlign w:val="center"/>
          </w:tcPr>
          <w:p w14:paraId="230A8E2A" w14:textId="42B93932" w:rsidR="004F6B48" w:rsidRPr="00CE2185" w:rsidRDefault="00D81178"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8" w:type="pct"/>
            <w:vAlign w:val="center"/>
          </w:tcPr>
          <w:p w14:paraId="66FCA511" w14:textId="46A037D7" w:rsidR="004F6B48" w:rsidRPr="00CE2185" w:rsidRDefault="00D81178"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58" w:type="pct"/>
            <w:vAlign w:val="center"/>
          </w:tcPr>
          <w:p w14:paraId="055565C8" w14:textId="738868F3" w:rsidR="004F6B48" w:rsidRPr="00CE2185" w:rsidRDefault="00D81178"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58" w:type="pct"/>
            <w:vAlign w:val="center"/>
          </w:tcPr>
          <w:p w14:paraId="382E4CA6" w14:textId="704E526D" w:rsidR="004F6B48" w:rsidRPr="00CE2185" w:rsidRDefault="00D81178"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42" w:type="pct"/>
            <w:vAlign w:val="center"/>
          </w:tcPr>
          <w:p w14:paraId="633F4F79" w14:textId="7A87595E" w:rsidR="004F6B48" w:rsidRPr="00CE2185" w:rsidRDefault="00D81178"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68" w:type="pct"/>
            <w:vAlign w:val="center"/>
          </w:tcPr>
          <w:p w14:paraId="0ED8C6A0" w14:textId="48B83A5B" w:rsidR="004F6B48" w:rsidRPr="00CE2185" w:rsidRDefault="00EC162E"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760 000</w:t>
            </w:r>
          </w:p>
        </w:tc>
        <w:tc>
          <w:tcPr>
            <w:tcW w:w="644" w:type="pct"/>
            <w:vAlign w:val="center"/>
          </w:tcPr>
          <w:p w14:paraId="2D48B0A8" w14:textId="6F89E7CB" w:rsidR="004F6B48" w:rsidRPr="00CE2185" w:rsidRDefault="00EC162E" w:rsidP="004F6B48">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3 800 000</w:t>
            </w:r>
          </w:p>
        </w:tc>
        <w:tc>
          <w:tcPr>
            <w:tcW w:w="640" w:type="pct"/>
            <w:shd w:val="clear" w:color="auto" w:fill="DBE5F1" w:themeFill="accent1" w:themeFillTint="33"/>
          </w:tcPr>
          <w:p w14:paraId="6F00CBF3" w14:textId="729E08B2" w:rsidR="00AD1009" w:rsidRPr="00CE2185" w:rsidRDefault="00997538" w:rsidP="004F6B48">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8 674 526</w:t>
            </w:r>
          </w:p>
        </w:tc>
      </w:tr>
      <w:tr w:rsidR="00CD3C1D" w:rsidRPr="00CE2185" w14:paraId="594357C7" w14:textId="4B757292" w:rsidTr="00CD3C1D">
        <w:trPr>
          <w:trHeight w:val="35"/>
        </w:trPr>
        <w:tc>
          <w:tcPr>
            <w:tcW w:w="974" w:type="pct"/>
            <w:noWrap/>
            <w:vAlign w:val="center"/>
          </w:tcPr>
          <w:p w14:paraId="1D15BAB2" w14:textId="2486FB95" w:rsidR="004F6B48" w:rsidRPr="00CE2185" w:rsidRDefault="004F6B48" w:rsidP="004F6B48">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 D3</w:t>
            </w:r>
            <w:r w:rsidR="00334B52" w:rsidRPr="00CE2185">
              <w:rPr>
                <w:rFonts w:eastAsia="Times New Roman"/>
                <w:b/>
                <w:noProof/>
                <w:color w:val="000000"/>
                <w:sz w:val="18"/>
                <w:szCs w:val="18"/>
                <w:lang w:val="en-IE" w:eastAsia="en-IE"/>
              </w:rPr>
              <w:t xml:space="preserve"> (5 schemes)</w:t>
            </w:r>
          </w:p>
        </w:tc>
        <w:tc>
          <w:tcPr>
            <w:tcW w:w="458" w:type="pct"/>
            <w:vAlign w:val="center"/>
          </w:tcPr>
          <w:p w14:paraId="65A7F822" w14:textId="07BEED66" w:rsidR="004F6B48" w:rsidRPr="00CE2185" w:rsidRDefault="000F4213"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8" w:type="pct"/>
            <w:vAlign w:val="center"/>
          </w:tcPr>
          <w:p w14:paraId="77E71667" w14:textId="083C9A21" w:rsidR="004F6B48" w:rsidRPr="00CE2185" w:rsidRDefault="000F4213"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458" w:type="pct"/>
            <w:vAlign w:val="center"/>
          </w:tcPr>
          <w:p w14:paraId="77535664" w14:textId="1F4E3C27" w:rsidR="004F6B48" w:rsidRPr="00CE2185" w:rsidRDefault="000F4213"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458" w:type="pct"/>
            <w:vAlign w:val="center"/>
          </w:tcPr>
          <w:p w14:paraId="53262699" w14:textId="77E86900" w:rsidR="004F6B48" w:rsidRPr="00CE2185" w:rsidRDefault="000F4213"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442" w:type="pct"/>
            <w:vAlign w:val="center"/>
          </w:tcPr>
          <w:p w14:paraId="79A3A78D" w14:textId="6561E792" w:rsidR="004F6B48" w:rsidRPr="00CE2185" w:rsidRDefault="000F4213"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 xml:space="preserve">1 million </w:t>
            </w:r>
          </w:p>
        </w:tc>
        <w:tc>
          <w:tcPr>
            <w:tcW w:w="468" w:type="pct"/>
            <w:vAlign w:val="center"/>
          </w:tcPr>
          <w:p w14:paraId="165FC29D" w14:textId="76BDB18F" w:rsidR="004F6B48" w:rsidRPr="00CE2185" w:rsidRDefault="00AD1009" w:rsidP="004F6B4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920 000</w:t>
            </w:r>
          </w:p>
        </w:tc>
        <w:tc>
          <w:tcPr>
            <w:tcW w:w="644" w:type="pct"/>
            <w:vAlign w:val="center"/>
          </w:tcPr>
          <w:p w14:paraId="72B9B435" w14:textId="6E99FC3E" w:rsidR="004F6B48" w:rsidRPr="00CE2185" w:rsidRDefault="004B4D16" w:rsidP="004F6B48">
            <w:pPr>
              <w:spacing w:after="0"/>
              <w:jc w:val="right"/>
              <w:rPr>
                <w:rFonts w:eastAsia="Times New Roman"/>
                <w:b/>
                <w:noProof/>
                <w:color w:val="000000"/>
                <w:sz w:val="18"/>
                <w:szCs w:val="18"/>
                <w:lang w:val="en-IE" w:eastAsia="en-IE"/>
              </w:rPr>
            </w:pPr>
            <w:r w:rsidRPr="00CE2185">
              <w:rPr>
                <w:rFonts w:eastAsia="Times New Roman"/>
                <w:b/>
                <w:bCs/>
                <w:noProof/>
                <w:color w:val="000000"/>
                <w:sz w:val="18"/>
                <w:szCs w:val="18"/>
                <w:lang w:val="en-IE" w:eastAsia="en-IE"/>
              </w:rPr>
              <w:t>4 600 000</w:t>
            </w:r>
          </w:p>
        </w:tc>
        <w:tc>
          <w:tcPr>
            <w:tcW w:w="640" w:type="pct"/>
            <w:shd w:val="clear" w:color="auto" w:fill="DBE5F1" w:themeFill="accent1" w:themeFillTint="33"/>
          </w:tcPr>
          <w:p w14:paraId="29D428AA" w14:textId="00513F45" w:rsidR="00AD1009" w:rsidRPr="00CE2185" w:rsidRDefault="00B7112B" w:rsidP="004F6B48">
            <w:pPr>
              <w:spacing w:after="0"/>
              <w:jc w:val="right"/>
              <w:rPr>
                <w:rFonts w:eastAsia="Times New Roman"/>
                <w:b/>
                <w:bCs/>
                <w:noProof/>
                <w:color w:val="000000"/>
                <w:sz w:val="18"/>
                <w:szCs w:val="18"/>
                <w:lang w:val="en-IE" w:eastAsia="en-IE"/>
              </w:rPr>
            </w:pPr>
            <w:r w:rsidRPr="00CE2185">
              <w:rPr>
                <w:rFonts w:eastAsia="Times New Roman"/>
                <w:b/>
                <w:bCs/>
                <w:noProof/>
                <w:color w:val="000000"/>
                <w:sz w:val="18"/>
                <w:szCs w:val="18"/>
                <w:lang w:val="en-IE" w:eastAsia="en-IE"/>
              </w:rPr>
              <w:t>10 500 742</w:t>
            </w:r>
          </w:p>
        </w:tc>
      </w:tr>
    </w:tbl>
    <w:p w14:paraId="0CBD1955" w14:textId="6F83FDEE" w:rsidR="00F6074E" w:rsidRPr="00CE2185" w:rsidRDefault="007C6C4D" w:rsidP="001E5D9D">
      <w:pPr>
        <w:pStyle w:val="Heading7"/>
        <w:rPr>
          <w:i/>
          <w:iCs/>
          <w:noProof/>
        </w:rPr>
      </w:pPr>
      <w:bookmarkStart w:id="105" w:name="_Toc218767768"/>
      <w:r w:rsidRPr="00CE2185">
        <w:rPr>
          <w:noProof/>
        </w:rPr>
        <w:t>Table</w:t>
      </w:r>
      <w:r w:rsidR="007C0F70" w:rsidRPr="00CE2185">
        <w:rPr>
          <w:noProof/>
        </w:rPr>
        <w:t xml:space="preserve"> </w:t>
      </w:r>
      <w:r w:rsidR="00362531" w:rsidRPr="00CE2185">
        <w:rPr>
          <w:noProof/>
        </w:rPr>
        <w:t>6</w:t>
      </w:r>
      <w:r w:rsidRPr="00CE2185">
        <w:rPr>
          <w:noProof/>
        </w:rPr>
        <w:t>: Overview of costs for public authorities under option B</w:t>
      </w:r>
      <w:r w:rsidR="008231E1" w:rsidRPr="00CE2185">
        <w:rPr>
          <w:noProof/>
        </w:rPr>
        <w:t>.</w:t>
      </w:r>
      <w:r w:rsidR="00382F46" w:rsidRPr="00CE2185">
        <w:rPr>
          <w:noProof/>
        </w:rPr>
        <w:t>1</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1728"/>
        <w:gridCol w:w="812"/>
        <w:gridCol w:w="810"/>
        <w:gridCol w:w="812"/>
        <w:gridCol w:w="812"/>
        <w:gridCol w:w="812"/>
        <w:gridCol w:w="1083"/>
        <w:gridCol w:w="1994"/>
      </w:tblGrid>
      <w:tr w:rsidR="004106F1" w:rsidRPr="00CE2185" w14:paraId="045141AA" w14:textId="77777777" w:rsidTr="00CD3C1D">
        <w:trPr>
          <w:trHeight w:val="315"/>
        </w:trPr>
        <w:tc>
          <w:tcPr>
            <w:tcW w:w="975" w:type="pct"/>
            <w:shd w:val="clear" w:color="auto" w:fill="D0D0D0"/>
            <w:noWrap/>
            <w:vAlign w:val="center"/>
            <w:hideMark/>
          </w:tcPr>
          <w:p w14:paraId="240341A7" w14:textId="77777777" w:rsidR="00DB4D7C" w:rsidRPr="00CE2185" w:rsidRDefault="00DB4D7C">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Option B.1 – FTEs </w:t>
            </w:r>
          </w:p>
          <w:p w14:paraId="78ABF5BC" w14:textId="30269F85" w:rsidR="00DB4D7C" w:rsidRPr="00CE2185" w:rsidRDefault="00DB4D7C" w:rsidP="7410CB48">
            <w:pPr>
              <w:spacing w:after="0"/>
              <w:jc w:val="left"/>
              <w:rPr>
                <w:rFonts w:eastAsia="Times New Roman"/>
                <w:b/>
                <w:bCs/>
                <w:noProof/>
                <w:color w:val="000000"/>
                <w:sz w:val="18"/>
                <w:szCs w:val="18"/>
                <w:lang w:val="en-IE" w:eastAsia="en-IE"/>
              </w:rPr>
            </w:pPr>
            <w:r w:rsidRPr="00CE2185">
              <w:rPr>
                <w:rFonts w:eastAsia="Times New Roman"/>
                <w:b/>
                <w:bCs/>
                <w:noProof/>
                <w:color w:val="000000" w:themeColor="text1"/>
                <w:sz w:val="18"/>
                <w:szCs w:val="18"/>
                <w:lang w:val="en-IE" w:eastAsia="en-IE"/>
              </w:rPr>
              <w:t xml:space="preserve">(one-off and recurrent costs) </w:t>
            </w:r>
          </w:p>
          <w:p w14:paraId="2BFA5845" w14:textId="4832AFA3" w:rsidR="00DB4D7C" w:rsidRPr="00CE2185" w:rsidRDefault="007C6C4D">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1 FTE = </w:t>
            </w:r>
            <w:r w:rsidR="000F5174" w:rsidRPr="00CE2185">
              <w:rPr>
                <w:rFonts w:eastAsia="Times New Roman"/>
                <w:b/>
                <w:noProof/>
                <w:color w:val="000000"/>
                <w:sz w:val="18"/>
                <w:szCs w:val="18"/>
                <w:lang w:val="en-IE" w:eastAsia="en-IE"/>
              </w:rPr>
              <w:t xml:space="preserve">EUR </w:t>
            </w:r>
            <w:r w:rsidRPr="00CE2185">
              <w:rPr>
                <w:rFonts w:eastAsia="Times New Roman"/>
                <w:b/>
                <w:noProof/>
                <w:color w:val="000000"/>
                <w:sz w:val="18"/>
                <w:szCs w:val="18"/>
                <w:lang w:val="en-IE" w:eastAsia="en-IE"/>
              </w:rPr>
              <w:t>56</w:t>
            </w:r>
            <w:r w:rsidR="008231E1" w:rsidRPr="00CE2185">
              <w:rPr>
                <w:rFonts w:eastAsia="Times New Roman"/>
                <w:b/>
                <w:noProof/>
                <w:color w:val="000000"/>
                <w:sz w:val="18"/>
                <w:szCs w:val="18"/>
                <w:lang w:val="en-IE" w:eastAsia="en-IE"/>
              </w:rPr>
              <w:t> </w:t>
            </w:r>
            <w:r w:rsidRPr="00CE2185">
              <w:rPr>
                <w:rFonts w:eastAsia="Times New Roman"/>
                <w:b/>
                <w:noProof/>
                <w:color w:val="000000"/>
                <w:sz w:val="18"/>
                <w:szCs w:val="18"/>
                <w:lang w:val="en-IE" w:eastAsia="en-IE"/>
              </w:rPr>
              <w:t>500</w:t>
            </w:r>
          </w:p>
        </w:tc>
        <w:tc>
          <w:tcPr>
            <w:tcW w:w="458" w:type="pct"/>
            <w:shd w:val="clear" w:color="auto" w:fill="D0D0D0"/>
            <w:vAlign w:val="center"/>
            <w:hideMark/>
          </w:tcPr>
          <w:p w14:paraId="3E19162C" w14:textId="77777777" w:rsidR="00DB4D7C" w:rsidRPr="00CE2185" w:rsidRDefault="00DB4D7C">
            <w:pPr>
              <w:spacing w:after="0"/>
              <w:jc w:val="left"/>
              <w:rPr>
                <w:rFonts w:eastAsia="Times New Roman"/>
                <w:noProof/>
                <w:color w:val="000000"/>
                <w:sz w:val="18"/>
                <w:szCs w:val="18"/>
                <w:lang w:val="en-IE" w:eastAsia="en-IE"/>
              </w:rPr>
            </w:pPr>
            <w:r w:rsidRPr="00CE2185">
              <w:rPr>
                <w:rFonts w:eastAsia="Times New Roman"/>
                <w:noProof/>
                <w:color w:val="000000"/>
                <w:sz w:val="18"/>
                <w:szCs w:val="18"/>
                <w:lang w:val="en-IE" w:eastAsia="en-IE"/>
              </w:rPr>
              <w:t>2028</w:t>
            </w:r>
          </w:p>
        </w:tc>
        <w:tc>
          <w:tcPr>
            <w:tcW w:w="457" w:type="pct"/>
            <w:shd w:val="clear" w:color="auto" w:fill="D0D0D0"/>
            <w:vAlign w:val="center"/>
            <w:hideMark/>
          </w:tcPr>
          <w:p w14:paraId="63747E48" w14:textId="77777777" w:rsidR="00DB4D7C" w:rsidRPr="00CE2185" w:rsidRDefault="00DB4D7C">
            <w:pPr>
              <w:spacing w:after="0"/>
              <w:jc w:val="left"/>
              <w:rPr>
                <w:rFonts w:eastAsia="Times New Roman"/>
                <w:noProof/>
                <w:sz w:val="18"/>
                <w:szCs w:val="18"/>
                <w:lang w:val="en-IE" w:eastAsia="en-IE"/>
              </w:rPr>
            </w:pPr>
            <w:r w:rsidRPr="00CE2185">
              <w:rPr>
                <w:rFonts w:eastAsia="Times New Roman"/>
                <w:noProof/>
                <w:sz w:val="18"/>
                <w:szCs w:val="18"/>
                <w:lang w:val="en-IE" w:eastAsia="en-IE"/>
              </w:rPr>
              <w:t>2029</w:t>
            </w:r>
          </w:p>
        </w:tc>
        <w:tc>
          <w:tcPr>
            <w:tcW w:w="458" w:type="pct"/>
            <w:shd w:val="clear" w:color="auto" w:fill="D0D0D0"/>
            <w:vAlign w:val="center"/>
            <w:hideMark/>
          </w:tcPr>
          <w:p w14:paraId="071D8A5E" w14:textId="77777777" w:rsidR="00DB4D7C" w:rsidRPr="00CE2185" w:rsidRDefault="00DB4D7C">
            <w:pPr>
              <w:spacing w:after="0"/>
              <w:jc w:val="left"/>
              <w:rPr>
                <w:rFonts w:eastAsia="Times New Roman"/>
                <w:noProof/>
                <w:sz w:val="18"/>
                <w:szCs w:val="18"/>
                <w:lang w:val="en-IE" w:eastAsia="en-IE"/>
              </w:rPr>
            </w:pPr>
            <w:r w:rsidRPr="00CE2185">
              <w:rPr>
                <w:rFonts w:eastAsia="Times New Roman"/>
                <w:noProof/>
                <w:sz w:val="18"/>
                <w:szCs w:val="18"/>
                <w:lang w:val="en-IE" w:eastAsia="en-IE"/>
              </w:rPr>
              <w:t>2030</w:t>
            </w:r>
          </w:p>
        </w:tc>
        <w:tc>
          <w:tcPr>
            <w:tcW w:w="458" w:type="pct"/>
            <w:shd w:val="clear" w:color="auto" w:fill="D0D0D0"/>
            <w:vAlign w:val="center"/>
            <w:hideMark/>
          </w:tcPr>
          <w:p w14:paraId="1351F571" w14:textId="77777777" w:rsidR="00DB4D7C" w:rsidRPr="00CE2185" w:rsidRDefault="00DB4D7C">
            <w:pPr>
              <w:spacing w:after="0"/>
              <w:jc w:val="left"/>
              <w:rPr>
                <w:rFonts w:eastAsia="Times New Roman"/>
                <w:noProof/>
                <w:sz w:val="18"/>
                <w:szCs w:val="18"/>
                <w:lang w:val="en-IE" w:eastAsia="en-IE"/>
              </w:rPr>
            </w:pPr>
            <w:r w:rsidRPr="00CE2185">
              <w:rPr>
                <w:rFonts w:eastAsia="Times New Roman"/>
                <w:noProof/>
                <w:sz w:val="18"/>
                <w:szCs w:val="18"/>
                <w:lang w:val="en-IE" w:eastAsia="en-IE"/>
              </w:rPr>
              <w:t>2031</w:t>
            </w:r>
          </w:p>
        </w:tc>
        <w:tc>
          <w:tcPr>
            <w:tcW w:w="458" w:type="pct"/>
            <w:shd w:val="clear" w:color="auto" w:fill="D0D0D0"/>
            <w:vAlign w:val="center"/>
            <w:hideMark/>
          </w:tcPr>
          <w:p w14:paraId="4A41B9DB" w14:textId="77777777" w:rsidR="00DB4D7C" w:rsidRPr="00CE2185" w:rsidRDefault="00DB4D7C">
            <w:pPr>
              <w:spacing w:after="0"/>
              <w:jc w:val="left"/>
              <w:rPr>
                <w:rFonts w:eastAsia="Times New Roman"/>
                <w:noProof/>
                <w:sz w:val="18"/>
                <w:szCs w:val="18"/>
                <w:lang w:val="en-IE" w:eastAsia="en-IE"/>
              </w:rPr>
            </w:pPr>
            <w:r w:rsidRPr="00CE2185">
              <w:rPr>
                <w:rFonts w:eastAsia="Times New Roman"/>
                <w:noProof/>
                <w:sz w:val="18"/>
                <w:szCs w:val="18"/>
                <w:lang w:val="en-IE" w:eastAsia="en-IE"/>
              </w:rPr>
              <w:t>2032</w:t>
            </w:r>
          </w:p>
        </w:tc>
        <w:tc>
          <w:tcPr>
            <w:tcW w:w="611" w:type="pct"/>
            <w:shd w:val="clear" w:color="auto" w:fill="D0D0D0"/>
          </w:tcPr>
          <w:p w14:paraId="5D9533AE" w14:textId="77777777" w:rsidR="009E387C" w:rsidRPr="00CE2185" w:rsidRDefault="009E387C">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Average yearly cost</w:t>
            </w:r>
            <w:r w:rsidR="007C6859" w:rsidRPr="00CE2185">
              <w:rPr>
                <w:rFonts w:eastAsia="Times New Roman"/>
                <w:b/>
                <w:noProof/>
                <w:color w:val="000000"/>
                <w:sz w:val="18"/>
                <w:szCs w:val="18"/>
                <w:lang w:val="en-IE" w:eastAsia="en-IE"/>
              </w:rPr>
              <w:t>s</w:t>
            </w:r>
          </w:p>
          <w:p w14:paraId="5C20D09F" w14:textId="3253133F" w:rsidR="009E387C" w:rsidRPr="00CE2185" w:rsidRDefault="006D1C48">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(EUR)</w:t>
            </w:r>
          </w:p>
        </w:tc>
        <w:tc>
          <w:tcPr>
            <w:tcW w:w="1125" w:type="pct"/>
            <w:shd w:val="clear" w:color="auto" w:fill="D0D0D0"/>
            <w:noWrap/>
            <w:vAlign w:val="center"/>
            <w:hideMark/>
          </w:tcPr>
          <w:p w14:paraId="1BC8E04A" w14:textId="0AF50A24" w:rsidR="00DB4D7C" w:rsidRPr="00CE2185" w:rsidRDefault="00DB4D7C">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Total costs over 5 years for </w:t>
            </w:r>
            <w:r w:rsidR="005A7C23" w:rsidRPr="00CE2185">
              <w:rPr>
                <w:rFonts w:eastAsia="Times New Roman"/>
                <w:b/>
                <w:noProof/>
                <w:color w:val="000000"/>
                <w:sz w:val="18"/>
                <w:szCs w:val="18"/>
                <w:lang w:val="en-IE" w:eastAsia="en-IE"/>
              </w:rPr>
              <w:t>27</w:t>
            </w:r>
            <w:r w:rsidRPr="00CE2185">
              <w:rPr>
                <w:rFonts w:eastAsia="Times New Roman"/>
                <w:b/>
                <w:noProof/>
                <w:color w:val="000000"/>
                <w:sz w:val="18"/>
                <w:szCs w:val="18"/>
                <w:lang w:val="en-IE" w:eastAsia="en-IE"/>
              </w:rPr>
              <w:t xml:space="preserve"> MS</w:t>
            </w:r>
            <w:r w:rsidR="006D1C48" w:rsidRPr="00CE2185">
              <w:rPr>
                <w:rFonts w:eastAsia="Times New Roman"/>
                <w:b/>
                <w:noProof/>
                <w:color w:val="000000"/>
                <w:sz w:val="18"/>
                <w:szCs w:val="18"/>
                <w:lang w:val="en-IE" w:eastAsia="en-IE"/>
              </w:rPr>
              <w:t xml:space="preserve"> (EUR)</w:t>
            </w:r>
          </w:p>
        </w:tc>
      </w:tr>
      <w:tr w:rsidR="00DB4D7C" w:rsidRPr="00CE2185" w14:paraId="483ED339" w14:textId="77777777" w:rsidTr="00CD3C1D">
        <w:trPr>
          <w:trHeight w:val="310"/>
        </w:trPr>
        <w:tc>
          <w:tcPr>
            <w:tcW w:w="975" w:type="pct"/>
            <w:noWrap/>
            <w:vAlign w:val="center"/>
            <w:hideMark/>
          </w:tcPr>
          <w:p w14:paraId="75888B90" w14:textId="784506AC" w:rsidR="00DB4D7C" w:rsidRPr="00CE2185" w:rsidRDefault="00DB4D7C">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w:t>
            </w:r>
          </w:p>
        </w:tc>
        <w:tc>
          <w:tcPr>
            <w:tcW w:w="458" w:type="pct"/>
            <w:vAlign w:val="center"/>
            <w:hideMark/>
          </w:tcPr>
          <w:p w14:paraId="125F0415" w14:textId="1C26DEF3"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457" w:type="pct"/>
            <w:vAlign w:val="center"/>
            <w:hideMark/>
          </w:tcPr>
          <w:p w14:paraId="622C5B57" w14:textId="3079EC1C"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458" w:type="pct"/>
            <w:vAlign w:val="center"/>
            <w:hideMark/>
          </w:tcPr>
          <w:p w14:paraId="5AB8FDE8" w14:textId="1E5FBDBE"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458" w:type="pct"/>
            <w:vAlign w:val="center"/>
            <w:hideMark/>
          </w:tcPr>
          <w:p w14:paraId="05F19D4E" w14:textId="34BE36DF"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458" w:type="pct"/>
            <w:vAlign w:val="center"/>
            <w:hideMark/>
          </w:tcPr>
          <w:p w14:paraId="212C5BA8" w14:textId="5E9CDB81"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611" w:type="pct"/>
            <w:vAlign w:val="center"/>
          </w:tcPr>
          <w:p w14:paraId="1E06D4BC" w14:textId="58E89D16" w:rsidR="009E387C" w:rsidRPr="00CE2185" w:rsidRDefault="000F5174">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0</w:t>
            </w:r>
          </w:p>
        </w:tc>
        <w:tc>
          <w:tcPr>
            <w:tcW w:w="1125" w:type="pct"/>
            <w:vAlign w:val="center"/>
            <w:hideMark/>
          </w:tcPr>
          <w:p w14:paraId="3DC4F6DA" w14:textId="46A45571" w:rsidR="00DB4D7C" w:rsidRPr="00CE2185" w:rsidRDefault="00E61EAC">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0</w:t>
            </w:r>
          </w:p>
        </w:tc>
      </w:tr>
      <w:tr w:rsidR="00DB4D7C" w:rsidRPr="00CE2185" w14:paraId="04C10EFA" w14:textId="77777777" w:rsidTr="00CD3C1D">
        <w:trPr>
          <w:trHeight w:val="35"/>
        </w:trPr>
        <w:tc>
          <w:tcPr>
            <w:tcW w:w="975" w:type="pct"/>
            <w:noWrap/>
            <w:vAlign w:val="center"/>
          </w:tcPr>
          <w:p w14:paraId="5B239B14" w14:textId="210C0C45" w:rsidR="00DB4D7C" w:rsidRPr="00CE2185" w:rsidRDefault="00483AF2">
            <w:pPr>
              <w:spacing w:after="0"/>
              <w:jc w:val="left"/>
              <w:rPr>
                <w:rFonts w:eastAsia="Times New Roman"/>
                <w:b/>
                <w:noProof/>
                <w:color w:val="000000"/>
                <w:sz w:val="18"/>
                <w:szCs w:val="18"/>
                <w:lang w:val="en-IE" w:eastAsia="en-IE"/>
              </w:rPr>
            </w:pPr>
            <w:r w:rsidRPr="00CE2185">
              <w:rPr>
                <w:rFonts w:eastAsia="Times New Roman"/>
                <w:b/>
                <w:bCs/>
                <w:noProof/>
                <w:color w:val="000000"/>
                <w:sz w:val="18"/>
                <w:szCs w:val="18"/>
                <w:lang w:val="en-IE" w:eastAsia="en-IE"/>
              </w:rPr>
              <w:t>B1+ D2</w:t>
            </w:r>
          </w:p>
        </w:tc>
        <w:tc>
          <w:tcPr>
            <w:tcW w:w="458" w:type="pct"/>
            <w:vAlign w:val="center"/>
          </w:tcPr>
          <w:p w14:paraId="0001238A" w14:textId="5EBF47F4" w:rsidR="00DB4D7C" w:rsidRPr="00CE2185" w:rsidRDefault="00DB4D7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 xml:space="preserve">0 </w:t>
            </w:r>
          </w:p>
        </w:tc>
        <w:tc>
          <w:tcPr>
            <w:tcW w:w="457" w:type="pct"/>
            <w:vAlign w:val="center"/>
          </w:tcPr>
          <w:p w14:paraId="46BD0D5F" w14:textId="05A289B7" w:rsidR="00DB4D7C" w:rsidRPr="00CE2185" w:rsidRDefault="00F63666">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5</w:t>
            </w:r>
          </w:p>
        </w:tc>
        <w:tc>
          <w:tcPr>
            <w:tcW w:w="458" w:type="pct"/>
            <w:vAlign w:val="center"/>
          </w:tcPr>
          <w:p w14:paraId="5DB6BDBE" w14:textId="2EE035CB" w:rsidR="00DB4D7C" w:rsidRPr="00CE2185" w:rsidRDefault="00F63666" w:rsidP="00142251">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5</w:t>
            </w:r>
          </w:p>
        </w:tc>
        <w:tc>
          <w:tcPr>
            <w:tcW w:w="458" w:type="pct"/>
            <w:vAlign w:val="center"/>
          </w:tcPr>
          <w:p w14:paraId="469A0D9F" w14:textId="4A9360FC" w:rsidR="00DB4D7C" w:rsidRPr="00CE2185" w:rsidRDefault="00F63666">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5</w:t>
            </w:r>
          </w:p>
        </w:tc>
        <w:tc>
          <w:tcPr>
            <w:tcW w:w="458" w:type="pct"/>
            <w:vAlign w:val="center"/>
          </w:tcPr>
          <w:p w14:paraId="1F09604F" w14:textId="0D26A17B" w:rsidR="00DB4D7C" w:rsidRPr="00CE2185" w:rsidRDefault="00F63666">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5</w:t>
            </w:r>
          </w:p>
        </w:tc>
        <w:tc>
          <w:tcPr>
            <w:tcW w:w="611" w:type="pct"/>
            <w:vAlign w:val="center"/>
          </w:tcPr>
          <w:p w14:paraId="254B5B4D" w14:textId="5394BAA0" w:rsidR="009E387C" w:rsidRPr="00CE2185" w:rsidRDefault="007C6859" w:rsidP="00603232">
            <w:pPr>
              <w:spacing w:after="0"/>
              <w:jc w:val="right"/>
              <w:rPr>
                <w:noProof/>
                <w:sz w:val="18"/>
                <w:szCs w:val="18"/>
              </w:rPr>
            </w:pPr>
            <w:r w:rsidRPr="00CE2185">
              <w:rPr>
                <w:noProof/>
                <w:sz w:val="18"/>
                <w:szCs w:val="18"/>
              </w:rPr>
              <w:t>226 000</w:t>
            </w:r>
          </w:p>
        </w:tc>
        <w:tc>
          <w:tcPr>
            <w:tcW w:w="1125" w:type="pct"/>
            <w:vAlign w:val="center"/>
          </w:tcPr>
          <w:p w14:paraId="45C07E7B" w14:textId="5EBC17C0" w:rsidR="006D0C58" w:rsidRPr="00CE2185" w:rsidRDefault="007C6859" w:rsidP="00A8719F">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30 510 000</w:t>
            </w:r>
          </w:p>
        </w:tc>
      </w:tr>
      <w:tr w:rsidR="00DB4D7C" w:rsidRPr="00CE2185" w14:paraId="16341428" w14:textId="77777777" w:rsidTr="00CD3C1D">
        <w:trPr>
          <w:trHeight w:val="35"/>
        </w:trPr>
        <w:tc>
          <w:tcPr>
            <w:tcW w:w="975" w:type="pct"/>
            <w:noWrap/>
            <w:vAlign w:val="center"/>
          </w:tcPr>
          <w:p w14:paraId="37E12489" w14:textId="169105EA" w:rsidR="00DB4D7C" w:rsidRPr="00CE2185" w:rsidRDefault="00DB4D7C" w:rsidP="002B5069">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B1</w:t>
            </w:r>
            <w:r w:rsidR="00483AF2" w:rsidRPr="00CE2185">
              <w:rPr>
                <w:rFonts w:eastAsia="Times New Roman"/>
                <w:b/>
                <w:bCs/>
                <w:noProof/>
                <w:color w:val="000000"/>
                <w:sz w:val="18"/>
                <w:szCs w:val="18"/>
                <w:lang w:val="en-IE" w:eastAsia="en-IE"/>
              </w:rPr>
              <w:t>+</w:t>
            </w:r>
            <w:r w:rsidRPr="00CE2185">
              <w:rPr>
                <w:rFonts w:eastAsia="Times New Roman"/>
                <w:b/>
                <w:noProof/>
                <w:color w:val="000000"/>
                <w:sz w:val="18"/>
                <w:szCs w:val="18"/>
                <w:lang w:val="en-IE" w:eastAsia="en-IE"/>
              </w:rPr>
              <w:t xml:space="preserve"> D3</w:t>
            </w:r>
          </w:p>
        </w:tc>
        <w:tc>
          <w:tcPr>
            <w:tcW w:w="458" w:type="pct"/>
            <w:vAlign w:val="center"/>
          </w:tcPr>
          <w:p w14:paraId="53437D2D" w14:textId="4C88973F" w:rsidR="00DB4D7C" w:rsidRPr="00CE2185" w:rsidRDefault="000B0AE6" w:rsidP="002B5069">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0</w:t>
            </w:r>
          </w:p>
        </w:tc>
        <w:tc>
          <w:tcPr>
            <w:tcW w:w="457" w:type="pct"/>
            <w:vAlign w:val="center"/>
          </w:tcPr>
          <w:p w14:paraId="5F260648" w14:textId="3ED6EB19" w:rsidR="00DB4D7C" w:rsidRPr="00CE2185" w:rsidRDefault="00F63666" w:rsidP="002B5069">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50CBD751" w14:textId="3C63C662" w:rsidR="00DB4D7C" w:rsidRPr="00CE2185" w:rsidRDefault="00F63666" w:rsidP="002B5069">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37100C21" w14:textId="4E2C30C7" w:rsidR="00DB4D7C" w:rsidRPr="00CE2185" w:rsidRDefault="00F63666" w:rsidP="002B5069">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7DAE0F53" w14:textId="62A1031B" w:rsidR="00DB4D7C" w:rsidRPr="00CE2185" w:rsidRDefault="00F63666" w:rsidP="002B5069">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611" w:type="pct"/>
            <w:vAlign w:val="center"/>
          </w:tcPr>
          <w:p w14:paraId="19E29B95" w14:textId="73528FC3" w:rsidR="009E387C" w:rsidRPr="00CE2185" w:rsidRDefault="007C6859" w:rsidP="002B5069">
            <w:pPr>
              <w:spacing w:after="0"/>
              <w:jc w:val="right"/>
              <w:rPr>
                <w:noProof/>
                <w:sz w:val="18"/>
                <w:szCs w:val="18"/>
              </w:rPr>
            </w:pPr>
            <w:r w:rsidRPr="00CE2185">
              <w:rPr>
                <w:noProof/>
                <w:sz w:val="18"/>
                <w:szCs w:val="18"/>
              </w:rPr>
              <w:t>452 000</w:t>
            </w:r>
          </w:p>
        </w:tc>
        <w:tc>
          <w:tcPr>
            <w:tcW w:w="1125" w:type="pct"/>
            <w:vAlign w:val="center"/>
          </w:tcPr>
          <w:p w14:paraId="198ECBFB" w14:textId="791A0752" w:rsidR="00DB4D7C" w:rsidRPr="00CE2185" w:rsidRDefault="000C66EB" w:rsidP="002B5069">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61</w:t>
            </w:r>
            <w:r w:rsidR="007C6859" w:rsidRPr="00CE2185">
              <w:rPr>
                <w:rFonts w:eastAsia="Times New Roman"/>
                <w:b/>
                <w:noProof/>
                <w:color w:val="000000"/>
                <w:sz w:val="18"/>
                <w:szCs w:val="18"/>
                <w:lang w:val="en-IE" w:eastAsia="en-IE"/>
              </w:rPr>
              <w:t> </w:t>
            </w:r>
            <w:r w:rsidRPr="00CE2185">
              <w:rPr>
                <w:rFonts w:eastAsia="Times New Roman"/>
                <w:b/>
                <w:noProof/>
                <w:color w:val="000000"/>
                <w:sz w:val="18"/>
                <w:szCs w:val="18"/>
                <w:lang w:val="en-IE" w:eastAsia="en-IE"/>
              </w:rPr>
              <w:t>020</w:t>
            </w:r>
            <w:r w:rsidR="007C6859" w:rsidRPr="00CE2185">
              <w:rPr>
                <w:rFonts w:eastAsia="Times New Roman"/>
                <w:b/>
                <w:noProof/>
                <w:color w:val="000000"/>
                <w:sz w:val="18"/>
                <w:szCs w:val="18"/>
                <w:lang w:val="en-IE" w:eastAsia="en-IE"/>
              </w:rPr>
              <w:t> </w:t>
            </w:r>
            <w:r w:rsidRPr="00CE2185">
              <w:rPr>
                <w:rFonts w:eastAsia="Times New Roman"/>
                <w:b/>
                <w:noProof/>
                <w:color w:val="000000"/>
                <w:sz w:val="18"/>
                <w:szCs w:val="18"/>
                <w:lang w:val="en-IE" w:eastAsia="en-IE"/>
              </w:rPr>
              <w:t>000</w:t>
            </w:r>
          </w:p>
        </w:tc>
      </w:tr>
    </w:tbl>
    <w:p w14:paraId="743C657D" w14:textId="2685D6A1" w:rsidR="00A15BFB" w:rsidRPr="00CE2185" w:rsidRDefault="00F118B3" w:rsidP="006357E5">
      <w:pPr>
        <w:spacing w:before="120" w:after="120"/>
        <w:rPr>
          <w:noProof/>
        </w:rPr>
      </w:pPr>
      <w:r w:rsidRPr="00CE2185">
        <w:rPr>
          <w:b/>
          <w:bCs/>
          <w:i/>
          <w:iCs/>
          <w:noProof/>
        </w:rPr>
        <w:t>Option B.2</w:t>
      </w:r>
      <w:r w:rsidR="00C53604" w:rsidRPr="00CE2185">
        <w:rPr>
          <w:noProof/>
        </w:rPr>
        <w:t xml:space="preserve"> would entail the same costs as under B1 and </w:t>
      </w:r>
      <w:r w:rsidR="00076297" w:rsidRPr="00CE2185">
        <w:rPr>
          <w:noProof/>
        </w:rPr>
        <w:t xml:space="preserve">additional costs </w:t>
      </w:r>
      <w:r w:rsidR="00B41CDF" w:rsidRPr="00CE2185">
        <w:rPr>
          <w:noProof/>
        </w:rPr>
        <w:t>for ENISA, public authorities and businesses</w:t>
      </w:r>
      <w:r w:rsidR="00EA5B3E" w:rsidRPr="00CE2185">
        <w:rPr>
          <w:noProof/>
        </w:rPr>
        <w:t xml:space="preserve">, that </w:t>
      </w:r>
      <w:r w:rsidR="00076297" w:rsidRPr="00CE2185">
        <w:rPr>
          <w:noProof/>
        </w:rPr>
        <w:t xml:space="preserve">would exist due to changes in the governance framework and </w:t>
      </w:r>
      <w:r w:rsidR="00C53604" w:rsidRPr="00CE2185">
        <w:rPr>
          <w:noProof/>
        </w:rPr>
        <w:t xml:space="preserve">the extension of the scope to certification of entities. </w:t>
      </w:r>
    </w:p>
    <w:p w14:paraId="006213B3" w14:textId="1E6C568D" w:rsidR="007C6C4D" w:rsidRPr="00CE2185" w:rsidRDefault="003E2EC6" w:rsidP="00795DF0">
      <w:pPr>
        <w:spacing w:after="120"/>
        <w:rPr>
          <w:noProof/>
        </w:rPr>
      </w:pPr>
      <w:r w:rsidRPr="00CE2185">
        <w:rPr>
          <w:noProof/>
        </w:rPr>
        <w:t>Regarding FTEs, costs, t</w:t>
      </w:r>
      <w:r w:rsidR="001D2303" w:rsidRPr="00CE2185">
        <w:rPr>
          <w:noProof/>
        </w:rPr>
        <w:t>h</w:t>
      </w:r>
      <w:r w:rsidR="00074A82" w:rsidRPr="00CE2185">
        <w:rPr>
          <w:noProof/>
        </w:rPr>
        <w:t>e</w:t>
      </w:r>
      <w:r w:rsidR="00286C13" w:rsidRPr="00CE2185">
        <w:rPr>
          <w:noProof/>
        </w:rPr>
        <w:t xml:space="preserve"> role of </w:t>
      </w:r>
      <w:r w:rsidR="00286C13" w:rsidRPr="00CE2185">
        <w:rPr>
          <w:b/>
          <w:noProof/>
        </w:rPr>
        <w:t>ENISA</w:t>
      </w:r>
      <w:r w:rsidR="00286C13" w:rsidRPr="00CE2185">
        <w:rPr>
          <w:noProof/>
        </w:rPr>
        <w:t xml:space="preserve"> as ‘scheme manager’ would </w:t>
      </w:r>
      <w:r w:rsidR="00074A82" w:rsidRPr="00CE2185">
        <w:rPr>
          <w:noProof/>
        </w:rPr>
        <w:t xml:space="preserve">require </w:t>
      </w:r>
      <w:r w:rsidR="00286C13" w:rsidRPr="00CE2185">
        <w:rPr>
          <w:noProof/>
        </w:rPr>
        <w:t xml:space="preserve">some </w:t>
      </w:r>
      <w:r w:rsidR="00286C13" w:rsidRPr="00CE2185">
        <w:rPr>
          <w:b/>
          <w:noProof/>
        </w:rPr>
        <w:t xml:space="preserve">additional resources to tackle </w:t>
      </w:r>
      <w:r w:rsidR="00A07ED1" w:rsidRPr="00CE2185">
        <w:rPr>
          <w:b/>
          <w:noProof/>
        </w:rPr>
        <w:t>horizontal tasks</w:t>
      </w:r>
      <w:r w:rsidR="00A07ED1" w:rsidRPr="00CE2185">
        <w:rPr>
          <w:noProof/>
        </w:rPr>
        <w:t>, such as</w:t>
      </w:r>
      <w:r w:rsidR="00286C13" w:rsidRPr="00CE2185">
        <w:rPr>
          <w:noProof/>
        </w:rPr>
        <w:t xml:space="preserve"> increase</w:t>
      </w:r>
      <w:r w:rsidR="00B7499E" w:rsidRPr="00CE2185">
        <w:rPr>
          <w:noProof/>
        </w:rPr>
        <w:t>d</w:t>
      </w:r>
      <w:r w:rsidR="00286C13" w:rsidRPr="00CE2185">
        <w:rPr>
          <w:noProof/>
        </w:rPr>
        <w:t xml:space="preserve"> stakeholder engagement and involvement in drafting technical specification</w:t>
      </w:r>
      <w:r w:rsidR="00A0730C" w:rsidRPr="00CE2185">
        <w:rPr>
          <w:noProof/>
        </w:rPr>
        <w:t>s</w:t>
      </w:r>
      <w:r w:rsidR="003C63EF" w:rsidRPr="00CE2185">
        <w:rPr>
          <w:noProof/>
        </w:rPr>
        <w:t xml:space="preserve"> </w:t>
      </w:r>
      <w:r w:rsidR="00A0730C" w:rsidRPr="00CE2185">
        <w:rPr>
          <w:noProof/>
        </w:rPr>
        <w:t>and standardisation activities related to</w:t>
      </w:r>
      <w:r w:rsidR="003C63EF" w:rsidRPr="00CE2185">
        <w:rPr>
          <w:noProof/>
        </w:rPr>
        <w:t xml:space="preserve"> schemes. </w:t>
      </w:r>
      <w:r w:rsidR="00B7499E" w:rsidRPr="00CE2185">
        <w:rPr>
          <w:noProof/>
        </w:rPr>
        <w:t>Hence, it seems appropriate to fores</w:t>
      </w:r>
      <w:r w:rsidR="00BA7864" w:rsidRPr="00CE2185">
        <w:rPr>
          <w:noProof/>
        </w:rPr>
        <w:t>e</w:t>
      </w:r>
      <w:r w:rsidR="00B7499E" w:rsidRPr="00CE2185">
        <w:rPr>
          <w:noProof/>
        </w:rPr>
        <w:t xml:space="preserve">e </w:t>
      </w:r>
      <w:r w:rsidR="00B7499E" w:rsidRPr="00CE2185">
        <w:rPr>
          <w:b/>
          <w:noProof/>
        </w:rPr>
        <w:t>2 additional FTEs</w:t>
      </w:r>
      <w:r w:rsidR="00B7499E" w:rsidRPr="00CE2185">
        <w:rPr>
          <w:noProof/>
        </w:rPr>
        <w:t xml:space="preserve"> </w:t>
      </w:r>
      <w:r w:rsidR="002207C1" w:rsidRPr="00CE2185">
        <w:rPr>
          <w:noProof/>
        </w:rPr>
        <w:t>(recurrent adjustment costs)</w:t>
      </w:r>
      <w:r w:rsidR="00B7499E" w:rsidRPr="00CE2185">
        <w:rPr>
          <w:noProof/>
        </w:rPr>
        <w:t xml:space="preserve"> compared to existing 2 FTEs dedicated to this work under the </w:t>
      </w:r>
      <w:r w:rsidR="004567DF" w:rsidRPr="00CE2185">
        <w:rPr>
          <w:noProof/>
        </w:rPr>
        <w:t>BaU</w:t>
      </w:r>
      <w:r w:rsidR="00B7499E" w:rsidRPr="00CE2185">
        <w:rPr>
          <w:noProof/>
        </w:rPr>
        <w:t xml:space="preserve"> scenario</w:t>
      </w:r>
      <w:r w:rsidR="003228FB" w:rsidRPr="00CE2185">
        <w:rPr>
          <w:noProof/>
        </w:rPr>
        <w:t xml:space="preserve"> (one-off and recurrent costs starting in 2028)</w:t>
      </w:r>
      <w:r w:rsidR="00B7499E" w:rsidRPr="00CE2185">
        <w:rPr>
          <w:noProof/>
        </w:rPr>
        <w:t xml:space="preserve">. </w:t>
      </w:r>
      <w:r w:rsidR="003C63EF" w:rsidRPr="00CE2185">
        <w:rPr>
          <w:noProof/>
        </w:rPr>
        <w:t>Th</w:t>
      </w:r>
      <w:r w:rsidR="0044749D" w:rsidRPr="00CE2185">
        <w:rPr>
          <w:noProof/>
        </w:rPr>
        <w:t>is</w:t>
      </w:r>
      <w:r w:rsidR="007E6CB8" w:rsidRPr="00CE2185">
        <w:rPr>
          <w:noProof/>
        </w:rPr>
        <w:t xml:space="preserve"> estimation also</w:t>
      </w:r>
      <w:r w:rsidR="0044749D" w:rsidRPr="00CE2185">
        <w:rPr>
          <w:noProof/>
        </w:rPr>
        <w:t xml:space="preserve"> considers the</w:t>
      </w:r>
      <w:r w:rsidR="003C63EF" w:rsidRPr="00CE2185">
        <w:rPr>
          <w:noProof/>
        </w:rPr>
        <w:t xml:space="preserve"> development </w:t>
      </w:r>
      <w:r w:rsidR="00723623" w:rsidRPr="00CE2185">
        <w:rPr>
          <w:noProof/>
        </w:rPr>
        <w:t xml:space="preserve">of </w:t>
      </w:r>
      <w:r w:rsidR="00B7499E" w:rsidRPr="00CE2185">
        <w:rPr>
          <w:noProof/>
        </w:rPr>
        <w:t xml:space="preserve">an </w:t>
      </w:r>
      <w:r w:rsidR="00B7499E" w:rsidRPr="00CE2185">
        <w:rPr>
          <w:b/>
          <w:noProof/>
        </w:rPr>
        <w:t>additional scheme related to the cyber posture of entities</w:t>
      </w:r>
      <w:r w:rsidR="00B7499E" w:rsidRPr="00CE2185">
        <w:rPr>
          <w:noProof/>
        </w:rPr>
        <w:t xml:space="preserve"> </w:t>
      </w:r>
      <w:r w:rsidR="00F6748C" w:rsidRPr="00CE2185">
        <w:rPr>
          <w:noProof/>
        </w:rPr>
        <w:t xml:space="preserve">that </w:t>
      </w:r>
      <w:r w:rsidR="00B7499E" w:rsidRPr="00CE2185">
        <w:rPr>
          <w:noProof/>
        </w:rPr>
        <w:t xml:space="preserve">would require between 2 and 3 FTEs </w:t>
      </w:r>
      <w:r w:rsidR="001D2303" w:rsidRPr="00CE2185">
        <w:rPr>
          <w:noProof/>
        </w:rPr>
        <w:t>(</w:t>
      </w:r>
      <w:r w:rsidR="00B7499E" w:rsidRPr="00CE2185">
        <w:rPr>
          <w:noProof/>
        </w:rPr>
        <w:t xml:space="preserve">based on the </w:t>
      </w:r>
      <w:r w:rsidR="001D2303" w:rsidRPr="00CE2185">
        <w:rPr>
          <w:noProof/>
        </w:rPr>
        <w:t xml:space="preserve">scheme development </w:t>
      </w:r>
      <w:r w:rsidR="00B7499E" w:rsidRPr="00CE2185">
        <w:rPr>
          <w:noProof/>
        </w:rPr>
        <w:t>costs observed from past schemes</w:t>
      </w:r>
      <w:r w:rsidR="001D2303" w:rsidRPr="00CE2185">
        <w:rPr>
          <w:noProof/>
        </w:rPr>
        <w:t>)</w:t>
      </w:r>
      <w:r w:rsidR="00B7499E" w:rsidRPr="00CE2185">
        <w:rPr>
          <w:noProof/>
        </w:rPr>
        <w:t xml:space="preserve">. </w:t>
      </w:r>
      <w:r w:rsidR="0044749D" w:rsidRPr="00CE2185">
        <w:rPr>
          <w:noProof/>
        </w:rPr>
        <w:t xml:space="preserve">The resources to develop a new scheme could be taken from existing </w:t>
      </w:r>
      <w:r w:rsidR="001D2303" w:rsidRPr="00CE2185">
        <w:rPr>
          <w:noProof/>
        </w:rPr>
        <w:t xml:space="preserve">ENISA </w:t>
      </w:r>
      <w:r w:rsidR="0044749D" w:rsidRPr="00CE2185">
        <w:rPr>
          <w:noProof/>
        </w:rPr>
        <w:t>FTEs</w:t>
      </w:r>
      <w:r w:rsidR="0073747F" w:rsidRPr="00CE2185">
        <w:rPr>
          <w:noProof/>
        </w:rPr>
        <w:t xml:space="preserve"> dedicate</w:t>
      </w:r>
      <w:r w:rsidR="001D2303" w:rsidRPr="00CE2185">
        <w:rPr>
          <w:noProof/>
        </w:rPr>
        <w:t>d</w:t>
      </w:r>
      <w:r w:rsidR="0073747F" w:rsidRPr="00CE2185">
        <w:rPr>
          <w:noProof/>
        </w:rPr>
        <w:t xml:space="preserve"> to scheme development as other schemes would move to the maintenance phase</w:t>
      </w:r>
      <w:r w:rsidR="0044749D" w:rsidRPr="00CE2185">
        <w:rPr>
          <w:noProof/>
        </w:rPr>
        <w:t>, however more</w:t>
      </w:r>
      <w:r w:rsidR="00B7499E" w:rsidRPr="00CE2185">
        <w:rPr>
          <w:noProof/>
        </w:rPr>
        <w:t xml:space="preserve"> </w:t>
      </w:r>
      <w:r w:rsidR="00F6748C" w:rsidRPr="00CE2185">
        <w:rPr>
          <w:noProof/>
        </w:rPr>
        <w:t>resource might be necessary</w:t>
      </w:r>
      <w:r w:rsidR="00A07ED1" w:rsidRPr="00CE2185">
        <w:rPr>
          <w:noProof/>
        </w:rPr>
        <w:t xml:space="preserve"> for instance if no available standards are available. </w:t>
      </w:r>
      <w:r w:rsidR="003228FB" w:rsidRPr="00CE2185">
        <w:rPr>
          <w:noProof/>
        </w:rPr>
        <w:t xml:space="preserve">A new scheme </w:t>
      </w:r>
      <w:r w:rsidR="00256977" w:rsidRPr="00256977">
        <w:rPr>
          <w:noProof/>
        </w:rPr>
        <w:t xml:space="preserve">related to cyberposture </w:t>
      </w:r>
      <w:r w:rsidR="003228FB" w:rsidRPr="00CE2185">
        <w:rPr>
          <w:noProof/>
        </w:rPr>
        <w:t xml:space="preserve">(assumption is that the candidate scheme would be submitted in 2029 </w:t>
      </w:r>
      <w:r w:rsidR="001D2303" w:rsidRPr="00CE2185">
        <w:rPr>
          <w:noProof/>
        </w:rPr>
        <w:t>and maintenance to start in 2030</w:t>
      </w:r>
      <w:r w:rsidR="003228FB" w:rsidRPr="00CE2185">
        <w:rPr>
          <w:noProof/>
        </w:rPr>
        <w:t>) would also require addition</w:t>
      </w:r>
      <w:r w:rsidR="00187846" w:rsidRPr="00CE2185">
        <w:rPr>
          <w:noProof/>
        </w:rPr>
        <w:t>a</w:t>
      </w:r>
      <w:r w:rsidR="003228FB" w:rsidRPr="00CE2185">
        <w:rPr>
          <w:noProof/>
        </w:rPr>
        <w:t xml:space="preserve">l dedicated resources (2 FTEs one-off and recurrent as of </w:t>
      </w:r>
      <w:r w:rsidR="00E01C64" w:rsidRPr="00CE2185">
        <w:rPr>
          <w:noProof/>
        </w:rPr>
        <w:t xml:space="preserve">2030). </w:t>
      </w:r>
      <w:r w:rsidR="00A61A68" w:rsidRPr="00CE2185">
        <w:rPr>
          <w:noProof/>
        </w:rPr>
        <w:t xml:space="preserve"> </w:t>
      </w:r>
    </w:p>
    <w:p w14:paraId="40DC5217" w14:textId="7F97E460" w:rsidR="00AE002F" w:rsidRPr="00CE2185" w:rsidRDefault="003E2EC6" w:rsidP="00AE002F">
      <w:pPr>
        <w:spacing w:after="120"/>
        <w:rPr>
          <w:noProof/>
        </w:rPr>
      </w:pPr>
      <w:r w:rsidRPr="00CE2185">
        <w:rPr>
          <w:noProof/>
        </w:rPr>
        <w:t>Next to FTE related costs</w:t>
      </w:r>
      <w:r w:rsidR="008A452A" w:rsidRPr="00CE2185">
        <w:rPr>
          <w:noProof/>
        </w:rPr>
        <w:t>, a</w:t>
      </w:r>
      <w:r w:rsidRPr="00CE2185">
        <w:rPr>
          <w:noProof/>
        </w:rPr>
        <w:t>s under option B.1</w:t>
      </w:r>
      <w:r w:rsidR="008A452A" w:rsidRPr="00CE2185">
        <w:rPr>
          <w:noProof/>
        </w:rPr>
        <w:t>, maintenance activities would involve operational costs</w:t>
      </w:r>
      <w:r w:rsidR="00FF2C35" w:rsidRPr="00CE2185">
        <w:rPr>
          <w:noProof/>
        </w:rPr>
        <w:t xml:space="preserve">. Under option B.2. those operational maintenance costs would be partly and gradually offset by a </w:t>
      </w:r>
      <w:r w:rsidR="00FF2C35" w:rsidRPr="00CE2185">
        <w:rPr>
          <w:b/>
          <w:noProof/>
        </w:rPr>
        <w:t>fee mechanism</w:t>
      </w:r>
      <w:r w:rsidR="00DA5714" w:rsidRPr="00CE2185">
        <w:rPr>
          <w:noProof/>
        </w:rPr>
        <w:t xml:space="preserve"> that would charge conformity assessment bodies </w:t>
      </w:r>
      <w:r w:rsidR="00EE17B6" w:rsidRPr="00CE2185">
        <w:rPr>
          <w:noProof/>
        </w:rPr>
        <w:t xml:space="preserve">when publishing their certificates on ENISA’s website </w:t>
      </w:r>
      <w:r w:rsidR="00DA5714" w:rsidRPr="00CE2185">
        <w:rPr>
          <w:noProof/>
        </w:rPr>
        <w:t>(see below).</w:t>
      </w:r>
      <w:r w:rsidR="008A452A" w:rsidRPr="00CE2185">
        <w:rPr>
          <w:noProof/>
        </w:rPr>
        <w:t xml:space="preserve"> </w:t>
      </w:r>
      <w:r w:rsidR="00AE002F" w:rsidRPr="00CE2185">
        <w:rPr>
          <w:noProof/>
          <w:lang w:val="en-IE"/>
        </w:rPr>
        <w:t xml:space="preserve">The expectations are </w:t>
      </w:r>
      <w:r w:rsidR="00256977">
        <w:rPr>
          <w:noProof/>
          <w:lang w:val="en-IE"/>
        </w:rPr>
        <w:t xml:space="preserve">that </w:t>
      </w:r>
      <w:r w:rsidR="00AE002F" w:rsidRPr="00CE2185">
        <w:rPr>
          <w:noProof/>
          <w:lang w:val="en-IE"/>
        </w:rPr>
        <w:t xml:space="preserve">the revenues from these fees to raise in progression </w:t>
      </w:r>
      <w:r w:rsidR="00AE002F" w:rsidRPr="00CE2185">
        <w:rPr>
          <w:noProof/>
        </w:rPr>
        <w:t>with the adoption of every</w:t>
      </w:r>
      <w:r w:rsidR="00F2674A" w:rsidRPr="00CE2185">
        <w:rPr>
          <w:noProof/>
        </w:rPr>
        <w:t xml:space="preserve"> </w:t>
      </w:r>
      <w:r w:rsidR="00AE002F" w:rsidRPr="00CE2185">
        <w:rPr>
          <w:noProof/>
        </w:rPr>
        <w:t>new scheme, with the first revenues from the maintenance of the first adopted scheme (EUCC) to start in 2029</w:t>
      </w:r>
      <w:r w:rsidR="00465CEA" w:rsidRPr="00CE2185">
        <w:rPr>
          <w:noProof/>
        </w:rPr>
        <w:t xml:space="preserve"> (see </w:t>
      </w:r>
      <w:r w:rsidR="0018129B" w:rsidRPr="00CE2185">
        <w:rPr>
          <w:noProof/>
        </w:rPr>
        <w:t>detailed explanations in</w:t>
      </w:r>
      <w:r w:rsidR="00465CEA" w:rsidRPr="00CE2185">
        <w:rPr>
          <w:noProof/>
        </w:rPr>
        <w:t xml:space="preserve"> </w:t>
      </w:r>
      <w:r w:rsidR="00465CEA" w:rsidRPr="00CE2185">
        <w:rPr>
          <w:i/>
          <w:iCs/>
          <w:noProof/>
        </w:rPr>
        <w:t>Annex 4 section 4.2</w:t>
      </w:r>
      <w:r w:rsidR="00465CEA" w:rsidRPr="00CE2185">
        <w:rPr>
          <w:noProof/>
        </w:rPr>
        <w:t>)</w:t>
      </w:r>
      <w:r w:rsidR="00AE002F" w:rsidRPr="00CE2185">
        <w:rPr>
          <w:noProof/>
        </w:rPr>
        <w:t>.  </w:t>
      </w:r>
    </w:p>
    <w:p w14:paraId="2B752E2D" w14:textId="77777777" w:rsidR="003C7C5A" w:rsidRPr="00CE2185" w:rsidRDefault="003C7C5A" w:rsidP="00795DF0">
      <w:pPr>
        <w:spacing w:after="120"/>
        <w:rPr>
          <w:noProof/>
        </w:rPr>
      </w:pPr>
    </w:p>
    <w:p w14:paraId="5F8FDDA2" w14:textId="6054BB77" w:rsidR="00187846" w:rsidRPr="00CE2185" w:rsidRDefault="007C6C4D" w:rsidP="001E5D9D">
      <w:pPr>
        <w:pStyle w:val="Heading7"/>
        <w:rPr>
          <w:noProof/>
        </w:rPr>
      </w:pPr>
      <w:bookmarkStart w:id="106" w:name="_Toc218767769"/>
      <w:r w:rsidRPr="00CE2185">
        <w:rPr>
          <w:noProof/>
        </w:rPr>
        <w:t>Table</w:t>
      </w:r>
      <w:r w:rsidR="007C0F70" w:rsidRPr="00CE2185">
        <w:rPr>
          <w:noProof/>
        </w:rPr>
        <w:t xml:space="preserve"> </w:t>
      </w:r>
      <w:r w:rsidR="00362531" w:rsidRPr="00CE2185">
        <w:rPr>
          <w:noProof/>
        </w:rPr>
        <w:t>7</w:t>
      </w:r>
      <w:r w:rsidRPr="00CE2185">
        <w:rPr>
          <w:noProof/>
        </w:rPr>
        <w:t>: Overview of ENISA resources under option B</w:t>
      </w:r>
      <w:r w:rsidR="008244FB" w:rsidRPr="00CE2185">
        <w:rPr>
          <w:noProof/>
        </w:rPr>
        <w:t>.</w:t>
      </w:r>
      <w:r w:rsidRPr="00CE2185">
        <w:rPr>
          <w:noProof/>
        </w:rPr>
        <w:t xml:space="preserve">2 </w:t>
      </w:r>
      <w:r w:rsidR="006F23A5" w:rsidRPr="00CE2185">
        <w:rPr>
          <w:i/>
          <w:iCs/>
          <w:noProof/>
        </w:rPr>
        <w:t>(same for B.3)</w:t>
      </w:r>
      <w:bookmarkEnd w:id="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2132"/>
        <w:gridCol w:w="948"/>
        <w:gridCol w:w="810"/>
        <w:gridCol w:w="1085"/>
        <w:gridCol w:w="814"/>
        <w:gridCol w:w="943"/>
        <w:gridCol w:w="812"/>
        <w:gridCol w:w="1319"/>
      </w:tblGrid>
      <w:tr w:rsidR="00CD3C1D" w:rsidRPr="00CE2185" w14:paraId="1FA0ABC7" w14:textId="77777777" w:rsidTr="00CD3C1D">
        <w:trPr>
          <w:trHeight w:val="315"/>
        </w:trPr>
        <w:tc>
          <w:tcPr>
            <w:tcW w:w="1203" w:type="pct"/>
            <w:shd w:val="clear" w:color="000000" w:fill="D0D0D0"/>
            <w:noWrap/>
            <w:vAlign w:val="center"/>
            <w:hideMark/>
          </w:tcPr>
          <w:p w14:paraId="7F6DAD1A" w14:textId="6B020A25" w:rsidR="00187846" w:rsidRPr="00CE2185" w:rsidRDefault="00187846">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Option B.2 – FTEs </w:t>
            </w:r>
            <w:r w:rsidR="005C11B4" w:rsidRPr="00CE2185">
              <w:rPr>
                <w:rFonts w:eastAsia="Times New Roman"/>
                <w:b/>
                <w:noProof/>
                <w:color w:val="000000"/>
                <w:sz w:val="18"/>
                <w:szCs w:val="18"/>
                <w:lang w:val="en-IE" w:eastAsia="en-IE"/>
              </w:rPr>
              <w:t>ENISA</w:t>
            </w:r>
          </w:p>
          <w:p w14:paraId="15E382C7" w14:textId="6D104945" w:rsidR="00187846" w:rsidRPr="00CE2185" w:rsidRDefault="00187846">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(one-off and recurrent costs) </w:t>
            </w:r>
          </w:p>
          <w:p w14:paraId="2D96AFD0" w14:textId="35E6A473" w:rsidR="00187846" w:rsidRPr="00CE2185" w:rsidRDefault="005C11B4">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1 FTE =</w:t>
            </w:r>
            <w:r w:rsidR="00187846" w:rsidRPr="00CE2185">
              <w:rPr>
                <w:rFonts w:eastAsia="Times New Roman"/>
                <w:b/>
                <w:noProof/>
                <w:color w:val="000000"/>
                <w:sz w:val="18"/>
                <w:szCs w:val="18"/>
                <w:lang w:val="en-IE" w:eastAsia="en-IE"/>
              </w:rPr>
              <w:t xml:space="preserve"> </w:t>
            </w:r>
            <w:r w:rsidR="008231E1" w:rsidRPr="00CE2185">
              <w:rPr>
                <w:rFonts w:eastAsia="Times New Roman"/>
                <w:b/>
                <w:noProof/>
                <w:color w:val="000000"/>
                <w:sz w:val="18"/>
                <w:szCs w:val="18"/>
                <w:lang w:val="en-IE" w:eastAsia="en-IE"/>
              </w:rPr>
              <w:t xml:space="preserve">EUR </w:t>
            </w:r>
            <w:r w:rsidR="007C6C4D" w:rsidRPr="00CE2185">
              <w:rPr>
                <w:rFonts w:eastAsia="Times New Roman"/>
                <w:b/>
                <w:noProof/>
                <w:color w:val="000000"/>
                <w:sz w:val="18"/>
                <w:szCs w:val="18"/>
                <w:lang w:val="en-IE" w:eastAsia="en-IE"/>
              </w:rPr>
              <w:t>128</w:t>
            </w:r>
            <w:r w:rsidR="008231E1" w:rsidRPr="00CE2185">
              <w:rPr>
                <w:rFonts w:eastAsia="Times New Roman"/>
                <w:b/>
                <w:noProof/>
                <w:color w:val="000000"/>
                <w:sz w:val="18"/>
                <w:szCs w:val="18"/>
                <w:lang w:val="en-IE" w:eastAsia="en-IE"/>
              </w:rPr>
              <w:t> </w:t>
            </w:r>
            <w:r w:rsidR="007C6C4D" w:rsidRPr="00CE2185">
              <w:rPr>
                <w:rFonts w:eastAsia="Times New Roman"/>
                <w:b/>
                <w:noProof/>
                <w:color w:val="000000"/>
                <w:sz w:val="18"/>
                <w:szCs w:val="18"/>
                <w:lang w:val="en-IE" w:eastAsia="en-IE"/>
              </w:rPr>
              <w:t xml:space="preserve">277 </w:t>
            </w:r>
          </w:p>
        </w:tc>
        <w:tc>
          <w:tcPr>
            <w:tcW w:w="535" w:type="pct"/>
            <w:shd w:val="clear" w:color="000000" w:fill="D0D0D0"/>
            <w:vAlign w:val="center"/>
            <w:hideMark/>
          </w:tcPr>
          <w:p w14:paraId="08E391A9" w14:textId="77777777" w:rsidR="00187846" w:rsidRPr="00CE2185" w:rsidRDefault="00187846">
            <w:pPr>
              <w:spacing w:after="0"/>
              <w:jc w:val="left"/>
              <w:rPr>
                <w:rFonts w:eastAsia="Times New Roman"/>
                <w:noProof/>
                <w:color w:val="000000"/>
                <w:sz w:val="18"/>
                <w:szCs w:val="18"/>
                <w:lang w:val="en-IE" w:eastAsia="en-IE"/>
              </w:rPr>
            </w:pPr>
            <w:r w:rsidRPr="00CE2185">
              <w:rPr>
                <w:rFonts w:eastAsia="Times New Roman"/>
                <w:noProof/>
                <w:color w:val="000000"/>
                <w:sz w:val="18"/>
                <w:szCs w:val="18"/>
                <w:lang w:val="en-IE" w:eastAsia="en-IE"/>
              </w:rPr>
              <w:t>2028</w:t>
            </w:r>
          </w:p>
        </w:tc>
        <w:tc>
          <w:tcPr>
            <w:tcW w:w="457" w:type="pct"/>
            <w:shd w:val="clear" w:color="000000" w:fill="D0D0D0"/>
            <w:vAlign w:val="center"/>
            <w:hideMark/>
          </w:tcPr>
          <w:p w14:paraId="1D57C4BB" w14:textId="77777777" w:rsidR="00187846" w:rsidRPr="00CE2185" w:rsidRDefault="00187846">
            <w:pPr>
              <w:spacing w:after="0"/>
              <w:jc w:val="left"/>
              <w:rPr>
                <w:rFonts w:eastAsia="Times New Roman"/>
                <w:noProof/>
                <w:sz w:val="18"/>
                <w:szCs w:val="18"/>
                <w:lang w:val="en-IE" w:eastAsia="en-IE"/>
              </w:rPr>
            </w:pPr>
            <w:r w:rsidRPr="00CE2185">
              <w:rPr>
                <w:rFonts w:eastAsia="Times New Roman"/>
                <w:noProof/>
                <w:sz w:val="18"/>
                <w:szCs w:val="18"/>
                <w:lang w:val="en-IE" w:eastAsia="en-IE"/>
              </w:rPr>
              <w:t>2029</w:t>
            </w:r>
          </w:p>
        </w:tc>
        <w:tc>
          <w:tcPr>
            <w:tcW w:w="612" w:type="pct"/>
            <w:shd w:val="clear" w:color="000000" w:fill="D0D0D0"/>
            <w:vAlign w:val="center"/>
            <w:hideMark/>
          </w:tcPr>
          <w:p w14:paraId="4B230696" w14:textId="77777777" w:rsidR="00187846" w:rsidRPr="00CE2185" w:rsidRDefault="00187846">
            <w:pPr>
              <w:spacing w:after="0"/>
              <w:jc w:val="left"/>
              <w:rPr>
                <w:rFonts w:eastAsia="Times New Roman"/>
                <w:noProof/>
                <w:sz w:val="18"/>
                <w:szCs w:val="18"/>
                <w:lang w:val="en-IE" w:eastAsia="en-IE"/>
              </w:rPr>
            </w:pPr>
            <w:r w:rsidRPr="00CE2185">
              <w:rPr>
                <w:rFonts w:eastAsia="Times New Roman"/>
                <w:noProof/>
                <w:sz w:val="18"/>
                <w:szCs w:val="18"/>
                <w:lang w:val="en-IE" w:eastAsia="en-IE"/>
              </w:rPr>
              <w:t>2030</w:t>
            </w:r>
          </w:p>
        </w:tc>
        <w:tc>
          <w:tcPr>
            <w:tcW w:w="459" w:type="pct"/>
            <w:shd w:val="clear" w:color="000000" w:fill="D0D0D0"/>
            <w:vAlign w:val="center"/>
            <w:hideMark/>
          </w:tcPr>
          <w:p w14:paraId="19C07B5E" w14:textId="77777777" w:rsidR="00187846" w:rsidRPr="00CE2185" w:rsidRDefault="00187846">
            <w:pPr>
              <w:spacing w:after="0"/>
              <w:jc w:val="left"/>
              <w:rPr>
                <w:rFonts w:eastAsia="Times New Roman"/>
                <w:noProof/>
                <w:sz w:val="18"/>
                <w:szCs w:val="18"/>
                <w:lang w:val="en-IE" w:eastAsia="en-IE"/>
              </w:rPr>
            </w:pPr>
            <w:r w:rsidRPr="00CE2185">
              <w:rPr>
                <w:rFonts w:eastAsia="Times New Roman"/>
                <w:noProof/>
                <w:sz w:val="18"/>
                <w:szCs w:val="18"/>
                <w:lang w:val="en-IE" w:eastAsia="en-IE"/>
              </w:rPr>
              <w:t>2031</w:t>
            </w:r>
          </w:p>
        </w:tc>
        <w:tc>
          <w:tcPr>
            <w:tcW w:w="532" w:type="pct"/>
            <w:shd w:val="clear" w:color="000000" w:fill="D0D0D0"/>
            <w:vAlign w:val="center"/>
            <w:hideMark/>
          </w:tcPr>
          <w:p w14:paraId="08497495" w14:textId="77777777" w:rsidR="00187846" w:rsidRPr="00CE2185" w:rsidRDefault="00187846">
            <w:pPr>
              <w:spacing w:after="0"/>
              <w:jc w:val="left"/>
              <w:rPr>
                <w:rFonts w:eastAsia="Times New Roman"/>
                <w:noProof/>
                <w:sz w:val="18"/>
                <w:szCs w:val="18"/>
                <w:lang w:val="en-IE" w:eastAsia="en-IE"/>
              </w:rPr>
            </w:pPr>
            <w:r w:rsidRPr="00CE2185">
              <w:rPr>
                <w:rFonts w:eastAsia="Times New Roman"/>
                <w:noProof/>
                <w:sz w:val="18"/>
                <w:szCs w:val="18"/>
                <w:lang w:val="en-IE" w:eastAsia="en-IE"/>
              </w:rPr>
              <w:t>2032</w:t>
            </w:r>
          </w:p>
        </w:tc>
        <w:tc>
          <w:tcPr>
            <w:tcW w:w="458" w:type="pct"/>
            <w:shd w:val="clear" w:color="000000" w:fill="D0D0D0"/>
          </w:tcPr>
          <w:p w14:paraId="28DE1F46" w14:textId="79DC43A3" w:rsidR="009E4F8F" w:rsidRPr="00CE2185" w:rsidRDefault="009E4F8F">
            <w:pPr>
              <w:spacing w:after="0"/>
              <w:jc w:val="left"/>
              <w:rPr>
                <w:rFonts w:eastAsia="Times New Roman"/>
                <w:noProof/>
                <w:color w:val="000000"/>
                <w:sz w:val="18"/>
                <w:szCs w:val="18"/>
                <w:lang w:val="en-IE" w:eastAsia="en-IE"/>
              </w:rPr>
            </w:pPr>
            <w:r w:rsidRPr="00CE2185">
              <w:rPr>
                <w:rFonts w:eastAsia="Times New Roman"/>
                <w:noProof/>
                <w:color w:val="000000"/>
                <w:sz w:val="18"/>
                <w:szCs w:val="18"/>
                <w:lang w:val="en-IE" w:eastAsia="en-IE"/>
              </w:rPr>
              <w:t>Average yearly cost</w:t>
            </w:r>
            <w:r w:rsidR="006D1C48" w:rsidRPr="00CE2185">
              <w:rPr>
                <w:rFonts w:eastAsia="Times New Roman"/>
                <w:noProof/>
                <w:color w:val="000000"/>
                <w:sz w:val="18"/>
                <w:szCs w:val="18"/>
                <w:lang w:val="en-IE" w:eastAsia="en-IE"/>
              </w:rPr>
              <w:t xml:space="preserve"> (EUR)</w:t>
            </w:r>
          </w:p>
        </w:tc>
        <w:tc>
          <w:tcPr>
            <w:tcW w:w="744" w:type="pct"/>
            <w:shd w:val="clear" w:color="000000" w:fill="D0D0D0"/>
            <w:noWrap/>
            <w:vAlign w:val="center"/>
            <w:hideMark/>
          </w:tcPr>
          <w:p w14:paraId="72180C66" w14:textId="6DB9B205" w:rsidR="00187846" w:rsidRPr="00CE2185" w:rsidRDefault="00187846">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Total costs over 5 years</w:t>
            </w:r>
            <w:r w:rsidR="006D1C48" w:rsidRPr="00CE2185">
              <w:rPr>
                <w:rFonts w:eastAsia="Times New Roman"/>
                <w:b/>
                <w:bCs/>
                <w:noProof/>
                <w:color w:val="000000"/>
                <w:sz w:val="18"/>
                <w:szCs w:val="18"/>
                <w:lang w:val="en-IE" w:eastAsia="en-IE"/>
              </w:rPr>
              <w:t xml:space="preserve"> (EUR)</w:t>
            </w:r>
            <w:r w:rsidR="00BD02A6" w:rsidRPr="00CE2185">
              <w:rPr>
                <w:rFonts w:eastAsia="Times New Roman"/>
                <w:b/>
                <w:bCs/>
                <w:noProof/>
                <w:color w:val="000000"/>
                <w:sz w:val="18"/>
                <w:szCs w:val="18"/>
                <w:lang w:val="en-IE" w:eastAsia="en-IE"/>
              </w:rPr>
              <w:t xml:space="preserve"> FTEs</w:t>
            </w:r>
          </w:p>
        </w:tc>
      </w:tr>
      <w:tr w:rsidR="00CD3C1D" w:rsidRPr="00CE2185" w14:paraId="35F35C1A" w14:textId="77777777" w:rsidTr="00CD3C1D">
        <w:trPr>
          <w:trHeight w:val="211"/>
        </w:trPr>
        <w:tc>
          <w:tcPr>
            <w:tcW w:w="1203" w:type="pct"/>
            <w:noWrap/>
            <w:vAlign w:val="center"/>
            <w:hideMark/>
          </w:tcPr>
          <w:p w14:paraId="558058D4" w14:textId="5B0A78C1" w:rsidR="00187846" w:rsidRPr="00CE2185" w:rsidRDefault="00187846">
            <w:pPr>
              <w:spacing w:after="0"/>
              <w:jc w:val="left"/>
              <w:rPr>
                <w:rFonts w:eastAsia="Times New Roman"/>
                <w:noProof/>
                <w:color w:val="000000"/>
                <w:sz w:val="18"/>
                <w:szCs w:val="18"/>
                <w:lang w:val="en-IE" w:eastAsia="en-IE"/>
              </w:rPr>
            </w:pPr>
            <w:r w:rsidRPr="00CE2185">
              <w:rPr>
                <w:rFonts w:eastAsia="Times New Roman"/>
                <w:b/>
                <w:noProof/>
                <w:color w:val="000000"/>
                <w:sz w:val="18"/>
                <w:szCs w:val="18"/>
                <w:lang w:val="en-IE" w:eastAsia="en-IE"/>
              </w:rPr>
              <w:t>B2</w:t>
            </w:r>
          </w:p>
        </w:tc>
        <w:tc>
          <w:tcPr>
            <w:tcW w:w="535" w:type="pct"/>
            <w:vAlign w:val="center"/>
            <w:hideMark/>
          </w:tcPr>
          <w:p w14:paraId="37DCAA7D" w14:textId="7E804852" w:rsidR="00187846" w:rsidRPr="00CE2185" w:rsidRDefault="001D797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457" w:type="pct"/>
            <w:vAlign w:val="center"/>
            <w:hideMark/>
          </w:tcPr>
          <w:p w14:paraId="27853F59" w14:textId="2FBA4A3A" w:rsidR="00187846" w:rsidRPr="00CE2185" w:rsidRDefault="001D7978">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p>
        </w:tc>
        <w:tc>
          <w:tcPr>
            <w:tcW w:w="612" w:type="pct"/>
            <w:vAlign w:val="center"/>
            <w:hideMark/>
          </w:tcPr>
          <w:p w14:paraId="3DDC0D2D" w14:textId="4C5A0749" w:rsidR="00187846" w:rsidRPr="00CE2185" w:rsidRDefault="00C70914">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9" w:type="pct"/>
            <w:vAlign w:val="center"/>
            <w:hideMark/>
          </w:tcPr>
          <w:p w14:paraId="3DF25B01" w14:textId="0DD2A28B" w:rsidR="00187846" w:rsidRPr="00CE2185" w:rsidRDefault="00C70914">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532" w:type="pct"/>
            <w:vAlign w:val="center"/>
            <w:hideMark/>
          </w:tcPr>
          <w:p w14:paraId="1599FF2C" w14:textId="378ABED2" w:rsidR="00187846" w:rsidRPr="00CE2185" w:rsidRDefault="00C70914">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458" w:type="pct"/>
            <w:vAlign w:val="center"/>
          </w:tcPr>
          <w:p w14:paraId="37F12442" w14:textId="57DB48EF" w:rsidR="0063626D" w:rsidRPr="00CE2185" w:rsidRDefault="0063626D">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1 180 148</w:t>
            </w:r>
          </w:p>
        </w:tc>
        <w:tc>
          <w:tcPr>
            <w:tcW w:w="744" w:type="pct"/>
            <w:vAlign w:val="center"/>
            <w:hideMark/>
          </w:tcPr>
          <w:p w14:paraId="4FDEEB3D" w14:textId="592F324A" w:rsidR="00187846" w:rsidRPr="00CE2185" w:rsidRDefault="0063626D">
            <w:pPr>
              <w:spacing w:after="0"/>
              <w:jc w:val="right"/>
              <w:rPr>
                <w:rFonts w:eastAsia="Times New Roman"/>
                <w:noProof/>
                <w:color w:val="000000"/>
                <w:sz w:val="18"/>
                <w:szCs w:val="18"/>
                <w:lang w:val="en-IE" w:eastAsia="en-IE"/>
              </w:rPr>
            </w:pPr>
            <w:r w:rsidRPr="00CE2185">
              <w:rPr>
                <w:rFonts w:eastAsia="Times New Roman"/>
                <w:b/>
                <w:noProof/>
                <w:color w:val="000000"/>
                <w:sz w:val="18"/>
                <w:szCs w:val="18"/>
                <w:lang w:val="en-IE" w:eastAsia="en-IE"/>
              </w:rPr>
              <w:t>5</w:t>
            </w:r>
            <w:r w:rsidRPr="00CE2185">
              <w:rPr>
                <w:rFonts w:eastAsia="Times New Roman"/>
                <w:noProof/>
                <w:color w:val="000000"/>
                <w:sz w:val="18"/>
                <w:szCs w:val="18"/>
                <w:lang w:val="en-IE" w:eastAsia="en-IE"/>
              </w:rPr>
              <w:t> 900 742</w:t>
            </w:r>
          </w:p>
        </w:tc>
      </w:tr>
      <w:tr w:rsidR="00CD3C1D" w:rsidRPr="00CE2185" w14:paraId="5092D721" w14:textId="77777777" w:rsidTr="00CD3C1D">
        <w:trPr>
          <w:trHeight w:val="102"/>
        </w:trPr>
        <w:tc>
          <w:tcPr>
            <w:tcW w:w="1203" w:type="pct"/>
            <w:noWrap/>
            <w:vAlign w:val="center"/>
          </w:tcPr>
          <w:p w14:paraId="5929EB20" w14:textId="428EFAAA" w:rsidR="00187846" w:rsidRPr="00CE2185" w:rsidRDefault="00187846">
            <w:pPr>
              <w:spacing w:after="0"/>
              <w:jc w:val="left"/>
              <w:rPr>
                <w:rFonts w:eastAsia="Times New Roman"/>
                <w:b/>
                <w:noProof/>
                <w:color w:val="000000"/>
                <w:sz w:val="18"/>
                <w:szCs w:val="18"/>
                <w:lang w:val="de-DE" w:eastAsia="en-IE"/>
              </w:rPr>
            </w:pPr>
            <w:r w:rsidRPr="00CE2185">
              <w:rPr>
                <w:rFonts w:eastAsia="Times New Roman"/>
                <w:b/>
                <w:noProof/>
                <w:color w:val="000000"/>
                <w:sz w:val="18"/>
                <w:szCs w:val="18"/>
                <w:lang w:val="de-DE" w:eastAsia="en-IE"/>
              </w:rPr>
              <w:t>B</w:t>
            </w:r>
            <w:r w:rsidR="00B30B5C" w:rsidRPr="00CE2185">
              <w:rPr>
                <w:rFonts w:eastAsia="Times New Roman"/>
                <w:b/>
                <w:noProof/>
                <w:color w:val="000000"/>
                <w:sz w:val="18"/>
                <w:szCs w:val="18"/>
                <w:lang w:val="de-DE" w:eastAsia="en-IE"/>
              </w:rPr>
              <w:t>2</w:t>
            </w:r>
            <w:r w:rsidRPr="00CE2185">
              <w:rPr>
                <w:rFonts w:eastAsia="Times New Roman"/>
                <w:b/>
                <w:noProof/>
                <w:color w:val="000000"/>
                <w:sz w:val="18"/>
                <w:szCs w:val="18"/>
                <w:lang w:val="de-DE" w:eastAsia="en-IE"/>
              </w:rPr>
              <w:t xml:space="preserve">+ D2 </w:t>
            </w:r>
            <w:r w:rsidR="00C3205B" w:rsidRPr="00CE2185">
              <w:rPr>
                <w:rFonts w:eastAsia="Times New Roman"/>
                <w:bCs/>
                <w:noProof/>
                <w:color w:val="000000"/>
                <w:sz w:val="18"/>
                <w:szCs w:val="18"/>
                <w:lang w:val="de-DE" w:eastAsia="en-IE"/>
              </w:rPr>
              <w:t>(more schemes: EU5G)</w:t>
            </w:r>
          </w:p>
        </w:tc>
        <w:tc>
          <w:tcPr>
            <w:tcW w:w="535" w:type="pct"/>
            <w:vAlign w:val="center"/>
          </w:tcPr>
          <w:p w14:paraId="382E1B65" w14:textId="02BFB574" w:rsidR="00187846" w:rsidRPr="00CE2185" w:rsidRDefault="00A0730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r w:rsidR="00187846" w:rsidRPr="00CE2185">
              <w:rPr>
                <w:rFonts w:eastAsia="Times New Roman"/>
                <w:noProof/>
                <w:color w:val="000000"/>
                <w:sz w:val="18"/>
                <w:szCs w:val="18"/>
                <w:lang w:val="en-IE" w:eastAsia="en-IE"/>
              </w:rPr>
              <w:t xml:space="preserve"> </w:t>
            </w:r>
          </w:p>
        </w:tc>
        <w:tc>
          <w:tcPr>
            <w:tcW w:w="457" w:type="pct"/>
            <w:vAlign w:val="center"/>
          </w:tcPr>
          <w:p w14:paraId="5BDDB354" w14:textId="54A8AA99" w:rsidR="00187846" w:rsidRPr="00CE2185" w:rsidRDefault="00A0730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10</w:t>
            </w:r>
          </w:p>
        </w:tc>
        <w:tc>
          <w:tcPr>
            <w:tcW w:w="612" w:type="pct"/>
            <w:vAlign w:val="center"/>
          </w:tcPr>
          <w:p w14:paraId="63357BD9" w14:textId="2DC7436B" w:rsidR="00187846" w:rsidRPr="00CE2185" w:rsidRDefault="00A0730C" w:rsidP="00C3205B">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12</w:t>
            </w:r>
          </w:p>
        </w:tc>
        <w:tc>
          <w:tcPr>
            <w:tcW w:w="459" w:type="pct"/>
            <w:vAlign w:val="center"/>
          </w:tcPr>
          <w:p w14:paraId="15DD27F9" w14:textId="4FAC79DA" w:rsidR="00187846" w:rsidRPr="00CE2185" w:rsidRDefault="00A0730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12</w:t>
            </w:r>
          </w:p>
        </w:tc>
        <w:tc>
          <w:tcPr>
            <w:tcW w:w="532" w:type="pct"/>
            <w:vAlign w:val="center"/>
          </w:tcPr>
          <w:p w14:paraId="605343C3" w14:textId="699A2A9E" w:rsidR="00187846" w:rsidRPr="00CE2185" w:rsidRDefault="00A0730C">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12</w:t>
            </w:r>
          </w:p>
        </w:tc>
        <w:tc>
          <w:tcPr>
            <w:tcW w:w="458" w:type="pct"/>
            <w:vAlign w:val="center"/>
          </w:tcPr>
          <w:p w14:paraId="25A3873D" w14:textId="286B8443" w:rsidR="009E4F8F" w:rsidRPr="00CE2185" w:rsidRDefault="004107BD">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1 385 392</w:t>
            </w:r>
          </w:p>
        </w:tc>
        <w:tc>
          <w:tcPr>
            <w:tcW w:w="744" w:type="pct"/>
            <w:vAlign w:val="center"/>
          </w:tcPr>
          <w:p w14:paraId="755B748A" w14:textId="37394959" w:rsidR="00187846" w:rsidRPr="00CE2185" w:rsidRDefault="004107BD">
            <w:pPr>
              <w:spacing w:after="0"/>
              <w:jc w:val="right"/>
              <w:rPr>
                <w:rFonts w:eastAsia="Times New Roman"/>
                <w:noProof/>
                <w:color w:val="000000"/>
                <w:sz w:val="18"/>
                <w:szCs w:val="18"/>
                <w:lang w:val="en-IE" w:eastAsia="en-IE"/>
              </w:rPr>
            </w:pPr>
            <w:r w:rsidRPr="00CE2185">
              <w:rPr>
                <w:rFonts w:eastAsia="Times New Roman"/>
                <w:b/>
                <w:noProof/>
                <w:color w:val="000000"/>
                <w:sz w:val="18"/>
                <w:szCs w:val="18"/>
                <w:lang w:val="en-IE" w:eastAsia="en-IE"/>
              </w:rPr>
              <w:t>6</w:t>
            </w:r>
            <w:r w:rsidR="004E67D5" w:rsidRPr="00CE2185">
              <w:rPr>
                <w:rFonts w:eastAsia="Times New Roman"/>
                <w:b/>
                <w:noProof/>
                <w:color w:val="000000"/>
                <w:sz w:val="18"/>
                <w:szCs w:val="18"/>
                <w:lang w:val="en-IE" w:eastAsia="en-IE"/>
              </w:rPr>
              <w:t> </w:t>
            </w:r>
            <w:r w:rsidR="004E67D5" w:rsidRPr="00CE2185">
              <w:rPr>
                <w:rFonts w:eastAsia="Times New Roman"/>
                <w:noProof/>
                <w:color w:val="000000"/>
                <w:sz w:val="18"/>
                <w:szCs w:val="18"/>
                <w:lang w:val="en-IE" w:eastAsia="en-IE"/>
              </w:rPr>
              <w:t>926 958</w:t>
            </w:r>
          </w:p>
        </w:tc>
      </w:tr>
      <w:tr w:rsidR="00CD3C1D" w:rsidRPr="00CE2185" w14:paraId="606D9DAB" w14:textId="77777777" w:rsidTr="00CD3C1D">
        <w:trPr>
          <w:trHeight w:val="67"/>
        </w:trPr>
        <w:tc>
          <w:tcPr>
            <w:tcW w:w="1203" w:type="pct"/>
            <w:noWrap/>
            <w:vAlign w:val="center"/>
          </w:tcPr>
          <w:p w14:paraId="3153BF70" w14:textId="522EC3AE" w:rsidR="00187846" w:rsidRPr="00CE2185" w:rsidRDefault="00187846">
            <w:pPr>
              <w:spacing w:after="0"/>
              <w:jc w:val="left"/>
              <w:rPr>
                <w:rFonts w:eastAsia="Times New Roman"/>
                <w:noProof/>
                <w:color w:val="000000"/>
                <w:sz w:val="18"/>
                <w:szCs w:val="18"/>
                <w:lang w:val="fr-BE" w:eastAsia="en-IE"/>
              </w:rPr>
            </w:pPr>
            <w:r w:rsidRPr="00CE2185">
              <w:rPr>
                <w:rFonts w:eastAsia="Times New Roman"/>
                <w:b/>
                <w:noProof/>
                <w:color w:val="000000"/>
                <w:sz w:val="18"/>
                <w:szCs w:val="18"/>
                <w:lang w:val="fr-BE" w:eastAsia="en-IE"/>
              </w:rPr>
              <w:t>B</w:t>
            </w:r>
            <w:r w:rsidR="00B30B5C" w:rsidRPr="00CE2185">
              <w:rPr>
                <w:rFonts w:eastAsia="Times New Roman"/>
                <w:b/>
                <w:noProof/>
                <w:color w:val="000000"/>
                <w:sz w:val="18"/>
                <w:szCs w:val="18"/>
                <w:lang w:val="fr-BE" w:eastAsia="en-IE"/>
              </w:rPr>
              <w:t>2</w:t>
            </w:r>
            <w:r w:rsidRPr="00CE2185">
              <w:rPr>
                <w:rFonts w:eastAsia="Times New Roman"/>
                <w:b/>
                <w:noProof/>
                <w:color w:val="000000"/>
                <w:sz w:val="18"/>
                <w:szCs w:val="18"/>
                <w:lang w:val="fr-BE" w:eastAsia="en-IE"/>
              </w:rPr>
              <w:t>+ D3</w:t>
            </w:r>
            <w:r w:rsidR="00C3205B" w:rsidRPr="00CE2185">
              <w:rPr>
                <w:rFonts w:eastAsia="Times New Roman"/>
                <w:b/>
                <w:noProof/>
                <w:color w:val="000000"/>
                <w:sz w:val="18"/>
                <w:szCs w:val="18"/>
                <w:lang w:val="fr-BE" w:eastAsia="en-IE"/>
              </w:rPr>
              <w:t xml:space="preserve"> </w:t>
            </w:r>
            <w:r w:rsidR="00C3205B" w:rsidRPr="00CE2185">
              <w:rPr>
                <w:rFonts w:eastAsia="Times New Roman"/>
                <w:bCs/>
                <w:noProof/>
                <w:color w:val="000000"/>
                <w:sz w:val="18"/>
                <w:szCs w:val="18"/>
                <w:lang w:val="fr-BE" w:eastAsia="en-IE"/>
              </w:rPr>
              <w:t>(more schemes: EUCS, EU5G)</w:t>
            </w:r>
          </w:p>
        </w:tc>
        <w:tc>
          <w:tcPr>
            <w:tcW w:w="535" w:type="pct"/>
            <w:vAlign w:val="center"/>
          </w:tcPr>
          <w:p w14:paraId="74E3F3B1" w14:textId="7402F8B7" w:rsidR="00187846" w:rsidRPr="00CE2185" w:rsidRDefault="007D01DE">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w:t>
            </w:r>
            <w:r w:rsidR="00187846" w:rsidRPr="00CE2185">
              <w:rPr>
                <w:rFonts w:eastAsia="Times New Roman"/>
                <w:noProof/>
                <w:color w:val="000000"/>
                <w:sz w:val="18"/>
                <w:szCs w:val="18"/>
                <w:lang w:val="en-IE" w:eastAsia="en-IE"/>
              </w:rPr>
              <w:t xml:space="preserve"> </w:t>
            </w:r>
          </w:p>
        </w:tc>
        <w:tc>
          <w:tcPr>
            <w:tcW w:w="457" w:type="pct"/>
            <w:vAlign w:val="center"/>
          </w:tcPr>
          <w:p w14:paraId="6808BC7E" w14:textId="4590A102" w:rsidR="00187846" w:rsidRPr="00CE2185" w:rsidRDefault="00187846">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w:t>
            </w:r>
            <w:r w:rsidR="007D01DE" w:rsidRPr="00CE2185">
              <w:rPr>
                <w:rFonts w:eastAsia="Times New Roman"/>
                <w:noProof/>
                <w:color w:val="000000"/>
                <w:sz w:val="18"/>
                <w:szCs w:val="18"/>
                <w:lang w:val="en-IE" w:eastAsia="en-IE"/>
              </w:rPr>
              <w:t>2</w:t>
            </w:r>
          </w:p>
        </w:tc>
        <w:tc>
          <w:tcPr>
            <w:tcW w:w="612" w:type="pct"/>
            <w:vAlign w:val="center"/>
          </w:tcPr>
          <w:p w14:paraId="32341CE5" w14:textId="10237AB2" w:rsidR="00187846" w:rsidRPr="00CE2185" w:rsidRDefault="007D01DE">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w:t>
            </w:r>
            <w:r w:rsidR="00B30B5C" w:rsidRPr="00CE2185">
              <w:rPr>
                <w:rFonts w:eastAsia="Times New Roman"/>
                <w:noProof/>
                <w:color w:val="000000"/>
                <w:sz w:val="18"/>
                <w:szCs w:val="18"/>
                <w:lang w:val="en-IE" w:eastAsia="en-IE"/>
              </w:rPr>
              <w:t>4</w:t>
            </w:r>
          </w:p>
        </w:tc>
        <w:tc>
          <w:tcPr>
            <w:tcW w:w="459" w:type="pct"/>
            <w:vAlign w:val="center"/>
          </w:tcPr>
          <w:p w14:paraId="14453EFB" w14:textId="2553D910" w:rsidR="00187846" w:rsidRPr="00CE2185" w:rsidRDefault="007D01DE">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w:t>
            </w:r>
            <w:r w:rsidR="00B30B5C" w:rsidRPr="00CE2185">
              <w:rPr>
                <w:rFonts w:eastAsia="Times New Roman"/>
                <w:noProof/>
                <w:color w:val="000000"/>
                <w:sz w:val="18"/>
                <w:szCs w:val="18"/>
                <w:lang w:val="en-IE" w:eastAsia="en-IE"/>
              </w:rPr>
              <w:t>4</w:t>
            </w:r>
          </w:p>
        </w:tc>
        <w:tc>
          <w:tcPr>
            <w:tcW w:w="532" w:type="pct"/>
            <w:vAlign w:val="center"/>
          </w:tcPr>
          <w:p w14:paraId="3F8DE918" w14:textId="32581982" w:rsidR="00187846" w:rsidRPr="00CE2185" w:rsidRDefault="007D01DE">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w:t>
            </w:r>
            <w:r w:rsidR="00B30B5C" w:rsidRPr="00CE2185">
              <w:rPr>
                <w:rFonts w:eastAsia="Times New Roman"/>
                <w:noProof/>
                <w:color w:val="000000"/>
                <w:sz w:val="18"/>
                <w:szCs w:val="18"/>
                <w:lang w:val="en-IE" w:eastAsia="en-IE"/>
              </w:rPr>
              <w:t>4</w:t>
            </w:r>
          </w:p>
        </w:tc>
        <w:tc>
          <w:tcPr>
            <w:tcW w:w="458" w:type="pct"/>
            <w:vAlign w:val="center"/>
          </w:tcPr>
          <w:p w14:paraId="1ABB26E3" w14:textId="2F1F74B8" w:rsidR="009E4F8F" w:rsidRPr="00CE2185" w:rsidRDefault="004E67D5">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1 590 635</w:t>
            </w:r>
          </w:p>
        </w:tc>
        <w:tc>
          <w:tcPr>
            <w:tcW w:w="744" w:type="pct"/>
            <w:vAlign w:val="center"/>
          </w:tcPr>
          <w:p w14:paraId="42340341" w14:textId="2BF781DD" w:rsidR="00187846" w:rsidRPr="00CE2185" w:rsidRDefault="004E67D5">
            <w:pPr>
              <w:spacing w:after="0"/>
              <w:jc w:val="right"/>
              <w:rPr>
                <w:rFonts w:eastAsia="Times New Roman"/>
                <w:noProof/>
                <w:color w:val="000000"/>
                <w:sz w:val="18"/>
                <w:szCs w:val="18"/>
                <w:lang w:val="en-IE" w:eastAsia="en-IE"/>
              </w:rPr>
            </w:pPr>
            <w:r w:rsidRPr="00CE2185">
              <w:rPr>
                <w:rFonts w:eastAsia="Times New Roman"/>
                <w:b/>
                <w:noProof/>
                <w:color w:val="000000"/>
                <w:sz w:val="18"/>
                <w:szCs w:val="18"/>
                <w:lang w:val="en-IE" w:eastAsia="en-IE"/>
              </w:rPr>
              <w:t>7 </w:t>
            </w:r>
            <w:r w:rsidRPr="00CE2185">
              <w:rPr>
                <w:rFonts w:eastAsia="Times New Roman"/>
                <w:noProof/>
                <w:color w:val="000000"/>
                <w:sz w:val="18"/>
                <w:szCs w:val="18"/>
                <w:lang w:val="en-IE" w:eastAsia="en-IE"/>
              </w:rPr>
              <w:t>953 174</w:t>
            </w:r>
          </w:p>
        </w:tc>
      </w:tr>
      <w:tr w:rsidR="00CD3C1D" w:rsidRPr="00CE2185" w14:paraId="21846C2C" w14:textId="77777777" w:rsidTr="00CD3C1D">
        <w:trPr>
          <w:trHeight w:val="67"/>
        </w:trPr>
        <w:tc>
          <w:tcPr>
            <w:tcW w:w="1203" w:type="pct"/>
            <w:shd w:val="clear" w:color="auto" w:fill="D9D9D9" w:themeFill="background1" w:themeFillShade="D9"/>
            <w:noWrap/>
            <w:vAlign w:val="center"/>
          </w:tcPr>
          <w:p w14:paraId="327FA5CB" w14:textId="08351395" w:rsidR="00271574" w:rsidRPr="00CE2185" w:rsidRDefault="00271574" w:rsidP="00AE002F">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Operational costs </w:t>
            </w:r>
            <w:r w:rsidR="003A6411" w:rsidRPr="00CE2185">
              <w:rPr>
                <w:rFonts w:eastAsia="Times New Roman"/>
                <w:b/>
                <w:noProof/>
                <w:color w:val="000000"/>
                <w:sz w:val="18"/>
                <w:szCs w:val="18"/>
                <w:lang w:val="en-IE" w:eastAsia="en-IE"/>
              </w:rPr>
              <w:t>ENISA (without fees)</w:t>
            </w:r>
          </w:p>
        </w:tc>
        <w:tc>
          <w:tcPr>
            <w:tcW w:w="535" w:type="pct"/>
            <w:shd w:val="clear" w:color="auto" w:fill="D9D9D9" w:themeFill="background1" w:themeFillShade="D9"/>
            <w:vAlign w:val="center"/>
          </w:tcPr>
          <w:p w14:paraId="66082F51" w14:textId="77777777" w:rsidR="00271574" w:rsidRPr="00CE2185" w:rsidRDefault="00271574" w:rsidP="00AE002F">
            <w:pPr>
              <w:spacing w:after="0"/>
              <w:jc w:val="right"/>
              <w:rPr>
                <w:rFonts w:eastAsia="Times New Roman"/>
                <w:noProof/>
                <w:color w:val="000000"/>
                <w:sz w:val="18"/>
                <w:szCs w:val="18"/>
                <w:lang w:val="en-IE" w:eastAsia="en-IE"/>
              </w:rPr>
            </w:pPr>
          </w:p>
        </w:tc>
        <w:tc>
          <w:tcPr>
            <w:tcW w:w="457" w:type="pct"/>
            <w:shd w:val="clear" w:color="auto" w:fill="D9D9D9" w:themeFill="background1" w:themeFillShade="D9"/>
            <w:vAlign w:val="center"/>
          </w:tcPr>
          <w:p w14:paraId="630C16B5" w14:textId="77777777" w:rsidR="00271574" w:rsidRPr="00CE2185" w:rsidRDefault="00271574" w:rsidP="00AE002F">
            <w:pPr>
              <w:spacing w:after="0"/>
              <w:jc w:val="right"/>
              <w:rPr>
                <w:rFonts w:eastAsia="Times New Roman"/>
                <w:noProof/>
                <w:color w:val="000000"/>
                <w:sz w:val="18"/>
                <w:szCs w:val="18"/>
                <w:lang w:val="en-IE" w:eastAsia="en-IE"/>
              </w:rPr>
            </w:pPr>
          </w:p>
        </w:tc>
        <w:tc>
          <w:tcPr>
            <w:tcW w:w="612" w:type="pct"/>
            <w:shd w:val="clear" w:color="auto" w:fill="D9D9D9" w:themeFill="background1" w:themeFillShade="D9"/>
            <w:vAlign w:val="center"/>
          </w:tcPr>
          <w:p w14:paraId="61D00740" w14:textId="77777777" w:rsidR="00271574" w:rsidRPr="00CE2185" w:rsidRDefault="00271574" w:rsidP="00AE002F">
            <w:pPr>
              <w:spacing w:after="0"/>
              <w:jc w:val="right"/>
              <w:rPr>
                <w:rFonts w:eastAsia="Times New Roman"/>
                <w:noProof/>
                <w:color w:val="000000"/>
                <w:sz w:val="18"/>
                <w:szCs w:val="18"/>
                <w:lang w:val="en-IE" w:eastAsia="en-IE"/>
              </w:rPr>
            </w:pPr>
          </w:p>
        </w:tc>
        <w:tc>
          <w:tcPr>
            <w:tcW w:w="459" w:type="pct"/>
            <w:shd w:val="clear" w:color="auto" w:fill="D9D9D9" w:themeFill="background1" w:themeFillShade="D9"/>
            <w:vAlign w:val="center"/>
          </w:tcPr>
          <w:p w14:paraId="04B318DE" w14:textId="77777777" w:rsidR="00271574" w:rsidRPr="00CE2185" w:rsidRDefault="00271574" w:rsidP="00AE002F">
            <w:pPr>
              <w:spacing w:after="0"/>
              <w:jc w:val="right"/>
              <w:rPr>
                <w:rFonts w:eastAsia="Times New Roman"/>
                <w:noProof/>
                <w:color w:val="000000"/>
                <w:sz w:val="18"/>
                <w:szCs w:val="18"/>
                <w:lang w:val="en-IE" w:eastAsia="en-IE"/>
              </w:rPr>
            </w:pPr>
          </w:p>
        </w:tc>
        <w:tc>
          <w:tcPr>
            <w:tcW w:w="532" w:type="pct"/>
            <w:shd w:val="clear" w:color="auto" w:fill="D9D9D9" w:themeFill="background1" w:themeFillShade="D9"/>
            <w:vAlign w:val="center"/>
          </w:tcPr>
          <w:p w14:paraId="65CD9E5D" w14:textId="77777777" w:rsidR="00271574" w:rsidRPr="00CE2185" w:rsidRDefault="00271574" w:rsidP="00AE002F">
            <w:pPr>
              <w:spacing w:after="0"/>
              <w:jc w:val="right"/>
              <w:rPr>
                <w:rFonts w:eastAsia="Times New Roman"/>
                <w:noProof/>
                <w:color w:val="000000"/>
                <w:sz w:val="18"/>
                <w:szCs w:val="18"/>
                <w:lang w:val="en-IE" w:eastAsia="en-IE"/>
              </w:rPr>
            </w:pPr>
          </w:p>
        </w:tc>
        <w:tc>
          <w:tcPr>
            <w:tcW w:w="458" w:type="pct"/>
            <w:shd w:val="clear" w:color="auto" w:fill="D9D9D9" w:themeFill="background1" w:themeFillShade="D9"/>
            <w:vAlign w:val="center"/>
          </w:tcPr>
          <w:p w14:paraId="1C414BF3" w14:textId="77777777" w:rsidR="00271574" w:rsidRPr="00CE2185" w:rsidRDefault="00271574" w:rsidP="00AE002F">
            <w:pPr>
              <w:spacing w:after="0"/>
              <w:jc w:val="right"/>
              <w:rPr>
                <w:rFonts w:eastAsia="Times New Roman"/>
                <w:noProof/>
                <w:color w:val="000000"/>
                <w:sz w:val="18"/>
                <w:szCs w:val="18"/>
                <w:lang w:val="en-IE" w:eastAsia="en-IE"/>
              </w:rPr>
            </w:pPr>
          </w:p>
        </w:tc>
        <w:tc>
          <w:tcPr>
            <w:tcW w:w="744" w:type="pct"/>
            <w:shd w:val="clear" w:color="auto" w:fill="D9D9D9" w:themeFill="background1" w:themeFillShade="D9"/>
            <w:vAlign w:val="center"/>
          </w:tcPr>
          <w:p w14:paraId="100B6DEA" w14:textId="0FF734AC" w:rsidR="00271574" w:rsidRPr="00CE2185" w:rsidRDefault="00040979" w:rsidP="00AE002F">
            <w:pPr>
              <w:spacing w:after="0"/>
              <w:jc w:val="righ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Over 5 ye</w:t>
            </w:r>
            <w:r w:rsidR="000C1DC4" w:rsidRPr="00CE2185">
              <w:rPr>
                <w:rFonts w:eastAsia="Times New Roman"/>
                <w:b/>
                <w:noProof/>
                <w:color w:val="000000"/>
                <w:sz w:val="18"/>
                <w:szCs w:val="18"/>
                <w:lang w:val="en-IE" w:eastAsia="en-IE"/>
              </w:rPr>
              <w:t>a</w:t>
            </w:r>
            <w:r w:rsidRPr="00CE2185">
              <w:rPr>
                <w:rFonts w:eastAsia="Times New Roman"/>
                <w:b/>
                <w:noProof/>
                <w:color w:val="000000"/>
                <w:sz w:val="18"/>
                <w:szCs w:val="18"/>
                <w:lang w:val="en-IE" w:eastAsia="en-IE"/>
              </w:rPr>
              <w:t>rs</w:t>
            </w:r>
          </w:p>
        </w:tc>
      </w:tr>
      <w:tr w:rsidR="00CD3C1D" w:rsidRPr="00CE2185" w14:paraId="069F945C" w14:textId="77777777" w:rsidTr="00CD3C1D">
        <w:trPr>
          <w:trHeight w:val="67"/>
        </w:trPr>
        <w:tc>
          <w:tcPr>
            <w:tcW w:w="1203" w:type="pct"/>
            <w:shd w:val="clear" w:color="auto" w:fill="D9D9D9" w:themeFill="background1" w:themeFillShade="D9"/>
            <w:noWrap/>
            <w:vAlign w:val="center"/>
          </w:tcPr>
          <w:p w14:paraId="7036965E" w14:textId="605C2D13" w:rsidR="00616972" w:rsidRPr="00CE2185" w:rsidRDefault="00616972" w:rsidP="00616972">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B2 </w:t>
            </w:r>
          </w:p>
        </w:tc>
        <w:tc>
          <w:tcPr>
            <w:tcW w:w="535" w:type="pct"/>
            <w:shd w:val="clear" w:color="auto" w:fill="D9D9D9" w:themeFill="background1" w:themeFillShade="D9"/>
            <w:vAlign w:val="center"/>
          </w:tcPr>
          <w:p w14:paraId="793391CD" w14:textId="5E15CA97"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7" w:type="pct"/>
            <w:shd w:val="clear" w:color="auto" w:fill="D9D9D9" w:themeFill="background1" w:themeFillShade="D9"/>
            <w:vAlign w:val="center"/>
          </w:tcPr>
          <w:p w14:paraId="4A6D56D7" w14:textId="0509F7BF"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612" w:type="pct"/>
            <w:shd w:val="clear" w:color="auto" w:fill="D9D9D9" w:themeFill="background1" w:themeFillShade="D9"/>
            <w:vAlign w:val="center"/>
          </w:tcPr>
          <w:p w14:paraId="5FA94933" w14:textId="6A721BA6"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59" w:type="pct"/>
            <w:shd w:val="clear" w:color="auto" w:fill="D9D9D9" w:themeFill="background1" w:themeFillShade="D9"/>
            <w:vAlign w:val="center"/>
          </w:tcPr>
          <w:p w14:paraId="7C6A1439" w14:textId="369B9129"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532" w:type="pct"/>
            <w:shd w:val="clear" w:color="auto" w:fill="D9D9D9" w:themeFill="background1" w:themeFillShade="D9"/>
            <w:vAlign w:val="center"/>
          </w:tcPr>
          <w:p w14:paraId="0C96C1BA" w14:textId="091CB447"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458" w:type="pct"/>
            <w:shd w:val="clear" w:color="auto" w:fill="D9D9D9" w:themeFill="background1" w:themeFillShade="D9"/>
            <w:vAlign w:val="center"/>
          </w:tcPr>
          <w:p w14:paraId="0E92A928" w14:textId="77777777" w:rsidR="00616972" w:rsidRPr="00CE2185" w:rsidRDefault="00616972" w:rsidP="00616972">
            <w:pPr>
              <w:spacing w:after="0"/>
              <w:jc w:val="right"/>
              <w:rPr>
                <w:rFonts w:eastAsia="Times New Roman"/>
                <w:noProof/>
                <w:color w:val="000000"/>
                <w:sz w:val="18"/>
                <w:szCs w:val="18"/>
                <w:lang w:val="en-IE" w:eastAsia="en-IE"/>
              </w:rPr>
            </w:pPr>
          </w:p>
        </w:tc>
        <w:tc>
          <w:tcPr>
            <w:tcW w:w="744" w:type="pct"/>
            <w:shd w:val="clear" w:color="auto" w:fill="D9D9D9" w:themeFill="background1" w:themeFillShade="D9"/>
            <w:vAlign w:val="center"/>
          </w:tcPr>
          <w:p w14:paraId="2B7019EE" w14:textId="38280175" w:rsidR="00616972" w:rsidRPr="00CE2185" w:rsidRDefault="00616972" w:rsidP="00616972">
            <w:pPr>
              <w:spacing w:after="0"/>
              <w:jc w:val="right"/>
              <w:rPr>
                <w:rFonts w:eastAsia="Times New Roman"/>
                <w:b/>
                <w:noProof/>
                <w:color w:val="000000"/>
                <w:sz w:val="18"/>
                <w:szCs w:val="18"/>
                <w:lang w:val="en-IE" w:eastAsia="en-IE"/>
              </w:rPr>
            </w:pPr>
            <w:r w:rsidRPr="00CE2185">
              <w:rPr>
                <w:rFonts w:eastAsia="Times New Roman"/>
                <w:b/>
                <w:bCs/>
                <w:noProof/>
                <w:color w:val="000000"/>
                <w:sz w:val="18"/>
                <w:szCs w:val="18"/>
                <w:lang w:val="en-IE" w:eastAsia="en-IE"/>
              </w:rPr>
              <w:t>3</w:t>
            </w:r>
            <w:r w:rsidR="00CD3C1D" w:rsidRPr="00CE2185">
              <w:rPr>
                <w:rFonts w:eastAsia="Times New Roman"/>
                <w:b/>
                <w:bCs/>
                <w:noProof/>
                <w:color w:val="000000"/>
                <w:sz w:val="18"/>
                <w:szCs w:val="18"/>
                <w:lang w:val="en-IE" w:eastAsia="en-IE"/>
              </w:rPr>
              <w:t>.</w:t>
            </w:r>
            <w:r w:rsidRPr="00CE2185">
              <w:rPr>
                <w:rFonts w:eastAsia="Times New Roman"/>
                <w:b/>
                <w:bCs/>
                <w:noProof/>
                <w:color w:val="000000"/>
                <w:sz w:val="18"/>
                <w:szCs w:val="18"/>
                <w:lang w:val="en-IE" w:eastAsia="en-IE"/>
              </w:rPr>
              <w:t>6</w:t>
            </w:r>
            <w:r w:rsidRPr="00CE2185">
              <w:rPr>
                <w:rFonts w:eastAsia="Times New Roman"/>
                <w:noProof/>
                <w:color w:val="000000"/>
                <w:sz w:val="18"/>
                <w:szCs w:val="18"/>
                <w:lang w:val="en-IE" w:eastAsia="en-IE"/>
              </w:rPr>
              <w:t xml:space="preserve"> million</w:t>
            </w:r>
          </w:p>
        </w:tc>
      </w:tr>
      <w:tr w:rsidR="00CD3C1D" w:rsidRPr="00CE2185" w14:paraId="23762FE6" w14:textId="77777777" w:rsidTr="00CD3C1D">
        <w:trPr>
          <w:trHeight w:val="67"/>
        </w:trPr>
        <w:tc>
          <w:tcPr>
            <w:tcW w:w="1203" w:type="pct"/>
            <w:shd w:val="clear" w:color="auto" w:fill="D9D9D9" w:themeFill="background1" w:themeFillShade="D9"/>
            <w:noWrap/>
            <w:vAlign w:val="center"/>
          </w:tcPr>
          <w:p w14:paraId="330B392E" w14:textId="4B3A140F" w:rsidR="00616972" w:rsidRPr="00130A80" w:rsidRDefault="00616972" w:rsidP="00616972">
            <w:pPr>
              <w:spacing w:after="0"/>
              <w:jc w:val="left"/>
              <w:rPr>
                <w:rFonts w:eastAsia="Times New Roman"/>
                <w:b/>
                <w:noProof/>
                <w:color w:val="000000"/>
                <w:sz w:val="18"/>
                <w:szCs w:val="18"/>
                <w:lang w:val="de-DE" w:eastAsia="en-IE"/>
              </w:rPr>
            </w:pPr>
            <w:r w:rsidRPr="00CE2185">
              <w:rPr>
                <w:rFonts w:eastAsia="Times New Roman"/>
                <w:b/>
                <w:noProof/>
                <w:color w:val="000000"/>
                <w:sz w:val="18"/>
                <w:szCs w:val="18"/>
                <w:lang w:val="de-DE" w:eastAsia="en-IE"/>
              </w:rPr>
              <w:t xml:space="preserve">B2+ D2 </w:t>
            </w:r>
            <w:r w:rsidRPr="00CE2185">
              <w:rPr>
                <w:rFonts w:eastAsia="Times New Roman"/>
                <w:bCs/>
                <w:noProof/>
                <w:color w:val="000000"/>
                <w:sz w:val="18"/>
                <w:szCs w:val="18"/>
                <w:lang w:val="de-DE" w:eastAsia="en-IE"/>
              </w:rPr>
              <w:t>(more schemes: EU5G)</w:t>
            </w:r>
          </w:p>
        </w:tc>
        <w:tc>
          <w:tcPr>
            <w:tcW w:w="535" w:type="pct"/>
            <w:shd w:val="clear" w:color="auto" w:fill="D9D9D9" w:themeFill="background1" w:themeFillShade="D9"/>
            <w:vAlign w:val="center"/>
          </w:tcPr>
          <w:p w14:paraId="509D768C" w14:textId="2D3CCE3A"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600 000</w:t>
            </w:r>
          </w:p>
        </w:tc>
        <w:tc>
          <w:tcPr>
            <w:tcW w:w="457" w:type="pct"/>
            <w:shd w:val="clear" w:color="auto" w:fill="D9D9D9" w:themeFill="background1" w:themeFillShade="D9"/>
            <w:vAlign w:val="center"/>
          </w:tcPr>
          <w:p w14:paraId="43D9B4B9" w14:textId="10C05706"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800 000</w:t>
            </w:r>
          </w:p>
        </w:tc>
        <w:tc>
          <w:tcPr>
            <w:tcW w:w="612" w:type="pct"/>
            <w:shd w:val="clear" w:color="auto" w:fill="D9D9D9" w:themeFill="background1" w:themeFillShade="D9"/>
            <w:vAlign w:val="center"/>
          </w:tcPr>
          <w:p w14:paraId="11F6EB36" w14:textId="3DD72D63"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459" w:type="pct"/>
            <w:shd w:val="clear" w:color="auto" w:fill="D9D9D9" w:themeFill="background1" w:themeFillShade="D9"/>
            <w:vAlign w:val="center"/>
          </w:tcPr>
          <w:p w14:paraId="48AA2D77" w14:textId="02F50F40"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532" w:type="pct"/>
            <w:shd w:val="clear" w:color="auto" w:fill="D9D9D9" w:themeFill="background1" w:themeFillShade="D9"/>
            <w:vAlign w:val="center"/>
          </w:tcPr>
          <w:p w14:paraId="439F0692" w14:textId="0E56CD64" w:rsidR="00616972" w:rsidRPr="00CE2185" w:rsidRDefault="00616972" w:rsidP="00616972">
            <w:pPr>
              <w:spacing w:after="0"/>
              <w:jc w:val="right"/>
              <w:rPr>
                <w:rFonts w:eastAsia="Times New Roman"/>
                <w:noProof/>
                <w:color w:val="000000"/>
                <w:sz w:val="18"/>
                <w:szCs w:val="18"/>
                <w:lang w:val="en-IE" w:eastAsia="en-IE"/>
              </w:rPr>
            </w:pPr>
            <w:r w:rsidRPr="00CE2185">
              <w:rPr>
                <w:rFonts w:eastAsia="Times New Roman"/>
                <w:noProof/>
                <w:color w:val="000000"/>
                <w:sz w:val="18"/>
                <w:szCs w:val="18"/>
                <w:lang w:val="en-IE" w:eastAsia="en-IE"/>
              </w:rPr>
              <w:t>1 million</w:t>
            </w:r>
          </w:p>
        </w:tc>
        <w:tc>
          <w:tcPr>
            <w:tcW w:w="458" w:type="pct"/>
            <w:shd w:val="clear" w:color="auto" w:fill="D9D9D9" w:themeFill="background1" w:themeFillShade="D9"/>
            <w:vAlign w:val="center"/>
          </w:tcPr>
          <w:p w14:paraId="46CBEECC" w14:textId="77777777" w:rsidR="00616972" w:rsidRPr="00CE2185" w:rsidRDefault="00616972" w:rsidP="00616972">
            <w:pPr>
              <w:spacing w:after="0"/>
              <w:jc w:val="right"/>
              <w:rPr>
                <w:rFonts w:eastAsia="Times New Roman"/>
                <w:noProof/>
                <w:color w:val="000000"/>
                <w:sz w:val="18"/>
                <w:szCs w:val="18"/>
                <w:lang w:val="en-IE" w:eastAsia="en-IE"/>
              </w:rPr>
            </w:pPr>
          </w:p>
        </w:tc>
        <w:tc>
          <w:tcPr>
            <w:tcW w:w="744" w:type="pct"/>
            <w:shd w:val="clear" w:color="auto" w:fill="D9D9D9" w:themeFill="background1" w:themeFillShade="D9"/>
            <w:vAlign w:val="center"/>
          </w:tcPr>
          <w:p w14:paraId="1894E732" w14:textId="4AF0F737" w:rsidR="00616972" w:rsidRPr="00CE2185" w:rsidRDefault="00616972" w:rsidP="00616972">
            <w:pPr>
              <w:spacing w:after="0"/>
              <w:jc w:val="right"/>
              <w:rPr>
                <w:rFonts w:eastAsia="Times New Roman"/>
                <w:b/>
                <w:noProof/>
                <w:color w:val="000000"/>
                <w:sz w:val="18"/>
                <w:szCs w:val="18"/>
                <w:lang w:val="en-IE" w:eastAsia="en-IE"/>
              </w:rPr>
            </w:pPr>
            <w:r w:rsidRPr="00CE2185">
              <w:rPr>
                <w:rFonts w:eastAsia="Times New Roman"/>
                <w:b/>
                <w:bCs/>
                <w:noProof/>
                <w:color w:val="000000"/>
                <w:sz w:val="18"/>
                <w:szCs w:val="18"/>
                <w:lang w:val="en-IE" w:eastAsia="en-IE"/>
              </w:rPr>
              <w:t>4</w:t>
            </w:r>
            <w:r w:rsidR="00CD3C1D" w:rsidRPr="00CE2185">
              <w:rPr>
                <w:rFonts w:eastAsia="Times New Roman"/>
                <w:b/>
                <w:bCs/>
                <w:noProof/>
                <w:color w:val="000000"/>
                <w:sz w:val="18"/>
                <w:szCs w:val="18"/>
                <w:lang w:val="en-IE" w:eastAsia="en-IE"/>
              </w:rPr>
              <w:t>.</w:t>
            </w:r>
            <w:r w:rsidRPr="00CE2185">
              <w:rPr>
                <w:rFonts w:eastAsia="Times New Roman"/>
                <w:b/>
                <w:bCs/>
                <w:noProof/>
                <w:color w:val="000000"/>
                <w:sz w:val="18"/>
                <w:szCs w:val="18"/>
                <w:lang w:val="en-IE" w:eastAsia="en-IE"/>
              </w:rPr>
              <w:t>4</w:t>
            </w:r>
            <w:r w:rsidRPr="00CE2185">
              <w:rPr>
                <w:rFonts w:eastAsia="Times New Roman"/>
                <w:noProof/>
                <w:color w:val="000000"/>
                <w:sz w:val="18"/>
                <w:szCs w:val="18"/>
                <w:lang w:val="en-IE" w:eastAsia="en-IE"/>
              </w:rPr>
              <w:t xml:space="preserve"> million</w:t>
            </w:r>
          </w:p>
        </w:tc>
      </w:tr>
      <w:tr w:rsidR="00CD3C1D" w:rsidRPr="00CE2185" w14:paraId="597FF6EF" w14:textId="77777777" w:rsidTr="00CD3C1D">
        <w:trPr>
          <w:trHeight w:val="67"/>
        </w:trPr>
        <w:tc>
          <w:tcPr>
            <w:tcW w:w="1203" w:type="pct"/>
            <w:shd w:val="clear" w:color="auto" w:fill="D9D9D9" w:themeFill="background1" w:themeFillShade="D9"/>
            <w:noWrap/>
            <w:vAlign w:val="center"/>
          </w:tcPr>
          <w:p w14:paraId="08185004" w14:textId="0E205B58" w:rsidR="00616972" w:rsidRPr="00CE2185" w:rsidRDefault="00616972" w:rsidP="00616972">
            <w:pPr>
              <w:spacing w:after="0"/>
              <w:jc w:val="left"/>
              <w:rPr>
                <w:rFonts w:eastAsia="Times New Roman"/>
                <w:b/>
                <w:noProof/>
                <w:color w:val="000000"/>
                <w:sz w:val="18"/>
                <w:szCs w:val="18"/>
                <w:lang w:val="fr-BE" w:eastAsia="en-IE"/>
              </w:rPr>
            </w:pPr>
            <w:r w:rsidRPr="00CE2185">
              <w:rPr>
                <w:rFonts w:eastAsia="Times New Roman"/>
                <w:b/>
                <w:noProof/>
                <w:color w:val="000000"/>
                <w:sz w:val="18"/>
                <w:szCs w:val="18"/>
                <w:lang w:val="fr-BE" w:eastAsia="en-IE"/>
              </w:rPr>
              <w:t xml:space="preserve">B2+ D3 </w:t>
            </w:r>
            <w:r w:rsidRPr="00CE2185">
              <w:rPr>
                <w:rFonts w:eastAsia="Times New Roman"/>
                <w:bCs/>
                <w:noProof/>
                <w:color w:val="000000"/>
                <w:sz w:val="18"/>
                <w:szCs w:val="18"/>
                <w:lang w:val="fr-BE" w:eastAsia="en-IE"/>
              </w:rPr>
              <w:t>(more schemes: EUCS, EU5G)</w:t>
            </w:r>
          </w:p>
        </w:tc>
        <w:tc>
          <w:tcPr>
            <w:tcW w:w="535" w:type="pct"/>
            <w:shd w:val="clear" w:color="auto" w:fill="D9D9D9" w:themeFill="background1" w:themeFillShade="D9"/>
            <w:vAlign w:val="center"/>
          </w:tcPr>
          <w:p w14:paraId="27C26B8B" w14:textId="33121F37" w:rsidR="00616972" w:rsidRPr="00CE2185" w:rsidRDefault="00616972" w:rsidP="00616972">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600 000</w:t>
            </w:r>
          </w:p>
        </w:tc>
        <w:tc>
          <w:tcPr>
            <w:tcW w:w="457" w:type="pct"/>
            <w:shd w:val="clear" w:color="auto" w:fill="D9D9D9" w:themeFill="background1" w:themeFillShade="D9"/>
            <w:vAlign w:val="center"/>
          </w:tcPr>
          <w:p w14:paraId="68A46EE9" w14:textId="59446010" w:rsidR="00616972" w:rsidRPr="00CE2185" w:rsidRDefault="00616972" w:rsidP="00616972">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 million</w:t>
            </w:r>
          </w:p>
        </w:tc>
        <w:tc>
          <w:tcPr>
            <w:tcW w:w="612" w:type="pct"/>
            <w:shd w:val="clear" w:color="auto" w:fill="D9D9D9" w:themeFill="background1" w:themeFillShade="D9"/>
            <w:vAlign w:val="center"/>
          </w:tcPr>
          <w:p w14:paraId="073FE26D" w14:textId="2F2632E9" w:rsidR="00616972" w:rsidRPr="00CE2185" w:rsidRDefault="00616972" w:rsidP="00616972">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1.2 million</w:t>
            </w:r>
          </w:p>
        </w:tc>
        <w:tc>
          <w:tcPr>
            <w:tcW w:w="459" w:type="pct"/>
            <w:shd w:val="clear" w:color="auto" w:fill="D9D9D9" w:themeFill="background1" w:themeFillShade="D9"/>
            <w:vAlign w:val="center"/>
          </w:tcPr>
          <w:p w14:paraId="38DE13CA" w14:textId="677BDA1A" w:rsidR="00616972" w:rsidRPr="00CE2185" w:rsidRDefault="00616972" w:rsidP="00616972">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1.2 million</w:t>
            </w:r>
          </w:p>
        </w:tc>
        <w:tc>
          <w:tcPr>
            <w:tcW w:w="532" w:type="pct"/>
            <w:shd w:val="clear" w:color="auto" w:fill="D9D9D9" w:themeFill="background1" w:themeFillShade="D9"/>
            <w:vAlign w:val="center"/>
          </w:tcPr>
          <w:p w14:paraId="3AA9FBF5" w14:textId="156AFFE6" w:rsidR="00616972" w:rsidRPr="00CE2185" w:rsidRDefault="00616972" w:rsidP="00616972">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1.2. million</w:t>
            </w:r>
          </w:p>
        </w:tc>
        <w:tc>
          <w:tcPr>
            <w:tcW w:w="458" w:type="pct"/>
            <w:shd w:val="clear" w:color="auto" w:fill="D9D9D9" w:themeFill="background1" w:themeFillShade="D9"/>
            <w:vAlign w:val="center"/>
          </w:tcPr>
          <w:p w14:paraId="2633BC19" w14:textId="77777777" w:rsidR="00616972" w:rsidRPr="00CE2185" w:rsidRDefault="00616972" w:rsidP="00616972">
            <w:pPr>
              <w:spacing w:after="0"/>
              <w:jc w:val="right"/>
              <w:rPr>
                <w:rFonts w:eastAsia="Times New Roman"/>
                <w:noProof/>
                <w:color w:val="000000"/>
                <w:sz w:val="18"/>
                <w:szCs w:val="18"/>
                <w:lang w:val="fr-BE" w:eastAsia="en-IE"/>
              </w:rPr>
            </w:pPr>
          </w:p>
        </w:tc>
        <w:tc>
          <w:tcPr>
            <w:tcW w:w="744" w:type="pct"/>
            <w:shd w:val="clear" w:color="auto" w:fill="D9D9D9" w:themeFill="background1" w:themeFillShade="D9"/>
            <w:vAlign w:val="center"/>
          </w:tcPr>
          <w:p w14:paraId="29C3D99C" w14:textId="2DEB65D5" w:rsidR="00616972" w:rsidRPr="00CE2185" w:rsidRDefault="00616972" w:rsidP="00616972">
            <w:pPr>
              <w:spacing w:after="0"/>
              <w:jc w:val="right"/>
              <w:rPr>
                <w:rFonts w:eastAsia="Times New Roman"/>
                <w:b/>
                <w:noProof/>
                <w:color w:val="000000"/>
                <w:sz w:val="18"/>
                <w:szCs w:val="18"/>
                <w:lang w:val="fr-BE" w:eastAsia="en-IE"/>
              </w:rPr>
            </w:pPr>
            <w:r w:rsidRPr="00CE2185">
              <w:rPr>
                <w:rFonts w:eastAsia="Times New Roman"/>
                <w:b/>
                <w:bCs/>
                <w:noProof/>
                <w:color w:val="000000"/>
                <w:sz w:val="18"/>
                <w:szCs w:val="18"/>
                <w:lang w:val="fr-BE" w:eastAsia="en-IE"/>
              </w:rPr>
              <w:t>5</w:t>
            </w:r>
            <w:r w:rsidR="00CD3C1D" w:rsidRPr="00CE2185">
              <w:rPr>
                <w:rFonts w:eastAsia="Times New Roman"/>
                <w:b/>
                <w:bCs/>
                <w:noProof/>
                <w:color w:val="000000"/>
                <w:sz w:val="18"/>
                <w:szCs w:val="18"/>
                <w:lang w:val="fr-BE" w:eastAsia="en-IE"/>
              </w:rPr>
              <w:t>.</w:t>
            </w:r>
            <w:r w:rsidRPr="00CE2185">
              <w:rPr>
                <w:rFonts w:eastAsia="Times New Roman"/>
                <w:b/>
                <w:bCs/>
                <w:noProof/>
                <w:color w:val="000000"/>
                <w:sz w:val="18"/>
                <w:szCs w:val="18"/>
                <w:lang w:val="fr-BE" w:eastAsia="en-IE"/>
              </w:rPr>
              <w:t>2</w:t>
            </w:r>
            <w:r w:rsidRPr="00CE2185">
              <w:rPr>
                <w:rFonts w:eastAsia="Times New Roman"/>
                <w:noProof/>
                <w:color w:val="000000"/>
                <w:sz w:val="18"/>
                <w:szCs w:val="18"/>
                <w:lang w:val="fr-BE" w:eastAsia="en-IE"/>
              </w:rPr>
              <w:t xml:space="preserve"> million</w:t>
            </w:r>
          </w:p>
        </w:tc>
      </w:tr>
      <w:tr w:rsidR="00CD3C1D" w:rsidRPr="00CE2185" w14:paraId="18CD6E9D" w14:textId="77777777" w:rsidTr="00CD3C1D">
        <w:trPr>
          <w:trHeight w:val="67"/>
        </w:trPr>
        <w:tc>
          <w:tcPr>
            <w:tcW w:w="1203" w:type="pct"/>
            <w:shd w:val="clear" w:color="auto" w:fill="D9D9D9" w:themeFill="background1" w:themeFillShade="D9"/>
            <w:noWrap/>
            <w:vAlign w:val="center"/>
          </w:tcPr>
          <w:p w14:paraId="4D965E52" w14:textId="5D46BB80" w:rsidR="00122378" w:rsidRPr="00CE2185" w:rsidRDefault="00122378" w:rsidP="00AE002F">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 xml:space="preserve">Fee revenues </w:t>
            </w:r>
            <w:r w:rsidR="00A00689" w:rsidRPr="00CE2185">
              <w:rPr>
                <w:rFonts w:eastAsia="Times New Roman"/>
                <w:b/>
                <w:noProof/>
                <w:color w:val="000000"/>
                <w:sz w:val="18"/>
                <w:szCs w:val="18"/>
                <w:lang w:val="en-IE" w:eastAsia="en-IE"/>
              </w:rPr>
              <w:t>/ charges for conformity assessment bodies</w:t>
            </w:r>
          </w:p>
        </w:tc>
        <w:tc>
          <w:tcPr>
            <w:tcW w:w="535" w:type="pct"/>
            <w:shd w:val="clear" w:color="auto" w:fill="D9D9D9" w:themeFill="background1" w:themeFillShade="D9"/>
            <w:vAlign w:val="center"/>
          </w:tcPr>
          <w:p w14:paraId="1CAD42D0" w14:textId="77777777" w:rsidR="00122378" w:rsidRPr="00CE2185" w:rsidRDefault="00122378" w:rsidP="00AE002F">
            <w:pPr>
              <w:spacing w:after="0"/>
              <w:jc w:val="right"/>
              <w:rPr>
                <w:rFonts w:eastAsia="Times New Roman"/>
                <w:noProof/>
                <w:color w:val="000000"/>
                <w:sz w:val="18"/>
                <w:szCs w:val="18"/>
                <w:lang w:val="en-IE" w:eastAsia="en-IE"/>
              </w:rPr>
            </w:pPr>
          </w:p>
        </w:tc>
        <w:tc>
          <w:tcPr>
            <w:tcW w:w="457" w:type="pct"/>
            <w:shd w:val="clear" w:color="auto" w:fill="D9D9D9" w:themeFill="background1" w:themeFillShade="D9"/>
            <w:vAlign w:val="center"/>
          </w:tcPr>
          <w:p w14:paraId="3DE8E2EE" w14:textId="77777777" w:rsidR="00122378" w:rsidRPr="00CE2185" w:rsidRDefault="00122378" w:rsidP="00AE002F">
            <w:pPr>
              <w:spacing w:after="0"/>
              <w:jc w:val="right"/>
              <w:rPr>
                <w:rFonts w:eastAsia="Times New Roman"/>
                <w:noProof/>
                <w:color w:val="000000"/>
                <w:sz w:val="18"/>
                <w:szCs w:val="18"/>
                <w:lang w:val="en-IE" w:eastAsia="en-IE"/>
              </w:rPr>
            </w:pPr>
          </w:p>
        </w:tc>
        <w:tc>
          <w:tcPr>
            <w:tcW w:w="612" w:type="pct"/>
            <w:shd w:val="clear" w:color="auto" w:fill="D9D9D9" w:themeFill="background1" w:themeFillShade="D9"/>
            <w:vAlign w:val="center"/>
          </w:tcPr>
          <w:p w14:paraId="2A56953C" w14:textId="77777777" w:rsidR="00122378" w:rsidRPr="00CE2185" w:rsidRDefault="00122378" w:rsidP="00AE002F">
            <w:pPr>
              <w:spacing w:after="0"/>
              <w:jc w:val="right"/>
              <w:rPr>
                <w:rFonts w:eastAsia="Times New Roman"/>
                <w:noProof/>
                <w:color w:val="000000"/>
                <w:sz w:val="18"/>
                <w:szCs w:val="18"/>
                <w:lang w:val="en-IE" w:eastAsia="en-IE"/>
              </w:rPr>
            </w:pPr>
          </w:p>
        </w:tc>
        <w:tc>
          <w:tcPr>
            <w:tcW w:w="459" w:type="pct"/>
            <w:shd w:val="clear" w:color="auto" w:fill="D9D9D9" w:themeFill="background1" w:themeFillShade="D9"/>
            <w:vAlign w:val="center"/>
          </w:tcPr>
          <w:p w14:paraId="56A7F14B" w14:textId="77777777" w:rsidR="00122378" w:rsidRPr="00CE2185" w:rsidRDefault="00122378" w:rsidP="00AE002F">
            <w:pPr>
              <w:spacing w:after="0"/>
              <w:jc w:val="right"/>
              <w:rPr>
                <w:rFonts w:eastAsia="Times New Roman"/>
                <w:noProof/>
                <w:color w:val="000000"/>
                <w:sz w:val="18"/>
                <w:szCs w:val="18"/>
                <w:lang w:val="en-IE" w:eastAsia="en-IE"/>
              </w:rPr>
            </w:pPr>
          </w:p>
        </w:tc>
        <w:tc>
          <w:tcPr>
            <w:tcW w:w="532" w:type="pct"/>
            <w:shd w:val="clear" w:color="auto" w:fill="D9D9D9" w:themeFill="background1" w:themeFillShade="D9"/>
            <w:vAlign w:val="center"/>
          </w:tcPr>
          <w:p w14:paraId="03E0A391" w14:textId="77777777" w:rsidR="00122378" w:rsidRPr="00CE2185" w:rsidRDefault="00122378" w:rsidP="00AE002F">
            <w:pPr>
              <w:spacing w:after="0"/>
              <w:jc w:val="right"/>
              <w:rPr>
                <w:rFonts w:eastAsia="Times New Roman"/>
                <w:noProof/>
                <w:color w:val="000000"/>
                <w:sz w:val="18"/>
                <w:szCs w:val="18"/>
                <w:lang w:val="en-IE" w:eastAsia="en-IE"/>
              </w:rPr>
            </w:pPr>
          </w:p>
        </w:tc>
        <w:tc>
          <w:tcPr>
            <w:tcW w:w="458" w:type="pct"/>
            <w:shd w:val="clear" w:color="auto" w:fill="D9D9D9" w:themeFill="background1" w:themeFillShade="D9"/>
            <w:vAlign w:val="center"/>
          </w:tcPr>
          <w:p w14:paraId="5BEF9291" w14:textId="77777777" w:rsidR="00122378" w:rsidRPr="00CE2185" w:rsidRDefault="00122378" w:rsidP="00AE002F">
            <w:pPr>
              <w:spacing w:after="0"/>
              <w:jc w:val="right"/>
              <w:rPr>
                <w:rFonts w:eastAsia="Times New Roman"/>
                <w:noProof/>
                <w:color w:val="000000"/>
                <w:sz w:val="18"/>
                <w:szCs w:val="18"/>
                <w:lang w:val="en-IE" w:eastAsia="en-IE"/>
              </w:rPr>
            </w:pPr>
          </w:p>
        </w:tc>
        <w:tc>
          <w:tcPr>
            <w:tcW w:w="744" w:type="pct"/>
            <w:shd w:val="clear" w:color="auto" w:fill="D9D9D9" w:themeFill="background1" w:themeFillShade="D9"/>
            <w:vAlign w:val="center"/>
          </w:tcPr>
          <w:p w14:paraId="10D6BAEA" w14:textId="2462EE03" w:rsidR="00122378" w:rsidRPr="00CE2185" w:rsidRDefault="00BD02A6" w:rsidP="00AE002F">
            <w:pPr>
              <w:spacing w:after="0"/>
              <w:jc w:val="right"/>
              <w:rPr>
                <w:rFonts w:eastAsia="Times New Roman"/>
                <w:b/>
                <w:noProof/>
                <w:color w:val="000000"/>
                <w:sz w:val="18"/>
                <w:szCs w:val="18"/>
                <w:lang w:val="fr-BE" w:eastAsia="en-IE"/>
              </w:rPr>
            </w:pPr>
            <w:r w:rsidRPr="00CE2185">
              <w:rPr>
                <w:rFonts w:eastAsia="Times New Roman"/>
                <w:b/>
                <w:noProof/>
                <w:color w:val="000000"/>
                <w:sz w:val="18"/>
                <w:szCs w:val="18"/>
                <w:lang w:val="fr-BE" w:eastAsia="en-IE"/>
              </w:rPr>
              <w:t>fees over 5 years</w:t>
            </w:r>
          </w:p>
        </w:tc>
      </w:tr>
      <w:tr w:rsidR="00CD3C1D" w:rsidRPr="00CE2185" w14:paraId="44871692" w14:textId="77777777" w:rsidTr="00CD3C1D">
        <w:trPr>
          <w:trHeight w:val="67"/>
        </w:trPr>
        <w:tc>
          <w:tcPr>
            <w:tcW w:w="1203" w:type="pct"/>
            <w:noWrap/>
            <w:vAlign w:val="center"/>
          </w:tcPr>
          <w:p w14:paraId="538A408A" w14:textId="72757334" w:rsidR="00960CA3" w:rsidRPr="00CE2185" w:rsidRDefault="00960CA3" w:rsidP="00960CA3">
            <w:pPr>
              <w:spacing w:after="0"/>
              <w:jc w:val="left"/>
              <w:rPr>
                <w:rFonts w:eastAsia="Times New Roman"/>
                <w:b/>
                <w:noProof/>
                <w:color w:val="000000"/>
                <w:sz w:val="18"/>
                <w:szCs w:val="18"/>
                <w:lang w:val="fr-BE" w:eastAsia="en-IE"/>
              </w:rPr>
            </w:pPr>
            <w:r w:rsidRPr="00CE2185">
              <w:rPr>
                <w:rFonts w:eastAsia="Times New Roman"/>
                <w:b/>
                <w:noProof/>
                <w:color w:val="000000"/>
                <w:sz w:val="18"/>
                <w:szCs w:val="18"/>
                <w:lang w:val="en-IE" w:eastAsia="en-IE"/>
              </w:rPr>
              <w:t xml:space="preserve">B2 </w:t>
            </w:r>
          </w:p>
        </w:tc>
        <w:tc>
          <w:tcPr>
            <w:tcW w:w="535" w:type="pct"/>
            <w:vAlign w:val="center"/>
          </w:tcPr>
          <w:p w14:paraId="79DACEDD" w14:textId="4BE06132"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0</w:t>
            </w:r>
          </w:p>
        </w:tc>
        <w:tc>
          <w:tcPr>
            <w:tcW w:w="457" w:type="pct"/>
            <w:vAlign w:val="center"/>
          </w:tcPr>
          <w:p w14:paraId="5A3EE13B" w14:textId="79FD94ED"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100 000</w:t>
            </w:r>
          </w:p>
        </w:tc>
        <w:tc>
          <w:tcPr>
            <w:tcW w:w="612" w:type="pct"/>
            <w:vAlign w:val="center"/>
          </w:tcPr>
          <w:p w14:paraId="39537278" w14:textId="1047392B"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459" w:type="pct"/>
            <w:vAlign w:val="center"/>
          </w:tcPr>
          <w:p w14:paraId="515B3DDC" w14:textId="1768DDD9"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532" w:type="pct"/>
            <w:vAlign w:val="center"/>
          </w:tcPr>
          <w:p w14:paraId="3460F9B7" w14:textId="3E4C2A9E"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458" w:type="pct"/>
            <w:vAlign w:val="center"/>
          </w:tcPr>
          <w:p w14:paraId="07589E53" w14:textId="03F7401B" w:rsidR="00960CA3" w:rsidRPr="00CE2185" w:rsidRDefault="00C675E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260 000</w:t>
            </w:r>
          </w:p>
        </w:tc>
        <w:tc>
          <w:tcPr>
            <w:tcW w:w="744" w:type="pct"/>
            <w:vAlign w:val="center"/>
          </w:tcPr>
          <w:p w14:paraId="6DBE9C82" w14:textId="25E38C77"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w:t>
            </w:r>
            <w:r w:rsidR="004A3E07" w:rsidRPr="00CE2185">
              <w:rPr>
                <w:rFonts w:eastAsia="Times New Roman"/>
                <w:noProof/>
                <w:color w:val="000000"/>
                <w:sz w:val="18"/>
                <w:szCs w:val="18"/>
                <w:lang w:val="fr-BE" w:eastAsia="en-IE"/>
              </w:rPr>
              <w:t xml:space="preserve"> </w:t>
            </w:r>
            <w:r w:rsidRPr="00CE2185">
              <w:rPr>
                <w:rFonts w:eastAsia="Times New Roman"/>
                <w:noProof/>
                <w:color w:val="000000"/>
                <w:sz w:val="18"/>
                <w:szCs w:val="18"/>
                <w:lang w:val="fr-BE" w:eastAsia="en-IE"/>
              </w:rPr>
              <w:t>300 000</w:t>
            </w:r>
          </w:p>
        </w:tc>
      </w:tr>
      <w:tr w:rsidR="00CD3C1D" w:rsidRPr="00CE2185" w14:paraId="5CE4CD6B" w14:textId="77777777" w:rsidTr="00CD3C1D">
        <w:trPr>
          <w:trHeight w:val="67"/>
        </w:trPr>
        <w:tc>
          <w:tcPr>
            <w:tcW w:w="1203" w:type="pct"/>
            <w:noWrap/>
            <w:vAlign w:val="center"/>
          </w:tcPr>
          <w:p w14:paraId="019D01D5" w14:textId="1ED17E2A" w:rsidR="00960CA3" w:rsidRPr="00130A80" w:rsidRDefault="00960CA3" w:rsidP="00960CA3">
            <w:pPr>
              <w:spacing w:after="0"/>
              <w:jc w:val="left"/>
              <w:rPr>
                <w:rFonts w:eastAsia="Times New Roman"/>
                <w:b/>
                <w:noProof/>
                <w:color w:val="000000"/>
                <w:sz w:val="18"/>
                <w:szCs w:val="18"/>
                <w:lang w:val="de-DE" w:eastAsia="en-IE"/>
              </w:rPr>
            </w:pPr>
            <w:r w:rsidRPr="00CE2185">
              <w:rPr>
                <w:rFonts w:eastAsia="Times New Roman"/>
                <w:b/>
                <w:noProof/>
                <w:color w:val="000000"/>
                <w:sz w:val="18"/>
                <w:szCs w:val="18"/>
                <w:lang w:val="de-DE" w:eastAsia="en-IE"/>
              </w:rPr>
              <w:t xml:space="preserve">B2+ D2 </w:t>
            </w:r>
            <w:r w:rsidRPr="00CE2185">
              <w:rPr>
                <w:rFonts w:eastAsia="Times New Roman"/>
                <w:bCs/>
                <w:noProof/>
                <w:color w:val="000000"/>
                <w:sz w:val="18"/>
                <w:szCs w:val="18"/>
                <w:lang w:val="de-DE" w:eastAsia="en-IE"/>
              </w:rPr>
              <w:t>(more schemes: EU5G)</w:t>
            </w:r>
          </w:p>
        </w:tc>
        <w:tc>
          <w:tcPr>
            <w:tcW w:w="535" w:type="pct"/>
            <w:vAlign w:val="center"/>
          </w:tcPr>
          <w:p w14:paraId="7F5BF1A9" w14:textId="1D1B413C"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0</w:t>
            </w:r>
          </w:p>
        </w:tc>
        <w:tc>
          <w:tcPr>
            <w:tcW w:w="457" w:type="pct"/>
            <w:vAlign w:val="center"/>
          </w:tcPr>
          <w:p w14:paraId="0552E3D3" w14:textId="39A269D9"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100 000</w:t>
            </w:r>
          </w:p>
        </w:tc>
        <w:tc>
          <w:tcPr>
            <w:tcW w:w="612" w:type="pct"/>
            <w:vAlign w:val="center"/>
          </w:tcPr>
          <w:p w14:paraId="57FAC53B" w14:textId="26C37583"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459" w:type="pct"/>
            <w:vAlign w:val="center"/>
          </w:tcPr>
          <w:p w14:paraId="4A6D4F62" w14:textId="337FE79A"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532" w:type="pct"/>
            <w:vAlign w:val="center"/>
          </w:tcPr>
          <w:p w14:paraId="5E8B5278" w14:textId="586FEDC0"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700 000</w:t>
            </w:r>
          </w:p>
        </w:tc>
        <w:tc>
          <w:tcPr>
            <w:tcW w:w="458" w:type="pct"/>
            <w:vAlign w:val="center"/>
          </w:tcPr>
          <w:p w14:paraId="21E7A6B4" w14:textId="191D1390" w:rsidR="00960CA3" w:rsidRPr="00CE2185" w:rsidRDefault="00D230EB"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320 000</w:t>
            </w:r>
          </w:p>
        </w:tc>
        <w:tc>
          <w:tcPr>
            <w:tcW w:w="744" w:type="pct"/>
            <w:vAlign w:val="center"/>
          </w:tcPr>
          <w:p w14:paraId="4EF30A73" w14:textId="7D3E81A2"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w:t>
            </w:r>
            <w:r w:rsidR="004A3E07" w:rsidRPr="00CE2185">
              <w:rPr>
                <w:rFonts w:eastAsia="Times New Roman"/>
                <w:noProof/>
                <w:color w:val="000000"/>
                <w:sz w:val="18"/>
                <w:szCs w:val="18"/>
                <w:lang w:val="fr-BE" w:eastAsia="en-IE"/>
              </w:rPr>
              <w:t xml:space="preserve"> </w:t>
            </w:r>
            <w:r w:rsidRPr="00CE2185">
              <w:rPr>
                <w:rFonts w:eastAsia="Times New Roman"/>
                <w:noProof/>
                <w:color w:val="000000"/>
                <w:sz w:val="18"/>
                <w:szCs w:val="18"/>
                <w:lang w:val="fr-BE" w:eastAsia="en-IE"/>
              </w:rPr>
              <w:t>600 000</w:t>
            </w:r>
          </w:p>
        </w:tc>
      </w:tr>
      <w:tr w:rsidR="00CD3C1D" w:rsidRPr="00CE2185" w14:paraId="68030A01" w14:textId="77777777" w:rsidTr="00CD3C1D">
        <w:trPr>
          <w:trHeight w:val="67"/>
        </w:trPr>
        <w:tc>
          <w:tcPr>
            <w:tcW w:w="1203" w:type="pct"/>
            <w:noWrap/>
            <w:vAlign w:val="center"/>
          </w:tcPr>
          <w:p w14:paraId="72EFF453" w14:textId="65E1D6DD" w:rsidR="00960CA3" w:rsidRPr="00CE2185" w:rsidRDefault="00960CA3" w:rsidP="00960CA3">
            <w:pPr>
              <w:spacing w:after="0"/>
              <w:jc w:val="left"/>
              <w:rPr>
                <w:rFonts w:eastAsia="Times New Roman"/>
                <w:b/>
                <w:noProof/>
                <w:color w:val="000000"/>
                <w:sz w:val="18"/>
                <w:szCs w:val="18"/>
                <w:lang w:val="fr-BE" w:eastAsia="en-IE"/>
              </w:rPr>
            </w:pPr>
            <w:r w:rsidRPr="00CE2185">
              <w:rPr>
                <w:rFonts w:eastAsia="Times New Roman"/>
                <w:b/>
                <w:noProof/>
                <w:color w:val="000000"/>
                <w:sz w:val="18"/>
                <w:szCs w:val="18"/>
                <w:lang w:val="fr-BE" w:eastAsia="en-IE"/>
              </w:rPr>
              <w:t xml:space="preserve">B2+ D3 </w:t>
            </w:r>
            <w:r w:rsidRPr="00CE2185">
              <w:rPr>
                <w:rFonts w:eastAsia="Times New Roman"/>
                <w:bCs/>
                <w:noProof/>
                <w:color w:val="000000"/>
                <w:sz w:val="18"/>
                <w:szCs w:val="18"/>
                <w:lang w:val="fr-BE" w:eastAsia="en-IE"/>
              </w:rPr>
              <w:t>(more schemes: EUCS, EU5G)</w:t>
            </w:r>
          </w:p>
        </w:tc>
        <w:tc>
          <w:tcPr>
            <w:tcW w:w="535" w:type="pct"/>
            <w:vAlign w:val="center"/>
          </w:tcPr>
          <w:p w14:paraId="7A7D103B" w14:textId="7E848E48"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0</w:t>
            </w:r>
          </w:p>
        </w:tc>
        <w:tc>
          <w:tcPr>
            <w:tcW w:w="457" w:type="pct"/>
            <w:vAlign w:val="center"/>
          </w:tcPr>
          <w:p w14:paraId="2AE49FD8" w14:textId="3E535B90"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100 000</w:t>
            </w:r>
          </w:p>
        </w:tc>
        <w:tc>
          <w:tcPr>
            <w:tcW w:w="612" w:type="pct"/>
            <w:vAlign w:val="center"/>
          </w:tcPr>
          <w:p w14:paraId="1FD4F76A" w14:textId="1EEC8373"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459" w:type="pct"/>
            <w:vAlign w:val="center"/>
          </w:tcPr>
          <w:p w14:paraId="48245E19" w14:textId="727B87F9"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en-IE" w:eastAsia="en-IE"/>
              </w:rPr>
              <w:t>400 000</w:t>
            </w:r>
          </w:p>
        </w:tc>
        <w:tc>
          <w:tcPr>
            <w:tcW w:w="532" w:type="pct"/>
            <w:vAlign w:val="center"/>
          </w:tcPr>
          <w:p w14:paraId="363AAE96" w14:textId="2AB458B2"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800 000</w:t>
            </w:r>
          </w:p>
        </w:tc>
        <w:tc>
          <w:tcPr>
            <w:tcW w:w="458" w:type="pct"/>
            <w:vAlign w:val="center"/>
          </w:tcPr>
          <w:p w14:paraId="0448919A" w14:textId="5B1F4E03" w:rsidR="00960CA3" w:rsidRPr="00CE2185" w:rsidRDefault="00D230EB"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340 000</w:t>
            </w:r>
          </w:p>
        </w:tc>
        <w:tc>
          <w:tcPr>
            <w:tcW w:w="744" w:type="pct"/>
            <w:vAlign w:val="center"/>
          </w:tcPr>
          <w:p w14:paraId="6F068401" w14:textId="2AB83A8E" w:rsidR="00960CA3" w:rsidRPr="00CE2185" w:rsidRDefault="00960CA3" w:rsidP="00960CA3">
            <w:pPr>
              <w:spacing w:after="0"/>
              <w:jc w:val="right"/>
              <w:rPr>
                <w:rFonts w:eastAsia="Times New Roman"/>
                <w:noProof/>
                <w:color w:val="000000"/>
                <w:sz w:val="18"/>
                <w:szCs w:val="18"/>
                <w:lang w:val="fr-BE" w:eastAsia="en-IE"/>
              </w:rPr>
            </w:pPr>
            <w:r w:rsidRPr="00CE2185">
              <w:rPr>
                <w:rFonts w:eastAsia="Times New Roman"/>
                <w:noProof/>
                <w:color w:val="000000"/>
                <w:sz w:val="18"/>
                <w:szCs w:val="18"/>
                <w:lang w:val="fr-BE" w:eastAsia="en-IE"/>
              </w:rPr>
              <w:t>1</w:t>
            </w:r>
            <w:r w:rsidR="004A3E07" w:rsidRPr="00CE2185">
              <w:rPr>
                <w:rFonts w:eastAsia="Times New Roman"/>
                <w:noProof/>
                <w:color w:val="000000"/>
                <w:sz w:val="18"/>
                <w:szCs w:val="18"/>
                <w:lang w:val="fr-BE" w:eastAsia="en-IE"/>
              </w:rPr>
              <w:t xml:space="preserve"> </w:t>
            </w:r>
            <w:r w:rsidRPr="00CE2185">
              <w:rPr>
                <w:rFonts w:eastAsia="Times New Roman"/>
                <w:noProof/>
                <w:color w:val="000000"/>
                <w:sz w:val="18"/>
                <w:szCs w:val="18"/>
                <w:lang w:val="fr-BE" w:eastAsia="en-IE"/>
              </w:rPr>
              <w:t>700 000</w:t>
            </w:r>
          </w:p>
        </w:tc>
      </w:tr>
      <w:tr w:rsidR="00CD3C1D" w:rsidRPr="00CE2185" w14:paraId="008DFB55" w14:textId="77777777" w:rsidTr="00CD3C1D">
        <w:trPr>
          <w:trHeight w:val="67"/>
        </w:trPr>
        <w:tc>
          <w:tcPr>
            <w:tcW w:w="1203" w:type="pct"/>
            <w:noWrap/>
            <w:vAlign w:val="center"/>
          </w:tcPr>
          <w:p w14:paraId="14C2A949" w14:textId="3A5F4937" w:rsidR="000C1DC4" w:rsidRPr="00CE2185" w:rsidRDefault="000C1DC4" w:rsidP="000C1DC4">
            <w:pPr>
              <w:spacing w:after="0"/>
              <w:jc w:val="left"/>
              <w:rPr>
                <w:rFonts w:eastAsia="Times New Roman"/>
                <w:b/>
                <w:noProof/>
                <w:color w:val="000000"/>
                <w:sz w:val="18"/>
                <w:szCs w:val="18"/>
                <w:lang w:val="en-IE" w:eastAsia="en-IE"/>
              </w:rPr>
            </w:pPr>
            <w:r w:rsidRPr="00CE2185">
              <w:rPr>
                <w:rFonts w:eastAsia="Times New Roman"/>
                <w:b/>
                <w:noProof/>
                <w:color w:val="000000"/>
                <w:sz w:val="18"/>
                <w:szCs w:val="18"/>
                <w:lang w:val="en-IE" w:eastAsia="en-IE"/>
              </w:rPr>
              <w:t>Operational cost ENISA (</w:t>
            </w:r>
            <w:r w:rsidR="00C70025" w:rsidRPr="00CE2185">
              <w:rPr>
                <w:rFonts w:eastAsia="Times New Roman"/>
                <w:b/>
                <w:noProof/>
                <w:color w:val="000000"/>
                <w:sz w:val="18"/>
                <w:szCs w:val="18"/>
                <w:lang w:val="en-IE" w:eastAsia="en-IE"/>
              </w:rPr>
              <w:t>minus fees</w:t>
            </w:r>
            <w:r w:rsidRPr="00CE2185">
              <w:rPr>
                <w:rFonts w:eastAsia="Times New Roman"/>
                <w:b/>
                <w:noProof/>
                <w:color w:val="000000"/>
                <w:sz w:val="18"/>
                <w:szCs w:val="18"/>
                <w:lang w:val="en-IE" w:eastAsia="en-IE"/>
              </w:rPr>
              <w:t>)</w:t>
            </w:r>
          </w:p>
        </w:tc>
        <w:tc>
          <w:tcPr>
            <w:tcW w:w="535" w:type="pct"/>
            <w:vAlign w:val="center"/>
          </w:tcPr>
          <w:p w14:paraId="0AE514B0" w14:textId="77777777" w:rsidR="000C1DC4" w:rsidRPr="00CE2185" w:rsidRDefault="000C1DC4" w:rsidP="000C1DC4">
            <w:pPr>
              <w:spacing w:after="0"/>
              <w:jc w:val="right"/>
              <w:rPr>
                <w:rFonts w:eastAsia="Times New Roman"/>
                <w:noProof/>
                <w:color w:val="000000"/>
                <w:sz w:val="18"/>
                <w:szCs w:val="18"/>
                <w:lang w:val="en-IE" w:eastAsia="en-IE"/>
              </w:rPr>
            </w:pPr>
          </w:p>
        </w:tc>
        <w:tc>
          <w:tcPr>
            <w:tcW w:w="457" w:type="pct"/>
            <w:vAlign w:val="center"/>
          </w:tcPr>
          <w:p w14:paraId="11575C23" w14:textId="77777777" w:rsidR="000C1DC4" w:rsidRPr="00CE2185" w:rsidRDefault="000C1DC4" w:rsidP="000C1DC4">
            <w:pPr>
              <w:spacing w:after="0"/>
              <w:jc w:val="right"/>
              <w:rPr>
                <w:rFonts w:eastAsia="Times New Roman"/>
                <w:noProof/>
                <w:color w:val="000000"/>
                <w:sz w:val="18"/>
                <w:szCs w:val="18"/>
                <w:lang w:val="en-IE" w:eastAsia="en-IE"/>
              </w:rPr>
            </w:pPr>
          </w:p>
        </w:tc>
        <w:tc>
          <w:tcPr>
            <w:tcW w:w="612" w:type="pct"/>
            <w:vAlign w:val="center"/>
          </w:tcPr>
          <w:p w14:paraId="5F766708" w14:textId="77777777" w:rsidR="000C1DC4" w:rsidRPr="00CE2185" w:rsidRDefault="000C1DC4" w:rsidP="000C1DC4">
            <w:pPr>
              <w:spacing w:after="0"/>
              <w:jc w:val="right"/>
              <w:rPr>
                <w:rFonts w:eastAsia="Times New Roman"/>
                <w:noProof/>
                <w:color w:val="000000"/>
                <w:sz w:val="18"/>
                <w:szCs w:val="18"/>
                <w:lang w:val="en-IE" w:eastAsia="en-IE"/>
              </w:rPr>
            </w:pPr>
          </w:p>
        </w:tc>
        <w:tc>
          <w:tcPr>
            <w:tcW w:w="459" w:type="pct"/>
            <w:vAlign w:val="center"/>
          </w:tcPr>
          <w:p w14:paraId="5C5B8036" w14:textId="77777777" w:rsidR="000C1DC4" w:rsidRPr="00CE2185" w:rsidRDefault="000C1DC4" w:rsidP="000C1DC4">
            <w:pPr>
              <w:spacing w:after="0"/>
              <w:jc w:val="right"/>
              <w:rPr>
                <w:rFonts w:eastAsia="Times New Roman"/>
                <w:noProof/>
                <w:color w:val="000000"/>
                <w:sz w:val="18"/>
                <w:szCs w:val="18"/>
                <w:lang w:val="en-IE" w:eastAsia="en-IE"/>
              </w:rPr>
            </w:pPr>
          </w:p>
        </w:tc>
        <w:tc>
          <w:tcPr>
            <w:tcW w:w="532" w:type="pct"/>
            <w:vAlign w:val="center"/>
          </w:tcPr>
          <w:p w14:paraId="3D527D72" w14:textId="77777777" w:rsidR="000C1DC4" w:rsidRPr="00CE2185" w:rsidRDefault="000C1DC4" w:rsidP="000C1DC4">
            <w:pPr>
              <w:spacing w:after="0"/>
              <w:jc w:val="right"/>
              <w:rPr>
                <w:rFonts w:eastAsia="Times New Roman"/>
                <w:noProof/>
                <w:color w:val="000000"/>
                <w:sz w:val="18"/>
                <w:szCs w:val="18"/>
                <w:lang w:val="en-IE" w:eastAsia="en-IE"/>
              </w:rPr>
            </w:pPr>
          </w:p>
        </w:tc>
        <w:tc>
          <w:tcPr>
            <w:tcW w:w="458" w:type="pct"/>
            <w:vAlign w:val="center"/>
          </w:tcPr>
          <w:p w14:paraId="20A3527C" w14:textId="77777777" w:rsidR="000C1DC4" w:rsidRPr="00CE2185" w:rsidRDefault="000C1DC4" w:rsidP="000C1DC4">
            <w:pPr>
              <w:spacing w:after="0"/>
              <w:jc w:val="right"/>
              <w:rPr>
                <w:rFonts w:eastAsia="Times New Roman"/>
                <w:noProof/>
                <w:color w:val="000000"/>
                <w:sz w:val="18"/>
                <w:szCs w:val="18"/>
                <w:lang w:val="en-IE" w:eastAsia="en-IE"/>
              </w:rPr>
            </w:pPr>
          </w:p>
        </w:tc>
        <w:tc>
          <w:tcPr>
            <w:tcW w:w="744" w:type="pct"/>
            <w:vAlign w:val="center"/>
          </w:tcPr>
          <w:p w14:paraId="34A0313F" w14:textId="78A2B919" w:rsidR="000C1DC4" w:rsidRPr="00CE2185" w:rsidRDefault="000C1DC4" w:rsidP="000C1DC4">
            <w:pPr>
              <w:spacing w:after="0"/>
              <w:jc w:val="right"/>
              <w:rPr>
                <w:rFonts w:eastAsia="Times New Roman"/>
                <w:b/>
                <w:bCs/>
                <w:noProof/>
                <w:color w:val="000000"/>
                <w:sz w:val="18"/>
                <w:szCs w:val="18"/>
                <w:lang w:val="fr-BE" w:eastAsia="en-IE"/>
              </w:rPr>
            </w:pPr>
            <w:r w:rsidRPr="00CE2185">
              <w:rPr>
                <w:rFonts w:eastAsia="Times New Roman"/>
                <w:b/>
                <w:noProof/>
                <w:color w:val="000000"/>
                <w:sz w:val="18"/>
                <w:szCs w:val="18"/>
                <w:lang w:val="en-IE" w:eastAsia="en-IE"/>
              </w:rPr>
              <w:t>over 5 years</w:t>
            </w:r>
            <w:r w:rsidRPr="00CE2185">
              <w:rPr>
                <w:rFonts w:eastAsia="Times New Roman"/>
                <w:b/>
                <w:bCs/>
                <w:noProof/>
                <w:color w:val="000000"/>
                <w:sz w:val="18"/>
                <w:szCs w:val="18"/>
                <w:lang w:val="en-IE" w:eastAsia="en-IE"/>
              </w:rPr>
              <w:t xml:space="preserve"> (EUR) – </w:t>
            </w:r>
          </w:p>
        </w:tc>
      </w:tr>
      <w:tr w:rsidR="00CD3C1D" w:rsidRPr="00CE2185" w14:paraId="051939B1" w14:textId="77777777" w:rsidTr="00CD3C1D">
        <w:trPr>
          <w:trHeight w:val="67"/>
        </w:trPr>
        <w:tc>
          <w:tcPr>
            <w:tcW w:w="1203" w:type="pct"/>
            <w:noWrap/>
            <w:vAlign w:val="center"/>
          </w:tcPr>
          <w:p w14:paraId="61EF9D41" w14:textId="15A3EDC5" w:rsidR="000C1DC4" w:rsidRPr="00CE2185" w:rsidRDefault="000C1DC4" w:rsidP="000C1DC4">
            <w:pPr>
              <w:spacing w:after="0"/>
              <w:jc w:val="left"/>
              <w:rPr>
                <w:rFonts w:eastAsia="Times New Roman"/>
                <w:b/>
                <w:noProof/>
                <w:color w:val="000000"/>
                <w:sz w:val="18"/>
                <w:szCs w:val="18"/>
                <w:lang w:val="fr-BE" w:eastAsia="en-IE"/>
              </w:rPr>
            </w:pPr>
            <w:r w:rsidRPr="00CE2185">
              <w:rPr>
                <w:rFonts w:eastAsia="Times New Roman"/>
                <w:b/>
                <w:noProof/>
                <w:color w:val="000000"/>
                <w:sz w:val="18"/>
                <w:szCs w:val="18"/>
                <w:lang w:val="en-IE" w:eastAsia="en-IE"/>
              </w:rPr>
              <w:t xml:space="preserve">B2 </w:t>
            </w:r>
          </w:p>
        </w:tc>
        <w:tc>
          <w:tcPr>
            <w:tcW w:w="535" w:type="pct"/>
            <w:vAlign w:val="center"/>
          </w:tcPr>
          <w:p w14:paraId="4070BB5A" w14:textId="77777777" w:rsidR="000C1DC4" w:rsidRPr="00CE2185" w:rsidRDefault="000C1DC4" w:rsidP="000C1DC4">
            <w:pPr>
              <w:spacing w:after="0"/>
              <w:jc w:val="right"/>
              <w:rPr>
                <w:rFonts w:eastAsia="Times New Roman"/>
                <w:noProof/>
                <w:color w:val="000000"/>
                <w:sz w:val="18"/>
                <w:szCs w:val="18"/>
                <w:lang w:val="en-IE" w:eastAsia="en-IE"/>
              </w:rPr>
            </w:pPr>
          </w:p>
        </w:tc>
        <w:tc>
          <w:tcPr>
            <w:tcW w:w="457" w:type="pct"/>
            <w:vAlign w:val="center"/>
          </w:tcPr>
          <w:p w14:paraId="3FD050D9" w14:textId="77777777" w:rsidR="000C1DC4" w:rsidRPr="00CE2185" w:rsidRDefault="000C1DC4" w:rsidP="000C1DC4">
            <w:pPr>
              <w:spacing w:after="0"/>
              <w:jc w:val="right"/>
              <w:rPr>
                <w:rFonts w:eastAsia="Times New Roman"/>
                <w:noProof/>
                <w:color w:val="000000"/>
                <w:sz w:val="18"/>
                <w:szCs w:val="18"/>
                <w:lang w:val="en-IE" w:eastAsia="en-IE"/>
              </w:rPr>
            </w:pPr>
          </w:p>
        </w:tc>
        <w:tc>
          <w:tcPr>
            <w:tcW w:w="612" w:type="pct"/>
            <w:vAlign w:val="center"/>
          </w:tcPr>
          <w:p w14:paraId="35BA76EA" w14:textId="77777777" w:rsidR="000C1DC4" w:rsidRPr="00CE2185" w:rsidRDefault="000C1DC4" w:rsidP="000C1DC4">
            <w:pPr>
              <w:spacing w:after="0"/>
              <w:jc w:val="right"/>
              <w:rPr>
                <w:rFonts w:eastAsia="Times New Roman"/>
                <w:noProof/>
                <w:color w:val="000000"/>
                <w:sz w:val="18"/>
                <w:szCs w:val="18"/>
                <w:lang w:val="en-IE" w:eastAsia="en-IE"/>
              </w:rPr>
            </w:pPr>
          </w:p>
        </w:tc>
        <w:tc>
          <w:tcPr>
            <w:tcW w:w="459" w:type="pct"/>
            <w:vAlign w:val="center"/>
          </w:tcPr>
          <w:p w14:paraId="4D70BFEE" w14:textId="77777777" w:rsidR="000C1DC4" w:rsidRPr="00CE2185" w:rsidRDefault="000C1DC4" w:rsidP="000C1DC4">
            <w:pPr>
              <w:spacing w:after="0"/>
              <w:jc w:val="right"/>
              <w:rPr>
                <w:rFonts w:eastAsia="Times New Roman"/>
                <w:noProof/>
                <w:color w:val="000000"/>
                <w:sz w:val="18"/>
                <w:szCs w:val="18"/>
                <w:lang w:val="en-IE" w:eastAsia="en-IE"/>
              </w:rPr>
            </w:pPr>
          </w:p>
        </w:tc>
        <w:tc>
          <w:tcPr>
            <w:tcW w:w="532" w:type="pct"/>
            <w:vAlign w:val="center"/>
          </w:tcPr>
          <w:p w14:paraId="797FEDE4" w14:textId="77777777" w:rsidR="000C1DC4" w:rsidRPr="00CE2185" w:rsidRDefault="000C1DC4" w:rsidP="000C1DC4">
            <w:pPr>
              <w:spacing w:after="0"/>
              <w:jc w:val="right"/>
              <w:rPr>
                <w:rFonts w:eastAsia="Times New Roman"/>
                <w:noProof/>
                <w:color w:val="000000"/>
                <w:sz w:val="18"/>
                <w:szCs w:val="18"/>
                <w:lang w:val="fr-BE" w:eastAsia="en-IE"/>
              </w:rPr>
            </w:pPr>
          </w:p>
        </w:tc>
        <w:tc>
          <w:tcPr>
            <w:tcW w:w="458" w:type="pct"/>
            <w:vAlign w:val="center"/>
          </w:tcPr>
          <w:p w14:paraId="3BD63B44" w14:textId="77777777" w:rsidR="000C1DC4" w:rsidRPr="00CE2185" w:rsidRDefault="000C1DC4" w:rsidP="000C1DC4">
            <w:pPr>
              <w:spacing w:after="0"/>
              <w:jc w:val="right"/>
              <w:rPr>
                <w:rFonts w:eastAsia="Times New Roman"/>
                <w:noProof/>
                <w:color w:val="000000"/>
                <w:sz w:val="18"/>
                <w:szCs w:val="18"/>
                <w:lang w:val="fr-BE" w:eastAsia="en-IE"/>
              </w:rPr>
            </w:pPr>
          </w:p>
        </w:tc>
        <w:tc>
          <w:tcPr>
            <w:tcW w:w="744" w:type="pct"/>
            <w:vAlign w:val="center"/>
          </w:tcPr>
          <w:p w14:paraId="24AC67DC" w14:textId="4CE55171" w:rsidR="000C1DC4" w:rsidRPr="00CE2185" w:rsidRDefault="000C1DC4" w:rsidP="000C1DC4">
            <w:pPr>
              <w:spacing w:after="0"/>
              <w:jc w:val="right"/>
              <w:rPr>
                <w:rFonts w:eastAsia="Times New Roman"/>
                <w:bCs/>
                <w:noProof/>
                <w:color w:val="000000"/>
                <w:sz w:val="18"/>
                <w:szCs w:val="18"/>
                <w:lang w:val="fr-BE" w:eastAsia="en-IE"/>
              </w:rPr>
            </w:pPr>
            <w:r w:rsidRPr="00CE2185">
              <w:rPr>
                <w:rFonts w:eastAsia="Times New Roman"/>
                <w:bCs/>
                <w:noProof/>
                <w:color w:val="000000"/>
                <w:sz w:val="18"/>
                <w:szCs w:val="18"/>
                <w:lang w:val="en-IE" w:eastAsia="en-IE"/>
              </w:rPr>
              <w:t xml:space="preserve">2 300 000 </w:t>
            </w:r>
          </w:p>
        </w:tc>
      </w:tr>
      <w:tr w:rsidR="00CD3C1D" w:rsidRPr="00CE2185" w14:paraId="4B584B4E" w14:textId="77777777" w:rsidTr="00CD3C1D">
        <w:trPr>
          <w:trHeight w:val="67"/>
        </w:trPr>
        <w:tc>
          <w:tcPr>
            <w:tcW w:w="1203" w:type="pct"/>
            <w:noWrap/>
            <w:vAlign w:val="center"/>
          </w:tcPr>
          <w:p w14:paraId="33C6FBD1" w14:textId="147242B5" w:rsidR="000C1DC4" w:rsidRPr="00130A80" w:rsidRDefault="000C1DC4" w:rsidP="000C1DC4">
            <w:pPr>
              <w:spacing w:after="0"/>
              <w:jc w:val="left"/>
              <w:rPr>
                <w:rFonts w:eastAsia="Times New Roman"/>
                <w:b/>
                <w:noProof/>
                <w:color w:val="000000"/>
                <w:sz w:val="18"/>
                <w:szCs w:val="18"/>
                <w:lang w:val="de-DE" w:eastAsia="en-IE"/>
              </w:rPr>
            </w:pPr>
            <w:r w:rsidRPr="00CE2185">
              <w:rPr>
                <w:rFonts w:eastAsia="Times New Roman"/>
                <w:b/>
                <w:noProof/>
                <w:color w:val="000000"/>
                <w:sz w:val="18"/>
                <w:szCs w:val="18"/>
                <w:lang w:val="de-DE" w:eastAsia="en-IE"/>
              </w:rPr>
              <w:t xml:space="preserve">B2+ D2 </w:t>
            </w:r>
            <w:r w:rsidRPr="00CE2185">
              <w:rPr>
                <w:rFonts w:eastAsia="Times New Roman"/>
                <w:bCs/>
                <w:noProof/>
                <w:color w:val="000000"/>
                <w:sz w:val="18"/>
                <w:szCs w:val="18"/>
                <w:lang w:val="de-DE" w:eastAsia="en-IE"/>
              </w:rPr>
              <w:t>(more schemes: EU5G)</w:t>
            </w:r>
          </w:p>
        </w:tc>
        <w:tc>
          <w:tcPr>
            <w:tcW w:w="535" w:type="pct"/>
            <w:vAlign w:val="center"/>
          </w:tcPr>
          <w:p w14:paraId="73B74376" w14:textId="77777777" w:rsidR="000C1DC4" w:rsidRPr="00130A80" w:rsidRDefault="000C1DC4" w:rsidP="000C1DC4">
            <w:pPr>
              <w:spacing w:after="0"/>
              <w:jc w:val="right"/>
              <w:rPr>
                <w:rFonts w:eastAsia="Times New Roman"/>
                <w:noProof/>
                <w:color w:val="000000"/>
                <w:sz w:val="18"/>
                <w:szCs w:val="18"/>
                <w:lang w:val="de-DE" w:eastAsia="en-IE"/>
              </w:rPr>
            </w:pPr>
          </w:p>
        </w:tc>
        <w:tc>
          <w:tcPr>
            <w:tcW w:w="457" w:type="pct"/>
            <w:vAlign w:val="center"/>
          </w:tcPr>
          <w:p w14:paraId="58A3EB18" w14:textId="77777777" w:rsidR="000C1DC4" w:rsidRPr="00130A80" w:rsidRDefault="000C1DC4" w:rsidP="000C1DC4">
            <w:pPr>
              <w:spacing w:after="0"/>
              <w:jc w:val="right"/>
              <w:rPr>
                <w:rFonts w:eastAsia="Times New Roman"/>
                <w:noProof/>
                <w:color w:val="000000"/>
                <w:sz w:val="18"/>
                <w:szCs w:val="18"/>
                <w:lang w:val="de-DE" w:eastAsia="en-IE"/>
              </w:rPr>
            </w:pPr>
          </w:p>
        </w:tc>
        <w:tc>
          <w:tcPr>
            <w:tcW w:w="612" w:type="pct"/>
            <w:vAlign w:val="center"/>
          </w:tcPr>
          <w:p w14:paraId="237EE0D8" w14:textId="77777777" w:rsidR="000C1DC4" w:rsidRPr="00130A80" w:rsidRDefault="000C1DC4" w:rsidP="000C1DC4">
            <w:pPr>
              <w:spacing w:after="0"/>
              <w:jc w:val="right"/>
              <w:rPr>
                <w:rFonts w:eastAsia="Times New Roman"/>
                <w:noProof/>
                <w:color w:val="000000"/>
                <w:sz w:val="18"/>
                <w:szCs w:val="18"/>
                <w:lang w:val="de-DE" w:eastAsia="en-IE"/>
              </w:rPr>
            </w:pPr>
          </w:p>
        </w:tc>
        <w:tc>
          <w:tcPr>
            <w:tcW w:w="459" w:type="pct"/>
            <w:vAlign w:val="center"/>
          </w:tcPr>
          <w:p w14:paraId="5584923D" w14:textId="77777777" w:rsidR="000C1DC4" w:rsidRPr="00130A80" w:rsidRDefault="000C1DC4" w:rsidP="000C1DC4">
            <w:pPr>
              <w:spacing w:after="0"/>
              <w:jc w:val="right"/>
              <w:rPr>
                <w:rFonts w:eastAsia="Times New Roman"/>
                <w:noProof/>
                <w:color w:val="000000"/>
                <w:sz w:val="18"/>
                <w:szCs w:val="18"/>
                <w:lang w:val="de-DE" w:eastAsia="en-IE"/>
              </w:rPr>
            </w:pPr>
          </w:p>
        </w:tc>
        <w:tc>
          <w:tcPr>
            <w:tcW w:w="532" w:type="pct"/>
            <w:vAlign w:val="center"/>
          </w:tcPr>
          <w:p w14:paraId="59EB0AD8" w14:textId="77777777" w:rsidR="000C1DC4" w:rsidRPr="00130A80" w:rsidRDefault="000C1DC4" w:rsidP="000C1DC4">
            <w:pPr>
              <w:spacing w:after="0"/>
              <w:jc w:val="right"/>
              <w:rPr>
                <w:rFonts w:eastAsia="Times New Roman"/>
                <w:noProof/>
                <w:color w:val="000000"/>
                <w:sz w:val="18"/>
                <w:szCs w:val="18"/>
                <w:lang w:val="de-DE" w:eastAsia="en-IE"/>
              </w:rPr>
            </w:pPr>
          </w:p>
        </w:tc>
        <w:tc>
          <w:tcPr>
            <w:tcW w:w="458" w:type="pct"/>
            <w:vAlign w:val="center"/>
          </w:tcPr>
          <w:p w14:paraId="290BF4C2" w14:textId="77777777" w:rsidR="000C1DC4" w:rsidRPr="00130A80" w:rsidRDefault="000C1DC4" w:rsidP="000C1DC4">
            <w:pPr>
              <w:spacing w:after="0"/>
              <w:jc w:val="right"/>
              <w:rPr>
                <w:rFonts w:eastAsia="Times New Roman"/>
                <w:noProof/>
                <w:color w:val="000000"/>
                <w:sz w:val="18"/>
                <w:szCs w:val="18"/>
                <w:lang w:val="de-DE" w:eastAsia="en-IE"/>
              </w:rPr>
            </w:pPr>
          </w:p>
        </w:tc>
        <w:tc>
          <w:tcPr>
            <w:tcW w:w="744" w:type="pct"/>
            <w:vAlign w:val="center"/>
          </w:tcPr>
          <w:p w14:paraId="4AB98CB8" w14:textId="7E75C762" w:rsidR="000C1DC4" w:rsidRPr="00CE2185" w:rsidRDefault="000C1DC4" w:rsidP="000C1DC4">
            <w:pPr>
              <w:spacing w:after="0"/>
              <w:jc w:val="right"/>
              <w:rPr>
                <w:rFonts w:eastAsia="Times New Roman"/>
                <w:bCs/>
                <w:noProof/>
                <w:color w:val="000000"/>
                <w:sz w:val="18"/>
                <w:szCs w:val="18"/>
                <w:lang w:val="fr-BE" w:eastAsia="en-IE"/>
              </w:rPr>
            </w:pPr>
            <w:r w:rsidRPr="00CE2185">
              <w:rPr>
                <w:rFonts w:eastAsia="Times New Roman"/>
                <w:bCs/>
                <w:noProof/>
                <w:color w:val="000000"/>
                <w:sz w:val="18"/>
                <w:szCs w:val="18"/>
                <w:lang w:val="en-IE" w:eastAsia="en-IE"/>
              </w:rPr>
              <w:t xml:space="preserve">2 800 000 </w:t>
            </w:r>
          </w:p>
        </w:tc>
      </w:tr>
      <w:tr w:rsidR="00CD3C1D" w:rsidRPr="00CE2185" w14:paraId="6433AEC3" w14:textId="77777777" w:rsidTr="00CD3C1D">
        <w:trPr>
          <w:trHeight w:val="67"/>
        </w:trPr>
        <w:tc>
          <w:tcPr>
            <w:tcW w:w="1203" w:type="pct"/>
            <w:noWrap/>
            <w:vAlign w:val="center"/>
          </w:tcPr>
          <w:p w14:paraId="154DCEB9" w14:textId="076EEC32" w:rsidR="000C1DC4" w:rsidRPr="00CE2185" w:rsidRDefault="000C1DC4" w:rsidP="000C1DC4">
            <w:pPr>
              <w:spacing w:after="0"/>
              <w:jc w:val="left"/>
              <w:rPr>
                <w:rFonts w:eastAsia="Times New Roman"/>
                <w:b/>
                <w:noProof/>
                <w:color w:val="000000"/>
                <w:sz w:val="18"/>
                <w:szCs w:val="18"/>
                <w:lang w:val="fr-BE" w:eastAsia="en-IE"/>
              </w:rPr>
            </w:pPr>
            <w:r w:rsidRPr="00CE2185">
              <w:rPr>
                <w:rFonts w:eastAsia="Times New Roman"/>
                <w:b/>
                <w:noProof/>
                <w:color w:val="000000"/>
                <w:sz w:val="18"/>
                <w:szCs w:val="18"/>
                <w:lang w:val="fr-BE" w:eastAsia="en-IE"/>
              </w:rPr>
              <w:t xml:space="preserve">B2+ D3 </w:t>
            </w:r>
            <w:r w:rsidRPr="00CE2185">
              <w:rPr>
                <w:rFonts w:eastAsia="Times New Roman"/>
                <w:bCs/>
                <w:noProof/>
                <w:color w:val="000000"/>
                <w:sz w:val="18"/>
                <w:szCs w:val="18"/>
                <w:lang w:val="fr-BE" w:eastAsia="en-IE"/>
              </w:rPr>
              <w:t>(more schemes: EUCS, EU5G)</w:t>
            </w:r>
          </w:p>
        </w:tc>
        <w:tc>
          <w:tcPr>
            <w:tcW w:w="535" w:type="pct"/>
            <w:vAlign w:val="center"/>
          </w:tcPr>
          <w:p w14:paraId="65004B73" w14:textId="77777777" w:rsidR="000C1DC4" w:rsidRPr="00CE2185" w:rsidRDefault="000C1DC4" w:rsidP="000C1DC4">
            <w:pPr>
              <w:spacing w:after="0"/>
              <w:jc w:val="right"/>
              <w:rPr>
                <w:rFonts w:eastAsia="Times New Roman"/>
                <w:noProof/>
                <w:color w:val="000000"/>
                <w:sz w:val="18"/>
                <w:szCs w:val="18"/>
                <w:lang w:val="fr-BE" w:eastAsia="en-IE"/>
              </w:rPr>
            </w:pPr>
          </w:p>
        </w:tc>
        <w:tc>
          <w:tcPr>
            <w:tcW w:w="457" w:type="pct"/>
            <w:vAlign w:val="center"/>
          </w:tcPr>
          <w:p w14:paraId="575B561D" w14:textId="77777777" w:rsidR="000C1DC4" w:rsidRPr="00CE2185" w:rsidRDefault="000C1DC4" w:rsidP="000C1DC4">
            <w:pPr>
              <w:spacing w:after="0"/>
              <w:jc w:val="right"/>
              <w:rPr>
                <w:rFonts w:eastAsia="Times New Roman"/>
                <w:noProof/>
                <w:color w:val="000000"/>
                <w:sz w:val="18"/>
                <w:szCs w:val="18"/>
                <w:lang w:val="fr-BE" w:eastAsia="en-IE"/>
              </w:rPr>
            </w:pPr>
          </w:p>
        </w:tc>
        <w:tc>
          <w:tcPr>
            <w:tcW w:w="612" w:type="pct"/>
            <w:vAlign w:val="center"/>
          </w:tcPr>
          <w:p w14:paraId="6603807B" w14:textId="77777777" w:rsidR="000C1DC4" w:rsidRPr="00CE2185" w:rsidRDefault="000C1DC4" w:rsidP="000C1DC4">
            <w:pPr>
              <w:spacing w:after="0"/>
              <w:jc w:val="right"/>
              <w:rPr>
                <w:rFonts w:eastAsia="Times New Roman"/>
                <w:noProof/>
                <w:color w:val="000000"/>
                <w:sz w:val="18"/>
                <w:szCs w:val="18"/>
                <w:lang w:val="fr-BE" w:eastAsia="en-IE"/>
              </w:rPr>
            </w:pPr>
          </w:p>
        </w:tc>
        <w:tc>
          <w:tcPr>
            <w:tcW w:w="459" w:type="pct"/>
            <w:vAlign w:val="center"/>
          </w:tcPr>
          <w:p w14:paraId="2F64E8BE" w14:textId="77777777" w:rsidR="000C1DC4" w:rsidRPr="00CE2185" w:rsidRDefault="000C1DC4" w:rsidP="000C1DC4">
            <w:pPr>
              <w:spacing w:after="0"/>
              <w:jc w:val="right"/>
              <w:rPr>
                <w:rFonts w:eastAsia="Times New Roman"/>
                <w:noProof/>
                <w:color w:val="000000"/>
                <w:sz w:val="18"/>
                <w:szCs w:val="18"/>
                <w:lang w:val="fr-BE" w:eastAsia="en-IE"/>
              </w:rPr>
            </w:pPr>
          </w:p>
        </w:tc>
        <w:tc>
          <w:tcPr>
            <w:tcW w:w="532" w:type="pct"/>
            <w:vAlign w:val="center"/>
          </w:tcPr>
          <w:p w14:paraId="4D4196BE" w14:textId="77777777" w:rsidR="000C1DC4" w:rsidRPr="00CE2185" w:rsidRDefault="000C1DC4" w:rsidP="000C1DC4">
            <w:pPr>
              <w:spacing w:after="0"/>
              <w:jc w:val="right"/>
              <w:rPr>
                <w:rFonts w:eastAsia="Times New Roman"/>
                <w:noProof/>
                <w:color w:val="000000"/>
                <w:sz w:val="18"/>
                <w:szCs w:val="18"/>
                <w:lang w:val="fr-BE" w:eastAsia="en-IE"/>
              </w:rPr>
            </w:pPr>
          </w:p>
        </w:tc>
        <w:tc>
          <w:tcPr>
            <w:tcW w:w="458" w:type="pct"/>
            <w:vAlign w:val="center"/>
          </w:tcPr>
          <w:p w14:paraId="6840C911" w14:textId="77777777" w:rsidR="000C1DC4" w:rsidRPr="00CE2185" w:rsidRDefault="000C1DC4" w:rsidP="000C1DC4">
            <w:pPr>
              <w:spacing w:after="0"/>
              <w:jc w:val="right"/>
              <w:rPr>
                <w:rFonts w:eastAsia="Times New Roman"/>
                <w:noProof/>
                <w:color w:val="000000"/>
                <w:sz w:val="18"/>
                <w:szCs w:val="18"/>
                <w:lang w:val="fr-BE" w:eastAsia="en-IE"/>
              </w:rPr>
            </w:pPr>
          </w:p>
        </w:tc>
        <w:tc>
          <w:tcPr>
            <w:tcW w:w="744" w:type="pct"/>
            <w:vAlign w:val="center"/>
          </w:tcPr>
          <w:p w14:paraId="186E8D69" w14:textId="4567FBBA" w:rsidR="000C1DC4" w:rsidRPr="00CE2185" w:rsidRDefault="000C1DC4" w:rsidP="000C1DC4">
            <w:pPr>
              <w:spacing w:after="0"/>
              <w:jc w:val="right"/>
              <w:rPr>
                <w:rFonts w:eastAsia="Times New Roman"/>
                <w:bCs/>
                <w:noProof/>
                <w:color w:val="000000"/>
                <w:sz w:val="18"/>
                <w:szCs w:val="18"/>
                <w:lang w:val="fr-BE" w:eastAsia="en-IE"/>
              </w:rPr>
            </w:pPr>
            <w:r w:rsidRPr="00CE2185">
              <w:rPr>
                <w:rFonts w:eastAsia="Times New Roman"/>
                <w:bCs/>
                <w:noProof/>
                <w:color w:val="000000"/>
                <w:sz w:val="18"/>
                <w:szCs w:val="18"/>
                <w:lang w:val="en-IE" w:eastAsia="en-IE"/>
              </w:rPr>
              <w:t xml:space="preserve">3 500 000 </w:t>
            </w:r>
          </w:p>
        </w:tc>
      </w:tr>
    </w:tbl>
    <w:p w14:paraId="4B64A719" w14:textId="5AC1D8A5" w:rsidR="007B18B5" w:rsidRPr="00CE2185" w:rsidRDefault="00BC3044" w:rsidP="00795DF0">
      <w:pPr>
        <w:spacing w:after="120"/>
        <w:rPr>
          <w:rFonts w:eastAsia="Times New Roman"/>
          <w:noProof/>
          <w:color w:val="000000" w:themeColor="text1"/>
        </w:rPr>
      </w:pPr>
      <w:r w:rsidRPr="00CE2185">
        <w:rPr>
          <w:noProof/>
        </w:rPr>
        <w:t xml:space="preserve">As under option B1, </w:t>
      </w:r>
      <w:r w:rsidR="00A61A68" w:rsidRPr="00CE2185">
        <w:rPr>
          <w:b/>
          <w:noProof/>
        </w:rPr>
        <w:t xml:space="preserve">certification would remain voluntary under </w:t>
      </w:r>
      <w:r w:rsidR="00CC1F16" w:rsidRPr="00CE2185">
        <w:rPr>
          <w:b/>
          <w:bCs/>
          <w:noProof/>
        </w:rPr>
        <w:t>option B2</w:t>
      </w:r>
      <w:r w:rsidR="00A61A68" w:rsidRPr="00CE2185">
        <w:rPr>
          <w:noProof/>
        </w:rPr>
        <w:t xml:space="preserve">. If they engage in certification activities, </w:t>
      </w:r>
      <w:r w:rsidR="00A61A68" w:rsidRPr="00CE2185">
        <w:rPr>
          <w:b/>
          <w:noProof/>
        </w:rPr>
        <w:t>b</w:t>
      </w:r>
      <w:r w:rsidRPr="00CE2185">
        <w:rPr>
          <w:b/>
          <w:noProof/>
        </w:rPr>
        <w:t xml:space="preserve">usinesses </w:t>
      </w:r>
      <w:r w:rsidRPr="00CE2185">
        <w:rPr>
          <w:noProof/>
        </w:rPr>
        <w:t xml:space="preserve">would bear costs </w:t>
      </w:r>
      <w:r w:rsidR="00A61A68" w:rsidRPr="00CE2185">
        <w:rPr>
          <w:noProof/>
        </w:rPr>
        <w:t xml:space="preserve">under </w:t>
      </w:r>
      <w:r w:rsidR="00426DF6" w:rsidRPr="00CE2185">
        <w:rPr>
          <w:noProof/>
        </w:rPr>
        <w:t xml:space="preserve">existing schemes, </w:t>
      </w:r>
      <w:r w:rsidR="00A61A68" w:rsidRPr="00CE2185">
        <w:rPr>
          <w:noProof/>
        </w:rPr>
        <w:t>the new scheme related to cyber</w:t>
      </w:r>
      <w:r w:rsidR="000A362D" w:rsidRPr="00CE2185">
        <w:rPr>
          <w:noProof/>
        </w:rPr>
        <w:t xml:space="preserve"> </w:t>
      </w:r>
      <w:r w:rsidR="00A61A68" w:rsidRPr="00CE2185">
        <w:rPr>
          <w:noProof/>
        </w:rPr>
        <w:t>posture or other</w:t>
      </w:r>
      <w:r w:rsidRPr="00CE2185">
        <w:rPr>
          <w:noProof/>
        </w:rPr>
        <w:t xml:space="preserve"> schemes that could be</w:t>
      </w:r>
      <w:r w:rsidR="00A61A68" w:rsidRPr="00CE2185">
        <w:rPr>
          <w:noProof/>
        </w:rPr>
        <w:t xml:space="preserve"> adopted</w:t>
      </w:r>
      <w:r w:rsidRPr="00CE2185">
        <w:rPr>
          <w:b/>
          <w:noProof/>
        </w:rPr>
        <w:t xml:space="preserve"> </w:t>
      </w:r>
      <w:r w:rsidRPr="00CE2185">
        <w:rPr>
          <w:noProof/>
        </w:rPr>
        <w:t xml:space="preserve">depending on the scenarios </w:t>
      </w:r>
      <w:r w:rsidR="008A091B" w:rsidRPr="00CE2185">
        <w:rPr>
          <w:noProof/>
        </w:rPr>
        <w:t>(</w:t>
      </w:r>
      <w:r w:rsidRPr="00CE2185">
        <w:rPr>
          <w:noProof/>
        </w:rPr>
        <w:t>EU5G and EUCS</w:t>
      </w:r>
      <w:r w:rsidR="008A091B" w:rsidRPr="00CE2185">
        <w:rPr>
          <w:noProof/>
        </w:rPr>
        <w:t>) in the next five years</w:t>
      </w:r>
      <w:r w:rsidRPr="00CE2185">
        <w:rPr>
          <w:noProof/>
        </w:rPr>
        <w:t xml:space="preserve">. </w:t>
      </w:r>
      <w:r w:rsidR="00426DF6" w:rsidRPr="00CE2185">
        <w:rPr>
          <w:noProof/>
        </w:rPr>
        <w:t xml:space="preserve">The potential costs related to certification have been presented under option B1 and similarly cannot be aggregated. </w:t>
      </w:r>
      <w:r w:rsidR="00426DF6" w:rsidRPr="00CE2185">
        <w:rPr>
          <w:rFonts w:eastAsia="Times New Roman"/>
          <w:noProof/>
          <w:color w:val="000000" w:themeColor="text1"/>
        </w:rPr>
        <w:t>More specifically regarding a</w:t>
      </w:r>
      <w:r w:rsidR="00FD1BE7" w:rsidRPr="00CE2185">
        <w:rPr>
          <w:rFonts w:eastAsia="Times New Roman"/>
          <w:noProof/>
          <w:color w:val="000000" w:themeColor="text1"/>
        </w:rPr>
        <w:t xml:space="preserve"> </w:t>
      </w:r>
      <w:r w:rsidR="00FD1BE7" w:rsidRPr="00CE2185">
        <w:rPr>
          <w:rFonts w:eastAsia="Times New Roman"/>
          <w:b/>
          <w:noProof/>
          <w:color w:val="000000" w:themeColor="text1"/>
        </w:rPr>
        <w:t>voluntary</w:t>
      </w:r>
      <w:r w:rsidR="00426DF6" w:rsidRPr="00CE2185">
        <w:rPr>
          <w:rFonts w:eastAsia="Times New Roman"/>
          <w:b/>
          <w:noProof/>
          <w:color w:val="000000" w:themeColor="text1"/>
        </w:rPr>
        <w:t xml:space="preserve"> scheme on the cyber</w:t>
      </w:r>
      <w:r w:rsidR="000A362D" w:rsidRPr="00CE2185">
        <w:rPr>
          <w:rFonts w:eastAsia="Times New Roman"/>
          <w:b/>
          <w:noProof/>
          <w:color w:val="000000" w:themeColor="text1"/>
        </w:rPr>
        <w:t xml:space="preserve"> </w:t>
      </w:r>
      <w:r w:rsidR="00426DF6" w:rsidRPr="00CE2185">
        <w:rPr>
          <w:rFonts w:eastAsia="Times New Roman"/>
          <w:b/>
          <w:noProof/>
          <w:color w:val="000000" w:themeColor="text1"/>
        </w:rPr>
        <w:t>posture of entities</w:t>
      </w:r>
      <w:r w:rsidR="00426DF6" w:rsidRPr="00CE2185">
        <w:rPr>
          <w:rFonts w:eastAsia="Times New Roman"/>
          <w:noProof/>
          <w:color w:val="000000" w:themeColor="text1"/>
        </w:rPr>
        <w:t xml:space="preserve">, the following </w:t>
      </w:r>
      <w:r w:rsidR="00236ED9" w:rsidRPr="00CE2185">
        <w:rPr>
          <w:rFonts w:eastAsia="Times New Roman"/>
          <w:noProof/>
          <w:color w:val="000000" w:themeColor="text1"/>
        </w:rPr>
        <w:t xml:space="preserve">cost </w:t>
      </w:r>
      <w:r w:rsidR="00426DF6" w:rsidRPr="00CE2185">
        <w:rPr>
          <w:rFonts w:eastAsia="Times New Roman"/>
          <w:noProof/>
          <w:color w:val="000000" w:themeColor="text1"/>
        </w:rPr>
        <w:t>estimate</w:t>
      </w:r>
      <w:r w:rsidR="00021EDE" w:rsidRPr="00CE2185">
        <w:rPr>
          <w:rFonts w:eastAsia="Times New Roman"/>
          <w:noProof/>
          <w:color w:val="000000" w:themeColor="text1"/>
        </w:rPr>
        <w:t>s</w:t>
      </w:r>
      <w:r w:rsidR="00426DF6" w:rsidRPr="00CE2185">
        <w:rPr>
          <w:rFonts w:eastAsia="Times New Roman"/>
          <w:noProof/>
          <w:color w:val="000000" w:themeColor="text1"/>
        </w:rPr>
        <w:t xml:space="preserve"> </w:t>
      </w:r>
      <w:r w:rsidR="00AF4BBE" w:rsidRPr="00CE2185">
        <w:rPr>
          <w:rFonts w:eastAsia="Times New Roman"/>
          <w:noProof/>
          <w:color w:val="000000" w:themeColor="text1"/>
        </w:rPr>
        <w:t xml:space="preserve">for businesses </w:t>
      </w:r>
      <w:r w:rsidR="00426DF6" w:rsidRPr="00CE2185">
        <w:rPr>
          <w:rFonts w:eastAsia="Times New Roman"/>
          <w:noProof/>
          <w:color w:val="000000" w:themeColor="text1"/>
        </w:rPr>
        <w:t>can be provided</w:t>
      </w:r>
      <w:r w:rsidR="00BB7C10" w:rsidRPr="00CE2185">
        <w:rPr>
          <w:rFonts w:eastAsia="Times New Roman"/>
          <w:noProof/>
          <w:color w:val="000000" w:themeColor="text1"/>
        </w:rPr>
        <w:t xml:space="preserve">: </w:t>
      </w:r>
    </w:p>
    <w:p w14:paraId="020C9E9C" w14:textId="1B99527E" w:rsidR="004A5AE2" w:rsidRPr="00CE2185" w:rsidRDefault="00591961" w:rsidP="00EE3DF9">
      <w:pPr>
        <w:pStyle w:val="ListParagraph"/>
        <w:numPr>
          <w:ilvl w:val="0"/>
          <w:numId w:val="21"/>
        </w:numPr>
        <w:spacing w:after="120"/>
        <w:ind w:left="360"/>
        <w:contextualSpacing w:val="0"/>
        <w:rPr>
          <w:rFonts w:eastAsia="Times New Roman"/>
          <w:noProof/>
          <w:color w:val="000000" w:themeColor="text1"/>
        </w:rPr>
      </w:pPr>
      <w:r w:rsidRPr="00CE2185">
        <w:rPr>
          <w:rFonts w:eastAsia="Times New Roman"/>
          <w:b/>
          <w:noProof/>
          <w:color w:val="000000" w:themeColor="text1"/>
        </w:rPr>
        <w:t>Adjustments costs</w:t>
      </w:r>
      <w:r w:rsidRPr="00CE2185">
        <w:rPr>
          <w:rFonts w:eastAsia="Times New Roman"/>
          <w:noProof/>
          <w:color w:val="000000" w:themeColor="text1"/>
        </w:rPr>
        <w:t xml:space="preserve">: </w:t>
      </w:r>
      <w:r w:rsidR="00276976" w:rsidRPr="00CE2185">
        <w:rPr>
          <w:rFonts w:eastAsia="Times New Roman"/>
          <w:noProof/>
          <w:color w:val="000000" w:themeColor="text1"/>
        </w:rPr>
        <w:t xml:space="preserve">costs to meet </w:t>
      </w:r>
      <w:r w:rsidR="00566253" w:rsidRPr="00CE2185">
        <w:rPr>
          <w:rFonts w:eastAsia="Times New Roman"/>
          <w:noProof/>
          <w:color w:val="000000" w:themeColor="text1"/>
        </w:rPr>
        <w:t>cybersecurity</w:t>
      </w:r>
      <w:r w:rsidR="00276976" w:rsidRPr="00CE2185">
        <w:rPr>
          <w:rFonts w:eastAsia="Times New Roman"/>
          <w:noProof/>
          <w:color w:val="000000" w:themeColor="text1"/>
        </w:rPr>
        <w:t xml:space="preserve"> requirements </w:t>
      </w:r>
      <w:r w:rsidR="00BB17BA" w:rsidRPr="00CE2185">
        <w:rPr>
          <w:rFonts w:eastAsia="Times New Roman"/>
          <w:noProof/>
          <w:color w:val="000000" w:themeColor="text1"/>
        </w:rPr>
        <w:t>typically exist for a certification process</w:t>
      </w:r>
      <w:r w:rsidR="00566253" w:rsidRPr="00CE2185">
        <w:rPr>
          <w:rFonts w:eastAsia="Times New Roman"/>
          <w:noProof/>
          <w:color w:val="000000" w:themeColor="text1"/>
        </w:rPr>
        <w:t xml:space="preserve"> as explained under B1</w:t>
      </w:r>
      <w:r w:rsidR="00070607" w:rsidRPr="00CE2185">
        <w:rPr>
          <w:rFonts w:eastAsia="Times New Roman"/>
          <w:noProof/>
          <w:color w:val="000000" w:themeColor="text1"/>
        </w:rPr>
        <w:t xml:space="preserve"> and will greatly depend on the </w:t>
      </w:r>
      <w:r w:rsidR="00902CA4" w:rsidRPr="00CE2185">
        <w:rPr>
          <w:rFonts w:eastAsia="Times New Roman"/>
          <w:noProof/>
          <w:color w:val="000000" w:themeColor="text1"/>
        </w:rPr>
        <w:t>size and the</w:t>
      </w:r>
      <w:r w:rsidR="00070607" w:rsidRPr="00CE2185">
        <w:rPr>
          <w:rFonts w:eastAsia="Times New Roman"/>
          <w:noProof/>
          <w:color w:val="000000" w:themeColor="text1"/>
        </w:rPr>
        <w:t xml:space="preserve"> maturity of the business</w:t>
      </w:r>
      <w:r w:rsidR="00566253" w:rsidRPr="00CE2185">
        <w:rPr>
          <w:rFonts w:eastAsia="Times New Roman"/>
          <w:noProof/>
          <w:color w:val="000000" w:themeColor="text1"/>
        </w:rPr>
        <w:t>.</w:t>
      </w:r>
      <w:r w:rsidR="00864C61" w:rsidRPr="00CE2185">
        <w:rPr>
          <w:rFonts w:eastAsia="Times New Roman"/>
          <w:noProof/>
          <w:color w:val="000000" w:themeColor="text1"/>
        </w:rPr>
        <w:t xml:space="preserve"> </w:t>
      </w:r>
      <w:r w:rsidR="005E435D" w:rsidRPr="00CE2185">
        <w:rPr>
          <w:rFonts w:eastAsia="Times New Roman"/>
          <w:noProof/>
          <w:color w:val="000000" w:themeColor="text1"/>
        </w:rPr>
        <w:t xml:space="preserve">They can be high for a business that has no or low cybersecurity </w:t>
      </w:r>
      <w:r w:rsidR="00276976" w:rsidRPr="00CE2185">
        <w:rPr>
          <w:rFonts w:eastAsia="Times New Roman"/>
          <w:noProof/>
          <w:color w:val="000000" w:themeColor="text1"/>
        </w:rPr>
        <w:t xml:space="preserve">risk management measures </w:t>
      </w:r>
      <w:r w:rsidR="005E435D" w:rsidRPr="00CE2185">
        <w:rPr>
          <w:rFonts w:eastAsia="Times New Roman"/>
          <w:noProof/>
          <w:color w:val="000000" w:themeColor="text1"/>
        </w:rPr>
        <w:t>in place.</w:t>
      </w:r>
      <w:r w:rsidR="00864C61" w:rsidRPr="00CE2185">
        <w:rPr>
          <w:rFonts w:eastAsia="Times New Roman"/>
          <w:noProof/>
          <w:color w:val="000000" w:themeColor="text1"/>
        </w:rPr>
        <w:t xml:space="preserve"> </w:t>
      </w:r>
      <w:r w:rsidR="00D015FF" w:rsidRPr="00CE2185">
        <w:rPr>
          <w:rFonts w:eastAsia="Times New Roman"/>
          <w:noProof/>
          <w:color w:val="000000" w:themeColor="text1"/>
        </w:rPr>
        <w:t>B</w:t>
      </w:r>
      <w:r w:rsidR="00864C61" w:rsidRPr="00CE2185">
        <w:rPr>
          <w:rFonts w:eastAsia="Times New Roman"/>
          <w:noProof/>
          <w:color w:val="000000" w:themeColor="text1"/>
        </w:rPr>
        <w:t>usiness</w:t>
      </w:r>
      <w:r w:rsidR="00A013B0" w:rsidRPr="00CE2185">
        <w:rPr>
          <w:rFonts w:eastAsia="Times New Roman"/>
          <w:noProof/>
          <w:color w:val="000000" w:themeColor="text1"/>
        </w:rPr>
        <w:t>es</w:t>
      </w:r>
      <w:r w:rsidR="00864C61" w:rsidRPr="00CE2185">
        <w:rPr>
          <w:rFonts w:eastAsia="Times New Roman"/>
          <w:noProof/>
          <w:color w:val="000000" w:themeColor="text1"/>
        </w:rPr>
        <w:t xml:space="preserve"> </w:t>
      </w:r>
      <w:r w:rsidR="00D015FF" w:rsidRPr="00CE2185">
        <w:rPr>
          <w:rFonts w:eastAsia="Times New Roman"/>
          <w:noProof/>
          <w:color w:val="000000" w:themeColor="text1"/>
        </w:rPr>
        <w:t xml:space="preserve">who </w:t>
      </w:r>
      <w:r w:rsidR="00070607" w:rsidRPr="00CE2185">
        <w:rPr>
          <w:rFonts w:eastAsia="Times New Roman"/>
          <w:noProof/>
          <w:color w:val="000000" w:themeColor="text1"/>
        </w:rPr>
        <w:t>are</w:t>
      </w:r>
      <w:r w:rsidR="00D015FF" w:rsidRPr="00CE2185">
        <w:rPr>
          <w:rFonts w:eastAsia="Times New Roman"/>
          <w:noProof/>
          <w:color w:val="000000" w:themeColor="text1"/>
        </w:rPr>
        <w:t xml:space="preserve"> in the scope of NIS2, </w:t>
      </w:r>
      <w:r w:rsidR="00864C61" w:rsidRPr="00CE2185">
        <w:rPr>
          <w:rFonts w:eastAsia="Times New Roman"/>
          <w:noProof/>
          <w:color w:val="000000" w:themeColor="text1"/>
        </w:rPr>
        <w:t xml:space="preserve">would already have </w:t>
      </w:r>
      <w:r w:rsidR="00566253" w:rsidRPr="00CE2185">
        <w:rPr>
          <w:rFonts w:eastAsia="Times New Roman"/>
          <w:noProof/>
          <w:color w:val="000000" w:themeColor="text1"/>
        </w:rPr>
        <w:t>advanced</w:t>
      </w:r>
      <w:r w:rsidR="00864C61" w:rsidRPr="00CE2185">
        <w:rPr>
          <w:rFonts w:eastAsia="Times New Roman"/>
          <w:noProof/>
          <w:color w:val="000000" w:themeColor="text1"/>
        </w:rPr>
        <w:t xml:space="preserve"> requirements in place</w:t>
      </w:r>
      <w:r w:rsidR="00256977" w:rsidRPr="00256977">
        <w:rPr>
          <w:rFonts w:eastAsia="Times New Roman"/>
          <w:noProof/>
          <w:color w:val="000000" w:themeColor="text1"/>
        </w:rPr>
        <w:t>, hence marginal</w:t>
      </w:r>
      <w:r w:rsidR="00864C61" w:rsidRPr="00CE2185">
        <w:rPr>
          <w:rFonts w:eastAsia="Times New Roman"/>
          <w:noProof/>
          <w:color w:val="000000" w:themeColor="text1"/>
        </w:rPr>
        <w:t>.</w:t>
      </w:r>
    </w:p>
    <w:p w14:paraId="79F81AD6" w14:textId="2677B0F0" w:rsidR="00351558" w:rsidRPr="00CE2185" w:rsidRDefault="004A5AE2" w:rsidP="00EE3DF9">
      <w:pPr>
        <w:pStyle w:val="ListParagraph"/>
        <w:numPr>
          <w:ilvl w:val="0"/>
          <w:numId w:val="21"/>
        </w:numPr>
        <w:spacing w:before="120" w:after="120"/>
        <w:ind w:left="357" w:hanging="357"/>
        <w:contextualSpacing w:val="0"/>
        <w:rPr>
          <w:rFonts w:eastAsia="Times New Roman"/>
          <w:noProof/>
          <w:color w:val="000000" w:themeColor="text1"/>
        </w:rPr>
      </w:pPr>
      <w:r w:rsidRPr="00CE2185">
        <w:rPr>
          <w:rFonts w:eastAsia="Times New Roman"/>
          <w:b/>
          <w:noProof/>
          <w:color w:val="000000" w:themeColor="text1"/>
        </w:rPr>
        <w:t>Administrative costs</w:t>
      </w:r>
      <w:r w:rsidRPr="00CE2185">
        <w:rPr>
          <w:rFonts w:eastAsia="Times New Roman"/>
          <w:noProof/>
          <w:color w:val="000000" w:themeColor="text1"/>
        </w:rPr>
        <w:t xml:space="preserve"> related to certification costs for </w:t>
      </w:r>
      <w:r w:rsidR="00AD6ACC" w:rsidRPr="00CE2185">
        <w:rPr>
          <w:rFonts w:eastAsia="Times New Roman"/>
          <w:noProof/>
          <w:color w:val="000000" w:themeColor="text1"/>
        </w:rPr>
        <w:t xml:space="preserve">organisational security </w:t>
      </w:r>
      <w:r w:rsidR="005E435D" w:rsidRPr="00CE2185">
        <w:rPr>
          <w:rFonts w:eastAsia="Times New Roman"/>
          <w:noProof/>
          <w:color w:val="000000" w:themeColor="text1"/>
        </w:rPr>
        <w:t xml:space="preserve">(comparable to ISO 27001) </w:t>
      </w:r>
      <w:r w:rsidR="00AD6ACC" w:rsidRPr="00CE2185">
        <w:rPr>
          <w:rFonts w:eastAsia="Times New Roman"/>
          <w:noProof/>
          <w:color w:val="000000" w:themeColor="text1"/>
        </w:rPr>
        <w:t xml:space="preserve">would </w:t>
      </w:r>
      <w:r w:rsidRPr="00CE2185">
        <w:rPr>
          <w:rFonts w:eastAsia="Times New Roman"/>
          <w:noProof/>
          <w:color w:val="000000" w:themeColor="text1"/>
        </w:rPr>
        <w:t xml:space="preserve">range </w:t>
      </w:r>
      <w:r w:rsidR="00AD6ACC" w:rsidRPr="00CE2185">
        <w:rPr>
          <w:rFonts w:eastAsia="Times New Roman"/>
          <w:noProof/>
          <w:color w:val="000000" w:themeColor="text1"/>
        </w:rPr>
        <w:t>in</w:t>
      </w:r>
      <w:r w:rsidRPr="00CE2185">
        <w:rPr>
          <w:rFonts w:eastAsia="Times New Roman"/>
          <w:noProof/>
          <w:color w:val="000000" w:themeColor="text1"/>
        </w:rPr>
        <w:t xml:space="preserve"> average </w:t>
      </w:r>
      <w:r w:rsidR="005E435D" w:rsidRPr="00CE2185">
        <w:rPr>
          <w:rFonts w:eastAsia="Times New Roman"/>
          <w:noProof/>
          <w:color w:val="000000" w:themeColor="text1"/>
        </w:rPr>
        <w:t xml:space="preserve">at </w:t>
      </w:r>
      <w:r w:rsidR="005E435D" w:rsidRPr="00CE2185">
        <w:rPr>
          <w:rFonts w:eastAsia="Times New Roman"/>
          <w:b/>
          <w:bCs/>
          <w:noProof/>
          <w:color w:val="000000" w:themeColor="text1"/>
        </w:rPr>
        <w:t>30 000 EUR</w:t>
      </w:r>
      <w:r w:rsidRPr="00CE2185">
        <w:rPr>
          <w:rFonts w:eastAsia="Times New Roman"/>
          <w:noProof/>
          <w:color w:val="000000" w:themeColor="text1"/>
        </w:rPr>
        <w:t xml:space="preserve"> one-off </w:t>
      </w:r>
      <w:r w:rsidR="005E435D" w:rsidRPr="00CE2185">
        <w:rPr>
          <w:rFonts w:eastAsia="Times New Roman"/>
          <w:noProof/>
          <w:color w:val="000000" w:themeColor="text1"/>
        </w:rPr>
        <w:t xml:space="preserve">and recurrent administrative </w:t>
      </w:r>
      <w:r w:rsidRPr="00CE2185">
        <w:rPr>
          <w:rFonts w:eastAsia="Times New Roman"/>
          <w:noProof/>
          <w:color w:val="000000" w:themeColor="text1"/>
        </w:rPr>
        <w:t>costs incurred only by businesses that choose to certify</w:t>
      </w:r>
      <w:r w:rsidR="00902CA4" w:rsidRPr="00CE2185">
        <w:rPr>
          <w:rFonts w:eastAsia="Times New Roman"/>
          <w:noProof/>
          <w:color w:val="000000" w:themeColor="text1"/>
        </w:rPr>
        <w:t xml:space="preserve"> (see </w:t>
      </w:r>
      <w:r w:rsidR="00902CA4" w:rsidRPr="00CE2185">
        <w:rPr>
          <w:rFonts w:eastAsia="Times New Roman"/>
          <w:i/>
          <w:iCs/>
          <w:noProof/>
          <w:color w:val="000000" w:themeColor="text1"/>
        </w:rPr>
        <w:t>Annex 4</w:t>
      </w:r>
      <w:r w:rsidR="001D4BD8" w:rsidRPr="00CE2185">
        <w:rPr>
          <w:rFonts w:eastAsia="Times New Roman"/>
          <w:i/>
          <w:iCs/>
          <w:noProof/>
          <w:color w:val="000000" w:themeColor="text1"/>
        </w:rPr>
        <w:t>, section 4.2</w:t>
      </w:r>
      <w:r w:rsidR="00902CA4" w:rsidRPr="00CE2185">
        <w:rPr>
          <w:rFonts w:eastAsia="Times New Roman"/>
          <w:noProof/>
          <w:color w:val="000000" w:themeColor="text1"/>
        </w:rPr>
        <w:t>)</w:t>
      </w:r>
      <w:r w:rsidR="00D7680F" w:rsidRPr="00CE2185">
        <w:rPr>
          <w:rFonts w:eastAsia="Times New Roman"/>
          <w:noProof/>
          <w:color w:val="000000" w:themeColor="text1"/>
        </w:rPr>
        <w:t>, while this can vary greatly.</w:t>
      </w:r>
      <w:r w:rsidRPr="00CE2185">
        <w:rPr>
          <w:rFonts w:eastAsia="Times New Roman"/>
          <w:noProof/>
          <w:color w:val="000000" w:themeColor="text1"/>
        </w:rPr>
        <w:t> </w:t>
      </w:r>
      <w:r w:rsidR="00D318EC" w:rsidRPr="00CE2185">
        <w:rPr>
          <w:rFonts w:eastAsia="Times New Roman"/>
          <w:noProof/>
          <w:color w:val="000000" w:themeColor="text1"/>
        </w:rPr>
        <w:t>For NIS2 entities the recurrent costs would be similar to audits for the supervision</w:t>
      </w:r>
      <w:r w:rsidR="00DD1B3E" w:rsidRPr="00CE2185">
        <w:rPr>
          <w:rFonts w:eastAsia="Times New Roman"/>
          <w:noProof/>
          <w:color w:val="000000" w:themeColor="text1"/>
        </w:rPr>
        <w:t xml:space="preserve"> (see option C2)</w:t>
      </w:r>
      <w:r w:rsidR="00D318EC" w:rsidRPr="00CE2185">
        <w:rPr>
          <w:rFonts w:eastAsia="Times New Roman"/>
          <w:noProof/>
          <w:color w:val="000000" w:themeColor="text1"/>
        </w:rPr>
        <w:t xml:space="preserve">. It can be however assumed that additional one-off administrative costs would exist. </w:t>
      </w:r>
    </w:p>
    <w:p w14:paraId="6DF0BA39" w14:textId="100860A2" w:rsidR="00587EDC" w:rsidRPr="00CE2185" w:rsidRDefault="002C3B68" w:rsidP="00EE3DF9">
      <w:pPr>
        <w:pStyle w:val="ListParagraph"/>
        <w:numPr>
          <w:ilvl w:val="0"/>
          <w:numId w:val="21"/>
        </w:numPr>
        <w:spacing w:before="120" w:after="120"/>
        <w:ind w:left="357" w:hanging="357"/>
        <w:contextualSpacing w:val="0"/>
        <w:rPr>
          <w:rFonts w:eastAsia="Times New Roman"/>
          <w:b/>
          <w:bCs/>
          <w:noProof/>
          <w:color w:val="000000" w:themeColor="text1"/>
        </w:rPr>
      </w:pPr>
      <w:r>
        <w:rPr>
          <w:rFonts w:eastAsia="Times New Roman"/>
          <w:b/>
          <w:bCs/>
          <w:noProof/>
          <w:color w:val="000000" w:themeColor="text1"/>
        </w:rPr>
        <w:t>Fees</w:t>
      </w:r>
      <w:r w:rsidR="00EE17B6" w:rsidRPr="00CE2185">
        <w:rPr>
          <w:rFonts w:eastAsia="Times New Roman"/>
          <w:noProof/>
          <w:color w:val="000000" w:themeColor="text1"/>
        </w:rPr>
        <w:t xml:space="preserve"> related to the maintenance of schemes would occur for conformity assessment bodies</w:t>
      </w:r>
      <w:r w:rsidR="00914466">
        <w:rPr>
          <w:rFonts w:eastAsia="Times New Roman"/>
          <w:noProof/>
          <w:color w:val="000000" w:themeColor="text1"/>
        </w:rPr>
        <w:t xml:space="preserve"> a</w:t>
      </w:r>
      <w:r w:rsidR="00EE17B6" w:rsidRPr="00CE2185">
        <w:rPr>
          <w:rFonts w:eastAsia="Times New Roman"/>
          <w:noProof/>
          <w:color w:val="000000" w:themeColor="text1"/>
        </w:rPr>
        <w:t>s illustrated in the table 7</w:t>
      </w:r>
      <w:r w:rsidR="00C12834" w:rsidRPr="00CE2185">
        <w:rPr>
          <w:rFonts w:eastAsia="Times New Roman"/>
          <w:noProof/>
          <w:color w:val="000000" w:themeColor="text1"/>
        </w:rPr>
        <w:t xml:space="preserve">. </w:t>
      </w:r>
      <w:r w:rsidR="008C7CE9" w:rsidRPr="00CE2185">
        <w:rPr>
          <w:rFonts w:eastAsia="Times New Roman"/>
          <w:noProof/>
          <w:color w:val="000000" w:themeColor="text1"/>
        </w:rPr>
        <w:t xml:space="preserve"> </w:t>
      </w:r>
    </w:p>
    <w:p w14:paraId="477CF4C8" w14:textId="4F6F3EBA" w:rsidR="0013705D" w:rsidRPr="00CE2185" w:rsidRDefault="00C44CCE" w:rsidP="00EE3DF9">
      <w:pPr>
        <w:pStyle w:val="ListParagraph"/>
        <w:numPr>
          <w:ilvl w:val="0"/>
          <w:numId w:val="21"/>
        </w:numPr>
        <w:spacing w:after="120"/>
        <w:ind w:left="360"/>
        <w:rPr>
          <w:rFonts w:eastAsia="Times New Roman"/>
          <w:noProof/>
          <w:color w:val="000000" w:themeColor="text1"/>
        </w:rPr>
      </w:pPr>
      <w:r w:rsidRPr="00CE2185">
        <w:rPr>
          <w:rFonts w:eastAsia="Times New Roman"/>
          <w:noProof/>
          <w:color w:val="000000" w:themeColor="text1"/>
        </w:rPr>
        <w:t xml:space="preserve">Regarding </w:t>
      </w:r>
      <w:r w:rsidRPr="00CE2185">
        <w:rPr>
          <w:rFonts w:eastAsia="Times New Roman"/>
          <w:b/>
          <w:bCs/>
          <w:noProof/>
          <w:color w:val="000000" w:themeColor="text1"/>
        </w:rPr>
        <w:t>public authorities</w:t>
      </w:r>
      <w:r w:rsidRPr="00CE2185">
        <w:rPr>
          <w:rFonts w:eastAsia="Times New Roman"/>
          <w:noProof/>
          <w:color w:val="000000" w:themeColor="text1"/>
        </w:rPr>
        <w:t xml:space="preserve">, </w:t>
      </w:r>
      <w:r w:rsidR="00E840B6" w:rsidRPr="00CE2185">
        <w:rPr>
          <w:rFonts w:eastAsia="Times New Roman"/>
          <w:noProof/>
          <w:color w:val="000000" w:themeColor="text1"/>
        </w:rPr>
        <w:t xml:space="preserve">even more </w:t>
      </w:r>
      <w:r w:rsidR="00F11F1F" w:rsidRPr="00CE2185">
        <w:rPr>
          <w:rFonts w:eastAsia="Times New Roman"/>
          <w:noProof/>
          <w:color w:val="000000" w:themeColor="text1"/>
        </w:rPr>
        <w:t xml:space="preserve">under the scenario </w:t>
      </w:r>
      <w:r w:rsidR="006036E3" w:rsidRPr="00CE2185">
        <w:rPr>
          <w:rFonts w:eastAsia="Times New Roman"/>
          <w:noProof/>
          <w:color w:val="000000" w:themeColor="text1"/>
        </w:rPr>
        <w:t xml:space="preserve">where </w:t>
      </w:r>
      <w:r w:rsidR="00D5137A" w:rsidRPr="00CE2185">
        <w:rPr>
          <w:rFonts w:eastAsia="Times New Roman"/>
          <w:noProof/>
          <w:color w:val="000000" w:themeColor="text1"/>
        </w:rPr>
        <w:t xml:space="preserve">the scheme would provide </w:t>
      </w:r>
      <w:r w:rsidR="00914466">
        <w:rPr>
          <w:rFonts w:eastAsia="Times New Roman"/>
          <w:noProof/>
          <w:color w:val="000000" w:themeColor="text1"/>
        </w:rPr>
        <w:t>demonstration</w:t>
      </w:r>
      <w:r w:rsidR="00D5137A" w:rsidRPr="00CE2185">
        <w:rPr>
          <w:rFonts w:eastAsia="Times New Roman"/>
          <w:noProof/>
          <w:color w:val="000000" w:themeColor="text1"/>
        </w:rPr>
        <w:t xml:space="preserve"> of conformity with NIS2 (</w:t>
      </w:r>
      <w:r w:rsidR="00D5137A" w:rsidRPr="00CE2185">
        <w:rPr>
          <w:rFonts w:eastAsia="Times New Roman"/>
          <w:b/>
          <w:bCs/>
          <w:noProof/>
          <w:color w:val="000000" w:themeColor="text1"/>
        </w:rPr>
        <w:t xml:space="preserve">B2 + </w:t>
      </w:r>
      <w:r w:rsidR="00A013B0" w:rsidRPr="00CE2185">
        <w:rPr>
          <w:rFonts w:eastAsia="Times New Roman"/>
          <w:b/>
          <w:bCs/>
          <w:noProof/>
          <w:color w:val="000000" w:themeColor="text1"/>
        </w:rPr>
        <w:t>C</w:t>
      </w:r>
      <w:r w:rsidR="00D5137A" w:rsidRPr="00CE2185">
        <w:rPr>
          <w:rFonts w:eastAsia="Times New Roman"/>
          <w:b/>
          <w:bCs/>
          <w:noProof/>
          <w:color w:val="000000" w:themeColor="text1"/>
        </w:rPr>
        <w:t>2/</w:t>
      </w:r>
      <w:r w:rsidR="00A013B0" w:rsidRPr="00CE2185">
        <w:rPr>
          <w:rFonts w:eastAsia="Times New Roman"/>
          <w:b/>
          <w:bCs/>
          <w:noProof/>
          <w:color w:val="000000" w:themeColor="text1"/>
        </w:rPr>
        <w:t>C</w:t>
      </w:r>
      <w:r w:rsidR="00D5137A" w:rsidRPr="00CE2185">
        <w:rPr>
          <w:rFonts w:eastAsia="Times New Roman"/>
          <w:b/>
          <w:bCs/>
          <w:noProof/>
          <w:color w:val="000000" w:themeColor="text1"/>
        </w:rPr>
        <w:t>3</w:t>
      </w:r>
      <w:r w:rsidR="00D5137A" w:rsidRPr="00CE2185">
        <w:rPr>
          <w:rFonts w:eastAsia="Times New Roman"/>
          <w:noProof/>
          <w:color w:val="000000" w:themeColor="text1"/>
        </w:rPr>
        <w:t xml:space="preserve">), </w:t>
      </w:r>
      <w:r w:rsidR="00E840B6" w:rsidRPr="00CE2185">
        <w:rPr>
          <w:rFonts w:eastAsia="Times New Roman"/>
          <w:noProof/>
          <w:color w:val="000000" w:themeColor="text1"/>
        </w:rPr>
        <w:t>it can be assume</w:t>
      </w:r>
      <w:r w:rsidR="00606585" w:rsidRPr="00CE2185">
        <w:rPr>
          <w:rFonts w:eastAsia="Times New Roman"/>
          <w:noProof/>
          <w:color w:val="000000" w:themeColor="text1"/>
        </w:rPr>
        <w:t>d</w:t>
      </w:r>
      <w:r w:rsidR="00E840B6" w:rsidRPr="00CE2185">
        <w:rPr>
          <w:rFonts w:eastAsia="Times New Roman"/>
          <w:noProof/>
          <w:color w:val="000000" w:themeColor="text1"/>
        </w:rPr>
        <w:t xml:space="preserve"> that </w:t>
      </w:r>
      <w:r w:rsidR="00D5137A" w:rsidRPr="00CE2185">
        <w:rPr>
          <w:rFonts w:eastAsia="Times New Roman"/>
          <w:noProof/>
          <w:color w:val="000000" w:themeColor="text1"/>
        </w:rPr>
        <w:t>the additional costs on public authorities</w:t>
      </w:r>
      <w:r w:rsidR="00D5137A" w:rsidRPr="00CE2185">
        <w:rPr>
          <w:rFonts w:eastAsia="Times New Roman"/>
          <w:b/>
          <w:bCs/>
          <w:noProof/>
          <w:color w:val="000000" w:themeColor="text1"/>
        </w:rPr>
        <w:t xml:space="preserve"> </w:t>
      </w:r>
      <w:r w:rsidR="00D5137A" w:rsidRPr="00CE2185">
        <w:rPr>
          <w:rFonts w:eastAsia="Times New Roman"/>
          <w:noProof/>
          <w:color w:val="000000" w:themeColor="text1"/>
        </w:rPr>
        <w:t>would be partly offset</w:t>
      </w:r>
      <w:r w:rsidR="00BA5740" w:rsidRPr="00CE2185">
        <w:rPr>
          <w:rFonts w:eastAsia="Times New Roman"/>
          <w:noProof/>
          <w:color w:val="000000" w:themeColor="text1"/>
        </w:rPr>
        <w:t xml:space="preserve"> by the availabil</w:t>
      </w:r>
      <w:r w:rsidR="00761753" w:rsidRPr="00CE2185">
        <w:rPr>
          <w:rFonts w:eastAsia="Times New Roman"/>
          <w:noProof/>
          <w:color w:val="000000" w:themeColor="text1"/>
        </w:rPr>
        <w:t>i</w:t>
      </w:r>
      <w:r w:rsidR="00BA5740" w:rsidRPr="00CE2185">
        <w:rPr>
          <w:rFonts w:eastAsia="Times New Roman"/>
          <w:noProof/>
          <w:color w:val="000000" w:themeColor="text1"/>
        </w:rPr>
        <w:t xml:space="preserve">ty of supervisory resources for NIS2 in the </w:t>
      </w:r>
      <w:r w:rsidR="004567DF" w:rsidRPr="00CE2185">
        <w:rPr>
          <w:rFonts w:eastAsia="Times New Roman"/>
          <w:noProof/>
          <w:color w:val="000000" w:themeColor="text1"/>
        </w:rPr>
        <w:t>BaU</w:t>
      </w:r>
      <w:r w:rsidR="00BA5740" w:rsidRPr="00CE2185">
        <w:rPr>
          <w:rFonts w:eastAsia="Times New Roman"/>
          <w:noProof/>
          <w:color w:val="000000" w:themeColor="text1"/>
        </w:rPr>
        <w:t xml:space="preserve"> scenario</w:t>
      </w:r>
      <w:r w:rsidR="0048334F" w:rsidRPr="00CE2185">
        <w:rPr>
          <w:rFonts w:eastAsia="Times New Roman"/>
          <w:noProof/>
          <w:color w:val="000000" w:themeColor="text1"/>
        </w:rPr>
        <w:t xml:space="preserve">. At the same time, </w:t>
      </w:r>
      <w:r w:rsidR="00D318EC" w:rsidRPr="00CE2185">
        <w:rPr>
          <w:rFonts w:eastAsia="Times New Roman"/>
          <w:noProof/>
          <w:color w:val="000000" w:themeColor="text1"/>
        </w:rPr>
        <w:t>Member States might also want to make the scheme available for other entities not falling in NIS2 scope (certain SMEs)</w:t>
      </w:r>
      <w:r w:rsidR="00BA5740" w:rsidRPr="00CE2185">
        <w:rPr>
          <w:rFonts w:eastAsia="Times New Roman"/>
          <w:noProof/>
          <w:color w:val="000000" w:themeColor="text1"/>
        </w:rPr>
        <w:t>.</w:t>
      </w:r>
      <w:r w:rsidR="00606585" w:rsidRPr="00CE2185">
        <w:rPr>
          <w:rFonts w:eastAsia="Times New Roman"/>
          <w:noProof/>
          <w:color w:val="000000" w:themeColor="text1"/>
        </w:rPr>
        <w:t xml:space="preserve"> Resources would be required to </w:t>
      </w:r>
      <w:r w:rsidR="007C5A0D" w:rsidRPr="00CE2185">
        <w:rPr>
          <w:rFonts w:eastAsia="Times New Roman"/>
          <w:noProof/>
          <w:color w:val="000000" w:themeColor="text1"/>
        </w:rPr>
        <w:t>monitor the competence of conformity assessment bodies</w:t>
      </w:r>
      <w:r w:rsidR="00D318EC" w:rsidRPr="00CE2185">
        <w:rPr>
          <w:rFonts w:eastAsia="Times New Roman"/>
          <w:noProof/>
          <w:color w:val="000000" w:themeColor="text1"/>
        </w:rPr>
        <w:t xml:space="preserve"> and supervise additional businesses (not in NIS2)</w:t>
      </w:r>
      <w:r w:rsidR="007C5A0D" w:rsidRPr="00CE2185">
        <w:rPr>
          <w:rFonts w:eastAsia="Times New Roman"/>
          <w:noProof/>
          <w:color w:val="000000" w:themeColor="text1"/>
        </w:rPr>
        <w:t>.</w:t>
      </w:r>
      <w:r w:rsidR="00BA5740" w:rsidRPr="00CE2185">
        <w:rPr>
          <w:rFonts w:eastAsia="Times New Roman"/>
          <w:noProof/>
          <w:color w:val="000000" w:themeColor="text1"/>
        </w:rPr>
        <w:t xml:space="preserve"> Hence, it seems reasonable to assume an average of</w:t>
      </w:r>
      <w:r w:rsidR="00D5137A" w:rsidRPr="00CE2185">
        <w:rPr>
          <w:rFonts w:eastAsia="Times New Roman"/>
          <w:noProof/>
          <w:color w:val="000000" w:themeColor="text1"/>
        </w:rPr>
        <w:t xml:space="preserve"> </w:t>
      </w:r>
      <w:r w:rsidR="004240E4" w:rsidRPr="00CE2185">
        <w:rPr>
          <w:rFonts w:eastAsia="Times New Roman"/>
          <w:b/>
          <w:bCs/>
          <w:noProof/>
          <w:color w:val="000000" w:themeColor="text1"/>
        </w:rPr>
        <w:t>3 FTE</w:t>
      </w:r>
      <w:r w:rsidR="007C70BC" w:rsidRPr="00CE2185">
        <w:rPr>
          <w:rFonts w:eastAsia="Times New Roman"/>
          <w:b/>
          <w:bCs/>
          <w:noProof/>
          <w:color w:val="000000" w:themeColor="text1"/>
        </w:rPr>
        <w:t>s</w:t>
      </w:r>
      <w:r w:rsidR="004240E4" w:rsidRPr="00CE2185">
        <w:rPr>
          <w:rFonts w:eastAsia="Times New Roman"/>
          <w:b/>
          <w:bCs/>
          <w:noProof/>
          <w:color w:val="000000" w:themeColor="text1"/>
        </w:rPr>
        <w:t xml:space="preserve"> </w:t>
      </w:r>
      <w:r w:rsidR="00D318EC" w:rsidRPr="00CE2185">
        <w:rPr>
          <w:rFonts w:eastAsia="Times New Roman"/>
          <w:noProof/>
          <w:color w:val="000000" w:themeColor="text1"/>
        </w:rPr>
        <w:t>(</w:t>
      </w:r>
      <w:r w:rsidR="004240E4" w:rsidRPr="00CE2185">
        <w:rPr>
          <w:rFonts w:eastAsia="Times New Roman"/>
          <w:noProof/>
          <w:color w:val="000000" w:themeColor="text1"/>
        </w:rPr>
        <w:t>instead of 5</w:t>
      </w:r>
      <w:r w:rsidR="00D318EC" w:rsidRPr="00CE2185">
        <w:rPr>
          <w:rFonts w:eastAsia="Times New Roman"/>
          <w:noProof/>
          <w:color w:val="000000" w:themeColor="text1"/>
        </w:rPr>
        <w:t>)</w:t>
      </w:r>
      <w:r w:rsidR="007C70BC" w:rsidRPr="00CE2185">
        <w:rPr>
          <w:rFonts w:eastAsia="Times New Roman"/>
          <w:noProof/>
          <w:color w:val="000000" w:themeColor="text1"/>
        </w:rPr>
        <w:t xml:space="preserve"> of one-off</w:t>
      </w:r>
      <w:r w:rsidR="007810A8" w:rsidRPr="00CE2185">
        <w:rPr>
          <w:rFonts w:eastAsia="Times New Roman"/>
          <w:noProof/>
          <w:color w:val="000000" w:themeColor="text1"/>
        </w:rPr>
        <w:t xml:space="preserve"> and</w:t>
      </w:r>
      <w:r w:rsidR="007C70BC" w:rsidRPr="00CE2185">
        <w:rPr>
          <w:rFonts w:eastAsia="Times New Roman"/>
          <w:noProof/>
          <w:color w:val="000000" w:themeColor="text1"/>
        </w:rPr>
        <w:t xml:space="preserve"> recurrent and enforcement costs</w:t>
      </w:r>
      <w:r w:rsidR="007810A8" w:rsidRPr="00CE2185">
        <w:rPr>
          <w:rFonts w:eastAsia="Times New Roman"/>
          <w:noProof/>
          <w:color w:val="000000" w:themeColor="text1"/>
        </w:rPr>
        <w:t xml:space="preserve">, with an estimate of </w:t>
      </w:r>
      <w:r w:rsidR="007810A8" w:rsidRPr="00CE2185">
        <w:rPr>
          <w:noProof/>
        </w:rPr>
        <w:t>56,500 for one FTE</w:t>
      </w:r>
      <w:r w:rsidR="004A2465" w:rsidRPr="00CE2185">
        <w:rPr>
          <w:noProof/>
        </w:rPr>
        <w:t xml:space="preserve">, this totals to </w:t>
      </w:r>
      <w:r w:rsidR="008D3534" w:rsidRPr="00CE2185">
        <w:rPr>
          <w:b/>
          <w:bCs/>
          <w:noProof/>
        </w:rPr>
        <w:t>4.536.000 EUR</w:t>
      </w:r>
      <w:r w:rsidR="001B662F" w:rsidRPr="00CE2185">
        <w:rPr>
          <w:b/>
          <w:bCs/>
          <w:noProof/>
        </w:rPr>
        <w:t xml:space="preserve"> </w:t>
      </w:r>
      <w:r w:rsidR="001B662F" w:rsidRPr="00CE2185">
        <w:rPr>
          <w:noProof/>
        </w:rPr>
        <w:t>for 27 Member States</w:t>
      </w:r>
      <w:r w:rsidR="003F4BB5" w:rsidRPr="00CE2185">
        <w:rPr>
          <w:noProof/>
        </w:rPr>
        <w:t xml:space="preserve"> (27 x </w:t>
      </w:r>
      <w:r w:rsidR="0018399D" w:rsidRPr="00CE2185">
        <w:rPr>
          <w:noProof/>
        </w:rPr>
        <w:t>168 000 EUR)</w:t>
      </w:r>
      <w:r w:rsidR="004240E4" w:rsidRPr="00CE2185">
        <w:rPr>
          <w:rFonts w:eastAsia="Times New Roman"/>
          <w:noProof/>
          <w:color w:val="000000" w:themeColor="text1"/>
        </w:rPr>
        <w:t xml:space="preserve">. </w:t>
      </w:r>
      <w:r w:rsidR="0085581E" w:rsidRPr="00CE2185">
        <w:rPr>
          <w:rFonts w:eastAsia="Times New Roman"/>
          <w:noProof/>
          <w:color w:val="000000" w:themeColor="text1"/>
        </w:rPr>
        <w:t>Mention should be made</w:t>
      </w:r>
      <w:r w:rsidR="00D318EC" w:rsidRPr="00CE2185">
        <w:rPr>
          <w:rFonts w:eastAsia="Times New Roman"/>
          <w:noProof/>
          <w:color w:val="000000" w:themeColor="text1"/>
        </w:rPr>
        <w:t xml:space="preserve"> that this is a generous estimate assuming that i</w:t>
      </w:r>
      <w:r w:rsidR="007C70BC" w:rsidRPr="00CE2185">
        <w:rPr>
          <w:rFonts w:eastAsia="Times New Roman"/>
          <w:noProof/>
          <w:color w:val="000000" w:themeColor="text1"/>
        </w:rPr>
        <w:t>t is likely that all Member States would adopt</w:t>
      </w:r>
      <w:r w:rsidR="000507AE" w:rsidRPr="00CE2185">
        <w:rPr>
          <w:rFonts w:eastAsia="Times New Roman"/>
          <w:noProof/>
          <w:color w:val="000000" w:themeColor="text1"/>
        </w:rPr>
        <w:t xml:space="preserve"> </w:t>
      </w:r>
      <w:r w:rsidR="007C70BC" w:rsidRPr="00CE2185">
        <w:rPr>
          <w:rFonts w:eastAsia="Times New Roman"/>
          <w:noProof/>
          <w:color w:val="000000" w:themeColor="text1"/>
        </w:rPr>
        <w:t>such a scheme</w:t>
      </w:r>
      <w:r w:rsidR="000507AE" w:rsidRPr="00CE2185">
        <w:rPr>
          <w:rFonts w:eastAsia="Times New Roman"/>
          <w:noProof/>
          <w:color w:val="000000" w:themeColor="text1"/>
        </w:rPr>
        <w:t xml:space="preserve"> starting to apply in 2030</w:t>
      </w:r>
      <w:r w:rsidR="007C70BC" w:rsidRPr="00CE2185">
        <w:rPr>
          <w:rFonts w:eastAsia="Times New Roman"/>
          <w:noProof/>
          <w:color w:val="000000" w:themeColor="text1"/>
        </w:rPr>
        <w:t xml:space="preserve"> given the relevance for NIS2 compliance. </w:t>
      </w:r>
      <w:r w:rsidR="00B450B8" w:rsidRPr="00CE2185">
        <w:rPr>
          <w:rFonts w:eastAsia="Times New Roman"/>
          <w:noProof/>
          <w:color w:val="000000" w:themeColor="text1"/>
        </w:rPr>
        <w:t>It is to be noted that for those Member States that have already a nationa</w:t>
      </w:r>
      <w:r w:rsidR="00D318EC" w:rsidRPr="00CE2185">
        <w:rPr>
          <w:rFonts w:eastAsia="Times New Roman"/>
          <w:noProof/>
          <w:color w:val="000000" w:themeColor="text1"/>
        </w:rPr>
        <w:t>l</w:t>
      </w:r>
      <w:r w:rsidR="00B450B8" w:rsidRPr="00CE2185">
        <w:rPr>
          <w:rFonts w:eastAsia="Times New Roman"/>
          <w:noProof/>
          <w:color w:val="000000" w:themeColor="text1"/>
        </w:rPr>
        <w:t xml:space="preserve"> scheme on cyber posture in place</w:t>
      </w:r>
      <w:r w:rsidR="00D318EC" w:rsidRPr="00CE2185">
        <w:rPr>
          <w:rFonts w:eastAsia="Times New Roman"/>
          <w:noProof/>
          <w:color w:val="000000" w:themeColor="text1"/>
        </w:rPr>
        <w:t>,</w:t>
      </w:r>
      <w:r w:rsidR="00B450B8" w:rsidRPr="00CE2185">
        <w:rPr>
          <w:rFonts w:eastAsia="Times New Roman"/>
          <w:noProof/>
          <w:color w:val="000000" w:themeColor="text1"/>
        </w:rPr>
        <w:t xml:space="preserve"> costs would likely be </w:t>
      </w:r>
      <w:r w:rsidR="00CC095A" w:rsidRPr="00CE2185">
        <w:rPr>
          <w:rFonts w:eastAsia="Times New Roman"/>
          <w:noProof/>
          <w:color w:val="000000" w:themeColor="text1"/>
        </w:rPr>
        <w:t xml:space="preserve">less important as existing resources could be re-allocated. </w:t>
      </w:r>
    </w:p>
    <w:p w14:paraId="51DE21A3" w14:textId="79CEA087" w:rsidR="00873C2C" w:rsidRPr="00CE2185" w:rsidRDefault="00873C2C" w:rsidP="00EE3DF9">
      <w:pPr>
        <w:pStyle w:val="ListParagraph"/>
        <w:numPr>
          <w:ilvl w:val="0"/>
          <w:numId w:val="21"/>
        </w:numPr>
        <w:spacing w:after="120"/>
        <w:ind w:left="360"/>
        <w:contextualSpacing w:val="0"/>
        <w:rPr>
          <w:rFonts w:eastAsia="Times New Roman"/>
          <w:noProof/>
          <w:color w:val="000000" w:themeColor="text1"/>
        </w:rPr>
      </w:pPr>
      <w:r w:rsidRPr="00CE2185">
        <w:rPr>
          <w:rFonts w:eastAsia="Times New Roman"/>
          <w:noProof/>
          <w:color w:val="000000" w:themeColor="text1"/>
        </w:rPr>
        <w:t xml:space="preserve">The cost estimates related to CABs would be </w:t>
      </w:r>
      <w:r w:rsidR="002E52F9" w:rsidRPr="00CE2185">
        <w:rPr>
          <w:rFonts w:eastAsia="Times New Roman"/>
          <w:noProof/>
          <w:color w:val="000000" w:themeColor="text1"/>
        </w:rPr>
        <w:t>like</w:t>
      </w:r>
      <w:r w:rsidRPr="00CE2185">
        <w:rPr>
          <w:rFonts w:eastAsia="Times New Roman"/>
          <w:noProof/>
          <w:color w:val="000000" w:themeColor="text1"/>
        </w:rPr>
        <w:t xml:space="preserve"> those indicated under B1. </w:t>
      </w:r>
    </w:p>
    <w:p w14:paraId="0FF230F2" w14:textId="0EB1ABBB" w:rsidR="002C0241" w:rsidRPr="00CE2185" w:rsidRDefault="002C0241" w:rsidP="001E5D9D">
      <w:pPr>
        <w:pStyle w:val="Heading7"/>
        <w:rPr>
          <w:noProof/>
        </w:rPr>
      </w:pPr>
      <w:bookmarkStart w:id="107" w:name="_Toc218767770"/>
      <w:r w:rsidRPr="00CE2185">
        <w:rPr>
          <w:noProof/>
        </w:rPr>
        <w:t>Table</w:t>
      </w:r>
      <w:r w:rsidR="007C0F70" w:rsidRPr="00CE2185">
        <w:rPr>
          <w:noProof/>
        </w:rPr>
        <w:t xml:space="preserve"> </w:t>
      </w:r>
      <w:r w:rsidR="00362531" w:rsidRPr="00CE2185">
        <w:rPr>
          <w:noProof/>
        </w:rPr>
        <w:t>8</w:t>
      </w:r>
      <w:r w:rsidRPr="00CE2185">
        <w:rPr>
          <w:noProof/>
        </w:rPr>
        <w:t xml:space="preserve">: overview of </w:t>
      </w:r>
      <w:r w:rsidR="005A7037" w:rsidRPr="00CE2185">
        <w:rPr>
          <w:noProof/>
        </w:rPr>
        <w:t>costs for public authorities</w:t>
      </w:r>
      <w:r w:rsidR="007B3384" w:rsidRPr="00CE2185">
        <w:rPr>
          <w:noProof/>
        </w:rPr>
        <w:t xml:space="preserve"> </w:t>
      </w:r>
      <w:r w:rsidR="008244FB" w:rsidRPr="00CE2185">
        <w:rPr>
          <w:noProof/>
        </w:rPr>
        <w:t>under Option B.2</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60"/>
        <w:gridCol w:w="635"/>
        <w:gridCol w:w="638"/>
        <w:gridCol w:w="638"/>
        <w:gridCol w:w="638"/>
        <w:gridCol w:w="638"/>
        <w:gridCol w:w="2216"/>
      </w:tblGrid>
      <w:tr w:rsidR="009D2676" w:rsidRPr="00CE2185" w14:paraId="0FDF71D8" w14:textId="77777777" w:rsidTr="00416674">
        <w:trPr>
          <w:trHeight w:val="315"/>
        </w:trPr>
        <w:tc>
          <w:tcPr>
            <w:tcW w:w="1839" w:type="pct"/>
            <w:shd w:val="clear" w:color="auto" w:fill="D0D0D0"/>
            <w:noWrap/>
            <w:vAlign w:val="center"/>
            <w:hideMark/>
          </w:tcPr>
          <w:p w14:paraId="17143D5B" w14:textId="64F76B93" w:rsidR="00D5137A" w:rsidRPr="00CE2185" w:rsidRDefault="00D5137A">
            <w:pPr>
              <w:spacing w:after="0"/>
              <w:jc w:val="left"/>
              <w:rPr>
                <w:rFonts w:eastAsia="Times New Roman"/>
                <w:b/>
                <w:noProof/>
                <w:color w:val="000000"/>
                <w:sz w:val="20"/>
                <w:szCs w:val="20"/>
                <w:lang w:val="en-IE" w:eastAsia="en-IE"/>
              </w:rPr>
            </w:pPr>
            <w:r w:rsidRPr="00CE2185">
              <w:rPr>
                <w:rFonts w:eastAsia="Times New Roman"/>
                <w:b/>
                <w:noProof/>
                <w:color w:val="000000"/>
                <w:sz w:val="20"/>
                <w:szCs w:val="20"/>
                <w:lang w:val="en-IE" w:eastAsia="en-IE"/>
              </w:rPr>
              <w:t xml:space="preserve">Option B.2 – FTEs </w:t>
            </w:r>
            <w:r w:rsidR="005C11B4" w:rsidRPr="00CE2185">
              <w:rPr>
                <w:rFonts w:eastAsia="Times New Roman"/>
                <w:b/>
                <w:noProof/>
                <w:color w:val="000000"/>
                <w:sz w:val="20"/>
                <w:szCs w:val="20"/>
                <w:lang w:val="en-IE" w:eastAsia="en-IE"/>
              </w:rPr>
              <w:t>MS</w:t>
            </w:r>
          </w:p>
          <w:p w14:paraId="2227630C" w14:textId="09BF7A39" w:rsidR="00D5137A" w:rsidRPr="00CE2185" w:rsidRDefault="00D5137A">
            <w:pPr>
              <w:spacing w:after="0"/>
              <w:jc w:val="left"/>
              <w:rPr>
                <w:rFonts w:eastAsia="Times New Roman"/>
                <w:b/>
                <w:noProof/>
                <w:color w:val="000000"/>
                <w:sz w:val="20"/>
                <w:szCs w:val="20"/>
                <w:lang w:val="en-IE" w:eastAsia="en-IE"/>
              </w:rPr>
            </w:pPr>
            <w:r w:rsidRPr="00CE2185">
              <w:rPr>
                <w:rFonts w:eastAsia="Times New Roman"/>
                <w:b/>
                <w:noProof/>
                <w:color w:val="000000"/>
                <w:sz w:val="20"/>
                <w:szCs w:val="20"/>
                <w:lang w:val="en-IE" w:eastAsia="en-IE"/>
              </w:rPr>
              <w:t>(one-off and recurrent costs</w:t>
            </w:r>
            <w:r w:rsidR="008E602C" w:rsidRPr="00CE2185">
              <w:rPr>
                <w:rFonts w:eastAsia="Times New Roman"/>
                <w:b/>
                <w:noProof/>
                <w:color w:val="000000"/>
                <w:sz w:val="20"/>
                <w:szCs w:val="20"/>
                <w:lang w:val="en-IE" w:eastAsia="en-IE"/>
              </w:rPr>
              <w:t xml:space="preserve"> </w:t>
            </w:r>
            <w:r w:rsidR="00246F4D" w:rsidRPr="00CE2185">
              <w:rPr>
                <w:rFonts w:eastAsia="Times New Roman"/>
                <w:b/>
                <w:noProof/>
                <w:color w:val="000000"/>
                <w:sz w:val="20"/>
                <w:szCs w:val="20"/>
                <w:lang w:val="en-IE" w:eastAsia="en-IE"/>
              </w:rPr>
              <w:t xml:space="preserve">for </w:t>
            </w:r>
            <w:r w:rsidR="008E602C" w:rsidRPr="00CE2185">
              <w:rPr>
                <w:rFonts w:eastAsia="Times New Roman"/>
                <w:b/>
                <w:noProof/>
                <w:color w:val="000000"/>
                <w:sz w:val="20"/>
                <w:szCs w:val="20"/>
                <w:lang w:val="en-IE" w:eastAsia="en-IE"/>
              </w:rPr>
              <w:t>1 MS)</w:t>
            </w:r>
          </w:p>
          <w:p w14:paraId="7E829569" w14:textId="7B2A6132" w:rsidR="00D5137A" w:rsidRPr="00CE2185" w:rsidRDefault="00BA7C38">
            <w:pPr>
              <w:spacing w:after="0"/>
              <w:jc w:val="left"/>
              <w:rPr>
                <w:rFonts w:eastAsia="Times New Roman"/>
                <w:b/>
                <w:noProof/>
                <w:color w:val="000000"/>
                <w:sz w:val="20"/>
                <w:szCs w:val="20"/>
                <w:lang w:val="en-IE" w:eastAsia="en-IE"/>
              </w:rPr>
            </w:pPr>
            <w:r w:rsidRPr="00CE2185">
              <w:rPr>
                <w:noProof/>
                <w:sz w:val="20"/>
                <w:szCs w:val="20"/>
              </w:rPr>
              <w:t>FTE</w:t>
            </w:r>
            <w:r w:rsidR="00246F4D" w:rsidRPr="00CE2185">
              <w:rPr>
                <w:noProof/>
                <w:sz w:val="20"/>
                <w:szCs w:val="20"/>
              </w:rPr>
              <w:t xml:space="preserve"> = </w:t>
            </w:r>
            <w:r w:rsidRPr="00CE2185">
              <w:rPr>
                <w:noProof/>
                <w:sz w:val="20"/>
                <w:szCs w:val="20"/>
              </w:rPr>
              <w:t xml:space="preserve">56,500 EUR </w:t>
            </w:r>
          </w:p>
        </w:tc>
        <w:tc>
          <w:tcPr>
            <w:tcW w:w="398" w:type="pct"/>
            <w:shd w:val="clear" w:color="auto" w:fill="D0D0D0"/>
            <w:vAlign w:val="center"/>
            <w:hideMark/>
          </w:tcPr>
          <w:p w14:paraId="72AAD6AD" w14:textId="77777777" w:rsidR="00D5137A" w:rsidRPr="00CE2185" w:rsidRDefault="00D5137A">
            <w:pPr>
              <w:spacing w:after="0"/>
              <w:jc w:val="left"/>
              <w:rPr>
                <w:rFonts w:eastAsia="Times New Roman"/>
                <w:noProof/>
                <w:color w:val="000000"/>
                <w:sz w:val="20"/>
                <w:szCs w:val="20"/>
                <w:lang w:val="en-IE" w:eastAsia="en-IE"/>
              </w:rPr>
            </w:pPr>
            <w:r w:rsidRPr="00CE2185">
              <w:rPr>
                <w:rFonts w:eastAsia="Times New Roman"/>
                <w:noProof/>
                <w:color w:val="000000"/>
                <w:sz w:val="20"/>
                <w:szCs w:val="20"/>
                <w:lang w:val="en-IE" w:eastAsia="en-IE"/>
              </w:rPr>
              <w:t>2028</w:t>
            </w:r>
          </w:p>
        </w:tc>
        <w:tc>
          <w:tcPr>
            <w:tcW w:w="399" w:type="pct"/>
            <w:shd w:val="clear" w:color="auto" w:fill="D0D0D0"/>
            <w:vAlign w:val="center"/>
            <w:hideMark/>
          </w:tcPr>
          <w:p w14:paraId="1EFA9CAB" w14:textId="77777777" w:rsidR="00D5137A" w:rsidRPr="00CE2185" w:rsidRDefault="00D5137A">
            <w:pPr>
              <w:spacing w:after="0"/>
              <w:jc w:val="left"/>
              <w:rPr>
                <w:rFonts w:eastAsia="Times New Roman"/>
                <w:noProof/>
                <w:sz w:val="20"/>
                <w:szCs w:val="20"/>
                <w:lang w:val="en-IE" w:eastAsia="en-IE"/>
              </w:rPr>
            </w:pPr>
            <w:r w:rsidRPr="00CE2185">
              <w:rPr>
                <w:rFonts w:eastAsia="Times New Roman"/>
                <w:noProof/>
                <w:sz w:val="20"/>
                <w:szCs w:val="20"/>
                <w:lang w:val="en-IE" w:eastAsia="en-IE"/>
              </w:rPr>
              <w:t>2029</w:t>
            </w:r>
          </w:p>
        </w:tc>
        <w:tc>
          <w:tcPr>
            <w:tcW w:w="400" w:type="pct"/>
            <w:shd w:val="clear" w:color="auto" w:fill="D0D0D0"/>
            <w:vAlign w:val="center"/>
            <w:hideMark/>
          </w:tcPr>
          <w:p w14:paraId="0F58FC4E" w14:textId="77777777" w:rsidR="00D5137A" w:rsidRPr="00CE2185" w:rsidRDefault="00D5137A">
            <w:pPr>
              <w:spacing w:after="0"/>
              <w:jc w:val="left"/>
              <w:rPr>
                <w:rFonts w:eastAsia="Times New Roman"/>
                <w:noProof/>
                <w:sz w:val="20"/>
                <w:szCs w:val="20"/>
                <w:lang w:val="en-IE" w:eastAsia="en-IE"/>
              </w:rPr>
            </w:pPr>
            <w:r w:rsidRPr="00CE2185">
              <w:rPr>
                <w:rFonts w:eastAsia="Times New Roman"/>
                <w:noProof/>
                <w:sz w:val="20"/>
                <w:szCs w:val="20"/>
                <w:lang w:val="en-IE" w:eastAsia="en-IE"/>
              </w:rPr>
              <w:t>2030</w:t>
            </w:r>
          </w:p>
        </w:tc>
        <w:tc>
          <w:tcPr>
            <w:tcW w:w="399" w:type="pct"/>
            <w:shd w:val="clear" w:color="auto" w:fill="D0D0D0"/>
            <w:vAlign w:val="center"/>
            <w:hideMark/>
          </w:tcPr>
          <w:p w14:paraId="63D3E7F1" w14:textId="77777777" w:rsidR="00D5137A" w:rsidRPr="00CE2185" w:rsidRDefault="00D5137A">
            <w:pPr>
              <w:spacing w:after="0"/>
              <w:jc w:val="left"/>
              <w:rPr>
                <w:rFonts w:eastAsia="Times New Roman"/>
                <w:noProof/>
                <w:sz w:val="20"/>
                <w:szCs w:val="20"/>
                <w:lang w:val="en-IE" w:eastAsia="en-IE"/>
              </w:rPr>
            </w:pPr>
            <w:r w:rsidRPr="00CE2185">
              <w:rPr>
                <w:rFonts w:eastAsia="Times New Roman"/>
                <w:noProof/>
                <w:sz w:val="20"/>
                <w:szCs w:val="20"/>
                <w:lang w:val="en-IE" w:eastAsia="en-IE"/>
              </w:rPr>
              <w:t>2031</w:t>
            </w:r>
          </w:p>
        </w:tc>
        <w:tc>
          <w:tcPr>
            <w:tcW w:w="400" w:type="pct"/>
            <w:shd w:val="clear" w:color="auto" w:fill="D0D0D0"/>
            <w:vAlign w:val="center"/>
            <w:hideMark/>
          </w:tcPr>
          <w:p w14:paraId="5375FDD0" w14:textId="77777777" w:rsidR="00D5137A" w:rsidRPr="00CE2185" w:rsidRDefault="00D5137A">
            <w:pPr>
              <w:spacing w:after="0"/>
              <w:jc w:val="left"/>
              <w:rPr>
                <w:rFonts w:eastAsia="Times New Roman"/>
                <w:noProof/>
                <w:sz w:val="20"/>
                <w:szCs w:val="20"/>
                <w:lang w:val="en-IE" w:eastAsia="en-IE"/>
              </w:rPr>
            </w:pPr>
            <w:r w:rsidRPr="00CE2185">
              <w:rPr>
                <w:rFonts w:eastAsia="Times New Roman"/>
                <w:noProof/>
                <w:sz w:val="20"/>
                <w:szCs w:val="20"/>
                <w:lang w:val="en-IE" w:eastAsia="en-IE"/>
              </w:rPr>
              <w:t>2032</w:t>
            </w:r>
          </w:p>
        </w:tc>
        <w:tc>
          <w:tcPr>
            <w:tcW w:w="1164" w:type="pct"/>
            <w:shd w:val="clear" w:color="auto" w:fill="D0D0D0"/>
            <w:noWrap/>
            <w:vAlign w:val="center"/>
            <w:hideMark/>
          </w:tcPr>
          <w:p w14:paraId="7096F8AA" w14:textId="77777777" w:rsidR="00D5137A" w:rsidRPr="00CE2185" w:rsidRDefault="00D5137A">
            <w:pPr>
              <w:spacing w:after="0"/>
              <w:jc w:val="left"/>
              <w:rPr>
                <w:rFonts w:eastAsia="Times New Roman"/>
                <w:b/>
                <w:noProof/>
                <w:color w:val="000000"/>
                <w:sz w:val="20"/>
                <w:szCs w:val="20"/>
                <w:lang w:val="en-IE" w:eastAsia="en-IE"/>
              </w:rPr>
            </w:pPr>
            <w:r w:rsidRPr="00CE2185">
              <w:rPr>
                <w:rFonts w:eastAsia="Times New Roman"/>
                <w:b/>
                <w:noProof/>
                <w:color w:val="000000"/>
                <w:sz w:val="20"/>
                <w:szCs w:val="20"/>
                <w:lang w:val="en-IE" w:eastAsia="en-IE"/>
              </w:rPr>
              <w:t>Total costs over 5 years</w:t>
            </w:r>
          </w:p>
          <w:p w14:paraId="6ACE855F" w14:textId="5FEEA9A5" w:rsidR="00D5137A" w:rsidRPr="00CE2185" w:rsidRDefault="008E602C">
            <w:pPr>
              <w:spacing w:after="0"/>
              <w:jc w:val="left"/>
              <w:rPr>
                <w:rFonts w:eastAsia="Times New Roman"/>
                <w:b/>
                <w:noProof/>
                <w:color w:val="000000"/>
                <w:sz w:val="20"/>
                <w:szCs w:val="20"/>
                <w:lang w:val="en-IE" w:eastAsia="en-IE"/>
              </w:rPr>
            </w:pPr>
            <w:r w:rsidRPr="00CE2185">
              <w:rPr>
                <w:rFonts w:eastAsia="Times New Roman"/>
                <w:b/>
                <w:noProof/>
                <w:color w:val="000000"/>
                <w:sz w:val="20"/>
                <w:szCs w:val="20"/>
                <w:lang w:val="en-IE" w:eastAsia="en-IE"/>
              </w:rPr>
              <w:t>Ag</w:t>
            </w:r>
            <w:r w:rsidR="00CE3233" w:rsidRPr="00CE2185">
              <w:rPr>
                <w:rFonts w:eastAsia="Times New Roman"/>
                <w:b/>
                <w:noProof/>
                <w:color w:val="000000"/>
                <w:sz w:val="20"/>
                <w:szCs w:val="20"/>
                <w:lang w:val="en-IE" w:eastAsia="en-IE"/>
              </w:rPr>
              <w:t>g</w:t>
            </w:r>
            <w:r w:rsidRPr="00CE2185">
              <w:rPr>
                <w:rFonts w:eastAsia="Times New Roman"/>
                <w:b/>
                <w:noProof/>
                <w:color w:val="000000"/>
                <w:sz w:val="20"/>
                <w:szCs w:val="20"/>
                <w:lang w:val="en-IE" w:eastAsia="en-IE"/>
              </w:rPr>
              <w:t>regate</w:t>
            </w:r>
            <w:r w:rsidR="00607E4C" w:rsidRPr="00CE2185">
              <w:rPr>
                <w:rFonts w:eastAsia="Times New Roman"/>
                <w:b/>
                <w:noProof/>
                <w:color w:val="000000"/>
                <w:sz w:val="20"/>
                <w:szCs w:val="20"/>
                <w:lang w:val="en-IE" w:eastAsia="en-IE"/>
              </w:rPr>
              <w:t>d</w:t>
            </w:r>
            <w:r w:rsidRPr="00CE2185">
              <w:rPr>
                <w:rFonts w:eastAsia="Times New Roman"/>
                <w:b/>
                <w:noProof/>
                <w:color w:val="000000"/>
                <w:sz w:val="20"/>
                <w:szCs w:val="20"/>
                <w:lang w:val="en-IE" w:eastAsia="en-IE"/>
              </w:rPr>
              <w:t xml:space="preserve"> for </w:t>
            </w:r>
            <w:r w:rsidR="00D62350" w:rsidRPr="00CE2185">
              <w:rPr>
                <w:rFonts w:eastAsia="Times New Roman"/>
                <w:b/>
                <w:noProof/>
                <w:color w:val="000000"/>
                <w:sz w:val="20"/>
                <w:szCs w:val="20"/>
                <w:lang w:val="en-IE" w:eastAsia="en-IE"/>
              </w:rPr>
              <w:t>27</w:t>
            </w:r>
            <w:r w:rsidRPr="00CE2185">
              <w:rPr>
                <w:rFonts w:eastAsia="Times New Roman"/>
                <w:b/>
                <w:noProof/>
                <w:color w:val="000000"/>
                <w:sz w:val="20"/>
                <w:szCs w:val="20"/>
                <w:lang w:val="en-IE" w:eastAsia="en-IE"/>
              </w:rPr>
              <w:t xml:space="preserve"> MS</w:t>
            </w:r>
          </w:p>
        </w:tc>
      </w:tr>
      <w:tr w:rsidR="00D5137A" w:rsidRPr="00CE2185" w14:paraId="386FA5A5" w14:textId="77777777" w:rsidTr="00416674">
        <w:trPr>
          <w:trHeight w:val="35"/>
        </w:trPr>
        <w:tc>
          <w:tcPr>
            <w:tcW w:w="1839" w:type="pct"/>
            <w:noWrap/>
            <w:vAlign w:val="center"/>
            <w:hideMark/>
          </w:tcPr>
          <w:p w14:paraId="3E1E9891" w14:textId="66BF771C" w:rsidR="00D5137A" w:rsidRPr="00CE2185" w:rsidRDefault="00D5137A">
            <w:pPr>
              <w:spacing w:after="0"/>
              <w:jc w:val="left"/>
              <w:rPr>
                <w:rFonts w:eastAsia="Times New Roman"/>
                <w:b/>
                <w:noProof/>
                <w:color w:val="000000"/>
                <w:sz w:val="20"/>
                <w:szCs w:val="20"/>
                <w:lang w:val="en-US" w:eastAsia="en-IE"/>
              </w:rPr>
            </w:pPr>
            <w:r w:rsidRPr="00CE2185">
              <w:rPr>
                <w:rFonts w:eastAsia="Times New Roman"/>
                <w:b/>
                <w:noProof/>
                <w:color w:val="000000" w:themeColor="text1"/>
                <w:sz w:val="20"/>
                <w:szCs w:val="20"/>
                <w:lang w:val="en-US" w:eastAsia="en-IE"/>
              </w:rPr>
              <w:t xml:space="preserve">Scenario B2 </w:t>
            </w:r>
          </w:p>
        </w:tc>
        <w:tc>
          <w:tcPr>
            <w:tcW w:w="398" w:type="pct"/>
            <w:vAlign w:val="center"/>
            <w:hideMark/>
          </w:tcPr>
          <w:p w14:paraId="36CFBF2E" w14:textId="0D7E20C3"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399" w:type="pct"/>
            <w:vAlign w:val="center"/>
            <w:hideMark/>
          </w:tcPr>
          <w:p w14:paraId="5AE60CA5" w14:textId="7E1F7184"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400" w:type="pct"/>
            <w:vAlign w:val="center"/>
            <w:hideMark/>
          </w:tcPr>
          <w:p w14:paraId="467FF3FA" w14:textId="7E82E0A4"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3</w:t>
            </w:r>
          </w:p>
        </w:tc>
        <w:tc>
          <w:tcPr>
            <w:tcW w:w="399" w:type="pct"/>
            <w:vAlign w:val="center"/>
            <w:hideMark/>
          </w:tcPr>
          <w:p w14:paraId="35BF9616" w14:textId="1C094CAC"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3</w:t>
            </w:r>
          </w:p>
        </w:tc>
        <w:tc>
          <w:tcPr>
            <w:tcW w:w="400" w:type="pct"/>
            <w:vAlign w:val="center"/>
            <w:hideMark/>
          </w:tcPr>
          <w:p w14:paraId="11EDA2C9" w14:textId="6CC2E03F"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3</w:t>
            </w:r>
          </w:p>
        </w:tc>
        <w:tc>
          <w:tcPr>
            <w:tcW w:w="1164" w:type="pct"/>
            <w:vAlign w:val="center"/>
            <w:hideMark/>
          </w:tcPr>
          <w:p w14:paraId="648AB5DC" w14:textId="4BBE03A8" w:rsidR="00D5137A" w:rsidRPr="00CE2185" w:rsidRDefault="00035D8F" w:rsidP="00603232">
            <w:pPr>
              <w:spacing w:after="0"/>
              <w:jc w:val="center"/>
              <w:rPr>
                <w:rFonts w:eastAsia="Times New Roman"/>
                <w:noProof/>
                <w:color w:val="000000"/>
                <w:sz w:val="20"/>
                <w:szCs w:val="20"/>
                <w:lang w:val="en-US" w:eastAsia="en-IE"/>
              </w:rPr>
            </w:pPr>
            <w:r w:rsidRPr="00CE2185">
              <w:rPr>
                <w:rFonts w:eastAsia="Times New Roman"/>
                <w:b/>
                <w:noProof/>
                <w:color w:val="000000"/>
                <w:sz w:val="20"/>
                <w:szCs w:val="20"/>
                <w:lang w:val="en-US" w:eastAsia="en-IE"/>
              </w:rPr>
              <w:t>13</w:t>
            </w:r>
            <w:r w:rsidR="00034D22" w:rsidRPr="00CE2185">
              <w:rPr>
                <w:rFonts w:eastAsia="Times New Roman"/>
                <w:noProof/>
                <w:color w:val="000000"/>
                <w:sz w:val="20"/>
                <w:szCs w:val="20"/>
                <w:lang w:val="en-US" w:eastAsia="en-IE"/>
              </w:rPr>
              <w:t xml:space="preserve"> 729 500</w:t>
            </w:r>
          </w:p>
        </w:tc>
      </w:tr>
      <w:tr w:rsidR="00D5137A" w:rsidRPr="00CE2185" w14:paraId="452190CA" w14:textId="77777777" w:rsidTr="00416674">
        <w:trPr>
          <w:trHeight w:val="401"/>
        </w:trPr>
        <w:tc>
          <w:tcPr>
            <w:tcW w:w="1839" w:type="pct"/>
            <w:tcBorders>
              <w:top w:val="single" w:sz="4" w:space="0" w:color="auto"/>
              <w:left w:val="single" w:sz="4" w:space="0" w:color="auto"/>
              <w:bottom w:val="single" w:sz="4" w:space="0" w:color="auto"/>
              <w:right w:val="single" w:sz="4" w:space="0" w:color="auto"/>
            </w:tcBorders>
            <w:noWrap/>
            <w:vAlign w:val="center"/>
          </w:tcPr>
          <w:p w14:paraId="579606EA" w14:textId="766A3688" w:rsidR="00D5137A" w:rsidRPr="00CE2185" w:rsidRDefault="00D5137A">
            <w:pPr>
              <w:spacing w:after="0"/>
              <w:jc w:val="left"/>
              <w:rPr>
                <w:rFonts w:eastAsia="Times New Roman"/>
                <w:b/>
                <w:noProof/>
                <w:color w:val="000000"/>
                <w:sz w:val="20"/>
                <w:szCs w:val="20"/>
                <w:lang w:val="en-US" w:eastAsia="en-IE"/>
              </w:rPr>
            </w:pPr>
            <w:r w:rsidRPr="00CE2185">
              <w:rPr>
                <w:rFonts w:eastAsia="Times New Roman"/>
                <w:b/>
                <w:noProof/>
                <w:color w:val="000000" w:themeColor="text1"/>
                <w:sz w:val="20"/>
                <w:szCs w:val="20"/>
                <w:lang w:val="en-US" w:eastAsia="en-IE"/>
              </w:rPr>
              <w:t xml:space="preserve">Scenarios B2+ D2 </w:t>
            </w:r>
          </w:p>
        </w:tc>
        <w:tc>
          <w:tcPr>
            <w:tcW w:w="399" w:type="pct"/>
            <w:tcBorders>
              <w:top w:val="single" w:sz="4" w:space="0" w:color="auto"/>
              <w:left w:val="single" w:sz="4" w:space="0" w:color="auto"/>
              <w:bottom w:val="single" w:sz="4" w:space="0" w:color="auto"/>
              <w:right w:val="single" w:sz="4" w:space="0" w:color="auto"/>
            </w:tcBorders>
            <w:vAlign w:val="center"/>
          </w:tcPr>
          <w:p w14:paraId="31941E51" w14:textId="11C4854C" w:rsidR="00D5137A" w:rsidRPr="00CE2185" w:rsidRDefault="001B662F">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400" w:type="pct"/>
            <w:tcBorders>
              <w:top w:val="single" w:sz="4" w:space="0" w:color="auto"/>
              <w:left w:val="single" w:sz="4" w:space="0" w:color="auto"/>
              <w:bottom w:val="single" w:sz="4" w:space="0" w:color="auto"/>
              <w:right w:val="single" w:sz="4" w:space="0" w:color="auto"/>
            </w:tcBorders>
            <w:vAlign w:val="center"/>
          </w:tcPr>
          <w:p w14:paraId="1A5BE511" w14:textId="295DDA34" w:rsidR="00D5137A" w:rsidRPr="00CE2185" w:rsidRDefault="00285B2F">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5</w:t>
            </w:r>
          </w:p>
        </w:tc>
        <w:tc>
          <w:tcPr>
            <w:tcW w:w="399" w:type="pct"/>
            <w:tcBorders>
              <w:top w:val="single" w:sz="4" w:space="0" w:color="auto"/>
              <w:left w:val="single" w:sz="4" w:space="0" w:color="auto"/>
              <w:bottom w:val="single" w:sz="4" w:space="0" w:color="auto"/>
              <w:right w:val="single" w:sz="4" w:space="0" w:color="auto"/>
            </w:tcBorders>
            <w:vAlign w:val="center"/>
          </w:tcPr>
          <w:p w14:paraId="526F7645" w14:textId="7D665216" w:rsidR="00D5137A" w:rsidRPr="00CE2185" w:rsidRDefault="23F38406" w:rsidP="7410CB48">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8</w:t>
            </w:r>
          </w:p>
        </w:tc>
        <w:tc>
          <w:tcPr>
            <w:tcW w:w="400" w:type="pct"/>
            <w:tcBorders>
              <w:top w:val="single" w:sz="4" w:space="0" w:color="auto"/>
              <w:left w:val="single" w:sz="4" w:space="0" w:color="auto"/>
              <w:bottom w:val="single" w:sz="4" w:space="0" w:color="auto"/>
              <w:right w:val="single" w:sz="4" w:space="0" w:color="auto"/>
            </w:tcBorders>
            <w:vAlign w:val="center"/>
          </w:tcPr>
          <w:p w14:paraId="19191EA5" w14:textId="0CA8FB0C"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8</w:t>
            </w:r>
          </w:p>
        </w:tc>
        <w:tc>
          <w:tcPr>
            <w:tcW w:w="400" w:type="pct"/>
            <w:tcBorders>
              <w:top w:val="single" w:sz="4" w:space="0" w:color="auto"/>
              <w:left w:val="single" w:sz="4" w:space="0" w:color="auto"/>
              <w:bottom w:val="single" w:sz="4" w:space="0" w:color="auto"/>
              <w:right w:val="single" w:sz="4" w:space="0" w:color="auto"/>
            </w:tcBorders>
            <w:vAlign w:val="center"/>
          </w:tcPr>
          <w:p w14:paraId="73B950CB" w14:textId="09348697" w:rsidR="00D5137A" w:rsidRPr="00CE2185" w:rsidRDefault="001A649B">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8</w:t>
            </w:r>
          </w:p>
        </w:tc>
        <w:tc>
          <w:tcPr>
            <w:tcW w:w="1164" w:type="pct"/>
            <w:tcBorders>
              <w:top w:val="single" w:sz="4" w:space="0" w:color="auto"/>
              <w:left w:val="single" w:sz="4" w:space="0" w:color="auto"/>
              <w:bottom w:val="single" w:sz="4" w:space="0" w:color="auto"/>
              <w:right w:val="single" w:sz="4" w:space="0" w:color="auto"/>
            </w:tcBorders>
            <w:vAlign w:val="center"/>
          </w:tcPr>
          <w:p w14:paraId="275D6612" w14:textId="40C0948C" w:rsidR="00D5137A" w:rsidRPr="00CE2185" w:rsidRDefault="00034D22" w:rsidP="00603232">
            <w:pPr>
              <w:spacing w:after="0"/>
              <w:jc w:val="center"/>
              <w:rPr>
                <w:rFonts w:eastAsia="Times New Roman"/>
                <w:noProof/>
                <w:color w:val="000000"/>
                <w:sz w:val="20"/>
                <w:szCs w:val="20"/>
                <w:lang w:val="en-US" w:eastAsia="en-IE"/>
              </w:rPr>
            </w:pPr>
            <w:r w:rsidRPr="00CE2185">
              <w:rPr>
                <w:rFonts w:eastAsia="Times New Roman"/>
                <w:b/>
                <w:noProof/>
                <w:color w:val="000000"/>
                <w:sz w:val="20"/>
                <w:szCs w:val="20"/>
                <w:lang w:val="en-US" w:eastAsia="en-IE"/>
              </w:rPr>
              <w:t>44</w:t>
            </w:r>
            <w:r w:rsidRPr="00CE2185">
              <w:rPr>
                <w:rFonts w:eastAsia="Times New Roman"/>
                <w:noProof/>
                <w:color w:val="000000"/>
                <w:sz w:val="20"/>
                <w:szCs w:val="20"/>
                <w:lang w:val="en-US" w:eastAsia="en-IE"/>
              </w:rPr>
              <w:t> 239 500</w:t>
            </w:r>
          </w:p>
        </w:tc>
      </w:tr>
      <w:tr w:rsidR="00D5137A" w:rsidRPr="00CE2185" w14:paraId="7318757C" w14:textId="77777777" w:rsidTr="00416674">
        <w:trPr>
          <w:trHeight w:val="163"/>
        </w:trPr>
        <w:tc>
          <w:tcPr>
            <w:tcW w:w="1839" w:type="pct"/>
            <w:tcBorders>
              <w:top w:val="single" w:sz="4" w:space="0" w:color="auto"/>
              <w:left w:val="single" w:sz="4" w:space="0" w:color="auto"/>
              <w:bottom w:val="single" w:sz="4" w:space="0" w:color="auto"/>
              <w:right w:val="single" w:sz="4" w:space="0" w:color="auto"/>
            </w:tcBorders>
            <w:noWrap/>
            <w:vAlign w:val="center"/>
          </w:tcPr>
          <w:p w14:paraId="7EB4CD4D" w14:textId="2AB50F10" w:rsidR="00D5137A" w:rsidRPr="00CE2185" w:rsidRDefault="00D5137A">
            <w:pPr>
              <w:spacing w:after="0"/>
              <w:jc w:val="left"/>
              <w:rPr>
                <w:rFonts w:eastAsia="Times New Roman"/>
                <w:b/>
                <w:noProof/>
                <w:color w:val="000000"/>
                <w:sz w:val="20"/>
                <w:szCs w:val="20"/>
                <w:lang w:val="en-US" w:eastAsia="en-IE"/>
              </w:rPr>
            </w:pPr>
            <w:r w:rsidRPr="00CE2185">
              <w:rPr>
                <w:rFonts w:eastAsia="Times New Roman"/>
                <w:b/>
                <w:noProof/>
                <w:color w:val="000000" w:themeColor="text1"/>
                <w:sz w:val="20"/>
                <w:szCs w:val="20"/>
                <w:lang w:val="en-US" w:eastAsia="en-IE"/>
              </w:rPr>
              <w:t>Scenarios B2+ D3</w:t>
            </w:r>
            <w:r w:rsidR="008E0F2E" w:rsidRPr="00CE2185">
              <w:rPr>
                <w:rFonts w:eastAsia="Times New Roman"/>
                <w:b/>
                <w:noProof/>
                <w:color w:val="000000" w:themeColor="text1"/>
                <w:sz w:val="20"/>
                <w:szCs w:val="20"/>
                <w:lang w:val="en-US" w:eastAsia="en-IE"/>
              </w:rPr>
              <w:t xml:space="preserve"> </w:t>
            </w:r>
          </w:p>
        </w:tc>
        <w:tc>
          <w:tcPr>
            <w:tcW w:w="399" w:type="pct"/>
            <w:tcBorders>
              <w:top w:val="single" w:sz="4" w:space="0" w:color="auto"/>
              <w:left w:val="single" w:sz="4" w:space="0" w:color="auto"/>
              <w:bottom w:val="single" w:sz="4" w:space="0" w:color="auto"/>
              <w:right w:val="single" w:sz="4" w:space="0" w:color="auto"/>
            </w:tcBorders>
            <w:vAlign w:val="center"/>
          </w:tcPr>
          <w:p w14:paraId="7935112F" w14:textId="753B4747" w:rsidR="00D5137A" w:rsidRPr="00CE2185" w:rsidRDefault="68F8B877">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0</w:t>
            </w:r>
            <w:r w:rsidR="00D5137A" w:rsidRPr="00CE2185">
              <w:rPr>
                <w:rFonts w:eastAsia="Times New Roman"/>
                <w:noProof/>
                <w:color w:val="000000" w:themeColor="text1"/>
                <w:sz w:val="20"/>
                <w:szCs w:val="20"/>
                <w:lang w:val="en-US" w:eastAsia="en-IE"/>
              </w:rPr>
              <w:t xml:space="preserve"> </w:t>
            </w:r>
          </w:p>
        </w:tc>
        <w:tc>
          <w:tcPr>
            <w:tcW w:w="400" w:type="pct"/>
            <w:tcBorders>
              <w:top w:val="single" w:sz="4" w:space="0" w:color="auto"/>
              <w:left w:val="single" w:sz="4" w:space="0" w:color="auto"/>
              <w:bottom w:val="single" w:sz="4" w:space="0" w:color="auto"/>
              <w:right w:val="single" w:sz="4" w:space="0" w:color="auto"/>
            </w:tcBorders>
            <w:vAlign w:val="center"/>
          </w:tcPr>
          <w:p w14:paraId="03E12EFD" w14:textId="41C10471" w:rsidR="00D5137A" w:rsidRPr="00CE2185" w:rsidRDefault="3C72F6B4">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10</w:t>
            </w:r>
          </w:p>
        </w:tc>
        <w:tc>
          <w:tcPr>
            <w:tcW w:w="399" w:type="pct"/>
            <w:tcBorders>
              <w:top w:val="single" w:sz="4" w:space="0" w:color="auto"/>
              <w:left w:val="single" w:sz="4" w:space="0" w:color="auto"/>
              <w:bottom w:val="single" w:sz="4" w:space="0" w:color="auto"/>
              <w:right w:val="single" w:sz="4" w:space="0" w:color="auto"/>
            </w:tcBorders>
            <w:vAlign w:val="center"/>
          </w:tcPr>
          <w:p w14:paraId="70D45D93" w14:textId="76C07AAF" w:rsidR="00D5137A" w:rsidRPr="00CE2185" w:rsidRDefault="008E602C">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13</w:t>
            </w:r>
          </w:p>
        </w:tc>
        <w:tc>
          <w:tcPr>
            <w:tcW w:w="400" w:type="pct"/>
            <w:tcBorders>
              <w:top w:val="single" w:sz="4" w:space="0" w:color="auto"/>
              <w:left w:val="single" w:sz="4" w:space="0" w:color="auto"/>
              <w:bottom w:val="single" w:sz="4" w:space="0" w:color="auto"/>
              <w:right w:val="single" w:sz="4" w:space="0" w:color="auto"/>
            </w:tcBorders>
            <w:vAlign w:val="center"/>
          </w:tcPr>
          <w:p w14:paraId="1E16BD0D" w14:textId="1A0027C5" w:rsidR="00D5137A" w:rsidRPr="00CE2185" w:rsidRDefault="008E602C">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13</w:t>
            </w:r>
          </w:p>
        </w:tc>
        <w:tc>
          <w:tcPr>
            <w:tcW w:w="400" w:type="pct"/>
            <w:tcBorders>
              <w:top w:val="single" w:sz="4" w:space="0" w:color="auto"/>
              <w:left w:val="single" w:sz="4" w:space="0" w:color="auto"/>
              <w:bottom w:val="single" w:sz="4" w:space="0" w:color="auto"/>
              <w:right w:val="single" w:sz="4" w:space="0" w:color="auto"/>
            </w:tcBorders>
            <w:vAlign w:val="center"/>
          </w:tcPr>
          <w:p w14:paraId="695F5DE2" w14:textId="5991458B" w:rsidR="00D5137A" w:rsidRPr="00CE2185" w:rsidRDefault="008E602C">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13</w:t>
            </w:r>
          </w:p>
        </w:tc>
        <w:tc>
          <w:tcPr>
            <w:tcW w:w="1164" w:type="pct"/>
            <w:tcBorders>
              <w:top w:val="single" w:sz="4" w:space="0" w:color="auto"/>
              <w:left w:val="single" w:sz="4" w:space="0" w:color="auto"/>
              <w:bottom w:val="single" w:sz="4" w:space="0" w:color="auto"/>
              <w:right w:val="single" w:sz="4" w:space="0" w:color="auto"/>
            </w:tcBorders>
            <w:vAlign w:val="center"/>
          </w:tcPr>
          <w:p w14:paraId="0AA18FDB" w14:textId="58840E7A" w:rsidR="00D5137A" w:rsidRPr="00CE2185" w:rsidRDefault="00CD73D2" w:rsidP="00603232">
            <w:pPr>
              <w:spacing w:after="0"/>
              <w:jc w:val="center"/>
              <w:rPr>
                <w:rFonts w:eastAsia="Times New Roman"/>
                <w:noProof/>
                <w:color w:val="000000"/>
                <w:sz w:val="20"/>
                <w:szCs w:val="20"/>
                <w:lang w:val="en-US" w:eastAsia="en-IE"/>
              </w:rPr>
            </w:pPr>
            <w:r w:rsidRPr="00CE2185">
              <w:rPr>
                <w:rFonts w:eastAsia="Times New Roman"/>
                <w:b/>
                <w:noProof/>
                <w:color w:val="000000"/>
                <w:sz w:val="20"/>
                <w:szCs w:val="20"/>
                <w:lang w:val="en-US" w:eastAsia="en-IE"/>
              </w:rPr>
              <w:t>74</w:t>
            </w:r>
            <w:r w:rsidRPr="00CE2185">
              <w:rPr>
                <w:rFonts w:eastAsia="Times New Roman"/>
                <w:noProof/>
                <w:color w:val="000000"/>
                <w:sz w:val="20"/>
                <w:szCs w:val="20"/>
                <w:lang w:val="en-US" w:eastAsia="en-IE"/>
              </w:rPr>
              <w:t> 749 500</w:t>
            </w:r>
          </w:p>
        </w:tc>
      </w:tr>
    </w:tbl>
    <w:p w14:paraId="67112506" w14:textId="77777777" w:rsidR="00941220" w:rsidRPr="00CE2185" w:rsidRDefault="00941220" w:rsidP="00B93963">
      <w:pPr>
        <w:spacing w:after="0"/>
        <w:rPr>
          <w:noProof/>
          <w:lang w:val="en-US"/>
        </w:rPr>
      </w:pPr>
    </w:p>
    <w:p w14:paraId="13BA18B6" w14:textId="47E50DAF" w:rsidR="002A56A4" w:rsidRPr="00CE2185" w:rsidRDefault="009152A6" w:rsidP="00795DF0">
      <w:pPr>
        <w:spacing w:after="120"/>
        <w:rPr>
          <w:noProof/>
          <w:lang w:val="en-US"/>
        </w:rPr>
      </w:pPr>
      <w:r w:rsidRPr="00CE2185">
        <w:rPr>
          <w:noProof/>
          <w:lang w:val="en-US"/>
        </w:rPr>
        <w:t xml:space="preserve">Under </w:t>
      </w:r>
      <w:r w:rsidR="004C7A50" w:rsidRPr="00CE2185">
        <w:rPr>
          <w:b/>
          <w:i/>
          <w:noProof/>
          <w:lang w:val="en-US"/>
        </w:rPr>
        <w:t>Option B.3</w:t>
      </w:r>
      <w:r w:rsidR="004C7A50" w:rsidRPr="00CE2185">
        <w:rPr>
          <w:noProof/>
          <w:lang w:val="en-US"/>
        </w:rPr>
        <w:t xml:space="preserve"> </w:t>
      </w:r>
      <w:r w:rsidRPr="00CE2185">
        <w:rPr>
          <w:noProof/>
          <w:lang w:val="en-US"/>
        </w:rPr>
        <w:t>compliance costs w</w:t>
      </w:r>
      <w:r w:rsidR="008E5AC1" w:rsidRPr="00CE2185">
        <w:rPr>
          <w:noProof/>
          <w:lang w:val="en-US"/>
        </w:rPr>
        <w:t>ould</w:t>
      </w:r>
      <w:r w:rsidRPr="00CE2185">
        <w:rPr>
          <w:noProof/>
          <w:lang w:val="en-US"/>
        </w:rPr>
        <w:t xml:space="preserve"> occur</w:t>
      </w:r>
      <w:r w:rsidR="008E5AC1" w:rsidRPr="00CE2185">
        <w:rPr>
          <w:noProof/>
          <w:lang w:val="en-US"/>
        </w:rPr>
        <w:t xml:space="preserve"> for businesses</w:t>
      </w:r>
      <w:r w:rsidR="004C7A50" w:rsidRPr="00CE2185">
        <w:rPr>
          <w:noProof/>
          <w:lang w:val="en-US"/>
        </w:rPr>
        <w:t xml:space="preserve"> due to </w:t>
      </w:r>
      <w:r w:rsidR="00043ECD" w:rsidRPr="00CE2185">
        <w:rPr>
          <w:noProof/>
          <w:lang w:val="en-US"/>
        </w:rPr>
        <w:t xml:space="preserve">selective </w:t>
      </w:r>
      <w:r w:rsidR="004C7A50" w:rsidRPr="00CE2185">
        <w:rPr>
          <w:rFonts w:eastAsia="Times New Roman"/>
          <w:noProof/>
          <w:color w:val="000000" w:themeColor="text1"/>
          <w:lang w:val="en-US"/>
        </w:rPr>
        <w:t>mandatory certification</w:t>
      </w:r>
      <w:r w:rsidR="008E5AC1" w:rsidRPr="00CE2185">
        <w:rPr>
          <w:rFonts w:eastAsia="Times New Roman"/>
          <w:noProof/>
          <w:color w:val="000000" w:themeColor="text1"/>
          <w:lang w:val="en-US"/>
        </w:rPr>
        <w:t xml:space="preserve"> for all essential entities under NIS2</w:t>
      </w:r>
      <w:r w:rsidR="006F2E0B" w:rsidRPr="00CE2185">
        <w:rPr>
          <w:rFonts w:eastAsia="Times New Roman"/>
          <w:noProof/>
          <w:color w:val="000000" w:themeColor="text1"/>
          <w:lang w:val="en-US"/>
        </w:rPr>
        <w:t xml:space="preserve"> under the cyber posture scheme (established under B2)</w:t>
      </w:r>
      <w:r w:rsidRPr="00CE2185">
        <w:rPr>
          <w:rFonts w:eastAsia="Times New Roman"/>
          <w:noProof/>
          <w:color w:val="000000" w:themeColor="text1"/>
          <w:lang w:val="en-US"/>
        </w:rPr>
        <w:t xml:space="preserve">. </w:t>
      </w:r>
      <w:r w:rsidR="00E64733" w:rsidRPr="00CE2185">
        <w:rPr>
          <w:noProof/>
          <w:lang w:val="en-US"/>
        </w:rPr>
        <w:t>Option B.3</w:t>
      </w:r>
      <w:r w:rsidR="00E64733" w:rsidRPr="00CE2185">
        <w:rPr>
          <w:rFonts w:eastAsia="Times New Roman"/>
          <w:noProof/>
          <w:color w:val="000000" w:themeColor="text1"/>
          <w:lang w:val="en-US"/>
        </w:rPr>
        <w:t xml:space="preserve"> </w:t>
      </w:r>
      <w:r w:rsidR="00E64733" w:rsidRPr="00CE2185">
        <w:rPr>
          <w:noProof/>
          <w:lang w:val="en-US"/>
        </w:rPr>
        <w:t xml:space="preserve">envisages the same tasks for </w:t>
      </w:r>
      <w:r w:rsidR="00E64733" w:rsidRPr="00CE2185">
        <w:rPr>
          <w:b/>
          <w:noProof/>
          <w:lang w:val="en-US"/>
        </w:rPr>
        <w:t>ENISA</w:t>
      </w:r>
      <w:r w:rsidR="00E64733" w:rsidRPr="00CE2185">
        <w:rPr>
          <w:noProof/>
          <w:lang w:val="en-US"/>
        </w:rPr>
        <w:t xml:space="preserve"> as option B.2 and therefore the </w:t>
      </w:r>
      <w:r w:rsidR="00E64733" w:rsidRPr="00CE2185">
        <w:rPr>
          <w:b/>
          <w:bCs/>
          <w:noProof/>
          <w:lang w:val="en-US"/>
        </w:rPr>
        <w:t>compliance costs</w:t>
      </w:r>
      <w:r w:rsidR="006F2E0B" w:rsidRPr="00CE2185">
        <w:rPr>
          <w:b/>
          <w:bCs/>
          <w:noProof/>
          <w:lang w:val="en-US"/>
        </w:rPr>
        <w:t xml:space="preserve"> </w:t>
      </w:r>
      <w:r w:rsidR="003C553F" w:rsidRPr="00CE2185">
        <w:rPr>
          <w:b/>
          <w:bCs/>
          <w:noProof/>
          <w:lang w:val="en-US"/>
        </w:rPr>
        <w:t xml:space="preserve">(recurrent adjustment costs) </w:t>
      </w:r>
      <w:r w:rsidR="006F2E0B" w:rsidRPr="00CE2185">
        <w:rPr>
          <w:b/>
          <w:bCs/>
          <w:noProof/>
          <w:lang w:val="en-US"/>
        </w:rPr>
        <w:t>would remain the same</w:t>
      </w:r>
      <w:r w:rsidR="00E64733" w:rsidRPr="00CE2185">
        <w:rPr>
          <w:noProof/>
          <w:lang w:val="en-US"/>
        </w:rPr>
        <w:t xml:space="preserve">. Regarding </w:t>
      </w:r>
      <w:r w:rsidR="00E64733" w:rsidRPr="00CE2185">
        <w:rPr>
          <w:b/>
          <w:noProof/>
          <w:lang w:val="en-US"/>
        </w:rPr>
        <w:t>public authorities</w:t>
      </w:r>
      <w:r w:rsidR="00E64733" w:rsidRPr="00CE2185">
        <w:rPr>
          <w:noProof/>
          <w:lang w:val="en-US"/>
        </w:rPr>
        <w:t>,</w:t>
      </w:r>
      <w:r w:rsidR="006070ED" w:rsidRPr="00CE2185">
        <w:rPr>
          <w:noProof/>
          <w:lang w:val="en-US"/>
        </w:rPr>
        <w:t xml:space="preserve"> </w:t>
      </w:r>
      <w:r w:rsidR="00E64733" w:rsidRPr="00CE2185">
        <w:rPr>
          <w:noProof/>
          <w:lang w:val="en-US"/>
        </w:rPr>
        <w:t xml:space="preserve">the costs would </w:t>
      </w:r>
      <w:r w:rsidR="00187F40" w:rsidRPr="00CE2185">
        <w:rPr>
          <w:noProof/>
          <w:lang w:val="en-US"/>
        </w:rPr>
        <w:t>be higher</w:t>
      </w:r>
      <w:r w:rsidR="00BA3D8C" w:rsidRPr="00CE2185">
        <w:rPr>
          <w:noProof/>
          <w:lang w:val="en-US"/>
        </w:rPr>
        <w:t xml:space="preserve"> compared to option B2 as all </w:t>
      </w:r>
      <w:r w:rsidR="00E9565D" w:rsidRPr="00CE2185">
        <w:rPr>
          <w:noProof/>
          <w:lang w:val="en-US"/>
        </w:rPr>
        <w:t xml:space="preserve">essential </w:t>
      </w:r>
      <w:r w:rsidR="00BA3D8C" w:rsidRPr="00CE2185">
        <w:rPr>
          <w:noProof/>
          <w:lang w:val="en-US"/>
        </w:rPr>
        <w:t xml:space="preserve">entities </w:t>
      </w:r>
      <w:r w:rsidR="00E9565D" w:rsidRPr="00CE2185">
        <w:rPr>
          <w:noProof/>
          <w:lang w:val="en-US"/>
        </w:rPr>
        <w:t xml:space="preserve">would go through certification and hence supervisory tasks would </w:t>
      </w:r>
      <w:r w:rsidR="00510E08" w:rsidRPr="00CE2185">
        <w:rPr>
          <w:noProof/>
          <w:lang w:val="en-US"/>
        </w:rPr>
        <w:t>be more demanding compared to</w:t>
      </w:r>
      <w:r w:rsidR="00BA3D8C" w:rsidRPr="00CE2185">
        <w:rPr>
          <w:noProof/>
          <w:lang w:val="en-US"/>
        </w:rPr>
        <w:t xml:space="preserve"> </w:t>
      </w:r>
      <w:r w:rsidR="008C6D9E" w:rsidRPr="00CE2185">
        <w:rPr>
          <w:noProof/>
          <w:lang w:val="en-US"/>
        </w:rPr>
        <w:t>B2</w:t>
      </w:r>
      <w:r w:rsidR="00E64733" w:rsidRPr="00CE2185">
        <w:rPr>
          <w:noProof/>
          <w:lang w:val="en-US"/>
        </w:rPr>
        <w:t>.</w:t>
      </w:r>
      <w:r w:rsidR="006070ED" w:rsidRPr="00CE2185">
        <w:rPr>
          <w:noProof/>
          <w:lang w:val="en-US"/>
        </w:rPr>
        <w:t xml:space="preserve"> </w:t>
      </w:r>
      <w:r w:rsidR="003E1EA6" w:rsidRPr="00CE2185">
        <w:rPr>
          <w:noProof/>
          <w:lang w:val="en-US"/>
        </w:rPr>
        <w:t xml:space="preserve">Hence, the assumption is taken that this would require 5 additional FTEs (instead of 3 FTEs </w:t>
      </w:r>
      <w:r w:rsidR="00BA3D8C" w:rsidRPr="00CE2185">
        <w:rPr>
          <w:noProof/>
          <w:lang w:val="en-US"/>
        </w:rPr>
        <w:t xml:space="preserve">under </w:t>
      </w:r>
      <w:r w:rsidR="003E1EA6" w:rsidRPr="00CE2185">
        <w:rPr>
          <w:noProof/>
          <w:lang w:val="en-US"/>
        </w:rPr>
        <w:t xml:space="preserve">B2). </w:t>
      </w:r>
    </w:p>
    <w:p w14:paraId="3C0CF6CE" w14:textId="275E0BD6" w:rsidR="002B5069" w:rsidRPr="00CE2185" w:rsidRDefault="002B5069" w:rsidP="001E5D9D">
      <w:pPr>
        <w:pStyle w:val="Heading7"/>
        <w:rPr>
          <w:rFonts w:eastAsia="Times New Roman"/>
          <w:noProof/>
          <w:color w:val="000000" w:themeColor="text1"/>
          <w:lang w:val="en-US"/>
        </w:rPr>
      </w:pPr>
      <w:bookmarkStart w:id="108" w:name="_Toc218767771"/>
      <w:r w:rsidRPr="00CE2185">
        <w:rPr>
          <w:noProof/>
        </w:rPr>
        <w:t>Table</w:t>
      </w:r>
      <w:r w:rsidR="007C0F70" w:rsidRPr="00CE2185">
        <w:rPr>
          <w:noProof/>
        </w:rPr>
        <w:t xml:space="preserve"> </w:t>
      </w:r>
      <w:r w:rsidR="00362531" w:rsidRPr="00CE2185">
        <w:rPr>
          <w:noProof/>
        </w:rPr>
        <w:t>9</w:t>
      </w:r>
      <w:r w:rsidRPr="00CE2185">
        <w:rPr>
          <w:noProof/>
        </w:rPr>
        <w:t>: overview of costs for public authorities under Option B.3</w:t>
      </w:r>
      <w:bookmarkEnd w:id="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60"/>
        <w:gridCol w:w="635"/>
        <w:gridCol w:w="638"/>
        <w:gridCol w:w="638"/>
        <w:gridCol w:w="638"/>
        <w:gridCol w:w="638"/>
        <w:gridCol w:w="2216"/>
      </w:tblGrid>
      <w:tr w:rsidR="00643AEE" w:rsidRPr="00CE2185" w14:paraId="4750047E" w14:textId="77777777" w:rsidTr="00416674">
        <w:trPr>
          <w:trHeight w:val="315"/>
        </w:trPr>
        <w:tc>
          <w:tcPr>
            <w:tcW w:w="1839" w:type="pct"/>
            <w:shd w:val="clear" w:color="auto" w:fill="D0D0D0"/>
            <w:noWrap/>
            <w:vAlign w:val="center"/>
            <w:hideMark/>
          </w:tcPr>
          <w:p w14:paraId="44C77777" w14:textId="54E8B302" w:rsidR="00643AEE" w:rsidRPr="00CE2185" w:rsidRDefault="00643AEE">
            <w:pPr>
              <w:spacing w:after="0"/>
              <w:jc w:val="left"/>
              <w:rPr>
                <w:rFonts w:eastAsia="Times New Roman"/>
                <w:b/>
                <w:noProof/>
                <w:color w:val="000000"/>
                <w:sz w:val="20"/>
                <w:szCs w:val="20"/>
                <w:lang w:val="en-US" w:eastAsia="en-IE"/>
              </w:rPr>
            </w:pPr>
            <w:r w:rsidRPr="00CE2185">
              <w:rPr>
                <w:rFonts w:eastAsia="Times New Roman"/>
                <w:b/>
                <w:noProof/>
                <w:color w:val="000000" w:themeColor="text1"/>
                <w:sz w:val="20"/>
                <w:szCs w:val="20"/>
                <w:lang w:val="en-US" w:eastAsia="en-IE"/>
              </w:rPr>
              <w:t>Option B.3 – FTEs MS</w:t>
            </w:r>
          </w:p>
          <w:p w14:paraId="333ED7F0" w14:textId="6304ACD5" w:rsidR="00643AEE" w:rsidRPr="00CE2185" w:rsidRDefault="00643AEE">
            <w:pPr>
              <w:spacing w:after="0"/>
              <w:jc w:val="left"/>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(one-off and recurrent costs for 1 MS)</w:t>
            </w:r>
          </w:p>
          <w:p w14:paraId="0CEEE583" w14:textId="77777777" w:rsidR="00643AEE" w:rsidRPr="00CE2185" w:rsidRDefault="00643AEE">
            <w:pPr>
              <w:spacing w:after="0"/>
              <w:jc w:val="left"/>
              <w:rPr>
                <w:rFonts w:eastAsia="Times New Roman"/>
                <w:b/>
                <w:noProof/>
                <w:color w:val="000000"/>
                <w:sz w:val="20"/>
                <w:szCs w:val="20"/>
                <w:lang w:val="en-US" w:eastAsia="en-IE"/>
              </w:rPr>
            </w:pPr>
            <w:r w:rsidRPr="00CE2185">
              <w:rPr>
                <w:noProof/>
                <w:sz w:val="20"/>
                <w:szCs w:val="20"/>
                <w:lang w:val="en-US"/>
              </w:rPr>
              <w:t xml:space="preserve">FTE = 56,500 EUR </w:t>
            </w:r>
          </w:p>
        </w:tc>
        <w:tc>
          <w:tcPr>
            <w:tcW w:w="398" w:type="pct"/>
            <w:shd w:val="clear" w:color="auto" w:fill="D0D0D0"/>
            <w:vAlign w:val="center"/>
            <w:hideMark/>
          </w:tcPr>
          <w:p w14:paraId="43E78577" w14:textId="77777777" w:rsidR="00643AEE" w:rsidRPr="00CE2185" w:rsidRDefault="00643AEE">
            <w:pPr>
              <w:spacing w:after="0"/>
              <w:jc w:val="left"/>
              <w:rPr>
                <w:rFonts w:eastAsia="Times New Roman"/>
                <w:noProof/>
                <w:color w:val="000000"/>
                <w:sz w:val="20"/>
                <w:szCs w:val="20"/>
                <w:lang w:val="en-US" w:eastAsia="en-IE"/>
              </w:rPr>
            </w:pPr>
            <w:r w:rsidRPr="00CE2185">
              <w:rPr>
                <w:rFonts w:eastAsia="Times New Roman"/>
                <w:noProof/>
                <w:color w:val="000000"/>
                <w:sz w:val="20"/>
                <w:szCs w:val="20"/>
                <w:lang w:val="en-US" w:eastAsia="en-IE"/>
              </w:rPr>
              <w:t>2028</w:t>
            </w:r>
          </w:p>
        </w:tc>
        <w:tc>
          <w:tcPr>
            <w:tcW w:w="399" w:type="pct"/>
            <w:shd w:val="clear" w:color="auto" w:fill="D0D0D0"/>
            <w:vAlign w:val="center"/>
            <w:hideMark/>
          </w:tcPr>
          <w:p w14:paraId="23F80CE2" w14:textId="77777777" w:rsidR="00643AEE" w:rsidRPr="00CE2185" w:rsidRDefault="00643AEE">
            <w:pPr>
              <w:spacing w:after="0"/>
              <w:jc w:val="left"/>
              <w:rPr>
                <w:rFonts w:eastAsia="Times New Roman"/>
                <w:noProof/>
                <w:sz w:val="20"/>
                <w:szCs w:val="20"/>
                <w:lang w:val="en-US" w:eastAsia="en-IE"/>
              </w:rPr>
            </w:pPr>
            <w:r w:rsidRPr="00CE2185">
              <w:rPr>
                <w:rFonts w:eastAsia="Times New Roman"/>
                <w:noProof/>
                <w:sz w:val="20"/>
                <w:szCs w:val="20"/>
                <w:lang w:val="en-US" w:eastAsia="en-IE"/>
              </w:rPr>
              <w:t>2029</w:t>
            </w:r>
          </w:p>
        </w:tc>
        <w:tc>
          <w:tcPr>
            <w:tcW w:w="400" w:type="pct"/>
            <w:shd w:val="clear" w:color="auto" w:fill="D0D0D0"/>
            <w:vAlign w:val="center"/>
            <w:hideMark/>
          </w:tcPr>
          <w:p w14:paraId="7E130E18" w14:textId="77777777" w:rsidR="00643AEE" w:rsidRPr="00CE2185" w:rsidRDefault="00643AEE">
            <w:pPr>
              <w:spacing w:after="0"/>
              <w:jc w:val="left"/>
              <w:rPr>
                <w:rFonts w:eastAsia="Times New Roman"/>
                <w:noProof/>
                <w:sz w:val="20"/>
                <w:szCs w:val="20"/>
                <w:lang w:val="en-US" w:eastAsia="en-IE"/>
              </w:rPr>
            </w:pPr>
            <w:r w:rsidRPr="00CE2185">
              <w:rPr>
                <w:rFonts w:eastAsia="Times New Roman"/>
                <w:noProof/>
                <w:sz w:val="20"/>
                <w:szCs w:val="20"/>
                <w:lang w:val="en-US" w:eastAsia="en-IE"/>
              </w:rPr>
              <w:t>2030</w:t>
            </w:r>
          </w:p>
        </w:tc>
        <w:tc>
          <w:tcPr>
            <w:tcW w:w="399" w:type="pct"/>
            <w:shd w:val="clear" w:color="auto" w:fill="D0D0D0"/>
            <w:vAlign w:val="center"/>
            <w:hideMark/>
          </w:tcPr>
          <w:p w14:paraId="3C10A050" w14:textId="77777777" w:rsidR="00643AEE" w:rsidRPr="00CE2185" w:rsidRDefault="00643AEE">
            <w:pPr>
              <w:spacing w:after="0"/>
              <w:jc w:val="left"/>
              <w:rPr>
                <w:rFonts w:eastAsia="Times New Roman"/>
                <w:noProof/>
                <w:sz w:val="20"/>
                <w:szCs w:val="20"/>
                <w:lang w:val="en-US" w:eastAsia="en-IE"/>
              </w:rPr>
            </w:pPr>
            <w:r w:rsidRPr="00CE2185">
              <w:rPr>
                <w:rFonts w:eastAsia="Times New Roman"/>
                <w:noProof/>
                <w:sz w:val="20"/>
                <w:szCs w:val="20"/>
                <w:lang w:val="en-US" w:eastAsia="en-IE"/>
              </w:rPr>
              <w:t>2031</w:t>
            </w:r>
          </w:p>
        </w:tc>
        <w:tc>
          <w:tcPr>
            <w:tcW w:w="400" w:type="pct"/>
            <w:shd w:val="clear" w:color="auto" w:fill="D0D0D0"/>
            <w:vAlign w:val="center"/>
            <w:hideMark/>
          </w:tcPr>
          <w:p w14:paraId="64E2DE9F" w14:textId="77777777" w:rsidR="00643AEE" w:rsidRPr="00CE2185" w:rsidRDefault="00643AEE">
            <w:pPr>
              <w:spacing w:after="0"/>
              <w:jc w:val="left"/>
              <w:rPr>
                <w:rFonts w:eastAsia="Times New Roman"/>
                <w:noProof/>
                <w:sz w:val="20"/>
                <w:szCs w:val="20"/>
                <w:lang w:val="en-US" w:eastAsia="en-IE"/>
              </w:rPr>
            </w:pPr>
            <w:r w:rsidRPr="00CE2185">
              <w:rPr>
                <w:rFonts w:eastAsia="Times New Roman"/>
                <w:noProof/>
                <w:sz w:val="20"/>
                <w:szCs w:val="20"/>
                <w:lang w:val="en-US" w:eastAsia="en-IE"/>
              </w:rPr>
              <w:t>2032</w:t>
            </w:r>
          </w:p>
        </w:tc>
        <w:tc>
          <w:tcPr>
            <w:tcW w:w="1164" w:type="pct"/>
            <w:shd w:val="clear" w:color="auto" w:fill="D0D0D0"/>
            <w:noWrap/>
            <w:vAlign w:val="center"/>
            <w:hideMark/>
          </w:tcPr>
          <w:p w14:paraId="6E83777D" w14:textId="77777777" w:rsidR="00643AEE" w:rsidRPr="00CE2185" w:rsidRDefault="00643AEE">
            <w:pPr>
              <w:spacing w:after="0"/>
              <w:jc w:val="left"/>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Total costs over 5 years</w:t>
            </w:r>
          </w:p>
          <w:p w14:paraId="448BEEAC" w14:textId="77777777" w:rsidR="00643AEE" w:rsidRPr="00CE2185" w:rsidRDefault="00643AEE">
            <w:pPr>
              <w:spacing w:after="0"/>
              <w:jc w:val="left"/>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Aggregated for 27 MS</w:t>
            </w:r>
          </w:p>
        </w:tc>
      </w:tr>
      <w:tr w:rsidR="00643AEE" w:rsidRPr="00CE2185" w14:paraId="46387C6B" w14:textId="77777777" w:rsidTr="00416674">
        <w:trPr>
          <w:trHeight w:val="225"/>
        </w:trPr>
        <w:tc>
          <w:tcPr>
            <w:tcW w:w="1839" w:type="pct"/>
            <w:noWrap/>
            <w:vAlign w:val="center"/>
            <w:hideMark/>
          </w:tcPr>
          <w:p w14:paraId="05A4F2F7" w14:textId="655AAA43" w:rsidR="00643AEE" w:rsidRPr="00CE2185" w:rsidRDefault="1293DD95" w:rsidP="7410CB48">
            <w:pPr>
              <w:spacing w:after="0"/>
              <w:jc w:val="left"/>
              <w:rPr>
                <w:rFonts w:eastAsia="Times New Roman"/>
                <w:b/>
                <w:bCs/>
                <w:noProof/>
                <w:color w:val="000000"/>
                <w:sz w:val="20"/>
                <w:szCs w:val="20"/>
                <w:lang w:val="en-US" w:eastAsia="en-IE"/>
              </w:rPr>
            </w:pPr>
            <w:r w:rsidRPr="00CE2185">
              <w:rPr>
                <w:rFonts w:eastAsia="Times New Roman"/>
                <w:b/>
                <w:bCs/>
                <w:noProof/>
                <w:color w:val="000000" w:themeColor="text1"/>
                <w:sz w:val="20"/>
                <w:szCs w:val="20"/>
                <w:lang w:val="en-US" w:eastAsia="en-IE"/>
              </w:rPr>
              <w:t>Scenario B</w:t>
            </w:r>
            <w:r w:rsidR="3F732704" w:rsidRPr="00CE2185">
              <w:rPr>
                <w:rFonts w:eastAsia="Times New Roman"/>
                <w:b/>
                <w:bCs/>
                <w:noProof/>
                <w:color w:val="000000" w:themeColor="text1"/>
                <w:sz w:val="20"/>
                <w:szCs w:val="20"/>
                <w:lang w:val="en-US" w:eastAsia="en-IE"/>
              </w:rPr>
              <w:t>3</w:t>
            </w:r>
            <w:r w:rsidRPr="00CE2185">
              <w:rPr>
                <w:rFonts w:eastAsia="Times New Roman"/>
                <w:b/>
                <w:bCs/>
                <w:noProof/>
                <w:color w:val="000000" w:themeColor="text1"/>
                <w:sz w:val="20"/>
                <w:szCs w:val="20"/>
                <w:lang w:val="en-US" w:eastAsia="en-IE"/>
              </w:rPr>
              <w:t xml:space="preserve"> </w:t>
            </w:r>
          </w:p>
        </w:tc>
        <w:tc>
          <w:tcPr>
            <w:tcW w:w="398" w:type="pct"/>
            <w:vAlign w:val="center"/>
            <w:hideMark/>
          </w:tcPr>
          <w:p w14:paraId="2409B3A4"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399" w:type="pct"/>
            <w:vAlign w:val="center"/>
            <w:hideMark/>
          </w:tcPr>
          <w:p w14:paraId="233D601D"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400" w:type="pct"/>
            <w:vAlign w:val="center"/>
            <w:hideMark/>
          </w:tcPr>
          <w:p w14:paraId="049D0198" w14:textId="494FF57F"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5</w:t>
            </w:r>
          </w:p>
        </w:tc>
        <w:tc>
          <w:tcPr>
            <w:tcW w:w="399" w:type="pct"/>
            <w:vAlign w:val="center"/>
            <w:hideMark/>
          </w:tcPr>
          <w:p w14:paraId="1652DB85" w14:textId="136DFE2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5</w:t>
            </w:r>
          </w:p>
        </w:tc>
        <w:tc>
          <w:tcPr>
            <w:tcW w:w="400" w:type="pct"/>
            <w:vAlign w:val="center"/>
            <w:hideMark/>
          </w:tcPr>
          <w:p w14:paraId="03BC32BF" w14:textId="2CF5AF9E"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5</w:t>
            </w:r>
          </w:p>
        </w:tc>
        <w:tc>
          <w:tcPr>
            <w:tcW w:w="1164" w:type="pct"/>
            <w:vAlign w:val="center"/>
            <w:hideMark/>
          </w:tcPr>
          <w:p w14:paraId="65F36A0E" w14:textId="05DA9D43" w:rsidR="00643AEE" w:rsidRPr="00CE2185" w:rsidRDefault="00F04F01">
            <w:pPr>
              <w:spacing w:after="0"/>
              <w:jc w:val="center"/>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22</w:t>
            </w:r>
            <w:r w:rsidRPr="00CE2185">
              <w:rPr>
                <w:rFonts w:eastAsia="Times New Roman"/>
                <w:noProof/>
                <w:color w:val="000000"/>
                <w:sz w:val="20"/>
                <w:szCs w:val="20"/>
                <w:lang w:val="en-US" w:eastAsia="en-IE"/>
              </w:rPr>
              <w:t xml:space="preserve"> 882 500</w:t>
            </w:r>
          </w:p>
        </w:tc>
      </w:tr>
      <w:tr w:rsidR="00643AEE" w:rsidRPr="00CE2185" w14:paraId="5E99E9B9" w14:textId="77777777" w:rsidTr="00416674">
        <w:trPr>
          <w:trHeight w:val="209"/>
        </w:trPr>
        <w:tc>
          <w:tcPr>
            <w:tcW w:w="1839" w:type="pct"/>
            <w:tcBorders>
              <w:top w:val="single" w:sz="4" w:space="0" w:color="auto"/>
              <w:left w:val="single" w:sz="4" w:space="0" w:color="auto"/>
              <w:bottom w:val="single" w:sz="4" w:space="0" w:color="auto"/>
              <w:right w:val="single" w:sz="4" w:space="0" w:color="auto"/>
            </w:tcBorders>
            <w:noWrap/>
            <w:vAlign w:val="center"/>
          </w:tcPr>
          <w:p w14:paraId="0E6B4DBF" w14:textId="36BE912C" w:rsidR="00643AEE" w:rsidRPr="00CE2185" w:rsidRDefault="1293DD95" w:rsidP="7410CB48">
            <w:pPr>
              <w:spacing w:after="0"/>
              <w:jc w:val="left"/>
              <w:rPr>
                <w:rFonts w:eastAsia="Times New Roman"/>
                <w:b/>
                <w:bCs/>
                <w:noProof/>
                <w:color w:val="000000"/>
                <w:sz w:val="20"/>
                <w:szCs w:val="20"/>
                <w:lang w:val="en-US" w:eastAsia="en-IE"/>
              </w:rPr>
            </w:pPr>
            <w:r w:rsidRPr="00CE2185">
              <w:rPr>
                <w:rFonts w:eastAsia="Times New Roman"/>
                <w:b/>
                <w:bCs/>
                <w:noProof/>
                <w:color w:val="000000" w:themeColor="text1"/>
                <w:sz w:val="20"/>
                <w:szCs w:val="20"/>
                <w:lang w:val="en-US" w:eastAsia="en-IE"/>
              </w:rPr>
              <w:t>Scenarios B</w:t>
            </w:r>
            <w:r w:rsidR="3F732704" w:rsidRPr="00CE2185">
              <w:rPr>
                <w:rFonts w:eastAsia="Times New Roman"/>
                <w:b/>
                <w:bCs/>
                <w:noProof/>
                <w:color w:val="000000" w:themeColor="text1"/>
                <w:sz w:val="20"/>
                <w:szCs w:val="20"/>
                <w:lang w:val="en-US" w:eastAsia="en-IE"/>
              </w:rPr>
              <w:t>3</w:t>
            </w:r>
            <w:r w:rsidRPr="00CE2185">
              <w:rPr>
                <w:rFonts w:eastAsia="Times New Roman"/>
                <w:b/>
                <w:bCs/>
                <w:noProof/>
                <w:color w:val="000000" w:themeColor="text1"/>
                <w:sz w:val="20"/>
                <w:szCs w:val="20"/>
                <w:lang w:val="en-US" w:eastAsia="en-IE"/>
              </w:rPr>
              <w:t xml:space="preserve">+ D2 </w:t>
            </w:r>
          </w:p>
        </w:tc>
        <w:tc>
          <w:tcPr>
            <w:tcW w:w="399" w:type="pct"/>
            <w:tcBorders>
              <w:top w:val="single" w:sz="4" w:space="0" w:color="auto"/>
              <w:left w:val="single" w:sz="4" w:space="0" w:color="auto"/>
              <w:bottom w:val="single" w:sz="4" w:space="0" w:color="auto"/>
              <w:right w:val="single" w:sz="4" w:space="0" w:color="auto"/>
            </w:tcBorders>
            <w:vAlign w:val="center"/>
          </w:tcPr>
          <w:p w14:paraId="4592437D"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0</w:t>
            </w:r>
          </w:p>
        </w:tc>
        <w:tc>
          <w:tcPr>
            <w:tcW w:w="400" w:type="pct"/>
            <w:tcBorders>
              <w:top w:val="single" w:sz="4" w:space="0" w:color="auto"/>
              <w:left w:val="single" w:sz="4" w:space="0" w:color="auto"/>
              <w:bottom w:val="single" w:sz="4" w:space="0" w:color="auto"/>
              <w:right w:val="single" w:sz="4" w:space="0" w:color="auto"/>
            </w:tcBorders>
            <w:vAlign w:val="center"/>
          </w:tcPr>
          <w:p w14:paraId="1733F569"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5</w:t>
            </w:r>
          </w:p>
        </w:tc>
        <w:tc>
          <w:tcPr>
            <w:tcW w:w="399" w:type="pct"/>
            <w:tcBorders>
              <w:top w:val="single" w:sz="4" w:space="0" w:color="auto"/>
              <w:left w:val="single" w:sz="4" w:space="0" w:color="auto"/>
              <w:bottom w:val="single" w:sz="4" w:space="0" w:color="auto"/>
              <w:right w:val="single" w:sz="4" w:space="0" w:color="auto"/>
            </w:tcBorders>
            <w:vAlign w:val="center"/>
          </w:tcPr>
          <w:p w14:paraId="3F5A8D18" w14:textId="7A94F344" w:rsidR="00643AEE" w:rsidRPr="00CE2185" w:rsidRDefault="1293DD95" w:rsidP="7410CB48">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10</w:t>
            </w:r>
          </w:p>
        </w:tc>
        <w:tc>
          <w:tcPr>
            <w:tcW w:w="400" w:type="pct"/>
            <w:tcBorders>
              <w:top w:val="single" w:sz="4" w:space="0" w:color="auto"/>
              <w:left w:val="single" w:sz="4" w:space="0" w:color="auto"/>
              <w:bottom w:val="single" w:sz="4" w:space="0" w:color="auto"/>
              <w:right w:val="single" w:sz="4" w:space="0" w:color="auto"/>
            </w:tcBorders>
            <w:vAlign w:val="center"/>
          </w:tcPr>
          <w:p w14:paraId="0FE3A44B" w14:textId="1A59AE79"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10</w:t>
            </w:r>
          </w:p>
        </w:tc>
        <w:tc>
          <w:tcPr>
            <w:tcW w:w="400" w:type="pct"/>
            <w:tcBorders>
              <w:top w:val="single" w:sz="4" w:space="0" w:color="auto"/>
              <w:left w:val="single" w:sz="4" w:space="0" w:color="auto"/>
              <w:bottom w:val="single" w:sz="4" w:space="0" w:color="auto"/>
              <w:right w:val="single" w:sz="4" w:space="0" w:color="auto"/>
            </w:tcBorders>
            <w:vAlign w:val="center"/>
          </w:tcPr>
          <w:p w14:paraId="2B228B2B" w14:textId="46960342"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10</w:t>
            </w:r>
          </w:p>
        </w:tc>
        <w:tc>
          <w:tcPr>
            <w:tcW w:w="1164" w:type="pct"/>
            <w:tcBorders>
              <w:top w:val="single" w:sz="4" w:space="0" w:color="auto"/>
              <w:left w:val="single" w:sz="4" w:space="0" w:color="auto"/>
              <w:bottom w:val="single" w:sz="4" w:space="0" w:color="auto"/>
              <w:right w:val="single" w:sz="4" w:space="0" w:color="auto"/>
            </w:tcBorders>
            <w:vAlign w:val="center"/>
          </w:tcPr>
          <w:p w14:paraId="6741B3C1" w14:textId="59755732" w:rsidR="00643AEE" w:rsidRPr="00CE2185" w:rsidRDefault="00C74BF8">
            <w:pPr>
              <w:spacing w:after="0"/>
              <w:jc w:val="center"/>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53</w:t>
            </w:r>
            <w:r w:rsidR="00F04F01" w:rsidRPr="00CE2185">
              <w:rPr>
                <w:rFonts w:eastAsia="Times New Roman"/>
                <w:b/>
                <w:noProof/>
                <w:color w:val="000000"/>
                <w:sz w:val="20"/>
                <w:szCs w:val="20"/>
                <w:lang w:val="en-US" w:eastAsia="en-IE"/>
              </w:rPr>
              <w:t xml:space="preserve"> </w:t>
            </w:r>
            <w:r w:rsidRPr="00CE2185">
              <w:rPr>
                <w:rFonts w:eastAsia="Times New Roman"/>
                <w:noProof/>
                <w:color w:val="000000"/>
                <w:sz w:val="20"/>
                <w:szCs w:val="20"/>
                <w:lang w:val="en-US" w:eastAsia="en-IE"/>
              </w:rPr>
              <w:t>392</w:t>
            </w:r>
            <w:r w:rsidR="00F04F01" w:rsidRPr="00CE2185">
              <w:rPr>
                <w:rFonts w:eastAsia="Times New Roman"/>
                <w:noProof/>
                <w:color w:val="000000"/>
                <w:sz w:val="20"/>
                <w:szCs w:val="20"/>
                <w:lang w:val="en-US" w:eastAsia="en-IE"/>
              </w:rPr>
              <w:t xml:space="preserve"> </w:t>
            </w:r>
            <w:r w:rsidRPr="00CE2185">
              <w:rPr>
                <w:rFonts w:eastAsia="Times New Roman"/>
                <w:noProof/>
                <w:color w:val="000000"/>
                <w:sz w:val="20"/>
                <w:szCs w:val="20"/>
                <w:lang w:val="en-US" w:eastAsia="en-IE"/>
              </w:rPr>
              <w:t>500</w:t>
            </w:r>
          </w:p>
        </w:tc>
      </w:tr>
      <w:tr w:rsidR="00643AEE" w:rsidRPr="00CE2185" w14:paraId="47CE2B55" w14:textId="77777777" w:rsidTr="00416674">
        <w:trPr>
          <w:trHeight w:val="145"/>
        </w:trPr>
        <w:tc>
          <w:tcPr>
            <w:tcW w:w="1839" w:type="pct"/>
            <w:tcBorders>
              <w:top w:val="single" w:sz="4" w:space="0" w:color="auto"/>
              <w:left w:val="single" w:sz="4" w:space="0" w:color="auto"/>
              <w:bottom w:val="single" w:sz="4" w:space="0" w:color="auto"/>
              <w:right w:val="single" w:sz="4" w:space="0" w:color="auto"/>
            </w:tcBorders>
            <w:noWrap/>
            <w:vAlign w:val="center"/>
          </w:tcPr>
          <w:p w14:paraId="3F7E3EF8" w14:textId="5DA5CCFA" w:rsidR="00643AEE" w:rsidRPr="00CE2185" w:rsidRDefault="1293DD95" w:rsidP="7410CB48">
            <w:pPr>
              <w:spacing w:after="0"/>
              <w:jc w:val="left"/>
              <w:rPr>
                <w:rFonts w:eastAsia="Times New Roman"/>
                <w:b/>
                <w:bCs/>
                <w:noProof/>
                <w:color w:val="000000"/>
                <w:sz w:val="20"/>
                <w:szCs w:val="20"/>
                <w:lang w:val="en-US" w:eastAsia="en-IE"/>
              </w:rPr>
            </w:pPr>
            <w:r w:rsidRPr="00CE2185">
              <w:rPr>
                <w:rFonts w:eastAsia="Times New Roman"/>
                <w:b/>
                <w:bCs/>
                <w:noProof/>
                <w:color w:val="000000" w:themeColor="text1"/>
                <w:sz w:val="20"/>
                <w:szCs w:val="20"/>
                <w:lang w:val="en-US" w:eastAsia="en-IE"/>
              </w:rPr>
              <w:t>Scenarios B</w:t>
            </w:r>
            <w:r w:rsidR="3F732704" w:rsidRPr="00CE2185">
              <w:rPr>
                <w:rFonts w:eastAsia="Times New Roman"/>
                <w:b/>
                <w:bCs/>
                <w:noProof/>
                <w:color w:val="000000" w:themeColor="text1"/>
                <w:sz w:val="20"/>
                <w:szCs w:val="20"/>
                <w:lang w:val="en-US" w:eastAsia="en-IE"/>
              </w:rPr>
              <w:t>3</w:t>
            </w:r>
            <w:r w:rsidRPr="00CE2185">
              <w:rPr>
                <w:rFonts w:eastAsia="Times New Roman"/>
                <w:b/>
                <w:bCs/>
                <w:noProof/>
                <w:color w:val="000000" w:themeColor="text1"/>
                <w:sz w:val="20"/>
                <w:szCs w:val="20"/>
                <w:lang w:val="en-US" w:eastAsia="en-IE"/>
              </w:rPr>
              <w:t xml:space="preserve">+ D3 </w:t>
            </w:r>
          </w:p>
        </w:tc>
        <w:tc>
          <w:tcPr>
            <w:tcW w:w="399" w:type="pct"/>
            <w:tcBorders>
              <w:top w:val="single" w:sz="4" w:space="0" w:color="auto"/>
              <w:left w:val="single" w:sz="4" w:space="0" w:color="auto"/>
              <w:bottom w:val="single" w:sz="4" w:space="0" w:color="auto"/>
              <w:right w:val="single" w:sz="4" w:space="0" w:color="auto"/>
            </w:tcBorders>
            <w:vAlign w:val="center"/>
          </w:tcPr>
          <w:p w14:paraId="69428762"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 xml:space="preserve">0 </w:t>
            </w:r>
          </w:p>
        </w:tc>
        <w:tc>
          <w:tcPr>
            <w:tcW w:w="400" w:type="pct"/>
            <w:tcBorders>
              <w:top w:val="single" w:sz="4" w:space="0" w:color="auto"/>
              <w:left w:val="single" w:sz="4" w:space="0" w:color="auto"/>
              <w:bottom w:val="single" w:sz="4" w:space="0" w:color="auto"/>
              <w:right w:val="single" w:sz="4" w:space="0" w:color="auto"/>
            </w:tcBorders>
            <w:vAlign w:val="center"/>
          </w:tcPr>
          <w:p w14:paraId="3850ABE5" w14:textId="7777777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themeColor="text1"/>
                <w:sz w:val="20"/>
                <w:szCs w:val="20"/>
                <w:lang w:val="en-US" w:eastAsia="en-IE"/>
              </w:rPr>
              <w:t>10</w:t>
            </w:r>
          </w:p>
        </w:tc>
        <w:tc>
          <w:tcPr>
            <w:tcW w:w="399" w:type="pct"/>
            <w:tcBorders>
              <w:top w:val="single" w:sz="4" w:space="0" w:color="auto"/>
              <w:left w:val="single" w:sz="4" w:space="0" w:color="auto"/>
              <w:bottom w:val="single" w:sz="4" w:space="0" w:color="auto"/>
              <w:right w:val="single" w:sz="4" w:space="0" w:color="auto"/>
            </w:tcBorders>
            <w:vAlign w:val="center"/>
          </w:tcPr>
          <w:p w14:paraId="09DF3C3F" w14:textId="7F9B1117"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15</w:t>
            </w:r>
          </w:p>
        </w:tc>
        <w:tc>
          <w:tcPr>
            <w:tcW w:w="400" w:type="pct"/>
            <w:tcBorders>
              <w:top w:val="single" w:sz="4" w:space="0" w:color="auto"/>
              <w:left w:val="single" w:sz="4" w:space="0" w:color="auto"/>
              <w:bottom w:val="single" w:sz="4" w:space="0" w:color="auto"/>
              <w:right w:val="single" w:sz="4" w:space="0" w:color="auto"/>
            </w:tcBorders>
            <w:vAlign w:val="center"/>
          </w:tcPr>
          <w:p w14:paraId="5416FE60" w14:textId="6FBF0733"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15</w:t>
            </w:r>
          </w:p>
        </w:tc>
        <w:tc>
          <w:tcPr>
            <w:tcW w:w="400" w:type="pct"/>
            <w:tcBorders>
              <w:top w:val="single" w:sz="4" w:space="0" w:color="auto"/>
              <w:left w:val="single" w:sz="4" w:space="0" w:color="auto"/>
              <w:bottom w:val="single" w:sz="4" w:space="0" w:color="auto"/>
              <w:right w:val="single" w:sz="4" w:space="0" w:color="auto"/>
            </w:tcBorders>
            <w:vAlign w:val="center"/>
          </w:tcPr>
          <w:p w14:paraId="11297947" w14:textId="3A59D4A9" w:rsidR="00643AEE" w:rsidRPr="00CE2185" w:rsidRDefault="00643AEE">
            <w:pPr>
              <w:spacing w:after="0"/>
              <w:jc w:val="right"/>
              <w:rPr>
                <w:rFonts w:eastAsia="Times New Roman"/>
                <w:noProof/>
                <w:color w:val="000000"/>
                <w:sz w:val="20"/>
                <w:szCs w:val="20"/>
                <w:lang w:val="en-US" w:eastAsia="en-IE"/>
              </w:rPr>
            </w:pPr>
            <w:r w:rsidRPr="00CE2185">
              <w:rPr>
                <w:rFonts w:eastAsia="Times New Roman"/>
                <w:noProof/>
                <w:color w:val="000000"/>
                <w:sz w:val="20"/>
                <w:szCs w:val="20"/>
                <w:lang w:val="en-US" w:eastAsia="en-IE"/>
              </w:rPr>
              <w:t>15</w:t>
            </w:r>
          </w:p>
        </w:tc>
        <w:tc>
          <w:tcPr>
            <w:tcW w:w="1164" w:type="pct"/>
            <w:tcBorders>
              <w:top w:val="single" w:sz="4" w:space="0" w:color="auto"/>
              <w:left w:val="single" w:sz="4" w:space="0" w:color="auto"/>
              <w:bottom w:val="single" w:sz="4" w:space="0" w:color="auto"/>
              <w:right w:val="single" w:sz="4" w:space="0" w:color="auto"/>
            </w:tcBorders>
            <w:vAlign w:val="center"/>
          </w:tcPr>
          <w:p w14:paraId="7F1E4872" w14:textId="40A17D9D" w:rsidR="00643AEE" w:rsidRPr="00CE2185" w:rsidRDefault="0063281F">
            <w:pPr>
              <w:spacing w:after="0"/>
              <w:jc w:val="center"/>
              <w:rPr>
                <w:rFonts w:eastAsia="Times New Roman"/>
                <w:b/>
                <w:noProof/>
                <w:color w:val="000000"/>
                <w:sz w:val="20"/>
                <w:szCs w:val="20"/>
                <w:lang w:val="en-US" w:eastAsia="en-IE"/>
              </w:rPr>
            </w:pPr>
            <w:r w:rsidRPr="00CE2185">
              <w:rPr>
                <w:rFonts w:eastAsia="Times New Roman"/>
                <w:b/>
                <w:noProof/>
                <w:color w:val="000000"/>
                <w:sz w:val="20"/>
                <w:szCs w:val="20"/>
                <w:lang w:val="en-US" w:eastAsia="en-IE"/>
              </w:rPr>
              <w:t xml:space="preserve">83 </w:t>
            </w:r>
            <w:r w:rsidRPr="00CE2185">
              <w:rPr>
                <w:rFonts w:eastAsia="Times New Roman"/>
                <w:noProof/>
                <w:color w:val="000000"/>
                <w:sz w:val="20"/>
                <w:szCs w:val="20"/>
                <w:lang w:val="en-US" w:eastAsia="en-IE"/>
              </w:rPr>
              <w:t>902 500</w:t>
            </w:r>
          </w:p>
        </w:tc>
      </w:tr>
    </w:tbl>
    <w:p w14:paraId="39A77C3A" w14:textId="77777777" w:rsidR="009F718B" w:rsidRPr="00CE2185" w:rsidRDefault="009F718B" w:rsidP="00795DF0">
      <w:pPr>
        <w:spacing w:after="120"/>
        <w:rPr>
          <w:noProof/>
        </w:rPr>
      </w:pPr>
    </w:p>
    <w:p w14:paraId="151FF328" w14:textId="4BAD72EE" w:rsidR="00011A10" w:rsidRPr="00CE2185" w:rsidRDefault="0096428D" w:rsidP="00795DF0">
      <w:pPr>
        <w:spacing w:after="120"/>
        <w:rPr>
          <w:rFonts w:eastAsia="Times New Roman"/>
          <w:noProof/>
          <w:color w:val="000000" w:themeColor="text1"/>
        </w:rPr>
      </w:pPr>
      <w:r w:rsidRPr="00CE2185">
        <w:rPr>
          <w:noProof/>
        </w:rPr>
        <w:t xml:space="preserve">For </w:t>
      </w:r>
      <w:r w:rsidRPr="00CE2185">
        <w:rPr>
          <w:b/>
          <w:bCs/>
          <w:noProof/>
        </w:rPr>
        <w:t>businesses</w:t>
      </w:r>
      <w:r w:rsidRPr="00CE2185">
        <w:rPr>
          <w:noProof/>
        </w:rPr>
        <w:t xml:space="preserve">, </w:t>
      </w:r>
      <w:r w:rsidR="00C15123" w:rsidRPr="00CE2185">
        <w:rPr>
          <w:noProof/>
        </w:rPr>
        <w:t>the total estimated cost under Option B3</w:t>
      </w:r>
      <w:r w:rsidR="005D4565" w:rsidRPr="00CE2185">
        <w:rPr>
          <w:noProof/>
        </w:rPr>
        <w:t xml:space="preserve"> (with C1 or C2)</w:t>
      </w:r>
      <w:r w:rsidR="00C15123" w:rsidRPr="00CE2185">
        <w:rPr>
          <w:noProof/>
        </w:rPr>
        <w:t xml:space="preserve"> is based on the assumption that mandatory certification would apply to all essential entities</w:t>
      </w:r>
      <w:r w:rsidR="00BF215B" w:rsidRPr="00CE2185">
        <w:rPr>
          <w:noProof/>
        </w:rPr>
        <w:t xml:space="preserve"> falling under NIS2</w:t>
      </w:r>
      <w:r w:rsidR="00C15123" w:rsidRPr="00CE2185">
        <w:rPr>
          <w:noProof/>
        </w:rPr>
        <w:t xml:space="preserve">, which is estimated to </w:t>
      </w:r>
      <w:r w:rsidR="00E75E49" w:rsidRPr="00CE2185">
        <w:rPr>
          <w:noProof/>
        </w:rPr>
        <w:t>be sized down</w:t>
      </w:r>
      <w:r w:rsidR="00163BC8" w:rsidRPr="00CE2185">
        <w:rPr>
          <w:noProof/>
        </w:rPr>
        <w:t xml:space="preserve"> </w:t>
      </w:r>
      <w:r w:rsidR="00E75E49" w:rsidRPr="00CE2185">
        <w:rPr>
          <w:noProof/>
        </w:rPr>
        <w:t>to</w:t>
      </w:r>
      <w:r w:rsidR="00C15123" w:rsidRPr="00CE2185">
        <w:rPr>
          <w:noProof/>
        </w:rPr>
        <w:t xml:space="preserve"> approximately </w:t>
      </w:r>
      <w:r w:rsidR="00B40C7E" w:rsidRPr="00CE2185">
        <w:rPr>
          <w:b/>
          <w:bCs/>
          <w:noProof/>
        </w:rPr>
        <w:t>16</w:t>
      </w:r>
      <w:r w:rsidR="00765E77" w:rsidRPr="00CE2185">
        <w:rPr>
          <w:b/>
          <w:bCs/>
          <w:noProof/>
        </w:rPr>
        <w:t xml:space="preserve"> 700</w:t>
      </w:r>
      <w:r w:rsidR="00C15123" w:rsidRPr="00CE2185">
        <w:rPr>
          <w:b/>
          <w:bCs/>
          <w:noProof/>
        </w:rPr>
        <w:t xml:space="preserve"> </w:t>
      </w:r>
      <w:r w:rsidR="005D4565" w:rsidRPr="00CE2185">
        <w:rPr>
          <w:b/>
          <w:bCs/>
          <w:noProof/>
        </w:rPr>
        <w:t xml:space="preserve">essential </w:t>
      </w:r>
      <w:r w:rsidR="00C15123" w:rsidRPr="00CE2185">
        <w:rPr>
          <w:b/>
          <w:bCs/>
          <w:noProof/>
        </w:rPr>
        <w:t>entities</w:t>
      </w:r>
      <w:r w:rsidR="00C15123" w:rsidRPr="00CE2185">
        <w:rPr>
          <w:noProof/>
        </w:rPr>
        <w:t xml:space="preserve"> </w:t>
      </w:r>
      <w:r w:rsidR="00A438E1" w:rsidRPr="00CE2185">
        <w:rPr>
          <w:noProof/>
        </w:rPr>
        <w:t>(</w:t>
      </w:r>
      <w:r w:rsidR="00A438E1" w:rsidRPr="00CE2185">
        <w:rPr>
          <w:i/>
          <w:iCs/>
          <w:noProof/>
        </w:rPr>
        <w:t>see</w:t>
      </w:r>
      <w:r w:rsidR="00A438E1" w:rsidRPr="00CE2185">
        <w:rPr>
          <w:noProof/>
        </w:rPr>
        <w:t xml:space="preserve"> </w:t>
      </w:r>
      <w:r w:rsidR="00A438E1" w:rsidRPr="00CE2185">
        <w:rPr>
          <w:i/>
          <w:iCs/>
          <w:noProof/>
        </w:rPr>
        <w:t xml:space="preserve">Annex </w:t>
      </w:r>
      <w:r w:rsidR="00674B90" w:rsidRPr="00CE2185">
        <w:rPr>
          <w:i/>
          <w:iCs/>
          <w:noProof/>
        </w:rPr>
        <w:t>4</w:t>
      </w:r>
      <w:r w:rsidR="00162DB1" w:rsidRPr="00CE2185">
        <w:rPr>
          <w:i/>
          <w:iCs/>
          <w:noProof/>
        </w:rPr>
        <w:t xml:space="preserve">, </w:t>
      </w:r>
      <w:r w:rsidR="00712DDF" w:rsidRPr="00CE2185">
        <w:rPr>
          <w:i/>
          <w:iCs/>
          <w:noProof/>
        </w:rPr>
        <w:t>section 4.3.2</w:t>
      </w:r>
      <w:r w:rsidR="00A438E1" w:rsidRPr="00CE2185">
        <w:rPr>
          <w:noProof/>
        </w:rPr>
        <w:t>).</w:t>
      </w:r>
      <w:r w:rsidR="00A438E1" w:rsidRPr="00CE2185">
        <w:rPr>
          <w:noProof/>
          <w:lang w:val="en-IE"/>
        </w:rPr>
        <w:t xml:space="preserve"> </w:t>
      </w:r>
      <w:r w:rsidR="00674B90" w:rsidRPr="00CE2185">
        <w:rPr>
          <w:noProof/>
          <w:lang w:val="en-IE"/>
        </w:rPr>
        <w:t>This</w:t>
      </w:r>
      <w:r w:rsidR="00AB6035" w:rsidRPr="00CE2185">
        <w:rPr>
          <w:noProof/>
          <w:lang w:val="en-IE"/>
        </w:rPr>
        <w:t xml:space="preserve"> would not apply to </w:t>
      </w:r>
      <w:r w:rsidR="00674B90" w:rsidRPr="00CE2185">
        <w:rPr>
          <w:noProof/>
          <w:lang w:val="en-IE"/>
        </w:rPr>
        <w:t xml:space="preserve">any </w:t>
      </w:r>
      <w:r w:rsidR="00AB6035" w:rsidRPr="00CE2185">
        <w:rPr>
          <w:noProof/>
          <w:lang w:val="en-IE"/>
        </w:rPr>
        <w:t xml:space="preserve">SME. </w:t>
      </w:r>
      <w:r w:rsidR="00024E40" w:rsidRPr="00CE2185">
        <w:rPr>
          <w:noProof/>
        </w:rPr>
        <w:t xml:space="preserve">Furthermore, regarding the </w:t>
      </w:r>
      <w:r w:rsidR="00024E40" w:rsidRPr="00CE2185">
        <w:rPr>
          <w:b/>
          <w:bCs/>
          <w:noProof/>
        </w:rPr>
        <w:t>administrative costs</w:t>
      </w:r>
      <w:r w:rsidR="00024E40" w:rsidRPr="00CE2185">
        <w:rPr>
          <w:noProof/>
        </w:rPr>
        <w:t>, as indicated under B2, the</w:t>
      </w:r>
      <w:r w:rsidR="00FB13E0" w:rsidRPr="00CE2185">
        <w:rPr>
          <w:noProof/>
        </w:rPr>
        <w:t>y</w:t>
      </w:r>
      <w:r w:rsidR="00024E40" w:rsidRPr="00CE2185">
        <w:rPr>
          <w:noProof/>
        </w:rPr>
        <w:t xml:space="preserve"> would amount to </w:t>
      </w:r>
      <w:r w:rsidR="003611D2" w:rsidRPr="00CE2185">
        <w:rPr>
          <w:noProof/>
        </w:rPr>
        <w:t>one-off and recurrent</w:t>
      </w:r>
      <w:r w:rsidR="00024E40" w:rsidRPr="00CE2185">
        <w:rPr>
          <w:noProof/>
        </w:rPr>
        <w:t xml:space="preserve"> </w:t>
      </w:r>
      <w:r w:rsidR="00024E40" w:rsidRPr="00CE2185">
        <w:rPr>
          <w:rFonts w:eastAsia="Times New Roman"/>
          <w:noProof/>
          <w:color w:val="000000" w:themeColor="text1"/>
        </w:rPr>
        <w:t xml:space="preserve">of EUR </w:t>
      </w:r>
      <w:r w:rsidR="002F4FBB" w:rsidRPr="00CE2185">
        <w:rPr>
          <w:rFonts w:eastAsia="Times New Roman"/>
          <w:noProof/>
          <w:color w:val="000000" w:themeColor="text1"/>
        </w:rPr>
        <w:t>30 000</w:t>
      </w:r>
      <w:r w:rsidR="00C23918" w:rsidRPr="00CE2185">
        <w:rPr>
          <w:rFonts w:eastAsia="Times New Roman"/>
          <w:noProof/>
          <w:color w:val="000000" w:themeColor="text1"/>
        </w:rPr>
        <w:t>.</w:t>
      </w:r>
      <w:r w:rsidR="00024E40" w:rsidRPr="00CE2185">
        <w:rPr>
          <w:rFonts w:eastAsia="Times New Roman"/>
          <w:noProof/>
          <w:color w:val="000000" w:themeColor="text1"/>
        </w:rPr>
        <w:t xml:space="preserve"> </w:t>
      </w:r>
      <w:r w:rsidR="005D4565" w:rsidRPr="00CE2185">
        <w:rPr>
          <w:rFonts w:eastAsia="Times New Roman"/>
          <w:noProof/>
          <w:color w:val="000000" w:themeColor="text1"/>
        </w:rPr>
        <w:t>Additional</w:t>
      </w:r>
      <w:r w:rsidR="00024E40" w:rsidRPr="00CE2185">
        <w:rPr>
          <w:rFonts w:eastAsia="Times New Roman"/>
          <w:noProof/>
          <w:color w:val="000000" w:themeColor="text1"/>
        </w:rPr>
        <w:t xml:space="preserve"> </w:t>
      </w:r>
      <w:r w:rsidR="00024E40" w:rsidRPr="00CE2185">
        <w:rPr>
          <w:rFonts w:eastAsia="Times New Roman"/>
          <w:b/>
          <w:bCs/>
          <w:noProof/>
          <w:color w:val="000000" w:themeColor="text1"/>
        </w:rPr>
        <w:t>adjustments cost</w:t>
      </w:r>
      <w:r w:rsidR="00024E40" w:rsidRPr="00CE2185">
        <w:rPr>
          <w:rFonts w:eastAsia="Times New Roman"/>
          <w:noProof/>
          <w:color w:val="000000" w:themeColor="text1"/>
        </w:rPr>
        <w:t xml:space="preserve"> </w:t>
      </w:r>
      <w:r w:rsidR="005D4565" w:rsidRPr="00CE2185">
        <w:rPr>
          <w:rFonts w:eastAsia="Times New Roman"/>
          <w:noProof/>
          <w:color w:val="000000" w:themeColor="text1"/>
        </w:rPr>
        <w:t>may</w:t>
      </w:r>
      <w:r w:rsidR="005B7C65" w:rsidRPr="00CE2185">
        <w:rPr>
          <w:rFonts w:eastAsia="Times New Roman"/>
          <w:noProof/>
          <w:color w:val="000000" w:themeColor="text1"/>
        </w:rPr>
        <w:t xml:space="preserve"> </w:t>
      </w:r>
      <w:r w:rsidR="00933F9F" w:rsidRPr="00CE2185">
        <w:rPr>
          <w:rFonts w:eastAsia="Times New Roman"/>
          <w:noProof/>
          <w:color w:val="000000" w:themeColor="text1"/>
        </w:rPr>
        <w:t>occur</w:t>
      </w:r>
      <w:r w:rsidR="005B7C65" w:rsidRPr="00CE2185">
        <w:rPr>
          <w:rFonts w:eastAsia="Times New Roman"/>
          <w:noProof/>
          <w:color w:val="000000" w:themeColor="text1"/>
        </w:rPr>
        <w:t xml:space="preserve"> and would be similar as described in option C1 and C2 (to meet cyber security risk management measures in line with NIS2)</w:t>
      </w:r>
      <w:r w:rsidR="00024E40" w:rsidRPr="00CE2185">
        <w:rPr>
          <w:rFonts w:eastAsia="Times New Roman"/>
          <w:noProof/>
          <w:color w:val="000000" w:themeColor="text1"/>
        </w:rPr>
        <w:t xml:space="preserve">. </w:t>
      </w:r>
      <w:r w:rsidR="00F761DF" w:rsidRPr="00CE2185">
        <w:rPr>
          <w:rFonts w:eastAsia="Times New Roman"/>
          <w:noProof/>
          <w:color w:val="000000" w:themeColor="text1"/>
        </w:rPr>
        <w:t>Regarding the recurrent costs, i</w:t>
      </w:r>
      <w:r w:rsidR="00FB13E0" w:rsidRPr="00CE2185">
        <w:rPr>
          <w:rFonts w:eastAsia="Times New Roman"/>
          <w:noProof/>
          <w:color w:val="000000" w:themeColor="text1"/>
        </w:rPr>
        <w:t xml:space="preserve">t </w:t>
      </w:r>
      <w:r w:rsidR="00F761DF" w:rsidRPr="00CE2185">
        <w:rPr>
          <w:rFonts w:eastAsia="Times New Roman"/>
          <w:noProof/>
          <w:color w:val="000000" w:themeColor="text1"/>
        </w:rPr>
        <w:t xml:space="preserve">is </w:t>
      </w:r>
      <w:r w:rsidR="00FB13E0" w:rsidRPr="00CE2185">
        <w:rPr>
          <w:rFonts w:eastAsia="Times New Roman"/>
          <w:noProof/>
          <w:color w:val="000000" w:themeColor="text1"/>
        </w:rPr>
        <w:t xml:space="preserve">assumed that the recurrent </w:t>
      </w:r>
      <w:r w:rsidR="00F761DF" w:rsidRPr="00CE2185">
        <w:rPr>
          <w:rFonts w:eastAsia="Times New Roman"/>
          <w:noProof/>
          <w:color w:val="000000" w:themeColor="text1"/>
        </w:rPr>
        <w:t>adjustment</w:t>
      </w:r>
      <w:r w:rsidR="00E50DD6" w:rsidRPr="00CE2185">
        <w:rPr>
          <w:rFonts w:eastAsia="Times New Roman"/>
          <w:noProof/>
          <w:color w:val="000000" w:themeColor="text1"/>
        </w:rPr>
        <w:t xml:space="preserve"> and administrative</w:t>
      </w:r>
      <w:r w:rsidR="00F761DF" w:rsidRPr="00CE2185">
        <w:rPr>
          <w:rFonts w:eastAsia="Times New Roman"/>
          <w:noProof/>
          <w:color w:val="000000" w:themeColor="text1"/>
        </w:rPr>
        <w:t xml:space="preserve"> </w:t>
      </w:r>
      <w:r w:rsidR="00FB13E0" w:rsidRPr="00CE2185">
        <w:rPr>
          <w:rFonts w:eastAsia="Times New Roman"/>
          <w:noProof/>
          <w:color w:val="000000" w:themeColor="text1"/>
        </w:rPr>
        <w:t xml:space="preserve">costs would be similar to those </w:t>
      </w:r>
      <w:r w:rsidR="0084541B" w:rsidRPr="00CE2185">
        <w:rPr>
          <w:rFonts w:eastAsia="Times New Roman"/>
          <w:noProof/>
          <w:color w:val="000000" w:themeColor="text1"/>
        </w:rPr>
        <w:t>that</w:t>
      </w:r>
      <w:r w:rsidR="00FB13E0" w:rsidRPr="00CE2185">
        <w:rPr>
          <w:rFonts w:eastAsia="Times New Roman"/>
          <w:noProof/>
          <w:color w:val="000000" w:themeColor="text1"/>
        </w:rPr>
        <w:t xml:space="preserve"> </w:t>
      </w:r>
      <w:r w:rsidR="0084541B" w:rsidRPr="00CE2185">
        <w:rPr>
          <w:rFonts w:eastAsia="Times New Roman"/>
          <w:noProof/>
          <w:color w:val="000000" w:themeColor="text1"/>
        </w:rPr>
        <w:t xml:space="preserve">entities would carry for </w:t>
      </w:r>
      <w:r w:rsidR="005B7C65" w:rsidRPr="00CE2185">
        <w:rPr>
          <w:rFonts w:eastAsia="Times New Roman"/>
          <w:noProof/>
          <w:color w:val="000000" w:themeColor="text1"/>
        </w:rPr>
        <w:t xml:space="preserve">meeting and </w:t>
      </w:r>
      <w:r w:rsidR="0084541B" w:rsidRPr="00CE2185">
        <w:rPr>
          <w:rFonts w:eastAsia="Times New Roman"/>
          <w:noProof/>
          <w:color w:val="000000" w:themeColor="text1"/>
        </w:rPr>
        <w:t>demonstrating compliance with NIS2</w:t>
      </w:r>
      <w:r w:rsidR="00F761DF" w:rsidRPr="00CE2185">
        <w:rPr>
          <w:rFonts w:eastAsia="Times New Roman"/>
          <w:noProof/>
          <w:color w:val="000000" w:themeColor="text1"/>
        </w:rPr>
        <w:t>, and hence no addition</w:t>
      </w:r>
      <w:r w:rsidR="00330496" w:rsidRPr="00CE2185">
        <w:rPr>
          <w:rFonts w:eastAsia="Times New Roman"/>
          <w:noProof/>
          <w:color w:val="000000" w:themeColor="text1"/>
        </w:rPr>
        <w:t>a</w:t>
      </w:r>
      <w:r w:rsidR="00F761DF" w:rsidRPr="00CE2185">
        <w:rPr>
          <w:rFonts w:eastAsia="Times New Roman"/>
          <w:noProof/>
          <w:color w:val="000000" w:themeColor="text1"/>
        </w:rPr>
        <w:t xml:space="preserve">l costs </w:t>
      </w:r>
      <w:r w:rsidR="005B7C65" w:rsidRPr="00CE2185">
        <w:rPr>
          <w:rFonts w:eastAsia="Times New Roman"/>
          <w:noProof/>
          <w:color w:val="000000" w:themeColor="text1"/>
        </w:rPr>
        <w:t xml:space="preserve">compared to the </w:t>
      </w:r>
      <w:r w:rsidR="004567DF" w:rsidRPr="00CE2185">
        <w:rPr>
          <w:rFonts w:eastAsia="Times New Roman"/>
          <w:noProof/>
          <w:color w:val="000000" w:themeColor="text1"/>
        </w:rPr>
        <w:t>BaU</w:t>
      </w:r>
      <w:r w:rsidR="005B7C65" w:rsidRPr="00CE2185">
        <w:rPr>
          <w:rFonts w:eastAsia="Times New Roman"/>
          <w:noProof/>
          <w:color w:val="000000" w:themeColor="text1"/>
        </w:rPr>
        <w:t xml:space="preserve"> scenario are </w:t>
      </w:r>
      <w:r w:rsidR="00F761DF" w:rsidRPr="00CE2185">
        <w:rPr>
          <w:rFonts w:eastAsia="Times New Roman"/>
          <w:noProof/>
          <w:color w:val="000000" w:themeColor="text1"/>
        </w:rPr>
        <w:t xml:space="preserve">considered. </w:t>
      </w:r>
      <w:r w:rsidR="00964FAD" w:rsidRPr="00CE2185">
        <w:rPr>
          <w:rFonts w:eastAsia="Times New Roman"/>
          <w:noProof/>
          <w:color w:val="000000" w:themeColor="text1"/>
        </w:rPr>
        <w:t xml:space="preserve">On the contrary, as described under option C2, recurrent cost savings would occur. </w:t>
      </w:r>
      <w:r w:rsidR="00914466">
        <w:rPr>
          <w:rFonts w:eastAsia="Times New Roman"/>
          <w:noProof/>
          <w:color w:val="000000" w:themeColor="text1"/>
        </w:rPr>
        <w:t>M</w:t>
      </w:r>
      <w:r w:rsidR="00C97F13" w:rsidRPr="00CE2185">
        <w:rPr>
          <w:rFonts w:eastAsia="Times New Roman"/>
          <w:noProof/>
          <w:color w:val="000000" w:themeColor="text1"/>
        </w:rPr>
        <w:t>andatory certification of NIS2 essential entities would lead to</w:t>
      </w:r>
      <w:r w:rsidR="00C97F13" w:rsidRPr="00CE2185">
        <w:rPr>
          <w:rFonts w:eastAsia="Times New Roman"/>
          <w:b/>
          <w:bCs/>
          <w:noProof/>
          <w:color w:val="000000" w:themeColor="text1"/>
        </w:rPr>
        <w:t xml:space="preserve"> </w:t>
      </w:r>
      <w:r w:rsidR="007C1FCD" w:rsidRPr="00CE2185">
        <w:rPr>
          <w:rFonts w:eastAsia="Times New Roman"/>
          <w:b/>
          <w:bCs/>
          <w:noProof/>
          <w:color w:val="000000" w:themeColor="text1"/>
        </w:rPr>
        <w:t>aggregated</w:t>
      </w:r>
      <w:r w:rsidR="007C1FCD" w:rsidRPr="00CE2185">
        <w:rPr>
          <w:rFonts w:eastAsia="Times New Roman"/>
          <w:noProof/>
          <w:color w:val="000000" w:themeColor="text1"/>
        </w:rPr>
        <w:t xml:space="preserve"> </w:t>
      </w:r>
      <w:r w:rsidR="004754F5" w:rsidRPr="00CE2185">
        <w:rPr>
          <w:rFonts w:eastAsia="Times New Roman"/>
          <w:b/>
          <w:bCs/>
          <w:noProof/>
          <w:color w:val="000000" w:themeColor="text1"/>
        </w:rPr>
        <w:t xml:space="preserve">one-off administrative costs of EUR </w:t>
      </w:r>
      <w:r w:rsidR="00B63C1E" w:rsidRPr="00CE2185">
        <w:rPr>
          <w:rFonts w:eastAsia="Times New Roman"/>
          <w:b/>
          <w:bCs/>
          <w:noProof/>
          <w:color w:val="000000" w:themeColor="text1"/>
        </w:rPr>
        <w:t>501 million</w:t>
      </w:r>
      <w:r w:rsidR="004754F5" w:rsidRPr="00CE2185">
        <w:rPr>
          <w:rFonts w:eastAsia="Times New Roman"/>
          <w:b/>
          <w:bCs/>
          <w:noProof/>
          <w:color w:val="000000" w:themeColor="text1"/>
        </w:rPr>
        <w:t xml:space="preserve"> </w:t>
      </w:r>
      <w:r w:rsidR="004754F5" w:rsidRPr="00CE2185">
        <w:rPr>
          <w:rFonts w:eastAsia="Times New Roman"/>
          <w:noProof/>
          <w:color w:val="000000" w:themeColor="text1"/>
        </w:rPr>
        <w:t>(</w:t>
      </w:r>
      <w:r w:rsidR="00933F9F" w:rsidRPr="00CE2185">
        <w:rPr>
          <w:rFonts w:eastAsia="Times New Roman"/>
          <w:noProof/>
          <w:color w:val="000000" w:themeColor="text1"/>
        </w:rPr>
        <w:t>30 000</w:t>
      </w:r>
      <w:r w:rsidR="004754F5" w:rsidRPr="00CE2185">
        <w:rPr>
          <w:rFonts w:eastAsia="Times New Roman"/>
          <w:noProof/>
          <w:color w:val="000000" w:themeColor="text1"/>
        </w:rPr>
        <w:t xml:space="preserve"> EUR x </w:t>
      </w:r>
      <w:r w:rsidR="00933F9F" w:rsidRPr="00CE2185">
        <w:rPr>
          <w:rFonts w:eastAsia="Times New Roman"/>
          <w:noProof/>
          <w:color w:val="000000" w:themeColor="text1"/>
        </w:rPr>
        <w:t>16 700</w:t>
      </w:r>
      <w:r w:rsidR="004711EE" w:rsidRPr="00CE2185">
        <w:rPr>
          <w:rFonts w:eastAsia="Times New Roman"/>
          <w:noProof/>
          <w:color w:val="000000" w:themeColor="text1"/>
        </w:rPr>
        <w:t xml:space="preserve"> entities</w:t>
      </w:r>
      <w:r w:rsidR="004754F5" w:rsidRPr="00CE2185">
        <w:rPr>
          <w:rFonts w:eastAsia="Times New Roman"/>
          <w:noProof/>
          <w:color w:val="000000" w:themeColor="text1"/>
        </w:rPr>
        <w:t>)</w:t>
      </w:r>
      <w:r w:rsidR="00442290" w:rsidRPr="00CE2185">
        <w:rPr>
          <w:rFonts w:eastAsia="Times New Roman"/>
          <w:noProof/>
          <w:color w:val="000000" w:themeColor="text1"/>
        </w:rPr>
        <w:t>.</w:t>
      </w:r>
      <w:r w:rsidR="00442290" w:rsidRPr="00CE2185">
        <w:rPr>
          <w:rFonts w:eastAsia="Times New Roman"/>
          <w:i/>
          <w:iCs/>
          <w:noProof/>
          <w:color w:val="000000" w:themeColor="text1"/>
        </w:rPr>
        <w:t xml:space="preserve"> </w:t>
      </w:r>
      <w:r w:rsidR="002E136D" w:rsidRPr="00CE2185">
        <w:rPr>
          <w:rFonts w:eastAsia="Times New Roman"/>
          <w:noProof/>
          <w:color w:val="000000" w:themeColor="text1"/>
        </w:rPr>
        <w:t xml:space="preserve">The impacts </w:t>
      </w:r>
      <w:r w:rsidR="00F013A4" w:rsidRPr="00CE2185">
        <w:rPr>
          <w:rFonts w:eastAsia="Times New Roman"/>
          <w:noProof/>
          <w:color w:val="000000" w:themeColor="text1"/>
        </w:rPr>
        <w:t xml:space="preserve">of such a measure </w:t>
      </w:r>
      <w:r w:rsidR="002E136D" w:rsidRPr="00CE2185">
        <w:rPr>
          <w:rFonts w:eastAsia="Times New Roman"/>
          <w:noProof/>
          <w:color w:val="000000" w:themeColor="text1"/>
        </w:rPr>
        <w:t xml:space="preserve">on trade, competitiveness, </w:t>
      </w:r>
      <w:r w:rsidR="00F013A4" w:rsidRPr="00CE2185">
        <w:rPr>
          <w:rFonts w:eastAsia="Times New Roman"/>
          <w:noProof/>
          <w:color w:val="000000" w:themeColor="text1"/>
        </w:rPr>
        <w:t xml:space="preserve">including indirect costs on citizens as well as on </w:t>
      </w:r>
      <w:r w:rsidR="002E136D" w:rsidRPr="00CE2185">
        <w:rPr>
          <w:rFonts w:eastAsia="Times New Roman"/>
          <w:noProof/>
          <w:color w:val="000000" w:themeColor="text1"/>
        </w:rPr>
        <w:t>investment and innovation are outlined in the dedicated section.</w:t>
      </w:r>
    </w:p>
    <w:p w14:paraId="6E0B850C" w14:textId="6D4FFA7F" w:rsidR="00713537" w:rsidRPr="00CE2185" w:rsidRDefault="00713537" w:rsidP="00795DF0">
      <w:pPr>
        <w:spacing w:after="120"/>
        <w:rPr>
          <w:noProof/>
        </w:rPr>
      </w:pPr>
      <w:r w:rsidRPr="00CE2185">
        <w:rPr>
          <w:rFonts w:eastAsia="Times New Roman"/>
          <w:noProof/>
          <w:color w:val="000000" w:themeColor="text1"/>
        </w:rPr>
        <w:t xml:space="preserve">For </w:t>
      </w:r>
      <w:r w:rsidR="00F66415" w:rsidRPr="00CE2185">
        <w:rPr>
          <w:rFonts w:eastAsia="Times New Roman"/>
          <w:noProof/>
          <w:color w:val="000000" w:themeColor="text1"/>
        </w:rPr>
        <w:t xml:space="preserve">CABs, the costs estimates are like those indicated in B1 and B2. </w:t>
      </w:r>
      <w:r w:rsidRPr="00CE2185">
        <w:rPr>
          <w:rFonts w:eastAsia="Times New Roman"/>
          <w:noProof/>
          <w:color w:val="000000" w:themeColor="text1"/>
        </w:rPr>
        <w:t xml:space="preserve"> </w:t>
      </w:r>
    </w:p>
    <w:p w14:paraId="445F313D" w14:textId="22127638" w:rsidR="00F85B40" w:rsidRPr="00CE2185" w:rsidRDefault="00E0274A" w:rsidP="00795DF0">
      <w:pPr>
        <w:spacing w:after="120"/>
        <w:rPr>
          <w:noProof/>
        </w:rPr>
      </w:pPr>
      <w:r w:rsidRPr="00CE2185">
        <w:rPr>
          <w:rFonts w:eastAsia="Times New Roman"/>
          <w:noProof/>
          <w:color w:val="000000" w:themeColor="text1"/>
        </w:rPr>
        <w:t xml:space="preserve">For </w:t>
      </w:r>
      <w:r w:rsidRPr="00CE2185">
        <w:rPr>
          <w:rFonts w:eastAsia="Times New Roman"/>
          <w:b/>
          <w:bCs/>
          <w:noProof/>
          <w:color w:val="000000" w:themeColor="text1"/>
        </w:rPr>
        <w:t>citizens</w:t>
      </w:r>
      <w:r w:rsidRPr="00CE2185">
        <w:rPr>
          <w:rFonts w:eastAsia="Times New Roman"/>
          <w:noProof/>
          <w:color w:val="000000" w:themeColor="text1"/>
        </w:rPr>
        <w:t xml:space="preserve">, option </w:t>
      </w:r>
      <w:r w:rsidR="00B63C1E" w:rsidRPr="00CE2185">
        <w:rPr>
          <w:rFonts w:eastAsia="Times New Roman"/>
          <w:noProof/>
          <w:color w:val="000000" w:themeColor="text1"/>
        </w:rPr>
        <w:t xml:space="preserve">B3 </w:t>
      </w:r>
      <w:r w:rsidR="0016541B" w:rsidRPr="00CE2185">
        <w:rPr>
          <w:rFonts w:eastAsia="Times New Roman"/>
          <w:noProof/>
          <w:color w:val="000000" w:themeColor="text1"/>
        </w:rPr>
        <w:t xml:space="preserve">may </w:t>
      </w:r>
      <w:r w:rsidRPr="00CE2185">
        <w:rPr>
          <w:rFonts w:eastAsia="Times New Roman"/>
          <w:noProof/>
          <w:color w:val="000000" w:themeColor="text1"/>
        </w:rPr>
        <w:t xml:space="preserve">entail </w:t>
      </w:r>
      <w:r w:rsidRPr="00CE2185">
        <w:rPr>
          <w:noProof/>
        </w:rPr>
        <w:t xml:space="preserve">additional indirect costs on prices for services and products offered by the relevant essential entities depending on how businesses would choose to compensate the one-off administrative costs. </w:t>
      </w:r>
      <w:r w:rsidR="0016541B" w:rsidRPr="00CE2185">
        <w:rPr>
          <w:noProof/>
        </w:rPr>
        <w:t xml:space="preserve">However, considering that no </w:t>
      </w:r>
      <w:r w:rsidR="00D15FC8" w:rsidRPr="00CE2185">
        <w:rPr>
          <w:noProof/>
        </w:rPr>
        <w:t>importan</w:t>
      </w:r>
      <w:r w:rsidR="0016541B" w:rsidRPr="00CE2185">
        <w:rPr>
          <w:noProof/>
        </w:rPr>
        <w:t xml:space="preserve">t additional recurrent costs would exist for businesses, the impact is not expected to be </w:t>
      </w:r>
      <w:r w:rsidR="00D15FC8" w:rsidRPr="00CE2185">
        <w:rPr>
          <w:noProof/>
        </w:rPr>
        <w:t>significant</w:t>
      </w:r>
      <w:r w:rsidR="0016541B" w:rsidRPr="00CE2185">
        <w:rPr>
          <w:noProof/>
        </w:rPr>
        <w:t xml:space="preserve">. </w:t>
      </w:r>
      <w:r w:rsidRPr="00CE2185">
        <w:rPr>
          <w:noProof/>
        </w:rPr>
        <w:t xml:space="preserve"> </w:t>
      </w:r>
      <w:r w:rsidR="0016541B" w:rsidRPr="00CE2185">
        <w:rPr>
          <w:noProof/>
        </w:rPr>
        <w:t>Therefore,</w:t>
      </w:r>
      <w:r w:rsidR="00DB1DD8" w:rsidRPr="00CE2185">
        <w:rPr>
          <w:noProof/>
        </w:rPr>
        <w:t xml:space="preserve"> the costs cannot be estimated. </w:t>
      </w:r>
    </w:p>
    <w:p w14:paraId="2AF7C5EA" w14:textId="1288C0C7" w:rsidR="007C0F70" w:rsidRPr="00CE2185" w:rsidRDefault="00BA05CA" w:rsidP="001E5D9D">
      <w:pPr>
        <w:pStyle w:val="Heading7"/>
        <w:rPr>
          <w:noProof/>
        </w:rPr>
      </w:pPr>
      <w:bookmarkStart w:id="109" w:name="_Toc218767772"/>
      <w:r w:rsidRPr="00CE2185">
        <w:rPr>
          <w:noProof/>
        </w:rPr>
        <w:t xml:space="preserve">Table </w:t>
      </w:r>
      <w:r w:rsidR="00362531" w:rsidRPr="00CE2185">
        <w:rPr>
          <w:noProof/>
        </w:rPr>
        <w:t>10</w:t>
      </w:r>
      <w:r w:rsidR="00FA68AE">
        <w:rPr>
          <w:noProof/>
        </w:rPr>
        <w:t>:</w:t>
      </w:r>
      <w:r w:rsidRPr="00CE2185">
        <w:rPr>
          <w:noProof/>
        </w:rPr>
        <w:t xml:space="preserve"> Costs of policy options B (certification)</w:t>
      </w:r>
      <w:bookmarkEnd w:id="109"/>
    </w:p>
    <w:tbl>
      <w:tblPr>
        <w:tblStyle w:val="TableGrid"/>
        <w:tblW w:w="0" w:type="auto"/>
        <w:tblLayout w:type="fixed"/>
        <w:tblLook w:val="04A0" w:firstRow="1" w:lastRow="0" w:firstColumn="1" w:lastColumn="0" w:noHBand="0" w:noVBand="1"/>
      </w:tblPr>
      <w:tblGrid>
        <w:gridCol w:w="1101"/>
        <w:gridCol w:w="2268"/>
        <w:gridCol w:w="3543"/>
        <w:gridCol w:w="2374"/>
      </w:tblGrid>
      <w:tr w:rsidR="00F24A4B" w:rsidRPr="00CE2185" w14:paraId="1E1074F0" w14:textId="77777777" w:rsidTr="7410CB48">
        <w:trPr>
          <w:trHeight w:val="134"/>
        </w:trPr>
        <w:tc>
          <w:tcPr>
            <w:tcW w:w="1101" w:type="dxa"/>
            <w:vMerge w:val="restart"/>
            <w:shd w:val="clear" w:color="auto" w:fill="EAF1DD" w:themeFill="accent3" w:themeFillTint="33"/>
            <w:vAlign w:val="center"/>
          </w:tcPr>
          <w:p w14:paraId="78EEA822" w14:textId="0E900122" w:rsidR="00F24A4B" w:rsidRPr="00CE2185" w:rsidRDefault="00F24A4B" w:rsidP="00AC1465">
            <w:pPr>
              <w:spacing w:after="0"/>
              <w:jc w:val="center"/>
              <w:rPr>
                <w:noProof/>
                <w:sz w:val="20"/>
                <w:szCs w:val="20"/>
              </w:rPr>
            </w:pPr>
            <w:r w:rsidRPr="00CE2185">
              <w:rPr>
                <w:b/>
                <w:bCs/>
                <w:noProof/>
                <w:sz w:val="20"/>
                <w:szCs w:val="20"/>
              </w:rPr>
              <w:t xml:space="preserve"> </w:t>
            </w:r>
            <w:r w:rsidR="00752DFA">
              <w:rPr>
                <w:b/>
                <w:bCs/>
                <w:noProof/>
                <w:sz w:val="20"/>
                <w:szCs w:val="20"/>
              </w:rPr>
              <w:t>C</w:t>
            </w:r>
            <w:r w:rsidRPr="00CE2185">
              <w:rPr>
                <w:b/>
                <w:bCs/>
                <w:noProof/>
                <w:sz w:val="20"/>
                <w:szCs w:val="20"/>
              </w:rPr>
              <w:t xml:space="preserve">osts </w:t>
            </w:r>
          </w:p>
        </w:tc>
        <w:tc>
          <w:tcPr>
            <w:tcW w:w="8185" w:type="dxa"/>
            <w:gridSpan w:val="3"/>
            <w:shd w:val="clear" w:color="auto" w:fill="B7CFED"/>
            <w:vAlign w:val="center"/>
          </w:tcPr>
          <w:p w14:paraId="76B52319" w14:textId="77777777" w:rsidR="00F24A4B" w:rsidRPr="00CE2185" w:rsidRDefault="00F24A4B" w:rsidP="00AC1465">
            <w:pPr>
              <w:spacing w:after="0"/>
              <w:jc w:val="center"/>
              <w:rPr>
                <w:noProof/>
                <w:sz w:val="20"/>
                <w:szCs w:val="20"/>
              </w:rPr>
            </w:pPr>
            <w:r w:rsidRPr="00CE2185">
              <w:rPr>
                <w:b/>
                <w:bCs/>
                <w:noProof/>
                <w:sz w:val="20"/>
                <w:szCs w:val="20"/>
              </w:rPr>
              <w:t>Policy options [Certification]</w:t>
            </w:r>
          </w:p>
        </w:tc>
      </w:tr>
      <w:tr w:rsidR="00F31888" w:rsidRPr="00CE2185" w14:paraId="278535A4" w14:textId="77777777" w:rsidTr="7410CB48">
        <w:trPr>
          <w:trHeight w:val="125"/>
        </w:trPr>
        <w:tc>
          <w:tcPr>
            <w:tcW w:w="1101" w:type="dxa"/>
            <w:vMerge/>
            <w:vAlign w:val="center"/>
          </w:tcPr>
          <w:p w14:paraId="7862E297" w14:textId="77777777" w:rsidR="00F24A4B" w:rsidRPr="00CE2185" w:rsidRDefault="00F24A4B">
            <w:pPr>
              <w:jc w:val="center"/>
              <w:rPr>
                <w:noProof/>
                <w:sz w:val="20"/>
                <w:szCs w:val="20"/>
              </w:rPr>
            </w:pPr>
          </w:p>
        </w:tc>
        <w:tc>
          <w:tcPr>
            <w:tcW w:w="2268" w:type="dxa"/>
            <w:shd w:val="clear" w:color="auto" w:fill="E1EBF7"/>
            <w:vAlign w:val="center"/>
          </w:tcPr>
          <w:p w14:paraId="049BBF08" w14:textId="77777777" w:rsidR="00F24A4B" w:rsidRPr="00CE2185" w:rsidRDefault="00F24A4B" w:rsidP="00AC1465">
            <w:pPr>
              <w:spacing w:after="0"/>
              <w:jc w:val="center"/>
              <w:rPr>
                <w:b/>
                <w:bCs/>
                <w:noProof/>
                <w:sz w:val="20"/>
                <w:szCs w:val="20"/>
              </w:rPr>
            </w:pPr>
            <w:r w:rsidRPr="00CE2185">
              <w:rPr>
                <w:b/>
                <w:bCs/>
                <w:noProof/>
                <w:sz w:val="20"/>
                <w:szCs w:val="20"/>
              </w:rPr>
              <w:t>B1</w:t>
            </w:r>
          </w:p>
        </w:tc>
        <w:tc>
          <w:tcPr>
            <w:tcW w:w="3543" w:type="dxa"/>
            <w:shd w:val="clear" w:color="auto" w:fill="E1EBF7"/>
            <w:vAlign w:val="center"/>
          </w:tcPr>
          <w:p w14:paraId="65FC5944" w14:textId="77777777" w:rsidR="00F24A4B" w:rsidRPr="00CE2185" w:rsidRDefault="00F24A4B" w:rsidP="00AC1465">
            <w:pPr>
              <w:spacing w:after="0"/>
              <w:jc w:val="center"/>
              <w:rPr>
                <w:b/>
                <w:bCs/>
                <w:noProof/>
                <w:sz w:val="20"/>
                <w:szCs w:val="20"/>
              </w:rPr>
            </w:pPr>
            <w:r w:rsidRPr="00CE2185">
              <w:rPr>
                <w:b/>
                <w:bCs/>
                <w:noProof/>
                <w:sz w:val="20"/>
                <w:szCs w:val="20"/>
              </w:rPr>
              <w:t>B2</w:t>
            </w:r>
          </w:p>
        </w:tc>
        <w:tc>
          <w:tcPr>
            <w:tcW w:w="2374" w:type="dxa"/>
            <w:shd w:val="clear" w:color="auto" w:fill="E1EBF7"/>
            <w:vAlign w:val="center"/>
          </w:tcPr>
          <w:p w14:paraId="1CF96ADC" w14:textId="77777777" w:rsidR="00F24A4B" w:rsidRPr="00CE2185" w:rsidRDefault="00F24A4B" w:rsidP="00AC1465">
            <w:pPr>
              <w:spacing w:after="0"/>
              <w:jc w:val="center"/>
              <w:rPr>
                <w:b/>
                <w:bCs/>
                <w:noProof/>
                <w:sz w:val="20"/>
                <w:szCs w:val="20"/>
              </w:rPr>
            </w:pPr>
            <w:r w:rsidRPr="00CE2185">
              <w:rPr>
                <w:b/>
                <w:bCs/>
                <w:noProof/>
                <w:sz w:val="20"/>
                <w:szCs w:val="20"/>
              </w:rPr>
              <w:t>B3</w:t>
            </w:r>
          </w:p>
        </w:tc>
      </w:tr>
      <w:tr w:rsidR="00F24A4B" w:rsidRPr="00CE2185" w14:paraId="1E4863E3" w14:textId="77777777" w:rsidTr="00CD3C1D">
        <w:trPr>
          <w:trHeight w:val="274"/>
        </w:trPr>
        <w:tc>
          <w:tcPr>
            <w:tcW w:w="1101" w:type="dxa"/>
          </w:tcPr>
          <w:p w14:paraId="3C67A580" w14:textId="2CDE3FEE" w:rsidR="00F24A4B" w:rsidRPr="00CE2185" w:rsidRDefault="00F24A4B" w:rsidP="00AC1465">
            <w:pPr>
              <w:spacing w:after="0"/>
              <w:rPr>
                <w:noProof/>
                <w:sz w:val="20"/>
                <w:szCs w:val="20"/>
              </w:rPr>
            </w:pPr>
            <w:r w:rsidRPr="00CE2185">
              <w:rPr>
                <w:noProof/>
                <w:sz w:val="20"/>
                <w:szCs w:val="20"/>
              </w:rPr>
              <w:t>Businesses</w:t>
            </w:r>
          </w:p>
        </w:tc>
        <w:tc>
          <w:tcPr>
            <w:tcW w:w="2268" w:type="dxa"/>
          </w:tcPr>
          <w:p w14:paraId="107C0E42" w14:textId="77777777" w:rsidR="00F24A4B" w:rsidRPr="00CE2185" w:rsidRDefault="00334748" w:rsidP="00AC1465">
            <w:pPr>
              <w:spacing w:after="0"/>
              <w:rPr>
                <w:noProof/>
                <w:sz w:val="20"/>
                <w:szCs w:val="20"/>
              </w:rPr>
            </w:pPr>
            <w:r w:rsidRPr="00CE2185">
              <w:rPr>
                <w:noProof/>
                <w:sz w:val="20"/>
                <w:szCs w:val="20"/>
              </w:rPr>
              <w:t xml:space="preserve">+ (for certification on voluntary basis) </w:t>
            </w:r>
          </w:p>
          <w:p w14:paraId="6F44FFEE" w14:textId="6697BED8" w:rsidR="00F24A4B" w:rsidRPr="00CE2185" w:rsidRDefault="002F4FBB" w:rsidP="00AC1465">
            <w:pPr>
              <w:spacing w:after="0"/>
              <w:rPr>
                <w:noProof/>
                <w:sz w:val="20"/>
                <w:szCs w:val="20"/>
              </w:rPr>
            </w:pPr>
            <w:r w:rsidRPr="00CE2185">
              <w:rPr>
                <w:noProof/>
                <w:sz w:val="20"/>
                <w:szCs w:val="20"/>
              </w:rPr>
              <w:t xml:space="preserve">One-off and recurrent adjustment and administrative costs </w:t>
            </w:r>
          </w:p>
        </w:tc>
        <w:tc>
          <w:tcPr>
            <w:tcW w:w="3543" w:type="dxa"/>
          </w:tcPr>
          <w:p w14:paraId="6C9792C3" w14:textId="77777777" w:rsidR="00F24A4B" w:rsidRPr="00CE2185" w:rsidRDefault="00334748" w:rsidP="00AC1465">
            <w:pPr>
              <w:spacing w:after="0"/>
              <w:rPr>
                <w:noProof/>
                <w:sz w:val="20"/>
                <w:szCs w:val="20"/>
              </w:rPr>
            </w:pPr>
            <w:r w:rsidRPr="00CE2185">
              <w:rPr>
                <w:noProof/>
                <w:sz w:val="20"/>
                <w:szCs w:val="20"/>
              </w:rPr>
              <w:t xml:space="preserve">++ (with more schemes in place) </w:t>
            </w:r>
          </w:p>
          <w:p w14:paraId="45D608F6" w14:textId="49D659DA" w:rsidR="002F4FBB" w:rsidRPr="00CE2185" w:rsidRDefault="002F4FBB" w:rsidP="00AC1465">
            <w:pPr>
              <w:spacing w:after="0"/>
              <w:rPr>
                <w:noProof/>
                <w:sz w:val="20"/>
                <w:szCs w:val="20"/>
              </w:rPr>
            </w:pPr>
            <w:r w:rsidRPr="00CE2185">
              <w:rPr>
                <w:noProof/>
                <w:sz w:val="20"/>
                <w:szCs w:val="20"/>
              </w:rPr>
              <w:t xml:space="preserve">One-off and recurrent adjustment and administrative costs </w:t>
            </w:r>
            <w:r w:rsidR="006821A7" w:rsidRPr="00CE2185">
              <w:rPr>
                <w:noProof/>
                <w:sz w:val="20"/>
                <w:szCs w:val="20"/>
              </w:rPr>
              <w:t>related to certification</w:t>
            </w:r>
          </w:p>
          <w:p w14:paraId="3859F9F8" w14:textId="13002CC6" w:rsidR="00C70025" w:rsidRPr="00CE2185" w:rsidRDefault="002F4FBB" w:rsidP="00AC1465">
            <w:pPr>
              <w:spacing w:after="0"/>
              <w:rPr>
                <w:noProof/>
                <w:sz w:val="20"/>
                <w:szCs w:val="20"/>
              </w:rPr>
            </w:pPr>
            <w:r w:rsidRPr="00CE2185">
              <w:rPr>
                <w:b/>
                <w:bCs/>
                <w:noProof/>
                <w:sz w:val="20"/>
                <w:szCs w:val="20"/>
              </w:rPr>
              <w:t>Cyber</w:t>
            </w:r>
            <w:r w:rsidR="0052051B" w:rsidRPr="00CE2185">
              <w:rPr>
                <w:b/>
                <w:bCs/>
                <w:noProof/>
                <w:sz w:val="20"/>
                <w:szCs w:val="20"/>
              </w:rPr>
              <w:t xml:space="preserve"> </w:t>
            </w:r>
            <w:r w:rsidRPr="00CE2185">
              <w:rPr>
                <w:b/>
                <w:bCs/>
                <w:noProof/>
                <w:sz w:val="20"/>
                <w:szCs w:val="20"/>
              </w:rPr>
              <w:t>posture scheme</w:t>
            </w:r>
            <w:r w:rsidRPr="00CE2185">
              <w:rPr>
                <w:noProof/>
                <w:sz w:val="20"/>
                <w:szCs w:val="20"/>
              </w:rPr>
              <w:t>: 30 000 administrative one-off and recurrent costs by certification</w:t>
            </w:r>
            <w:r w:rsidR="001957B8" w:rsidRPr="00CE2185">
              <w:rPr>
                <w:noProof/>
                <w:sz w:val="20"/>
                <w:szCs w:val="20"/>
              </w:rPr>
              <w:t xml:space="preserve"> (for NIS2 entities: likely only one-off)</w:t>
            </w:r>
            <w:r w:rsidRPr="00CE2185">
              <w:rPr>
                <w:noProof/>
                <w:sz w:val="20"/>
                <w:szCs w:val="20"/>
              </w:rPr>
              <w:t xml:space="preserve"> </w:t>
            </w:r>
          </w:p>
          <w:p w14:paraId="451B44E6" w14:textId="2540BB2D" w:rsidR="00C70025" w:rsidRPr="00CE2185" w:rsidRDefault="002C3B68" w:rsidP="00AC1465">
            <w:pPr>
              <w:spacing w:after="0"/>
              <w:rPr>
                <w:noProof/>
                <w:sz w:val="20"/>
                <w:szCs w:val="20"/>
              </w:rPr>
            </w:pPr>
            <w:r>
              <w:rPr>
                <w:b/>
                <w:bCs/>
                <w:noProof/>
                <w:sz w:val="20"/>
                <w:szCs w:val="20"/>
              </w:rPr>
              <w:t>Fees</w:t>
            </w:r>
            <w:r w:rsidR="00C70025" w:rsidRPr="00CE2185">
              <w:rPr>
                <w:noProof/>
                <w:sz w:val="20"/>
                <w:szCs w:val="20"/>
              </w:rPr>
              <w:t xml:space="preserve"> </w:t>
            </w:r>
            <w:r w:rsidR="00C70025" w:rsidRPr="00CE2185">
              <w:rPr>
                <w:b/>
                <w:bCs/>
                <w:noProof/>
                <w:sz w:val="20"/>
                <w:szCs w:val="20"/>
              </w:rPr>
              <w:t>for maintenance of schemes</w:t>
            </w:r>
            <w:r w:rsidR="008E4783" w:rsidRPr="00CE2185">
              <w:rPr>
                <w:b/>
                <w:bCs/>
                <w:noProof/>
                <w:sz w:val="20"/>
                <w:szCs w:val="20"/>
              </w:rPr>
              <w:t xml:space="preserve"> over 5 years</w:t>
            </w:r>
            <w:r w:rsidR="00C70025" w:rsidRPr="00CE2185">
              <w:rPr>
                <w:noProof/>
                <w:sz w:val="20"/>
                <w:szCs w:val="20"/>
              </w:rPr>
              <w:t>: EUR 1.3 million to 1.7 million</w:t>
            </w:r>
          </w:p>
        </w:tc>
        <w:tc>
          <w:tcPr>
            <w:tcW w:w="2374" w:type="dxa"/>
          </w:tcPr>
          <w:p w14:paraId="69B1179B" w14:textId="56642282" w:rsidR="00A013B0" w:rsidRPr="00CE2185" w:rsidRDefault="00D01995" w:rsidP="00EE3DF9">
            <w:pPr>
              <w:pStyle w:val="ListParagraph"/>
              <w:numPr>
                <w:ilvl w:val="0"/>
                <w:numId w:val="22"/>
              </w:numPr>
              <w:spacing w:after="0"/>
              <w:rPr>
                <w:noProof/>
                <w:sz w:val="20"/>
                <w:szCs w:val="20"/>
              </w:rPr>
            </w:pPr>
            <w:r w:rsidRPr="00CE2185">
              <w:rPr>
                <w:noProof/>
                <w:sz w:val="20"/>
                <w:szCs w:val="20"/>
              </w:rPr>
              <w:t xml:space="preserve">One-off administrative: </w:t>
            </w:r>
            <w:r w:rsidR="00B63C1E" w:rsidRPr="00CE2185">
              <w:rPr>
                <w:b/>
                <w:noProof/>
                <w:sz w:val="20"/>
                <w:szCs w:val="20"/>
              </w:rPr>
              <w:t>501 million</w:t>
            </w:r>
            <w:r w:rsidR="00964FAD" w:rsidRPr="00CE2185">
              <w:rPr>
                <w:b/>
                <w:noProof/>
                <w:sz w:val="20"/>
                <w:szCs w:val="20"/>
              </w:rPr>
              <w:t xml:space="preserve"> </w:t>
            </w:r>
            <w:r w:rsidRPr="00CE2185">
              <w:rPr>
                <w:b/>
                <w:noProof/>
                <w:sz w:val="20"/>
                <w:szCs w:val="20"/>
              </w:rPr>
              <w:t xml:space="preserve">EUR </w:t>
            </w:r>
          </w:p>
          <w:p w14:paraId="189B07F8" w14:textId="77777777" w:rsidR="00070EEE" w:rsidRPr="00CE2185" w:rsidRDefault="00D01995" w:rsidP="00EE3DF9">
            <w:pPr>
              <w:pStyle w:val="ListParagraph"/>
              <w:numPr>
                <w:ilvl w:val="0"/>
                <w:numId w:val="22"/>
              </w:numPr>
              <w:spacing w:after="0"/>
              <w:rPr>
                <w:noProof/>
                <w:sz w:val="20"/>
                <w:szCs w:val="20"/>
              </w:rPr>
            </w:pPr>
            <w:r w:rsidRPr="00CE2185">
              <w:rPr>
                <w:noProof/>
                <w:sz w:val="20"/>
                <w:szCs w:val="20"/>
              </w:rPr>
              <w:t xml:space="preserve">Over 5 years: </w:t>
            </w:r>
            <w:r w:rsidR="00F06F54" w:rsidRPr="00CE2185">
              <w:rPr>
                <w:b/>
                <w:bCs/>
                <w:noProof/>
                <w:sz w:val="20"/>
                <w:szCs w:val="20"/>
              </w:rPr>
              <w:t>501 million</w:t>
            </w:r>
            <w:r w:rsidR="008B4AF9" w:rsidRPr="00CE2185">
              <w:rPr>
                <w:b/>
                <w:bCs/>
                <w:noProof/>
                <w:sz w:val="20"/>
                <w:szCs w:val="20"/>
              </w:rPr>
              <w:t xml:space="preserve"> EUR</w:t>
            </w:r>
          </w:p>
          <w:p w14:paraId="4C562CAC" w14:textId="7E3735FF" w:rsidR="0073365B" w:rsidRPr="00CE2185" w:rsidRDefault="002C3B68" w:rsidP="00EE3DF9">
            <w:pPr>
              <w:pStyle w:val="ListParagraph"/>
              <w:numPr>
                <w:ilvl w:val="0"/>
                <w:numId w:val="22"/>
              </w:numPr>
              <w:spacing w:after="0"/>
              <w:rPr>
                <w:noProof/>
                <w:sz w:val="20"/>
                <w:szCs w:val="20"/>
              </w:rPr>
            </w:pPr>
            <w:r>
              <w:rPr>
                <w:b/>
                <w:bCs/>
                <w:noProof/>
                <w:sz w:val="20"/>
                <w:szCs w:val="20"/>
              </w:rPr>
              <w:t>Fees</w:t>
            </w:r>
            <w:r w:rsidR="0073365B" w:rsidRPr="00CE2185">
              <w:rPr>
                <w:noProof/>
                <w:sz w:val="20"/>
                <w:szCs w:val="20"/>
              </w:rPr>
              <w:t xml:space="preserve"> </w:t>
            </w:r>
            <w:r w:rsidR="0073365B" w:rsidRPr="00CE2185">
              <w:rPr>
                <w:b/>
                <w:bCs/>
                <w:noProof/>
                <w:sz w:val="20"/>
                <w:szCs w:val="20"/>
              </w:rPr>
              <w:t xml:space="preserve">for maintenance of schemes </w:t>
            </w:r>
            <w:r w:rsidR="008E4783" w:rsidRPr="00CE2185">
              <w:rPr>
                <w:b/>
                <w:bCs/>
                <w:noProof/>
                <w:sz w:val="20"/>
                <w:szCs w:val="20"/>
              </w:rPr>
              <w:t xml:space="preserve">over </w:t>
            </w:r>
            <w:r w:rsidR="00C93C9C" w:rsidRPr="00CE2185">
              <w:rPr>
                <w:b/>
                <w:bCs/>
                <w:noProof/>
                <w:sz w:val="20"/>
                <w:szCs w:val="20"/>
              </w:rPr>
              <w:t>5 years -</w:t>
            </w:r>
            <w:r w:rsidR="0073365B" w:rsidRPr="00CE2185">
              <w:rPr>
                <w:b/>
                <w:bCs/>
                <w:noProof/>
                <w:sz w:val="20"/>
                <w:szCs w:val="20"/>
              </w:rPr>
              <w:t xml:space="preserve"> </w:t>
            </w:r>
            <w:r w:rsidR="0073365B" w:rsidRPr="00CE2185">
              <w:rPr>
                <w:noProof/>
                <w:sz w:val="20"/>
                <w:szCs w:val="20"/>
              </w:rPr>
              <w:t>conformity assessment bodies: EUR 1.3 million to 1.7 million</w:t>
            </w:r>
          </w:p>
          <w:p w14:paraId="422EF3B6" w14:textId="2BDFD0E1" w:rsidR="0073365B" w:rsidRPr="00CE2185" w:rsidRDefault="0073365B" w:rsidP="00CD3C1D">
            <w:pPr>
              <w:pStyle w:val="ListParagraph"/>
              <w:spacing w:after="0"/>
              <w:ind w:left="360"/>
              <w:rPr>
                <w:noProof/>
                <w:sz w:val="20"/>
                <w:szCs w:val="20"/>
              </w:rPr>
            </w:pPr>
          </w:p>
        </w:tc>
      </w:tr>
      <w:tr w:rsidR="00F24A4B" w:rsidRPr="00CE2185" w14:paraId="446CCFC2" w14:textId="77777777" w:rsidTr="7410CB48">
        <w:trPr>
          <w:trHeight w:val="687"/>
        </w:trPr>
        <w:tc>
          <w:tcPr>
            <w:tcW w:w="1101" w:type="dxa"/>
          </w:tcPr>
          <w:p w14:paraId="793A2C0C" w14:textId="5A2FF876" w:rsidR="00F24A4B" w:rsidRPr="00CE2185" w:rsidRDefault="00F24A4B" w:rsidP="00AC1465">
            <w:pPr>
              <w:spacing w:after="0"/>
              <w:rPr>
                <w:noProof/>
                <w:sz w:val="20"/>
                <w:szCs w:val="20"/>
              </w:rPr>
            </w:pPr>
            <w:r w:rsidRPr="00CE2185">
              <w:rPr>
                <w:noProof/>
                <w:sz w:val="20"/>
                <w:szCs w:val="20"/>
              </w:rPr>
              <w:t>Public authorities</w:t>
            </w:r>
          </w:p>
        </w:tc>
        <w:tc>
          <w:tcPr>
            <w:tcW w:w="2268" w:type="dxa"/>
          </w:tcPr>
          <w:p w14:paraId="47B8D1ED" w14:textId="2B986859" w:rsidR="00F24A4B" w:rsidRPr="00CE2185" w:rsidRDefault="00AB6035" w:rsidP="00AC1465">
            <w:pPr>
              <w:spacing w:after="0"/>
              <w:rPr>
                <w:noProof/>
                <w:sz w:val="20"/>
                <w:szCs w:val="20"/>
              </w:rPr>
            </w:pPr>
            <w:r w:rsidRPr="00CE2185">
              <w:rPr>
                <w:b/>
                <w:noProof/>
                <w:sz w:val="20"/>
                <w:szCs w:val="20"/>
              </w:rPr>
              <w:t xml:space="preserve">Over five years: </w:t>
            </w:r>
            <w:r w:rsidR="005B7CF8" w:rsidRPr="00CE2185">
              <w:rPr>
                <w:b/>
                <w:noProof/>
                <w:sz w:val="20"/>
                <w:szCs w:val="20"/>
              </w:rPr>
              <w:t>0 and EUR 61 million</w:t>
            </w:r>
            <w:r w:rsidR="005B7CF8" w:rsidRPr="00CE2185">
              <w:rPr>
                <w:noProof/>
                <w:sz w:val="20"/>
                <w:szCs w:val="20"/>
              </w:rPr>
              <w:t xml:space="preserve"> </w:t>
            </w:r>
            <w:r w:rsidR="003568B1" w:rsidRPr="00CE2185">
              <w:rPr>
                <w:noProof/>
                <w:sz w:val="20"/>
                <w:szCs w:val="20"/>
              </w:rPr>
              <w:t>depending on the scenarios</w:t>
            </w:r>
            <w:r w:rsidR="00B93963" w:rsidRPr="00CE2185">
              <w:rPr>
                <w:noProof/>
                <w:sz w:val="20"/>
                <w:szCs w:val="20"/>
              </w:rPr>
              <w:t xml:space="preserve"> for all 27 MS</w:t>
            </w:r>
            <w:r w:rsidR="004E41F4" w:rsidRPr="00CE2185">
              <w:rPr>
                <w:noProof/>
                <w:sz w:val="20"/>
                <w:szCs w:val="20"/>
              </w:rPr>
              <w:t xml:space="preserve"> (enforcement costs)</w:t>
            </w:r>
            <w:r w:rsidR="003568B1" w:rsidRPr="00CE2185">
              <w:rPr>
                <w:noProof/>
                <w:sz w:val="20"/>
                <w:szCs w:val="20"/>
              </w:rPr>
              <w:t xml:space="preserve">. </w:t>
            </w:r>
          </w:p>
        </w:tc>
        <w:tc>
          <w:tcPr>
            <w:tcW w:w="3543" w:type="dxa"/>
          </w:tcPr>
          <w:p w14:paraId="185A5DD2" w14:textId="13EE2842" w:rsidR="00F24A4B" w:rsidRPr="00CE2185" w:rsidRDefault="00AB6035" w:rsidP="00AC1465">
            <w:pPr>
              <w:spacing w:after="0"/>
              <w:rPr>
                <w:noProof/>
                <w:sz w:val="20"/>
                <w:szCs w:val="20"/>
              </w:rPr>
            </w:pPr>
            <w:r w:rsidRPr="00CE2185">
              <w:rPr>
                <w:noProof/>
                <w:sz w:val="20"/>
                <w:szCs w:val="20"/>
              </w:rPr>
              <w:t xml:space="preserve">FTEs for </w:t>
            </w:r>
            <w:r w:rsidR="000D18D5" w:rsidRPr="00CE2185">
              <w:rPr>
                <w:noProof/>
                <w:sz w:val="20"/>
                <w:szCs w:val="20"/>
              </w:rPr>
              <w:t xml:space="preserve">new </w:t>
            </w:r>
            <w:r w:rsidRPr="00CE2185">
              <w:rPr>
                <w:noProof/>
                <w:sz w:val="20"/>
                <w:szCs w:val="20"/>
              </w:rPr>
              <w:t>scheme</w:t>
            </w:r>
            <w:r w:rsidR="000D18D5" w:rsidRPr="00CE2185">
              <w:rPr>
                <w:noProof/>
                <w:sz w:val="20"/>
                <w:szCs w:val="20"/>
              </w:rPr>
              <w:t xml:space="preserve">s - </w:t>
            </w:r>
            <w:r w:rsidRPr="00CE2185">
              <w:rPr>
                <w:b/>
                <w:noProof/>
                <w:sz w:val="20"/>
                <w:szCs w:val="20"/>
              </w:rPr>
              <w:t>Over five years: between EUR 13,7 and 74,7</w:t>
            </w:r>
            <w:r w:rsidRPr="00CE2185">
              <w:rPr>
                <w:noProof/>
                <w:sz w:val="20"/>
                <w:szCs w:val="20"/>
              </w:rPr>
              <w:t xml:space="preserve"> </w:t>
            </w:r>
            <w:r w:rsidRPr="00CE2185">
              <w:rPr>
                <w:b/>
                <w:noProof/>
                <w:sz w:val="20"/>
                <w:szCs w:val="20"/>
              </w:rPr>
              <w:t xml:space="preserve">million </w:t>
            </w:r>
            <w:r w:rsidRPr="00CE2185">
              <w:rPr>
                <w:noProof/>
                <w:sz w:val="20"/>
                <w:szCs w:val="20"/>
              </w:rPr>
              <w:t>depending on scenarios (one-off and recurrent</w:t>
            </w:r>
            <w:r w:rsidR="00C16738" w:rsidRPr="00CE2185">
              <w:rPr>
                <w:noProof/>
                <w:sz w:val="20"/>
                <w:szCs w:val="20"/>
              </w:rPr>
              <w:t xml:space="preserve"> </w:t>
            </w:r>
            <w:r w:rsidR="000139DA" w:rsidRPr="00CE2185">
              <w:rPr>
                <w:noProof/>
                <w:sz w:val="20"/>
                <w:szCs w:val="20"/>
              </w:rPr>
              <w:t xml:space="preserve">enforcement </w:t>
            </w:r>
            <w:r w:rsidR="004E41F4" w:rsidRPr="00CE2185">
              <w:rPr>
                <w:noProof/>
                <w:sz w:val="20"/>
                <w:szCs w:val="20"/>
              </w:rPr>
              <w:t>costs</w:t>
            </w:r>
            <w:r w:rsidRPr="00CE2185">
              <w:rPr>
                <w:noProof/>
                <w:sz w:val="20"/>
                <w:szCs w:val="20"/>
              </w:rPr>
              <w:t>)</w:t>
            </w:r>
            <w:r w:rsidR="00B93963" w:rsidRPr="00CE2185">
              <w:rPr>
                <w:noProof/>
                <w:sz w:val="20"/>
                <w:szCs w:val="20"/>
              </w:rPr>
              <w:t xml:space="preserve"> for all 27 MS. </w:t>
            </w:r>
          </w:p>
        </w:tc>
        <w:tc>
          <w:tcPr>
            <w:tcW w:w="2374" w:type="dxa"/>
          </w:tcPr>
          <w:p w14:paraId="5DCE0A45" w14:textId="50221BD4" w:rsidR="00F24A4B" w:rsidRPr="00CE2185" w:rsidRDefault="00F04F01" w:rsidP="00AC1465">
            <w:pPr>
              <w:spacing w:after="0"/>
              <w:rPr>
                <w:noProof/>
                <w:sz w:val="20"/>
                <w:szCs w:val="20"/>
              </w:rPr>
            </w:pPr>
            <w:r w:rsidRPr="00CE2185">
              <w:rPr>
                <w:b/>
                <w:noProof/>
                <w:sz w:val="20"/>
                <w:szCs w:val="20"/>
              </w:rPr>
              <w:t>Over five years: between EUR 22,8 and 83,9</w:t>
            </w:r>
            <w:r w:rsidRPr="00CE2185">
              <w:rPr>
                <w:noProof/>
                <w:sz w:val="20"/>
                <w:szCs w:val="20"/>
              </w:rPr>
              <w:t xml:space="preserve"> </w:t>
            </w:r>
            <w:r w:rsidRPr="00CE2185">
              <w:rPr>
                <w:b/>
                <w:noProof/>
                <w:sz w:val="20"/>
                <w:szCs w:val="20"/>
              </w:rPr>
              <w:t xml:space="preserve">million </w:t>
            </w:r>
            <w:r w:rsidRPr="00CE2185">
              <w:rPr>
                <w:noProof/>
                <w:sz w:val="20"/>
                <w:szCs w:val="20"/>
              </w:rPr>
              <w:t>depending on scenarios (one-off and recurrent</w:t>
            </w:r>
            <w:r w:rsidR="004E41F4" w:rsidRPr="00CE2185">
              <w:rPr>
                <w:noProof/>
                <w:sz w:val="20"/>
                <w:szCs w:val="20"/>
              </w:rPr>
              <w:t xml:space="preserve"> </w:t>
            </w:r>
            <w:r w:rsidR="000139DA" w:rsidRPr="00CE2185">
              <w:rPr>
                <w:noProof/>
                <w:sz w:val="20"/>
                <w:szCs w:val="20"/>
              </w:rPr>
              <w:t xml:space="preserve">enforcement </w:t>
            </w:r>
            <w:r w:rsidR="004E41F4" w:rsidRPr="00CE2185">
              <w:rPr>
                <w:noProof/>
                <w:sz w:val="20"/>
                <w:szCs w:val="20"/>
              </w:rPr>
              <w:t>costs</w:t>
            </w:r>
            <w:r w:rsidRPr="00CE2185">
              <w:rPr>
                <w:noProof/>
                <w:sz w:val="20"/>
                <w:szCs w:val="20"/>
              </w:rPr>
              <w:t xml:space="preserve">) for all 27 MS. </w:t>
            </w:r>
          </w:p>
        </w:tc>
      </w:tr>
      <w:tr w:rsidR="00F24A4B" w:rsidRPr="00CE2185" w14:paraId="01E69BB8" w14:textId="77777777" w:rsidTr="00CD3C1D">
        <w:trPr>
          <w:trHeight w:val="416"/>
        </w:trPr>
        <w:tc>
          <w:tcPr>
            <w:tcW w:w="1101" w:type="dxa"/>
          </w:tcPr>
          <w:p w14:paraId="1D6B2563" w14:textId="7DBDEB47" w:rsidR="00F24A4B" w:rsidRPr="00CE2185" w:rsidRDefault="00F24A4B" w:rsidP="00AC1465">
            <w:pPr>
              <w:spacing w:after="0"/>
              <w:rPr>
                <w:noProof/>
                <w:sz w:val="20"/>
                <w:szCs w:val="20"/>
              </w:rPr>
            </w:pPr>
            <w:r w:rsidRPr="00CE2185">
              <w:rPr>
                <w:noProof/>
                <w:sz w:val="20"/>
                <w:szCs w:val="20"/>
              </w:rPr>
              <w:t xml:space="preserve">ENISA </w:t>
            </w:r>
          </w:p>
        </w:tc>
        <w:tc>
          <w:tcPr>
            <w:tcW w:w="2268" w:type="dxa"/>
          </w:tcPr>
          <w:p w14:paraId="0E3B9DE1" w14:textId="77777777" w:rsidR="00F24A4B" w:rsidRPr="00CE2185" w:rsidRDefault="000D18D5" w:rsidP="00AC1465">
            <w:pPr>
              <w:spacing w:after="0"/>
              <w:rPr>
                <w:noProof/>
                <w:sz w:val="20"/>
                <w:szCs w:val="20"/>
              </w:rPr>
            </w:pPr>
            <w:r w:rsidRPr="00CE2185">
              <w:rPr>
                <w:noProof/>
                <w:sz w:val="20"/>
                <w:szCs w:val="20"/>
              </w:rPr>
              <w:t xml:space="preserve">FTEs for maintenance </w:t>
            </w:r>
            <w:r w:rsidR="005B7CF8" w:rsidRPr="00CE2185">
              <w:rPr>
                <w:noProof/>
                <w:sz w:val="20"/>
                <w:szCs w:val="20"/>
              </w:rPr>
              <w:t xml:space="preserve">- </w:t>
            </w:r>
            <w:r w:rsidR="00AB6035" w:rsidRPr="00CE2185">
              <w:rPr>
                <w:b/>
                <w:noProof/>
                <w:sz w:val="20"/>
                <w:szCs w:val="20"/>
              </w:rPr>
              <w:t xml:space="preserve">Over five years: </w:t>
            </w:r>
            <w:r w:rsidRPr="00CE2185">
              <w:rPr>
                <w:b/>
                <w:noProof/>
                <w:sz w:val="20"/>
                <w:szCs w:val="20"/>
              </w:rPr>
              <w:t xml:space="preserve">EUR 3.8 and EUR 5.9 </w:t>
            </w:r>
            <w:r w:rsidR="009830FB" w:rsidRPr="00CE2185">
              <w:rPr>
                <w:b/>
                <w:bCs/>
                <w:noProof/>
                <w:sz w:val="20"/>
                <w:szCs w:val="20"/>
              </w:rPr>
              <w:t>million</w:t>
            </w:r>
            <w:r w:rsidRPr="00CE2185">
              <w:rPr>
                <w:noProof/>
                <w:sz w:val="20"/>
                <w:szCs w:val="20"/>
              </w:rPr>
              <w:t xml:space="preserve"> </w:t>
            </w:r>
            <w:r w:rsidR="005B7CF8" w:rsidRPr="00CE2185">
              <w:rPr>
                <w:noProof/>
                <w:sz w:val="20"/>
                <w:szCs w:val="20"/>
              </w:rPr>
              <w:t>depending on the scenarios (one-off and recurrent</w:t>
            </w:r>
            <w:r w:rsidR="004E41F4" w:rsidRPr="00CE2185">
              <w:rPr>
                <w:noProof/>
                <w:sz w:val="20"/>
                <w:szCs w:val="20"/>
              </w:rPr>
              <w:t xml:space="preserve"> adjustment costs</w:t>
            </w:r>
            <w:r w:rsidR="005B7CF8" w:rsidRPr="00CE2185">
              <w:rPr>
                <w:noProof/>
                <w:sz w:val="20"/>
                <w:szCs w:val="20"/>
              </w:rPr>
              <w:t>)</w:t>
            </w:r>
          </w:p>
          <w:p w14:paraId="1E454AF5" w14:textId="77777777" w:rsidR="00E12B93" w:rsidRPr="00CE2185" w:rsidRDefault="00E12B93" w:rsidP="00AC1465">
            <w:pPr>
              <w:spacing w:after="0"/>
              <w:rPr>
                <w:noProof/>
                <w:sz w:val="20"/>
                <w:szCs w:val="20"/>
              </w:rPr>
            </w:pPr>
          </w:p>
          <w:p w14:paraId="59349A85" w14:textId="20F94CAD" w:rsidR="00E12B93" w:rsidRPr="00CE2185" w:rsidRDefault="00E12B93" w:rsidP="00AC1465">
            <w:pPr>
              <w:spacing w:after="0"/>
              <w:rPr>
                <w:b/>
                <w:bCs/>
                <w:noProof/>
                <w:sz w:val="20"/>
                <w:szCs w:val="20"/>
              </w:rPr>
            </w:pPr>
            <w:r w:rsidRPr="00CE2185">
              <w:rPr>
                <w:noProof/>
                <w:sz w:val="20"/>
                <w:szCs w:val="20"/>
              </w:rPr>
              <w:t xml:space="preserve">Operational costs between </w:t>
            </w:r>
            <w:r w:rsidRPr="00CE2185">
              <w:rPr>
                <w:b/>
                <w:bCs/>
                <w:noProof/>
                <w:sz w:val="20"/>
                <w:szCs w:val="20"/>
              </w:rPr>
              <w:t>EUR 3 and 4.6 million</w:t>
            </w:r>
            <w:r w:rsidR="00D70A07" w:rsidRPr="00CE2185">
              <w:rPr>
                <w:b/>
                <w:bCs/>
                <w:noProof/>
                <w:sz w:val="20"/>
                <w:szCs w:val="20"/>
              </w:rPr>
              <w:t xml:space="preserve"> </w:t>
            </w:r>
            <w:r w:rsidR="00D70A07" w:rsidRPr="00CE2185">
              <w:rPr>
                <w:noProof/>
                <w:sz w:val="20"/>
                <w:szCs w:val="20"/>
              </w:rPr>
              <w:t>(for 3 to 5 schemes)</w:t>
            </w:r>
          </w:p>
          <w:p w14:paraId="7A23ACF6" w14:textId="77777777" w:rsidR="006B578A" w:rsidRPr="00CE2185" w:rsidRDefault="006B578A" w:rsidP="00AC1465">
            <w:pPr>
              <w:spacing w:after="0"/>
              <w:rPr>
                <w:b/>
                <w:bCs/>
                <w:noProof/>
                <w:sz w:val="20"/>
                <w:szCs w:val="20"/>
              </w:rPr>
            </w:pPr>
          </w:p>
          <w:p w14:paraId="32860DA0" w14:textId="0B0F60A9" w:rsidR="006B578A" w:rsidRPr="00CE2185" w:rsidRDefault="006B578A" w:rsidP="00AC1465">
            <w:pPr>
              <w:spacing w:after="0"/>
              <w:rPr>
                <w:noProof/>
                <w:sz w:val="20"/>
                <w:szCs w:val="20"/>
              </w:rPr>
            </w:pPr>
            <w:r w:rsidRPr="00CE2185">
              <w:rPr>
                <w:b/>
                <w:bCs/>
                <w:noProof/>
                <w:sz w:val="20"/>
                <w:szCs w:val="20"/>
              </w:rPr>
              <w:t xml:space="preserve">Total </w:t>
            </w:r>
            <w:r w:rsidR="00CD3C1D" w:rsidRPr="00CE2185">
              <w:rPr>
                <w:b/>
                <w:bCs/>
                <w:noProof/>
                <w:sz w:val="20"/>
                <w:szCs w:val="20"/>
              </w:rPr>
              <w:t>adjustment</w:t>
            </w:r>
            <w:r w:rsidRPr="00CE2185">
              <w:rPr>
                <w:b/>
                <w:bCs/>
                <w:noProof/>
                <w:sz w:val="20"/>
                <w:szCs w:val="20"/>
              </w:rPr>
              <w:t xml:space="preserve"> costs (recurrent) over 5 years: </w:t>
            </w:r>
            <w:r w:rsidR="003840FD" w:rsidRPr="00CE2185">
              <w:rPr>
                <w:b/>
                <w:bCs/>
                <w:noProof/>
                <w:sz w:val="20"/>
                <w:szCs w:val="20"/>
              </w:rPr>
              <w:t xml:space="preserve"> EUR 6.</w:t>
            </w:r>
            <w:r w:rsidR="00D70A07" w:rsidRPr="00CE2185">
              <w:rPr>
                <w:b/>
                <w:bCs/>
                <w:noProof/>
                <w:sz w:val="20"/>
                <w:szCs w:val="20"/>
              </w:rPr>
              <w:t>8</w:t>
            </w:r>
            <w:r w:rsidR="003840FD" w:rsidRPr="00CE2185">
              <w:rPr>
                <w:b/>
                <w:bCs/>
                <w:noProof/>
                <w:sz w:val="20"/>
                <w:szCs w:val="20"/>
              </w:rPr>
              <w:t xml:space="preserve"> million to  </w:t>
            </w:r>
            <w:r w:rsidR="009F03C0" w:rsidRPr="00CE2185">
              <w:rPr>
                <w:b/>
                <w:bCs/>
                <w:noProof/>
                <w:sz w:val="20"/>
                <w:szCs w:val="20"/>
              </w:rPr>
              <w:t xml:space="preserve">10.5 million </w:t>
            </w:r>
            <w:r w:rsidR="009F03C0" w:rsidRPr="00CE2185">
              <w:rPr>
                <w:noProof/>
                <w:sz w:val="20"/>
                <w:szCs w:val="20"/>
              </w:rPr>
              <w:t>(for 3 to 5 schemes)</w:t>
            </w:r>
          </w:p>
        </w:tc>
        <w:tc>
          <w:tcPr>
            <w:tcW w:w="3543" w:type="dxa"/>
          </w:tcPr>
          <w:p w14:paraId="1429E3FB" w14:textId="19566CDA" w:rsidR="00E96986" w:rsidRPr="00CE2185" w:rsidRDefault="008429D6" w:rsidP="00AC1465">
            <w:pPr>
              <w:spacing w:after="0"/>
              <w:rPr>
                <w:noProof/>
                <w:sz w:val="20"/>
                <w:szCs w:val="20"/>
              </w:rPr>
            </w:pPr>
            <w:r w:rsidRPr="00CE2185">
              <w:rPr>
                <w:b/>
                <w:bCs/>
                <w:noProof/>
                <w:sz w:val="20"/>
                <w:szCs w:val="20"/>
              </w:rPr>
              <w:t xml:space="preserve">Human </w:t>
            </w:r>
            <w:r w:rsidR="00CD3C1D" w:rsidRPr="00CE2185">
              <w:rPr>
                <w:b/>
                <w:bCs/>
                <w:noProof/>
                <w:sz w:val="20"/>
                <w:szCs w:val="20"/>
              </w:rPr>
              <w:t>resources</w:t>
            </w:r>
            <w:r w:rsidR="70DD53B1" w:rsidRPr="00CE2185">
              <w:rPr>
                <w:noProof/>
                <w:sz w:val="20"/>
                <w:szCs w:val="20"/>
              </w:rPr>
              <w:t xml:space="preserve"> for new schemes</w:t>
            </w:r>
            <w:r w:rsidR="283AE686" w:rsidRPr="00CE2185">
              <w:rPr>
                <w:noProof/>
                <w:sz w:val="20"/>
                <w:szCs w:val="20"/>
              </w:rPr>
              <w:t>/maintenance</w:t>
            </w:r>
            <w:r w:rsidR="006F23A5" w:rsidRPr="00CE2185">
              <w:rPr>
                <w:noProof/>
                <w:sz w:val="20"/>
                <w:szCs w:val="20"/>
              </w:rPr>
              <w:t xml:space="preserve"> (8 to 14 FTEs)</w:t>
            </w:r>
            <w:r w:rsidR="70DD53B1" w:rsidRPr="00CE2185">
              <w:rPr>
                <w:noProof/>
                <w:sz w:val="20"/>
                <w:szCs w:val="20"/>
              </w:rPr>
              <w:t xml:space="preserve"> - </w:t>
            </w:r>
            <w:r w:rsidR="00AB6035" w:rsidRPr="00CE2185">
              <w:rPr>
                <w:b/>
                <w:bCs/>
                <w:noProof/>
                <w:sz w:val="20"/>
                <w:szCs w:val="20"/>
              </w:rPr>
              <w:t>Over five years: between EUR 5,9 and 7,9 million</w:t>
            </w:r>
            <w:r w:rsidR="00AB6035" w:rsidRPr="00CE2185">
              <w:rPr>
                <w:noProof/>
                <w:sz w:val="20"/>
                <w:szCs w:val="20"/>
              </w:rPr>
              <w:t xml:space="preserve"> depending on the scenarios (one-off and recurrent</w:t>
            </w:r>
            <w:r w:rsidR="004E41F4" w:rsidRPr="00CE2185">
              <w:rPr>
                <w:noProof/>
                <w:sz w:val="20"/>
                <w:szCs w:val="20"/>
              </w:rPr>
              <w:t xml:space="preserve"> adjustment costs</w:t>
            </w:r>
            <w:r w:rsidR="00AB6035" w:rsidRPr="00CE2185">
              <w:rPr>
                <w:noProof/>
                <w:sz w:val="20"/>
                <w:szCs w:val="20"/>
              </w:rPr>
              <w:t>)</w:t>
            </w:r>
          </w:p>
          <w:p w14:paraId="2A479E89" w14:textId="77777777" w:rsidR="008429D6" w:rsidRPr="00CE2185" w:rsidRDefault="008429D6" w:rsidP="00AC1465">
            <w:pPr>
              <w:spacing w:after="0"/>
              <w:rPr>
                <w:noProof/>
                <w:sz w:val="20"/>
                <w:szCs w:val="20"/>
              </w:rPr>
            </w:pPr>
          </w:p>
          <w:p w14:paraId="73099349" w14:textId="792B1393" w:rsidR="004030F4" w:rsidRPr="00CE2185" w:rsidRDefault="004030F4" w:rsidP="00AC1465">
            <w:pPr>
              <w:spacing w:after="0"/>
              <w:rPr>
                <w:noProof/>
                <w:sz w:val="20"/>
                <w:szCs w:val="20"/>
              </w:rPr>
            </w:pPr>
            <w:r w:rsidRPr="00CE2185">
              <w:rPr>
                <w:b/>
                <w:bCs/>
                <w:noProof/>
                <w:sz w:val="20"/>
                <w:szCs w:val="20"/>
              </w:rPr>
              <w:t>Operational costs</w:t>
            </w:r>
            <w:r w:rsidRPr="00CE2185">
              <w:rPr>
                <w:noProof/>
                <w:sz w:val="20"/>
                <w:szCs w:val="20"/>
              </w:rPr>
              <w:t xml:space="preserve"> </w:t>
            </w:r>
            <w:r w:rsidR="008429D6" w:rsidRPr="00CE2185">
              <w:rPr>
                <w:noProof/>
                <w:sz w:val="20"/>
                <w:szCs w:val="20"/>
              </w:rPr>
              <w:t xml:space="preserve">over five years </w:t>
            </w:r>
            <w:r w:rsidR="00D70A07" w:rsidRPr="00CE2185">
              <w:rPr>
                <w:noProof/>
                <w:sz w:val="20"/>
                <w:szCs w:val="20"/>
              </w:rPr>
              <w:t xml:space="preserve">for </w:t>
            </w:r>
            <w:r w:rsidR="00D70A07" w:rsidRPr="00CE2185">
              <w:rPr>
                <w:b/>
                <w:bCs/>
                <w:noProof/>
                <w:sz w:val="20"/>
                <w:szCs w:val="20"/>
              </w:rPr>
              <w:t>4 to</w:t>
            </w:r>
            <w:r w:rsidR="00D70A07" w:rsidRPr="00CE2185">
              <w:rPr>
                <w:noProof/>
                <w:sz w:val="20"/>
                <w:szCs w:val="20"/>
              </w:rPr>
              <w:t xml:space="preserve"> </w:t>
            </w:r>
            <w:r w:rsidR="00D70A07" w:rsidRPr="00CE2185">
              <w:rPr>
                <w:b/>
                <w:bCs/>
                <w:noProof/>
                <w:sz w:val="20"/>
                <w:szCs w:val="20"/>
              </w:rPr>
              <w:t>six schemes</w:t>
            </w:r>
            <w:r w:rsidR="00D70A07" w:rsidRPr="00CE2185">
              <w:rPr>
                <w:noProof/>
                <w:sz w:val="20"/>
                <w:szCs w:val="20"/>
              </w:rPr>
              <w:t xml:space="preserve"> </w:t>
            </w:r>
          </w:p>
          <w:p w14:paraId="4D54318A" w14:textId="6A25DE16" w:rsidR="008429D6" w:rsidRPr="00CE2185" w:rsidRDefault="008429D6" w:rsidP="00EE3DF9">
            <w:pPr>
              <w:pStyle w:val="ListParagraph"/>
              <w:numPr>
                <w:ilvl w:val="0"/>
                <w:numId w:val="46"/>
              </w:numPr>
              <w:spacing w:after="0"/>
              <w:rPr>
                <w:noProof/>
                <w:sz w:val="20"/>
                <w:szCs w:val="20"/>
              </w:rPr>
            </w:pPr>
            <w:r w:rsidRPr="00CE2185">
              <w:rPr>
                <w:noProof/>
                <w:sz w:val="20"/>
                <w:szCs w:val="20"/>
              </w:rPr>
              <w:t xml:space="preserve">Operational costs: </w:t>
            </w:r>
            <w:r w:rsidRPr="00CE2185">
              <w:rPr>
                <w:b/>
                <w:bCs/>
                <w:noProof/>
                <w:sz w:val="20"/>
                <w:szCs w:val="20"/>
              </w:rPr>
              <w:t>EUR 3</w:t>
            </w:r>
            <w:r w:rsidR="002D59B0" w:rsidRPr="00CE2185">
              <w:rPr>
                <w:b/>
                <w:bCs/>
                <w:noProof/>
                <w:sz w:val="20"/>
                <w:szCs w:val="20"/>
              </w:rPr>
              <w:t>.6</w:t>
            </w:r>
            <w:r w:rsidRPr="00CE2185">
              <w:rPr>
                <w:b/>
                <w:bCs/>
                <w:noProof/>
                <w:sz w:val="20"/>
                <w:szCs w:val="20"/>
              </w:rPr>
              <w:t xml:space="preserve"> to </w:t>
            </w:r>
            <w:r w:rsidR="002D59B0" w:rsidRPr="00CE2185">
              <w:rPr>
                <w:b/>
                <w:bCs/>
                <w:noProof/>
                <w:sz w:val="20"/>
                <w:szCs w:val="20"/>
              </w:rPr>
              <w:t>5</w:t>
            </w:r>
            <w:r w:rsidRPr="00CE2185">
              <w:rPr>
                <w:b/>
                <w:bCs/>
                <w:noProof/>
                <w:sz w:val="20"/>
                <w:szCs w:val="20"/>
              </w:rPr>
              <w:t>.</w:t>
            </w:r>
            <w:r w:rsidR="002D59B0" w:rsidRPr="00CE2185">
              <w:rPr>
                <w:b/>
                <w:bCs/>
                <w:noProof/>
                <w:sz w:val="20"/>
                <w:szCs w:val="20"/>
              </w:rPr>
              <w:t>2</w:t>
            </w:r>
            <w:r w:rsidRPr="00CE2185">
              <w:rPr>
                <w:b/>
                <w:bCs/>
                <w:noProof/>
                <w:sz w:val="20"/>
                <w:szCs w:val="20"/>
              </w:rPr>
              <w:t xml:space="preserve"> million</w:t>
            </w:r>
          </w:p>
          <w:p w14:paraId="238FA47C" w14:textId="5C2C6309" w:rsidR="009E2376" w:rsidRPr="00CE2185" w:rsidRDefault="009E2376" w:rsidP="009E2376">
            <w:pPr>
              <w:spacing w:after="0"/>
              <w:rPr>
                <w:noProof/>
                <w:sz w:val="20"/>
                <w:szCs w:val="20"/>
              </w:rPr>
            </w:pPr>
            <w:r w:rsidRPr="00CE2185">
              <w:rPr>
                <w:noProof/>
                <w:sz w:val="20"/>
                <w:szCs w:val="20"/>
              </w:rPr>
              <w:t>Also:</w:t>
            </w:r>
          </w:p>
          <w:p w14:paraId="71D20CB0" w14:textId="3083A572" w:rsidR="00E86497" w:rsidRPr="00CE2185" w:rsidRDefault="008429D6" w:rsidP="00EE3DF9">
            <w:pPr>
              <w:pStyle w:val="ListParagraph"/>
              <w:numPr>
                <w:ilvl w:val="0"/>
                <w:numId w:val="46"/>
              </w:numPr>
              <w:spacing w:after="0"/>
              <w:rPr>
                <w:noProof/>
                <w:sz w:val="20"/>
                <w:szCs w:val="20"/>
              </w:rPr>
            </w:pPr>
            <w:r w:rsidRPr="00CE2185">
              <w:rPr>
                <w:noProof/>
                <w:sz w:val="20"/>
                <w:szCs w:val="20"/>
              </w:rPr>
              <w:t>Revenu</w:t>
            </w:r>
            <w:r w:rsidR="00B461DC" w:rsidRPr="00CE2185">
              <w:rPr>
                <w:noProof/>
                <w:sz w:val="20"/>
                <w:szCs w:val="20"/>
              </w:rPr>
              <w:t>e</w:t>
            </w:r>
            <w:r w:rsidRPr="00CE2185">
              <w:rPr>
                <w:noProof/>
                <w:sz w:val="20"/>
                <w:szCs w:val="20"/>
              </w:rPr>
              <w:t>s from collected fees from EUR 1.3 million to 1.7 million</w:t>
            </w:r>
          </w:p>
          <w:p w14:paraId="4AA7CF13" w14:textId="123842F2" w:rsidR="002D59B0" w:rsidRPr="00CE2185" w:rsidRDefault="00537395" w:rsidP="00EE3DF9">
            <w:pPr>
              <w:pStyle w:val="ListParagraph"/>
              <w:numPr>
                <w:ilvl w:val="0"/>
                <w:numId w:val="46"/>
              </w:numPr>
              <w:spacing w:after="0"/>
              <w:rPr>
                <w:noProof/>
                <w:sz w:val="20"/>
                <w:szCs w:val="20"/>
              </w:rPr>
            </w:pPr>
            <w:r w:rsidRPr="00CE2185">
              <w:rPr>
                <w:noProof/>
                <w:sz w:val="20"/>
                <w:szCs w:val="20"/>
              </w:rPr>
              <w:t xml:space="preserve">Operational costs (minus fees): </w:t>
            </w:r>
            <w:r w:rsidR="009E2376" w:rsidRPr="00CE2185">
              <w:rPr>
                <w:noProof/>
                <w:sz w:val="20"/>
                <w:szCs w:val="20"/>
              </w:rPr>
              <w:t>from EUR 2.3 million to 3.5 million</w:t>
            </w:r>
          </w:p>
          <w:p w14:paraId="43E7A983" w14:textId="77777777" w:rsidR="008429D6" w:rsidRPr="00CE2185" w:rsidRDefault="008429D6" w:rsidP="00CD3C1D">
            <w:pPr>
              <w:pStyle w:val="ListParagraph"/>
              <w:spacing w:after="0"/>
              <w:rPr>
                <w:noProof/>
                <w:sz w:val="20"/>
                <w:szCs w:val="20"/>
              </w:rPr>
            </w:pPr>
          </w:p>
          <w:p w14:paraId="5BC5719D" w14:textId="2CC68B6D" w:rsidR="00E86497" w:rsidRPr="00CE2185" w:rsidRDefault="008429D6" w:rsidP="00AC1465">
            <w:pPr>
              <w:spacing w:after="0"/>
              <w:rPr>
                <w:noProof/>
                <w:sz w:val="20"/>
                <w:szCs w:val="20"/>
              </w:rPr>
            </w:pPr>
            <w:r w:rsidRPr="00CE2185">
              <w:rPr>
                <w:b/>
                <w:bCs/>
                <w:noProof/>
                <w:sz w:val="20"/>
                <w:szCs w:val="20"/>
              </w:rPr>
              <w:t>Total adjustment costs</w:t>
            </w:r>
            <w:r w:rsidRPr="00CE2185">
              <w:rPr>
                <w:noProof/>
                <w:sz w:val="20"/>
                <w:szCs w:val="20"/>
              </w:rPr>
              <w:t xml:space="preserve"> (</w:t>
            </w:r>
            <w:r w:rsidR="0088684F" w:rsidRPr="00CE2185">
              <w:rPr>
                <w:noProof/>
                <w:sz w:val="20"/>
                <w:szCs w:val="20"/>
              </w:rPr>
              <w:t xml:space="preserve">FTEs and operational </w:t>
            </w:r>
            <w:r w:rsidRPr="00CE2185">
              <w:rPr>
                <w:noProof/>
                <w:sz w:val="20"/>
                <w:szCs w:val="20"/>
              </w:rPr>
              <w:t>recurrent</w:t>
            </w:r>
            <w:r w:rsidR="0088684F" w:rsidRPr="00CE2185">
              <w:rPr>
                <w:noProof/>
                <w:sz w:val="20"/>
                <w:szCs w:val="20"/>
              </w:rPr>
              <w:t xml:space="preserve"> costs</w:t>
            </w:r>
            <w:r w:rsidRPr="00CE2185">
              <w:rPr>
                <w:noProof/>
                <w:sz w:val="20"/>
                <w:szCs w:val="20"/>
              </w:rPr>
              <w:t>)</w:t>
            </w:r>
            <w:r w:rsidR="009E2376" w:rsidRPr="00CE2185">
              <w:rPr>
                <w:b/>
                <w:bCs/>
                <w:noProof/>
                <w:sz w:val="20"/>
                <w:szCs w:val="20"/>
              </w:rPr>
              <w:t xml:space="preserve"> </w:t>
            </w:r>
            <w:r w:rsidR="006B578A" w:rsidRPr="00CE2185">
              <w:rPr>
                <w:b/>
                <w:bCs/>
                <w:noProof/>
                <w:sz w:val="20"/>
                <w:szCs w:val="20"/>
              </w:rPr>
              <w:t>over 5 years</w:t>
            </w:r>
            <w:r w:rsidR="00914466">
              <w:rPr>
                <w:b/>
                <w:bCs/>
                <w:noProof/>
                <w:sz w:val="20"/>
                <w:szCs w:val="20"/>
              </w:rPr>
              <w:t xml:space="preserve"> </w:t>
            </w:r>
            <w:r w:rsidR="00914466">
              <w:rPr>
                <w:noProof/>
                <w:sz w:val="20"/>
                <w:szCs w:val="20"/>
              </w:rPr>
              <w:t>(without fees)</w:t>
            </w:r>
            <w:r w:rsidRPr="00CE2185">
              <w:rPr>
                <w:b/>
                <w:bCs/>
                <w:noProof/>
                <w:sz w:val="20"/>
                <w:szCs w:val="20"/>
              </w:rPr>
              <w:t>:</w:t>
            </w:r>
            <w:r w:rsidRPr="00CE2185">
              <w:rPr>
                <w:noProof/>
                <w:sz w:val="20"/>
                <w:szCs w:val="20"/>
              </w:rPr>
              <w:t xml:space="preserve"> </w:t>
            </w:r>
            <w:r w:rsidR="006B578A" w:rsidRPr="00CE2185">
              <w:rPr>
                <w:b/>
                <w:bCs/>
                <w:noProof/>
                <w:sz w:val="20"/>
                <w:szCs w:val="20"/>
              </w:rPr>
              <w:t xml:space="preserve">EUR </w:t>
            </w:r>
            <w:r w:rsidR="00C716DD" w:rsidRPr="00CE2185">
              <w:rPr>
                <w:b/>
                <w:bCs/>
                <w:noProof/>
                <w:sz w:val="20"/>
                <w:szCs w:val="20"/>
              </w:rPr>
              <w:t>9</w:t>
            </w:r>
            <w:r w:rsidR="006B578A" w:rsidRPr="00CE2185">
              <w:rPr>
                <w:b/>
                <w:bCs/>
                <w:noProof/>
                <w:sz w:val="20"/>
                <w:szCs w:val="20"/>
              </w:rPr>
              <w:t>.</w:t>
            </w:r>
            <w:r w:rsidR="00C716DD" w:rsidRPr="00CE2185">
              <w:rPr>
                <w:b/>
                <w:bCs/>
                <w:noProof/>
                <w:sz w:val="20"/>
                <w:szCs w:val="20"/>
              </w:rPr>
              <w:t>5</w:t>
            </w:r>
            <w:r w:rsidR="006B578A" w:rsidRPr="00CE2185">
              <w:rPr>
                <w:b/>
                <w:bCs/>
                <w:noProof/>
                <w:sz w:val="20"/>
                <w:szCs w:val="20"/>
              </w:rPr>
              <w:t xml:space="preserve"> million to </w:t>
            </w:r>
            <w:r w:rsidR="003840FD" w:rsidRPr="00CE2185">
              <w:rPr>
                <w:b/>
                <w:bCs/>
                <w:noProof/>
                <w:sz w:val="20"/>
                <w:szCs w:val="20"/>
              </w:rPr>
              <w:t xml:space="preserve">EUR </w:t>
            </w:r>
            <w:r w:rsidR="0088684F" w:rsidRPr="00CE2185">
              <w:rPr>
                <w:b/>
                <w:bCs/>
                <w:noProof/>
                <w:sz w:val="20"/>
                <w:szCs w:val="20"/>
              </w:rPr>
              <w:t>13.1</w:t>
            </w:r>
            <w:r w:rsidR="003840FD" w:rsidRPr="00CE2185">
              <w:rPr>
                <w:b/>
                <w:bCs/>
                <w:noProof/>
                <w:sz w:val="20"/>
                <w:szCs w:val="20"/>
              </w:rPr>
              <w:t xml:space="preserve"> million</w:t>
            </w:r>
            <w:r w:rsidR="009F03C0" w:rsidRPr="00CE2185">
              <w:rPr>
                <w:b/>
                <w:bCs/>
                <w:noProof/>
                <w:sz w:val="20"/>
                <w:szCs w:val="20"/>
              </w:rPr>
              <w:t xml:space="preserve"> </w:t>
            </w:r>
            <w:r w:rsidR="009F03C0" w:rsidRPr="00CE2185">
              <w:rPr>
                <w:noProof/>
                <w:sz w:val="20"/>
                <w:szCs w:val="20"/>
              </w:rPr>
              <w:t>(for 4 to 6 schemes)</w:t>
            </w:r>
          </w:p>
        </w:tc>
        <w:tc>
          <w:tcPr>
            <w:tcW w:w="2374" w:type="dxa"/>
          </w:tcPr>
          <w:p w14:paraId="40A4809B" w14:textId="16AA25BE" w:rsidR="00F24A4B" w:rsidRPr="00CE2185" w:rsidRDefault="00F013A4" w:rsidP="00AC1465">
            <w:pPr>
              <w:spacing w:after="0"/>
              <w:rPr>
                <w:noProof/>
                <w:sz w:val="20"/>
                <w:szCs w:val="20"/>
              </w:rPr>
            </w:pPr>
            <w:r w:rsidRPr="00CE2185">
              <w:rPr>
                <w:noProof/>
                <w:sz w:val="20"/>
                <w:szCs w:val="20"/>
              </w:rPr>
              <w:t>Same as B2</w:t>
            </w:r>
          </w:p>
        </w:tc>
      </w:tr>
      <w:tr w:rsidR="00177852" w:rsidRPr="00CE2185" w14:paraId="4227BA8B" w14:textId="77777777" w:rsidTr="7410CB48">
        <w:trPr>
          <w:trHeight w:val="210"/>
        </w:trPr>
        <w:tc>
          <w:tcPr>
            <w:tcW w:w="1101" w:type="dxa"/>
          </w:tcPr>
          <w:p w14:paraId="2A83211F" w14:textId="59AD8A9C" w:rsidR="00177852" w:rsidRPr="00CE2185" w:rsidRDefault="00177852" w:rsidP="00AC1465">
            <w:pPr>
              <w:spacing w:after="0"/>
              <w:rPr>
                <w:noProof/>
                <w:sz w:val="20"/>
                <w:szCs w:val="20"/>
              </w:rPr>
            </w:pPr>
            <w:r w:rsidRPr="00CE2185">
              <w:rPr>
                <w:noProof/>
                <w:sz w:val="20"/>
                <w:szCs w:val="20"/>
              </w:rPr>
              <w:t>Cit</w:t>
            </w:r>
            <w:r w:rsidR="00795DF0" w:rsidRPr="00CE2185">
              <w:rPr>
                <w:noProof/>
                <w:sz w:val="20"/>
                <w:szCs w:val="20"/>
              </w:rPr>
              <w:t>i</w:t>
            </w:r>
            <w:r w:rsidRPr="00CE2185">
              <w:rPr>
                <w:noProof/>
                <w:sz w:val="20"/>
                <w:szCs w:val="20"/>
              </w:rPr>
              <w:t>zens</w:t>
            </w:r>
          </w:p>
        </w:tc>
        <w:tc>
          <w:tcPr>
            <w:tcW w:w="2268" w:type="dxa"/>
          </w:tcPr>
          <w:p w14:paraId="039A7D01" w14:textId="533057D1" w:rsidR="00177852" w:rsidRPr="00CE2185" w:rsidRDefault="00177852" w:rsidP="00AC1465">
            <w:pPr>
              <w:spacing w:after="0"/>
              <w:rPr>
                <w:noProof/>
                <w:sz w:val="20"/>
                <w:szCs w:val="20"/>
              </w:rPr>
            </w:pPr>
            <w:r w:rsidRPr="00CE2185">
              <w:rPr>
                <w:noProof/>
                <w:sz w:val="20"/>
                <w:szCs w:val="20"/>
              </w:rPr>
              <w:t>0</w:t>
            </w:r>
          </w:p>
        </w:tc>
        <w:tc>
          <w:tcPr>
            <w:tcW w:w="3543" w:type="dxa"/>
          </w:tcPr>
          <w:p w14:paraId="58BA4190" w14:textId="3C2C280F" w:rsidR="00177852" w:rsidRPr="00CE2185" w:rsidRDefault="00177852" w:rsidP="00AC1465">
            <w:pPr>
              <w:spacing w:after="0"/>
              <w:rPr>
                <w:noProof/>
                <w:sz w:val="20"/>
                <w:szCs w:val="20"/>
              </w:rPr>
            </w:pPr>
            <w:r w:rsidRPr="00CE2185">
              <w:rPr>
                <w:noProof/>
                <w:sz w:val="20"/>
                <w:szCs w:val="20"/>
              </w:rPr>
              <w:t>0</w:t>
            </w:r>
          </w:p>
        </w:tc>
        <w:tc>
          <w:tcPr>
            <w:tcW w:w="2374" w:type="dxa"/>
          </w:tcPr>
          <w:p w14:paraId="7C7225F9" w14:textId="0E31557B" w:rsidR="00177852" w:rsidRPr="00CE2185" w:rsidRDefault="00177852" w:rsidP="00AC1465">
            <w:pPr>
              <w:spacing w:after="0"/>
              <w:rPr>
                <w:noProof/>
                <w:sz w:val="20"/>
                <w:szCs w:val="20"/>
              </w:rPr>
            </w:pPr>
            <w:r w:rsidRPr="00CE2185">
              <w:rPr>
                <w:noProof/>
                <w:sz w:val="20"/>
                <w:szCs w:val="20"/>
              </w:rPr>
              <w:t>Possible price increase</w:t>
            </w:r>
          </w:p>
        </w:tc>
      </w:tr>
    </w:tbl>
    <w:p w14:paraId="65748DEE" w14:textId="07CAD7D6" w:rsidR="001660B6" w:rsidRPr="00CE2185" w:rsidRDefault="002C6D3D" w:rsidP="00EE3DF9">
      <w:pPr>
        <w:pStyle w:val="Heading4"/>
        <w:numPr>
          <w:ilvl w:val="4"/>
          <w:numId w:val="10"/>
        </w:numPr>
        <w:spacing w:before="120" w:after="120"/>
        <w:ind w:left="1797" w:hanging="357"/>
        <w:rPr>
          <w:noProof/>
        </w:rPr>
      </w:pPr>
      <w:r w:rsidRPr="00CE2185">
        <w:rPr>
          <w:noProof/>
        </w:rPr>
        <w:t>Cost savings</w:t>
      </w:r>
      <w:r w:rsidR="001660B6" w:rsidRPr="00CE2185">
        <w:rPr>
          <w:noProof/>
        </w:rPr>
        <w:t xml:space="preserve"> for public authorities, citizens and EU institutions </w:t>
      </w:r>
      <w:r w:rsidR="00603F71" w:rsidRPr="00CE2185">
        <w:rPr>
          <w:noProof/>
        </w:rPr>
        <w:t>related to procedural efficiencies and the likelihood of cybersecurity incidents.</w:t>
      </w:r>
    </w:p>
    <w:p w14:paraId="0C82CAA4" w14:textId="50AC9487" w:rsidR="006E5211" w:rsidRPr="00CE2185" w:rsidRDefault="006E5211" w:rsidP="00795DF0">
      <w:pPr>
        <w:spacing w:after="120"/>
        <w:rPr>
          <w:noProof/>
        </w:rPr>
      </w:pPr>
      <w:r w:rsidRPr="00CE2185">
        <w:rPr>
          <w:noProof/>
        </w:rPr>
        <w:t xml:space="preserve">The policy options related to certification would entail different cost savings related to </w:t>
      </w:r>
      <w:r w:rsidR="00DA7FB6" w:rsidRPr="00CE2185">
        <w:rPr>
          <w:noProof/>
        </w:rPr>
        <w:t xml:space="preserve">procedural efficiencies </w:t>
      </w:r>
      <w:r w:rsidR="002B3FE4" w:rsidRPr="00CE2185">
        <w:rPr>
          <w:noProof/>
        </w:rPr>
        <w:t xml:space="preserve">and </w:t>
      </w:r>
      <w:r w:rsidR="006F0493" w:rsidRPr="00CE2185">
        <w:rPr>
          <w:noProof/>
        </w:rPr>
        <w:t xml:space="preserve">the likelihood of cybersecurity incidents. The cost savings related to internal market effect are outlined in the dedicated section.  </w:t>
      </w:r>
    </w:p>
    <w:p w14:paraId="586ACB06" w14:textId="6D26A39A" w:rsidR="005A7729" w:rsidRPr="00CE2185" w:rsidRDefault="006F0493" w:rsidP="00795DF0">
      <w:pPr>
        <w:spacing w:after="120"/>
        <w:rPr>
          <w:noProof/>
        </w:rPr>
      </w:pPr>
      <w:r w:rsidRPr="00CE2185">
        <w:rPr>
          <w:noProof/>
        </w:rPr>
        <w:t xml:space="preserve">Regarding option </w:t>
      </w:r>
      <w:r w:rsidR="005A7729" w:rsidRPr="00CE2185">
        <w:rPr>
          <w:b/>
          <w:bCs/>
          <w:noProof/>
        </w:rPr>
        <w:t>B1</w:t>
      </w:r>
      <w:r w:rsidR="00F97AC3" w:rsidRPr="00CE2185">
        <w:rPr>
          <w:noProof/>
        </w:rPr>
        <w:t xml:space="preserve">, </w:t>
      </w:r>
      <w:r w:rsidR="00F97AC3" w:rsidRPr="00CE2185">
        <w:rPr>
          <w:b/>
          <w:noProof/>
        </w:rPr>
        <w:t>businesses</w:t>
      </w:r>
      <w:r w:rsidR="005A7729" w:rsidRPr="00CE2185">
        <w:rPr>
          <w:b/>
          <w:bCs/>
          <w:noProof/>
        </w:rPr>
        <w:t xml:space="preserve"> </w:t>
      </w:r>
      <w:r w:rsidR="00F97AC3" w:rsidRPr="00CE2185">
        <w:rPr>
          <w:b/>
          <w:bCs/>
          <w:noProof/>
        </w:rPr>
        <w:t>and</w:t>
      </w:r>
      <w:r w:rsidR="005A7729" w:rsidRPr="00CE2185">
        <w:rPr>
          <w:b/>
          <w:bCs/>
          <w:noProof/>
        </w:rPr>
        <w:t xml:space="preserve"> public authorities</w:t>
      </w:r>
      <w:r w:rsidR="005A7729" w:rsidRPr="00CE2185">
        <w:rPr>
          <w:noProof/>
        </w:rPr>
        <w:t xml:space="preserve"> </w:t>
      </w:r>
      <w:r w:rsidR="00F97AC3" w:rsidRPr="00CE2185">
        <w:rPr>
          <w:noProof/>
        </w:rPr>
        <w:t>would benefit from</w:t>
      </w:r>
      <w:r w:rsidR="00F97AC3" w:rsidRPr="00CE2185">
        <w:rPr>
          <w:b/>
          <w:bCs/>
          <w:noProof/>
        </w:rPr>
        <w:t xml:space="preserve"> </w:t>
      </w:r>
      <w:r w:rsidR="00F97AC3" w:rsidRPr="00CE2185">
        <w:rPr>
          <w:noProof/>
        </w:rPr>
        <w:t xml:space="preserve">more </w:t>
      </w:r>
      <w:r w:rsidR="005A7729" w:rsidRPr="00CE2185">
        <w:rPr>
          <w:noProof/>
        </w:rPr>
        <w:t>streamline</w:t>
      </w:r>
      <w:r w:rsidR="00F97AC3" w:rsidRPr="00CE2185">
        <w:rPr>
          <w:noProof/>
        </w:rPr>
        <w:t>d</w:t>
      </w:r>
      <w:r w:rsidR="009B61E7" w:rsidRPr="00CE2185">
        <w:rPr>
          <w:noProof/>
        </w:rPr>
        <w:t xml:space="preserve"> and predictable</w:t>
      </w:r>
      <w:r w:rsidR="00F97AC3" w:rsidRPr="00CE2185">
        <w:rPr>
          <w:noProof/>
        </w:rPr>
        <w:t xml:space="preserve"> maintenance processes</w:t>
      </w:r>
      <w:r w:rsidR="009B61E7" w:rsidRPr="00CE2185">
        <w:rPr>
          <w:noProof/>
        </w:rPr>
        <w:t xml:space="preserve">, saving efforts and times in their engagement. In addition, under </w:t>
      </w:r>
      <w:r w:rsidR="009B61E7" w:rsidRPr="00CE2185">
        <w:rPr>
          <w:b/>
          <w:noProof/>
        </w:rPr>
        <w:t>option B2</w:t>
      </w:r>
      <w:r w:rsidR="009B61E7" w:rsidRPr="00CE2185">
        <w:rPr>
          <w:noProof/>
        </w:rPr>
        <w:t xml:space="preserve">, </w:t>
      </w:r>
      <w:r w:rsidR="00FD21C3" w:rsidRPr="00CE2185">
        <w:rPr>
          <w:noProof/>
        </w:rPr>
        <w:t xml:space="preserve">the time necessary to develop a certification scheme </w:t>
      </w:r>
      <w:r w:rsidR="00C312A5" w:rsidRPr="00CE2185">
        <w:rPr>
          <w:noProof/>
        </w:rPr>
        <w:t>would likely be positively</w:t>
      </w:r>
      <w:r w:rsidR="00FD21C3" w:rsidRPr="00CE2185">
        <w:rPr>
          <w:noProof/>
        </w:rPr>
        <w:t xml:space="preserve"> impacted and</w:t>
      </w:r>
      <w:r w:rsidR="00C312A5" w:rsidRPr="00CE2185">
        <w:rPr>
          <w:noProof/>
        </w:rPr>
        <w:t xml:space="preserve"> could be</w:t>
      </w:r>
      <w:r w:rsidR="00FD21C3" w:rsidRPr="00CE2185">
        <w:rPr>
          <w:noProof/>
        </w:rPr>
        <w:t xml:space="preserve"> reduced from a current average of 4/4,5 years to potentially 2/2,5 years </w:t>
      </w:r>
      <w:r w:rsidR="00C15BBE" w:rsidRPr="00CE2185">
        <w:rPr>
          <w:noProof/>
        </w:rPr>
        <w:t>due to</w:t>
      </w:r>
      <w:r w:rsidR="00FD21C3" w:rsidRPr="00CE2185">
        <w:rPr>
          <w:noProof/>
        </w:rPr>
        <w:t xml:space="preserve"> the </w:t>
      </w:r>
      <w:r w:rsidR="00C15BBE" w:rsidRPr="00CE2185">
        <w:rPr>
          <w:noProof/>
        </w:rPr>
        <w:t>introduction</w:t>
      </w:r>
      <w:r w:rsidR="00FD21C3" w:rsidRPr="00CE2185">
        <w:rPr>
          <w:noProof/>
        </w:rPr>
        <w:t xml:space="preserve"> of </w:t>
      </w:r>
      <w:r w:rsidR="00C15BBE" w:rsidRPr="00CE2185">
        <w:rPr>
          <w:noProof/>
        </w:rPr>
        <w:t>deadlines</w:t>
      </w:r>
      <w:r w:rsidR="00FD21C3" w:rsidRPr="00CE2185">
        <w:rPr>
          <w:noProof/>
        </w:rPr>
        <w:t xml:space="preserve"> and </w:t>
      </w:r>
      <w:r w:rsidR="00C15BBE" w:rsidRPr="00CE2185">
        <w:rPr>
          <w:noProof/>
        </w:rPr>
        <w:t>a clear development plan</w:t>
      </w:r>
      <w:r w:rsidR="009865E6" w:rsidRPr="00CE2185">
        <w:rPr>
          <w:noProof/>
        </w:rPr>
        <w:t>.</w:t>
      </w:r>
      <w:r w:rsidR="00C312A5" w:rsidRPr="00CE2185">
        <w:rPr>
          <w:noProof/>
        </w:rPr>
        <w:t xml:space="preserve"> This would overall improve </w:t>
      </w:r>
      <w:r w:rsidR="00C312A5" w:rsidRPr="00CE2185">
        <w:rPr>
          <w:b/>
          <w:noProof/>
        </w:rPr>
        <w:t>procedural</w:t>
      </w:r>
      <w:r w:rsidR="00FD21C3" w:rsidRPr="00CE2185">
        <w:rPr>
          <w:b/>
          <w:noProof/>
        </w:rPr>
        <w:t xml:space="preserve"> </w:t>
      </w:r>
      <w:r w:rsidR="00C312A5" w:rsidRPr="00CE2185">
        <w:rPr>
          <w:b/>
          <w:bCs/>
          <w:noProof/>
        </w:rPr>
        <w:t>efficien</w:t>
      </w:r>
      <w:r w:rsidR="00761753" w:rsidRPr="00CE2185">
        <w:rPr>
          <w:b/>
          <w:bCs/>
          <w:noProof/>
        </w:rPr>
        <w:t>c</w:t>
      </w:r>
      <w:r w:rsidR="00C312A5" w:rsidRPr="00CE2185">
        <w:rPr>
          <w:b/>
          <w:bCs/>
          <w:noProof/>
        </w:rPr>
        <w:t>y</w:t>
      </w:r>
      <w:r w:rsidR="00C312A5" w:rsidRPr="00CE2185">
        <w:rPr>
          <w:noProof/>
        </w:rPr>
        <w:t xml:space="preserve"> for all actors involved, including businesses, public authorities and ENISA. </w:t>
      </w:r>
    </w:p>
    <w:p w14:paraId="24EF639A" w14:textId="32E923F7" w:rsidR="00EB414D" w:rsidRPr="00CE2185" w:rsidRDefault="007635DF" w:rsidP="00795DF0">
      <w:pPr>
        <w:spacing w:after="120"/>
        <w:rPr>
          <w:noProof/>
        </w:rPr>
      </w:pPr>
      <w:r w:rsidRPr="00CE2185">
        <w:rPr>
          <w:noProof/>
        </w:rPr>
        <w:t xml:space="preserve">Furthermore, under option B2, </w:t>
      </w:r>
      <w:r w:rsidRPr="00CE2185">
        <w:rPr>
          <w:b/>
          <w:bCs/>
          <w:noProof/>
        </w:rPr>
        <w:t>businesses</w:t>
      </w:r>
      <w:r w:rsidRPr="00CE2185">
        <w:rPr>
          <w:b/>
          <w:bCs/>
          <w:i/>
          <w:iCs/>
          <w:noProof/>
        </w:rPr>
        <w:t xml:space="preserve"> </w:t>
      </w:r>
      <w:r w:rsidRPr="00CE2185">
        <w:rPr>
          <w:noProof/>
        </w:rPr>
        <w:t xml:space="preserve">would benefit from costs savings related to </w:t>
      </w:r>
      <w:r w:rsidR="001D7DA3" w:rsidRPr="00CE2185">
        <w:rPr>
          <w:b/>
          <w:bCs/>
          <w:noProof/>
        </w:rPr>
        <w:t>reduced market fragmentation</w:t>
      </w:r>
      <w:r w:rsidR="001D7DA3" w:rsidRPr="00CE2185">
        <w:rPr>
          <w:noProof/>
        </w:rPr>
        <w:t xml:space="preserve"> thanks to harmonised European-wide schemes that would gradually replace existing national schemes</w:t>
      </w:r>
      <w:r w:rsidR="00D22373" w:rsidRPr="00CE2185">
        <w:rPr>
          <w:noProof/>
        </w:rPr>
        <w:t xml:space="preserve"> (</w:t>
      </w:r>
      <w:r w:rsidR="00D22373" w:rsidRPr="00CE2185">
        <w:rPr>
          <w:i/>
          <w:iCs/>
          <w:noProof/>
        </w:rPr>
        <w:t xml:space="preserve">see also </w:t>
      </w:r>
      <w:r w:rsidR="00591448" w:rsidRPr="00CE2185">
        <w:rPr>
          <w:i/>
          <w:iCs/>
          <w:noProof/>
        </w:rPr>
        <w:t>S</w:t>
      </w:r>
      <w:r w:rsidR="00D22373" w:rsidRPr="00CE2185">
        <w:rPr>
          <w:i/>
          <w:iCs/>
          <w:noProof/>
        </w:rPr>
        <w:t xml:space="preserve">ection </w:t>
      </w:r>
      <w:r w:rsidR="002B5069" w:rsidRPr="00CE2185">
        <w:rPr>
          <w:i/>
          <w:iCs/>
          <w:noProof/>
        </w:rPr>
        <w:t>6.1.3</w:t>
      </w:r>
      <w:r w:rsidR="00D22373" w:rsidRPr="00CE2185">
        <w:rPr>
          <w:noProof/>
        </w:rPr>
        <w:t>)</w:t>
      </w:r>
      <w:r w:rsidR="001D7DA3" w:rsidRPr="00CE2185">
        <w:rPr>
          <w:noProof/>
        </w:rPr>
        <w:t xml:space="preserve">. </w:t>
      </w:r>
      <w:r w:rsidR="006C33EA" w:rsidRPr="00CE2185">
        <w:rPr>
          <w:noProof/>
        </w:rPr>
        <w:t>To illustrate this point, taking the example of the future EUCS, there are currently at least four cloud certification schemes introduced by authorities of four of the largest EU Member States</w:t>
      </w:r>
      <w:r w:rsidR="006C33EA" w:rsidRPr="00CE2185">
        <w:rPr>
          <w:rStyle w:val="FootnoteReference"/>
          <w:noProof/>
        </w:rPr>
        <w:footnoteReference w:id="157"/>
      </w:r>
      <w:r w:rsidR="006C33EA" w:rsidRPr="00CE2185">
        <w:rPr>
          <w:noProof/>
        </w:rPr>
        <w:t xml:space="preserve">. If a company would have to comply only with one scheme instead of four, </w:t>
      </w:r>
      <w:r w:rsidR="00CB2771" w:rsidRPr="00CE2185">
        <w:rPr>
          <w:noProof/>
        </w:rPr>
        <w:t xml:space="preserve">it </w:t>
      </w:r>
      <w:r w:rsidR="002D620F" w:rsidRPr="00CE2185">
        <w:rPr>
          <w:noProof/>
        </w:rPr>
        <w:t>could</w:t>
      </w:r>
      <w:r w:rsidR="00CB2771" w:rsidRPr="00CE2185">
        <w:rPr>
          <w:noProof/>
        </w:rPr>
        <w:t xml:space="preserve"> have cost </w:t>
      </w:r>
      <w:r w:rsidR="006C33EA" w:rsidRPr="00CE2185">
        <w:rPr>
          <w:noProof/>
        </w:rPr>
        <w:t xml:space="preserve">savings </w:t>
      </w:r>
      <w:r w:rsidR="00CB2771" w:rsidRPr="00CE2185">
        <w:rPr>
          <w:noProof/>
        </w:rPr>
        <w:t xml:space="preserve">of </w:t>
      </w:r>
      <w:r w:rsidR="002D620F" w:rsidRPr="00CE2185">
        <w:rPr>
          <w:noProof/>
        </w:rPr>
        <w:t>up to 25%</w:t>
      </w:r>
      <w:r w:rsidR="006C33EA" w:rsidRPr="00CE2185">
        <w:rPr>
          <w:noProof/>
        </w:rPr>
        <w:t xml:space="preserve"> related </w:t>
      </w:r>
      <w:r w:rsidR="002D620F" w:rsidRPr="00CE2185">
        <w:rPr>
          <w:noProof/>
        </w:rPr>
        <w:t xml:space="preserve">to recurrent administrative </w:t>
      </w:r>
      <w:r w:rsidR="006C33EA" w:rsidRPr="00CE2185">
        <w:rPr>
          <w:noProof/>
        </w:rPr>
        <w:t xml:space="preserve">costs </w:t>
      </w:r>
      <w:r w:rsidR="002D620F" w:rsidRPr="00CE2185">
        <w:rPr>
          <w:noProof/>
        </w:rPr>
        <w:t>and likely also adjustment costs</w:t>
      </w:r>
      <w:r w:rsidR="003A5145" w:rsidRPr="00CE2185">
        <w:rPr>
          <w:noProof/>
        </w:rPr>
        <w:t xml:space="preserve"> (by removing cyber divergent requirements)</w:t>
      </w:r>
      <w:r w:rsidR="006C33EA" w:rsidRPr="00CE2185">
        <w:rPr>
          <w:noProof/>
        </w:rPr>
        <w:t>.</w:t>
      </w:r>
      <w:r w:rsidR="7A3BD4DD" w:rsidRPr="00CE2185">
        <w:rPr>
          <w:noProof/>
        </w:rPr>
        <w:t xml:space="preserve"> </w:t>
      </w:r>
      <w:r w:rsidR="78915501" w:rsidRPr="00CE2185">
        <w:rPr>
          <w:noProof/>
        </w:rPr>
        <w:t xml:space="preserve">Regarding the new certification scheme related to the </w:t>
      </w:r>
      <w:r w:rsidR="78915501" w:rsidRPr="00CE2185">
        <w:rPr>
          <w:b/>
          <w:bCs/>
          <w:noProof/>
        </w:rPr>
        <w:t>cyber</w:t>
      </w:r>
      <w:r w:rsidR="0052051B" w:rsidRPr="00CE2185">
        <w:rPr>
          <w:b/>
          <w:bCs/>
          <w:noProof/>
        </w:rPr>
        <w:t xml:space="preserve"> </w:t>
      </w:r>
      <w:r w:rsidR="78915501" w:rsidRPr="00CE2185">
        <w:rPr>
          <w:b/>
          <w:bCs/>
          <w:noProof/>
        </w:rPr>
        <w:t>posture of entities</w:t>
      </w:r>
      <w:r w:rsidR="78915501" w:rsidRPr="00CE2185">
        <w:rPr>
          <w:noProof/>
        </w:rPr>
        <w:t>, the cost savings wo</w:t>
      </w:r>
      <w:r w:rsidR="747A9E5C" w:rsidRPr="00CE2185">
        <w:rPr>
          <w:noProof/>
        </w:rPr>
        <w:t xml:space="preserve">uld be significant if the scheme </w:t>
      </w:r>
      <w:r w:rsidR="00914466">
        <w:rPr>
          <w:noProof/>
        </w:rPr>
        <w:t>enables demonstration</w:t>
      </w:r>
      <w:r w:rsidR="747A9E5C" w:rsidRPr="00CE2185">
        <w:rPr>
          <w:noProof/>
        </w:rPr>
        <w:t xml:space="preserve"> of conformity with NIS2 as outlined under </w:t>
      </w:r>
      <w:r w:rsidR="747A9E5C" w:rsidRPr="00CE2185">
        <w:rPr>
          <w:b/>
          <w:bCs/>
          <w:noProof/>
        </w:rPr>
        <w:t>policy option C2</w:t>
      </w:r>
      <w:r w:rsidR="747A9E5C" w:rsidRPr="00CE2185">
        <w:rPr>
          <w:noProof/>
        </w:rPr>
        <w:t xml:space="preserve">. </w:t>
      </w:r>
    </w:p>
    <w:p w14:paraId="2588C6C0" w14:textId="1D66A374" w:rsidR="00AB15A6" w:rsidRPr="00CE2185" w:rsidRDefault="00CD4388" w:rsidP="00795DF0">
      <w:pPr>
        <w:spacing w:after="120"/>
        <w:rPr>
          <w:noProof/>
        </w:rPr>
      </w:pPr>
      <w:r w:rsidRPr="00CE2185">
        <w:rPr>
          <w:noProof/>
        </w:rPr>
        <w:t>Furthermore, the adoption of new schemes under B2 and B3 (in combination with D2/D3) would</w:t>
      </w:r>
      <w:r w:rsidR="00AB15A6" w:rsidRPr="00CE2185">
        <w:rPr>
          <w:noProof/>
        </w:rPr>
        <w:t xml:space="preserve"> </w:t>
      </w:r>
      <w:r w:rsidR="00AB15A6" w:rsidRPr="00CE2185">
        <w:rPr>
          <w:b/>
          <w:bCs/>
          <w:noProof/>
        </w:rPr>
        <w:t>lower the</w:t>
      </w:r>
      <w:r w:rsidRPr="00CE2185">
        <w:rPr>
          <w:b/>
          <w:bCs/>
          <w:noProof/>
        </w:rPr>
        <w:t xml:space="preserve"> potential</w:t>
      </w:r>
      <w:r w:rsidR="00AB15A6" w:rsidRPr="00CE2185">
        <w:rPr>
          <w:b/>
          <w:bCs/>
          <w:noProof/>
        </w:rPr>
        <w:t xml:space="preserve"> financial impact of cyber-</w:t>
      </w:r>
      <w:r w:rsidRPr="00CE2185">
        <w:rPr>
          <w:b/>
          <w:bCs/>
          <w:noProof/>
        </w:rPr>
        <w:t>incident</w:t>
      </w:r>
      <w:r w:rsidR="6964E7A8" w:rsidRPr="00CE2185">
        <w:rPr>
          <w:b/>
          <w:bCs/>
          <w:noProof/>
        </w:rPr>
        <w:t>s</w:t>
      </w:r>
      <w:r w:rsidR="6964E7A8" w:rsidRPr="00CE2185">
        <w:rPr>
          <w:noProof/>
        </w:rPr>
        <w:t xml:space="preserve"> </w:t>
      </w:r>
      <w:r w:rsidR="6964E7A8" w:rsidRPr="00CE2185">
        <w:rPr>
          <w:b/>
          <w:bCs/>
          <w:noProof/>
        </w:rPr>
        <w:t>for businesses</w:t>
      </w:r>
      <w:r w:rsidRPr="00CE2185">
        <w:rPr>
          <w:b/>
          <w:bCs/>
          <w:noProof/>
        </w:rPr>
        <w:t xml:space="preserve"> </w:t>
      </w:r>
      <w:r w:rsidRPr="00CE2185">
        <w:rPr>
          <w:noProof/>
        </w:rPr>
        <w:t>by enhancing the cyber resilience of products, processes, services</w:t>
      </w:r>
      <w:r w:rsidR="00914466">
        <w:rPr>
          <w:noProof/>
        </w:rPr>
        <w:t>,</w:t>
      </w:r>
      <w:r w:rsidR="00914466" w:rsidRPr="00914466">
        <w:rPr>
          <w:noProof/>
        </w:rPr>
        <w:t xml:space="preserve"> managed security services</w:t>
      </w:r>
      <w:r w:rsidRPr="00CE2185">
        <w:rPr>
          <w:noProof/>
        </w:rPr>
        <w:t xml:space="preserve"> and</w:t>
      </w:r>
      <w:r w:rsidR="009777E0" w:rsidRPr="00CE2185">
        <w:rPr>
          <w:noProof/>
        </w:rPr>
        <w:t>,</w:t>
      </w:r>
      <w:r w:rsidRPr="00CE2185">
        <w:rPr>
          <w:noProof/>
        </w:rPr>
        <w:t xml:space="preserve"> under B2 and B3, entities</w:t>
      </w:r>
      <w:r w:rsidR="0051785B" w:rsidRPr="00CE2185">
        <w:rPr>
          <w:noProof/>
        </w:rPr>
        <w:t>.</w:t>
      </w:r>
      <w:r w:rsidR="376BA0C4" w:rsidRPr="00CE2185">
        <w:rPr>
          <w:noProof/>
        </w:rPr>
        <w:t xml:space="preserve"> This would indirectly also benefit to citizens, public authorities as well as other businesses as users. </w:t>
      </w:r>
      <w:r w:rsidR="0051785B" w:rsidRPr="00CE2185">
        <w:rPr>
          <w:noProof/>
        </w:rPr>
        <w:t xml:space="preserve"> </w:t>
      </w:r>
      <w:r w:rsidR="00141417" w:rsidRPr="00CE2185">
        <w:rPr>
          <w:noProof/>
        </w:rPr>
        <w:t>By nature, the</w:t>
      </w:r>
      <w:r w:rsidR="0051785B" w:rsidRPr="00CE2185">
        <w:rPr>
          <w:noProof/>
        </w:rPr>
        <w:t xml:space="preserve"> </w:t>
      </w:r>
      <w:r w:rsidR="00141417" w:rsidRPr="00CE2185">
        <w:rPr>
          <w:noProof/>
        </w:rPr>
        <w:t>existence</w:t>
      </w:r>
      <w:r w:rsidR="0051785B" w:rsidRPr="00CE2185">
        <w:rPr>
          <w:noProof/>
        </w:rPr>
        <w:t xml:space="preserve"> of a certification, including regular audit</w:t>
      </w:r>
      <w:r w:rsidR="00141417" w:rsidRPr="00CE2185">
        <w:rPr>
          <w:noProof/>
        </w:rPr>
        <w:t>s,</w:t>
      </w:r>
      <w:r w:rsidR="0051785B" w:rsidRPr="00CE2185">
        <w:rPr>
          <w:noProof/>
        </w:rPr>
        <w:t xml:space="preserve"> would </w:t>
      </w:r>
      <w:r w:rsidR="00141417" w:rsidRPr="00CE2185">
        <w:rPr>
          <w:noProof/>
        </w:rPr>
        <w:t xml:space="preserve">increase the </w:t>
      </w:r>
      <w:r w:rsidR="00762698" w:rsidRPr="00CE2185">
        <w:rPr>
          <w:noProof/>
        </w:rPr>
        <w:t>effectiveness of</w:t>
      </w:r>
      <w:r w:rsidR="00141417" w:rsidRPr="00CE2185">
        <w:rPr>
          <w:noProof/>
        </w:rPr>
        <w:t xml:space="preserve"> cybersecurity measures </w:t>
      </w:r>
      <w:r w:rsidR="00762698" w:rsidRPr="00CE2185">
        <w:rPr>
          <w:noProof/>
        </w:rPr>
        <w:t xml:space="preserve">and hence </w:t>
      </w:r>
      <w:r w:rsidR="005D6F5B" w:rsidRPr="00CE2185">
        <w:rPr>
          <w:noProof/>
        </w:rPr>
        <w:t>decrease</w:t>
      </w:r>
      <w:r w:rsidR="00330C6C" w:rsidRPr="00CE2185">
        <w:rPr>
          <w:noProof/>
        </w:rPr>
        <w:t xml:space="preserve"> the</w:t>
      </w:r>
      <w:r w:rsidR="00762698" w:rsidRPr="00CE2185">
        <w:rPr>
          <w:noProof/>
        </w:rPr>
        <w:t xml:space="preserve"> likelihood of incidents of different types </w:t>
      </w:r>
      <w:r w:rsidR="00330C6C" w:rsidRPr="00CE2185">
        <w:rPr>
          <w:noProof/>
        </w:rPr>
        <w:t xml:space="preserve">and related costs </w:t>
      </w:r>
      <w:r w:rsidR="00762698" w:rsidRPr="00CE2185">
        <w:rPr>
          <w:noProof/>
        </w:rPr>
        <w:t>(</w:t>
      </w:r>
      <w:r w:rsidR="00762698" w:rsidRPr="00CE2185">
        <w:rPr>
          <w:i/>
          <w:iCs/>
          <w:noProof/>
        </w:rPr>
        <w:t xml:space="preserve">see Annex </w:t>
      </w:r>
      <w:r w:rsidR="002B5069" w:rsidRPr="00CE2185">
        <w:rPr>
          <w:i/>
          <w:iCs/>
          <w:noProof/>
        </w:rPr>
        <w:t>7</w:t>
      </w:r>
      <w:r w:rsidR="00762698" w:rsidRPr="00CE2185">
        <w:rPr>
          <w:noProof/>
        </w:rPr>
        <w:t>)</w:t>
      </w:r>
      <w:r w:rsidR="00141417" w:rsidRPr="00CE2185">
        <w:rPr>
          <w:noProof/>
        </w:rPr>
        <w:t>.</w:t>
      </w:r>
      <w:r w:rsidR="006D16C2" w:rsidRPr="00CE2185">
        <w:rPr>
          <w:noProof/>
        </w:rPr>
        <w:t xml:space="preserve"> However, </w:t>
      </w:r>
      <w:r w:rsidR="00CA3B71" w:rsidRPr="00CE2185">
        <w:rPr>
          <w:noProof/>
        </w:rPr>
        <w:t xml:space="preserve">the </w:t>
      </w:r>
      <w:r w:rsidR="00762698" w:rsidRPr="00CE2185">
        <w:rPr>
          <w:noProof/>
        </w:rPr>
        <w:t xml:space="preserve">degree to which a certification would increase the cyber </w:t>
      </w:r>
      <w:r w:rsidR="003E43B2" w:rsidRPr="00CE2185">
        <w:rPr>
          <w:noProof/>
        </w:rPr>
        <w:t xml:space="preserve">resilience and the </w:t>
      </w:r>
      <w:r w:rsidR="00CA3B71" w:rsidRPr="00CE2185">
        <w:rPr>
          <w:noProof/>
        </w:rPr>
        <w:t>potential cost savings</w:t>
      </w:r>
      <w:r w:rsidR="003E43B2" w:rsidRPr="00CE2185">
        <w:rPr>
          <w:noProof/>
        </w:rPr>
        <w:t xml:space="preserve"> due to less likely incidents</w:t>
      </w:r>
      <w:r w:rsidR="00CA3B71" w:rsidRPr="00CE2185">
        <w:rPr>
          <w:noProof/>
        </w:rPr>
        <w:t xml:space="preserve"> cannot be quantified in an accurate manner</w:t>
      </w:r>
      <w:r w:rsidR="003E43B2" w:rsidRPr="00CE2185">
        <w:rPr>
          <w:noProof/>
        </w:rPr>
        <w:t xml:space="preserve"> and therefore quantified</w:t>
      </w:r>
      <w:r w:rsidR="00CA3B71" w:rsidRPr="00CE2185">
        <w:rPr>
          <w:noProof/>
        </w:rPr>
        <w:t>.</w:t>
      </w:r>
      <w:r w:rsidR="00F26D63" w:rsidRPr="00CE2185">
        <w:rPr>
          <w:noProof/>
        </w:rPr>
        <w:t xml:space="preserve"> </w:t>
      </w:r>
      <w:r w:rsidR="00C45440" w:rsidRPr="00CE2185">
        <w:rPr>
          <w:noProof/>
        </w:rPr>
        <w:t>This can be corroborated by the</w:t>
      </w:r>
      <w:r w:rsidR="00F26D63" w:rsidRPr="00CE2185">
        <w:rPr>
          <w:noProof/>
        </w:rPr>
        <w:t xml:space="preserve"> </w:t>
      </w:r>
      <w:r w:rsidR="00C45440" w:rsidRPr="00CE2185">
        <w:rPr>
          <w:noProof/>
        </w:rPr>
        <w:t>indication that</w:t>
      </w:r>
      <w:r w:rsidR="00F26D63" w:rsidRPr="00CE2185">
        <w:rPr>
          <w:noProof/>
        </w:rPr>
        <w:t xml:space="preserve"> </w:t>
      </w:r>
      <w:r w:rsidRPr="00CE2185" w:rsidDel="00CD4388">
        <w:rPr>
          <w:b/>
          <w:bCs/>
          <w:noProof/>
        </w:rPr>
        <w:t xml:space="preserve">businesses </w:t>
      </w:r>
      <w:r w:rsidR="00C45440" w:rsidRPr="00CE2185">
        <w:rPr>
          <w:b/>
          <w:bCs/>
          <w:noProof/>
        </w:rPr>
        <w:t>having</w:t>
      </w:r>
      <w:r w:rsidR="00CE2747" w:rsidRPr="00CE2185">
        <w:rPr>
          <w:b/>
          <w:bCs/>
          <w:noProof/>
        </w:rPr>
        <w:t xml:space="preserve"> a </w:t>
      </w:r>
      <w:r w:rsidRPr="00CE2185" w:rsidDel="00CD4388">
        <w:rPr>
          <w:b/>
          <w:bCs/>
          <w:noProof/>
        </w:rPr>
        <w:t xml:space="preserve">cybersecurity </w:t>
      </w:r>
      <w:r w:rsidR="00CE2747" w:rsidRPr="00CE2185">
        <w:rPr>
          <w:b/>
          <w:bCs/>
          <w:noProof/>
        </w:rPr>
        <w:t xml:space="preserve">certification </w:t>
      </w:r>
      <w:r w:rsidR="00C45440" w:rsidRPr="00CE2185">
        <w:rPr>
          <w:b/>
          <w:bCs/>
          <w:noProof/>
        </w:rPr>
        <w:t>are likely to</w:t>
      </w:r>
      <w:r w:rsidR="00CE2747" w:rsidRPr="00CE2185">
        <w:rPr>
          <w:b/>
          <w:bCs/>
          <w:noProof/>
        </w:rPr>
        <w:t xml:space="preserve"> </w:t>
      </w:r>
      <w:r w:rsidR="00C45440" w:rsidRPr="00CE2185">
        <w:rPr>
          <w:b/>
          <w:bCs/>
          <w:noProof/>
        </w:rPr>
        <w:t>benefit from lower</w:t>
      </w:r>
      <w:r w:rsidR="00CE2747" w:rsidRPr="00CE2185">
        <w:rPr>
          <w:b/>
          <w:bCs/>
          <w:noProof/>
        </w:rPr>
        <w:t xml:space="preserve"> cyber insurance </w:t>
      </w:r>
      <w:r w:rsidRPr="00CE2185" w:rsidDel="00CD4388">
        <w:rPr>
          <w:b/>
          <w:bCs/>
          <w:noProof/>
        </w:rPr>
        <w:t>costs according to multiple sectoral studies</w:t>
      </w:r>
      <w:r w:rsidR="00CE2747" w:rsidRPr="00CE2185">
        <w:rPr>
          <w:rStyle w:val="FootnoteReference"/>
          <w:noProof/>
        </w:rPr>
        <w:footnoteReference w:id="158"/>
      </w:r>
      <w:r w:rsidR="00CE2747" w:rsidRPr="00CE2185">
        <w:rPr>
          <w:noProof/>
        </w:rPr>
        <w:t>. Between 2023 and 2025 a 15% reduction in the cyber insurance premiums was observed</w:t>
      </w:r>
      <w:r w:rsidR="00CE2747" w:rsidRPr="00CE2185">
        <w:rPr>
          <w:rStyle w:val="FootnoteReference"/>
          <w:noProof/>
        </w:rPr>
        <w:footnoteReference w:id="159"/>
      </w:r>
      <w:r w:rsidR="00711C00" w:rsidRPr="00CE2185">
        <w:rPr>
          <w:noProof/>
        </w:rPr>
        <w:t>,</w:t>
      </w:r>
      <w:r w:rsidR="007323B7" w:rsidRPr="00CE2185">
        <w:rPr>
          <w:noProof/>
        </w:rPr>
        <w:t xml:space="preserve"> </w:t>
      </w:r>
      <w:r w:rsidR="00CE2747" w:rsidRPr="00CE2185">
        <w:rPr>
          <w:noProof/>
        </w:rPr>
        <w:t xml:space="preserve">attributed to the verified adoption of cybersecurity best practices by businesses. </w:t>
      </w:r>
      <w:r w:rsidR="1DB0A8F5" w:rsidRPr="00CE2185">
        <w:rPr>
          <w:noProof/>
        </w:rPr>
        <w:t>Such cost savings benefits would be even higher under B2 compared to B</w:t>
      </w:r>
      <w:r w:rsidR="696B5704" w:rsidRPr="00CE2185">
        <w:rPr>
          <w:noProof/>
        </w:rPr>
        <w:t xml:space="preserve">1, as more schemes would be in place </w:t>
      </w:r>
      <w:r w:rsidR="1DB0A8F5" w:rsidRPr="00CE2185">
        <w:rPr>
          <w:noProof/>
        </w:rPr>
        <w:t>and under option B3 compared to B2</w:t>
      </w:r>
      <w:r w:rsidR="413DAF62" w:rsidRPr="00CE2185">
        <w:rPr>
          <w:noProof/>
        </w:rPr>
        <w:t>,</w:t>
      </w:r>
      <w:r w:rsidR="1DB0A8F5" w:rsidRPr="00CE2185">
        <w:rPr>
          <w:noProof/>
        </w:rPr>
        <w:t xml:space="preserve"> as mandatory certification would increase the likelihood of b</w:t>
      </w:r>
      <w:r w:rsidR="20C5FE7F" w:rsidRPr="00CE2185">
        <w:rPr>
          <w:noProof/>
        </w:rPr>
        <w:t xml:space="preserve">usinesses meeting state-of-the art cybersecurity measures. </w:t>
      </w:r>
      <w:r w:rsidR="00AB15A6" w:rsidRPr="00CE2185">
        <w:rPr>
          <w:noProof/>
        </w:rPr>
        <w:t xml:space="preserve"> </w:t>
      </w:r>
    </w:p>
    <w:p w14:paraId="78560A94" w14:textId="77777777" w:rsidR="00BA05CA" w:rsidRPr="00CE2185" w:rsidRDefault="00D028F9" w:rsidP="00795DF0">
      <w:pPr>
        <w:spacing w:after="120"/>
        <w:rPr>
          <w:noProof/>
        </w:rPr>
      </w:pPr>
      <w:r w:rsidRPr="00CE2185">
        <w:rPr>
          <w:noProof/>
        </w:rPr>
        <w:t>For</w:t>
      </w:r>
      <w:r w:rsidR="00A234CD" w:rsidRPr="00CE2185">
        <w:rPr>
          <w:noProof/>
        </w:rPr>
        <w:t xml:space="preserve"> </w:t>
      </w:r>
      <w:r w:rsidR="00C9291E" w:rsidRPr="00CE2185">
        <w:rPr>
          <w:b/>
          <w:bCs/>
          <w:noProof/>
        </w:rPr>
        <w:t xml:space="preserve">CABs </w:t>
      </w:r>
      <w:r w:rsidR="3BCD593F" w:rsidRPr="00CE2185">
        <w:rPr>
          <w:noProof/>
        </w:rPr>
        <w:t>it is reasonable to assume that the</w:t>
      </w:r>
      <w:r w:rsidR="00B024EC" w:rsidRPr="00CE2185">
        <w:rPr>
          <w:noProof/>
        </w:rPr>
        <w:t xml:space="preserve"> costs would </w:t>
      </w:r>
      <w:r w:rsidR="00B86E97" w:rsidRPr="00CE2185">
        <w:rPr>
          <w:noProof/>
        </w:rPr>
        <w:t xml:space="preserve">be </w:t>
      </w:r>
      <w:r w:rsidR="0BB9BA50" w:rsidRPr="00CE2185">
        <w:rPr>
          <w:noProof/>
        </w:rPr>
        <w:t>offset</w:t>
      </w:r>
      <w:r w:rsidR="00B86E97" w:rsidRPr="00CE2185">
        <w:rPr>
          <w:noProof/>
        </w:rPr>
        <w:t xml:space="preserve"> by the raise in turnover of such entities from delivering </w:t>
      </w:r>
      <w:r w:rsidR="3D9F0C1D" w:rsidRPr="00CE2185">
        <w:rPr>
          <w:noProof/>
        </w:rPr>
        <w:t xml:space="preserve">testing and </w:t>
      </w:r>
      <w:r w:rsidR="00B86E97" w:rsidRPr="00CE2185">
        <w:rPr>
          <w:noProof/>
        </w:rPr>
        <w:t>certification activities.</w:t>
      </w:r>
      <w:r w:rsidR="00C16284" w:rsidRPr="00CE2185">
        <w:rPr>
          <w:noProof/>
        </w:rPr>
        <w:t xml:space="preserve"> </w:t>
      </w:r>
      <w:r w:rsidR="5D09F200" w:rsidRPr="00CE2185">
        <w:rPr>
          <w:noProof/>
        </w:rPr>
        <w:t>The</w:t>
      </w:r>
      <w:r w:rsidR="4B77FB5B" w:rsidRPr="00CE2185">
        <w:rPr>
          <w:noProof/>
        </w:rPr>
        <w:t xml:space="preserve"> engagement of CABs in activities related to a scheme remain voluntary in all scenarios and hence a business choice.</w:t>
      </w:r>
    </w:p>
    <w:p w14:paraId="3900C087" w14:textId="3427CBCE" w:rsidR="00C9291E" w:rsidRPr="00CE2185" w:rsidRDefault="00BA05CA" w:rsidP="001E5D9D">
      <w:pPr>
        <w:pStyle w:val="Heading7"/>
        <w:rPr>
          <w:noProof/>
        </w:rPr>
      </w:pPr>
      <w:bookmarkStart w:id="110" w:name="_Toc218767773"/>
      <w:r w:rsidRPr="00CE2185">
        <w:rPr>
          <w:noProof/>
        </w:rPr>
        <w:t>Table 1</w:t>
      </w:r>
      <w:r w:rsidR="00362531" w:rsidRPr="00CE2185">
        <w:rPr>
          <w:noProof/>
        </w:rPr>
        <w:t>1</w:t>
      </w:r>
      <w:r w:rsidR="00FA68AE">
        <w:rPr>
          <w:noProof/>
        </w:rPr>
        <w:t>:</w:t>
      </w:r>
      <w:r w:rsidRPr="00CE2185">
        <w:rPr>
          <w:noProof/>
        </w:rPr>
        <w:t xml:space="preserve"> Cost savings of policy options B (certification)</w:t>
      </w:r>
      <w:bookmarkEnd w:id="110"/>
      <w:r w:rsidR="3FA67806" w:rsidRPr="00CE2185">
        <w:rPr>
          <w:noProof/>
        </w:rPr>
        <w:t xml:space="preserve"> </w:t>
      </w:r>
      <w:r w:rsidR="00C16284" w:rsidRPr="00CE2185">
        <w:rPr>
          <w:noProof/>
        </w:rPr>
        <w:t xml:space="preserve"> </w:t>
      </w:r>
    </w:p>
    <w:tbl>
      <w:tblPr>
        <w:tblStyle w:val="TableGrid"/>
        <w:tblW w:w="9286" w:type="dxa"/>
        <w:tblLook w:val="04A0" w:firstRow="1" w:lastRow="0" w:firstColumn="1" w:lastColumn="0" w:noHBand="0" w:noVBand="1"/>
      </w:tblPr>
      <w:tblGrid>
        <w:gridCol w:w="1725"/>
        <w:gridCol w:w="3255"/>
        <w:gridCol w:w="2085"/>
        <w:gridCol w:w="2221"/>
      </w:tblGrid>
      <w:tr w:rsidR="007910A1" w:rsidRPr="00CE2185" w14:paraId="498E2E3C" w14:textId="77777777" w:rsidTr="00416674">
        <w:trPr>
          <w:trHeight w:val="300"/>
        </w:trPr>
        <w:tc>
          <w:tcPr>
            <w:tcW w:w="1725" w:type="dxa"/>
            <w:vMerge w:val="restart"/>
            <w:shd w:val="clear" w:color="auto" w:fill="DAEEF3" w:themeFill="accent5" w:themeFillTint="33"/>
            <w:vAlign w:val="center"/>
          </w:tcPr>
          <w:p w14:paraId="15D63D8C" w14:textId="3FDE72ED" w:rsidR="007910A1" w:rsidRPr="00CE2185" w:rsidRDefault="00D75B7C" w:rsidP="00D22373">
            <w:pPr>
              <w:spacing w:after="0"/>
              <w:jc w:val="center"/>
              <w:rPr>
                <w:noProof/>
                <w:sz w:val="20"/>
                <w:szCs w:val="20"/>
              </w:rPr>
            </w:pPr>
            <w:r w:rsidRPr="00CE2185">
              <w:rPr>
                <w:noProof/>
                <w:sz w:val="20"/>
                <w:szCs w:val="20"/>
              </w:rPr>
              <w:t>Cost savings</w:t>
            </w:r>
          </w:p>
        </w:tc>
        <w:tc>
          <w:tcPr>
            <w:tcW w:w="7561" w:type="dxa"/>
            <w:gridSpan w:val="3"/>
            <w:shd w:val="clear" w:color="auto" w:fill="B7CFED"/>
            <w:vAlign w:val="center"/>
          </w:tcPr>
          <w:p w14:paraId="5703D84F" w14:textId="77777777" w:rsidR="007910A1" w:rsidRPr="00CE2185" w:rsidRDefault="007910A1" w:rsidP="00D22373">
            <w:pPr>
              <w:spacing w:after="0"/>
              <w:jc w:val="center"/>
              <w:rPr>
                <w:noProof/>
                <w:sz w:val="20"/>
                <w:szCs w:val="20"/>
              </w:rPr>
            </w:pPr>
            <w:r w:rsidRPr="00CE2185">
              <w:rPr>
                <w:b/>
                <w:bCs/>
                <w:noProof/>
                <w:sz w:val="20"/>
                <w:szCs w:val="20"/>
              </w:rPr>
              <w:t>Policy options [Certification]</w:t>
            </w:r>
          </w:p>
        </w:tc>
      </w:tr>
      <w:tr w:rsidR="007910A1" w:rsidRPr="00CE2185" w14:paraId="602B1B8A" w14:textId="77777777" w:rsidTr="00416674">
        <w:trPr>
          <w:trHeight w:val="300"/>
        </w:trPr>
        <w:tc>
          <w:tcPr>
            <w:tcW w:w="1725" w:type="dxa"/>
            <w:vMerge/>
            <w:vAlign w:val="center"/>
          </w:tcPr>
          <w:p w14:paraId="6E907DF9" w14:textId="77777777" w:rsidR="007910A1" w:rsidRPr="00CE2185" w:rsidRDefault="007910A1" w:rsidP="00D22373">
            <w:pPr>
              <w:spacing w:after="0"/>
              <w:jc w:val="center"/>
              <w:rPr>
                <w:noProof/>
                <w:sz w:val="20"/>
                <w:szCs w:val="20"/>
              </w:rPr>
            </w:pPr>
          </w:p>
        </w:tc>
        <w:tc>
          <w:tcPr>
            <w:tcW w:w="3255" w:type="dxa"/>
            <w:shd w:val="clear" w:color="auto" w:fill="E1EBF7"/>
            <w:vAlign w:val="center"/>
          </w:tcPr>
          <w:p w14:paraId="383DB2EB" w14:textId="77777777" w:rsidR="007910A1" w:rsidRPr="00CE2185" w:rsidRDefault="007910A1" w:rsidP="00D22373">
            <w:pPr>
              <w:spacing w:after="0"/>
              <w:jc w:val="center"/>
              <w:rPr>
                <w:b/>
                <w:bCs/>
                <w:noProof/>
                <w:sz w:val="20"/>
                <w:szCs w:val="20"/>
              </w:rPr>
            </w:pPr>
            <w:r w:rsidRPr="00CE2185">
              <w:rPr>
                <w:b/>
                <w:bCs/>
                <w:noProof/>
                <w:sz w:val="20"/>
                <w:szCs w:val="20"/>
              </w:rPr>
              <w:t>B1</w:t>
            </w:r>
          </w:p>
        </w:tc>
        <w:tc>
          <w:tcPr>
            <w:tcW w:w="2085" w:type="dxa"/>
            <w:shd w:val="clear" w:color="auto" w:fill="E1EBF7"/>
            <w:vAlign w:val="center"/>
          </w:tcPr>
          <w:p w14:paraId="3205A5C8" w14:textId="77777777" w:rsidR="007910A1" w:rsidRPr="00CE2185" w:rsidRDefault="007910A1" w:rsidP="00D22373">
            <w:pPr>
              <w:spacing w:after="0"/>
              <w:jc w:val="center"/>
              <w:rPr>
                <w:b/>
                <w:bCs/>
                <w:noProof/>
                <w:sz w:val="20"/>
                <w:szCs w:val="20"/>
              </w:rPr>
            </w:pPr>
            <w:r w:rsidRPr="00CE2185">
              <w:rPr>
                <w:b/>
                <w:bCs/>
                <w:noProof/>
                <w:sz w:val="20"/>
                <w:szCs w:val="20"/>
              </w:rPr>
              <w:t>B2</w:t>
            </w:r>
          </w:p>
        </w:tc>
        <w:tc>
          <w:tcPr>
            <w:tcW w:w="2221" w:type="dxa"/>
            <w:shd w:val="clear" w:color="auto" w:fill="E1EBF7"/>
            <w:vAlign w:val="center"/>
          </w:tcPr>
          <w:p w14:paraId="1DB5BD47" w14:textId="77777777" w:rsidR="007910A1" w:rsidRPr="00CE2185" w:rsidRDefault="007910A1" w:rsidP="00D22373">
            <w:pPr>
              <w:spacing w:after="0"/>
              <w:jc w:val="center"/>
              <w:rPr>
                <w:b/>
                <w:bCs/>
                <w:noProof/>
                <w:sz w:val="20"/>
                <w:szCs w:val="20"/>
              </w:rPr>
            </w:pPr>
            <w:r w:rsidRPr="00CE2185">
              <w:rPr>
                <w:b/>
                <w:bCs/>
                <w:noProof/>
                <w:sz w:val="20"/>
                <w:szCs w:val="20"/>
              </w:rPr>
              <w:t>B3</w:t>
            </w:r>
          </w:p>
        </w:tc>
      </w:tr>
      <w:tr w:rsidR="0022435F" w:rsidRPr="00CE2185" w14:paraId="3101B3DD" w14:textId="77777777" w:rsidTr="00416674">
        <w:trPr>
          <w:trHeight w:val="300"/>
        </w:trPr>
        <w:tc>
          <w:tcPr>
            <w:tcW w:w="1725" w:type="dxa"/>
          </w:tcPr>
          <w:p w14:paraId="70CC79A9" w14:textId="5F007809" w:rsidR="007910A1" w:rsidRPr="00CE2185" w:rsidRDefault="007910A1" w:rsidP="00D22373">
            <w:pPr>
              <w:spacing w:after="0"/>
              <w:rPr>
                <w:noProof/>
                <w:sz w:val="20"/>
                <w:szCs w:val="20"/>
              </w:rPr>
            </w:pPr>
            <w:r w:rsidRPr="00CE2185">
              <w:rPr>
                <w:noProof/>
                <w:sz w:val="20"/>
                <w:szCs w:val="20"/>
              </w:rPr>
              <w:t>Businesses</w:t>
            </w:r>
          </w:p>
        </w:tc>
        <w:tc>
          <w:tcPr>
            <w:tcW w:w="3255" w:type="dxa"/>
          </w:tcPr>
          <w:p w14:paraId="2F6E1C48" w14:textId="1FBD5EA8" w:rsidR="007345A6" w:rsidRPr="00CE2185" w:rsidRDefault="648A196B" w:rsidP="00D22373">
            <w:pPr>
              <w:spacing w:after="0"/>
              <w:rPr>
                <w:noProof/>
                <w:sz w:val="20"/>
                <w:szCs w:val="20"/>
              </w:rPr>
            </w:pPr>
            <w:r w:rsidRPr="00CE2185">
              <w:rPr>
                <w:noProof/>
                <w:sz w:val="20"/>
                <w:szCs w:val="20"/>
              </w:rPr>
              <w:t xml:space="preserve">Procedural efficiency: </w:t>
            </w:r>
            <w:r w:rsidRPr="00CE2185">
              <w:rPr>
                <w:b/>
                <w:bCs/>
                <w:noProof/>
                <w:sz w:val="20"/>
                <w:szCs w:val="20"/>
              </w:rPr>
              <w:t>+</w:t>
            </w:r>
            <w:r w:rsidRPr="00CE2185">
              <w:rPr>
                <w:noProof/>
                <w:sz w:val="20"/>
                <w:szCs w:val="20"/>
              </w:rPr>
              <w:t xml:space="preserve"> </w:t>
            </w:r>
          </w:p>
          <w:p w14:paraId="3EEDBE9F" w14:textId="5F30A6FC" w:rsidR="007345A6" w:rsidRPr="00CE2185" w:rsidRDefault="0158E07F" w:rsidP="00D22373">
            <w:pPr>
              <w:spacing w:after="0"/>
              <w:rPr>
                <w:noProof/>
                <w:sz w:val="20"/>
                <w:szCs w:val="20"/>
              </w:rPr>
            </w:pPr>
            <w:r w:rsidRPr="00CE2185">
              <w:rPr>
                <w:noProof/>
                <w:sz w:val="20"/>
                <w:szCs w:val="20"/>
              </w:rPr>
              <w:t>Reduced cyber incident</w:t>
            </w:r>
            <w:r w:rsidR="0061499B" w:rsidRPr="00CE2185">
              <w:rPr>
                <w:noProof/>
                <w:sz w:val="20"/>
                <w:szCs w:val="20"/>
              </w:rPr>
              <w:t xml:space="preserve"> costs</w:t>
            </w:r>
            <w:r w:rsidRPr="00CE2185">
              <w:rPr>
                <w:noProof/>
                <w:sz w:val="20"/>
                <w:szCs w:val="20"/>
              </w:rPr>
              <w:t xml:space="preserve">: </w:t>
            </w:r>
            <w:r w:rsidR="00DD64CC" w:rsidRPr="00CE2185">
              <w:rPr>
                <w:noProof/>
                <w:sz w:val="20"/>
                <w:szCs w:val="20"/>
              </w:rPr>
              <w:t>0/</w:t>
            </w:r>
            <w:r w:rsidRPr="00CE2185">
              <w:rPr>
                <w:b/>
                <w:bCs/>
                <w:noProof/>
                <w:sz w:val="20"/>
                <w:szCs w:val="20"/>
              </w:rPr>
              <w:t xml:space="preserve">+ </w:t>
            </w:r>
            <w:r w:rsidR="00A31487" w:rsidRPr="00CE2185">
              <w:rPr>
                <w:noProof/>
                <w:sz w:val="20"/>
                <w:szCs w:val="20"/>
              </w:rPr>
              <w:t>(D2,3)</w:t>
            </w:r>
          </w:p>
          <w:p w14:paraId="6F644440" w14:textId="16C82F5F" w:rsidR="007910A1" w:rsidRPr="00CE2185" w:rsidRDefault="539746E8" w:rsidP="00D22373">
            <w:pPr>
              <w:spacing w:after="0"/>
              <w:rPr>
                <w:noProof/>
                <w:sz w:val="20"/>
                <w:szCs w:val="20"/>
              </w:rPr>
            </w:pPr>
            <w:r w:rsidRPr="00CE2185">
              <w:rPr>
                <w:noProof/>
                <w:sz w:val="20"/>
                <w:szCs w:val="20"/>
              </w:rPr>
              <w:t xml:space="preserve">Reduced market fragmentation: </w:t>
            </w:r>
            <w:r w:rsidR="0048221C" w:rsidRPr="00CE2185">
              <w:rPr>
                <w:noProof/>
                <w:sz w:val="20"/>
                <w:szCs w:val="20"/>
              </w:rPr>
              <w:t>0/</w:t>
            </w:r>
            <w:r w:rsidRPr="00CE2185">
              <w:rPr>
                <w:b/>
                <w:bCs/>
                <w:noProof/>
                <w:sz w:val="20"/>
                <w:szCs w:val="20"/>
              </w:rPr>
              <w:t xml:space="preserve">+ </w:t>
            </w:r>
            <w:r w:rsidR="00A31487" w:rsidRPr="00CE2185">
              <w:rPr>
                <w:noProof/>
                <w:sz w:val="20"/>
                <w:szCs w:val="20"/>
              </w:rPr>
              <w:t>(D2,3)</w:t>
            </w:r>
          </w:p>
        </w:tc>
        <w:tc>
          <w:tcPr>
            <w:tcW w:w="2085" w:type="dxa"/>
          </w:tcPr>
          <w:p w14:paraId="13FD780C" w14:textId="625F2F8C" w:rsidR="007910A1" w:rsidRPr="00CE2185" w:rsidRDefault="648A196B" w:rsidP="00D22373">
            <w:pPr>
              <w:spacing w:after="0"/>
              <w:rPr>
                <w:noProof/>
                <w:sz w:val="20"/>
                <w:szCs w:val="20"/>
              </w:rPr>
            </w:pPr>
            <w:r w:rsidRPr="00CE2185">
              <w:rPr>
                <w:noProof/>
                <w:sz w:val="20"/>
                <w:szCs w:val="20"/>
              </w:rPr>
              <w:t xml:space="preserve">++ </w:t>
            </w:r>
          </w:p>
          <w:p w14:paraId="331D6123" w14:textId="0D06F398" w:rsidR="007910A1" w:rsidRPr="00CE2185" w:rsidRDefault="3CCA53F0" w:rsidP="00D22373">
            <w:pPr>
              <w:spacing w:after="0"/>
              <w:rPr>
                <w:noProof/>
                <w:sz w:val="20"/>
                <w:szCs w:val="20"/>
              </w:rPr>
            </w:pPr>
            <w:r w:rsidRPr="00CE2185">
              <w:rPr>
                <w:noProof/>
                <w:sz w:val="20"/>
                <w:szCs w:val="20"/>
              </w:rPr>
              <w:t>+</w:t>
            </w:r>
            <w:r w:rsidR="00A31487" w:rsidRPr="00CE2185">
              <w:rPr>
                <w:noProof/>
                <w:sz w:val="20"/>
                <w:szCs w:val="20"/>
              </w:rPr>
              <w:t>/++ (D2,3)</w:t>
            </w:r>
          </w:p>
          <w:p w14:paraId="749B2ED4" w14:textId="62735045" w:rsidR="007910A1" w:rsidRPr="00CE2185" w:rsidRDefault="6DAFEA6A" w:rsidP="00D22373">
            <w:pPr>
              <w:spacing w:after="0"/>
              <w:rPr>
                <w:noProof/>
                <w:sz w:val="20"/>
                <w:szCs w:val="20"/>
              </w:rPr>
            </w:pPr>
            <w:r w:rsidRPr="00CE2185">
              <w:rPr>
                <w:noProof/>
                <w:sz w:val="20"/>
                <w:szCs w:val="20"/>
              </w:rPr>
              <w:t>+</w:t>
            </w:r>
            <w:r w:rsidR="00A31487" w:rsidRPr="00CE2185">
              <w:rPr>
                <w:noProof/>
                <w:sz w:val="20"/>
                <w:szCs w:val="20"/>
              </w:rPr>
              <w:t>/++ (D2,3)</w:t>
            </w:r>
          </w:p>
        </w:tc>
        <w:tc>
          <w:tcPr>
            <w:tcW w:w="2221" w:type="dxa"/>
          </w:tcPr>
          <w:p w14:paraId="7A0E54FB" w14:textId="1A6EB225" w:rsidR="007910A1" w:rsidRPr="00CE2185" w:rsidRDefault="648A196B" w:rsidP="00D22373">
            <w:pPr>
              <w:spacing w:after="0"/>
              <w:rPr>
                <w:noProof/>
                <w:sz w:val="20"/>
                <w:szCs w:val="20"/>
              </w:rPr>
            </w:pPr>
            <w:r w:rsidRPr="00CE2185">
              <w:rPr>
                <w:noProof/>
                <w:sz w:val="20"/>
                <w:szCs w:val="20"/>
              </w:rPr>
              <w:t>++</w:t>
            </w:r>
          </w:p>
          <w:p w14:paraId="6211A799" w14:textId="5E1B7FAB" w:rsidR="007910A1" w:rsidRPr="00CE2185" w:rsidRDefault="008C77E9" w:rsidP="00D22373">
            <w:pPr>
              <w:spacing w:after="0"/>
              <w:rPr>
                <w:noProof/>
                <w:sz w:val="20"/>
                <w:szCs w:val="20"/>
              </w:rPr>
            </w:pPr>
            <w:r w:rsidRPr="00CE2185">
              <w:rPr>
                <w:noProof/>
                <w:sz w:val="20"/>
                <w:szCs w:val="20"/>
              </w:rPr>
              <w:t>++/</w:t>
            </w:r>
            <w:r w:rsidR="34B05734" w:rsidRPr="00CE2185">
              <w:rPr>
                <w:noProof/>
                <w:sz w:val="20"/>
                <w:szCs w:val="20"/>
              </w:rPr>
              <w:t>+++</w:t>
            </w:r>
            <w:r w:rsidR="00A31487" w:rsidRPr="00CE2185">
              <w:rPr>
                <w:noProof/>
                <w:sz w:val="20"/>
                <w:szCs w:val="20"/>
              </w:rPr>
              <w:t xml:space="preserve"> </w:t>
            </w:r>
            <w:r w:rsidR="009C2206" w:rsidRPr="00CE2185">
              <w:rPr>
                <w:noProof/>
                <w:sz w:val="20"/>
                <w:szCs w:val="20"/>
              </w:rPr>
              <w:t>(D2,3)</w:t>
            </w:r>
          </w:p>
          <w:p w14:paraId="0060644B" w14:textId="15901865" w:rsidR="007910A1" w:rsidRPr="00CE2185" w:rsidRDefault="009C2206" w:rsidP="00D22373">
            <w:pPr>
              <w:spacing w:after="0"/>
              <w:rPr>
                <w:noProof/>
                <w:sz w:val="20"/>
                <w:szCs w:val="20"/>
              </w:rPr>
            </w:pPr>
            <w:r w:rsidRPr="00CE2185">
              <w:rPr>
                <w:noProof/>
                <w:sz w:val="20"/>
                <w:szCs w:val="20"/>
              </w:rPr>
              <w:t>+/++ (D2,3)</w:t>
            </w:r>
          </w:p>
        </w:tc>
      </w:tr>
      <w:tr w:rsidR="00E50744" w:rsidRPr="00CE2185" w14:paraId="2ABC94B0" w14:textId="77777777" w:rsidTr="00416674">
        <w:trPr>
          <w:trHeight w:val="227"/>
        </w:trPr>
        <w:tc>
          <w:tcPr>
            <w:tcW w:w="1725" w:type="dxa"/>
          </w:tcPr>
          <w:p w14:paraId="4C7BCEBA" w14:textId="0E7BDCA9" w:rsidR="00E50744" w:rsidRPr="00CE2185" w:rsidRDefault="00E50744" w:rsidP="00D22373">
            <w:pPr>
              <w:spacing w:after="0"/>
              <w:rPr>
                <w:noProof/>
                <w:sz w:val="20"/>
                <w:szCs w:val="20"/>
              </w:rPr>
            </w:pPr>
            <w:r w:rsidRPr="00CE2185">
              <w:rPr>
                <w:noProof/>
                <w:sz w:val="20"/>
                <w:szCs w:val="20"/>
              </w:rPr>
              <w:t xml:space="preserve">Business total </w:t>
            </w:r>
          </w:p>
        </w:tc>
        <w:tc>
          <w:tcPr>
            <w:tcW w:w="3255" w:type="dxa"/>
          </w:tcPr>
          <w:p w14:paraId="6321E65B" w14:textId="77777777" w:rsidR="00B940B1" w:rsidRPr="00CE2185" w:rsidRDefault="00E50744" w:rsidP="00FD6DF7">
            <w:pPr>
              <w:spacing w:after="0"/>
              <w:rPr>
                <w:noProof/>
                <w:sz w:val="20"/>
                <w:szCs w:val="20"/>
              </w:rPr>
            </w:pPr>
            <w:r w:rsidRPr="00CE2185">
              <w:rPr>
                <w:noProof/>
                <w:sz w:val="20"/>
                <w:szCs w:val="20"/>
              </w:rPr>
              <w:t>0</w:t>
            </w:r>
            <w:r w:rsidR="00B940B1" w:rsidRPr="00CE2185">
              <w:rPr>
                <w:noProof/>
                <w:sz w:val="20"/>
                <w:szCs w:val="20"/>
              </w:rPr>
              <w:t>/</w:t>
            </w:r>
            <w:r w:rsidRPr="00CE2185">
              <w:rPr>
                <w:noProof/>
                <w:sz w:val="20"/>
                <w:szCs w:val="20"/>
              </w:rPr>
              <w:t>+</w:t>
            </w:r>
            <w:r w:rsidR="00AF3BE3" w:rsidRPr="00CE2185">
              <w:rPr>
                <w:noProof/>
                <w:sz w:val="20"/>
                <w:szCs w:val="20"/>
              </w:rPr>
              <w:t xml:space="preserve"> </w:t>
            </w:r>
          </w:p>
          <w:p w14:paraId="44B68AFD" w14:textId="0D91DD40" w:rsidR="00E50744" w:rsidRPr="00CE2185" w:rsidRDefault="00E50744" w:rsidP="00D22373">
            <w:pPr>
              <w:spacing w:after="0"/>
              <w:rPr>
                <w:noProof/>
                <w:sz w:val="20"/>
                <w:szCs w:val="20"/>
              </w:rPr>
            </w:pPr>
            <w:r w:rsidRPr="00CE2185">
              <w:rPr>
                <w:noProof/>
                <w:sz w:val="20"/>
                <w:szCs w:val="20"/>
              </w:rPr>
              <w:t>+</w:t>
            </w:r>
            <w:r w:rsidR="00AF3BE3" w:rsidRPr="00CE2185">
              <w:rPr>
                <w:noProof/>
                <w:sz w:val="20"/>
                <w:szCs w:val="20"/>
              </w:rPr>
              <w:t xml:space="preserve"> (D2,3)</w:t>
            </w:r>
          </w:p>
        </w:tc>
        <w:tc>
          <w:tcPr>
            <w:tcW w:w="2085" w:type="dxa"/>
          </w:tcPr>
          <w:p w14:paraId="57A87240" w14:textId="77777777" w:rsidR="00E23B35" w:rsidRPr="00CE2185" w:rsidRDefault="00FD6DF7" w:rsidP="00FD6DF7">
            <w:pPr>
              <w:spacing w:after="0"/>
              <w:rPr>
                <w:noProof/>
                <w:sz w:val="20"/>
                <w:szCs w:val="20"/>
              </w:rPr>
            </w:pPr>
            <w:r w:rsidRPr="00CE2185">
              <w:rPr>
                <w:noProof/>
                <w:sz w:val="20"/>
                <w:szCs w:val="20"/>
              </w:rPr>
              <w:t>+</w:t>
            </w:r>
          </w:p>
          <w:p w14:paraId="29FEE873" w14:textId="0D858E15" w:rsidR="00E50744" w:rsidRPr="00CE2185" w:rsidRDefault="00FD6DF7" w:rsidP="00D22373">
            <w:pPr>
              <w:spacing w:after="0"/>
              <w:rPr>
                <w:noProof/>
                <w:sz w:val="20"/>
                <w:szCs w:val="20"/>
              </w:rPr>
            </w:pPr>
            <w:r w:rsidRPr="00CE2185">
              <w:rPr>
                <w:noProof/>
                <w:sz w:val="20"/>
                <w:szCs w:val="20"/>
              </w:rPr>
              <w:t>++ (D2,3)</w:t>
            </w:r>
          </w:p>
        </w:tc>
        <w:tc>
          <w:tcPr>
            <w:tcW w:w="2221" w:type="dxa"/>
          </w:tcPr>
          <w:p w14:paraId="194B74D0" w14:textId="5B0D5E15" w:rsidR="00E23B35" w:rsidRPr="00CE2185" w:rsidRDefault="00FD6DF7" w:rsidP="00FD6DF7">
            <w:pPr>
              <w:spacing w:after="0"/>
              <w:rPr>
                <w:noProof/>
                <w:sz w:val="20"/>
                <w:szCs w:val="20"/>
              </w:rPr>
            </w:pPr>
            <w:r w:rsidRPr="00CE2185">
              <w:rPr>
                <w:noProof/>
                <w:sz w:val="20"/>
                <w:szCs w:val="20"/>
              </w:rPr>
              <w:t>++</w:t>
            </w:r>
            <w:r w:rsidR="00E23B35" w:rsidRPr="00CE2185">
              <w:rPr>
                <w:noProof/>
                <w:sz w:val="20"/>
                <w:szCs w:val="20"/>
              </w:rPr>
              <w:t xml:space="preserve"> </w:t>
            </w:r>
          </w:p>
          <w:p w14:paraId="332843C4" w14:textId="346B73EF" w:rsidR="00E50744" w:rsidRPr="00CE2185" w:rsidRDefault="00FD6DF7" w:rsidP="00D22373">
            <w:pPr>
              <w:spacing w:after="0"/>
              <w:rPr>
                <w:noProof/>
                <w:sz w:val="20"/>
                <w:szCs w:val="20"/>
              </w:rPr>
            </w:pPr>
            <w:r w:rsidRPr="00CE2185">
              <w:rPr>
                <w:noProof/>
                <w:sz w:val="20"/>
                <w:szCs w:val="20"/>
              </w:rPr>
              <w:t>+++ (D2,3)</w:t>
            </w:r>
          </w:p>
        </w:tc>
      </w:tr>
      <w:tr w:rsidR="0022435F" w:rsidRPr="00CE2185" w14:paraId="41F6D84D" w14:textId="77777777" w:rsidTr="00416674">
        <w:trPr>
          <w:trHeight w:val="300"/>
        </w:trPr>
        <w:tc>
          <w:tcPr>
            <w:tcW w:w="1725" w:type="dxa"/>
          </w:tcPr>
          <w:p w14:paraId="132DF12D" w14:textId="0680D923" w:rsidR="007910A1" w:rsidRPr="00CE2185" w:rsidRDefault="007910A1" w:rsidP="00D22373">
            <w:pPr>
              <w:spacing w:after="0"/>
              <w:rPr>
                <w:noProof/>
                <w:sz w:val="20"/>
                <w:szCs w:val="20"/>
              </w:rPr>
            </w:pPr>
            <w:r w:rsidRPr="00CE2185">
              <w:rPr>
                <w:noProof/>
                <w:sz w:val="20"/>
                <w:szCs w:val="20"/>
              </w:rPr>
              <w:t>Public authorities</w:t>
            </w:r>
          </w:p>
        </w:tc>
        <w:tc>
          <w:tcPr>
            <w:tcW w:w="3255" w:type="dxa"/>
          </w:tcPr>
          <w:p w14:paraId="59600B6B" w14:textId="75624C33" w:rsidR="007910A1" w:rsidRPr="00CE2185" w:rsidRDefault="3C6B123A" w:rsidP="00D22373">
            <w:pPr>
              <w:spacing w:after="0"/>
              <w:rPr>
                <w:noProof/>
                <w:sz w:val="20"/>
                <w:szCs w:val="20"/>
              </w:rPr>
            </w:pPr>
            <w:r w:rsidRPr="00CE2185">
              <w:rPr>
                <w:noProof/>
                <w:sz w:val="20"/>
                <w:szCs w:val="20"/>
              </w:rPr>
              <w:t xml:space="preserve">Procedural efficiency: + </w:t>
            </w:r>
          </w:p>
          <w:p w14:paraId="6489FDEA" w14:textId="05EBD868" w:rsidR="007910A1" w:rsidRPr="00CE2185" w:rsidRDefault="20323119" w:rsidP="00D22373">
            <w:pPr>
              <w:spacing w:after="0"/>
              <w:rPr>
                <w:noProof/>
                <w:sz w:val="20"/>
                <w:szCs w:val="20"/>
              </w:rPr>
            </w:pPr>
            <w:r w:rsidRPr="00CE2185">
              <w:rPr>
                <w:noProof/>
                <w:sz w:val="20"/>
                <w:szCs w:val="20"/>
              </w:rPr>
              <w:t>Reduced cyber incident</w:t>
            </w:r>
            <w:r w:rsidR="0061499B" w:rsidRPr="00CE2185">
              <w:rPr>
                <w:noProof/>
                <w:sz w:val="20"/>
                <w:szCs w:val="20"/>
              </w:rPr>
              <w:t xml:space="preserve"> costs</w:t>
            </w:r>
            <w:r w:rsidRPr="00CE2185">
              <w:rPr>
                <w:noProof/>
                <w:sz w:val="20"/>
                <w:szCs w:val="20"/>
              </w:rPr>
              <w:t xml:space="preserve">: </w:t>
            </w:r>
            <w:r w:rsidR="00DF11E4" w:rsidRPr="00CE2185">
              <w:rPr>
                <w:noProof/>
                <w:sz w:val="20"/>
                <w:szCs w:val="20"/>
              </w:rPr>
              <w:t>0/</w:t>
            </w:r>
            <w:r w:rsidRPr="00CE2185">
              <w:rPr>
                <w:noProof/>
                <w:sz w:val="20"/>
                <w:szCs w:val="20"/>
              </w:rPr>
              <w:t xml:space="preserve">+ </w:t>
            </w:r>
          </w:p>
        </w:tc>
        <w:tc>
          <w:tcPr>
            <w:tcW w:w="2085" w:type="dxa"/>
          </w:tcPr>
          <w:p w14:paraId="15A6CAF2" w14:textId="5E1A40B2" w:rsidR="007910A1" w:rsidRPr="00CE2185" w:rsidRDefault="20323119" w:rsidP="00D22373">
            <w:pPr>
              <w:spacing w:after="0"/>
              <w:rPr>
                <w:noProof/>
                <w:sz w:val="20"/>
                <w:szCs w:val="20"/>
              </w:rPr>
            </w:pPr>
            <w:r w:rsidRPr="00CE2185">
              <w:rPr>
                <w:noProof/>
                <w:sz w:val="20"/>
                <w:szCs w:val="20"/>
              </w:rPr>
              <w:t>++</w:t>
            </w:r>
          </w:p>
          <w:p w14:paraId="1CDEDBE7" w14:textId="3F60FA2B" w:rsidR="007910A1" w:rsidRPr="00CE2185" w:rsidRDefault="20323119" w:rsidP="00D22373">
            <w:pPr>
              <w:spacing w:after="0"/>
              <w:rPr>
                <w:noProof/>
                <w:sz w:val="20"/>
                <w:szCs w:val="20"/>
              </w:rPr>
            </w:pPr>
            <w:r w:rsidRPr="00CE2185">
              <w:rPr>
                <w:noProof/>
                <w:sz w:val="20"/>
                <w:szCs w:val="20"/>
              </w:rPr>
              <w:t>+</w:t>
            </w:r>
            <w:r w:rsidR="00C07F4F" w:rsidRPr="00CE2185">
              <w:rPr>
                <w:noProof/>
                <w:sz w:val="20"/>
                <w:szCs w:val="20"/>
              </w:rPr>
              <w:t>/++ (D2,3)</w:t>
            </w:r>
          </w:p>
        </w:tc>
        <w:tc>
          <w:tcPr>
            <w:tcW w:w="2221" w:type="dxa"/>
          </w:tcPr>
          <w:p w14:paraId="4F8EE329" w14:textId="4DE8A1EE" w:rsidR="007910A1" w:rsidRPr="00CE2185" w:rsidRDefault="3C6B123A" w:rsidP="00D22373">
            <w:pPr>
              <w:spacing w:after="0"/>
              <w:rPr>
                <w:noProof/>
                <w:sz w:val="20"/>
                <w:szCs w:val="20"/>
              </w:rPr>
            </w:pPr>
            <w:r w:rsidRPr="00CE2185">
              <w:rPr>
                <w:noProof/>
                <w:sz w:val="20"/>
                <w:szCs w:val="20"/>
              </w:rPr>
              <w:t>++</w:t>
            </w:r>
          </w:p>
          <w:p w14:paraId="2CA6FFA4" w14:textId="408634A3" w:rsidR="007910A1" w:rsidRPr="00CE2185" w:rsidRDefault="6DE23BBC" w:rsidP="00D22373">
            <w:pPr>
              <w:spacing w:after="0"/>
              <w:rPr>
                <w:noProof/>
                <w:sz w:val="20"/>
                <w:szCs w:val="20"/>
              </w:rPr>
            </w:pPr>
            <w:r w:rsidRPr="00CE2185">
              <w:rPr>
                <w:noProof/>
                <w:sz w:val="20"/>
                <w:szCs w:val="20"/>
              </w:rPr>
              <w:t>+</w:t>
            </w:r>
            <w:r w:rsidR="00C07F4F" w:rsidRPr="00CE2185">
              <w:rPr>
                <w:noProof/>
                <w:sz w:val="20"/>
                <w:szCs w:val="20"/>
              </w:rPr>
              <w:t>/++ (D2,3)</w:t>
            </w:r>
          </w:p>
        </w:tc>
      </w:tr>
      <w:tr w:rsidR="0022435F" w:rsidRPr="00CE2185" w14:paraId="38A0A45E" w14:textId="77777777" w:rsidTr="00416674">
        <w:trPr>
          <w:trHeight w:val="54"/>
        </w:trPr>
        <w:tc>
          <w:tcPr>
            <w:tcW w:w="1725" w:type="dxa"/>
          </w:tcPr>
          <w:p w14:paraId="1D92C995" w14:textId="44D8D0A2" w:rsidR="007910A1" w:rsidRPr="00CE2185" w:rsidRDefault="007910A1" w:rsidP="00D22373">
            <w:pPr>
              <w:spacing w:after="0"/>
              <w:rPr>
                <w:noProof/>
                <w:sz w:val="20"/>
                <w:szCs w:val="20"/>
              </w:rPr>
            </w:pPr>
            <w:r w:rsidRPr="00CE2185">
              <w:rPr>
                <w:noProof/>
                <w:sz w:val="20"/>
                <w:szCs w:val="20"/>
              </w:rPr>
              <w:t>Citizens</w:t>
            </w:r>
          </w:p>
        </w:tc>
        <w:tc>
          <w:tcPr>
            <w:tcW w:w="3255" w:type="dxa"/>
          </w:tcPr>
          <w:p w14:paraId="234C2A21" w14:textId="7F0D514F" w:rsidR="007910A1" w:rsidRPr="00CE2185" w:rsidRDefault="412DE307" w:rsidP="00D22373">
            <w:pPr>
              <w:spacing w:after="0"/>
              <w:rPr>
                <w:noProof/>
                <w:sz w:val="20"/>
                <w:szCs w:val="20"/>
              </w:rPr>
            </w:pPr>
            <w:r w:rsidRPr="00CE2185">
              <w:rPr>
                <w:noProof/>
                <w:sz w:val="20"/>
                <w:szCs w:val="20"/>
              </w:rPr>
              <w:t>Reduced cyber incident</w:t>
            </w:r>
            <w:r w:rsidR="0061499B" w:rsidRPr="00CE2185">
              <w:rPr>
                <w:noProof/>
                <w:sz w:val="20"/>
                <w:szCs w:val="20"/>
              </w:rPr>
              <w:t xml:space="preserve"> costs</w:t>
            </w:r>
            <w:r w:rsidRPr="00CE2185">
              <w:rPr>
                <w:noProof/>
                <w:sz w:val="20"/>
                <w:szCs w:val="20"/>
              </w:rPr>
              <w:t xml:space="preserve">:  + </w:t>
            </w:r>
          </w:p>
        </w:tc>
        <w:tc>
          <w:tcPr>
            <w:tcW w:w="2085" w:type="dxa"/>
          </w:tcPr>
          <w:p w14:paraId="3BF8F507" w14:textId="4D8F0BF3" w:rsidR="007910A1" w:rsidRPr="00CE2185" w:rsidRDefault="412DE307" w:rsidP="00D22373">
            <w:pPr>
              <w:spacing w:after="0"/>
              <w:rPr>
                <w:noProof/>
                <w:sz w:val="20"/>
                <w:szCs w:val="20"/>
              </w:rPr>
            </w:pPr>
            <w:r w:rsidRPr="00CE2185">
              <w:rPr>
                <w:noProof/>
                <w:sz w:val="20"/>
                <w:szCs w:val="20"/>
              </w:rPr>
              <w:t xml:space="preserve">++ </w:t>
            </w:r>
          </w:p>
        </w:tc>
        <w:tc>
          <w:tcPr>
            <w:tcW w:w="2221" w:type="dxa"/>
          </w:tcPr>
          <w:p w14:paraId="58DCDA7E" w14:textId="45B88FC4" w:rsidR="007910A1" w:rsidRPr="00CE2185" w:rsidRDefault="412DE307" w:rsidP="00D22373">
            <w:pPr>
              <w:spacing w:after="0"/>
              <w:rPr>
                <w:noProof/>
                <w:sz w:val="20"/>
                <w:szCs w:val="20"/>
              </w:rPr>
            </w:pPr>
            <w:r w:rsidRPr="00CE2185">
              <w:rPr>
                <w:noProof/>
                <w:sz w:val="20"/>
                <w:szCs w:val="20"/>
              </w:rPr>
              <w:t>+++</w:t>
            </w:r>
          </w:p>
        </w:tc>
      </w:tr>
      <w:tr w:rsidR="0022435F" w:rsidRPr="00CE2185" w14:paraId="541C54A6" w14:textId="77777777" w:rsidTr="00416674">
        <w:trPr>
          <w:trHeight w:val="106"/>
        </w:trPr>
        <w:tc>
          <w:tcPr>
            <w:tcW w:w="1725" w:type="dxa"/>
          </w:tcPr>
          <w:p w14:paraId="26E86DA0" w14:textId="35082A9B" w:rsidR="007910A1" w:rsidRPr="00CE2185" w:rsidRDefault="526BF9D7" w:rsidP="00D22373">
            <w:pPr>
              <w:spacing w:after="0"/>
              <w:rPr>
                <w:noProof/>
                <w:sz w:val="20"/>
                <w:szCs w:val="20"/>
              </w:rPr>
            </w:pPr>
            <w:r w:rsidRPr="00CE2185">
              <w:rPr>
                <w:noProof/>
                <w:sz w:val="20"/>
                <w:szCs w:val="20"/>
              </w:rPr>
              <w:t>ENISA</w:t>
            </w:r>
          </w:p>
        </w:tc>
        <w:tc>
          <w:tcPr>
            <w:tcW w:w="3255" w:type="dxa"/>
          </w:tcPr>
          <w:p w14:paraId="3DC26DA4" w14:textId="1FAF6402" w:rsidR="007910A1" w:rsidRPr="00CE2185" w:rsidRDefault="00BC10DB" w:rsidP="00D22373">
            <w:pPr>
              <w:spacing w:after="0"/>
              <w:rPr>
                <w:noProof/>
                <w:sz w:val="20"/>
                <w:szCs w:val="20"/>
              </w:rPr>
            </w:pPr>
            <w:r w:rsidRPr="00CE2185">
              <w:rPr>
                <w:noProof/>
                <w:sz w:val="20"/>
                <w:szCs w:val="20"/>
              </w:rPr>
              <w:t xml:space="preserve">Procedural efficiency: + </w:t>
            </w:r>
          </w:p>
        </w:tc>
        <w:tc>
          <w:tcPr>
            <w:tcW w:w="2085" w:type="dxa"/>
          </w:tcPr>
          <w:p w14:paraId="66F4F03C" w14:textId="648B10E2" w:rsidR="007910A1" w:rsidRPr="00CE2185" w:rsidRDefault="00BC10DB" w:rsidP="00D22373">
            <w:pPr>
              <w:spacing w:after="0"/>
              <w:rPr>
                <w:noProof/>
                <w:sz w:val="20"/>
                <w:szCs w:val="20"/>
              </w:rPr>
            </w:pPr>
            <w:r w:rsidRPr="00CE2185">
              <w:rPr>
                <w:noProof/>
                <w:sz w:val="20"/>
                <w:szCs w:val="20"/>
              </w:rPr>
              <w:t>++</w:t>
            </w:r>
          </w:p>
        </w:tc>
        <w:tc>
          <w:tcPr>
            <w:tcW w:w="2221" w:type="dxa"/>
          </w:tcPr>
          <w:p w14:paraId="5DB12ED2" w14:textId="1B3F1C8A" w:rsidR="007910A1" w:rsidRPr="00CE2185" w:rsidRDefault="00BC10DB" w:rsidP="00D22373">
            <w:pPr>
              <w:spacing w:after="0"/>
              <w:rPr>
                <w:noProof/>
                <w:sz w:val="20"/>
                <w:szCs w:val="20"/>
              </w:rPr>
            </w:pPr>
            <w:r w:rsidRPr="00CE2185">
              <w:rPr>
                <w:noProof/>
                <w:sz w:val="20"/>
                <w:szCs w:val="20"/>
              </w:rPr>
              <w:t xml:space="preserve">++ </w:t>
            </w:r>
          </w:p>
        </w:tc>
      </w:tr>
    </w:tbl>
    <w:p w14:paraId="70326A12" w14:textId="4DB9854D" w:rsidR="007C4C68" w:rsidRPr="00CE2185" w:rsidRDefault="00F57D9D" w:rsidP="00A1267B">
      <w:pPr>
        <w:pStyle w:val="Heading4"/>
        <w:spacing w:before="120"/>
        <w:ind w:left="1996"/>
        <w:rPr>
          <w:i/>
          <w:noProof/>
        </w:rPr>
      </w:pPr>
      <w:r w:rsidRPr="00CE2185">
        <w:rPr>
          <w:noProof/>
        </w:rPr>
        <w:t>Simplification (Policy Options C.1 to C.</w:t>
      </w:r>
      <w:r w:rsidR="00D2755E" w:rsidRPr="00CE2185">
        <w:rPr>
          <w:noProof/>
        </w:rPr>
        <w:t>3</w:t>
      </w:r>
      <w:r w:rsidRPr="00CE2185">
        <w:rPr>
          <w:noProof/>
        </w:rPr>
        <w:t>)</w:t>
      </w:r>
    </w:p>
    <w:p w14:paraId="66B4E7D0" w14:textId="61F04EF5" w:rsidR="00D75B7C" w:rsidRPr="00CE2185" w:rsidRDefault="00D75B7C" w:rsidP="00EE3DF9">
      <w:pPr>
        <w:pStyle w:val="Heading4"/>
        <w:numPr>
          <w:ilvl w:val="4"/>
          <w:numId w:val="10"/>
        </w:numPr>
        <w:spacing w:after="120"/>
        <w:rPr>
          <w:noProof/>
        </w:rPr>
      </w:pPr>
      <w:r w:rsidRPr="00CE2185">
        <w:rPr>
          <w:noProof/>
        </w:rPr>
        <w:t>Compliance costs</w:t>
      </w:r>
    </w:p>
    <w:p w14:paraId="73CF2C6B" w14:textId="756F95AF" w:rsidR="00814D55" w:rsidRPr="00CE2185" w:rsidRDefault="00A33442" w:rsidP="00795DF0">
      <w:pPr>
        <w:spacing w:after="120"/>
        <w:rPr>
          <w:rFonts w:eastAsia="Times New Roman"/>
          <w:noProof/>
        </w:rPr>
      </w:pPr>
      <w:r w:rsidRPr="00CE2185">
        <w:rPr>
          <w:rFonts w:eastAsia="Times New Roman"/>
          <w:noProof/>
        </w:rPr>
        <w:t>U</w:t>
      </w:r>
      <w:r w:rsidR="00CC4251" w:rsidRPr="00CE2185">
        <w:rPr>
          <w:rFonts w:eastAsia="Times New Roman"/>
          <w:noProof/>
        </w:rPr>
        <w:t>nder</w:t>
      </w:r>
      <w:r w:rsidR="00F57D9D" w:rsidRPr="00CE2185">
        <w:rPr>
          <w:rFonts w:eastAsia="Times New Roman"/>
          <w:noProof/>
        </w:rPr>
        <w:t xml:space="preserve"> </w:t>
      </w:r>
      <w:r w:rsidR="00F57D9D" w:rsidRPr="00CE2185">
        <w:rPr>
          <w:rFonts w:eastAsia="Times New Roman"/>
          <w:b/>
          <w:bCs/>
          <w:i/>
          <w:iCs/>
          <w:noProof/>
        </w:rPr>
        <w:t>Option C.1</w:t>
      </w:r>
      <w:r w:rsidRPr="00CE2185">
        <w:rPr>
          <w:rFonts w:eastAsia="Times New Roman"/>
          <w:i/>
          <w:iCs/>
          <w:noProof/>
        </w:rPr>
        <w:t>,</w:t>
      </w:r>
      <w:r w:rsidR="00CC4251" w:rsidRPr="00CE2185">
        <w:rPr>
          <w:rFonts w:eastAsia="Times New Roman"/>
          <w:b/>
          <w:bCs/>
          <w:i/>
          <w:iCs/>
          <w:noProof/>
        </w:rPr>
        <w:t xml:space="preserve"> </w:t>
      </w:r>
      <w:r w:rsidR="008C75E0" w:rsidRPr="00CE2185">
        <w:rPr>
          <w:rFonts w:eastAsia="Times New Roman"/>
          <w:noProof/>
        </w:rPr>
        <w:t xml:space="preserve">the adoption of relevant implementing regulations might </w:t>
      </w:r>
      <w:r w:rsidR="00296ACE" w:rsidRPr="00CE2185">
        <w:rPr>
          <w:rFonts w:eastAsia="Times New Roman"/>
          <w:noProof/>
        </w:rPr>
        <w:t>add</w:t>
      </w:r>
      <w:r w:rsidR="008C75E0" w:rsidRPr="00CE2185">
        <w:rPr>
          <w:rFonts w:eastAsia="Times New Roman"/>
          <w:noProof/>
        </w:rPr>
        <w:t xml:space="preserve"> to the fact that </w:t>
      </w:r>
      <w:r w:rsidR="00522491" w:rsidRPr="00CE2185">
        <w:rPr>
          <w:rFonts w:eastAsia="Times New Roman"/>
          <w:noProof/>
        </w:rPr>
        <w:t>NIS2</w:t>
      </w:r>
      <w:r w:rsidR="00CC4251" w:rsidRPr="00CE2185">
        <w:rPr>
          <w:rFonts w:eastAsia="Times New Roman"/>
          <w:noProof/>
        </w:rPr>
        <w:t xml:space="preserve"> </w:t>
      </w:r>
      <w:r w:rsidR="007555DF" w:rsidRPr="00CE2185">
        <w:rPr>
          <w:rFonts w:eastAsia="Times New Roman"/>
          <w:noProof/>
        </w:rPr>
        <w:t>entities</w:t>
      </w:r>
      <w:r w:rsidR="00AE719D" w:rsidRPr="00CE2185">
        <w:rPr>
          <w:rFonts w:eastAsia="Times New Roman"/>
          <w:noProof/>
          <w:lang w:val="en-IE"/>
        </w:rPr>
        <w:t xml:space="preserve"> </w:t>
      </w:r>
      <w:r w:rsidR="008C75E0" w:rsidRPr="00CE2185">
        <w:rPr>
          <w:rFonts w:eastAsia="Times New Roman"/>
          <w:noProof/>
          <w:lang w:val="en-IE"/>
        </w:rPr>
        <w:t>will</w:t>
      </w:r>
      <w:r w:rsidR="00F51CE9" w:rsidRPr="00CE2185">
        <w:rPr>
          <w:rFonts w:eastAsia="Times New Roman"/>
          <w:noProof/>
          <w:lang w:val="en-US"/>
        </w:rPr>
        <w:t xml:space="preserve"> incur </w:t>
      </w:r>
      <w:r w:rsidR="002B10C2" w:rsidRPr="00CE2185">
        <w:rPr>
          <w:rFonts w:eastAsia="Times New Roman"/>
          <w:noProof/>
          <w:lang w:val="en-US"/>
        </w:rPr>
        <w:t xml:space="preserve">minimal </w:t>
      </w:r>
      <w:r w:rsidR="007E7DFF" w:rsidRPr="00CE2185">
        <w:rPr>
          <w:rFonts w:eastAsia="Times New Roman"/>
          <w:b/>
          <w:bCs/>
          <w:noProof/>
          <w:lang w:val="en-US"/>
        </w:rPr>
        <w:t xml:space="preserve">one-off </w:t>
      </w:r>
      <w:r w:rsidR="00F51CE9" w:rsidRPr="00CE2185">
        <w:rPr>
          <w:rFonts w:eastAsia="Times New Roman"/>
          <w:b/>
          <w:bCs/>
          <w:noProof/>
          <w:lang w:val="en-US"/>
        </w:rPr>
        <w:t>adjustment</w:t>
      </w:r>
      <w:r w:rsidR="00CC4251" w:rsidRPr="00CE2185">
        <w:rPr>
          <w:rFonts w:eastAsia="Times New Roman"/>
          <w:noProof/>
        </w:rPr>
        <w:t xml:space="preserve"> costs </w:t>
      </w:r>
      <w:r w:rsidR="001E52A7" w:rsidRPr="00CE2185">
        <w:rPr>
          <w:rFonts w:eastAsia="Times New Roman"/>
          <w:noProof/>
        </w:rPr>
        <w:t>depend</w:t>
      </w:r>
      <w:r w:rsidR="00F51CE9" w:rsidRPr="00CE2185">
        <w:rPr>
          <w:rFonts w:eastAsia="Times New Roman"/>
          <w:noProof/>
        </w:rPr>
        <w:t>ing</w:t>
      </w:r>
      <w:r w:rsidR="001E52A7" w:rsidRPr="00CE2185">
        <w:rPr>
          <w:rFonts w:eastAsia="Times New Roman"/>
          <w:noProof/>
        </w:rPr>
        <w:t xml:space="preserve"> on </w:t>
      </w:r>
      <w:r w:rsidR="00770C02" w:rsidRPr="00CE2185">
        <w:rPr>
          <w:rFonts w:eastAsia="Times New Roman"/>
          <w:noProof/>
        </w:rPr>
        <w:t xml:space="preserve">the degree to which </w:t>
      </w:r>
      <w:r w:rsidR="001E52A7" w:rsidRPr="00CE2185">
        <w:rPr>
          <w:rFonts w:eastAsia="Times New Roman"/>
          <w:noProof/>
        </w:rPr>
        <w:t>Member State</w:t>
      </w:r>
      <w:r w:rsidR="00770C02" w:rsidRPr="00CE2185">
        <w:rPr>
          <w:rFonts w:eastAsia="Times New Roman"/>
          <w:noProof/>
        </w:rPr>
        <w:t>s</w:t>
      </w:r>
      <w:r w:rsidR="00EA77AD" w:rsidRPr="00CE2185">
        <w:rPr>
          <w:rFonts w:eastAsia="Times New Roman"/>
          <w:noProof/>
        </w:rPr>
        <w:t xml:space="preserve"> </w:t>
      </w:r>
      <w:r w:rsidR="00522681" w:rsidRPr="00CE2185">
        <w:rPr>
          <w:rFonts w:eastAsia="Times New Roman"/>
          <w:noProof/>
        </w:rPr>
        <w:t>ha</w:t>
      </w:r>
      <w:r w:rsidR="00770C02" w:rsidRPr="00CE2185">
        <w:rPr>
          <w:rFonts w:eastAsia="Times New Roman"/>
          <w:noProof/>
        </w:rPr>
        <w:t>ve</w:t>
      </w:r>
      <w:r w:rsidR="000A422C" w:rsidRPr="00CE2185">
        <w:rPr>
          <w:rFonts w:eastAsia="Times New Roman"/>
          <w:noProof/>
        </w:rPr>
        <w:t xml:space="preserve"> adopted </w:t>
      </w:r>
      <w:r w:rsidR="00F66DB3" w:rsidRPr="00CE2185">
        <w:rPr>
          <w:rFonts w:eastAsia="Times New Roman"/>
          <w:noProof/>
        </w:rPr>
        <w:t>detailed rules</w:t>
      </w:r>
      <w:r w:rsidR="009B0872" w:rsidRPr="00CE2185">
        <w:rPr>
          <w:rFonts w:eastAsia="Times New Roman"/>
          <w:noProof/>
        </w:rPr>
        <w:t xml:space="preserve"> specifying the NIS2 requirements.</w:t>
      </w:r>
      <w:r w:rsidR="001E52A7" w:rsidRPr="00CE2185">
        <w:rPr>
          <w:rFonts w:eastAsia="Times New Roman"/>
          <w:noProof/>
        </w:rPr>
        <w:t xml:space="preserve"> </w:t>
      </w:r>
      <w:r w:rsidR="00EE7DD2" w:rsidRPr="00CE2185">
        <w:rPr>
          <w:rFonts w:eastAsia="Times New Roman"/>
          <w:noProof/>
        </w:rPr>
        <w:t xml:space="preserve">It can </w:t>
      </w:r>
      <w:r w:rsidR="00391EFC" w:rsidRPr="00CE2185">
        <w:rPr>
          <w:rFonts w:eastAsia="Times New Roman"/>
          <w:noProof/>
        </w:rPr>
        <w:t xml:space="preserve">be </w:t>
      </w:r>
      <w:r w:rsidR="00EE7DD2" w:rsidRPr="00CE2185">
        <w:rPr>
          <w:rFonts w:eastAsia="Times New Roman"/>
          <w:noProof/>
        </w:rPr>
        <w:t xml:space="preserve">assumed that these </w:t>
      </w:r>
      <w:r w:rsidR="00391EFC" w:rsidRPr="00CE2185">
        <w:rPr>
          <w:rFonts w:eastAsia="Times New Roman"/>
          <w:noProof/>
        </w:rPr>
        <w:t xml:space="preserve">costs </w:t>
      </w:r>
      <w:r w:rsidR="00EE7DD2" w:rsidRPr="00CE2185">
        <w:rPr>
          <w:rFonts w:eastAsia="Times New Roman"/>
          <w:noProof/>
        </w:rPr>
        <w:t xml:space="preserve">would be covered by the </w:t>
      </w:r>
      <w:r w:rsidR="00770C02" w:rsidRPr="00CE2185">
        <w:rPr>
          <w:rFonts w:eastAsia="Times New Roman"/>
          <w:noProof/>
        </w:rPr>
        <w:t xml:space="preserve">estimated average cost </w:t>
      </w:r>
      <w:r w:rsidR="001F7017" w:rsidRPr="00CE2185">
        <w:rPr>
          <w:rFonts w:eastAsia="Times New Roman"/>
          <w:noProof/>
        </w:rPr>
        <w:t xml:space="preserve">of about EUR 94 355 per year </w:t>
      </w:r>
      <w:r w:rsidR="00A07BE7" w:rsidRPr="00CE2185">
        <w:rPr>
          <w:rFonts w:eastAsia="Times New Roman"/>
          <w:noProof/>
        </w:rPr>
        <w:t>that</w:t>
      </w:r>
      <w:r w:rsidR="00770C02" w:rsidRPr="00CE2185">
        <w:rPr>
          <w:rFonts w:eastAsia="Times New Roman"/>
          <w:noProof/>
        </w:rPr>
        <w:t xml:space="preserve"> entities </w:t>
      </w:r>
      <w:r w:rsidR="00A07BE7" w:rsidRPr="00CE2185">
        <w:rPr>
          <w:rFonts w:eastAsia="Times New Roman"/>
          <w:noProof/>
        </w:rPr>
        <w:t xml:space="preserve">already </w:t>
      </w:r>
      <w:r w:rsidR="001F7017" w:rsidRPr="00CE2185">
        <w:rPr>
          <w:rFonts w:eastAsia="Times New Roman"/>
          <w:noProof/>
        </w:rPr>
        <w:t xml:space="preserve">bear </w:t>
      </w:r>
      <w:r w:rsidR="00770C02" w:rsidRPr="00CE2185">
        <w:rPr>
          <w:rFonts w:eastAsia="Times New Roman"/>
          <w:noProof/>
        </w:rPr>
        <w:t>to comply with NIS2 obligations</w:t>
      </w:r>
      <w:r w:rsidR="00FE1AC3" w:rsidRPr="00CE2185">
        <w:rPr>
          <w:rFonts w:eastAsia="Times New Roman"/>
          <w:noProof/>
        </w:rPr>
        <w:t xml:space="preserve"> (</w:t>
      </w:r>
      <w:r w:rsidR="00FE1AC3" w:rsidRPr="00CE2185">
        <w:rPr>
          <w:rFonts w:eastAsia="Times New Roman"/>
          <w:i/>
          <w:iCs/>
          <w:noProof/>
        </w:rPr>
        <w:t>see</w:t>
      </w:r>
      <w:r w:rsidR="00FE1AC3" w:rsidRPr="00CE2185">
        <w:rPr>
          <w:rFonts w:eastAsia="Times New Roman"/>
          <w:noProof/>
        </w:rPr>
        <w:t xml:space="preserve"> </w:t>
      </w:r>
      <w:r w:rsidR="00FE1AC3" w:rsidRPr="00CE2185">
        <w:rPr>
          <w:rFonts w:eastAsia="Times New Roman"/>
          <w:i/>
          <w:iCs/>
          <w:noProof/>
        </w:rPr>
        <w:t xml:space="preserve">Annex </w:t>
      </w:r>
      <w:r w:rsidR="002B5069" w:rsidRPr="00CE2185">
        <w:rPr>
          <w:rFonts w:eastAsia="Times New Roman"/>
          <w:i/>
          <w:iCs/>
          <w:noProof/>
        </w:rPr>
        <w:t>4</w:t>
      </w:r>
      <w:r w:rsidR="0054316A" w:rsidRPr="00CE2185">
        <w:rPr>
          <w:rFonts w:eastAsia="Times New Roman"/>
          <w:i/>
          <w:iCs/>
          <w:noProof/>
        </w:rPr>
        <w:t>, section</w:t>
      </w:r>
      <w:r w:rsidR="002C6E7C" w:rsidRPr="00CE2185">
        <w:rPr>
          <w:rFonts w:eastAsia="Times New Roman"/>
          <w:i/>
          <w:iCs/>
          <w:noProof/>
        </w:rPr>
        <w:t>s</w:t>
      </w:r>
      <w:r w:rsidR="0054316A" w:rsidRPr="00CE2185">
        <w:rPr>
          <w:rFonts w:eastAsia="Times New Roman"/>
          <w:i/>
          <w:iCs/>
          <w:noProof/>
        </w:rPr>
        <w:t xml:space="preserve"> 4.3.1</w:t>
      </w:r>
      <w:r w:rsidR="002C6E7C" w:rsidRPr="00CE2185">
        <w:rPr>
          <w:rFonts w:eastAsia="Times New Roman"/>
          <w:i/>
          <w:iCs/>
          <w:noProof/>
        </w:rPr>
        <w:t xml:space="preserve"> and 4.3.2</w:t>
      </w:r>
      <w:r w:rsidR="00FE1AC3" w:rsidRPr="00CE2185">
        <w:rPr>
          <w:rFonts w:eastAsia="Times New Roman"/>
          <w:noProof/>
        </w:rPr>
        <w:t>)</w:t>
      </w:r>
      <w:r w:rsidR="00522491" w:rsidRPr="00CE2185">
        <w:rPr>
          <w:rFonts w:eastAsia="Times New Roman"/>
          <w:noProof/>
        </w:rPr>
        <w:t>.</w:t>
      </w:r>
      <w:r w:rsidR="00EF75D0" w:rsidRPr="00CE2185">
        <w:rPr>
          <w:rStyle w:val="FootnoteReference"/>
          <w:rFonts w:eastAsia="Times New Roman"/>
          <w:noProof/>
        </w:rPr>
        <w:footnoteReference w:id="160"/>
      </w:r>
      <w:r w:rsidR="00770C02" w:rsidRPr="00CE2185">
        <w:rPr>
          <w:rFonts w:eastAsia="Times New Roman"/>
          <w:noProof/>
        </w:rPr>
        <w:t xml:space="preserve"> </w:t>
      </w:r>
      <w:r w:rsidR="00A62FC5" w:rsidRPr="00CE2185">
        <w:rPr>
          <w:rFonts w:eastAsia="Times New Roman"/>
          <w:noProof/>
        </w:rPr>
        <w:t xml:space="preserve">Adjustment costs might also occur due to the implementation of guidelines. </w:t>
      </w:r>
      <w:r w:rsidR="00D97948" w:rsidRPr="00CE2185">
        <w:rPr>
          <w:rFonts w:eastAsia="Times New Roman"/>
          <w:noProof/>
        </w:rPr>
        <w:t>Regarding t</w:t>
      </w:r>
      <w:r w:rsidR="00782483" w:rsidRPr="00CE2185">
        <w:rPr>
          <w:rFonts w:eastAsia="Times New Roman"/>
          <w:noProof/>
        </w:rPr>
        <w:t xml:space="preserve">he guidelines related to ransomware reporting, </w:t>
      </w:r>
      <w:r w:rsidR="0036253B" w:rsidRPr="00CE2185">
        <w:rPr>
          <w:rFonts w:eastAsia="Times New Roman"/>
          <w:noProof/>
        </w:rPr>
        <w:t>additional one-off adjustment costs may occur in case Member States implement these guidelines in a legally binding way</w:t>
      </w:r>
      <w:r w:rsidR="00A62FC5" w:rsidRPr="00CE2185">
        <w:rPr>
          <w:rFonts w:eastAsia="Times New Roman"/>
          <w:noProof/>
        </w:rPr>
        <w:t xml:space="preserve"> as businesses will have to ad</w:t>
      </w:r>
      <w:r w:rsidR="00761753" w:rsidRPr="00CE2185">
        <w:rPr>
          <w:rFonts w:eastAsia="Times New Roman"/>
          <w:noProof/>
        </w:rPr>
        <w:t>a</w:t>
      </w:r>
      <w:r w:rsidR="00A62FC5" w:rsidRPr="00CE2185">
        <w:rPr>
          <w:rFonts w:eastAsia="Times New Roman"/>
          <w:noProof/>
        </w:rPr>
        <w:t>pt their reporting processes</w:t>
      </w:r>
      <w:r w:rsidR="008D535C" w:rsidRPr="00CE2185">
        <w:rPr>
          <w:rFonts w:eastAsia="Times New Roman"/>
          <w:noProof/>
        </w:rPr>
        <w:t>.</w:t>
      </w:r>
      <w:r w:rsidR="00F57D9D" w:rsidRPr="00CE2185">
        <w:rPr>
          <w:rFonts w:eastAsia="Times New Roman"/>
          <w:noProof/>
        </w:rPr>
        <w:t xml:space="preserve"> </w:t>
      </w:r>
      <w:r w:rsidR="00966A6A" w:rsidRPr="00CE2185">
        <w:rPr>
          <w:rFonts w:eastAsia="Times New Roman"/>
          <w:noProof/>
        </w:rPr>
        <w:t xml:space="preserve">As the implementation of these measures would vary across Member States and are of voluntary nature, it is not possible to provide any aggregated figures. The </w:t>
      </w:r>
      <w:r w:rsidR="00F104F8" w:rsidRPr="00CE2185">
        <w:rPr>
          <w:rFonts w:eastAsia="Times New Roman"/>
          <w:noProof/>
        </w:rPr>
        <w:t>guidelines to clari</w:t>
      </w:r>
      <w:r w:rsidR="000F58DF" w:rsidRPr="00CE2185">
        <w:rPr>
          <w:rFonts w:eastAsia="Times New Roman"/>
          <w:noProof/>
        </w:rPr>
        <w:t xml:space="preserve">fy the NIS2 </w:t>
      </w:r>
      <w:r w:rsidR="00966A6A" w:rsidRPr="00CE2185">
        <w:rPr>
          <w:rFonts w:eastAsia="Times New Roman"/>
          <w:noProof/>
        </w:rPr>
        <w:t xml:space="preserve">scope </w:t>
      </w:r>
      <w:r w:rsidR="00816FA3" w:rsidRPr="00CE2185">
        <w:rPr>
          <w:rFonts w:eastAsia="Times New Roman"/>
          <w:noProof/>
        </w:rPr>
        <w:t xml:space="preserve">as well as the </w:t>
      </w:r>
      <w:r w:rsidR="00510309" w:rsidRPr="00CE2185">
        <w:rPr>
          <w:rFonts w:eastAsia="Times New Roman"/>
          <w:noProof/>
        </w:rPr>
        <w:t xml:space="preserve">guidelines for </w:t>
      </w:r>
      <w:r w:rsidR="00816FA3" w:rsidRPr="00CE2185">
        <w:rPr>
          <w:rFonts w:eastAsia="Times New Roman"/>
          <w:noProof/>
        </w:rPr>
        <w:t>suppl</w:t>
      </w:r>
      <w:r w:rsidR="00510309" w:rsidRPr="00CE2185">
        <w:rPr>
          <w:rFonts w:eastAsia="Times New Roman"/>
          <w:noProof/>
        </w:rPr>
        <w:t xml:space="preserve">iers to NIS2 entities </w:t>
      </w:r>
      <w:r w:rsidR="001F7017" w:rsidRPr="00CE2185">
        <w:rPr>
          <w:rFonts w:eastAsia="Times New Roman"/>
          <w:noProof/>
        </w:rPr>
        <w:t>are</w:t>
      </w:r>
      <w:r w:rsidR="00510309" w:rsidRPr="00CE2185">
        <w:rPr>
          <w:rFonts w:eastAsia="Times New Roman"/>
          <w:noProof/>
        </w:rPr>
        <w:t xml:space="preserve"> not expected to </w:t>
      </w:r>
      <w:r w:rsidR="00966A6A" w:rsidRPr="00CE2185">
        <w:rPr>
          <w:rFonts w:eastAsia="Times New Roman"/>
          <w:noProof/>
        </w:rPr>
        <w:t>lead to any compliance costs</w:t>
      </w:r>
      <w:r w:rsidR="002012F2" w:rsidRPr="00CE2185">
        <w:rPr>
          <w:rFonts w:eastAsia="Times New Roman"/>
          <w:noProof/>
          <w:lang w:val="en-US"/>
        </w:rPr>
        <w:t>.</w:t>
      </w:r>
      <w:r w:rsidR="00C97D37" w:rsidRPr="00CE2185">
        <w:rPr>
          <w:rFonts w:eastAsia="Times New Roman"/>
          <w:noProof/>
          <w:lang w:val="en-US"/>
        </w:rPr>
        <w:t xml:space="preserve"> </w:t>
      </w:r>
      <w:r w:rsidR="003B771E" w:rsidRPr="00CE2185">
        <w:rPr>
          <w:rFonts w:eastAsia="Times New Roman"/>
          <w:noProof/>
          <w:lang w:val="en-US"/>
        </w:rPr>
        <w:t xml:space="preserve">For </w:t>
      </w:r>
      <w:r w:rsidR="003B771E" w:rsidRPr="00CE2185">
        <w:rPr>
          <w:rFonts w:eastAsia="Times New Roman"/>
          <w:b/>
          <w:bCs/>
          <w:noProof/>
          <w:lang w:val="en-US"/>
        </w:rPr>
        <w:t>Member States</w:t>
      </w:r>
      <w:r w:rsidR="003B771E" w:rsidRPr="00CE2185">
        <w:rPr>
          <w:rFonts w:eastAsia="Times New Roman"/>
          <w:noProof/>
          <w:lang w:val="en-US"/>
        </w:rPr>
        <w:t xml:space="preserve">, </w:t>
      </w:r>
      <w:r w:rsidR="003B771E" w:rsidRPr="00CE2185">
        <w:rPr>
          <w:rFonts w:eastAsia="Times New Roman"/>
          <w:b/>
          <w:bCs/>
          <w:noProof/>
          <w:lang w:val="en-US"/>
        </w:rPr>
        <w:t xml:space="preserve">one-off </w:t>
      </w:r>
      <w:r w:rsidR="00C97D37" w:rsidRPr="00CE2185">
        <w:rPr>
          <w:rFonts w:eastAsia="Times New Roman"/>
          <w:b/>
          <w:bCs/>
          <w:noProof/>
          <w:lang w:val="en-US"/>
        </w:rPr>
        <w:t xml:space="preserve">adjustment </w:t>
      </w:r>
      <w:r w:rsidR="003B771E" w:rsidRPr="00CE2185">
        <w:rPr>
          <w:rFonts w:eastAsia="Times New Roman"/>
          <w:b/>
          <w:bCs/>
          <w:noProof/>
          <w:lang w:val="en-US"/>
        </w:rPr>
        <w:t>costs</w:t>
      </w:r>
      <w:r w:rsidR="003B771E" w:rsidRPr="00CE2185">
        <w:rPr>
          <w:rFonts w:eastAsia="Times New Roman"/>
          <w:noProof/>
          <w:lang w:val="en-US"/>
        </w:rPr>
        <w:t xml:space="preserve"> would occur </w:t>
      </w:r>
      <w:r w:rsidR="00EF6878" w:rsidRPr="00CE2185">
        <w:rPr>
          <w:rFonts w:eastAsia="Times New Roman"/>
          <w:noProof/>
          <w:lang w:val="en-US"/>
        </w:rPr>
        <w:t>for updating the</w:t>
      </w:r>
      <w:r w:rsidR="003D6285" w:rsidRPr="00CE2185">
        <w:rPr>
          <w:rFonts w:eastAsia="Times New Roman"/>
          <w:noProof/>
          <w:lang w:val="en-US"/>
        </w:rPr>
        <w:t xml:space="preserve"> training </w:t>
      </w:r>
      <w:r w:rsidR="00EF6878" w:rsidRPr="00CE2185">
        <w:rPr>
          <w:rFonts w:eastAsia="Times New Roman"/>
          <w:noProof/>
          <w:lang w:val="en-US"/>
        </w:rPr>
        <w:t xml:space="preserve">of </w:t>
      </w:r>
      <w:r w:rsidR="003D6285" w:rsidRPr="00CE2185">
        <w:rPr>
          <w:rFonts w:eastAsia="Times New Roman"/>
          <w:noProof/>
          <w:lang w:val="en-US"/>
        </w:rPr>
        <w:t>personnel in charge of supervision and enforcement of NIS2 entities</w:t>
      </w:r>
      <w:r w:rsidR="00EF6878" w:rsidRPr="00CE2185">
        <w:rPr>
          <w:rFonts w:eastAsia="Times New Roman"/>
          <w:noProof/>
          <w:lang w:val="en-US"/>
        </w:rPr>
        <w:t xml:space="preserve"> in relation to the </w:t>
      </w:r>
      <w:r w:rsidR="00E8507C" w:rsidRPr="00CE2185">
        <w:rPr>
          <w:rFonts w:eastAsia="Times New Roman"/>
          <w:noProof/>
          <w:lang w:val="en-US"/>
        </w:rPr>
        <w:t xml:space="preserve">guidelines. </w:t>
      </w:r>
      <w:r w:rsidR="000D551F" w:rsidRPr="00CE2185">
        <w:rPr>
          <w:rFonts w:eastAsia="Times New Roman"/>
          <w:noProof/>
          <w:lang w:val="en-US"/>
        </w:rPr>
        <w:t xml:space="preserve">It </w:t>
      </w:r>
      <w:r w:rsidR="00C97D37" w:rsidRPr="00CE2185">
        <w:rPr>
          <w:rFonts w:eastAsia="Times New Roman"/>
          <w:noProof/>
          <w:lang w:val="en-US"/>
        </w:rPr>
        <w:t>can be assumed</w:t>
      </w:r>
      <w:r w:rsidR="000D551F" w:rsidRPr="00CE2185">
        <w:rPr>
          <w:rFonts w:eastAsia="Times New Roman"/>
          <w:noProof/>
          <w:lang w:val="en-US"/>
        </w:rPr>
        <w:t xml:space="preserve"> that these costs are </w:t>
      </w:r>
      <w:r w:rsidR="00C97D37" w:rsidRPr="00CE2185">
        <w:rPr>
          <w:rFonts w:eastAsia="Times New Roman"/>
          <w:noProof/>
          <w:lang w:val="en-US"/>
        </w:rPr>
        <w:t xml:space="preserve">covered by </w:t>
      </w:r>
      <w:r w:rsidR="000D551F" w:rsidRPr="00CE2185">
        <w:rPr>
          <w:rFonts w:eastAsia="Times New Roman"/>
          <w:noProof/>
          <w:lang w:val="en-US"/>
        </w:rPr>
        <w:t xml:space="preserve">the existing spending for training of staff. </w:t>
      </w:r>
      <w:r w:rsidR="00444D31" w:rsidRPr="00CE2185">
        <w:rPr>
          <w:rFonts w:eastAsia="Times New Roman"/>
          <w:b/>
          <w:bCs/>
          <w:noProof/>
        </w:rPr>
        <w:t xml:space="preserve">ENISA </w:t>
      </w:r>
      <w:r w:rsidR="008A2125" w:rsidRPr="00CE2185">
        <w:rPr>
          <w:rFonts w:eastAsia="Times New Roman"/>
          <w:noProof/>
        </w:rPr>
        <w:t xml:space="preserve">would </w:t>
      </w:r>
      <w:r w:rsidR="00987B68" w:rsidRPr="00CE2185">
        <w:rPr>
          <w:rFonts w:eastAsia="Times New Roman"/>
          <w:noProof/>
        </w:rPr>
        <w:t xml:space="preserve">not </w:t>
      </w:r>
      <w:r w:rsidR="00D87BC2" w:rsidRPr="00CE2185">
        <w:rPr>
          <w:rFonts w:eastAsia="Times New Roman"/>
          <w:noProof/>
        </w:rPr>
        <w:t>bear any</w:t>
      </w:r>
      <w:r w:rsidR="00444D31" w:rsidRPr="00CE2185">
        <w:rPr>
          <w:rFonts w:eastAsia="Times New Roman"/>
          <w:noProof/>
        </w:rPr>
        <w:t xml:space="preserve"> compliance costs linked to </w:t>
      </w:r>
      <w:r w:rsidR="00987B68" w:rsidRPr="00CE2185">
        <w:rPr>
          <w:rFonts w:eastAsia="Times New Roman"/>
          <w:noProof/>
        </w:rPr>
        <w:t>option C.1</w:t>
      </w:r>
      <w:r w:rsidR="00444D31" w:rsidRPr="00CE2185">
        <w:rPr>
          <w:rFonts w:eastAsia="Times New Roman"/>
          <w:noProof/>
        </w:rPr>
        <w:t xml:space="preserve">. </w:t>
      </w:r>
      <w:r w:rsidR="00A62FC5" w:rsidRPr="00CE2185">
        <w:rPr>
          <w:rFonts w:eastAsia="Times New Roman"/>
          <w:noProof/>
        </w:rPr>
        <w:t xml:space="preserve">No costs would impact </w:t>
      </w:r>
      <w:r w:rsidR="00A62FC5" w:rsidRPr="00CE2185">
        <w:rPr>
          <w:rFonts w:eastAsia="Times New Roman"/>
          <w:b/>
          <w:bCs/>
          <w:noProof/>
        </w:rPr>
        <w:t>citizens</w:t>
      </w:r>
      <w:r w:rsidR="00A62FC5" w:rsidRPr="00CE2185">
        <w:rPr>
          <w:rFonts w:eastAsia="Times New Roman"/>
          <w:noProof/>
        </w:rPr>
        <w:t>.</w:t>
      </w:r>
    </w:p>
    <w:p w14:paraId="449A1CDA" w14:textId="1CBEA637" w:rsidR="00D418FE" w:rsidRPr="00CE2185" w:rsidRDefault="00541659" w:rsidP="00795DF0">
      <w:pPr>
        <w:spacing w:after="120"/>
        <w:rPr>
          <w:noProof/>
          <w:lang w:val="en-IE"/>
        </w:rPr>
      </w:pPr>
      <w:r w:rsidRPr="00CE2185">
        <w:rPr>
          <w:rFonts w:eastAsia="Times New Roman"/>
          <w:noProof/>
        </w:rPr>
        <w:t xml:space="preserve">The compliance costs </w:t>
      </w:r>
      <w:r w:rsidR="00F30965" w:rsidRPr="00CE2185">
        <w:rPr>
          <w:rFonts w:eastAsia="Times New Roman"/>
          <w:noProof/>
        </w:rPr>
        <w:t xml:space="preserve">for </w:t>
      </w:r>
      <w:r w:rsidR="00614BD8" w:rsidRPr="00CE2185">
        <w:rPr>
          <w:rFonts w:eastAsia="Times New Roman"/>
          <w:b/>
          <w:bCs/>
          <w:noProof/>
        </w:rPr>
        <w:t xml:space="preserve">NIS2 </w:t>
      </w:r>
      <w:r w:rsidR="00F30965" w:rsidRPr="00CE2185">
        <w:rPr>
          <w:rFonts w:eastAsia="Times New Roman"/>
          <w:b/>
          <w:noProof/>
        </w:rPr>
        <w:t>entities</w:t>
      </w:r>
      <w:r w:rsidR="00F30965" w:rsidRPr="00CE2185">
        <w:rPr>
          <w:rFonts w:eastAsia="Times New Roman"/>
          <w:noProof/>
        </w:rPr>
        <w:t xml:space="preserve"> and </w:t>
      </w:r>
      <w:r w:rsidR="00F30965" w:rsidRPr="00CE2185">
        <w:rPr>
          <w:rFonts w:eastAsia="Times New Roman"/>
          <w:b/>
          <w:noProof/>
        </w:rPr>
        <w:t>Member States</w:t>
      </w:r>
      <w:r w:rsidR="00F30965" w:rsidRPr="00CE2185">
        <w:rPr>
          <w:rFonts w:eastAsia="Times New Roman"/>
          <w:noProof/>
        </w:rPr>
        <w:t xml:space="preserve"> </w:t>
      </w:r>
      <w:r w:rsidR="00617ED7" w:rsidRPr="00CE2185">
        <w:rPr>
          <w:rFonts w:eastAsia="Times New Roman"/>
          <w:noProof/>
        </w:rPr>
        <w:t>under</w:t>
      </w:r>
      <w:r w:rsidR="00617ED7" w:rsidRPr="00CE2185">
        <w:rPr>
          <w:rFonts w:eastAsia="Times New Roman"/>
          <w:b/>
          <w:bCs/>
          <w:noProof/>
        </w:rPr>
        <w:t xml:space="preserve"> </w:t>
      </w:r>
      <w:r w:rsidR="00617ED7" w:rsidRPr="00CE2185">
        <w:rPr>
          <w:rFonts w:eastAsia="Times New Roman"/>
          <w:b/>
          <w:noProof/>
        </w:rPr>
        <w:t>o</w:t>
      </w:r>
      <w:r w:rsidR="00F57D9D" w:rsidRPr="00CE2185">
        <w:rPr>
          <w:rFonts w:eastAsia="Times New Roman"/>
          <w:b/>
          <w:noProof/>
        </w:rPr>
        <w:t>ption C.2</w:t>
      </w:r>
      <w:r w:rsidR="00F57D9D" w:rsidRPr="00CE2185">
        <w:rPr>
          <w:rFonts w:eastAsia="Times New Roman"/>
          <w:noProof/>
        </w:rPr>
        <w:t xml:space="preserve"> </w:t>
      </w:r>
      <w:r w:rsidR="00617ED7" w:rsidRPr="00CE2185">
        <w:rPr>
          <w:rFonts w:eastAsia="Times New Roman"/>
          <w:noProof/>
        </w:rPr>
        <w:t>are comparable to option C.1 concerning the adjustment costs in case of implementing acts</w:t>
      </w:r>
      <w:r w:rsidR="00CE72E6" w:rsidRPr="00CE2185">
        <w:rPr>
          <w:rFonts w:eastAsia="Times New Roman"/>
          <w:noProof/>
        </w:rPr>
        <w:t xml:space="preserve">. </w:t>
      </w:r>
      <w:r w:rsidR="002132D9" w:rsidRPr="00CE2185">
        <w:rPr>
          <w:noProof/>
        </w:rPr>
        <w:t>M</w:t>
      </w:r>
      <w:r w:rsidR="00B32975" w:rsidRPr="00CE2185">
        <w:rPr>
          <w:noProof/>
        </w:rPr>
        <w:t>inimal</w:t>
      </w:r>
      <w:r w:rsidR="001D3405" w:rsidRPr="00CE2185">
        <w:rPr>
          <w:noProof/>
        </w:rPr>
        <w:t xml:space="preserve"> </w:t>
      </w:r>
      <w:r w:rsidR="00DE45DF" w:rsidRPr="00CE2185">
        <w:rPr>
          <w:b/>
          <w:bCs/>
          <w:noProof/>
        </w:rPr>
        <w:t>one-off</w:t>
      </w:r>
      <w:r w:rsidR="001D3405" w:rsidRPr="00CE2185">
        <w:rPr>
          <w:b/>
          <w:noProof/>
        </w:rPr>
        <w:t xml:space="preserve"> </w:t>
      </w:r>
      <w:r w:rsidR="00B32975" w:rsidRPr="00CE2185">
        <w:rPr>
          <w:b/>
          <w:noProof/>
        </w:rPr>
        <w:t>compliance</w:t>
      </w:r>
      <w:r w:rsidR="001D3405" w:rsidRPr="00CE2185">
        <w:rPr>
          <w:b/>
          <w:noProof/>
        </w:rPr>
        <w:t xml:space="preserve"> costs</w:t>
      </w:r>
      <w:r w:rsidR="009929EC" w:rsidRPr="00CE2185">
        <w:rPr>
          <w:noProof/>
        </w:rPr>
        <w:t xml:space="preserve"> would</w:t>
      </w:r>
      <w:r w:rsidR="001D3405" w:rsidRPr="00CE2185">
        <w:rPr>
          <w:noProof/>
        </w:rPr>
        <w:t xml:space="preserve"> occur where an implementing act on incident reporting </w:t>
      </w:r>
      <w:r w:rsidR="007E2F12" w:rsidRPr="00CE2185">
        <w:rPr>
          <w:noProof/>
        </w:rPr>
        <w:t>requires additional information in case of</w:t>
      </w:r>
      <w:r w:rsidR="001D3405" w:rsidRPr="00CE2185">
        <w:rPr>
          <w:noProof/>
        </w:rPr>
        <w:t xml:space="preserve"> </w:t>
      </w:r>
      <w:r w:rsidR="00B32975" w:rsidRPr="00CE2185">
        <w:rPr>
          <w:b/>
          <w:noProof/>
        </w:rPr>
        <w:t>ransomware</w:t>
      </w:r>
      <w:r w:rsidR="007E2F12" w:rsidRPr="00CE2185">
        <w:rPr>
          <w:b/>
          <w:noProof/>
        </w:rPr>
        <w:t xml:space="preserve"> attacks</w:t>
      </w:r>
      <w:r w:rsidR="009929EC" w:rsidRPr="00CE2185">
        <w:rPr>
          <w:noProof/>
        </w:rPr>
        <w:t xml:space="preserve"> to </w:t>
      </w:r>
      <w:r w:rsidR="00833D8D" w:rsidRPr="00CE2185">
        <w:rPr>
          <w:noProof/>
        </w:rPr>
        <w:t>adapt reporting processes</w:t>
      </w:r>
      <w:r w:rsidR="007E2F12" w:rsidRPr="00CE2185">
        <w:rPr>
          <w:noProof/>
        </w:rPr>
        <w:t>.</w:t>
      </w:r>
      <w:r w:rsidR="001D3405" w:rsidRPr="00CE2185">
        <w:rPr>
          <w:noProof/>
        </w:rPr>
        <w:t xml:space="preserve"> Concerning the guidelines for suppliers to NIS2 entities, like in option C.1, no additional compliance costs are expected. </w:t>
      </w:r>
      <w:r w:rsidR="007C6FE4" w:rsidRPr="00CE2185">
        <w:rPr>
          <w:noProof/>
        </w:rPr>
        <w:t>While costs related to using a certification to demonstrate compliance with NIS2 are explained in option B.2, t</w:t>
      </w:r>
      <w:r w:rsidR="00984AF4" w:rsidRPr="00CE2185">
        <w:rPr>
          <w:noProof/>
        </w:rPr>
        <w:t xml:space="preserve">he </w:t>
      </w:r>
      <w:r w:rsidR="007C6FE4" w:rsidRPr="00CE2185">
        <w:rPr>
          <w:noProof/>
        </w:rPr>
        <w:t>possibility</w:t>
      </w:r>
      <w:r w:rsidR="00984AF4" w:rsidRPr="00CE2185">
        <w:rPr>
          <w:noProof/>
        </w:rPr>
        <w:t xml:space="preserve"> to </w:t>
      </w:r>
      <w:r w:rsidR="007C6FE4" w:rsidRPr="00CE2185">
        <w:rPr>
          <w:noProof/>
        </w:rPr>
        <w:t xml:space="preserve">acquire a </w:t>
      </w:r>
      <w:r w:rsidR="007C6FE4" w:rsidRPr="00CE2185">
        <w:rPr>
          <w:b/>
          <w:noProof/>
        </w:rPr>
        <w:t>cyber posture certification</w:t>
      </w:r>
      <w:r w:rsidR="007C6FE4" w:rsidRPr="00CE2185">
        <w:rPr>
          <w:noProof/>
        </w:rPr>
        <w:t xml:space="preserve"> </w:t>
      </w:r>
      <w:r w:rsidR="00C5759E" w:rsidRPr="00CE2185">
        <w:rPr>
          <w:noProof/>
        </w:rPr>
        <w:t>to demonstrate compliance with NIS2 on a voluntary basis would</w:t>
      </w:r>
      <w:r w:rsidR="007C6FE4" w:rsidRPr="00CE2185">
        <w:rPr>
          <w:noProof/>
        </w:rPr>
        <w:t xml:space="preserve"> not </w:t>
      </w:r>
      <w:r w:rsidR="00C5759E" w:rsidRPr="00CE2185">
        <w:rPr>
          <w:noProof/>
        </w:rPr>
        <w:t>lead to any additional</w:t>
      </w:r>
      <w:r w:rsidR="007C6FE4" w:rsidRPr="00CE2185">
        <w:rPr>
          <w:noProof/>
        </w:rPr>
        <w:t xml:space="preserve"> costs </w:t>
      </w:r>
      <w:r w:rsidR="00C5759E" w:rsidRPr="00CE2185">
        <w:rPr>
          <w:noProof/>
        </w:rPr>
        <w:t>in terms of compliance</w:t>
      </w:r>
      <w:r w:rsidR="007C6FE4" w:rsidRPr="00CE2185">
        <w:rPr>
          <w:noProof/>
        </w:rPr>
        <w:t xml:space="preserve">. </w:t>
      </w:r>
      <w:r w:rsidR="008F2A1C" w:rsidRPr="00CE2185">
        <w:rPr>
          <w:noProof/>
        </w:rPr>
        <w:t xml:space="preserve">The costs for </w:t>
      </w:r>
      <w:r w:rsidR="008F2A1C" w:rsidRPr="00CE2185">
        <w:rPr>
          <w:b/>
          <w:noProof/>
        </w:rPr>
        <w:t>Member States</w:t>
      </w:r>
      <w:r w:rsidR="008F2A1C" w:rsidRPr="00CE2185">
        <w:rPr>
          <w:noProof/>
        </w:rPr>
        <w:t xml:space="preserve"> in regard to cyber posture certification is explained in option B.2</w:t>
      </w:r>
      <w:r w:rsidR="00C5759E" w:rsidRPr="00CE2185">
        <w:rPr>
          <w:noProof/>
        </w:rPr>
        <w:t xml:space="preserve"> based on the assumption</w:t>
      </w:r>
      <w:r w:rsidR="008B36AA" w:rsidRPr="00CE2185">
        <w:rPr>
          <w:noProof/>
        </w:rPr>
        <w:t xml:space="preserve"> that all Member States will implement </w:t>
      </w:r>
      <w:r w:rsidR="00C5759E" w:rsidRPr="00CE2185">
        <w:rPr>
          <w:noProof/>
        </w:rPr>
        <w:t>it</w:t>
      </w:r>
      <w:r w:rsidR="008B36AA" w:rsidRPr="00CE2185">
        <w:rPr>
          <w:noProof/>
        </w:rPr>
        <w:t xml:space="preserve">. </w:t>
      </w:r>
      <w:r w:rsidR="00B30C83" w:rsidRPr="00CE2185">
        <w:rPr>
          <w:noProof/>
        </w:rPr>
        <w:t>Regarding</w:t>
      </w:r>
      <w:r w:rsidR="00351A8E" w:rsidRPr="00CE2185">
        <w:rPr>
          <w:noProof/>
        </w:rPr>
        <w:t xml:space="preserve"> </w:t>
      </w:r>
      <w:r w:rsidR="00351A8E" w:rsidRPr="00CE2185">
        <w:rPr>
          <w:b/>
          <w:noProof/>
        </w:rPr>
        <w:t>ENISA</w:t>
      </w:r>
      <w:r w:rsidR="00351A8E" w:rsidRPr="00CE2185">
        <w:rPr>
          <w:noProof/>
        </w:rPr>
        <w:t xml:space="preserve">, </w:t>
      </w:r>
      <w:r w:rsidR="0015497F" w:rsidRPr="00CE2185">
        <w:rPr>
          <w:noProof/>
        </w:rPr>
        <w:t>additional</w:t>
      </w:r>
      <w:r w:rsidR="00351A8E" w:rsidRPr="00CE2185">
        <w:rPr>
          <w:noProof/>
        </w:rPr>
        <w:t xml:space="preserve"> costs </w:t>
      </w:r>
      <w:r w:rsidR="005B2FCD" w:rsidRPr="00CE2185">
        <w:rPr>
          <w:noProof/>
        </w:rPr>
        <w:t xml:space="preserve">for human resources with the need for minimum 4 additional FTEs </w:t>
      </w:r>
      <w:r w:rsidR="0015497F" w:rsidRPr="00CE2185">
        <w:rPr>
          <w:noProof/>
        </w:rPr>
        <w:t xml:space="preserve">would incur following </w:t>
      </w:r>
      <w:r w:rsidR="001E2998" w:rsidRPr="00CE2185">
        <w:rPr>
          <w:noProof/>
        </w:rPr>
        <w:t>its</w:t>
      </w:r>
      <w:r w:rsidR="00351A8E" w:rsidRPr="00CE2185">
        <w:rPr>
          <w:noProof/>
        </w:rPr>
        <w:t xml:space="preserve"> </w:t>
      </w:r>
      <w:r w:rsidR="00351A8E" w:rsidRPr="00CE2185">
        <w:rPr>
          <w:noProof/>
          <w:lang w:val="en-IE"/>
        </w:rPr>
        <w:t xml:space="preserve">new role </w:t>
      </w:r>
      <w:r w:rsidR="0015497F" w:rsidRPr="00CE2185">
        <w:rPr>
          <w:noProof/>
          <w:lang w:val="en-IE"/>
        </w:rPr>
        <w:t>in assisting Member State in the supervision of</w:t>
      </w:r>
      <w:r w:rsidR="00351A8E" w:rsidRPr="00CE2185">
        <w:rPr>
          <w:noProof/>
          <w:lang w:val="en-IE"/>
        </w:rPr>
        <w:t xml:space="preserve"> multi-country entities </w:t>
      </w:r>
      <w:r w:rsidR="005B2FCD" w:rsidRPr="00CE2185">
        <w:rPr>
          <w:noProof/>
          <w:lang w:val="en-IE"/>
        </w:rPr>
        <w:t xml:space="preserve">under option C.2. These costs are described in A.2. </w:t>
      </w:r>
    </w:p>
    <w:p w14:paraId="299B0B5E" w14:textId="09381E05" w:rsidR="001211D7" w:rsidRPr="00CE2185" w:rsidRDefault="00351A8E" w:rsidP="00795DF0">
      <w:pPr>
        <w:spacing w:after="120"/>
        <w:rPr>
          <w:rFonts w:eastAsia="Times New Roman"/>
          <w:noProof/>
        </w:rPr>
      </w:pPr>
      <w:r w:rsidRPr="00CE2185">
        <w:rPr>
          <w:noProof/>
        </w:rPr>
        <w:t xml:space="preserve">Concerning the </w:t>
      </w:r>
      <w:r w:rsidR="00E17CC0" w:rsidRPr="00CE2185">
        <w:rPr>
          <w:b/>
          <w:noProof/>
        </w:rPr>
        <w:t>clarif</w:t>
      </w:r>
      <w:r w:rsidR="00987B68" w:rsidRPr="00CE2185">
        <w:rPr>
          <w:b/>
          <w:noProof/>
        </w:rPr>
        <w:t xml:space="preserve">ication </w:t>
      </w:r>
      <w:r w:rsidR="000D0747" w:rsidRPr="00CE2185">
        <w:rPr>
          <w:b/>
          <w:bCs/>
          <w:noProof/>
        </w:rPr>
        <w:t>and reduction</w:t>
      </w:r>
      <w:r w:rsidR="00987B68" w:rsidRPr="00CE2185">
        <w:rPr>
          <w:b/>
          <w:noProof/>
        </w:rPr>
        <w:t xml:space="preserve"> of</w:t>
      </w:r>
      <w:r w:rsidRPr="00CE2185">
        <w:rPr>
          <w:b/>
          <w:noProof/>
        </w:rPr>
        <w:t xml:space="preserve"> scope</w:t>
      </w:r>
      <w:r w:rsidRPr="00CE2185">
        <w:rPr>
          <w:noProof/>
        </w:rPr>
        <w:t>, no additional cost are expected</w:t>
      </w:r>
      <w:r w:rsidR="003E1C90" w:rsidRPr="00CE2185">
        <w:rPr>
          <w:noProof/>
        </w:rPr>
        <w:t>.</w:t>
      </w:r>
      <w:r w:rsidRPr="00CE2185">
        <w:rPr>
          <w:noProof/>
        </w:rPr>
        <w:t xml:space="preserve"> </w:t>
      </w:r>
      <w:r w:rsidR="003E1C90" w:rsidRPr="00CE2185">
        <w:rPr>
          <w:noProof/>
        </w:rPr>
        <w:t>I</w:t>
      </w:r>
      <w:r w:rsidRPr="00CE2185">
        <w:rPr>
          <w:noProof/>
        </w:rPr>
        <w:t>nstead</w:t>
      </w:r>
      <w:r w:rsidR="003E1C90" w:rsidRPr="00CE2185">
        <w:rPr>
          <w:noProof/>
        </w:rPr>
        <w:t>,</w:t>
      </w:r>
      <w:r w:rsidRPr="00CE2185">
        <w:rPr>
          <w:noProof/>
        </w:rPr>
        <w:t xml:space="preserve"> significant savings would occur, as explained in the next section. </w:t>
      </w:r>
      <w:r w:rsidR="00D22DFD" w:rsidRPr="00CE2185">
        <w:rPr>
          <w:noProof/>
        </w:rPr>
        <w:t>However, given the fact that those entities would no longer be covered by NIS2 and/or subject to a different regime</w:t>
      </w:r>
      <w:r w:rsidR="000A217B" w:rsidRPr="00CE2185">
        <w:rPr>
          <w:noProof/>
        </w:rPr>
        <w:t>,</w:t>
      </w:r>
      <w:r w:rsidR="00D22DFD" w:rsidRPr="00CE2185">
        <w:rPr>
          <w:noProof/>
        </w:rPr>
        <w:t xml:space="preserve"> this may impact their cybersecurity risk management measures over time, hence </w:t>
      </w:r>
      <w:r w:rsidR="00CA486F" w:rsidRPr="00CE2185">
        <w:rPr>
          <w:noProof/>
        </w:rPr>
        <w:t xml:space="preserve">leading to </w:t>
      </w:r>
      <w:r w:rsidR="00CA486F" w:rsidRPr="00CE2185">
        <w:rPr>
          <w:b/>
          <w:noProof/>
        </w:rPr>
        <w:t>higher costs related to cybersecurity incidents</w:t>
      </w:r>
      <w:r w:rsidR="00CA486F" w:rsidRPr="00CE2185">
        <w:rPr>
          <w:noProof/>
        </w:rPr>
        <w:t xml:space="preserve"> (</w:t>
      </w:r>
      <w:r w:rsidR="00CA486F" w:rsidRPr="00CE2185">
        <w:rPr>
          <w:i/>
          <w:noProof/>
        </w:rPr>
        <w:t>see</w:t>
      </w:r>
      <w:r w:rsidR="00CA486F" w:rsidRPr="00CE2185">
        <w:rPr>
          <w:noProof/>
        </w:rPr>
        <w:t xml:space="preserve"> </w:t>
      </w:r>
      <w:r w:rsidR="00CA486F" w:rsidRPr="00CE2185">
        <w:rPr>
          <w:i/>
          <w:noProof/>
        </w:rPr>
        <w:t xml:space="preserve">Annex </w:t>
      </w:r>
      <w:r w:rsidR="00F83088" w:rsidRPr="00CE2185">
        <w:rPr>
          <w:i/>
          <w:iCs/>
          <w:noProof/>
        </w:rPr>
        <w:t>7</w:t>
      </w:r>
      <w:r w:rsidR="00541A2D" w:rsidRPr="00CE2185">
        <w:rPr>
          <w:noProof/>
        </w:rPr>
        <w:t xml:space="preserve">). It is however not possible to provide any quantitative estimation in this regard. </w:t>
      </w:r>
      <w:r w:rsidR="000472DC" w:rsidRPr="00CE2185">
        <w:rPr>
          <w:noProof/>
        </w:rPr>
        <w:t>Those costs would also apply under C3</w:t>
      </w:r>
      <w:r w:rsidRPr="00CE2185">
        <w:rPr>
          <w:noProof/>
        </w:rPr>
        <w:t xml:space="preserve">. </w:t>
      </w:r>
    </w:p>
    <w:p w14:paraId="67FFA766" w14:textId="546A13E8" w:rsidR="00987B68" w:rsidRPr="00CE2185" w:rsidRDefault="007D3C56" w:rsidP="00795DF0">
      <w:pPr>
        <w:spacing w:after="120"/>
        <w:rPr>
          <w:noProof/>
        </w:rPr>
      </w:pPr>
      <w:r w:rsidRPr="00CE2185">
        <w:rPr>
          <w:b/>
          <w:bCs/>
          <w:noProof/>
        </w:rPr>
        <w:t>O</w:t>
      </w:r>
      <w:r w:rsidR="002B0EDD" w:rsidRPr="00CE2185">
        <w:rPr>
          <w:b/>
          <w:bCs/>
          <w:noProof/>
        </w:rPr>
        <w:t>ption C</w:t>
      </w:r>
      <w:r w:rsidR="00645772" w:rsidRPr="00CE2185">
        <w:rPr>
          <w:b/>
          <w:bCs/>
          <w:noProof/>
        </w:rPr>
        <w:t>.</w:t>
      </w:r>
      <w:r w:rsidR="002B0EDD" w:rsidRPr="00CE2185">
        <w:rPr>
          <w:b/>
          <w:bCs/>
          <w:noProof/>
        </w:rPr>
        <w:t>3</w:t>
      </w:r>
      <w:r w:rsidRPr="00CE2185">
        <w:rPr>
          <w:noProof/>
        </w:rPr>
        <w:t xml:space="preserve"> would </w:t>
      </w:r>
      <w:r w:rsidR="00FD1F83" w:rsidRPr="00CE2185">
        <w:rPr>
          <w:noProof/>
        </w:rPr>
        <w:t>introduce</w:t>
      </w:r>
      <w:r w:rsidR="007234EA" w:rsidRPr="00CE2185">
        <w:rPr>
          <w:noProof/>
        </w:rPr>
        <w:t xml:space="preserve"> </w:t>
      </w:r>
      <w:r w:rsidR="002333A9" w:rsidRPr="00CE2185">
        <w:rPr>
          <w:b/>
          <w:bCs/>
          <w:noProof/>
        </w:rPr>
        <w:t xml:space="preserve">one-off </w:t>
      </w:r>
      <w:r w:rsidR="007234EA" w:rsidRPr="00CE2185">
        <w:rPr>
          <w:b/>
          <w:bCs/>
          <w:noProof/>
        </w:rPr>
        <w:t>adjustment costs</w:t>
      </w:r>
      <w:r w:rsidR="00143919" w:rsidRPr="00CE2185">
        <w:rPr>
          <w:noProof/>
        </w:rPr>
        <w:t xml:space="preserve"> for </w:t>
      </w:r>
      <w:r w:rsidR="00143919" w:rsidRPr="00CE2185">
        <w:rPr>
          <w:b/>
          <w:bCs/>
          <w:noProof/>
        </w:rPr>
        <w:t>businesses,</w:t>
      </w:r>
      <w:r w:rsidR="00143919" w:rsidRPr="00CE2185">
        <w:rPr>
          <w:noProof/>
        </w:rPr>
        <w:t xml:space="preserve"> which would be required to adapt to a new legal framework, revise internal poli</w:t>
      </w:r>
      <w:r w:rsidR="003351A7" w:rsidRPr="00CE2185">
        <w:rPr>
          <w:noProof/>
        </w:rPr>
        <w:t xml:space="preserve">cies and procedures regarding obligations and cybersecurity risk-management measures, as well as </w:t>
      </w:r>
      <w:r w:rsidR="00E85EE9" w:rsidRPr="00CE2185">
        <w:rPr>
          <w:noProof/>
        </w:rPr>
        <w:t>provide new guidance to personnel</w:t>
      </w:r>
      <w:r w:rsidR="0082157B" w:rsidRPr="00CE2185">
        <w:rPr>
          <w:noProof/>
        </w:rPr>
        <w:t>.</w:t>
      </w:r>
      <w:r w:rsidR="007503FF" w:rsidRPr="00CE2185">
        <w:rPr>
          <w:rStyle w:val="normaltextrun"/>
          <w:noProof/>
          <w:color w:val="000000"/>
          <w:shd w:val="clear" w:color="auto" w:fill="FFFFFF"/>
        </w:rPr>
        <w:t xml:space="preserve"> </w:t>
      </w:r>
      <w:r w:rsidR="002333A9" w:rsidRPr="00CE2185">
        <w:rPr>
          <w:rStyle w:val="normaltextrun"/>
          <w:noProof/>
          <w:color w:val="000000"/>
          <w:shd w:val="clear" w:color="auto" w:fill="FFFFFF"/>
        </w:rPr>
        <w:t>I</w:t>
      </w:r>
      <w:r w:rsidR="007503FF" w:rsidRPr="00CE2185">
        <w:rPr>
          <w:rStyle w:val="normaltextrun"/>
          <w:noProof/>
          <w:color w:val="000000"/>
          <w:shd w:val="clear" w:color="auto" w:fill="FFFFFF"/>
        </w:rPr>
        <w:t>t is expected that</w:t>
      </w:r>
      <w:r w:rsidR="00771B8F" w:rsidRPr="00CE2185">
        <w:rPr>
          <w:rStyle w:val="normaltextrun"/>
          <w:noProof/>
          <w:color w:val="000000"/>
          <w:shd w:val="clear" w:color="auto" w:fill="FFFFFF"/>
        </w:rPr>
        <w:t xml:space="preserve">, following the </w:t>
      </w:r>
      <w:r w:rsidR="00E454EA" w:rsidRPr="00CE2185">
        <w:rPr>
          <w:rStyle w:val="normaltextrun"/>
          <w:noProof/>
          <w:color w:val="000000"/>
          <w:shd w:val="clear" w:color="auto" w:fill="FFFFFF"/>
        </w:rPr>
        <w:t xml:space="preserve">clarifications of </w:t>
      </w:r>
      <w:r w:rsidR="00771B8F" w:rsidRPr="00CE2185">
        <w:rPr>
          <w:rStyle w:val="normaltextrun"/>
          <w:noProof/>
          <w:color w:val="000000"/>
          <w:shd w:val="clear" w:color="auto" w:fill="FFFFFF"/>
        </w:rPr>
        <w:t xml:space="preserve">definitions and scope, </w:t>
      </w:r>
      <w:r w:rsidR="00E454EA" w:rsidRPr="00CE2185">
        <w:rPr>
          <w:rStyle w:val="normaltextrun"/>
          <w:noProof/>
          <w:color w:val="000000"/>
          <w:shd w:val="clear" w:color="auto" w:fill="FFFFFF"/>
        </w:rPr>
        <w:t xml:space="preserve">at least </w:t>
      </w:r>
      <w:r w:rsidR="00F56A95" w:rsidRPr="00CE2185">
        <w:rPr>
          <w:rStyle w:val="normaltextrun"/>
          <w:noProof/>
          <w:color w:val="000000"/>
          <w:shd w:val="clear" w:color="auto" w:fill="FFFFFF"/>
        </w:rPr>
        <w:t xml:space="preserve">the </w:t>
      </w:r>
      <w:r w:rsidR="00771B8F" w:rsidRPr="00CE2185">
        <w:rPr>
          <w:rStyle w:val="normaltextrun"/>
          <w:b/>
          <w:bCs/>
          <w:noProof/>
          <w:color w:val="000000"/>
          <w:shd w:val="clear" w:color="auto" w:fill="FFFFFF"/>
        </w:rPr>
        <w:t>1</w:t>
      </w:r>
      <w:r w:rsidR="00AA4F19" w:rsidRPr="00CE2185">
        <w:rPr>
          <w:rStyle w:val="normaltextrun"/>
          <w:b/>
          <w:bCs/>
          <w:noProof/>
          <w:color w:val="000000"/>
          <w:shd w:val="clear" w:color="auto" w:fill="FFFFFF"/>
        </w:rPr>
        <w:t>81</w:t>
      </w:r>
      <w:r w:rsidR="005D749B" w:rsidRPr="00CE2185">
        <w:rPr>
          <w:rStyle w:val="normaltextrun"/>
          <w:b/>
          <w:bCs/>
          <w:noProof/>
          <w:color w:val="000000"/>
          <w:shd w:val="clear" w:color="auto" w:fill="FFFFFF"/>
        </w:rPr>
        <w:t xml:space="preserve"> </w:t>
      </w:r>
      <w:r w:rsidR="00C901B4" w:rsidRPr="00CE2185">
        <w:rPr>
          <w:rStyle w:val="normaltextrun"/>
          <w:b/>
          <w:bCs/>
          <w:noProof/>
          <w:color w:val="000000"/>
          <w:shd w:val="clear" w:color="auto" w:fill="FFFFFF"/>
        </w:rPr>
        <w:t>7</w:t>
      </w:r>
      <w:r w:rsidR="007503FF" w:rsidRPr="00CE2185">
        <w:rPr>
          <w:rStyle w:val="normaltextrun"/>
          <w:b/>
          <w:bCs/>
          <w:noProof/>
          <w:color w:val="000000"/>
          <w:shd w:val="clear" w:color="auto" w:fill="FFFFFF"/>
        </w:rPr>
        <w:t>00 entities</w:t>
      </w:r>
      <w:r w:rsidR="007503FF" w:rsidRPr="00CE2185">
        <w:rPr>
          <w:rStyle w:val="normaltextrun"/>
          <w:noProof/>
          <w:color w:val="000000"/>
          <w:shd w:val="clear" w:color="auto" w:fill="FFFFFF"/>
        </w:rPr>
        <w:t xml:space="preserve"> falling under the scope of NIS2</w:t>
      </w:r>
      <w:r w:rsidR="00935B76" w:rsidRPr="00CE2185">
        <w:rPr>
          <w:rStyle w:val="normaltextrun"/>
          <w:noProof/>
          <w:color w:val="000000"/>
          <w:shd w:val="clear" w:color="auto" w:fill="FFFFFF"/>
        </w:rPr>
        <w:t xml:space="preserve"> and </w:t>
      </w:r>
      <w:r w:rsidR="007503FF" w:rsidRPr="00CE2185">
        <w:rPr>
          <w:rStyle w:val="normaltextrun"/>
          <w:noProof/>
          <w:color w:val="000000"/>
          <w:shd w:val="clear" w:color="auto" w:fill="FFFFFF"/>
        </w:rPr>
        <w:t>DORA</w:t>
      </w:r>
      <w:r w:rsidR="0096754A" w:rsidRPr="00CE2185">
        <w:rPr>
          <w:rStyle w:val="FootnoteReference"/>
          <w:noProof/>
          <w:color w:val="000000"/>
          <w:shd w:val="clear" w:color="auto" w:fill="FFFFFF"/>
        </w:rPr>
        <w:footnoteReference w:id="161"/>
      </w:r>
      <w:r w:rsidR="007503FF" w:rsidRPr="00CE2185">
        <w:rPr>
          <w:rStyle w:val="normaltextrun"/>
          <w:noProof/>
          <w:color w:val="000000"/>
          <w:shd w:val="clear" w:color="auto" w:fill="FFFFFF"/>
        </w:rPr>
        <w:t xml:space="preserve"> would need an </w:t>
      </w:r>
      <w:r w:rsidR="007503FF" w:rsidRPr="00CE2185">
        <w:rPr>
          <w:rStyle w:val="normaltextrun"/>
          <w:b/>
          <w:bCs/>
          <w:noProof/>
          <w:color w:val="000000"/>
          <w:shd w:val="clear" w:color="auto" w:fill="FFFFFF"/>
        </w:rPr>
        <w:t>additional 0.5 FTE for this transition</w:t>
      </w:r>
      <w:r w:rsidR="007503FF" w:rsidRPr="00CE2185">
        <w:rPr>
          <w:rStyle w:val="normaltextrun"/>
          <w:noProof/>
          <w:color w:val="000000"/>
          <w:shd w:val="clear" w:color="auto" w:fill="FFFFFF"/>
        </w:rPr>
        <w:t xml:space="preserve">, resulting in a total </w:t>
      </w:r>
      <w:r w:rsidR="007503FF" w:rsidRPr="00CE2185">
        <w:rPr>
          <w:rStyle w:val="normaltextrun"/>
          <w:b/>
          <w:bCs/>
          <w:noProof/>
          <w:color w:val="000000"/>
          <w:shd w:val="clear" w:color="auto" w:fill="FFFFFF"/>
        </w:rPr>
        <w:t xml:space="preserve">one-off aggregated cost of EUR </w:t>
      </w:r>
      <w:r w:rsidR="00A948EF" w:rsidRPr="00CE2185">
        <w:rPr>
          <w:rStyle w:val="normaltextrun"/>
          <w:b/>
          <w:bCs/>
          <w:noProof/>
          <w:color w:val="000000"/>
          <w:shd w:val="clear" w:color="auto" w:fill="FFFFFF"/>
        </w:rPr>
        <w:t>5.2</w:t>
      </w:r>
      <w:r w:rsidR="007503FF" w:rsidRPr="00CE2185">
        <w:rPr>
          <w:rStyle w:val="normaltextrun"/>
          <w:b/>
          <w:bCs/>
          <w:noProof/>
          <w:color w:val="000000"/>
          <w:shd w:val="clear" w:color="auto" w:fill="FFFFFF"/>
        </w:rPr>
        <w:t xml:space="preserve"> billion</w:t>
      </w:r>
      <w:r w:rsidR="007503FF" w:rsidRPr="00CE2185">
        <w:rPr>
          <w:rStyle w:val="normaltextrun"/>
          <w:noProof/>
          <w:color w:val="000000"/>
          <w:shd w:val="clear" w:color="auto" w:fill="FFFFFF"/>
        </w:rPr>
        <w:t xml:space="preserve"> for businesses in Europe. If these transition adaptations were to be applied only by the ca. 2</w:t>
      </w:r>
      <w:r w:rsidR="00E31B1E" w:rsidRPr="00CE2185">
        <w:rPr>
          <w:rStyle w:val="normaltextrun"/>
          <w:noProof/>
          <w:color w:val="000000"/>
          <w:shd w:val="clear" w:color="auto" w:fill="FFFFFF"/>
        </w:rPr>
        <w:t>2</w:t>
      </w:r>
      <w:r w:rsidR="007503FF" w:rsidRPr="00CE2185">
        <w:rPr>
          <w:rStyle w:val="normaltextrun"/>
          <w:noProof/>
          <w:color w:val="000000"/>
          <w:shd w:val="clear" w:color="auto" w:fill="FFFFFF"/>
        </w:rPr>
        <w:t xml:space="preserve"> 000 financial institutions under DORA, this transition would result in a total one-off aggregated cost of </w:t>
      </w:r>
      <w:r w:rsidR="007503FF" w:rsidRPr="00CE2185">
        <w:rPr>
          <w:rStyle w:val="normaltextrun"/>
          <w:b/>
          <w:bCs/>
          <w:noProof/>
          <w:color w:val="000000"/>
          <w:shd w:val="clear" w:color="auto" w:fill="FFFFFF"/>
        </w:rPr>
        <w:t xml:space="preserve">EUR </w:t>
      </w:r>
      <w:r w:rsidR="00D91E79" w:rsidRPr="00CE2185">
        <w:rPr>
          <w:rStyle w:val="normaltextrun"/>
          <w:b/>
          <w:bCs/>
          <w:noProof/>
          <w:color w:val="000000"/>
          <w:shd w:val="clear" w:color="auto" w:fill="FFFFFF"/>
        </w:rPr>
        <w:t>627</w:t>
      </w:r>
      <w:r w:rsidR="007503FF" w:rsidRPr="00CE2185">
        <w:rPr>
          <w:rStyle w:val="normaltextrun"/>
          <w:b/>
          <w:bCs/>
          <w:noProof/>
          <w:color w:val="000000"/>
          <w:shd w:val="clear" w:color="auto" w:fill="FFFFFF"/>
        </w:rPr>
        <w:t xml:space="preserve"> million</w:t>
      </w:r>
      <w:r w:rsidR="007503FF" w:rsidRPr="00CE2185">
        <w:rPr>
          <w:rStyle w:val="normaltextrun"/>
          <w:noProof/>
          <w:color w:val="000000"/>
          <w:shd w:val="clear" w:color="auto" w:fill="FFFFFF"/>
        </w:rPr>
        <w:t>.</w:t>
      </w:r>
      <w:r w:rsidR="004E37B0" w:rsidRPr="00CE2185">
        <w:rPr>
          <w:rStyle w:val="normaltextrun"/>
          <w:noProof/>
          <w:color w:val="000000"/>
          <w:shd w:val="clear" w:color="auto" w:fill="FFFFFF"/>
        </w:rPr>
        <w:t xml:space="preserve"> At the same time, the</w:t>
      </w:r>
      <w:r w:rsidR="008D5252" w:rsidRPr="00CE2185">
        <w:rPr>
          <w:rStyle w:val="normaltextrun"/>
          <w:noProof/>
          <w:color w:val="000000"/>
          <w:shd w:val="clear" w:color="auto" w:fill="FFFFFF"/>
        </w:rPr>
        <w:t>se</w:t>
      </w:r>
      <w:r w:rsidR="004E37B0" w:rsidRPr="00CE2185">
        <w:rPr>
          <w:rStyle w:val="normaltextrun"/>
          <w:noProof/>
          <w:color w:val="000000"/>
          <w:shd w:val="clear" w:color="auto" w:fill="FFFFFF"/>
        </w:rPr>
        <w:t xml:space="preserve"> would be offset by significant longer</w:t>
      </w:r>
      <w:r w:rsidR="00311580" w:rsidRPr="00CE2185">
        <w:rPr>
          <w:rStyle w:val="normaltextrun"/>
          <w:noProof/>
          <w:color w:val="000000"/>
          <w:shd w:val="clear" w:color="auto" w:fill="FFFFFF"/>
        </w:rPr>
        <w:t>-</w:t>
      </w:r>
      <w:r w:rsidR="004E37B0" w:rsidRPr="00CE2185">
        <w:rPr>
          <w:rStyle w:val="normaltextrun"/>
          <w:noProof/>
          <w:color w:val="000000"/>
          <w:shd w:val="clear" w:color="auto" w:fill="FFFFFF"/>
        </w:rPr>
        <w:t>term saving</w:t>
      </w:r>
      <w:r w:rsidR="008D5252" w:rsidRPr="00CE2185">
        <w:rPr>
          <w:rStyle w:val="normaltextrun"/>
          <w:noProof/>
          <w:color w:val="000000"/>
          <w:shd w:val="clear" w:color="auto" w:fill="FFFFFF"/>
        </w:rPr>
        <w:t>s</w:t>
      </w:r>
      <w:r w:rsidR="004E37B0" w:rsidRPr="00CE2185">
        <w:rPr>
          <w:rStyle w:val="normaltextrun"/>
          <w:noProof/>
          <w:color w:val="000000"/>
          <w:shd w:val="clear" w:color="auto" w:fill="FFFFFF"/>
        </w:rPr>
        <w:t xml:space="preserve">, as explained </w:t>
      </w:r>
      <w:r w:rsidR="005F7C5D" w:rsidRPr="00CE2185">
        <w:rPr>
          <w:rStyle w:val="normaltextrun"/>
          <w:noProof/>
          <w:color w:val="000000"/>
          <w:shd w:val="clear" w:color="auto" w:fill="FFFFFF"/>
        </w:rPr>
        <w:t>in the following section</w:t>
      </w:r>
      <w:r w:rsidR="004E37B0" w:rsidRPr="00CE2185">
        <w:rPr>
          <w:rStyle w:val="normaltextrun"/>
          <w:noProof/>
          <w:color w:val="000000"/>
          <w:shd w:val="clear" w:color="auto" w:fill="FFFFFF"/>
        </w:rPr>
        <w:t>.</w:t>
      </w:r>
      <w:r w:rsidR="00F51111" w:rsidRPr="00CE2185">
        <w:rPr>
          <w:rStyle w:val="normaltextrun"/>
          <w:noProof/>
          <w:color w:val="000000"/>
          <w:shd w:val="clear" w:color="auto" w:fill="FFFFFF"/>
        </w:rPr>
        <w:t xml:space="preserve"> </w:t>
      </w:r>
      <w:r w:rsidR="005F7C5D" w:rsidRPr="00CE2185">
        <w:rPr>
          <w:rStyle w:val="normaltextrun"/>
          <w:noProof/>
          <w:color w:val="000000"/>
          <w:shd w:val="clear" w:color="auto" w:fill="FFFFFF"/>
        </w:rPr>
        <w:t>Regarding</w:t>
      </w:r>
      <w:r w:rsidR="001D4562" w:rsidRPr="00CE2185">
        <w:rPr>
          <w:rStyle w:val="normaltextrun"/>
          <w:noProof/>
          <w:color w:val="000000"/>
          <w:shd w:val="clear" w:color="auto" w:fill="FFFFFF"/>
        </w:rPr>
        <w:t xml:space="preserve"> ransomware reporting</w:t>
      </w:r>
      <w:r w:rsidR="002F594D" w:rsidRPr="00CE2185">
        <w:rPr>
          <w:rStyle w:val="normaltextrun"/>
          <w:noProof/>
          <w:color w:val="000000"/>
          <w:shd w:val="clear" w:color="auto" w:fill="FFFFFF"/>
        </w:rPr>
        <w:t xml:space="preserve"> and </w:t>
      </w:r>
      <w:r w:rsidR="00CA230E" w:rsidRPr="00CE2185">
        <w:rPr>
          <w:rStyle w:val="normaltextrun"/>
          <w:noProof/>
          <w:color w:val="000000"/>
          <w:shd w:val="clear" w:color="auto" w:fill="FFFFFF"/>
        </w:rPr>
        <w:t xml:space="preserve">questionnaires for NIS2 entities’ </w:t>
      </w:r>
      <w:r w:rsidR="002F594D" w:rsidRPr="00CE2185">
        <w:rPr>
          <w:rStyle w:val="normaltextrun"/>
          <w:noProof/>
          <w:color w:val="000000"/>
          <w:shd w:val="clear" w:color="auto" w:fill="FFFFFF"/>
        </w:rPr>
        <w:t>suppl</w:t>
      </w:r>
      <w:r w:rsidR="00CA230E" w:rsidRPr="00CE2185">
        <w:rPr>
          <w:rStyle w:val="normaltextrun"/>
          <w:noProof/>
          <w:color w:val="000000"/>
          <w:shd w:val="clear" w:color="auto" w:fill="FFFFFF"/>
        </w:rPr>
        <w:t>iers</w:t>
      </w:r>
      <w:r w:rsidR="005D749B" w:rsidRPr="00CE2185">
        <w:rPr>
          <w:rStyle w:val="normaltextrun"/>
          <w:noProof/>
          <w:color w:val="000000"/>
          <w:shd w:val="clear" w:color="auto" w:fill="FFFFFF"/>
        </w:rPr>
        <w:t>, the same con</w:t>
      </w:r>
      <w:r w:rsidR="003222CF" w:rsidRPr="00CE2185">
        <w:rPr>
          <w:rStyle w:val="normaltextrun"/>
          <w:noProof/>
          <w:color w:val="000000"/>
          <w:shd w:val="clear" w:color="auto" w:fill="FFFFFF"/>
        </w:rPr>
        <w:t xml:space="preserve">siderations </w:t>
      </w:r>
      <w:r w:rsidR="00F73122" w:rsidRPr="00CE2185">
        <w:rPr>
          <w:rStyle w:val="normaltextrun"/>
          <w:noProof/>
          <w:color w:val="000000"/>
          <w:shd w:val="clear" w:color="auto" w:fill="FFFFFF"/>
        </w:rPr>
        <w:t>apply as under Option C.2</w:t>
      </w:r>
      <w:r w:rsidR="005F7C5D" w:rsidRPr="00CE2185">
        <w:rPr>
          <w:rStyle w:val="normaltextrun"/>
          <w:noProof/>
          <w:color w:val="000000"/>
          <w:shd w:val="clear" w:color="auto" w:fill="FFFFFF"/>
        </w:rPr>
        <w:t>: no significant one-off adjustment costs are expected</w:t>
      </w:r>
      <w:r w:rsidR="00F73122" w:rsidRPr="00CE2185">
        <w:rPr>
          <w:rStyle w:val="normaltextrun"/>
          <w:noProof/>
          <w:color w:val="000000"/>
          <w:shd w:val="clear" w:color="auto" w:fill="FFFFFF"/>
        </w:rPr>
        <w:t>.</w:t>
      </w:r>
      <w:r w:rsidR="002F594D" w:rsidRPr="00CE2185">
        <w:rPr>
          <w:rStyle w:val="normaltextrun"/>
          <w:noProof/>
          <w:color w:val="000000"/>
          <w:shd w:val="clear" w:color="auto" w:fill="FFFFFF"/>
        </w:rPr>
        <w:t xml:space="preserve"> </w:t>
      </w:r>
      <w:r w:rsidR="00F51111" w:rsidRPr="00CE2185">
        <w:rPr>
          <w:rStyle w:val="normaltextrun"/>
          <w:noProof/>
          <w:color w:val="000000"/>
          <w:shd w:val="clear" w:color="auto" w:fill="FFFFFF"/>
        </w:rPr>
        <w:t xml:space="preserve">Regarding </w:t>
      </w:r>
      <w:r w:rsidR="00F51111" w:rsidRPr="00CE2185">
        <w:rPr>
          <w:rStyle w:val="normaltextrun"/>
          <w:b/>
          <w:bCs/>
          <w:noProof/>
          <w:color w:val="000000"/>
          <w:shd w:val="clear" w:color="auto" w:fill="FFFFFF"/>
        </w:rPr>
        <w:t>ENISA</w:t>
      </w:r>
      <w:r w:rsidR="00F51111" w:rsidRPr="00CE2185">
        <w:rPr>
          <w:rStyle w:val="normaltextrun"/>
          <w:noProof/>
          <w:color w:val="000000"/>
          <w:shd w:val="clear" w:color="auto" w:fill="FFFFFF"/>
        </w:rPr>
        <w:t xml:space="preserve">, additional costs for assisting Member State in the supervision of multi-country entities </w:t>
      </w:r>
      <w:r w:rsidR="008218F7" w:rsidRPr="00CE2185">
        <w:rPr>
          <w:rStyle w:val="normaltextrun"/>
          <w:noProof/>
          <w:color w:val="000000"/>
          <w:shd w:val="clear" w:color="auto" w:fill="FFFFFF"/>
        </w:rPr>
        <w:t xml:space="preserve">would occur as in </w:t>
      </w:r>
      <w:r w:rsidR="00F51111" w:rsidRPr="00CE2185">
        <w:rPr>
          <w:rStyle w:val="normaltextrun"/>
          <w:noProof/>
          <w:color w:val="000000"/>
          <w:shd w:val="clear" w:color="auto" w:fill="FFFFFF"/>
        </w:rPr>
        <w:t>option C.2</w:t>
      </w:r>
      <w:r w:rsidR="008218F7" w:rsidRPr="00CE2185">
        <w:rPr>
          <w:rStyle w:val="normaltextrun"/>
          <w:noProof/>
          <w:color w:val="000000"/>
          <w:shd w:val="clear" w:color="auto" w:fill="FFFFFF"/>
        </w:rPr>
        <w:t xml:space="preserve">. </w:t>
      </w:r>
      <w:r w:rsidR="004E72A5" w:rsidRPr="00CE2185">
        <w:rPr>
          <w:rFonts w:eastAsia="Times New Roman"/>
          <w:noProof/>
          <w:lang w:val="en-US"/>
        </w:rPr>
        <w:t xml:space="preserve">For </w:t>
      </w:r>
      <w:r w:rsidR="004E72A5" w:rsidRPr="00CE2185">
        <w:rPr>
          <w:rFonts w:eastAsia="Times New Roman"/>
          <w:b/>
          <w:bCs/>
          <w:noProof/>
          <w:lang w:val="en-US"/>
        </w:rPr>
        <w:t>Member States</w:t>
      </w:r>
      <w:r w:rsidR="004E72A5" w:rsidRPr="00CE2185">
        <w:rPr>
          <w:rFonts w:eastAsia="Times New Roman"/>
          <w:noProof/>
          <w:lang w:val="en-US"/>
        </w:rPr>
        <w:t xml:space="preserve">, one-off adjustment costs would occur for </w:t>
      </w:r>
      <w:r w:rsidR="00254AF2" w:rsidRPr="00CE2185">
        <w:rPr>
          <w:rFonts w:eastAsia="Times New Roman"/>
          <w:noProof/>
          <w:lang w:val="en-US"/>
        </w:rPr>
        <w:t xml:space="preserve">training new or </w:t>
      </w:r>
      <w:r w:rsidR="004E72A5" w:rsidRPr="00CE2185">
        <w:rPr>
          <w:rFonts w:eastAsia="Times New Roman"/>
          <w:noProof/>
          <w:lang w:val="en-US"/>
        </w:rPr>
        <w:t xml:space="preserve">updating the training of personnel in charge of supervision and enforcement </w:t>
      </w:r>
      <w:r w:rsidR="00AC3F56" w:rsidRPr="00CE2185">
        <w:rPr>
          <w:rFonts w:eastAsia="Times New Roman"/>
          <w:noProof/>
          <w:lang w:val="en-US"/>
        </w:rPr>
        <w:t xml:space="preserve">of the </w:t>
      </w:r>
      <w:r w:rsidR="00015ED7" w:rsidRPr="00CE2185">
        <w:rPr>
          <w:rFonts w:eastAsia="Times New Roman"/>
          <w:noProof/>
          <w:lang w:val="en-US"/>
        </w:rPr>
        <w:t xml:space="preserve">respective </w:t>
      </w:r>
      <w:r w:rsidR="00AC3F56" w:rsidRPr="00CE2185">
        <w:rPr>
          <w:rFonts w:eastAsia="Times New Roman"/>
          <w:noProof/>
          <w:lang w:val="en-US"/>
        </w:rPr>
        <w:t>legal acts</w:t>
      </w:r>
      <w:r w:rsidR="004E72A5" w:rsidRPr="00CE2185">
        <w:rPr>
          <w:rFonts w:eastAsia="Times New Roman"/>
          <w:noProof/>
          <w:lang w:val="en-US"/>
        </w:rPr>
        <w:t xml:space="preserve">. </w:t>
      </w:r>
      <w:r w:rsidR="009C4443" w:rsidRPr="00CE2185">
        <w:rPr>
          <w:rFonts w:eastAsia="Times New Roman"/>
          <w:noProof/>
          <w:lang w:val="en-US"/>
        </w:rPr>
        <w:t xml:space="preserve">Under the assumption that a training </w:t>
      </w:r>
      <w:r w:rsidR="00F01183" w:rsidRPr="00CE2185">
        <w:rPr>
          <w:rFonts w:eastAsia="Times New Roman"/>
          <w:noProof/>
          <w:lang w:val="en-US"/>
        </w:rPr>
        <w:t xml:space="preserve">may </w:t>
      </w:r>
      <w:r w:rsidR="009C4443" w:rsidRPr="00CE2185">
        <w:rPr>
          <w:rFonts w:eastAsia="Times New Roman"/>
          <w:noProof/>
          <w:lang w:val="en-US"/>
        </w:rPr>
        <w:t xml:space="preserve">cost EUR </w:t>
      </w:r>
      <w:r w:rsidR="003C46E6" w:rsidRPr="00CE2185">
        <w:rPr>
          <w:rFonts w:eastAsia="Times New Roman"/>
          <w:noProof/>
          <w:lang w:val="en-US"/>
        </w:rPr>
        <w:t>6</w:t>
      </w:r>
      <w:r w:rsidR="009C4443" w:rsidRPr="00CE2185">
        <w:rPr>
          <w:rFonts w:eastAsia="Times New Roman"/>
          <w:noProof/>
          <w:lang w:val="en-US"/>
        </w:rPr>
        <w:t xml:space="preserve">00 </w:t>
      </w:r>
      <w:r w:rsidR="007E5F8E" w:rsidRPr="00CE2185">
        <w:rPr>
          <w:rFonts w:eastAsia="Times New Roman"/>
          <w:noProof/>
          <w:lang w:val="en-US"/>
        </w:rPr>
        <w:t>(</w:t>
      </w:r>
      <w:r w:rsidR="007E5F8E" w:rsidRPr="00CE2185">
        <w:rPr>
          <w:rFonts w:eastAsia="Times New Roman"/>
          <w:i/>
          <w:iCs/>
          <w:noProof/>
          <w:lang w:val="en-US"/>
        </w:rPr>
        <w:t>see</w:t>
      </w:r>
      <w:r w:rsidR="007E5F8E" w:rsidRPr="00CE2185">
        <w:rPr>
          <w:rFonts w:eastAsia="Times New Roman"/>
          <w:noProof/>
          <w:lang w:val="en-US"/>
        </w:rPr>
        <w:t xml:space="preserve"> </w:t>
      </w:r>
      <w:r w:rsidR="007E5F8E" w:rsidRPr="00CE2185">
        <w:rPr>
          <w:rFonts w:eastAsia="Times New Roman"/>
          <w:i/>
          <w:iCs/>
          <w:noProof/>
          <w:lang w:val="en-US"/>
        </w:rPr>
        <w:t xml:space="preserve">Annex </w:t>
      </w:r>
      <w:r w:rsidR="002B5069" w:rsidRPr="00CE2185">
        <w:rPr>
          <w:rFonts w:eastAsia="Times New Roman"/>
          <w:i/>
          <w:iCs/>
          <w:noProof/>
          <w:lang w:val="en-US"/>
        </w:rPr>
        <w:t>4</w:t>
      </w:r>
      <w:r w:rsidR="00B16B74" w:rsidRPr="00CE2185">
        <w:rPr>
          <w:rFonts w:eastAsia="Times New Roman"/>
          <w:i/>
          <w:iCs/>
          <w:noProof/>
          <w:lang w:val="en-US"/>
        </w:rPr>
        <w:t>, section 4.3</w:t>
      </w:r>
      <w:r w:rsidR="00860367" w:rsidRPr="00CE2185">
        <w:rPr>
          <w:rFonts w:eastAsia="Times New Roman"/>
          <w:i/>
          <w:iCs/>
          <w:noProof/>
          <w:lang w:val="en-US"/>
        </w:rPr>
        <w:t>.</w:t>
      </w:r>
      <w:r w:rsidR="002B5069" w:rsidRPr="00CE2185">
        <w:rPr>
          <w:rFonts w:eastAsia="Times New Roman"/>
          <w:i/>
          <w:iCs/>
          <w:noProof/>
          <w:lang w:val="en-US"/>
        </w:rPr>
        <w:t>4</w:t>
      </w:r>
      <w:r w:rsidR="007E5F8E" w:rsidRPr="00CE2185">
        <w:rPr>
          <w:rFonts w:eastAsia="Times New Roman"/>
          <w:noProof/>
          <w:lang w:val="en-US"/>
        </w:rPr>
        <w:t xml:space="preserve">) </w:t>
      </w:r>
      <w:r w:rsidR="009C4443" w:rsidRPr="00CE2185">
        <w:rPr>
          <w:rFonts w:eastAsia="Times New Roman"/>
          <w:noProof/>
          <w:lang w:val="en-US"/>
        </w:rPr>
        <w:t xml:space="preserve">and </w:t>
      </w:r>
      <w:r w:rsidR="007E5F8E" w:rsidRPr="00CE2185">
        <w:rPr>
          <w:rFonts w:eastAsia="Times New Roman"/>
          <w:noProof/>
          <w:lang w:val="en-US"/>
        </w:rPr>
        <w:t>an</w:t>
      </w:r>
      <w:r w:rsidR="00C16C72" w:rsidRPr="00CE2185">
        <w:rPr>
          <w:rFonts w:eastAsia="Times New Roman"/>
          <w:noProof/>
          <w:lang w:val="en-US"/>
        </w:rPr>
        <w:t xml:space="preserve"> average </w:t>
      </w:r>
      <w:r w:rsidR="007E5F8E" w:rsidRPr="00CE2185">
        <w:rPr>
          <w:rFonts w:eastAsia="Times New Roman"/>
          <w:noProof/>
          <w:lang w:val="en-US"/>
        </w:rPr>
        <w:t>of</w:t>
      </w:r>
      <w:r w:rsidR="00C16C72" w:rsidRPr="00CE2185">
        <w:rPr>
          <w:rFonts w:eastAsia="Times New Roman"/>
          <w:noProof/>
          <w:lang w:val="en-US"/>
        </w:rPr>
        <w:t xml:space="preserve"> 10 </w:t>
      </w:r>
      <w:r w:rsidR="007E5F8E" w:rsidRPr="00CE2185">
        <w:rPr>
          <w:rFonts w:eastAsia="Times New Roman"/>
          <w:noProof/>
          <w:lang w:val="en-US"/>
        </w:rPr>
        <w:t>staff</w:t>
      </w:r>
      <w:r w:rsidR="00C16C72" w:rsidRPr="00CE2185">
        <w:rPr>
          <w:rFonts w:eastAsia="Times New Roman"/>
          <w:noProof/>
          <w:lang w:val="en-US"/>
        </w:rPr>
        <w:t xml:space="preserve"> per Member State, an estimate </w:t>
      </w:r>
      <w:r w:rsidR="007A1E3C" w:rsidRPr="00CE2185">
        <w:rPr>
          <w:rFonts w:eastAsia="Times New Roman"/>
          <w:noProof/>
          <w:lang w:val="en-US"/>
        </w:rPr>
        <w:t xml:space="preserve">total </w:t>
      </w:r>
      <w:r w:rsidR="007A1E3C" w:rsidRPr="00CE2185">
        <w:rPr>
          <w:rFonts w:eastAsia="Times New Roman"/>
          <w:b/>
          <w:bCs/>
          <w:noProof/>
          <w:lang w:val="en-US"/>
        </w:rPr>
        <w:t xml:space="preserve">one-off </w:t>
      </w:r>
      <w:r w:rsidR="00C16C72" w:rsidRPr="00CE2185">
        <w:rPr>
          <w:rFonts w:eastAsia="Times New Roman"/>
          <w:b/>
          <w:bCs/>
          <w:noProof/>
          <w:lang w:val="en-US"/>
        </w:rPr>
        <w:t xml:space="preserve">cost of </w:t>
      </w:r>
      <w:r w:rsidR="007A1E3C" w:rsidRPr="00CE2185">
        <w:rPr>
          <w:rFonts w:eastAsia="Times New Roman"/>
          <w:b/>
          <w:bCs/>
          <w:noProof/>
          <w:lang w:val="en-US"/>
        </w:rPr>
        <w:t xml:space="preserve">EUR </w:t>
      </w:r>
      <w:r w:rsidR="003C46E6" w:rsidRPr="00CE2185">
        <w:rPr>
          <w:rFonts w:eastAsia="Times New Roman"/>
          <w:b/>
          <w:bCs/>
          <w:noProof/>
          <w:lang w:val="en-US"/>
        </w:rPr>
        <w:t>162</w:t>
      </w:r>
      <w:r w:rsidR="007A1E3C" w:rsidRPr="00CE2185">
        <w:rPr>
          <w:rFonts w:eastAsia="Times New Roman"/>
          <w:b/>
          <w:bCs/>
          <w:noProof/>
          <w:lang w:val="en-US"/>
        </w:rPr>
        <w:t>.000</w:t>
      </w:r>
      <w:r w:rsidR="007A1E3C" w:rsidRPr="00CE2185">
        <w:rPr>
          <w:rFonts w:eastAsia="Times New Roman"/>
          <w:noProof/>
          <w:lang w:val="en-US"/>
        </w:rPr>
        <w:t xml:space="preserve"> would occur. </w:t>
      </w:r>
      <w:r w:rsidR="00987B68" w:rsidRPr="00CE2185">
        <w:rPr>
          <w:b/>
          <w:bCs/>
          <w:noProof/>
        </w:rPr>
        <w:t xml:space="preserve">Citizens </w:t>
      </w:r>
      <w:r w:rsidR="00987B68" w:rsidRPr="00CE2185">
        <w:rPr>
          <w:noProof/>
        </w:rPr>
        <w:t xml:space="preserve">would not bear costs linked to </w:t>
      </w:r>
      <w:r w:rsidR="00E921C6" w:rsidRPr="00CE2185">
        <w:rPr>
          <w:noProof/>
        </w:rPr>
        <w:t>option</w:t>
      </w:r>
      <w:r w:rsidR="0037454C" w:rsidRPr="00CE2185">
        <w:rPr>
          <w:noProof/>
        </w:rPr>
        <w:t xml:space="preserve"> C.3.</w:t>
      </w:r>
    </w:p>
    <w:p w14:paraId="42B137E6" w14:textId="7859A5D0" w:rsidR="00FC5383" w:rsidRPr="00CE2185" w:rsidRDefault="00FC5383" w:rsidP="001E5D9D">
      <w:pPr>
        <w:pStyle w:val="Heading7"/>
        <w:rPr>
          <w:noProof/>
        </w:rPr>
      </w:pPr>
      <w:bookmarkStart w:id="111" w:name="_Toc218767774"/>
      <w:r w:rsidRPr="00CE2185">
        <w:rPr>
          <w:noProof/>
        </w:rPr>
        <w:t>Table 1</w:t>
      </w:r>
      <w:r w:rsidR="00362531" w:rsidRPr="00CE2185">
        <w:rPr>
          <w:noProof/>
        </w:rPr>
        <w:t>2</w:t>
      </w:r>
      <w:r w:rsidR="00FA68AE">
        <w:rPr>
          <w:noProof/>
        </w:rPr>
        <w:t>:</w:t>
      </w:r>
      <w:r w:rsidRPr="00CE2185">
        <w:rPr>
          <w:noProof/>
        </w:rPr>
        <w:t xml:space="preserve"> Compliance costs of policy options C (simplification)</w:t>
      </w:r>
      <w:bookmarkEnd w:id="111"/>
    </w:p>
    <w:tbl>
      <w:tblPr>
        <w:tblStyle w:val="TableGrid"/>
        <w:tblW w:w="0" w:type="auto"/>
        <w:tblLook w:val="04A0" w:firstRow="1" w:lastRow="0" w:firstColumn="1" w:lastColumn="0" w:noHBand="0" w:noVBand="1"/>
      </w:tblPr>
      <w:tblGrid>
        <w:gridCol w:w="1242"/>
        <w:gridCol w:w="1773"/>
        <w:gridCol w:w="2424"/>
        <w:gridCol w:w="3424"/>
      </w:tblGrid>
      <w:tr w:rsidR="0032122C" w:rsidRPr="00CE2185" w14:paraId="76E67FDE" w14:textId="77777777" w:rsidTr="00416674">
        <w:tc>
          <w:tcPr>
            <w:tcW w:w="1242" w:type="dxa"/>
            <w:vMerge w:val="restart"/>
            <w:shd w:val="clear" w:color="auto" w:fill="EAF1DD" w:themeFill="accent3" w:themeFillTint="33"/>
            <w:vAlign w:val="center"/>
          </w:tcPr>
          <w:p w14:paraId="32818348" w14:textId="6092E20C" w:rsidR="0032122C" w:rsidRPr="00CE2185" w:rsidRDefault="0032122C" w:rsidP="00F81E78">
            <w:pPr>
              <w:spacing w:after="0"/>
              <w:jc w:val="center"/>
              <w:rPr>
                <w:noProof/>
                <w:sz w:val="20"/>
                <w:szCs w:val="20"/>
              </w:rPr>
            </w:pPr>
            <w:r w:rsidRPr="00CE2185">
              <w:rPr>
                <w:b/>
                <w:noProof/>
                <w:sz w:val="20"/>
                <w:szCs w:val="20"/>
              </w:rPr>
              <w:t xml:space="preserve">Compliance costs </w:t>
            </w:r>
          </w:p>
        </w:tc>
        <w:tc>
          <w:tcPr>
            <w:tcW w:w="8044" w:type="dxa"/>
            <w:gridSpan w:val="3"/>
            <w:shd w:val="clear" w:color="auto" w:fill="B7CFED"/>
            <w:vAlign w:val="center"/>
          </w:tcPr>
          <w:p w14:paraId="2D9637C6" w14:textId="77777777" w:rsidR="0032122C" w:rsidRPr="00CE2185" w:rsidRDefault="0032122C" w:rsidP="00F81E78">
            <w:pPr>
              <w:spacing w:after="0"/>
              <w:jc w:val="center"/>
              <w:rPr>
                <w:noProof/>
                <w:sz w:val="20"/>
                <w:szCs w:val="20"/>
              </w:rPr>
            </w:pPr>
            <w:r w:rsidRPr="00CE2185">
              <w:rPr>
                <w:b/>
                <w:noProof/>
                <w:sz w:val="20"/>
                <w:szCs w:val="20"/>
              </w:rPr>
              <w:t>Policy options [Simplification]</w:t>
            </w:r>
          </w:p>
        </w:tc>
      </w:tr>
      <w:tr w:rsidR="0032122C" w:rsidRPr="00CE2185" w14:paraId="640554FC" w14:textId="77777777" w:rsidTr="00416674">
        <w:tc>
          <w:tcPr>
            <w:tcW w:w="1242" w:type="dxa"/>
            <w:vMerge/>
            <w:vAlign w:val="center"/>
          </w:tcPr>
          <w:p w14:paraId="03C458CB" w14:textId="77777777" w:rsidR="0032122C" w:rsidRPr="00CE2185" w:rsidRDefault="0032122C" w:rsidP="00F81E78">
            <w:pPr>
              <w:spacing w:after="0"/>
              <w:jc w:val="center"/>
              <w:rPr>
                <w:noProof/>
                <w:sz w:val="20"/>
                <w:szCs w:val="20"/>
              </w:rPr>
            </w:pPr>
          </w:p>
        </w:tc>
        <w:tc>
          <w:tcPr>
            <w:tcW w:w="1843" w:type="dxa"/>
            <w:shd w:val="clear" w:color="auto" w:fill="E1EBF7"/>
            <w:vAlign w:val="center"/>
          </w:tcPr>
          <w:p w14:paraId="1E8F2204" w14:textId="77777777" w:rsidR="0032122C" w:rsidRPr="00CE2185" w:rsidRDefault="0032122C" w:rsidP="00F81E78">
            <w:pPr>
              <w:spacing w:after="0"/>
              <w:jc w:val="center"/>
              <w:rPr>
                <w:b/>
                <w:noProof/>
                <w:sz w:val="20"/>
                <w:szCs w:val="20"/>
              </w:rPr>
            </w:pPr>
            <w:r w:rsidRPr="00CE2185">
              <w:rPr>
                <w:b/>
                <w:noProof/>
                <w:sz w:val="20"/>
                <w:szCs w:val="20"/>
              </w:rPr>
              <w:t>C1</w:t>
            </w:r>
          </w:p>
        </w:tc>
        <w:tc>
          <w:tcPr>
            <w:tcW w:w="2552" w:type="dxa"/>
            <w:shd w:val="clear" w:color="auto" w:fill="E1EBF7"/>
            <w:vAlign w:val="center"/>
          </w:tcPr>
          <w:p w14:paraId="7418A4C1" w14:textId="77777777" w:rsidR="0032122C" w:rsidRPr="00CE2185" w:rsidRDefault="0032122C" w:rsidP="00F81E78">
            <w:pPr>
              <w:spacing w:after="0"/>
              <w:jc w:val="center"/>
              <w:rPr>
                <w:b/>
                <w:noProof/>
                <w:sz w:val="20"/>
                <w:szCs w:val="20"/>
              </w:rPr>
            </w:pPr>
            <w:r w:rsidRPr="00CE2185">
              <w:rPr>
                <w:b/>
                <w:noProof/>
                <w:sz w:val="20"/>
                <w:szCs w:val="20"/>
              </w:rPr>
              <w:t>C2</w:t>
            </w:r>
          </w:p>
        </w:tc>
        <w:tc>
          <w:tcPr>
            <w:tcW w:w="3649" w:type="dxa"/>
            <w:shd w:val="clear" w:color="auto" w:fill="E1EBF7"/>
            <w:vAlign w:val="center"/>
          </w:tcPr>
          <w:p w14:paraId="70756DE1" w14:textId="77777777" w:rsidR="0032122C" w:rsidRPr="00CE2185" w:rsidRDefault="0032122C" w:rsidP="00F81E78">
            <w:pPr>
              <w:spacing w:after="0"/>
              <w:jc w:val="center"/>
              <w:rPr>
                <w:b/>
                <w:noProof/>
                <w:sz w:val="20"/>
                <w:szCs w:val="20"/>
              </w:rPr>
            </w:pPr>
            <w:r w:rsidRPr="00CE2185">
              <w:rPr>
                <w:b/>
                <w:noProof/>
                <w:sz w:val="20"/>
                <w:szCs w:val="20"/>
              </w:rPr>
              <w:t>C3</w:t>
            </w:r>
          </w:p>
        </w:tc>
      </w:tr>
      <w:tr w:rsidR="0032122C" w:rsidRPr="00CE2185" w14:paraId="5EB9D46F" w14:textId="77777777" w:rsidTr="00416674">
        <w:trPr>
          <w:trHeight w:val="689"/>
        </w:trPr>
        <w:tc>
          <w:tcPr>
            <w:tcW w:w="1242" w:type="dxa"/>
          </w:tcPr>
          <w:p w14:paraId="3B9A3851" w14:textId="1058E471" w:rsidR="0032122C" w:rsidRPr="00CE2185" w:rsidRDefault="0032122C" w:rsidP="00F81E78">
            <w:pPr>
              <w:spacing w:after="0"/>
              <w:rPr>
                <w:noProof/>
                <w:sz w:val="20"/>
                <w:szCs w:val="20"/>
              </w:rPr>
            </w:pPr>
            <w:r w:rsidRPr="00CE2185">
              <w:rPr>
                <w:noProof/>
                <w:sz w:val="20"/>
                <w:szCs w:val="20"/>
              </w:rPr>
              <w:t>Businesses</w:t>
            </w:r>
          </w:p>
        </w:tc>
        <w:tc>
          <w:tcPr>
            <w:tcW w:w="1843" w:type="dxa"/>
          </w:tcPr>
          <w:p w14:paraId="266F3D11" w14:textId="4A866B38" w:rsidR="0032122C" w:rsidRPr="00CE2185" w:rsidRDefault="00A07030" w:rsidP="001F7B00">
            <w:pPr>
              <w:spacing w:after="0"/>
              <w:jc w:val="left"/>
              <w:rPr>
                <w:noProof/>
                <w:sz w:val="20"/>
                <w:szCs w:val="20"/>
              </w:rPr>
            </w:pPr>
            <w:r w:rsidRPr="00CE2185">
              <w:rPr>
                <w:noProof/>
                <w:sz w:val="20"/>
                <w:szCs w:val="20"/>
              </w:rPr>
              <w:t xml:space="preserve">Minor </w:t>
            </w:r>
            <w:r w:rsidR="005A7BA8" w:rsidRPr="00CE2185">
              <w:rPr>
                <w:noProof/>
                <w:sz w:val="20"/>
                <w:szCs w:val="20"/>
              </w:rPr>
              <w:t>One-off adjustment costs</w:t>
            </w:r>
            <w:r w:rsidR="00FD391A" w:rsidRPr="00CE2185">
              <w:rPr>
                <w:noProof/>
                <w:sz w:val="20"/>
                <w:szCs w:val="20"/>
              </w:rPr>
              <w:t xml:space="preserve"> </w:t>
            </w:r>
            <w:r w:rsidR="00AB227F" w:rsidRPr="00CE2185">
              <w:rPr>
                <w:noProof/>
                <w:sz w:val="20"/>
                <w:szCs w:val="20"/>
              </w:rPr>
              <w:t>0/-</w:t>
            </w:r>
          </w:p>
        </w:tc>
        <w:tc>
          <w:tcPr>
            <w:tcW w:w="2552" w:type="dxa"/>
          </w:tcPr>
          <w:p w14:paraId="14866D26" w14:textId="76359D6E" w:rsidR="0032122C" w:rsidRPr="00CE2185" w:rsidRDefault="00B02E26" w:rsidP="00EE3DF9">
            <w:pPr>
              <w:pStyle w:val="ListParagraph"/>
              <w:numPr>
                <w:ilvl w:val="0"/>
                <w:numId w:val="29"/>
              </w:numPr>
              <w:spacing w:after="0"/>
              <w:jc w:val="left"/>
              <w:rPr>
                <w:noProof/>
                <w:sz w:val="20"/>
                <w:szCs w:val="20"/>
              </w:rPr>
            </w:pPr>
            <w:r w:rsidRPr="00CE2185">
              <w:rPr>
                <w:noProof/>
                <w:sz w:val="20"/>
                <w:szCs w:val="20"/>
              </w:rPr>
              <w:t xml:space="preserve">Minor </w:t>
            </w:r>
            <w:r w:rsidR="001F7B00" w:rsidRPr="00CE2185">
              <w:rPr>
                <w:noProof/>
                <w:sz w:val="20"/>
                <w:szCs w:val="20"/>
              </w:rPr>
              <w:t>One-off a</w:t>
            </w:r>
            <w:r w:rsidR="000E5243" w:rsidRPr="00CE2185">
              <w:rPr>
                <w:noProof/>
                <w:sz w:val="20"/>
                <w:szCs w:val="20"/>
              </w:rPr>
              <w:t>djustments costs</w:t>
            </w:r>
            <w:r w:rsidR="00A41EC6" w:rsidRPr="00CE2185">
              <w:rPr>
                <w:noProof/>
                <w:sz w:val="20"/>
                <w:szCs w:val="20"/>
              </w:rPr>
              <w:t xml:space="preserve"> </w:t>
            </w:r>
            <w:r w:rsidR="001F7B00" w:rsidRPr="00CE2185">
              <w:rPr>
                <w:noProof/>
                <w:sz w:val="20"/>
                <w:szCs w:val="20"/>
              </w:rPr>
              <w:t>&gt; C1</w:t>
            </w:r>
            <w:r w:rsidR="000472DC" w:rsidRPr="00CE2185">
              <w:rPr>
                <w:noProof/>
                <w:sz w:val="20"/>
                <w:szCs w:val="20"/>
              </w:rPr>
              <w:t xml:space="preserve"> (new measures)</w:t>
            </w:r>
          </w:p>
        </w:tc>
        <w:tc>
          <w:tcPr>
            <w:tcW w:w="3649" w:type="dxa"/>
          </w:tcPr>
          <w:p w14:paraId="04161896" w14:textId="667EC622" w:rsidR="0032122C" w:rsidRPr="00CE2185" w:rsidRDefault="00E53552" w:rsidP="00EE3DF9">
            <w:pPr>
              <w:pStyle w:val="ListParagraph"/>
              <w:numPr>
                <w:ilvl w:val="0"/>
                <w:numId w:val="29"/>
              </w:numPr>
              <w:spacing w:after="0"/>
              <w:rPr>
                <w:noProof/>
                <w:sz w:val="20"/>
                <w:szCs w:val="20"/>
              </w:rPr>
            </w:pPr>
            <w:r w:rsidRPr="00CE2185">
              <w:rPr>
                <w:noProof/>
                <w:sz w:val="20"/>
                <w:szCs w:val="20"/>
              </w:rPr>
              <w:t>One-off:</w:t>
            </w:r>
            <w:r w:rsidR="00693A07" w:rsidRPr="00CE2185">
              <w:rPr>
                <w:noProof/>
                <w:sz w:val="20"/>
                <w:szCs w:val="20"/>
              </w:rPr>
              <w:t xml:space="preserve"> </w:t>
            </w:r>
            <w:r w:rsidR="00FE3950" w:rsidRPr="00CE2185">
              <w:rPr>
                <w:noProof/>
                <w:sz w:val="20"/>
                <w:szCs w:val="20"/>
              </w:rPr>
              <w:t>A</w:t>
            </w:r>
            <w:r w:rsidR="00054EC8" w:rsidRPr="00CE2185">
              <w:rPr>
                <w:noProof/>
                <w:sz w:val="20"/>
                <w:szCs w:val="20"/>
              </w:rPr>
              <w:t>d</w:t>
            </w:r>
            <w:r w:rsidR="00FE3950" w:rsidRPr="00CE2185">
              <w:rPr>
                <w:noProof/>
                <w:sz w:val="20"/>
                <w:szCs w:val="20"/>
              </w:rPr>
              <w:t>justments costs</w:t>
            </w:r>
            <w:r w:rsidR="008218F7" w:rsidRPr="00CE2185">
              <w:rPr>
                <w:noProof/>
                <w:sz w:val="20"/>
                <w:szCs w:val="20"/>
              </w:rPr>
              <w:t xml:space="preserve"> </w:t>
            </w:r>
            <w:r w:rsidR="0070441E" w:rsidRPr="00CE2185">
              <w:rPr>
                <w:noProof/>
                <w:sz w:val="20"/>
                <w:szCs w:val="20"/>
              </w:rPr>
              <w:t>(</w:t>
            </w:r>
            <w:r w:rsidR="004948CC" w:rsidRPr="00CE2185">
              <w:rPr>
                <w:noProof/>
                <w:sz w:val="20"/>
                <w:szCs w:val="20"/>
              </w:rPr>
              <w:t xml:space="preserve">one-off - </w:t>
            </w:r>
            <w:r w:rsidR="000E49FC" w:rsidRPr="00CE2185">
              <w:rPr>
                <w:b/>
                <w:noProof/>
                <w:sz w:val="20"/>
                <w:szCs w:val="20"/>
              </w:rPr>
              <w:t>EUR 5.2 billion)</w:t>
            </w:r>
          </w:p>
        </w:tc>
      </w:tr>
      <w:tr w:rsidR="0032122C" w:rsidRPr="00CE2185" w14:paraId="2D6ED37E" w14:textId="77777777" w:rsidTr="00416674">
        <w:tc>
          <w:tcPr>
            <w:tcW w:w="1242" w:type="dxa"/>
          </w:tcPr>
          <w:p w14:paraId="1A178B08" w14:textId="6EE07003" w:rsidR="0032122C" w:rsidRPr="00CE2185" w:rsidRDefault="0032122C" w:rsidP="00F81E78">
            <w:pPr>
              <w:spacing w:after="0"/>
              <w:rPr>
                <w:noProof/>
                <w:sz w:val="20"/>
                <w:szCs w:val="20"/>
              </w:rPr>
            </w:pPr>
            <w:r w:rsidRPr="00CE2185">
              <w:rPr>
                <w:noProof/>
                <w:sz w:val="20"/>
                <w:szCs w:val="20"/>
              </w:rPr>
              <w:t>Public authorities</w:t>
            </w:r>
          </w:p>
        </w:tc>
        <w:tc>
          <w:tcPr>
            <w:tcW w:w="1843" w:type="dxa"/>
          </w:tcPr>
          <w:p w14:paraId="143D6A2E" w14:textId="0DAA8B8F" w:rsidR="0032122C" w:rsidRPr="00CE2185" w:rsidRDefault="004B45D4" w:rsidP="00F81E78">
            <w:pPr>
              <w:spacing w:after="0"/>
              <w:rPr>
                <w:noProof/>
                <w:sz w:val="20"/>
                <w:szCs w:val="20"/>
              </w:rPr>
            </w:pPr>
            <w:r w:rsidRPr="00CE2185">
              <w:rPr>
                <w:noProof/>
                <w:sz w:val="20"/>
                <w:szCs w:val="20"/>
              </w:rPr>
              <w:t xml:space="preserve">Minor </w:t>
            </w:r>
            <w:r w:rsidR="001F7B00" w:rsidRPr="00CE2185">
              <w:rPr>
                <w:noProof/>
                <w:sz w:val="20"/>
                <w:szCs w:val="20"/>
              </w:rPr>
              <w:t xml:space="preserve">One-off adjustment costs (training) </w:t>
            </w:r>
          </w:p>
        </w:tc>
        <w:tc>
          <w:tcPr>
            <w:tcW w:w="2552" w:type="dxa"/>
          </w:tcPr>
          <w:p w14:paraId="131F2A00" w14:textId="0C36A544" w:rsidR="0032122C" w:rsidRPr="00CE2185" w:rsidRDefault="00255CE8" w:rsidP="00F81E78">
            <w:pPr>
              <w:spacing w:after="0"/>
              <w:rPr>
                <w:noProof/>
                <w:sz w:val="20"/>
                <w:szCs w:val="20"/>
              </w:rPr>
            </w:pPr>
            <w:r w:rsidRPr="00CE2185">
              <w:rPr>
                <w:noProof/>
                <w:sz w:val="20"/>
                <w:szCs w:val="20"/>
              </w:rPr>
              <w:t>o</w:t>
            </w:r>
            <w:r w:rsidR="006E574E" w:rsidRPr="00CE2185">
              <w:rPr>
                <w:noProof/>
                <w:sz w:val="20"/>
                <w:szCs w:val="20"/>
              </w:rPr>
              <w:t>ne-off and recurrent a</w:t>
            </w:r>
            <w:r w:rsidR="000E5243" w:rsidRPr="00CE2185">
              <w:rPr>
                <w:noProof/>
                <w:sz w:val="20"/>
                <w:szCs w:val="20"/>
              </w:rPr>
              <w:t>djustments costs</w:t>
            </w:r>
            <w:r w:rsidR="006E574E" w:rsidRPr="00CE2185">
              <w:rPr>
                <w:noProof/>
                <w:sz w:val="20"/>
                <w:szCs w:val="20"/>
              </w:rPr>
              <w:t xml:space="preserve"> &gt; C1</w:t>
            </w:r>
            <w:r w:rsidR="00C05600" w:rsidRPr="00CE2185">
              <w:rPr>
                <w:noProof/>
                <w:sz w:val="20"/>
                <w:szCs w:val="20"/>
              </w:rPr>
              <w:t xml:space="preserve"> </w:t>
            </w:r>
          </w:p>
        </w:tc>
        <w:tc>
          <w:tcPr>
            <w:tcW w:w="3649" w:type="dxa"/>
          </w:tcPr>
          <w:p w14:paraId="2D9AF9D3" w14:textId="47C32C5D" w:rsidR="0032122C" w:rsidRPr="00CE2185" w:rsidRDefault="003C46E6" w:rsidP="00EE3DF9">
            <w:pPr>
              <w:pStyle w:val="ListParagraph"/>
              <w:numPr>
                <w:ilvl w:val="0"/>
                <w:numId w:val="28"/>
              </w:numPr>
              <w:spacing w:after="0"/>
              <w:rPr>
                <w:noProof/>
                <w:sz w:val="20"/>
                <w:szCs w:val="20"/>
              </w:rPr>
            </w:pPr>
            <w:r w:rsidRPr="00CE2185">
              <w:rPr>
                <w:b/>
                <w:noProof/>
                <w:sz w:val="20"/>
                <w:szCs w:val="20"/>
              </w:rPr>
              <w:t>EUR 162.000</w:t>
            </w:r>
            <w:r w:rsidRPr="00CE2185">
              <w:rPr>
                <w:noProof/>
                <w:sz w:val="20"/>
                <w:szCs w:val="20"/>
              </w:rPr>
              <w:t xml:space="preserve"> </w:t>
            </w:r>
            <w:r w:rsidR="004F537F" w:rsidRPr="00CE2185">
              <w:rPr>
                <w:noProof/>
                <w:sz w:val="20"/>
                <w:szCs w:val="20"/>
              </w:rPr>
              <w:t>Adjustments costs (one-off)</w:t>
            </w:r>
            <w:r w:rsidR="00E921C6" w:rsidRPr="00CE2185">
              <w:rPr>
                <w:noProof/>
                <w:sz w:val="20"/>
                <w:szCs w:val="20"/>
              </w:rPr>
              <w:t xml:space="preserve"> for training</w:t>
            </w:r>
          </w:p>
        </w:tc>
      </w:tr>
      <w:tr w:rsidR="0032122C" w:rsidRPr="00CE2185" w14:paraId="2A7DAA1F" w14:textId="77777777" w:rsidTr="00416674">
        <w:tc>
          <w:tcPr>
            <w:tcW w:w="1242" w:type="dxa"/>
          </w:tcPr>
          <w:p w14:paraId="0FB45953" w14:textId="11CDFFCB" w:rsidR="0032122C" w:rsidRPr="00CE2185" w:rsidRDefault="0032122C" w:rsidP="00F81E78">
            <w:pPr>
              <w:spacing w:after="0"/>
              <w:rPr>
                <w:noProof/>
                <w:sz w:val="20"/>
                <w:szCs w:val="20"/>
              </w:rPr>
            </w:pPr>
            <w:r w:rsidRPr="00CE2185">
              <w:rPr>
                <w:noProof/>
                <w:sz w:val="20"/>
                <w:szCs w:val="20"/>
              </w:rPr>
              <w:t>Citizens</w:t>
            </w:r>
          </w:p>
        </w:tc>
        <w:tc>
          <w:tcPr>
            <w:tcW w:w="1843" w:type="dxa"/>
          </w:tcPr>
          <w:p w14:paraId="14D382BF" w14:textId="7FA3B22D" w:rsidR="0032122C" w:rsidRPr="00CE2185" w:rsidRDefault="006E574E" w:rsidP="00F81E78">
            <w:pPr>
              <w:spacing w:after="0"/>
              <w:rPr>
                <w:noProof/>
                <w:sz w:val="20"/>
                <w:szCs w:val="20"/>
              </w:rPr>
            </w:pPr>
            <w:r w:rsidRPr="00CE2185">
              <w:rPr>
                <w:noProof/>
                <w:sz w:val="20"/>
                <w:szCs w:val="20"/>
              </w:rPr>
              <w:t>0</w:t>
            </w:r>
          </w:p>
        </w:tc>
        <w:tc>
          <w:tcPr>
            <w:tcW w:w="2552" w:type="dxa"/>
          </w:tcPr>
          <w:p w14:paraId="114B98B4" w14:textId="60E80AEC" w:rsidR="0032122C" w:rsidRPr="00CE2185" w:rsidRDefault="006E574E" w:rsidP="00F81E78">
            <w:pPr>
              <w:spacing w:after="0"/>
              <w:rPr>
                <w:noProof/>
                <w:sz w:val="20"/>
                <w:szCs w:val="20"/>
              </w:rPr>
            </w:pPr>
            <w:r w:rsidRPr="00CE2185">
              <w:rPr>
                <w:noProof/>
                <w:sz w:val="20"/>
                <w:szCs w:val="20"/>
              </w:rPr>
              <w:t>0</w:t>
            </w:r>
          </w:p>
        </w:tc>
        <w:tc>
          <w:tcPr>
            <w:tcW w:w="3649" w:type="dxa"/>
          </w:tcPr>
          <w:p w14:paraId="1C2DF787" w14:textId="41B60885" w:rsidR="0032122C" w:rsidRPr="00CE2185" w:rsidRDefault="00E921C6" w:rsidP="00F81E78">
            <w:pPr>
              <w:spacing w:after="0"/>
              <w:rPr>
                <w:noProof/>
                <w:sz w:val="20"/>
                <w:szCs w:val="20"/>
              </w:rPr>
            </w:pPr>
            <w:r w:rsidRPr="00CE2185">
              <w:rPr>
                <w:noProof/>
                <w:sz w:val="20"/>
                <w:szCs w:val="20"/>
              </w:rPr>
              <w:t>0</w:t>
            </w:r>
          </w:p>
        </w:tc>
      </w:tr>
      <w:tr w:rsidR="0032122C" w:rsidRPr="00CE2185" w14:paraId="3CC7A863" w14:textId="77777777" w:rsidTr="00416674">
        <w:tc>
          <w:tcPr>
            <w:tcW w:w="1242" w:type="dxa"/>
          </w:tcPr>
          <w:p w14:paraId="31F423F4" w14:textId="68DF03A4" w:rsidR="0032122C" w:rsidRPr="00CE2185" w:rsidRDefault="00054EC8" w:rsidP="00F81E78">
            <w:pPr>
              <w:spacing w:after="0"/>
              <w:rPr>
                <w:noProof/>
                <w:sz w:val="20"/>
                <w:szCs w:val="20"/>
              </w:rPr>
            </w:pPr>
            <w:r w:rsidRPr="00CE2185">
              <w:rPr>
                <w:noProof/>
                <w:sz w:val="20"/>
                <w:szCs w:val="20"/>
              </w:rPr>
              <w:t xml:space="preserve">ENISA </w:t>
            </w:r>
          </w:p>
        </w:tc>
        <w:tc>
          <w:tcPr>
            <w:tcW w:w="1843" w:type="dxa"/>
          </w:tcPr>
          <w:p w14:paraId="7E14266C" w14:textId="393203DE" w:rsidR="0032122C" w:rsidRPr="00CE2185" w:rsidRDefault="006E574E" w:rsidP="00F81E78">
            <w:pPr>
              <w:spacing w:after="0"/>
              <w:rPr>
                <w:noProof/>
                <w:sz w:val="20"/>
                <w:szCs w:val="20"/>
              </w:rPr>
            </w:pPr>
            <w:r w:rsidRPr="00CE2185">
              <w:rPr>
                <w:noProof/>
                <w:sz w:val="20"/>
                <w:szCs w:val="20"/>
              </w:rPr>
              <w:t>0</w:t>
            </w:r>
          </w:p>
        </w:tc>
        <w:tc>
          <w:tcPr>
            <w:tcW w:w="2552" w:type="dxa"/>
          </w:tcPr>
          <w:p w14:paraId="0EB62CE1" w14:textId="77777777" w:rsidR="00591448" w:rsidRPr="00CE2185" w:rsidRDefault="006E574E" w:rsidP="00F81E78">
            <w:pPr>
              <w:spacing w:after="0"/>
              <w:rPr>
                <w:noProof/>
                <w:sz w:val="20"/>
                <w:szCs w:val="20"/>
              </w:rPr>
            </w:pPr>
            <w:r w:rsidRPr="00CE2185">
              <w:rPr>
                <w:noProof/>
                <w:sz w:val="20"/>
                <w:szCs w:val="20"/>
              </w:rPr>
              <w:t xml:space="preserve">One-off and recurrent </w:t>
            </w:r>
            <w:r w:rsidR="00E53552" w:rsidRPr="00CE2185">
              <w:rPr>
                <w:noProof/>
                <w:sz w:val="20"/>
                <w:szCs w:val="20"/>
              </w:rPr>
              <w:t>a</w:t>
            </w:r>
            <w:r w:rsidR="0070441E" w:rsidRPr="00CE2185">
              <w:rPr>
                <w:noProof/>
                <w:sz w:val="20"/>
                <w:szCs w:val="20"/>
              </w:rPr>
              <w:t>djustment costs</w:t>
            </w:r>
            <w:r w:rsidR="000E5243" w:rsidRPr="00CE2185">
              <w:rPr>
                <w:noProof/>
                <w:sz w:val="20"/>
                <w:szCs w:val="20"/>
              </w:rPr>
              <w:t xml:space="preserve"> </w:t>
            </w:r>
          </w:p>
          <w:p w14:paraId="6612F4D1" w14:textId="18123CE0" w:rsidR="0032122C" w:rsidRPr="00CE2185" w:rsidRDefault="000E5243" w:rsidP="00F81E78">
            <w:pPr>
              <w:spacing w:after="0"/>
              <w:rPr>
                <w:noProof/>
                <w:sz w:val="20"/>
                <w:szCs w:val="20"/>
              </w:rPr>
            </w:pPr>
            <w:r w:rsidRPr="00CE2185">
              <w:rPr>
                <w:noProof/>
                <w:sz w:val="20"/>
                <w:szCs w:val="20"/>
              </w:rPr>
              <w:t>(see</w:t>
            </w:r>
            <w:r w:rsidR="00054EC8" w:rsidRPr="00CE2185">
              <w:rPr>
                <w:noProof/>
                <w:sz w:val="20"/>
                <w:szCs w:val="20"/>
              </w:rPr>
              <w:t xml:space="preserve"> </w:t>
            </w:r>
            <w:r w:rsidR="00591448" w:rsidRPr="00CE2185">
              <w:rPr>
                <w:noProof/>
                <w:sz w:val="20"/>
                <w:szCs w:val="20"/>
              </w:rPr>
              <w:t xml:space="preserve">option </w:t>
            </w:r>
            <w:r w:rsidR="00054EC8" w:rsidRPr="00CE2185">
              <w:rPr>
                <w:noProof/>
                <w:sz w:val="20"/>
                <w:szCs w:val="20"/>
              </w:rPr>
              <w:t>A.2</w:t>
            </w:r>
            <w:r w:rsidRPr="00CE2185">
              <w:rPr>
                <w:noProof/>
                <w:sz w:val="20"/>
                <w:szCs w:val="20"/>
              </w:rPr>
              <w:t>)</w:t>
            </w:r>
          </w:p>
        </w:tc>
        <w:tc>
          <w:tcPr>
            <w:tcW w:w="3649" w:type="dxa"/>
          </w:tcPr>
          <w:p w14:paraId="0046F23C" w14:textId="0081E30A" w:rsidR="0032122C" w:rsidRPr="00CE2185" w:rsidRDefault="00E921C6" w:rsidP="00F81E78">
            <w:pPr>
              <w:spacing w:after="0"/>
              <w:rPr>
                <w:noProof/>
                <w:sz w:val="20"/>
                <w:szCs w:val="20"/>
              </w:rPr>
            </w:pPr>
            <w:r w:rsidRPr="00CE2185">
              <w:rPr>
                <w:noProof/>
                <w:sz w:val="20"/>
                <w:szCs w:val="20"/>
              </w:rPr>
              <w:t xml:space="preserve">Same as in </w:t>
            </w:r>
            <w:r w:rsidR="00A02F88" w:rsidRPr="00CE2185">
              <w:rPr>
                <w:noProof/>
                <w:sz w:val="20"/>
                <w:szCs w:val="20"/>
              </w:rPr>
              <w:t xml:space="preserve">C2 (see option A2) </w:t>
            </w:r>
          </w:p>
        </w:tc>
      </w:tr>
    </w:tbl>
    <w:p w14:paraId="5066B59F" w14:textId="54C6AAE5" w:rsidR="007C4C68" w:rsidRPr="00CE2185" w:rsidRDefault="00396754" w:rsidP="00EE3DF9">
      <w:pPr>
        <w:pStyle w:val="Heading4"/>
        <w:numPr>
          <w:ilvl w:val="4"/>
          <w:numId w:val="10"/>
        </w:numPr>
        <w:spacing w:before="120" w:after="120"/>
        <w:ind w:left="1797" w:hanging="357"/>
        <w:rPr>
          <w:noProof/>
        </w:rPr>
      </w:pPr>
      <w:r w:rsidRPr="00CE2185">
        <w:rPr>
          <w:noProof/>
        </w:rPr>
        <w:t>Administrative c</w:t>
      </w:r>
      <w:r w:rsidR="00F57181" w:rsidRPr="00CE2185">
        <w:rPr>
          <w:noProof/>
        </w:rPr>
        <w:t>ost savings for</w:t>
      </w:r>
      <w:r w:rsidR="00043D66" w:rsidRPr="00CE2185">
        <w:rPr>
          <w:noProof/>
        </w:rPr>
        <w:t xml:space="preserve"> businesses, including SMEs, and</w:t>
      </w:r>
      <w:r w:rsidR="00F57181" w:rsidRPr="00CE2185">
        <w:rPr>
          <w:noProof/>
        </w:rPr>
        <w:t xml:space="preserve"> </w:t>
      </w:r>
      <w:r w:rsidR="00043D66" w:rsidRPr="00CE2185">
        <w:rPr>
          <w:noProof/>
        </w:rPr>
        <w:t xml:space="preserve">public authorities </w:t>
      </w:r>
    </w:p>
    <w:p w14:paraId="0CB1ECDF" w14:textId="7C6CFC31" w:rsidR="008D6239" w:rsidRPr="00CE2185" w:rsidRDefault="008D6239" w:rsidP="00795DF0">
      <w:pPr>
        <w:spacing w:after="120"/>
        <w:rPr>
          <w:b/>
          <w:bCs/>
          <w:noProof/>
        </w:rPr>
      </w:pPr>
      <w:r w:rsidRPr="00CE2185">
        <w:rPr>
          <w:noProof/>
        </w:rPr>
        <w:t xml:space="preserve">Under </w:t>
      </w:r>
      <w:r w:rsidRPr="00CE2185">
        <w:rPr>
          <w:b/>
          <w:bCs/>
          <w:noProof/>
        </w:rPr>
        <w:t xml:space="preserve">option </w:t>
      </w:r>
      <w:r w:rsidR="00E0274A" w:rsidRPr="00CE2185">
        <w:rPr>
          <w:b/>
          <w:bCs/>
          <w:noProof/>
        </w:rPr>
        <w:t>C</w:t>
      </w:r>
      <w:r w:rsidR="00A86B3D" w:rsidRPr="00CE2185">
        <w:rPr>
          <w:b/>
          <w:bCs/>
          <w:noProof/>
        </w:rPr>
        <w:t>.</w:t>
      </w:r>
      <w:r w:rsidRPr="00CE2185">
        <w:rPr>
          <w:b/>
          <w:bCs/>
          <w:noProof/>
        </w:rPr>
        <w:t>1</w:t>
      </w:r>
      <w:r w:rsidR="00A86B3D" w:rsidRPr="00CE2185">
        <w:rPr>
          <w:noProof/>
        </w:rPr>
        <w:t>,</w:t>
      </w:r>
      <w:r w:rsidR="00A86B3D" w:rsidRPr="00CE2185">
        <w:rPr>
          <w:b/>
          <w:bCs/>
          <w:noProof/>
        </w:rPr>
        <w:t xml:space="preserve"> </w:t>
      </w:r>
      <w:r w:rsidR="00AB227F" w:rsidRPr="00CE2185">
        <w:rPr>
          <w:b/>
          <w:bCs/>
          <w:noProof/>
        </w:rPr>
        <w:t>NIS2 entities</w:t>
      </w:r>
      <w:r w:rsidR="00A86B3D" w:rsidRPr="00CE2185">
        <w:rPr>
          <w:noProof/>
        </w:rPr>
        <w:t xml:space="preserve"> </w:t>
      </w:r>
      <w:r w:rsidR="000F2076" w:rsidRPr="00CE2185">
        <w:rPr>
          <w:noProof/>
        </w:rPr>
        <w:t xml:space="preserve">that are subject to different national cybersecurity risk-management frameworks in transposition of the NIS2 Directive </w:t>
      </w:r>
      <w:r w:rsidR="00A86B3D" w:rsidRPr="00CE2185">
        <w:rPr>
          <w:noProof/>
        </w:rPr>
        <w:t xml:space="preserve">would </w:t>
      </w:r>
      <w:r w:rsidR="000F2076" w:rsidRPr="00CE2185">
        <w:rPr>
          <w:noProof/>
        </w:rPr>
        <w:t xml:space="preserve">benefit from </w:t>
      </w:r>
      <w:r w:rsidR="00262C95" w:rsidRPr="00CE2185">
        <w:rPr>
          <w:noProof/>
        </w:rPr>
        <w:t>a higher degree of harmoni</w:t>
      </w:r>
      <w:r w:rsidR="00482CF8" w:rsidRPr="00CE2185">
        <w:rPr>
          <w:noProof/>
        </w:rPr>
        <w:t>s</w:t>
      </w:r>
      <w:r w:rsidR="00262C95" w:rsidRPr="00CE2185">
        <w:rPr>
          <w:noProof/>
        </w:rPr>
        <w:t>ation through implement</w:t>
      </w:r>
      <w:r w:rsidR="00AA1F72" w:rsidRPr="00CE2185">
        <w:rPr>
          <w:noProof/>
        </w:rPr>
        <w:t>ing</w:t>
      </w:r>
      <w:r w:rsidR="00262C95" w:rsidRPr="00CE2185">
        <w:rPr>
          <w:noProof/>
        </w:rPr>
        <w:t xml:space="preserve"> acts</w:t>
      </w:r>
      <w:r w:rsidR="001231C1" w:rsidRPr="00CE2185">
        <w:rPr>
          <w:noProof/>
        </w:rPr>
        <w:t>, reducing the administrative costs for these entities</w:t>
      </w:r>
      <w:r w:rsidR="002F02AD" w:rsidRPr="00CE2185">
        <w:rPr>
          <w:noProof/>
        </w:rPr>
        <w:t xml:space="preserve"> likely offsetting</w:t>
      </w:r>
      <w:r w:rsidR="000D641D" w:rsidRPr="00CE2185">
        <w:rPr>
          <w:noProof/>
        </w:rPr>
        <w:t xml:space="preserve"> the </w:t>
      </w:r>
      <w:r w:rsidR="002F02AD" w:rsidRPr="00CE2185">
        <w:rPr>
          <w:noProof/>
        </w:rPr>
        <w:t>one-off adjustment costs</w:t>
      </w:r>
      <w:r w:rsidR="00262C95" w:rsidRPr="00CE2185">
        <w:rPr>
          <w:noProof/>
        </w:rPr>
        <w:t xml:space="preserve">. </w:t>
      </w:r>
      <w:r w:rsidR="00250794" w:rsidRPr="00CE2185">
        <w:rPr>
          <w:noProof/>
        </w:rPr>
        <w:t>G</w:t>
      </w:r>
      <w:r w:rsidR="000D641D" w:rsidRPr="00CE2185">
        <w:rPr>
          <w:noProof/>
        </w:rPr>
        <w:t xml:space="preserve">uidelines </w:t>
      </w:r>
      <w:r w:rsidR="009C2B5C" w:rsidRPr="00CE2185">
        <w:rPr>
          <w:noProof/>
        </w:rPr>
        <w:t>on</w:t>
      </w:r>
      <w:r w:rsidR="000D641D" w:rsidRPr="00CE2185">
        <w:rPr>
          <w:noProof/>
        </w:rPr>
        <w:t xml:space="preserve"> </w:t>
      </w:r>
      <w:r w:rsidR="00302F6A" w:rsidRPr="00CE2185">
        <w:rPr>
          <w:noProof/>
        </w:rPr>
        <w:t>scope,</w:t>
      </w:r>
      <w:r w:rsidR="000D641D" w:rsidRPr="00CE2185">
        <w:rPr>
          <w:noProof/>
        </w:rPr>
        <w:t xml:space="preserve"> ransomware reporting</w:t>
      </w:r>
      <w:r w:rsidR="009C2B5C" w:rsidRPr="00CE2185">
        <w:rPr>
          <w:noProof/>
        </w:rPr>
        <w:t xml:space="preserve">, </w:t>
      </w:r>
      <w:r w:rsidR="00B10030" w:rsidRPr="00CE2185">
        <w:rPr>
          <w:noProof/>
        </w:rPr>
        <w:t>and</w:t>
      </w:r>
      <w:r w:rsidR="000D641D" w:rsidRPr="00CE2185">
        <w:rPr>
          <w:noProof/>
        </w:rPr>
        <w:t xml:space="preserve"> suppliers </w:t>
      </w:r>
      <w:r w:rsidR="00250794" w:rsidRPr="00CE2185">
        <w:rPr>
          <w:noProof/>
        </w:rPr>
        <w:t xml:space="preserve">would not lead </w:t>
      </w:r>
      <w:r w:rsidR="000D641D" w:rsidRPr="00CE2185">
        <w:rPr>
          <w:noProof/>
        </w:rPr>
        <w:t xml:space="preserve">to </w:t>
      </w:r>
      <w:r w:rsidR="00302F6A" w:rsidRPr="00CE2185">
        <w:rPr>
          <w:noProof/>
        </w:rPr>
        <w:t xml:space="preserve">major </w:t>
      </w:r>
      <w:r w:rsidR="00250794" w:rsidRPr="00CE2185">
        <w:rPr>
          <w:noProof/>
        </w:rPr>
        <w:t>direct benefits</w:t>
      </w:r>
      <w:r w:rsidR="000D641D" w:rsidRPr="00CE2185">
        <w:rPr>
          <w:noProof/>
        </w:rPr>
        <w:t xml:space="preserve"> NIS2 entities </w:t>
      </w:r>
      <w:r w:rsidR="009C2B5C" w:rsidRPr="00CE2185">
        <w:rPr>
          <w:noProof/>
        </w:rPr>
        <w:t xml:space="preserve">and </w:t>
      </w:r>
      <w:r w:rsidR="00455422" w:rsidRPr="00CE2185">
        <w:rPr>
          <w:noProof/>
        </w:rPr>
        <w:t>are not expected to meaningfully improve</w:t>
      </w:r>
      <w:r w:rsidR="00B154B8" w:rsidRPr="00CE2185">
        <w:rPr>
          <w:noProof/>
        </w:rPr>
        <w:t xml:space="preserve"> legal certainty and mitigate costs </w:t>
      </w:r>
      <w:r w:rsidR="00455422" w:rsidRPr="00CE2185">
        <w:rPr>
          <w:noProof/>
        </w:rPr>
        <w:t>related to market fragmentation</w:t>
      </w:r>
      <w:r w:rsidR="00AB227F" w:rsidRPr="00CE2185">
        <w:rPr>
          <w:noProof/>
        </w:rPr>
        <w:t xml:space="preserve"> for their suppliers</w:t>
      </w:r>
      <w:r w:rsidR="009C2B5C" w:rsidRPr="00CE2185">
        <w:rPr>
          <w:noProof/>
        </w:rPr>
        <w:t xml:space="preserve">. </w:t>
      </w:r>
      <w:r w:rsidR="00CC62B2" w:rsidRPr="00CE2185">
        <w:rPr>
          <w:noProof/>
        </w:rPr>
        <w:t xml:space="preserve">For </w:t>
      </w:r>
      <w:r w:rsidR="00CC62B2" w:rsidRPr="00CE2185">
        <w:rPr>
          <w:b/>
          <w:noProof/>
        </w:rPr>
        <w:t>Member States</w:t>
      </w:r>
      <w:r w:rsidR="00CC62B2" w:rsidRPr="00CE2185">
        <w:rPr>
          <w:noProof/>
        </w:rPr>
        <w:t xml:space="preserve">, there would be no direct benefits </w:t>
      </w:r>
      <w:r w:rsidR="00AA0EE9" w:rsidRPr="00CE2185">
        <w:rPr>
          <w:noProof/>
        </w:rPr>
        <w:t>deriving from the measures under option C.1</w:t>
      </w:r>
      <w:r w:rsidR="0060530E" w:rsidRPr="00CE2185">
        <w:rPr>
          <w:noProof/>
        </w:rPr>
        <w:t xml:space="preserve">. </w:t>
      </w:r>
    </w:p>
    <w:p w14:paraId="130CDC97" w14:textId="77777777" w:rsidR="00CE2185" w:rsidRPr="00CE2185" w:rsidRDefault="008D6239" w:rsidP="00795DF0">
      <w:pPr>
        <w:spacing w:after="120"/>
        <w:rPr>
          <w:noProof/>
        </w:rPr>
      </w:pPr>
      <w:r w:rsidRPr="00CE2185">
        <w:rPr>
          <w:b/>
          <w:bCs/>
          <w:noProof/>
        </w:rPr>
        <w:t xml:space="preserve">Option </w:t>
      </w:r>
      <w:r w:rsidR="00E0274A" w:rsidRPr="00CE2185">
        <w:rPr>
          <w:b/>
          <w:bCs/>
          <w:noProof/>
        </w:rPr>
        <w:t>C</w:t>
      </w:r>
      <w:r w:rsidR="00D50535" w:rsidRPr="00CE2185">
        <w:rPr>
          <w:b/>
          <w:bCs/>
          <w:noProof/>
        </w:rPr>
        <w:t>.</w:t>
      </w:r>
      <w:r w:rsidRPr="00CE2185">
        <w:rPr>
          <w:b/>
          <w:bCs/>
          <w:noProof/>
        </w:rPr>
        <w:t>2</w:t>
      </w:r>
      <w:r w:rsidR="00D50535" w:rsidRPr="00CE2185">
        <w:rPr>
          <w:b/>
          <w:bCs/>
          <w:noProof/>
        </w:rPr>
        <w:t xml:space="preserve"> </w:t>
      </w:r>
      <w:r w:rsidR="00D50535" w:rsidRPr="00CE2185">
        <w:rPr>
          <w:noProof/>
        </w:rPr>
        <w:t>would</w:t>
      </w:r>
      <w:r w:rsidR="00D50535" w:rsidRPr="00CE2185">
        <w:rPr>
          <w:b/>
          <w:bCs/>
          <w:noProof/>
        </w:rPr>
        <w:t xml:space="preserve"> </w:t>
      </w:r>
      <w:r w:rsidRPr="00CE2185">
        <w:rPr>
          <w:noProof/>
        </w:rPr>
        <w:t xml:space="preserve">reduce the number of entities in </w:t>
      </w:r>
      <w:r w:rsidRPr="00CE2185">
        <w:rPr>
          <w:b/>
          <w:bCs/>
          <w:noProof/>
        </w:rPr>
        <w:t>scope</w:t>
      </w:r>
      <w:r w:rsidRPr="00CE2185">
        <w:rPr>
          <w:noProof/>
        </w:rPr>
        <w:t xml:space="preserve"> of the NIS2 Directive by approximately </w:t>
      </w:r>
      <w:r w:rsidRPr="00CE2185">
        <w:rPr>
          <w:b/>
          <w:bCs/>
          <w:noProof/>
        </w:rPr>
        <w:t>6</w:t>
      </w:r>
      <w:r w:rsidR="00D50DD2" w:rsidRPr="00CE2185">
        <w:rPr>
          <w:b/>
          <w:bCs/>
          <w:noProof/>
        </w:rPr>
        <w:t xml:space="preserve"> </w:t>
      </w:r>
      <w:r w:rsidRPr="00CE2185">
        <w:rPr>
          <w:b/>
          <w:bCs/>
          <w:noProof/>
        </w:rPr>
        <w:t>200 DNS service providers</w:t>
      </w:r>
      <w:r w:rsidRPr="00CE2185">
        <w:rPr>
          <w:noProof/>
        </w:rPr>
        <w:t>.</w:t>
      </w:r>
      <w:r w:rsidR="00190B4A" w:rsidRPr="00CE2185">
        <w:rPr>
          <w:rStyle w:val="FootnoteReference"/>
          <w:noProof/>
        </w:rPr>
        <w:footnoteReference w:id="162"/>
      </w:r>
      <w:r w:rsidRPr="00CE2185">
        <w:rPr>
          <w:noProof/>
        </w:rPr>
        <w:t xml:space="preserve"> Moreover, </w:t>
      </w:r>
      <w:r w:rsidR="00CB013A" w:rsidRPr="00CE2185">
        <w:rPr>
          <w:noProof/>
        </w:rPr>
        <w:t>after</w:t>
      </w:r>
      <w:r w:rsidRPr="00CE2185">
        <w:rPr>
          <w:noProof/>
        </w:rPr>
        <w:t xml:space="preserve"> clarification on definitions and the types of entities referred to in Annex I and II, the NIS2 Directive would no longer apply to an estimated number of </w:t>
      </w:r>
      <w:r w:rsidRPr="00CE2185">
        <w:rPr>
          <w:b/>
          <w:bCs/>
          <w:noProof/>
        </w:rPr>
        <w:t>2</w:t>
      </w:r>
      <w:r w:rsidR="00DA365D" w:rsidRPr="00CE2185">
        <w:rPr>
          <w:b/>
          <w:bCs/>
          <w:noProof/>
        </w:rPr>
        <w:t>2</w:t>
      </w:r>
      <w:r w:rsidR="00273A62" w:rsidRPr="00CE2185">
        <w:rPr>
          <w:b/>
          <w:bCs/>
          <w:noProof/>
        </w:rPr>
        <w:t xml:space="preserve"> </w:t>
      </w:r>
      <w:r w:rsidRPr="00CE2185">
        <w:rPr>
          <w:b/>
          <w:bCs/>
          <w:noProof/>
        </w:rPr>
        <w:t>500 entities</w:t>
      </w:r>
      <w:r w:rsidRPr="00CE2185">
        <w:rPr>
          <w:noProof/>
        </w:rPr>
        <w:t xml:space="preserve">. </w:t>
      </w:r>
      <w:r w:rsidR="00FB081F" w:rsidRPr="00CE2185">
        <w:rPr>
          <w:noProof/>
        </w:rPr>
        <w:t xml:space="preserve">This would diminish </w:t>
      </w:r>
      <w:r w:rsidR="00EA63C8" w:rsidRPr="00CE2185">
        <w:rPr>
          <w:noProof/>
        </w:rPr>
        <w:t xml:space="preserve">the compliance costs </w:t>
      </w:r>
      <w:r w:rsidR="003C2F83" w:rsidRPr="00CE2185">
        <w:rPr>
          <w:noProof/>
        </w:rPr>
        <w:t>(a</w:t>
      </w:r>
      <w:r w:rsidR="00F33CBB" w:rsidRPr="00CE2185">
        <w:rPr>
          <w:noProof/>
        </w:rPr>
        <w:t>d</w:t>
      </w:r>
      <w:r w:rsidR="003C2F83" w:rsidRPr="00CE2185">
        <w:rPr>
          <w:noProof/>
        </w:rPr>
        <w:t xml:space="preserve">justment and administrative costs) </w:t>
      </w:r>
      <w:r w:rsidR="00EA63C8" w:rsidRPr="00CE2185">
        <w:rPr>
          <w:noProof/>
        </w:rPr>
        <w:t>of average EUR 94 355 per year for these entities</w:t>
      </w:r>
      <w:r w:rsidR="001027C2" w:rsidRPr="00CE2185">
        <w:rPr>
          <w:noProof/>
        </w:rPr>
        <w:t>, summing up to EUR 2.</w:t>
      </w:r>
      <w:r w:rsidR="00783A6C" w:rsidRPr="00CE2185">
        <w:rPr>
          <w:noProof/>
        </w:rPr>
        <w:t>7</w:t>
      </w:r>
      <w:r w:rsidR="001027C2" w:rsidRPr="00CE2185">
        <w:rPr>
          <w:noProof/>
        </w:rPr>
        <w:t xml:space="preserve"> billion per year</w:t>
      </w:r>
      <w:r w:rsidR="00452AC8" w:rsidRPr="00CE2185">
        <w:rPr>
          <w:noProof/>
        </w:rPr>
        <w:t>,</w:t>
      </w:r>
      <w:r w:rsidR="00452AC8" w:rsidRPr="211C3D34">
        <w:rPr>
          <w:b/>
          <w:bCs/>
          <w:noProof/>
        </w:rPr>
        <w:t xml:space="preserve"> totalling </w:t>
      </w:r>
      <w:r w:rsidR="0008260B" w:rsidRPr="211C3D34">
        <w:rPr>
          <w:b/>
          <w:bCs/>
          <w:noProof/>
        </w:rPr>
        <w:t>13</w:t>
      </w:r>
      <w:r w:rsidR="00C4032C" w:rsidRPr="211C3D34">
        <w:rPr>
          <w:b/>
          <w:bCs/>
          <w:noProof/>
        </w:rPr>
        <w:t>.5</w:t>
      </w:r>
      <w:r w:rsidR="0008260B" w:rsidRPr="211C3D34">
        <w:rPr>
          <w:b/>
          <w:bCs/>
          <w:noProof/>
        </w:rPr>
        <w:t xml:space="preserve"> bn EUR </w:t>
      </w:r>
      <w:r w:rsidR="00E510AB" w:rsidRPr="00CE2185">
        <w:rPr>
          <w:b/>
          <w:bCs/>
          <w:noProof/>
        </w:rPr>
        <w:t xml:space="preserve">of total </w:t>
      </w:r>
      <w:r w:rsidR="007E3734" w:rsidRPr="211C3D34">
        <w:rPr>
          <w:b/>
          <w:bCs/>
          <w:noProof/>
        </w:rPr>
        <w:t xml:space="preserve"> cost savings</w:t>
      </w:r>
      <w:r w:rsidR="009678B6" w:rsidRPr="211C3D34">
        <w:rPr>
          <w:b/>
          <w:bCs/>
          <w:noProof/>
        </w:rPr>
        <w:t xml:space="preserve"> (</w:t>
      </w:r>
      <w:r w:rsidR="00F33CBB" w:rsidRPr="00CE2185">
        <w:rPr>
          <w:b/>
          <w:bCs/>
          <w:noProof/>
        </w:rPr>
        <w:t>adjustments and administrative costs savings)</w:t>
      </w:r>
      <w:r w:rsidR="00641C48" w:rsidRPr="00CE2185">
        <w:rPr>
          <w:noProof/>
        </w:rPr>
        <w:t xml:space="preserve"> over a period of five years</w:t>
      </w:r>
      <w:r w:rsidR="00F33CBB" w:rsidRPr="00CE2185">
        <w:rPr>
          <w:b/>
          <w:bCs/>
          <w:noProof/>
        </w:rPr>
        <w:t xml:space="preserve"> </w:t>
      </w:r>
      <w:r w:rsidR="009678B6" w:rsidRPr="00CE2185">
        <w:rPr>
          <w:noProof/>
        </w:rPr>
        <w:t>(</w:t>
      </w:r>
      <w:r w:rsidR="009678B6" w:rsidRPr="211C3D34">
        <w:rPr>
          <w:i/>
          <w:iCs/>
          <w:noProof/>
        </w:rPr>
        <w:t>see Annex 4, section 4.3.</w:t>
      </w:r>
      <w:r w:rsidR="00043E19" w:rsidRPr="211C3D34">
        <w:rPr>
          <w:i/>
          <w:iCs/>
          <w:noProof/>
        </w:rPr>
        <w:t>3</w:t>
      </w:r>
      <w:r w:rsidR="009678B6" w:rsidRPr="00CE2185">
        <w:rPr>
          <w:noProof/>
        </w:rPr>
        <w:t>)</w:t>
      </w:r>
      <w:r w:rsidR="001027C2" w:rsidRPr="00CE2185">
        <w:rPr>
          <w:noProof/>
        </w:rPr>
        <w:t>.</w:t>
      </w:r>
      <w:r w:rsidRPr="00CE2185">
        <w:rPr>
          <w:noProof/>
        </w:rPr>
        <w:t xml:space="preserve"> </w:t>
      </w:r>
      <w:r w:rsidR="00DD5605" w:rsidRPr="00CE2185">
        <w:rPr>
          <w:noProof/>
        </w:rPr>
        <w:t xml:space="preserve">Under the assumption that the administrative costs </w:t>
      </w:r>
      <w:r w:rsidR="006B2B67" w:rsidRPr="00CE2185">
        <w:rPr>
          <w:noProof/>
        </w:rPr>
        <w:t>would amount to</w:t>
      </w:r>
      <w:r w:rsidR="00DD5605" w:rsidRPr="00CE2185">
        <w:rPr>
          <w:noProof/>
        </w:rPr>
        <w:t xml:space="preserve"> 10% of the compliance costs of average </w:t>
      </w:r>
      <w:r w:rsidR="00F33CBB" w:rsidRPr="00CE2185">
        <w:rPr>
          <w:noProof/>
        </w:rPr>
        <w:t>of</w:t>
      </w:r>
      <w:r w:rsidR="00DD5605" w:rsidRPr="00CE2185">
        <w:rPr>
          <w:noProof/>
        </w:rPr>
        <w:t xml:space="preserve"> </w:t>
      </w:r>
      <w:r w:rsidR="00F33CBB" w:rsidRPr="00CE2185">
        <w:rPr>
          <w:noProof/>
        </w:rPr>
        <w:t xml:space="preserve">EUR 94 355, </w:t>
      </w:r>
      <w:r w:rsidR="00166E8C" w:rsidRPr="211C3D34">
        <w:rPr>
          <w:b/>
          <w:bCs/>
          <w:noProof/>
        </w:rPr>
        <w:t>administrative cost savings would amount to</w:t>
      </w:r>
      <w:r w:rsidR="003334E5" w:rsidRPr="211C3D34">
        <w:rPr>
          <w:b/>
          <w:bCs/>
          <w:noProof/>
        </w:rPr>
        <w:t xml:space="preserve"> EUR 270 million </w:t>
      </w:r>
      <w:r w:rsidR="003334E5" w:rsidRPr="00CE2185">
        <w:rPr>
          <w:noProof/>
        </w:rPr>
        <w:t>per year</w:t>
      </w:r>
      <w:r w:rsidR="00722218" w:rsidRPr="00CE2185">
        <w:rPr>
          <w:noProof/>
        </w:rPr>
        <w:t xml:space="preserve">, totalling to </w:t>
      </w:r>
      <w:r w:rsidR="00722218" w:rsidRPr="00CE2185">
        <w:rPr>
          <w:b/>
          <w:bCs/>
          <w:noProof/>
        </w:rPr>
        <w:t>EUR 1.35 bn</w:t>
      </w:r>
      <w:r w:rsidR="00722218" w:rsidRPr="00CE2185">
        <w:rPr>
          <w:noProof/>
        </w:rPr>
        <w:t xml:space="preserve"> over five years</w:t>
      </w:r>
      <w:r w:rsidR="003334E5" w:rsidRPr="00CE2185">
        <w:rPr>
          <w:noProof/>
        </w:rPr>
        <w:t>.</w:t>
      </w:r>
      <w:r w:rsidR="004B5A23" w:rsidRPr="00CE2185">
        <w:rPr>
          <w:noProof/>
        </w:rPr>
        <w:t xml:space="preserve"> </w:t>
      </w:r>
    </w:p>
    <w:p w14:paraId="611F6B18" w14:textId="2A141CDB" w:rsidR="00452AC8" w:rsidRPr="00CE2185" w:rsidRDefault="001027C2" w:rsidP="00795DF0">
      <w:pPr>
        <w:spacing w:after="120"/>
        <w:rPr>
          <w:noProof/>
        </w:rPr>
      </w:pPr>
      <w:r w:rsidRPr="00CE2185">
        <w:rPr>
          <w:noProof/>
        </w:rPr>
        <w:t>In addition</w:t>
      </w:r>
      <w:r w:rsidR="008D6239" w:rsidRPr="00CE2185">
        <w:rPr>
          <w:noProof/>
        </w:rPr>
        <w:t xml:space="preserve">, introducing the new category of </w:t>
      </w:r>
      <w:r w:rsidR="008D6239" w:rsidRPr="00CE2185">
        <w:rPr>
          <w:b/>
          <w:bCs/>
          <w:noProof/>
        </w:rPr>
        <w:t>small mid-caps</w:t>
      </w:r>
      <w:r w:rsidR="008D6239" w:rsidRPr="00CE2185">
        <w:rPr>
          <w:noProof/>
        </w:rPr>
        <w:t xml:space="preserve"> in the </w:t>
      </w:r>
      <w:r w:rsidRPr="00CE2185">
        <w:rPr>
          <w:noProof/>
        </w:rPr>
        <w:t>NIS2</w:t>
      </w:r>
      <w:r w:rsidR="008D6239" w:rsidRPr="00CE2185">
        <w:rPr>
          <w:noProof/>
        </w:rPr>
        <w:t xml:space="preserve"> Directive will address around</w:t>
      </w:r>
      <w:r w:rsidR="008D6239" w:rsidRPr="00CE2185">
        <w:rPr>
          <w:b/>
          <w:bCs/>
          <w:noProof/>
        </w:rPr>
        <w:t xml:space="preserve"> </w:t>
      </w:r>
      <w:r w:rsidRPr="00CE2185">
        <w:rPr>
          <w:b/>
          <w:bCs/>
          <w:noProof/>
        </w:rPr>
        <w:t>2</w:t>
      </w:r>
      <w:r w:rsidR="007610C5" w:rsidRPr="00CE2185">
        <w:rPr>
          <w:b/>
          <w:bCs/>
          <w:noProof/>
        </w:rPr>
        <w:t>2</w:t>
      </w:r>
      <w:r w:rsidR="00D50DD2" w:rsidRPr="00CE2185">
        <w:rPr>
          <w:b/>
          <w:bCs/>
          <w:noProof/>
        </w:rPr>
        <w:t xml:space="preserve"> </w:t>
      </w:r>
      <w:r w:rsidR="007610C5" w:rsidRPr="00CE2185">
        <w:rPr>
          <w:b/>
          <w:bCs/>
          <w:noProof/>
        </w:rPr>
        <w:t>5</w:t>
      </w:r>
      <w:r w:rsidRPr="00CE2185">
        <w:rPr>
          <w:b/>
          <w:bCs/>
          <w:noProof/>
        </w:rPr>
        <w:t>00</w:t>
      </w:r>
      <w:r w:rsidR="008D6239" w:rsidRPr="00CE2185">
        <w:rPr>
          <w:b/>
          <w:bCs/>
          <w:noProof/>
        </w:rPr>
        <w:t xml:space="preserve"> businesses</w:t>
      </w:r>
      <w:r w:rsidR="008D6239" w:rsidRPr="00CE2185">
        <w:rPr>
          <w:noProof/>
        </w:rPr>
        <w:t xml:space="preserve"> that fall under the small mid-caps classification</w:t>
      </w:r>
      <w:r w:rsidR="00330C4B" w:rsidRPr="00CE2185">
        <w:rPr>
          <w:noProof/>
        </w:rPr>
        <w:t xml:space="preserve"> (</w:t>
      </w:r>
      <w:r w:rsidR="00330C4B" w:rsidRPr="00CE2185">
        <w:rPr>
          <w:i/>
          <w:iCs/>
          <w:noProof/>
        </w:rPr>
        <w:t xml:space="preserve">see Annex </w:t>
      </w:r>
      <w:r w:rsidR="00C161CE" w:rsidRPr="00CE2185">
        <w:rPr>
          <w:i/>
          <w:iCs/>
          <w:noProof/>
        </w:rPr>
        <w:t>4</w:t>
      </w:r>
      <w:r w:rsidR="00330C4B" w:rsidRPr="00CE2185">
        <w:rPr>
          <w:noProof/>
        </w:rPr>
        <w:t>).</w:t>
      </w:r>
      <w:r w:rsidR="008D6239" w:rsidRPr="00CE2185">
        <w:rPr>
          <w:noProof/>
        </w:rPr>
        <w:t xml:space="preserve"> </w:t>
      </w:r>
      <w:r w:rsidR="000F3181" w:rsidRPr="00CE2185">
        <w:rPr>
          <w:noProof/>
        </w:rPr>
        <w:t>T</w:t>
      </w:r>
      <w:r w:rsidR="001E68D8" w:rsidRPr="00CE2185">
        <w:rPr>
          <w:noProof/>
        </w:rPr>
        <w:t xml:space="preserve">hese entities currently qualify as essential and would </w:t>
      </w:r>
      <w:r w:rsidR="000F3181" w:rsidRPr="00CE2185">
        <w:rPr>
          <w:noProof/>
        </w:rPr>
        <w:t>become</w:t>
      </w:r>
      <w:r w:rsidR="008D6239" w:rsidRPr="00CE2185">
        <w:rPr>
          <w:noProof/>
        </w:rPr>
        <w:t xml:space="preserve"> important entities</w:t>
      </w:r>
      <w:r w:rsidR="00040F57" w:rsidRPr="00CE2185">
        <w:rPr>
          <w:noProof/>
        </w:rPr>
        <w:t>,</w:t>
      </w:r>
      <w:r w:rsidR="008D6239" w:rsidRPr="00CE2185">
        <w:rPr>
          <w:noProof/>
        </w:rPr>
        <w:t xml:space="preserve"> </w:t>
      </w:r>
      <w:r w:rsidR="000F3181" w:rsidRPr="00CE2185">
        <w:rPr>
          <w:noProof/>
        </w:rPr>
        <w:t xml:space="preserve">which </w:t>
      </w:r>
      <w:r w:rsidR="008D6239" w:rsidRPr="00CE2185">
        <w:rPr>
          <w:noProof/>
        </w:rPr>
        <w:t>should not be required to systematically document compliance with cybersecurity risk-management measures</w:t>
      </w:r>
      <w:r w:rsidR="00AD01EB" w:rsidRPr="00CE2185">
        <w:rPr>
          <w:noProof/>
        </w:rPr>
        <w:t>.</w:t>
      </w:r>
      <w:r w:rsidR="008D6239" w:rsidRPr="00CE2185">
        <w:rPr>
          <w:noProof/>
        </w:rPr>
        <w:t xml:space="preserve"> </w:t>
      </w:r>
      <w:r w:rsidR="00AD01EB" w:rsidRPr="00CE2185">
        <w:rPr>
          <w:noProof/>
        </w:rPr>
        <w:t>T</w:t>
      </w:r>
      <w:r w:rsidR="008D6239" w:rsidRPr="00CE2185">
        <w:rPr>
          <w:noProof/>
        </w:rPr>
        <w:t xml:space="preserve">he designation of small mid-cap sized enterprises as important entities will </w:t>
      </w:r>
      <w:r w:rsidR="004116E2" w:rsidRPr="00CE2185">
        <w:rPr>
          <w:noProof/>
        </w:rPr>
        <w:t>ther</w:t>
      </w:r>
      <w:r w:rsidR="006F1A62" w:rsidRPr="00CE2185">
        <w:rPr>
          <w:noProof/>
        </w:rPr>
        <w:t>efore</w:t>
      </w:r>
      <w:r w:rsidR="008D6239" w:rsidRPr="00CE2185">
        <w:rPr>
          <w:noProof/>
        </w:rPr>
        <w:t xml:space="preserve"> </w:t>
      </w:r>
      <w:r w:rsidR="008D6239" w:rsidRPr="00CE2185">
        <w:rPr>
          <w:b/>
          <w:noProof/>
        </w:rPr>
        <w:t xml:space="preserve">reduce </w:t>
      </w:r>
      <w:r w:rsidR="00330C4B" w:rsidRPr="00CE2185">
        <w:rPr>
          <w:b/>
          <w:noProof/>
        </w:rPr>
        <w:t xml:space="preserve">recurrent </w:t>
      </w:r>
      <w:r w:rsidR="000F3181" w:rsidRPr="00CE2185">
        <w:rPr>
          <w:b/>
          <w:noProof/>
        </w:rPr>
        <w:t xml:space="preserve">administrative </w:t>
      </w:r>
      <w:r w:rsidR="008D6239" w:rsidRPr="00CE2185">
        <w:rPr>
          <w:b/>
          <w:noProof/>
        </w:rPr>
        <w:t>compliance costs</w:t>
      </w:r>
      <w:r w:rsidR="008D6239" w:rsidRPr="00CE2185">
        <w:rPr>
          <w:noProof/>
        </w:rPr>
        <w:t xml:space="preserve"> for those entities</w:t>
      </w:r>
      <w:r w:rsidRPr="00CE2185">
        <w:rPr>
          <w:noProof/>
        </w:rPr>
        <w:t>.</w:t>
      </w:r>
      <w:r w:rsidR="008D6239" w:rsidRPr="00CE2185">
        <w:rPr>
          <w:noProof/>
        </w:rPr>
        <w:t xml:space="preserve"> </w:t>
      </w:r>
      <w:r w:rsidR="00E51C6C" w:rsidRPr="00CE2185">
        <w:rPr>
          <w:noProof/>
        </w:rPr>
        <w:t>Under the assumption that these</w:t>
      </w:r>
      <w:r w:rsidR="008D6239" w:rsidRPr="00CE2185">
        <w:rPr>
          <w:noProof/>
        </w:rPr>
        <w:t xml:space="preserve"> entities</w:t>
      </w:r>
      <w:r w:rsidR="00E51C6C" w:rsidRPr="00CE2185">
        <w:rPr>
          <w:noProof/>
        </w:rPr>
        <w:t xml:space="preserve"> could save 10% of the compliance costs </w:t>
      </w:r>
      <w:r w:rsidR="00E510AB" w:rsidRPr="00CE2185">
        <w:rPr>
          <w:noProof/>
        </w:rPr>
        <w:t>(</w:t>
      </w:r>
      <w:r w:rsidR="00DD5605" w:rsidRPr="00CE2185">
        <w:rPr>
          <w:noProof/>
        </w:rPr>
        <w:t>administrative costs)</w:t>
      </w:r>
      <w:r w:rsidR="00E51C6C" w:rsidRPr="00CE2185">
        <w:rPr>
          <w:noProof/>
        </w:rPr>
        <w:t xml:space="preserve"> of average EUR 94 355 per year</w:t>
      </w:r>
      <w:r w:rsidR="00F804D7" w:rsidRPr="00CE2185">
        <w:rPr>
          <w:noProof/>
        </w:rPr>
        <w:t xml:space="preserve"> (</w:t>
      </w:r>
      <w:r w:rsidR="00F804D7" w:rsidRPr="00CE2185">
        <w:rPr>
          <w:i/>
          <w:iCs/>
          <w:noProof/>
        </w:rPr>
        <w:t>see Annex 4</w:t>
      </w:r>
      <w:r w:rsidR="00F804D7" w:rsidRPr="00CE2185">
        <w:rPr>
          <w:noProof/>
        </w:rPr>
        <w:t>)</w:t>
      </w:r>
      <w:r w:rsidR="00E51C6C" w:rsidRPr="00CE2185">
        <w:rPr>
          <w:noProof/>
        </w:rPr>
        <w:t xml:space="preserve">, this would amount to </w:t>
      </w:r>
      <w:r w:rsidR="00B46861" w:rsidRPr="00CE2185">
        <w:rPr>
          <w:b/>
          <w:bCs/>
          <w:noProof/>
        </w:rPr>
        <w:t xml:space="preserve">EUR </w:t>
      </w:r>
      <w:r w:rsidR="00A93A6F" w:rsidRPr="00CE2185">
        <w:rPr>
          <w:b/>
          <w:bCs/>
          <w:noProof/>
        </w:rPr>
        <w:t>212</w:t>
      </w:r>
      <w:r w:rsidR="00B46861" w:rsidRPr="00CE2185">
        <w:rPr>
          <w:b/>
          <w:bCs/>
          <w:noProof/>
        </w:rPr>
        <w:t xml:space="preserve"> million per year</w:t>
      </w:r>
      <w:r w:rsidR="00FD7798" w:rsidRPr="00CE2185">
        <w:rPr>
          <w:b/>
          <w:bCs/>
          <w:noProof/>
        </w:rPr>
        <w:t xml:space="preserve"> </w:t>
      </w:r>
      <w:r w:rsidR="00FD7798" w:rsidRPr="00CE2185">
        <w:rPr>
          <w:noProof/>
        </w:rPr>
        <w:t>(</w:t>
      </w:r>
      <w:r w:rsidR="00FD7798" w:rsidRPr="00CE2185">
        <w:rPr>
          <w:i/>
          <w:iCs/>
          <w:noProof/>
        </w:rPr>
        <w:t>see</w:t>
      </w:r>
      <w:r w:rsidR="00FD7798" w:rsidRPr="00CE2185">
        <w:rPr>
          <w:noProof/>
        </w:rPr>
        <w:t xml:space="preserve"> </w:t>
      </w:r>
      <w:r w:rsidR="00FD7798" w:rsidRPr="00CE2185">
        <w:rPr>
          <w:i/>
          <w:iCs/>
          <w:noProof/>
        </w:rPr>
        <w:t xml:space="preserve">Annex </w:t>
      </w:r>
      <w:r w:rsidR="00C161CE" w:rsidRPr="00CE2185">
        <w:rPr>
          <w:i/>
          <w:iCs/>
          <w:noProof/>
        </w:rPr>
        <w:t>4</w:t>
      </w:r>
      <w:r w:rsidR="00637B41" w:rsidRPr="00CE2185">
        <w:rPr>
          <w:i/>
          <w:iCs/>
          <w:noProof/>
        </w:rPr>
        <w:t>, section 4.3.3</w:t>
      </w:r>
      <w:r w:rsidR="00FD7798" w:rsidRPr="00CE2185">
        <w:rPr>
          <w:noProof/>
        </w:rPr>
        <w:t>)</w:t>
      </w:r>
      <w:r w:rsidR="00726288" w:rsidRPr="00CE2185">
        <w:rPr>
          <w:noProof/>
        </w:rPr>
        <w:t>, total</w:t>
      </w:r>
      <w:r w:rsidR="005372FD" w:rsidRPr="00CE2185">
        <w:rPr>
          <w:noProof/>
        </w:rPr>
        <w:t>l</w:t>
      </w:r>
      <w:r w:rsidR="00726288" w:rsidRPr="00CE2185">
        <w:rPr>
          <w:noProof/>
        </w:rPr>
        <w:t xml:space="preserve">ing </w:t>
      </w:r>
      <w:r w:rsidR="00A857BF" w:rsidRPr="00CE2185">
        <w:rPr>
          <w:b/>
          <w:bCs/>
          <w:noProof/>
        </w:rPr>
        <w:t>1,06 bn EUR</w:t>
      </w:r>
      <w:r w:rsidR="003F4C64" w:rsidRPr="00CE2185">
        <w:rPr>
          <w:noProof/>
        </w:rPr>
        <w:t xml:space="preserve"> </w:t>
      </w:r>
      <w:r w:rsidR="003F4C64" w:rsidRPr="00CE2185">
        <w:rPr>
          <w:b/>
          <w:noProof/>
        </w:rPr>
        <w:t>over five years</w:t>
      </w:r>
      <w:r w:rsidR="00B46861" w:rsidRPr="00CE2185">
        <w:rPr>
          <w:noProof/>
        </w:rPr>
        <w:t xml:space="preserve">. </w:t>
      </w:r>
    </w:p>
    <w:p w14:paraId="34AF76BE" w14:textId="774FD917" w:rsidR="008D6239" w:rsidRPr="00CE2185" w:rsidRDefault="00737082" w:rsidP="00795DF0">
      <w:pPr>
        <w:spacing w:after="120"/>
        <w:rPr>
          <w:b/>
          <w:bCs/>
          <w:noProof/>
        </w:rPr>
      </w:pPr>
      <w:r w:rsidRPr="00CE2185">
        <w:rPr>
          <w:noProof/>
        </w:rPr>
        <w:t>For</w:t>
      </w:r>
      <w:r w:rsidR="00BF0A7D" w:rsidRPr="00CE2185">
        <w:rPr>
          <w:noProof/>
        </w:rPr>
        <w:t xml:space="preserve"> </w:t>
      </w:r>
      <w:r w:rsidR="000F3181" w:rsidRPr="00CE2185">
        <w:rPr>
          <w:b/>
          <w:bCs/>
          <w:noProof/>
        </w:rPr>
        <w:t>Member States’</w:t>
      </w:r>
      <w:r w:rsidR="008D6239" w:rsidRPr="00CE2185">
        <w:rPr>
          <w:b/>
          <w:bCs/>
          <w:noProof/>
        </w:rPr>
        <w:t xml:space="preserve"> authorities</w:t>
      </w:r>
      <w:r w:rsidR="00BF0A7D" w:rsidRPr="00CE2185">
        <w:rPr>
          <w:noProof/>
        </w:rPr>
        <w:t xml:space="preserve">, it can be estimated that they </w:t>
      </w:r>
      <w:r w:rsidR="000F3181" w:rsidRPr="00CE2185">
        <w:rPr>
          <w:noProof/>
        </w:rPr>
        <w:t>need one FTE less</w:t>
      </w:r>
      <w:r w:rsidR="00947C17" w:rsidRPr="00CE2185">
        <w:rPr>
          <w:noProof/>
        </w:rPr>
        <w:t xml:space="preserve"> </w:t>
      </w:r>
      <w:r w:rsidR="00CD7614" w:rsidRPr="00CE2185">
        <w:rPr>
          <w:noProof/>
        </w:rPr>
        <w:t>per Member State</w:t>
      </w:r>
      <w:r w:rsidR="00947C17" w:rsidRPr="00CE2185">
        <w:rPr>
          <w:noProof/>
        </w:rPr>
        <w:t xml:space="preserve"> due to the reduction of entities in scope and under ex ante supervision</w:t>
      </w:r>
      <w:r w:rsidR="008657F6" w:rsidRPr="00CE2185">
        <w:rPr>
          <w:noProof/>
        </w:rPr>
        <w:t xml:space="preserve">. Assuming one FTE less per year with an average salary of EUR 56 500, this would </w:t>
      </w:r>
      <w:r w:rsidRPr="00CE2185">
        <w:rPr>
          <w:noProof/>
        </w:rPr>
        <w:t>lead</w:t>
      </w:r>
      <w:r w:rsidR="00931A22" w:rsidRPr="00CE2185">
        <w:rPr>
          <w:noProof/>
        </w:rPr>
        <w:t xml:space="preserve"> to EUR 1</w:t>
      </w:r>
      <w:r w:rsidR="00F82991" w:rsidRPr="00CE2185">
        <w:rPr>
          <w:noProof/>
        </w:rPr>
        <w:t>,5</w:t>
      </w:r>
      <w:r w:rsidR="00273A62" w:rsidRPr="00CE2185">
        <w:rPr>
          <w:noProof/>
        </w:rPr>
        <w:t xml:space="preserve"> </w:t>
      </w:r>
      <w:r w:rsidR="00F82991" w:rsidRPr="00CE2185">
        <w:rPr>
          <w:noProof/>
        </w:rPr>
        <w:t>million</w:t>
      </w:r>
      <w:r w:rsidR="00A90B19" w:rsidRPr="00CE2185">
        <w:rPr>
          <w:noProof/>
        </w:rPr>
        <w:t xml:space="preserve"> of</w:t>
      </w:r>
      <w:r w:rsidR="00931A22" w:rsidRPr="00CE2185">
        <w:rPr>
          <w:noProof/>
        </w:rPr>
        <w:t xml:space="preserve"> </w:t>
      </w:r>
      <w:r w:rsidR="00C0757A" w:rsidRPr="00CE2185">
        <w:rPr>
          <w:noProof/>
        </w:rPr>
        <w:t xml:space="preserve">recurrent </w:t>
      </w:r>
      <w:r w:rsidR="00931A22" w:rsidRPr="00CE2185">
        <w:rPr>
          <w:noProof/>
        </w:rPr>
        <w:t>administrative savings</w:t>
      </w:r>
      <w:r w:rsidR="00EE5481" w:rsidRPr="00CE2185">
        <w:rPr>
          <w:noProof/>
        </w:rPr>
        <w:t xml:space="preserve"> for all Member States</w:t>
      </w:r>
      <w:r w:rsidRPr="00CE2185">
        <w:rPr>
          <w:b/>
          <w:bCs/>
          <w:noProof/>
        </w:rPr>
        <w:t xml:space="preserve"> </w:t>
      </w:r>
      <w:r w:rsidRPr="00CE2185">
        <w:rPr>
          <w:noProof/>
        </w:rPr>
        <w:t>per year</w:t>
      </w:r>
      <w:r w:rsidR="002D73C3" w:rsidRPr="00CE2185">
        <w:rPr>
          <w:noProof/>
        </w:rPr>
        <w:t>, totalling</w:t>
      </w:r>
      <w:r w:rsidR="00386226" w:rsidRPr="00CE2185">
        <w:rPr>
          <w:noProof/>
        </w:rPr>
        <w:t xml:space="preserve"> </w:t>
      </w:r>
      <w:r w:rsidR="00386226" w:rsidRPr="00CE2185">
        <w:rPr>
          <w:b/>
          <w:bCs/>
          <w:noProof/>
        </w:rPr>
        <w:t>EUR 7.5 million</w:t>
      </w:r>
      <w:r w:rsidR="000132DB" w:rsidRPr="00CE2185">
        <w:rPr>
          <w:b/>
          <w:bCs/>
          <w:noProof/>
        </w:rPr>
        <w:t xml:space="preserve"> cost savings</w:t>
      </w:r>
      <w:r w:rsidR="003070D6" w:rsidRPr="00CE2185">
        <w:rPr>
          <w:b/>
          <w:bCs/>
          <w:noProof/>
        </w:rPr>
        <w:t xml:space="preserve"> over five years</w:t>
      </w:r>
      <w:r w:rsidR="000132DB" w:rsidRPr="00CE2185">
        <w:rPr>
          <w:noProof/>
        </w:rPr>
        <w:t>.</w:t>
      </w:r>
      <w:r w:rsidR="00F82991" w:rsidRPr="00CE2185">
        <w:rPr>
          <w:noProof/>
        </w:rPr>
        <w:t xml:space="preserve"> </w:t>
      </w:r>
      <w:r w:rsidR="002D73C3" w:rsidRPr="00CE2185">
        <w:rPr>
          <w:noProof/>
        </w:rPr>
        <w:t xml:space="preserve"> </w:t>
      </w:r>
      <w:r w:rsidR="008D6239" w:rsidRPr="00CE2185">
        <w:rPr>
          <w:noProof/>
        </w:rPr>
        <w:t xml:space="preserve"> </w:t>
      </w:r>
      <w:r w:rsidR="000D0747" w:rsidRPr="00CE2185">
        <w:rPr>
          <w:noProof/>
        </w:rPr>
        <w:t xml:space="preserve"> </w:t>
      </w:r>
    </w:p>
    <w:p w14:paraId="1EC8E390" w14:textId="46239B36" w:rsidR="00A1267B" w:rsidRPr="00CE2185" w:rsidRDefault="008D6239" w:rsidP="00795DF0">
      <w:pPr>
        <w:spacing w:after="120"/>
        <w:rPr>
          <w:noProof/>
        </w:rPr>
      </w:pPr>
      <w:r w:rsidRPr="00CE2185">
        <w:rPr>
          <w:noProof/>
        </w:rPr>
        <w:t xml:space="preserve">Further, under </w:t>
      </w:r>
      <w:r w:rsidR="00EA5FBE" w:rsidRPr="00CE2185">
        <w:rPr>
          <w:noProof/>
        </w:rPr>
        <w:t>o</w:t>
      </w:r>
      <w:r w:rsidRPr="00CE2185">
        <w:rPr>
          <w:noProof/>
        </w:rPr>
        <w:t xml:space="preserve">ption C.2, the ECCF could be leveraged to demonstrate compliance with the </w:t>
      </w:r>
      <w:r w:rsidR="00823730" w:rsidRPr="00CE2185">
        <w:rPr>
          <w:noProof/>
        </w:rPr>
        <w:t xml:space="preserve">obligations </w:t>
      </w:r>
      <w:r w:rsidRPr="00CE2185">
        <w:rPr>
          <w:noProof/>
        </w:rPr>
        <w:t>to implement cybersecurity risk-management measures</w:t>
      </w:r>
      <w:r w:rsidR="00823730" w:rsidRPr="00CE2185">
        <w:rPr>
          <w:noProof/>
        </w:rPr>
        <w:t xml:space="preserve"> under the NIS2 Directive</w:t>
      </w:r>
      <w:r w:rsidR="00972BEB" w:rsidRPr="00CE2185">
        <w:rPr>
          <w:noProof/>
        </w:rPr>
        <w:t xml:space="preserve">, </w:t>
      </w:r>
      <w:r w:rsidRPr="00CE2185">
        <w:rPr>
          <w:noProof/>
        </w:rPr>
        <w:t xml:space="preserve">and </w:t>
      </w:r>
      <w:r w:rsidR="00972BEB" w:rsidRPr="00CE2185">
        <w:rPr>
          <w:noProof/>
        </w:rPr>
        <w:t xml:space="preserve">possibly </w:t>
      </w:r>
      <w:r w:rsidRPr="00CE2185">
        <w:rPr>
          <w:noProof/>
        </w:rPr>
        <w:t xml:space="preserve">other relevant Union legal acts. This would allow </w:t>
      </w:r>
      <w:r w:rsidR="00972BEB" w:rsidRPr="00CE2185">
        <w:rPr>
          <w:noProof/>
        </w:rPr>
        <w:t>entities</w:t>
      </w:r>
      <w:r w:rsidRPr="00CE2185">
        <w:rPr>
          <w:noProof/>
        </w:rPr>
        <w:t xml:space="preserve"> </w:t>
      </w:r>
      <w:r w:rsidR="00CF0408" w:rsidRPr="00CE2185">
        <w:rPr>
          <w:noProof/>
        </w:rPr>
        <w:t xml:space="preserve">that operate cross-border and are therefore subject to different national supervision systems </w:t>
      </w:r>
      <w:r w:rsidR="00154D44" w:rsidRPr="00CE2185">
        <w:rPr>
          <w:noProof/>
        </w:rPr>
        <w:t xml:space="preserve">as well as </w:t>
      </w:r>
      <w:r w:rsidR="002751D3" w:rsidRPr="00CE2185">
        <w:rPr>
          <w:noProof/>
        </w:rPr>
        <w:t xml:space="preserve">entities </w:t>
      </w:r>
      <w:r w:rsidR="00154D44" w:rsidRPr="00CE2185">
        <w:rPr>
          <w:noProof/>
        </w:rPr>
        <w:t xml:space="preserve">possibly subject to cybersecurity risk-management obligations stemming from </w:t>
      </w:r>
      <w:r w:rsidR="006E786D" w:rsidRPr="00CE2185">
        <w:rPr>
          <w:noProof/>
        </w:rPr>
        <w:t>several</w:t>
      </w:r>
      <w:r w:rsidR="00154D44" w:rsidRPr="00CE2185">
        <w:rPr>
          <w:noProof/>
        </w:rPr>
        <w:t xml:space="preserve"> relevant Union legal acts </w:t>
      </w:r>
      <w:r w:rsidR="002751D3" w:rsidRPr="00CE2185">
        <w:rPr>
          <w:noProof/>
        </w:rPr>
        <w:t>to demonstrate compliance only once.</w:t>
      </w:r>
      <w:r w:rsidR="006E786D" w:rsidRPr="00CE2185">
        <w:rPr>
          <w:noProof/>
        </w:rPr>
        <w:t xml:space="preserve"> </w:t>
      </w:r>
      <w:r w:rsidR="00F511EB" w:rsidRPr="00CE2185">
        <w:rPr>
          <w:noProof/>
          <w:kern w:val="2"/>
          <w:lang w:val="en-IE"/>
        </w:rPr>
        <w:t xml:space="preserve">A cybersecurity audit </w:t>
      </w:r>
      <w:r w:rsidR="00AD6ACC" w:rsidRPr="00CE2185">
        <w:rPr>
          <w:noProof/>
          <w:kern w:val="2"/>
          <w:lang w:val="en-IE"/>
        </w:rPr>
        <w:t xml:space="preserve">would cost </w:t>
      </w:r>
      <w:r w:rsidR="00F511EB" w:rsidRPr="00CE2185">
        <w:rPr>
          <w:noProof/>
          <w:kern w:val="2"/>
          <w:lang w:val="en-IE"/>
        </w:rPr>
        <w:t xml:space="preserve">in </w:t>
      </w:r>
      <w:r w:rsidR="00731938" w:rsidRPr="00CE2185">
        <w:rPr>
          <w:noProof/>
          <w:kern w:val="2"/>
          <w:lang w:val="en-IE"/>
        </w:rPr>
        <w:t>average of 30.000 EUR</w:t>
      </w:r>
      <w:r w:rsidR="00F511EB" w:rsidRPr="00CE2185">
        <w:rPr>
          <w:noProof/>
          <w:kern w:val="2"/>
          <w:lang w:val="en-IE"/>
        </w:rPr>
        <w:t xml:space="preserve">. </w:t>
      </w:r>
      <w:r w:rsidR="00BE0EEE">
        <w:rPr>
          <w:noProof/>
        </w:rPr>
        <w:t>It is</w:t>
      </w:r>
      <w:r w:rsidR="00D2305D" w:rsidRPr="00CE2185">
        <w:rPr>
          <w:noProof/>
        </w:rPr>
        <w:t xml:space="preserve"> </w:t>
      </w:r>
      <w:r w:rsidR="00BE0EEE" w:rsidRPr="00CE2185">
        <w:rPr>
          <w:noProof/>
        </w:rPr>
        <w:t>assum</w:t>
      </w:r>
      <w:r w:rsidR="00BE0EEE">
        <w:rPr>
          <w:noProof/>
        </w:rPr>
        <w:t>ed</w:t>
      </w:r>
      <w:r w:rsidR="00D2305D" w:rsidRPr="00CE2185">
        <w:rPr>
          <w:noProof/>
        </w:rPr>
        <w:t xml:space="preserve"> that</w:t>
      </w:r>
      <w:r w:rsidR="004B5BF6" w:rsidRPr="00CE2185">
        <w:rPr>
          <w:noProof/>
        </w:rPr>
        <w:t xml:space="preserve"> a cyber posture certification w</w:t>
      </w:r>
      <w:r w:rsidR="00731938" w:rsidRPr="00CE2185">
        <w:rPr>
          <w:noProof/>
        </w:rPr>
        <w:t>ould lead to</w:t>
      </w:r>
      <w:r w:rsidR="004B5BF6" w:rsidRPr="00CE2185">
        <w:rPr>
          <w:noProof/>
        </w:rPr>
        <w:t xml:space="preserve"> </w:t>
      </w:r>
      <w:r w:rsidR="00C63CEF" w:rsidRPr="00CE2185">
        <w:rPr>
          <w:noProof/>
        </w:rPr>
        <w:t>similar</w:t>
      </w:r>
      <w:r w:rsidR="004B5BF6" w:rsidRPr="00CE2185">
        <w:rPr>
          <w:noProof/>
        </w:rPr>
        <w:t xml:space="preserve"> </w:t>
      </w:r>
      <w:r w:rsidR="00D776D2" w:rsidRPr="00CE2185">
        <w:rPr>
          <w:noProof/>
        </w:rPr>
        <w:t>recurrent administrative</w:t>
      </w:r>
      <w:r w:rsidR="004B5BF6" w:rsidRPr="00CE2185">
        <w:rPr>
          <w:noProof/>
        </w:rPr>
        <w:t xml:space="preserve"> </w:t>
      </w:r>
      <w:r w:rsidR="0080107C" w:rsidRPr="00CE2185">
        <w:rPr>
          <w:noProof/>
        </w:rPr>
        <w:t xml:space="preserve">costs of </w:t>
      </w:r>
      <w:r w:rsidR="004B5BF6" w:rsidRPr="00CE2185">
        <w:rPr>
          <w:noProof/>
        </w:rPr>
        <w:t xml:space="preserve">EUR </w:t>
      </w:r>
      <w:r w:rsidR="0080107C" w:rsidRPr="00CE2185">
        <w:rPr>
          <w:noProof/>
        </w:rPr>
        <w:t>3</w:t>
      </w:r>
      <w:r w:rsidR="000D5D98" w:rsidRPr="00CE2185">
        <w:rPr>
          <w:noProof/>
        </w:rPr>
        <w:t>0.000 and that</w:t>
      </w:r>
      <w:r w:rsidR="00D2305D" w:rsidRPr="00CE2185">
        <w:rPr>
          <w:noProof/>
        </w:rPr>
        <w:t xml:space="preserve"> </w:t>
      </w:r>
      <w:r w:rsidR="00EB370C" w:rsidRPr="00CE2185">
        <w:rPr>
          <w:noProof/>
        </w:rPr>
        <w:t>one-off adjustment costs would not be significant</w:t>
      </w:r>
      <w:r w:rsidR="003442BA" w:rsidRPr="00CE2185">
        <w:rPr>
          <w:rStyle w:val="FootnoteReference"/>
          <w:noProof/>
        </w:rPr>
        <w:footnoteReference w:id="163"/>
      </w:r>
      <w:r w:rsidR="00FC5A5C" w:rsidRPr="00CE2185">
        <w:rPr>
          <w:noProof/>
        </w:rPr>
        <w:t>,</w:t>
      </w:r>
      <w:r w:rsidR="000D5D98" w:rsidRPr="00CE2185">
        <w:rPr>
          <w:noProof/>
        </w:rPr>
        <w:t xml:space="preserve"> and</w:t>
      </w:r>
      <w:r w:rsidR="00ED1C25" w:rsidRPr="00CE2185">
        <w:rPr>
          <w:noProof/>
        </w:rPr>
        <w:t xml:space="preserve"> </w:t>
      </w:r>
      <w:r w:rsidR="000D5D98" w:rsidRPr="00CE2185">
        <w:rPr>
          <w:noProof/>
        </w:rPr>
        <w:t>that</w:t>
      </w:r>
      <w:r w:rsidR="00D2305D" w:rsidRPr="00CE2185">
        <w:rPr>
          <w:noProof/>
        </w:rPr>
        <w:t xml:space="preserve"> </w:t>
      </w:r>
      <w:r w:rsidR="00187F8E">
        <w:rPr>
          <w:noProof/>
        </w:rPr>
        <w:t>at least</w:t>
      </w:r>
      <w:r w:rsidR="00D2305D" w:rsidRPr="00CE2185">
        <w:rPr>
          <w:noProof/>
        </w:rPr>
        <w:t xml:space="preserve"> </w:t>
      </w:r>
      <w:r w:rsidR="00EE375B" w:rsidRPr="001E5D9D">
        <w:rPr>
          <w:b/>
          <w:bCs/>
          <w:noProof/>
          <w:color w:val="000000" w:themeColor="text1"/>
        </w:rPr>
        <w:t>3</w:t>
      </w:r>
      <w:r w:rsidR="00D2305D" w:rsidRPr="001E5D9D">
        <w:rPr>
          <w:b/>
          <w:bCs/>
          <w:noProof/>
          <w:color w:val="000000" w:themeColor="text1"/>
        </w:rPr>
        <w:t xml:space="preserve">% of </w:t>
      </w:r>
      <w:r w:rsidR="00C361F4" w:rsidRPr="001E5D9D">
        <w:rPr>
          <w:b/>
          <w:bCs/>
          <w:noProof/>
          <w:color w:val="000000" w:themeColor="text1"/>
        </w:rPr>
        <w:t>essential</w:t>
      </w:r>
      <w:r w:rsidR="00D2305D" w:rsidRPr="001E5D9D">
        <w:rPr>
          <w:b/>
          <w:bCs/>
          <w:noProof/>
          <w:color w:val="000000" w:themeColor="text1"/>
        </w:rPr>
        <w:t xml:space="preserve"> </w:t>
      </w:r>
      <w:r w:rsidR="004016BF" w:rsidRPr="001E5D9D">
        <w:rPr>
          <w:b/>
          <w:bCs/>
          <w:noProof/>
          <w:color w:val="000000" w:themeColor="text1"/>
        </w:rPr>
        <w:t xml:space="preserve">and important </w:t>
      </w:r>
      <w:r w:rsidR="00D2305D" w:rsidRPr="001E5D9D">
        <w:rPr>
          <w:b/>
          <w:bCs/>
          <w:noProof/>
          <w:color w:val="000000" w:themeColor="text1"/>
        </w:rPr>
        <w:t>NIS2</w:t>
      </w:r>
      <w:r w:rsidR="00C361F4" w:rsidRPr="001E5D9D">
        <w:rPr>
          <w:b/>
          <w:bCs/>
          <w:noProof/>
          <w:color w:val="000000" w:themeColor="text1"/>
        </w:rPr>
        <w:t xml:space="preserve"> </w:t>
      </w:r>
      <w:r w:rsidR="004016BF" w:rsidRPr="001E5D9D">
        <w:rPr>
          <w:b/>
          <w:bCs/>
          <w:noProof/>
          <w:color w:val="000000" w:themeColor="text1"/>
        </w:rPr>
        <w:t xml:space="preserve"> </w:t>
      </w:r>
      <w:r w:rsidR="00E9472E" w:rsidRPr="001E5D9D">
        <w:rPr>
          <w:b/>
          <w:bCs/>
          <w:noProof/>
          <w:color w:val="000000" w:themeColor="text1"/>
        </w:rPr>
        <w:t>(ca. 5000 companies)</w:t>
      </w:r>
      <w:r w:rsidR="00333430" w:rsidRPr="00CE2185">
        <w:rPr>
          <w:rStyle w:val="FootnoteReference"/>
          <w:noProof/>
        </w:rPr>
        <w:footnoteReference w:id="164"/>
      </w:r>
      <w:r w:rsidR="00FC5A5C" w:rsidRPr="00CE2185">
        <w:rPr>
          <w:noProof/>
          <w:color w:val="000000" w:themeColor="text1"/>
        </w:rPr>
        <w:t xml:space="preserve"> </w:t>
      </w:r>
      <w:r w:rsidR="00C904EC" w:rsidRPr="00CE2185">
        <w:rPr>
          <w:noProof/>
        </w:rPr>
        <w:t xml:space="preserve">are subject to at least two </w:t>
      </w:r>
      <w:r w:rsidR="00F93A28" w:rsidRPr="00CE2185">
        <w:rPr>
          <w:noProof/>
        </w:rPr>
        <w:t xml:space="preserve">supervision frameworks and </w:t>
      </w:r>
      <w:r w:rsidR="00187F8E">
        <w:rPr>
          <w:noProof/>
        </w:rPr>
        <w:t xml:space="preserve">would </w:t>
      </w:r>
      <w:r w:rsidR="00C10642" w:rsidRPr="00CE2185">
        <w:rPr>
          <w:noProof/>
        </w:rPr>
        <w:t xml:space="preserve">make use of the </w:t>
      </w:r>
      <w:r w:rsidR="00451456" w:rsidRPr="00CE2185">
        <w:rPr>
          <w:noProof/>
        </w:rPr>
        <w:t>cyber posture certification</w:t>
      </w:r>
      <w:r w:rsidR="00187F8E">
        <w:rPr>
          <w:noProof/>
        </w:rPr>
        <w:t>.</w:t>
      </w:r>
      <w:r w:rsidR="00451456" w:rsidRPr="00CE2185">
        <w:rPr>
          <w:noProof/>
        </w:rPr>
        <w:t xml:space="preserve"> </w:t>
      </w:r>
      <w:r w:rsidR="00BC3878">
        <w:rPr>
          <w:noProof/>
        </w:rPr>
        <w:t xml:space="preserve">Considering </w:t>
      </w:r>
      <w:r w:rsidR="006479EC">
        <w:rPr>
          <w:noProof/>
        </w:rPr>
        <w:t xml:space="preserve">the simplification potential </w:t>
      </w:r>
      <w:r w:rsidR="00BE4814">
        <w:rPr>
          <w:noProof/>
        </w:rPr>
        <w:t xml:space="preserve">and </w:t>
      </w:r>
      <w:r w:rsidR="00034280">
        <w:rPr>
          <w:noProof/>
        </w:rPr>
        <w:t>attractiveness</w:t>
      </w:r>
      <w:r w:rsidR="00BE4814">
        <w:rPr>
          <w:noProof/>
        </w:rPr>
        <w:t xml:space="preserve"> </w:t>
      </w:r>
      <w:r w:rsidR="006479EC">
        <w:rPr>
          <w:noProof/>
        </w:rPr>
        <w:t>of the</w:t>
      </w:r>
      <w:r w:rsidR="00BC3878">
        <w:rPr>
          <w:noProof/>
        </w:rPr>
        <w:t xml:space="preserve"> certification scheme</w:t>
      </w:r>
      <w:r w:rsidR="006479EC">
        <w:rPr>
          <w:noProof/>
        </w:rPr>
        <w:t xml:space="preserve">, it is expected that </w:t>
      </w:r>
      <w:r w:rsidR="00CD6708">
        <w:rPr>
          <w:noProof/>
        </w:rPr>
        <w:t>certificates would be issued as of 2032 (scheme adopted in 2030</w:t>
      </w:r>
      <w:r w:rsidR="002B0F3C">
        <w:rPr>
          <w:noProof/>
        </w:rPr>
        <w:t xml:space="preserve"> followed by a one-year transition period, including for the notification of CABs</w:t>
      </w:r>
      <w:r w:rsidR="00CD6708">
        <w:rPr>
          <w:noProof/>
        </w:rPr>
        <w:t>)</w:t>
      </w:r>
      <w:r w:rsidR="00BE4814">
        <w:rPr>
          <w:noProof/>
        </w:rPr>
        <w:t xml:space="preserve">. </w:t>
      </w:r>
      <w:r w:rsidR="002B0F3C">
        <w:rPr>
          <w:noProof/>
        </w:rPr>
        <w:t>Taking a gradual approach of 1000 certificates issued per year as of 203</w:t>
      </w:r>
      <w:r>
        <w:rPr>
          <w:noProof/>
        </w:rPr>
        <w:t>2</w:t>
      </w:r>
      <w:r w:rsidR="00451456" w:rsidRPr="00CE2185">
        <w:rPr>
          <w:noProof/>
        </w:rPr>
        <w:t xml:space="preserve">, this </w:t>
      </w:r>
      <w:r w:rsidR="002F267C" w:rsidRPr="00CE2185">
        <w:rPr>
          <w:noProof/>
        </w:rPr>
        <w:t>c</w:t>
      </w:r>
      <w:r w:rsidR="00451456" w:rsidRPr="00CE2185">
        <w:rPr>
          <w:noProof/>
        </w:rPr>
        <w:t xml:space="preserve">ould lead to </w:t>
      </w:r>
      <w:r w:rsidR="0080107C" w:rsidRPr="00CE2185">
        <w:rPr>
          <w:noProof/>
        </w:rPr>
        <w:t>cutting</w:t>
      </w:r>
      <w:r w:rsidR="00451456" w:rsidRPr="00CE2185">
        <w:rPr>
          <w:noProof/>
        </w:rPr>
        <w:t xml:space="preserve"> </w:t>
      </w:r>
      <w:r w:rsidR="00F93A28" w:rsidRPr="00CE2185">
        <w:rPr>
          <w:noProof/>
        </w:rPr>
        <w:t xml:space="preserve">administrative </w:t>
      </w:r>
      <w:r w:rsidR="0080107C" w:rsidRPr="00CE2185">
        <w:rPr>
          <w:noProof/>
        </w:rPr>
        <w:t>cost</w:t>
      </w:r>
      <w:r w:rsidR="004642A1" w:rsidRPr="00CE2185">
        <w:rPr>
          <w:noProof/>
        </w:rPr>
        <w:t>s</w:t>
      </w:r>
      <w:r w:rsidR="0080107C" w:rsidRPr="00CE2185">
        <w:rPr>
          <w:noProof/>
        </w:rPr>
        <w:t xml:space="preserve"> by half</w:t>
      </w:r>
      <w:r w:rsidR="00F27B71">
        <w:rPr>
          <w:noProof/>
        </w:rPr>
        <w:t xml:space="preserve"> for those entities</w:t>
      </w:r>
      <w:r w:rsidR="0080107C" w:rsidRPr="00CE2185">
        <w:rPr>
          <w:noProof/>
        </w:rPr>
        <w:t>, leading to</w:t>
      </w:r>
      <w:r>
        <w:rPr>
          <w:noProof/>
        </w:rPr>
        <w:t xml:space="preserve"> </w:t>
      </w:r>
      <w:r>
        <w:rPr>
          <w:b/>
          <w:bCs/>
          <w:noProof/>
        </w:rPr>
        <w:t>administrative</w:t>
      </w:r>
      <w:r w:rsidR="0080107C">
        <w:rPr>
          <w:b/>
          <w:bCs/>
          <w:noProof/>
        </w:rPr>
        <w:t xml:space="preserve"> cost </w:t>
      </w:r>
      <w:r w:rsidR="00F93A28">
        <w:rPr>
          <w:b/>
          <w:bCs/>
          <w:noProof/>
        </w:rPr>
        <w:t xml:space="preserve">savings of </w:t>
      </w:r>
      <w:r w:rsidR="00572943">
        <w:rPr>
          <w:b/>
          <w:bCs/>
          <w:noProof/>
        </w:rPr>
        <w:t xml:space="preserve">at least EUR </w:t>
      </w:r>
      <w:r w:rsidR="00D05F1B">
        <w:rPr>
          <w:b/>
          <w:bCs/>
          <w:noProof/>
        </w:rPr>
        <w:t xml:space="preserve">30 </w:t>
      </w:r>
      <w:r w:rsidR="00572943">
        <w:rPr>
          <w:b/>
          <w:bCs/>
          <w:noProof/>
        </w:rPr>
        <w:t>million</w:t>
      </w:r>
      <w:r w:rsidR="00E86CB8">
        <w:rPr>
          <w:b/>
          <w:bCs/>
          <w:noProof/>
        </w:rPr>
        <w:t xml:space="preserve"> per year</w:t>
      </w:r>
      <w:r w:rsidR="005A3E34" w:rsidRPr="00CE2185">
        <w:rPr>
          <w:b/>
          <w:bCs/>
          <w:noProof/>
        </w:rPr>
        <w:t xml:space="preserve"> </w:t>
      </w:r>
      <w:r w:rsidR="00D05F1B">
        <w:rPr>
          <w:noProof/>
        </w:rPr>
        <w:t>taking into account</w:t>
      </w:r>
      <w:r w:rsidR="00425B66" w:rsidRPr="00CE2185">
        <w:rPr>
          <w:noProof/>
        </w:rPr>
        <w:t xml:space="preserve"> </w:t>
      </w:r>
      <w:r w:rsidR="00F27B71">
        <w:rPr>
          <w:noProof/>
        </w:rPr>
        <w:t>1</w:t>
      </w:r>
      <w:r w:rsidR="00425B66" w:rsidRPr="00CE2185">
        <w:rPr>
          <w:noProof/>
        </w:rPr>
        <w:t>000 entities</w:t>
      </w:r>
      <w:r>
        <w:rPr>
          <w:noProof/>
        </w:rPr>
        <w:t>, and over the period considered in this report (2028-2032)</w:t>
      </w:r>
      <w:r w:rsidR="005A3E34" w:rsidRPr="00CE2185">
        <w:rPr>
          <w:noProof/>
        </w:rPr>
        <w:t>(</w:t>
      </w:r>
      <w:r w:rsidR="005A3E34" w:rsidRPr="00CE2185">
        <w:rPr>
          <w:i/>
          <w:iCs/>
          <w:noProof/>
          <w:kern w:val="2"/>
          <w:lang w:val="en-IE"/>
        </w:rPr>
        <w:t>see</w:t>
      </w:r>
      <w:r w:rsidR="005A3E34" w:rsidRPr="00CE2185">
        <w:rPr>
          <w:noProof/>
          <w:kern w:val="2"/>
          <w:lang w:val="en-IE"/>
        </w:rPr>
        <w:t xml:space="preserve"> </w:t>
      </w:r>
      <w:r w:rsidR="005A3E34" w:rsidRPr="00CE2185">
        <w:rPr>
          <w:i/>
          <w:iCs/>
          <w:noProof/>
          <w:kern w:val="2"/>
          <w:lang w:val="en-IE"/>
        </w:rPr>
        <w:t xml:space="preserve">Annex </w:t>
      </w:r>
      <w:r w:rsidR="005A6AFB" w:rsidRPr="00CE2185">
        <w:rPr>
          <w:i/>
          <w:iCs/>
          <w:noProof/>
          <w:kern w:val="2"/>
          <w:lang w:val="en-IE"/>
        </w:rPr>
        <w:t>4</w:t>
      </w:r>
      <w:r w:rsidR="00652813" w:rsidRPr="00CE2185">
        <w:rPr>
          <w:i/>
          <w:iCs/>
          <w:noProof/>
          <w:kern w:val="2"/>
          <w:lang w:val="en-IE"/>
        </w:rPr>
        <w:t>,</w:t>
      </w:r>
      <w:r w:rsidR="00652813" w:rsidRPr="00CE2185">
        <w:rPr>
          <w:i/>
          <w:iCs/>
          <w:noProof/>
        </w:rPr>
        <w:t xml:space="preserve"> section 4.3.3</w:t>
      </w:r>
      <w:r w:rsidR="005A3E34" w:rsidRPr="00CE2185">
        <w:rPr>
          <w:noProof/>
        </w:rPr>
        <w:t>)</w:t>
      </w:r>
      <w:r w:rsidR="00572943" w:rsidRPr="00CE2185">
        <w:rPr>
          <w:noProof/>
        </w:rPr>
        <w:t>.</w:t>
      </w:r>
      <w:r w:rsidR="00425B66" w:rsidRPr="00CE2185">
        <w:rPr>
          <w:noProof/>
        </w:rPr>
        <w:t xml:space="preserve"> Those cost savings would be increased for NIS2 entities operating under more than two supervision frameworks.</w:t>
      </w:r>
      <w:r w:rsidR="00572943" w:rsidRPr="00CE2185">
        <w:rPr>
          <w:noProof/>
        </w:rPr>
        <w:t xml:space="preserve"> </w:t>
      </w:r>
      <w:r w:rsidR="006C0F7C" w:rsidRPr="00CE2185">
        <w:rPr>
          <w:noProof/>
        </w:rPr>
        <w:t xml:space="preserve">Concerning </w:t>
      </w:r>
      <w:r w:rsidR="006C0F7C" w:rsidRPr="00CE2185">
        <w:rPr>
          <w:b/>
          <w:bCs/>
          <w:noProof/>
        </w:rPr>
        <w:t>Member States’ authorities</w:t>
      </w:r>
      <w:r w:rsidR="006C0F7C" w:rsidRPr="00CE2185">
        <w:rPr>
          <w:noProof/>
        </w:rPr>
        <w:t xml:space="preserve">, </w:t>
      </w:r>
      <w:r w:rsidR="00D17298" w:rsidRPr="00CE2185">
        <w:rPr>
          <w:noProof/>
        </w:rPr>
        <w:t xml:space="preserve">demonstration of compliance by entities </w:t>
      </w:r>
      <w:r w:rsidR="006C0F7C" w:rsidRPr="00CE2185">
        <w:rPr>
          <w:noProof/>
        </w:rPr>
        <w:t>could streamline supervisory activities</w:t>
      </w:r>
      <w:r w:rsidR="00D17298" w:rsidRPr="00CE2185">
        <w:rPr>
          <w:noProof/>
        </w:rPr>
        <w:t xml:space="preserve">, </w:t>
      </w:r>
      <w:r w:rsidR="006C0F7C" w:rsidRPr="00CE2185">
        <w:rPr>
          <w:noProof/>
        </w:rPr>
        <w:t xml:space="preserve">decreasing the need for extensive manual checks and assessments. </w:t>
      </w:r>
      <w:r w:rsidRPr="00CE2185">
        <w:rPr>
          <w:noProof/>
        </w:rPr>
        <w:t xml:space="preserve">However, given the limited availability of detailed data on inspection efforts and budgets, accurately quantifying the potential savings for these authorities </w:t>
      </w:r>
      <w:r w:rsidR="00425B66" w:rsidRPr="00CE2185">
        <w:rPr>
          <w:noProof/>
        </w:rPr>
        <w:t>is not possible</w:t>
      </w:r>
      <w:r w:rsidRPr="00CE2185">
        <w:rPr>
          <w:noProof/>
        </w:rPr>
        <w:t>.</w:t>
      </w:r>
      <w:r w:rsidR="00F344CE" w:rsidRPr="00CE2185">
        <w:rPr>
          <w:noProof/>
        </w:rPr>
        <w:t xml:space="preserve"> </w:t>
      </w:r>
    </w:p>
    <w:p w14:paraId="5C507286" w14:textId="699C08FD" w:rsidR="00396754" w:rsidRPr="00CE2185" w:rsidRDefault="00C4032C" w:rsidP="00795DF0">
      <w:pPr>
        <w:spacing w:after="120"/>
        <w:rPr>
          <w:noProof/>
        </w:rPr>
      </w:pPr>
      <w:r w:rsidRPr="00CE2185">
        <w:rPr>
          <w:noProof/>
        </w:rPr>
        <w:t xml:space="preserve">In summary for businesses, </w:t>
      </w:r>
      <w:r w:rsidR="003070D6" w:rsidRPr="00CE2185">
        <w:rPr>
          <w:noProof/>
        </w:rPr>
        <w:t xml:space="preserve">the measures proposed would lead to </w:t>
      </w:r>
      <w:r w:rsidR="003070D6" w:rsidRPr="00CE2185">
        <w:rPr>
          <w:b/>
          <w:bCs/>
          <w:noProof/>
        </w:rPr>
        <w:t xml:space="preserve">EUR </w:t>
      </w:r>
      <w:r w:rsidR="00FF53CE" w:rsidRPr="00E5147D">
        <w:rPr>
          <w:b/>
          <w:bCs/>
          <w:noProof/>
        </w:rPr>
        <w:t>14</w:t>
      </w:r>
      <w:r w:rsidR="003070D6" w:rsidRPr="000E5A11">
        <w:rPr>
          <w:b/>
          <w:bCs/>
          <w:noProof/>
        </w:rPr>
        <w:t>.</w:t>
      </w:r>
      <w:r>
        <w:rPr>
          <w:b/>
          <w:bCs/>
          <w:noProof/>
        </w:rPr>
        <w:t xml:space="preserve">6 </w:t>
      </w:r>
      <w:r w:rsidR="003070D6" w:rsidRPr="00CE2185">
        <w:rPr>
          <w:b/>
          <w:bCs/>
          <w:noProof/>
        </w:rPr>
        <w:t>billion administrative cost savings over five years.</w:t>
      </w:r>
      <w:r w:rsidR="003070D6" w:rsidRPr="00CE2185">
        <w:rPr>
          <w:noProof/>
        </w:rPr>
        <w:t xml:space="preserve">  For Member States, cost savings would be at least of </w:t>
      </w:r>
      <w:r w:rsidR="003070D6" w:rsidRPr="00CE2185">
        <w:rPr>
          <w:b/>
          <w:bCs/>
          <w:noProof/>
        </w:rPr>
        <w:t xml:space="preserve">EUR 7.5 million cost savings </w:t>
      </w:r>
      <w:r w:rsidR="003070D6" w:rsidRPr="00CE2185">
        <w:rPr>
          <w:noProof/>
        </w:rPr>
        <w:t xml:space="preserve">over the same period.   </w:t>
      </w:r>
    </w:p>
    <w:p w14:paraId="0FF2E916" w14:textId="30D7A7E3" w:rsidR="00C4032C" w:rsidRPr="00CE2185" w:rsidRDefault="003070D6" w:rsidP="00795DF0">
      <w:pPr>
        <w:spacing w:after="120"/>
        <w:rPr>
          <w:noProof/>
        </w:rPr>
      </w:pPr>
      <w:r w:rsidRPr="00CE2185">
        <w:rPr>
          <w:noProof/>
        </w:rPr>
        <w:t xml:space="preserve"> </w:t>
      </w:r>
    </w:p>
    <w:p w14:paraId="51EF2426" w14:textId="4C45BD9E" w:rsidR="00940F12" w:rsidRPr="00CE2185" w:rsidRDefault="008D6239" w:rsidP="00795DF0">
      <w:pPr>
        <w:spacing w:after="120"/>
        <w:rPr>
          <w:noProof/>
        </w:rPr>
      </w:pPr>
      <w:r w:rsidRPr="00CE2185">
        <w:rPr>
          <w:b/>
          <w:bCs/>
          <w:noProof/>
        </w:rPr>
        <w:t>Option C.3</w:t>
      </w:r>
      <w:r w:rsidRPr="00CE2185">
        <w:rPr>
          <w:noProof/>
        </w:rPr>
        <w:t xml:space="preserve"> would ensure that all cybersecurity risk-management obligations are governed by common definitions, requirements, timelines and templates, reducing legal fragmentation and significantly easing compliance burden across sectors. A unified framework for cybersecurity risk-management measures would </w:t>
      </w:r>
      <w:r w:rsidRPr="00CE2185">
        <w:rPr>
          <w:b/>
          <w:bCs/>
          <w:noProof/>
        </w:rPr>
        <w:t>cut compliance costs</w:t>
      </w:r>
      <w:r w:rsidRPr="00CE2185">
        <w:rPr>
          <w:noProof/>
        </w:rPr>
        <w:t xml:space="preserve"> for entities by reducing the time needed to manage compliance with multiple legislative instruments. Assuming that an entity subject to the NIS2 Directive is in the scope of one other regulatory instrument</w:t>
      </w:r>
      <w:r w:rsidR="00756E45" w:rsidRPr="00CE2185">
        <w:rPr>
          <w:noProof/>
        </w:rPr>
        <w:t>, such as the GDPR,</w:t>
      </w:r>
      <w:r w:rsidRPr="00CE2185">
        <w:rPr>
          <w:noProof/>
        </w:rPr>
        <w:t xml:space="preserve"> whose provisions on </w:t>
      </w:r>
      <w:r w:rsidR="00756E45" w:rsidRPr="00CE2185">
        <w:rPr>
          <w:noProof/>
        </w:rPr>
        <w:t xml:space="preserve">data </w:t>
      </w:r>
      <w:r w:rsidRPr="00CE2185">
        <w:rPr>
          <w:noProof/>
        </w:rPr>
        <w:t xml:space="preserve">security </w:t>
      </w:r>
      <w:r>
        <w:rPr>
          <w:noProof/>
        </w:rPr>
        <w:t xml:space="preserve">would be </w:t>
      </w:r>
      <w:r w:rsidRPr="00CE2185">
        <w:rPr>
          <w:noProof/>
        </w:rPr>
        <w:t xml:space="preserve">brought into the NIS2 framework, </w:t>
      </w:r>
      <w:r w:rsidR="009F41B0" w:rsidRPr="00CE2185">
        <w:rPr>
          <w:noProof/>
        </w:rPr>
        <w:t xml:space="preserve">at least </w:t>
      </w:r>
      <w:r w:rsidRPr="00CE2185">
        <w:rPr>
          <w:b/>
          <w:bCs/>
          <w:noProof/>
        </w:rPr>
        <w:t>1</w:t>
      </w:r>
      <w:r w:rsidR="00061B42" w:rsidRPr="00CE2185">
        <w:rPr>
          <w:b/>
          <w:bCs/>
          <w:noProof/>
        </w:rPr>
        <w:t>5</w:t>
      </w:r>
      <w:r w:rsidR="00812916" w:rsidRPr="00CE2185">
        <w:rPr>
          <w:b/>
          <w:bCs/>
          <w:noProof/>
        </w:rPr>
        <w:t>9</w:t>
      </w:r>
      <w:r w:rsidRPr="00CE2185">
        <w:rPr>
          <w:b/>
          <w:bCs/>
          <w:noProof/>
        </w:rPr>
        <w:t xml:space="preserve"> </w:t>
      </w:r>
      <w:r w:rsidR="00812916" w:rsidRPr="00CE2185">
        <w:rPr>
          <w:b/>
          <w:bCs/>
          <w:noProof/>
        </w:rPr>
        <w:t>3</w:t>
      </w:r>
      <w:r w:rsidRPr="00CE2185">
        <w:rPr>
          <w:b/>
          <w:bCs/>
          <w:noProof/>
        </w:rPr>
        <w:t xml:space="preserve">00 entities </w:t>
      </w:r>
      <w:r w:rsidRPr="00CE2185">
        <w:rPr>
          <w:noProof/>
        </w:rPr>
        <w:t xml:space="preserve">across the Union would </w:t>
      </w:r>
      <w:r w:rsidR="00756E45" w:rsidRPr="00CE2185">
        <w:rPr>
          <w:noProof/>
        </w:rPr>
        <w:t xml:space="preserve">benefit from </w:t>
      </w:r>
      <w:r w:rsidRPr="00CE2185">
        <w:rPr>
          <w:noProof/>
        </w:rPr>
        <w:t xml:space="preserve">monitoring compliance </w:t>
      </w:r>
      <w:r w:rsidR="00310733" w:rsidRPr="00CE2185">
        <w:rPr>
          <w:noProof/>
        </w:rPr>
        <w:t>for only one</w:t>
      </w:r>
      <w:r w:rsidRPr="00CE2185">
        <w:rPr>
          <w:noProof/>
        </w:rPr>
        <w:t xml:space="preserve"> regulatory obligation applicable to them. Further assuming that the change results in annual savings of 0.5 FTE of work per entity, the resulting savings for entities across the Union would be </w:t>
      </w:r>
      <w:r w:rsidRPr="00CE2185">
        <w:rPr>
          <w:b/>
          <w:bCs/>
          <w:noProof/>
        </w:rPr>
        <w:t>EUR 4.5 billion</w:t>
      </w:r>
      <w:r w:rsidRPr="00CE2185">
        <w:rPr>
          <w:noProof/>
        </w:rPr>
        <w:t xml:space="preserve"> per year, in addition to the benefits under option C.2</w:t>
      </w:r>
      <w:r w:rsidR="00940F12" w:rsidRPr="00CE2185">
        <w:rPr>
          <w:noProof/>
        </w:rPr>
        <w:t xml:space="preserve">, leading to a total of </w:t>
      </w:r>
      <w:r w:rsidR="00940F12" w:rsidRPr="00CE2185">
        <w:rPr>
          <w:b/>
          <w:bCs/>
          <w:noProof/>
        </w:rPr>
        <w:t>EUR 37.</w:t>
      </w:r>
      <w:r>
        <w:rPr>
          <w:b/>
          <w:bCs/>
          <w:noProof/>
        </w:rPr>
        <w:t>1</w:t>
      </w:r>
      <w:r w:rsidR="00940F12" w:rsidRPr="00CE2185">
        <w:rPr>
          <w:b/>
          <w:bCs/>
          <w:noProof/>
        </w:rPr>
        <w:t xml:space="preserve"> bn </w:t>
      </w:r>
      <w:r w:rsidR="004642A1" w:rsidRPr="00CE2185">
        <w:rPr>
          <w:b/>
          <w:bCs/>
          <w:noProof/>
        </w:rPr>
        <w:t xml:space="preserve">compliance </w:t>
      </w:r>
      <w:r w:rsidR="00940F12" w:rsidRPr="00CE2185">
        <w:rPr>
          <w:b/>
          <w:bCs/>
          <w:noProof/>
        </w:rPr>
        <w:t>cost savings</w:t>
      </w:r>
      <w:r w:rsidRPr="00CE2185">
        <w:rPr>
          <w:noProof/>
        </w:rPr>
        <w:t xml:space="preserve">. </w:t>
      </w:r>
    </w:p>
    <w:p w14:paraId="2E82B8F0" w14:textId="09D51FB3" w:rsidR="00D01AFE" w:rsidRPr="00CE2185" w:rsidRDefault="008D6239" w:rsidP="00795DF0">
      <w:pPr>
        <w:spacing w:after="120"/>
        <w:rPr>
          <w:noProof/>
        </w:rPr>
      </w:pPr>
      <w:r w:rsidRPr="00CE2185">
        <w:rPr>
          <w:noProof/>
        </w:rPr>
        <w:t>Like for businesses, Member States</w:t>
      </w:r>
      <w:r w:rsidR="00452055" w:rsidRPr="00CE2185">
        <w:rPr>
          <w:noProof/>
        </w:rPr>
        <w:t xml:space="preserve"> would benefit as they only have to supervise one set of cybersecurity rules</w:t>
      </w:r>
      <w:r w:rsidR="00664C44" w:rsidRPr="00CE2185">
        <w:rPr>
          <w:noProof/>
        </w:rPr>
        <w:t xml:space="preserve"> (even for a larger number of entities)</w:t>
      </w:r>
      <w:r w:rsidR="00C512AC" w:rsidRPr="00CE2185">
        <w:rPr>
          <w:noProof/>
        </w:rPr>
        <w:t xml:space="preserve">. It can be estimated that authorities </w:t>
      </w:r>
      <w:r w:rsidR="00C512AC" w:rsidRPr="00CE2185">
        <w:rPr>
          <w:b/>
          <w:bCs/>
          <w:noProof/>
        </w:rPr>
        <w:t>need two FTE</w:t>
      </w:r>
      <w:r w:rsidR="00452055" w:rsidRPr="00CE2185">
        <w:rPr>
          <w:noProof/>
        </w:rPr>
        <w:t xml:space="preserve"> less per Member State</w:t>
      </w:r>
      <w:r w:rsidR="00C73061" w:rsidRPr="00CE2185">
        <w:rPr>
          <w:noProof/>
        </w:rPr>
        <w:t xml:space="preserve">, amounting to </w:t>
      </w:r>
      <w:r w:rsidR="00C73061" w:rsidRPr="00CE2185">
        <w:rPr>
          <w:b/>
          <w:bCs/>
          <w:noProof/>
        </w:rPr>
        <w:t>EUR 3 million</w:t>
      </w:r>
      <w:r w:rsidR="00C73061" w:rsidRPr="00CE2185">
        <w:rPr>
          <w:noProof/>
        </w:rPr>
        <w:t xml:space="preserve"> </w:t>
      </w:r>
      <w:r w:rsidR="00C73061" w:rsidRPr="211C3D34">
        <w:rPr>
          <w:b/>
          <w:bCs/>
          <w:noProof/>
        </w:rPr>
        <w:t xml:space="preserve">in </w:t>
      </w:r>
      <w:r w:rsidR="007D6405" w:rsidRPr="211C3D34">
        <w:rPr>
          <w:b/>
          <w:bCs/>
          <w:noProof/>
        </w:rPr>
        <w:t xml:space="preserve">recurrent </w:t>
      </w:r>
      <w:r w:rsidR="00C73061" w:rsidRPr="211C3D34">
        <w:rPr>
          <w:b/>
          <w:bCs/>
          <w:noProof/>
        </w:rPr>
        <w:t>administrative savings</w:t>
      </w:r>
      <w:r w:rsidR="004642A1" w:rsidRPr="00CE2185">
        <w:rPr>
          <w:b/>
          <w:bCs/>
          <w:noProof/>
        </w:rPr>
        <w:t xml:space="preserve"> per year, totalling to EUR 15 million over five years</w:t>
      </w:r>
      <w:r w:rsidRPr="00CE2185">
        <w:rPr>
          <w:noProof/>
        </w:rPr>
        <w:t>.</w:t>
      </w:r>
      <w:r w:rsidR="00C62115" w:rsidRPr="00CE2185">
        <w:rPr>
          <w:rStyle w:val="FootnoteReference"/>
          <w:noProof/>
        </w:rPr>
        <w:footnoteReference w:id="165"/>
      </w:r>
      <w:r w:rsidRPr="00CE2185">
        <w:rPr>
          <w:noProof/>
        </w:rPr>
        <w:t xml:space="preserve"> </w:t>
      </w:r>
      <w:r w:rsidR="00664C44" w:rsidRPr="00CE2185">
        <w:rPr>
          <w:noProof/>
        </w:rPr>
        <w:t xml:space="preserve">The cost savings due to mandatory reporting of ransomware attacks would be higher under C3 as it would cover more entities. </w:t>
      </w:r>
    </w:p>
    <w:p w14:paraId="2870A5E9" w14:textId="72F0FAC3" w:rsidR="00396754" w:rsidRPr="00CE2185" w:rsidRDefault="00396754" w:rsidP="00EE3DF9">
      <w:pPr>
        <w:pStyle w:val="ListParagraph"/>
        <w:numPr>
          <w:ilvl w:val="0"/>
          <w:numId w:val="45"/>
        </w:numPr>
        <w:spacing w:after="120"/>
        <w:rPr>
          <w:noProof/>
        </w:rPr>
      </w:pPr>
      <w:r w:rsidRPr="00CE2185">
        <w:rPr>
          <w:noProof/>
        </w:rPr>
        <w:t>Cost savings related to reduced cyber incidents</w:t>
      </w:r>
    </w:p>
    <w:p w14:paraId="5CCCB77D" w14:textId="5ADFF4F6" w:rsidR="00396754" w:rsidRPr="00CE2185" w:rsidRDefault="00603F71" w:rsidP="001E5D9D">
      <w:pPr>
        <w:spacing w:before="240" w:after="120"/>
        <w:rPr>
          <w:noProof/>
        </w:rPr>
      </w:pPr>
      <w:r w:rsidRPr="00CE2185">
        <w:rPr>
          <w:noProof/>
        </w:rPr>
        <w:t>Under option C2, h</w:t>
      </w:r>
      <w:r w:rsidR="00396754" w:rsidRPr="00CE2185">
        <w:rPr>
          <w:noProof/>
        </w:rPr>
        <w:t xml:space="preserve">armonising and improving the </w:t>
      </w:r>
      <w:r w:rsidR="00396754" w:rsidRPr="00CE2185">
        <w:rPr>
          <w:b/>
          <w:bCs/>
          <w:noProof/>
        </w:rPr>
        <w:t>collection of data on</w:t>
      </w:r>
      <w:r w:rsidR="00396754" w:rsidRPr="00CE2185">
        <w:rPr>
          <w:noProof/>
        </w:rPr>
        <w:t xml:space="preserve"> </w:t>
      </w:r>
      <w:r w:rsidR="00396754" w:rsidRPr="00CE2185">
        <w:rPr>
          <w:b/>
          <w:bCs/>
          <w:noProof/>
        </w:rPr>
        <w:t>ransomware</w:t>
      </w:r>
      <w:r w:rsidR="00396754" w:rsidRPr="00CE2185">
        <w:rPr>
          <w:noProof/>
        </w:rPr>
        <w:t xml:space="preserve"> </w:t>
      </w:r>
      <w:r w:rsidR="00396754" w:rsidRPr="00CE2185">
        <w:rPr>
          <w:b/>
          <w:bCs/>
          <w:noProof/>
        </w:rPr>
        <w:t>attacks,</w:t>
      </w:r>
      <w:r w:rsidR="00396754" w:rsidRPr="00CE2185">
        <w:rPr>
          <w:noProof/>
        </w:rPr>
        <w:t xml:space="preserve"> in particular reports on any ransom payments made and on ransom payments that entities intend to make, paired with other relevant information, will provide insights to CSIRTs and national authorities which allow them to ensure any future ransomware interventions are appropriate and effective, support entities in growing their resilience and preventing future attacks, and compile the intelligence and evidence that law enforcement agencies need to disrupt and dismantle ransomware gangs and sanction their operatives. These measures would lead to prevention and faster detection of ransomware attacks, hence contribute to reduce the number of successful ransomware incidents leading to </w:t>
      </w:r>
      <w:r w:rsidR="00396754" w:rsidRPr="00CE2185">
        <w:rPr>
          <w:b/>
          <w:bCs/>
          <w:noProof/>
        </w:rPr>
        <w:t>cost savings for businesses</w:t>
      </w:r>
      <w:r w:rsidR="00396754" w:rsidRPr="00CE2185">
        <w:rPr>
          <w:noProof/>
        </w:rPr>
        <w:t xml:space="preserve"> </w:t>
      </w:r>
      <w:r w:rsidR="00396754" w:rsidRPr="00CE2185">
        <w:rPr>
          <w:b/>
          <w:bCs/>
          <w:noProof/>
        </w:rPr>
        <w:t>and public authorities</w:t>
      </w:r>
      <w:r w:rsidR="00396754" w:rsidRPr="00CE2185">
        <w:rPr>
          <w:noProof/>
        </w:rPr>
        <w:t xml:space="preserve"> (</w:t>
      </w:r>
      <w:r w:rsidR="00396754" w:rsidRPr="00CE2185">
        <w:rPr>
          <w:i/>
          <w:iCs/>
          <w:noProof/>
        </w:rPr>
        <w:t>see</w:t>
      </w:r>
      <w:r w:rsidR="00396754" w:rsidRPr="00CE2185">
        <w:rPr>
          <w:noProof/>
        </w:rPr>
        <w:t xml:space="preserve"> </w:t>
      </w:r>
      <w:r w:rsidR="00396754" w:rsidRPr="00CE2185">
        <w:rPr>
          <w:i/>
          <w:iCs/>
          <w:noProof/>
        </w:rPr>
        <w:t>Annex 7</w:t>
      </w:r>
      <w:r w:rsidR="00396754" w:rsidRPr="00CE2185">
        <w:rPr>
          <w:noProof/>
        </w:rPr>
        <w:t>).  Currently, the median ransom payment in Europe ranges between USD 0.2M and 2M (</w:t>
      </w:r>
      <w:r w:rsidR="00396754" w:rsidRPr="00CE2185">
        <w:rPr>
          <w:i/>
          <w:iCs/>
          <w:noProof/>
        </w:rPr>
        <w:t>Table 19 in Annex 7</w:t>
      </w:r>
      <w:r w:rsidR="00396754" w:rsidRPr="00CE2185">
        <w:rPr>
          <w:noProof/>
        </w:rPr>
        <w:t>) with only 55% of entities paying less than the requested ransom (</w:t>
      </w:r>
      <w:r w:rsidR="00396754" w:rsidRPr="00CE2185">
        <w:rPr>
          <w:i/>
          <w:iCs/>
          <w:noProof/>
        </w:rPr>
        <w:t>Table 26 in Annex 7)</w:t>
      </w:r>
      <w:r w:rsidR="00396754" w:rsidRPr="00CE2185">
        <w:rPr>
          <w:noProof/>
        </w:rPr>
        <w:t xml:space="preserve">. Reporting on payments may indirectly lead to reducing ransom payments. At the same time, considering that several entities are taken out of the scope of the NIS2 Directive, these cost savings might be lowered. Hence, it is not possible to provide any quantitative estimation. </w:t>
      </w:r>
    </w:p>
    <w:p w14:paraId="2D6D688F" w14:textId="6DB0ABC7" w:rsidR="00FC5383" w:rsidRPr="00CE2185" w:rsidRDefault="00FC5383" w:rsidP="001E5D9D">
      <w:pPr>
        <w:pStyle w:val="Heading7"/>
        <w:rPr>
          <w:noProof/>
        </w:rPr>
      </w:pPr>
      <w:bookmarkStart w:id="112" w:name="_Toc218767775"/>
      <w:r w:rsidRPr="00CE2185">
        <w:rPr>
          <w:noProof/>
        </w:rPr>
        <w:t>Table 1</w:t>
      </w:r>
      <w:r w:rsidR="007D4F95" w:rsidRPr="00CE2185">
        <w:rPr>
          <w:noProof/>
        </w:rPr>
        <w:t>3</w:t>
      </w:r>
      <w:r w:rsidR="00FA68AE">
        <w:rPr>
          <w:noProof/>
        </w:rPr>
        <w:t>:</w:t>
      </w:r>
      <w:r w:rsidRPr="00CE2185">
        <w:rPr>
          <w:noProof/>
        </w:rPr>
        <w:t xml:space="preserve"> Benefits of policy options C (</w:t>
      </w:r>
      <w:r w:rsidR="002F7166" w:rsidRPr="00CE2185">
        <w:rPr>
          <w:noProof/>
        </w:rPr>
        <w:t>simplification</w:t>
      </w:r>
      <w:r w:rsidRPr="00CE2185">
        <w:rPr>
          <w:noProof/>
        </w:rPr>
        <w:t>)</w:t>
      </w:r>
      <w:bookmarkEnd w:id="112"/>
    </w:p>
    <w:tbl>
      <w:tblPr>
        <w:tblStyle w:val="TableGrid"/>
        <w:tblW w:w="0" w:type="auto"/>
        <w:tblLook w:val="04A0" w:firstRow="1" w:lastRow="0" w:firstColumn="1" w:lastColumn="0" w:noHBand="0" w:noVBand="1"/>
      </w:tblPr>
      <w:tblGrid>
        <w:gridCol w:w="1094"/>
        <w:gridCol w:w="461"/>
        <w:gridCol w:w="3140"/>
        <w:gridCol w:w="4168"/>
      </w:tblGrid>
      <w:tr w:rsidR="00C61EF5" w:rsidRPr="00CE2185" w14:paraId="11C612C8" w14:textId="77777777" w:rsidTr="00DB44C9">
        <w:tc>
          <w:tcPr>
            <w:tcW w:w="1094" w:type="dxa"/>
            <w:vMerge w:val="restart"/>
            <w:shd w:val="clear" w:color="auto" w:fill="DAEEF3" w:themeFill="accent5" w:themeFillTint="33"/>
            <w:vAlign w:val="center"/>
          </w:tcPr>
          <w:p w14:paraId="4F0DF5B5" w14:textId="7912413D" w:rsidR="00D01AFE" w:rsidRPr="00CE2185" w:rsidRDefault="00D01AFE" w:rsidP="00455422">
            <w:pPr>
              <w:spacing w:after="0"/>
              <w:jc w:val="center"/>
              <w:rPr>
                <w:noProof/>
                <w:sz w:val="20"/>
                <w:szCs w:val="20"/>
              </w:rPr>
            </w:pPr>
            <w:r w:rsidRPr="00CE2185">
              <w:rPr>
                <w:b/>
                <w:noProof/>
                <w:sz w:val="20"/>
                <w:szCs w:val="20"/>
              </w:rPr>
              <w:t>Benefits</w:t>
            </w:r>
          </w:p>
        </w:tc>
        <w:tc>
          <w:tcPr>
            <w:tcW w:w="7769" w:type="dxa"/>
            <w:gridSpan w:val="3"/>
            <w:shd w:val="clear" w:color="auto" w:fill="B7CFED"/>
            <w:vAlign w:val="center"/>
          </w:tcPr>
          <w:p w14:paraId="6597F605" w14:textId="77777777" w:rsidR="00D01AFE" w:rsidRPr="00CE2185" w:rsidRDefault="00D01AFE" w:rsidP="00455422">
            <w:pPr>
              <w:spacing w:after="0"/>
              <w:jc w:val="center"/>
              <w:rPr>
                <w:noProof/>
                <w:sz w:val="20"/>
                <w:szCs w:val="20"/>
              </w:rPr>
            </w:pPr>
            <w:r w:rsidRPr="00CE2185">
              <w:rPr>
                <w:b/>
                <w:noProof/>
                <w:sz w:val="20"/>
                <w:szCs w:val="20"/>
              </w:rPr>
              <w:t>Policy options [Simplification]</w:t>
            </w:r>
          </w:p>
        </w:tc>
      </w:tr>
      <w:tr w:rsidR="00CF65B3" w:rsidRPr="00CE2185" w14:paraId="7E95816D" w14:textId="77777777" w:rsidTr="00DB44C9">
        <w:tc>
          <w:tcPr>
            <w:tcW w:w="1094" w:type="dxa"/>
            <w:vMerge/>
            <w:vAlign w:val="center"/>
          </w:tcPr>
          <w:p w14:paraId="76CB4AE2" w14:textId="77777777" w:rsidR="00D01AFE" w:rsidRPr="00CE2185" w:rsidRDefault="00D01AFE" w:rsidP="00455422">
            <w:pPr>
              <w:spacing w:after="0"/>
              <w:jc w:val="center"/>
              <w:rPr>
                <w:noProof/>
                <w:sz w:val="20"/>
                <w:szCs w:val="20"/>
              </w:rPr>
            </w:pPr>
          </w:p>
        </w:tc>
        <w:tc>
          <w:tcPr>
            <w:tcW w:w="461" w:type="dxa"/>
            <w:shd w:val="clear" w:color="auto" w:fill="E1EBF7"/>
            <w:vAlign w:val="center"/>
          </w:tcPr>
          <w:p w14:paraId="7004C433" w14:textId="77777777" w:rsidR="00D01AFE" w:rsidRPr="00CE2185" w:rsidRDefault="00D01AFE" w:rsidP="00455422">
            <w:pPr>
              <w:spacing w:after="0"/>
              <w:jc w:val="center"/>
              <w:rPr>
                <w:b/>
                <w:noProof/>
                <w:sz w:val="20"/>
                <w:szCs w:val="20"/>
              </w:rPr>
            </w:pPr>
            <w:r w:rsidRPr="00CE2185">
              <w:rPr>
                <w:b/>
                <w:noProof/>
                <w:sz w:val="20"/>
                <w:szCs w:val="20"/>
              </w:rPr>
              <w:t>C1</w:t>
            </w:r>
          </w:p>
        </w:tc>
        <w:tc>
          <w:tcPr>
            <w:tcW w:w="3140" w:type="dxa"/>
            <w:shd w:val="clear" w:color="auto" w:fill="E1EBF7"/>
            <w:vAlign w:val="center"/>
          </w:tcPr>
          <w:p w14:paraId="01E7BB5D" w14:textId="77777777" w:rsidR="00D01AFE" w:rsidRPr="00CE2185" w:rsidRDefault="00D01AFE" w:rsidP="00455422">
            <w:pPr>
              <w:spacing w:after="0"/>
              <w:jc w:val="center"/>
              <w:rPr>
                <w:b/>
                <w:noProof/>
                <w:sz w:val="20"/>
                <w:szCs w:val="20"/>
              </w:rPr>
            </w:pPr>
            <w:r w:rsidRPr="00CE2185">
              <w:rPr>
                <w:b/>
                <w:noProof/>
                <w:sz w:val="20"/>
                <w:szCs w:val="20"/>
              </w:rPr>
              <w:t>C2</w:t>
            </w:r>
          </w:p>
        </w:tc>
        <w:tc>
          <w:tcPr>
            <w:tcW w:w="4168" w:type="dxa"/>
            <w:shd w:val="clear" w:color="auto" w:fill="E1EBF7"/>
            <w:vAlign w:val="center"/>
          </w:tcPr>
          <w:p w14:paraId="320B8261" w14:textId="77777777" w:rsidR="00D01AFE" w:rsidRPr="00CE2185" w:rsidRDefault="00D01AFE" w:rsidP="00455422">
            <w:pPr>
              <w:spacing w:after="0"/>
              <w:jc w:val="center"/>
              <w:rPr>
                <w:b/>
                <w:noProof/>
                <w:sz w:val="20"/>
                <w:szCs w:val="20"/>
              </w:rPr>
            </w:pPr>
            <w:r w:rsidRPr="00CE2185">
              <w:rPr>
                <w:b/>
                <w:noProof/>
                <w:sz w:val="20"/>
                <w:szCs w:val="20"/>
              </w:rPr>
              <w:t>C3</w:t>
            </w:r>
          </w:p>
        </w:tc>
      </w:tr>
      <w:tr w:rsidR="007C3BCE" w:rsidRPr="00CE2185" w14:paraId="5C4CE653" w14:textId="77777777" w:rsidTr="00DB44C9">
        <w:tc>
          <w:tcPr>
            <w:tcW w:w="1094" w:type="dxa"/>
          </w:tcPr>
          <w:p w14:paraId="489340A9" w14:textId="61EB4E00" w:rsidR="00D01AFE" w:rsidRPr="00CE2185" w:rsidRDefault="0031104A" w:rsidP="00455422">
            <w:pPr>
              <w:spacing w:after="0"/>
              <w:rPr>
                <w:noProof/>
                <w:sz w:val="20"/>
                <w:szCs w:val="20"/>
              </w:rPr>
            </w:pPr>
            <w:r w:rsidRPr="00CE2185">
              <w:rPr>
                <w:noProof/>
                <w:sz w:val="20"/>
                <w:szCs w:val="20"/>
              </w:rPr>
              <w:t>Businesses</w:t>
            </w:r>
          </w:p>
        </w:tc>
        <w:tc>
          <w:tcPr>
            <w:tcW w:w="461" w:type="dxa"/>
          </w:tcPr>
          <w:p w14:paraId="54247C38" w14:textId="22F8411C" w:rsidR="00D01AFE" w:rsidRPr="00CE2185" w:rsidRDefault="000D641D" w:rsidP="00455422">
            <w:pPr>
              <w:spacing w:after="0"/>
              <w:rPr>
                <w:noProof/>
                <w:sz w:val="20"/>
                <w:szCs w:val="20"/>
              </w:rPr>
            </w:pPr>
            <w:r w:rsidRPr="00CE2185">
              <w:rPr>
                <w:noProof/>
                <w:sz w:val="20"/>
                <w:szCs w:val="20"/>
              </w:rPr>
              <w:t xml:space="preserve">+ </w:t>
            </w:r>
          </w:p>
        </w:tc>
        <w:tc>
          <w:tcPr>
            <w:tcW w:w="3140" w:type="dxa"/>
          </w:tcPr>
          <w:p w14:paraId="3D11F00A" w14:textId="29897DC4" w:rsidR="00A858E0" w:rsidRPr="00CE2185" w:rsidRDefault="00A858E0" w:rsidP="00A858E0">
            <w:pPr>
              <w:spacing w:after="0"/>
              <w:rPr>
                <w:noProof/>
                <w:sz w:val="20"/>
                <w:szCs w:val="20"/>
              </w:rPr>
            </w:pPr>
            <w:r w:rsidRPr="00CE2185">
              <w:rPr>
                <w:b/>
                <w:noProof/>
                <w:sz w:val="20"/>
                <w:szCs w:val="20"/>
              </w:rPr>
              <w:t xml:space="preserve">Total </w:t>
            </w:r>
            <w:r w:rsidR="0036642A" w:rsidRPr="00CE2185">
              <w:rPr>
                <w:b/>
                <w:noProof/>
                <w:sz w:val="20"/>
                <w:szCs w:val="20"/>
              </w:rPr>
              <w:t xml:space="preserve">compliance </w:t>
            </w:r>
            <w:r w:rsidR="00187666" w:rsidRPr="00CE2185">
              <w:rPr>
                <w:b/>
                <w:noProof/>
                <w:sz w:val="20"/>
                <w:szCs w:val="20"/>
              </w:rPr>
              <w:t xml:space="preserve">cost </w:t>
            </w:r>
            <w:r w:rsidRPr="00CE2185">
              <w:rPr>
                <w:b/>
                <w:noProof/>
                <w:sz w:val="20"/>
                <w:szCs w:val="20"/>
              </w:rPr>
              <w:t xml:space="preserve">savings </w:t>
            </w:r>
            <w:r w:rsidR="004642A1" w:rsidRPr="00CE2185">
              <w:rPr>
                <w:b/>
                <w:noProof/>
                <w:sz w:val="20"/>
                <w:szCs w:val="20"/>
              </w:rPr>
              <w:t xml:space="preserve">(administrative and adjustment) </w:t>
            </w:r>
            <w:r w:rsidRPr="00CE2185">
              <w:rPr>
                <w:b/>
                <w:noProof/>
                <w:sz w:val="20"/>
                <w:szCs w:val="20"/>
              </w:rPr>
              <w:t xml:space="preserve">over 5 years of EUR </w:t>
            </w:r>
            <w:r w:rsidR="00187666" w:rsidRPr="00CE2185">
              <w:rPr>
                <w:b/>
                <w:bCs/>
                <w:noProof/>
                <w:sz w:val="20"/>
                <w:szCs w:val="20"/>
              </w:rPr>
              <w:t>1</w:t>
            </w:r>
            <w:r w:rsidR="00DC1CE2">
              <w:rPr>
                <w:b/>
                <w:bCs/>
                <w:noProof/>
                <w:sz w:val="20"/>
                <w:szCs w:val="20"/>
              </w:rPr>
              <w:t>4</w:t>
            </w:r>
            <w:r w:rsidRPr="00CE2185">
              <w:rPr>
                <w:b/>
                <w:noProof/>
                <w:sz w:val="20"/>
                <w:szCs w:val="20"/>
              </w:rPr>
              <w:t>.</w:t>
            </w:r>
            <w:r>
              <w:rPr>
                <w:b/>
                <w:noProof/>
                <w:sz w:val="20"/>
                <w:szCs w:val="20"/>
              </w:rPr>
              <w:t xml:space="preserve">6 </w:t>
            </w:r>
            <w:r w:rsidRPr="00CE2185">
              <w:rPr>
                <w:b/>
                <w:noProof/>
                <w:sz w:val="20"/>
                <w:szCs w:val="20"/>
              </w:rPr>
              <w:t>billion</w:t>
            </w:r>
            <w:r w:rsidR="00187666" w:rsidRPr="00CE2185">
              <w:rPr>
                <w:b/>
                <w:noProof/>
                <w:sz w:val="20"/>
                <w:szCs w:val="20"/>
              </w:rPr>
              <w:t xml:space="preserve"> </w:t>
            </w:r>
            <w:r w:rsidR="00187666" w:rsidRPr="00CE2185">
              <w:rPr>
                <w:noProof/>
                <w:sz w:val="20"/>
                <w:szCs w:val="20"/>
              </w:rPr>
              <w:t xml:space="preserve">(including one-off and recurrent) </w:t>
            </w:r>
          </w:p>
          <w:p w14:paraId="1B9EEE82" w14:textId="68F3058C" w:rsidR="00D01AFE" w:rsidRPr="00CE2185" w:rsidRDefault="007E740B" w:rsidP="00EE3DF9">
            <w:pPr>
              <w:pStyle w:val="ListParagraph"/>
              <w:numPr>
                <w:ilvl w:val="0"/>
                <w:numId w:val="33"/>
              </w:numPr>
              <w:spacing w:after="0"/>
              <w:rPr>
                <w:noProof/>
                <w:sz w:val="20"/>
                <w:szCs w:val="20"/>
              </w:rPr>
            </w:pPr>
            <w:r w:rsidRPr="00CE2185">
              <w:rPr>
                <w:noProof/>
                <w:sz w:val="20"/>
                <w:szCs w:val="20"/>
              </w:rPr>
              <w:t>Reduction</w:t>
            </w:r>
            <w:r w:rsidR="00F16EEE" w:rsidRPr="00CE2185">
              <w:rPr>
                <w:noProof/>
                <w:sz w:val="20"/>
                <w:szCs w:val="20"/>
              </w:rPr>
              <w:t xml:space="preserve"> of scope: </w:t>
            </w:r>
            <w:r w:rsidR="007A5A95" w:rsidRPr="00CE2185">
              <w:rPr>
                <w:noProof/>
                <w:sz w:val="20"/>
                <w:szCs w:val="20"/>
              </w:rPr>
              <w:t>EUR 2.</w:t>
            </w:r>
            <w:r w:rsidR="00564B31" w:rsidRPr="00CE2185">
              <w:rPr>
                <w:noProof/>
                <w:sz w:val="20"/>
                <w:szCs w:val="20"/>
              </w:rPr>
              <w:t>7</w:t>
            </w:r>
            <w:r w:rsidR="007A5A95" w:rsidRPr="00CE2185">
              <w:rPr>
                <w:noProof/>
                <w:sz w:val="20"/>
                <w:szCs w:val="20"/>
              </w:rPr>
              <w:t xml:space="preserve"> billion</w:t>
            </w:r>
            <w:r w:rsidR="006E4999" w:rsidRPr="00CE2185">
              <w:rPr>
                <w:noProof/>
                <w:sz w:val="20"/>
                <w:szCs w:val="20"/>
              </w:rPr>
              <w:t xml:space="preserve"> per year</w:t>
            </w:r>
            <w:r w:rsidR="00FB34C1" w:rsidRPr="00CE2185">
              <w:rPr>
                <w:noProof/>
                <w:sz w:val="20"/>
                <w:szCs w:val="20"/>
              </w:rPr>
              <w:t xml:space="preserve"> = </w:t>
            </w:r>
            <w:r w:rsidR="00E27A8B" w:rsidRPr="00CE2185">
              <w:rPr>
                <w:noProof/>
                <w:sz w:val="20"/>
                <w:szCs w:val="20"/>
              </w:rPr>
              <w:t>EUR 1</w:t>
            </w:r>
            <w:r w:rsidR="00021130" w:rsidRPr="00CE2185">
              <w:rPr>
                <w:noProof/>
                <w:sz w:val="20"/>
                <w:szCs w:val="20"/>
              </w:rPr>
              <w:t>3</w:t>
            </w:r>
            <w:r w:rsidR="00E27A8B" w:rsidRPr="00CE2185">
              <w:rPr>
                <w:noProof/>
                <w:sz w:val="20"/>
                <w:szCs w:val="20"/>
              </w:rPr>
              <w:t>.5 billion over 5 years</w:t>
            </w:r>
            <w:r w:rsidR="003C4757" w:rsidRPr="00CE2185">
              <w:rPr>
                <w:noProof/>
                <w:sz w:val="20"/>
                <w:szCs w:val="20"/>
              </w:rPr>
              <w:t xml:space="preserve"> </w:t>
            </w:r>
            <w:r w:rsidR="0036642A" w:rsidRPr="00CE2185">
              <w:rPr>
                <w:noProof/>
                <w:sz w:val="20"/>
                <w:szCs w:val="20"/>
              </w:rPr>
              <w:t xml:space="preserve">(of which </w:t>
            </w:r>
            <w:r w:rsidR="00AD33F7" w:rsidRPr="00CE2185">
              <w:rPr>
                <w:noProof/>
                <w:sz w:val="20"/>
                <w:szCs w:val="20"/>
              </w:rPr>
              <w:t xml:space="preserve">EUR 1.35 billion in </w:t>
            </w:r>
            <w:r w:rsidR="00F37C54" w:rsidRPr="00CE2185">
              <w:rPr>
                <w:noProof/>
                <w:sz w:val="20"/>
                <w:szCs w:val="20"/>
              </w:rPr>
              <w:t xml:space="preserve">recurrent </w:t>
            </w:r>
            <w:r w:rsidR="00AD33F7" w:rsidRPr="00CE2185">
              <w:rPr>
                <w:noProof/>
                <w:sz w:val="20"/>
                <w:szCs w:val="20"/>
              </w:rPr>
              <w:t>administrative costs)</w:t>
            </w:r>
          </w:p>
          <w:p w14:paraId="1A511C73" w14:textId="739D6B1E" w:rsidR="00E27A8B" w:rsidRPr="00CE2185" w:rsidRDefault="009E13D8" w:rsidP="00EE3DF9">
            <w:pPr>
              <w:pStyle w:val="ListParagraph"/>
              <w:numPr>
                <w:ilvl w:val="0"/>
                <w:numId w:val="33"/>
              </w:numPr>
              <w:spacing w:after="0"/>
              <w:rPr>
                <w:noProof/>
                <w:sz w:val="20"/>
                <w:szCs w:val="20"/>
              </w:rPr>
            </w:pPr>
            <w:r w:rsidRPr="00CE2185">
              <w:rPr>
                <w:noProof/>
                <w:sz w:val="20"/>
                <w:szCs w:val="20"/>
              </w:rPr>
              <w:t xml:space="preserve">Essential to important entities: </w:t>
            </w:r>
            <w:r w:rsidR="003739AF" w:rsidRPr="00CE2185">
              <w:rPr>
                <w:noProof/>
                <w:sz w:val="20"/>
                <w:szCs w:val="20"/>
              </w:rPr>
              <w:t xml:space="preserve">EUR 212 million per year = </w:t>
            </w:r>
            <w:r w:rsidR="009C69A5" w:rsidRPr="00CE2185">
              <w:rPr>
                <w:noProof/>
                <w:sz w:val="20"/>
                <w:szCs w:val="20"/>
              </w:rPr>
              <w:t xml:space="preserve">EUR </w:t>
            </w:r>
            <w:r w:rsidR="00442878" w:rsidRPr="00CE2185">
              <w:rPr>
                <w:noProof/>
                <w:sz w:val="20"/>
                <w:szCs w:val="20"/>
              </w:rPr>
              <w:t>1</w:t>
            </w:r>
            <w:r w:rsidR="009C69A5" w:rsidRPr="00CE2185">
              <w:rPr>
                <w:noProof/>
                <w:sz w:val="20"/>
                <w:szCs w:val="20"/>
              </w:rPr>
              <w:t>.06 billion over 5 years</w:t>
            </w:r>
            <w:r w:rsidR="003F4C64" w:rsidRPr="00CE2185">
              <w:rPr>
                <w:noProof/>
                <w:sz w:val="20"/>
                <w:szCs w:val="20"/>
              </w:rPr>
              <w:t xml:space="preserve"> (</w:t>
            </w:r>
            <w:r w:rsidR="00F37C54" w:rsidRPr="00CE2185">
              <w:rPr>
                <w:noProof/>
                <w:sz w:val="20"/>
                <w:szCs w:val="20"/>
              </w:rPr>
              <w:t xml:space="preserve">recurrent </w:t>
            </w:r>
            <w:r w:rsidR="003F4C64" w:rsidRPr="00CE2185">
              <w:rPr>
                <w:noProof/>
                <w:sz w:val="20"/>
                <w:szCs w:val="20"/>
              </w:rPr>
              <w:t>administrative cost savings)</w:t>
            </w:r>
          </w:p>
          <w:p w14:paraId="4C90510E" w14:textId="15B303AD" w:rsidR="002C2D27" w:rsidRPr="00CE2185" w:rsidRDefault="00C61EF5" w:rsidP="00EE3DF9">
            <w:pPr>
              <w:pStyle w:val="ListParagraph"/>
              <w:numPr>
                <w:ilvl w:val="0"/>
                <w:numId w:val="33"/>
              </w:numPr>
              <w:spacing w:after="0"/>
              <w:rPr>
                <w:noProof/>
                <w:sz w:val="20"/>
                <w:szCs w:val="20"/>
              </w:rPr>
            </w:pPr>
            <w:r w:rsidRPr="00CE2185">
              <w:rPr>
                <w:noProof/>
                <w:sz w:val="20"/>
                <w:szCs w:val="20"/>
              </w:rPr>
              <w:t xml:space="preserve">Use of cyber posture scheme for NIS2 compliance: </w:t>
            </w:r>
            <w:r w:rsidR="002A7453" w:rsidRPr="00CE2185">
              <w:rPr>
                <w:noProof/>
                <w:sz w:val="20"/>
                <w:szCs w:val="20"/>
              </w:rPr>
              <w:t xml:space="preserve">EUR </w:t>
            </w:r>
            <w:r w:rsidR="00AC6A98">
              <w:rPr>
                <w:noProof/>
                <w:sz w:val="20"/>
                <w:szCs w:val="20"/>
              </w:rPr>
              <w:t>3</w:t>
            </w:r>
            <w:r w:rsidR="00AC6A98" w:rsidRPr="00CE2185">
              <w:rPr>
                <w:noProof/>
                <w:sz w:val="20"/>
                <w:szCs w:val="20"/>
              </w:rPr>
              <w:t xml:space="preserve">0 </w:t>
            </w:r>
            <w:r w:rsidR="002A7453" w:rsidRPr="00CE2185">
              <w:rPr>
                <w:noProof/>
                <w:sz w:val="20"/>
                <w:szCs w:val="20"/>
              </w:rPr>
              <w:t>million per year</w:t>
            </w:r>
            <w:r>
              <w:rPr>
                <w:noProof/>
                <w:sz w:val="20"/>
                <w:szCs w:val="20"/>
              </w:rPr>
              <w:t xml:space="preserve"> as of 2032</w:t>
            </w:r>
            <w:r w:rsidR="002A7453" w:rsidRPr="00CE2185">
              <w:rPr>
                <w:noProof/>
                <w:sz w:val="20"/>
                <w:szCs w:val="20"/>
              </w:rPr>
              <w:t xml:space="preserve"> </w:t>
            </w:r>
            <w:r>
              <w:rPr>
                <w:noProof/>
                <w:sz w:val="20"/>
                <w:szCs w:val="20"/>
              </w:rPr>
              <w:t xml:space="preserve">and </w:t>
            </w:r>
            <w:r w:rsidR="00137E89" w:rsidRPr="00CE2185">
              <w:rPr>
                <w:noProof/>
                <w:sz w:val="20"/>
                <w:szCs w:val="20"/>
              </w:rPr>
              <w:t xml:space="preserve">over </w:t>
            </w:r>
            <w:r w:rsidR="00B0285B" w:rsidRPr="00CE2185">
              <w:rPr>
                <w:noProof/>
                <w:sz w:val="20"/>
                <w:szCs w:val="20"/>
              </w:rPr>
              <w:t>5 years</w:t>
            </w:r>
            <w:r>
              <w:rPr>
                <w:noProof/>
                <w:sz w:val="20"/>
                <w:szCs w:val="20"/>
              </w:rPr>
              <w:t xml:space="preserve"> considered in this report</w:t>
            </w:r>
            <w:r w:rsidR="004B794A" w:rsidRPr="00CE2185">
              <w:rPr>
                <w:noProof/>
                <w:sz w:val="20"/>
                <w:szCs w:val="20"/>
              </w:rPr>
              <w:t xml:space="preserve"> (</w:t>
            </w:r>
            <w:r w:rsidR="00F37C54" w:rsidRPr="00CE2185">
              <w:rPr>
                <w:noProof/>
                <w:sz w:val="20"/>
                <w:szCs w:val="20"/>
              </w:rPr>
              <w:t xml:space="preserve">recurrent </w:t>
            </w:r>
            <w:r w:rsidR="004B794A" w:rsidRPr="00CE2185">
              <w:rPr>
                <w:noProof/>
                <w:sz w:val="20"/>
                <w:szCs w:val="20"/>
              </w:rPr>
              <w:t>administrative cost savings)</w:t>
            </w:r>
          </w:p>
          <w:p w14:paraId="28EAC858" w14:textId="77777777" w:rsidR="004C2684" w:rsidRPr="00CE2185" w:rsidRDefault="004C2684" w:rsidP="004C2684">
            <w:pPr>
              <w:pStyle w:val="ListParagraph"/>
              <w:spacing w:after="0"/>
              <w:ind w:left="360"/>
              <w:rPr>
                <w:noProof/>
                <w:sz w:val="20"/>
                <w:szCs w:val="20"/>
              </w:rPr>
            </w:pPr>
          </w:p>
          <w:p w14:paraId="16BE4E9B" w14:textId="2B09620B" w:rsidR="009F3263" w:rsidRPr="00CE2185" w:rsidRDefault="006E3E7A" w:rsidP="00187666">
            <w:pPr>
              <w:spacing w:after="0"/>
              <w:rPr>
                <w:noProof/>
                <w:sz w:val="20"/>
                <w:szCs w:val="20"/>
              </w:rPr>
            </w:pPr>
            <w:r w:rsidRPr="00CE2185">
              <w:rPr>
                <w:noProof/>
                <w:sz w:val="20"/>
                <w:szCs w:val="20"/>
              </w:rPr>
              <w:t xml:space="preserve">Cost savings due to </w:t>
            </w:r>
            <w:r w:rsidRPr="00CE2185">
              <w:rPr>
                <w:b/>
                <w:noProof/>
                <w:sz w:val="20"/>
                <w:szCs w:val="20"/>
              </w:rPr>
              <w:t>reduced ransomware attacks</w:t>
            </w:r>
            <w:r w:rsidR="005A14E7" w:rsidRPr="00CE2185">
              <w:rPr>
                <w:b/>
                <w:noProof/>
                <w:sz w:val="20"/>
                <w:szCs w:val="20"/>
              </w:rPr>
              <w:t xml:space="preserve"> 0/+</w:t>
            </w:r>
          </w:p>
        </w:tc>
        <w:tc>
          <w:tcPr>
            <w:tcW w:w="4168" w:type="dxa"/>
          </w:tcPr>
          <w:p w14:paraId="6AB265E4" w14:textId="1BD06248" w:rsidR="006E3E7A" w:rsidRPr="00CE2185" w:rsidRDefault="006E3E7A" w:rsidP="00187666">
            <w:pPr>
              <w:spacing w:after="0"/>
              <w:rPr>
                <w:noProof/>
                <w:sz w:val="20"/>
                <w:szCs w:val="20"/>
              </w:rPr>
            </w:pPr>
            <w:r w:rsidRPr="00CE2185">
              <w:rPr>
                <w:b/>
                <w:noProof/>
                <w:sz w:val="20"/>
                <w:szCs w:val="20"/>
              </w:rPr>
              <w:t>Total</w:t>
            </w:r>
            <w:r w:rsidR="004642A1" w:rsidRPr="00CE2185">
              <w:rPr>
                <w:b/>
                <w:noProof/>
                <w:sz w:val="20"/>
                <w:szCs w:val="20"/>
              </w:rPr>
              <w:t xml:space="preserve"> compliance costs</w:t>
            </w:r>
            <w:r w:rsidRPr="00CE2185">
              <w:rPr>
                <w:b/>
                <w:noProof/>
                <w:sz w:val="20"/>
                <w:szCs w:val="20"/>
              </w:rPr>
              <w:t xml:space="preserve"> savings over 5 years of EUR 3</w:t>
            </w:r>
            <w:r w:rsidR="002253C8" w:rsidRPr="00CE2185">
              <w:rPr>
                <w:b/>
                <w:noProof/>
                <w:sz w:val="20"/>
                <w:szCs w:val="20"/>
              </w:rPr>
              <w:t>7</w:t>
            </w:r>
            <w:r w:rsidRPr="00CE2185">
              <w:rPr>
                <w:b/>
                <w:noProof/>
                <w:sz w:val="20"/>
                <w:szCs w:val="20"/>
              </w:rPr>
              <w:t>.1 bn</w:t>
            </w:r>
            <w:r w:rsidR="00DE3761" w:rsidRPr="00CE2185">
              <w:rPr>
                <w:b/>
                <w:noProof/>
                <w:sz w:val="20"/>
                <w:szCs w:val="20"/>
              </w:rPr>
              <w:t xml:space="preserve"> </w:t>
            </w:r>
            <w:r w:rsidR="00187666" w:rsidRPr="00CE2185">
              <w:rPr>
                <w:noProof/>
                <w:sz w:val="20"/>
                <w:szCs w:val="20"/>
              </w:rPr>
              <w:t>(including one-off and recurring)</w:t>
            </w:r>
          </w:p>
          <w:p w14:paraId="2DDB8731" w14:textId="0896C43D" w:rsidR="008612AE" w:rsidRPr="00CE2185" w:rsidRDefault="00A1748C" w:rsidP="00EE3DF9">
            <w:pPr>
              <w:pStyle w:val="ListParagraph"/>
              <w:numPr>
                <w:ilvl w:val="0"/>
                <w:numId w:val="30"/>
              </w:numPr>
              <w:spacing w:after="0"/>
              <w:rPr>
                <w:noProof/>
                <w:sz w:val="20"/>
                <w:szCs w:val="20"/>
              </w:rPr>
            </w:pPr>
            <w:r w:rsidRPr="00CE2185">
              <w:rPr>
                <w:noProof/>
                <w:sz w:val="20"/>
                <w:szCs w:val="20"/>
              </w:rPr>
              <w:t xml:space="preserve">Reduction of scope: </w:t>
            </w:r>
            <w:r w:rsidR="00A23C79" w:rsidRPr="00CE2185">
              <w:rPr>
                <w:noProof/>
                <w:sz w:val="20"/>
                <w:szCs w:val="20"/>
              </w:rPr>
              <w:t>EUR 2.</w:t>
            </w:r>
            <w:r w:rsidR="003D6071" w:rsidRPr="00CE2185">
              <w:rPr>
                <w:noProof/>
                <w:sz w:val="20"/>
                <w:szCs w:val="20"/>
              </w:rPr>
              <w:t>7</w:t>
            </w:r>
            <w:r w:rsidR="00A23C79" w:rsidRPr="00CE2185">
              <w:rPr>
                <w:noProof/>
                <w:sz w:val="20"/>
                <w:szCs w:val="20"/>
              </w:rPr>
              <w:t xml:space="preserve"> billion per year = EUR 1</w:t>
            </w:r>
            <w:r w:rsidR="003D6071" w:rsidRPr="00CE2185">
              <w:rPr>
                <w:noProof/>
                <w:sz w:val="20"/>
                <w:szCs w:val="20"/>
              </w:rPr>
              <w:t>3</w:t>
            </w:r>
            <w:r w:rsidR="00A23C79" w:rsidRPr="00CE2185">
              <w:rPr>
                <w:noProof/>
                <w:sz w:val="20"/>
                <w:szCs w:val="20"/>
              </w:rPr>
              <w:t>.5 billion over 5 years</w:t>
            </w:r>
            <w:r w:rsidR="004B794A" w:rsidRPr="00CE2185">
              <w:rPr>
                <w:noProof/>
                <w:sz w:val="20"/>
                <w:szCs w:val="20"/>
              </w:rPr>
              <w:t xml:space="preserve"> (of which EUR 1.35 billion in administrative costs)</w:t>
            </w:r>
          </w:p>
          <w:p w14:paraId="59DE35AC" w14:textId="041FA75B" w:rsidR="008612AE" w:rsidRPr="00CE2185" w:rsidRDefault="00A1748C" w:rsidP="00EE3DF9">
            <w:pPr>
              <w:pStyle w:val="ListParagraph"/>
              <w:numPr>
                <w:ilvl w:val="0"/>
                <w:numId w:val="30"/>
              </w:numPr>
              <w:spacing w:after="0"/>
              <w:rPr>
                <w:noProof/>
                <w:sz w:val="20"/>
                <w:szCs w:val="20"/>
              </w:rPr>
            </w:pPr>
            <w:r w:rsidRPr="00CE2185">
              <w:rPr>
                <w:noProof/>
                <w:sz w:val="20"/>
                <w:szCs w:val="20"/>
              </w:rPr>
              <w:t xml:space="preserve">Essential to important entities: </w:t>
            </w:r>
            <w:r w:rsidR="008612AE" w:rsidRPr="00CE2185">
              <w:rPr>
                <w:noProof/>
                <w:sz w:val="20"/>
                <w:szCs w:val="20"/>
              </w:rPr>
              <w:t>EUR 212 million per year = EUR 1.06 billion over 5 years</w:t>
            </w:r>
            <w:r w:rsidR="004B794A" w:rsidRPr="00CE2185">
              <w:rPr>
                <w:noProof/>
                <w:sz w:val="20"/>
                <w:szCs w:val="20"/>
              </w:rPr>
              <w:t xml:space="preserve"> (</w:t>
            </w:r>
            <w:r w:rsidR="00F37C54" w:rsidRPr="00CE2185">
              <w:rPr>
                <w:noProof/>
                <w:sz w:val="20"/>
                <w:szCs w:val="20"/>
              </w:rPr>
              <w:t xml:space="preserve">recurrent </w:t>
            </w:r>
            <w:r w:rsidR="004B794A" w:rsidRPr="00CE2185">
              <w:rPr>
                <w:noProof/>
                <w:sz w:val="20"/>
                <w:szCs w:val="20"/>
              </w:rPr>
              <w:t>administrative cost savings)</w:t>
            </w:r>
          </w:p>
          <w:p w14:paraId="3959D511" w14:textId="538DD005" w:rsidR="00187666" w:rsidRPr="00CE2185" w:rsidRDefault="00187666" w:rsidP="00EE3DF9">
            <w:pPr>
              <w:pStyle w:val="ListParagraph"/>
              <w:numPr>
                <w:ilvl w:val="0"/>
                <w:numId w:val="30"/>
              </w:numPr>
              <w:spacing w:after="0"/>
              <w:rPr>
                <w:noProof/>
                <w:sz w:val="20"/>
                <w:szCs w:val="20"/>
              </w:rPr>
            </w:pPr>
            <w:r w:rsidRPr="00CE2185">
              <w:rPr>
                <w:noProof/>
                <w:sz w:val="20"/>
                <w:szCs w:val="20"/>
              </w:rPr>
              <w:t xml:space="preserve">Use of cyber posture scheme for NIS2 compliance: EUR </w:t>
            </w:r>
            <w:r w:rsidR="00DE321F">
              <w:rPr>
                <w:noProof/>
                <w:sz w:val="20"/>
                <w:szCs w:val="20"/>
              </w:rPr>
              <w:t>3</w:t>
            </w:r>
            <w:r w:rsidRPr="00CE2185">
              <w:rPr>
                <w:noProof/>
                <w:sz w:val="20"/>
                <w:szCs w:val="20"/>
              </w:rPr>
              <w:t xml:space="preserve">0 million per year </w:t>
            </w:r>
            <w:r>
              <w:rPr>
                <w:noProof/>
                <w:sz w:val="20"/>
                <w:szCs w:val="20"/>
              </w:rPr>
              <w:t xml:space="preserve">as of 2032 and </w:t>
            </w:r>
            <w:r w:rsidRPr="00CE2185">
              <w:rPr>
                <w:noProof/>
                <w:sz w:val="20"/>
                <w:szCs w:val="20"/>
              </w:rPr>
              <w:t>over 5 years</w:t>
            </w:r>
            <w:r w:rsidR="00376F9A">
              <w:rPr>
                <w:noProof/>
                <w:sz w:val="20"/>
                <w:szCs w:val="20"/>
              </w:rPr>
              <w:t xml:space="preserve"> </w:t>
            </w:r>
            <w:r>
              <w:rPr>
                <w:noProof/>
                <w:sz w:val="20"/>
                <w:szCs w:val="20"/>
              </w:rPr>
              <w:t>considered in this report</w:t>
            </w:r>
            <w:r w:rsidR="004B794A" w:rsidRPr="00CE2185">
              <w:rPr>
                <w:noProof/>
                <w:sz w:val="20"/>
                <w:szCs w:val="20"/>
              </w:rPr>
              <w:t xml:space="preserve"> (</w:t>
            </w:r>
            <w:r w:rsidR="00F37C54" w:rsidRPr="00CE2185">
              <w:rPr>
                <w:noProof/>
                <w:sz w:val="20"/>
                <w:szCs w:val="20"/>
              </w:rPr>
              <w:t xml:space="preserve">recurrent </w:t>
            </w:r>
            <w:r w:rsidR="004B794A" w:rsidRPr="00CE2185">
              <w:rPr>
                <w:noProof/>
                <w:sz w:val="20"/>
                <w:szCs w:val="20"/>
              </w:rPr>
              <w:t>administrative cost savings)</w:t>
            </w:r>
          </w:p>
          <w:p w14:paraId="1AD24806" w14:textId="60894DDA" w:rsidR="00016F34" w:rsidRPr="00CE2185" w:rsidRDefault="00CF65B3" w:rsidP="00EE3DF9">
            <w:pPr>
              <w:pStyle w:val="ListParagraph"/>
              <w:numPr>
                <w:ilvl w:val="0"/>
                <w:numId w:val="30"/>
              </w:numPr>
              <w:spacing w:after="0"/>
              <w:rPr>
                <w:noProof/>
                <w:sz w:val="20"/>
                <w:szCs w:val="20"/>
              </w:rPr>
            </w:pPr>
            <w:r w:rsidRPr="00CE2185">
              <w:rPr>
                <w:noProof/>
                <w:sz w:val="20"/>
                <w:szCs w:val="20"/>
              </w:rPr>
              <w:t xml:space="preserve">Savings from a consolidated framework: </w:t>
            </w:r>
            <w:r w:rsidR="00016F34" w:rsidRPr="00CE2185">
              <w:rPr>
                <w:noProof/>
                <w:sz w:val="20"/>
                <w:szCs w:val="20"/>
              </w:rPr>
              <w:t>EUR 4.5 billion per year = EUR 22.5 billion over 5 years</w:t>
            </w:r>
            <w:r w:rsidR="004642A1" w:rsidRPr="00CE2185">
              <w:rPr>
                <w:noProof/>
                <w:sz w:val="20"/>
                <w:szCs w:val="20"/>
              </w:rPr>
              <w:t xml:space="preserve"> (</w:t>
            </w:r>
            <w:r w:rsidR="00F37C54" w:rsidRPr="00CE2185">
              <w:rPr>
                <w:noProof/>
                <w:sz w:val="20"/>
                <w:szCs w:val="20"/>
              </w:rPr>
              <w:t xml:space="preserve">recurrent </w:t>
            </w:r>
            <w:r w:rsidR="004642A1" w:rsidRPr="00CE2185">
              <w:rPr>
                <w:noProof/>
                <w:sz w:val="20"/>
                <w:szCs w:val="20"/>
              </w:rPr>
              <w:t>compliance cost</w:t>
            </w:r>
            <w:r w:rsidR="00F37C54" w:rsidRPr="00CE2185">
              <w:rPr>
                <w:noProof/>
                <w:sz w:val="20"/>
                <w:szCs w:val="20"/>
              </w:rPr>
              <w:t xml:space="preserve"> savings</w:t>
            </w:r>
            <w:r w:rsidR="004642A1" w:rsidRPr="00CE2185">
              <w:rPr>
                <w:noProof/>
                <w:sz w:val="20"/>
                <w:szCs w:val="20"/>
              </w:rPr>
              <w:t>, including administrative and adjustment costs)</w:t>
            </w:r>
          </w:p>
          <w:p w14:paraId="003D23E1" w14:textId="77777777" w:rsidR="004642A1" w:rsidRPr="00CE2185" w:rsidRDefault="004642A1" w:rsidP="00187666">
            <w:pPr>
              <w:spacing w:after="0"/>
              <w:rPr>
                <w:noProof/>
                <w:sz w:val="20"/>
                <w:szCs w:val="20"/>
              </w:rPr>
            </w:pPr>
          </w:p>
          <w:p w14:paraId="1DDA571E" w14:textId="19556FF9" w:rsidR="00D01AFE" w:rsidRPr="00CE2185" w:rsidRDefault="006E3E7A" w:rsidP="00187666">
            <w:pPr>
              <w:spacing w:after="0"/>
              <w:rPr>
                <w:noProof/>
                <w:sz w:val="20"/>
                <w:szCs w:val="20"/>
              </w:rPr>
            </w:pPr>
            <w:r w:rsidRPr="00CE2185">
              <w:rPr>
                <w:noProof/>
                <w:sz w:val="20"/>
                <w:szCs w:val="20"/>
              </w:rPr>
              <w:t xml:space="preserve">Cost savings due to </w:t>
            </w:r>
            <w:r w:rsidRPr="00CE2185">
              <w:rPr>
                <w:b/>
                <w:noProof/>
                <w:sz w:val="20"/>
                <w:szCs w:val="20"/>
              </w:rPr>
              <w:t>reduced ransomware attacks</w:t>
            </w:r>
            <w:r w:rsidRPr="00CE2185">
              <w:rPr>
                <w:noProof/>
                <w:sz w:val="20"/>
                <w:szCs w:val="20"/>
              </w:rPr>
              <w:t xml:space="preserve"> </w:t>
            </w:r>
            <w:r w:rsidR="00187666" w:rsidRPr="00CE2185">
              <w:rPr>
                <w:noProof/>
                <w:sz w:val="20"/>
                <w:szCs w:val="20"/>
              </w:rPr>
              <w:t>&gt;</w:t>
            </w:r>
            <w:r w:rsidRPr="00CE2185">
              <w:rPr>
                <w:noProof/>
                <w:sz w:val="20"/>
                <w:szCs w:val="20"/>
              </w:rPr>
              <w:t xml:space="preserve"> C2</w:t>
            </w:r>
            <w:r w:rsidR="005A14E7" w:rsidRPr="00CE2185">
              <w:rPr>
                <w:noProof/>
                <w:sz w:val="20"/>
                <w:szCs w:val="20"/>
              </w:rPr>
              <w:t xml:space="preserve"> 0/+</w:t>
            </w:r>
          </w:p>
        </w:tc>
      </w:tr>
      <w:tr w:rsidR="007C3BCE" w:rsidRPr="00CE2185" w14:paraId="5B8D9EB9" w14:textId="77777777" w:rsidTr="00DB44C9">
        <w:tc>
          <w:tcPr>
            <w:tcW w:w="1094" w:type="dxa"/>
          </w:tcPr>
          <w:p w14:paraId="0D2CE27C" w14:textId="1B1C4366" w:rsidR="00D01AFE" w:rsidRPr="00CE2185" w:rsidRDefault="0031104A" w:rsidP="00455422">
            <w:pPr>
              <w:spacing w:after="0"/>
              <w:rPr>
                <w:noProof/>
                <w:sz w:val="20"/>
                <w:szCs w:val="20"/>
              </w:rPr>
            </w:pPr>
            <w:r w:rsidRPr="00CE2185">
              <w:rPr>
                <w:noProof/>
                <w:sz w:val="20"/>
                <w:szCs w:val="20"/>
              </w:rPr>
              <w:t>Public authorities</w:t>
            </w:r>
          </w:p>
        </w:tc>
        <w:tc>
          <w:tcPr>
            <w:tcW w:w="461" w:type="dxa"/>
          </w:tcPr>
          <w:p w14:paraId="0DF96AD8" w14:textId="030D89BB" w:rsidR="00D01AFE" w:rsidRPr="00CE2185" w:rsidRDefault="00AB227F" w:rsidP="00455422">
            <w:pPr>
              <w:spacing w:after="0"/>
              <w:rPr>
                <w:noProof/>
                <w:sz w:val="20"/>
                <w:szCs w:val="20"/>
              </w:rPr>
            </w:pPr>
            <w:r w:rsidRPr="00CE2185">
              <w:rPr>
                <w:noProof/>
                <w:sz w:val="20"/>
                <w:szCs w:val="20"/>
              </w:rPr>
              <w:t>0</w:t>
            </w:r>
          </w:p>
        </w:tc>
        <w:tc>
          <w:tcPr>
            <w:tcW w:w="3140" w:type="dxa"/>
          </w:tcPr>
          <w:p w14:paraId="348491FF" w14:textId="5E1879AA" w:rsidR="00D01AFE" w:rsidRPr="00CE2185" w:rsidRDefault="345CE7B8" w:rsidP="00455422">
            <w:pPr>
              <w:spacing w:after="0"/>
              <w:rPr>
                <w:noProof/>
                <w:sz w:val="20"/>
                <w:szCs w:val="20"/>
              </w:rPr>
            </w:pPr>
            <w:r w:rsidRPr="00CE2185">
              <w:rPr>
                <w:noProof/>
                <w:sz w:val="20"/>
                <w:szCs w:val="20"/>
              </w:rPr>
              <w:t>EUR 1</w:t>
            </w:r>
            <w:r w:rsidR="49CD10A9" w:rsidRPr="00CE2185">
              <w:rPr>
                <w:noProof/>
                <w:sz w:val="20"/>
                <w:szCs w:val="20"/>
              </w:rPr>
              <w:t>,</w:t>
            </w:r>
            <w:r w:rsidRPr="00CE2185">
              <w:rPr>
                <w:noProof/>
                <w:sz w:val="20"/>
                <w:szCs w:val="20"/>
              </w:rPr>
              <w:t>5</w:t>
            </w:r>
            <w:r w:rsidR="49CD10A9" w:rsidRPr="00CE2185">
              <w:rPr>
                <w:noProof/>
                <w:sz w:val="20"/>
                <w:szCs w:val="20"/>
              </w:rPr>
              <w:t xml:space="preserve"> million </w:t>
            </w:r>
            <w:r w:rsidRPr="00CE2185">
              <w:rPr>
                <w:noProof/>
                <w:sz w:val="20"/>
                <w:szCs w:val="20"/>
              </w:rPr>
              <w:t xml:space="preserve">per year = EUR </w:t>
            </w:r>
            <w:r w:rsidR="00386226" w:rsidRPr="00CE2185">
              <w:rPr>
                <w:noProof/>
                <w:sz w:val="20"/>
                <w:szCs w:val="20"/>
              </w:rPr>
              <w:t>7</w:t>
            </w:r>
            <w:r w:rsidR="24D63AB8" w:rsidRPr="00CE2185">
              <w:rPr>
                <w:noProof/>
                <w:sz w:val="20"/>
                <w:szCs w:val="20"/>
              </w:rPr>
              <w:t>,5</w:t>
            </w:r>
            <w:r w:rsidRPr="00CE2185">
              <w:rPr>
                <w:noProof/>
                <w:sz w:val="20"/>
                <w:szCs w:val="20"/>
              </w:rPr>
              <w:t xml:space="preserve"> million over 5 years</w:t>
            </w:r>
            <w:r w:rsidR="1B143A46" w:rsidRPr="00CE2185">
              <w:rPr>
                <w:noProof/>
                <w:sz w:val="20"/>
                <w:szCs w:val="20"/>
              </w:rPr>
              <w:t xml:space="preserve"> (due to scope changes) </w:t>
            </w:r>
            <w:r w:rsidR="004642A1" w:rsidRPr="00CE2185">
              <w:rPr>
                <w:noProof/>
                <w:sz w:val="20"/>
                <w:szCs w:val="20"/>
              </w:rPr>
              <w:t xml:space="preserve">of enforcement costs savings </w:t>
            </w:r>
            <w:r w:rsidR="00F37C54" w:rsidRPr="00CE2185">
              <w:rPr>
                <w:noProof/>
                <w:sz w:val="20"/>
                <w:szCs w:val="20"/>
              </w:rPr>
              <w:t>(recurrent)</w:t>
            </w:r>
            <w:r w:rsidR="004642A1" w:rsidRPr="00CE2185">
              <w:rPr>
                <w:noProof/>
                <w:sz w:val="20"/>
                <w:szCs w:val="20"/>
              </w:rPr>
              <w:t xml:space="preserve"> </w:t>
            </w:r>
          </w:p>
        </w:tc>
        <w:tc>
          <w:tcPr>
            <w:tcW w:w="4168" w:type="dxa"/>
          </w:tcPr>
          <w:p w14:paraId="5CE1BFF2" w14:textId="59C5FCC4" w:rsidR="00D01AFE" w:rsidRPr="00CE2185" w:rsidRDefault="0045766D" w:rsidP="00455422">
            <w:pPr>
              <w:spacing w:after="0"/>
              <w:rPr>
                <w:noProof/>
                <w:sz w:val="20"/>
                <w:szCs w:val="20"/>
              </w:rPr>
            </w:pPr>
            <w:r w:rsidRPr="00CE2185">
              <w:rPr>
                <w:noProof/>
                <w:sz w:val="20"/>
                <w:szCs w:val="20"/>
              </w:rPr>
              <w:t>EUR 3 million per year = EUR 1</w:t>
            </w:r>
            <w:r w:rsidR="003E46D7" w:rsidRPr="00CE2185">
              <w:rPr>
                <w:noProof/>
                <w:sz w:val="20"/>
                <w:szCs w:val="20"/>
              </w:rPr>
              <w:t>5</w:t>
            </w:r>
            <w:r w:rsidRPr="00CE2185">
              <w:rPr>
                <w:noProof/>
                <w:sz w:val="20"/>
                <w:szCs w:val="20"/>
              </w:rPr>
              <w:t xml:space="preserve"> </w:t>
            </w:r>
            <w:r w:rsidR="003E46D7" w:rsidRPr="00CE2185">
              <w:rPr>
                <w:noProof/>
                <w:sz w:val="20"/>
                <w:szCs w:val="20"/>
              </w:rPr>
              <w:t>m</w:t>
            </w:r>
            <w:r w:rsidRPr="00CE2185">
              <w:rPr>
                <w:noProof/>
                <w:sz w:val="20"/>
                <w:szCs w:val="20"/>
              </w:rPr>
              <w:t>illion over 5 years</w:t>
            </w:r>
            <w:r w:rsidR="004642A1" w:rsidRPr="00CE2185">
              <w:rPr>
                <w:noProof/>
                <w:sz w:val="20"/>
                <w:szCs w:val="20"/>
              </w:rPr>
              <w:t xml:space="preserve"> of enforcement costs savings </w:t>
            </w:r>
            <w:r w:rsidR="00F37C54" w:rsidRPr="00CE2185">
              <w:rPr>
                <w:noProof/>
                <w:sz w:val="20"/>
                <w:szCs w:val="20"/>
              </w:rPr>
              <w:t>(recurrent)</w:t>
            </w:r>
          </w:p>
        </w:tc>
      </w:tr>
      <w:tr w:rsidR="007C3BCE" w:rsidRPr="00CE2185" w14:paraId="2DE06E55" w14:textId="77777777" w:rsidTr="00DB44C9">
        <w:tc>
          <w:tcPr>
            <w:tcW w:w="1094" w:type="dxa"/>
          </w:tcPr>
          <w:p w14:paraId="630F0A0E" w14:textId="26525B06" w:rsidR="00D01AFE" w:rsidRPr="00CE2185" w:rsidRDefault="0031104A" w:rsidP="00455422">
            <w:pPr>
              <w:spacing w:after="0"/>
              <w:rPr>
                <w:noProof/>
                <w:sz w:val="20"/>
                <w:szCs w:val="20"/>
              </w:rPr>
            </w:pPr>
            <w:r w:rsidRPr="00CE2185">
              <w:rPr>
                <w:noProof/>
                <w:sz w:val="20"/>
                <w:szCs w:val="20"/>
              </w:rPr>
              <w:t>Citizens</w:t>
            </w:r>
          </w:p>
        </w:tc>
        <w:tc>
          <w:tcPr>
            <w:tcW w:w="461" w:type="dxa"/>
          </w:tcPr>
          <w:p w14:paraId="530195AC" w14:textId="26868C7D" w:rsidR="00D01AFE" w:rsidRPr="00CE2185" w:rsidRDefault="00AB227F" w:rsidP="00455422">
            <w:pPr>
              <w:spacing w:after="0"/>
              <w:rPr>
                <w:noProof/>
                <w:sz w:val="20"/>
                <w:szCs w:val="20"/>
              </w:rPr>
            </w:pPr>
            <w:r w:rsidRPr="00CE2185">
              <w:rPr>
                <w:noProof/>
                <w:sz w:val="20"/>
                <w:szCs w:val="20"/>
              </w:rPr>
              <w:t>0</w:t>
            </w:r>
          </w:p>
        </w:tc>
        <w:tc>
          <w:tcPr>
            <w:tcW w:w="3140" w:type="dxa"/>
          </w:tcPr>
          <w:p w14:paraId="7ED7D879" w14:textId="45918E71" w:rsidR="00D01AFE" w:rsidRPr="00CE2185" w:rsidRDefault="00940F12" w:rsidP="00455422">
            <w:pPr>
              <w:spacing w:after="0"/>
              <w:rPr>
                <w:noProof/>
                <w:sz w:val="20"/>
                <w:szCs w:val="20"/>
              </w:rPr>
            </w:pPr>
            <w:r w:rsidRPr="00CE2185">
              <w:rPr>
                <w:noProof/>
                <w:sz w:val="20"/>
                <w:szCs w:val="20"/>
              </w:rPr>
              <w:t xml:space="preserve">0/+ (reporting of ransom payments)  </w:t>
            </w:r>
          </w:p>
        </w:tc>
        <w:tc>
          <w:tcPr>
            <w:tcW w:w="4168" w:type="dxa"/>
          </w:tcPr>
          <w:p w14:paraId="399896DD" w14:textId="5AE1D5EF" w:rsidR="00D01AFE" w:rsidRPr="00CE2185" w:rsidRDefault="00940F12" w:rsidP="00455422">
            <w:pPr>
              <w:spacing w:after="0"/>
              <w:rPr>
                <w:noProof/>
                <w:sz w:val="20"/>
                <w:szCs w:val="20"/>
              </w:rPr>
            </w:pPr>
            <w:r w:rsidRPr="00CE2185">
              <w:rPr>
                <w:noProof/>
                <w:sz w:val="20"/>
                <w:szCs w:val="20"/>
              </w:rPr>
              <w:t xml:space="preserve">0/+ (reporting of ransom payments)  </w:t>
            </w:r>
          </w:p>
        </w:tc>
      </w:tr>
      <w:tr w:rsidR="007C3BCE" w:rsidRPr="00CE2185" w14:paraId="2D1DA25C" w14:textId="77777777" w:rsidTr="00DB44C9">
        <w:tc>
          <w:tcPr>
            <w:tcW w:w="1094" w:type="dxa"/>
          </w:tcPr>
          <w:p w14:paraId="15F588C0" w14:textId="407ACD25" w:rsidR="00D01AFE" w:rsidRPr="00CE2185" w:rsidRDefault="0031104A" w:rsidP="00455422">
            <w:pPr>
              <w:spacing w:after="0"/>
              <w:rPr>
                <w:noProof/>
                <w:sz w:val="20"/>
                <w:szCs w:val="20"/>
              </w:rPr>
            </w:pPr>
            <w:r w:rsidRPr="00CE2185">
              <w:rPr>
                <w:noProof/>
                <w:sz w:val="20"/>
                <w:szCs w:val="20"/>
              </w:rPr>
              <w:t xml:space="preserve">ENISA </w:t>
            </w:r>
          </w:p>
        </w:tc>
        <w:tc>
          <w:tcPr>
            <w:tcW w:w="461" w:type="dxa"/>
          </w:tcPr>
          <w:p w14:paraId="078BE760" w14:textId="04FF8D43" w:rsidR="00D01AFE" w:rsidRPr="00CE2185" w:rsidRDefault="00AB227F" w:rsidP="00455422">
            <w:pPr>
              <w:spacing w:after="0"/>
              <w:rPr>
                <w:noProof/>
                <w:sz w:val="20"/>
                <w:szCs w:val="20"/>
              </w:rPr>
            </w:pPr>
            <w:r w:rsidRPr="00CE2185">
              <w:rPr>
                <w:noProof/>
                <w:sz w:val="20"/>
                <w:szCs w:val="20"/>
              </w:rPr>
              <w:t>0</w:t>
            </w:r>
          </w:p>
        </w:tc>
        <w:tc>
          <w:tcPr>
            <w:tcW w:w="3140" w:type="dxa"/>
          </w:tcPr>
          <w:p w14:paraId="1D37F524" w14:textId="4CFD2B34" w:rsidR="00D01AFE" w:rsidRPr="00CE2185" w:rsidRDefault="004C2684" w:rsidP="00455422">
            <w:pPr>
              <w:spacing w:after="0"/>
              <w:rPr>
                <w:noProof/>
                <w:sz w:val="20"/>
                <w:szCs w:val="20"/>
              </w:rPr>
            </w:pPr>
            <w:r w:rsidRPr="00CE2185">
              <w:rPr>
                <w:noProof/>
                <w:sz w:val="20"/>
                <w:szCs w:val="20"/>
              </w:rPr>
              <w:t>0</w:t>
            </w:r>
          </w:p>
        </w:tc>
        <w:tc>
          <w:tcPr>
            <w:tcW w:w="4168" w:type="dxa"/>
          </w:tcPr>
          <w:p w14:paraId="06C42073" w14:textId="789D7353" w:rsidR="00D01AFE" w:rsidRPr="00CE2185" w:rsidRDefault="004C2684" w:rsidP="00455422">
            <w:pPr>
              <w:spacing w:after="0"/>
              <w:rPr>
                <w:noProof/>
                <w:sz w:val="20"/>
                <w:szCs w:val="20"/>
              </w:rPr>
            </w:pPr>
            <w:r w:rsidRPr="00CE2185">
              <w:rPr>
                <w:noProof/>
                <w:sz w:val="20"/>
                <w:szCs w:val="20"/>
              </w:rPr>
              <w:t>0</w:t>
            </w:r>
          </w:p>
        </w:tc>
      </w:tr>
    </w:tbl>
    <w:p w14:paraId="7461AAA4" w14:textId="77777777" w:rsidR="00DB44C9" w:rsidRPr="00CE2185" w:rsidRDefault="00DB44C9" w:rsidP="00DB44C9">
      <w:pPr>
        <w:pStyle w:val="Heading4"/>
        <w:numPr>
          <w:ilvl w:val="3"/>
          <w:numId w:val="193"/>
        </w:numPr>
        <w:spacing w:before="120"/>
        <w:rPr>
          <w:noProof/>
        </w:rPr>
      </w:pPr>
      <w:r w:rsidRPr="00CE2185">
        <w:rPr>
          <w:noProof/>
        </w:rPr>
        <w:t>ICT supply chain security (Policy Options D.1 to D.3)</w:t>
      </w:r>
    </w:p>
    <w:p w14:paraId="61DC3DA7" w14:textId="77777777" w:rsidR="00DB44C9" w:rsidRPr="00CE2185" w:rsidRDefault="00DB44C9" w:rsidP="00DB44C9">
      <w:pPr>
        <w:pStyle w:val="Heading4"/>
        <w:numPr>
          <w:ilvl w:val="4"/>
          <w:numId w:val="10"/>
        </w:numPr>
        <w:spacing w:after="120"/>
        <w:rPr>
          <w:noProof/>
        </w:rPr>
      </w:pPr>
      <w:r w:rsidRPr="00CE2185">
        <w:rPr>
          <w:noProof/>
        </w:rPr>
        <w:t>Compliance costs for businesses, public authorities and citizens</w:t>
      </w:r>
    </w:p>
    <w:p w14:paraId="5936150B" w14:textId="77777777" w:rsidR="00DB44C9" w:rsidRPr="00CE2185" w:rsidRDefault="00DB44C9" w:rsidP="00DB44C9">
      <w:pPr>
        <w:spacing w:after="120"/>
        <w:rPr>
          <w:noProof/>
        </w:rPr>
      </w:pPr>
      <w:r w:rsidRPr="00CE2185">
        <w:rPr>
          <w:noProof/>
        </w:rPr>
        <w:t xml:space="preserve">Measures related to ICT supply chain restrictions involve direct and indirect costs for </w:t>
      </w:r>
      <w:r w:rsidRPr="00CE2185">
        <w:rPr>
          <w:b/>
          <w:bCs/>
          <w:noProof/>
        </w:rPr>
        <w:t xml:space="preserve">businesses </w:t>
      </w:r>
      <w:r w:rsidRPr="00CE2185">
        <w:rPr>
          <w:noProof/>
        </w:rPr>
        <w:t xml:space="preserve">across sectors which deploy restricted ICT technologies and/or include them in their supply chains. These costs typically include as direct costs, replacing the hardware and buying new equipment, installation and integration, decommissioning, and software updates, as well as indirect cost, retraining staff to use the new equipment and ensuring interoperability with the legacy system. </w:t>
      </w:r>
      <w:r w:rsidRPr="00CE2185">
        <w:rPr>
          <w:b/>
          <w:bCs/>
          <w:noProof/>
        </w:rPr>
        <w:t xml:space="preserve">Public authorities </w:t>
      </w:r>
      <w:r w:rsidRPr="00CE2185">
        <w:rPr>
          <w:noProof/>
        </w:rPr>
        <w:t xml:space="preserve">would carry costs related to conducting risk assessments and supervision, as well as ICT users.  </w:t>
      </w:r>
    </w:p>
    <w:p w14:paraId="0AD23DFC" w14:textId="77777777" w:rsidR="00DB44C9" w:rsidRPr="00CE2185" w:rsidRDefault="00DB44C9" w:rsidP="00DB44C9">
      <w:pPr>
        <w:spacing w:after="120"/>
        <w:rPr>
          <w:noProof/>
        </w:rPr>
      </w:pPr>
      <w:r w:rsidRPr="00CE2185">
        <w:rPr>
          <w:b/>
          <w:bCs/>
          <w:noProof/>
        </w:rPr>
        <w:t>Option D.1</w:t>
      </w:r>
      <w:r w:rsidRPr="00CE2185">
        <w:rPr>
          <w:noProof/>
        </w:rPr>
        <w:t xml:space="preserve"> would entail the use of soft law measures related to ICT supply chain security within the existing EU regulatory framework (NIS2). New coordinated risk assessments and toolboxes beyond 5G networks, would lead to </w:t>
      </w:r>
      <w:r w:rsidRPr="00CE2185">
        <w:rPr>
          <w:b/>
          <w:bCs/>
          <w:noProof/>
        </w:rPr>
        <w:t xml:space="preserve">additional costs for businesses if Member States decide to implement restrictions recommended in the toolboxes </w:t>
      </w:r>
      <w:r w:rsidRPr="00CE2185">
        <w:rPr>
          <w:noProof/>
        </w:rPr>
        <w:t xml:space="preserve">(scanning equipment, submarine cables, and electricity supply being potential topics for the first toolboxes). Each Member State could independently decide to designate high-risk suppliers and restrict certain assets from those suppliers (following the example of 5G). This would lead to </w:t>
      </w:r>
      <w:r w:rsidRPr="00CE2185">
        <w:rPr>
          <w:b/>
          <w:bCs/>
          <w:noProof/>
        </w:rPr>
        <w:t>offsetting and transactions costs</w:t>
      </w:r>
      <w:r w:rsidRPr="00CE2185">
        <w:rPr>
          <w:noProof/>
        </w:rPr>
        <w:t xml:space="preserve"> for relevant economic operators to make necessary changes in their supply chain. For businesses having cross-border activities, additional </w:t>
      </w:r>
      <w:r w:rsidRPr="00CE2185">
        <w:rPr>
          <w:b/>
          <w:bCs/>
          <w:noProof/>
        </w:rPr>
        <w:t>familiarisation costs</w:t>
      </w:r>
      <w:r w:rsidRPr="00CE2185">
        <w:rPr>
          <w:noProof/>
        </w:rPr>
        <w:t xml:space="preserve"> could stem from the fact that the measures may not be the same in each Member State. These costs would be one-off. Regarding 5G suppliers across the EU, the costs would not change compared to the BaU scenario. </w:t>
      </w:r>
    </w:p>
    <w:p w14:paraId="3EA0B11B" w14:textId="77777777" w:rsidR="00DB44C9" w:rsidRPr="00CE2185" w:rsidRDefault="00DB44C9" w:rsidP="00DB44C9">
      <w:pPr>
        <w:spacing w:after="120"/>
        <w:rPr>
          <w:noProof/>
        </w:rPr>
      </w:pPr>
      <w:r w:rsidRPr="00CE2185">
        <w:rPr>
          <w:noProof/>
        </w:rPr>
        <w:t xml:space="preserve">Regarding the </w:t>
      </w:r>
      <w:r w:rsidRPr="00CE2185">
        <w:rPr>
          <w:b/>
          <w:bCs/>
          <w:noProof/>
        </w:rPr>
        <w:t>costs for public authorities</w:t>
      </w:r>
      <w:r w:rsidRPr="00CE2185">
        <w:rPr>
          <w:noProof/>
        </w:rPr>
        <w:t xml:space="preserve">, including Member States and EU institutions and agencies, in particular ENISA, option D.1 would mostly cover their involvement in conducting the additional EU coordinated risk assessments and recommending mitigation measures (toolboxes). Whilst the NIS Cooperation Group already performs coordinated supply chain cybersecurity risk assessments, compared to the business-as-usual where risk assessments would be continued, pursuing additional toolboxes for each risk assessment would entail </w:t>
      </w:r>
      <w:r w:rsidRPr="00CE2185">
        <w:rPr>
          <w:b/>
          <w:bCs/>
          <w:noProof/>
        </w:rPr>
        <w:t>recurrent additional costs for national authorities</w:t>
      </w:r>
      <w:r w:rsidRPr="00CE2185">
        <w:rPr>
          <w:noProof/>
        </w:rPr>
        <w:t xml:space="preserve">. Assuming that twenty-five experts participate in carrying out a risk assessment or toolbox, and that 20% of each expert’s staff time over a period of six months is invested in the risk assessment or toolbox, </w:t>
      </w:r>
      <w:r w:rsidRPr="00CE2185">
        <w:rPr>
          <w:b/>
          <w:bCs/>
          <w:noProof/>
        </w:rPr>
        <w:t>each additional toolbox</w:t>
      </w:r>
      <w:r w:rsidRPr="00CE2185">
        <w:rPr>
          <w:noProof/>
        </w:rPr>
        <w:t xml:space="preserve"> would cost approximately </w:t>
      </w:r>
      <w:r w:rsidRPr="00CE2185">
        <w:rPr>
          <w:b/>
          <w:bCs/>
          <w:noProof/>
        </w:rPr>
        <w:t>EUR 141 250</w:t>
      </w:r>
      <w:r w:rsidRPr="00CE2185">
        <w:rPr>
          <w:noProof/>
        </w:rPr>
        <w:t xml:space="preserve"> in staff time. In the next five years, it is reasonable to assume that there would be between 5 and 8 risk assessments and toolboxes adopted. This would amount to one risk assessment (BaU) and toolbox being developed per year as a minimum.   </w:t>
      </w:r>
    </w:p>
    <w:p w14:paraId="35B73A5E" w14:textId="77777777" w:rsidR="00DB44C9" w:rsidRPr="00CE2185" w:rsidRDefault="00DB44C9" w:rsidP="00DB44C9">
      <w:pPr>
        <w:spacing w:after="120"/>
        <w:rPr>
          <w:noProof/>
        </w:rPr>
      </w:pPr>
      <w:r w:rsidRPr="00CE2185">
        <w:rPr>
          <w:noProof/>
        </w:rPr>
        <w:t xml:space="preserve">Option D.1 could entail </w:t>
      </w:r>
      <w:r w:rsidRPr="00CE2185">
        <w:rPr>
          <w:b/>
          <w:noProof/>
        </w:rPr>
        <w:t>additional indirect costs for</w:t>
      </w:r>
      <w:r w:rsidRPr="00CE2185">
        <w:rPr>
          <w:noProof/>
        </w:rPr>
        <w:t xml:space="preserve"> </w:t>
      </w:r>
      <w:r w:rsidRPr="00CE2185">
        <w:rPr>
          <w:b/>
          <w:bCs/>
          <w:noProof/>
        </w:rPr>
        <w:t>citizens</w:t>
      </w:r>
      <w:r w:rsidRPr="00CE2185">
        <w:rPr>
          <w:noProof/>
        </w:rPr>
        <w:t xml:space="preserve"> in terms of prices increases depending on the assets that are restricted and the implementation of the relevant toolboxes at national level. Hence, it is not possible to give any quantified estimates. </w:t>
      </w:r>
    </w:p>
    <w:p w14:paraId="5146EEA8" w14:textId="77777777" w:rsidR="00DB44C9" w:rsidRPr="00CE2185" w:rsidRDefault="00DB44C9" w:rsidP="00DB44C9">
      <w:pPr>
        <w:spacing w:after="120"/>
        <w:rPr>
          <w:noProof/>
        </w:rPr>
      </w:pPr>
      <w:r w:rsidRPr="00CE2185">
        <w:rPr>
          <w:b/>
          <w:noProof/>
        </w:rPr>
        <w:t>Option D.2</w:t>
      </w:r>
      <w:r w:rsidRPr="00CE2185">
        <w:rPr>
          <w:noProof/>
        </w:rPr>
        <w:t xml:space="preserve"> would make requirements of the 5G Toolbox binding throughout the EU, with the same scope of applications of restrictions on high-risk suppliers in all Member States. </w:t>
      </w:r>
    </w:p>
    <w:p w14:paraId="293E79F3" w14:textId="77777777" w:rsidR="00DB44C9" w:rsidRPr="00CE2185" w:rsidRDefault="00DB44C9" w:rsidP="00DB44C9">
      <w:pPr>
        <w:spacing w:after="120"/>
        <w:rPr>
          <w:noProof/>
        </w:rPr>
      </w:pPr>
      <w:r w:rsidRPr="00CE2185">
        <w:rPr>
          <w:noProof/>
        </w:rPr>
        <w:t xml:space="preserve">This option would have varied impact across </w:t>
      </w:r>
      <w:r w:rsidRPr="00CE2185">
        <w:rPr>
          <w:b/>
          <w:bCs/>
          <w:noProof/>
        </w:rPr>
        <w:t>Member States</w:t>
      </w:r>
      <w:r w:rsidRPr="00CE2185">
        <w:rPr>
          <w:noProof/>
        </w:rPr>
        <w:t>, depending on their reliance on high-risk suppliers in the 5G networks and whether they have properly implemented restrictions on them. Member States can be classified in different categories:</w:t>
      </w:r>
    </w:p>
    <w:p w14:paraId="5CD92DBA" w14:textId="77777777" w:rsidR="00DB44C9" w:rsidRPr="00CE2185" w:rsidRDefault="00DB44C9" w:rsidP="00DB44C9">
      <w:pPr>
        <w:pStyle w:val="ListParagraph"/>
        <w:numPr>
          <w:ilvl w:val="0"/>
          <w:numId w:val="31"/>
        </w:numPr>
        <w:spacing w:after="120"/>
        <w:ind w:left="425" w:hanging="357"/>
        <w:rPr>
          <w:noProof/>
        </w:rPr>
      </w:pPr>
      <w:r w:rsidRPr="00CE2185">
        <w:rPr>
          <w:noProof/>
        </w:rPr>
        <w:t xml:space="preserve">Member States which have enacted restrictions on high-risk suppliers, covering all the key assets as recommended in the 5G Toolbox; </w:t>
      </w:r>
    </w:p>
    <w:p w14:paraId="12BC193B" w14:textId="77777777" w:rsidR="00DB44C9" w:rsidRPr="00CE2185" w:rsidRDefault="00DB44C9" w:rsidP="00DB44C9">
      <w:pPr>
        <w:pStyle w:val="ListParagraph"/>
        <w:numPr>
          <w:ilvl w:val="0"/>
          <w:numId w:val="31"/>
        </w:numPr>
        <w:spacing w:after="120"/>
        <w:ind w:left="425" w:hanging="357"/>
        <w:contextualSpacing w:val="0"/>
        <w:rPr>
          <w:noProof/>
        </w:rPr>
      </w:pPr>
      <w:r w:rsidRPr="00CE2185">
        <w:rPr>
          <w:noProof/>
        </w:rPr>
        <w:t>Member States which have enacted restrictions on high-risk suppliers, but which are not or only partially covering the key assets;</w:t>
      </w:r>
    </w:p>
    <w:p w14:paraId="5520AC0C" w14:textId="77777777" w:rsidR="00DB44C9" w:rsidRPr="00CE2185" w:rsidRDefault="00DB44C9" w:rsidP="00DB44C9">
      <w:pPr>
        <w:pStyle w:val="ListParagraph"/>
        <w:numPr>
          <w:ilvl w:val="0"/>
          <w:numId w:val="31"/>
        </w:numPr>
        <w:spacing w:after="120"/>
        <w:ind w:left="425" w:hanging="357"/>
        <w:contextualSpacing w:val="0"/>
        <w:rPr>
          <w:noProof/>
        </w:rPr>
      </w:pPr>
      <w:r w:rsidRPr="00CE2185">
        <w:rPr>
          <w:noProof/>
        </w:rPr>
        <w:t>Member States which have not enacted any restrictions on high-risk suppliers but are still highly dependent on them in their 5G networks;</w:t>
      </w:r>
    </w:p>
    <w:p w14:paraId="61752A5D" w14:textId="77777777" w:rsidR="00DB44C9" w:rsidRPr="00CE2185" w:rsidRDefault="00DB44C9" w:rsidP="00DB44C9">
      <w:pPr>
        <w:pStyle w:val="ListParagraph"/>
        <w:numPr>
          <w:ilvl w:val="0"/>
          <w:numId w:val="32"/>
        </w:numPr>
        <w:spacing w:after="120"/>
        <w:ind w:left="425" w:hanging="357"/>
        <w:rPr>
          <w:noProof/>
        </w:rPr>
      </w:pPr>
      <w:r w:rsidRPr="00CE2185">
        <w:rPr>
          <w:noProof/>
        </w:rPr>
        <w:t xml:space="preserve">Member States which have not enacted any restrictions on high-risk suppliers, but which have no high-risk supplier in their network. </w:t>
      </w:r>
    </w:p>
    <w:p w14:paraId="66E7221A" w14:textId="77777777" w:rsidR="00DB44C9" w:rsidRPr="00CE2185" w:rsidRDefault="00DB44C9" w:rsidP="00DB44C9">
      <w:pPr>
        <w:spacing w:after="120"/>
        <w:rPr>
          <w:noProof/>
        </w:rPr>
      </w:pPr>
      <w:r w:rsidRPr="00CE2185">
        <w:rPr>
          <w:noProof/>
        </w:rPr>
        <w:t xml:space="preserve">The impacts on </w:t>
      </w:r>
      <w:r w:rsidRPr="00CE2185">
        <w:rPr>
          <w:b/>
          <w:noProof/>
        </w:rPr>
        <w:t>businesses, public authorities and citizens</w:t>
      </w:r>
      <w:r w:rsidRPr="00CE2185">
        <w:rPr>
          <w:noProof/>
        </w:rPr>
        <w:t xml:space="preserve"> would therefore vary across Member States. The impact will be neutral on Member States which have already enacted restrictions covering the key assets as recommended in the 5G Toolbox, while it would be higher for Member States with no restrictions yet or not covering all key assets. </w:t>
      </w:r>
    </w:p>
    <w:p w14:paraId="4C142400" w14:textId="77777777" w:rsidR="00DB44C9" w:rsidRPr="00CE2185" w:rsidRDefault="00DB44C9" w:rsidP="00DB44C9">
      <w:pPr>
        <w:spacing w:after="120"/>
        <w:rPr>
          <w:noProof/>
        </w:rPr>
      </w:pPr>
      <w:r w:rsidRPr="00CE2185">
        <w:rPr>
          <w:noProof/>
        </w:rPr>
        <w:t>Studies have shown that a large number of Member States are highly dependent on high-risk suppliers, in particular eleven Member States have an over 40% share of high-risk suppliers in their 5G radio access network</w:t>
      </w:r>
      <w:r w:rsidRPr="00CE2185">
        <w:rPr>
          <w:rStyle w:val="FootnoteReference"/>
          <w:noProof/>
        </w:rPr>
        <w:footnoteReference w:id="166"/>
      </w:r>
      <w:r w:rsidRPr="00CE2185">
        <w:rPr>
          <w:noProof/>
        </w:rPr>
        <w:t xml:space="preserve">. More recent estimates suggest that this share has slightly decrease in the past years and could be </w:t>
      </w:r>
      <w:r w:rsidRPr="00CE2185">
        <w:rPr>
          <w:rFonts w:eastAsia="Times New Roman"/>
          <w:noProof/>
          <w:lang w:eastAsia="en-IE"/>
        </w:rPr>
        <w:t>in average around 32%</w:t>
      </w:r>
      <w:r w:rsidRPr="00CE2185">
        <w:rPr>
          <w:rStyle w:val="FootnoteReference"/>
          <w:rFonts w:eastAsia="Times New Roman"/>
          <w:noProof/>
          <w:lang w:eastAsia="en-IE"/>
        </w:rPr>
        <w:footnoteReference w:id="167"/>
      </w:r>
      <w:r w:rsidRPr="00CE2185">
        <w:rPr>
          <w:rFonts w:eastAsia="Times New Roman"/>
          <w:noProof/>
          <w:lang w:eastAsia="en-IE"/>
        </w:rPr>
        <w:t xml:space="preserve"> (</w:t>
      </w:r>
      <w:r w:rsidRPr="00CE2185">
        <w:rPr>
          <w:rFonts w:eastAsia="Times New Roman"/>
          <w:i/>
          <w:iCs/>
          <w:noProof/>
          <w:lang w:eastAsia="en-IE"/>
        </w:rPr>
        <w:t>Annex 4</w:t>
      </w:r>
      <w:r w:rsidRPr="00CE2185">
        <w:rPr>
          <w:rFonts w:eastAsia="Times New Roman"/>
          <w:noProof/>
          <w:lang w:eastAsia="en-IE"/>
        </w:rPr>
        <w:t>)</w:t>
      </w:r>
      <w:r w:rsidRPr="00CE2185">
        <w:rPr>
          <w:noProof/>
        </w:rPr>
        <w:t xml:space="preserve">. </w:t>
      </w:r>
    </w:p>
    <w:p w14:paraId="3BB5E4B3" w14:textId="77777777" w:rsidR="00DB44C9" w:rsidRPr="00CE2185" w:rsidRDefault="00DB44C9" w:rsidP="00DB44C9">
      <w:pPr>
        <w:spacing w:after="120"/>
        <w:rPr>
          <w:noProof/>
        </w:rPr>
      </w:pPr>
      <w:r w:rsidRPr="00CE2185">
        <w:rPr>
          <w:noProof/>
        </w:rPr>
        <w:t xml:space="preserve">For </w:t>
      </w:r>
      <w:r w:rsidRPr="00CE2185">
        <w:rPr>
          <w:b/>
          <w:bCs/>
          <w:noProof/>
        </w:rPr>
        <w:t>businesses</w:t>
      </w:r>
      <w:r w:rsidRPr="00CE2185">
        <w:rPr>
          <w:noProof/>
        </w:rPr>
        <w:t xml:space="preserve">, and in particular mobile network operators, this would entail direct and indirect </w:t>
      </w:r>
      <w:r w:rsidRPr="00CE2185">
        <w:rPr>
          <w:b/>
          <w:bCs/>
          <w:noProof/>
        </w:rPr>
        <w:t>substitution and transaction costs</w:t>
      </w:r>
      <w:r w:rsidRPr="00CE2185">
        <w:rPr>
          <w:noProof/>
        </w:rPr>
        <w:t xml:space="preserve"> for replacing relevant 5G equipment coming from high-risk suppliers throughout the EU with comparable alternative, excluding the natural network modernisation costs. According to the available sources, it is estimated that 41% of the mobile subscribers in Europe have access to 5G RAN provided by one of the high-risk suppliers</w:t>
      </w:r>
      <w:r w:rsidRPr="00CE2185">
        <w:rPr>
          <w:rStyle w:val="FootnoteReference"/>
          <w:noProof/>
        </w:rPr>
        <w:footnoteReference w:id="168"/>
      </w:r>
      <w:r w:rsidRPr="00CE2185">
        <w:rPr>
          <w:noProof/>
        </w:rPr>
        <w:t xml:space="preserve">. </w:t>
      </w:r>
    </w:p>
    <w:p w14:paraId="4C13728E" w14:textId="77777777" w:rsidR="00DB44C9" w:rsidRPr="00CE2185" w:rsidRDefault="00DB44C9" w:rsidP="00DB44C9">
      <w:pPr>
        <w:spacing w:after="120"/>
        <w:rPr>
          <w:i/>
          <w:iCs/>
          <w:noProof/>
        </w:rPr>
      </w:pPr>
      <w:r w:rsidRPr="00CE2185">
        <w:rPr>
          <w:noProof/>
        </w:rPr>
        <w:t xml:space="preserve">Based on available data from the 5G Observatory on investments in 5G RAN and core network equipment, and assuming a transition period of </w:t>
      </w:r>
      <w:r w:rsidRPr="001E5D9D">
        <w:rPr>
          <w:b/>
          <w:bCs/>
          <w:noProof/>
        </w:rPr>
        <w:t>three years</w:t>
      </w:r>
      <w:r w:rsidRPr="00CE2185">
        <w:rPr>
          <w:noProof/>
        </w:rPr>
        <w:t xml:space="preserve">, it is estimated that the </w:t>
      </w:r>
      <w:r w:rsidRPr="00CE2185">
        <w:rPr>
          <w:b/>
          <w:bCs/>
          <w:noProof/>
        </w:rPr>
        <w:t>one-off cost</w:t>
      </w:r>
      <w:r w:rsidRPr="00CE2185">
        <w:rPr>
          <w:noProof/>
        </w:rPr>
        <w:t xml:space="preserve"> of replacement of the equipment coming from the high-risk suppliers</w:t>
      </w:r>
      <w:r w:rsidRPr="00CE2185">
        <w:rPr>
          <w:noProof/>
          <w:vertAlign w:val="superscript"/>
        </w:rPr>
        <w:footnoteReference w:id="169"/>
      </w:r>
      <w:r w:rsidRPr="00CE2185">
        <w:rPr>
          <w:noProof/>
          <w:vertAlign w:val="superscript"/>
        </w:rPr>
        <w:t xml:space="preserve"> </w:t>
      </w:r>
      <w:r w:rsidRPr="00CE2185">
        <w:rPr>
          <w:noProof/>
        </w:rPr>
        <w:t xml:space="preserve">could </w:t>
      </w:r>
      <w:r w:rsidRPr="001E5D9D">
        <w:rPr>
          <w:noProof/>
        </w:rPr>
        <w:t>amount to</w:t>
      </w:r>
      <w:r w:rsidRPr="00CE2185">
        <w:rPr>
          <w:b/>
          <w:bCs/>
          <w:noProof/>
        </w:rPr>
        <w:t xml:space="preserve"> </w:t>
      </w:r>
      <w:r w:rsidRPr="00CE2185">
        <w:rPr>
          <w:noProof/>
        </w:rPr>
        <w:t xml:space="preserve"> </w:t>
      </w:r>
      <w:r w:rsidRPr="001E5D9D">
        <w:rPr>
          <w:b/>
          <w:bCs/>
          <w:noProof/>
        </w:rPr>
        <w:t>EUR 3.4 bn to EUR 4.3 bn</w:t>
      </w:r>
      <w:r w:rsidRPr="00CE2185">
        <w:rPr>
          <w:noProof/>
        </w:rPr>
        <w:t xml:space="preserve"> for the non-upgradeable equipment</w:t>
      </w:r>
      <w:r w:rsidRPr="00CE2185">
        <w:rPr>
          <w:rStyle w:val="FootnoteReference"/>
          <w:noProof/>
        </w:rPr>
        <w:footnoteReference w:id="170"/>
      </w:r>
      <w:r w:rsidRPr="00CE2185">
        <w:rPr>
          <w:noProof/>
        </w:rPr>
        <w:t xml:space="preserve"> per year over </w:t>
      </w:r>
      <w:r>
        <w:rPr>
          <w:noProof/>
        </w:rPr>
        <w:t xml:space="preserve">three </w:t>
      </w:r>
      <w:r w:rsidRPr="00CE2185">
        <w:rPr>
          <w:noProof/>
        </w:rPr>
        <w:t xml:space="preserve">years (taking into account the BaU factor of 10 to 15% annual replacement). These costs would entail the costs of decommissioning the equipment from high-risk equipment (both hardware and software), the acquisition of new equipment from trusted suppliers, and the human resources to perform the replacement (see </w:t>
      </w:r>
      <w:r w:rsidRPr="00CE2185">
        <w:rPr>
          <w:i/>
          <w:iCs/>
          <w:noProof/>
        </w:rPr>
        <w:t>Annex 4 section</w:t>
      </w:r>
      <w:r w:rsidRPr="211C3D34">
        <w:rPr>
          <w:i/>
          <w:iCs/>
          <w:noProof/>
        </w:rPr>
        <w:t xml:space="preserve"> 4.4.1</w:t>
      </w:r>
      <w:r w:rsidRPr="00CE2185">
        <w:rPr>
          <w:noProof/>
        </w:rPr>
        <w:t xml:space="preserve">). </w:t>
      </w:r>
      <w:r w:rsidRPr="00CE2185">
        <w:rPr>
          <w:rFonts w:eastAsia="Aptos"/>
          <w:noProof/>
          <w:kern w:val="2"/>
        </w:rPr>
        <w:t>Estimations of costs were derived considering investments that were made in the EU for 5G non-standalone and standalone deployment since 2019.</w:t>
      </w:r>
      <w:r w:rsidRPr="00CE2185">
        <w:rPr>
          <w:noProof/>
        </w:rPr>
        <w:t xml:space="preserve"> </w:t>
      </w:r>
      <w:r w:rsidRPr="00CE2185">
        <w:rPr>
          <w:rFonts w:eastAsia="Times New Roman"/>
          <w:noProof/>
          <w:lang w:val="en-IE" w:eastAsia="en-IE"/>
        </w:rPr>
        <w:t xml:space="preserve">The share of high-risk assets is considered </w:t>
      </w:r>
      <w:r w:rsidRPr="00CE2185">
        <w:rPr>
          <w:noProof/>
        </w:rPr>
        <w:t xml:space="preserve">40% to 32% of the total assets, of which </w:t>
      </w:r>
      <w:r w:rsidRPr="211C3D34">
        <w:rPr>
          <w:rFonts w:eastAsia="Times New Roman"/>
          <w:noProof/>
          <w:lang w:val="en-IE" w:eastAsia="en-IE"/>
        </w:rPr>
        <w:t xml:space="preserve">30 </w:t>
      </w:r>
      <w:r w:rsidRPr="00CE2185">
        <w:rPr>
          <w:rFonts w:eastAsia="Times New Roman"/>
          <w:noProof/>
          <w:lang w:val="en-IE" w:eastAsia="en-IE"/>
        </w:rPr>
        <w:t xml:space="preserve">to </w:t>
      </w:r>
      <w:r w:rsidRPr="211C3D34">
        <w:rPr>
          <w:rFonts w:eastAsia="Times New Roman"/>
          <w:noProof/>
          <w:lang w:val="en-IE" w:eastAsia="en-IE"/>
        </w:rPr>
        <w:t>45</w:t>
      </w:r>
      <w:r w:rsidRPr="00CE2185">
        <w:rPr>
          <w:rFonts w:eastAsia="Times New Roman"/>
          <w:noProof/>
          <w:lang w:val="en-IE" w:eastAsia="en-IE"/>
        </w:rPr>
        <w:t xml:space="preserve"> % of the equipment would have to be replaced over </w:t>
      </w:r>
      <w:r w:rsidRPr="211C3D34">
        <w:rPr>
          <w:rFonts w:eastAsia="Times New Roman"/>
          <w:noProof/>
          <w:lang w:val="en-IE" w:eastAsia="en-IE"/>
        </w:rPr>
        <w:t xml:space="preserve">three </w:t>
      </w:r>
      <w:r w:rsidRPr="00CE2185">
        <w:rPr>
          <w:rFonts w:eastAsia="Times New Roman"/>
          <w:noProof/>
          <w:lang w:val="en-IE" w:eastAsia="en-IE"/>
        </w:rPr>
        <w:t xml:space="preserve">years considering the technology cycles as explained in </w:t>
      </w:r>
      <w:r w:rsidRPr="00CE2185">
        <w:rPr>
          <w:rFonts w:eastAsia="Times New Roman"/>
          <w:i/>
          <w:iCs/>
          <w:noProof/>
          <w:lang w:val="en-IE" w:eastAsia="en-IE"/>
        </w:rPr>
        <w:t xml:space="preserve">Annex 4 section 4.4.1 </w:t>
      </w:r>
      <w:r w:rsidRPr="00CE2185">
        <w:rPr>
          <w:rFonts w:eastAsia="Times New Roman"/>
          <w:noProof/>
          <w:lang w:val="en-IE" w:eastAsia="en-IE"/>
        </w:rPr>
        <w:t>when taking the assumption that 10-15% of equipment would be replaced on a yearly basis</w:t>
      </w:r>
      <w:r w:rsidRPr="00CE2185">
        <w:rPr>
          <w:rFonts w:eastAsia="Times New Roman"/>
          <w:i/>
          <w:iCs/>
          <w:noProof/>
          <w:lang w:val="en-IE" w:eastAsia="en-IE"/>
        </w:rPr>
        <w:t xml:space="preserve">. </w:t>
      </w:r>
    </w:p>
    <w:p w14:paraId="211E8F06" w14:textId="77777777" w:rsidR="00DB44C9" w:rsidRPr="00CE2185" w:rsidRDefault="00DB44C9" w:rsidP="00DB44C9">
      <w:pPr>
        <w:spacing w:after="120"/>
        <w:rPr>
          <w:noProof/>
        </w:rPr>
      </w:pPr>
      <w:r w:rsidRPr="00CE2185">
        <w:rPr>
          <w:noProof/>
        </w:rPr>
        <w:t>The mobile network operators might decide to transfer (fully or partly) these costs to the consumers as one possible strategy of network operators</w:t>
      </w:r>
      <w:r w:rsidRPr="00CE2185">
        <w:rPr>
          <w:rStyle w:val="FootnoteReference"/>
          <w:noProof/>
        </w:rPr>
        <w:footnoteReference w:id="171"/>
      </w:r>
      <w:r w:rsidRPr="00CE2185">
        <w:rPr>
          <w:noProof/>
        </w:rPr>
        <w:t xml:space="preserve">. If so, </w:t>
      </w:r>
      <w:r w:rsidRPr="00CE2185">
        <w:rPr>
          <w:rFonts w:eastAsia="Aptos"/>
          <w:noProof/>
          <w:kern w:val="2"/>
        </w:rPr>
        <w:t>this could amount to maximum</w:t>
      </w:r>
      <w:r w:rsidRPr="00CE2185">
        <w:rPr>
          <w:rFonts w:eastAsia="Aptos"/>
          <w:b/>
          <w:bCs/>
          <w:noProof/>
          <w:kern w:val="2"/>
        </w:rPr>
        <w:t xml:space="preserve"> EUR </w:t>
      </w:r>
      <w:r w:rsidRPr="211C3D34">
        <w:rPr>
          <w:rFonts w:eastAsia="Aptos"/>
          <w:b/>
          <w:bCs/>
          <w:noProof/>
        </w:rPr>
        <w:t>6</w:t>
      </w:r>
      <w:r w:rsidRPr="00CE2185">
        <w:rPr>
          <w:rFonts w:eastAsia="Aptos"/>
          <w:b/>
          <w:bCs/>
          <w:noProof/>
          <w:kern w:val="2"/>
        </w:rPr>
        <w:t>.</w:t>
      </w:r>
      <w:r w:rsidRPr="211C3D34">
        <w:rPr>
          <w:rFonts w:eastAsia="Aptos"/>
          <w:b/>
          <w:bCs/>
          <w:noProof/>
        </w:rPr>
        <w:t xml:space="preserve">5 </w:t>
      </w:r>
      <w:r w:rsidRPr="00CE2185">
        <w:rPr>
          <w:rFonts w:eastAsia="Aptos"/>
          <w:b/>
          <w:bCs/>
          <w:noProof/>
          <w:kern w:val="2"/>
        </w:rPr>
        <w:t xml:space="preserve">to EUR </w:t>
      </w:r>
      <w:r w:rsidRPr="211C3D34">
        <w:rPr>
          <w:rFonts w:eastAsia="Aptos"/>
          <w:b/>
          <w:bCs/>
          <w:noProof/>
        </w:rPr>
        <w:t>8</w:t>
      </w:r>
      <w:r w:rsidRPr="00CE2185">
        <w:rPr>
          <w:rFonts w:eastAsia="Aptos"/>
          <w:b/>
          <w:bCs/>
          <w:noProof/>
          <w:kern w:val="2"/>
        </w:rPr>
        <w:t>.</w:t>
      </w:r>
      <w:r w:rsidRPr="211C3D34">
        <w:rPr>
          <w:rFonts w:eastAsia="Aptos"/>
          <w:b/>
          <w:bCs/>
          <w:noProof/>
        </w:rPr>
        <w:t xml:space="preserve">3 </w:t>
      </w:r>
      <w:r w:rsidRPr="00CE2185">
        <w:rPr>
          <w:rFonts w:eastAsia="Aptos"/>
          <w:b/>
          <w:bCs/>
          <w:noProof/>
          <w:kern w:val="2"/>
        </w:rPr>
        <w:t>per mobile subscriber</w:t>
      </w:r>
      <w:r w:rsidRPr="00CE2185">
        <w:rPr>
          <w:rFonts w:eastAsia="Aptos"/>
          <w:noProof/>
          <w:kern w:val="2"/>
        </w:rPr>
        <w:t xml:space="preserve"> over </w:t>
      </w:r>
      <w:r w:rsidRPr="211C3D34">
        <w:rPr>
          <w:rFonts w:eastAsia="Aptos"/>
          <w:noProof/>
        </w:rPr>
        <w:t xml:space="preserve">three </w:t>
      </w:r>
      <w:r w:rsidRPr="00CE2185">
        <w:rPr>
          <w:rFonts w:eastAsia="Aptos"/>
          <w:noProof/>
          <w:kern w:val="2"/>
        </w:rPr>
        <w:t>years (if the costs are fully transferred)</w:t>
      </w:r>
      <w:r w:rsidRPr="00CE2185">
        <w:rPr>
          <w:rStyle w:val="FootnoteReference"/>
          <w:rFonts w:asciiTheme="minorHAnsi" w:eastAsiaTheme="minorEastAsia" w:hAnsiTheme="minorHAnsi" w:cstheme="minorBidi"/>
          <w:noProof/>
        </w:rPr>
        <w:footnoteReference w:id="172"/>
      </w:r>
      <w:r w:rsidRPr="00CE2185">
        <w:rPr>
          <w:rFonts w:eastAsia="Aptos"/>
          <w:noProof/>
          <w:kern w:val="2"/>
        </w:rPr>
        <w:t xml:space="preserve">, which could be reflected in the price of mobile subscriptions (see </w:t>
      </w:r>
      <w:r w:rsidRPr="00CE2185">
        <w:rPr>
          <w:rFonts w:eastAsia="Aptos"/>
          <w:i/>
          <w:iCs/>
          <w:noProof/>
          <w:kern w:val="2"/>
        </w:rPr>
        <w:t>Annex</w:t>
      </w:r>
      <w:r w:rsidRPr="211C3D34">
        <w:rPr>
          <w:rFonts w:eastAsia="Aptos"/>
          <w:i/>
          <w:iCs/>
          <w:noProof/>
          <w:kern w:val="2"/>
        </w:rPr>
        <w:t xml:space="preserve"> 4</w:t>
      </w:r>
      <w:r w:rsidRPr="00CE2185">
        <w:rPr>
          <w:rFonts w:eastAsia="Aptos"/>
          <w:i/>
          <w:iCs/>
          <w:noProof/>
          <w:kern w:val="2"/>
        </w:rPr>
        <w:t xml:space="preserve"> section 4.4.2</w:t>
      </w:r>
      <w:r w:rsidRPr="00CE2185">
        <w:rPr>
          <w:rFonts w:eastAsia="Aptos"/>
          <w:noProof/>
          <w:kern w:val="2"/>
        </w:rPr>
        <w:t>)</w:t>
      </w:r>
      <w:r w:rsidRPr="00CE2185">
        <w:rPr>
          <w:noProof/>
        </w:rPr>
        <w:t xml:space="preserve">. However, it is to be noted that </w:t>
      </w:r>
      <w:r w:rsidRPr="00CE2185">
        <w:rPr>
          <w:rFonts w:eastAsia="Aptos"/>
          <w:noProof/>
          <w:kern w:val="2"/>
        </w:rPr>
        <w:t>that there is limited evidence as to whether such a price increase would take place. One report</w:t>
      </w:r>
      <w:r w:rsidRPr="00CE2185">
        <w:rPr>
          <w:rStyle w:val="FootnoteReference"/>
          <w:rFonts w:eastAsia="Aptos"/>
          <w:noProof/>
          <w:kern w:val="2"/>
        </w:rPr>
        <w:footnoteReference w:id="173"/>
      </w:r>
      <w:r w:rsidRPr="00CE2185">
        <w:rPr>
          <w:rFonts w:eastAsia="Aptos"/>
          <w:noProof/>
          <w:kern w:val="2"/>
        </w:rPr>
        <w:t xml:space="preserve"> estimates that such price increases would be limited. </w:t>
      </w:r>
      <w:r w:rsidRPr="00CE2185">
        <w:rPr>
          <w:noProof/>
        </w:rPr>
        <w:t xml:space="preserve"> </w:t>
      </w:r>
    </w:p>
    <w:p w14:paraId="2C61A010" w14:textId="77777777" w:rsidR="00DB44C9" w:rsidRPr="00CE2185" w:rsidRDefault="00DB44C9" w:rsidP="00DB44C9">
      <w:pPr>
        <w:spacing w:after="120"/>
        <w:rPr>
          <w:noProof/>
        </w:rPr>
      </w:pPr>
      <w:r w:rsidRPr="00CE2185">
        <w:rPr>
          <w:noProof/>
        </w:rPr>
        <w:t xml:space="preserve">The high reliance explains the high costs of replacement of the 5G equipment from high-risk suppliers. To compensate these costs, entities affected by restrictions on high-risk suppliers will have a transition period to phase out the risky equipment. These transition periods will be determined through the market analysis and takes into account the lifecycle of the equipment, to ensure the proportionality of the measures. Furthermore, looking at the overall economy, those short-term costs will be alleviated by new revenues created for trusted suppliers and a more trustworthy offerings for citizens (see </w:t>
      </w:r>
      <w:r w:rsidRPr="00CE2185">
        <w:rPr>
          <w:i/>
          <w:iCs/>
          <w:noProof/>
        </w:rPr>
        <w:t xml:space="preserve">point a) </w:t>
      </w:r>
      <w:r w:rsidRPr="00CE2185">
        <w:rPr>
          <w:noProof/>
        </w:rPr>
        <w:t xml:space="preserve">and </w:t>
      </w:r>
      <w:r w:rsidRPr="00CE2185">
        <w:rPr>
          <w:i/>
          <w:iCs/>
          <w:noProof/>
        </w:rPr>
        <w:t>section 6.1.4 and section 6.2</w:t>
      </w:r>
      <w:r w:rsidRPr="00CE2185">
        <w:rPr>
          <w:noProof/>
        </w:rPr>
        <w:t xml:space="preserve">).  </w:t>
      </w:r>
    </w:p>
    <w:p w14:paraId="38465935" w14:textId="77777777" w:rsidR="00DB44C9" w:rsidRPr="00CE2185" w:rsidRDefault="00DB44C9" w:rsidP="00DB44C9">
      <w:pPr>
        <w:spacing w:after="120"/>
        <w:rPr>
          <w:b/>
          <w:bCs/>
          <w:noProof/>
        </w:rPr>
      </w:pPr>
      <w:r w:rsidRPr="00CE2185">
        <w:rPr>
          <w:noProof/>
        </w:rPr>
        <w:t xml:space="preserve">The </w:t>
      </w:r>
      <w:r w:rsidRPr="00CE2185">
        <w:rPr>
          <w:b/>
          <w:bCs/>
          <w:noProof/>
        </w:rPr>
        <w:t>compliance costs for public authorities</w:t>
      </w:r>
      <w:r w:rsidRPr="00CE2185">
        <w:rPr>
          <w:noProof/>
        </w:rPr>
        <w:t xml:space="preserve"> of option D.2 would depend on whether or not the Member States have already enacted restrictions on high-risk suppliers in 5G networks, and its level of dependency on high-risk suppliers in its telecommunications network. For example, a Member State which has already put in place restrictions on high-risk suppliers for all key assets of a 5G network, as recommended in the Toolbox, or a Member State which only has trusted suppliers in its telecommunications networks will have no additional cost. On the contrary, a Member State which has not yet implemented restrictions as recommended in the 5G Toolbox and is dependent on such suppliers will face compliance costs, covering implementation of measures and their supervision.</w:t>
      </w:r>
      <w:r w:rsidRPr="00CE2185">
        <w:rPr>
          <w:b/>
          <w:bCs/>
          <w:noProof/>
        </w:rPr>
        <w:t xml:space="preserve"> </w:t>
      </w:r>
    </w:p>
    <w:p w14:paraId="7DD92675" w14:textId="77777777" w:rsidR="00DB44C9" w:rsidRPr="00CE2185" w:rsidRDefault="00DB44C9" w:rsidP="00DB44C9">
      <w:pPr>
        <w:spacing w:after="120"/>
        <w:rPr>
          <w:noProof/>
        </w:rPr>
      </w:pPr>
      <w:r w:rsidRPr="00CE2185">
        <w:rPr>
          <w:noProof/>
        </w:rPr>
        <w:t xml:space="preserve">As for </w:t>
      </w:r>
      <w:r w:rsidRPr="00CE2185">
        <w:rPr>
          <w:b/>
          <w:bCs/>
          <w:noProof/>
        </w:rPr>
        <w:t>EU institutions</w:t>
      </w:r>
      <w:r w:rsidRPr="00CE2185">
        <w:rPr>
          <w:noProof/>
        </w:rPr>
        <w:t>, there would be no additional compliance costs as it would be the continuation of the monitoring of the 5G Toolbox implementation as done today.</w:t>
      </w:r>
    </w:p>
    <w:p w14:paraId="0EA55F67" w14:textId="77777777" w:rsidR="00DB44C9" w:rsidRPr="00CE2185" w:rsidRDefault="00DB44C9" w:rsidP="00DB44C9">
      <w:pPr>
        <w:spacing w:after="120"/>
        <w:rPr>
          <w:noProof/>
        </w:rPr>
      </w:pPr>
      <w:r w:rsidRPr="00CE2185">
        <w:rPr>
          <w:b/>
          <w:noProof/>
        </w:rPr>
        <w:t>Option D.3</w:t>
      </w:r>
      <w:r w:rsidRPr="00CE2185">
        <w:rPr>
          <w:noProof/>
        </w:rPr>
        <w:t xml:space="preserve"> would provide for a comprehensive framework for ICT supply chain security (</w:t>
      </w:r>
      <w:r w:rsidRPr="00CE2185">
        <w:rPr>
          <w:i/>
          <w:iCs/>
          <w:noProof/>
        </w:rPr>
        <w:t>see</w:t>
      </w:r>
      <w:r w:rsidRPr="00CE2185">
        <w:rPr>
          <w:noProof/>
        </w:rPr>
        <w:t xml:space="preserve"> </w:t>
      </w:r>
      <w:r w:rsidRPr="00CE2185">
        <w:rPr>
          <w:i/>
          <w:iCs/>
          <w:noProof/>
        </w:rPr>
        <w:t>Section 5.2</w:t>
      </w:r>
      <w:r w:rsidRPr="00CE2185">
        <w:rPr>
          <w:noProof/>
        </w:rPr>
        <w:t>). In addition, this option would already include the identification of key assets in relation to 5G networks, in line with option D.2. The related costs</w:t>
      </w:r>
      <w:r w:rsidRPr="00CE2185" w:rsidDel="002240B6">
        <w:rPr>
          <w:noProof/>
        </w:rPr>
        <w:t xml:space="preserve"> </w:t>
      </w:r>
      <w:r w:rsidRPr="00CE2185">
        <w:rPr>
          <w:noProof/>
        </w:rPr>
        <w:t xml:space="preserve">would therefore be the same as presented for option D.2. </w:t>
      </w:r>
    </w:p>
    <w:p w14:paraId="7949A07F" w14:textId="77777777" w:rsidR="00DB44C9" w:rsidRPr="00CE2185" w:rsidRDefault="00DB44C9" w:rsidP="00DB44C9">
      <w:pPr>
        <w:spacing w:after="120"/>
        <w:rPr>
          <w:noProof/>
          <w:lang w:val="en-IE"/>
        </w:rPr>
      </w:pPr>
      <w:r w:rsidRPr="00CE2185">
        <w:rPr>
          <w:noProof/>
        </w:rPr>
        <w:t xml:space="preserve">While the establishment of the framework would not involve any costs, its actual implementation and operation with regard to a specific asset beyond 5G networks would likely involve significant costs for </w:t>
      </w:r>
      <w:r w:rsidRPr="00CE2185">
        <w:rPr>
          <w:b/>
          <w:bCs/>
          <w:noProof/>
        </w:rPr>
        <w:t>businesses</w:t>
      </w:r>
      <w:r w:rsidRPr="00CE2185">
        <w:rPr>
          <w:noProof/>
        </w:rPr>
        <w:t xml:space="preserve"> that may be required to phase out specific assets, similar as identified under option D.2 for 5G networks. These costs would be one-off and would also be reflected in the increased price paid by </w:t>
      </w:r>
      <w:r w:rsidRPr="00CE2185">
        <w:rPr>
          <w:b/>
          <w:bCs/>
          <w:noProof/>
        </w:rPr>
        <w:t>customers</w:t>
      </w:r>
      <w:r w:rsidRPr="00CE2185">
        <w:rPr>
          <w:noProof/>
        </w:rPr>
        <w:t xml:space="preserve"> for specific products, as for 5G networks under option D.2. At this stage, in the absence of detailed assessments of assets beyond 5G, such costs cannot be fully estimated, as they will depend on the assets assessed, the cost of replacement and the transition period established for the implementation of measures. It is therefore necessary to assess these costs and benefits as part of the implementation of the framework.  Such an assessment would also be necessary to ensure that mitigating measures also reflect the market reality, </w:t>
      </w:r>
      <w:r w:rsidRPr="00CE2185">
        <w:rPr>
          <w:noProof/>
          <w:lang w:val="en-IE"/>
        </w:rPr>
        <w:t xml:space="preserve">and will include an assessment of economic feasibility, available alternatives, lifecycle of products, ensuring proportionality and necessity of adopted measures. The methodology is further explained under the </w:t>
      </w:r>
      <w:r w:rsidRPr="00CE2185">
        <w:rPr>
          <w:i/>
          <w:iCs/>
          <w:noProof/>
          <w:lang w:val="en-IE"/>
        </w:rPr>
        <w:t>section 5.2</w:t>
      </w:r>
      <w:r w:rsidRPr="00CE2185">
        <w:rPr>
          <w:noProof/>
          <w:lang w:val="en-IE"/>
        </w:rPr>
        <w:t xml:space="preserve">. </w:t>
      </w:r>
    </w:p>
    <w:p w14:paraId="189F1D2D" w14:textId="77777777" w:rsidR="00DB44C9" w:rsidRPr="00CE2185" w:rsidRDefault="00DB44C9" w:rsidP="00DB44C9">
      <w:pPr>
        <w:spacing w:after="120"/>
        <w:rPr>
          <w:noProof/>
        </w:rPr>
      </w:pPr>
      <w:r w:rsidRPr="00CE2185">
        <w:rPr>
          <w:noProof/>
        </w:rPr>
        <w:t xml:space="preserve">Regarding costs for </w:t>
      </w:r>
      <w:r w:rsidRPr="00CE2185">
        <w:rPr>
          <w:b/>
          <w:bCs/>
          <w:noProof/>
        </w:rPr>
        <w:t>public authorities and EU institutions</w:t>
      </w:r>
      <w:r w:rsidRPr="00CE2185">
        <w:rPr>
          <w:noProof/>
        </w:rPr>
        <w:t xml:space="preserve">, option D.3 would require additional staffing at both national and European level to implement the supervisory tasks related to the application of restrictive security measures. Those would be proportionate to the number of sectors gradually covered; hence no specific estimation can be made at this stage. An impact analysis would precede any potential triggering of the empowerment to apply such mitigating restrictive measures. In addition, under this option additional staffing should be taken into account for the Commission for supporting Member States’ supervision activities regarding assessment of corporate ownership structures and establishing the list of subsidiaries of high-risk suppliers. </w:t>
      </w:r>
    </w:p>
    <w:p w14:paraId="2B2F16B3" w14:textId="77777777" w:rsidR="00DB44C9" w:rsidRPr="00CE2185" w:rsidRDefault="00DB44C9" w:rsidP="00DB44C9">
      <w:pPr>
        <w:spacing w:after="120"/>
        <w:rPr>
          <w:noProof/>
          <w:lang w:val="en-IE"/>
        </w:rPr>
      </w:pPr>
      <w:r w:rsidRPr="00CE2185">
        <w:rPr>
          <w:noProof/>
          <w:lang w:val="en-IE"/>
        </w:rPr>
        <w:t xml:space="preserve">The broader costs related to </w:t>
      </w:r>
      <w:r w:rsidRPr="00CE2185">
        <w:rPr>
          <w:b/>
          <w:bCs/>
          <w:noProof/>
          <w:lang w:val="en-IE"/>
        </w:rPr>
        <w:t>market access, competitiveness and innovation</w:t>
      </w:r>
      <w:r w:rsidRPr="00CE2185">
        <w:rPr>
          <w:noProof/>
          <w:lang w:val="en-IE"/>
        </w:rPr>
        <w:t xml:space="preserve"> are in the dedicated section (</w:t>
      </w:r>
      <w:r w:rsidRPr="00CE2185">
        <w:rPr>
          <w:i/>
          <w:iCs/>
          <w:noProof/>
          <w:lang w:val="en-IE"/>
        </w:rPr>
        <w:t>section 6.1.4</w:t>
      </w:r>
      <w:r w:rsidRPr="00CE2185">
        <w:rPr>
          <w:noProof/>
          <w:lang w:val="en-IE"/>
        </w:rPr>
        <w:t xml:space="preserve">). </w:t>
      </w:r>
    </w:p>
    <w:p w14:paraId="48869237" w14:textId="77777777" w:rsidR="00DB44C9" w:rsidRPr="00CE2185" w:rsidRDefault="00DB44C9" w:rsidP="00DB44C9">
      <w:pPr>
        <w:pStyle w:val="Heading7"/>
        <w:rPr>
          <w:noProof/>
        </w:rPr>
      </w:pPr>
      <w:bookmarkStart w:id="113" w:name="_Toc218767776"/>
      <w:r w:rsidRPr="00CE2185">
        <w:rPr>
          <w:noProof/>
        </w:rPr>
        <w:t>Table 14</w:t>
      </w:r>
      <w:r>
        <w:rPr>
          <w:noProof/>
        </w:rPr>
        <w:t xml:space="preserve">: </w:t>
      </w:r>
      <w:r w:rsidRPr="00CE2185">
        <w:rPr>
          <w:noProof/>
        </w:rPr>
        <w:t>Costs of policy options D (supply chain)</w:t>
      </w:r>
      <w:bookmarkEnd w:id="113"/>
    </w:p>
    <w:tbl>
      <w:tblPr>
        <w:tblStyle w:val="TableGrid"/>
        <w:tblW w:w="0" w:type="auto"/>
        <w:tblLook w:val="04A0" w:firstRow="1" w:lastRow="0" w:firstColumn="1" w:lastColumn="0" w:noHBand="0" w:noVBand="1"/>
      </w:tblPr>
      <w:tblGrid>
        <w:gridCol w:w="1046"/>
        <w:gridCol w:w="1881"/>
        <w:gridCol w:w="2409"/>
        <w:gridCol w:w="3527"/>
      </w:tblGrid>
      <w:tr w:rsidR="00DB44C9" w:rsidRPr="00CE2185" w14:paraId="7632EF39" w14:textId="77777777" w:rsidTr="00641B35">
        <w:tc>
          <w:tcPr>
            <w:tcW w:w="1046"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DA422DE" w14:textId="77777777" w:rsidR="00DB44C9" w:rsidRPr="00CE2185" w:rsidRDefault="00DB44C9" w:rsidP="00641B35">
            <w:pPr>
              <w:spacing w:after="0"/>
              <w:rPr>
                <w:b/>
                <w:noProof/>
                <w:sz w:val="18"/>
                <w:szCs w:val="18"/>
                <w:lang w:val="en-US"/>
              </w:rPr>
            </w:pPr>
            <w:r w:rsidRPr="00CE2185">
              <w:rPr>
                <w:b/>
                <w:noProof/>
                <w:sz w:val="18"/>
                <w:szCs w:val="18"/>
                <w:lang w:val="en-US"/>
              </w:rPr>
              <w:t xml:space="preserve"> COSTS</w:t>
            </w:r>
          </w:p>
        </w:tc>
        <w:tc>
          <w:tcPr>
            <w:tcW w:w="8240" w:type="dxa"/>
            <w:gridSpan w:val="3"/>
            <w:tcBorders>
              <w:top w:val="single" w:sz="4" w:space="0" w:color="auto"/>
              <w:left w:val="single" w:sz="4" w:space="0" w:color="auto"/>
              <w:bottom w:val="single" w:sz="4" w:space="0" w:color="auto"/>
              <w:right w:val="single" w:sz="4" w:space="0" w:color="auto"/>
            </w:tcBorders>
            <w:shd w:val="clear" w:color="auto" w:fill="B7CFED"/>
            <w:vAlign w:val="center"/>
            <w:hideMark/>
          </w:tcPr>
          <w:p w14:paraId="4CDA8526" w14:textId="77777777" w:rsidR="00DB44C9" w:rsidRPr="00CE2185" w:rsidRDefault="00DB44C9" w:rsidP="00641B35">
            <w:pPr>
              <w:spacing w:after="0"/>
              <w:rPr>
                <w:b/>
                <w:noProof/>
                <w:sz w:val="18"/>
                <w:szCs w:val="18"/>
                <w:lang w:val="en-US"/>
              </w:rPr>
            </w:pPr>
            <w:r w:rsidRPr="00CE2185">
              <w:rPr>
                <w:b/>
                <w:noProof/>
                <w:sz w:val="18"/>
                <w:szCs w:val="18"/>
                <w:lang w:val="en-US"/>
              </w:rPr>
              <w:t>Policy options [Supply chain]</w:t>
            </w:r>
          </w:p>
        </w:tc>
      </w:tr>
      <w:tr w:rsidR="00DB44C9" w:rsidRPr="00CE2185" w14:paraId="2B4AD6F7" w14:textId="77777777" w:rsidTr="00641B35">
        <w:tc>
          <w:tcPr>
            <w:tcW w:w="1046" w:type="dxa"/>
            <w:vMerge/>
            <w:vAlign w:val="center"/>
            <w:hideMark/>
          </w:tcPr>
          <w:p w14:paraId="1B10578B" w14:textId="77777777" w:rsidR="00DB44C9" w:rsidRPr="00CE2185" w:rsidRDefault="00DB44C9" w:rsidP="00641B35">
            <w:pPr>
              <w:spacing w:after="0"/>
              <w:rPr>
                <w:rFonts w:eastAsiaTheme="minorHAnsi"/>
                <w:b/>
                <w:noProof/>
                <w:sz w:val="18"/>
                <w:szCs w:val="18"/>
              </w:rPr>
            </w:pPr>
          </w:p>
        </w:tc>
        <w:tc>
          <w:tcPr>
            <w:tcW w:w="1904"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5CFB3075" w14:textId="77777777" w:rsidR="00DB44C9" w:rsidRPr="00CE2185" w:rsidRDefault="00DB44C9" w:rsidP="00641B35">
            <w:pPr>
              <w:spacing w:after="0"/>
              <w:rPr>
                <w:b/>
                <w:noProof/>
                <w:sz w:val="18"/>
                <w:szCs w:val="18"/>
                <w:lang w:val="en-US"/>
              </w:rPr>
            </w:pPr>
            <w:r w:rsidRPr="00CE2185">
              <w:rPr>
                <w:b/>
                <w:noProof/>
                <w:sz w:val="18"/>
                <w:szCs w:val="18"/>
                <w:lang w:val="en-US"/>
              </w:rPr>
              <w:t>D1</w:t>
            </w:r>
          </w:p>
        </w:tc>
        <w:tc>
          <w:tcPr>
            <w:tcW w:w="2545"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2B7EE4DA" w14:textId="77777777" w:rsidR="00DB44C9" w:rsidRPr="00CE2185" w:rsidRDefault="00DB44C9" w:rsidP="00641B35">
            <w:pPr>
              <w:spacing w:after="0"/>
              <w:rPr>
                <w:b/>
                <w:noProof/>
                <w:sz w:val="18"/>
                <w:szCs w:val="18"/>
                <w:lang w:val="en-US"/>
              </w:rPr>
            </w:pPr>
            <w:r w:rsidRPr="00CE2185">
              <w:rPr>
                <w:b/>
                <w:noProof/>
                <w:sz w:val="18"/>
                <w:szCs w:val="18"/>
                <w:lang w:val="en-US"/>
              </w:rPr>
              <w:t>D2</w:t>
            </w:r>
          </w:p>
        </w:tc>
        <w:tc>
          <w:tcPr>
            <w:tcW w:w="3791"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3E1E4BB3" w14:textId="77777777" w:rsidR="00DB44C9" w:rsidRPr="00CE2185" w:rsidRDefault="00DB44C9" w:rsidP="00641B35">
            <w:pPr>
              <w:spacing w:after="0"/>
              <w:rPr>
                <w:b/>
                <w:noProof/>
                <w:sz w:val="18"/>
                <w:szCs w:val="18"/>
                <w:lang w:val="en-US"/>
              </w:rPr>
            </w:pPr>
            <w:r w:rsidRPr="00CE2185">
              <w:rPr>
                <w:b/>
                <w:noProof/>
                <w:sz w:val="18"/>
                <w:szCs w:val="18"/>
                <w:lang w:val="en-US"/>
              </w:rPr>
              <w:t>D3</w:t>
            </w:r>
          </w:p>
        </w:tc>
      </w:tr>
      <w:tr w:rsidR="00DB44C9" w:rsidRPr="00CE2185" w14:paraId="4B811FAA" w14:textId="77777777" w:rsidTr="00641B35">
        <w:tc>
          <w:tcPr>
            <w:tcW w:w="1046" w:type="dxa"/>
            <w:tcBorders>
              <w:top w:val="single" w:sz="4" w:space="0" w:color="auto"/>
              <w:left w:val="single" w:sz="4" w:space="0" w:color="auto"/>
              <w:bottom w:val="single" w:sz="4" w:space="0" w:color="auto"/>
              <w:right w:val="single" w:sz="4" w:space="0" w:color="auto"/>
            </w:tcBorders>
          </w:tcPr>
          <w:p w14:paraId="71257966" w14:textId="77777777" w:rsidR="00DB44C9" w:rsidRPr="00CE2185" w:rsidRDefault="00DB44C9" w:rsidP="00641B35">
            <w:pPr>
              <w:spacing w:after="0"/>
              <w:rPr>
                <w:noProof/>
                <w:sz w:val="18"/>
                <w:szCs w:val="18"/>
                <w:lang w:val="en-US"/>
              </w:rPr>
            </w:pPr>
            <w:r w:rsidRPr="00CE2185">
              <w:rPr>
                <w:b/>
                <w:noProof/>
                <w:sz w:val="18"/>
                <w:szCs w:val="18"/>
                <w:lang w:val="en-US"/>
              </w:rPr>
              <w:t xml:space="preserve">Businesses </w:t>
            </w:r>
          </w:p>
        </w:tc>
        <w:tc>
          <w:tcPr>
            <w:tcW w:w="1904" w:type="dxa"/>
            <w:tcBorders>
              <w:top w:val="single" w:sz="4" w:space="0" w:color="auto"/>
              <w:left w:val="single" w:sz="4" w:space="0" w:color="auto"/>
              <w:bottom w:val="single" w:sz="4" w:space="0" w:color="auto"/>
              <w:right w:val="single" w:sz="4" w:space="0" w:color="auto"/>
            </w:tcBorders>
          </w:tcPr>
          <w:p w14:paraId="45AF3CAF" w14:textId="77777777" w:rsidR="00DB44C9" w:rsidRPr="00CE2185" w:rsidRDefault="00DB44C9" w:rsidP="00641B35">
            <w:pPr>
              <w:pStyle w:val="ListParagraph"/>
              <w:numPr>
                <w:ilvl w:val="0"/>
                <w:numId w:val="34"/>
              </w:numPr>
              <w:spacing w:after="0"/>
              <w:rPr>
                <w:noProof/>
                <w:sz w:val="18"/>
                <w:szCs w:val="18"/>
                <w:lang w:val="en-US"/>
              </w:rPr>
            </w:pPr>
            <w:r w:rsidRPr="00CE2185">
              <w:rPr>
                <w:noProof/>
                <w:sz w:val="18"/>
                <w:szCs w:val="18"/>
                <w:lang w:val="en-US"/>
              </w:rPr>
              <w:t>Costs to adjust to measures adopted by Member States</w:t>
            </w:r>
          </w:p>
          <w:p w14:paraId="6EB7DE83" w14:textId="77777777" w:rsidR="00DB44C9" w:rsidRPr="00CE2185" w:rsidRDefault="00DB44C9" w:rsidP="00641B35">
            <w:pPr>
              <w:pStyle w:val="ListParagraph"/>
              <w:numPr>
                <w:ilvl w:val="0"/>
                <w:numId w:val="34"/>
              </w:numPr>
              <w:spacing w:after="0"/>
              <w:rPr>
                <w:noProof/>
                <w:sz w:val="18"/>
                <w:szCs w:val="18"/>
                <w:lang w:val="en-US"/>
              </w:rPr>
            </w:pPr>
            <w:r w:rsidRPr="00CE2185">
              <w:rPr>
                <w:noProof/>
                <w:sz w:val="18"/>
                <w:szCs w:val="18"/>
                <w:lang w:val="en-US"/>
              </w:rPr>
              <w:t>Familiarisation costs for businesses with cross-border activities</w:t>
            </w:r>
          </w:p>
        </w:tc>
        <w:tc>
          <w:tcPr>
            <w:tcW w:w="2545" w:type="dxa"/>
            <w:tcBorders>
              <w:top w:val="single" w:sz="4" w:space="0" w:color="auto"/>
              <w:left w:val="single" w:sz="4" w:space="0" w:color="auto"/>
              <w:bottom w:val="single" w:sz="4" w:space="0" w:color="auto"/>
              <w:right w:val="single" w:sz="4" w:space="0" w:color="auto"/>
            </w:tcBorders>
          </w:tcPr>
          <w:p w14:paraId="1EE038BC" w14:textId="77777777" w:rsidR="00DB44C9" w:rsidRPr="00CE2185" w:rsidRDefault="00DB44C9" w:rsidP="00641B35">
            <w:pPr>
              <w:spacing w:after="0"/>
              <w:rPr>
                <w:noProof/>
                <w:sz w:val="18"/>
                <w:szCs w:val="18"/>
                <w:lang w:val="en-US"/>
              </w:rPr>
            </w:pPr>
            <w:r w:rsidRPr="00CE2185">
              <w:rPr>
                <w:noProof/>
                <w:sz w:val="18"/>
                <w:szCs w:val="18"/>
                <w:lang w:val="en-US"/>
              </w:rPr>
              <w:t xml:space="preserve">Substitution and transaction costs for replacing 5G equipment: </w:t>
            </w:r>
            <w:r w:rsidRPr="00CE2185">
              <w:rPr>
                <w:b/>
                <w:noProof/>
                <w:sz w:val="18"/>
                <w:szCs w:val="18"/>
                <w:lang w:val="en-US"/>
              </w:rPr>
              <w:t xml:space="preserve">EUR </w:t>
            </w:r>
            <w:r>
              <w:rPr>
                <w:b/>
                <w:noProof/>
                <w:sz w:val="18"/>
                <w:szCs w:val="18"/>
                <w:lang w:val="en-US"/>
              </w:rPr>
              <w:t>3.4</w:t>
            </w:r>
            <w:r w:rsidRPr="00CE2185">
              <w:rPr>
                <w:b/>
                <w:noProof/>
                <w:sz w:val="18"/>
                <w:szCs w:val="18"/>
                <w:lang w:val="en-US"/>
              </w:rPr>
              <w:t xml:space="preserve"> to </w:t>
            </w:r>
            <w:r>
              <w:rPr>
                <w:b/>
                <w:noProof/>
                <w:sz w:val="18"/>
                <w:szCs w:val="18"/>
                <w:lang w:val="en-US"/>
              </w:rPr>
              <w:t xml:space="preserve">4.3 </w:t>
            </w:r>
            <w:r w:rsidRPr="00CE2185">
              <w:rPr>
                <w:b/>
                <w:noProof/>
                <w:sz w:val="18"/>
                <w:szCs w:val="18"/>
                <w:lang w:val="en-US"/>
              </w:rPr>
              <w:t xml:space="preserve">bn per year for </w:t>
            </w:r>
            <w:r>
              <w:rPr>
                <w:b/>
                <w:noProof/>
                <w:sz w:val="18"/>
                <w:szCs w:val="18"/>
                <w:lang w:val="en-US"/>
              </w:rPr>
              <w:t>three</w:t>
            </w:r>
            <w:r w:rsidRPr="00CE2185">
              <w:rPr>
                <w:b/>
                <w:noProof/>
                <w:sz w:val="18"/>
                <w:szCs w:val="18"/>
                <w:lang w:val="en-US"/>
              </w:rPr>
              <w:t xml:space="preserve"> years</w:t>
            </w:r>
            <w:r w:rsidRPr="00CE2185">
              <w:rPr>
                <w:noProof/>
                <w:sz w:val="18"/>
                <w:szCs w:val="18"/>
                <w:lang w:val="en-US"/>
              </w:rPr>
              <w:t xml:space="preserve"> (one-off cost of replacement of the 5G equipment – adjustment costs) </w:t>
            </w:r>
          </w:p>
        </w:tc>
        <w:tc>
          <w:tcPr>
            <w:tcW w:w="3791" w:type="dxa"/>
            <w:tcBorders>
              <w:top w:val="single" w:sz="4" w:space="0" w:color="auto"/>
              <w:left w:val="single" w:sz="4" w:space="0" w:color="auto"/>
              <w:bottom w:val="single" w:sz="4" w:space="0" w:color="auto"/>
              <w:right w:val="single" w:sz="4" w:space="0" w:color="auto"/>
            </w:tcBorders>
          </w:tcPr>
          <w:p w14:paraId="1AED4291" w14:textId="77777777" w:rsidR="00DB44C9" w:rsidRPr="00CE2185" w:rsidRDefault="00DB44C9" w:rsidP="00641B35">
            <w:pPr>
              <w:spacing w:after="0"/>
              <w:rPr>
                <w:noProof/>
                <w:sz w:val="18"/>
                <w:szCs w:val="18"/>
                <w:lang w:val="en-US"/>
              </w:rPr>
            </w:pPr>
            <w:r w:rsidRPr="00CE2185">
              <w:rPr>
                <w:noProof/>
                <w:sz w:val="18"/>
                <w:szCs w:val="18"/>
                <w:lang w:val="en-US"/>
              </w:rPr>
              <w:t>Higher than for D2, in addition to costs to phase out specific assets in other ICT supply chains</w:t>
            </w:r>
          </w:p>
          <w:p w14:paraId="1B1F65FB" w14:textId="77777777" w:rsidR="00DB44C9" w:rsidRPr="00CE2185" w:rsidRDefault="00DB44C9" w:rsidP="00641B35">
            <w:pPr>
              <w:spacing w:after="0"/>
              <w:rPr>
                <w:noProof/>
                <w:sz w:val="18"/>
                <w:szCs w:val="18"/>
                <w:lang w:val="en-US"/>
              </w:rPr>
            </w:pPr>
          </w:p>
          <w:p w14:paraId="1E981598" w14:textId="77777777" w:rsidR="00DB44C9" w:rsidRPr="00CE2185" w:rsidRDefault="00DB44C9" w:rsidP="00641B35">
            <w:pPr>
              <w:spacing w:after="0"/>
              <w:rPr>
                <w:noProof/>
                <w:sz w:val="18"/>
                <w:szCs w:val="18"/>
                <w:lang w:val="en-US"/>
              </w:rPr>
            </w:pPr>
            <w:r w:rsidRPr="00CE2185">
              <w:rPr>
                <w:noProof/>
                <w:sz w:val="18"/>
                <w:szCs w:val="18"/>
                <w:lang w:val="en-US"/>
              </w:rPr>
              <w:t xml:space="preserve">For 5G: </w:t>
            </w:r>
            <w:r w:rsidRPr="00CE2185">
              <w:rPr>
                <w:b/>
                <w:noProof/>
                <w:sz w:val="18"/>
                <w:szCs w:val="18"/>
                <w:lang w:val="en-US"/>
              </w:rPr>
              <w:t xml:space="preserve">EUR </w:t>
            </w:r>
            <w:r>
              <w:rPr>
                <w:b/>
                <w:noProof/>
                <w:sz w:val="18"/>
                <w:szCs w:val="18"/>
                <w:lang w:val="en-US"/>
              </w:rPr>
              <w:t>3.4</w:t>
            </w:r>
            <w:r w:rsidRPr="00CE2185">
              <w:rPr>
                <w:b/>
                <w:noProof/>
                <w:sz w:val="18"/>
                <w:szCs w:val="18"/>
                <w:lang w:val="en-US"/>
              </w:rPr>
              <w:t xml:space="preserve"> to </w:t>
            </w:r>
            <w:r>
              <w:rPr>
                <w:b/>
                <w:noProof/>
                <w:sz w:val="18"/>
                <w:szCs w:val="18"/>
                <w:lang w:val="en-US"/>
              </w:rPr>
              <w:t xml:space="preserve">4.3 </w:t>
            </w:r>
            <w:r w:rsidRPr="00CE2185">
              <w:rPr>
                <w:b/>
                <w:noProof/>
                <w:sz w:val="18"/>
                <w:szCs w:val="18"/>
                <w:lang w:val="en-US"/>
              </w:rPr>
              <w:t xml:space="preserve">bn per year for </w:t>
            </w:r>
            <w:r>
              <w:rPr>
                <w:b/>
                <w:noProof/>
                <w:sz w:val="18"/>
                <w:szCs w:val="18"/>
                <w:lang w:val="en-US"/>
              </w:rPr>
              <w:t>three</w:t>
            </w:r>
            <w:r w:rsidRPr="00CE2185">
              <w:rPr>
                <w:b/>
                <w:noProof/>
                <w:sz w:val="18"/>
                <w:szCs w:val="18"/>
                <w:lang w:val="en-US"/>
              </w:rPr>
              <w:t xml:space="preserve"> years</w:t>
            </w:r>
            <w:r w:rsidRPr="00CE2185">
              <w:rPr>
                <w:noProof/>
                <w:sz w:val="18"/>
                <w:szCs w:val="18"/>
                <w:lang w:val="en-US"/>
              </w:rPr>
              <w:t xml:space="preserve"> (on-off cost of replacement of the 5G equipment – adjustment costs) </w:t>
            </w:r>
          </w:p>
        </w:tc>
      </w:tr>
      <w:tr w:rsidR="00DB44C9" w:rsidRPr="00CE2185" w14:paraId="16612AD7" w14:textId="77777777" w:rsidTr="00641B35">
        <w:tc>
          <w:tcPr>
            <w:tcW w:w="1046" w:type="dxa"/>
            <w:tcBorders>
              <w:top w:val="single" w:sz="4" w:space="0" w:color="auto"/>
              <w:left w:val="single" w:sz="4" w:space="0" w:color="auto"/>
              <w:bottom w:val="single" w:sz="4" w:space="0" w:color="auto"/>
              <w:right w:val="single" w:sz="4" w:space="0" w:color="auto"/>
            </w:tcBorders>
          </w:tcPr>
          <w:p w14:paraId="33A8A67C" w14:textId="77777777" w:rsidR="00DB44C9" w:rsidRPr="00CE2185" w:rsidRDefault="00DB44C9" w:rsidP="00641B35">
            <w:pPr>
              <w:spacing w:after="0"/>
              <w:rPr>
                <w:b/>
                <w:noProof/>
                <w:sz w:val="18"/>
                <w:szCs w:val="18"/>
                <w:lang w:val="en-US"/>
              </w:rPr>
            </w:pPr>
            <w:r w:rsidRPr="00CE2185">
              <w:rPr>
                <w:b/>
                <w:noProof/>
                <w:sz w:val="18"/>
                <w:szCs w:val="18"/>
                <w:lang w:val="en-US"/>
              </w:rPr>
              <w:t>Public authorities</w:t>
            </w:r>
          </w:p>
        </w:tc>
        <w:tc>
          <w:tcPr>
            <w:tcW w:w="1904" w:type="dxa"/>
            <w:tcBorders>
              <w:top w:val="single" w:sz="4" w:space="0" w:color="auto"/>
              <w:left w:val="single" w:sz="4" w:space="0" w:color="auto"/>
              <w:bottom w:val="single" w:sz="4" w:space="0" w:color="auto"/>
              <w:right w:val="single" w:sz="4" w:space="0" w:color="auto"/>
            </w:tcBorders>
          </w:tcPr>
          <w:p w14:paraId="6807A1D6" w14:textId="77777777" w:rsidR="00DB44C9" w:rsidRPr="00CE2185" w:rsidRDefault="00DB44C9" w:rsidP="00641B35">
            <w:pPr>
              <w:spacing w:after="0"/>
              <w:rPr>
                <w:noProof/>
                <w:sz w:val="18"/>
                <w:szCs w:val="18"/>
                <w:lang w:val="en-US"/>
              </w:rPr>
            </w:pPr>
            <w:r w:rsidRPr="00CE2185">
              <w:rPr>
                <w:noProof/>
                <w:sz w:val="18"/>
                <w:szCs w:val="18"/>
                <w:lang w:val="en-US"/>
              </w:rPr>
              <w:t>EUR 141 250 in staff time to conduct multiple coordinated risk assessments and toolboxes / per year (assuming five exercises in total)</w:t>
            </w:r>
          </w:p>
        </w:tc>
        <w:tc>
          <w:tcPr>
            <w:tcW w:w="2545" w:type="dxa"/>
            <w:tcBorders>
              <w:top w:val="single" w:sz="4" w:space="0" w:color="auto"/>
              <w:left w:val="single" w:sz="4" w:space="0" w:color="auto"/>
              <w:bottom w:val="single" w:sz="4" w:space="0" w:color="auto"/>
              <w:right w:val="single" w:sz="4" w:space="0" w:color="auto"/>
            </w:tcBorders>
          </w:tcPr>
          <w:p w14:paraId="07D870D4" w14:textId="77777777" w:rsidR="00DB44C9" w:rsidRPr="00CE2185" w:rsidRDefault="00DB44C9" w:rsidP="00641B35">
            <w:pPr>
              <w:spacing w:after="0"/>
              <w:rPr>
                <w:noProof/>
                <w:sz w:val="18"/>
                <w:szCs w:val="18"/>
                <w:lang w:val="en-US"/>
              </w:rPr>
            </w:pPr>
            <w:r w:rsidRPr="00CE2185">
              <w:rPr>
                <w:noProof/>
                <w:sz w:val="18"/>
                <w:szCs w:val="18"/>
                <w:lang w:val="en-US"/>
              </w:rPr>
              <w:t>Will vary across each Member State: Compliance costs would occur for the Member States which have not implemented the 5G Toolbox</w:t>
            </w:r>
          </w:p>
        </w:tc>
        <w:tc>
          <w:tcPr>
            <w:tcW w:w="3791" w:type="dxa"/>
            <w:tcBorders>
              <w:top w:val="single" w:sz="4" w:space="0" w:color="auto"/>
              <w:left w:val="single" w:sz="4" w:space="0" w:color="auto"/>
              <w:bottom w:val="single" w:sz="4" w:space="0" w:color="auto"/>
              <w:right w:val="single" w:sz="4" w:space="0" w:color="auto"/>
            </w:tcBorders>
          </w:tcPr>
          <w:p w14:paraId="156D1F94" w14:textId="77777777" w:rsidR="00DB44C9" w:rsidRPr="00CE2185" w:rsidRDefault="00DB44C9" w:rsidP="00641B35">
            <w:pPr>
              <w:spacing w:after="0"/>
              <w:rPr>
                <w:noProof/>
                <w:sz w:val="18"/>
                <w:szCs w:val="18"/>
                <w:lang w:val="en-US"/>
              </w:rPr>
            </w:pPr>
            <w:r w:rsidRPr="00CE2185">
              <w:rPr>
                <w:noProof/>
                <w:sz w:val="18"/>
                <w:szCs w:val="18"/>
                <w:lang w:val="en-US"/>
              </w:rPr>
              <w:t>D1+D2 + Additional staffing to implement the supervisory tasks related to the application of restrictions on high-risk suppliers</w:t>
            </w:r>
          </w:p>
        </w:tc>
      </w:tr>
      <w:tr w:rsidR="00DB44C9" w:rsidRPr="00CE2185" w14:paraId="047AB9BB" w14:textId="77777777" w:rsidTr="00641B35">
        <w:tc>
          <w:tcPr>
            <w:tcW w:w="1046" w:type="dxa"/>
            <w:tcBorders>
              <w:top w:val="single" w:sz="4" w:space="0" w:color="auto"/>
              <w:left w:val="single" w:sz="4" w:space="0" w:color="auto"/>
              <w:bottom w:val="single" w:sz="4" w:space="0" w:color="auto"/>
              <w:right w:val="single" w:sz="4" w:space="0" w:color="auto"/>
            </w:tcBorders>
          </w:tcPr>
          <w:p w14:paraId="28B524D1" w14:textId="77777777" w:rsidR="00DB44C9" w:rsidRPr="00CE2185" w:rsidRDefault="00DB44C9" w:rsidP="00641B35">
            <w:pPr>
              <w:spacing w:after="0"/>
              <w:rPr>
                <w:b/>
                <w:noProof/>
                <w:sz w:val="18"/>
                <w:szCs w:val="18"/>
                <w:lang w:val="en-US"/>
              </w:rPr>
            </w:pPr>
            <w:r w:rsidRPr="00CE2185">
              <w:rPr>
                <w:b/>
                <w:noProof/>
                <w:sz w:val="18"/>
                <w:szCs w:val="18"/>
                <w:lang w:val="en-US"/>
              </w:rPr>
              <w:t>Citizens</w:t>
            </w:r>
          </w:p>
        </w:tc>
        <w:tc>
          <w:tcPr>
            <w:tcW w:w="1904" w:type="dxa"/>
            <w:tcBorders>
              <w:top w:val="single" w:sz="4" w:space="0" w:color="auto"/>
              <w:left w:val="single" w:sz="4" w:space="0" w:color="auto"/>
              <w:bottom w:val="single" w:sz="4" w:space="0" w:color="auto"/>
              <w:right w:val="single" w:sz="4" w:space="0" w:color="auto"/>
            </w:tcBorders>
          </w:tcPr>
          <w:p w14:paraId="48522DEF" w14:textId="77777777" w:rsidR="00DB44C9" w:rsidRPr="00CE2185" w:rsidRDefault="00DB44C9" w:rsidP="00641B35">
            <w:pPr>
              <w:spacing w:after="0"/>
              <w:rPr>
                <w:noProof/>
                <w:sz w:val="18"/>
                <w:szCs w:val="18"/>
                <w:lang w:val="en-US"/>
              </w:rPr>
            </w:pPr>
            <w:r w:rsidRPr="00CE2185">
              <w:rPr>
                <w:noProof/>
                <w:sz w:val="18"/>
                <w:szCs w:val="18"/>
                <w:lang w:val="en-US"/>
              </w:rPr>
              <w:t>Neutral</w:t>
            </w:r>
          </w:p>
        </w:tc>
        <w:tc>
          <w:tcPr>
            <w:tcW w:w="2545" w:type="dxa"/>
            <w:tcBorders>
              <w:top w:val="single" w:sz="4" w:space="0" w:color="auto"/>
              <w:left w:val="single" w:sz="4" w:space="0" w:color="auto"/>
              <w:bottom w:val="single" w:sz="4" w:space="0" w:color="auto"/>
              <w:right w:val="single" w:sz="4" w:space="0" w:color="auto"/>
            </w:tcBorders>
          </w:tcPr>
          <w:p w14:paraId="13B8F2A8" w14:textId="77777777" w:rsidR="00DB44C9" w:rsidRPr="00CE2185" w:rsidRDefault="00DB44C9" w:rsidP="00641B35">
            <w:pPr>
              <w:spacing w:after="0"/>
              <w:rPr>
                <w:noProof/>
                <w:sz w:val="18"/>
                <w:szCs w:val="18"/>
                <w:lang w:val="en-US"/>
              </w:rPr>
            </w:pPr>
            <w:r w:rsidRPr="00CE2185">
              <w:rPr>
                <w:noProof/>
                <w:sz w:val="18"/>
                <w:szCs w:val="18"/>
                <w:lang w:val="en-US"/>
              </w:rPr>
              <w:t xml:space="preserve">If transfer of costs (unlikely scenario): EUR </w:t>
            </w:r>
            <w:r>
              <w:rPr>
                <w:noProof/>
                <w:sz w:val="18"/>
                <w:szCs w:val="18"/>
                <w:lang w:val="en-US"/>
              </w:rPr>
              <w:t>6</w:t>
            </w:r>
            <w:r w:rsidRPr="00CE2185">
              <w:rPr>
                <w:noProof/>
                <w:sz w:val="18"/>
                <w:szCs w:val="18"/>
                <w:lang w:val="en-US"/>
              </w:rPr>
              <w:t>.</w:t>
            </w:r>
            <w:r>
              <w:rPr>
                <w:noProof/>
                <w:sz w:val="18"/>
                <w:szCs w:val="18"/>
                <w:lang w:val="en-US"/>
              </w:rPr>
              <w:t>5</w:t>
            </w:r>
            <w:r w:rsidRPr="00CE2185">
              <w:rPr>
                <w:noProof/>
                <w:sz w:val="18"/>
                <w:szCs w:val="18"/>
                <w:lang w:val="en-US"/>
              </w:rPr>
              <w:t xml:space="preserve"> to EUR </w:t>
            </w:r>
            <w:r>
              <w:rPr>
                <w:noProof/>
                <w:sz w:val="18"/>
                <w:szCs w:val="18"/>
                <w:lang w:val="en-US"/>
              </w:rPr>
              <w:t>8</w:t>
            </w:r>
            <w:r w:rsidRPr="00CE2185">
              <w:rPr>
                <w:noProof/>
                <w:sz w:val="18"/>
                <w:szCs w:val="18"/>
                <w:lang w:val="en-US"/>
              </w:rPr>
              <w:t>.</w:t>
            </w:r>
            <w:r>
              <w:rPr>
                <w:noProof/>
                <w:sz w:val="18"/>
                <w:szCs w:val="18"/>
                <w:lang w:val="en-US"/>
              </w:rPr>
              <w:t>3</w:t>
            </w:r>
            <w:r w:rsidRPr="00CE2185">
              <w:rPr>
                <w:noProof/>
                <w:sz w:val="18"/>
                <w:szCs w:val="18"/>
                <w:lang w:val="en-US"/>
              </w:rPr>
              <w:t xml:space="preserve"> per mobile subscriber per year over </w:t>
            </w:r>
            <w:r>
              <w:rPr>
                <w:noProof/>
                <w:sz w:val="18"/>
                <w:szCs w:val="18"/>
                <w:lang w:val="en-US"/>
              </w:rPr>
              <w:t>three</w:t>
            </w:r>
            <w:r w:rsidRPr="00CE2185">
              <w:rPr>
                <w:noProof/>
                <w:sz w:val="18"/>
                <w:szCs w:val="18"/>
                <w:lang w:val="en-US"/>
              </w:rPr>
              <w:t xml:space="preserve"> years</w:t>
            </w:r>
          </w:p>
        </w:tc>
        <w:tc>
          <w:tcPr>
            <w:tcW w:w="3791" w:type="dxa"/>
            <w:tcBorders>
              <w:top w:val="single" w:sz="4" w:space="0" w:color="auto"/>
              <w:left w:val="single" w:sz="4" w:space="0" w:color="auto"/>
              <w:bottom w:val="single" w:sz="4" w:space="0" w:color="auto"/>
              <w:right w:val="single" w:sz="4" w:space="0" w:color="auto"/>
            </w:tcBorders>
          </w:tcPr>
          <w:p w14:paraId="3941DFCA" w14:textId="77777777" w:rsidR="00DB44C9" w:rsidRPr="00CE2185" w:rsidRDefault="00DB44C9" w:rsidP="00641B35">
            <w:pPr>
              <w:spacing w:after="0"/>
              <w:rPr>
                <w:noProof/>
                <w:sz w:val="18"/>
                <w:szCs w:val="18"/>
                <w:lang w:val="en-US"/>
              </w:rPr>
            </w:pPr>
            <w:r w:rsidRPr="00CE2185">
              <w:rPr>
                <w:noProof/>
                <w:sz w:val="18"/>
                <w:szCs w:val="18"/>
                <w:lang w:val="en-US"/>
              </w:rPr>
              <w:t>Same as for D2, in addition to costs to phase out specific assets in other ICT supply chains to be outsourced to customers</w:t>
            </w:r>
          </w:p>
          <w:p w14:paraId="2F330A2C" w14:textId="77777777" w:rsidR="00DB44C9" w:rsidRPr="00CE2185" w:rsidRDefault="00DB44C9" w:rsidP="00641B35">
            <w:pPr>
              <w:spacing w:after="0"/>
              <w:rPr>
                <w:noProof/>
                <w:sz w:val="18"/>
                <w:szCs w:val="18"/>
                <w:lang w:val="en-US"/>
              </w:rPr>
            </w:pPr>
          </w:p>
          <w:p w14:paraId="5419FFE4" w14:textId="77777777" w:rsidR="00DB44C9" w:rsidRPr="00CE2185" w:rsidRDefault="00DB44C9" w:rsidP="00641B35">
            <w:pPr>
              <w:spacing w:after="0"/>
              <w:rPr>
                <w:noProof/>
                <w:sz w:val="18"/>
                <w:szCs w:val="18"/>
                <w:lang w:val="en-US"/>
              </w:rPr>
            </w:pPr>
            <w:r w:rsidRPr="00CE2185">
              <w:rPr>
                <w:noProof/>
                <w:sz w:val="18"/>
                <w:szCs w:val="18"/>
                <w:lang w:val="en-US"/>
              </w:rPr>
              <w:t xml:space="preserve">For 5G: If transfer of costs (unlikely scenario): EUR </w:t>
            </w:r>
            <w:r>
              <w:rPr>
                <w:noProof/>
                <w:sz w:val="18"/>
                <w:szCs w:val="18"/>
                <w:lang w:val="en-US"/>
              </w:rPr>
              <w:t>6</w:t>
            </w:r>
            <w:r w:rsidRPr="00CE2185">
              <w:rPr>
                <w:noProof/>
                <w:sz w:val="18"/>
                <w:szCs w:val="18"/>
                <w:lang w:val="en-US"/>
              </w:rPr>
              <w:t>.</w:t>
            </w:r>
            <w:r>
              <w:rPr>
                <w:noProof/>
                <w:sz w:val="18"/>
                <w:szCs w:val="18"/>
                <w:lang w:val="en-US"/>
              </w:rPr>
              <w:t>5</w:t>
            </w:r>
            <w:r w:rsidRPr="00CE2185">
              <w:rPr>
                <w:noProof/>
                <w:sz w:val="18"/>
                <w:szCs w:val="18"/>
                <w:lang w:val="en-US"/>
              </w:rPr>
              <w:t xml:space="preserve"> to EUR </w:t>
            </w:r>
            <w:r>
              <w:rPr>
                <w:noProof/>
                <w:sz w:val="18"/>
                <w:szCs w:val="18"/>
                <w:lang w:val="en-US"/>
              </w:rPr>
              <w:t>8</w:t>
            </w:r>
            <w:r w:rsidRPr="00CE2185">
              <w:rPr>
                <w:noProof/>
                <w:sz w:val="18"/>
                <w:szCs w:val="18"/>
                <w:lang w:val="en-US"/>
              </w:rPr>
              <w:t>.</w:t>
            </w:r>
            <w:r>
              <w:rPr>
                <w:noProof/>
                <w:sz w:val="18"/>
                <w:szCs w:val="18"/>
                <w:lang w:val="en-US"/>
              </w:rPr>
              <w:t>3</w:t>
            </w:r>
            <w:r w:rsidRPr="00CE2185">
              <w:rPr>
                <w:noProof/>
                <w:sz w:val="18"/>
                <w:szCs w:val="18"/>
                <w:lang w:val="en-US"/>
              </w:rPr>
              <w:t xml:space="preserve"> per mobile subscriber per year over </w:t>
            </w:r>
            <w:r>
              <w:rPr>
                <w:noProof/>
                <w:sz w:val="18"/>
                <w:szCs w:val="18"/>
                <w:lang w:val="en-US"/>
              </w:rPr>
              <w:t xml:space="preserve">three </w:t>
            </w:r>
            <w:r w:rsidRPr="00CE2185">
              <w:rPr>
                <w:noProof/>
                <w:sz w:val="18"/>
                <w:szCs w:val="18"/>
                <w:lang w:val="en-US"/>
              </w:rPr>
              <w:t xml:space="preserve">years </w:t>
            </w:r>
          </w:p>
        </w:tc>
      </w:tr>
    </w:tbl>
    <w:p w14:paraId="7333DD9F" w14:textId="77777777" w:rsidR="00DB44C9" w:rsidRPr="00CE2185" w:rsidRDefault="00DB44C9" w:rsidP="00DB44C9">
      <w:pPr>
        <w:pStyle w:val="Heading4"/>
        <w:spacing w:before="120"/>
        <w:rPr>
          <w:noProof/>
        </w:rPr>
      </w:pPr>
      <w:r w:rsidRPr="00CE2185">
        <w:rPr>
          <w:noProof/>
        </w:rPr>
        <w:t xml:space="preserve"> Cost savings of ICT supply chain options </w:t>
      </w:r>
    </w:p>
    <w:p w14:paraId="27CA20CA" w14:textId="77777777" w:rsidR="00DB44C9" w:rsidRPr="00CE2185" w:rsidRDefault="00DB44C9" w:rsidP="00DB44C9">
      <w:pPr>
        <w:spacing w:after="120"/>
        <w:rPr>
          <w:noProof/>
        </w:rPr>
      </w:pPr>
      <w:r w:rsidRPr="00CE2185">
        <w:rPr>
          <w:b/>
          <w:bCs/>
          <w:noProof/>
        </w:rPr>
        <w:t xml:space="preserve">Options D </w:t>
      </w:r>
      <w:r w:rsidRPr="00CE2185">
        <w:rPr>
          <w:noProof/>
        </w:rPr>
        <w:t xml:space="preserve">will lead cost savings related to </w:t>
      </w:r>
      <w:r w:rsidRPr="00CE2185">
        <w:rPr>
          <w:b/>
          <w:bCs/>
          <w:noProof/>
        </w:rPr>
        <w:t>internal market effects</w:t>
      </w:r>
      <w:r w:rsidRPr="00CE2185">
        <w:rPr>
          <w:noProof/>
        </w:rPr>
        <w:t xml:space="preserve">, especially for </w:t>
      </w:r>
      <w:r w:rsidRPr="00CE2185">
        <w:rPr>
          <w:b/>
          <w:bCs/>
          <w:noProof/>
        </w:rPr>
        <w:t xml:space="preserve">businesses.  </w:t>
      </w:r>
      <w:r w:rsidRPr="00CE2185">
        <w:rPr>
          <w:noProof/>
        </w:rPr>
        <w:t xml:space="preserve">While under </w:t>
      </w:r>
      <w:r w:rsidRPr="00CE2185">
        <w:rPr>
          <w:b/>
          <w:bCs/>
          <w:noProof/>
        </w:rPr>
        <w:t>D.1</w:t>
      </w:r>
      <w:r w:rsidRPr="00CE2185">
        <w:rPr>
          <w:noProof/>
        </w:rPr>
        <w:t xml:space="preserve">, the measures recommended at EU level would remain non-binding under </w:t>
      </w:r>
      <w:r w:rsidRPr="00CE2185">
        <w:rPr>
          <w:b/>
          <w:bCs/>
          <w:noProof/>
        </w:rPr>
        <w:t>option D.2 and D.3</w:t>
      </w:r>
      <w:r w:rsidRPr="00CE2185">
        <w:rPr>
          <w:noProof/>
        </w:rPr>
        <w:t xml:space="preserve">, cost savings for businesses could exist related to reduced market fragmentation (being higher under D.3 and in particular in the area of 5G under D.2). In particular, businesses having cross-border activities would have the same set of requirements across Member States, which would entail less administrative burden for them to comply to different rules in each Member State. Those benefits are analysed in more details in </w:t>
      </w:r>
      <w:r w:rsidRPr="00CE2185">
        <w:rPr>
          <w:i/>
          <w:iCs/>
          <w:noProof/>
        </w:rPr>
        <w:t>section 6.1.3</w:t>
      </w:r>
      <w:r w:rsidRPr="00CE2185">
        <w:rPr>
          <w:noProof/>
        </w:rPr>
        <w:t xml:space="preserve">. </w:t>
      </w:r>
    </w:p>
    <w:p w14:paraId="10589AF6" w14:textId="77777777" w:rsidR="00DB44C9" w:rsidRPr="00CE2185" w:rsidRDefault="00DB44C9" w:rsidP="00DB44C9">
      <w:pPr>
        <w:spacing w:after="120"/>
        <w:rPr>
          <w:noProof/>
        </w:rPr>
      </w:pPr>
      <w:r w:rsidRPr="00CE2185">
        <w:rPr>
          <w:noProof/>
        </w:rPr>
        <w:t xml:space="preserve">Furthermore, options D would be linked with broader benefits that are analysed in more details in </w:t>
      </w:r>
      <w:r w:rsidRPr="00CE2185">
        <w:rPr>
          <w:i/>
          <w:iCs/>
          <w:noProof/>
        </w:rPr>
        <w:t xml:space="preserve">sections 6.1.4 and sections 6.2. </w:t>
      </w:r>
      <w:r w:rsidRPr="00CE2185">
        <w:rPr>
          <w:noProof/>
        </w:rPr>
        <w:t xml:space="preserve">Benefits would exist especially in qualitative terms for all categories of stakeholders (citizens, businesses and public authorities) as ICT users as it would </w:t>
      </w:r>
      <w:r w:rsidRPr="00CE2185">
        <w:rPr>
          <w:b/>
          <w:noProof/>
        </w:rPr>
        <w:t>reduce cybersecurity risks stemming from reliance on high-risk suppliers</w:t>
      </w:r>
      <w:r w:rsidRPr="00CE2185">
        <w:rPr>
          <w:noProof/>
        </w:rPr>
        <w:t xml:space="preserve"> and improve the level of resilience of critical infrastructure and contribute to strengthen the overall resilience of our economy and society (these impacts are </w:t>
      </w:r>
      <w:r w:rsidRPr="00CE2185">
        <w:rPr>
          <w:i/>
          <w:iCs/>
          <w:noProof/>
        </w:rPr>
        <w:t>see Section 6.2</w:t>
      </w:r>
      <w:r w:rsidRPr="00CE2185">
        <w:rPr>
          <w:noProof/>
        </w:rPr>
        <w:t xml:space="preserve">). Those benefits would be the highest under D3, followed by D2 and D1. </w:t>
      </w:r>
    </w:p>
    <w:p w14:paraId="323D7DF9" w14:textId="77777777" w:rsidR="00DB44C9" w:rsidRPr="00CE2185" w:rsidRDefault="00DB44C9" w:rsidP="00DB44C9">
      <w:pPr>
        <w:spacing w:after="120"/>
        <w:rPr>
          <w:noProof/>
        </w:rPr>
      </w:pPr>
      <w:r w:rsidRPr="00CE2185">
        <w:rPr>
          <w:noProof/>
        </w:rPr>
        <w:t>Furthermore, while there will be short-term costs related to substitution of assets for companies that have assets provided by untrusted suppliers,</w:t>
      </w:r>
      <w:r w:rsidRPr="00CE2185">
        <w:rPr>
          <w:b/>
          <w:bCs/>
          <w:noProof/>
        </w:rPr>
        <w:t xml:space="preserve"> new revenues</w:t>
      </w:r>
      <w:r w:rsidRPr="00CE2185">
        <w:rPr>
          <w:noProof/>
        </w:rPr>
        <w:t xml:space="preserve"> will be created by </w:t>
      </w:r>
      <w:r w:rsidRPr="00CE2185">
        <w:rPr>
          <w:b/>
          <w:bCs/>
          <w:noProof/>
        </w:rPr>
        <w:t xml:space="preserve">trusted suppliers </w:t>
      </w:r>
      <w:r w:rsidRPr="00CE2185">
        <w:rPr>
          <w:noProof/>
        </w:rPr>
        <w:t xml:space="preserve">stimulating investments in R&amp;D and hence innovation and competitiveness. Those benefits are analysed in more details in </w:t>
      </w:r>
      <w:r w:rsidRPr="00CE2185">
        <w:rPr>
          <w:i/>
          <w:iCs/>
          <w:noProof/>
        </w:rPr>
        <w:t xml:space="preserve">Section 6.1.4. </w:t>
      </w:r>
      <w:r w:rsidRPr="00CE2185">
        <w:rPr>
          <w:noProof/>
        </w:rPr>
        <w:t>Based on the known value of annual investments in key assets (5G RAN and core networks), and assuming that 32% of the investments would go to untrusted suppliers</w:t>
      </w:r>
      <w:r>
        <w:rPr>
          <w:noProof/>
        </w:rPr>
        <w:t xml:space="preserve"> under business as usual</w:t>
      </w:r>
      <w:r w:rsidRPr="00CE2185">
        <w:rPr>
          <w:noProof/>
        </w:rPr>
        <w:t xml:space="preserve">, the value created for trusted suppliers, could amount to EUR </w:t>
      </w:r>
      <w:r w:rsidRPr="00CE2185">
        <w:rPr>
          <w:b/>
          <w:bCs/>
          <w:noProof/>
        </w:rPr>
        <w:t xml:space="preserve">2 bn per year </w:t>
      </w:r>
      <w:r>
        <w:rPr>
          <w:noProof/>
        </w:rPr>
        <w:t xml:space="preserve">during the three years transition period and beyond as these market shares would be retained by trusted suppliers </w:t>
      </w:r>
      <w:r w:rsidRPr="00CE2185">
        <w:rPr>
          <w:noProof/>
        </w:rPr>
        <w:t xml:space="preserve">(See </w:t>
      </w:r>
      <w:r w:rsidRPr="211C3D34">
        <w:rPr>
          <w:i/>
          <w:iCs/>
          <w:noProof/>
        </w:rPr>
        <w:t>Annex 4</w:t>
      </w:r>
      <w:r w:rsidRPr="00CE2185">
        <w:rPr>
          <w:noProof/>
        </w:rPr>
        <w:t xml:space="preserve"> </w:t>
      </w:r>
      <w:r w:rsidRPr="211C3D34">
        <w:rPr>
          <w:i/>
          <w:iCs/>
          <w:noProof/>
        </w:rPr>
        <w:t>section 4.4.3)</w:t>
      </w:r>
      <w:r w:rsidRPr="00CE2185">
        <w:rPr>
          <w:noProof/>
        </w:rPr>
        <w:t>. In comparison with the costs for replacing untrusted equipment, this represents an overall net benefit for the economy and enhanced cyber resilience. For example, a European MNO has recently renewed its contract with a high-risk supplier to supply equipment for its 5G core network for five more years in a Member State. The restrictions on high-risk suppliers under option D.3 would give the opportunity for trusted suppliers to win such a contract.  A report</w:t>
      </w:r>
      <w:r w:rsidRPr="00CE2185">
        <w:rPr>
          <w:rStyle w:val="FootnoteReference"/>
          <w:noProof/>
        </w:rPr>
        <w:footnoteReference w:id="174"/>
      </w:r>
      <w:r w:rsidRPr="00CE2185">
        <w:rPr>
          <w:noProof/>
        </w:rPr>
        <w:t xml:space="preserve"> analyses the fact that the phasing out of untrusted suppliers in certain regions of the world have led to the increase of market shares of trusted suppliers. </w:t>
      </w:r>
    </w:p>
    <w:p w14:paraId="7C16928B" w14:textId="77777777" w:rsidR="00DB44C9" w:rsidRPr="00CE2185" w:rsidRDefault="00DB44C9" w:rsidP="00DB44C9">
      <w:pPr>
        <w:pStyle w:val="Heading7"/>
        <w:rPr>
          <w:noProof/>
        </w:rPr>
      </w:pPr>
      <w:bookmarkStart w:id="114" w:name="_Toc218767777"/>
      <w:r w:rsidRPr="00CE2185">
        <w:rPr>
          <w:noProof/>
        </w:rPr>
        <w:t>Table 15</w:t>
      </w:r>
      <w:r>
        <w:rPr>
          <w:noProof/>
        </w:rPr>
        <w:t xml:space="preserve">: </w:t>
      </w:r>
      <w:r w:rsidRPr="00CE2185">
        <w:rPr>
          <w:noProof/>
        </w:rPr>
        <w:t>Cost savings of policy options D (supply chain)</w:t>
      </w:r>
      <w:bookmarkEnd w:id="114"/>
    </w:p>
    <w:tbl>
      <w:tblPr>
        <w:tblStyle w:val="TableGrid"/>
        <w:tblW w:w="0" w:type="auto"/>
        <w:tblLook w:val="04A0" w:firstRow="1" w:lastRow="0" w:firstColumn="1" w:lastColumn="0" w:noHBand="0" w:noVBand="1"/>
      </w:tblPr>
      <w:tblGrid>
        <w:gridCol w:w="1047"/>
        <w:gridCol w:w="1833"/>
        <w:gridCol w:w="2456"/>
        <w:gridCol w:w="3527"/>
      </w:tblGrid>
      <w:tr w:rsidR="00DB44C9" w:rsidRPr="00CE2185" w14:paraId="3C5A5A0F" w14:textId="77777777" w:rsidTr="00641B35">
        <w:tc>
          <w:tcPr>
            <w:tcW w:w="1046"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900DD94" w14:textId="77777777" w:rsidR="00DB44C9" w:rsidRPr="00CE2185" w:rsidRDefault="00DB44C9" w:rsidP="00641B35">
            <w:pPr>
              <w:spacing w:after="0"/>
              <w:rPr>
                <w:b/>
                <w:noProof/>
                <w:sz w:val="18"/>
                <w:szCs w:val="18"/>
                <w:lang w:val="en-US"/>
              </w:rPr>
            </w:pPr>
            <w:r w:rsidRPr="00CE2185">
              <w:rPr>
                <w:b/>
                <w:noProof/>
                <w:sz w:val="18"/>
                <w:szCs w:val="18"/>
                <w:lang w:val="en-US"/>
              </w:rPr>
              <w:t>COST SAVINGS</w:t>
            </w:r>
          </w:p>
        </w:tc>
        <w:tc>
          <w:tcPr>
            <w:tcW w:w="8240" w:type="dxa"/>
            <w:gridSpan w:val="3"/>
            <w:tcBorders>
              <w:top w:val="single" w:sz="4" w:space="0" w:color="auto"/>
              <w:left w:val="single" w:sz="4" w:space="0" w:color="auto"/>
              <w:bottom w:val="single" w:sz="4" w:space="0" w:color="auto"/>
              <w:right w:val="single" w:sz="4" w:space="0" w:color="auto"/>
            </w:tcBorders>
            <w:shd w:val="clear" w:color="auto" w:fill="B7CFED"/>
            <w:vAlign w:val="center"/>
            <w:hideMark/>
          </w:tcPr>
          <w:p w14:paraId="01412CA5" w14:textId="77777777" w:rsidR="00DB44C9" w:rsidRPr="00CE2185" w:rsidRDefault="00DB44C9" w:rsidP="00641B35">
            <w:pPr>
              <w:spacing w:after="0"/>
              <w:rPr>
                <w:b/>
                <w:noProof/>
                <w:sz w:val="18"/>
                <w:szCs w:val="18"/>
                <w:lang w:val="en-US"/>
              </w:rPr>
            </w:pPr>
            <w:r w:rsidRPr="00CE2185">
              <w:rPr>
                <w:b/>
                <w:noProof/>
                <w:sz w:val="18"/>
                <w:szCs w:val="18"/>
                <w:lang w:val="en-US"/>
              </w:rPr>
              <w:t>Policy options [Supply chain]</w:t>
            </w:r>
          </w:p>
        </w:tc>
      </w:tr>
      <w:tr w:rsidR="00DB44C9" w:rsidRPr="00CE2185" w14:paraId="6132E628" w14:textId="77777777" w:rsidTr="00641B35">
        <w:tc>
          <w:tcPr>
            <w:tcW w:w="1046" w:type="dxa"/>
            <w:vMerge/>
            <w:vAlign w:val="center"/>
            <w:hideMark/>
          </w:tcPr>
          <w:p w14:paraId="713DBA0E" w14:textId="77777777" w:rsidR="00DB44C9" w:rsidRPr="00CE2185" w:rsidRDefault="00DB44C9" w:rsidP="00641B35">
            <w:pPr>
              <w:spacing w:after="0"/>
              <w:rPr>
                <w:rFonts w:eastAsiaTheme="minorHAnsi"/>
                <w:b/>
                <w:noProof/>
                <w:sz w:val="18"/>
                <w:szCs w:val="18"/>
              </w:rPr>
            </w:pPr>
          </w:p>
        </w:tc>
        <w:tc>
          <w:tcPr>
            <w:tcW w:w="1904"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681790C3" w14:textId="77777777" w:rsidR="00DB44C9" w:rsidRPr="00CE2185" w:rsidRDefault="00DB44C9" w:rsidP="00641B35">
            <w:pPr>
              <w:spacing w:after="0"/>
              <w:rPr>
                <w:b/>
                <w:noProof/>
                <w:sz w:val="18"/>
                <w:szCs w:val="18"/>
                <w:lang w:val="en-US"/>
              </w:rPr>
            </w:pPr>
            <w:r w:rsidRPr="00CE2185">
              <w:rPr>
                <w:b/>
                <w:noProof/>
                <w:sz w:val="18"/>
                <w:szCs w:val="18"/>
                <w:lang w:val="en-US"/>
              </w:rPr>
              <w:t>D1</w:t>
            </w:r>
          </w:p>
        </w:tc>
        <w:tc>
          <w:tcPr>
            <w:tcW w:w="2545"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6B197569" w14:textId="77777777" w:rsidR="00DB44C9" w:rsidRPr="00CE2185" w:rsidRDefault="00DB44C9" w:rsidP="00641B35">
            <w:pPr>
              <w:spacing w:after="0"/>
              <w:rPr>
                <w:b/>
                <w:noProof/>
                <w:sz w:val="18"/>
                <w:szCs w:val="18"/>
                <w:lang w:val="en-US"/>
              </w:rPr>
            </w:pPr>
            <w:r w:rsidRPr="00CE2185">
              <w:rPr>
                <w:b/>
                <w:noProof/>
                <w:sz w:val="18"/>
                <w:szCs w:val="18"/>
                <w:lang w:val="en-US"/>
              </w:rPr>
              <w:t>D2</w:t>
            </w:r>
          </w:p>
        </w:tc>
        <w:tc>
          <w:tcPr>
            <w:tcW w:w="3791" w:type="dxa"/>
            <w:tcBorders>
              <w:top w:val="single" w:sz="4" w:space="0" w:color="auto"/>
              <w:left w:val="single" w:sz="4" w:space="0" w:color="auto"/>
              <w:bottom w:val="single" w:sz="4" w:space="0" w:color="auto"/>
              <w:right w:val="single" w:sz="4" w:space="0" w:color="auto"/>
            </w:tcBorders>
            <w:shd w:val="clear" w:color="auto" w:fill="E1EBF7"/>
            <w:vAlign w:val="center"/>
            <w:hideMark/>
          </w:tcPr>
          <w:p w14:paraId="4ABA1E8D" w14:textId="77777777" w:rsidR="00DB44C9" w:rsidRPr="00CE2185" w:rsidRDefault="00DB44C9" w:rsidP="00641B35">
            <w:pPr>
              <w:spacing w:after="0"/>
              <w:rPr>
                <w:b/>
                <w:noProof/>
                <w:sz w:val="18"/>
                <w:szCs w:val="18"/>
                <w:lang w:val="en-US"/>
              </w:rPr>
            </w:pPr>
            <w:r w:rsidRPr="00CE2185">
              <w:rPr>
                <w:b/>
                <w:noProof/>
                <w:sz w:val="18"/>
                <w:szCs w:val="18"/>
                <w:lang w:val="en-US"/>
              </w:rPr>
              <w:t>D3</w:t>
            </w:r>
          </w:p>
        </w:tc>
      </w:tr>
      <w:tr w:rsidR="00DB44C9" w:rsidRPr="00CE2185" w14:paraId="155B59DC" w14:textId="77777777" w:rsidTr="00641B35">
        <w:tc>
          <w:tcPr>
            <w:tcW w:w="1046" w:type="dxa"/>
            <w:tcBorders>
              <w:top w:val="single" w:sz="4" w:space="0" w:color="auto"/>
              <w:left w:val="single" w:sz="4" w:space="0" w:color="auto"/>
              <w:bottom w:val="single" w:sz="4" w:space="0" w:color="auto"/>
              <w:right w:val="single" w:sz="4" w:space="0" w:color="auto"/>
            </w:tcBorders>
          </w:tcPr>
          <w:p w14:paraId="78B46BB0" w14:textId="77777777" w:rsidR="00DB44C9" w:rsidRPr="00CE2185" w:rsidRDefault="00DB44C9" w:rsidP="00641B35">
            <w:pPr>
              <w:spacing w:after="0"/>
              <w:rPr>
                <w:noProof/>
                <w:sz w:val="18"/>
                <w:szCs w:val="18"/>
                <w:lang w:val="en-US"/>
              </w:rPr>
            </w:pPr>
            <w:r w:rsidRPr="00CE2185">
              <w:rPr>
                <w:b/>
                <w:noProof/>
                <w:sz w:val="18"/>
                <w:szCs w:val="18"/>
                <w:lang w:val="en-US"/>
              </w:rPr>
              <w:t xml:space="preserve">Businesses </w:t>
            </w:r>
          </w:p>
        </w:tc>
        <w:tc>
          <w:tcPr>
            <w:tcW w:w="1904" w:type="dxa"/>
            <w:tcBorders>
              <w:top w:val="single" w:sz="4" w:space="0" w:color="auto"/>
              <w:left w:val="single" w:sz="4" w:space="0" w:color="auto"/>
              <w:bottom w:val="single" w:sz="4" w:space="0" w:color="auto"/>
              <w:right w:val="single" w:sz="4" w:space="0" w:color="auto"/>
            </w:tcBorders>
          </w:tcPr>
          <w:p w14:paraId="3C943301" w14:textId="77777777" w:rsidR="00DB44C9" w:rsidRPr="00CE2185" w:rsidRDefault="00DB44C9" w:rsidP="00641B35">
            <w:pPr>
              <w:spacing w:after="0"/>
              <w:rPr>
                <w:noProof/>
                <w:sz w:val="18"/>
                <w:szCs w:val="18"/>
                <w:lang w:val="en-US"/>
              </w:rPr>
            </w:pPr>
            <w:r w:rsidRPr="00CE2185">
              <w:rPr>
                <w:noProof/>
                <w:sz w:val="18"/>
                <w:szCs w:val="18"/>
                <w:lang w:val="en-US"/>
              </w:rPr>
              <w:t xml:space="preserve">Limited </w:t>
            </w:r>
          </w:p>
        </w:tc>
        <w:tc>
          <w:tcPr>
            <w:tcW w:w="2545" w:type="dxa"/>
            <w:tcBorders>
              <w:top w:val="single" w:sz="4" w:space="0" w:color="auto"/>
              <w:left w:val="single" w:sz="4" w:space="0" w:color="auto"/>
              <w:bottom w:val="single" w:sz="4" w:space="0" w:color="auto"/>
              <w:right w:val="single" w:sz="4" w:space="0" w:color="auto"/>
            </w:tcBorders>
          </w:tcPr>
          <w:p w14:paraId="1C756EC7" w14:textId="77777777" w:rsidR="00DB44C9" w:rsidRPr="00CE2185" w:rsidRDefault="00DB44C9" w:rsidP="00641B35">
            <w:pPr>
              <w:pStyle w:val="ListParagraph"/>
              <w:numPr>
                <w:ilvl w:val="0"/>
                <w:numId w:val="41"/>
              </w:numPr>
              <w:spacing w:after="0"/>
              <w:rPr>
                <w:noProof/>
                <w:sz w:val="18"/>
                <w:szCs w:val="18"/>
                <w:lang w:val="en-US"/>
              </w:rPr>
            </w:pPr>
            <w:r w:rsidRPr="00CE2185">
              <w:rPr>
                <w:noProof/>
                <w:sz w:val="18"/>
                <w:szCs w:val="18"/>
                <w:lang w:val="en-US"/>
              </w:rPr>
              <w:t xml:space="preserve">Stimulating new market opportunities: </w:t>
            </w:r>
            <w:r w:rsidRPr="00CE2185">
              <w:rPr>
                <w:b/>
                <w:bCs/>
                <w:noProof/>
                <w:sz w:val="18"/>
                <w:szCs w:val="18"/>
                <w:lang w:val="en-US"/>
              </w:rPr>
              <w:t xml:space="preserve">EUR 2bn EUR per year </w:t>
            </w:r>
            <w:r w:rsidRPr="00CE2185">
              <w:rPr>
                <w:noProof/>
                <w:sz w:val="18"/>
                <w:szCs w:val="18"/>
                <w:lang w:val="en-US"/>
              </w:rPr>
              <w:t xml:space="preserve">(recurrent benefits) </w:t>
            </w:r>
            <w:r>
              <w:rPr>
                <w:noProof/>
                <w:sz w:val="18"/>
                <w:szCs w:val="18"/>
                <w:lang w:val="en-US"/>
              </w:rPr>
              <w:t>during the 3-years transition period and beyond</w:t>
            </w:r>
          </w:p>
          <w:p w14:paraId="602791B9" w14:textId="77777777" w:rsidR="00DB44C9" w:rsidRPr="00CE2185" w:rsidRDefault="00DB44C9" w:rsidP="00641B35">
            <w:pPr>
              <w:pStyle w:val="ListParagraph"/>
              <w:numPr>
                <w:ilvl w:val="0"/>
                <w:numId w:val="41"/>
              </w:numPr>
              <w:spacing w:after="0"/>
              <w:rPr>
                <w:noProof/>
                <w:sz w:val="18"/>
                <w:szCs w:val="18"/>
                <w:lang w:val="en-US"/>
              </w:rPr>
            </w:pPr>
            <w:r w:rsidRPr="00CE2185">
              <w:rPr>
                <w:noProof/>
                <w:sz w:val="18"/>
                <w:szCs w:val="18"/>
                <w:lang w:val="en-US"/>
              </w:rPr>
              <w:t>Increased cyber resilience</w:t>
            </w:r>
          </w:p>
          <w:p w14:paraId="690E4058" w14:textId="77777777" w:rsidR="00DB44C9" w:rsidRPr="00CE2185" w:rsidRDefault="00DB44C9" w:rsidP="00641B35">
            <w:pPr>
              <w:pStyle w:val="ListParagraph"/>
              <w:numPr>
                <w:ilvl w:val="0"/>
                <w:numId w:val="41"/>
              </w:numPr>
              <w:spacing w:after="0"/>
              <w:rPr>
                <w:noProof/>
                <w:sz w:val="18"/>
                <w:szCs w:val="18"/>
                <w:lang w:val="en-US"/>
              </w:rPr>
            </w:pPr>
            <w:r w:rsidRPr="00CE2185">
              <w:rPr>
                <w:noProof/>
                <w:sz w:val="18"/>
                <w:szCs w:val="18"/>
                <w:lang w:val="en-US"/>
              </w:rPr>
              <w:t xml:space="preserve">Internal market  </w:t>
            </w:r>
          </w:p>
        </w:tc>
        <w:tc>
          <w:tcPr>
            <w:tcW w:w="3791" w:type="dxa"/>
            <w:tcBorders>
              <w:top w:val="single" w:sz="4" w:space="0" w:color="auto"/>
              <w:left w:val="single" w:sz="4" w:space="0" w:color="auto"/>
              <w:bottom w:val="single" w:sz="4" w:space="0" w:color="auto"/>
              <w:right w:val="single" w:sz="4" w:space="0" w:color="auto"/>
            </w:tcBorders>
          </w:tcPr>
          <w:p w14:paraId="62C75D83" w14:textId="77777777" w:rsidR="00DB44C9" w:rsidRPr="00CE2185" w:rsidRDefault="00DB44C9" w:rsidP="00641B35">
            <w:pPr>
              <w:spacing w:after="0"/>
              <w:rPr>
                <w:noProof/>
                <w:sz w:val="18"/>
                <w:szCs w:val="18"/>
                <w:lang w:val="en-US"/>
              </w:rPr>
            </w:pPr>
            <w:r w:rsidRPr="00CE2185">
              <w:rPr>
                <w:noProof/>
                <w:sz w:val="18"/>
                <w:szCs w:val="18"/>
                <w:lang w:val="en-US"/>
              </w:rPr>
              <w:t>&gt; D2</w:t>
            </w:r>
          </w:p>
        </w:tc>
      </w:tr>
      <w:tr w:rsidR="00DB44C9" w:rsidRPr="00CE2185" w14:paraId="22F7135E" w14:textId="77777777" w:rsidTr="00641B35">
        <w:tc>
          <w:tcPr>
            <w:tcW w:w="1046" w:type="dxa"/>
            <w:tcBorders>
              <w:top w:val="single" w:sz="4" w:space="0" w:color="auto"/>
              <w:left w:val="single" w:sz="4" w:space="0" w:color="auto"/>
              <w:bottom w:val="single" w:sz="4" w:space="0" w:color="auto"/>
              <w:right w:val="single" w:sz="4" w:space="0" w:color="auto"/>
            </w:tcBorders>
          </w:tcPr>
          <w:p w14:paraId="6C931CA5" w14:textId="77777777" w:rsidR="00DB44C9" w:rsidRPr="00CE2185" w:rsidRDefault="00DB44C9" w:rsidP="00641B35">
            <w:pPr>
              <w:spacing w:after="0"/>
              <w:rPr>
                <w:b/>
                <w:noProof/>
                <w:sz w:val="18"/>
                <w:szCs w:val="18"/>
                <w:lang w:val="en-US"/>
              </w:rPr>
            </w:pPr>
            <w:r w:rsidRPr="00CE2185">
              <w:rPr>
                <w:b/>
                <w:noProof/>
                <w:sz w:val="18"/>
                <w:szCs w:val="18"/>
                <w:lang w:val="en-US"/>
              </w:rPr>
              <w:t>Public authorities</w:t>
            </w:r>
          </w:p>
        </w:tc>
        <w:tc>
          <w:tcPr>
            <w:tcW w:w="1904" w:type="dxa"/>
            <w:tcBorders>
              <w:top w:val="single" w:sz="4" w:space="0" w:color="auto"/>
              <w:left w:val="single" w:sz="4" w:space="0" w:color="auto"/>
              <w:bottom w:val="single" w:sz="4" w:space="0" w:color="auto"/>
              <w:right w:val="single" w:sz="4" w:space="0" w:color="auto"/>
            </w:tcBorders>
          </w:tcPr>
          <w:p w14:paraId="62BEC9F8" w14:textId="77777777" w:rsidR="00DB44C9" w:rsidRPr="00CE2185" w:rsidRDefault="00DB44C9" w:rsidP="00641B35">
            <w:pPr>
              <w:spacing w:after="0"/>
              <w:rPr>
                <w:noProof/>
                <w:sz w:val="18"/>
                <w:szCs w:val="18"/>
                <w:lang w:val="en-US"/>
              </w:rPr>
            </w:pPr>
            <w:r w:rsidRPr="00CE2185">
              <w:rPr>
                <w:noProof/>
                <w:sz w:val="18"/>
                <w:szCs w:val="18"/>
                <w:lang w:val="en-US"/>
              </w:rPr>
              <w:t>Depending on MS</w:t>
            </w:r>
          </w:p>
        </w:tc>
        <w:tc>
          <w:tcPr>
            <w:tcW w:w="2545" w:type="dxa"/>
            <w:tcBorders>
              <w:top w:val="single" w:sz="4" w:space="0" w:color="auto"/>
              <w:left w:val="single" w:sz="4" w:space="0" w:color="auto"/>
              <w:bottom w:val="single" w:sz="4" w:space="0" w:color="auto"/>
              <w:right w:val="single" w:sz="4" w:space="0" w:color="auto"/>
            </w:tcBorders>
          </w:tcPr>
          <w:p w14:paraId="4C571BD0" w14:textId="77777777" w:rsidR="00DB44C9" w:rsidRPr="00CE2185" w:rsidRDefault="00DB44C9" w:rsidP="00641B35">
            <w:pPr>
              <w:pStyle w:val="ListParagraph"/>
              <w:numPr>
                <w:ilvl w:val="0"/>
                <w:numId w:val="41"/>
              </w:numPr>
              <w:spacing w:after="0"/>
              <w:rPr>
                <w:noProof/>
                <w:sz w:val="18"/>
                <w:szCs w:val="18"/>
                <w:lang w:val="en-US"/>
              </w:rPr>
            </w:pPr>
            <w:r w:rsidRPr="00CE2185">
              <w:rPr>
                <w:noProof/>
                <w:sz w:val="18"/>
                <w:szCs w:val="18"/>
                <w:lang w:val="en-US"/>
              </w:rPr>
              <w:t xml:space="preserve">Trusted offering (as ICT user) </w:t>
            </w:r>
          </w:p>
          <w:p w14:paraId="44D2E9E8" w14:textId="77777777" w:rsidR="00DB44C9" w:rsidRPr="00CE2185" w:rsidRDefault="00DB44C9" w:rsidP="00641B35">
            <w:pPr>
              <w:spacing w:after="0"/>
              <w:rPr>
                <w:noProof/>
                <w:sz w:val="18"/>
                <w:szCs w:val="18"/>
                <w:lang w:val="en-US"/>
              </w:rPr>
            </w:pPr>
          </w:p>
        </w:tc>
        <w:tc>
          <w:tcPr>
            <w:tcW w:w="3791" w:type="dxa"/>
            <w:tcBorders>
              <w:top w:val="single" w:sz="4" w:space="0" w:color="auto"/>
              <w:left w:val="single" w:sz="4" w:space="0" w:color="auto"/>
              <w:bottom w:val="single" w:sz="4" w:space="0" w:color="auto"/>
              <w:right w:val="single" w:sz="4" w:space="0" w:color="auto"/>
            </w:tcBorders>
          </w:tcPr>
          <w:p w14:paraId="6A643FF9" w14:textId="77777777" w:rsidR="00DB44C9" w:rsidRPr="00CE2185" w:rsidRDefault="00DB44C9" w:rsidP="00641B35">
            <w:pPr>
              <w:spacing w:after="0"/>
              <w:rPr>
                <w:noProof/>
                <w:sz w:val="18"/>
                <w:szCs w:val="18"/>
                <w:lang w:val="en-US"/>
              </w:rPr>
            </w:pPr>
            <w:r w:rsidRPr="00CE2185">
              <w:rPr>
                <w:noProof/>
                <w:sz w:val="18"/>
                <w:szCs w:val="18"/>
                <w:lang w:val="en-US"/>
              </w:rPr>
              <w:t>&gt; D2</w:t>
            </w:r>
          </w:p>
        </w:tc>
      </w:tr>
      <w:tr w:rsidR="00DB44C9" w:rsidRPr="00CE2185" w14:paraId="4469F370" w14:textId="77777777" w:rsidTr="00641B35">
        <w:tc>
          <w:tcPr>
            <w:tcW w:w="1046" w:type="dxa"/>
            <w:tcBorders>
              <w:top w:val="single" w:sz="4" w:space="0" w:color="auto"/>
              <w:left w:val="single" w:sz="4" w:space="0" w:color="auto"/>
              <w:bottom w:val="single" w:sz="4" w:space="0" w:color="auto"/>
              <w:right w:val="single" w:sz="4" w:space="0" w:color="auto"/>
            </w:tcBorders>
          </w:tcPr>
          <w:p w14:paraId="7BAEC3CD" w14:textId="77777777" w:rsidR="00DB44C9" w:rsidRPr="00CE2185" w:rsidRDefault="00DB44C9" w:rsidP="00641B35">
            <w:pPr>
              <w:spacing w:after="0"/>
              <w:rPr>
                <w:b/>
                <w:noProof/>
                <w:sz w:val="18"/>
                <w:szCs w:val="18"/>
                <w:lang w:val="en-US"/>
              </w:rPr>
            </w:pPr>
            <w:r w:rsidRPr="00CE2185">
              <w:rPr>
                <w:b/>
                <w:noProof/>
                <w:sz w:val="18"/>
                <w:szCs w:val="18"/>
                <w:lang w:val="en-US"/>
              </w:rPr>
              <w:t>Citizens</w:t>
            </w:r>
          </w:p>
        </w:tc>
        <w:tc>
          <w:tcPr>
            <w:tcW w:w="1904" w:type="dxa"/>
            <w:tcBorders>
              <w:top w:val="single" w:sz="4" w:space="0" w:color="auto"/>
              <w:left w:val="single" w:sz="4" w:space="0" w:color="auto"/>
              <w:bottom w:val="single" w:sz="4" w:space="0" w:color="auto"/>
              <w:right w:val="single" w:sz="4" w:space="0" w:color="auto"/>
            </w:tcBorders>
          </w:tcPr>
          <w:p w14:paraId="7A9A9AB0" w14:textId="77777777" w:rsidR="00DB44C9" w:rsidRPr="00CE2185" w:rsidRDefault="00DB44C9" w:rsidP="00641B35">
            <w:pPr>
              <w:spacing w:after="0"/>
              <w:rPr>
                <w:noProof/>
                <w:sz w:val="18"/>
                <w:szCs w:val="18"/>
                <w:lang w:val="en-US"/>
              </w:rPr>
            </w:pPr>
            <w:r w:rsidRPr="00CE2185">
              <w:rPr>
                <w:noProof/>
                <w:sz w:val="18"/>
                <w:szCs w:val="18"/>
                <w:lang w:val="en-US"/>
              </w:rPr>
              <w:t>Depending on MS</w:t>
            </w:r>
          </w:p>
        </w:tc>
        <w:tc>
          <w:tcPr>
            <w:tcW w:w="2545" w:type="dxa"/>
            <w:tcBorders>
              <w:top w:val="single" w:sz="4" w:space="0" w:color="auto"/>
              <w:left w:val="single" w:sz="4" w:space="0" w:color="auto"/>
              <w:bottom w:val="single" w:sz="4" w:space="0" w:color="auto"/>
              <w:right w:val="single" w:sz="4" w:space="0" w:color="auto"/>
            </w:tcBorders>
          </w:tcPr>
          <w:p w14:paraId="182D3EA9" w14:textId="77777777" w:rsidR="00DB44C9" w:rsidRPr="00CE2185" w:rsidRDefault="00DB44C9" w:rsidP="00641B35">
            <w:pPr>
              <w:pStyle w:val="ListParagraph"/>
              <w:numPr>
                <w:ilvl w:val="0"/>
                <w:numId w:val="41"/>
              </w:numPr>
              <w:spacing w:after="0"/>
              <w:rPr>
                <w:noProof/>
                <w:sz w:val="18"/>
                <w:szCs w:val="18"/>
                <w:lang w:val="en-US"/>
              </w:rPr>
            </w:pPr>
            <w:r w:rsidRPr="00CE2185">
              <w:rPr>
                <w:noProof/>
                <w:sz w:val="18"/>
                <w:szCs w:val="18"/>
                <w:lang w:val="en-US"/>
              </w:rPr>
              <w:t xml:space="preserve">Trusted offering (as ICT user) </w:t>
            </w:r>
          </w:p>
        </w:tc>
        <w:tc>
          <w:tcPr>
            <w:tcW w:w="3791" w:type="dxa"/>
            <w:tcBorders>
              <w:top w:val="single" w:sz="4" w:space="0" w:color="auto"/>
              <w:left w:val="single" w:sz="4" w:space="0" w:color="auto"/>
              <w:bottom w:val="single" w:sz="4" w:space="0" w:color="auto"/>
              <w:right w:val="single" w:sz="4" w:space="0" w:color="auto"/>
            </w:tcBorders>
          </w:tcPr>
          <w:p w14:paraId="1AC9A274" w14:textId="77777777" w:rsidR="00DB44C9" w:rsidRPr="00CE2185" w:rsidRDefault="00DB44C9" w:rsidP="00641B35">
            <w:pPr>
              <w:spacing w:after="0"/>
              <w:rPr>
                <w:noProof/>
                <w:sz w:val="18"/>
                <w:szCs w:val="18"/>
                <w:lang w:val="en-US"/>
              </w:rPr>
            </w:pPr>
            <w:r w:rsidRPr="00CE2185">
              <w:rPr>
                <w:noProof/>
                <w:sz w:val="18"/>
                <w:szCs w:val="18"/>
                <w:lang w:val="en-US"/>
              </w:rPr>
              <w:t>&gt; D2</w:t>
            </w:r>
          </w:p>
        </w:tc>
      </w:tr>
    </w:tbl>
    <w:p w14:paraId="7362E806" w14:textId="77777777" w:rsidR="00C70DB9" w:rsidRPr="00CE2185" w:rsidRDefault="00C70DB9" w:rsidP="00795DF0">
      <w:pPr>
        <w:spacing w:after="120"/>
        <w:rPr>
          <w:noProof/>
        </w:rPr>
      </w:pPr>
    </w:p>
    <w:p w14:paraId="5477B7F2" w14:textId="2D9650D2" w:rsidR="003C36D5" w:rsidRPr="00CE2185" w:rsidRDefault="003C36D5" w:rsidP="00F77C80">
      <w:pPr>
        <w:pStyle w:val="Heading3"/>
        <w:rPr>
          <w:noProof/>
        </w:rPr>
      </w:pPr>
      <w:r w:rsidRPr="00CE2185">
        <w:rPr>
          <w:noProof/>
        </w:rPr>
        <w:t xml:space="preserve"> </w:t>
      </w:r>
      <w:bookmarkStart w:id="115" w:name="_Toc219447370"/>
      <w:bookmarkStart w:id="116" w:name="_Toc210393830"/>
      <w:r w:rsidRPr="00CE2185">
        <w:rPr>
          <w:noProof/>
        </w:rPr>
        <w:t>Impact on SMEs</w:t>
      </w:r>
      <w:bookmarkEnd w:id="115"/>
      <w:r w:rsidRPr="00CE2185">
        <w:rPr>
          <w:noProof/>
        </w:rPr>
        <w:t xml:space="preserve"> </w:t>
      </w:r>
      <w:bookmarkEnd w:id="116"/>
    </w:p>
    <w:p w14:paraId="22C288A6" w14:textId="304F2B0D" w:rsidR="00EC2E7D" w:rsidRPr="00CE2185" w:rsidRDefault="00743A2D" w:rsidP="00795DF0">
      <w:pPr>
        <w:pStyle w:val="Heading4"/>
        <w:numPr>
          <w:ilvl w:val="0"/>
          <w:numId w:val="0"/>
        </w:numPr>
        <w:spacing w:after="120"/>
        <w:rPr>
          <w:noProof/>
        </w:rPr>
      </w:pPr>
      <w:r w:rsidRPr="00CE2185">
        <w:rPr>
          <w:noProof/>
        </w:rPr>
        <w:t xml:space="preserve">SMEs are particularly vulnerable to </w:t>
      </w:r>
      <w:r w:rsidR="00E970CE" w:rsidRPr="00CE2185">
        <w:rPr>
          <w:noProof/>
        </w:rPr>
        <w:t>cybersecurity</w:t>
      </w:r>
      <w:r w:rsidRPr="00CE2185">
        <w:rPr>
          <w:noProof/>
        </w:rPr>
        <w:t xml:space="preserve"> incidents </w:t>
      </w:r>
      <w:r w:rsidR="009D5164" w:rsidRPr="00CE2185">
        <w:rPr>
          <w:noProof/>
        </w:rPr>
        <w:t>(</w:t>
      </w:r>
      <w:r w:rsidR="009D5164" w:rsidRPr="00CE2185">
        <w:rPr>
          <w:i/>
          <w:iCs/>
          <w:noProof/>
        </w:rPr>
        <w:t>see</w:t>
      </w:r>
      <w:r w:rsidRPr="00CE2185">
        <w:rPr>
          <w:i/>
          <w:iCs/>
          <w:noProof/>
        </w:rPr>
        <w:t xml:space="preserve"> </w:t>
      </w:r>
      <w:r w:rsidR="00BF1339" w:rsidRPr="00CE2185">
        <w:rPr>
          <w:i/>
          <w:iCs/>
          <w:noProof/>
        </w:rPr>
        <w:t>Section 2</w:t>
      </w:r>
      <w:r w:rsidR="009D5164" w:rsidRPr="00CE2185">
        <w:rPr>
          <w:noProof/>
        </w:rPr>
        <w:t>)</w:t>
      </w:r>
      <w:r w:rsidR="00BF1339" w:rsidRPr="00CE2185">
        <w:rPr>
          <w:noProof/>
        </w:rPr>
        <w:t xml:space="preserve">. </w:t>
      </w:r>
      <w:r w:rsidR="008E02A2" w:rsidRPr="00CE2185">
        <w:rPr>
          <w:noProof/>
        </w:rPr>
        <w:t xml:space="preserve">Examples included in </w:t>
      </w:r>
      <w:r w:rsidR="00BF1339" w:rsidRPr="00CE2185">
        <w:rPr>
          <w:i/>
          <w:iCs/>
          <w:noProof/>
        </w:rPr>
        <w:t xml:space="preserve">Annex </w:t>
      </w:r>
      <w:r w:rsidR="007B1D5F" w:rsidRPr="00CE2185">
        <w:rPr>
          <w:i/>
          <w:iCs/>
          <w:noProof/>
        </w:rPr>
        <w:t>7</w:t>
      </w:r>
      <w:r w:rsidR="00BF1339" w:rsidRPr="00CE2185">
        <w:rPr>
          <w:noProof/>
        </w:rPr>
        <w:t xml:space="preserve"> </w:t>
      </w:r>
      <w:r w:rsidR="00C71A3B" w:rsidRPr="00CE2185">
        <w:rPr>
          <w:noProof/>
        </w:rPr>
        <w:t>illustrate</w:t>
      </w:r>
      <w:r w:rsidR="00B10274" w:rsidRPr="00CE2185">
        <w:rPr>
          <w:noProof/>
        </w:rPr>
        <w:t xml:space="preserve"> the possible impacts of cybersecurity incidents on SMEs. SMEs, due to their limited</w:t>
      </w:r>
      <w:r w:rsidR="00EC2E7D" w:rsidRPr="00CE2185">
        <w:rPr>
          <w:noProof/>
        </w:rPr>
        <w:t xml:space="preserve"> </w:t>
      </w:r>
      <w:r w:rsidR="008E02A2" w:rsidRPr="00CE2185">
        <w:rPr>
          <w:noProof/>
        </w:rPr>
        <w:t>resources</w:t>
      </w:r>
      <w:r w:rsidR="00EC2E7D" w:rsidRPr="00CE2185">
        <w:rPr>
          <w:noProof/>
        </w:rPr>
        <w:t xml:space="preserve"> are likely to be more impacted by cybersecurity attacks</w:t>
      </w:r>
      <w:r w:rsidR="00B10274" w:rsidRPr="00CE2185">
        <w:rPr>
          <w:noProof/>
        </w:rPr>
        <w:t xml:space="preserve"> and might be a specific target for malicious </w:t>
      </w:r>
      <w:r w:rsidR="008E02A2" w:rsidRPr="00CE2185">
        <w:rPr>
          <w:noProof/>
        </w:rPr>
        <w:t>actors</w:t>
      </w:r>
      <w:r w:rsidR="00B10274" w:rsidRPr="00CE2185">
        <w:rPr>
          <w:rStyle w:val="FootnoteReference"/>
          <w:noProof/>
        </w:rPr>
        <w:footnoteReference w:id="175"/>
      </w:r>
      <w:r w:rsidR="00B10274" w:rsidRPr="00CE2185">
        <w:rPr>
          <w:noProof/>
        </w:rPr>
        <w:t>.</w:t>
      </w:r>
      <w:r w:rsidR="00EC2E7D" w:rsidRPr="00CE2185">
        <w:rPr>
          <w:noProof/>
        </w:rPr>
        <w:t xml:space="preserve"> </w:t>
      </w:r>
      <w:r w:rsidR="00D37447" w:rsidRPr="00CE2185">
        <w:rPr>
          <w:noProof/>
        </w:rPr>
        <w:t xml:space="preserve">Hence, SMEs are expected to benefit even more, compared to large companies, from </w:t>
      </w:r>
      <w:r w:rsidR="00307CD6" w:rsidRPr="00CE2185">
        <w:rPr>
          <w:noProof/>
        </w:rPr>
        <w:t>an enhanced role of ENISA, well</w:t>
      </w:r>
      <w:r w:rsidR="00804FC7" w:rsidRPr="00CE2185">
        <w:rPr>
          <w:noProof/>
        </w:rPr>
        <w:t>-</w:t>
      </w:r>
      <w:r w:rsidR="00307CD6" w:rsidRPr="00CE2185">
        <w:rPr>
          <w:noProof/>
        </w:rPr>
        <w:t xml:space="preserve">functioning </w:t>
      </w:r>
      <w:r w:rsidR="00E07F94" w:rsidRPr="00CE2185">
        <w:rPr>
          <w:noProof/>
        </w:rPr>
        <w:t>ECCF</w:t>
      </w:r>
      <w:r w:rsidR="00F400FA" w:rsidRPr="00CE2185">
        <w:rPr>
          <w:noProof/>
        </w:rPr>
        <w:t xml:space="preserve"> and ICT supply chain security measures. </w:t>
      </w:r>
      <w:r w:rsidR="00C46DDC" w:rsidRPr="00CE2185">
        <w:rPr>
          <w:noProof/>
        </w:rPr>
        <w:t>T</w:t>
      </w:r>
      <w:r w:rsidR="00F400FA" w:rsidRPr="00CE2185">
        <w:rPr>
          <w:noProof/>
        </w:rPr>
        <w:t xml:space="preserve">hey are expected to gain cost savings due to a more harmonised implementation and </w:t>
      </w:r>
      <w:r w:rsidR="00A56096">
        <w:rPr>
          <w:noProof/>
        </w:rPr>
        <w:t>streamlined</w:t>
      </w:r>
      <w:r w:rsidR="00F400FA" w:rsidRPr="00CE2185">
        <w:rPr>
          <w:noProof/>
        </w:rPr>
        <w:t xml:space="preserve"> scope of NIS2.   </w:t>
      </w:r>
    </w:p>
    <w:p w14:paraId="260B4A26" w14:textId="1771A247" w:rsidR="00672337" w:rsidRPr="00CE2185" w:rsidRDefault="00D81F72" w:rsidP="00795DF0">
      <w:pPr>
        <w:spacing w:after="120"/>
        <w:rPr>
          <w:noProof/>
        </w:rPr>
      </w:pPr>
      <w:r w:rsidRPr="00CE2185">
        <w:rPr>
          <w:noProof/>
        </w:rPr>
        <w:t xml:space="preserve">Under </w:t>
      </w:r>
      <w:r w:rsidRPr="00CE2185">
        <w:rPr>
          <w:b/>
          <w:bCs/>
          <w:noProof/>
        </w:rPr>
        <w:t>options A</w:t>
      </w:r>
      <w:r w:rsidR="009D5164" w:rsidRPr="00CE2185">
        <w:rPr>
          <w:b/>
          <w:bCs/>
          <w:noProof/>
        </w:rPr>
        <w:t xml:space="preserve"> </w:t>
      </w:r>
      <w:r w:rsidR="00390DB0" w:rsidRPr="00CE2185">
        <w:rPr>
          <w:b/>
          <w:bCs/>
          <w:noProof/>
        </w:rPr>
        <w:t>(1 to 3)</w:t>
      </w:r>
      <w:r w:rsidRPr="00CE2185">
        <w:rPr>
          <w:noProof/>
        </w:rPr>
        <w:t xml:space="preserve">, </w:t>
      </w:r>
      <w:r w:rsidR="00407EE4" w:rsidRPr="00CE2185">
        <w:rPr>
          <w:noProof/>
        </w:rPr>
        <w:t>the different policy options would generally have a positive role on SMEs who would benefit from increased cyber resilience</w:t>
      </w:r>
      <w:r w:rsidR="00887AB8" w:rsidRPr="00CE2185">
        <w:rPr>
          <w:noProof/>
        </w:rPr>
        <w:t xml:space="preserve"> due to an enhanced role </w:t>
      </w:r>
      <w:r w:rsidR="00534842" w:rsidRPr="00CE2185">
        <w:rPr>
          <w:noProof/>
        </w:rPr>
        <w:t>of</w:t>
      </w:r>
      <w:r w:rsidR="00887AB8" w:rsidRPr="00CE2185">
        <w:rPr>
          <w:noProof/>
        </w:rPr>
        <w:t xml:space="preserve"> ENISA</w:t>
      </w:r>
      <w:r w:rsidR="00407EE4" w:rsidRPr="00CE2185">
        <w:rPr>
          <w:noProof/>
        </w:rPr>
        <w:t>.</w:t>
      </w:r>
      <w:r w:rsidR="002F7D2C" w:rsidRPr="00CE2185">
        <w:rPr>
          <w:noProof/>
        </w:rPr>
        <w:t xml:space="preserve"> </w:t>
      </w:r>
      <w:r w:rsidR="00384845" w:rsidRPr="00CE2185">
        <w:rPr>
          <w:noProof/>
        </w:rPr>
        <w:t xml:space="preserve">Furthermore, SMEs impacted by European cybersecurity </w:t>
      </w:r>
      <w:r w:rsidR="00390DB0" w:rsidRPr="00CE2185">
        <w:rPr>
          <w:noProof/>
        </w:rPr>
        <w:t xml:space="preserve">legislation, such as the CRA, will benefit from the increased involvement of ENISA in providing </w:t>
      </w:r>
      <w:r w:rsidR="00A56096">
        <w:rPr>
          <w:noProof/>
        </w:rPr>
        <w:t xml:space="preserve">support and </w:t>
      </w:r>
      <w:r w:rsidR="00390DB0" w:rsidRPr="00CE2185">
        <w:rPr>
          <w:noProof/>
        </w:rPr>
        <w:t>technical guidance.</w:t>
      </w:r>
      <w:r w:rsidR="00EC0D21" w:rsidRPr="00CE2185">
        <w:rPr>
          <w:noProof/>
        </w:rPr>
        <w:t xml:space="preserve"> </w:t>
      </w:r>
      <w:r w:rsidR="002D5CCA" w:rsidRPr="00CE2185">
        <w:rPr>
          <w:noProof/>
        </w:rPr>
        <w:t>Thanks</w:t>
      </w:r>
      <w:r w:rsidR="00EC0D21" w:rsidRPr="00CE2185">
        <w:rPr>
          <w:noProof/>
        </w:rPr>
        <w:t xml:space="preserve"> to</w:t>
      </w:r>
      <w:r w:rsidR="00887AB8" w:rsidRPr="00CE2185">
        <w:rPr>
          <w:noProof/>
        </w:rPr>
        <w:t xml:space="preserve"> the European </w:t>
      </w:r>
      <w:r w:rsidR="00EF6EB7" w:rsidRPr="00CE2185">
        <w:rPr>
          <w:noProof/>
        </w:rPr>
        <w:t xml:space="preserve">individual cybersecurity </w:t>
      </w:r>
      <w:r w:rsidR="00887AB8" w:rsidRPr="00CE2185">
        <w:rPr>
          <w:noProof/>
        </w:rPr>
        <w:t>skills attest</w:t>
      </w:r>
      <w:r w:rsidR="00804FC7" w:rsidRPr="00CE2185">
        <w:rPr>
          <w:noProof/>
        </w:rPr>
        <w:t>at</w:t>
      </w:r>
      <w:r w:rsidR="00887AB8" w:rsidRPr="00CE2185">
        <w:rPr>
          <w:noProof/>
        </w:rPr>
        <w:t>ion</w:t>
      </w:r>
      <w:r w:rsidR="00A73024" w:rsidRPr="00CE2185">
        <w:rPr>
          <w:noProof/>
        </w:rPr>
        <w:t xml:space="preserve"> scheme</w:t>
      </w:r>
      <w:r w:rsidR="00EF6EB7" w:rsidRPr="00CE2185">
        <w:rPr>
          <w:noProof/>
        </w:rPr>
        <w:t>s</w:t>
      </w:r>
      <w:r w:rsidR="00887AB8" w:rsidRPr="00CE2185">
        <w:rPr>
          <w:noProof/>
        </w:rPr>
        <w:t xml:space="preserve">, </w:t>
      </w:r>
      <w:r w:rsidR="00A5490B" w:rsidRPr="00CE2185">
        <w:rPr>
          <w:noProof/>
        </w:rPr>
        <w:t>an</w:t>
      </w:r>
      <w:r w:rsidR="004D4FF8" w:rsidRPr="00CE2185">
        <w:rPr>
          <w:noProof/>
        </w:rPr>
        <w:t xml:space="preserve"> </w:t>
      </w:r>
      <w:r w:rsidR="00A5490B" w:rsidRPr="00CE2185">
        <w:rPr>
          <w:noProof/>
        </w:rPr>
        <w:t xml:space="preserve">SME as </w:t>
      </w:r>
      <w:r w:rsidR="005F671A" w:rsidRPr="00CE2185">
        <w:rPr>
          <w:noProof/>
        </w:rPr>
        <w:t xml:space="preserve">provider </w:t>
      </w:r>
      <w:r w:rsidR="00A5490B" w:rsidRPr="00CE2185">
        <w:rPr>
          <w:noProof/>
        </w:rPr>
        <w:t xml:space="preserve">of </w:t>
      </w:r>
      <w:r w:rsidR="004D4FF8" w:rsidRPr="00CE2185">
        <w:rPr>
          <w:noProof/>
        </w:rPr>
        <w:t xml:space="preserve">cybersecurity </w:t>
      </w:r>
      <w:r w:rsidR="009D2949" w:rsidRPr="00CE2185">
        <w:rPr>
          <w:noProof/>
        </w:rPr>
        <w:t xml:space="preserve">attestations </w:t>
      </w:r>
      <w:r w:rsidR="004D4FF8" w:rsidRPr="00CE2185">
        <w:rPr>
          <w:noProof/>
        </w:rPr>
        <w:t>will gain visibility</w:t>
      </w:r>
      <w:r w:rsidR="00A5490B" w:rsidRPr="00CE2185">
        <w:rPr>
          <w:noProof/>
        </w:rPr>
        <w:t>,</w:t>
      </w:r>
      <w:r w:rsidR="004D4FF8" w:rsidRPr="00CE2185">
        <w:rPr>
          <w:noProof/>
        </w:rPr>
        <w:t xml:space="preserve"> reputation and gain customers</w:t>
      </w:r>
      <w:r w:rsidR="00A5490B" w:rsidRPr="00CE2185">
        <w:rPr>
          <w:noProof/>
        </w:rPr>
        <w:t xml:space="preserve"> by being part of the scheme</w:t>
      </w:r>
      <w:r w:rsidR="005F671A" w:rsidRPr="00CE2185">
        <w:rPr>
          <w:noProof/>
        </w:rPr>
        <w:t xml:space="preserve"> (see also </w:t>
      </w:r>
      <w:r w:rsidR="005F671A" w:rsidRPr="00CE2185">
        <w:rPr>
          <w:i/>
          <w:iCs/>
          <w:noProof/>
        </w:rPr>
        <w:t>section 6.1.1.1(b)</w:t>
      </w:r>
      <w:r w:rsidR="005F671A" w:rsidRPr="00CE2185">
        <w:rPr>
          <w:noProof/>
        </w:rPr>
        <w:t>)</w:t>
      </w:r>
      <w:r w:rsidR="004D4FF8" w:rsidRPr="00CE2185">
        <w:rPr>
          <w:noProof/>
        </w:rPr>
        <w:t>.</w:t>
      </w:r>
      <w:r w:rsidR="00A5490B" w:rsidRPr="00CE2185">
        <w:rPr>
          <w:noProof/>
        </w:rPr>
        <w:t xml:space="preserve"> </w:t>
      </w:r>
      <w:r w:rsidR="004D4FF8" w:rsidRPr="00CE2185">
        <w:rPr>
          <w:noProof/>
        </w:rPr>
        <w:t>Furthermore</w:t>
      </w:r>
      <w:r w:rsidR="00887AB8" w:rsidRPr="00CE2185">
        <w:rPr>
          <w:noProof/>
        </w:rPr>
        <w:t>,</w:t>
      </w:r>
      <w:r w:rsidR="00407EE4" w:rsidRPr="00CE2185">
        <w:rPr>
          <w:noProof/>
        </w:rPr>
        <w:t xml:space="preserve"> </w:t>
      </w:r>
      <w:r w:rsidR="00EC0D21" w:rsidRPr="00CE2185">
        <w:rPr>
          <w:noProof/>
        </w:rPr>
        <w:t xml:space="preserve">it will support SMEs </w:t>
      </w:r>
      <w:r w:rsidR="009D2949" w:rsidRPr="00CE2185">
        <w:rPr>
          <w:noProof/>
        </w:rPr>
        <w:t>in</w:t>
      </w:r>
      <w:r w:rsidR="00EC0D21" w:rsidRPr="00CE2185">
        <w:rPr>
          <w:noProof/>
        </w:rPr>
        <w:t xml:space="preserve"> </w:t>
      </w:r>
      <w:r w:rsidR="00E0007C" w:rsidRPr="00CE2185">
        <w:rPr>
          <w:noProof/>
        </w:rPr>
        <w:t>identify</w:t>
      </w:r>
      <w:r w:rsidR="00EC0D21" w:rsidRPr="00CE2185">
        <w:rPr>
          <w:noProof/>
        </w:rPr>
        <w:t>ing</w:t>
      </w:r>
      <w:r w:rsidR="00E0007C" w:rsidRPr="00CE2185">
        <w:rPr>
          <w:noProof/>
        </w:rPr>
        <w:t xml:space="preserve"> candidates with the right skillset. </w:t>
      </w:r>
      <w:r w:rsidR="009D2949" w:rsidRPr="00CE2185">
        <w:rPr>
          <w:noProof/>
        </w:rPr>
        <w:t>Lastly, th</w:t>
      </w:r>
      <w:r w:rsidR="00533230" w:rsidRPr="00CE2185">
        <w:rPr>
          <w:noProof/>
        </w:rPr>
        <w:t>e</w:t>
      </w:r>
      <w:r w:rsidR="00D97103" w:rsidRPr="00CE2185">
        <w:rPr>
          <w:noProof/>
        </w:rPr>
        <w:t xml:space="preserve"> initial</w:t>
      </w:r>
      <w:r w:rsidR="00F43B57" w:rsidRPr="00CE2185">
        <w:rPr>
          <w:noProof/>
        </w:rPr>
        <w:t xml:space="preserve"> application</w:t>
      </w:r>
      <w:r w:rsidR="00533230" w:rsidRPr="00CE2185">
        <w:rPr>
          <w:noProof/>
        </w:rPr>
        <w:t xml:space="preserve"> fee will be </w:t>
      </w:r>
      <w:r w:rsidR="00F43B57" w:rsidRPr="00CE2185">
        <w:rPr>
          <w:noProof/>
        </w:rPr>
        <w:t>levied</w:t>
      </w:r>
      <w:r w:rsidR="00533230" w:rsidRPr="00CE2185">
        <w:rPr>
          <w:noProof/>
        </w:rPr>
        <w:t xml:space="preserve"> in two steps </w:t>
      </w:r>
      <w:r w:rsidR="00990328" w:rsidRPr="00CE2185">
        <w:rPr>
          <w:noProof/>
        </w:rPr>
        <w:t>t</w:t>
      </w:r>
      <w:r w:rsidR="00343A58" w:rsidRPr="00CE2185">
        <w:rPr>
          <w:noProof/>
        </w:rPr>
        <w:t>o minimise the risk of barrier t</w:t>
      </w:r>
      <w:r w:rsidR="00AD0BA5" w:rsidRPr="00CE2185">
        <w:rPr>
          <w:noProof/>
        </w:rPr>
        <w:t>o entry for SMEs</w:t>
      </w:r>
      <w:r w:rsidR="004D3DBA" w:rsidRPr="00CE2185">
        <w:rPr>
          <w:noProof/>
        </w:rPr>
        <w:t xml:space="preserve">: </w:t>
      </w:r>
      <w:r w:rsidR="006B39AD" w:rsidRPr="00CE2185">
        <w:rPr>
          <w:noProof/>
        </w:rPr>
        <w:t xml:space="preserve">the first part of the fee will be levied for the </w:t>
      </w:r>
      <w:r w:rsidR="004D3DBA" w:rsidRPr="00CE2185">
        <w:rPr>
          <w:noProof/>
        </w:rPr>
        <w:t>examination of eligibility and processing of applications to becoming an authorised attestation provider</w:t>
      </w:r>
      <w:r w:rsidR="006B39AD" w:rsidRPr="00CE2185">
        <w:rPr>
          <w:noProof/>
        </w:rPr>
        <w:t xml:space="preserve"> and the second part of the fee will be levied when </w:t>
      </w:r>
      <w:r w:rsidR="004D3DBA" w:rsidRPr="00CE2185">
        <w:rPr>
          <w:noProof/>
        </w:rPr>
        <w:t>issuing and renewing authorisations to providers of European individual cybersecurity attestations, including audits</w:t>
      </w:r>
      <w:r w:rsidR="006B39AD" w:rsidRPr="00CE2185">
        <w:rPr>
          <w:noProof/>
        </w:rPr>
        <w:t>.</w:t>
      </w:r>
    </w:p>
    <w:p w14:paraId="0B173B7C" w14:textId="2AE4268E" w:rsidR="0035401A" w:rsidRPr="00CE2185" w:rsidRDefault="00A5490B" w:rsidP="00795DF0">
      <w:pPr>
        <w:spacing w:after="120"/>
        <w:rPr>
          <w:noProof/>
        </w:rPr>
      </w:pPr>
      <w:r w:rsidRPr="00CE2185">
        <w:rPr>
          <w:noProof/>
        </w:rPr>
        <w:t xml:space="preserve">Under </w:t>
      </w:r>
      <w:r w:rsidRPr="00CE2185">
        <w:rPr>
          <w:b/>
          <w:noProof/>
        </w:rPr>
        <w:t>options B</w:t>
      </w:r>
      <w:r w:rsidR="009C64C5" w:rsidRPr="00CE2185">
        <w:rPr>
          <w:b/>
          <w:bCs/>
          <w:noProof/>
        </w:rPr>
        <w:t xml:space="preserve"> </w:t>
      </w:r>
      <w:r w:rsidR="00390DB0" w:rsidRPr="00CE2185">
        <w:rPr>
          <w:b/>
          <w:bCs/>
          <w:noProof/>
        </w:rPr>
        <w:t xml:space="preserve">1 </w:t>
      </w:r>
      <w:r w:rsidR="00384BD6" w:rsidRPr="00CE2185">
        <w:rPr>
          <w:b/>
          <w:bCs/>
          <w:noProof/>
        </w:rPr>
        <w:t>and</w:t>
      </w:r>
      <w:r w:rsidR="00390DB0" w:rsidRPr="00CE2185">
        <w:rPr>
          <w:b/>
          <w:bCs/>
          <w:noProof/>
        </w:rPr>
        <w:t xml:space="preserve"> </w:t>
      </w:r>
      <w:r w:rsidR="00384BD6" w:rsidRPr="00CE2185">
        <w:rPr>
          <w:b/>
          <w:bCs/>
          <w:noProof/>
        </w:rPr>
        <w:t>2</w:t>
      </w:r>
      <w:r w:rsidRPr="00CE2185">
        <w:rPr>
          <w:noProof/>
        </w:rPr>
        <w:t>, a well</w:t>
      </w:r>
      <w:r w:rsidR="00804FC7" w:rsidRPr="00CE2185">
        <w:rPr>
          <w:noProof/>
        </w:rPr>
        <w:t>-</w:t>
      </w:r>
      <w:r w:rsidRPr="00CE2185">
        <w:rPr>
          <w:noProof/>
        </w:rPr>
        <w:t>functioning ECCF and European certification scheme</w:t>
      </w:r>
      <w:r w:rsidR="001D578C" w:rsidRPr="00CE2185">
        <w:rPr>
          <w:noProof/>
        </w:rPr>
        <w:t>s</w:t>
      </w:r>
      <w:r w:rsidRPr="00CE2185">
        <w:rPr>
          <w:noProof/>
        </w:rPr>
        <w:t xml:space="preserve"> can ease the choice of trusted ICT technologies for SMEs and contribute to enhance their overall cyber resilience. </w:t>
      </w:r>
      <w:r w:rsidR="001E165C" w:rsidRPr="00CE2185">
        <w:rPr>
          <w:noProof/>
        </w:rPr>
        <w:t xml:space="preserve">SMEs as vendors applying to certification will benefit even more from </w:t>
      </w:r>
      <w:r w:rsidRPr="00CE2185">
        <w:rPr>
          <w:noProof/>
        </w:rPr>
        <w:t xml:space="preserve">the </w:t>
      </w:r>
      <w:r w:rsidR="001E165C" w:rsidRPr="00CE2185">
        <w:rPr>
          <w:noProof/>
        </w:rPr>
        <w:t>harmonised effect of European schemes as they have less resources to cope with market fragmentation. The costs applicable to</w:t>
      </w:r>
      <w:r w:rsidR="001D578C" w:rsidRPr="00CE2185">
        <w:rPr>
          <w:noProof/>
        </w:rPr>
        <w:t xml:space="preserve"> vendors </w:t>
      </w:r>
      <w:r w:rsidR="001E165C" w:rsidRPr="00CE2185">
        <w:rPr>
          <w:noProof/>
        </w:rPr>
        <w:t>can be partly alleviated</w:t>
      </w:r>
      <w:r w:rsidRPr="00CE2185">
        <w:rPr>
          <w:noProof/>
        </w:rPr>
        <w:t xml:space="preserve"> by </w:t>
      </w:r>
      <w:r w:rsidR="001E165C" w:rsidRPr="00CE2185">
        <w:rPr>
          <w:noProof/>
        </w:rPr>
        <w:t>the obligation of</w:t>
      </w:r>
      <w:r w:rsidRPr="00CE2185">
        <w:rPr>
          <w:noProof/>
        </w:rPr>
        <w:t xml:space="preserve"> conformity assessment bodies to </w:t>
      </w:r>
      <w:r w:rsidR="001E165C" w:rsidRPr="00CE2185">
        <w:rPr>
          <w:noProof/>
        </w:rPr>
        <w:t>apply</w:t>
      </w:r>
      <w:r w:rsidRPr="00CE2185">
        <w:rPr>
          <w:noProof/>
        </w:rPr>
        <w:t xml:space="preserve"> proportionate </w:t>
      </w:r>
      <w:r w:rsidR="001E165C" w:rsidRPr="00CE2185">
        <w:rPr>
          <w:noProof/>
        </w:rPr>
        <w:t>fees</w:t>
      </w:r>
      <w:r w:rsidR="001D578C" w:rsidRPr="00CE2185">
        <w:rPr>
          <w:noProof/>
        </w:rPr>
        <w:t xml:space="preserve"> foreseen under the ECCF</w:t>
      </w:r>
      <w:r w:rsidRPr="00CE2185">
        <w:rPr>
          <w:noProof/>
        </w:rPr>
        <w:t xml:space="preserve">. </w:t>
      </w:r>
      <w:r w:rsidR="001E341A" w:rsidRPr="00CE2185">
        <w:rPr>
          <w:noProof/>
        </w:rPr>
        <w:t xml:space="preserve">The mandatory certification under </w:t>
      </w:r>
      <w:r w:rsidR="001E341A" w:rsidRPr="00CE2185">
        <w:rPr>
          <w:b/>
          <w:bCs/>
          <w:noProof/>
        </w:rPr>
        <w:t>B3</w:t>
      </w:r>
      <w:r w:rsidR="001E341A" w:rsidRPr="00CE2185">
        <w:rPr>
          <w:noProof/>
        </w:rPr>
        <w:t xml:space="preserve"> would not affect SMEs</w:t>
      </w:r>
      <w:r w:rsidR="001D578C" w:rsidRPr="00CE2185">
        <w:rPr>
          <w:noProof/>
        </w:rPr>
        <w:t xml:space="preserve"> as</w:t>
      </w:r>
      <w:r w:rsidR="00A85F88" w:rsidRPr="00CE2185">
        <w:rPr>
          <w:noProof/>
        </w:rPr>
        <w:t xml:space="preserve"> they cannot be</w:t>
      </w:r>
      <w:r w:rsidR="001D578C" w:rsidRPr="00CE2185">
        <w:rPr>
          <w:noProof/>
        </w:rPr>
        <w:t xml:space="preserve"> </w:t>
      </w:r>
      <w:r w:rsidR="00A85F88" w:rsidRPr="00CE2185">
        <w:rPr>
          <w:noProof/>
        </w:rPr>
        <w:t>essential entities</w:t>
      </w:r>
      <w:r w:rsidR="001E341A" w:rsidRPr="00CE2185">
        <w:rPr>
          <w:noProof/>
        </w:rPr>
        <w:t xml:space="preserve">. </w:t>
      </w:r>
    </w:p>
    <w:p w14:paraId="0DD15BD1" w14:textId="3BEB0D1B" w:rsidR="00FE3ADA" w:rsidRPr="00CE2185" w:rsidRDefault="001E341A" w:rsidP="00795DF0">
      <w:pPr>
        <w:spacing w:after="120"/>
        <w:rPr>
          <w:noProof/>
        </w:rPr>
      </w:pPr>
      <w:r w:rsidRPr="00CE2185">
        <w:rPr>
          <w:noProof/>
        </w:rPr>
        <w:t>SMEs</w:t>
      </w:r>
      <w:r w:rsidR="002A6B4C" w:rsidRPr="00CE2185">
        <w:rPr>
          <w:noProof/>
        </w:rPr>
        <w:t xml:space="preserve"> will benefit from measures related to the implementation of the NIS Directive</w:t>
      </w:r>
      <w:r w:rsidR="00FC71C1" w:rsidRPr="00CE2185">
        <w:rPr>
          <w:noProof/>
        </w:rPr>
        <w:t xml:space="preserve"> (</w:t>
      </w:r>
      <w:r w:rsidR="00FC71C1" w:rsidRPr="00CE2185">
        <w:rPr>
          <w:b/>
          <w:bCs/>
          <w:noProof/>
        </w:rPr>
        <w:t>options C</w:t>
      </w:r>
      <w:r w:rsidR="00FC71C1" w:rsidRPr="00CE2185">
        <w:rPr>
          <w:noProof/>
        </w:rPr>
        <w:t>)</w:t>
      </w:r>
      <w:r w:rsidR="002A6B4C" w:rsidRPr="00CE2185">
        <w:rPr>
          <w:noProof/>
        </w:rPr>
        <w:t xml:space="preserve">. As DNS vendors, </w:t>
      </w:r>
      <w:r w:rsidR="00FC71C1" w:rsidRPr="00CE2185">
        <w:rPr>
          <w:noProof/>
        </w:rPr>
        <w:t xml:space="preserve">they </w:t>
      </w:r>
      <w:r w:rsidRPr="00CE2185">
        <w:rPr>
          <w:noProof/>
        </w:rPr>
        <w:t xml:space="preserve">would </w:t>
      </w:r>
      <w:r w:rsidR="00281F47" w:rsidRPr="00CE2185">
        <w:rPr>
          <w:noProof/>
        </w:rPr>
        <w:t xml:space="preserve">benefit from </w:t>
      </w:r>
      <w:r w:rsidRPr="00CE2185">
        <w:rPr>
          <w:noProof/>
        </w:rPr>
        <w:t xml:space="preserve">cost savings under </w:t>
      </w:r>
      <w:r w:rsidRPr="00CE2185">
        <w:rPr>
          <w:b/>
          <w:bCs/>
          <w:noProof/>
        </w:rPr>
        <w:t xml:space="preserve">option C2 </w:t>
      </w:r>
      <w:r w:rsidR="00DB2EE8" w:rsidRPr="00CE2185">
        <w:rPr>
          <w:b/>
          <w:bCs/>
          <w:noProof/>
        </w:rPr>
        <w:t>and C3</w:t>
      </w:r>
      <w:r w:rsidR="003B16F4" w:rsidRPr="00CE2185">
        <w:rPr>
          <w:noProof/>
        </w:rPr>
        <w:t xml:space="preserve"> due to the exclusions from the scope of DNS providers</w:t>
      </w:r>
      <w:r w:rsidR="00D37447" w:rsidRPr="00CE2185">
        <w:rPr>
          <w:noProof/>
        </w:rPr>
        <w:t>. Furthermore, they would benefit from the</w:t>
      </w:r>
      <w:r w:rsidR="00281F47" w:rsidRPr="00CE2185">
        <w:rPr>
          <w:noProof/>
        </w:rPr>
        <w:t xml:space="preserve"> scope clarifications that would limit the application of the </w:t>
      </w:r>
      <w:r w:rsidR="00FC71C1" w:rsidRPr="00CE2185">
        <w:rPr>
          <w:noProof/>
        </w:rPr>
        <w:t>obligations</w:t>
      </w:r>
      <w:r w:rsidR="00281F47" w:rsidRPr="00CE2185">
        <w:rPr>
          <w:noProof/>
        </w:rPr>
        <w:t xml:space="preserve"> </w:t>
      </w:r>
      <w:r w:rsidR="00845522" w:rsidRPr="00CE2185">
        <w:rPr>
          <w:noProof/>
        </w:rPr>
        <w:t>to companies that have core activities</w:t>
      </w:r>
      <w:r w:rsidR="00281F47" w:rsidRPr="00CE2185">
        <w:rPr>
          <w:noProof/>
        </w:rPr>
        <w:t xml:space="preserve"> </w:t>
      </w:r>
      <w:r w:rsidR="00845522" w:rsidRPr="00CE2185">
        <w:rPr>
          <w:noProof/>
        </w:rPr>
        <w:t xml:space="preserve">of the sectors listed in NIS2. </w:t>
      </w:r>
      <w:r w:rsidR="00FE3ADA" w:rsidRPr="00CE2185">
        <w:rPr>
          <w:noProof/>
        </w:rPr>
        <w:t xml:space="preserve">As previously mentioned, also under option C, </w:t>
      </w:r>
      <w:r w:rsidR="00085165" w:rsidRPr="00CE2185">
        <w:rPr>
          <w:noProof/>
        </w:rPr>
        <w:t>i</w:t>
      </w:r>
      <w:r w:rsidR="00FC71C1" w:rsidRPr="00CE2185">
        <w:rPr>
          <w:noProof/>
        </w:rPr>
        <w:t xml:space="preserve">ncreased harmonisation </w:t>
      </w:r>
      <w:r w:rsidR="00FE3ADA" w:rsidRPr="00CE2185">
        <w:rPr>
          <w:noProof/>
        </w:rPr>
        <w:t xml:space="preserve">will benefit </w:t>
      </w:r>
      <w:r w:rsidR="00085165" w:rsidRPr="00CE2185">
        <w:rPr>
          <w:noProof/>
        </w:rPr>
        <w:t>even more</w:t>
      </w:r>
      <w:r w:rsidR="00FE3ADA" w:rsidRPr="00CE2185">
        <w:rPr>
          <w:noProof/>
        </w:rPr>
        <w:t xml:space="preserve"> SMEs in the scope of the Directive. </w:t>
      </w:r>
    </w:p>
    <w:p w14:paraId="44482767" w14:textId="24FCF892" w:rsidR="003C36D5" w:rsidRPr="00CE2185" w:rsidRDefault="00DB44C9" w:rsidP="00795DF0">
      <w:pPr>
        <w:spacing w:after="120"/>
        <w:rPr>
          <w:noProof/>
        </w:rPr>
      </w:pPr>
      <w:r w:rsidRPr="00CE2185">
        <w:rPr>
          <w:noProof/>
        </w:rPr>
        <w:t>For ICT supply chain security measures (</w:t>
      </w:r>
      <w:r w:rsidRPr="00CE2185">
        <w:rPr>
          <w:b/>
          <w:bCs/>
          <w:noProof/>
        </w:rPr>
        <w:t>Options D</w:t>
      </w:r>
      <w:r w:rsidRPr="00CE2185">
        <w:rPr>
          <w:noProof/>
        </w:rPr>
        <w:t xml:space="preserve">), SMEs would benefit from the use of trusted technologies. As suppliers active in the sectors subject to restrictions, they would be impacted more heavily compared to larger companies by substitutions and transactions cost. Under option D3, such impacts would be part of the methodology for the assessment.  </w:t>
      </w:r>
      <w:r>
        <w:rPr>
          <w:noProof/>
        </w:rPr>
        <w:t>At the same time</w:t>
      </w:r>
      <w:r w:rsidRPr="00CE2185">
        <w:rPr>
          <w:noProof/>
        </w:rPr>
        <w:t>, SMEs as trusted suppliers will benefit from new market opportunities</w:t>
      </w:r>
      <w:r>
        <w:rPr>
          <w:noProof/>
        </w:rPr>
        <w:t>.</w:t>
      </w:r>
      <w:r w:rsidR="00CA0C36" w:rsidRPr="00CE2185">
        <w:rPr>
          <w:noProof/>
        </w:rPr>
        <w:t xml:space="preserve"> </w:t>
      </w:r>
    </w:p>
    <w:p w14:paraId="0EBA0CDA" w14:textId="34CD964D" w:rsidR="00682124" w:rsidRPr="00CE2185" w:rsidRDefault="00E93188" w:rsidP="00682124">
      <w:pPr>
        <w:pStyle w:val="Heading3"/>
        <w:rPr>
          <w:noProof/>
        </w:rPr>
      </w:pPr>
      <w:bookmarkStart w:id="117" w:name="_Toc210393831"/>
      <w:bookmarkStart w:id="118" w:name="_Toc219447371"/>
      <w:r w:rsidRPr="00CE2185">
        <w:rPr>
          <w:noProof/>
        </w:rPr>
        <w:t>Functioning of the i</w:t>
      </w:r>
      <w:r w:rsidR="00682124" w:rsidRPr="00CE2185">
        <w:rPr>
          <w:noProof/>
        </w:rPr>
        <w:t>nternal market</w:t>
      </w:r>
      <w:bookmarkEnd w:id="117"/>
      <w:bookmarkEnd w:id="118"/>
    </w:p>
    <w:p w14:paraId="4B5C1DAF" w14:textId="1AF8DD7C" w:rsidR="00CF0207" w:rsidRPr="00CE2185" w:rsidRDefault="00E93188" w:rsidP="00795DF0">
      <w:pPr>
        <w:spacing w:after="120"/>
        <w:rPr>
          <w:noProof/>
        </w:rPr>
      </w:pPr>
      <w:r w:rsidRPr="00CE2185">
        <w:rPr>
          <w:noProof/>
        </w:rPr>
        <w:t>The impact on the internal market depends on how effective the regulatory framework is in preventing the emergence of obstacles and fragmentation by national initiatives aiming to address the problems set</w:t>
      </w:r>
      <w:r w:rsidR="00BD0AF2" w:rsidRPr="00CE2185">
        <w:rPr>
          <w:noProof/>
        </w:rPr>
        <w:t xml:space="preserve">. </w:t>
      </w:r>
      <w:r w:rsidR="00CF0207" w:rsidRPr="00CE2185">
        <w:rPr>
          <w:noProof/>
        </w:rPr>
        <w:t xml:space="preserve"> </w:t>
      </w:r>
    </w:p>
    <w:p w14:paraId="30BCB878" w14:textId="0A67E48E" w:rsidR="003C49A7" w:rsidRPr="00CE2185" w:rsidRDefault="008D2310" w:rsidP="00795DF0">
      <w:pPr>
        <w:spacing w:after="120"/>
        <w:rPr>
          <w:noProof/>
        </w:rPr>
      </w:pPr>
      <w:r w:rsidRPr="00CE2185">
        <w:rPr>
          <w:noProof/>
        </w:rPr>
        <w:t xml:space="preserve">The internal market impact of </w:t>
      </w:r>
      <w:r w:rsidR="0002534F" w:rsidRPr="00CE2185">
        <w:rPr>
          <w:b/>
          <w:bCs/>
          <w:noProof/>
        </w:rPr>
        <w:t>Options A</w:t>
      </w:r>
      <w:r w:rsidR="0002534F" w:rsidRPr="00CE2185">
        <w:rPr>
          <w:noProof/>
        </w:rPr>
        <w:t xml:space="preserve"> </w:t>
      </w:r>
      <w:r w:rsidRPr="00CE2185">
        <w:rPr>
          <w:noProof/>
        </w:rPr>
        <w:t>is indirect. In</w:t>
      </w:r>
      <w:r w:rsidR="0002534F" w:rsidRPr="00CE2185">
        <w:rPr>
          <w:noProof/>
        </w:rPr>
        <w:t xml:space="preserve"> parti</w:t>
      </w:r>
      <w:r w:rsidRPr="00CE2185">
        <w:rPr>
          <w:noProof/>
        </w:rPr>
        <w:t>cu</w:t>
      </w:r>
      <w:r w:rsidR="0002534F" w:rsidRPr="00CE2185">
        <w:rPr>
          <w:noProof/>
        </w:rPr>
        <w:t>lar A2 and A3, related to the ENISA mandate</w:t>
      </w:r>
      <w:r w:rsidRPr="00CE2185">
        <w:rPr>
          <w:noProof/>
        </w:rPr>
        <w:t>,</w:t>
      </w:r>
      <w:r w:rsidR="0002534F" w:rsidRPr="00CE2185">
        <w:rPr>
          <w:noProof/>
        </w:rPr>
        <w:t xml:space="preserve"> would have a positive impact on the internal market by granting ENISA a more effective role on support to the implementation of Union legislation. </w:t>
      </w:r>
      <w:r w:rsidR="00FC27E4" w:rsidRPr="00CE2185">
        <w:rPr>
          <w:noProof/>
        </w:rPr>
        <w:t>T</w:t>
      </w:r>
      <w:r w:rsidR="0002534F" w:rsidRPr="00CE2185">
        <w:rPr>
          <w:noProof/>
        </w:rPr>
        <w:t>he European skills attestation scheme, while not introducing a direct harmonisation effect, could reduce market fragmentation</w:t>
      </w:r>
      <w:r w:rsidR="00571A0C" w:rsidRPr="00CE2185">
        <w:rPr>
          <w:noProof/>
        </w:rPr>
        <w:t xml:space="preserve"> and be gradually recognised as a reference by Member States</w:t>
      </w:r>
      <w:r w:rsidR="0002534F" w:rsidRPr="00CE2185">
        <w:rPr>
          <w:noProof/>
        </w:rPr>
        <w:t xml:space="preserve">. </w:t>
      </w:r>
    </w:p>
    <w:p w14:paraId="21B4C872" w14:textId="15531DA7" w:rsidR="003C49A7" w:rsidRPr="00CE2185" w:rsidRDefault="0002534F" w:rsidP="00795DF0">
      <w:pPr>
        <w:spacing w:after="120"/>
        <w:rPr>
          <w:noProof/>
        </w:rPr>
      </w:pPr>
      <w:r w:rsidRPr="00CE2185">
        <w:rPr>
          <w:noProof/>
        </w:rPr>
        <w:t>A more effective functioning of the ECCF (</w:t>
      </w:r>
      <w:r w:rsidRPr="00CE2185">
        <w:rPr>
          <w:b/>
          <w:bCs/>
          <w:noProof/>
        </w:rPr>
        <w:t>options B</w:t>
      </w:r>
      <w:r w:rsidRPr="00CE2185">
        <w:rPr>
          <w:noProof/>
        </w:rPr>
        <w:t>) will have a direct impact on reducing and preven</w:t>
      </w:r>
      <w:r w:rsidR="00804FC7" w:rsidRPr="00CE2185">
        <w:rPr>
          <w:noProof/>
        </w:rPr>
        <w:t>t</w:t>
      </w:r>
      <w:r w:rsidRPr="00CE2185">
        <w:rPr>
          <w:noProof/>
        </w:rPr>
        <w:t>ing market fragmentation</w:t>
      </w:r>
      <w:r w:rsidR="003C49A7" w:rsidRPr="00CE2185">
        <w:rPr>
          <w:noProof/>
        </w:rPr>
        <w:t xml:space="preserve"> as European scheme</w:t>
      </w:r>
      <w:r w:rsidR="008D2310" w:rsidRPr="00CE2185">
        <w:rPr>
          <w:noProof/>
        </w:rPr>
        <w:t>s</w:t>
      </w:r>
      <w:r w:rsidR="003C49A7" w:rsidRPr="00CE2185">
        <w:rPr>
          <w:noProof/>
        </w:rPr>
        <w:t xml:space="preserve"> have a direct harmonisation effect on national schemes</w:t>
      </w:r>
      <w:r w:rsidRPr="00CE2185">
        <w:rPr>
          <w:noProof/>
        </w:rPr>
        <w:t xml:space="preserve">. The internal market </w:t>
      </w:r>
      <w:r w:rsidR="00094E39" w:rsidRPr="00CE2185">
        <w:rPr>
          <w:noProof/>
        </w:rPr>
        <w:t>effect will be higher</w:t>
      </w:r>
      <w:r w:rsidR="003C49A7" w:rsidRPr="00CE2185">
        <w:rPr>
          <w:noProof/>
        </w:rPr>
        <w:t xml:space="preserve"> as its scope is extended under option B2 (to the cyber</w:t>
      </w:r>
      <w:r w:rsidR="004A0728" w:rsidRPr="00CE2185">
        <w:rPr>
          <w:noProof/>
        </w:rPr>
        <w:t xml:space="preserve"> </w:t>
      </w:r>
      <w:r w:rsidR="003C49A7" w:rsidRPr="00CE2185">
        <w:rPr>
          <w:noProof/>
        </w:rPr>
        <w:t>posture of entities) and</w:t>
      </w:r>
      <w:r w:rsidR="00094E39" w:rsidRPr="00CE2185">
        <w:rPr>
          <w:noProof/>
        </w:rPr>
        <w:t xml:space="preserve"> if more schemes are adopted (see links between options B and D</w:t>
      </w:r>
      <w:r w:rsidR="000D69CE" w:rsidRPr="00CE2185">
        <w:rPr>
          <w:noProof/>
        </w:rPr>
        <w:t>2 and D3</w:t>
      </w:r>
      <w:r w:rsidR="008D2310" w:rsidRPr="00CE2185">
        <w:rPr>
          <w:noProof/>
        </w:rPr>
        <w:t xml:space="preserve"> </w:t>
      </w:r>
      <w:r w:rsidR="00D93A22" w:rsidRPr="00CE2185">
        <w:rPr>
          <w:noProof/>
        </w:rPr>
        <w:t>and</w:t>
      </w:r>
      <w:r w:rsidR="008D2310" w:rsidRPr="00CE2185">
        <w:rPr>
          <w:noProof/>
        </w:rPr>
        <w:t xml:space="preserve"> the adoption of EU5G and/or EUCS</w:t>
      </w:r>
      <w:r w:rsidR="00094E39" w:rsidRPr="00CE2185">
        <w:rPr>
          <w:noProof/>
        </w:rPr>
        <w:t>).</w:t>
      </w:r>
    </w:p>
    <w:p w14:paraId="237EC6AF" w14:textId="1F9895EB" w:rsidR="004A6410" w:rsidRPr="00CE2185" w:rsidRDefault="008C1EF2" w:rsidP="00795DF0">
      <w:pPr>
        <w:spacing w:after="120"/>
        <w:rPr>
          <w:noProof/>
        </w:rPr>
      </w:pPr>
      <w:r w:rsidRPr="00CE2185">
        <w:rPr>
          <w:noProof/>
        </w:rPr>
        <w:t>Under</w:t>
      </w:r>
      <w:r w:rsidR="13950F8F" w:rsidRPr="00CE2185">
        <w:rPr>
          <w:noProof/>
        </w:rPr>
        <w:t xml:space="preserve"> </w:t>
      </w:r>
      <w:r w:rsidR="003C49A7" w:rsidRPr="00CE2185">
        <w:rPr>
          <w:b/>
          <w:bCs/>
          <w:noProof/>
        </w:rPr>
        <w:t>options C</w:t>
      </w:r>
      <w:r w:rsidR="003C49A7" w:rsidRPr="00CE2185">
        <w:rPr>
          <w:noProof/>
        </w:rPr>
        <w:t xml:space="preserve">, the internal market effect will be the strongest </w:t>
      </w:r>
      <w:r w:rsidR="008D2310" w:rsidRPr="00CE2185">
        <w:rPr>
          <w:noProof/>
        </w:rPr>
        <w:t xml:space="preserve">with </w:t>
      </w:r>
      <w:r w:rsidR="003C49A7" w:rsidRPr="00CE2185">
        <w:rPr>
          <w:noProof/>
        </w:rPr>
        <w:t xml:space="preserve">C3 followed by C2 and C1. </w:t>
      </w:r>
      <w:r w:rsidR="003804F2" w:rsidRPr="00CE2185">
        <w:rPr>
          <w:noProof/>
        </w:rPr>
        <w:t xml:space="preserve">Under </w:t>
      </w:r>
      <w:r w:rsidR="004A6410" w:rsidRPr="00CE2185">
        <w:rPr>
          <w:noProof/>
        </w:rPr>
        <w:t>C1</w:t>
      </w:r>
      <w:r w:rsidR="003804F2" w:rsidRPr="00CE2185">
        <w:rPr>
          <w:noProof/>
        </w:rPr>
        <w:t>,</w:t>
      </w:r>
      <w:r w:rsidR="004A6410" w:rsidRPr="00CE2185">
        <w:rPr>
          <w:noProof/>
        </w:rPr>
        <w:t xml:space="preserve"> </w:t>
      </w:r>
      <w:r w:rsidR="003804F2" w:rsidRPr="00CE2185">
        <w:rPr>
          <w:noProof/>
        </w:rPr>
        <w:t>the adoption of implementing acts under the NIS 2 Directive would maximise the available tools under the existing empowerments to achieve a coherent set of rules for essential and important entities, contributing to a more level playing field across the internal market. H</w:t>
      </w:r>
      <w:r w:rsidR="001A5CE1" w:rsidRPr="00CE2185">
        <w:rPr>
          <w:noProof/>
        </w:rPr>
        <w:t>owever</w:t>
      </w:r>
      <w:r w:rsidR="003804F2" w:rsidRPr="00CE2185">
        <w:rPr>
          <w:noProof/>
        </w:rPr>
        <w:t xml:space="preserve">, </w:t>
      </w:r>
      <w:r w:rsidR="001A5CE1" w:rsidRPr="00CE2185">
        <w:rPr>
          <w:noProof/>
        </w:rPr>
        <w:t>Member States would still be able to maintain and introduce</w:t>
      </w:r>
      <w:r w:rsidR="00BD33CB" w:rsidRPr="00CE2185">
        <w:rPr>
          <w:noProof/>
        </w:rPr>
        <w:t xml:space="preserve"> additional national requirements (minimum harmonisation). </w:t>
      </w:r>
      <w:r w:rsidR="003804F2" w:rsidRPr="00CE2185">
        <w:rPr>
          <w:b/>
          <w:noProof/>
          <w:lang w:val="en-IE"/>
        </w:rPr>
        <w:t>Option C.2</w:t>
      </w:r>
      <w:r w:rsidR="003804F2" w:rsidRPr="00CE2185">
        <w:rPr>
          <w:noProof/>
          <w:lang w:val="en-IE"/>
        </w:rPr>
        <w:t xml:space="preserve"> will help further reduce the impact of obligations coming from the NIS 2 Directive, diminishing the remaining burden stemming from currently diverging implementation </w:t>
      </w:r>
      <w:r w:rsidR="00482DB7" w:rsidRPr="00CE2185">
        <w:rPr>
          <w:noProof/>
          <w:lang w:val="en-IE"/>
        </w:rPr>
        <w:t>by introducing maximum</w:t>
      </w:r>
      <w:r w:rsidR="003804F2" w:rsidRPr="00CE2185">
        <w:rPr>
          <w:noProof/>
          <w:lang w:val="en-IE"/>
        </w:rPr>
        <w:t xml:space="preserve"> </w:t>
      </w:r>
      <w:r w:rsidR="003804F2" w:rsidRPr="00CE2185">
        <w:rPr>
          <w:noProof/>
        </w:rPr>
        <w:t>harmonisation</w:t>
      </w:r>
      <w:r w:rsidR="003804F2" w:rsidRPr="00CE2185">
        <w:rPr>
          <w:noProof/>
          <w:lang w:val="en-IE"/>
        </w:rPr>
        <w:t xml:space="preserve"> </w:t>
      </w:r>
      <w:r w:rsidR="00482DB7" w:rsidRPr="00CE2185">
        <w:rPr>
          <w:noProof/>
          <w:lang w:val="en-IE"/>
        </w:rPr>
        <w:t xml:space="preserve">of </w:t>
      </w:r>
      <w:r w:rsidR="007B565B" w:rsidRPr="00CE2185">
        <w:rPr>
          <w:noProof/>
          <w:lang w:val="en-IE"/>
        </w:rPr>
        <w:t>implementing acts</w:t>
      </w:r>
      <w:r w:rsidR="003804F2" w:rsidRPr="00CE2185">
        <w:rPr>
          <w:noProof/>
          <w:lang w:val="en-IE"/>
        </w:rPr>
        <w:t xml:space="preserve">. </w:t>
      </w:r>
      <w:r w:rsidR="007B565B" w:rsidRPr="00CE2185">
        <w:rPr>
          <w:noProof/>
          <w:lang w:val="en-IE"/>
        </w:rPr>
        <w:t>T</w:t>
      </w:r>
      <w:r w:rsidR="003804F2" w:rsidRPr="00CE2185">
        <w:rPr>
          <w:noProof/>
          <w:lang w:val="en-IE"/>
        </w:rPr>
        <w:t xml:space="preserve">his option aims to enhance interoperability, improve legal certainty, and facilitate compliance across Member States. </w:t>
      </w:r>
      <w:r w:rsidR="004A6410" w:rsidRPr="00CE2185">
        <w:rPr>
          <w:noProof/>
        </w:rPr>
        <w:t xml:space="preserve">C3 would provide full harmonisation. </w:t>
      </w:r>
    </w:p>
    <w:p w14:paraId="7282D5C1" w14:textId="07352BEC" w:rsidR="00797C3C" w:rsidRPr="00CE2185" w:rsidRDefault="00DB44C9" w:rsidP="00795DF0">
      <w:pPr>
        <w:spacing w:after="120"/>
        <w:rPr>
          <w:noProof/>
        </w:rPr>
      </w:pPr>
      <w:r w:rsidRPr="00CE2185">
        <w:rPr>
          <w:bCs/>
          <w:noProof/>
        </w:rPr>
        <w:t xml:space="preserve">Regarding ICT supply chain measures, the internal market effect would be the strongest under D3 followed by D2 and D1. </w:t>
      </w:r>
      <w:r w:rsidRPr="00CE2185">
        <w:rPr>
          <w:b/>
          <w:noProof/>
        </w:rPr>
        <w:t>Option D.1</w:t>
      </w:r>
      <w:r w:rsidRPr="00CE2185">
        <w:rPr>
          <w:noProof/>
        </w:rPr>
        <w:t xml:space="preserve"> would likely maintain the current fragmentation in the internal market, as the mitigating measures resulting from the different toolboxes would remain non-binding. This would lead to measures in one Member State that are not applicable in another one, also negatively impacting businesses that have cross-border activities. </w:t>
      </w:r>
      <w:r w:rsidRPr="00CE2185">
        <w:rPr>
          <w:b/>
          <w:noProof/>
        </w:rPr>
        <w:t>Option D.2</w:t>
      </w:r>
      <w:r w:rsidRPr="00CE2185">
        <w:rPr>
          <w:noProof/>
        </w:rPr>
        <w:t xml:space="preserve"> would have a positive impact on the internal market in the field of 5G, as restrictions on high-risk suppliers would be harmonised throughout the EU. </w:t>
      </w:r>
      <w:r w:rsidRPr="00CE2185">
        <w:rPr>
          <w:b/>
          <w:noProof/>
        </w:rPr>
        <w:t>Option D.3</w:t>
      </w:r>
      <w:r w:rsidRPr="00CE2185">
        <w:rPr>
          <w:noProof/>
        </w:rPr>
        <w:t xml:space="preserve"> would have a positive impact on the internal market in the field of 5G and other ICT supply chains. Restrictions on entities </w:t>
      </w:r>
      <w:r>
        <w:rPr>
          <w:noProof/>
        </w:rPr>
        <w:t>established in</w:t>
      </w:r>
      <w:r w:rsidRPr="00CE2185">
        <w:rPr>
          <w:noProof/>
        </w:rPr>
        <w:t xml:space="preserve"> or controlled by </w:t>
      </w:r>
      <w:r>
        <w:rPr>
          <w:noProof/>
        </w:rPr>
        <w:t xml:space="preserve">entities from </w:t>
      </w:r>
      <w:r w:rsidRPr="00CE2185">
        <w:rPr>
          <w:noProof/>
        </w:rPr>
        <w:t xml:space="preserve">countries posing cybersecurity concerns </w:t>
      </w:r>
      <w:r>
        <w:rPr>
          <w:noProof/>
        </w:rPr>
        <w:t>(high-risk suppliers)</w:t>
      </w:r>
      <w:r w:rsidRPr="00CE2185">
        <w:rPr>
          <w:noProof/>
        </w:rPr>
        <w:t xml:space="preserve"> in key </w:t>
      </w:r>
      <w:r>
        <w:rPr>
          <w:noProof/>
        </w:rPr>
        <w:t>ICT</w:t>
      </w:r>
      <w:r w:rsidRPr="00CE2185">
        <w:rPr>
          <w:noProof/>
        </w:rPr>
        <w:t xml:space="preserve"> assets for specific ICT supply chains would be the same in all Member States. This would also facilitate business for cross-border entities</w:t>
      </w:r>
      <w:r>
        <w:rPr>
          <w:noProof/>
        </w:rPr>
        <w:t>.</w:t>
      </w:r>
    </w:p>
    <w:p w14:paraId="20087374" w14:textId="5B5034B5" w:rsidR="0081657A" w:rsidRPr="00CE2185" w:rsidRDefault="00355DE5" w:rsidP="00EC60D6">
      <w:pPr>
        <w:pStyle w:val="Heading3"/>
        <w:rPr>
          <w:noProof/>
        </w:rPr>
      </w:pPr>
      <w:r w:rsidRPr="00CE2185">
        <w:rPr>
          <w:noProof/>
        </w:rPr>
        <w:t xml:space="preserve"> </w:t>
      </w:r>
      <w:bookmarkStart w:id="119" w:name="_Toc210393832"/>
      <w:bookmarkStart w:id="120" w:name="_Toc219447372"/>
      <w:r w:rsidR="00BD0AF2" w:rsidRPr="00CE2185">
        <w:rPr>
          <w:noProof/>
        </w:rPr>
        <w:t>Impact on trade, competitiveness and innovation</w:t>
      </w:r>
      <w:r w:rsidR="00EC60D6" w:rsidRPr="00CE2185">
        <w:rPr>
          <w:noProof/>
        </w:rPr>
        <w:t>: impact on EU and non-EU companies</w:t>
      </w:r>
      <w:bookmarkEnd w:id="119"/>
      <w:bookmarkEnd w:id="120"/>
      <w:r w:rsidR="00EC60D6" w:rsidRPr="00CE2185">
        <w:rPr>
          <w:noProof/>
        </w:rPr>
        <w:t xml:space="preserve"> </w:t>
      </w:r>
    </w:p>
    <w:p w14:paraId="33977261" w14:textId="24AC4B22" w:rsidR="007C71C7" w:rsidRPr="00CE2185" w:rsidRDefault="00CF2457" w:rsidP="00795DF0">
      <w:pPr>
        <w:spacing w:after="120"/>
        <w:rPr>
          <w:noProof/>
        </w:rPr>
      </w:pPr>
      <w:r w:rsidRPr="00CE2185">
        <w:rPr>
          <w:noProof/>
        </w:rPr>
        <w:t>Th</w:t>
      </w:r>
      <w:r w:rsidR="006406AC" w:rsidRPr="00CE2185">
        <w:rPr>
          <w:noProof/>
        </w:rPr>
        <w:t xml:space="preserve">is </w:t>
      </w:r>
      <w:r w:rsidRPr="00CE2185">
        <w:rPr>
          <w:noProof/>
        </w:rPr>
        <w:t>section explore</w:t>
      </w:r>
      <w:r w:rsidR="00D62431" w:rsidRPr="00CE2185">
        <w:rPr>
          <w:noProof/>
        </w:rPr>
        <w:t>s</w:t>
      </w:r>
      <w:r w:rsidRPr="00CE2185">
        <w:rPr>
          <w:noProof/>
        </w:rPr>
        <w:t xml:space="preserve"> the four aspects of</w:t>
      </w:r>
      <w:r w:rsidR="00B32C00" w:rsidRPr="00CE2185">
        <w:rPr>
          <w:noProof/>
        </w:rPr>
        <w:t xml:space="preserve"> </w:t>
      </w:r>
      <w:r w:rsidR="00B32C00" w:rsidRPr="00CE2185">
        <w:rPr>
          <w:b/>
          <w:noProof/>
        </w:rPr>
        <w:t>competitiveness</w:t>
      </w:r>
      <w:r w:rsidRPr="00CE2185">
        <w:rPr>
          <w:noProof/>
        </w:rPr>
        <w:t xml:space="preserve"> </w:t>
      </w:r>
      <w:r w:rsidR="00B32C00" w:rsidRPr="00CE2185">
        <w:rPr>
          <w:noProof/>
        </w:rPr>
        <w:t xml:space="preserve">regarding </w:t>
      </w:r>
      <w:r w:rsidR="000A362D" w:rsidRPr="00CE2185">
        <w:rPr>
          <w:b/>
          <w:bCs/>
          <w:noProof/>
        </w:rPr>
        <w:t>(</w:t>
      </w:r>
      <w:r w:rsidR="007C71C7" w:rsidRPr="00CE2185">
        <w:rPr>
          <w:b/>
          <w:noProof/>
        </w:rPr>
        <w:t xml:space="preserve">i) </w:t>
      </w:r>
      <w:r w:rsidR="00B32C00" w:rsidRPr="00CE2185">
        <w:rPr>
          <w:noProof/>
        </w:rPr>
        <w:t xml:space="preserve">cost and price, </w:t>
      </w:r>
      <w:r w:rsidR="000A362D" w:rsidRPr="00CE2185">
        <w:rPr>
          <w:b/>
          <w:bCs/>
          <w:noProof/>
        </w:rPr>
        <w:t>(</w:t>
      </w:r>
      <w:r w:rsidR="007C71C7" w:rsidRPr="00CE2185">
        <w:rPr>
          <w:b/>
          <w:noProof/>
        </w:rPr>
        <w:t>ii)</w:t>
      </w:r>
      <w:r w:rsidR="007C71C7" w:rsidRPr="00CE2185">
        <w:rPr>
          <w:noProof/>
        </w:rPr>
        <w:t xml:space="preserve"> </w:t>
      </w:r>
      <w:r w:rsidR="00B32C00" w:rsidRPr="00CE2185">
        <w:rPr>
          <w:noProof/>
        </w:rPr>
        <w:t xml:space="preserve">international competitiveness, </w:t>
      </w:r>
      <w:r w:rsidR="0052051B" w:rsidRPr="00CE2185">
        <w:rPr>
          <w:b/>
          <w:bCs/>
          <w:noProof/>
        </w:rPr>
        <w:t>(</w:t>
      </w:r>
      <w:r w:rsidR="007C71C7" w:rsidRPr="00CE2185">
        <w:rPr>
          <w:b/>
          <w:noProof/>
        </w:rPr>
        <w:t>iii)</w:t>
      </w:r>
      <w:r w:rsidR="007C71C7" w:rsidRPr="00CE2185">
        <w:rPr>
          <w:noProof/>
        </w:rPr>
        <w:t xml:space="preserve"> </w:t>
      </w:r>
      <w:r w:rsidR="00B32C00" w:rsidRPr="00CE2185">
        <w:rPr>
          <w:noProof/>
        </w:rPr>
        <w:t xml:space="preserve">capacity to innovate and </w:t>
      </w:r>
      <w:r w:rsidR="0052051B" w:rsidRPr="00CE2185">
        <w:rPr>
          <w:b/>
          <w:bCs/>
          <w:noProof/>
        </w:rPr>
        <w:t>(</w:t>
      </w:r>
      <w:r w:rsidR="007C71C7" w:rsidRPr="00CE2185">
        <w:rPr>
          <w:b/>
          <w:noProof/>
        </w:rPr>
        <w:t>iv)</w:t>
      </w:r>
      <w:r w:rsidR="007C71C7" w:rsidRPr="00CE2185">
        <w:rPr>
          <w:noProof/>
        </w:rPr>
        <w:t xml:space="preserve"> </w:t>
      </w:r>
      <w:r w:rsidR="00B32C00" w:rsidRPr="00CE2185">
        <w:rPr>
          <w:noProof/>
        </w:rPr>
        <w:t>competitiveness of SMEs.</w:t>
      </w:r>
      <w:r w:rsidR="00D62431" w:rsidRPr="00CE2185">
        <w:rPr>
          <w:noProof/>
        </w:rPr>
        <w:t xml:space="preserve"> </w:t>
      </w:r>
      <w:r w:rsidR="008B1BC5" w:rsidRPr="00CE2185">
        <w:rPr>
          <w:noProof/>
        </w:rPr>
        <w:t xml:space="preserve">The most significant impacts would stem from </w:t>
      </w:r>
      <w:r w:rsidR="00422763" w:rsidRPr="00CE2185">
        <w:rPr>
          <w:noProof/>
        </w:rPr>
        <w:t>options D</w:t>
      </w:r>
      <w:r w:rsidR="008B1BC5" w:rsidRPr="00CE2185">
        <w:rPr>
          <w:noProof/>
        </w:rPr>
        <w:t xml:space="preserve"> related to ICT supply chain security. </w:t>
      </w:r>
    </w:p>
    <w:p w14:paraId="4BA252AE" w14:textId="0B1B4F77" w:rsidR="00264418" w:rsidRPr="00CE2185" w:rsidRDefault="006972DD" w:rsidP="00795DF0">
      <w:pPr>
        <w:spacing w:after="120"/>
        <w:rPr>
          <w:noProof/>
        </w:rPr>
      </w:pPr>
      <w:r w:rsidRPr="00CE2185">
        <w:rPr>
          <w:noProof/>
        </w:rPr>
        <w:t>Reforming ENISA’s mandate (</w:t>
      </w:r>
      <w:r w:rsidRPr="00CE2185">
        <w:rPr>
          <w:b/>
          <w:bCs/>
          <w:noProof/>
        </w:rPr>
        <w:t>Options A)</w:t>
      </w:r>
      <w:r w:rsidRPr="00CE2185">
        <w:rPr>
          <w:noProof/>
        </w:rPr>
        <w:t xml:space="preserve"> is not expected to have significant </w:t>
      </w:r>
      <w:r w:rsidRPr="00CE2185">
        <w:rPr>
          <w:b/>
          <w:noProof/>
        </w:rPr>
        <w:t>impacts on market and trade</w:t>
      </w:r>
      <w:r w:rsidRPr="00CE2185">
        <w:rPr>
          <w:noProof/>
        </w:rPr>
        <w:t xml:space="preserve"> patterns. Under option A.3, the expansion of ENISA’s mandate to the direct operational support to NIS 2 entities would mean that ENISA is active in providing services that are also offered by managed security service providers (MSSPs). However, given that a Member State need to request ENISA’s support for incident response, it is not expected that the change will have a noteworthy effect on the demand for services from private MSSPs.</w:t>
      </w:r>
      <w:r w:rsidR="00D62431" w:rsidRPr="00CE2185">
        <w:rPr>
          <w:noProof/>
        </w:rPr>
        <w:t xml:space="preserve"> </w:t>
      </w:r>
      <w:r w:rsidRPr="00CE2185">
        <w:rPr>
          <w:noProof/>
        </w:rPr>
        <w:t>Furthermore,</w:t>
      </w:r>
      <w:r w:rsidR="00D62431" w:rsidRPr="00CE2185">
        <w:rPr>
          <w:noProof/>
        </w:rPr>
        <w:t xml:space="preserve"> </w:t>
      </w:r>
      <w:r w:rsidR="00D62431" w:rsidRPr="00CE2185">
        <w:rPr>
          <w:b/>
          <w:bCs/>
          <w:noProof/>
        </w:rPr>
        <w:t>option A2 and A3</w:t>
      </w:r>
      <w:r w:rsidR="00D62431" w:rsidRPr="00CE2185">
        <w:rPr>
          <w:noProof/>
        </w:rPr>
        <w:t xml:space="preserve"> are expected to have a positive impact on the E</w:t>
      </w:r>
      <w:r w:rsidR="002E3C72" w:rsidRPr="00CE2185">
        <w:rPr>
          <w:noProof/>
        </w:rPr>
        <w:t>U</w:t>
      </w:r>
      <w:r w:rsidR="00D62431" w:rsidRPr="00CE2185">
        <w:rPr>
          <w:noProof/>
        </w:rPr>
        <w:t xml:space="preserve"> industrial ecosystem</w:t>
      </w:r>
      <w:r w:rsidR="00F760FB" w:rsidRPr="00CE2185">
        <w:rPr>
          <w:noProof/>
        </w:rPr>
        <w:t xml:space="preserve">, </w:t>
      </w:r>
      <w:r w:rsidR="00A56096">
        <w:rPr>
          <w:noProof/>
        </w:rPr>
        <w:t>its</w:t>
      </w:r>
      <w:r w:rsidR="00F760FB" w:rsidRPr="00CE2185">
        <w:rPr>
          <w:noProof/>
        </w:rPr>
        <w:t xml:space="preserve"> innovation potential</w:t>
      </w:r>
      <w:r w:rsidR="00D62431" w:rsidRPr="00CE2185">
        <w:rPr>
          <w:noProof/>
        </w:rPr>
        <w:t xml:space="preserve"> and </w:t>
      </w:r>
      <w:r w:rsidR="007C71C7" w:rsidRPr="00CE2185">
        <w:rPr>
          <w:noProof/>
        </w:rPr>
        <w:t xml:space="preserve">international </w:t>
      </w:r>
      <w:r w:rsidR="0056533A" w:rsidRPr="00CE2185">
        <w:rPr>
          <w:noProof/>
        </w:rPr>
        <w:t xml:space="preserve">reputation and </w:t>
      </w:r>
      <w:r w:rsidR="00D62431" w:rsidRPr="00CE2185">
        <w:rPr>
          <w:noProof/>
        </w:rPr>
        <w:t>competitiveness</w:t>
      </w:r>
      <w:r w:rsidR="0056533A" w:rsidRPr="00CE2185">
        <w:rPr>
          <w:noProof/>
        </w:rPr>
        <w:t>. An enhanced ENISA mandate will</w:t>
      </w:r>
      <w:r w:rsidR="00D62431" w:rsidRPr="00CE2185">
        <w:rPr>
          <w:noProof/>
        </w:rPr>
        <w:t xml:space="preserve"> </w:t>
      </w:r>
      <w:r w:rsidR="0056533A" w:rsidRPr="00CE2185">
        <w:rPr>
          <w:noProof/>
        </w:rPr>
        <w:t>contribute to</w:t>
      </w:r>
      <w:r w:rsidR="00B32C00" w:rsidRPr="00CE2185">
        <w:rPr>
          <w:noProof/>
        </w:rPr>
        <w:t xml:space="preserve"> </w:t>
      </w:r>
      <w:r w:rsidR="0056533A" w:rsidRPr="00CE2185">
        <w:rPr>
          <w:noProof/>
        </w:rPr>
        <w:t>enhancing</w:t>
      </w:r>
      <w:r w:rsidR="00264418" w:rsidRPr="00CE2185">
        <w:rPr>
          <w:noProof/>
        </w:rPr>
        <w:t xml:space="preserve"> the cyber resilience of</w:t>
      </w:r>
      <w:r w:rsidR="00B32C00" w:rsidRPr="00CE2185">
        <w:rPr>
          <w:noProof/>
        </w:rPr>
        <w:t xml:space="preserve"> businesses and positively contribut</w:t>
      </w:r>
      <w:r w:rsidR="0056533A" w:rsidRPr="00CE2185">
        <w:rPr>
          <w:noProof/>
        </w:rPr>
        <w:t xml:space="preserve">e </w:t>
      </w:r>
      <w:r w:rsidR="00B32C00" w:rsidRPr="00CE2185">
        <w:rPr>
          <w:noProof/>
        </w:rPr>
        <w:t>to education and training in cybersecurity.</w:t>
      </w:r>
      <w:r w:rsidR="00F760FB" w:rsidRPr="00CE2185">
        <w:rPr>
          <w:noProof/>
        </w:rPr>
        <w:t xml:space="preserve"> </w:t>
      </w:r>
      <w:r w:rsidR="002E3C72" w:rsidRPr="00CE2185">
        <w:rPr>
          <w:noProof/>
        </w:rPr>
        <w:t>The</w:t>
      </w:r>
      <w:r w:rsidR="00413356" w:rsidRPr="00CE2185">
        <w:rPr>
          <w:noProof/>
        </w:rPr>
        <w:t xml:space="preserve"> European skills attestation</w:t>
      </w:r>
      <w:r w:rsidR="005A6A27" w:rsidRPr="00CE2185">
        <w:rPr>
          <w:noProof/>
        </w:rPr>
        <w:t xml:space="preserve"> schemes is expected to </w:t>
      </w:r>
      <w:r w:rsidR="0027681C" w:rsidRPr="00CE2185">
        <w:rPr>
          <w:noProof/>
        </w:rPr>
        <w:t>lower the price of skills certifications, including by increasing the offering</w:t>
      </w:r>
      <w:r w:rsidR="00EB04E7" w:rsidRPr="00CE2185">
        <w:rPr>
          <w:noProof/>
        </w:rPr>
        <w:t xml:space="preserve"> on the market. </w:t>
      </w:r>
      <w:r w:rsidR="0014556B" w:rsidRPr="00CE2185">
        <w:rPr>
          <w:noProof/>
        </w:rPr>
        <w:t xml:space="preserve"> New providers would gain visibility in a market which is currently dominated by a few providers, which would foster competition and innovation. </w:t>
      </w:r>
      <w:r w:rsidR="005B7769" w:rsidRPr="00CE2185">
        <w:rPr>
          <w:noProof/>
        </w:rPr>
        <w:t xml:space="preserve">This will particularly benefit SMEs as outlined in </w:t>
      </w:r>
      <w:r w:rsidR="005B7769" w:rsidRPr="00CE2185">
        <w:rPr>
          <w:i/>
          <w:noProof/>
        </w:rPr>
        <w:t>section 6.1.1</w:t>
      </w:r>
      <w:r w:rsidR="005B7769" w:rsidRPr="00CE2185">
        <w:rPr>
          <w:noProof/>
        </w:rPr>
        <w:t xml:space="preserve">. </w:t>
      </w:r>
      <w:r w:rsidR="00A5049B" w:rsidRPr="00CE2185">
        <w:rPr>
          <w:noProof/>
        </w:rPr>
        <w:t>A</w:t>
      </w:r>
      <w:r w:rsidR="00BA4B9E" w:rsidRPr="00CE2185">
        <w:rPr>
          <w:noProof/>
        </w:rPr>
        <w:t xml:space="preserve"> stronger engagement of ENISA </w:t>
      </w:r>
      <w:r w:rsidR="00883FA3" w:rsidRPr="00CE2185">
        <w:rPr>
          <w:noProof/>
        </w:rPr>
        <w:t>in</w:t>
      </w:r>
      <w:r w:rsidR="00BA4B9E" w:rsidRPr="00CE2185">
        <w:rPr>
          <w:noProof/>
        </w:rPr>
        <w:t xml:space="preserve"> standardisation </w:t>
      </w:r>
      <w:r w:rsidR="00A5049B" w:rsidRPr="00CE2185">
        <w:rPr>
          <w:noProof/>
        </w:rPr>
        <w:t xml:space="preserve">(A2 and A3) </w:t>
      </w:r>
      <w:r w:rsidR="005B7769" w:rsidRPr="00CE2185">
        <w:rPr>
          <w:noProof/>
        </w:rPr>
        <w:t xml:space="preserve">will </w:t>
      </w:r>
      <w:r w:rsidR="00BA4B9E" w:rsidRPr="00CE2185">
        <w:rPr>
          <w:noProof/>
        </w:rPr>
        <w:t>foster</w:t>
      </w:r>
      <w:r w:rsidR="00107690" w:rsidRPr="00CE2185">
        <w:rPr>
          <w:noProof/>
        </w:rPr>
        <w:t xml:space="preserve"> competitiveness of European companies </w:t>
      </w:r>
      <w:r w:rsidR="005B7769" w:rsidRPr="00CE2185">
        <w:rPr>
          <w:noProof/>
        </w:rPr>
        <w:t>by promoting</w:t>
      </w:r>
      <w:r w:rsidR="00A5049B" w:rsidRPr="00CE2185">
        <w:rPr>
          <w:noProof/>
        </w:rPr>
        <w:t xml:space="preserve"> alignment between </w:t>
      </w:r>
      <w:r w:rsidR="00107690" w:rsidRPr="00CE2185">
        <w:rPr>
          <w:noProof/>
        </w:rPr>
        <w:t xml:space="preserve">international </w:t>
      </w:r>
      <w:r w:rsidR="00A5049B" w:rsidRPr="00CE2185">
        <w:rPr>
          <w:noProof/>
        </w:rPr>
        <w:t>and</w:t>
      </w:r>
      <w:r w:rsidR="00107690" w:rsidRPr="00CE2185">
        <w:rPr>
          <w:noProof/>
        </w:rPr>
        <w:t xml:space="preserve"> European </w:t>
      </w:r>
      <w:r w:rsidR="00A5049B" w:rsidRPr="00CE2185">
        <w:rPr>
          <w:noProof/>
        </w:rPr>
        <w:t>standards.</w:t>
      </w:r>
      <w:r w:rsidR="00074B69" w:rsidRPr="00CE2185">
        <w:rPr>
          <w:noProof/>
        </w:rPr>
        <w:t xml:space="preserve"> </w:t>
      </w:r>
      <w:r w:rsidR="003F5D91" w:rsidRPr="00CE2185">
        <w:rPr>
          <w:noProof/>
        </w:rPr>
        <w:t xml:space="preserve">ENISA would contribute to foster timely and state-of-the-art European standards supporting the CRA and </w:t>
      </w:r>
      <w:r w:rsidR="008C399C" w:rsidRPr="00CE2185">
        <w:rPr>
          <w:noProof/>
        </w:rPr>
        <w:t>ECCF</w:t>
      </w:r>
      <w:r w:rsidR="003F5D91" w:rsidRPr="00CE2185">
        <w:rPr>
          <w:noProof/>
        </w:rPr>
        <w:t xml:space="preserve"> </w:t>
      </w:r>
      <w:r w:rsidR="008C399C" w:rsidRPr="00CE2185">
        <w:rPr>
          <w:noProof/>
        </w:rPr>
        <w:t>ensuring the</w:t>
      </w:r>
      <w:r w:rsidR="003F5D91" w:rsidRPr="00CE2185">
        <w:rPr>
          <w:noProof/>
        </w:rPr>
        <w:t xml:space="preserve"> adopti</w:t>
      </w:r>
      <w:r w:rsidR="008C399C" w:rsidRPr="00CE2185">
        <w:rPr>
          <w:noProof/>
        </w:rPr>
        <w:t>on of</w:t>
      </w:r>
      <w:r w:rsidR="003F5D91" w:rsidRPr="00CE2185">
        <w:rPr>
          <w:noProof/>
        </w:rPr>
        <w:t xml:space="preserve"> more advanced standards compared to competitors.</w:t>
      </w:r>
      <w:r w:rsidR="00C10AB6" w:rsidRPr="00CE2185">
        <w:rPr>
          <w:noProof/>
        </w:rPr>
        <w:t xml:space="preserve"> </w:t>
      </w:r>
      <w:r w:rsidR="005B7769" w:rsidRPr="00CE2185">
        <w:rPr>
          <w:noProof/>
        </w:rPr>
        <w:t>High quality standards</w:t>
      </w:r>
      <w:r w:rsidR="00C10AB6" w:rsidRPr="00CE2185">
        <w:rPr>
          <w:noProof/>
        </w:rPr>
        <w:t xml:space="preserve"> </w:t>
      </w:r>
      <w:r w:rsidR="005B7769" w:rsidRPr="00CE2185">
        <w:rPr>
          <w:noProof/>
        </w:rPr>
        <w:t xml:space="preserve">will also contribute to innovation </w:t>
      </w:r>
      <w:r w:rsidR="00394BE5" w:rsidRPr="00CE2185">
        <w:rPr>
          <w:noProof/>
        </w:rPr>
        <w:t>in</w:t>
      </w:r>
      <w:r w:rsidR="005B7769" w:rsidRPr="00CE2185">
        <w:rPr>
          <w:noProof/>
        </w:rPr>
        <w:t xml:space="preserve"> cybersecurity</w:t>
      </w:r>
      <w:r w:rsidR="00C10AB6" w:rsidRPr="00CE2185">
        <w:rPr>
          <w:noProof/>
        </w:rPr>
        <w:t xml:space="preserve">. </w:t>
      </w:r>
      <w:r w:rsidR="005B7769" w:rsidRPr="00CE2185">
        <w:rPr>
          <w:noProof/>
        </w:rPr>
        <w:t xml:space="preserve"> </w:t>
      </w:r>
    </w:p>
    <w:p w14:paraId="63753E6E" w14:textId="263AC48A" w:rsidR="004B3CD0" w:rsidRPr="00CE2185" w:rsidRDefault="00C10AB6" w:rsidP="00795DF0">
      <w:pPr>
        <w:spacing w:after="120"/>
        <w:rPr>
          <w:b/>
          <w:noProof/>
        </w:rPr>
      </w:pPr>
      <w:r w:rsidRPr="00CE2185">
        <w:rPr>
          <w:noProof/>
        </w:rPr>
        <w:t xml:space="preserve">Under </w:t>
      </w:r>
      <w:r w:rsidRPr="00CE2185">
        <w:rPr>
          <w:b/>
          <w:bCs/>
          <w:noProof/>
        </w:rPr>
        <w:t>Options B1</w:t>
      </w:r>
      <w:r w:rsidRPr="00CE2185">
        <w:rPr>
          <w:noProof/>
        </w:rPr>
        <w:t xml:space="preserve"> </w:t>
      </w:r>
      <w:r w:rsidRPr="00CE2185">
        <w:rPr>
          <w:b/>
          <w:bCs/>
          <w:noProof/>
        </w:rPr>
        <w:t>and B2</w:t>
      </w:r>
      <w:r w:rsidRPr="00CE2185">
        <w:rPr>
          <w:noProof/>
        </w:rPr>
        <w:t xml:space="preserve">, certification </w:t>
      </w:r>
      <w:r w:rsidR="00885FD2" w:rsidRPr="00CE2185">
        <w:rPr>
          <w:noProof/>
        </w:rPr>
        <w:t>would remain voluntary.</w:t>
      </w:r>
      <w:r w:rsidR="00883FA3" w:rsidRPr="00CE2185">
        <w:rPr>
          <w:noProof/>
        </w:rPr>
        <w:t xml:space="preserve"> </w:t>
      </w:r>
      <w:r w:rsidR="00885FD2" w:rsidRPr="00CE2185">
        <w:rPr>
          <w:noProof/>
        </w:rPr>
        <w:t>An efficient and well</w:t>
      </w:r>
      <w:r w:rsidR="00DE0D0A" w:rsidRPr="00CE2185">
        <w:rPr>
          <w:noProof/>
        </w:rPr>
        <w:t>-</w:t>
      </w:r>
      <w:r w:rsidR="00885FD2" w:rsidRPr="00CE2185">
        <w:rPr>
          <w:noProof/>
        </w:rPr>
        <w:t xml:space="preserve">functioning ECCF will foster a competitive </w:t>
      </w:r>
      <w:r w:rsidR="000720EC" w:rsidRPr="00CE2185">
        <w:rPr>
          <w:noProof/>
        </w:rPr>
        <w:t xml:space="preserve">and innovative </w:t>
      </w:r>
      <w:r w:rsidR="00885FD2" w:rsidRPr="00CE2185">
        <w:rPr>
          <w:noProof/>
        </w:rPr>
        <w:t xml:space="preserve">European cybersecurity testing </w:t>
      </w:r>
      <w:r w:rsidR="00883FA3" w:rsidRPr="00CE2185">
        <w:rPr>
          <w:noProof/>
        </w:rPr>
        <w:t xml:space="preserve">ecosystem </w:t>
      </w:r>
      <w:r w:rsidR="000720EC" w:rsidRPr="00CE2185">
        <w:rPr>
          <w:noProof/>
        </w:rPr>
        <w:t xml:space="preserve">by </w:t>
      </w:r>
      <w:r w:rsidR="00883FA3" w:rsidRPr="00CE2185">
        <w:rPr>
          <w:noProof/>
        </w:rPr>
        <w:t>promoting state-of-the art cybersecurity requirements and evaluation methodologies</w:t>
      </w:r>
      <w:r w:rsidR="00885FD2" w:rsidRPr="00CE2185">
        <w:rPr>
          <w:noProof/>
        </w:rPr>
        <w:t xml:space="preserve">. </w:t>
      </w:r>
      <w:r w:rsidR="00883FA3" w:rsidRPr="00CE2185">
        <w:rPr>
          <w:noProof/>
        </w:rPr>
        <w:t>In</w:t>
      </w:r>
      <w:r w:rsidR="007740F0" w:rsidRPr="00CE2185">
        <w:rPr>
          <w:noProof/>
        </w:rPr>
        <w:t xml:space="preserve"> the area of product security</w:t>
      </w:r>
      <w:r w:rsidR="00394BE5" w:rsidRPr="00CE2185">
        <w:rPr>
          <w:noProof/>
        </w:rPr>
        <w:t xml:space="preserve"> certification</w:t>
      </w:r>
      <w:r w:rsidR="007740F0" w:rsidRPr="00CE2185">
        <w:rPr>
          <w:noProof/>
        </w:rPr>
        <w:t>, the European Union is hosting some of the most competitive testing laboratories</w:t>
      </w:r>
      <w:r w:rsidR="007740F0" w:rsidRPr="00CE2185">
        <w:rPr>
          <w:rStyle w:val="FootnoteReference"/>
          <w:noProof/>
        </w:rPr>
        <w:footnoteReference w:id="176"/>
      </w:r>
      <w:r w:rsidR="00DA2F38" w:rsidRPr="00CE2185">
        <w:rPr>
          <w:noProof/>
        </w:rPr>
        <w:t xml:space="preserve"> </w:t>
      </w:r>
      <w:r w:rsidR="000720EC" w:rsidRPr="00CE2185">
        <w:rPr>
          <w:noProof/>
        </w:rPr>
        <w:t xml:space="preserve">attracting customers worldwide. </w:t>
      </w:r>
      <w:r w:rsidR="00883FA3" w:rsidRPr="00CE2185">
        <w:rPr>
          <w:noProof/>
        </w:rPr>
        <w:t xml:space="preserve">An enhanced ECCF would strengthen Europe’s competitive advantage and create a market for cybersecurity ICT </w:t>
      </w:r>
      <w:r w:rsidR="00552174" w:rsidRPr="00CE2185">
        <w:rPr>
          <w:noProof/>
        </w:rPr>
        <w:t>supplier</w:t>
      </w:r>
      <w:r w:rsidR="00883FA3" w:rsidRPr="00CE2185">
        <w:rPr>
          <w:noProof/>
        </w:rPr>
        <w:t xml:space="preserve">s. </w:t>
      </w:r>
      <w:r w:rsidR="00DA2F38" w:rsidRPr="00CE2185">
        <w:rPr>
          <w:noProof/>
          <w:lang w:val="en-IE"/>
        </w:rPr>
        <w:t xml:space="preserve">New market opportunities would be created thanks to increased consumer trust in certified ICT solutions. </w:t>
      </w:r>
      <w:r w:rsidR="00883FA3" w:rsidRPr="00CE2185">
        <w:rPr>
          <w:noProof/>
        </w:rPr>
        <w:t xml:space="preserve">The demand for certifications (for instance in public procurement processes) could favour certified </w:t>
      </w:r>
      <w:r w:rsidR="00800735" w:rsidRPr="00CE2185">
        <w:rPr>
          <w:noProof/>
        </w:rPr>
        <w:t xml:space="preserve">European </w:t>
      </w:r>
      <w:r w:rsidR="00883FA3" w:rsidRPr="00CE2185">
        <w:rPr>
          <w:noProof/>
        </w:rPr>
        <w:t>vendors</w:t>
      </w:r>
      <w:r w:rsidR="00800735" w:rsidRPr="00CE2185">
        <w:rPr>
          <w:noProof/>
        </w:rPr>
        <w:t xml:space="preserve">. However, since such schemes would be developed considering international standards, they would not disadvantage per se non-European companies. </w:t>
      </w:r>
      <w:r w:rsidR="002E3C72" w:rsidRPr="00CE2185">
        <w:rPr>
          <w:noProof/>
        </w:rPr>
        <w:t>The ECCF</w:t>
      </w:r>
      <w:r w:rsidR="005B3707" w:rsidRPr="00CE2185">
        <w:rPr>
          <w:noProof/>
        </w:rPr>
        <w:t xml:space="preserve"> </w:t>
      </w:r>
      <w:r w:rsidR="00800735" w:rsidRPr="00CE2185">
        <w:rPr>
          <w:noProof/>
        </w:rPr>
        <w:t>would contribute to strengthen the reputation of European vendors, including SMEs, in the European Union and globally.</w:t>
      </w:r>
      <w:r w:rsidR="00DA2F38" w:rsidRPr="00CE2185">
        <w:rPr>
          <w:noProof/>
        </w:rPr>
        <w:t xml:space="preserve"> Under a voluntary setting, as certification remains a business choice, the impacts of costs transferred to consumer prices are not expected to be significant.   </w:t>
      </w:r>
    </w:p>
    <w:p w14:paraId="579EFEF1" w14:textId="4B490D5D" w:rsidR="002E3C72" w:rsidRPr="00CE2185" w:rsidRDefault="4EA32F8B" w:rsidP="65C55A5D">
      <w:pPr>
        <w:spacing w:after="120"/>
        <w:rPr>
          <w:noProof/>
          <w:lang w:val="en-IE"/>
        </w:rPr>
      </w:pPr>
      <w:r w:rsidRPr="00CE2185">
        <w:rPr>
          <w:rFonts w:eastAsia="Times New Roman"/>
          <w:noProof/>
          <w:color w:val="000000" w:themeColor="text1"/>
          <w:lang w:val="en-US"/>
        </w:rPr>
        <w:t xml:space="preserve">On the contrary, mandatory certification of NIS2 essential entities envisaged under </w:t>
      </w:r>
      <w:r w:rsidRPr="00CE2185">
        <w:rPr>
          <w:rFonts w:eastAsia="Times New Roman"/>
          <w:b/>
          <w:noProof/>
          <w:color w:val="000000" w:themeColor="text1"/>
          <w:lang w:val="en-US"/>
        </w:rPr>
        <w:t>Option B.3</w:t>
      </w:r>
      <w:r w:rsidRPr="00CE2185">
        <w:rPr>
          <w:rFonts w:eastAsia="Times New Roman"/>
          <w:noProof/>
          <w:color w:val="000000" w:themeColor="text1"/>
          <w:lang w:val="en-US"/>
        </w:rPr>
        <w:t xml:space="preserve"> </w:t>
      </w:r>
      <w:r w:rsidRPr="00CE2185">
        <w:rPr>
          <w:rFonts w:eastAsia="Times New Roman"/>
          <w:noProof/>
          <w:color w:val="000000" w:themeColor="text1"/>
        </w:rPr>
        <w:t xml:space="preserve">may lead </w:t>
      </w:r>
      <w:r w:rsidRPr="00CE2185">
        <w:rPr>
          <w:rFonts w:eastAsia="Times New Roman"/>
          <w:noProof/>
        </w:rPr>
        <w:t>to direct negative effects on competitiveness and prices</w:t>
      </w:r>
      <w:r w:rsidR="00A56096" w:rsidRPr="00A56096">
        <w:rPr>
          <w:noProof/>
        </w:rPr>
        <w:t xml:space="preserve"> </w:t>
      </w:r>
      <w:r w:rsidR="00A56096" w:rsidRPr="00A56096">
        <w:rPr>
          <w:rFonts w:eastAsia="Times New Roman"/>
          <w:noProof/>
        </w:rPr>
        <w:t>but is not expected to be significant</w:t>
      </w:r>
      <w:r w:rsidRPr="00CE2185">
        <w:rPr>
          <w:rFonts w:eastAsia="Times New Roman"/>
          <w:noProof/>
        </w:rPr>
        <w:t xml:space="preserve">. The mandatory certification would involve compliance costs for essential entities, which they could transfer to consumers, resulting in higher end-user prices in key sectors such as relating to energy or ICT infrastructure services. Being subject to mandatory certification may in general also have a negative impact on essential entities’ ability to innovate, which may be more significant in high-technology sectors such as relating to digital infrastructure. However, the impact is not expected to lead to significant market distortions. The impact on SMEs would be limited as NIS2 only applies to enterprises that include or exceed the ceiling of medium-sized enterprises (see options C). Additionally, essential entities are currently already subject to the NIS2 ex ante supervision regime and are thus already capable to manage and demonstrate compliance with legislative requirements on cybersecurity. Likewise, the absolute costs relating to mandatory certification would not expect to have a major impact on the competitiveness of essential entities as they would apply to all entities in those sectors, including non-EU competitors that want to be active on the EU market. Considering the likely positive impact of the mandatory certification on the cyber posture of covered entities, this option will likely have a positive effect on the resilience of EU companies in case of shocks or international crises, which could benefit their international position vis-à-vis non-EU competitors.  </w:t>
      </w:r>
    </w:p>
    <w:p w14:paraId="723BDEE4" w14:textId="0E2F3B8F" w:rsidR="00B32C00" w:rsidRPr="00CE2185" w:rsidRDefault="00B32C00" w:rsidP="00795DF0">
      <w:pPr>
        <w:spacing w:after="120"/>
        <w:rPr>
          <w:noProof/>
        </w:rPr>
      </w:pPr>
      <w:r w:rsidRPr="00CE2185">
        <w:rPr>
          <w:noProof/>
        </w:rPr>
        <w:t xml:space="preserve">Under </w:t>
      </w:r>
      <w:r w:rsidRPr="00CE2185">
        <w:rPr>
          <w:b/>
          <w:noProof/>
        </w:rPr>
        <w:t>Option C.1</w:t>
      </w:r>
      <w:r w:rsidRPr="00CE2185">
        <w:rPr>
          <w:b/>
          <w:i/>
          <w:noProof/>
        </w:rPr>
        <w:t>,</w:t>
      </w:r>
      <w:r w:rsidRPr="00CE2185">
        <w:rPr>
          <w:noProof/>
        </w:rPr>
        <w:t xml:space="preserve"> </w:t>
      </w:r>
      <w:r w:rsidR="003804F2" w:rsidRPr="00CE2185">
        <w:rPr>
          <w:noProof/>
        </w:rPr>
        <w:t>a better</w:t>
      </w:r>
      <w:r w:rsidRPr="00CE2185">
        <w:rPr>
          <w:noProof/>
        </w:rPr>
        <w:t xml:space="preserve"> level playing field </w:t>
      </w:r>
      <w:r w:rsidR="003804F2" w:rsidRPr="00CE2185">
        <w:rPr>
          <w:noProof/>
        </w:rPr>
        <w:t>in the internal market would benefit</w:t>
      </w:r>
      <w:r w:rsidRPr="00CE2185">
        <w:rPr>
          <w:noProof/>
        </w:rPr>
        <w:t xml:space="preserve"> essential and important entities subject to </w:t>
      </w:r>
      <w:r w:rsidRPr="00CE2185">
        <w:rPr>
          <w:noProof/>
          <w:lang w:val="en-IE"/>
        </w:rPr>
        <w:t>jurisdiction</w:t>
      </w:r>
      <w:r w:rsidRPr="00CE2185">
        <w:rPr>
          <w:noProof/>
        </w:rPr>
        <w:t xml:space="preserve"> of several Member States or entities scaling up and creating establishments in several Member States, increasing the competitiveness of the Union.  </w:t>
      </w:r>
      <w:r w:rsidRPr="00CE2185">
        <w:rPr>
          <w:noProof/>
          <w:lang w:val="en-IE"/>
        </w:rPr>
        <w:t xml:space="preserve">The actions foreseen under </w:t>
      </w:r>
      <w:r w:rsidRPr="00CE2185">
        <w:rPr>
          <w:b/>
          <w:noProof/>
          <w:lang w:val="en-IE"/>
        </w:rPr>
        <w:t>Option C.2</w:t>
      </w:r>
      <w:r w:rsidRPr="00CE2185">
        <w:rPr>
          <w:noProof/>
          <w:lang w:val="en-IE"/>
        </w:rPr>
        <w:t xml:space="preserve"> </w:t>
      </w:r>
      <w:r w:rsidR="003804F2" w:rsidRPr="00CE2185">
        <w:rPr>
          <w:noProof/>
          <w:lang w:val="en-IE"/>
        </w:rPr>
        <w:t>would further increase the</w:t>
      </w:r>
      <w:r w:rsidRPr="00CE2185">
        <w:rPr>
          <w:noProof/>
          <w:lang w:val="en-IE"/>
        </w:rPr>
        <w:t xml:space="preserve"> positive impacts on competitiveness. </w:t>
      </w:r>
      <w:r w:rsidRPr="00CE2185">
        <w:rPr>
          <w:noProof/>
        </w:rPr>
        <w:t> </w:t>
      </w:r>
      <w:r w:rsidRPr="00CE2185">
        <w:rPr>
          <w:b/>
          <w:noProof/>
        </w:rPr>
        <w:t>Option C.3</w:t>
      </w:r>
      <w:r w:rsidRPr="00CE2185">
        <w:rPr>
          <w:noProof/>
        </w:rPr>
        <w:t xml:space="preserve"> demands full repeal of existing Union legal acts and assumes rapid replacement </w:t>
      </w:r>
      <w:r w:rsidRPr="00CE2185">
        <w:rPr>
          <w:noProof/>
          <w:lang w:val="en-IE"/>
        </w:rPr>
        <w:t>through</w:t>
      </w:r>
      <w:r w:rsidRPr="00CE2185">
        <w:rPr>
          <w:noProof/>
        </w:rPr>
        <w:t xml:space="preserve"> a single legal basis, which poses legal and institutional risks during the transition. This legal uncertainty may carry risks to competitiveness and innovation in the short term</w:t>
      </w:r>
      <w:r w:rsidR="00C4459C" w:rsidRPr="00CE2185">
        <w:rPr>
          <w:noProof/>
        </w:rPr>
        <w:t xml:space="preserve"> but is likely to have a strong positive impact on competitiveness in the long term.</w:t>
      </w:r>
    </w:p>
    <w:p w14:paraId="22F4FD00" w14:textId="77777777" w:rsidR="000D0808" w:rsidRPr="00CE2185" w:rsidRDefault="000D0808" w:rsidP="000D0808">
      <w:pPr>
        <w:spacing w:after="120"/>
        <w:rPr>
          <w:noProof/>
        </w:rPr>
      </w:pPr>
      <w:r w:rsidRPr="00CE2185">
        <w:rPr>
          <w:noProof/>
        </w:rPr>
        <w:t xml:space="preserve">The considered </w:t>
      </w:r>
      <w:r w:rsidRPr="00CE2185">
        <w:rPr>
          <w:b/>
          <w:bCs/>
          <w:noProof/>
        </w:rPr>
        <w:t>options related to ICT supply chain security</w:t>
      </w:r>
      <w:r w:rsidRPr="00CE2185">
        <w:rPr>
          <w:noProof/>
        </w:rPr>
        <w:t xml:space="preserve"> could have a significant impact on the international trade, investments, innovation and competitiveness of EU businesses. On the one side, when implemented, market restriction affecting ICT key assets may have an impact on the availability of specific components in the EU market, which cou</w:t>
      </w:r>
      <w:r w:rsidRPr="00CE2185">
        <w:rPr>
          <w:rFonts w:eastAsia="Times New Roman"/>
          <w:noProof/>
        </w:rPr>
        <w:t xml:space="preserve">ld </w:t>
      </w:r>
      <w:r w:rsidRPr="00CE2185">
        <w:rPr>
          <w:noProof/>
        </w:rPr>
        <w:t xml:space="preserve">lead to higher prices for consumers and businesses. Market restrictions may also have an impact on competition in the EU market, as well as on international trade relations between the EU and its trading partners. Those effects could be Member State-related under D1, more prominent at EU level for 5G technologies under option D2 and potentially extended to other sectors under option D3. However, the overall impact of the options considered would be limited to entities active in a limited number of critical sectors and for specific assets. On the other side, the restriction related to untrusted assets would also create </w:t>
      </w:r>
      <w:r w:rsidRPr="00CE2185">
        <w:rPr>
          <w:b/>
          <w:bCs/>
          <w:noProof/>
        </w:rPr>
        <w:t>new market opportunities for trusted suppliers</w:t>
      </w:r>
      <w:r w:rsidRPr="00CE2185">
        <w:rPr>
          <w:noProof/>
        </w:rPr>
        <w:t xml:space="preserve">, estimated at </w:t>
      </w:r>
      <w:r w:rsidRPr="00CE2185">
        <w:rPr>
          <w:b/>
          <w:bCs/>
          <w:noProof/>
        </w:rPr>
        <w:t xml:space="preserve">EUR 2 bn per year </w:t>
      </w:r>
      <w:r>
        <w:rPr>
          <w:noProof/>
        </w:rPr>
        <w:t>during the transition period of three years</w:t>
      </w:r>
      <w:r w:rsidRPr="00CE2185">
        <w:rPr>
          <w:b/>
          <w:bCs/>
          <w:noProof/>
        </w:rPr>
        <w:t xml:space="preserve"> </w:t>
      </w:r>
      <w:r w:rsidRPr="00CE2185">
        <w:rPr>
          <w:noProof/>
        </w:rPr>
        <w:t xml:space="preserve">and hence stimulate innovation, R&amp;D and competitiveness in the internal market. </w:t>
      </w:r>
    </w:p>
    <w:p w14:paraId="2B9AA16C" w14:textId="77777777" w:rsidR="000D0808" w:rsidRPr="00CE2185" w:rsidRDefault="000D0808" w:rsidP="000D0808">
      <w:pPr>
        <w:spacing w:after="120"/>
        <w:rPr>
          <w:noProof/>
        </w:rPr>
      </w:pPr>
      <w:r w:rsidRPr="00CE2185">
        <w:rPr>
          <w:b/>
          <w:bCs/>
          <w:noProof/>
        </w:rPr>
        <w:t xml:space="preserve">Option D.1 </w:t>
      </w:r>
      <w:r w:rsidRPr="00CE2185">
        <w:rPr>
          <w:noProof/>
        </w:rPr>
        <w:t xml:space="preserve">would have a limited impact on competitiveness and innovation as it would only entail non-binding measures which would leave discretion to Member States to assess the potential impact and, depending on the specific outcome, decide whether to implement them. </w:t>
      </w:r>
      <w:r w:rsidRPr="00CE2185">
        <w:rPr>
          <w:b/>
          <w:bCs/>
          <w:noProof/>
        </w:rPr>
        <w:t xml:space="preserve">Option D.2 </w:t>
      </w:r>
      <w:r w:rsidRPr="00CE2185">
        <w:rPr>
          <w:noProof/>
        </w:rPr>
        <w:t xml:space="preserve">would have an impact on competitiveness and innovation in the 5G market, as some suppliers would be designated as high-risk suppliers, which would affect EU market access for those companies, which would in turn reduce the choice of available suppliers in the EU. </w:t>
      </w:r>
      <w:r>
        <w:rPr>
          <w:noProof/>
        </w:rPr>
        <w:t>There</w:t>
      </w:r>
      <w:r w:rsidRPr="00CE2185">
        <w:rPr>
          <w:noProof/>
        </w:rPr>
        <w:t xml:space="preserve"> are currently several suppliers of 5G equipment in the market (Qualcomm, Sharp, LG Electronics, Samsung, ZTE), with three of them having the biggest market shares (Huawei, Ericsson, Nokia). Two of these suppliers have already been assessed as high-risk suppliers in the Commission Communication C (2023) 4049 final. Evidence from some Member States or third countries where the high-risk suppliers have been made subject to restrictions showed that the other suppliers generally have the capacity to provide the equipment and fill in the space left by the high-risk suppliers. </w:t>
      </w:r>
      <w:r w:rsidRPr="00CE2185">
        <w:rPr>
          <w:rFonts w:eastAsia="Times New Roman"/>
          <w:noProof/>
        </w:rPr>
        <w:t xml:space="preserve">In view of the presence of sufficient other suppliers in the market, the negative impact on innovation and competition would likely be limited. Furthermore, the new market opportunities created for trusted suppliers would further incentivize investments and innovation stimulating a </w:t>
      </w:r>
      <w:r w:rsidRPr="00CE2185">
        <w:rPr>
          <w:rFonts w:eastAsia="Times New Roman"/>
          <w:b/>
          <w:bCs/>
          <w:noProof/>
        </w:rPr>
        <w:t>trustworthy, innovative and competitive 5G offering</w:t>
      </w:r>
      <w:r w:rsidRPr="00CE2185">
        <w:rPr>
          <w:rFonts w:eastAsia="Times New Roman"/>
          <w:noProof/>
        </w:rPr>
        <w:t>.</w:t>
      </w:r>
      <w:r w:rsidRPr="00CE2185">
        <w:rPr>
          <w:rFonts w:eastAsia="Times New Roman"/>
          <w:noProof/>
          <w:u w:val="single"/>
        </w:rPr>
        <w:t xml:space="preserve"> </w:t>
      </w:r>
      <w:r w:rsidRPr="00CE2185">
        <w:rPr>
          <w:noProof/>
        </w:rPr>
        <w:t>The impact on competitiveness and innovation of</w:t>
      </w:r>
      <w:r w:rsidRPr="00CE2185">
        <w:rPr>
          <w:b/>
          <w:bCs/>
          <w:noProof/>
        </w:rPr>
        <w:t xml:space="preserve"> Option D.3 </w:t>
      </w:r>
      <w:r w:rsidRPr="00CE2185">
        <w:rPr>
          <w:noProof/>
        </w:rPr>
        <w:t xml:space="preserve">will be more effectively analysed through the market analysis that will be conducted in parallel to the EU coordinated security risk assessments, for each specific sector/technology. As for D2, measures to restrict entities </w:t>
      </w:r>
      <w:r>
        <w:rPr>
          <w:noProof/>
        </w:rPr>
        <w:t>established in</w:t>
      </w:r>
      <w:r w:rsidRPr="00CE2185">
        <w:rPr>
          <w:noProof/>
        </w:rPr>
        <w:t xml:space="preserve"> or controlled by </w:t>
      </w:r>
      <w:r>
        <w:rPr>
          <w:noProof/>
        </w:rPr>
        <w:t xml:space="preserve">entities from third </w:t>
      </w:r>
      <w:r w:rsidRPr="00CE2185">
        <w:rPr>
          <w:noProof/>
        </w:rPr>
        <w:t xml:space="preserve">countries posing cybersecurity concerns </w:t>
      </w:r>
      <w:r>
        <w:rPr>
          <w:noProof/>
        </w:rPr>
        <w:t xml:space="preserve">(high-risk suppliers) </w:t>
      </w:r>
      <w:r w:rsidRPr="00CE2185">
        <w:rPr>
          <w:noProof/>
        </w:rPr>
        <w:t xml:space="preserve">and avoid dependency could be beneficial for European and non-EU trusted companies and their competitiveness. </w:t>
      </w:r>
    </w:p>
    <w:p w14:paraId="662F7D74" w14:textId="77777777" w:rsidR="000D0808" w:rsidRPr="00CE2185" w:rsidRDefault="000D0808" w:rsidP="000D0808">
      <w:pPr>
        <w:spacing w:after="120"/>
        <w:rPr>
          <w:noProof/>
        </w:rPr>
      </w:pPr>
      <w:r w:rsidRPr="00CE2185">
        <w:rPr>
          <w:noProof/>
        </w:rPr>
        <w:t xml:space="preserve">As for the </w:t>
      </w:r>
      <w:r w:rsidRPr="00CE2185">
        <w:rPr>
          <w:b/>
          <w:bCs/>
          <w:noProof/>
        </w:rPr>
        <w:t>impact on international competitiveness and trade</w:t>
      </w:r>
      <w:r w:rsidRPr="00CE2185">
        <w:rPr>
          <w:noProof/>
        </w:rPr>
        <w:t>, the considered options are compatible with the EU’s legal commitments under the World Trade Organisation (WTO) Agreements as well as bilateral, multilateral and plurilateral agreements. The options D.1–D.3 provide for a necessary and proportionate intervention to ensure cybersecurity of critical ICT supply chains. Whilst measures taken under these</w:t>
      </w:r>
      <w:r w:rsidRPr="00CE2185" w:rsidDel="00FE469B">
        <w:rPr>
          <w:noProof/>
        </w:rPr>
        <w:t xml:space="preserve"> </w:t>
      </w:r>
      <w:r w:rsidRPr="00CE2185">
        <w:rPr>
          <w:noProof/>
        </w:rPr>
        <w:t xml:space="preserve">options could have a trade restrictive effect for certain goods and services, these measures would be justifiable in view of the overall legitimate objective to ensure the security of critical ICT supply chains in the EU. It is estimated that the economic impact arising from trade implications would be the smallest under option D.1 and the largest under D.3, given that option D.3 provides for the most comprehensive policy intervention. As regards the potential impact of </w:t>
      </w:r>
      <w:r w:rsidRPr="00CE2185">
        <w:rPr>
          <w:b/>
          <w:bCs/>
          <w:noProof/>
        </w:rPr>
        <w:t>option D.2</w:t>
      </w:r>
      <w:r w:rsidRPr="00CE2185">
        <w:rPr>
          <w:noProof/>
        </w:rPr>
        <w:t>, one report estimates that the proportion of 5G sites in the EU and five other countries provided by Huawei and ZTE was 32%, with a predicted share of 29% in 2028.</w:t>
      </w:r>
      <w:r w:rsidRPr="00CE2185">
        <w:rPr>
          <w:rStyle w:val="FootnoteReference"/>
          <w:noProof/>
        </w:rPr>
        <w:footnoteReference w:id="177"/>
      </w:r>
      <w:r w:rsidRPr="00CE2185">
        <w:rPr>
          <w:noProof/>
        </w:rPr>
        <w:t xml:space="preserve"> This could lead to substantial market impact depending on the level of dependency of each Member States as outline in </w:t>
      </w:r>
      <w:r w:rsidRPr="00CE2185">
        <w:rPr>
          <w:i/>
          <w:iCs/>
          <w:noProof/>
        </w:rPr>
        <w:t>section 6.1.1.4</w:t>
      </w:r>
      <w:r w:rsidRPr="00CE2185">
        <w:rPr>
          <w:noProof/>
        </w:rPr>
        <w:t>. Looking at the overall economy, market opportunities would also be created for trusted suppliers. Under option D.3, the precise impact depends on the sectors addressed and on the specific measures taken. Accordingly, as is outlined in section 5.2.4, the use of empowerments would be informed by a risk assessment and market analysis, to ensure that the measures taken are both necessary and proportionate taking into account, e.g. the configuration of the EU’s trade balance for specific high-tech goods and services. Whilst the overall high-tech import and export for the EU remains balanced, this may evolve over time and be different for specific sectors and / or products or services .Overall, potential disruptive impact on international trade could be mitigated in bilateral contacts between the EU and third countries through regulatory dialogues and other high-level forums, i.e. the G7, where the EU is already engaged in deliberations on supply chain security, with the intention of building synergies between similar approaches or be mitigated through reinforced cooperation with trusted partners in line with the European Economic Security Strategy</w:t>
      </w:r>
      <w:r w:rsidRPr="00CE2185">
        <w:rPr>
          <w:rStyle w:val="FootnoteReference"/>
          <w:noProof/>
        </w:rPr>
        <w:footnoteReference w:id="178"/>
      </w:r>
      <w:r w:rsidRPr="00CE2185">
        <w:rPr>
          <w:noProof/>
        </w:rPr>
        <w:t>.</w:t>
      </w:r>
    </w:p>
    <w:p w14:paraId="67252683" w14:textId="1100AC09" w:rsidR="007F5A8D" w:rsidRPr="00CE2185" w:rsidRDefault="007F5A8D" w:rsidP="2F2403C5">
      <w:pPr>
        <w:spacing w:after="120"/>
        <w:rPr>
          <w:noProof/>
        </w:rPr>
      </w:pPr>
    </w:p>
    <w:p w14:paraId="42C75A06" w14:textId="37F5BBAF" w:rsidR="008A6A23" w:rsidRPr="00CE2185" w:rsidRDefault="00644454" w:rsidP="005D08B2">
      <w:pPr>
        <w:pStyle w:val="Heading2"/>
        <w:rPr>
          <w:noProof/>
        </w:rPr>
      </w:pPr>
      <w:bookmarkStart w:id="121" w:name="_Toc219447373"/>
      <w:bookmarkStart w:id="122" w:name="_Toc210393833"/>
      <w:r w:rsidRPr="00CE2185">
        <w:rPr>
          <w:noProof/>
        </w:rPr>
        <w:t>Impact</w:t>
      </w:r>
      <w:r w:rsidR="000E5564" w:rsidRPr="00CE2185">
        <w:rPr>
          <w:noProof/>
        </w:rPr>
        <w:t xml:space="preserve">s </w:t>
      </w:r>
      <w:r w:rsidRPr="00CE2185">
        <w:rPr>
          <w:noProof/>
        </w:rPr>
        <w:t xml:space="preserve">on </w:t>
      </w:r>
      <w:r w:rsidR="00C717F8" w:rsidRPr="00CE2185">
        <w:rPr>
          <w:noProof/>
        </w:rPr>
        <w:t>security, including hybrid threats</w:t>
      </w:r>
      <w:r w:rsidR="00C81F43" w:rsidRPr="00CE2185">
        <w:rPr>
          <w:rStyle w:val="FootnoteReference"/>
          <w:noProof/>
        </w:rPr>
        <w:footnoteReference w:id="179"/>
      </w:r>
      <w:r w:rsidR="000E5564" w:rsidRPr="00CE2185">
        <w:rPr>
          <w:bCs/>
          <w:noProof/>
        </w:rPr>
        <w:t xml:space="preserve">, </w:t>
      </w:r>
      <w:r w:rsidR="00F1473D" w:rsidRPr="00CE2185">
        <w:rPr>
          <w:noProof/>
        </w:rPr>
        <w:t>resilience, technological sovereignty, open strategic autonomy and security of supply</w:t>
      </w:r>
      <w:bookmarkEnd w:id="121"/>
    </w:p>
    <w:p w14:paraId="1EDC7F7C" w14:textId="3F926AA9" w:rsidR="00F1473D" w:rsidRPr="00CE2185" w:rsidRDefault="00F1473D" w:rsidP="00D12B58">
      <w:pPr>
        <w:pStyle w:val="Heading3"/>
        <w:rPr>
          <w:noProof/>
        </w:rPr>
      </w:pPr>
      <w:bookmarkStart w:id="123" w:name="_Toc219447374"/>
      <w:r w:rsidRPr="00CE2185">
        <w:rPr>
          <w:noProof/>
        </w:rPr>
        <w:t>Impacts on security, including hybrid threats</w:t>
      </w:r>
      <w:bookmarkEnd w:id="123"/>
    </w:p>
    <w:p w14:paraId="229D18F6" w14:textId="423291CE" w:rsidR="000E15BB" w:rsidRPr="00CE2185" w:rsidRDefault="00BB363D" w:rsidP="000E15BB">
      <w:pPr>
        <w:rPr>
          <w:rFonts w:eastAsia="Times New Roman"/>
          <w:noProof/>
          <w:color w:val="000000" w:themeColor="text1"/>
        </w:rPr>
      </w:pPr>
      <w:r w:rsidRPr="00CE2185">
        <w:rPr>
          <w:noProof/>
        </w:rPr>
        <w:t>A</w:t>
      </w:r>
      <w:r w:rsidR="00954350" w:rsidRPr="00CE2185">
        <w:rPr>
          <w:noProof/>
        </w:rPr>
        <w:t>n</w:t>
      </w:r>
      <w:r w:rsidR="000E15BB" w:rsidRPr="00CE2185">
        <w:rPr>
          <w:noProof/>
        </w:rPr>
        <w:t xml:space="preserve"> enhanced ENISA mandate (options </w:t>
      </w:r>
      <w:r w:rsidR="00954350" w:rsidRPr="00CE2185">
        <w:rPr>
          <w:noProof/>
        </w:rPr>
        <w:t>A</w:t>
      </w:r>
      <w:r w:rsidR="00A6156B" w:rsidRPr="00CE2185">
        <w:rPr>
          <w:noProof/>
        </w:rPr>
        <w:t>.</w:t>
      </w:r>
      <w:r w:rsidR="00954350" w:rsidRPr="00CE2185">
        <w:rPr>
          <w:noProof/>
        </w:rPr>
        <w:t>2</w:t>
      </w:r>
      <w:r w:rsidR="000E15BB" w:rsidRPr="00CE2185">
        <w:rPr>
          <w:noProof/>
        </w:rPr>
        <w:t xml:space="preserve"> and </w:t>
      </w:r>
      <w:r w:rsidR="00954350" w:rsidRPr="00CE2185">
        <w:rPr>
          <w:noProof/>
        </w:rPr>
        <w:t>A</w:t>
      </w:r>
      <w:r w:rsidR="00A6156B" w:rsidRPr="00CE2185">
        <w:rPr>
          <w:noProof/>
        </w:rPr>
        <w:t>.</w:t>
      </w:r>
      <w:r w:rsidR="00954350" w:rsidRPr="00CE2185">
        <w:rPr>
          <w:noProof/>
        </w:rPr>
        <w:t>3)</w:t>
      </w:r>
      <w:r w:rsidR="000E15BB" w:rsidRPr="00CE2185">
        <w:rPr>
          <w:noProof/>
        </w:rPr>
        <w:t xml:space="preserve"> </w:t>
      </w:r>
      <w:r w:rsidR="00037640" w:rsidRPr="00CE2185">
        <w:rPr>
          <w:noProof/>
        </w:rPr>
        <w:t>would</w:t>
      </w:r>
      <w:r w:rsidR="000E15BB" w:rsidRPr="00CE2185">
        <w:rPr>
          <w:noProof/>
        </w:rPr>
        <w:t xml:space="preserve"> have </w:t>
      </w:r>
      <w:r w:rsidR="00D9477B" w:rsidRPr="00CE2185">
        <w:rPr>
          <w:noProof/>
        </w:rPr>
        <w:t>a positive</w:t>
      </w:r>
      <w:r w:rsidR="000E15BB" w:rsidRPr="00CE2185">
        <w:rPr>
          <w:noProof/>
        </w:rPr>
        <w:t xml:space="preserve"> impact on </w:t>
      </w:r>
      <w:r w:rsidR="00D9477B" w:rsidRPr="00CE2185">
        <w:rPr>
          <w:noProof/>
        </w:rPr>
        <w:t>the</w:t>
      </w:r>
      <w:r w:rsidR="00D9477B" w:rsidRPr="00CE2185">
        <w:rPr>
          <w:b/>
          <w:bCs/>
          <w:noProof/>
        </w:rPr>
        <w:t xml:space="preserve"> European Union’s </w:t>
      </w:r>
      <w:r w:rsidR="000E15BB" w:rsidRPr="00CE2185">
        <w:rPr>
          <w:b/>
          <w:bCs/>
          <w:noProof/>
        </w:rPr>
        <w:t>security interests</w:t>
      </w:r>
      <w:r w:rsidR="00D9477B" w:rsidRPr="00CE2185">
        <w:rPr>
          <w:noProof/>
        </w:rPr>
        <w:t xml:space="preserve"> i</w:t>
      </w:r>
      <w:r w:rsidR="00D9477B" w:rsidRPr="00CE2185">
        <w:rPr>
          <w:rFonts w:eastAsia="Times New Roman"/>
          <w:noProof/>
          <w:color w:val="000000" w:themeColor="text1"/>
        </w:rPr>
        <w:t xml:space="preserve">nsofar as it </w:t>
      </w:r>
      <w:r w:rsidR="00037640" w:rsidRPr="00CE2185">
        <w:rPr>
          <w:rFonts w:eastAsia="Times New Roman"/>
          <w:noProof/>
          <w:color w:val="000000" w:themeColor="text1"/>
        </w:rPr>
        <w:t>would</w:t>
      </w:r>
      <w:r w:rsidR="00037640" w:rsidRPr="00CE2185">
        <w:rPr>
          <w:rFonts w:eastAsia="Times New Roman"/>
          <w:b/>
          <w:bCs/>
          <w:noProof/>
          <w:color w:val="000000" w:themeColor="text1"/>
        </w:rPr>
        <w:t xml:space="preserve"> </w:t>
      </w:r>
      <w:r w:rsidR="000E15BB" w:rsidRPr="00CE2185">
        <w:rPr>
          <w:rFonts w:eastAsia="Times New Roman"/>
          <w:noProof/>
          <w:color w:val="000000" w:themeColor="text1"/>
        </w:rPr>
        <w:t>enhance ENISA’s in-house expertise</w:t>
      </w:r>
      <w:r w:rsidR="00221C34" w:rsidRPr="00CE2185">
        <w:rPr>
          <w:rFonts w:eastAsia="Times New Roman"/>
          <w:noProof/>
          <w:color w:val="000000" w:themeColor="text1"/>
        </w:rPr>
        <w:t xml:space="preserve"> and capabilities</w:t>
      </w:r>
      <w:r w:rsidR="00D9477B" w:rsidRPr="00CE2185">
        <w:rPr>
          <w:rFonts w:eastAsia="Times New Roman"/>
          <w:noProof/>
          <w:color w:val="000000" w:themeColor="text1"/>
        </w:rPr>
        <w:t>,</w:t>
      </w:r>
      <w:r w:rsidR="000E15BB" w:rsidRPr="00CE2185">
        <w:rPr>
          <w:rFonts w:eastAsia="Times New Roman"/>
          <w:noProof/>
          <w:color w:val="000000" w:themeColor="text1"/>
        </w:rPr>
        <w:t xml:space="preserve"> which would in turn benefit </w:t>
      </w:r>
      <w:r w:rsidR="00954350" w:rsidRPr="00CE2185">
        <w:rPr>
          <w:rFonts w:eastAsia="Times New Roman"/>
          <w:noProof/>
          <w:color w:val="000000" w:themeColor="text1"/>
        </w:rPr>
        <w:t xml:space="preserve">its stakeholders, at the forefront of which </w:t>
      </w:r>
      <w:r w:rsidR="000E15BB" w:rsidRPr="00CE2185">
        <w:rPr>
          <w:rFonts w:eastAsia="Times New Roman"/>
          <w:noProof/>
          <w:color w:val="000000" w:themeColor="text1"/>
        </w:rPr>
        <w:t>Member States</w:t>
      </w:r>
      <w:r w:rsidR="00B600D6" w:rsidRPr="00CE2185">
        <w:rPr>
          <w:rFonts w:eastAsia="Times New Roman"/>
          <w:noProof/>
          <w:color w:val="000000" w:themeColor="text1"/>
        </w:rPr>
        <w:t xml:space="preserve">. While this reinforced mandate would not prevent the cybersecurity threats and incidents from happening, preparedness and response would be enhanced as ENISA would be better </w:t>
      </w:r>
      <w:r w:rsidR="007F1CFA" w:rsidRPr="00CE2185">
        <w:rPr>
          <w:rFonts w:eastAsia="Times New Roman"/>
          <w:noProof/>
          <w:color w:val="000000" w:themeColor="text1"/>
        </w:rPr>
        <w:t xml:space="preserve">prepared </w:t>
      </w:r>
      <w:r w:rsidR="00B600D6" w:rsidRPr="00CE2185">
        <w:rPr>
          <w:rFonts w:eastAsia="Times New Roman"/>
          <w:noProof/>
          <w:color w:val="000000" w:themeColor="text1"/>
        </w:rPr>
        <w:t>to perform its mission of assistance to Member States</w:t>
      </w:r>
      <w:r w:rsidR="005E3AEF" w:rsidRPr="00CE2185">
        <w:rPr>
          <w:rFonts w:eastAsia="Times New Roman"/>
          <w:noProof/>
          <w:color w:val="000000" w:themeColor="text1"/>
        </w:rPr>
        <w:t>.</w:t>
      </w:r>
      <w:r w:rsidR="00F41A43" w:rsidRPr="00CE2185">
        <w:rPr>
          <w:rFonts w:eastAsia="Times New Roman"/>
          <w:noProof/>
          <w:color w:val="000000" w:themeColor="text1"/>
        </w:rPr>
        <w:t xml:space="preserve"> </w:t>
      </w:r>
      <w:r w:rsidR="00954350" w:rsidRPr="00CE2185">
        <w:rPr>
          <w:rFonts w:eastAsia="Times New Roman"/>
          <w:noProof/>
          <w:color w:val="000000" w:themeColor="text1"/>
        </w:rPr>
        <w:t>By becoming a</w:t>
      </w:r>
      <w:r w:rsidR="00384F5D" w:rsidRPr="00CE2185">
        <w:rPr>
          <w:rFonts w:eastAsia="Times New Roman"/>
          <w:noProof/>
          <w:color w:val="000000" w:themeColor="text1"/>
        </w:rPr>
        <w:t xml:space="preserve"> high expertise,</w:t>
      </w:r>
      <w:r w:rsidR="00954350" w:rsidRPr="00CE2185">
        <w:rPr>
          <w:rFonts w:eastAsia="Times New Roman"/>
          <w:noProof/>
          <w:color w:val="000000" w:themeColor="text1"/>
        </w:rPr>
        <w:t xml:space="preserve"> technical hub, ENISA would</w:t>
      </w:r>
      <w:r w:rsidR="00954350" w:rsidRPr="00CE2185">
        <w:rPr>
          <w:rFonts w:eastAsia="Times New Roman"/>
          <w:b/>
          <w:bCs/>
          <w:noProof/>
          <w:color w:val="000000" w:themeColor="text1"/>
        </w:rPr>
        <w:t xml:space="preserve"> </w:t>
      </w:r>
      <w:r w:rsidR="006A48B4" w:rsidRPr="00CE2185">
        <w:rPr>
          <w:rFonts w:eastAsia="Times New Roman"/>
          <w:b/>
          <w:bCs/>
          <w:noProof/>
          <w:color w:val="000000" w:themeColor="text1"/>
        </w:rPr>
        <w:t>push the overall level of security in the Union upwards.</w:t>
      </w:r>
    </w:p>
    <w:p w14:paraId="6F4147BA" w14:textId="4EA1914F" w:rsidR="006C158D" w:rsidRPr="00CE2185" w:rsidRDefault="00517658" w:rsidP="000E15BB">
      <w:pPr>
        <w:rPr>
          <w:rFonts w:eastAsia="Times New Roman"/>
          <w:noProof/>
          <w:color w:val="000000" w:themeColor="text1"/>
        </w:rPr>
      </w:pPr>
      <w:r w:rsidRPr="00CE2185">
        <w:rPr>
          <w:rFonts w:eastAsia="Times New Roman"/>
          <w:noProof/>
          <w:color w:val="000000" w:themeColor="text1"/>
        </w:rPr>
        <w:t>U</w:t>
      </w:r>
      <w:r w:rsidR="006A48B4" w:rsidRPr="00CE2185">
        <w:rPr>
          <w:rFonts w:eastAsia="Times New Roman"/>
          <w:noProof/>
          <w:color w:val="000000" w:themeColor="text1"/>
        </w:rPr>
        <w:t>nder</w:t>
      </w:r>
      <w:r w:rsidR="000E15BB" w:rsidRPr="00CE2185">
        <w:rPr>
          <w:rFonts w:eastAsia="Times New Roman"/>
          <w:noProof/>
          <w:color w:val="000000" w:themeColor="text1"/>
        </w:rPr>
        <w:t xml:space="preserve"> option A</w:t>
      </w:r>
      <w:r w:rsidR="00A6156B" w:rsidRPr="00CE2185">
        <w:rPr>
          <w:rFonts w:eastAsia="Times New Roman"/>
          <w:noProof/>
          <w:color w:val="000000" w:themeColor="text1"/>
        </w:rPr>
        <w:t>.</w:t>
      </w:r>
      <w:r w:rsidR="000E15BB" w:rsidRPr="00CE2185">
        <w:rPr>
          <w:rFonts w:eastAsia="Times New Roman"/>
          <w:noProof/>
          <w:color w:val="000000" w:themeColor="text1"/>
        </w:rPr>
        <w:t>2, ENISA would be in a position to act as an authority for vulnerability identification systems and create synergies with the CRA single reporting platform. In this regard, whereas the option would no per se reduce the risks of hybrid threats, it would nevertheless support</w:t>
      </w:r>
      <w:r w:rsidR="000E15BB" w:rsidRPr="00CE2185">
        <w:rPr>
          <w:rFonts w:eastAsia="Times New Roman"/>
          <w:b/>
          <w:bCs/>
          <w:noProof/>
          <w:color w:val="000000" w:themeColor="text1"/>
        </w:rPr>
        <w:t xml:space="preserve"> </w:t>
      </w:r>
      <w:r w:rsidR="000E15BB" w:rsidRPr="00CE2185">
        <w:rPr>
          <w:rFonts w:eastAsia="Times New Roman"/>
          <w:noProof/>
          <w:color w:val="000000" w:themeColor="text1"/>
        </w:rPr>
        <w:t>the</w:t>
      </w:r>
      <w:r w:rsidR="000E15BB" w:rsidRPr="00CE2185">
        <w:rPr>
          <w:rFonts w:eastAsia="Times New Roman"/>
          <w:b/>
          <w:bCs/>
          <w:noProof/>
          <w:color w:val="000000" w:themeColor="text1"/>
        </w:rPr>
        <w:t xml:space="preserve"> reduction of the exposure to hybrid attacks or cybersecurity incidents by developing expertise and enriching vulnerability records.</w:t>
      </w:r>
      <w:r w:rsidR="000E15BB" w:rsidRPr="00CE2185">
        <w:rPr>
          <w:rFonts w:eastAsia="Times New Roman"/>
          <w:noProof/>
          <w:color w:val="000000" w:themeColor="text1"/>
        </w:rPr>
        <w:t xml:space="preserve"> </w:t>
      </w:r>
      <w:r w:rsidR="00072C3A" w:rsidRPr="00CE2185">
        <w:rPr>
          <w:rFonts w:eastAsia="Times New Roman"/>
          <w:noProof/>
          <w:color w:val="000000" w:themeColor="text1"/>
        </w:rPr>
        <w:t>ENISA would be in a better position to issue guidance on highly technical dimensions</w:t>
      </w:r>
      <w:r w:rsidR="00AC05EA" w:rsidRPr="00CE2185">
        <w:rPr>
          <w:rFonts w:eastAsia="Times New Roman"/>
          <w:noProof/>
          <w:color w:val="000000" w:themeColor="text1"/>
        </w:rPr>
        <w:t>, hereby complementing</w:t>
      </w:r>
      <w:r w:rsidR="00C57641" w:rsidRPr="00CE2185">
        <w:rPr>
          <w:rFonts w:eastAsia="Times New Roman"/>
          <w:noProof/>
          <w:color w:val="000000" w:themeColor="text1"/>
        </w:rPr>
        <w:t xml:space="preserve"> CERT-</w:t>
      </w:r>
      <w:r w:rsidR="00AC05EA" w:rsidRPr="00CE2185">
        <w:rPr>
          <w:rFonts w:eastAsia="Times New Roman"/>
          <w:noProof/>
          <w:color w:val="000000" w:themeColor="text1"/>
        </w:rPr>
        <w:t>EU</w:t>
      </w:r>
      <w:r w:rsidR="003A294B" w:rsidRPr="00CE2185">
        <w:rPr>
          <w:rFonts w:eastAsia="Times New Roman"/>
          <w:noProof/>
          <w:color w:val="000000" w:themeColor="text1"/>
        </w:rPr>
        <w:t xml:space="preserve"> where its field of action is not covered</w:t>
      </w:r>
      <w:r w:rsidR="000E15BB" w:rsidRPr="00CE2185">
        <w:rPr>
          <w:rFonts w:eastAsia="Times New Roman"/>
          <w:noProof/>
          <w:color w:val="000000" w:themeColor="text1"/>
        </w:rPr>
        <w:t xml:space="preserve">. Similarly, the development of cybersecurity threat intelligence (CTI) expertise within ENISA </w:t>
      </w:r>
      <w:r w:rsidR="00074FE6" w:rsidRPr="00CE2185">
        <w:rPr>
          <w:rFonts w:eastAsia="Times New Roman"/>
          <w:noProof/>
          <w:color w:val="000000" w:themeColor="text1"/>
        </w:rPr>
        <w:t>w</w:t>
      </w:r>
      <w:r w:rsidR="000E15BB" w:rsidRPr="00CE2185">
        <w:rPr>
          <w:rFonts w:eastAsia="Times New Roman"/>
          <w:noProof/>
          <w:color w:val="000000" w:themeColor="text1"/>
        </w:rPr>
        <w:t>ould be beneficial to Member States and industry</w:t>
      </w:r>
      <w:r w:rsidR="001F4600" w:rsidRPr="00CE2185">
        <w:rPr>
          <w:rFonts w:eastAsia="Times New Roman"/>
          <w:noProof/>
          <w:color w:val="000000" w:themeColor="text1"/>
        </w:rPr>
        <w:t xml:space="preserve">. ENISA would develop </w:t>
      </w:r>
      <w:r w:rsidR="000E15BB" w:rsidRPr="00CE2185">
        <w:rPr>
          <w:rFonts w:eastAsia="Times New Roman"/>
          <w:noProof/>
          <w:color w:val="000000" w:themeColor="text1"/>
        </w:rPr>
        <w:t xml:space="preserve">a capacity to </w:t>
      </w:r>
      <w:r w:rsidR="000E15BB" w:rsidRPr="00CE2185">
        <w:rPr>
          <w:rFonts w:eastAsia="Times New Roman"/>
          <w:b/>
          <w:bCs/>
          <w:noProof/>
          <w:color w:val="000000" w:themeColor="text1"/>
        </w:rPr>
        <w:t>better address in particular hybrid threats, should ENISA enhance its cooperation with other speciali</w:t>
      </w:r>
      <w:r w:rsidR="009D2DED" w:rsidRPr="00CE2185">
        <w:rPr>
          <w:rFonts w:eastAsia="Times New Roman"/>
          <w:b/>
          <w:bCs/>
          <w:noProof/>
          <w:color w:val="000000" w:themeColor="text1"/>
        </w:rPr>
        <w:t>s</w:t>
      </w:r>
      <w:r w:rsidR="000E15BB" w:rsidRPr="00CE2185">
        <w:rPr>
          <w:rFonts w:eastAsia="Times New Roman"/>
          <w:b/>
          <w:bCs/>
          <w:noProof/>
          <w:color w:val="000000" w:themeColor="text1"/>
        </w:rPr>
        <w:t>ed agencies</w:t>
      </w:r>
      <w:r w:rsidR="000E15BB" w:rsidRPr="00CE2185">
        <w:rPr>
          <w:rFonts w:eastAsia="Times New Roman"/>
          <w:noProof/>
          <w:color w:val="000000" w:themeColor="text1"/>
        </w:rPr>
        <w:t xml:space="preserve"> such as Europol. </w:t>
      </w:r>
      <w:r w:rsidR="006C158D" w:rsidRPr="00CE2185">
        <w:rPr>
          <w:rFonts w:eastAsia="Times New Roman"/>
          <w:noProof/>
          <w:color w:val="000000" w:themeColor="text1"/>
        </w:rPr>
        <w:t xml:space="preserve">Option A2 would therefore lead to an increase in ENISA’s technical in-house expertise which would entail enhanced capacity for ENISA to provide support to Member States and industry where needed, strengthening cybersecurity across the Union. </w:t>
      </w:r>
    </w:p>
    <w:p w14:paraId="6B266ED1" w14:textId="4A6FCBC5" w:rsidR="00ED1507" w:rsidRPr="00CE2185" w:rsidRDefault="00BB363D" w:rsidP="00ED1507">
      <w:pPr>
        <w:spacing w:after="120"/>
        <w:rPr>
          <w:noProof/>
          <w:lang w:val="en-IE"/>
        </w:rPr>
      </w:pPr>
      <w:r w:rsidRPr="00CE2185">
        <w:rPr>
          <w:noProof/>
          <w:lang w:val="en-IE"/>
        </w:rPr>
        <w:t>O</w:t>
      </w:r>
      <w:r w:rsidR="001035C1" w:rsidRPr="00CE2185">
        <w:rPr>
          <w:noProof/>
          <w:lang w:val="en-IE"/>
        </w:rPr>
        <w:t>ption</w:t>
      </w:r>
      <w:r w:rsidR="00384B49" w:rsidRPr="00CE2185">
        <w:rPr>
          <w:noProof/>
          <w:lang w:val="en-IE"/>
        </w:rPr>
        <w:t xml:space="preserve">s </w:t>
      </w:r>
      <w:r w:rsidR="001035C1" w:rsidRPr="00CE2185">
        <w:rPr>
          <w:noProof/>
          <w:lang w:val="en-IE"/>
        </w:rPr>
        <w:t>A</w:t>
      </w:r>
      <w:r w:rsidR="00A6156B" w:rsidRPr="00CE2185">
        <w:rPr>
          <w:noProof/>
          <w:lang w:val="en-IE"/>
        </w:rPr>
        <w:t>.</w:t>
      </w:r>
      <w:r w:rsidR="001035C1" w:rsidRPr="00CE2185">
        <w:rPr>
          <w:noProof/>
          <w:lang w:val="en-IE"/>
        </w:rPr>
        <w:t xml:space="preserve">2 </w:t>
      </w:r>
      <w:r w:rsidR="00384B49" w:rsidRPr="00CE2185">
        <w:rPr>
          <w:noProof/>
          <w:lang w:val="en-IE"/>
        </w:rPr>
        <w:t>and A</w:t>
      </w:r>
      <w:r w:rsidR="00A6156B" w:rsidRPr="00CE2185">
        <w:rPr>
          <w:noProof/>
          <w:lang w:val="en-IE"/>
        </w:rPr>
        <w:t>.</w:t>
      </w:r>
      <w:r w:rsidR="00384B49" w:rsidRPr="00CE2185">
        <w:rPr>
          <w:noProof/>
          <w:lang w:val="en-IE"/>
        </w:rPr>
        <w:t>3</w:t>
      </w:r>
      <w:r w:rsidR="001035C1" w:rsidRPr="00CE2185">
        <w:rPr>
          <w:noProof/>
          <w:lang w:val="en-IE"/>
        </w:rPr>
        <w:t xml:space="preserve"> would </w:t>
      </w:r>
      <w:r w:rsidR="00037640" w:rsidRPr="00CE2185">
        <w:rPr>
          <w:noProof/>
          <w:lang w:val="en-IE"/>
        </w:rPr>
        <w:t>further</w:t>
      </w:r>
      <w:r w:rsidR="001035C1" w:rsidRPr="00CE2185">
        <w:rPr>
          <w:noProof/>
          <w:lang w:val="en-IE"/>
        </w:rPr>
        <w:t xml:space="preserve"> </w:t>
      </w:r>
      <w:r w:rsidR="00ED1507" w:rsidRPr="00CE2185">
        <w:rPr>
          <w:noProof/>
          <w:lang w:val="en-IE"/>
        </w:rPr>
        <w:t>support the development of a skill</w:t>
      </w:r>
      <w:r w:rsidR="001035C1" w:rsidRPr="00CE2185">
        <w:rPr>
          <w:noProof/>
          <w:lang w:val="en-IE"/>
        </w:rPr>
        <w:t>ed</w:t>
      </w:r>
      <w:r w:rsidR="00ED1507" w:rsidRPr="00CE2185">
        <w:rPr>
          <w:noProof/>
          <w:lang w:val="en-IE"/>
        </w:rPr>
        <w:t xml:space="preserve"> cybersecurity workforce, trained to the state-of-the-art</w:t>
      </w:r>
      <w:r w:rsidR="00AE1226" w:rsidRPr="00CE2185">
        <w:rPr>
          <w:noProof/>
          <w:lang w:val="en-IE"/>
        </w:rPr>
        <w:t>, such as those laid down in a European individual cybersecurity attestation scheme</w:t>
      </w:r>
      <w:r w:rsidR="00285192" w:rsidRPr="00CE2185">
        <w:rPr>
          <w:noProof/>
          <w:lang w:val="en-IE"/>
        </w:rPr>
        <w:t xml:space="preserve">. </w:t>
      </w:r>
      <w:r w:rsidR="00F44EFF" w:rsidRPr="00CE2185">
        <w:rPr>
          <w:noProof/>
          <w:lang w:val="en-IE"/>
        </w:rPr>
        <w:t xml:space="preserve">With lifelong learning and individual attestations, </w:t>
      </w:r>
      <w:r w:rsidR="00A077BF" w:rsidRPr="00CE2185">
        <w:rPr>
          <w:noProof/>
          <w:lang w:val="en-IE"/>
        </w:rPr>
        <w:t xml:space="preserve">cybersecurity professionals remain trained </w:t>
      </w:r>
      <w:r w:rsidR="00292CDA" w:rsidRPr="00CE2185">
        <w:rPr>
          <w:noProof/>
          <w:lang w:val="en-IE"/>
        </w:rPr>
        <w:t>against emerging threats, new</w:t>
      </w:r>
      <w:r w:rsidR="00AE1226" w:rsidRPr="00CE2185">
        <w:rPr>
          <w:noProof/>
          <w:lang w:val="en-IE"/>
        </w:rPr>
        <w:t xml:space="preserve"> technologies </w:t>
      </w:r>
      <w:r w:rsidR="44CF7EAE" w:rsidRPr="00CE2185">
        <w:rPr>
          <w:noProof/>
          <w:lang w:val="en-IE"/>
        </w:rPr>
        <w:t>and evolving</w:t>
      </w:r>
      <w:r w:rsidR="00AE1226" w:rsidRPr="00CE2185">
        <w:rPr>
          <w:noProof/>
          <w:lang w:val="en-IE"/>
        </w:rPr>
        <w:t xml:space="preserve"> regulations</w:t>
      </w:r>
      <w:r w:rsidR="00292CDA" w:rsidRPr="00CE2185">
        <w:rPr>
          <w:noProof/>
          <w:lang w:val="en-IE"/>
        </w:rPr>
        <w:t>.</w:t>
      </w:r>
      <w:r w:rsidR="00ED1507" w:rsidRPr="00CE2185">
        <w:rPr>
          <w:noProof/>
          <w:lang w:val="en-IE"/>
        </w:rPr>
        <w:t xml:space="preserve"> A skilled workforce with recognised and portable skills </w:t>
      </w:r>
      <w:r w:rsidR="00292CDA" w:rsidRPr="00CE2185">
        <w:rPr>
          <w:noProof/>
          <w:lang w:val="en-IE"/>
        </w:rPr>
        <w:t>further</w:t>
      </w:r>
      <w:r w:rsidR="00ED1507" w:rsidRPr="00CE2185">
        <w:rPr>
          <w:noProof/>
          <w:lang w:val="en-IE"/>
        </w:rPr>
        <w:t xml:space="preserve"> has an enhanced capacity to irrigate all sectors, ensuring skills portability across civilian and military </w:t>
      </w:r>
      <w:r w:rsidR="00F0260E" w:rsidRPr="00CE2185">
        <w:rPr>
          <w:noProof/>
          <w:lang w:val="en-IE"/>
        </w:rPr>
        <w:t>organisations</w:t>
      </w:r>
      <w:r w:rsidR="00F1289A" w:rsidRPr="00CE2185">
        <w:rPr>
          <w:noProof/>
          <w:lang w:val="en-IE"/>
        </w:rPr>
        <w:t xml:space="preserve">, and </w:t>
      </w:r>
      <w:r w:rsidR="009B3C10" w:rsidRPr="00CE2185">
        <w:rPr>
          <w:noProof/>
          <w:lang w:val="en-IE"/>
        </w:rPr>
        <w:t>gaining in turn in expertise</w:t>
      </w:r>
      <w:r w:rsidR="00ED1507" w:rsidRPr="00CE2185">
        <w:rPr>
          <w:noProof/>
          <w:lang w:val="en-IE"/>
        </w:rPr>
        <w:t>. In this regard, cybersecurity skills certification plays a role in strengthening overall security and countering hybrid threats</w:t>
      </w:r>
      <w:r w:rsidR="009B3C10" w:rsidRPr="00CE2185">
        <w:rPr>
          <w:noProof/>
          <w:lang w:val="en-IE"/>
        </w:rPr>
        <w:t>:</w:t>
      </w:r>
      <w:r w:rsidR="00ED1507" w:rsidRPr="00CE2185">
        <w:rPr>
          <w:noProof/>
          <w:lang w:val="en-IE"/>
        </w:rPr>
        <w:t xml:space="preserve"> hybrid threats require multi-layered defence</w:t>
      </w:r>
      <w:r w:rsidR="00406083" w:rsidRPr="00CE2185">
        <w:rPr>
          <w:noProof/>
          <w:lang w:val="en-IE"/>
        </w:rPr>
        <w:t xml:space="preserve">, </w:t>
      </w:r>
      <w:r w:rsidR="00B60A84" w:rsidRPr="00CE2185">
        <w:rPr>
          <w:noProof/>
          <w:lang w:val="en-IE"/>
        </w:rPr>
        <w:t>requiring teams with a variety of skillsets</w:t>
      </w:r>
      <w:r w:rsidR="00ED1507" w:rsidRPr="00CE2185">
        <w:rPr>
          <w:noProof/>
          <w:lang w:val="en-IE"/>
        </w:rPr>
        <w:t>. Certification</w:t>
      </w:r>
      <w:r w:rsidR="00671334" w:rsidRPr="00CE2185">
        <w:rPr>
          <w:noProof/>
          <w:lang w:val="en-IE"/>
        </w:rPr>
        <w:t>s</w:t>
      </w:r>
      <w:r w:rsidR="00ED1507" w:rsidRPr="00CE2185">
        <w:rPr>
          <w:noProof/>
          <w:lang w:val="en-IE"/>
        </w:rPr>
        <w:t xml:space="preserve"> acknowledge the skills against a designated skillset, leading to a common understanding of an individual’s capacities, serving as benchmark of trust. It allows to build </w:t>
      </w:r>
      <w:r w:rsidR="00ED1507" w:rsidRPr="00CE2185">
        <w:rPr>
          <w:b/>
          <w:bCs/>
          <w:noProof/>
          <w:lang w:val="en-IE"/>
        </w:rPr>
        <w:t>teams with complementary expertise, which can collaborate effectively across disciplines and across borders and enables interoperability in joint operations</w:t>
      </w:r>
      <w:r w:rsidR="00ED1507" w:rsidRPr="00CE2185">
        <w:rPr>
          <w:noProof/>
          <w:lang w:val="en-IE"/>
        </w:rPr>
        <w:t xml:space="preserve">. </w:t>
      </w:r>
      <w:r w:rsidR="00034872" w:rsidRPr="00CE2185">
        <w:rPr>
          <w:noProof/>
          <w:lang w:val="en-IE"/>
        </w:rPr>
        <w:t xml:space="preserve">More generally, </w:t>
      </w:r>
      <w:r w:rsidR="008E73F1" w:rsidRPr="00CE2185">
        <w:rPr>
          <w:noProof/>
          <w:lang w:val="en-IE"/>
        </w:rPr>
        <w:t>supporting the growth and enhancement of the cybersecurity workforce would contribute to recuing the risk of attacks</w:t>
      </w:r>
      <w:r w:rsidR="00092DA4" w:rsidRPr="00CE2185">
        <w:rPr>
          <w:noProof/>
          <w:lang w:val="en-IE"/>
        </w:rPr>
        <w:t xml:space="preserve">. For instance, </w:t>
      </w:r>
      <w:r w:rsidR="00373F10" w:rsidRPr="00CE2185">
        <w:rPr>
          <w:noProof/>
          <w:lang w:val="en-IE"/>
        </w:rPr>
        <w:t>a recurring</w:t>
      </w:r>
      <w:r w:rsidR="00092DA4" w:rsidRPr="00CE2185">
        <w:rPr>
          <w:noProof/>
          <w:lang w:val="en-IE"/>
        </w:rPr>
        <w:t xml:space="preserve"> root cause</w:t>
      </w:r>
      <w:r w:rsidR="00373F10" w:rsidRPr="00CE2185">
        <w:rPr>
          <w:noProof/>
          <w:lang w:val="en-IE"/>
        </w:rPr>
        <w:t xml:space="preserve"> </w:t>
      </w:r>
      <w:r w:rsidR="00092DA4" w:rsidRPr="00CE2185">
        <w:rPr>
          <w:noProof/>
          <w:lang w:val="en-IE"/>
        </w:rPr>
        <w:t>for</w:t>
      </w:r>
      <w:r w:rsidR="00032AE4" w:rsidRPr="00CE2185">
        <w:rPr>
          <w:noProof/>
          <w:lang w:val="en-IE"/>
        </w:rPr>
        <w:t xml:space="preserve"> </w:t>
      </w:r>
      <w:r w:rsidR="00A225F9" w:rsidRPr="00CE2185">
        <w:rPr>
          <w:noProof/>
          <w:lang w:val="en-IE"/>
        </w:rPr>
        <w:t>suffering from a</w:t>
      </w:r>
      <w:r w:rsidR="00092DA4" w:rsidRPr="00CE2185">
        <w:rPr>
          <w:noProof/>
          <w:lang w:val="en-IE"/>
        </w:rPr>
        <w:t xml:space="preserve"> ransomware</w:t>
      </w:r>
      <w:r w:rsidR="001D13CE" w:rsidRPr="00CE2185">
        <w:rPr>
          <w:noProof/>
          <w:lang w:val="en-IE"/>
        </w:rPr>
        <w:t xml:space="preserve"> </w:t>
      </w:r>
      <w:r w:rsidR="00C87F22" w:rsidRPr="00CE2185">
        <w:rPr>
          <w:noProof/>
          <w:lang w:val="en-IE"/>
        </w:rPr>
        <w:t>is lack of people/capacity</w:t>
      </w:r>
      <w:r w:rsidR="001D13CE" w:rsidRPr="00CE2185">
        <w:rPr>
          <w:noProof/>
          <w:lang w:val="en-IE"/>
        </w:rPr>
        <w:t xml:space="preserve"> </w:t>
      </w:r>
      <w:r w:rsidR="00A15E50" w:rsidRPr="00CE2185">
        <w:rPr>
          <w:noProof/>
          <w:lang w:val="en-IE"/>
        </w:rPr>
        <w:t>or lack of expertise (</w:t>
      </w:r>
      <w:r w:rsidR="00A15E50" w:rsidRPr="00CE2185">
        <w:rPr>
          <w:i/>
          <w:iCs/>
          <w:noProof/>
          <w:lang w:val="en-IE"/>
        </w:rPr>
        <w:t xml:space="preserve">see Annex </w:t>
      </w:r>
      <w:r w:rsidR="00E05592" w:rsidRPr="00CE2185">
        <w:rPr>
          <w:i/>
          <w:iCs/>
          <w:noProof/>
          <w:lang w:val="en-IE"/>
        </w:rPr>
        <w:t>7</w:t>
      </w:r>
      <w:r w:rsidR="00D77A65" w:rsidRPr="00CE2185">
        <w:rPr>
          <w:i/>
          <w:iCs/>
          <w:noProof/>
          <w:lang w:val="en-IE"/>
        </w:rPr>
        <w:t>, Part 5</w:t>
      </w:r>
      <w:r w:rsidR="00D77A65" w:rsidRPr="00CE2185">
        <w:rPr>
          <w:noProof/>
          <w:lang w:val="en-IE"/>
        </w:rPr>
        <w:t>).</w:t>
      </w:r>
      <w:r w:rsidR="008E73F1" w:rsidRPr="00CE2185">
        <w:rPr>
          <w:noProof/>
          <w:lang w:val="en-IE"/>
        </w:rPr>
        <w:t xml:space="preserve"> </w:t>
      </w:r>
      <w:r w:rsidR="00384B49" w:rsidRPr="00CE2185">
        <w:rPr>
          <w:noProof/>
          <w:lang w:val="en-IE"/>
        </w:rPr>
        <w:t>Therefore, w</w:t>
      </w:r>
      <w:r w:rsidR="00285192" w:rsidRPr="00CE2185">
        <w:rPr>
          <w:noProof/>
          <w:lang w:val="en-IE"/>
        </w:rPr>
        <w:t>hereas ENISA’s mandate on skills</w:t>
      </w:r>
      <w:r w:rsidR="00384B49" w:rsidRPr="00CE2185">
        <w:rPr>
          <w:noProof/>
          <w:lang w:val="en-IE"/>
        </w:rPr>
        <w:t xml:space="preserve"> under options A</w:t>
      </w:r>
      <w:r w:rsidR="00A6156B" w:rsidRPr="00CE2185">
        <w:rPr>
          <w:noProof/>
          <w:lang w:val="en-IE"/>
        </w:rPr>
        <w:t>.</w:t>
      </w:r>
      <w:r w:rsidR="00384B49" w:rsidRPr="00CE2185">
        <w:rPr>
          <w:noProof/>
          <w:lang w:val="en-IE"/>
        </w:rPr>
        <w:t>2 and A</w:t>
      </w:r>
      <w:r w:rsidR="00A6156B" w:rsidRPr="00CE2185">
        <w:rPr>
          <w:noProof/>
          <w:lang w:val="en-IE"/>
        </w:rPr>
        <w:t>.</w:t>
      </w:r>
      <w:r w:rsidR="00384B49" w:rsidRPr="00CE2185">
        <w:rPr>
          <w:noProof/>
          <w:lang w:val="en-IE"/>
        </w:rPr>
        <w:t>3</w:t>
      </w:r>
      <w:r w:rsidR="003F51C9" w:rsidRPr="00CE2185">
        <w:rPr>
          <w:noProof/>
          <w:lang w:val="en-IE"/>
        </w:rPr>
        <w:t>, and notably on European individual cybersecurity skills attestations,</w:t>
      </w:r>
      <w:r w:rsidR="00285192" w:rsidRPr="00CE2185">
        <w:rPr>
          <w:noProof/>
          <w:lang w:val="en-IE"/>
        </w:rPr>
        <w:t xml:space="preserve"> would not </w:t>
      </w:r>
      <w:r w:rsidR="003F51C9" w:rsidRPr="00CE2185">
        <w:rPr>
          <w:noProof/>
          <w:lang w:val="en-IE"/>
        </w:rPr>
        <w:t>solve the dramatic skills gap</w:t>
      </w:r>
      <w:r w:rsidR="00384B49" w:rsidRPr="00CE2185">
        <w:rPr>
          <w:noProof/>
          <w:lang w:val="en-IE"/>
        </w:rPr>
        <w:t xml:space="preserve">, it would support Member States and industry </w:t>
      </w:r>
      <w:r w:rsidR="00495099" w:rsidRPr="00CE2185">
        <w:rPr>
          <w:noProof/>
          <w:lang w:val="en-IE"/>
        </w:rPr>
        <w:t xml:space="preserve">in </w:t>
      </w:r>
      <w:r w:rsidR="00A10720" w:rsidRPr="00CE2185">
        <w:rPr>
          <w:noProof/>
          <w:lang w:val="en-IE"/>
        </w:rPr>
        <w:t xml:space="preserve">growing and </w:t>
      </w:r>
      <w:r w:rsidR="00495099" w:rsidRPr="00CE2185">
        <w:rPr>
          <w:noProof/>
          <w:lang w:val="en-IE"/>
        </w:rPr>
        <w:t xml:space="preserve">strengthening their workforce, </w:t>
      </w:r>
      <w:r w:rsidR="00384B49" w:rsidRPr="00CE2185">
        <w:rPr>
          <w:noProof/>
          <w:lang w:val="en-IE"/>
        </w:rPr>
        <w:t xml:space="preserve">contributing to a stronger and more resilient European Union. </w:t>
      </w:r>
      <w:r w:rsidR="00285192" w:rsidRPr="00CE2185">
        <w:rPr>
          <w:noProof/>
          <w:lang w:val="en-IE"/>
        </w:rPr>
        <w:t xml:space="preserve"> </w:t>
      </w:r>
    </w:p>
    <w:p w14:paraId="6D10796A" w14:textId="493E221E" w:rsidR="000E15BB" w:rsidRPr="00CE2185" w:rsidRDefault="00BB363D" w:rsidP="000E15BB">
      <w:pPr>
        <w:rPr>
          <w:rFonts w:eastAsia="Times New Roman"/>
          <w:noProof/>
          <w:color w:val="000000" w:themeColor="text1"/>
        </w:rPr>
      </w:pPr>
      <w:r w:rsidRPr="00CE2185">
        <w:rPr>
          <w:rFonts w:eastAsia="Times New Roman"/>
          <w:noProof/>
          <w:color w:val="000000" w:themeColor="text1"/>
        </w:rPr>
        <w:t>A</w:t>
      </w:r>
      <w:r w:rsidR="000E15BB" w:rsidRPr="00CE2185">
        <w:rPr>
          <w:rFonts w:eastAsia="Times New Roman"/>
          <w:noProof/>
          <w:color w:val="000000" w:themeColor="text1"/>
        </w:rPr>
        <w:t xml:space="preserve"> stronger ENISA </w:t>
      </w:r>
      <w:r w:rsidR="000E15BB" w:rsidRPr="00CE2185">
        <w:rPr>
          <w:rFonts w:eastAsia="Times New Roman"/>
          <w:b/>
          <w:bCs/>
          <w:noProof/>
          <w:color w:val="000000" w:themeColor="text1"/>
        </w:rPr>
        <w:t xml:space="preserve">mandate </w:t>
      </w:r>
      <w:r w:rsidR="000D1DE6" w:rsidRPr="00CE2185">
        <w:rPr>
          <w:rFonts w:eastAsia="Times New Roman"/>
          <w:noProof/>
          <w:color w:val="000000" w:themeColor="text1"/>
        </w:rPr>
        <w:t>(options A</w:t>
      </w:r>
      <w:r w:rsidR="00A6156B" w:rsidRPr="00CE2185">
        <w:rPr>
          <w:rFonts w:eastAsia="Times New Roman"/>
          <w:noProof/>
          <w:color w:val="000000" w:themeColor="text1"/>
        </w:rPr>
        <w:t>.</w:t>
      </w:r>
      <w:r w:rsidR="000D1DE6" w:rsidRPr="00CE2185">
        <w:rPr>
          <w:rFonts w:eastAsia="Times New Roman"/>
          <w:noProof/>
          <w:color w:val="000000" w:themeColor="text1"/>
        </w:rPr>
        <w:t>2 and A</w:t>
      </w:r>
      <w:r w:rsidR="00A6156B" w:rsidRPr="00CE2185">
        <w:rPr>
          <w:rFonts w:eastAsia="Times New Roman"/>
          <w:noProof/>
          <w:color w:val="000000" w:themeColor="text1"/>
        </w:rPr>
        <w:t>.</w:t>
      </w:r>
      <w:r w:rsidR="000D1DE6" w:rsidRPr="00CE2185">
        <w:rPr>
          <w:rFonts w:eastAsia="Times New Roman"/>
          <w:noProof/>
          <w:color w:val="000000" w:themeColor="text1"/>
        </w:rPr>
        <w:t>3)</w:t>
      </w:r>
      <w:r w:rsidR="000D1DE6" w:rsidRPr="00CE2185">
        <w:rPr>
          <w:rFonts w:eastAsia="Times New Roman"/>
          <w:b/>
          <w:bCs/>
          <w:noProof/>
          <w:color w:val="000000" w:themeColor="text1"/>
        </w:rPr>
        <w:t xml:space="preserve"> </w:t>
      </w:r>
      <w:r w:rsidR="000E15BB" w:rsidRPr="00CE2185">
        <w:rPr>
          <w:rFonts w:eastAsia="Times New Roman"/>
          <w:b/>
          <w:bCs/>
          <w:noProof/>
          <w:color w:val="000000" w:themeColor="text1"/>
        </w:rPr>
        <w:t>combined with NIS2 targeted amendments</w:t>
      </w:r>
      <w:r w:rsidR="000E15BB" w:rsidRPr="00CE2185">
        <w:rPr>
          <w:rFonts w:eastAsia="Times New Roman"/>
          <w:noProof/>
          <w:color w:val="000000" w:themeColor="text1"/>
        </w:rPr>
        <w:t xml:space="preserve"> (</w:t>
      </w:r>
      <w:r w:rsidR="000D1DE6" w:rsidRPr="00CE2185">
        <w:rPr>
          <w:rFonts w:eastAsia="Times New Roman"/>
          <w:noProof/>
          <w:color w:val="000000" w:themeColor="text1"/>
        </w:rPr>
        <w:t xml:space="preserve">option </w:t>
      </w:r>
      <w:r w:rsidR="000E15BB" w:rsidRPr="00CE2185">
        <w:rPr>
          <w:rFonts w:eastAsia="Times New Roman"/>
          <w:noProof/>
          <w:color w:val="000000" w:themeColor="text1"/>
        </w:rPr>
        <w:t>C</w:t>
      </w:r>
      <w:r w:rsidR="001E7614" w:rsidRPr="00CE2185">
        <w:rPr>
          <w:rFonts w:eastAsia="Times New Roman"/>
          <w:noProof/>
          <w:color w:val="000000" w:themeColor="text1"/>
        </w:rPr>
        <w:t>.</w:t>
      </w:r>
      <w:r w:rsidR="000E15BB" w:rsidRPr="00CE2185">
        <w:rPr>
          <w:rFonts w:eastAsia="Times New Roman"/>
          <w:noProof/>
          <w:color w:val="000000" w:themeColor="text1"/>
        </w:rPr>
        <w:t>2) would have indirect impacts on Member States as ENISA would position itself as a cross-</w:t>
      </w:r>
      <w:r w:rsidR="00517658" w:rsidRPr="00CE2185">
        <w:rPr>
          <w:rFonts w:eastAsia="Times New Roman"/>
          <w:noProof/>
          <w:color w:val="000000" w:themeColor="text1"/>
        </w:rPr>
        <w:t>border</w:t>
      </w:r>
      <w:r w:rsidR="000E15BB" w:rsidRPr="00CE2185">
        <w:rPr>
          <w:rFonts w:eastAsia="Times New Roman"/>
          <w:noProof/>
          <w:color w:val="000000" w:themeColor="text1"/>
        </w:rPr>
        <w:t xml:space="preserve"> cybersecurity reference point, developing </w:t>
      </w:r>
      <w:r w:rsidR="00517658" w:rsidRPr="00CE2185">
        <w:rPr>
          <w:rFonts w:eastAsia="Times New Roman"/>
          <w:noProof/>
          <w:color w:val="000000" w:themeColor="text1"/>
        </w:rPr>
        <w:t>here again</w:t>
      </w:r>
      <w:r w:rsidR="000E15BB" w:rsidRPr="00CE2185">
        <w:rPr>
          <w:rFonts w:eastAsia="Times New Roman"/>
          <w:noProof/>
          <w:color w:val="000000" w:themeColor="text1"/>
        </w:rPr>
        <w:t xml:space="preserve"> its expertise and being in a position to better </w:t>
      </w:r>
      <w:r w:rsidR="000E15BB" w:rsidRPr="00CE2185">
        <w:rPr>
          <w:rFonts w:eastAsia="Times New Roman"/>
          <w:b/>
          <w:bCs/>
          <w:noProof/>
          <w:color w:val="000000" w:themeColor="text1"/>
        </w:rPr>
        <w:t>assist Member States</w:t>
      </w:r>
      <w:r w:rsidR="623685FA" w:rsidRPr="00CE2185">
        <w:rPr>
          <w:rFonts w:eastAsia="Times New Roman"/>
          <w:b/>
          <w:bCs/>
          <w:noProof/>
          <w:color w:val="000000" w:themeColor="text1"/>
        </w:rPr>
        <w:t>,</w:t>
      </w:r>
      <w:r w:rsidR="000E15BB" w:rsidRPr="00CE2185">
        <w:rPr>
          <w:rFonts w:eastAsia="Times New Roman"/>
          <w:b/>
          <w:bCs/>
          <w:noProof/>
          <w:color w:val="000000" w:themeColor="text1"/>
        </w:rPr>
        <w:t xml:space="preserve"> </w:t>
      </w:r>
      <w:r w:rsidR="00517658" w:rsidRPr="00CE2185">
        <w:rPr>
          <w:rFonts w:eastAsia="Times New Roman"/>
          <w:b/>
          <w:bCs/>
          <w:noProof/>
          <w:color w:val="000000" w:themeColor="text1"/>
        </w:rPr>
        <w:t xml:space="preserve">to </w:t>
      </w:r>
      <w:r w:rsidR="000E15BB" w:rsidRPr="00CE2185">
        <w:rPr>
          <w:rFonts w:eastAsia="Times New Roman"/>
          <w:b/>
          <w:bCs/>
          <w:noProof/>
          <w:color w:val="000000" w:themeColor="text1"/>
        </w:rPr>
        <w:t xml:space="preserve"> act a</w:t>
      </w:r>
      <w:r w:rsidR="334DCF00" w:rsidRPr="00CE2185">
        <w:rPr>
          <w:rFonts w:eastAsia="Times New Roman"/>
          <w:b/>
          <w:bCs/>
          <w:noProof/>
          <w:color w:val="000000" w:themeColor="text1"/>
        </w:rPr>
        <w:t xml:space="preserve">s a </w:t>
      </w:r>
      <w:r w:rsidR="000E15BB" w:rsidRPr="00CE2185">
        <w:rPr>
          <w:rFonts w:eastAsia="Times New Roman"/>
          <w:b/>
          <w:bCs/>
          <w:noProof/>
          <w:color w:val="000000" w:themeColor="text1"/>
        </w:rPr>
        <w:t xml:space="preserve"> bridge between them</w:t>
      </w:r>
      <w:r w:rsidR="000E15BB" w:rsidRPr="00CE2185">
        <w:rPr>
          <w:rFonts w:eastAsia="Times New Roman"/>
          <w:noProof/>
          <w:color w:val="000000" w:themeColor="text1"/>
        </w:rPr>
        <w:t xml:space="preserve"> in the event of a cross-border cybersecurity incident. </w:t>
      </w:r>
    </w:p>
    <w:p w14:paraId="2221E410" w14:textId="3E006867" w:rsidR="005013F3" w:rsidRPr="00CE2185" w:rsidRDefault="00BB363D" w:rsidP="00D12B58">
      <w:pPr>
        <w:spacing w:after="120"/>
        <w:rPr>
          <w:noProof/>
        </w:rPr>
      </w:pPr>
      <w:r w:rsidRPr="00CE2185">
        <w:rPr>
          <w:noProof/>
        </w:rPr>
        <w:t>B</w:t>
      </w:r>
      <w:r w:rsidR="000E15BB" w:rsidRPr="00CE2185">
        <w:rPr>
          <w:noProof/>
        </w:rPr>
        <w:t>eyond demonstrating compliance</w:t>
      </w:r>
      <w:r w:rsidR="70D904CF" w:rsidRPr="00CE2185">
        <w:rPr>
          <w:noProof/>
        </w:rPr>
        <w:t xml:space="preserve"> (with the certification of organisation)</w:t>
      </w:r>
      <w:r w:rsidR="000E15BB" w:rsidRPr="00CE2185">
        <w:rPr>
          <w:noProof/>
        </w:rPr>
        <w:t xml:space="preserve"> </w:t>
      </w:r>
      <w:r w:rsidR="298183C6" w:rsidRPr="00CE2185">
        <w:rPr>
          <w:noProof/>
        </w:rPr>
        <w:t>combination of</w:t>
      </w:r>
      <w:r w:rsidR="000E15BB" w:rsidRPr="00CE2185">
        <w:rPr>
          <w:noProof/>
        </w:rPr>
        <w:t xml:space="preserve"> options B</w:t>
      </w:r>
      <w:r w:rsidR="00A6156B" w:rsidRPr="00CE2185">
        <w:rPr>
          <w:noProof/>
        </w:rPr>
        <w:t>.</w:t>
      </w:r>
      <w:r w:rsidR="000E15BB" w:rsidRPr="00CE2185">
        <w:rPr>
          <w:noProof/>
        </w:rPr>
        <w:t>2</w:t>
      </w:r>
      <w:r w:rsidR="7EC2049A" w:rsidRPr="00CE2185">
        <w:rPr>
          <w:noProof/>
        </w:rPr>
        <w:t>/</w:t>
      </w:r>
      <w:r w:rsidR="000E15BB" w:rsidRPr="00CE2185">
        <w:rPr>
          <w:noProof/>
        </w:rPr>
        <w:t xml:space="preserve"> B</w:t>
      </w:r>
      <w:r w:rsidR="00A6156B" w:rsidRPr="00CE2185">
        <w:rPr>
          <w:noProof/>
        </w:rPr>
        <w:t>.</w:t>
      </w:r>
      <w:r w:rsidR="000E15BB" w:rsidRPr="00CE2185">
        <w:rPr>
          <w:noProof/>
        </w:rPr>
        <w:t>3</w:t>
      </w:r>
      <w:r w:rsidR="254EB426" w:rsidRPr="00CE2185">
        <w:rPr>
          <w:noProof/>
        </w:rPr>
        <w:t xml:space="preserve"> and C.2/C</w:t>
      </w:r>
      <w:r w:rsidR="00A6156B" w:rsidRPr="00CE2185">
        <w:rPr>
          <w:noProof/>
        </w:rPr>
        <w:t>.</w:t>
      </w:r>
      <w:r w:rsidR="000E15BB" w:rsidRPr="00CE2185">
        <w:rPr>
          <w:noProof/>
        </w:rPr>
        <w:t>3, according to which the scope of the ECCF is extended and certification of organi</w:t>
      </w:r>
      <w:r w:rsidR="00536BA8" w:rsidRPr="00CE2185">
        <w:rPr>
          <w:noProof/>
        </w:rPr>
        <w:t>s</w:t>
      </w:r>
      <w:r w:rsidR="000E15BB" w:rsidRPr="00CE2185">
        <w:rPr>
          <w:noProof/>
        </w:rPr>
        <w:t>ation introduced would have a direct effect on the overall level of security. Mechanically, by pulling upwards entities into organisation-wide cybersecurity posture</w:t>
      </w:r>
      <w:r w:rsidR="001552FF" w:rsidRPr="00CE2185">
        <w:rPr>
          <w:noProof/>
        </w:rPr>
        <w:t xml:space="preserve"> and </w:t>
      </w:r>
      <w:r w:rsidR="000E15BB" w:rsidRPr="00CE2185">
        <w:rPr>
          <w:noProof/>
        </w:rPr>
        <w:t>ensuring synergy amongst cybersecurity frameworks</w:t>
      </w:r>
      <w:r w:rsidR="001552FF" w:rsidRPr="00CE2185">
        <w:rPr>
          <w:noProof/>
        </w:rPr>
        <w:t xml:space="preserve">, </w:t>
      </w:r>
      <w:r w:rsidR="000E15BB" w:rsidRPr="00CE2185">
        <w:rPr>
          <w:noProof/>
        </w:rPr>
        <w:t>implementation</w:t>
      </w:r>
      <w:r w:rsidR="00860CB6" w:rsidRPr="00CE2185">
        <w:rPr>
          <w:noProof/>
        </w:rPr>
        <w:t xml:space="preserve"> of </w:t>
      </w:r>
      <w:r w:rsidR="00536BA8" w:rsidRPr="00CE2185">
        <w:rPr>
          <w:noProof/>
        </w:rPr>
        <w:t>cybersecurity</w:t>
      </w:r>
      <w:r w:rsidR="00860CB6" w:rsidRPr="00CE2185">
        <w:rPr>
          <w:noProof/>
        </w:rPr>
        <w:t xml:space="preserve"> requirements is rendered easier for organisations</w:t>
      </w:r>
      <w:r w:rsidR="000E15BB" w:rsidRPr="00CE2185">
        <w:rPr>
          <w:noProof/>
        </w:rPr>
        <w:t xml:space="preserve">. </w:t>
      </w:r>
      <w:r w:rsidR="00FC7631" w:rsidRPr="00CE2185">
        <w:rPr>
          <w:noProof/>
        </w:rPr>
        <w:t xml:space="preserve">By </w:t>
      </w:r>
      <w:r w:rsidR="00FC7631" w:rsidRPr="00CE2185">
        <w:rPr>
          <w:b/>
          <w:bCs/>
          <w:noProof/>
        </w:rPr>
        <w:t xml:space="preserve">facilitating the implementation of cybersecurity requirements, the overall level of </w:t>
      </w:r>
      <w:r w:rsidR="002239A4" w:rsidRPr="00CE2185">
        <w:rPr>
          <w:b/>
          <w:bCs/>
          <w:noProof/>
        </w:rPr>
        <w:t>security of organisations</w:t>
      </w:r>
      <w:r w:rsidR="00FC7631" w:rsidRPr="00CE2185">
        <w:rPr>
          <w:b/>
          <w:bCs/>
          <w:noProof/>
        </w:rPr>
        <w:t xml:space="preserve"> is strengthened</w:t>
      </w:r>
      <w:r w:rsidR="00FC7631" w:rsidRPr="00CE2185">
        <w:rPr>
          <w:noProof/>
        </w:rPr>
        <w:t xml:space="preserve">. </w:t>
      </w:r>
      <w:r w:rsidR="004C1EC3" w:rsidRPr="00CE2185">
        <w:rPr>
          <w:noProof/>
        </w:rPr>
        <w:t xml:space="preserve">Additionally, a more efficient certification governance </w:t>
      </w:r>
      <w:r w:rsidR="00BA0A35" w:rsidRPr="00CE2185">
        <w:rPr>
          <w:noProof/>
        </w:rPr>
        <w:t xml:space="preserve">would lead to the adoption of </w:t>
      </w:r>
      <w:r w:rsidR="00BA0A35" w:rsidRPr="00CE2185">
        <w:rPr>
          <w:b/>
          <w:bCs/>
          <w:noProof/>
        </w:rPr>
        <w:t xml:space="preserve">more schemes, which in turn would </w:t>
      </w:r>
      <w:r w:rsidR="004C1EC3" w:rsidRPr="00CE2185">
        <w:rPr>
          <w:b/>
          <w:bCs/>
          <w:noProof/>
        </w:rPr>
        <w:t>enhance</w:t>
      </w:r>
      <w:r w:rsidR="00BA0A35" w:rsidRPr="00CE2185">
        <w:rPr>
          <w:b/>
          <w:bCs/>
          <w:noProof/>
        </w:rPr>
        <w:t xml:space="preserve"> </w:t>
      </w:r>
      <w:r w:rsidR="004C1EC3" w:rsidRPr="00CE2185">
        <w:rPr>
          <w:b/>
          <w:bCs/>
          <w:noProof/>
        </w:rPr>
        <w:t>security</w:t>
      </w:r>
      <w:r w:rsidR="004C1EC3" w:rsidRPr="00CE2185">
        <w:rPr>
          <w:noProof/>
        </w:rPr>
        <w:t xml:space="preserve"> by ensuring they meet recogni</w:t>
      </w:r>
      <w:r w:rsidR="003B42D9" w:rsidRPr="00CE2185">
        <w:rPr>
          <w:noProof/>
        </w:rPr>
        <w:t>s</w:t>
      </w:r>
      <w:r w:rsidR="004C1EC3" w:rsidRPr="00CE2185">
        <w:rPr>
          <w:noProof/>
        </w:rPr>
        <w:t xml:space="preserve">ed standards and have been rigorously tested for vulnerabilities. </w:t>
      </w:r>
      <w:r w:rsidR="000E7594" w:rsidRPr="00CE2185">
        <w:rPr>
          <w:noProof/>
        </w:rPr>
        <w:t>Lastly, c</w:t>
      </w:r>
      <w:r w:rsidR="004C1EC3" w:rsidRPr="00CE2185">
        <w:rPr>
          <w:noProof/>
        </w:rPr>
        <w:t>ertification</w:t>
      </w:r>
      <w:r w:rsidR="003B42D9" w:rsidRPr="00CE2185">
        <w:rPr>
          <w:noProof/>
        </w:rPr>
        <w:t xml:space="preserve"> would have the incidental effect of</w:t>
      </w:r>
      <w:r w:rsidR="004C1EC3" w:rsidRPr="00CE2185">
        <w:rPr>
          <w:noProof/>
        </w:rPr>
        <w:t xml:space="preserve"> promot</w:t>
      </w:r>
      <w:r w:rsidR="003B42D9" w:rsidRPr="00CE2185">
        <w:rPr>
          <w:noProof/>
        </w:rPr>
        <w:t>ing</w:t>
      </w:r>
      <w:r w:rsidR="004C1EC3" w:rsidRPr="00CE2185">
        <w:rPr>
          <w:noProof/>
        </w:rPr>
        <w:t xml:space="preserve"> secure-by-design practices</w:t>
      </w:r>
      <w:r w:rsidR="003B42D9" w:rsidRPr="00CE2185">
        <w:rPr>
          <w:noProof/>
        </w:rPr>
        <w:t>.</w:t>
      </w:r>
    </w:p>
    <w:p w14:paraId="3A6374D9" w14:textId="5E5DCE3A" w:rsidR="004945F9" w:rsidRPr="00CE2185" w:rsidRDefault="00A56F95" w:rsidP="004A7AEF">
      <w:pPr>
        <w:pStyle w:val="Heading3"/>
        <w:rPr>
          <w:bCs/>
          <w:noProof/>
        </w:rPr>
      </w:pPr>
      <w:bookmarkStart w:id="124" w:name="_Toc210991755"/>
      <w:bookmarkStart w:id="125" w:name="_Toc219447375"/>
      <w:bookmarkEnd w:id="122"/>
      <w:r w:rsidRPr="00CE2185">
        <w:rPr>
          <w:noProof/>
        </w:rPr>
        <w:t xml:space="preserve">Impacts on </w:t>
      </w:r>
      <w:r w:rsidR="004A7AEF" w:rsidRPr="00CE2185">
        <w:rPr>
          <w:bCs/>
          <w:noProof/>
        </w:rPr>
        <w:t>resilience, technological sovereignty, open strategic autonomy and security of supply</w:t>
      </w:r>
      <w:bookmarkEnd w:id="124"/>
      <w:bookmarkEnd w:id="125"/>
      <w:r w:rsidR="004A7AEF" w:rsidRPr="00CE2185">
        <w:rPr>
          <w:bCs/>
          <w:noProof/>
        </w:rPr>
        <w:t xml:space="preserve"> </w:t>
      </w:r>
      <w:r w:rsidR="004945F9" w:rsidRPr="00CE2185">
        <w:rPr>
          <w:bCs/>
          <w:noProof/>
        </w:rPr>
        <w:t xml:space="preserve"> </w:t>
      </w:r>
    </w:p>
    <w:p w14:paraId="33F340CF" w14:textId="77777777" w:rsidR="000D0808" w:rsidRDefault="000D0808" w:rsidP="00795DF0">
      <w:pPr>
        <w:spacing w:after="120"/>
        <w:rPr>
          <w:noProof/>
        </w:rPr>
      </w:pPr>
      <w:r w:rsidRPr="00CE2185">
        <w:rPr>
          <w:noProof/>
        </w:rPr>
        <w:t xml:space="preserve">Policy options, in particular options D, will impact cybersecurity risks that can be related to strategic dependencies (non-technical risks). Reducing dependencies as well as the reliance on entities </w:t>
      </w:r>
      <w:r>
        <w:rPr>
          <w:noProof/>
        </w:rPr>
        <w:t>established in</w:t>
      </w:r>
      <w:r w:rsidRPr="00CE2185">
        <w:rPr>
          <w:noProof/>
        </w:rPr>
        <w:t xml:space="preserve"> or controlled by </w:t>
      </w:r>
      <w:r>
        <w:rPr>
          <w:noProof/>
        </w:rPr>
        <w:t>entities from third</w:t>
      </w:r>
      <w:r w:rsidRPr="00CE2185">
        <w:rPr>
          <w:noProof/>
        </w:rPr>
        <w:t xml:space="preserve"> countries posing cybersecurity concerns </w:t>
      </w:r>
      <w:r>
        <w:rPr>
          <w:noProof/>
        </w:rPr>
        <w:t>(high-risk suppliers)</w:t>
      </w:r>
      <w:r w:rsidRPr="00CE2185">
        <w:rPr>
          <w:noProof/>
        </w:rPr>
        <w:t xml:space="preserve"> in ICT supply chains are important aspects of security as well of technological sovereignty and will reduce related cybersecurity risks as outlined in </w:t>
      </w:r>
      <w:r w:rsidRPr="00CE2185">
        <w:rPr>
          <w:i/>
          <w:iCs/>
          <w:noProof/>
        </w:rPr>
        <w:t>section 2</w:t>
      </w:r>
      <w:r w:rsidRPr="00CE2185">
        <w:rPr>
          <w:noProof/>
        </w:rPr>
        <w:t xml:space="preserve"> (</w:t>
      </w:r>
      <w:r w:rsidRPr="00CE2185">
        <w:rPr>
          <w:i/>
          <w:iCs/>
          <w:noProof/>
        </w:rPr>
        <w:t>Sections 2.1.4.2 and 2.2.3</w:t>
      </w:r>
      <w:r w:rsidRPr="00CE2185">
        <w:rPr>
          <w:noProof/>
        </w:rPr>
        <w:t>).</w:t>
      </w:r>
    </w:p>
    <w:p w14:paraId="69EB70E7" w14:textId="66FA85FE" w:rsidR="00923342" w:rsidRPr="00CE2185" w:rsidRDefault="00770EB3" w:rsidP="00795DF0">
      <w:pPr>
        <w:spacing w:after="120"/>
        <w:rPr>
          <w:noProof/>
        </w:rPr>
      </w:pPr>
      <w:r w:rsidRPr="00CE2185">
        <w:rPr>
          <w:noProof/>
        </w:rPr>
        <w:t>Both</w:t>
      </w:r>
      <w:r w:rsidR="00950562" w:rsidRPr="00CE2185">
        <w:rPr>
          <w:noProof/>
        </w:rPr>
        <w:t xml:space="preserve"> opt</w:t>
      </w:r>
      <w:r w:rsidRPr="00CE2185">
        <w:rPr>
          <w:noProof/>
        </w:rPr>
        <w:t>i</w:t>
      </w:r>
      <w:r w:rsidR="00950562" w:rsidRPr="00CE2185">
        <w:rPr>
          <w:noProof/>
        </w:rPr>
        <w:t xml:space="preserve">ons A and B </w:t>
      </w:r>
      <w:r w:rsidR="00797078" w:rsidRPr="00CE2185">
        <w:rPr>
          <w:noProof/>
        </w:rPr>
        <w:t>could have</w:t>
      </w:r>
      <w:r w:rsidR="00142AC5" w:rsidRPr="00CE2185">
        <w:rPr>
          <w:noProof/>
        </w:rPr>
        <w:t xml:space="preserve"> </w:t>
      </w:r>
      <w:r w:rsidRPr="00CE2185">
        <w:rPr>
          <w:noProof/>
        </w:rPr>
        <w:t>some</w:t>
      </w:r>
      <w:r w:rsidR="00142AC5" w:rsidRPr="00CE2185">
        <w:rPr>
          <w:noProof/>
        </w:rPr>
        <w:t xml:space="preserve"> </w:t>
      </w:r>
      <w:r w:rsidR="009B2C4F" w:rsidRPr="00CE2185">
        <w:rPr>
          <w:noProof/>
        </w:rPr>
        <w:t>positive</w:t>
      </w:r>
      <w:r w:rsidR="00797078" w:rsidRPr="00CE2185">
        <w:rPr>
          <w:noProof/>
        </w:rPr>
        <w:t xml:space="preserve"> impacts </w:t>
      </w:r>
      <w:r w:rsidR="00FA6606" w:rsidRPr="00CE2185">
        <w:rPr>
          <w:noProof/>
        </w:rPr>
        <w:t>(</w:t>
      </w:r>
      <w:r w:rsidR="00A365E8" w:rsidRPr="00CE2185">
        <w:rPr>
          <w:noProof/>
        </w:rPr>
        <w:t>similarly</w:t>
      </w:r>
      <w:r w:rsidR="00FD3C47" w:rsidRPr="00CE2185">
        <w:rPr>
          <w:noProof/>
        </w:rPr>
        <w:t xml:space="preserve"> strong for A2 and A3)</w:t>
      </w:r>
      <w:r w:rsidR="00797078" w:rsidRPr="00CE2185">
        <w:rPr>
          <w:noProof/>
        </w:rPr>
        <w:t xml:space="preserve"> on Europe’s technological </w:t>
      </w:r>
      <w:r w:rsidR="00A365E8" w:rsidRPr="00CE2185">
        <w:rPr>
          <w:noProof/>
        </w:rPr>
        <w:t>sovereignty</w:t>
      </w:r>
      <w:r w:rsidR="009B2C4F" w:rsidRPr="00CE2185">
        <w:rPr>
          <w:noProof/>
        </w:rPr>
        <w:t xml:space="preserve"> by promoting the competi</w:t>
      </w:r>
      <w:r w:rsidR="00FA6606" w:rsidRPr="00CE2185">
        <w:rPr>
          <w:noProof/>
        </w:rPr>
        <w:t>ti</w:t>
      </w:r>
      <w:r w:rsidR="009B2C4F" w:rsidRPr="00CE2185">
        <w:rPr>
          <w:noProof/>
        </w:rPr>
        <w:t>veness of</w:t>
      </w:r>
      <w:r w:rsidR="00797078" w:rsidRPr="00CE2185">
        <w:rPr>
          <w:noProof/>
        </w:rPr>
        <w:t xml:space="preserve"> the </w:t>
      </w:r>
      <w:r w:rsidR="00950562" w:rsidRPr="00CE2185">
        <w:rPr>
          <w:noProof/>
        </w:rPr>
        <w:t xml:space="preserve">European </w:t>
      </w:r>
      <w:r w:rsidR="00797078" w:rsidRPr="00CE2185">
        <w:rPr>
          <w:noProof/>
        </w:rPr>
        <w:t xml:space="preserve">industrial cybersecurity </w:t>
      </w:r>
      <w:r w:rsidR="00A365E8" w:rsidRPr="00CE2185">
        <w:rPr>
          <w:noProof/>
        </w:rPr>
        <w:t>ecosystem</w:t>
      </w:r>
      <w:r w:rsidR="009B2C4F" w:rsidRPr="00CE2185">
        <w:rPr>
          <w:noProof/>
        </w:rPr>
        <w:t>, including through a</w:t>
      </w:r>
      <w:r w:rsidR="00797078" w:rsidRPr="00CE2185">
        <w:rPr>
          <w:noProof/>
        </w:rPr>
        <w:t xml:space="preserve"> </w:t>
      </w:r>
      <w:r w:rsidR="00A365E8" w:rsidRPr="00CE2185">
        <w:rPr>
          <w:noProof/>
        </w:rPr>
        <w:t>greater</w:t>
      </w:r>
      <w:r w:rsidR="00D83D4A" w:rsidRPr="00CE2185">
        <w:rPr>
          <w:noProof/>
        </w:rPr>
        <w:t xml:space="preserve"> involvement on </w:t>
      </w:r>
      <w:r w:rsidR="00797078" w:rsidRPr="00CE2185">
        <w:rPr>
          <w:noProof/>
        </w:rPr>
        <w:t>standardisation</w:t>
      </w:r>
      <w:r w:rsidR="00D83D4A" w:rsidRPr="00CE2185">
        <w:rPr>
          <w:noProof/>
        </w:rPr>
        <w:t xml:space="preserve"> (</w:t>
      </w:r>
      <w:r w:rsidR="00591448" w:rsidRPr="00CE2185">
        <w:rPr>
          <w:i/>
          <w:iCs/>
          <w:noProof/>
        </w:rPr>
        <w:t>S</w:t>
      </w:r>
      <w:r w:rsidR="00D83D4A" w:rsidRPr="00CE2185">
        <w:rPr>
          <w:i/>
          <w:iCs/>
          <w:noProof/>
        </w:rPr>
        <w:t>ection 6.1</w:t>
      </w:r>
      <w:r w:rsidR="005A7F91" w:rsidRPr="00CE2185">
        <w:rPr>
          <w:i/>
          <w:iCs/>
          <w:noProof/>
        </w:rPr>
        <w:t>.</w:t>
      </w:r>
      <w:r w:rsidR="008017EC" w:rsidRPr="00CE2185">
        <w:rPr>
          <w:i/>
          <w:iCs/>
          <w:noProof/>
        </w:rPr>
        <w:t>4</w:t>
      </w:r>
      <w:r w:rsidR="008017EC" w:rsidRPr="00CE2185">
        <w:rPr>
          <w:noProof/>
        </w:rPr>
        <w:t>)</w:t>
      </w:r>
      <w:r w:rsidR="000746F5" w:rsidRPr="00CE2185">
        <w:rPr>
          <w:noProof/>
        </w:rPr>
        <w:t>.</w:t>
      </w:r>
      <w:r w:rsidR="00797078" w:rsidRPr="00CE2185">
        <w:rPr>
          <w:noProof/>
        </w:rPr>
        <w:t xml:space="preserve"> </w:t>
      </w:r>
      <w:r w:rsidR="00FD3C47" w:rsidRPr="00CE2185">
        <w:rPr>
          <w:noProof/>
        </w:rPr>
        <w:t xml:space="preserve"> </w:t>
      </w:r>
      <w:r w:rsidRPr="00CE2185">
        <w:rPr>
          <w:noProof/>
        </w:rPr>
        <w:t>O</w:t>
      </w:r>
      <w:r w:rsidR="00FD3C47" w:rsidRPr="00CE2185">
        <w:rPr>
          <w:noProof/>
        </w:rPr>
        <w:t>ptions B</w:t>
      </w:r>
      <w:r w:rsidR="0077091A" w:rsidRPr="00CE2185">
        <w:rPr>
          <w:noProof/>
        </w:rPr>
        <w:t xml:space="preserve">, </w:t>
      </w:r>
      <w:r w:rsidRPr="00CE2185">
        <w:rPr>
          <w:noProof/>
        </w:rPr>
        <w:t>by strengthening the ECCF</w:t>
      </w:r>
      <w:r w:rsidR="0077091A" w:rsidRPr="00CE2185">
        <w:rPr>
          <w:noProof/>
        </w:rPr>
        <w:t>,</w:t>
      </w:r>
      <w:r w:rsidRPr="00CE2185">
        <w:rPr>
          <w:noProof/>
        </w:rPr>
        <w:t xml:space="preserve"> will </w:t>
      </w:r>
      <w:r w:rsidR="002D5CCA" w:rsidRPr="00CE2185">
        <w:rPr>
          <w:noProof/>
        </w:rPr>
        <w:t>enable</w:t>
      </w:r>
      <w:r w:rsidRPr="00CE2185">
        <w:rPr>
          <w:noProof/>
        </w:rPr>
        <w:t xml:space="preserve"> to identify vendors that can be trusted and </w:t>
      </w:r>
      <w:r w:rsidR="00021161" w:rsidRPr="00CE2185">
        <w:rPr>
          <w:noProof/>
        </w:rPr>
        <w:t>strengthen</w:t>
      </w:r>
      <w:r w:rsidRPr="00CE2185">
        <w:rPr>
          <w:noProof/>
        </w:rPr>
        <w:t xml:space="preserve"> the </w:t>
      </w:r>
      <w:r w:rsidR="00021161" w:rsidRPr="00CE2185">
        <w:rPr>
          <w:noProof/>
        </w:rPr>
        <w:t xml:space="preserve">reputation of </w:t>
      </w:r>
      <w:r w:rsidRPr="00CE2185">
        <w:rPr>
          <w:noProof/>
        </w:rPr>
        <w:t xml:space="preserve">European </w:t>
      </w:r>
      <w:r w:rsidR="00021161" w:rsidRPr="00CE2185">
        <w:rPr>
          <w:noProof/>
        </w:rPr>
        <w:t>players</w:t>
      </w:r>
      <w:r w:rsidR="00950562" w:rsidRPr="00CE2185">
        <w:rPr>
          <w:noProof/>
        </w:rPr>
        <w:t xml:space="preserve">. </w:t>
      </w:r>
    </w:p>
    <w:p w14:paraId="56C9C459" w14:textId="37C1D0BD" w:rsidR="00566C7E" w:rsidRPr="00CE2185" w:rsidRDefault="00566C7E" w:rsidP="00795DF0">
      <w:pPr>
        <w:spacing w:after="120"/>
        <w:rPr>
          <w:noProof/>
        </w:rPr>
      </w:pPr>
      <w:r w:rsidRPr="00CE2185">
        <w:rPr>
          <w:noProof/>
        </w:rPr>
        <w:t xml:space="preserve">Measures to adjust the scope of the NIS2 Directive outlined in </w:t>
      </w:r>
      <w:r w:rsidRPr="00CE2185">
        <w:rPr>
          <w:b/>
          <w:bCs/>
          <w:noProof/>
        </w:rPr>
        <w:t xml:space="preserve">option C.2 </w:t>
      </w:r>
      <w:r w:rsidR="008D7869" w:rsidRPr="00CE2185">
        <w:rPr>
          <w:noProof/>
        </w:rPr>
        <w:t xml:space="preserve">and </w:t>
      </w:r>
      <w:r w:rsidR="008D7869" w:rsidRPr="00CE2185">
        <w:rPr>
          <w:b/>
          <w:bCs/>
          <w:noProof/>
        </w:rPr>
        <w:t>C.3</w:t>
      </w:r>
      <w:r w:rsidR="008D7869" w:rsidRPr="00CE2185">
        <w:rPr>
          <w:noProof/>
        </w:rPr>
        <w:t xml:space="preserve"> </w:t>
      </w:r>
      <w:r w:rsidR="00E04AB8" w:rsidRPr="00CE2185">
        <w:rPr>
          <w:noProof/>
        </w:rPr>
        <w:t>are estimated to have an overall neutral</w:t>
      </w:r>
      <w:r w:rsidR="008D7869" w:rsidRPr="00CE2185">
        <w:rPr>
          <w:noProof/>
        </w:rPr>
        <w:t xml:space="preserve"> effect on the</w:t>
      </w:r>
      <w:r w:rsidR="00E04AB8" w:rsidRPr="00CE2185">
        <w:rPr>
          <w:noProof/>
        </w:rPr>
        <w:t xml:space="preserve"> overall</w:t>
      </w:r>
      <w:r w:rsidR="008D7869" w:rsidRPr="00CE2185">
        <w:rPr>
          <w:noProof/>
        </w:rPr>
        <w:t xml:space="preserve"> level of cyber resilience of </w:t>
      </w:r>
      <w:r w:rsidR="00E04AB8" w:rsidRPr="00CE2185">
        <w:rPr>
          <w:noProof/>
        </w:rPr>
        <w:t>critical sectors</w:t>
      </w:r>
      <w:r w:rsidR="008D7869" w:rsidRPr="00CE2185">
        <w:rPr>
          <w:noProof/>
        </w:rPr>
        <w:t xml:space="preserve"> in the EU. </w:t>
      </w:r>
      <w:r w:rsidR="00A41031" w:rsidRPr="00CE2185">
        <w:rPr>
          <w:noProof/>
        </w:rPr>
        <w:t>E</w:t>
      </w:r>
      <w:r w:rsidR="00E04AB8" w:rsidRPr="00CE2185">
        <w:rPr>
          <w:noProof/>
        </w:rPr>
        <w:t xml:space="preserve">ntities </w:t>
      </w:r>
      <w:r w:rsidR="00A41031" w:rsidRPr="00CE2185">
        <w:rPr>
          <w:noProof/>
        </w:rPr>
        <w:t xml:space="preserve">removed from the scope of the Directive may lower their level of cybersecurity risk-management measures: nonetheless, </w:t>
      </w:r>
      <w:r w:rsidR="007E1C00" w:rsidRPr="00CE2185">
        <w:rPr>
          <w:noProof/>
        </w:rPr>
        <w:t xml:space="preserve">those entities are assessed as not being </w:t>
      </w:r>
      <w:r w:rsidR="00263AA5" w:rsidRPr="00CE2185">
        <w:rPr>
          <w:noProof/>
        </w:rPr>
        <w:t>high priority for the overall resilience of infrastructure. On the other hand,</w:t>
      </w:r>
      <w:r w:rsidR="00DB52DD" w:rsidRPr="00CE2185">
        <w:rPr>
          <w:noProof/>
        </w:rPr>
        <w:t xml:space="preserve"> targeted</w:t>
      </w:r>
      <w:r w:rsidR="00263AA5" w:rsidRPr="00CE2185">
        <w:rPr>
          <w:noProof/>
        </w:rPr>
        <w:t xml:space="preserve"> </w:t>
      </w:r>
      <w:r w:rsidR="00EB5E9B" w:rsidRPr="00CE2185">
        <w:rPr>
          <w:noProof/>
        </w:rPr>
        <w:t xml:space="preserve">addition of entities in sectors of high societal importance to the scope of the Directive will </w:t>
      </w:r>
      <w:r w:rsidR="00DB52DD" w:rsidRPr="00CE2185">
        <w:rPr>
          <w:noProof/>
        </w:rPr>
        <w:t>add to the level of resilience.</w:t>
      </w:r>
    </w:p>
    <w:p w14:paraId="58B740B8" w14:textId="3AAAA80C" w:rsidR="00724007" w:rsidRPr="00CE2185" w:rsidRDefault="000D0808" w:rsidP="00795DF0">
      <w:pPr>
        <w:spacing w:after="120"/>
        <w:rPr>
          <w:noProof/>
        </w:rPr>
      </w:pPr>
      <w:r w:rsidRPr="00CE2185">
        <w:rPr>
          <w:noProof/>
        </w:rPr>
        <w:t xml:space="preserve">The impact of ICT supply chain measures on Europe’s strategic autonomy would depend on their binding and harmonised nature. The impact of </w:t>
      </w:r>
      <w:r w:rsidRPr="00CE2185">
        <w:rPr>
          <w:b/>
          <w:bCs/>
          <w:noProof/>
        </w:rPr>
        <w:t>option D.1</w:t>
      </w:r>
      <w:r w:rsidRPr="00CE2185">
        <w:rPr>
          <w:noProof/>
        </w:rPr>
        <w:t xml:space="preserve"> on digital sovereignty and strategic autonomy would rather be limited as per its non-binding nature, and it would depend on how Member States implement them at national level.</w:t>
      </w:r>
      <w:r w:rsidRPr="00CE2185">
        <w:rPr>
          <w:b/>
          <w:bCs/>
          <w:noProof/>
        </w:rPr>
        <w:t xml:space="preserve"> Option D.2</w:t>
      </w:r>
      <w:r w:rsidRPr="00CE2185">
        <w:rPr>
          <w:noProof/>
        </w:rPr>
        <w:t xml:space="preserve"> would have a positive and strong impact on the security and resilience of 5G networks as they would only be based on trusted suppliers following the end of the transition period. By extending this approach to other ICT supply chains, </w:t>
      </w:r>
      <w:r w:rsidRPr="00CE2185">
        <w:rPr>
          <w:b/>
          <w:bCs/>
          <w:noProof/>
        </w:rPr>
        <w:t>option D.3</w:t>
      </w:r>
      <w:r w:rsidRPr="00CE2185">
        <w:rPr>
          <w:noProof/>
        </w:rPr>
        <w:t xml:space="preserve"> would most effectively decrease the dependency on high-risk suppliers or entities originating from or controlled by countries posing cybersecurity concerns at Union level and hence enhance the security of supply</w:t>
      </w:r>
      <w:r>
        <w:rPr>
          <w:noProof/>
        </w:rPr>
        <w:t>.</w:t>
      </w:r>
    </w:p>
    <w:p w14:paraId="03F35B5F" w14:textId="77777777" w:rsidR="0077091A" w:rsidRPr="00CE2185" w:rsidRDefault="0077091A" w:rsidP="00795DF0">
      <w:pPr>
        <w:spacing w:after="120"/>
        <w:rPr>
          <w:noProof/>
        </w:rPr>
      </w:pPr>
    </w:p>
    <w:p w14:paraId="635606D9" w14:textId="39EDE564" w:rsidR="00F57D9D" w:rsidRPr="00CE2185" w:rsidRDefault="00DD71EE" w:rsidP="005D08B2">
      <w:pPr>
        <w:pStyle w:val="Heading2"/>
        <w:rPr>
          <w:b w:val="0"/>
          <w:noProof/>
        </w:rPr>
      </w:pPr>
      <w:bookmarkStart w:id="126" w:name="_Toc210393834"/>
      <w:bookmarkStart w:id="127" w:name="_Toc219447376"/>
      <w:r w:rsidRPr="00CE2185">
        <w:rPr>
          <w:noProof/>
        </w:rPr>
        <w:t>Social impacts</w:t>
      </w:r>
      <w:r w:rsidR="00796172" w:rsidRPr="00CE2185">
        <w:rPr>
          <w:noProof/>
        </w:rPr>
        <w:t>, including</w:t>
      </w:r>
      <w:r w:rsidR="00A01F01" w:rsidRPr="00CE2185">
        <w:rPr>
          <w:noProof/>
        </w:rPr>
        <w:t xml:space="preserve"> </w:t>
      </w:r>
      <w:r w:rsidR="00796172" w:rsidRPr="00CE2185">
        <w:rPr>
          <w:noProof/>
        </w:rPr>
        <w:t>fundamental rights</w:t>
      </w:r>
      <w:bookmarkEnd w:id="126"/>
      <w:bookmarkEnd w:id="127"/>
    </w:p>
    <w:p w14:paraId="1B9CF571" w14:textId="0929118A" w:rsidR="00B23A0C" w:rsidRPr="00CE2185" w:rsidRDefault="00EA029D" w:rsidP="00795DF0">
      <w:pPr>
        <w:spacing w:after="120"/>
        <w:rPr>
          <w:noProof/>
        </w:rPr>
      </w:pPr>
      <w:r w:rsidRPr="00CE2185">
        <w:rPr>
          <w:noProof/>
        </w:rPr>
        <w:t xml:space="preserve">The </w:t>
      </w:r>
      <w:r w:rsidR="00F57D9D" w:rsidRPr="00CE2185">
        <w:rPr>
          <w:noProof/>
        </w:rPr>
        <w:t>policy option</w:t>
      </w:r>
      <w:r w:rsidRPr="00CE2185">
        <w:rPr>
          <w:noProof/>
        </w:rPr>
        <w:t>s</w:t>
      </w:r>
      <w:r w:rsidR="00F57D9D" w:rsidRPr="00CE2185">
        <w:rPr>
          <w:noProof/>
        </w:rPr>
        <w:t xml:space="preserve"> w</w:t>
      </w:r>
      <w:r w:rsidRPr="00CE2185">
        <w:rPr>
          <w:noProof/>
        </w:rPr>
        <w:t>ere</w:t>
      </w:r>
      <w:r w:rsidR="00F57D9D" w:rsidRPr="00CE2185">
        <w:rPr>
          <w:noProof/>
        </w:rPr>
        <w:t xml:space="preserve"> assessed based on </w:t>
      </w:r>
      <w:r w:rsidRPr="00CE2185">
        <w:rPr>
          <w:noProof/>
        </w:rPr>
        <w:t xml:space="preserve">their </w:t>
      </w:r>
      <w:r w:rsidR="00F57D9D" w:rsidRPr="00CE2185">
        <w:rPr>
          <w:noProof/>
        </w:rPr>
        <w:t>potential to enhance or risk fundamental rights and promote equality</w:t>
      </w:r>
      <w:r w:rsidR="0011058B" w:rsidRPr="00CE2185">
        <w:rPr>
          <w:noProof/>
        </w:rPr>
        <w:t xml:space="preserve"> and trust</w:t>
      </w:r>
      <w:r w:rsidR="00F57D9D" w:rsidRPr="00CE2185">
        <w:rPr>
          <w:noProof/>
        </w:rPr>
        <w:t xml:space="preserve">, with a particular focus on </w:t>
      </w:r>
      <w:r w:rsidR="00661F35" w:rsidRPr="00CE2185">
        <w:rPr>
          <w:noProof/>
        </w:rPr>
        <w:t xml:space="preserve">societal impacts and rights, including </w:t>
      </w:r>
      <w:r w:rsidR="00F57D9D" w:rsidRPr="00CE2185">
        <w:rPr>
          <w:noProof/>
        </w:rPr>
        <w:t>privacy, data protection and the ability of individuals to understand, exercise and enforce their rights.</w:t>
      </w:r>
      <w:r w:rsidR="002505C3" w:rsidRPr="00CE2185">
        <w:rPr>
          <w:noProof/>
        </w:rPr>
        <w:t xml:space="preserve"> </w:t>
      </w:r>
      <w:r w:rsidR="00BE0789" w:rsidRPr="00CE2185">
        <w:rPr>
          <w:noProof/>
        </w:rPr>
        <w:t xml:space="preserve">Furthermore, </w:t>
      </w:r>
      <w:r w:rsidR="00B42431" w:rsidRPr="00CE2185">
        <w:rPr>
          <w:noProof/>
        </w:rPr>
        <w:t>the</w:t>
      </w:r>
      <w:r w:rsidR="002505C3" w:rsidRPr="00CE2185">
        <w:rPr>
          <w:noProof/>
        </w:rPr>
        <w:t xml:space="preserve"> policy option</w:t>
      </w:r>
      <w:r w:rsidR="00B42431" w:rsidRPr="00CE2185">
        <w:rPr>
          <w:noProof/>
        </w:rPr>
        <w:t>s</w:t>
      </w:r>
      <w:r w:rsidR="002505C3" w:rsidRPr="00CE2185">
        <w:rPr>
          <w:noProof/>
        </w:rPr>
        <w:t xml:space="preserve"> w</w:t>
      </w:r>
      <w:r w:rsidR="00B42431" w:rsidRPr="00CE2185">
        <w:rPr>
          <w:noProof/>
        </w:rPr>
        <w:t>ere</w:t>
      </w:r>
      <w:r w:rsidR="002505C3" w:rsidRPr="00CE2185">
        <w:rPr>
          <w:noProof/>
        </w:rPr>
        <w:t xml:space="preserve"> assessed against the </w:t>
      </w:r>
      <w:r w:rsidR="002505C3" w:rsidRPr="00CE2185">
        <w:rPr>
          <w:i/>
          <w:noProof/>
        </w:rPr>
        <w:t>“digital by default”</w:t>
      </w:r>
      <w:r w:rsidR="002505C3" w:rsidRPr="00CE2185">
        <w:rPr>
          <w:noProof/>
        </w:rPr>
        <w:t xml:space="preserve"> principle which facilitates the transition to seamless, digital-first service delivery.</w:t>
      </w:r>
      <w:r w:rsidR="00BF02B0" w:rsidRPr="00CE2185">
        <w:rPr>
          <w:noProof/>
        </w:rPr>
        <w:t xml:space="preserve"> </w:t>
      </w:r>
    </w:p>
    <w:p w14:paraId="75DA35A3" w14:textId="4FD8132A" w:rsidR="00FE3F7B" w:rsidRPr="00CE2185" w:rsidRDefault="00FE3F7B" w:rsidP="00795DF0">
      <w:pPr>
        <w:spacing w:after="120"/>
        <w:rPr>
          <w:noProof/>
        </w:rPr>
      </w:pPr>
      <w:r w:rsidRPr="00CE2185">
        <w:rPr>
          <w:noProof/>
        </w:rPr>
        <w:t>An enhanced ENISA mandate will contribute to more cyber resilienc</w:t>
      </w:r>
      <w:r w:rsidR="00EA0DAA" w:rsidRPr="00CE2185">
        <w:rPr>
          <w:noProof/>
        </w:rPr>
        <w:t>e</w:t>
      </w:r>
      <w:r w:rsidR="002C0484" w:rsidRPr="00CE2185">
        <w:rPr>
          <w:noProof/>
        </w:rPr>
        <w:t xml:space="preserve"> of the economy and society in general and</w:t>
      </w:r>
      <w:r w:rsidRPr="00CE2185">
        <w:rPr>
          <w:noProof/>
        </w:rPr>
        <w:t xml:space="preserve"> hence a better protection of the citizen’s privacy and personal data</w:t>
      </w:r>
      <w:r w:rsidR="00BF02B0" w:rsidRPr="00CE2185">
        <w:rPr>
          <w:noProof/>
        </w:rPr>
        <w:t xml:space="preserve"> (strongest in A</w:t>
      </w:r>
      <w:r w:rsidR="003C4AE2" w:rsidRPr="00CE2185">
        <w:rPr>
          <w:noProof/>
        </w:rPr>
        <w:t>.</w:t>
      </w:r>
      <w:r w:rsidR="00BF02B0" w:rsidRPr="00CE2185">
        <w:rPr>
          <w:noProof/>
        </w:rPr>
        <w:t>3 followed by A</w:t>
      </w:r>
      <w:r w:rsidR="003C4AE2" w:rsidRPr="00CE2185">
        <w:rPr>
          <w:noProof/>
        </w:rPr>
        <w:t>.</w:t>
      </w:r>
      <w:r w:rsidR="00BF02B0" w:rsidRPr="00CE2185">
        <w:rPr>
          <w:noProof/>
        </w:rPr>
        <w:t>2 and A</w:t>
      </w:r>
      <w:r w:rsidR="003C4AE2" w:rsidRPr="00CE2185">
        <w:rPr>
          <w:noProof/>
        </w:rPr>
        <w:t>.</w:t>
      </w:r>
      <w:r w:rsidR="00BF02B0" w:rsidRPr="00CE2185">
        <w:rPr>
          <w:noProof/>
        </w:rPr>
        <w:t>1)</w:t>
      </w:r>
      <w:r w:rsidRPr="00CE2185">
        <w:rPr>
          <w:noProof/>
        </w:rPr>
        <w:t xml:space="preserve">. </w:t>
      </w:r>
      <w:r w:rsidR="00BF02B0" w:rsidRPr="00CE2185">
        <w:rPr>
          <w:noProof/>
        </w:rPr>
        <w:t>Furthermore, A</w:t>
      </w:r>
      <w:r w:rsidR="009E7C2C" w:rsidRPr="00CE2185">
        <w:rPr>
          <w:noProof/>
        </w:rPr>
        <w:t>.</w:t>
      </w:r>
      <w:r w:rsidR="00BF02B0" w:rsidRPr="00CE2185">
        <w:rPr>
          <w:noProof/>
        </w:rPr>
        <w:t>2 and A</w:t>
      </w:r>
      <w:r w:rsidR="009E7C2C" w:rsidRPr="00CE2185">
        <w:rPr>
          <w:noProof/>
        </w:rPr>
        <w:t>.</w:t>
      </w:r>
      <w:r w:rsidR="00BF02B0" w:rsidRPr="00CE2185">
        <w:rPr>
          <w:noProof/>
        </w:rPr>
        <w:t xml:space="preserve">3 </w:t>
      </w:r>
      <w:r w:rsidR="00BF02B0" w:rsidRPr="00CE2185">
        <w:rPr>
          <w:rFonts w:eastAsia="Times New Roman"/>
          <w:noProof/>
          <w:color w:val="000000" w:themeColor="text1"/>
        </w:rPr>
        <w:t>would also positively contribute to education and training in cybersecurity as it will clarify ENISA’s role in the development of skills for the cybersecurity workforce</w:t>
      </w:r>
      <w:r w:rsidRPr="00CE2185">
        <w:rPr>
          <w:rFonts w:eastAsia="Times New Roman"/>
          <w:noProof/>
          <w:color w:val="000000" w:themeColor="text1"/>
        </w:rPr>
        <w:t xml:space="preserve">. </w:t>
      </w:r>
    </w:p>
    <w:p w14:paraId="54F634FE" w14:textId="7E527E1C" w:rsidR="00243E2D" w:rsidRPr="00CE2185" w:rsidRDefault="00BF02B0" w:rsidP="00795DF0">
      <w:pPr>
        <w:spacing w:after="120"/>
        <w:rPr>
          <w:noProof/>
        </w:rPr>
      </w:pPr>
      <w:r w:rsidRPr="00CE2185">
        <w:rPr>
          <w:noProof/>
        </w:rPr>
        <w:t>Furthermore, the ECCF</w:t>
      </w:r>
      <w:r w:rsidR="00F57D9D" w:rsidRPr="00CE2185">
        <w:rPr>
          <w:noProof/>
        </w:rPr>
        <w:t xml:space="preserve"> would improve trust</w:t>
      </w:r>
      <w:r w:rsidR="00027A9A" w:rsidRPr="00CE2185">
        <w:rPr>
          <w:noProof/>
        </w:rPr>
        <w:t xml:space="preserve"> of EU citizens and business</w:t>
      </w:r>
      <w:r w:rsidR="00F57D9D" w:rsidRPr="00CE2185">
        <w:rPr>
          <w:noProof/>
        </w:rPr>
        <w:t xml:space="preserve"> in certified </w:t>
      </w:r>
      <w:r w:rsidRPr="00CE2185">
        <w:rPr>
          <w:noProof/>
        </w:rPr>
        <w:t xml:space="preserve">ICT </w:t>
      </w:r>
      <w:r w:rsidR="00BD1D07" w:rsidRPr="00CE2185">
        <w:rPr>
          <w:noProof/>
        </w:rPr>
        <w:t>solutions</w:t>
      </w:r>
      <w:r w:rsidRPr="00CE2185">
        <w:rPr>
          <w:noProof/>
        </w:rPr>
        <w:t xml:space="preserve"> </w:t>
      </w:r>
      <w:r w:rsidR="002758C1" w:rsidRPr="00CE2185">
        <w:rPr>
          <w:noProof/>
        </w:rPr>
        <w:t xml:space="preserve">that support their everyday life. </w:t>
      </w:r>
      <w:r w:rsidR="00F90533">
        <w:rPr>
          <w:noProof/>
        </w:rPr>
        <w:t>[…]</w:t>
      </w:r>
      <w:r w:rsidR="00752D65" w:rsidRPr="00CE2185" w:rsidDel="002758C1">
        <w:rPr>
          <w:noProof/>
        </w:rPr>
        <w:t xml:space="preserve"> </w:t>
      </w:r>
      <w:r w:rsidR="00D61305" w:rsidRPr="00CE2185">
        <w:rPr>
          <w:noProof/>
        </w:rPr>
        <w:t>Under B3, mandatory certification of essential entities could further contribute to</w:t>
      </w:r>
      <w:r w:rsidR="00E313B3" w:rsidRPr="00CE2185">
        <w:rPr>
          <w:noProof/>
        </w:rPr>
        <w:t xml:space="preserve"> the</w:t>
      </w:r>
      <w:r w:rsidR="00D61305" w:rsidRPr="00CE2185">
        <w:rPr>
          <w:noProof/>
        </w:rPr>
        <w:t xml:space="preserve"> </w:t>
      </w:r>
      <w:r w:rsidR="009141C4" w:rsidRPr="00CE2185">
        <w:rPr>
          <w:noProof/>
        </w:rPr>
        <w:t>protection of citizens</w:t>
      </w:r>
      <w:r w:rsidR="00E313B3" w:rsidRPr="00CE2185">
        <w:rPr>
          <w:noProof/>
        </w:rPr>
        <w:t xml:space="preserve"> </w:t>
      </w:r>
      <w:r w:rsidR="009141C4" w:rsidRPr="00CE2185">
        <w:rPr>
          <w:noProof/>
        </w:rPr>
        <w:t xml:space="preserve">and </w:t>
      </w:r>
      <w:r w:rsidR="00E313B3" w:rsidRPr="00CE2185">
        <w:rPr>
          <w:noProof/>
        </w:rPr>
        <w:t>trust</w:t>
      </w:r>
      <w:r w:rsidR="00FD0D87" w:rsidRPr="00CE2185">
        <w:rPr>
          <w:noProof/>
        </w:rPr>
        <w:t xml:space="preserve"> </w:t>
      </w:r>
      <w:r w:rsidR="00243E2D" w:rsidRPr="00CE2185">
        <w:rPr>
          <w:noProof/>
        </w:rPr>
        <w:t xml:space="preserve">in the protection of sensitive data, such as in the healthcare sector. </w:t>
      </w:r>
    </w:p>
    <w:p w14:paraId="567D6464" w14:textId="6586B8F2" w:rsidR="002E1FFB" w:rsidRDefault="00A63A8B" w:rsidP="00795DF0">
      <w:pPr>
        <w:spacing w:after="120"/>
        <w:rPr>
          <w:noProof/>
        </w:rPr>
      </w:pPr>
      <w:r w:rsidRPr="00CE2185">
        <w:rPr>
          <w:noProof/>
        </w:rPr>
        <w:t>Options</w:t>
      </w:r>
      <w:r w:rsidR="00F57D9D" w:rsidRPr="00CE2185">
        <w:rPr>
          <w:noProof/>
        </w:rPr>
        <w:t xml:space="preserve"> C.1</w:t>
      </w:r>
      <w:r w:rsidRPr="00CE2185">
        <w:rPr>
          <w:noProof/>
        </w:rPr>
        <w:t xml:space="preserve">–C.3 would contribute to citizens’ trust in organisations acting in critical sectors. In particular, </w:t>
      </w:r>
      <w:r w:rsidR="002E1FFB" w:rsidRPr="00CE2185">
        <w:rPr>
          <w:noProof/>
        </w:rPr>
        <w:t>o</w:t>
      </w:r>
      <w:r w:rsidRPr="00CE2185">
        <w:rPr>
          <w:noProof/>
        </w:rPr>
        <w:t>ptions C.2–C.3</w:t>
      </w:r>
      <w:r w:rsidR="002E1FFB" w:rsidRPr="00CE2185">
        <w:rPr>
          <w:noProof/>
        </w:rPr>
        <w:t xml:space="preserve"> (in combination with B2/B3)</w:t>
      </w:r>
      <w:r w:rsidRPr="00CE2185">
        <w:rPr>
          <w:noProof/>
        </w:rPr>
        <w:t xml:space="preserve"> would contribute to citizens’ trust by incentivising entities in these sectors to obtain cybersecurity certification, thereby publicly demonstrating their high level of cybersecurity. Moreover, by ensuring harmonised reporting about ransomware incidents, Options C.2–C.3 would increase public trust in the protection of sensitive data in critical sectors. </w:t>
      </w:r>
      <w:r w:rsidR="00E16B92" w:rsidRPr="00CE2185">
        <w:rPr>
          <w:noProof/>
        </w:rPr>
        <w:t xml:space="preserve">This could however be slightly undermined by the scope changes under C2/3. </w:t>
      </w:r>
    </w:p>
    <w:p w14:paraId="7FD45FA7" w14:textId="77777777" w:rsidR="000D0808" w:rsidRPr="00CE2185" w:rsidRDefault="000D0808" w:rsidP="000D0808">
      <w:pPr>
        <w:spacing w:after="120"/>
        <w:rPr>
          <w:noProof/>
        </w:rPr>
      </w:pPr>
      <w:r w:rsidRPr="00CE2185">
        <w:rPr>
          <w:noProof/>
        </w:rPr>
        <w:t xml:space="preserve">All options D would have some impact on the protection of fundamental rights by limiting the interference of malicious third countries. Activities such as espionage and surveillance heavily undermine citizens’ fundamental rights. Under option D.1, the impact on privacy and citizens’ trust in organisations acting in critical sectors will depend on how Member States implement the recommended measures. Under option D.2 would have a positive, although indirect, impact on the social sphere. The envisaged codification of measures for 5G networks would contribute to the security of data by protecting the confidentiality, integrity and availability of information in 5G equipment enabling EU citizens to trust 5G networks solutions used in the everyday life. It would also prevent unlawful access and exfiltration of data. Option D.3 would have the most impact on fundamental rights. The horizontal framework </w:t>
      </w:r>
      <w:r w:rsidRPr="00CE2185">
        <w:rPr>
          <w:noProof/>
          <w:lang w:val="en-IE"/>
        </w:rPr>
        <w:t>would have the potential to improve the trust, security and privacy in various technologies.</w:t>
      </w:r>
    </w:p>
    <w:p w14:paraId="252F53A3" w14:textId="317B7615" w:rsidR="00034280" w:rsidRPr="00CE2185" w:rsidRDefault="000D0808" w:rsidP="000D0808">
      <w:pPr>
        <w:spacing w:after="120"/>
        <w:rPr>
          <w:noProof/>
        </w:rPr>
      </w:pPr>
      <w:r w:rsidRPr="00CE2185">
        <w:rPr>
          <w:noProof/>
          <w:lang w:val="en-IE"/>
        </w:rPr>
        <w:t>Options D.2 and D.3 could also have a high impact on digitalisation as they would entail the replacement of components from high-risk suppliers or entities originating from or controlled by countries posing cybersecurity  concerns in 5G networks (option D.2) and, subject to further implementation and assessments, also for other ICT supply chains (option D.3). Moreover, options D.2 and D.3 are expected to positively impact customers trust to digital solutions</w:t>
      </w:r>
      <w:r>
        <w:rPr>
          <w:noProof/>
          <w:lang w:val="en-IE"/>
        </w:rPr>
        <w:t>.</w:t>
      </w:r>
    </w:p>
    <w:p w14:paraId="5FEF81FD" w14:textId="49B967A4" w:rsidR="00F57D9D" w:rsidRPr="00CE2185" w:rsidRDefault="00F57D9D" w:rsidP="005D08B2">
      <w:pPr>
        <w:pStyle w:val="Heading2"/>
        <w:rPr>
          <w:b w:val="0"/>
          <w:noProof/>
        </w:rPr>
      </w:pPr>
      <w:bookmarkStart w:id="128" w:name="_Toc210393839"/>
      <w:bookmarkStart w:id="129" w:name="_Toc219447377"/>
      <w:r w:rsidRPr="00CE2185">
        <w:rPr>
          <w:noProof/>
        </w:rPr>
        <w:t>Impacts on the environment</w:t>
      </w:r>
      <w:bookmarkEnd w:id="128"/>
      <w:bookmarkEnd w:id="129"/>
    </w:p>
    <w:p w14:paraId="025AA9AB" w14:textId="5FFA680E" w:rsidR="00F57D9D" w:rsidRPr="00CE2185" w:rsidRDefault="00F57D9D" w:rsidP="00795DF0">
      <w:pPr>
        <w:spacing w:after="120"/>
        <w:rPr>
          <w:noProof/>
        </w:rPr>
      </w:pPr>
      <w:r w:rsidRPr="00CE2185">
        <w:rPr>
          <w:noProof/>
        </w:rPr>
        <w:t xml:space="preserve">Each policy option was assessed in line with the EC’s Green Deal and its commitment to the </w:t>
      </w:r>
      <w:r w:rsidRPr="00CE2185">
        <w:rPr>
          <w:i/>
          <w:iCs/>
          <w:noProof/>
        </w:rPr>
        <w:t>“green oath”</w:t>
      </w:r>
      <w:r w:rsidRPr="00CE2185">
        <w:rPr>
          <w:noProof/>
          <w:vertAlign w:val="superscript"/>
        </w:rPr>
        <w:footnoteReference w:id="180"/>
      </w:r>
      <w:r w:rsidRPr="00CE2185">
        <w:rPr>
          <w:noProof/>
        </w:rPr>
        <w:t>, stating that no legislative proposal should cause harm to the environment.</w:t>
      </w:r>
    </w:p>
    <w:p w14:paraId="13384087" w14:textId="7E4298A4" w:rsidR="00F57D9D" w:rsidRPr="00CE2185" w:rsidRDefault="00F57D9D" w:rsidP="00795DF0">
      <w:pPr>
        <w:spacing w:after="120"/>
        <w:rPr>
          <w:noProof/>
        </w:rPr>
      </w:pPr>
      <w:r w:rsidRPr="00CE2185">
        <w:rPr>
          <w:noProof/>
        </w:rPr>
        <w:t>Regarding option</w:t>
      </w:r>
      <w:r w:rsidR="00D006B4" w:rsidRPr="00CE2185">
        <w:rPr>
          <w:noProof/>
        </w:rPr>
        <w:t>s</w:t>
      </w:r>
      <w:r w:rsidRPr="00CE2185">
        <w:rPr>
          <w:noProof/>
        </w:rPr>
        <w:t xml:space="preserve"> A.1</w:t>
      </w:r>
      <w:r w:rsidR="00D006B4" w:rsidRPr="00CE2185">
        <w:rPr>
          <w:noProof/>
        </w:rPr>
        <w:t xml:space="preserve"> and A.2</w:t>
      </w:r>
      <w:r w:rsidRPr="00CE2185">
        <w:rPr>
          <w:noProof/>
        </w:rPr>
        <w:t xml:space="preserve">, the changes to ENISA’s mandate would have a negligible environmental footprint. However, slightly improved coordination </w:t>
      </w:r>
      <w:r w:rsidR="00D55A28" w:rsidRPr="00CE2185">
        <w:rPr>
          <w:noProof/>
        </w:rPr>
        <w:t xml:space="preserve">and </w:t>
      </w:r>
      <w:r w:rsidR="009D7700" w:rsidRPr="00CE2185">
        <w:rPr>
          <w:noProof/>
        </w:rPr>
        <w:t>inclusion</w:t>
      </w:r>
      <w:r w:rsidR="00D55A28" w:rsidRPr="00CE2185">
        <w:rPr>
          <w:noProof/>
        </w:rPr>
        <w:t xml:space="preserve"> of liais</w:t>
      </w:r>
      <w:r w:rsidR="00DF0537" w:rsidRPr="00CE2185">
        <w:rPr>
          <w:noProof/>
        </w:rPr>
        <w:t xml:space="preserve">on officers </w:t>
      </w:r>
      <w:r w:rsidR="009E699F" w:rsidRPr="00CE2185">
        <w:rPr>
          <w:noProof/>
        </w:rPr>
        <w:t>under</w:t>
      </w:r>
      <w:r w:rsidR="00DF0537" w:rsidRPr="00CE2185">
        <w:rPr>
          <w:noProof/>
        </w:rPr>
        <w:t xml:space="preserve"> Option A.2</w:t>
      </w:r>
      <w:r w:rsidRPr="00CE2185">
        <w:rPr>
          <w:noProof/>
        </w:rPr>
        <w:t xml:space="preserve"> could reduce the frequency of ad hoc meetings and travel, potentially lowering emissions related to in-person coordination activities. </w:t>
      </w:r>
      <w:r w:rsidR="00FA2D6E" w:rsidRPr="00CE2185">
        <w:rPr>
          <w:noProof/>
        </w:rPr>
        <w:t xml:space="preserve">Similarly, </w:t>
      </w:r>
      <w:r w:rsidR="001F5E9E" w:rsidRPr="00CE2185">
        <w:rPr>
          <w:noProof/>
        </w:rPr>
        <w:t>u</w:t>
      </w:r>
      <w:r w:rsidRPr="00CE2185">
        <w:rPr>
          <w:noProof/>
        </w:rPr>
        <w:t xml:space="preserve">nder option A.3 </w:t>
      </w:r>
      <w:r w:rsidR="001F5E9E" w:rsidRPr="00CE2185">
        <w:rPr>
          <w:noProof/>
        </w:rPr>
        <w:t>potential</w:t>
      </w:r>
      <w:r w:rsidRPr="00CE2185">
        <w:rPr>
          <w:noProof/>
        </w:rPr>
        <w:t xml:space="preserve"> environmental benefits could result from further consolidation of operational functions and reduced duplication across Member States</w:t>
      </w:r>
      <w:r w:rsidR="001F5E9E" w:rsidRPr="00CE2185">
        <w:rPr>
          <w:noProof/>
        </w:rPr>
        <w:t>, including with</w:t>
      </w:r>
      <w:r w:rsidRPr="00CE2185">
        <w:rPr>
          <w:noProof/>
        </w:rPr>
        <w:t xml:space="preserve"> the </w:t>
      </w:r>
      <w:r w:rsidR="001F5E9E" w:rsidRPr="00CE2185">
        <w:rPr>
          <w:noProof/>
        </w:rPr>
        <w:t>use of ENISA’s</w:t>
      </w:r>
      <w:r w:rsidRPr="00CE2185">
        <w:rPr>
          <w:noProof/>
        </w:rPr>
        <w:t xml:space="preserve"> operational team. However, the increased operational role for ENISA would likely require greater data handling capacity, resulting in higher energy consumption.</w:t>
      </w:r>
    </w:p>
    <w:p w14:paraId="71A32E4C" w14:textId="6F40FD6B" w:rsidR="00F57D9D" w:rsidRPr="00CE2185" w:rsidRDefault="00D50144" w:rsidP="00795DF0">
      <w:pPr>
        <w:spacing w:after="120"/>
        <w:rPr>
          <w:noProof/>
        </w:rPr>
      </w:pPr>
      <w:r w:rsidRPr="00CE2185">
        <w:rPr>
          <w:rFonts w:eastAsia="Times New Roman"/>
          <w:noProof/>
          <w:szCs w:val="20"/>
        </w:rPr>
        <w:t xml:space="preserve">Options B.1 would have little to no environmental impact. </w:t>
      </w:r>
      <w:r w:rsidR="00F57D9D" w:rsidRPr="00CE2185">
        <w:rPr>
          <w:noProof/>
        </w:rPr>
        <w:t xml:space="preserve">Option B.2 </w:t>
      </w:r>
      <w:r w:rsidRPr="00CE2185">
        <w:rPr>
          <w:noProof/>
        </w:rPr>
        <w:t xml:space="preserve">could have limited positive impact </w:t>
      </w:r>
      <w:r w:rsidR="00F57D9D" w:rsidRPr="00CE2185">
        <w:rPr>
          <w:noProof/>
        </w:rPr>
        <w:t xml:space="preserve">environmental sustainability </w:t>
      </w:r>
      <w:r w:rsidR="00097CFB" w:rsidRPr="00CE2185">
        <w:rPr>
          <w:noProof/>
        </w:rPr>
        <w:t>as it introduces more efficient</w:t>
      </w:r>
      <w:r w:rsidR="00F57D9D" w:rsidRPr="00CE2185">
        <w:rPr>
          <w:noProof/>
        </w:rPr>
        <w:t xml:space="preserve"> certification </w:t>
      </w:r>
      <w:r w:rsidR="001B43D2" w:rsidRPr="00CE2185">
        <w:rPr>
          <w:noProof/>
        </w:rPr>
        <w:t xml:space="preserve">development </w:t>
      </w:r>
      <w:r w:rsidR="00F57D9D" w:rsidRPr="00CE2185">
        <w:rPr>
          <w:noProof/>
        </w:rPr>
        <w:t>process</w:t>
      </w:r>
      <w:r w:rsidR="00097CFB" w:rsidRPr="00CE2185">
        <w:rPr>
          <w:noProof/>
        </w:rPr>
        <w:t xml:space="preserve"> </w:t>
      </w:r>
      <w:r w:rsidR="001B43D2" w:rsidRPr="00CE2185">
        <w:rPr>
          <w:noProof/>
        </w:rPr>
        <w:t xml:space="preserve">aiming to reduce </w:t>
      </w:r>
      <w:r w:rsidR="000D7C3B" w:rsidRPr="00CE2185">
        <w:rPr>
          <w:noProof/>
        </w:rPr>
        <w:t>footprint of maintaining multiple national certification schemes</w:t>
      </w:r>
      <w:r w:rsidR="00F57D9D" w:rsidRPr="00CE2185">
        <w:rPr>
          <w:noProof/>
        </w:rPr>
        <w:t>. Nonetheless, th</w:t>
      </w:r>
      <w:r w:rsidR="003D24A8" w:rsidRPr="00CE2185">
        <w:rPr>
          <w:noProof/>
        </w:rPr>
        <w:t>ese benefits could be offset by</w:t>
      </w:r>
      <w:r w:rsidR="00F57D9D" w:rsidRPr="00CE2185">
        <w:rPr>
          <w:noProof/>
        </w:rPr>
        <w:t xml:space="preserve"> increase in certification uptake lead</w:t>
      </w:r>
      <w:r w:rsidR="003D24A8" w:rsidRPr="00CE2185">
        <w:rPr>
          <w:noProof/>
        </w:rPr>
        <w:t>ing</w:t>
      </w:r>
      <w:r w:rsidR="000D7C3B" w:rsidRPr="00CE2185">
        <w:rPr>
          <w:noProof/>
        </w:rPr>
        <w:t xml:space="preserve"> </w:t>
      </w:r>
      <w:r w:rsidR="00016303" w:rsidRPr="00CE2185">
        <w:rPr>
          <w:noProof/>
        </w:rPr>
        <w:t>to</w:t>
      </w:r>
      <w:r w:rsidR="00F57D9D" w:rsidRPr="00CE2185">
        <w:rPr>
          <w:noProof/>
        </w:rPr>
        <w:t xml:space="preserve"> a rise in data collection </w:t>
      </w:r>
      <w:r w:rsidR="00016303" w:rsidRPr="00CE2185">
        <w:rPr>
          <w:noProof/>
        </w:rPr>
        <w:t>and</w:t>
      </w:r>
      <w:r w:rsidR="00F57D9D" w:rsidRPr="00CE2185">
        <w:rPr>
          <w:noProof/>
        </w:rPr>
        <w:t xml:space="preserve"> energy use.</w:t>
      </w:r>
      <w:r w:rsidR="0043115A" w:rsidRPr="00CE2185">
        <w:rPr>
          <w:noProof/>
        </w:rPr>
        <w:t xml:space="preserve"> </w:t>
      </w:r>
      <w:r w:rsidR="006E5D73" w:rsidRPr="00CE2185">
        <w:rPr>
          <w:noProof/>
        </w:rPr>
        <w:t xml:space="preserve">The success of this balance would depend on the energy profile of the certification platforms and their hosting environments. </w:t>
      </w:r>
      <w:r w:rsidR="00F8038C" w:rsidRPr="00CE2185">
        <w:rPr>
          <w:noProof/>
        </w:rPr>
        <w:t>Selective m</w:t>
      </w:r>
      <w:r w:rsidR="0043115A" w:rsidRPr="00CE2185">
        <w:rPr>
          <w:noProof/>
        </w:rPr>
        <w:t>andatory certification envisaged under o</w:t>
      </w:r>
      <w:r w:rsidR="00F57D9D" w:rsidRPr="00CE2185">
        <w:rPr>
          <w:noProof/>
        </w:rPr>
        <w:t xml:space="preserve">ption B.3 would </w:t>
      </w:r>
      <w:r w:rsidR="00D76E73" w:rsidRPr="00CE2185">
        <w:rPr>
          <w:noProof/>
        </w:rPr>
        <w:t>have similar</w:t>
      </w:r>
      <w:r w:rsidR="00014747" w:rsidRPr="00CE2185">
        <w:rPr>
          <w:noProof/>
        </w:rPr>
        <w:t xml:space="preserve"> effect. </w:t>
      </w:r>
      <w:r w:rsidR="00F57D9D" w:rsidRPr="00CE2185">
        <w:rPr>
          <w:noProof/>
        </w:rPr>
        <w:t xml:space="preserve"> </w:t>
      </w:r>
    </w:p>
    <w:p w14:paraId="7D0DFA3E" w14:textId="4921A25E" w:rsidR="008A58C4" w:rsidRDefault="00F57D9D" w:rsidP="00795DF0">
      <w:pPr>
        <w:spacing w:after="120"/>
        <w:rPr>
          <w:noProof/>
        </w:rPr>
      </w:pPr>
      <w:r w:rsidRPr="00CE2185">
        <w:rPr>
          <w:rFonts w:eastAsia="Times New Roman"/>
          <w:noProof/>
        </w:rPr>
        <w:t xml:space="preserve">Options C.1 </w:t>
      </w:r>
      <w:r w:rsidR="0000689B" w:rsidRPr="00CE2185">
        <w:rPr>
          <w:rFonts w:eastAsia="Times New Roman"/>
          <w:noProof/>
        </w:rPr>
        <w:t>and</w:t>
      </w:r>
      <w:r w:rsidRPr="00CE2185">
        <w:rPr>
          <w:rFonts w:eastAsia="Times New Roman"/>
          <w:noProof/>
        </w:rPr>
        <w:t xml:space="preserve"> C.</w:t>
      </w:r>
      <w:r w:rsidR="00E01E73" w:rsidRPr="00CE2185">
        <w:rPr>
          <w:rFonts w:eastAsia="Times New Roman"/>
          <w:noProof/>
        </w:rPr>
        <w:t>2</w:t>
      </w:r>
      <w:r w:rsidRPr="00CE2185">
        <w:rPr>
          <w:rFonts w:eastAsia="Times New Roman"/>
          <w:noProof/>
        </w:rPr>
        <w:t xml:space="preserve"> would have little to no environmental impact. The introduction of binding templates indirectly </w:t>
      </w:r>
      <w:r w:rsidR="36510C23" w:rsidRPr="00CE2185">
        <w:rPr>
          <w:rFonts w:eastAsia="Times New Roman"/>
          <w:noProof/>
        </w:rPr>
        <w:t>influences</w:t>
      </w:r>
      <w:r w:rsidRPr="00CE2185">
        <w:rPr>
          <w:rFonts w:eastAsia="Times New Roman"/>
          <w:noProof/>
        </w:rPr>
        <w:t xml:space="preserve"> the environmental efficiency of data systems by promoting </w:t>
      </w:r>
      <w:r w:rsidR="00906012" w:rsidRPr="00CE2185">
        <w:rPr>
          <w:rFonts w:eastAsia="Times New Roman"/>
          <w:noProof/>
        </w:rPr>
        <w:t>harmonised</w:t>
      </w:r>
      <w:r w:rsidRPr="00CE2185">
        <w:rPr>
          <w:rFonts w:eastAsia="Times New Roman"/>
          <w:noProof/>
        </w:rPr>
        <w:t xml:space="preserve"> practices. </w:t>
      </w:r>
      <w:r w:rsidRPr="00CE2185">
        <w:rPr>
          <w:noProof/>
        </w:rPr>
        <w:t>Option C.</w:t>
      </w:r>
      <w:r w:rsidR="00E01E73" w:rsidRPr="00CE2185">
        <w:rPr>
          <w:noProof/>
        </w:rPr>
        <w:t>3</w:t>
      </w:r>
      <w:r w:rsidRPr="00CE2185">
        <w:rPr>
          <w:noProof/>
        </w:rPr>
        <w:t xml:space="preserve"> would maximise the environmental benefits by fully harmonising all cybersecurity risk-management and incident reporting obligations under a single framework. </w:t>
      </w:r>
    </w:p>
    <w:p w14:paraId="1570FAAC" w14:textId="77777777" w:rsidR="000D0808" w:rsidRPr="00CE2185" w:rsidRDefault="000D0808" w:rsidP="000D0808">
      <w:pPr>
        <w:spacing w:after="120"/>
        <w:rPr>
          <w:noProof/>
        </w:rPr>
      </w:pPr>
      <w:r w:rsidRPr="00CE2185">
        <w:rPr>
          <w:noProof/>
        </w:rPr>
        <w:t>Option D.1 would have a limited impact on the environment. Options D.2 and D.3 with the replacement of products or equipment provided by high-risk suppliers or entities originating from or controlled by countries posing cybersecurity concerns is expected to have a neutral environmental impact on the environment, as both options will take into account the product lifecycle of such product or equipment and include appropriate transition periods.</w:t>
      </w:r>
    </w:p>
    <w:p w14:paraId="52F826AF" w14:textId="5B2A03C4" w:rsidR="006B087E" w:rsidRPr="00CE2185" w:rsidRDefault="006B087E" w:rsidP="000E3086">
      <w:pPr>
        <w:pStyle w:val="Heading1"/>
        <w:rPr>
          <w:noProof/>
        </w:rPr>
      </w:pPr>
      <w:bookmarkStart w:id="130" w:name="_Toc210393840"/>
      <w:bookmarkStart w:id="131" w:name="_Toc219447378"/>
      <w:r w:rsidRPr="00CE2185">
        <w:rPr>
          <w:noProof/>
        </w:rPr>
        <w:t>How do the options compare?</w:t>
      </w:r>
      <w:bookmarkEnd w:id="130"/>
      <w:bookmarkEnd w:id="131"/>
    </w:p>
    <w:p w14:paraId="29D55311" w14:textId="77777777" w:rsidR="00F57D9D" w:rsidRPr="00CE2185" w:rsidRDefault="00F57D9D" w:rsidP="00795DF0">
      <w:pPr>
        <w:spacing w:after="120" w:line="259" w:lineRule="auto"/>
        <w:rPr>
          <w:noProof/>
        </w:rPr>
      </w:pPr>
      <w:r w:rsidRPr="00CE2185">
        <w:rPr>
          <w:noProof/>
        </w:rPr>
        <w:t>This chapter presents a comparison of the policy options presented in this impact assessment. The comparison builds on the preceding analyses and integrates the assessment of effectiveness, efficiency, coherence, proportionality and uncertainties. It follows the methodology outlined in the Better Regulation Toolbox and aims to identify the most suitable policy package in relation to the general and specific objectives described in Chapter 4. It also reflects on trade-offs, potential synergies, and how the options would perform under different assumptions, including implementation uncertainty.</w:t>
      </w:r>
    </w:p>
    <w:p w14:paraId="053537EC" w14:textId="77777777" w:rsidR="00F57D9D" w:rsidRPr="00CE2185" w:rsidRDefault="00F57D9D" w:rsidP="005D08B2">
      <w:pPr>
        <w:pStyle w:val="Heading2"/>
        <w:rPr>
          <w:b w:val="0"/>
          <w:noProof/>
        </w:rPr>
      </w:pPr>
      <w:bookmarkStart w:id="132" w:name="_Toc210393841"/>
      <w:bookmarkStart w:id="133" w:name="_Toc219447379"/>
      <w:r w:rsidRPr="00CE2185">
        <w:rPr>
          <w:noProof/>
        </w:rPr>
        <w:t>Methodology</w:t>
      </w:r>
      <w:bookmarkEnd w:id="132"/>
      <w:bookmarkEnd w:id="133"/>
    </w:p>
    <w:p w14:paraId="65AF1281" w14:textId="77777777" w:rsidR="00F57D9D" w:rsidRPr="00CE2185" w:rsidRDefault="00F57D9D" w:rsidP="00795DF0">
      <w:pPr>
        <w:spacing w:after="120" w:line="259" w:lineRule="auto"/>
        <w:rPr>
          <w:noProof/>
        </w:rPr>
      </w:pPr>
      <w:r w:rsidRPr="00CE2185">
        <w:rPr>
          <w:noProof/>
        </w:rPr>
        <w:t>The options were compared using a qualitative multi-criteria analysis supported by quantitative cost and benefit data wherever available. The analysis considers five core assessment criteria:</w:t>
      </w:r>
    </w:p>
    <w:p w14:paraId="0865BA6E" w14:textId="6E52D4CC" w:rsidR="00F57D9D" w:rsidRPr="00CE2185" w:rsidRDefault="00F57D9D" w:rsidP="00EE3DF9">
      <w:pPr>
        <w:numPr>
          <w:ilvl w:val="0"/>
          <w:numId w:val="9"/>
        </w:numPr>
        <w:spacing w:after="120" w:line="259" w:lineRule="auto"/>
        <w:ind w:left="425"/>
        <w:rPr>
          <w:noProof/>
        </w:rPr>
      </w:pPr>
      <w:r w:rsidRPr="00CE2185">
        <w:rPr>
          <w:b/>
          <w:bCs/>
          <w:noProof/>
        </w:rPr>
        <w:t>Effectiveness:</w:t>
      </w:r>
      <w:r w:rsidRPr="00CE2185">
        <w:rPr>
          <w:noProof/>
        </w:rPr>
        <w:t xml:space="preserve"> Likelihood and extent to which each option contributes to achieving the specific objectives</w:t>
      </w:r>
      <w:r w:rsidR="001C0765" w:rsidRPr="00CE2185">
        <w:rPr>
          <w:noProof/>
        </w:rPr>
        <w:t>.</w:t>
      </w:r>
    </w:p>
    <w:p w14:paraId="41ADC017" w14:textId="013B7BEA" w:rsidR="00F57D9D" w:rsidRPr="00CE2185" w:rsidRDefault="00F57D9D" w:rsidP="00EE3DF9">
      <w:pPr>
        <w:numPr>
          <w:ilvl w:val="0"/>
          <w:numId w:val="9"/>
        </w:numPr>
        <w:spacing w:after="120" w:line="259" w:lineRule="auto"/>
        <w:ind w:left="425"/>
        <w:rPr>
          <w:noProof/>
        </w:rPr>
      </w:pPr>
      <w:r w:rsidRPr="00CE2185">
        <w:rPr>
          <w:b/>
          <w:bCs/>
          <w:noProof/>
        </w:rPr>
        <w:t>Efficiency:</w:t>
      </w:r>
      <w:r w:rsidRPr="00CE2185">
        <w:rPr>
          <w:noProof/>
        </w:rPr>
        <w:t xml:space="preserve"> Relationship between benefits </w:t>
      </w:r>
      <w:r w:rsidR="00FC5521" w:rsidRPr="00CE2185">
        <w:rPr>
          <w:noProof/>
        </w:rPr>
        <w:t>in terms of cost savings</w:t>
      </w:r>
      <w:r w:rsidRPr="00CE2185">
        <w:rPr>
          <w:noProof/>
        </w:rPr>
        <w:t xml:space="preserve"> and </w:t>
      </w:r>
      <w:r w:rsidR="009C3E27" w:rsidRPr="00CE2185">
        <w:rPr>
          <w:noProof/>
        </w:rPr>
        <w:t>broader positive impacts</w:t>
      </w:r>
      <w:r w:rsidRPr="00CE2185">
        <w:rPr>
          <w:noProof/>
        </w:rPr>
        <w:t xml:space="preserve"> and costs</w:t>
      </w:r>
      <w:r w:rsidR="00FC5521" w:rsidRPr="00CE2185">
        <w:rPr>
          <w:noProof/>
        </w:rPr>
        <w:t xml:space="preserve"> linked to</w:t>
      </w:r>
      <w:r w:rsidRPr="00CE2185">
        <w:rPr>
          <w:noProof/>
        </w:rPr>
        <w:t xml:space="preserve"> implementation </w:t>
      </w:r>
      <w:r w:rsidR="00FC5521" w:rsidRPr="00CE2185">
        <w:rPr>
          <w:noProof/>
        </w:rPr>
        <w:t>of the policy measures</w:t>
      </w:r>
      <w:r w:rsidR="001C0765" w:rsidRPr="00CE2185">
        <w:rPr>
          <w:noProof/>
        </w:rPr>
        <w:t>.</w:t>
      </w:r>
    </w:p>
    <w:p w14:paraId="41AEF9B0" w14:textId="0D10F7E8" w:rsidR="00F57D9D" w:rsidRPr="00CE2185" w:rsidRDefault="00F57D9D" w:rsidP="00EE3DF9">
      <w:pPr>
        <w:numPr>
          <w:ilvl w:val="0"/>
          <w:numId w:val="9"/>
        </w:numPr>
        <w:spacing w:after="120" w:line="259" w:lineRule="auto"/>
        <w:ind w:left="425"/>
        <w:rPr>
          <w:noProof/>
        </w:rPr>
      </w:pPr>
      <w:r w:rsidRPr="00CE2185">
        <w:rPr>
          <w:b/>
          <w:bCs/>
          <w:noProof/>
        </w:rPr>
        <w:t>Coherence:</w:t>
      </w:r>
      <w:r w:rsidRPr="00CE2185">
        <w:rPr>
          <w:noProof/>
        </w:rPr>
        <w:t xml:space="preserve"> Consistency with broader EU policies and legal instruments, including the Charter of Fundamental Rights and the Sustainable Development Goals</w:t>
      </w:r>
      <w:r w:rsidR="001C0765" w:rsidRPr="00CE2185">
        <w:rPr>
          <w:noProof/>
        </w:rPr>
        <w:t>.</w:t>
      </w:r>
    </w:p>
    <w:p w14:paraId="70ADABC7" w14:textId="184C1353" w:rsidR="00F57D9D" w:rsidRPr="00CE2185" w:rsidRDefault="00F57D9D" w:rsidP="00EE3DF9">
      <w:pPr>
        <w:numPr>
          <w:ilvl w:val="0"/>
          <w:numId w:val="9"/>
        </w:numPr>
        <w:spacing w:after="120" w:line="259" w:lineRule="auto"/>
        <w:ind w:left="425"/>
        <w:rPr>
          <w:noProof/>
        </w:rPr>
      </w:pPr>
      <w:r w:rsidRPr="00CE2185">
        <w:rPr>
          <w:b/>
          <w:bCs/>
          <w:noProof/>
        </w:rPr>
        <w:t>Proportionality:</w:t>
      </w:r>
      <w:r w:rsidRPr="00CE2185">
        <w:rPr>
          <w:noProof/>
        </w:rPr>
        <w:t xml:space="preserve"> Appropriateness of the policy response in relation to the magnitude of the problem and stakeholder burden</w:t>
      </w:r>
      <w:r w:rsidR="001C0765" w:rsidRPr="00CE2185">
        <w:rPr>
          <w:noProof/>
        </w:rPr>
        <w:t>.</w:t>
      </w:r>
    </w:p>
    <w:p w14:paraId="51A3DF23" w14:textId="1E939C1C" w:rsidR="00F57D9D" w:rsidRPr="00CE2185" w:rsidRDefault="00F57D9D" w:rsidP="00EE3DF9">
      <w:pPr>
        <w:numPr>
          <w:ilvl w:val="0"/>
          <w:numId w:val="9"/>
        </w:numPr>
        <w:spacing w:after="120" w:line="259" w:lineRule="auto"/>
        <w:ind w:left="425" w:hanging="357"/>
        <w:rPr>
          <w:noProof/>
        </w:rPr>
      </w:pPr>
      <w:r w:rsidRPr="00CE2185">
        <w:rPr>
          <w:b/>
          <w:bCs/>
          <w:noProof/>
        </w:rPr>
        <w:t>Uncertainty:</w:t>
      </w:r>
      <w:r w:rsidRPr="00CE2185">
        <w:rPr>
          <w:noProof/>
        </w:rPr>
        <w:t xml:space="preserve"> Sensitivity to external factors, implementation risk, and reliance on stakeholder engagement or institutional cooperation.</w:t>
      </w:r>
    </w:p>
    <w:p w14:paraId="16B426A5" w14:textId="1EDD977B" w:rsidR="00F57D9D" w:rsidRPr="00CE2185" w:rsidRDefault="00F57D9D" w:rsidP="00795DF0">
      <w:pPr>
        <w:spacing w:after="120"/>
        <w:rPr>
          <w:noProof/>
        </w:rPr>
      </w:pPr>
      <w:r w:rsidRPr="00CE2185">
        <w:rPr>
          <w:noProof/>
        </w:rPr>
        <w:t xml:space="preserve">The comparative analysis considers each criterion in turn, evaluating the relative performance of the full range of policy options considering the available evidence. Where applicable, quantified estimates were used to assess implementation and compliance costs, as well as projected benefits such as administrative savings, improved trust, or reduction in incident-related damages. </w:t>
      </w:r>
      <w:r w:rsidR="29452E80" w:rsidRPr="00CE2185">
        <w:rPr>
          <w:noProof/>
        </w:rPr>
        <w:t>It should be noted that limited availability of reliable market data did not allow for granular and accurate quantitative assessments of cost savings related to the specific policy measures being assessed (</w:t>
      </w:r>
      <w:r w:rsidR="29452E80" w:rsidRPr="00CE2185">
        <w:rPr>
          <w:i/>
          <w:iCs/>
          <w:noProof/>
        </w:rPr>
        <w:t>see for explanation in Annex 7</w:t>
      </w:r>
      <w:r w:rsidR="29452E80" w:rsidRPr="00CE2185">
        <w:rPr>
          <w:noProof/>
        </w:rPr>
        <w:t>). Due to th</w:t>
      </w:r>
      <w:r w:rsidR="7D592A1E" w:rsidRPr="00CE2185">
        <w:rPr>
          <w:noProof/>
        </w:rPr>
        <w:t>is</w:t>
      </w:r>
      <w:r w:rsidR="29452E80" w:rsidRPr="00CE2185">
        <w:rPr>
          <w:noProof/>
        </w:rPr>
        <w:t xml:space="preserve"> lack of available data, it is difficult to quantify the causality between the measures included in the different policy options and related cost savings in terms of probability and impact of cybersecurity incidents. </w:t>
      </w:r>
      <w:r w:rsidR="592155F8" w:rsidRPr="00CE2185">
        <w:rPr>
          <w:noProof/>
        </w:rPr>
        <w:t xml:space="preserve">Those limitations need to be taken into account also in the comparison of the options, in particular relevant for </w:t>
      </w:r>
      <w:r w:rsidR="0AAD38A1" w:rsidRPr="00CE2185">
        <w:rPr>
          <w:noProof/>
        </w:rPr>
        <w:t xml:space="preserve">criterium of efficiency and effectiveness. </w:t>
      </w:r>
      <w:r w:rsidR="29452E80" w:rsidRPr="00CE2185">
        <w:rPr>
          <w:noProof/>
        </w:rPr>
        <w:t xml:space="preserve">All measures contribute to different degrees to the general objective of mitigating risks (and related costs) of cyber incidents occurring (e.g. through faster detection) and safeguard against potential adverse cybersecurity events (e.g. faster response) of unpredictable nature. </w:t>
      </w:r>
      <w:r w:rsidR="3737EC53" w:rsidRPr="00CE2185">
        <w:rPr>
          <w:noProof/>
        </w:rPr>
        <w:t xml:space="preserve">The comparison of the options </w:t>
      </w:r>
      <w:r w:rsidR="565270A9" w:rsidRPr="00CE2185">
        <w:rPr>
          <w:noProof/>
        </w:rPr>
        <w:t xml:space="preserve">draws a distinction and classify the options based on the data and </w:t>
      </w:r>
      <w:r w:rsidR="550AAFDC" w:rsidRPr="00CE2185">
        <w:rPr>
          <w:noProof/>
        </w:rPr>
        <w:t>to what extent</w:t>
      </w:r>
      <w:r w:rsidR="565270A9" w:rsidRPr="00CE2185">
        <w:rPr>
          <w:noProof/>
        </w:rPr>
        <w:t xml:space="preserve"> the options and their combination can</w:t>
      </w:r>
      <w:r w:rsidR="7F2D620C" w:rsidRPr="00CE2185">
        <w:rPr>
          <w:noProof/>
        </w:rPr>
        <w:t xml:space="preserve"> contribute to achieve the specific objectives (for effectiveness)</w:t>
      </w:r>
      <w:r w:rsidR="24AE5EA3" w:rsidRPr="00CE2185">
        <w:rPr>
          <w:noProof/>
        </w:rPr>
        <w:t xml:space="preserve"> or</w:t>
      </w:r>
      <w:r w:rsidR="7F2D620C" w:rsidRPr="00CE2185">
        <w:rPr>
          <w:noProof/>
        </w:rPr>
        <w:t xml:space="preserve"> </w:t>
      </w:r>
      <w:r w:rsidR="5AC92D33" w:rsidRPr="00CE2185">
        <w:rPr>
          <w:noProof/>
        </w:rPr>
        <w:t>wh</w:t>
      </w:r>
      <w:r w:rsidR="386735D7" w:rsidRPr="00CE2185">
        <w:rPr>
          <w:noProof/>
        </w:rPr>
        <w:t>ere is the best ratio of costs/benefits that</w:t>
      </w:r>
      <w:r w:rsidR="7C42247A" w:rsidRPr="00CE2185">
        <w:rPr>
          <w:noProof/>
        </w:rPr>
        <w:t xml:space="preserve"> </w:t>
      </w:r>
      <w:r w:rsidR="386735D7" w:rsidRPr="00CE2185">
        <w:rPr>
          <w:noProof/>
        </w:rPr>
        <w:t xml:space="preserve">can be </w:t>
      </w:r>
      <w:r w:rsidR="315A20EF" w:rsidRPr="00CE2185">
        <w:rPr>
          <w:noProof/>
        </w:rPr>
        <w:t>deduced, taking into account the data limitations (for efficiency)</w:t>
      </w:r>
      <w:r w:rsidR="440B5CA7" w:rsidRPr="00CE2185">
        <w:rPr>
          <w:noProof/>
        </w:rPr>
        <w:t>.</w:t>
      </w:r>
      <w:r w:rsidR="565270A9" w:rsidRPr="00CE2185">
        <w:rPr>
          <w:noProof/>
        </w:rPr>
        <w:t xml:space="preserve"> </w:t>
      </w:r>
      <w:r w:rsidRPr="00CE2185">
        <w:rPr>
          <w:noProof/>
        </w:rPr>
        <w:t>The analys</w:t>
      </w:r>
      <w:r w:rsidR="00114C0C" w:rsidRPr="00CE2185">
        <w:rPr>
          <w:noProof/>
        </w:rPr>
        <w:t>ed</w:t>
      </w:r>
      <w:r w:rsidRPr="00CE2185">
        <w:rPr>
          <w:noProof/>
        </w:rPr>
        <w:t xml:space="preserve"> options offer a balanced trade-off between policy ambition and practical feasibility, with special attention to institutional synergies, legal clarity and stakeholder support. The options are not assessed in isolation, but as part of a</w:t>
      </w:r>
      <w:r w:rsidR="00B733EE" w:rsidRPr="00CE2185">
        <w:rPr>
          <w:noProof/>
        </w:rPr>
        <w:t>n</w:t>
      </w:r>
      <w:r w:rsidRPr="00CE2185">
        <w:rPr>
          <w:noProof/>
        </w:rPr>
        <w:t xml:space="preserve"> intervention framework where interactions between measures can strengthen or weaken overall outcomes.</w:t>
      </w:r>
    </w:p>
    <w:p w14:paraId="3E3C11C5" w14:textId="111DBF30" w:rsidR="00C50C23" w:rsidRPr="00CE2185" w:rsidRDefault="00C50C23" w:rsidP="00795DF0">
      <w:pPr>
        <w:spacing w:after="120"/>
        <w:rPr>
          <w:noProof/>
        </w:rPr>
      </w:pPr>
      <w:r w:rsidRPr="00CE2185">
        <w:rPr>
          <w:noProof/>
        </w:rPr>
        <w:t xml:space="preserve">The overall comparison is summarized in a </w:t>
      </w:r>
      <w:r w:rsidRPr="00CE2185">
        <w:rPr>
          <w:b/>
          <w:bCs/>
          <w:noProof/>
        </w:rPr>
        <w:t>table</w:t>
      </w:r>
      <w:r w:rsidRPr="00CE2185">
        <w:rPr>
          <w:noProof/>
        </w:rPr>
        <w:t xml:space="preserve"> at the end of this section. </w:t>
      </w:r>
    </w:p>
    <w:p w14:paraId="183B551F" w14:textId="77777777" w:rsidR="00F57D9D" w:rsidRPr="00CE2185" w:rsidRDefault="00F57D9D" w:rsidP="005D08B2">
      <w:pPr>
        <w:pStyle w:val="Heading2"/>
        <w:rPr>
          <w:b w:val="0"/>
          <w:noProof/>
        </w:rPr>
      </w:pPr>
      <w:bookmarkStart w:id="134" w:name="_Toc210393842"/>
      <w:bookmarkStart w:id="135" w:name="_Toc219447380"/>
      <w:r w:rsidRPr="00CE2185">
        <w:rPr>
          <w:noProof/>
        </w:rPr>
        <w:t>Effectiveness</w:t>
      </w:r>
      <w:bookmarkEnd w:id="134"/>
      <w:bookmarkEnd w:id="135"/>
    </w:p>
    <w:p w14:paraId="2429CA6F" w14:textId="34858A98" w:rsidR="00F57D9D" w:rsidRPr="00CE2185" w:rsidRDefault="00F57D9D" w:rsidP="00795DF0">
      <w:pPr>
        <w:pStyle w:val="Text2"/>
        <w:spacing w:after="120"/>
        <w:ind w:left="0"/>
        <w:rPr>
          <w:noProof/>
        </w:rPr>
      </w:pPr>
      <w:r w:rsidRPr="00CE2185">
        <w:rPr>
          <w:noProof/>
        </w:rPr>
        <w:t xml:space="preserve">The effectiveness of the policy options is closely linked to their capacity to remove existing bottlenecks, provide legal clarity, and foster cooperation and trust in cybersecurity across the EU. </w:t>
      </w:r>
      <w:r w:rsidR="175183A7" w:rsidRPr="00CE2185">
        <w:rPr>
          <w:noProof/>
        </w:rPr>
        <w:t xml:space="preserve">The assessment of effectiveness of one policy option could be reinforced or limited if is accompanied by </w:t>
      </w:r>
      <w:r w:rsidR="00536F76" w:rsidRPr="00CE2185">
        <w:rPr>
          <w:noProof/>
        </w:rPr>
        <w:t>another</w:t>
      </w:r>
      <w:r w:rsidR="175183A7" w:rsidRPr="00CE2185">
        <w:rPr>
          <w:noProof/>
        </w:rPr>
        <w:t xml:space="preserve"> option</w:t>
      </w:r>
      <w:r w:rsidR="00536F76" w:rsidRPr="00CE2185">
        <w:rPr>
          <w:noProof/>
        </w:rPr>
        <w:t xml:space="preserve"> </w:t>
      </w:r>
      <w:r w:rsidR="00027AB4" w:rsidRPr="00CE2185">
        <w:rPr>
          <w:noProof/>
        </w:rPr>
        <w:t xml:space="preserve">from another intervention area of the CSA revision </w:t>
      </w:r>
      <w:r w:rsidR="00536F76" w:rsidRPr="00CE2185">
        <w:rPr>
          <w:noProof/>
        </w:rPr>
        <w:t xml:space="preserve">which can either further enhance </w:t>
      </w:r>
      <w:r w:rsidR="005D08FF" w:rsidRPr="00CE2185">
        <w:rPr>
          <w:noProof/>
        </w:rPr>
        <w:t xml:space="preserve">it or be </w:t>
      </w:r>
      <w:r w:rsidR="00127784" w:rsidRPr="00CE2185">
        <w:rPr>
          <w:noProof/>
        </w:rPr>
        <w:t xml:space="preserve">less </w:t>
      </w:r>
      <w:r w:rsidR="005D08FF" w:rsidRPr="00CE2185">
        <w:rPr>
          <w:noProof/>
        </w:rPr>
        <w:t>compatible with it</w:t>
      </w:r>
      <w:r w:rsidR="20531A55" w:rsidRPr="00CE2185">
        <w:rPr>
          <w:noProof/>
        </w:rPr>
        <w:t>.</w:t>
      </w:r>
      <w:r w:rsidR="00B2375A" w:rsidRPr="00CE2185">
        <w:rPr>
          <w:noProof/>
        </w:rPr>
        <w:t xml:space="preserve"> </w:t>
      </w:r>
      <w:r w:rsidR="00127784" w:rsidRPr="00CE2185">
        <w:rPr>
          <w:noProof/>
        </w:rPr>
        <w:t>Therefore, c</w:t>
      </w:r>
      <w:r w:rsidR="006F31C1" w:rsidRPr="00CE2185">
        <w:rPr>
          <w:noProof/>
        </w:rPr>
        <w:t>ombination</w:t>
      </w:r>
      <w:r w:rsidR="00127784" w:rsidRPr="00CE2185">
        <w:rPr>
          <w:noProof/>
        </w:rPr>
        <w:t>s</w:t>
      </w:r>
      <w:r w:rsidR="006F31C1" w:rsidRPr="00CE2185">
        <w:rPr>
          <w:noProof/>
        </w:rPr>
        <w:t xml:space="preserve"> of certain options will reinforce effectiveness of the options in question (in</w:t>
      </w:r>
      <w:r w:rsidR="006F31C1" w:rsidRPr="00CE2185">
        <w:rPr>
          <w:noProof/>
          <w:shd w:val="clear" w:color="auto" w:fill="C2D69B" w:themeFill="accent3" w:themeFillTint="99"/>
        </w:rPr>
        <w:t xml:space="preserve"> green</w:t>
      </w:r>
      <w:r w:rsidR="006F31C1" w:rsidRPr="00CE2185">
        <w:rPr>
          <w:noProof/>
        </w:rPr>
        <w:t>) or ensure that options can materialise at all (in</w:t>
      </w:r>
      <w:r w:rsidR="007153C3" w:rsidRPr="00CE2185">
        <w:rPr>
          <w:noProof/>
        </w:rPr>
        <w:t xml:space="preserve"> </w:t>
      </w:r>
      <w:r w:rsidR="006F31C1" w:rsidRPr="00CE2185">
        <w:rPr>
          <w:noProof/>
          <w:color w:val="FFFFFF" w:themeColor="background1"/>
          <w:shd w:val="clear" w:color="auto" w:fill="943634" w:themeFill="accent2" w:themeFillShade="BF"/>
        </w:rPr>
        <w:t>red</w:t>
      </w:r>
      <w:r w:rsidR="006F31C1" w:rsidRPr="00CE2185">
        <w:rPr>
          <w:noProof/>
        </w:rPr>
        <w:t xml:space="preserve">). </w:t>
      </w:r>
      <w:r w:rsidR="00142E87" w:rsidRPr="00CE2185">
        <w:rPr>
          <w:noProof/>
        </w:rPr>
        <w:t xml:space="preserve">Those combinations explained in </w:t>
      </w:r>
      <w:r w:rsidR="00FE74DF" w:rsidRPr="00CE2185">
        <w:rPr>
          <w:noProof/>
        </w:rPr>
        <w:t>section 5.4 can be summarised in the below table.</w:t>
      </w:r>
    </w:p>
    <w:p w14:paraId="4AEFBA15" w14:textId="08928516" w:rsidR="007F5CEE" w:rsidRPr="00CE2185" w:rsidRDefault="007F5CEE" w:rsidP="00B42A7C">
      <w:pPr>
        <w:pStyle w:val="Heading7"/>
        <w:rPr>
          <w:noProof/>
        </w:rPr>
      </w:pPr>
      <w:bookmarkStart w:id="136" w:name="_Toc218767778"/>
      <w:r w:rsidRPr="00CE2185">
        <w:rPr>
          <w:noProof/>
        </w:rPr>
        <w:t>Table 1</w:t>
      </w:r>
      <w:r w:rsidR="002B10B6" w:rsidRPr="00CE2185">
        <w:rPr>
          <w:noProof/>
        </w:rPr>
        <w:t>6</w:t>
      </w:r>
      <w:r w:rsidR="00FA68AE">
        <w:rPr>
          <w:noProof/>
        </w:rPr>
        <w:t xml:space="preserve">: </w:t>
      </w:r>
      <w:r w:rsidRPr="00CE2185">
        <w:rPr>
          <w:noProof/>
        </w:rPr>
        <w:t>Combination of options</w:t>
      </w:r>
      <w:r w:rsidR="006D29DA" w:rsidRPr="00CE2185">
        <w:rPr>
          <w:noProof/>
        </w:rPr>
        <w:t>: effectiveness of options</w:t>
      </w:r>
      <w:bookmarkEnd w:id="136"/>
    </w:p>
    <w:tbl>
      <w:tblPr>
        <w:tblStyle w:val="TableGrid1"/>
        <w:tblW w:w="7143" w:type="dxa"/>
        <w:tblLayout w:type="fixed"/>
        <w:tblLook w:val="04A0" w:firstRow="1" w:lastRow="0" w:firstColumn="1" w:lastColumn="0" w:noHBand="0" w:noVBand="1"/>
      </w:tblPr>
      <w:tblGrid>
        <w:gridCol w:w="714"/>
        <w:gridCol w:w="714"/>
        <w:gridCol w:w="714"/>
        <w:gridCol w:w="715"/>
        <w:gridCol w:w="714"/>
        <w:gridCol w:w="714"/>
        <w:gridCol w:w="785"/>
        <w:gridCol w:w="644"/>
        <w:gridCol w:w="714"/>
        <w:gridCol w:w="715"/>
      </w:tblGrid>
      <w:tr w:rsidR="008A2BB9" w:rsidRPr="00CE2185" w14:paraId="1DEBDC0A" w14:textId="77777777" w:rsidTr="00720684">
        <w:trPr>
          <w:trHeight w:hRule="exact" w:val="284"/>
        </w:trPr>
        <w:tc>
          <w:tcPr>
            <w:tcW w:w="714" w:type="dxa"/>
          </w:tcPr>
          <w:p w14:paraId="583AFA2F"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699CCBF7"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A.1</w:t>
            </w:r>
          </w:p>
        </w:tc>
        <w:tc>
          <w:tcPr>
            <w:tcW w:w="714" w:type="dxa"/>
          </w:tcPr>
          <w:p w14:paraId="3F49BC57"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A.2</w:t>
            </w:r>
          </w:p>
        </w:tc>
        <w:tc>
          <w:tcPr>
            <w:tcW w:w="715" w:type="dxa"/>
          </w:tcPr>
          <w:p w14:paraId="0ACB27E1"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A.3</w:t>
            </w:r>
          </w:p>
        </w:tc>
        <w:tc>
          <w:tcPr>
            <w:tcW w:w="714" w:type="dxa"/>
          </w:tcPr>
          <w:p w14:paraId="2EC5A726"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B.1</w:t>
            </w:r>
          </w:p>
        </w:tc>
        <w:tc>
          <w:tcPr>
            <w:tcW w:w="714" w:type="dxa"/>
          </w:tcPr>
          <w:p w14:paraId="6FAA306C"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B.2</w:t>
            </w:r>
          </w:p>
        </w:tc>
        <w:tc>
          <w:tcPr>
            <w:tcW w:w="785" w:type="dxa"/>
          </w:tcPr>
          <w:p w14:paraId="6F109458"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B.3</w:t>
            </w:r>
          </w:p>
        </w:tc>
        <w:tc>
          <w:tcPr>
            <w:tcW w:w="644" w:type="dxa"/>
          </w:tcPr>
          <w:p w14:paraId="6A17F092"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C.1</w:t>
            </w:r>
          </w:p>
        </w:tc>
        <w:tc>
          <w:tcPr>
            <w:tcW w:w="714" w:type="dxa"/>
          </w:tcPr>
          <w:p w14:paraId="337513F1"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C.2</w:t>
            </w:r>
          </w:p>
        </w:tc>
        <w:tc>
          <w:tcPr>
            <w:tcW w:w="715" w:type="dxa"/>
          </w:tcPr>
          <w:p w14:paraId="2D8AC48A"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C.3</w:t>
            </w:r>
          </w:p>
        </w:tc>
      </w:tr>
      <w:tr w:rsidR="008A2BB9" w:rsidRPr="00CE2185" w14:paraId="7373894C" w14:textId="77777777" w:rsidTr="00720684">
        <w:trPr>
          <w:trHeight w:hRule="exact" w:val="284"/>
        </w:trPr>
        <w:tc>
          <w:tcPr>
            <w:tcW w:w="714" w:type="dxa"/>
          </w:tcPr>
          <w:p w14:paraId="7C651CDB"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A.1</w:t>
            </w:r>
          </w:p>
        </w:tc>
        <w:tc>
          <w:tcPr>
            <w:tcW w:w="714" w:type="dxa"/>
          </w:tcPr>
          <w:p w14:paraId="4E110AB9"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7ED53D23"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55975110"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290DBBA4"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0EE43A7A" w14:textId="77777777" w:rsidR="008A2BB9" w:rsidRPr="00CE2185" w:rsidRDefault="008A2BB9" w:rsidP="008A2BB9">
            <w:pPr>
              <w:spacing w:after="200" w:line="276" w:lineRule="auto"/>
              <w:jc w:val="left"/>
              <w:rPr>
                <w:rFonts w:eastAsia="Times New Roman"/>
                <w:noProof/>
                <w:sz w:val="16"/>
                <w:szCs w:val="16"/>
              </w:rPr>
            </w:pPr>
          </w:p>
        </w:tc>
        <w:tc>
          <w:tcPr>
            <w:tcW w:w="785" w:type="dxa"/>
          </w:tcPr>
          <w:p w14:paraId="64A42120"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0797BB6B"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62FDB5D6"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3A35B4E6" w14:textId="77777777" w:rsidR="008A2BB9" w:rsidRPr="00CE2185" w:rsidRDefault="008A2BB9" w:rsidP="008A2BB9">
            <w:pPr>
              <w:spacing w:after="200" w:line="276" w:lineRule="auto"/>
              <w:jc w:val="left"/>
              <w:rPr>
                <w:rFonts w:eastAsia="Times New Roman"/>
                <w:noProof/>
                <w:sz w:val="16"/>
                <w:szCs w:val="16"/>
              </w:rPr>
            </w:pPr>
          </w:p>
        </w:tc>
      </w:tr>
      <w:tr w:rsidR="00783A6C" w:rsidRPr="00CE2185" w14:paraId="72172CF4" w14:textId="77777777" w:rsidTr="00720684">
        <w:trPr>
          <w:trHeight w:hRule="exact" w:val="284"/>
        </w:trPr>
        <w:tc>
          <w:tcPr>
            <w:tcW w:w="714" w:type="dxa"/>
          </w:tcPr>
          <w:p w14:paraId="32672990"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A.2</w:t>
            </w:r>
          </w:p>
        </w:tc>
        <w:tc>
          <w:tcPr>
            <w:tcW w:w="714" w:type="dxa"/>
          </w:tcPr>
          <w:p w14:paraId="3AB24404"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63E82AF6"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5CC51394"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0F8D0A68"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30D4F200" w14:textId="77777777" w:rsidR="008A2BB9" w:rsidRPr="00CE2185" w:rsidRDefault="008A2BB9" w:rsidP="008A2BB9">
            <w:pPr>
              <w:spacing w:after="200" w:line="276" w:lineRule="auto"/>
              <w:jc w:val="left"/>
              <w:rPr>
                <w:rFonts w:eastAsia="Times New Roman"/>
                <w:noProof/>
                <w:sz w:val="16"/>
                <w:szCs w:val="16"/>
              </w:rPr>
            </w:pPr>
          </w:p>
        </w:tc>
        <w:tc>
          <w:tcPr>
            <w:tcW w:w="785" w:type="dxa"/>
            <w:shd w:val="clear" w:color="auto" w:fill="C2D69B" w:themeFill="accent3" w:themeFillTint="99"/>
          </w:tcPr>
          <w:p w14:paraId="7454C902"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73B037DA"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4A5B9636"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369E84BD" w14:textId="77777777" w:rsidR="008A2BB9" w:rsidRPr="00CE2185" w:rsidRDefault="008A2BB9" w:rsidP="008A2BB9">
            <w:pPr>
              <w:spacing w:after="200" w:line="276" w:lineRule="auto"/>
              <w:jc w:val="left"/>
              <w:rPr>
                <w:rFonts w:eastAsia="Times New Roman"/>
                <w:noProof/>
                <w:sz w:val="16"/>
                <w:szCs w:val="16"/>
              </w:rPr>
            </w:pPr>
          </w:p>
        </w:tc>
      </w:tr>
      <w:tr w:rsidR="00783A6C" w:rsidRPr="00CE2185" w14:paraId="3DB3825D" w14:textId="77777777" w:rsidTr="00720684">
        <w:trPr>
          <w:trHeight w:hRule="exact" w:val="284"/>
        </w:trPr>
        <w:tc>
          <w:tcPr>
            <w:tcW w:w="714" w:type="dxa"/>
          </w:tcPr>
          <w:p w14:paraId="7E249382"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A.3</w:t>
            </w:r>
          </w:p>
        </w:tc>
        <w:tc>
          <w:tcPr>
            <w:tcW w:w="714" w:type="dxa"/>
          </w:tcPr>
          <w:p w14:paraId="5C3BE0A1"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00256AD1"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367F7DBD"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54077CC6"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3E4A9A3C" w14:textId="77777777" w:rsidR="008A2BB9" w:rsidRPr="00CE2185" w:rsidRDefault="008A2BB9" w:rsidP="008A2BB9">
            <w:pPr>
              <w:spacing w:after="200" w:line="276" w:lineRule="auto"/>
              <w:jc w:val="left"/>
              <w:rPr>
                <w:rFonts w:eastAsia="Times New Roman"/>
                <w:noProof/>
                <w:sz w:val="16"/>
                <w:szCs w:val="16"/>
              </w:rPr>
            </w:pPr>
          </w:p>
        </w:tc>
        <w:tc>
          <w:tcPr>
            <w:tcW w:w="785" w:type="dxa"/>
            <w:shd w:val="clear" w:color="auto" w:fill="C2D69B" w:themeFill="accent3" w:themeFillTint="99"/>
          </w:tcPr>
          <w:p w14:paraId="4F0BD5A0"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140F2F33"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2592635D"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7BFAA439"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7F725647" w14:textId="77777777" w:rsidTr="00720684">
        <w:trPr>
          <w:trHeight w:hRule="exact" w:val="284"/>
        </w:trPr>
        <w:tc>
          <w:tcPr>
            <w:tcW w:w="714" w:type="dxa"/>
          </w:tcPr>
          <w:p w14:paraId="2A9D0BCB"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B.1</w:t>
            </w:r>
          </w:p>
        </w:tc>
        <w:tc>
          <w:tcPr>
            <w:tcW w:w="714" w:type="dxa"/>
          </w:tcPr>
          <w:p w14:paraId="65DA34B3"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7F249B94"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C2D69B" w:themeFill="accent3" w:themeFillTint="99"/>
          </w:tcPr>
          <w:p w14:paraId="3A7173D4"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2D75579F"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09AF2CCE" w14:textId="77777777" w:rsidR="008A2BB9" w:rsidRPr="00CE2185" w:rsidRDefault="008A2BB9" w:rsidP="008A2BB9">
            <w:pPr>
              <w:spacing w:after="200" w:line="276" w:lineRule="auto"/>
              <w:jc w:val="left"/>
              <w:rPr>
                <w:rFonts w:eastAsia="Times New Roman"/>
                <w:noProof/>
                <w:sz w:val="16"/>
                <w:szCs w:val="16"/>
              </w:rPr>
            </w:pPr>
          </w:p>
        </w:tc>
        <w:tc>
          <w:tcPr>
            <w:tcW w:w="785" w:type="dxa"/>
          </w:tcPr>
          <w:p w14:paraId="20569D99"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35E8CA5A"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3EA7BB62"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43CC6C87"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6959A6F6" w14:textId="77777777" w:rsidTr="00720684">
        <w:trPr>
          <w:trHeight w:hRule="exact" w:val="284"/>
        </w:trPr>
        <w:tc>
          <w:tcPr>
            <w:tcW w:w="714" w:type="dxa"/>
          </w:tcPr>
          <w:p w14:paraId="6064E37E"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B.2</w:t>
            </w:r>
          </w:p>
        </w:tc>
        <w:tc>
          <w:tcPr>
            <w:tcW w:w="714" w:type="dxa"/>
          </w:tcPr>
          <w:p w14:paraId="197842CD"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35A766C6"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C2D69B" w:themeFill="accent3" w:themeFillTint="99"/>
          </w:tcPr>
          <w:p w14:paraId="721E8B86"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18DB8C78"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39A88394" w14:textId="77777777" w:rsidR="008A2BB9" w:rsidRPr="00CE2185" w:rsidRDefault="008A2BB9" w:rsidP="008A2BB9">
            <w:pPr>
              <w:spacing w:after="200" w:line="276" w:lineRule="auto"/>
              <w:jc w:val="left"/>
              <w:rPr>
                <w:rFonts w:eastAsia="Times New Roman"/>
                <w:noProof/>
                <w:sz w:val="16"/>
                <w:szCs w:val="16"/>
              </w:rPr>
            </w:pPr>
          </w:p>
        </w:tc>
        <w:tc>
          <w:tcPr>
            <w:tcW w:w="785" w:type="dxa"/>
          </w:tcPr>
          <w:p w14:paraId="10CC9026"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12C2AAF2"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5124AEAD"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074DF57F"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20CB9461" w14:textId="77777777" w:rsidTr="00720684">
        <w:trPr>
          <w:trHeight w:hRule="exact" w:val="284"/>
        </w:trPr>
        <w:tc>
          <w:tcPr>
            <w:tcW w:w="714" w:type="dxa"/>
          </w:tcPr>
          <w:p w14:paraId="2F670CED"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B.3</w:t>
            </w:r>
          </w:p>
        </w:tc>
        <w:tc>
          <w:tcPr>
            <w:tcW w:w="714" w:type="dxa"/>
          </w:tcPr>
          <w:p w14:paraId="1F67A69C"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666F5F39"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C2D69B" w:themeFill="accent3" w:themeFillTint="99"/>
          </w:tcPr>
          <w:p w14:paraId="59A50285"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2A5E88FA"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07B99E70" w14:textId="77777777" w:rsidR="008A2BB9" w:rsidRPr="00CE2185" w:rsidRDefault="008A2BB9" w:rsidP="008A2BB9">
            <w:pPr>
              <w:spacing w:after="200" w:line="276" w:lineRule="auto"/>
              <w:jc w:val="left"/>
              <w:rPr>
                <w:rFonts w:eastAsia="Times New Roman"/>
                <w:noProof/>
                <w:sz w:val="16"/>
                <w:szCs w:val="16"/>
              </w:rPr>
            </w:pPr>
          </w:p>
        </w:tc>
        <w:tc>
          <w:tcPr>
            <w:tcW w:w="785" w:type="dxa"/>
          </w:tcPr>
          <w:p w14:paraId="76FFEA54"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52CD88D5"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32073802"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59FC7C64"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38CA82F7" w14:textId="77777777" w:rsidTr="00720684">
        <w:trPr>
          <w:trHeight w:hRule="exact" w:val="284"/>
        </w:trPr>
        <w:tc>
          <w:tcPr>
            <w:tcW w:w="714" w:type="dxa"/>
          </w:tcPr>
          <w:p w14:paraId="3D0808F5"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C.1</w:t>
            </w:r>
          </w:p>
        </w:tc>
        <w:tc>
          <w:tcPr>
            <w:tcW w:w="714" w:type="dxa"/>
          </w:tcPr>
          <w:p w14:paraId="784C6FEC"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276EB788"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5D83AD8D"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1FA5EF90"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3BE42C06" w14:textId="77777777" w:rsidR="008A2BB9" w:rsidRPr="00CE2185" w:rsidRDefault="008A2BB9" w:rsidP="008A2BB9">
            <w:pPr>
              <w:spacing w:after="200" w:line="276" w:lineRule="auto"/>
              <w:jc w:val="left"/>
              <w:rPr>
                <w:rFonts w:eastAsia="Times New Roman"/>
                <w:noProof/>
                <w:sz w:val="16"/>
                <w:szCs w:val="16"/>
              </w:rPr>
            </w:pPr>
          </w:p>
        </w:tc>
        <w:tc>
          <w:tcPr>
            <w:tcW w:w="785" w:type="dxa"/>
          </w:tcPr>
          <w:p w14:paraId="3B79AB4F"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45ADDA54"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399DA02F"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6F16F27A"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11B448CC" w14:textId="77777777" w:rsidTr="00720684">
        <w:trPr>
          <w:trHeight w:hRule="exact" w:val="284"/>
        </w:trPr>
        <w:tc>
          <w:tcPr>
            <w:tcW w:w="714" w:type="dxa"/>
          </w:tcPr>
          <w:p w14:paraId="4C0F0EA7"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C.2</w:t>
            </w:r>
          </w:p>
        </w:tc>
        <w:tc>
          <w:tcPr>
            <w:tcW w:w="714" w:type="dxa"/>
          </w:tcPr>
          <w:p w14:paraId="78B1FD19"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5F479F84"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59BF7979"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21A3EDBA"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28E3B916" w14:textId="77777777" w:rsidR="008A2BB9" w:rsidRPr="00CE2185" w:rsidRDefault="008A2BB9" w:rsidP="008A2BB9">
            <w:pPr>
              <w:spacing w:after="200" w:line="276" w:lineRule="auto"/>
              <w:jc w:val="left"/>
              <w:rPr>
                <w:rFonts w:eastAsia="Times New Roman"/>
                <w:noProof/>
                <w:sz w:val="16"/>
                <w:szCs w:val="16"/>
              </w:rPr>
            </w:pPr>
          </w:p>
        </w:tc>
        <w:tc>
          <w:tcPr>
            <w:tcW w:w="785" w:type="dxa"/>
            <w:shd w:val="clear" w:color="auto" w:fill="943634" w:themeFill="accent2" w:themeFillShade="BF"/>
          </w:tcPr>
          <w:p w14:paraId="43404387"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136B7746"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1CCB7B1E"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453EFAB3" w14:textId="77777777" w:rsidR="008A2BB9" w:rsidRPr="00CE2185" w:rsidRDefault="008A2BB9" w:rsidP="008A2BB9">
            <w:pPr>
              <w:spacing w:after="200" w:line="276" w:lineRule="auto"/>
              <w:jc w:val="left"/>
              <w:rPr>
                <w:rFonts w:eastAsia="Times New Roman"/>
                <w:noProof/>
                <w:sz w:val="16"/>
                <w:szCs w:val="16"/>
              </w:rPr>
            </w:pPr>
          </w:p>
        </w:tc>
      </w:tr>
      <w:tr w:rsidR="00F31888" w:rsidRPr="00CE2185" w14:paraId="0FA5F59D" w14:textId="77777777" w:rsidTr="00720684">
        <w:trPr>
          <w:trHeight w:hRule="exact" w:val="284"/>
        </w:trPr>
        <w:tc>
          <w:tcPr>
            <w:tcW w:w="714" w:type="dxa"/>
          </w:tcPr>
          <w:p w14:paraId="4C597155" w14:textId="77777777" w:rsidR="008A2BB9" w:rsidRPr="00CE2185" w:rsidRDefault="008A2BB9" w:rsidP="008A2BB9">
            <w:pPr>
              <w:spacing w:after="200" w:line="276" w:lineRule="auto"/>
              <w:jc w:val="left"/>
              <w:rPr>
                <w:rFonts w:eastAsia="Times New Roman"/>
                <w:noProof/>
                <w:sz w:val="16"/>
                <w:szCs w:val="16"/>
              </w:rPr>
            </w:pPr>
            <w:r w:rsidRPr="00CE2185">
              <w:rPr>
                <w:rFonts w:eastAsia="Times New Roman"/>
                <w:noProof/>
                <w:sz w:val="16"/>
                <w:szCs w:val="16"/>
              </w:rPr>
              <w:t>C.3</w:t>
            </w:r>
          </w:p>
        </w:tc>
        <w:tc>
          <w:tcPr>
            <w:tcW w:w="714" w:type="dxa"/>
          </w:tcPr>
          <w:p w14:paraId="1E5D9EB3"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943634" w:themeFill="accent2" w:themeFillShade="BF"/>
          </w:tcPr>
          <w:p w14:paraId="089E042F" w14:textId="77777777" w:rsidR="008A2BB9" w:rsidRPr="00CE2185" w:rsidRDefault="008A2BB9" w:rsidP="008A2BB9">
            <w:pPr>
              <w:spacing w:after="200" w:line="276" w:lineRule="auto"/>
              <w:jc w:val="left"/>
              <w:rPr>
                <w:rFonts w:eastAsia="Times New Roman"/>
                <w:noProof/>
                <w:sz w:val="16"/>
                <w:szCs w:val="16"/>
              </w:rPr>
            </w:pPr>
          </w:p>
        </w:tc>
        <w:tc>
          <w:tcPr>
            <w:tcW w:w="715" w:type="dxa"/>
            <w:shd w:val="clear" w:color="auto" w:fill="943634" w:themeFill="accent2" w:themeFillShade="BF"/>
          </w:tcPr>
          <w:p w14:paraId="311339AB"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4998309C" w14:textId="77777777" w:rsidR="008A2BB9" w:rsidRPr="00CE2185" w:rsidRDefault="008A2BB9" w:rsidP="008A2BB9">
            <w:pPr>
              <w:spacing w:after="200" w:line="276" w:lineRule="auto"/>
              <w:jc w:val="left"/>
              <w:rPr>
                <w:rFonts w:eastAsia="Times New Roman"/>
                <w:noProof/>
                <w:sz w:val="16"/>
                <w:szCs w:val="16"/>
              </w:rPr>
            </w:pPr>
          </w:p>
        </w:tc>
        <w:tc>
          <w:tcPr>
            <w:tcW w:w="714" w:type="dxa"/>
            <w:shd w:val="clear" w:color="auto" w:fill="C2D69B" w:themeFill="accent3" w:themeFillTint="99"/>
          </w:tcPr>
          <w:p w14:paraId="6E8DA231" w14:textId="77777777" w:rsidR="008A2BB9" w:rsidRPr="00CE2185" w:rsidRDefault="008A2BB9" w:rsidP="008A2BB9">
            <w:pPr>
              <w:spacing w:after="200" w:line="276" w:lineRule="auto"/>
              <w:jc w:val="left"/>
              <w:rPr>
                <w:rFonts w:eastAsia="Times New Roman"/>
                <w:noProof/>
                <w:sz w:val="16"/>
                <w:szCs w:val="16"/>
              </w:rPr>
            </w:pPr>
          </w:p>
        </w:tc>
        <w:tc>
          <w:tcPr>
            <w:tcW w:w="785" w:type="dxa"/>
            <w:shd w:val="clear" w:color="auto" w:fill="943634" w:themeFill="accent2" w:themeFillShade="BF"/>
          </w:tcPr>
          <w:p w14:paraId="4A94239E" w14:textId="77777777" w:rsidR="008A2BB9" w:rsidRPr="00CE2185" w:rsidRDefault="008A2BB9" w:rsidP="008A2BB9">
            <w:pPr>
              <w:spacing w:after="200" w:line="276" w:lineRule="auto"/>
              <w:jc w:val="left"/>
              <w:rPr>
                <w:rFonts w:eastAsia="Times New Roman"/>
                <w:noProof/>
                <w:sz w:val="16"/>
                <w:szCs w:val="16"/>
              </w:rPr>
            </w:pPr>
          </w:p>
        </w:tc>
        <w:tc>
          <w:tcPr>
            <w:tcW w:w="644" w:type="dxa"/>
          </w:tcPr>
          <w:p w14:paraId="30273AF1" w14:textId="77777777" w:rsidR="008A2BB9" w:rsidRPr="00CE2185" w:rsidRDefault="008A2BB9" w:rsidP="008A2BB9">
            <w:pPr>
              <w:spacing w:after="200" w:line="276" w:lineRule="auto"/>
              <w:jc w:val="left"/>
              <w:rPr>
                <w:rFonts w:eastAsia="Times New Roman"/>
                <w:noProof/>
                <w:sz w:val="16"/>
                <w:szCs w:val="16"/>
              </w:rPr>
            </w:pPr>
          </w:p>
        </w:tc>
        <w:tc>
          <w:tcPr>
            <w:tcW w:w="714" w:type="dxa"/>
          </w:tcPr>
          <w:p w14:paraId="6C0D0185" w14:textId="77777777" w:rsidR="008A2BB9" w:rsidRPr="00CE2185" w:rsidRDefault="008A2BB9" w:rsidP="008A2BB9">
            <w:pPr>
              <w:spacing w:after="200" w:line="276" w:lineRule="auto"/>
              <w:jc w:val="left"/>
              <w:rPr>
                <w:rFonts w:eastAsia="Times New Roman"/>
                <w:noProof/>
                <w:sz w:val="16"/>
                <w:szCs w:val="16"/>
              </w:rPr>
            </w:pPr>
          </w:p>
        </w:tc>
        <w:tc>
          <w:tcPr>
            <w:tcW w:w="715" w:type="dxa"/>
          </w:tcPr>
          <w:p w14:paraId="4A004094" w14:textId="77777777" w:rsidR="008A2BB9" w:rsidRPr="00CE2185" w:rsidRDefault="008A2BB9" w:rsidP="008A2BB9">
            <w:pPr>
              <w:spacing w:after="200" w:line="276" w:lineRule="auto"/>
              <w:jc w:val="left"/>
              <w:rPr>
                <w:rFonts w:eastAsia="Times New Roman"/>
                <w:noProof/>
                <w:sz w:val="16"/>
                <w:szCs w:val="16"/>
              </w:rPr>
            </w:pPr>
          </w:p>
        </w:tc>
      </w:tr>
    </w:tbl>
    <w:p w14:paraId="076910CB" w14:textId="77777777" w:rsidR="007869C1" w:rsidRPr="00CE2185" w:rsidRDefault="0047335F" w:rsidP="00795DF0">
      <w:pPr>
        <w:spacing w:after="120"/>
        <w:rPr>
          <w:noProof/>
        </w:rPr>
      </w:pPr>
      <w:r w:rsidRPr="00CE2185">
        <w:rPr>
          <w:noProof/>
        </w:rPr>
        <w:t xml:space="preserve">The effectiveness of how the options </w:t>
      </w:r>
      <w:r w:rsidR="000062A4" w:rsidRPr="00CE2185">
        <w:rPr>
          <w:noProof/>
        </w:rPr>
        <w:t>fulfil</w:t>
      </w:r>
      <w:r w:rsidRPr="00CE2185">
        <w:rPr>
          <w:noProof/>
        </w:rPr>
        <w:t xml:space="preserve"> the specific objectives will be conducted with the links </w:t>
      </w:r>
      <w:r w:rsidR="007F288D" w:rsidRPr="00CE2185">
        <w:rPr>
          <w:noProof/>
        </w:rPr>
        <w:t>as presented above</w:t>
      </w:r>
      <w:r w:rsidR="000062A4" w:rsidRPr="00CE2185">
        <w:rPr>
          <w:noProof/>
        </w:rPr>
        <w:t xml:space="preserve"> in mind, which will exclude certain ineffective </w:t>
      </w:r>
      <w:r w:rsidR="00A060F7" w:rsidRPr="00CE2185">
        <w:rPr>
          <w:noProof/>
        </w:rPr>
        <w:t xml:space="preserve">combination of options </w:t>
      </w:r>
      <w:r w:rsidR="000062A4" w:rsidRPr="00CE2185">
        <w:rPr>
          <w:noProof/>
        </w:rPr>
        <w:t>from further analysis.</w:t>
      </w:r>
    </w:p>
    <w:p w14:paraId="2E67AB05" w14:textId="2F82C1D9" w:rsidR="00477CF1" w:rsidRPr="00CE2185" w:rsidRDefault="00E87176" w:rsidP="00EE3DF9">
      <w:pPr>
        <w:pStyle w:val="ListParagraph"/>
        <w:numPr>
          <w:ilvl w:val="2"/>
          <w:numId w:val="35"/>
        </w:numPr>
        <w:spacing w:before="120" w:after="120"/>
        <w:textAlignment w:val="baseline"/>
        <w:rPr>
          <w:rFonts w:eastAsia="Yu Gothic Light"/>
          <w:bCs/>
          <w:i/>
          <w:noProof/>
          <w:lang w:eastAsia="en-GB"/>
        </w:rPr>
      </w:pPr>
      <w:r w:rsidRPr="00CE2185">
        <w:rPr>
          <w:rFonts w:eastAsia="Yu Gothic Light"/>
          <w:bCs/>
          <w:i/>
          <w:noProof/>
          <w:lang w:eastAsia="en-GB"/>
        </w:rPr>
        <w:t xml:space="preserve">Specific Objective (SPO) 1: Create the capacity </w:t>
      </w:r>
      <w:r w:rsidR="00FD7A39">
        <w:rPr>
          <w:rFonts w:eastAsia="Yu Gothic Light"/>
          <w:bCs/>
          <w:i/>
          <w:noProof/>
          <w:lang w:eastAsia="en-GB"/>
        </w:rPr>
        <w:t>to</w:t>
      </w:r>
      <w:r w:rsidR="00FD7A39" w:rsidRPr="00CE2185">
        <w:rPr>
          <w:rFonts w:eastAsia="Yu Gothic Light"/>
          <w:bCs/>
          <w:i/>
          <w:noProof/>
          <w:lang w:eastAsia="en-GB"/>
        </w:rPr>
        <w:t xml:space="preserve"> </w:t>
      </w:r>
      <w:r w:rsidRPr="00CE2185">
        <w:rPr>
          <w:rFonts w:eastAsia="Yu Gothic Light"/>
          <w:bCs/>
          <w:i/>
          <w:noProof/>
          <w:lang w:eastAsia="en-GB"/>
        </w:rPr>
        <w:t>effective</w:t>
      </w:r>
      <w:r w:rsidR="00FD7A39">
        <w:rPr>
          <w:rFonts w:eastAsia="Yu Gothic Light"/>
          <w:bCs/>
          <w:i/>
          <w:noProof/>
          <w:lang w:eastAsia="en-GB"/>
        </w:rPr>
        <w:t>ly</w:t>
      </w:r>
      <w:r w:rsidRPr="00CE2185">
        <w:rPr>
          <w:rFonts w:eastAsia="Yu Gothic Light"/>
          <w:bCs/>
          <w:i/>
          <w:noProof/>
          <w:lang w:eastAsia="en-GB"/>
        </w:rPr>
        <w:t xml:space="preserve"> implement</w:t>
      </w:r>
      <w:r w:rsidR="000D0808">
        <w:rPr>
          <w:rFonts w:eastAsia="Yu Gothic Light"/>
          <w:bCs/>
          <w:i/>
          <w:noProof/>
          <w:lang w:eastAsia="en-GB"/>
        </w:rPr>
        <w:t xml:space="preserve"> </w:t>
      </w:r>
      <w:r w:rsidR="00FD7A39">
        <w:rPr>
          <w:rFonts w:eastAsia="Yu Gothic Light"/>
          <w:bCs/>
          <w:i/>
          <w:noProof/>
          <w:lang w:eastAsia="en-GB"/>
        </w:rPr>
        <w:t>Union</w:t>
      </w:r>
      <w:r w:rsidRPr="00CE2185">
        <w:rPr>
          <w:rFonts w:eastAsia="Yu Gothic Light"/>
          <w:bCs/>
          <w:i/>
          <w:noProof/>
          <w:lang w:eastAsia="en-GB"/>
        </w:rPr>
        <w:t xml:space="preserve"> cybersecurity policies and continuous operational cooperation and in that way enable more structured cooperation between Member States.</w:t>
      </w:r>
    </w:p>
    <w:p w14:paraId="6384E519" w14:textId="55A046A8" w:rsidR="00BE5959" w:rsidRPr="00CE2185" w:rsidRDefault="00BE5959" w:rsidP="00795DF0">
      <w:pPr>
        <w:spacing w:after="120"/>
        <w:textAlignment w:val="baseline"/>
        <w:rPr>
          <w:rFonts w:eastAsia="Yu Gothic Light"/>
          <w:noProof/>
          <w:lang w:val="en-IE" w:eastAsia="en-GB"/>
        </w:rPr>
      </w:pPr>
      <w:r w:rsidRPr="00CE2185">
        <w:rPr>
          <w:rFonts w:eastAsia="Yu Gothic Light"/>
          <w:bCs/>
          <w:iCs/>
          <w:noProof/>
          <w:lang w:eastAsia="en-GB"/>
        </w:rPr>
        <w:t xml:space="preserve">Options A are addressing this specific objective. </w:t>
      </w:r>
      <w:r w:rsidRPr="00CE2185">
        <w:rPr>
          <w:rFonts w:eastAsia="Yu Gothic Light"/>
          <w:bCs/>
          <w:iCs/>
          <w:noProof/>
          <w:lang w:val="en-IE" w:eastAsia="en-GB"/>
        </w:rPr>
        <w:t>Option</w:t>
      </w:r>
      <w:r w:rsidRPr="00CE2185">
        <w:rPr>
          <w:rFonts w:eastAsia="Yu Gothic Light"/>
          <w:b/>
          <w:noProof/>
          <w:lang w:val="en-IE" w:eastAsia="en-GB"/>
        </w:rPr>
        <w:t xml:space="preserve"> A.1</w:t>
      </w:r>
      <w:r w:rsidR="0096617C" w:rsidRPr="00CE2185">
        <w:rPr>
          <w:rFonts w:eastAsia="Yu Gothic Light"/>
          <w:bCs/>
          <w:iCs/>
          <w:noProof/>
          <w:lang w:val="en-IE" w:eastAsia="en-GB"/>
        </w:rPr>
        <w:t xml:space="preserve"> clarifies ENISA’s mandate</w:t>
      </w:r>
      <w:r w:rsidR="00C27C39" w:rsidRPr="00CE2185">
        <w:rPr>
          <w:rFonts w:eastAsia="Yu Gothic Light"/>
          <w:bCs/>
          <w:iCs/>
          <w:noProof/>
          <w:lang w:val="en-IE" w:eastAsia="en-GB"/>
        </w:rPr>
        <w:t xml:space="preserve">, bringing together all the tasks from other legislations </w:t>
      </w:r>
      <w:r w:rsidR="0007544B" w:rsidRPr="00CE2185">
        <w:rPr>
          <w:rFonts w:eastAsia="Yu Gothic Light"/>
          <w:bCs/>
          <w:iCs/>
          <w:noProof/>
          <w:lang w:val="en-IE" w:eastAsia="en-GB"/>
        </w:rPr>
        <w:t xml:space="preserve">and enhancing somewhat the support for operational cooperation in the CSIRTs network and EU-CyCLONe. It does not however create </w:t>
      </w:r>
      <w:r w:rsidR="006A1ADB" w:rsidRPr="00CE2185">
        <w:rPr>
          <w:rFonts w:eastAsia="Yu Gothic Light"/>
          <w:bCs/>
          <w:iCs/>
          <w:noProof/>
          <w:lang w:val="en-IE" w:eastAsia="en-GB"/>
        </w:rPr>
        <w:t>additional capabilities</w:t>
      </w:r>
      <w:r w:rsidR="009076A0" w:rsidRPr="00CE2185">
        <w:rPr>
          <w:rFonts w:eastAsia="Yu Gothic Light"/>
          <w:bCs/>
          <w:iCs/>
          <w:noProof/>
          <w:lang w:val="en-IE" w:eastAsia="en-GB"/>
        </w:rPr>
        <w:t>,</w:t>
      </w:r>
      <w:r w:rsidR="006A1ADB" w:rsidRPr="00CE2185">
        <w:rPr>
          <w:rFonts w:eastAsia="Yu Gothic Light"/>
          <w:bCs/>
          <w:iCs/>
          <w:noProof/>
          <w:lang w:val="en-IE" w:eastAsia="en-GB"/>
        </w:rPr>
        <w:t xml:space="preserve"> nor provides for additional resources, which </w:t>
      </w:r>
      <w:r w:rsidR="0024107C" w:rsidRPr="00CE2185">
        <w:rPr>
          <w:rFonts w:eastAsia="Yu Gothic Light"/>
          <w:bCs/>
          <w:iCs/>
          <w:noProof/>
          <w:lang w:val="en-IE" w:eastAsia="en-GB"/>
        </w:rPr>
        <w:t xml:space="preserve">makes its </w:t>
      </w:r>
      <w:r w:rsidR="0024107C" w:rsidRPr="00CE2185">
        <w:rPr>
          <w:rFonts w:eastAsia="Yu Gothic Light"/>
          <w:b/>
          <w:noProof/>
          <w:lang w:val="en-IE" w:eastAsia="en-GB"/>
        </w:rPr>
        <w:t xml:space="preserve">effectiveness </w:t>
      </w:r>
      <w:r w:rsidR="00EF06D7" w:rsidRPr="00CE2185">
        <w:rPr>
          <w:rFonts w:eastAsia="Yu Gothic Light"/>
          <w:b/>
          <w:iCs/>
          <w:noProof/>
          <w:lang w:val="en-IE" w:eastAsia="en-GB"/>
        </w:rPr>
        <w:t>low</w:t>
      </w:r>
      <w:r w:rsidR="26ADE1F2" w:rsidRPr="00CE2185">
        <w:rPr>
          <w:rFonts w:eastAsia="Yu Gothic Light"/>
          <w:b/>
          <w:bCs/>
          <w:noProof/>
          <w:lang w:val="en-IE" w:eastAsia="en-GB"/>
        </w:rPr>
        <w:t xml:space="preserve">, </w:t>
      </w:r>
      <w:r w:rsidR="26ADE1F2" w:rsidRPr="00CE2185">
        <w:rPr>
          <w:rFonts w:eastAsia="Yu Gothic Light"/>
          <w:noProof/>
          <w:lang w:val="en-IE" w:eastAsia="en-GB"/>
        </w:rPr>
        <w:t>especially for creation of capacities for effective operational cooperation</w:t>
      </w:r>
      <w:r w:rsidR="007E2830" w:rsidRPr="00CE2185">
        <w:rPr>
          <w:rFonts w:eastAsia="Yu Gothic Light"/>
          <w:noProof/>
          <w:lang w:val="en-IE" w:eastAsia="en-GB"/>
        </w:rPr>
        <w:t>.</w:t>
      </w:r>
    </w:p>
    <w:p w14:paraId="356021DF" w14:textId="0C6AD653" w:rsidR="002C701E" w:rsidRPr="00CE2185" w:rsidRDefault="00B6050C" w:rsidP="00795DF0">
      <w:pPr>
        <w:spacing w:after="120"/>
        <w:textAlignment w:val="baseline"/>
        <w:rPr>
          <w:noProof/>
        </w:rPr>
      </w:pPr>
      <w:r w:rsidRPr="00CE2185">
        <w:rPr>
          <w:noProof/>
        </w:rPr>
        <w:t xml:space="preserve">Options </w:t>
      </w:r>
      <w:r w:rsidRPr="00CE2185">
        <w:rPr>
          <w:b/>
          <w:noProof/>
        </w:rPr>
        <w:t>A.</w:t>
      </w:r>
      <w:r w:rsidR="00046608" w:rsidRPr="00CE2185">
        <w:rPr>
          <w:b/>
          <w:noProof/>
        </w:rPr>
        <w:t>2</w:t>
      </w:r>
      <w:r w:rsidRPr="00CE2185">
        <w:rPr>
          <w:b/>
          <w:noProof/>
        </w:rPr>
        <w:t xml:space="preserve"> and </w:t>
      </w:r>
      <w:r w:rsidR="00046608" w:rsidRPr="00CE2185">
        <w:rPr>
          <w:b/>
          <w:noProof/>
        </w:rPr>
        <w:t>A.3</w:t>
      </w:r>
      <w:r w:rsidR="00046608" w:rsidRPr="00CE2185">
        <w:rPr>
          <w:noProof/>
        </w:rPr>
        <w:t xml:space="preserve"> are much</w:t>
      </w:r>
      <w:r w:rsidRPr="00CE2185">
        <w:rPr>
          <w:noProof/>
        </w:rPr>
        <w:t xml:space="preserve"> more </w:t>
      </w:r>
      <w:r w:rsidR="00046608" w:rsidRPr="00CE2185">
        <w:rPr>
          <w:noProof/>
        </w:rPr>
        <w:t>effective in achieving this objective</w:t>
      </w:r>
      <w:r w:rsidR="00C903CF" w:rsidRPr="00CE2185">
        <w:rPr>
          <w:noProof/>
        </w:rPr>
        <w:t xml:space="preserve">, as </w:t>
      </w:r>
      <w:r w:rsidR="005C44FC" w:rsidRPr="00CE2185">
        <w:rPr>
          <w:noProof/>
        </w:rPr>
        <w:t>t</w:t>
      </w:r>
      <w:r w:rsidRPr="00CE2185">
        <w:rPr>
          <w:noProof/>
        </w:rPr>
        <w:t>hese options combine structural changes</w:t>
      </w:r>
      <w:r w:rsidR="003E1EEA" w:rsidRPr="00CE2185">
        <w:rPr>
          <w:noProof/>
        </w:rPr>
        <w:t xml:space="preserve"> and</w:t>
      </w:r>
      <w:r w:rsidRPr="00CE2185">
        <w:rPr>
          <w:noProof/>
        </w:rPr>
        <w:t xml:space="preserve"> operational tools to </w:t>
      </w:r>
      <w:r w:rsidR="003E1EEA" w:rsidRPr="00CE2185">
        <w:rPr>
          <w:noProof/>
        </w:rPr>
        <w:t>address</w:t>
      </w:r>
      <w:r w:rsidRPr="00CE2185">
        <w:rPr>
          <w:noProof/>
        </w:rPr>
        <w:t xml:space="preserve"> the </w:t>
      </w:r>
      <w:r w:rsidR="003E1EEA" w:rsidRPr="00CE2185">
        <w:rPr>
          <w:noProof/>
        </w:rPr>
        <w:t>objective</w:t>
      </w:r>
      <w:r w:rsidRPr="00CE2185">
        <w:rPr>
          <w:noProof/>
        </w:rPr>
        <w:t>. A.2 strengthens ENISA’s structure and role in implementation support and coordination, contributing positively to the overall resilience and shared situational awareness. It also strengthens ENISA’s mandate in terms of providing operational support to Member States</w:t>
      </w:r>
      <w:r w:rsidR="00747838" w:rsidRPr="00CE2185">
        <w:rPr>
          <w:noProof/>
        </w:rPr>
        <w:t>,</w:t>
      </w:r>
      <w:r w:rsidRPr="00CE2185">
        <w:rPr>
          <w:noProof/>
        </w:rPr>
        <w:t xml:space="preserve"> while strengthening ENISA‘s capacity and resources to ensure effective delivery of the Agency‘s tasks. A.3 empowers ENISA to provide operational incident response support directly to entities, making it more effective in responding to cross-border cybersecurity threats but requiring substantial investment in developing such capabilities.</w:t>
      </w:r>
      <w:r w:rsidR="00C14DDF" w:rsidRPr="00CE2185">
        <w:rPr>
          <w:noProof/>
        </w:rPr>
        <w:t xml:space="preserve"> </w:t>
      </w:r>
      <w:r w:rsidR="757086CB" w:rsidRPr="00CE2185">
        <w:rPr>
          <w:noProof/>
        </w:rPr>
        <w:t>The exact degree to which extent both options can contribute to overall cybersecurity resilience cannot be defined. However, with the additional tools and clarifi</w:t>
      </w:r>
      <w:r w:rsidR="390E6088" w:rsidRPr="00CE2185">
        <w:rPr>
          <w:noProof/>
        </w:rPr>
        <w:t xml:space="preserve">cation of the mandate of ENISA, it is to be assumed that the agency will be able to enhance policy implementation and even more so operational cooperation among Member </w:t>
      </w:r>
      <w:r w:rsidR="486A342D" w:rsidRPr="00CE2185">
        <w:rPr>
          <w:noProof/>
        </w:rPr>
        <w:t>States significantly, therefore</w:t>
      </w:r>
      <w:r w:rsidR="757086CB" w:rsidRPr="00CE2185">
        <w:rPr>
          <w:noProof/>
        </w:rPr>
        <w:t xml:space="preserve"> </w:t>
      </w:r>
      <w:r w:rsidR="58493F06">
        <w:rPr>
          <w:noProof/>
        </w:rPr>
        <w:t>b</w:t>
      </w:r>
      <w:r w:rsidR="76E4EA3D">
        <w:rPr>
          <w:noProof/>
        </w:rPr>
        <w:t>oth</w:t>
      </w:r>
      <w:r w:rsidR="00C14DDF" w:rsidRPr="00CE2185">
        <w:rPr>
          <w:noProof/>
        </w:rPr>
        <w:t xml:space="preserve"> options are assessed to </w:t>
      </w:r>
      <w:r w:rsidR="00265C0D" w:rsidRPr="00CE2185">
        <w:rPr>
          <w:noProof/>
        </w:rPr>
        <w:t xml:space="preserve">have </w:t>
      </w:r>
      <w:r w:rsidR="00265C0D" w:rsidRPr="00CE2185">
        <w:rPr>
          <w:b/>
          <w:bCs/>
          <w:noProof/>
        </w:rPr>
        <w:t>high effectiveness to meet this objective</w:t>
      </w:r>
      <w:r w:rsidR="00265C0D" w:rsidRPr="00CE2185">
        <w:rPr>
          <w:noProof/>
        </w:rPr>
        <w:t>.</w:t>
      </w:r>
    </w:p>
    <w:p w14:paraId="6D745E5D" w14:textId="0F0C0C72" w:rsidR="005C42C7" w:rsidRPr="00CE2185" w:rsidRDefault="00E87176" w:rsidP="00EE3DF9">
      <w:pPr>
        <w:pStyle w:val="ListParagraph"/>
        <w:numPr>
          <w:ilvl w:val="2"/>
          <w:numId w:val="35"/>
        </w:numPr>
        <w:spacing w:before="120" w:after="120"/>
        <w:textAlignment w:val="baseline"/>
        <w:rPr>
          <w:rFonts w:eastAsia="Yu Gothic Light"/>
          <w:bCs/>
          <w:i/>
          <w:noProof/>
          <w:lang w:eastAsia="en-GB"/>
        </w:rPr>
      </w:pPr>
      <w:r w:rsidRPr="00CE2185">
        <w:rPr>
          <w:rFonts w:eastAsia="Yu Gothic Light"/>
          <w:bCs/>
          <w:i/>
          <w:noProof/>
          <w:lang w:eastAsia="en-GB"/>
        </w:rPr>
        <w:t xml:space="preserve">SPO2: Develop and </w:t>
      </w:r>
      <w:r w:rsidR="006F5CCE">
        <w:rPr>
          <w:rFonts w:eastAsia="Yu Gothic Light"/>
          <w:bCs/>
          <w:i/>
          <w:noProof/>
          <w:lang w:eastAsia="en-GB"/>
        </w:rPr>
        <w:t>implement</w:t>
      </w:r>
      <w:r w:rsidR="006F5CCE" w:rsidRPr="00CE2185">
        <w:rPr>
          <w:rFonts w:eastAsia="Yu Gothic Light"/>
          <w:bCs/>
          <w:i/>
          <w:noProof/>
          <w:lang w:eastAsia="en-GB"/>
        </w:rPr>
        <w:t xml:space="preserve"> </w:t>
      </w:r>
      <w:r w:rsidRPr="00CE2185">
        <w:rPr>
          <w:rFonts w:eastAsia="Yu Gothic Light"/>
          <w:bCs/>
          <w:i/>
          <w:noProof/>
          <w:lang w:eastAsia="en-GB"/>
        </w:rPr>
        <w:t>the means and mechanisms to effectively support and address the needs of Member States, industry and other stakeholders.</w:t>
      </w:r>
    </w:p>
    <w:p w14:paraId="134FB47D" w14:textId="1AD73583" w:rsidR="00A86CB9" w:rsidRPr="00CE2185" w:rsidRDefault="00090BF5" w:rsidP="00795DF0">
      <w:pPr>
        <w:pStyle w:val="Text2"/>
        <w:spacing w:after="120"/>
        <w:ind w:left="0"/>
        <w:rPr>
          <w:noProof/>
        </w:rPr>
      </w:pPr>
      <w:r w:rsidRPr="00CE2185">
        <w:rPr>
          <w:noProof/>
        </w:rPr>
        <w:t xml:space="preserve">Options A are delivering on this specific objective. </w:t>
      </w:r>
      <w:r w:rsidR="005C5A38" w:rsidRPr="00CE2185">
        <w:rPr>
          <w:noProof/>
        </w:rPr>
        <w:t xml:space="preserve">While option </w:t>
      </w:r>
      <w:r w:rsidR="005C5A38" w:rsidRPr="00CE2185">
        <w:rPr>
          <w:b/>
          <w:bCs/>
          <w:noProof/>
        </w:rPr>
        <w:t>A.1</w:t>
      </w:r>
      <w:r w:rsidR="005C5A38" w:rsidRPr="00CE2185">
        <w:rPr>
          <w:noProof/>
        </w:rPr>
        <w:t xml:space="preserve"> will have a </w:t>
      </w:r>
      <w:r w:rsidR="00EF5033" w:rsidRPr="00CE2185">
        <w:rPr>
          <w:b/>
          <w:bCs/>
          <w:noProof/>
        </w:rPr>
        <w:t>low</w:t>
      </w:r>
      <w:r w:rsidR="005C5A38" w:rsidRPr="00CE2185">
        <w:rPr>
          <w:b/>
          <w:bCs/>
          <w:noProof/>
        </w:rPr>
        <w:t xml:space="preserve"> effectiveness</w:t>
      </w:r>
      <w:r w:rsidR="005C5A38" w:rsidRPr="00CE2185">
        <w:rPr>
          <w:noProof/>
        </w:rPr>
        <w:t xml:space="preserve"> as it does not reform</w:t>
      </w:r>
      <w:r w:rsidR="00CB262A" w:rsidRPr="00CE2185">
        <w:rPr>
          <w:noProof/>
        </w:rPr>
        <w:t xml:space="preserve"> ENISA’s mandate as such and only</w:t>
      </w:r>
      <w:r w:rsidR="00795F0D" w:rsidRPr="00CE2185">
        <w:rPr>
          <w:noProof/>
        </w:rPr>
        <w:t xml:space="preserve"> provides for </w:t>
      </w:r>
      <w:r w:rsidR="00CB262A" w:rsidRPr="00CE2185">
        <w:rPr>
          <w:noProof/>
        </w:rPr>
        <w:t>certain prioritisation</w:t>
      </w:r>
      <w:r w:rsidR="00946F04" w:rsidRPr="00CE2185">
        <w:rPr>
          <w:noProof/>
        </w:rPr>
        <w:t>, o</w:t>
      </w:r>
      <w:r w:rsidR="00CB262A" w:rsidRPr="00CE2185">
        <w:rPr>
          <w:noProof/>
        </w:rPr>
        <w:t xml:space="preserve">ptions A.2 and A.3 </w:t>
      </w:r>
      <w:r w:rsidR="00795F0D" w:rsidRPr="00CE2185">
        <w:rPr>
          <w:noProof/>
        </w:rPr>
        <w:t xml:space="preserve">provide for better clarity of the mandate itself and prioritisation of tasks, putting focus on the three tasks that were identified as the most important ones in the </w:t>
      </w:r>
      <w:r w:rsidR="00873A74" w:rsidRPr="00CE2185">
        <w:rPr>
          <w:noProof/>
        </w:rPr>
        <w:t>p</w:t>
      </w:r>
      <w:r w:rsidR="00795F0D" w:rsidRPr="00CE2185">
        <w:rPr>
          <w:noProof/>
        </w:rPr>
        <w:t xml:space="preserve">ublic </w:t>
      </w:r>
      <w:r w:rsidR="00873A74" w:rsidRPr="00CE2185">
        <w:rPr>
          <w:noProof/>
        </w:rPr>
        <w:t>c</w:t>
      </w:r>
      <w:r w:rsidR="00795F0D" w:rsidRPr="00CE2185">
        <w:rPr>
          <w:noProof/>
        </w:rPr>
        <w:t>onsultation, namely certification and standardisation, support for policy implementation and support for operational cooperation</w:t>
      </w:r>
      <w:r w:rsidR="00795F0D" w:rsidRPr="00CE2185">
        <w:rPr>
          <w:rFonts w:asciiTheme="minorHAnsi" w:eastAsiaTheme="minorEastAsia" w:hAnsiTheme="minorHAnsi" w:cstheme="minorBidi"/>
          <w:noProof/>
          <w:vertAlign w:val="superscript"/>
        </w:rPr>
        <w:footnoteReference w:id="181"/>
      </w:r>
      <w:r w:rsidR="00254AE1" w:rsidRPr="00CE2185">
        <w:rPr>
          <w:noProof/>
        </w:rPr>
        <w:t>. They also deliver for a new resourcing model for the Agency, which was underlined in the Evaluation Report (</w:t>
      </w:r>
      <w:r w:rsidR="00254AE1" w:rsidRPr="00CE2185">
        <w:rPr>
          <w:i/>
          <w:iCs/>
          <w:noProof/>
        </w:rPr>
        <w:t xml:space="preserve">Annex </w:t>
      </w:r>
      <w:r w:rsidR="002E5FFE" w:rsidRPr="00CE2185">
        <w:rPr>
          <w:i/>
          <w:iCs/>
          <w:noProof/>
        </w:rPr>
        <w:t>8</w:t>
      </w:r>
      <w:r w:rsidR="00254AE1" w:rsidRPr="00CE2185">
        <w:rPr>
          <w:noProof/>
        </w:rPr>
        <w:t>)</w:t>
      </w:r>
      <w:r w:rsidR="00E62542" w:rsidRPr="00CE2185">
        <w:rPr>
          <w:noProof/>
        </w:rPr>
        <w:t xml:space="preserve"> as one of the root causes for the need to reform. </w:t>
      </w:r>
      <w:r w:rsidR="001E00C6" w:rsidRPr="00CE2185">
        <w:rPr>
          <w:noProof/>
        </w:rPr>
        <w:t xml:space="preserve">Option </w:t>
      </w:r>
      <w:r w:rsidR="001E00C6" w:rsidRPr="00CE2185">
        <w:rPr>
          <w:b/>
          <w:bCs/>
          <w:noProof/>
        </w:rPr>
        <w:t>A.2</w:t>
      </w:r>
      <w:r w:rsidR="001E00C6" w:rsidRPr="00CE2185">
        <w:rPr>
          <w:noProof/>
        </w:rPr>
        <w:t xml:space="preserve"> </w:t>
      </w:r>
      <w:r w:rsidR="642CE2C8" w:rsidRPr="00CE2185">
        <w:rPr>
          <w:noProof/>
        </w:rPr>
        <w:t>develops new tools and mechanisms through which ENISA will support the stakeholders and it</w:t>
      </w:r>
      <w:r w:rsidR="001E00C6" w:rsidRPr="00CE2185">
        <w:rPr>
          <w:noProof/>
        </w:rPr>
        <w:t xml:space="preserve"> </w:t>
      </w:r>
      <w:r w:rsidR="001744A7" w:rsidRPr="00CE2185">
        <w:rPr>
          <w:noProof/>
        </w:rPr>
        <w:t xml:space="preserve">addresses the stakeholders’ needs </w:t>
      </w:r>
      <w:r w:rsidR="5801A417" w:rsidRPr="00CE2185">
        <w:rPr>
          <w:noProof/>
        </w:rPr>
        <w:t>(offering what was missing, providing for added value as indicated in the public consultation responses)</w:t>
      </w:r>
      <w:r w:rsidR="001744A7" w:rsidRPr="00CE2185">
        <w:rPr>
          <w:noProof/>
        </w:rPr>
        <w:t xml:space="preserve"> and is assessed to have </w:t>
      </w:r>
      <w:r w:rsidR="001744A7" w:rsidRPr="00CE2185">
        <w:rPr>
          <w:b/>
          <w:bCs/>
          <w:noProof/>
        </w:rPr>
        <w:t>high effectiveness</w:t>
      </w:r>
      <w:r w:rsidR="001744A7" w:rsidRPr="00CE2185">
        <w:rPr>
          <w:noProof/>
        </w:rPr>
        <w:t xml:space="preserve"> for this objective, while option </w:t>
      </w:r>
      <w:r w:rsidR="001744A7" w:rsidRPr="00CE2185">
        <w:rPr>
          <w:b/>
          <w:bCs/>
          <w:noProof/>
        </w:rPr>
        <w:t>A.3</w:t>
      </w:r>
      <w:r w:rsidR="75991FF6" w:rsidRPr="00CE2185">
        <w:rPr>
          <w:b/>
          <w:bCs/>
          <w:noProof/>
        </w:rPr>
        <w:t xml:space="preserve">, </w:t>
      </w:r>
      <w:r w:rsidR="75991FF6" w:rsidRPr="00CE2185">
        <w:rPr>
          <w:noProof/>
        </w:rPr>
        <w:t>while offering new tools and mechanisms, it</w:t>
      </w:r>
      <w:r w:rsidR="00CE2185" w:rsidRPr="00CE2185">
        <w:rPr>
          <w:noProof/>
        </w:rPr>
        <w:t xml:space="preserve"> </w:t>
      </w:r>
      <w:r w:rsidR="00CF2B9E" w:rsidRPr="00CE2185">
        <w:rPr>
          <w:noProof/>
        </w:rPr>
        <w:t xml:space="preserve">does not meet the stakeholders’ needs as is proposing </w:t>
      </w:r>
      <w:r w:rsidR="00363FD9" w:rsidRPr="00CE2185">
        <w:rPr>
          <w:noProof/>
        </w:rPr>
        <w:t>an</w:t>
      </w:r>
      <w:r w:rsidR="00CF2B9E" w:rsidRPr="00CE2185">
        <w:rPr>
          <w:noProof/>
        </w:rPr>
        <w:t xml:space="preserve"> operational </w:t>
      </w:r>
      <w:r w:rsidR="00363FD9" w:rsidRPr="00CE2185">
        <w:rPr>
          <w:noProof/>
        </w:rPr>
        <w:t>role for ENISA which goes beyond the acceptance of</w:t>
      </w:r>
      <w:r w:rsidR="00CF2B9E" w:rsidRPr="00CE2185">
        <w:rPr>
          <w:noProof/>
        </w:rPr>
        <w:t xml:space="preserve"> Member States, </w:t>
      </w:r>
      <w:r w:rsidR="00D96A74" w:rsidRPr="00CE2185">
        <w:rPr>
          <w:noProof/>
        </w:rPr>
        <w:t>the</w:t>
      </w:r>
      <w:r w:rsidR="00CF2B9E" w:rsidRPr="00CE2185">
        <w:rPr>
          <w:noProof/>
        </w:rPr>
        <w:t xml:space="preserve"> effectiveness of </w:t>
      </w:r>
      <w:r w:rsidR="00D96A74" w:rsidRPr="00CE2185">
        <w:rPr>
          <w:b/>
          <w:bCs/>
          <w:noProof/>
        </w:rPr>
        <w:t>A3 in meeting</w:t>
      </w:r>
      <w:r w:rsidR="00CF2B9E" w:rsidRPr="00CE2185">
        <w:rPr>
          <w:b/>
          <w:bCs/>
          <w:noProof/>
        </w:rPr>
        <w:t xml:space="preserve"> this objective is </w:t>
      </w:r>
      <w:r w:rsidR="005E00B6" w:rsidRPr="00CE2185">
        <w:rPr>
          <w:b/>
          <w:bCs/>
          <w:noProof/>
        </w:rPr>
        <w:t xml:space="preserve">thus </w:t>
      </w:r>
      <w:r w:rsidR="00CF2B9E" w:rsidRPr="00CE2185">
        <w:rPr>
          <w:b/>
          <w:bCs/>
          <w:noProof/>
        </w:rPr>
        <w:t>assessed as</w:t>
      </w:r>
      <w:r w:rsidR="00CF2B9E" w:rsidRPr="00CE2185">
        <w:rPr>
          <w:noProof/>
        </w:rPr>
        <w:t xml:space="preserve"> </w:t>
      </w:r>
      <w:r w:rsidR="00CF2B9E" w:rsidRPr="00CE2185">
        <w:rPr>
          <w:b/>
          <w:bCs/>
          <w:noProof/>
        </w:rPr>
        <w:t>low</w:t>
      </w:r>
      <w:r w:rsidR="00CF2B9E" w:rsidRPr="00CE2185">
        <w:rPr>
          <w:noProof/>
        </w:rPr>
        <w:t>.</w:t>
      </w:r>
    </w:p>
    <w:p w14:paraId="0470E652" w14:textId="4B4D0651" w:rsidR="00090BF5" w:rsidRPr="00CE2185" w:rsidRDefault="00A86CB9" w:rsidP="00795DF0">
      <w:pPr>
        <w:pStyle w:val="Text2"/>
        <w:spacing w:after="120"/>
        <w:ind w:left="0"/>
        <w:rPr>
          <w:noProof/>
        </w:rPr>
      </w:pPr>
      <w:r w:rsidRPr="00CE2185">
        <w:rPr>
          <w:noProof/>
        </w:rPr>
        <w:t xml:space="preserve">Options </w:t>
      </w:r>
      <w:r w:rsidRPr="00CE2185">
        <w:rPr>
          <w:b/>
          <w:noProof/>
        </w:rPr>
        <w:t>A.2 and A.3</w:t>
      </w:r>
      <w:r w:rsidR="00090BF5" w:rsidRPr="00CE2185">
        <w:rPr>
          <w:noProof/>
        </w:rPr>
        <w:t xml:space="preserve"> empower ENISA to </w:t>
      </w:r>
      <w:r w:rsidR="27CF05AD" w:rsidRPr="00CE2185">
        <w:rPr>
          <w:noProof/>
        </w:rPr>
        <w:t>strengthen its role in</w:t>
      </w:r>
      <w:r w:rsidR="00090BF5" w:rsidRPr="00CE2185">
        <w:rPr>
          <w:noProof/>
        </w:rPr>
        <w:t xml:space="preserve"> the </w:t>
      </w:r>
      <w:r w:rsidR="27CF05AD" w:rsidRPr="00CE2185">
        <w:rPr>
          <w:noProof/>
        </w:rPr>
        <w:t>standardisation processes</w:t>
      </w:r>
      <w:r w:rsidRPr="00CE2185">
        <w:rPr>
          <w:noProof/>
        </w:rPr>
        <w:t>, which was underlined by the stakeholders as important tasks of the agency</w:t>
      </w:r>
      <w:r w:rsidR="00175FF8" w:rsidRPr="00CE2185">
        <w:rPr>
          <w:noProof/>
        </w:rPr>
        <w:t xml:space="preserve">. </w:t>
      </w:r>
      <w:r w:rsidR="29BD5615" w:rsidRPr="00CE2185">
        <w:rPr>
          <w:b/>
          <w:bCs/>
          <w:noProof/>
        </w:rPr>
        <w:t>They are reinforcing</w:t>
      </w:r>
      <w:r w:rsidR="42E93B38" w:rsidRPr="00CE2185">
        <w:rPr>
          <w:b/>
          <w:bCs/>
          <w:noProof/>
        </w:rPr>
        <w:t xml:space="preserve"> </w:t>
      </w:r>
      <w:r w:rsidR="024A89E9" w:rsidRPr="00CE2185">
        <w:rPr>
          <w:b/>
          <w:bCs/>
          <w:noProof/>
        </w:rPr>
        <w:t>options B1/B2/B3</w:t>
      </w:r>
      <w:r w:rsidR="7DD113BD" w:rsidRPr="00CE2185">
        <w:rPr>
          <w:b/>
          <w:bCs/>
          <w:noProof/>
        </w:rPr>
        <w:t>.</w:t>
      </w:r>
    </w:p>
    <w:p w14:paraId="3E846317" w14:textId="77777777" w:rsidR="00862D8B" w:rsidRPr="00CE2185" w:rsidRDefault="00C57B8F" w:rsidP="00795DF0">
      <w:pPr>
        <w:pStyle w:val="Text2"/>
        <w:spacing w:after="120"/>
        <w:ind w:left="0"/>
        <w:rPr>
          <w:noProof/>
        </w:rPr>
      </w:pPr>
      <w:r w:rsidRPr="00CE2185">
        <w:rPr>
          <w:noProof/>
        </w:rPr>
        <w:t xml:space="preserve">Similarly, </w:t>
      </w:r>
      <w:r w:rsidRPr="00CE2185">
        <w:rPr>
          <w:b/>
          <w:noProof/>
        </w:rPr>
        <w:t>options C.2 and C.3</w:t>
      </w:r>
      <w:r w:rsidRPr="00CE2185">
        <w:rPr>
          <w:noProof/>
        </w:rPr>
        <w:t xml:space="preserve"> would not be possible to deliver on </w:t>
      </w:r>
      <w:r w:rsidR="00090BF5" w:rsidRPr="00CE2185">
        <w:rPr>
          <w:noProof/>
        </w:rPr>
        <w:t xml:space="preserve">further facilitation of compliance with cybersecurity risk-management measures for multi-country entities </w:t>
      </w:r>
      <w:r w:rsidR="00725BD1" w:rsidRPr="00CE2185">
        <w:rPr>
          <w:b/>
          <w:noProof/>
        </w:rPr>
        <w:t>without options A.2 and A.3</w:t>
      </w:r>
      <w:r w:rsidR="00725BD1" w:rsidRPr="00CE2185">
        <w:rPr>
          <w:noProof/>
        </w:rPr>
        <w:t xml:space="preserve"> giving</w:t>
      </w:r>
      <w:r w:rsidR="00090BF5" w:rsidRPr="00CE2185">
        <w:rPr>
          <w:noProof/>
        </w:rPr>
        <w:t xml:space="preserve"> ENISA </w:t>
      </w:r>
      <w:r w:rsidR="00725BD1" w:rsidRPr="00CE2185">
        <w:rPr>
          <w:noProof/>
        </w:rPr>
        <w:t>a task to support</w:t>
      </w:r>
      <w:r w:rsidR="00090BF5" w:rsidRPr="00CE2185">
        <w:rPr>
          <w:noProof/>
        </w:rPr>
        <w:t xml:space="preserve"> Member States</w:t>
      </w:r>
      <w:r w:rsidR="00725BD1" w:rsidRPr="00CE2185">
        <w:rPr>
          <w:noProof/>
        </w:rPr>
        <w:t>.</w:t>
      </w:r>
      <w:r w:rsidR="00090BF5" w:rsidRPr="00CE2185">
        <w:rPr>
          <w:noProof/>
        </w:rPr>
        <w:t xml:space="preserve">  </w:t>
      </w:r>
    </w:p>
    <w:p w14:paraId="7A407FB9" w14:textId="458A53A2" w:rsidR="00090BF5" w:rsidRPr="00CE2185" w:rsidRDefault="00445522" w:rsidP="00795DF0">
      <w:pPr>
        <w:pStyle w:val="Text2"/>
        <w:spacing w:after="120"/>
        <w:ind w:left="0"/>
        <w:rPr>
          <w:noProof/>
          <w:u w:val="single"/>
        </w:rPr>
      </w:pPr>
      <w:r w:rsidRPr="00CE2185">
        <w:rPr>
          <w:noProof/>
        </w:rPr>
        <w:t>Overall, taking SPO1 and SPO2, the effectiveness of A1 can be assessed low, while A3 would be moderate (given shortcomings in meetings M</w:t>
      </w:r>
      <w:r w:rsidR="00A75860" w:rsidRPr="00CE2185">
        <w:rPr>
          <w:noProof/>
        </w:rPr>
        <w:t>ember States</w:t>
      </w:r>
      <w:r w:rsidRPr="00CE2185">
        <w:rPr>
          <w:noProof/>
        </w:rPr>
        <w:t xml:space="preserve">’ needs) and A2 would be </w:t>
      </w:r>
      <w:r w:rsidRPr="00CE2185">
        <w:rPr>
          <w:b/>
          <w:noProof/>
        </w:rPr>
        <w:t>high</w:t>
      </w:r>
      <w:r w:rsidRPr="00CE2185">
        <w:rPr>
          <w:noProof/>
        </w:rPr>
        <w:t>.</w:t>
      </w:r>
      <w:r w:rsidR="00090BF5" w:rsidRPr="00CE2185">
        <w:rPr>
          <w:noProof/>
        </w:rPr>
        <w:t xml:space="preserve"> </w:t>
      </w:r>
    </w:p>
    <w:p w14:paraId="71A1F657" w14:textId="1770D54B" w:rsidR="005C42C7" w:rsidRPr="00CE2185" w:rsidRDefault="005C42C7" w:rsidP="005C42C7">
      <w:pPr>
        <w:spacing w:before="120" w:after="120"/>
        <w:textAlignment w:val="baseline"/>
        <w:rPr>
          <w:rFonts w:eastAsia="Yu Gothic Light"/>
          <w:bCs/>
          <w:i/>
          <w:noProof/>
          <w:lang w:eastAsia="en-GB"/>
        </w:rPr>
      </w:pPr>
    </w:p>
    <w:p w14:paraId="6EB641A7" w14:textId="0CECD27C" w:rsidR="005C42C7" w:rsidRPr="00CE2185" w:rsidRDefault="00E87176" w:rsidP="00EE3DF9">
      <w:pPr>
        <w:pStyle w:val="ListParagraph"/>
        <w:numPr>
          <w:ilvl w:val="2"/>
          <w:numId w:val="35"/>
        </w:numPr>
        <w:spacing w:before="120" w:after="120"/>
        <w:textAlignment w:val="baseline"/>
        <w:rPr>
          <w:rFonts w:eastAsia="Yu Gothic Light"/>
          <w:bCs/>
          <w:i/>
          <w:noProof/>
          <w:lang w:eastAsia="en-GB"/>
        </w:rPr>
      </w:pPr>
      <w:r w:rsidRPr="00CE2185">
        <w:rPr>
          <w:rFonts w:eastAsia="Yu Gothic Light"/>
          <w:bCs/>
          <w:i/>
          <w:noProof/>
          <w:lang w:eastAsia="en-GB"/>
        </w:rPr>
        <w:t xml:space="preserve">SPO3: Create the prerequisites for faster delivery of cybersecurity certification schemes driven by market needs by broadening the scope of the ECCF, ensuring effective maintenance and agile procedures and </w:t>
      </w:r>
      <w:r w:rsidR="006F5CCE">
        <w:rPr>
          <w:rFonts w:eastAsia="Yu Gothic Light"/>
          <w:bCs/>
          <w:i/>
          <w:noProof/>
          <w:lang w:eastAsia="en-GB"/>
        </w:rPr>
        <w:t>increasing</w:t>
      </w:r>
      <w:r w:rsidR="006F5CCE" w:rsidRPr="00CE2185">
        <w:rPr>
          <w:rFonts w:eastAsia="Yu Gothic Light"/>
          <w:bCs/>
          <w:i/>
          <w:noProof/>
          <w:lang w:eastAsia="en-GB"/>
        </w:rPr>
        <w:t xml:space="preserve"> </w:t>
      </w:r>
      <w:r w:rsidRPr="00CE2185">
        <w:rPr>
          <w:rFonts w:eastAsia="Yu Gothic Light"/>
          <w:bCs/>
          <w:i/>
          <w:noProof/>
          <w:lang w:eastAsia="en-GB"/>
        </w:rPr>
        <w:t>transparency.</w:t>
      </w:r>
    </w:p>
    <w:p w14:paraId="2518AD90" w14:textId="7CA5F4B4" w:rsidR="00494EE3" w:rsidRPr="00CE2185" w:rsidRDefault="00E9654C" w:rsidP="00795DF0">
      <w:pPr>
        <w:spacing w:after="120"/>
        <w:textAlignment w:val="baseline"/>
        <w:rPr>
          <w:rFonts w:eastAsia="Yu Gothic Light"/>
          <w:bCs/>
          <w:iCs/>
          <w:noProof/>
          <w:lang w:eastAsia="en-GB"/>
        </w:rPr>
      </w:pPr>
      <w:r w:rsidRPr="00CE2185">
        <w:rPr>
          <w:rFonts w:eastAsia="Yu Gothic Light"/>
          <w:bCs/>
          <w:iCs/>
          <w:noProof/>
          <w:lang w:eastAsia="en-GB"/>
        </w:rPr>
        <w:t>Options B are</w:t>
      </w:r>
      <w:r w:rsidR="008B729E" w:rsidRPr="00CE2185">
        <w:rPr>
          <w:rFonts w:eastAsia="Yu Gothic Light"/>
          <w:bCs/>
          <w:iCs/>
          <w:noProof/>
          <w:lang w:eastAsia="en-GB"/>
        </w:rPr>
        <w:t xml:space="preserve"> addressing this specific objective</w:t>
      </w:r>
      <w:r w:rsidR="00004E03" w:rsidRPr="00CE2185">
        <w:rPr>
          <w:rFonts w:eastAsia="Yu Gothic Light"/>
          <w:bCs/>
          <w:iCs/>
          <w:noProof/>
          <w:lang w:eastAsia="en-GB"/>
        </w:rPr>
        <w:t xml:space="preserve"> (in combination with other </w:t>
      </w:r>
      <w:r w:rsidR="00FF3239" w:rsidRPr="00CE2185">
        <w:rPr>
          <w:rFonts w:eastAsia="Yu Gothic Light"/>
          <w:bCs/>
          <w:iCs/>
          <w:noProof/>
          <w:lang w:eastAsia="en-GB"/>
        </w:rPr>
        <w:t>policy options)</w:t>
      </w:r>
      <w:r w:rsidR="008B729E" w:rsidRPr="00CE2185">
        <w:rPr>
          <w:rFonts w:eastAsia="Yu Gothic Light"/>
          <w:bCs/>
          <w:iCs/>
          <w:noProof/>
          <w:lang w:eastAsia="en-GB"/>
        </w:rPr>
        <w:t xml:space="preserve">. Option </w:t>
      </w:r>
      <w:r w:rsidR="008B729E" w:rsidRPr="00CE2185">
        <w:rPr>
          <w:rFonts w:eastAsia="Yu Gothic Light"/>
          <w:b/>
          <w:noProof/>
          <w:lang w:eastAsia="en-GB"/>
        </w:rPr>
        <w:t>B.1</w:t>
      </w:r>
      <w:r w:rsidR="008B729E" w:rsidRPr="00CE2185">
        <w:rPr>
          <w:rFonts w:eastAsia="Yu Gothic Light"/>
          <w:bCs/>
          <w:iCs/>
          <w:noProof/>
          <w:lang w:eastAsia="en-GB"/>
        </w:rPr>
        <w:t xml:space="preserve">, while providing for clarification, will not </w:t>
      </w:r>
      <w:r w:rsidR="00B21531" w:rsidRPr="00CE2185">
        <w:rPr>
          <w:rFonts w:eastAsia="Yu Gothic Light"/>
          <w:bCs/>
          <w:iCs/>
          <w:noProof/>
          <w:lang w:eastAsia="en-GB"/>
        </w:rPr>
        <w:t>provide for a</w:t>
      </w:r>
      <w:r w:rsidR="009778D5" w:rsidRPr="00CE2185">
        <w:rPr>
          <w:rFonts w:eastAsia="Yu Gothic Light"/>
          <w:bCs/>
          <w:iCs/>
          <w:noProof/>
          <w:lang w:eastAsia="en-GB"/>
        </w:rPr>
        <w:t>n</w:t>
      </w:r>
      <w:r w:rsidR="00B21531" w:rsidRPr="00CE2185">
        <w:rPr>
          <w:rFonts w:eastAsia="Yu Gothic Light"/>
          <w:bCs/>
          <w:iCs/>
          <w:noProof/>
          <w:lang w:eastAsia="en-GB"/>
        </w:rPr>
        <w:t xml:space="preserve"> in-depth reform of the ECCF, therefore its effectiveness to achieve the objective </w:t>
      </w:r>
      <w:r w:rsidR="009778D5" w:rsidRPr="00CE2185">
        <w:rPr>
          <w:rFonts w:eastAsia="Yu Gothic Light"/>
          <w:bCs/>
          <w:iCs/>
          <w:noProof/>
          <w:lang w:eastAsia="en-GB"/>
        </w:rPr>
        <w:t xml:space="preserve">is </w:t>
      </w:r>
      <w:r w:rsidR="009778D5" w:rsidRPr="00CE2185">
        <w:rPr>
          <w:rFonts w:eastAsia="Yu Gothic Light"/>
          <w:b/>
          <w:iCs/>
          <w:noProof/>
          <w:lang w:eastAsia="en-GB"/>
        </w:rPr>
        <w:t>low</w:t>
      </w:r>
      <w:r w:rsidR="00B21531" w:rsidRPr="00CE2185">
        <w:rPr>
          <w:rFonts w:eastAsia="Yu Gothic Light"/>
          <w:bCs/>
          <w:iCs/>
          <w:noProof/>
          <w:lang w:eastAsia="en-GB"/>
        </w:rPr>
        <w:t xml:space="preserve"> as the </w:t>
      </w:r>
      <w:r w:rsidR="00FF3239" w:rsidRPr="00CE2185">
        <w:rPr>
          <w:rFonts w:eastAsia="Yu Gothic Light"/>
          <w:bCs/>
          <w:iCs/>
          <w:noProof/>
          <w:lang w:eastAsia="en-GB"/>
        </w:rPr>
        <w:t>procedural shortcoming</w:t>
      </w:r>
      <w:r w:rsidR="001C33EA" w:rsidRPr="00CE2185">
        <w:rPr>
          <w:rFonts w:eastAsia="Yu Gothic Light"/>
          <w:bCs/>
          <w:iCs/>
          <w:noProof/>
          <w:lang w:eastAsia="en-GB"/>
        </w:rPr>
        <w:t xml:space="preserve"> </w:t>
      </w:r>
      <w:r w:rsidR="00FF3239" w:rsidRPr="00CE2185">
        <w:rPr>
          <w:rFonts w:eastAsia="Yu Gothic Light"/>
          <w:bCs/>
          <w:iCs/>
          <w:noProof/>
          <w:lang w:eastAsia="en-GB"/>
        </w:rPr>
        <w:t>o</w:t>
      </w:r>
      <w:r w:rsidR="001C33EA" w:rsidRPr="00CE2185">
        <w:rPr>
          <w:rFonts w:eastAsia="Yu Gothic Light"/>
          <w:bCs/>
          <w:iCs/>
          <w:noProof/>
          <w:lang w:eastAsia="en-GB"/>
        </w:rPr>
        <w:t xml:space="preserve">f the ECCF will remain in place. </w:t>
      </w:r>
    </w:p>
    <w:p w14:paraId="6D05D38F" w14:textId="03EE6806" w:rsidR="005C42C7" w:rsidRPr="00CE2185" w:rsidRDefault="001C33EA" w:rsidP="00795DF0">
      <w:pPr>
        <w:spacing w:after="120"/>
        <w:textAlignment w:val="baseline"/>
        <w:rPr>
          <w:rFonts w:eastAsia="Yu Gothic Light"/>
          <w:noProof/>
          <w:lang w:eastAsia="en-GB"/>
        </w:rPr>
      </w:pPr>
      <w:r w:rsidRPr="00CE2185">
        <w:rPr>
          <w:rFonts w:eastAsia="Yu Gothic Light"/>
          <w:b/>
          <w:noProof/>
          <w:lang w:eastAsia="en-GB"/>
        </w:rPr>
        <w:t>B.2</w:t>
      </w:r>
      <w:r w:rsidRPr="00CE2185">
        <w:rPr>
          <w:rFonts w:eastAsia="Yu Gothic Light"/>
          <w:bCs/>
          <w:iCs/>
          <w:noProof/>
          <w:lang w:eastAsia="en-GB"/>
        </w:rPr>
        <w:t xml:space="preserve"> establishes a structured, inclusive, and forward-looking process for certification scheme development, including organisational certification. These changes are expected to result in faster scheme delivery time, thus reducing fragmentation of certification and improving level of cybersecurity across the EU. This will ultimately foster a chain of trust among economical operators and facilitate uptake of digital technologies. </w:t>
      </w:r>
      <w:r w:rsidR="00BE59C5" w:rsidRPr="00CE2185">
        <w:rPr>
          <w:rFonts w:eastAsia="Yu Gothic Light"/>
          <w:bCs/>
          <w:iCs/>
          <w:noProof/>
          <w:lang w:eastAsia="en-GB"/>
        </w:rPr>
        <w:t>It provides for all the necessary changes to ensure effective maintenance, agile procedures and en</w:t>
      </w:r>
      <w:r w:rsidR="009B4370" w:rsidRPr="00CE2185">
        <w:rPr>
          <w:rFonts w:eastAsia="Yu Gothic Light"/>
          <w:bCs/>
          <w:iCs/>
          <w:noProof/>
          <w:lang w:eastAsia="en-GB"/>
        </w:rPr>
        <w:t>hanced transparency to effectively achieve the objective.</w:t>
      </w:r>
      <w:r w:rsidRPr="00CE2185">
        <w:rPr>
          <w:rFonts w:eastAsia="Yu Gothic Light"/>
          <w:bCs/>
          <w:iCs/>
          <w:noProof/>
          <w:lang w:eastAsia="en-GB"/>
        </w:rPr>
        <w:t xml:space="preserve"> </w:t>
      </w:r>
      <w:r w:rsidRPr="00CE2185">
        <w:rPr>
          <w:rFonts w:eastAsia="Yu Gothic Light"/>
          <w:b/>
          <w:noProof/>
          <w:lang w:eastAsia="en-GB"/>
        </w:rPr>
        <w:t>B.3</w:t>
      </w:r>
      <w:r w:rsidRPr="00CE2185">
        <w:rPr>
          <w:rFonts w:eastAsia="Yu Gothic Light"/>
          <w:bCs/>
          <w:iCs/>
          <w:noProof/>
          <w:lang w:eastAsia="en-GB"/>
        </w:rPr>
        <w:t xml:space="preserve"> builds on B.2</w:t>
      </w:r>
      <w:r w:rsidRPr="00CE2185">
        <w:rPr>
          <w:rFonts w:eastAsia="Yu Gothic Light"/>
          <w:noProof/>
          <w:lang w:eastAsia="en-GB"/>
        </w:rPr>
        <w:t xml:space="preserve"> </w:t>
      </w:r>
      <w:r w:rsidR="364D4772" w:rsidRPr="00CE2185">
        <w:rPr>
          <w:rFonts w:eastAsia="Yu Gothic Light"/>
          <w:noProof/>
          <w:lang w:eastAsia="en-GB"/>
        </w:rPr>
        <w:t>providing for</w:t>
      </w:r>
      <w:r w:rsidRPr="00CE2185">
        <w:rPr>
          <w:rFonts w:eastAsia="Yu Gothic Light"/>
          <w:bCs/>
          <w:iCs/>
          <w:noProof/>
          <w:lang w:eastAsia="en-GB"/>
        </w:rPr>
        <w:t xml:space="preserve"> mandatory certification in specific risk scenarios / uses </w:t>
      </w:r>
      <w:r w:rsidR="00032D5B" w:rsidRPr="00CE2185">
        <w:rPr>
          <w:rFonts w:eastAsia="Yu Gothic Light"/>
          <w:bCs/>
          <w:iCs/>
          <w:noProof/>
          <w:lang w:eastAsia="en-GB"/>
        </w:rPr>
        <w:t xml:space="preserve">for NIS 2 entities operating </w:t>
      </w:r>
      <w:r w:rsidRPr="00CE2185">
        <w:rPr>
          <w:rFonts w:eastAsia="Yu Gothic Light"/>
          <w:bCs/>
          <w:iCs/>
          <w:noProof/>
          <w:lang w:eastAsia="en-GB"/>
        </w:rPr>
        <w:t xml:space="preserve">in the </w:t>
      </w:r>
      <w:r w:rsidR="00FE35B5" w:rsidRPr="00CE2185">
        <w:rPr>
          <w:rFonts w:eastAsia="Yu Gothic Light"/>
          <w:bCs/>
          <w:iCs/>
          <w:noProof/>
          <w:lang w:eastAsia="en-GB"/>
        </w:rPr>
        <w:t>highly critical sectors. This</w:t>
      </w:r>
      <w:r w:rsidR="00036D82" w:rsidRPr="00CE2185">
        <w:rPr>
          <w:rFonts w:eastAsia="Yu Gothic Light"/>
          <w:bCs/>
          <w:iCs/>
          <w:noProof/>
          <w:lang w:eastAsia="en-GB"/>
        </w:rPr>
        <w:t xml:space="preserve"> could have an enhanced effectiveness</w:t>
      </w:r>
      <w:r w:rsidRPr="00CE2185">
        <w:rPr>
          <w:rFonts w:eastAsia="Yu Gothic Light"/>
          <w:bCs/>
          <w:iCs/>
          <w:noProof/>
          <w:lang w:eastAsia="en-GB"/>
        </w:rPr>
        <w:t xml:space="preserve"> </w:t>
      </w:r>
      <w:r w:rsidR="005B43C8" w:rsidRPr="00CE2185">
        <w:rPr>
          <w:rFonts w:eastAsia="Yu Gothic Light"/>
          <w:bCs/>
          <w:iCs/>
          <w:noProof/>
          <w:lang w:eastAsia="en-GB"/>
        </w:rPr>
        <w:t xml:space="preserve">on </w:t>
      </w:r>
      <w:r w:rsidRPr="00CE2185">
        <w:rPr>
          <w:rFonts w:eastAsia="Yu Gothic Light"/>
          <w:bCs/>
          <w:iCs/>
          <w:noProof/>
          <w:lang w:eastAsia="en-GB"/>
        </w:rPr>
        <w:t xml:space="preserve">delivering </w:t>
      </w:r>
      <w:r w:rsidR="005B43C8" w:rsidRPr="00CE2185">
        <w:rPr>
          <w:rFonts w:eastAsia="Yu Gothic Light"/>
          <w:bCs/>
          <w:iCs/>
          <w:noProof/>
          <w:lang w:eastAsia="en-GB"/>
        </w:rPr>
        <w:t>on</w:t>
      </w:r>
      <w:r w:rsidRPr="00CE2185">
        <w:rPr>
          <w:rFonts w:eastAsia="Yu Gothic Light"/>
          <w:bCs/>
          <w:iCs/>
          <w:noProof/>
          <w:lang w:eastAsia="en-GB"/>
        </w:rPr>
        <w:t xml:space="preserve"> cybersecurity</w:t>
      </w:r>
      <w:r w:rsidR="005B43C8" w:rsidRPr="00CE2185">
        <w:rPr>
          <w:rFonts w:eastAsia="Yu Gothic Light"/>
          <w:bCs/>
          <w:iCs/>
          <w:noProof/>
          <w:lang w:eastAsia="en-GB"/>
        </w:rPr>
        <w:t xml:space="preserve"> assurance for critical infrastructure</w:t>
      </w:r>
      <w:r w:rsidR="00036D82" w:rsidRPr="00CE2185">
        <w:rPr>
          <w:rFonts w:eastAsia="Yu Gothic Light"/>
          <w:bCs/>
          <w:iCs/>
          <w:noProof/>
          <w:lang w:eastAsia="en-GB"/>
        </w:rPr>
        <w:t>.</w:t>
      </w:r>
    </w:p>
    <w:p w14:paraId="372BD099" w14:textId="1AE72D3A" w:rsidR="00386AFB" w:rsidRPr="00CE2185" w:rsidRDefault="000D0808" w:rsidP="00795DF0">
      <w:pPr>
        <w:spacing w:after="120"/>
        <w:textAlignment w:val="baseline"/>
        <w:rPr>
          <w:rFonts w:eastAsia="Yu Gothic Light"/>
          <w:b/>
          <w:noProof/>
          <w:lang w:eastAsia="en-GB"/>
        </w:rPr>
      </w:pPr>
      <w:r w:rsidRPr="00CE2185">
        <w:rPr>
          <w:rFonts w:eastAsia="Yu Gothic Light"/>
          <w:bCs/>
          <w:iCs/>
          <w:noProof/>
          <w:lang w:eastAsia="en-GB"/>
        </w:rPr>
        <w:t xml:space="preserve">While </w:t>
      </w:r>
      <w:r w:rsidRPr="00CE2185">
        <w:rPr>
          <w:rFonts w:eastAsia="Yu Gothic Light"/>
          <w:b/>
          <w:noProof/>
          <w:lang w:eastAsia="en-GB"/>
        </w:rPr>
        <w:t xml:space="preserve">B.2 </w:t>
      </w:r>
      <w:r w:rsidRPr="00CE2185">
        <w:rPr>
          <w:rFonts w:eastAsia="Yu Gothic Light"/>
          <w:b/>
          <w:iCs/>
          <w:noProof/>
          <w:lang w:eastAsia="en-GB"/>
        </w:rPr>
        <w:t>(</w:t>
      </w:r>
      <w:r w:rsidRPr="00CE2185">
        <w:rPr>
          <w:rFonts w:eastAsia="Yu Gothic Light"/>
          <w:b/>
          <w:noProof/>
          <w:lang w:eastAsia="en-GB"/>
        </w:rPr>
        <w:t>and B.3</w:t>
      </w:r>
      <w:r w:rsidRPr="00CE2185">
        <w:rPr>
          <w:rFonts w:eastAsia="Yu Gothic Light"/>
          <w:b/>
          <w:iCs/>
          <w:noProof/>
          <w:lang w:eastAsia="en-GB"/>
        </w:rPr>
        <w:t>)</w:t>
      </w:r>
      <w:r w:rsidRPr="00CE2185">
        <w:rPr>
          <w:rFonts w:eastAsia="Yu Gothic Light"/>
          <w:bCs/>
          <w:iCs/>
          <w:noProof/>
          <w:lang w:eastAsia="en-GB"/>
        </w:rPr>
        <w:t xml:space="preserve"> provide for an effective approach to achieve procedural shortcomings, the adoption of schemes and their successful implementation and uptake will depend on the </w:t>
      </w:r>
      <w:r w:rsidRPr="00CE2185">
        <w:rPr>
          <w:rFonts w:eastAsia="Yu Gothic Light"/>
          <w:noProof/>
          <w:lang w:eastAsia="en-GB"/>
        </w:rPr>
        <w:t>availability</w:t>
      </w:r>
      <w:r w:rsidRPr="00CE2185">
        <w:rPr>
          <w:rFonts w:eastAsia="Yu Gothic Light"/>
          <w:bCs/>
          <w:iCs/>
          <w:noProof/>
          <w:lang w:eastAsia="en-GB"/>
        </w:rPr>
        <w:t xml:space="preserve"> of a mechanism to address non-technical risks in a harmonised way that is provided by </w:t>
      </w:r>
      <w:r w:rsidRPr="00CE2185">
        <w:rPr>
          <w:rFonts w:eastAsia="Yu Gothic Light"/>
          <w:b/>
          <w:iCs/>
          <w:noProof/>
          <w:lang w:eastAsia="en-GB"/>
        </w:rPr>
        <w:t>option D2</w:t>
      </w:r>
      <w:r w:rsidRPr="00CE2185">
        <w:rPr>
          <w:rFonts w:eastAsia="Yu Gothic Light"/>
          <w:bCs/>
          <w:iCs/>
          <w:noProof/>
          <w:lang w:eastAsia="en-GB"/>
        </w:rPr>
        <w:t xml:space="preserve"> (for 5G) and to a greater extent by </w:t>
      </w:r>
      <w:r w:rsidRPr="00CE2185">
        <w:rPr>
          <w:rFonts w:eastAsia="Yu Gothic Light"/>
          <w:b/>
          <w:noProof/>
          <w:lang w:eastAsia="en-GB"/>
        </w:rPr>
        <w:t>option D.3</w:t>
      </w:r>
      <w:r w:rsidRPr="00CE2185">
        <w:rPr>
          <w:rFonts w:eastAsia="Yu Gothic Light"/>
          <w:bCs/>
          <w:iCs/>
          <w:noProof/>
          <w:lang w:eastAsia="en-GB"/>
        </w:rPr>
        <w:t xml:space="preserve">. Without D3, both options </w:t>
      </w:r>
      <w:r w:rsidRPr="00CE2185">
        <w:rPr>
          <w:rFonts w:eastAsia="Yu Gothic Light"/>
          <w:b/>
          <w:noProof/>
          <w:lang w:eastAsia="en-GB"/>
        </w:rPr>
        <w:t>B.2 and B.3</w:t>
      </w:r>
      <w:r w:rsidRPr="00CE2185">
        <w:rPr>
          <w:rFonts w:eastAsia="Yu Gothic Light"/>
          <w:bCs/>
          <w:iCs/>
          <w:noProof/>
          <w:lang w:eastAsia="en-GB"/>
        </w:rPr>
        <w:t xml:space="preserve"> will most probably fail to deliver the EUCS and EU5G schemes (and potentially managed security services scheme). The combination with option D.2 could have a partial improvement of effectiveness as it would allow to deliver the EU5G scheme (but not the other schemes). Therefore, </w:t>
      </w:r>
      <w:r w:rsidRPr="00CE2185">
        <w:rPr>
          <w:rFonts w:eastAsia="Yu Gothic Light"/>
          <w:b/>
          <w:iCs/>
          <w:noProof/>
          <w:lang w:eastAsia="en-GB"/>
        </w:rPr>
        <w:t>only in combination with option D.3 those options are consider of high effectiveness and of medium effectiveness if combined with option D.2</w:t>
      </w:r>
      <w:r>
        <w:rPr>
          <w:rFonts w:eastAsia="Yu Gothic Light"/>
          <w:b/>
          <w:noProof/>
          <w:lang w:eastAsia="en-GB"/>
        </w:rPr>
        <w:t>.</w:t>
      </w:r>
    </w:p>
    <w:p w14:paraId="539218B8" w14:textId="2FCAA252" w:rsidR="005C42C7" w:rsidRPr="00CE2185" w:rsidRDefault="00B67446" w:rsidP="00795DF0">
      <w:pPr>
        <w:spacing w:after="120"/>
        <w:textAlignment w:val="baseline"/>
        <w:rPr>
          <w:rFonts w:eastAsia="Yu Gothic Light"/>
          <w:b/>
          <w:noProof/>
          <w:lang w:eastAsia="en-GB"/>
        </w:rPr>
      </w:pPr>
      <w:r w:rsidRPr="00CE2185">
        <w:rPr>
          <w:rFonts w:eastAsia="Yu Gothic Light"/>
          <w:bCs/>
          <w:iCs/>
          <w:noProof/>
          <w:lang w:eastAsia="en-GB"/>
        </w:rPr>
        <w:t xml:space="preserve">Options B are also </w:t>
      </w:r>
      <w:r w:rsidR="00914C8D" w:rsidRPr="00CE2185">
        <w:rPr>
          <w:rFonts w:eastAsia="Yu Gothic Light"/>
          <w:bCs/>
          <w:iCs/>
          <w:noProof/>
          <w:lang w:eastAsia="en-GB"/>
        </w:rPr>
        <w:t>interlinked with options C.2 and C.3 when it comes for the certification of organisations</w:t>
      </w:r>
      <w:r w:rsidR="008C3B35" w:rsidRPr="00CE2185">
        <w:rPr>
          <w:rFonts w:eastAsia="Yu Gothic Light"/>
          <w:bCs/>
          <w:iCs/>
          <w:noProof/>
          <w:lang w:eastAsia="en-GB"/>
        </w:rPr>
        <w:t xml:space="preserve">. Without the possibility to demonstrate compliance </w:t>
      </w:r>
      <w:r w:rsidR="00704D82" w:rsidRPr="00CE2185">
        <w:rPr>
          <w:rFonts w:eastAsia="Yu Gothic Light"/>
          <w:bCs/>
          <w:iCs/>
          <w:noProof/>
          <w:lang w:eastAsia="en-GB"/>
        </w:rPr>
        <w:t>as provided by options C2/C.3</w:t>
      </w:r>
      <w:r w:rsidR="006F74FD" w:rsidRPr="00CE2185">
        <w:rPr>
          <w:rFonts w:eastAsia="Yu Gothic Light"/>
          <w:bCs/>
          <w:iCs/>
          <w:noProof/>
          <w:lang w:eastAsia="en-GB"/>
        </w:rPr>
        <w:t>, the added value of this additional certification scheme will be very limited, and in case of option B.3</w:t>
      </w:r>
      <w:r w:rsidR="005A1562" w:rsidRPr="00CE2185">
        <w:rPr>
          <w:rFonts w:eastAsia="Yu Gothic Light"/>
          <w:bCs/>
          <w:iCs/>
          <w:noProof/>
          <w:lang w:eastAsia="en-GB"/>
        </w:rPr>
        <w:t xml:space="preserve"> </w:t>
      </w:r>
      <w:r w:rsidR="00D965CE" w:rsidRPr="00CE2185">
        <w:rPr>
          <w:rFonts w:eastAsia="Yu Gothic Light"/>
          <w:bCs/>
          <w:iCs/>
          <w:noProof/>
          <w:lang w:eastAsia="en-GB"/>
        </w:rPr>
        <w:t xml:space="preserve">- </w:t>
      </w:r>
      <w:r w:rsidR="005A1562" w:rsidRPr="00CE2185">
        <w:rPr>
          <w:rFonts w:eastAsia="Yu Gothic Light"/>
          <w:bCs/>
          <w:iCs/>
          <w:noProof/>
          <w:lang w:eastAsia="en-GB"/>
        </w:rPr>
        <w:t>not proportionate (mandatory certification).</w:t>
      </w:r>
      <w:r w:rsidR="00F548E9" w:rsidRPr="00CE2185">
        <w:rPr>
          <w:rFonts w:eastAsia="Yu Gothic Light"/>
          <w:bCs/>
          <w:iCs/>
          <w:noProof/>
          <w:lang w:eastAsia="en-GB"/>
        </w:rPr>
        <w:t xml:space="preserve"> Therefore, </w:t>
      </w:r>
      <w:r w:rsidR="00F548E9" w:rsidRPr="00CE2185">
        <w:rPr>
          <w:rFonts w:eastAsia="Yu Gothic Light"/>
          <w:b/>
          <w:iCs/>
          <w:noProof/>
          <w:lang w:eastAsia="en-GB"/>
        </w:rPr>
        <w:t>only in combination with options C.2/C.3, options B.2 and B.3 can be considered of high effectiveness.</w:t>
      </w:r>
    </w:p>
    <w:p w14:paraId="14C7F872" w14:textId="2E1144DE" w:rsidR="00477CF1" w:rsidRPr="00CE2185" w:rsidRDefault="00E87176" w:rsidP="00EE3DF9">
      <w:pPr>
        <w:pStyle w:val="ListParagraph"/>
        <w:numPr>
          <w:ilvl w:val="2"/>
          <w:numId w:val="35"/>
        </w:numPr>
        <w:spacing w:before="120" w:after="120"/>
        <w:textAlignment w:val="baseline"/>
        <w:rPr>
          <w:rFonts w:eastAsia="Yu Gothic Light"/>
          <w:bCs/>
          <w:i/>
          <w:noProof/>
          <w:lang w:eastAsia="en-GB"/>
        </w:rPr>
      </w:pPr>
      <w:r w:rsidRPr="00CE2185">
        <w:rPr>
          <w:rFonts w:eastAsia="Yu Gothic Light"/>
          <w:bCs/>
          <w:i/>
          <w:noProof/>
          <w:lang w:eastAsia="en-GB"/>
        </w:rPr>
        <w:t xml:space="preserve">SPO4: </w:t>
      </w:r>
      <w:r w:rsidR="006F5CCE">
        <w:rPr>
          <w:rFonts w:eastAsia="Yu Gothic Light"/>
          <w:bCs/>
          <w:i/>
          <w:noProof/>
          <w:lang w:eastAsia="en-GB"/>
        </w:rPr>
        <w:t>Create</w:t>
      </w:r>
      <w:r w:rsidR="006F5CCE" w:rsidRPr="00CE2185">
        <w:rPr>
          <w:rFonts w:eastAsia="Yu Gothic Light"/>
          <w:bCs/>
          <w:i/>
          <w:noProof/>
          <w:lang w:eastAsia="en-GB"/>
        </w:rPr>
        <w:t xml:space="preserve"> </w:t>
      </w:r>
      <w:r w:rsidRPr="00CE2185">
        <w:rPr>
          <w:rFonts w:eastAsia="Yu Gothic Light"/>
          <w:bCs/>
          <w:i/>
          <w:noProof/>
          <w:lang w:eastAsia="en-GB"/>
        </w:rPr>
        <w:t>mechanisms and conditions to facilitate compliance with cybersecurity requirements</w:t>
      </w:r>
      <w:r w:rsidR="006F5CCE">
        <w:rPr>
          <w:rFonts w:eastAsia="Yu Gothic Light"/>
          <w:bCs/>
          <w:i/>
          <w:noProof/>
          <w:lang w:eastAsia="en-GB"/>
        </w:rPr>
        <w:t xml:space="preserve">, thereby making </w:t>
      </w:r>
      <w:r w:rsidRPr="00CE2185">
        <w:rPr>
          <w:rFonts w:eastAsia="Yu Gothic Light"/>
          <w:bCs/>
          <w:i/>
          <w:noProof/>
          <w:lang w:eastAsia="en-GB"/>
        </w:rPr>
        <w:t xml:space="preserve"> their implementation more coherent and effective.  </w:t>
      </w:r>
    </w:p>
    <w:p w14:paraId="1F73F729" w14:textId="325D2C05" w:rsidR="00E9654C" w:rsidRPr="00CE2185" w:rsidRDefault="003B2F6F" w:rsidP="00795DF0">
      <w:pPr>
        <w:spacing w:after="120"/>
        <w:textAlignment w:val="baseline"/>
        <w:rPr>
          <w:rFonts w:eastAsia="Yu Gothic Light"/>
          <w:bCs/>
          <w:iCs/>
          <w:noProof/>
          <w:lang w:eastAsia="en-GB"/>
        </w:rPr>
      </w:pPr>
      <w:r w:rsidRPr="00CE2185">
        <w:rPr>
          <w:rFonts w:eastAsia="Yu Gothic Light"/>
          <w:bCs/>
          <w:iCs/>
          <w:noProof/>
          <w:lang w:eastAsia="en-GB"/>
        </w:rPr>
        <w:t xml:space="preserve">Options C are addressing this specific objective to a different extend. Option </w:t>
      </w:r>
      <w:r w:rsidRPr="00CE2185">
        <w:rPr>
          <w:rFonts w:eastAsia="Yu Gothic Light"/>
          <w:b/>
          <w:noProof/>
          <w:lang w:eastAsia="en-GB"/>
        </w:rPr>
        <w:t>C.1</w:t>
      </w:r>
      <w:r w:rsidRPr="00CE2185">
        <w:rPr>
          <w:rFonts w:eastAsia="Yu Gothic Light"/>
          <w:bCs/>
          <w:iCs/>
          <w:noProof/>
          <w:lang w:eastAsia="en-GB"/>
        </w:rPr>
        <w:t xml:space="preserve"> in </w:t>
      </w:r>
      <w:r w:rsidR="00450A6A" w:rsidRPr="00CE2185">
        <w:rPr>
          <w:rFonts w:eastAsia="Yu Gothic Light"/>
          <w:bCs/>
          <w:iCs/>
          <w:noProof/>
          <w:lang w:eastAsia="en-GB"/>
        </w:rPr>
        <w:t xml:space="preserve">a soft law option. </w:t>
      </w:r>
      <w:r w:rsidRPr="00CE2185">
        <w:rPr>
          <w:rFonts w:eastAsia="Yu Gothic Light"/>
          <w:bCs/>
          <w:iCs/>
          <w:noProof/>
          <w:lang w:eastAsia="en-GB"/>
        </w:rPr>
        <w:t>While the envisaged measures may generate marginal improvements in the understanding of the existing frameworks and their functioning, further specifying measures within the limits of implementing act empowerments</w:t>
      </w:r>
      <w:r w:rsidR="007C3AB3" w:rsidRPr="00CE2185">
        <w:rPr>
          <w:rFonts w:eastAsia="Yu Gothic Light"/>
          <w:bCs/>
          <w:iCs/>
          <w:noProof/>
          <w:lang w:eastAsia="en-GB"/>
        </w:rPr>
        <w:t xml:space="preserve"> (minimal harmonisation)</w:t>
      </w:r>
      <w:r w:rsidR="00193CD2" w:rsidRPr="00CE2185">
        <w:rPr>
          <w:rFonts w:eastAsia="Yu Gothic Light"/>
          <w:bCs/>
          <w:iCs/>
          <w:noProof/>
          <w:lang w:eastAsia="en-GB"/>
        </w:rPr>
        <w:t>. E</w:t>
      </w:r>
      <w:r w:rsidRPr="00CE2185">
        <w:rPr>
          <w:rFonts w:eastAsia="Yu Gothic Light"/>
          <w:bCs/>
          <w:iCs/>
          <w:noProof/>
          <w:lang w:eastAsia="en-GB"/>
        </w:rPr>
        <w:t>nhanced cooperation would not address structural fragmentation, nor ensure legal certainty where there is unclarity on scope, nor address fragmentation of compliance requirements or supervisory approaches across Member States.</w:t>
      </w:r>
      <w:r w:rsidR="009C6A2D" w:rsidRPr="00CE2185">
        <w:rPr>
          <w:rFonts w:eastAsia="Yu Gothic Light"/>
          <w:bCs/>
          <w:iCs/>
          <w:noProof/>
          <w:lang w:eastAsia="en-GB"/>
        </w:rPr>
        <w:t xml:space="preserve"> </w:t>
      </w:r>
      <w:r w:rsidR="00A50585" w:rsidRPr="00CE2185">
        <w:rPr>
          <w:rFonts w:eastAsia="Yu Gothic Light"/>
          <w:bCs/>
          <w:iCs/>
          <w:noProof/>
          <w:lang w:eastAsia="en-GB"/>
        </w:rPr>
        <w:t xml:space="preserve">Therefore, this option is assessed as of </w:t>
      </w:r>
      <w:r w:rsidR="00A50585" w:rsidRPr="00CE2185">
        <w:rPr>
          <w:rFonts w:eastAsia="Yu Gothic Light"/>
          <w:b/>
          <w:iCs/>
          <w:noProof/>
          <w:lang w:eastAsia="en-GB"/>
        </w:rPr>
        <w:t>low effectiveness</w:t>
      </w:r>
      <w:r w:rsidR="00A50585" w:rsidRPr="00CE2185">
        <w:rPr>
          <w:rFonts w:eastAsia="Yu Gothic Light"/>
          <w:bCs/>
          <w:iCs/>
          <w:noProof/>
          <w:lang w:eastAsia="en-GB"/>
        </w:rPr>
        <w:t>.</w:t>
      </w:r>
    </w:p>
    <w:p w14:paraId="7640CCCD" w14:textId="3C76CCE1" w:rsidR="00E9654C" w:rsidRPr="00CE2185" w:rsidRDefault="009C6A2D" w:rsidP="00795DF0">
      <w:pPr>
        <w:spacing w:after="120"/>
        <w:textAlignment w:val="baseline"/>
        <w:rPr>
          <w:rFonts w:eastAsia="Yu Gothic Light"/>
          <w:bCs/>
          <w:iCs/>
          <w:noProof/>
          <w:lang w:eastAsia="en-GB"/>
        </w:rPr>
      </w:pPr>
      <w:r w:rsidRPr="00CE2185">
        <w:rPr>
          <w:rFonts w:eastAsia="Yu Gothic Light"/>
          <w:bCs/>
          <w:iCs/>
          <w:noProof/>
          <w:lang w:eastAsia="en-GB"/>
        </w:rPr>
        <w:t>Option C.2</w:t>
      </w:r>
      <w:r w:rsidR="00F42D95" w:rsidRPr="00CE2185">
        <w:rPr>
          <w:rFonts w:eastAsia="Yu Gothic Light"/>
          <w:bCs/>
          <w:iCs/>
          <w:noProof/>
          <w:lang w:eastAsia="en-GB"/>
        </w:rPr>
        <w:t xml:space="preserve"> delivers major gains </w:t>
      </w:r>
      <w:r w:rsidR="00A421F1" w:rsidRPr="00CE2185">
        <w:rPr>
          <w:rFonts w:eastAsia="Yu Gothic Light"/>
          <w:bCs/>
          <w:iCs/>
          <w:noProof/>
          <w:lang w:eastAsia="en-GB"/>
        </w:rPr>
        <w:t>through different scope changes,</w:t>
      </w:r>
      <w:r w:rsidR="00F42D95" w:rsidRPr="00CE2185">
        <w:rPr>
          <w:rFonts w:eastAsia="Yu Gothic Light"/>
          <w:bCs/>
          <w:iCs/>
          <w:noProof/>
          <w:lang w:eastAsia="en-GB"/>
        </w:rPr>
        <w:t xml:space="preserve"> creating the framework for a cyber posture certification that can allow entities providing services across several Member States to demonstrate compliance with cybersecurity legislation in one go, while also creating the basis for more coherent and less burdening supervisory approaches across the internal market</w:t>
      </w:r>
      <w:r w:rsidR="00AE658E" w:rsidRPr="00CE2185">
        <w:rPr>
          <w:rFonts w:eastAsia="Yu Gothic Light"/>
          <w:bCs/>
          <w:iCs/>
          <w:noProof/>
          <w:lang w:eastAsia="en-GB"/>
        </w:rPr>
        <w:t xml:space="preserve">, providing also for maximum harmonisation for the NIS 2 Directive implementing acts. </w:t>
      </w:r>
      <w:r w:rsidR="00F42D95" w:rsidRPr="00CE2185">
        <w:rPr>
          <w:rFonts w:eastAsia="Yu Gothic Light"/>
          <w:bCs/>
          <w:iCs/>
          <w:noProof/>
          <w:lang w:eastAsia="en-GB"/>
        </w:rPr>
        <w:t xml:space="preserve">While </w:t>
      </w:r>
      <w:r w:rsidR="00F42D95" w:rsidRPr="00CE2185">
        <w:rPr>
          <w:rFonts w:eastAsia="Yu Gothic Light"/>
          <w:noProof/>
          <w:lang w:eastAsia="en-GB"/>
        </w:rPr>
        <w:t>option C.3 takes</w:t>
      </w:r>
      <w:r w:rsidR="00F42D95" w:rsidRPr="00CE2185">
        <w:rPr>
          <w:rFonts w:eastAsia="Yu Gothic Light"/>
          <w:bCs/>
          <w:iCs/>
          <w:noProof/>
          <w:lang w:eastAsia="en-GB"/>
        </w:rPr>
        <w:t xml:space="preserve"> this further by repealing sector-specific obligations and centralising compliance under the NIS 2 framework, in the short term it would also lead to significant legal uncertainty among stakeholders that are in the process of adapting to the recently adopted legal frameworks that would be subject to a deeper harmonisation</w:t>
      </w:r>
      <w:r w:rsidR="00797803" w:rsidRPr="00CE2185">
        <w:rPr>
          <w:rFonts w:eastAsia="Yu Gothic Light"/>
          <w:bCs/>
          <w:iCs/>
          <w:noProof/>
          <w:lang w:eastAsia="en-GB"/>
        </w:rPr>
        <w:t xml:space="preserve"> (see criteria related to certainty)</w:t>
      </w:r>
      <w:r w:rsidR="00F42D95" w:rsidRPr="00CE2185">
        <w:rPr>
          <w:rFonts w:eastAsia="Yu Gothic Light"/>
          <w:bCs/>
          <w:iCs/>
          <w:noProof/>
          <w:lang w:eastAsia="en-GB"/>
        </w:rPr>
        <w:t>.</w:t>
      </w:r>
      <w:r w:rsidR="00BD3832" w:rsidRPr="00CE2185">
        <w:rPr>
          <w:rFonts w:eastAsia="Yu Gothic Light"/>
          <w:bCs/>
          <w:iCs/>
          <w:noProof/>
          <w:lang w:eastAsia="en-GB"/>
        </w:rPr>
        <w:t xml:space="preserve"> </w:t>
      </w:r>
    </w:p>
    <w:p w14:paraId="67051D2C" w14:textId="0F8EE043" w:rsidR="003B2F6F" w:rsidRPr="00CE2185" w:rsidRDefault="00BD3832" w:rsidP="00795DF0">
      <w:pPr>
        <w:spacing w:after="120"/>
        <w:textAlignment w:val="baseline"/>
        <w:rPr>
          <w:rFonts w:eastAsia="Yu Gothic Light"/>
          <w:b/>
          <w:noProof/>
          <w:lang w:eastAsia="en-GB"/>
        </w:rPr>
      </w:pPr>
      <w:r w:rsidRPr="00CE2185">
        <w:rPr>
          <w:rFonts w:eastAsia="Yu Gothic Light"/>
          <w:bCs/>
          <w:iCs/>
          <w:noProof/>
          <w:lang w:eastAsia="en-GB"/>
        </w:rPr>
        <w:t xml:space="preserve">Both options </w:t>
      </w:r>
      <w:r w:rsidRPr="00CE2185">
        <w:rPr>
          <w:rFonts w:eastAsia="Yu Gothic Light"/>
          <w:b/>
          <w:noProof/>
          <w:lang w:eastAsia="en-GB"/>
        </w:rPr>
        <w:t>C. 2 and C.3</w:t>
      </w:r>
      <w:r w:rsidRPr="00CE2185">
        <w:rPr>
          <w:rFonts w:eastAsia="Yu Gothic Light"/>
          <w:bCs/>
          <w:iCs/>
          <w:noProof/>
          <w:lang w:eastAsia="en-GB"/>
        </w:rPr>
        <w:t xml:space="preserve"> </w:t>
      </w:r>
      <w:r w:rsidR="000A0A4E" w:rsidRPr="00CE2185">
        <w:rPr>
          <w:rFonts w:eastAsia="Yu Gothic Light"/>
          <w:bCs/>
          <w:iCs/>
          <w:noProof/>
          <w:lang w:eastAsia="en-GB"/>
        </w:rPr>
        <w:t>would not be able to</w:t>
      </w:r>
      <w:r w:rsidR="00E9654C" w:rsidRPr="00CE2185">
        <w:rPr>
          <w:rFonts w:eastAsia="Yu Gothic Light"/>
          <w:bCs/>
          <w:iCs/>
          <w:noProof/>
          <w:lang w:eastAsia="en-GB"/>
        </w:rPr>
        <w:t xml:space="preserve"> </w:t>
      </w:r>
      <w:r w:rsidR="003B2F6F" w:rsidRPr="00CE2185">
        <w:rPr>
          <w:noProof/>
        </w:rPr>
        <w:t>facilitat</w:t>
      </w:r>
      <w:r w:rsidR="000A0A4E" w:rsidRPr="00CE2185">
        <w:rPr>
          <w:noProof/>
        </w:rPr>
        <w:t>e</w:t>
      </w:r>
      <w:r w:rsidR="003B2F6F" w:rsidRPr="00CE2185">
        <w:rPr>
          <w:noProof/>
        </w:rPr>
        <w:t xml:space="preserve"> of compliance with cybersecurity risk-management measures for multi-country entities subject to supervision by competent authorities from several Member States, </w:t>
      </w:r>
      <w:r w:rsidR="005D0C9B" w:rsidRPr="00CE2185">
        <w:rPr>
          <w:noProof/>
        </w:rPr>
        <w:t>i</w:t>
      </w:r>
      <w:r w:rsidR="00322BBC" w:rsidRPr="00CE2185">
        <w:rPr>
          <w:noProof/>
        </w:rPr>
        <w:t>f</w:t>
      </w:r>
      <w:r w:rsidR="005D0C9B" w:rsidRPr="00CE2185">
        <w:rPr>
          <w:noProof/>
        </w:rPr>
        <w:t xml:space="preserve"> they are not combined with </w:t>
      </w:r>
      <w:r w:rsidR="005D0C9B" w:rsidRPr="00CE2185">
        <w:rPr>
          <w:b/>
          <w:noProof/>
        </w:rPr>
        <w:t>options A.2 or A.3</w:t>
      </w:r>
      <w:r w:rsidR="005D0C9B" w:rsidRPr="00CE2185">
        <w:rPr>
          <w:noProof/>
        </w:rPr>
        <w:t>, giving</w:t>
      </w:r>
      <w:r w:rsidR="003B2F6F" w:rsidRPr="00CE2185">
        <w:rPr>
          <w:noProof/>
        </w:rPr>
        <w:t xml:space="preserve"> ENISA a </w:t>
      </w:r>
      <w:r w:rsidR="005D0C9B" w:rsidRPr="00CE2185">
        <w:rPr>
          <w:noProof/>
        </w:rPr>
        <w:t xml:space="preserve">clear mandate to support </w:t>
      </w:r>
      <w:r w:rsidR="003B2F6F" w:rsidRPr="00CE2185">
        <w:rPr>
          <w:noProof/>
        </w:rPr>
        <w:t>Member States in the supervision of these entities and facilitate mutual assistance</w:t>
      </w:r>
      <w:r w:rsidR="00674348" w:rsidRPr="00CE2185">
        <w:rPr>
          <w:noProof/>
        </w:rPr>
        <w:t xml:space="preserve">. Similarly, options C.2 and C.3 </w:t>
      </w:r>
      <w:r w:rsidR="00757EF0" w:rsidRPr="00CE2185">
        <w:rPr>
          <w:noProof/>
        </w:rPr>
        <w:t xml:space="preserve">will not be able to </w:t>
      </w:r>
      <w:r w:rsidR="00C0760C" w:rsidRPr="00CE2185">
        <w:rPr>
          <w:noProof/>
        </w:rPr>
        <w:t>facilitate</w:t>
      </w:r>
      <w:r w:rsidR="00803D52" w:rsidRPr="00CE2185">
        <w:rPr>
          <w:noProof/>
        </w:rPr>
        <w:t xml:space="preserve"> </w:t>
      </w:r>
      <w:r w:rsidR="00D61CD7" w:rsidRPr="00CE2185">
        <w:rPr>
          <w:noProof/>
        </w:rPr>
        <w:t xml:space="preserve">compliance by allowing for assumption of conformity with the </w:t>
      </w:r>
      <w:r w:rsidR="00C0760C" w:rsidRPr="00CE2185">
        <w:rPr>
          <w:noProof/>
        </w:rPr>
        <w:t>organisational certification for entities, if those are not possible under the ECCF (so without options B.2 or B.3).</w:t>
      </w:r>
      <w:r w:rsidR="003432F8" w:rsidRPr="00CE2185">
        <w:rPr>
          <w:noProof/>
        </w:rPr>
        <w:t xml:space="preserve"> Therefore, those options ar</w:t>
      </w:r>
      <w:r w:rsidR="000972E7" w:rsidRPr="00CE2185">
        <w:rPr>
          <w:noProof/>
        </w:rPr>
        <w:t xml:space="preserve">e of </w:t>
      </w:r>
      <w:r w:rsidR="000972E7" w:rsidRPr="00CE2185">
        <w:rPr>
          <w:b/>
          <w:bCs/>
          <w:noProof/>
        </w:rPr>
        <w:t>high effectiveness if combined with options A.2/A.3 and B.2/B.3.</w:t>
      </w:r>
    </w:p>
    <w:p w14:paraId="5279C0C1" w14:textId="03C73736" w:rsidR="006637A6" w:rsidRDefault="00355571" w:rsidP="00795DF0">
      <w:pPr>
        <w:spacing w:after="120"/>
        <w:rPr>
          <w:b/>
          <w:noProof/>
        </w:rPr>
      </w:pPr>
      <w:r w:rsidRPr="00CE2185">
        <w:rPr>
          <w:noProof/>
        </w:rPr>
        <w:t>Considering the effectiveness of these policy options under the specific policy objectives previously analysed</w:t>
      </w:r>
      <w:r w:rsidR="00416EDC" w:rsidRPr="00CE2185">
        <w:rPr>
          <w:noProof/>
        </w:rPr>
        <w:t>.</w:t>
      </w:r>
      <w:r w:rsidR="03426315" w:rsidRPr="00CE2185">
        <w:rPr>
          <w:noProof/>
        </w:rPr>
        <w:t xml:space="preserve"> </w:t>
      </w:r>
      <w:r w:rsidR="03426315" w:rsidRPr="00CE2185">
        <w:rPr>
          <w:b/>
          <w:noProof/>
        </w:rPr>
        <w:t xml:space="preserve">The combinations of </w:t>
      </w:r>
      <w:r w:rsidRPr="00CE2185">
        <w:rPr>
          <w:b/>
          <w:noProof/>
        </w:rPr>
        <w:t xml:space="preserve">B2/B3 and </w:t>
      </w:r>
      <w:r w:rsidR="001752D4" w:rsidRPr="00CE2185">
        <w:rPr>
          <w:b/>
          <w:noProof/>
        </w:rPr>
        <w:t>C2/3</w:t>
      </w:r>
      <w:r w:rsidR="03426315" w:rsidRPr="00CE2185">
        <w:rPr>
          <w:b/>
          <w:noProof/>
        </w:rPr>
        <w:t xml:space="preserve"> should be considered of high effectiveness to address this objective.</w:t>
      </w:r>
    </w:p>
    <w:p w14:paraId="5E2EFC88" w14:textId="77777777" w:rsidR="000D0808" w:rsidRPr="00CE2185" w:rsidRDefault="000D0808" w:rsidP="000D0808">
      <w:pPr>
        <w:pStyle w:val="ListParagraph"/>
        <w:numPr>
          <w:ilvl w:val="2"/>
          <w:numId w:val="35"/>
        </w:numPr>
        <w:spacing w:before="120" w:after="120"/>
        <w:textAlignment w:val="baseline"/>
        <w:rPr>
          <w:rFonts w:eastAsia="Yu Gothic Light"/>
          <w:bCs/>
          <w:i/>
          <w:noProof/>
          <w:lang w:eastAsia="en-GB"/>
        </w:rPr>
      </w:pPr>
      <w:r w:rsidRPr="00CE2185">
        <w:rPr>
          <w:rFonts w:eastAsia="Yu Gothic Light"/>
          <w:bCs/>
          <w:i/>
          <w:noProof/>
          <w:lang w:eastAsia="en-GB"/>
        </w:rPr>
        <w:t xml:space="preserve">SPO5: De-risk critical ICT supply chains from </w:t>
      </w:r>
      <w:r w:rsidRPr="00CE2185">
        <w:rPr>
          <w:rFonts w:eastAsia="Yu Gothic Light"/>
          <w:i/>
          <w:iCs/>
          <w:noProof/>
          <w:lang w:eastAsia="en-GB"/>
        </w:rPr>
        <w:t>entities</w:t>
      </w:r>
      <w:r>
        <w:rPr>
          <w:rFonts w:eastAsia="Yu Gothic Light"/>
          <w:i/>
          <w:iCs/>
          <w:noProof/>
          <w:lang w:eastAsia="en-GB"/>
        </w:rPr>
        <w:t xml:space="preserve"> </w:t>
      </w:r>
      <w:r w:rsidRPr="00E5147D">
        <w:rPr>
          <w:rFonts w:eastAsia="Yu Gothic Light"/>
          <w:i/>
          <w:iCs/>
          <w:noProof/>
          <w:lang w:val="en-IE" w:eastAsia="en-GB"/>
        </w:rPr>
        <w:t xml:space="preserve">established in or controlled </w:t>
      </w:r>
      <w:r>
        <w:rPr>
          <w:rFonts w:eastAsia="Yu Gothic Light"/>
          <w:i/>
          <w:iCs/>
          <w:noProof/>
          <w:lang w:val="en-IE" w:eastAsia="en-GB"/>
        </w:rPr>
        <w:t xml:space="preserve">by entities </w:t>
      </w:r>
      <w:r>
        <w:rPr>
          <w:rFonts w:eastAsia="Yu Gothic Light"/>
          <w:i/>
          <w:iCs/>
          <w:noProof/>
          <w:lang w:eastAsia="en-GB"/>
        </w:rPr>
        <w:t xml:space="preserve">from third </w:t>
      </w:r>
      <w:r w:rsidRPr="00CE2185">
        <w:rPr>
          <w:rFonts w:eastAsia="Yu Gothic Light"/>
          <w:i/>
          <w:iCs/>
          <w:noProof/>
          <w:lang w:eastAsia="en-GB"/>
        </w:rPr>
        <w:t xml:space="preserve">countries posing cybersecurity concerns </w:t>
      </w:r>
      <w:r>
        <w:rPr>
          <w:rFonts w:eastAsia="Yu Gothic Light"/>
          <w:i/>
          <w:iCs/>
          <w:noProof/>
          <w:lang w:eastAsia="en-GB"/>
        </w:rPr>
        <w:t xml:space="preserve">(high-risk suppliers) </w:t>
      </w:r>
      <w:r w:rsidRPr="00CE2185">
        <w:rPr>
          <w:rFonts w:eastAsia="Yu Gothic Light"/>
          <w:bCs/>
          <w:i/>
          <w:noProof/>
          <w:lang w:eastAsia="en-GB"/>
        </w:rPr>
        <w:t>and reduce critical dependencies by developing a coherent and effective framework at EU level to address ICT supply chain security risks</w:t>
      </w:r>
    </w:p>
    <w:p w14:paraId="4B9ADA6D" w14:textId="77777777" w:rsidR="000D0808" w:rsidRPr="00CE2185" w:rsidRDefault="000D0808" w:rsidP="000D0808">
      <w:pPr>
        <w:spacing w:after="120"/>
        <w:rPr>
          <w:noProof/>
        </w:rPr>
      </w:pPr>
      <w:r w:rsidRPr="00CE2185">
        <w:rPr>
          <w:noProof/>
        </w:rPr>
        <w:t xml:space="preserve">Options D are contributing to this specific objective by providing for a solution to improve implementation of measure with objective to de-risk the ICT supply chains in the Union. A non-legislative option </w:t>
      </w:r>
      <w:r w:rsidRPr="00CE2185">
        <w:rPr>
          <w:b/>
          <w:noProof/>
        </w:rPr>
        <w:t>D.1</w:t>
      </w:r>
      <w:r w:rsidRPr="00CE2185">
        <w:rPr>
          <w:noProof/>
        </w:rPr>
        <w:t xml:space="preserve"> provides for non-binding mitigating measures. While this option can address the specific objective as it addresses the possibility to adopt such measures across the ICT supply chains, its effectiveness is </w:t>
      </w:r>
      <w:r w:rsidRPr="00CE2185">
        <w:rPr>
          <w:b/>
          <w:bCs/>
          <w:noProof/>
        </w:rPr>
        <w:t>low</w:t>
      </w:r>
      <w:r w:rsidRPr="00CE2185">
        <w:rPr>
          <w:noProof/>
        </w:rPr>
        <w:t xml:space="preserve"> due to its non-binding nature. It would not address the fragmentation and difference in implementation among the Member States and not allow for a coherent approach at the EU level (as also judging by the current implementation of the 5G cybersecurity toolbox). Option </w:t>
      </w:r>
      <w:r w:rsidRPr="00CE2185">
        <w:rPr>
          <w:b/>
          <w:bCs/>
          <w:noProof/>
        </w:rPr>
        <w:t>D.2</w:t>
      </w:r>
      <w:r w:rsidRPr="00CE2185">
        <w:rPr>
          <w:noProof/>
        </w:rPr>
        <w:t xml:space="preserve"> would provide for an effective solution to address this objective but only for the 5G networks, by codifying the toolbox. It would not however address the specific objective to provide for an effective and coherent framework for the ICT supply chains. Its overall effective, therefore, should be assessed as </w:t>
      </w:r>
      <w:r w:rsidRPr="00CE2185">
        <w:rPr>
          <w:b/>
          <w:noProof/>
        </w:rPr>
        <w:t>medium</w:t>
      </w:r>
      <w:r w:rsidRPr="00CE2185">
        <w:rPr>
          <w:b/>
          <w:bCs/>
          <w:noProof/>
        </w:rPr>
        <w:t xml:space="preserve">, </w:t>
      </w:r>
      <w:r w:rsidRPr="00CE2185">
        <w:rPr>
          <w:noProof/>
        </w:rPr>
        <w:t xml:space="preserve">as it would only improve implementation of the harmonised measures in one area. </w:t>
      </w:r>
    </w:p>
    <w:p w14:paraId="0EBA6C74" w14:textId="77777777" w:rsidR="000D0808" w:rsidRPr="00CE2185" w:rsidRDefault="000D0808" w:rsidP="000D0808">
      <w:pPr>
        <w:spacing w:after="120"/>
        <w:rPr>
          <w:noProof/>
        </w:rPr>
      </w:pPr>
      <w:r w:rsidRPr="00CE2185">
        <w:rPr>
          <w:noProof/>
        </w:rPr>
        <w:t xml:space="preserve">Finally, the option </w:t>
      </w:r>
      <w:r w:rsidRPr="00CE2185">
        <w:rPr>
          <w:b/>
          <w:noProof/>
        </w:rPr>
        <w:t>D.3</w:t>
      </w:r>
      <w:r w:rsidRPr="00CE2185">
        <w:rPr>
          <w:noProof/>
        </w:rPr>
        <w:t xml:space="preserve"> addresses the full scope of the specific objective in question. The framework would be future-proof and common to all Member States, which makes the process of identifying non-technical risks more effective at EU-level. It also addresses the specific objective in the most comprehensive way, providing for a framework that allows to identify risks to key assets and propose proportionate measures, resulting from an evidence-based process, in any critical supply chain. It should be noted that the actual degree of de-risking that can be achieved depend on whether the framework will be used in all areas where the risk is to be identified and the de-risking measures implemented. With this caveat, it is considered </w:t>
      </w:r>
      <w:r w:rsidRPr="00CE2185">
        <w:rPr>
          <w:b/>
          <w:bCs/>
          <w:noProof/>
        </w:rPr>
        <w:t>of high effectiveness</w:t>
      </w:r>
      <w:r w:rsidRPr="00CE2185">
        <w:rPr>
          <w:noProof/>
        </w:rPr>
        <w:t>, as it provides for most comprehensive solution from the options offered.</w:t>
      </w:r>
    </w:p>
    <w:p w14:paraId="7FED1956" w14:textId="5BE30075" w:rsidR="000D0808" w:rsidRPr="00CE2185" w:rsidRDefault="000D0808" w:rsidP="000D0808">
      <w:pPr>
        <w:spacing w:after="120"/>
        <w:rPr>
          <w:b/>
          <w:noProof/>
        </w:rPr>
      </w:pPr>
      <w:r w:rsidRPr="00CE2185">
        <w:rPr>
          <w:noProof/>
        </w:rPr>
        <w:t xml:space="preserve">The effectiveness of option D.3 will be reinforced by measures introduced by options B (B.1, B.2, B.3) providing for the ECCF for technical risks related to the ICT supply chains, and options C (C.2, C.3) which foreseen to provide for the guidelines on the application of the supply chain security measures in accordance with the NIS 2 Directive. Considering the effectiveness of these policy options under the specific policy objectives previously analysed. </w:t>
      </w:r>
      <w:r w:rsidRPr="00CE2185">
        <w:rPr>
          <w:b/>
          <w:noProof/>
        </w:rPr>
        <w:t>The combinations of D3 with B2/B3 and C2/3 should be considered of high effectiveness to address this objective</w:t>
      </w:r>
      <w:r>
        <w:rPr>
          <w:b/>
          <w:noProof/>
        </w:rPr>
        <w:t>.</w:t>
      </w:r>
    </w:p>
    <w:p w14:paraId="49F86D9E" w14:textId="1B04A79E" w:rsidR="00F57D9D" w:rsidRPr="00CE2185" w:rsidRDefault="00F57D9D" w:rsidP="005D08B2">
      <w:pPr>
        <w:pStyle w:val="Heading2"/>
        <w:rPr>
          <w:b w:val="0"/>
          <w:noProof/>
        </w:rPr>
      </w:pPr>
      <w:bookmarkStart w:id="137" w:name="_Toc210393843"/>
      <w:bookmarkStart w:id="138" w:name="_Toc219447381"/>
      <w:r w:rsidRPr="00CE2185">
        <w:rPr>
          <w:noProof/>
        </w:rPr>
        <w:t>Efficiency and cost-benefit analysis</w:t>
      </w:r>
      <w:bookmarkEnd w:id="137"/>
      <w:bookmarkEnd w:id="138"/>
    </w:p>
    <w:p w14:paraId="7C42CCD6" w14:textId="1E5BE4D2" w:rsidR="00DD1224" w:rsidRPr="00CE2185" w:rsidRDefault="00F57D9D" w:rsidP="00795DF0">
      <w:pPr>
        <w:spacing w:after="120"/>
        <w:rPr>
          <w:noProof/>
        </w:rPr>
      </w:pPr>
      <w:r w:rsidRPr="00CE2185">
        <w:rPr>
          <w:noProof/>
        </w:rPr>
        <w:t xml:space="preserve">The efficiency of the policy options depends on the ratio of costs </w:t>
      </w:r>
      <w:r w:rsidR="00D74AC8" w:rsidRPr="00CE2185">
        <w:rPr>
          <w:noProof/>
        </w:rPr>
        <w:t>(compliance costs</w:t>
      </w:r>
      <w:r w:rsidR="00EB3974" w:rsidRPr="00CE2185">
        <w:rPr>
          <w:noProof/>
        </w:rPr>
        <w:t xml:space="preserve"> or price increases</w:t>
      </w:r>
      <w:r w:rsidR="00D74AC8" w:rsidRPr="00CE2185">
        <w:rPr>
          <w:noProof/>
        </w:rPr>
        <w:t>)</w:t>
      </w:r>
      <w:r w:rsidRPr="00CE2185">
        <w:rPr>
          <w:noProof/>
        </w:rPr>
        <w:t xml:space="preserve"> to</w:t>
      </w:r>
      <w:r w:rsidR="008B1134" w:rsidRPr="00CE2185">
        <w:rPr>
          <w:noProof/>
        </w:rPr>
        <w:t xml:space="preserve"> main</w:t>
      </w:r>
      <w:r w:rsidRPr="00CE2185">
        <w:rPr>
          <w:noProof/>
        </w:rPr>
        <w:t xml:space="preserve"> expected </w:t>
      </w:r>
      <w:r w:rsidR="00415CD2" w:rsidRPr="00CE2185">
        <w:rPr>
          <w:noProof/>
        </w:rPr>
        <w:t xml:space="preserve">direct </w:t>
      </w:r>
      <w:r w:rsidRPr="00CE2185">
        <w:rPr>
          <w:noProof/>
        </w:rPr>
        <w:t>benefits.</w:t>
      </w:r>
      <w:r w:rsidR="00EE2B4B" w:rsidRPr="00CE2185">
        <w:rPr>
          <w:noProof/>
        </w:rPr>
        <w:t xml:space="preserve"> Furthermore, broader </w:t>
      </w:r>
      <w:r w:rsidR="00415CD2" w:rsidRPr="00CE2185">
        <w:rPr>
          <w:noProof/>
        </w:rPr>
        <w:t>(negative</w:t>
      </w:r>
      <w:r w:rsidRPr="00CE2185">
        <w:rPr>
          <w:noProof/>
        </w:rPr>
        <w:t xml:space="preserve"> and </w:t>
      </w:r>
      <w:r w:rsidR="00415CD2" w:rsidRPr="00CE2185">
        <w:rPr>
          <w:noProof/>
        </w:rPr>
        <w:t>positive)</w:t>
      </w:r>
      <w:r w:rsidR="00EE2B4B" w:rsidRPr="00CE2185">
        <w:rPr>
          <w:noProof/>
        </w:rPr>
        <w:t xml:space="preserve"> impacts</w:t>
      </w:r>
      <w:r w:rsidR="00FA5302" w:rsidRPr="00CE2185">
        <w:rPr>
          <w:noProof/>
        </w:rPr>
        <w:t xml:space="preserve"> of specific relevance to the proposal</w:t>
      </w:r>
      <w:r w:rsidR="00EE2B4B" w:rsidRPr="00CE2185">
        <w:rPr>
          <w:noProof/>
        </w:rPr>
        <w:t>,</w:t>
      </w:r>
      <w:r w:rsidRPr="00CE2185">
        <w:rPr>
          <w:noProof/>
        </w:rPr>
        <w:t xml:space="preserve"> such as </w:t>
      </w:r>
      <w:r w:rsidR="00EE2B4B" w:rsidRPr="00CE2185">
        <w:rPr>
          <w:noProof/>
        </w:rPr>
        <w:t>internal market, SMEs,</w:t>
      </w:r>
      <w:r w:rsidR="007F3AA7" w:rsidRPr="00CE2185">
        <w:rPr>
          <w:noProof/>
        </w:rPr>
        <w:t xml:space="preserve"> and </w:t>
      </w:r>
      <w:r w:rsidR="00EE2B4B" w:rsidRPr="00CE2185">
        <w:rPr>
          <w:noProof/>
        </w:rPr>
        <w:t>trade &amp; competitiveness</w:t>
      </w:r>
      <w:r w:rsidR="007F3AA7" w:rsidRPr="00CE2185">
        <w:rPr>
          <w:noProof/>
        </w:rPr>
        <w:t xml:space="preserve"> and </w:t>
      </w:r>
      <w:r w:rsidR="00CA58E1" w:rsidRPr="00CE2185">
        <w:rPr>
          <w:noProof/>
        </w:rPr>
        <w:t>cyber resilience/technological sovereignty</w:t>
      </w:r>
      <w:r w:rsidR="007F3AA7" w:rsidRPr="00CE2185">
        <w:rPr>
          <w:noProof/>
        </w:rPr>
        <w:t xml:space="preserve"> are also taken into consideration</w:t>
      </w:r>
      <w:r w:rsidR="0002465A" w:rsidRPr="00CE2185">
        <w:rPr>
          <w:noProof/>
        </w:rPr>
        <w:t xml:space="preserve"> (next to social and environmental impacts)</w:t>
      </w:r>
      <w:r w:rsidR="007F3AA7" w:rsidRPr="00CE2185">
        <w:rPr>
          <w:noProof/>
        </w:rPr>
        <w:t>.</w:t>
      </w:r>
      <w:r w:rsidRPr="00CE2185">
        <w:rPr>
          <w:noProof/>
        </w:rPr>
        <w:t xml:space="preserve"> </w:t>
      </w:r>
      <w:r w:rsidR="007D081C" w:rsidRPr="00CE2185">
        <w:rPr>
          <w:noProof/>
        </w:rPr>
        <w:t xml:space="preserve">To the extent possible, the net value </w:t>
      </w:r>
      <w:r w:rsidR="00580765" w:rsidRPr="00CE2185">
        <w:rPr>
          <w:noProof/>
        </w:rPr>
        <w:t>of the cost-benefit ration</w:t>
      </w:r>
      <w:r w:rsidR="000509CB" w:rsidRPr="00CE2185">
        <w:rPr>
          <w:noProof/>
        </w:rPr>
        <w:t xml:space="preserve"> </w:t>
      </w:r>
      <w:r w:rsidR="00580765" w:rsidRPr="00CE2185">
        <w:rPr>
          <w:noProof/>
        </w:rPr>
        <w:t xml:space="preserve">has </w:t>
      </w:r>
      <w:r w:rsidR="000509CB" w:rsidRPr="00CE2185">
        <w:rPr>
          <w:noProof/>
        </w:rPr>
        <w:t>been calculated. However, several impacts, including cost reductions</w:t>
      </w:r>
      <w:r w:rsidR="00793446" w:rsidRPr="00CE2185">
        <w:rPr>
          <w:noProof/>
        </w:rPr>
        <w:t xml:space="preserve"> due to the reduced cybersecurity incidents</w:t>
      </w:r>
      <w:r w:rsidR="009A6AE6" w:rsidRPr="00CE2185">
        <w:rPr>
          <w:noProof/>
        </w:rPr>
        <w:t>,</w:t>
      </w:r>
      <w:r w:rsidR="00793446" w:rsidRPr="00CE2185">
        <w:rPr>
          <w:noProof/>
        </w:rPr>
        <w:t xml:space="preserve"> are compared in a qualitative manner</w:t>
      </w:r>
      <w:r w:rsidR="002F1BDC" w:rsidRPr="00CE2185">
        <w:rPr>
          <w:noProof/>
        </w:rPr>
        <w:t>, hence it has not been possible to provide a full cost-benefit ration comparison of all policy options</w:t>
      </w:r>
      <w:r w:rsidR="00793446" w:rsidRPr="00CE2185">
        <w:rPr>
          <w:noProof/>
        </w:rPr>
        <w:t xml:space="preserve">. </w:t>
      </w:r>
      <w:r w:rsidR="6C41C920" w:rsidRPr="00CE2185">
        <w:rPr>
          <w:noProof/>
        </w:rPr>
        <w:t>In addition, it should be noted that limited availability of reliable market data did not allow for granular and accurate quantitative assessments of cost savings related to the specific policy measures being assessed.</w:t>
      </w:r>
      <w:r w:rsidR="5E5800BF" w:rsidRPr="00CE2185">
        <w:rPr>
          <w:noProof/>
        </w:rPr>
        <w:t xml:space="preserve"> </w:t>
      </w:r>
      <w:r w:rsidR="07DDE6B3" w:rsidRPr="00CE2185">
        <w:rPr>
          <w:noProof/>
        </w:rPr>
        <w:t xml:space="preserve">Due to this lack of available data, it is difficult to quantify the causality between the measures included in the different policy options and related cost savings in terms of probability and impact of cybersecurity incidents. </w:t>
      </w:r>
      <w:r w:rsidR="00BE17AC" w:rsidRPr="00CE2185">
        <w:rPr>
          <w:noProof/>
        </w:rPr>
        <w:t xml:space="preserve">Furthermore, </w:t>
      </w:r>
      <w:r w:rsidR="001A612B" w:rsidRPr="00CE2185">
        <w:rPr>
          <w:noProof/>
        </w:rPr>
        <w:t>in several</w:t>
      </w:r>
      <w:r w:rsidR="00331C39" w:rsidRPr="00CE2185">
        <w:rPr>
          <w:noProof/>
        </w:rPr>
        <w:t xml:space="preserve"> instances the costs could not be aggregated, for instance in the case of voluntary measures.</w:t>
      </w:r>
      <w:r w:rsidR="001A612B" w:rsidRPr="00CE2185">
        <w:rPr>
          <w:noProof/>
        </w:rPr>
        <w:t xml:space="preserve"> </w:t>
      </w:r>
      <w:r w:rsidR="00EB3974" w:rsidRPr="00CE2185">
        <w:rPr>
          <w:noProof/>
        </w:rPr>
        <w:t>The costs and benefits are assessed and compared considering each stakeholder category.</w:t>
      </w:r>
      <w:r w:rsidR="0081509C" w:rsidRPr="00CE2185">
        <w:rPr>
          <w:noProof/>
        </w:rPr>
        <w:t xml:space="preserve"> </w:t>
      </w:r>
      <w:r w:rsidR="00DD1224" w:rsidRPr="00CE2185">
        <w:rPr>
          <w:noProof/>
        </w:rPr>
        <w:t>For a better overview, t</w:t>
      </w:r>
      <w:r w:rsidR="0081509C" w:rsidRPr="00CE2185">
        <w:rPr>
          <w:noProof/>
        </w:rPr>
        <w:t xml:space="preserve">he </w:t>
      </w:r>
      <w:r w:rsidR="0081509C" w:rsidRPr="00CE2185">
        <w:rPr>
          <w:b/>
          <w:bCs/>
          <w:noProof/>
        </w:rPr>
        <w:t xml:space="preserve">table </w:t>
      </w:r>
      <w:r w:rsidR="0081509C" w:rsidRPr="00CE2185">
        <w:rPr>
          <w:noProof/>
        </w:rPr>
        <w:t>below compares the</w:t>
      </w:r>
      <w:r w:rsidR="00635052" w:rsidRPr="00CE2185">
        <w:rPr>
          <w:noProof/>
        </w:rPr>
        <w:t xml:space="preserve"> costs-benefits by policy option</w:t>
      </w:r>
      <w:r w:rsidR="002F1BDC" w:rsidRPr="00CE2185">
        <w:rPr>
          <w:noProof/>
        </w:rPr>
        <w:t xml:space="preserve"> by combining quantitative and qualitative </w:t>
      </w:r>
      <w:r w:rsidR="00220F80" w:rsidRPr="00CE2185">
        <w:rPr>
          <w:noProof/>
        </w:rPr>
        <w:t>assessments.</w:t>
      </w:r>
      <w:r w:rsidR="00635052" w:rsidRPr="00CE2185">
        <w:rPr>
          <w:noProof/>
        </w:rPr>
        <w:t xml:space="preserve"> </w:t>
      </w:r>
      <w:r w:rsidR="00C57372" w:rsidRPr="00CE2185">
        <w:rPr>
          <w:noProof/>
        </w:rPr>
        <w:t xml:space="preserve">A more </w:t>
      </w:r>
      <w:r w:rsidR="00C57372" w:rsidRPr="00CE2185">
        <w:rPr>
          <w:b/>
          <w:bCs/>
          <w:noProof/>
        </w:rPr>
        <w:t>detailed overview</w:t>
      </w:r>
      <w:r w:rsidR="00C57372" w:rsidRPr="00CE2185">
        <w:rPr>
          <w:noProof/>
        </w:rPr>
        <w:t xml:space="preserve"> of the cost-benefits analysis by policy option is included in </w:t>
      </w:r>
      <w:r w:rsidR="00C57372" w:rsidRPr="00CE2185">
        <w:rPr>
          <w:i/>
          <w:iCs/>
          <w:noProof/>
        </w:rPr>
        <w:t xml:space="preserve">Annex </w:t>
      </w:r>
      <w:r w:rsidR="00421CF3" w:rsidRPr="00CE2185">
        <w:rPr>
          <w:i/>
          <w:iCs/>
          <w:noProof/>
        </w:rPr>
        <w:t>13</w:t>
      </w:r>
      <w:r w:rsidR="00C57372" w:rsidRPr="00CE2185">
        <w:rPr>
          <w:noProof/>
        </w:rPr>
        <w:t xml:space="preserve">. </w:t>
      </w:r>
    </w:p>
    <w:p w14:paraId="3545E5B3" w14:textId="61C79421" w:rsidR="00AD4B21" w:rsidRPr="00CE2185" w:rsidRDefault="00E35788" w:rsidP="00795DF0">
      <w:pPr>
        <w:spacing w:after="120"/>
        <w:rPr>
          <w:noProof/>
        </w:rPr>
      </w:pPr>
      <w:r w:rsidRPr="00CE2185">
        <w:rPr>
          <w:noProof/>
        </w:rPr>
        <w:t>Regarding the</w:t>
      </w:r>
      <w:r w:rsidRPr="00CE2185">
        <w:rPr>
          <w:b/>
          <w:bCs/>
          <w:noProof/>
        </w:rPr>
        <w:t xml:space="preserve"> options on the ENISA mandate, </w:t>
      </w:r>
      <w:r w:rsidR="00F57D9D" w:rsidRPr="00CE2185">
        <w:rPr>
          <w:b/>
          <w:bCs/>
          <w:noProof/>
        </w:rPr>
        <w:t>A.1</w:t>
      </w:r>
      <w:r w:rsidR="00F57D9D" w:rsidRPr="00CE2185">
        <w:rPr>
          <w:noProof/>
        </w:rPr>
        <w:t xml:space="preserve"> </w:t>
      </w:r>
      <w:r w:rsidR="001745A5" w:rsidRPr="00CE2185">
        <w:rPr>
          <w:noProof/>
        </w:rPr>
        <w:t xml:space="preserve">would </w:t>
      </w:r>
      <w:r w:rsidR="00E10F2E" w:rsidRPr="00CE2185">
        <w:rPr>
          <w:noProof/>
        </w:rPr>
        <w:t xml:space="preserve">have the best net value compared to A2 and A3 </w:t>
      </w:r>
      <w:r w:rsidR="00AB2F17" w:rsidRPr="00CE2185">
        <w:rPr>
          <w:noProof/>
        </w:rPr>
        <w:t>based on estimated quantitative data</w:t>
      </w:r>
      <w:r w:rsidR="00E10F2E" w:rsidRPr="00CE2185">
        <w:rPr>
          <w:noProof/>
        </w:rPr>
        <w:t xml:space="preserve"> </w:t>
      </w:r>
      <w:r w:rsidR="0002465A" w:rsidRPr="00CE2185">
        <w:rPr>
          <w:noProof/>
        </w:rPr>
        <w:t xml:space="preserve">(mainly impacting </w:t>
      </w:r>
      <w:r w:rsidR="00E10F2E" w:rsidRPr="00CE2185">
        <w:rPr>
          <w:noProof/>
        </w:rPr>
        <w:t>ENISA</w:t>
      </w:r>
      <w:r w:rsidR="0002465A" w:rsidRPr="00CE2185">
        <w:rPr>
          <w:noProof/>
        </w:rPr>
        <w:t>)</w:t>
      </w:r>
      <w:r w:rsidR="00E10F2E" w:rsidRPr="00CE2185">
        <w:rPr>
          <w:noProof/>
        </w:rPr>
        <w:t xml:space="preserve">, however it would </w:t>
      </w:r>
      <w:r w:rsidR="00455F70" w:rsidRPr="00CE2185">
        <w:rPr>
          <w:noProof/>
        </w:rPr>
        <w:t xml:space="preserve">likely </w:t>
      </w:r>
      <w:r w:rsidR="00AD00F5" w:rsidRPr="00CE2185">
        <w:rPr>
          <w:noProof/>
        </w:rPr>
        <w:t xml:space="preserve">lead to </w:t>
      </w:r>
      <w:r w:rsidR="008951C0" w:rsidRPr="00CE2185">
        <w:rPr>
          <w:noProof/>
        </w:rPr>
        <w:t>minor benefits</w:t>
      </w:r>
      <w:r w:rsidR="00AD00F5" w:rsidRPr="00CE2185">
        <w:rPr>
          <w:noProof/>
        </w:rPr>
        <w:t xml:space="preserve"> in terms of </w:t>
      </w:r>
      <w:r w:rsidR="00286F29" w:rsidRPr="00CE2185">
        <w:rPr>
          <w:noProof/>
        </w:rPr>
        <w:t>cost reduction related to cybersecurity incidents</w:t>
      </w:r>
      <w:r w:rsidR="00455F70" w:rsidRPr="00CE2185">
        <w:rPr>
          <w:noProof/>
        </w:rPr>
        <w:t>. While th</w:t>
      </w:r>
      <w:r w:rsidR="001B576C" w:rsidRPr="00CE2185">
        <w:rPr>
          <w:noProof/>
        </w:rPr>
        <w:t>ose impacts could not be quantified in a comparative manner,</w:t>
      </w:r>
      <w:r w:rsidR="00CE517D" w:rsidRPr="00CE2185">
        <w:rPr>
          <w:noProof/>
        </w:rPr>
        <w:t xml:space="preserve"> </w:t>
      </w:r>
      <w:r w:rsidR="001B576C" w:rsidRPr="00CE2185">
        <w:rPr>
          <w:noProof/>
        </w:rPr>
        <w:t>the</w:t>
      </w:r>
      <w:r w:rsidR="00CE517D" w:rsidRPr="00CE2185">
        <w:rPr>
          <w:noProof/>
        </w:rPr>
        <w:t xml:space="preserve"> impact </w:t>
      </w:r>
      <w:r w:rsidR="001B576C" w:rsidRPr="00CE2185">
        <w:rPr>
          <w:noProof/>
        </w:rPr>
        <w:t>of option A1</w:t>
      </w:r>
      <w:r w:rsidR="00CE517D" w:rsidRPr="00CE2185">
        <w:rPr>
          <w:noProof/>
        </w:rPr>
        <w:t xml:space="preserve"> on efficiency is </w:t>
      </w:r>
      <w:r w:rsidR="001B576C" w:rsidRPr="00CE2185">
        <w:rPr>
          <w:noProof/>
        </w:rPr>
        <w:t xml:space="preserve">expected to be </w:t>
      </w:r>
      <w:r w:rsidR="00CE517D" w:rsidRPr="00CE2185">
        <w:rPr>
          <w:b/>
          <w:bCs/>
          <w:noProof/>
        </w:rPr>
        <w:t>moderate</w:t>
      </w:r>
      <w:r w:rsidR="00F57D9D" w:rsidRPr="00CE2185">
        <w:rPr>
          <w:noProof/>
        </w:rPr>
        <w:t>.</w:t>
      </w:r>
      <w:r w:rsidR="00CE517D" w:rsidRPr="00CE2185">
        <w:rPr>
          <w:noProof/>
        </w:rPr>
        <w:t xml:space="preserve"> Between A2 and A3</w:t>
      </w:r>
      <w:r w:rsidR="0088273F" w:rsidRPr="00CE2185">
        <w:rPr>
          <w:noProof/>
        </w:rPr>
        <w:t xml:space="preserve">, the efficiency appears similar, as substantially higher costs </w:t>
      </w:r>
      <w:r w:rsidR="009A6AE6" w:rsidRPr="00CE2185">
        <w:rPr>
          <w:noProof/>
        </w:rPr>
        <w:t>for ENISA</w:t>
      </w:r>
      <w:r w:rsidR="0088273F" w:rsidRPr="00CE2185">
        <w:rPr>
          <w:noProof/>
        </w:rPr>
        <w:t xml:space="preserve"> would </w:t>
      </w:r>
      <w:r w:rsidR="00CE2185" w:rsidRPr="00CE2185">
        <w:rPr>
          <w:noProof/>
        </w:rPr>
        <w:t>likely</w:t>
      </w:r>
      <w:r w:rsidR="0088273F" w:rsidRPr="00CE2185">
        <w:rPr>
          <w:noProof/>
        </w:rPr>
        <w:t xml:space="preserve"> </w:t>
      </w:r>
      <w:r w:rsidR="00467CE7" w:rsidRPr="00CE2185">
        <w:rPr>
          <w:noProof/>
        </w:rPr>
        <w:t>lead to</w:t>
      </w:r>
      <w:r w:rsidR="00695073" w:rsidRPr="00CE2185">
        <w:rPr>
          <w:noProof/>
        </w:rPr>
        <w:t xml:space="preserve"> equally</w:t>
      </w:r>
      <w:r w:rsidR="00467CE7" w:rsidRPr="00CE2185">
        <w:rPr>
          <w:noProof/>
        </w:rPr>
        <w:t xml:space="preserve"> higher benefits </w:t>
      </w:r>
      <w:r w:rsidR="00FA5302" w:rsidRPr="00CE2185">
        <w:rPr>
          <w:noProof/>
        </w:rPr>
        <w:t>related</w:t>
      </w:r>
      <w:r w:rsidR="00467CE7" w:rsidRPr="00CE2185">
        <w:rPr>
          <w:noProof/>
        </w:rPr>
        <w:t xml:space="preserve"> to impacts on cybersecurity, </w:t>
      </w:r>
      <w:r w:rsidR="00EE2B4B" w:rsidRPr="00CE2185">
        <w:rPr>
          <w:noProof/>
        </w:rPr>
        <w:t>and comparabl</w:t>
      </w:r>
      <w:r w:rsidR="00444885" w:rsidRPr="00CE2185">
        <w:rPr>
          <w:noProof/>
        </w:rPr>
        <w:t>y</w:t>
      </w:r>
      <w:r w:rsidR="00EE2B4B" w:rsidRPr="00CE2185">
        <w:rPr>
          <w:noProof/>
        </w:rPr>
        <w:t xml:space="preserve"> positive impacts</w:t>
      </w:r>
      <w:r w:rsidR="00467CE7" w:rsidRPr="00CE2185">
        <w:rPr>
          <w:noProof/>
        </w:rPr>
        <w:t xml:space="preserve"> on</w:t>
      </w:r>
      <w:r w:rsidR="00EE2B4B" w:rsidRPr="00CE2185">
        <w:rPr>
          <w:noProof/>
        </w:rPr>
        <w:t xml:space="preserve"> SMEs, internal,</w:t>
      </w:r>
      <w:r w:rsidR="00467CE7" w:rsidRPr="00CE2185">
        <w:rPr>
          <w:noProof/>
        </w:rPr>
        <w:t xml:space="preserve"> trade/competitiveness</w:t>
      </w:r>
      <w:r w:rsidR="00FA5302" w:rsidRPr="00CE2185">
        <w:rPr>
          <w:noProof/>
        </w:rPr>
        <w:t xml:space="preserve">, and </w:t>
      </w:r>
      <w:r w:rsidR="0002465A" w:rsidRPr="00CE2185">
        <w:rPr>
          <w:noProof/>
        </w:rPr>
        <w:t xml:space="preserve">technological </w:t>
      </w:r>
      <w:r w:rsidR="00FA5302" w:rsidRPr="00CE2185">
        <w:rPr>
          <w:noProof/>
        </w:rPr>
        <w:t>sovereignty</w:t>
      </w:r>
      <w:r w:rsidR="0002465A" w:rsidRPr="00CE2185">
        <w:rPr>
          <w:noProof/>
        </w:rPr>
        <w:t xml:space="preserve">. </w:t>
      </w:r>
      <w:r w:rsidR="00695073" w:rsidRPr="00CE2185">
        <w:rPr>
          <w:noProof/>
        </w:rPr>
        <w:t xml:space="preserve">It is to be noted however, that those benefits could only be broadly estimated for option A2 and </w:t>
      </w:r>
      <w:r w:rsidR="00283845" w:rsidRPr="00CE2185">
        <w:rPr>
          <w:noProof/>
        </w:rPr>
        <w:t>A3 and not to a level of granularity that would allow for a</w:t>
      </w:r>
      <w:r w:rsidR="00EB4BAA" w:rsidRPr="00CE2185">
        <w:rPr>
          <w:noProof/>
        </w:rPr>
        <w:t xml:space="preserve"> refined comparison.</w:t>
      </w:r>
      <w:r w:rsidR="00283845" w:rsidRPr="00CE2185">
        <w:rPr>
          <w:noProof/>
        </w:rPr>
        <w:t xml:space="preserve"> </w:t>
      </w:r>
      <w:r w:rsidR="0002465A" w:rsidRPr="00CE2185">
        <w:rPr>
          <w:noProof/>
        </w:rPr>
        <w:t xml:space="preserve">Hence, </w:t>
      </w:r>
      <w:r w:rsidR="00971344" w:rsidRPr="00CE2185">
        <w:rPr>
          <w:noProof/>
        </w:rPr>
        <w:t xml:space="preserve">both </w:t>
      </w:r>
      <w:r w:rsidR="00971344" w:rsidRPr="00CE2185">
        <w:rPr>
          <w:b/>
          <w:bCs/>
          <w:noProof/>
        </w:rPr>
        <w:t>A2 and A3 are similarly high on efficiency</w:t>
      </w:r>
      <w:r w:rsidR="00CA3547" w:rsidRPr="00CE2185">
        <w:rPr>
          <w:noProof/>
        </w:rPr>
        <w:t xml:space="preserve">. </w:t>
      </w:r>
      <w:r w:rsidR="00286DC7" w:rsidRPr="00CE2185">
        <w:rPr>
          <w:b/>
          <w:bCs/>
          <w:noProof/>
        </w:rPr>
        <w:t>Public authorities</w:t>
      </w:r>
      <w:r w:rsidR="00286DC7" w:rsidRPr="00CE2185">
        <w:rPr>
          <w:noProof/>
        </w:rPr>
        <w:t xml:space="preserve"> will be significantly impact</w:t>
      </w:r>
      <w:r w:rsidR="00444885" w:rsidRPr="00CE2185">
        <w:rPr>
          <w:noProof/>
        </w:rPr>
        <w:t>ed</w:t>
      </w:r>
      <w:r w:rsidR="00286DC7" w:rsidRPr="00CE2185">
        <w:rPr>
          <w:noProof/>
        </w:rPr>
        <w:t xml:space="preserve"> under options A2 and A3. Option A.3 would be slightly more costly than option A.2 due to the transfer of additional national liaison officers, while option A.1 would not involve direct resources for Member States. </w:t>
      </w:r>
      <w:r w:rsidR="00444885" w:rsidRPr="00CE2185">
        <w:rPr>
          <w:noProof/>
        </w:rPr>
        <w:t xml:space="preserve">At the same time, Member States would benefit from </w:t>
      </w:r>
      <w:r w:rsidR="005F5353" w:rsidRPr="00CE2185">
        <w:rPr>
          <w:noProof/>
        </w:rPr>
        <w:t>enhanced operational support from ENISA (higher under A3 compared to A2). Options A will not significantly impact businesses.</w:t>
      </w:r>
      <w:r w:rsidR="00286DC7" w:rsidRPr="00CE2185">
        <w:rPr>
          <w:noProof/>
        </w:rPr>
        <w:t xml:space="preserve"> </w:t>
      </w:r>
      <w:r w:rsidR="000E2B87" w:rsidRPr="00CE2185">
        <w:rPr>
          <w:b/>
          <w:bCs/>
          <w:noProof/>
        </w:rPr>
        <w:t>Businesses</w:t>
      </w:r>
      <w:r w:rsidR="00F92063" w:rsidRPr="00CE2185">
        <w:rPr>
          <w:b/>
          <w:bCs/>
          <w:noProof/>
        </w:rPr>
        <w:t xml:space="preserve">, </w:t>
      </w:r>
      <w:r w:rsidR="00F92063" w:rsidRPr="00CE2185">
        <w:rPr>
          <w:noProof/>
        </w:rPr>
        <w:t>including SMEs</w:t>
      </w:r>
      <w:r w:rsidR="00F92063" w:rsidRPr="00CE2185">
        <w:rPr>
          <w:b/>
          <w:bCs/>
          <w:noProof/>
        </w:rPr>
        <w:t>,</w:t>
      </w:r>
      <w:r w:rsidR="000E2B87" w:rsidRPr="00CE2185">
        <w:rPr>
          <w:noProof/>
        </w:rPr>
        <w:t xml:space="preserve"> are expected to save costs thanks to fa</w:t>
      </w:r>
      <w:r w:rsidR="00D851CC" w:rsidRPr="00CE2185">
        <w:rPr>
          <w:noProof/>
        </w:rPr>
        <w:t>s</w:t>
      </w:r>
      <w:r w:rsidR="00F92063" w:rsidRPr="00CE2185">
        <w:rPr>
          <w:noProof/>
        </w:rPr>
        <w:t>t</w:t>
      </w:r>
      <w:r w:rsidR="000E2B87" w:rsidRPr="00CE2185">
        <w:rPr>
          <w:noProof/>
        </w:rPr>
        <w:t xml:space="preserve">er detection and response to cybersecurity incidents </w:t>
      </w:r>
      <w:r w:rsidR="00CF485D" w:rsidRPr="00CE2185">
        <w:rPr>
          <w:noProof/>
        </w:rPr>
        <w:t>(</w:t>
      </w:r>
      <w:r w:rsidR="006B06B5" w:rsidRPr="00CE2185">
        <w:rPr>
          <w:noProof/>
        </w:rPr>
        <w:t xml:space="preserve">expected to be </w:t>
      </w:r>
      <w:r w:rsidR="000E2B87" w:rsidRPr="00CE2185">
        <w:rPr>
          <w:noProof/>
        </w:rPr>
        <w:t>higher under A3 than in A2</w:t>
      </w:r>
      <w:r w:rsidR="006B06B5" w:rsidRPr="00CE2185">
        <w:rPr>
          <w:noProof/>
        </w:rPr>
        <w:t xml:space="preserve"> with the above-mentioned data limitations</w:t>
      </w:r>
      <w:r w:rsidR="000E2B87" w:rsidRPr="00CE2185">
        <w:rPr>
          <w:noProof/>
        </w:rPr>
        <w:t>)</w:t>
      </w:r>
      <w:r w:rsidR="00CF485D" w:rsidRPr="00CE2185">
        <w:rPr>
          <w:noProof/>
        </w:rPr>
        <w:t>, whole costs related to participation in the skills attestation scheme would remain voluntary</w:t>
      </w:r>
      <w:r w:rsidR="006B06B5" w:rsidRPr="00CE2185">
        <w:rPr>
          <w:noProof/>
        </w:rPr>
        <w:t xml:space="preserve"> commitment to the initiative</w:t>
      </w:r>
      <w:r w:rsidR="00CF485D" w:rsidRPr="00CE2185">
        <w:rPr>
          <w:noProof/>
        </w:rPr>
        <w:t xml:space="preserve">. </w:t>
      </w:r>
      <w:r w:rsidR="00CF485D" w:rsidRPr="00CE2185">
        <w:rPr>
          <w:b/>
          <w:bCs/>
          <w:noProof/>
        </w:rPr>
        <w:t xml:space="preserve">Citizens </w:t>
      </w:r>
      <w:r w:rsidR="00CF485D" w:rsidRPr="00CE2185">
        <w:rPr>
          <w:noProof/>
        </w:rPr>
        <w:t xml:space="preserve">will overall benefit </w:t>
      </w:r>
      <w:r w:rsidR="00F92063" w:rsidRPr="00CE2185">
        <w:rPr>
          <w:noProof/>
        </w:rPr>
        <w:t>from improved cyber resilience thanks to an enhanced ENISA mandate</w:t>
      </w:r>
      <w:r w:rsidR="00A06EDE" w:rsidRPr="00CE2185">
        <w:rPr>
          <w:noProof/>
        </w:rPr>
        <w:t xml:space="preserve"> and more attractive offering of skil</w:t>
      </w:r>
      <w:r w:rsidR="001B74E3" w:rsidRPr="00CE2185">
        <w:rPr>
          <w:noProof/>
        </w:rPr>
        <w:t>l</w:t>
      </w:r>
      <w:r w:rsidR="00A06EDE" w:rsidRPr="00CE2185">
        <w:rPr>
          <w:noProof/>
        </w:rPr>
        <w:t>s attestations</w:t>
      </w:r>
      <w:r w:rsidR="00221120" w:rsidRPr="00CE2185">
        <w:rPr>
          <w:noProof/>
        </w:rPr>
        <w:t xml:space="preserve"> (</w:t>
      </w:r>
      <w:r w:rsidR="00AB2F17" w:rsidRPr="00CE2185">
        <w:rPr>
          <w:noProof/>
        </w:rPr>
        <w:t xml:space="preserve">expected to be </w:t>
      </w:r>
      <w:r w:rsidR="00221120" w:rsidRPr="00CE2185">
        <w:rPr>
          <w:noProof/>
        </w:rPr>
        <w:t>higher under A3</w:t>
      </w:r>
      <w:r w:rsidR="00CA3547" w:rsidRPr="00CE2185">
        <w:rPr>
          <w:noProof/>
        </w:rPr>
        <w:t xml:space="preserve"> than A2)</w:t>
      </w:r>
      <w:r w:rsidR="00F92063" w:rsidRPr="00CE2185">
        <w:rPr>
          <w:noProof/>
        </w:rPr>
        <w:t xml:space="preserve">. </w:t>
      </w:r>
    </w:p>
    <w:p w14:paraId="7D269093" w14:textId="5036767A" w:rsidR="00845654" w:rsidRPr="00CE2185" w:rsidRDefault="00E35788" w:rsidP="00795DF0">
      <w:pPr>
        <w:spacing w:after="120"/>
        <w:rPr>
          <w:noProof/>
        </w:rPr>
      </w:pPr>
      <w:r w:rsidRPr="00CE2185">
        <w:rPr>
          <w:noProof/>
        </w:rPr>
        <w:t xml:space="preserve">Regarding the </w:t>
      </w:r>
      <w:r w:rsidRPr="00CE2185">
        <w:rPr>
          <w:b/>
          <w:bCs/>
          <w:noProof/>
        </w:rPr>
        <w:t>certification framework</w:t>
      </w:r>
      <w:r w:rsidRPr="00CE2185">
        <w:rPr>
          <w:noProof/>
        </w:rPr>
        <w:t>,</w:t>
      </w:r>
      <w:r w:rsidR="003B2A94" w:rsidRPr="00CE2185">
        <w:rPr>
          <w:noProof/>
        </w:rPr>
        <w:t xml:space="preserve"> </w:t>
      </w:r>
      <w:r w:rsidR="000B09BC" w:rsidRPr="00CE2185">
        <w:rPr>
          <w:noProof/>
        </w:rPr>
        <w:t>between B1 and B2</w:t>
      </w:r>
      <w:r w:rsidR="00F1233F" w:rsidRPr="00CE2185">
        <w:rPr>
          <w:noProof/>
        </w:rPr>
        <w:t>,</w:t>
      </w:r>
      <w:r w:rsidR="000B09BC" w:rsidRPr="00CE2185">
        <w:rPr>
          <w:noProof/>
        </w:rPr>
        <w:t xml:space="preserve"> the net value would be negative in both cases due to </w:t>
      </w:r>
      <w:r w:rsidR="00CE2185" w:rsidRPr="00CE2185">
        <w:rPr>
          <w:noProof/>
        </w:rPr>
        <w:t>adjustment</w:t>
      </w:r>
      <w:r w:rsidR="00D94AA8" w:rsidRPr="00CE2185">
        <w:rPr>
          <w:noProof/>
        </w:rPr>
        <w:t xml:space="preserve"> </w:t>
      </w:r>
      <w:r w:rsidR="000B09BC" w:rsidRPr="00CE2185">
        <w:rPr>
          <w:noProof/>
        </w:rPr>
        <w:t xml:space="preserve">costs for </w:t>
      </w:r>
      <w:r w:rsidR="000B09BC" w:rsidRPr="00CE2185">
        <w:rPr>
          <w:b/>
          <w:bCs/>
          <w:noProof/>
        </w:rPr>
        <w:t>ENISA and public authorities</w:t>
      </w:r>
      <w:r w:rsidR="000B09BC" w:rsidRPr="00CE2185">
        <w:rPr>
          <w:noProof/>
        </w:rPr>
        <w:t xml:space="preserve"> in the implementation of schemes. These costs would </w:t>
      </w:r>
      <w:r w:rsidR="00622B75" w:rsidRPr="00CE2185">
        <w:rPr>
          <w:noProof/>
        </w:rPr>
        <w:t xml:space="preserve">be higher </w:t>
      </w:r>
      <w:r w:rsidR="00D94AA8" w:rsidRPr="00CE2185">
        <w:rPr>
          <w:noProof/>
        </w:rPr>
        <w:t xml:space="preserve">in </w:t>
      </w:r>
      <w:r w:rsidR="00CE2185" w:rsidRPr="00CE2185">
        <w:rPr>
          <w:noProof/>
        </w:rPr>
        <w:t>absolute</w:t>
      </w:r>
      <w:r w:rsidR="00D94AA8" w:rsidRPr="00CE2185">
        <w:rPr>
          <w:noProof/>
        </w:rPr>
        <w:t xml:space="preserve"> terms</w:t>
      </w:r>
      <w:r w:rsidR="00622B75" w:rsidRPr="00CE2185">
        <w:rPr>
          <w:noProof/>
        </w:rPr>
        <w:t xml:space="preserve"> under B2 than B1 due to the exist</w:t>
      </w:r>
      <w:r w:rsidR="00715817" w:rsidRPr="00CE2185">
        <w:rPr>
          <w:noProof/>
        </w:rPr>
        <w:t>en</w:t>
      </w:r>
      <w:r w:rsidR="00622B75" w:rsidRPr="00CE2185">
        <w:rPr>
          <w:noProof/>
        </w:rPr>
        <w:t>ce of an additional scheme</w:t>
      </w:r>
      <w:r w:rsidR="00D94AA8" w:rsidRPr="00CE2185">
        <w:rPr>
          <w:noProof/>
        </w:rPr>
        <w:t>. At the same time, an expanded scope under B2 would</w:t>
      </w:r>
      <w:r w:rsidR="00F1233F" w:rsidRPr="00CE2185">
        <w:rPr>
          <w:noProof/>
        </w:rPr>
        <w:t xml:space="preserve"> also bring</w:t>
      </w:r>
      <w:r w:rsidR="00715817" w:rsidRPr="00CE2185">
        <w:rPr>
          <w:noProof/>
        </w:rPr>
        <w:t xml:space="preserve"> additional benefits in terms of cyber resilience</w:t>
      </w:r>
      <w:r w:rsidR="00622B75" w:rsidRPr="00CE2185">
        <w:rPr>
          <w:noProof/>
        </w:rPr>
        <w:t>.</w:t>
      </w:r>
      <w:r w:rsidR="00D94AA8" w:rsidRPr="00CE2185">
        <w:rPr>
          <w:noProof/>
        </w:rPr>
        <w:t xml:space="preserve"> </w:t>
      </w:r>
      <w:r w:rsidR="00622B75" w:rsidRPr="00CE2185">
        <w:rPr>
          <w:noProof/>
        </w:rPr>
        <w:t>In both cases</w:t>
      </w:r>
      <w:r w:rsidR="009420CE" w:rsidRPr="00CE2185">
        <w:rPr>
          <w:noProof/>
        </w:rPr>
        <w:t>, higher costs</w:t>
      </w:r>
      <w:r w:rsidR="000C10A0" w:rsidRPr="00CE2185">
        <w:rPr>
          <w:noProof/>
        </w:rPr>
        <w:t xml:space="preserve"> for ENISA and public authorities</w:t>
      </w:r>
      <w:r w:rsidR="009420CE" w:rsidRPr="00CE2185">
        <w:rPr>
          <w:noProof/>
        </w:rPr>
        <w:t xml:space="preserve"> would </w:t>
      </w:r>
      <w:r w:rsidR="2EF7DE64" w:rsidRPr="00CE2185">
        <w:rPr>
          <w:noProof/>
        </w:rPr>
        <w:t>arise</w:t>
      </w:r>
      <w:r w:rsidR="00974A49" w:rsidRPr="00CE2185">
        <w:rPr>
          <w:noProof/>
        </w:rPr>
        <w:t xml:space="preserve"> if more schemes are adopted </w:t>
      </w:r>
      <w:r w:rsidR="00AA5CE0" w:rsidRPr="00CE2185">
        <w:rPr>
          <w:noProof/>
        </w:rPr>
        <w:t xml:space="preserve">. </w:t>
      </w:r>
      <w:r w:rsidR="00974A49" w:rsidRPr="00CE2185">
        <w:rPr>
          <w:noProof/>
        </w:rPr>
        <w:t xml:space="preserve"> </w:t>
      </w:r>
      <w:r w:rsidR="008C3A0E" w:rsidRPr="00CE2185">
        <w:rPr>
          <w:noProof/>
        </w:rPr>
        <w:t xml:space="preserve">Given that B2 would add procedural efficiencies and alignment, </w:t>
      </w:r>
      <w:r w:rsidR="003F0DA2" w:rsidRPr="00CE2185">
        <w:rPr>
          <w:noProof/>
        </w:rPr>
        <w:t>overall,</w:t>
      </w:r>
      <w:r w:rsidR="008C3A0E" w:rsidRPr="00CE2185">
        <w:rPr>
          <w:noProof/>
        </w:rPr>
        <w:t xml:space="preserve"> it is assessed as being more efficient than B1. </w:t>
      </w:r>
      <w:r w:rsidR="000E4D9E" w:rsidRPr="00CE2185">
        <w:rPr>
          <w:noProof/>
        </w:rPr>
        <w:t xml:space="preserve">Furthermore, it is to be noted that under B2, ENISA would be able to levy charges for the maintenance of schemes, hence able to compensate part of the costs. Taking these fees into account, remaining </w:t>
      </w:r>
      <w:r w:rsidR="00CE2185" w:rsidRPr="00CE2185">
        <w:rPr>
          <w:noProof/>
        </w:rPr>
        <w:t>operational</w:t>
      </w:r>
      <w:r w:rsidR="000E4D9E" w:rsidRPr="00CE2185">
        <w:rPr>
          <w:noProof/>
        </w:rPr>
        <w:t xml:space="preserve"> costs </w:t>
      </w:r>
      <w:r w:rsidR="00F06A7B" w:rsidRPr="00CE2185">
        <w:rPr>
          <w:noProof/>
        </w:rPr>
        <w:t xml:space="preserve">for ENISA </w:t>
      </w:r>
      <w:r w:rsidR="000E4D9E" w:rsidRPr="00CE2185">
        <w:rPr>
          <w:noProof/>
        </w:rPr>
        <w:t>would be lower under B2 compared to B1.</w:t>
      </w:r>
      <w:r w:rsidR="00B3152C" w:rsidRPr="00CE2185">
        <w:rPr>
          <w:noProof/>
        </w:rPr>
        <w:t xml:space="preserve"> At the same time, charges would be incurred by conformity assessment bodies.</w:t>
      </w:r>
      <w:r w:rsidR="008C3A0E" w:rsidRPr="00CE2185">
        <w:rPr>
          <w:noProof/>
        </w:rPr>
        <w:t xml:space="preserve"> </w:t>
      </w:r>
      <w:r w:rsidR="003F0DA2" w:rsidRPr="00CE2185">
        <w:rPr>
          <w:noProof/>
        </w:rPr>
        <w:t>B3,</w:t>
      </w:r>
      <w:r w:rsidR="00E0602F" w:rsidRPr="00CE2185">
        <w:rPr>
          <w:noProof/>
        </w:rPr>
        <w:t xml:space="preserve"> building on B2,</w:t>
      </w:r>
      <w:r w:rsidR="003F0DA2" w:rsidRPr="00CE2185">
        <w:rPr>
          <w:noProof/>
        </w:rPr>
        <w:t xml:space="preserve"> by introducing mandatory certification for essential entities, would lead to high results on cyber resilience, wh</w:t>
      </w:r>
      <w:r w:rsidR="001D5BFA" w:rsidRPr="00CE2185">
        <w:rPr>
          <w:noProof/>
        </w:rPr>
        <w:t xml:space="preserve">ile impacting a limited number of large companies and including </w:t>
      </w:r>
      <w:r w:rsidR="002B0529" w:rsidRPr="00CE2185">
        <w:rPr>
          <w:noProof/>
        </w:rPr>
        <w:t xml:space="preserve">mainly </w:t>
      </w:r>
      <w:r w:rsidR="001D5BFA" w:rsidRPr="00CE2185">
        <w:rPr>
          <w:noProof/>
        </w:rPr>
        <w:t xml:space="preserve">one-off costs (in combination with C2/C3). </w:t>
      </w:r>
      <w:r w:rsidR="002B0529" w:rsidRPr="00CE2185">
        <w:rPr>
          <w:noProof/>
        </w:rPr>
        <w:t xml:space="preserve">However, </w:t>
      </w:r>
      <w:r w:rsidR="00F65612" w:rsidRPr="00CE2185">
        <w:rPr>
          <w:noProof/>
        </w:rPr>
        <w:t xml:space="preserve">B3 </w:t>
      </w:r>
      <w:r w:rsidR="00F06A7B" w:rsidRPr="00CE2185">
        <w:rPr>
          <w:noProof/>
        </w:rPr>
        <w:t>may</w:t>
      </w:r>
      <w:r w:rsidR="00F65612" w:rsidRPr="00CE2185">
        <w:rPr>
          <w:noProof/>
        </w:rPr>
        <w:t xml:space="preserve"> come with </w:t>
      </w:r>
      <w:r w:rsidR="00F06A7B" w:rsidRPr="00CE2185">
        <w:rPr>
          <w:noProof/>
        </w:rPr>
        <w:t>some</w:t>
      </w:r>
      <w:r w:rsidR="00F65612" w:rsidRPr="00CE2185">
        <w:rPr>
          <w:noProof/>
        </w:rPr>
        <w:t xml:space="preserve"> negative impacts on trade and prices for citizens, whi</w:t>
      </w:r>
      <w:r w:rsidR="00E0602F" w:rsidRPr="00CE2185">
        <w:rPr>
          <w:noProof/>
        </w:rPr>
        <w:t xml:space="preserve">le no such effects are expected under B2 and B1. </w:t>
      </w:r>
      <w:r w:rsidR="00F06A7B" w:rsidRPr="00CE2185">
        <w:rPr>
          <w:noProof/>
        </w:rPr>
        <w:t>The competitiveness of companies is not expected to be significantly impacted</w:t>
      </w:r>
      <w:r w:rsidR="0034188A" w:rsidRPr="00CE2185">
        <w:rPr>
          <w:noProof/>
        </w:rPr>
        <w:t xml:space="preserve"> as </w:t>
      </w:r>
      <w:r w:rsidR="000627B3" w:rsidRPr="00CE2185">
        <w:rPr>
          <w:noProof/>
        </w:rPr>
        <w:t>the</w:t>
      </w:r>
      <w:r w:rsidR="0034188A" w:rsidRPr="00CE2185">
        <w:rPr>
          <w:noProof/>
        </w:rPr>
        <w:t xml:space="preserve"> certific</w:t>
      </w:r>
      <w:r w:rsidR="000627B3" w:rsidRPr="00CE2185">
        <w:rPr>
          <w:noProof/>
        </w:rPr>
        <w:t>at</w:t>
      </w:r>
      <w:r w:rsidR="0034188A" w:rsidRPr="00CE2185">
        <w:rPr>
          <w:noProof/>
        </w:rPr>
        <w:t>ion</w:t>
      </w:r>
      <w:r w:rsidR="000627B3" w:rsidRPr="00CE2185">
        <w:rPr>
          <w:noProof/>
        </w:rPr>
        <w:t xml:space="preserve"> of entities</w:t>
      </w:r>
      <w:r w:rsidR="0034188A" w:rsidRPr="00CE2185">
        <w:rPr>
          <w:noProof/>
        </w:rPr>
        <w:t xml:space="preserve"> would also lead to compliance benefits</w:t>
      </w:r>
      <w:r w:rsidR="00991626" w:rsidRPr="00CE2185">
        <w:rPr>
          <w:noProof/>
        </w:rPr>
        <w:t xml:space="preserve"> </w:t>
      </w:r>
      <w:r w:rsidR="0034188A" w:rsidRPr="00CE2185">
        <w:rPr>
          <w:noProof/>
        </w:rPr>
        <w:t xml:space="preserve">(see option C2). </w:t>
      </w:r>
      <w:r w:rsidR="000C10A0" w:rsidRPr="00CE2185">
        <w:rPr>
          <w:noProof/>
        </w:rPr>
        <w:t>Looking at the</w:t>
      </w:r>
      <w:r w:rsidR="000C10A0" w:rsidRPr="00CE2185">
        <w:rPr>
          <w:b/>
          <w:bCs/>
          <w:noProof/>
        </w:rPr>
        <w:t xml:space="preserve"> impacts</w:t>
      </w:r>
      <w:r w:rsidR="00FF6126" w:rsidRPr="00CE2185" w:rsidDel="000C10A0">
        <w:rPr>
          <w:b/>
          <w:bCs/>
          <w:noProof/>
        </w:rPr>
        <w:t xml:space="preserve"> on </w:t>
      </w:r>
      <w:r w:rsidR="000C10A0" w:rsidRPr="00CE2185">
        <w:rPr>
          <w:b/>
          <w:bCs/>
          <w:noProof/>
        </w:rPr>
        <w:t xml:space="preserve">stakeholders, </w:t>
      </w:r>
      <w:r w:rsidR="000C10A0" w:rsidRPr="00CE2185">
        <w:rPr>
          <w:noProof/>
        </w:rPr>
        <w:t>o</w:t>
      </w:r>
      <w:r w:rsidR="00B81F42" w:rsidRPr="00CE2185">
        <w:rPr>
          <w:noProof/>
        </w:rPr>
        <w:t xml:space="preserve">verall, </w:t>
      </w:r>
      <w:r w:rsidR="00B81F42" w:rsidRPr="00CE2185">
        <w:rPr>
          <w:b/>
          <w:bCs/>
          <w:noProof/>
        </w:rPr>
        <w:t xml:space="preserve">ENISA </w:t>
      </w:r>
      <w:r w:rsidR="00B81F42" w:rsidRPr="00CE2185">
        <w:rPr>
          <w:noProof/>
        </w:rPr>
        <w:t xml:space="preserve">and </w:t>
      </w:r>
      <w:r w:rsidR="00B81F42" w:rsidRPr="00CE2185">
        <w:rPr>
          <w:b/>
          <w:bCs/>
          <w:noProof/>
        </w:rPr>
        <w:t>public authorities</w:t>
      </w:r>
      <w:r w:rsidR="00B81F42" w:rsidRPr="00CE2185">
        <w:rPr>
          <w:noProof/>
        </w:rPr>
        <w:t xml:space="preserve"> would be most impacted in terms of costs by these policy options</w:t>
      </w:r>
      <w:r w:rsidR="00780742" w:rsidRPr="00CE2185">
        <w:rPr>
          <w:noProof/>
        </w:rPr>
        <w:t xml:space="preserve">. Under B1 and B2 </w:t>
      </w:r>
      <w:r w:rsidR="00D82F32" w:rsidRPr="00CE2185">
        <w:rPr>
          <w:noProof/>
        </w:rPr>
        <w:t xml:space="preserve">as the schemes would remain voluntary, no significant costs would occur for </w:t>
      </w:r>
      <w:r w:rsidR="00D82F32" w:rsidRPr="00CE2185">
        <w:rPr>
          <w:b/>
          <w:bCs/>
          <w:noProof/>
        </w:rPr>
        <w:t>businesses</w:t>
      </w:r>
      <w:r w:rsidR="00D82F32" w:rsidRPr="00CE2185">
        <w:rPr>
          <w:noProof/>
        </w:rPr>
        <w:t>,</w:t>
      </w:r>
      <w:r w:rsidR="000C10A0" w:rsidRPr="00CE2185">
        <w:rPr>
          <w:noProof/>
        </w:rPr>
        <w:t xml:space="preserve"> including </w:t>
      </w:r>
      <w:r w:rsidR="000C10A0" w:rsidRPr="00CE2185">
        <w:rPr>
          <w:b/>
          <w:bCs/>
          <w:noProof/>
        </w:rPr>
        <w:t>SMEs</w:t>
      </w:r>
      <w:r w:rsidR="000C10A0" w:rsidRPr="00CE2185">
        <w:rPr>
          <w:noProof/>
        </w:rPr>
        <w:t>,</w:t>
      </w:r>
      <w:r w:rsidR="00780742" w:rsidRPr="00CE2185">
        <w:rPr>
          <w:noProof/>
        </w:rPr>
        <w:t xml:space="preserve"> </w:t>
      </w:r>
      <w:r w:rsidR="000C10A0" w:rsidRPr="00CE2185">
        <w:rPr>
          <w:noProof/>
        </w:rPr>
        <w:t xml:space="preserve">. </w:t>
      </w:r>
      <w:r w:rsidR="000627B3" w:rsidRPr="00CE2185">
        <w:rPr>
          <w:noProof/>
        </w:rPr>
        <w:t>Under B2, charges levied by ENISA would compensate operational costs while</w:t>
      </w:r>
      <w:r w:rsidR="00277C25" w:rsidRPr="00CE2185">
        <w:rPr>
          <w:noProof/>
        </w:rPr>
        <w:t xml:space="preserve"> adding some burden on businesses. </w:t>
      </w:r>
      <w:r w:rsidR="00B81F42" w:rsidRPr="00CE2185">
        <w:rPr>
          <w:noProof/>
        </w:rPr>
        <w:t xml:space="preserve">B3 would </w:t>
      </w:r>
      <w:r w:rsidR="007F6670" w:rsidRPr="00CE2185">
        <w:rPr>
          <w:noProof/>
        </w:rPr>
        <w:t xml:space="preserve">lead to one-off costs for NIS2 entities, that could be transferred on prices for </w:t>
      </w:r>
      <w:r w:rsidR="1A1BB7F4" w:rsidRPr="00CE2185">
        <w:rPr>
          <w:noProof/>
        </w:rPr>
        <w:t>citizens</w:t>
      </w:r>
      <w:r w:rsidR="007F6670" w:rsidRPr="00CE2185">
        <w:rPr>
          <w:noProof/>
        </w:rPr>
        <w:t>.</w:t>
      </w:r>
      <w:r w:rsidR="00D82F32" w:rsidRPr="00CE2185">
        <w:rPr>
          <w:noProof/>
        </w:rPr>
        <w:t xml:space="preserve"> </w:t>
      </w:r>
      <w:r w:rsidR="000C10A0" w:rsidRPr="00CE2185">
        <w:rPr>
          <w:noProof/>
        </w:rPr>
        <w:t xml:space="preserve">Hence, in comparative terms, </w:t>
      </w:r>
      <w:r w:rsidR="000C10A0" w:rsidRPr="00CE2185">
        <w:rPr>
          <w:b/>
          <w:bCs/>
          <w:noProof/>
        </w:rPr>
        <w:t xml:space="preserve">B1 </w:t>
      </w:r>
      <w:r w:rsidR="000C10A0" w:rsidRPr="00CE2185">
        <w:rPr>
          <w:noProof/>
        </w:rPr>
        <w:t xml:space="preserve">would rate low on efficiency </w:t>
      </w:r>
      <w:r w:rsidR="00437624" w:rsidRPr="00CE2185">
        <w:rPr>
          <w:noProof/>
        </w:rPr>
        <w:t>with fewer schemes in place</w:t>
      </w:r>
      <w:r w:rsidR="000C10A0" w:rsidRPr="00CE2185">
        <w:rPr>
          <w:noProof/>
        </w:rPr>
        <w:t xml:space="preserve"> ,</w:t>
      </w:r>
      <w:r w:rsidR="000C10A0" w:rsidRPr="00CE2185">
        <w:rPr>
          <w:b/>
          <w:bCs/>
          <w:noProof/>
        </w:rPr>
        <w:t xml:space="preserve"> B2 </w:t>
      </w:r>
      <w:r w:rsidR="000C10A0" w:rsidRPr="00CE2185">
        <w:rPr>
          <w:noProof/>
        </w:rPr>
        <w:t xml:space="preserve">would rate moderate alone </w:t>
      </w:r>
      <w:r w:rsidR="007724BD" w:rsidRPr="00CE2185">
        <w:rPr>
          <w:noProof/>
        </w:rPr>
        <w:t xml:space="preserve">(with an additional scheme) </w:t>
      </w:r>
      <w:r w:rsidR="000C10A0" w:rsidRPr="00CE2185">
        <w:rPr>
          <w:noProof/>
        </w:rPr>
        <w:t>and</w:t>
      </w:r>
      <w:r w:rsidR="000C10A0" w:rsidRPr="00CE2185">
        <w:rPr>
          <w:b/>
          <w:bCs/>
          <w:noProof/>
        </w:rPr>
        <w:t xml:space="preserve"> B3 </w:t>
      </w:r>
      <w:r w:rsidR="000C10A0" w:rsidRPr="00CE2185">
        <w:rPr>
          <w:noProof/>
        </w:rPr>
        <w:t>would rate moderate to low alone</w:t>
      </w:r>
      <w:r w:rsidR="005957CB" w:rsidRPr="00CE2185">
        <w:rPr>
          <w:noProof/>
        </w:rPr>
        <w:t xml:space="preserve">. </w:t>
      </w:r>
    </w:p>
    <w:p w14:paraId="354CFA6A" w14:textId="6CD29AFA" w:rsidR="00F57D9D" w:rsidRPr="00CE2185" w:rsidRDefault="00F23DBE" w:rsidP="00795DF0">
      <w:pPr>
        <w:spacing w:after="120"/>
        <w:rPr>
          <w:noProof/>
        </w:rPr>
      </w:pPr>
      <w:r w:rsidRPr="00CE2185">
        <w:rPr>
          <w:noProof/>
        </w:rPr>
        <w:t xml:space="preserve">Regarding </w:t>
      </w:r>
      <w:r w:rsidRPr="00CE2185">
        <w:rPr>
          <w:b/>
          <w:noProof/>
        </w:rPr>
        <w:t>simplification</w:t>
      </w:r>
      <w:r w:rsidRPr="00CE2185">
        <w:rPr>
          <w:noProof/>
        </w:rPr>
        <w:t xml:space="preserve">, </w:t>
      </w:r>
      <w:r w:rsidR="00497D4B" w:rsidRPr="00CE2185">
        <w:rPr>
          <w:noProof/>
        </w:rPr>
        <w:t xml:space="preserve">C.1 would not lead to substantial </w:t>
      </w:r>
      <w:r w:rsidR="00AD4B21" w:rsidRPr="00CE2185">
        <w:rPr>
          <w:noProof/>
        </w:rPr>
        <w:t xml:space="preserve">cost savings </w:t>
      </w:r>
      <w:r w:rsidR="00D0754E" w:rsidRPr="00CE2185">
        <w:rPr>
          <w:noProof/>
        </w:rPr>
        <w:t xml:space="preserve">for businesses </w:t>
      </w:r>
      <w:r w:rsidR="003E3A1C" w:rsidRPr="00CE2185">
        <w:rPr>
          <w:noProof/>
        </w:rPr>
        <w:t xml:space="preserve">and the impact on the internal market would be positive but limited. </w:t>
      </w:r>
      <w:r w:rsidR="00875263" w:rsidRPr="00CE2185">
        <w:rPr>
          <w:noProof/>
        </w:rPr>
        <w:t>Both C2 and C</w:t>
      </w:r>
      <w:r w:rsidR="00EE2C67" w:rsidRPr="00CE2185">
        <w:rPr>
          <w:noProof/>
        </w:rPr>
        <w:t>3</w:t>
      </w:r>
      <w:r w:rsidR="003E3A1C" w:rsidRPr="00CE2185">
        <w:rPr>
          <w:noProof/>
        </w:rPr>
        <w:t xml:space="preserve"> </w:t>
      </w:r>
      <w:r w:rsidR="004F745A" w:rsidRPr="00CE2185">
        <w:rPr>
          <w:noProof/>
        </w:rPr>
        <w:t>are expected to</w:t>
      </w:r>
      <w:r w:rsidR="003E3A1C" w:rsidRPr="00CE2185">
        <w:rPr>
          <w:noProof/>
        </w:rPr>
        <w:t xml:space="preserve"> </w:t>
      </w:r>
      <w:r w:rsidR="00875263" w:rsidRPr="00CE2185">
        <w:rPr>
          <w:noProof/>
        </w:rPr>
        <w:t xml:space="preserve">bring substantial compliance </w:t>
      </w:r>
      <w:r w:rsidR="00EE2C67" w:rsidRPr="00CE2185">
        <w:rPr>
          <w:noProof/>
        </w:rPr>
        <w:t xml:space="preserve">cost savings for </w:t>
      </w:r>
      <w:r w:rsidR="00EE2C67" w:rsidRPr="00CE2185">
        <w:rPr>
          <w:b/>
          <w:noProof/>
        </w:rPr>
        <w:t>businesses including SMEs and medium-</w:t>
      </w:r>
      <w:r w:rsidR="00CF3112" w:rsidRPr="00CE2185">
        <w:rPr>
          <w:b/>
          <w:bCs/>
          <w:noProof/>
        </w:rPr>
        <w:t>caps</w:t>
      </w:r>
      <w:r w:rsidR="00EE2C67" w:rsidRPr="00CE2185">
        <w:rPr>
          <w:b/>
          <w:noProof/>
        </w:rPr>
        <w:t xml:space="preserve"> companies</w:t>
      </w:r>
      <w:r w:rsidR="00EE2C67" w:rsidRPr="00CE2185">
        <w:rPr>
          <w:noProof/>
        </w:rPr>
        <w:t xml:space="preserve">, while </w:t>
      </w:r>
      <w:r w:rsidR="005A7C86" w:rsidRPr="00CE2185">
        <w:rPr>
          <w:noProof/>
        </w:rPr>
        <w:t xml:space="preserve">having </w:t>
      </w:r>
      <w:r w:rsidR="006A623F" w:rsidRPr="00CE2185">
        <w:rPr>
          <w:noProof/>
        </w:rPr>
        <w:t>also strong</w:t>
      </w:r>
      <w:r w:rsidR="005A7C86" w:rsidRPr="00CE2185">
        <w:rPr>
          <w:noProof/>
        </w:rPr>
        <w:t xml:space="preserve"> impact on the internal market </w:t>
      </w:r>
      <w:r w:rsidR="006A623F" w:rsidRPr="00CE2185">
        <w:rPr>
          <w:noProof/>
        </w:rPr>
        <w:t>(greater f</w:t>
      </w:r>
      <w:r w:rsidR="00567794" w:rsidRPr="00CE2185">
        <w:rPr>
          <w:noProof/>
        </w:rPr>
        <w:t>or</w:t>
      </w:r>
      <w:r w:rsidR="006A623F" w:rsidRPr="00CE2185">
        <w:rPr>
          <w:noProof/>
        </w:rPr>
        <w:t xml:space="preserve"> C3 than C2</w:t>
      </w:r>
      <w:r w:rsidR="002845A2" w:rsidRPr="00CE2185">
        <w:rPr>
          <w:noProof/>
        </w:rPr>
        <w:t>, while C3 would have some one-off adjustment costs</w:t>
      </w:r>
      <w:r w:rsidR="006A623F" w:rsidRPr="00CE2185">
        <w:rPr>
          <w:noProof/>
        </w:rPr>
        <w:t xml:space="preserve">). </w:t>
      </w:r>
      <w:r w:rsidR="00567794" w:rsidRPr="00CE2185">
        <w:rPr>
          <w:noProof/>
        </w:rPr>
        <w:t>In addition</w:t>
      </w:r>
      <w:r w:rsidR="00286A70" w:rsidRPr="00CE2185">
        <w:rPr>
          <w:noProof/>
        </w:rPr>
        <w:t>,</w:t>
      </w:r>
      <w:r w:rsidR="00567794" w:rsidRPr="00CE2185">
        <w:rPr>
          <w:noProof/>
        </w:rPr>
        <w:t xml:space="preserve"> C3 would also lead to savings for </w:t>
      </w:r>
      <w:r w:rsidR="00567794" w:rsidRPr="00CE2185">
        <w:rPr>
          <w:b/>
          <w:noProof/>
        </w:rPr>
        <w:t>public authorities</w:t>
      </w:r>
      <w:r w:rsidR="00567794" w:rsidRPr="00CE2185">
        <w:rPr>
          <w:noProof/>
        </w:rPr>
        <w:t xml:space="preserve"> related to supervision. Both </w:t>
      </w:r>
      <w:r w:rsidR="00C57372" w:rsidRPr="00CE2185">
        <w:rPr>
          <w:noProof/>
        </w:rPr>
        <w:t>for</w:t>
      </w:r>
      <w:r w:rsidR="00567794" w:rsidRPr="00CE2185">
        <w:rPr>
          <w:noProof/>
        </w:rPr>
        <w:t xml:space="preserve"> C2 and C3</w:t>
      </w:r>
      <w:r w:rsidR="00C57372" w:rsidRPr="00CE2185">
        <w:rPr>
          <w:noProof/>
        </w:rPr>
        <w:t>,</w:t>
      </w:r>
      <w:r w:rsidR="00567794" w:rsidRPr="00CE2185">
        <w:rPr>
          <w:noProof/>
        </w:rPr>
        <w:t xml:space="preserve"> </w:t>
      </w:r>
      <w:r w:rsidR="00286A70" w:rsidRPr="00CE2185">
        <w:rPr>
          <w:noProof/>
        </w:rPr>
        <w:t xml:space="preserve">the impact on cyber resilience </w:t>
      </w:r>
      <w:r w:rsidR="00557A64" w:rsidRPr="00CE2185">
        <w:rPr>
          <w:noProof/>
        </w:rPr>
        <w:t xml:space="preserve">is expected to </w:t>
      </w:r>
      <w:r w:rsidR="00286A70" w:rsidRPr="00CE2185">
        <w:rPr>
          <w:noProof/>
        </w:rPr>
        <w:t xml:space="preserve">be nuanced due to the scope changes, while measures such as certification </w:t>
      </w:r>
      <w:r w:rsidR="006E36B1" w:rsidRPr="00CE2185">
        <w:rPr>
          <w:noProof/>
        </w:rPr>
        <w:t>(link with B2/3)</w:t>
      </w:r>
      <w:r w:rsidR="00286A70" w:rsidRPr="00CE2185">
        <w:rPr>
          <w:noProof/>
        </w:rPr>
        <w:t xml:space="preserve"> and reporting of ransomware would </w:t>
      </w:r>
      <w:r w:rsidR="006E36B1" w:rsidRPr="00CE2185">
        <w:rPr>
          <w:noProof/>
        </w:rPr>
        <w:t>be positive</w:t>
      </w:r>
      <w:r w:rsidR="00557A64" w:rsidRPr="00CE2185">
        <w:rPr>
          <w:noProof/>
        </w:rPr>
        <w:t>, while it is to be mentioned that those impacts could not be quantified</w:t>
      </w:r>
      <w:r w:rsidR="006E36B1" w:rsidRPr="00CE2185">
        <w:rPr>
          <w:noProof/>
        </w:rPr>
        <w:t>.</w:t>
      </w:r>
      <w:r w:rsidR="00286A70" w:rsidRPr="00CE2185">
        <w:rPr>
          <w:noProof/>
        </w:rPr>
        <w:t xml:space="preserve"> </w:t>
      </w:r>
      <w:r w:rsidR="00500AE6" w:rsidRPr="00CE2185">
        <w:rPr>
          <w:noProof/>
        </w:rPr>
        <w:t xml:space="preserve">Looking at </w:t>
      </w:r>
      <w:r w:rsidR="002845A2" w:rsidRPr="00CE2185">
        <w:rPr>
          <w:noProof/>
        </w:rPr>
        <w:t xml:space="preserve">other </w:t>
      </w:r>
      <w:r w:rsidR="00500AE6" w:rsidRPr="00CE2185">
        <w:rPr>
          <w:noProof/>
        </w:rPr>
        <w:t xml:space="preserve">stakeholders, </w:t>
      </w:r>
      <w:r w:rsidR="002845A2" w:rsidRPr="00CE2185">
        <w:rPr>
          <w:noProof/>
        </w:rPr>
        <w:t>ENISA would be impacted by both C2 and C3 due to support given to Member States</w:t>
      </w:r>
      <w:r w:rsidR="004949BD" w:rsidRPr="00CE2185">
        <w:rPr>
          <w:noProof/>
        </w:rPr>
        <w:t xml:space="preserve"> (link to A2/3)</w:t>
      </w:r>
      <w:r w:rsidR="002845A2" w:rsidRPr="00CE2185">
        <w:rPr>
          <w:noProof/>
        </w:rPr>
        <w:t xml:space="preserve">.  </w:t>
      </w:r>
      <w:r w:rsidR="004949BD" w:rsidRPr="00CE2185">
        <w:rPr>
          <w:noProof/>
        </w:rPr>
        <w:t xml:space="preserve">As a result, </w:t>
      </w:r>
      <w:r w:rsidR="004949BD" w:rsidRPr="00CE2185">
        <w:rPr>
          <w:b/>
          <w:noProof/>
        </w:rPr>
        <w:t>C3 would appear most efficient</w:t>
      </w:r>
      <w:r w:rsidR="004949BD" w:rsidRPr="00CE2185">
        <w:rPr>
          <w:b/>
          <w:bCs/>
          <w:noProof/>
        </w:rPr>
        <w:t xml:space="preserve"> (high)</w:t>
      </w:r>
      <w:r w:rsidR="004949BD" w:rsidRPr="00CE2185">
        <w:rPr>
          <w:b/>
          <w:noProof/>
        </w:rPr>
        <w:t>, followed by C2</w:t>
      </w:r>
      <w:r w:rsidR="004949BD" w:rsidRPr="00CE2185">
        <w:rPr>
          <w:b/>
          <w:bCs/>
          <w:noProof/>
        </w:rPr>
        <w:t xml:space="preserve"> (moderate)</w:t>
      </w:r>
      <w:r w:rsidR="004949BD" w:rsidRPr="00CE2185">
        <w:rPr>
          <w:b/>
          <w:noProof/>
        </w:rPr>
        <w:t xml:space="preserve"> and C1</w:t>
      </w:r>
      <w:r w:rsidR="004949BD" w:rsidRPr="00CE2185">
        <w:rPr>
          <w:b/>
          <w:bCs/>
          <w:noProof/>
        </w:rPr>
        <w:t xml:space="preserve"> (low)</w:t>
      </w:r>
      <w:r w:rsidR="004949BD" w:rsidRPr="00CE2185">
        <w:rPr>
          <w:noProof/>
        </w:rPr>
        <w:t>.</w:t>
      </w:r>
    </w:p>
    <w:p w14:paraId="54455CB7" w14:textId="5A5CD47F" w:rsidR="000D0808" w:rsidRPr="00CE2185" w:rsidRDefault="000D0808" w:rsidP="7410CB48">
      <w:pPr>
        <w:spacing w:after="120"/>
        <w:rPr>
          <w:noProof/>
          <w:lang w:val="en-IE"/>
        </w:rPr>
        <w:sectPr w:rsidR="000D0808" w:rsidRPr="00CE2185" w:rsidSect="00EE3DF9">
          <w:headerReference w:type="even" r:id="rId20"/>
          <w:headerReference w:type="default" r:id="rId21"/>
          <w:footerReference w:type="even" r:id="rId22"/>
          <w:footerReference w:type="default" r:id="rId23"/>
          <w:headerReference w:type="first" r:id="rId24"/>
          <w:footerReference w:type="first" r:id="rId25"/>
          <w:pgSz w:w="11906" w:h="16838"/>
          <w:pgMar w:top="1134" w:right="1841" w:bottom="1134" w:left="1418" w:header="601" w:footer="1077" w:gutter="0"/>
          <w:cols w:space="720"/>
          <w:titlePg/>
        </w:sectPr>
      </w:pPr>
      <w:r w:rsidRPr="00CE2185">
        <w:rPr>
          <w:noProof/>
        </w:rPr>
        <w:t xml:space="preserve">Regarding </w:t>
      </w:r>
      <w:r w:rsidRPr="00CE2185">
        <w:rPr>
          <w:b/>
          <w:bCs/>
          <w:noProof/>
        </w:rPr>
        <w:t>ICT supply chain security</w:t>
      </w:r>
      <w:r w:rsidRPr="00CE2185">
        <w:rPr>
          <w:noProof/>
        </w:rPr>
        <w:t xml:space="preserve">, under D1 the costs for </w:t>
      </w:r>
      <w:r w:rsidRPr="00CE2185">
        <w:rPr>
          <w:b/>
          <w:bCs/>
          <w:noProof/>
        </w:rPr>
        <w:t>businesses</w:t>
      </w:r>
      <w:r w:rsidRPr="00CE2185">
        <w:rPr>
          <w:noProof/>
        </w:rPr>
        <w:t xml:space="preserve"> related to restrictions (and related benefits in terms of cyber resilience) would be uneven and driven by Member States implementation and add market fragmentation. On the contrary, D.2 would entail the economic costs for</w:t>
      </w:r>
      <w:r w:rsidRPr="00CE2185">
        <w:rPr>
          <w:b/>
          <w:bCs/>
          <w:noProof/>
        </w:rPr>
        <w:t xml:space="preserve"> suppliers</w:t>
      </w:r>
      <w:r w:rsidRPr="00CE2185">
        <w:rPr>
          <w:noProof/>
        </w:rPr>
        <w:t xml:space="preserve"> of replacing equipment from high-risk suppliers in the key assets of the 5G networks as well as identifying those suppliers and assets related to 5G networks, however the benefits this would also create new market and investment opportunities for trusted suppliers. Furthermore, the positive impacts in terms of internal market approach and cyber resilience would be substantial. The efficiency of D3 would be higher than for D2 as D3 would ensure in addition a common and harmonised approach for other sectors ensuring a consistent approach over time and economies of scale for trusted suppliers. D3 would calculate the costs and benefits for measures effecting other critical supply chains. For both D2 and D3, negative impacts on trade and consumer choice are not expected to cause major disruptions. Furthermore, it is expected that European competitiveness and innovation will be stimulated (see also </w:t>
      </w:r>
      <w:r w:rsidRPr="00CE2185">
        <w:rPr>
          <w:i/>
          <w:iCs/>
          <w:noProof/>
        </w:rPr>
        <w:t>section 6.1.4</w:t>
      </w:r>
      <w:r w:rsidRPr="00CE2185">
        <w:rPr>
          <w:noProof/>
        </w:rPr>
        <w:t xml:space="preserve">), while in the short-term price increases are likely for </w:t>
      </w:r>
      <w:r w:rsidRPr="00CE2185">
        <w:rPr>
          <w:b/>
          <w:bCs/>
          <w:noProof/>
        </w:rPr>
        <w:t>citizens</w:t>
      </w:r>
      <w:r w:rsidRPr="00CE2185">
        <w:rPr>
          <w:noProof/>
        </w:rPr>
        <w:t xml:space="preserve">. </w:t>
      </w:r>
      <w:r w:rsidRPr="00CE2185">
        <w:rPr>
          <w:b/>
          <w:bCs/>
          <w:noProof/>
        </w:rPr>
        <w:t>SMEs</w:t>
      </w:r>
      <w:r w:rsidRPr="00CE2185">
        <w:rPr>
          <w:noProof/>
        </w:rPr>
        <w:t xml:space="preserve"> could be affected across the supply chains and substitutions costs under D2 and D3, while they would also benefit from higher cyber resilience and new market opportunities. </w:t>
      </w:r>
      <w:r w:rsidRPr="00CE2185">
        <w:rPr>
          <w:b/>
          <w:bCs/>
          <w:noProof/>
        </w:rPr>
        <w:t>Public authorities</w:t>
      </w:r>
      <w:r w:rsidRPr="00CE2185">
        <w:rPr>
          <w:noProof/>
        </w:rPr>
        <w:t xml:space="preserve"> would face higher supervision costs under D3 with new sectors added compared to D2, while they would also greatly benefit from increased cyber resilience as ICT users. ENISA would not be specifically affected by these policy options. Overall, the efficiency of </w:t>
      </w:r>
      <w:r w:rsidRPr="00CE2185">
        <w:rPr>
          <w:b/>
          <w:bCs/>
          <w:noProof/>
        </w:rPr>
        <w:t>D3 is rated high followed by D2 (high to moderate) and D1 (low</w:t>
      </w:r>
      <w:r>
        <w:rPr>
          <w:b/>
          <w:bCs/>
          <w:noProof/>
        </w:rPr>
        <w:t>).</w:t>
      </w:r>
    </w:p>
    <w:p w14:paraId="7799B179" w14:textId="352AED21" w:rsidR="00633148" w:rsidRPr="00CE2185" w:rsidRDefault="00E46AD2" w:rsidP="00E5147D">
      <w:pPr>
        <w:pStyle w:val="Heading7"/>
        <w:rPr>
          <w:i/>
          <w:iCs/>
          <w:noProof/>
          <w:lang w:val="en-IE"/>
        </w:rPr>
      </w:pPr>
      <w:bookmarkStart w:id="139" w:name="_Toc218767779"/>
      <w:r w:rsidRPr="00CE2185">
        <w:rPr>
          <w:noProof/>
          <w:lang w:val="en-IE"/>
        </w:rPr>
        <w:t>Table</w:t>
      </w:r>
      <w:r w:rsidR="00CB5371" w:rsidRPr="00CE2185">
        <w:rPr>
          <w:noProof/>
          <w:lang w:val="en-IE"/>
        </w:rPr>
        <w:t xml:space="preserve"> 1</w:t>
      </w:r>
      <w:r w:rsidR="008B17FB" w:rsidRPr="00CE2185">
        <w:rPr>
          <w:noProof/>
          <w:lang w:val="en-IE"/>
        </w:rPr>
        <w:t>7</w:t>
      </w:r>
      <w:r w:rsidRPr="00CE2185">
        <w:rPr>
          <w:noProof/>
          <w:lang w:val="en-IE"/>
        </w:rPr>
        <w:t xml:space="preserve">: Overview net values and comparative analysis </w:t>
      </w:r>
      <w:r w:rsidRPr="00CE2185">
        <w:rPr>
          <w:i/>
          <w:iCs/>
          <w:noProof/>
          <w:lang w:val="en-IE"/>
        </w:rPr>
        <w:t>by stakeholders</w:t>
      </w:r>
      <w:bookmarkEnd w:id="139"/>
      <w:r w:rsidRPr="00CE2185">
        <w:rPr>
          <w:i/>
          <w:iCs/>
          <w:noProof/>
          <w:lang w:val="en-IE"/>
        </w:rPr>
        <w:t xml:space="preserve"> </w:t>
      </w:r>
    </w:p>
    <w:p w14:paraId="56C354CB" w14:textId="341E13BF" w:rsidR="00F867CF" w:rsidRDefault="00633148" w:rsidP="000D0808">
      <w:pPr>
        <w:rPr>
          <w:noProof/>
          <w:lang w:val="en-IE"/>
        </w:rPr>
      </w:pPr>
      <w:r w:rsidRPr="00CE2185">
        <w:rPr>
          <w:noProof/>
          <w:lang w:val="en-IE"/>
        </w:rPr>
        <w:t xml:space="preserve">Legend: * broad estimate base on limited available data </w:t>
      </w:r>
      <w:r w:rsidR="00BB114D" w:rsidRPr="00CE2185">
        <w:rPr>
          <w:noProof/>
          <w:lang w:val="en-IE"/>
        </w:rPr>
        <w:t>;</w:t>
      </w:r>
      <w:r w:rsidR="002C4AA8" w:rsidRPr="00CE2185">
        <w:rPr>
          <w:noProof/>
          <w:lang w:val="en-IE"/>
        </w:rPr>
        <w:t xml:space="preserve"> ** recurrent for </w:t>
      </w:r>
      <w:r w:rsidR="00846EC6">
        <w:rPr>
          <w:noProof/>
          <w:lang w:val="en-IE"/>
        </w:rPr>
        <w:t>three</w:t>
      </w:r>
      <w:r w:rsidR="00846EC6" w:rsidRPr="00CE2185">
        <w:rPr>
          <w:noProof/>
          <w:lang w:val="en-IE"/>
        </w:rPr>
        <w:t xml:space="preserve"> </w:t>
      </w:r>
      <w:r w:rsidR="002C4AA8" w:rsidRPr="00CE2185">
        <w:rPr>
          <w:noProof/>
          <w:lang w:val="en-IE"/>
        </w:rPr>
        <w:t>years;</w:t>
      </w:r>
      <w:r w:rsidR="00BB114D" w:rsidRPr="00CE2185">
        <w:rPr>
          <w:noProof/>
          <w:lang w:val="en-IE"/>
        </w:rPr>
        <w:t xml:space="preserve"> </w:t>
      </w:r>
      <w:r w:rsidR="000D0808" w:rsidRPr="00CE2185">
        <w:rPr>
          <w:noProof/>
          <w:lang w:val="en-IE"/>
        </w:rPr>
        <w:t>(D2/3) if a combination of policy options materialise</w:t>
      </w:r>
      <w:r w:rsidR="000D0808">
        <w:rPr>
          <w:noProof/>
          <w:lang w:val="en-IE"/>
        </w:rPr>
        <w:t>.</w:t>
      </w:r>
    </w:p>
    <w:tbl>
      <w:tblPr>
        <w:tblStyle w:val="template1"/>
        <w:tblW w:w="5000" w:type="pct"/>
        <w:tblLook w:val="04A0" w:firstRow="1" w:lastRow="0" w:firstColumn="1" w:lastColumn="0" w:noHBand="0" w:noVBand="1"/>
      </w:tblPr>
      <w:tblGrid>
        <w:gridCol w:w="2333"/>
        <w:gridCol w:w="958"/>
        <w:gridCol w:w="958"/>
        <w:gridCol w:w="1159"/>
        <w:gridCol w:w="958"/>
        <w:gridCol w:w="1124"/>
        <w:gridCol w:w="1124"/>
        <w:gridCol w:w="837"/>
        <w:gridCol w:w="1118"/>
        <w:gridCol w:w="1127"/>
        <w:gridCol w:w="893"/>
        <w:gridCol w:w="958"/>
        <w:gridCol w:w="1239"/>
      </w:tblGrid>
      <w:tr w:rsidR="000D0808" w:rsidRPr="00CE2185" w14:paraId="696BA30B" w14:textId="77777777" w:rsidTr="00641B35">
        <w:trPr>
          <w:tblHeader/>
        </w:trPr>
        <w:tc>
          <w:tcPr>
            <w:tcW w:w="789" w:type="pct"/>
            <w:shd w:val="clear" w:color="auto" w:fill="FFFFFF" w:themeFill="background1"/>
          </w:tcPr>
          <w:p w14:paraId="1E98DA72" w14:textId="77777777" w:rsidR="000D0808" w:rsidRPr="00CE2185" w:rsidRDefault="000D0808" w:rsidP="00641B35">
            <w:pPr>
              <w:spacing w:after="0"/>
              <w:rPr>
                <w:b/>
                <w:bCs/>
                <w:noProof/>
                <w:sz w:val="20"/>
                <w:szCs w:val="20"/>
              </w:rPr>
            </w:pPr>
            <w:r w:rsidRPr="00CE2185">
              <w:rPr>
                <w:b/>
                <w:bCs/>
                <w:noProof/>
                <w:sz w:val="20"/>
                <w:szCs w:val="20"/>
              </w:rPr>
              <w:t xml:space="preserve">Efficiency   </w:t>
            </w:r>
          </w:p>
        </w:tc>
        <w:tc>
          <w:tcPr>
            <w:tcW w:w="4211" w:type="pct"/>
            <w:gridSpan w:val="12"/>
            <w:shd w:val="clear" w:color="auto" w:fill="FFFFFF" w:themeFill="background1"/>
            <w:vAlign w:val="center"/>
          </w:tcPr>
          <w:p w14:paraId="69011410" w14:textId="77777777" w:rsidR="000D0808" w:rsidRPr="00CE2185" w:rsidRDefault="000D0808" w:rsidP="00641B35">
            <w:pPr>
              <w:spacing w:after="0"/>
              <w:rPr>
                <w:b/>
                <w:bCs/>
                <w:noProof/>
                <w:sz w:val="20"/>
                <w:szCs w:val="20"/>
              </w:rPr>
            </w:pPr>
            <w:r w:rsidRPr="00CE2185">
              <w:rPr>
                <w:b/>
                <w:bCs/>
                <w:noProof/>
                <w:sz w:val="20"/>
                <w:szCs w:val="20"/>
              </w:rPr>
              <w:t xml:space="preserve">Policy options </w:t>
            </w:r>
          </w:p>
        </w:tc>
      </w:tr>
      <w:tr w:rsidR="000D0808" w:rsidRPr="00CE2185" w14:paraId="2D4A7E2A" w14:textId="77777777" w:rsidTr="00641B35">
        <w:trPr>
          <w:tblHeader/>
        </w:trPr>
        <w:tc>
          <w:tcPr>
            <w:tcW w:w="789" w:type="pct"/>
            <w:tcBorders>
              <w:right w:val="single" w:sz="12" w:space="0" w:color="auto"/>
            </w:tcBorders>
            <w:shd w:val="clear" w:color="auto" w:fill="FFFFFF" w:themeFill="background1"/>
          </w:tcPr>
          <w:p w14:paraId="615AD927" w14:textId="77777777" w:rsidR="000D0808" w:rsidRPr="00CE2185" w:rsidRDefault="000D0808" w:rsidP="00641B35">
            <w:pPr>
              <w:spacing w:after="0"/>
              <w:rPr>
                <w:noProof/>
                <w:sz w:val="20"/>
                <w:szCs w:val="20"/>
              </w:rPr>
            </w:pPr>
          </w:p>
        </w:tc>
        <w:tc>
          <w:tcPr>
            <w:tcW w:w="1039" w:type="pct"/>
            <w:gridSpan w:val="3"/>
            <w:tcBorders>
              <w:right w:val="single" w:sz="12" w:space="0" w:color="auto"/>
            </w:tcBorders>
            <w:shd w:val="clear" w:color="auto" w:fill="E8E8E8"/>
            <w:vAlign w:val="center"/>
          </w:tcPr>
          <w:p w14:paraId="7549862E" w14:textId="77777777" w:rsidR="000D0808" w:rsidRPr="00CE2185" w:rsidRDefault="000D0808" w:rsidP="00641B35">
            <w:pPr>
              <w:spacing w:after="0"/>
              <w:rPr>
                <w:noProof/>
                <w:sz w:val="20"/>
                <w:szCs w:val="20"/>
              </w:rPr>
            </w:pPr>
            <w:r w:rsidRPr="00CE2185">
              <w:rPr>
                <w:noProof/>
                <w:sz w:val="20"/>
                <w:szCs w:val="20"/>
              </w:rPr>
              <w:t>ENISA mandate</w:t>
            </w:r>
          </w:p>
        </w:tc>
        <w:tc>
          <w:tcPr>
            <w:tcW w:w="1083" w:type="pct"/>
            <w:gridSpan w:val="3"/>
            <w:tcBorders>
              <w:right w:val="single" w:sz="12" w:space="0" w:color="auto"/>
            </w:tcBorders>
            <w:shd w:val="clear" w:color="auto" w:fill="E8E8E8"/>
            <w:vAlign w:val="center"/>
          </w:tcPr>
          <w:p w14:paraId="20AD8AD3" w14:textId="77777777" w:rsidR="000D0808" w:rsidRPr="00CE2185" w:rsidRDefault="000D0808" w:rsidP="00641B35">
            <w:pPr>
              <w:spacing w:after="0"/>
              <w:rPr>
                <w:noProof/>
                <w:sz w:val="20"/>
                <w:szCs w:val="20"/>
              </w:rPr>
            </w:pPr>
            <w:r w:rsidRPr="00CE2185">
              <w:rPr>
                <w:noProof/>
                <w:sz w:val="20"/>
                <w:szCs w:val="20"/>
              </w:rPr>
              <w:t>Certification</w:t>
            </w:r>
          </w:p>
        </w:tc>
        <w:tc>
          <w:tcPr>
            <w:tcW w:w="1042" w:type="pct"/>
            <w:gridSpan w:val="3"/>
            <w:tcBorders>
              <w:left w:val="single" w:sz="12" w:space="0" w:color="auto"/>
            </w:tcBorders>
            <w:shd w:val="clear" w:color="auto" w:fill="E8E8E8"/>
            <w:vAlign w:val="center"/>
          </w:tcPr>
          <w:p w14:paraId="3CB37AB9" w14:textId="77777777" w:rsidR="000D0808" w:rsidRPr="00CE2185" w:rsidRDefault="000D0808" w:rsidP="00641B35">
            <w:pPr>
              <w:spacing w:after="0"/>
              <w:rPr>
                <w:noProof/>
                <w:sz w:val="20"/>
                <w:szCs w:val="20"/>
              </w:rPr>
            </w:pPr>
            <w:r w:rsidRPr="00CE2185">
              <w:rPr>
                <w:noProof/>
                <w:sz w:val="20"/>
                <w:szCs w:val="20"/>
              </w:rPr>
              <w:t>Simplification</w:t>
            </w:r>
          </w:p>
        </w:tc>
        <w:tc>
          <w:tcPr>
            <w:tcW w:w="1047" w:type="pct"/>
            <w:gridSpan w:val="3"/>
            <w:tcBorders>
              <w:left w:val="single" w:sz="12" w:space="0" w:color="auto"/>
            </w:tcBorders>
            <w:shd w:val="clear" w:color="auto" w:fill="E8E8E8"/>
          </w:tcPr>
          <w:p w14:paraId="4C77DC47" w14:textId="77777777" w:rsidR="000D0808" w:rsidRPr="00CE2185" w:rsidRDefault="000D0808" w:rsidP="00641B35">
            <w:pPr>
              <w:spacing w:after="0"/>
              <w:rPr>
                <w:noProof/>
                <w:sz w:val="20"/>
                <w:szCs w:val="20"/>
              </w:rPr>
            </w:pPr>
            <w:r w:rsidRPr="00CE2185">
              <w:rPr>
                <w:noProof/>
                <w:sz w:val="20"/>
                <w:szCs w:val="20"/>
              </w:rPr>
              <w:t>Supply chain</w:t>
            </w:r>
          </w:p>
        </w:tc>
      </w:tr>
      <w:tr w:rsidR="000D0808" w:rsidRPr="00CE2185" w14:paraId="2F2383AB" w14:textId="77777777" w:rsidTr="00641B35">
        <w:trPr>
          <w:trHeight w:val="328"/>
          <w:tblHeader/>
        </w:trPr>
        <w:tc>
          <w:tcPr>
            <w:tcW w:w="789" w:type="pct"/>
            <w:tcBorders>
              <w:right w:val="single" w:sz="12" w:space="0" w:color="auto"/>
            </w:tcBorders>
            <w:shd w:val="clear" w:color="auto" w:fill="FFFFFF" w:themeFill="background1"/>
          </w:tcPr>
          <w:p w14:paraId="1DD6DA17" w14:textId="77777777" w:rsidR="000D0808" w:rsidRPr="00CE2185" w:rsidRDefault="000D0808" w:rsidP="00641B35">
            <w:pPr>
              <w:spacing w:after="0"/>
              <w:rPr>
                <w:noProof/>
                <w:sz w:val="20"/>
                <w:szCs w:val="20"/>
              </w:rPr>
            </w:pPr>
          </w:p>
        </w:tc>
        <w:tc>
          <w:tcPr>
            <w:tcW w:w="324" w:type="pct"/>
            <w:tcBorders>
              <w:left w:val="single" w:sz="12" w:space="0" w:color="auto"/>
            </w:tcBorders>
            <w:shd w:val="clear" w:color="auto" w:fill="E8E8E8"/>
            <w:vAlign w:val="center"/>
          </w:tcPr>
          <w:p w14:paraId="56796D1C" w14:textId="77777777" w:rsidR="000D0808" w:rsidRPr="00CE2185" w:rsidRDefault="000D0808" w:rsidP="00641B35">
            <w:pPr>
              <w:spacing w:after="0"/>
              <w:rPr>
                <w:noProof/>
                <w:sz w:val="20"/>
                <w:szCs w:val="20"/>
              </w:rPr>
            </w:pPr>
            <w:r w:rsidRPr="00CE2185">
              <w:rPr>
                <w:noProof/>
                <w:sz w:val="20"/>
                <w:szCs w:val="20"/>
              </w:rPr>
              <w:t>A.1</w:t>
            </w:r>
          </w:p>
        </w:tc>
        <w:tc>
          <w:tcPr>
            <w:tcW w:w="324" w:type="pct"/>
            <w:shd w:val="clear" w:color="auto" w:fill="E8E8E8"/>
            <w:vAlign w:val="center"/>
          </w:tcPr>
          <w:p w14:paraId="0B5BB353" w14:textId="77777777" w:rsidR="000D0808" w:rsidRPr="00CE2185" w:rsidRDefault="000D0808" w:rsidP="00641B35">
            <w:pPr>
              <w:spacing w:after="0"/>
              <w:rPr>
                <w:noProof/>
                <w:sz w:val="20"/>
                <w:szCs w:val="20"/>
              </w:rPr>
            </w:pPr>
            <w:r w:rsidRPr="00CE2185">
              <w:rPr>
                <w:noProof/>
                <w:sz w:val="20"/>
                <w:szCs w:val="20"/>
              </w:rPr>
              <w:t>A.</w:t>
            </w:r>
            <w:r w:rsidRPr="00CE2185">
              <w:rPr>
                <w:noProof/>
                <w:sz w:val="20"/>
                <w:szCs w:val="20"/>
                <w:shd w:val="clear" w:color="auto" w:fill="DEEAF6"/>
              </w:rPr>
              <w:t xml:space="preserve">2 </w:t>
            </w:r>
          </w:p>
        </w:tc>
        <w:tc>
          <w:tcPr>
            <w:tcW w:w="392" w:type="pct"/>
            <w:tcBorders>
              <w:right w:val="single" w:sz="12" w:space="0" w:color="auto"/>
            </w:tcBorders>
            <w:shd w:val="clear" w:color="auto" w:fill="E8E8E8"/>
            <w:vAlign w:val="center"/>
          </w:tcPr>
          <w:p w14:paraId="57FB3D0F" w14:textId="77777777" w:rsidR="000D0808" w:rsidRPr="00CE2185" w:rsidRDefault="000D0808" w:rsidP="00641B35">
            <w:pPr>
              <w:spacing w:after="0"/>
              <w:rPr>
                <w:noProof/>
                <w:sz w:val="20"/>
                <w:szCs w:val="20"/>
              </w:rPr>
            </w:pPr>
            <w:r w:rsidRPr="00CE2185">
              <w:rPr>
                <w:noProof/>
                <w:sz w:val="20"/>
                <w:szCs w:val="20"/>
              </w:rPr>
              <w:t>A.3</w:t>
            </w:r>
          </w:p>
        </w:tc>
        <w:tc>
          <w:tcPr>
            <w:tcW w:w="324" w:type="pct"/>
            <w:shd w:val="clear" w:color="auto" w:fill="E8E8E8"/>
            <w:vAlign w:val="center"/>
          </w:tcPr>
          <w:p w14:paraId="5C625458" w14:textId="77777777" w:rsidR="000D0808" w:rsidRPr="00CE2185" w:rsidRDefault="000D0808" w:rsidP="00641B35">
            <w:pPr>
              <w:spacing w:after="0"/>
              <w:rPr>
                <w:noProof/>
                <w:sz w:val="20"/>
                <w:szCs w:val="20"/>
              </w:rPr>
            </w:pPr>
            <w:r w:rsidRPr="00CE2185">
              <w:rPr>
                <w:noProof/>
                <w:sz w:val="20"/>
                <w:szCs w:val="20"/>
              </w:rPr>
              <w:t>B.1</w:t>
            </w:r>
          </w:p>
        </w:tc>
        <w:tc>
          <w:tcPr>
            <w:tcW w:w="380" w:type="pct"/>
            <w:shd w:val="clear" w:color="auto" w:fill="E8E8E8"/>
            <w:vAlign w:val="center"/>
          </w:tcPr>
          <w:p w14:paraId="434AA363" w14:textId="77777777" w:rsidR="000D0808" w:rsidRPr="00CE2185" w:rsidRDefault="000D0808" w:rsidP="00641B35">
            <w:pPr>
              <w:spacing w:after="0"/>
              <w:rPr>
                <w:noProof/>
                <w:sz w:val="20"/>
                <w:szCs w:val="20"/>
              </w:rPr>
            </w:pPr>
            <w:r w:rsidRPr="00CE2185">
              <w:rPr>
                <w:noProof/>
                <w:sz w:val="20"/>
                <w:szCs w:val="20"/>
              </w:rPr>
              <w:t>B.2</w:t>
            </w:r>
          </w:p>
        </w:tc>
        <w:tc>
          <w:tcPr>
            <w:tcW w:w="380" w:type="pct"/>
            <w:tcBorders>
              <w:right w:val="single" w:sz="12" w:space="0" w:color="auto"/>
            </w:tcBorders>
            <w:shd w:val="clear" w:color="auto" w:fill="E8E8E8"/>
            <w:vAlign w:val="center"/>
          </w:tcPr>
          <w:p w14:paraId="216AEAA1" w14:textId="77777777" w:rsidR="000D0808" w:rsidRPr="00CE2185" w:rsidRDefault="000D0808" w:rsidP="00641B35">
            <w:pPr>
              <w:spacing w:after="0"/>
              <w:rPr>
                <w:noProof/>
                <w:sz w:val="20"/>
                <w:szCs w:val="20"/>
              </w:rPr>
            </w:pPr>
            <w:r w:rsidRPr="00CE2185">
              <w:rPr>
                <w:noProof/>
                <w:sz w:val="20"/>
                <w:szCs w:val="20"/>
              </w:rPr>
              <w:t>B.3</w:t>
            </w:r>
          </w:p>
        </w:tc>
        <w:tc>
          <w:tcPr>
            <w:tcW w:w="283" w:type="pct"/>
            <w:tcBorders>
              <w:left w:val="single" w:sz="12" w:space="0" w:color="auto"/>
            </w:tcBorders>
            <w:shd w:val="clear" w:color="auto" w:fill="E8E8E8"/>
            <w:vAlign w:val="center"/>
          </w:tcPr>
          <w:p w14:paraId="1DB7D7EA" w14:textId="77777777" w:rsidR="000D0808" w:rsidRPr="00CE2185" w:rsidRDefault="000D0808" w:rsidP="00641B35">
            <w:pPr>
              <w:spacing w:after="0"/>
              <w:rPr>
                <w:noProof/>
                <w:sz w:val="20"/>
                <w:szCs w:val="20"/>
              </w:rPr>
            </w:pPr>
            <w:r w:rsidRPr="00CE2185">
              <w:rPr>
                <w:noProof/>
                <w:sz w:val="20"/>
                <w:szCs w:val="20"/>
              </w:rPr>
              <w:t>C.1</w:t>
            </w:r>
          </w:p>
        </w:tc>
        <w:tc>
          <w:tcPr>
            <w:tcW w:w="378" w:type="pct"/>
            <w:shd w:val="clear" w:color="auto" w:fill="E8E8E8"/>
            <w:vAlign w:val="center"/>
          </w:tcPr>
          <w:p w14:paraId="30E2F30B" w14:textId="77777777" w:rsidR="000D0808" w:rsidRPr="00CE2185" w:rsidRDefault="000D0808" w:rsidP="00641B35">
            <w:pPr>
              <w:spacing w:after="0"/>
              <w:rPr>
                <w:noProof/>
              </w:rPr>
            </w:pPr>
            <w:r w:rsidRPr="00CE2185">
              <w:rPr>
                <w:noProof/>
              </w:rPr>
              <w:t>C.2</w:t>
            </w:r>
          </w:p>
        </w:tc>
        <w:tc>
          <w:tcPr>
            <w:tcW w:w="380" w:type="pct"/>
            <w:tcBorders>
              <w:right w:val="single" w:sz="12" w:space="0" w:color="auto"/>
            </w:tcBorders>
            <w:shd w:val="clear" w:color="auto" w:fill="E8E8E8"/>
            <w:vAlign w:val="center"/>
          </w:tcPr>
          <w:p w14:paraId="0D92A7F8" w14:textId="77777777" w:rsidR="000D0808" w:rsidRPr="00CE2185" w:rsidRDefault="000D0808" w:rsidP="00641B35">
            <w:pPr>
              <w:spacing w:after="0"/>
              <w:rPr>
                <w:noProof/>
                <w:sz w:val="20"/>
                <w:szCs w:val="20"/>
              </w:rPr>
            </w:pPr>
            <w:r w:rsidRPr="00CE2185">
              <w:rPr>
                <w:noProof/>
                <w:sz w:val="20"/>
                <w:szCs w:val="20"/>
              </w:rPr>
              <w:t>C.3</w:t>
            </w:r>
          </w:p>
        </w:tc>
        <w:tc>
          <w:tcPr>
            <w:tcW w:w="302" w:type="pct"/>
            <w:tcBorders>
              <w:left w:val="single" w:sz="12" w:space="0" w:color="auto"/>
            </w:tcBorders>
            <w:shd w:val="clear" w:color="auto" w:fill="E8E8E8"/>
          </w:tcPr>
          <w:p w14:paraId="4E4286B2" w14:textId="77777777" w:rsidR="000D0808" w:rsidRPr="00CE2185" w:rsidRDefault="000D0808" w:rsidP="00641B35">
            <w:pPr>
              <w:spacing w:after="0"/>
              <w:rPr>
                <w:noProof/>
                <w:sz w:val="20"/>
                <w:szCs w:val="20"/>
              </w:rPr>
            </w:pPr>
            <w:r w:rsidRPr="00CE2185">
              <w:rPr>
                <w:noProof/>
                <w:sz w:val="20"/>
                <w:szCs w:val="20"/>
              </w:rPr>
              <w:t>D.1</w:t>
            </w:r>
          </w:p>
        </w:tc>
        <w:tc>
          <w:tcPr>
            <w:tcW w:w="324" w:type="pct"/>
            <w:shd w:val="clear" w:color="auto" w:fill="E8E8E8"/>
          </w:tcPr>
          <w:p w14:paraId="69363DF1" w14:textId="77777777" w:rsidR="000D0808" w:rsidRPr="00CE2185" w:rsidRDefault="000D0808" w:rsidP="00641B35">
            <w:pPr>
              <w:spacing w:after="0"/>
              <w:rPr>
                <w:noProof/>
                <w:sz w:val="20"/>
                <w:szCs w:val="20"/>
              </w:rPr>
            </w:pPr>
            <w:r w:rsidRPr="00CE2185">
              <w:rPr>
                <w:noProof/>
                <w:sz w:val="20"/>
                <w:szCs w:val="20"/>
              </w:rPr>
              <w:t>D.2</w:t>
            </w:r>
          </w:p>
          <w:p w14:paraId="60F33A3D" w14:textId="77777777" w:rsidR="000D0808" w:rsidRPr="00CE2185" w:rsidRDefault="000D0808" w:rsidP="00641B35">
            <w:pPr>
              <w:spacing w:after="0"/>
              <w:rPr>
                <w:noProof/>
                <w:sz w:val="20"/>
                <w:szCs w:val="20"/>
              </w:rPr>
            </w:pPr>
          </w:p>
        </w:tc>
        <w:tc>
          <w:tcPr>
            <w:tcW w:w="422" w:type="pct"/>
            <w:shd w:val="clear" w:color="auto" w:fill="E8E8E8"/>
          </w:tcPr>
          <w:p w14:paraId="6E0E2161" w14:textId="77777777" w:rsidR="000D0808" w:rsidRPr="00CE2185" w:rsidRDefault="000D0808" w:rsidP="00641B35">
            <w:pPr>
              <w:spacing w:after="0"/>
              <w:rPr>
                <w:noProof/>
                <w:sz w:val="20"/>
                <w:szCs w:val="20"/>
              </w:rPr>
            </w:pPr>
            <w:r w:rsidRPr="00CE2185">
              <w:rPr>
                <w:noProof/>
                <w:sz w:val="20"/>
                <w:szCs w:val="20"/>
              </w:rPr>
              <w:t>D.3</w:t>
            </w:r>
          </w:p>
        </w:tc>
      </w:tr>
      <w:tr w:rsidR="000D0808" w:rsidRPr="00CE2185" w14:paraId="1050C574" w14:textId="77777777" w:rsidTr="00641B35">
        <w:trPr>
          <w:tblHeader/>
        </w:trPr>
        <w:tc>
          <w:tcPr>
            <w:tcW w:w="789" w:type="pct"/>
            <w:tcBorders>
              <w:right w:val="single" w:sz="12" w:space="0" w:color="auto"/>
            </w:tcBorders>
            <w:shd w:val="clear" w:color="auto" w:fill="E5DFEC" w:themeFill="accent4" w:themeFillTint="33"/>
          </w:tcPr>
          <w:p w14:paraId="007F13A9" w14:textId="77777777" w:rsidR="000D0808" w:rsidRPr="00CE2185" w:rsidRDefault="000D0808" w:rsidP="00641B35">
            <w:pPr>
              <w:spacing w:after="0"/>
              <w:rPr>
                <w:noProof/>
                <w:sz w:val="20"/>
                <w:szCs w:val="20"/>
              </w:rPr>
            </w:pPr>
            <w:r w:rsidRPr="00CE2185">
              <w:rPr>
                <w:b/>
                <w:bCs/>
                <w:noProof/>
                <w:sz w:val="20"/>
                <w:szCs w:val="20"/>
              </w:rPr>
              <w:t xml:space="preserve">Compliance costs (savings/revenues) </w:t>
            </w:r>
          </w:p>
          <w:p w14:paraId="2621FA63" w14:textId="77777777" w:rsidR="000D0808" w:rsidRPr="00CE2185" w:rsidRDefault="000D0808" w:rsidP="00641B35">
            <w:pPr>
              <w:spacing w:after="0"/>
              <w:rPr>
                <w:noProof/>
                <w:sz w:val="20"/>
                <w:szCs w:val="20"/>
              </w:rPr>
            </w:pPr>
            <w:r w:rsidRPr="00CE2185">
              <w:rPr>
                <w:noProof/>
                <w:sz w:val="20"/>
                <w:szCs w:val="20"/>
              </w:rPr>
              <w:t>For businesses</w:t>
            </w:r>
          </w:p>
        </w:tc>
        <w:tc>
          <w:tcPr>
            <w:tcW w:w="324" w:type="pct"/>
            <w:tcBorders>
              <w:left w:val="single" w:sz="12" w:space="0" w:color="auto"/>
            </w:tcBorders>
            <w:shd w:val="clear" w:color="auto" w:fill="FFFFFF" w:themeFill="background1"/>
          </w:tcPr>
          <w:p w14:paraId="008F6017" w14:textId="77777777" w:rsidR="000D0808" w:rsidRPr="00CE2185" w:rsidRDefault="000D0808" w:rsidP="00641B35">
            <w:pPr>
              <w:spacing w:after="0"/>
              <w:rPr>
                <w:noProof/>
                <w:sz w:val="20"/>
                <w:szCs w:val="20"/>
                <w:lang w:val="en-IE" w:eastAsia="en-IE"/>
              </w:rPr>
            </w:pPr>
            <w:r w:rsidRPr="00CE2185">
              <w:rPr>
                <w:noProof/>
                <w:sz w:val="20"/>
                <w:szCs w:val="20"/>
                <w:lang w:val="en-IE" w:eastAsia="en-IE"/>
              </w:rPr>
              <w:t>+</w:t>
            </w:r>
          </w:p>
        </w:tc>
        <w:tc>
          <w:tcPr>
            <w:tcW w:w="324" w:type="pct"/>
            <w:shd w:val="clear" w:color="auto" w:fill="FFFFFF" w:themeFill="background1"/>
          </w:tcPr>
          <w:p w14:paraId="17661335" w14:textId="77777777" w:rsidR="000D0808" w:rsidRPr="00CE2185" w:rsidRDefault="000D0808" w:rsidP="00641B35">
            <w:pPr>
              <w:spacing w:after="0"/>
              <w:jc w:val="center"/>
              <w:textAlignment w:val="baseline"/>
              <w:rPr>
                <w:noProof/>
                <w:sz w:val="20"/>
                <w:szCs w:val="20"/>
                <w:lang w:val="en-IE" w:eastAsia="en-IE"/>
              </w:rPr>
            </w:pPr>
            <w:r w:rsidRPr="00CE2185">
              <w:rPr>
                <w:noProof/>
                <w:sz w:val="20"/>
                <w:szCs w:val="20"/>
                <w:lang w:val="en-IE" w:eastAsia="en-IE"/>
              </w:rPr>
              <w:t>+/++</w:t>
            </w:r>
          </w:p>
          <w:p w14:paraId="41FBA6F8" w14:textId="77777777" w:rsidR="000D0808" w:rsidRPr="00CE2185" w:rsidRDefault="000D0808" w:rsidP="00641B35">
            <w:pPr>
              <w:spacing w:after="0"/>
              <w:jc w:val="center"/>
              <w:textAlignment w:val="baseline"/>
              <w:rPr>
                <w:noProof/>
                <w:sz w:val="20"/>
                <w:szCs w:val="20"/>
                <w:lang w:val="en-IE" w:eastAsia="en-IE"/>
              </w:rPr>
            </w:pPr>
          </w:p>
        </w:tc>
        <w:tc>
          <w:tcPr>
            <w:tcW w:w="392" w:type="pct"/>
            <w:tcBorders>
              <w:right w:val="single" w:sz="12" w:space="0" w:color="auto"/>
            </w:tcBorders>
            <w:shd w:val="clear" w:color="auto" w:fill="FFFFFF" w:themeFill="background1"/>
          </w:tcPr>
          <w:p w14:paraId="6E414318" w14:textId="77777777" w:rsidR="000D0808" w:rsidRPr="00CE2185" w:rsidRDefault="000D0808" w:rsidP="00641B35">
            <w:pPr>
              <w:spacing w:after="0"/>
              <w:jc w:val="center"/>
              <w:textAlignment w:val="baseline"/>
              <w:rPr>
                <w:noProof/>
                <w:sz w:val="20"/>
                <w:szCs w:val="20"/>
                <w:lang w:val="en-IE" w:eastAsia="en-IE"/>
              </w:rPr>
            </w:pPr>
            <w:r w:rsidRPr="00CE2185">
              <w:rPr>
                <w:noProof/>
                <w:sz w:val="20"/>
                <w:szCs w:val="20"/>
                <w:lang w:val="en-IE" w:eastAsia="en-IE"/>
              </w:rPr>
              <w:t>++/+++</w:t>
            </w:r>
          </w:p>
          <w:p w14:paraId="58B7E91A" w14:textId="77777777" w:rsidR="000D0808" w:rsidRPr="00CE2185" w:rsidRDefault="000D0808" w:rsidP="00641B35">
            <w:pPr>
              <w:spacing w:after="0"/>
              <w:rPr>
                <w:noProof/>
                <w:sz w:val="20"/>
                <w:szCs w:val="20"/>
                <w:lang w:val="en-IE" w:eastAsia="en-IE"/>
              </w:rPr>
            </w:pPr>
          </w:p>
        </w:tc>
        <w:tc>
          <w:tcPr>
            <w:tcW w:w="324" w:type="pct"/>
            <w:shd w:val="clear" w:color="auto" w:fill="FFFFFF" w:themeFill="background1"/>
          </w:tcPr>
          <w:p w14:paraId="22766E2D" w14:textId="77777777" w:rsidR="000D0808" w:rsidRPr="00CE2185" w:rsidRDefault="000D0808" w:rsidP="00641B35">
            <w:pPr>
              <w:spacing w:after="0"/>
              <w:jc w:val="center"/>
              <w:rPr>
                <w:noProof/>
                <w:sz w:val="20"/>
                <w:szCs w:val="20"/>
                <w:lang w:val="en-IE" w:eastAsia="en-IE"/>
              </w:rPr>
            </w:pPr>
            <w:r w:rsidRPr="00CE2185">
              <w:rPr>
                <w:noProof/>
                <w:sz w:val="20"/>
                <w:szCs w:val="20"/>
                <w:lang w:val="en-IE" w:eastAsia="en-IE"/>
              </w:rPr>
              <w:t>0/+</w:t>
            </w:r>
          </w:p>
        </w:tc>
        <w:tc>
          <w:tcPr>
            <w:tcW w:w="380" w:type="pct"/>
            <w:shd w:val="clear" w:color="auto" w:fill="FFFFFF" w:themeFill="background1"/>
          </w:tcPr>
          <w:p w14:paraId="346D851F" w14:textId="77777777" w:rsidR="000D0808" w:rsidRPr="00CE2185" w:rsidRDefault="000D0808" w:rsidP="00641B35">
            <w:pPr>
              <w:spacing w:after="0"/>
              <w:jc w:val="center"/>
              <w:textAlignment w:val="baseline"/>
              <w:rPr>
                <w:noProof/>
                <w:sz w:val="20"/>
                <w:szCs w:val="20"/>
                <w:lang w:val="en-IE" w:eastAsia="en-IE"/>
              </w:rPr>
            </w:pPr>
            <w:r w:rsidRPr="00CE2185">
              <w:rPr>
                <w:noProof/>
                <w:sz w:val="20"/>
                <w:szCs w:val="20"/>
                <w:lang w:val="en-IE" w:eastAsia="en-IE"/>
              </w:rPr>
              <w:t>+</w:t>
            </w:r>
          </w:p>
          <w:p w14:paraId="6898C8C1" w14:textId="77777777" w:rsidR="000D0808" w:rsidRPr="00CE2185" w:rsidRDefault="000D0808" w:rsidP="00641B35">
            <w:pPr>
              <w:spacing w:after="0"/>
              <w:jc w:val="center"/>
              <w:textAlignment w:val="baseline"/>
              <w:rPr>
                <w:noProof/>
                <w:sz w:val="20"/>
                <w:szCs w:val="20"/>
              </w:rPr>
            </w:pPr>
            <w:r w:rsidRPr="00CE2185">
              <w:rPr>
                <w:noProof/>
                <w:sz w:val="20"/>
                <w:szCs w:val="20"/>
              </w:rPr>
              <w:t>(D2/3)</w:t>
            </w:r>
          </w:p>
          <w:p w14:paraId="485A93CA" w14:textId="77777777" w:rsidR="000D0808" w:rsidRPr="00CE2185" w:rsidRDefault="000D0808" w:rsidP="00641B35">
            <w:pPr>
              <w:spacing w:after="0"/>
              <w:jc w:val="center"/>
              <w:textAlignment w:val="baseline"/>
              <w:rPr>
                <w:noProof/>
                <w:sz w:val="20"/>
                <w:szCs w:val="20"/>
              </w:rPr>
            </w:pPr>
            <w:r w:rsidRPr="00CE2185">
              <w:rPr>
                <w:noProof/>
                <w:sz w:val="20"/>
                <w:szCs w:val="20"/>
              </w:rPr>
              <w:t>- EUR 1.3 M to 1.7 M</w:t>
            </w:r>
          </w:p>
        </w:tc>
        <w:tc>
          <w:tcPr>
            <w:tcW w:w="380" w:type="pct"/>
            <w:tcBorders>
              <w:right w:val="single" w:sz="12" w:space="0" w:color="auto"/>
            </w:tcBorders>
            <w:shd w:val="clear" w:color="auto" w:fill="FFFFFF" w:themeFill="background1"/>
          </w:tcPr>
          <w:p w14:paraId="55E49A00" w14:textId="77777777" w:rsidR="000D0808" w:rsidRPr="00CE2185" w:rsidRDefault="000D0808" w:rsidP="00641B35">
            <w:pPr>
              <w:spacing w:after="0"/>
              <w:jc w:val="left"/>
              <w:textAlignment w:val="baseline"/>
              <w:rPr>
                <w:noProof/>
                <w:sz w:val="20"/>
                <w:szCs w:val="20"/>
                <w:lang w:val="en-IE" w:eastAsia="en-IE"/>
              </w:rPr>
            </w:pPr>
            <w:r w:rsidRPr="00CE2185">
              <w:rPr>
                <w:noProof/>
                <w:sz w:val="20"/>
                <w:szCs w:val="20"/>
                <w:lang w:val="en-IE" w:eastAsia="en-IE"/>
              </w:rPr>
              <w:t xml:space="preserve">- </w:t>
            </w:r>
          </w:p>
          <w:p w14:paraId="3DF4E83D" w14:textId="77777777" w:rsidR="000D0808" w:rsidRPr="00CE2185" w:rsidRDefault="000D0808" w:rsidP="00641B35">
            <w:pPr>
              <w:spacing w:after="0"/>
              <w:jc w:val="left"/>
              <w:textAlignment w:val="baseline"/>
              <w:rPr>
                <w:noProof/>
                <w:sz w:val="20"/>
                <w:szCs w:val="20"/>
                <w:lang w:val="en-IE" w:eastAsia="en-IE"/>
              </w:rPr>
            </w:pPr>
            <w:r w:rsidRPr="00CE2185">
              <w:rPr>
                <w:noProof/>
                <w:sz w:val="20"/>
                <w:szCs w:val="20"/>
                <w:lang w:val="en-IE" w:eastAsia="en-IE"/>
              </w:rPr>
              <w:t>- EUR  1.8 M to 2.2 M</w:t>
            </w:r>
          </w:p>
          <w:p w14:paraId="777E37C2" w14:textId="77777777" w:rsidR="000D0808" w:rsidRPr="00CE2185" w:rsidRDefault="000D0808" w:rsidP="00641B35">
            <w:pPr>
              <w:spacing w:after="0"/>
              <w:textAlignment w:val="baseline"/>
              <w:rPr>
                <w:noProof/>
                <w:sz w:val="20"/>
                <w:szCs w:val="20"/>
              </w:rPr>
            </w:pPr>
          </w:p>
          <w:p w14:paraId="402E183E" w14:textId="77777777" w:rsidR="000D0808" w:rsidRPr="00CE2185" w:rsidRDefault="000D0808" w:rsidP="00641B35">
            <w:pPr>
              <w:spacing w:after="0"/>
              <w:textAlignment w:val="baseline"/>
              <w:rPr>
                <w:noProof/>
                <w:sz w:val="20"/>
                <w:szCs w:val="20"/>
              </w:rPr>
            </w:pPr>
          </w:p>
        </w:tc>
        <w:tc>
          <w:tcPr>
            <w:tcW w:w="283" w:type="pct"/>
            <w:tcBorders>
              <w:left w:val="single" w:sz="12" w:space="0" w:color="auto"/>
            </w:tcBorders>
            <w:shd w:val="clear" w:color="auto" w:fill="FFFFFF" w:themeFill="background1"/>
          </w:tcPr>
          <w:p w14:paraId="4364EBA6" w14:textId="77777777" w:rsidR="000D0808" w:rsidRPr="00CE2185" w:rsidRDefault="000D0808" w:rsidP="00641B35">
            <w:pPr>
              <w:spacing w:after="0"/>
              <w:rPr>
                <w:noProof/>
                <w:sz w:val="20"/>
                <w:szCs w:val="20"/>
              </w:rPr>
            </w:pPr>
            <w:r w:rsidRPr="00CE2185">
              <w:rPr>
                <w:noProof/>
                <w:sz w:val="20"/>
                <w:szCs w:val="20"/>
              </w:rPr>
              <w:t xml:space="preserve">- </w:t>
            </w:r>
          </w:p>
        </w:tc>
        <w:tc>
          <w:tcPr>
            <w:tcW w:w="378" w:type="pct"/>
            <w:shd w:val="clear" w:color="auto" w:fill="FFFFFF" w:themeFill="background1"/>
          </w:tcPr>
          <w:p w14:paraId="11B11314" w14:textId="35246DFA" w:rsidR="000D0808" w:rsidRPr="00CE2185" w:rsidRDefault="000D0808" w:rsidP="00641B35">
            <w:pPr>
              <w:spacing w:after="0"/>
              <w:jc w:val="center"/>
              <w:rPr>
                <w:b/>
                <w:bCs/>
                <w:noProof/>
                <w:sz w:val="20"/>
                <w:szCs w:val="20"/>
              </w:rPr>
            </w:pPr>
            <w:r w:rsidRPr="00CE2185">
              <w:rPr>
                <w:b/>
                <w:bCs/>
                <w:noProof/>
                <w:sz w:val="20"/>
                <w:szCs w:val="20"/>
              </w:rPr>
              <w:t>+ EUR 1</w:t>
            </w:r>
            <w:r>
              <w:rPr>
                <w:b/>
                <w:bCs/>
                <w:noProof/>
                <w:sz w:val="20"/>
                <w:szCs w:val="20"/>
              </w:rPr>
              <w:t>4</w:t>
            </w:r>
            <w:r w:rsidRPr="00CE2185">
              <w:rPr>
                <w:b/>
                <w:bCs/>
                <w:noProof/>
                <w:sz w:val="20"/>
                <w:szCs w:val="20"/>
              </w:rPr>
              <w:t>.</w:t>
            </w:r>
            <w:r>
              <w:rPr>
                <w:b/>
                <w:bCs/>
                <w:noProof/>
                <w:sz w:val="20"/>
                <w:szCs w:val="20"/>
              </w:rPr>
              <w:t>6</w:t>
            </w:r>
            <w:r w:rsidRPr="00CE2185">
              <w:rPr>
                <w:b/>
                <w:bCs/>
                <w:noProof/>
                <w:sz w:val="20"/>
                <w:szCs w:val="20"/>
              </w:rPr>
              <w:t xml:space="preserve"> bn</w:t>
            </w:r>
          </w:p>
          <w:p w14:paraId="51359C97" w14:textId="77777777" w:rsidR="000D0808" w:rsidRPr="00CE2185" w:rsidRDefault="000D0808" w:rsidP="00641B35">
            <w:pPr>
              <w:spacing w:after="0"/>
              <w:jc w:val="center"/>
              <w:rPr>
                <w:b/>
                <w:bCs/>
                <w:noProof/>
                <w:sz w:val="20"/>
                <w:szCs w:val="20"/>
              </w:rPr>
            </w:pPr>
          </w:p>
        </w:tc>
        <w:tc>
          <w:tcPr>
            <w:tcW w:w="380" w:type="pct"/>
            <w:tcBorders>
              <w:right w:val="single" w:sz="12" w:space="0" w:color="auto"/>
            </w:tcBorders>
            <w:shd w:val="clear" w:color="auto" w:fill="FFFFFF" w:themeFill="background1"/>
          </w:tcPr>
          <w:p w14:paraId="10C51AC9" w14:textId="77777777" w:rsidR="000D0808" w:rsidRPr="00CE2185" w:rsidRDefault="000D0808" w:rsidP="00641B35">
            <w:pPr>
              <w:spacing w:after="0"/>
              <w:rPr>
                <w:b/>
                <w:bCs/>
                <w:noProof/>
                <w:sz w:val="20"/>
                <w:szCs w:val="20"/>
                <w:lang w:val="en-IE" w:eastAsia="en-IE"/>
              </w:rPr>
            </w:pPr>
            <w:r w:rsidRPr="00CE2185">
              <w:rPr>
                <w:b/>
                <w:bCs/>
                <w:noProof/>
                <w:sz w:val="20"/>
                <w:szCs w:val="20"/>
                <w:lang w:val="en-IE" w:eastAsia="en-IE"/>
              </w:rPr>
              <w:t xml:space="preserve">+ </w:t>
            </w:r>
            <w:r w:rsidRPr="00CE2185">
              <w:rPr>
                <w:b/>
                <w:noProof/>
                <w:color w:val="000000" w:themeColor="text1"/>
                <w:sz w:val="20"/>
                <w:szCs w:val="20"/>
                <w:lang w:val="en-IE" w:eastAsia="en-IE"/>
              </w:rPr>
              <w:t>EUR</w:t>
            </w:r>
            <w:r w:rsidRPr="00CE2185">
              <w:rPr>
                <w:b/>
                <w:noProof/>
                <w:color w:val="FF0000"/>
                <w:sz w:val="20"/>
                <w:szCs w:val="20"/>
                <w:lang w:val="en-IE" w:eastAsia="en-IE"/>
              </w:rPr>
              <w:t xml:space="preserve"> </w:t>
            </w:r>
            <w:r>
              <w:rPr>
                <w:b/>
                <w:noProof/>
                <w:sz w:val="20"/>
                <w:szCs w:val="20"/>
              </w:rPr>
              <w:t>32</w:t>
            </w:r>
            <w:r w:rsidRPr="00CE2185">
              <w:rPr>
                <w:b/>
                <w:noProof/>
                <w:sz w:val="20"/>
                <w:szCs w:val="20"/>
              </w:rPr>
              <w:t xml:space="preserve"> bn</w:t>
            </w:r>
          </w:p>
        </w:tc>
        <w:tc>
          <w:tcPr>
            <w:tcW w:w="302" w:type="pct"/>
            <w:tcBorders>
              <w:left w:val="single" w:sz="12" w:space="0" w:color="auto"/>
            </w:tcBorders>
            <w:shd w:val="clear" w:color="auto" w:fill="FFFFFF" w:themeFill="background1"/>
          </w:tcPr>
          <w:p w14:paraId="74A140E5" w14:textId="77777777" w:rsidR="000D0808" w:rsidRPr="00CE2185" w:rsidRDefault="000D0808" w:rsidP="00641B35">
            <w:pPr>
              <w:spacing w:after="0"/>
              <w:jc w:val="center"/>
              <w:rPr>
                <w:noProof/>
                <w:sz w:val="20"/>
                <w:szCs w:val="20"/>
                <w:lang w:eastAsia="en-IE"/>
              </w:rPr>
            </w:pPr>
            <w:r w:rsidRPr="00CE2185">
              <w:rPr>
                <w:noProof/>
                <w:sz w:val="20"/>
                <w:szCs w:val="20"/>
                <w:lang w:eastAsia="en-IE"/>
              </w:rPr>
              <w:t xml:space="preserve">- </w:t>
            </w:r>
          </w:p>
        </w:tc>
        <w:tc>
          <w:tcPr>
            <w:tcW w:w="324" w:type="pct"/>
            <w:shd w:val="clear" w:color="auto" w:fill="FFFFFF" w:themeFill="background1"/>
          </w:tcPr>
          <w:p w14:paraId="69439404" w14:textId="77777777" w:rsidR="000D0808" w:rsidRPr="00CE2185" w:rsidRDefault="000D0808" w:rsidP="00641B35">
            <w:pPr>
              <w:spacing w:after="0"/>
              <w:rPr>
                <w:b/>
                <w:bCs/>
                <w:noProof/>
                <w:sz w:val="20"/>
                <w:szCs w:val="20"/>
                <w:lang w:eastAsia="en-IE"/>
              </w:rPr>
            </w:pPr>
            <w:r w:rsidRPr="00CE2185">
              <w:rPr>
                <w:noProof/>
                <w:sz w:val="20"/>
                <w:szCs w:val="20"/>
                <w:lang w:val="en-IE" w:eastAsia="en-IE"/>
              </w:rPr>
              <w:t xml:space="preserve">  </w:t>
            </w:r>
            <w:r>
              <w:rPr>
                <w:b/>
                <w:bCs/>
                <w:noProof/>
                <w:sz w:val="20"/>
                <w:szCs w:val="20"/>
                <w:lang w:eastAsia="en-IE"/>
              </w:rPr>
              <w:t>-</w:t>
            </w:r>
            <w:r w:rsidRPr="00CE2185">
              <w:rPr>
                <w:b/>
                <w:bCs/>
                <w:noProof/>
                <w:sz w:val="20"/>
                <w:szCs w:val="20"/>
                <w:lang w:eastAsia="en-IE"/>
              </w:rPr>
              <w:t xml:space="preserve"> EUR </w:t>
            </w:r>
            <w:r>
              <w:rPr>
                <w:b/>
                <w:bCs/>
                <w:noProof/>
                <w:sz w:val="20"/>
                <w:szCs w:val="20"/>
                <w:lang w:eastAsia="en-IE"/>
              </w:rPr>
              <w:t>1.4</w:t>
            </w:r>
            <w:r w:rsidRPr="00CE2185">
              <w:rPr>
                <w:b/>
                <w:bCs/>
                <w:noProof/>
                <w:sz w:val="20"/>
                <w:szCs w:val="20"/>
                <w:lang w:eastAsia="en-IE"/>
              </w:rPr>
              <w:t xml:space="preserve"> bn to EUR</w:t>
            </w:r>
            <w:r>
              <w:rPr>
                <w:b/>
                <w:bCs/>
                <w:noProof/>
                <w:sz w:val="20"/>
                <w:szCs w:val="20"/>
                <w:lang w:eastAsia="en-IE"/>
              </w:rPr>
              <w:t xml:space="preserve"> 2</w:t>
            </w:r>
            <w:r w:rsidRPr="00CE2185">
              <w:rPr>
                <w:b/>
                <w:bCs/>
                <w:noProof/>
                <w:sz w:val="20"/>
                <w:szCs w:val="20"/>
                <w:lang w:eastAsia="en-IE"/>
              </w:rPr>
              <w:t>.</w:t>
            </w:r>
            <w:r>
              <w:rPr>
                <w:b/>
                <w:bCs/>
                <w:noProof/>
                <w:sz w:val="20"/>
                <w:szCs w:val="20"/>
                <w:lang w:eastAsia="en-IE"/>
              </w:rPr>
              <w:t>3</w:t>
            </w:r>
            <w:r w:rsidRPr="00CE2185">
              <w:rPr>
                <w:b/>
                <w:bCs/>
                <w:noProof/>
                <w:sz w:val="20"/>
                <w:szCs w:val="20"/>
                <w:lang w:eastAsia="en-IE"/>
              </w:rPr>
              <w:t xml:space="preserve"> bn </w:t>
            </w:r>
            <w:r w:rsidRPr="00C81DBB">
              <w:rPr>
                <w:noProof/>
                <w:sz w:val="20"/>
                <w:szCs w:val="20"/>
                <w:lang w:eastAsia="en-IE"/>
              </w:rPr>
              <w:t>per year</w:t>
            </w:r>
            <w:r w:rsidRPr="00CE2185">
              <w:rPr>
                <w:b/>
                <w:bCs/>
                <w:noProof/>
                <w:sz w:val="20"/>
                <w:szCs w:val="20"/>
                <w:lang w:eastAsia="en-IE"/>
              </w:rPr>
              <w:t xml:space="preserve"> </w:t>
            </w:r>
            <w:r w:rsidRPr="00CE2185">
              <w:rPr>
                <w:noProof/>
                <w:sz w:val="20"/>
                <w:szCs w:val="20"/>
                <w:lang w:eastAsia="en-IE"/>
              </w:rPr>
              <w:t>**</w:t>
            </w:r>
          </w:p>
        </w:tc>
        <w:tc>
          <w:tcPr>
            <w:tcW w:w="422" w:type="pct"/>
            <w:shd w:val="clear" w:color="auto" w:fill="FFFFFF" w:themeFill="background1"/>
          </w:tcPr>
          <w:p w14:paraId="60923CFC" w14:textId="77777777" w:rsidR="000D0808" w:rsidRPr="00CE2185" w:rsidRDefault="000D0808" w:rsidP="00641B35">
            <w:pPr>
              <w:spacing w:after="0"/>
              <w:jc w:val="center"/>
              <w:rPr>
                <w:b/>
                <w:bCs/>
                <w:noProof/>
                <w:sz w:val="20"/>
                <w:szCs w:val="20"/>
                <w:lang w:eastAsia="en-IE"/>
              </w:rPr>
            </w:pPr>
            <w:r w:rsidRPr="00CE2185">
              <w:rPr>
                <w:noProof/>
                <w:sz w:val="20"/>
                <w:szCs w:val="20"/>
                <w:lang w:eastAsia="en-IE"/>
              </w:rPr>
              <w:t xml:space="preserve">&lt; </w:t>
            </w:r>
            <w:r>
              <w:rPr>
                <w:b/>
                <w:bCs/>
                <w:noProof/>
                <w:sz w:val="20"/>
                <w:szCs w:val="20"/>
                <w:lang w:eastAsia="en-IE"/>
              </w:rPr>
              <w:t>-</w:t>
            </w:r>
            <w:r w:rsidRPr="00CE2185">
              <w:rPr>
                <w:b/>
                <w:bCs/>
                <w:noProof/>
                <w:sz w:val="20"/>
                <w:szCs w:val="20"/>
                <w:lang w:eastAsia="en-IE"/>
              </w:rPr>
              <w:t xml:space="preserve"> EUR </w:t>
            </w:r>
            <w:r>
              <w:rPr>
                <w:b/>
                <w:bCs/>
                <w:noProof/>
                <w:sz w:val="20"/>
                <w:szCs w:val="20"/>
                <w:lang w:eastAsia="en-IE"/>
              </w:rPr>
              <w:t>1</w:t>
            </w:r>
            <w:r w:rsidRPr="00CE2185">
              <w:rPr>
                <w:b/>
                <w:bCs/>
                <w:noProof/>
                <w:sz w:val="20"/>
                <w:szCs w:val="20"/>
                <w:lang w:eastAsia="en-IE"/>
              </w:rPr>
              <w:t>.</w:t>
            </w:r>
            <w:r>
              <w:rPr>
                <w:b/>
                <w:bCs/>
                <w:noProof/>
                <w:sz w:val="20"/>
                <w:szCs w:val="20"/>
                <w:lang w:eastAsia="en-IE"/>
              </w:rPr>
              <w:t>4</w:t>
            </w:r>
            <w:r w:rsidRPr="00CE2185">
              <w:rPr>
                <w:b/>
                <w:bCs/>
                <w:noProof/>
                <w:sz w:val="20"/>
                <w:szCs w:val="20"/>
                <w:lang w:eastAsia="en-IE"/>
              </w:rPr>
              <w:t xml:space="preserve"> bn to EUR</w:t>
            </w:r>
            <w:r>
              <w:rPr>
                <w:b/>
                <w:bCs/>
                <w:noProof/>
                <w:sz w:val="20"/>
                <w:szCs w:val="20"/>
                <w:lang w:eastAsia="en-IE"/>
              </w:rPr>
              <w:t xml:space="preserve"> 2</w:t>
            </w:r>
            <w:r w:rsidRPr="00CE2185">
              <w:rPr>
                <w:b/>
                <w:bCs/>
                <w:noProof/>
                <w:sz w:val="20"/>
                <w:szCs w:val="20"/>
                <w:lang w:eastAsia="en-IE"/>
              </w:rPr>
              <w:t>.</w:t>
            </w:r>
            <w:r>
              <w:rPr>
                <w:b/>
                <w:bCs/>
                <w:noProof/>
                <w:sz w:val="20"/>
                <w:szCs w:val="20"/>
                <w:lang w:eastAsia="en-IE"/>
              </w:rPr>
              <w:t>3</w:t>
            </w:r>
            <w:r w:rsidRPr="00CE2185">
              <w:rPr>
                <w:b/>
                <w:bCs/>
                <w:noProof/>
                <w:sz w:val="20"/>
                <w:szCs w:val="20"/>
                <w:lang w:eastAsia="en-IE"/>
              </w:rPr>
              <w:t xml:space="preserve"> bn </w:t>
            </w:r>
            <w:r w:rsidRPr="00C81DBB">
              <w:rPr>
                <w:noProof/>
                <w:sz w:val="20"/>
                <w:szCs w:val="20"/>
                <w:lang w:eastAsia="en-IE"/>
              </w:rPr>
              <w:t>per year</w:t>
            </w:r>
            <w:r w:rsidRPr="00CE2185">
              <w:rPr>
                <w:b/>
                <w:bCs/>
                <w:noProof/>
                <w:sz w:val="20"/>
                <w:szCs w:val="20"/>
                <w:lang w:eastAsia="en-IE"/>
              </w:rPr>
              <w:t xml:space="preserve"> **</w:t>
            </w:r>
          </w:p>
          <w:p w14:paraId="653A8016" w14:textId="77777777" w:rsidR="000D0808" w:rsidRPr="00CE2185" w:rsidRDefault="000D0808" w:rsidP="00641B35">
            <w:pPr>
              <w:spacing w:after="0"/>
              <w:rPr>
                <w:noProof/>
                <w:sz w:val="20"/>
                <w:szCs w:val="20"/>
                <w:lang w:eastAsia="en-IE"/>
              </w:rPr>
            </w:pPr>
          </w:p>
        </w:tc>
      </w:tr>
      <w:tr w:rsidR="000D0808" w:rsidRPr="00CE2185" w14:paraId="739AD0C6" w14:textId="77777777" w:rsidTr="00641B35">
        <w:trPr>
          <w:tblHeader/>
        </w:trPr>
        <w:tc>
          <w:tcPr>
            <w:tcW w:w="789" w:type="pct"/>
            <w:tcBorders>
              <w:right w:val="single" w:sz="12" w:space="0" w:color="auto"/>
            </w:tcBorders>
            <w:shd w:val="clear" w:color="auto" w:fill="E5DFEC" w:themeFill="accent4" w:themeFillTint="33"/>
          </w:tcPr>
          <w:p w14:paraId="05B3B77B" w14:textId="77777777" w:rsidR="000D0808" w:rsidRPr="00CE2185" w:rsidRDefault="000D0808" w:rsidP="00641B35">
            <w:pPr>
              <w:spacing w:after="0"/>
              <w:rPr>
                <w:noProof/>
                <w:sz w:val="20"/>
                <w:szCs w:val="20"/>
              </w:rPr>
            </w:pPr>
            <w:r w:rsidRPr="00CE2185">
              <w:rPr>
                <w:noProof/>
                <w:sz w:val="20"/>
                <w:szCs w:val="20"/>
              </w:rPr>
              <w:t xml:space="preserve">for public authorities </w:t>
            </w:r>
          </w:p>
        </w:tc>
        <w:tc>
          <w:tcPr>
            <w:tcW w:w="324" w:type="pct"/>
            <w:tcBorders>
              <w:left w:val="single" w:sz="12" w:space="0" w:color="auto"/>
            </w:tcBorders>
            <w:shd w:val="clear" w:color="auto" w:fill="FFFFFF" w:themeFill="background1"/>
          </w:tcPr>
          <w:p w14:paraId="5A928FF8" w14:textId="77777777" w:rsidR="000D0808" w:rsidRPr="00CE2185" w:rsidRDefault="000D0808" w:rsidP="00641B35">
            <w:pPr>
              <w:spacing w:after="0"/>
              <w:rPr>
                <w:noProof/>
                <w:sz w:val="20"/>
                <w:szCs w:val="20"/>
              </w:rPr>
            </w:pPr>
            <w:r w:rsidRPr="00CE2185">
              <w:rPr>
                <w:noProof/>
                <w:sz w:val="20"/>
                <w:szCs w:val="20"/>
                <w:lang w:val="en-IE" w:eastAsia="en-IE"/>
              </w:rPr>
              <w:t>0/+</w:t>
            </w:r>
          </w:p>
        </w:tc>
        <w:tc>
          <w:tcPr>
            <w:tcW w:w="324" w:type="pct"/>
            <w:shd w:val="clear" w:color="auto" w:fill="FFFFFF" w:themeFill="background1"/>
          </w:tcPr>
          <w:p w14:paraId="43AA1654" w14:textId="77777777" w:rsidR="000D0808" w:rsidRPr="00CE2185" w:rsidRDefault="000D0808" w:rsidP="00641B35">
            <w:pPr>
              <w:spacing w:after="0"/>
              <w:jc w:val="left"/>
              <w:textAlignment w:val="baseline"/>
              <w:rPr>
                <w:b/>
                <w:bCs/>
                <w:noProof/>
                <w:sz w:val="20"/>
                <w:szCs w:val="20"/>
                <w:lang w:val="en-IE" w:eastAsia="en-IE"/>
              </w:rPr>
            </w:pPr>
            <w:r w:rsidRPr="00CE2185">
              <w:rPr>
                <w:b/>
                <w:bCs/>
                <w:noProof/>
                <w:sz w:val="20"/>
                <w:szCs w:val="20"/>
                <w:lang w:val="en-IE" w:eastAsia="en-IE"/>
              </w:rPr>
              <w:t>- EUR 11.3</w:t>
            </w:r>
            <w:r w:rsidRPr="00CE2185">
              <w:rPr>
                <w:b/>
                <w:noProof/>
                <w:sz w:val="20"/>
                <w:szCs w:val="20"/>
                <w:lang w:val="en-IE" w:eastAsia="en-IE"/>
              </w:rPr>
              <w:t>M</w:t>
            </w:r>
          </w:p>
          <w:p w14:paraId="6F276A4E" w14:textId="77777777" w:rsidR="000D0808" w:rsidRPr="00CE2185" w:rsidRDefault="000D0808" w:rsidP="00641B35">
            <w:pPr>
              <w:spacing w:after="0"/>
              <w:jc w:val="left"/>
              <w:rPr>
                <w:b/>
                <w:bCs/>
                <w:noProof/>
                <w:sz w:val="20"/>
                <w:szCs w:val="20"/>
              </w:rPr>
            </w:pPr>
          </w:p>
        </w:tc>
        <w:tc>
          <w:tcPr>
            <w:tcW w:w="392" w:type="pct"/>
            <w:tcBorders>
              <w:right w:val="single" w:sz="12" w:space="0" w:color="auto"/>
            </w:tcBorders>
            <w:shd w:val="clear" w:color="auto" w:fill="FFFFFF" w:themeFill="background1"/>
          </w:tcPr>
          <w:p w14:paraId="562631B7" w14:textId="77777777" w:rsidR="000D0808" w:rsidRPr="00CE2185" w:rsidRDefault="000D0808" w:rsidP="00641B35">
            <w:pPr>
              <w:spacing w:after="0"/>
              <w:jc w:val="left"/>
              <w:rPr>
                <w:b/>
                <w:bCs/>
                <w:noProof/>
                <w:sz w:val="20"/>
                <w:szCs w:val="20"/>
              </w:rPr>
            </w:pPr>
            <w:r w:rsidRPr="00CE2185">
              <w:rPr>
                <w:b/>
                <w:bCs/>
                <w:noProof/>
                <w:sz w:val="20"/>
                <w:szCs w:val="20"/>
                <w:lang w:val="en-IE" w:eastAsia="en-IE"/>
              </w:rPr>
              <w:t xml:space="preserve"> - EUR 12.71M</w:t>
            </w:r>
          </w:p>
        </w:tc>
        <w:tc>
          <w:tcPr>
            <w:tcW w:w="324" w:type="pct"/>
            <w:shd w:val="clear" w:color="auto" w:fill="FFFFFF" w:themeFill="background1"/>
          </w:tcPr>
          <w:p w14:paraId="124E0B3B" w14:textId="77777777" w:rsidR="000D0808" w:rsidRPr="00CE2185" w:rsidRDefault="000D0808" w:rsidP="00641B35">
            <w:pPr>
              <w:spacing w:after="0"/>
              <w:jc w:val="left"/>
              <w:rPr>
                <w:b/>
                <w:bCs/>
                <w:noProof/>
                <w:sz w:val="20"/>
                <w:szCs w:val="20"/>
              </w:rPr>
            </w:pPr>
            <w:r w:rsidRPr="00CE2185">
              <w:rPr>
                <w:b/>
                <w:bCs/>
                <w:noProof/>
                <w:sz w:val="20"/>
                <w:szCs w:val="20"/>
                <w:lang w:val="en-IE" w:eastAsia="en-IE"/>
              </w:rPr>
              <w:t xml:space="preserve">- EUR 0 -61 M  </w:t>
            </w:r>
          </w:p>
        </w:tc>
        <w:tc>
          <w:tcPr>
            <w:tcW w:w="380" w:type="pct"/>
            <w:shd w:val="clear" w:color="auto" w:fill="FFFFFF" w:themeFill="background1"/>
          </w:tcPr>
          <w:p w14:paraId="5711906D" w14:textId="77777777" w:rsidR="000D0808" w:rsidRPr="00CE2185" w:rsidRDefault="000D0808" w:rsidP="00641B35">
            <w:pPr>
              <w:spacing w:after="0"/>
              <w:jc w:val="left"/>
              <w:textAlignment w:val="baseline"/>
              <w:rPr>
                <w:b/>
                <w:bCs/>
                <w:noProof/>
                <w:sz w:val="20"/>
                <w:szCs w:val="20"/>
                <w:lang w:val="en-IE" w:eastAsia="en-IE"/>
              </w:rPr>
            </w:pPr>
            <w:r w:rsidRPr="00CE2185">
              <w:rPr>
                <w:b/>
                <w:bCs/>
                <w:noProof/>
                <w:sz w:val="20"/>
                <w:szCs w:val="20"/>
              </w:rPr>
              <w:t>- EUR 13.7 to 74.7 M(D3)</w:t>
            </w:r>
          </w:p>
        </w:tc>
        <w:tc>
          <w:tcPr>
            <w:tcW w:w="380" w:type="pct"/>
            <w:tcBorders>
              <w:right w:val="single" w:sz="12" w:space="0" w:color="auto"/>
            </w:tcBorders>
            <w:shd w:val="clear" w:color="auto" w:fill="FFFFFF" w:themeFill="background1"/>
          </w:tcPr>
          <w:p w14:paraId="57DE9610" w14:textId="77777777" w:rsidR="000D0808" w:rsidRPr="00CE2185" w:rsidRDefault="000D0808" w:rsidP="00641B35">
            <w:pPr>
              <w:spacing w:after="0"/>
              <w:jc w:val="left"/>
              <w:textAlignment w:val="baseline"/>
              <w:rPr>
                <w:b/>
                <w:bCs/>
                <w:noProof/>
                <w:sz w:val="20"/>
                <w:szCs w:val="20"/>
                <w:lang w:val="en-IE" w:eastAsia="en-IE"/>
              </w:rPr>
            </w:pPr>
            <w:r w:rsidRPr="00CE2185">
              <w:rPr>
                <w:b/>
                <w:bCs/>
                <w:noProof/>
                <w:sz w:val="20"/>
                <w:szCs w:val="20"/>
              </w:rPr>
              <w:t>- EUR 22.8 to 83.9 M (D3)</w:t>
            </w:r>
          </w:p>
        </w:tc>
        <w:tc>
          <w:tcPr>
            <w:tcW w:w="283" w:type="pct"/>
            <w:tcBorders>
              <w:left w:val="single" w:sz="12" w:space="0" w:color="auto"/>
            </w:tcBorders>
            <w:shd w:val="clear" w:color="auto" w:fill="FFFFFF" w:themeFill="background1"/>
            <w:vAlign w:val="center"/>
          </w:tcPr>
          <w:p w14:paraId="112FD64E" w14:textId="77777777" w:rsidR="000D0808" w:rsidRPr="00CE2185" w:rsidRDefault="000D0808" w:rsidP="00641B35">
            <w:pPr>
              <w:spacing w:after="0"/>
              <w:rPr>
                <w:noProof/>
                <w:sz w:val="20"/>
                <w:szCs w:val="20"/>
              </w:rPr>
            </w:pPr>
            <w:r w:rsidRPr="00CE2185">
              <w:rPr>
                <w:noProof/>
                <w:sz w:val="20"/>
                <w:szCs w:val="20"/>
              </w:rPr>
              <w:t>0</w:t>
            </w:r>
          </w:p>
        </w:tc>
        <w:tc>
          <w:tcPr>
            <w:tcW w:w="378" w:type="pct"/>
            <w:shd w:val="clear" w:color="auto" w:fill="FFFFFF" w:themeFill="background1"/>
          </w:tcPr>
          <w:p w14:paraId="733D36CA" w14:textId="77777777" w:rsidR="000D0808" w:rsidRPr="00CE2185" w:rsidRDefault="000D0808" w:rsidP="00641B35">
            <w:pPr>
              <w:spacing w:after="0"/>
              <w:jc w:val="center"/>
              <w:rPr>
                <w:b/>
                <w:bCs/>
                <w:noProof/>
                <w:sz w:val="20"/>
                <w:szCs w:val="20"/>
              </w:rPr>
            </w:pPr>
            <w:r w:rsidRPr="00CE2185">
              <w:rPr>
                <w:b/>
                <w:bCs/>
                <w:noProof/>
                <w:sz w:val="20"/>
                <w:szCs w:val="20"/>
              </w:rPr>
              <w:t>+ 7,5 M</w:t>
            </w:r>
          </w:p>
        </w:tc>
        <w:tc>
          <w:tcPr>
            <w:tcW w:w="380" w:type="pct"/>
            <w:tcBorders>
              <w:right w:val="single" w:sz="12" w:space="0" w:color="auto"/>
            </w:tcBorders>
            <w:shd w:val="clear" w:color="auto" w:fill="FFFFFF" w:themeFill="background1"/>
          </w:tcPr>
          <w:p w14:paraId="0E6BD607" w14:textId="77777777" w:rsidR="000D0808" w:rsidRPr="00CE2185" w:rsidRDefault="000D0808" w:rsidP="00641B35">
            <w:pPr>
              <w:spacing w:after="0"/>
              <w:rPr>
                <w:b/>
                <w:bCs/>
                <w:noProof/>
                <w:sz w:val="20"/>
                <w:szCs w:val="20"/>
              </w:rPr>
            </w:pPr>
            <w:r w:rsidRPr="00CE2185">
              <w:rPr>
                <w:b/>
                <w:bCs/>
                <w:noProof/>
                <w:sz w:val="20"/>
                <w:szCs w:val="20"/>
                <w:lang w:val="en-IE" w:eastAsia="en-IE"/>
              </w:rPr>
              <w:t xml:space="preserve"> + 14.8 M</w:t>
            </w:r>
          </w:p>
        </w:tc>
        <w:tc>
          <w:tcPr>
            <w:tcW w:w="302" w:type="pct"/>
            <w:tcBorders>
              <w:left w:val="single" w:sz="12" w:space="0" w:color="auto"/>
            </w:tcBorders>
            <w:shd w:val="clear" w:color="auto" w:fill="FFFFFF" w:themeFill="background1"/>
          </w:tcPr>
          <w:p w14:paraId="59FE7AB8" w14:textId="77777777" w:rsidR="000D0808" w:rsidRPr="00CE2185" w:rsidRDefault="000D0808" w:rsidP="00641B35">
            <w:pPr>
              <w:spacing w:after="0"/>
              <w:jc w:val="center"/>
              <w:rPr>
                <w:noProof/>
                <w:sz w:val="20"/>
                <w:szCs w:val="20"/>
              </w:rPr>
            </w:pPr>
            <w:r w:rsidRPr="00CE2185">
              <w:rPr>
                <w:noProof/>
                <w:sz w:val="20"/>
                <w:szCs w:val="20"/>
                <w:lang w:eastAsia="en-IE"/>
              </w:rPr>
              <w:t>-</w:t>
            </w:r>
          </w:p>
        </w:tc>
        <w:tc>
          <w:tcPr>
            <w:tcW w:w="324" w:type="pct"/>
            <w:shd w:val="clear" w:color="auto" w:fill="FFFFFF" w:themeFill="background1"/>
          </w:tcPr>
          <w:p w14:paraId="12B6DD2F" w14:textId="77777777" w:rsidR="000D0808" w:rsidRPr="00CE2185" w:rsidRDefault="000D0808" w:rsidP="00641B35">
            <w:pPr>
              <w:spacing w:after="0"/>
              <w:jc w:val="center"/>
              <w:rPr>
                <w:noProof/>
                <w:sz w:val="20"/>
                <w:szCs w:val="20"/>
                <w:lang w:eastAsia="en-IE"/>
              </w:rPr>
            </w:pPr>
            <w:r w:rsidRPr="00CE2185">
              <w:rPr>
                <w:noProof/>
                <w:sz w:val="20"/>
                <w:szCs w:val="20"/>
                <w:lang w:eastAsia="en-IE"/>
              </w:rPr>
              <w:t>+</w:t>
            </w:r>
          </w:p>
        </w:tc>
        <w:tc>
          <w:tcPr>
            <w:tcW w:w="422" w:type="pct"/>
            <w:shd w:val="clear" w:color="auto" w:fill="FFFFFF" w:themeFill="background1"/>
          </w:tcPr>
          <w:p w14:paraId="0C4FFC9D" w14:textId="77777777" w:rsidR="000D0808" w:rsidRPr="00CE2185" w:rsidRDefault="000D0808" w:rsidP="00641B35">
            <w:pPr>
              <w:spacing w:after="0"/>
              <w:jc w:val="center"/>
              <w:rPr>
                <w:noProof/>
                <w:sz w:val="20"/>
                <w:szCs w:val="20"/>
                <w:lang w:val="en-IE" w:eastAsia="en-IE"/>
              </w:rPr>
            </w:pPr>
            <w:r w:rsidRPr="00CE2185">
              <w:rPr>
                <w:noProof/>
                <w:sz w:val="20"/>
                <w:szCs w:val="20"/>
                <w:lang w:val="en-IE" w:eastAsia="en-IE"/>
              </w:rPr>
              <w:t>+</w:t>
            </w:r>
          </w:p>
        </w:tc>
      </w:tr>
      <w:tr w:rsidR="000D0808" w:rsidRPr="00CE2185" w14:paraId="6E952058" w14:textId="77777777" w:rsidTr="00641B35">
        <w:trPr>
          <w:tblHeader/>
        </w:trPr>
        <w:tc>
          <w:tcPr>
            <w:tcW w:w="789" w:type="pct"/>
            <w:tcBorders>
              <w:right w:val="single" w:sz="12" w:space="0" w:color="auto"/>
            </w:tcBorders>
            <w:shd w:val="clear" w:color="auto" w:fill="E5DFEC" w:themeFill="accent4" w:themeFillTint="33"/>
          </w:tcPr>
          <w:p w14:paraId="15482F8C" w14:textId="77777777" w:rsidR="000D0808" w:rsidRPr="00CE2185" w:rsidRDefault="000D0808" w:rsidP="00641B35">
            <w:pPr>
              <w:spacing w:after="0"/>
              <w:rPr>
                <w:noProof/>
                <w:sz w:val="20"/>
                <w:szCs w:val="20"/>
                <w:lang w:val="fr-BE"/>
              </w:rPr>
            </w:pPr>
            <w:r w:rsidRPr="00CE2185">
              <w:rPr>
                <w:noProof/>
                <w:sz w:val="20"/>
                <w:szCs w:val="20"/>
                <w:lang w:val="fr-BE"/>
              </w:rPr>
              <w:t xml:space="preserve">for ENISA </w:t>
            </w:r>
          </w:p>
        </w:tc>
        <w:tc>
          <w:tcPr>
            <w:tcW w:w="324" w:type="pct"/>
            <w:tcBorders>
              <w:left w:val="single" w:sz="12" w:space="0" w:color="auto"/>
            </w:tcBorders>
          </w:tcPr>
          <w:p w14:paraId="0D54CBD4" w14:textId="77777777" w:rsidR="000D0808" w:rsidRPr="00CE2185" w:rsidRDefault="000D0808" w:rsidP="00641B35">
            <w:pPr>
              <w:spacing w:after="0"/>
              <w:rPr>
                <w:noProof/>
                <w:sz w:val="20"/>
                <w:szCs w:val="20"/>
                <w:lang w:val="fr-BE"/>
              </w:rPr>
            </w:pPr>
            <w:r w:rsidRPr="00CE2185">
              <w:rPr>
                <w:b/>
                <w:bCs/>
                <w:noProof/>
                <w:sz w:val="20"/>
                <w:szCs w:val="20"/>
                <w:lang w:val="fr-BE" w:eastAsia="en-IE"/>
              </w:rPr>
              <w:t xml:space="preserve"> </w:t>
            </w:r>
            <w:r w:rsidRPr="00CE2185">
              <w:rPr>
                <w:noProof/>
                <w:sz w:val="20"/>
                <w:szCs w:val="20"/>
                <w:lang w:val="fr-BE" w:eastAsia="en-IE"/>
              </w:rPr>
              <w:t>0/+</w:t>
            </w:r>
          </w:p>
        </w:tc>
        <w:tc>
          <w:tcPr>
            <w:tcW w:w="324" w:type="pct"/>
          </w:tcPr>
          <w:p w14:paraId="091C3FD0" w14:textId="77777777" w:rsidR="000D0808" w:rsidRPr="00CE2185" w:rsidRDefault="000D0808" w:rsidP="00641B35">
            <w:pPr>
              <w:spacing w:after="0"/>
              <w:jc w:val="left"/>
              <w:rPr>
                <w:b/>
                <w:noProof/>
                <w:sz w:val="20"/>
                <w:szCs w:val="20"/>
                <w:lang w:val="fr-BE"/>
              </w:rPr>
            </w:pPr>
            <w:r w:rsidRPr="00CE2185">
              <w:rPr>
                <w:b/>
                <w:noProof/>
                <w:sz w:val="20"/>
                <w:szCs w:val="20"/>
                <w:lang w:val="en-IE" w:eastAsia="en-IE"/>
              </w:rPr>
              <w:t xml:space="preserve"> -EUR </w:t>
            </w:r>
            <w:r w:rsidRPr="00211B89">
              <w:rPr>
                <w:b/>
                <w:noProof/>
                <w:sz w:val="20"/>
                <w:szCs w:val="20"/>
                <w:lang w:val="en-IE" w:eastAsia="en-IE"/>
              </w:rPr>
              <w:t>148.12</w:t>
            </w:r>
            <w:r w:rsidRPr="00CE2185">
              <w:rPr>
                <w:b/>
                <w:noProof/>
                <w:sz w:val="20"/>
                <w:szCs w:val="20"/>
                <w:lang w:val="en-IE" w:eastAsia="en-IE"/>
              </w:rPr>
              <w:t>M</w:t>
            </w:r>
          </w:p>
        </w:tc>
        <w:tc>
          <w:tcPr>
            <w:tcW w:w="392" w:type="pct"/>
            <w:tcBorders>
              <w:right w:val="single" w:sz="12" w:space="0" w:color="auto"/>
            </w:tcBorders>
          </w:tcPr>
          <w:p w14:paraId="1BC8C018" w14:textId="77777777" w:rsidR="000D0808" w:rsidRPr="00CE2185" w:rsidRDefault="000D0808" w:rsidP="00641B35">
            <w:pPr>
              <w:spacing w:after="0"/>
              <w:jc w:val="left"/>
              <w:rPr>
                <w:b/>
                <w:noProof/>
                <w:sz w:val="20"/>
                <w:szCs w:val="20"/>
                <w:lang w:val="fr-BE"/>
              </w:rPr>
            </w:pPr>
            <w:r w:rsidRPr="00CE2185">
              <w:rPr>
                <w:b/>
                <w:noProof/>
                <w:sz w:val="20"/>
                <w:szCs w:val="20"/>
                <w:lang w:val="en-IE" w:eastAsia="en-IE"/>
              </w:rPr>
              <w:t xml:space="preserve"> -EUR 165.37M</w:t>
            </w:r>
          </w:p>
        </w:tc>
        <w:tc>
          <w:tcPr>
            <w:tcW w:w="324" w:type="pct"/>
          </w:tcPr>
          <w:p w14:paraId="7F7E0EAA" w14:textId="77777777" w:rsidR="000D0808" w:rsidRPr="00CE2185" w:rsidRDefault="000D0808" w:rsidP="00641B35">
            <w:pPr>
              <w:spacing w:after="0"/>
              <w:jc w:val="left"/>
              <w:rPr>
                <w:b/>
                <w:bCs/>
                <w:noProof/>
                <w:sz w:val="20"/>
                <w:szCs w:val="20"/>
              </w:rPr>
            </w:pPr>
            <w:r w:rsidRPr="00CE2185">
              <w:rPr>
                <w:b/>
                <w:bCs/>
                <w:noProof/>
                <w:sz w:val="20"/>
                <w:szCs w:val="20"/>
              </w:rPr>
              <w:t xml:space="preserve">  - EUR 6.8 to 10.5</w:t>
            </w:r>
          </w:p>
        </w:tc>
        <w:tc>
          <w:tcPr>
            <w:tcW w:w="380" w:type="pct"/>
            <w:shd w:val="clear" w:color="auto" w:fill="FFFFFF" w:themeFill="background1"/>
          </w:tcPr>
          <w:p w14:paraId="22058792" w14:textId="77777777" w:rsidR="000D0808" w:rsidRPr="00CE2185" w:rsidRDefault="000D0808" w:rsidP="00641B35">
            <w:pPr>
              <w:spacing w:after="0"/>
              <w:jc w:val="left"/>
              <w:textAlignment w:val="baseline"/>
              <w:rPr>
                <w:b/>
                <w:bCs/>
                <w:noProof/>
                <w:sz w:val="20"/>
                <w:szCs w:val="20"/>
              </w:rPr>
            </w:pPr>
            <w:r w:rsidRPr="00CE2185">
              <w:rPr>
                <w:b/>
                <w:bCs/>
                <w:noProof/>
                <w:sz w:val="20"/>
                <w:szCs w:val="20"/>
              </w:rPr>
              <w:t xml:space="preserve"> - EUR 9.5 to 13.1 M (D3)</w:t>
            </w:r>
          </w:p>
        </w:tc>
        <w:tc>
          <w:tcPr>
            <w:tcW w:w="380" w:type="pct"/>
            <w:tcBorders>
              <w:right w:val="single" w:sz="12" w:space="0" w:color="auto"/>
            </w:tcBorders>
            <w:shd w:val="clear" w:color="auto" w:fill="FFFFFF" w:themeFill="background1"/>
          </w:tcPr>
          <w:p w14:paraId="492EB099" w14:textId="77777777" w:rsidR="000D0808" w:rsidRPr="00CE2185" w:rsidRDefault="000D0808" w:rsidP="00641B35">
            <w:pPr>
              <w:spacing w:after="0"/>
              <w:jc w:val="left"/>
              <w:textAlignment w:val="baseline"/>
              <w:rPr>
                <w:b/>
                <w:bCs/>
                <w:noProof/>
                <w:sz w:val="20"/>
                <w:szCs w:val="20"/>
              </w:rPr>
            </w:pPr>
            <w:r w:rsidRPr="00CE2185">
              <w:rPr>
                <w:b/>
                <w:bCs/>
                <w:noProof/>
                <w:sz w:val="20"/>
                <w:szCs w:val="20"/>
              </w:rPr>
              <w:t>- EUR 9.5 and 13.1 M (D3)</w:t>
            </w:r>
          </w:p>
        </w:tc>
        <w:tc>
          <w:tcPr>
            <w:tcW w:w="283" w:type="pct"/>
            <w:tcBorders>
              <w:left w:val="single" w:sz="12" w:space="0" w:color="auto"/>
            </w:tcBorders>
            <w:shd w:val="clear" w:color="auto" w:fill="FFFFFF" w:themeFill="background1"/>
          </w:tcPr>
          <w:p w14:paraId="1F39BF24" w14:textId="77777777" w:rsidR="000D0808" w:rsidRPr="00CE2185" w:rsidRDefault="000D0808" w:rsidP="00641B35">
            <w:pPr>
              <w:spacing w:after="0"/>
              <w:rPr>
                <w:noProof/>
                <w:sz w:val="20"/>
                <w:szCs w:val="20"/>
                <w:lang w:val="fr-BE"/>
              </w:rPr>
            </w:pPr>
            <w:r w:rsidRPr="00CE2185">
              <w:rPr>
                <w:noProof/>
                <w:sz w:val="20"/>
                <w:szCs w:val="20"/>
                <w:lang w:val="fr-BE"/>
              </w:rPr>
              <w:t>N.A.</w:t>
            </w:r>
          </w:p>
        </w:tc>
        <w:tc>
          <w:tcPr>
            <w:tcW w:w="378" w:type="pct"/>
            <w:shd w:val="clear" w:color="auto" w:fill="FFFFFF" w:themeFill="background1"/>
          </w:tcPr>
          <w:p w14:paraId="05668E97" w14:textId="77777777" w:rsidR="000D0808" w:rsidRPr="00CE2185" w:rsidRDefault="000D0808" w:rsidP="00641B35">
            <w:pPr>
              <w:spacing w:after="0"/>
              <w:jc w:val="center"/>
              <w:rPr>
                <w:noProof/>
                <w:sz w:val="20"/>
                <w:szCs w:val="20"/>
              </w:rPr>
            </w:pPr>
            <w:r w:rsidRPr="00CE2185">
              <w:rPr>
                <w:noProof/>
                <w:sz w:val="20"/>
                <w:szCs w:val="20"/>
              </w:rPr>
              <w:t>(A2/3)</w:t>
            </w:r>
          </w:p>
          <w:p w14:paraId="4A78E769" w14:textId="77777777" w:rsidR="000D0808" w:rsidRPr="00CE2185" w:rsidRDefault="000D0808" w:rsidP="00641B35">
            <w:pPr>
              <w:spacing w:after="0"/>
              <w:jc w:val="center"/>
              <w:rPr>
                <w:noProof/>
                <w:sz w:val="20"/>
                <w:szCs w:val="20"/>
              </w:rPr>
            </w:pPr>
          </w:p>
        </w:tc>
        <w:tc>
          <w:tcPr>
            <w:tcW w:w="380" w:type="pct"/>
            <w:tcBorders>
              <w:right w:val="single" w:sz="12" w:space="0" w:color="auto"/>
            </w:tcBorders>
            <w:shd w:val="clear" w:color="auto" w:fill="FFFFFF" w:themeFill="background1"/>
          </w:tcPr>
          <w:p w14:paraId="1B527599" w14:textId="77777777" w:rsidR="000D0808" w:rsidRPr="00CE2185" w:rsidRDefault="000D0808" w:rsidP="00641B35">
            <w:pPr>
              <w:spacing w:after="0"/>
              <w:rPr>
                <w:noProof/>
                <w:sz w:val="20"/>
                <w:szCs w:val="20"/>
                <w:lang w:val="fr-BE"/>
              </w:rPr>
            </w:pPr>
            <w:r w:rsidRPr="00CE2185">
              <w:rPr>
                <w:noProof/>
                <w:sz w:val="20"/>
                <w:szCs w:val="20"/>
                <w:lang w:val="en-IE" w:eastAsia="en-IE"/>
              </w:rPr>
              <w:t>(A2/3)</w:t>
            </w:r>
          </w:p>
        </w:tc>
        <w:tc>
          <w:tcPr>
            <w:tcW w:w="302" w:type="pct"/>
            <w:tcBorders>
              <w:left w:val="single" w:sz="12" w:space="0" w:color="auto"/>
            </w:tcBorders>
            <w:shd w:val="clear" w:color="auto" w:fill="FFFFFF" w:themeFill="background1"/>
          </w:tcPr>
          <w:p w14:paraId="457628E0" w14:textId="77777777" w:rsidR="000D0808" w:rsidRPr="00CE2185" w:rsidRDefault="000D0808" w:rsidP="00641B35">
            <w:pPr>
              <w:spacing w:after="0"/>
              <w:jc w:val="center"/>
              <w:rPr>
                <w:b/>
                <w:bCs/>
                <w:noProof/>
                <w:sz w:val="20"/>
                <w:szCs w:val="20"/>
                <w:lang w:val="fr-BE"/>
              </w:rPr>
            </w:pPr>
            <w:r w:rsidRPr="00CE2185">
              <w:rPr>
                <w:noProof/>
                <w:sz w:val="20"/>
                <w:szCs w:val="20"/>
                <w:lang w:val="en-IE" w:eastAsia="en-IE"/>
              </w:rPr>
              <w:t>N.A</w:t>
            </w:r>
          </w:p>
        </w:tc>
        <w:tc>
          <w:tcPr>
            <w:tcW w:w="324" w:type="pct"/>
            <w:shd w:val="clear" w:color="auto" w:fill="FFFFFF" w:themeFill="background1"/>
          </w:tcPr>
          <w:p w14:paraId="610AFF5A" w14:textId="77777777" w:rsidR="000D0808" w:rsidRPr="00CE2185" w:rsidRDefault="000D0808" w:rsidP="00641B35">
            <w:pPr>
              <w:spacing w:after="0"/>
              <w:jc w:val="center"/>
              <w:rPr>
                <w:noProof/>
                <w:sz w:val="20"/>
                <w:szCs w:val="20"/>
                <w:lang w:val="fr-BE"/>
              </w:rPr>
            </w:pPr>
            <w:r w:rsidRPr="00CE2185">
              <w:rPr>
                <w:noProof/>
                <w:sz w:val="20"/>
                <w:szCs w:val="20"/>
                <w:lang w:val="en-IE" w:eastAsia="en-IE"/>
              </w:rPr>
              <w:t>N.A</w:t>
            </w:r>
          </w:p>
        </w:tc>
        <w:tc>
          <w:tcPr>
            <w:tcW w:w="422" w:type="pct"/>
            <w:shd w:val="clear" w:color="auto" w:fill="FFFFFF" w:themeFill="background1"/>
          </w:tcPr>
          <w:p w14:paraId="7DF301B3" w14:textId="77777777" w:rsidR="000D0808" w:rsidRPr="00CE2185" w:rsidRDefault="000D0808" w:rsidP="00641B35">
            <w:pPr>
              <w:spacing w:after="0"/>
              <w:jc w:val="center"/>
              <w:rPr>
                <w:noProof/>
                <w:sz w:val="20"/>
                <w:szCs w:val="20"/>
                <w:lang w:val="fr-BE"/>
              </w:rPr>
            </w:pPr>
            <w:r w:rsidRPr="00CE2185">
              <w:rPr>
                <w:noProof/>
                <w:sz w:val="20"/>
                <w:szCs w:val="20"/>
                <w:lang w:val="en-IE" w:eastAsia="en-IE"/>
              </w:rPr>
              <w:t>N.A</w:t>
            </w:r>
          </w:p>
        </w:tc>
      </w:tr>
      <w:tr w:rsidR="000D0808" w:rsidRPr="00CE2185" w14:paraId="3D4FBE85" w14:textId="77777777" w:rsidTr="00641B35">
        <w:trPr>
          <w:tblHeader/>
        </w:trPr>
        <w:tc>
          <w:tcPr>
            <w:tcW w:w="789" w:type="pct"/>
            <w:tcBorders>
              <w:right w:val="single" w:sz="12" w:space="0" w:color="auto"/>
            </w:tcBorders>
            <w:shd w:val="clear" w:color="auto" w:fill="E5DFEC" w:themeFill="accent4" w:themeFillTint="33"/>
          </w:tcPr>
          <w:p w14:paraId="6A06B498" w14:textId="77777777" w:rsidR="000D0808" w:rsidRPr="00CE2185" w:rsidRDefault="000D0808" w:rsidP="00641B35">
            <w:pPr>
              <w:spacing w:after="0"/>
              <w:rPr>
                <w:b/>
                <w:bCs/>
                <w:noProof/>
                <w:sz w:val="20"/>
                <w:szCs w:val="20"/>
              </w:rPr>
            </w:pPr>
            <w:r w:rsidRPr="00CE2185">
              <w:rPr>
                <w:noProof/>
                <w:sz w:val="20"/>
                <w:szCs w:val="20"/>
              </w:rPr>
              <w:t>for citizens (price increase)</w:t>
            </w:r>
          </w:p>
        </w:tc>
        <w:tc>
          <w:tcPr>
            <w:tcW w:w="324" w:type="pct"/>
            <w:tcBorders>
              <w:left w:val="single" w:sz="12" w:space="0" w:color="auto"/>
            </w:tcBorders>
            <w:shd w:val="clear" w:color="auto" w:fill="FFFFFF" w:themeFill="background1"/>
            <w:vAlign w:val="center"/>
          </w:tcPr>
          <w:p w14:paraId="1E4B2953" w14:textId="77777777" w:rsidR="000D0808" w:rsidRPr="00CE2185" w:rsidRDefault="000D0808" w:rsidP="00641B35">
            <w:pPr>
              <w:spacing w:after="0"/>
              <w:rPr>
                <w:noProof/>
                <w:sz w:val="20"/>
                <w:szCs w:val="20"/>
              </w:rPr>
            </w:pPr>
            <w:r w:rsidRPr="00CE2185">
              <w:rPr>
                <w:noProof/>
                <w:sz w:val="20"/>
                <w:szCs w:val="20"/>
              </w:rPr>
              <w:t>N.A</w:t>
            </w:r>
          </w:p>
        </w:tc>
        <w:tc>
          <w:tcPr>
            <w:tcW w:w="324" w:type="pct"/>
            <w:shd w:val="clear" w:color="auto" w:fill="FFFFFF" w:themeFill="background1"/>
            <w:vAlign w:val="center"/>
          </w:tcPr>
          <w:p w14:paraId="447D2387" w14:textId="77777777" w:rsidR="000D0808" w:rsidRPr="00CE2185" w:rsidRDefault="000D0808" w:rsidP="00641B35">
            <w:pPr>
              <w:spacing w:after="0"/>
              <w:rPr>
                <w:noProof/>
                <w:sz w:val="20"/>
                <w:szCs w:val="20"/>
              </w:rPr>
            </w:pPr>
            <w:r w:rsidRPr="00CE2185">
              <w:rPr>
                <w:noProof/>
                <w:sz w:val="20"/>
                <w:szCs w:val="20"/>
              </w:rPr>
              <w:t>N.A</w:t>
            </w:r>
          </w:p>
        </w:tc>
        <w:tc>
          <w:tcPr>
            <w:tcW w:w="392" w:type="pct"/>
            <w:tcBorders>
              <w:right w:val="single" w:sz="12" w:space="0" w:color="auto"/>
            </w:tcBorders>
            <w:shd w:val="clear" w:color="auto" w:fill="FFFFFF" w:themeFill="background1"/>
            <w:vAlign w:val="center"/>
          </w:tcPr>
          <w:p w14:paraId="0FC8CBBC" w14:textId="77777777" w:rsidR="000D0808" w:rsidRPr="00CE2185" w:rsidRDefault="000D0808" w:rsidP="00641B35">
            <w:pPr>
              <w:spacing w:after="0"/>
              <w:rPr>
                <w:noProof/>
                <w:sz w:val="20"/>
                <w:szCs w:val="20"/>
              </w:rPr>
            </w:pPr>
            <w:r w:rsidRPr="00CE2185">
              <w:rPr>
                <w:noProof/>
                <w:sz w:val="20"/>
                <w:szCs w:val="20"/>
              </w:rPr>
              <w:t>N.A</w:t>
            </w:r>
          </w:p>
        </w:tc>
        <w:tc>
          <w:tcPr>
            <w:tcW w:w="324" w:type="pct"/>
            <w:shd w:val="clear" w:color="auto" w:fill="FFFFFF" w:themeFill="background1"/>
            <w:vAlign w:val="center"/>
          </w:tcPr>
          <w:p w14:paraId="253CAF09" w14:textId="77777777" w:rsidR="000D0808" w:rsidRPr="00CE2185" w:rsidRDefault="000D0808" w:rsidP="00641B35">
            <w:pPr>
              <w:spacing w:after="0"/>
              <w:jc w:val="center"/>
              <w:rPr>
                <w:noProof/>
                <w:sz w:val="20"/>
                <w:szCs w:val="20"/>
              </w:rPr>
            </w:pPr>
            <w:r w:rsidRPr="00CE2185">
              <w:rPr>
                <w:noProof/>
                <w:sz w:val="20"/>
                <w:szCs w:val="20"/>
              </w:rPr>
              <w:t>N.A</w:t>
            </w:r>
          </w:p>
        </w:tc>
        <w:tc>
          <w:tcPr>
            <w:tcW w:w="380" w:type="pct"/>
            <w:shd w:val="clear" w:color="auto" w:fill="FFFFFF" w:themeFill="background1"/>
            <w:vAlign w:val="center"/>
          </w:tcPr>
          <w:p w14:paraId="2413A78A" w14:textId="77777777" w:rsidR="000D0808" w:rsidRPr="00CE2185" w:rsidRDefault="000D0808" w:rsidP="00641B35">
            <w:pPr>
              <w:spacing w:after="0"/>
              <w:jc w:val="center"/>
              <w:rPr>
                <w:noProof/>
                <w:sz w:val="20"/>
                <w:szCs w:val="20"/>
              </w:rPr>
            </w:pPr>
            <w:r w:rsidRPr="00CE2185">
              <w:rPr>
                <w:noProof/>
                <w:sz w:val="20"/>
                <w:szCs w:val="20"/>
              </w:rPr>
              <w:t>0/-</w:t>
            </w:r>
          </w:p>
        </w:tc>
        <w:tc>
          <w:tcPr>
            <w:tcW w:w="380" w:type="pct"/>
            <w:tcBorders>
              <w:right w:val="single" w:sz="12" w:space="0" w:color="auto"/>
            </w:tcBorders>
            <w:shd w:val="clear" w:color="auto" w:fill="FFFFFF" w:themeFill="background1"/>
            <w:vAlign w:val="center"/>
          </w:tcPr>
          <w:p w14:paraId="210F269C" w14:textId="77777777" w:rsidR="000D0808" w:rsidRPr="00CE2185" w:rsidRDefault="000D0808" w:rsidP="00641B35">
            <w:pPr>
              <w:spacing w:after="0"/>
              <w:jc w:val="center"/>
              <w:rPr>
                <w:b/>
                <w:bCs/>
                <w:noProof/>
                <w:sz w:val="20"/>
                <w:szCs w:val="20"/>
              </w:rPr>
            </w:pPr>
            <w:r w:rsidRPr="00CE2185">
              <w:rPr>
                <w:b/>
                <w:bCs/>
                <w:noProof/>
                <w:sz w:val="20"/>
                <w:szCs w:val="20"/>
              </w:rPr>
              <w:t>-</w:t>
            </w:r>
          </w:p>
        </w:tc>
        <w:tc>
          <w:tcPr>
            <w:tcW w:w="283" w:type="pct"/>
            <w:tcBorders>
              <w:left w:val="single" w:sz="12" w:space="0" w:color="auto"/>
            </w:tcBorders>
            <w:shd w:val="clear" w:color="auto" w:fill="FFFFFF" w:themeFill="background1"/>
            <w:vAlign w:val="center"/>
          </w:tcPr>
          <w:p w14:paraId="5D490177" w14:textId="77777777" w:rsidR="000D0808" w:rsidRPr="00CE2185" w:rsidRDefault="000D0808" w:rsidP="00641B35">
            <w:pPr>
              <w:spacing w:after="0"/>
              <w:jc w:val="center"/>
              <w:rPr>
                <w:noProof/>
                <w:sz w:val="20"/>
                <w:szCs w:val="20"/>
              </w:rPr>
            </w:pPr>
            <w:r w:rsidRPr="00CE2185">
              <w:rPr>
                <w:noProof/>
                <w:sz w:val="20"/>
                <w:szCs w:val="20"/>
              </w:rPr>
              <w:t>N.A</w:t>
            </w:r>
          </w:p>
        </w:tc>
        <w:tc>
          <w:tcPr>
            <w:tcW w:w="378" w:type="pct"/>
            <w:shd w:val="clear" w:color="auto" w:fill="FFFFFF" w:themeFill="background1"/>
            <w:vAlign w:val="center"/>
          </w:tcPr>
          <w:p w14:paraId="54CA276B" w14:textId="77777777" w:rsidR="000D0808" w:rsidRPr="00CE2185" w:rsidRDefault="000D0808" w:rsidP="00641B35">
            <w:pPr>
              <w:spacing w:after="0"/>
              <w:jc w:val="center"/>
              <w:rPr>
                <w:noProof/>
                <w:sz w:val="20"/>
                <w:szCs w:val="20"/>
              </w:rPr>
            </w:pPr>
            <w:r w:rsidRPr="00CE2185">
              <w:rPr>
                <w:noProof/>
                <w:sz w:val="20"/>
                <w:szCs w:val="20"/>
              </w:rPr>
              <w:t>N.A</w:t>
            </w:r>
          </w:p>
        </w:tc>
        <w:tc>
          <w:tcPr>
            <w:tcW w:w="380" w:type="pct"/>
            <w:tcBorders>
              <w:right w:val="single" w:sz="12" w:space="0" w:color="auto"/>
            </w:tcBorders>
            <w:shd w:val="clear" w:color="auto" w:fill="FFFFFF" w:themeFill="background1"/>
            <w:vAlign w:val="center"/>
          </w:tcPr>
          <w:p w14:paraId="6A571101" w14:textId="77777777" w:rsidR="000D0808" w:rsidRPr="00CE2185" w:rsidRDefault="000D0808" w:rsidP="00641B35">
            <w:pPr>
              <w:spacing w:after="0"/>
              <w:jc w:val="center"/>
              <w:rPr>
                <w:noProof/>
                <w:sz w:val="20"/>
                <w:szCs w:val="20"/>
              </w:rPr>
            </w:pPr>
            <w:r w:rsidRPr="00CE2185">
              <w:rPr>
                <w:noProof/>
                <w:sz w:val="20"/>
                <w:szCs w:val="20"/>
              </w:rPr>
              <w:t>N.A</w:t>
            </w:r>
          </w:p>
        </w:tc>
        <w:tc>
          <w:tcPr>
            <w:tcW w:w="302" w:type="pct"/>
            <w:tcBorders>
              <w:left w:val="single" w:sz="12" w:space="0" w:color="auto"/>
            </w:tcBorders>
            <w:shd w:val="clear" w:color="auto" w:fill="FFFFFF" w:themeFill="background1"/>
          </w:tcPr>
          <w:p w14:paraId="29344B1A"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tcPr>
          <w:p w14:paraId="5631E1F6"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52B67913" w14:textId="77777777" w:rsidR="000D0808" w:rsidRPr="00CE2185" w:rsidRDefault="000D0808" w:rsidP="00641B35">
            <w:pPr>
              <w:spacing w:after="0"/>
              <w:jc w:val="center"/>
              <w:rPr>
                <w:noProof/>
                <w:sz w:val="20"/>
                <w:szCs w:val="20"/>
              </w:rPr>
            </w:pPr>
            <w:r w:rsidRPr="00CE2185">
              <w:rPr>
                <w:noProof/>
                <w:sz w:val="20"/>
                <w:szCs w:val="20"/>
              </w:rPr>
              <w:t>-</w:t>
            </w:r>
          </w:p>
        </w:tc>
      </w:tr>
      <w:tr w:rsidR="000D0808" w:rsidRPr="00CE2185" w14:paraId="3C081178" w14:textId="77777777" w:rsidTr="00641B35">
        <w:trPr>
          <w:tblHeader/>
        </w:trPr>
        <w:tc>
          <w:tcPr>
            <w:tcW w:w="789" w:type="pct"/>
            <w:tcBorders>
              <w:right w:val="single" w:sz="12" w:space="0" w:color="auto"/>
            </w:tcBorders>
            <w:shd w:val="clear" w:color="auto" w:fill="E5DFEC" w:themeFill="accent4" w:themeFillTint="33"/>
          </w:tcPr>
          <w:p w14:paraId="374CCE62" w14:textId="77777777" w:rsidR="000D0808" w:rsidRPr="00CE2185" w:rsidRDefault="000D0808" w:rsidP="00641B35">
            <w:pPr>
              <w:spacing w:after="0"/>
              <w:rPr>
                <w:noProof/>
                <w:sz w:val="20"/>
                <w:szCs w:val="20"/>
              </w:rPr>
            </w:pPr>
            <w:r w:rsidRPr="00CE2185">
              <w:rPr>
                <w:b/>
                <w:bCs/>
                <w:noProof/>
                <w:sz w:val="20"/>
                <w:szCs w:val="20"/>
              </w:rPr>
              <w:t>Internal market</w:t>
            </w:r>
            <w:r w:rsidRPr="00CE2185">
              <w:rPr>
                <w:noProof/>
                <w:sz w:val="20"/>
                <w:szCs w:val="20"/>
              </w:rPr>
              <w:t xml:space="preserve"> </w:t>
            </w:r>
          </w:p>
        </w:tc>
        <w:tc>
          <w:tcPr>
            <w:tcW w:w="324" w:type="pct"/>
            <w:tcBorders>
              <w:left w:val="single" w:sz="12" w:space="0" w:color="auto"/>
            </w:tcBorders>
            <w:shd w:val="clear" w:color="auto" w:fill="FFFFFF" w:themeFill="background1"/>
            <w:vAlign w:val="center"/>
          </w:tcPr>
          <w:p w14:paraId="189645D1"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vAlign w:val="center"/>
          </w:tcPr>
          <w:p w14:paraId="58012FF3" w14:textId="77777777" w:rsidR="000D0808" w:rsidRPr="00CE2185" w:rsidRDefault="000D0808" w:rsidP="00641B35">
            <w:pPr>
              <w:spacing w:after="0"/>
              <w:jc w:val="center"/>
              <w:rPr>
                <w:noProof/>
                <w:sz w:val="20"/>
                <w:szCs w:val="20"/>
              </w:rPr>
            </w:pPr>
            <w:r w:rsidRPr="00CE2185">
              <w:rPr>
                <w:noProof/>
                <w:sz w:val="20"/>
                <w:szCs w:val="20"/>
              </w:rPr>
              <w:t>0/+</w:t>
            </w:r>
          </w:p>
        </w:tc>
        <w:tc>
          <w:tcPr>
            <w:tcW w:w="392" w:type="pct"/>
            <w:tcBorders>
              <w:right w:val="single" w:sz="12" w:space="0" w:color="auto"/>
            </w:tcBorders>
            <w:shd w:val="clear" w:color="auto" w:fill="FFFFFF" w:themeFill="background1"/>
            <w:vAlign w:val="center"/>
          </w:tcPr>
          <w:p w14:paraId="409972FD"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vAlign w:val="center"/>
          </w:tcPr>
          <w:p w14:paraId="59DD3B76" w14:textId="77777777" w:rsidR="000D0808" w:rsidRPr="00CE2185" w:rsidRDefault="000D0808" w:rsidP="00641B35">
            <w:pPr>
              <w:spacing w:after="0"/>
              <w:jc w:val="center"/>
              <w:rPr>
                <w:noProof/>
                <w:sz w:val="20"/>
                <w:szCs w:val="20"/>
              </w:rPr>
            </w:pPr>
            <w:r w:rsidRPr="00CE2185">
              <w:rPr>
                <w:noProof/>
                <w:sz w:val="20"/>
                <w:szCs w:val="20"/>
              </w:rPr>
              <w:t>0/+</w:t>
            </w:r>
          </w:p>
        </w:tc>
        <w:tc>
          <w:tcPr>
            <w:tcW w:w="380" w:type="pct"/>
            <w:shd w:val="clear" w:color="auto" w:fill="FFFFFF" w:themeFill="background1"/>
            <w:vAlign w:val="center"/>
          </w:tcPr>
          <w:p w14:paraId="173EF8C2" w14:textId="77777777" w:rsidR="000D0808" w:rsidRPr="00CE2185" w:rsidRDefault="000D0808" w:rsidP="00641B35">
            <w:pPr>
              <w:spacing w:after="0"/>
              <w:jc w:val="center"/>
              <w:rPr>
                <w:noProof/>
                <w:sz w:val="20"/>
                <w:szCs w:val="20"/>
              </w:rPr>
            </w:pPr>
            <w:r w:rsidRPr="00CE2185">
              <w:rPr>
                <w:noProof/>
                <w:sz w:val="20"/>
                <w:szCs w:val="20"/>
              </w:rPr>
              <w:t>+(+)</w:t>
            </w:r>
          </w:p>
          <w:p w14:paraId="65D9EA9D" w14:textId="77777777" w:rsidR="000D0808" w:rsidRPr="00CE2185" w:rsidRDefault="000D0808" w:rsidP="00641B35">
            <w:pPr>
              <w:spacing w:after="0"/>
              <w:jc w:val="center"/>
              <w:rPr>
                <w:noProof/>
                <w:sz w:val="20"/>
                <w:szCs w:val="20"/>
              </w:rPr>
            </w:pPr>
            <w:r w:rsidRPr="00CE2185">
              <w:rPr>
                <w:noProof/>
                <w:sz w:val="20"/>
                <w:szCs w:val="20"/>
              </w:rPr>
              <w:t>(D2/3)</w:t>
            </w:r>
          </w:p>
        </w:tc>
        <w:tc>
          <w:tcPr>
            <w:tcW w:w="380" w:type="pct"/>
            <w:tcBorders>
              <w:right w:val="single" w:sz="12" w:space="0" w:color="auto"/>
            </w:tcBorders>
            <w:shd w:val="clear" w:color="auto" w:fill="FFFFFF" w:themeFill="background1"/>
            <w:vAlign w:val="center"/>
          </w:tcPr>
          <w:p w14:paraId="740A7574" w14:textId="77777777" w:rsidR="000D0808" w:rsidRPr="00CE2185" w:rsidRDefault="000D0808" w:rsidP="00641B35">
            <w:pPr>
              <w:spacing w:after="0"/>
              <w:jc w:val="center"/>
              <w:rPr>
                <w:noProof/>
                <w:sz w:val="20"/>
                <w:szCs w:val="20"/>
              </w:rPr>
            </w:pPr>
            <w:r w:rsidRPr="00CE2185">
              <w:rPr>
                <w:noProof/>
                <w:sz w:val="20"/>
                <w:szCs w:val="20"/>
              </w:rPr>
              <w:t>++(+)</w:t>
            </w:r>
          </w:p>
          <w:p w14:paraId="5048DCF9" w14:textId="77777777" w:rsidR="000D0808" w:rsidRPr="00CE2185" w:rsidRDefault="000D0808" w:rsidP="00641B35">
            <w:pPr>
              <w:spacing w:after="0"/>
              <w:jc w:val="center"/>
              <w:rPr>
                <w:noProof/>
                <w:sz w:val="20"/>
                <w:szCs w:val="20"/>
              </w:rPr>
            </w:pPr>
            <w:r w:rsidRPr="00CE2185">
              <w:rPr>
                <w:noProof/>
                <w:sz w:val="20"/>
                <w:szCs w:val="20"/>
              </w:rPr>
              <w:t>(D2/3)</w:t>
            </w:r>
          </w:p>
        </w:tc>
        <w:tc>
          <w:tcPr>
            <w:tcW w:w="283" w:type="pct"/>
            <w:tcBorders>
              <w:left w:val="single" w:sz="12" w:space="0" w:color="auto"/>
            </w:tcBorders>
            <w:shd w:val="clear" w:color="auto" w:fill="FFFFFF" w:themeFill="background1"/>
            <w:vAlign w:val="center"/>
          </w:tcPr>
          <w:p w14:paraId="165223C9" w14:textId="77777777" w:rsidR="000D0808" w:rsidRPr="00CE2185" w:rsidRDefault="000D0808" w:rsidP="00641B35">
            <w:pPr>
              <w:spacing w:after="0"/>
              <w:jc w:val="center"/>
              <w:rPr>
                <w:b/>
                <w:bCs/>
                <w:noProof/>
                <w:sz w:val="20"/>
                <w:szCs w:val="20"/>
              </w:rPr>
            </w:pPr>
            <w:r w:rsidRPr="00CE2185">
              <w:rPr>
                <w:b/>
                <w:bCs/>
                <w:noProof/>
                <w:sz w:val="20"/>
                <w:szCs w:val="20"/>
              </w:rPr>
              <w:t>+</w:t>
            </w:r>
          </w:p>
        </w:tc>
        <w:tc>
          <w:tcPr>
            <w:tcW w:w="378" w:type="pct"/>
            <w:shd w:val="clear" w:color="auto" w:fill="FFFFFF" w:themeFill="background1"/>
            <w:vAlign w:val="center"/>
          </w:tcPr>
          <w:p w14:paraId="68339C00"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1EF49EDE" w14:textId="77777777" w:rsidR="000D0808" w:rsidRPr="00CE2185" w:rsidRDefault="000D0808" w:rsidP="00641B35">
            <w:pPr>
              <w:spacing w:after="0"/>
              <w:jc w:val="center"/>
              <w:rPr>
                <w:b/>
                <w:bCs/>
                <w:noProof/>
                <w:sz w:val="20"/>
                <w:szCs w:val="20"/>
              </w:rPr>
            </w:pPr>
            <w:r w:rsidRPr="00CE2185">
              <w:rPr>
                <w:b/>
                <w:bCs/>
                <w:noProof/>
                <w:sz w:val="20"/>
                <w:szCs w:val="20"/>
              </w:rPr>
              <w:t>+++</w:t>
            </w:r>
          </w:p>
        </w:tc>
        <w:tc>
          <w:tcPr>
            <w:tcW w:w="302" w:type="pct"/>
            <w:tcBorders>
              <w:left w:val="single" w:sz="12" w:space="0" w:color="auto"/>
            </w:tcBorders>
            <w:shd w:val="clear" w:color="auto" w:fill="FFFFFF" w:themeFill="background1"/>
          </w:tcPr>
          <w:p w14:paraId="297F6F96"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tcPr>
          <w:p w14:paraId="18E8852B"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2B497486" w14:textId="77777777" w:rsidR="000D0808" w:rsidRPr="00CE2185" w:rsidRDefault="000D0808" w:rsidP="00641B35">
            <w:pPr>
              <w:spacing w:after="0"/>
              <w:jc w:val="center"/>
              <w:rPr>
                <w:noProof/>
                <w:sz w:val="20"/>
                <w:szCs w:val="20"/>
              </w:rPr>
            </w:pPr>
            <w:r w:rsidRPr="00CE2185">
              <w:rPr>
                <w:noProof/>
                <w:sz w:val="20"/>
                <w:szCs w:val="20"/>
              </w:rPr>
              <w:t>++/+++</w:t>
            </w:r>
          </w:p>
        </w:tc>
      </w:tr>
      <w:tr w:rsidR="000D0808" w:rsidRPr="00CE2185" w14:paraId="7DA8F15D" w14:textId="77777777" w:rsidTr="00641B35">
        <w:trPr>
          <w:tblHeader/>
        </w:trPr>
        <w:tc>
          <w:tcPr>
            <w:tcW w:w="789" w:type="pct"/>
            <w:tcBorders>
              <w:right w:val="single" w:sz="12" w:space="0" w:color="auto"/>
            </w:tcBorders>
            <w:shd w:val="clear" w:color="auto" w:fill="E5DFEC" w:themeFill="accent4" w:themeFillTint="33"/>
          </w:tcPr>
          <w:p w14:paraId="1C930BCD" w14:textId="77777777" w:rsidR="000D0808" w:rsidRPr="00CE2185" w:rsidRDefault="000D0808" w:rsidP="00641B35">
            <w:pPr>
              <w:spacing w:after="0"/>
              <w:rPr>
                <w:b/>
                <w:bCs/>
                <w:noProof/>
                <w:sz w:val="20"/>
                <w:szCs w:val="20"/>
              </w:rPr>
            </w:pPr>
            <w:r w:rsidRPr="00CE2185">
              <w:rPr>
                <w:b/>
                <w:bCs/>
                <w:noProof/>
                <w:sz w:val="20"/>
                <w:szCs w:val="20"/>
              </w:rPr>
              <w:t>Trade, innovation &amp; competitiveness</w:t>
            </w:r>
          </w:p>
        </w:tc>
        <w:tc>
          <w:tcPr>
            <w:tcW w:w="324" w:type="pct"/>
            <w:tcBorders>
              <w:left w:val="single" w:sz="12" w:space="0" w:color="auto"/>
            </w:tcBorders>
            <w:shd w:val="clear" w:color="auto" w:fill="FFFFFF" w:themeFill="background1"/>
            <w:vAlign w:val="center"/>
          </w:tcPr>
          <w:p w14:paraId="50387DD4"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vAlign w:val="center"/>
          </w:tcPr>
          <w:p w14:paraId="22401D5C" w14:textId="77777777" w:rsidR="000D0808" w:rsidRPr="00CE2185" w:rsidRDefault="000D0808" w:rsidP="00641B35">
            <w:pPr>
              <w:spacing w:after="0"/>
              <w:jc w:val="center"/>
              <w:rPr>
                <w:noProof/>
                <w:sz w:val="20"/>
                <w:szCs w:val="20"/>
              </w:rPr>
            </w:pPr>
            <w:r w:rsidRPr="00CE2185">
              <w:rPr>
                <w:noProof/>
                <w:sz w:val="20"/>
                <w:szCs w:val="20"/>
              </w:rPr>
              <w:t>+</w:t>
            </w:r>
          </w:p>
        </w:tc>
        <w:tc>
          <w:tcPr>
            <w:tcW w:w="392" w:type="pct"/>
            <w:tcBorders>
              <w:right w:val="single" w:sz="12" w:space="0" w:color="auto"/>
            </w:tcBorders>
            <w:shd w:val="clear" w:color="auto" w:fill="FFFFFF" w:themeFill="background1"/>
            <w:vAlign w:val="center"/>
          </w:tcPr>
          <w:p w14:paraId="10B3291E" w14:textId="77777777" w:rsidR="000D0808" w:rsidRPr="00CE2185" w:rsidRDefault="000D0808" w:rsidP="00641B35">
            <w:pPr>
              <w:spacing w:after="0"/>
              <w:jc w:val="center"/>
              <w:rPr>
                <w:noProof/>
                <w:sz w:val="20"/>
                <w:szCs w:val="20"/>
              </w:rPr>
            </w:pPr>
            <w:r w:rsidRPr="00CE2185">
              <w:rPr>
                <w:noProof/>
                <w:sz w:val="20"/>
                <w:szCs w:val="20"/>
              </w:rPr>
              <w:t>+</w:t>
            </w:r>
          </w:p>
        </w:tc>
        <w:tc>
          <w:tcPr>
            <w:tcW w:w="324" w:type="pct"/>
            <w:shd w:val="clear" w:color="auto" w:fill="FFFFFF" w:themeFill="background1"/>
            <w:vAlign w:val="center"/>
          </w:tcPr>
          <w:p w14:paraId="443D1D72" w14:textId="77777777" w:rsidR="000D0808" w:rsidRPr="00CE2185" w:rsidRDefault="000D0808" w:rsidP="00641B35">
            <w:pPr>
              <w:spacing w:after="0"/>
              <w:jc w:val="center"/>
              <w:rPr>
                <w:noProof/>
                <w:sz w:val="20"/>
                <w:szCs w:val="20"/>
              </w:rPr>
            </w:pPr>
            <w:r w:rsidRPr="00CE2185">
              <w:rPr>
                <w:noProof/>
                <w:sz w:val="20"/>
                <w:szCs w:val="20"/>
              </w:rPr>
              <w:t>0/+</w:t>
            </w:r>
          </w:p>
        </w:tc>
        <w:tc>
          <w:tcPr>
            <w:tcW w:w="380" w:type="pct"/>
            <w:shd w:val="clear" w:color="auto" w:fill="FFFFFF" w:themeFill="background1"/>
            <w:vAlign w:val="center"/>
          </w:tcPr>
          <w:p w14:paraId="779F6512"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38F54865" w14:textId="77777777" w:rsidR="000D0808" w:rsidRPr="00CE2185" w:rsidRDefault="000D0808" w:rsidP="00641B35">
            <w:pPr>
              <w:spacing w:after="0"/>
              <w:jc w:val="center"/>
              <w:rPr>
                <w:b/>
                <w:bCs/>
                <w:noProof/>
                <w:sz w:val="20"/>
                <w:szCs w:val="20"/>
              </w:rPr>
            </w:pPr>
            <w:r w:rsidRPr="00CE2185">
              <w:rPr>
                <w:b/>
                <w:bCs/>
                <w:noProof/>
                <w:sz w:val="20"/>
                <w:szCs w:val="20"/>
              </w:rPr>
              <w:t>-</w:t>
            </w:r>
          </w:p>
        </w:tc>
        <w:tc>
          <w:tcPr>
            <w:tcW w:w="283" w:type="pct"/>
            <w:tcBorders>
              <w:left w:val="single" w:sz="12" w:space="0" w:color="auto"/>
            </w:tcBorders>
            <w:shd w:val="clear" w:color="auto" w:fill="FFFFFF" w:themeFill="background1"/>
            <w:vAlign w:val="center"/>
          </w:tcPr>
          <w:p w14:paraId="34E7110D" w14:textId="77777777" w:rsidR="000D0808" w:rsidRPr="00CE2185" w:rsidRDefault="000D0808" w:rsidP="00641B35">
            <w:pPr>
              <w:spacing w:after="0"/>
              <w:jc w:val="center"/>
              <w:rPr>
                <w:noProof/>
                <w:sz w:val="20"/>
                <w:szCs w:val="20"/>
              </w:rPr>
            </w:pPr>
            <w:r w:rsidRPr="00CE2185">
              <w:rPr>
                <w:noProof/>
                <w:sz w:val="20"/>
                <w:szCs w:val="20"/>
              </w:rPr>
              <w:t>0/+</w:t>
            </w:r>
          </w:p>
        </w:tc>
        <w:tc>
          <w:tcPr>
            <w:tcW w:w="378" w:type="pct"/>
            <w:shd w:val="clear" w:color="auto" w:fill="FFFFFF" w:themeFill="background1"/>
            <w:vAlign w:val="center"/>
          </w:tcPr>
          <w:p w14:paraId="1F85E8B5"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6F3D1815" w14:textId="77777777" w:rsidR="000D0808" w:rsidRPr="00CE2185" w:rsidRDefault="000D0808" w:rsidP="00641B35">
            <w:pPr>
              <w:spacing w:after="0"/>
              <w:jc w:val="center"/>
              <w:rPr>
                <w:noProof/>
                <w:sz w:val="20"/>
                <w:szCs w:val="20"/>
              </w:rPr>
            </w:pPr>
            <w:r w:rsidRPr="00CE2185">
              <w:rPr>
                <w:noProof/>
                <w:sz w:val="20"/>
                <w:szCs w:val="20"/>
              </w:rPr>
              <w:t>++(-)</w:t>
            </w:r>
          </w:p>
        </w:tc>
        <w:tc>
          <w:tcPr>
            <w:tcW w:w="302" w:type="pct"/>
            <w:tcBorders>
              <w:left w:val="single" w:sz="12" w:space="0" w:color="auto"/>
            </w:tcBorders>
            <w:shd w:val="clear" w:color="auto" w:fill="FFFFFF" w:themeFill="background1"/>
          </w:tcPr>
          <w:p w14:paraId="15D1BD8A"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tcPr>
          <w:p w14:paraId="2A611DCB"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6AC0B33C" w14:textId="77777777" w:rsidR="000D0808" w:rsidRPr="00CE2185" w:rsidRDefault="000D0808" w:rsidP="00641B35">
            <w:pPr>
              <w:spacing w:after="0"/>
              <w:jc w:val="center"/>
              <w:rPr>
                <w:b/>
                <w:bCs/>
                <w:noProof/>
                <w:sz w:val="20"/>
                <w:szCs w:val="20"/>
              </w:rPr>
            </w:pPr>
            <w:r w:rsidRPr="00CE2185">
              <w:rPr>
                <w:b/>
                <w:bCs/>
                <w:noProof/>
                <w:sz w:val="20"/>
                <w:szCs w:val="20"/>
              </w:rPr>
              <w:t>++</w:t>
            </w:r>
          </w:p>
        </w:tc>
      </w:tr>
      <w:tr w:rsidR="000D0808" w:rsidRPr="00CE2185" w14:paraId="55434F2D" w14:textId="77777777" w:rsidTr="00641B35">
        <w:trPr>
          <w:tblHeader/>
        </w:trPr>
        <w:tc>
          <w:tcPr>
            <w:tcW w:w="789" w:type="pct"/>
            <w:tcBorders>
              <w:right w:val="single" w:sz="12" w:space="0" w:color="auto"/>
            </w:tcBorders>
            <w:shd w:val="clear" w:color="auto" w:fill="E5DFEC" w:themeFill="accent4" w:themeFillTint="33"/>
          </w:tcPr>
          <w:p w14:paraId="5540848E" w14:textId="77777777" w:rsidR="000D0808" w:rsidRPr="00CE2185" w:rsidRDefault="000D0808" w:rsidP="00641B35">
            <w:pPr>
              <w:spacing w:after="0"/>
              <w:rPr>
                <w:b/>
                <w:bCs/>
                <w:noProof/>
                <w:sz w:val="20"/>
                <w:szCs w:val="20"/>
              </w:rPr>
            </w:pPr>
            <w:r w:rsidRPr="00CE2185">
              <w:rPr>
                <w:b/>
                <w:bCs/>
                <w:noProof/>
                <w:sz w:val="20"/>
                <w:szCs w:val="20"/>
              </w:rPr>
              <w:t xml:space="preserve">SMEs </w:t>
            </w:r>
          </w:p>
        </w:tc>
        <w:tc>
          <w:tcPr>
            <w:tcW w:w="324" w:type="pct"/>
            <w:tcBorders>
              <w:left w:val="single" w:sz="12" w:space="0" w:color="auto"/>
            </w:tcBorders>
            <w:shd w:val="clear" w:color="auto" w:fill="FFFFFF" w:themeFill="background1"/>
            <w:vAlign w:val="center"/>
          </w:tcPr>
          <w:p w14:paraId="272A1A86"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vAlign w:val="center"/>
          </w:tcPr>
          <w:p w14:paraId="15483F7A" w14:textId="77777777" w:rsidR="000D0808" w:rsidRPr="00CE2185" w:rsidRDefault="000D0808" w:rsidP="00641B35">
            <w:pPr>
              <w:spacing w:after="0"/>
              <w:jc w:val="center"/>
              <w:rPr>
                <w:noProof/>
                <w:sz w:val="20"/>
                <w:szCs w:val="20"/>
              </w:rPr>
            </w:pPr>
            <w:r w:rsidRPr="00CE2185">
              <w:rPr>
                <w:noProof/>
                <w:sz w:val="20"/>
                <w:szCs w:val="20"/>
              </w:rPr>
              <w:t>+</w:t>
            </w:r>
          </w:p>
        </w:tc>
        <w:tc>
          <w:tcPr>
            <w:tcW w:w="392" w:type="pct"/>
            <w:tcBorders>
              <w:right w:val="single" w:sz="12" w:space="0" w:color="auto"/>
            </w:tcBorders>
            <w:shd w:val="clear" w:color="auto" w:fill="FFFFFF" w:themeFill="background1"/>
            <w:vAlign w:val="center"/>
          </w:tcPr>
          <w:p w14:paraId="0FB7F906" w14:textId="77777777" w:rsidR="000D0808" w:rsidRPr="00CE2185" w:rsidRDefault="000D0808" w:rsidP="00641B35">
            <w:pPr>
              <w:spacing w:after="0"/>
              <w:jc w:val="center"/>
              <w:rPr>
                <w:noProof/>
                <w:sz w:val="20"/>
                <w:szCs w:val="20"/>
              </w:rPr>
            </w:pPr>
            <w:r w:rsidRPr="00CE2185">
              <w:rPr>
                <w:noProof/>
                <w:sz w:val="20"/>
                <w:szCs w:val="20"/>
              </w:rPr>
              <w:t>+</w:t>
            </w:r>
          </w:p>
        </w:tc>
        <w:tc>
          <w:tcPr>
            <w:tcW w:w="324" w:type="pct"/>
            <w:shd w:val="clear" w:color="auto" w:fill="FFFFFF" w:themeFill="background1"/>
            <w:vAlign w:val="center"/>
          </w:tcPr>
          <w:p w14:paraId="1FD91C85" w14:textId="77777777" w:rsidR="000D0808" w:rsidRPr="00CE2185" w:rsidRDefault="000D0808" w:rsidP="00641B35">
            <w:pPr>
              <w:spacing w:after="0"/>
              <w:rPr>
                <w:noProof/>
                <w:sz w:val="20"/>
                <w:szCs w:val="20"/>
              </w:rPr>
            </w:pPr>
            <w:r w:rsidRPr="00CE2185">
              <w:rPr>
                <w:noProof/>
                <w:sz w:val="20"/>
                <w:szCs w:val="20"/>
              </w:rPr>
              <w:t>0/+</w:t>
            </w:r>
          </w:p>
        </w:tc>
        <w:tc>
          <w:tcPr>
            <w:tcW w:w="380" w:type="pct"/>
            <w:shd w:val="clear" w:color="auto" w:fill="FFFFFF" w:themeFill="background1"/>
            <w:vAlign w:val="center"/>
          </w:tcPr>
          <w:p w14:paraId="6727DCC7"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7F4D9C8D" w14:textId="77777777" w:rsidR="000D0808" w:rsidRPr="00CE2185" w:rsidRDefault="000D0808" w:rsidP="00641B35">
            <w:pPr>
              <w:spacing w:after="0"/>
              <w:rPr>
                <w:noProof/>
                <w:sz w:val="20"/>
                <w:szCs w:val="20"/>
              </w:rPr>
            </w:pPr>
            <w:r w:rsidRPr="00CE2185">
              <w:rPr>
                <w:noProof/>
                <w:sz w:val="20"/>
                <w:szCs w:val="20"/>
              </w:rPr>
              <w:t>N.A</w:t>
            </w:r>
          </w:p>
        </w:tc>
        <w:tc>
          <w:tcPr>
            <w:tcW w:w="283" w:type="pct"/>
            <w:tcBorders>
              <w:left w:val="single" w:sz="12" w:space="0" w:color="auto"/>
            </w:tcBorders>
            <w:shd w:val="clear" w:color="auto" w:fill="FFFFFF" w:themeFill="background1"/>
            <w:vAlign w:val="center"/>
          </w:tcPr>
          <w:p w14:paraId="5F7BBA64" w14:textId="77777777" w:rsidR="000D0808" w:rsidRPr="00CE2185" w:rsidRDefault="000D0808" w:rsidP="00641B35">
            <w:pPr>
              <w:spacing w:after="0"/>
              <w:jc w:val="center"/>
              <w:rPr>
                <w:noProof/>
                <w:sz w:val="20"/>
                <w:szCs w:val="20"/>
              </w:rPr>
            </w:pPr>
            <w:r w:rsidRPr="00CE2185">
              <w:rPr>
                <w:noProof/>
                <w:sz w:val="20"/>
                <w:szCs w:val="20"/>
              </w:rPr>
              <w:t>0/+</w:t>
            </w:r>
          </w:p>
        </w:tc>
        <w:tc>
          <w:tcPr>
            <w:tcW w:w="378" w:type="pct"/>
            <w:shd w:val="clear" w:color="auto" w:fill="FFFFFF" w:themeFill="background1"/>
            <w:vAlign w:val="center"/>
          </w:tcPr>
          <w:p w14:paraId="28AA8132"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302B2019" w14:textId="77777777" w:rsidR="000D0808" w:rsidRPr="00CE2185" w:rsidRDefault="000D0808" w:rsidP="00641B35">
            <w:pPr>
              <w:spacing w:after="0"/>
              <w:jc w:val="center"/>
              <w:rPr>
                <w:noProof/>
                <w:sz w:val="20"/>
                <w:szCs w:val="20"/>
              </w:rPr>
            </w:pPr>
            <w:r w:rsidRPr="00CE2185">
              <w:rPr>
                <w:noProof/>
                <w:sz w:val="20"/>
                <w:szCs w:val="20"/>
              </w:rPr>
              <w:t>++</w:t>
            </w:r>
          </w:p>
        </w:tc>
        <w:tc>
          <w:tcPr>
            <w:tcW w:w="302" w:type="pct"/>
            <w:tcBorders>
              <w:left w:val="single" w:sz="12" w:space="0" w:color="auto"/>
            </w:tcBorders>
            <w:shd w:val="clear" w:color="auto" w:fill="FFFFFF" w:themeFill="background1"/>
          </w:tcPr>
          <w:p w14:paraId="017B3D1F" w14:textId="77777777" w:rsidR="000D0808" w:rsidRPr="00CE2185" w:rsidRDefault="000D0808" w:rsidP="00641B35">
            <w:pPr>
              <w:spacing w:after="0"/>
              <w:jc w:val="center"/>
              <w:rPr>
                <w:noProof/>
                <w:sz w:val="20"/>
                <w:szCs w:val="20"/>
              </w:rPr>
            </w:pPr>
            <w:r w:rsidRPr="00CE2185">
              <w:rPr>
                <w:noProof/>
                <w:sz w:val="20"/>
                <w:szCs w:val="20"/>
              </w:rPr>
              <w:t>(+)(-)</w:t>
            </w:r>
          </w:p>
        </w:tc>
        <w:tc>
          <w:tcPr>
            <w:tcW w:w="324" w:type="pct"/>
            <w:shd w:val="clear" w:color="auto" w:fill="FFFFFF" w:themeFill="background1"/>
          </w:tcPr>
          <w:p w14:paraId="6FE48029"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2C15A40D" w14:textId="77777777" w:rsidR="000D0808" w:rsidRPr="00CE2185" w:rsidRDefault="000D0808" w:rsidP="00641B35">
            <w:pPr>
              <w:spacing w:after="0"/>
              <w:jc w:val="center"/>
              <w:rPr>
                <w:noProof/>
                <w:sz w:val="20"/>
                <w:szCs w:val="20"/>
              </w:rPr>
            </w:pPr>
            <w:r w:rsidRPr="00CE2185">
              <w:rPr>
                <w:noProof/>
                <w:sz w:val="20"/>
                <w:szCs w:val="20"/>
              </w:rPr>
              <w:t>(+)(-)</w:t>
            </w:r>
          </w:p>
        </w:tc>
      </w:tr>
      <w:tr w:rsidR="000D0808" w:rsidRPr="00CE2185" w14:paraId="7BA028C2" w14:textId="77777777" w:rsidTr="00641B35">
        <w:trPr>
          <w:tblHeader/>
        </w:trPr>
        <w:tc>
          <w:tcPr>
            <w:tcW w:w="789" w:type="pct"/>
            <w:tcBorders>
              <w:right w:val="single" w:sz="12" w:space="0" w:color="auto"/>
            </w:tcBorders>
            <w:shd w:val="clear" w:color="auto" w:fill="F2CEED"/>
          </w:tcPr>
          <w:p w14:paraId="124163FE" w14:textId="77777777" w:rsidR="000D0808" w:rsidRPr="00CE2185" w:rsidRDefault="000D0808" w:rsidP="00641B35">
            <w:pPr>
              <w:spacing w:after="0"/>
              <w:rPr>
                <w:b/>
                <w:bCs/>
                <w:noProof/>
                <w:sz w:val="20"/>
                <w:szCs w:val="20"/>
              </w:rPr>
            </w:pPr>
            <w:r w:rsidRPr="00CE2185">
              <w:rPr>
                <w:b/>
                <w:bCs/>
                <w:noProof/>
                <w:sz w:val="20"/>
                <w:szCs w:val="20"/>
              </w:rPr>
              <w:t xml:space="preserve">Cyber resilience/ Technological sovereignty </w:t>
            </w:r>
            <w:r w:rsidRPr="00CE2185">
              <w:rPr>
                <w:noProof/>
                <w:sz w:val="20"/>
                <w:szCs w:val="20"/>
              </w:rPr>
              <w:t>(citizens, businesses and public authorities)</w:t>
            </w:r>
          </w:p>
        </w:tc>
        <w:tc>
          <w:tcPr>
            <w:tcW w:w="324" w:type="pct"/>
            <w:tcBorders>
              <w:left w:val="single" w:sz="12" w:space="0" w:color="auto"/>
            </w:tcBorders>
            <w:shd w:val="clear" w:color="auto" w:fill="FFFFFF" w:themeFill="background1"/>
            <w:vAlign w:val="center"/>
          </w:tcPr>
          <w:p w14:paraId="71A5B74D" w14:textId="77777777" w:rsidR="000D0808" w:rsidRPr="00CE2185" w:rsidRDefault="000D0808" w:rsidP="00641B35">
            <w:pPr>
              <w:spacing w:after="0"/>
              <w:rPr>
                <w:noProof/>
                <w:sz w:val="20"/>
                <w:szCs w:val="20"/>
              </w:rPr>
            </w:pPr>
            <w:r w:rsidRPr="00CE2185">
              <w:rPr>
                <w:noProof/>
                <w:sz w:val="20"/>
                <w:szCs w:val="20"/>
              </w:rPr>
              <w:t>+</w:t>
            </w:r>
          </w:p>
        </w:tc>
        <w:tc>
          <w:tcPr>
            <w:tcW w:w="324" w:type="pct"/>
            <w:shd w:val="clear" w:color="auto" w:fill="FFFFFF" w:themeFill="background1"/>
            <w:vAlign w:val="center"/>
          </w:tcPr>
          <w:p w14:paraId="7D75EF5E" w14:textId="77777777" w:rsidR="000D0808" w:rsidRPr="00CE2185" w:rsidRDefault="000D0808" w:rsidP="00641B35">
            <w:pPr>
              <w:spacing w:after="0"/>
              <w:rPr>
                <w:noProof/>
                <w:sz w:val="20"/>
                <w:szCs w:val="20"/>
              </w:rPr>
            </w:pPr>
            <w:r w:rsidRPr="00CE2185">
              <w:rPr>
                <w:noProof/>
                <w:sz w:val="20"/>
                <w:szCs w:val="20"/>
              </w:rPr>
              <w:t>++</w:t>
            </w:r>
          </w:p>
          <w:p w14:paraId="306CE6A8" w14:textId="77777777" w:rsidR="000D0808" w:rsidRPr="00CE2185" w:rsidRDefault="000D0808" w:rsidP="00641B35">
            <w:pPr>
              <w:spacing w:after="0"/>
              <w:rPr>
                <w:b/>
                <w:bCs/>
                <w:noProof/>
                <w:sz w:val="20"/>
                <w:szCs w:val="20"/>
              </w:rPr>
            </w:pPr>
            <w:r w:rsidRPr="00CE2185">
              <w:rPr>
                <w:b/>
                <w:bCs/>
                <w:noProof/>
                <w:sz w:val="20"/>
                <w:szCs w:val="20"/>
              </w:rPr>
              <w:t>EUR 3.7 to 4.4 bn over five years *</w:t>
            </w:r>
          </w:p>
        </w:tc>
        <w:tc>
          <w:tcPr>
            <w:tcW w:w="392" w:type="pct"/>
            <w:tcBorders>
              <w:right w:val="single" w:sz="12" w:space="0" w:color="auto"/>
            </w:tcBorders>
            <w:shd w:val="clear" w:color="auto" w:fill="FFFFFF" w:themeFill="background1"/>
            <w:vAlign w:val="center"/>
          </w:tcPr>
          <w:p w14:paraId="5CD97819" w14:textId="77777777" w:rsidR="000D0808" w:rsidRPr="00CE2185" w:rsidRDefault="000D0808" w:rsidP="00641B35">
            <w:pPr>
              <w:spacing w:after="0"/>
              <w:rPr>
                <w:noProof/>
                <w:sz w:val="20"/>
                <w:szCs w:val="20"/>
              </w:rPr>
            </w:pPr>
            <w:r w:rsidRPr="00CE2185">
              <w:rPr>
                <w:noProof/>
                <w:sz w:val="20"/>
                <w:szCs w:val="20"/>
              </w:rPr>
              <w:t>+++</w:t>
            </w:r>
          </w:p>
          <w:p w14:paraId="1DE13259" w14:textId="77777777" w:rsidR="000D0808" w:rsidRPr="00CE2185" w:rsidRDefault="000D0808" w:rsidP="00641B35">
            <w:pPr>
              <w:spacing w:after="0"/>
              <w:rPr>
                <w:b/>
                <w:bCs/>
                <w:noProof/>
                <w:sz w:val="20"/>
                <w:szCs w:val="20"/>
              </w:rPr>
            </w:pPr>
            <w:r w:rsidRPr="00CE2185">
              <w:rPr>
                <w:b/>
                <w:bCs/>
                <w:noProof/>
                <w:sz w:val="20"/>
                <w:szCs w:val="20"/>
              </w:rPr>
              <w:t>EUR 3.7 to 4.4 bn over five years *</w:t>
            </w:r>
          </w:p>
        </w:tc>
        <w:tc>
          <w:tcPr>
            <w:tcW w:w="324" w:type="pct"/>
            <w:shd w:val="clear" w:color="auto" w:fill="FFFFFF" w:themeFill="background1"/>
            <w:vAlign w:val="center"/>
          </w:tcPr>
          <w:p w14:paraId="63553CF2" w14:textId="77777777" w:rsidR="000D0808" w:rsidRPr="00CE2185" w:rsidRDefault="000D0808" w:rsidP="00641B35">
            <w:pPr>
              <w:spacing w:after="0"/>
              <w:rPr>
                <w:noProof/>
                <w:sz w:val="20"/>
                <w:szCs w:val="20"/>
              </w:rPr>
            </w:pPr>
            <w:r w:rsidRPr="00CE2185">
              <w:rPr>
                <w:noProof/>
                <w:sz w:val="20"/>
                <w:szCs w:val="20"/>
              </w:rPr>
              <w:t>0/+</w:t>
            </w:r>
          </w:p>
          <w:p w14:paraId="58100E18" w14:textId="77777777" w:rsidR="000D0808" w:rsidRPr="00CE2185" w:rsidRDefault="000D0808" w:rsidP="00641B35">
            <w:pPr>
              <w:spacing w:after="0"/>
              <w:rPr>
                <w:noProof/>
                <w:sz w:val="20"/>
                <w:szCs w:val="20"/>
              </w:rPr>
            </w:pPr>
          </w:p>
        </w:tc>
        <w:tc>
          <w:tcPr>
            <w:tcW w:w="380" w:type="pct"/>
            <w:shd w:val="clear" w:color="auto" w:fill="FFFFFF" w:themeFill="background1"/>
            <w:vAlign w:val="center"/>
          </w:tcPr>
          <w:p w14:paraId="7AF9840F" w14:textId="77777777" w:rsidR="000D0808" w:rsidRPr="00CE2185" w:rsidRDefault="000D0808" w:rsidP="00641B35">
            <w:pPr>
              <w:spacing w:after="0"/>
              <w:rPr>
                <w:noProof/>
                <w:sz w:val="20"/>
                <w:szCs w:val="20"/>
              </w:rPr>
            </w:pPr>
            <w:r w:rsidRPr="00CE2185">
              <w:rPr>
                <w:noProof/>
                <w:sz w:val="20"/>
                <w:szCs w:val="20"/>
              </w:rPr>
              <w:t>+(+)</w:t>
            </w:r>
          </w:p>
          <w:p w14:paraId="514C2F61" w14:textId="77777777" w:rsidR="000D0808" w:rsidRPr="00CE2185" w:rsidRDefault="000D0808" w:rsidP="00641B35">
            <w:pPr>
              <w:spacing w:after="0"/>
              <w:rPr>
                <w:noProof/>
                <w:sz w:val="20"/>
                <w:szCs w:val="20"/>
              </w:rPr>
            </w:pPr>
            <w:r w:rsidRPr="00CE2185">
              <w:rPr>
                <w:noProof/>
                <w:sz w:val="20"/>
                <w:szCs w:val="20"/>
              </w:rPr>
              <w:t>(D2/3)</w:t>
            </w:r>
          </w:p>
        </w:tc>
        <w:tc>
          <w:tcPr>
            <w:tcW w:w="380" w:type="pct"/>
            <w:tcBorders>
              <w:right w:val="single" w:sz="12" w:space="0" w:color="auto"/>
            </w:tcBorders>
            <w:shd w:val="clear" w:color="auto" w:fill="FFFFFF" w:themeFill="background1"/>
            <w:vAlign w:val="center"/>
          </w:tcPr>
          <w:p w14:paraId="72C286DC" w14:textId="77777777" w:rsidR="000D0808" w:rsidRPr="00CE2185" w:rsidRDefault="000D0808" w:rsidP="00641B35">
            <w:pPr>
              <w:spacing w:after="0"/>
              <w:rPr>
                <w:noProof/>
                <w:sz w:val="20"/>
                <w:szCs w:val="20"/>
              </w:rPr>
            </w:pPr>
            <w:r w:rsidRPr="00CE2185">
              <w:rPr>
                <w:noProof/>
                <w:sz w:val="20"/>
                <w:szCs w:val="20"/>
              </w:rPr>
              <w:t>++(+)</w:t>
            </w:r>
          </w:p>
          <w:p w14:paraId="2BBC91F8" w14:textId="77777777" w:rsidR="000D0808" w:rsidRPr="00CE2185" w:rsidRDefault="000D0808" w:rsidP="00641B35">
            <w:pPr>
              <w:spacing w:after="0"/>
              <w:rPr>
                <w:noProof/>
                <w:sz w:val="20"/>
                <w:szCs w:val="20"/>
              </w:rPr>
            </w:pPr>
            <w:r w:rsidRPr="00CE2185">
              <w:rPr>
                <w:noProof/>
                <w:sz w:val="20"/>
                <w:szCs w:val="20"/>
              </w:rPr>
              <w:t>(D2/3)</w:t>
            </w:r>
          </w:p>
        </w:tc>
        <w:tc>
          <w:tcPr>
            <w:tcW w:w="283" w:type="pct"/>
            <w:tcBorders>
              <w:left w:val="single" w:sz="12" w:space="0" w:color="auto"/>
            </w:tcBorders>
            <w:shd w:val="clear" w:color="auto" w:fill="FFFFFF" w:themeFill="background1"/>
            <w:vAlign w:val="center"/>
          </w:tcPr>
          <w:p w14:paraId="7C38AE3B" w14:textId="77777777" w:rsidR="000D0808" w:rsidRPr="00CE2185" w:rsidRDefault="000D0808" w:rsidP="00641B35">
            <w:pPr>
              <w:spacing w:after="0"/>
              <w:jc w:val="center"/>
              <w:rPr>
                <w:noProof/>
                <w:sz w:val="20"/>
                <w:szCs w:val="20"/>
              </w:rPr>
            </w:pPr>
            <w:r w:rsidRPr="00CE2185">
              <w:rPr>
                <w:noProof/>
                <w:sz w:val="20"/>
                <w:szCs w:val="20"/>
              </w:rPr>
              <w:t>+</w:t>
            </w:r>
          </w:p>
        </w:tc>
        <w:tc>
          <w:tcPr>
            <w:tcW w:w="378" w:type="pct"/>
            <w:shd w:val="clear" w:color="auto" w:fill="FFFFFF" w:themeFill="background1"/>
            <w:vAlign w:val="center"/>
          </w:tcPr>
          <w:p w14:paraId="25811727" w14:textId="77777777" w:rsidR="000D0808" w:rsidRPr="00CE2185" w:rsidRDefault="000D0808" w:rsidP="00641B35">
            <w:pPr>
              <w:spacing w:after="0"/>
              <w:jc w:val="center"/>
              <w:rPr>
                <w:noProof/>
                <w:sz w:val="20"/>
                <w:szCs w:val="20"/>
              </w:rPr>
            </w:pPr>
            <w:r w:rsidRPr="00CE2185">
              <w:rPr>
                <w:noProof/>
                <w:sz w:val="20"/>
                <w:szCs w:val="20"/>
              </w:rPr>
              <w:t>+ (-)</w:t>
            </w:r>
          </w:p>
        </w:tc>
        <w:tc>
          <w:tcPr>
            <w:tcW w:w="380" w:type="pct"/>
            <w:tcBorders>
              <w:right w:val="single" w:sz="12" w:space="0" w:color="auto"/>
            </w:tcBorders>
            <w:shd w:val="clear" w:color="auto" w:fill="FFFFFF" w:themeFill="background1"/>
            <w:vAlign w:val="center"/>
          </w:tcPr>
          <w:p w14:paraId="6462079C" w14:textId="77777777" w:rsidR="000D0808" w:rsidRPr="00CE2185" w:rsidRDefault="000D0808" w:rsidP="00641B35">
            <w:pPr>
              <w:spacing w:after="0"/>
              <w:jc w:val="center"/>
              <w:rPr>
                <w:noProof/>
                <w:sz w:val="20"/>
                <w:szCs w:val="20"/>
              </w:rPr>
            </w:pPr>
            <w:r w:rsidRPr="00CE2185">
              <w:rPr>
                <w:noProof/>
                <w:sz w:val="20"/>
                <w:szCs w:val="20"/>
              </w:rPr>
              <w:t>+(-)</w:t>
            </w:r>
          </w:p>
        </w:tc>
        <w:tc>
          <w:tcPr>
            <w:tcW w:w="302" w:type="pct"/>
            <w:tcBorders>
              <w:left w:val="single" w:sz="12" w:space="0" w:color="auto"/>
            </w:tcBorders>
            <w:shd w:val="clear" w:color="auto" w:fill="FFFFFF" w:themeFill="background1"/>
          </w:tcPr>
          <w:p w14:paraId="1FCAE0B6"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tcPr>
          <w:p w14:paraId="451B7551"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49707E0A" w14:textId="77777777" w:rsidR="000D0808" w:rsidRPr="00CE2185" w:rsidRDefault="000D0808" w:rsidP="00641B35">
            <w:pPr>
              <w:spacing w:after="0"/>
              <w:jc w:val="center"/>
              <w:rPr>
                <w:noProof/>
                <w:sz w:val="20"/>
                <w:szCs w:val="20"/>
              </w:rPr>
            </w:pPr>
            <w:r w:rsidRPr="00CE2185">
              <w:rPr>
                <w:noProof/>
                <w:sz w:val="20"/>
                <w:szCs w:val="20"/>
              </w:rPr>
              <w:t>+ + /+++</w:t>
            </w:r>
          </w:p>
        </w:tc>
      </w:tr>
      <w:tr w:rsidR="000D0808" w:rsidRPr="00CE2185" w14:paraId="4E6343FF" w14:textId="77777777" w:rsidTr="00641B35">
        <w:trPr>
          <w:tblHeader/>
        </w:trPr>
        <w:tc>
          <w:tcPr>
            <w:tcW w:w="789" w:type="pct"/>
            <w:tcBorders>
              <w:right w:val="single" w:sz="12" w:space="0" w:color="auto"/>
            </w:tcBorders>
            <w:shd w:val="clear" w:color="auto" w:fill="C1E4F5"/>
          </w:tcPr>
          <w:p w14:paraId="4A48A698" w14:textId="77777777" w:rsidR="000D0808" w:rsidRPr="00CE2185" w:rsidRDefault="000D0808" w:rsidP="00641B35">
            <w:pPr>
              <w:spacing w:after="0"/>
              <w:rPr>
                <w:b/>
                <w:bCs/>
                <w:noProof/>
                <w:sz w:val="20"/>
                <w:szCs w:val="20"/>
              </w:rPr>
            </w:pPr>
            <w:r w:rsidRPr="00CE2185">
              <w:rPr>
                <w:b/>
                <w:bCs/>
                <w:noProof/>
                <w:sz w:val="20"/>
                <w:szCs w:val="20"/>
              </w:rPr>
              <w:t xml:space="preserve">Social &amp; fundamental rights </w:t>
            </w:r>
            <w:r w:rsidRPr="00CE2185">
              <w:rPr>
                <w:noProof/>
                <w:sz w:val="20"/>
                <w:szCs w:val="20"/>
              </w:rPr>
              <w:t>(citizens)</w:t>
            </w:r>
            <w:r w:rsidRPr="00CE2185">
              <w:rPr>
                <w:b/>
                <w:bCs/>
                <w:noProof/>
                <w:sz w:val="20"/>
                <w:szCs w:val="20"/>
              </w:rPr>
              <w:t xml:space="preserve"> </w:t>
            </w:r>
          </w:p>
        </w:tc>
        <w:tc>
          <w:tcPr>
            <w:tcW w:w="324" w:type="pct"/>
            <w:tcBorders>
              <w:left w:val="single" w:sz="12" w:space="0" w:color="auto"/>
            </w:tcBorders>
            <w:shd w:val="clear" w:color="auto" w:fill="FFFFFF" w:themeFill="background1"/>
            <w:vAlign w:val="center"/>
          </w:tcPr>
          <w:p w14:paraId="602BE278" w14:textId="77777777" w:rsidR="000D0808" w:rsidRPr="00CE2185" w:rsidRDefault="000D0808" w:rsidP="00641B35">
            <w:pPr>
              <w:spacing w:after="0"/>
              <w:rPr>
                <w:noProof/>
                <w:sz w:val="20"/>
                <w:szCs w:val="20"/>
              </w:rPr>
            </w:pPr>
            <w:r w:rsidRPr="00CE2185">
              <w:rPr>
                <w:noProof/>
                <w:sz w:val="20"/>
                <w:szCs w:val="20"/>
              </w:rPr>
              <w:t>0/+</w:t>
            </w:r>
          </w:p>
        </w:tc>
        <w:tc>
          <w:tcPr>
            <w:tcW w:w="324" w:type="pct"/>
            <w:shd w:val="clear" w:color="auto" w:fill="FFFFFF" w:themeFill="background1"/>
            <w:vAlign w:val="center"/>
          </w:tcPr>
          <w:p w14:paraId="0E9BF9DA" w14:textId="77777777" w:rsidR="000D0808" w:rsidRPr="00CE2185" w:rsidRDefault="000D0808" w:rsidP="00641B35">
            <w:pPr>
              <w:spacing w:after="0"/>
              <w:rPr>
                <w:noProof/>
                <w:sz w:val="20"/>
                <w:szCs w:val="20"/>
              </w:rPr>
            </w:pPr>
            <w:r w:rsidRPr="00CE2185">
              <w:rPr>
                <w:noProof/>
                <w:sz w:val="20"/>
                <w:szCs w:val="20"/>
              </w:rPr>
              <w:t>+</w:t>
            </w:r>
          </w:p>
        </w:tc>
        <w:tc>
          <w:tcPr>
            <w:tcW w:w="392" w:type="pct"/>
            <w:tcBorders>
              <w:right w:val="single" w:sz="12" w:space="0" w:color="auto"/>
            </w:tcBorders>
            <w:shd w:val="clear" w:color="auto" w:fill="FFFFFF" w:themeFill="background1"/>
            <w:vAlign w:val="center"/>
          </w:tcPr>
          <w:p w14:paraId="10CCD506" w14:textId="77777777" w:rsidR="000D0808" w:rsidRPr="00CE2185" w:rsidRDefault="000D0808" w:rsidP="00641B35">
            <w:pPr>
              <w:spacing w:after="0"/>
              <w:rPr>
                <w:noProof/>
                <w:sz w:val="20"/>
                <w:szCs w:val="20"/>
              </w:rPr>
            </w:pPr>
            <w:r w:rsidRPr="00CE2185">
              <w:rPr>
                <w:noProof/>
                <w:sz w:val="20"/>
                <w:szCs w:val="20"/>
              </w:rPr>
              <w:t>+</w:t>
            </w:r>
          </w:p>
        </w:tc>
        <w:tc>
          <w:tcPr>
            <w:tcW w:w="324" w:type="pct"/>
            <w:shd w:val="clear" w:color="auto" w:fill="FFFFFF" w:themeFill="background1"/>
            <w:vAlign w:val="center"/>
          </w:tcPr>
          <w:p w14:paraId="1D14FCD5" w14:textId="77777777" w:rsidR="000D0808" w:rsidRPr="00CE2185" w:rsidRDefault="000D0808" w:rsidP="00641B35">
            <w:pPr>
              <w:spacing w:after="0"/>
              <w:rPr>
                <w:noProof/>
                <w:sz w:val="20"/>
                <w:szCs w:val="20"/>
              </w:rPr>
            </w:pPr>
            <w:r w:rsidRPr="00CE2185">
              <w:rPr>
                <w:noProof/>
                <w:sz w:val="20"/>
                <w:szCs w:val="20"/>
              </w:rPr>
              <w:t>0/+</w:t>
            </w:r>
          </w:p>
          <w:p w14:paraId="49342CF4" w14:textId="77777777" w:rsidR="000D0808" w:rsidRPr="00CE2185" w:rsidRDefault="000D0808" w:rsidP="00641B35">
            <w:pPr>
              <w:spacing w:after="0"/>
              <w:rPr>
                <w:noProof/>
                <w:sz w:val="20"/>
                <w:szCs w:val="20"/>
              </w:rPr>
            </w:pPr>
          </w:p>
        </w:tc>
        <w:tc>
          <w:tcPr>
            <w:tcW w:w="380" w:type="pct"/>
            <w:shd w:val="clear" w:color="auto" w:fill="FFFFFF" w:themeFill="background1"/>
            <w:vAlign w:val="center"/>
          </w:tcPr>
          <w:p w14:paraId="71AD619B" w14:textId="77777777" w:rsidR="000D0808" w:rsidRPr="00CE2185" w:rsidRDefault="000D0808" w:rsidP="00641B35">
            <w:pPr>
              <w:spacing w:after="0"/>
              <w:rPr>
                <w:noProof/>
                <w:sz w:val="20"/>
                <w:szCs w:val="20"/>
              </w:rPr>
            </w:pPr>
            <w:r w:rsidRPr="00CE2185">
              <w:rPr>
                <w:noProof/>
                <w:sz w:val="20"/>
                <w:szCs w:val="20"/>
              </w:rPr>
              <w:t>+(+)</w:t>
            </w:r>
          </w:p>
          <w:p w14:paraId="238676C4" w14:textId="77777777" w:rsidR="000D0808" w:rsidRPr="00CE2185" w:rsidRDefault="000D0808" w:rsidP="00641B35">
            <w:pPr>
              <w:spacing w:after="0"/>
              <w:rPr>
                <w:noProof/>
                <w:sz w:val="20"/>
                <w:szCs w:val="20"/>
              </w:rPr>
            </w:pPr>
            <w:r w:rsidRPr="00CE2185">
              <w:rPr>
                <w:noProof/>
                <w:sz w:val="20"/>
                <w:szCs w:val="20"/>
              </w:rPr>
              <w:t>(D2/3)</w:t>
            </w:r>
          </w:p>
        </w:tc>
        <w:tc>
          <w:tcPr>
            <w:tcW w:w="380" w:type="pct"/>
            <w:tcBorders>
              <w:right w:val="single" w:sz="12" w:space="0" w:color="auto"/>
            </w:tcBorders>
            <w:shd w:val="clear" w:color="auto" w:fill="FFFFFF" w:themeFill="background1"/>
            <w:vAlign w:val="center"/>
          </w:tcPr>
          <w:p w14:paraId="7886EFA0" w14:textId="77777777" w:rsidR="000D0808" w:rsidRPr="00CE2185" w:rsidRDefault="000D0808" w:rsidP="00641B35">
            <w:pPr>
              <w:spacing w:after="0"/>
              <w:rPr>
                <w:noProof/>
                <w:sz w:val="20"/>
                <w:szCs w:val="20"/>
              </w:rPr>
            </w:pPr>
            <w:r w:rsidRPr="00CE2185">
              <w:rPr>
                <w:noProof/>
                <w:sz w:val="20"/>
                <w:szCs w:val="20"/>
              </w:rPr>
              <w:t>++(+)</w:t>
            </w:r>
          </w:p>
          <w:p w14:paraId="6BA3D6B1" w14:textId="77777777" w:rsidR="000D0808" w:rsidRPr="00CE2185" w:rsidRDefault="000D0808" w:rsidP="00641B35">
            <w:pPr>
              <w:spacing w:after="0"/>
              <w:rPr>
                <w:noProof/>
                <w:sz w:val="20"/>
                <w:szCs w:val="20"/>
              </w:rPr>
            </w:pPr>
            <w:r w:rsidRPr="00CE2185">
              <w:rPr>
                <w:noProof/>
                <w:sz w:val="20"/>
                <w:szCs w:val="20"/>
              </w:rPr>
              <w:t>(D2/3)</w:t>
            </w:r>
          </w:p>
        </w:tc>
        <w:tc>
          <w:tcPr>
            <w:tcW w:w="283" w:type="pct"/>
            <w:tcBorders>
              <w:left w:val="single" w:sz="12" w:space="0" w:color="auto"/>
            </w:tcBorders>
            <w:shd w:val="clear" w:color="auto" w:fill="FFFFFF" w:themeFill="background1"/>
            <w:vAlign w:val="center"/>
          </w:tcPr>
          <w:p w14:paraId="07703107" w14:textId="77777777" w:rsidR="000D0808" w:rsidRPr="00CE2185" w:rsidRDefault="000D0808" w:rsidP="00641B35">
            <w:pPr>
              <w:spacing w:after="0"/>
              <w:jc w:val="center"/>
              <w:rPr>
                <w:noProof/>
                <w:sz w:val="20"/>
                <w:szCs w:val="20"/>
              </w:rPr>
            </w:pPr>
            <w:r w:rsidRPr="00CE2185">
              <w:rPr>
                <w:noProof/>
                <w:sz w:val="20"/>
                <w:szCs w:val="20"/>
              </w:rPr>
              <w:t>0/+</w:t>
            </w:r>
          </w:p>
        </w:tc>
        <w:tc>
          <w:tcPr>
            <w:tcW w:w="378" w:type="pct"/>
            <w:shd w:val="clear" w:color="auto" w:fill="FFFFFF" w:themeFill="background1"/>
            <w:vAlign w:val="center"/>
          </w:tcPr>
          <w:p w14:paraId="76157C3B" w14:textId="77777777" w:rsidR="000D0808" w:rsidRPr="00CE2185" w:rsidRDefault="000D0808" w:rsidP="00641B35">
            <w:pPr>
              <w:spacing w:after="0"/>
              <w:jc w:val="center"/>
              <w:rPr>
                <w:noProof/>
                <w:sz w:val="20"/>
                <w:szCs w:val="20"/>
              </w:rPr>
            </w:pPr>
            <w:r w:rsidRPr="00CE2185">
              <w:rPr>
                <w:noProof/>
                <w:sz w:val="20"/>
                <w:szCs w:val="20"/>
              </w:rPr>
              <w:t>+(-)</w:t>
            </w:r>
          </w:p>
        </w:tc>
        <w:tc>
          <w:tcPr>
            <w:tcW w:w="380" w:type="pct"/>
            <w:tcBorders>
              <w:right w:val="single" w:sz="12" w:space="0" w:color="auto"/>
            </w:tcBorders>
            <w:shd w:val="clear" w:color="auto" w:fill="FFFFFF" w:themeFill="background1"/>
            <w:vAlign w:val="center"/>
          </w:tcPr>
          <w:p w14:paraId="314BE775" w14:textId="77777777" w:rsidR="000D0808" w:rsidRPr="00CE2185" w:rsidRDefault="000D0808" w:rsidP="00641B35">
            <w:pPr>
              <w:spacing w:after="0"/>
              <w:jc w:val="center"/>
              <w:rPr>
                <w:noProof/>
                <w:sz w:val="20"/>
                <w:szCs w:val="20"/>
              </w:rPr>
            </w:pPr>
            <w:r w:rsidRPr="00CE2185">
              <w:rPr>
                <w:noProof/>
                <w:sz w:val="20"/>
                <w:szCs w:val="20"/>
              </w:rPr>
              <w:t>+(-)</w:t>
            </w:r>
          </w:p>
        </w:tc>
        <w:tc>
          <w:tcPr>
            <w:tcW w:w="302" w:type="pct"/>
            <w:tcBorders>
              <w:left w:val="single" w:sz="12" w:space="0" w:color="auto"/>
            </w:tcBorders>
            <w:shd w:val="clear" w:color="auto" w:fill="FFFFFF" w:themeFill="background1"/>
          </w:tcPr>
          <w:p w14:paraId="47FB4F71" w14:textId="77777777" w:rsidR="000D0808" w:rsidRPr="00CE2185" w:rsidRDefault="000D0808" w:rsidP="00641B35">
            <w:pPr>
              <w:spacing w:after="0"/>
              <w:jc w:val="center"/>
              <w:rPr>
                <w:noProof/>
                <w:sz w:val="20"/>
                <w:szCs w:val="20"/>
              </w:rPr>
            </w:pPr>
            <w:r w:rsidRPr="00CE2185">
              <w:rPr>
                <w:noProof/>
                <w:sz w:val="20"/>
                <w:szCs w:val="20"/>
              </w:rPr>
              <w:t>0/+</w:t>
            </w:r>
          </w:p>
        </w:tc>
        <w:tc>
          <w:tcPr>
            <w:tcW w:w="324" w:type="pct"/>
            <w:shd w:val="clear" w:color="auto" w:fill="FFFFFF" w:themeFill="background1"/>
          </w:tcPr>
          <w:p w14:paraId="0F237706" w14:textId="77777777" w:rsidR="000D0808" w:rsidRPr="00CE2185" w:rsidRDefault="000D0808" w:rsidP="00641B35">
            <w:pPr>
              <w:spacing w:after="0"/>
              <w:jc w:val="center"/>
              <w:rPr>
                <w:noProof/>
                <w:sz w:val="20"/>
                <w:szCs w:val="20"/>
              </w:rPr>
            </w:pPr>
            <w:r w:rsidRPr="00CE2185">
              <w:rPr>
                <w:noProof/>
                <w:sz w:val="20"/>
                <w:szCs w:val="20"/>
              </w:rPr>
              <w:t>++</w:t>
            </w:r>
          </w:p>
        </w:tc>
        <w:tc>
          <w:tcPr>
            <w:tcW w:w="422" w:type="pct"/>
            <w:shd w:val="clear" w:color="auto" w:fill="FFFFFF" w:themeFill="background1"/>
          </w:tcPr>
          <w:p w14:paraId="5E99D3E8" w14:textId="77777777" w:rsidR="000D0808" w:rsidRPr="00CE2185" w:rsidRDefault="000D0808" w:rsidP="00641B35">
            <w:pPr>
              <w:spacing w:after="0"/>
              <w:jc w:val="center"/>
              <w:rPr>
                <w:noProof/>
                <w:sz w:val="20"/>
                <w:szCs w:val="20"/>
              </w:rPr>
            </w:pPr>
            <w:r w:rsidRPr="00CE2185">
              <w:rPr>
                <w:noProof/>
                <w:sz w:val="20"/>
                <w:szCs w:val="20"/>
              </w:rPr>
              <w:t>++/+++</w:t>
            </w:r>
          </w:p>
        </w:tc>
      </w:tr>
      <w:tr w:rsidR="000D0808" w:rsidRPr="00CE2185" w14:paraId="383815F8" w14:textId="77777777" w:rsidTr="00641B35">
        <w:trPr>
          <w:tblHeader/>
        </w:trPr>
        <w:tc>
          <w:tcPr>
            <w:tcW w:w="789" w:type="pct"/>
            <w:tcBorders>
              <w:right w:val="single" w:sz="12" w:space="0" w:color="auto"/>
            </w:tcBorders>
            <w:shd w:val="clear" w:color="auto" w:fill="D9F2D0"/>
          </w:tcPr>
          <w:p w14:paraId="513469DF" w14:textId="77777777" w:rsidR="000D0808" w:rsidRPr="00CE2185" w:rsidRDefault="000D0808" w:rsidP="00641B35">
            <w:pPr>
              <w:spacing w:after="0"/>
              <w:rPr>
                <w:b/>
                <w:bCs/>
                <w:noProof/>
                <w:sz w:val="20"/>
                <w:szCs w:val="20"/>
              </w:rPr>
            </w:pPr>
            <w:r w:rsidRPr="00CE2185">
              <w:rPr>
                <w:b/>
                <w:bCs/>
                <w:noProof/>
                <w:sz w:val="20"/>
                <w:szCs w:val="20"/>
              </w:rPr>
              <w:t>Environment</w:t>
            </w:r>
          </w:p>
        </w:tc>
        <w:tc>
          <w:tcPr>
            <w:tcW w:w="324" w:type="pct"/>
            <w:tcBorders>
              <w:left w:val="single" w:sz="12" w:space="0" w:color="auto"/>
            </w:tcBorders>
            <w:shd w:val="clear" w:color="auto" w:fill="FFFFFF" w:themeFill="background1"/>
            <w:vAlign w:val="center"/>
          </w:tcPr>
          <w:p w14:paraId="62CE80DA" w14:textId="77777777" w:rsidR="000D0808" w:rsidRPr="00CE2185" w:rsidRDefault="000D0808" w:rsidP="00641B35">
            <w:pPr>
              <w:spacing w:after="0"/>
              <w:rPr>
                <w:noProof/>
                <w:sz w:val="20"/>
                <w:szCs w:val="20"/>
              </w:rPr>
            </w:pPr>
            <w:r w:rsidRPr="00CE2185">
              <w:rPr>
                <w:noProof/>
                <w:sz w:val="20"/>
                <w:szCs w:val="20"/>
              </w:rPr>
              <w:t>0</w:t>
            </w:r>
          </w:p>
        </w:tc>
        <w:tc>
          <w:tcPr>
            <w:tcW w:w="324" w:type="pct"/>
            <w:shd w:val="clear" w:color="auto" w:fill="FFFFFF" w:themeFill="background1"/>
            <w:vAlign w:val="center"/>
          </w:tcPr>
          <w:p w14:paraId="27321A2A" w14:textId="77777777" w:rsidR="000D0808" w:rsidRPr="00CE2185" w:rsidRDefault="000D0808" w:rsidP="00641B35">
            <w:pPr>
              <w:spacing w:after="0"/>
              <w:rPr>
                <w:noProof/>
                <w:sz w:val="20"/>
                <w:szCs w:val="20"/>
              </w:rPr>
            </w:pPr>
            <w:r w:rsidRPr="00CE2185">
              <w:rPr>
                <w:noProof/>
                <w:sz w:val="20"/>
                <w:szCs w:val="20"/>
              </w:rPr>
              <w:t>0/+</w:t>
            </w:r>
          </w:p>
        </w:tc>
        <w:tc>
          <w:tcPr>
            <w:tcW w:w="392" w:type="pct"/>
            <w:tcBorders>
              <w:right w:val="single" w:sz="12" w:space="0" w:color="auto"/>
            </w:tcBorders>
            <w:shd w:val="clear" w:color="auto" w:fill="FFFFFF" w:themeFill="background1"/>
            <w:vAlign w:val="center"/>
          </w:tcPr>
          <w:p w14:paraId="48229779" w14:textId="77777777" w:rsidR="000D0808" w:rsidRPr="00CE2185" w:rsidRDefault="000D0808" w:rsidP="00641B35">
            <w:pPr>
              <w:spacing w:after="0"/>
              <w:rPr>
                <w:noProof/>
                <w:sz w:val="20"/>
                <w:szCs w:val="20"/>
              </w:rPr>
            </w:pPr>
            <w:r w:rsidRPr="00CE2185">
              <w:rPr>
                <w:noProof/>
                <w:sz w:val="20"/>
                <w:szCs w:val="20"/>
              </w:rPr>
              <w:t>0/+</w:t>
            </w:r>
          </w:p>
        </w:tc>
        <w:tc>
          <w:tcPr>
            <w:tcW w:w="324" w:type="pct"/>
            <w:shd w:val="clear" w:color="auto" w:fill="FFFFFF" w:themeFill="background1"/>
            <w:vAlign w:val="center"/>
          </w:tcPr>
          <w:p w14:paraId="7219CB1B" w14:textId="77777777" w:rsidR="000D0808" w:rsidRPr="00CE2185" w:rsidRDefault="000D0808" w:rsidP="00641B35">
            <w:pPr>
              <w:spacing w:after="0"/>
              <w:rPr>
                <w:noProof/>
                <w:sz w:val="20"/>
                <w:szCs w:val="20"/>
              </w:rPr>
            </w:pPr>
            <w:r w:rsidRPr="00CE2185">
              <w:rPr>
                <w:noProof/>
                <w:sz w:val="20"/>
                <w:szCs w:val="20"/>
              </w:rPr>
              <w:t>0</w:t>
            </w:r>
          </w:p>
        </w:tc>
        <w:tc>
          <w:tcPr>
            <w:tcW w:w="380" w:type="pct"/>
            <w:shd w:val="clear" w:color="auto" w:fill="FFFFFF" w:themeFill="background1"/>
            <w:vAlign w:val="center"/>
          </w:tcPr>
          <w:p w14:paraId="6291B5F4" w14:textId="77777777" w:rsidR="000D0808" w:rsidRPr="00CE2185" w:rsidRDefault="000D0808" w:rsidP="00641B35">
            <w:pPr>
              <w:spacing w:after="0"/>
              <w:rPr>
                <w:noProof/>
                <w:sz w:val="20"/>
                <w:szCs w:val="20"/>
              </w:rPr>
            </w:pPr>
            <w:r w:rsidRPr="00CE2185">
              <w:rPr>
                <w:noProof/>
                <w:sz w:val="20"/>
                <w:szCs w:val="20"/>
              </w:rPr>
              <w:t>0/+</w:t>
            </w:r>
          </w:p>
        </w:tc>
        <w:tc>
          <w:tcPr>
            <w:tcW w:w="380" w:type="pct"/>
            <w:tcBorders>
              <w:right w:val="single" w:sz="12" w:space="0" w:color="auto"/>
            </w:tcBorders>
            <w:shd w:val="clear" w:color="auto" w:fill="FFFFFF" w:themeFill="background1"/>
            <w:vAlign w:val="center"/>
          </w:tcPr>
          <w:p w14:paraId="0AFE4841" w14:textId="77777777" w:rsidR="000D0808" w:rsidRPr="00CE2185" w:rsidRDefault="000D0808" w:rsidP="00641B35">
            <w:pPr>
              <w:spacing w:after="0"/>
              <w:rPr>
                <w:noProof/>
                <w:sz w:val="20"/>
                <w:szCs w:val="20"/>
              </w:rPr>
            </w:pPr>
            <w:r w:rsidRPr="00CE2185">
              <w:rPr>
                <w:noProof/>
                <w:sz w:val="20"/>
                <w:szCs w:val="20"/>
              </w:rPr>
              <w:t>0/+</w:t>
            </w:r>
          </w:p>
        </w:tc>
        <w:tc>
          <w:tcPr>
            <w:tcW w:w="283" w:type="pct"/>
            <w:tcBorders>
              <w:left w:val="single" w:sz="12" w:space="0" w:color="auto"/>
            </w:tcBorders>
            <w:shd w:val="clear" w:color="auto" w:fill="FFFFFF" w:themeFill="background1"/>
            <w:vAlign w:val="center"/>
          </w:tcPr>
          <w:p w14:paraId="5826ADB1" w14:textId="77777777" w:rsidR="000D0808" w:rsidRPr="00CE2185" w:rsidRDefault="000D0808" w:rsidP="00641B35">
            <w:pPr>
              <w:spacing w:after="0"/>
              <w:rPr>
                <w:noProof/>
                <w:sz w:val="20"/>
                <w:szCs w:val="20"/>
              </w:rPr>
            </w:pPr>
            <w:r w:rsidRPr="00CE2185">
              <w:rPr>
                <w:noProof/>
                <w:sz w:val="20"/>
                <w:szCs w:val="20"/>
              </w:rPr>
              <w:t>N.A</w:t>
            </w:r>
          </w:p>
        </w:tc>
        <w:tc>
          <w:tcPr>
            <w:tcW w:w="378" w:type="pct"/>
            <w:shd w:val="clear" w:color="auto" w:fill="FFFFFF" w:themeFill="background1"/>
            <w:vAlign w:val="center"/>
          </w:tcPr>
          <w:p w14:paraId="5EE25576" w14:textId="77777777" w:rsidR="000D0808" w:rsidRPr="00CE2185" w:rsidRDefault="000D0808" w:rsidP="00641B35">
            <w:pPr>
              <w:spacing w:after="0"/>
              <w:jc w:val="center"/>
              <w:rPr>
                <w:noProof/>
                <w:sz w:val="20"/>
                <w:szCs w:val="20"/>
              </w:rPr>
            </w:pPr>
            <w:r w:rsidRPr="00CE2185">
              <w:rPr>
                <w:noProof/>
                <w:sz w:val="20"/>
                <w:szCs w:val="20"/>
              </w:rPr>
              <w:t>N.A</w:t>
            </w:r>
          </w:p>
        </w:tc>
        <w:tc>
          <w:tcPr>
            <w:tcW w:w="380" w:type="pct"/>
            <w:tcBorders>
              <w:right w:val="single" w:sz="12" w:space="0" w:color="auto"/>
            </w:tcBorders>
            <w:shd w:val="clear" w:color="auto" w:fill="FFFFFF" w:themeFill="background1"/>
            <w:vAlign w:val="center"/>
          </w:tcPr>
          <w:p w14:paraId="2BF57ADE" w14:textId="77777777" w:rsidR="000D0808" w:rsidRPr="00CE2185" w:rsidRDefault="000D0808" w:rsidP="00641B35">
            <w:pPr>
              <w:spacing w:after="0"/>
              <w:rPr>
                <w:noProof/>
                <w:sz w:val="20"/>
                <w:szCs w:val="20"/>
              </w:rPr>
            </w:pPr>
            <w:r w:rsidRPr="00CE2185">
              <w:rPr>
                <w:noProof/>
                <w:sz w:val="20"/>
                <w:szCs w:val="20"/>
              </w:rPr>
              <w:t>N.A</w:t>
            </w:r>
          </w:p>
        </w:tc>
        <w:tc>
          <w:tcPr>
            <w:tcW w:w="302" w:type="pct"/>
            <w:tcBorders>
              <w:left w:val="single" w:sz="12" w:space="0" w:color="auto"/>
            </w:tcBorders>
            <w:shd w:val="clear" w:color="auto" w:fill="FFFFFF" w:themeFill="background1"/>
          </w:tcPr>
          <w:p w14:paraId="037758D0" w14:textId="77777777" w:rsidR="000D0808" w:rsidRPr="00CE2185" w:rsidRDefault="000D0808" w:rsidP="00641B35">
            <w:pPr>
              <w:spacing w:after="0"/>
              <w:rPr>
                <w:noProof/>
                <w:sz w:val="20"/>
                <w:szCs w:val="20"/>
              </w:rPr>
            </w:pPr>
            <w:r w:rsidRPr="00CE2185">
              <w:rPr>
                <w:noProof/>
                <w:sz w:val="20"/>
                <w:szCs w:val="20"/>
              </w:rPr>
              <w:t>N.A</w:t>
            </w:r>
          </w:p>
        </w:tc>
        <w:tc>
          <w:tcPr>
            <w:tcW w:w="324" w:type="pct"/>
            <w:shd w:val="clear" w:color="auto" w:fill="FFFFFF" w:themeFill="background1"/>
          </w:tcPr>
          <w:p w14:paraId="1496E5F4" w14:textId="77777777" w:rsidR="000D0808" w:rsidRPr="00CE2185" w:rsidRDefault="000D0808" w:rsidP="00641B35">
            <w:pPr>
              <w:spacing w:after="0"/>
              <w:rPr>
                <w:noProof/>
                <w:sz w:val="20"/>
                <w:szCs w:val="20"/>
              </w:rPr>
            </w:pPr>
            <w:r w:rsidRPr="00CE2185">
              <w:rPr>
                <w:noProof/>
                <w:sz w:val="20"/>
                <w:szCs w:val="20"/>
              </w:rPr>
              <w:t>N.A</w:t>
            </w:r>
          </w:p>
        </w:tc>
        <w:tc>
          <w:tcPr>
            <w:tcW w:w="422" w:type="pct"/>
            <w:shd w:val="clear" w:color="auto" w:fill="FFFFFF" w:themeFill="background1"/>
          </w:tcPr>
          <w:p w14:paraId="7C007291" w14:textId="77777777" w:rsidR="000D0808" w:rsidRPr="00CE2185" w:rsidRDefault="000D0808" w:rsidP="00641B35">
            <w:pPr>
              <w:spacing w:after="0"/>
              <w:rPr>
                <w:noProof/>
                <w:sz w:val="20"/>
                <w:szCs w:val="20"/>
              </w:rPr>
            </w:pPr>
            <w:r w:rsidRPr="00CE2185">
              <w:rPr>
                <w:noProof/>
                <w:sz w:val="20"/>
                <w:szCs w:val="20"/>
              </w:rPr>
              <w:t>N.A</w:t>
            </w:r>
          </w:p>
        </w:tc>
      </w:tr>
    </w:tbl>
    <w:p w14:paraId="04D3A83F" w14:textId="77777777" w:rsidR="000D0808" w:rsidRPr="00CE2185" w:rsidRDefault="000D0808" w:rsidP="00795DF0">
      <w:pPr>
        <w:spacing w:after="120"/>
        <w:rPr>
          <w:noProof/>
          <w:lang w:val="en-IE"/>
        </w:rPr>
        <w:sectPr w:rsidR="000D0808" w:rsidRPr="00CE2185" w:rsidSect="00D12B58">
          <w:headerReference w:type="default" r:id="rId26"/>
          <w:footerReference w:type="default" r:id="rId27"/>
          <w:headerReference w:type="first" r:id="rId28"/>
          <w:footerReference w:type="first" r:id="rId29"/>
          <w:pgSz w:w="16838" w:h="11906" w:orient="landscape"/>
          <w:pgMar w:top="1418" w:right="1134" w:bottom="1418" w:left="1134" w:header="601" w:footer="1077" w:gutter="0"/>
          <w:cols w:space="720"/>
          <w:titlePg/>
          <w:docGrid w:linePitch="326"/>
        </w:sectPr>
      </w:pPr>
    </w:p>
    <w:p w14:paraId="7A88F6E3" w14:textId="77777777" w:rsidR="007B1D5F" w:rsidRPr="00CE2185" w:rsidRDefault="007B1D5F" w:rsidP="00795DF0">
      <w:pPr>
        <w:spacing w:after="120"/>
        <w:rPr>
          <w:noProof/>
          <w:lang w:val="en-IE"/>
        </w:rPr>
      </w:pPr>
    </w:p>
    <w:p w14:paraId="37EB85BA" w14:textId="4AD84730" w:rsidR="00F57D9D" w:rsidRPr="00CE2185" w:rsidRDefault="00F57D9D" w:rsidP="005D08B2">
      <w:pPr>
        <w:pStyle w:val="Heading2"/>
        <w:rPr>
          <w:b w:val="0"/>
          <w:noProof/>
        </w:rPr>
      </w:pPr>
      <w:bookmarkStart w:id="140" w:name="_Toc210393844"/>
      <w:bookmarkStart w:id="141" w:name="_Toc219447382"/>
      <w:r w:rsidRPr="00CE2185">
        <w:rPr>
          <w:noProof/>
        </w:rPr>
        <w:t>Coherence</w:t>
      </w:r>
      <w:bookmarkEnd w:id="140"/>
      <w:bookmarkEnd w:id="141"/>
    </w:p>
    <w:p w14:paraId="7BFE3492" w14:textId="2AFD4B2E" w:rsidR="695D4111" w:rsidRPr="00CE2185" w:rsidRDefault="695D4111" w:rsidP="00D12B58">
      <w:pPr>
        <w:spacing w:after="120"/>
        <w:rPr>
          <w:rFonts w:eastAsia="Times New Roman"/>
          <w:noProof/>
        </w:rPr>
      </w:pPr>
      <w:r w:rsidRPr="00CE2185">
        <w:rPr>
          <w:rFonts w:eastAsia="Times New Roman"/>
          <w:noProof/>
        </w:rPr>
        <w:t xml:space="preserve">The assessment of coherence focuses on alignment with the EU’s overarching policy framework, including the EU Cybersecurity Strategy and key existing and future legislative instruments. </w:t>
      </w:r>
      <w:r w:rsidR="673DF28C" w:rsidRPr="00CE2185">
        <w:rPr>
          <w:rFonts w:eastAsia="Times New Roman"/>
          <w:noProof/>
        </w:rPr>
        <w:t>It also considers whether the options are coherent with the international developments.</w:t>
      </w:r>
    </w:p>
    <w:p w14:paraId="2DD19741" w14:textId="7DDBE820" w:rsidR="695D4111" w:rsidRPr="00CE2185" w:rsidRDefault="673DF28C" w:rsidP="00D12B58">
      <w:pPr>
        <w:spacing w:after="120"/>
        <w:rPr>
          <w:rFonts w:eastAsia="Times New Roman"/>
          <w:noProof/>
        </w:rPr>
      </w:pPr>
      <w:r w:rsidRPr="00CE2185">
        <w:rPr>
          <w:rFonts w:eastAsia="Times New Roman"/>
          <w:noProof/>
        </w:rPr>
        <w:t xml:space="preserve">More in depth comparison among the options based on the coherence criterium is presented in </w:t>
      </w:r>
      <w:r w:rsidR="008D004D" w:rsidRPr="00CE2185">
        <w:rPr>
          <w:rFonts w:eastAsia="Times New Roman"/>
          <w:i/>
          <w:iCs/>
          <w:noProof/>
        </w:rPr>
        <w:t>Annex 1</w:t>
      </w:r>
      <w:r w:rsidR="00050976" w:rsidRPr="00CE2185">
        <w:rPr>
          <w:rFonts w:eastAsia="Times New Roman"/>
          <w:i/>
          <w:iCs/>
          <w:noProof/>
        </w:rPr>
        <w:t>4</w:t>
      </w:r>
      <w:r w:rsidRPr="00CE2185">
        <w:rPr>
          <w:rFonts w:eastAsia="Times New Roman"/>
          <w:noProof/>
        </w:rPr>
        <w:t>.</w:t>
      </w:r>
    </w:p>
    <w:p w14:paraId="093E32E2" w14:textId="4EFDAB4E" w:rsidR="695D4111" w:rsidRPr="00CE2185" w:rsidRDefault="673DF28C" w:rsidP="00D12B58">
      <w:pPr>
        <w:spacing w:after="120"/>
        <w:rPr>
          <w:rFonts w:eastAsia="Times New Roman"/>
          <w:noProof/>
        </w:rPr>
      </w:pPr>
      <w:r w:rsidRPr="00CE2185">
        <w:rPr>
          <w:rFonts w:eastAsia="Times New Roman"/>
          <w:noProof/>
        </w:rPr>
        <w:t xml:space="preserve">The result of the assessment of the options shows that </w:t>
      </w:r>
      <w:r w:rsidRPr="00CE2185">
        <w:rPr>
          <w:rFonts w:eastAsia="Times New Roman"/>
          <w:b/>
          <w:noProof/>
        </w:rPr>
        <w:t>options A.2, combination of B.2/B.3 with C.2/C.3</w:t>
      </w:r>
      <w:r w:rsidR="007E452F">
        <w:rPr>
          <w:rFonts w:eastAsia="Times New Roman"/>
          <w:b/>
          <w:noProof/>
        </w:rPr>
        <w:t xml:space="preserve"> and option D.3</w:t>
      </w:r>
      <w:r w:rsidRPr="00CE2185">
        <w:rPr>
          <w:rFonts w:eastAsia="Times New Roman"/>
          <w:b/>
          <w:noProof/>
        </w:rPr>
        <w:t xml:space="preserve"> </w:t>
      </w:r>
      <w:r w:rsidRPr="00CE2185">
        <w:rPr>
          <w:rFonts w:eastAsia="Times New Roman"/>
          <w:noProof/>
        </w:rPr>
        <w:t xml:space="preserve">are of the </w:t>
      </w:r>
      <w:r w:rsidRPr="00CE2185">
        <w:rPr>
          <w:rFonts w:eastAsia="Times New Roman"/>
          <w:b/>
          <w:noProof/>
        </w:rPr>
        <w:t>highest coherence</w:t>
      </w:r>
      <w:r w:rsidRPr="00CE2185">
        <w:rPr>
          <w:rFonts w:eastAsia="Times New Roman"/>
          <w:noProof/>
        </w:rPr>
        <w:t xml:space="preserve"> with other legal instruments and international developments.</w:t>
      </w:r>
    </w:p>
    <w:p w14:paraId="3B6919E9" w14:textId="37F728C5" w:rsidR="695D4111" w:rsidRPr="00CE2185" w:rsidRDefault="673DF28C" w:rsidP="00D12B58">
      <w:pPr>
        <w:spacing w:after="120"/>
        <w:rPr>
          <w:rFonts w:eastAsia="Times New Roman"/>
          <w:noProof/>
        </w:rPr>
      </w:pPr>
      <w:r w:rsidRPr="00CE2185">
        <w:rPr>
          <w:rFonts w:eastAsia="Times New Roman"/>
          <w:noProof/>
        </w:rPr>
        <w:t xml:space="preserve">Option </w:t>
      </w:r>
      <w:r w:rsidRPr="00CE2185">
        <w:rPr>
          <w:rFonts w:eastAsia="Times New Roman"/>
          <w:b/>
          <w:bCs/>
          <w:noProof/>
        </w:rPr>
        <w:t>A.1</w:t>
      </w:r>
      <w:r w:rsidRPr="00CE2185">
        <w:rPr>
          <w:rFonts w:eastAsia="Times New Roman"/>
          <w:noProof/>
        </w:rPr>
        <w:t xml:space="preserve"> streamlines ENISA’s mandate and does not contradict objectives of NIS 2 Directive</w:t>
      </w:r>
      <w:r w:rsidR="1CC7124D" w:rsidRPr="00CE2185">
        <w:rPr>
          <w:rFonts w:eastAsia="Times New Roman"/>
          <w:noProof/>
        </w:rPr>
        <w:t>,</w:t>
      </w:r>
      <w:r w:rsidRPr="00CE2185">
        <w:rPr>
          <w:rFonts w:eastAsia="Times New Roman"/>
          <w:noProof/>
        </w:rPr>
        <w:t xml:space="preserve"> but it does not enhance synergies among ENISA’s tasks and therefore does not contribute for the enhanced delivery on the NIS 2 Directive objectives. This option is assessed therefore as of </w:t>
      </w:r>
      <w:r w:rsidRPr="00CE2185">
        <w:rPr>
          <w:rFonts w:eastAsia="Times New Roman"/>
          <w:b/>
          <w:bCs/>
          <w:noProof/>
        </w:rPr>
        <w:t>moderate coherence</w:t>
      </w:r>
      <w:r w:rsidRPr="00CE2185">
        <w:rPr>
          <w:rFonts w:eastAsia="Times New Roman"/>
          <w:noProof/>
        </w:rPr>
        <w:t xml:space="preserve">. Option </w:t>
      </w:r>
      <w:r w:rsidRPr="00CE2185">
        <w:rPr>
          <w:rFonts w:eastAsia="Times New Roman"/>
          <w:b/>
          <w:bCs/>
          <w:noProof/>
        </w:rPr>
        <w:t>A.2</w:t>
      </w:r>
      <w:r w:rsidRPr="00CE2185">
        <w:rPr>
          <w:rFonts w:eastAsia="Times New Roman"/>
          <w:noProof/>
        </w:rPr>
        <w:t xml:space="preserve"> reinforces the NIS 2 Directive objectives, in particular in the area of the operational cooperation and contributes to effective achievement of the CRA’s objectives, it is assessed as of </w:t>
      </w:r>
      <w:r w:rsidRPr="00CE2185">
        <w:rPr>
          <w:rFonts w:eastAsia="Times New Roman"/>
          <w:b/>
          <w:bCs/>
          <w:noProof/>
        </w:rPr>
        <w:t>highly coherence</w:t>
      </w:r>
      <w:r w:rsidRPr="00CE2185">
        <w:rPr>
          <w:rFonts w:eastAsia="Times New Roman"/>
          <w:noProof/>
        </w:rPr>
        <w:t xml:space="preserve">. Option </w:t>
      </w:r>
      <w:r w:rsidRPr="00CE2185">
        <w:rPr>
          <w:rFonts w:eastAsia="Times New Roman"/>
          <w:b/>
          <w:bCs/>
          <w:noProof/>
        </w:rPr>
        <w:t>A.3</w:t>
      </w:r>
      <w:r w:rsidRPr="00CE2185">
        <w:rPr>
          <w:rFonts w:eastAsia="Times New Roman"/>
          <w:noProof/>
        </w:rPr>
        <w:t xml:space="preserve"> going further in support of operational cooperation diverge from the NIS 2 Directive model, where it is national CSIRT at the centre of the operational cooperation, for that reason it is assessed as of </w:t>
      </w:r>
      <w:r w:rsidRPr="00CE2185">
        <w:rPr>
          <w:rFonts w:eastAsia="Times New Roman"/>
          <w:b/>
          <w:bCs/>
          <w:noProof/>
        </w:rPr>
        <w:t>low coherence</w:t>
      </w:r>
      <w:r w:rsidRPr="00CE2185">
        <w:rPr>
          <w:rFonts w:eastAsia="Times New Roman"/>
          <w:noProof/>
        </w:rPr>
        <w:t>.</w:t>
      </w:r>
    </w:p>
    <w:p w14:paraId="3680D61E" w14:textId="3ADC228F" w:rsidR="695D4111" w:rsidRPr="00CE2185" w:rsidRDefault="673DF28C" w:rsidP="00D12B58">
      <w:pPr>
        <w:spacing w:after="120"/>
        <w:rPr>
          <w:rFonts w:eastAsia="Times New Roman"/>
          <w:noProof/>
        </w:rPr>
      </w:pPr>
      <w:r w:rsidRPr="00CE2185">
        <w:rPr>
          <w:rFonts w:eastAsia="Times New Roman"/>
          <w:noProof/>
        </w:rPr>
        <w:t xml:space="preserve">Options </w:t>
      </w:r>
      <w:r w:rsidRPr="00CE2185">
        <w:rPr>
          <w:rFonts w:eastAsia="Times New Roman"/>
          <w:b/>
          <w:bCs/>
          <w:noProof/>
        </w:rPr>
        <w:t>B.2/B.3 in combination with options C.2 and C.3</w:t>
      </w:r>
      <w:r w:rsidRPr="00CE2185">
        <w:rPr>
          <w:rFonts w:eastAsia="Times New Roman"/>
          <w:noProof/>
        </w:rPr>
        <w:t xml:space="preserve"> are assessed of </w:t>
      </w:r>
      <w:r w:rsidRPr="00CE2185">
        <w:rPr>
          <w:rFonts w:eastAsia="Times New Roman"/>
          <w:b/>
          <w:bCs/>
          <w:noProof/>
        </w:rPr>
        <w:t>highly coherence</w:t>
      </w:r>
      <w:r w:rsidRPr="00CE2185">
        <w:rPr>
          <w:rFonts w:eastAsia="Times New Roman"/>
          <w:noProof/>
        </w:rPr>
        <w:t xml:space="preserve"> because they provide for the certification of entities that allow to demonstrate compliance with the NIS 2 Directive (and other legal acts). In addition, options </w:t>
      </w:r>
      <w:r w:rsidRPr="00CE2185">
        <w:rPr>
          <w:rFonts w:eastAsia="Times New Roman"/>
          <w:b/>
          <w:bCs/>
          <w:noProof/>
        </w:rPr>
        <w:t>B.2 and B.3</w:t>
      </w:r>
      <w:r w:rsidRPr="00CE2185">
        <w:rPr>
          <w:rFonts w:eastAsia="Times New Roman"/>
          <w:noProof/>
        </w:rPr>
        <w:t xml:space="preserve"> both options are </w:t>
      </w:r>
      <w:r w:rsidRPr="00CE2185">
        <w:rPr>
          <w:rFonts w:eastAsia="Times New Roman"/>
          <w:b/>
          <w:bCs/>
          <w:noProof/>
        </w:rPr>
        <w:t>highly coherent</w:t>
      </w:r>
      <w:r w:rsidRPr="00CE2185">
        <w:rPr>
          <w:rFonts w:eastAsia="Times New Roman"/>
          <w:noProof/>
        </w:rPr>
        <w:t xml:space="preserve"> with the CRA (and the New Legislative Framework). They are also coherent with international developments. </w:t>
      </w:r>
      <w:r w:rsidRPr="00CE2185">
        <w:rPr>
          <w:rFonts w:eastAsia="Times New Roman"/>
          <w:b/>
          <w:bCs/>
          <w:noProof/>
        </w:rPr>
        <w:t>Option B.1</w:t>
      </w:r>
      <w:r w:rsidRPr="00CE2185">
        <w:rPr>
          <w:rFonts w:eastAsia="Times New Roman"/>
          <w:noProof/>
        </w:rPr>
        <w:t xml:space="preserve"> is assessed as neutral to the NIS 2 Directive and therefore assessed as of </w:t>
      </w:r>
      <w:r w:rsidRPr="00CE2185">
        <w:rPr>
          <w:rFonts w:eastAsia="Times New Roman"/>
          <w:b/>
          <w:bCs/>
          <w:noProof/>
        </w:rPr>
        <w:t>moderate coherence</w:t>
      </w:r>
      <w:r w:rsidRPr="00CE2185">
        <w:rPr>
          <w:rFonts w:eastAsia="Times New Roman"/>
          <w:noProof/>
        </w:rPr>
        <w:t>.</w:t>
      </w:r>
    </w:p>
    <w:p w14:paraId="1EC0FB8B" w14:textId="4383B2C0" w:rsidR="695D4111" w:rsidRDefault="673DF28C" w:rsidP="00D12B58">
      <w:pPr>
        <w:spacing w:after="120"/>
        <w:rPr>
          <w:rFonts w:eastAsia="Times New Roman"/>
          <w:noProof/>
        </w:rPr>
      </w:pPr>
      <w:r w:rsidRPr="00CE2185">
        <w:rPr>
          <w:rFonts w:eastAsia="Times New Roman"/>
          <w:noProof/>
        </w:rPr>
        <w:t xml:space="preserve">Options C.1 and C.2 are assessed as coherent with the CER Directive, as they will not affect it.  Option C.3 is of low coherence with the CER Directive. All options C are coherent with the international developments on ransomware. Therefore, </w:t>
      </w:r>
      <w:r w:rsidRPr="00CE2185">
        <w:rPr>
          <w:rFonts w:eastAsia="Times New Roman"/>
          <w:b/>
          <w:bCs/>
          <w:noProof/>
        </w:rPr>
        <w:t>options C.1 and C.2</w:t>
      </w:r>
      <w:r w:rsidRPr="00CE2185">
        <w:rPr>
          <w:rFonts w:eastAsia="Times New Roman"/>
          <w:noProof/>
        </w:rPr>
        <w:t xml:space="preserve"> could be assessed as </w:t>
      </w:r>
      <w:r w:rsidRPr="00CE2185">
        <w:rPr>
          <w:rFonts w:eastAsia="Times New Roman"/>
          <w:b/>
          <w:bCs/>
          <w:noProof/>
        </w:rPr>
        <w:t>highly coherent,</w:t>
      </w:r>
      <w:r w:rsidRPr="00CE2185">
        <w:rPr>
          <w:rFonts w:eastAsia="Times New Roman"/>
          <w:noProof/>
        </w:rPr>
        <w:t xml:space="preserve"> while </w:t>
      </w:r>
      <w:r w:rsidRPr="00CE2185">
        <w:rPr>
          <w:rFonts w:eastAsia="Times New Roman"/>
          <w:b/>
          <w:bCs/>
          <w:noProof/>
        </w:rPr>
        <w:t>option C.3</w:t>
      </w:r>
      <w:r w:rsidRPr="00CE2185">
        <w:rPr>
          <w:rFonts w:eastAsia="Times New Roman"/>
          <w:noProof/>
        </w:rPr>
        <w:t xml:space="preserve"> should be assessed as of </w:t>
      </w:r>
      <w:r w:rsidRPr="00CE2185">
        <w:rPr>
          <w:rFonts w:eastAsia="Times New Roman"/>
          <w:b/>
          <w:bCs/>
          <w:noProof/>
        </w:rPr>
        <w:t>low coherence</w:t>
      </w:r>
      <w:r w:rsidRPr="00CE2185">
        <w:rPr>
          <w:rFonts w:eastAsia="Times New Roman"/>
          <w:noProof/>
        </w:rPr>
        <w:t>. The combination of options are presented above.</w:t>
      </w:r>
    </w:p>
    <w:p w14:paraId="7EE229FE" w14:textId="625CC0CA" w:rsidR="007E452F" w:rsidRPr="00CE2185" w:rsidRDefault="007E452F" w:rsidP="00D12B58">
      <w:pPr>
        <w:spacing w:after="120"/>
        <w:rPr>
          <w:rFonts w:eastAsia="Times New Roman"/>
          <w:noProof/>
        </w:rPr>
      </w:pPr>
      <w:r w:rsidRPr="00CE2185">
        <w:rPr>
          <w:rFonts w:eastAsia="Times New Roman"/>
          <w:noProof/>
        </w:rPr>
        <w:t xml:space="preserve">Options D are assessed as coherent with the NIS 2 Directive and CER Directive, with D.3 as most coherent for providing for effective framework for the ICT supply chain security. Options D are also coherent with the CRA, as they complement market surveillance mechanism addressing non-technical risk factors, with D.3 most and D.2 of moderate coherence (as only 5G network is covered). Similarly, their coherence is assessed vis a vis the Multiannual. Financial Framework proposal (D.3 – highly coherent and D.2 - of moderate coherence.). Options D.2 and D.3 are also coherent with international developments. Overall, </w:t>
      </w:r>
      <w:r w:rsidRPr="00CE2185">
        <w:rPr>
          <w:rFonts w:eastAsia="Times New Roman"/>
          <w:b/>
          <w:bCs/>
          <w:noProof/>
        </w:rPr>
        <w:t>option D.3 should be assessed as highly coherent, D.2 and D.1 – of moderate coherence</w:t>
      </w:r>
      <w:r w:rsidRPr="00CE2185">
        <w:rPr>
          <w:rFonts w:eastAsia="Times New Roman"/>
          <w:noProof/>
        </w:rPr>
        <w:t>)</w:t>
      </w:r>
      <w:r>
        <w:rPr>
          <w:rFonts w:eastAsia="Times New Roman"/>
          <w:noProof/>
        </w:rPr>
        <w:t>.</w:t>
      </w:r>
    </w:p>
    <w:p w14:paraId="08A1769F" w14:textId="3A8AD656" w:rsidR="00F57D9D" w:rsidRPr="00CE2185" w:rsidRDefault="695D4111" w:rsidP="005D08B2">
      <w:pPr>
        <w:pStyle w:val="Heading2"/>
        <w:rPr>
          <w:b w:val="0"/>
          <w:noProof/>
        </w:rPr>
      </w:pPr>
      <w:r w:rsidRPr="00CE2185">
        <w:rPr>
          <w:rFonts w:eastAsiaTheme="minorEastAsia"/>
          <w:noProof/>
        </w:rPr>
        <w:t xml:space="preserve"> </w:t>
      </w:r>
      <w:bookmarkStart w:id="142" w:name="_Toc210393846"/>
      <w:bookmarkStart w:id="143" w:name="_Toc219447383"/>
      <w:r w:rsidR="00F57D9D" w:rsidRPr="00CE2185">
        <w:rPr>
          <w:noProof/>
        </w:rPr>
        <w:t>Proportionality and trade-offs</w:t>
      </w:r>
      <w:bookmarkEnd w:id="142"/>
      <w:bookmarkEnd w:id="143"/>
    </w:p>
    <w:p w14:paraId="6719B066" w14:textId="66B35DDA" w:rsidR="598C1EFD" w:rsidRPr="00CE2185" w:rsidRDefault="598C1EFD" w:rsidP="19381881">
      <w:pPr>
        <w:rPr>
          <w:rFonts w:eastAsia="Times New Roman"/>
          <w:noProof/>
        </w:rPr>
      </w:pPr>
      <w:r w:rsidRPr="00CE2185">
        <w:rPr>
          <w:rFonts w:eastAsia="Times New Roman"/>
          <w:noProof/>
        </w:rPr>
        <w:t xml:space="preserve">Proportionality examines whether policy interventions are justified considering their intended impact and the burdens they create. Options </w:t>
      </w:r>
      <w:r w:rsidRPr="00CE2185">
        <w:rPr>
          <w:rFonts w:eastAsia="Times New Roman"/>
          <w:b/>
          <w:bCs/>
          <w:noProof/>
        </w:rPr>
        <w:t>A.1, C.1</w:t>
      </w:r>
      <w:r w:rsidR="007E452F">
        <w:rPr>
          <w:rFonts w:eastAsia="Times New Roman"/>
          <w:b/>
          <w:bCs/>
          <w:noProof/>
        </w:rPr>
        <w:t xml:space="preserve"> and D.1</w:t>
      </w:r>
      <w:r w:rsidRPr="00CE2185">
        <w:rPr>
          <w:rFonts w:eastAsia="Times New Roman"/>
          <w:b/>
          <w:bCs/>
          <w:noProof/>
        </w:rPr>
        <w:t xml:space="preserve"> </w:t>
      </w:r>
      <w:r w:rsidRPr="00CE2185">
        <w:rPr>
          <w:rFonts w:eastAsia="Times New Roman"/>
          <w:noProof/>
        </w:rPr>
        <w:t xml:space="preserve">carry low cost and minimal risk, but their limited scope </w:t>
      </w:r>
      <w:r w:rsidR="6E8706ED" w:rsidRPr="00CE2185">
        <w:rPr>
          <w:rFonts w:eastAsia="Times New Roman"/>
          <w:noProof/>
        </w:rPr>
        <w:t xml:space="preserve">does </w:t>
      </w:r>
      <w:r w:rsidRPr="00CE2185">
        <w:rPr>
          <w:rFonts w:eastAsia="Times New Roman"/>
          <w:noProof/>
        </w:rPr>
        <w:t>not sufficiently address the scale of the challenges identified</w:t>
      </w:r>
      <w:r w:rsidR="58C4B582" w:rsidRPr="00CE2185">
        <w:rPr>
          <w:rFonts w:eastAsia="Times New Roman"/>
          <w:noProof/>
        </w:rPr>
        <w:t xml:space="preserve"> and offers no capacity to scale with </w:t>
      </w:r>
      <w:r w:rsidR="002D5CCA" w:rsidRPr="00CE2185">
        <w:rPr>
          <w:rFonts w:eastAsia="Times New Roman"/>
          <w:noProof/>
        </w:rPr>
        <w:t>the</w:t>
      </w:r>
      <w:r w:rsidR="58C4B582" w:rsidRPr="00CE2185">
        <w:rPr>
          <w:rFonts w:eastAsia="Times New Roman"/>
          <w:noProof/>
        </w:rPr>
        <w:t xml:space="preserve"> evolving threat landscape</w:t>
      </w:r>
      <w:r w:rsidRPr="00CE2185">
        <w:rPr>
          <w:rFonts w:eastAsia="Times New Roman"/>
          <w:noProof/>
        </w:rPr>
        <w:t xml:space="preserve">. Option </w:t>
      </w:r>
      <w:r w:rsidRPr="00CE2185">
        <w:rPr>
          <w:rFonts w:eastAsia="Times New Roman"/>
          <w:b/>
          <w:bCs/>
          <w:noProof/>
        </w:rPr>
        <w:t>B.1</w:t>
      </w:r>
      <w:r w:rsidRPr="00CE2185">
        <w:rPr>
          <w:rFonts w:eastAsia="Times New Roman"/>
          <w:noProof/>
        </w:rPr>
        <w:t xml:space="preserve"> carries a substantial risk that the blockage in adoption of the schemes will persist. As a result, they risk perpetuating exiting fragmentation and inefficiencies</w:t>
      </w:r>
      <w:r w:rsidR="6C197569" w:rsidRPr="00CE2185">
        <w:rPr>
          <w:rFonts w:eastAsia="Times New Roman"/>
          <w:noProof/>
        </w:rPr>
        <w:t xml:space="preserve">. </w:t>
      </w:r>
      <w:r w:rsidR="5274DA54" w:rsidRPr="00CE2185">
        <w:rPr>
          <w:rFonts w:eastAsia="Times New Roman"/>
          <w:noProof/>
        </w:rPr>
        <w:t>O</w:t>
      </w:r>
      <w:r w:rsidR="6C197569" w:rsidRPr="00CE2185">
        <w:rPr>
          <w:rFonts w:eastAsia="Times New Roman"/>
          <w:noProof/>
        </w:rPr>
        <w:t>ption</w:t>
      </w:r>
      <w:r w:rsidRPr="00CE2185">
        <w:rPr>
          <w:rFonts w:eastAsia="Times New Roman"/>
          <w:noProof/>
        </w:rPr>
        <w:t xml:space="preserve"> </w:t>
      </w:r>
      <w:r w:rsidR="5274DA54" w:rsidRPr="00CE2185">
        <w:rPr>
          <w:rFonts w:eastAsia="Times New Roman"/>
          <w:noProof/>
        </w:rPr>
        <w:t>B.3 proposes an ambitious solution of mandatory certification</w:t>
      </w:r>
      <w:r w:rsidR="264AB19B" w:rsidRPr="00CE2185">
        <w:rPr>
          <w:rFonts w:eastAsia="Times New Roman"/>
          <w:noProof/>
        </w:rPr>
        <w:t>,</w:t>
      </w:r>
      <w:r w:rsidR="5274DA54" w:rsidRPr="00CE2185">
        <w:rPr>
          <w:rFonts w:eastAsia="Times New Roman"/>
          <w:noProof/>
        </w:rPr>
        <w:t xml:space="preserve"> but its application is limited </w:t>
      </w:r>
      <w:r w:rsidR="44135C3C" w:rsidRPr="00CE2185">
        <w:rPr>
          <w:rFonts w:eastAsia="Times New Roman"/>
          <w:noProof/>
        </w:rPr>
        <w:t xml:space="preserve">to a well-defined group of entities. Therefore, both </w:t>
      </w:r>
      <w:r w:rsidRPr="00CE2185">
        <w:rPr>
          <w:rFonts w:eastAsia="Times New Roman"/>
          <w:noProof/>
        </w:rPr>
        <w:t xml:space="preserve">are assessed of </w:t>
      </w:r>
      <w:r w:rsidRPr="00CE2185">
        <w:rPr>
          <w:rFonts w:eastAsia="Times New Roman"/>
          <w:b/>
          <w:bCs/>
          <w:noProof/>
        </w:rPr>
        <w:t>medium proportionality</w:t>
      </w:r>
      <w:r w:rsidRPr="00CE2185">
        <w:rPr>
          <w:rFonts w:eastAsia="Times New Roman"/>
          <w:noProof/>
        </w:rPr>
        <w:t>.</w:t>
      </w:r>
    </w:p>
    <w:p w14:paraId="02AFC5D9" w14:textId="6B63399E" w:rsidR="598C1EFD" w:rsidRPr="00CE2185" w:rsidRDefault="598C1EFD" w:rsidP="19381881">
      <w:pPr>
        <w:rPr>
          <w:rFonts w:eastAsia="Times New Roman"/>
          <w:noProof/>
        </w:rPr>
      </w:pPr>
      <w:r w:rsidRPr="00CE2185">
        <w:rPr>
          <w:rFonts w:eastAsia="Times New Roman"/>
          <w:noProof/>
        </w:rPr>
        <w:t xml:space="preserve">Most ambitious reforms such as Options </w:t>
      </w:r>
      <w:r w:rsidRPr="00CE2185">
        <w:rPr>
          <w:rFonts w:eastAsia="Times New Roman"/>
          <w:b/>
          <w:bCs/>
          <w:noProof/>
        </w:rPr>
        <w:t>A.3 and C.3</w:t>
      </w:r>
      <w:r w:rsidRPr="00CE2185">
        <w:rPr>
          <w:rFonts w:eastAsia="Times New Roman"/>
          <w:noProof/>
        </w:rPr>
        <w:t xml:space="preserve"> may align well with long-term objectives but carry a higher risk of overreach. These options introduce significant administrative and financial requirements that may not be justified by their expected outcomes in the short to medium term. They also increase implementation complexity and the likelihood of legal or institutional conflict and carry potential political and trade related costs. While they could be effective in addressing the specific objectives, their cost and disruption their propose make them </w:t>
      </w:r>
      <w:r w:rsidRPr="00CE2185">
        <w:rPr>
          <w:rFonts w:eastAsia="Times New Roman"/>
          <w:b/>
          <w:bCs/>
          <w:noProof/>
        </w:rPr>
        <w:t>not proportionate</w:t>
      </w:r>
      <w:r w:rsidRPr="00CE2185">
        <w:rPr>
          <w:rFonts w:eastAsia="Times New Roman"/>
          <w:noProof/>
        </w:rPr>
        <w:t xml:space="preserve"> to the effect achieved. Especially in comparison with options </w:t>
      </w:r>
      <w:r w:rsidRPr="00CE2185">
        <w:rPr>
          <w:rFonts w:eastAsia="Times New Roman"/>
          <w:b/>
          <w:bCs/>
          <w:noProof/>
        </w:rPr>
        <w:t>A.2, B.2 and C.2</w:t>
      </w:r>
      <w:r w:rsidRPr="00CE2185">
        <w:rPr>
          <w:rFonts w:eastAsia="Times New Roman"/>
          <w:noProof/>
        </w:rPr>
        <w:t xml:space="preserve"> that offer similar high effectiveness while their cost is lower and their coherence with existing legal framework, stakeholder expectation is </w:t>
      </w:r>
      <w:r w:rsidRPr="00CE2185">
        <w:rPr>
          <w:rFonts w:eastAsia="Times New Roman"/>
          <w:b/>
          <w:bCs/>
          <w:noProof/>
        </w:rPr>
        <w:t>higher.</w:t>
      </w:r>
      <w:r w:rsidRPr="00CE2185">
        <w:rPr>
          <w:rFonts w:eastAsia="Times New Roman"/>
          <w:noProof/>
        </w:rPr>
        <w:t xml:space="preserve"> They are designed to be incremental rather than disruptive, focusing on coordination, governance and harmonisation without imposing rigid obligations or creating institutional overlap.</w:t>
      </w:r>
    </w:p>
    <w:p w14:paraId="4E9751BF" w14:textId="08EDB10D" w:rsidR="598C1EFD" w:rsidRPr="00CE2185" w:rsidRDefault="007E452F" w:rsidP="19381881">
      <w:pPr>
        <w:rPr>
          <w:noProof/>
        </w:rPr>
      </w:pPr>
      <w:r w:rsidRPr="00CE2185">
        <w:rPr>
          <w:rFonts w:eastAsia="Times New Roman"/>
          <w:noProof/>
        </w:rPr>
        <w:t xml:space="preserve">Option </w:t>
      </w:r>
      <w:r w:rsidRPr="00CE2185">
        <w:rPr>
          <w:rFonts w:eastAsia="Times New Roman"/>
          <w:b/>
          <w:bCs/>
          <w:noProof/>
        </w:rPr>
        <w:t>D.3</w:t>
      </w:r>
      <w:r w:rsidRPr="00CE2185">
        <w:rPr>
          <w:rFonts w:eastAsia="Times New Roman"/>
          <w:noProof/>
        </w:rPr>
        <w:t xml:space="preserve"> relies on gathering evidence of what constitutes key assets and what measures would be proportionate and necessary to ensure de-risking of the critical supply chains. Prior to defining these measures, an objective impact assessment and market analysis would be performed, which would look at, among others, economic feasibility, available alternatives in the market, lifecycle of the specific products which would help to determine appropriate phase-out periods for high-risk products. These assessments would inform what risk-based measures are needed and most appropriate, making this option </w:t>
      </w:r>
      <w:r w:rsidRPr="00CE2185">
        <w:rPr>
          <w:rFonts w:eastAsia="Times New Roman"/>
          <w:b/>
          <w:bCs/>
          <w:noProof/>
        </w:rPr>
        <w:t>highly proportionate</w:t>
      </w:r>
      <w:r w:rsidRPr="00CE2185">
        <w:rPr>
          <w:rFonts w:eastAsia="Times New Roman"/>
          <w:noProof/>
        </w:rPr>
        <w:t xml:space="preserve">. Similarly, option D.2 is considered </w:t>
      </w:r>
      <w:r w:rsidRPr="00CE2185">
        <w:rPr>
          <w:rFonts w:eastAsia="Times New Roman"/>
          <w:b/>
          <w:bCs/>
          <w:noProof/>
        </w:rPr>
        <w:t>highly proportionate</w:t>
      </w:r>
      <w:r w:rsidRPr="00CE2185">
        <w:rPr>
          <w:rFonts w:eastAsia="Times New Roman"/>
          <w:noProof/>
        </w:rPr>
        <w:t>, although it is much less effective</w:t>
      </w:r>
    </w:p>
    <w:p w14:paraId="7B4D519F" w14:textId="78C53CEB" w:rsidR="19381881" w:rsidRPr="00CE2185" w:rsidRDefault="598C1EFD" w:rsidP="00B23FBE">
      <w:pPr>
        <w:rPr>
          <w:noProof/>
        </w:rPr>
      </w:pPr>
      <w:r w:rsidRPr="00CE2185">
        <w:rPr>
          <w:rFonts w:eastAsia="Times New Roman"/>
          <w:noProof/>
        </w:rPr>
        <w:t>The trade-offs between ambition, feasibility and stakeholder support are most balanced in options A.2, B.2, C.2</w:t>
      </w:r>
      <w:r w:rsidR="007E452F">
        <w:rPr>
          <w:rFonts w:eastAsia="Times New Roman"/>
          <w:noProof/>
        </w:rPr>
        <w:t xml:space="preserve"> and D.3</w:t>
      </w:r>
      <w:r w:rsidRPr="00CE2185">
        <w:rPr>
          <w:rFonts w:eastAsia="Times New Roman"/>
          <w:noProof/>
        </w:rPr>
        <w:t xml:space="preserve">. These options generate clear added value while managing costs and maintaining compatibility with situations where such interventions would be addressed on national level. They also offer opportunities for mutual reinforcement, such as the alignment between improved certification governance and demonstration of compliance between options </w:t>
      </w:r>
      <w:r w:rsidRPr="00CE2185">
        <w:rPr>
          <w:rFonts w:eastAsia="Times New Roman"/>
          <w:b/>
          <w:bCs/>
          <w:noProof/>
        </w:rPr>
        <w:t>B.2 and C.2</w:t>
      </w:r>
      <w:r w:rsidRPr="00CE2185">
        <w:rPr>
          <w:rFonts w:eastAsia="Times New Roman"/>
          <w:noProof/>
        </w:rPr>
        <w:t xml:space="preserve"> </w:t>
      </w:r>
      <w:r w:rsidR="007E452F" w:rsidRPr="00CE2185">
        <w:rPr>
          <w:rFonts w:eastAsia="Times New Roman"/>
          <w:noProof/>
        </w:rPr>
        <w:t xml:space="preserve">or the solution to tackle non-technical risks between options </w:t>
      </w:r>
      <w:r w:rsidR="007E452F" w:rsidRPr="00CE2185">
        <w:rPr>
          <w:rFonts w:eastAsia="Times New Roman"/>
          <w:b/>
          <w:bCs/>
          <w:noProof/>
        </w:rPr>
        <w:t>B.2 and D.3</w:t>
      </w:r>
      <w:r w:rsidRPr="00CE2185">
        <w:rPr>
          <w:rFonts w:eastAsia="Times New Roman"/>
          <w:noProof/>
        </w:rPr>
        <w:t xml:space="preserve">, making those options </w:t>
      </w:r>
      <w:r w:rsidRPr="00CE2185">
        <w:rPr>
          <w:rFonts w:eastAsia="Times New Roman"/>
          <w:b/>
          <w:bCs/>
          <w:noProof/>
        </w:rPr>
        <w:t>highly proportionate</w:t>
      </w:r>
      <w:r w:rsidRPr="00CE2185">
        <w:rPr>
          <w:rFonts w:eastAsia="Times New Roman"/>
          <w:noProof/>
        </w:rPr>
        <w:t>.</w:t>
      </w:r>
    </w:p>
    <w:p w14:paraId="443AF22B" w14:textId="1BC640FD" w:rsidR="00F57D9D" w:rsidRPr="00CE2185" w:rsidRDefault="00F57D9D" w:rsidP="005D08B2">
      <w:pPr>
        <w:pStyle w:val="Heading2"/>
        <w:rPr>
          <w:b w:val="0"/>
          <w:noProof/>
        </w:rPr>
      </w:pPr>
      <w:bookmarkStart w:id="144" w:name="_Toc210393847"/>
      <w:bookmarkStart w:id="145" w:name="_Toc219447384"/>
      <w:r w:rsidRPr="00CE2185">
        <w:rPr>
          <w:noProof/>
        </w:rPr>
        <w:t>Uncertainty analysis</w:t>
      </w:r>
      <w:bookmarkEnd w:id="144"/>
      <w:bookmarkEnd w:id="145"/>
    </w:p>
    <w:p w14:paraId="27EAF073" w14:textId="244EC17D" w:rsidR="2F9CAAC6" w:rsidRPr="00CE2185" w:rsidRDefault="31405EC2" w:rsidP="0C923161">
      <w:pPr>
        <w:rPr>
          <w:rFonts w:eastAsia="Times New Roman"/>
          <w:noProof/>
        </w:rPr>
      </w:pPr>
      <w:r w:rsidRPr="00CE2185">
        <w:rPr>
          <w:rFonts w:eastAsia="Times New Roman"/>
          <w:noProof/>
        </w:rPr>
        <w:t>Uncertainty</w:t>
      </w:r>
      <w:r w:rsidR="2F9CAAC6" w:rsidRPr="00CE2185">
        <w:rPr>
          <w:rFonts w:eastAsia="Times New Roman"/>
          <w:noProof/>
        </w:rPr>
        <w:t xml:space="preserve"> affects all policy options to varying degrees, depending on the complexity of implementation, the level of institutional cooperation required, and the assumptions on stakeholder engagement and adoption. </w:t>
      </w:r>
      <w:r w:rsidRPr="00CE2185">
        <w:rPr>
          <w:rFonts w:eastAsia="Times New Roman"/>
          <w:noProof/>
        </w:rPr>
        <w:t xml:space="preserve">Options A.1, B.1, C.1 </w:t>
      </w:r>
      <w:r w:rsidR="007E452F">
        <w:rPr>
          <w:rFonts w:eastAsia="Times New Roman"/>
          <w:noProof/>
        </w:rPr>
        <w:t xml:space="preserve">and D.1 </w:t>
      </w:r>
      <w:r w:rsidRPr="00CE2185">
        <w:rPr>
          <w:rFonts w:eastAsia="Times New Roman"/>
          <w:noProof/>
        </w:rPr>
        <w:t>face limited uncertainty, as their scope is narrower, and they introduce fewer substantial changes. They should be assessed as of low uncertainty.</w:t>
      </w:r>
    </w:p>
    <w:p w14:paraId="5AD32FAD" w14:textId="70793C1A" w:rsidR="2F9CAAC6" w:rsidRPr="00CE2185" w:rsidRDefault="31405EC2" w:rsidP="0C923161">
      <w:pPr>
        <w:rPr>
          <w:noProof/>
        </w:rPr>
      </w:pPr>
      <w:r w:rsidRPr="00CE2185">
        <w:rPr>
          <w:rFonts w:eastAsia="Times New Roman"/>
          <w:noProof/>
        </w:rPr>
        <w:t xml:space="preserve">By contrast, </w:t>
      </w:r>
      <w:r w:rsidRPr="00CE2185">
        <w:rPr>
          <w:rFonts w:eastAsia="Times New Roman"/>
          <w:b/>
          <w:noProof/>
        </w:rPr>
        <w:t>Options A.2, B.2+C.2, D.2</w:t>
      </w:r>
      <w:r w:rsidR="007E452F">
        <w:rPr>
          <w:rFonts w:eastAsia="Times New Roman"/>
          <w:b/>
          <w:noProof/>
        </w:rPr>
        <w:t xml:space="preserve"> and D.3 </w:t>
      </w:r>
      <w:r w:rsidRPr="00CE2185">
        <w:rPr>
          <w:rFonts w:eastAsia="Times New Roman"/>
          <w:b/>
          <w:noProof/>
        </w:rPr>
        <w:t xml:space="preserve">are moderately sensitive (moderate uncertain) </w:t>
      </w:r>
      <w:r w:rsidRPr="00CE2185">
        <w:rPr>
          <w:rFonts w:eastAsia="Times New Roman"/>
          <w:noProof/>
        </w:rPr>
        <w:t xml:space="preserve">to implementation challenges, particularly regarding cross-border coordination, administrative capacity and uptake by stakeholders. For instance, Option A.2 assumes enhanced cooperation between ENISA and Member States, which depends on timely agreement on operational roles and funding arrangements. It also depends on the skills attestation uptake. In Option B.2, the creation of a predictable certification lifecycle assumes strong participation from industry and consistent Commission’s oversight, both of which are contingent on political commitment and administrative resources. Option C.2 relies on Member States and stakeholders developing a cyber posture scheme, which may be subject to delays due to legal or technical barriers, however this option should be taken in combination with option B.2. </w:t>
      </w:r>
      <w:r w:rsidR="007E452F" w:rsidRPr="00CE2185">
        <w:rPr>
          <w:rFonts w:eastAsia="Times New Roman"/>
          <w:noProof/>
        </w:rPr>
        <w:t xml:space="preserve">Option D.2 relies on already agreed identification of key assets in the EU coordinated risk assessment process with Member States. Option D.3 relies on the risk and evidence-based mechanism to define key assets and high-risk suppliers or entities originating from or controlled by countries posing cybersecurity concerns. Those are defined in a cooperative process and assumes strong participation of Member States. While the defining key assets brings relatively lower degree of uncertainty, identification of high-risk suppliers or countries posing cybersecurity concerns might become very political and therefore its level of uncertainty might be significant. </w:t>
      </w:r>
      <w:r w:rsidRPr="00CE2185">
        <w:rPr>
          <w:rFonts w:eastAsia="Times New Roman"/>
          <w:noProof/>
        </w:rPr>
        <w:t>However, this uncertainty becomes lower as the measures taken will be targeted and based on the evidence-based process. As these options are structured in a modular way that allows for incremental deployment and iterative improvements, reducing exposure to risk, even in conservative adoption scenarios, partial implementation is expected to deliver meaningful improvements over the baseline.</w:t>
      </w:r>
    </w:p>
    <w:p w14:paraId="40ED3D97" w14:textId="21577F35" w:rsidR="2F9CAAC6" w:rsidRPr="00CE2185" w:rsidRDefault="31405EC2" w:rsidP="0C923161">
      <w:pPr>
        <w:rPr>
          <w:noProof/>
        </w:rPr>
      </w:pPr>
      <w:r w:rsidRPr="00CE2185">
        <w:rPr>
          <w:rFonts w:eastAsia="Times New Roman"/>
          <w:b/>
          <w:noProof/>
        </w:rPr>
        <w:t>Options A.3, B.3 and C.3 exhibit higher uncertainty</w:t>
      </w:r>
      <w:r w:rsidRPr="00CE2185">
        <w:rPr>
          <w:rFonts w:eastAsia="Times New Roman"/>
          <w:noProof/>
        </w:rPr>
        <w:t xml:space="preserve">. These options rely heavily on significant institutional reform, large-scale behavioural change, and political consensus across Member States. Option A.3’s direct operational role for ENISA risks friction with the role of national CSIRTs and may require complex agreements that could delay execution. Option B.3 introduces selective mandatory certification, which could pose institutional and competitiveness risks. Option C.3 demands full repeal of existing Union legal acts and assumes rapid replacement through a single legal basis, which poses legal and institutional risks during the transition. Also, since stakeholders are currently adapting to these relatively recent legal acts, a full repeal thereof would lead to a significant legal uncertainty. Sensitivity analysis confirms that these more ambitious options are less resilient to delays, stakeholder resistance or partial implementation. Their benefits are highly dependent on full uptake and coordination, while their costs are largely front-loaded and unavoidable. Therefore, while they may offer high potential in ideal conditions, they are more vulnerable to real-world constraints. </w:t>
      </w:r>
    </w:p>
    <w:p w14:paraId="777463B7" w14:textId="29245EDC" w:rsidR="19381881" w:rsidRPr="00CE2185" w:rsidRDefault="19381881" w:rsidP="19381881">
      <w:pPr>
        <w:pStyle w:val="Text2"/>
        <w:spacing w:after="120"/>
        <w:ind w:left="0"/>
        <w:rPr>
          <w:noProof/>
        </w:rPr>
      </w:pPr>
    </w:p>
    <w:p w14:paraId="617F1020" w14:textId="1DFC85BA" w:rsidR="00C979E8" w:rsidRPr="00CE2185" w:rsidRDefault="00CA5CA8" w:rsidP="006618E1">
      <w:pPr>
        <w:pStyle w:val="Heading2"/>
        <w:rPr>
          <w:b w:val="0"/>
          <w:noProof/>
        </w:rPr>
      </w:pPr>
      <w:bookmarkStart w:id="146" w:name="_Toc210393848"/>
      <w:bookmarkStart w:id="147" w:name="_Toc219447385"/>
      <w:r w:rsidRPr="00CE2185">
        <w:rPr>
          <w:noProof/>
        </w:rPr>
        <w:t>Multi-criteria assessment</w:t>
      </w:r>
      <w:bookmarkEnd w:id="146"/>
      <w:bookmarkEnd w:id="147"/>
    </w:p>
    <w:p w14:paraId="49BBB01F" w14:textId="04857192" w:rsidR="002B5FB7" w:rsidRPr="00CE2185" w:rsidRDefault="00C96241" w:rsidP="00795DF0">
      <w:pPr>
        <w:spacing w:after="120"/>
        <w:rPr>
          <w:noProof/>
        </w:rPr>
      </w:pPr>
      <w:r w:rsidRPr="00CE2185">
        <w:rPr>
          <w:noProof/>
        </w:rPr>
        <w:t>The multi-criteria assessment provides a synthetic overview of how each option performs across the main evaluation criteria. While no formal weighting was applied, the analysis reflects an implicit prioritisation of effectiveness, efficiency and coherence, in line with the nature of the initiative. T</w:t>
      </w:r>
      <w:r w:rsidR="00C27C29" w:rsidRPr="00CE2185">
        <w:rPr>
          <w:noProof/>
        </w:rPr>
        <w:t>he</w:t>
      </w:r>
      <w:r w:rsidR="00C27C29" w:rsidRPr="00CE2185">
        <w:rPr>
          <w:b/>
          <w:bCs/>
          <w:noProof/>
        </w:rPr>
        <w:t xml:space="preserve"> t</w:t>
      </w:r>
      <w:r w:rsidRPr="00CE2185">
        <w:rPr>
          <w:b/>
          <w:bCs/>
          <w:noProof/>
        </w:rPr>
        <w:t>able</w:t>
      </w:r>
      <w:r w:rsidRPr="00CE2185">
        <w:rPr>
          <w:noProof/>
        </w:rPr>
        <w:t xml:space="preserve"> </w:t>
      </w:r>
      <w:r w:rsidR="003A17FC" w:rsidRPr="00CE2185">
        <w:rPr>
          <w:noProof/>
        </w:rPr>
        <w:t>below</w:t>
      </w:r>
      <w:r w:rsidRPr="00CE2185">
        <w:rPr>
          <w:noProof/>
        </w:rPr>
        <w:t xml:space="preserve"> summarises the results.</w:t>
      </w:r>
    </w:p>
    <w:p w14:paraId="78DD82B9" w14:textId="77777777" w:rsidR="000E15F6" w:rsidRPr="00CE2185" w:rsidRDefault="000E15F6" w:rsidP="00795DF0">
      <w:pPr>
        <w:spacing w:after="120"/>
        <w:rPr>
          <w:noProof/>
        </w:rPr>
      </w:pPr>
    </w:p>
    <w:p w14:paraId="78DFD711" w14:textId="77777777" w:rsidR="000E15F6" w:rsidRPr="00CE2185" w:rsidRDefault="000E15F6" w:rsidP="00795DF0">
      <w:pPr>
        <w:spacing w:after="120"/>
        <w:rPr>
          <w:noProof/>
        </w:rPr>
      </w:pPr>
    </w:p>
    <w:p w14:paraId="2EB6CE12" w14:textId="77777777" w:rsidR="002B5FB7" w:rsidRPr="00CE2185" w:rsidRDefault="002B5FB7" w:rsidP="00795DF0">
      <w:pPr>
        <w:spacing w:after="120"/>
        <w:rPr>
          <w:noProof/>
        </w:rPr>
        <w:sectPr w:rsidR="002B5FB7" w:rsidRPr="00CE2185" w:rsidSect="007C6691">
          <w:headerReference w:type="default" r:id="rId30"/>
          <w:footerReference w:type="default" r:id="rId31"/>
          <w:headerReference w:type="first" r:id="rId32"/>
          <w:footerReference w:type="first" r:id="rId33"/>
          <w:pgSz w:w="11906" w:h="16838"/>
          <w:pgMar w:top="1134" w:right="1418" w:bottom="1134" w:left="1418" w:header="601" w:footer="1077" w:gutter="0"/>
          <w:cols w:space="720"/>
          <w:titlePg/>
          <w:docGrid w:linePitch="326"/>
        </w:sectPr>
      </w:pPr>
    </w:p>
    <w:p w14:paraId="4E1DAECD" w14:textId="56A4D02A" w:rsidR="00C96241" w:rsidRDefault="008904DD" w:rsidP="00E5147D">
      <w:pPr>
        <w:pStyle w:val="Heading7"/>
        <w:rPr>
          <w:noProof/>
        </w:rPr>
      </w:pPr>
      <w:bookmarkStart w:id="148" w:name="_Toc218767780"/>
      <w:r w:rsidRPr="00CE2185">
        <w:rPr>
          <w:noProof/>
        </w:rPr>
        <w:t>Table 1</w:t>
      </w:r>
      <w:r w:rsidR="008B17FB" w:rsidRPr="00CE2185">
        <w:rPr>
          <w:noProof/>
        </w:rPr>
        <w:t>8</w:t>
      </w:r>
      <w:r w:rsidR="00BB702E">
        <w:rPr>
          <w:noProof/>
        </w:rPr>
        <w:t>:</w:t>
      </w:r>
      <w:r w:rsidRPr="00CE2185">
        <w:rPr>
          <w:noProof/>
        </w:rPr>
        <w:t xml:space="preserve"> Multi-criteria assessment</w:t>
      </w:r>
      <w:bookmarkEnd w:id="148"/>
    </w:p>
    <w:tbl>
      <w:tblPr>
        <w:tblW w:w="908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91"/>
        <w:gridCol w:w="2051"/>
        <w:gridCol w:w="1276"/>
        <w:gridCol w:w="1134"/>
        <w:gridCol w:w="1104"/>
        <w:gridCol w:w="1023"/>
        <w:gridCol w:w="1401"/>
      </w:tblGrid>
      <w:tr w:rsidR="007E452F" w:rsidRPr="00CE2185" w14:paraId="68C6ED8F" w14:textId="77777777" w:rsidTr="00641B35">
        <w:trPr>
          <w:trHeight w:val="300"/>
        </w:trPr>
        <w:tc>
          <w:tcPr>
            <w:tcW w:w="1091" w:type="dxa"/>
            <w:tcBorders>
              <w:top w:val="single" w:sz="18" w:space="0" w:color="auto"/>
              <w:left w:val="single" w:sz="18" w:space="0" w:color="auto"/>
              <w:bottom w:val="single" w:sz="18" w:space="0" w:color="auto"/>
              <w:right w:val="single" w:sz="18" w:space="0" w:color="auto"/>
            </w:tcBorders>
            <w:vAlign w:val="center"/>
            <w:hideMark/>
          </w:tcPr>
          <w:p w14:paraId="63700490" w14:textId="77777777" w:rsidR="007E452F" w:rsidRPr="00CE2185" w:rsidRDefault="007E452F" w:rsidP="00641B35">
            <w:pPr>
              <w:spacing w:after="0"/>
              <w:rPr>
                <w:noProof/>
                <w:lang w:val="en-IE"/>
              </w:rPr>
            </w:pPr>
            <w:r w:rsidRPr="00CE2185">
              <w:rPr>
                <w:b/>
                <w:bCs/>
                <w:noProof/>
              </w:rPr>
              <w:t>Option</w:t>
            </w:r>
            <w:r w:rsidRPr="00CE2185">
              <w:rPr>
                <w:noProof/>
                <w:lang w:val="en-IE"/>
              </w:rPr>
              <w:t> </w:t>
            </w:r>
          </w:p>
        </w:tc>
        <w:tc>
          <w:tcPr>
            <w:tcW w:w="2051" w:type="dxa"/>
            <w:tcBorders>
              <w:top w:val="single" w:sz="18" w:space="0" w:color="auto"/>
              <w:left w:val="single" w:sz="18" w:space="0" w:color="auto"/>
              <w:bottom w:val="single" w:sz="18" w:space="0" w:color="auto"/>
              <w:right w:val="single" w:sz="6" w:space="0" w:color="auto"/>
            </w:tcBorders>
            <w:vAlign w:val="center"/>
            <w:hideMark/>
          </w:tcPr>
          <w:p w14:paraId="5B6C0105" w14:textId="77777777" w:rsidR="007E452F" w:rsidRPr="00CE2185" w:rsidRDefault="007E452F" w:rsidP="00641B35">
            <w:pPr>
              <w:spacing w:after="0"/>
              <w:rPr>
                <w:noProof/>
                <w:lang w:val="en-IE"/>
              </w:rPr>
            </w:pPr>
            <w:r w:rsidRPr="00CE2185">
              <w:rPr>
                <w:b/>
                <w:bCs/>
                <w:noProof/>
              </w:rPr>
              <w:t>Effectiveness</w:t>
            </w:r>
            <w:r w:rsidRPr="00CE2185">
              <w:rPr>
                <w:noProof/>
                <w:lang w:val="en-IE"/>
              </w:rPr>
              <w:t> </w:t>
            </w:r>
          </w:p>
        </w:tc>
        <w:tc>
          <w:tcPr>
            <w:tcW w:w="1276" w:type="dxa"/>
            <w:tcBorders>
              <w:top w:val="single" w:sz="18" w:space="0" w:color="auto"/>
              <w:left w:val="single" w:sz="6" w:space="0" w:color="auto"/>
              <w:bottom w:val="single" w:sz="18" w:space="0" w:color="auto"/>
              <w:right w:val="single" w:sz="6" w:space="0" w:color="auto"/>
            </w:tcBorders>
            <w:vAlign w:val="center"/>
            <w:hideMark/>
          </w:tcPr>
          <w:p w14:paraId="59700E8E" w14:textId="77777777" w:rsidR="007E452F" w:rsidRPr="00CE2185" w:rsidRDefault="007E452F" w:rsidP="00641B35">
            <w:pPr>
              <w:spacing w:after="0"/>
              <w:rPr>
                <w:noProof/>
                <w:lang w:val="en-IE"/>
              </w:rPr>
            </w:pPr>
            <w:r w:rsidRPr="00CE2185">
              <w:rPr>
                <w:b/>
                <w:bCs/>
                <w:noProof/>
              </w:rPr>
              <w:t>Efficiency</w:t>
            </w:r>
            <w:r w:rsidRPr="00CE2185">
              <w:rPr>
                <w:noProof/>
                <w:lang w:val="en-IE"/>
              </w:rPr>
              <w:t> </w:t>
            </w:r>
          </w:p>
        </w:tc>
        <w:tc>
          <w:tcPr>
            <w:tcW w:w="1134" w:type="dxa"/>
            <w:tcBorders>
              <w:top w:val="single" w:sz="18" w:space="0" w:color="auto"/>
              <w:left w:val="single" w:sz="6" w:space="0" w:color="auto"/>
              <w:bottom w:val="single" w:sz="18" w:space="0" w:color="auto"/>
              <w:right w:val="single" w:sz="6" w:space="0" w:color="auto"/>
            </w:tcBorders>
            <w:vAlign w:val="center"/>
            <w:hideMark/>
          </w:tcPr>
          <w:p w14:paraId="3AEB5373" w14:textId="77777777" w:rsidR="007E452F" w:rsidRPr="00CE2185" w:rsidRDefault="007E452F" w:rsidP="00641B35">
            <w:pPr>
              <w:spacing w:after="0"/>
              <w:rPr>
                <w:noProof/>
                <w:lang w:val="en-IE"/>
              </w:rPr>
            </w:pPr>
            <w:r w:rsidRPr="00CE2185">
              <w:rPr>
                <w:b/>
                <w:bCs/>
                <w:noProof/>
              </w:rPr>
              <w:t>Coherence</w:t>
            </w:r>
            <w:r w:rsidRPr="00CE2185">
              <w:rPr>
                <w:noProof/>
                <w:lang w:val="en-IE"/>
              </w:rPr>
              <w:t> </w:t>
            </w:r>
          </w:p>
        </w:tc>
        <w:tc>
          <w:tcPr>
            <w:tcW w:w="1104" w:type="dxa"/>
            <w:tcBorders>
              <w:top w:val="single" w:sz="18" w:space="0" w:color="auto"/>
              <w:left w:val="single" w:sz="6" w:space="0" w:color="auto"/>
              <w:bottom w:val="single" w:sz="18" w:space="0" w:color="auto"/>
              <w:right w:val="single" w:sz="6" w:space="0" w:color="auto"/>
            </w:tcBorders>
            <w:vAlign w:val="center"/>
            <w:hideMark/>
          </w:tcPr>
          <w:p w14:paraId="70ED31E6" w14:textId="77777777" w:rsidR="007E452F" w:rsidRPr="00CE2185" w:rsidRDefault="007E452F" w:rsidP="00641B35">
            <w:pPr>
              <w:spacing w:after="0"/>
              <w:rPr>
                <w:noProof/>
                <w:lang w:val="en-IE"/>
              </w:rPr>
            </w:pPr>
            <w:r w:rsidRPr="00CE2185">
              <w:rPr>
                <w:b/>
                <w:bCs/>
                <w:noProof/>
              </w:rPr>
              <w:t>Proportionality</w:t>
            </w:r>
            <w:r w:rsidRPr="00CE2185">
              <w:rPr>
                <w:noProof/>
                <w:lang w:val="en-IE"/>
              </w:rPr>
              <w:t> </w:t>
            </w:r>
          </w:p>
        </w:tc>
        <w:tc>
          <w:tcPr>
            <w:tcW w:w="1023" w:type="dxa"/>
            <w:tcBorders>
              <w:top w:val="single" w:sz="18" w:space="0" w:color="auto"/>
              <w:left w:val="single" w:sz="6" w:space="0" w:color="auto"/>
              <w:bottom w:val="single" w:sz="18" w:space="0" w:color="auto"/>
              <w:right w:val="single" w:sz="6" w:space="0" w:color="auto"/>
            </w:tcBorders>
            <w:vAlign w:val="center"/>
            <w:hideMark/>
          </w:tcPr>
          <w:p w14:paraId="56A03D90" w14:textId="77777777" w:rsidR="007E452F" w:rsidRPr="00CE2185" w:rsidRDefault="007E452F" w:rsidP="00641B35">
            <w:pPr>
              <w:spacing w:after="0"/>
              <w:rPr>
                <w:noProof/>
                <w:lang w:val="en-IE"/>
              </w:rPr>
            </w:pPr>
            <w:r w:rsidRPr="00CE2185">
              <w:rPr>
                <w:b/>
                <w:bCs/>
                <w:noProof/>
              </w:rPr>
              <w:t>Certainty</w:t>
            </w:r>
            <w:r w:rsidRPr="00CE2185">
              <w:rPr>
                <w:noProof/>
                <w:lang w:val="en-IE"/>
              </w:rPr>
              <w:t> </w:t>
            </w:r>
          </w:p>
        </w:tc>
        <w:tc>
          <w:tcPr>
            <w:tcW w:w="1401" w:type="dxa"/>
            <w:tcBorders>
              <w:top w:val="single" w:sz="18" w:space="0" w:color="auto"/>
              <w:left w:val="single" w:sz="6" w:space="0" w:color="auto"/>
              <w:bottom w:val="single" w:sz="18" w:space="0" w:color="auto"/>
              <w:right w:val="single" w:sz="6" w:space="0" w:color="auto"/>
            </w:tcBorders>
            <w:hideMark/>
          </w:tcPr>
          <w:p w14:paraId="5C66A4A3" w14:textId="77777777" w:rsidR="007E452F" w:rsidRPr="00CE2185" w:rsidRDefault="007E452F" w:rsidP="00641B35">
            <w:pPr>
              <w:spacing w:after="0"/>
              <w:rPr>
                <w:noProof/>
                <w:lang w:val="en-IE"/>
              </w:rPr>
            </w:pPr>
            <w:r w:rsidRPr="00CE2185">
              <w:rPr>
                <w:b/>
                <w:bCs/>
                <w:noProof/>
              </w:rPr>
              <w:t>Overall performance </w:t>
            </w:r>
            <w:r w:rsidRPr="00CE2185">
              <w:rPr>
                <w:noProof/>
                <w:lang w:val="en-IE"/>
              </w:rPr>
              <w:t> </w:t>
            </w:r>
          </w:p>
        </w:tc>
      </w:tr>
      <w:tr w:rsidR="007E452F" w:rsidRPr="00CE2185" w14:paraId="7D1C9453" w14:textId="77777777" w:rsidTr="00641B35">
        <w:trPr>
          <w:trHeight w:val="1160"/>
        </w:trPr>
        <w:tc>
          <w:tcPr>
            <w:tcW w:w="1091" w:type="dxa"/>
            <w:tcBorders>
              <w:top w:val="single" w:sz="18" w:space="0" w:color="auto"/>
              <w:left w:val="single" w:sz="18" w:space="0" w:color="auto"/>
              <w:bottom w:val="single" w:sz="18" w:space="0" w:color="auto"/>
              <w:right w:val="single" w:sz="18" w:space="0" w:color="auto"/>
            </w:tcBorders>
            <w:vAlign w:val="center"/>
            <w:hideMark/>
          </w:tcPr>
          <w:p w14:paraId="329479D1" w14:textId="77777777" w:rsidR="007E452F" w:rsidRPr="00CE2185" w:rsidRDefault="007E452F" w:rsidP="00641B35">
            <w:pPr>
              <w:spacing w:after="0"/>
              <w:rPr>
                <w:noProof/>
                <w:lang w:val="en-IE"/>
              </w:rPr>
            </w:pPr>
            <w:r w:rsidRPr="00CE2185">
              <w:rPr>
                <w:b/>
                <w:bCs/>
                <w:noProof/>
              </w:rPr>
              <w:t>Low</w:t>
            </w:r>
            <w:r w:rsidRPr="00CE2185">
              <w:rPr>
                <w:noProof/>
                <w:lang w:val="en-IE"/>
              </w:rPr>
              <w:t> </w:t>
            </w:r>
          </w:p>
        </w:tc>
        <w:tc>
          <w:tcPr>
            <w:tcW w:w="2051" w:type="dxa"/>
            <w:tcBorders>
              <w:top w:val="single" w:sz="18" w:space="0" w:color="auto"/>
              <w:left w:val="single" w:sz="18" w:space="0" w:color="auto"/>
              <w:bottom w:val="single" w:sz="18" w:space="0" w:color="auto"/>
              <w:right w:val="single" w:sz="6" w:space="0" w:color="auto"/>
            </w:tcBorders>
            <w:vAlign w:val="center"/>
            <w:hideMark/>
          </w:tcPr>
          <w:p w14:paraId="05120BDD" w14:textId="77777777" w:rsidR="007E452F" w:rsidRPr="00CE2185" w:rsidRDefault="007E452F" w:rsidP="00641B35">
            <w:pPr>
              <w:spacing w:after="0"/>
              <w:rPr>
                <w:noProof/>
                <w:lang w:val="en-IE"/>
              </w:rPr>
            </w:pPr>
            <w:r w:rsidRPr="00CE2185">
              <w:rPr>
                <w:noProof/>
                <w:lang w:val="en-IE"/>
              </w:rPr>
              <w:t> </w:t>
            </w:r>
            <w:r w:rsidRPr="00CE2185">
              <w:rPr>
                <w:noProof/>
              </w:rPr>
              <w:t>A.1</w:t>
            </w:r>
            <w:r w:rsidRPr="00CE2185">
              <w:rPr>
                <w:noProof/>
                <w:lang w:val="en-IE"/>
              </w:rPr>
              <w:t> </w:t>
            </w:r>
          </w:p>
          <w:p w14:paraId="205DD4F6" w14:textId="77777777" w:rsidR="007E452F" w:rsidRPr="00CE2185" w:rsidRDefault="007E452F" w:rsidP="00641B35">
            <w:pPr>
              <w:spacing w:after="0"/>
              <w:rPr>
                <w:noProof/>
                <w:lang w:val="en-IE"/>
              </w:rPr>
            </w:pPr>
            <w:r w:rsidRPr="00CE2185">
              <w:rPr>
                <w:noProof/>
              </w:rPr>
              <w:t>B.1</w:t>
            </w:r>
            <w:r w:rsidRPr="00CE2185">
              <w:rPr>
                <w:noProof/>
                <w:lang w:val="en-IE"/>
              </w:rPr>
              <w:t> </w:t>
            </w:r>
          </w:p>
          <w:p w14:paraId="4ABF9345" w14:textId="77777777" w:rsidR="007E452F" w:rsidRPr="00CE2185" w:rsidRDefault="007E452F" w:rsidP="00641B35">
            <w:pPr>
              <w:spacing w:after="0"/>
              <w:rPr>
                <w:noProof/>
                <w:lang w:val="en-IE"/>
              </w:rPr>
            </w:pPr>
            <w:r w:rsidRPr="00CE2185">
              <w:rPr>
                <w:noProof/>
              </w:rPr>
              <w:t>C.1</w:t>
            </w:r>
            <w:r w:rsidRPr="00CE2185">
              <w:rPr>
                <w:noProof/>
                <w:lang w:val="en-IE"/>
              </w:rPr>
              <w:t> </w:t>
            </w:r>
          </w:p>
          <w:p w14:paraId="328196DC" w14:textId="77777777" w:rsidR="007E452F" w:rsidRPr="00CE2185" w:rsidRDefault="007E452F" w:rsidP="00641B35">
            <w:pPr>
              <w:spacing w:after="0"/>
              <w:rPr>
                <w:noProof/>
                <w:lang w:val="en-IE"/>
              </w:rPr>
            </w:pPr>
            <w:r w:rsidRPr="00CE2185">
              <w:rPr>
                <w:noProof/>
              </w:rPr>
              <w:t>D.1</w:t>
            </w:r>
            <w:r w:rsidRPr="00CE2185">
              <w:rPr>
                <w:noProof/>
                <w:lang w:val="en-IE"/>
              </w:rPr>
              <w:t> </w:t>
            </w:r>
          </w:p>
        </w:tc>
        <w:tc>
          <w:tcPr>
            <w:tcW w:w="1276" w:type="dxa"/>
            <w:tcBorders>
              <w:top w:val="single" w:sz="18" w:space="0" w:color="auto"/>
              <w:left w:val="single" w:sz="6" w:space="0" w:color="auto"/>
              <w:bottom w:val="single" w:sz="18" w:space="0" w:color="auto"/>
              <w:right w:val="single" w:sz="6" w:space="0" w:color="auto"/>
            </w:tcBorders>
            <w:vAlign w:val="center"/>
            <w:hideMark/>
          </w:tcPr>
          <w:p w14:paraId="308532C4" w14:textId="77777777" w:rsidR="007E452F" w:rsidRPr="00CE2185" w:rsidRDefault="007E452F" w:rsidP="00641B35">
            <w:pPr>
              <w:spacing w:after="0"/>
              <w:rPr>
                <w:noProof/>
                <w:lang w:val="en-IE"/>
              </w:rPr>
            </w:pPr>
            <w:r w:rsidRPr="00CE2185">
              <w:rPr>
                <w:noProof/>
              </w:rPr>
              <w:t>B1</w:t>
            </w:r>
            <w:r w:rsidRPr="00CE2185">
              <w:rPr>
                <w:noProof/>
                <w:lang w:val="en-IE"/>
              </w:rPr>
              <w:t> </w:t>
            </w:r>
          </w:p>
          <w:p w14:paraId="00F94F91" w14:textId="77777777" w:rsidR="007E452F" w:rsidRPr="00CE2185" w:rsidRDefault="007E452F" w:rsidP="00641B35">
            <w:pPr>
              <w:spacing w:after="0"/>
              <w:rPr>
                <w:noProof/>
                <w:lang w:val="en-IE"/>
              </w:rPr>
            </w:pPr>
            <w:r w:rsidRPr="00CE2185">
              <w:rPr>
                <w:noProof/>
              </w:rPr>
              <w:t>B3 (&gt; B1)</w:t>
            </w:r>
            <w:r w:rsidRPr="00CE2185">
              <w:rPr>
                <w:noProof/>
                <w:lang w:val="en-IE"/>
              </w:rPr>
              <w:t> </w:t>
            </w:r>
          </w:p>
          <w:p w14:paraId="776E104A" w14:textId="77777777" w:rsidR="007E452F" w:rsidRPr="00CE2185" w:rsidRDefault="007E452F" w:rsidP="00641B35">
            <w:pPr>
              <w:spacing w:after="0"/>
              <w:rPr>
                <w:noProof/>
                <w:lang w:val="en-IE"/>
              </w:rPr>
            </w:pPr>
            <w:r w:rsidRPr="00CE2185">
              <w:rPr>
                <w:noProof/>
              </w:rPr>
              <w:t>C1</w:t>
            </w:r>
            <w:r w:rsidRPr="00CE2185">
              <w:rPr>
                <w:noProof/>
                <w:lang w:val="en-IE"/>
              </w:rPr>
              <w:t> </w:t>
            </w:r>
          </w:p>
          <w:p w14:paraId="5473E3F0" w14:textId="77777777" w:rsidR="007E452F" w:rsidRPr="00CE2185" w:rsidRDefault="007E452F" w:rsidP="00641B35">
            <w:pPr>
              <w:spacing w:after="0"/>
              <w:rPr>
                <w:noProof/>
                <w:lang w:val="en-IE"/>
              </w:rPr>
            </w:pPr>
            <w:r w:rsidRPr="00CE2185">
              <w:rPr>
                <w:noProof/>
              </w:rPr>
              <w:t>D1</w:t>
            </w:r>
            <w:r w:rsidRPr="00CE2185">
              <w:rPr>
                <w:noProof/>
                <w:lang w:val="en-IE"/>
              </w:rPr>
              <w:t> </w:t>
            </w:r>
          </w:p>
        </w:tc>
        <w:tc>
          <w:tcPr>
            <w:tcW w:w="1134" w:type="dxa"/>
            <w:tcBorders>
              <w:top w:val="single" w:sz="18" w:space="0" w:color="auto"/>
              <w:left w:val="single" w:sz="6" w:space="0" w:color="auto"/>
              <w:bottom w:val="single" w:sz="18" w:space="0" w:color="auto"/>
              <w:right w:val="single" w:sz="6" w:space="0" w:color="auto"/>
            </w:tcBorders>
            <w:vAlign w:val="center"/>
            <w:hideMark/>
          </w:tcPr>
          <w:p w14:paraId="7CFC59B5" w14:textId="77777777" w:rsidR="007E452F" w:rsidRPr="00CE2185" w:rsidRDefault="007E452F" w:rsidP="00641B35">
            <w:pPr>
              <w:spacing w:after="0"/>
              <w:rPr>
                <w:noProof/>
                <w:lang w:val="en-IE"/>
              </w:rPr>
            </w:pPr>
            <w:r w:rsidRPr="00CE2185">
              <w:rPr>
                <w:noProof/>
              </w:rPr>
              <w:t>A.3</w:t>
            </w:r>
            <w:r w:rsidRPr="00CE2185">
              <w:rPr>
                <w:noProof/>
                <w:lang w:val="en-IE"/>
              </w:rPr>
              <w:t> </w:t>
            </w:r>
          </w:p>
          <w:p w14:paraId="780A67B1" w14:textId="77777777" w:rsidR="007E452F" w:rsidRPr="00CE2185" w:rsidRDefault="007E452F" w:rsidP="00641B35">
            <w:pPr>
              <w:spacing w:after="0"/>
              <w:rPr>
                <w:noProof/>
                <w:lang w:val="en-IE"/>
              </w:rPr>
            </w:pPr>
            <w:r w:rsidRPr="00CE2185">
              <w:rPr>
                <w:noProof/>
              </w:rPr>
              <w:t>C.3</w:t>
            </w:r>
            <w:r w:rsidRPr="00CE2185">
              <w:rPr>
                <w:noProof/>
                <w:lang w:val="en-IE"/>
              </w:rPr>
              <w:t> </w:t>
            </w:r>
          </w:p>
        </w:tc>
        <w:tc>
          <w:tcPr>
            <w:tcW w:w="1104" w:type="dxa"/>
            <w:tcBorders>
              <w:top w:val="single" w:sz="18" w:space="0" w:color="auto"/>
              <w:left w:val="single" w:sz="6" w:space="0" w:color="auto"/>
              <w:bottom w:val="single" w:sz="18" w:space="0" w:color="auto"/>
              <w:right w:val="single" w:sz="6" w:space="0" w:color="auto"/>
            </w:tcBorders>
            <w:vAlign w:val="center"/>
            <w:hideMark/>
          </w:tcPr>
          <w:p w14:paraId="4238E3B7" w14:textId="77777777" w:rsidR="007E452F" w:rsidRPr="00CE2185" w:rsidRDefault="007E452F" w:rsidP="00641B35">
            <w:pPr>
              <w:spacing w:after="0"/>
              <w:rPr>
                <w:noProof/>
                <w:lang w:val="en-IE"/>
              </w:rPr>
            </w:pPr>
            <w:r w:rsidRPr="00CE2185">
              <w:rPr>
                <w:noProof/>
              </w:rPr>
              <w:t>A.3</w:t>
            </w:r>
            <w:r w:rsidRPr="00CE2185">
              <w:rPr>
                <w:noProof/>
                <w:lang w:val="en-IE"/>
              </w:rPr>
              <w:t> </w:t>
            </w:r>
          </w:p>
          <w:p w14:paraId="1B84CB69" w14:textId="77777777" w:rsidR="007E452F" w:rsidRPr="00CE2185" w:rsidRDefault="007E452F" w:rsidP="00641B35">
            <w:pPr>
              <w:spacing w:after="0"/>
              <w:rPr>
                <w:noProof/>
                <w:lang w:val="en-IE"/>
              </w:rPr>
            </w:pPr>
            <w:r w:rsidRPr="00CE2185">
              <w:rPr>
                <w:noProof/>
              </w:rPr>
              <w:t>C.3</w:t>
            </w:r>
            <w:r w:rsidRPr="00CE2185">
              <w:rPr>
                <w:noProof/>
                <w:lang w:val="en-IE"/>
              </w:rPr>
              <w:t> </w:t>
            </w:r>
          </w:p>
        </w:tc>
        <w:tc>
          <w:tcPr>
            <w:tcW w:w="1023" w:type="dxa"/>
            <w:tcBorders>
              <w:top w:val="single" w:sz="18" w:space="0" w:color="auto"/>
              <w:left w:val="single" w:sz="6" w:space="0" w:color="auto"/>
              <w:bottom w:val="single" w:sz="18" w:space="0" w:color="auto"/>
              <w:right w:val="single" w:sz="6" w:space="0" w:color="auto"/>
            </w:tcBorders>
            <w:vAlign w:val="center"/>
            <w:hideMark/>
          </w:tcPr>
          <w:p w14:paraId="507C2C26" w14:textId="77777777" w:rsidR="007E452F" w:rsidRPr="00CE2185" w:rsidRDefault="007E452F" w:rsidP="00641B35">
            <w:pPr>
              <w:spacing w:after="0"/>
              <w:rPr>
                <w:noProof/>
                <w:lang w:val="en-IE"/>
              </w:rPr>
            </w:pPr>
            <w:r w:rsidRPr="00CE2185">
              <w:rPr>
                <w:noProof/>
              </w:rPr>
              <w:t>A.3</w:t>
            </w:r>
            <w:r w:rsidRPr="00CE2185">
              <w:rPr>
                <w:noProof/>
                <w:lang w:val="en-IE"/>
              </w:rPr>
              <w:t> </w:t>
            </w:r>
          </w:p>
          <w:p w14:paraId="46B67FB4" w14:textId="77777777" w:rsidR="007E452F" w:rsidRPr="00CE2185" w:rsidRDefault="007E452F" w:rsidP="00641B35">
            <w:pPr>
              <w:spacing w:after="0"/>
              <w:rPr>
                <w:noProof/>
                <w:lang w:val="en-IE"/>
              </w:rPr>
            </w:pPr>
            <w:r w:rsidRPr="00CE2185">
              <w:rPr>
                <w:noProof/>
              </w:rPr>
              <w:t>B.3</w:t>
            </w:r>
            <w:r w:rsidRPr="00CE2185">
              <w:rPr>
                <w:noProof/>
                <w:lang w:val="en-IE"/>
              </w:rPr>
              <w:t> </w:t>
            </w:r>
          </w:p>
          <w:p w14:paraId="624DE452" w14:textId="77777777" w:rsidR="007E452F" w:rsidRPr="00CE2185" w:rsidRDefault="007E452F" w:rsidP="00641B35">
            <w:pPr>
              <w:spacing w:after="0"/>
              <w:rPr>
                <w:noProof/>
                <w:lang w:val="en-IE"/>
              </w:rPr>
            </w:pPr>
            <w:r w:rsidRPr="00CE2185">
              <w:rPr>
                <w:noProof/>
              </w:rPr>
              <w:t>C.3</w:t>
            </w:r>
            <w:r w:rsidRPr="00CE2185">
              <w:rPr>
                <w:noProof/>
                <w:lang w:val="en-IE"/>
              </w:rPr>
              <w:t> </w:t>
            </w:r>
          </w:p>
        </w:tc>
        <w:tc>
          <w:tcPr>
            <w:tcW w:w="1401" w:type="dxa"/>
            <w:tcBorders>
              <w:top w:val="single" w:sz="18" w:space="0" w:color="auto"/>
              <w:left w:val="single" w:sz="6" w:space="0" w:color="auto"/>
              <w:bottom w:val="single" w:sz="18" w:space="0" w:color="auto"/>
              <w:right w:val="single" w:sz="6" w:space="0" w:color="auto"/>
            </w:tcBorders>
            <w:hideMark/>
          </w:tcPr>
          <w:p w14:paraId="613D0603" w14:textId="77777777" w:rsidR="007E452F" w:rsidRPr="00CE2185" w:rsidRDefault="007E452F" w:rsidP="00641B35">
            <w:pPr>
              <w:spacing w:after="0"/>
              <w:rPr>
                <w:noProof/>
                <w:lang w:val="en-IE"/>
              </w:rPr>
            </w:pPr>
            <w:r w:rsidRPr="00CE2185">
              <w:rPr>
                <w:noProof/>
                <w:lang w:val="en-IE"/>
              </w:rPr>
              <w:t> </w:t>
            </w:r>
          </w:p>
        </w:tc>
      </w:tr>
      <w:tr w:rsidR="007E452F" w:rsidRPr="00CE2185" w14:paraId="5877B167" w14:textId="77777777" w:rsidTr="00641B35">
        <w:trPr>
          <w:trHeight w:val="300"/>
        </w:trPr>
        <w:tc>
          <w:tcPr>
            <w:tcW w:w="1091" w:type="dxa"/>
            <w:tcBorders>
              <w:top w:val="single" w:sz="18" w:space="0" w:color="auto"/>
              <w:left w:val="single" w:sz="18" w:space="0" w:color="auto"/>
              <w:bottom w:val="single" w:sz="18" w:space="0" w:color="auto"/>
              <w:right w:val="single" w:sz="18" w:space="0" w:color="auto"/>
            </w:tcBorders>
            <w:vAlign w:val="center"/>
            <w:hideMark/>
          </w:tcPr>
          <w:p w14:paraId="4C73424A" w14:textId="77777777" w:rsidR="007E452F" w:rsidRPr="00CE2185" w:rsidRDefault="007E452F" w:rsidP="00641B35">
            <w:pPr>
              <w:spacing w:after="0"/>
              <w:rPr>
                <w:noProof/>
                <w:lang w:val="en-IE"/>
              </w:rPr>
            </w:pPr>
            <w:r w:rsidRPr="00CE2185">
              <w:rPr>
                <w:b/>
                <w:bCs/>
                <w:noProof/>
              </w:rPr>
              <w:t>Moderate (Medium)</w:t>
            </w:r>
            <w:r w:rsidRPr="00CE2185">
              <w:rPr>
                <w:noProof/>
                <w:lang w:val="en-IE"/>
              </w:rPr>
              <w:t> </w:t>
            </w:r>
          </w:p>
        </w:tc>
        <w:tc>
          <w:tcPr>
            <w:tcW w:w="2051" w:type="dxa"/>
            <w:tcBorders>
              <w:top w:val="single" w:sz="18" w:space="0" w:color="auto"/>
              <w:left w:val="single" w:sz="18" w:space="0" w:color="auto"/>
              <w:bottom w:val="single" w:sz="18" w:space="0" w:color="auto"/>
              <w:right w:val="single" w:sz="6" w:space="0" w:color="auto"/>
            </w:tcBorders>
            <w:vAlign w:val="center"/>
            <w:hideMark/>
          </w:tcPr>
          <w:p w14:paraId="7CC300BF" w14:textId="77777777" w:rsidR="007E452F" w:rsidRPr="00CE2185" w:rsidRDefault="007E452F" w:rsidP="00641B35">
            <w:pPr>
              <w:spacing w:after="0"/>
              <w:rPr>
                <w:noProof/>
                <w:lang w:val="en-IE"/>
              </w:rPr>
            </w:pPr>
            <w:r w:rsidRPr="00CE2185">
              <w:rPr>
                <w:noProof/>
              </w:rPr>
              <w:t>B.2/B.3+D.2</w:t>
            </w:r>
            <w:r w:rsidRPr="00CE2185">
              <w:rPr>
                <w:noProof/>
                <w:lang w:val="en-IE"/>
              </w:rPr>
              <w:t> </w:t>
            </w:r>
          </w:p>
          <w:p w14:paraId="6000A6DB" w14:textId="77777777" w:rsidR="007E452F" w:rsidRPr="00CE2185" w:rsidRDefault="007E452F" w:rsidP="00641B35">
            <w:pPr>
              <w:spacing w:after="0"/>
              <w:rPr>
                <w:noProof/>
                <w:lang w:val="en-IE"/>
              </w:rPr>
            </w:pPr>
            <w:r w:rsidRPr="00CE2185">
              <w:rPr>
                <w:noProof/>
              </w:rPr>
              <w:t>A.3 </w:t>
            </w:r>
            <w:r w:rsidRPr="00CE2185">
              <w:rPr>
                <w:noProof/>
                <w:lang w:val="en-IE"/>
              </w:rPr>
              <w:t> </w:t>
            </w:r>
          </w:p>
          <w:p w14:paraId="140E08FC" w14:textId="77777777" w:rsidR="007E452F" w:rsidRPr="00CE2185" w:rsidRDefault="007E452F" w:rsidP="00641B35">
            <w:pPr>
              <w:spacing w:after="0"/>
              <w:rPr>
                <w:noProof/>
                <w:lang w:val="en-IE"/>
              </w:rPr>
            </w:pPr>
            <w:r w:rsidRPr="00CE2185">
              <w:rPr>
                <w:noProof/>
              </w:rPr>
              <w:t>D.2</w:t>
            </w:r>
            <w:r w:rsidRPr="00CE2185">
              <w:rPr>
                <w:noProof/>
                <w:lang w:val="en-IE"/>
              </w:rPr>
              <w:t> </w:t>
            </w:r>
          </w:p>
          <w:p w14:paraId="797B74D3" w14:textId="77777777" w:rsidR="007E452F" w:rsidRPr="00CE2185" w:rsidRDefault="007E452F" w:rsidP="00641B35">
            <w:pPr>
              <w:spacing w:after="0"/>
              <w:rPr>
                <w:noProof/>
                <w:lang w:val="en-IE"/>
              </w:rPr>
            </w:pPr>
            <w:r w:rsidRPr="00CE2185">
              <w:rPr>
                <w:noProof/>
              </w:rPr>
              <w:t>D.3 + C.1</w:t>
            </w:r>
            <w:r w:rsidRPr="00CE2185">
              <w:rPr>
                <w:noProof/>
                <w:lang w:val="en-IE"/>
              </w:rPr>
              <w:t> </w:t>
            </w:r>
          </w:p>
          <w:p w14:paraId="103DB539" w14:textId="77777777" w:rsidR="007E452F" w:rsidRPr="00CE2185" w:rsidRDefault="007E452F" w:rsidP="00641B35">
            <w:pPr>
              <w:spacing w:after="0"/>
              <w:rPr>
                <w:noProof/>
                <w:lang w:val="en-IE"/>
              </w:rPr>
            </w:pPr>
            <w:r w:rsidRPr="00CE2185">
              <w:rPr>
                <w:noProof/>
              </w:rPr>
              <w:t>D.3 + B.1</w:t>
            </w:r>
            <w:r w:rsidRPr="00CE2185">
              <w:rPr>
                <w:noProof/>
                <w:lang w:val="en-IE"/>
              </w:rPr>
              <w:t> </w:t>
            </w:r>
          </w:p>
        </w:tc>
        <w:tc>
          <w:tcPr>
            <w:tcW w:w="1276" w:type="dxa"/>
            <w:tcBorders>
              <w:top w:val="single" w:sz="18" w:space="0" w:color="auto"/>
              <w:left w:val="single" w:sz="6" w:space="0" w:color="auto"/>
              <w:bottom w:val="single" w:sz="18" w:space="0" w:color="auto"/>
              <w:right w:val="single" w:sz="6" w:space="0" w:color="auto"/>
            </w:tcBorders>
            <w:vAlign w:val="center"/>
            <w:hideMark/>
          </w:tcPr>
          <w:p w14:paraId="2A5DF4D8" w14:textId="77777777" w:rsidR="007E452F" w:rsidRPr="00CE2185" w:rsidRDefault="007E452F" w:rsidP="00641B35">
            <w:pPr>
              <w:spacing w:after="0"/>
              <w:rPr>
                <w:noProof/>
                <w:lang w:val="en-IE"/>
              </w:rPr>
            </w:pPr>
            <w:r w:rsidRPr="00CE2185">
              <w:rPr>
                <w:noProof/>
              </w:rPr>
              <w:t>A1</w:t>
            </w:r>
            <w:r w:rsidRPr="00CE2185">
              <w:rPr>
                <w:noProof/>
                <w:lang w:val="en-IE"/>
              </w:rPr>
              <w:t> </w:t>
            </w:r>
          </w:p>
          <w:p w14:paraId="7186D197" w14:textId="77777777" w:rsidR="007E452F" w:rsidRPr="00CE2185" w:rsidRDefault="007E452F" w:rsidP="00641B35">
            <w:pPr>
              <w:spacing w:after="0"/>
              <w:rPr>
                <w:noProof/>
                <w:lang w:val="en-IE"/>
              </w:rPr>
            </w:pPr>
            <w:r w:rsidRPr="00CE2185">
              <w:rPr>
                <w:noProof/>
              </w:rPr>
              <w:t>B2</w:t>
            </w:r>
            <w:r w:rsidRPr="00CE2185">
              <w:rPr>
                <w:noProof/>
                <w:lang w:val="en-IE"/>
              </w:rPr>
              <w:t> </w:t>
            </w:r>
          </w:p>
          <w:p w14:paraId="5C2386DD" w14:textId="77777777" w:rsidR="007E452F" w:rsidRPr="00CE2185" w:rsidRDefault="007E452F" w:rsidP="00641B35">
            <w:pPr>
              <w:spacing w:after="0"/>
              <w:rPr>
                <w:noProof/>
                <w:lang w:val="en-IE"/>
              </w:rPr>
            </w:pPr>
            <w:r w:rsidRPr="00CE2185">
              <w:rPr>
                <w:noProof/>
              </w:rPr>
              <w:t>B1+D3/D2 </w:t>
            </w:r>
            <w:r w:rsidRPr="00CE2185">
              <w:rPr>
                <w:noProof/>
                <w:lang w:val="en-IE"/>
              </w:rPr>
              <w:t> </w:t>
            </w:r>
          </w:p>
          <w:p w14:paraId="59F9B39C" w14:textId="77777777" w:rsidR="007E452F" w:rsidRPr="00CE2185" w:rsidRDefault="007E452F" w:rsidP="00641B35">
            <w:pPr>
              <w:spacing w:after="0"/>
              <w:rPr>
                <w:noProof/>
                <w:lang w:val="en-IE"/>
              </w:rPr>
            </w:pPr>
            <w:r w:rsidRPr="00CE2185">
              <w:rPr>
                <w:noProof/>
              </w:rPr>
              <w:t>B3 + D3/D2</w:t>
            </w:r>
            <w:r w:rsidRPr="00CE2185">
              <w:rPr>
                <w:noProof/>
                <w:lang w:val="en-IE"/>
              </w:rPr>
              <w:t> </w:t>
            </w:r>
          </w:p>
          <w:p w14:paraId="5B6C5404" w14:textId="77777777" w:rsidR="007E452F" w:rsidRPr="00CE2185" w:rsidRDefault="007E452F" w:rsidP="00641B35">
            <w:pPr>
              <w:spacing w:after="0"/>
              <w:rPr>
                <w:noProof/>
                <w:lang w:val="en-IE"/>
              </w:rPr>
            </w:pPr>
            <w:r w:rsidRPr="00CE2185">
              <w:rPr>
                <w:noProof/>
              </w:rPr>
              <w:t>C2</w:t>
            </w:r>
            <w:r w:rsidRPr="00CE2185">
              <w:rPr>
                <w:noProof/>
                <w:lang w:val="en-IE"/>
              </w:rPr>
              <w:t> </w:t>
            </w:r>
          </w:p>
          <w:p w14:paraId="65E01051" w14:textId="77777777" w:rsidR="007E452F" w:rsidRPr="00CE2185" w:rsidRDefault="007E452F" w:rsidP="00641B35">
            <w:pPr>
              <w:spacing w:after="0"/>
              <w:rPr>
                <w:noProof/>
                <w:lang w:val="en-IE"/>
              </w:rPr>
            </w:pPr>
            <w:r w:rsidRPr="00CE2185">
              <w:rPr>
                <w:noProof/>
              </w:rPr>
              <w:t>D2</w:t>
            </w:r>
            <w:r w:rsidRPr="00CE2185">
              <w:rPr>
                <w:noProof/>
                <w:lang w:val="en-IE"/>
              </w:rPr>
              <w:t> </w:t>
            </w:r>
          </w:p>
        </w:tc>
        <w:tc>
          <w:tcPr>
            <w:tcW w:w="1134" w:type="dxa"/>
            <w:tcBorders>
              <w:top w:val="single" w:sz="18" w:space="0" w:color="auto"/>
              <w:left w:val="single" w:sz="6" w:space="0" w:color="auto"/>
              <w:bottom w:val="single" w:sz="18" w:space="0" w:color="auto"/>
              <w:right w:val="single" w:sz="6" w:space="0" w:color="auto"/>
            </w:tcBorders>
            <w:vAlign w:val="center"/>
            <w:hideMark/>
          </w:tcPr>
          <w:p w14:paraId="5FDEDEB9" w14:textId="77777777" w:rsidR="007E452F" w:rsidRPr="00CE2185" w:rsidRDefault="007E452F" w:rsidP="00641B35">
            <w:pPr>
              <w:spacing w:after="0"/>
              <w:rPr>
                <w:noProof/>
                <w:lang w:val="en-IE"/>
              </w:rPr>
            </w:pPr>
            <w:r w:rsidRPr="00CE2185">
              <w:rPr>
                <w:noProof/>
              </w:rPr>
              <w:t>A.1</w:t>
            </w:r>
            <w:r w:rsidRPr="00CE2185">
              <w:rPr>
                <w:noProof/>
                <w:lang w:val="en-IE"/>
              </w:rPr>
              <w:t> </w:t>
            </w:r>
          </w:p>
          <w:p w14:paraId="04133D3F" w14:textId="77777777" w:rsidR="007E452F" w:rsidRPr="00CE2185" w:rsidRDefault="007E452F" w:rsidP="00641B35">
            <w:pPr>
              <w:spacing w:after="0"/>
              <w:rPr>
                <w:noProof/>
                <w:lang w:val="en-IE"/>
              </w:rPr>
            </w:pPr>
            <w:r w:rsidRPr="00CE2185">
              <w:rPr>
                <w:noProof/>
              </w:rPr>
              <w:t>B.1</w:t>
            </w:r>
            <w:r w:rsidRPr="00CE2185">
              <w:rPr>
                <w:noProof/>
                <w:lang w:val="en-IE"/>
              </w:rPr>
              <w:t> </w:t>
            </w:r>
          </w:p>
          <w:p w14:paraId="71214BC9" w14:textId="77777777" w:rsidR="007E452F" w:rsidRPr="00CE2185" w:rsidRDefault="007E452F" w:rsidP="00641B35">
            <w:pPr>
              <w:spacing w:after="0"/>
              <w:rPr>
                <w:noProof/>
                <w:lang w:val="en-IE"/>
              </w:rPr>
            </w:pPr>
            <w:r w:rsidRPr="00CE2185">
              <w:rPr>
                <w:noProof/>
              </w:rPr>
              <w:t>D.1 </w:t>
            </w:r>
            <w:r w:rsidRPr="00CE2185">
              <w:rPr>
                <w:noProof/>
                <w:lang w:val="en-IE"/>
              </w:rPr>
              <w:t> </w:t>
            </w:r>
          </w:p>
          <w:p w14:paraId="25655D2D" w14:textId="77777777" w:rsidR="007E452F" w:rsidRPr="00CE2185" w:rsidRDefault="007E452F" w:rsidP="00641B35">
            <w:pPr>
              <w:spacing w:after="0"/>
              <w:rPr>
                <w:noProof/>
                <w:lang w:val="en-IE"/>
              </w:rPr>
            </w:pPr>
            <w:r w:rsidRPr="00CE2185">
              <w:rPr>
                <w:noProof/>
              </w:rPr>
              <w:t>D.2</w:t>
            </w:r>
            <w:r w:rsidRPr="00CE2185">
              <w:rPr>
                <w:noProof/>
                <w:lang w:val="en-IE"/>
              </w:rPr>
              <w:t> </w:t>
            </w:r>
          </w:p>
        </w:tc>
        <w:tc>
          <w:tcPr>
            <w:tcW w:w="1104" w:type="dxa"/>
            <w:tcBorders>
              <w:top w:val="single" w:sz="18" w:space="0" w:color="auto"/>
              <w:left w:val="single" w:sz="6" w:space="0" w:color="auto"/>
              <w:bottom w:val="single" w:sz="18" w:space="0" w:color="auto"/>
              <w:right w:val="single" w:sz="6" w:space="0" w:color="auto"/>
            </w:tcBorders>
            <w:vAlign w:val="center"/>
            <w:hideMark/>
          </w:tcPr>
          <w:p w14:paraId="3CB44444" w14:textId="77777777" w:rsidR="007E452F" w:rsidRPr="00CE2185" w:rsidRDefault="007E452F" w:rsidP="00641B35">
            <w:pPr>
              <w:spacing w:after="0"/>
              <w:rPr>
                <w:noProof/>
                <w:lang w:val="en-IE"/>
              </w:rPr>
            </w:pPr>
            <w:r w:rsidRPr="00CE2185">
              <w:rPr>
                <w:noProof/>
              </w:rPr>
              <w:t>A.1</w:t>
            </w:r>
            <w:r w:rsidRPr="00CE2185">
              <w:rPr>
                <w:noProof/>
                <w:lang w:val="en-IE"/>
              </w:rPr>
              <w:t> </w:t>
            </w:r>
          </w:p>
          <w:p w14:paraId="6AABB207" w14:textId="77777777" w:rsidR="007E452F" w:rsidRPr="00CE2185" w:rsidRDefault="007E452F" w:rsidP="00641B35">
            <w:pPr>
              <w:spacing w:after="0"/>
              <w:rPr>
                <w:noProof/>
                <w:lang w:val="en-IE"/>
              </w:rPr>
            </w:pPr>
            <w:r w:rsidRPr="00CE2185">
              <w:rPr>
                <w:noProof/>
              </w:rPr>
              <w:t>B.1</w:t>
            </w:r>
            <w:r w:rsidRPr="00CE2185">
              <w:rPr>
                <w:noProof/>
                <w:lang w:val="en-IE"/>
              </w:rPr>
              <w:t> </w:t>
            </w:r>
          </w:p>
          <w:p w14:paraId="57D9A1C4" w14:textId="77777777" w:rsidR="007E452F" w:rsidRPr="00CE2185" w:rsidRDefault="007E452F" w:rsidP="00641B35">
            <w:pPr>
              <w:spacing w:after="0"/>
              <w:rPr>
                <w:noProof/>
                <w:lang w:val="en-IE"/>
              </w:rPr>
            </w:pPr>
            <w:r w:rsidRPr="00CE2185">
              <w:rPr>
                <w:noProof/>
                <w:lang w:val="en-IE"/>
              </w:rPr>
              <w:t>B.3</w:t>
            </w:r>
          </w:p>
          <w:p w14:paraId="531FB345" w14:textId="77777777" w:rsidR="007E452F" w:rsidRPr="00CE2185" w:rsidRDefault="007E452F" w:rsidP="00641B35">
            <w:pPr>
              <w:spacing w:after="0"/>
              <w:rPr>
                <w:noProof/>
                <w:lang w:val="en-IE"/>
              </w:rPr>
            </w:pPr>
            <w:r w:rsidRPr="00CE2185">
              <w:rPr>
                <w:noProof/>
              </w:rPr>
              <w:t>C.1</w:t>
            </w:r>
            <w:r w:rsidRPr="00CE2185">
              <w:rPr>
                <w:noProof/>
                <w:lang w:val="en-IE"/>
              </w:rPr>
              <w:t> </w:t>
            </w:r>
          </w:p>
          <w:p w14:paraId="022D3A75" w14:textId="77777777" w:rsidR="007E452F" w:rsidRPr="00CE2185" w:rsidRDefault="007E452F" w:rsidP="00641B35">
            <w:pPr>
              <w:spacing w:after="0"/>
              <w:rPr>
                <w:noProof/>
                <w:lang w:val="en-IE"/>
              </w:rPr>
            </w:pPr>
            <w:r w:rsidRPr="00CE2185">
              <w:rPr>
                <w:noProof/>
              </w:rPr>
              <w:t>D.1</w:t>
            </w:r>
            <w:r w:rsidRPr="00CE2185">
              <w:rPr>
                <w:noProof/>
                <w:lang w:val="en-IE"/>
              </w:rPr>
              <w:t> </w:t>
            </w:r>
          </w:p>
        </w:tc>
        <w:tc>
          <w:tcPr>
            <w:tcW w:w="1023" w:type="dxa"/>
            <w:tcBorders>
              <w:top w:val="single" w:sz="18" w:space="0" w:color="auto"/>
              <w:left w:val="single" w:sz="6" w:space="0" w:color="auto"/>
              <w:bottom w:val="single" w:sz="18" w:space="0" w:color="auto"/>
              <w:right w:val="single" w:sz="6" w:space="0" w:color="auto"/>
            </w:tcBorders>
            <w:vAlign w:val="center"/>
            <w:hideMark/>
          </w:tcPr>
          <w:p w14:paraId="1C284C8F" w14:textId="77777777" w:rsidR="007E452F" w:rsidRPr="00CE2185" w:rsidRDefault="007E452F" w:rsidP="00641B35">
            <w:pPr>
              <w:spacing w:after="0"/>
              <w:rPr>
                <w:noProof/>
                <w:lang w:val="en-IE"/>
              </w:rPr>
            </w:pPr>
            <w:r w:rsidRPr="00CE2185">
              <w:rPr>
                <w:noProof/>
              </w:rPr>
              <w:t>A.2</w:t>
            </w:r>
            <w:r w:rsidRPr="00CE2185">
              <w:rPr>
                <w:noProof/>
                <w:lang w:val="en-IE"/>
              </w:rPr>
              <w:t> </w:t>
            </w:r>
          </w:p>
          <w:p w14:paraId="510DCA50" w14:textId="77777777" w:rsidR="007E452F" w:rsidRPr="00CE2185" w:rsidRDefault="007E452F" w:rsidP="00641B35">
            <w:pPr>
              <w:spacing w:after="0"/>
              <w:rPr>
                <w:noProof/>
                <w:lang w:val="en-IE"/>
              </w:rPr>
            </w:pPr>
            <w:r w:rsidRPr="00CE2185">
              <w:rPr>
                <w:noProof/>
              </w:rPr>
              <w:t>B.2+C.2</w:t>
            </w:r>
            <w:r w:rsidRPr="00CE2185">
              <w:rPr>
                <w:noProof/>
                <w:lang w:val="en-IE"/>
              </w:rPr>
              <w:t> </w:t>
            </w:r>
          </w:p>
          <w:p w14:paraId="19175108" w14:textId="77777777" w:rsidR="007E452F" w:rsidRPr="00CE2185" w:rsidRDefault="007E452F" w:rsidP="00641B35">
            <w:pPr>
              <w:spacing w:after="0"/>
              <w:rPr>
                <w:noProof/>
                <w:lang w:val="en-IE"/>
              </w:rPr>
            </w:pPr>
            <w:r w:rsidRPr="00CE2185">
              <w:rPr>
                <w:noProof/>
              </w:rPr>
              <w:t>D.2</w:t>
            </w:r>
            <w:r w:rsidRPr="00CE2185">
              <w:rPr>
                <w:noProof/>
                <w:lang w:val="en-IE"/>
              </w:rPr>
              <w:t> </w:t>
            </w:r>
          </w:p>
          <w:p w14:paraId="2E8C5DF3" w14:textId="77777777" w:rsidR="007E452F" w:rsidRPr="00CE2185" w:rsidRDefault="007E452F" w:rsidP="00641B35">
            <w:pPr>
              <w:spacing w:after="0"/>
              <w:rPr>
                <w:noProof/>
                <w:lang w:val="en-IE"/>
              </w:rPr>
            </w:pPr>
            <w:r w:rsidRPr="00CE2185">
              <w:rPr>
                <w:noProof/>
              </w:rPr>
              <w:t>D.3</w:t>
            </w:r>
            <w:r w:rsidRPr="00CE2185">
              <w:rPr>
                <w:noProof/>
                <w:lang w:val="en-IE"/>
              </w:rPr>
              <w:t> </w:t>
            </w:r>
          </w:p>
        </w:tc>
        <w:tc>
          <w:tcPr>
            <w:tcW w:w="1401" w:type="dxa"/>
            <w:tcBorders>
              <w:top w:val="single" w:sz="18" w:space="0" w:color="auto"/>
              <w:left w:val="single" w:sz="6" w:space="0" w:color="auto"/>
              <w:bottom w:val="single" w:sz="18" w:space="0" w:color="auto"/>
              <w:right w:val="single" w:sz="6" w:space="0" w:color="auto"/>
            </w:tcBorders>
            <w:hideMark/>
          </w:tcPr>
          <w:p w14:paraId="59FCF60A" w14:textId="77777777" w:rsidR="007E452F" w:rsidRPr="00CE2185" w:rsidRDefault="007E452F" w:rsidP="00641B35">
            <w:pPr>
              <w:spacing w:after="0"/>
              <w:rPr>
                <w:noProof/>
                <w:lang w:val="en-IE"/>
              </w:rPr>
            </w:pPr>
            <w:r w:rsidRPr="00CE2185">
              <w:rPr>
                <w:noProof/>
                <w:lang w:val="en-IE"/>
              </w:rPr>
              <w:t> </w:t>
            </w:r>
          </w:p>
        </w:tc>
      </w:tr>
      <w:tr w:rsidR="007E452F" w:rsidRPr="00CE2185" w14:paraId="49ED6A23" w14:textId="77777777" w:rsidTr="00641B35">
        <w:trPr>
          <w:trHeight w:val="300"/>
        </w:trPr>
        <w:tc>
          <w:tcPr>
            <w:tcW w:w="1091" w:type="dxa"/>
            <w:tcBorders>
              <w:top w:val="single" w:sz="18" w:space="0" w:color="auto"/>
              <w:left w:val="single" w:sz="18" w:space="0" w:color="auto"/>
              <w:bottom w:val="single" w:sz="18" w:space="0" w:color="auto"/>
              <w:right w:val="single" w:sz="18" w:space="0" w:color="auto"/>
            </w:tcBorders>
            <w:vAlign w:val="center"/>
            <w:hideMark/>
          </w:tcPr>
          <w:p w14:paraId="02DD991C" w14:textId="77777777" w:rsidR="007E452F" w:rsidRPr="00CE2185" w:rsidRDefault="007E452F" w:rsidP="00641B35">
            <w:pPr>
              <w:spacing w:after="0"/>
              <w:rPr>
                <w:noProof/>
                <w:lang w:val="en-IE"/>
              </w:rPr>
            </w:pPr>
            <w:r w:rsidRPr="00CE2185">
              <w:rPr>
                <w:b/>
                <w:bCs/>
                <w:noProof/>
              </w:rPr>
              <w:t>High</w:t>
            </w:r>
            <w:r w:rsidRPr="00CE2185">
              <w:rPr>
                <w:noProof/>
                <w:lang w:val="en-IE"/>
              </w:rPr>
              <w:t> </w:t>
            </w:r>
          </w:p>
        </w:tc>
        <w:tc>
          <w:tcPr>
            <w:tcW w:w="2051" w:type="dxa"/>
            <w:tcBorders>
              <w:top w:val="single" w:sz="18" w:space="0" w:color="auto"/>
              <w:left w:val="single" w:sz="18" w:space="0" w:color="auto"/>
              <w:bottom w:val="single" w:sz="18" w:space="0" w:color="auto"/>
              <w:right w:val="single" w:sz="6" w:space="0" w:color="auto"/>
            </w:tcBorders>
            <w:vAlign w:val="center"/>
            <w:hideMark/>
          </w:tcPr>
          <w:p w14:paraId="0A476EBD" w14:textId="77777777" w:rsidR="007E452F" w:rsidRPr="00CE2185" w:rsidRDefault="007E452F" w:rsidP="00641B35">
            <w:pPr>
              <w:spacing w:after="0"/>
              <w:rPr>
                <w:noProof/>
                <w:lang w:val="en-IE"/>
              </w:rPr>
            </w:pPr>
            <w:r w:rsidRPr="00CE2185">
              <w:rPr>
                <w:noProof/>
              </w:rPr>
              <w:t>A.2 </w:t>
            </w:r>
            <w:r w:rsidRPr="00CE2185">
              <w:rPr>
                <w:noProof/>
                <w:lang w:val="en-IE"/>
              </w:rPr>
              <w:t> </w:t>
            </w:r>
          </w:p>
          <w:p w14:paraId="716FF88A" w14:textId="77777777" w:rsidR="007E452F" w:rsidRPr="00CE2185" w:rsidRDefault="007E452F" w:rsidP="00641B35">
            <w:pPr>
              <w:spacing w:after="0"/>
              <w:rPr>
                <w:noProof/>
                <w:lang w:val="en-IE"/>
              </w:rPr>
            </w:pPr>
            <w:r w:rsidRPr="00CE2185">
              <w:rPr>
                <w:noProof/>
              </w:rPr>
              <w:t>B.2/B.3 + D.3</w:t>
            </w:r>
            <w:r w:rsidRPr="00CE2185">
              <w:rPr>
                <w:noProof/>
                <w:lang w:val="en-IE"/>
              </w:rPr>
              <w:t> </w:t>
            </w:r>
          </w:p>
          <w:p w14:paraId="6F9EB996" w14:textId="77777777" w:rsidR="007E452F" w:rsidRPr="00CE2185" w:rsidRDefault="007E452F" w:rsidP="00641B35">
            <w:pPr>
              <w:spacing w:after="0"/>
              <w:rPr>
                <w:noProof/>
                <w:lang w:val="en-IE"/>
              </w:rPr>
            </w:pPr>
            <w:r w:rsidRPr="00CE2185">
              <w:rPr>
                <w:noProof/>
              </w:rPr>
              <w:t>B.2/B.3+C.2/C.3</w:t>
            </w:r>
          </w:p>
          <w:p w14:paraId="37429CF7" w14:textId="77777777" w:rsidR="007E452F" w:rsidRPr="00CE2185" w:rsidRDefault="007E452F" w:rsidP="00641B35">
            <w:pPr>
              <w:spacing w:after="0"/>
              <w:rPr>
                <w:noProof/>
                <w:lang w:val="en-IE"/>
              </w:rPr>
            </w:pPr>
            <w:r w:rsidRPr="00CE2185">
              <w:rPr>
                <w:noProof/>
              </w:rPr>
              <w:t>C.2/C.3+A.2/A.3</w:t>
            </w:r>
            <w:r w:rsidRPr="00CE2185">
              <w:rPr>
                <w:noProof/>
                <w:lang w:val="en-IE"/>
              </w:rPr>
              <w:t> </w:t>
            </w:r>
          </w:p>
          <w:p w14:paraId="118C71BF" w14:textId="77777777" w:rsidR="007E452F" w:rsidRPr="00CE2185" w:rsidRDefault="007E452F" w:rsidP="00641B35">
            <w:pPr>
              <w:spacing w:after="0"/>
              <w:rPr>
                <w:noProof/>
                <w:lang w:val="en-IE"/>
              </w:rPr>
            </w:pPr>
            <w:r w:rsidRPr="00CE2185">
              <w:rPr>
                <w:noProof/>
              </w:rPr>
              <w:t>D.3</w:t>
            </w:r>
            <w:r w:rsidRPr="00CE2185">
              <w:rPr>
                <w:noProof/>
                <w:lang w:val="en-IE"/>
              </w:rPr>
              <w:t> </w:t>
            </w:r>
          </w:p>
          <w:p w14:paraId="53F460D6" w14:textId="77777777" w:rsidR="007E452F" w:rsidRPr="00CE2185" w:rsidRDefault="007E452F" w:rsidP="00641B35">
            <w:pPr>
              <w:spacing w:after="0"/>
              <w:rPr>
                <w:noProof/>
                <w:lang w:val="en-IE"/>
              </w:rPr>
            </w:pPr>
            <w:r w:rsidRPr="00CE2185">
              <w:rPr>
                <w:noProof/>
              </w:rPr>
              <w:t>D.3+C.2/C.3</w:t>
            </w:r>
            <w:r w:rsidRPr="00CE2185">
              <w:rPr>
                <w:noProof/>
                <w:lang w:val="en-IE"/>
              </w:rPr>
              <w:t> </w:t>
            </w:r>
          </w:p>
        </w:tc>
        <w:tc>
          <w:tcPr>
            <w:tcW w:w="1276" w:type="dxa"/>
            <w:tcBorders>
              <w:top w:val="single" w:sz="18" w:space="0" w:color="auto"/>
              <w:left w:val="single" w:sz="6" w:space="0" w:color="auto"/>
              <w:bottom w:val="single" w:sz="18" w:space="0" w:color="auto"/>
              <w:right w:val="single" w:sz="6" w:space="0" w:color="auto"/>
            </w:tcBorders>
            <w:vAlign w:val="center"/>
            <w:hideMark/>
          </w:tcPr>
          <w:p w14:paraId="6133D146" w14:textId="77777777" w:rsidR="007E452F" w:rsidRPr="00CE2185" w:rsidRDefault="007E452F" w:rsidP="00641B35">
            <w:pPr>
              <w:spacing w:after="0"/>
              <w:rPr>
                <w:noProof/>
                <w:lang w:val="en-IE"/>
              </w:rPr>
            </w:pPr>
            <w:r w:rsidRPr="00CE2185">
              <w:rPr>
                <w:noProof/>
              </w:rPr>
              <w:t>A2</w:t>
            </w:r>
            <w:r w:rsidRPr="00CE2185">
              <w:rPr>
                <w:noProof/>
                <w:lang w:val="en-IE"/>
              </w:rPr>
              <w:t> </w:t>
            </w:r>
          </w:p>
          <w:p w14:paraId="1BF05AF9" w14:textId="77777777" w:rsidR="007E452F" w:rsidRPr="00CE2185" w:rsidRDefault="007E452F" w:rsidP="00641B35">
            <w:pPr>
              <w:spacing w:after="0"/>
              <w:rPr>
                <w:noProof/>
                <w:lang w:val="en-IE"/>
              </w:rPr>
            </w:pPr>
            <w:r w:rsidRPr="00CE2185">
              <w:rPr>
                <w:noProof/>
              </w:rPr>
              <w:t>A3</w:t>
            </w:r>
            <w:r w:rsidRPr="00CE2185">
              <w:rPr>
                <w:noProof/>
                <w:lang w:val="en-IE"/>
              </w:rPr>
              <w:t> </w:t>
            </w:r>
          </w:p>
          <w:p w14:paraId="6EDED58D" w14:textId="77777777" w:rsidR="007E452F" w:rsidRPr="00CE2185" w:rsidRDefault="007E452F" w:rsidP="00641B35">
            <w:pPr>
              <w:spacing w:after="0"/>
              <w:rPr>
                <w:noProof/>
                <w:lang w:val="en-IE"/>
              </w:rPr>
            </w:pPr>
            <w:r w:rsidRPr="00CE2185">
              <w:rPr>
                <w:noProof/>
              </w:rPr>
              <w:t>B2 +D2/D3</w:t>
            </w:r>
            <w:r w:rsidRPr="00CE2185">
              <w:rPr>
                <w:noProof/>
                <w:lang w:val="en-IE"/>
              </w:rPr>
              <w:t> </w:t>
            </w:r>
          </w:p>
          <w:p w14:paraId="75B36CEB" w14:textId="77777777" w:rsidR="007E452F" w:rsidRPr="00CE2185" w:rsidRDefault="007E452F" w:rsidP="00641B35">
            <w:pPr>
              <w:spacing w:after="0"/>
              <w:rPr>
                <w:noProof/>
                <w:lang w:val="en-IE"/>
              </w:rPr>
            </w:pPr>
            <w:r w:rsidRPr="00CE2185">
              <w:rPr>
                <w:noProof/>
              </w:rPr>
              <w:t>C3</w:t>
            </w:r>
            <w:r w:rsidRPr="00CE2185">
              <w:rPr>
                <w:noProof/>
                <w:lang w:val="en-IE"/>
              </w:rPr>
              <w:t> </w:t>
            </w:r>
          </w:p>
          <w:p w14:paraId="7F666662" w14:textId="77777777" w:rsidR="007E452F" w:rsidRPr="00CE2185" w:rsidRDefault="007E452F" w:rsidP="00641B35">
            <w:pPr>
              <w:spacing w:after="0"/>
              <w:rPr>
                <w:noProof/>
                <w:lang w:val="en-IE"/>
              </w:rPr>
            </w:pPr>
            <w:r w:rsidRPr="00CE2185">
              <w:rPr>
                <w:noProof/>
              </w:rPr>
              <w:t>D3</w:t>
            </w:r>
            <w:r w:rsidRPr="00CE2185">
              <w:rPr>
                <w:noProof/>
                <w:lang w:val="en-IE"/>
              </w:rPr>
              <w:t> </w:t>
            </w:r>
          </w:p>
        </w:tc>
        <w:tc>
          <w:tcPr>
            <w:tcW w:w="1134" w:type="dxa"/>
            <w:tcBorders>
              <w:top w:val="single" w:sz="18" w:space="0" w:color="auto"/>
              <w:left w:val="single" w:sz="6" w:space="0" w:color="auto"/>
              <w:bottom w:val="single" w:sz="18" w:space="0" w:color="auto"/>
              <w:right w:val="single" w:sz="6" w:space="0" w:color="auto"/>
            </w:tcBorders>
            <w:vAlign w:val="center"/>
            <w:hideMark/>
          </w:tcPr>
          <w:p w14:paraId="1672B6EA" w14:textId="77777777" w:rsidR="007E452F" w:rsidRPr="00CE2185" w:rsidRDefault="007E452F" w:rsidP="00641B35">
            <w:pPr>
              <w:spacing w:after="0"/>
              <w:rPr>
                <w:noProof/>
                <w:lang w:val="en-IE"/>
              </w:rPr>
            </w:pPr>
            <w:r w:rsidRPr="00CE2185">
              <w:rPr>
                <w:noProof/>
              </w:rPr>
              <w:t>A.2</w:t>
            </w:r>
            <w:r w:rsidRPr="00CE2185">
              <w:rPr>
                <w:noProof/>
                <w:lang w:val="en-IE"/>
              </w:rPr>
              <w:t> </w:t>
            </w:r>
          </w:p>
          <w:p w14:paraId="49DFE57B" w14:textId="77777777" w:rsidR="007E452F" w:rsidRPr="00CE2185" w:rsidRDefault="007E452F" w:rsidP="00641B35">
            <w:pPr>
              <w:spacing w:after="0"/>
              <w:rPr>
                <w:noProof/>
                <w:lang w:val="en-IE"/>
              </w:rPr>
            </w:pPr>
            <w:r w:rsidRPr="00CE2185">
              <w:rPr>
                <w:noProof/>
              </w:rPr>
              <w:t>B.2/B.3 + C.2/C.3</w:t>
            </w:r>
            <w:r w:rsidRPr="00CE2185">
              <w:rPr>
                <w:noProof/>
                <w:lang w:val="en-IE"/>
              </w:rPr>
              <w:t> </w:t>
            </w:r>
          </w:p>
          <w:p w14:paraId="2D737B8C" w14:textId="77777777" w:rsidR="007E452F" w:rsidRPr="00CE2185" w:rsidRDefault="007E452F" w:rsidP="00641B35">
            <w:pPr>
              <w:spacing w:after="0"/>
              <w:rPr>
                <w:noProof/>
                <w:lang w:val="en-IE"/>
              </w:rPr>
            </w:pPr>
            <w:r w:rsidRPr="00CE2185">
              <w:rPr>
                <w:noProof/>
              </w:rPr>
              <w:t>D.3</w:t>
            </w:r>
            <w:r w:rsidRPr="00CE2185">
              <w:rPr>
                <w:noProof/>
                <w:lang w:val="en-IE"/>
              </w:rPr>
              <w:t> </w:t>
            </w:r>
          </w:p>
          <w:p w14:paraId="425777DC" w14:textId="77777777" w:rsidR="007E452F" w:rsidRPr="00CE2185" w:rsidRDefault="007E452F" w:rsidP="00641B35">
            <w:pPr>
              <w:spacing w:after="0"/>
              <w:rPr>
                <w:noProof/>
                <w:lang w:val="en-IE"/>
              </w:rPr>
            </w:pPr>
            <w:r w:rsidRPr="00CE2185">
              <w:rPr>
                <w:noProof/>
              </w:rPr>
              <w:t>C.1 C.2 </w:t>
            </w:r>
            <w:r w:rsidRPr="00CE2185">
              <w:rPr>
                <w:noProof/>
                <w:lang w:val="en-IE"/>
              </w:rPr>
              <w:t> </w:t>
            </w:r>
          </w:p>
          <w:p w14:paraId="309E1022" w14:textId="77777777" w:rsidR="007E452F" w:rsidRPr="00CE2185" w:rsidRDefault="007E452F" w:rsidP="00641B35">
            <w:pPr>
              <w:spacing w:after="0"/>
              <w:rPr>
                <w:noProof/>
                <w:lang w:val="en-IE"/>
              </w:rPr>
            </w:pPr>
            <w:r w:rsidRPr="00CE2185">
              <w:rPr>
                <w:noProof/>
              </w:rPr>
              <w:t>B.2 B.3</w:t>
            </w:r>
            <w:r w:rsidRPr="00CE2185">
              <w:rPr>
                <w:noProof/>
                <w:lang w:val="en-IE"/>
              </w:rPr>
              <w:t> </w:t>
            </w:r>
          </w:p>
          <w:p w14:paraId="3ADDC0B1" w14:textId="77777777" w:rsidR="007E452F" w:rsidRPr="00CE2185" w:rsidRDefault="007E452F" w:rsidP="00641B35">
            <w:pPr>
              <w:spacing w:after="0"/>
              <w:rPr>
                <w:noProof/>
                <w:lang w:val="en-IE"/>
              </w:rPr>
            </w:pPr>
            <w:r w:rsidRPr="00CE2185">
              <w:rPr>
                <w:noProof/>
                <w:lang w:val="en-IE"/>
              </w:rPr>
              <w:t> </w:t>
            </w:r>
          </w:p>
        </w:tc>
        <w:tc>
          <w:tcPr>
            <w:tcW w:w="1104" w:type="dxa"/>
            <w:tcBorders>
              <w:top w:val="single" w:sz="18" w:space="0" w:color="auto"/>
              <w:left w:val="single" w:sz="6" w:space="0" w:color="auto"/>
              <w:bottom w:val="single" w:sz="18" w:space="0" w:color="auto"/>
              <w:right w:val="single" w:sz="6" w:space="0" w:color="auto"/>
            </w:tcBorders>
            <w:vAlign w:val="center"/>
            <w:hideMark/>
          </w:tcPr>
          <w:p w14:paraId="6836260F" w14:textId="77777777" w:rsidR="007E452F" w:rsidRPr="00CE2185" w:rsidRDefault="007E452F" w:rsidP="00641B35">
            <w:pPr>
              <w:spacing w:after="0"/>
              <w:rPr>
                <w:noProof/>
                <w:lang w:val="en-IE"/>
              </w:rPr>
            </w:pPr>
            <w:r w:rsidRPr="00CE2185">
              <w:rPr>
                <w:noProof/>
              </w:rPr>
              <w:t>B.2+D.3</w:t>
            </w:r>
            <w:r w:rsidRPr="00CE2185">
              <w:rPr>
                <w:noProof/>
                <w:lang w:val="en-IE"/>
              </w:rPr>
              <w:t> </w:t>
            </w:r>
          </w:p>
          <w:p w14:paraId="005EEC8A" w14:textId="77777777" w:rsidR="007E452F" w:rsidRPr="00CE2185" w:rsidRDefault="007E452F" w:rsidP="00641B35">
            <w:pPr>
              <w:spacing w:after="0"/>
              <w:rPr>
                <w:noProof/>
                <w:lang w:val="en-IE"/>
              </w:rPr>
            </w:pPr>
            <w:r w:rsidRPr="00CE2185">
              <w:rPr>
                <w:noProof/>
              </w:rPr>
              <w:t>B.2+C.2</w:t>
            </w:r>
            <w:r w:rsidRPr="00CE2185">
              <w:rPr>
                <w:noProof/>
                <w:lang w:val="en-IE"/>
              </w:rPr>
              <w:t> </w:t>
            </w:r>
          </w:p>
          <w:p w14:paraId="54A50A80" w14:textId="77777777" w:rsidR="007E452F" w:rsidRPr="00CE2185" w:rsidRDefault="007E452F" w:rsidP="00641B35">
            <w:pPr>
              <w:spacing w:after="0"/>
              <w:rPr>
                <w:noProof/>
                <w:lang w:val="en-IE"/>
              </w:rPr>
            </w:pPr>
            <w:r w:rsidRPr="00CE2185">
              <w:rPr>
                <w:noProof/>
              </w:rPr>
              <w:t>D.2</w:t>
            </w:r>
            <w:r w:rsidRPr="00CE2185">
              <w:rPr>
                <w:noProof/>
                <w:lang w:val="en-IE"/>
              </w:rPr>
              <w:t> </w:t>
            </w:r>
          </w:p>
          <w:p w14:paraId="5A90BC52" w14:textId="77777777" w:rsidR="007E452F" w:rsidRPr="00CE2185" w:rsidRDefault="007E452F" w:rsidP="00641B35">
            <w:pPr>
              <w:spacing w:after="0"/>
              <w:rPr>
                <w:noProof/>
                <w:lang w:val="en-IE"/>
              </w:rPr>
            </w:pPr>
            <w:r w:rsidRPr="00CE2185">
              <w:rPr>
                <w:noProof/>
              </w:rPr>
              <w:t>D.3</w:t>
            </w:r>
            <w:r w:rsidRPr="00CE2185">
              <w:rPr>
                <w:noProof/>
                <w:lang w:val="en-IE"/>
              </w:rPr>
              <w:t> </w:t>
            </w:r>
          </w:p>
          <w:p w14:paraId="7D958C9F" w14:textId="77777777" w:rsidR="007E452F" w:rsidRPr="00CE2185" w:rsidRDefault="007E452F" w:rsidP="00641B35">
            <w:pPr>
              <w:spacing w:after="0"/>
              <w:rPr>
                <w:noProof/>
                <w:lang w:val="en-IE"/>
              </w:rPr>
            </w:pPr>
            <w:r w:rsidRPr="00CE2185">
              <w:rPr>
                <w:noProof/>
              </w:rPr>
              <w:t>A.2</w:t>
            </w:r>
            <w:r w:rsidRPr="00CE2185">
              <w:rPr>
                <w:noProof/>
                <w:lang w:val="en-IE"/>
              </w:rPr>
              <w:t> </w:t>
            </w:r>
          </w:p>
          <w:p w14:paraId="6D40B31C" w14:textId="77777777" w:rsidR="007E452F" w:rsidRPr="00CE2185" w:rsidRDefault="007E452F" w:rsidP="00641B35">
            <w:pPr>
              <w:spacing w:after="0"/>
              <w:rPr>
                <w:noProof/>
                <w:lang w:val="en-IE"/>
              </w:rPr>
            </w:pPr>
            <w:r w:rsidRPr="00CE2185">
              <w:rPr>
                <w:noProof/>
              </w:rPr>
              <w:t>B.2</w:t>
            </w:r>
            <w:r w:rsidRPr="00CE2185">
              <w:rPr>
                <w:noProof/>
                <w:lang w:val="en-IE"/>
              </w:rPr>
              <w:t> </w:t>
            </w:r>
          </w:p>
          <w:p w14:paraId="6624230B" w14:textId="77777777" w:rsidR="007E452F" w:rsidRPr="00CE2185" w:rsidRDefault="007E452F" w:rsidP="00641B35">
            <w:pPr>
              <w:spacing w:after="0"/>
              <w:rPr>
                <w:noProof/>
                <w:lang w:val="en-IE"/>
              </w:rPr>
            </w:pPr>
            <w:r w:rsidRPr="00CE2185">
              <w:rPr>
                <w:noProof/>
              </w:rPr>
              <w:t>C.2</w:t>
            </w:r>
            <w:r w:rsidRPr="00CE2185">
              <w:rPr>
                <w:noProof/>
                <w:lang w:val="en-IE"/>
              </w:rPr>
              <w:t> </w:t>
            </w:r>
          </w:p>
        </w:tc>
        <w:tc>
          <w:tcPr>
            <w:tcW w:w="1023" w:type="dxa"/>
            <w:tcBorders>
              <w:top w:val="single" w:sz="18" w:space="0" w:color="auto"/>
              <w:left w:val="single" w:sz="6" w:space="0" w:color="auto"/>
              <w:bottom w:val="single" w:sz="18" w:space="0" w:color="auto"/>
              <w:right w:val="single" w:sz="6" w:space="0" w:color="auto"/>
            </w:tcBorders>
            <w:vAlign w:val="center"/>
            <w:hideMark/>
          </w:tcPr>
          <w:p w14:paraId="1361502A" w14:textId="77777777" w:rsidR="007E452F" w:rsidRPr="00CE2185" w:rsidRDefault="007E452F" w:rsidP="00641B35">
            <w:pPr>
              <w:spacing w:after="0"/>
              <w:rPr>
                <w:noProof/>
                <w:lang w:val="en-IE"/>
              </w:rPr>
            </w:pPr>
            <w:r w:rsidRPr="00CE2185">
              <w:rPr>
                <w:noProof/>
              </w:rPr>
              <w:t>A.1</w:t>
            </w:r>
            <w:r w:rsidRPr="00CE2185">
              <w:rPr>
                <w:noProof/>
                <w:lang w:val="en-IE"/>
              </w:rPr>
              <w:t> </w:t>
            </w:r>
          </w:p>
          <w:p w14:paraId="174D15B4" w14:textId="77777777" w:rsidR="007E452F" w:rsidRPr="00CE2185" w:rsidRDefault="007E452F" w:rsidP="00641B35">
            <w:pPr>
              <w:spacing w:after="0"/>
              <w:rPr>
                <w:noProof/>
                <w:lang w:val="en-IE"/>
              </w:rPr>
            </w:pPr>
            <w:r w:rsidRPr="00CE2185">
              <w:rPr>
                <w:noProof/>
              </w:rPr>
              <w:t>B.1</w:t>
            </w:r>
            <w:r w:rsidRPr="00CE2185">
              <w:rPr>
                <w:noProof/>
                <w:lang w:val="en-IE"/>
              </w:rPr>
              <w:t> </w:t>
            </w:r>
          </w:p>
          <w:p w14:paraId="034667F2" w14:textId="77777777" w:rsidR="007E452F" w:rsidRPr="00CE2185" w:rsidRDefault="007E452F" w:rsidP="00641B35">
            <w:pPr>
              <w:spacing w:after="0"/>
              <w:rPr>
                <w:noProof/>
                <w:lang w:val="en-IE"/>
              </w:rPr>
            </w:pPr>
            <w:r w:rsidRPr="00CE2185">
              <w:rPr>
                <w:noProof/>
              </w:rPr>
              <w:t>C.1</w:t>
            </w:r>
            <w:r w:rsidRPr="00CE2185">
              <w:rPr>
                <w:noProof/>
                <w:lang w:val="en-IE"/>
              </w:rPr>
              <w:t> </w:t>
            </w:r>
          </w:p>
          <w:p w14:paraId="3F0E6251" w14:textId="77777777" w:rsidR="007E452F" w:rsidRPr="00CE2185" w:rsidRDefault="007E452F" w:rsidP="00641B35">
            <w:pPr>
              <w:spacing w:after="0"/>
              <w:rPr>
                <w:noProof/>
                <w:lang w:val="en-IE"/>
              </w:rPr>
            </w:pPr>
            <w:r w:rsidRPr="00CE2185">
              <w:rPr>
                <w:noProof/>
              </w:rPr>
              <w:t>D.1</w:t>
            </w:r>
            <w:r w:rsidRPr="00CE2185">
              <w:rPr>
                <w:noProof/>
                <w:lang w:val="en-IE"/>
              </w:rPr>
              <w:t> </w:t>
            </w:r>
          </w:p>
        </w:tc>
        <w:tc>
          <w:tcPr>
            <w:tcW w:w="1401" w:type="dxa"/>
            <w:tcBorders>
              <w:top w:val="single" w:sz="18" w:space="0" w:color="auto"/>
              <w:left w:val="single" w:sz="6" w:space="0" w:color="auto"/>
              <w:bottom w:val="single" w:sz="18" w:space="0" w:color="auto"/>
              <w:right w:val="single" w:sz="6" w:space="0" w:color="auto"/>
            </w:tcBorders>
            <w:shd w:val="clear" w:color="auto" w:fill="CAEDFB"/>
            <w:hideMark/>
          </w:tcPr>
          <w:p w14:paraId="25DE8822" w14:textId="77777777" w:rsidR="007E452F" w:rsidRPr="00CE2185" w:rsidRDefault="007E452F" w:rsidP="00641B35">
            <w:pPr>
              <w:spacing w:after="0"/>
              <w:rPr>
                <w:noProof/>
                <w:lang w:val="en-IE"/>
              </w:rPr>
            </w:pPr>
            <w:r w:rsidRPr="00CE2185">
              <w:rPr>
                <w:noProof/>
              </w:rPr>
              <w:t>Preferred options</w:t>
            </w:r>
            <w:r w:rsidRPr="00CE2185">
              <w:rPr>
                <w:noProof/>
                <w:lang w:val="en-IE"/>
              </w:rPr>
              <w:t> </w:t>
            </w:r>
          </w:p>
          <w:p w14:paraId="65194E80" w14:textId="77777777" w:rsidR="007E452F" w:rsidRPr="00CE2185" w:rsidRDefault="007E452F" w:rsidP="00641B35">
            <w:pPr>
              <w:spacing w:after="0"/>
              <w:rPr>
                <w:noProof/>
                <w:lang w:val="en-IE"/>
              </w:rPr>
            </w:pPr>
            <w:r w:rsidRPr="00CE2185">
              <w:rPr>
                <w:noProof/>
              </w:rPr>
              <w:t>A.2</w:t>
            </w:r>
            <w:r w:rsidRPr="00CE2185">
              <w:rPr>
                <w:noProof/>
                <w:lang w:val="en-IE"/>
              </w:rPr>
              <w:t> </w:t>
            </w:r>
          </w:p>
          <w:p w14:paraId="16E56FA6" w14:textId="77777777" w:rsidR="007E452F" w:rsidRPr="00CE2185" w:rsidRDefault="007E452F" w:rsidP="00641B35">
            <w:pPr>
              <w:spacing w:after="0"/>
              <w:rPr>
                <w:noProof/>
                <w:lang w:val="en-IE"/>
              </w:rPr>
            </w:pPr>
            <w:r w:rsidRPr="00CE2185">
              <w:rPr>
                <w:noProof/>
              </w:rPr>
              <w:t>B.2 +D.3</w:t>
            </w:r>
            <w:r w:rsidRPr="00CE2185">
              <w:rPr>
                <w:noProof/>
                <w:lang w:val="en-IE"/>
              </w:rPr>
              <w:t> </w:t>
            </w:r>
          </w:p>
          <w:p w14:paraId="7AF90366" w14:textId="77777777" w:rsidR="007E452F" w:rsidRPr="00CE2185" w:rsidRDefault="007E452F" w:rsidP="00641B35">
            <w:pPr>
              <w:spacing w:after="0"/>
              <w:rPr>
                <w:noProof/>
                <w:lang w:val="en-IE"/>
              </w:rPr>
            </w:pPr>
            <w:r w:rsidRPr="00CE2185">
              <w:rPr>
                <w:noProof/>
              </w:rPr>
              <w:t>B.2+C.2</w:t>
            </w:r>
            <w:r w:rsidRPr="00CE2185">
              <w:rPr>
                <w:noProof/>
                <w:lang w:val="en-IE"/>
              </w:rPr>
              <w:t> </w:t>
            </w:r>
          </w:p>
          <w:p w14:paraId="3E0466ED" w14:textId="77777777" w:rsidR="007E452F" w:rsidRPr="00CE2185" w:rsidRDefault="007E452F" w:rsidP="00641B35">
            <w:pPr>
              <w:spacing w:after="0"/>
              <w:rPr>
                <w:noProof/>
                <w:lang w:val="en-IE"/>
              </w:rPr>
            </w:pPr>
            <w:r w:rsidRPr="00CE2185">
              <w:rPr>
                <w:noProof/>
              </w:rPr>
              <w:t>D.3</w:t>
            </w:r>
            <w:r w:rsidRPr="00CE2185">
              <w:rPr>
                <w:noProof/>
                <w:lang w:val="en-IE"/>
              </w:rPr>
              <w:t> </w:t>
            </w:r>
          </w:p>
        </w:tc>
      </w:tr>
    </w:tbl>
    <w:p w14:paraId="271A6186" w14:textId="77777777" w:rsidR="002B5FB7" w:rsidRPr="00CE2185" w:rsidRDefault="002B5FB7" w:rsidP="00795DF0">
      <w:pPr>
        <w:spacing w:after="120"/>
        <w:rPr>
          <w:rFonts w:eastAsia="Times New Roman"/>
          <w:noProof/>
        </w:rPr>
      </w:pPr>
    </w:p>
    <w:p w14:paraId="2BF8B3CB" w14:textId="376EEB62" w:rsidR="006B087E" w:rsidRPr="00CE2185" w:rsidRDefault="006B087E" w:rsidP="000E3086">
      <w:pPr>
        <w:pStyle w:val="Heading1"/>
        <w:rPr>
          <w:noProof/>
        </w:rPr>
      </w:pPr>
      <w:bookmarkStart w:id="149" w:name="_Toc210393849"/>
      <w:bookmarkStart w:id="150" w:name="_Toc219447386"/>
      <w:r w:rsidRPr="00CE2185">
        <w:rPr>
          <w:noProof/>
        </w:rPr>
        <w:t>Preferred option</w:t>
      </w:r>
      <w:bookmarkEnd w:id="149"/>
      <w:bookmarkEnd w:id="150"/>
    </w:p>
    <w:p w14:paraId="3C11BEE3" w14:textId="6D58B06C" w:rsidR="00850566" w:rsidRPr="00CE2185" w:rsidRDefault="00160CDB" w:rsidP="00970760">
      <w:pPr>
        <w:pStyle w:val="Heading2"/>
        <w:rPr>
          <w:noProof/>
        </w:rPr>
      </w:pPr>
      <w:bookmarkStart w:id="151" w:name="_Toc219447387"/>
      <w:r w:rsidRPr="00CE2185">
        <w:rPr>
          <w:noProof/>
        </w:rPr>
        <w:t>Rationale and benefits of the preferred option</w:t>
      </w:r>
      <w:bookmarkEnd w:id="151"/>
    </w:p>
    <w:p w14:paraId="57E7C20F" w14:textId="439C9684" w:rsidR="00F90419" w:rsidRPr="00CE2185" w:rsidRDefault="00850566" w:rsidP="00795DF0">
      <w:pPr>
        <w:spacing w:after="120"/>
        <w:rPr>
          <w:noProof/>
        </w:rPr>
      </w:pPr>
      <w:r w:rsidRPr="00CE2185">
        <w:rPr>
          <w:noProof/>
        </w:rPr>
        <w:t>The package consisting of Option A.2 (functional reform of ENISA), Option B.2 (reform of ECCF – scope extension, new procedure and revised governance) and Option C.</w:t>
      </w:r>
      <w:r w:rsidR="00E50E0A" w:rsidRPr="00CE2185">
        <w:rPr>
          <w:noProof/>
        </w:rPr>
        <w:t>2</w:t>
      </w:r>
      <w:r w:rsidRPr="00CE2185">
        <w:rPr>
          <w:noProof/>
        </w:rPr>
        <w:t xml:space="preserve"> (Targeted intervention – further simplification of compliance with relevant Union cybersecurity legislative framework) </w:t>
      </w:r>
      <w:r w:rsidR="007E452F" w:rsidRPr="00CE2185">
        <w:rPr>
          <w:noProof/>
        </w:rPr>
        <w:t>and D3 (</w:t>
      </w:r>
      <w:r w:rsidR="007E452F" w:rsidRPr="00CE2185">
        <w:rPr>
          <w:noProof/>
          <w:lang w:val="en-IE"/>
        </w:rPr>
        <w:t xml:space="preserve">Comprehensive and horizontal </w:t>
      </w:r>
      <w:r w:rsidR="007E452F" w:rsidRPr="00CE2185">
        <w:rPr>
          <w:noProof/>
        </w:rPr>
        <w:t>framework</w:t>
      </w:r>
      <w:r w:rsidR="007E452F" w:rsidRPr="00CE2185">
        <w:rPr>
          <w:noProof/>
          <w:lang w:val="en-IE"/>
        </w:rPr>
        <w:t> to address ICT supply chains cybersecurity risks</w:t>
      </w:r>
      <w:r w:rsidR="007E452F" w:rsidRPr="00CE2185">
        <w:rPr>
          <w:noProof/>
        </w:rPr>
        <w:t xml:space="preserve">) </w:t>
      </w:r>
      <w:r w:rsidR="000C694F" w:rsidRPr="00CE2185">
        <w:rPr>
          <w:noProof/>
        </w:rPr>
        <w:t>is</w:t>
      </w:r>
      <w:r w:rsidRPr="00CE2185">
        <w:rPr>
          <w:noProof/>
        </w:rPr>
        <w:t xml:space="preserve"> the preferred option, as it offer</w:t>
      </w:r>
      <w:r w:rsidR="004705A2" w:rsidRPr="00CE2185">
        <w:rPr>
          <w:noProof/>
        </w:rPr>
        <w:t>s</w:t>
      </w:r>
      <w:r w:rsidRPr="00CE2185">
        <w:rPr>
          <w:noProof/>
        </w:rPr>
        <w:t xml:space="preserve"> the most balanced and effective response to the policy problems identified in this impact assessment. This combination would address all specific objectives, ensure high levels of efficiency and coherence, and avoid excessive regulatory burden. </w:t>
      </w:r>
      <w:r w:rsidR="00DC22D9" w:rsidRPr="00CE2185">
        <w:rPr>
          <w:noProof/>
        </w:rPr>
        <w:t xml:space="preserve">The overall benefits of the preferred option </w:t>
      </w:r>
      <w:r w:rsidR="18265E91" w:rsidRPr="00CE2185">
        <w:rPr>
          <w:noProof/>
        </w:rPr>
        <w:t>are</w:t>
      </w:r>
      <w:r w:rsidR="00DC22D9" w:rsidRPr="00CE2185">
        <w:rPr>
          <w:noProof/>
        </w:rPr>
        <w:t xml:space="preserve"> summarised in </w:t>
      </w:r>
      <w:r w:rsidR="00DC22D9" w:rsidRPr="00CE2185">
        <w:rPr>
          <w:i/>
          <w:iCs/>
          <w:noProof/>
        </w:rPr>
        <w:t>Annex 3</w:t>
      </w:r>
      <w:r w:rsidR="00DC22D9" w:rsidRPr="00CE2185">
        <w:rPr>
          <w:noProof/>
        </w:rPr>
        <w:t xml:space="preserve">. </w:t>
      </w:r>
    </w:p>
    <w:p w14:paraId="6CF82B26" w14:textId="1EE73AAE" w:rsidR="00FD4A56" w:rsidRPr="00CE2185" w:rsidRDefault="00850566" w:rsidP="00795DF0">
      <w:pPr>
        <w:spacing w:after="120"/>
        <w:rPr>
          <w:noProof/>
        </w:rPr>
      </w:pPr>
      <w:r w:rsidRPr="00CE2185">
        <w:rPr>
          <w:noProof/>
        </w:rPr>
        <w:t xml:space="preserve">In particular, Option A.2 would provide for a strengthened </w:t>
      </w:r>
      <w:r w:rsidR="007A6115" w:rsidRPr="00CE2185">
        <w:rPr>
          <w:noProof/>
        </w:rPr>
        <w:t>ENISA</w:t>
      </w:r>
      <w:r w:rsidRPr="00CE2185">
        <w:rPr>
          <w:noProof/>
        </w:rPr>
        <w:t xml:space="preserve">, equipped with </w:t>
      </w:r>
      <w:r w:rsidR="000A70EE" w:rsidRPr="00CE2185">
        <w:rPr>
          <w:noProof/>
        </w:rPr>
        <w:t>the</w:t>
      </w:r>
      <w:r w:rsidRPr="00CE2185">
        <w:rPr>
          <w:noProof/>
        </w:rPr>
        <w:t xml:space="preserve"> necessary tools</w:t>
      </w:r>
      <w:r w:rsidR="0DCA4EC4" w:rsidRPr="00CE2185">
        <w:rPr>
          <w:noProof/>
        </w:rPr>
        <w:t>, capacity and resources</w:t>
      </w:r>
      <w:r w:rsidRPr="00CE2185">
        <w:rPr>
          <w:noProof/>
        </w:rPr>
        <w:t xml:space="preserve"> to address the challenges linked to the evolving cyber threats landscape</w:t>
      </w:r>
      <w:r w:rsidR="00402871" w:rsidRPr="00CE2185">
        <w:rPr>
          <w:noProof/>
        </w:rPr>
        <w:t>, which would be a significant improvement to the status quo</w:t>
      </w:r>
      <w:r w:rsidR="691F41A7" w:rsidRPr="00CE2185">
        <w:rPr>
          <w:noProof/>
        </w:rPr>
        <w:t xml:space="preserve">. It will bring all the tasks of ENISA into its mandate, providing clarity of the scope and remit of the Agency, while </w:t>
      </w:r>
      <w:r w:rsidR="007A3D30" w:rsidRPr="00CE2185">
        <w:rPr>
          <w:noProof/>
        </w:rPr>
        <w:t>ensuring</w:t>
      </w:r>
      <w:r w:rsidR="007A6115" w:rsidRPr="00CE2185">
        <w:rPr>
          <w:noProof/>
        </w:rPr>
        <w:t xml:space="preserve"> </w:t>
      </w:r>
      <w:r w:rsidR="007A3D30" w:rsidRPr="00CE2185">
        <w:rPr>
          <w:noProof/>
        </w:rPr>
        <w:t>the</w:t>
      </w:r>
      <w:r w:rsidR="691F41A7" w:rsidRPr="00CE2185">
        <w:rPr>
          <w:noProof/>
        </w:rPr>
        <w:t xml:space="preserve"> necessary prior</w:t>
      </w:r>
      <w:r w:rsidR="199EF4ED" w:rsidRPr="00CE2185">
        <w:rPr>
          <w:noProof/>
        </w:rPr>
        <w:t xml:space="preserve">itisation </w:t>
      </w:r>
      <w:r w:rsidR="00634167" w:rsidRPr="00CE2185">
        <w:rPr>
          <w:noProof/>
        </w:rPr>
        <w:t xml:space="preserve">of </w:t>
      </w:r>
      <w:r w:rsidR="00130194" w:rsidRPr="00CE2185">
        <w:rPr>
          <w:noProof/>
        </w:rPr>
        <w:t>its</w:t>
      </w:r>
      <w:r w:rsidR="199EF4ED" w:rsidRPr="00CE2185">
        <w:rPr>
          <w:noProof/>
        </w:rPr>
        <w:t xml:space="preserve"> primary tasks. This option would ensure that</w:t>
      </w:r>
      <w:r w:rsidRPr="00CE2185">
        <w:rPr>
          <w:noProof/>
        </w:rPr>
        <w:t xml:space="preserve"> the stakeholders </w:t>
      </w:r>
      <w:r w:rsidR="00D40288" w:rsidRPr="00CE2185">
        <w:rPr>
          <w:noProof/>
        </w:rPr>
        <w:t>receive</w:t>
      </w:r>
      <w:r w:rsidRPr="00CE2185">
        <w:rPr>
          <w:noProof/>
        </w:rPr>
        <w:t xml:space="preserve"> adequate support for policy implementation, operational activities </w:t>
      </w:r>
      <w:r w:rsidR="00B86713" w:rsidRPr="00CE2185">
        <w:rPr>
          <w:noProof/>
        </w:rPr>
        <w:t>and</w:t>
      </w:r>
      <w:r w:rsidRPr="00CE2185">
        <w:rPr>
          <w:noProof/>
        </w:rPr>
        <w:t xml:space="preserve"> overall coordination</w:t>
      </w:r>
      <w:r w:rsidR="15E69FE5" w:rsidRPr="00CE2185">
        <w:rPr>
          <w:noProof/>
        </w:rPr>
        <w:t xml:space="preserve">. </w:t>
      </w:r>
      <w:r w:rsidR="00B86713" w:rsidRPr="00CE2185">
        <w:rPr>
          <w:noProof/>
        </w:rPr>
        <w:t>Moreover</w:t>
      </w:r>
      <w:r w:rsidR="78FCCBCE" w:rsidRPr="00CE2185">
        <w:rPr>
          <w:noProof/>
        </w:rPr>
        <w:t>, it</w:t>
      </w:r>
      <w:r w:rsidR="15E69FE5" w:rsidRPr="00CE2185">
        <w:rPr>
          <w:noProof/>
        </w:rPr>
        <w:t xml:space="preserve"> would also </w:t>
      </w:r>
      <w:r w:rsidR="00FD1C82" w:rsidRPr="00CE2185">
        <w:rPr>
          <w:noProof/>
        </w:rPr>
        <w:t>foster</w:t>
      </w:r>
      <w:r w:rsidRPr="00CE2185">
        <w:rPr>
          <w:noProof/>
        </w:rPr>
        <w:t xml:space="preserve"> effective synergies with other EU bodies and agencies</w:t>
      </w:r>
      <w:r w:rsidR="35521A86" w:rsidRPr="00CE2185">
        <w:rPr>
          <w:noProof/>
        </w:rPr>
        <w:t xml:space="preserve">. Option A.2 would also provide for a diverse resourcing mechanism, relying on the combination of resources from </w:t>
      </w:r>
      <w:r w:rsidR="16ED85F3" w:rsidRPr="00CE2185">
        <w:rPr>
          <w:noProof/>
        </w:rPr>
        <w:t xml:space="preserve">different sources, including creating own resources and integrating national liaison officers </w:t>
      </w:r>
      <w:r w:rsidR="006D181C" w:rsidRPr="00CE2185">
        <w:rPr>
          <w:noProof/>
        </w:rPr>
        <w:t>in</w:t>
      </w:r>
      <w:r w:rsidR="19D63A8D" w:rsidRPr="00CE2185">
        <w:rPr>
          <w:noProof/>
        </w:rPr>
        <w:t xml:space="preserve">to the resource structure. </w:t>
      </w:r>
      <w:r w:rsidR="6530AF2C" w:rsidRPr="00CE2185">
        <w:rPr>
          <w:noProof/>
        </w:rPr>
        <w:t>I</w:t>
      </w:r>
      <w:r w:rsidR="6C2422F7" w:rsidRPr="00CE2185">
        <w:rPr>
          <w:noProof/>
        </w:rPr>
        <w:t>n</w:t>
      </w:r>
      <w:r w:rsidRPr="00CE2185">
        <w:rPr>
          <w:noProof/>
        </w:rPr>
        <w:t xml:space="preserve"> </w:t>
      </w:r>
      <w:r w:rsidR="004410B9" w:rsidRPr="00CE2185">
        <w:rPr>
          <w:noProof/>
        </w:rPr>
        <w:t>this</w:t>
      </w:r>
      <w:r w:rsidRPr="00CE2185">
        <w:rPr>
          <w:noProof/>
        </w:rPr>
        <w:t xml:space="preserve"> way</w:t>
      </w:r>
      <w:r w:rsidR="650BB6B5" w:rsidRPr="00CE2185">
        <w:rPr>
          <w:noProof/>
        </w:rPr>
        <w:t xml:space="preserve">, Option A.2 would </w:t>
      </w:r>
      <w:r w:rsidR="6C2422F7" w:rsidRPr="00CE2185">
        <w:rPr>
          <w:noProof/>
        </w:rPr>
        <w:t>contribut</w:t>
      </w:r>
      <w:r w:rsidR="5498896E" w:rsidRPr="00CE2185">
        <w:rPr>
          <w:noProof/>
        </w:rPr>
        <w:t>e</w:t>
      </w:r>
      <w:r w:rsidR="00AE1AC8" w:rsidRPr="00CE2185">
        <w:rPr>
          <w:noProof/>
        </w:rPr>
        <w:t xml:space="preserve"> to the future-proof mandate of ENISA</w:t>
      </w:r>
      <w:r w:rsidR="00120A0E" w:rsidRPr="00CE2185">
        <w:rPr>
          <w:noProof/>
        </w:rPr>
        <w:t>,</w:t>
      </w:r>
      <w:r w:rsidR="6C2422F7" w:rsidRPr="00CE2185">
        <w:rPr>
          <w:noProof/>
        </w:rPr>
        <w:t xml:space="preserve"> to </w:t>
      </w:r>
      <w:r w:rsidR="2102F4A4" w:rsidRPr="00CE2185">
        <w:rPr>
          <w:noProof/>
        </w:rPr>
        <w:t>strengthening of the overall EU cybersecurity governance and</w:t>
      </w:r>
      <w:r w:rsidR="0058310C" w:rsidRPr="00CE2185">
        <w:rPr>
          <w:noProof/>
        </w:rPr>
        <w:t>,</w:t>
      </w:r>
      <w:r w:rsidR="2102F4A4" w:rsidRPr="00CE2185">
        <w:rPr>
          <w:noProof/>
        </w:rPr>
        <w:t xml:space="preserve"> as a result</w:t>
      </w:r>
      <w:r w:rsidR="0058310C" w:rsidRPr="00CE2185">
        <w:rPr>
          <w:noProof/>
        </w:rPr>
        <w:t>,</w:t>
      </w:r>
      <w:r w:rsidRPr="00CE2185">
        <w:rPr>
          <w:noProof/>
        </w:rPr>
        <w:t xml:space="preserve"> to the EU cyber posture</w:t>
      </w:r>
      <w:r w:rsidR="008F793C" w:rsidRPr="00CE2185">
        <w:rPr>
          <w:noProof/>
        </w:rPr>
        <w:t xml:space="preserve"> and global leverage</w:t>
      </w:r>
      <w:r w:rsidRPr="00CE2185">
        <w:rPr>
          <w:noProof/>
        </w:rPr>
        <w:t xml:space="preserve">. </w:t>
      </w:r>
      <w:r w:rsidR="0E7BCAF0" w:rsidRPr="00CE2185">
        <w:rPr>
          <w:noProof/>
        </w:rPr>
        <w:t xml:space="preserve"> </w:t>
      </w:r>
    </w:p>
    <w:p w14:paraId="5FCADEF2" w14:textId="42ABF996" w:rsidR="00F92B2F" w:rsidRPr="00CE2185" w:rsidRDefault="00850566" w:rsidP="00795DF0">
      <w:pPr>
        <w:spacing w:after="120"/>
        <w:rPr>
          <w:noProof/>
        </w:rPr>
      </w:pPr>
      <w:r w:rsidRPr="00CE2185">
        <w:rPr>
          <w:noProof/>
        </w:rPr>
        <w:t xml:space="preserve">Option B.2 would highly contribute to address the problem of limited impact of the ECCF, addressing lack of clarity of the framework, expanding its scope and improving </w:t>
      </w:r>
      <w:r w:rsidR="00444EA7" w:rsidRPr="00CE2185">
        <w:rPr>
          <w:noProof/>
        </w:rPr>
        <w:t xml:space="preserve">its </w:t>
      </w:r>
      <w:r w:rsidRPr="00CE2185">
        <w:rPr>
          <w:noProof/>
        </w:rPr>
        <w:t>governance model.</w:t>
      </w:r>
      <w:r w:rsidR="00377587" w:rsidRPr="00CE2185">
        <w:rPr>
          <w:noProof/>
        </w:rPr>
        <w:t xml:space="preserve"> The reputation of adopted schemes will be increased thanks to the establishment of a maintenance structure and the introduction of a timely and transparent development process.</w:t>
      </w:r>
      <w:r w:rsidRPr="00CE2185">
        <w:rPr>
          <w:noProof/>
        </w:rPr>
        <w:t xml:space="preserve"> </w:t>
      </w:r>
      <w:r w:rsidR="00377587" w:rsidRPr="00CE2185">
        <w:rPr>
          <w:noProof/>
        </w:rPr>
        <w:t>The extended scope of the framework will ensure that European schemes can effectively meet stakeholder needs for security assurance, including for entities. In addition to delivering a future-proof technical assurance tools, schemes will be further</w:t>
      </w:r>
      <w:r w:rsidR="00A158ED" w:rsidRPr="00CE2185" w:rsidDel="00377587">
        <w:rPr>
          <w:noProof/>
        </w:rPr>
        <w:t xml:space="preserve"> </w:t>
      </w:r>
      <w:r w:rsidR="00A158ED" w:rsidRPr="00CE2185">
        <w:rPr>
          <w:noProof/>
        </w:rPr>
        <w:t>align</w:t>
      </w:r>
      <w:r w:rsidR="005A0036" w:rsidRPr="00CE2185">
        <w:rPr>
          <w:noProof/>
        </w:rPr>
        <w:t>e</w:t>
      </w:r>
      <w:r w:rsidR="00377587" w:rsidRPr="00CE2185">
        <w:rPr>
          <w:noProof/>
        </w:rPr>
        <w:t>d with</w:t>
      </w:r>
      <w:r w:rsidR="00A158ED" w:rsidRPr="00CE2185">
        <w:rPr>
          <w:noProof/>
        </w:rPr>
        <w:t xml:space="preserve"> </w:t>
      </w:r>
      <w:r w:rsidR="00377587" w:rsidRPr="00CE2185">
        <w:rPr>
          <w:noProof/>
        </w:rPr>
        <w:t>the existing</w:t>
      </w:r>
      <w:r w:rsidR="001D3B1B" w:rsidRPr="00CE2185">
        <w:rPr>
          <w:noProof/>
        </w:rPr>
        <w:t xml:space="preserve"> </w:t>
      </w:r>
      <w:r w:rsidR="00A158ED" w:rsidRPr="00CE2185">
        <w:rPr>
          <w:noProof/>
        </w:rPr>
        <w:t>legislative framewor</w:t>
      </w:r>
      <w:r w:rsidR="00377587" w:rsidRPr="00CE2185">
        <w:rPr>
          <w:noProof/>
        </w:rPr>
        <w:t>k and hence</w:t>
      </w:r>
      <w:r w:rsidR="00A158ED" w:rsidRPr="00CE2185">
        <w:rPr>
          <w:noProof/>
        </w:rPr>
        <w:t xml:space="preserve"> </w:t>
      </w:r>
      <w:r w:rsidR="00377587" w:rsidRPr="00CE2185">
        <w:rPr>
          <w:noProof/>
        </w:rPr>
        <w:t xml:space="preserve">better </w:t>
      </w:r>
      <w:r w:rsidR="00A158ED" w:rsidRPr="00CE2185">
        <w:rPr>
          <w:noProof/>
        </w:rPr>
        <w:t>serve implementation efforts and support compliance needs</w:t>
      </w:r>
      <w:r w:rsidR="00377587" w:rsidRPr="00CE2185">
        <w:rPr>
          <w:noProof/>
        </w:rPr>
        <w:t xml:space="preserve"> of businesses</w:t>
      </w:r>
      <w:r w:rsidR="00A158ED" w:rsidRPr="00CE2185">
        <w:rPr>
          <w:noProof/>
        </w:rPr>
        <w:t>.</w:t>
      </w:r>
      <w:r w:rsidR="00377587" w:rsidRPr="00CE2185">
        <w:rPr>
          <w:noProof/>
        </w:rPr>
        <w:t xml:space="preserve"> </w:t>
      </w:r>
      <w:r w:rsidR="007E452F" w:rsidRPr="00CE2185">
        <w:rPr>
          <w:noProof/>
        </w:rPr>
        <w:t xml:space="preserve">Combined with option D.3, the adoption of currently blocked schemes will be enabled. </w:t>
      </w:r>
    </w:p>
    <w:p w14:paraId="0FD4ED73" w14:textId="0C8E849E" w:rsidR="00850566" w:rsidRPr="00CE2185" w:rsidRDefault="00850566" w:rsidP="00795DF0">
      <w:pPr>
        <w:spacing w:after="120"/>
        <w:rPr>
          <w:noProof/>
        </w:rPr>
      </w:pPr>
      <w:r w:rsidRPr="00CE2185">
        <w:rPr>
          <w:noProof/>
        </w:rPr>
        <w:t>Option C.</w:t>
      </w:r>
      <w:r w:rsidR="00A02362" w:rsidRPr="00CE2185">
        <w:rPr>
          <w:noProof/>
        </w:rPr>
        <w:t>2</w:t>
      </w:r>
      <w:r w:rsidRPr="00CE2185">
        <w:rPr>
          <w:noProof/>
        </w:rPr>
        <w:t xml:space="preserve"> will</w:t>
      </w:r>
      <w:r w:rsidR="602E6942" w:rsidRPr="00CE2185">
        <w:rPr>
          <w:noProof/>
        </w:rPr>
        <w:t xml:space="preserve"> </w:t>
      </w:r>
      <w:r w:rsidR="602E6942" w:rsidRPr="00CE2185">
        <w:rPr>
          <w:rFonts w:eastAsia="Times New Roman"/>
          <w:noProof/>
          <w:color w:val="000000" w:themeColor="text1"/>
        </w:rPr>
        <w:t xml:space="preserve">yield </w:t>
      </w:r>
      <w:r w:rsidR="3002FC39" w:rsidRPr="00CE2185">
        <w:rPr>
          <w:rFonts w:eastAsia="Times New Roman"/>
          <w:noProof/>
          <w:color w:val="000000" w:themeColor="text1"/>
        </w:rPr>
        <w:t xml:space="preserve">significant </w:t>
      </w:r>
      <w:r w:rsidR="3002FC39" w:rsidRPr="00CE2185">
        <w:rPr>
          <w:rFonts w:eastAsia="Times New Roman"/>
          <w:b/>
          <w:bCs/>
          <w:noProof/>
          <w:color w:val="000000" w:themeColor="text1"/>
        </w:rPr>
        <w:t>economic</w:t>
      </w:r>
      <w:r w:rsidR="602E6942" w:rsidRPr="00CE2185">
        <w:rPr>
          <w:rFonts w:eastAsia="Times New Roman"/>
          <w:b/>
          <w:bCs/>
          <w:noProof/>
          <w:color w:val="000000" w:themeColor="text1"/>
        </w:rPr>
        <w:t xml:space="preserve"> benefits</w:t>
      </w:r>
      <w:r w:rsidR="00377587" w:rsidRPr="00CE2185">
        <w:rPr>
          <w:rFonts w:eastAsia="Times New Roman"/>
          <w:b/>
          <w:bCs/>
          <w:noProof/>
          <w:color w:val="000000" w:themeColor="text1"/>
        </w:rPr>
        <w:t xml:space="preserve"> for businesses</w:t>
      </w:r>
      <w:r w:rsidR="00C630F9" w:rsidRPr="00CE2185">
        <w:rPr>
          <w:rFonts w:eastAsia="Times New Roman"/>
          <w:b/>
          <w:bCs/>
          <w:noProof/>
          <w:color w:val="000000" w:themeColor="text1"/>
        </w:rPr>
        <w:t>, including SMEs</w:t>
      </w:r>
      <w:r w:rsidR="00C630F9" w:rsidRPr="00CE2185">
        <w:rPr>
          <w:rFonts w:eastAsia="Times New Roman"/>
          <w:noProof/>
          <w:color w:val="000000" w:themeColor="text1"/>
        </w:rPr>
        <w:t>,</w:t>
      </w:r>
      <w:r w:rsidR="602E6942" w:rsidRPr="00CE2185">
        <w:rPr>
          <w:rFonts w:eastAsia="Times New Roman"/>
          <w:noProof/>
          <w:color w:val="000000" w:themeColor="text1"/>
        </w:rPr>
        <w:t xml:space="preserve"> of more than </w:t>
      </w:r>
      <w:r w:rsidR="602E6942" w:rsidRPr="00CE2185">
        <w:rPr>
          <w:rFonts w:eastAsia="Times New Roman"/>
          <w:b/>
          <w:noProof/>
          <w:color w:val="000000" w:themeColor="text1"/>
        </w:rPr>
        <w:t xml:space="preserve">EUR </w:t>
      </w:r>
      <w:r w:rsidR="00F456B1" w:rsidRPr="00CE2185">
        <w:rPr>
          <w:rFonts w:eastAsia="Times New Roman"/>
          <w:b/>
          <w:bCs/>
          <w:noProof/>
          <w:color w:val="000000" w:themeColor="text1"/>
        </w:rPr>
        <w:t>1</w:t>
      </w:r>
      <w:r w:rsidR="00555B56">
        <w:rPr>
          <w:rFonts w:eastAsia="Times New Roman"/>
          <w:b/>
          <w:bCs/>
          <w:noProof/>
          <w:color w:val="000000" w:themeColor="text1"/>
        </w:rPr>
        <w:t>4</w:t>
      </w:r>
      <w:r w:rsidR="0063538E" w:rsidRPr="00CE2185">
        <w:rPr>
          <w:rFonts w:eastAsia="Times New Roman"/>
          <w:b/>
          <w:bCs/>
          <w:noProof/>
          <w:color w:val="000000" w:themeColor="text1"/>
        </w:rPr>
        <w:t>.</w:t>
      </w:r>
      <w:r w:rsidR="00555B56">
        <w:rPr>
          <w:rFonts w:eastAsia="Times New Roman"/>
          <w:b/>
          <w:noProof/>
          <w:color w:val="000000" w:themeColor="text1"/>
        </w:rPr>
        <w:t>7</w:t>
      </w:r>
      <w:r w:rsidR="602E6942" w:rsidRPr="00CE2185">
        <w:rPr>
          <w:rFonts w:eastAsia="Times New Roman"/>
          <w:b/>
          <w:noProof/>
          <w:color w:val="000000" w:themeColor="text1"/>
        </w:rPr>
        <w:t xml:space="preserve"> billion</w:t>
      </w:r>
      <w:r w:rsidR="00503D5F" w:rsidRPr="00CE2185">
        <w:rPr>
          <w:rFonts w:eastAsia="Times New Roman"/>
          <w:noProof/>
          <w:color w:val="000000" w:themeColor="text1"/>
        </w:rPr>
        <w:t xml:space="preserve"> and </w:t>
      </w:r>
      <w:r w:rsidR="00503D5F" w:rsidRPr="00CE2185">
        <w:rPr>
          <w:rFonts w:eastAsia="Times New Roman"/>
          <w:b/>
          <w:bCs/>
          <w:noProof/>
          <w:color w:val="000000" w:themeColor="text1"/>
        </w:rPr>
        <w:t xml:space="preserve">for public authorities of </w:t>
      </w:r>
      <w:r w:rsidR="00B60A51" w:rsidRPr="00CE2185">
        <w:rPr>
          <w:rFonts w:eastAsia="Times New Roman"/>
          <w:b/>
          <w:bCs/>
          <w:noProof/>
          <w:color w:val="000000" w:themeColor="text1"/>
        </w:rPr>
        <w:t>EUR</w:t>
      </w:r>
      <w:r w:rsidR="00B60A51" w:rsidRPr="00CE2185">
        <w:rPr>
          <w:rFonts w:eastAsia="Times New Roman"/>
          <w:noProof/>
          <w:color w:val="000000" w:themeColor="text1"/>
        </w:rPr>
        <w:t xml:space="preserve"> </w:t>
      </w:r>
      <w:r w:rsidR="00C379AE" w:rsidRPr="00CE2185">
        <w:rPr>
          <w:rFonts w:eastAsia="Times New Roman"/>
          <w:b/>
          <w:bCs/>
          <w:noProof/>
          <w:color w:val="000000" w:themeColor="text1"/>
        </w:rPr>
        <w:t>7</w:t>
      </w:r>
      <w:r w:rsidR="00503D5F" w:rsidRPr="00CE2185">
        <w:rPr>
          <w:rFonts w:eastAsia="Times New Roman"/>
          <w:b/>
          <w:bCs/>
          <w:noProof/>
          <w:color w:val="000000" w:themeColor="text1"/>
        </w:rPr>
        <w:t>.5 million</w:t>
      </w:r>
      <w:r w:rsidR="00C60C9A" w:rsidRPr="00CE2185">
        <w:rPr>
          <w:rFonts w:eastAsia="Times New Roman"/>
          <w:b/>
          <w:bCs/>
          <w:noProof/>
          <w:color w:val="000000" w:themeColor="text1"/>
        </w:rPr>
        <w:t xml:space="preserve"> over five years</w:t>
      </w:r>
      <w:r w:rsidR="00B60A51" w:rsidRPr="00CE2185">
        <w:rPr>
          <w:noProof/>
        </w:rPr>
        <w:t>. It will</w:t>
      </w:r>
      <w:r w:rsidR="3002FC39" w:rsidRPr="00CE2185">
        <w:rPr>
          <w:noProof/>
        </w:rPr>
        <w:t xml:space="preserve"> </w:t>
      </w:r>
      <w:r w:rsidRPr="00CE2185">
        <w:rPr>
          <w:noProof/>
        </w:rPr>
        <w:t>limit fragmentation in cybersecurity measures and requirements, providing for legal clarity and substantially reducing the administrative burden</w:t>
      </w:r>
      <w:r w:rsidR="211B712F" w:rsidRPr="00CE2185">
        <w:rPr>
          <w:noProof/>
        </w:rPr>
        <w:t xml:space="preserve">, without </w:t>
      </w:r>
      <w:r w:rsidR="211B712F" w:rsidRPr="00CE2185">
        <w:rPr>
          <w:rFonts w:eastAsia="Times New Roman"/>
          <w:noProof/>
        </w:rPr>
        <w:t>leading to significant legal uncertainty among stakeholders that are in the process of adapting to the recently adopted legal frameworks</w:t>
      </w:r>
      <w:r w:rsidR="007112E5" w:rsidRPr="00CE2185">
        <w:rPr>
          <w:noProof/>
        </w:rPr>
        <w:t>.</w:t>
      </w:r>
      <w:r w:rsidR="6DBFB3FB" w:rsidRPr="00CE2185">
        <w:rPr>
          <w:noProof/>
        </w:rPr>
        <w:t xml:space="preserve"> </w:t>
      </w:r>
      <w:r w:rsidR="6DBFB3FB" w:rsidRPr="00CE2185">
        <w:rPr>
          <w:rFonts w:eastAsia="Times New Roman"/>
          <w:noProof/>
        </w:rPr>
        <w:t xml:space="preserve">In combination with option B.2, this option would </w:t>
      </w:r>
      <w:r w:rsidR="00B60A51" w:rsidRPr="00CE2185">
        <w:rPr>
          <w:rFonts w:eastAsia="Times New Roman"/>
          <w:noProof/>
        </w:rPr>
        <w:t>f</w:t>
      </w:r>
      <w:r w:rsidR="00B60A51" w:rsidRPr="00CE2185">
        <w:rPr>
          <w:noProof/>
        </w:rPr>
        <w:t xml:space="preserve">acilitate </w:t>
      </w:r>
      <w:r w:rsidR="007112E5" w:rsidRPr="00CE2185">
        <w:rPr>
          <w:noProof/>
        </w:rPr>
        <w:t xml:space="preserve">compliance for </w:t>
      </w:r>
      <w:r w:rsidR="00B60A51" w:rsidRPr="00CE2185">
        <w:rPr>
          <w:noProof/>
        </w:rPr>
        <w:t>NIS2 entities</w:t>
      </w:r>
      <w:r w:rsidR="007112E5" w:rsidRPr="00CE2185">
        <w:rPr>
          <w:noProof/>
        </w:rPr>
        <w:t xml:space="preserve">, </w:t>
      </w:r>
      <w:r w:rsidR="008E57AA" w:rsidRPr="00CE2185">
        <w:rPr>
          <w:noProof/>
        </w:rPr>
        <w:t xml:space="preserve">while </w:t>
      </w:r>
      <w:r w:rsidR="007112E5" w:rsidRPr="00CE2185">
        <w:rPr>
          <w:noProof/>
        </w:rPr>
        <w:t xml:space="preserve">also </w:t>
      </w:r>
      <w:r w:rsidR="004670DB" w:rsidRPr="00CE2185">
        <w:rPr>
          <w:noProof/>
        </w:rPr>
        <w:t>making the supervision process on the authorities’ side more efficient</w:t>
      </w:r>
      <w:r w:rsidRPr="00CE2185">
        <w:rPr>
          <w:noProof/>
        </w:rPr>
        <w:t xml:space="preserve">. </w:t>
      </w:r>
    </w:p>
    <w:p w14:paraId="4DC981F6" w14:textId="77777777" w:rsidR="007E452F" w:rsidRPr="00CE2185" w:rsidRDefault="007E452F" w:rsidP="007E452F">
      <w:pPr>
        <w:spacing w:after="120"/>
        <w:rPr>
          <w:noProof/>
        </w:rPr>
      </w:pPr>
      <w:r w:rsidRPr="00CE2185">
        <w:rPr>
          <w:noProof/>
        </w:rPr>
        <w:t xml:space="preserve">Option D.3 provides for a long-term comprehensive solution to the ICT supply chain security issues. It provides for a balanced, risk-based framework to analyse the risk and provide for proportionate measures to reduce dependencies and de-risk the most critical ICT supply chains. Furthermore, the framework is horizontal, allowing to tackle supply chain security challenges in any of the critical and highly critical sectors. The framework allows for a risk-based, targeted and proportionate approach to identify the key assets, appropriate mitigation measures and, in case of restrictions or removal of high-risk supplier equipment, a reasonable phase-out period. Option D.3 provides already for identification of key assets in 5G networks based on the EU coordinated risk assessment in this area, ensuring harmonisation in the single market. As for other areas, the framework envisages conducting assessments to analyse the risks and the economic impacts and ensuring proportionality and necessity of the measures to be proposed at a later stage, once the implementing measures to address concrete critical supply chain are proposed. </w:t>
      </w:r>
    </w:p>
    <w:p w14:paraId="76A6063A" w14:textId="07239AA1" w:rsidR="00850566" w:rsidRPr="00CE2185" w:rsidRDefault="00F92B2F" w:rsidP="00795DF0">
      <w:pPr>
        <w:spacing w:after="120"/>
        <w:rPr>
          <w:noProof/>
        </w:rPr>
      </w:pPr>
      <w:r w:rsidRPr="00CE2185">
        <w:rPr>
          <w:noProof/>
        </w:rPr>
        <w:t>O</w:t>
      </w:r>
      <w:r w:rsidR="00850566" w:rsidRPr="00CE2185">
        <w:rPr>
          <w:noProof/>
        </w:rPr>
        <w:t xml:space="preserve">ptions </w:t>
      </w:r>
      <w:r w:rsidRPr="00CE2185">
        <w:rPr>
          <w:noProof/>
        </w:rPr>
        <w:t>A.2, B.2</w:t>
      </w:r>
      <w:r w:rsidR="00844A3D" w:rsidRPr="00CE2185">
        <w:rPr>
          <w:noProof/>
        </w:rPr>
        <w:t>,</w:t>
      </w:r>
      <w:r w:rsidRPr="00CE2185">
        <w:rPr>
          <w:noProof/>
        </w:rPr>
        <w:t xml:space="preserve"> C.</w:t>
      </w:r>
      <w:r w:rsidR="00770779" w:rsidRPr="00CE2185">
        <w:rPr>
          <w:noProof/>
        </w:rPr>
        <w:t>2</w:t>
      </w:r>
      <w:r w:rsidR="007E452F">
        <w:rPr>
          <w:noProof/>
        </w:rPr>
        <w:t xml:space="preserve"> and D.3</w:t>
      </w:r>
      <w:r w:rsidR="00844A3D" w:rsidRPr="00CE2185">
        <w:rPr>
          <w:noProof/>
        </w:rPr>
        <w:t xml:space="preserve"> </w:t>
      </w:r>
      <w:r w:rsidRPr="00CE2185">
        <w:rPr>
          <w:noProof/>
        </w:rPr>
        <w:t xml:space="preserve">also </w:t>
      </w:r>
      <w:r w:rsidR="00850566" w:rsidRPr="00CE2185">
        <w:rPr>
          <w:noProof/>
        </w:rPr>
        <w:t xml:space="preserve">represent the most efficient options. </w:t>
      </w:r>
      <w:r w:rsidR="00E2116F" w:rsidRPr="00CE2185">
        <w:rPr>
          <w:noProof/>
        </w:rPr>
        <w:t>T</w:t>
      </w:r>
      <w:r w:rsidR="00850566" w:rsidRPr="00CE2185">
        <w:rPr>
          <w:noProof/>
        </w:rPr>
        <w:t>he benefits</w:t>
      </w:r>
      <w:r w:rsidR="00D73C85" w:rsidRPr="00CE2185">
        <w:rPr>
          <w:noProof/>
        </w:rPr>
        <w:t xml:space="preserve"> </w:t>
      </w:r>
      <w:r w:rsidR="00FC018A" w:rsidRPr="00CE2185">
        <w:rPr>
          <w:noProof/>
        </w:rPr>
        <w:t xml:space="preserve">in terms of </w:t>
      </w:r>
      <w:r w:rsidR="00E2116F" w:rsidRPr="00CE2185">
        <w:rPr>
          <w:noProof/>
        </w:rPr>
        <w:t xml:space="preserve">cyber resilience, </w:t>
      </w:r>
      <w:r w:rsidR="00FC018A" w:rsidRPr="00CE2185">
        <w:rPr>
          <w:noProof/>
        </w:rPr>
        <w:t>administrative savings</w:t>
      </w:r>
      <w:r w:rsidR="00E2116F" w:rsidRPr="00CE2185">
        <w:rPr>
          <w:noProof/>
        </w:rPr>
        <w:t xml:space="preserve"> and</w:t>
      </w:r>
      <w:r w:rsidR="00FC018A" w:rsidRPr="00CE2185">
        <w:rPr>
          <w:noProof/>
        </w:rPr>
        <w:t xml:space="preserve"> procedural efficiencies </w:t>
      </w:r>
      <w:r w:rsidR="00D73C85" w:rsidRPr="00CE2185">
        <w:rPr>
          <w:noProof/>
        </w:rPr>
        <w:t>are expected to</w:t>
      </w:r>
      <w:r w:rsidR="00850566" w:rsidRPr="00CE2185">
        <w:rPr>
          <w:noProof/>
        </w:rPr>
        <w:t xml:space="preserve"> surpass the overall costs. </w:t>
      </w:r>
      <w:r w:rsidR="00E2116F" w:rsidRPr="00CE2185">
        <w:rPr>
          <w:noProof/>
        </w:rPr>
        <w:t xml:space="preserve">The preferred option will contribute to </w:t>
      </w:r>
      <w:r w:rsidR="0060651C" w:rsidRPr="00CE2185">
        <w:rPr>
          <w:b/>
          <w:bCs/>
          <w:noProof/>
        </w:rPr>
        <w:t>strengthen the</w:t>
      </w:r>
      <w:r w:rsidR="0060651C" w:rsidRPr="00CE2185">
        <w:rPr>
          <w:noProof/>
        </w:rPr>
        <w:t xml:space="preserve"> </w:t>
      </w:r>
      <w:r w:rsidR="0060651C" w:rsidRPr="00CE2185">
        <w:rPr>
          <w:b/>
          <w:bCs/>
          <w:noProof/>
        </w:rPr>
        <w:t xml:space="preserve">EU’s cybersecurity posture and technological sovereignty, </w:t>
      </w:r>
      <w:r w:rsidR="00163F16" w:rsidRPr="00CE2185">
        <w:rPr>
          <w:b/>
          <w:bCs/>
          <w:noProof/>
        </w:rPr>
        <w:t xml:space="preserve">streamline compliance efforts, </w:t>
      </w:r>
      <w:r w:rsidR="009A086B" w:rsidRPr="00CE2185">
        <w:rPr>
          <w:b/>
          <w:bCs/>
          <w:noProof/>
        </w:rPr>
        <w:t>reduc</w:t>
      </w:r>
      <w:r w:rsidR="00E2116F" w:rsidRPr="00CE2185">
        <w:rPr>
          <w:b/>
          <w:bCs/>
          <w:noProof/>
        </w:rPr>
        <w:t>e</w:t>
      </w:r>
      <w:r w:rsidR="006A18BF" w:rsidRPr="00CE2185">
        <w:rPr>
          <w:b/>
          <w:bCs/>
          <w:noProof/>
        </w:rPr>
        <w:t xml:space="preserve"> market</w:t>
      </w:r>
      <w:r w:rsidR="009A086B" w:rsidRPr="00CE2185">
        <w:rPr>
          <w:b/>
          <w:bCs/>
          <w:noProof/>
        </w:rPr>
        <w:t xml:space="preserve"> fragmentation and stimulat</w:t>
      </w:r>
      <w:r w:rsidR="00E2116F" w:rsidRPr="00CE2185">
        <w:rPr>
          <w:b/>
          <w:bCs/>
          <w:noProof/>
        </w:rPr>
        <w:t>e</w:t>
      </w:r>
      <w:r w:rsidR="009A086B" w:rsidRPr="00CE2185">
        <w:rPr>
          <w:b/>
          <w:bCs/>
          <w:noProof/>
        </w:rPr>
        <w:t xml:space="preserve"> competitiveness, investments and innovation</w:t>
      </w:r>
      <w:r w:rsidR="009A086B" w:rsidRPr="00CE2185">
        <w:rPr>
          <w:noProof/>
        </w:rPr>
        <w:t xml:space="preserve"> </w:t>
      </w:r>
      <w:r w:rsidR="0060651C" w:rsidRPr="00CE2185">
        <w:rPr>
          <w:b/>
          <w:bCs/>
          <w:noProof/>
        </w:rPr>
        <w:t>in</w:t>
      </w:r>
      <w:r w:rsidR="009A086B" w:rsidRPr="00CE2185">
        <w:rPr>
          <w:b/>
          <w:bCs/>
          <w:noProof/>
        </w:rPr>
        <w:t xml:space="preserve"> trusted </w:t>
      </w:r>
      <w:r w:rsidR="0060651C" w:rsidRPr="00CE2185">
        <w:rPr>
          <w:b/>
          <w:bCs/>
          <w:noProof/>
        </w:rPr>
        <w:t>technologies</w:t>
      </w:r>
      <w:r w:rsidR="00850566" w:rsidRPr="00CE2185">
        <w:rPr>
          <w:noProof/>
        </w:rPr>
        <w:t xml:space="preserve">. The package would also be resilient to implementation challenges and would support long-term policy coherence across the digital and cybersecurity ecosystem. </w:t>
      </w:r>
    </w:p>
    <w:p w14:paraId="5A49DAC7" w14:textId="050D8375" w:rsidR="00850566" w:rsidRPr="00CE2185" w:rsidRDefault="00850566" w:rsidP="00795DF0">
      <w:pPr>
        <w:spacing w:after="120"/>
        <w:rPr>
          <w:noProof/>
        </w:rPr>
      </w:pPr>
      <w:r w:rsidRPr="00CE2185">
        <w:rPr>
          <w:noProof/>
        </w:rPr>
        <w:t>The package consisting of Options A.2, B.2</w:t>
      </w:r>
      <w:r w:rsidR="00844A3D" w:rsidRPr="00CE2185">
        <w:rPr>
          <w:noProof/>
        </w:rPr>
        <w:t>,</w:t>
      </w:r>
      <w:r w:rsidRPr="00CE2185">
        <w:rPr>
          <w:noProof/>
        </w:rPr>
        <w:t xml:space="preserve"> C.</w:t>
      </w:r>
      <w:r w:rsidR="00770779" w:rsidRPr="00CE2185">
        <w:rPr>
          <w:noProof/>
        </w:rPr>
        <w:t>2</w:t>
      </w:r>
      <w:r w:rsidR="00844A3D" w:rsidRPr="00CE2185">
        <w:rPr>
          <w:noProof/>
        </w:rPr>
        <w:t>,</w:t>
      </w:r>
      <w:r w:rsidR="007E452F">
        <w:rPr>
          <w:noProof/>
        </w:rPr>
        <w:t xml:space="preserve"> D.3</w:t>
      </w:r>
      <w:r w:rsidR="00844A3D" w:rsidRPr="00CE2185">
        <w:rPr>
          <w:noProof/>
        </w:rPr>
        <w:t xml:space="preserve"> </w:t>
      </w:r>
      <w:r w:rsidRPr="00CE2185">
        <w:rPr>
          <w:noProof/>
        </w:rPr>
        <w:t xml:space="preserve">is therefore recommended as the most appropriate and evidence-based course of action for the revision of the </w:t>
      </w:r>
      <w:r w:rsidR="00DF3464" w:rsidRPr="00CE2185">
        <w:rPr>
          <w:noProof/>
        </w:rPr>
        <w:t>CSA</w:t>
      </w:r>
      <w:r w:rsidR="007E44D4" w:rsidRPr="00CE2185">
        <w:rPr>
          <w:noProof/>
        </w:rPr>
        <w:t xml:space="preserve">, which would strengthen the defence operational capability of the </w:t>
      </w:r>
      <w:r w:rsidR="002C20B9" w:rsidRPr="00CE2185">
        <w:rPr>
          <w:noProof/>
        </w:rPr>
        <w:t>EU</w:t>
      </w:r>
      <w:r w:rsidRPr="00CE2185">
        <w:rPr>
          <w:noProof/>
        </w:rPr>
        <w:t>.</w:t>
      </w:r>
    </w:p>
    <w:p w14:paraId="5E5AD9EF" w14:textId="77777777" w:rsidR="00850566" w:rsidRPr="00CE2185" w:rsidRDefault="00850566" w:rsidP="00970760">
      <w:pPr>
        <w:pStyle w:val="Heading2"/>
        <w:rPr>
          <w:noProof/>
        </w:rPr>
      </w:pPr>
      <w:bookmarkStart w:id="152" w:name="_Toc219447388"/>
      <w:r w:rsidRPr="00CE2185">
        <w:rPr>
          <w:noProof/>
        </w:rPr>
        <w:t>REFIT (simplification and improved efficiency)</w:t>
      </w:r>
      <w:bookmarkEnd w:id="152"/>
    </w:p>
    <w:p w14:paraId="4722E5B1" w14:textId="563732ED" w:rsidR="00850566" w:rsidRPr="00CE2185" w:rsidRDefault="00850566" w:rsidP="00795DF0">
      <w:pPr>
        <w:spacing w:after="120"/>
        <w:rPr>
          <w:noProof/>
        </w:rPr>
      </w:pPr>
      <w:r w:rsidRPr="00CE2185">
        <w:rPr>
          <w:noProof/>
        </w:rPr>
        <w:t>The revision of the CSA, through the selected policy options A.2, B.2</w:t>
      </w:r>
      <w:r w:rsidR="575958B8" w:rsidRPr="00CE2185">
        <w:rPr>
          <w:noProof/>
        </w:rPr>
        <w:t>, C</w:t>
      </w:r>
      <w:r w:rsidRPr="00CE2185">
        <w:rPr>
          <w:noProof/>
        </w:rPr>
        <w:t>.2</w:t>
      </w:r>
      <w:r w:rsidR="007E452F">
        <w:rPr>
          <w:noProof/>
        </w:rPr>
        <w:t xml:space="preserve"> and D.3</w:t>
      </w:r>
      <w:r w:rsidRPr="00CE2185">
        <w:rPr>
          <w:noProof/>
        </w:rPr>
        <w:t>, strongly contributes to improving clarity, removing inefficiencies and aligning procedures across legal frameworks. More concretely, Option A.2 proposes a full reform of ENISA’s mandate providing effective support for the policy implementation and an added value in terms of supporting operational cooperation among the Member States. This consolidation will also help eliminate fragmented practices, improving coordination while lowering compliance and operational costs in the long term. Option B.2, which involves repealing the current CSA and introducing a reformed ECCF, enhances efficiency by revising the governance model and supporting more predictable, coherent and agile certification procedures. This will allow for faster scheme adoption and better alignment with horizontal legislation, reducing regulatory fragmentation and easing the burden on both public and private stakeholders. Option C.</w:t>
      </w:r>
      <w:r w:rsidR="002738AA" w:rsidRPr="00CE2185">
        <w:rPr>
          <w:noProof/>
        </w:rPr>
        <w:t>2</w:t>
      </w:r>
      <w:r w:rsidRPr="00CE2185">
        <w:rPr>
          <w:noProof/>
        </w:rPr>
        <w:t xml:space="preserve"> reduces compliance costs for entities subject to relevant Union cybersecurity legislation, </w:t>
      </w:r>
      <w:r w:rsidR="001A55AB" w:rsidRPr="00CE2185">
        <w:rPr>
          <w:noProof/>
        </w:rPr>
        <w:t>through scope changes and by enabling</w:t>
      </w:r>
      <w:r w:rsidRPr="00CE2185">
        <w:rPr>
          <w:noProof/>
        </w:rPr>
        <w:t xml:space="preserve"> organisational cybersecurity certification schemes for entities in scope of the </w:t>
      </w:r>
      <w:r w:rsidR="00E47D43" w:rsidRPr="00CE2185">
        <w:rPr>
          <w:noProof/>
        </w:rPr>
        <w:t>NIS 2</w:t>
      </w:r>
      <w:r w:rsidRPr="00CE2185">
        <w:rPr>
          <w:noProof/>
        </w:rPr>
        <w:t xml:space="preserve"> Directive and other legal acts</w:t>
      </w:r>
      <w:r w:rsidR="001A55AB" w:rsidRPr="00CE2185">
        <w:rPr>
          <w:noProof/>
        </w:rPr>
        <w:t xml:space="preserve">. </w:t>
      </w:r>
      <w:r w:rsidRPr="00CE2185">
        <w:rPr>
          <w:noProof/>
        </w:rPr>
        <w:t>This approach will significantly simplify regulatory obligations for entities subject to multiple requirements and ensure a more effective use of resources across national authorities.</w:t>
      </w:r>
      <w:r w:rsidR="00E3478C" w:rsidRPr="00CE2185">
        <w:rPr>
          <w:noProof/>
        </w:rPr>
        <w:t xml:space="preserve"> </w:t>
      </w:r>
      <w:r w:rsidR="007E452F" w:rsidRPr="00CE2185">
        <w:rPr>
          <w:noProof/>
        </w:rPr>
        <w:t>Option D.3 creates a harmonised framework to tackle non-technical risks affecting ICT supply chains, reducing the current fragmentation of approaches across Member States.</w:t>
      </w:r>
      <w:r w:rsidR="007E452F">
        <w:rPr>
          <w:noProof/>
        </w:rPr>
        <w:t xml:space="preserve"> </w:t>
      </w:r>
      <w:r w:rsidRPr="00CE2185">
        <w:rPr>
          <w:noProof/>
        </w:rPr>
        <w:t>Together, these options represent a substantial simplification and modernisation of the EU’s cybersecurity legal framework, fully aligned with the REFIT principles of clarity, efficiency and digital readiness.</w:t>
      </w:r>
    </w:p>
    <w:p w14:paraId="20D296E9" w14:textId="5108D92C" w:rsidR="00850566" w:rsidRPr="00CE2185" w:rsidRDefault="00850566" w:rsidP="00970760">
      <w:pPr>
        <w:pStyle w:val="Heading2"/>
        <w:rPr>
          <w:noProof/>
        </w:rPr>
      </w:pPr>
      <w:bookmarkStart w:id="153" w:name="_Toc219447389"/>
      <w:r w:rsidRPr="00CE2185">
        <w:rPr>
          <w:noProof/>
        </w:rPr>
        <w:t>Application of the ‘one in, one out’ approach</w:t>
      </w:r>
      <w:bookmarkEnd w:id="153"/>
    </w:p>
    <w:p w14:paraId="49F439CB" w14:textId="2C94B15B" w:rsidR="00850566" w:rsidRPr="00CE2185" w:rsidRDefault="00850566" w:rsidP="00795DF0">
      <w:pPr>
        <w:spacing w:after="120"/>
        <w:rPr>
          <w:noProof/>
        </w:rPr>
      </w:pPr>
      <w:r w:rsidRPr="00CE2185">
        <w:rPr>
          <w:noProof/>
        </w:rPr>
        <w:t xml:space="preserve">In line with the Better Regulation Toolbox, the </w:t>
      </w:r>
      <w:r w:rsidRPr="00CE2185">
        <w:rPr>
          <w:i/>
          <w:noProof/>
        </w:rPr>
        <w:t>“One in, one out”</w:t>
      </w:r>
      <w:r w:rsidRPr="00CE2185">
        <w:rPr>
          <w:noProof/>
        </w:rPr>
        <w:t xml:space="preserve"> approach aims to ensure that any new administrative burden introduced by an initiative is balanced by the removal or reduction of existing burdens. This section identifies administrative costs (INs) and corresponding cost savings (OUTs) resulting from the preferred policy options (A.2, B.2, C.</w:t>
      </w:r>
      <w:r w:rsidR="00432FA9" w:rsidRPr="00CE2185">
        <w:rPr>
          <w:noProof/>
        </w:rPr>
        <w:t>2</w:t>
      </w:r>
      <w:r w:rsidR="00844A3D" w:rsidRPr="00CE2185">
        <w:rPr>
          <w:noProof/>
        </w:rPr>
        <w:t xml:space="preserve">, </w:t>
      </w:r>
      <w:r w:rsidR="007E452F">
        <w:rPr>
          <w:noProof/>
        </w:rPr>
        <w:t>D.3</w:t>
      </w:r>
      <w:r w:rsidRPr="00CE2185">
        <w:rPr>
          <w:noProof/>
        </w:rPr>
        <w:t>)</w:t>
      </w:r>
      <w:r w:rsidR="004175E6" w:rsidRPr="00CE2185">
        <w:rPr>
          <w:noProof/>
        </w:rPr>
        <w:t xml:space="preserve"> for businesses, public authorities and businesses</w:t>
      </w:r>
      <w:r w:rsidRPr="00CE2185">
        <w:rPr>
          <w:noProof/>
        </w:rPr>
        <w:t xml:space="preserve">. The detailed analysis table of the </w:t>
      </w:r>
      <w:r w:rsidRPr="00CE2185">
        <w:rPr>
          <w:i/>
          <w:noProof/>
        </w:rPr>
        <w:t>“One in, one out”</w:t>
      </w:r>
      <w:r w:rsidRPr="00CE2185">
        <w:rPr>
          <w:noProof/>
        </w:rPr>
        <w:t xml:space="preserve"> approach can be found in </w:t>
      </w:r>
      <w:r w:rsidRPr="00CE2185">
        <w:rPr>
          <w:i/>
          <w:iCs/>
          <w:noProof/>
        </w:rPr>
        <w:t>Annex 3</w:t>
      </w:r>
      <w:r w:rsidR="00DE053A" w:rsidRPr="00CE2185">
        <w:rPr>
          <w:i/>
          <w:iCs/>
          <w:noProof/>
        </w:rPr>
        <w:t>, section 5</w:t>
      </w:r>
      <w:r w:rsidR="00D437DC" w:rsidRPr="00CE2185">
        <w:rPr>
          <w:noProof/>
        </w:rPr>
        <w:t>, supported by an SME check</w:t>
      </w:r>
      <w:r w:rsidR="00361544" w:rsidRPr="00CE2185">
        <w:rPr>
          <w:noProof/>
        </w:rPr>
        <w:t xml:space="preserve"> (</w:t>
      </w:r>
      <w:r w:rsidR="00361544" w:rsidRPr="00CE2185">
        <w:rPr>
          <w:i/>
          <w:iCs/>
          <w:noProof/>
        </w:rPr>
        <w:t>see</w:t>
      </w:r>
      <w:r w:rsidR="00D437DC" w:rsidRPr="00CE2185">
        <w:rPr>
          <w:i/>
          <w:iCs/>
          <w:noProof/>
        </w:rPr>
        <w:t xml:space="preserve"> Annex 6</w:t>
      </w:r>
      <w:r w:rsidR="00361544" w:rsidRPr="00CE2185">
        <w:rPr>
          <w:noProof/>
        </w:rPr>
        <w:t>)</w:t>
      </w:r>
      <w:r w:rsidR="00D437DC" w:rsidRPr="00CE2185">
        <w:rPr>
          <w:noProof/>
        </w:rPr>
        <w:t>.</w:t>
      </w:r>
      <w:r w:rsidR="00297C28" w:rsidRPr="00CE2185">
        <w:rPr>
          <w:i/>
          <w:iCs/>
          <w:noProof/>
        </w:rPr>
        <w:t xml:space="preserve"> </w:t>
      </w:r>
    </w:p>
    <w:p w14:paraId="3959EFB9" w14:textId="77777777" w:rsidR="00850566" w:rsidRPr="00CE2185" w:rsidRDefault="00850566" w:rsidP="00795DF0">
      <w:pPr>
        <w:spacing w:before="120" w:after="120"/>
        <w:rPr>
          <w:b/>
          <w:bCs/>
          <w:noProof/>
        </w:rPr>
      </w:pPr>
      <w:r w:rsidRPr="00CE2185">
        <w:rPr>
          <w:b/>
          <w:bCs/>
          <w:noProof/>
        </w:rPr>
        <w:t>Administrative burdens introduced (“INs”)</w:t>
      </w:r>
    </w:p>
    <w:p w14:paraId="128D188D" w14:textId="04EAA8A5" w:rsidR="00AE0901" w:rsidRPr="00CE2185" w:rsidRDefault="00EB43D3" w:rsidP="00795DF0">
      <w:pPr>
        <w:spacing w:after="120"/>
        <w:rPr>
          <w:noProof/>
        </w:rPr>
      </w:pPr>
      <w:r w:rsidRPr="00CE2185">
        <w:rPr>
          <w:noProof/>
        </w:rPr>
        <w:t xml:space="preserve">The preferred option will somewhat increase </w:t>
      </w:r>
      <w:r w:rsidR="00F60665" w:rsidRPr="00CE2185">
        <w:rPr>
          <w:noProof/>
        </w:rPr>
        <w:t xml:space="preserve">administrative </w:t>
      </w:r>
      <w:r w:rsidRPr="00CE2185">
        <w:rPr>
          <w:noProof/>
        </w:rPr>
        <w:t xml:space="preserve">costs for businesses. </w:t>
      </w:r>
      <w:r w:rsidR="00AE0901" w:rsidRPr="00CE2185">
        <w:rPr>
          <w:noProof/>
        </w:rPr>
        <w:t>U</w:t>
      </w:r>
      <w:r w:rsidR="001112AF" w:rsidRPr="00CE2185">
        <w:rPr>
          <w:noProof/>
        </w:rPr>
        <w:t>nder A2</w:t>
      </w:r>
      <w:r w:rsidR="00AE0901" w:rsidRPr="00CE2185">
        <w:rPr>
          <w:noProof/>
        </w:rPr>
        <w:t xml:space="preserve">, </w:t>
      </w:r>
      <w:r w:rsidR="00F60665" w:rsidRPr="00CE2185">
        <w:rPr>
          <w:noProof/>
        </w:rPr>
        <w:t xml:space="preserve">administrative </w:t>
      </w:r>
      <w:r w:rsidR="00AE0901" w:rsidRPr="00CE2185">
        <w:rPr>
          <w:noProof/>
        </w:rPr>
        <w:t>costs would be limited to obtaining an authorisation to deliver Europe</w:t>
      </w:r>
      <w:r w:rsidR="00EF498E" w:rsidRPr="00CE2185">
        <w:rPr>
          <w:noProof/>
        </w:rPr>
        <w:t>a</w:t>
      </w:r>
      <w:r w:rsidR="00AE0901" w:rsidRPr="00CE2185">
        <w:rPr>
          <w:noProof/>
        </w:rPr>
        <w:t xml:space="preserve">n skills attestations. </w:t>
      </w:r>
      <w:r w:rsidR="007A2A1C" w:rsidRPr="00CE2185">
        <w:rPr>
          <w:noProof/>
        </w:rPr>
        <w:t xml:space="preserve">Under B.2, businesses choosing to pursue voluntary certification under the revised ECCF </w:t>
      </w:r>
      <w:r w:rsidR="00F60665" w:rsidRPr="00CE2185">
        <w:rPr>
          <w:noProof/>
        </w:rPr>
        <w:t xml:space="preserve">will </w:t>
      </w:r>
      <w:r w:rsidR="007A2A1C" w:rsidRPr="00CE2185">
        <w:rPr>
          <w:noProof/>
        </w:rPr>
        <w:t>face administrative costs</w:t>
      </w:r>
      <w:r w:rsidR="00F60665" w:rsidRPr="00CE2185">
        <w:rPr>
          <w:noProof/>
        </w:rPr>
        <w:t xml:space="preserve"> stemming from obtaining </w:t>
      </w:r>
      <w:r w:rsidR="0087562C" w:rsidRPr="00CE2185">
        <w:rPr>
          <w:noProof/>
        </w:rPr>
        <w:t>(one-off)</w:t>
      </w:r>
      <w:r w:rsidR="00F60665" w:rsidRPr="00CE2185">
        <w:rPr>
          <w:noProof/>
        </w:rPr>
        <w:t xml:space="preserve"> and maintaining </w:t>
      </w:r>
      <w:r w:rsidR="0087562C" w:rsidRPr="00CE2185">
        <w:rPr>
          <w:noProof/>
        </w:rPr>
        <w:t>(recurrent)</w:t>
      </w:r>
      <w:r w:rsidR="00F60665" w:rsidRPr="00CE2185">
        <w:rPr>
          <w:noProof/>
        </w:rPr>
        <w:t xml:space="preserve"> a certificate.</w:t>
      </w:r>
      <w:r w:rsidR="007A2A1C" w:rsidRPr="00CE2185">
        <w:rPr>
          <w:noProof/>
        </w:rPr>
        <w:t xml:space="preserve"> </w:t>
      </w:r>
      <w:r w:rsidR="0087562C" w:rsidRPr="00CE2185">
        <w:rPr>
          <w:noProof/>
        </w:rPr>
        <w:t>R</w:t>
      </w:r>
      <w:r w:rsidR="007A2A1C" w:rsidRPr="00CE2185">
        <w:rPr>
          <w:noProof/>
        </w:rPr>
        <w:t>ecurrent costs could emerge from the continued need to comply with certification requirements such as by means audits and internal documentation.</w:t>
      </w:r>
      <w:r w:rsidRPr="00CE2185">
        <w:rPr>
          <w:noProof/>
        </w:rPr>
        <w:t xml:space="preserve"> </w:t>
      </w:r>
      <w:r w:rsidR="00850566" w:rsidRPr="00CE2185">
        <w:rPr>
          <w:noProof/>
        </w:rPr>
        <w:t>Under C.</w:t>
      </w:r>
      <w:r w:rsidR="002738AA" w:rsidRPr="00CE2185">
        <w:rPr>
          <w:noProof/>
        </w:rPr>
        <w:t>2</w:t>
      </w:r>
      <w:r w:rsidR="00850566" w:rsidRPr="00CE2185">
        <w:rPr>
          <w:noProof/>
        </w:rPr>
        <w:t xml:space="preserve">, </w:t>
      </w:r>
      <w:r w:rsidR="00BD0AC6" w:rsidRPr="00CE2185">
        <w:rPr>
          <w:noProof/>
        </w:rPr>
        <w:t xml:space="preserve">minor administrative costs could occur for </w:t>
      </w:r>
      <w:r w:rsidR="0011794B" w:rsidRPr="00CE2185">
        <w:rPr>
          <w:noProof/>
        </w:rPr>
        <w:t xml:space="preserve">updating reporting requirements (one-off and recurrent). </w:t>
      </w:r>
      <w:r w:rsidR="007E452F" w:rsidRPr="00CE2185">
        <w:rPr>
          <w:noProof/>
        </w:rPr>
        <w:t>Under D.3, no significant administrative costs could be identified.</w:t>
      </w:r>
    </w:p>
    <w:p w14:paraId="36016152" w14:textId="50AAA8FC" w:rsidR="00172B76" w:rsidRPr="00CE2185" w:rsidRDefault="00AE0901" w:rsidP="00172B76">
      <w:pPr>
        <w:spacing w:after="0"/>
        <w:jc w:val="left"/>
        <w:textAlignment w:val="baseline"/>
        <w:rPr>
          <w:noProof/>
        </w:rPr>
      </w:pPr>
      <w:r w:rsidRPr="00CE2185">
        <w:rPr>
          <w:noProof/>
        </w:rPr>
        <w:t>To summari</w:t>
      </w:r>
      <w:r w:rsidR="003616B3">
        <w:rPr>
          <w:noProof/>
        </w:rPr>
        <w:t>s</w:t>
      </w:r>
      <w:r w:rsidRPr="00CE2185">
        <w:rPr>
          <w:noProof/>
        </w:rPr>
        <w:t xml:space="preserve">e, </w:t>
      </w:r>
      <w:r w:rsidR="00077D0D" w:rsidRPr="00CE2185">
        <w:rPr>
          <w:noProof/>
        </w:rPr>
        <w:t>as outline</w:t>
      </w:r>
      <w:r w:rsidR="006D5497">
        <w:rPr>
          <w:noProof/>
        </w:rPr>
        <w:t>d</w:t>
      </w:r>
      <w:r w:rsidR="00077D0D" w:rsidRPr="00CE2185">
        <w:rPr>
          <w:noProof/>
        </w:rPr>
        <w:t xml:space="preserve"> in </w:t>
      </w:r>
      <w:r w:rsidR="00077D0D" w:rsidRPr="00CE2185">
        <w:rPr>
          <w:i/>
          <w:iCs/>
          <w:noProof/>
        </w:rPr>
        <w:t>Annex 3</w:t>
      </w:r>
      <w:r w:rsidR="000F3395" w:rsidRPr="00CE2185">
        <w:rPr>
          <w:noProof/>
        </w:rPr>
        <w:t xml:space="preserve"> </w:t>
      </w:r>
      <w:r w:rsidR="000F3395" w:rsidRPr="00CE2185">
        <w:rPr>
          <w:i/>
          <w:iCs/>
          <w:noProof/>
        </w:rPr>
        <w:t xml:space="preserve">Table </w:t>
      </w:r>
      <w:r w:rsidR="00AB06BB">
        <w:rPr>
          <w:i/>
          <w:iCs/>
          <w:noProof/>
        </w:rPr>
        <w:t>7</w:t>
      </w:r>
      <w:r w:rsidR="000F3395" w:rsidRPr="00CE2185">
        <w:rPr>
          <w:i/>
          <w:iCs/>
          <w:noProof/>
        </w:rPr>
        <w:t>,</w:t>
      </w:r>
      <w:r w:rsidRPr="00CE2185">
        <w:rPr>
          <w:noProof/>
        </w:rPr>
        <w:t xml:space="preserve"> main </w:t>
      </w:r>
      <w:r w:rsidRPr="00CE2185">
        <w:rPr>
          <w:b/>
          <w:bCs/>
          <w:noProof/>
        </w:rPr>
        <w:t>one-off and current administrative costs</w:t>
      </w:r>
      <w:r w:rsidRPr="00CE2185">
        <w:rPr>
          <w:noProof/>
        </w:rPr>
        <w:t xml:space="preserve"> </w:t>
      </w:r>
      <w:r w:rsidR="00797C1E" w:rsidRPr="00CE2185">
        <w:rPr>
          <w:noProof/>
        </w:rPr>
        <w:t xml:space="preserve">for businesses </w:t>
      </w:r>
      <w:r w:rsidRPr="00CE2185">
        <w:rPr>
          <w:noProof/>
        </w:rPr>
        <w:t xml:space="preserve">would </w:t>
      </w:r>
      <w:r w:rsidR="00DC089A" w:rsidRPr="00CE2185">
        <w:rPr>
          <w:noProof/>
        </w:rPr>
        <w:t>include:</w:t>
      </w:r>
      <w:r w:rsidRPr="00CE2185">
        <w:rPr>
          <w:noProof/>
        </w:rPr>
        <w:t xml:space="preserve"> </w:t>
      </w:r>
    </w:p>
    <w:p w14:paraId="1F2B21B8" w14:textId="06C5FBB8" w:rsidR="00172B76" w:rsidRPr="00CE2185" w:rsidRDefault="00172B76" w:rsidP="00EE3DF9">
      <w:pPr>
        <w:pStyle w:val="ListParagraph"/>
        <w:numPr>
          <w:ilvl w:val="0"/>
          <w:numId w:val="41"/>
        </w:numPr>
        <w:spacing w:after="0"/>
        <w:jc w:val="left"/>
        <w:textAlignment w:val="baseline"/>
        <w:rPr>
          <w:rFonts w:eastAsia="Times New Roman"/>
          <w:noProof/>
          <w:lang w:val="en-IE" w:eastAsia="en-IE"/>
        </w:rPr>
      </w:pPr>
      <w:r w:rsidRPr="00CE2185">
        <w:rPr>
          <w:rFonts w:eastAsia="Times New Roman"/>
          <w:noProof/>
          <w:lang w:val="en-IE" w:eastAsia="en-IE"/>
        </w:rPr>
        <w:t>Certification (on voluntary basis): costs related to documentation and obtaining certificate (one-off and recurrent), as well as maintenance (e.g. audits). For cyber</w:t>
      </w:r>
      <w:r w:rsidR="7F04CBFA" w:rsidRPr="00CE2185">
        <w:rPr>
          <w:rFonts w:eastAsia="Times New Roman"/>
          <w:noProof/>
          <w:lang w:val="en-IE" w:eastAsia="en-IE"/>
        </w:rPr>
        <w:t xml:space="preserve"> </w:t>
      </w:r>
      <w:r w:rsidRPr="00CE2185">
        <w:rPr>
          <w:rFonts w:eastAsia="Times New Roman"/>
          <w:noProof/>
          <w:lang w:val="en-IE" w:eastAsia="en-IE"/>
        </w:rPr>
        <w:t>posture scheme, 30</w:t>
      </w:r>
      <w:r w:rsidR="00AB2D56" w:rsidRPr="00CE2185">
        <w:rPr>
          <w:rFonts w:eastAsia="Times New Roman"/>
          <w:noProof/>
          <w:lang w:val="en-IE" w:eastAsia="en-IE"/>
        </w:rPr>
        <w:t> </w:t>
      </w:r>
      <w:r w:rsidRPr="00CE2185">
        <w:rPr>
          <w:rFonts w:eastAsia="Times New Roman"/>
          <w:noProof/>
          <w:lang w:val="en-IE" w:eastAsia="en-IE"/>
        </w:rPr>
        <w:t>000 EUR</w:t>
      </w:r>
      <w:r w:rsidRPr="00CE2185">
        <w:rPr>
          <w:rFonts w:eastAsia="Times New Roman"/>
          <w:b/>
          <w:bCs/>
          <w:noProof/>
          <w:lang w:val="en-IE" w:eastAsia="en-IE"/>
        </w:rPr>
        <w:t xml:space="preserve"> </w:t>
      </w:r>
      <w:r w:rsidRPr="00CE2185">
        <w:rPr>
          <w:rFonts w:eastAsia="Times New Roman"/>
          <w:noProof/>
          <w:lang w:val="en-IE" w:eastAsia="en-IE"/>
        </w:rPr>
        <w:t xml:space="preserve">(one-off and recurrent) (B2) </w:t>
      </w:r>
      <w:r w:rsidRPr="00CE2185">
        <w:rPr>
          <w:rFonts w:eastAsia="Times New Roman"/>
          <w:noProof/>
          <w:lang w:val="en-IE" w:eastAsia="en-IE"/>
        </w:rPr>
        <w:softHyphen/>
      </w:r>
    </w:p>
    <w:p w14:paraId="65F608D1" w14:textId="0CD256E3" w:rsidR="00172B76" w:rsidRPr="00CE2185" w:rsidRDefault="00172B76" w:rsidP="00EE3DF9">
      <w:pPr>
        <w:pStyle w:val="ListParagraph"/>
        <w:numPr>
          <w:ilvl w:val="0"/>
          <w:numId w:val="41"/>
        </w:numPr>
        <w:spacing w:after="0"/>
        <w:jc w:val="left"/>
        <w:textAlignment w:val="baseline"/>
        <w:rPr>
          <w:rFonts w:eastAsia="Times New Roman"/>
          <w:noProof/>
          <w:lang w:val="en-IE" w:eastAsia="en-IE"/>
        </w:rPr>
      </w:pPr>
      <w:r w:rsidRPr="00CE2185">
        <w:rPr>
          <w:rFonts w:eastAsia="Times New Roman"/>
          <w:noProof/>
          <w:lang w:val="en-IE" w:eastAsia="en-IE"/>
        </w:rPr>
        <w:t>European skills attestation (on voluntary basis): costs for skills attestation vendor to obtain authorisation (one-off and recurrent) and to maintain it. (A2)</w:t>
      </w:r>
    </w:p>
    <w:p w14:paraId="109B8D52" w14:textId="299D73CC" w:rsidR="00797C1E" w:rsidRPr="00CE2185" w:rsidRDefault="00172B76" w:rsidP="00EE3DF9">
      <w:pPr>
        <w:pStyle w:val="ListParagraph"/>
        <w:numPr>
          <w:ilvl w:val="0"/>
          <w:numId w:val="41"/>
        </w:numPr>
        <w:spacing w:after="120"/>
        <w:rPr>
          <w:noProof/>
        </w:rPr>
      </w:pPr>
      <w:r w:rsidRPr="00CE2185">
        <w:rPr>
          <w:rFonts w:eastAsia="Times New Roman"/>
          <w:noProof/>
          <w:lang w:val="en-IE" w:eastAsia="en-IE"/>
        </w:rPr>
        <w:t>Minor (on</w:t>
      </w:r>
      <w:r w:rsidR="00B97154" w:rsidRPr="00CE2185">
        <w:rPr>
          <w:rFonts w:eastAsia="Times New Roman"/>
          <w:noProof/>
          <w:lang w:val="en-IE" w:eastAsia="en-IE"/>
        </w:rPr>
        <w:t>e</w:t>
      </w:r>
      <w:r w:rsidRPr="00CE2185">
        <w:rPr>
          <w:rFonts w:eastAsia="Times New Roman"/>
          <w:noProof/>
          <w:lang w:val="en-IE" w:eastAsia="en-IE"/>
        </w:rPr>
        <w:t xml:space="preserve">-off) costs related to adapting notification procedures for ransomware attacks (C2) </w:t>
      </w:r>
    </w:p>
    <w:p w14:paraId="41844E4A" w14:textId="2B8F9FB0" w:rsidR="00172B76" w:rsidRPr="00CE2185" w:rsidRDefault="00172B76" w:rsidP="00172B76">
      <w:pPr>
        <w:spacing w:after="120"/>
        <w:rPr>
          <w:noProof/>
        </w:rPr>
      </w:pPr>
      <w:r w:rsidRPr="00CE2185">
        <w:rPr>
          <w:noProof/>
        </w:rPr>
        <w:t xml:space="preserve">These costs would only occur to the extent businesses chose to engage in </w:t>
      </w:r>
      <w:r w:rsidR="000F3395" w:rsidRPr="00CE2185">
        <w:rPr>
          <w:noProof/>
        </w:rPr>
        <w:t>relevant</w:t>
      </w:r>
      <w:r w:rsidRPr="00CE2185">
        <w:rPr>
          <w:noProof/>
        </w:rPr>
        <w:t xml:space="preserve"> activities</w:t>
      </w:r>
      <w:r w:rsidR="000F3395" w:rsidRPr="00CE2185">
        <w:rPr>
          <w:noProof/>
        </w:rPr>
        <w:t xml:space="preserve"> (certification and skills attestation)</w:t>
      </w:r>
      <w:r w:rsidR="0020622A" w:rsidRPr="00CE2185">
        <w:rPr>
          <w:noProof/>
        </w:rPr>
        <w:t xml:space="preserve">, </w:t>
      </w:r>
      <w:r w:rsidR="00DC089A" w:rsidRPr="00CE2185">
        <w:rPr>
          <w:noProof/>
        </w:rPr>
        <w:t>except for</w:t>
      </w:r>
      <w:r w:rsidR="0020622A" w:rsidRPr="00CE2185">
        <w:rPr>
          <w:noProof/>
        </w:rPr>
        <w:t xml:space="preserve"> ransomware reporting requirement</w:t>
      </w:r>
      <w:r w:rsidR="00812345" w:rsidRPr="00CE2185">
        <w:rPr>
          <w:noProof/>
        </w:rPr>
        <w:t>s. However</w:t>
      </w:r>
      <w:r w:rsidR="00DC089A" w:rsidRPr="00CE2185">
        <w:rPr>
          <w:noProof/>
        </w:rPr>
        <w:t xml:space="preserve">, the latter are not expected to be significant compared to the BaU. </w:t>
      </w:r>
    </w:p>
    <w:p w14:paraId="741CE320" w14:textId="6A4291BE" w:rsidR="00850566" w:rsidRPr="00CE2185" w:rsidRDefault="000F3395" w:rsidP="00795DF0">
      <w:pPr>
        <w:spacing w:after="120"/>
        <w:rPr>
          <w:noProof/>
        </w:rPr>
      </w:pPr>
      <w:r w:rsidRPr="00CE2185">
        <w:rPr>
          <w:noProof/>
        </w:rPr>
        <w:t>No</w:t>
      </w:r>
      <w:r w:rsidR="00BC4887" w:rsidRPr="00CE2185">
        <w:rPr>
          <w:noProof/>
        </w:rPr>
        <w:t xml:space="preserve"> significant</w:t>
      </w:r>
      <w:r w:rsidRPr="00CE2185">
        <w:rPr>
          <w:noProof/>
        </w:rPr>
        <w:t xml:space="preserve"> administrative costs have been identified for </w:t>
      </w:r>
      <w:r w:rsidR="00BC4887" w:rsidRPr="00CE2185">
        <w:rPr>
          <w:noProof/>
        </w:rPr>
        <w:t xml:space="preserve">public authorities and citizens. </w:t>
      </w:r>
    </w:p>
    <w:p w14:paraId="134240A8" w14:textId="648D1ECC" w:rsidR="00850566" w:rsidRPr="00CE2185" w:rsidRDefault="00850566" w:rsidP="00970760">
      <w:pPr>
        <w:keepNext/>
        <w:spacing w:before="120" w:after="120"/>
        <w:rPr>
          <w:b/>
          <w:bCs/>
          <w:noProof/>
        </w:rPr>
      </w:pPr>
      <w:r w:rsidRPr="00CE2185">
        <w:rPr>
          <w:b/>
          <w:bCs/>
          <w:noProof/>
        </w:rPr>
        <w:t>Administrative savings (“OUTs”)</w:t>
      </w:r>
    </w:p>
    <w:p w14:paraId="6FB73496" w14:textId="66AFD57C" w:rsidR="00850566" w:rsidRPr="00CE2185" w:rsidRDefault="00850566" w:rsidP="00795DF0">
      <w:pPr>
        <w:spacing w:after="120"/>
        <w:rPr>
          <w:noProof/>
        </w:rPr>
      </w:pPr>
      <w:r w:rsidRPr="00CE2185">
        <w:rPr>
          <w:noProof/>
        </w:rPr>
        <w:t>Despite the above INs, the preferred options would also generate meaningful administrative cost reductions</w:t>
      </w:r>
      <w:r w:rsidR="00B87870" w:rsidRPr="00CE2185">
        <w:rPr>
          <w:noProof/>
        </w:rPr>
        <w:t xml:space="preserve"> for businesses</w:t>
      </w:r>
      <w:r w:rsidRPr="00CE2185">
        <w:rPr>
          <w:noProof/>
        </w:rPr>
        <w:t xml:space="preserve">, which would qualify as OUTs under the </w:t>
      </w:r>
      <w:r w:rsidRPr="00CE2185">
        <w:rPr>
          <w:i/>
          <w:noProof/>
        </w:rPr>
        <w:t>“One in, one out”</w:t>
      </w:r>
      <w:r w:rsidRPr="00CE2185">
        <w:rPr>
          <w:noProof/>
        </w:rPr>
        <w:t xml:space="preserve"> approach. </w:t>
      </w:r>
      <w:r w:rsidR="00B00C2E" w:rsidRPr="00CE2185">
        <w:rPr>
          <w:noProof/>
        </w:rPr>
        <w:t xml:space="preserve">Those savings would include: </w:t>
      </w:r>
    </w:p>
    <w:p w14:paraId="6B20EBE7" w14:textId="4FF1AA96" w:rsidR="00B00C2E" w:rsidRPr="00CE2185" w:rsidRDefault="00B00C2E" w:rsidP="00EE3DF9">
      <w:pPr>
        <w:pStyle w:val="ListParagraph"/>
        <w:numPr>
          <w:ilvl w:val="0"/>
          <w:numId w:val="43"/>
        </w:numPr>
        <w:spacing w:after="120"/>
        <w:rPr>
          <w:noProof/>
        </w:rPr>
      </w:pPr>
      <w:r w:rsidRPr="00CE2185">
        <w:rPr>
          <w:noProof/>
        </w:rPr>
        <w:t xml:space="preserve">NIS2 scope removals for DNS providers and other entities: </w:t>
      </w:r>
      <w:r w:rsidRPr="00CE2185">
        <w:rPr>
          <w:b/>
          <w:noProof/>
        </w:rPr>
        <w:t xml:space="preserve">EUR </w:t>
      </w:r>
      <w:r w:rsidR="007820EA" w:rsidRPr="00CE2185">
        <w:rPr>
          <w:b/>
          <w:bCs/>
          <w:noProof/>
        </w:rPr>
        <w:t>1.35 bn</w:t>
      </w:r>
      <w:r w:rsidR="007820EA" w:rsidRPr="00CE2185">
        <w:rPr>
          <w:noProof/>
        </w:rPr>
        <w:t xml:space="preserve"> over five years</w:t>
      </w:r>
      <w:r w:rsidR="00F5051E">
        <w:rPr>
          <w:noProof/>
        </w:rPr>
        <w:t xml:space="preserve"> </w:t>
      </w:r>
      <w:r w:rsidRPr="00CE2185">
        <w:rPr>
          <w:noProof/>
        </w:rPr>
        <w:t xml:space="preserve">(EUR 94 355 per entity for 28 700 entities) </w:t>
      </w:r>
    </w:p>
    <w:p w14:paraId="6906FE18" w14:textId="388EBACA" w:rsidR="00B00C2E" w:rsidRPr="00CE2185" w:rsidRDefault="00B00C2E" w:rsidP="00EE3DF9">
      <w:pPr>
        <w:pStyle w:val="ListParagraph"/>
        <w:numPr>
          <w:ilvl w:val="0"/>
          <w:numId w:val="43"/>
        </w:numPr>
        <w:spacing w:after="120"/>
        <w:rPr>
          <w:noProof/>
        </w:rPr>
      </w:pPr>
      <w:r w:rsidRPr="00CE2185">
        <w:rPr>
          <w:noProof/>
        </w:rPr>
        <w:t>NIS2 new mid-cap category: EUR 212 million per year (EUR 94 355 per entity for 22</w:t>
      </w:r>
      <w:r w:rsidR="001A3AD7" w:rsidRPr="00CE2185">
        <w:rPr>
          <w:noProof/>
        </w:rPr>
        <w:t> </w:t>
      </w:r>
      <w:r w:rsidRPr="00CE2185">
        <w:rPr>
          <w:noProof/>
        </w:rPr>
        <w:t xml:space="preserve">500 entities) </w:t>
      </w:r>
      <w:r w:rsidR="008827B4" w:rsidRPr="00CE2185">
        <w:rPr>
          <w:noProof/>
        </w:rPr>
        <w:t xml:space="preserve">totalling </w:t>
      </w:r>
      <w:r w:rsidR="008827B4" w:rsidRPr="00CE2185">
        <w:rPr>
          <w:b/>
          <w:bCs/>
          <w:noProof/>
        </w:rPr>
        <w:t>1,06 bn EUR</w:t>
      </w:r>
      <w:r w:rsidR="008827B4" w:rsidRPr="00CE2185">
        <w:rPr>
          <w:noProof/>
        </w:rPr>
        <w:t xml:space="preserve"> </w:t>
      </w:r>
      <w:r w:rsidR="008827B4" w:rsidRPr="00CE2185">
        <w:rPr>
          <w:b/>
          <w:bCs/>
          <w:noProof/>
        </w:rPr>
        <w:t>over five years</w:t>
      </w:r>
    </w:p>
    <w:p w14:paraId="2126E7D9" w14:textId="371BBECA" w:rsidR="00B00C2E" w:rsidRPr="00CE2185" w:rsidRDefault="00B00C2E" w:rsidP="00EE3DF9">
      <w:pPr>
        <w:pStyle w:val="ListParagraph"/>
        <w:numPr>
          <w:ilvl w:val="0"/>
          <w:numId w:val="43"/>
        </w:numPr>
        <w:spacing w:after="120"/>
        <w:rPr>
          <w:noProof/>
        </w:rPr>
      </w:pPr>
      <w:r w:rsidRPr="00CE2185">
        <w:rPr>
          <w:noProof/>
        </w:rPr>
        <w:t>NIS2 compliance through cyber</w:t>
      </w:r>
      <w:r w:rsidR="6F74CD27" w:rsidRPr="00CE2185">
        <w:rPr>
          <w:noProof/>
        </w:rPr>
        <w:t xml:space="preserve"> </w:t>
      </w:r>
      <w:r w:rsidRPr="00CE2185">
        <w:rPr>
          <w:noProof/>
        </w:rPr>
        <w:t xml:space="preserve">posture scheme: </w:t>
      </w:r>
      <w:r>
        <w:rPr>
          <w:b/>
          <w:bCs/>
          <w:noProof/>
        </w:rPr>
        <w:t xml:space="preserve">EUR </w:t>
      </w:r>
      <w:r w:rsidR="00555B56">
        <w:rPr>
          <w:b/>
          <w:bCs/>
          <w:noProof/>
        </w:rPr>
        <w:t xml:space="preserve">30 </w:t>
      </w:r>
      <w:r>
        <w:rPr>
          <w:b/>
          <w:bCs/>
          <w:noProof/>
        </w:rPr>
        <w:t>million</w:t>
      </w:r>
      <w:r w:rsidRPr="00CE2185">
        <w:rPr>
          <w:noProof/>
        </w:rPr>
        <w:t xml:space="preserve"> per year</w:t>
      </w:r>
      <w:r>
        <w:rPr>
          <w:noProof/>
        </w:rPr>
        <w:t xml:space="preserve"> as of 2032</w:t>
      </w:r>
      <w:r w:rsidRPr="00CE2185">
        <w:rPr>
          <w:noProof/>
        </w:rPr>
        <w:t xml:space="preserve"> </w:t>
      </w:r>
      <w:r>
        <w:rPr>
          <w:b/>
          <w:bCs/>
          <w:noProof/>
        </w:rPr>
        <w:t>of administrative cost savings</w:t>
      </w:r>
      <w:r>
        <w:rPr>
          <w:noProof/>
        </w:rPr>
        <w:t xml:space="preserve"> </w:t>
      </w:r>
      <w:r w:rsidRPr="00CE2185">
        <w:rPr>
          <w:noProof/>
        </w:rPr>
        <w:t xml:space="preserve">(for </w:t>
      </w:r>
      <w:r w:rsidR="00555B56">
        <w:rPr>
          <w:noProof/>
        </w:rPr>
        <w:t>1</w:t>
      </w:r>
      <w:r w:rsidRPr="00CE2185">
        <w:rPr>
          <w:noProof/>
        </w:rPr>
        <w:t>000 companies – EUR 30 000 per year per entity)</w:t>
      </w:r>
      <w:r w:rsidR="000A42C3" w:rsidRPr="00CE2185">
        <w:rPr>
          <w:noProof/>
        </w:rPr>
        <w:t xml:space="preserve"> </w:t>
      </w:r>
      <w:r>
        <w:rPr>
          <w:b/>
          <w:bCs/>
          <w:noProof/>
        </w:rPr>
        <w:t xml:space="preserve"> and </w:t>
      </w:r>
      <w:r w:rsidR="000A42C3" w:rsidRPr="00CE2185">
        <w:rPr>
          <w:b/>
          <w:bCs/>
          <w:noProof/>
        </w:rPr>
        <w:t xml:space="preserve">over </w:t>
      </w:r>
      <w:r>
        <w:rPr>
          <w:b/>
          <w:bCs/>
          <w:noProof/>
        </w:rPr>
        <w:t xml:space="preserve">the </w:t>
      </w:r>
      <w:r w:rsidR="000A42C3" w:rsidRPr="00CE2185">
        <w:rPr>
          <w:b/>
          <w:bCs/>
          <w:noProof/>
        </w:rPr>
        <w:t xml:space="preserve">five years </w:t>
      </w:r>
      <w:r>
        <w:rPr>
          <w:noProof/>
        </w:rPr>
        <w:t>considered in the report.</w:t>
      </w:r>
    </w:p>
    <w:p w14:paraId="348E992A" w14:textId="19DD7BB2" w:rsidR="00B00C2E" w:rsidRPr="00CE2185" w:rsidRDefault="00B00C2E" w:rsidP="00B00C2E">
      <w:pPr>
        <w:spacing w:after="120"/>
        <w:rPr>
          <w:noProof/>
        </w:rPr>
      </w:pPr>
      <w:r w:rsidRPr="00CE2185">
        <w:rPr>
          <w:noProof/>
        </w:rPr>
        <w:t xml:space="preserve">This would lead to a total of </w:t>
      </w:r>
      <w:r w:rsidR="00413BFF" w:rsidRPr="00CE2185">
        <w:rPr>
          <w:b/>
          <w:noProof/>
        </w:rPr>
        <w:t xml:space="preserve">EUR </w:t>
      </w:r>
      <w:r w:rsidR="001F3D12">
        <w:rPr>
          <w:b/>
          <w:noProof/>
        </w:rPr>
        <w:t>2</w:t>
      </w:r>
      <w:r w:rsidR="00413BFF" w:rsidRPr="00CE2185">
        <w:rPr>
          <w:b/>
          <w:noProof/>
        </w:rPr>
        <w:t>.</w:t>
      </w:r>
      <w:r>
        <w:rPr>
          <w:b/>
          <w:noProof/>
        </w:rPr>
        <w:t>4</w:t>
      </w:r>
      <w:r w:rsidR="00413BFF" w:rsidRPr="00CE2185">
        <w:rPr>
          <w:b/>
          <w:noProof/>
        </w:rPr>
        <w:t xml:space="preserve"> bn </w:t>
      </w:r>
      <w:r w:rsidR="00413BFF">
        <w:rPr>
          <w:b/>
          <w:bCs/>
          <w:noProof/>
        </w:rPr>
        <w:t>over five years</w:t>
      </w:r>
      <w:r w:rsidR="00FA0853" w:rsidRPr="00CE2185">
        <w:rPr>
          <w:noProof/>
        </w:rPr>
        <w:t xml:space="preserve"> </w:t>
      </w:r>
      <w:r>
        <w:rPr>
          <w:noProof/>
        </w:rPr>
        <w:t xml:space="preserve">(2028-2032) </w:t>
      </w:r>
      <w:r w:rsidR="00FA0853" w:rsidRPr="00CE2185">
        <w:rPr>
          <w:noProof/>
        </w:rPr>
        <w:t>affecting in total</w:t>
      </w:r>
      <w:r w:rsidR="00413BFF" w:rsidRPr="00CE2185">
        <w:rPr>
          <w:noProof/>
        </w:rPr>
        <w:t xml:space="preserve"> </w:t>
      </w:r>
      <w:r w:rsidR="002D7001" w:rsidRPr="00CE2185">
        <w:rPr>
          <w:noProof/>
        </w:rPr>
        <w:t>5</w:t>
      </w:r>
      <w:r>
        <w:rPr>
          <w:noProof/>
        </w:rPr>
        <w:t>2</w:t>
      </w:r>
      <w:r w:rsidR="002D7001" w:rsidRPr="00CE2185">
        <w:rPr>
          <w:noProof/>
        </w:rPr>
        <w:t xml:space="preserve"> </w:t>
      </w:r>
      <w:r>
        <w:rPr>
          <w:noProof/>
        </w:rPr>
        <w:t>2</w:t>
      </w:r>
      <w:r w:rsidR="002D7001" w:rsidRPr="00CE2185">
        <w:rPr>
          <w:noProof/>
        </w:rPr>
        <w:t>00</w:t>
      </w:r>
      <w:r w:rsidR="00007F33" w:rsidRPr="00CE2185">
        <w:rPr>
          <w:noProof/>
        </w:rPr>
        <w:t xml:space="preserve"> companies, including SMEs</w:t>
      </w:r>
      <w:r w:rsidR="002D7001" w:rsidRPr="00CE2185">
        <w:rPr>
          <w:noProof/>
        </w:rPr>
        <w:t xml:space="preserve">. </w:t>
      </w:r>
    </w:p>
    <w:p w14:paraId="0CC2A44B" w14:textId="2F113CB7" w:rsidR="00375963" w:rsidRDefault="00B87870" w:rsidP="00B00C2E">
      <w:pPr>
        <w:spacing w:after="120"/>
        <w:rPr>
          <w:noProof/>
        </w:rPr>
      </w:pPr>
      <w:r w:rsidRPr="00CE2185">
        <w:rPr>
          <w:noProof/>
        </w:rPr>
        <w:t xml:space="preserve">For </w:t>
      </w:r>
      <w:r>
        <w:rPr>
          <w:b/>
          <w:bCs/>
          <w:noProof/>
        </w:rPr>
        <w:t>public authorities</w:t>
      </w:r>
      <w:r>
        <w:rPr>
          <w:noProof/>
        </w:rPr>
        <w:t xml:space="preserve">, cost savings include EUR 1.5 millionof supervision costs due to the cyber posture scheme, totalling </w:t>
      </w:r>
      <w:r>
        <w:rPr>
          <w:b/>
          <w:bCs/>
          <w:noProof/>
        </w:rPr>
        <w:t>EUR 7.5 million over five years</w:t>
      </w:r>
      <w:r>
        <w:rPr>
          <w:noProof/>
        </w:rPr>
        <w:t xml:space="preserve">. </w:t>
      </w:r>
    </w:p>
    <w:p w14:paraId="6762D70C" w14:textId="5C086D19" w:rsidR="00B87870" w:rsidRPr="00CE2185" w:rsidRDefault="00375963" w:rsidP="00B00C2E">
      <w:pPr>
        <w:spacing w:after="120"/>
        <w:rPr>
          <w:noProof/>
        </w:rPr>
      </w:pPr>
      <w:r>
        <w:rPr>
          <w:noProof/>
        </w:rPr>
        <w:t xml:space="preserve">For </w:t>
      </w:r>
      <w:r w:rsidR="00E01A59" w:rsidRPr="00CE2185">
        <w:rPr>
          <w:noProof/>
        </w:rPr>
        <w:t xml:space="preserve">citizens, no significant administrative cost savings could be identified. </w:t>
      </w:r>
    </w:p>
    <w:p w14:paraId="398C14F8" w14:textId="77777777" w:rsidR="00D23643" w:rsidRPr="00CE2185" w:rsidRDefault="00D23643" w:rsidP="00B00C2E">
      <w:pPr>
        <w:spacing w:after="120"/>
        <w:rPr>
          <w:noProof/>
        </w:rPr>
      </w:pPr>
    </w:p>
    <w:p w14:paraId="49CB9D58" w14:textId="1E5D70C9" w:rsidR="00106B09" w:rsidRPr="00CE2185" w:rsidRDefault="00106B09" w:rsidP="00795DF0">
      <w:pPr>
        <w:spacing w:before="120" w:after="120"/>
        <w:rPr>
          <w:b/>
          <w:bCs/>
          <w:noProof/>
        </w:rPr>
      </w:pPr>
      <w:r w:rsidRPr="00CE2185">
        <w:rPr>
          <w:b/>
          <w:bCs/>
          <w:noProof/>
        </w:rPr>
        <w:t>Conclusion</w:t>
      </w:r>
    </w:p>
    <w:p w14:paraId="3745539B" w14:textId="434BC9B6" w:rsidR="00106B09" w:rsidRPr="00CE2185" w:rsidRDefault="00106B09" w:rsidP="00795DF0">
      <w:pPr>
        <w:spacing w:after="120"/>
        <w:rPr>
          <w:noProof/>
        </w:rPr>
      </w:pPr>
      <w:r w:rsidRPr="00CE2185">
        <w:rPr>
          <w:noProof/>
        </w:rPr>
        <w:t>The preferred option introduce</w:t>
      </w:r>
      <w:r w:rsidR="00007F33" w:rsidRPr="00CE2185">
        <w:rPr>
          <w:noProof/>
        </w:rPr>
        <w:t>s</w:t>
      </w:r>
      <w:r w:rsidRPr="00CE2185">
        <w:rPr>
          <w:noProof/>
        </w:rPr>
        <w:t xml:space="preserve"> </w:t>
      </w:r>
      <w:r w:rsidR="00007F33" w:rsidRPr="00CE2185">
        <w:rPr>
          <w:noProof/>
        </w:rPr>
        <w:t>significant administrative cost savings</w:t>
      </w:r>
      <w:r w:rsidR="00F66FDB" w:rsidRPr="00CE2185">
        <w:rPr>
          <w:noProof/>
        </w:rPr>
        <w:t xml:space="preserve"> </w:t>
      </w:r>
      <w:r w:rsidR="00007F33" w:rsidRPr="00CE2185">
        <w:rPr>
          <w:noProof/>
        </w:rPr>
        <w:t>and can</w:t>
      </w:r>
      <w:r w:rsidRPr="00CE2185">
        <w:rPr>
          <w:noProof/>
        </w:rPr>
        <w:t xml:space="preserve"> be considered compliant with the </w:t>
      </w:r>
      <w:r w:rsidRPr="00CE2185">
        <w:rPr>
          <w:i/>
          <w:noProof/>
        </w:rPr>
        <w:t>“One in, one out”</w:t>
      </w:r>
      <w:r w:rsidRPr="00CE2185">
        <w:rPr>
          <w:noProof/>
        </w:rPr>
        <w:t xml:space="preserve"> principle.</w:t>
      </w:r>
    </w:p>
    <w:p w14:paraId="01D1EB49" w14:textId="3662B903" w:rsidR="004A6CBE" w:rsidRPr="00CE2185" w:rsidRDefault="004A6CBE" w:rsidP="008C71F2">
      <w:pPr>
        <w:pStyle w:val="Heading2"/>
        <w:rPr>
          <w:noProof/>
        </w:rPr>
      </w:pPr>
      <w:bookmarkStart w:id="154" w:name="_Toc210393850"/>
      <w:bookmarkStart w:id="155" w:name="_Toc219447390"/>
      <w:r w:rsidRPr="00CE2185">
        <w:rPr>
          <w:noProof/>
        </w:rPr>
        <w:t>SME test</w:t>
      </w:r>
      <w:bookmarkEnd w:id="154"/>
      <w:bookmarkEnd w:id="155"/>
    </w:p>
    <w:p w14:paraId="2BF4CBEF" w14:textId="39600029" w:rsidR="004A6CBE" w:rsidRPr="00CE2185" w:rsidRDefault="00BA0563" w:rsidP="00795DF0">
      <w:pPr>
        <w:spacing w:after="120"/>
        <w:rPr>
          <w:noProof/>
        </w:rPr>
      </w:pPr>
      <w:r w:rsidRPr="00CE2185">
        <w:rPr>
          <w:noProof/>
        </w:rPr>
        <w:t>In line with the Better Regulation To</w:t>
      </w:r>
      <w:r w:rsidR="007F2043" w:rsidRPr="00CE2185">
        <w:rPr>
          <w:noProof/>
        </w:rPr>
        <w:t xml:space="preserve">olbox, an SME test has been carried out, as this </w:t>
      </w:r>
      <w:r w:rsidR="00A227F3" w:rsidRPr="00CE2185">
        <w:rPr>
          <w:noProof/>
        </w:rPr>
        <w:t>initiative</w:t>
      </w:r>
      <w:r w:rsidR="007C4067" w:rsidRPr="00CE2185">
        <w:rPr>
          <w:noProof/>
        </w:rPr>
        <w:t xml:space="preserve"> is </w:t>
      </w:r>
      <w:r w:rsidR="00AB54EA" w:rsidRPr="00CE2185">
        <w:rPr>
          <w:noProof/>
        </w:rPr>
        <w:t>highly</w:t>
      </w:r>
      <w:r w:rsidR="007C4067" w:rsidRPr="00CE2185">
        <w:rPr>
          <w:noProof/>
        </w:rPr>
        <w:t xml:space="preserve"> relevant for SMEs</w:t>
      </w:r>
      <w:r w:rsidR="00327EE1" w:rsidRPr="00CE2185">
        <w:rPr>
          <w:noProof/>
        </w:rPr>
        <w:t xml:space="preserve">. </w:t>
      </w:r>
      <w:r w:rsidR="00983DAD" w:rsidRPr="00CE2185">
        <w:rPr>
          <w:noProof/>
        </w:rPr>
        <w:t xml:space="preserve">The preferred policy option that </w:t>
      </w:r>
      <w:r w:rsidR="008842C0" w:rsidRPr="00CE2185">
        <w:rPr>
          <w:noProof/>
        </w:rPr>
        <w:t>improves legal clarity</w:t>
      </w:r>
      <w:r w:rsidR="00627DBD" w:rsidRPr="00CE2185">
        <w:rPr>
          <w:noProof/>
        </w:rPr>
        <w:t>,</w:t>
      </w:r>
      <w:r w:rsidR="008C7471" w:rsidRPr="00CE2185">
        <w:rPr>
          <w:noProof/>
        </w:rPr>
        <w:t xml:space="preserve"> </w:t>
      </w:r>
      <w:r w:rsidR="002B0953" w:rsidRPr="00CE2185">
        <w:rPr>
          <w:noProof/>
        </w:rPr>
        <w:t xml:space="preserve">aims at </w:t>
      </w:r>
      <w:r w:rsidR="001552B9" w:rsidRPr="00CE2185">
        <w:rPr>
          <w:noProof/>
        </w:rPr>
        <w:t>simplification</w:t>
      </w:r>
      <w:r w:rsidR="00627DBD" w:rsidRPr="00CE2185">
        <w:rPr>
          <w:noProof/>
        </w:rPr>
        <w:t xml:space="preserve"> and reduces</w:t>
      </w:r>
      <w:r w:rsidR="001552B9" w:rsidRPr="00CE2185">
        <w:rPr>
          <w:noProof/>
        </w:rPr>
        <w:t xml:space="preserve"> reporting obligations</w:t>
      </w:r>
      <w:r w:rsidR="00095298" w:rsidRPr="00CE2185">
        <w:rPr>
          <w:noProof/>
        </w:rPr>
        <w:t xml:space="preserve">, </w:t>
      </w:r>
      <w:r w:rsidR="00626EED" w:rsidRPr="00CE2185">
        <w:rPr>
          <w:noProof/>
        </w:rPr>
        <w:t>will</w:t>
      </w:r>
      <w:r w:rsidR="00095298" w:rsidRPr="00CE2185">
        <w:rPr>
          <w:noProof/>
        </w:rPr>
        <w:t xml:space="preserve"> </w:t>
      </w:r>
      <w:r w:rsidR="00831F0D" w:rsidRPr="00CE2185">
        <w:rPr>
          <w:noProof/>
        </w:rPr>
        <w:t xml:space="preserve">bring several </w:t>
      </w:r>
      <w:r w:rsidR="00512C2F" w:rsidRPr="00CE2185">
        <w:rPr>
          <w:noProof/>
        </w:rPr>
        <w:t xml:space="preserve">direct benefits for SMEs, e.g. </w:t>
      </w:r>
      <w:r w:rsidR="00095298" w:rsidRPr="00CE2185">
        <w:rPr>
          <w:noProof/>
        </w:rPr>
        <w:t>decrease</w:t>
      </w:r>
      <w:r w:rsidR="00512C2F" w:rsidRPr="00CE2185">
        <w:rPr>
          <w:noProof/>
        </w:rPr>
        <w:t>d</w:t>
      </w:r>
      <w:r w:rsidR="00095298" w:rsidRPr="00CE2185">
        <w:rPr>
          <w:noProof/>
        </w:rPr>
        <w:t xml:space="preserve"> compliance costs. </w:t>
      </w:r>
      <w:r w:rsidR="00281EB5" w:rsidRPr="00CE2185">
        <w:rPr>
          <w:noProof/>
        </w:rPr>
        <w:t xml:space="preserve">The most relevant sectors </w:t>
      </w:r>
      <w:r w:rsidR="008F1A0D" w:rsidRPr="00CE2185">
        <w:rPr>
          <w:noProof/>
        </w:rPr>
        <w:t>impacted</w:t>
      </w:r>
      <w:r w:rsidR="00281EB5" w:rsidRPr="00CE2185">
        <w:rPr>
          <w:noProof/>
        </w:rPr>
        <w:t xml:space="preserve"> are ICT manufacturing and ICT services</w:t>
      </w:r>
      <w:r w:rsidR="004E0677" w:rsidRPr="00CE2185">
        <w:rPr>
          <w:noProof/>
        </w:rPr>
        <w:t>, where about 1.2 million SMEs operate</w:t>
      </w:r>
      <w:r w:rsidR="00B81772" w:rsidRPr="00CE2185">
        <w:rPr>
          <w:noProof/>
        </w:rPr>
        <w:t xml:space="preserve">, impacting </w:t>
      </w:r>
      <w:r w:rsidR="00383BD3" w:rsidRPr="00CE2185">
        <w:rPr>
          <w:noProof/>
        </w:rPr>
        <w:t>about 4-5 million workers</w:t>
      </w:r>
      <w:r w:rsidR="004E0677" w:rsidRPr="00CE2185">
        <w:rPr>
          <w:noProof/>
        </w:rPr>
        <w:t>.</w:t>
      </w:r>
      <w:r w:rsidR="00752E8B" w:rsidRPr="00CE2185">
        <w:rPr>
          <w:noProof/>
        </w:rPr>
        <w:t xml:space="preserve"> </w:t>
      </w:r>
      <w:r w:rsidR="00130728" w:rsidRPr="00CE2185">
        <w:rPr>
          <w:noProof/>
        </w:rPr>
        <w:t xml:space="preserve">However, there are </w:t>
      </w:r>
      <w:r w:rsidR="00641DF0" w:rsidRPr="00CE2185">
        <w:rPr>
          <w:noProof/>
        </w:rPr>
        <w:t xml:space="preserve">also </w:t>
      </w:r>
      <w:r w:rsidR="00130728" w:rsidRPr="00CE2185">
        <w:rPr>
          <w:noProof/>
        </w:rPr>
        <w:t xml:space="preserve">SMEs indirectly affected </w:t>
      </w:r>
      <w:r w:rsidR="00C211F6" w:rsidRPr="00CE2185">
        <w:rPr>
          <w:noProof/>
        </w:rPr>
        <w:t xml:space="preserve">in other sectors. </w:t>
      </w:r>
      <w:r w:rsidR="007E452F" w:rsidRPr="00CE2185">
        <w:rPr>
          <w:noProof/>
          <w:color w:val="000000" w:themeColor="text1"/>
        </w:rPr>
        <w:t>The ICT supply chain framework and possible r</w:t>
      </w:r>
      <w:r w:rsidR="007E452F" w:rsidRPr="00CE2185">
        <w:rPr>
          <w:rFonts w:eastAsia="Times New Roman"/>
          <w:noProof/>
          <w:lang w:eastAsia="en-IE"/>
        </w:rPr>
        <w:t xml:space="preserve">estrictions of high-risk suppliers or </w:t>
      </w:r>
      <w:r w:rsidR="007E452F" w:rsidRPr="00CE2185">
        <w:rPr>
          <w:noProof/>
          <w:lang w:val="en-IE"/>
        </w:rPr>
        <w:t xml:space="preserve">entities originating from or controlled </w:t>
      </w:r>
      <w:r w:rsidR="007E452F" w:rsidRPr="00CE2185">
        <w:rPr>
          <w:noProof/>
        </w:rPr>
        <w:t>by</w:t>
      </w:r>
      <w:r w:rsidR="007E452F" w:rsidRPr="00CE2185">
        <w:rPr>
          <w:noProof/>
          <w:lang w:val="en-IE"/>
        </w:rPr>
        <w:t xml:space="preserve"> countries posing cybersecurity of concerns</w:t>
      </w:r>
      <w:r w:rsidR="007E452F" w:rsidRPr="00CE2185">
        <w:rPr>
          <w:noProof/>
        </w:rPr>
        <w:t xml:space="preserve"> </w:t>
      </w:r>
      <w:r w:rsidR="007E452F" w:rsidRPr="00CE2185">
        <w:rPr>
          <w:noProof/>
          <w:lang w:eastAsia="en-IE"/>
        </w:rPr>
        <w:t>could</w:t>
      </w:r>
      <w:r w:rsidR="007E452F" w:rsidRPr="00CE2185">
        <w:rPr>
          <w:rFonts w:eastAsia="Times New Roman"/>
          <w:noProof/>
          <w:lang w:eastAsia="en-IE"/>
        </w:rPr>
        <w:t xml:space="preserve"> also strengthen the competitive stance of </w:t>
      </w:r>
      <w:r w:rsidR="007E452F" w:rsidRPr="00CE2185">
        <w:rPr>
          <w:noProof/>
          <w:lang w:eastAsia="en-IE"/>
        </w:rPr>
        <w:t>SMEs</w:t>
      </w:r>
      <w:r w:rsidR="007E452F" w:rsidRPr="00CE2185">
        <w:rPr>
          <w:rFonts w:eastAsia="Times New Roman"/>
          <w:noProof/>
          <w:lang w:eastAsia="en-IE"/>
        </w:rPr>
        <w:t xml:space="preserve">, which could be leveraged in </w:t>
      </w:r>
      <w:r w:rsidR="007E452F" w:rsidRPr="00CE2185">
        <w:rPr>
          <w:noProof/>
          <w:color w:val="000000" w:themeColor="text1"/>
        </w:rPr>
        <w:t xml:space="preserve">integrating, procuring, and distributing ICT products and services. </w:t>
      </w:r>
      <w:r w:rsidR="00AB2368" w:rsidRPr="00CE2185">
        <w:rPr>
          <w:noProof/>
        </w:rPr>
        <w:t>Additionally, t</w:t>
      </w:r>
      <w:r w:rsidR="00752E8B" w:rsidRPr="00CE2185">
        <w:rPr>
          <w:noProof/>
        </w:rPr>
        <w:t xml:space="preserve">here are </w:t>
      </w:r>
      <w:r w:rsidR="00C84C73" w:rsidRPr="00CE2185">
        <w:rPr>
          <w:noProof/>
        </w:rPr>
        <w:t>indirect positive impacts</w:t>
      </w:r>
      <w:r w:rsidR="00BB1021" w:rsidRPr="00CE2185">
        <w:rPr>
          <w:noProof/>
        </w:rPr>
        <w:t xml:space="preserve">, such as </w:t>
      </w:r>
      <w:r w:rsidR="00BB1021" w:rsidRPr="00CE2185">
        <w:rPr>
          <w:noProof/>
          <w:color w:val="000000" w:themeColor="text1"/>
        </w:rPr>
        <w:t xml:space="preserve">enhanced cross-border interoperability, facilitated by ENISA’s expanded mandate and through standardised reporting practices. </w:t>
      </w:r>
      <w:r w:rsidR="0008221A" w:rsidRPr="00CE2185">
        <w:rPr>
          <w:noProof/>
          <w:color w:val="000000" w:themeColor="text1"/>
        </w:rPr>
        <w:t>Enhancing the cybersecurity framework</w:t>
      </w:r>
      <w:r w:rsidR="006317F2" w:rsidRPr="00CE2185">
        <w:rPr>
          <w:noProof/>
          <w:color w:val="000000" w:themeColor="text1"/>
        </w:rPr>
        <w:t>, streamlining certification processes and simplifying compliance</w:t>
      </w:r>
      <w:r w:rsidR="0008221A" w:rsidRPr="00CE2185">
        <w:rPr>
          <w:noProof/>
          <w:color w:val="000000" w:themeColor="text1"/>
        </w:rPr>
        <w:t xml:space="preserve"> supports the achievement of the 35% burden reduction target for SMEs. </w:t>
      </w:r>
      <w:r w:rsidR="00605656" w:rsidRPr="00CE2185">
        <w:rPr>
          <w:noProof/>
          <w:color w:val="000000" w:themeColor="text1"/>
        </w:rPr>
        <w:t>Moreover, due to ENISA's increased engagement in handling cybersecurity incidents, it is projected that the costs incurred by affected entities could be reduced by 15% to 20%</w:t>
      </w:r>
      <w:r w:rsidR="00591448" w:rsidRPr="00CE2185">
        <w:rPr>
          <w:noProof/>
          <w:color w:val="000000" w:themeColor="text1"/>
        </w:rPr>
        <w:t xml:space="preserve"> </w:t>
      </w:r>
      <w:r w:rsidR="00591448" w:rsidRPr="00CE2185">
        <w:rPr>
          <w:i/>
          <w:iCs/>
          <w:noProof/>
          <w:color w:val="000000" w:themeColor="text1"/>
        </w:rPr>
        <w:t>(</w:t>
      </w:r>
      <w:r w:rsidR="00D5179A" w:rsidRPr="00CE2185">
        <w:rPr>
          <w:i/>
          <w:iCs/>
          <w:noProof/>
          <w:color w:val="000000" w:themeColor="text1"/>
        </w:rPr>
        <w:t>see Annex 6</w:t>
      </w:r>
      <w:r w:rsidR="00591448" w:rsidRPr="00CE2185">
        <w:rPr>
          <w:i/>
          <w:iCs/>
          <w:noProof/>
        </w:rPr>
        <w:t>)</w:t>
      </w:r>
      <w:r w:rsidR="00095298" w:rsidRPr="00CE2185">
        <w:rPr>
          <w:noProof/>
        </w:rPr>
        <w:t>.</w:t>
      </w:r>
    </w:p>
    <w:p w14:paraId="26C7E6B1" w14:textId="77777777" w:rsidR="006B087E" w:rsidRPr="00CE2185" w:rsidRDefault="006B087E" w:rsidP="000E3086">
      <w:pPr>
        <w:pStyle w:val="Heading1"/>
        <w:rPr>
          <w:noProof/>
        </w:rPr>
      </w:pPr>
      <w:bookmarkStart w:id="156" w:name="_Toc210393851"/>
      <w:bookmarkStart w:id="157" w:name="_Toc219447391"/>
      <w:r w:rsidRPr="00CE2185">
        <w:rPr>
          <w:noProof/>
        </w:rPr>
        <w:t>How will actual impacts be monitored and evaluated?</w:t>
      </w:r>
      <w:bookmarkEnd w:id="156"/>
      <w:bookmarkEnd w:id="157"/>
    </w:p>
    <w:p w14:paraId="5DE9E825" w14:textId="2074647A" w:rsidR="00EE3DF9" w:rsidRDefault="00850566" w:rsidP="00795DF0">
      <w:pPr>
        <w:spacing w:after="120"/>
        <w:rPr>
          <w:noProof/>
        </w:rPr>
      </w:pPr>
      <w:r w:rsidRPr="00CE2185">
        <w:rPr>
          <w:noProof/>
        </w:rPr>
        <w:t>The effectiveness of the initiative will be assessed through regular monitoring and evaluation of its main components</w:t>
      </w:r>
      <w:r w:rsidR="00130DBA" w:rsidRPr="00CE2185">
        <w:rPr>
          <w:noProof/>
        </w:rPr>
        <w:t>:</w:t>
      </w:r>
      <w:r w:rsidRPr="00CE2185">
        <w:rPr>
          <w:noProof/>
        </w:rPr>
        <w:t xml:space="preserve"> ENISA’s mandate, the ECCF, and the simplification of compliance with cybersecurity requirements. </w:t>
      </w:r>
      <w:r w:rsidR="00AD7379" w:rsidRPr="00CE2185">
        <w:rPr>
          <w:noProof/>
        </w:rPr>
        <w:t xml:space="preserve">An evaluation of the act would be foreseen four to five years after the entry into force </w:t>
      </w:r>
      <w:r w:rsidRPr="00CE2185">
        <w:rPr>
          <w:noProof/>
        </w:rPr>
        <w:t xml:space="preserve">and every four years thereafter, with the findings presented in a report to the European Parliament and the Council. To enable this assessment, a set of qualitative and quantitative indicators will be monitored over time. These will rely on existing sources such as ENISA’s annual activity reports, Member States’, and Commission-led consultations with businesses and consumers. </w:t>
      </w:r>
      <w:r w:rsidR="007B130F" w:rsidRPr="00CE2185">
        <w:rPr>
          <w:b/>
          <w:bCs/>
          <w:i/>
          <w:iCs/>
          <w:noProof/>
        </w:rPr>
        <w:t xml:space="preserve">Annex </w:t>
      </w:r>
      <w:r w:rsidR="008B2E06" w:rsidRPr="00CE2185">
        <w:rPr>
          <w:b/>
          <w:bCs/>
          <w:i/>
          <w:iCs/>
          <w:noProof/>
        </w:rPr>
        <w:t>15</w:t>
      </w:r>
      <w:r w:rsidR="008B2E06" w:rsidRPr="00CE2185">
        <w:rPr>
          <w:b/>
          <w:bCs/>
          <w:noProof/>
        </w:rPr>
        <w:t xml:space="preserve"> </w:t>
      </w:r>
      <w:r w:rsidRPr="00CE2185">
        <w:rPr>
          <w:noProof/>
        </w:rPr>
        <w:t xml:space="preserve">outlines the </w:t>
      </w:r>
      <w:r w:rsidR="00017D9B" w:rsidRPr="00CE2185">
        <w:rPr>
          <w:noProof/>
        </w:rPr>
        <w:t xml:space="preserve">potential and non-exhaustive </w:t>
      </w:r>
      <w:r w:rsidRPr="00CE2185">
        <w:rPr>
          <w:noProof/>
        </w:rPr>
        <w:t>indicators, baseline</w:t>
      </w:r>
      <w:r w:rsidR="003E75EB" w:rsidRPr="00CE2185">
        <w:rPr>
          <w:noProof/>
        </w:rPr>
        <w:t>s</w:t>
      </w:r>
      <w:r w:rsidRPr="00CE2185">
        <w:rPr>
          <w:noProof/>
        </w:rPr>
        <w:t>, frequenc</w:t>
      </w:r>
      <w:r w:rsidR="003E75EB" w:rsidRPr="00CE2185">
        <w:rPr>
          <w:noProof/>
        </w:rPr>
        <w:t>ies</w:t>
      </w:r>
      <w:r w:rsidRPr="00CE2185">
        <w:rPr>
          <w:noProof/>
        </w:rPr>
        <w:t xml:space="preserve"> of data collection, targets and data sources for each </w:t>
      </w:r>
      <w:r w:rsidR="003E75EB" w:rsidRPr="00CE2185">
        <w:rPr>
          <w:noProof/>
        </w:rPr>
        <w:t xml:space="preserve">of the </w:t>
      </w:r>
      <w:r w:rsidRPr="00CE2185">
        <w:rPr>
          <w:noProof/>
        </w:rPr>
        <w:t>specific objective</w:t>
      </w:r>
      <w:r w:rsidR="003E75EB" w:rsidRPr="00CE2185">
        <w:rPr>
          <w:noProof/>
        </w:rPr>
        <w:t>s</w:t>
      </w:r>
      <w:r w:rsidRPr="00CE2185">
        <w:rPr>
          <w:noProof/>
        </w:rPr>
        <w:t>.</w:t>
      </w:r>
    </w:p>
    <w:p w14:paraId="190AEDA2" w14:textId="7591B982" w:rsidR="00EE3DF9" w:rsidRPr="00F5382B" w:rsidRDefault="00EE3DF9" w:rsidP="00EE3DF9">
      <w:pPr>
        <w:spacing w:after="200" w:line="276" w:lineRule="auto"/>
        <w:jc w:val="left"/>
        <w:rPr>
          <w:noProof/>
        </w:rPr>
      </w:pPr>
      <w:r>
        <w:rPr>
          <w:noProof/>
        </w:rPr>
        <w:br w:type="page"/>
      </w:r>
      <w:bookmarkStart w:id="158" w:name="_Toc195101100"/>
      <w:bookmarkStart w:id="159" w:name="_Toc207027968"/>
    </w:p>
    <w:p w14:paraId="0A877F83" w14:textId="09E5CA17" w:rsidR="00EE3DF9" w:rsidRPr="00F5382B" w:rsidRDefault="00EE3DF9" w:rsidP="00EE3DF9">
      <w:pPr>
        <w:pStyle w:val="AnnexTitle0"/>
        <w:rPr>
          <w:noProof/>
        </w:rPr>
        <w:sectPr w:rsidR="00EE3DF9" w:rsidRPr="00F5382B" w:rsidSect="00EE3DF9">
          <w:headerReference w:type="even" r:id="rId34"/>
          <w:headerReference w:type="default" r:id="rId35"/>
          <w:footerReference w:type="even" r:id="rId36"/>
          <w:footerReference w:type="default" r:id="rId37"/>
          <w:headerReference w:type="first" r:id="rId38"/>
          <w:footerReference w:type="first" r:id="rId39"/>
          <w:pgSz w:w="11906" w:h="16838"/>
          <w:pgMar w:top="1440" w:right="1700" w:bottom="1440" w:left="1440" w:header="601" w:footer="1077" w:gutter="0"/>
          <w:cols w:space="720"/>
          <w:titlePg/>
          <w:docGrid w:linePitch="326"/>
        </w:sectPr>
      </w:pPr>
    </w:p>
    <w:p w14:paraId="0B338884" w14:textId="77777777" w:rsidR="00EE3DF9" w:rsidRPr="00F5382B" w:rsidRDefault="00EE3DF9" w:rsidP="00EE3DF9">
      <w:pPr>
        <w:pStyle w:val="AnnexTitle0"/>
        <w:rPr>
          <w:noProof/>
        </w:rPr>
      </w:pPr>
      <w:bookmarkStart w:id="160" w:name="_Toc218767781"/>
      <w:bookmarkStart w:id="161" w:name="_Toc219039493"/>
      <w:bookmarkStart w:id="162" w:name="_Toc219447392"/>
      <w:r w:rsidRPr="00F5382B">
        <w:rPr>
          <w:noProof/>
        </w:rPr>
        <w:t>Annex 1: Procedural information</w:t>
      </w:r>
      <w:bookmarkEnd w:id="158"/>
      <w:bookmarkEnd w:id="159"/>
      <w:bookmarkEnd w:id="160"/>
      <w:bookmarkEnd w:id="161"/>
      <w:bookmarkEnd w:id="162"/>
    </w:p>
    <w:p w14:paraId="5308E976" w14:textId="77777777" w:rsidR="00EE3DF9" w:rsidRPr="00F5382B" w:rsidRDefault="00EE3DF9" w:rsidP="00EE3DF9">
      <w:pPr>
        <w:numPr>
          <w:ilvl w:val="0"/>
          <w:numId w:val="53"/>
        </w:numPr>
        <w:spacing w:after="120"/>
        <w:ind w:left="1077" w:hanging="357"/>
        <w:textAlignment w:val="baseline"/>
        <w:rPr>
          <w:noProof/>
          <w:lang w:eastAsia="en-IE"/>
        </w:rPr>
      </w:pPr>
      <w:bookmarkStart w:id="163" w:name="_Toc471997754"/>
      <w:bookmarkStart w:id="164" w:name="_Toc195101101"/>
      <w:bookmarkStart w:id="165" w:name="_Toc207027969"/>
      <w:r w:rsidRPr="00F5382B">
        <w:rPr>
          <w:rFonts w:eastAsia="Times New Roman"/>
          <w:b/>
          <w:smallCaps/>
          <w:noProof/>
          <w:lang w:eastAsia="en-IE"/>
        </w:rPr>
        <w:t>Lead DG, Decide Planning/CWP references</w:t>
      </w:r>
      <w:bookmarkEnd w:id="163"/>
      <w:bookmarkEnd w:id="164"/>
      <w:bookmarkEnd w:id="165"/>
    </w:p>
    <w:p w14:paraId="17F12A3A"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 xml:space="preserve">Lead DG: Directorate-General for Communications Networks Content and Technology (CNECT). </w:t>
      </w:r>
    </w:p>
    <w:p w14:paraId="19EDA07B"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Decide: PLAN/2024/2819.</w:t>
      </w:r>
    </w:p>
    <w:p w14:paraId="4C324502"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Policy objective A new plan for Europe’s sustainable prosperity and competitiveness</w:t>
      </w:r>
    </w:p>
    <w:p w14:paraId="3F8E2BA7" w14:textId="77777777" w:rsidR="00EE3DF9" w:rsidRPr="00F5382B" w:rsidRDefault="00EE3DF9" w:rsidP="00EE3DF9">
      <w:pPr>
        <w:numPr>
          <w:ilvl w:val="0"/>
          <w:numId w:val="53"/>
        </w:numPr>
        <w:spacing w:after="120"/>
        <w:ind w:left="1077" w:hanging="357"/>
        <w:textAlignment w:val="baseline"/>
        <w:rPr>
          <w:noProof/>
          <w:lang w:eastAsia="en-IE"/>
        </w:rPr>
      </w:pPr>
      <w:bookmarkStart w:id="166" w:name="_Toc471997755"/>
      <w:bookmarkStart w:id="167" w:name="_Toc195101102"/>
      <w:bookmarkStart w:id="168" w:name="_Toc207027970"/>
      <w:r w:rsidRPr="00F5382B">
        <w:rPr>
          <w:rFonts w:eastAsia="Times New Roman"/>
          <w:b/>
          <w:smallCaps/>
          <w:noProof/>
          <w:lang w:eastAsia="en-IE"/>
        </w:rPr>
        <w:t>Organisation and timing</w:t>
      </w:r>
      <w:bookmarkEnd w:id="166"/>
      <w:bookmarkEnd w:id="167"/>
      <w:bookmarkEnd w:id="168"/>
    </w:p>
    <w:p w14:paraId="4C2D7BE9" w14:textId="77777777" w:rsidR="00EE3DF9" w:rsidRPr="00F5382B" w:rsidRDefault="00EE3DF9" w:rsidP="00EE3DF9">
      <w:pPr>
        <w:ind w:left="50"/>
        <w:rPr>
          <w:rFonts w:eastAsia="Times New Roman"/>
          <w:noProof/>
          <w:color w:val="000000" w:themeColor="text1"/>
          <w:lang w:val="en-US"/>
        </w:rPr>
      </w:pPr>
      <w:r w:rsidRPr="00F5382B">
        <w:rPr>
          <w:rFonts w:eastAsia="Times New Roman"/>
          <w:noProof/>
          <w:color w:val="000000" w:themeColor="text1"/>
          <w:lang w:val="en-US"/>
        </w:rPr>
        <w:t>The Cybersecurity Act revision constitutes a key part of the digital single market and as announced in</w:t>
      </w:r>
      <w:r w:rsidRPr="00F5382B">
        <w:rPr>
          <w:rFonts w:ascii="Times New Roman Bold" w:eastAsia="Times New Roman Bold" w:hAnsi="Times New Roman Bold" w:cs="Times New Roman Bold"/>
          <w:noProof/>
          <w:color w:val="000000" w:themeColor="text1"/>
          <w:lang w:val="en-US"/>
        </w:rPr>
        <w:t xml:space="preserve"> the ProtectEU strategy</w:t>
      </w:r>
      <w:r w:rsidRPr="00F5382B">
        <w:rPr>
          <w:rFonts w:ascii="Times New Roman Bold" w:eastAsia="Times New Roman Bold" w:hAnsi="Times New Roman Bold" w:cs="Times New Roman Bold"/>
          <w:noProof/>
          <w:color w:val="000000" w:themeColor="text1"/>
          <w:vertAlign w:val="superscript"/>
          <w:lang w:val="en-US"/>
        </w:rPr>
        <w:t>1</w:t>
      </w:r>
      <w:r w:rsidRPr="00F5382B">
        <w:rPr>
          <w:rFonts w:ascii="Times New Roman Bold" w:eastAsia="Times New Roman Bold" w:hAnsi="Times New Roman Bold" w:cs="Times New Roman Bold"/>
          <w:noProof/>
          <w:color w:val="000000" w:themeColor="text1"/>
          <w:lang w:val="en-US"/>
        </w:rPr>
        <w:t>, t</w:t>
      </w:r>
      <w:r w:rsidRPr="00F5382B">
        <w:rPr>
          <w:rFonts w:eastAsia="Times New Roman"/>
          <w:noProof/>
          <w:color w:val="000000" w:themeColor="text1"/>
          <w:lang w:val="en-US"/>
        </w:rPr>
        <w:t>he upcoming revision of the Cybersecurity Act will look to improve the European Cybersecurity Certification Framework, to ensure that future certification schemes can be adopted in a timely manner and respond to policy needs and  will look more broadly at the security and resilience of ICT supply chains and infrastructure. The revision is looking as well at amending the mandate of the European Union Agency for Cybersecurity (ENISA) and provides for simplification and facilitation of compliance with the existing cybersecurity legal framework.</w:t>
      </w:r>
    </w:p>
    <w:p w14:paraId="07F7761C"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It is based on Article 114 TFEU since it empowers the European Union to adopt measures aimed at establishing and ensuring the functioning of the internal market. Regulation (EU) 2019/881, the Cybersecurity Act, was originally adopted under this provision. The impact assessment process started with the launch</w:t>
      </w:r>
      <w:r w:rsidRPr="00F5382B">
        <w:rPr>
          <w:rFonts w:eastAsia="Times New Roman"/>
          <w:noProof/>
          <w:color w:val="000000" w:themeColor="text1"/>
        </w:rPr>
        <w:t xml:space="preserve"> of a public consultation and publishing the Call for Evidence to gather feedback from stakeholders for a period of </w:t>
      </w:r>
      <w:r w:rsidRPr="00F5382B">
        <w:rPr>
          <w:rFonts w:eastAsia="Times New Roman"/>
          <w:noProof/>
          <w:color w:val="000000" w:themeColor="text1"/>
          <w:lang w:val="en-US"/>
        </w:rPr>
        <w:t xml:space="preserve">10 weeks from </w:t>
      </w:r>
      <w:r w:rsidRPr="00F5382B">
        <w:rPr>
          <w:rFonts w:eastAsia="Times New Roman"/>
          <w:noProof/>
          <w:color w:val="000000" w:themeColor="text1"/>
        </w:rPr>
        <w:t xml:space="preserve">11 April 2025 to 20 June 2025. For a detailed analysis of the consultation process, see </w:t>
      </w:r>
      <w:r w:rsidRPr="00F5382B">
        <w:rPr>
          <w:rFonts w:eastAsia="Times New Roman"/>
          <w:i/>
          <w:iCs/>
          <w:noProof/>
          <w:color w:val="000000" w:themeColor="text1"/>
        </w:rPr>
        <w:t>Annex 2</w:t>
      </w:r>
      <w:r w:rsidRPr="00F5382B">
        <w:rPr>
          <w:rFonts w:eastAsia="Times New Roman"/>
          <w:noProof/>
          <w:color w:val="000000" w:themeColor="text1"/>
        </w:rPr>
        <w:t xml:space="preserve">. </w:t>
      </w:r>
      <w:r w:rsidRPr="00F5382B">
        <w:rPr>
          <w:rFonts w:eastAsia="Times New Roman"/>
          <w:noProof/>
          <w:color w:val="000000" w:themeColor="text1"/>
          <w:lang w:val="en-US"/>
        </w:rPr>
        <w:t>The inter-service group (ISG) met on for the informal meeting on 9 January 2025 and for the ISG on 21</w:t>
      </w:r>
      <w:r w:rsidRPr="00F5382B">
        <w:rPr>
          <w:rFonts w:eastAsia="Times New Roman"/>
          <w:noProof/>
          <w:color w:val="000000" w:themeColor="text1"/>
          <w:vertAlign w:val="superscript"/>
          <w:lang w:val="en-US"/>
        </w:rPr>
        <w:t xml:space="preserve"> </w:t>
      </w:r>
      <w:r w:rsidRPr="00F5382B">
        <w:rPr>
          <w:rFonts w:eastAsia="Times New Roman"/>
          <w:noProof/>
          <w:color w:val="000000" w:themeColor="text1"/>
        </w:rPr>
        <w:t xml:space="preserve">May 2025, on 26 June 2025 and on 18 July 2025 before </w:t>
      </w:r>
      <w:r w:rsidRPr="00F5382B">
        <w:rPr>
          <w:rFonts w:eastAsia="Times New Roman"/>
          <w:noProof/>
          <w:color w:val="000000" w:themeColor="text1"/>
          <w:lang w:val="en-US"/>
        </w:rPr>
        <w:t>submission of the Staff Working Document to the Regulatory Scrutiny Board (RSB) on 27 August 2025. The ISG consists of representatives of the Secretariat-General, and the Directorates General CNECT, JUST, GROW, FISMA, ENER, HOME, SANTE, EEAS, TRADE, GROW, TAXUD, DIGIT, INTPA, HR, AGRI, EMPL, EAC, BUDG, ENEST, DEFIS, MOVE, ECFIN, COMP, SJ and JRC.</w:t>
      </w:r>
    </w:p>
    <w:p w14:paraId="3B7AC931" w14:textId="77777777" w:rsidR="00EE3DF9" w:rsidRPr="00F5382B" w:rsidRDefault="00EE3DF9" w:rsidP="00EE3DF9">
      <w:pPr>
        <w:numPr>
          <w:ilvl w:val="0"/>
          <w:numId w:val="53"/>
        </w:numPr>
        <w:spacing w:after="120"/>
        <w:ind w:left="1077" w:hanging="357"/>
        <w:textAlignment w:val="baseline"/>
        <w:rPr>
          <w:noProof/>
        </w:rPr>
      </w:pPr>
      <w:bookmarkStart w:id="169" w:name="_Toc471997757"/>
      <w:bookmarkStart w:id="170" w:name="_Toc195101103"/>
      <w:bookmarkStart w:id="171" w:name="_Toc207027971"/>
      <w:r w:rsidRPr="00F5382B">
        <w:rPr>
          <w:rFonts w:eastAsia="Times New Roman"/>
          <w:b/>
          <w:smallCaps/>
          <w:noProof/>
          <w:lang w:eastAsia="en-IE"/>
        </w:rPr>
        <w:t>Consultation of the RSB</w:t>
      </w:r>
      <w:bookmarkEnd w:id="169"/>
      <w:bookmarkEnd w:id="170"/>
      <w:bookmarkEnd w:id="171"/>
    </w:p>
    <w:p w14:paraId="70853F67" w14:textId="12F99D2A" w:rsidR="00EE3DF9" w:rsidRPr="00F5382B" w:rsidRDefault="00EE3DF9" w:rsidP="00EE3DF9">
      <w:pPr>
        <w:ind w:left="50"/>
        <w:rPr>
          <w:noProof/>
        </w:rPr>
      </w:pPr>
      <w:r w:rsidRPr="00F5382B">
        <w:rPr>
          <w:rFonts w:eastAsia="Times New Roman"/>
          <w:noProof/>
          <w:color w:val="000000" w:themeColor="text1"/>
          <w:lang w:val="en-US"/>
        </w:rPr>
        <w:t xml:space="preserve">On 27 August 2025, DG CNECT submitted the draft Impact Assessment to the RSB, in view of a hearing which took place on 24 September 2025. On 26 September, the RSB issued </w:t>
      </w:r>
      <w:r w:rsidRPr="3F727978">
        <w:rPr>
          <w:rFonts w:eastAsia="Times New Roman"/>
          <w:noProof/>
          <w:color w:val="000000" w:themeColor="text1"/>
          <w:lang w:val="en-US"/>
        </w:rPr>
        <w:t>a</w:t>
      </w:r>
      <w:r w:rsidR="48EDCC88" w:rsidRPr="3F727978">
        <w:rPr>
          <w:rFonts w:eastAsia="Times New Roman"/>
          <w:noProof/>
          <w:color w:val="000000" w:themeColor="text1"/>
          <w:lang w:val="en-US"/>
        </w:rPr>
        <w:t xml:space="preserve"> negative</w:t>
      </w:r>
      <w:r w:rsidRPr="00F5382B">
        <w:rPr>
          <w:rFonts w:eastAsia="Times New Roman"/>
          <w:noProof/>
          <w:color w:val="000000" w:themeColor="text1"/>
          <w:lang w:val="en-US"/>
        </w:rPr>
        <w:t xml:space="preserve"> opinion. On 9 October, the ISG group met </w:t>
      </w:r>
      <w:r w:rsidRPr="00F5382B">
        <w:rPr>
          <w:rFonts w:eastAsia="Times New Roman"/>
          <w:noProof/>
          <w:color w:val="000000" w:themeColor="text1"/>
        </w:rPr>
        <w:t>before re</w:t>
      </w:r>
      <w:r w:rsidRPr="00F5382B">
        <w:rPr>
          <w:rFonts w:eastAsia="Times New Roman"/>
          <w:noProof/>
          <w:color w:val="000000" w:themeColor="text1"/>
          <w:lang w:val="en-US"/>
        </w:rPr>
        <w:t>submission of the Staff Working Document to the Regulatory Scrutiny Board (RSB)</w:t>
      </w:r>
      <w:r w:rsidRPr="00F5382B">
        <w:rPr>
          <w:rFonts w:eastAsia="Times New Roman"/>
          <w:noProof/>
          <w:color w:val="000000" w:themeColor="text1"/>
        </w:rPr>
        <w:t>.</w:t>
      </w:r>
      <w:r w:rsidRPr="00F5382B">
        <w:rPr>
          <w:rFonts w:eastAsia="Times New Roman"/>
          <w:noProof/>
          <w:color w:val="000000" w:themeColor="text1"/>
          <w:lang w:val="en-US"/>
        </w:rPr>
        <w:t xml:space="preserve"> On 20 October 2025, the Impact Assessment to the revision of the Cybersecurity Act was resubmitted to the RSB. On 13 November 2025, the RSB</w:t>
      </w:r>
      <w:r w:rsidRPr="00F5382B">
        <w:rPr>
          <w:noProof/>
        </w:rPr>
        <w:t xml:space="preserve"> issued ‘positive opinion with reservations’. The remarks of the RSB were addressed in this Impact Assessment as follows below.</w:t>
      </w:r>
    </w:p>
    <w:p w14:paraId="42DE541E" w14:textId="77777777" w:rsidR="00EE3DF9" w:rsidRPr="00F5382B" w:rsidRDefault="00EE3DF9" w:rsidP="00EE3DF9">
      <w:pPr>
        <w:rPr>
          <w:b/>
          <w:bCs/>
          <w:noProof/>
        </w:rPr>
      </w:pPr>
      <w:r w:rsidRPr="00F5382B">
        <w:rPr>
          <w:b/>
          <w:bCs/>
          <w:noProof/>
        </w:rPr>
        <w:t>Changes made in the revised version of the impact assessment report</w:t>
      </w:r>
    </w:p>
    <w:p w14:paraId="66B43635" w14:textId="77777777" w:rsidR="007B3C22" w:rsidRDefault="00EE3DF9" w:rsidP="00EE3DF9">
      <w:pPr>
        <w:rPr>
          <w:noProof/>
        </w:rPr>
      </w:pPr>
      <w:r w:rsidRPr="00F5382B">
        <w:rPr>
          <w:noProof/>
        </w:rPr>
        <w:t>The table hereafter provides an overview of the main changes made in the revised version of the impact assessment report in the light of the RSB recommendations accompanying its second positive opinion on the draft assessment report. In addressing these points, the lead Service has further extensively reviewed the draft impact assessment report.</w:t>
      </w:r>
    </w:p>
    <w:p w14:paraId="664DECEC" w14:textId="458D2D42" w:rsidR="00EE3DF9" w:rsidRPr="00F5382B" w:rsidRDefault="007B3C22" w:rsidP="00E5147D">
      <w:pPr>
        <w:pStyle w:val="Heading5"/>
        <w:rPr>
          <w:noProof/>
        </w:rPr>
      </w:pPr>
      <w:bookmarkStart w:id="172" w:name="_Toc218767796"/>
      <w:r>
        <w:rPr>
          <w:noProof/>
        </w:rPr>
        <w:t>Table 1</w:t>
      </w:r>
      <w:r w:rsidR="004A60E7">
        <w:rPr>
          <w:noProof/>
        </w:rPr>
        <w:t>:</w:t>
      </w:r>
      <w:r>
        <w:rPr>
          <w:noProof/>
        </w:rPr>
        <w:t xml:space="preserve"> </w:t>
      </w:r>
      <w:r w:rsidRPr="00F5382B">
        <w:rPr>
          <w:noProof/>
        </w:rPr>
        <w:t>Changes made in the revised version of the impact assessment report</w:t>
      </w:r>
      <w:bookmarkEnd w:id="172"/>
      <w:r>
        <w:rPr>
          <w:noProof/>
        </w:rPr>
        <w:t xml:space="preserve"> </w:t>
      </w:r>
      <w:r w:rsidR="00EE3DF9" w:rsidRPr="00F5382B">
        <w:rPr>
          <w:noProof/>
        </w:rPr>
        <w:t xml:space="preserve"> </w:t>
      </w:r>
    </w:p>
    <w:tbl>
      <w:tblPr>
        <w:tblStyle w:val="TableGrid"/>
        <w:tblW w:w="9586" w:type="dxa"/>
        <w:tblLayout w:type="fixed"/>
        <w:tblLook w:val="04A0" w:firstRow="1" w:lastRow="0" w:firstColumn="1" w:lastColumn="0" w:noHBand="0" w:noVBand="1"/>
      </w:tblPr>
      <w:tblGrid>
        <w:gridCol w:w="1129"/>
        <w:gridCol w:w="3261"/>
        <w:gridCol w:w="1701"/>
        <w:gridCol w:w="3495"/>
      </w:tblGrid>
      <w:tr w:rsidR="00EE3DF9" w:rsidRPr="00F5382B" w14:paraId="5D4A8FC4" w14:textId="77777777">
        <w:trPr>
          <w:trHeight w:val="300"/>
        </w:trPr>
        <w:tc>
          <w:tcPr>
            <w:tcW w:w="1129" w:type="dxa"/>
          </w:tcPr>
          <w:p w14:paraId="5686F466" w14:textId="77777777" w:rsidR="00EE3DF9" w:rsidRPr="00F5382B" w:rsidRDefault="00EE3DF9">
            <w:pPr>
              <w:rPr>
                <w:b/>
                <w:bCs/>
                <w:noProof/>
              </w:rPr>
            </w:pPr>
            <w:r w:rsidRPr="00F5382B">
              <w:rPr>
                <w:b/>
                <w:bCs/>
                <w:noProof/>
              </w:rPr>
              <w:t xml:space="preserve">RSB Opinion Point </w:t>
            </w:r>
          </w:p>
        </w:tc>
        <w:tc>
          <w:tcPr>
            <w:tcW w:w="3261" w:type="dxa"/>
          </w:tcPr>
          <w:p w14:paraId="125ABEA8" w14:textId="77777777" w:rsidR="00EE3DF9" w:rsidRPr="00F5382B" w:rsidRDefault="00EE3DF9">
            <w:pPr>
              <w:rPr>
                <w:b/>
                <w:bCs/>
                <w:noProof/>
              </w:rPr>
            </w:pPr>
            <w:r w:rsidRPr="00F5382B">
              <w:rPr>
                <w:b/>
                <w:bCs/>
                <w:noProof/>
              </w:rPr>
              <w:t xml:space="preserve">Key issue/what to improve </w:t>
            </w:r>
          </w:p>
        </w:tc>
        <w:tc>
          <w:tcPr>
            <w:tcW w:w="1701" w:type="dxa"/>
          </w:tcPr>
          <w:p w14:paraId="3E50DF17" w14:textId="77777777" w:rsidR="00EE3DF9" w:rsidRPr="00F5382B" w:rsidRDefault="00EE3DF9">
            <w:pPr>
              <w:rPr>
                <w:noProof/>
              </w:rPr>
            </w:pPr>
            <w:r w:rsidRPr="00F5382B">
              <w:rPr>
                <w:b/>
                <w:bCs/>
                <w:noProof/>
              </w:rPr>
              <w:t xml:space="preserve">Addressed in revised IA report: section number and annex </w:t>
            </w:r>
          </w:p>
        </w:tc>
        <w:tc>
          <w:tcPr>
            <w:tcW w:w="3495" w:type="dxa"/>
          </w:tcPr>
          <w:p w14:paraId="3F8B47B4" w14:textId="77777777" w:rsidR="00EE3DF9" w:rsidRPr="00F5382B" w:rsidRDefault="00EE3DF9">
            <w:pPr>
              <w:rPr>
                <w:b/>
                <w:bCs/>
                <w:noProof/>
              </w:rPr>
            </w:pPr>
            <w:r w:rsidRPr="00F5382B">
              <w:rPr>
                <w:b/>
                <w:bCs/>
                <w:noProof/>
              </w:rPr>
              <w:t>How have the issues been addressed</w:t>
            </w:r>
          </w:p>
        </w:tc>
      </w:tr>
      <w:tr w:rsidR="00A56096" w:rsidRPr="00F5382B" w14:paraId="56AE8E32" w14:textId="77777777" w:rsidTr="00641B35">
        <w:trPr>
          <w:trHeight w:val="7603"/>
        </w:trPr>
        <w:tc>
          <w:tcPr>
            <w:tcW w:w="1129" w:type="dxa"/>
          </w:tcPr>
          <w:p w14:paraId="107A4812" w14:textId="77777777" w:rsidR="00A56096" w:rsidRPr="00F5382B" w:rsidRDefault="00A56096">
            <w:pPr>
              <w:rPr>
                <w:noProof/>
              </w:rPr>
            </w:pPr>
            <w:r w:rsidRPr="00F5382B">
              <w:rPr>
                <w:noProof/>
              </w:rPr>
              <w:t>(B)(1)</w:t>
            </w:r>
          </w:p>
        </w:tc>
        <w:tc>
          <w:tcPr>
            <w:tcW w:w="3261" w:type="dxa"/>
            <w:shd w:val="clear" w:color="auto" w:fill="FFFFFF" w:themeFill="background1"/>
          </w:tcPr>
          <w:p w14:paraId="2658F39F" w14:textId="3095D0C6" w:rsidR="00A56096" w:rsidRPr="00F5382B" w:rsidRDefault="00A56096">
            <w:pPr>
              <w:rPr>
                <w:noProof/>
              </w:rPr>
            </w:pPr>
            <w:r w:rsidRPr="00F5382B">
              <w:rPr>
                <w:noProof/>
              </w:rPr>
              <w:t>The report does not provide sufficiently clear and robust estimates of the benefits of the intervention.</w:t>
            </w:r>
          </w:p>
        </w:tc>
        <w:tc>
          <w:tcPr>
            <w:tcW w:w="1701" w:type="dxa"/>
            <w:shd w:val="clear" w:color="auto" w:fill="FFFFFF" w:themeFill="background1"/>
          </w:tcPr>
          <w:p w14:paraId="2E8B283D" w14:textId="77777777" w:rsidR="00A56096" w:rsidRPr="00F5382B" w:rsidRDefault="00A56096">
            <w:pPr>
              <w:rPr>
                <w:noProof/>
              </w:rPr>
            </w:pPr>
            <w:r w:rsidRPr="00F5382B">
              <w:rPr>
                <w:noProof/>
              </w:rPr>
              <w:t>Sections 6.1.1.1(a)</w:t>
            </w:r>
          </w:p>
          <w:p w14:paraId="2B9378F7" w14:textId="77777777" w:rsidR="00A56096" w:rsidRPr="00F5382B" w:rsidRDefault="00A56096">
            <w:pPr>
              <w:rPr>
                <w:noProof/>
              </w:rPr>
            </w:pPr>
            <w:r w:rsidRPr="00F5382B">
              <w:rPr>
                <w:noProof/>
              </w:rPr>
              <w:t>6.1.1.1(b)</w:t>
            </w:r>
          </w:p>
          <w:p w14:paraId="3D86DBA6" w14:textId="5394562C" w:rsidR="00A56096" w:rsidRPr="00F5382B" w:rsidRDefault="00A56096" w:rsidP="00641B35">
            <w:pPr>
              <w:rPr>
                <w:noProof/>
              </w:rPr>
            </w:pPr>
            <w:r w:rsidRPr="00F5382B">
              <w:rPr>
                <w:noProof/>
              </w:rPr>
              <w:t>6.2</w:t>
            </w:r>
          </w:p>
        </w:tc>
        <w:tc>
          <w:tcPr>
            <w:tcW w:w="3495" w:type="dxa"/>
          </w:tcPr>
          <w:p w14:paraId="74FD9EE3" w14:textId="77777777" w:rsidR="00A56096" w:rsidRPr="00F5382B" w:rsidRDefault="00A56096">
            <w:pPr>
              <w:spacing w:before="120" w:after="120"/>
              <w:rPr>
                <w:noProof/>
              </w:rPr>
            </w:pPr>
            <w:r w:rsidRPr="00F5382B">
              <w:rPr>
                <w:noProof/>
              </w:rPr>
              <w:t xml:space="preserve">The cost savings of European individual cybersecurity skills attestation schemes for public authorities, citizens, and businesses have been complemented with qualitative analyses by adding the benefits for national authorities, detailing the benefits for citizens and clarifying the added value for SMEs. The table on </w:t>
            </w:r>
            <w:r w:rsidRPr="00F5382B">
              <w:rPr>
                <w:i/>
                <w:iCs/>
                <w:noProof/>
              </w:rPr>
              <w:t xml:space="preserve">Benefits </w:t>
            </w:r>
            <w:r w:rsidRPr="00F5382B">
              <w:rPr>
                <w:rFonts w:eastAsiaTheme="minorEastAsia"/>
                <w:i/>
                <w:iCs/>
                <w:noProof/>
              </w:rPr>
              <w:t xml:space="preserve">of policy options A (ENISA mandate) </w:t>
            </w:r>
            <w:r w:rsidRPr="00F5382B">
              <w:rPr>
                <w:rFonts w:eastAsiaTheme="minorEastAsia"/>
                <w:noProof/>
              </w:rPr>
              <w:t>has been updated accordingly.</w:t>
            </w:r>
          </w:p>
          <w:p w14:paraId="79A554AE" w14:textId="40C55F94" w:rsidR="00A56096" w:rsidRPr="00F5382B" w:rsidRDefault="00A56096" w:rsidP="00641B35">
            <w:pPr>
              <w:rPr>
                <w:noProof/>
              </w:rPr>
            </w:pPr>
            <w:r w:rsidRPr="00F5382B">
              <w:rPr>
                <w:noProof/>
              </w:rPr>
              <w:t>Regarding compliance costs for ENISA, cost-offsetting estimation was added to cover the share of providers that should participate in European individual cybersecurity skills attestation schemes to cover operational costs.</w:t>
            </w:r>
          </w:p>
        </w:tc>
      </w:tr>
      <w:tr w:rsidR="007E452F" w:rsidRPr="00F5382B" w14:paraId="5E36FE67" w14:textId="77777777">
        <w:trPr>
          <w:trHeight w:val="600"/>
        </w:trPr>
        <w:tc>
          <w:tcPr>
            <w:tcW w:w="1129" w:type="dxa"/>
          </w:tcPr>
          <w:p w14:paraId="151EF507" w14:textId="77777777" w:rsidR="007E452F" w:rsidRPr="00F5382B" w:rsidRDefault="007E452F" w:rsidP="007E452F">
            <w:pPr>
              <w:rPr>
                <w:noProof/>
              </w:rPr>
            </w:pPr>
            <w:r w:rsidRPr="00F5382B">
              <w:rPr>
                <w:noProof/>
              </w:rPr>
              <w:t>(B)(2)</w:t>
            </w:r>
          </w:p>
        </w:tc>
        <w:tc>
          <w:tcPr>
            <w:tcW w:w="3261" w:type="dxa"/>
          </w:tcPr>
          <w:p w14:paraId="5FAABD32" w14:textId="4D6EFA8D" w:rsidR="007E452F" w:rsidRPr="00F5382B" w:rsidRDefault="007E452F" w:rsidP="007E452F">
            <w:pPr>
              <w:rPr>
                <w:noProof/>
              </w:rPr>
            </w:pPr>
            <w:r w:rsidRPr="00F5382B">
              <w:rPr>
                <w:noProof/>
              </w:rPr>
              <w:t>The report does not sufficiently present the rollout of measures aiming to enhance ICT supply chains security for critical sectors, nor the form of subsequent impact assessments.</w:t>
            </w:r>
          </w:p>
        </w:tc>
        <w:tc>
          <w:tcPr>
            <w:tcW w:w="1701" w:type="dxa"/>
          </w:tcPr>
          <w:p w14:paraId="358ED12F" w14:textId="77777777" w:rsidR="007E452F" w:rsidRPr="00F5382B" w:rsidRDefault="007E452F" w:rsidP="007E452F">
            <w:pPr>
              <w:rPr>
                <w:noProof/>
              </w:rPr>
            </w:pPr>
            <w:r w:rsidRPr="00F5382B">
              <w:rPr>
                <w:noProof/>
              </w:rPr>
              <w:t>Section 5.2.2 option D.3</w:t>
            </w:r>
          </w:p>
          <w:p w14:paraId="271AB261" w14:textId="77777777" w:rsidR="007E452F" w:rsidRPr="00F5382B" w:rsidRDefault="007E452F" w:rsidP="007E452F">
            <w:pPr>
              <w:rPr>
                <w:noProof/>
              </w:rPr>
            </w:pPr>
          </w:p>
        </w:tc>
        <w:tc>
          <w:tcPr>
            <w:tcW w:w="3495" w:type="dxa"/>
          </w:tcPr>
          <w:p w14:paraId="42FBC95F" w14:textId="64D9EA45" w:rsidR="007E452F" w:rsidRPr="00F5382B" w:rsidRDefault="007E452F" w:rsidP="007E452F">
            <w:pPr>
              <w:rPr>
                <w:noProof/>
              </w:rPr>
            </w:pPr>
            <w:r w:rsidRPr="00F5382B">
              <w:rPr>
                <w:noProof/>
              </w:rPr>
              <w:t>Further clarifications were included regarding the description of the framework and how the framework could be initiated and roll-out</w:t>
            </w:r>
          </w:p>
          <w:p w14:paraId="3779FEF6" w14:textId="77777777" w:rsidR="007E452F" w:rsidRPr="00F5382B" w:rsidRDefault="007E452F" w:rsidP="007E452F">
            <w:pPr>
              <w:rPr>
                <w:noProof/>
              </w:rPr>
            </w:pPr>
          </w:p>
        </w:tc>
      </w:tr>
      <w:tr w:rsidR="00EE3DF9" w:rsidRPr="00F5382B" w14:paraId="0A0E2519" w14:textId="77777777">
        <w:trPr>
          <w:trHeight w:val="300"/>
        </w:trPr>
        <w:tc>
          <w:tcPr>
            <w:tcW w:w="1129" w:type="dxa"/>
          </w:tcPr>
          <w:p w14:paraId="7ECAA9DA" w14:textId="77777777" w:rsidR="00EE3DF9" w:rsidRPr="00F5382B" w:rsidRDefault="00EE3DF9">
            <w:pPr>
              <w:rPr>
                <w:noProof/>
              </w:rPr>
            </w:pPr>
            <w:r w:rsidRPr="00F5382B">
              <w:rPr>
                <w:noProof/>
              </w:rPr>
              <w:t>(B)(3)</w:t>
            </w:r>
          </w:p>
        </w:tc>
        <w:tc>
          <w:tcPr>
            <w:tcW w:w="3261" w:type="dxa"/>
          </w:tcPr>
          <w:p w14:paraId="3FE31ABD" w14:textId="77777777" w:rsidR="00EE3DF9" w:rsidRPr="00F5382B" w:rsidRDefault="00EE3DF9">
            <w:pPr>
              <w:rPr>
                <w:noProof/>
              </w:rPr>
            </w:pPr>
            <w:r w:rsidRPr="00F5382B">
              <w:rPr>
                <w:noProof/>
              </w:rPr>
              <w:t>The report is unclear about the problems and impacts related to the simplification measures targeting the NIS2 Directive.</w:t>
            </w:r>
          </w:p>
        </w:tc>
        <w:tc>
          <w:tcPr>
            <w:tcW w:w="1701" w:type="dxa"/>
          </w:tcPr>
          <w:p w14:paraId="068598F5" w14:textId="77777777" w:rsidR="00EE3DF9" w:rsidRPr="00F5382B" w:rsidRDefault="00EE3DF9">
            <w:pPr>
              <w:rPr>
                <w:noProof/>
              </w:rPr>
            </w:pPr>
            <w:r w:rsidRPr="00F5382B">
              <w:rPr>
                <w:noProof/>
              </w:rPr>
              <w:t>Sections 2.1.3, 2.2.8, 6.2.2</w:t>
            </w:r>
          </w:p>
          <w:p w14:paraId="4E49AFBE" w14:textId="77777777" w:rsidR="00EE3DF9" w:rsidRPr="00F5382B" w:rsidRDefault="00EE3DF9">
            <w:pPr>
              <w:rPr>
                <w:noProof/>
              </w:rPr>
            </w:pPr>
          </w:p>
        </w:tc>
        <w:tc>
          <w:tcPr>
            <w:tcW w:w="3495" w:type="dxa"/>
          </w:tcPr>
          <w:p w14:paraId="7BE7E376" w14:textId="77777777" w:rsidR="00EE3DF9" w:rsidRPr="00F5382B" w:rsidRDefault="00EE3DF9">
            <w:pPr>
              <w:rPr>
                <w:noProof/>
              </w:rPr>
            </w:pPr>
            <w:r w:rsidRPr="00F5382B">
              <w:rPr>
                <w:noProof/>
              </w:rPr>
              <w:t>Added analysis of issues around NIS2 scope in the explanation of the problem and the problem driver. Added explanation on the resilience implications of adjusting NIS2 scope in section 6.2.2.</w:t>
            </w:r>
          </w:p>
        </w:tc>
      </w:tr>
      <w:tr w:rsidR="007E452F" w:rsidRPr="00F5382B" w14:paraId="62B6B49F" w14:textId="77777777" w:rsidTr="00641B35">
        <w:trPr>
          <w:trHeight w:val="1042"/>
        </w:trPr>
        <w:tc>
          <w:tcPr>
            <w:tcW w:w="1129" w:type="dxa"/>
            <w:vMerge w:val="restart"/>
          </w:tcPr>
          <w:p w14:paraId="5BB1F40A" w14:textId="77777777" w:rsidR="007E452F" w:rsidRPr="00F5382B" w:rsidRDefault="007E452F" w:rsidP="007E452F">
            <w:pPr>
              <w:rPr>
                <w:noProof/>
              </w:rPr>
            </w:pPr>
            <w:r w:rsidRPr="00F5382B">
              <w:rPr>
                <w:noProof/>
              </w:rPr>
              <w:t>(C)(1)</w:t>
            </w:r>
          </w:p>
        </w:tc>
        <w:tc>
          <w:tcPr>
            <w:tcW w:w="3261" w:type="dxa"/>
            <w:vMerge w:val="restart"/>
          </w:tcPr>
          <w:p w14:paraId="54EC1A2B" w14:textId="3A6F9164" w:rsidR="007E452F" w:rsidRPr="00F5382B" w:rsidRDefault="007E452F" w:rsidP="007E452F">
            <w:pPr>
              <w:rPr>
                <w:noProof/>
              </w:rPr>
            </w:pPr>
            <w:r w:rsidRPr="00F5382B">
              <w:rPr>
                <w:noProof/>
              </w:rPr>
              <w:t>The report should further specify key concepts and parameters of the initiative along two axes: the distinction and interplay between technical vs non-technical cybersecurity risks, and the mandatory vs non-mandatory application of the proposed measures across the policy options</w:t>
            </w:r>
          </w:p>
        </w:tc>
        <w:tc>
          <w:tcPr>
            <w:tcW w:w="1701" w:type="dxa"/>
          </w:tcPr>
          <w:p w14:paraId="00B4CB1A" w14:textId="65297754" w:rsidR="007E452F" w:rsidRPr="00F5382B" w:rsidRDefault="007E452F" w:rsidP="007E452F">
            <w:pPr>
              <w:rPr>
                <w:noProof/>
              </w:rPr>
            </w:pPr>
            <w:r w:rsidRPr="00F5382B">
              <w:rPr>
                <w:noProof/>
              </w:rPr>
              <w:t xml:space="preserve">Section 2.1.4.1 </w:t>
            </w:r>
          </w:p>
        </w:tc>
        <w:tc>
          <w:tcPr>
            <w:tcW w:w="3495" w:type="dxa"/>
          </w:tcPr>
          <w:p w14:paraId="32E05201" w14:textId="02D3AEBB" w:rsidR="007E452F" w:rsidRPr="00F5382B" w:rsidRDefault="007E452F" w:rsidP="007E452F">
            <w:pPr>
              <w:rPr>
                <w:noProof/>
              </w:rPr>
            </w:pPr>
            <w:r w:rsidRPr="00F5382B">
              <w:rPr>
                <w:noProof/>
              </w:rPr>
              <w:t>Problem 4 “Key concepts” subsection was complemented to add the interplay between technical and non-technical risks and subsequently renamed to cover this interplay.</w:t>
            </w:r>
          </w:p>
        </w:tc>
      </w:tr>
      <w:tr w:rsidR="007E452F" w:rsidRPr="00F5382B" w14:paraId="13886B15" w14:textId="77777777" w:rsidTr="00641B35">
        <w:trPr>
          <w:trHeight w:val="1042"/>
        </w:trPr>
        <w:tc>
          <w:tcPr>
            <w:tcW w:w="1129" w:type="dxa"/>
            <w:vMerge/>
          </w:tcPr>
          <w:p w14:paraId="54184680" w14:textId="77777777" w:rsidR="007E452F" w:rsidRPr="00F5382B" w:rsidRDefault="007E452F" w:rsidP="007E452F">
            <w:pPr>
              <w:rPr>
                <w:noProof/>
              </w:rPr>
            </w:pPr>
          </w:p>
        </w:tc>
        <w:tc>
          <w:tcPr>
            <w:tcW w:w="3261" w:type="dxa"/>
            <w:vMerge/>
          </w:tcPr>
          <w:p w14:paraId="425590DD" w14:textId="77777777" w:rsidR="007E452F" w:rsidRPr="00F5382B" w:rsidRDefault="007E452F" w:rsidP="007E452F">
            <w:pPr>
              <w:rPr>
                <w:noProof/>
              </w:rPr>
            </w:pPr>
          </w:p>
        </w:tc>
        <w:tc>
          <w:tcPr>
            <w:tcW w:w="1701" w:type="dxa"/>
          </w:tcPr>
          <w:p w14:paraId="0DE2EDEA" w14:textId="77777777" w:rsidR="007E452F" w:rsidRPr="00F5382B" w:rsidRDefault="007E452F" w:rsidP="007E452F">
            <w:pPr>
              <w:rPr>
                <w:noProof/>
                <w:lang w:val="en-IE"/>
              </w:rPr>
            </w:pPr>
            <w:r w:rsidRPr="00F5382B">
              <w:rPr>
                <w:noProof/>
                <w:lang w:val="en-IE"/>
              </w:rPr>
              <w:t>Section 5.2.2 option B.1, section 5.2.4 option D.3 and section 5.5</w:t>
            </w:r>
          </w:p>
          <w:p w14:paraId="67A34B7E" w14:textId="77777777" w:rsidR="007E452F" w:rsidRPr="00F5382B" w:rsidRDefault="007E452F" w:rsidP="007E452F">
            <w:pPr>
              <w:rPr>
                <w:noProof/>
              </w:rPr>
            </w:pPr>
          </w:p>
        </w:tc>
        <w:tc>
          <w:tcPr>
            <w:tcW w:w="3495" w:type="dxa"/>
          </w:tcPr>
          <w:p w14:paraId="7E941F79" w14:textId="55CDE367" w:rsidR="007E452F" w:rsidRPr="00F5382B" w:rsidRDefault="007E452F" w:rsidP="007E452F">
            <w:pPr>
              <w:rPr>
                <w:noProof/>
              </w:rPr>
            </w:pPr>
            <w:r w:rsidRPr="00F5382B">
              <w:rPr>
                <w:noProof/>
              </w:rPr>
              <w:t>Clarifications were inserted regarding interlinkages between certification and supply chain options, in particular, a clarification was added that an entity does not have to be certify not to be considered a high-risk supplier (certification remains voluntary for options B.1 and B.2).</w:t>
            </w:r>
          </w:p>
        </w:tc>
      </w:tr>
      <w:tr w:rsidR="00A56096" w:rsidRPr="00F5382B" w14:paraId="66FF3171" w14:textId="77777777" w:rsidTr="00641B35">
        <w:trPr>
          <w:trHeight w:val="6924"/>
        </w:trPr>
        <w:tc>
          <w:tcPr>
            <w:tcW w:w="1129" w:type="dxa"/>
          </w:tcPr>
          <w:p w14:paraId="00705C14" w14:textId="77777777" w:rsidR="00A56096" w:rsidRPr="00F5382B" w:rsidRDefault="00A56096">
            <w:pPr>
              <w:rPr>
                <w:noProof/>
              </w:rPr>
            </w:pPr>
            <w:r w:rsidRPr="00F5382B">
              <w:rPr>
                <w:noProof/>
              </w:rPr>
              <w:t>(C)(2)</w:t>
            </w:r>
          </w:p>
        </w:tc>
        <w:tc>
          <w:tcPr>
            <w:tcW w:w="3261" w:type="dxa"/>
          </w:tcPr>
          <w:p w14:paraId="0777629D" w14:textId="6C7A3F4D" w:rsidR="00A56096" w:rsidRPr="00F5382B" w:rsidRDefault="00A56096">
            <w:pPr>
              <w:rPr>
                <w:noProof/>
              </w:rPr>
            </w:pPr>
            <w:r w:rsidRPr="00F5382B">
              <w:rPr>
                <w:noProof/>
              </w:rPr>
              <w:t xml:space="preserve">The report should provide more informative and more granular estimates of the benefits anticipated from the intervention, including avoided cyber incidents. It should further analyse the main types of incidents (malicious vs non-malicious, technical vs non-technical risks etc.), and their distribution. To the extent possible, the probabilities and costs of the diverse types of such cyber incidents need to be transparently quantified. The report should better substantiate the estimates of </w:t>
            </w:r>
          </w:p>
          <w:p w14:paraId="0A0EE2FA" w14:textId="77777777" w:rsidR="00A56096" w:rsidRPr="00F5382B" w:rsidRDefault="00A56096">
            <w:pPr>
              <w:rPr>
                <w:noProof/>
              </w:rPr>
            </w:pPr>
            <w:r w:rsidRPr="00F5382B">
              <w:rPr>
                <w:noProof/>
              </w:rPr>
              <w:t>faster recovery times.</w:t>
            </w:r>
          </w:p>
        </w:tc>
        <w:tc>
          <w:tcPr>
            <w:tcW w:w="1701" w:type="dxa"/>
          </w:tcPr>
          <w:p w14:paraId="78263E4C" w14:textId="24763486" w:rsidR="00A56096" w:rsidRPr="00F5382B" w:rsidRDefault="00A56096" w:rsidP="00641B35">
            <w:pPr>
              <w:rPr>
                <w:i/>
                <w:iCs/>
                <w:noProof/>
              </w:rPr>
            </w:pPr>
            <w:r w:rsidRPr="00F5382B">
              <w:rPr>
                <w:noProof/>
              </w:rPr>
              <w:t xml:space="preserve">Section 6.1.1.1. b) </w:t>
            </w:r>
          </w:p>
        </w:tc>
        <w:tc>
          <w:tcPr>
            <w:tcW w:w="3495" w:type="dxa"/>
          </w:tcPr>
          <w:p w14:paraId="6E30F3A0" w14:textId="5DB29362" w:rsidR="00A56096" w:rsidRPr="00F5382B" w:rsidRDefault="00A56096" w:rsidP="00641B35">
            <w:pPr>
              <w:rPr>
                <w:noProof/>
              </w:rPr>
            </w:pPr>
            <w:r w:rsidRPr="00F5382B">
              <w:rPr>
                <w:noProof/>
              </w:rPr>
              <w:t xml:space="preserve">The report elaborates on the rationale for the estimates chosen to quantify the benefits linked to the impact of cybersecurity incidents. In terms of avoided cybersecurity incidents, explanations related to the available data and their limitations are further explained in the report.  Additional clarifications are included to explain the choice of the quantitative methodology based on faster recovery times as proxy to estimate the impact of the proposed measures. The quantitative data provide has been further nuanced. </w:t>
            </w:r>
          </w:p>
        </w:tc>
      </w:tr>
      <w:tr w:rsidR="00EE3DF9" w:rsidRPr="00F5382B" w14:paraId="65FA9DD9" w14:textId="77777777">
        <w:trPr>
          <w:trHeight w:val="300"/>
        </w:trPr>
        <w:tc>
          <w:tcPr>
            <w:tcW w:w="1129" w:type="dxa"/>
          </w:tcPr>
          <w:p w14:paraId="5BAFCB9C" w14:textId="77777777" w:rsidR="00EE3DF9" w:rsidRPr="00F5382B" w:rsidRDefault="00EE3DF9">
            <w:pPr>
              <w:rPr>
                <w:noProof/>
              </w:rPr>
            </w:pPr>
          </w:p>
        </w:tc>
        <w:tc>
          <w:tcPr>
            <w:tcW w:w="3261" w:type="dxa"/>
          </w:tcPr>
          <w:p w14:paraId="022301E8" w14:textId="77777777" w:rsidR="00EE3DF9" w:rsidRPr="00F5382B" w:rsidRDefault="00EE3DF9">
            <w:pPr>
              <w:rPr>
                <w:noProof/>
              </w:rPr>
            </w:pPr>
            <w:r w:rsidRPr="00F5382B">
              <w:rPr>
                <w:noProof/>
              </w:rPr>
              <w:t>It should better demonstrate the added value of measure on skills.</w:t>
            </w:r>
          </w:p>
        </w:tc>
        <w:tc>
          <w:tcPr>
            <w:tcW w:w="1701" w:type="dxa"/>
          </w:tcPr>
          <w:p w14:paraId="140CD9C8" w14:textId="77777777" w:rsidR="00EE3DF9" w:rsidRPr="00F5382B" w:rsidRDefault="00EE3DF9">
            <w:pPr>
              <w:rPr>
                <w:noProof/>
              </w:rPr>
            </w:pPr>
            <w:r w:rsidRPr="00F5382B">
              <w:rPr>
                <w:noProof/>
              </w:rPr>
              <w:t>Sections 6.1.1.1(a)</w:t>
            </w:r>
          </w:p>
          <w:p w14:paraId="4C0B7F7C" w14:textId="77777777" w:rsidR="00EE3DF9" w:rsidRPr="00F5382B" w:rsidRDefault="00EE3DF9">
            <w:pPr>
              <w:rPr>
                <w:noProof/>
              </w:rPr>
            </w:pPr>
            <w:r w:rsidRPr="00F5382B">
              <w:rPr>
                <w:noProof/>
              </w:rPr>
              <w:t>6.1.1.1(b)</w:t>
            </w:r>
          </w:p>
          <w:p w14:paraId="7026A0DE" w14:textId="77777777" w:rsidR="00EE3DF9" w:rsidRPr="00F5382B" w:rsidRDefault="00EE3DF9">
            <w:pPr>
              <w:rPr>
                <w:noProof/>
              </w:rPr>
            </w:pPr>
            <w:r w:rsidRPr="00F5382B">
              <w:rPr>
                <w:noProof/>
              </w:rPr>
              <w:t>6.2</w:t>
            </w:r>
          </w:p>
        </w:tc>
        <w:tc>
          <w:tcPr>
            <w:tcW w:w="3495" w:type="dxa"/>
          </w:tcPr>
          <w:p w14:paraId="14F66946" w14:textId="77777777" w:rsidR="00EE3DF9" w:rsidRPr="00F5382B" w:rsidRDefault="00EE3DF9">
            <w:pPr>
              <w:rPr>
                <w:noProof/>
              </w:rPr>
            </w:pPr>
            <w:r w:rsidRPr="00F5382B">
              <w:rPr>
                <w:noProof/>
              </w:rPr>
              <w:t>See line (B)(1) on European individual cybersecurity skills attestation schemes</w:t>
            </w:r>
          </w:p>
          <w:p w14:paraId="4C316963" w14:textId="77777777" w:rsidR="00EE3DF9" w:rsidRPr="00F5382B" w:rsidRDefault="00EE3DF9">
            <w:pPr>
              <w:rPr>
                <w:noProof/>
              </w:rPr>
            </w:pPr>
            <w:r w:rsidRPr="00F5382B">
              <w:rPr>
                <w:noProof/>
              </w:rPr>
              <w:t xml:space="preserve">Additionally, compliance costs for public authorities and businesses were clarified, distinguishing in the text between administrative costs and adjustment costs. Adjustment costs were further explained, in particular the cost variation from one provider to another and from one scheme to another, specifying as well the frequency (one-off/recurring) of the costs. </w:t>
            </w:r>
          </w:p>
          <w:p w14:paraId="1EA4D555" w14:textId="77777777" w:rsidR="00EE3DF9" w:rsidRPr="00F5382B" w:rsidRDefault="00EE3DF9">
            <w:pPr>
              <w:rPr>
                <w:noProof/>
              </w:rPr>
            </w:pPr>
            <w:r w:rsidRPr="00F5382B">
              <w:rPr>
                <w:noProof/>
              </w:rPr>
              <w:t>Additionally, an explanation was added regarding how the potential barrier to entry for SMEs caused by a fee could be lifted.</w:t>
            </w:r>
          </w:p>
          <w:p w14:paraId="3498D39B" w14:textId="77777777" w:rsidR="00EE3DF9" w:rsidRPr="00F5382B" w:rsidRDefault="00EE3DF9">
            <w:pPr>
              <w:spacing w:before="120" w:after="120"/>
              <w:rPr>
                <w:noProof/>
              </w:rPr>
            </w:pPr>
            <w:r w:rsidRPr="00F5382B">
              <w:rPr>
                <w:noProof/>
              </w:rPr>
              <w:t xml:space="preserve">The table on </w:t>
            </w:r>
            <w:r w:rsidRPr="00F5382B">
              <w:rPr>
                <w:rFonts w:eastAsiaTheme="minorEastAsia"/>
                <w:i/>
                <w:iCs/>
                <w:noProof/>
              </w:rPr>
              <w:t>Costs of policy options A (ENISA mandate)</w:t>
            </w:r>
            <w:r w:rsidRPr="00F5382B">
              <w:rPr>
                <w:rFonts w:eastAsiaTheme="minorEastAsia"/>
                <w:noProof/>
              </w:rPr>
              <w:t xml:space="preserve"> was updated accordingly.</w:t>
            </w:r>
          </w:p>
        </w:tc>
      </w:tr>
      <w:tr w:rsidR="00EE3DF9" w:rsidRPr="00F5382B" w14:paraId="397D3B41" w14:textId="77777777">
        <w:trPr>
          <w:trHeight w:val="300"/>
        </w:trPr>
        <w:tc>
          <w:tcPr>
            <w:tcW w:w="1129" w:type="dxa"/>
          </w:tcPr>
          <w:p w14:paraId="5A86850B" w14:textId="77777777" w:rsidR="00EE3DF9" w:rsidRPr="00F5382B" w:rsidRDefault="00EE3DF9">
            <w:pPr>
              <w:rPr>
                <w:noProof/>
              </w:rPr>
            </w:pPr>
          </w:p>
        </w:tc>
        <w:tc>
          <w:tcPr>
            <w:tcW w:w="3261" w:type="dxa"/>
          </w:tcPr>
          <w:p w14:paraId="2B6A7185" w14:textId="33A51574" w:rsidR="00EE3DF9" w:rsidRPr="00F5382B" w:rsidRDefault="00EE3DF9">
            <w:pPr>
              <w:rPr>
                <w:noProof/>
              </w:rPr>
            </w:pPr>
            <w:r w:rsidRPr="00F5382B">
              <w:rPr>
                <w:noProof/>
              </w:rPr>
              <w:t>An improved assessment of avoided costs and benefits for companies should be used as a basis for a strengthened analysis of effectiveness, efficiency and competitiveness.</w:t>
            </w:r>
          </w:p>
          <w:p w14:paraId="2D91CEA3" w14:textId="77777777" w:rsidR="00EE3DF9" w:rsidRPr="00F5382B" w:rsidRDefault="00EE3DF9">
            <w:pPr>
              <w:rPr>
                <w:noProof/>
              </w:rPr>
            </w:pPr>
          </w:p>
        </w:tc>
        <w:tc>
          <w:tcPr>
            <w:tcW w:w="1701" w:type="dxa"/>
          </w:tcPr>
          <w:p w14:paraId="4DB11C74" w14:textId="77777777" w:rsidR="00EE3DF9" w:rsidRPr="00F5382B" w:rsidRDefault="00EE3DF9">
            <w:pPr>
              <w:rPr>
                <w:noProof/>
              </w:rPr>
            </w:pPr>
            <w:r w:rsidRPr="00F5382B">
              <w:rPr>
                <w:noProof/>
              </w:rPr>
              <w:t>Sections 7.1, 7.2, 7.3</w:t>
            </w:r>
          </w:p>
        </w:tc>
        <w:tc>
          <w:tcPr>
            <w:tcW w:w="3495" w:type="dxa"/>
          </w:tcPr>
          <w:p w14:paraId="1E9D74CB" w14:textId="77777777" w:rsidR="00EE3DF9" w:rsidRPr="00F5382B" w:rsidRDefault="00EE3DF9">
            <w:pPr>
              <w:rPr>
                <w:noProof/>
              </w:rPr>
            </w:pPr>
            <w:r w:rsidRPr="00F5382B">
              <w:rPr>
                <w:noProof/>
              </w:rPr>
              <w:t>Explanation added regarding the limitation of data and the difficulties in quantifying the causality between the measures included in the different policy options and related cost savings in terms of probability and impact of cybersecurity incidents.</w:t>
            </w:r>
          </w:p>
          <w:p w14:paraId="199663BE" w14:textId="77777777" w:rsidR="00EE3DF9" w:rsidRPr="00F5382B" w:rsidRDefault="00EE3DF9">
            <w:pPr>
              <w:rPr>
                <w:noProof/>
              </w:rPr>
            </w:pPr>
            <w:r w:rsidRPr="00F5382B">
              <w:rPr>
                <w:noProof/>
              </w:rPr>
              <w:t>Based on those limitations and improved assessment of avoided costs and benefits, the comparison of options under criteria effectiveness and efficiency (that also includes competitiveness aspects) was adjusted.</w:t>
            </w:r>
          </w:p>
        </w:tc>
      </w:tr>
      <w:tr w:rsidR="00A56096" w:rsidRPr="00F5382B" w14:paraId="7B9CA292" w14:textId="77777777">
        <w:trPr>
          <w:trHeight w:val="300"/>
        </w:trPr>
        <w:tc>
          <w:tcPr>
            <w:tcW w:w="1129" w:type="dxa"/>
            <w:vMerge w:val="restart"/>
          </w:tcPr>
          <w:p w14:paraId="1456EE2E" w14:textId="77777777" w:rsidR="00A56096" w:rsidRPr="00F5382B" w:rsidRDefault="00A56096">
            <w:pPr>
              <w:rPr>
                <w:noProof/>
              </w:rPr>
            </w:pPr>
            <w:r w:rsidRPr="00F5382B">
              <w:rPr>
                <w:noProof/>
              </w:rPr>
              <w:t>(C)(3)</w:t>
            </w:r>
          </w:p>
        </w:tc>
        <w:tc>
          <w:tcPr>
            <w:tcW w:w="3261" w:type="dxa"/>
          </w:tcPr>
          <w:p w14:paraId="65FC0BB6" w14:textId="77777777" w:rsidR="00A56096" w:rsidRPr="00F5382B" w:rsidRDefault="00A56096">
            <w:pPr>
              <w:rPr>
                <w:noProof/>
              </w:rPr>
            </w:pPr>
            <w:r w:rsidRPr="00F5382B">
              <w:rPr>
                <w:noProof/>
              </w:rPr>
              <w:t>Claims regarding the effectiveness and efficiency of the intervention need to reflect any limitations and uncertainties in the analysis of benefits and costs. The assumptions and estimates underlying the main costs should be subject to sensitivity analysis.</w:t>
            </w:r>
          </w:p>
        </w:tc>
        <w:tc>
          <w:tcPr>
            <w:tcW w:w="1701" w:type="dxa"/>
          </w:tcPr>
          <w:p w14:paraId="115A3D61" w14:textId="77777777" w:rsidR="00A56096" w:rsidRPr="00F5382B" w:rsidRDefault="00A56096">
            <w:pPr>
              <w:rPr>
                <w:noProof/>
              </w:rPr>
            </w:pPr>
            <w:r w:rsidRPr="00F5382B">
              <w:rPr>
                <w:noProof/>
              </w:rPr>
              <w:t>Section 7.1</w:t>
            </w:r>
          </w:p>
          <w:p w14:paraId="4DF17A2B" w14:textId="77777777" w:rsidR="00A56096" w:rsidRPr="00F5382B" w:rsidRDefault="00A56096">
            <w:pPr>
              <w:rPr>
                <w:noProof/>
              </w:rPr>
            </w:pPr>
          </w:p>
          <w:p w14:paraId="43E8ABD9" w14:textId="77777777" w:rsidR="00A56096" w:rsidRPr="00F5382B" w:rsidRDefault="00A56096">
            <w:pPr>
              <w:rPr>
                <w:noProof/>
              </w:rPr>
            </w:pPr>
          </w:p>
          <w:p w14:paraId="501570B5" w14:textId="77777777" w:rsidR="00A56096" w:rsidRPr="00F5382B" w:rsidRDefault="00A56096">
            <w:pPr>
              <w:rPr>
                <w:noProof/>
              </w:rPr>
            </w:pPr>
          </w:p>
          <w:p w14:paraId="6191B787" w14:textId="77777777" w:rsidR="00A56096" w:rsidRPr="00F5382B" w:rsidRDefault="00A56096">
            <w:pPr>
              <w:rPr>
                <w:noProof/>
              </w:rPr>
            </w:pPr>
          </w:p>
          <w:p w14:paraId="2E3AA5D6" w14:textId="77777777" w:rsidR="00A56096" w:rsidRPr="00F5382B" w:rsidRDefault="00A56096">
            <w:pPr>
              <w:rPr>
                <w:noProof/>
              </w:rPr>
            </w:pPr>
          </w:p>
          <w:p w14:paraId="1AF8DCE2" w14:textId="77777777" w:rsidR="00A56096" w:rsidRPr="00F5382B" w:rsidRDefault="00A56096">
            <w:pPr>
              <w:rPr>
                <w:noProof/>
              </w:rPr>
            </w:pPr>
          </w:p>
          <w:p w14:paraId="28940430" w14:textId="77777777" w:rsidR="00A56096" w:rsidRDefault="00A56096">
            <w:pPr>
              <w:rPr>
                <w:noProof/>
              </w:rPr>
            </w:pPr>
            <w:r w:rsidRPr="00F5382B">
              <w:rPr>
                <w:noProof/>
              </w:rPr>
              <w:t>Section 6.1.1.1</w:t>
            </w:r>
          </w:p>
          <w:p w14:paraId="09915F74" w14:textId="77777777" w:rsidR="009B0BE3" w:rsidRDefault="009B0BE3">
            <w:pPr>
              <w:rPr>
                <w:noProof/>
              </w:rPr>
            </w:pPr>
          </w:p>
          <w:p w14:paraId="2240450A" w14:textId="77777777" w:rsidR="009B0BE3" w:rsidRDefault="009B0BE3">
            <w:pPr>
              <w:rPr>
                <w:noProof/>
              </w:rPr>
            </w:pPr>
          </w:p>
          <w:p w14:paraId="6096D0C9" w14:textId="77777777" w:rsidR="009B0BE3" w:rsidRDefault="009B0BE3">
            <w:pPr>
              <w:rPr>
                <w:noProof/>
              </w:rPr>
            </w:pPr>
          </w:p>
          <w:p w14:paraId="3BB80D62" w14:textId="77777777" w:rsidR="009B0BE3" w:rsidRDefault="009B0BE3">
            <w:pPr>
              <w:rPr>
                <w:noProof/>
              </w:rPr>
            </w:pPr>
          </w:p>
          <w:p w14:paraId="020B80AD" w14:textId="77777777" w:rsidR="009B0BE3" w:rsidRDefault="009B0BE3">
            <w:pPr>
              <w:rPr>
                <w:noProof/>
              </w:rPr>
            </w:pPr>
          </w:p>
          <w:p w14:paraId="4C01667B" w14:textId="77777777" w:rsidR="009B0BE3" w:rsidRDefault="009B0BE3">
            <w:pPr>
              <w:rPr>
                <w:noProof/>
              </w:rPr>
            </w:pPr>
          </w:p>
          <w:p w14:paraId="6C32E637" w14:textId="77777777" w:rsidR="009B0BE3" w:rsidRDefault="009B0BE3">
            <w:pPr>
              <w:rPr>
                <w:noProof/>
              </w:rPr>
            </w:pPr>
          </w:p>
          <w:p w14:paraId="3A8A7B68" w14:textId="77777777" w:rsidR="009B0BE3" w:rsidRDefault="009B0BE3">
            <w:pPr>
              <w:rPr>
                <w:noProof/>
              </w:rPr>
            </w:pPr>
          </w:p>
          <w:p w14:paraId="2753F63A" w14:textId="77777777" w:rsidR="009B0BE3" w:rsidRDefault="009B0BE3">
            <w:pPr>
              <w:rPr>
                <w:noProof/>
              </w:rPr>
            </w:pPr>
          </w:p>
          <w:p w14:paraId="583E9148" w14:textId="77777777" w:rsidR="009B0BE3" w:rsidRPr="00F5382B" w:rsidRDefault="009B0BE3">
            <w:pPr>
              <w:rPr>
                <w:noProof/>
              </w:rPr>
            </w:pPr>
          </w:p>
        </w:tc>
        <w:tc>
          <w:tcPr>
            <w:tcW w:w="3495" w:type="dxa"/>
            <w:vMerge w:val="restart"/>
          </w:tcPr>
          <w:p w14:paraId="7358666C" w14:textId="77777777" w:rsidR="00A56096" w:rsidRPr="00F5382B" w:rsidRDefault="00A56096">
            <w:pPr>
              <w:rPr>
                <w:noProof/>
              </w:rPr>
            </w:pPr>
            <w:r w:rsidRPr="00F5382B">
              <w:rPr>
                <w:noProof/>
              </w:rPr>
              <w:t>Explanation added regarding the limitation of data and the difficulties in quantifying the causality between the measures included in the different policy options and related cost savings in terms of probability and impact of cybersecurity incidents.</w:t>
            </w:r>
          </w:p>
          <w:p w14:paraId="215E3353" w14:textId="77777777" w:rsidR="00A56096" w:rsidRPr="00F5382B" w:rsidRDefault="00A56096">
            <w:pPr>
              <w:rPr>
                <w:noProof/>
              </w:rPr>
            </w:pPr>
          </w:p>
          <w:p w14:paraId="76A480B9" w14:textId="77777777" w:rsidR="00A56096" w:rsidRDefault="00A56096">
            <w:pPr>
              <w:rPr>
                <w:noProof/>
              </w:rPr>
            </w:pPr>
            <w:r w:rsidRPr="00F5382B">
              <w:rPr>
                <w:noProof/>
              </w:rPr>
              <w:t>The financial impacts of extended ENISA mandate and more effective certification were assessed in further detail (6.1.1.1). It was clarified that the additional  EUR 148.12 million is an incremental cost compared to the baseline cost and it does not include ongoing activities. A comparison of these additional costs compared to ENISA’s current annual budget and staffing level was provided. It was clarified that certification-related FTEs (Option B.2) do not overlap with ENISA Option A.2, and that the costs are mutually exclusive. The list of operational pillars under A2 was complemented and justifies now the full amount.</w:t>
            </w:r>
          </w:p>
          <w:p w14:paraId="1B8DDF58" w14:textId="77777777" w:rsidR="009B0BE3" w:rsidRDefault="009B0BE3">
            <w:pPr>
              <w:rPr>
                <w:noProof/>
              </w:rPr>
            </w:pPr>
          </w:p>
          <w:p w14:paraId="35E3B4D2" w14:textId="48AB2BDF" w:rsidR="009B0BE3" w:rsidRPr="00F5382B" w:rsidRDefault="009B0BE3">
            <w:pPr>
              <w:rPr>
                <w:noProof/>
              </w:rPr>
            </w:pPr>
            <w:r w:rsidRPr="00F5382B">
              <w:rPr>
                <w:noProof/>
              </w:rPr>
              <w:t>Further explanation</w:t>
            </w:r>
            <w:r>
              <w:rPr>
                <w:noProof/>
              </w:rPr>
              <w:t>s</w:t>
            </w:r>
            <w:r w:rsidRPr="00F5382B">
              <w:rPr>
                <w:noProof/>
              </w:rPr>
              <w:t xml:space="preserve"> were included regarding the nature and components of the various costs and costs savings, including the replacement costs of ICT supply chain restrictions.</w:t>
            </w:r>
          </w:p>
        </w:tc>
      </w:tr>
      <w:tr w:rsidR="009B0BE3" w:rsidRPr="00F5382B" w14:paraId="51BC97A7" w14:textId="77777777">
        <w:trPr>
          <w:trHeight w:val="300"/>
        </w:trPr>
        <w:tc>
          <w:tcPr>
            <w:tcW w:w="1129" w:type="dxa"/>
            <w:vMerge/>
          </w:tcPr>
          <w:p w14:paraId="0DC3FDD8" w14:textId="77777777" w:rsidR="009B0BE3" w:rsidRPr="00F5382B" w:rsidRDefault="009B0BE3" w:rsidP="009B0BE3">
            <w:pPr>
              <w:rPr>
                <w:noProof/>
              </w:rPr>
            </w:pPr>
          </w:p>
        </w:tc>
        <w:tc>
          <w:tcPr>
            <w:tcW w:w="3261" w:type="dxa"/>
          </w:tcPr>
          <w:p w14:paraId="32EE0EA7" w14:textId="40308EA1" w:rsidR="009B0BE3" w:rsidRPr="00F5382B" w:rsidRDefault="009B0BE3" w:rsidP="009B0BE3">
            <w:pPr>
              <w:rPr>
                <w:noProof/>
              </w:rPr>
            </w:pPr>
            <w:r w:rsidRPr="00F5382B">
              <w:rPr>
                <w:noProof/>
              </w:rPr>
              <w:t>The report is insufficiently clear on the nature and components of the various costs and cost-savings as well as the economic impact of replacement costs for ICT supply chain restrictions on the businesses in scope and downstream.</w:t>
            </w:r>
          </w:p>
        </w:tc>
        <w:tc>
          <w:tcPr>
            <w:tcW w:w="1701" w:type="dxa"/>
          </w:tcPr>
          <w:p w14:paraId="71B4E592" w14:textId="21DC9D71" w:rsidR="009B0BE3" w:rsidRPr="00F5382B" w:rsidRDefault="009B0BE3" w:rsidP="009B0BE3">
            <w:pPr>
              <w:rPr>
                <w:noProof/>
              </w:rPr>
            </w:pPr>
            <w:r w:rsidRPr="00F5382B">
              <w:rPr>
                <w:noProof/>
              </w:rPr>
              <w:t>Section 6.1.1.5</w:t>
            </w:r>
          </w:p>
        </w:tc>
        <w:tc>
          <w:tcPr>
            <w:tcW w:w="3495" w:type="dxa"/>
            <w:vMerge/>
          </w:tcPr>
          <w:p w14:paraId="43D80820" w14:textId="77777777" w:rsidR="009B0BE3" w:rsidRPr="00F5382B" w:rsidRDefault="009B0BE3" w:rsidP="009B0BE3">
            <w:pPr>
              <w:rPr>
                <w:noProof/>
              </w:rPr>
            </w:pPr>
          </w:p>
        </w:tc>
      </w:tr>
      <w:tr w:rsidR="009B0BE3" w:rsidRPr="00F5382B" w14:paraId="6E8EF920" w14:textId="77777777">
        <w:trPr>
          <w:trHeight w:val="300"/>
        </w:trPr>
        <w:tc>
          <w:tcPr>
            <w:tcW w:w="1129" w:type="dxa"/>
          </w:tcPr>
          <w:p w14:paraId="07BC7066" w14:textId="77777777" w:rsidR="009B0BE3" w:rsidRPr="00F5382B" w:rsidRDefault="009B0BE3" w:rsidP="009B0BE3">
            <w:pPr>
              <w:rPr>
                <w:noProof/>
              </w:rPr>
            </w:pPr>
            <w:r w:rsidRPr="00F5382B">
              <w:rPr>
                <w:noProof/>
              </w:rPr>
              <w:t>(C)(4)</w:t>
            </w:r>
          </w:p>
        </w:tc>
        <w:tc>
          <w:tcPr>
            <w:tcW w:w="3261" w:type="dxa"/>
          </w:tcPr>
          <w:p w14:paraId="5D08C0DC" w14:textId="77777777" w:rsidR="009B0BE3" w:rsidRPr="00F5382B" w:rsidRDefault="009B0BE3" w:rsidP="009B0BE3">
            <w:pPr>
              <w:rPr>
                <w:noProof/>
              </w:rPr>
            </w:pPr>
            <w:r w:rsidRPr="00F5382B">
              <w:rPr>
                <w:noProof/>
              </w:rPr>
              <w:t xml:space="preserve">Regarding the ICT supply chain restrictions, the report should provide clearer </w:t>
            </w:r>
          </w:p>
          <w:p w14:paraId="33DB9E93" w14:textId="77777777" w:rsidR="009B0BE3" w:rsidRPr="00F5382B" w:rsidRDefault="009B0BE3" w:rsidP="009B0BE3">
            <w:pPr>
              <w:rPr>
                <w:noProof/>
              </w:rPr>
            </w:pPr>
            <w:r w:rsidRPr="00F5382B">
              <w:rPr>
                <w:noProof/>
              </w:rPr>
              <w:t xml:space="preserve">explanations on the estimated range in annual replacement costs, including the </w:t>
            </w:r>
          </w:p>
          <w:p w14:paraId="0B5F4167" w14:textId="77777777" w:rsidR="009B0BE3" w:rsidRPr="00F5382B" w:rsidRDefault="009B0BE3" w:rsidP="009B0BE3">
            <w:pPr>
              <w:rPr>
                <w:noProof/>
              </w:rPr>
            </w:pPr>
            <w:r w:rsidRPr="00F5382B">
              <w:rPr>
                <w:noProof/>
              </w:rPr>
              <w:t xml:space="preserve">assumed proportion of equipment considered non-upgradeable or sourced from </w:t>
            </w:r>
          </w:p>
          <w:p w14:paraId="605CB148" w14:textId="77777777" w:rsidR="009B0BE3" w:rsidRPr="00F5382B" w:rsidRDefault="009B0BE3" w:rsidP="009B0BE3">
            <w:pPr>
              <w:rPr>
                <w:noProof/>
              </w:rPr>
            </w:pPr>
            <w:r w:rsidRPr="00F5382B">
              <w:rPr>
                <w:noProof/>
              </w:rPr>
              <w:t xml:space="preserve">high-risk suppliers. The transfer of costs to consumers should be more clearly </w:t>
            </w:r>
          </w:p>
          <w:p w14:paraId="5F09FF15" w14:textId="77777777" w:rsidR="009B0BE3" w:rsidRPr="00F5382B" w:rsidRDefault="009B0BE3" w:rsidP="009B0BE3">
            <w:pPr>
              <w:rPr>
                <w:noProof/>
              </w:rPr>
            </w:pPr>
            <w:r w:rsidRPr="00F5382B">
              <w:rPr>
                <w:noProof/>
              </w:rPr>
              <w:t xml:space="preserve">analysed. Claims that short-term costs will be offset by new revenues for trusted </w:t>
            </w:r>
          </w:p>
          <w:p w14:paraId="1D8B9FFF" w14:textId="77777777" w:rsidR="009B0BE3" w:rsidRPr="00F5382B" w:rsidRDefault="009B0BE3" w:rsidP="009B0BE3">
            <w:pPr>
              <w:rPr>
                <w:noProof/>
              </w:rPr>
            </w:pPr>
            <w:r w:rsidRPr="00F5382B">
              <w:rPr>
                <w:noProof/>
              </w:rPr>
              <w:t xml:space="preserve">suppliers or a more trustworthy offering for citizens should be substantiated with </w:t>
            </w:r>
          </w:p>
          <w:p w14:paraId="4CE9C266" w14:textId="1085CB89" w:rsidR="009B0BE3" w:rsidRPr="00F5382B" w:rsidRDefault="009B0BE3" w:rsidP="009B0BE3">
            <w:pPr>
              <w:rPr>
                <w:noProof/>
              </w:rPr>
            </w:pPr>
            <w:r w:rsidRPr="00F5382B">
              <w:rPr>
                <w:noProof/>
              </w:rPr>
              <w:t>evidence.</w:t>
            </w:r>
          </w:p>
        </w:tc>
        <w:tc>
          <w:tcPr>
            <w:tcW w:w="1701" w:type="dxa"/>
          </w:tcPr>
          <w:p w14:paraId="3ED3A3F0" w14:textId="77DE0EB3" w:rsidR="009B0BE3" w:rsidRPr="00F5382B" w:rsidRDefault="009B0BE3" w:rsidP="009B0BE3">
            <w:pPr>
              <w:rPr>
                <w:noProof/>
              </w:rPr>
            </w:pPr>
            <w:r w:rsidRPr="00F5382B">
              <w:rPr>
                <w:noProof/>
              </w:rPr>
              <w:t xml:space="preserve">Section 6.1.1.5 </w:t>
            </w:r>
          </w:p>
        </w:tc>
        <w:tc>
          <w:tcPr>
            <w:tcW w:w="3495" w:type="dxa"/>
          </w:tcPr>
          <w:p w14:paraId="1CE6D141" w14:textId="77777777" w:rsidR="009B0BE3" w:rsidRPr="00F5382B" w:rsidRDefault="009B0BE3" w:rsidP="009B0BE3">
            <w:pPr>
              <w:rPr>
                <w:noProof/>
                <w:lang w:val="en-IE"/>
              </w:rPr>
            </w:pPr>
            <w:r w:rsidRPr="00F5382B">
              <w:rPr>
                <w:noProof/>
                <w:lang w:val="en-IE"/>
              </w:rPr>
              <w:t xml:space="preserve">The explanation regarding the estimated range in annual replacement costs have been clarified in the text of the main report, including the </w:t>
            </w:r>
            <w:r w:rsidRPr="00F5382B">
              <w:rPr>
                <w:noProof/>
              </w:rPr>
              <w:t xml:space="preserve">proportion of equipment considered non-upgradeable or sourced from high-risk suppliers. </w:t>
            </w:r>
          </w:p>
          <w:p w14:paraId="5DF67790" w14:textId="77777777" w:rsidR="009B0BE3" w:rsidRPr="00F5382B" w:rsidRDefault="009B0BE3" w:rsidP="009B0BE3">
            <w:pPr>
              <w:rPr>
                <w:noProof/>
                <w:lang w:val="en-IE"/>
              </w:rPr>
            </w:pPr>
          </w:p>
          <w:p w14:paraId="5355BE0E" w14:textId="77777777" w:rsidR="009B0BE3" w:rsidRPr="00F5382B" w:rsidRDefault="009B0BE3" w:rsidP="009B0BE3">
            <w:pPr>
              <w:rPr>
                <w:noProof/>
                <w:lang w:val="en-IE"/>
              </w:rPr>
            </w:pPr>
            <w:r w:rsidRPr="00F5382B">
              <w:rPr>
                <w:noProof/>
                <w:lang w:val="en-IE"/>
              </w:rPr>
              <w:t xml:space="preserve">The potential transfer of costs to consumers has been further explained and nuanced as one potential strategy of companies. </w:t>
            </w:r>
          </w:p>
          <w:p w14:paraId="1B690AC3" w14:textId="77777777" w:rsidR="009B0BE3" w:rsidRPr="00F5382B" w:rsidRDefault="009B0BE3" w:rsidP="009B0BE3">
            <w:pPr>
              <w:rPr>
                <w:noProof/>
                <w:lang w:val="en-IE"/>
              </w:rPr>
            </w:pPr>
          </w:p>
          <w:p w14:paraId="4CAEF237" w14:textId="27CE8EFE" w:rsidR="009B0BE3" w:rsidRPr="00F5382B" w:rsidRDefault="009B0BE3" w:rsidP="009B0BE3">
            <w:pPr>
              <w:rPr>
                <w:noProof/>
                <w:lang w:val="en-IE"/>
              </w:rPr>
            </w:pPr>
            <w:r w:rsidRPr="00F5382B">
              <w:rPr>
                <w:noProof/>
                <w:lang w:val="en-IE"/>
              </w:rPr>
              <w:t xml:space="preserve">Explanations have been added in the report regarding the claims that costs for operators would be offset by revenues for trusted suppliers.  </w:t>
            </w:r>
          </w:p>
        </w:tc>
      </w:tr>
      <w:tr w:rsidR="009B0BE3" w:rsidRPr="00F5382B" w14:paraId="63FDBC29" w14:textId="77777777" w:rsidTr="00641B35">
        <w:trPr>
          <w:trHeight w:val="1042"/>
        </w:trPr>
        <w:tc>
          <w:tcPr>
            <w:tcW w:w="1129" w:type="dxa"/>
            <w:vMerge w:val="restart"/>
          </w:tcPr>
          <w:p w14:paraId="7DF835F6" w14:textId="77777777" w:rsidR="009B0BE3" w:rsidRPr="00F5382B" w:rsidRDefault="009B0BE3" w:rsidP="009B0BE3">
            <w:pPr>
              <w:rPr>
                <w:noProof/>
              </w:rPr>
            </w:pPr>
            <w:r w:rsidRPr="00F5382B">
              <w:rPr>
                <w:noProof/>
              </w:rPr>
              <w:t>(C)(5)</w:t>
            </w:r>
          </w:p>
        </w:tc>
        <w:tc>
          <w:tcPr>
            <w:tcW w:w="3261" w:type="dxa"/>
            <w:vMerge w:val="restart"/>
          </w:tcPr>
          <w:p w14:paraId="725B9591" w14:textId="58626CEF" w:rsidR="009B0BE3" w:rsidRPr="00F5382B" w:rsidRDefault="009B0BE3" w:rsidP="009B0BE3">
            <w:pPr>
              <w:rPr>
                <w:noProof/>
              </w:rPr>
            </w:pPr>
            <w:r w:rsidRPr="00F5382B">
              <w:rPr>
                <w:noProof/>
              </w:rPr>
              <w:t>The report should better explain how the proposed ICT supply chain security framework will be rolled out and the form of the subsequent impact assessments</w:t>
            </w:r>
            <w:r>
              <w:rPr>
                <w:noProof/>
              </w:rPr>
              <w:t xml:space="preserve"> </w:t>
            </w:r>
            <w:r w:rsidRPr="00F5382B">
              <w:rPr>
                <w:noProof/>
              </w:rPr>
              <w:t>for the sectors in scope of the framework respecting the Better Regulation guidelines and toolbox.</w:t>
            </w:r>
          </w:p>
        </w:tc>
        <w:tc>
          <w:tcPr>
            <w:tcW w:w="1701" w:type="dxa"/>
          </w:tcPr>
          <w:p w14:paraId="3E85C2C7" w14:textId="696AD7B0" w:rsidR="009B0BE3" w:rsidRPr="00F5382B" w:rsidRDefault="009B0BE3" w:rsidP="009B0BE3">
            <w:pPr>
              <w:rPr>
                <w:noProof/>
              </w:rPr>
            </w:pPr>
            <w:r w:rsidRPr="00F5382B">
              <w:rPr>
                <w:noProof/>
              </w:rPr>
              <w:t>Section 4.2 specific objectives</w:t>
            </w:r>
          </w:p>
        </w:tc>
        <w:tc>
          <w:tcPr>
            <w:tcW w:w="3495" w:type="dxa"/>
          </w:tcPr>
          <w:p w14:paraId="2C8E23BC" w14:textId="42E175AC" w:rsidR="009B0BE3" w:rsidRPr="00F5382B" w:rsidRDefault="009B0BE3" w:rsidP="009B0BE3">
            <w:pPr>
              <w:rPr>
                <w:noProof/>
              </w:rPr>
            </w:pPr>
            <w:r w:rsidRPr="00F5382B">
              <w:rPr>
                <w:noProof/>
              </w:rPr>
              <w:t>Specific objective 5 updated</w:t>
            </w:r>
          </w:p>
        </w:tc>
      </w:tr>
      <w:tr w:rsidR="009B0BE3" w:rsidRPr="00F5382B" w14:paraId="508463C7" w14:textId="77777777" w:rsidTr="00641B35">
        <w:trPr>
          <w:trHeight w:val="1042"/>
        </w:trPr>
        <w:tc>
          <w:tcPr>
            <w:tcW w:w="1129" w:type="dxa"/>
            <w:vMerge/>
          </w:tcPr>
          <w:p w14:paraId="3FBF8C27" w14:textId="77777777" w:rsidR="009B0BE3" w:rsidRPr="00F5382B" w:rsidRDefault="009B0BE3" w:rsidP="009B0BE3">
            <w:pPr>
              <w:rPr>
                <w:noProof/>
              </w:rPr>
            </w:pPr>
          </w:p>
        </w:tc>
        <w:tc>
          <w:tcPr>
            <w:tcW w:w="3261" w:type="dxa"/>
            <w:vMerge/>
          </w:tcPr>
          <w:p w14:paraId="32707F8C" w14:textId="77777777" w:rsidR="009B0BE3" w:rsidRPr="00F5382B" w:rsidRDefault="009B0BE3" w:rsidP="009B0BE3">
            <w:pPr>
              <w:rPr>
                <w:noProof/>
              </w:rPr>
            </w:pPr>
          </w:p>
        </w:tc>
        <w:tc>
          <w:tcPr>
            <w:tcW w:w="1701" w:type="dxa"/>
          </w:tcPr>
          <w:p w14:paraId="20D9F8D3" w14:textId="5E6C0F30" w:rsidR="009B0BE3" w:rsidRPr="00F5382B" w:rsidRDefault="009B0BE3" w:rsidP="009B0BE3">
            <w:pPr>
              <w:rPr>
                <w:noProof/>
              </w:rPr>
            </w:pPr>
            <w:r w:rsidRPr="00F5382B">
              <w:rPr>
                <w:noProof/>
              </w:rPr>
              <w:t>Section 5.2.2 option D.3</w:t>
            </w:r>
          </w:p>
        </w:tc>
        <w:tc>
          <w:tcPr>
            <w:tcW w:w="3495" w:type="dxa"/>
          </w:tcPr>
          <w:p w14:paraId="652B7DC2" w14:textId="728F9E1E" w:rsidR="009B0BE3" w:rsidRPr="00F5382B" w:rsidRDefault="009B0BE3" w:rsidP="009B0BE3">
            <w:pPr>
              <w:rPr>
                <w:noProof/>
              </w:rPr>
            </w:pPr>
            <w:r w:rsidRPr="00F5382B">
              <w:rPr>
                <w:noProof/>
              </w:rPr>
              <w:t xml:space="preserve">Further clarifications were included regarding the description of the framework and how the framework could be initiated and roll-out, including </w:t>
            </w:r>
          </w:p>
        </w:tc>
      </w:tr>
      <w:tr w:rsidR="009B0BE3" w:rsidRPr="00F5382B" w14:paraId="15720823" w14:textId="77777777" w:rsidTr="00641B35">
        <w:trPr>
          <w:trHeight w:val="9564"/>
        </w:trPr>
        <w:tc>
          <w:tcPr>
            <w:tcW w:w="1129" w:type="dxa"/>
            <w:vMerge w:val="restart"/>
          </w:tcPr>
          <w:p w14:paraId="29176433" w14:textId="77777777" w:rsidR="009B0BE3" w:rsidRPr="00F5382B" w:rsidRDefault="009B0BE3" w:rsidP="009B0BE3">
            <w:pPr>
              <w:rPr>
                <w:noProof/>
              </w:rPr>
            </w:pPr>
            <w:r w:rsidRPr="00F5382B">
              <w:rPr>
                <w:noProof/>
              </w:rPr>
              <w:t>(C)(6)</w:t>
            </w:r>
          </w:p>
          <w:p w14:paraId="5D43642C" w14:textId="56A2CC26" w:rsidR="009B0BE3" w:rsidRPr="00F5382B" w:rsidRDefault="009B0BE3" w:rsidP="009B0BE3">
            <w:pPr>
              <w:rPr>
                <w:noProof/>
              </w:rPr>
            </w:pPr>
          </w:p>
        </w:tc>
        <w:tc>
          <w:tcPr>
            <w:tcW w:w="3261" w:type="dxa"/>
          </w:tcPr>
          <w:p w14:paraId="7AB8C046" w14:textId="77777777" w:rsidR="009B0BE3" w:rsidRPr="00F5382B" w:rsidRDefault="009B0BE3" w:rsidP="009B0BE3">
            <w:pPr>
              <w:rPr>
                <w:noProof/>
              </w:rPr>
            </w:pPr>
            <w:r w:rsidRPr="00F5382B">
              <w:rPr>
                <w:noProof/>
              </w:rPr>
              <w:t xml:space="preserve">The report should further analyse the interlinkages between options on </w:t>
            </w:r>
          </w:p>
          <w:p w14:paraId="1CB53EAF" w14:textId="77777777" w:rsidR="009B0BE3" w:rsidRPr="00F5382B" w:rsidRDefault="009B0BE3" w:rsidP="009B0BE3">
            <w:pPr>
              <w:rPr>
                <w:noProof/>
              </w:rPr>
            </w:pPr>
            <w:r w:rsidRPr="00F5382B">
              <w:rPr>
                <w:noProof/>
              </w:rPr>
              <w:t xml:space="preserve">certification and options for supply chain restrictions, for example if it will be </w:t>
            </w:r>
          </w:p>
          <w:p w14:paraId="70327FC9" w14:textId="77777777" w:rsidR="009B0BE3" w:rsidRPr="00F5382B" w:rsidRDefault="009B0BE3" w:rsidP="009B0BE3">
            <w:pPr>
              <w:rPr>
                <w:noProof/>
              </w:rPr>
            </w:pPr>
            <w:r w:rsidRPr="00F5382B">
              <w:rPr>
                <w:noProof/>
              </w:rPr>
              <w:t xml:space="preserve">possible for companies to avoid the fees and costs associated with certification if </w:t>
            </w:r>
          </w:p>
          <w:p w14:paraId="7D66E630" w14:textId="0CBD7C32" w:rsidR="009B0BE3" w:rsidRPr="00F5382B" w:rsidRDefault="009B0BE3" w:rsidP="009B0BE3">
            <w:pPr>
              <w:rPr>
                <w:noProof/>
              </w:rPr>
            </w:pPr>
            <w:r w:rsidRPr="00F5382B">
              <w:rPr>
                <w:noProof/>
              </w:rPr>
              <w:t>they want to be able to form part of approved supply chains.</w:t>
            </w:r>
          </w:p>
        </w:tc>
        <w:tc>
          <w:tcPr>
            <w:tcW w:w="1701" w:type="dxa"/>
          </w:tcPr>
          <w:p w14:paraId="6F99C974" w14:textId="5C5231E0" w:rsidR="009B0BE3" w:rsidRPr="00F5382B" w:rsidRDefault="009B0BE3" w:rsidP="009B0BE3">
            <w:pPr>
              <w:rPr>
                <w:noProof/>
                <w:lang w:val="en-IE"/>
              </w:rPr>
            </w:pPr>
            <w:r w:rsidRPr="00F5382B">
              <w:rPr>
                <w:noProof/>
                <w:lang w:val="en-IE"/>
              </w:rPr>
              <w:t>Section 5.2.2 option B.1, section 5.2.4 option D.3 and section 5.5</w:t>
            </w:r>
          </w:p>
        </w:tc>
        <w:tc>
          <w:tcPr>
            <w:tcW w:w="3495" w:type="dxa"/>
          </w:tcPr>
          <w:p w14:paraId="79D25774" w14:textId="116FE554" w:rsidR="009B0BE3" w:rsidRPr="00F5382B" w:rsidRDefault="009B0BE3" w:rsidP="009B0BE3">
            <w:pPr>
              <w:rPr>
                <w:noProof/>
              </w:rPr>
            </w:pPr>
            <w:r w:rsidRPr="00F5382B">
              <w:rPr>
                <w:noProof/>
              </w:rPr>
              <w:t>Clarifications were inserted regarding interlinkages between certification and supply chain options, in particular, a clarification was added that an entity does not have to be certify not to be considered a high-risk supplier (certification remains voluntary for options B.1 and B.2).</w:t>
            </w:r>
          </w:p>
        </w:tc>
      </w:tr>
      <w:tr w:rsidR="009B0BE3" w:rsidRPr="00F5382B" w14:paraId="3A0447BF" w14:textId="77777777" w:rsidTr="009B0BE3">
        <w:trPr>
          <w:trHeight w:val="6653"/>
        </w:trPr>
        <w:tc>
          <w:tcPr>
            <w:tcW w:w="1129" w:type="dxa"/>
            <w:vMerge/>
          </w:tcPr>
          <w:p w14:paraId="00682EA9" w14:textId="5B1AAACD" w:rsidR="009B0BE3" w:rsidRPr="00F5382B" w:rsidRDefault="009B0BE3" w:rsidP="009B0BE3">
            <w:pPr>
              <w:rPr>
                <w:noProof/>
              </w:rPr>
            </w:pPr>
          </w:p>
        </w:tc>
        <w:tc>
          <w:tcPr>
            <w:tcW w:w="3261" w:type="dxa"/>
          </w:tcPr>
          <w:p w14:paraId="4AD32078" w14:textId="7E3F47BC" w:rsidR="009B0BE3" w:rsidRPr="00F5382B" w:rsidRDefault="009B0BE3" w:rsidP="009B0BE3">
            <w:pPr>
              <w:rPr>
                <w:noProof/>
              </w:rPr>
            </w:pPr>
            <w:r w:rsidRPr="00F5382B">
              <w:rPr>
                <w:noProof/>
              </w:rPr>
              <w:t>The report should clearly outline the current scope of the tasks of ENISA and the scope of ECCF and better demonstrate any identified gaps.</w:t>
            </w:r>
          </w:p>
        </w:tc>
        <w:tc>
          <w:tcPr>
            <w:tcW w:w="1701" w:type="dxa"/>
          </w:tcPr>
          <w:p w14:paraId="1B12DE6A" w14:textId="77777777" w:rsidR="009B0BE3" w:rsidRPr="00F5382B" w:rsidRDefault="009B0BE3" w:rsidP="009B0BE3">
            <w:pPr>
              <w:rPr>
                <w:noProof/>
                <w:lang w:val="en-IE"/>
              </w:rPr>
            </w:pPr>
            <w:r w:rsidRPr="00F5382B">
              <w:rPr>
                <w:noProof/>
                <w:lang w:val="en-IE"/>
              </w:rPr>
              <w:t>Annex 10, new table</w:t>
            </w:r>
          </w:p>
          <w:p w14:paraId="3DEB4B92" w14:textId="77777777" w:rsidR="009B0BE3" w:rsidRPr="00F5382B" w:rsidRDefault="009B0BE3" w:rsidP="009B0BE3">
            <w:pPr>
              <w:rPr>
                <w:noProof/>
                <w:lang w:val="en-IE"/>
              </w:rPr>
            </w:pPr>
          </w:p>
          <w:p w14:paraId="06BEE953" w14:textId="77777777" w:rsidR="009B0BE3" w:rsidRPr="00F5382B" w:rsidRDefault="009B0BE3" w:rsidP="009B0BE3">
            <w:pPr>
              <w:rPr>
                <w:noProof/>
                <w:lang w:val="en-IE"/>
              </w:rPr>
            </w:pPr>
          </w:p>
          <w:p w14:paraId="6509BAFD" w14:textId="77777777" w:rsidR="009B0BE3" w:rsidRPr="00F5382B" w:rsidRDefault="009B0BE3" w:rsidP="009B0BE3">
            <w:pPr>
              <w:rPr>
                <w:noProof/>
                <w:lang w:val="en-IE"/>
              </w:rPr>
            </w:pPr>
          </w:p>
          <w:p w14:paraId="415771B3" w14:textId="77777777" w:rsidR="009B0BE3" w:rsidRPr="00F5382B" w:rsidRDefault="009B0BE3" w:rsidP="009B0BE3">
            <w:pPr>
              <w:rPr>
                <w:noProof/>
                <w:lang w:val="en-IE"/>
              </w:rPr>
            </w:pPr>
          </w:p>
          <w:p w14:paraId="52B1A82F" w14:textId="77777777" w:rsidR="009B0BE3" w:rsidRPr="00F5382B" w:rsidRDefault="009B0BE3" w:rsidP="009B0BE3">
            <w:pPr>
              <w:rPr>
                <w:noProof/>
                <w:lang w:val="en-IE"/>
              </w:rPr>
            </w:pPr>
          </w:p>
          <w:p w14:paraId="048DE9D8" w14:textId="77777777" w:rsidR="009B0BE3" w:rsidRPr="00F5382B" w:rsidRDefault="009B0BE3" w:rsidP="009B0BE3">
            <w:pPr>
              <w:rPr>
                <w:noProof/>
                <w:lang w:val="en-IE"/>
              </w:rPr>
            </w:pPr>
          </w:p>
          <w:p w14:paraId="5350C3FB" w14:textId="77777777" w:rsidR="009B0BE3" w:rsidRPr="00F5382B" w:rsidRDefault="009B0BE3" w:rsidP="009B0BE3">
            <w:pPr>
              <w:rPr>
                <w:noProof/>
                <w:lang w:val="en-IE"/>
              </w:rPr>
            </w:pPr>
          </w:p>
          <w:p w14:paraId="5C7B5D15" w14:textId="77777777" w:rsidR="009B0BE3" w:rsidRPr="00F5382B" w:rsidRDefault="009B0BE3" w:rsidP="009B0BE3">
            <w:pPr>
              <w:rPr>
                <w:noProof/>
                <w:lang w:val="en-IE"/>
              </w:rPr>
            </w:pPr>
          </w:p>
          <w:p w14:paraId="1C78134E" w14:textId="77777777" w:rsidR="009B0BE3" w:rsidRPr="00F5382B" w:rsidRDefault="009B0BE3" w:rsidP="009B0BE3">
            <w:pPr>
              <w:rPr>
                <w:noProof/>
                <w:lang w:val="en-IE"/>
              </w:rPr>
            </w:pPr>
          </w:p>
          <w:p w14:paraId="0A7AB0A9" w14:textId="45895CF2" w:rsidR="009B0BE3" w:rsidRPr="00F5382B" w:rsidRDefault="009B0BE3" w:rsidP="009B0BE3">
            <w:pPr>
              <w:rPr>
                <w:noProof/>
                <w:lang w:val="en-IE"/>
              </w:rPr>
            </w:pPr>
            <w:r w:rsidRPr="00F5382B">
              <w:rPr>
                <w:noProof/>
                <w:lang w:val="en-IE"/>
              </w:rPr>
              <w:t>Section 5.1</w:t>
            </w:r>
          </w:p>
        </w:tc>
        <w:tc>
          <w:tcPr>
            <w:tcW w:w="3495" w:type="dxa"/>
          </w:tcPr>
          <w:p w14:paraId="09ED42FF" w14:textId="77777777" w:rsidR="009B0BE3" w:rsidRPr="00F5382B" w:rsidRDefault="009B0BE3" w:rsidP="009B0BE3">
            <w:pPr>
              <w:rPr>
                <w:noProof/>
              </w:rPr>
            </w:pPr>
            <w:r w:rsidRPr="00F5382B">
              <w:rPr>
                <w:noProof/>
              </w:rPr>
              <w:t xml:space="preserve">Annex 10 was reviewed to distinguish between the scope of the tasks of ENISA and the scope of the ECCF in the current mandate, leading to two distinct tables: </w:t>
            </w:r>
          </w:p>
          <w:p w14:paraId="6E2FDECA" w14:textId="77777777" w:rsidR="009B0BE3" w:rsidRPr="00F5382B" w:rsidRDefault="009B0BE3" w:rsidP="009B0BE3">
            <w:pPr>
              <w:pStyle w:val="ListParagraph"/>
              <w:numPr>
                <w:ilvl w:val="0"/>
                <w:numId w:val="138"/>
              </w:numPr>
              <w:spacing w:after="0"/>
              <w:jc w:val="left"/>
              <w:rPr>
                <w:noProof/>
              </w:rPr>
            </w:pPr>
            <w:r w:rsidRPr="00F5382B">
              <w:rPr>
                <w:noProof/>
              </w:rPr>
              <w:t>General overview of ENISA’s key stakeholders, their expectations and unmet needs in relation to ENISA’s current tasks</w:t>
            </w:r>
          </w:p>
          <w:p w14:paraId="3D82E764" w14:textId="77777777" w:rsidR="009B0BE3" w:rsidRPr="00F5382B" w:rsidRDefault="009B0BE3" w:rsidP="009B0BE3">
            <w:pPr>
              <w:pStyle w:val="ListParagraph"/>
              <w:numPr>
                <w:ilvl w:val="0"/>
                <w:numId w:val="138"/>
              </w:numPr>
              <w:spacing w:after="0"/>
              <w:jc w:val="left"/>
              <w:rPr>
                <w:noProof/>
              </w:rPr>
            </w:pPr>
            <w:r w:rsidRPr="00F5382B">
              <w:rPr>
                <w:noProof/>
              </w:rPr>
              <w:t>ENISA’s key stakeholders, their expectations and unmet needs in relation to the ECCF</w:t>
            </w:r>
          </w:p>
          <w:p w14:paraId="61F3B27B" w14:textId="77777777" w:rsidR="009B0BE3" w:rsidRPr="00F5382B" w:rsidRDefault="009B0BE3" w:rsidP="009B0BE3">
            <w:pPr>
              <w:rPr>
                <w:noProof/>
              </w:rPr>
            </w:pPr>
          </w:p>
          <w:p w14:paraId="5D12F9A4" w14:textId="77777777" w:rsidR="009B0BE3" w:rsidRPr="00F5382B" w:rsidRDefault="009B0BE3" w:rsidP="009B0BE3">
            <w:pPr>
              <w:rPr>
                <w:noProof/>
              </w:rPr>
            </w:pPr>
          </w:p>
          <w:p w14:paraId="1FD7EF4E" w14:textId="3BFFE411" w:rsidR="009B0BE3" w:rsidRPr="00F5382B" w:rsidRDefault="009B0BE3" w:rsidP="009B0BE3">
            <w:pPr>
              <w:rPr>
                <w:noProof/>
              </w:rPr>
            </w:pPr>
            <w:r w:rsidRPr="00F5382B">
              <w:rPr>
                <w:noProof/>
              </w:rPr>
              <w:t>Further clarifications what is now in the scope of ENISA’s mandate and the ECCF and what are the gaps.</w:t>
            </w:r>
          </w:p>
        </w:tc>
      </w:tr>
      <w:tr w:rsidR="009B0BE3" w:rsidRPr="00F5382B" w14:paraId="161B7FBC" w14:textId="77777777">
        <w:trPr>
          <w:trHeight w:val="300"/>
        </w:trPr>
        <w:tc>
          <w:tcPr>
            <w:tcW w:w="1129" w:type="dxa"/>
            <w:vMerge/>
          </w:tcPr>
          <w:p w14:paraId="3052F9E0" w14:textId="77777777" w:rsidR="009B0BE3" w:rsidRPr="00F5382B" w:rsidRDefault="009B0BE3" w:rsidP="009B0BE3">
            <w:pPr>
              <w:rPr>
                <w:noProof/>
              </w:rPr>
            </w:pPr>
          </w:p>
        </w:tc>
        <w:tc>
          <w:tcPr>
            <w:tcW w:w="3261" w:type="dxa"/>
          </w:tcPr>
          <w:p w14:paraId="7A48CC81" w14:textId="77777777" w:rsidR="009B0BE3" w:rsidRPr="00F5382B" w:rsidRDefault="009B0BE3" w:rsidP="009B0BE3">
            <w:pPr>
              <w:rPr>
                <w:noProof/>
              </w:rPr>
            </w:pPr>
            <w:r w:rsidRPr="00F5382B">
              <w:rPr>
                <w:noProof/>
              </w:rPr>
              <w:t xml:space="preserve">The report should better distinguish </w:t>
            </w:r>
          </w:p>
          <w:p w14:paraId="55DA71AA" w14:textId="77777777" w:rsidR="009B0BE3" w:rsidRPr="00F5382B" w:rsidRDefault="009B0BE3" w:rsidP="009B0BE3">
            <w:pPr>
              <w:rPr>
                <w:noProof/>
              </w:rPr>
            </w:pPr>
            <w:r w:rsidRPr="00F5382B">
              <w:rPr>
                <w:noProof/>
              </w:rPr>
              <w:t xml:space="preserve">problem drivers related to the implementation and management from those related </w:t>
            </w:r>
          </w:p>
          <w:p w14:paraId="384769E4" w14:textId="77777777" w:rsidR="009B0BE3" w:rsidRPr="00F5382B" w:rsidRDefault="009B0BE3" w:rsidP="009B0BE3">
            <w:pPr>
              <w:rPr>
                <w:noProof/>
              </w:rPr>
            </w:pPr>
            <w:r w:rsidRPr="00F5382B">
              <w:rPr>
                <w:noProof/>
              </w:rPr>
              <w:t>to the scope.</w:t>
            </w:r>
          </w:p>
        </w:tc>
        <w:tc>
          <w:tcPr>
            <w:tcW w:w="1701" w:type="dxa"/>
          </w:tcPr>
          <w:p w14:paraId="26B60F38" w14:textId="77777777" w:rsidR="009B0BE3" w:rsidRPr="00F5382B" w:rsidRDefault="009B0BE3" w:rsidP="009B0BE3">
            <w:pPr>
              <w:rPr>
                <w:noProof/>
                <w:lang w:val="en-IE"/>
              </w:rPr>
            </w:pPr>
            <w:r w:rsidRPr="00F5382B">
              <w:rPr>
                <w:noProof/>
                <w:lang w:val="en-IE"/>
              </w:rPr>
              <w:t>Section 2.2, new table</w:t>
            </w:r>
          </w:p>
        </w:tc>
        <w:tc>
          <w:tcPr>
            <w:tcW w:w="3495" w:type="dxa"/>
          </w:tcPr>
          <w:p w14:paraId="3172A472" w14:textId="77777777" w:rsidR="009B0BE3" w:rsidRPr="00F5382B" w:rsidRDefault="009B0BE3" w:rsidP="009B0BE3">
            <w:pPr>
              <w:rPr>
                <w:noProof/>
              </w:rPr>
            </w:pPr>
            <w:r w:rsidRPr="00F5382B">
              <w:rPr>
                <w:noProof/>
              </w:rPr>
              <w:t>Elements of the drivers were identified and divided into two categories: “scope”  and “implementation and management”, reflected in a new table</w:t>
            </w:r>
          </w:p>
        </w:tc>
      </w:tr>
      <w:tr w:rsidR="009B0BE3" w:rsidRPr="00F5382B" w14:paraId="75A2CB72" w14:textId="77777777">
        <w:trPr>
          <w:trHeight w:val="300"/>
        </w:trPr>
        <w:tc>
          <w:tcPr>
            <w:tcW w:w="1129" w:type="dxa"/>
          </w:tcPr>
          <w:p w14:paraId="38000C5D" w14:textId="77777777" w:rsidR="009B0BE3" w:rsidRPr="00F5382B" w:rsidRDefault="009B0BE3" w:rsidP="009B0BE3">
            <w:pPr>
              <w:rPr>
                <w:noProof/>
              </w:rPr>
            </w:pPr>
            <w:r w:rsidRPr="00F5382B">
              <w:rPr>
                <w:noProof/>
              </w:rPr>
              <w:t>(C)(7)</w:t>
            </w:r>
          </w:p>
        </w:tc>
        <w:tc>
          <w:tcPr>
            <w:tcW w:w="3261" w:type="dxa"/>
          </w:tcPr>
          <w:p w14:paraId="74E7270B" w14:textId="77777777" w:rsidR="009B0BE3" w:rsidRPr="00F5382B" w:rsidRDefault="009B0BE3" w:rsidP="009B0BE3">
            <w:pPr>
              <w:rPr>
                <w:noProof/>
              </w:rPr>
            </w:pPr>
            <w:r w:rsidRPr="00F5382B">
              <w:rPr>
                <w:noProof/>
              </w:rPr>
              <w:t>The report should analyse the problems, and the problem drivers related to the simplification of NIS2. The report should transparently outline possible measures including changes in the scope and assess how these measures would reduce costs for companies and what the impacts on cybersecurity would be.</w:t>
            </w:r>
          </w:p>
        </w:tc>
        <w:tc>
          <w:tcPr>
            <w:tcW w:w="1701" w:type="dxa"/>
          </w:tcPr>
          <w:p w14:paraId="62D1DA56" w14:textId="77777777" w:rsidR="009B0BE3" w:rsidRPr="00F5382B" w:rsidRDefault="009B0BE3" w:rsidP="009B0BE3">
            <w:pPr>
              <w:rPr>
                <w:noProof/>
              </w:rPr>
            </w:pPr>
            <w:r w:rsidRPr="00F5382B">
              <w:rPr>
                <w:noProof/>
              </w:rPr>
              <w:t>Sections 2.1.3, 2.2.8, 6.2.2</w:t>
            </w:r>
          </w:p>
        </w:tc>
        <w:tc>
          <w:tcPr>
            <w:tcW w:w="3495" w:type="dxa"/>
          </w:tcPr>
          <w:p w14:paraId="27B21380" w14:textId="77777777" w:rsidR="009B0BE3" w:rsidRPr="00F5382B" w:rsidRDefault="009B0BE3" w:rsidP="009B0BE3">
            <w:pPr>
              <w:rPr>
                <w:noProof/>
              </w:rPr>
            </w:pPr>
            <w:r w:rsidRPr="00F5382B">
              <w:rPr>
                <w:noProof/>
              </w:rPr>
              <w:t>Added analysis of issues around NIS2 scope in the explanation of the problem and the problem driver. Added explanation on the resilience implications of adjusting NIS2 scope in section 6.2.2.</w:t>
            </w:r>
          </w:p>
        </w:tc>
      </w:tr>
      <w:tr w:rsidR="009B0BE3" w:rsidRPr="00F5382B" w14:paraId="24962A22" w14:textId="77777777">
        <w:trPr>
          <w:trHeight w:val="300"/>
        </w:trPr>
        <w:tc>
          <w:tcPr>
            <w:tcW w:w="1129" w:type="dxa"/>
          </w:tcPr>
          <w:p w14:paraId="0163CC3B" w14:textId="77777777" w:rsidR="009B0BE3" w:rsidRPr="00F5382B" w:rsidRDefault="009B0BE3" w:rsidP="009B0BE3">
            <w:pPr>
              <w:rPr>
                <w:noProof/>
              </w:rPr>
            </w:pPr>
            <w:r w:rsidRPr="00F5382B">
              <w:rPr>
                <w:noProof/>
              </w:rPr>
              <w:t>(C)(8)</w:t>
            </w:r>
          </w:p>
        </w:tc>
        <w:tc>
          <w:tcPr>
            <w:tcW w:w="3261" w:type="dxa"/>
          </w:tcPr>
          <w:p w14:paraId="6C9E91A1" w14:textId="77777777" w:rsidR="009B0BE3" w:rsidRPr="00F5382B" w:rsidRDefault="009B0BE3" w:rsidP="009B0BE3">
            <w:pPr>
              <w:rPr>
                <w:noProof/>
              </w:rPr>
            </w:pPr>
            <w:r w:rsidRPr="00F5382B">
              <w:rPr>
                <w:noProof/>
              </w:rPr>
              <w:t>The report should further address the most significant gaps concerning administrative costs and cost savings, ensuring comprehensive coverage beyond businesses. Transparent classification is needed, distinguishing between compliance and administrative costs. All costs should be categorised in a comparative manner, respecting distinctions between one-off/recurring and annual/over 5 years costs.</w:t>
            </w:r>
          </w:p>
        </w:tc>
        <w:tc>
          <w:tcPr>
            <w:tcW w:w="1701" w:type="dxa"/>
          </w:tcPr>
          <w:p w14:paraId="1A45AF0C" w14:textId="77777777" w:rsidR="009B0BE3" w:rsidRPr="00F5382B" w:rsidRDefault="009B0BE3" w:rsidP="009B0BE3">
            <w:pPr>
              <w:rPr>
                <w:noProof/>
              </w:rPr>
            </w:pPr>
            <w:r w:rsidRPr="00F5382B">
              <w:rPr>
                <w:noProof/>
              </w:rPr>
              <w:t>6.1.1.3; Annex 3 section 5</w:t>
            </w:r>
          </w:p>
          <w:p w14:paraId="7E593167" w14:textId="77777777" w:rsidR="009B0BE3" w:rsidRPr="00F5382B" w:rsidRDefault="009B0BE3" w:rsidP="009B0BE3">
            <w:pPr>
              <w:rPr>
                <w:noProof/>
              </w:rPr>
            </w:pPr>
          </w:p>
          <w:p w14:paraId="3EC938A6" w14:textId="77777777" w:rsidR="009B0BE3" w:rsidRPr="00F5382B" w:rsidRDefault="009B0BE3" w:rsidP="009B0BE3">
            <w:pPr>
              <w:rPr>
                <w:noProof/>
              </w:rPr>
            </w:pPr>
          </w:p>
          <w:p w14:paraId="488F1870" w14:textId="77777777" w:rsidR="009B0BE3" w:rsidRPr="00F5382B" w:rsidRDefault="009B0BE3" w:rsidP="009B0BE3">
            <w:pPr>
              <w:rPr>
                <w:noProof/>
              </w:rPr>
            </w:pPr>
          </w:p>
          <w:p w14:paraId="6044DBBD" w14:textId="77777777" w:rsidR="009B0BE3" w:rsidRPr="00F5382B" w:rsidRDefault="009B0BE3" w:rsidP="009B0BE3">
            <w:pPr>
              <w:rPr>
                <w:noProof/>
              </w:rPr>
            </w:pPr>
            <w:r w:rsidRPr="00F5382B">
              <w:rPr>
                <w:noProof/>
              </w:rPr>
              <w:t>Section 8.3.</w:t>
            </w:r>
          </w:p>
          <w:p w14:paraId="4CAECF5B" w14:textId="77777777" w:rsidR="009B0BE3" w:rsidRPr="00F5382B" w:rsidRDefault="009B0BE3" w:rsidP="009B0BE3">
            <w:pPr>
              <w:rPr>
                <w:noProof/>
              </w:rPr>
            </w:pPr>
          </w:p>
          <w:p w14:paraId="6955ACE6" w14:textId="77777777" w:rsidR="009B0BE3" w:rsidRPr="00F5382B" w:rsidRDefault="009B0BE3" w:rsidP="009B0BE3">
            <w:pPr>
              <w:rPr>
                <w:noProof/>
              </w:rPr>
            </w:pPr>
          </w:p>
          <w:p w14:paraId="55D02426" w14:textId="77777777" w:rsidR="009B0BE3" w:rsidRDefault="009B0BE3" w:rsidP="009B0BE3">
            <w:pPr>
              <w:rPr>
                <w:noProof/>
              </w:rPr>
            </w:pPr>
          </w:p>
          <w:p w14:paraId="0FACCCB7" w14:textId="5AC86B7B" w:rsidR="009B0BE3" w:rsidRPr="00F5382B" w:rsidRDefault="009B0BE3" w:rsidP="009B0BE3">
            <w:pPr>
              <w:rPr>
                <w:noProof/>
              </w:rPr>
            </w:pPr>
            <w:r w:rsidRPr="00F5382B">
              <w:rPr>
                <w:noProof/>
              </w:rPr>
              <w:t xml:space="preserve">Section 6.1.1. </w:t>
            </w:r>
          </w:p>
        </w:tc>
        <w:tc>
          <w:tcPr>
            <w:tcW w:w="3495" w:type="dxa"/>
          </w:tcPr>
          <w:p w14:paraId="733640AD" w14:textId="77777777" w:rsidR="009B0BE3" w:rsidRPr="00F5382B" w:rsidRDefault="009B0BE3" w:rsidP="009B0BE3">
            <w:pPr>
              <w:rPr>
                <w:noProof/>
              </w:rPr>
            </w:pPr>
            <w:r w:rsidRPr="00F5382B">
              <w:rPr>
                <w:noProof/>
              </w:rPr>
              <w:t xml:space="preserve">Clarifications were added to indicate which cost savings arising from Option C.2 are interpreted as administrative costs. </w:t>
            </w:r>
          </w:p>
          <w:p w14:paraId="035C0F88" w14:textId="77777777" w:rsidR="009B0BE3" w:rsidRPr="00F5382B" w:rsidRDefault="009B0BE3" w:rsidP="009B0BE3">
            <w:pPr>
              <w:rPr>
                <w:noProof/>
              </w:rPr>
            </w:pPr>
          </w:p>
          <w:p w14:paraId="7DCC906C" w14:textId="188BD61D" w:rsidR="009B0BE3" w:rsidRPr="00F5382B" w:rsidRDefault="009B0BE3" w:rsidP="009B0BE3">
            <w:pPr>
              <w:rPr>
                <w:noProof/>
              </w:rPr>
            </w:pPr>
            <w:r w:rsidRPr="00F5382B">
              <w:rPr>
                <w:noProof/>
              </w:rPr>
              <w:t xml:space="preserve">Accordingly, the ‘one-in-one-out’ calculations have been reviewed. The impact on public authorities and citizens has been made explicit. </w:t>
            </w:r>
          </w:p>
          <w:p w14:paraId="2BCD6C08" w14:textId="77777777" w:rsidR="009B0BE3" w:rsidRPr="00F5382B" w:rsidRDefault="009B0BE3" w:rsidP="009B0BE3">
            <w:pPr>
              <w:rPr>
                <w:noProof/>
              </w:rPr>
            </w:pPr>
          </w:p>
          <w:p w14:paraId="02B63EDC" w14:textId="2E85CEAE" w:rsidR="009B0BE3" w:rsidRPr="00F5382B" w:rsidRDefault="009B0BE3" w:rsidP="009B0BE3">
            <w:pPr>
              <w:rPr>
                <w:noProof/>
              </w:rPr>
            </w:pPr>
            <w:r w:rsidRPr="00F5382B">
              <w:rPr>
                <w:noProof/>
              </w:rPr>
              <w:t xml:space="preserve">The classification of costs has been reviewed throughout the document to ensure a transparency classification following the Better Regulation Toolbox #56. </w:t>
            </w:r>
          </w:p>
        </w:tc>
      </w:tr>
      <w:tr w:rsidR="009B0BE3" w:rsidRPr="00F5382B" w14:paraId="07C783C4" w14:textId="77777777">
        <w:trPr>
          <w:trHeight w:val="300"/>
        </w:trPr>
        <w:tc>
          <w:tcPr>
            <w:tcW w:w="1129" w:type="dxa"/>
          </w:tcPr>
          <w:p w14:paraId="2FDB1446" w14:textId="77777777" w:rsidR="009B0BE3" w:rsidRPr="00F5382B" w:rsidRDefault="009B0BE3" w:rsidP="009B0BE3">
            <w:pPr>
              <w:rPr>
                <w:noProof/>
              </w:rPr>
            </w:pPr>
            <w:r w:rsidRPr="00F5382B">
              <w:rPr>
                <w:noProof/>
              </w:rPr>
              <w:t>(C)(9)</w:t>
            </w:r>
          </w:p>
        </w:tc>
        <w:tc>
          <w:tcPr>
            <w:tcW w:w="3261" w:type="dxa"/>
          </w:tcPr>
          <w:p w14:paraId="02A59B93" w14:textId="77777777" w:rsidR="009B0BE3" w:rsidRPr="00F5382B" w:rsidRDefault="009B0BE3" w:rsidP="009B0BE3">
            <w:pPr>
              <w:rPr>
                <w:noProof/>
              </w:rPr>
            </w:pPr>
            <w:r w:rsidRPr="00F5382B">
              <w:rPr>
                <w:noProof/>
              </w:rPr>
              <w:t>The report should be reduced in length, avoiding repetitions, in line with better regulation requirements.</w:t>
            </w:r>
          </w:p>
        </w:tc>
        <w:tc>
          <w:tcPr>
            <w:tcW w:w="1701" w:type="dxa"/>
          </w:tcPr>
          <w:p w14:paraId="264DF739" w14:textId="77777777" w:rsidR="009B0BE3" w:rsidRPr="00F5382B" w:rsidRDefault="009B0BE3" w:rsidP="009B0BE3">
            <w:pPr>
              <w:rPr>
                <w:noProof/>
              </w:rPr>
            </w:pPr>
          </w:p>
        </w:tc>
        <w:tc>
          <w:tcPr>
            <w:tcW w:w="3495" w:type="dxa"/>
          </w:tcPr>
          <w:p w14:paraId="18120E9E" w14:textId="7B31896E" w:rsidR="009B0BE3" w:rsidRPr="00F5382B" w:rsidRDefault="009B0BE3" w:rsidP="009B0BE3">
            <w:pPr>
              <w:rPr>
                <w:noProof/>
              </w:rPr>
            </w:pPr>
            <w:r w:rsidRPr="00D35EB7">
              <w:rPr>
                <w:noProof/>
              </w:rPr>
              <w:t xml:space="preserve">The overall report has been reviewed in view of possible shortening of the text.  </w:t>
            </w:r>
          </w:p>
        </w:tc>
      </w:tr>
    </w:tbl>
    <w:p w14:paraId="0C16AACE" w14:textId="77777777" w:rsidR="00EE3DF9" w:rsidRPr="00F5382B" w:rsidRDefault="00EE3DF9" w:rsidP="00EE3DF9">
      <w:pPr>
        <w:rPr>
          <w:noProof/>
        </w:rPr>
      </w:pPr>
    </w:p>
    <w:p w14:paraId="7B112F09" w14:textId="77777777" w:rsidR="00EE3DF9" w:rsidRPr="00F5382B" w:rsidRDefault="00EE3DF9" w:rsidP="00EE3DF9">
      <w:pPr>
        <w:numPr>
          <w:ilvl w:val="0"/>
          <w:numId w:val="53"/>
        </w:numPr>
        <w:spacing w:after="120"/>
        <w:ind w:left="1077" w:hanging="357"/>
        <w:textAlignment w:val="baseline"/>
        <w:rPr>
          <w:noProof/>
          <w:lang w:eastAsia="en-IE"/>
        </w:rPr>
      </w:pPr>
      <w:bookmarkStart w:id="173" w:name="_Toc471997758"/>
      <w:bookmarkStart w:id="174" w:name="_Toc195101104"/>
      <w:bookmarkStart w:id="175" w:name="_Toc207027972"/>
      <w:r w:rsidRPr="00F5382B">
        <w:rPr>
          <w:rFonts w:eastAsia="Times New Roman"/>
          <w:b/>
          <w:smallCaps/>
          <w:noProof/>
          <w:lang w:eastAsia="en-IE"/>
        </w:rPr>
        <w:t>Evidence, sources and quality</w:t>
      </w:r>
      <w:bookmarkEnd w:id="173"/>
      <w:bookmarkEnd w:id="174"/>
      <w:bookmarkEnd w:id="175"/>
    </w:p>
    <w:p w14:paraId="5D467649"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 xml:space="preserve">The Commission carried out an extensive consultation in preparation of this Impact Assessment report. It benefited from preparatory activities conducted in 2024 in the framework of </w:t>
      </w:r>
      <w:r w:rsidRPr="00F5382B">
        <w:rPr>
          <w:noProof/>
        </w:rPr>
        <w:t>the Evaluation of European Union Agency for Cybersecurity (ENISA) and the European Cybersecurity Certification Framework</w:t>
      </w:r>
      <w:r w:rsidRPr="00F5382B">
        <w:rPr>
          <w:rStyle w:val="FootnoteReference"/>
          <w:noProof/>
        </w:rPr>
        <w:footnoteReference w:id="182"/>
      </w:r>
      <w:r w:rsidRPr="00F5382B">
        <w:rPr>
          <w:noProof/>
        </w:rPr>
        <w:t>.</w:t>
      </w:r>
    </w:p>
    <w:p w14:paraId="7334BED6"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 xml:space="preserve">To collect evidence and different insights to support the revision of the Cybersecurity Act, the Commission conducted the public consultation </w:t>
      </w:r>
      <w:r w:rsidRPr="00F5382B">
        <w:rPr>
          <w:rFonts w:eastAsia="Times New Roman"/>
          <w:noProof/>
          <w:color w:val="000000" w:themeColor="text1"/>
        </w:rPr>
        <w:t xml:space="preserve">aimed at collecting perspectives from different stakeholders and collected the feedback through the Call for Evidence. </w:t>
      </w:r>
      <w:r w:rsidRPr="00F5382B">
        <w:rPr>
          <w:rFonts w:eastAsia="Times New Roman"/>
          <w:noProof/>
          <w:color w:val="000000" w:themeColor="text1"/>
          <w:lang w:val="en-US"/>
        </w:rPr>
        <w:t xml:space="preserve">To ensure a comprehensive level of coherence and comparability of analysis and assess potential policy approaches, the Commission also conducted targeted consultation. These series of structured interviews were conducted with selected stakeholders ranging from ENISA representatives, public authorities to certification experts, and delved deeper on more technical or strategic issues. </w:t>
      </w:r>
      <w:r w:rsidRPr="00F5382B">
        <w:rPr>
          <w:rFonts w:eastAsia="Times New Roman"/>
          <w:noProof/>
          <w:color w:val="000000" w:themeColor="text1"/>
          <w:lang w:val="en-IE"/>
        </w:rPr>
        <w:t>To guarantee that the analysis of the policy options benefits from the contributions of other institutional stakeholders and more accurately reflects the perspectives of Member States</w:t>
      </w:r>
      <w:r w:rsidRPr="00F5382B">
        <w:rPr>
          <w:rFonts w:eastAsia="Times New Roman"/>
          <w:noProof/>
          <w:color w:val="000000" w:themeColor="text1"/>
          <w:lang w:val="en-US"/>
        </w:rPr>
        <w:t xml:space="preserve">, the Commission also collected evidence stemming from high-level discussions </w:t>
      </w:r>
      <w:r w:rsidRPr="00F5382B">
        <w:rPr>
          <w:rFonts w:eastAsia="Times New Roman"/>
          <w:noProof/>
          <w:color w:val="000000" w:themeColor="text1"/>
        </w:rPr>
        <w:t>held with Member States representatives, in particular within the working party of the Council of the EU, in the NIS Cooperation Group and within the ECCG.</w:t>
      </w:r>
    </w:p>
    <w:p w14:paraId="4989FC4C"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 xml:space="preserve">In addition to the Commission’s public consultation and feedback on the Call for Evidence, extensive desk research was conducted, covering a wide spectrum of policy studies and reports. They have been quoted in the main body of the Impact Assessment. </w:t>
      </w:r>
    </w:p>
    <w:p w14:paraId="4DA0C075" w14:textId="77777777" w:rsidR="00EE3DF9" w:rsidRPr="00F5382B" w:rsidRDefault="00EE3DF9" w:rsidP="00EE3DF9">
      <w:pPr>
        <w:ind w:left="50"/>
        <w:rPr>
          <w:rFonts w:eastAsia="Times New Roman"/>
          <w:noProof/>
          <w:color w:val="000000" w:themeColor="text1"/>
        </w:rPr>
      </w:pPr>
      <w:r w:rsidRPr="00F5382B">
        <w:rPr>
          <w:rFonts w:eastAsia="Times New Roman"/>
          <w:noProof/>
          <w:color w:val="000000" w:themeColor="text1"/>
          <w:lang w:val="en-US"/>
        </w:rPr>
        <w:t xml:space="preserve">The quality of the analytical methods is detailed in </w:t>
      </w:r>
      <w:r w:rsidRPr="00F5382B">
        <w:rPr>
          <w:rFonts w:eastAsia="Times New Roman"/>
          <w:i/>
          <w:iCs/>
          <w:noProof/>
          <w:color w:val="000000" w:themeColor="text1"/>
          <w:lang w:val="en-US"/>
        </w:rPr>
        <w:t>Annex 4</w:t>
      </w:r>
      <w:r w:rsidRPr="00F5382B">
        <w:rPr>
          <w:rFonts w:eastAsia="Times New Roman"/>
          <w:noProof/>
          <w:color w:val="000000" w:themeColor="text1"/>
          <w:lang w:val="en-US"/>
        </w:rPr>
        <w:t>.</w:t>
      </w:r>
    </w:p>
    <w:p w14:paraId="2B0421F8" w14:textId="77777777" w:rsidR="00EE3DF9" w:rsidRPr="00F5382B" w:rsidRDefault="00EE3DF9" w:rsidP="00EE3DF9">
      <w:pPr>
        <w:rPr>
          <w:rFonts w:eastAsia="Times New Roman"/>
          <w:noProof/>
          <w:szCs w:val="20"/>
        </w:rPr>
      </w:pPr>
      <w:r w:rsidRPr="00F5382B">
        <w:rPr>
          <w:noProof/>
        </w:rPr>
        <w:br w:type="page"/>
      </w:r>
    </w:p>
    <w:p w14:paraId="5897FC49" w14:textId="77777777" w:rsidR="00EE3DF9" w:rsidRPr="00F5382B" w:rsidRDefault="00EE3DF9" w:rsidP="00EE3DF9">
      <w:pPr>
        <w:pStyle w:val="AnnexTitle0"/>
        <w:rPr>
          <w:noProof/>
        </w:rPr>
      </w:pPr>
      <w:bookmarkStart w:id="176" w:name="_Toc195101105"/>
      <w:bookmarkStart w:id="177" w:name="_Toc207027973"/>
      <w:bookmarkStart w:id="178" w:name="_Toc324123004"/>
      <w:bookmarkStart w:id="179" w:name="_Toc218767782"/>
      <w:bookmarkStart w:id="180" w:name="_Toc219039494"/>
      <w:bookmarkStart w:id="181" w:name="_Toc219447393"/>
      <w:r w:rsidRPr="00F5382B">
        <w:rPr>
          <w:noProof/>
        </w:rPr>
        <w:t>Annex 2: Stakeholder consultation (Synopsis report)</w:t>
      </w:r>
      <w:bookmarkEnd w:id="176"/>
      <w:r w:rsidRPr="00F5382B">
        <w:rPr>
          <w:rStyle w:val="FootnoteReference"/>
          <w:noProof/>
        </w:rPr>
        <w:footnoteReference w:id="183"/>
      </w:r>
      <w:bookmarkEnd w:id="177"/>
      <w:bookmarkEnd w:id="178"/>
      <w:bookmarkEnd w:id="179"/>
      <w:bookmarkEnd w:id="180"/>
      <w:bookmarkEnd w:id="181"/>
    </w:p>
    <w:p w14:paraId="59B66A83" w14:textId="77777777" w:rsidR="00EE3DF9" w:rsidRPr="00F5382B" w:rsidRDefault="00EE3DF9" w:rsidP="00D52AD8">
      <w:pPr>
        <w:numPr>
          <w:ilvl w:val="0"/>
          <w:numId w:val="109"/>
        </w:numPr>
        <w:spacing w:after="120"/>
        <w:textAlignment w:val="baseline"/>
        <w:rPr>
          <w:rFonts w:eastAsia="Times New Roman"/>
          <w:b/>
          <w:smallCaps/>
          <w:noProof/>
          <w:lang w:eastAsia="en-IE"/>
        </w:rPr>
      </w:pPr>
      <w:r w:rsidRPr="00F5382B">
        <w:rPr>
          <w:rFonts w:eastAsia="Times New Roman"/>
          <w:b/>
          <w:smallCaps/>
          <w:noProof/>
          <w:lang w:eastAsia="en-IE"/>
        </w:rPr>
        <w:t>Consultation scope and objectives  </w:t>
      </w:r>
    </w:p>
    <w:p w14:paraId="4621164E" w14:textId="77777777" w:rsidR="00EE3DF9" w:rsidRPr="00F5382B" w:rsidRDefault="00EE3DF9" w:rsidP="00EE3DF9">
      <w:pPr>
        <w:textAlignment w:val="baseline"/>
        <w:rPr>
          <w:noProof/>
          <w:lang w:val="en-IE"/>
        </w:rPr>
      </w:pPr>
      <w:r w:rsidRPr="00F5382B">
        <w:rPr>
          <w:noProof/>
        </w:rPr>
        <w:t>The stakeholder consultation supported the revision of the Cybersecurity Act by gathering evidence and practical insights from those affected. It contributed to the impact assessment by refining the problem definition, objectives, and policy options, and explored perceptions of the current framework, implementation challenges, and possible improvements.</w:t>
      </w:r>
      <w:r w:rsidRPr="00F5382B">
        <w:rPr>
          <w:noProof/>
          <w:lang w:val="en-IE"/>
        </w:rPr>
        <w:t> </w:t>
      </w:r>
    </w:p>
    <w:p w14:paraId="7E618BB1" w14:textId="77777777" w:rsidR="00EE3DF9" w:rsidRPr="00F5382B" w:rsidRDefault="00EE3DF9" w:rsidP="00EE3DF9">
      <w:pPr>
        <w:textAlignment w:val="baseline"/>
        <w:rPr>
          <w:noProof/>
        </w:rPr>
      </w:pPr>
      <w:r w:rsidRPr="00F5382B">
        <w:rPr>
          <w:noProof/>
        </w:rPr>
        <w:t>The consultation focused on five core areas identified as central to the future functioning and coherence of the EU cybersecurity framework:  </w:t>
      </w:r>
    </w:p>
    <w:p w14:paraId="7F3911F0" w14:textId="77777777" w:rsidR="00EE3DF9" w:rsidRPr="00F5382B" w:rsidRDefault="00EE3DF9" w:rsidP="00D52AD8">
      <w:pPr>
        <w:numPr>
          <w:ilvl w:val="0"/>
          <w:numId w:val="59"/>
        </w:numPr>
        <w:textAlignment w:val="baseline"/>
        <w:rPr>
          <w:noProof/>
          <w:lang w:val="en-IE"/>
        </w:rPr>
      </w:pPr>
      <w:r w:rsidRPr="00F5382B">
        <w:rPr>
          <w:noProof/>
          <w:lang w:val="en-IE"/>
        </w:rPr>
        <w:t> </w:t>
      </w:r>
      <w:r w:rsidRPr="00F5382B">
        <w:rPr>
          <w:b/>
          <w:bCs/>
          <w:noProof/>
          <w:lang w:val="en-IE"/>
        </w:rPr>
        <w:t>ENISA’s mandate and operational role</w:t>
      </w:r>
      <w:r w:rsidRPr="00F5382B">
        <w:rPr>
          <w:noProof/>
          <w:lang w:val="en-IE"/>
        </w:rPr>
        <w:t>, including support for Member States and expertise in emerging technologies. </w:t>
      </w:r>
    </w:p>
    <w:p w14:paraId="4B722224" w14:textId="77777777" w:rsidR="00EE3DF9" w:rsidRPr="00F5382B" w:rsidRDefault="00EE3DF9" w:rsidP="00D52AD8">
      <w:pPr>
        <w:numPr>
          <w:ilvl w:val="0"/>
          <w:numId w:val="60"/>
        </w:numPr>
        <w:textAlignment w:val="baseline"/>
        <w:rPr>
          <w:noProof/>
          <w:lang w:val="en-IE"/>
        </w:rPr>
      </w:pPr>
      <w:r w:rsidRPr="00F5382B">
        <w:rPr>
          <w:b/>
          <w:bCs/>
          <w:noProof/>
          <w:lang w:val="en-IE"/>
        </w:rPr>
        <w:t>Effectiveness of the European Cybersecurity Certification Framework (ECCF)</w:t>
      </w:r>
      <w:r w:rsidRPr="00F5382B">
        <w:rPr>
          <w:noProof/>
          <w:lang w:val="en-IE"/>
        </w:rPr>
        <w:t>, including governance and development processes. </w:t>
      </w:r>
    </w:p>
    <w:p w14:paraId="7494A5F4" w14:textId="77777777" w:rsidR="00EE3DF9" w:rsidRPr="00F5382B" w:rsidRDefault="00EE3DF9" w:rsidP="00D52AD8">
      <w:pPr>
        <w:numPr>
          <w:ilvl w:val="0"/>
          <w:numId w:val="61"/>
        </w:numPr>
        <w:textAlignment w:val="baseline"/>
        <w:rPr>
          <w:noProof/>
          <w:lang w:val="en-IE"/>
        </w:rPr>
      </w:pPr>
      <w:r w:rsidRPr="00F5382B">
        <w:rPr>
          <w:b/>
          <w:bCs/>
          <w:noProof/>
          <w:lang w:val="en-IE"/>
        </w:rPr>
        <w:t>Complexity and fragmentation of cybersecurity obligations</w:t>
      </w:r>
      <w:r w:rsidRPr="00F5382B">
        <w:rPr>
          <w:noProof/>
          <w:lang w:val="en-IE"/>
        </w:rPr>
        <w:t>, with attention to reporting burdens and potential simplification. </w:t>
      </w:r>
    </w:p>
    <w:p w14:paraId="05AF6A8B" w14:textId="77777777" w:rsidR="00EE3DF9" w:rsidRPr="00F5382B" w:rsidRDefault="00EE3DF9" w:rsidP="00D52AD8">
      <w:pPr>
        <w:numPr>
          <w:ilvl w:val="0"/>
          <w:numId w:val="62"/>
        </w:numPr>
        <w:textAlignment w:val="baseline"/>
        <w:rPr>
          <w:noProof/>
          <w:lang w:val="en-IE"/>
        </w:rPr>
      </w:pPr>
      <w:r w:rsidRPr="00F5382B">
        <w:rPr>
          <w:b/>
          <w:bCs/>
          <w:noProof/>
          <w:lang w:val="en-IE"/>
        </w:rPr>
        <w:t>Proportionality of requirements for SMEs</w:t>
      </w:r>
      <w:r w:rsidRPr="00F5382B">
        <w:rPr>
          <w:noProof/>
          <w:lang w:val="en-IE"/>
        </w:rPr>
        <w:t xml:space="preserve"> and the potential for differentiated compliance paths. </w:t>
      </w:r>
    </w:p>
    <w:p w14:paraId="3597155D" w14:textId="77777777" w:rsidR="00EE3DF9" w:rsidRPr="00F5382B" w:rsidRDefault="00EE3DF9" w:rsidP="00D52AD8">
      <w:pPr>
        <w:numPr>
          <w:ilvl w:val="0"/>
          <w:numId w:val="63"/>
        </w:numPr>
        <w:textAlignment w:val="baseline"/>
        <w:rPr>
          <w:noProof/>
          <w:lang w:val="en-IE"/>
        </w:rPr>
      </w:pPr>
      <w:r w:rsidRPr="00F5382B">
        <w:rPr>
          <w:b/>
          <w:bCs/>
          <w:noProof/>
          <w:lang w:val="en-IE"/>
        </w:rPr>
        <w:t>Societal and economic impacts</w:t>
      </w:r>
      <w:r w:rsidRPr="00F5382B">
        <w:rPr>
          <w:noProof/>
          <w:lang w:val="en-IE"/>
        </w:rPr>
        <w:t xml:space="preserve"> of harmonised cybersecurity rules, including effects on consumers, rights, innovation, and competitiveness. </w:t>
      </w:r>
    </w:p>
    <w:p w14:paraId="001B537A" w14:textId="77777777" w:rsidR="00EE3DF9" w:rsidRPr="00F5382B" w:rsidRDefault="00EE3DF9" w:rsidP="00EE3DF9">
      <w:pPr>
        <w:textAlignment w:val="baseline"/>
        <w:rPr>
          <w:noProof/>
          <w:lang w:val="en-IE"/>
        </w:rPr>
      </w:pPr>
      <w:r w:rsidRPr="00F5382B">
        <w:rPr>
          <w:noProof/>
        </w:rPr>
        <w:t>The insights gathered through the stakeholder consultation informed every step of the impact assessment. Stakeholder feedback helped refine the problem definition, test the relevance of proposed measures, and calibrate the design of policy options. Input was particularly influential in shaping proposals around certification governance, lifecycle obligations, and reporting simplification.</w:t>
      </w:r>
      <w:r w:rsidRPr="00F5382B">
        <w:rPr>
          <w:noProof/>
          <w:lang w:val="en-IE"/>
        </w:rPr>
        <w:t>  </w:t>
      </w:r>
    </w:p>
    <w:p w14:paraId="335E15C2" w14:textId="77777777" w:rsidR="00EE3DF9" w:rsidRPr="00F5382B" w:rsidRDefault="00EE3DF9" w:rsidP="00D52AD8">
      <w:pPr>
        <w:numPr>
          <w:ilvl w:val="0"/>
          <w:numId w:val="109"/>
        </w:numPr>
        <w:spacing w:after="120"/>
        <w:ind w:left="1077" w:hanging="357"/>
        <w:textAlignment w:val="baseline"/>
        <w:rPr>
          <w:rFonts w:eastAsia="Times New Roman"/>
          <w:b/>
          <w:smallCaps/>
          <w:noProof/>
          <w:lang w:eastAsia="en-IE"/>
        </w:rPr>
      </w:pPr>
      <w:r w:rsidRPr="00F5382B">
        <w:rPr>
          <w:rFonts w:eastAsia="Times New Roman"/>
          <w:b/>
          <w:smallCaps/>
          <w:noProof/>
          <w:lang w:eastAsia="en-IE"/>
        </w:rPr>
        <w:t>Mapping of stakeholders  </w:t>
      </w:r>
    </w:p>
    <w:p w14:paraId="3B759449" w14:textId="77777777" w:rsidR="00EE3DF9" w:rsidRPr="00F5382B" w:rsidRDefault="00EE3DF9" w:rsidP="00EE3DF9">
      <w:pPr>
        <w:textAlignment w:val="baseline"/>
        <w:rPr>
          <w:noProof/>
          <w:lang w:val="en-IE"/>
        </w:rPr>
      </w:pPr>
      <w:r w:rsidRPr="00F5382B">
        <w:rPr>
          <w:noProof/>
        </w:rPr>
        <w:t>To ensure that the consultation captured a wide range of views and experiences, stakeholders were mapped according to their position in the cybersecurity ecosystem, their level of technical and operational involvement, and their potential exposure to regulatory changes. This mapping was used to tailor the consultation activities, ensuring a balanced and inclusive approach.</w:t>
      </w:r>
      <w:r w:rsidRPr="00F5382B">
        <w:rPr>
          <w:noProof/>
          <w:lang w:val="en-IE"/>
        </w:rPr>
        <w:t> </w:t>
      </w:r>
      <w:r w:rsidRPr="00F5382B">
        <w:rPr>
          <w:noProof/>
        </w:rPr>
        <w:t>Stakeholder categories to be consulted included:</w:t>
      </w:r>
      <w:r w:rsidRPr="00F5382B">
        <w:rPr>
          <w:noProof/>
          <w:lang w:val="en-IE"/>
        </w:rPr>
        <w:t>  </w:t>
      </w:r>
    </w:p>
    <w:p w14:paraId="28C69075" w14:textId="77777777" w:rsidR="00EE3DF9" w:rsidRPr="00F5382B" w:rsidRDefault="00EE3DF9" w:rsidP="00D52AD8">
      <w:pPr>
        <w:numPr>
          <w:ilvl w:val="0"/>
          <w:numId w:val="64"/>
        </w:numPr>
        <w:textAlignment w:val="baseline"/>
        <w:rPr>
          <w:noProof/>
          <w:lang w:val="en-IE"/>
        </w:rPr>
      </w:pPr>
      <w:r w:rsidRPr="00F5382B">
        <w:rPr>
          <w:b/>
          <w:bCs/>
          <w:noProof/>
        </w:rPr>
        <w:t>EU institutions and decentralised agencies</w:t>
      </w:r>
      <w:r w:rsidRPr="00F5382B">
        <w:rPr>
          <w:noProof/>
        </w:rPr>
        <w:t>: This group includes EU institutions and EU-level bodies involved in cybersecurity policy, oversight, or implementation. Their input focused on cross-border coordination, regulatory coherence, and alignment with broader EU objectives.</w:t>
      </w:r>
      <w:r w:rsidRPr="00F5382B">
        <w:rPr>
          <w:noProof/>
          <w:lang w:val="en-IE"/>
        </w:rPr>
        <w:t>  </w:t>
      </w:r>
    </w:p>
    <w:p w14:paraId="64A0AD78" w14:textId="77777777" w:rsidR="00EE3DF9" w:rsidRPr="00F5382B" w:rsidRDefault="00EE3DF9" w:rsidP="00D52AD8">
      <w:pPr>
        <w:numPr>
          <w:ilvl w:val="0"/>
          <w:numId w:val="65"/>
        </w:numPr>
        <w:textAlignment w:val="baseline"/>
        <w:rPr>
          <w:noProof/>
          <w:lang w:val="en-IE"/>
        </w:rPr>
      </w:pPr>
      <w:r w:rsidRPr="00F5382B">
        <w:rPr>
          <w:b/>
          <w:bCs/>
          <w:noProof/>
        </w:rPr>
        <w:t>National Public authorities:</w:t>
      </w:r>
      <w:r w:rsidRPr="00F5382B">
        <w:rPr>
          <w:noProof/>
        </w:rPr>
        <w:t xml:space="preserve"> This group comprised national cybersecurity agencies, competent ministries, regulators and EU institutions responsible for the oversight, enforcement or coordination of cybersecurity policy. </w:t>
      </w:r>
      <w:r w:rsidRPr="00F5382B">
        <w:rPr>
          <w:noProof/>
          <w:lang w:val="en-IE"/>
        </w:rPr>
        <w:t>  </w:t>
      </w:r>
    </w:p>
    <w:p w14:paraId="032BD40D" w14:textId="77777777" w:rsidR="00EE3DF9" w:rsidRPr="00F5382B" w:rsidRDefault="00EE3DF9" w:rsidP="00D52AD8">
      <w:pPr>
        <w:numPr>
          <w:ilvl w:val="0"/>
          <w:numId w:val="66"/>
        </w:numPr>
        <w:textAlignment w:val="baseline"/>
        <w:rPr>
          <w:noProof/>
          <w:lang w:val="en-IE"/>
        </w:rPr>
      </w:pPr>
      <w:r w:rsidRPr="00F5382B">
        <w:rPr>
          <w:b/>
          <w:bCs/>
          <w:noProof/>
        </w:rPr>
        <w:t>Businesses:</w:t>
      </w:r>
      <w:r w:rsidRPr="00F5382B">
        <w:rPr>
          <w:noProof/>
        </w:rPr>
        <w:t xml:space="preserve"> Companies involved in the production, distribution or operation of digital products and services were targeted, including hardware manufacturers, software developers, cloud service providers, and cybersecurity solution vendors. These stakeholders are users and subjects of certification schemes and cybersecurity obligations.</w:t>
      </w:r>
      <w:r w:rsidRPr="00F5382B">
        <w:rPr>
          <w:noProof/>
          <w:lang w:val="en-IE"/>
        </w:rPr>
        <w:t>  </w:t>
      </w:r>
    </w:p>
    <w:p w14:paraId="4372A913" w14:textId="77777777" w:rsidR="00EE3DF9" w:rsidRPr="00F5382B" w:rsidRDefault="00EE3DF9" w:rsidP="00D52AD8">
      <w:pPr>
        <w:numPr>
          <w:ilvl w:val="0"/>
          <w:numId w:val="67"/>
        </w:numPr>
        <w:textAlignment w:val="baseline"/>
        <w:rPr>
          <w:noProof/>
          <w:lang w:val="en-IE"/>
        </w:rPr>
      </w:pPr>
      <w:r w:rsidRPr="00F5382B">
        <w:rPr>
          <w:b/>
          <w:bCs/>
          <w:noProof/>
        </w:rPr>
        <w:t>Business and industry associations:</w:t>
      </w:r>
      <w:r w:rsidRPr="00F5382B">
        <w:rPr>
          <w:noProof/>
        </w:rPr>
        <w:t xml:space="preserve"> These organisations represent the collective interests of companies operating in relevant sectors and often act as intermediaries in consultations. Their input reflects the aggregated concerns of both large and small enterprises, including sector-specific challenges.</w:t>
      </w:r>
      <w:r w:rsidRPr="00F5382B">
        <w:rPr>
          <w:noProof/>
          <w:lang w:val="en-IE"/>
        </w:rPr>
        <w:t>  </w:t>
      </w:r>
    </w:p>
    <w:p w14:paraId="20CD1A25" w14:textId="77777777" w:rsidR="00EE3DF9" w:rsidRPr="00F5382B" w:rsidRDefault="00EE3DF9" w:rsidP="00D52AD8">
      <w:pPr>
        <w:numPr>
          <w:ilvl w:val="0"/>
          <w:numId w:val="68"/>
        </w:numPr>
        <w:textAlignment w:val="baseline"/>
        <w:rPr>
          <w:noProof/>
          <w:lang w:val="en-IE"/>
        </w:rPr>
      </w:pPr>
      <w:r w:rsidRPr="00F5382B">
        <w:rPr>
          <w:b/>
          <w:bCs/>
          <w:noProof/>
        </w:rPr>
        <w:t>Small and medium-sized enterprises:</w:t>
      </w:r>
      <w:r w:rsidRPr="00F5382B">
        <w:rPr>
          <w:noProof/>
        </w:rPr>
        <w:t xml:space="preserve"> SMEs were consulted both directly and via associations. Given their limited resources compared to larger firms, their perspective was critical in assessing the proportionality and accessibility of the current and future regulatory framework.</w:t>
      </w:r>
      <w:r w:rsidRPr="00F5382B">
        <w:rPr>
          <w:noProof/>
          <w:lang w:val="en-IE"/>
        </w:rPr>
        <w:t>  </w:t>
      </w:r>
    </w:p>
    <w:p w14:paraId="7770B88F" w14:textId="77777777" w:rsidR="00EE3DF9" w:rsidRPr="00F5382B" w:rsidRDefault="00EE3DF9" w:rsidP="00D52AD8">
      <w:pPr>
        <w:numPr>
          <w:ilvl w:val="0"/>
          <w:numId w:val="69"/>
        </w:numPr>
        <w:textAlignment w:val="baseline"/>
        <w:rPr>
          <w:noProof/>
          <w:lang w:val="en-IE"/>
        </w:rPr>
      </w:pPr>
      <w:r w:rsidRPr="00F5382B">
        <w:rPr>
          <w:b/>
          <w:bCs/>
          <w:noProof/>
        </w:rPr>
        <w:t>Academic and research institutions:</w:t>
      </w:r>
      <w:r w:rsidRPr="00F5382B">
        <w:rPr>
          <w:noProof/>
        </w:rPr>
        <w:t xml:space="preserve"> Institutions with expertise in cybersecurity, standardisation, policy evaluation and digital innovation were consulted for their analytical and technical input. Their contributions supported a more robust assessment of the strengths and limitations of the current framework.</w:t>
      </w:r>
      <w:r w:rsidRPr="00F5382B">
        <w:rPr>
          <w:noProof/>
          <w:lang w:val="en-IE"/>
        </w:rPr>
        <w:t>  </w:t>
      </w:r>
    </w:p>
    <w:p w14:paraId="3A652BDA" w14:textId="77777777" w:rsidR="00EE3DF9" w:rsidRPr="00F5382B" w:rsidRDefault="00EE3DF9" w:rsidP="00D52AD8">
      <w:pPr>
        <w:numPr>
          <w:ilvl w:val="0"/>
          <w:numId w:val="70"/>
        </w:numPr>
        <w:textAlignment w:val="baseline"/>
        <w:rPr>
          <w:noProof/>
          <w:lang w:val="en-IE"/>
        </w:rPr>
      </w:pPr>
      <w:r w:rsidRPr="00F5382B">
        <w:rPr>
          <w:b/>
          <w:bCs/>
          <w:noProof/>
        </w:rPr>
        <w:t>Consumer and civil society organisations:</w:t>
      </w:r>
      <w:r w:rsidRPr="00F5382B">
        <w:rPr>
          <w:noProof/>
        </w:rPr>
        <w:t xml:space="preserve"> These groups were consulted to ensure that the public interest, including privacy, digital rights, transparency, and security-by-design principles, was reflected in the assessment. They also provided insights on user-facing issues such as product labelling and minimum-security guarantees.</w:t>
      </w:r>
      <w:r w:rsidRPr="00F5382B">
        <w:rPr>
          <w:noProof/>
          <w:lang w:val="en-IE"/>
        </w:rPr>
        <w:t>  </w:t>
      </w:r>
    </w:p>
    <w:p w14:paraId="5650253B" w14:textId="77777777" w:rsidR="00EE3DF9" w:rsidRPr="00F5382B" w:rsidRDefault="00EE3DF9" w:rsidP="00D52AD8">
      <w:pPr>
        <w:numPr>
          <w:ilvl w:val="0"/>
          <w:numId w:val="71"/>
        </w:numPr>
        <w:textAlignment w:val="baseline"/>
        <w:rPr>
          <w:noProof/>
          <w:lang w:val="en-IE"/>
        </w:rPr>
      </w:pPr>
      <w:r w:rsidRPr="00F5382B">
        <w:rPr>
          <w:b/>
          <w:bCs/>
          <w:noProof/>
        </w:rPr>
        <w:t>Trade unions:</w:t>
      </w:r>
      <w:r w:rsidRPr="00F5382B">
        <w:rPr>
          <w:noProof/>
        </w:rPr>
        <w:t xml:space="preserve"> Given the growing importance of cybersecurity in critical infrastructure sectors, input was also gathered from labour organisations with knowledge of workplace safety, workforce digitalisation, and cybersecurity skills.</w:t>
      </w:r>
      <w:r w:rsidRPr="00F5382B">
        <w:rPr>
          <w:noProof/>
          <w:lang w:val="en-IE"/>
        </w:rPr>
        <w:t>  </w:t>
      </w:r>
    </w:p>
    <w:p w14:paraId="5BB13CDF" w14:textId="77777777" w:rsidR="00EE3DF9" w:rsidRPr="00F5382B" w:rsidRDefault="00EE3DF9" w:rsidP="00D52AD8">
      <w:pPr>
        <w:numPr>
          <w:ilvl w:val="0"/>
          <w:numId w:val="72"/>
        </w:numPr>
        <w:textAlignment w:val="baseline"/>
        <w:rPr>
          <w:noProof/>
          <w:lang w:val="en-IE"/>
        </w:rPr>
      </w:pPr>
      <w:r w:rsidRPr="00F5382B">
        <w:rPr>
          <w:b/>
          <w:bCs/>
          <w:noProof/>
        </w:rPr>
        <w:t>Individual citizens:</w:t>
      </w:r>
      <w:r w:rsidRPr="00F5382B">
        <w:rPr>
          <w:noProof/>
        </w:rPr>
        <w:t xml:space="preserve"> Members of the general public were invited to contribute their views particularly with regard to their experiences as users of digital products and services, their perceptions of cybersecurity risks, and their expectations for protection and transparency.</w:t>
      </w:r>
      <w:r w:rsidRPr="00F5382B">
        <w:rPr>
          <w:noProof/>
          <w:lang w:val="en-IE"/>
        </w:rPr>
        <w:t>  </w:t>
      </w:r>
    </w:p>
    <w:p w14:paraId="39791B31" w14:textId="77777777" w:rsidR="00EE3DF9" w:rsidRPr="00F5382B" w:rsidRDefault="00EE3DF9" w:rsidP="00EE3DF9">
      <w:pPr>
        <w:textAlignment w:val="baseline"/>
        <w:rPr>
          <w:noProof/>
          <w:lang w:val="en-IE"/>
        </w:rPr>
      </w:pPr>
      <w:r w:rsidRPr="00F5382B">
        <w:rPr>
          <w:noProof/>
        </w:rPr>
        <w:t>The consultation strategy aimed to ensure balanced representation across these groups and to avoid over-reliance on any single category. The mapping exercise also informed the development of survey logic and interview targeting, ensuring that different types of stakeholders were asked relevant questions.</w:t>
      </w:r>
      <w:r w:rsidRPr="00F5382B">
        <w:rPr>
          <w:noProof/>
          <w:lang w:val="en-IE"/>
        </w:rPr>
        <w:t>  </w:t>
      </w:r>
    </w:p>
    <w:p w14:paraId="7614FB04" w14:textId="77777777" w:rsidR="00EE3DF9" w:rsidRPr="00F5382B" w:rsidRDefault="00EE3DF9" w:rsidP="00D52AD8">
      <w:pPr>
        <w:numPr>
          <w:ilvl w:val="0"/>
          <w:numId w:val="109"/>
        </w:numPr>
        <w:spacing w:after="120"/>
        <w:ind w:left="1077" w:hanging="357"/>
        <w:textAlignment w:val="baseline"/>
        <w:rPr>
          <w:rFonts w:eastAsia="Times New Roman"/>
          <w:b/>
          <w:smallCaps/>
          <w:noProof/>
          <w:lang w:eastAsia="en-IE"/>
        </w:rPr>
      </w:pPr>
      <w:r w:rsidRPr="00F5382B">
        <w:rPr>
          <w:rFonts w:eastAsia="Times New Roman"/>
          <w:b/>
          <w:smallCaps/>
          <w:noProof/>
          <w:lang w:eastAsia="en-IE"/>
        </w:rPr>
        <w:t>Consultation activities  </w:t>
      </w:r>
    </w:p>
    <w:p w14:paraId="1DEECEF4" w14:textId="77777777" w:rsidR="00EE3DF9" w:rsidRPr="00F5382B" w:rsidRDefault="00EE3DF9" w:rsidP="00EE3DF9">
      <w:pPr>
        <w:textAlignment w:val="baseline"/>
        <w:rPr>
          <w:noProof/>
          <w:lang w:val="en-IE"/>
        </w:rPr>
      </w:pPr>
      <w:r w:rsidRPr="00F5382B">
        <w:rPr>
          <w:noProof/>
        </w:rPr>
        <w:t>The consultation activities aimed to collect stakeholder views on the key areas under review: the role and functioning of ENISA, the ECCF, and the simplification of reporting obligations. These inputs helped assess the current framework and inform the design of potential policy options. The main activities were:</w:t>
      </w:r>
      <w:r w:rsidRPr="00F5382B">
        <w:rPr>
          <w:b/>
          <w:bCs/>
          <w:noProof/>
          <w:lang w:val="en-IE"/>
        </w:rPr>
        <w:t> </w:t>
      </w:r>
      <w:r w:rsidRPr="00F5382B">
        <w:rPr>
          <w:noProof/>
          <w:lang w:val="en-IE"/>
        </w:rPr>
        <w:t> </w:t>
      </w:r>
    </w:p>
    <w:p w14:paraId="6D861BEA" w14:textId="77777777" w:rsidR="00EE3DF9" w:rsidRPr="00F5382B" w:rsidRDefault="00EE3DF9" w:rsidP="00D52AD8">
      <w:pPr>
        <w:numPr>
          <w:ilvl w:val="0"/>
          <w:numId w:val="73"/>
        </w:numPr>
        <w:textAlignment w:val="baseline"/>
        <w:rPr>
          <w:noProof/>
          <w:lang w:val="en-IE"/>
        </w:rPr>
      </w:pPr>
      <w:r w:rsidRPr="00F5382B">
        <w:rPr>
          <w:b/>
          <w:bCs/>
          <w:noProof/>
        </w:rPr>
        <w:t>Call for evidence:</w:t>
      </w:r>
      <w:r w:rsidRPr="00F5382B">
        <w:rPr>
          <w:noProof/>
        </w:rPr>
        <w:t xml:space="preserve"> Stakeholders were invited to submit written contributions, including position papers, technical reports, or comments on specific reform proposals. These submissions allowed for the presentation of detailed arguments and documented evidence, which could not be fully captured through the structured survey format.</w:t>
      </w:r>
      <w:r w:rsidRPr="00F5382B">
        <w:rPr>
          <w:noProof/>
          <w:lang w:val="en-IE"/>
        </w:rPr>
        <w:t> </w:t>
      </w:r>
      <w:r w:rsidRPr="00F5382B">
        <w:rPr>
          <w:noProof/>
        </w:rPr>
        <w:t>A total of 184 individual contributions were received from a broad range of stakeholder categories, including industry associations, cybersecurity firms, SMEs, academic institutions, and public interest organisations. Contributions originated from both EU and non-EU countries, ensuring diverse representation across the cybersecurity ecosystem. This activity provided a rich source of qualitative input, reflecting the perspectives of businesses, academia, and civil society on the mandate of ENISA, the certification framework, and the simplification of cybersecurity obligations.</w:t>
      </w:r>
      <w:r w:rsidRPr="00F5382B">
        <w:rPr>
          <w:noProof/>
          <w:lang w:val="en-IE"/>
        </w:rPr>
        <w:t> </w:t>
      </w:r>
    </w:p>
    <w:p w14:paraId="4CE9BF77" w14:textId="77777777" w:rsidR="00EE3DF9" w:rsidRPr="00F5382B" w:rsidRDefault="00EE3DF9" w:rsidP="00D52AD8">
      <w:pPr>
        <w:numPr>
          <w:ilvl w:val="0"/>
          <w:numId w:val="74"/>
        </w:numPr>
        <w:textAlignment w:val="baseline"/>
        <w:rPr>
          <w:noProof/>
          <w:lang w:val="en-IE"/>
        </w:rPr>
      </w:pPr>
      <w:r w:rsidRPr="00F5382B">
        <w:rPr>
          <w:b/>
          <w:bCs/>
          <w:noProof/>
        </w:rPr>
        <w:t>Public consultation (PC):</w:t>
      </w:r>
      <w:r w:rsidRPr="00F5382B">
        <w:rPr>
          <w:noProof/>
        </w:rPr>
        <w:t xml:space="preserve"> The PC was conducted in the context of the ongoing revision of the Cybersecurity Act (Regulation (EU) 2019/881), running from 11 April to 20 June 2025. It aimed to gather feedback from a wide range of stakeholders on the effectiveness of the current legislative framework and potential areas for improvement. The consultation consisted of 38 questions, both closed and open-ended, covering the cybersecurity certification framework, ENISA’s mandate, governance structures (ECCG, SCCG), and broader issues such as fragmentation, compliance burden, supply chain risks, and harmonisation. The survey was open for 10 weeks (shorter than the standard 12 weeks due to legislative planning needs), and respected the Commission’s minimum standards for stakeholder engagement, including clear objectives, accessible tools, transparent data processing, and integration of feedback into policy design.</w:t>
      </w:r>
      <w:r w:rsidRPr="00F5382B">
        <w:rPr>
          <w:noProof/>
          <w:lang w:val="en-IE"/>
        </w:rPr>
        <w:t> </w:t>
      </w:r>
    </w:p>
    <w:p w14:paraId="3E6321F4" w14:textId="77777777" w:rsidR="00EE3DF9" w:rsidRPr="00F5382B" w:rsidRDefault="00EE3DF9" w:rsidP="00EE3DF9">
      <w:pPr>
        <w:textAlignment w:val="baseline"/>
        <w:rPr>
          <w:noProof/>
          <w:lang w:val="en-IE"/>
        </w:rPr>
      </w:pPr>
      <w:r w:rsidRPr="00F5382B">
        <w:rPr>
          <w:noProof/>
        </w:rPr>
        <w:t>The consultation was launched through the European Commission’s EU Survey online platform and was open to all stakeholders. A total of 193 responses were received, with partial responses accepted. Quantitative and qualitative data were analysed using statistical and text-mining techniques, with results broken down by stakeholder type, company size, and country of origin. The consultation attracted a diverse pool of respondents from various stakeholder groups. The breakdown below shows the number and proportion of responses by stakeholder type, reflecting balanced input from both private and public sector actors, as well as individual citizens.</w:t>
      </w:r>
      <w:r w:rsidRPr="00F5382B">
        <w:rPr>
          <w:noProof/>
          <w:lang w:val="en-IE"/>
        </w:rPr>
        <w:t>   </w:t>
      </w:r>
    </w:p>
    <w:p w14:paraId="7C1A72CA" w14:textId="760F1C76" w:rsidR="00EE3DF9" w:rsidRPr="00F5382B" w:rsidRDefault="00EE3DF9" w:rsidP="00EE3DF9">
      <w:pPr>
        <w:pStyle w:val="Heading5"/>
        <w:rPr>
          <w:noProof/>
        </w:rPr>
      </w:pPr>
      <w:bookmarkStart w:id="182" w:name="_Toc218767797"/>
      <w:r w:rsidRPr="00F5382B">
        <w:rPr>
          <w:noProof/>
        </w:rPr>
        <w:t xml:space="preserve">Table </w:t>
      </w:r>
      <w:r w:rsidR="004A60E7" w:rsidRPr="004A60E7">
        <w:rPr>
          <w:noProof/>
        </w:rPr>
        <w:t>2</w:t>
      </w:r>
      <w:r w:rsidRPr="00F5382B">
        <w:rPr>
          <w:noProof/>
        </w:rPr>
        <w:t>: Respondents by stakeholder type (n = 193)</w:t>
      </w:r>
      <w:bookmarkEnd w:id="182"/>
      <w:r w:rsidRPr="00F5382B">
        <w:rPr>
          <w:noProo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2910"/>
        <w:gridCol w:w="2895"/>
      </w:tblGrid>
      <w:tr w:rsidR="00EE3DF9" w:rsidRPr="00F5382B" w14:paraId="1D8AB9BA"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1DB2B7D4" w14:textId="77777777" w:rsidR="00EE3DF9" w:rsidRPr="00F5382B" w:rsidRDefault="00EE3DF9">
            <w:pPr>
              <w:textAlignment w:val="baseline"/>
              <w:rPr>
                <w:noProof/>
                <w:lang w:val="en-IE"/>
              </w:rPr>
            </w:pPr>
            <w:r w:rsidRPr="00F5382B">
              <w:rPr>
                <w:b/>
                <w:bCs/>
                <w:noProof/>
              </w:rPr>
              <w:t>Stakeholder type</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C431103" w14:textId="77777777" w:rsidR="00EE3DF9" w:rsidRPr="00F5382B" w:rsidRDefault="00EE3DF9">
            <w:pPr>
              <w:textAlignment w:val="baseline"/>
              <w:rPr>
                <w:noProof/>
                <w:lang w:val="en-IE"/>
              </w:rPr>
            </w:pPr>
            <w:r w:rsidRPr="00F5382B">
              <w:rPr>
                <w:b/>
                <w:bCs/>
                <w:noProof/>
              </w:rPr>
              <w:t>Number of respondents</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63F0877D" w14:textId="77777777" w:rsidR="00EE3DF9" w:rsidRPr="00F5382B" w:rsidRDefault="00EE3DF9">
            <w:pPr>
              <w:textAlignment w:val="baseline"/>
              <w:rPr>
                <w:noProof/>
                <w:lang w:val="en-IE"/>
              </w:rPr>
            </w:pPr>
            <w:r w:rsidRPr="00F5382B">
              <w:rPr>
                <w:b/>
                <w:bCs/>
                <w:noProof/>
              </w:rPr>
              <w:t>Percentage (%)</w:t>
            </w:r>
            <w:r w:rsidRPr="00F5382B">
              <w:rPr>
                <w:noProof/>
                <w:lang w:val="en-IE"/>
              </w:rPr>
              <w:t>  </w:t>
            </w:r>
          </w:p>
        </w:tc>
      </w:tr>
      <w:tr w:rsidR="00EE3DF9" w:rsidRPr="00F5382B" w14:paraId="7A9BCC46"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bottom"/>
            <w:hideMark/>
          </w:tcPr>
          <w:p w14:paraId="6E03DCF3" w14:textId="77777777" w:rsidR="00EE3DF9" w:rsidRPr="00F5382B" w:rsidRDefault="00EE3DF9">
            <w:pPr>
              <w:textAlignment w:val="baseline"/>
              <w:rPr>
                <w:noProof/>
                <w:lang w:val="en-IE"/>
              </w:rPr>
            </w:pPr>
            <w:r w:rsidRPr="00F5382B">
              <w:rPr>
                <w:noProof/>
              </w:rPr>
              <w:t>Company / business</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254041F4" w14:textId="77777777" w:rsidR="00EE3DF9" w:rsidRPr="00F5382B" w:rsidRDefault="00EE3DF9">
            <w:pPr>
              <w:textAlignment w:val="baseline"/>
              <w:rPr>
                <w:noProof/>
                <w:lang w:val="en-IE"/>
              </w:rPr>
            </w:pPr>
            <w:r w:rsidRPr="00F5382B">
              <w:rPr>
                <w:noProof/>
              </w:rPr>
              <w:t>79</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D2EE1DE" w14:textId="77777777" w:rsidR="00EE3DF9" w:rsidRPr="00F5382B" w:rsidRDefault="00EE3DF9">
            <w:pPr>
              <w:textAlignment w:val="baseline"/>
              <w:rPr>
                <w:noProof/>
                <w:lang w:val="en-IE"/>
              </w:rPr>
            </w:pPr>
            <w:r w:rsidRPr="00F5382B">
              <w:rPr>
                <w:noProof/>
              </w:rPr>
              <w:t>40.9 %</w:t>
            </w:r>
            <w:r w:rsidRPr="00F5382B">
              <w:rPr>
                <w:noProof/>
                <w:lang w:val="en-IE"/>
              </w:rPr>
              <w:t>  </w:t>
            </w:r>
          </w:p>
        </w:tc>
      </w:tr>
      <w:tr w:rsidR="00EE3DF9" w:rsidRPr="00F5382B" w14:paraId="01BD6CE3"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45F89656" w14:textId="77777777" w:rsidR="00EE3DF9" w:rsidRPr="00F5382B" w:rsidRDefault="00EE3DF9">
            <w:pPr>
              <w:textAlignment w:val="baseline"/>
              <w:rPr>
                <w:noProof/>
                <w:lang w:val="en-IE"/>
              </w:rPr>
            </w:pPr>
            <w:r w:rsidRPr="00F5382B">
              <w:rPr>
                <w:noProof/>
              </w:rPr>
              <w:t>Business association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CAC3349" w14:textId="77777777" w:rsidR="00EE3DF9" w:rsidRPr="00F5382B" w:rsidRDefault="00EE3DF9">
            <w:pPr>
              <w:textAlignment w:val="baseline"/>
              <w:rPr>
                <w:noProof/>
                <w:lang w:val="en-IE"/>
              </w:rPr>
            </w:pPr>
            <w:r w:rsidRPr="00F5382B">
              <w:rPr>
                <w:noProof/>
              </w:rPr>
              <w:t>54</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53873C1" w14:textId="77777777" w:rsidR="00EE3DF9" w:rsidRPr="00F5382B" w:rsidRDefault="00EE3DF9">
            <w:pPr>
              <w:textAlignment w:val="baseline"/>
              <w:rPr>
                <w:noProof/>
                <w:lang w:val="en-IE"/>
              </w:rPr>
            </w:pPr>
            <w:r w:rsidRPr="00F5382B">
              <w:rPr>
                <w:noProof/>
              </w:rPr>
              <w:t>28.0 %</w:t>
            </w:r>
            <w:r w:rsidRPr="00F5382B">
              <w:rPr>
                <w:noProof/>
                <w:lang w:val="en-IE"/>
              </w:rPr>
              <w:t>  </w:t>
            </w:r>
          </w:p>
        </w:tc>
      </w:tr>
      <w:tr w:rsidR="00EE3DF9" w:rsidRPr="00F5382B" w14:paraId="36D4F445"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5B06F5AA" w14:textId="77777777" w:rsidR="00EE3DF9" w:rsidRPr="00F5382B" w:rsidRDefault="00EE3DF9">
            <w:pPr>
              <w:textAlignment w:val="baseline"/>
              <w:rPr>
                <w:noProof/>
                <w:lang w:val="en-IE"/>
              </w:rPr>
            </w:pPr>
            <w:r w:rsidRPr="00F5382B">
              <w:rPr>
                <w:noProof/>
              </w:rPr>
              <w:t>EU Citizen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350B5340" w14:textId="77777777" w:rsidR="00EE3DF9" w:rsidRPr="00F5382B" w:rsidRDefault="00EE3DF9">
            <w:pPr>
              <w:textAlignment w:val="baseline"/>
              <w:rPr>
                <w:noProof/>
                <w:lang w:val="en-IE"/>
              </w:rPr>
            </w:pPr>
            <w:r w:rsidRPr="00F5382B">
              <w:rPr>
                <w:noProof/>
              </w:rPr>
              <w:t>26</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0E859C97" w14:textId="77777777" w:rsidR="00EE3DF9" w:rsidRPr="00F5382B" w:rsidRDefault="00EE3DF9">
            <w:pPr>
              <w:textAlignment w:val="baseline"/>
              <w:rPr>
                <w:noProof/>
                <w:lang w:val="en-IE"/>
              </w:rPr>
            </w:pPr>
            <w:r w:rsidRPr="00F5382B">
              <w:rPr>
                <w:noProof/>
              </w:rPr>
              <w:t>13.5 %</w:t>
            </w:r>
            <w:r w:rsidRPr="00F5382B">
              <w:rPr>
                <w:noProof/>
                <w:lang w:val="en-IE"/>
              </w:rPr>
              <w:t>  </w:t>
            </w:r>
          </w:p>
        </w:tc>
      </w:tr>
      <w:tr w:rsidR="00EE3DF9" w:rsidRPr="00F5382B" w14:paraId="195454B0"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22ABC360" w14:textId="77777777" w:rsidR="00EE3DF9" w:rsidRPr="00F5382B" w:rsidRDefault="00EE3DF9">
            <w:pPr>
              <w:textAlignment w:val="baseline"/>
              <w:rPr>
                <w:noProof/>
                <w:lang w:val="en-IE"/>
              </w:rPr>
            </w:pPr>
            <w:r w:rsidRPr="00F5382B">
              <w:rPr>
                <w:noProof/>
              </w:rPr>
              <w:t>Public authority</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3272F837" w14:textId="77777777" w:rsidR="00EE3DF9" w:rsidRPr="00F5382B" w:rsidRDefault="00EE3DF9">
            <w:pPr>
              <w:textAlignment w:val="baseline"/>
              <w:rPr>
                <w:noProof/>
                <w:lang w:val="en-IE"/>
              </w:rPr>
            </w:pPr>
            <w:r w:rsidRPr="00F5382B">
              <w:rPr>
                <w:noProof/>
              </w:rPr>
              <w:t>8</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7FA9349D" w14:textId="77777777" w:rsidR="00EE3DF9" w:rsidRPr="00F5382B" w:rsidRDefault="00EE3DF9">
            <w:pPr>
              <w:textAlignment w:val="baseline"/>
              <w:rPr>
                <w:noProof/>
                <w:lang w:val="en-IE"/>
              </w:rPr>
            </w:pPr>
            <w:r w:rsidRPr="00F5382B">
              <w:rPr>
                <w:noProof/>
              </w:rPr>
              <w:t>4.1 %</w:t>
            </w:r>
            <w:r w:rsidRPr="00F5382B">
              <w:rPr>
                <w:noProof/>
                <w:lang w:val="en-IE"/>
              </w:rPr>
              <w:t>  </w:t>
            </w:r>
          </w:p>
        </w:tc>
      </w:tr>
      <w:tr w:rsidR="00EE3DF9" w:rsidRPr="00F5382B" w14:paraId="3F00CCD6"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53419BE8" w14:textId="77777777" w:rsidR="00EE3DF9" w:rsidRPr="00F5382B" w:rsidRDefault="00EE3DF9">
            <w:pPr>
              <w:textAlignment w:val="baseline"/>
              <w:rPr>
                <w:noProof/>
                <w:lang w:val="en-IE"/>
              </w:rPr>
            </w:pPr>
            <w:r w:rsidRPr="00F5382B">
              <w:rPr>
                <w:noProof/>
              </w:rPr>
              <w:t>Other</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707076C" w14:textId="77777777" w:rsidR="00EE3DF9" w:rsidRPr="00F5382B" w:rsidRDefault="00EE3DF9">
            <w:pPr>
              <w:textAlignment w:val="baseline"/>
              <w:rPr>
                <w:noProof/>
                <w:lang w:val="en-IE"/>
              </w:rPr>
            </w:pPr>
            <w:r w:rsidRPr="00F5382B">
              <w:rPr>
                <w:noProof/>
              </w:rPr>
              <w:t>8</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03B4828B" w14:textId="77777777" w:rsidR="00EE3DF9" w:rsidRPr="00F5382B" w:rsidRDefault="00EE3DF9">
            <w:pPr>
              <w:textAlignment w:val="baseline"/>
              <w:rPr>
                <w:noProof/>
                <w:lang w:val="en-IE"/>
              </w:rPr>
            </w:pPr>
            <w:r w:rsidRPr="00F5382B">
              <w:rPr>
                <w:noProof/>
              </w:rPr>
              <w:t>4.1 %</w:t>
            </w:r>
            <w:r w:rsidRPr="00F5382B">
              <w:rPr>
                <w:noProof/>
                <w:lang w:val="en-IE"/>
              </w:rPr>
              <w:t>  </w:t>
            </w:r>
          </w:p>
        </w:tc>
      </w:tr>
      <w:tr w:rsidR="00EE3DF9" w:rsidRPr="00F5382B" w14:paraId="32B7D67D"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1CBF0C61" w14:textId="77777777" w:rsidR="00EE3DF9" w:rsidRPr="00F5382B" w:rsidRDefault="00EE3DF9">
            <w:pPr>
              <w:textAlignment w:val="baseline"/>
              <w:rPr>
                <w:noProof/>
                <w:lang w:val="en-IE"/>
              </w:rPr>
            </w:pPr>
            <w:r w:rsidRPr="00F5382B">
              <w:rPr>
                <w:noProof/>
              </w:rPr>
              <w:t>Academic / research institution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84AA886" w14:textId="77777777" w:rsidR="00EE3DF9" w:rsidRPr="00F5382B" w:rsidRDefault="00EE3DF9">
            <w:pPr>
              <w:textAlignment w:val="baseline"/>
              <w:rPr>
                <w:noProof/>
                <w:lang w:val="en-IE"/>
              </w:rPr>
            </w:pPr>
            <w:r w:rsidRPr="00F5382B">
              <w:rPr>
                <w:noProof/>
              </w:rPr>
              <w:t>7</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132FFADE" w14:textId="77777777" w:rsidR="00EE3DF9" w:rsidRPr="00F5382B" w:rsidRDefault="00EE3DF9">
            <w:pPr>
              <w:textAlignment w:val="baseline"/>
              <w:rPr>
                <w:noProof/>
                <w:lang w:val="en-IE"/>
              </w:rPr>
            </w:pPr>
            <w:r w:rsidRPr="00F5382B">
              <w:rPr>
                <w:noProof/>
              </w:rPr>
              <w:t>3.6 %</w:t>
            </w:r>
            <w:r w:rsidRPr="00F5382B">
              <w:rPr>
                <w:noProof/>
                <w:lang w:val="en-IE"/>
              </w:rPr>
              <w:t>  </w:t>
            </w:r>
          </w:p>
        </w:tc>
      </w:tr>
      <w:tr w:rsidR="00EE3DF9" w:rsidRPr="00F5382B" w14:paraId="145E02B6"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51AC49F5" w14:textId="77777777" w:rsidR="00EE3DF9" w:rsidRPr="00F5382B" w:rsidRDefault="00EE3DF9">
            <w:pPr>
              <w:textAlignment w:val="baseline"/>
              <w:rPr>
                <w:noProof/>
                <w:lang w:val="en-IE"/>
              </w:rPr>
            </w:pPr>
            <w:r w:rsidRPr="00F5382B">
              <w:rPr>
                <w:noProof/>
              </w:rPr>
              <w:t>Non-governmental organisation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599E1FF5" w14:textId="77777777" w:rsidR="00EE3DF9" w:rsidRPr="00F5382B" w:rsidRDefault="00EE3DF9">
            <w:pPr>
              <w:textAlignment w:val="baseline"/>
              <w:rPr>
                <w:noProof/>
                <w:lang w:val="en-IE"/>
              </w:rPr>
            </w:pPr>
            <w:r w:rsidRPr="00F5382B">
              <w:rPr>
                <w:noProof/>
              </w:rPr>
              <w:t>6</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23CDFAF" w14:textId="77777777" w:rsidR="00EE3DF9" w:rsidRPr="00F5382B" w:rsidRDefault="00EE3DF9">
            <w:pPr>
              <w:textAlignment w:val="baseline"/>
              <w:rPr>
                <w:noProof/>
                <w:lang w:val="en-IE"/>
              </w:rPr>
            </w:pPr>
            <w:r w:rsidRPr="00F5382B">
              <w:rPr>
                <w:noProof/>
              </w:rPr>
              <w:t>3.1 %</w:t>
            </w:r>
            <w:r w:rsidRPr="00F5382B">
              <w:rPr>
                <w:noProof/>
                <w:lang w:val="en-IE"/>
              </w:rPr>
              <w:t>  </w:t>
            </w:r>
          </w:p>
        </w:tc>
      </w:tr>
      <w:tr w:rsidR="00EE3DF9" w:rsidRPr="00F5382B" w14:paraId="3F31BEEF"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759AB430" w14:textId="77777777" w:rsidR="00EE3DF9" w:rsidRPr="00F5382B" w:rsidRDefault="00EE3DF9">
            <w:pPr>
              <w:textAlignment w:val="baseline"/>
              <w:rPr>
                <w:noProof/>
                <w:lang w:val="en-IE"/>
              </w:rPr>
            </w:pPr>
            <w:r w:rsidRPr="00F5382B">
              <w:rPr>
                <w:noProof/>
              </w:rPr>
              <w:t>Trade union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AFF9EDB" w14:textId="77777777" w:rsidR="00EE3DF9" w:rsidRPr="00F5382B" w:rsidRDefault="00EE3DF9">
            <w:pPr>
              <w:textAlignment w:val="baseline"/>
              <w:rPr>
                <w:noProof/>
                <w:lang w:val="en-IE"/>
              </w:rPr>
            </w:pPr>
            <w:r w:rsidRPr="00F5382B">
              <w:rPr>
                <w:noProof/>
              </w:rPr>
              <w:t>4</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4B7E167E" w14:textId="77777777" w:rsidR="00EE3DF9" w:rsidRPr="00F5382B" w:rsidRDefault="00EE3DF9">
            <w:pPr>
              <w:textAlignment w:val="baseline"/>
              <w:rPr>
                <w:noProof/>
                <w:lang w:val="en-IE"/>
              </w:rPr>
            </w:pPr>
            <w:r w:rsidRPr="00F5382B">
              <w:rPr>
                <w:noProof/>
              </w:rPr>
              <w:t>2.1 %</w:t>
            </w:r>
            <w:r w:rsidRPr="00F5382B">
              <w:rPr>
                <w:noProof/>
                <w:lang w:val="en-IE"/>
              </w:rPr>
              <w:t>  </w:t>
            </w:r>
          </w:p>
        </w:tc>
      </w:tr>
      <w:tr w:rsidR="00EE3DF9" w:rsidRPr="00F5382B" w14:paraId="4A56BE12" w14:textId="77777777">
        <w:trPr>
          <w:trHeight w:val="300"/>
        </w:trPr>
        <w:tc>
          <w:tcPr>
            <w:tcW w:w="2925" w:type="dxa"/>
            <w:tcBorders>
              <w:top w:val="single" w:sz="6" w:space="0" w:color="auto"/>
              <w:left w:val="single" w:sz="6" w:space="0" w:color="auto"/>
              <w:bottom w:val="single" w:sz="6" w:space="0" w:color="auto"/>
              <w:right w:val="single" w:sz="6" w:space="0" w:color="auto"/>
            </w:tcBorders>
            <w:vAlign w:val="center"/>
            <w:hideMark/>
          </w:tcPr>
          <w:p w14:paraId="7276A486" w14:textId="77777777" w:rsidR="00EE3DF9" w:rsidRPr="00F5382B" w:rsidRDefault="00EE3DF9">
            <w:pPr>
              <w:textAlignment w:val="baseline"/>
              <w:rPr>
                <w:noProof/>
                <w:lang w:val="en-IE"/>
              </w:rPr>
            </w:pPr>
            <w:r w:rsidRPr="00F5382B">
              <w:rPr>
                <w:noProof/>
              </w:rPr>
              <w:t>Non-EU citizen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C929061" w14:textId="77777777" w:rsidR="00EE3DF9" w:rsidRPr="00F5382B" w:rsidRDefault="00EE3DF9">
            <w:pPr>
              <w:textAlignment w:val="baseline"/>
              <w:rPr>
                <w:noProof/>
                <w:lang w:val="en-IE"/>
              </w:rPr>
            </w:pPr>
            <w:r w:rsidRPr="00F5382B">
              <w:rPr>
                <w:noProof/>
              </w:rPr>
              <w:t>1</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DB9C210" w14:textId="77777777" w:rsidR="00EE3DF9" w:rsidRPr="00F5382B" w:rsidRDefault="00EE3DF9">
            <w:pPr>
              <w:textAlignment w:val="baseline"/>
              <w:rPr>
                <w:noProof/>
                <w:lang w:val="en-IE"/>
              </w:rPr>
            </w:pPr>
            <w:r w:rsidRPr="00F5382B">
              <w:rPr>
                <w:noProof/>
              </w:rPr>
              <w:t>0.5 %</w:t>
            </w:r>
            <w:r w:rsidRPr="00F5382B">
              <w:rPr>
                <w:noProof/>
                <w:lang w:val="en-IE"/>
              </w:rPr>
              <w:t>  </w:t>
            </w:r>
          </w:p>
        </w:tc>
      </w:tr>
    </w:tbl>
    <w:p w14:paraId="7CC6A5B5" w14:textId="77777777" w:rsidR="00EE3DF9" w:rsidRPr="00F5382B" w:rsidRDefault="00EE3DF9" w:rsidP="00EE3DF9">
      <w:pPr>
        <w:textAlignment w:val="baseline"/>
        <w:rPr>
          <w:noProof/>
          <w:lang w:val="en-IE"/>
        </w:rPr>
      </w:pPr>
      <w:r w:rsidRPr="00F5382B">
        <w:rPr>
          <w:noProof/>
        </w:rPr>
        <w:t>Among company and business respondents, a majority represented large enterprises, though a substantial share of micro, small, and medium-sized enterprises also participated. The table below provides a detailed breakdown of company size.</w:t>
      </w:r>
      <w:r w:rsidRPr="00F5382B">
        <w:rPr>
          <w:noProof/>
          <w:lang w:val="en-IE"/>
        </w:rPr>
        <w:t>  </w:t>
      </w:r>
    </w:p>
    <w:p w14:paraId="6BD0038B" w14:textId="31578072" w:rsidR="00EE3DF9" w:rsidRPr="00F5382B" w:rsidRDefault="00EE3DF9" w:rsidP="00EE3DF9">
      <w:pPr>
        <w:pStyle w:val="Heading5"/>
        <w:rPr>
          <w:noProof/>
        </w:rPr>
      </w:pPr>
      <w:bookmarkStart w:id="183" w:name="_Toc218767798"/>
      <w:r w:rsidRPr="00F5382B">
        <w:rPr>
          <w:noProof/>
        </w:rPr>
        <w:t xml:space="preserve">Table </w:t>
      </w:r>
      <w:r w:rsidR="004A60E7">
        <w:rPr>
          <w:noProof/>
        </w:rPr>
        <w:t>3</w:t>
      </w:r>
      <w:r w:rsidRPr="00F5382B">
        <w:rPr>
          <w:noProof/>
        </w:rPr>
        <w:t>: Company size distribution among business respondents (n = 79)</w:t>
      </w:r>
      <w:bookmarkEnd w:id="183"/>
      <w:r w:rsidRPr="00F5382B">
        <w:rPr>
          <w:noProo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5"/>
        <w:gridCol w:w="2925"/>
        <w:gridCol w:w="2910"/>
      </w:tblGrid>
      <w:tr w:rsidR="00EE3DF9" w:rsidRPr="00F5382B" w14:paraId="38F48CB5" w14:textId="77777777">
        <w:trPr>
          <w:trHeight w:val="300"/>
        </w:trPr>
        <w:tc>
          <w:tcPr>
            <w:tcW w:w="2895" w:type="dxa"/>
            <w:tcBorders>
              <w:top w:val="single" w:sz="6" w:space="0" w:color="auto"/>
              <w:left w:val="single" w:sz="6" w:space="0" w:color="auto"/>
              <w:bottom w:val="single" w:sz="6" w:space="0" w:color="auto"/>
              <w:right w:val="single" w:sz="6" w:space="0" w:color="auto"/>
            </w:tcBorders>
            <w:vAlign w:val="center"/>
            <w:hideMark/>
          </w:tcPr>
          <w:p w14:paraId="2624CFD4" w14:textId="77777777" w:rsidR="00EE3DF9" w:rsidRPr="00F5382B" w:rsidRDefault="00EE3DF9">
            <w:pPr>
              <w:textAlignment w:val="baseline"/>
              <w:rPr>
                <w:noProof/>
                <w:lang w:val="en-IE"/>
              </w:rPr>
            </w:pPr>
            <w:r w:rsidRPr="00F5382B">
              <w:rPr>
                <w:b/>
                <w:bCs/>
                <w:noProof/>
              </w:rPr>
              <w:t>Company size</w:t>
            </w:r>
            <w:r w:rsidRPr="00F5382B">
              <w:rPr>
                <w:noProof/>
                <w:lang w:val="en-IE"/>
              </w:rPr>
              <w:t>  </w:t>
            </w:r>
          </w:p>
        </w:tc>
        <w:tc>
          <w:tcPr>
            <w:tcW w:w="2925" w:type="dxa"/>
            <w:tcBorders>
              <w:top w:val="single" w:sz="6" w:space="0" w:color="auto"/>
              <w:left w:val="single" w:sz="6" w:space="0" w:color="auto"/>
              <w:bottom w:val="single" w:sz="6" w:space="0" w:color="auto"/>
              <w:right w:val="single" w:sz="6" w:space="0" w:color="auto"/>
            </w:tcBorders>
            <w:vAlign w:val="center"/>
            <w:hideMark/>
          </w:tcPr>
          <w:p w14:paraId="6D45B3E2" w14:textId="77777777" w:rsidR="00EE3DF9" w:rsidRPr="00F5382B" w:rsidRDefault="00EE3DF9">
            <w:pPr>
              <w:textAlignment w:val="baseline"/>
              <w:rPr>
                <w:noProof/>
                <w:lang w:val="en-IE"/>
              </w:rPr>
            </w:pPr>
            <w:r w:rsidRPr="00F5382B">
              <w:rPr>
                <w:b/>
                <w:bCs/>
                <w:noProof/>
              </w:rPr>
              <w:t>Number of respondents</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2612C3F6" w14:textId="77777777" w:rsidR="00EE3DF9" w:rsidRPr="00F5382B" w:rsidRDefault="00EE3DF9">
            <w:pPr>
              <w:textAlignment w:val="baseline"/>
              <w:rPr>
                <w:noProof/>
                <w:lang w:val="en-IE"/>
              </w:rPr>
            </w:pPr>
            <w:r w:rsidRPr="00F5382B">
              <w:rPr>
                <w:b/>
                <w:bCs/>
                <w:noProof/>
              </w:rPr>
              <w:t>Percentage (%)</w:t>
            </w:r>
            <w:r w:rsidRPr="00F5382B">
              <w:rPr>
                <w:noProof/>
                <w:lang w:val="en-IE"/>
              </w:rPr>
              <w:t>  </w:t>
            </w:r>
          </w:p>
        </w:tc>
      </w:tr>
      <w:tr w:rsidR="00EE3DF9" w:rsidRPr="00F5382B" w14:paraId="59C2E796" w14:textId="77777777">
        <w:trPr>
          <w:trHeight w:val="300"/>
        </w:trPr>
        <w:tc>
          <w:tcPr>
            <w:tcW w:w="2895" w:type="dxa"/>
            <w:tcBorders>
              <w:top w:val="single" w:sz="6" w:space="0" w:color="auto"/>
              <w:left w:val="single" w:sz="6" w:space="0" w:color="auto"/>
              <w:bottom w:val="single" w:sz="6" w:space="0" w:color="auto"/>
              <w:right w:val="single" w:sz="6" w:space="0" w:color="auto"/>
            </w:tcBorders>
            <w:vAlign w:val="bottom"/>
            <w:hideMark/>
          </w:tcPr>
          <w:p w14:paraId="18C6DB84" w14:textId="77777777" w:rsidR="00EE3DF9" w:rsidRPr="00F5382B" w:rsidRDefault="00EE3DF9">
            <w:pPr>
              <w:textAlignment w:val="baseline"/>
              <w:rPr>
                <w:noProof/>
                <w:lang w:val="en-IE"/>
              </w:rPr>
            </w:pPr>
            <w:r w:rsidRPr="00F5382B">
              <w:rPr>
                <w:noProof/>
              </w:rPr>
              <w:t>Large enterprises</w:t>
            </w:r>
            <w:r w:rsidRPr="00F5382B">
              <w:rPr>
                <w:noProof/>
                <w:lang w:val="en-IE"/>
              </w:rPr>
              <w:t>  </w:t>
            </w:r>
          </w:p>
        </w:tc>
        <w:tc>
          <w:tcPr>
            <w:tcW w:w="2925" w:type="dxa"/>
            <w:tcBorders>
              <w:top w:val="single" w:sz="6" w:space="0" w:color="auto"/>
              <w:left w:val="single" w:sz="6" w:space="0" w:color="auto"/>
              <w:bottom w:val="single" w:sz="6" w:space="0" w:color="auto"/>
              <w:right w:val="single" w:sz="6" w:space="0" w:color="auto"/>
            </w:tcBorders>
            <w:vAlign w:val="center"/>
            <w:hideMark/>
          </w:tcPr>
          <w:p w14:paraId="1FE00FAD" w14:textId="77777777" w:rsidR="00EE3DF9" w:rsidRPr="00F5382B" w:rsidRDefault="00EE3DF9">
            <w:pPr>
              <w:textAlignment w:val="baseline"/>
              <w:rPr>
                <w:noProof/>
                <w:lang w:val="en-IE"/>
              </w:rPr>
            </w:pPr>
            <w:r w:rsidRPr="00F5382B">
              <w:rPr>
                <w:noProof/>
              </w:rPr>
              <w:t>50</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71C62694" w14:textId="77777777" w:rsidR="00EE3DF9" w:rsidRPr="00F5382B" w:rsidRDefault="00EE3DF9">
            <w:pPr>
              <w:textAlignment w:val="baseline"/>
              <w:rPr>
                <w:noProof/>
                <w:lang w:val="en-IE"/>
              </w:rPr>
            </w:pPr>
            <w:r w:rsidRPr="00F5382B">
              <w:rPr>
                <w:noProof/>
              </w:rPr>
              <w:t>63.3 %</w:t>
            </w:r>
            <w:r w:rsidRPr="00F5382B">
              <w:rPr>
                <w:noProof/>
                <w:lang w:val="en-IE"/>
              </w:rPr>
              <w:t>  </w:t>
            </w:r>
          </w:p>
        </w:tc>
      </w:tr>
      <w:tr w:rsidR="00EE3DF9" w:rsidRPr="00F5382B" w14:paraId="0F4C4815" w14:textId="77777777">
        <w:trPr>
          <w:trHeight w:val="300"/>
        </w:trPr>
        <w:tc>
          <w:tcPr>
            <w:tcW w:w="2895" w:type="dxa"/>
            <w:tcBorders>
              <w:top w:val="single" w:sz="6" w:space="0" w:color="auto"/>
              <w:left w:val="single" w:sz="6" w:space="0" w:color="auto"/>
              <w:bottom w:val="single" w:sz="6" w:space="0" w:color="auto"/>
              <w:right w:val="single" w:sz="6" w:space="0" w:color="auto"/>
            </w:tcBorders>
            <w:vAlign w:val="center"/>
            <w:hideMark/>
          </w:tcPr>
          <w:p w14:paraId="253B4E05" w14:textId="77777777" w:rsidR="00EE3DF9" w:rsidRPr="00F5382B" w:rsidRDefault="00EE3DF9">
            <w:pPr>
              <w:textAlignment w:val="baseline"/>
              <w:rPr>
                <w:noProof/>
                <w:lang w:val="en-IE"/>
              </w:rPr>
            </w:pPr>
            <w:r w:rsidRPr="00F5382B">
              <w:rPr>
                <w:noProof/>
              </w:rPr>
              <w:t>Medium-sized enterprises</w:t>
            </w:r>
            <w:r w:rsidRPr="00F5382B">
              <w:rPr>
                <w:noProof/>
                <w:lang w:val="en-IE"/>
              </w:rPr>
              <w:t>  </w:t>
            </w:r>
          </w:p>
        </w:tc>
        <w:tc>
          <w:tcPr>
            <w:tcW w:w="2925" w:type="dxa"/>
            <w:tcBorders>
              <w:top w:val="single" w:sz="6" w:space="0" w:color="auto"/>
              <w:left w:val="single" w:sz="6" w:space="0" w:color="auto"/>
              <w:bottom w:val="single" w:sz="6" w:space="0" w:color="auto"/>
              <w:right w:val="single" w:sz="6" w:space="0" w:color="auto"/>
            </w:tcBorders>
            <w:vAlign w:val="center"/>
            <w:hideMark/>
          </w:tcPr>
          <w:p w14:paraId="6F2CD833" w14:textId="77777777" w:rsidR="00EE3DF9" w:rsidRPr="00F5382B" w:rsidRDefault="00EE3DF9">
            <w:pPr>
              <w:textAlignment w:val="baseline"/>
              <w:rPr>
                <w:noProof/>
                <w:lang w:val="en-IE"/>
              </w:rPr>
            </w:pPr>
            <w:r w:rsidRPr="00F5382B">
              <w:rPr>
                <w:noProof/>
              </w:rPr>
              <w:t>8</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266F1A2F" w14:textId="77777777" w:rsidR="00EE3DF9" w:rsidRPr="00F5382B" w:rsidRDefault="00EE3DF9">
            <w:pPr>
              <w:textAlignment w:val="baseline"/>
              <w:rPr>
                <w:noProof/>
                <w:lang w:val="en-IE"/>
              </w:rPr>
            </w:pPr>
            <w:r w:rsidRPr="00F5382B">
              <w:rPr>
                <w:noProof/>
              </w:rPr>
              <w:t>10.1 %</w:t>
            </w:r>
            <w:r w:rsidRPr="00F5382B">
              <w:rPr>
                <w:noProof/>
                <w:lang w:val="en-IE"/>
              </w:rPr>
              <w:t>  </w:t>
            </w:r>
          </w:p>
        </w:tc>
      </w:tr>
      <w:tr w:rsidR="00EE3DF9" w:rsidRPr="00F5382B" w14:paraId="767BB68B" w14:textId="77777777">
        <w:trPr>
          <w:trHeight w:val="300"/>
        </w:trPr>
        <w:tc>
          <w:tcPr>
            <w:tcW w:w="2895" w:type="dxa"/>
            <w:tcBorders>
              <w:top w:val="single" w:sz="6" w:space="0" w:color="auto"/>
              <w:left w:val="single" w:sz="6" w:space="0" w:color="auto"/>
              <w:bottom w:val="single" w:sz="6" w:space="0" w:color="auto"/>
              <w:right w:val="single" w:sz="6" w:space="0" w:color="auto"/>
            </w:tcBorders>
            <w:vAlign w:val="center"/>
            <w:hideMark/>
          </w:tcPr>
          <w:p w14:paraId="7C75FA48" w14:textId="77777777" w:rsidR="00EE3DF9" w:rsidRPr="00F5382B" w:rsidRDefault="00EE3DF9">
            <w:pPr>
              <w:textAlignment w:val="baseline"/>
              <w:rPr>
                <w:noProof/>
                <w:lang w:val="en-IE"/>
              </w:rPr>
            </w:pPr>
            <w:r w:rsidRPr="00F5382B">
              <w:rPr>
                <w:noProof/>
              </w:rPr>
              <w:t>Small enterprises</w:t>
            </w:r>
            <w:r w:rsidRPr="00F5382B">
              <w:rPr>
                <w:noProof/>
                <w:lang w:val="en-IE"/>
              </w:rPr>
              <w:t>  </w:t>
            </w:r>
          </w:p>
        </w:tc>
        <w:tc>
          <w:tcPr>
            <w:tcW w:w="2925" w:type="dxa"/>
            <w:tcBorders>
              <w:top w:val="single" w:sz="6" w:space="0" w:color="auto"/>
              <w:left w:val="single" w:sz="6" w:space="0" w:color="auto"/>
              <w:bottom w:val="single" w:sz="6" w:space="0" w:color="auto"/>
              <w:right w:val="single" w:sz="6" w:space="0" w:color="auto"/>
            </w:tcBorders>
            <w:vAlign w:val="center"/>
            <w:hideMark/>
          </w:tcPr>
          <w:p w14:paraId="550FA640" w14:textId="77777777" w:rsidR="00EE3DF9" w:rsidRPr="00F5382B" w:rsidRDefault="00EE3DF9">
            <w:pPr>
              <w:textAlignment w:val="baseline"/>
              <w:rPr>
                <w:noProof/>
                <w:lang w:val="en-IE"/>
              </w:rPr>
            </w:pPr>
            <w:r w:rsidRPr="00F5382B">
              <w:rPr>
                <w:noProof/>
              </w:rPr>
              <w:t>9</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5469B619" w14:textId="77777777" w:rsidR="00EE3DF9" w:rsidRPr="00F5382B" w:rsidRDefault="00EE3DF9">
            <w:pPr>
              <w:textAlignment w:val="baseline"/>
              <w:rPr>
                <w:noProof/>
                <w:lang w:val="en-IE"/>
              </w:rPr>
            </w:pPr>
            <w:r w:rsidRPr="00F5382B">
              <w:rPr>
                <w:noProof/>
              </w:rPr>
              <w:t>11.4 %</w:t>
            </w:r>
            <w:r w:rsidRPr="00F5382B">
              <w:rPr>
                <w:noProof/>
                <w:lang w:val="en-IE"/>
              </w:rPr>
              <w:t>  </w:t>
            </w:r>
          </w:p>
        </w:tc>
      </w:tr>
      <w:tr w:rsidR="00EE3DF9" w:rsidRPr="00F5382B" w14:paraId="628FE56B" w14:textId="77777777">
        <w:trPr>
          <w:trHeight w:val="300"/>
        </w:trPr>
        <w:tc>
          <w:tcPr>
            <w:tcW w:w="2895" w:type="dxa"/>
            <w:tcBorders>
              <w:top w:val="single" w:sz="6" w:space="0" w:color="auto"/>
              <w:left w:val="single" w:sz="6" w:space="0" w:color="auto"/>
              <w:bottom w:val="single" w:sz="6" w:space="0" w:color="auto"/>
              <w:right w:val="single" w:sz="6" w:space="0" w:color="auto"/>
            </w:tcBorders>
            <w:vAlign w:val="center"/>
            <w:hideMark/>
          </w:tcPr>
          <w:p w14:paraId="0316EE0F" w14:textId="77777777" w:rsidR="00EE3DF9" w:rsidRPr="00F5382B" w:rsidRDefault="00EE3DF9">
            <w:pPr>
              <w:textAlignment w:val="baseline"/>
              <w:rPr>
                <w:noProof/>
                <w:lang w:val="en-IE"/>
              </w:rPr>
            </w:pPr>
            <w:r w:rsidRPr="00F5382B">
              <w:rPr>
                <w:noProof/>
              </w:rPr>
              <w:t>Micro enterprises</w:t>
            </w:r>
            <w:r w:rsidRPr="00F5382B">
              <w:rPr>
                <w:noProof/>
                <w:lang w:val="en-IE"/>
              </w:rPr>
              <w:t>  </w:t>
            </w:r>
          </w:p>
        </w:tc>
        <w:tc>
          <w:tcPr>
            <w:tcW w:w="2925" w:type="dxa"/>
            <w:tcBorders>
              <w:top w:val="single" w:sz="6" w:space="0" w:color="auto"/>
              <w:left w:val="single" w:sz="6" w:space="0" w:color="auto"/>
              <w:bottom w:val="single" w:sz="6" w:space="0" w:color="auto"/>
              <w:right w:val="single" w:sz="6" w:space="0" w:color="auto"/>
            </w:tcBorders>
            <w:vAlign w:val="center"/>
            <w:hideMark/>
          </w:tcPr>
          <w:p w14:paraId="21B756CB" w14:textId="77777777" w:rsidR="00EE3DF9" w:rsidRPr="00F5382B" w:rsidRDefault="00EE3DF9">
            <w:pPr>
              <w:textAlignment w:val="baseline"/>
              <w:rPr>
                <w:noProof/>
                <w:lang w:val="en-IE"/>
              </w:rPr>
            </w:pPr>
            <w:r w:rsidRPr="00F5382B">
              <w:rPr>
                <w:noProof/>
              </w:rPr>
              <w:t>12</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1897D12" w14:textId="77777777" w:rsidR="00EE3DF9" w:rsidRPr="00F5382B" w:rsidRDefault="00EE3DF9">
            <w:pPr>
              <w:textAlignment w:val="baseline"/>
              <w:rPr>
                <w:noProof/>
                <w:lang w:val="en-IE"/>
              </w:rPr>
            </w:pPr>
            <w:r w:rsidRPr="00F5382B">
              <w:rPr>
                <w:noProof/>
              </w:rPr>
              <w:t>15.2 %</w:t>
            </w:r>
            <w:r w:rsidRPr="00F5382B">
              <w:rPr>
                <w:noProof/>
                <w:lang w:val="en-IE"/>
              </w:rPr>
              <w:t>  </w:t>
            </w:r>
          </w:p>
        </w:tc>
      </w:tr>
    </w:tbl>
    <w:p w14:paraId="45611775" w14:textId="77777777" w:rsidR="00EE3DF9" w:rsidRPr="00F5382B" w:rsidRDefault="00EE3DF9" w:rsidP="00EE3DF9">
      <w:pPr>
        <w:textAlignment w:val="baseline"/>
        <w:rPr>
          <w:noProof/>
          <w:lang w:val="en-IE"/>
        </w:rPr>
      </w:pPr>
      <w:r w:rsidRPr="00F5382B">
        <w:rPr>
          <w:noProof/>
        </w:rPr>
        <w:t>Total number of SMEs (micro + small + medium): 29 (36.7 %)</w:t>
      </w:r>
      <w:r w:rsidRPr="00F5382B">
        <w:rPr>
          <w:noProof/>
          <w:lang w:val="en-IE"/>
        </w:rPr>
        <w:t>  </w:t>
      </w:r>
    </w:p>
    <w:p w14:paraId="38CDB853" w14:textId="77777777" w:rsidR="00EE3DF9" w:rsidRPr="00F5382B" w:rsidRDefault="00EE3DF9" w:rsidP="00EE3DF9">
      <w:pPr>
        <w:textAlignment w:val="baseline"/>
        <w:rPr>
          <w:noProof/>
          <w:lang w:val="en-IE"/>
        </w:rPr>
      </w:pPr>
      <w:r w:rsidRPr="00F5382B">
        <w:rPr>
          <w:noProof/>
        </w:rPr>
        <w:t>Responses were received from across 26 countries, including all EU Member States and a few non-EU countries. The table below presents the distribution of respondents by country, sorted by descending order, with non-EU countries grouped under “Other countries” unless they recorded a significant number of replies.</w:t>
      </w:r>
      <w:r w:rsidRPr="00F5382B">
        <w:rPr>
          <w:noProof/>
          <w:lang w:val="en-IE"/>
        </w:rPr>
        <w:t>  </w:t>
      </w:r>
    </w:p>
    <w:p w14:paraId="4725134E" w14:textId="5B19E071" w:rsidR="00EE3DF9" w:rsidRPr="00F5382B" w:rsidRDefault="00EE3DF9" w:rsidP="00EE3DF9">
      <w:pPr>
        <w:pStyle w:val="Heading5"/>
        <w:rPr>
          <w:noProof/>
        </w:rPr>
      </w:pPr>
      <w:bookmarkStart w:id="184" w:name="_Toc218767799"/>
      <w:r w:rsidRPr="00F5382B">
        <w:rPr>
          <w:noProof/>
        </w:rPr>
        <w:t xml:space="preserve">Table </w:t>
      </w:r>
      <w:r w:rsidR="004A60E7">
        <w:rPr>
          <w:noProof/>
        </w:rPr>
        <w:t>4</w:t>
      </w:r>
      <w:r w:rsidRPr="00F5382B">
        <w:rPr>
          <w:noProof/>
        </w:rPr>
        <w:t>: Respondents by country (n = 193)</w:t>
      </w:r>
      <w:bookmarkEnd w:id="184"/>
      <w:r w:rsidRPr="00F5382B">
        <w:rPr>
          <w:noProof/>
        </w:rPr>
        <w:t> </w:t>
      </w:r>
    </w:p>
    <w:p w14:paraId="7462784A" w14:textId="77777777" w:rsidR="00EE3DF9" w:rsidRPr="00F5382B" w:rsidRDefault="00EE3DF9" w:rsidP="00EE3DF9">
      <w:pPr>
        <w:textAlignment w:val="baseline"/>
        <w:rPr>
          <w:noProof/>
          <w:lang w:val="en-IE"/>
        </w:rPr>
      </w:pPr>
      <w:r w:rsidRPr="00F5382B">
        <w:rPr>
          <w:noProof/>
        </w:rPr>
        <w:t>(Non-EU countries grouped under “Other countries” unless they had relevant participation)</w:t>
      </w:r>
      <w:r w:rsidRPr="00F5382B">
        <w:rPr>
          <w:noProof/>
          <w:lang w:val="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0"/>
        <w:gridCol w:w="2910"/>
        <w:gridCol w:w="2895"/>
      </w:tblGrid>
      <w:tr w:rsidR="00EE3DF9" w:rsidRPr="00F5382B" w14:paraId="185230E3"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00ADB0BD" w14:textId="77777777" w:rsidR="00EE3DF9" w:rsidRPr="00F5382B" w:rsidRDefault="00EE3DF9">
            <w:pPr>
              <w:textAlignment w:val="baseline"/>
              <w:rPr>
                <w:noProof/>
                <w:lang w:val="en-IE"/>
              </w:rPr>
            </w:pPr>
            <w:r w:rsidRPr="00F5382B">
              <w:rPr>
                <w:b/>
                <w:bCs/>
                <w:noProof/>
              </w:rPr>
              <w:t>Country</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2261EDE5" w14:textId="77777777" w:rsidR="00EE3DF9" w:rsidRPr="00F5382B" w:rsidRDefault="00EE3DF9">
            <w:pPr>
              <w:textAlignment w:val="baseline"/>
              <w:rPr>
                <w:noProof/>
                <w:lang w:val="en-IE"/>
              </w:rPr>
            </w:pPr>
            <w:r w:rsidRPr="00F5382B">
              <w:rPr>
                <w:b/>
                <w:bCs/>
                <w:noProof/>
              </w:rPr>
              <w:t>Number of respondents</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1F03C9E" w14:textId="77777777" w:rsidR="00EE3DF9" w:rsidRPr="00F5382B" w:rsidRDefault="00EE3DF9">
            <w:pPr>
              <w:textAlignment w:val="baseline"/>
              <w:rPr>
                <w:noProof/>
                <w:lang w:val="en-IE"/>
              </w:rPr>
            </w:pPr>
            <w:r w:rsidRPr="00F5382B">
              <w:rPr>
                <w:b/>
                <w:bCs/>
                <w:noProof/>
              </w:rPr>
              <w:t>Percentage (%)</w:t>
            </w:r>
            <w:r w:rsidRPr="00F5382B">
              <w:rPr>
                <w:noProof/>
                <w:lang w:val="en-IE"/>
              </w:rPr>
              <w:t>  </w:t>
            </w:r>
          </w:p>
        </w:tc>
      </w:tr>
      <w:tr w:rsidR="00EE3DF9" w:rsidRPr="00F5382B" w14:paraId="7A1613D0"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bottom"/>
            <w:hideMark/>
          </w:tcPr>
          <w:p w14:paraId="242A2821" w14:textId="77777777" w:rsidR="00EE3DF9" w:rsidRPr="00F5382B" w:rsidRDefault="00EE3DF9">
            <w:pPr>
              <w:textAlignment w:val="baseline"/>
              <w:rPr>
                <w:noProof/>
                <w:lang w:val="en-IE"/>
              </w:rPr>
            </w:pPr>
            <w:r w:rsidRPr="00F5382B">
              <w:rPr>
                <w:noProof/>
              </w:rPr>
              <w:t>Belgium</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005249E7" w14:textId="77777777" w:rsidR="00EE3DF9" w:rsidRPr="00F5382B" w:rsidRDefault="00EE3DF9">
            <w:pPr>
              <w:textAlignment w:val="baseline"/>
              <w:rPr>
                <w:noProof/>
                <w:lang w:val="en-IE"/>
              </w:rPr>
            </w:pPr>
            <w:r w:rsidRPr="00F5382B">
              <w:rPr>
                <w:noProof/>
              </w:rPr>
              <w:t>30</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6FE9DED2" w14:textId="77777777" w:rsidR="00EE3DF9" w:rsidRPr="00F5382B" w:rsidRDefault="00EE3DF9">
            <w:pPr>
              <w:textAlignment w:val="baseline"/>
              <w:rPr>
                <w:noProof/>
                <w:lang w:val="en-IE"/>
              </w:rPr>
            </w:pPr>
            <w:r w:rsidRPr="00F5382B">
              <w:rPr>
                <w:noProof/>
              </w:rPr>
              <w:t>15.5 %</w:t>
            </w:r>
            <w:r w:rsidRPr="00F5382B">
              <w:rPr>
                <w:noProof/>
                <w:lang w:val="en-IE"/>
              </w:rPr>
              <w:t>  </w:t>
            </w:r>
          </w:p>
        </w:tc>
      </w:tr>
      <w:tr w:rsidR="00EE3DF9" w:rsidRPr="00F5382B" w14:paraId="0D550C9D"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3C030A60" w14:textId="77777777" w:rsidR="00EE3DF9" w:rsidRPr="00F5382B" w:rsidRDefault="00EE3DF9">
            <w:pPr>
              <w:textAlignment w:val="baseline"/>
              <w:rPr>
                <w:noProof/>
                <w:lang w:val="en-IE"/>
              </w:rPr>
            </w:pPr>
            <w:r w:rsidRPr="00F5382B">
              <w:rPr>
                <w:noProof/>
              </w:rPr>
              <w:t>France</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5BB1C96F" w14:textId="77777777" w:rsidR="00EE3DF9" w:rsidRPr="00F5382B" w:rsidRDefault="00EE3DF9">
            <w:pPr>
              <w:textAlignment w:val="baseline"/>
              <w:rPr>
                <w:noProof/>
                <w:lang w:val="en-IE"/>
              </w:rPr>
            </w:pPr>
            <w:r w:rsidRPr="00F5382B">
              <w:rPr>
                <w:noProof/>
              </w:rPr>
              <w:t>27</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4E8988E1" w14:textId="77777777" w:rsidR="00EE3DF9" w:rsidRPr="00F5382B" w:rsidRDefault="00EE3DF9">
            <w:pPr>
              <w:textAlignment w:val="baseline"/>
              <w:rPr>
                <w:noProof/>
                <w:lang w:val="en-IE"/>
              </w:rPr>
            </w:pPr>
            <w:r w:rsidRPr="00F5382B">
              <w:rPr>
                <w:noProof/>
              </w:rPr>
              <w:t>14.0 %</w:t>
            </w:r>
            <w:r w:rsidRPr="00F5382B">
              <w:rPr>
                <w:noProof/>
                <w:lang w:val="en-IE"/>
              </w:rPr>
              <w:t>  </w:t>
            </w:r>
          </w:p>
        </w:tc>
      </w:tr>
      <w:tr w:rsidR="00EE3DF9" w:rsidRPr="00F5382B" w14:paraId="23344C41"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12D19397" w14:textId="77777777" w:rsidR="00EE3DF9" w:rsidRPr="00F5382B" w:rsidRDefault="00EE3DF9">
            <w:pPr>
              <w:textAlignment w:val="baseline"/>
              <w:rPr>
                <w:noProof/>
                <w:lang w:val="en-IE"/>
              </w:rPr>
            </w:pPr>
            <w:r w:rsidRPr="00F5382B">
              <w:rPr>
                <w:noProof/>
              </w:rPr>
              <w:t>Germany</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0D17D64F" w14:textId="77777777" w:rsidR="00EE3DF9" w:rsidRPr="00F5382B" w:rsidRDefault="00EE3DF9">
            <w:pPr>
              <w:textAlignment w:val="baseline"/>
              <w:rPr>
                <w:noProof/>
                <w:lang w:val="en-IE"/>
              </w:rPr>
            </w:pPr>
            <w:r w:rsidRPr="00F5382B">
              <w:rPr>
                <w:noProof/>
              </w:rPr>
              <w:t>23</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66854EFE" w14:textId="77777777" w:rsidR="00EE3DF9" w:rsidRPr="00F5382B" w:rsidRDefault="00EE3DF9">
            <w:pPr>
              <w:textAlignment w:val="baseline"/>
              <w:rPr>
                <w:noProof/>
                <w:lang w:val="en-IE"/>
              </w:rPr>
            </w:pPr>
            <w:r w:rsidRPr="00F5382B">
              <w:rPr>
                <w:noProof/>
              </w:rPr>
              <w:t>11.9 %</w:t>
            </w:r>
            <w:r w:rsidRPr="00F5382B">
              <w:rPr>
                <w:noProof/>
                <w:lang w:val="en-IE"/>
              </w:rPr>
              <w:t>  </w:t>
            </w:r>
          </w:p>
        </w:tc>
      </w:tr>
      <w:tr w:rsidR="00EE3DF9" w:rsidRPr="00F5382B" w14:paraId="5FB09B26"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285E1542" w14:textId="77777777" w:rsidR="00EE3DF9" w:rsidRPr="00F5382B" w:rsidRDefault="00EE3DF9">
            <w:pPr>
              <w:textAlignment w:val="baseline"/>
              <w:rPr>
                <w:noProof/>
                <w:lang w:val="en-IE"/>
              </w:rPr>
            </w:pPr>
            <w:r w:rsidRPr="00F5382B">
              <w:rPr>
                <w:noProof/>
              </w:rPr>
              <w:t>United States</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3C624EEE" w14:textId="77777777" w:rsidR="00EE3DF9" w:rsidRPr="00F5382B" w:rsidRDefault="00EE3DF9">
            <w:pPr>
              <w:textAlignment w:val="baseline"/>
              <w:rPr>
                <w:noProof/>
                <w:lang w:val="en-IE"/>
              </w:rPr>
            </w:pPr>
            <w:r w:rsidRPr="00F5382B">
              <w:rPr>
                <w:noProof/>
              </w:rPr>
              <w:t>14</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27AE504" w14:textId="77777777" w:rsidR="00EE3DF9" w:rsidRPr="00F5382B" w:rsidRDefault="00EE3DF9">
            <w:pPr>
              <w:textAlignment w:val="baseline"/>
              <w:rPr>
                <w:noProof/>
                <w:lang w:val="en-IE"/>
              </w:rPr>
            </w:pPr>
            <w:r w:rsidRPr="00F5382B">
              <w:rPr>
                <w:noProof/>
              </w:rPr>
              <w:t>7.3 %</w:t>
            </w:r>
            <w:r w:rsidRPr="00F5382B">
              <w:rPr>
                <w:noProof/>
                <w:lang w:val="en-IE"/>
              </w:rPr>
              <w:t>  </w:t>
            </w:r>
          </w:p>
        </w:tc>
      </w:tr>
      <w:tr w:rsidR="00EE3DF9" w:rsidRPr="00F5382B" w14:paraId="5FDDF9E9"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153CF2B3" w14:textId="77777777" w:rsidR="00EE3DF9" w:rsidRPr="00F5382B" w:rsidRDefault="00EE3DF9">
            <w:pPr>
              <w:textAlignment w:val="baseline"/>
              <w:rPr>
                <w:noProof/>
                <w:lang w:val="en-IE"/>
              </w:rPr>
            </w:pPr>
            <w:r w:rsidRPr="00F5382B">
              <w:rPr>
                <w:noProof/>
              </w:rPr>
              <w:t>Spain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5E377419" w14:textId="77777777" w:rsidR="00EE3DF9" w:rsidRPr="00F5382B" w:rsidRDefault="00EE3DF9">
            <w:pPr>
              <w:textAlignment w:val="baseline"/>
              <w:rPr>
                <w:noProof/>
                <w:lang w:val="en-IE"/>
              </w:rPr>
            </w:pPr>
            <w:r w:rsidRPr="00F5382B">
              <w:rPr>
                <w:noProof/>
              </w:rPr>
              <w:t>11</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106DD055" w14:textId="77777777" w:rsidR="00EE3DF9" w:rsidRPr="00F5382B" w:rsidRDefault="00EE3DF9">
            <w:pPr>
              <w:textAlignment w:val="baseline"/>
              <w:rPr>
                <w:noProof/>
                <w:lang w:val="en-IE"/>
              </w:rPr>
            </w:pPr>
            <w:r w:rsidRPr="00F5382B">
              <w:rPr>
                <w:noProof/>
              </w:rPr>
              <w:t>5.7 %</w:t>
            </w:r>
            <w:r w:rsidRPr="00F5382B">
              <w:rPr>
                <w:noProof/>
                <w:lang w:val="en-IE"/>
              </w:rPr>
              <w:t>  </w:t>
            </w:r>
          </w:p>
        </w:tc>
      </w:tr>
      <w:tr w:rsidR="00EE3DF9" w:rsidRPr="00F5382B" w14:paraId="3D8EDC42"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61C93FDA" w14:textId="77777777" w:rsidR="00EE3DF9" w:rsidRPr="00F5382B" w:rsidRDefault="00EE3DF9">
            <w:pPr>
              <w:textAlignment w:val="baseline"/>
              <w:rPr>
                <w:noProof/>
                <w:lang w:val="en-IE"/>
              </w:rPr>
            </w:pPr>
            <w:r w:rsidRPr="00F5382B">
              <w:rPr>
                <w:noProof/>
              </w:rPr>
              <w:t>Italy</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00A370BB" w14:textId="77777777" w:rsidR="00EE3DF9" w:rsidRPr="00F5382B" w:rsidRDefault="00EE3DF9">
            <w:pPr>
              <w:textAlignment w:val="baseline"/>
              <w:rPr>
                <w:noProof/>
                <w:lang w:val="en-IE"/>
              </w:rPr>
            </w:pPr>
            <w:r w:rsidRPr="00F5382B">
              <w:rPr>
                <w:noProof/>
              </w:rPr>
              <w:t>10</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192863F1" w14:textId="77777777" w:rsidR="00EE3DF9" w:rsidRPr="00F5382B" w:rsidRDefault="00EE3DF9">
            <w:pPr>
              <w:textAlignment w:val="baseline"/>
              <w:rPr>
                <w:noProof/>
                <w:lang w:val="en-IE"/>
              </w:rPr>
            </w:pPr>
            <w:r w:rsidRPr="00F5382B">
              <w:rPr>
                <w:noProof/>
              </w:rPr>
              <w:t>5.2 %</w:t>
            </w:r>
            <w:r w:rsidRPr="00F5382B">
              <w:rPr>
                <w:noProof/>
                <w:lang w:val="en-IE"/>
              </w:rPr>
              <w:t>  </w:t>
            </w:r>
          </w:p>
        </w:tc>
      </w:tr>
      <w:tr w:rsidR="00EE3DF9" w:rsidRPr="00F5382B" w14:paraId="0182753A"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2CA4AECD" w14:textId="77777777" w:rsidR="00EE3DF9" w:rsidRPr="00F5382B" w:rsidRDefault="00EE3DF9">
            <w:pPr>
              <w:textAlignment w:val="baseline"/>
              <w:rPr>
                <w:noProof/>
                <w:lang w:val="en-IE"/>
              </w:rPr>
            </w:pPr>
            <w:r w:rsidRPr="00F5382B">
              <w:rPr>
                <w:noProof/>
              </w:rPr>
              <w:t>Hungary</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4D2AFF6" w14:textId="77777777" w:rsidR="00EE3DF9" w:rsidRPr="00F5382B" w:rsidRDefault="00EE3DF9">
            <w:pPr>
              <w:textAlignment w:val="baseline"/>
              <w:rPr>
                <w:noProof/>
                <w:lang w:val="en-IE"/>
              </w:rPr>
            </w:pPr>
            <w:r w:rsidRPr="00F5382B">
              <w:rPr>
                <w:noProof/>
              </w:rPr>
              <w:t>9</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61B540C3" w14:textId="77777777" w:rsidR="00EE3DF9" w:rsidRPr="00F5382B" w:rsidRDefault="00EE3DF9">
            <w:pPr>
              <w:textAlignment w:val="baseline"/>
              <w:rPr>
                <w:noProof/>
                <w:lang w:val="en-IE"/>
              </w:rPr>
            </w:pPr>
            <w:r w:rsidRPr="00F5382B">
              <w:rPr>
                <w:noProof/>
              </w:rPr>
              <w:t>4.7 %</w:t>
            </w:r>
            <w:r w:rsidRPr="00F5382B">
              <w:rPr>
                <w:noProof/>
                <w:lang w:val="en-IE"/>
              </w:rPr>
              <w:t>  </w:t>
            </w:r>
          </w:p>
        </w:tc>
      </w:tr>
      <w:tr w:rsidR="00EE3DF9" w:rsidRPr="00F5382B" w14:paraId="391AB40A"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04D7D344" w14:textId="77777777" w:rsidR="00EE3DF9" w:rsidRPr="00F5382B" w:rsidRDefault="00EE3DF9">
            <w:pPr>
              <w:textAlignment w:val="baseline"/>
              <w:rPr>
                <w:noProof/>
                <w:lang w:val="en-IE"/>
              </w:rPr>
            </w:pPr>
            <w:r w:rsidRPr="00F5382B">
              <w:rPr>
                <w:noProof/>
              </w:rPr>
              <w:t>Austria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6D09D16" w14:textId="77777777" w:rsidR="00EE3DF9" w:rsidRPr="00F5382B" w:rsidRDefault="00EE3DF9">
            <w:pPr>
              <w:textAlignment w:val="baseline"/>
              <w:rPr>
                <w:noProof/>
                <w:lang w:val="en-IE"/>
              </w:rPr>
            </w:pPr>
            <w:r w:rsidRPr="00F5382B">
              <w:rPr>
                <w:noProof/>
              </w:rPr>
              <w:t>9</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6C2741F8" w14:textId="77777777" w:rsidR="00EE3DF9" w:rsidRPr="00F5382B" w:rsidRDefault="00EE3DF9">
            <w:pPr>
              <w:textAlignment w:val="baseline"/>
              <w:rPr>
                <w:noProof/>
                <w:lang w:val="en-IE"/>
              </w:rPr>
            </w:pPr>
            <w:r w:rsidRPr="00F5382B">
              <w:rPr>
                <w:noProof/>
              </w:rPr>
              <w:t>4.7 %</w:t>
            </w:r>
            <w:r w:rsidRPr="00F5382B">
              <w:rPr>
                <w:noProof/>
                <w:lang w:val="en-IE"/>
              </w:rPr>
              <w:t>  </w:t>
            </w:r>
          </w:p>
        </w:tc>
      </w:tr>
      <w:tr w:rsidR="00EE3DF9" w:rsidRPr="00F5382B" w14:paraId="14010252"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5079C1AB" w14:textId="77777777" w:rsidR="00EE3DF9" w:rsidRPr="00F5382B" w:rsidRDefault="00EE3DF9">
            <w:pPr>
              <w:textAlignment w:val="baseline"/>
              <w:rPr>
                <w:noProof/>
                <w:lang w:val="en-IE"/>
              </w:rPr>
            </w:pPr>
            <w:r w:rsidRPr="00F5382B">
              <w:rPr>
                <w:noProof/>
              </w:rPr>
              <w:t>Netherlands</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A079562" w14:textId="77777777" w:rsidR="00EE3DF9" w:rsidRPr="00F5382B" w:rsidRDefault="00EE3DF9">
            <w:pPr>
              <w:textAlignment w:val="baseline"/>
              <w:rPr>
                <w:noProof/>
                <w:lang w:val="en-IE"/>
              </w:rPr>
            </w:pPr>
            <w:r w:rsidRPr="00F5382B">
              <w:rPr>
                <w:noProof/>
              </w:rPr>
              <w:t>8</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3FFACFC1" w14:textId="77777777" w:rsidR="00EE3DF9" w:rsidRPr="00F5382B" w:rsidRDefault="00EE3DF9">
            <w:pPr>
              <w:textAlignment w:val="baseline"/>
              <w:rPr>
                <w:noProof/>
                <w:lang w:val="en-IE"/>
              </w:rPr>
            </w:pPr>
            <w:r w:rsidRPr="00F5382B">
              <w:rPr>
                <w:noProof/>
              </w:rPr>
              <w:t>4.1 %</w:t>
            </w:r>
            <w:r w:rsidRPr="00F5382B">
              <w:rPr>
                <w:noProof/>
                <w:lang w:val="en-IE"/>
              </w:rPr>
              <w:t>  </w:t>
            </w:r>
          </w:p>
        </w:tc>
      </w:tr>
      <w:tr w:rsidR="00EE3DF9" w:rsidRPr="00F5382B" w14:paraId="0E52E307"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05C2CA27" w14:textId="77777777" w:rsidR="00EE3DF9" w:rsidRPr="00F5382B" w:rsidRDefault="00EE3DF9">
            <w:pPr>
              <w:textAlignment w:val="baseline"/>
              <w:rPr>
                <w:noProof/>
                <w:lang w:val="en-IE"/>
              </w:rPr>
            </w:pPr>
            <w:r w:rsidRPr="00F5382B">
              <w:rPr>
                <w:noProof/>
              </w:rPr>
              <w:t>Poland</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CD1DCCA" w14:textId="77777777" w:rsidR="00EE3DF9" w:rsidRPr="00F5382B" w:rsidRDefault="00EE3DF9">
            <w:pPr>
              <w:textAlignment w:val="baseline"/>
              <w:rPr>
                <w:noProof/>
                <w:lang w:val="en-IE"/>
              </w:rPr>
            </w:pPr>
            <w:r w:rsidRPr="00F5382B">
              <w:rPr>
                <w:noProof/>
              </w:rPr>
              <w:t>6</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3A0FE1B6" w14:textId="77777777" w:rsidR="00EE3DF9" w:rsidRPr="00F5382B" w:rsidRDefault="00EE3DF9">
            <w:pPr>
              <w:textAlignment w:val="baseline"/>
              <w:rPr>
                <w:noProof/>
                <w:lang w:val="en-IE"/>
              </w:rPr>
            </w:pPr>
            <w:r w:rsidRPr="00F5382B">
              <w:rPr>
                <w:noProof/>
              </w:rPr>
              <w:t>3.1 %</w:t>
            </w:r>
            <w:r w:rsidRPr="00F5382B">
              <w:rPr>
                <w:noProof/>
                <w:lang w:val="en-IE"/>
              </w:rPr>
              <w:t>  </w:t>
            </w:r>
          </w:p>
        </w:tc>
      </w:tr>
      <w:tr w:rsidR="00EE3DF9" w:rsidRPr="00F5382B" w14:paraId="52E56A9B"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1CDC4A34" w14:textId="77777777" w:rsidR="00EE3DF9" w:rsidRPr="00F5382B" w:rsidRDefault="00EE3DF9">
            <w:pPr>
              <w:textAlignment w:val="baseline"/>
              <w:rPr>
                <w:noProof/>
                <w:lang w:val="en-IE"/>
              </w:rPr>
            </w:pPr>
            <w:r w:rsidRPr="00F5382B">
              <w:rPr>
                <w:noProof/>
              </w:rPr>
              <w:t>Czechia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A176B61" w14:textId="77777777" w:rsidR="00EE3DF9" w:rsidRPr="00F5382B" w:rsidRDefault="00EE3DF9">
            <w:pPr>
              <w:textAlignment w:val="baseline"/>
              <w:rPr>
                <w:noProof/>
                <w:lang w:val="en-IE"/>
              </w:rPr>
            </w:pPr>
            <w:r w:rsidRPr="00F5382B">
              <w:rPr>
                <w:noProof/>
              </w:rPr>
              <w:t>6</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7F7F54CE" w14:textId="77777777" w:rsidR="00EE3DF9" w:rsidRPr="00F5382B" w:rsidRDefault="00EE3DF9">
            <w:pPr>
              <w:textAlignment w:val="baseline"/>
              <w:rPr>
                <w:noProof/>
                <w:lang w:val="en-IE"/>
              </w:rPr>
            </w:pPr>
            <w:r w:rsidRPr="00F5382B">
              <w:rPr>
                <w:noProof/>
              </w:rPr>
              <w:t>3.1 %</w:t>
            </w:r>
            <w:r w:rsidRPr="00F5382B">
              <w:rPr>
                <w:noProof/>
                <w:lang w:val="en-IE"/>
              </w:rPr>
              <w:t>  </w:t>
            </w:r>
          </w:p>
        </w:tc>
      </w:tr>
      <w:tr w:rsidR="00EE3DF9" w:rsidRPr="00F5382B" w14:paraId="0C282822"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46379B3E" w14:textId="77777777" w:rsidR="00EE3DF9" w:rsidRPr="00F5382B" w:rsidRDefault="00EE3DF9">
            <w:pPr>
              <w:textAlignment w:val="baseline"/>
              <w:rPr>
                <w:noProof/>
                <w:lang w:val="en-IE"/>
              </w:rPr>
            </w:pPr>
            <w:r w:rsidRPr="00F5382B">
              <w:rPr>
                <w:noProof/>
              </w:rPr>
              <w:t>Ireland</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5E4B78AE" w14:textId="77777777" w:rsidR="00EE3DF9" w:rsidRPr="00F5382B" w:rsidRDefault="00EE3DF9">
            <w:pPr>
              <w:textAlignment w:val="baseline"/>
              <w:rPr>
                <w:noProof/>
                <w:lang w:val="en-IE"/>
              </w:rPr>
            </w:pPr>
            <w:r w:rsidRPr="00F5382B">
              <w:rPr>
                <w:noProof/>
              </w:rPr>
              <w:t>5</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10619F47" w14:textId="77777777" w:rsidR="00EE3DF9" w:rsidRPr="00F5382B" w:rsidRDefault="00EE3DF9">
            <w:pPr>
              <w:textAlignment w:val="baseline"/>
              <w:rPr>
                <w:noProof/>
                <w:lang w:val="en-IE"/>
              </w:rPr>
            </w:pPr>
            <w:r w:rsidRPr="00F5382B">
              <w:rPr>
                <w:noProof/>
              </w:rPr>
              <w:t>2.6 %</w:t>
            </w:r>
            <w:r w:rsidRPr="00F5382B">
              <w:rPr>
                <w:noProof/>
                <w:lang w:val="en-IE"/>
              </w:rPr>
              <w:t>  </w:t>
            </w:r>
          </w:p>
        </w:tc>
      </w:tr>
      <w:tr w:rsidR="00EE3DF9" w:rsidRPr="00F5382B" w14:paraId="5D04E709"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7B9862CF" w14:textId="77777777" w:rsidR="00EE3DF9" w:rsidRPr="00F5382B" w:rsidRDefault="00EE3DF9">
            <w:pPr>
              <w:textAlignment w:val="baseline"/>
              <w:rPr>
                <w:noProof/>
                <w:lang w:val="en-IE"/>
              </w:rPr>
            </w:pPr>
            <w:r w:rsidRPr="00F5382B">
              <w:rPr>
                <w:noProof/>
              </w:rPr>
              <w:t>Greece</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2013A3D3" w14:textId="77777777" w:rsidR="00EE3DF9" w:rsidRPr="00F5382B" w:rsidRDefault="00EE3DF9">
            <w:pPr>
              <w:textAlignment w:val="baseline"/>
              <w:rPr>
                <w:noProof/>
                <w:lang w:val="en-IE"/>
              </w:rPr>
            </w:pPr>
            <w:r w:rsidRPr="00F5382B">
              <w:rPr>
                <w:noProof/>
              </w:rPr>
              <w:t>5</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2C809C9C" w14:textId="77777777" w:rsidR="00EE3DF9" w:rsidRPr="00F5382B" w:rsidRDefault="00EE3DF9">
            <w:pPr>
              <w:textAlignment w:val="baseline"/>
              <w:rPr>
                <w:noProof/>
                <w:lang w:val="en-IE"/>
              </w:rPr>
            </w:pPr>
            <w:r w:rsidRPr="00F5382B">
              <w:rPr>
                <w:noProof/>
              </w:rPr>
              <w:t>2.6 %</w:t>
            </w:r>
            <w:r w:rsidRPr="00F5382B">
              <w:rPr>
                <w:noProof/>
                <w:lang w:val="en-IE"/>
              </w:rPr>
              <w:t>  </w:t>
            </w:r>
          </w:p>
        </w:tc>
      </w:tr>
      <w:tr w:rsidR="00EE3DF9" w:rsidRPr="00F5382B" w14:paraId="1259183C"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2020205C" w14:textId="77777777" w:rsidR="00EE3DF9" w:rsidRPr="00F5382B" w:rsidRDefault="00EE3DF9">
            <w:pPr>
              <w:textAlignment w:val="baseline"/>
              <w:rPr>
                <w:noProof/>
                <w:lang w:val="en-IE"/>
              </w:rPr>
            </w:pPr>
            <w:r w:rsidRPr="00F5382B">
              <w:rPr>
                <w:noProof/>
              </w:rPr>
              <w:t>Cyprus</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0B8625F8" w14:textId="77777777" w:rsidR="00EE3DF9" w:rsidRPr="00F5382B" w:rsidRDefault="00EE3DF9">
            <w:pPr>
              <w:textAlignment w:val="baseline"/>
              <w:rPr>
                <w:noProof/>
                <w:lang w:val="en-IE"/>
              </w:rPr>
            </w:pPr>
            <w:r w:rsidRPr="00F5382B">
              <w:rPr>
                <w:noProof/>
              </w:rPr>
              <w:t>3</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346B4594" w14:textId="77777777" w:rsidR="00EE3DF9" w:rsidRPr="00F5382B" w:rsidRDefault="00EE3DF9">
            <w:pPr>
              <w:textAlignment w:val="baseline"/>
              <w:rPr>
                <w:noProof/>
                <w:lang w:val="en-IE"/>
              </w:rPr>
            </w:pPr>
            <w:r w:rsidRPr="00F5382B">
              <w:rPr>
                <w:noProof/>
              </w:rPr>
              <w:t>1.6%</w:t>
            </w:r>
            <w:r w:rsidRPr="00F5382B">
              <w:rPr>
                <w:noProof/>
                <w:lang w:val="en-IE"/>
              </w:rPr>
              <w:t>  </w:t>
            </w:r>
          </w:p>
        </w:tc>
      </w:tr>
      <w:tr w:rsidR="00EE3DF9" w:rsidRPr="00F5382B" w14:paraId="3BB38D65"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7F0364A0" w14:textId="77777777" w:rsidR="00EE3DF9" w:rsidRPr="00F5382B" w:rsidRDefault="00EE3DF9">
            <w:pPr>
              <w:textAlignment w:val="baseline"/>
              <w:rPr>
                <w:noProof/>
                <w:lang w:val="en-IE"/>
              </w:rPr>
            </w:pPr>
            <w:r w:rsidRPr="00F5382B">
              <w:rPr>
                <w:noProof/>
              </w:rPr>
              <w:t>Sweden</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0383C1F"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48673D9D"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7DE888EA"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724441F7" w14:textId="77777777" w:rsidR="00EE3DF9" w:rsidRPr="00F5382B" w:rsidRDefault="00EE3DF9">
            <w:pPr>
              <w:textAlignment w:val="baseline"/>
              <w:rPr>
                <w:noProof/>
                <w:lang w:val="en-IE"/>
              </w:rPr>
            </w:pPr>
            <w:r w:rsidRPr="00F5382B">
              <w:rPr>
                <w:noProof/>
              </w:rPr>
              <w:t>Bulgaria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3FA39E9C"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0308A682"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3CA8A73B"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5CD961FC" w14:textId="77777777" w:rsidR="00EE3DF9" w:rsidRPr="00F5382B" w:rsidRDefault="00EE3DF9">
            <w:pPr>
              <w:textAlignment w:val="baseline"/>
              <w:rPr>
                <w:noProof/>
                <w:lang w:val="en-IE"/>
              </w:rPr>
            </w:pPr>
            <w:r w:rsidRPr="00F5382B">
              <w:rPr>
                <w:noProof/>
              </w:rPr>
              <w:t>Luxembourg</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A90DD63"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4289D477"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0A15D218"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2D245FA5" w14:textId="77777777" w:rsidR="00EE3DF9" w:rsidRPr="00F5382B" w:rsidRDefault="00EE3DF9">
            <w:pPr>
              <w:textAlignment w:val="baseline"/>
              <w:rPr>
                <w:noProof/>
                <w:lang w:val="en-IE"/>
              </w:rPr>
            </w:pPr>
            <w:r w:rsidRPr="00F5382B">
              <w:rPr>
                <w:noProof/>
              </w:rPr>
              <w:t>Estonia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67761548"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381B4AEA"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5126D5B1"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0229A975" w14:textId="77777777" w:rsidR="00EE3DF9" w:rsidRPr="00F5382B" w:rsidRDefault="00EE3DF9">
            <w:pPr>
              <w:textAlignment w:val="baseline"/>
              <w:rPr>
                <w:noProof/>
                <w:lang w:val="en-IE"/>
              </w:rPr>
            </w:pPr>
            <w:r w:rsidRPr="00F5382B">
              <w:rPr>
                <w:noProof/>
              </w:rPr>
              <w:t>Slovakia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3568C9A"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7A5CB208"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4551CD07"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59E0B9A5" w14:textId="77777777" w:rsidR="00EE3DF9" w:rsidRPr="00F5382B" w:rsidRDefault="00EE3DF9">
            <w:pPr>
              <w:textAlignment w:val="baseline"/>
              <w:rPr>
                <w:noProof/>
                <w:lang w:val="en-IE"/>
              </w:rPr>
            </w:pPr>
            <w:r w:rsidRPr="00F5382B">
              <w:rPr>
                <w:noProof/>
              </w:rPr>
              <w:t>Finland</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1D3EE0AF" w14:textId="77777777" w:rsidR="00EE3DF9" w:rsidRPr="00F5382B" w:rsidRDefault="00EE3DF9">
            <w:pPr>
              <w:textAlignment w:val="baseline"/>
              <w:rPr>
                <w:noProof/>
                <w:lang w:val="en-IE"/>
              </w:rPr>
            </w:pPr>
            <w:r w:rsidRPr="00F5382B">
              <w:rPr>
                <w:noProof/>
              </w:rPr>
              <w:t>2</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103E6914" w14:textId="77777777" w:rsidR="00EE3DF9" w:rsidRPr="00F5382B" w:rsidRDefault="00EE3DF9">
            <w:pPr>
              <w:textAlignment w:val="baseline"/>
              <w:rPr>
                <w:noProof/>
                <w:lang w:val="en-IE"/>
              </w:rPr>
            </w:pPr>
            <w:r w:rsidRPr="00F5382B">
              <w:rPr>
                <w:noProof/>
              </w:rPr>
              <w:t>1.0 %</w:t>
            </w:r>
            <w:r w:rsidRPr="00F5382B">
              <w:rPr>
                <w:noProof/>
                <w:lang w:val="en-IE"/>
              </w:rPr>
              <w:t>  </w:t>
            </w:r>
          </w:p>
        </w:tc>
      </w:tr>
      <w:tr w:rsidR="00EE3DF9" w:rsidRPr="00F5382B" w14:paraId="18E054CB"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6E335830" w14:textId="77777777" w:rsidR="00EE3DF9" w:rsidRPr="00F5382B" w:rsidRDefault="00EE3DF9">
            <w:pPr>
              <w:textAlignment w:val="baseline"/>
              <w:rPr>
                <w:noProof/>
                <w:lang w:val="en-IE"/>
              </w:rPr>
            </w:pPr>
            <w:r w:rsidRPr="00F5382B">
              <w:rPr>
                <w:noProof/>
              </w:rPr>
              <w:t>Malta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42CB10B0" w14:textId="77777777" w:rsidR="00EE3DF9" w:rsidRPr="00F5382B" w:rsidRDefault="00EE3DF9">
            <w:pPr>
              <w:textAlignment w:val="baseline"/>
              <w:rPr>
                <w:noProof/>
                <w:lang w:val="en-IE"/>
              </w:rPr>
            </w:pPr>
            <w:r w:rsidRPr="00F5382B">
              <w:rPr>
                <w:noProof/>
              </w:rPr>
              <w:t>1</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034C1578" w14:textId="77777777" w:rsidR="00EE3DF9" w:rsidRPr="00F5382B" w:rsidRDefault="00EE3DF9">
            <w:pPr>
              <w:textAlignment w:val="baseline"/>
              <w:rPr>
                <w:noProof/>
                <w:lang w:val="en-IE"/>
              </w:rPr>
            </w:pPr>
            <w:r w:rsidRPr="00F5382B">
              <w:rPr>
                <w:noProof/>
              </w:rPr>
              <w:t>0.5 %</w:t>
            </w:r>
            <w:r w:rsidRPr="00F5382B">
              <w:rPr>
                <w:noProof/>
                <w:lang w:val="en-IE"/>
              </w:rPr>
              <w:t>  </w:t>
            </w:r>
          </w:p>
        </w:tc>
      </w:tr>
      <w:tr w:rsidR="00EE3DF9" w:rsidRPr="00F5382B" w14:paraId="4AF5C7F2"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7121AC10" w14:textId="77777777" w:rsidR="00EE3DF9" w:rsidRPr="00F5382B" w:rsidRDefault="00EE3DF9">
            <w:pPr>
              <w:textAlignment w:val="baseline"/>
              <w:rPr>
                <w:noProof/>
                <w:lang w:val="en-IE"/>
              </w:rPr>
            </w:pPr>
            <w:r w:rsidRPr="00F5382B">
              <w:rPr>
                <w:noProof/>
              </w:rPr>
              <w:t>Latvia</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33D2DB1F" w14:textId="77777777" w:rsidR="00EE3DF9" w:rsidRPr="00F5382B" w:rsidRDefault="00EE3DF9">
            <w:pPr>
              <w:textAlignment w:val="baseline"/>
              <w:rPr>
                <w:noProof/>
                <w:lang w:val="en-IE"/>
              </w:rPr>
            </w:pPr>
            <w:r w:rsidRPr="00F5382B">
              <w:rPr>
                <w:noProof/>
              </w:rPr>
              <w:t>1</w:t>
            </w: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3B2D1119" w14:textId="77777777" w:rsidR="00EE3DF9" w:rsidRPr="00F5382B" w:rsidRDefault="00EE3DF9">
            <w:pPr>
              <w:textAlignment w:val="baseline"/>
              <w:rPr>
                <w:noProof/>
                <w:lang w:val="en-IE"/>
              </w:rPr>
            </w:pPr>
            <w:r w:rsidRPr="00F5382B">
              <w:rPr>
                <w:noProof/>
              </w:rPr>
              <w:t>0.5%</w:t>
            </w:r>
            <w:r w:rsidRPr="00F5382B">
              <w:rPr>
                <w:noProof/>
                <w:lang w:val="en-IE"/>
              </w:rPr>
              <w:t>  </w:t>
            </w:r>
          </w:p>
        </w:tc>
      </w:tr>
      <w:tr w:rsidR="00EE3DF9" w:rsidRPr="00F5382B" w14:paraId="3C138F55" w14:textId="77777777">
        <w:trPr>
          <w:trHeight w:val="300"/>
        </w:trPr>
        <w:tc>
          <w:tcPr>
            <w:tcW w:w="2910" w:type="dxa"/>
            <w:tcBorders>
              <w:top w:val="single" w:sz="6" w:space="0" w:color="auto"/>
              <w:left w:val="single" w:sz="6" w:space="0" w:color="auto"/>
              <w:bottom w:val="single" w:sz="6" w:space="0" w:color="auto"/>
              <w:right w:val="single" w:sz="6" w:space="0" w:color="auto"/>
            </w:tcBorders>
            <w:vAlign w:val="center"/>
            <w:hideMark/>
          </w:tcPr>
          <w:p w14:paraId="52045CEA" w14:textId="77777777" w:rsidR="00EE3DF9" w:rsidRPr="00F5382B" w:rsidRDefault="00EE3DF9">
            <w:pPr>
              <w:textAlignment w:val="baseline"/>
              <w:rPr>
                <w:noProof/>
                <w:lang w:val="en-IE"/>
              </w:rPr>
            </w:pPr>
            <w:r w:rsidRPr="00F5382B">
              <w:rPr>
                <w:noProof/>
              </w:rPr>
              <w:t>Other countries</w:t>
            </w:r>
            <w:r w:rsidRPr="00F5382B">
              <w:rPr>
                <w:noProof/>
                <w:vertAlign w:val="superscript"/>
              </w:rPr>
              <w:t>2</w:t>
            </w:r>
            <w:r w:rsidRPr="00F5382B">
              <w:rPr>
                <w:noProof/>
                <w:lang w:val="en-IE"/>
              </w:rPr>
              <w:t>  </w:t>
            </w:r>
          </w:p>
        </w:tc>
        <w:tc>
          <w:tcPr>
            <w:tcW w:w="2910" w:type="dxa"/>
            <w:tcBorders>
              <w:top w:val="single" w:sz="6" w:space="0" w:color="auto"/>
              <w:left w:val="single" w:sz="6" w:space="0" w:color="auto"/>
              <w:bottom w:val="single" w:sz="6" w:space="0" w:color="auto"/>
              <w:right w:val="single" w:sz="6" w:space="0" w:color="auto"/>
            </w:tcBorders>
            <w:vAlign w:val="center"/>
            <w:hideMark/>
          </w:tcPr>
          <w:p w14:paraId="0C6D5A39" w14:textId="77777777" w:rsidR="00EE3DF9" w:rsidRPr="00F5382B" w:rsidRDefault="00EE3DF9" w:rsidP="00D52AD8">
            <w:pPr>
              <w:numPr>
                <w:ilvl w:val="0"/>
                <w:numId w:val="75"/>
              </w:numPr>
              <w:textAlignment w:val="baseline"/>
              <w:rPr>
                <w:noProof/>
                <w:lang w:val="en-IE"/>
              </w:rPr>
            </w:pPr>
            <w:r w:rsidRPr="00F5382B">
              <w:rPr>
                <w:noProof/>
                <w:lang w:val="en-IE"/>
              </w:rPr>
              <w:t> </w:t>
            </w:r>
          </w:p>
        </w:tc>
        <w:tc>
          <w:tcPr>
            <w:tcW w:w="2895" w:type="dxa"/>
            <w:tcBorders>
              <w:top w:val="single" w:sz="6" w:space="0" w:color="auto"/>
              <w:left w:val="single" w:sz="6" w:space="0" w:color="auto"/>
              <w:bottom w:val="single" w:sz="6" w:space="0" w:color="auto"/>
              <w:right w:val="single" w:sz="6" w:space="0" w:color="auto"/>
            </w:tcBorders>
            <w:vAlign w:val="center"/>
            <w:hideMark/>
          </w:tcPr>
          <w:p w14:paraId="5A2AEEAF" w14:textId="77777777" w:rsidR="00EE3DF9" w:rsidRPr="00F5382B" w:rsidRDefault="00EE3DF9" w:rsidP="00D52AD8">
            <w:pPr>
              <w:numPr>
                <w:ilvl w:val="0"/>
                <w:numId w:val="76"/>
              </w:numPr>
              <w:textAlignment w:val="baseline"/>
              <w:rPr>
                <w:noProof/>
                <w:lang w:val="en-IE"/>
              </w:rPr>
            </w:pPr>
            <w:r w:rsidRPr="00F5382B">
              <w:rPr>
                <w:noProof/>
              </w:rPr>
              <w:t>%</w:t>
            </w:r>
            <w:r w:rsidRPr="00F5382B">
              <w:rPr>
                <w:noProof/>
                <w:lang w:val="en-IE"/>
              </w:rPr>
              <w:t>  </w:t>
            </w:r>
          </w:p>
        </w:tc>
      </w:tr>
    </w:tbl>
    <w:p w14:paraId="556E8EF6" w14:textId="77777777" w:rsidR="00EE3DF9" w:rsidRPr="00F5382B" w:rsidRDefault="00EE3DF9" w:rsidP="00EE3DF9">
      <w:pPr>
        <w:textAlignment w:val="baseline"/>
        <w:rPr>
          <w:noProof/>
          <w:lang w:val="en-IE"/>
        </w:rPr>
      </w:pPr>
      <w:r w:rsidRPr="00F5382B">
        <w:rPr>
          <w:noProof/>
          <w:lang w:val="en-IE"/>
        </w:rPr>
        <w:t> </w:t>
      </w:r>
    </w:p>
    <w:p w14:paraId="0D6F6077" w14:textId="77777777" w:rsidR="00EE3DF9" w:rsidRPr="00F5382B" w:rsidRDefault="00EE3DF9" w:rsidP="00D52AD8">
      <w:pPr>
        <w:numPr>
          <w:ilvl w:val="0"/>
          <w:numId w:val="77"/>
        </w:numPr>
        <w:textAlignment w:val="baseline"/>
        <w:rPr>
          <w:noProof/>
          <w:lang w:val="en-IE"/>
        </w:rPr>
      </w:pPr>
      <w:r w:rsidRPr="00F5382B">
        <w:rPr>
          <w:b/>
          <w:bCs/>
          <w:noProof/>
        </w:rPr>
        <w:t xml:space="preserve">Targeted consultation (interviews): </w:t>
      </w:r>
      <w:r w:rsidRPr="00F5382B">
        <w:rPr>
          <w:noProof/>
        </w:rPr>
        <w:t>A series of semi-structured interviews were conducted with selected stakeholders. These included ENISA’s representatives, as well as national public authorities that developed or manage national reporting platforms. Interviews focused on ENISA’s role and capacity, the operational functioning of the ECCF, practical challenges in aligning national and EU-level certification processes, reporting burdens, and implementation obstacles. These discussions provided qualitative insights that enriched the interpretation of PC results and supported the refinement of policy options.</w:t>
      </w:r>
      <w:r w:rsidRPr="00F5382B">
        <w:rPr>
          <w:noProof/>
          <w:lang w:val="en-IE"/>
        </w:rPr>
        <w:t>  </w:t>
      </w:r>
    </w:p>
    <w:p w14:paraId="04D47AB1" w14:textId="77777777" w:rsidR="00EE3DF9" w:rsidRPr="00F5382B" w:rsidRDefault="00EE3DF9" w:rsidP="00EE3DF9">
      <w:pPr>
        <w:textAlignment w:val="baseline"/>
        <w:rPr>
          <w:noProof/>
          <w:lang w:val="en-IE"/>
        </w:rPr>
      </w:pPr>
      <w:r w:rsidRPr="00F5382B">
        <w:rPr>
          <w:noProof/>
          <w:lang w:val="en-IE"/>
        </w:rPr>
        <w:t>Interview participants included ENISA representatives (such as Heads of Unit), national cybersecurity agencies, competent ministries, regulators, and certification experts. This ensured coverage of both EU-level and Member State perspectives, with a focus on institutional and expert stakeholders directly involved in the implementation and governance of cybersecurity policy. </w:t>
      </w:r>
    </w:p>
    <w:p w14:paraId="66739A63" w14:textId="3F199D41" w:rsidR="00EE3DF9" w:rsidRPr="00F5382B" w:rsidRDefault="00EE3DF9" w:rsidP="00D52AD8">
      <w:pPr>
        <w:numPr>
          <w:ilvl w:val="0"/>
          <w:numId w:val="78"/>
        </w:numPr>
        <w:textAlignment w:val="baseline"/>
        <w:rPr>
          <w:noProof/>
          <w:lang w:val="en-IE"/>
        </w:rPr>
      </w:pPr>
      <w:r w:rsidRPr="00F5382B">
        <w:rPr>
          <w:b/>
          <w:bCs/>
          <w:noProof/>
        </w:rPr>
        <w:t xml:space="preserve">The 2024 Evaluation report: </w:t>
      </w:r>
      <w:r w:rsidRPr="00F5382B">
        <w:rPr>
          <w:noProof/>
        </w:rPr>
        <w:t xml:space="preserve">The final report of the </w:t>
      </w:r>
      <w:r w:rsidRPr="00F5382B">
        <w:rPr>
          <w:i/>
          <w:iCs/>
          <w:noProof/>
        </w:rPr>
        <w:t xml:space="preserve">Study to Support the Evaluation of the European Union Agency for Cybersecurity (ENISA) and the European Cybersecurity Certification Framework carried out for the Commission by PwC, Intellera Consulting, PPMI (2024) was </w:t>
      </w:r>
      <w:r w:rsidRPr="00F5382B">
        <w:rPr>
          <w:noProof/>
        </w:rPr>
        <w:t>completed in December 2024</w:t>
      </w:r>
      <w:r>
        <w:rPr>
          <w:rStyle w:val="FootnoteReference"/>
          <w:noProof/>
        </w:rPr>
        <w:footnoteReference w:id="184"/>
      </w:r>
      <w:r w:rsidRPr="00F5382B">
        <w:rPr>
          <w:i/>
          <w:iCs/>
          <w:noProof/>
        </w:rPr>
        <w:t>.</w:t>
      </w:r>
      <w:r w:rsidRPr="00F5382B">
        <w:rPr>
          <w:noProof/>
          <w:lang w:val="en-IE"/>
        </w:rPr>
        <w:t> </w:t>
      </w:r>
    </w:p>
    <w:p w14:paraId="7BF6A9BE" w14:textId="77777777" w:rsidR="00EE3DF9" w:rsidRPr="00F5382B" w:rsidRDefault="00EE3DF9" w:rsidP="00EE3DF9">
      <w:pPr>
        <w:textAlignment w:val="baseline"/>
        <w:rPr>
          <w:noProof/>
          <w:lang w:val="en-IE"/>
        </w:rPr>
      </w:pPr>
      <w:r w:rsidRPr="00F5382B">
        <w:rPr>
          <w:noProof/>
        </w:rPr>
        <w:t>The study included 65 interviews - of which 52 focused more on ENISA and 13 concentrated most of the questions on the ECCF - a survey programme with 209 responses (of which 70 were on the ECCF), the results of the public consultation, and two workshops on SWOT analysis and recommendations with 26 and 70 participants respectively. (See also Annex 7 for more details).</w:t>
      </w:r>
      <w:r w:rsidRPr="00F5382B">
        <w:rPr>
          <w:noProof/>
          <w:lang w:val="en-IE"/>
        </w:rPr>
        <w:t>  </w:t>
      </w:r>
    </w:p>
    <w:p w14:paraId="40DADFCD" w14:textId="77777777" w:rsidR="00EE3DF9" w:rsidRPr="00F5382B" w:rsidRDefault="00EE3DF9" w:rsidP="00D52AD8">
      <w:pPr>
        <w:numPr>
          <w:ilvl w:val="0"/>
          <w:numId w:val="79"/>
        </w:numPr>
        <w:textAlignment w:val="baseline"/>
        <w:rPr>
          <w:noProof/>
          <w:lang w:val="en-IE"/>
        </w:rPr>
      </w:pPr>
      <w:r w:rsidRPr="00F5382B">
        <w:rPr>
          <w:b/>
          <w:bCs/>
          <w:noProof/>
        </w:rPr>
        <w:t xml:space="preserve">Consultation of Member States representatives within the framework the Council working party and in bilateral discussions, </w:t>
      </w:r>
      <w:r w:rsidRPr="00F5382B">
        <w:rPr>
          <w:noProof/>
        </w:rPr>
        <w:t>where Member States could express their views on the review of the Cybersecurity Act.</w:t>
      </w:r>
      <w:r w:rsidRPr="00F5382B">
        <w:rPr>
          <w:noProof/>
          <w:lang w:val="en-IE"/>
        </w:rPr>
        <w:t>  </w:t>
      </w:r>
    </w:p>
    <w:p w14:paraId="27C88607" w14:textId="77777777" w:rsidR="00EE3DF9" w:rsidRPr="00F5382B" w:rsidRDefault="00EE3DF9" w:rsidP="00D52AD8">
      <w:pPr>
        <w:numPr>
          <w:ilvl w:val="0"/>
          <w:numId w:val="80"/>
        </w:numPr>
        <w:textAlignment w:val="baseline"/>
        <w:rPr>
          <w:noProof/>
          <w:lang w:val="en-IE"/>
        </w:rPr>
      </w:pPr>
      <w:r w:rsidRPr="00F5382B">
        <w:rPr>
          <w:b/>
          <w:bCs/>
          <w:noProof/>
        </w:rPr>
        <w:t>Targeted consultation (ECCF groups – ECCG, SCCG)</w:t>
      </w:r>
      <w:r w:rsidRPr="00F5382B">
        <w:rPr>
          <w:b/>
          <w:bCs/>
          <w:noProof/>
          <w:lang w:val="en-IE"/>
        </w:rPr>
        <w:t>:</w:t>
      </w:r>
      <w:r w:rsidRPr="00F5382B">
        <w:rPr>
          <w:noProof/>
        </w:rPr>
        <w:t xml:space="preserve"> The Commission in its capacity as the chair of both groups has presented the state-of-play on the revision of the Cybersecurity Act at the previous ECCG meetings on 12 March and 3 July 2025, and SCCG meeting on 17 March. In addition, supplementary expert opinions from ECCG members were collected through a tailormade questionnaire designed to explore key questions to inform a potential revision of the ECCF.</w:t>
      </w:r>
      <w:r w:rsidRPr="00F5382B">
        <w:rPr>
          <w:noProof/>
          <w:lang w:val="en-IE"/>
        </w:rPr>
        <w:t> </w:t>
      </w:r>
    </w:p>
    <w:p w14:paraId="52CA8A1E" w14:textId="77777777" w:rsidR="00EE3DF9" w:rsidRPr="00F5382B" w:rsidRDefault="00EE3DF9" w:rsidP="00EE3DF9">
      <w:pPr>
        <w:textAlignment w:val="baseline"/>
        <w:rPr>
          <w:noProof/>
          <w:lang w:val="en-IE"/>
        </w:rPr>
      </w:pPr>
      <w:r w:rsidRPr="00F5382B">
        <w:rPr>
          <w:noProof/>
        </w:rPr>
        <w:t>No campaign-type submissions or coordinated responses were identified during the consultation.</w:t>
      </w:r>
      <w:r w:rsidRPr="00F5382B">
        <w:rPr>
          <w:noProof/>
          <w:lang w:val="en-IE"/>
        </w:rPr>
        <w:t>  </w:t>
      </w:r>
    </w:p>
    <w:p w14:paraId="3F2176FE" w14:textId="77777777" w:rsidR="00EE3DF9" w:rsidRPr="00F5382B" w:rsidRDefault="00EE3DF9" w:rsidP="00EE3DF9">
      <w:pPr>
        <w:textAlignment w:val="baseline"/>
        <w:rPr>
          <w:noProof/>
          <w:lang w:val="en-IE"/>
        </w:rPr>
      </w:pPr>
      <w:r w:rsidRPr="00F5382B">
        <w:rPr>
          <w:noProof/>
        </w:rPr>
        <w:t>This combination of consultation activities ensured the robustness and transparency of the evidence base underpinning the impact assessment. It enabled the European Commission to gather information from both generalist and expert perspectives and to triangulate findings across methods and stakeholder categories. Advanced computational tools were used to support the analysis of data gathered through these consultation activities. Generative Pre-trained Transformer (GPT) technology employing robust security measures and encryption protocols to ensure the confidentiality and integrity of data was used. Human oversight remained central in the analysis to ensuring accuracy, interpreting nuanced results, and making informed decisions based on the insights generated by GenAI.</w:t>
      </w:r>
      <w:r w:rsidRPr="00F5382B">
        <w:rPr>
          <w:noProof/>
          <w:lang w:val="en-IE"/>
        </w:rPr>
        <w:t>   </w:t>
      </w:r>
    </w:p>
    <w:p w14:paraId="01DEBCCD" w14:textId="77777777" w:rsidR="00EE3DF9" w:rsidRPr="00F5382B" w:rsidRDefault="00EE3DF9" w:rsidP="00D52AD8">
      <w:pPr>
        <w:numPr>
          <w:ilvl w:val="0"/>
          <w:numId w:val="109"/>
        </w:numPr>
        <w:spacing w:after="120"/>
        <w:ind w:left="1077" w:hanging="357"/>
        <w:textAlignment w:val="baseline"/>
        <w:rPr>
          <w:rFonts w:eastAsia="Times New Roman"/>
          <w:b/>
          <w:smallCaps/>
          <w:noProof/>
          <w:lang w:eastAsia="en-IE"/>
        </w:rPr>
      </w:pPr>
      <w:r w:rsidRPr="00F5382B">
        <w:rPr>
          <w:rFonts w:eastAsia="Times New Roman"/>
          <w:b/>
          <w:smallCaps/>
          <w:noProof/>
          <w:lang w:eastAsia="en-IE"/>
        </w:rPr>
        <w:t>Summary of consultation results </w:t>
      </w:r>
    </w:p>
    <w:p w14:paraId="58FDC5BC" w14:textId="77777777" w:rsidR="00EE3DF9" w:rsidRPr="00F5382B" w:rsidRDefault="00EE3DF9" w:rsidP="00EE3DF9">
      <w:pPr>
        <w:textAlignment w:val="baseline"/>
        <w:rPr>
          <w:noProof/>
          <w:lang w:val="en-IE"/>
        </w:rPr>
      </w:pPr>
      <w:r w:rsidRPr="00F5382B">
        <w:rPr>
          <w:noProof/>
          <w:lang w:val="en-IE"/>
        </w:rPr>
        <w:t>This section presents a synthesis of stakeholder feedback collected through three main consultation activities: the Call for Evidence, the Public Consultation, and targeted Interviews. The analysis follows the thematic structure of the public consultation questionnaire, covering the mandate and operational role of ENISA, the ECCF, and the simplification of reporting obligations. For each topic, findings from the Call for Evidence and interviews are integrated alongside survey results, with sources clearly indicated.  </w:t>
      </w:r>
    </w:p>
    <w:p w14:paraId="1A979F28" w14:textId="77777777" w:rsidR="00EE3DF9" w:rsidRPr="00F5382B" w:rsidRDefault="00EE3DF9" w:rsidP="00D52AD8">
      <w:pPr>
        <w:pStyle w:val="ListParagraph"/>
        <w:numPr>
          <w:ilvl w:val="1"/>
          <w:numId w:val="108"/>
        </w:numPr>
        <w:textAlignment w:val="baseline"/>
        <w:rPr>
          <w:i/>
          <w:iCs/>
          <w:noProof/>
          <w:lang w:val="en-IE"/>
        </w:rPr>
      </w:pPr>
      <w:r w:rsidRPr="00F5382B">
        <w:rPr>
          <w:b/>
          <w:bCs/>
          <w:i/>
          <w:iCs/>
          <w:noProof/>
        </w:rPr>
        <w:t xml:space="preserve">Section 1: ENISA’s mandate  </w:t>
      </w:r>
    </w:p>
    <w:p w14:paraId="45C1948D" w14:textId="77777777" w:rsidR="00EE3DF9" w:rsidRPr="00F5382B" w:rsidRDefault="00EE3DF9" w:rsidP="00EE3DF9">
      <w:pPr>
        <w:textAlignment w:val="baseline"/>
        <w:rPr>
          <w:noProof/>
          <w:lang w:val="en-IE"/>
        </w:rPr>
      </w:pPr>
      <w:r w:rsidRPr="00F5382B">
        <w:rPr>
          <w:noProof/>
          <w:lang w:val="en-IE"/>
        </w:rPr>
        <w:t>Stakeholders contributing to the Call for Evidence expressed strong support for enhancing ENISA’s role and capabilities. Many emphasised the importance of increasing ENISA’s funding, staffing, and operational capacity to enable it to meet the growing demands of the EU’s cybersecurity landscape. There was also a recurring call for clarifying and consolidating ENISA’s mandate before considering any expansion. Some contributors cautioned against overextending ENISA’s responsibilities, suggesting that its current functions should be streamlined and reinforced first. Additionally, several stakeholders advocated for improved governance structures and better alignment with broader EU digital and cybersecurity strategies, such as the NIS2 Directive and the Digital Decade initiative. Concerns were also raised about the potential for duplication of efforts with national authorities, with some contributors urging caution to avoid overreach and inefficiencies. </w:t>
      </w:r>
    </w:p>
    <w:p w14:paraId="2E6CC8F4" w14:textId="77777777" w:rsidR="00EE3DF9" w:rsidRPr="00F5382B" w:rsidRDefault="00EE3DF9" w:rsidP="00EE3DF9">
      <w:pPr>
        <w:textAlignment w:val="baseline"/>
        <w:rPr>
          <w:noProof/>
          <w:lang w:val="en-IE"/>
        </w:rPr>
      </w:pPr>
      <w:r w:rsidRPr="00F5382B">
        <w:rPr>
          <w:noProof/>
        </w:rPr>
        <w:t>Interviews with ENISA’s Heads of Unit highlighted the agency’s evolving role in EU cybersecurity. ENISA representatives emphasised the need to formalise ENISA’s de facto leadership in networks such as the CSIRTs network and EU-CyCLONe, and to facilitate more effective cooperation within these structures. They called for scaling up existing initiatives like the Cyber Partnership Programme and enhancing infrastructures supporting operational cooperation. ENISA was also seen as well-positioned to support harmonisation of cybersecurity practices, provide sector-specific guidance, and lead on vulnerability services and strategic foresight. Interviewees identified a flexible mandate, stronger collaboration frameworks with Member States, and improved access to funding as key enablers for these goals.</w:t>
      </w:r>
      <w:r w:rsidRPr="00F5382B">
        <w:rPr>
          <w:noProof/>
          <w:lang w:val="en-IE"/>
        </w:rPr>
        <w:t> </w:t>
      </w:r>
    </w:p>
    <w:p w14:paraId="1E66096A" w14:textId="77777777" w:rsidR="00EE3DF9" w:rsidRPr="00F5382B" w:rsidRDefault="00EE3DF9" w:rsidP="00EE3DF9">
      <w:pPr>
        <w:textAlignment w:val="baseline"/>
        <w:rPr>
          <w:noProof/>
          <w:lang w:val="en-IE"/>
        </w:rPr>
      </w:pPr>
      <w:r w:rsidRPr="00F5382B">
        <w:rPr>
          <w:noProof/>
        </w:rPr>
        <w:t>The stakeholder consultation provided more detailed information regarding the current tasks of ENISA, its support to policy implementation, the provision of technical support, its collaboration with other bodies, support in situational awareness, and also about skills and awareness. These findings are summarised hereafter.</w:t>
      </w:r>
      <w:r w:rsidRPr="00F5382B">
        <w:rPr>
          <w:noProof/>
          <w:lang w:val="en-IE"/>
        </w:rPr>
        <w:t> </w:t>
      </w:r>
    </w:p>
    <w:p w14:paraId="4B83FA01" w14:textId="77777777" w:rsidR="00EE3DF9" w:rsidRPr="00F5382B" w:rsidRDefault="00EE3DF9" w:rsidP="00EE3DF9">
      <w:pPr>
        <w:textAlignment w:val="baseline"/>
        <w:rPr>
          <w:noProof/>
          <w:lang w:val="en-IE"/>
        </w:rPr>
      </w:pPr>
      <w:r w:rsidRPr="00F5382B">
        <w:rPr>
          <w:b/>
          <w:bCs/>
          <w:noProof/>
        </w:rPr>
        <w:t>Current tasks of ENISA</w:t>
      </w:r>
      <w:r w:rsidRPr="00F5382B">
        <w:rPr>
          <w:noProof/>
          <w:lang w:val="en-IE"/>
        </w:rPr>
        <w:t>  </w:t>
      </w:r>
    </w:p>
    <w:p w14:paraId="211AD1AE" w14:textId="77777777" w:rsidR="00EE3DF9" w:rsidRPr="00F5382B" w:rsidRDefault="00EE3DF9" w:rsidP="00EE3DF9">
      <w:pPr>
        <w:textAlignment w:val="baseline"/>
        <w:rPr>
          <w:noProof/>
          <w:lang w:val="en-IE"/>
        </w:rPr>
      </w:pPr>
      <w:r w:rsidRPr="00F5382B">
        <w:rPr>
          <w:noProof/>
        </w:rPr>
        <w:t>The consultation assessed stakeholders’ views on the relevance of the eight core tasks currently assigned to ENISA. Respondents were asked to indicate the importance of each task on a five-point scale. The results reveal broad support for maintaining ENISA’s mandate, with significant differences in perceived importance across stakeholder groups, especially between public authorities, businesses of different sizes, and EU citizens.</w:t>
      </w:r>
      <w:r w:rsidRPr="00F5382B">
        <w:rPr>
          <w:noProof/>
          <w:lang w:val="en-IE"/>
        </w:rPr>
        <w:t>  </w:t>
      </w:r>
    </w:p>
    <w:p w14:paraId="1CEAC778" w14:textId="77777777" w:rsidR="00EE3DF9" w:rsidRPr="00F5382B" w:rsidRDefault="00EE3DF9" w:rsidP="00EE3DF9">
      <w:pPr>
        <w:textAlignment w:val="baseline"/>
        <w:rPr>
          <w:noProof/>
          <w:lang w:val="en-IE"/>
        </w:rPr>
      </w:pPr>
      <w:r w:rsidRPr="00F5382B">
        <w:rPr>
          <w:noProof/>
        </w:rPr>
        <w:t xml:space="preserve">Across all respondents, the task most frequently rated as "Very important" was </w:t>
      </w:r>
      <w:r w:rsidRPr="00F5382B">
        <w:rPr>
          <w:i/>
          <w:iCs/>
          <w:noProof/>
        </w:rPr>
        <w:t>market, cybersecurity certification, and standardisation</w:t>
      </w:r>
      <w:r w:rsidRPr="00F5382B">
        <w:rPr>
          <w:noProof/>
        </w:rPr>
        <w:t xml:space="preserve"> (58.6%), followed by </w:t>
      </w:r>
      <w:r w:rsidRPr="00F5382B">
        <w:rPr>
          <w:i/>
          <w:iCs/>
          <w:noProof/>
        </w:rPr>
        <w:t>development and implementation of Union policy and law</w:t>
      </w:r>
      <w:r w:rsidRPr="00F5382B">
        <w:rPr>
          <w:noProof/>
        </w:rPr>
        <w:t xml:space="preserve"> (47.2%), and </w:t>
      </w:r>
      <w:r w:rsidRPr="00F5382B">
        <w:rPr>
          <w:i/>
          <w:iCs/>
          <w:noProof/>
        </w:rPr>
        <w:t>operational cooperation at Union level</w:t>
      </w:r>
      <w:r w:rsidRPr="00F5382B">
        <w:rPr>
          <w:noProof/>
        </w:rPr>
        <w:t xml:space="preserve"> (45.1%). </w:t>
      </w:r>
      <w:r w:rsidRPr="00F5382B">
        <w:rPr>
          <w:i/>
          <w:iCs/>
          <w:noProof/>
        </w:rPr>
        <w:t>Research and innovation</w:t>
      </w:r>
      <w:r w:rsidRPr="00F5382B">
        <w:rPr>
          <w:noProof/>
        </w:rPr>
        <w:t xml:space="preserve"> was least often rated “Very important” (20.2%).</w:t>
      </w:r>
      <w:r w:rsidRPr="00F5382B">
        <w:rPr>
          <w:noProof/>
          <w:lang w:val="en-IE"/>
        </w:rPr>
        <w:t> </w:t>
      </w:r>
    </w:p>
    <w:p w14:paraId="75F31677" w14:textId="77777777" w:rsidR="00EE3DF9" w:rsidRPr="00F5382B" w:rsidRDefault="00EE3DF9" w:rsidP="00EE3DF9">
      <w:pPr>
        <w:textAlignment w:val="baseline"/>
        <w:rPr>
          <w:i/>
          <w:iCs/>
          <w:noProof/>
          <w:lang w:val="en-IE"/>
        </w:rPr>
      </w:pPr>
      <w:r w:rsidRPr="00F5382B">
        <w:rPr>
          <w:i/>
          <w:iCs/>
          <w:noProof/>
          <w:lang w:eastAsia="en-GB"/>
        </w:rPr>
        <w:drawing>
          <wp:inline distT="0" distB="0" distL="0" distR="0" wp14:anchorId="38CA8211" wp14:editId="4BECA82E">
            <wp:extent cx="3771900" cy="2552700"/>
            <wp:effectExtent l="0" t="0" r="0" b="0"/>
            <wp:docPr id="99934340" name="Picture 22" descr="Chart 2,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hart 2, Chart eleme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71900" cy="2552700"/>
                    </a:xfrm>
                    <a:prstGeom prst="rect">
                      <a:avLst/>
                    </a:prstGeom>
                    <a:noFill/>
                    <a:ln>
                      <a:noFill/>
                    </a:ln>
                  </pic:spPr>
                </pic:pic>
              </a:graphicData>
            </a:graphic>
          </wp:inline>
        </w:drawing>
      </w:r>
      <w:r w:rsidRPr="00F5382B">
        <w:rPr>
          <w:i/>
          <w:iCs/>
          <w:noProof/>
          <w:lang w:val="en-IE"/>
        </w:rPr>
        <w:t> </w:t>
      </w:r>
    </w:p>
    <w:p w14:paraId="09B1C533" w14:textId="120607FD" w:rsidR="00EE3DF9" w:rsidRPr="00F5382B" w:rsidRDefault="00EE3DF9" w:rsidP="00E5147D">
      <w:pPr>
        <w:pStyle w:val="Caption"/>
        <w:rPr>
          <w:i w:val="0"/>
          <w:iCs w:val="0"/>
          <w:noProof/>
          <w:lang w:val="en-IE"/>
        </w:rPr>
      </w:pPr>
      <w:bookmarkStart w:id="185" w:name="_Toc219447473"/>
      <w:r w:rsidRPr="00913100">
        <w:rPr>
          <w:noProof/>
        </w:rPr>
        <w:t xml:space="preserve">Figure </w:t>
      </w:r>
      <w:r w:rsidR="00736409" w:rsidRPr="00913100">
        <w:rPr>
          <w:noProof/>
        </w:rPr>
        <w:t>1</w:t>
      </w:r>
      <w:r w:rsidRPr="00913100">
        <w:rPr>
          <w:noProof/>
        </w:rPr>
        <w:t xml:space="preserve"> Stakeholder’s views in ENISA’s tasks rated by importance</w:t>
      </w:r>
      <w:bookmarkEnd w:id="185"/>
      <w:r w:rsidRPr="00F5382B">
        <w:rPr>
          <w:i w:val="0"/>
          <w:iCs w:val="0"/>
          <w:noProof/>
          <w:lang w:val="en-IE"/>
        </w:rPr>
        <w:t> </w:t>
      </w:r>
    </w:p>
    <w:p w14:paraId="03E6F3A6" w14:textId="77777777" w:rsidR="00EE3DF9" w:rsidRPr="00F5382B" w:rsidRDefault="00EE3DF9" w:rsidP="00EE3DF9">
      <w:pPr>
        <w:textAlignment w:val="baseline"/>
        <w:rPr>
          <w:noProof/>
          <w:lang w:val="en-IE"/>
        </w:rPr>
      </w:pPr>
      <w:r w:rsidRPr="00F5382B">
        <w:rPr>
          <w:noProof/>
        </w:rPr>
        <w:t xml:space="preserve">Large companies consistently supported most tasks, with 60% rating </w:t>
      </w:r>
      <w:r w:rsidRPr="00F5382B">
        <w:rPr>
          <w:i/>
          <w:iCs/>
          <w:noProof/>
        </w:rPr>
        <w:t>certification and policy implementation</w:t>
      </w:r>
      <w:r w:rsidRPr="00F5382B">
        <w:rPr>
          <w:noProof/>
        </w:rPr>
        <w:t xml:space="preserve"> as “Very important”, and 58% for </w:t>
      </w:r>
      <w:r w:rsidRPr="00F5382B">
        <w:rPr>
          <w:i/>
          <w:iCs/>
          <w:noProof/>
        </w:rPr>
        <w:t>operational cooperation. International cooperation</w:t>
      </w:r>
      <w:r w:rsidRPr="00F5382B">
        <w:rPr>
          <w:noProof/>
        </w:rPr>
        <w:t xml:space="preserve"> (44%) and </w:t>
      </w:r>
      <w:r w:rsidRPr="00F5382B">
        <w:rPr>
          <w:i/>
          <w:iCs/>
          <w:noProof/>
        </w:rPr>
        <w:t>knowledge/information</w:t>
      </w:r>
      <w:r w:rsidRPr="00F5382B">
        <w:rPr>
          <w:noProof/>
        </w:rPr>
        <w:t xml:space="preserve"> (42%) were also valued, while</w:t>
      </w:r>
      <w:r w:rsidRPr="00F5382B">
        <w:rPr>
          <w:i/>
          <w:iCs/>
          <w:noProof/>
        </w:rPr>
        <w:t xml:space="preserve"> awareness/education and research</w:t>
      </w:r>
      <w:r w:rsidRPr="00F5382B">
        <w:rPr>
          <w:noProof/>
        </w:rPr>
        <w:t xml:space="preserve"> received lower ratings. Medium-sized companies showed more selective support, prioritising </w:t>
      </w:r>
      <w:r w:rsidRPr="00F5382B">
        <w:rPr>
          <w:i/>
          <w:iCs/>
          <w:noProof/>
        </w:rPr>
        <w:t>certification and operational cooperation</w:t>
      </w:r>
      <w:r w:rsidRPr="00F5382B">
        <w:rPr>
          <w:noProof/>
        </w:rPr>
        <w:t xml:space="preserve"> (37.5%), with lower ratings for other tasks, indicating a focus on practical support. Small and micro enterprises placed greatest emphasis on </w:t>
      </w:r>
      <w:r w:rsidRPr="00F5382B">
        <w:rPr>
          <w:i/>
          <w:iCs/>
          <w:noProof/>
        </w:rPr>
        <w:t>certification</w:t>
      </w:r>
      <w:r w:rsidRPr="00F5382B">
        <w:rPr>
          <w:noProof/>
        </w:rPr>
        <w:t xml:space="preserve"> (66.7% “Very important”), but gave less importance to </w:t>
      </w:r>
      <w:r w:rsidRPr="00F5382B">
        <w:rPr>
          <w:i/>
          <w:iCs/>
          <w:noProof/>
        </w:rPr>
        <w:t>strategic, educational, or analytical</w:t>
      </w:r>
      <w:r w:rsidRPr="00F5382B">
        <w:rPr>
          <w:noProof/>
        </w:rPr>
        <w:t xml:space="preserve"> roles.</w:t>
      </w:r>
      <w:r w:rsidRPr="00F5382B">
        <w:rPr>
          <w:noProof/>
          <w:lang w:val="en-IE"/>
        </w:rPr>
        <w:t> </w:t>
      </w:r>
    </w:p>
    <w:p w14:paraId="4E1DCAAC" w14:textId="77777777" w:rsidR="00EE3DF9" w:rsidRPr="00F5382B" w:rsidRDefault="00EE3DF9" w:rsidP="00EE3DF9">
      <w:pPr>
        <w:textAlignment w:val="baseline"/>
        <w:rPr>
          <w:noProof/>
          <w:lang w:val="en-IE"/>
        </w:rPr>
      </w:pPr>
      <w:r w:rsidRPr="00F5382B">
        <w:rPr>
          <w:noProof/>
        </w:rPr>
        <w:t xml:space="preserve">EU citizens expressed high support for </w:t>
      </w:r>
      <w:r w:rsidRPr="00F5382B">
        <w:rPr>
          <w:i/>
          <w:iCs/>
          <w:noProof/>
        </w:rPr>
        <w:t>knowledge/information</w:t>
      </w:r>
      <w:r w:rsidRPr="00F5382B">
        <w:rPr>
          <w:noProof/>
        </w:rPr>
        <w:t xml:space="preserve"> (53.9%) and </w:t>
      </w:r>
      <w:r w:rsidRPr="00F5382B">
        <w:rPr>
          <w:i/>
          <w:iCs/>
          <w:noProof/>
        </w:rPr>
        <w:t>certification</w:t>
      </w:r>
      <w:r w:rsidRPr="00F5382B">
        <w:rPr>
          <w:noProof/>
        </w:rPr>
        <w:t xml:space="preserve"> (57.7%), and significant shares valued </w:t>
      </w:r>
      <w:r w:rsidRPr="00F5382B">
        <w:rPr>
          <w:i/>
          <w:iCs/>
          <w:noProof/>
        </w:rPr>
        <w:t>awareness/education and international cooperation</w:t>
      </w:r>
      <w:r w:rsidRPr="00F5382B">
        <w:rPr>
          <w:noProof/>
        </w:rPr>
        <w:t xml:space="preserve"> (both 42.3%), highlighting the importance of transparency and public protection.</w:t>
      </w:r>
      <w:r w:rsidRPr="00F5382B">
        <w:rPr>
          <w:noProof/>
          <w:lang w:val="en-IE"/>
        </w:rPr>
        <w:t> </w:t>
      </w:r>
    </w:p>
    <w:p w14:paraId="67F4F822" w14:textId="77777777" w:rsidR="00EE3DF9" w:rsidRPr="00F5382B" w:rsidRDefault="00EE3DF9" w:rsidP="00EE3DF9">
      <w:pPr>
        <w:textAlignment w:val="baseline"/>
        <w:rPr>
          <w:noProof/>
          <w:lang w:val="en-IE"/>
        </w:rPr>
      </w:pPr>
      <w:r w:rsidRPr="00F5382B">
        <w:rPr>
          <w:noProof/>
        </w:rPr>
        <w:t xml:space="preserve">Public authorities emphasised ENISA’s coordination and compliance roles, with 62.5% rating </w:t>
      </w:r>
      <w:r w:rsidRPr="00F5382B">
        <w:rPr>
          <w:i/>
          <w:iCs/>
          <w:noProof/>
        </w:rPr>
        <w:t>policy implementation, operational cooperation, and certification</w:t>
      </w:r>
      <w:r w:rsidRPr="00F5382B">
        <w:rPr>
          <w:noProof/>
        </w:rPr>
        <w:t xml:space="preserve"> as “Very important”, but less emphasis on </w:t>
      </w:r>
      <w:r w:rsidRPr="00F5382B">
        <w:rPr>
          <w:i/>
          <w:iCs/>
          <w:noProof/>
        </w:rPr>
        <w:t>capacity-building, awareness, research, and international cooperation</w:t>
      </w:r>
      <w:r w:rsidRPr="00F5382B">
        <w:rPr>
          <w:noProof/>
        </w:rPr>
        <w:t>.</w:t>
      </w:r>
      <w:r w:rsidRPr="00F5382B">
        <w:rPr>
          <w:noProof/>
          <w:lang w:val="en-IE"/>
        </w:rPr>
        <w:t> </w:t>
      </w:r>
    </w:p>
    <w:p w14:paraId="3BE00D6A" w14:textId="77777777" w:rsidR="00EE3DF9" w:rsidRPr="00F5382B" w:rsidRDefault="00EE3DF9" w:rsidP="00EE3DF9">
      <w:pPr>
        <w:textAlignment w:val="baseline"/>
        <w:rPr>
          <w:noProof/>
          <w:lang w:val="en-IE"/>
        </w:rPr>
      </w:pPr>
      <w:r w:rsidRPr="00F5382B">
        <w:rPr>
          <w:noProof/>
        </w:rPr>
        <w:t xml:space="preserve">In conclusion, the tasks of </w:t>
      </w:r>
      <w:r w:rsidRPr="00F5382B">
        <w:rPr>
          <w:i/>
          <w:iCs/>
          <w:noProof/>
        </w:rPr>
        <w:t>cybersecurity certification</w:t>
      </w:r>
      <w:r w:rsidRPr="00F5382B">
        <w:rPr>
          <w:noProof/>
        </w:rPr>
        <w:t xml:space="preserve">, </w:t>
      </w:r>
      <w:r w:rsidRPr="00F5382B">
        <w:rPr>
          <w:i/>
          <w:iCs/>
          <w:noProof/>
        </w:rPr>
        <w:t>operational cooperation</w:t>
      </w:r>
      <w:r w:rsidRPr="00F5382B">
        <w:rPr>
          <w:noProof/>
        </w:rPr>
        <w:t xml:space="preserve">, and </w:t>
      </w:r>
      <w:r w:rsidRPr="00F5382B">
        <w:rPr>
          <w:i/>
          <w:iCs/>
          <w:noProof/>
        </w:rPr>
        <w:t>policy implementation</w:t>
      </w:r>
      <w:r w:rsidRPr="00F5382B">
        <w:rPr>
          <w:noProof/>
        </w:rPr>
        <w:t xml:space="preserve"> received the strongest and most consistent support across stakeholders. These functions are seen as central to ENISA’s mandate. On the other hand, </w:t>
      </w:r>
      <w:r w:rsidRPr="00F5382B">
        <w:rPr>
          <w:i/>
          <w:iCs/>
          <w:noProof/>
        </w:rPr>
        <w:t>research and innovation</w:t>
      </w:r>
      <w:r w:rsidRPr="00F5382B">
        <w:rPr>
          <w:noProof/>
        </w:rPr>
        <w:t xml:space="preserve">, </w:t>
      </w:r>
      <w:r w:rsidRPr="00F5382B">
        <w:rPr>
          <w:i/>
          <w:iCs/>
          <w:noProof/>
        </w:rPr>
        <w:t>awareness-raising</w:t>
      </w:r>
      <w:r w:rsidRPr="00F5382B">
        <w:rPr>
          <w:noProof/>
        </w:rPr>
        <w:t xml:space="preserve">, and </w:t>
      </w:r>
      <w:r w:rsidRPr="00F5382B">
        <w:rPr>
          <w:i/>
          <w:iCs/>
          <w:noProof/>
        </w:rPr>
        <w:t>capacity-building</w:t>
      </w:r>
      <w:r w:rsidRPr="00F5382B">
        <w:rPr>
          <w:noProof/>
        </w:rPr>
        <w:t xml:space="preserve"> were viewed as lower priorities by most business and institutional actors, although citizens valued them more highly. These findings suggest that while ENISA’s overall mandate is seen as appropriate, its activities could be more clearly differentiated in terms of audience relevance and impact.</w:t>
      </w:r>
      <w:r w:rsidRPr="00F5382B">
        <w:rPr>
          <w:noProof/>
          <w:lang w:val="en-IE"/>
        </w:rPr>
        <w:t>  </w:t>
      </w:r>
    </w:p>
    <w:p w14:paraId="1D6F65EA" w14:textId="77777777" w:rsidR="00EE3DF9" w:rsidRPr="00F5382B" w:rsidRDefault="00EE3DF9" w:rsidP="00EE3DF9">
      <w:pPr>
        <w:keepNext/>
        <w:textAlignment w:val="baseline"/>
        <w:rPr>
          <w:noProof/>
          <w:lang w:val="en-IE"/>
        </w:rPr>
      </w:pPr>
      <w:r w:rsidRPr="00F5382B">
        <w:rPr>
          <w:b/>
          <w:bCs/>
          <w:noProof/>
        </w:rPr>
        <w:t>ENISA providing support in policy implementation</w:t>
      </w:r>
      <w:r w:rsidRPr="00F5382B">
        <w:rPr>
          <w:noProof/>
          <w:lang w:val="en-IE"/>
        </w:rPr>
        <w:t>  </w:t>
      </w:r>
    </w:p>
    <w:p w14:paraId="55A583A5" w14:textId="77777777" w:rsidR="00EE3DF9" w:rsidRPr="00F5382B" w:rsidRDefault="00EE3DF9" w:rsidP="00EE3DF9">
      <w:pPr>
        <w:textAlignment w:val="baseline"/>
        <w:rPr>
          <w:noProof/>
          <w:lang w:val="en-IE"/>
        </w:rPr>
      </w:pPr>
      <w:r w:rsidRPr="00F5382B">
        <w:rPr>
          <w:noProof/>
        </w:rPr>
        <w:t>This section describes stakeholders’ views on ENISA’s support for Union cybersecurity policy, focusing on assistance to Member States, support to the Commission, guidance to industry, and international cooperation. Results show broad support for ENISA’s policy-related functions, with differences across stakeholder groups. Assisting Member States and supporting the Commission were most frequently rated as "Very important" (both 45.6%), followed by industry guidance (43.5%). International cooperation received 27.5%.</w:t>
      </w:r>
      <w:r w:rsidRPr="00F5382B">
        <w:rPr>
          <w:noProof/>
          <w:lang w:val="en-IE"/>
        </w:rPr>
        <w:t> </w:t>
      </w:r>
    </w:p>
    <w:p w14:paraId="49B82F47" w14:textId="77777777" w:rsidR="00EE3DF9" w:rsidRPr="00F5382B" w:rsidRDefault="00EE3DF9" w:rsidP="00EE3DF9">
      <w:pPr>
        <w:textAlignment w:val="baseline"/>
        <w:rPr>
          <w:noProof/>
          <w:lang w:val="en-IE"/>
        </w:rPr>
      </w:pPr>
      <w:r w:rsidRPr="00F5382B">
        <w:rPr>
          <w:noProof/>
        </w:rPr>
        <w:t>Large companies consistently rated all areas highly, with 56–60% considering assistance to Member States, support to the Commission, and industry guidance as "Very important", and 48% for international cooperation. Public authorities were even more supportive: 75% rated assistance to Member States and support to the Commission as "Very important", and 62.5% for industry guidance. Only 12.5% of public authorities considered international cooperation "Very important", showing a preference for ENISA to focus on internal EU coordination. Medium-sized companies showed more selective support: 50% rated assistance to Member States as "Very important", 25% for industry guidance, and lower ratings for other areas. Small companies prioritised industry guidance (55.6% "Very important"), but gave less importance to other functions, especially international cooperation. Micro enterprises valued industry guidance most (41.7% "Very important"), but showed limited support for other areas.</w:t>
      </w:r>
      <w:r w:rsidRPr="00F5382B">
        <w:rPr>
          <w:noProof/>
          <w:lang w:val="en-IE"/>
        </w:rPr>
        <w:t> </w:t>
      </w:r>
    </w:p>
    <w:p w14:paraId="39FA8492" w14:textId="77777777" w:rsidR="00EE3DF9" w:rsidRPr="00F5382B" w:rsidRDefault="00EE3DF9" w:rsidP="00EE3DF9">
      <w:pPr>
        <w:textAlignment w:val="baseline"/>
        <w:rPr>
          <w:noProof/>
          <w:lang w:val="en-IE"/>
        </w:rPr>
      </w:pPr>
      <w:r w:rsidRPr="00F5382B">
        <w:rPr>
          <w:noProof/>
        </w:rPr>
        <w:t>EU citizens showed high support for all tasks, especially assistance to Member States (42.3%), support to the Commission (42.3%), and industry guidance (46.2%), though international cooperation was less frequently rated as "Very important" (23.1%). Business associations showed a balanced view, with around 40–46% rating the first three areas as "Very important", and moderate support for international cooperation.</w:t>
      </w:r>
      <w:r w:rsidRPr="00F5382B">
        <w:rPr>
          <w:noProof/>
          <w:lang w:val="en-IE"/>
        </w:rPr>
        <w:t> </w:t>
      </w:r>
    </w:p>
    <w:p w14:paraId="5ABC9D58" w14:textId="77777777" w:rsidR="00EE3DF9" w:rsidRPr="00F5382B" w:rsidRDefault="00EE3DF9" w:rsidP="00EE3DF9">
      <w:pPr>
        <w:textAlignment w:val="baseline"/>
        <w:rPr>
          <w:i/>
          <w:iCs/>
          <w:noProof/>
          <w:lang w:val="en-IE"/>
        </w:rPr>
      </w:pPr>
      <w:r w:rsidRPr="00F5382B">
        <w:rPr>
          <w:i/>
          <w:iCs/>
          <w:noProof/>
          <w:lang w:eastAsia="en-GB"/>
        </w:rPr>
        <w:drawing>
          <wp:inline distT="0" distB="0" distL="0" distR="0" wp14:anchorId="50FCDD07" wp14:editId="0FB83A1A">
            <wp:extent cx="3676650" cy="2209800"/>
            <wp:effectExtent l="0" t="0" r="0" b="0"/>
            <wp:docPr id="319707097" name="Picture 21" descr="Chart 3,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hart 3, Chart ele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76650" cy="2209800"/>
                    </a:xfrm>
                    <a:prstGeom prst="rect">
                      <a:avLst/>
                    </a:prstGeom>
                    <a:noFill/>
                    <a:ln>
                      <a:noFill/>
                    </a:ln>
                  </pic:spPr>
                </pic:pic>
              </a:graphicData>
            </a:graphic>
          </wp:inline>
        </w:drawing>
      </w:r>
      <w:r w:rsidRPr="00F5382B">
        <w:rPr>
          <w:i/>
          <w:iCs/>
          <w:noProof/>
          <w:lang w:val="en-IE"/>
        </w:rPr>
        <w:t> </w:t>
      </w:r>
    </w:p>
    <w:p w14:paraId="10ED1DAD" w14:textId="4582D1AF" w:rsidR="00EE3DF9" w:rsidRPr="00F5382B" w:rsidRDefault="00EE3DF9" w:rsidP="00E5147D">
      <w:pPr>
        <w:pStyle w:val="Caption"/>
        <w:rPr>
          <w:i w:val="0"/>
          <w:iCs w:val="0"/>
          <w:noProof/>
          <w:lang w:val="en-IE"/>
        </w:rPr>
      </w:pPr>
      <w:bookmarkStart w:id="186" w:name="_Toc219447474"/>
      <w:r w:rsidRPr="00913100">
        <w:rPr>
          <w:noProof/>
        </w:rPr>
        <w:t>Figure 2 Stakeholder’s views on ENISA’s biggest added value</w:t>
      </w:r>
      <w:bookmarkEnd w:id="186"/>
      <w:r w:rsidRPr="00F5382B">
        <w:rPr>
          <w:i w:val="0"/>
          <w:iCs w:val="0"/>
          <w:noProof/>
          <w:lang w:val="en-IE"/>
        </w:rPr>
        <w:t> </w:t>
      </w:r>
    </w:p>
    <w:p w14:paraId="73982E1E" w14:textId="77777777" w:rsidR="00EE3DF9" w:rsidRPr="00F5382B" w:rsidRDefault="00EE3DF9" w:rsidP="00EE3DF9">
      <w:pPr>
        <w:textAlignment w:val="baseline"/>
        <w:rPr>
          <w:noProof/>
          <w:lang w:val="en-IE"/>
        </w:rPr>
      </w:pPr>
      <w:r w:rsidRPr="00F5382B">
        <w:rPr>
          <w:noProof/>
        </w:rPr>
        <w:t>Assisting Member States, supporting the Commission, and providing industry guidance received the strongest and most consistent support across stakeholders, and are central to ENISA’s mandate. International cooperation, while valued, was a lower priority for most business and institutional actors, although large companies and non-EU respondents rated it more highly. ENISA’s mandate is seen as appropriate, but its activities could be more clearly differentiated by audience relevance and impact.</w:t>
      </w:r>
      <w:r w:rsidRPr="00F5382B">
        <w:rPr>
          <w:noProof/>
          <w:lang w:val="en-IE"/>
        </w:rPr>
        <w:t> </w:t>
      </w:r>
    </w:p>
    <w:p w14:paraId="302E1E8C" w14:textId="77777777" w:rsidR="00EE3DF9" w:rsidRPr="00F5382B" w:rsidRDefault="00EE3DF9" w:rsidP="00EE3DF9">
      <w:pPr>
        <w:textAlignment w:val="baseline"/>
        <w:rPr>
          <w:noProof/>
          <w:lang w:val="en-IE"/>
        </w:rPr>
      </w:pPr>
      <w:r w:rsidRPr="00F5382B">
        <w:rPr>
          <w:noProof/>
        </w:rPr>
        <w:t>Open-ended questions highlighted strategic and operational opportunities for ENISA. Several stakeholders proposed expanding ENISA’s mandate to address emerging technological challenges, including cybersecurity standards for artificial intelligence, the Internet of Things, quantum computing, and 6G networks. Others emphasised the need for ENISA to coordinate professional training and certification frameworks with universities and industry associations, especially in areas such as 5G/6G security, incident management, and critical systems auditing.</w:t>
      </w:r>
      <w:r w:rsidRPr="00F5382B">
        <w:rPr>
          <w:noProof/>
          <w:lang w:val="en-IE"/>
        </w:rPr>
        <w:t> </w:t>
      </w:r>
    </w:p>
    <w:p w14:paraId="7456BF31" w14:textId="77777777" w:rsidR="00EE3DF9" w:rsidRPr="00F5382B" w:rsidRDefault="00EE3DF9" w:rsidP="00EE3DF9">
      <w:pPr>
        <w:textAlignment w:val="baseline"/>
        <w:rPr>
          <w:noProof/>
          <w:lang w:val="en-IE"/>
        </w:rPr>
      </w:pPr>
      <w:r w:rsidRPr="00F5382B">
        <w:rPr>
          <w:noProof/>
        </w:rPr>
        <w:t>There was strong support for ENISA to play a more active role in developing open security standards and promoting secure-by-design protocols, especially for interoperability across digital services and infrastructure. Some respondents called for ENISA to strengthen its position as a European cyber intelligence hub, providing forward-looking analysis on threats such as ransomware, vulnerabilities in critical infrastructure, and quantum computing risks.</w:t>
      </w:r>
      <w:r w:rsidRPr="00F5382B">
        <w:rPr>
          <w:noProof/>
          <w:lang w:val="en-IE"/>
        </w:rPr>
        <w:t> </w:t>
      </w:r>
    </w:p>
    <w:p w14:paraId="3EF1AEF1" w14:textId="77777777" w:rsidR="00EE3DF9" w:rsidRPr="00F5382B" w:rsidRDefault="00EE3DF9" w:rsidP="00EE3DF9">
      <w:pPr>
        <w:textAlignment w:val="baseline"/>
        <w:rPr>
          <w:noProof/>
          <w:lang w:val="en-IE"/>
        </w:rPr>
      </w:pPr>
      <w:r w:rsidRPr="00F5382B">
        <w:rPr>
          <w:noProof/>
        </w:rPr>
        <w:t>Stakeholders suggested ENISA could help harmonise audit procedures and reporting practices across Member States, reduce regulatory fragmentation, and support common cybersecurity practices. Others advocated for more structured engagement with industry, including appointing national liaison officers to facilitate dialogue and responsiveness. Additional proposals included simplifying and reducing the cost of cybersecurity certification, supporting sovereign European cybersecurity projects, and mapping alternatives to non-European technologies.</w:t>
      </w:r>
      <w:r w:rsidRPr="00F5382B">
        <w:rPr>
          <w:noProof/>
          <w:lang w:val="en-IE"/>
        </w:rPr>
        <w:t> </w:t>
      </w:r>
    </w:p>
    <w:p w14:paraId="58D11C01" w14:textId="77777777" w:rsidR="00EE3DF9" w:rsidRPr="00F5382B" w:rsidRDefault="00EE3DF9" w:rsidP="00EE3DF9">
      <w:pPr>
        <w:textAlignment w:val="baseline"/>
        <w:rPr>
          <w:noProof/>
          <w:lang w:val="en-IE"/>
        </w:rPr>
      </w:pPr>
      <w:r w:rsidRPr="00F5382B">
        <w:rPr>
          <w:noProof/>
        </w:rPr>
        <w:t>These contributions reflect a shared desire for ENISA to become a more proactive, technically authoritative, and strategically aligned agency that supports policy implementation and drives innovation, coherence, and resilience across the European cybersecurity landscape.</w:t>
      </w:r>
      <w:r w:rsidRPr="00F5382B">
        <w:rPr>
          <w:noProof/>
          <w:lang w:val="en-IE"/>
        </w:rPr>
        <w:t> </w:t>
      </w:r>
    </w:p>
    <w:p w14:paraId="692C4500" w14:textId="77777777" w:rsidR="00EE3DF9" w:rsidRPr="00F5382B" w:rsidRDefault="00EE3DF9" w:rsidP="00EE3DF9">
      <w:pPr>
        <w:textAlignment w:val="baseline"/>
        <w:rPr>
          <w:noProof/>
          <w:lang w:val="en-IE"/>
        </w:rPr>
      </w:pPr>
      <w:r w:rsidRPr="00F5382B">
        <w:rPr>
          <w:b/>
          <w:bCs/>
          <w:noProof/>
        </w:rPr>
        <w:t>ENISA providing technical support</w:t>
      </w:r>
      <w:r w:rsidRPr="00F5382B">
        <w:rPr>
          <w:noProof/>
          <w:lang w:val="en-IE"/>
        </w:rPr>
        <w:t>  </w:t>
      </w:r>
    </w:p>
    <w:p w14:paraId="62600DC1" w14:textId="77777777" w:rsidR="00EE3DF9" w:rsidRPr="00F5382B" w:rsidRDefault="00EE3DF9" w:rsidP="00EE3DF9">
      <w:pPr>
        <w:textAlignment w:val="baseline"/>
        <w:rPr>
          <w:noProof/>
          <w:lang w:val="en-IE"/>
        </w:rPr>
      </w:pPr>
      <w:r w:rsidRPr="00F5382B">
        <w:rPr>
          <w:noProof/>
        </w:rPr>
        <w:t>This section describes stakeholders’ views on ENISA’s technical support role, focusing on whether additional technical tasks should be added to its mandate and how well it performs its current responsibilities. Responses were more divided than for policy implementation, with many stakeholders expressing uncertainty or reservations about expanding ENISA’s technical scope.</w:t>
      </w:r>
      <w:r w:rsidRPr="00F5382B">
        <w:rPr>
          <w:noProof/>
          <w:lang w:val="en-IE"/>
        </w:rPr>
        <w:t> </w:t>
      </w:r>
    </w:p>
    <w:p w14:paraId="19FC8F84" w14:textId="77777777" w:rsidR="00EE3DF9" w:rsidRPr="00F5382B" w:rsidRDefault="00EE3DF9" w:rsidP="00EE3DF9">
      <w:pPr>
        <w:textAlignment w:val="baseline"/>
        <w:rPr>
          <w:noProof/>
          <w:lang w:val="en-IE"/>
        </w:rPr>
      </w:pPr>
      <w:r w:rsidRPr="00F5382B">
        <w:rPr>
          <w:noProof/>
        </w:rPr>
        <w:t>When asked about integrating additional technical tasks, 28.5% supported expansion, 42.5% opposed, and 29% had no opinion. Business associations were split, large companies leaned toward uncertainty, and medium-sized, small, and micro enterprises were generally opposed or undecided. EU citizens were cautious, with half opposing expansion, while trade unions were strongly supportive. Public authorities were evenly divided, and other respondents showed mixed views.</w:t>
      </w:r>
      <w:r w:rsidRPr="00F5382B">
        <w:rPr>
          <w:noProof/>
          <w:lang w:val="en-IE"/>
        </w:rPr>
        <w:t> </w:t>
      </w:r>
    </w:p>
    <w:p w14:paraId="091A6BBC" w14:textId="77777777" w:rsidR="00EE3DF9" w:rsidRPr="00F5382B" w:rsidRDefault="00EE3DF9" w:rsidP="00EE3DF9">
      <w:pPr>
        <w:textAlignment w:val="baseline"/>
        <w:rPr>
          <w:noProof/>
          <w:lang w:val="en-IE"/>
        </w:rPr>
      </w:pPr>
      <w:r w:rsidRPr="00F5382B">
        <w:rPr>
          <w:noProof/>
        </w:rPr>
        <w:t>Open-ended responses suggested a wide range of potential technical tasks for ENISA, such as developing frameworks for vendor participation, supporting mutual recognition of certifications, enhancing incident reporting interoperability, and integrating threat intelligence. Stakeholders also called for ENISA to harmonise regulatory practices, assist in auditing, create sovereign cybersecurity tools, and evaluate supply chain risks. Further suggestions included developing risk assessment tools, sector-specific training modules, standardized reporting templates, and support centres for Member States and critical infrastructure. There was also support for ENISA to lead initiatives in certification simplification, cloud security, stewardship of critical software, guidance on emerging technologies, and coordinating cybersecurity exercises.</w:t>
      </w:r>
      <w:r w:rsidRPr="00F5382B">
        <w:rPr>
          <w:noProof/>
          <w:lang w:val="en-IE"/>
        </w:rPr>
        <w:t> </w:t>
      </w:r>
    </w:p>
    <w:p w14:paraId="55A3C84A" w14:textId="77777777" w:rsidR="00EE3DF9" w:rsidRPr="00F5382B" w:rsidRDefault="00EE3DF9" w:rsidP="00EE3DF9">
      <w:pPr>
        <w:textAlignment w:val="baseline"/>
        <w:rPr>
          <w:noProof/>
          <w:lang w:val="en-IE"/>
        </w:rPr>
      </w:pPr>
      <w:r w:rsidRPr="00F5382B">
        <w:rPr>
          <w:noProof/>
        </w:rPr>
        <w:t>When asked about ENISA’s current technical performance, 25.4% said yes, 28% said no, and 46.6% had no opinion. Business associations and large companies were cautious, medium-sized companies were more critical, and small and micro enterprises were generally sceptical. EU citizens and non-EU respondents expressed dissatisfaction, while public authorities and trade unions were more supportive.</w:t>
      </w:r>
      <w:r w:rsidRPr="00F5382B">
        <w:rPr>
          <w:noProof/>
          <w:lang w:val="en-IE"/>
        </w:rPr>
        <w:t> </w:t>
      </w:r>
    </w:p>
    <w:p w14:paraId="0747932E" w14:textId="77777777" w:rsidR="00EE3DF9" w:rsidRPr="00F5382B" w:rsidRDefault="00EE3DF9" w:rsidP="00EE3DF9">
      <w:pPr>
        <w:textAlignment w:val="baseline"/>
        <w:rPr>
          <w:noProof/>
          <w:lang w:val="en-IE"/>
        </w:rPr>
      </w:pPr>
      <w:r w:rsidRPr="00F5382B">
        <w:rPr>
          <w:noProof/>
        </w:rPr>
        <w:t>This reveals a more cautious and divided perspective on ENISA’s technical role. Some stakeholders, especially trade unions, public authorities, and large companies, support expanding ENISA’s technical mandate, while small and micro enterprises express scepticism or uncertainty. Open-ended responses show strong interest in more proactive and technically robust engagement from ENISA, but the mixed quantitative results indicate that any expansion of its technical functions should be carefully aligned with stakeholder expectations and capacities.</w:t>
      </w:r>
      <w:r w:rsidRPr="00F5382B">
        <w:rPr>
          <w:noProof/>
          <w:lang w:val="en-IE"/>
        </w:rPr>
        <w:t> </w:t>
      </w:r>
    </w:p>
    <w:p w14:paraId="5FE60C73" w14:textId="77777777" w:rsidR="00EE3DF9" w:rsidRPr="00F5382B" w:rsidRDefault="00EE3DF9" w:rsidP="00EE3DF9">
      <w:pPr>
        <w:textAlignment w:val="baseline"/>
        <w:rPr>
          <w:noProof/>
          <w:lang w:val="en-IE"/>
        </w:rPr>
      </w:pPr>
      <w:r w:rsidRPr="00F5382B">
        <w:rPr>
          <w:b/>
          <w:bCs/>
          <w:noProof/>
        </w:rPr>
        <w:t>ENISA’s collaboration with other bodies</w:t>
      </w:r>
      <w:r w:rsidRPr="00F5382B">
        <w:rPr>
          <w:noProof/>
          <w:lang w:val="en-IE"/>
        </w:rPr>
        <w:t>  </w:t>
      </w:r>
    </w:p>
    <w:p w14:paraId="17786F39" w14:textId="77777777" w:rsidR="00EE3DF9" w:rsidRPr="00F5382B" w:rsidRDefault="00EE3DF9" w:rsidP="00EE3DF9">
      <w:pPr>
        <w:textAlignment w:val="baseline"/>
        <w:rPr>
          <w:noProof/>
          <w:lang w:val="en-IE"/>
        </w:rPr>
      </w:pPr>
      <w:r w:rsidRPr="00F5382B">
        <w:rPr>
          <w:noProof/>
        </w:rPr>
        <w:t>This section covers ENISA’s collaboration with other EU agencies, bodies, and institutions, and whether these partnerships should be better specified in the founding act. Results show diverse perspectives on the clarity and structure of ENISA’s institutional relationships.</w:t>
      </w:r>
      <w:r w:rsidRPr="00F5382B">
        <w:rPr>
          <w:noProof/>
          <w:lang w:val="en-IE"/>
        </w:rPr>
        <w:t> </w:t>
      </w:r>
    </w:p>
    <w:p w14:paraId="024F9036" w14:textId="77777777" w:rsidR="00EE3DF9" w:rsidRPr="00F5382B" w:rsidRDefault="00EE3DF9" w:rsidP="00EE3DF9">
      <w:pPr>
        <w:textAlignment w:val="baseline"/>
        <w:rPr>
          <w:noProof/>
          <w:lang w:val="en-IE"/>
        </w:rPr>
      </w:pPr>
      <w:r w:rsidRPr="00F5382B">
        <w:rPr>
          <w:noProof/>
        </w:rPr>
        <w:t>Overall, 37.8% of respondents agreed and 18.7% strongly agreed that ENISA’s partnerships should be better defined, while 17.1% disagreed, 2.6% strongly disagreed, and 23.8% had no opinion. This indicates a general tendency towards agreement, but with varied intensity and a notable share without opinion.</w:t>
      </w:r>
      <w:r w:rsidRPr="00F5382B">
        <w:rPr>
          <w:noProof/>
          <w:lang w:val="en-IE"/>
        </w:rPr>
        <w:t> </w:t>
      </w:r>
    </w:p>
    <w:p w14:paraId="415C2B6D" w14:textId="77777777" w:rsidR="00EE3DF9" w:rsidRPr="00F5382B" w:rsidRDefault="00EE3DF9" w:rsidP="00EE3DF9">
      <w:pPr>
        <w:textAlignment w:val="baseline"/>
        <w:rPr>
          <w:noProof/>
          <w:lang w:val="en-IE"/>
        </w:rPr>
      </w:pPr>
      <w:r w:rsidRPr="00F5382B">
        <w:rPr>
          <w:noProof/>
        </w:rPr>
        <w:t>Business associations reflected this pattern, with 38.9% agreeing, 9.3% strongly agreeing, and 18.5% disagreeing. Large companies showed stronger support, with 48% agreeing and 22% strongly agreeing, and only 2% disagreeing. Medium-sized companies were more polarised: 37.5% strongly agreeing, 25% agreeing, 25% disagreeing, and 12.5% strongly disagreeing.</w:t>
      </w:r>
      <w:r w:rsidRPr="00F5382B">
        <w:rPr>
          <w:noProof/>
          <w:lang w:val="en-IE"/>
        </w:rPr>
        <w:t> </w:t>
      </w:r>
    </w:p>
    <w:p w14:paraId="07FADD34" w14:textId="77777777" w:rsidR="00EE3DF9" w:rsidRPr="00F5382B" w:rsidRDefault="00EE3DF9" w:rsidP="00EE3DF9">
      <w:pPr>
        <w:textAlignment w:val="baseline"/>
        <w:rPr>
          <w:noProof/>
          <w:lang w:val="en-IE"/>
        </w:rPr>
      </w:pPr>
      <w:r w:rsidRPr="00F5382B">
        <w:rPr>
          <w:noProof/>
        </w:rPr>
        <w:t>Small companies and micro enterprises were evenly split between agreement and disagreement, with many expressing no opinion or strong disagreement. EU citizens leaned towards agreement, but a significant portion also disagreed or had no opinion. Public authorities were more cautious, with equal shares agreeing and strongly agreeing, and a notable proportion expressing no opinion. Trade unions were more supportive, with half strongly agreeing. Other respondents showed mixed views.</w:t>
      </w:r>
      <w:r w:rsidRPr="00F5382B">
        <w:rPr>
          <w:noProof/>
          <w:lang w:val="en-IE"/>
        </w:rPr>
        <w:t> </w:t>
      </w:r>
    </w:p>
    <w:p w14:paraId="3E04CDE3" w14:textId="77777777" w:rsidR="00EE3DF9" w:rsidRPr="00F5382B" w:rsidRDefault="00EE3DF9" w:rsidP="00EE3DF9">
      <w:pPr>
        <w:textAlignment w:val="baseline"/>
        <w:rPr>
          <w:noProof/>
          <w:lang w:val="en-IE"/>
        </w:rPr>
      </w:pPr>
      <w:r w:rsidRPr="00F5382B">
        <w:rPr>
          <w:noProof/>
        </w:rPr>
        <w:t>These results reflect a broad spectrum of stakeholder perspectives on whether ENISA’s partnerships should be more clearly defined in its founding legislation. While there is a general tendency towards agreement, the level of support varies considerably across groups, with some expressing strong endorsement and others showing hesitation or opposition.</w:t>
      </w:r>
      <w:r w:rsidRPr="00F5382B">
        <w:rPr>
          <w:noProof/>
          <w:lang w:val="en-IE"/>
        </w:rPr>
        <w:t> </w:t>
      </w:r>
    </w:p>
    <w:p w14:paraId="595B4791" w14:textId="77777777" w:rsidR="00EE3DF9" w:rsidRPr="00F5382B" w:rsidRDefault="00EE3DF9" w:rsidP="00EE3DF9">
      <w:pPr>
        <w:textAlignment w:val="baseline"/>
        <w:rPr>
          <w:noProof/>
          <w:lang w:val="en-IE"/>
        </w:rPr>
      </w:pPr>
      <w:r w:rsidRPr="00F5382B">
        <w:rPr>
          <w:b/>
          <w:bCs/>
          <w:noProof/>
        </w:rPr>
        <w:t>ENISA’s support in situational awareness</w:t>
      </w:r>
      <w:r w:rsidRPr="00F5382B">
        <w:rPr>
          <w:noProof/>
          <w:lang w:val="en-IE"/>
        </w:rPr>
        <w:t>  </w:t>
      </w:r>
    </w:p>
    <w:p w14:paraId="1DD5782B" w14:textId="77777777" w:rsidR="00EE3DF9" w:rsidRPr="00F5382B" w:rsidRDefault="00EE3DF9" w:rsidP="00EE3DF9">
      <w:pPr>
        <w:textAlignment w:val="baseline"/>
        <w:rPr>
          <w:noProof/>
          <w:lang w:val="en-IE"/>
        </w:rPr>
      </w:pPr>
      <w:r w:rsidRPr="00F5382B">
        <w:rPr>
          <w:noProof/>
        </w:rPr>
        <w:t>This section assesses stakeholders’ views on ENISA’s role in situational awareness and how this function should evolve. Respondents reflected on which aspects should be strengthened, phased out, or added to enhance ENISA’s contribution to EU cybersecurity resilience.</w:t>
      </w:r>
      <w:r w:rsidRPr="00F5382B">
        <w:rPr>
          <w:noProof/>
          <w:lang w:val="en-IE"/>
        </w:rPr>
        <w:t> </w:t>
      </w:r>
    </w:p>
    <w:p w14:paraId="216FD214" w14:textId="77777777" w:rsidR="00EE3DF9" w:rsidRPr="00F5382B" w:rsidRDefault="00EE3DF9" w:rsidP="00EE3DF9">
      <w:pPr>
        <w:textAlignment w:val="baseline"/>
        <w:rPr>
          <w:noProof/>
          <w:lang w:val="en-IE"/>
        </w:rPr>
      </w:pPr>
      <w:r w:rsidRPr="00F5382B">
        <w:rPr>
          <w:noProof/>
        </w:rPr>
        <w:t>For capacity building (including ransomware prevention, sector-specific support, and exercises), 51.8% supported strengthening ENISA’s role, 27.5% opposed, and 20.7% had no opinion. Large companies (66%) and public authorities (62.5%) were especially supportive, while medium-sized, small, and micro enterprises were more divided or sceptical. EU citizens and non-EU respondents generally supported a stronger role, but small businesses and trade unions were split.</w:t>
      </w:r>
      <w:r w:rsidRPr="00F5382B">
        <w:rPr>
          <w:noProof/>
          <w:lang w:val="en-IE"/>
        </w:rPr>
        <w:t> </w:t>
      </w:r>
    </w:p>
    <w:p w14:paraId="59DB158B" w14:textId="77777777" w:rsidR="00EE3DF9" w:rsidRPr="00F5382B" w:rsidRDefault="00EE3DF9" w:rsidP="00EE3DF9">
      <w:pPr>
        <w:textAlignment w:val="baseline"/>
        <w:rPr>
          <w:noProof/>
          <w:lang w:val="en-IE"/>
        </w:rPr>
      </w:pPr>
      <w:r w:rsidRPr="00F5382B">
        <w:rPr>
          <w:noProof/>
        </w:rPr>
        <w:t>Open-ended responses highlighted the need for ENISA to take a more prominent role in crisis coordination, support Member States during large-scale incidents, and lead cross-border response efforts. Stakeholders also called for ENISA to expand its mandate in certification, especially for cloud services and critical infrastructure, and to lead cross-sector simulation exercises. Some suggested phasing out technical development tasks in favour of strategic coordination and capacity building, and advocated a more bottom-up approach, especially for SMEs.</w:t>
      </w:r>
      <w:r w:rsidRPr="00F5382B">
        <w:rPr>
          <w:noProof/>
          <w:lang w:val="en-IE"/>
        </w:rPr>
        <w:t> </w:t>
      </w:r>
    </w:p>
    <w:p w14:paraId="44D64BE3" w14:textId="77777777" w:rsidR="00EE3DF9" w:rsidRPr="00F5382B" w:rsidRDefault="00EE3DF9" w:rsidP="00EE3DF9">
      <w:pPr>
        <w:textAlignment w:val="baseline"/>
        <w:rPr>
          <w:noProof/>
          <w:lang w:val="en-IE"/>
        </w:rPr>
      </w:pPr>
      <w:r w:rsidRPr="00F5382B">
        <w:rPr>
          <w:noProof/>
        </w:rPr>
        <w:t>New responsibilities proposed included vulnerability disclosure, threat intelligence sharing, and unified incident reporting. There was support for ENISA to help implement NIS2 and the Cyber Resilience Act, develop a European vulnerability database, and broker external technical intelligence. International cooperation was emphasised, with calls for ENISA to build global partnerships, align with international standards, and support strategic capabilities in emerging areas.</w:t>
      </w:r>
      <w:r w:rsidRPr="00F5382B">
        <w:rPr>
          <w:noProof/>
          <w:lang w:val="en-IE"/>
        </w:rPr>
        <w:t> </w:t>
      </w:r>
    </w:p>
    <w:p w14:paraId="6C2A2DDC" w14:textId="77777777" w:rsidR="00EE3DF9" w:rsidRPr="00F5382B" w:rsidRDefault="00EE3DF9" w:rsidP="00EE3DF9">
      <w:pPr>
        <w:textAlignment w:val="baseline"/>
        <w:rPr>
          <w:noProof/>
          <w:lang w:val="en-IE"/>
        </w:rPr>
      </w:pPr>
      <w:r w:rsidRPr="00F5382B">
        <w:rPr>
          <w:noProof/>
        </w:rPr>
        <w:t>For building a shared EU situational awareness picture, 77.2% supported ENISA’s role, with strong endorsement from large companies, public authorities, and business associations, while medium-sized and small companies were more cautious.</w:t>
      </w:r>
      <w:r w:rsidRPr="00F5382B">
        <w:rPr>
          <w:noProof/>
          <w:lang w:val="en-IE"/>
        </w:rPr>
        <w:t> </w:t>
      </w:r>
    </w:p>
    <w:p w14:paraId="292E4E6E" w14:textId="77777777" w:rsidR="00EE3DF9" w:rsidRPr="00F5382B" w:rsidRDefault="00EE3DF9" w:rsidP="00EE3DF9">
      <w:pPr>
        <w:textAlignment w:val="baseline"/>
        <w:rPr>
          <w:noProof/>
          <w:lang w:val="en-IE"/>
        </w:rPr>
      </w:pPr>
      <w:r w:rsidRPr="00F5382B">
        <w:rPr>
          <w:noProof/>
        </w:rPr>
        <w:t>Section 1.d shows broad and varied expectations for ENISA’s situational awareness role. While there is no single consensus, responses point to a desire for ENISA to become more strategic, technically capable, and internationally connected. Stakeholders see ENISA as a central hub for coordination, guidance, and capacity building, with an ambitious and clearly defined mandate.</w:t>
      </w:r>
      <w:r w:rsidRPr="00F5382B">
        <w:rPr>
          <w:noProof/>
          <w:lang w:val="en-IE"/>
        </w:rPr>
        <w:t> </w:t>
      </w:r>
    </w:p>
    <w:p w14:paraId="70838F06" w14:textId="77777777" w:rsidR="00EE3DF9" w:rsidRPr="00F5382B" w:rsidRDefault="00EE3DF9" w:rsidP="00EE3DF9">
      <w:pPr>
        <w:textAlignment w:val="baseline"/>
        <w:rPr>
          <w:noProof/>
          <w:lang w:val="en-IE"/>
        </w:rPr>
      </w:pPr>
      <w:r w:rsidRPr="00F5382B">
        <w:rPr>
          <w:b/>
          <w:bCs/>
          <w:noProof/>
        </w:rPr>
        <w:t>ENISA and skills and awareness</w:t>
      </w:r>
      <w:r w:rsidRPr="00F5382B">
        <w:rPr>
          <w:noProof/>
          <w:lang w:val="en-IE"/>
        </w:rPr>
        <w:t>  </w:t>
      </w:r>
    </w:p>
    <w:p w14:paraId="0212DACF" w14:textId="77777777" w:rsidR="00EE3DF9" w:rsidRPr="00F5382B" w:rsidRDefault="00EE3DF9" w:rsidP="00EE3DF9">
      <w:pPr>
        <w:textAlignment w:val="baseline"/>
        <w:rPr>
          <w:noProof/>
          <w:lang w:val="en-IE"/>
        </w:rPr>
      </w:pPr>
      <w:r w:rsidRPr="00F5382B">
        <w:rPr>
          <w:noProof/>
        </w:rPr>
        <w:t>This section covers stakeholder perspectives on ENISA’s role in cybersecurity skills and awareness. Most respondents supported ENISA’s continued development of the European Cybersecurity Skills Framework (ECSF), with 75.1% agreeing or strongly agreeing. Large companies and EU citizens showed strong support, micro enterprises were highly positive, while small companies and public authorities were more divided, and trade unions were more critical.</w:t>
      </w:r>
      <w:r w:rsidRPr="00F5382B">
        <w:rPr>
          <w:noProof/>
          <w:lang w:val="en-IE"/>
        </w:rPr>
        <w:t> </w:t>
      </w:r>
    </w:p>
    <w:p w14:paraId="2860F3F8" w14:textId="77777777" w:rsidR="00EE3DF9" w:rsidRPr="00F5382B" w:rsidRDefault="00EE3DF9" w:rsidP="00EE3DF9">
      <w:pPr>
        <w:textAlignment w:val="baseline"/>
        <w:rPr>
          <w:noProof/>
          <w:lang w:val="en-IE"/>
        </w:rPr>
      </w:pPr>
      <w:r w:rsidRPr="00F5382B">
        <w:rPr>
          <w:noProof/>
        </w:rPr>
        <w:t>ENISA’s coordination of EU-wide awareness campaigns and educational tools also received broad support (78.8% agreeing or strongly agreeing), especially among large companies, micro enterprises, and EU citizens. Public authorities and trade unions were more polarised, and the non-EU citizen respondent strongly disagreed. For ENISA leading the development of an attestation scheme for cybersecurity skills, 69.4% supported the idea, though opinions were mixed. Medium-sized companies and micro enterprises were generally supportive, while EU citizens, public authorities, and trade unions showed divided views.</w:t>
      </w:r>
      <w:r w:rsidRPr="00F5382B">
        <w:rPr>
          <w:noProof/>
          <w:lang w:val="en-IE"/>
        </w:rPr>
        <w:t> </w:t>
      </w:r>
    </w:p>
    <w:p w14:paraId="2A7C307D" w14:textId="77777777" w:rsidR="00EE3DF9" w:rsidRPr="00F5382B" w:rsidRDefault="00EE3DF9" w:rsidP="00EE3DF9">
      <w:pPr>
        <w:textAlignment w:val="baseline"/>
        <w:rPr>
          <w:noProof/>
          <w:lang w:val="en-IE"/>
        </w:rPr>
      </w:pPr>
      <w:r w:rsidRPr="00F5382B">
        <w:rPr>
          <w:noProof/>
          <w:lang w:eastAsia="en-GB"/>
        </w:rPr>
        <w:drawing>
          <wp:inline distT="0" distB="0" distL="0" distR="0" wp14:anchorId="2999A1C8" wp14:editId="05E04130">
            <wp:extent cx="4057650" cy="2152650"/>
            <wp:effectExtent l="0" t="0" r="0" b="0"/>
            <wp:docPr id="348981924" name="Picture 20"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hart 1, Chart elemen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57650" cy="2152650"/>
                    </a:xfrm>
                    <a:prstGeom prst="rect">
                      <a:avLst/>
                    </a:prstGeom>
                    <a:noFill/>
                    <a:ln>
                      <a:noFill/>
                    </a:ln>
                  </pic:spPr>
                </pic:pic>
              </a:graphicData>
            </a:graphic>
          </wp:inline>
        </w:drawing>
      </w:r>
      <w:r w:rsidRPr="00F5382B">
        <w:rPr>
          <w:noProof/>
          <w:lang w:val="en-IE"/>
        </w:rPr>
        <w:t> </w:t>
      </w:r>
    </w:p>
    <w:p w14:paraId="795CE926" w14:textId="091F7897" w:rsidR="00EE3DF9" w:rsidRPr="00F5382B" w:rsidRDefault="00EE3DF9" w:rsidP="00E5147D">
      <w:pPr>
        <w:pStyle w:val="Caption"/>
        <w:rPr>
          <w:i w:val="0"/>
          <w:iCs w:val="0"/>
          <w:noProof/>
          <w:lang w:val="en-IE"/>
        </w:rPr>
      </w:pPr>
      <w:bookmarkStart w:id="187" w:name="_Toc219447475"/>
      <w:r w:rsidRPr="00913100">
        <w:rPr>
          <w:noProof/>
        </w:rPr>
        <w:t xml:space="preserve">Figure </w:t>
      </w:r>
      <w:r w:rsidR="00736409" w:rsidRPr="00913100">
        <w:rPr>
          <w:noProof/>
        </w:rPr>
        <w:t>3</w:t>
      </w:r>
      <w:r w:rsidRPr="00913100">
        <w:rPr>
          <w:noProof/>
        </w:rPr>
        <w:t xml:space="preserve"> Stakeholder's agreement with statements about ENISA</w:t>
      </w:r>
      <w:bookmarkEnd w:id="187"/>
      <w:r w:rsidRPr="00F5382B">
        <w:rPr>
          <w:i w:val="0"/>
          <w:iCs w:val="0"/>
          <w:noProof/>
          <w:lang w:val="en-IE"/>
        </w:rPr>
        <w:t> </w:t>
      </w:r>
    </w:p>
    <w:p w14:paraId="7C694A6A" w14:textId="77777777" w:rsidR="00EE3DF9" w:rsidRPr="00F5382B" w:rsidRDefault="00EE3DF9" w:rsidP="00EE3DF9">
      <w:pPr>
        <w:textAlignment w:val="baseline"/>
        <w:rPr>
          <w:noProof/>
          <w:lang w:val="en-IE"/>
        </w:rPr>
      </w:pPr>
      <w:r w:rsidRPr="00F5382B">
        <w:rPr>
          <w:noProof/>
        </w:rPr>
        <w:t>Overall, stakeholders support ENISA’s continued work in cybersecurity skills and awareness, especially in developing frameworks and coordinating campaigns. Views on certification and attestation schemes are more mixed, with some groups expressing strong support and others showing caution or opposition. These findings suggest ENISA’s efforts in this area are valued, but future initiatives should reflect the diverse expectations of its stakeholders.</w:t>
      </w:r>
      <w:r w:rsidRPr="00F5382B">
        <w:rPr>
          <w:noProof/>
          <w:lang w:val="en-IE"/>
        </w:rPr>
        <w:t> </w:t>
      </w:r>
    </w:p>
    <w:p w14:paraId="6E58CF33" w14:textId="77777777" w:rsidR="00EE3DF9" w:rsidRPr="00F5382B" w:rsidRDefault="00EE3DF9" w:rsidP="00D52AD8">
      <w:pPr>
        <w:pStyle w:val="ListParagraph"/>
        <w:numPr>
          <w:ilvl w:val="1"/>
          <w:numId w:val="108"/>
        </w:numPr>
        <w:textAlignment w:val="baseline"/>
        <w:rPr>
          <w:b/>
          <w:i/>
          <w:noProof/>
        </w:rPr>
      </w:pPr>
      <w:r w:rsidRPr="00F5382B">
        <w:rPr>
          <w:b/>
          <w:i/>
          <w:noProof/>
        </w:rPr>
        <w:t>Section 2: Certification  </w:t>
      </w:r>
    </w:p>
    <w:p w14:paraId="6011B9C2" w14:textId="77777777" w:rsidR="00EE3DF9" w:rsidRPr="00F5382B" w:rsidRDefault="00EE3DF9" w:rsidP="00EE3DF9">
      <w:pPr>
        <w:textAlignment w:val="baseline"/>
        <w:rPr>
          <w:noProof/>
          <w:lang w:val="en-IE"/>
        </w:rPr>
      </w:pPr>
      <w:r w:rsidRPr="00F5382B">
        <w:rPr>
          <w:noProof/>
        </w:rPr>
        <w:t>According to written submissions in the Call for Evidence, stakeholders highlighted the need to modernise and harmonise the certification framework. There were calls to integrate emerging technologies, such as artificial intelligence, into certification schemes, and proposals for risk-based, outcome-oriented models to better reflect evolving cybersecurity threats. Contributors emphasised transparency, traceability, and harmonised risk assessment for supply chain security, as well as clear standards to manage third-party risks and ensure accountability. Stakeholders also advocated streamlined certification processes and mutual recognition across Member States to reduce fragmentation and compliance burdens, with some requesting tailored schemes for different sectors.</w:t>
      </w:r>
      <w:r w:rsidRPr="00F5382B">
        <w:rPr>
          <w:noProof/>
          <w:lang w:val="en-IE"/>
        </w:rPr>
        <w:t> </w:t>
      </w:r>
    </w:p>
    <w:p w14:paraId="2310266A" w14:textId="77777777" w:rsidR="00EE3DF9" w:rsidRPr="00F5382B" w:rsidRDefault="00EE3DF9" w:rsidP="00EE3DF9">
      <w:pPr>
        <w:textAlignment w:val="baseline"/>
        <w:rPr>
          <w:noProof/>
          <w:lang w:val="en-IE"/>
        </w:rPr>
      </w:pPr>
      <w:r w:rsidRPr="00F5382B">
        <w:rPr>
          <w:noProof/>
        </w:rPr>
        <w:t>The certification expert interviewed as part of these consultation activities identified challenges in the current framework, including the lack of mechanisms to resolve political deadlocks, a shortage of technical expertise, and a product-centric bias in the legal text. The current governance model limits ENISA’s ability to act on politically sensitive issues, despite its formal responsibility for scheme development. Interviewees suggested expanding certification to cover services and organisational processes, clarifying ENISA’s mandate to maintain and update schemes, and emphasised ENISA’s role in coordination and support rather than as a certification body.</w:t>
      </w:r>
      <w:r w:rsidRPr="00F5382B">
        <w:rPr>
          <w:noProof/>
          <w:lang w:val="en-IE"/>
        </w:rPr>
        <w:t> </w:t>
      </w:r>
    </w:p>
    <w:p w14:paraId="3D9E694E" w14:textId="77777777" w:rsidR="00EE3DF9" w:rsidRPr="00F5382B" w:rsidRDefault="00EE3DF9" w:rsidP="00EE3DF9">
      <w:pPr>
        <w:textAlignment w:val="baseline"/>
        <w:rPr>
          <w:noProof/>
          <w:lang w:val="en-IE"/>
        </w:rPr>
      </w:pPr>
      <w:r w:rsidRPr="00F5382B">
        <w:rPr>
          <w:noProof/>
        </w:rPr>
        <w:t>Public consultation results show strong interest in advancing ECCF implementation. Certification is widely seen as a tool to enhance product and service security, with 41.45% of respondents strongly agreeing. Similarly, 47.67% strongly support its role in regulatory compliance, and 41.45% emphasise its importance for market access through mutual recognition. These views are echoed across stakeholder groups, though with varying intensity. Among business associations, 33.33% strongly agree on security benefits and 40.74% on compliance. Large companies show 36.0% strong agreement on security and 62.0% on compliance. Medium and small enterprises demonstrate strong support, with 50.0% to 55.56% strongly agreeing on security, while micro businesses are the most supportive, with 66.67% strongly agreeing that certification improves security. These figures, combined with qualitative feedback calling for clearer guidance, harmonised schemes, and more inclusive governance, underscore the urgency of improving ECCF implementation to overcome current limitations and fragmentation, and to strengthen the EU’s cybersecurity posture.</w:t>
      </w:r>
      <w:r w:rsidRPr="00F5382B">
        <w:rPr>
          <w:noProof/>
          <w:lang w:val="en-IE"/>
        </w:rPr>
        <w:t> </w:t>
      </w:r>
    </w:p>
    <w:p w14:paraId="013AA30A" w14:textId="77777777" w:rsidR="00EE3DF9" w:rsidRPr="00F5382B" w:rsidRDefault="00EE3DF9" w:rsidP="00EE3DF9">
      <w:pPr>
        <w:textAlignment w:val="baseline"/>
        <w:rPr>
          <w:noProof/>
          <w:lang w:val="en-IE"/>
        </w:rPr>
      </w:pPr>
      <w:r w:rsidRPr="00F5382B">
        <w:rPr>
          <w:b/>
          <w:bCs/>
          <w:noProof/>
        </w:rPr>
        <w:t>Scope, objectives, elements of schemes and harmonisation principle</w:t>
      </w:r>
      <w:r w:rsidRPr="00F5382B">
        <w:rPr>
          <w:noProof/>
          <w:lang w:val="en-IE"/>
        </w:rPr>
        <w:t>  </w:t>
      </w:r>
    </w:p>
    <w:p w14:paraId="418D77F8" w14:textId="77777777" w:rsidR="00EE3DF9" w:rsidRPr="00F5382B" w:rsidRDefault="00EE3DF9" w:rsidP="00EE3DF9">
      <w:pPr>
        <w:textAlignment w:val="baseline"/>
        <w:rPr>
          <w:noProof/>
          <w:lang w:val="en-IE"/>
        </w:rPr>
      </w:pPr>
      <w:r w:rsidRPr="00F5382B">
        <w:rPr>
          <w:noProof/>
        </w:rPr>
        <w:t>This section summarises stakeholder views on factors encouraging application for European cybersecurity certification, including regulatory compliance, market access, legal exposure, customer trust, and administrative costs.</w:t>
      </w:r>
      <w:r w:rsidRPr="00F5382B">
        <w:rPr>
          <w:noProof/>
          <w:lang w:val="en-IE"/>
        </w:rPr>
        <w:t> </w:t>
      </w:r>
    </w:p>
    <w:p w14:paraId="6B404DEB" w14:textId="77777777" w:rsidR="00EE3DF9" w:rsidRPr="00F5382B" w:rsidRDefault="00EE3DF9" w:rsidP="00EE3DF9">
      <w:pPr>
        <w:textAlignment w:val="baseline"/>
        <w:rPr>
          <w:noProof/>
          <w:lang w:val="en-IE"/>
        </w:rPr>
      </w:pPr>
      <w:r w:rsidRPr="00F5382B">
        <w:rPr>
          <w:noProof/>
          <w:lang w:val="en-IE"/>
        </w:rPr>
        <w:t>Stakeholders broadly recognised certification as a way to improve product and service security, with 41.5% strongly agreeing and 31.1% agreeing. Support was consistent across business associations, large companies, and micro businesses, while medium and small companies showed more varied responses. Regulatory compliance and international market access were also key benefits, with strong agreement among large companies and micro businesses. </w:t>
      </w:r>
    </w:p>
    <w:p w14:paraId="1CFA1A19" w14:textId="77777777" w:rsidR="00EE3DF9" w:rsidRPr="00F5382B" w:rsidRDefault="00EE3DF9" w:rsidP="00EE3DF9">
      <w:pPr>
        <w:textAlignment w:val="baseline"/>
        <w:rPr>
          <w:noProof/>
          <w:lang w:val="en-IE"/>
        </w:rPr>
      </w:pPr>
      <w:r w:rsidRPr="00F5382B">
        <w:rPr>
          <w:noProof/>
          <w:lang w:val="en-IE"/>
        </w:rPr>
        <w:t>Certification was seen as valuable for reducing legal exposure, enhancing market compliance, competitiveness, and customer trust. Notably, 47.7% strongly agreed that certification builds customer credibility, with micro businesses and large companies expressing the highest support. Views on reducing administrative costs were more mixed, with 41.9% agreeing and 21.2% strongly agreeing, but a notable share expressing disagreement or no opinion. </w:t>
      </w:r>
    </w:p>
    <w:p w14:paraId="41C7EFF2" w14:textId="77777777" w:rsidR="00EE3DF9" w:rsidRPr="00F5382B" w:rsidRDefault="00EE3DF9" w:rsidP="00EE3DF9">
      <w:pPr>
        <w:textAlignment w:val="baseline"/>
        <w:rPr>
          <w:noProof/>
          <w:lang w:val="en-IE"/>
        </w:rPr>
      </w:pPr>
      <w:r w:rsidRPr="00F5382B">
        <w:rPr>
          <w:noProof/>
          <w:lang w:eastAsia="en-GB"/>
        </w:rPr>
        <w:drawing>
          <wp:inline distT="0" distB="0" distL="0" distR="0" wp14:anchorId="07318583" wp14:editId="11DBB97A">
            <wp:extent cx="3371850" cy="2247900"/>
            <wp:effectExtent l="0" t="0" r="0" b="0"/>
            <wp:docPr id="984669450" name="Picture 19" descr="Chart 2, Chart ele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hart 2, Chart element, Pict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71850" cy="2247900"/>
                    </a:xfrm>
                    <a:prstGeom prst="rect">
                      <a:avLst/>
                    </a:prstGeom>
                    <a:noFill/>
                    <a:ln>
                      <a:noFill/>
                    </a:ln>
                  </pic:spPr>
                </pic:pic>
              </a:graphicData>
            </a:graphic>
          </wp:inline>
        </w:drawing>
      </w:r>
      <w:r w:rsidRPr="00F5382B">
        <w:rPr>
          <w:noProof/>
          <w:lang w:val="en-IE"/>
        </w:rPr>
        <w:t> </w:t>
      </w:r>
    </w:p>
    <w:p w14:paraId="2E4CFFF7" w14:textId="551D96AB" w:rsidR="00EE3DF9" w:rsidRPr="00F5382B" w:rsidRDefault="00EE3DF9" w:rsidP="00E5147D">
      <w:pPr>
        <w:pStyle w:val="Caption"/>
        <w:rPr>
          <w:i w:val="0"/>
          <w:iCs w:val="0"/>
          <w:noProof/>
          <w:lang w:val="en-IE"/>
        </w:rPr>
      </w:pPr>
      <w:bookmarkStart w:id="188" w:name="_Toc219447476"/>
      <w:r w:rsidRPr="00F5382B">
        <w:rPr>
          <w:noProof/>
        </w:rPr>
        <w:t xml:space="preserve">Figure </w:t>
      </w:r>
      <w:r w:rsidR="00736409">
        <w:rPr>
          <w:noProof/>
        </w:rPr>
        <w:t>4</w:t>
      </w:r>
      <w:r w:rsidRPr="00F5382B">
        <w:rPr>
          <w:noProof/>
        </w:rPr>
        <w:t xml:space="preserve"> Stakeholder’s views on the considerations that would encourage them to apply for a certificate under the European cybersecurity certification scheme</w:t>
      </w:r>
      <w:bookmarkEnd w:id="188"/>
      <w:r w:rsidRPr="00F5382B">
        <w:rPr>
          <w:i w:val="0"/>
          <w:iCs w:val="0"/>
          <w:noProof/>
          <w:lang w:val="en-IE"/>
        </w:rPr>
        <w:t> </w:t>
      </w:r>
    </w:p>
    <w:p w14:paraId="5B047388" w14:textId="77777777" w:rsidR="00EE3DF9" w:rsidRPr="00F5382B" w:rsidRDefault="00EE3DF9" w:rsidP="00EE3DF9">
      <w:pPr>
        <w:textAlignment w:val="baseline"/>
        <w:rPr>
          <w:noProof/>
          <w:lang w:val="en-IE"/>
        </w:rPr>
      </w:pPr>
      <w:r w:rsidRPr="00F5382B">
        <w:rPr>
          <w:noProof/>
          <w:lang w:val="en-IE"/>
        </w:rPr>
        <w:t>Open-ended responses emphasised the need for streamlined, consistent certification processes, alignment with international standards, and adaptability to different organisational sizes and sectors, especially SMEs. Stakeholders highlighted certification’s role in competitiveness, internal processes, and legal clarity, as well as its value for customer confidence and brand reputation. Technologies identified as benefiting from certification included IoT, cryptographic services, cloud computing, AI, and critical infrastructure. </w:t>
      </w:r>
    </w:p>
    <w:p w14:paraId="54D10936" w14:textId="77777777" w:rsidR="00EE3DF9" w:rsidRPr="00F5382B" w:rsidRDefault="00EE3DF9" w:rsidP="00EE3DF9">
      <w:pPr>
        <w:textAlignment w:val="baseline"/>
        <w:rPr>
          <w:noProof/>
          <w:lang w:val="en-IE"/>
        </w:rPr>
      </w:pPr>
      <w:r w:rsidRPr="00F5382B">
        <w:rPr>
          <w:noProof/>
          <w:lang w:val="en-IE"/>
        </w:rPr>
        <w:t>Opinions on the clarity of the European Cybersecurity Certification Framework were divided: 41.97% agreed the scope and objectives were clear, while 27.46% disagreed. Micro enterprises were most supportive, while other groups wanted more guidance and transparency. There was strong support for harmonisation across certification schemes (68.4%), especially among large companies, micro enterprises, and public authorities. Views on mandatory certification were more divided, with 36.3% supporting and 51.3% opposed. Tailored certification schemes also received mixed responses, with 37.8% in favour and 40.9% opposed. Integration of privacy and data protection requirements was generally supported (41.5%), though some groups remained cautious. Voluntary certification to support compliance with multiple requirements was rated highly, with 41.4% giving the highest score. </w:t>
      </w:r>
    </w:p>
    <w:p w14:paraId="725B5087" w14:textId="77777777" w:rsidR="00EE3DF9" w:rsidRPr="00F5382B" w:rsidRDefault="00EE3DF9" w:rsidP="00EE3DF9">
      <w:pPr>
        <w:textAlignment w:val="baseline"/>
        <w:rPr>
          <w:noProof/>
          <w:lang w:val="en-IE"/>
        </w:rPr>
      </w:pPr>
      <w:r w:rsidRPr="00F5382B">
        <w:rPr>
          <w:noProof/>
          <w:lang w:val="en-IE"/>
        </w:rPr>
        <w:t>Overall, stakeholders recognise certification’s benefits for security and regulatory alignment, while debates on mandatory versus voluntary schemes, harmonisation, tailored provisions, and privacy integration reflect diverse priorities among stakeholder groups. Open-ended responses and scale ratings further highlight the desire for clarity, technical specificity, and practical guidelines. </w:t>
      </w:r>
    </w:p>
    <w:p w14:paraId="342D4B2C" w14:textId="77777777" w:rsidR="00EE3DF9" w:rsidRPr="00F5382B" w:rsidRDefault="00EE3DF9" w:rsidP="00EE3DF9">
      <w:pPr>
        <w:textAlignment w:val="baseline"/>
        <w:rPr>
          <w:noProof/>
          <w:lang w:val="en-IE"/>
        </w:rPr>
      </w:pPr>
      <w:r w:rsidRPr="00F5382B">
        <w:rPr>
          <w:b/>
          <w:bCs/>
          <w:noProof/>
        </w:rPr>
        <w:t>Process of development and adoption of certification schemes</w:t>
      </w:r>
      <w:r w:rsidRPr="00F5382B">
        <w:rPr>
          <w:noProof/>
          <w:lang w:val="en-IE"/>
        </w:rPr>
        <w:t>  </w:t>
      </w:r>
    </w:p>
    <w:p w14:paraId="48A9A1D6" w14:textId="77777777" w:rsidR="00EE3DF9" w:rsidRPr="00F5382B" w:rsidRDefault="00EE3DF9" w:rsidP="00EE3DF9">
      <w:pPr>
        <w:textAlignment w:val="baseline"/>
        <w:rPr>
          <w:noProof/>
          <w:lang w:val="en-IE"/>
        </w:rPr>
      </w:pPr>
      <w:r w:rsidRPr="00F5382B">
        <w:rPr>
          <w:noProof/>
        </w:rPr>
        <w:t>This section evaluates the development and adoption process for European cybersecurity certification schemes. Satisfaction with the time required for scheme development was low, with only 11.4% agreeing and 40.9% strongly disagreeing. Business associations, large companies, and micro enterprises were particularly critical, while medium-sized and small companies were more balanced but still sceptical.</w:t>
      </w:r>
      <w:r w:rsidRPr="00F5382B">
        <w:rPr>
          <w:noProof/>
          <w:lang w:val="en-IE"/>
        </w:rPr>
        <w:t> </w:t>
      </w:r>
    </w:p>
    <w:p w14:paraId="2EB27A31" w14:textId="77777777" w:rsidR="00EE3DF9" w:rsidRPr="00F5382B" w:rsidRDefault="00EE3DF9" w:rsidP="00EE3DF9">
      <w:pPr>
        <w:textAlignment w:val="baseline"/>
        <w:rPr>
          <w:noProof/>
          <w:lang w:val="en-IE"/>
        </w:rPr>
      </w:pPr>
      <w:r w:rsidRPr="00F5382B">
        <w:rPr>
          <w:noProof/>
        </w:rPr>
        <w:t>There was strong consensus on the need for regular updates to certification schemes, with 52.9% agreeing and 23.8% strongly agreeing. Support was consistent across stakeholder groups, especially micro enterprises and public authorities.</w:t>
      </w:r>
      <w:r w:rsidRPr="00F5382B">
        <w:rPr>
          <w:noProof/>
          <w:lang w:val="en-IE"/>
        </w:rPr>
        <w:t> </w:t>
      </w:r>
    </w:p>
    <w:p w14:paraId="10066F6A" w14:textId="77777777" w:rsidR="00EE3DF9" w:rsidRPr="00F5382B" w:rsidRDefault="00EE3DF9" w:rsidP="00EE3DF9">
      <w:pPr>
        <w:textAlignment w:val="baseline"/>
        <w:rPr>
          <w:noProof/>
          <w:lang w:val="en-IE"/>
        </w:rPr>
      </w:pPr>
      <w:r w:rsidRPr="00F5382B">
        <w:rPr>
          <w:noProof/>
        </w:rPr>
        <w:t>Transparency in the development and adoption process received overwhelming support, with 60.6% strongly agreeing and 24.4% agreeing. Large companies, small companies, and business associations were especially supportive, and public authorities and trade unions also endorsed greater transparency.</w:t>
      </w:r>
      <w:r w:rsidRPr="00F5382B">
        <w:rPr>
          <w:noProof/>
          <w:lang w:val="en-IE"/>
        </w:rPr>
        <w:t> </w:t>
      </w:r>
    </w:p>
    <w:p w14:paraId="61ECDF2B" w14:textId="77777777" w:rsidR="00EE3DF9" w:rsidRPr="00F5382B" w:rsidRDefault="00EE3DF9" w:rsidP="00EE3DF9">
      <w:pPr>
        <w:textAlignment w:val="baseline"/>
        <w:rPr>
          <w:noProof/>
          <w:lang w:val="en-IE"/>
        </w:rPr>
      </w:pPr>
      <w:r w:rsidRPr="00F5382B">
        <w:rPr>
          <w:noProof/>
        </w:rPr>
        <w:t>Stakeholders had mixed views on the effectiveness of the Union Rolling Work Programme, with industry seen as the main driver of certification scheme development. There was strong support for involving public authorities, ENISA, and the ECCG in the process.</w:t>
      </w:r>
      <w:r w:rsidRPr="00F5382B">
        <w:rPr>
          <w:noProof/>
          <w:lang w:val="en-IE"/>
        </w:rPr>
        <w:t> </w:t>
      </w:r>
    </w:p>
    <w:p w14:paraId="573A4E29" w14:textId="77777777" w:rsidR="00EE3DF9" w:rsidRPr="00F5382B" w:rsidRDefault="00EE3DF9" w:rsidP="00EE3DF9">
      <w:pPr>
        <w:textAlignment w:val="baseline"/>
        <w:rPr>
          <w:noProof/>
          <w:lang w:val="en-IE"/>
        </w:rPr>
      </w:pPr>
      <w:r w:rsidRPr="00F5382B">
        <w:rPr>
          <w:noProof/>
          <w:lang w:eastAsia="en-GB"/>
        </w:rPr>
        <w:drawing>
          <wp:inline distT="0" distB="0" distL="0" distR="0" wp14:anchorId="35672A5A" wp14:editId="51D09EE7">
            <wp:extent cx="4286250" cy="2857500"/>
            <wp:effectExtent l="0" t="0" r="0" b="0"/>
            <wp:docPr id="154364371" name="Picture 18" descr="Chart 5,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art 5, Chart elemen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r w:rsidRPr="00F5382B">
        <w:rPr>
          <w:noProof/>
          <w:lang w:val="en-IE"/>
        </w:rPr>
        <w:t> </w:t>
      </w:r>
    </w:p>
    <w:p w14:paraId="72D5570E" w14:textId="74ECC6C6" w:rsidR="00EE3DF9" w:rsidRPr="00F5382B" w:rsidRDefault="00EE3DF9" w:rsidP="00E5147D">
      <w:pPr>
        <w:pStyle w:val="Caption"/>
        <w:rPr>
          <w:i w:val="0"/>
          <w:iCs w:val="0"/>
          <w:noProof/>
          <w:lang w:val="en-IE"/>
        </w:rPr>
      </w:pPr>
      <w:bookmarkStart w:id="189" w:name="_Toc219447477"/>
      <w:r w:rsidRPr="00F5382B">
        <w:rPr>
          <w:noProof/>
        </w:rPr>
        <w:t xml:space="preserve">Figure </w:t>
      </w:r>
      <w:r w:rsidR="00736409">
        <w:rPr>
          <w:noProof/>
        </w:rPr>
        <w:t>5</w:t>
      </w:r>
      <w:r w:rsidRPr="00F5382B">
        <w:rPr>
          <w:noProof/>
        </w:rPr>
        <w:t xml:space="preserve"> Stakeholder’s agreement with statements about certification schemes</w:t>
      </w:r>
      <w:bookmarkEnd w:id="189"/>
      <w:r w:rsidRPr="00F5382B">
        <w:rPr>
          <w:i w:val="0"/>
          <w:iCs w:val="0"/>
          <w:noProof/>
          <w:lang w:val="en-IE"/>
        </w:rPr>
        <w:t> </w:t>
      </w:r>
    </w:p>
    <w:p w14:paraId="7D799DF5" w14:textId="77777777" w:rsidR="00EE3DF9" w:rsidRPr="00F5382B" w:rsidRDefault="00EE3DF9" w:rsidP="00EE3DF9">
      <w:pPr>
        <w:textAlignment w:val="baseline"/>
        <w:rPr>
          <w:noProof/>
          <w:lang w:val="en-IE"/>
        </w:rPr>
      </w:pPr>
      <w:r w:rsidRPr="00F5382B">
        <w:rPr>
          <w:noProof/>
        </w:rPr>
        <w:t>Overall, stakeholders want a more efficient, transparent, and inclusive certification process. While there is broad support for the current framework’s principles, improvements are needed in governance, stakeholder engagement, and procedural clarity. Responses reflect a commitment to strengthening the European cybersecurity certification ecosystem and making it more responsive to diverse needs.</w:t>
      </w:r>
      <w:r w:rsidRPr="00F5382B">
        <w:rPr>
          <w:noProof/>
          <w:lang w:val="en-IE"/>
        </w:rPr>
        <w:t> </w:t>
      </w:r>
    </w:p>
    <w:p w14:paraId="3DADB32B" w14:textId="77777777" w:rsidR="00EE3DF9" w:rsidRPr="00F5382B" w:rsidRDefault="00EE3DF9" w:rsidP="00EE3DF9">
      <w:pPr>
        <w:textAlignment w:val="baseline"/>
        <w:rPr>
          <w:noProof/>
          <w:lang w:val="en-IE"/>
        </w:rPr>
      </w:pPr>
      <w:r w:rsidRPr="00F5382B">
        <w:rPr>
          <w:b/>
          <w:bCs/>
          <w:noProof/>
        </w:rPr>
        <w:t>Governance of the certification framework</w:t>
      </w:r>
      <w:r w:rsidRPr="00F5382B">
        <w:rPr>
          <w:noProof/>
          <w:lang w:val="en-IE"/>
        </w:rPr>
        <w:t>  </w:t>
      </w:r>
    </w:p>
    <w:p w14:paraId="4BBF5981" w14:textId="77777777" w:rsidR="00EE3DF9" w:rsidRPr="00F5382B" w:rsidRDefault="00EE3DF9" w:rsidP="00EE3DF9">
      <w:pPr>
        <w:textAlignment w:val="baseline"/>
        <w:rPr>
          <w:noProof/>
          <w:lang w:val="en-IE"/>
        </w:rPr>
      </w:pPr>
      <w:r w:rsidRPr="00F5382B">
        <w:rPr>
          <w:noProof/>
        </w:rPr>
        <w:t>This section explores stakeholder perspectives on the role of ENISA within the ECCF, focusing on its involvement in scheme development, maintenance, guidance, promotion, and support. The responses reflect a nuanced understanding of governance, with varying degrees of ENISA’s involvement across different functional areas.</w:t>
      </w:r>
      <w:r w:rsidRPr="00F5382B">
        <w:rPr>
          <w:noProof/>
          <w:lang w:val="en-IE"/>
        </w:rPr>
        <w:t>  </w:t>
      </w:r>
    </w:p>
    <w:p w14:paraId="06D97E63" w14:textId="77777777" w:rsidR="00EE3DF9" w:rsidRPr="00F5382B" w:rsidRDefault="00EE3DF9" w:rsidP="00EE3DF9">
      <w:pPr>
        <w:textAlignment w:val="baseline"/>
        <w:rPr>
          <w:noProof/>
          <w:lang w:val="en-IE"/>
        </w:rPr>
      </w:pPr>
      <w:r w:rsidRPr="00F5382B">
        <w:rPr>
          <w:noProof/>
        </w:rPr>
        <w:t>A majority supported ENISA having a leading or supporting role in preparing and developing candidate schemes (52.3% leading, 30.1% supporting), with large companies and public authorities most in favour. Similar patterns were seen for scheme maintenance and technical specifications, where large companies and public authorities again strongly supported ENISA’s leadership, while medium-sized, small, and micro enterprises preferred a supporting role.</w:t>
      </w:r>
      <w:r w:rsidRPr="00F5382B">
        <w:rPr>
          <w:noProof/>
          <w:lang w:val="en-IE"/>
        </w:rPr>
        <w:t> </w:t>
      </w:r>
    </w:p>
    <w:p w14:paraId="60D24B3E" w14:textId="77777777" w:rsidR="00EE3DF9" w:rsidRPr="00F5382B" w:rsidRDefault="00EE3DF9" w:rsidP="00EE3DF9">
      <w:pPr>
        <w:textAlignment w:val="baseline"/>
        <w:rPr>
          <w:noProof/>
          <w:lang w:val="en-IE"/>
        </w:rPr>
      </w:pPr>
      <w:r w:rsidRPr="00F5382B">
        <w:rPr>
          <w:noProof/>
          <w:lang w:eastAsia="en-GB"/>
        </w:rPr>
        <w:drawing>
          <wp:inline distT="0" distB="0" distL="0" distR="0" wp14:anchorId="4B6CE673" wp14:editId="2BD19E26">
            <wp:extent cx="4343400" cy="2952750"/>
            <wp:effectExtent l="0" t="0" r="0" b="0"/>
            <wp:docPr id="1041910549" name="Picture 17" descr="Chart 6, Chart ele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hart 6, Chart element, Pict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43400" cy="2952750"/>
                    </a:xfrm>
                    <a:prstGeom prst="rect">
                      <a:avLst/>
                    </a:prstGeom>
                    <a:noFill/>
                    <a:ln>
                      <a:noFill/>
                    </a:ln>
                  </pic:spPr>
                </pic:pic>
              </a:graphicData>
            </a:graphic>
          </wp:inline>
        </w:drawing>
      </w:r>
      <w:r w:rsidRPr="00F5382B">
        <w:rPr>
          <w:noProof/>
          <w:lang w:val="en-IE"/>
        </w:rPr>
        <w:t> </w:t>
      </w:r>
    </w:p>
    <w:p w14:paraId="7E9D7AF6" w14:textId="06D0E636" w:rsidR="00EE3DF9" w:rsidRPr="00F5382B" w:rsidRDefault="00EE3DF9" w:rsidP="00E5147D">
      <w:pPr>
        <w:pStyle w:val="Caption"/>
        <w:rPr>
          <w:i w:val="0"/>
          <w:iCs w:val="0"/>
          <w:noProof/>
          <w:lang w:val="en-IE"/>
        </w:rPr>
      </w:pPr>
      <w:bookmarkStart w:id="190" w:name="_Toc219447478"/>
      <w:r w:rsidRPr="00F5382B">
        <w:rPr>
          <w:noProof/>
        </w:rPr>
        <w:t xml:space="preserve">Figure </w:t>
      </w:r>
      <w:r w:rsidR="00736409">
        <w:rPr>
          <w:noProof/>
        </w:rPr>
        <w:t>6</w:t>
      </w:r>
      <w:r w:rsidRPr="00F5382B">
        <w:rPr>
          <w:noProof/>
        </w:rPr>
        <w:t xml:space="preserve"> Stakeholder’s views on the role of ENISA regarding multiple areas of the ECCF</w:t>
      </w:r>
      <w:bookmarkEnd w:id="190"/>
      <w:r w:rsidRPr="00F5382B">
        <w:rPr>
          <w:i w:val="0"/>
          <w:iCs w:val="0"/>
          <w:noProof/>
          <w:lang w:val="en-IE"/>
        </w:rPr>
        <w:t> </w:t>
      </w:r>
    </w:p>
    <w:p w14:paraId="7A832FB7" w14:textId="77777777" w:rsidR="00EE3DF9" w:rsidRPr="00F5382B" w:rsidRDefault="00EE3DF9" w:rsidP="00EE3DF9">
      <w:pPr>
        <w:textAlignment w:val="baseline"/>
        <w:rPr>
          <w:noProof/>
          <w:lang w:val="en-IE"/>
        </w:rPr>
      </w:pPr>
      <w:r w:rsidRPr="00F5382B">
        <w:rPr>
          <w:noProof/>
          <w:lang w:val="en-IE"/>
        </w:rPr>
        <w:t>For organising ECCG subgroup meetings and providing guidance for scheme application, most stakeholders favoured a leading role for ENISA, with strong support from business associations, large companies, and public authorities. Promotion of scheme uptake and peer review mechanisms saw more balanced support between leading and supporting roles, while issuance of certificates and testing/evaluation revealed more scepticism, especially among small and micro enterprises. For presumption of conformity with EU legislation, 31.09% supported a leading role for ENISA, 40.41% preferred a supporting role, and 11.92% opposed any role. Large companies, medium-sized companies, micro-enterprises, and EU citizens were more open to ENISA’s leadership, while small companies were more sceptical. </w:t>
      </w:r>
    </w:p>
    <w:p w14:paraId="15CA8588" w14:textId="77777777" w:rsidR="00EE3DF9" w:rsidRPr="00F5382B" w:rsidRDefault="00EE3DF9" w:rsidP="00EE3DF9">
      <w:pPr>
        <w:textAlignment w:val="baseline"/>
        <w:rPr>
          <w:noProof/>
          <w:lang w:val="en-IE"/>
        </w:rPr>
      </w:pPr>
      <w:r w:rsidRPr="00F5382B">
        <w:rPr>
          <w:noProof/>
          <w:lang w:val="en-IE"/>
        </w:rPr>
        <w:t>Open-ended responses highlighted broad support for ENISA’s technical leadership, especially in scheme development, guidance, and coordination. Stakeholders emphasised ENISA’s role as a facilitator and knowledge hub, not a certifier or regulator, and stressed the importance of avoiding duplication with national authorities. Calls for greater transparency, stakeholder engagement, and alignment with existing standards were also prominent. </w:t>
      </w:r>
    </w:p>
    <w:p w14:paraId="1571643D" w14:textId="77777777" w:rsidR="00EE3DF9" w:rsidRPr="00F5382B" w:rsidRDefault="00EE3DF9" w:rsidP="00EE3DF9">
      <w:pPr>
        <w:textAlignment w:val="baseline"/>
        <w:rPr>
          <w:noProof/>
          <w:lang w:val="en-IE"/>
        </w:rPr>
      </w:pPr>
      <w:r w:rsidRPr="00F5382B">
        <w:rPr>
          <w:noProof/>
          <w:lang w:val="en-IE"/>
        </w:rPr>
        <w:t>Overall, stakeholders strongly endorse ENISA’s technical role, supporting a leading or supporting role across most ECCF areas. There is a clear preference for balancing EU-level coordination with national-level implementation, ensuring ENISA’s role complements existing structures. Responses reflect a commitment to a robust, coherent, and inclusive cybersecurity certification framework that leverages ENISA’s strengths and respects the diversity of the European digital landscape. </w:t>
      </w:r>
    </w:p>
    <w:p w14:paraId="3A1F239F" w14:textId="77777777" w:rsidR="00EE3DF9" w:rsidRPr="00F5382B" w:rsidRDefault="00EE3DF9" w:rsidP="00EE3DF9">
      <w:pPr>
        <w:textAlignment w:val="baseline"/>
        <w:rPr>
          <w:noProof/>
          <w:lang w:val="en-IE"/>
        </w:rPr>
      </w:pPr>
      <w:r w:rsidRPr="00F5382B">
        <w:rPr>
          <w:b/>
          <w:bCs/>
          <w:noProof/>
        </w:rPr>
        <w:t>Stakeholder involvement</w:t>
      </w:r>
      <w:r w:rsidRPr="00F5382B">
        <w:rPr>
          <w:noProof/>
          <w:lang w:val="en-IE"/>
        </w:rPr>
        <w:t>  </w:t>
      </w:r>
    </w:p>
    <w:p w14:paraId="57A64BB9" w14:textId="77777777" w:rsidR="00EE3DF9" w:rsidRPr="00F5382B" w:rsidRDefault="00EE3DF9" w:rsidP="00EE3DF9">
      <w:pPr>
        <w:textAlignment w:val="baseline"/>
        <w:rPr>
          <w:noProof/>
          <w:lang w:val="en-IE"/>
        </w:rPr>
      </w:pPr>
      <w:r w:rsidRPr="00F5382B">
        <w:rPr>
          <w:noProof/>
        </w:rPr>
        <w:t>This section summarises stakeholder views on the efficiency, clarity, and inclusiveness of the ECCG and SCCG. Representation in the ECCG was very low among private sector actors and civil society (6.2% overall, with public authorities at 87.5%), showing institutional stakeholders are well-represented, but SMEs and citizens are largely absent.</w:t>
      </w:r>
      <w:r w:rsidRPr="00F5382B">
        <w:rPr>
          <w:noProof/>
          <w:lang w:val="en-IE"/>
        </w:rPr>
        <w:t> </w:t>
      </w:r>
    </w:p>
    <w:p w14:paraId="21B3E48E" w14:textId="77777777" w:rsidR="00EE3DF9" w:rsidRPr="00F5382B" w:rsidRDefault="00EE3DF9" w:rsidP="00EE3DF9">
      <w:pPr>
        <w:textAlignment w:val="baseline"/>
        <w:rPr>
          <w:noProof/>
          <w:lang w:val="en-IE"/>
        </w:rPr>
      </w:pPr>
      <w:r w:rsidRPr="00F5382B">
        <w:rPr>
          <w:noProof/>
        </w:rPr>
        <w:t>Confidence in the ECCG’s effectiveness was limited: nearly half of respondents had no opinion, and most others rated its effectiveness as low or very low, especially among business associations, small companies, and public authorities. Only a minority felt the ECCG’s roles and responsibilities are clearly defined, with widespread calls for greater transparency and clarity.</w:t>
      </w:r>
      <w:r w:rsidRPr="00F5382B">
        <w:rPr>
          <w:noProof/>
          <w:lang w:val="en-IE"/>
        </w:rPr>
        <w:t> </w:t>
      </w:r>
    </w:p>
    <w:p w14:paraId="0D53E817" w14:textId="77777777" w:rsidR="00EE3DF9" w:rsidRPr="00F5382B" w:rsidRDefault="00EE3DF9" w:rsidP="00EE3DF9">
      <w:pPr>
        <w:textAlignment w:val="baseline"/>
        <w:rPr>
          <w:noProof/>
          <w:lang w:val="en-IE"/>
        </w:rPr>
      </w:pPr>
      <w:r w:rsidRPr="00F5382B">
        <w:rPr>
          <w:noProof/>
        </w:rPr>
        <w:t>There was broad consensus, especially among SMEs and business associations, on the need for more organised and inclusive stakeholder engagement in ECCG and ECCF processes. Open-ended responses called for formal ECCG subgroups, annual certification roadmaps, clearer documentation, tools for sensitive data management, and better coordination with public-private partnerships. Stakeholders also suggested strengthening national schemes, clarifying regulatory interplay, and assigning long-term governance roles.</w:t>
      </w:r>
      <w:r w:rsidRPr="00F5382B">
        <w:rPr>
          <w:noProof/>
          <w:lang w:val="en-IE"/>
        </w:rPr>
        <w:t> </w:t>
      </w:r>
    </w:p>
    <w:p w14:paraId="66FB7F4A" w14:textId="77777777" w:rsidR="00EE3DF9" w:rsidRPr="00F5382B" w:rsidRDefault="00EE3DF9" w:rsidP="00EE3DF9">
      <w:pPr>
        <w:textAlignment w:val="baseline"/>
        <w:rPr>
          <w:noProof/>
          <w:lang w:val="en-IE"/>
        </w:rPr>
      </w:pPr>
      <w:r w:rsidRPr="00F5382B">
        <w:rPr>
          <w:noProof/>
          <w:lang w:eastAsia="en-GB"/>
        </w:rPr>
        <w:drawing>
          <wp:inline distT="0" distB="0" distL="0" distR="0" wp14:anchorId="23ACDF83" wp14:editId="3A0777E9">
            <wp:extent cx="4362450" cy="2019300"/>
            <wp:effectExtent l="0" t="0" r="0" b="0"/>
            <wp:docPr id="2126976830" name="Picture 16" descr="Chart 8,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hart 8, Chart elemen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2019300"/>
                    </a:xfrm>
                    <a:prstGeom prst="rect">
                      <a:avLst/>
                    </a:prstGeom>
                    <a:noFill/>
                    <a:ln>
                      <a:noFill/>
                    </a:ln>
                  </pic:spPr>
                </pic:pic>
              </a:graphicData>
            </a:graphic>
          </wp:inline>
        </w:drawing>
      </w:r>
      <w:r w:rsidRPr="00F5382B">
        <w:rPr>
          <w:noProof/>
          <w:lang w:val="en-IE"/>
        </w:rPr>
        <w:t> </w:t>
      </w:r>
    </w:p>
    <w:p w14:paraId="594F17EB" w14:textId="0E882E7B" w:rsidR="00EE3DF9" w:rsidRPr="00F5382B" w:rsidRDefault="00EE3DF9" w:rsidP="00E5147D">
      <w:pPr>
        <w:pStyle w:val="Caption"/>
        <w:rPr>
          <w:i w:val="0"/>
          <w:iCs w:val="0"/>
          <w:noProof/>
          <w:lang w:val="en-IE"/>
        </w:rPr>
      </w:pPr>
      <w:bookmarkStart w:id="191" w:name="_Toc219447479"/>
      <w:r w:rsidRPr="00F5382B">
        <w:rPr>
          <w:noProof/>
        </w:rPr>
        <w:t xml:space="preserve">Figure </w:t>
      </w:r>
      <w:r w:rsidR="00736409">
        <w:rPr>
          <w:noProof/>
        </w:rPr>
        <w:t>7</w:t>
      </w:r>
      <w:r w:rsidRPr="00F5382B">
        <w:rPr>
          <w:noProof/>
        </w:rPr>
        <w:t xml:space="preserve"> Stakeholder’s agreement with statements about the ECCG</w:t>
      </w:r>
      <w:bookmarkEnd w:id="191"/>
      <w:r w:rsidRPr="00F5382B">
        <w:rPr>
          <w:i w:val="0"/>
          <w:iCs w:val="0"/>
          <w:noProof/>
          <w:lang w:val="en-IE"/>
        </w:rPr>
        <w:t> </w:t>
      </w:r>
    </w:p>
    <w:p w14:paraId="4A556AA3" w14:textId="77777777" w:rsidR="00EE3DF9" w:rsidRPr="00F5382B" w:rsidRDefault="00EE3DF9" w:rsidP="00EE3DF9">
      <w:pPr>
        <w:textAlignment w:val="baseline"/>
        <w:rPr>
          <w:noProof/>
          <w:lang w:val="en-IE"/>
        </w:rPr>
      </w:pPr>
      <w:r w:rsidRPr="00F5382B">
        <w:rPr>
          <w:noProof/>
        </w:rPr>
        <w:t>Stakeholder involvement in certification scheme development was widely seen as insufficient, particularly among SMEs and civil society. Most felt involvement was only to a little extent, with business associations and small companies most critical. Respondents emphasised the need for better harmonisation, clarification of roles, improved coordination, and mechanisms to include SMEs and international perspectives.</w:t>
      </w:r>
      <w:r w:rsidRPr="00F5382B">
        <w:rPr>
          <w:noProof/>
          <w:lang w:val="en-IE"/>
        </w:rPr>
        <w:t> </w:t>
      </w:r>
    </w:p>
    <w:p w14:paraId="49E8C801" w14:textId="77777777" w:rsidR="00EE3DF9" w:rsidRPr="00F5382B" w:rsidRDefault="00EE3DF9" w:rsidP="00EE3DF9">
      <w:pPr>
        <w:textAlignment w:val="baseline"/>
        <w:rPr>
          <w:noProof/>
          <w:lang w:val="en-IE"/>
        </w:rPr>
      </w:pPr>
      <w:r w:rsidRPr="00F5382B">
        <w:rPr>
          <w:noProof/>
          <w:lang w:eastAsia="en-GB"/>
        </w:rPr>
        <w:drawing>
          <wp:inline distT="0" distB="0" distL="0" distR="0" wp14:anchorId="4B8FFEE2" wp14:editId="6E320AC0">
            <wp:extent cx="3962400" cy="2286000"/>
            <wp:effectExtent l="0" t="0" r="0" b="0"/>
            <wp:docPr id="1950380264" name="Picture 15" descr="Chart 10,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hart 10, Chart elemen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62400" cy="2286000"/>
                    </a:xfrm>
                    <a:prstGeom prst="rect">
                      <a:avLst/>
                    </a:prstGeom>
                    <a:noFill/>
                    <a:ln>
                      <a:noFill/>
                    </a:ln>
                  </pic:spPr>
                </pic:pic>
              </a:graphicData>
            </a:graphic>
          </wp:inline>
        </w:drawing>
      </w:r>
      <w:r w:rsidRPr="00F5382B">
        <w:rPr>
          <w:noProof/>
          <w:lang w:val="en-IE"/>
        </w:rPr>
        <w:t> </w:t>
      </w:r>
    </w:p>
    <w:p w14:paraId="024DB193" w14:textId="4FA046B9" w:rsidR="00EE3DF9" w:rsidRPr="00F5382B" w:rsidRDefault="00EE3DF9" w:rsidP="00E5147D">
      <w:pPr>
        <w:pStyle w:val="Caption"/>
        <w:rPr>
          <w:i w:val="0"/>
          <w:iCs w:val="0"/>
          <w:noProof/>
          <w:lang w:val="en-IE"/>
        </w:rPr>
      </w:pPr>
      <w:bookmarkStart w:id="192" w:name="_Toc219447480"/>
      <w:r w:rsidRPr="00F5382B">
        <w:rPr>
          <w:noProof/>
        </w:rPr>
        <w:t xml:space="preserve">Figure </w:t>
      </w:r>
      <w:r w:rsidR="00736409">
        <w:rPr>
          <w:noProof/>
        </w:rPr>
        <w:t>8</w:t>
      </w:r>
      <w:r w:rsidRPr="00F5382B">
        <w:rPr>
          <w:noProof/>
        </w:rPr>
        <w:t xml:space="preserve"> Stakeholder’s agreement with statements about the SCCG</w:t>
      </w:r>
      <w:bookmarkEnd w:id="192"/>
      <w:r w:rsidRPr="00F5382B">
        <w:rPr>
          <w:i w:val="0"/>
          <w:iCs w:val="0"/>
          <w:noProof/>
          <w:lang w:val="en-IE"/>
        </w:rPr>
        <w:t> </w:t>
      </w:r>
    </w:p>
    <w:p w14:paraId="79A1F465" w14:textId="77777777" w:rsidR="00EE3DF9" w:rsidRPr="00F5382B" w:rsidRDefault="00EE3DF9" w:rsidP="00EE3DF9">
      <w:pPr>
        <w:textAlignment w:val="baseline"/>
        <w:rPr>
          <w:noProof/>
          <w:lang w:val="en-IE"/>
        </w:rPr>
      </w:pPr>
      <w:r w:rsidRPr="00F5382B">
        <w:rPr>
          <w:noProof/>
        </w:rPr>
        <w:t>Participation in the SCCG was higher among institutional actors but limited among individuals and civil society. While 25.9% of respondents reported SCCG involvement, this was mainly among large companies and business associations. Many felt the SCCG had limited opportunities to participate meaningfully in the ECCF, with most expressing scepticism or uncertainty about its contribution to scheme development.</w:t>
      </w:r>
      <w:r w:rsidRPr="00F5382B">
        <w:rPr>
          <w:noProof/>
          <w:lang w:val="en-IE"/>
        </w:rPr>
        <w:t> </w:t>
      </w:r>
    </w:p>
    <w:p w14:paraId="5529B609" w14:textId="77777777" w:rsidR="00EE3DF9" w:rsidRPr="00F5382B" w:rsidRDefault="00EE3DF9" w:rsidP="00EE3DF9">
      <w:pPr>
        <w:textAlignment w:val="baseline"/>
        <w:rPr>
          <w:noProof/>
          <w:lang w:val="en-IE"/>
        </w:rPr>
      </w:pPr>
      <w:r w:rsidRPr="00F5382B">
        <w:rPr>
          <w:noProof/>
        </w:rPr>
        <w:t>Open-ended responses suggested formalising ECCG subgroups, developing roadmaps, and simplifying regulation language. Views mainly indicated insufficient involvement, with many stakeholders feeling not adequately engaged. Suggestions focused on harmonisation, alignment with directives, and improved coordination and inclusion. Responses about SCCG opportunities were generally mixed, with many indicating room for improvement. Views on active SCCG contribution to scheme development were mixed, and a separate question about a single forum and governance mechanism found strong support.</w:t>
      </w:r>
      <w:r w:rsidRPr="00F5382B">
        <w:rPr>
          <w:noProof/>
          <w:lang w:val="en-IE"/>
        </w:rPr>
        <w:t> </w:t>
      </w:r>
    </w:p>
    <w:p w14:paraId="3C39650A" w14:textId="77777777" w:rsidR="00EE3DF9" w:rsidRPr="00F5382B" w:rsidRDefault="00EE3DF9" w:rsidP="00EE3DF9">
      <w:pPr>
        <w:textAlignment w:val="baseline"/>
        <w:rPr>
          <w:noProof/>
          <w:lang w:val="en-IE"/>
        </w:rPr>
      </w:pPr>
      <w:r w:rsidRPr="00F5382B">
        <w:rPr>
          <w:noProof/>
        </w:rPr>
        <w:t>Overall, Section 2.d reveals a consistent call for greater transparency, clearer roles, and more inclusive stakeholder engagement in the governance and development of European cybersecurity certification schemes. While institutional stakeholders are well-represented and generally supportive of current structures, there is a clear need to broaden participation, especially among SMEs and civil society, and ensure all voices are included in shaping the future of cybersecurity certification in Europe.</w:t>
      </w:r>
      <w:r w:rsidRPr="00F5382B">
        <w:rPr>
          <w:noProof/>
          <w:lang w:val="en-IE"/>
        </w:rPr>
        <w:t> </w:t>
      </w:r>
    </w:p>
    <w:p w14:paraId="5A7B8FB4" w14:textId="77777777" w:rsidR="00EE3DF9" w:rsidRPr="00F5382B" w:rsidRDefault="00EE3DF9" w:rsidP="00D52AD8">
      <w:pPr>
        <w:pStyle w:val="ListParagraph"/>
        <w:numPr>
          <w:ilvl w:val="1"/>
          <w:numId w:val="108"/>
        </w:numPr>
        <w:textAlignment w:val="baseline"/>
        <w:rPr>
          <w:b/>
          <w:i/>
          <w:noProof/>
        </w:rPr>
      </w:pPr>
      <w:r w:rsidRPr="00F5382B">
        <w:rPr>
          <w:b/>
          <w:i/>
          <w:noProof/>
        </w:rPr>
        <w:t> Section 3: Simplification  </w:t>
      </w:r>
    </w:p>
    <w:p w14:paraId="5144D7FD" w14:textId="77777777" w:rsidR="00EE3DF9" w:rsidRPr="00F5382B" w:rsidRDefault="00EE3DF9" w:rsidP="00EE3DF9">
      <w:pPr>
        <w:textAlignment w:val="baseline"/>
        <w:rPr>
          <w:noProof/>
          <w:lang w:val="en-IE"/>
        </w:rPr>
      </w:pPr>
      <w:r w:rsidRPr="00F5382B">
        <w:rPr>
          <w:noProof/>
        </w:rPr>
        <w:t>According to written submissions in the Call for Evidence, there was a strong consensus among stakeholders on the need to reduce complexity and administrative burden, particularly for SMEs. Several contributors highlighted the challenges faced by smaller entities in navigating the current regulatory landscape and called for simplified compliance procedures. Stakeholders stressed the importance of clearer, harmonised guidelines to avoid fragmented implementation and ensure consistent application across the EU. Others emphasised the disproportionate impact of complex obligations on SMEs and advocated for tailored support mechanisms, including exemptions and simplified reporting frameworks. Several contributors also proposed the development of centralised EU platforms for reporting and compliance tracking, which would enhance efficiency and reduce duplication across different legislative instruments.</w:t>
      </w:r>
      <w:r w:rsidRPr="00F5382B">
        <w:rPr>
          <w:noProof/>
          <w:lang w:val="en-IE"/>
        </w:rPr>
        <w:t> </w:t>
      </w:r>
    </w:p>
    <w:p w14:paraId="591ED874" w14:textId="77777777" w:rsidR="00EE3DF9" w:rsidRPr="00F5382B" w:rsidRDefault="00EE3DF9" w:rsidP="00EE3DF9">
      <w:pPr>
        <w:textAlignment w:val="baseline"/>
        <w:rPr>
          <w:noProof/>
          <w:lang w:val="en-IE"/>
        </w:rPr>
      </w:pPr>
      <w:r w:rsidRPr="00F5382B">
        <w:rPr>
          <w:noProof/>
        </w:rPr>
        <w:t>National authorities and ENISA representatives provided practical perspectives on implementation barriers, highlighting the need for streamlined reporting mechanisms, clearer guidance, and improved coordination across legislative instruments. They stressed the importance of making compliance processes more efficient and responsive to the needs of both Member States and industry.</w:t>
      </w:r>
      <w:r w:rsidRPr="00F5382B">
        <w:rPr>
          <w:noProof/>
          <w:lang w:val="en-IE"/>
        </w:rPr>
        <w:t> </w:t>
      </w:r>
    </w:p>
    <w:p w14:paraId="0F62C84A" w14:textId="77777777" w:rsidR="00EE3DF9" w:rsidRPr="00F5382B" w:rsidRDefault="00EE3DF9" w:rsidP="00EE3DF9">
      <w:pPr>
        <w:textAlignment w:val="baseline"/>
        <w:rPr>
          <w:noProof/>
          <w:lang w:val="en-IE"/>
        </w:rPr>
      </w:pPr>
      <w:r w:rsidRPr="00F5382B">
        <w:rPr>
          <w:noProof/>
        </w:rPr>
        <w:t>The Public Consultation offers a detailed exploration of stakeholder perspectives on the complexity, applicability and harmonisation of EU cybersecurity legislation. The section draws on both quantitative and qualitative data, with particular emphasis on questions rated on a 1-to-6 scale. These ratings provide insight into the intensity of stakeholder concerns and implementation challenges, especially when disaggregated by stakeholder group and business size.</w:t>
      </w:r>
      <w:r w:rsidRPr="00F5382B">
        <w:rPr>
          <w:noProof/>
          <w:lang w:val="en-IE"/>
        </w:rPr>
        <w:t>  </w:t>
      </w:r>
    </w:p>
    <w:p w14:paraId="5BAA72CF" w14:textId="77777777" w:rsidR="00EE3DF9" w:rsidRPr="00F5382B" w:rsidRDefault="00EE3DF9" w:rsidP="00EE3DF9">
      <w:pPr>
        <w:textAlignment w:val="baseline"/>
        <w:rPr>
          <w:noProof/>
          <w:lang w:val="en-IE"/>
        </w:rPr>
      </w:pPr>
      <w:r w:rsidRPr="00F5382B">
        <w:rPr>
          <w:noProof/>
          <w:lang w:eastAsia="en-GB"/>
        </w:rPr>
        <w:drawing>
          <wp:inline distT="0" distB="0" distL="0" distR="0" wp14:anchorId="592AEBDA" wp14:editId="5EA6DD70">
            <wp:extent cx="4667250" cy="3543300"/>
            <wp:effectExtent l="0" t="0" r="0" b="0"/>
            <wp:docPr id="49260238" name="Picture 13" descr="Chart 13, Chart ele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hart 13, Chart element, Pict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67250" cy="3543300"/>
                    </a:xfrm>
                    <a:prstGeom prst="rect">
                      <a:avLst/>
                    </a:prstGeom>
                    <a:noFill/>
                    <a:ln>
                      <a:noFill/>
                    </a:ln>
                  </pic:spPr>
                </pic:pic>
              </a:graphicData>
            </a:graphic>
          </wp:inline>
        </w:drawing>
      </w:r>
      <w:r w:rsidRPr="00F5382B">
        <w:rPr>
          <w:noProof/>
          <w:lang w:val="en-IE"/>
        </w:rPr>
        <w:t> </w:t>
      </w:r>
    </w:p>
    <w:p w14:paraId="35034452" w14:textId="119BF194" w:rsidR="00EE3DF9" w:rsidRPr="00F5382B" w:rsidRDefault="00EE3DF9" w:rsidP="00E5147D">
      <w:pPr>
        <w:pStyle w:val="Caption"/>
        <w:rPr>
          <w:i w:val="0"/>
          <w:iCs w:val="0"/>
          <w:noProof/>
          <w:lang w:val="en-IE"/>
        </w:rPr>
      </w:pPr>
      <w:bookmarkStart w:id="193" w:name="_Toc219447481"/>
      <w:r w:rsidRPr="00F5382B">
        <w:rPr>
          <w:noProof/>
        </w:rPr>
        <w:t xml:space="preserve">Figure </w:t>
      </w:r>
      <w:r w:rsidR="00A4339E">
        <w:rPr>
          <w:noProof/>
        </w:rPr>
        <w:t>10</w:t>
      </w:r>
      <w:r w:rsidRPr="00F5382B">
        <w:rPr>
          <w:noProof/>
        </w:rPr>
        <w:t xml:space="preserve"> Stakeholder’s view on regulatory burden regarding EU legislation</w:t>
      </w:r>
      <w:bookmarkEnd w:id="193"/>
      <w:r w:rsidRPr="00F5382B">
        <w:rPr>
          <w:i w:val="0"/>
          <w:iCs w:val="0"/>
          <w:noProof/>
          <w:lang w:val="en-IE"/>
        </w:rPr>
        <w:t> </w:t>
      </w:r>
    </w:p>
    <w:p w14:paraId="5960BE73" w14:textId="77777777" w:rsidR="00EE3DF9" w:rsidRPr="00F5382B" w:rsidRDefault="00EE3DF9" w:rsidP="00EE3DF9">
      <w:pPr>
        <w:textAlignment w:val="baseline"/>
        <w:rPr>
          <w:noProof/>
          <w:lang w:val="en-IE"/>
        </w:rPr>
      </w:pPr>
      <w:r w:rsidRPr="00F5382B">
        <w:rPr>
          <w:noProof/>
        </w:rPr>
        <w:t>The analysis shows that NIS2 was the most frequently cited applicable EU legislation, with many respondents indicating multiple frameworks (GDPR, DORA, CER, AI Act) apply to their entities. Cross-sectoral associations and digital service providers highlighted the growing complexity and called for a more integrated legislative approach.</w:t>
      </w:r>
      <w:r w:rsidRPr="00F5382B">
        <w:rPr>
          <w:noProof/>
          <w:lang w:val="en-IE"/>
        </w:rPr>
        <w:t> </w:t>
      </w:r>
    </w:p>
    <w:p w14:paraId="6F77389C" w14:textId="77777777" w:rsidR="00EE3DF9" w:rsidRPr="00F5382B" w:rsidRDefault="00EE3DF9" w:rsidP="00EE3DF9">
      <w:pPr>
        <w:textAlignment w:val="baseline"/>
        <w:rPr>
          <w:noProof/>
          <w:lang w:val="en-IE"/>
        </w:rPr>
      </w:pPr>
      <w:r w:rsidRPr="00F5382B">
        <w:rPr>
          <w:noProof/>
        </w:rPr>
        <w:t>Stakeholders expressed strong concern about the diversity of incident reporting tools and processes at the national level, with medium-sized, small, and micro enterprises reporting the highest difficulty. The lack of harmonised reporting thresholds across EU legislations was a major challenge, especially for SMEs and business associations.</w:t>
      </w:r>
      <w:r w:rsidRPr="00F5382B">
        <w:rPr>
          <w:noProof/>
          <w:lang w:val="en-IE"/>
        </w:rPr>
        <w:t> </w:t>
      </w:r>
    </w:p>
    <w:p w14:paraId="4BC3BC05" w14:textId="77777777" w:rsidR="00EE3DF9" w:rsidRPr="00F5382B" w:rsidRDefault="00EE3DF9" w:rsidP="00EE3DF9">
      <w:pPr>
        <w:textAlignment w:val="baseline"/>
        <w:rPr>
          <w:noProof/>
          <w:lang w:val="en-IE"/>
        </w:rPr>
      </w:pPr>
      <w:r w:rsidRPr="00F5382B">
        <w:rPr>
          <w:noProof/>
          <w:lang w:eastAsia="en-GB"/>
        </w:rPr>
        <w:drawing>
          <wp:inline distT="0" distB="0" distL="0" distR="0" wp14:anchorId="428A0A52" wp14:editId="44BAD690">
            <wp:extent cx="4591050" cy="4381500"/>
            <wp:effectExtent l="0" t="0" r="0" b="0"/>
            <wp:docPr id="1157862599" name="Picture 12" descr="Chart 13, Chart ele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hart 13, Chart element, Pict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91050" cy="4381500"/>
                    </a:xfrm>
                    <a:prstGeom prst="rect">
                      <a:avLst/>
                    </a:prstGeom>
                    <a:noFill/>
                    <a:ln>
                      <a:noFill/>
                    </a:ln>
                  </pic:spPr>
                </pic:pic>
              </a:graphicData>
            </a:graphic>
          </wp:inline>
        </w:drawing>
      </w:r>
      <w:r w:rsidRPr="00F5382B">
        <w:rPr>
          <w:noProof/>
          <w:lang w:val="en-IE"/>
        </w:rPr>
        <w:t> </w:t>
      </w:r>
    </w:p>
    <w:p w14:paraId="2F10F5B1" w14:textId="58FE10C5" w:rsidR="00EE3DF9" w:rsidRPr="00F5382B" w:rsidRDefault="00EE3DF9" w:rsidP="00E5147D">
      <w:pPr>
        <w:pStyle w:val="Caption"/>
        <w:rPr>
          <w:i w:val="0"/>
          <w:iCs w:val="0"/>
          <w:noProof/>
          <w:lang w:val="en-IE"/>
        </w:rPr>
      </w:pPr>
      <w:bookmarkStart w:id="194" w:name="_Toc219447482"/>
      <w:r w:rsidRPr="00F5382B">
        <w:rPr>
          <w:noProof/>
        </w:rPr>
        <w:t>Figure</w:t>
      </w:r>
      <w:r>
        <w:rPr>
          <w:noProof/>
        </w:rPr>
        <w:t xml:space="preserve"> </w:t>
      </w:r>
      <w:r w:rsidR="00A4339E">
        <w:rPr>
          <w:noProof/>
        </w:rPr>
        <w:t>11</w:t>
      </w:r>
      <w:r w:rsidRPr="00F5382B">
        <w:rPr>
          <w:noProof/>
        </w:rPr>
        <w:t xml:space="preserve"> Stakeholder’s view on effectiveness of solutions to remove administrative burden</w:t>
      </w:r>
      <w:bookmarkEnd w:id="194"/>
      <w:r w:rsidRPr="00F5382B">
        <w:rPr>
          <w:i w:val="0"/>
          <w:iCs w:val="0"/>
          <w:noProof/>
          <w:lang w:val="en-IE"/>
        </w:rPr>
        <w:t> </w:t>
      </w:r>
    </w:p>
    <w:p w14:paraId="38AE5407" w14:textId="77777777" w:rsidR="00EE3DF9" w:rsidRPr="00F5382B" w:rsidRDefault="00EE3DF9" w:rsidP="00EE3DF9">
      <w:pPr>
        <w:textAlignment w:val="baseline"/>
        <w:rPr>
          <w:noProof/>
          <w:lang w:val="en-IE"/>
        </w:rPr>
      </w:pPr>
      <w:r w:rsidRPr="00F5382B">
        <w:rPr>
          <w:noProof/>
          <w:lang w:val="en-IE"/>
        </w:rPr>
        <w:t>Implementation of cybersecurity risk-management measures showed varied responses, reflecting differences in organisational capacity. Overlap of requirements and the burden of proving compliance were significant issues, particularly for medium-sized, small, and micro enterprises, as well as trade unions. Calls for clearer guidance and streamlined processes were frequent. </w:t>
      </w:r>
    </w:p>
    <w:p w14:paraId="12DA6A63" w14:textId="77777777" w:rsidR="00EE3DF9" w:rsidRPr="00F5382B" w:rsidRDefault="00EE3DF9" w:rsidP="00EE3DF9">
      <w:pPr>
        <w:textAlignment w:val="baseline"/>
        <w:rPr>
          <w:noProof/>
          <w:lang w:val="en-IE"/>
        </w:rPr>
      </w:pPr>
      <w:r w:rsidRPr="00F5382B">
        <w:rPr>
          <w:noProof/>
          <w:lang w:val="en-IE"/>
        </w:rPr>
        <w:t>Open-ended responses emphasised the need for simplified regulations, standardised templates, and centralised platforms. Stakeholders described the current system as fragmented and resource-intensive, with overlapping obligations diverting resources from operational cybersecurity efforts. There was strong support for cross-sector harmonisation, especially in banking, energy, transport, and public administration. </w:t>
      </w:r>
    </w:p>
    <w:p w14:paraId="60300346" w14:textId="77777777" w:rsidR="00EE3DF9" w:rsidRPr="00F5382B" w:rsidRDefault="00EE3DF9" w:rsidP="00EE3DF9">
      <w:pPr>
        <w:textAlignment w:val="baseline"/>
        <w:rPr>
          <w:noProof/>
          <w:lang w:val="en-IE"/>
        </w:rPr>
      </w:pPr>
      <w:r w:rsidRPr="00F5382B">
        <w:rPr>
          <w:noProof/>
          <w:lang w:val="en-IE"/>
        </w:rPr>
        <w:t>Overall, the analysis reveals a consistent call for simplification, harmonisation, and clarity in EU cybersecurity legislation. Medium-sized companies report the highest concern, particularly regarding reporting thresholds, tool diversity, and compliance burdens. Small and micro enterprises also express significant concern, while large companies tend to be more moderate. Business associations advocate strongly for harmonisation, and public authorities, EU citizens, and other stakeholders highlight the need for coordination and sector-specific guidance. These findings underscore the importance of a coordinated and inclusive approach to cybersecurity governance that balances regulatory ambition with practical feasibility for all entities. </w:t>
      </w:r>
    </w:p>
    <w:p w14:paraId="2CFA6DD2" w14:textId="77777777" w:rsidR="00EE3DF9" w:rsidRPr="00F5382B" w:rsidRDefault="00EE3DF9" w:rsidP="00D52AD8">
      <w:pPr>
        <w:pStyle w:val="ListParagraph"/>
        <w:numPr>
          <w:ilvl w:val="1"/>
          <w:numId w:val="108"/>
        </w:numPr>
        <w:textAlignment w:val="baseline"/>
        <w:rPr>
          <w:noProof/>
          <w:lang w:val="en-IE"/>
        </w:rPr>
      </w:pPr>
      <w:r w:rsidRPr="00F5382B">
        <w:rPr>
          <w:b/>
          <w:i/>
          <w:noProof/>
        </w:rPr>
        <w:t>Stakeholders’ position papers and additional submissions </w:t>
      </w:r>
      <w:r w:rsidRPr="00F5382B">
        <w:rPr>
          <w:noProof/>
          <w:lang w:val="en-IE"/>
        </w:rPr>
        <w:t> </w:t>
      </w:r>
    </w:p>
    <w:p w14:paraId="1E53DF84" w14:textId="77777777" w:rsidR="00EE3DF9" w:rsidRPr="00F5382B" w:rsidRDefault="00EE3DF9" w:rsidP="00EE3DF9">
      <w:pPr>
        <w:textAlignment w:val="baseline"/>
        <w:rPr>
          <w:noProof/>
          <w:lang w:val="en-IE"/>
        </w:rPr>
      </w:pPr>
      <w:r w:rsidRPr="00F5382B">
        <w:rPr>
          <w:noProof/>
        </w:rPr>
        <w:t>This section examines stakeholder submissions from the public consultation EU Survey for the revision of the Cybersecurity Act.</w:t>
      </w:r>
      <w:r w:rsidRPr="00F5382B">
        <w:rPr>
          <w:noProof/>
          <w:lang w:val="en-IE"/>
        </w:rPr>
        <w:t> </w:t>
      </w:r>
    </w:p>
    <w:p w14:paraId="12B296B5" w14:textId="77777777" w:rsidR="00EE3DF9" w:rsidRPr="00F5382B" w:rsidRDefault="00EE3DF9" w:rsidP="00EE3DF9">
      <w:pPr>
        <w:textAlignment w:val="baseline"/>
        <w:rPr>
          <w:noProof/>
          <w:lang w:val="en-IE"/>
        </w:rPr>
      </w:pPr>
      <w:r w:rsidRPr="00F5382B">
        <w:rPr>
          <w:noProof/>
        </w:rPr>
        <w:t>A central theme is the call for a clearer and more empowered mandate for ENISA. Stakeholders advocate for greater technical authority, enabling ENISA to lead in certification, threat analysis, incident coordination, and capacity building, while maintaining its neutrality and independence. ENISA’s role in harmonising cybersecurity legislation across Member States, especially regarding NIS2 and the Cyber Resilience Act, is strongly emphasised, along with proposals for EU-wide training and strategic foresight.</w:t>
      </w:r>
      <w:r w:rsidRPr="00F5382B">
        <w:rPr>
          <w:noProof/>
          <w:lang w:val="en-IE"/>
        </w:rPr>
        <w:t> </w:t>
      </w:r>
    </w:p>
    <w:p w14:paraId="684C69BB" w14:textId="77777777" w:rsidR="00EE3DF9" w:rsidRPr="00F5382B" w:rsidRDefault="00EE3DF9" w:rsidP="00EE3DF9">
      <w:pPr>
        <w:textAlignment w:val="baseline"/>
        <w:rPr>
          <w:noProof/>
          <w:lang w:val="en-IE"/>
        </w:rPr>
      </w:pPr>
      <w:r w:rsidRPr="00F5382B">
        <w:rPr>
          <w:noProof/>
        </w:rPr>
        <w:t>On the ECCF, stakeholders strongly support modernisation and expansion, calling for broader applicability across sectors and technologies, including cloud services, telecoms, and critical infrastructure. Supply chain risk management is a priority, with requests for clearer guidance, harmonisation across Member States, and alignment with international standards to reduce fragmentation and foster trust in cross-border digital services. Stakeholders also call for more flexibility, transparency, and risk-based certification models.</w:t>
      </w:r>
      <w:r w:rsidRPr="00F5382B">
        <w:rPr>
          <w:noProof/>
          <w:lang w:val="en-IE"/>
        </w:rPr>
        <w:t> </w:t>
      </w:r>
    </w:p>
    <w:p w14:paraId="56810BD1" w14:textId="77777777" w:rsidR="00EE3DF9" w:rsidRPr="00F5382B" w:rsidRDefault="00EE3DF9" w:rsidP="00EE3DF9">
      <w:pPr>
        <w:textAlignment w:val="baseline"/>
        <w:rPr>
          <w:noProof/>
          <w:lang w:val="en-IE"/>
        </w:rPr>
      </w:pPr>
      <w:r w:rsidRPr="00F5382B">
        <w:rPr>
          <w:noProof/>
        </w:rPr>
        <w:t>Regulatory complexity is a major concern, especially the cumulative burden of overlapping obligations from multiple EU regulations. Respondents support a unified digital reporting platform to streamline compliance and reduce administrative overhead, and advocate for principle-based, risk-oriented frameworks for greater flexibility. Tailored support for SMEs is a recurring theme, with suggestions for tiered obligations and clearer guidance.</w:t>
      </w:r>
      <w:r w:rsidRPr="00F5382B">
        <w:rPr>
          <w:noProof/>
          <w:lang w:val="en-IE"/>
        </w:rPr>
        <w:t> </w:t>
      </w:r>
    </w:p>
    <w:p w14:paraId="2FAF2572" w14:textId="77777777" w:rsidR="00EE3DF9" w:rsidRPr="00F5382B" w:rsidRDefault="00EE3DF9" w:rsidP="00EE3DF9">
      <w:pPr>
        <w:textAlignment w:val="baseline"/>
        <w:rPr>
          <w:noProof/>
          <w:lang w:val="en-IE"/>
        </w:rPr>
      </w:pPr>
      <w:r w:rsidRPr="00F5382B">
        <w:rPr>
          <w:noProof/>
        </w:rPr>
        <w:t>Overall, the feedback reveals a strong appetite for reforming the Cybersecurity Act. Stakeholders envision a future framework that is more coherent, technically robust, forward-looking, and easier to navigate. The proposed changes to ENISA’s mandate, the ECCF, and reporting obligations reflect a shared commitment to enhancing cybersecurity across the EU while reducing complexity and fostering innovation.</w:t>
      </w:r>
      <w:r w:rsidRPr="00F5382B">
        <w:rPr>
          <w:noProof/>
          <w:lang w:val="en-IE"/>
        </w:rPr>
        <w:t> </w:t>
      </w:r>
    </w:p>
    <w:p w14:paraId="6D3C5C0E" w14:textId="77777777" w:rsidR="00EE3DF9" w:rsidRPr="00F5382B" w:rsidRDefault="00EE3DF9" w:rsidP="00D52AD8">
      <w:pPr>
        <w:keepNext/>
        <w:numPr>
          <w:ilvl w:val="0"/>
          <w:numId w:val="81"/>
        </w:numPr>
        <w:textAlignment w:val="baseline"/>
        <w:rPr>
          <w:noProof/>
          <w:lang w:val="en-IE"/>
        </w:rPr>
      </w:pPr>
      <w:r w:rsidRPr="00F5382B">
        <w:rPr>
          <w:b/>
          <w:bCs/>
          <w:noProof/>
        </w:rPr>
        <w:t>Conclusion</w:t>
      </w:r>
      <w:r w:rsidRPr="00F5382B">
        <w:rPr>
          <w:b/>
          <w:bCs/>
          <w:noProof/>
          <w:lang w:val="en-IE"/>
        </w:rPr>
        <w:t> </w:t>
      </w:r>
      <w:r w:rsidRPr="00F5382B">
        <w:rPr>
          <w:noProof/>
          <w:lang w:val="en-IE"/>
        </w:rPr>
        <w:t> </w:t>
      </w:r>
    </w:p>
    <w:p w14:paraId="3FA47687" w14:textId="77777777" w:rsidR="00EE3DF9" w:rsidRPr="00F5382B" w:rsidRDefault="00EE3DF9" w:rsidP="00EE3DF9">
      <w:pPr>
        <w:textAlignment w:val="baseline"/>
        <w:rPr>
          <w:noProof/>
          <w:lang w:val="en-IE"/>
        </w:rPr>
      </w:pPr>
      <w:r w:rsidRPr="00F5382B">
        <w:rPr>
          <w:noProof/>
        </w:rPr>
        <w:t>The stakeholder consultation activities provided relevant evidence for the impact assessment and a nuanced understanding of stakeholder views.</w:t>
      </w:r>
      <w:r w:rsidRPr="00F5382B">
        <w:rPr>
          <w:noProof/>
          <w:lang w:val="en-IE"/>
        </w:rPr>
        <w:t> </w:t>
      </w:r>
    </w:p>
    <w:p w14:paraId="2363F32F" w14:textId="77777777" w:rsidR="00EE3DF9" w:rsidRPr="00F5382B" w:rsidRDefault="00EE3DF9" w:rsidP="00EE3DF9">
      <w:pPr>
        <w:textAlignment w:val="baseline"/>
        <w:rPr>
          <w:noProof/>
          <w:lang w:val="en-IE"/>
        </w:rPr>
      </w:pPr>
      <w:r w:rsidRPr="00F5382B">
        <w:rPr>
          <w:noProof/>
        </w:rPr>
        <w:t>The Call for Evidence yielded 184 written contributions from industry associations, cybersecurity firms, SMEs, academic institutions, and public interest organisations. Stakeholders broadly supported strengthening ENISA’s role, with calls for increased resources, but some cautioned against overextension and advocated for clarifying the existing mandate. There was strong support for modernising the ECCF, including risk-based certification models and harmonised standards. SMEs emphasised the need for simplified compliance and centralised reporting.</w:t>
      </w:r>
      <w:r w:rsidRPr="00F5382B">
        <w:rPr>
          <w:noProof/>
          <w:lang w:val="en-IE"/>
        </w:rPr>
        <w:t> </w:t>
      </w:r>
    </w:p>
    <w:p w14:paraId="4C751941" w14:textId="77777777" w:rsidR="00EE3DF9" w:rsidRPr="00F5382B" w:rsidRDefault="00EE3DF9" w:rsidP="00EE3DF9">
      <w:pPr>
        <w:textAlignment w:val="baseline"/>
        <w:rPr>
          <w:noProof/>
          <w:lang w:val="en-IE"/>
        </w:rPr>
      </w:pPr>
      <w:r w:rsidRPr="00F5382B">
        <w:rPr>
          <w:noProof/>
        </w:rPr>
        <w:t>The public consultation received 193 responses and addressed similar themes. There was consistent support for ENISA’s core tasks, especially certification, operational cooperation, and policy implementation. Larger organisations and public authorities were more supportive of expanding ENISA’s technical mandate than SMEs and micro-enterprises. Citizens valued ENISA’s role in transparency and awareness, while public authorities focused on regulatory and harmonisation functions. Many respondents called for harmonisation of reporting obligations across EU legislation.</w:t>
      </w:r>
      <w:r w:rsidRPr="00F5382B">
        <w:rPr>
          <w:noProof/>
          <w:lang w:val="en-IE"/>
        </w:rPr>
        <w:t> </w:t>
      </w:r>
    </w:p>
    <w:p w14:paraId="4356C1E2" w14:textId="77777777" w:rsidR="00EE3DF9" w:rsidRPr="00F5382B" w:rsidRDefault="00EE3DF9" w:rsidP="00EE3DF9">
      <w:pPr>
        <w:textAlignment w:val="baseline"/>
        <w:rPr>
          <w:noProof/>
          <w:lang w:val="en-IE"/>
        </w:rPr>
      </w:pPr>
      <w:r w:rsidRPr="00F5382B">
        <w:rPr>
          <w:noProof/>
        </w:rPr>
        <w:t>Targeted interviews added qualitative depth to these findings. ENISA’s representatives and national authorities stressed the need for stronger crisis coordination, support for certification development, and stakeholder engagement. They emphasised ENISA’s role as a facilitator, supporting Member States and industry through guidance, capacity building, and technical leadership. Some proposed new responsibilities for ENISA, such as vulnerability disclosure, threat intelligence sharing, and unified incident reporting.</w:t>
      </w:r>
      <w:r w:rsidRPr="00F5382B">
        <w:rPr>
          <w:noProof/>
          <w:lang w:val="en-IE"/>
        </w:rPr>
        <w:t> </w:t>
      </w:r>
    </w:p>
    <w:p w14:paraId="7258CAD3" w14:textId="77777777" w:rsidR="00EE3DF9" w:rsidRPr="00F5382B" w:rsidRDefault="00EE3DF9" w:rsidP="00EE3DF9">
      <w:pPr>
        <w:textAlignment w:val="baseline"/>
        <w:rPr>
          <w:noProof/>
          <w:lang w:val="en-IE"/>
        </w:rPr>
      </w:pPr>
      <w:r w:rsidRPr="00F5382B">
        <w:rPr>
          <w:noProof/>
        </w:rPr>
        <w:t>Across all consultation activities, stakeholders consistently called for simplification and harmonisation. Complexity and fragmentation of cybersecurity obligations were seen as major barriers, especially for SMEs. There was broad support for streamlined reporting, clearer guidance, and better coordination across legislative instruments. Integrating privacy and data protection into certification schemes was widely supported, though views on mandatory and tailored schemes were mixed.</w:t>
      </w:r>
      <w:r w:rsidRPr="00F5382B">
        <w:rPr>
          <w:noProof/>
          <w:lang w:val="en-IE"/>
        </w:rPr>
        <w:t> </w:t>
      </w:r>
    </w:p>
    <w:p w14:paraId="5369E4AE" w14:textId="77777777" w:rsidR="00EE3DF9" w:rsidRPr="00F5382B" w:rsidRDefault="00EE3DF9" w:rsidP="00EE3DF9">
      <w:pPr>
        <w:textAlignment w:val="baseline"/>
        <w:rPr>
          <w:noProof/>
          <w:lang w:val="en-IE"/>
        </w:rPr>
      </w:pPr>
      <w:r w:rsidRPr="00F5382B">
        <w:rPr>
          <w:noProof/>
        </w:rPr>
        <w:t>Some contradictions emerged: large companies and public authorities generally supported expanding ENISA’s technical mandate, while SMEs and micro-enterprises were more sceptical. Concerns about duplication and over-centralisation were also noted.</w:t>
      </w:r>
      <w:r w:rsidRPr="00F5382B">
        <w:rPr>
          <w:noProof/>
          <w:lang w:val="en-IE"/>
        </w:rPr>
        <w:t> </w:t>
      </w:r>
    </w:p>
    <w:p w14:paraId="2076D3EF" w14:textId="77777777" w:rsidR="00EE3DF9" w:rsidRPr="00F5382B" w:rsidRDefault="00EE3DF9" w:rsidP="00EE3DF9">
      <w:pPr>
        <w:textAlignment w:val="baseline"/>
        <w:rPr>
          <w:noProof/>
          <w:lang w:val="en-IE"/>
        </w:rPr>
      </w:pPr>
      <w:r w:rsidRPr="00F5382B">
        <w:rPr>
          <w:noProof/>
        </w:rPr>
        <w:t>Interdependencies were evident: calls for modernising the ECCF were linked to supply chain security, regulatory clarity, and market access. Support for ENISA’s strategic role was often tied to demands for improved governance and stakeholder engagement. The need for proportionality in regulatory requirements was consistently linked to SME challenges.</w:t>
      </w:r>
      <w:r w:rsidRPr="00F5382B">
        <w:rPr>
          <w:noProof/>
          <w:lang w:val="en-IE"/>
        </w:rPr>
        <w:t> </w:t>
      </w:r>
    </w:p>
    <w:p w14:paraId="569BF587" w14:textId="3CAFBFC3" w:rsidR="009B0BE3" w:rsidRDefault="00EE3DF9" w:rsidP="00EE3DF9">
      <w:pPr>
        <w:textAlignment w:val="baseline"/>
        <w:rPr>
          <w:noProof/>
          <w:lang w:val="en-IE"/>
        </w:rPr>
      </w:pPr>
      <w:r w:rsidRPr="00F5382B">
        <w:rPr>
          <w:noProof/>
        </w:rPr>
        <w:t>In summary, the consultation revealed broad alignment on strengthening ENISA’s mandate, modernising certification frameworks, and simplifying obligations, but also highlighted differences by organisational size, sector, and role. </w:t>
      </w:r>
      <w:r w:rsidRPr="00F5382B">
        <w:rPr>
          <w:noProof/>
          <w:lang w:val="en-IE"/>
        </w:rPr>
        <w:t> </w:t>
      </w:r>
      <w:r w:rsidR="009B0BE3">
        <w:rPr>
          <w:noProof/>
          <w:lang w:val="en-IE"/>
        </w:rPr>
        <w:br w:type="page"/>
      </w:r>
    </w:p>
    <w:p w14:paraId="38271BF4" w14:textId="77777777" w:rsidR="00EE3DF9" w:rsidRPr="00F5382B" w:rsidRDefault="00EE3DF9" w:rsidP="00EE3DF9">
      <w:pPr>
        <w:pStyle w:val="AnnexTitle0"/>
        <w:rPr>
          <w:noProof/>
        </w:rPr>
      </w:pPr>
      <w:bookmarkStart w:id="195" w:name="_Toc207202594"/>
      <w:bookmarkStart w:id="196" w:name="_Toc218767783"/>
      <w:bookmarkStart w:id="197" w:name="_Toc219039495"/>
      <w:bookmarkStart w:id="198" w:name="_Toc219447394"/>
      <w:bookmarkStart w:id="199" w:name="_Toc195101106"/>
      <w:bookmarkStart w:id="200" w:name="_Toc207027974"/>
      <w:r w:rsidRPr="00F5382B">
        <w:rPr>
          <w:noProof/>
        </w:rPr>
        <w:t>Annex 3: Who is affected and how?</w:t>
      </w:r>
      <w:bookmarkEnd w:id="195"/>
      <w:bookmarkEnd w:id="196"/>
      <w:bookmarkEnd w:id="197"/>
      <w:bookmarkEnd w:id="198"/>
    </w:p>
    <w:p w14:paraId="4F68264C" w14:textId="77777777" w:rsidR="00EE3DF9" w:rsidRPr="00F5382B" w:rsidRDefault="00EE3DF9" w:rsidP="00EE3DF9">
      <w:pPr>
        <w:textAlignment w:val="baseline"/>
        <w:rPr>
          <w:rFonts w:eastAsia="Times New Roman"/>
          <w:b/>
          <w:bCs/>
          <w:noProof/>
          <w:lang w:eastAsia="en-IE"/>
        </w:rPr>
      </w:pPr>
      <w:r w:rsidRPr="00F5382B">
        <w:rPr>
          <w:rFonts w:eastAsia="Times New Roman"/>
          <w:b/>
          <w:bCs/>
          <w:noProof/>
          <w:lang w:eastAsia="en-IE"/>
        </w:rPr>
        <w:t>PRACTICAL IMPLICATIONS OF THE INITIATIVE</w:t>
      </w:r>
    </w:p>
    <w:p w14:paraId="69921676" w14:textId="77777777" w:rsidR="00EE3DF9" w:rsidRPr="00F5382B" w:rsidRDefault="00EE3DF9" w:rsidP="00EE3DF9">
      <w:pPr>
        <w:textAlignment w:val="baseline"/>
        <w:rPr>
          <w:rFonts w:ascii="Segoe UI" w:eastAsia="Times New Roman" w:hAnsi="Segoe UI" w:cs="Segoe UI"/>
          <w:noProof/>
          <w:sz w:val="18"/>
          <w:szCs w:val="18"/>
          <w:lang w:val="en-IE" w:eastAsia="en-IE"/>
        </w:rPr>
      </w:pPr>
      <w:r w:rsidRPr="00F5382B">
        <w:rPr>
          <w:rFonts w:eastAsia="Times New Roman"/>
          <w:noProof/>
          <w:lang w:eastAsia="en-IE"/>
        </w:rPr>
        <w:t>The preferred package of policy options (A2, B2, C2, D3) is expected to have practical implications for the following categories of stakeholders:</w:t>
      </w:r>
      <w:r w:rsidRPr="00F5382B">
        <w:rPr>
          <w:rFonts w:eastAsia="Times New Roman"/>
          <w:noProof/>
          <w:lang w:val="en-IE" w:eastAsia="en-IE"/>
        </w:rPr>
        <w:t> </w:t>
      </w:r>
    </w:p>
    <w:p w14:paraId="24749971" w14:textId="77777777" w:rsidR="00EE3DF9" w:rsidRPr="00F5382B" w:rsidRDefault="00EE3DF9" w:rsidP="00EE3DF9">
      <w:pPr>
        <w:pStyle w:val="ListParagraph"/>
        <w:numPr>
          <w:ilvl w:val="0"/>
          <w:numId w:val="24"/>
        </w:numPr>
        <w:tabs>
          <w:tab w:val="left" w:pos="2302"/>
        </w:tabs>
        <w:spacing w:after="120"/>
        <w:ind w:left="425" w:hanging="357"/>
        <w:contextualSpacing w:val="0"/>
        <w:rPr>
          <w:rFonts w:eastAsia="Times New Roman"/>
          <w:noProof/>
        </w:rPr>
      </w:pPr>
      <w:r w:rsidRPr="00F5382B">
        <w:rPr>
          <w:rFonts w:eastAsia="Times New Roman"/>
          <w:b/>
          <w:noProof/>
          <w:szCs w:val="20"/>
        </w:rPr>
        <w:t>Businesses</w:t>
      </w:r>
      <w:r w:rsidRPr="00F5382B">
        <w:rPr>
          <w:rFonts w:eastAsia="Times New Roman"/>
          <w:noProof/>
          <w:szCs w:val="20"/>
        </w:rPr>
        <w:t xml:space="preserve"> (large, SMEs and micro)</w:t>
      </w:r>
      <w:r w:rsidRPr="00F5382B">
        <w:rPr>
          <w:rFonts w:eastAsia="Times New Roman"/>
          <w:noProof/>
        </w:rPr>
        <w:t xml:space="preserve"> </w:t>
      </w:r>
      <w:r w:rsidRPr="00F5382B">
        <w:rPr>
          <w:rFonts w:eastAsia="Times New Roman"/>
          <w:noProof/>
          <w:szCs w:val="20"/>
        </w:rPr>
        <w:t>including</w:t>
      </w:r>
      <w:r w:rsidRPr="00F5382B">
        <w:rPr>
          <w:rFonts w:eastAsia="Times New Roman"/>
          <w:noProof/>
        </w:rPr>
        <w:t xml:space="preserve"> vendors of ICT products, services, processes, managed security services; essential and important entities covered by NIS2; businesses using ICT solutions and relying on critical infrastructure; conformity assessment bodies, testing laboratories and providers of individual skills attestations.  </w:t>
      </w:r>
    </w:p>
    <w:p w14:paraId="282F3F19" w14:textId="77777777" w:rsidR="00EE3DF9" w:rsidRPr="00F5382B" w:rsidRDefault="00EE3DF9" w:rsidP="00EE3DF9">
      <w:pPr>
        <w:pStyle w:val="ListParagraph"/>
        <w:numPr>
          <w:ilvl w:val="0"/>
          <w:numId w:val="23"/>
        </w:numPr>
        <w:tabs>
          <w:tab w:val="left" w:pos="2302"/>
        </w:tabs>
        <w:spacing w:after="120"/>
        <w:ind w:left="425" w:hanging="357"/>
        <w:contextualSpacing w:val="0"/>
        <w:rPr>
          <w:rFonts w:eastAsia="Times New Roman"/>
          <w:noProof/>
        </w:rPr>
      </w:pPr>
      <w:r w:rsidRPr="00F5382B">
        <w:rPr>
          <w:b/>
          <w:noProof/>
        </w:rPr>
        <w:t>Public authorities</w:t>
      </w:r>
      <w:r w:rsidRPr="00F5382B">
        <w:rPr>
          <w:b/>
          <w:bCs/>
          <w:noProof/>
        </w:rPr>
        <w:t xml:space="preserve"> </w:t>
      </w:r>
      <w:r w:rsidRPr="00F5382B">
        <w:rPr>
          <w:noProof/>
        </w:rPr>
        <w:t>including</w:t>
      </w:r>
      <w:r w:rsidRPr="00F5382B">
        <w:rPr>
          <w:b/>
          <w:bCs/>
          <w:noProof/>
        </w:rPr>
        <w:t xml:space="preserve"> </w:t>
      </w:r>
      <w:r w:rsidRPr="00F5382B">
        <w:rPr>
          <w:noProof/>
        </w:rPr>
        <w:t xml:space="preserve">National cybersecurity authorities; national cybersecurity certification authorities; national accreditation bodies; surveillance authorities and ICT users. Please note that public administrations as NIS2 entities are covered under “economic operators”. </w:t>
      </w:r>
    </w:p>
    <w:p w14:paraId="37945AA7" w14:textId="77777777" w:rsidR="00EE3DF9" w:rsidRPr="00F5382B" w:rsidRDefault="00EE3DF9" w:rsidP="00EE3DF9">
      <w:pPr>
        <w:pStyle w:val="ListParagraph"/>
        <w:numPr>
          <w:ilvl w:val="0"/>
          <w:numId w:val="23"/>
        </w:numPr>
        <w:tabs>
          <w:tab w:val="left" w:pos="2302"/>
        </w:tabs>
        <w:spacing w:after="120"/>
        <w:ind w:left="425" w:hanging="357"/>
        <w:contextualSpacing w:val="0"/>
        <w:rPr>
          <w:rFonts w:eastAsia="Times New Roman"/>
          <w:noProof/>
        </w:rPr>
      </w:pPr>
      <w:r w:rsidRPr="00F5382B">
        <w:rPr>
          <w:b/>
          <w:bCs/>
          <w:noProof/>
        </w:rPr>
        <w:t xml:space="preserve">Consumers and citizens </w:t>
      </w:r>
      <w:r w:rsidRPr="00F5382B">
        <w:rPr>
          <w:noProof/>
        </w:rPr>
        <w:t xml:space="preserve">as actual and potential cybersecurity professionals, ICT users and users of public services </w:t>
      </w:r>
      <w:r w:rsidRPr="00F5382B">
        <w:rPr>
          <w:rFonts w:eastAsia="Times New Roman"/>
          <w:noProof/>
        </w:rPr>
        <w:t>relying on critical infrastructure</w:t>
      </w:r>
      <w:r w:rsidRPr="00F5382B">
        <w:rPr>
          <w:noProof/>
        </w:rPr>
        <w:t>.</w:t>
      </w:r>
    </w:p>
    <w:bookmarkEnd w:id="199"/>
    <w:bookmarkEnd w:id="200"/>
    <w:p w14:paraId="516697D3" w14:textId="77777777" w:rsidR="00EE3DF9" w:rsidRPr="00F5382B" w:rsidRDefault="00EE3DF9" w:rsidP="00EE3DF9">
      <w:pPr>
        <w:pStyle w:val="ListParagraph"/>
        <w:numPr>
          <w:ilvl w:val="0"/>
          <w:numId w:val="23"/>
        </w:numPr>
        <w:tabs>
          <w:tab w:val="left" w:pos="2302"/>
        </w:tabs>
        <w:spacing w:after="120"/>
        <w:ind w:left="425" w:hanging="357"/>
        <w:contextualSpacing w:val="0"/>
        <w:rPr>
          <w:noProof/>
        </w:rPr>
      </w:pPr>
      <w:r w:rsidRPr="00F5382B">
        <w:rPr>
          <w:noProof/>
        </w:rPr>
        <w:t xml:space="preserve">EU institutions and agencies, in particular </w:t>
      </w:r>
      <w:r w:rsidRPr="00F5382B">
        <w:rPr>
          <w:b/>
          <w:bCs/>
          <w:noProof/>
        </w:rPr>
        <w:t xml:space="preserve">ENISA. </w:t>
      </w:r>
    </w:p>
    <w:p w14:paraId="67DB6DB7" w14:textId="77777777" w:rsidR="00EE3DF9" w:rsidRPr="00F5382B" w:rsidRDefault="00EE3DF9" w:rsidP="00D52AD8">
      <w:pPr>
        <w:numPr>
          <w:ilvl w:val="0"/>
          <w:numId w:val="110"/>
        </w:numPr>
        <w:spacing w:after="120"/>
        <w:textAlignment w:val="baseline"/>
        <w:rPr>
          <w:rFonts w:eastAsia="Times New Roman"/>
          <w:b/>
          <w:smallCaps/>
          <w:noProof/>
          <w:lang w:eastAsia="en-IE"/>
        </w:rPr>
      </w:pPr>
      <w:r w:rsidRPr="00F5382B">
        <w:rPr>
          <w:rFonts w:eastAsia="Times New Roman"/>
          <w:b/>
          <w:smallCaps/>
          <w:noProof/>
          <w:lang w:eastAsia="en-IE"/>
        </w:rPr>
        <w:t>Economic operators (including large enterprises, SMEs, and cross-border operators) </w:t>
      </w:r>
    </w:p>
    <w:p w14:paraId="680CED2E" w14:textId="77777777" w:rsidR="00EE3DF9" w:rsidRPr="00F5382B" w:rsidRDefault="00EE3DF9" w:rsidP="00EE3DF9">
      <w:pPr>
        <w:spacing w:after="120"/>
        <w:textAlignment w:val="baseline"/>
        <w:rPr>
          <w:rFonts w:eastAsia="Times New Roman"/>
          <w:b/>
          <w:bCs/>
          <w:i/>
          <w:iCs/>
          <w:noProof/>
          <w:lang w:eastAsia="en-IE"/>
        </w:rPr>
      </w:pPr>
      <w:r w:rsidRPr="00F5382B">
        <w:rPr>
          <w:rFonts w:eastAsia="Times New Roman"/>
          <w:b/>
          <w:bCs/>
          <w:i/>
          <w:iCs/>
          <w:noProof/>
          <w:lang w:eastAsia="en-IE"/>
        </w:rPr>
        <w:t xml:space="preserve">NIS2 entities, including important and essential entities </w:t>
      </w:r>
    </w:p>
    <w:p w14:paraId="52F3E689" w14:textId="77777777" w:rsidR="00EE3DF9" w:rsidRPr="00F5382B" w:rsidRDefault="00EE3DF9" w:rsidP="00EE3DF9">
      <w:pPr>
        <w:spacing w:after="120"/>
        <w:textAlignment w:val="baseline"/>
        <w:rPr>
          <w:rFonts w:eastAsia="Times New Roman"/>
          <w:noProof/>
          <w:lang w:eastAsia="en-IE"/>
        </w:rPr>
      </w:pPr>
      <w:r w:rsidRPr="00F5382B">
        <w:rPr>
          <w:rFonts w:eastAsia="Times New Roman"/>
          <w:noProof/>
          <w:lang w:eastAsia="en-IE"/>
        </w:rPr>
        <w:t xml:space="preserve">First, the simplification of the NIS2 Directive through targeted amendments to clarify its scope and definitions and to reduce the scope as regard micro- and small-sized DNS service providers, will reduce the number of SMEs covered by the directive. Likewise, by amending the NIS2 Directive to introduce the category of small-mid caps and designating small-mid cap-sized entities as important entities, compliance costs of the approximately 22 500 economic operators will be reduced. Collecting data on ransomware reporting in a streamlined manner will directly benefit economic operators by reducing the number of successful ransomware attacks. Moreover, ENISA’s role in assisting competent authorities in mutual assistance and supervision of entities operating in several Member States will facilitate compliance and reduce burden on entities. </w:t>
      </w:r>
    </w:p>
    <w:p w14:paraId="71DFF407" w14:textId="2C1ED17C" w:rsidR="00EE3DF9" w:rsidRPr="00F5382B" w:rsidRDefault="00EE3DF9" w:rsidP="00EE3DF9">
      <w:pPr>
        <w:spacing w:after="120"/>
        <w:textAlignment w:val="baseline"/>
        <w:rPr>
          <w:rFonts w:eastAsia="Times New Roman"/>
          <w:noProof/>
          <w:lang w:eastAsia="en-IE"/>
        </w:rPr>
      </w:pPr>
      <w:r w:rsidRPr="00F5382B">
        <w:rPr>
          <w:rFonts w:eastAsia="Times New Roman"/>
          <w:noProof/>
          <w:lang w:eastAsia="en-IE"/>
        </w:rPr>
        <w:t xml:space="preserve">In addition, guidelines on supply chain security will provide legal certainty and streamline the implementation of the supply chain security requirements of the NIS2 Directive, facilitating compliance and preventing the undue pass of obligations on entities not in scope of the NIS2 Directive. Beyond indirectly benefiting from the harmonisation of cybersecurity in the ECCF, the NIS2 entities will also benefit from the future organisational cybersecurity certification schemes paired with the introduction of </w:t>
      </w:r>
      <w:r w:rsidR="00D35EB7">
        <w:rPr>
          <w:rFonts w:eastAsia="Times New Roman"/>
          <w:noProof/>
          <w:lang w:eastAsia="en-IE"/>
        </w:rPr>
        <w:t xml:space="preserve"> the possibility to demonstrate </w:t>
      </w:r>
      <w:r w:rsidRPr="00F5382B">
        <w:rPr>
          <w:rFonts w:eastAsia="Times New Roman"/>
          <w:noProof/>
          <w:lang w:eastAsia="en-IE"/>
        </w:rPr>
        <w:t xml:space="preserve">conformity </w:t>
      </w:r>
      <w:r w:rsidR="00D35EB7">
        <w:rPr>
          <w:rFonts w:eastAsia="Times New Roman"/>
          <w:noProof/>
          <w:lang w:eastAsia="en-IE"/>
        </w:rPr>
        <w:t>with</w:t>
      </w:r>
      <w:r w:rsidRPr="00F5382B">
        <w:rPr>
          <w:rFonts w:eastAsia="Times New Roman"/>
          <w:noProof/>
          <w:lang w:eastAsia="en-IE"/>
        </w:rPr>
        <w:t xml:space="preserve"> the NIS2 Directive, which will facilitate the compliance efforts for cross-border entities.</w:t>
      </w:r>
    </w:p>
    <w:p w14:paraId="37A19DB7" w14:textId="77777777" w:rsidR="00EE3DF9" w:rsidRPr="00F5382B" w:rsidRDefault="00EE3DF9" w:rsidP="00EE3DF9">
      <w:pPr>
        <w:spacing w:after="120"/>
        <w:textAlignment w:val="baseline"/>
        <w:rPr>
          <w:rFonts w:eastAsia="Times New Roman"/>
          <w:b/>
          <w:bCs/>
          <w:i/>
          <w:iCs/>
          <w:noProof/>
          <w:lang w:eastAsia="en-IE"/>
        </w:rPr>
      </w:pPr>
      <w:r w:rsidRPr="00F5382B">
        <w:rPr>
          <w:rFonts w:eastAsia="Times New Roman"/>
          <w:b/>
          <w:bCs/>
          <w:i/>
          <w:iCs/>
          <w:noProof/>
          <w:lang w:eastAsia="en-IE"/>
        </w:rPr>
        <w:t xml:space="preserve">SMEs and other economic operators </w:t>
      </w:r>
    </w:p>
    <w:p w14:paraId="4E2C41FB"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 xml:space="preserve">The table below provides an overview of </w:t>
      </w:r>
      <w:r w:rsidRPr="00F5382B">
        <w:rPr>
          <w:rFonts w:eastAsia="Times New Roman"/>
          <w:bCs/>
          <w:noProof/>
          <w:lang w:eastAsia="en-IE"/>
        </w:rPr>
        <w:t>ICT security maturity across small, medium and large enterprises in the EU,</w:t>
      </w:r>
      <w:r w:rsidRPr="00F5382B">
        <w:rPr>
          <w:rFonts w:eastAsia="Times New Roman"/>
          <w:noProof/>
          <w:lang w:eastAsia="en-IE"/>
        </w:rPr>
        <w:t xml:space="preserve"> based on key indicators such as incident occurrence, adoption of security measures, and internal governance practices. The data highlights persistent gaps between small and larger firms, with smaller enterprises showing significantly lower rates of documentation, regular review, and employee awareness initiatives. These discrepancies are relevant in the context of EU cybersecurity reforms, as they underscore the need for proportionate support and simplified compliance mechanisms to ensure that all businesses, regardless of size, can meet evolving cybersecurity requirements effectively.</w:t>
      </w:r>
      <w:r w:rsidRPr="00F5382B">
        <w:rPr>
          <w:rFonts w:eastAsia="Times New Roman"/>
          <w:noProof/>
          <w:lang w:val="en-IE" w:eastAsia="en-IE"/>
        </w:rPr>
        <w:t> </w:t>
      </w:r>
    </w:p>
    <w:p w14:paraId="12EC257C" w14:textId="77777777" w:rsidR="00EE3DF9" w:rsidRPr="00F5382B" w:rsidRDefault="00EE3DF9" w:rsidP="00EE3DF9">
      <w:pPr>
        <w:spacing w:after="0"/>
        <w:textAlignment w:val="baseline"/>
        <w:rPr>
          <w:rFonts w:ascii="Segoe UI" w:eastAsia="Times New Roman" w:hAnsi="Segoe UI" w:cs="Segoe UI"/>
          <w:noProof/>
          <w:sz w:val="18"/>
          <w:szCs w:val="18"/>
          <w:lang w:val="en-IE" w:eastAsia="en-IE"/>
        </w:rPr>
      </w:pPr>
    </w:p>
    <w:p w14:paraId="0866BDB9" w14:textId="2551188C" w:rsidR="00EE3DF9" w:rsidRPr="00F5382B" w:rsidRDefault="00EE3DF9" w:rsidP="00EE3DF9">
      <w:pPr>
        <w:pStyle w:val="Heading5"/>
        <w:rPr>
          <w:noProof/>
        </w:rPr>
      </w:pPr>
      <w:bookmarkStart w:id="201" w:name="_Toc207202582"/>
      <w:bookmarkStart w:id="202" w:name="_Toc218767800"/>
      <w:r w:rsidRPr="00F5382B">
        <w:rPr>
          <w:noProof/>
        </w:rPr>
        <w:t xml:space="preserve">Table </w:t>
      </w:r>
      <w:r w:rsidR="004A60E7">
        <w:rPr>
          <w:noProof/>
        </w:rPr>
        <w:t>5</w:t>
      </w:r>
      <w:r>
        <w:rPr>
          <w:noProof/>
        </w:rPr>
        <w:fldChar w:fldCharType="begin"/>
      </w:r>
      <w:r>
        <w:rPr>
          <w:noProof/>
        </w:rPr>
        <w:instrText xml:space="preserve"> SEQ Table \* ARABIC </w:instrText>
      </w:r>
      <w:r>
        <w:rPr>
          <w:noProof/>
        </w:rPr>
        <w:fldChar w:fldCharType="separate"/>
      </w:r>
      <w:r w:rsidR="00385971">
        <w:rPr>
          <w:noProof/>
        </w:rPr>
        <w:t>1</w:t>
      </w:r>
      <w:r>
        <w:rPr>
          <w:noProof/>
        </w:rPr>
        <w:fldChar w:fldCharType="end"/>
      </w:r>
      <w:r w:rsidRPr="00F5382B">
        <w:rPr>
          <w:noProof/>
        </w:rPr>
        <w:t>: ICT maturity indicators in the EU for small, medium and large enterprises</w:t>
      </w:r>
      <w:bookmarkEnd w:id="201"/>
      <w:bookmarkEnd w:id="202"/>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3"/>
        <w:gridCol w:w="1539"/>
        <w:gridCol w:w="1480"/>
        <w:gridCol w:w="1480"/>
        <w:gridCol w:w="1570"/>
        <w:gridCol w:w="1480"/>
      </w:tblGrid>
      <w:tr w:rsidR="00EE3DF9" w:rsidRPr="00F5382B" w14:paraId="620B9317" w14:textId="77777777">
        <w:trPr>
          <w:trHeight w:val="300"/>
        </w:trPr>
        <w:tc>
          <w:tcPr>
            <w:tcW w:w="1305" w:type="dxa"/>
            <w:tcBorders>
              <w:top w:val="single" w:sz="6" w:space="0" w:color="auto"/>
              <w:left w:val="single" w:sz="6" w:space="0" w:color="auto"/>
              <w:bottom w:val="single" w:sz="6" w:space="0" w:color="auto"/>
              <w:right w:val="single" w:sz="6" w:space="0" w:color="auto"/>
            </w:tcBorders>
            <w:vAlign w:val="center"/>
            <w:hideMark/>
          </w:tcPr>
          <w:p w14:paraId="6889141B"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 size (employees)</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6DD54EF6"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Enterprises that experienced any ICT security related incidents leading to unavailability of ICT services, destruction or corruption of data or disclosure of confidential data (2024)</w:t>
            </w:r>
            <w:r w:rsidRPr="00F5382B">
              <w:rPr>
                <w:rFonts w:eastAsia="Times New Roman"/>
                <w:b/>
                <w:bCs/>
                <w:noProof/>
                <w:color w:val="0000FF"/>
                <w:sz w:val="16"/>
                <w:szCs w:val="16"/>
                <w:u w:val="single"/>
                <w:vertAlign w:val="superscript"/>
                <w:lang w:eastAsia="en-IE"/>
              </w:rPr>
              <w:t>1</w:t>
            </w:r>
            <w:r w:rsidRPr="00F5382B">
              <w:rPr>
                <w:rFonts w:eastAsia="Times New Roman"/>
                <w:noProof/>
                <w:color w:val="0000FF"/>
                <w:sz w:val="16"/>
                <w:szCs w:val="16"/>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2B43169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Enterprises using any ICT security measure (2024)</w:t>
            </w:r>
            <w:r w:rsidRPr="00F5382B">
              <w:rPr>
                <w:rFonts w:eastAsia="Times New Roman"/>
                <w:b/>
                <w:bCs/>
                <w:noProof/>
                <w:color w:val="0000FF"/>
                <w:sz w:val="16"/>
                <w:szCs w:val="16"/>
                <w:u w:val="single"/>
                <w:vertAlign w:val="superscript"/>
                <w:lang w:eastAsia="en-IE"/>
              </w:rPr>
              <w:t>2</w:t>
            </w:r>
            <w:r w:rsidRPr="00F5382B">
              <w:rPr>
                <w:rFonts w:eastAsia="Times New Roman"/>
                <w:noProof/>
                <w:color w:val="0000FF"/>
                <w:sz w:val="16"/>
                <w:szCs w:val="16"/>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7C5CBC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Enterprises that have documents on measures, practices or procedures on ICT security in place (2024)</w:t>
            </w:r>
            <w:r w:rsidRPr="00F5382B">
              <w:rPr>
                <w:rFonts w:eastAsia="Times New Roman"/>
                <w:b/>
                <w:bCs/>
                <w:noProof/>
                <w:color w:val="0000FF"/>
                <w:sz w:val="16"/>
                <w:szCs w:val="16"/>
                <w:u w:val="single"/>
                <w:vertAlign w:val="superscript"/>
                <w:lang w:eastAsia="en-IE"/>
              </w:rPr>
              <w:t>3</w:t>
            </w:r>
            <w:r w:rsidRPr="00F5382B">
              <w:rPr>
                <w:rFonts w:eastAsia="Times New Roman"/>
                <w:noProof/>
                <w:color w:val="0000FF"/>
                <w:sz w:val="16"/>
                <w:szCs w:val="16"/>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0A26C0D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Enterprises that reviewed their ICT security documentation in the last 12 months (2024)</w:t>
            </w:r>
            <w:r w:rsidRPr="00F5382B">
              <w:rPr>
                <w:rFonts w:eastAsia="Times New Roman"/>
                <w:b/>
                <w:bCs/>
                <w:noProof/>
                <w:color w:val="0000FF"/>
                <w:sz w:val="16"/>
                <w:szCs w:val="16"/>
                <w:u w:val="single"/>
                <w:vertAlign w:val="superscript"/>
                <w:lang w:eastAsia="en-IE"/>
              </w:rPr>
              <w:t>4</w:t>
            </w:r>
            <w:r w:rsidRPr="00F5382B">
              <w:rPr>
                <w:rFonts w:eastAsia="Times New Roman"/>
                <w:noProof/>
                <w:color w:val="0000FF"/>
                <w:sz w:val="16"/>
                <w:szCs w:val="16"/>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0BC00EFC"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Enterprises that make employees aware of their obligations in ICT security related issues</w:t>
            </w:r>
            <w:r w:rsidRPr="00F5382B">
              <w:rPr>
                <w:rFonts w:eastAsia="Times New Roman"/>
                <w:b/>
                <w:bCs/>
                <w:noProof/>
                <w:color w:val="0000FF"/>
                <w:sz w:val="16"/>
                <w:szCs w:val="16"/>
                <w:u w:val="single"/>
                <w:vertAlign w:val="superscript"/>
                <w:lang w:eastAsia="en-IE"/>
              </w:rPr>
              <w:t>5</w:t>
            </w:r>
            <w:r w:rsidRPr="00F5382B">
              <w:rPr>
                <w:rFonts w:eastAsia="Times New Roman"/>
                <w:noProof/>
                <w:color w:val="0000FF"/>
                <w:sz w:val="16"/>
                <w:szCs w:val="16"/>
                <w:lang w:val="en-IE" w:eastAsia="en-IE"/>
              </w:rPr>
              <w:t> </w:t>
            </w:r>
          </w:p>
        </w:tc>
      </w:tr>
      <w:tr w:rsidR="00EE3DF9" w:rsidRPr="00F5382B" w14:paraId="3B9EFE68" w14:textId="77777777">
        <w:trPr>
          <w:trHeight w:val="300"/>
        </w:trPr>
        <w:tc>
          <w:tcPr>
            <w:tcW w:w="1305" w:type="dxa"/>
            <w:tcBorders>
              <w:top w:val="single" w:sz="6" w:space="0" w:color="auto"/>
              <w:left w:val="single" w:sz="6" w:space="0" w:color="auto"/>
              <w:bottom w:val="single" w:sz="6" w:space="0" w:color="auto"/>
              <w:right w:val="single" w:sz="6" w:space="0" w:color="auto"/>
            </w:tcBorders>
            <w:vAlign w:val="center"/>
            <w:hideMark/>
          </w:tcPr>
          <w:p w14:paraId="7116C660"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sz w:val="20"/>
                <w:szCs w:val="20"/>
                <w:lang w:eastAsia="en-IE"/>
              </w:rPr>
              <w:t>Small (10-49)</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1C535BB"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19,85%</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55AB0D4A"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91,79%</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E29BF3B"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30,31%</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299EAC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17,98%</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25D01AC0"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55,99%</w:t>
            </w:r>
            <w:r w:rsidRPr="00F5382B">
              <w:rPr>
                <w:rFonts w:eastAsia="Times New Roman"/>
                <w:noProof/>
                <w:sz w:val="20"/>
                <w:szCs w:val="20"/>
                <w:lang w:val="en-IE" w:eastAsia="en-IE"/>
              </w:rPr>
              <w:t> </w:t>
            </w:r>
          </w:p>
        </w:tc>
      </w:tr>
      <w:tr w:rsidR="00EE3DF9" w:rsidRPr="00F5382B" w14:paraId="3F3D4B7A" w14:textId="77777777">
        <w:trPr>
          <w:trHeight w:val="300"/>
        </w:trPr>
        <w:tc>
          <w:tcPr>
            <w:tcW w:w="1305" w:type="dxa"/>
            <w:tcBorders>
              <w:top w:val="single" w:sz="6" w:space="0" w:color="auto"/>
              <w:left w:val="single" w:sz="6" w:space="0" w:color="auto"/>
              <w:bottom w:val="single" w:sz="6" w:space="0" w:color="auto"/>
              <w:right w:val="single" w:sz="6" w:space="0" w:color="auto"/>
            </w:tcBorders>
            <w:vAlign w:val="center"/>
            <w:hideMark/>
          </w:tcPr>
          <w:p w14:paraId="5D92C0A2"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sz w:val="20"/>
                <w:szCs w:val="20"/>
                <w:lang w:eastAsia="en-IE"/>
              </w:rPr>
              <w:t>Medium enterprises (50-249)</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61F4F36C"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27,97%</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0D2B57A5"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97,15%</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52CE0D8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56,25%</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5E939C0"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35,72%</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F59487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96,45</w:t>
            </w:r>
            <w:r w:rsidRPr="00F5382B">
              <w:rPr>
                <w:rFonts w:eastAsia="Times New Roman"/>
                <w:noProof/>
                <w:sz w:val="20"/>
                <w:szCs w:val="20"/>
                <w:lang w:val="en-IE" w:eastAsia="en-IE"/>
              </w:rPr>
              <w:t> </w:t>
            </w:r>
          </w:p>
        </w:tc>
      </w:tr>
      <w:tr w:rsidR="00EE3DF9" w:rsidRPr="00F5382B" w14:paraId="3CE0C53D" w14:textId="77777777">
        <w:trPr>
          <w:trHeight w:val="300"/>
        </w:trPr>
        <w:tc>
          <w:tcPr>
            <w:tcW w:w="1305" w:type="dxa"/>
            <w:tcBorders>
              <w:top w:val="single" w:sz="6" w:space="0" w:color="auto"/>
              <w:left w:val="single" w:sz="6" w:space="0" w:color="auto"/>
              <w:bottom w:val="single" w:sz="6" w:space="0" w:color="auto"/>
              <w:right w:val="single" w:sz="6" w:space="0" w:color="auto"/>
            </w:tcBorders>
            <w:vAlign w:val="center"/>
            <w:hideMark/>
          </w:tcPr>
          <w:p w14:paraId="2D857025"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sz w:val="20"/>
                <w:szCs w:val="20"/>
                <w:lang w:eastAsia="en-IE"/>
              </w:rPr>
              <w:t>Large enterprises (&lt;250)</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732C19B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38,29%</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7DE2D532"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99,11%</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0219D209"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81,84%</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339B41EB"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57,87%</w:t>
            </w:r>
            <w:r w:rsidRPr="00F5382B">
              <w:rPr>
                <w:rFonts w:eastAsia="Times New Roman"/>
                <w:noProof/>
                <w:sz w:val="20"/>
                <w:szCs w:val="20"/>
                <w:lang w:val="en-IE" w:eastAsia="en-IE"/>
              </w:rPr>
              <w:t> </w:t>
            </w:r>
          </w:p>
        </w:tc>
        <w:tc>
          <w:tcPr>
            <w:tcW w:w="1695" w:type="dxa"/>
            <w:tcBorders>
              <w:top w:val="single" w:sz="6" w:space="0" w:color="auto"/>
              <w:left w:val="single" w:sz="6" w:space="0" w:color="auto"/>
              <w:bottom w:val="single" w:sz="6" w:space="0" w:color="auto"/>
              <w:right w:val="single" w:sz="6" w:space="0" w:color="auto"/>
            </w:tcBorders>
            <w:vAlign w:val="center"/>
            <w:hideMark/>
          </w:tcPr>
          <w:p w14:paraId="663C930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eastAsia="en-IE"/>
              </w:rPr>
              <w:t>92,34%</w:t>
            </w:r>
            <w:r w:rsidRPr="00F5382B">
              <w:rPr>
                <w:rFonts w:eastAsia="Times New Roman"/>
                <w:noProof/>
                <w:sz w:val="20"/>
                <w:szCs w:val="20"/>
                <w:lang w:val="en-IE" w:eastAsia="en-IE"/>
              </w:rPr>
              <w:t> </w:t>
            </w:r>
          </w:p>
        </w:tc>
      </w:tr>
    </w:tbl>
    <w:p w14:paraId="15FB8543" w14:textId="77777777" w:rsidR="00EE3DF9" w:rsidRPr="00F5382B" w:rsidRDefault="00EE3DF9" w:rsidP="00EE3DF9">
      <w:pPr>
        <w:spacing w:after="0"/>
        <w:textAlignment w:val="baseline"/>
        <w:rPr>
          <w:rFonts w:ascii="Segoe UI" w:eastAsia="Times New Roman" w:hAnsi="Segoe UI" w:cs="Segoe UI"/>
          <w:noProof/>
          <w:sz w:val="18"/>
          <w:szCs w:val="18"/>
          <w:lang w:val="en-IE" w:eastAsia="en-IE"/>
        </w:rPr>
      </w:pPr>
      <w:r w:rsidRPr="00F5382B">
        <w:rPr>
          <w:rFonts w:eastAsia="Times New Roman"/>
          <w:noProof/>
          <w:lang w:val="en-IE" w:eastAsia="en-IE"/>
        </w:rPr>
        <w:t> </w:t>
      </w:r>
    </w:p>
    <w:p w14:paraId="6D34157B"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In terms of operational benefits, economic operators will capitalise on ENISA’s enhanced support role under Option A.2. ENISA would be equipped to provide sector-specific guidance, incident trends and technical alerts. Businesses would also be able to more effectively prepare, detect and respond to threats thanks to ENISA’s operational support for cybersecurity. Cross-border economic operators, in particular, could benefit from interoperability gains provided by the harmonised legislative and certification framework. The same evaluation methodology and security requirements would apply across the internal market, supported by more streamlined cross-border supervision, improving consistency and reducing reliance on national consultants or legal interpretations. This supports a more levelled playing field, especially for SMEs aiming to scale their digital services across borders.</w:t>
      </w:r>
      <w:r w:rsidRPr="00F5382B">
        <w:rPr>
          <w:rFonts w:eastAsia="Times New Roman"/>
          <w:noProof/>
          <w:lang w:val="en-IE" w:eastAsia="en-IE"/>
        </w:rPr>
        <w:t> </w:t>
      </w:r>
    </w:p>
    <w:p w14:paraId="02290E17" w14:textId="6CD443F0" w:rsidR="00EE3DF9" w:rsidRPr="00F5382B" w:rsidRDefault="00EE3DF9" w:rsidP="00EE3DF9">
      <w:pPr>
        <w:spacing w:after="120"/>
        <w:textAlignment w:val="baseline"/>
        <w:rPr>
          <w:rFonts w:eastAsia="Times New Roman"/>
          <w:noProof/>
          <w:lang w:eastAsia="en-IE"/>
        </w:rPr>
      </w:pPr>
      <w:r w:rsidRPr="00F5382B">
        <w:rPr>
          <w:rFonts w:eastAsia="Times New Roman"/>
          <w:noProof/>
          <w:lang w:eastAsia="en-IE"/>
        </w:rPr>
        <w:t xml:space="preserve">Option B.2 introduces a more efficient and effective ECCF which would enable businesses to certify their ICT solutions under EU-wide cybersecurity certification scheme once and provide services and products across the EU which being protected against emerging cyber threats. </w:t>
      </w:r>
      <w:r w:rsidRPr="00F5382B">
        <w:rPr>
          <w:rFonts w:eastAsia="Times New Roman"/>
          <w:noProof/>
          <w:lang w:val="en-IE" w:eastAsia="en-IE"/>
        </w:rPr>
        <w:t xml:space="preserve">Clear development is expected to help businesses prepare for the upcoming certification, making it a viable and justifiable business cost contributing to scaling of </w:t>
      </w:r>
      <w:r w:rsidRPr="00F5382B">
        <w:rPr>
          <w:rFonts w:eastAsia="Times New Roman"/>
          <w:noProof/>
          <w:lang w:eastAsia="en-IE"/>
        </w:rPr>
        <w:t>business without undue administrative costs</w:t>
      </w:r>
      <w:r w:rsidRPr="00F5382B">
        <w:rPr>
          <w:rFonts w:eastAsia="Times New Roman"/>
          <w:noProof/>
          <w:lang w:val="en-IE" w:eastAsia="en-IE"/>
        </w:rPr>
        <w:t xml:space="preserve">. </w:t>
      </w:r>
      <w:r w:rsidRPr="00F5382B">
        <w:rPr>
          <w:rFonts w:eastAsia="Times New Roman"/>
          <w:noProof/>
          <w:lang w:eastAsia="en-IE"/>
        </w:rPr>
        <w:t xml:space="preserve">The streamlining of certification governance and the broader synergies with other relevant act addressing cybersecurity are also expected to reduce legal uncertainty and could enable the use of certification framework for </w:t>
      </w:r>
      <w:r w:rsidR="00D35EB7">
        <w:rPr>
          <w:rFonts w:eastAsia="Times New Roman"/>
          <w:noProof/>
          <w:lang w:eastAsia="en-IE"/>
        </w:rPr>
        <w:t xml:space="preserve">demonstration and </w:t>
      </w:r>
      <w:r w:rsidRPr="00F5382B">
        <w:rPr>
          <w:rFonts w:eastAsia="Times New Roman"/>
          <w:noProof/>
          <w:lang w:eastAsia="en-IE"/>
        </w:rPr>
        <w:t>presumption of conformity with Union legal acts (</w:t>
      </w:r>
      <w:r w:rsidRPr="00F5382B">
        <w:rPr>
          <w:rFonts w:eastAsia="Calibri"/>
          <w:noProof/>
        </w:rPr>
        <w:t>the changes envisaged under option B.2 and C.2)</w:t>
      </w:r>
      <w:r w:rsidRPr="00F5382B">
        <w:rPr>
          <w:rFonts w:eastAsia="Times New Roman"/>
          <w:noProof/>
          <w:lang w:eastAsia="en-IE"/>
        </w:rPr>
        <w:t>.</w:t>
      </w:r>
      <w:r w:rsidRPr="00F5382B">
        <w:rPr>
          <w:rFonts w:eastAsia="Times New Roman"/>
          <w:noProof/>
          <w:lang w:val="en-IE" w:eastAsia="en-IE"/>
        </w:rPr>
        <w:t> </w:t>
      </w:r>
    </w:p>
    <w:p w14:paraId="7C0E4C50" w14:textId="77777777" w:rsidR="00EE3DF9" w:rsidRPr="00F5382B" w:rsidRDefault="00EE3DF9" w:rsidP="00EE3DF9">
      <w:pPr>
        <w:spacing w:after="120"/>
        <w:rPr>
          <w:rFonts w:eastAsia="Calibri"/>
          <w:b/>
          <w:bCs/>
          <w:i/>
          <w:iCs/>
          <w:noProof/>
        </w:rPr>
      </w:pPr>
      <w:r w:rsidRPr="00F5382B">
        <w:rPr>
          <w:rFonts w:eastAsia="Calibri"/>
          <w:b/>
          <w:bCs/>
          <w:i/>
          <w:iCs/>
          <w:noProof/>
        </w:rPr>
        <w:t xml:space="preserve">Conformity assessment bodies </w:t>
      </w:r>
    </w:p>
    <w:p w14:paraId="4B928F9A" w14:textId="3C04ACD8" w:rsidR="00EE3DF9" w:rsidRPr="00F5382B" w:rsidRDefault="00EE3DF9" w:rsidP="00EE3DF9">
      <w:pPr>
        <w:spacing w:after="120"/>
        <w:rPr>
          <w:rFonts w:eastAsia="Calibri"/>
          <w:noProof/>
        </w:rPr>
      </w:pPr>
      <w:r w:rsidRPr="00F5382B">
        <w:rPr>
          <w:rFonts w:eastAsia="Calibri"/>
          <w:noProof/>
        </w:rPr>
        <w:t>Europe has a strong footprint of testing laboratories and conformity assessment bodies</w:t>
      </w:r>
      <w:r w:rsidRPr="00F5382B">
        <w:rPr>
          <w:rStyle w:val="FootnoteReference"/>
          <w:rFonts w:eastAsia="Calibri"/>
          <w:noProof/>
        </w:rPr>
        <w:footnoteReference w:id="185"/>
      </w:r>
      <w:r w:rsidRPr="00F5382B">
        <w:rPr>
          <w:rFonts w:eastAsia="Calibri"/>
          <w:noProof/>
        </w:rPr>
        <w:t>, especially for what pertains to product security. For conformity assessment bodies</w:t>
      </w:r>
      <w:r w:rsidRPr="00F5382B">
        <w:rPr>
          <w:rFonts w:eastAsia="Calibri"/>
          <w:b/>
          <w:bCs/>
          <w:noProof/>
        </w:rPr>
        <w:t xml:space="preserve"> </w:t>
      </w:r>
      <w:r w:rsidRPr="00F5382B">
        <w:rPr>
          <w:rFonts w:eastAsia="Calibri"/>
          <w:noProof/>
        </w:rPr>
        <w:t>(CABs), the changes envisaged under option B.2 and C.2 (</w:t>
      </w:r>
      <w:r w:rsidR="00D35EB7">
        <w:rPr>
          <w:rFonts w:eastAsia="Calibri"/>
          <w:noProof/>
        </w:rPr>
        <w:t xml:space="preserve">demonstration </w:t>
      </w:r>
      <w:r w:rsidRPr="00F5382B">
        <w:rPr>
          <w:rFonts w:eastAsia="Calibri"/>
          <w:noProof/>
        </w:rPr>
        <w:t>of conformity for NIS2 entities), especially more schemes with improved uptake, would provide them with more business opportunity. Furthermore, alignment of requirements for CABs between different legal frameworks (CSA, CRA based on NLF) will contribute to lowering of administrative costs.</w:t>
      </w:r>
    </w:p>
    <w:p w14:paraId="509BDF23" w14:textId="77777777" w:rsidR="00EE3DF9" w:rsidRPr="00F5382B" w:rsidRDefault="00EE3DF9" w:rsidP="00EE3DF9">
      <w:pPr>
        <w:spacing w:after="120"/>
        <w:rPr>
          <w:rFonts w:eastAsia="Calibri"/>
          <w:b/>
          <w:bCs/>
          <w:i/>
          <w:iCs/>
          <w:noProof/>
        </w:rPr>
      </w:pPr>
      <w:r w:rsidRPr="00F5382B">
        <w:rPr>
          <w:rFonts w:eastAsia="Calibri"/>
          <w:b/>
          <w:bCs/>
          <w:i/>
          <w:iCs/>
          <w:noProof/>
        </w:rPr>
        <w:t>Providers of European individual cybersecurity skills attestations</w:t>
      </w:r>
    </w:p>
    <w:p w14:paraId="06CC138A" w14:textId="77777777" w:rsidR="00EE3DF9" w:rsidRDefault="00EE3DF9" w:rsidP="00EE3DF9">
      <w:pPr>
        <w:tabs>
          <w:tab w:val="num" w:pos="720"/>
        </w:tabs>
        <w:spacing w:after="120"/>
        <w:rPr>
          <w:rFonts w:eastAsia="Times New Roman"/>
          <w:noProof/>
          <w:lang w:val="en-IE"/>
        </w:rPr>
      </w:pPr>
      <w:r w:rsidRPr="00F5382B">
        <w:rPr>
          <w:rFonts w:eastAsia="Times New Roman"/>
          <w:noProof/>
          <w:color w:val="000000" w:themeColor="text1"/>
        </w:rPr>
        <w:t xml:space="preserve">With option A2, the development of European individual attestation schemes would first affect </w:t>
      </w:r>
      <w:r w:rsidRPr="00F5382B">
        <w:rPr>
          <w:rFonts w:eastAsia="Times New Roman"/>
          <w:bCs/>
          <w:noProof/>
          <w:color w:val="000000" w:themeColor="text1"/>
        </w:rPr>
        <w:t>economic operators</w:t>
      </w:r>
      <w:r w:rsidRPr="00F5382B">
        <w:rPr>
          <w:rFonts w:eastAsia="Times New Roman"/>
          <w:b/>
          <w:noProof/>
          <w:color w:val="000000" w:themeColor="text1"/>
        </w:rPr>
        <w:t xml:space="preserve"> </w:t>
      </w:r>
      <w:r w:rsidRPr="00F5382B">
        <w:rPr>
          <w:rFonts w:eastAsia="Times New Roman"/>
          <w:noProof/>
          <w:color w:val="000000" w:themeColor="text1"/>
        </w:rPr>
        <w:t xml:space="preserve">by leading to the rise of providers authorised to deliver such attestations, who would gain visibility in a market which is today widely occupied by non-European providers. </w:t>
      </w:r>
      <w:r w:rsidRPr="00F5382B">
        <w:rPr>
          <w:rFonts w:eastAsia="Times New Roman"/>
          <w:noProof/>
          <w:color w:val="000000" w:themeColor="text1"/>
          <w:lang w:val="en-IE"/>
        </w:rPr>
        <w:t xml:space="preserve">More widely and beyond authorised providers themselves, the development of European individual attestation schemes would support economic operators across the board in their training and hiring practices by providing visibility and portability of skills. Additionally, a low uptake of the attestation mechanism by individuals could result in providers engaging costs to be authorised but not benefitting from an immediate return on investment in case the workforce expresses low interest in holding such an attestation. This risk could nevertheless be offset by a market study to be conducted for each scheme – i.e. each profile – and by ensuring that the fees associated to each authorisation are tailored to the actual costs of developing a scheme as well as by a recommendation by the agency on the actual cost of an attestation, providing guidance to providers. </w:t>
      </w:r>
      <w:r w:rsidRPr="00F5382B">
        <w:rPr>
          <w:rFonts w:eastAsia="Times New Roman"/>
          <w:noProof/>
          <w:lang w:val="en-IE"/>
        </w:rPr>
        <w:t xml:space="preserve"> </w:t>
      </w:r>
    </w:p>
    <w:p w14:paraId="3AA60FB0" w14:textId="77777777" w:rsidR="009B0BE3" w:rsidRPr="00F5382B" w:rsidRDefault="009B0BE3" w:rsidP="009B0BE3">
      <w:pPr>
        <w:spacing w:after="120"/>
        <w:rPr>
          <w:rFonts w:eastAsia="Calibri"/>
          <w:b/>
          <w:bCs/>
          <w:i/>
          <w:iCs/>
          <w:noProof/>
        </w:rPr>
      </w:pPr>
      <w:r w:rsidRPr="00F5382B">
        <w:rPr>
          <w:rFonts w:eastAsia="Calibri"/>
          <w:b/>
          <w:bCs/>
          <w:i/>
          <w:iCs/>
          <w:noProof/>
        </w:rPr>
        <w:t xml:space="preserve">Mobile network operators and other critical supply chain sectors </w:t>
      </w:r>
    </w:p>
    <w:p w14:paraId="0FB49C72" w14:textId="77777777" w:rsidR="009B0BE3" w:rsidRPr="00F5382B" w:rsidRDefault="009B0BE3" w:rsidP="009B0BE3">
      <w:pPr>
        <w:spacing w:after="120"/>
        <w:textAlignment w:val="baseline"/>
        <w:rPr>
          <w:rFonts w:eastAsia="Calibri"/>
          <w:noProof/>
        </w:rPr>
      </w:pPr>
      <w:r w:rsidRPr="00F5382B">
        <w:rPr>
          <w:rFonts w:eastAsia="Times New Roman"/>
          <w:noProof/>
          <w:lang w:eastAsia="en-IE"/>
        </w:rPr>
        <w:t xml:space="preserve">Option D.3 </w:t>
      </w:r>
      <w:r w:rsidRPr="00F5382B">
        <w:rPr>
          <w:rFonts w:eastAsia="Calibri"/>
          <w:noProof/>
        </w:rPr>
        <w:t xml:space="preserve">entails adjustment costs on economic operators. Specifically, one-off adjustment costs for mobile network providers for replacing 5G equipment coming from high-risk suppliers or entities originating or controlled from countries of concern. This option would also bring substantial cross-sectorial security benefits by harmonising the level of security and resilience of telecommunications networks throughout the entire Union while decreasing the reliance on high-risk suppliers, as well as by stimulating investments in a trusted 5G offering. Sectorial benefits of securing 5G networks would depend on the degree of which a particular sector leverages them, with digital infrastructure being prime example of the most benefiting sector followed by transport or public sector. It is expected that trusted 5G equipment providers would largely benefit from the obligation of removing untrusted equipment from supply chains. </w:t>
      </w:r>
    </w:p>
    <w:p w14:paraId="0F051E0D" w14:textId="69EE1C0A" w:rsidR="009B0BE3" w:rsidRPr="00F5382B" w:rsidRDefault="009B0BE3" w:rsidP="009B0BE3">
      <w:pPr>
        <w:tabs>
          <w:tab w:val="num" w:pos="720"/>
        </w:tabs>
        <w:spacing w:after="120"/>
        <w:rPr>
          <w:rFonts w:eastAsia="Times New Roman"/>
          <w:noProof/>
          <w:color w:val="000000" w:themeColor="text1"/>
        </w:rPr>
      </w:pPr>
      <w:r w:rsidRPr="00F5382B">
        <w:rPr>
          <w:rFonts w:eastAsia="Calibri"/>
          <w:noProof/>
        </w:rPr>
        <w:t xml:space="preserve">Beyond 5G networks, as explained in the Impact Assessment </w:t>
      </w:r>
      <w:r w:rsidRPr="00F5382B">
        <w:rPr>
          <w:rFonts w:eastAsia="Calibri"/>
          <w:i/>
          <w:iCs/>
          <w:noProof/>
        </w:rPr>
        <w:t>(see Section 5)</w:t>
      </w:r>
      <w:r w:rsidRPr="00F5382B">
        <w:rPr>
          <w:rFonts w:eastAsia="Calibri"/>
          <w:noProof/>
        </w:rPr>
        <w:t xml:space="preserve">, each application of the framework to a particular ICT supply chain would be based on a dedicated risk and impact assessment — including market and economic analysis of factors such as the availability of alternative suppliers and the potential impact on industry. Sectors that would likely be benefiting are those currently exhibiting high degree of non-technical risks and could include </w:t>
      </w:r>
      <w:r w:rsidRPr="00F5382B">
        <w:rPr>
          <w:noProof/>
        </w:rPr>
        <w:t>scanning equipment, submarine cables, and electricity supply</w:t>
      </w:r>
      <w:r>
        <w:rPr>
          <w:noProof/>
        </w:rPr>
        <w:t>.</w:t>
      </w:r>
    </w:p>
    <w:p w14:paraId="0F92EB26" w14:textId="77777777" w:rsidR="00EE3DF9" w:rsidRPr="00F5382B" w:rsidRDefault="00EE3DF9" w:rsidP="00D52AD8">
      <w:pPr>
        <w:numPr>
          <w:ilvl w:val="0"/>
          <w:numId w:val="110"/>
        </w:numPr>
        <w:spacing w:after="120"/>
        <w:textAlignment w:val="baseline"/>
        <w:rPr>
          <w:rFonts w:eastAsia="Times New Roman"/>
          <w:b/>
          <w:smallCaps/>
          <w:noProof/>
          <w:lang w:eastAsia="en-IE"/>
        </w:rPr>
      </w:pPr>
      <w:r w:rsidRPr="00F5382B">
        <w:rPr>
          <w:rFonts w:eastAsia="Times New Roman"/>
          <w:b/>
          <w:smallCaps/>
          <w:noProof/>
          <w:lang w:eastAsia="en-IE"/>
        </w:rPr>
        <w:t>National authorities  </w:t>
      </w:r>
    </w:p>
    <w:p w14:paraId="1253C87B"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 xml:space="preserve">National authorities would experience both positive impacts and one-off adjustment costs as a result of the preferred policy option. The reduction of numbers of entities in scope of the NIS2 Directive, clarifying certain definitions of NIS2, the designation of small-mid cap-sized entities as important entities and the possibly of demonstrating compliance based on organisational cybersecurity schemes would reduce the burden incurred by fragmentation. This measure would facilitate the monitoring of entities’ compliance with the relevant regulatory instruments, thereby resulting in savings for competent authorities. Likewise, receiving support from ENISA in supervising cross-border entities would reduce the supervisory burden on competent authorities. </w:t>
      </w:r>
    </w:p>
    <w:p w14:paraId="333EC896"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The reform of ENISA’s mandate under Option A.2 would strengthen its role in supporting policy implementation and operational coordination. While some national authorities may need to allocate staff to these enhanced coordination mechanisms, many structures are already in place. The expected benefits in terms of faster response, better guidance, and improved crisis coordination are likely to outweigh the associated costs.</w:t>
      </w:r>
      <w:r w:rsidRPr="00F5382B">
        <w:rPr>
          <w:rFonts w:eastAsia="Times New Roman"/>
          <w:noProof/>
          <w:lang w:val="en-IE" w:eastAsia="en-IE"/>
        </w:rPr>
        <w:t> </w:t>
      </w:r>
    </w:p>
    <w:p w14:paraId="0AA1FB49" w14:textId="77777777" w:rsidR="00EE3DF9" w:rsidRPr="00F5382B" w:rsidRDefault="00EE3DF9" w:rsidP="00EE3DF9">
      <w:pPr>
        <w:spacing w:after="120"/>
        <w:rPr>
          <w:rFonts w:eastAsia="Times New Roman"/>
          <w:noProof/>
          <w:color w:val="000000" w:themeColor="text1"/>
          <w:lang w:eastAsia="ja-JP"/>
        </w:rPr>
      </w:pPr>
      <w:r w:rsidRPr="00F5382B">
        <w:rPr>
          <w:rFonts w:eastAsia="Times New Roman"/>
          <w:noProof/>
          <w:color w:val="000000" w:themeColor="text1"/>
          <w:lang w:val="en-IE"/>
        </w:rPr>
        <w:t>Entrusting</w:t>
      </w:r>
      <w:r w:rsidRPr="00F5382B">
        <w:rPr>
          <w:rFonts w:eastAsia="Times New Roman"/>
          <w:noProof/>
          <w:color w:val="000000" w:themeColor="text1"/>
        </w:rPr>
        <w:t xml:space="preserve"> the elaboration and maintenance of European individual attestation schemes to ENISA and the delivery of such attestations to authorised providers, including </w:t>
      </w:r>
      <w:r w:rsidRPr="00F5382B">
        <w:rPr>
          <w:rFonts w:eastAsia="Times New Roman"/>
          <w:b/>
          <w:noProof/>
          <w:color w:val="000000" w:themeColor="text1"/>
        </w:rPr>
        <w:t>national authorities</w:t>
      </w:r>
      <w:r w:rsidRPr="00F5382B">
        <w:rPr>
          <w:rFonts w:eastAsia="Times New Roman"/>
          <w:noProof/>
          <w:color w:val="000000" w:themeColor="text1"/>
        </w:rPr>
        <w:t xml:space="preserve">, could ultimately lead to savings in terms of human resources for national authorities who develop today such attestations of people. Additionally, national authorities would not be constrained to develop or maintain in-house schemes as they could rely on the European individual attestations, notably to check the competence of individuals working for managed security service providers or for hiring purposes. A rationalised and centralised EU individual attestation scheme would further rationalise the costs, avoiding proliferation of national schemes which aim at a similar objective across Member States but are developed independently across the EU. </w:t>
      </w:r>
      <w:r w:rsidRPr="00F5382B">
        <w:rPr>
          <w:rFonts w:eastAsia="Times New Roman"/>
          <w:noProof/>
          <w:color w:val="000000" w:themeColor="text1"/>
          <w:lang w:val="en-IE"/>
        </w:rPr>
        <w:t xml:space="preserve">Developing European individual attestation schemes could have potential effects on national authorities insofar as they decide to take an active part in the development of such schemes, therefore involving human resources efforts in the development thereof. However, such participation in the development of schemes would remain voluntary. </w:t>
      </w:r>
    </w:p>
    <w:p w14:paraId="0331DC5E" w14:textId="77777777" w:rsidR="00EE3DF9" w:rsidRPr="00F5382B" w:rsidRDefault="00EE3DF9" w:rsidP="00EE3DF9">
      <w:pPr>
        <w:spacing w:after="120"/>
        <w:textAlignment w:val="baseline"/>
        <w:rPr>
          <w:rFonts w:eastAsia="Calibri"/>
          <w:noProof/>
        </w:rPr>
      </w:pPr>
      <w:r w:rsidRPr="00F5382B">
        <w:rPr>
          <w:rFonts w:eastAsia="Times New Roman"/>
          <w:noProof/>
          <w:lang w:eastAsia="en-IE"/>
        </w:rPr>
        <w:t>The governance of the ECCF would be clarified and improved based on lessons learnt in the past 5 years. National representatives in the European Cybersecurity Certification Group (ECCG) would have a more structured role with more predictable development cycles for the certification schemes. This would contribute to more efficient use of resources and avoid fragmentation of national certification initiatives. The increased uptake of schemes</w:t>
      </w:r>
      <w:r w:rsidRPr="00F5382B">
        <w:rPr>
          <w:rFonts w:eastAsia="Calibri"/>
          <w:noProof/>
        </w:rPr>
        <w:t xml:space="preserve"> entails costs for National Cybersecurity Certification Authorities (NCCAs</w:t>
      </w:r>
      <w:r w:rsidRPr="00F5382B">
        <w:rPr>
          <w:rFonts w:eastAsia="Calibri"/>
          <w:b/>
          <w:bCs/>
          <w:noProof/>
        </w:rPr>
        <w:t>)</w:t>
      </w:r>
      <w:r w:rsidRPr="00F5382B">
        <w:rPr>
          <w:rFonts w:eastAsia="Calibri"/>
          <w:noProof/>
        </w:rPr>
        <w:t xml:space="preserve">, which may need to allocate additional resources to oversee a larger number of certifications. However, in certain cases, this can be offset by the resources that Member States already dedicate to supervising national certification schemes. </w:t>
      </w:r>
    </w:p>
    <w:p w14:paraId="2ADFA225" w14:textId="3DB2CD9F" w:rsidR="00EE3DF9" w:rsidRPr="00F5382B" w:rsidRDefault="009B0BE3" w:rsidP="00EE3DF9">
      <w:pPr>
        <w:spacing w:after="120"/>
        <w:textAlignment w:val="baseline"/>
        <w:rPr>
          <w:rFonts w:eastAsia="Calibri"/>
          <w:noProof/>
        </w:rPr>
      </w:pPr>
      <w:r w:rsidRPr="00F5382B">
        <w:rPr>
          <w:rFonts w:eastAsia="Times New Roman"/>
          <w:noProof/>
          <w:lang w:eastAsia="en-IE"/>
        </w:rPr>
        <w:t xml:space="preserve">Option D.3 would entail a need for additional resources for national authorities as it would require sufficient staff to enforce the restrictions on high-risk suppliers or entities </w:t>
      </w:r>
      <w:r w:rsidRPr="00F5382B">
        <w:rPr>
          <w:rFonts w:eastAsia="Calibri"/>
          <w:noProof/>
        </w:rPr>
        <w:t>originating or controlled from countries of concern</w:t>
      </w:r>
      <w:r w:rsidRPr="00F5382B">
        <w:rPr>
          <w:rFonts w:eastAsia="Times New Roman"/>
          <w:noProof/>
          <w:lang w:eastAsia="en-IE"/>
        </w:rPr>
        <w:t xml:space="preserve"> adopted at EU-level. </w:t>
      </w:r>
      <w:r w:rsidRPr="00F5382B">
        <w:rPr>
          <w:rFonts w:eastAsia="Calibri"/>
          <w:noProof/>
        </w:rPr>
        <w:t>Identifying high-risk suppliers and entities controlled by or originating from countries of concern, the framework will build on existing registries and mechanisms between the Commission and Member States that support unravelling corporate ownership structures of such entities</w:t>
      </w:r>
      <w:r w:rsidRPr="00F5382B">
        <w:rPr>
          <w:rFonts w:eastAsia="Calibri"/>
          <w:noProof/>
          <w:lang w:val="en-IE"/>
        </w:rPr>
        <w:t xml:space="preserve">. </w:t>
      </w:r>
      <w:r w:rsidRPr="00F5382B">
        <w:rPr>
          <w:rFonts w:eastAsia="Times New Roman"/>
          <w:noProof/>
          <w:lang w:eastAsia="en-IE"/>
        </w:rPr>
        <w:t xml:space="preserve">On the other hand, this option establishing a comprehensive and horizontal ICT supply chain framework would also bring more legal clarity and certainty for national authorities. </w:t>
      </w:r>
      <w:r w:rsidRPr="00F5382B">
        <w:rPr>
          <w:rFonts w:eastAsia="Calibri"/>
          <w:noProof/>
        </w:rPr>
        <w:t xml:space="preserve">The framework would be future-proof and common to all Member States, which makes the process of mitigating non-technical risks more efficient at EU level. </w:t>
      </w:r>
    </w:p>
    <w:p w14:paraId="605C2E6C" w14:textId="77777777" w:rsidR="00EE3DF9" w:rsidRPr="00F5382B" w:rsidRDefault="00EE3DF9" w:rsidP="00D52AD8">
      <w:pPr>
        <w:numPr>
          <w:ilvl w:val="0"/>
          <w:numId w:val="110"/>
        </w:numPr>
        <w:spacing w:after="120"/>
        <w:textAlignment w:val="baseline"/>
        <w:rPr>
          <w:rFonts w:eastAsia="Times New Roman"/>
          <w:b/>
          <w:smallCaps/>
          <w:noProof/>
          <w:lang w:eastAsia="en-IE"/>
        </w:rPr>
      </w:pPr>
      <w:r w:rsidRPr="00F5382B">
        <w:rPr>
          <w:rFonts w:eastAsia="Times New Roman"/>
          <w:b/>
          <w:smallCaps/>
          <w:noProof/>
          <w:lang w:eastAsia="en-IE"/>
        </w:rPr>
        <w:t>Consumers and citizens </w:t>
      </w:r>
    </w:p>
    <w:p w14:paraId="4B6DD2EE"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No direct adjustment or compliance costs are foreseen for citizens or consumers. Enforcement activities related to these reforms are covered within the overall administrative costs of national authorities and ENISA. Consumers are expected to benefit from a strengthened cybersecurity ecosystem. The reforms aim to improve the security and reliability of digital services and products across the Union, which directly impact users’ safety and trust.</w:t>
      </w:r>
      <w:r w:rsidRPr="00F5382B">
        <w:rPr>
          <w:rFonts w:eastAsia="Times New Roman"/>
          <w:noProof/>
          <w:lang w:val="en-IE" w:eastAsia="en-IE"/>
        </w:rPr>
        <w:t> </w:t>
      </w:r>
    </w:p>
    <w:p w14:paraId="4F41CB4D" w14:textId="77777777" w:rsidR="00EE3DF9" w:rsidRPr="00F5382B" w:rsidRDefault="00EE3DF9" w:rsidP="00EE3DF9">
      <w:pPr>
        <w:spacing w:after="120"/>
        <w:rPr>
          <w:rFonts w:eastAsia="Times New Roman"/>
          <w:noProof/>
          <w:color w:val="000000" w:themeColor="text1"/>
        </w:rPr>
      </w:pPr>
      <w:r w:rsidRPr="00F5382B">
        <w:rPr>
          <w:rFonts w:eastAsia="Times New Roman"/>
          <w:noProof/>
          <w:color w:val="000000" w:themeColor="text1"/>
        </w:rPr>
        <w:t xml:space="preserve">For </w:t>
      </w:r>
      <w:r w:rsidRPr="00F5382B">
        <w:rPr>
          <w:rFonts w:eastAsia="Times New Roman"/>
          <w:b/>
          <w:noProof/>
          <w:color w:val="000000" w:themeColor="text1"/>
        </w:rPr>
        <w:t>actual or potential cybersecurity professionals</w:t>
      </w:r>
      <w:r w:rsidRPr="00F5382B">
        <w:rPr>
          <w:rFonts w:eastAsia="Times New Roman"/>
          <w:noProof/>
          <w:color w:val="000000" w:themeColor="text1"/>
        </w:rPr>
        <w:t>, holding an individual cybersecurity certification not only enhances an individual's appeal in the job market but also leads to wage increase (</w:t>
      </w:r>
      <w:r w:rsidRPr="00F5382B">
        <w:rPr>
          <w:rFonts w:eastAsia="Times New Roman"/>
          <w:i/>
          <w:noProof/>
          <w:color w:val="000000" w:themeColor="text1"/>
        </w:rPr>
        <w:t xml:space="preserve">see Annex </w:t>
      </w:r>
      <w:r w:rsidRPr="00F5382B">
        <w:rPr>
          <w:rFonts w:eastAsia="Times New Roman"/>
          <w:i/>
          <w:iCs/>
          <w:noProof/>
          <w:color w:val="000000" w:themeColor="text1"/>
        </w:rPr>
        <w:t>4</w:t>
      </w:r>
      <w:r w:rsidRPr="00F5382B">
        <w:rPr>
          <w:rFonts w:eastAsia="Times New Roman"/>
          <w:noProof/>
          <w:color w:val="000000" w:themeColor="text1"/>
        </w:rPr>
        <w:t xml:space="preserve">), hence confirming the impact of holding a cybersecurity attestation on skills portability, career advancement with positive impact salary levels, reflecting the recognised value of their expertise. Moreover, defining the costs of a European cybersecurity individual attestation at EU level could lead to potential cost savings, considering that the foreseen cost of the European individual cybersecurity attestation would be potentially closer to those delivered by public organisations and lower than the current average cost of cybersecurity certifications delivered by private certification bodies. </w:t>
      </w:r>
    </w:p>
    <w:p w14:paraId="2A2136D2"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color w:val="000000" w:themeColor="text1"/>
          <w:lang w:val="en-IE"/>
        </w:rPr>
        <w:t xml:space="preserve">Costs on individuals would materialise in the level of risks they bear by deciding to attempt at holding a European individual attestation instead of choosing an already market-recognised certification delivered by an established certification provider. </w:t>
      </w:r>
      <w:r w:rsidRPr="00F5382B">
        <w:rPr>
          <w:rFonts w:eastAsia="Times New Roman"/>
          <w:noProof/>
        </w:rPr>
        <w:t xml:space="preserve"> </w:t>
      </w:r>
    </w:p>
    <w:p w14:paraId="5740D4B4"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It is expected that more digital products and services would receive an EU cybersecurity certificate in the coming years. For consumers, this would serve as an assurance of basic cyber hygiene and raise level of risk awareness, particularly for connected products such as smart home devices or health apps. Improved product security reduces the risk of privacy violations, identity theft and unauthorised access. Furthermore, certification of ICT solutions intended for exercising rights online, such as the EUDI Wallet, would have further positive impact on citizens’ rights.</w:t>
      </w:r>
      <w:r w:rsidRPr="00F5382B">
        <w:rPr>
          <w:rFonts w:eastAsia="Times New Roman"/>
          <w:noProof/>
          <w:lang w:val="en-IE" w:eastAsia="en-IE"/>
        </w:rPr>
        <w:t> </w:t>
      </w:r>
    </w:p>
    <w:p w14:paraId="6D2CE2FE" w14:textId="77777777" w:rsidR="00EE3DF9" w:rsidRDefault="00EE3DF9" w:rsidP="00EE3DF9">
      <w:pPr>
        <w:spacing w:after="120"/>
        <w:textAlignment w:val="baseline"/>
        <w:rPr>
          <w:rFonts w:eastAsia="Times New Roman"/>
          <w:noProof/>
          <w:lang w:eastAsia="en-IE"/>
        </w:rPr>
      </w:pPr>
      <w:r w:rsidRPr="00F5382B">
        <w:rPr>
          <w:rFonts w:eastAsia="Times New Roman"/>
          <w:noProof/>
          <w:lang w:eastAsia="en-IE"/>
        </w:rPr>
        <w:t>From a legal perspective, citizens would gain from greater consistency in the enforcement of cybersecurity obligations. By facilitating the compliance of entities with different regulatory instruments including NIS2 and in particular by reducing the number of successful ransomware attacks, Option C.2 strengthens the continuity of services vital to society and the protection of personal data, including by supporting the enforcement of relevant obligations.</w:t>
      </w:r>
    </w:p>
    <w:p w14:paraId="00F1088F" w14:textId="77777777" w:rsidR="009B0BE3" w:rsidRPr="00F5382B" w:rsidRDefault="009B0BE3" w:rsidP="009B0BE3">
      <w:pPr>
        <w:spacing w:after="120"/>
        <w:textAlignment w:val="baseline"/>
        <w:rPr>
          <w:rFonts w:eastAsia="Times New Roman"/>
          <w:noProof/>
          <w:lang w:val="en-IE" w:eastAsia="en-IE"/>
        </w:rPr>
      </w:pPr>
      <w:r w:rsidRPr="00F5382B">
        <w:rPr>
          <w:rFonts w:eastAsia="Times New Roman"/>
          <w:noProof/>
          <w:lang w:val="en-IE" w:eastAsia="en-IE"/>
        </w:rPr>
        <w:t>Option D.3 strengthens security and protection of personal data for consumers and citizens.</w:t>
      </w:r>
      <w:r w:rsidRPr="00F5382B">
        <w:rPr>
          <w:rFonts w:eastAsia="Calibri"/>
          <w:noProof/>
        </w:rPr>
        <w:t xml:space="preserve"> </w:t>
      </w:r>
      <w:r w:rsidRPr="00F5382B">
        <w:rPr>
          <w:rFonts w:eastAsia="Times New Roman"/>
          <w:noProof/>
          <w:lang w:val="en-IE" w:eastAsia="en-IE"/>
        </w:rPr>
        <w:t xml:space="preserve">It would contribute to the security of personal data by </w:t>
      </w:r>
      <w:r w:rsidRPr="00F5382B">
        <w:rPr>
          <w:rFonts w:eastAsia="Times New Roman"/>
          <w:noProof/>
          <w:lang w:eastAsia="en-IE"/>
        </w:rPr>
        <w:t xml:space="preserve">restricting provision of products by high-risk suppliers or entities </w:t>
      </w:r>
      <w:r w:rsidRPr="00F5382B">
        <w:rPr>
          <w:rFonts w:eastAsia="Calibri"/>
          <w:noProof/>
        </w:rPr>
        <w:t>originating or controlled from countries of concern</w:t>
      </w:r>
      <w:r w:rsidRPr="00F5382B">
        <w:rPr>
          <w:rFonts w:eastAsia="Times New Roman"/>
          <w:noProof/>
          <w:lang w:eastAsia="en-IE"/>
        </w:rPr>
        <w:t xml:space="preserve"> and thus </w:t>
      </w:r>
      <w:r w:rsidRPr="00F5382B">
        <w:rPr>
          <w:rFonts w:eastAsia="Times New Roman"/>
          <w:noProof/>
          <w:lang w:val="en-IE" w:eastAsia="en-IE"/>
        </w:rPr>
        <w:t>protecting the confidentiality, integrity and availability of information for all telecommunications networks.</w:t>
      </w:r>
    </w:p>
    <w:p w14:paraId="06240A1C"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All in all, consumers would experience a safer digital environment without the need to take action themselves. The long-term societal benefit is an increase in public trust and confidence in digital services, which supports digital inclusion and uptake.</w:t>
      </w:r>
      <w:r w:rsidRPr="00F5382B">
        <w:rPr>
          <w:rFonts w:eastAsia="Times New Roman"/>
          <w:noProof/>
          <w:lang w:val="en-IE" w:eastAsia="en-IE"/>
        </w:rPr>
        <w:t> </w:t>
      </w:r>
    </w:p>
    <w:p w14:paraId="2FA49789" w14:textId="77777777" w:rsidR="00EE3DF9" w:rsidRPr="00F5382B" w:rsidRDefault="00EE3DF9" w:rsidP="00D52AD8">
      <w:pPr>
        <w:numPr>
          <w:ilvl w:val="0"/>
          <w:numId w:val="110"/>
        </w:numPr>
        <w:spacing w:after="120"/>
        <w:textAlignment w:val="baseline"/>
        <w:rPr>
          <w:rFonts w:eastAsia="Times New Roman"/>
          <w:b/>
          <w:smallCaps/>
          <w:noProof/>
          <w:lang w:eastAsia="en-IE"/>
        </w:rPr>
      </w:pPr>
      <w:r w:rsidRPr="00F5382B">
        <w:rPr>
          <w:rFonts w:eastAsia="Times New Roman"/>
          <w:b/>
          <w:smallCaps/>
          <w:noProof/>
          <w:lang w:eastAsia="en-IE"/>
        </w:rPr>
        <w:t>EU Institutions &amp; ENISA </w:t>
      </w:r>
    </w:p>
    <w:p w14:paraId="5856218F"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The implementation of the preferred policy option would entail important changes for ENISA. ENISA’s mandate would be expanded to include operational support functions., including situational awareness. In parallel, ENISA’s role would be expanded in cybersecurity certification and standardisation, as well as</w:t>
      </w:r>
      <w:r w:rsidRPr="00F5382B">
        <w:rPr>
          <w:rFonts w:eastAsia="Times New Roman"/>
          <w:noProof/>
          <w:lang w:val="en-IE" w:eastAsia="en-IE"/>
        </w:rPr>
        <w:t xml:space="preserve"> the development and maintenance of European individual attestation schemes. These tasks are expected to continue to strengthen ENISA’s reputation in the cybersecurity ecosystem and towards industrial players.  </w:t>
      </w:r>
    </w:p>
    <w:p w14:paraId="7B524D07"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Despite the significant financial outlay, the anticipated benefits of Option A.2 and B.2 such as improved governance, enhanced operational capabilities, and a more robust certification and standardisation framework justify the investment. By equipping ENISA with the necessary tools and authority, this policy option aims to strengthen the EU’s cybersecurity posture and ensure a more resilient digital environment. Furthermore, more efficient development of certification schemes will help prevent the proliferation of national-level schemes, reducing compliance costs for businesses operating across the Single Market. These investments, borne at the EU level, are justified by the economies of scale achieved through the avoidance of 27 parallel national systems. At the same time, the more focused mandate and prioritised tasks will lead to a more efficient use of resources.</w:t>
      </w:r>
      <w:r w:rsidRPr="00F5382B">
        <w:rPr>
          <w:rFonts w:eastAsia="Times New Roman"/>
          <w:noProof/>
          <w:lang w:val="en-IE" w:eastAsia="en-IE"/>
        </w:rPr>
        <w:t> </w:t>
      </w:r>
    </w:p>
    <w:p w14:paraId="1F61FCD5" w14:textId="5434E449" w:rsidR="00EE3DF9" w:rsidRPr="00F5382B" w:rsidRDefault="00EE3DF9" w:rsidP="00EE3DF9">
      <w:pPr>
        <w:spacing w:after="120"/>
        <w:rPr>
          <w:rFonts w:eastAsia="Times New Roman"/>
          <w:noProof/>
          <w:color w:val="000000" w:themeColor="text1"/>
        </w:rPr>
      </w:pPr>
      <w:r w:rsidRPr="00F5382B">
        <w:rPr>
          <w:noProof/>
          <w:color w:val="000000" w:themeColor="text1"/>
          <w:lang w:val="en-IE"/>
        </w:rPr>
        <w:t>Moreover, t</w:t>
      </w:r>
      <w:r w:rsidRPr="00F5382B">
        <w:rPr>
          <w:noProof/>
          <w:color w:val="000000" w:themeColor="text1"/>
        </w:rPr>
        <w:t>o counterweight some of the</w:t>
      </w:r>
      <w:r w:rsidRPr="00F5382B">
        <w:rPr>
          <w:rFonts w:eastAsia="Times New Roman"/>
          <w:noProof/>
          <w:color w:val="000000" w:themeColor="text1"/>
        </w:rPr>
        <w:t xml:space="preserve"> costs occurring to ENISA some activities (development and maintenance of European attestation schemes and maintenance of certification schemes) activity could be funded through fees. Fees would have to reflect the real costs of the related activity and these revenues will not lead to a profit. It would lead to avoid relying on the medium run, on EU budget to fund this activity. </w:t>
      </w:r>
    </w:p>
    <w:p w14:paraId="0D2D3174" w14:textId="77777777" w:rsidR="00EE3DF9" w:rsidRPr="00F5382B" w:rsidRDefault="00EE3DF9" w:rsidP="00EE3DF9">
      <w:pPr>
        <w:spacing w:after="120"/>
        <w:rPr>
          <w:rFonts w:eastAsia="Times New Roman"/>
          <w:noProof/>
          <w:color w:val="000000" w:themeColor="text1"/>
          <w:lang w:val="en-IE"/>
        </w:rPr>
      </w:pPr>
      <w:r w:rsidRPr="00F5382B">
        <w:rPr>
          <w:rFonts w:eastAsia="Times New Roman"/>
          <w:noProof/>
          <w:color w:val="000000" w:themeColor="text1"/>
        </w:rPr>
        <w:t xml:space="preserve">The main impact of developing </w:t>
      </w:r>
      <w:r w:rsidRPr="00F5382B">
        <w:rPr>
          <w:rFonts w:eastAsia="Times New Roman"/>
          <w:b/>
          <w:bCs/>
          <w:noProof/>
          <w:color w:val="000000" w:themeColor="text1"/>
        </w:rPr>
        <w:t>European individual attestations schemes</w:t>
      </w:r>
      <w:r w:rsidRPr="00F5382B">
        <w:rPr>
          <w:rFonts w:eastAsia="Times New Roman"/>
          <w:noProof/>
          <w:color w:val="000000" w:themeColor="text1"/>
        </w:rPr>
        <w:t xml:space="preserve"> would be on the immediate budget of ENISA for the first 5 years (see </w:t>
      </w:r>
      <w:r w:rsidRPr="00F5382B">
        <w:rPr>
          <w:rFonts w:eastAsia="Times New Roman"/>
          <w:i/>
          <w:iCs/>
          <w:noProof/>
          <w:color w:val="000000" w:themeColor="text1"/>
        </w:rPr>
        <w:t>section 6.1.1.1 (a)</w:t>
      </w:r>
      <w:r w:rsidRPr="00F5382B">
        <w:rPr>
          <w:rFonts w:eastAsia="Times New Roman"/>
          <w:noProof/>
          <w:color w:val="000000" w:themeColor="text1"/>
        </w:rPr>
        <w:t xml:space="preserve"> of the impact assessment). For the development of the attestation of skills schemes, taking into account that there are 12 different roles under the European Cybersecurity Skills Framework and that the development of schemes for all of those roles would be gradual, this action would incur the costs of human resources. </w:t>
      </w:r>
      <w:r w:rsidRPr="00F5382B">
        <w:rPr>
          <w:rFonts w:eastAsia="Times New Roman"/>
          <w:noProof/>
          <w:color w:val="000000" w:themeColor="text1"/>
          <w:lang w:val="en-IE"/>
        </w:rPr>
        <w:t>However, to be in a position to deliver European individual attestations, implementing the European individual attestation schemes, providers would need to be authorised. Such authorisations, delivered by the agency, would entail paying a fee to ENISA (</w:t>
      </w:r>
      <w:r w:rsidRPr="00F5382B">
        <w:rPr>
          <w:rFonts w:eastAsia="Times New Roman"/>
          <w:noProof/>
          <w:color w:val="000000" w:themeColor="text1"/>
        </w:rPr>
        <w:t xml:space="preserve">(see </w:t>
      </w:r>
      <w:r w:rsidRPr="00F5382B">
        <w:rPr>
          <w:rFonts w:eastAsia="Times New Roman"/>
          <w:i/>
          <w:iCs/>
          <w:noProof/>
          <w:color w:val="000000" w:themeColor="text1"/>
        </w:rPr>
        <w:t>section 6.1.1.1 (a)</w:t>
      </w:r>
      <w:r w:rsidRPr="00F5382B">
        <w:rPr>
          <w:rFonts w:eastAsia="Times New Roman"/>
          <w:noProof/>
          <w:color w:val="000000" w:themeColor="text1"/>
        </w:rPr>
        <w:t>)</w:t>
      </w:r>
      <w:r w:rsidRPr="00F5382B">
        <w:rPr>
          <w:rFonts w:eastAsia="Times New Roman"/>
          <w:noProof/>
          <w:color w:val="000000" w:themeColor="text1"/>
          <w:lang w:val="en-IE"/>
        </w:rPr>
        <w:t xml:space="preserve">. Such a cost could have a prohibitive effect for providers who, in the first years of the schemes, might not clearly identify the added value of holding such an authorisation. </w:t>
      </w:r>
      <w:r w:rsidRPr="00F5382B">
        <w:rPr>
          <w:rFonts w:eastAsia="Times New Roman"/>
          <w:noProof/>
          <w:color w:val="000000" w:themeColor="text1"/>
        </w:rPr>
        <w:t>Therefore, even if a fee mechanism is established, the self-financing of this activity depends highly on EU market uptake by providers and by individuals.</w:t>
      </w:r>
    </w:p>
    <w:p w14:paraId="19CED9DA" w14:textId="77777777" w:rsidR="00EE3DF9" w:rsidRDefault="00EE3DF9" w:rsidP="00EE3DF9">
      <w:pPr>
        <w:spacing w:after="120"/>
        <w:textAlignment w:val="baseline"/>
        <w:rPr>
          <w:rFonts w:eastAsia="Times New Roman"/>
          <w:noProof/>
          <w:lang w:eastAsia="en-IE"/>
        </w:rPr>
      </w:pPr>
      <w:r w:rsidRPr="00F5382B">
        <w:rPr>
          <w:rFonts w:eastAsia="Times New Roman"/>
          <w:noProof/>
          <w:lang w:eastAsia="en-IE"/>
        </w:rPr>
        <w:t xml:space="preserve">The implementation of Option B.2 entails economic impact on ENISA, reflecting the broader and more </w:t>
      </w:r>
      <w:r w:rsidRPr="00F5382B">
        <w:rPr>
          <w:rFonts w:eastAsia="Times New Roman"/>
          <w:b/>
          <w:noProof/>
          <w:lang w:eastAsia="en-IE"/>
        </w:rPr>
        <w:t>structured governance model of the ECCF</w:t>
      </w:r>
      <w:r w:rsidRPr="00F5382B">
        <w:rPr>
          <w:rFonts w:eastAsia="Times New Roman"/>
          <w:noProof/>
          <w:lang w:eastAsia="en-IE"/>
        </w:rPr>
        <w:t xml:space="preserve">. These costs are driven by the new task of maintaining adopted certification schemes, the perspective of adopting new schemes (EUCS and EU5G) and the broadened scope of the framework (B2 + C2).  Next to additional FTEs, where the maintenance of a scheme requires more complex work, this could be financed by a fee mechanism, ensuring a sustainable and future-proof model. </w:t>
      </w:r>
    </w:p>
    <w:p w14:paraId="39B25BA0" w14:textId="77777777" w:rsidR="009B0BE3" w:rsidRPr="00F5382B" w:rsidRDefault="009B0BE3" w:rsidP="009B0BE3">
      <w:pPr>
        <w:spacing w:after="120"/>
        <w:rPr>
          <w:rFonts w:eastAsia="Calibri"/>
          <w:noProof/>
        </w:rPr>
      </w:pPr>
      <w:r w:rsidRPr="00F5382B">
        <w:rPr>
          <w:rFonts w:eastAsia="Times New Roman"/>
          <w:noProof/>
          <w:lang w:eastAsia="en-IE"/>
        </w:rPr>
        <w:t xml:space="preserve">Option D.3 would entail a need for additional resources need for the EU institutions as it would require sufficient staff to coordinate with Member States on </w:t>
      </w:r>
      <w:r w:rsidRPr="00F5382B">
        <w:rPr>
          <w:rFonts w:eastAsia="Times New Roman"/>
          <w:b/>
          <w:noProof/>
          <w:lang w:eastAsia="en-IE"/>
        </w:rPr>
        <w:t>enforcement of the restrictions on high-risk suppliers</w:t>
      </w:r>
      <w:r w:rsidRPr="00F5382B">
        <w:rPr>
          <w:rFonts w:eastAsia="Times New Roman"/>
          <w:noProof/>
          <w:lang w:eastAsia="en-IE"/>
        </w:rPr>
        <w:t xml:space="preserve"> or entities </w:t>
      </w:r>
      <w:r w:rsidRPr="00F5382B">
        <w:rPr>
          <w:rFonts w:eastAsia="Calibri"/>
          <w:noProof/>
        </w:rPr>
        <w:t>originating or controlled from countries of concern</w:t>
      </w:r>
      <w:r w:rsidRPr="00F5382B">
        <w:rPr>
          <w:rFonts w:eastAsia="Times New Roman"/>
          <w:noProof/>
          <w:lang w:eastAsia="en-IE"/>
        </w:rPr>
        <w:t xml:space="preserve"> adopted at EU-level. </w:t>
      </w:r>
      <w:r w:rsidRPr="00F5382B">
        <w:rPr>
          <w:rFonts w:eastAsia="Calibri"/>
          <w:noProof/>
        </w:rPr>
        <w:t>Identifying high-risk suppliers and entities controlled by or originating from countries of concern, the framework will build on registries and mechanisms between the Commission and Member States that support unravelling corporate ownership structures and establish the list of subsidiaries of such entities</w:t>
      </w:r>
      <w:r w:rsidRPr="00F5382B">
        <w:rPr>
          <w:rFonts w:eastAsia="Calibri"/>
          <w:noProof/>
          <w:lang w:val="en-IE"/>
        </w:rPr>
        <w:t xml:space="preserve">. </w:t>
      </w:r>
      <w:r w:rsidRPr="00F5382B">
        <w:rPr>
          <w:rFonts w:eastAsia="Times New Roman"/>
          <w:noProof/>
          <w:lang w:eastAsia="en-IE"/>
        </w:rPr>
        <w:t xml:space="preserve">On the other hand, by decreasing the dependency on high-risk suppliers and entities </w:t>
      </w:r>
      <w:r w:rsidRPr="00F5382B">
        <w:rPr>
          <w:rFonts w:eastAsia="Calibri"/>
          <w:noProof/>
        </w:rPr>
        <w:t>controlled from countries of concern</w:t>
      </w:r>
      <w:r w:rsidRPr="00F5382B">
        <w:rPr>
          <w:rFonts w:eastAsia="Times New Roman"/>
          <w:noProof/>
          <w:lang w:eastAsia="en-IE"/>
        </w:rPr>
        <w:t xml:space="preserve"> at Union level, would in turn also have a positive direct and indirect impact on the cybersecurity of EU institutions and agencies. </w:t>
      </w:r>
    </w:p>
    <w:p w14:paraId="1A46BBB9" w14:textId="77777777" w:rsidR="00EE3DF9" w:rsidRPr="00F5382B" w:rsidRDefault="00EE3DF9" w:rsidP="00EE3DF9">
      <w:pPr>
        <w:spacing w:after="120"/>
        <w:textAlignment w:val="baseline"/>
        <w:rPr>
          <w:rFonts w:eastAsia="Times New Roman"/>
          <w:noProof/>
          <w:color w:val="000000" w:themeColor="text1"/>
          <w:lang w:val="en-IE"/>
        </w:rPr>
      </w:pPr>
      <w:r w:rsidRPr="00F5382B">
        <w:rPr>
          <w:rFonts w:eastAsia="Times New Roman"/>
          <w:noProof/>
          <w:lang w:eastAsia="en-IE"/>
        </w:rPr>
        <w:t xml:space="preserve">In summary, the EU institutions would incur upfront and recurring investment costs to launch and coordinate the reformed framework. These would be offset by the long-term efficiency and security gains delivered across the Union. </w:t>
      </w:r>
    </w:p>
    <w:p w14:paraId="269C70F7" w14:textId="77777777" w:rsidR="00EE3DF9" w:rsidRPr="00F5382B" w:rsidRDefault="00EE3DF9" w:rsidP="00EE3DF9">
      <w:pPr>
        <w:textAlignment w:val="baseline"/>
        <w:rPr>
          <w:rFonts w:eastAsia="Times New Roman"/>
          <w:b/>
          <w:bCs/>
          <w:noProof/>
          <w:lang w:eastAsia="en-IE"/>
        </w:rPr>
        <w:sectPr w:rsidR="00EE3DF9" w:rsidRPr="00F5382B" w:rsidSect="00EE3DF9">
          <w:headerReference w:type="default" r:id="rId50"/>
          <w:footerReference w:type="default" r:id="rId51"/>
          <w:headerReference w:type="first" r:id="rId52"/>
          <w:footerReference w:type="first" r:id="rId53"/>
          <w:pgSz w:w="11906" w:h="16838"/>
          <w:pgMar w:top="1440" w:right="1700" w:bottom="1440" w:left="1440" w:header="601" w:footer="1077" w:gutter="0"/>
          <w:cols w:space="720"/>
          <w:titlePg/>
          <w:docGrid w:linePitch="326"/>
        </w:sectPr>
      </w:pPr>
    </w:p>
    <w:p w14:paraId="5AA67584" w14:textId="77777777" w:rsidR="00EE3DF9" w:rsidRPr="00F5382B" w:rsidRDefault="00EE3DF9" w:rsidP="00D52AD8">
      <w:pPr>
        <w:numPr>
          <w:ilvl w:val="0"/>
          <w:numId w:val="110"/>
        </w:numPr>
        <w:spacing w:after="120"/>
        <w:textAlignment w:val="baseline"/>
        <w:rPr>
          <w:rFonts w:eastAsia="Times New Roman"/>
          <w:b/>
          <w:smallCaps/>
          <w:noProof/>
          <w:lang w:eastAsia="en-IE"/>
        </w:rPr>
      </w:pPr>
      <w:r w:rsidRPr="00F5382B">
        <w:rPr>
          <w:rFonts w:eastAsia="Times New Roman"/>
          <w:b/>
          <w:smallCaps/>
          <w:noProof/>
          <w:lang w:eastAsia="en-IE"/>
        </w:rPr>
        <w:t>Summary of costs and benefits (incl. “One In, One Out” approach)</w:t>
      </w:r>
    </w:p>
    <w:p w14:paraId="3EF7353A" w14:textId="3C9244F4" w:rsidR="00EE3DF9" w:rsidRPr="00F5382B" w:rsidRDefault="00EE3DF9" w:rsidP="00EE3DF9">
      <w:pPr>
        <w:pStyle w:val="Heading5"/>
        <w:rPr>
          <w:rFonts w:eastAsia="Times New Roman"/>
          <w:b/>
          <w:bCs/>
          <w:smallCaps/>
          <w:noProof/>
          <w:lang w:val="en-IE" w:eastAsia="en-IE"/>
        </w:rPr>
      </w:pPr>
      <w:bookmarkStart w:id="203" w:name="_Toc207202584"/>
      <w:bookmarkStart w:id="204" w:name="_Toc218767801"/>
      <w:r w:rsidRPr="00F5382B">
        <w:rPr>
          <w:noProof/>
        </w:rPr>
        <w:t xml:space="preserve">Table </w:t>
      </w:r>
      <w:r w:rsidR="004A60E7">
        <w:rPr>
          <w:noProof/>
        </w:rPr>
        <w:t>6</w:t>
      </w:r>
      <w:r>
        <w:rPr>
          <w:noProof/>
        </w:rPr>
        <w:fldChar w:fldCharType="begin"/>
      </w:r>
      <w:r>
        <w:rPr>
          <w:noProof/>
        </w:rPr>
        <w:instrText xml:space="preserve"> SEQ Table \* ARABIC </w:instrText>
      </w:r>
      <w:r>
        <w:rPr>
          <w:noProof/>
        </w:rPr>
        <w:fldChar w:fldCharType="separate"/>
      </w:r>
      <w:r w:rsidR="00385971">
        <w:rPr>
          <w:noProof/>
        </w:rPr>
        <w:t>2</w:t>
      </w:r>
      <w:r>
        <w:rPr>
          <w:noProof/>
        </w:rPr>
        <w:fldChar w:fldCharType="end"/>
      </w:r>
      <w:r w:rsidRPr="00F5382B">
        <w:rPr>
          <w:noProof/>
        </w:rPr>
        <w:t>: Overview of Benefits (total for all provisions) – Preferred Option (incl. “OUTs” of the OIOO approach)</w:t>
      </w:r>
      <w:bookmarkEnd w:id="203"/>
      <w:bookmarkEnd w:id="204"/>
    </w:p>
    <w:tbl>
      <w:tblPr>
        <w:tblW w:w="8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1"/>
        <w:gridCol w:w="2253"/>
        <w:gridCol w:w="4416"/>
      </w:tblGrid>
      <w:tr w:rsidR="00EE3DF9" w:rsidRPr="00F5382B" w14:paraId="1EAD7E5E" w14:textId="77777777" w:rsidTr="6BEA0960">
        <w:trPr>
          <w:trHeight w:val="300"/>
        </w:trPr>
        <w:tc>
          <w:tcPr>
            <w:tcW w:w="8980" w:type="dxa"/>
            <w:gridSpan w:val="3"/>
            <w:tcBorders>
              <w:top w:val="double" w:sz="6" w:space="0" w:color="auto"/>
              <w:left w:val="double" w:sz="6" w:space="0" w:color="auto"/>
              <w:bottom w:val="single" w:sz="6" w:space="0" w:color="auto"/>
              <w:right w:val="double" w:sz="6" w:space="0" w:color="auto"/>
            </w:tcBorders>
            <w:shd w:val="clear" w:color="auto" w:fill="C6D9F1" w:themeFill="text2" w:themeFillTint="33"/>
            <w:hideMark/>
          </w:tcPr>
          <w:p w14:paraId="2CC1B79B"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color w:val="000000"/>
                <w:sz w:val="20"/>
                <w:szCs w:val="20"/>
                <w:lang w:eastAsia="en-IE"/>
              </w:rPr>
              <w:t>II. Overview of Benefits (total for all provisions) – Preferred Option</w:t>
            </w:r>
            <w:r w:rsidRPr="00F5382B">
              <w:rPr>
                <w:rFonts w:eastAsia="Times New Roman"/>
                <w:noProof/>
                <w:color w:val="000000"/>
                <w:sz w:val="20"/>
                <w:szCs w:val="20"/>
                <w:lang w:val="en-IE" w:eastAsia="en-IE"/>
              </w:rPr>
              <w:t> </w:t>
            </w:r>
          </w:p>
        </w:tc>
      </w:tr>
      <w:tr w:rsidR="00EE3DF9" w:rsidRPr="00F5382B" w14:paraId="3BA20F91"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shd w:val="clear" w:color="auto" w:fill="C6D9F1" w:themeFill="text2" w:themeFillTint="33"/>
            <w:hideMark/>
          </w:tcPr>
          <w:p w14:paraId="00D5937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Description</w:t>
            </w:r>
            <w:r w:rsidRPr="00F5382B">
              <w:rPr>
                <w:rFonts w:eastAsia="Times New Roman"/>
                <w:noProof/>
                <w:color w:val="000000"/>
                <w:sz w:val="20"/>
                <w:szCs w:val="20"/>
                <w:lang w:val="en-IE" w:eastAsia="en-IE"/>
              </w:rPr>
              <w:t> </w:t>
            </w:r>
          </w:p>
        </w:tc>
        <w:tc>
          <w:tcPr>
            <w:tcW w:w="2253" w:type="dxa"/>
            <w:tcBorders>
              <w:top w:val="nil"/>
              <w:left w:val="single" w:sz="6" w:space="0" w:color="auto"/>
              <w:bottom w:val="single" w:sz="6" w:space="0" w:color="auto"/>
              <w:right w:val="single" w:sz="6" w:space="0" w:color="auto"/>
            </w:tcBorders>
            <w:shd w:val="clear" w:color="auto" w:fill="C6D9F1" w:themeFill="text2" w:themeFillTint="33"/>
            <w:hideMark/>
          </w:tcPr>
          <w:p w14:paraId="1C86583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Amount</w:t>
            </w:r>
            <w:r w:rsidRPr="00F5382B">
              <w:rPr>
                <w:rFonts w:eastAsia="Times New Roman"/>
                <w:noProof/>
                <w:color w:val="000000"/>
                <w:sz w:val="20"/>
                <w:szCs w:val="20"/>
                <w:lang w:val="en-IE" w:eastAsia="en-IE"/>
              </w:rPr>
              <w:t> </w:t>
            </w:r>
          </w:p>
        </w:tc>
        <w:tc>
          <w:tcPr>
            <w:tcW w:w="4416" w:type="dxa"/>
            <w:tcBorders>
              <w:top w:val="nil"/>
              <w:left w:val="single" w:sz="6" w:space="0" w:color="auto"/>
              <w:bottom w:val="single" w:sz="6" w:space="0" w:color="auto"/>
              <w:right w:val="double" w:sz="6" w:space="0" w:color="auto"/>
            </w:tcBorders>
            <w:shd w:val="clear" w:color="auto" w:fill="C6D9F1" w:themeFill="text2" w:themeFillTint="33"/>
            <w:hideMark/>
          </w:tcPr>
          <w:p w14:paraId="68F289EC"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Comments</w:t>
            </w:r>
            <w:r w:rsidRPr="00F5382B">
              <w:rPr>
                <w:rFonts w:eastAsia="Times New Roman"/>
                <w:noProof/>
                <w:color w:val="000000"/>
                <w:sz w:val="20"/>
                <w:szCs w:val="20"/>
                <w:lang w:val="en-IE" w:eastAsia="en-IE"/>
              </w:rPr>
              <w:t> </w:t>
            </w:r>
          </w:p>
        </w:tc>
      </w:tr>
      <w:tr w:rsidR="00EE3DF9" w:rsidRPr="00F5382B" w14:paraId="42E4AE83" w14:textId="77777777" w:rsidTr="6BEA0960">
        <w:trPr>
          <w:trHeight w:val="300"/>
        </w:trPr>
        <w:tc>
          <w:tcPr>
            <w:tcW w:w="8980" w:type="dxa"/>
            <w:gridSpan w:val="3"/>
            <w:tcBorders>
              <w:top w:val="single" w:sz="6" w:space="0" w:color="auto"/>
              <w:left w:val="double" w:sz="6" w:space="0" w:color="auto"/>
              <w:bottom w:val="single" w:sz="6" w:space="0" w:color="auto"/>
              <w:right w:val="double" w:sz="6" w:space="0" w:color="auto"/>
            </w:tcBorders>
            <w:shd w:val="clear" w:color="auto" w:fill="F2F2F2" w:themeFill="background1" w:themeFillShade="F2"/>
            <w:hideMark/>
          </w:tcPr>
          <w:p w14:paraId="533C145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Direct benefits</w:t>
            </w:r>
            <w:r w:rsidRPr="00F5382B">
              <w:rPr>
                <w:rFonts w:eastAsia="Times New Roman"/>
                <w:noProof/>
                <w:color w:val="000000"/>
                <w:sz w:val="20"/>
                <w:szCs w:val="20"/>
                <w:lang w:val="en-IE" w:eastAsia="en-IE"/>
              </w:rPr>
              <w:t> </w:t>
            </w:r>
          </w:p>
        </w:tc>
      </w:tr>
      <w:tr w:rsidR="00EE3DF9" w:rsidRPr="00F5382B" w14:paraId="61411E4A"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hideMark/>
          </w:tcPr>
          <w:p w14:paraId="5A07A2D1"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Compliance cost reductions for businesses</w:t>
            </w:r>
            <w:r w:rsidRPr="00F5382B">
              <w:rPr>
                <w:rFonts w:eastAsia="Times New Roman"/>
                <w:noProof/>
                <w:color w:val="000000"/>
                <w:sz w:val="20"/>
                <w:szCs w:val="20"/>
                <w:lang w:val="en-IE" w:eastAsia="en-IE"/>
              </w:rPr>
              <w:t> </w:t>
            </w:r>
          </w:p>
        </w:tc>
        <w:tc>
          <w:tcPr>
            <w:tcW w:w="2253" w:type="dxa"/>
            <w:tcBorders>
              <w:top w:val="nil"/>
              <w:left w:val="single" w:sz="6" w:space="0" w:color="auto"/>
              <w:bottom w:val="single" w:sz="6" w:space="0" w:color="auto"/>
              <w:right w:val="single" w:sz="6" w:space="0" w:color="auto"/>
            </w:tcBorders>
            <w:vAlign w:val="center"/>
            <w:hideMark/>
          </w:tcPr>
          <w:p w14:paraId="71FE13D9" w14:textId="653E3BF5" w:rsidR="00EE3DF9" w:rsidRPr="00F5382B" w:rsidRDefault="00EE3DF9">
            <w:pPr>
              <w:spacing w:after="0"/>
              <w:textAlignment w:val="baseline"/>
              <w:rPr>
                <w:rFonts w:eastAsia="Times New Roman"/>
                <w:b/>
                <w:bCs/>
                <w:noProof/>
                <w:lang w:val="en-IE" w:eastAsia="en-IE"/>
              </w:rPr>
            </w:pPr>
            <w:r w:rsidRPr="00F5382B">
              <w:rPr>
                <w:rFonts w:eastAsia="Times New Roman"/>
                <w:b/>
                <w:bCs/>
                <w:noProof/>
                <w:sz w:val="20"/>
                <w:szCs w:val="20"/>
                <w:lang w:val="en-IE" w:eastAsia="en-IE"/>
              </w:rPr>
              <w:t>EUR 1</w:t>
            </w:r>
            <w:r w:rsidR="00FE4CF2">
              <w:rPr>
                <w:rFonts w:eastAsia="Times New Roman"/>
                <w:b/>
                <w:bCs/>
                <w:noProof/>
                <w:sz w:val="20"/>
                <w:szCs w:val="20"/>
                <w:lang w:val="en-IE" w:eastAsia="en-IE"/>
              </w:rPr>
              <w:t>4</w:t>
            </w:r>
            <w:r w:rsidRPr="00F5382B">
              <w:rPr>
                <w:rFonts w:eastAsia="Times New Roman"/>
                <w:b/>
                <w:bCs/>
                <w:noProof/>
                <w:sz w:val="20"/>
                <w:szCs w:val="20"/>
                <w:lang w:val="en-IE" w:eastAsia="en-IE"/>
              </w:rPr>
              <w:t>.</w:t>
            </w:r>
            <w:r>
              <w:rPr>
                <w:rFonts w:eastAsia="Times New Roman"/>
                <w:b/>
                <w:bCs/>
                <w:noProof/>
                <w:sz w:val="20"/>
                <w:szCs w:val="20"/>
                <w:lang w:val="en-IE" w:eastAsia="en-IE"/>
              </w:rPr>
              <w:t xml:space="preserve">6 </w:t>
            </w:r>
            <w:r w:rsidRPr="00F5382B">
              <w:rPr>
                <w:rFonts w:eastAsia="Times New Roman"/>
                <w:b/>
                <w:bCs/>
                <w:noProof/>
                <w:sz w:val="20"/>
                <w:szCs w:val="20"/>
                <w:lang w:val="en-IE" w:eastAsia="en-IE"/>
              </w:rPr>
              <w:t xml:space="preserve">bn over five years </w:t>
            </w:r>
          </w:p>
        </w:tc>
        <w:tc>
          <w:tcPr>
            <w:tcW w:w="4416" w:type="dxa"/>
            <w:tcBorders>
              <w:top w:val="nil"/>
              <w:left w:val="single" w:sz="6" w:space="0" w:color="auto"/>
              <w:bottom w:val="single" w:sz="6" w:space="0" w:color="auto"/>
              <w:right w:val="double" w:sz="6" w:space="0" w:color="auto"/>
            </w:tcBorders>
            <w:vAlign w:val="center"/>
            <w:hideMark/>
          </w:tcPr>
          <w:p w14:paraId="3B4C6990"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SMEs and economic operators. </w:t>
            </w:r>
            <w:r w:rsidRPr="00F5382B">
              <w:rPr>
                <w:rFonts w:eastAsia="Times New Roman"/>
                <w:noProof/>
                <w:color w:val="000000"/>
                <w:sz w:val="20"/>
                <w:szCs w:val="20"/>
                <w:lang w:val="en-IE" w:eastAsia="en-IE"/>
              </w:rPr>
              <w:t> </w:t>
            </w:r>
          </w:p>
          <w:p w14:paraId="7D7A8B5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Savings arise from simplified compliance (C.2), reduced scope, and fewer legal interpretations needed, and lower administrative costs.</w:t>
            </w:r>
            <w:r w:rsidRPr="00F5382B">
              <w:rPr>
                <w:rFonts w:eastAsia="Times New Roman"/>
                <w:noProof/>
                <w:color w:val="000000"/>
                <w:sz w:val="20"/>
                <w:szCs w:val="20"/>
                <w:lang w:val="en-IE" w:eastAsia="en-IE"/>
              </w:rPr>
              <w:t> </w:t>
            </w:r>
          </w:p>
        </w:tc>
      </w:tr>
      <w:tr w:rsidR="00EE3DF9" w:rsidRPr="00F5382B" w14:paraId="14764640"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tcPr>
          <w:p w14:paraId="1A33DD05"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 xml:space="preserve">Enforcement cost reduction for public authorities  </w:t>
            </w:r>
          </w:p>
        </w:tc>
        <w:tc>
          <w:tcPr>
            <w:tcW w:w="2253" w:type="dxa"/>
            <w:tcBorders>
              <w:top w:val="nil"/>
              <w:left w:val="single" w:sz="6" w:space="0" w:color="auto"/>
              <w:bottom w:val="single" w:sz="6" w:space="0" w:color="auto"/>
              <w:right w:val="single" w:sz="6" w:space="0" w:color="auto"/>
            </w:tcBorders>
            <w:vAlign w:val="center"/>
          </w:tcPr>
          <w:p w14:paraId="52B2BE04" w14:textId="77777777" w:rsidR="00EE3DF9" w:rsidRPr="00F5382B" w:rsidDel="00D321F3" w:rsidRDefault="00EE3DF9">
            <w:pPr>
              <w:spacing w:after="0"/>
              <w:textAlignment w:val="baseline"/>
              <w:rPr>
                <w:rFonts w:eastAsia="Times New Roman"/>
                <w:b/>
                <w:bCs/>
                <w:noProof/>
                <w:sz w:val="20"/>
                <w:szCs w:val="20"/>
                <w:lang w:eastAsia="en-IE"/>
              </w:rPr>
            </w:pPr>
            <w:r w:rsidRPr="00F5382B">
              <w:rPr>
                <w:rFonts w:eastAsia="Times New Roman"/>
                <w:b/>
                <w:bCs/>
                <w:noProof/>
                <w:sz w:val="20"/>
                <w:szCs w:val="20"/>
                <w:lang w:eastAsia="en-IE"/>
              </w:rPr>
              <w:t xml:space="preserve"> EUR 7.5 M over five years </w:t>
            </w:r>
          </w:p>
        </w:tc>
        <w:tc>
          <w:tcPr>
            <w:tcW w:w="4416" w:type="dxa"/>
            <w:tcBorders>
              <w:top w:val="nil"/>
              <w:left w:val="single" w:sz="6" w:space="0" w:color="auto"/>
              <w:bottom w:val="single" w:sz="6" w:space="0" w:color="auto"/>
              <w:right w:val="double" w:sz="6" w:space="0" w:color="auto"/>
            </w:tcBorders>
            <w:vAlign w:val="center"/>
          </w:tcPr>
          <w:p w14:paraId="2E3077F2"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 xml:space="preserve">national supervisory authorities due to reduced scope. </w:t>
            </w:r>
          </w:p>
        </w:tc>
      </w:tr>
      <w:tr w:rsidR="00EE3DF9" w:rsidRPr="00F5382B" w14:paraId="319D4DCA" w14:textId="77777777" w:rsidTr="6BEA0960">
        <w:trPr>
          <w:trHeight w:val="300"/>
        </w:trPr>
        <w:tc>
          <w:tcPr>
            <w:tcW w:w="2311" w:type="dxa"/>
            <w:tcBorders>
              <w:top w:val="single" w:sz="6" w:space="0" w:color="auto"/>
              <w:left w:val="double" w:sz="6" w:space="0" w:color="auto"/>
              <w:bottom w:val="double" w:sz="6" w:space="0" w:color="auto"/>
              <w:right w:val="single" w:sz="6" w:space="0" w:color="auto"/>
            </w:tcBorders>
            <w:vAlign w:val="center"/>
          </w:tcPr>
          <w:p w14:paraId="1871B5BB"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 xml:space="preserve">Reduced cost caused by cybersecurity incidents, including ransomware attacks  </w:t>
            </w:r>
          </w:p>
        </w:tc>
        <w:tc>
          <w:tcPr>
            <w:tcW w:w="2253" w:type="dxa"/>
            <w:tcBorders>
              <w:top w:val="single" w:sz="6" w:space="0" w:color="auto"/>
              <w:left w:val="single" w:sz="6" w:space="0" w:color="auto"/>
              <w:bottom w:val="double" w:sz="6" w:space="0" w:color="auto"/>
              <w:right w:val="single" w:sz="6" w:space="0" w:color="auto"/>
            </w:tcBorders>
            <w:vAlign w:val="center"/>
          </w:tcPr>
          <w:p w14:paraId="5D558E6A" w14:textId="77777777" w:rsidR="00EE3DF9" w:rsidRPr="00F5382B" w:rsidRDefault="00EE3DF9">
            <w:pPr>
              <w:spacing w:after="0"/>
              <w:textAlignment w:val="baseline"/>
              <w:rPr>
                <w:rFonts w:eastAsia="Times New Roman"/>
                <w:noProof/>
                <w:sz w:val="20"/>
                <w:szCs w:val="20"/>
                <w:lang w:eastAsia="en-IE"/>
              </w:rPr>
            </w:pPr>
            <w:r w:rsidRPr="00F5382B">
              <w:rPr>
                <w:rFonts w:eastAsia="Times New Roman"/>
                <w:noProof/>
                <w:sz w:val="20"/>
                <w:szCs w:val="20"/>
                <w:lang w:eastAsia="en-IE"/>
              </w:rPr>
              <w:t xml:space="preserve"> Not monetised</w:t>
            </w:r>
            <w:r w:rsidRPr="00F5382B">
              <w:rPr>
                <w:rFonts w:eastAsia="Times New Roman"/>
                <w:noProof/>
                <w:sz w:val="20"/>
                <w:szCs w:val="20"/>
                <w:lang w:val="en-IE" w:eastAsia="en-IE"/>
              </w:rPr>
              <w:t xml:space="preserve"> (at aggregated level) </w:t>
            </w:r>
          </w:p>
        </w:tc>
        <w:tc>
          <w:tcPr>
            <w:tcW w:w="4416" w:type="dxa"/>
            <w:tcBorders>
              <w:top w:val="single" w:sz="6" w:space="0" w:color="auto"/>
              <w:left w:val="single" w:sz="6" w:space="0" w:color="auto"/>
              <w:bottom w:val="double" w:sz="6" w:space="0" w:color="auto"/>
              <w:right w:val="double" w:sz="6" w:space="0" w:color="auto"/>
            </w:tcBorders>
            <w:vAlign w:val="center"/>
          </w:tcPr>
          <w:p w14:paraId="36455D4A" w14:textId="4385D98C"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Economic operators in the first place, including SMEs as well as public authorities and citizens. This is driven by enhanced operational support by ENISA, including on situational awareness; more certification schemes covering key ICT technologies; mandatory ransomware reporting under NIS2; (A2, B2, C2)</w:t>
            </w:r>
          </w:p>
          <w:p w14:paraId="1E189F20" w14:textId="77777777" w:rsidR="00EE3DF9" w:rsidRPr="00F5382B" w:rsidRDefault="00EE3DF9">
            <w:pPr>
              <w:spacing w:after="0"/>
              <w:jc w:val="left"/>
              <w:textAlignment w:val="baseline"/>
              <w:rPr>
                <w:rFonts w:eastAsia="Times New Roman"/>
                <w:noProof/>
                <w:color w:val="000000"/>
                <w:sz w:val="20"/>
                <w:szCs w:val="20"/>
                <w:lang w:val="en-IE" w:eastAsia="en-IE"/>
              </w:rPr>
            </w:pPr>
            <w:r w:rsidRPr="00F5382B">
              <w:rPr>
                <w:rFonts w:eastAsia="Times New Roman"/>
                <w:noProof/>
                <w:color w:val="000000"/>
                <w:sz w:val="20"/>
                <w:szCs w:val="20"/>
                <w:lang w:eastAsia="en-IE"/>
              </w:rPr>
              <w:t xml:space="preserve">See </w:t>
            </w:r>
            <w:r w:rsidRPr="00F5382B">
              <w:rPr>
                <w:rFonts w:eastAsia="Times New Roman"/>
                <w:i/>
                <w:iCs/>
                <w:noProof/>
                <w:color w:val="000000"/>
                <w:sz w:val="20"/>
                <w:szCs w:val="20"/>
                <w:lang w:eastAsia="en-IE"/>
              </w:rPr>
              <w:t>Annex 7</w:t>
            </w:r>
            <w:r w:rsidRPr="00F5382B">
              <w:rPr>
                <w:rFonts w:eastAsia="Times New Roman"/>
                <w:noProof/>
                <w:color w:val="000000"/>
                <w:sz w:val="20"/>
                <w:szCs w:val="20"/>
                <w:lang w:eastAsia="en-IE"/>
              </w:rPr>
              <w:t xml:space="preserve"> for quantitative estimates of the costs factors linked to cybersecurity incidents. </w:t>
            </w:r>
          </w:p>
        </w:tc>
      </w:tr>
      <w:tr w:rsidR="00EE3DF9" w:rsidRPr="00F5382B" w14:paraId="5CC06E5E" w14:textId="77777777" w:rsidTr="6BEA0960">
        <w:trPr>
          <w:trHeight w:val="300"/>
        </w:trPr>
        <w:tc>
          <w:tcPr>
            <w:tcW w:w="2311" w:type="dxa"/>
            <w:tcBorders>
              <w:top w:val="single" w:sz="6" w:space="0" w:color="auto"/>
              <w:left w:val="double" w:sz="6" w:space="0" w:color="auto"/>
              <w:bottom w:val="double" w:sz="6" w:space="0" w:color="auto"/>
              <w:right w:val="single" w:sz="6" w:space="0" w:color="auto"/>
            </w:tcBorders>
            <w:vAlign w:val="center"/>
          </w:tcPr>
          <w:p w14:paraId="7ABE1CF0"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Support to incident detection and response</w:t>
            </w:r>
            <w:r w:rsidRPr="00F5382B">
              <w:rPr>
                <w:rFonts w:eastAsia="Times New Roman"/>
                <w:noProof/>
                <w:color w:val="000000"/>
                <w:sz w:val="20"/>
                <w:szCs w:val="20"/>
                <w:lang w:val="en-IE" w:eastAsia="en-IE"/>
              </w:rPr>
              <w:t> </w:t>
            </w:r>
          </w:p>
        </w:tc>
        <w:tc>
          <w:tcPr>
            <w:tcW w:w="2253" w:type="dxa"/>
            <w:tcBorders>
              <w:top w:val="single" w:sz="6" w:space="0" w:color="auto"/>
              <w:left w:val="single" w:sz="6" w:space="0" w:color="auto"/>
              <w:bottom w:val="double" w:sz="6" w:space="0" w:color="auto"/>
              <w:right w:val="single" w:sz="6" w:space="0" w:color="auto"/>
            </w:tcBorders>
            <w:vAlign w:val="center"/>
          </w:tcPr>
          <w:p w14:paraId="6A692C3B" w14:textId="77777777" w:rsidR="00EE3DF9" w:rsidRPr="00F5382B" w:rsidRDefault="00EE3DF9">
            <w:pPr>
              <w:spacing w:after="0"/>
              <w:textAlignment w:val="baseline"/>
              <w:rPr>
                <w:rFonts w:eastAsia="Times New Roman"/>
                <w:noProof/>
                <w:sz w:val="20"/>
                <w:szCs w:val="20"/>
                <w:lang w:eastAsia="en-IE"/>
              </w:rPr>
            </w:pPr>
            <w:r w:rsidRPr="00F5382B">
              <w:rPr>
                <w:rFonts w:eastAsia="Times New Roman"/>
                <w:b/>
                <w:bCs/>
                <w:noProof/>
                <w:sz w:val="20"/>
                <w:szCs w:val="20"/>
                <w:lang w:val="en-IE" w:eastAsia="en-IE"/>
              </w:rPr>
              <w:t>EUR 3.7 to 4.4 bn</w:t>
            </w:r>
            <w:r w:rsidRPr="00F5382B">
              <w:rPr>
                <w:rFonts w:eastAsia="Times New Roman"/>
                <w:noProof/>
                <w:sz w:val="20"/>
                <w:szCs w:val="20"/>
                <w:lang w:val="en-IE" w:eastAsia="en-IE"/>
              </w:rPr>
              <w:t xml:space="preserve"> </w:t>
            </w:r>
            <w:r w:rsidRPr="00F5382B">
              <w:rPr>
                <w:rFonts w:eastAsia="Times New Roman"/>
                <w:b/>
                <w:bCs/>
                <w:noProof/>
                <w:sz w:val="20"/>
                <w:szCs w:val="20"/>
                <w:lang w:val="en-IE" w:eastAsia="en-IE"/>
              </w:rPr>
              <w:t>over five years</w:t>
            </w:r>
            <w:r w:rsidRPr="00F5382B">
              <w:rPr>
                <w:rFonts w:eastAsia="Times New Roman"/>
                <w:noProof/>
                <w:sz w:val="20"/>
                <w:szCs w:val="20"/>
                <w:lang w:val="en-IE" w:eastAsia="en-IE"/>
              </w:rPr>
              <w:t xml:space="preserve"> (broad estimate)</w:t>
            </w:r>
          </w:p>
        </w:tc>
        <w:tc>
          <w:tcPr>
            <w:tcW w:w="4416" w:type="dxa"/>
            <w:tcBorders>
              <w:top w:val="single" w:sz="6" w:space="0" w:color="auto"/>
              <w:left w:val="single" w:sz="6" w:space="0" w:color="auto"/>
              <w:bottom w:val="double" w:sz="6" w:space="0" w:color="auto"/>
              <w:right w:val="double" w:sz="6" w:space="0" w:color="auto"/>
            </w:tcBorders>
            <w:vAlign w:val="center"/>
          </w:tcPr>
          <w:p w14:paraId="5FD2B5D0"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EU institutions, national authorities, economic operators, SMEs, users. </w:t>
            </w:r>
            <w:r w:rsidRPr="00F5382B">
              <w:rPr>
                <w:rFonts w:eastAsia="Times New Roman"/>
                <w:noProof/>
                <w:color w:val="000000"/>
                <w:sz w:val="20"/>
                <w:szCs w:val="20"/>
                <w:lang w:val="en-IE" w:eastAsia="en-IE"/>
              </w:rPr>
              <w:t> </w:t>
            </w:r>
          </w:p>
          <w:p w14:paraId="3195D95C" w14:textId="77777777" w:rsidR="00EE3DF9" w:rsidRPr="00F5382B" w:rsidRDefault="00EE3DF9">
            <w:pPr>
              <w:spacing w:after="0"/>
              <w:jc w:val="left"/>
              <w:textAlignment w:val="baseline"/>
              <w:rPr>
                <w:rFonts w:eastAsia="Times New Roman"/>
                <w:b/>
                <w:bCs/>
                <w:noProof/>
                <w:color w:val="000000"/>
                <w:sz w:val="20"/>
                <w:szCs w:val="20"/>
                <w:lang w:eastAsia="en-IE"/>
              </w:rPr>
            </w:pPr>
            <w:r w:rsidRPr="00F5382B">
              <w:rPr>
                <w:rFonts w:eastAsia="Times New Roman"/>
                <w:noProof/>
                <w:color w:val="000000" w:themeColor="text1"/>
                <w:sz w:val="20"/>
                <w:szCs w:val="20"/>
                <w:lang w:eastAsia="en-IE"/>
              </w:rPr>
              <w:t xml:space="preserve">Support to incident detection and response (by analysing threats and cybersecurity events) (A.2) making use of </w:t>
            </w:r>
            <w:r w:rsidRPr="00F5382B" w:rsidDel="00EF7392">
              <w:rPr>
                <w:rFonts w:eastAsia="Times New Roman"/>
                <w:noProof/>
                <w:color w:val="000000" w:themeColor="text1"/>
                <w:sz w:val="20"/>
                <w:szCs w:val="20"/>
                <w:lang w:eastAsia="en-IE"/>
              </w:rPr>
              <w:t xml:space="preserve">the single-entry point </w:t>
            </w:r>
            <w:r w:rsidRPr="00F5382B">
              <w:rPr>
                <w:rFonts w:eastAsia="Times New Roman"/>
                <w:noProof/>
                <w:color w:val="000000" w:themeColor="text1"/>
                <w:sz w:val="20"/>
                <w:szCs w:val="20"/>
                <w:lang w:eastAsia="en-IE"/>
              </w:rPr>
              <w:t xml:space="preserve">proposed under the Digital Omnibus </w:t>
            </w:r>
            <w:r w:rsidRPr="00F5382B" w:rsidDel="00EF7392">
              <w:rPr>
                <w:rFonts w:eastAsia="Times New Roman"/>
                <w:noProof/>
                <w:color w:val="000000" w:themeColor="text1"/>
                <w:sz w:val="20"/>
                <w:szCs w:val="20"/>
                <w:lang w:eastAsia="en-IE"/>
              </w:rPr>
              <w:t xml:space="preserve">and </w:t>
            </w:r>
            <w:r w:rsidRPr="00F5382B">
              <w:rPr>
                <w:rFonts w:eastAsia="Times New Roman"/>
                <w:noProof/>
                <w:color w:val="000000" w:themeColor="text1"/>
                <w:sz w:val="20"/>
                <w:szCs w:val="20"/>
                <w:lang w:eastAsia="en-IE"/>
              </w:rPr>
              <w:t>other simplification measures (C.2) enable quicker identification and coordination.</w:t>
            </w:r>
            <w:r w:rsidRPr="00F5382B">
              <w:rPr>
                <w:rFonts w:eastAsia="Times New Roman"/>
                <w:noProof/>
                <w:color w:val="000000" w:themeColor="text1"/>
                <w:sz w:val="20"/>
                <w:szCs w:val="20"/>
                <w:lang w:val="en-IE" w:eastAsia="en-IE"/>
              </w:rPr>
              <w:t> </w:t>
            </w:r>
          </w:p>
        </w:tc>
      </w:tr>
      <w:tr w:rsidR="00EE3DF9" w:rsidRPr="00F5382B" w14:paraId="50CA65B0" w14:textId="77777777" w:rsidTr="6BEA0960">
        <w:trPr>
          <w:trHeight w:val="300"/>
        </w:trPr>
        <w:tc>
          <w:tcPr>
            <w:tcW w:w="2311" w:type="dxa"/>
            <w:tcBorders>
              <w:top w:val="single" w:sz="6" w:space="0" w:color="auto"/>
              <w:left w:val="double" w:sz="6" w:space="0" w:color="auto"/>
              <w:bottom w:val="double" w:sz="6" w:space="0" w:color="auto"/>
              <w:right w:val="single" w:sz="6" w:space="0" w:color="auto"/>
            </w:tcBorders>
            <w:vAlign w:val="center"/>
          </w:tcPr>
          <w:p w14:paraId="5D570515"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Procedural efficiencies</w:t>
            </w:r>
          </w:p>
        </w:tc>
        <w:tc>
          <w:tcPr>
            <w:tcW w:w="2253" w:type="dxa"/>
            <w:tcBorders>
              <w:top w:val="single" w:sz="6" w:space="0" w:color="auto"/>
              <w:left w:val="single" w:sz="6" w:space="0" w:color="auto"/>
              <w:bottom w:val="double" w:sz="6" w:space="0" w:color="auto"/>
              <w:right w:val="single" w:sz="6" w:space="0" w:color="auto"/>
            </w:tcBorders>
            <w:vAlign w:val="center"/>
          </w:tcPr>
          <w:p w14:paraId="6E6AD6E9" w14:textId="77777777" w:rsidR="00EE3DF9" w:rsidRPr="00F5382B" w:rsidRDefault="00EE3DF9">
            <w:pPr>
              <w:spacing w:after="0"/>
              <w:textAlignment w:val="baseline"/>
              <w:rPr>
                <w:rFonts w:eastAsia="Times New Roman"/>
                <w:noProof/>
                <w:sz w:val="20"/>
                <w:szCs w:val="20"/>
                <w:lang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single" w:sz="6" w:space="0" w:color="auto"/>
              <w:left w:val="single" w:sz="6" w:space="0" w:color="auto"/>
              <w:bottom w:val="double" w:sz="6" w:space="0" w:color="auto"/>
              <w:right w:val="double" w:sz="6" w:space="0" w:color="auto"/>
            </w:tcBorders>
            <w:vAlign w:val="center"/>
          </w:tcPr>
          <w:p w14:paraId="13C39226"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b/>
                <w:bCs/>
                <w:noProof/>
                <w:color w:val="000000"/>
                <w:sz w:val="20"/>
                <w:szCs w:val="20"/>
                <w:lang w:eastAsia="en-IE"/>
              </w:rPr>
              <w:t>Main beneficiaries</w:t>
            </w:r>
            <w:r w:rsidRPr="00F5382B">
              <w:rPr>
                <w:rFonts w:eastAsia="Times New Roman"/>
                <w:noProof/>
                <w:color w:val="000000"/>
                <w:sz w:val="20"/>
                <w:szCs w:val="20"/>
                <w:lang w:eastAsia="en-IE"/>
              </w:rPr>
              <w:t>: Public authorities, ENISA, economic operators (A2, B2)</w:t>
            </w:r>
          </w:p>
        </w:tc>
      </w:tr>
      <w:tr w:rsidR="00EE3DF9" w:rsidRPr="00F5382B" w14:paraId="7892D087" w14:textId="77777777" w:rsidTr="6BEA0960">
        <w:trPr>
          <w:trHeight w:val="300"/>
        </w:trPr>
        <w:tc>
          <w:tcPr>
            <w:tcW w:w="2311" w:type="dxa"/>
            <w:tcBorders>
              <w:top w:val="single" w:sz="6" w:space="0" w:color="auto"/>
              <w:left w:val="double" w:sz="6" w:space="0" w:color="auto"/>
              <w:bottom w:val="double" w:sz="6" w:space="0" w:color="auto"/>
              <w:right w:val="single" w:sz="6" w:space="0" w:color="auto"/>
            </w:tcBorders>
            <w:vAlign w:val="center"/>
            <w:hideMark/>
          </w:tcPr>
          <w:p w14:paraId="7FABFF61"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Improved cross-border interoperability</w:t>
            </w:r>
            <w:r w:rsidRPr="00F5382B">
              <w:rPr>
                <w:rFonts w:eastAsia="Times New Roman"/>
                <w:noProof/>
                <w:color w:val="000000"/>
                <w:sz w:val="20"/>
                <w:szCs w:val="20"/>
                <w:lang w:val="en-IE" w:eastAsia="en-IE"/>
              </w:rPr>
              <w:t> </w:t>
            </w:r>
          </w:p>
        </w:tc>
        <w:tc>
          <w:tcPr>
            <w:tcW w:w="2253" w:type="dxa"/>
            <w:tcBorders>
              <w:top w:val="single" w:sz="6" w:space="0" w:color="auto"/>
              <w:left w:val="single" w:sz="6" w:space="0" w:color="auto"/>
              <w:bottom w:val="double" w:sz="6" w:space="0" w:color="auto"/>
              <w:right w:val="single" w:sz="6" w:space="0" w:color="auto"/>
            </w:tcBorders>
            <w:vAlign w:val="center"/>
            <w:hideMark/>
          </w:tcPr>
          <w:p w14:paraId="04712267"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single" w:sz="6" w:space="0" w:color="auto"/>
              <w:left w:val="single" w:sz="6" w:space="0" w:color="auto"/>
              <w:bottom w:val="double" w:sz="6" w:space="0" w:color="auto"/>
              <w:right w:val="double" w:sz="6" w:space="0" w:color="auto"/>
            </w:tcBorders>
            <w:vAlign w:val="center"/>
            <w:hideMark/>
          </w:tcPr>
          <w:p w14:paraId="03418E22"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Main beneficiaries:</w:t>
            </w:r>
            <w:r w:rsidRPr="00F5382B">
              <w:rPr>
                <w:rFonts w:eastAsia="Times New Roman"/>
                <w:noProof/>
                <w:color w:val="000000"/>
                <w:sz w:val="20"/>
                <w:szCs w:val="20"/>
                <w:lang w:eastAsia="en-IE"/>
              </w:rPr>
              <w:t xml:space="preserve"> National authorities, economic operators. </w:t>
            </w:r>
            <w:r w:rsidRPr="00F5382B">
              <w:rPr>
                <w:rFonts w:eastAsia="Times New Roman"/>
                <w:noProof/>
                <w:color w:val="000000"/>
                <w:sz w:val="20"/>
                <w:szCs w:val="20"/>
                <w:lang w:val="en-IE" w:eastAsia="en-IE"/>
              </w:rPr>
              <w:t> </w:t>
            </w:r>
          </w:p>
          <w:p w14:paraId="04F6511F" w14:textId="3722161E"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ENISA's enhanced role (A.2), common reporting/certification practices</w:t>
            </w:r>
            <w:r w:rsidRPr="00F5382B">
              <w:rPr>
                <w:noProof/>
              </w:rPr>
              <w:t xml:space="preserve"> </w:t>
            </w:r>
            <w:r w:rsidRPr="00F5382B">
              <w:rPr>
                <w:rFonts w:eastAsia="Times New Roman"/>
                <w:noProof/>
                <w:color w:val="000000"/>
                <w:sz w:val="20"/>
                <w:szCs w:val="20"/>
                <w:lang w:eastAsia="en-IE"/>
              </w:rPr>
              <w:t>improve EU-wide operational and data flows (B.2, C.2 ).</w:t>
            </w:r>
            <w:r w:rsidRPr="00F5382B">
              <w:rPr>
                <w:rFonts w:eastAsia="Times New Roman"/>
                <w:noProof/>
                <w:color w:val="000000"/>
                <w:sz w:val="20"/>
                <w:szCs w:val="20"/>
                <w:lang w:val="en-IE" w:eastAsia="en-IE"/>
              </w:rPr>
              <w:t> </w:t>
            </w:r>
          </w:p>
        </w:tc>
      </w:tr>
      <w:tr w:rsidR="00EE3DF9" w:rsidRPr="00F5382B" w14:paraId="078D50FF" w14:textId="77777777" w:rsidTr="6BEA0960">
        <w:trPr>
          <w:trHeight w:val="300"/>
        </w:trPr>
        <w:tc>
          <w:tcPr>
            <w:tcW w:w="2311" w:type="dxa"/>
            <w:tcBorders>
              <w:top w:val="double" w:sz="6" w:space="0" w:color="auto"/>
              <w:left w:val="double" w:sz="6" w:space="0" w:color="auto"/>
              <w:bottom w:val="double" w:sz="6" w:space="0" w:color="auto"/>
              <w:right w:val="single" w:sz="6" w:space="0" w:color="auto"/>
            </w:tcBorders>
            <w:vAlign w:val="center"/>
            <w:hideMark/>
          </w:tcPr>
          <w:p w14:paraId="3356B9B4"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Increased uptake of certification</w:t>
            </w:r>
            <w:r w:rsidRPr="00F5382B">
              <w:rPr>
                <w:rFonts w:eastAsia="Times New Roman"/>
                <w:noProof/>
                <w:color w:val="000000"/>
                <w:sz w:val="20"/>
                <w:szCs w:val="20"/>
                <w:lang w:val="en-IE" w:eastAsia="en-IE"/>
              </w:rPr>
              <w:t> </w:t>
            </w:r>
          </w:p>
        </w:tc>
        <w:tc>
          <w:tcPr>
            <w:tcW w:w="2253" w:type="dxa"/>
            <w:tcBorders>
              <w:top w:val="double" w:sz="6" w:space="0" w:color="auto"/>
              <w:left w:val="single" w:sz="6" w:space="0" w:color="auto"/>
              <w:bottom w:val="double" w:sz="6" w:space="0" w:color="auto"/>
              <w:right w:val="single" w:sz="6" w:space="0" w:color="auto"/>
            </w:tcBorders>
            <w:vAlign w:val="center"/>
            <w:hideMark/>
          </w:tcPr>
          <w:p w14:paraId="211F03E3"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double" w:sz="6" w:space="0" w:color="auto"/>
              <w:left w:val="single" w:sz="6" w:space="0" w:color="auto"/>
              <w:bottom w:val="double" w:sz="6" w:space="0" w:color="auto"/>
              <w:right w:val="double" w:sz="6" w:space="0" w:color="auto"/>
            </w:tcBorders>
            <w:vAlign w:val="center"/>
            <w:hideMark/>
          </w:tcPr>
          <w:p w14:paraId="3DE4D89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Main beneficiaries:</w:t>
            </w:r>
            <w:r w:rsidRPr="00F5382B">
              <w:rPr>
                <w:rFonts w:eastAsia="Times New Roman"/>
                <w:noProof/>
                <w:color w:val="000000"/>
                <w:sz w:val="20"/>
                <w:szCs w:val="20"/>
                <w:lang w:eastAsia="en-IE"/>
              </w:rPr>
              <w:t xml:space="preserve"> SMEs, economic operators, EU Citizens.</w:t>
            </w:r>
            <w:r w:rsidRPr="00F5382B">
              <w:rPr>
                <w:rFonts w:eastAsia="Times New Roman"/>
                <w:noProof/>
                <w:color w:val="000000"/>
                <w:sz w:val="20"/>
                <w:szCs w:val="20"/>
                <w:lang w:val="en-IE" w:eastAsia="en-IE"/>
              </w:rPr>
              <w:t> </w:t>
            </w:r>
          </w:p>
          <w:p w14:paraId="0F56948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Improved legal clarity (B.2) reduces uncertainty, encouraging more voluntary certification and trust-building.</w:t>
            </w:r>
            <w:r w:rsidRPr="00F5382B">
              <w:rPr>
                <w:rFonts w:eastAsia="Times New Roman"/>
                <w:noProof/>
                <w:color w:val="000000"/>
                <w:sz w:val="20"/>
                <w:szCs w:val="20"/>
                <w:lang w:val="en-IE" w:eastAsia="en-IE"/>
              </w:rPr>
              <w:t> </w:t>
            </w:r>
          </w:p>
        </w:tc>
      </w:tr>
      <w:tr w:rsidR="00EE3DF9" w:rsidRPr="00F5382B" w14:paraId="6DFA8920" w14:textId="77777777" w:rsidTr="6BEA0960">
        <w:trPr>
          <w:trHeight w:val="300"/>
        </w:trPr>
        <w:tc>
          <w:tcPr>
            <w:tcW w:w="2311" w:type="dxa"/>
            <w:tcBorders>
              <w:top w:val="double" w:sz="6" w:space="0" w:color="auto"/>
              <w:left w:val="double" w:sz="6" w:space="0" w:color="auto"/>
              <w:bottom w:val="double" w:sz="6" w:space="0" w:color="auto"/>
              <w:right w:val="single" w:sz="6" w:space="0" w:color="auto"/>
            </w:tcBorders>
            <w:vAlign w:val="center"/>
            <w:hideMark/>
          </w:tcPr>
          <w:p w14:paraId="5368F877"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Long-term efficiency gains</w:t>
            </w:r>
            <w:r w:rsidRPr="00F5382B">
              <w:rPr>
                <w:rFonts w:eastAsia="Times New Roman"/>
                <w:noProof/>
                <w:color w:val="000000"/>
                <w:sz w:val="20"/>
                <w:szCs w:val="20"/>
                <w:lang w:val="en-IE" w:eastAsia="en-IE"/>
              </w:rPr>
              <w:t> </w:t>
            </w:r>
          </w:p>
        </w:tc>
        <w:tc>
          <w:tcPr>
            <w:tcW w:w="2253" w:type="dxa"/>
            <w:tcBorders>
              <w:top w:val="double" w:sz="6" w:space="0" w:color="auto"/>
              <w:left w:val="single" w:sz="6" w:space="0" w:color="auto"/>
              <w:bottom w:val="double" w:sz="6" w:space="0" w:color="auto"/>
              <w:right w:val="single" w:sz="6" w:space="0" w:color="auto"/>
            </w:tcBorders>
            <w:vAlign w:val="center"/>
            <w:hideMark/>
          </w:tcPr>
          <w:p w14:paraId="7D10BF0C"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double" w:sz="6" w:space="0" w:color="auto"/>
              <w:left w:val="single" w:sz="6" w:space="0" w:color="auto"/>
              <w:bottom w:val="double" w:sz="6" w:space="0" w:color="auto"/>
              <w:right w:val="double" w:sz="6" w:space="0" w:color="auto"/>
            </w:tcBorders>
            <w:vAlign w:val="center"/>
            <w:hideMark/>
          </w:tcPr>
          <w:p w14:paraId="067E3D0D"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SMEs. </w:t>
            </w:r>
            <w:r w:rsidRPr="00F5382B">
              <w:rPr>
                <w:rFonts w:eastAsia="Times New Roman"/>
                <w:noProof/>
                <w:color w:val="000000"/>
                <w:sz w:val="20"/>
                <w:szCs w:val="20"/>
                <w:lang w:val="en-IE" w:eastAsia="en-IE"/>
              </w:rPr>
              <w:t> </w:t>
            </w:r>
          </w:p>
          <w:p w14:paraId="33F8E1C8"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Harmonised obligations (C.2) lower compliance costs over time by reducing reliance on legal consultants and internal admin capacity. </w:t>
            </w:r>
            <w:r w:rsidRPr="00F5382B">
              <w:rPr>
                <w:rFonts w:eastAsia="Times New Roman"/>
                <w:noProof/>
                <w:color w:val="000000"/>
                <w:sz w:val="20"/>
                <w:szCs w:val="20"/>
                <w:lang w:val="en-IE" w:eastAsia="en-IE"/>
              </w:rPr>
              <w:t> </w:t>
            </w:r>
          </w:p>
        </w:tc>
      </w:tr>
      <w:tr w:rsidR="00EE3DF9" w:rsidRPr="00F5382B" w14:paraId="18DFD1F6" w14:textId="77777777" w:rsidTr="6BEA0960">
        <w:trPr>
          <w:trHeight w:val="300"/>
        </w:trPr>
        <w:tc>
          <w:tcPr>
            <w:tcW w:w="8980" w:type="dxa"/>
            <w:gridSpan w:val="3"/>
            <w:tcBorders>
              <w:top w:val="double" w:sz="6" w:space="0" w:color="auto"/>
              <w:left w:val="double" w:sz="6" w:space="0" w:color="auto"/>
              <w:bottom w:val="single" w:sz="6" w:space="0" w:color="auto"/>
              <w:right w:val="double" w:sz="6" w:space="0" w:color="auto"/>
            </w:tcBorders>
            <w:shd w:val="clear" w:color="auto" w:fill="F2F2F2" w:themeFill="background1" w:themeFillShade="F2"/>
            <w:hideMark/>
          </w:tcPr>
          <w:p w14:paraId="3F6B77CD"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Indirect benefits</w:t>
            </w:r>
            <w:r w:rsidRPr="00F5382B">
              <w:rPr>
                <w:rFonts w:eastAsia="Times New Roman"/>
                <w:noProof/>
                <w:color w:val="000000"/>
                <w:sz w:val="20"/>
                <w:szCs w:val="20"/>
                <w:lang w:val="en-IE" w:eastAsia="en-IE"/>
              </w:rPr>
              <w:t> </w:t>
            </w:r>
          </w:p>
        </w:tc>
      </w:tr>
      <w:tr w:rsidR="00EE3DF9" w:rsidRPr="00F5382B" w14:paraId="679A45E3"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tcPr>
          <w:p w14:paraId="5D867FB7"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 xml:space="preserve">Cyber resilience and technological sovereignty </w:t>
            </w:r>
          </w:p>
        </w:tc>
        <w:tc>
          <w:tcPr>
            <w:tcW w:w="2253" w:type="dxa"/>
            <w:tcBorders>
              <w:top w:val="nil"/>
              <w:left w:val="single" w:sz="6" w:space="0" w:color="auto"/>
              <w:bottom w:val="single" w:sz="6" w:space="0" w:color="auto"/>
              <w:right w:val="single" w:sz="6" w:space="0" w:color="auto"/>
            </w:tcBorders>
            <w:vAlign w:val="center"/>
          </w:tcPr>
          <w:p w14:paraId="0BDE75E9" w14:textId="77777777" w:rsidR="00EE3DF9" w:rsidRPr="00F5382B" w:rsidRDefault="00EE3DF9">
            <w:pPr>
              <w:spacing w:after="0"/>
              <w:textAlignment w:val="baseline"/>
              <w:rPr>
                <w:rFonts w:eastAsia="Times New Roman"/>
                <w:noProof/>
                <w:sz w:val="20"/>
                <w:szCs w:val="20"/>
                <w:lang w:eastAsia="en-IE"/>
              </w:rPr>
            </w:pPr>
            <w:r w:rsidRPr="00F5382B">
              <w:rPr>
                <w:rFonts w:eastAsia="Times New Roman"/>
                <w:noProof/>
                <w:sz w:val="20"/>
                <w:szCs w:val="20"/>
                <w:lang w:eastAsia="en-IE"/>
              </w:rPr>
              <w:t xml:space="preserve">Not monetised </w:t>
            </w:r>
          </w:p>
        </w:tc>
        <w:tc>
          <w:tcPr>
            <w:tcW w:w="4416" w:type="dxa"/>
            <w:tcBorders>
              <w:top w:val="nil"/>
              <w:left w:val="single" w:sz="6" w:space="0" w:color="auto"/>
              <w:bottom w:val="single" w:sz="6" w:space="0" w:color="auto"/>
              <w:right w:val="double" w:sz="6" w:space="0" w:color="auto"/>
            </w:tcBorders>
            <w:vAlign w:val="center"/>
          </w:tcPr>
          <w:p w14:paraId="705E2ABB" w14:textId="31B73BEA" w:rsidR="00EE3DF9" w:rsidRPr="00F5382B" w:rsidRDefault="00EE3DF9">
            <w:pPr>
              <w:spacing w:after="0"/>
              <w:jc w:val="left"/>
              <w:textAlignment w:val="baseline"/>
              <w:rPr>
                <w:rFonts w:eastAsia="Times New Roman"/>
                <w:b/>
                <w:bCs/>
                <w:noProof/>
                <w:color w:val="000000"/>
                <w:sz w:val="20"/>
                <w:szCs w:val="20"/>
                <w:lang w:eastAsia="en-IE"/>
              </w:rPr>
            </w:pPr>
            <w:r w:rsidRPr="00F5382B">
              <w:rPr>
                <w:rFonts w:eastAsia="Times New Roman"/>
                <w:b/>
                <w:bCs/>
                <w:noProof/>
                <w:color w:val="000000"/>
                <w:sz w:val="20"/>
                <w:szCs w:val="20"/>
                <w:lang w:eastAsia="en-IE"/>
              </w:rPr>
              <w:t>Main beneficiaries</w:t>
            </w:r>
            <w:r w:rsidRPr="00F5382B">
              <w:rPr>
                <w:rFonts w:eastAsia="Times New Roman"/>
                <w:noProof/>
                <w:color w:val="000000"/>
                <w:sz w:val="20"/>
                <w:szCs w:val="20"/>
                <w:lang w:eastAsia="en-IE"/>
              </w:rPr>
              <w:t xml:space="preserve">: EU institutions, economic operators, citizens, public authorities. </w:t>
            </w:r>
          </w:p>
        </w:tc>
      </w:tr>
      <w:tr w:rsidR="00EE3DF9" w:rsidRPr="00F5382B" w14:paraId="62A25B67"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tcPr>
          <w:p w14:paraId="2477FC58" w14:textId="2FA9B5F9" w:rsidR="00EE3DF9" w:rsidRPr="00F5382B" w:rsidRDefault="00EE3DF9">
            <w:pPr>
              <w:spacing w:after="0"/>
              <w:jc w:val="left"/>
              <w:textAlignment w:val="baseline"/>
              <w:rPr>
                <w:rFonts w:eastAsia="Times New Roman"/>
                <w:noProof/>
                <w:color w:val="000000"/>
                <w:sz w:val="20"/>
                <w:szCs w:val="20"/>
                <w:lang w:eastAsia="en-IE"/>
              </w:rPr>
            </w:pPr>
          </w:p>
        </w:tc>
        <w:tc>
          <w:tcPr>
            <w:tcW w:w="2253" w:type="dxa"/>
            <w:tcBorders>
              <w:top w:val="nil"/>
              <w:left w:val="single" w:sz="6" w:space="0" w:color="auto"/>
              <w:bottom w:val="single" w:sz="6" w:space="0" w:color="auto"/>
              <w:right w:val="single" w:sz="6" w:space="0" w:color="auto"/>
            </w:tcBorders>
            <w:vAlign w:val="center"/>
          </w:tcPr>
          <w:p w14:paraId="2A187E82" w14:textId="3DC4BFFC" w:rsidR="00EE3DF9" w:rsidRPr="00F5382B" w:rsidRDefault="00EE3DF9">
            <w:pPr>
              <w:spacing w:after="0"/>
              <w:textAlignment w:val="baseline"/>
              <w:rPr>
                <w:rFonts w:eastAsia="Times New Roman"/>
                <w:noProof/>
                <w:sz w:val="20"/>
                <w:szCs w:val="20"/>
                <w:lang w:eastAsia="en-IE"/>
              </w:rPr>
            </w:pPr>
          </w:p>
        </w:tc>
        <w:tc>
          <w:tcPr>
            <w:tcW w:w="4416" w:type="dxa"/>
            <w:tcBorders>
              <w:top w:val="nil"/>
              <w:left w:val="single" w:sz="6" w:space="0" w:color="auto"/>
              <w:bottom w:val="single" w:sz="6" w:space="0" w:color="auto"/>
              <w:right w:val="double" w:sz="6" w:space="0" w:color="auto"/>
            </w:tcBorders>
            <w:vAlign w:val="center"/>
          </w:tcPr>
          <w:p w14:paraId="08BA0018" w14:textId="3F529E45" w:rsidR="00EE3DF9" w:rsidRPr="00F5382B" w:rsidRDefault="00EE3DF9">
            <w:pPr>
              <w:spacing w:after="0"/>
              <w:jc w:val="left"/>
              <w:textAlignment w:val="baseline"/>
              <w:rPr>
                <w:rFonts w:eastAsia="Times New Roman"/>
                <w:noProof/>
                <w:color w:val="000000"/>
                <w:sz w:val="20"/>
                <w:szCs w:val="20"/>
                <w:lang w:eastAsia="en-IE"/>
              </w:rPr>
            </w:pPr>
          </w:p>
        </w:tc>
      </w:tr>
      <w:tr w:rsidR="00EE3DF9" w:rsidRPr="00F5382B" w14:paraId="42A4454D"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hideMark/>
          </w:tcPr>
          <w:p w14:paraId="09997196"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Enhanced trust in digital services</w:t>
            </w:r>
            <w:r w:rsidRPr="00F5382B">
              <w:rPr>
                <w:rFonts w:eastAsia="Times New Roman"/>
                <w:noProof/>
                <w:color w:val="000000"/>
                <w:sz w:val="20"/>
                <w:szCs w:val="20"/>
                <w:lang w:val="en-IE" w:eastAsia="en-IE"/>
              </w:rPr>
              <w:t> </w:t>
            </w:r>
          </w:p>
        </w:tc>
        <w:tc>
          <w:tcPr>
            <w:tcW w:w="2253" w:type="dxa"/>
            <w:tcBorders>
              <w:top w:val="nil"/>
              <w:left w:val="single" w:sz="6" w:space="0" w:color="auto"/>
              <w:bottom w:val="single" w:sz="6" w:space="0" w:color="auto"/>
              <w:right w:val="single" w:sz="6" w:space="0" w:color="auto"/>
            </w:tcBorders>
            <w:vAlign w:val="center"/>
            <w:hideMark/>
          </w:tcPr>
          <w:p w14:paraId="5EA741EF"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nil"/>
              <w:left w:val="single" w:sz="6" w:space="0" w:color="auto"/>
              <w:bottom w:val="single" w:sz="6" w:space="0" w:color="auto"/>
              <w:right w:val="double" w:sz="6" w:space="0" w:color="auto"/>
            </w:tcBorders>
            <w:vAlign w:val="center"/>
            <w:hideMark/>
          </w:tcPr>
          <w:p w14:paraId="519961BD"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Consumers and businesses. </w:t>
            </w:r>
            <w:r w:rsidRPr="00F5382B">
              <w:rPr>
                <w:rFonts w:eastAsia="Times New Roman"/>
                <w:noProof/>
                <w:color w:val="000000"/>
                <w:sz w:val="20"/>
                <w:szCs w:val="20"/>
                <w:lang w:val="en-IE" w:eastAsia="en-IE"/>
              </w:rPr>
              <w:t> </w:t>
            </w:r>
          </w:p>
          <w:p w14:paraId="0447696E" w14:textId="7B06C20C"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Increased certification uptake (B.2) and improved incident handling (A.2) build digital trust and market confidence</w:t>
            </w:r>
            <w:r w:rsidRPr="00F5382B">
              <w:rPr>
                <w:rFonts w:eastAsia="Times New Roman"/>
                <w:noProof/>
                <w:color w:val="000000"/>
                <w:sz w:val="20"/>
                <w:szCs w:val="20"/>
                <w:lang w:val="en-IE" w:eastAsia="en-IE"/>
              </w:rPr>
              <w:t> </w:t>
            </w:r>
          </w:p>
        </w:tc>
      </w:tr>
      <w:tr w:rsidR="00EE3DF9" w:rsidRPr="00F5382B" w14:paraId="70EF9597"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hideMark/>
          </w:tcPr>
          <w:p w14:paraId="3303787C"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Internal Market</w:t>
            </w:r>
            <w:r w:rsidRPr="00F5382B">
              <w:rPr>
                <w:rFonts w:eastAsia="Times New Roman"/>
                <w:noProof/>
                <w:color w:val="000000"/>
                <w:sz w:val="20"/>
                <w:szCs w:val="20"/>
                <w:lang w:val="en-IE" w:eastAsia="en-IE"/>
              </w:rPr>
              <w:t> </w:t>
            </w:r>
          </w:p>
        </w:tc>
        <w:tc>
          <w:tcPr>
            <w:tcW w:w="2253" w:type="dxa"/>
            <w:tcBorders>
              <w:top w:val="single" w:sz="6" w:space="0" w:color="auto"/>
              <w:left w:val="single" w:sz="6" w:space="0" w:color="auto"/>
              <w:bottom w:val="single" w:sz="6" w:space="0" w:color="auto"/>
              <w:right w:val="single" w:sz="6" w:space="0" w:color="auto"/>
            </w:tcBorders>
            <w:vAlign w:val="center"/>
            <w:hideMark/>
          </w:tcPr>
          <w:p w14:paraId="2731FAE6"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single" w:sz="6" w:space="0" w:color="auto"/>
              <w:left w:val="single" w:sz="6" w:space="0" w:color="auto"/>
              <w:bottom w:val="single" w:sz="6" w:space="0" w:color="auto"/>
              <w:right w:val="double" w:sz="6" w:space="0" w:color="auto"/>
            </w:tcBorders>
            <w:vAlign w:val="center"/>
            <w:hideMark/>
          </w:tcPr>
          <w:p w14:paraId="437318D4"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Cross-border operators, consumers. </w:t>
            </w:r>
            <w:r w:rsidRPr="00F5382B">
              <w:rPr>
                <w:rFonts w:eastAsia="Times New Roman"/>
                <w:noProof/>
                <w:color w:val="000000"/>
                <w:sz w:val="20"/>
                <w:szCs w:val="20"/>
                <w:lang w:val="en-IE" w:eastAsia="en-IE"/>
              </w:rPr>
              <w:t> </w:t>
            </w:r>
          </w:p>
          <w:p w14:paraId="318C5D99" w14:textId="40F926E2"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Harmonised certification, cybersecurity risk managements requirements and reporting frameworks</w:t>
            </w:r>
            <w:r>
              <w:rPr>
                <w:rFonts w:eastAsia="Times New Roman"/>
                <w:noProof/>
                <w:color w:val="000000"/>
                <w:sz w:val="20"/>
                <w:szCs w:val="20"/>
                <w:lang w:eastAsia="en-IE"/>
              </w:rPr>
              <w:t xml:space="preserve"> </w:t>
            </w:r>
            <w:r w:rsidRPr="00F5382B" w:rsidDel="00EE3F55">
              <w:rPr>
                <w:rFonts w:eastAsia="Times New Roman"/>
                <w:noProof/>
                <w:color w:val="000000"/>
                <w:sz w:val="20"/>
                <w:szCs w:val="20"/>
                <w:lang w:eastAsia="en-IE"/>
              </w:rPr>
              <w:t xml:space="preserve">and </w:t>
            </w:r>
            <w:r w:rsidR="001D0836">
              <w:rPr>
                <w:rFonts w:eastAsia="Times New Roman"/>
                <w:noProof/>
                <w:color w:val="000000"/>
                <w:sz w:val="20"/>
                <w:szCs w:val="20"/>
                <w:lang w:eastAsia="en-IE"/>
              </w:rPr>
              <w:t>[…]</w:t>
            </w:r>
            <w:r w:rsidRPr="00F5382B">
              <w:rPr>
                <w:rFonts w:eastAsia="Times New Roman"/>
                <w:noProof/>
                <w:color w:val="000000"/>
                <w:sz w:val="20"/>
                <w:szCs w:val="20"/>
                <w:lang w:eastAsia="en-IE"/>
              </w:rPr>
              <w:t xml:space="preserve"> reduce fragmentation and ease access to new markets. Enhancing the EU Single Market.</w:t>
            </w:r>
            <w:r w:rsidRPr="00F5382B">
              <w:rPr>
                <w:rFonts w:eastAsia="Times New Roman"/>
                <w:noProof/>
                <w:color w:val="000000"/>
                <w:sz w:val="20"/>
                <w:szCs w:val="20"/>
                <w:lang w:val="en-IE" w:eastAsia="en-IE"/>
              </w:rPr>
              <w:t> </w:t>
            </w:r>
          </w:p>
        </w:tc>
      </w:tr>
      <w:tr w:rsidR="00EE3DF9" w:rsidRPr="00F5382B" w14:paraId="757E1179"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hideMark/>
          </w:tcPr>
          <w:p w14:paraId="324AA7FC"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Better alignment with EU policy goals</w:t>
            </w:r>
            <w:r w:rsidRPr="00F5382B">
              <w:rPr>
                <w:rFonts w:eastAsia="Times New Roman"/>
                <w:noProof/>
                <w:color w:val="000000"/>
                <w:sz w:val="20"/>
                <w:szCs w:val="20"/>
                <w:lang w:val="en-IE" w:eastAsia="en-IE"/>
              </w:rPr>
              <w:t> </w:t>
            </w:r>
          </w:p>
        </w:tc>
        <w:tc>
          <w:tcPr>
            <w:tcW w:w="2253" w:type="dxa"/>
            <w:tcBorders>
              <w:top w:val="single" w:sz="6" w:space="0" w:color="auto"/>
              <w:left w:val="single" w:sz="6" w:space="0" w:color="auto"/>
              <w:bottom w:val="single" w:sz="6" w:space="0" w:color="auto"/>
              <w:right w:val="single" w:sz="6" w:space="0" w:color="auto"/>
            </w:tcBorders>
            <w:vAlign w:val="center"/>
            <w:hideMark/>
          </w:tcPr>
          <w:p w14:paraId="751B3833"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Not monetised</w:t>
            </w:r>
            <w:r w:rsidRPr="00F5382B">
              <w:rPr>
                <w:rFonts w:eastAsia="Times New Roman"/>
                <w:noProof/>
                <w:sz w:val="20"/>
                <w:szCs w:val="20"/>
                <w:lang w:val="en-IE" w:eastAsia="en-IE"/>
              </w:rPr>
              <w:t> </w:t>
            </w:r>
          </w:p>
        </w:tc>
        <w:tc>
          <w:tcPr>
            <w:tcW w:w="4416" w:type="dxa"/>
            <w:tcBorders>
              <w:top w:val="single" w:sz="6" w:space="0" w:color="auto"/>
              <w:left w:val="single" w:sz="6" w:space="0" w:color="auto"/>
              <w:bottom w:val="single" w:sz="6" w:space="0" w:color="auto"/>
              <w:right w:val="double" w:sz="6" w:space="0" w:color="auto"/>
            </w:tcBorders>
            <w:vAlign w:val="center"/>
            <w:hideMark/>
          </w:tcPr>
          <w:p w14:paraId="3047EB93"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EU institutions and Member States. </w:t>
            </w:r>
            <w:r w:rsidRPr="00F5382B">
              <w:rPr>
                <w:rFonts w:eastAsia="Times New Roman"/>
                <w:noProof/>
                <w:color w:val="000000"/>
                <w:sz w:val="20"/>
                <w:szCs w:val="20"/>
                <w:lang w:val="en-IE" w:eastAsia="en-IE"/>
              </w:rPr>
              <w:t> </w:t>
            </w:r>
          </w:p>
          <w:p w14:paraId="5225215F" w14:textId="3414599A"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Supports the EU’s “green oath” and REFIT principles of simplification and digital readiness. More agile and integrated certification supports EU policy goals.</w:t>
            </w:r>
            <w:r w:rsidRPr="00F5382B">
              <w:rPr>
                <w:rFonts w:eastAsia="Times New Roman"/>
                <w:noProof/>
                <w:color w:val="000000"/>
                <w:sz w:val="20"/>
                <w:szCs w:val="20"/>
                <w:lang w:val="en-IE" w:eastAsia="en-IE"/>
              </w:rPr>
              <w:t> </w:t>
            </w:r>
          </w:p>
        </w:tc>
      </w:tr>
      <w:tr w:rsidR="00EE3DF9" w:rsidRPr="00F5382B" w14:paraId="1760D959" w14:textId="77777777" w:rsidTr="6BEA0960">
        <w:trPr>
          <w:trHeight w:val="300"/>
        </w:trPr>
        <w:tc>
          <w:tcPr>
            <w:tcW w:w="8980" w:type="dxa"/>
            <w:gridSpan w:val="3"/>
            <w:tcBorders>
              <w:top w:val="single" w:sz="6" w:space="0" w:color="auto"/>
              <w:left w:val="double" w:sz="6" w:space="0" w:color="auto"/>
              <w:bottom w:val="single" w:sz="6" w:space="0" w:color="auto"/>
              <w:right w:val="double" w:sz="6" w:space="0" w:color="auto"/>
            </w:tcBorders>
            <w:shd w:val="clear" w:color="auto" w:fill="F2F2F2" w:themeFill="background1" w:themeFillShade="F2"/>
            <w:vAlign w:val="center"/>
            <w:hideMark/>
          </w:tcPr>
          <w:p w14:paraId="0071589B"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i/>
                <w:iCs/>
                <w:noProof/>
                <w:color w:val="000000"/>
                <w:sz w:val="20"/>
                <w:szCs w:val="20"/>
                <w:lang w:eastAsia="en-IE"/>
              </w:rPr>
              <w:t>Administrative cost savings related to the “One in, one out approach”</w:t>
            </w:r>
            <w:r w:rsidRPr="00F5382B">
              <w:rPr>
                <w:rFonts w:eastAsia="Times New Roman"/>
                <w:noProof/>
                <w:color w:val="000000"/>
                <w:sz w:val="20"/>
                <w:szCs w:val="20"/>
                <w:lang w:val="en-IE" w:eastAsia="en-IE"/>
              </w:rPr>
              <w:t> </w:t>
            </w:r>
          </w:p>
        </w:tc>
      </w:tr>
      <w:tr w:rsidR="00EE3DF9" w:rsidRPr="00F5382B" w14:paraId="7951E35A" w14:textId="77777777" w:rsidTr="6BEA0960">
        <w:trPr>
          <w:trHeight w:val="300"/>
        </w:trPr>
        <w:tc>
          <w:tcPr>
            <w:tcW w:w="2311" w:type="dxa"/>
            <w:tcBorders>
              <w:top w:val="single" w:sz="6" w:space="0" w:color="auto"/>
              <w:left w:val="double" w:sz="6" w:space="0" w:color="auto"/>
              <w:bottom w:val="single" w:sz="6" w:space="0" w:color="auto"/>
              <w:right w:val="single" w:sz="6" w:space="0" w:color="auto"/>
            </w:tcBorders>
            <w:vAlign w:val="center"/>
            <w:hideMark/>
          </w:tcPr>
          <w:p w14:paraId="797EF728"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Compliance cost reductions for businesses</w:t>
            </w:r>
          </w:p>
        </w:tc>
        <w:tc>
          <w:tcPr>
            <w:tcW w:w="2253" w:type="dxa"/>
            <w:tcBorders>
              <w:top w:val="nil"/>
              <w:left w:val="single" w:sz="6" w:space="0" w:color="auto"/>
              <w:bottom w:val="single" w:sz="4" w:space="0" w:color="auto"/>
              <w:right w:val="single" w:sz="6" w:space="0" w:color="auto"/>
            </w:tcBorders>
            <w:vAlign w:val="center"/>
            <w:hideMark/>
          </w:tcPr>
          <w:p w14:paraId="16DCBE58" w14:textId="0DE2991D" w:rsidR="00EE3DF9" w:rsidRPr="00F5382B" w:rsidRDefault="21872ACF">
            <w:pPr>
              <w:spacing w:after="0"/>
              <w:textAlignment w:val="baseline"/>
              <w:rPr>
                <w:rFonts w:eastAsia="Times New Roman"/>
                <w:noProof/>
                <w:sz w:val="20"/>
                <w:szCs w:val="20"/>
                <w:lang w:val="en-IE" w:eastAsia="en-IE"/>
              </w:rPr>
            </w:pPr>
            <w:r w:rsidRPr="6BEA0960">
              <w:rPr>
                <w:rFonts w:eastAsia="Times New Roman"/>
                <w:noProof/>
                <w:sz w:val="20"/>
                <w:szCs w:val="20"/>
                <w:lang w:eastAsia="en-IE"/>
              </w:rPr>
              <w:t xml:space="preserve"> </w:t>
            </w:r>
            <w:r w:rsidRPr="6BEA0960">
              <w:rPr>
                <w:rFonts w:eastAsia="Times New Roman"/>
                <w:b/>
                <w:bCs/>
                <w:noProof/>
                <w:sz w:val="20"/>
                <w:szCs w:val="20"/>
                <w:lang w:eastAsia="en-IE"/>
              </w:rPr>
              <w:t>1</w:t>
            </w:r>
            <w:r w:rsidR="4DF17E89" w:rsidRPr="6BEA0960">
              <w:rPr>
                <w:rFonts w:eastAsia="Times New Roman"/>
                <w:b/>
                <w:bCs/>
                <w:noProof/>
                <w:sz w:val="20"/>
                <w:szCs w:val="20"/>
                <w:lang w:eastAsia="en-IE"/>
              </w:rPr>
              <w:t>4</w:t>
            </w:r>
            <w:r w:rsidRPr="6BEA0960">
              <w:rPr>
                <w:rFonts w:eastAsia="Times New Roman"/>
                <w:b/>
                <w:bCs/>
                <w:noProof/>
                <w:sz w:val="20"/>
                <w:szCs w:val="20"/>
                <w:lang w:eastAsia="en-IE"/>
              </w:rPr>
              <w:t>.</w:t>
            </w:r>
            <w:r>
              <w:rPr>
                <w:rFonts w:eastAsia="Times New Roman"/>
                <w:b/>
                <w:bCs/>
                <w:noProof/>
                <w:sz w:val="20"/>
                <w:szCs w:val="20"/>
                <w:lang w:eastAsia="en-IE"/>
              </w:rPr>
              <w:t>6</w:t>
            </w:r>
            <w:r w:rsidRPr="6BEA0960">
              <w:rPr>
                <w:rFonts w:eastAsia="Times New Roman"/>
                <w:b/>
                <w:bCs/>
                <w:noProof/>
                <w:sz w:val="20"/>
                <w:szCs w:val="20"/>
                <w:lang w:eastAsia="en-IE"/>
              </w:rPr>
              <w:t xml:space="preserve"> billion EUR</w:t>
            </w:r>
            <w:r w:rsidRPr="6BEA0960">
              <w:rPr>
                <w:rFonts w:eastAsia="Times New Roman"/>
                <w:noProof/>
                <w:sz w:val="20"/>
                <w:szCs w:val="20"/>
                <w:lang w:eastAsia="en-IE"/>
              </w:rPr>
              <w:t xml:space="preserve"> over five years</w:t>
            </w:r>
            <w:r w:rsidRPr="6BEA0960">
              <w:rPr>
                <w:rFonts w:eastAsia="Times New Roman"/>
                <w:noProof/>
                <w:sz w:val="20"/>
                <w:szCs w:val="20"/>
                <w:lang w:val="en-IE" w:eastAsia="en-IE"/>
              </w:rPr>
              <w:t xml:space="preserve">, of which </w:t>
            </w:r>
            <w:r w:rsidR="6D932566" w:rsidRPr="6BEA0960">
              <w:rPr>
                <w:rFonts w:eastAsia="Times New Roman"/>
                <w:b/>
                <w:bCs/>
                <w:noProof/>
                <w:sz w:val="20"/>
                <w:szCs w:val="20"/>
                <w:lang w:val="en-IE" w:eastAsia="en-IE"/>
              </w:rPr>
              <w:t>2</w:t>
            </w:r>
            <w:r w:rsidRPr="6BEA0960">
              <w:rPr>
                <w:rFonts w:eastAsia="Times New Roman"/>
                <w:b/>
                <w:bCs/>
                <w:noProof/>
                <w:sz w:val="20"/>
                <w:szCs w:val="20"/>
                <w:lang w:val="en-IE" w:eastAsia="en-IE"/>
              </w:rPr>
              <w:t>.</w:t>
            </w:r>
            <w:r>
              <w:rPr>
                <w:rFonts w:eastAsia="Times New Roman"/>
                <w:b/>
                <w:bCs/>
                <w:noProof/>
                <w:sz w:val="20"/>
                <w:szCs w:val="20"/>
                <w:lang w:val="en-IE" w:eastAsia="en-IE"/>
              </w:rPr>
              <w:t>4</w:t>
            </w:r>
            <w:r w:rsidRPr="6BEA0960">
              <w:rPr>
                <w:rFonts w:eastAsia="Times New Roman"/>
                <w:b/>
                <w:bCs/>
                <w:noProof/>
                <w:sz w:val="20"/>
                <w:szCs w:val="20"/>
                <w:lang w:val="en-IE" w:eastAsia="en-IE"/>
              </w:rPr>
              <w:t xml:space="preserve"> </w:t>
            </w:r>
            <w:r w:rsidRPr="6BEA0960">
              <w:rPr>
                <w:rFonts w:eastAsia="Times New Roman"/>
                <w:noProof/>
                <w:sz w:val="20"/>
                <w:szCs w:val="20"/>
                <w:lang w:val="en-IE" w:eastAsia="en-IE"/>
              </w:rPr>
              <w:t xml:space="preserve">bn EUR (EUR 1.35bn + EUR 1.06bn + EUR </w:t>
            </w:r>
            <w:r>
              <w:rPr>
                <w:rFonts w:eastAsia="Times New Roman"/>
                <w:noProof/>
                <w:sz w:val="20"/>
                <w:szCs w:val="20"/>
                <w:lang w:val="en-IE" w:eastAsia="en-IE"/>
              </w:rPr>
              <w:t xml:space="preserve">30 </w:t>
            </w:r>
            <w:r w:rsidRPr="6BEA0960">
              <w:rPr>
                <w:rFonts w:eastAsia="Times New Roman"/>
                <w:noProof/>
                <w:sz w:val="20"/>
                <w:szCs w:val="20"/>
                <w:lang w:val="en-IE" w:eastAsia="en-IE"/>
              </w:rPr>
              <w:t>m</w:t>
            </w:r>
            <w:r w:rsidR="72EE04C3" w:rsidRPr="6BEA0960">
              <w:rPr>
                <w:rFonts w:eastAsia="Times New Roman"/>
                <w:noProof/>
                <w:sz w:val="20"/>
                <w:szCs w:val="20"/>
                <w:lang w:val="en-IE" w:eastAsia="en-IE"/>
              </w:rPr>
              <w:t>illio</w:t>
            </w:r>
            <w:r w:rsidRPr="6BEA0960">
              <w:rPr>
                <w:rFonts w:eastAsia="Times New Roman"/>
                <w:noProof/>
                <w:sz w:val="20"/>
                <w:szCs w:val="20"/>
                <w:lang w:val="en-IE" w:eastAsia="en-IE"/>
              </w:rPr>
              <w:t>n) in administrative costs</w:t>
            </w:r>
          </w:p>
        </w:tc>
        <w:tc>
          <w:tcPr>
            <w:tcW w:w="4416" w:type="dxa"/>
            <w:tcBorders>
              <w:top w:val="nil"/>
              <w:left w:val="single" w:sz="6" w:space="0" w:color="auto"/>
              <w:bottom w:val="single" w:sz="4" w:space="0" w:color="auto"/>
              <w:right w:val="double" w:sz="6" w:space="0" w:color="auto"/>
            </w:tcBorders>
            <w:vAlign w:val="center"/>
            <w:hideMark/>
          </w:tcPr>
          <w:p w14:paraId="2D7EFB21" w14:textId="77777777" w:rsidR="00EE3DF9" w:rsidRPr="00F5382B" w:rsidRDefault="00EE3DF9">
            <w:pPr>
              <w:spacing w:after="0"/>
              <w:jc w:val="left"/>
              <w:textAlignment w:val="baseline"/>
              <w:rPr>
                <w:rFonts w:eastAsia="Times New Roman"/>
                <w:noProof/>
                <w:color w:val="000000"/>
                <w:sz w:val="20"/>
                <w:szCs w:val="20"/>
                <w:lang w:val="en-IE" w:eastAsia="en-IE"/>
              </w:rPr>
            </w:pPr>
            <w:r w:rsidRPr="00F5382B">
              <w:rPr>
                <w:rFonts w:eastAsia="Times New Roman"/>
                <w:b/>
                <w:noProof/>
                <w:color w:val="000000"/>
                <w:sz w:val="20"/>
                <w:szCs w:val="20"/>
                <w:lang w:eastAsia="en-IE"/>
              </w:rPr>
              <w:t xml:space="preserve">Main beneficiaries: </w:t>
            </w:r>
            <w:r w:rsidRPr="00F5382B">
              <w:rPr>
                <w:rFonts w:eastAsia="Times New Roman"/>
                <w:noProof/>
                <w:color w:val="000000"/>
                <w:sz w:val="20"/>
                <w:szCs w:val="20"/>
                <w:lang w:eastAsia="en-IE"/>
              </w:rPr>
              <w:t>SMEs and economic operators covered by NIS2. </w:t>
            </w:r>
            <w:r w:rsidRPr="00F5382B">
              <w:rPr>
                <w:rFonts w:eastAsia="Times New Roman"/>
                <w:noProof/>
                <w:color w:val="000000"/>
                <w:sz w:val="20"/>
                <w:szCs w:val="20"/>
                <w:lang w:val="en-IE" w:eastAsia="en-IE"/>
              </w:rPr>
              <w:t> </w:t>
            </w:r>
            <w:r w:rsidRPr="00F5382B">
              <w:rPr>
                <w:rFonts w:eastAsia="Times New Roman"/>
                <w:noProof/>
                <w:color w:val="000000"/>
                <w:sz w:val="20"/>
                <w:szCs w:val="20"/>
                <w:lang w:eastAsia="en-IE"/>
              </w:rPr>
              <w:t>Savings arise from simplified compliance (C.2) and fewer legal interpretations needed, and lower administrative costs.</w:t>
            </w:r>
            <w:r w:rsidRPr="00F5382B">
              <w:rPr>
                <w:rFonts w:eastAsia="Times New Roman"/>
                <w:noProof/>
                <w:color w:val="000000"/>
                <w:sz w:val="20"/>
                <w:szCs w:val="20"/>
                <w:lang w:val="en-IE" w:eastAsia="en-IE"/>
              </w:rPr>
              <w:t> </w:t>
            </w:r>
          </w:p>
          <w:p w14:paraId="7B74ED90" w14:textId="77777777" w:rsidR="00EE3DF9" w:rsidRPr="00F5382B" w:rsidRDefault="00EE3DF9" w:rsidP="00D52AD8">
            <w:pPr>
              <w:pStyle w:val="ListParagraph"/>
              <w:numPr>
                <w:ilvl w:val="0"/>
                <w:numId w:val="116"/>
              </w:numPr>
              <w:rPr>
                <w:noProof/>
                <w:sz w:val="20"/>
                <w:szCs w:val="20"/>
              </w:rPr>
            </w:pPr>
            <w:r w:rsidRPr="00F5382B">
              <w:rPr>
                <w:noProof/>
                <w:sz w:val="20"/>
                <w:szCs w:val="20"/>
              </w:rPr>
              <w:t xml:space="preserve">NIS2 scope removals for DNS service providers and other entities: EUR 2.7 bn per year (EUR 94 355 per entity for 28 700 entities). Of the reduced compliance costs, EUR 270 million are categorised as administrative costs. </w:t>
            </w:r>
          </w:p>
          <w:p w14:paraId="4FCA9F94" w14:textId="77777777" w:rsidR="00EE3DF9" w:rsidRPr="00F5382B" w:rsidRDefault="00EE3DF9" w:rsidP="00D52AD8">
            <w:pPr>
              <w:pStyle w:val="ListParagraph"/>
              <w:numPr>
                <w:ilvl w:val="0"/>
                <w:numId w:val="116"/>
              </w:numPr>
              <w:rPr>
                <w:noProof/>
                <w:sz w:val="20"/>
                <w:szCs w:val="20"/>
              </w:rPr>
            </w:pPr>
            <w:r w:rsidRPr="00F5382B">
              <w:rPr>
                <w:noProof/>
                <w:sz w:val="20"/>
                <w:szCs w:val="20"/>
              </w:rPr>
              <w:t xml:space="preserve">NIS2 new mid-cap category: EUR 212 million per year (EUR 94 355 per entity for 22 500 entities) </w:t>
            </w:r>
          </w:p>
          <w:p w14:paraId="2B58CAC2" w14:textId="305EDCE1" w:rsidR="00EE3DF9" w:rsidRPr="00F5382B" w:rsidRDefault="00EE3DF9" w:rsidP="00D52AD8">
            <w:pPr>
              <w:pStyle w:val="ListParagraph"/>
              <w:numPr>
                <w:ilvl w:val="0"/>
                <w:numId w:val="116"/>
              </w:numPr>
              <w:rPr>
                <w:noProof/>
                <w:sz w:val="20"/>
                <w:szCs w:val="20"/>
              </w:rPr>
            </w:pPr>
            <w:r w:rsidRPr="00F5382B">
              <w:rPr>
                <w:noProof/>
                <w:sz w:val="20"/>
                <w:szCs w:val="20"/>
              </w:rPr>
              <w:t xml:space="preserve">NIS2 compliance through cyberposture scheme: EUR </w:t>
            </w:r>
            <w:r w:rsidR="00513D41">
              <w:rPr>
                <w:noProof/>
                <w:sz w:val="20"/>
                <w:szCs w:val="20"/>
              </w:rPr>
              <w:t>3</w:t>
            </w:r>
            <w:r w:rsidRPr="00F5382B">
              <w:rPr>
                <w:noProof/>
                <w:sz w:val="20"/>
                <w:szCs w:val="20"/>
              </w:rPr>
              <w:t>0 million per year (</w:t>
            </w:r>
            <w:r w:rsidR="00513D41">
              <w:rPr>
                <w:noProof/>
                <w:sz w:val="20"/>
                <w:szCs w:val="20"/>
              </w:rPr>
              <w:t>counting</w:t>
            </w:r>
            <w:r w:rsidRPr="00F5382B">
              <w:rPr>
                <w:noProof/>
                <w:sz w:val="20"/>
                <w:szCs w:val="20"/>
              </w:rPr>
              <w:t xml:space="preserve"> </w:t>
            </w:r>
            <w:r w:rsidR="00513D41">
              <w:rPr>
                <w:noProof/>
                <w:sz w:val="20"/>
                <w:szCs w:val="20"/>
              </w:rPr>
              <w:t>1</w:t>
            </w:r>
            <w:r w:rsidRPr="00F5382B">
              <w:rPr>
                <w:noProof/>
                <w:sz w:val="20"/>
                <w:szCs w:val="20"/>
              </w:rPr>
              <w:t xml:space="preserve">000 companies </w:t>
            </w:r>
            <w:r w:rsidR="00513D41">
              <w:rPr>
                <w:noProof/>
                <w:sz w:val="20"/>
                <w:szCs w:val="20"/>
              </w:rPr>
              <w:t>as of 2032</w:t>
            </w:r>
            <w:r w:rsidRPr="00F5382B">
              <w:rPr>
                <w:noProof/>
                <w:sz w:val="20"/>
                <w:szCs w:val="20"/>
              </w:rPr>
              <w:t>– EUR 30 000 per year per entity)</w:t>
            </w:r>
          </w:p>
          <w:p w14:paraId="08672DBA" w14:textId="77777777" w:rsidR="00EE3DF9" w:rsidRPr="00F5382B" w:rsidRDefault="00EE3DF9">
            <w:pPr>
              <w:spacing w:after="0"/>
              <w:jc w:val="left"/>
              <w:textAlignment w:val="baseline"/>
              <w:rPr>
                <w:rFonts w:eastAsia="Times New Roman"/>
                <w:noProof/>
                <w:lang w:val="en-IE" w:eastAsia="en-IE"/>
              </w:rPr>
            </w:pPr>
          </w:p>
        </w:tc>
      </w:tr>
      <w:tr w:rsidR="00EE3DF9" w:rsidRPr="00F5382B" w14:paraId="255A15A0" w14:textId="77777777" w:rsidTr="6BEA0960">
        <w:trPr>
          <w:trHeight w:val="300"/>
        </w:trPr>
        <w:tc>
          <w:tcPr>
            <w:tcW w:w="2311" w:type="dxa"/>
            <w:tcBorders>
              <w:top w:val="single" w:sz="6" w:space="0" w:color="auto"/>
              <w:left w:val="double" w:sz="6" w:space="0" w:color="auto"/>
              <w:bottom w:val="single" w:sz="6" w:space="0" w:color="auto"/>
              <w:right w:val="single" w:sz="4" w:space="0" w:color="auto"/>
            </w:tcBorders>
            <w:vAlign w:val="center"/>
          </w:tcPr>
          <w:p w14:paraId="558BE908" w14:textId="77777777" w:rsidR="00EE3DF9" w:rsidRPr="00F5382B" w:rsidRDefault="00EE3DF9">
            <w:pPr>
              <w:spacing w:after="0"/>
              <w:jc w:val="left"/>
              <w:textAlignment w:val="baseline"/>
              <w:rPr>
                <w:rFonts w:eastAsia="Times New Roman"/>
                <w:noProof/>
                <w:color w:val="000000"/>
                <w:sz w:val="20"/>
                <w:szCs w:val="20"/>
                <w:lang w:eastAsia="en-IE"/>
              </w:rPr>
            </w:pPr>
            <w:r w:rsidRPr="00F5382B">
              <w:rPr>
                <w:rFonts w:eastAsia="Times New Roman"/>
                <w:noProof/>
                <w:color w:val="000000"/>
                <w:sz w:val="20"/>
                <w:szCs w:val="20"/>
                <w:lang w:eastAsia="en-IE"/>
              </w:rPr>
              <w:t xml:space="preserve">Enforcement cost reduction for public authorities  </w:t>
            </w:r>
          </w:p>
        </w:tc>
        <w:tc>
          <w:tcPr>
            <w:tcW w:w="2253" w:type="dxa"/>
            <w:tcBorders>
              <w:top w:val="single" w:sz="4" w:space="0" w:color="auto"/>
              <w:left w:val="single" w:sz="4" w:space="0" w:color="auto"/>
              <w:bottom w:val="single" w:sz="4" w:space="0" w:color="auto"/>
              <w:right w:val="single" w:sz="4" w:space="0" w:color="auto"/>
            </w:tcBorders>
            <w:vAlign w:val="center"/>
          </w:tcPr>
          <w:p w14:paraId="7377C320" w14:textId="77777777" w:rsidR="00EE3DF9" w:rsidRPr="00F5382B" w:rsidRDefault="00EE3DF9">
            <w:pPr>
              <w:spacing w:after="0"/>
              <w:textAlignment w:val="baseline"/>
              <w:rPr>
                <w:rFonts w:eastAsia="Times New Roman"/>
                <w:noProof/>
                <w:sz w:val="20"/>
                <w:szCs w:val="20"/>
                <w:lang w:eastAsia="en-IE"/>
              </w:rPr>
            </w:pPr>
            <w:r w:rsidRPr="00F5382B">
              <w:rPr>
                <w:rFonts w:eastAsia="Times New Roman"/>
                <w:b/>
                <w:bCs/>
                <w:noProof/>
                <w:sz w:val="20"/>
                <w:szCs w:val="20"/>
                <w:lang w:eastAsia="en-IE"/>
              </w:rPr>
              <w:t xml:space="preserve"> EUR 7.5 million over five years </w:t>
            </w:r>
          </w:p>
        </w:tc>
        <w:tc>
          <w:tcPr>
            <w:tcW w:w="4416" w:type="dxa"/>
            <w:tcBorders>
              <w:top w:val="single" w:sz="4" w:space="0" w:color="auto"/>
              <w:left w:val="single" w:sz="4" w:space="0" w:color="auto"/>
              <w:bottom w:val="single" w:sz="4" w:space="0" w:color="auto"/>
              <w:right w:val="single" w:sz="4" w:space="0" w:color="auto"/>
            </w:tcBorders>
            <w:vAlign w:val="center"/>
          </w:tcPr>
          <w:p w14:paraId="5485A00E" w14:textId="77777777" w:rsidR="00EE3DF9" w:rsidRPr="00F5382B" w:rsidRDefault="00EE3DF9">
            <w:pPr>
              <w:spacing w:after="0"/>
              <w:jc w:val="left"/>
              <w:textAlignment w:val="baseline"/>
              <w:rPr>
                <w:rFonts w:eastAsia="Times New Roman"/>
                <w:b/>
                <w:noProof/>
                <w:color w:val="000000"/>
                <w:sz w:val="20"/>
                <w:szCs w:val="20"/>
                <w:lang w:eastAsia="en-IE"/>
              </w:rPr>
            </w:pPr>
            <w:r w:rsidRPr="00F5382B">
              <w:rPr>
                <w:rFonts w:eastAsia="Times New Roman"/>
                <w:b/>
                <w:bCs/>
                <w:noProof/>
                <w:color w:val="000000"/>
                <w:sz w:val="20"/>
                <w:szCs w:val="20"/>
                <w:lang w:eastAsia="en-IE"/>
              </w:rPr>
              <w:t xml:space="preserve">Main beneficiaries: </w:t>
            </w:r>
            <w:r w:rsidRPr="00F5382B">
              <w:rPr>
                <w:rFonts w:eastAsia="Times New Roman"/>
                <w:noProof/>
                <w:color w:val="000000"/>
                <w:sz w:val="20"/>
                <w:szCs w:val="20"/>
                <w:lang w:eastAsia="en-IE"/>
              </w:rPr>
              <w:t xml:space="preserve">national supervisory authorities due to reduced scope. </w:t>
            </w:r>
          </w:p>
        </w:tc>
      </w:tr>
    </w:tbl>
    <w:p w14:paraId="0BFC5B1E" w14:textId="77777777" w:rsidR="00EE3DF9" w:rsidRPr="00F5382B" w:rsidRDefault="00EE3DF9" w:rsidP="00EE3DF9">
      <w:pPr>
        <w:spacing w:after="0"/>
        <w:textAlignment w:val="baseline"/>
        <w:rPr>
          <w:rFonts w:eastAsia="Times New Roman"/>
          <w:b/>
          <w:bCs/>
          <w:noProof/>
          <w:shd w:val="clear" w:color="auto" w:fill="FFFF00"/>
          <w:lang w:eastAsia="en-IE"/>
        </w:rPr>
      </w:pPr>
    </w:p>
    <w:p w14:paraId="6B404604" w14:textId="77777777" w:rsidR="00EE3DF9" w:rsidRPr="00F5382B" w:rsidRDefault="00EE3DF9" w:rsidP="00EE3DF9">
      <w:pPr>
        <w:spacing w:after="0"/>
        <w:textAlignment w:val="baseline"/>
        <w:rPr>
          <w:rFonts w:eastAsia="Times New Roman"/>
          <w:noProof/>
          <w:sz w:val="20"/>
          <w:szCs w:val="20"/>
          <w:lang w:val="en-IE" w:eastAsia="en-IE"/>
        </w:rPr>
      </w:pPr>
    </w:p>
    <w:p w14:paraId="57396678" w14:textId="710CE7F9" w:rsidR="00EE3DF9" w:rsidRPr="00F5382B" w:rsidRDefault="00EE3DF9" w:rsidP="00EE3DF9">
      <w:pPr>
        <w:pStyle w:val="Heading5"/>
        <w:rPr>
          <w:noProof/>
        </w:rPr>
      </w:pPr>
      <w:bookmarkStart w:id="205" w:name="_Toc207202585"/>
      <w:bookmarkStart w:id="206" w:name="_Toc218767802"/>
      <w:r w:rsidRPr="00F5382B">
        <w:rPr>
          <w:noProof/>
        </w:rPr>
        <w:t xml:space="preserve">Tables </w:t>
      </w:r>
      <w:r w:rsidR="004A60E7">
        <w:rPr>
          <w:noProof/>
        </w:rPr>
        <w:t>7</w:t>
      </w:r>
      <w:r w:rsidRPr="00F5382B">
        <w:rPr>
          <w:noProof/>
        </w:rPr>
        <w:t xml:space="preserve"> and </w:t>
      </w:r>
      <w:r w:rsidR="004A60E7">
        <w:rPr>
          <w:noProof/>
        </w:rPr>
        <w:t>8</w:t>
      </w:r>
      <w:r w:rsidRPr="00F5382B">
        <w:rPr>
          <w:noProof/>
        </w:rPr>
        <w:t xml:space="preserve"> </w:t>
      </w:r>
      <w:r>
        <w:rPr>
          <w:noProof/>
        </w:rPr>
        <w:fldChar w:fldCharType="begin"/>
      </w:r>
      <w:r>
        <w:rPr>
          <w:noProof/>
        </w:rPr>
        <w:instrText xml:space="preserve"> SEQ Table \* ARABIC </w:instrText>
      </w:r>
      <w:r>
        <w:rPr>
          <w:noProof/>
        </w:rPr>
        <w:fldChar w:fldCharType="separate"/>
      </w:r>
      <w:r w:rsidR="00385971">
        <w:rPr>
          <w:noProof/>
        </w:rPr>
        <w:t>3</w:t>
      </w:r>
      <w:r>
        <w:rPr>
          <w:noProof/>
        </w:rPr>
        <w:fldChar w:fldCharType="end"/>
      </w:r>
      <w:r w:rsidRPr="00F5382B">
        <w:rPr>
          <w:noProof/>
        </w:rPr>
        <w:t>: Overview of costs – Preferred option (incl. “INs” of the OIOO approach)</w:t>
      </w:r>
      <w:bookmarkEnd w:id="205"/>
      <w:r w:rsidRPr="00F5382B">
        <w:rPr>
          <w:noProof/>
        </w:rPr>
        <w:t xml:space="preserve"> over five years</w:t>
      </w:r>
      <w:bookmarkEnd w:id="206"/>
    </w:p>
    <w:p w14:paraId="501CEF0C" w14:textId="77777777" w:rsidR="00EE3DF9" w:rsidRPr="00F5382B" w:rsidRDefault="00EE3DF9" w:rsidP="00EE3DF9">
      <w:pPr>
        <w:rPr>
          <w:noProof/>
        </w:rPr>
      </w:pPr>
      <w:r w:rsidRPr="00F5382B">
        <w:rPr>
          <w:noProof/>
        </w:rPr>
        <w:t xml:space="preserve">Aggregated estimates are provided over five years, unless specified otherwise. </w:t>
      </w:r>
    </w:p>
    <w:tbl>
      <w:tblPr>
        <w:tblW w:w="8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8"/>
        <w:gridCol w:w="1236"/>
        <w:gridCol w:w="934"/>
        <w:gridCol w:w="938"/>
        <w:gridCol w:w="1920"/>
        <w:gridCol w:w="1110"/>
        <w:gridCol w:w="971"/>
        <w:gridCol w:w="1233"/>
      </w:tblGrid>
      <w:tr w:rsidR="00EE3DF9" w:rsidRPr="00F5382B" w14:paraId="2FDF2F15" w14:textId="77777777">
        <w:trPr>
          <w:trHeight w:val="300"/>
        </w:trPr>
        <w:tc>
          <w:tcPr>
            <w:tcW w:w="8980" w:type="dxa"/>
            <w:gridSpan w:val="8"/>
            <w:tcBorders>
              <w:top w:val="double" w:sz="6" w:space="0" w:color="auto"/>
              <w:left w:val="double" w:sz="6" w:space="0" w:color="auto"/>
              <w:bottom w:val="single" w:sz="4" w:space="0" w:color="auto"/>
              <w:right w:val="double" w:sz="6" w:space="0" w:color="auto"/>
            </w:tcBorders>
            <w:shd w:val="clear" w:color="auto" w:fill="C6D9F1" w:themeFill="text2" w:themeFillTint="33"/>
            <w:hideMark/>
          </w:tcPr>
          <w:p w14:paraId="010B76F4"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color w:val="000000"/>
                <w:sz w:val="20"/>
                <w:szCs w:val="20"/>
                <w:lang w:eastAsia="en-IE"/>
              </w:rPr>
              <w:t>III. Overview of costs – Preferred option</w:t>
            </w:r>
          </w:p>
        </w:tc>
      </w:tr>
      <w:tr w:rsidR="00EE3DF9" w:rsidRPr="00F5382B" w14:paraId="2385EFFC" w14:textId="77777777">
        <w:trPr>
          <w:trHeight w:val="300"/>
        </w:trPr>
        <w:tc>
          <w:tcPr>
            <w:tcW w:w="18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01DF43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 </w:t>
            </w:r>
            <w:r w:rsidRPr="00F5382B">
              <w:rPr>
                <w:rFonts w:eastAsia="Times New Roman"/>
                <w:noProof/>
                <w:sz w:val="20"/>
                <w:szCs w:val="20"/>
                <w:lang w:val="en-IE" w:eastAsia="en-IE"/>
              </w:rPr>
              <w:t> </w:t>
            </w:r>
          </w:p>
        </w:tc>
        <w:tc>
          <w:tcPr>
            <w:tcW w:w="1781" w:type="dxa"/>
            <w:gridSpan w:val="2"/>
            <w:tcBorders>
              <w:top w:val="single" w:sz="4" w:space="0" w:color="auto"/>
              <w:left w:val="single" w:sz="4" w:space="0" w:color="auto"/>
              <w:bottom w:val="single" w:sz="4" w:space="0" w:color="auto"/>
              <w:right w:val="single" w:sz="4" w:space="0" w:color="auto"/>
            </w:tcBorders>
            <w:vAlign w:val="center"/>
            <w:hideMark/>
          </w:tcPr>
          <w:p w14:paraId="382E170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Citizens/Consumers</w:t>
            </w:r>
            <w:r w:rsidRPr="00F5382B">
              <w:rPr>
                <w:rFonts w:eastAsia="Times New Roman"/>
                <w:noProof/>
                <w:sz w:val="20"/>
                <w:szCs w:val="20"/>
                <w:lang w:val="en-IE" w:eastAsia="en-IE"/>
              </w:rPr>
              <w:t> </w:t>
            </w:r>
          </w:p>
        </w:tc>
        <w:tc>
          <w:tcPr>
            <w:tcW w:w="3077" w:type="dxa"/>
            <w:gridSpan w:val="2"/>
            <w:tcBorders>
              <w:top w:val="single" w:sz="4" w:space="0" w:color="auto"/>
              <w:left w:val="single" w:sz="4" w:space="0" w:color="auto"/>
              <w:bottom w:val="single" w:sz="4" w:space="0" w:color="auto"/>
              <w:right w:val="single" w:sz="4" w:space="0" w:color="auto"/>
            </w:tcBorders>
            <w:vAlign w:val="center"/>
            <w:hideMark/>
          </w:tcPr>
          <w:p w14:paraId="5B35C569"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Businesses</w:t>
            </w:r>
            <w:r w:rsidRPr="00F5382B">
              <w:rPr>
                <w:rFonts w:eastAsia="Times New Roman"/>
                <w:noProof/>
                <w:sz w:val="20"/>
                <w:szCs w:val="20"/>
                <w:lang w:val="en-IE" w:eastAsia="en-IE"/>
              </w:rPr>
              <w:t> </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38E34448" w14:textId="77777777" w:rsidR="00EE3DF9" w:rsidRPr="00F5382B" w:rsidRDefault="00EE3DF9">
            <w:pPr>
              <w:spacing w:after="0"/>
              <w:jc w:val="center"/>
              <w:textAlignment w:val="baseline"/>
              <w:rPr>
                <w:rFonts w:eastAsia="Times New Roman"/>
                <w:noProof/>
                <w:sz w:val="20"/>
                <w:szCs w:val="20"/>
                <w:lang w:val="en-IE" w:eastAsia="en-IE"/>
              </w:rPr>
            </w:pPr>
            <w:r w:rsidRPr="00F5382B">
              <w:rPr>
                <w:rFonts w:eastAsia="Times New Roman"/>
                <w:b/>
                <w:bCs/>
                <w:noProof/>
                <w:sz w:val="20"/>
                <w:szCs w:val="20"/>
                <w:lang w:eastAsia="en-IE"/>
              </w:rPr>
              <w:t>Administrations</w:t>
            </w:r>
            <w:r w:rsidRPr="00F5382B">
              <w:rPr>
                <w:rFonts w:eastAsia="Times New Roman"/>
                <w:noProof/>
                <w:sz w:val="20"/>
                <w:szCs w:val="20"/>
                <w:lang w:val="en-IE" w:eastAsia="en-IE"/>
              </w:rPr>
              <w:t> </w:t>
            </w:r>
          </w:p>
          <w:p w14:paraId="01BF50A8"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noProof/>
                <w:sz w:val="20"/>
                <w:szCs w:val="20"/>
                <w:lang w:val="en-IE" w:eastAsia="en-IE"/>
              </w:rPr>
              <w:t>(MS and ENISA)</w:t>
            </w:r>
          </w:p>
        </w:tc>
      </w:tr>
      <w:tr w:rsidR="00EE3DF9" w:rsidRPr="00F5382B" w14:paraId="160B2D39" w14:textId="77777777">
        <w:trPr>
          <w:trHeight w:val="300"/>
        </w:trPr>
        <w:tc>
          <w:tcPr>
            <w:tcW w:w="0" w:type="auto"/>
            <w:gridSpan w:val="2"/>
            <w:vMerge/>
            <w:vAlign w:val="center"/>
            <w:hideMark/>
          </w:tcPr>
          <w:p w14:paraId="64545DCE" w14:textId="77777777" w:rsidR="00EE3DF9" w:rsidRPr="00F5382B" w:rsidRDefault="00EE3DF9">
            <w:pPr>
              <w:spacing w:after="0"/>
              <w:jc w:val="left"/>
              <w:rPr>
                <w:rFonts w:eastAsia="Times New Roman"/>
                <w:noProof/>
                <w:lang w:val="en-IE" w:eastAsia="en-IE"/>
              </w:rPr>
            </w:pPr>
          </w:p>
        </w:tc>
        <w:tc>
          <w:tcPr>
            <w:tcW w:w="939" w:type="dxa"/>
            <w:tcBorders>
              <w:top w:val="single" w:sz="4" w:space="0" w:color="auto"/>
              <w:left w:val="single" w:sz="4" w:space="0" w:color="auto"/>
              <w:bottom w:val="single" w:sz="4" w:space="0" w:color="auto"/>
              <w:right w:val="single" w:sz="4" w:space="0" w:color="auto"/>
            </w:tcBorders>
            <w:vAlign w:val="center"/>
            <w:hideMark/>
          </w:tcPr>
          <w:p w14:paraId="139F8EB7"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One-off</w:t>
            </w:r>
            <w:r w:rsidRPr="00F5382B">
              <w:rPr>
                <w:rFonts w:eastAsia="Times New Roman"/>
                <w:noProof/>
                <w:sz w:val="20"/>
                <w:szCs w:val="20"/>
                <w:lang w:val="en-IE" w:eastAsia="en-IE"/>
              </w:rPr>
              <w:t> </w:t>
            </w:r>
          </w:p>
        </w:tc>
        <w:tc>
          <w:tcPr>
            <w:tcW w:w="842" w:type="dxa"/>
            <w:tcBorders>
              <w:top w:val="single" w:sz="4" w:space="0" w:color="auto"/>
              <w:left w:val="single" w:sz="4" w:space="0" w:color="auto"/>
              <w:bottom w:val="single" w:sz="4" w:space="0" w:color="auto"/>
              <w:right w:val="single" w:sz="4" w:space="0" w:color="auto"/>
            </w:tcBorders>
            <w:vAlign w:val="center"/>
            <w:hideMark/>
          </w:tcPr>
          <w:p w14:paraId="6B32C50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Recurrent</w:t>
            </w:r>
            <w:r w:rsidRPr="00F5382B">
              <w:rPr>
                <w:rFonts w:eastAsia="Times New Roman"/>
                <w:noProof/>
                <w:sz w:val="20"/>
                <w:szCs w:val="20"/>
                <w:lang w:val="en-IE" w:eastAsia="en-IE"/>
              </w:rPr>
              <w:t> </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5BD0FAF"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One-off</w:t>
            </w:r>
            <w:r w:rsidRPr="00F5382B">
              <w:rPr>
                <w:rFonts w:eastAsia="Times New Roman"/>
                <w:noProof/>
                <w:sz w:val="20"/>
                <w:szCs w:val="20"/>
                <w:lang w:val="en-IE" w:eastAsia="en-IE"/>
              </w:rPr>
              <w:t> </w:t>
            </w:r>
          </w:p>
        </w:tc>
        <w:tc>
          <w:tcPr>
            <w:tcW w:w="1118" w:type="dxa"/>
            <w:tcBorders>
              <w:top w:val="single" w:sz="4" w:space="0" w:color="auto"/>
              <w:left w:val="single" w:sz="4" w:space="0" w:color="auto"/>
              <w:bottom w:val="single" w:sz="4" w:space="0" w:color="auto"/>
              <w:right w:val="single" w:sz="4" w:space="0" w:color="auto"/>
            </w:tcBorders>
            <w:vAlign w:val="center"/>
            <w:hideMark/>
          </w:tcPr>
          <w:p w14:paraId="110F6F57"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Recurrent</w:t>
            </w:r>
            <w:r w:rsidRPr="00F5382B">
              <w:rPr>
                <w:rFonts w:eastAsia="Times New Roman"/>
                <w:noProof/>
                <w:sz w:val="20"/>
                <w:szCs w:val="20"/>
                <w:lang w:val="en-IE" w:eastAsia="en-IE"/>
              </w:rPr>
              <w:t> </w:t>
            </w:r>
          </w:p>
        </w:tc>
        <w:tc>
          <w:tcPr>
            <w:tcW w:w="995" w:type="dxa"/>
            <w:tcBorders>
              <w:top w:val="single" w:sz="4" w:space="0" w:color="auto"/>
              <w:left w:val="single" w:sz="4" w:space="0" w:color="auto"/>
              <w:bottom w:val="single" w:sz="4" w:space="0" w:color="auto"/>
              <w:right w:val="single" w:sz="4" w:space="0" w:color="auto"/>
            </w:tcBorders>
            <w:vAlign w:val="center"/>
            <w:hideMark/>
          </w:tcPr>
          <w:p w14:paraId="182F0A0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One-off</w:t>
            </w:r>
            <w:r w:rsidRPr="00F5382B">
              <w:rPr>
                <w:rFonts w:eastAsia="Times New Roman"/>
                <w:noProof/>
                <w:sz w:val="20"/>
                <w:szCs w:val="20"/>
                <w:lang w:val="en-IE" w:eastAsia="en-IE"/>
              </w:rPr>
              <w:t> </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F9FF1C6"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Recurrent</w:t>
            </w:r>
            <w:r w:rsidRPr="00F5382B">
              <w:rPr>
                <w:rFonts w:eastAsia="Times New Roman"/>
                <w:noProof/>
                <w:sz w:val="20"/>
                <w:szCs w:val="20"/>
                <w:lang w:val="en-IE" w:eastAsia="en-IE"/>
              </w:rPr>
              <w:t> </w:t>
            </w:r>
          </w:p>
        </w:tc>
      </w:tr>
      <w:tr w:rsidR="00EE3DF9" w:rsidRPr="00F5382B" w14:paraId="7E9B002A" w14:textId="77777777">
        <w:trPr>
          <w:trHeight w:val="300"/>
        </w:trPr>
        <w:tc>
          <w:tcPr>
            <w:tcW w:w="642" w:type="dxa"/>
            <w:vMerge w:val="restart"/>
            <w:tcBorders>
              <w:top w:val="single" w:sz="4" w:space="0" w:color="auto"/>
              <w:left w:val="single" w:sz="4" w:space="0" w:color="auto"/>
              <w:right w:val="single" w:sz="4" w:space="0" w:color="auto"/>
            </w:tcBorders>
            <w:vAlign w:val="center"/>
            <w:hideMark/>
          </w:tcPr>
          <w:p w14:paraId="45D29396" w14:textId="77777777" w:rsidR="00EE3DF9" w:rsidRPr="00F5382B" w:rsidRDefault="00EE3DF9">
            <w:pPr>
              <w:spacing w:after="0"/>
              <w:textAlignment w:val="baseline"/>
              <w:rPr>
                <w:rFonts w:eastAsia="Times New Roman"/>
                <w:noProof/>
                <w:lang w:val="en-IE" w:eastAsia="en-IE"/>
              </w:rPr>
            </w:pPr>
            <w:r w:rsidRPr="00F5382B">
              <w:rPr>
                <w:rFonts w:eastAsia="Times New Roman"/>
                <w:noProof/>
                <w:sz w:val="20"/>
                <w:szCs w:val="20"/>
                <w:lang w:eastAsia="en-IE"/>
              </w:rPr>
              <w:t xml:space="preserve">Action (a)  </w:t>
            </w:r>
          </w:p>
        </w:tc>
        <w:tc>
          <w:tcPr>
            <w:tcW w:w="1240" w:type="dxa"/>
            <w:tcBorders>
              <w:top w:val="single" w:sz="4" w:space="0" w:color="auto"/>
              <w:left w:val="single" w:sz="4" w:space="0" w:color="auto"/>
              <w:bottom w:val="single" w:sz="4" w:space="0" w:color="auto"/>
              <w:right w:val="single" w:sz="4" w:space="0" w:color="auto"/>
            </w:tcBorders>
            <w:vAlign w:val="center"/>
            <w:hideMark/>
          </w:tcPr>
          <w:p w14:paraId="3A74BDF4"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eastAsia="en-IE"/>
              </w:rPr>
              <w:t>Direct adjustment costs</w:t>
            </w:r>
            <w:r w:rsidRPr="00F5382B">
              <w:rPr>
                <w:rFonts w:eastAsia="Times New Roman"/>
                <w:noProof/>
                <w:sz w:val="20"/>
                <w:szCs w:val="20"/>
                <w:lang w:val="en-IE" w:eastAsia="en-IE"/>
              </w:rPr>
              <w:t> </w:t>
            </w:r>
          </w:p>
        </w:tc>
        <w:tc>
          <w:tcPr>
            <w:tcW w:w="1781" w:type="dxa"/>
            <w:gridSpan w:val="2"/>
            <w:tcBorders>
              <w:top w:val="single" w:sz="4" w:space="0" w:color="auto"/>
              <w:left w:val="single" w:sz="4" w:space="0" w:color="auto"/>
              <w:bottom w:val="single" w:sz="4" w:space="0" w:color="auto"/>
              <w:right w:val="single" w:sz="4" w:space="0" w:color="auto"/>
            </w:tcBorders>
            <w:vAlign w:val="center"/>
            <w:hideMark/>
          </w:tcPr>
          <w:p w14:paraId="2BA81907" w14:textId="77777777" w:rsidR="00EE3DF9" w:rsidRPr="00F5382B" w:rsidRDefault="00EE3DF9">
            <w:pPr>
              <w:spacing w:after="0"/>
              <w:jc w:val="left"/>
              <w:textAlignment w:val="baseline"/>
              <w:rPr>
                <w:rFonts w:eastAsia="Times New Roman"/>
                <w:noProof/>
                <w:sz w:val="20"/>
                <w:szCs w:val="20"/>
                <w:lang w:val="en-IE" w:eastAsia="en-IE"/>
              </w:rPr>
            </w:pPr>
          </w:p>
          <w:p w14:paraId="6AD4DDC8"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val="en-IE" w:eastAsia="en-IE"/>
              </w:rPr>
              <w:t>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34D435C"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eastAsia="en-IE"/>
              </w:rPr>
              <w:t>Adapting to requirements and security testing in view of certification, on voluntary basis (B.2).</w:t>
            </w:r>
            <w:r w:rsidRPr="00F5382B">
              <w:rPr>
                <w:rFonts w:eastAsia="Times New Roman"/>
                <w:noProof/>
                <w:sz w:val="20"/>
                <w:szCs w:val="20"/>
                <w:lang w:val="en-IE" w:eastAsia="en-IE"/>
              </w:rPr>
              <w:t xml:space="preserve">  </w:t>
            </w:r>
          </w:p>
          <w:p w14:paraId="461DE415" w14:textId="77777777" w:rsidR="00EE3DF9" w:rsidRPr="00F5382B" w:rsidRDefault="00EE3DF9">
            <w:pPr>
              <w:spacing w:after="0"/>
              <w:jc w:val="left"/>
              <w:textAlignment w:val="baseline"/>
              <w:rPr>
                <w:rFonts w:eastAsia="Times New Roman"/>
                <w:noProof/>
                <w:sz w:val="20"/>
                <w:szCs w:val="20"/>
                <w:lang w:val="en-IE" w:eastAsia="en-IE"/>
              </w:rPr>
            </w:pPr>
          </w:p>
          <w:p w14:paraId="03C3D44C"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Adapting requirements for implementing regulation on cybersecurity risk management measures, depending on risk-based approach (C2)</w:t>
            </w:r>
          </w:p>
          <w:p w14:paraId="0AB429D9" w14:textId="77777777" w:rsidR="00EE3DF9" w:rsidRPr="00F5382B" w:rsidRDefault="00EE3DF9">
            <w:pPr>
              <w:spacing w:after="0"/>
              <w:jc w:val="left"/>
              <w:textAlignment w:val="baseline"/>
              <w:rPr>
                <w:rFonts w:eastAsia="Times New Roman"/>
                <w:noProof/>
                <w:sz w:val="20"/>
                <w:szCs w:val="20"/>
                <w:lang w:val="en-IE" w:eastAsia="en-IE"/>
              </w:rPr>
            </w:pPr>
          </w:p>
          <w:p w14:paraId="3CB63330"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 xml:space="preserve">Adapting to requirements for the cyber posture scheme, on voluntary basis (C2, B2) </w:t>
            </w:r>
          </w:p>
          <w:p w14:paraId="34D68B9C" w14:textId="77777777" w:rsidR="00EE3DF9" w:rsidRPr="00F5382B" w:rsidRDefault="00EE3DF9">
            <w:pPr>
              <w:spacing w:after="0"/>
              <w:jc w:val="left"/>
              <w:textAlignment w:val="baseline"/>
              <w:rPr>
                <w:rFonts w:eastAsia="Times New Roman"/>
                <w:noProof/>
                <w:sz w:val="20"/>
                <w:szCs w:val="20"/>
                <w:lang w:val="en-IE" w:eastAsia="en-IE"/>
              </w:rPr>
            </w:pPr>
          </w:p>
          <w:p w14:paraId="25B6AAFA" w14:textId="1F83BF78" w:rsidR="00EE3DF9" w:rsidRPr="00F5382B" w:rsidRDefault="00EE3DF9">
            <w:pPr>
              <w:spacing w:after="0"/>
              <w:jc w:val="left"/>
              <w:textAlignment w:val="baseline"/>
              <w:rPr>
                <w:rFonts w:eastAsia="Times New Roman"/>
                <w:noProof/>
                <w:lang w:val="en-IE" w:eastAsia="en-IE"/>
              </w:rPr>
            </w:pPr>
          </w:p>
        </w:tc>
        <w:tc>
          <w:tcPr>
            <w:tcW w:w="1118" w:type="dxa"/>
            <w:tcBorders>
              <w:top w:val="single" w:sz="4" w:space="0" w:color="auto"/>
              <w:left w:val="single" w:sz="4" w:space="0" w:color="auto"/>
              <w:bottom w:val="single" w:sz="4" w:space="0" w:color="auto"/>
              <w:right w:val="single" w:sz="4" w:space="0" w:color="auto"/>
            </w:tcBorders>
            <w:vAlign w:val="center"/>
            <w:hideMark/>
          </w:tcPr>
          <w:p w14:paraId="6BCA0159" w14:textId="77777777" w:rsidR="00EE3DF9" w:rsidRPr="00F5382B" w:rsidRDefault="00EE3DF9">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 </w:t>
            </w:r>
            <w:r w:rsidRPr="00F5382B">
              <w:rPr>
                <w:rFonts w:eastAsia="Times New Roman"/>
                <w:noProof/>
                <w:sz w:val="18"/>
                <w:szCs w:val="18"/>
                <w:lang w:val="en-IE" w:eastAsia="en-IE"/>
              </w:rPr>
              <w:t> </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3FA2ACF1" w14:textId="77777777" w:rsidR="00EE3DF9" w:rsidRPr="00F5382B" w:rsidRDefault="00EE3DF9">
            <w:pPr>
              <w:spacing w:after="0"/>
              <w:jc w:val="left"/>
              <w:textAlignment w:val="baseline"/>
              <w:rPr>
                <w:bCs/>
                <w:noProof/>
                <w:sz w:val="20"/>
                <w:szCs w:val="20"/>
              </w:rPr>
            </w:pPr>
            <w:r w:rsidRPr="00F5382B">
              <w:rPr>
                <w:noProof/>
                <w:sz w:val="20"/>
                <w:szCs w:val="20"/>
                <w:lang w:val="en-IE"/>
              </w:rPr>
              <w:t xml:space="preserve">For </w:t>
            </w:r>
            <w:r w:rsidRPr="00F5382B">
              <w:rPr>
                <w:b/>
                <w:noProof/>
                <w:sz w:val="20"/>
                <w:szCs w:val="20"/>
                <w:u w:val="single"/>
                <w:lang w:val="en-IE"/>
              </w:rPr>
              <w:t>Member States</w:t>
            </w:r>
            <w:r w:rsidRPr="00F5382B">
              <w:rPr>
                <w:noProof/>
                <w:sz w:val="20"/>
                <w:szCs w:val="20"/>
                <w:lang w:val="en-IE"/>
              </w:rPr>
              <w:t xml:space="preserve"> (A2), </w:t>
            </w:r>
            <w:r w:rsidRPr="00F5382B">
              <w:rPr>
                <w:bCs/>
                <w:noProof/>
                <w:sz w:val="20"/>
                <w:szCs w:val="20"/>
              </w:rPr>
              <w:t xml:space="preserve"> </w:t>
            </w:r>
            <w:r w:rsidRPr="00F5382B">
              <w:rPr>
                <w:b/>
                <w:noProof/>
                <w:sz w:val="20"/>
                <w:szCs w:val="20"/>
              </w:rPr>
              <w:t xml:space="preserve">EUR </w:t>
            </w:r>
            <w:r w:rsidRPr="009C4056">
              <w:rPr>
                <w:b/>
                <w:noProof/>
                <w:sz w:val="20"/>
                <w:szCs w:val="20"/>
              </w:rPr>
              <w:t>11.3</w:t>
            </w:r>
            <w:r w:rsidRPr="00F5382B">
              <w:rPr>
                <w:b/>
                <w:noProof/>
                <w:sz w:val="20"/>
                <w:szCs w:val="20"/>
              </w:rPr>
              <w:t>M</w:t>
            </w:r>
            <w:r w:rsidRPr="00F5382B">
              <w:rPr>
                <w:bCs/>
                <w:noProof/>
                <w:sz w:val="20"/>
                <w:szCs w:val="20"/>
              </w:rPr>
              <w:t xml:space="preserve"> for 40 national liaison officers.</w:t>
            </w:r>
          </w:p>
          <w:p w14:paraId="5ED16BE5" w14:textId="77777777" w:rsidR="00EE3DF9" w:rsidRPr="00F5382B" w:rsidRDefault="00EE3DF9">
            <w:pPr>
              <w:spacing w:after="0"/>
              <w:jc w:val="left"/>
              <w:textAlignment w:val="baseline"/>
              <w:rPr>
                <w:bCs/>
                <w:noProof/>
                <w:sz w:val="20"/>
                <w:szCs w:val="20"/>
              </w:rPr>
            </w:pPr>
          </w:p>
          <w:p w14:paraId="232521EF" w14:textId="77777777" w:rsidR="00EE3DF9" w:rsidRPr="00F5382B" w:rsidRDefault="00EE3DF9">
            <w:pPr>
              <w:spacing w:after="0"/>
              <w:jc w:val="left"/>
              <w:textAlignment w:val="baseline"/>
              <w:rPr>
                <w:bCs/>
                <w:noProof/>
                <w:sz w:val="20"/>
                <w:szCs w:val="20"/>
              </w:rPr>
            </w:pPr>
            <w:r w:rsidRPr="00F5382B">
              <w:rPr>
                <w:bCs/>
                <w:noProof/>
                <w:sz w:val="20"/>
                <w:szCs w:val="20"/>
              </w:rPr>
              <w:t xml:space="preserve">Adjustment costs (on-off)  for the Member States  which have not implemented the 5G Toolbox, and as applicable for future sectors (D3). </w:t>
            </w:r>
          </w:p>
          <w:p w14:paraId="62939D52" w14:textId="77777777" w:rsidR="00EE3DF9" w:rsidRPr="00F5382B" w:rsidRDefault="00EE3DF9">
            <w:pPr>
              <w:spacing w:after="0"/>
              <w:jc w:val="left"/>
              <w:textAlignment w:val="baseline"/>
              <w:rPr>
                <w:noProof/>
                <w:sz w:val="20"/>
                <w:szCs w:val="20"/>
              </w:rPr>
            </w:pPr>
          </w:p>
          <w:p w14:paraId="54074847" w14:textId="77777777" w:rsidR="00EE3DF9" w:rsidRPr="00F5382B" w:rsidRDefault="00EE3DF9">
            <w:pPr>
              <w:spacing w:after="0"/>
              <w:rPr>
                <w:rFonts w:eastAsia="Times New Roman"/>
                <w:noProof/>
                <w:color w:val="000000"/>
                <w:sz w:val="20"/>
                <w:szCs w:val="20"/>
                <w:lang w:eastAsia="en-IE"/>
              </w:rPr>
            </w:pPr>
            <w:r w:rsidRPr="00F5382B">
              <w:rPr>
                <w:rFonts w:eastAsia="Times New Roman"/>
                <w:noProof/>
                <w:color w:val="000000" w:themeColor="text1"/>
                <w:sz w:val="20"/>
                <w:szCs w:val="20"/>
                <w:lang w:val="en-IE" w:eastAsia="en-IE"/>
              </w:rPr>
              <w:t xml:space="preserve">For </w:t>
            </w:r>
            <w:r w:rsidRPr="00F5382B">
              <w:rPr>
                <w:rFonts w:eastAsia="Times New Roman"/>
                <w:b/>
                <w:noProof/>
                <w:color w:val="000000" w:themeColor="text1"/>
                <w:sz w:val="20"/>
                <w:szCs w:val="20"/>
                <w:u w:val="single"/>
                <w:lang w:val="en-IE" w:eastAsia="en-IE"/>
              </w:rPr>
              <w:t>ENISA</w:t>
            </w:r>
            <w:r w:rsidRPr="00F5382B">
              <w:rPr>
                <w:rFonts w:eastAsia="Times New Roman"/>
                <w:noProof/>
                <w:color w:val="000000" w:themeColor="text1"/>
                <w:sz w:val="20"/>
                <w:szCs w:val="20"/>
                <w:lang w:val="en-IE" w:eastAsia="en-IE"/>
              </w:rPr>
              <w:t xml:space="preserve"> (A2), overall: </w:t>
            </w:r>
            <w:r w:rsidRPr="00F5382B">
              <w:rPr>
                <w:rFonts w:eastAsia="Times New Roman"/>
                <w:b/>
                <w:bCs/>
                <w:noProof/>
                <w:color w:val="000000" w:themeColor="text1"/>
                <w:sz w:val="20"/>
                <w:szCs w:val="20"/>
                <w:lang w:val="en-IE" w:eastAsia="en-IE"/>
              </w:rPr>
              <w:t xml:space="preserve">EUR 148.12 million </w:t>
            </w:r>
            <w:r w:rsidRPr="00F5382B">
              <w:rPr>
                <w:rFonts w:eastAsia="Times New Roman"/>
                <w:noProof/>
                <w:color w:val="000000" w:themeColor="text1"/>
                <w:sz w:val="20"/>
                <w:szCs w:val="20"/>
                <w:lang w:val="en-IE" w:eastAsia="en-IE"/>
              </w:rPr>
              <w:t xml:space="preserve">over five years (EUR 138M recurring. i.e. EUR26.7 in the first year and EUR 27.8M yearly over 4 years and EUR 10.1 M one-off costs), including </w:t>
            </w:r>
            <w:r w:rsidRPr="00F5382B">
              <w:rPr>
                <w:b/>
                <w:noProof/>
                <w:sz w:val="20"/>
                <w:szCs w:val="20"/>
                <w:lang w:val="en-IE"/>
              </w:rPr>
              <w:t xml:space="preserve">142 new FTEs </w:t>
            </w:r>
            <w:r w:rsidRPr="00F5382B">
              <w:rPr>
                <w:bCs/>
                <w:noProof/>
                <w:sz w:val="20"/>
                <w:szCs w:val="20"/>
                <w:lang w:val="en-IE"/>
              </w:rPr>
              <w:t>a</w:t>
            </w:r>
            <w:r w:rsidRPr="00F5382B">
              <w:rPr>
                <w:noProof/>
                <w:sz w:val="20"/>
                <w:szCs w:val="20"/>
                <w:lang w:val="en-IE"/>
              </w:rPr>
              <w:t xml:space="preserve">s well as operational costs related to platforms and tools, such as the operation of the CRA of the </w:t>
            </w:r>
            <w:r w:rsidRPr="00F5382B">
              <w:rPr>
                <w:rFonts w:eastAsia="Times New Roman"/>
                <w:noProof/>
                <w:color w:val="000000"/>
                <w:sz w:val="20"/>
                <w:szCs w:val="20"/>
                <w:lang w:eastAsia="en-IE"/>
              </w:rPr>
              <w:t xml:space="preserve">single reporting platform, the single repository of CTI, CVD database and a skills attestation website. </w:t>
            </w:r>
          </w:p>
          <w:p w14:paraId="366C9E71" w14:textId="77777777" w:rsidR="00EE3DF9" w:rsidRPr="00F5382B" w:rsidRDefault="00EE3DF9">
            <w:pPr>
              <w:spacing w:after="0"/>
              <w:rPr>
                <w:noProof/>
                <w:sz w:val="20"/>
                <w:szCs w:val="20"/>
                <w:lang w:val="en-IE"/>
              </w:rPr>
            </w:pPr>
          </w:p>
          <w:p w14:paraId="000715F1" w14:textId="77777777" w:rsidR="00EE3DF9" w:rsidRPr="00F5382B" w:rsidRDefault="00EE3DF9">
            <w:pPr>
              <w:spacing w:after="0"/>
              <w:rPr>
                <w:bCs/>
                <w:noProof/>
                <w:sz w:val="20"/>
                <w:szCs w:val="20"/>
              </w:rPr>
            </w:pPr>
            <w:r w:rsidRPr="00F5382B">
              <w:rPr>
                <w:noProof/>
                <w:sz w:val="20"/>
                <w:szCs w:val="20"/>
                <w:lang w:val="en-IE"/>
              </w:rPr>
              <w:t>In addition,</w:t>
            </w:r>
            <w:r w:rsidRPr="00F5382B">
              <w:rPr>
                <w:b/>
                <w:bCs/>
                <w:noProof/>
                <w:sz w:val="20"/>
                <w:szCs w:val="20"/>
                <w:lang w:val="en-IE"/>
              </w:rPr>
              <w:t xml:space="preserve"> up to 14 FTEs </w:t>
            </w:r>
            <w:r w:rsidRPr="00F5382B">
              <w:rPr>
                <w:noProof/>
                <w:sz w:val="20"/>
                <w:szCs w:val="20"/>
                <w:lang w:val="en-IE"/>
              </w:rPr>
              <w:t xml:space="preserve">linked to ECCF (B2+D3), amounting to EUR </w:t>
            </w:r>
            <w:r w:rsidRPr="00F5382B">
              <w:rPr>
                <w:b/>
                <w:noProof/>
                <w:sz w:val="20"/>
                <w:szCs w:val="20"/>
              </w:rPr>
              <w:t xml:space="preserve">7,9 million over five years, </w:t>
            </w:r>
            <w:r w:rsidRPr="009C4056">
              <w:rPr>
                <w:bCs/>
                <w:noProof/>
                <w:sz w:val="20"/>
                <w:szCs w:val="20"/>
              </w:rPr>
              <w:t xml:space="preserve">and </w:t>
            </w:r>
            <w:r w:rsidRPr="00F5382B">
              <w:rPr>
                <w:b/>
                <w:noProof/>
                <w:sz w:val="20"/>
                <w:szCs w:val="20"/>
              </w:rPr>
              <w:t>5.2 M operational costs</w:t>
            </w:r>
            <w:r w:rsidRPr="00F5382B">
              <w:rPr>
                <w:bCs/>
                <w:noProof/>
                <w:sz w:val="20"/>
                <w:szCs w:val="20"/>
              </w:rPr>
              <w:t xml:space="preserve">, totalling adjustment costs of  </w:t>
            </w:r>
            <w:r w:rsidRPr="009C4056">
              <w:rPr>
                <w:b/>
                <w:noProof/>
                <w:sz w:val="20"/>
                <w:szCs w:val="20"/>
              </w:rPr>
              <w:t>EUR 13.1 M</w:t>
            </w:r>
            <w:r w:rsidRPr="00F5382B">
              <w:rPr>
                <w:bCs/>
                <w:noProof/>
                <w:sz w:val="20"/>
                <w:szCs w:val="20"/>
              </w:rPr>
              <w:t xml:space="preserve"> </w:t>
            </w:r>
          </w:p>
          <w:p w14:paraId="2AE17D91" w14:textId="77777777" w:rsidR="00EE3DF9" w:rsidRPr="00F5382B" w:rsidRDefault="00EE3DF9">
            <w:pPr>
              <w:spacing w:after="0"/>
              <w:rPr>
                <w:bCs/>
                <w:noProof/>
                <w:sz w:val="20"/>
                <w:szCs w:val="20"/>
              </w:rPr>
            </w:pPr>
          </w:p>
          <w:p w14:paraId="279AF44D" w14:textId="77777777" w:rsidR="00EE3DF9" w:rsidRPr="009C4056" w:rsidRDefault="00EE3DF9">
            <w:pPr>
              <w:spacing w:after="0"/>
              <w:rPr>
                <w:bCs/>
                <w:noProof/>
                <w:sz w:val="20"/>
                <w:szCs w:val="20"/>
              </w:rPr>
            </w:pPr>
            <w:r w:rsidRPr="00F5382B">
              <w:rPr>
                <w:bCs/>
                <w:noProof/>
                <w:sz w:val="20"/>
                <w:szCs w:val="20"/>
              </w:rPr>
              <w:t xml:space="preserve">In total for ENISA, this leads to </w:t>
            </w:r>
            <w:r w:rsidRPr="009C4056">
              <w:rPr>
                <w:b/>
                <w:noProof/>
                <w:sz w:val="20"/>
                <w:szCs w:val="20"/>
              </w:rPr>
              <w:t>EUR 161.3 M, including 156 FTEs</w:t>
            </w:r>
          </w:p>
        </w:tc>
      </w:tr>
      <w:tr w:rsidR="00EE3DF9" w:rsidRPr="00F5382B" w14:paraId="6B527E0D" w14:textId="77777777">
        <w:trPr>
          <w:trHeight w:val="300"/>
        </w:trPr>
        <w:tc>
          <w:tcPr>
            <w:tcW w:w="0" w:type="auto"/>
            <w:vMerge/>
            <w:vAlign w:val="center"/>
            <w:hideMark/>
          </w:tcPr>
          <w:p w14:paraId="1B62556E" w14:textId="77777777" w:rsidR="00EE3DF9" w:rsidRPr="00F5382B" w:rsidRDefault="00EE3DF9">
            <w:pPr>
              <w:spacing w:after="0"/>
              <w:jc w:val="left"/>
              <w:rPr>
                <w:rFonts w:eastAsia="Times New Roman"/>
                <w:noProof/>
                <w:lang w:val="en-IE" w:eastAsia="en-IE"/>
              </w:rPr>
            </w:pPr>
          </w:p>
        </w:tc>
        <w:tc>
          <w:tcPr>
            <w:tcW w:w="1240" w:type="dxa"/>
            <w:tcBorders>
              <w:top w:val="single" w:sz="4" w:space="0" w:color="auto"/>
              <w:left w:val="single" w:sz="4" w:space="0" w:color="auto"/>
              <w:bottom w:val="single" w:sz="4" w:space="0" w:color="auto"/>
              <w:right w:val="single" w:sz="4" w:space="0" w:color="auto"/>
            </w:tcBorders>
            <w:vAlign w:val="center"/>
            <w:hideMark/>
          </w:tcPr>
          <w:p w14:paraId="26740E57"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eastAsia="en-IE"/>
              </w:rPr>
              <w:t>Direct administrative costs</w:t>
            </w:r>
            <w:r w:rsidRPr="00F5382B">
              <w:rPr>
                <w:rFonts w:eastAsia="Times New Roman"/>
                <w:noProof/>
                <w:sz w:val="20"/>
                <w:szCs w:val="20"/>
                <w:lang w:val="en-IE" w:eastAsia="en-IE"/>
              </w:rPr>
              <w:t> </w:t>
            </w:r>
          </w:p>
        </w:tc>
        <w:tc>
          <w:tcPr>
            <w:tcW w:w="1781" w:type="dxa"/>
            <w:gridSpan w:val="2"/>
            <w:vAlign w:val="center"/>
            <w:hideMark/>
          </w:tcPr>
          <w:p w14:paraId="4D56EDFB" w14:textId="77777777" w:rsidR="00EE3DF9" w:rsidRPr="00F5382B" w:rsidRDefault="00EE3DF9">
            <w:pPr>
              <w:spacing w:after="0"/>
              <w:jc w:val="left"/>
              <w:rPr>
                <w:rFonts w:eastAsia="Times New Roman"/>
                <w:noProof/>
                <w:lang w:val="en-IE" w:eastAsia="en-IE"/>
              </w:rPr>
            </w:pPr>
            <w:r w:rsidRPr="00F5382B">
              <w:rPr>
                <w:rFonts w:eastAsia="Times New Roman"/>
                <w:noProof/>
                <w:sz w:val="20"/>
                <w:szCs w:val="20"/>
                <w:lang w:val="en-IE" w:eastAsia="en-IE"/>
              </w:rPr>
              <w:t>N.A.</w:t>
            </w:r>
          </w:p>
        </w:tc>
        <w:tc>
          <w:tcPr>
            <w:tcW w:w="3077" w:type="dxa"/>
            <w:gridSpan w:val="2"/>
            <w:tcBorders>
              <w:top w:val="single" w:sz="4" w:space="0" w:color="auto"/>
              <w:left w:val="single" w:sz="4" w:space="0" w:color="auto"/>
              <w:bottom w:val="single" w:sz="4" w:space="0" w:color="auto"/>
              <w:right w:val="single" w:sz="4" w:space="0" w:color="auto"/>
            </w:tcBorders>
            <w:vAlign w:val="center"/>
            <w:hideMark/>
          </w:tcPr>
          <w:p w14:paraId="1AF48FE0"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Certification (</w:t>
            </w:r>
            <w:r w:rsidRPr="00F5382B">
              <w:rPr>
                <w:rFonts w:eastAsia="Times New Roman"/>
                <w:noProof/>
                <w:sz w:val="20"/>
                <w:szCs w:val="20"/>
                <w:u w:val="single"/>
                <w:lang w:val="en-IE" w:eastAsia="en-IE"/>
              </w:rPr>
              <w:t>on voluntary basis</w:t>
            </w:r>
            <w:r w:rsidRPr="00F5382B">
              <w:rPr>
                <w:rFonts w:eastAsia="Times New Roman"/>
                <w:noProof/>
                <w:sz w:val="20"/>
                <w:szCs w:val="20"/>
                <w:lang w:val="en-IE" w:eastAsia="en-IE"/>
              </w:rPr>
              <w:t>): costs related to documentation and obtaining certificate (one-off and recurrent), as well as maintenance (e.g. audits). For cyberposture scheme</w:t>
            </w:r>
            <w:r w:rsidRPr="00F5382B">
              <w:rPr>
                <w:rFonts w:eastAsia="Times New Roman"/>
                <w:b/>
                <w:bCs/>
                <w:noProof/>
                <w:sz w:val="20"/>
                <w:szCs w:val="20"/>
                <w:lang w:val="en-IE" w:eastAsia="en-IE"/>
              </w:rPr>
              <w:t xml:space="preserve">, 30 000 EUR </w:t>
            </w:r>
            <w:r w:rsidRPr="00F5382B">
              <w:rPr>
                <w:rFonts w:eastAsia="Times New Roman"/>
                <w:noProof/>
                <w:sz w:val="20"/>
                <w:szCs w:val="20"/>
                <w:lang w:val="en-IE" w:eastAsia="en-IE"/>
              </w:rPr>
              <w:t xml:space="preserve">(one-off and recurrent) (B2) </w:t>
            </w:r>
            <w:r w:rsidRPr="00F5382B">
              <w:rPr>
                <w:rFonts w:eastAsia="Times New Roman"/>
                <w:noProof/>
                <w:sz w:val="20"/>
                <w:szCs w:val="20"/>
                <w:lang w:val="en-IE" w:eastAsia="en-IE"/>
              </w:rPr>
              <w:softHyphen/>
            </w:r>
          </w:p>
          <w:p w14:paraId="3340481C" w14:textId="77777777" w:rsidR="00EE3DF9" w:rsidRPr="00F5382B" w:rsidRDefault="00EE3DF9">
            <w:pPr>
              <w:spacing w:after="0"/>
              <w:jc w:val="left"/>
              <w:textAlignment w:val="baseline"/>
              <w:rPr>
                <w:rFonts w:eastAsia="Times New Roman"/>
                <w:noProof/>
                <w:sz w:val="20"/>
                <w:szCs w:val="20"/>
                <w:lang w:val="en-IE" w:eastAsia="en-IE"/>
              </w:rPr>
            </w:pPr>
          </w:p>
          <w:p w14:paraId="441B3BCE"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European skills attestation (</w:t>
            </w:r>
            <w:r w:rsidRPr="00F5382B">
              <w:rPr>
                <w:rFonts w:eastAsia="Times New Roman"/>
                <w:noProof/>
                <w:sz w:val="20"/>
                <w:szCs w:val="20"/>
                <w:u w:val="single"/>
                <w:lang w:val="en-IE" w:eastAsia="en-IE"/>
              </w:rPr>
              <w:t>on voluntary basis</w:t>
            </w:r>
            <w:r w:rsidRPr="00F5382B">
              <w:rPr>
                <w:rFonts w:eastAsia="Times New Roman"/>
                <w:noProof/>
                <w:sz w:val="20"/>
                <w:szCs w:val="20"/>
                <w:lang w:val="en-IE" w:eastAsia="en-IE"/>
              </w:rPr>
              <w:t>): costs for skills attestation vendor to obtain authorisation (one-off and recurrent) and to maintain it. (A2)</w:t>
            </w:r>
          </w:p>
          <w:p w14:paraId="63D21B4F" w14:textId="77777777" w:rsidR="00EE3DF9" w:rsidRPr="00F5382B" w:rsidRDefault="00EE3DF9">
            <w:pPr>
              <w:spacing w:after="0"/>
              <w:jc w:val="left"/>
              <w:textAlignment w:val="baseline"/>
              <w:rPr>
                <w:rFonts w:eastAsia="Times New Roman"/>
                <w:noProof/>
                <w:sz w:val="20"/>
                <w:szCs w:val="20"/>
                <w:lang w:val="en-IE" w:eastAsia="en-IE"/>
              </w:rPr>
            </w:pPr>
          </w:p>
          <w:p w14:paraId="0E6E9EDD"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 xml:space="preserve">Minor (on-off) costs related to adapting notification procedures for ransomware attacks (C2) </w:t>
            </w:r>
          </w:p>
        </w:tc>
        <w:tc>
          <w:tcPr>
            <w:tcW w:w="995" w:type="dxa"/>
            <w:tcBorders>
              <w:top w:val="single" w:sz="4" w:space="0" w:color="auto"/>
              <w:left w:val="single" w:sz="4" w:space="0" w:color="auto"/>
              <w:bottom w:val="single" w:sz="4" w:space="0" w:color="auto"/>
              <w:right w:val="single" w:sz="4" w:space="0" w:color="auto"/>
            </w:tcBorders>
            <w:vAlign w:val="center"/>
            <w:hideMark/>
          </w:tcPr>
          <w:p w14:paraId="44D12CBF" w14:textId="77777777" w:rsidR="00EE3DF9" w:rsidRPr="00F5382B" w:rsidRDefault="00EE3DF9">
            <w:pPr>
              <w:spacing w:after="0"/>
              <w:jc w:val="left"/>
              <w:textAlignment w:val="baseline"/>
              <w:rPr>
                <w:rFonts w:eastAsia="Times New Roman"/>
                <w:noProof/>
                <w:lang w:val="en-IE" w:eastAsia="en-IE"/>
              </w:rPr>
            </w:pPr>
          </w:p>
        </w:tc>
        <w:tc>
          <w:tcPr>
            <w:tcW w:w="1245" w:type="dxa"/>
            <w:tcBorders>
              <w:top w:val="single" w:sz="4" w:space="0" w:color="auto"/>
              <w:left w:val="single" w:sz="4" w:space="0" w:color="auto"/>
              <w:bottom w:val="single" w:sz="4" w:space="0" w:color="auto"/>
              <w:right w:val="single" w:sz="4" w:space="0" w:color="auto"/>
            </w:tcBorders>
            <w:vAlign w:val="center"/>
            <w:hideMark/>
          </w:tcPr>
          <w:p w14:paraId="27AE7886" w14:textId="77777777" w:rsidR="00EE3DF9" w:rsidRPr="00F5382B" w:rsidRDefault="00EE3DF9">
            <w:pPr>
              <w:spacing w:after="0"/>
              <w:jc w:val="left"/>
              <w:textAlignment w:val="baseline"/>
              <w:rPr>
                <w:rFonts w:eastAsia="Times New Roman"/>
                <w:noProof/>
                <w:lang w:eastAsia="en-IE"/>
              </w:rPr>
            </w:pPr>
          </w:p>
        </w:tc>
      </w:tr>
      <w:tr w:rsidR="00EE3DF9" w:rsidRPr="00F5382B" w14:paraId="044EBADB" w14:textId="77777777">
        <w:trPr>
          <w:trHeight w:val="300"/>
        </w:trPr>
        <w:tc>
          <w:tcPr>
            <w:tcW w:w="0" w:type="auto"/>
            <w:vMerge/>
            <w:vAlign w:val="center"/>
            <w:hideMark/>
          </w:tcPr>
          <w:p w14:paraId="56BA9C9A" w14:textId="77777777" w:rsidR="00EE3DF9" w:rsidRPr="00F5382B" w:rsidRDefault="00EE3DF9">
            <w:pPr>
              <w:spacing w:after="0"/>
              <w:jc w:val="left"/>
              <w:rPr>
                <w:rFonts w:eastAsia="Times New Roman"/>
                <w:noProof/>
                <w:lang w:val="en-IE" w:eastAsia="en-IE"/>
              </w:rPr>
            </w:pPr>
          </w:p>
        </w:tc>
        <w:tc>
          <w:tcPr>
            <w:tcW w:w="1240" w:type="dxa"/>
            <w:tcBorders>
              <w:top w:val="single" w:sz="4" w:space="0" w:color="auto"/>
              <w:left w:val="single" w:sz="4" w:space="0" w:color="auto"/>
              <w:bottom w:val="single" w:sz="4" w:space="0" w:color="auto"/>
              <w:right w:val="single" w:sz="4" w:space="0" w:color="auto"/>
            </w:tcBorders>
            <w:vAlign w:val="center"/>
            <w:hideMark/>
          </w:tcPr>
          <w:p w14:paraId="50169EB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eastAsia="en-IE"/>
              </w:rPr>
              <w:t>Direct regulatory fees and charges</w:t>
            </w:r>
            <w:r w:rsidRPr="00F5382B">
              <w:rPr>
                <w:rFonts w:eastAsia="Times New Roman"/>
                <w:noProof/>
                <w:sz w:val="20"/>
                <w:szCs w:val="20"/>
                <w:lang w:val="en-IE" w:eastAsia="en-IE"/>
              </w:rPr>
              <w:t> </w:t>
            </w:r>
          </w:p>
        </w:tc>
        <w:tc>
          <w:tcPr>
            <w:tcW w:w="1781" w:type="dxa"/>
            <w:gridSpan w:val="2"/>
            <w:vAlign w:val="center"/>
            <w:hideMark/>
          </w:tcPr>
          <w:p w14:paraId="0ED43D29" w14:textId="77777777" w:rsidR="00EE3DF9" w:rsidRPr="00F5382B" w:rsidRDefault="00EE3DF9">
            <w:pPr>
              <w:spacing w:after="0"/>
              <w:jc w:val="left"/>
              <w:rPr>
                <w:rFonts w:eastAsia="Times New Roman"/>
                <w:noProof/>
                <w:lang w:val="en-IE" w:eastAsia="en-IE"/>
              </w:rPr>
            </w:pPr>
          </w:p>
        </w:tc>
        <w:tc>
          <w:tcPr>
            <w:tcW w:w="1959" w:type="dxa"/>
            <w:tcBorders>
              <w:top w:val="single" w:sz="4" w:space="0" w:color="auto"/>
              <w:left w:val="single" w:sz="4" w:space="0" w:color="auto"/>
              <w:bottom w:val="single" w:sz="4" w:space="0" w:color="auto"/>
              <w:right w:val="single" w:sz="4" w:space="0" w:color="auto"/>
            </w:tcBorders>
            <w:vAlign w:val="center"/>
            <w:hideMark/>
          </w:tcPr>
          <w:p w14:paraId="7F3AFD78"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 xml:space="preserve">Fees to be paid by conformity assessment bodies to ENISA for the maintenance of schemes: </w:t>
            </w:r>
            <w:r w:rsidRPr="009C4056">
              <w:rPr>
                <w:rFonts w:eastAsia="Times New Roman"/>
                <w:b/>
                <w:bCs/>
                <w:noProof/>
                <w:sz w:val="20"/>
                <w:szCs w:val="20"/>
                <w:lang w:eastAsia="en-IE"/>
              </w:rPr>
              <w:t>EUR 1.3 M to 1.7 M</w:t>
            </w:r>
          </w:p>
        </w:tc>
        <w:tc>
          <w:tcPr>
            <w:tcW w:w="1118" w:type="dxa"/>
            <w:tcBorders>
              <w:top w:val="single" w:sz="4" w:space="0" w:color="auto"/>
              <w:left w:val="single" w:sz="4" w:space="0" w:color="auto"/>
              <w:bottom w:val="single" w:sz="4" w:space="0" w:color="auto"/>
              <w:right w:val="single" w:sz="4" w:space="0" w:color="auto"/>
            </w:tcBorders>
            <w:vAlign w:val="center"/>
            <w:hideMark/>
          </w:tcPr>
          <w:p w14:paraId="151AF1E9"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N.A</w:t>
            </w:r>
          </w:p>
        </w:tc>
        <w:tc>
          <w:tcPr>
            <w:tcW w:w="995" w:type="dxa"/>
            <w:tcBorders>
              <w:top w:val="single" w:sz="4" w:space="0" w:color="auto"/>
              <w:left w:val="single" w:sz="4" w:space="0" w:color="auto"/>
              <w:bottom w:val="single" w:sz="4" w:space="0" w:color="auto"/>
              <w:right w:val="single" w:sz="4" w:space="0" w:color="auto"/>
            </w:tcBorders>
            <w:vAlign w:val="center"/>
            <w:hideMark/>
          </w:tcPr>
          <w:p w14:paraId="45BF414D"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w:t>
            </w:r>
            <w:r w:rsidRPr="00F5382B">
              <w:rPr>
                <w:rFonts w:eastAsia="Times New Roman"/>
                <w:noProof/>
                <w:color w:val="000000"/>
                <w:sz w:val="20"/>
                <w:szCs w:val="20"/>
                <w:lang w:val="en-IE" w:eastAsia="en-IE"/>
              </w:rPr>
              <w:t> </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538EFA7"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w:t>
            </w:r>
            <w:r w:rsidRPr="00F5382B">
              <w:rPr>
                <w:rFonts w:eastAsia="Times New Roman"/>
                <w:noProof/>
                <w:color w:val="000000"/>
                <w:sz w:val="20"/>
                <w:szCs w:val="20"/>
                <w:lang w:val="en-IE" w:eastAsia="en-IE"/>
              </w:rPr>
              <w:t> </w:t>
            </w:r>
          </w:p>
        </w:tc>
      </w:tr>
      <w:tr w:rsidR="00EE3DF9" w:rsidRPr="00F5382B" w14:paraId="4394A3CF" w14:textId="77777777">
        <w:trPr>
          <w:trHeight w:val="300"/>
        </w:trPr>
        <w:tc>
          <w:tcPr>
            <w:tcW w:w="0" w:type="auto"/>
            <w:vMerge/>
            <w:vAlign w:val="center"/>
            <w:hideMark/>
          </w:tcPr>
          <w:p w14:paraId="5B630739" w14:textId="77777777" w:rsidR="00EE3DF9" w:rsidRPr="00F5382B" w:rsidRDefault="00EE3DF9">
            <w:pPr>
              <w:spacing w:after="0"/>
              <w:jc w:val="left"/>
              <w:rPr>
                <w:rFonts w:eastAsia="Times New Roman"/>
                <w:noProof/>
                <w:lang w:val="en-IE" w:eastAsia="en-IE"/>
              </w:rPr>
            </w:pPr>
          </w:p>
        </w:tc>
        <w:tc>
          <w:tcPr>
            <w:tcW w:w="1240" w:type="dxa"/>
            <w:tcBorders>
              <w:top w:val="single" w:sz="4" w:space="0" w:color="auto"/>
              <w:left w:val="single" w:sz="4" w:space="0" w:color="auto"/>
              <w:bottom w:val="single" w:sz="4" w:space="0" w:color="auto"/>
              <w:right w:val="single" w:sz="4" w:space="0" w:color="auto"/>
            </w:tcBorders>
            <w:vAlign w:val="center"/>
            <w:hideMark/>
          </w:tcPr>
          <w:p w14:paraId="0119013C" w14:textId="77777777" w:rsidR="00EE3DF9" w:rsidRPr="00F5382B" w:rsidRDefault="00EE3DF9">
            <w:pPr>
              <w:spacing w:after="0"/>
              <w:jc w:val="left"/>
              <w:textAlignment w:val="baseline"/>
              <w:rPr>
                <w:rFonts w:eastAsia="Times New Roman"/>
                <w:noProof/>
                <w:sz w:val="20"/>
                <w:szCs w:val="20"/>
                <w:lang w:eastAsia="en-IE"/>
              </w:rPr>
            </w:pPr>
            <w:r w:rsidRPr="00F5382B">
              <w:rPr>
                <w:rFonts w:eastAsia="Times New Roman"/>
                <w:noProof/>
                <w:sz w:val="20"/>
                <w:szCs w:val="20"/>
                <w:lang w:eastAsia="en-IE"/>
              </w:rPr>
              <w:t xml:space="preserve">Direct enforcement </w:t>
            </w:r>
          </w:p>
          <w:p w14:paraId="37510103"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eastAsia="en-IE"/>
              </w:rPr>
              <w:t>costs</w:t>
            </w:r>
            <w:r w:rsidRPr="00F5382B">
              <w:rPr>
                <w:rFonts w:eastAsia="Times New Roman"/>
                <w:noProof/>
                <w:sz w:val="20"/>
                <w:szCs w:val="20"/>
                <w:lang w:val="en-IE" w:eastAsia="en-IE"/>
              </w:rPr>
              <w:t> </w:t>
            </w:r>
          </w:p>
        </w:tc>
        <w:tc>
          <w:tcPr>
            <w:tcW w:w="1781" w:type="dxa"/>
            <w:gridSpan w:val="2"/>
            <w:vAlign w:val="center"/>
            <w:hideMark/>
          </w:tcPr>
          <w:p w14:paraId="39A09BFE" w14:textId="77777777" w:rsidR="00EE3DF9" w:rsidRPr="00F5382B" w:rsidRDefault="00EE3DF9">
            <w:pPr>
              <w:spacing w:after="0"/>
              <w:jc w:val="left"/>
              <w:rPr>
                <w:rFonts w:eastAsia="Times New Roman"/>
                <w:noProof/>
                <w:lang w:val="en-IE" w:eastAsia="en-IE"/>
              </w:rPr>
            </w:pPr>
          </w:p>
        </w:tc>
        <w:tc>
          <w:tcPr>
            <w:tcW w:w="1959" w:type="dxa"/>
            <w:tcBorders>
              <w:top w:val="single" w:sz="4" w:space="0" w:color="auto"/>
              <w:left w:val="single" w:sz="4" w:space="0" w:color="auto"/>
              <w:bottom w:val="single" w:sz="4" w:space="0" w:color="auto"/>
              <w:right w:val="single" w:sz="4" w:space="0" w:color="auto"/>
            </w:tcBorders>
            <w:vAlign w:val="center"/>
            <w:hideMark/>
          </w:tcPr>
          <w:p w14:paraId="618D44A6"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w:t>
            </w:r>
            <w:r w:rsidRPr="00F5382B">
              <w:rPr>
                <w:rFonts w:eastAsia="Times New Roman"/>
                <w:noProof/>
                <w:color w:val="000000"/>
                <w:sz w:val="20"/>
                <w:szCs w:val="20"/>
                <w:lang w:val="en-IE" w:eastAsia="en-IE"/>
              </w:rPr>
              <w:t> </w:t>
            </w:r>
          </w:p>
        </w:tc>
        <w:tc>
          <w:tcPr>
            <w:tcW w:w="1118" w:type="dxa"/>
            <w:tcBorders>
              <w:top w:val="single" w:sz="4" w:space="0" w:color="auto"/>
              <w:left w:val="single" w:sz="4" w:space="0" w:color="auto"/>
              <w:bottom w:val="single" w:sz="4" w:space="0" w:color="auto"/>
              <w:right w:val="single" w:sz="4" w:space="0" w:color="auto"/>
            </w:tcBorders>
            <w:vAlign w:val="center"/>
            <w:hideMark/>
          </w:tcPr>
          <w:p w14:paraId="038F8B4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w:t>
            </w:r>
            <w:r w:rsidRPr="00F5382B">
              <w:rPr>
                <w:rFonts w:eastAsia="Times New Roman"/>
                <w:noProof/>
                <w:color w:val="000000"/>
                <w:sz w:val="20"/>
                <w:szCs w:val="20"/>
                <w:lang w:val="en-IE" w:eastAsia="en-IE"/>
              </w:rPr>
              <w:t> </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34DF80CE" w14:textId="0C7BA931" w:rsidR="00EE3DF9" w:rsidRPr="00F5382B" w:rsidRDefault="00EE3DF9">
            <w:pPr>
              <w:spacing w:after="0"/>
              <w:jc w:val="left"/>
              <w:textAlignment w:val="baseline"/>
              <w:rPr>
                <w:noProof/>
                <w:sz w:val="20"/>
                <w:szCs w:val="20"/>
              </w:rPr>
            </w:pPr>
            <w:r w:rsidRPr="00F5382B">
              <w:rPr>
                <w:bCs/>
                <w:noProof/>
                <w:sz w:val="20"/>
                <w:szCs w:val="20"/>
              </w:rPr>
              <w:t xml:space="preserve">For certification, up to </w:t>
            </w:r>
            <w:r w:rsidRPr="00F5382B">
              <w:rPr>
                <w:b/>
                <w:noProof/>
                <w:sz w:val="20"/>
                <w:szCs w:val="20"/>
              </w:rPr>
              <w:t>EUR 74</w:t>
            </w:r>
            <w:r w:rsidR="004C4AD3" w:rsidRPr="00CE2185">
              <w:rPr>
                <w:b/>
                <w:bCs/>
                <w:noProof/>
                <w:sz w:val="20"/>
                <w:szCs w:val="20"/>
              </w:rPr>
              <w:t xml:space="preserve">.7 </w:t>
            </w:r>
            <w:r w:rsidRPr="00F5382B">
              <w:rPr>
                <w:b/>
                <w:noProof/>
                <w:sz w:val="20"/>
                <w:szCs w:val="20"/>
              </w:rPr>
              <w:t xml:space="preserve"> M </w:t>
            </w:r>
            <w:r w:rsidRPr="00F5382B">
              <w:rPr>
                <w:noProof/>
                <w:sz w:val="20"/>
                <w:szCs w:val="20"/>
              </w:rPr>
              <w:t xml:space="preserve">(one-off and recurrent) </w:t>
            </w:r>
            <w:r w:rsidRPr="00F5382B">
              <w:rPr>
                <w:b/>
                <w:noProof/>
                <w:sz w:val="20"/>
                <w:szCs w:val="20"/>
              </w:rPr>
              <w:t>for all 27 MS</w:t>
            </w:r>
            <w:r w:rsidRPr="00F5382B">
              <w:rPr>
                <w:b/>
                <w:noProof/>
                <w:sz w:val="20"/>
                <w:szCs w:val="20"/>
                <w:u w:val="single"/>
              </w:rPr>
              <w:t xml:space="preserve"> </w:t>
            </w:r>
            <w:r w:rsidRPr="00F5382B">
              <w:rPr>
                <w:noProof/>
                <w:sz w:val="20"/>
                <w:szCs w:val="20"/>
              </w:rPr>
              <w:t>(B2 +D3, C2) for the implementation of new schemes, including cyber posture scheme (3 FTEs in average)</w:t>
            </w:r>
          </w:p>
          <w:p w14:paraId="7D5D4064" w14:textId="77777777" w:rsidR="00EE3DF9" w:rsidRPr="00F5382B" w:rsidRDefault="00EE3DF9">
            <w:pPr>
              <w:spacing w:after="0"/>
              <w:jc w:val="left"/>
              <w:textAlignment w:val="baseline"/>
              <w:rPr>
                <w:rFonts w:eastAsia="Times New Roman"/>
                <w:noProof/>
                <w:lang w:val="en-IE" w:eastAsia="en-IE"/>
              </w:rPr>
            </w:pPr>
          </w:p>
          <w:p w14:paraId="1F456085" w14:textId="77777777" w:rsidR="00EE3DF9" w:rsidRPr="00F5382B" w:rsidRDefault="00EE3DF9">
            <w:pPr>
              <w:spacing w:after="0"/>
              <w:jc w:val="left"/>
              <w:textAlignment w:val="baseline"/>
              <w:rPr>
                <w:rFonts w:eastAsia="Times New Roman"/>
                <w:noProof/>
                <w:lang w:val="en-IE" w:eastAsia="en-IE"/>
              </w:rPr>
            </w:pPr>
          </w:p>
        </w:tc>
      </w:tr>
      <w:tr w:rsidR="00EE3DF9" w:rsidRPr="00F5382B" w14:paraId="538CACBB" w14:textId="77777777">
        <w:trPr>
          <w:trHeight w:val="575"/>
        </w:trPr>
        <w:tc>
          <w:tcPr>
            <w:tcW w:w="0" w:type="auto"/>
            <w:vMerge/>
            <w:vAlign w:val="center"/>
            <w:hideMark/>
          </w:tcPr>
          <w:p w14:paraId="385D1FB4" w14:textId="77777777" w:rsidR="00EE3DF9" w:rsidRPr="00F5382B" w:rsidRDefault="00EE3DF9">
            <w:pPr>
              <w:spacing w:after="0"/>
              <w:jc w:val="left"/>
              <w:rPr>
                <w:rFonts w:eastAsia="Times New Roman"/>
                <w:noProof/>
                <w:lang w:val="en-IE" w:eastAsia="en-IE"/>
              </w:rPr>
            </w:pPr>
          </w:p>
        </w:tc>
        <w:tc>
          <w:tcPr>
            <w:tcW w:w="1240" w:type="dxa"/>
            <w:vMerge w:val="restart"/>
            <w:tcBorders>
              <w:top w:val="single" w:sz="4" w:space="0" w:color="auto"/>
              <w:left w:val="single" w:sz="4" w:space="0" w:color="auto"/>
              <w:right w:val="single" w:sz="4" w:space="0" w:color="auto"/>
            </w:tcBorders>
            <w:vAlign w:val="center"/>
            <w:hideMark/>
          </w:tcPr>
          <w:p w14:paraId="67961E9F"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sz w:val="20"/>
                <w:szCs w:val="20"/>
                <w:lang w:eastAsia="en-IE"/>
              </w:rPr>
              <w:t>Indirect costs</w:t>
            </w:r>
            <w:r w:rsidRPr="00F5382B">
              <w:rPr>
                <w:rFonts w:eastAsia="Times New Roman"/>
                <w:noProof/>
                <w:sz w:val="20"/>
                <w:szCs w:val="20"/>
                <w:lang w:val="en-IE" w:eastAsia="en-IE"/>
              </w:rPr>
              <w:t> </w:t>
            </w:r>
          </w:p>
        </w:tc>
        <w:tc>
          <w:tcPr>
            <w:tcW w:w="1781" w:type="dxa"/>
            <w:gridSpan w:val="2"/>
            <w:vAlign w:val="center"/>
            <w:hideMark/>
          </w:tcPr>
          <w:p w14:paraId="74E8E3F3" w14:textId="72F39B25" w:rsidR="00EE3DF9" w:rsidRPr="00F5382B" w:rsidRDefault="00EE3DF9">
            <w:pPr>
              <w:spacing w:after="0"/>
              <w:jc w:val="left"/>
              <w:rPr>
                <w:rFonts w:eastAsia="Times New Roman"/>
                <w:noProof/>
                <w:sz w:val="20"/>
                <w:szCs w:val="20"/>
                <w:lang w:val="en-IE" w:eastAsia="en-IE"/>
              </w:rPr>
            </w:pPr>
          </w:p>
        </w:tc>
        <w:tc>
          <w:tcPr>
            <w:tcW w:w="3077" w:type="dxa"/>
            <w:gridSpan w:val="2"/>
            <w:vMerge w:val="restart"/>
            <w:tcBorders>
              <w:top w:val="single" w:sz="4" w:space="0" w:color="auto"/>
              <w:left w:val="single" w:sz="4" w:space="0" w:color="auto"/>
              <w:right w:val="single" w:sz="4" w:space="0" w:color="auto"/>
            </w:tcBorders>
            <w:vAlign w:val="center"/>
            <w:hideMark/>
          </w:tcPr>
          <w:p w14:paraId="680C6B31" w14:textId="77777777" w:rsidR="00EE3DF9" w:rsidRPr="00F5382B" w:rsidRDefault="00EE3DF9">
            <w:pPr>
              <w:spacing w:after="0"/>
              <w:jc w:val="left"/>
              <w:textAlignment w:val="baseline"/>
              <w:rPr>
                <w:rFonts w:eastAsia="Times New Roman"/>
                <w:noProof/>
                <w:color w:val="000000"/>
                <w:sz w:val="20"/>
                <w:szCs w:val="20"/>
                <w:lang w:val="en-IE" w:eastAsia="en-IE"/>
              </w:rPr>
            </w:pPr>
          </w:p>
          <w:p w14:paraId="3F792326" w14:textId="77777777" w:rsidR="00EE3DF9" w:rsidRPr="00F5382B" w:rsidRDefault="00EE3DF9">
            <w:pPr>
              <w:spacing w:after="0"/>
              <w:jc w:val="left"/>
              <w:textAlignment w:val="baseline"/>
              <w:rPr>
                <w:rFonts w:eastAsia="Times New Roman"/>
                <w:noProof/>
                <w:color w:val="000000"/>
                <w:sz w:val="20"/>
                <w:szCs w:val="20"/>
                <w:lang w:val="en-IE" w:eastAsia="en-IE"/>
              </w:rPr>
            </w:pPr>
            <w:r w:rsidRPr="00F5382B">
              <w:rPr>
                <w:rFonts w:eastAsia="Times New Roman"/>
                <w:noProof/>
                <w:color w:val="000000"/>
                <w:sz w:val="20"/>
                <w:szCs w:val="20"/>
                <w:lang w:val="en-IE" w:eastAsia="en-IE"/>
              </w:rPr>
              <w:t xml:space="preserve">Costs related to cybersecurity incidents for NIS2 entities excluded from the scope (e.g. DNS providers) </w:t>
            </w:r>
          </w:p>
          <w:p w14:paraId="2546354F" w14:textId="77777777" w:rsidR="00EE3DF9" w:rsidRPr="00F5382B" w:rsidRDefault="00EE3DF9">
            <w:pPr>
              <w:spacing w:after="0"/>
              <w:jc w:val="left"/>
              <w:textAlignment w:val="baseline"/>
              <w:rPr>
                <w:rFonts w:eastAsia="Times New Roman"/>
                <w:noProof/>
                <w:lang w:val="en-IE" w:eastAsia="en-IE"/>
              </w:rPr>
            </w:pPr>
          </w:p>
        </w:tc>
        <w:tc>
          <w:tcPr>
            <w:tcW w:w="995" w:type="dxa"/>
            <w:vMerge w:val="restart"/>
            <w:tcBorders>
              <w:top w:val="single" w:sz="4" w:space="0" w:color="auto"/>
              <w:left w:val="single" w:sz="4" w:space="0" w:color="auto"/>
              <w:right w:val="single" w:sz="4" w:space="0" w:color="auto"/>
            </w:tcBorders>
            <w:vAlign w:val="center"/>
            <w:hideMark/>
          </w:tcPr>
          <w:p w14:paraId="1177DCA3" w14:textId="77777777" w:rsidR="00EE3DF9" w:rsidRPr="00F5382B" w:rsidRDefault="00EE3DF9">
            <w:pPr>
              <w:spacing w:after="0"/>
              <w:jc w:val="left"/>
              <w:textAlignment w:val="baseline"/>
              <w:rPr>
                <w:rFonts w:eastAsia="Times New Roman"/>
                <w:noProof/>
                <w:lang w:val="en-IE" w:eastAsia="en-IE"/>
              </w:rPr>
            </w:pPr>
          </w:p>
        </w:tc>
        <w:tc>
          <w:tcPr>
            <w:tcW w:w="1245" w:type="dxa"/>
            <w:vMerge w:val="restart"/>
            <w:tcBorders>
              <w:top w:val="single" w:sz="4" w:space="0" w:color="auto"/>
              <w:left w:val="single" w:sz="4" w:space="0" w:color="auto"/>
              <w:right w:val="single" w:sz="4" w:space="0" w:color="auto"/>
            </w:tcBorders>
            <w:vAlign w:val="center"/>
            <w:hideMark/>
          </w:tcPr>
          <w:p w14:paraId="3E5810E3"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w:t>
            </w:r>
            <w:r w:rsidRPr="00F5382B">
              <w:rPr>
                <w:rFonts w:eastAsia="Times New Roman"/>
                <w:noProof/>
                <w:color w:val="000000"/>
                <w:sz w:val="20"/>
                <w:szCs w:val="20"/>
                <w:lang w:val="en-IE" w:eastAsia="en-IE"/>
              </w:rPr>
              <w:t> </w:t>
            </w:r>
          </w:p>
        </w:tc>
      </w:tr>
      <w:tr w:rsidR="00EE3DF9" w:rsidRPr="00F5382B" w14:paraId="77883033" w14:textId="77777777">
        <w:trPr>
          <w:trHeight w:val="575"/>
        </w:trPr>
        <w:tc>
          <w:tcPr>
            <w:tcW w:w="0" w:type="auto"/>
            <w:vMerge/>
            <w:vAlign w:val="center"/>
          </w:tcPr>
          <w:p w14:paraId="56CB5AB9" w14:textId="77777777" w:rsidR="00EE3DF9" w:rsidRPr="00F5382B" w:rsidRDefault="00EE3DF9">
            <w:pPr>
              <w:spacing w:after="0"/>
              <w:jc w:val="left"/>
              <w:rPr>
                <w:rFonts w:eastAsia="Times New Roman"/>
                <w:noProof/>
                <w:lang w:val="en-IE" w:eastAsia="en-IE"/>
              </w:rPr>
            </w:pPr>
          </w:p>
        </w:tc>
        <w:tc>
          <w:tcPr>
            <w:tcW w:w="1240" w:type="dxa"/>
            <w:vMerge/>
            <w:vAlign w:val="center"/>
          </w:tcPr>
          <w:p w14:paraId="52644E69" w14:textId="77777777" w:rsidR="00EE3DF9" w:rsidRPr="00F5382B" w:rsidRDefault="00EE3DF9">
            <w:pPr>
              <w:spacing w:after="0"/>
              <w:jc w:val="left"/>
              <w:textAlignment w:val="baseline"/>
              <w:rPr>
                <w:rFonts w:eastAsia="Times New Roman"/>
                <w:noProof/>
                <w:sz w:val="20"/>
                <w:szCs w:val="20"/>
                <w:lang w:eastAsia="en-IE"/>
              </w:rPr>
            </w:pPr>
          </w:p>
        </w:tc>
        <w:tc>
          <w:tcPr>
            <w:tcW w:w="1781" w:type="dxa"/>
            <w:gridSpan w:val="2"/>
            <w:vAlign w:val="center"/>
          </w:tcPr>
          <w:p w14:paraId="6D20FEDD" w14:textId="77777777" w:rsidR="00EE3DF9" w:rsidRPr="00F5382B" w:rsidRDefault="00EE3DF9">
            <w:pPr>
              <w:spacing w:after="0"/>
              <w:jc w:val="left"/>
              <w:rPr>
                <w:rFonts w:eastAsia="Times New Roman"/>
                <w:noProof/>
                <w:lang w:val="en-IE" w:eastAsia="en-IE"/>
              </w:rPr>
            </w:pPr>
          </w:p>
        </w:tc>
        <w:tc>
          <w:tcPr>
            <w:tcW w:w="3077" w:type="dxa"/>
            <w:gridSpan w:val="2"/>
            <w:vMerge/>
            <w:vAlign w:val="center"/>
          </w:tcPr>
          <w:p w14:paraId="25DE53A1" w14:textId="77777777" w:rsidR="00EE3DF9" w:rsidRPr="00F5382B" w:rsidRDefault="00EE3DF9">
            <w:pPr>
              <w:spacing w:after="0"/>
              <w:jc w:val="left"/>
              <w:textAlignment w:val="baseline"/>
              <w:rPr>
                <w:rFonts w:eastAsia="Times New Roman"/>
                <w:noProof/>
                <w:color w:val="000000"/>
                <w:sz w:val="20"/>
                <w:szCs w:val="20"/>
                <w:lang w:val="en-IE" w:eastAsia="en-IE"/>
              </w:rPr>
            </w:pPr>
          </w:p>
        </w:tc>
        <w:tc>
          <w:tcPr>
            <w:tcW w:w="995" w:type="dxa"/>
            <w:vMerge/>
            <w:vAlign w:val="center"/>
          </w:tcPr>
          <w:p w14:paraId="5D3B1E54" w14:textId="77777777" w:rsidR="00EE3DF9" w:rsidRPr="00F5382B" w:rsidRDefault="00EE3DF9">
            <w:pPr>
              <w:spacing w:after="0"/>
              <w:jc w:val="left"/>
              <w:textAlignment w:val="baseline"/>
              <w:rPr>
                <w:rFonts w:eastAsia="Times New Roman"/>
                <w:noProof/>
                <w:color w:val="000000"/>
                <w:sz w:val="20"/>
                <w:szCs w:val="20"/>
                <w:lang w:eastAsia="en-IE"/>
              </w:rPr>
            </w:pPr>
          </w:p>
        </w:tc>
        <w:tc>
          <w:tcPr>
            <w:tcW w:w="1245" w:type="dxa"/>
            <w:vMerge/>
            <w:vAlign w:val="center"/>
          </w:tcPr>
          <w:p w14:paraId="40076A5C" w14:textId="77777777" w:rsidR="00EE3DF9" w:rsidRPr="00F5382B" w:rsidRDefault="00EE3DF9">
            <w:pPr>
              <w:spacing w:after="0"/>
              <w:jc w:val="left"/>
              <w:textAlignment w:val="baseline"/>
              <w:rPr>
                <w:rFonts w:eastAsia="Times New Roman"/>
                <w:noProof/>
                <w:color w:val="000000"/>
                <w:sz w:val="20"/>
                <w:szCs w:val="20"/>
                <w:lang w:eastAsia="en-IE"/>
              </w:rPr>
            </w:pPr>
          </w:p>
        </w:tc>
      </w:tr>
      <w:tr w:rsidR="00EE3DF9" w:rsidRPr="00F5382B" w14:paraId="3361A984" w14:textId="77777777">
        <w:trPr>
          <w:trHeight w:val="300"/>
        </w:trPr>
        <w:tc>
          <w:tcPr>
            <w:tcW w:w="898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ADFA21" w14:textId="77777777" w:rsidR="00EE3DF9" w:rsidRPr="00F5382B" w:rsidRDefault="00EE3DF9">
            <w:pPr>
              <w:spacing w:after="0"/>
              <w:jc w:val="center"/>
              <w:textAlignment w:val="baseline"/>
              <w:rPr>
                <w:rFonts w:eastAsia="Times New Roman"/>
                <w:noProof/>
                <w:lang w:val="en-IE" w:eastAsia="en-IE"/>
              </w:rPr>
            </w:pPr>
          </w:p>
        </w:tc>
      </w:tr>
    </w:tbl>
    <w:p w14:paraId="44B10B83" w14:textId="77777777" w:rsidR="00EE3DF9" w:rsidRPr="00F5382B" w:rsidRDefault="00EE3DF9" w:rsidP="00EE3DF9">
      <w:pPr>
        <w:spacing w:after="0"/>
        <w:textAlignment w:val="baseline"/>
        <w:rPr>
          <w:rFonts w:eastAsia="Times New Roman"/>
          <w:b/>
          <w:bCs/>
          <w:noProof/>
          <w:shd w:val="clear" w:color="auto" w:fill="FFFF00"/>
          <w:lang w:eastAsia="en-IE"/>
        </w:rPr>
      </w:pPr>
    </w:p>
    <w:p w14:paraId="57138345" w14:textId="77777777" w:rsidR="00EE3DF9" w:rsidRPr="00F5382B" w:rsidRDefault="00EE3DF9" w:rsidP="00EE3DF9">
      <w:pPr>
        <w:spacing w:after="0"/>
        <w:textAlignment w:val="baseline"/>
        <w:rPr>
          <w:rFonts w:ascii="Segoe UI" w:eastAsia="Times New Roman" w:hAnsi="Segoe UI" w:cs="Segoe UI"/>
          <w:noProof/>
          <w:sz w:val="18"/>
          <w:szCs w:val="18"/>
          <w:lang w:val="en-IE" w:eastAsia="en-IE"/>
        </w:rPr>
      </w:pPr>
      <w:r w:rsidRPr="00F5382B">
        <w:rPr>
          <w:rFonts w:eastAsia="Times New Roman"/>
          <w:noProof/>
          <w:lang w:val="en-IE" w:eastAsia="en-IE"/>
        </w:rPr>
        <w:t> </w:t>
      </w:r>
    </w:p>
    <w:tbl>
      <w:tblPr>
        <w:tblW w:w="10353" w:type="dxa"/>
        <w:tblInd w:w="-459" w:type="dxa"/>
        <w:tblCellMar>
          <w:left w:w="0" w:type="dxa"/>
          <w:right w:w="0" w:type="dxa"/>
        </w:tblCellMar>
        <w:tblLook w:val="04A0" w:firstRow="1" w:lastRow="0" w:firstColumn="1" w:lastColumn="0" w:noHBand="0" w:noVBand="1"/>
      </w:tblPr>
      <w:tblGrid>
        <w:gridCol w:w="2540"/>
        <w:gridCol w:w="2157"/>
        <w:gridCol w:w="3525"/>
        <w:gridCol w:w="2131"/>
      </w:tblGrid>
      <w:tr w:rsidR="00EE3DF9" w:rsidRPr="00F5382B" w14:paraId="6809B256" w14:textId="77777777">
        <w:tc>
          <w:tcPr>
            <w:tcW w:w="1035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229FD060" w14:textId="77777777" w:rsidR="00EE3DF9" w:rsidRPr="00F5382B" w:rsidRDefault="00EE3DF9">
            <w:pPr>
              <w:spacing w:before="60" w:after="60"/>
              <w:rPr>
                <w:b/>
                <w:bCs/>
                <w:noProof/>
                <w:sz w:val="20"/>
                <w:szCs w:val="20"/>
              </w:rPr>
            </w:pPr>
            <w:bookmarkStart w:id="207" w:name="_Hlk126312867"/>
            <w:r w:rsidRPr="00F5382B">
              <w:rPr>
                <w:b/>
                <w:bCs/>
                <w:noProof/>
                <w:sz w:val="20"/>
                <w:szCs w:val="20"/>
              </w:rPr>
              <w:t>III. Application of the ‘one in, one out’ approach – Preferred option(s)</w:t>
            </w:r>
          </w:p>
        </w:tc>
      </w:tr>
      <w:tr w:rsidR="00EE3DF9" w:rsidRPr="00F5382B" w14:paraId="5261A654"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70B87AD" w14:textId="77777777" w:rsidR="00EE3DF9" w:rsidRPr="00F5382B" w:rsidRDefault="00EE3DF9">
            <w:pPr>
              <w:spacing w:before="60" w:after="60"/>
              <w:jc w:val="right"/>
              <w:rPr>
                <w:rFonts w:ascii="Calibri" w:hAnsi="Calibri" w:cs="Calibri"/>
                <w:b/>
                <w:bCs/>
                <w:noProof/>
                <w:sz w:val="20"/>
                <w:szCs w:val="20"/>
              </w:rPr>
            </w:pPr>
            <w:r w:rsidRPr="00F5382B">
              <w:rPr>
                <w:b/>
                <w:bCs/>
                <w:noProof/>
                <w:sz w:val="20"/>
                <w:szCs w:val="20"/>
              </w:rPr>
              <w:t>[M€]</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60CA0B" w14:textId="77777777" w:rsidR="00EE3DF9" w:rsidRPr="00F5382B" w:rsidRDefault="00EE3DF9">
            <w:pPr>
              <w:spacing w:before="60"/>
              <w:jc w:val="center"/>
              <w:rPr>
                <w:b/>
                <w:bCs/>
                <w:noProof/>
                <w:sz w:val="20"/>
                <w:szCs w:val="20"/>
              </w:rPr>
            </w:pPr>
            <w:r w:rsidRPr="00F5382B">
              <w:rPr>
                <w:b/>
                <w:bCs/>
                <w:noProof/>
                <w:sz w:val="20"/>
                <w:szCs w:val="20"/>
              </w:rPr>
              <w:t>One-off</w:t>
            </w:r>
          </w:p>
          <w:p w14:paraId="4C33EBCD" w14:textId="77777777" w:rsidR="00EE3DF9" w:rsidRPr="00F5382B" w:rsidRDefault="00EE3DF9">
            <w:pPr>
              <w:spacing w:after="60"/>
              <w:jc w:val="center"/>
              <w:rPr>
                <w:noProof/>
                <w:sz w:val="20"/>
                <w:szCs w:val="20"/>
              </w:rPr>
            </w:pPr>
            <w:r w:rsidRPr="00F5382B">
              <w:rPr>
                <w:noProof/>
                <w:sz w:val="20"/>
                <w:szCs w:val="20"/>
              </w:rPr>
              <w:t>(annualised total net present value over the relevant period)</w:t>
            </w: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7EE9EF36" w14:textId="77777777" w:rsidR="00EE3DF9" w:rsidRPr="00F5382B" w:rsidRDefault="00EE3DF9">
            <w:pPr>
              <w:spacing w:before="60"/>
              <w:jc w:val="center"/>
              <w:rPr>
                <w:b/>
                <w:bCs/>
                <w:noProof/>
                <w:sz w:val="20"/>
                <w:szCs w:val="20"/>
              </w:rPr>
            </w:pPr>
            <w:r w:rsidRPr="00F5382B">
              <w:rPr>
                <w:b/>
                <w:bCs/>
                <w:noProof/>
                <w:sz w:val="20"/>
                <w:szCs w:val="20"/>
              </w:rPr>
              <w:t>Recurrent</w:t>
            </w:r>
          </w:p>
          <w:p w14:paraId="6F8ADF5A" w14:textId="77777777" w:rsidR="00EE3DF9" w:rsidRPr="00F5382B" w:rsidRDefault="00EE3DF9">
            <w:pPr>
              <w:spacing w:after="60"/>
              <w:jc w:val="center"/>
              <w:rPr>
                <w:b/>
                <w:bCs/>
                <w:noProof/>
                <w:sz w:val="20"/>
                <w:szCs w:val="20"/>
              </w:rPr>
            </w:pPr>
            <w:r w:rsidRPr="00F5382B">
              <w:rPr>
                <w:noProof/>
                <w:sz w:val="20"/>
                <w:szCs w:val="20"/>
              </w:rPr>
              <w:t>(nominal values per year)</w:t>
            </w:r>
          </w:p>
          <w:p w14:paraId="3DA77FE6" w14:textId="77777777" w:rsidR="00EE3DF9" w:rsidRPr="00F5382B" w:rsidRDefault="00EE3DF9">
            <w:pPr>
              <w:spacing w:before="60" w:after="60"/>
              <w:jc w:val="center"/>
              <w:rPr>
                <w:b/>
                <w:bCs/>
                <w:noProof/>
                <w:sz w:val="20"/>
                <w:szCs w:val="20"/>
              </w:rPr>
            </w:pPr>
          </w:p>
        </w:tc>
        <w:tc>
          <w:tcPr>
            <w:tcW w:w="2131" w:type="dxa"/>
            <w:tcBorders>
              <w:top w:val="nil"/>
              <w:left w:val="nil"/>
              <w:bottom w:val="single" w:sz="8" w:space="0" w:color="auto"/>
              <w:right w:val="double" w:sz="4" w:space="0" w:color="auto"/>
            </w:tcBorders>
          </w:tcPr>
          <w:p w14:paraId="5DE26C4D" w14:textId="77777777" w:rsidR="00EE3DF9" w:rsidRPr="00F5382B" w:rsidRDefault="00EE3DF9">
            <w:pPr>
              <w:spacing w:before="60"/>
              <w:jc w:val="center"/>
              <w:rPr>
                <w:b/>
                <w:bCs/>
                <w:noProof/>
                <w:sz w:val="20"/>
                <w:szCs w:val="20"/>
              </w:rPr>
            </w:pPr>
            <w:r w:rsidRPr="00F5382B">
              <w:rPr>
                <w:b/>
                <w:bCs/>
                <w:noProof/>
                <w:sz w:val="20"/>
                <w:szCs w:val="20"/>
              </w:rPr>
              <w:t>Total</w:t>
            </w:r>
          </w:p>
        </w:tc>
      </w:tr>
      <w:tr w:rsidR="00EE3DF9" w:rsidRPr="00F5382B" w14:paraId="5D9593AC" w14:textId="77777777">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0736D4FD" w14:textId="77777777" w:rsidR="00EE3DF9" w:rsidRPr="00F5382B" w:rsidRDefault="00EE3DF9">
            <w:pPr>
              <w:spacing w:before="120" w:after="120"/>
              <w:jc w:val="left"/>
              <w:rPr>
                <w:b/>
                <w:bCs/>
                <w:noProof/>
                <w:sz w:val="20"/>
                <w:szCs w:val="20"/>
                <w:lang w:eastAsia="en-GB"/>
              </w:rPr>
            </w:pPr>
            <w:r w:rsidRPr="00F5382B">
              <w:rPr>
                <w:b/>
                <w:bCs/>
                <w:noProof/>
                <w:sz w:val="20"/>
                <w:szCs w:val="20"/>
              </w:rPr>
              <w:t>Businesses</w:t>
            </w:r>
          </w:p>
        </w:tc>
      </w:tr>
      <w:tr w:rsidR="00EE3DF9" w:rsidRPr="00F5382B" w14:paraId="5FDF75B9"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E4F1C4E" w14:textId="77777777" w:rsidR="00EE3DF9" w:rsidRPr="00F5382B" w:rsidRDefault="00EE3DF9">
            <w:pPr>
              <w:spacing w:before="60" w:after="60"/>
              <w:ind w:left="284"/>
              <w:jc w:val="left"/>
              <w:rPr>
                <w:noProof/>
                <w:sz w:val="20"/>
                <w:szCs w:val="20"/>
              </w:rPr>
            </w:pPr>
            <w:r w:rsidRPr="00F5382B">
              <w:rPr>
                <w:noProof/>
                <w:sz w:val="20"/>
                <w:szCs w:val="20"/>
              </w:rPr>
              <w:t>New administrative burdens (INs)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4BFDA89D" w14:textId="77777777" w:rsidR="00EE3DF9" w:rsidRPr="00F5382B" w:rsidRDefault="00EE3DF9">
            <w:pPr>
              <w:rPr>
                <w:noProof/>
                <w:sz w:val="20"/>
                <w:szCs w:val="20"/>
                <w:lang w:eastAsia="en-GB"/>
              </w:rPr>
            </w:pPr>
            <w:r w:rsidRPr="00F5382B">
              <w:rPr>
                <w:noProof/>
                <w:sz w:val="20"/>
                <w:szCs w:val="20"/>
                <w:lang w:eastAsia="en-GB"/>
              </w:rPr>
              <w:t xml:space="preserve">N.A. </w:t>
            </w:r>
          </w:p>
          <w:p w14:paraId="5D3A656D" w14:textId="77777777" w:rsidR="00EE3DF9" w:rsidRPr="00F5382B" w:rsidRDefault="00EE3DF9">
            <w:pPr>
              <w:rPr>
                <w:noProof/>
                <w:sz w:val="20"/>
                <w:szCs w:val="20"/>
                <w:lang w:eastAsia="en-GB"/>
              </w:rPr>
            </w:pP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2451F0FF"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Certification (on voluntary basis): costs related to documentation and obtaining certificate (one-off and recurrent), as well as maintenance (e.g. audits). For cyberposture scheme, 30 000 EUR</w:t>
            </w:r>
            <w:r w:rsidRPr="00F5382B">
              <w:rPr>
                <w:rFonts w:eastAsia="Times New Roman"/>
                <w:b/>
                <w:bCs/>
                <w:noProof/>
                <w:sz w:val="20"/>
                <w:szCs w:val="20"/>
                <w:lang w:val="en-IE" w:eastAsia="en-IE"/>
              </w:rPr>
              <w:t xml:space="preserve"> </w:t>
            </w:r>
            <w:r w:rsidRPr="00F5382B">
              <w:rPr>
                <w:rFonts w:eastAsia="Times New Roman"/>
                <w:noProof/>
                <w:sz w:val="20"/>
                <w:szCs w:val="20"/>
                <w:lang w:val="en-IE" w:eastAsia="en-IE"/>
              </w:rPr>
              <w:t xml:space="preserve">(recurrent) (B2) </w:t>
            </w:r>
            <w:r w:rsidRPr="00F5382B">
              <w:rPr>
                <w:rFonts w:eastAsia="Times New Roman"/>
                <w:noProof/>
                <w:sz w:val="20"/>
                <w:szCs w:val="20"/>
                <w:lang w:val="en-IE" w:eastAsia="en-IE"/>
              </w:rPr>
              <w:softHyphen/>
            </w:r>
          </w:p>
          <w:p w14:paraId="76973DC6" w14:textId="77777777" w:rsidR="00EE3DF9" w:rsidRPr="00F5382B" w:rsidRDefault="00EE3DF9">
            <w:pPr>
              <w:spacing w:after="0"/>
              <w:jc w:val="left"/>
              <w:textAlignment w:val="baseline"/>
              <w:rPr>
                <w:rFonts w:eastAsia="Times New Roman"/>
                <w:noProof/>
                <w:sz w:val="20"/>
                <w:szCs w:val="20"/>
                <w:lang w:val="en-IE" w:eastAsia="en-IE"/>
              </w:rPr>
            </w:pPr>
          </w:p>
          <w:p w14:paraId="2329DEA6" w14:textId="77777777" w:rsidR="00EE3DF9" w:rsidRPr="00F5382B" w:rsidRDefault="00EE3DF9">
            <w:pPr>
              <w:spacing w:after="0"/>
              <w:jc w:val="left"/>
              <w:textAlignment w:val="baseline"/>
              <w:rPr>
                <w:rFonts w:eastAsia="Times New Roman"/>
                <w:noProof/>
                <w:sz w:val="20"/>
                <w:szCs w:val="20"/>
                <w:lang w:val="en-IE" w:eastAsia="en-IE"/>
              </w:rPr>
            </w:pPr>
            <w:r w:rsidRPr="00F5382B">
              <w:rPr>
                <w:rFonts w:eastAsia="Times New Roman"/>
                <w:noProof/>
                <w:sz w:val="20"/>
                <w:szCs w:val="20"/>
                <w:lang w:val="en-IE" w:eastAsia="en-IE"/>
              </w:rPr>
              <w:t>European skills attestation (on voluntary basis): costs for skills attestation vendor to obtain authorisation (one-off and recurrent) and to maintain it. (A2)</w:t>
            </w:r>
          </w:p>
          <w:p w14:paraId="184F5AC0" w14:textId="77777777" w:rsidR="00EE3DF9" w:rsidRPr="00F5382B" w:rsidRDefault="00EE3DF9">
            <w:pPr>
              <w:spacing w:after="0"/>
              <w:jc w:val="left"/>
              <w:textAlignment w:val="baseline"/>
              <w:rPr>
                <w:rFonts w:eastAsia="Times New Roman"/>
                <w:noProof/>
                <w:sz w:val="20"/>
                <w:szCs w:val="20"/>
                <w:lang w:val="en-IE" w:eastAsia="en-IE"/>
              </w:rPr>
            </w:pPr>
          </w:p>
          <w:p w14:paraId="3759466D" w14:textId="77777777" w:rsidR="00EE3DF9" w:rsidRPr="00F5382B" w:rsidRDefault="00EE3DF9">
            <w:pPr>
              <w:rPr>
                <w:noProof/>
                <w:sz w:val="20"/>
                <w:szCs w:val="20"/>
                <w:lang w:eastAsia="en-GB"/>
              </w:rPr>
            </w:pPr>
            <w:r w:rsidRPr="00F5382B">
              <w:rPr>
                <w:rFonts w:eastAsia="Times New Roman"/>
                <w:noProof/>
                <w:sz w:val="20"/>
                <w:szCs w:val="20"/>
                <w:lang w:val="en-IE" w:eastAsia="en-IE"/>
              </w:rPr>
              <w:t xml:space="preserve">Minor (one-off) costs related to adapting notification procedures for ransomware attacks (C2) </w:t>
            </w:r>
          </w:p>
        </w:tc>
        <w:tc>
          <w:tcPr>
            <w:tcW w:w="2131" w:type="dxa"/>
            <w:tcBorders>
              <w:top w:val="nil"/>
              <w:left w:val="nil"/>
              <w:bottom w:val="single" w:sz="8" w:space="0" w:color="auto"/>
              <w:right w:val="double" w:sz="4" w:space="0" w:color="auto"/>
            </w:tcBorders>
            <w:vAlign w:val="center"/>
          </w:tcPr>
          <w:p w14:paraId="76EF92CB" w14:textId="77777777" w:rsidR="00EE3DF9" w:rsidRPr="00F5382B" w:rsidRDefault="00EE3DF9">
            <w:pPr>
              <w:jc w:val="center"/>
              <w:rPr>
                <w:noProof/>
                <w:sz w:val="20"/>
                <w:szCs w:val="20"/>
                <w:lang w:eastAsia="en-GB"/>
              </w:rPr>
            </w:pPr>
          </w:p>
        </w:tc>
      </w:tr>
      <w:tr w:rsidR="00EE3DF9" w:rsidRPr="00F5382B" w14:paraId="6A7D48DA" w14:textId="77777777">
        <w:trPr>
          <w:trHeight w:val="2674"/>
        </w:trP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AB41D57" w14:textId="77777777" w:rsidR="00EE3DF9" w:rsidRPr="00F5382B" w:rsidRDefault="00EE3DF9">
            <w:pPr>
              <w:spacing w:before="60" w:after="60"/>
              <w:ind w:left="284"/>
              <w:jc w:val="left"/>
              <w:rPr>
                <w:noProof/>
                <w:sz w:val="20"/>
                <w:szCs w:val="20"/>
              </w:rPr>
            </w:pPr>
            <w:r w:rsidRPr="00F5382B">
              <w:rPr>
                <w:noProof/>
                <w:sz w:val="20"/>
                <w:szCs w:val="20"/>
              </w:rPr>
              <w:t>Removed administrative burdens (OUTs)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AD65200" w14:textId="3DCF3231" w:rsidR="00EE3DF9" w:rsidRPr="00F5382B" w:rsidRDefault="00EE3DF9">
            <w:pPr>
              <w:rPr>
                <w:b/>
                <w:bCs/>
                <w:noProof/>
                <w:sz w:val="20"/>
                <w:szCs w:val="20"/>
                <w:lang w:eastAsia="en-GB"/>
              </w:rPr>
            </w:pPr>
            <w:r w:rsidRPr="00F5382B">
              <w:rPr>
                <w:b/>
                <w:bCs/>
                <w:noProof/>
                <w:sz w:val="20"/>
                <w:szCs w:val="20"/>
                <w:lang w:eastAsia="en-GB"/>
              </w:rPr>
              <w:t xml:space="preserve">Over 5 years: EUR </w:t>
            </w:r>
            <w:r w:rsidR="00513D41">
              <w:rPr>
                <w:b/>
                <w:bCs/>
                <w:noProof/>
                <w:sz w:val="20"/>
                <w:szCs w:val="20"/>
                <w:lang w:eastAsia="en-GB"/>
              </w:rPr>
              <w:t>2</w:t>
            </w:r>
            <w:r w:rsidRPr="00F5382B">
              <w:rPr>
                <w:b/>
                <w:bCs/>
                <w:noProof/>
                <w:sz w:val="20"/>
                <w:szCs w:val="20"/>
                <w:lang w:eastAsia="en-GB"/>
              </w:rPr>
              <w:t>.</w:t>
            </w:r>
            <w:r>
              <w:rPr>
                <w:b/>
                <w:bCs/>
                <w:noProof/>
                <w:sz w:val="20"/>
                <w:szCs w:val="20"/>
                <w:lang w:eastAsia="en-GB"/>
              </w:rPr>
              <w:t>4</w:t>
            </w:r>
            <w:r w:rsidRPr="00F5382B">
              <w:rPr>
                <w:b/>
                <w:bCs/>
                <w:noProof/>
                <w:sz w:val="20"/>
                <w:szCs w:val="20"/>
                <w:lang w:eastAsia="en-GB"/>
              </w:rPr>
              <w:t xml:space="preserve"> billion </w:t>
            </w:r>
          </w:p>
          <w:p w14:paraId="5B1470BD" w14:textId="77777777" w:rsidR="00EE3DF9" w:rsidRPr="00F5382B" w:rsidRDefault="00EE3DF9">
            <w:pPr>
              <w:rPr>
                <w:noProof/>
                <w:sz w:val="20"/>
                <w:szCs w:val="20"/>
                <w:lang w:eastAsia="en-GB"/>
              </w:rPr>
            </w:pP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3A35D8FA" w14:textId="77777777" w:rsidR="00EE3DF9" w:rsidRPr="00F5382B" w:rsidRDefault="00EE3DF9">
            <w:pPr>
              <w:rPr>
                <w:noProof/>
                <w:sz w:val="20"/>
                <w:szCs w:val="20"/>
              </w:rPr>
            </w:pPr>
            <w:r w:rsidRPr="00F5382B">
              <w:rPr>
                <w:noProof/>
                <w:sz w:val="20"/>
                <w:szCs w:val="20"/>
              </w:rPr>
              <w:t xml:space="preserve">NIS2 scope removals for DNS providers and other entities: EUR 270 million  bn per year (EUR 94 355 per entity for 28 700 entities) </w:t>
            </w:r>
          </w:p>
          <w:p w14:paraId="3ED1D240" w14:textId="77777777" w:rsidR="00EE3DF9" w:rsidRPr="00F5382B" w:rsidRDefault="00EE3DF9">
            <w:pPr>
              <w:rPr>
                <w:noProof/>
                <w:sz w:val="20"/>
                <w:szCs w:val="20"/>
              </w:rPr>
            </w:pPr>
            <w:r w:rsidRPr="00F5382B">
              <w:rPr>
                <w:noProof/>
                <w:sz w:val="20"/>
                <w:szCs w:val="20"/>
              </w:rPr>
              <w:t xml:space="preserve">NIS2 new mid-cap category: EUR 212 million per year (EUR 94 355 per entity for 22 500 entities) </w:t>
            </w:r>
          </w:p>
          <w:p w14:paraId="127BBC84" w14:textId="798992C7" w:rsidR="00EE3DF9" w:rsidRPr="00F5382B" w:rsidRDefault="00EE3DF9">
            <w:pPr>
              <w:rPr>
                <w:noProof/>
                <w:sz w:val="20"/>
                <w:szCs w:val="20"/>
              </w:rPr>
            </w:pPr>
            <w:r w:rsidRPr="00F5382B">
              <w:rPr>
                <w:noProof/>
                <w:sz w:val="20"/>
                <w:szCs w:val="20"/>
              </w:rPr>
              <w:t xml:space="preserve">NIS2 compliance through cyberposture scheme: EUR </w:t>
            </w:r>
            <w:r w:rsidR="00CB71D7">
              <w:rPr>
                <w:noProof/>
                <w:sz w:val="20"/>
                <w:szCs w:val="20"/>
              </w:rPr>
              <w:t>3</w:t>
            </w:r>
            <w:r w:rsidRPr="00F5382B">
              <w:rPr>
                <w:noProof/>
                <w:sz w:val="20"/>
                <w:szCs w:val="20"/>
              </w:rPr>
              <w:t xml:space="preserve">0 million per year (for </w:t>
            </w:r>
            <w:r w:rsidR="00CB71D7">
              <w:rPr>
                <w:noProof/>
                <w:sz w:val="20"/>
                <w:szCs w:val="20"/>
              </w:rPr>
              <w:t>1</w:t>
            </w:r>
            <w:r w:rsidRPr="00F5382B">
              <w:rPr>
                <w:noProof/>
                <w:sz w:val="20"/>
                <w:szCs w:val="20"/>
              </w:rPr>
              <w:t xml:space="preserve">000 companies </w:t>
            </w:r>
            <w:r w:rsidR="00CB71D7">
              <w:rPr>
                <w:noProof/>
                <w:sz w:val="20"/>
                <w:szCs w:val="20"/>
              </w:rPr>
              <w:t>as of 2032</w:t>
            </w:r>
            <w:r w:rsidRPr="00F5382B">
              <w:rPr>
                <w:noProof/>
                <w:sz w:val="20"/>
                <w:szCs w:val="20"/>
              </w:rPr>
              <w:t>– EUR 30 000 per year per entity)</w:t>
            </w:r>
          </w:p>
        </w:tc>
        <w:tc>
          <w:tcPr>
            <w:tcW w:w="2131" w:type="dxa"/>
            <w:tcBorders>
              <w:top w:val="nil"/>
              <w:left w:val="nil"/>
              <w:bottom w:val="single" w:sz="8" w:space="0" w:color="auto"/>
              <w:right w:val="double" w:sz="4" w:space="0" w:color="auto"/>
            </w:tcBorders>
            <w:vAlign w:val="center"/>
          </w:tcPr>
          <w:p w14:paraId="2FFBD092" w14:textId="77777777" w:rsidR="00EE3DF9" w:rsidRPr="00F5382B" w:rsidRDefault="00EE3DF9">
            <w:pPr>
              <w:jc w:val="center"/>
              <w:rPr>
                <w:noProof/>
                <w:sz w:val="20"/>
                <w:szCs w:val="20"/>
                <w:lang w:eastAsia="en-GB"/>
              </w:rPr>
            </w:pPr>
          </w:p>
        </w:tc>
      </w:tr>
      <w:tr w:rsidR="00EE3DF9" w:rsidRPr="00F5382B" w14:paraId="597C74D5"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6360CEE6" w14:textId="77777777" w:rsidR="00EE3DF9" w:rsidRPr="00F5382B" w:rsidRDefault="00EE3DF9">
            <w:pPr>
              <w:spacing w:before="60" w:after="60"/>
              <w:ind w:left="284"/>
              <w:jc w:val="left"/>
              <w:rPr>
                <w:b/>
                <w:bCs/>
                <w:i/>
                <w:iCs/>
                <w:noProof/>
                <w:sz w:val="20"/>
                <w:szCs w:val="20"/>
              </w:rPr>
            </w:pPr>
            <w:r w:rsidRPr="00F5382B">
              <w:rPr>
                <w:b/>
                <w:bCs/>
                <w:i/>
                <w:iCs/>
                <w:noProof/>
                <w:sz w:val="20"/>
                <w:szCs w:val="20"/>
              </w:rPr>
              <w:t>Net administrative burdens*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13EE497D" w14:textId="7F3866F1" w:rsidR="00EE3DF9" w:rsidRPr="00F5382B" w:rsidRDefault="00EE3DF9">
            <w:pPr>
              <w:rPr>
                <w:b/>
                <w:bCs/>
                <w:noProof/>
                <w:sz w:val="20"/>
                <w:szCs w:val="20"/>
                <w:lang w:eastAsia="en-GB"/>
              </w:rPr>
            </w:pPr>
            <w:r w:rsidRPr="00F5382B">
              <w:rPr>
                <w:b/>
                <w:bCs/>
                <w:noProof/>
                <w:sz w:val="20"/>
                <w:szCs w:val="20"/>
                <w:lang w:eastAsia="en-GB"/>
              </w:rPr>
              <w:t xml:space="preserve">Over 5 years: - EUR </w:t>
            </w:r>
            <w:r w:rsidR="00547105">
              <w:rPr>
                <w:b/>
                <w:bCs/>
                <w:noProof/>
                <w:sz w:val="20"/>
                <w:szCs w:val="20"/>
                <w:lang w:eastAsia="en-GB"/>
              </w:rPr>
              <w:t>2</w:t>
            </w:r>
            <w:r w:rsidRPr="00F5382B">
              <w:rPr>
                <w:b/>
                <w:bCs/>
                <w:noProof/>
                <w:sz w:val="20"/>
                <w:szCs w:val="20"/>
                <w:lang w:eastAsia="en-GB"/>
              </w:rPr>
              <w:t>.</w:t>
            </w:r>
            <w:r>
              <w:rPr>
                <w:b/>
                <w:bCs/>
                <w:noProof/>
                <w:sz w:val="20"/>
                <w:szCs w:val="20"/>
                <w:lang w:eastAsia="en-GB"/>
              </w:rPr>
              <w:t>4</w:t>
            </w:r>
            <w:r w:rsidRPr="00F5382B">
              <w:rPr>
                <w:b/>
                <w:bCs/>
                <w:noProof/>
                <w:sz w:val="20"/>
                <w:szCs w:val="20"/>
                <w:lang w:eastAsia="en-GB"/>
              </w:rPr>
              <w:t xml:space="preserve"> billion</w:t>
            </w: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37860485" w14:textId="7AC49C0D" w:rsidR="00EE3DF9" w:rsidRPr="00F5382B" w:rsidRDefault="00AE5FB0">
            <w:pPr>
              <w:jc w:val="center"/>
              <w:rPr>
                <w:b/>
                <w:bCs/>
                <w:noProof/>
                <w:sz w:val="20"/>
                <w:szCs w:val="20"/>
                <w:lang w:eastAsia="en-GB"/>
              </w:rPr>
            </w:pPr>
            <w:r>
              <w:rPr>
                <w:b/>
                <w:bCs/>
                <w:noProof/>
                <w:sz w:val="20"/>
                <w:szCs w:val="20"/>
                <w:lang w:eastAsia="en-GB"/>
              </w:rPr>
              <w:t>Average p</w:t>
            </w:r>
            <w:r w:rsidR="00EE3DF9" w:rsidRPr="00F5382B">
              <w:rPr>
                <w:b/>
                <w:bCs/>
                <w:noProof/>
                <w:sz w:val="20"/>
                <w:szCs w:val="20"/>
                <w:lang w:eastAsia="en-GB"/>
              </w:rPr>
              <w:t xml:space="preserve">er year: EUR </w:t>
            </w:r>
            <w:r>
              <w:rPr>
                <w:b/>
                <w:bCs/>
                <w:noProof/>
                <w:sz w:val="20"/>
                <w:szCs w:val="20"/>
                <w:lang w:eastAsia="en-GB"/>
              </w:rPr>
              <w:t>488</w:t>
            </w:r>
            <w:r w:rsidR="00EE3DF9" w:rsidRPr="00F5382B">
              <w:rPr>
                <w:b/>
                <w:bCs/>
                <w:noProof/>
                <w:sz w:val="20"/>
                <w:szCs w:val="20"/>
                <w:lang w:eastAsia="en-GB"/>
              </w:rPr>
              <w:t xml:space="preserve"> million</w:t>
            </w:r>
          </w:p>
        </w:tc>
        <w:tc>
          <w:tcPr>
            <w:tcW w:w="2131" w:type="dxa"/>
            <w:tcBorders>
              <w:top w:val="nil"/>
              <w:left w:val="nil"/>
              <w:bottom w:val="single" w:sz="8" w:space="0" w:color="auto"/>
              <w:right w:val="double" w:sz="4" w:space="0" w:color="auto"/>
            </w:tcBorders>
            <w:vAlign w:val="center"/>
          </w:tcPr>
          <w:p w14:paraId="2B68406E" w14:textId="77777777" w:rsidR="00EE3DF9" w:rsidRPr="00F5382B" w:rsidRDefault="00EE3DF9">
            <w:pPr>
              <w:jc w:val="center"/>
              <w:rPr>
                <w:noProof/>
                <w:sz w:val="20"/>
                <w:szCs w:val="20"/>
                <w:lang w:eastAsia="en-GB"/>
              </w:rPr>
            </w:pPr>
          </w:p>
        </w:tc>
      </w:tr>
      <w:tr w:rsidR="00EE3DF9" w:rsidRPr="00F5382B" w14:paraId="224830F5" w14:textId="77777777">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169AE40D" w14:textId="77777777" w:rsidR="00EE3DF9" w:rsidRPr="00F5382B" w:rsidRDefault="00EE3DF9">
            <w:pPr>
              <w:spacing w:before="60" w:after="60"/>
              <w:ind w:left="284"/>
              <w:jc w:val="left"/>
              <w:rPr>
                <w:i/>
                <w:iCs/>
                <w:noProof/>
                <w:sz w:val="20"/>
                <w:szCs w:val="20"/>
              </w:rPr>
            </w:pPr>
            <w:bookmarkStart w:id="208" w:name="_Hlk126312690"/>
            <w:r w:rsidRPr="00F5382B">
              <w:rPr>
                <w:noProof/>
                <w:sz w:val="20"/>
                <w:szCs w:val="20"/>
              </w:rPr>
              <w:t>Adjustment costs**</w:t>
            </w:r>
          </w:p>
        </w:tc>
        <w:tc>
          <w:tcPr>
            <w:tcW w:w="2157"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4F2B83F0" w14:textId="7E3D065D" w:rsidR="00EE3DF9" w:rsidRPr="00F5382B" w:rsidRDefault="00EE3DF9">
            <w:pPr>
              <w:spacing w:before="60" w:after="60"/>
              <w:jc w:val="center"/>
              <w:rPr>
                <w:noProof/>
                <w:sz w:val="20"/>
                <w:szCs w:val="20"/>
              </w:rPr>
            </w:pPr>
            <w:r w:rsidRPr="00F5382B">
              <w:rPr>
                <w:rFonts w:eastAsia="Times New Roman"/>
                <w:b/>
                <w:bCs/>
                <w:noProof/>
                <w:sz w:val="20"/>
                <w:szCs w:val="20"/>
                <w:lang w:eastAsia="en-IE"/>
              </w:rPr>
              <w:t xml:space="preserve"> </w:t>
            </w:r>
          </w:p>
        </w:tc>
        <w:tc>
          <w:tcPr>
            <w:tcW w:w="3525" w:type="dxa"/>
            <w:tcBorders>
              <w:top w:val="nil"/>
              <w:left w:val="single" w:sz="8" w:space="0" w:color="auto"/>
              <w:bottom w:val="double" w:sz="4" w:space="0" w:color="auto"/>
              <w:right w:val="double" w:sz="4" w:space="0" w:color="auto"/>
            </w:tcBorders>
            <w:vAlign w:val="center"/>
          </w:tcPr>
          <w:p w14:paraId="53717763" w14:textId="77777777" w:rsidR="00EE3DF9" w:rsidRPr="00F5382B" w:rsidRDefault="00EE3DF9">
            <w:pPr>
              <w:spacing w:before="60" w:after="60"/>
              <w:jc w:val="center"/>
              <w:rPr>
                <w:noProof/>
                <w:sz w:val="20"/>
                <w:szCs w:val="20"/>
              </w:rPr>
            </w:pP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42FDEBB4" w14:textId="77777777" w:rsidR="00EE3DF9" w:rsidRPr="00F5382B" w:rsidRDefault="00EE3DF9">
            <w:pPr>
              <w:spacing w:before="60" w:after="60"/>
              <w:jc w:val="center"/>
              <w:rPr>
                <w:noProof/>
                <w:sz w:val="20"/>
                <w:szCs w:val="20"/>
              </w:rPr>
            </w:pPr>
          </w:p>
        </w:tc>
        <w:bookmarkEnd w:id="208"/>
      </w:tr>
      <w:tr w:rsidR="00EE3DF9" w:rsidRPr="00F5382B" w14:paraId="5BF1840E" w14:textId="77777777">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468AF54E" w14:textId="77777777" w:rsidR="00EE3DF9" w:rsidRPr="00F5382B" w:rsidRDefault="00EE3DF9">
            <w:pPr>
              <w:spacing w:before="120" w:after="120"/>
              <w:jc w:val="left"/>
              <w:rPr>
                <w:b/>
                <w:bCs/>
                <w:noProof/>
                <w:sz w:val="20"/>
                <w:szCs w:val="20"/>
                <w:lang w:eastAsia="en-GB"/>
              </w:rPr>
            </w:pPr>
            <w:r w:rsidRPr="00F5382B">
              <w:rPr>
                <w:b/>
                <w:bCs/>
                <w:noProof/>
                <w:sz w:val="20"/>
                <w:szCs w:val="20"/>
              </w:rPr>
              <w:t>Citizens</w:t>
            </w:r>
          </w:p>
        </w:tc>
      </w:tr>
      <w:tr w:rsidR="00EE3DF9" w:rsidRPr="00F5382B" w14:paraId="05D2058F"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B63FB4E" w14:textId="77777777" w:rsidR="00EE3DF9" w:rsidRPr="00F5382B" w:rsidRDefault="00EE3DF9">
            <w:pPr>
              <w:spacing w:before="60" w:after="60"/>
              <w:ind w:left="284"/>
              <w:jc w:val="left"/>
              <w:rPr>
                <w:noProof/>
                <w:sz w:val="20"/>
                <w:szCs w:val="20"/>
              </w:rPr>
            </w:pPr>
            <w:r w:rsidRPr="00F5382B">
              <w:rPr>
                <w:noProof/>
                <w:sz w:val="20"/>
                <w:szCs w:val="20"/>
              </w:rPr>
              <w:t>New administrative burdens (INs)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25ACC098" w14:textId="77777777" w:rsidR="00EE3DF9" w:rsidRPr="00F5382B" w:rsidRDefault="00EE3DF9">
            <w:pPr>
              <w:rPr>
                <w:noProof/>
                <w:sz w:val="20"/>
                <w:szCs w:val="20"/>
                <w:lang w:eastAsia="en-GB"/>
              </w:rPr>
            </w:pPr>
            <w:r w:rsidRPr="00F5382B">
              <w:rPr>
                <w:noProof/>
                <w:sz w:val="20"/>
                <w:szCs w:val="20"/>
                <w:lang w:eastAsia="en-GB"/>
              </w:rPr>
              <w:t>N.A.</w:t>
            </w: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6F655837" w14:textId="77777777" w:rsidR="00EE3DF9" w:rsidRPr="00F5382B" w:rsidRDefault="00EE3DF9">
            <w:pPr>
              <w:rPr>
                <w:noProof/>
                <w:sz w:val="20"/>
                <w:szCs w:val="20"/>
                <w:lang w:eastAsia="en-GB"/>
              </w:rPr>
            </w:pPr>
          </w:p>
        </w:tc>
        <w:tc>
          <w:tcPr>
            <w:tcW w:w="2131" w:type="dxa"/>
            <w:tcBorders>
              <w:top w:val="nil"/>
              <w:left w:val="nil"/>
              <w:bottom w:val="single" w:sz="8" w:space="0" w:color="auto"/>
              <w:right w:val="double" w:sz="4" w:space="0" w:color="auto"/>
            </w:tcBorders>
            <w:vAlign w:val="center"/>
          </w:tcPr>
          <w:p w14:paraId="1DF61D62" w14:textId="77777777" w:rsidR="00EE3DF9" w:rsidRPr="00F5382B" w:rsidRDefault="00EE3DF9">
            <w:pPr>
              <w:jc w:val="center"/>
              <w:rPr>
                <w:noProof/>
                <w:sz w:val="20"/>
                <w:szCs w:val="20"/>
                <w:lang w:eastAsia="en-GB"/>
              </w:rPr>
            </w:pPr>
          </w:p>
        </w:tc>
      </w:tr>
      <w:tr w:rsidR="00EE3DF9" w:rsidRPr="00F5382B" w14:paraId="1B7B0FB6"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652BE0F7" w14:textId="77777777" w:rsidR="00EE3DF9" w:rsidRPr="00F5382B" w:rsidRDefault="00EE3DF9">
            <w:pPr>
              <w:spacing w:before="60" w:after="60"/>
              <w:ind w:left="284"/>
              <w:jc w:val="left"/>
              <w:rPr>
                <w:noProof/>
                <w:sz w:val="20"/>
                <w:szCs w:val="20"/>
              </w:rPr>
            </w:pPr>
            <w:r w:rsidRPr="00F5382B">
              <w:rPr>
                <w:noProof/>
                <w:sz w:val="20"/>
                <w:szCs w:val="20"/>
              </w:rPr>
              <w:t>Removed administrative burdens (OUTs)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5F624F67" w14:textId="77777777" w:rsidR="00EE3DF9" w:rsidRPr="00F5382B" w:rsidRDefault="00EE3DF9">
            <w:pPr>
              <w:rPr>
                <w:noProof/>
                <w:sz w:val="20"/>
                <w:szCs w:val="20"/>
                <w:lang w:eastAsia="en-GB"/>
              </w:rPr>
            </w:pPr>
            <w:r w:rsidRPr="00F5382B">
              <w:rPr>
                <w:noProof/>
                <w:sz w:val="20"/>
                <w:szCs w:val="20"/>
                <w:lang w:eastAsia="en-GB"/>
              </w:rPr>
              <w:t>N.A.</w:t>
            </w: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598CFCEE" w14:textId="77777777" w:rsidR="00EE3DF9" w:rsidRPr="00F5382B" w:rsidRDefault="00EE3DF9">
            <w:pPr>
              <w:rPr>
                <w:noProof/>
                <w:sz w:val="20"/>
                <w:szCs w:val="20"/>
                <w:lang w:eastAsia="en-GB"/>
              </w:rPr>
            </w:pPr>
          </w:p>
        </w:tc>
        <w:tc>
          <w:tcPr>
            <w:tcW w:w="2131" w:type="dxa"/>
            <w:tcBorders>
              <w:top w:val="nil"/>
              <w:left w:val="nil"/>
              <w:bottom w:val="single" w:sz="8" w:space="0" w:color="auto"/>
              <w:right w:val="double" w:sz="4" w:space="0" w:color="auto"/>
            </w:tcBorders>
            <w:vAlign w:val="center"/>
          </w:tcPr>
          <w:p w14:paraId="10D0207D" w14:textId="77777777" w:rsidR="00EE3DF9" w:rsidRPr="00F5382B" w:rsidRDefault="00EE3DF9">
            <w:pPr>
              <w:jc w:val="center"/>
              <w:rPr>
                <w:noProof/>
                <w:sz w:val="20"/>
                <w:szCs w:val="20"/>
                <w:lang w:eastAsia="en-GB"/>
              </w:rPr>
            </w:pPr>
          </w:p>
        </w:tc>
      </w:tr>
      <w:tr w:rsidR="00EE3DF9" w:rsidRPr="00F5382B" w14:paraId="0AE65122"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B168AB6" w14:textId="77777777" w:rsidR="00EE3DF9" w:rsidRPr="00F5382B" w:rsidRDefault="00EE3DF9">
            <w:pPr>
              <w:spacing w:before="60" w:after="60"/>
              <w:ind w:left="284"/>
              <w:jc w:val="left"/>
              <w:rPr>
                <w:b/>
                <w:bCs/>
                <w:noProof/>
                <w:sz w:val="20"/>
                <w:szCs w:val="20"/>
              </w:rPr>
            </w:pPr>
            <w:r w:rsidRPr="00F5382B">
              <w:rPr>
                <w:b/>
                <w:bCs/>
                <w:i/>
                <w:iCs/>
                <w:noProof/>
                <w:sz w:val="20"/>
                <w:szCs w:val="20"/>
              </w:rPr>
              <w:t>Net administrative burdens*</w:t>
            </w:r>
          </w:p>
        </w:tc>
        <w:tc>
          <w:tcPr>
            <w:tcW w:w="21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AD460E8" w14:textId="77777777" w:rsidR="00EE3DF9" w:rsidRPr="00F5382B" w:rsidRDefault="00EE3DF9">
            <w:pPr>
              <w:rPr>
                <w:noProof/>
                <w:sz w:val="20"/>
                <w:szCs w:val="20"/>
                <w:lang w:eastAsia="en-GB"/>
              </w:rPr>
            </w:pPr>
            <w:r w:rsidRPr="00F5382B">
              <w:rPr>
                <w:noProof/>
                <w:sz w:val="20"/>
                <w:szCs w:val="20"/>
                <w:lang w:eastAsia="en-GB"/>
              </w:rPr>
              <w:t xml:space="preserve">N.A. </w:t>
            </w:r>
          </w:p>
        </w:tc>
        <w:tc>
          <w:tcPr>
            <w:tcW w:w="3525" w:type="dxa"/>
            <w:tcBorders>
              <w:top w:val="nil"/>
              <w:left w:val="nil"/>
              <w:bottom w:val="single" w:sz="8" w:space="0" w:color="auto"/>
              <w:right w:val="double" w:sz="4" w:space="0" w:color="auto"/>
            </w:tcBorders>
            <w:tcMar>
              <w:top w:w="0" w:type="dxa"/>
              <w:left w:w="108" w:type="dxa"/>
              <w:bottom w:w="0" w:type="dxa"/>
              <w:right w:w="108" w:type="dxa"/>
            </w:tcMar>
            <w:vAlign w:val="center"/>
          </w:tcPr>
          <w:p w14:paraId="10965044" w14:textId="77777777" w:rsidR="00EE3DF9" w:rsidRPr="00F5382B" w:rsidRDefault="00EE3DF9">
            <w:pPr>
              <w:rPr>
                <w:noProof/>
                <w:sz w:val="20"/>
                <w:szCs w:val="20"/>
                <w:lang w:eastAsia="en-GB"/>
              </w:rPr>
            </w:pPr>
          </w:p>
        </w:tc>
        <w:tc>
          <w:tcPr>
            <w:tcW w:w="2131" w:type="dxa"/>
            <w:tcBorders>
              <w:top w:val="nil"/>
              <w:left w:val="nil"/>
              <w:bottom w:val="single" w:sz="8" w:space="0" w:color="auto"/>
              <w:right w:val="double" w:sz="4" w:space="0" w:color="auto"/>
            </w:tcBorders>
            <w:vAlign w:val="center"/>
          </w:tcPr>
          <w:p w14:paraId="71920C14" w14:textId="77777777" w:rsidR="00EE3DF9" w:rsidRPr="00F5382B" w:rsidRDefault="00EE3DF9">
            <w:pPr>
              <w:jc w:val="center"/>
              <w:rPr>
                <w:noProof/>
                <w:sz w:val="20"/>
                <w:szCs w:val="20"/>
                <w:lang w:eastAsia="en-GB"/>
              </w:rPr>
            </w:pPr>
          </w:p>
        </w:tc>
      </w:tr>
      <w:tr w:rsidR="00EE3DF9" w:rsidRPr="00F5382B" w14:paraId="42DB8961" w14:textId="77777777">
        <w:trPr>
          <w:trHeight w:val="557"/>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40C32E30" w14:textId="77777777" w:rsidR="00EE3DF9" w:rsidRPr="00F5382B" w:rsidRDefault="00EE3DF9">
            <w:pPr>
              <w:spacing w:before="60" w:after="60"/>
              <w:ind w:left="284"/>
              <w:jc w:val="left"/>
              <w:rPr>
                <w:i/>
                <w:iCs/>
                <w:noProof/>
                <w:sz w:val="20"/>
                <w:szCs w:val="20"/>
              </w:rPr>
            </w:pPr>
            <w:r w:rsidRPr="00F5382B">
              <w:rPr>
                <w:noProof/>
                <w:sz w:val="20"/>
                <w:szCs w:val="20"/>
              </w:rPr>
              <w:t>Adjustment costs**</w:t>
            </w:r>
          </w:p>
        </w:tc>
        <w:tc>
          <w:tcPr>
            <w:tcW w:w="2157"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1ACFC10E" w14:textId="77777777" w:rsidR="00EE3DF9" w:rsidRPr="00F5382B" w:rsidRDefault="00EE3DF9">
            <w:pPr>
              <w:spacing w:before="60" w:after="60"/>
              <w:rPr>
                <w:noProof/>
                <w:sz w:val="20"/>
                <w:szCs w:val="20"/>
              </w:rPr>
            </w:pPr>
            <w:r w:rsidRPr="00F5382B">
              <w:rPr>
                <w:noProof/>
                <w:sz w:val="20"/>
                <w:szCs w:val="20"/>
              </w:rPr>
              <w:t xml:space="preserve">N.A </w:t>
            </w:r>
          </w:p>
        </w:tc>
        <w:tc>
          <w:tcPr>
            <w:tcW w:w="3525" w:type="dxa"/>
            <w:tcBorders>
              <w:top w:val="nil"/>
              <w:left w:val="single" w:sz="8" w:space="0" w:color="auto"/>
              <w:bottom w:val="double" w:sz="4" w:space="0" w:color="auto"/>
              <w:right w:val="double" w:sz="4" w:space="0" w:color="auto"/>
            </w:tcBorders>
            <w:vAlign w:val="center"/>
          </w:tcPr>
          <w:p w14:paraId="2F2DF2DB" w14:textId="77777777" w:rsidR="00EE3DF9" w:rsidRPr="00F5382B" w:rsidRDefault="00EE3DF9">
            <w:pPr>
              <w:spacing w:before="60" w:after="60"/>
              <w:jc w:val="center"/>
              <w:rPr>
                <w:noProof/>
                <w:sz w:val="20"/>
                <w:szCs w:val="20"/>
              </w:rPr>
            </w:pP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10CA7AF3" w14:textId="77777777" w:rsidR="00EE3DF9" w:rsidRPr="00F5382B" w:rsidRDefault="00EE3DF9">
            <w:pPr>
              <w:spacing w:before="60" w:after="60"/>
              <w:jc w:val="center"/>
              <w:rPr>
                <w:noProof/>
                <w:sz w:val="20"/>
                <w:szCs w:val="20"/>
              </w:rPr>
            </w:pPr>
          </w:p>
        </w:tc>
      </w:tr>
      <w:tr w:rsidR="00EE3DF9" w:rsidRPr="00F5382B" w14:paraId="05A5F294" w14:textId="77777777">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7B32248D" w14:textId="77777777" w:rsidR="00EE3DF9" w:rsidRPr="00F5382B" w:rsidRDefault="00EE3DF9">
            <w:pPr>
              <w:spacing w:before="60" w:after="60"/>
              <w:ind w:left="35"/>
              <w:jc w:val="left"/>
              <w:rPr>
                <w:noProof/>
                <w:sz w:val="20"/>
                <w:szCs w:val="20"/>
              </w:rPr>
            </w:pPr>
            <w:r w:rsidRPr="00F5382B">
              <w:rPr>
                <w:b/>
                <w:bCs/>
                <w:noProof/>
                <w:sz w:val="20"/>
                <w:szCs w:val="20"/>
              </w:rPr>
              <w:t>Total administrative burdens***</w:t>
            </w:r>
          </w:p>
        </w:tc>
        <w:tc>
          <w:tcPr>
            <w:tcW w:w="2157"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4DB13F04" w14:textId="7D44C558" w:rsidR="00EE3DF9" w:rsidRPr="00F5382B" w:rsidRDefault="00EE3DF9">
            <w:pPr>
              <w:spacing w:before="60" w:after="60"/>
              <w:rPr>
                <w:b/>
                <w:bCs/>
                <w:i/>
                <w:iCs/>
                <w:noProof/>
                <w:sz w:val="20"/>
                <w:szCs w:val="20"/>
              </w:rPr>
            </w:pPr>
            <w:r w:rsidRPr="00F5382B">
              <w:rPr>
                <w:b/>
                <w:bCs/>
                <w:noProof/>
                <w:sz w:val="20"/>
                <w:szCs w:val="20"/>
                <w:lang w:eastAsia="en-GB"/>
              </w:rPr>
              <w:t xml:space="preserve">- EUR </w:t>
            </w:r>
            <w:r w:rsidR="007F7B7B">
              <w:rPr>
                <w:b/>
                <w:bCs/>
                <w:noProof/>
                <w:sz w:val="20"/>
                <w:szCs w:val="20"/>
                <w:lang w:eastAsia="en-GB"/>
              </w:rPr>
              <w:t>2</w:t>
            </w:r>
            <w:r w:rsidRPr="00F5382B">
              <w:rPr>
                <w:b/>
                <w:bCs/>
                <w:noProof/>
                <w:sz w:val="20"/>
                <w:szCs w:val="20"/>
                <w:lang w:eastAsia="en-GB"/>
              </w:rPr>
              <w:t>.</w:t>
            </w:r>
            <w:r>
              <w:rPr>
                <w:b/>
                <w:bCs/>
                <w:noProof/>
                <w:sz w:val="20"/>
                <w:szCs w:val="20"/>
                <w:lang w:eastAsia="en-GB"/>
              </w:rPr>
              <w:t xml:space="preserve">4 </w:t>
            </w:r>
            <w:r w:rsidRPr="00F5382B">
              <w:rPr>
                <w:b/>
                <w:bCs/>
                <w:noProof/>
                <w:sz w:val="20"/>
                <w:szCs w:val="20"/>
                <w:lang w:eastAsia="en-GB"/>
              </w:rPr>
              <w:t>billion over 5 years</w:t>
            </w:r>
          </w:p>
        </w:tc>
        <w:tc>
          <w:tcPr>
            <w:tcW w:w="3525" w:type="dxa"/>
            <w:tcBorders>
              <w:top w:val="double" w:sz="4" w:space="0" w:color="auto"/>
              <w:left w:val="single" w:sz="8" w:space="0" w:color="auto"/>
              <w:bottom w:val="double" w:sz="4" w:space="0" w:color="auto"/>
              <w:right w:val="double" w:sz="4" w:space="0" w:color="auto"/>
            </w:tcBorders>
            <w:vAlign w:val="center"/>
          </w:tcPr>
          <w:p w14:paraId="23CB57CB" w14:textId="43D7F87B" w:rsidR="00EE3DF9" w:rsidRPr="00F5382B" w:rsidRDefault="00F071F6">
            <w:pPr>
              <w:spacing w:before="60" w:after="60"/>
              <w:jc w:val="center"/>
              <w:rPr>
                <w:b/>
                <w:bCs/>
                <w:noProof/>
                <w:sz w:val="20"/>
                <w:szCs w:val="20"/>
              </w:rPr>
            </w:pPr>
            <w:r>
              <w:rPr>
                <w:b/>
                <w:bCs/>
                <w:noProof/>
                <w:sz w:val="20"/>
                <w:szCs w:val="20"/>
                <w:lang w:eastAsia="en-GB"/>
              </w:rPr>
              <w:t>Average p</w:t>
            </w:r>
            <w:r w:rsidR="00EE3DF9" w:rsidRPr="00F5382B">
              <w:rPr>
                <w:b/>
                <w:bCs/>
                <w:noProof/>
                <w:sz w:val="20"/>
                <w:szCs w:val="20"/>
                <w:lang w:eastAsia="en-GB"/>
              </w:rPr>
              <w:t xml:space="preserve">er year: EUR </w:t>
            </w:r>
            <w:r>
              <w:rPr>
                <w:b/>
                <w:bCs/>
                <w:noProof/>
                <w:sz w:val="20"/>
                <w:szCs w:val="20"/>
                <w:lang w:eastAsia="en-GB"/>
              </w:rPr>
              <w:t xml:space="preserve">488 </w:t>
            </w:r>
            <w:r w:rsidR="00262FA2" w:rsidRPr="00F5382B">
              <w:rPr>
                <w:b/>
                <w:bCs/>
                <w:noProof/>
                <w:sz w:val="20"/>
                <w:szCs w:val="20"/>
                <w:lang w:eastAsia="en-GB"/>
              </w:rPr>
              <w:t>million</w:t>
            </w:r>
          </w:p>
        </w:tc>
        <w:tc>
          <w:tcPr>
            <w:tcW w:w="2131" w:type="dxa"/>
            <w:tcBorders>
              <w:top w:val="double" w:sz="4" w:space="0" w:color="auto"/>
              <w:left w:val="single" w:sz="4" w:space="0" w:color="auto"/>
              <w:bottom w:val="double" w:sz="4" w:space="0" w:color="auto"/>
              <w:right w:val="double" w:sz="4" w:space="0" w:color="auto"/>
            </w:tcBorders>
            <w:vAlign w:val="center"/>
          </w:tcPr>
          <w:p w14:paraId="4AF3CA55" w14:textId="77777777" w:rsidR="00EE3DF9" w:rsidRPr="00F5382B" w:rsidRDefault="00EE3DF9">
            <w:pPr>
              <w:spacing w:before="60" w:after="60"/>
              <w:jc w:val="center"/>
              <w:rPr>
                <w:b/>
                <w:bCs/>
                <w:noProof/>
                <w:sz w:val="20"/>
                <w:szCs w:val="20"/>
              </w:rPr>
            </w:pPr>
          </w:p>
        </w:tc>
      </w:tr>
    </w:tbl>
    <w:p w14:paraId="4A57C71F" w14:textId="77777777" w:rsidR="00EE3DF9" w:rsidRPr="00F5382B" w:rsidRDefault="00EE3DF9" w:rsidP="00EE3DF9">
      <w:pPr>
        <w:spacing w:after="0"/>
        <w:ind w:left="-567"/>
        <w:rPr>
          <w:i/>
          <w:iCs/>
          <w:noProof/>
          <w:sz w:val="20"/>
          <w:szCs w:val="20"/>
        </w:rPr>
      </w:pPr>
      <w:r w:rsidRPr="00F5382B">
        <w:rPr>
          <w:i/>
          <w:iCs/>
          <w:noProof/>
          <w:sz w:val="20"/>
          <w:szCs w:val="20"/>
        </w:rPr>
        <w:t xml:space="preserve">(*) Net administrative burdens = INs – OUTs; </w:t>
      </w:r>
    </w:p>
    <w:p w14:paraId="247EC24F" w14:textId="20525BA5" w:rsidR="00EE3DF9" w:rsidRPr="00F5382B" w:rsidRDefault="00EE3DF9" w:rsidP="00EE3DF9">
      <w:pPr>
        <w:spacing w:after="0"/>
        <w:ind w:left="-567"/>
        <w:rPr>
          <w:i/>
          <w:iCs/>
          <w:noProof/>
          <w:sz w:val="20"/>
          <w:szCs w:val="20"/>
        </w:rPr>
      </w:pPr>
      <w:r w:rsidRPr="00F5382B">
        <w:rPr>
          <w:i/>
          <w:iCs/>
          <w:noProof/>
          <w:sz w:val="20"/>
          <w:szCs w:val="20"/>
        </w:rPr>
        <w:t xml:space="preserve">(**) Adjustment costs falling under the scope of the OIOO approach are the same as reported in Table </w:t>
      </w:r>
      <w:r w:rsidR="002D2D20">
        <w:rPr>
          <w:i/>
          <w:iCs/>
          <w:noProof/>
          <w:sz w:val="20"/>
          <w:szCs w:val="20"/>
        </w:rPr>
        <w:t>7</w:t>
      </w:r>
      <w:r w:rsidRPr="00F5382B">
        <w:rPr>
          <w:i/>
          <w:iCs/>
          <w:noProof/>
          <w:sz w:val="20"/>
          <w:szCs w:val="20"/>
        </w:rPr>
        <w:t xml:space="preserve"> above.</w:t>
      </w:r>
      <w:bookmarkEnd w:id="207"/>
      <w:r w:rsidRPr="00F5382B">
        <w:rPr>
          <w:i/>
          <w:iCs/>
          <w:noProof/>
          <w:sz w:val="20"/>
          <w:szCs w:val="20"/>
        </w:rPr>
        <w:t xml:space="preserve"> Non-annualised values; </w:t>
      </w:r>
    </w:p>
    <w:p w14:paraId="2DF12692" w14:textId="77777777" w:rsidR="00EE3DF9" w:rsidRPr="00F5382B" w:rsidRDefault="00EE3DF9" w:rsidP="00EE3DF9">
      <w:pPr>
        <w:ind w:left="-567"/>
        <w:rPr>
          <w:i/>
          <w:noProof/>
          <w:sz w:val="20"/>
          <w:szCs w:val="20"/>
        </w:rPr>
      </w:pPr>
      <w:r w:rsidRPr="00F5382B">
        <w:rPr>
          <w:i/>
          <w:iCs/>
          <w:noProof/>
          <w:sz w:val="20"/>
          <w:szCs w:val="20"/>
        </w:rPr>
        <w:t>(***) Total administrative burdens = Net administrative burdens for businesses + net administrative burdens for citizens.</w:t>
      </w:r>
    </w:p>
    <w:p w14:paraId="176168A9" w14:textId="77777777" w:rsidR="00EE3DF9" w:rsidRPr="00F5382B" w:rsidRDefault="00EE3DF9" w:rsidP="00EE3DF9">
      <w:pPr>
        <w:spacing w:after="0"/>
        <w:ind w:left="1080"/>
        <w:textAlignment w:val="baseline"/>
        <w:rPr>
          <w:rFonts w:eastAsia="Times New Roman"/>
          <w:noProof/>
          <w:lang w:val="en-IE" w:eastAsia="en-IE"/>
        </w:rPr>
      </w:pPr>
    </w:p>
    <w:p w14:paraId="0EF8E906" w14:textId="77777777" w:rsidR="00EE3DF9" w:rsidRPr="00F5382B" w:rsidRDefault="00EE3DF9" w:rsidP="00EE3DF9">
      <w:pPr>
        <w:numPr>
          <w:ilvl w:val="0"/>
          <w:numId w:val="48"/>
        </w:numPr>
        <w:spacing w:after="0"/>
        <w:ind w:firstLine="0"/>
        <w:textAlignment w:val="baseline"/>
        <w:rPr>
          <w:rFonts w:eastAsia="Times New Roman"/>
          <w:b/>
          <w:bCs/>
          <w:smallCaps/>
          <w:noProof/>
          <w:lang w:val="en-IE" w:eastAsia="en-IE"/>
        </w:rPr>
      </w:pPr>
      <w:r w:rsidRPr="00F5382B">
        <w:rPr>
          <w:rFonts w:eastAsia="Times New Roman"/>
          <w:b/>
          <w:bCs/>
          <w:smallCaps/>
          <w:noProof/>
          <w:lang w:eastAsia="en-IE"/>
        </w:rPr>
        <w:t>Relevant sustainable development goals</w:t>
      </w:r>
      <w:r w:rsidRPr="00F5382B">
        <w:rPr>
          <w:rFonts w:eastAsia="Times New Roman"/>
          <w:b/>
          <w:bCs/>
          <w:smallCaps/>
          <w:noProof/>
          <w:lang w:val="en-IE" w:eastAsia="en-IE"/>
        </w:rPr>
        <w:t> </w:t>
      </w:r>
    </w:p>
    <w:p w14:paraId="7E10458C" w14:textId="77777777" w:rsidR="00EE3DF9" w:rsidRPr="00F5382B" w:rsidRDefault="00EE3DF9" w:rsidP="00EE3DF9">
      <w:pPr>
        <w:spacing w:after="0"/>
        <w:ind w:left="720"/>
        <w:textAlignment w:val="baseline"/>
        <w:rPr>
          <w:rFonts w:eastAsia="Times New Roman"/>
          <w:b/>
          <w:bCs/>
          <w:smallCaps/>
          <w:noProof/>
          <w:lang w:val="en-IE" w:eastAsia="en-IE"/>
        </w:rPr>
      </w:pPr>
    </w:p>
    <w:p w14:paraId="5148F8CE" w14:textId="748D3363" w:rsidR="00EE3DF9" w:rsidRPr="00F5382B" w:rsidRDefault="00EE3DF9" w:rsidP="00EE3DF9">
      <w:pPr>
        <w:pStyle w:val="Heading5"/>
        <w:rPr>
          <w:noProof/>
          <w:lang w:val="en-IE" w:eastAsia="en-IE"/>
        </w:rPr>
      </w:pPr>
      <w:bookmarkStart w:id="209" w:name="_Toc218767803"/>
      <w:r w:rsidRPr="00F5382B">
        <w:rPr>
          <w:noProof/>
        </w:rPr>
        <w:t xml:space="preserve">Table </w:t>
      </w:r>
      <w:r w:rsidR="004A60E7">
        <w:rPr>
          <w:noProof/>
        </w:rPr>
        <w:t>9</w:t>
      </w:r>
      <w:r>
        <w:rPr>
          <w:noProof/>
        </w:rPr>
        <w:fldChar w:fldCharType="begin"/>
      </w:r>
      <w:r>
        <w:rPr>
          <w:noProof/>
        </w:rPr>
        <w:instrText xml:space="preserve"> SEQ Table \* ARABIC </w:instrText>
      </w:r>
      <w:r>
        <w:rPr>
          <w:noProof/>
        </w:rPr>
        <w:fldChar w:fldCharType="separate"/>
      </w:r>
      <w:r w:rsidR="00385971">
        <w:rPr>
          <w:noProof/>
        </w:rPr>
        <w:t>4</w:t>
      </w:r>
      <w:r>
        <w:rPr>
          <w:noProof/>
        </w:rPr>
        <w:fldChar w:fldCharType="end"/>
      </w:r>
      <w:r w:rsidRPr="00F5382B">
        <w:rPr>
          <w:noProof/>
        </w:rPr>
        <w:t>: Overview of relevant sustainable development goals</w:t>
      </w:r>
      <w:bookmarkEnd w:id="209"/>
    </w:p>
    <w:tbl>
      <w:tblPr>
        <w:tblW w:w="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5"/>
        <w:gridCol w:w="3757"/>
        <w:gridCol w:w="3405"/>
      </w:tblGrid>
      <w:tr w:rsidR="00EE3DF9" w:rsidRPr="00F5382B" w14:paraId="315C4747" w14:textId="77777777">
        <w:trPr>
          <w:trHeight w:val="300"/>
        </w:trPr>
        <w:tc>
          <w:tcPr>
            <w:tcW w:w="10365" w:type="dxa"/>
            <w:gridSpan w:val="3"/>
            <w:tcBorders>
              <w:top w:val="double" w:sz="6" w:space="0" w:color="auto"/>
              <w:left w:val="double" w:sz="6" w:space="0" w:color="auto"/>
              <w:bottom w:val="single" w:sz="6" w:space="0" w:color="auto"/>
              <w:right w:val="double" w:sz="6" w:space="0" w:color="auto"/>
            </w:tcBorders>
            <w:shd w:val="clear" w:color="auto" w:fill="C6D9F1" w:themeFill="text2" w:themeFillTint="33"/>
            <w:hideMark/>
          </w:tcPr>
          <w:p w14:paraId="777DD4DE" w14:textId="77777777" w:rsidR="00EE3DF9" w:rsidRPr="00F5382B" w:rsidRDefault="00EE3DF9">
            <w:pPr>
              <w:spacing w:after="0"/>
              <w:textAlignment w:val="baseline"/>
              <w:rPr>
                <w:rFonts w:eastAsia="Times New Roman"/>
                <w:noProof/>
                <w:lang w:val="en-IE" w:eastAsia="en-IE"/>
              </w:rPr>
            </w:pPr>
            <w:r w:rsidRPr="00F5382B">
              <w:rPr>
                <w:rFonts w:eastAsia="Times New Roman"/>
                <w:b/>
                <w:bCs/>
                <w:noProof/>
                <w:sz w:val="20"/>
                <w:szCs w:val="20"/>
                <w:lang w:eastAsia="en-IE"/>
              </w:rPr>
              <w:t>IV. Overview of relevant Sustainable Development Goals – Preferred Option(s)</w:t>
            </w:r>
            <w:r w:rsidRPr="00F5382B">
              <w:rPr>
                <w:rFonts w:eastAsia="Times New Roman"/>
                <w:noProof/>
                <w:sz w:val="20"/>
                <w:szCs w:val="20"/>
                <w:lang w:val="en-IE" w:eastAsia="en-IE"/>
              </w:rPr>
              <w:t> </w:t>
            </w:r>
          </w:p>
        </w:tc>
      </w:tr>
      <w:tr w:rsidR="00EE3DF9" w:rsidRPr="00F5382B" w14:paraId="01A27456" w14:textId="77777777">
        <w:trPr>
          <w:trHeight w:val="300"/>
        </w:trPr>
        <w:tc>
          <w:tcPr>
            <w:tcW w:w="2550" w:type="dxa"/>
            <w:tcBorders>
              <w:top w:val="single" w:sz="6" w:space="0" w:color="auto"/>
              <w:left w:val="double" w:sz="6" w:space="0" w:color="auto"/>
              <w:bottom w:val="single" w:sz="6" w:space="0" w:color="auto"/>
              <w:right w:val="single" w:sz="6" w:space="0" w:color="auto"/>
            </w:tcBorders>
            <w:shd w:val="clear" w:color="auto" w:fill="C6D9F1" w:themeFill="text2" w:themeFillTint="33"/>
            <w:vAlign w:val="center"/>
            <w:hideMark/>
          </w:tcPr>
          <w:p w14:paraId="3C2747BC"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Relevant SDG</w:t>
            </w:r>
            <w:r w:rsidRPr="00F5382B">
              <w:rPr>
                <w:rFonts w:eastAsia="Times New Roman"/>
                <w:noProof/>
                <w:sz w:val="20"/>
                <w:szCs w:val="20"/>
                <w:lang w:val="en-IE" w:eastAsia="en-IE"/>
              </w:rPr>
              <w:t> </w:t>
            </w:r>
          </w:p>
        </w:tc>
        <w:tc>
          <w:tcPr>
            <w:tcW w:w="4110" w:type="dxa"/>
            <w:tcBorders>
              <w:top w:val="single" w:sz="6" w:space="0" w:color="auto"/>
              <w:left w:val="single" w:sz="6" w:space="0" w:color="auto"/>
              <w:bottom w:val="single" w:sz="6" w:space="0" w:color="auto"/>
              <w:right w:val="single" w:sz="6" w:space="0" w:color="auto"/>
            </w:tcBorders>
            <w:shd w:val="clear" w:color="auto" w:fill="C6D9F1" w:themeFill="text2" w:themeFillTint="33"/>
            <w:vAlign w:val="center"/>
            <w:hideMark/>
          </w:tcPr>
          <w:p w14:paraId="49F7C213"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Expected progress towards the Goal</w:t>
            </w:r>
            <w:r w:rsidRPr="00F5382B">
              <w:rPr>
                <w:rFonts w:eastAsia="Times New Roman"/>
                <w:noProof/>
                <w:sz w:val="20"/>
                <w:szCs w:val="20"/>
                <w:lang w:val="en-IE" w:eastAsia="en-IE"/>
              </w:rPr>
              <w:t> </w:t>
            </w:r>
          </w:p>
        </w:tc>
        <w:tc>
          <w:tcPr>
            <w:tcW w:w="3705" w:type="dxa"/>
            <w:tcBorders>
              <w:top w:val="single" w:sz="6" w:space="0" w:color="auto"/>
              <w:left w:val="single" w:sz="6" w:space="0" w:color="auto"/>
              <w:bottom w:val="single" w:sz="6" w:space="0" w:color="auto"/>
              <w:right w:val="double" w:sz="6" w:space="0" w:color="auto"/>
            </w:tcBorders>
            <w:shd w:val="clear" w:color="auto" w:fill="C6D9F1" w:themeFill="text2" w:themeFillTint="33"/>
            <w:vAlign w:val="center"/>
            <w:hideMark/>
          </w:tcPr>
          <w:p w14:paraId="40DD3762"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bCs/>
                <w:noProof/>
                <w:sz w:val="20"/>
                <w:szCs w:val="20"/>
                <w:lang w:eastAsia="en-IE"/>
              </w:rPr>
              <w:t>Comments</w:t>
            </w:r>
            <w:r w:rsidRPr="00F5382B">
              <w:rPr>
                <w:rFonts w:eastAsia="Times New Roman"/>
                <w:noProof/>
                <w:sz w:val="20"/>
                <w:szCs w:val="20"/>
                <w:lang w:val="en-IE" w:eastAsia="en-IE"/>
              </w:rPr>
              <w:t> </w:t>
            </w:r>
          </w:p>
        </w:tc>
      </w:tr>
      <w:tr w:rsidR="00EE3DF9" w:rsidRPr="00F5382B" w14:paraId="288ED1D6" w14:textId="77777777">
        <w:trPr>
          <w:trHeight w:val="300"/>
        </w:trPr>
        <w:tc>
          <w:tcPr>
            <w:tcW w:w="2550" w:type="dxa"/>
            <w:tcBorders>
              <w:top w:val="double" w:sz="6" w:space="0" w:color="auto"/>
              <w:left w:val="double" w:sz="6" w:space="0" w:color="auto"/>
              <w:bottom w:val="single" w:sz="6" w:space="0" w:color="auto"/>
              <w:right w:val="single" w:sz="6" w:space="0" w:color="auto"/>
            </w:tcBorders>
            <w:vAlign w:val="center"/>
            <w:hideMark/>
          </w:tcPr>
          <w:p w14:paraId="5055B087"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SDG 8: Decent work and economic growth</w:t>
            </w:r>
            <w:r w:rsidRPr="00F5382B">
              <w:rPr>
                <w:rFonts w:eastAsia="Times New Roman"/>
                <w:noProof/>
                <w:color w:val="000000"/>
                <w:sz w:val="20"/>
                <w:szCs w:val="20"/>
                <w:lang w:val="en-IE" w:eastAsia="en-IE"/>
              </w:rPr>
              <w:t> </w:t>
            </w:r>
          </w:p>
        </w:tc>
        <w:tc>
          <w:tcPr>
            <w:tcW w:w="4110" w:type="dxa"/>
            <w:tcBorders>
              <w:top w:val="double" w:sz="6" w:space="0" w:color="auto"/>
              <w:left w:val="single" w:sz="6" w:space="0" w:color="auto"/>
              <w:bottom w:val="single" w:sz="6" w:space="0" w:color="auto"/>
              <w:right w:val="single" w:sz="6" w:space="0" w:color="auto"/>
            </w:tcBorders>
            <w:vAlign w:val="center"/>
            <w:hideMark/>
          </w:tcPr>
          <w:p w14:paraId="0262081C"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themeColor="text1"/>
                <w:sz w:val="20"/>
                <w:szCs w:val="20"/>
                <w:lang w:eastAsia="en-IE"/>
              </w:rPr>
              <w:t>Indirect contribution through improving certification helps increase competitiveness and economic efficiency, improving cybersecurity skills and workforce development through attestation.</w:t>
            </w:r>
            <w:r w:rsidRPr="00F5382B">
              <w:rPr>
                <w:rFonts w:eastAsia="Times New Roman"/>
                <w:noProof/>
                <w:color w:val="000000" w:themeColor="text1"/>
                <w:sz w:val="20"/>
                <w:szCs w:val="20"/>
                <w:lang w:val="en-IE" w:eastAsia="en-IE"/>
              </w:rPr>
              <w:t> </w:t>
            </w:r>
          </w:p>
        </w:tc>
        <w:tc>
          <w:tcPr>
            <w:tcW w:w="3705" w:type="dxa"/>
            <w:tcBorders>
              <w:top w:val="double" w:sz="6" w:space="0" w:color="auto"/>
              <w:left w:val="single" w:sz="6" w:space="0" w:color="auto"/>
              <w:bottom w:val="single" w:sz="6" w:space="0" w:color="auto"/>
              <w:right w:val="double" w:sz="6" w:space="0" w:color="auto"/>
            </w:tcBorders>
            <w:vAlign w:val="center"/>
            <w:hideMark/>
          </w:tcPr>
          <w:p w14:paraId="05DDC9AE"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Beneficiaries include SMEs and regulated entities, as it may foster secure digital trade</w:t>
            </w:r>
            <w:r w:rsidRPr="00F5382B">
              <w:rPr>
                <w:rFonts w:eastAsia="Times New Roman"/>
                <w:noProof/>
                <w:color w:val="000000"/>
                <w:sz w:val="20"/>
                <w:szCs w:val="20"/>
                <w:lang w:val="en-IE" w:eastAsia="en-IE"/>
              </w:rPr>
              <w:t> </w:t>
            </w:r>
          </w:p>
        </w:tc>
      </w:tr>
      <w:tr w:rsidR="00EE3DF9" w:rsidRPr="00F5382B" w14:paraId="5044D711" w14:textId="77777777">
        <w:trPr>
          <w:trHeight w:val="300"/>
        </w:trPr>
        <w:tc>
          <w:tcPr>
            <w:tcW w:w="2550" w:type="dxa"/>
            <w:tcBorders>
              <w:top w:val="single" w:sz="6" w:space="0" w:color="auto"/>
              <w:left w:val="double" w:sz="6" w:space="0" w:color="auto"/>
              <w:bottom w:val="single" w:sz="6" w:space="0" w:color="auto"/>
              <w:right w:val="single" w:sz="6" w:space="0" w:color="auto"/>
            </w:tcBorders>
            <w:vAlign w:val="center"/>
            <w:hideMark/>
          </w:tcPr>
          <w:p w14:paraId="0A14BD00"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SDG 9: Industry, innovation and infrastructure</w:t>
            </w:r>
            <w:r w:rsidRPr="00F5382B">
              <w:rPr>
                <w:rFonts w:eastAsia="Times New Roman"/>
                <w:noProof/>
                <w:color w:val="000000"/>
                <w:sz w:val="20"/>
                <w:szCs w:val="20"/>
                <w:lang w:val="en-IE" w:eastAsia="en-IE"/>
              </w:rPr>
              <w:t> </w:t>
            </w:r>
          </w:p>
        </w:tc>
        <w:tc>
          <w:tcPr>
            <w:tcW w:w="4110" w:type="dxa"/>
            <w:tcBorders>
              <w:top w:val="single" w:sz="6" w:space="0" w:color="auto"/>
              <w:left w:val="single" w:sz="6" w:space="0" w:color="auto"/>
              <w:bottom w:val="single" w:sz="6" w:space="0" w:color="auto"/>
              <w:right w:val="single" w:sz="6" w:space="0" w:color="auto"/>
            </w:tcBorders>
            <w:vAlign w:val="center"/>
            <w:hideMark/>
          </w:tcPr>
          <w:p w14:paraId="58A3716B" w14:textId="57DD8943"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 xml:space="preserve">Strengthens EU cybersecurity posture through ENISA’s enhanced coordination role and ECCF reform </w:t>
            </w:r>
          </w:p>
        </w:tc>
        <w:tc>
          <w:tcPr>
            <w:tcW w:w="3705" w:type="dxa"/>
            <w:tcBorders>
              <w:top w:val="single" w:sz="6" w:space="0" w:color="auto"/>
              <w:left w:val="single" w:sz="6" w:space="0" w:color="auto"/>
              <w:bottom w:val="single" w:sz="6" w:space="0" w:color="auto"/>
              <w:right w:val="double" w:sz="6" w:space="0" w:color="auto"/>
            </w:tcBorders>
            <w:vAlign w:val="center"/>
            <w:hideMark/>
          </w:tcPr>
          <w:p w14:paraId="1142F1D9"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Supports digital resilience and secure innovation ecosystems; primarily relevant for public administrations, critical infrastructure operators, SMEs, and service providers</w:t>
            </w:r>
            <w:r w:rsidRPr="00F5382B">
              <w:rPr>
                <w:rFonts w:eastAsia="Times New Roman"/>
                <w:noProof/>
                <w:color w:val="000000"/>
                <w:sz w:val="20"/>
                <w:szCs w:val="20"/>
                <w:lang w:val="en-IE" w:eastAsia="en-IE"/>
              </w:rPr>
              <w:t> </w:t>
            </w:r>
          </w:p>
        </w:tc>
      </w:tr>
      <w:tr w:rsidR="00EE3DF9" w:rsidRPr="00F5382B" w14:paraId="30294F77" w14:textId="77777777">
        <w:trPr>
          <w:trHeight w:val="300"/>
        </w:trPr>
        <w:tc>
          <w:tcPr>
            <w:tcW w:w="2550" w:type="dxa"/>
            <w:tcBorders>
              <w:top w:val="single" w:sz="6" w:space="0" w:color="auto"/>
              <w:left w:val="double" w:sz="6" w:space="0" w:color="auto"/>
              <w:bottom w:val="single" w:sz="6" w:space="0" w:color="auto"/>
              <w:right w:val="single" w:sz="6" w:space="0" w:color="auto"/>
            </w:tcBorders>
            <w:vAlign w:val="center"/>
            <w:hideMark/>
          </w:tcPr>
          <w:p w14:paraId="7BFB7AB8"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SDG 12: Responsible consumption and production</w:t>
            </w:r>
            <w:r w:rsidRPr="00F5382B">
              <w:rPr>
                <w:rFonts w:eastAsia="Times New Roman"/>
                <w:noProof/>
                <w:color w:val="000000"/>
                <w:sz w:val="20"/>
                <w:szCs w:val="20"/>
                <w:lang w:val="en-IE" w:eastAsia="en-IE"/>
              </w:rPr>
              <w:t> </w:t>
            </w:r>
          </w:p>
        </w:tc>
        <w:tc>
          <w:tcPr>
            <w:tcW w:w="4110" w:type="dxa"/>
            <w:tcBorders>
              <w:top w:val="single" w:sz="6" w:space="0" w:color="auto"/>
              <w:left w:val="single" w:sz="6" w:space="0" w:color="auto"/>
              <w:bottom w:val="single" w:sz="6" w:space="0" w:color="auto"/>
              <w:right w:val="single" w:sz="6" w:space="0" w:color="auto"/>
            </w:tcBorders>
            <w:vAlign w:val="center"/>
            <w:hideMark/>
          </w:tcPr>
          <w:p w14:paraId="799FD2FC"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Potential positive effect through certification frameworks and improved cybersecurity skills attestation.</w:t>
            </w:r>
            <w:r w:rsidRPr="00F5382B">
              <w:rPr>
                <w:rFonts w:eastAsia="Times New Roman"/>
                <w:noProof/>
                <w:color w:val="000000"/>
                <w:sz w:val="20"/>
                <w:szCs w:val="20"/>
                <w:lang w:val="en-IE" w:eastAsia="en-IE"/>
              </w:rPr>
              <w:t> </w:t>
            </w:r>
          </w:p>
        </w:tc>
        <w:tc>
          <w:tcPr>
            <w:tcW w:w="3705" w:type="dxa"/>
            <w:tcBorders>
              <w:top w:val="single" w:sz="6" w:space="0" w:color="auto"/>
              <w:left w:val="single" w:sz="6" w:space="0" w:color="auto"/>
              <w:bottom w:val="single" w:sz="6" w:space="0" w:color="auto"/>
              <w:right w:val="double" w:sz="6" w:space="0" w:color="auto"/>
            </w:tcBorders>
            <w:vAlign w:val="center"/>
            <w:hideMark/>
          </w:tcPr>
          <w:p w14:paraId="036E0E5A"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strike/>
                <w:noProof/>
                <w:color w:val="000000"/>
                <w:lang w:eastAsia="en-IE"/>
              </w:rPr>
              <w:t>-</w:t>
            </w:r>
            <w:r w:rsidRPr="00F5382B">
              <w:rPr>
                <w:rFonts w:eastAsia="Times New Roman"/>
                <w:noProof/>
                <w:color w:val="000000"/>
                <w:lang w:val="en-IE" w:eastAsia="en-IE"/>
              </w:rPr>
              <w:t> </w:t>
            </w:r>
          </w:p>
        </w:tc>
      </w:tr>
      <w:tr w:rsidR="00EE3DF9" w:rsidRPr="00F5382B" w14:paraId="3EAA9E60" w14:textId="77777777">
        <w:trPr>
          <w:trHeight w:val="300"/>
        </w:trPr>
        <w:tc>
          <w:tcPr>
            <w:tcW w:w="2550" w:type="dxa"/>
            <w:tcBorders>
              <w:top w:val="single" w:sz="6" w:space="0" w:color="auto"/>
              <w:left w:val="double" w:sz="6" w:space="0" w:color="auto"/>
              <w:bottom w:val="single" w:sz="6" w:space="0" w:color="auto"/>
              <w:right w:val="single" w:sz="6" w:space="0" w:color="auto"/>
            </w:tcBorders>
            <w:vAlign w:val="center"/>
            <w:hideMark/>
          </w:tcPr>
          <w:p w14:paraId="3BDA479F"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 SDG 13: Climate action</w:t>
            </w:r>
            <w:r w:rsidRPr="00F5382B">
              <w:rPr>
                <w:rFonts w:eastAsia="Times New Roman"/>
                <w:noProof/>
                <w:color w:val="000000"/>
                <w:sz w:val="20"/>
                <w:szCs w:val="20"/>
                <w:lang w:val="en-IE" w:eastAsia="en-IE"/>
              </w:rPr>
              <w:t> </w:t>
            </w:r>
          </w:p>
        </w:tc>
        <w:tc>
          <w:tcPr>
            <w:tcW w:w="4110" w:type="dxa"/>
            <w:tcBorders>
              <w:top w:val="single" w:sz="6" w:space="0" w:color="auto"/>
              <w:left w:val="single" w:sz="6" w:space="0" w:color="auto"/>
              <w:bottom w:val="single" w:sz="6" w:space="0" w:color="auto"/>
              <w:right w:val="single" w:sz="6" w:space="0" w:color="auto"/>
            </w:tcBorders>
            <w:vAlign w:val="center"/>
            <w:hideMark/>
          </w:tcPr>
          <w:p w14:paraId="3FFA6BDD"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Neutral impact.</w:t>
            </w:r>
            <w:r w:rsidRPr="00F5382B">
              <w:rPr>
                <w:rFonts w:eastAsia="Times New Roman"/>
                <w:noProof/>
                <w:color w:val="000000"/>
                <w:sz w:val="20"/>
                <w:szCs w:val="20"/>
                <w:lang w:val="en-IE" w:eastAsia="en-IE"/>
              </w:rPr>
              <w:t> </w:t>
            </w:r>
          </w:p>
        </w:tc>
        <w:tc>
          <w:tcPr>
            <w:tcW w:w="3705" w:type="dxa"/>
            <w:tcBorders>
              <w:top w:val="single" w:sz="6" w:space="0" w:color="auto"/>
              <w:left w:val="single" w:sz="6" w:space="0" w:color="auto"/>
              <w:bottom w:val="single" w:sz="6" w:space="0" w:color="auto"/>
              <w:right w:val="double" w:sz="6" w:space="0" w:color="auto"/>
            </w:tcBorders>
            <w:vAlign w:val="center"/>
            <w:hideMark/>
          </w:tcPr>
          <w:p w14:paraId="0508D39B"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Dependent on ENISA’s operational practices</w:t>
            </w:r>
          </w:p>
        </w:tc>
      </w:tr>
      <w:tr w:rsidR="00EE3DF9" w:rsidRPr="00F5382B" w14:paraId="11805508" w14:textId="77777777">
        <w:trPr>
          <w:trHeight w:val="300"/>
        </w:trPr>
        <w:tc>
          <w:tcPr>
            <w:tcW w:w="2550" w:type="dxa"/>
            <w:tcBorders>
              <w:top w:val="single" w:sz="6" w:space="0" w:color="auto"/>
              <w:left w:val="double" w:sz="6" w:space="0" w:color="auto"/>
              <w:bottom w:val="single" w:sz="6" w:space="0" w:color="auto"/>
              <w:right w:val="single" w:sz="6" w:space="0" w:color="auto"/>
            </w:tcBorders>
            <w:vAlign w:val="center"/>
            <w:hideMark/>
          </w:tcPr>
          <w:p w14:paraId="328AA424"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SDG 16: Peace, justice and strong institutions</w:t>
            </w:r>
            <w:r w:rsidRPr="00F5382B">
              <w:rPr>
                <w:rFonts w:eastAsia="Times New Roman"/>
                <w:noProof/>
                <w:color w:val="000000"/>
                <w:sz w:val="20"/>
                <w:szCs w:val="20"/>
                <w:lang w:val="en-IE" w:eastAsia="en-IE"/>
              </w:rPr>
              <w:t> </w:t>
            </w:r>
          </w:p>
        </w:tc>
        <w:tc>
          <w:tcPr>
            <w:tcW w:w="4110" w:type="dxa"/>
            <w:tcBorders>
              <w:top w:val="single" w:sz="6" w:space="0" w:color="auto"/>
              <w:left w:val="single" w:sz="6" w:space="0" w:color="auto"/>
              <w:bottom w:val="single" w:sz="6" w:space="0" w:color="auto"/>
              <w:right w:val="single" w:sz="6" w:space="0" w:color="auto"/>
            </w:tcBorders>
            <w:vAlign w:val="center"/>
            <w:hideMark/>
          </w:tcPr>
          <w:p w14:paraId="0BC7B5B3" w14:textId="1BAB1755"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themeColor="text1"/>
                <w:sz w:val="20"/>
                <w:szCs w:val="20"/>
                <w:lang w:eastAsia="en-IE"/>
              </w:rPr>
              <w:t>Improves trust in digital services and increased situational awareness also enhances the fight against cybercrime and skilled professionals contribute to securing institutions.</w:t>
            </w:r>
            <w:r w:rsidRPr="00F5382B">
              <w:rPr>
                <w:rFonts w:eastAsia="Times New Roman"/>
                <w:noProof/>
                <w:color w:val="000000" w:themeColor="text1"/>
                <w:sz w:val="20"/>
                <w:szCs w:val="20"/>
                <w:lang w:val="en-IE" w:eastAsia="en-IE"/>
              </w:rPr>
              <w:t> </w:t>
            </w:r>
          </w:p>
        </w:tc>
        <w:tc>
          <w:tcPr>
            <w:tcW w:w="3705" w:type="dxa"/>
            <w:tcBorders>
              <w:top w:val="single" w:sz="6" w:space="0" w:color="auto"/>
              <w:left w:val="single" w:sz="6" w:space="0" w:color="auto"/>
              <w:bottom w:val="single" w:sz="6" w:space="0" w:color="auto"/>
              <w:right w:val="double" w:sz="6" w:space="0" w:color="auto"/>
            </w:tcBorders>
            <w:vAlign w:val="center"/>
            <w:hideMark/>
          </w:tcPr>
          <w:p w14:paraId="0792457C"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themeColor="text1"/>
                <w:sz w:val="20"/>
                <w:szCs w:val="20"/>
                <w:lang w:eastAsia="en-IE"/>
              </w:rPr>
              <w:t>Reinforces transparency, rule of law, data privacy, security of institutions and institutional coordination through harmonised certification and cybersecurity skilled workforce</w:t>
            </w:r>
            <w:r w:rsidRPr="00F5382B">
              <w:rPr>
                <w:rFonts w:eastAsia="Times New Roman"/>
                <w:noProof/>
                <w:color w:val="000000" w:themeColor="text1"/>
                <w:sz w:val="20"/>
                <w:szCs w:val="20"/>
                <w:lang w:val="en-IE" w:eastAsia="en-IE"/>
              </w:rPr>
              <w:t> </w:t>
            </w:r>
          </w:p>
        </w:tc>
      </w:tr>
      <w:tr w:rsidR="00EE3DF9" w:rsidRPr="00F5382B" w14:paraId="042FEBF7" w14:textId="77777777">
        <w:trPr>
          <w:trHeight w:val="300"/>
        </w:trPr>
        <w:tc>
          <w:tcPr>
            <w:tcW w:w="2550" w:type="dxa"/>
            <w:tcBorders>
              <w:top w:val="single" w:sz="6" w:space="0" w:color="auto"/>
              <w:left w:val="double" w:sz="6" w:space="0" w:color="auto"/>
              <w:bottom w:val="double" w:sz="6" w:space="0" w:color="auto"/>
              <w:right w:val="single" w:sz="6" w:space="0" w:color="auto"/>
            </w:tcBorders>
            <w:vAlign w:val="center"/>
            <w:hideMark/>
          </w:tcPr>
          <w:p w14:paraId="034AC31D" w14:textId="77777777" w:rsidR="00EE3DF9" w:rsidRPr="00F5382B" w:rsidRDefault="00EE3DF9">
            <w:pPr>
              <w:spacing w:after="0"/>
              <w:textAlignment w:val="baseline"/>
              <w:rPr>
                <w:rFonts w:eastAsia="Times New Roman"/>
                <w:noProof/>
                <w:lang w:val="en-IE" w:eastAsia="en-IE"/>
              </w:rPr>
            </w:pPr>
            <w:r w:rsidRPr="00F5382B">
              <w:rPr>
                <w:rFonts w:eastAsia="Times New Roman"/>
                <w:noProof/>
                <w:color w:val="000000"/>
                <w:sz w:val="20"/>
                <w:szCs w:val="20"/>
                <w:lang w:eastAsia="en-IE"/>
              </w:rPr>
              <w:t>SDG 17: Partnerships for the goals</w:t>
            </w:r>
            <w:r w:rsidRPr="00F5382B">
              <w:rPr>
                <w:rFonts w:eastAsia="Times New Roman"/>
                <w:noProof/>
                <w:color w:val="000000"/>
                <w:sz w:val="20"/>
                <w:szCs w:val="20"/>
                <w:lang w:val="en-IE" w:eastAsia="en-IE"/>
              </w:rPr>
              <w:t> </w:t>
            </w:r>
          </w:p>
        </w:tc>
        <w:tc>
          <w:tcPr>
            <w:tcW w:w="4110" w:type="dxa"/>
            <w:tcBorders>
              <w:top w:val="single" w:sz="6" w:space="0" w:color="auto"/>
              <w:left w:val="single" w:sz="6" w:space="0" w:color="auto"/>
              <w:bottom w:val="double" w:sz="6" w:space="0" w:color="auto"/>
              <w:right w:val="single" w:sz="6" w:space="0" w:color="auto"/>
            </w:tcBorders>
            <w:vAlign w:val="center"/>
            <w:hideMark/>
          </w:tcPr>
          <w:p w14:paraId="662BF3A5"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Reinforces cross-border cooperation among Member States and public-private partnerships in cybersecurity governance, as well as ENISA’s cooperation with other European agencies.</w:t>
            </w:r>
            <w:r w:rsidRPr="00F5382B">
              <w:rPr>
                <w:rFonts w:eastAsia="Times New Roman"/>
                <w:noProof/>
                <w:color w:val="000000"/>
                <w:sz w:val="20"/>
                <w:szCs w:val="20"/>
                <w:lang w:val="en-IE" w:eastAsia="en-IE"/>
              </w:rPr>
              <w:t> </w:t>
            </w:r>
          </w:p>
        </w:tc>
        <w:tc>
          <w:tcPr>
            <w:tcW w:w="3705" w:type="dxa"/>
            <w:tcBorders>
              <w:top w:val="single" w:sz="6" w:space="0" w:color="auto"/>
              <w:left w:val="single" w:sz="6" w:space="0" w:color="auto"/>
              <w:bottom w:val="double" w:sz="6" w:space="0" w:color="auto"/>
              <w:right w:val="double" w:sz="6" w:space="0" w:color="auto"/>
            </w:tcBorders>
            <w:vAlign w:val="center"/>
            <w:hideMark/>
          </w:tcPr>
          <w:p w14:paraId="3F2EDF0E" w14:textId="77777777" w:rsidR="00EE3DF9" w:rsidRPr="00F5382B" w:rsidRDefault="00EE3DF9">
            <w:pPr>
              <w:spacing w:after="0"/>
              <w:jc w:val="left"/>
              <w:textAlignment w:val="baseline"/>
              <w:rPr>
                <w:rFonts w:eastAsia="Times New Roman"/>
                <w:noProof/>
                <w:lang w:val="en-IE" w:eastAsia="en-IE"/>
              </w:rPr>
            </w:pPr>
            <w:r w:rsidRPr="00F5382B">
              <w:rPr>
                <w:rFonts w:eastAsia="Times New Roman"/>
                <w:noProof/>
                <w:color w:val="000000"/>
                <w:sz w:val="20"/>
                <w:szCs w:val="20"/>
                <w:lang w:eastAsia="en-IE"/>
              </w:rPr>
              <w:t>Particularly relevant under ENISA’s strengthened mandate and through shared governance models in the ECCF reform</w:t>
            </w:r>
            <w:r w:rsidRPr="00F5382B">
              <w:rPr>
                <w:rFonts w:eastAsia="Times New Roman"/>
                <w:noProof/>
                <w:color w:val="000000"/>
                <w:sz w:val="20"/>
                <w:szCs w:val="20"/>
                <w:lang w:val="en-IE" w:eastAsia="en-IE"/>
              </w:rPr>
              <w:t> </w:t>
            </w:r>
          </w:p>
        </w:tc>
      </w:tr>
    </w:tbl>
    <w:p w14:paraId="3D7C07F8" w14:textId="77777777" w:rsidR="00EE3DF9" w:rsidRPr="00F5382B" w:rsidRDefault="00EE3DF9" w:rsidP="00EE3DF9">
      <w:pPr>
        <w:pStyle w:val="AnnexTitle0"/>
        <w:spacing w:before="120" w:after="120"/>
        <w:ind w:left="1202" w:right="482" w:hanging="720"/>
        <w:rPr>
          <w:noProof/>
        </w:rPr>
      </w:pPr>
      <w:bookmarkStart w:id="210" w:name="_Toc195101110"/>
      <w:r w:rsidRPr="00F5382B">
        <w:rPr>
          <w:noProof/>
        </w:rPr>
        <w:br w:type="page"/>
      </w:r>
    </w:p>
    <w:p w14:paraId="5A4A997F" w14:textId="77777777" w:rsidR="00EE3DF9" w:rsidRPr="00F5382B" w:rsidRDefault="00EE3DF9" w:rsidP="00EE3DF9">
      <w:pPr>
        <w:pStyle w:val="AnnexTitle0"/>
        <w:spacing w:before="120" w:after="120"/>
        <w:ind w:left="1202" w:right="482" w:hanging="720"/>
        <w:rPr>
          <w:noProof/>
        </w:rPr>
      </w:pPr>
      <w:bookmarkStart w:id="211" w:name="_Toc207027975"/>
      <w:bookmarkStart w:id="212" w:name="_Toc218767784"/>
      <w:bookmarkStart w:id="213" w:name="_Toc219039496"/>
      <w:bookmarkStart w:id="214" w:name="_Toc219447395"/>
      <w:r w:rsidRPr="00F5382B">
        <w:rPr>
          <w:noProof/>
        </w:rPr>
        <w:t>Annex 4: Analytical methods</w:t>
      </w:r>
      <w:bookmarkEnd w:id="210"/>
      <w:bookmarkEnd w:id="211"/>
      <w:bookmarkEnd w:id="212"/>
      <w:bookmarkEnd w:id="213"/>
      <w:bookmarkEnd w:id="214"/>
    </w:p>
    <w:p w14:paraId="7AEF8642" w14:textId="77777777" w:rsidR="00EE3DF9" w:rsidRPr="00F5382B" w:rsidRDefault="00EE3DF9" w:rsidP="00EE3DF9">
      <w:pPr>
        <w:rPr>
          <w:noProof/>
        </w:rPr>
      </w:pPr>
      <w:r w:rsidRPr="00F5382B">
        <w:rPr>
          <w:noProof/>
        </w:rPr>
        <w:t xml:space="preserve">This annex describes the analytical methods used for the purposes of this impact assessment. It presents general assumptions, and the overview of impacts assesses. More detailed explanations regarding the methodologies are explained for each family of policy options. </w:t>
      </w:r>
    </w:p>
    <w:p w14:paraId="51FE8C1C" w14:textId="77777777" w:rsidR="00EE3DF9" w:rsidRPr="0087606E" w:rsidRDefault="00EE3DF9" w:rsidP="0087606E">
      <w:pPr>
        <w:pStyle w:val="Heading1"/>
        <w:numPr>
          <w:ilvl w:val="0"/>
          <w:numId w:val="194"/>
        </w:numPr>
        <w:rPr>
          <w:b w:val="0"/>
          <w:smallCaps w:val="0"/>
          <w:noProof/>
          <w:lang w:eastAsia="en-IE"/>
        </w:rPr>
      </w:pPr>
      <w:bookmarkStart w:id="215" w:name="_Toc210934619"/>
      <w:bookmarkStart w:id="216" w:name="_Toc210939803"/>
      <w:bookmarkStart w:id="217" w:name="_Toc219039497"/>
      <w:bookmarkStart w:id="218" w:name="_Toc219447396"/>
      <w:r w:rsidRPr="00F5382B">
        <w:rPr>
          <w:noProof/>
          <w:lang w:eastAsia="en-IE"/>
        </w:rPr>
        <w:t>General approach</w:t>
      </w:r>
      <w:bookmarkEnd w:id="215"/>
      <w:bookmarkEnd w:id="216"/>
      <w:bookmarkEnd w:id="217"/>
      <w:bookmarkEnd w:id="218"/>
      <w:r w:rsidRPr="00F5382B">
        <w:rPr>
          <w:noProof/>
          <w:lang w:eastAsia="en-IE"/>
        </w:rPr>
        <w:t> </w:t>
      </w:r>
    </w:p>
    <w:p w14:paraId="2D51EB02" w14:textId="77777777" w:rsidR="00EE3DF9" w:rsidRPr="00F5382B" w:rsidRDefault="00EE3DF9" w:rsidP="00EE3DF9">
      <w:pPr>
        <w:rPr>
          <w:noProof/>
          <w:lang w:val="en-IE"/>
        </w:rPr>
      </w:pPr>
      <w:r w:rsidRPr="00F5382B">
        <w:rPr>
          <w:noProof/>
        </w:rPr>
        <w:t>The assessment of the impact of the proposed policy options combines quantitative and qualitative analysis. The following methods were used to carry out this impact assessment:</w:t>
      </w:r>
      <w:r w:rsidRPr="00F5382B">
        <w:rPr>
          <w:noProof/>
          <w:lang w:val="en-IE"/>
        </w:rPr>
        <w:t> </w:t>
      </w:r>
    </w:p>
    <w:p w14:paraId="3AB18797" w14:textId="77777777" w:rsidR="00EE3DF9" w:rsidRPr="00F5382B" w:rsidRDefault="00EE3DF9" w:rsidP="00EE3DF9">
      <w:pPr>
        <w:numPr>
          <w:ilvl w:val="0"/>
          <w:numId w:val="49"/>
        </w:numPr>
        <w:rPr>
          <w:noProof/>
          <w:lang w:val="en-IE"/>
        </w:rPr>
      </w:pPr>
      <w:r w:rsidRPr="00F5382B">
        <w:rPr>
          <w:b/>
          <w:bCs/>
          <w:noProof/>
        </w:rPr>
        <w:t>Literature review:</w:t>
      </w:r>
      <w:r w:rsidRPr="00F5382B">
        <w:rPr>
          <w:noProof/>
        </w:rPr>
        <w:t xml:space="preserve"> A thorough desk research and documentary review provided foundational insights relevant to this impact assessment. The selected publications offer relevant information and data on the key aspects assessed as part of the present impact assessment.</w:t>
      </w:r>
      <w:r w:rsidRPr="00F5382B">
        <w:rPr>
          <w:noProof/>
          <w:lang w:val="en-IE"/>
        </w:rPr>
        <w:t> </w:t>
      </w:r>
    </w:p>
    <w:p w14:paraId="47AB79DB" w14:textId="77777777" w:rsidR="00EE3DF9" w:rsidRPr="00F5382B" w:rsidRDefault="00EE3DF9" w:rsidP="00EE3DF9">
      <w:pPr>
        <w:numPr>
          <w:ilvl w:val="0"/>
          <w:numId w:val="50"/>
        </w:numPr>
        <w:rPr>
          <w:noProof/>
          <w:lang w:val="en-IE"/>
        </w:rPr>
      </w:pPr>
      <w:r w:rsidRPr="00F5382B">
        <w:rPr>
          <w:b/>
          <w:bCs/>
          <w:noProof/>
        </w:rPr>
        <w:t>Stakeholder consultation</w:t>
      </w:r>
      <w:r w:rsidRPr="00F5382B">
        <w:rPr>
          <w:noProof/>
        </w:rPr>
        <w:t>: Semi-structured interviews were conducted with key stakeholders, including ENISA staff members, owners of national cybersecurity platforms, and experts involved in certification processes. Each interview utilised a tailored questionnaire. Targeted discussions with the representatives of Member States in various fora, based on a list of questions to organise the discussion were conducted. This was also complemented with the bilateral consultations. Furthermore, the outcomes from the public consultation and the call for evidence associated with this impact assessment supported the integration of diverse stakeholder perspectives and the triangulation of findings. In addition, findings from other stakeholder consultations conducted as part of the 2024 Evaluation report were considered to further substantiate the analysis. </w:t>
      </w:r>
      <w:r w:rsidRPr="00F5382B">
        <w:rPr>
          <w:noProof/>
          <w:lang w:val="en-IE"/>
        </w:rPr>
        <w:t> </w:t>
      </w:r>
    </w:p>
    <w:p w14:paraId="186EA3C6" w14:textId="77777777" w:rsidR="00EE3DF9" w:rsidRPr="00F5382B" w:rsidRDefault="00EE3DF9" w:rsidP="00EE3DF9">
      <w:pPr>
        <w:numPr>
          <w:ilvl w:val="0"/>
          <w:numId w:val="51"/>
        </w:numPr>
        <w:rPr>
          <w:noProof/>
          <w:lang w:val="en-IE"/>
        </w:rPr>
      </w:pPr>
      <w:r w:rsidRPr="00F5382B">
        <w:rPr>
          <w:b/>
          <w:bCs/>
          <w:noProof/>
        </w:rPr>
        <w:t xml:space="preserve">Economic and statistical analysis: </w:t>
      </w:r>
      <w:r w:rsidRPr="00F5382B">
        <w:rPr>
          <w:noProof/>
        </w:rPr>
        <w:t>To the extent possible and given the available data, the consequences and impacts of the policy options were monetised based on quantified cost-analysis, as described in Section 2 below. Benefits are largely analysed in qualitative terms, for the reasons explained in Sections 2 and 3 below. For estimates related to general business and economic indicators, Eurostat served as the primary source of statistical information. Additionally, more specific insights were derived from ENISA’s thematic and annual reports, as well as its Single Programming Document 2025-2027. To verify assumptions and refine estimates, specific unpublished datasets were requested from ENISA. These datasets also served as a baseline for understanding ENISA’s current activities and effort volumes, particularly concerning human resources.</w:t>
      </w:r>
      <w:r w:rsidRPr="00F5382B">
        <w:rPr>
          <w:noProof/>
          <w:lang w:val="en-IE"/>
        </w:rPr>
        <w:t> </w:t>
      </w:r>
    </w:p>
    <w:p w14:paraId="678D94E8" w14:textId="77777777" w:rsidR="00EE3DF9" w:rsidRPr="00F5382B" w:rsidRDefault="00EE3DF9" w:rsidP="00EE3DF9">
      <w:pPr>
        <w:pStyle w:val="Heading1"/>
        <w:numPr>
          <w:ilvl w:val="0"/>
          <w:numId w:val="3"/>
        </w:numPr>
        <w:rPr>
          <w:noProof/>
          <w:lang w:eastAsia="en-IE"/>
        </w:rPr>
      </w:pPr>
      <w:bookmarkStart w:id="219" w:name="_Toc210934620"/>
      <w:bookmarkStart w:id="220" w:name="_Toc210939804"/>
      <w:bookmarkStart w:id="221" w:name="_Toc219039498"/>
      <w:bookmarkStart w:id="222" w:name="_Toc219447397"/>
      <w:r w:rsidRPr="00F5382B">
        <w:rPr>
          <w:noProof/>
          <w:lang w:eastAsia="en-IE"/>
        </w:rPr>
        <w:t>Key assumptions for the quantification of economic impacts</w:t>
      </w:r>
      <w:bookmarkEnd w:id="219"/>
      <w:bookmarkEnd w:id="220"/>
      <w:bookmarkEnd w:id="221"/>
      <w:bookmarkEnd w:id="222"/>
      <w:r w:rsidRPr="00F5382B">
        <w:rPr>
          <w:noProof/>
          <w:lang w:eastAsia="en-IE"/>
        </w:rPr>
        <w:t> </w:t>
      </w:r>
    </w:p>
    <w:p w14:paraId="3D96680A" w14:textId="77777777" w:rsidR="00EE3DF9" w:rsidRPr="00F5382B" w:rsidRDefault="00EE3DF9" w:rsidP="00EE3DF9">
      <w:pPr>
        <w:pStyle w:val="ListParagraph"/>
        <w:ind w:left="0"/>
        <w:rPr>
          <w:noProof/>
        </w:rPr>
      </w:pPr>
      <w:r w:rsidRPr="00F5382B">
        <w:rPr>
          <w:noProof/>
        </w:rPr>
        <w:t xml:space="preserve">To quantify the economic impacts associated with the proposed measures, following assumptions were made: </w:t>
      </w:r>
    </w:p>
    <w:p w14:paraId="4E2226B7" w14:textId="77777777" w:rsidR="00EE3DF9" w:rsidRPr="00F5382B" w:rsidRDefault="00EE3DF9" w:rsidP="00EE3DF9">
      <w:pPr>
        <w:pStyle w:val="ListParagraph"/>
        <w:ind w:left="0"/>
        <w:rPr>
          <w:b/>
          <w:bCs/>
          <w:noProof/>
        </w:rPr>
      </w:pPr>
    </w:p>
    <w:p w14:paraId="0F342794" w14:textId="77777777" w:rsidR="00EE3DF9" w:rsidRPr="00F5382B" w:rsidRDefault="00EE3DF9" w:rsidP="00D52AD8">
      <w:pPr>
        <w:pStyle w:val="ListParagraph"/>
        <w:numPr>
          <w:ilvl w:val="0"/>
          <w:numId w:val="121"/>
        </w:numPr>
        <w:rPr>
          <w:b/>
          <w:bCs/>
          <w:noProof/>
          <w:lang w:val="en-IE"/>
        </w:rPr>
      </w:pPr>
      <w:r w:rsidRPr="00F5382B">
        <w:rPr>
          <w:b/>
          <w:bCs/>
          <w:noProof/>
          <w:lang w:val="en-IE"/>
        </w:rPr>
        <w:t>The costs are aggregated over the next five years (2028-2032)</w:t>
      </w:r>
      <w:r w:rsidRPr="00F5382B">
        <w:rPr>
          <w:noProof/>
          <w:lang w:val="en-IE"/>
        </w:rPr>
        <w:t xml:space="preserve"> assuming that the legislation would start applying the 1</w:t>
      </w:r>
      <w:r w:rsidRPr="00F5382B">
        <w:rPr>
          <w:noProof/>
          <w:vertAlign w:val="superscript"/>
          <w:lang w:val="en-IE"/>
        </w:rPr>
        <w:t>st</w:t>
      </w:r>
      <w:r w:rsidRPr="00F5382B">
        <w:rPr>
          <w:noProof/>
          <w:lang w:val="en-IE"/>
        </w:rPr>
        <w:t xml:space="preserve"> of January 2028. This is to take into account long-term impacts of certain measures. </w:t>
      </w:r>
    </w:p>
    <w:p w14:paraId="5EDF1E39" w14:textId="77777777" w:rsidR="00EE3DF9" w:rsidRPr="00F5382B" w:rsidRDefault="00EE3DF9" w:rsidP="00EE3DF9">
      <w:pPr>
        <w:pStyle w:val="ListParagraph"/>
        <w:rPr>
          <w:b/>
          <w:bCs/>
          <w:noProof/>
          <w:lang w:val="en-IE"/>
        </w:rPr>
      </w:pPr>
    </w:p>
    <w:p w14:paraId="30975929" w14:textId="77777777" w:rsidR="00EE3DF9" w:rsidRPr="00F5382B" w:rsidRDefault="00EE3DF9" w:rsidP="00D52AD8">
      <w:pPr>
        <w:pStyle w:val="ListParagraph"/>
        <w:numPr>
          <w:ilvl w:val="0"/>
          <w:numId w:val="121"/>
        </w:numPr>
        <w:rPr>
          <w:b/>
          <w:bCs/>
          <w:noProof/>
          <w:lang w:val="en-IE"/>
        </w:rPr>
      </w:pPr>
      <w:r w:rsidRPr="00F5382B">
        <w:rPr>
          <w:b/>
          <w:bCs/>
          <w:noProof/>
        </w:rPr>
        <w:t>Cost estimates for ENISA FTE</w:t>
      </w:r>
    </w:p>
    <w:p w14:paraId="39443550" w14:textId="77777777" w:rsidR="00EE3DF9" w:rsidRPr="00F5382B" w:rsidRDefault="00EE3DF9" w:rsidP="00EE3DF9">
      <w:pPr>
        <w:rPr>
          <w:noProof/>
        </w:rPr>
      </w:pPr>
      <w:r w:rsidRPr="00F5382B">
        <w:rPr>
          <w:noProof/>
        </w:rPr>
        <w:t xml:space="preserve">The cost estimation per FTE across this impact assessment is based on previous evaluations, estimates from similar activities conducted in comparable EU agencies, and the CSA impact assessment, where the average cost of one FTE, adjusted for inflation, is calculated at </w:t>
      </w:r>
      <w:r w:rsidRPr="00F5382B">
        <w:rPr>
          <w:b/>
          <w:bCs/>
          <w:noProof/>
        </w:rPr>
        <w:t>EUR 128 277</w:t>
      </w:r>
      <w:r w:rsidRPr="00F5382B">
        <w:rPr>
          <w:rStyle w:val="FootnoteReference"/>
          <w:b/>
          <w:bCs/>
          <w:noProof/>
        </w:rPr>
        <w:footnoteReference w:id="186"/>
      </w:r>
      <w:r w:rsidRPr="00F5382B">
        <w:rPr>
          <w:noProof/>
        </w:rPr>
        <w:t xml:space="preserve">. This estimated average cost of one full-time equivalent (FTE) is derived from two principal approaches: </w:t>
      </w:r>
    </w:p>
    <w:p w14:paraId="08BE197B" w14:textId="77777777" w:rsidR="00EE3DF9" w:rsidRPr="00F5382B" w:rsidRDefault="00EE3DF9" w:rsidP="00D52AD8">
      <w:pPr>
        <w:pStyle w:val="ListParagraph"/>
        <w:numPr>
          <w:ilvl w:val="0"/>
          <w:numId w:val="117"/>
        </w:numPr>
        <w:spacing w:after="160" w:line="259" w:lineRule="auto"/>
        <w:rPr>
          <w:noProof/>
        </w:rPr>
      </w:pPr>
      <w:r w:rsidRPr="00F5382B">
        <w:rPr>
          <w:noProof/>
        </w:rPr>
        <w:t xml:space="preserve">internal ENISA data on personnel costs for 2025, provided directly by the agency and reflecting average annual salary costs across staff profiles, resulting in an average cost of EUR 130 667/FTE; and </w:t>
      </w:r>
    </w:p>
    <w:p w14:paraId="7FE427DF" w14:textId="77777777" w:rsidR="00EE3DF9" w:rsidRPr="00F5382B" w:rsidRDefault="00EE3DF9" w:rsidP="00D52AD8">
      <w:pPr>
        <w:pStyle w:val="ListParagraph"/>
        <w:numPr>
          <w:ilvl w:val="0"/>
          <w:numId w:val="117"/>
        </w:numPr>
        <w:spacing w:after="160" w:line="259" w:lineRule="auto"/>
        <w:rPr>
          <w:noProof/>
        </w:rPr>
      </w:pPr>
      <w:r w:rsidRPr="00F5382B">
        <w:rPr>
          <w:noProof/>
        </w:rPr>
        <w:t>an analysis and actualisation of several estimates from previous ENISA evaluation report of 2017 and the Cybersecurity Act impact assessment, updated to 2025 values, resulting in an average cost of 125 887/FTE.</w:t>
      </w:r>
    </w:p>
    <w:p w14:paraId="6EDA8BF2" w14:textId="77777777" w:rsidR="00EE3DF9" w:rsidRPr="00F5382B" w:rsidRDefault="00EE3DF9" w:rsidP="00EE3DF9">
      <w:pPr>
        <w:rPr>
          <w:noProof/>
        </w:rPr>
      </w:pPr>
      <w:r w:rsidRPr="00F5382B">
        <w:rPr>
          <w:noProof/>
        </w:rPr>
        <w:t>An additional estimate was calculated based on ENISA’s reported staff expenditure in the Single Programming Document 2025-27 and Consolidated Annual Activity Report 2024, using figures for 2023 updated to 2025 values; however, as this figure closely aligns with the latest ENISA data (EUR 130 968/FTE), it is reported for transparency but not used in the final average.</w:t>
      </w:r>
    </w:p>
    <w:p w14:paraId="5137BF85" w14:textId="77777777" w:rsidR="00EE3DF9" w:rsidRPr="00F5382B" w:rsidRDefault="00EE3DF9" w:rsidP="00EE3DF9">
      <w:pPr>
        <w:rPr>
          <w:noProof/>
        </w:rPr>
      </w:pPr>
      <w:r w:rsidRPr="00F5382B">
        <w:rPr>
          <w:noProof/>
        </w:rPr>
        <w:t>Calculation: EUR 128 277 = (EUR 130 667 + EUR 125 887)/2</w:t>
      </w:r>
    </w:p>
    <w:p w14:paraId="62BB2DDA" w14:textId="77777777" w:rsidR="00EE3DF9" w:rsidRPr="00F5382B" w:rsidRDefault="00EE3DF9" w:rsidP="00D52AD8">
      <w:pPr>
        <w:pStyle w:val="ListParagraph"/>
        <w:numPr>
          <w:ilvl w:val="0"/>
          <w:numId w:val="120"/>
        </w:numPr>
        <w:spacing w:after="160" w:line="259" w:lineRule="auto"/>
        <w:rPr>
          <w:rFonts w:eastAsia="Times New Roman"/>
          <w:noProof/>
        </w:rPr>
      </w:pPr>
      <w:r w:rsidRPr="00F5382B">
        <w:rPr>
          <w:rFonts w:eastAsia="Times New Roman"/>
          <w:b/>
          <w:bCs/>
          <w:noProof/>
        </w:rPr>
        <w:t>FTE for Member States</w:t>
      </w:r>
      <w:r w:rsidRPr="00F5382B">
        <w:rPr>
          <w:rFonts w:eastAsia="Times New Roman"/>
          <w:noProof/>
        </w:rPr>
        <w:t>: Based on Eurostat data and OECD</w:t>
      </w:r>
      <w:r w:rsidRPr="00F5382B">
        <w:rPr>
          <w:noProof/>
          <w:vertAlign w:val="superscript"/>
        </w:rPr>
        <w:footnoteReference w:id="187"/>
      </w:r>
      <w:r w:rsidRPr="00F5382B">
        <w:rPr>
          <w:noProof/>
          <w:vertAlign w:val="superscript"/>
        </w:rPr>
        <w:footnoteReference w:id="188"/>
      </w:r>
      <w:r w:rsidRPr="00F5382B">
        <w:rPr>
          <w:rFonts w:eastAsia="Times New Roman"/>
          <w:noProof/>
        </w:rPr>
        <w:t xml:space="preserve">, the European average salary for ICT roles is approximately </w:t>
      </w:r>
      <w:r w:rsidRPr="00F5382B">
        <w:rPr>
          <w:rFonts w:eastAsia="Times New Roman"/>
          <w:b/>
          <w:bCs/>
          <w:noProof/>
        </w:rPr>
        <w:t>EUR 56 500,</w:t>
      </w:r>
      <w:r w:rsidRPr="00F5382B">
        <w:rPr>
          <w:rFonts w:eastAsia="Times New Roman"/>
          <w:noProof/>
        </w:rPr>
        <w:t xml:space="preserve"> derived from data adjustments factoring in regional wage disparities and purchasing power variances. </w:t>
      </w:r>
    </w:p>
    <w:p w14:paraId="41DAEA8C" w14:textId="77777777" w:rsidR="00EE3DF9" w:rsidRPr="00F5382B" w:rsidRDefault="00EE3DF9" w:rsidP="00EE3DF9">
      <w:pPr>
        <w:numPr>
          <w:ilvl w:val="0"/>
          <w:numId w:val="52"/>
        </w:numPr>
        <w:rPr>
          <w:noProof/>
          <w:lang w:val="en-IE"/>
        </w:rPr>
      </w:pPr>
      <w:r w:rsidRPr="00F5382B">
        <w:rPr>
          <w:b/>
          <w:bCs/>
          <w:noProof/>
        </w:rPr>
        <w:t>Benchmarking against similar activities:</w:t>
      </w:r>
      <w:r w:rsidRPr="00F5382B">
        <w:rPr>
          <w:noProof/>
        </w:rPr>
        <w:t xml:space="preserve"> Regarding ENISA, the effort and resources required for setting up specific functions were benchmarked against analogous exercises conducted by other agencies, or for similar tools. These benchmarks provided guidance on expected human resource allocations, which were then adjusted to align with ENISA’s average FTE costs, ensuring a tailored and context-appropriate financial projection.</w:t>
      </w:r>
      <w:r w:rsidRPr="00F5382B">
        <w:rPr>
          <w:noProof/>
          <w:lang w:val="en-IE"/>
        </w:rPr>
        <w:t> </w:t>
      </w:r>
    </w:p>
    <w:p w14:paraId="0664DB59" w14:textId="77777777" w:rsidR="00EE3DF9" w:rsidRPr="00F5382B" w:rsidRDefault="00EE3DF9" w:rsidP="00EE3DF9">
      <w:pPr>
        <w:pStyle w:val="Heading1"/>
        <w:numPr>
          <w:ilvl w:val="0"/>
          <w:numId w:val="3"/>
        </w:numPr>
        <w:rPr>
          <w:noProof/>
        </w:rPr>
      </w:pPr>
      <w:r w:rsidRPr="00F5382B">
        <w:rPr>
          <w:noProof/>
        </w:rPr>
        <w:t xml:space="preserve"> </w:t>
      </w:r>
      <w:bookmarkStart w:id="223" w:name="_Toc210934621"/>
      <w:bookmarkStart w:id="224" w:name="_Toc210939805"/>
      <w:bookmarkStart w:id="225" w:name="_Toc219039499"/>
      <w:bookmarkStart w:id="226" w:name="_Toc219447398"/>
      <w:r w:rsidRPr="00F5382B">
        <w:rPr>
          <w:bCs/>
          <w:noProof/>
        </w:rPr>
        <w:t>Overview of impacts being assessed by stakeholder</w:t>
      </w:r>
      <w:bookmarkEnd w:id="223"/>
      <w:bookmarkEnd w:id="224"/>
      <w:bookmarkEnd w:id="225"/>
      <w:bookmarkEnd w:id="226"/>
    </w:p>
    <w:p w14:paraId="663F9AAE" w14:textId="28AAB710" w:rsidR="00EE3DF9" w:rsidRPr="00F5382B" w:rsidRDefault="00EE3DF9" w:rsidP="00EE3DF9">
      <w:pPr>
        <w:pStyle w:val="Heading5"/>
        <w:rPr>
          <w:b/>
          <w:noProof/>
        </w:rPr>
      </w:pPr>
      <w:bookmarkStart w:id="227" w:name="_Toc218767804"/>
      <w:r w:rsidRPr="00F5382B">
        <w:rPr>
          <w:noProof/>
        </w:rPr>
        <w:t xml:space="preserve">Table </w:t>
      </w:r>
      <w:r w:rsidR="002D2D20">
        <w:rPr>
          <w:noProof/>
        </w:rPr>
        <w:t>10</w:t>
      </w:r>
      <w:r w:rsidRPr="00F5382B">
        <w:rPr>
          <w:noProof/>
        </w:rPr>
        <w:t>: Overview of impacts by stakeholder</w:t>
      </w:r>
      <w:bookmarkEnd w:id="227"/>
      <w:r w:rsidRPr="00F5382B">
        <w:rPr>
          <w:b/>
          <w:bCs/>
          <w:noProof/>
        </w:rPr>
        <w:t xml:space="preserve"> </w:t>
      </w:r>
    </w:p>
    <w:tbl>
      <w:tblPr>
        <w:tblStyle w:val="TableGrid"/>
        <w:tblW w:w="5000" w:type="pct"/>
        <w:tblLook w:val="04A0" w:firstRow="1" w:lastRow="0" w:firstColumn="1" w:lastColumn="0" w:noHBand="0" w:noVBand="1"/>
      </w:tblPr>
      <w:tblGrid>
        <w:gridCol w:w="2659"/>
        <w:gridCol w:w="1847"/>
        <w:gridCol w:w="2403"/>
        <w:gridCol w:w="2333"/>
      </w:tblGrid>
      <w:tr w:rsidR="00EE3DF9" w:rsidRPr="00F5382B" w14:paraId="2182D1A3" w14:textId="77777777" w:rsidTr="00BC7F01">
        <w:trPr>
          <w:tblHeader/>
        </w:trPr>
        <w:tc>
          <w:tcPr>
            <w:tcW w:w="1439" w:type="pct"/>
            <w:shd w:val="clear" w:color="auto" w:fill="F2DBDB" w:themeFill="accent2" w:themeFillTint="33"/>
          </w:tcPr>
          <w:p w14:paraId="311DEBA4" w14:textId="77777777" w:rsidR="00EE3DF9" w:rsidRPr="00F5382B" w:rsidRDefault="00EE3DF9">
            <w:pPr>
              <w:spacing w:before="60" w:after="60"/>
              <w:rPr>
                <w:b/>
                <w:bCs/>
                <w:noProof/>
                <w:sz w:val="18"/>
                <w:szCs w:val="18"/>
              </w:rPr>
            </w:pPr>
            <w:r w:rsidRPr="00F5382B">
              <w:rPr>
                <w:b/>
                <w:bCs/>
                <w:noProof/>
                <w:sz w:val="18"/>
                <w:szCs w:val="18"/>
              </w:rPr>
              <w:t>Businesses</w:t>
            </w:r>
          </w:p>
          <w:p w14:paraId="63E5B1AA" w14:textId="77777777" w:rsidR="00EE3DF9" w:rsidRPr="00F5382B" w:rsidRDefault="00EE3DF9">
            <w:pPr>
              <w:spacing w:before="60" w:after="60"/>
              <w:rPr>
                <w:noProof/>
                <w:sz w:val="16"/>
                <w:szCs w:val="16"/>
              </w:rPr>
            </w:pPr>
            <w:r w:rsidRPr="00F5382B">
              <w:rPr>
                <w:noProof/>
                <w:sz w:val="16"/>
                <w:szCs w:val="16"/>
              </w:rPr>
              <w:t xml:space="preserve">NIS entities; conformity assessment bodies; ICT providers (applying to certification); ICT professional; businesses as users </w:t>
            </w:r>
          </w:p>
        </w:tc>
        <w:tc>
          <w:tcPr>
            <w:tcW w:w="999" w:type="pct"/>
            <w:shd w:val="clear" w:color="auto" w:fill="F2DBDB" w:themeFill="accent2" w:themeFillTint="33"/>
          </w:tcPr>
          <w:p w14:paraId="7DDDC4B5" w14:textId="77777777" w:rsidR="00EE3DF9" w:rsidRPr="00F5382B" w:rsidRDefault="00EE3DF9">
            <w:pPr>
              <w:spacing w:before="60" w:after="60"/>
              <w:rPr>
                <w:b/>
                <w:bCs/>
                <w:noProof/>
                <w:sz w:val="18"/>
                <w:szCs w:val="18"/>
              </w:rPr>
            </w:pPr>
            <w:r w:rsidRPr="00F5382B">
              <w:rPr>
                <w:b/>
                <w:bCs/>
                <w:noProof/>
                <w:sz w:val="18"/>
                <w:szCs w:val="18"/>
              </w:rPr>
              <w:t>Citizens / consumers</w:t>
            </w:r>
          </w:p>
          <w:p w14:paraId="3FD060EB" w14:textId="77777777" w:rsidR="00EE3DF9" w:rsidRPr="00F5382B" w:rsidRDefault="00EE3DF9">
            <w:pPr>
              <w:spacing w:before="60" w:after="60"/>
              <w:rPr>
                <w:noProof/>
                <w:sz w:val="16"/>
                <w:szCs w:val="16"/>
              </w:rPr>
            </w:pPr>
            <w:r w:rsidRPr="00F5382B">
              <w:rPr>
                <w:noProof/>
                <w:sz w:val="16"/>
                <w:szCs w:val="16"/>
              </w:rPr>
              <w:t xml:space="preserve">ICT users as consumers and citizens , ICT professional </w:t>
            </w:r>
          </w:p>
        </w:tc>
        <w:tc>
          <w:tcPr>
            <w:tcW w:w="1300" w:type="pct"/>
            <w:shd w:val="clear" w:color="auto" w:fill="F2DBDB" w:themeFill="accent2" w:themeFillTint="33"/>
          </w:tcPr>
          <w:p w14:paraId="3822F94E" w14:textId="77777777" w:rsidR="00EE3DF9" w:rsidRPr="00F5382B" w:rsidRDefault="00EE3DF9">
            <w:pPr>
              <w:spacing w:before="60" w:after="60"/>
              <w:rPr>
                <w:b/>
                <w:bCs/>
                <w:noProof/>
                <w:sz w:val="18"/>
                <w:szCs w:val="18"/>
              </w:rPr>
            </w:pPr>
            <w:r w:rsidRPr="00F5382B">
              <w:rPr>
                <w:b/>
                <w:bCs/>
                <w:noProof/>
                <w:sz w:val="18"/>
                <w:szCs w:val="18"/>
              </w:rPr>
              <w:t>Public authorities</w:t>
            </w:r>
          </w:p>
          <w:p w14:paraId="30C2E853" w14:textId="77777777" w:rsidR="00EE3DF9" w:rsidRPr="00F5382B" w:rsidRDefault="00EE3DF9">
            <w:pPr>
              <w:spacing w:before="60" w:after="60"/>
              <w:rPr>
                <w:noProof/>
                <w:sz w:val="16"/>
                <w:szCs w:val="16"/>
              </w:rPr>
            </w:pPr>
            <w:r w:rsidRPr="00F5382B">
              <w:rPr>
                <w:noProof/>
                <w:sz w:val="16"/>
                <w:szCs w:val="16"/>
              </w:rPr>
              <w:t xml:space="preserve">National authorities doing supervisions of NIS 2; incident response teams /CSIRTs/Cyber agencies. </w:t>
            </w:r>
          </w:p>
        </w:tc>
        <w:tc>
          <w:tcPr>
            <w:tcW w:w="1262" w:type="pct"/>
            <w:shd w:val="clear" w:color="auto" w:fill="F2DBDB" w:themeFill="accent2" w:themeFillTint="33"/>
          </w:tcPr>
          <w:p w14:paraId="40577A77" w14:textId="77777777" w:rsidR="00EE3DF9" w:rsidRPr="00F5382B" w:rsidRDefault="00EE3DF9">
            <w:pPr>
              <w:spacing w:before="60" w:after="60"/>
              <w:rPr>
                <w:b/>
                <w:bCs/>
                <w:noProof/>
                <w:sz w:val="18"/>
                <w:szCs w:val="18"/>
              </w:rPr>
            </w:pPr>
            <w:r w:rsidRPr="00F5382B">
              <w:rPr>
                <w:b/>
                <w:bCs/>
                <w:noProof/>
                <w:sz w:val="18"/>
                <w:szCs w:val="18"/>
              </w:rPr>
              <w:t>EU institutions / ENISA</w:t>
            </w:r>
          </w:p>
          <w:p w14:paraId="7701F78D" w14:textId="77777777" w:rsidR="00EE3DF9" w:rsidRPr="00F5382B" w:rsidRDefault="00EE3DF9">
            <w:pPr>
              <w:spacing w:before="60" w:after="60"/>
              <w:rPr>
                <w:b/>
                <w:bCs/>
                <w:noProof/>
                <w:sz w:val="18"/>
                <w:szCs w:val="18"/>
              </w:rPr>
            </w:pPr>
          </w:p>
        </w:tc>
      </w:tr>
      <w:tr w:rsidR="00EE3DF9" w:rsidRPr="00F5382B" w14:paraId="6AEAD9DE" w14:textId="77777777" w:rsidTr="00BC7F01">
        <w:trPr>
          <w:trHeight w:val="1835"/>
          <w:tblHeader/>
        </w:trPr>
        <w:tc>
          <w:tcPr>
            <w:tcW w:w="1439" w:type="pct"/>
            <w:shd w:val="clear" w:color="auto" w:fill="E7E6E6"/>
          </w:tcPr>
          <w:p w14:paraId="32B125F8" w14:textId="77777777" w:rsidR="00EE3DF9" w:rsidRPr="00F5382B" w:rsidRDefault="00EE3DF9">
            <w:pPr>
              <w:spacing w:before="60" w:after="60"/>
              <w:rPr>
                <w:b/>
                <w:bCs/>
                <w:noProof/>
                <w:sz w:val="16"/>
                <w:szCs w:val="16"/>
              </w:rPr>
            </w:pPr>
            <w:r w:rsidRPr="00F5382B">
              <w:rPr>
                <w:b/>
                <w:bCs/>
                <w:noProof/>
                <w:sz w:val="16"/>
                <w:szCs w:val="16"/>
              </w:rPr>
              <w:t>Costs</w:t>
            </w:r>
          </w:p>
          <w:p w14:paraId="510A6712" w14:textId="77777777" w:rsidR="00EE3DF9" w:rsidRPr="00F5382B" w:rsidRDefault="00EE3DF9">
            <w:pPr>
              <w:spacing w:before="60" w:after="60"/>
              <w:rPr>
                <w:i/>
                <w:iCs/>
                <w:noProof/>
                <w:sz w:val="16"/>
                <w:szCs w:val="16"/>
              </w:rPr>
            </w:pPr>
            <w:r w:rsidRPr="00F5382B">
              <w:rPr>
                <w:i/>
                <w:iCs/>
                <w:noProof/>
                <w:sz w:val="16"/>
                <w:szCs w:val="16"/>
              </w:rPr>
              <w:t xml:space="preserve">Direct: adjustment &amp; administrative costs </w:t>
            </w:r>
          </w:p>
          <w:p w14:paraId="1720FE6D"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 xml:space="preserve">Meeting new cyber requirements (adjustments costs – NIS2, certification) </w:t>
            </w:r>
          </w:p>
          <w:p w14:paraId="67CD49C0"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Accreditation fees for  CABs</w:t>
            </w:r>
          </w:p>
          <w:p w14:paraId="499346C2"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 xml:space="preserve">Paying third party assessment (administrative costs – certification) </w:t>
            </w:r>
          </w:p>
          <w:p w14:paraId="320E4B8E" w14:textId="77777777" w:rsidR="00EE3DF9" w:rsidRPr="00F5382B" w:rsidRDefault="00EE3DF9" w:rsidP="00D52AD8">
            <w:pPr>
              <w:pStyle w:val="ListParagraph"/>
              <w:numPr>
                <w:ilvl w:val="0"/>
                <w:numId w:val="118"/>
              </w:numPr>
              <w:spacing w:before="60" w:after="60" w:line="259" w:lineRule="auto"/>
              <w:jc w:val="left"/>
              <w:rPr>
                <w:i/>
                <w:iCs/>
                <w:noProof/>
                <w:sz w:val="16"/>
                <w:szCs w:val="16"/>
              </w:rPr>
            </w:pPr>
            <w:r w:rsidRPr="00F5382B">
              <w:rPr>
                <w:noProof/>
                <w:sz w:val="16"/>
                <w:szCs w:val="16"/>
              </w:rPr>
              <w:t>Fee to be authorised provider of individual skills attestations</w:t>
            </w:r>
          </w:p>
          <w:p w14:paraId="69756093" w14:textId="0DAAC716" w:rsidR="00EE3DF9" w:rsidRPr="00F5382B" w:rsidRDefault="00EE3DF9" w:rsidP="00D52AD8">
            <w:pPr>
              <w:pStyle w:val="ListParagraph"/>
              <w:numPr>
                <w:ilvl w:val="0"/>
                <w:numId w:val="118"/>
              </w:numPr>
              <w:spacing w:before="60" w:after="60" w:line="259" w:lineRule="auto"/>
              <w:jc w:val="left"/>
              <w:rPr>
                <w:i/>
                <w:iCs/>
                <w:noProof/>
                <w:sz w:val="16"/>
                <w:szCs w:val="16"/>
              </w:rPr>
            </w:pPr>
          </w:p>
        </w:tc>
        <w:tc>
          <w:tcPr>
            <w:tcW w:w="999" w:type="pct"/>
            <w:shd w:val="clear" w:color="auto" w:fill="E7E6E6"/>
          </w:tcPr>
          <w:p w14:paraId="5706C702" w14:textId="77777777" w:rsidR="00EE3DF9" w:rsidRPr="00F5382B" w:rsidRDefault="00EE3DF9">
            <w:pPr>
              <w:spacing w:before="60" w:after="60"/>
              <w:rPr>
                <w:b/>
                <w:bCs/>
                <w:noProof/>
                <w:sz w:val="16"/>
                <w:szCs w:val="16"/>
              </w:rPr>
            </w:pPr>
            <w:r w:rsidRPr="00F5382B">
              <w:rPr>
                <w:b/>
                <w:bCs/>
                <w:noProof/>
                <w:sz w:val="16"/>
                <w:szCs w:val="16"/>
              </w:rPr>
              <w:t>Costs</w:t>
            </w:r>
          </w:p>
          <w:p w14:paraId="3A0D8F3D" w14:textId="77777777" w:rsidR="00EE3DF9" w:rsidRPr="00F5382B" w:rsidRDefault="00EE3DF9">
            <w:pPr>
              <w:spacing w:before="60" w:after="60"/>
              <w:rPr>
                <w:i/>
                <w:iCs/>
                <w:noProof/>
                <w:sz w:val="16"/>
                <w:szCs w:val="16"/>
              </w:rPr>
            </w:pPr>
            <w:r w:rsidRPr="00F5382B">
              <w:rPr>
                <w:i/>
                <w:iCs/>
                <w:noProof/>
                <w:sz w:val="16"/>
                <w:szCs w:val="16"/>
              </w:rPr>
              <w:t>Direct</w:t>
            </w:r>
          </w:p>
          <w:p w14:paraId="353CE623" w14:textId="77777777" w:rsidR="00EE3DF9" w:rsidRPr="00F5382B" w:rsidRDefault="00EE3DF9" w:rsidP="00D52AD8">
            <w:pPr>
              <w:pStyle w:val="ListParagraph"/>
              <w:numPr>
                <w:ilvl w:val="0"/>
                <w:numId w:val="120"/>
              </w:numPr>
              <w:spacing w:before="60" w:after="60"/>
              <w:rPr>
                <w:noProof/>
                <w:sz w:val="16"/>
                <w:szCs w:val="16"/>
              </w:rPr>
            </w:pPr>
            <w:r w:rsidRPr="00F5382B">
              <w:rPr>
                <w:noProof/>
                <w:sz w:val="16"/>
                <w:szCs w:val="16"/>
              </w:rPr>
              <w:t>Fees for obtaining a skills attestation</w:t>
            </w:r>
          </w:p>
          <w:p w14:paraId="7C55916C" w14:textId="77777777" w:rsidR="00EE3DF9" w:rsidRPr="00F5382B" w:rsidRDefault="00EE3DF9">
            <w:pPr>
              <w:pStyle w:val="ListParagraph"/>
              <w:spacing w:before="60" w:after="60"/>
              <w:rPr>
                <w:i/>
                <w:iCs/>
                <w:noProof/>
                <w:sz w:val="16"/>
                <w:szCs w:val="16"/>
              </w:rPr>
            </w:pPr>
          </w:p>
        </w:tc>
        <w:tc>
          <w:tcPr>
            <w:tcW w:w="1300" w:type="pct"/>
            <w:shd w:val="clear" w:color="auto" w:fill="E7E6E6"/>
          </w:tcPr>
          <w:p w14:paraId="79B8CBB9" w14:textId="77777777" w:rsidR="00EE3DF9" w:rsidRPr="00F5382B" w:rsidRDefault="00EE3DF9">
            <w:pPr>
              <w:spacing w:before="60" w:after="60"/>
              <w:rPr>
                <w:b/>
                <w:bCs/>
                <w:noProof/>
                <w:sz w:val="16"/>
                <w:szCs w:val="16"/>
              </w:rPr>
            </w:pPr>
            <w:r w:rsidRPr="00F5382B">
              <w:rPr>
                <w:b/>
                <w:bCs/>
                <w:noProof/>
                <w:sz w:val="16"/>
                <w:szCs w:val="16"/>
              </w:rPr>
              <w:t>Costs</w:t>
            </w:r>
          </w:p>
          <w:p w14:paraId="416C8333" w14:textId="77777777" w:rsidR="00EE3DF9" w:rsidRPr="00F5382B" w:rsidRDefault="00EE3DF9">
            <w:pPr>
              <w:spacing w:before="60" w:after="60"/>
              <w:rPr>
                <w:i/>
                <w:iCs/>
                <w:noProof/>
                <w:sz w:val="16"/>
                <w:szCs w:val="16"/>
              </w:rPr>
            </w:pPr>
            <w:r w:rsidRPr="00F5382B">
              <w:rPr>
                <w:i/>
                <w:iCs/>
                <w:noProof/>
                <w:sz w:val="16"/>
                <w:szCs w:val="16"/>
              </w:rPr>
              <w:t>Direct</w:t>
            </w:r>
          </w:p>
          <w:p w14:paraId="7AF21344"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Enforcement costs </w:t>
            </w:r>
          </w:p>
          <w:p w14:paraId="33DA0C71"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Adjustment costs: Transfer of national liaison officers and seconded national experts to ENISA </w:t>
            </w:r>
          </w:p>
          <w:p w14:paraId="4F1C24E4" w14:textId="77777777" w:rsidR="00EE3DF9" w:rsidRPr="00F5382B" w:rsidRDefault="00EE3DF9">
            <w:pPr>
              <w:pStyle w:val="ListParagraph"/>
              <w:spacing w:before="60" w:after="60"/>
              <w:rPr>
                <w:noProof/>
                <w:sz w:val="16"/>
                <w:szCs w:val="16"/>
              </w:rPr>
            </w:pPr>
          </w:p>
          <w:p w14:paraId="05C01081" w14:textId="77777777" w:rsidR="00EE3DF9" w:rsidRPr="00F5382B" w:rsidRDefault="00EE3DF9">
            <w:pPr>
              <w:spacing w:before="60" w:after="60"/>
              <w:rPr>
                <w:noProof/>
                <w:sz w:val="16"/>
                <w:szCs w:val="16"/>
              </w:rPr>
            </w:pPr>
          </w:p>
        </w:tc>
        <w:tc>
          <w:tcPr>
            <w:tcW w:w="1262" w:type="pct"/>
            <w:shd w:val="clear" w:color="auto" w:fill="E7E6E6"/>
          </w:tcPr>
          <w:p w14:paraId="3445D7E4" w14:textId="77777777" w:rsidR="00EE3DF9" w:rsidRPr="00F5382B" w:rsidRDefault="00EE3DF9">
            <w:pPr>
              <w:spacing w:before="60" w:after="60"/>
              <w:rPr>
                <w:b/>
                <w:bCs/>
                <w:noProof/>
                <w:sz w:val="16"/>
                <w:szCs w:val="16"/>
              </w:rPr>
            </w:pPr>
            <w:r w:rsidRPr="00F5382B">
              <w:rPr>
                <w:b/>
                <w:bCs/>
                <w:noProof/>
                <w:sz w:val="16"/>
                <w:szCs w:val="16"/>
              </w:rPr>
              <w:t>Costs</w:t>
            </w:r>
          </w:p>
          <w:p w14:paraId="7678140D" w14:textId="77777777" w:rsidR="00EE3DF9" w:rsidRPr="00F5382B" w:rsidRDefault="00EE3DF9">
            <w:pPr>
              <w:spacing w:before="60" w:after="60"/>
              <w:rPr>
                <w:i/>
                <w:iCs/>
                <w:noProof/>
                <w:sz w:val="16"/>
                <w:szCs w:val="16"/>
              </w:rPr>
            </w:pPr>
            <w:r w:rsidRPr="00F5382B">
              <w:rPr>
                <w:i/>
                <w:iCs/>
                <w:noProof/>
                <w:sz w:val="16"/>
                <w:szCs w:val="16"/>
              </w:rPr>
              <w:t xml:space="preserve">Direct </w:t>
            </w:r>
          </w:p>
          <w:p w14:paraId="77A628D6"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Increased resources to ENISA (adjustment costs) </w:t>
            </w:r>
          </w:p>
          <w:p w14:paraId="3C798C29" w14:textId="77777777" w:rsidR="00EE3DF9" w:rsidRPr="00F5382B" w:rsidRDefault="00EE3DF9">
            <w:pPr>
              <w:spacing w:before="60" w:after="60"/>
              <w:rPr>
                <w:noProof/>
                <w:sz w:val="16"/>
                <w:szCs w:val="16"/>
              </w:rPr>
            </w:pPr>
          </w:p>
          <w:p w14:paraId="1E02C276" w14:textId="77777777" w:rsidR="00EE3DF9" w:rsidRPr="00F5382B" w:rsidRDefault="00EE3DF9">
            <w:pPr>
              <w:spacing w:before="60" w:after="60"/>
              <w:rPr>
                <w:i/>
                <w:iCs/>
                <w:noProof/>
                <w:sz w:val="16"/>
                <w:szCs w:val="16"/>
              </w:rPr>
            </w:pPr>
          </w:p>
        </w:tc>
      </w:tr>
      <w:tr w:rsidR="0087606E" w:rsidRPr="00F5382B" w14:paraId="63D462DA" w14:textId="77777777" w:rsidTr="00BC7F01">
        <w:trPr>
          <w:tblHeader/>
        </w:trPr>
        <w:tc>
          <w:tcPr>
            <w:tcW w:w="1439" w:type="pct"/>
            <w:shd w:val="clear" w:color="auto" w:fill="E7E6E6"/>
          </w:tcPr>
          <w:p w14:paraId="3AAB0FD4" w14:textId="77777777" w:rsidR="0087606E" w:rsidRPr="00F5382B" w:rsidRDefault="0087606E" w:rsidP="0087606E">
            <w:pPr>
              <w:spacing w:before="60" w:after="60"/>
              <w:rPr>
                <w:i/>
                <w:iCs/>
                <w:noProof/>
                <w:sz w:val="16"/>
                <w:szCs w:val="16"/>
              </w:rPr>
            </w:pPr>
            <w:r w:rsidRPr="00F5382B">
              <w:rPr>
                <w:i/>
                <w:iCs/>
                <w:noProof/>
                <w:sz w:val="16"/>
                <w:szCs w:val="16"/>
              </w:rPr>
              <w:t>Indirect</w:t>
            </w:r>
          </w:p>
          <w:p w14:paraId="4F8B09E0" w14:textId="77777777" w:rsidR="0087606E" w:rsidRPr="00F5382B" w:rsidRDefault="0087606E" w:rsidP="0087606E">
            <w:pPr>
              <w:spacing w:before="60" w:after="60"/>
              <w:rPr>
                <w:noProof/>
                <w:sz w:val="16"/>
                <w:szCs w:val="16"/>
                <w:u w:val="single"/>
              </w:rPr>
            </w:pPr>
            <w:r w:rsidRPr="00F5382B">
              <w:rPr>
                <w:noProof/>
                <w:sz w:val="16"/>
                <w:szCs w:val="16"/>
                <w:u w:val="single"/>
              </w:rPr>
              <w:t>As ICT provider</w:t>
            </w:r>
          </w:p>
          <w:p w14:paraId="2406AE0B" w14:textId="77777777" w:rsidR="0087606E" w:rsidRPr="00F5382B" w:rsidRDefault="0087606E" w:rsidP="0087606E">
            <w:pPr>
              <w:pStyle w:val="ListParagraph"/>
              <w:numPr>
                <w:ilvl w:val="0"/>
                <w:numId w:val="118"/>
              </w:numPr>
              <w:spacing w:before="60" w:after="60"/>
              <w:jc w:val="left"/>
              <w:rPr>
                <w:i/>
                <w:iCs/>
                <w:noProof/>
                <w:sz w:val="16"/>
                <w:szCs w:val="16"/>
              </w:rPr>
            </w:pPr>
            <w:r w:rsidRPr="00F5382B">
              <w:rPr>
                <w:noProof/>
                <w:sz w:val="16"/>
                <w:szCs w:val="16"/>
              </w:rPr>
              <w:t xml:space="preserve">Replacing ICT supply (retraining staff; interoperability with legacy systems) </w:t>
            </w:r>
          </w:p>
          <w:p w14:paraId="2F4FA367" w14:textId="77777777" w:rsidR="0087606E" w:rsidRPr="00F5382B" w:rsidRDefault="0087606E" w:rsidP="0087606E">
            <w:pPr>
              <w:pStyle w:val="ListParagraph"/>
              <w:numPr>
                <w:ilvl w:val="0"/>
                <w:numId w:val="118"/>
              </w:numPr>
              <w:spacing w:before="60" w:after="60"/>
              <w:jc w:val="left"/>
              <w:rPr>
                <w:i/>
                <w:iCs/>
                <w:noProof/>
                <w:sz w:val="16"/>
                <w:szCs w:val="16"/>
              </w:rPr>
            </w:pPr>
            <w:r w:rsidRPr="00F5382B">
              <w:rPr>
                <w:noProof/>
                <w:sz w:val="16"/>
                <w:szCs w:val="16"/>
              </w:rPr>
              <w:t>Impact on non-EU high risk businesses (market access restrictions)</w:t>
            </w:r>
          </w:p>
          <w:p w14:paraId="1D3C843B" w14:textId="77777777" w:rsidR="0087606E" w:rsidRPr="00F5382B" w:rsidRDefault="0087606E" w:rsidP="0087606E">
            <w:pPr>
              <w:spacing w:before="60" w:after="60"/>
              <w:rPr>
                <w:noProof/>
                <w:sz w:val="16"/>
                <w:szCs w:val="16"/>
                <w:u w:val="single"/>
              </w:rPr>
            </w:pPr>
            <w:r w:rsidRPr="00F5382B">
              <w:rPr>
                <w:noProof/>
                <w:sz w:val="16"/>
                <w:szCs w:val="16"/>
                <w:u w:val="single"/>
              </w:rPr>
              <w:t>As ICT user</w:t>
            </w:r>
          </w:p>
          <w:p w14:paraId="789A20CF" w14:textId="35A98ECC" w:rsidR="0087606E" w:rsidRPr="00BC7F01" w:rsidRDefault="0087606E" w:rsidP="0087606E">
            <w:pPr>
              <w:pStyle w:val="ListParagraph"/>
              <w:numPr>
                <w:ilvl w:val="0"/>
                <w:numId w:val="118"/>
              </w:numPr>
              <w:spacing w:before="60" w:after="60" w:line="259" w:lineRule="auto"/>
              <w:jc w:val="left"/>
              <w:rPr>
                <w:noProof/>
                <w:sz w:val="16"/>
                <w:szCs w:val="16"/>
              </w:rPr>
            </w:pPr>
            <w:r w:rsidRPr="00F5382B">
              <w:rPr>
                <w:noProof/>
                <w:sz w:val="16"/>
                <w:szCs w:val="16"/>
              </w:rPr>
              <w:t>Increased prices due to supply chain restrictions (as ICT user)</w:t>
            </w:r>
          </w:p>
        </w:tc>
        <w:tc>
          <w:tcPr>
            <w:tcW w:w="999" w:type="pct"/>
            <w:shd w:val="clear" w:color="auto" w:fill="E7E6E6"/>
          </w:tcPr>
          <w:p w14:paraId="44D7E6E6" w14:textId="77777777" w:rsidR="0087606E" w:rsidRPr="00F5382B" w:rsidRDefault="0087606E" w:rsidP="0087606E">
            <w:pPr>
              <w:spacing w:before="60" w:after="60"/>
              <w:rPr>
                <w:i/>
                <w:iCs/>
                <w:noProof/>
                <w:sz w:val="16"/>
                <w:szCs w:val="16"/>
              </w:rPr>
            </w:pPr>
            <w:r w:rsidRPr="00F5382B">
              <w:rPr>
                <w:i/>
                <w:iCs/>
                <w:noProof/>
                <w:sz w:val="16"/>
                <w:szCs w:val="16"/>
              </w:rPr>
              <w:t>Indirect</w:t>
            </w:r>
          </w:p>
          <w:p w14:paraId="29C1E7A3" w14:textId="77777777" w:rsidR="0087606E" w:rsidRPr="00F5382B" w:rsidRDefault="0087606E" w:rsidP="0087606E">
            <w:pPr>
              <w:spacing w:before="60" w:after="60"/>
              <w:rPr>
                <w:noProof/>
                <w:sz w:val="16"/>
                <w:szCs w:val="16"/>
                <w:u w:val="single"/>
              </w:rPr>
            </w:pPr>
            <w:r w:rsidRPr="00F5382B">
              <w:rPr>
                <w:noProof/>
                <w:sz w:val="16"/>
                <w:szCs w:val="16"/>
                <w:u w:val="single"/>
              </w:rPr>
              <w:t>As ICT user, ICT professional</w:t>
            </w:r>
          </w:p>
          <w:p w14:paraId="0EE02924" w14:textId="77777777" w:rsidR="0087606E" w:rsidRPr="00F5382B" w:rsidRDefault="0087606E" w:rsidP="0087606E">
            <w:pPr>
              <w:pStyle w:val="ListParagraph"/>
              <w:numPr>
                <w:ilvl w:val="0"/>
                <w:numId w:val="119"/>
              </w:numPr>
              <w:spacing w:before="60" w:after="60" w:line="259" w:lineRule="auto"/>
              <w:jc w:val="left"/>
              <w:rPr>
                <w:noProof/>
                <w:sz w:val="16"/>
                <w:szCs w:val="16"/>
              </w:rPr>
            </w:pPr>
            <w:r w:rsidRPr="00F5382B">
              <w:rPr>
                <w:noProof/>
                <w:sz w:val="16"/>
                <w:szCs w:val="16"/>
              </w:rPr>
              <w:t>Increased prices due to supply chain restrictions (as ICT user)</w:t>
            </w:r>
          </w:p>
          <w:p w14:paraId="48970426" w14:textId="77777777" w:rsidR="0087606E" w:rsidRPr="00F5382B" w:rsidRDefault="0087606E" w:rsidP="0087606E">
            <w:pPr>
              <w:spacing w:before="60" w:after="60"/>
              <w:jc w:val="left"/>
              <w:rPr>
                <w:noProof/>
                <w:sz w:val="16"/>
                <w:szCs w:val="16"/>
              </w:rPr>
            </w:pPr>
          </w:p>
          <w:p w14:paraId="01741BD3" w14:textId="77777777" w:rsidR="0087606E" w:rsidRPr="00F5382B" w:rsidRDefault="0087606E" w:rsidP="0087606E">
            <w:pPr>
              <w:spacing w:before="60" w:after="60"/>
              <w:rPr>
                <w:b/>
                <w:bCs/>
                <w:noProof/>
                <w:sz w:val="16"/>
                <w:szCs w:val="16"/>
              </w:rPr>
            </w:pPr>
          </w:p>
        </w:tc>
        <w:tc>
          <w:tcPr>
            <w:tcW w:w="1300" w:type="pct"/>
            <w:shd w:val="clear" w:color="auto" w:fill="E7E6E6"/>
          </w:tcPr>
          <w:p w14:paraId="6486F6E0" w14:textId="77777777" w:rsidR="0087606E" w:rsidRPr="00F5382B" w:rsidRDefault="0087606E" w:rsidP="0087606E">
            <w:pPr>
              <w:spacing w:before="60" w:after="60"/>
              <w:rPr>
                <w:i/>
                <w:iCs/>
                <w:noProof/>
                <w:sz w:val="16"/>
                <w:szCs w:val="16"/>
              </w:rPr>
            </w:pPr>
            <w:r w:rsidRPr="00F5382B">
              <w:rPr>
                <w:i/>
                <w:iCs/>
                <w:noProof/>
                <w:sz w:val="16"/>
                <w:szCs w:val="16"/>
              </w:rPr>
              <w:t>Indirect</w:t>
            </w:r>
          </w:p>
          <w:p w14:paraId="28B9DDBF" w14:textId="77777777" w:rsidR="0087606E" w:rsidRPr="00F5382B" w:rsidRDefault="0087606E" w:rsidP="0087606E">
            <w:pPr>
              <w:spacing w:before="60" w:after="60"/>
              <w:rPr>
                <w:noProof/>
                <w:sz w:val="16"/>
                <w:szCs w:val="16"/>
                <w:u w:val="single"/>
              </w:rPr>
            </w:pPr>
            <w:r w:rsidRPr="00F5382B">
              <w:rPr>
                <w:noProof/>
                <w:sz w:val="16"/>
                <w:szCs w:val="16"/>
                <w:u w:val="single"/>
              </w:rPr>
              <w:t>As ICT user</w:t>
            </w:r>
          </w:p>
          <w:p w14:paraId="7D7CB137" w14:textId="77777777" w:rsidR="0087606E" w:rsidRPr="00F5382B" w:rsidRDefault="0087606E" w:rsidP="0087606E">
            <w:pPr>
              <w:pStyle w:val="ListParagraph"/>
              <w:numPr>
                <w:ilvl w:val="0"/>
                <w:numId w:val="118"/>
              </w:numPr>
              <w:spacing w:before="60" w:after="60" w:line="259" w:lineRule="auto"/>
              <w:jc w:val="left"/>
              <w:rPr>
                <w:noProof/>
                <w:sz w:val="16"/>
                <w:szCs w:val="16"/>
              </w:rPr>
            </w:pPr>
            <w:r w:rsidRPr="00F5382B">
              <w:rPr>
                <w:noProof/>
                <w:sz w:val="16"/>
                <w:szCs w:val="16"/>
              </w:rPr>
              <w:t>Renegotiating contracts in the context of public procurement procedures (restriction of suppliers)</w:t>
            </w:r>
          </w:p>
          <w:p w14:paraId="33A77A1A" w14:textId="77777777" w:rsidR="0087606E" w:rsidRPr="00F5382B" w:rsidRDefault="0087606E" w:rsidP="0087606E">
            <w:pPr>
              <w:pStyle w:val="ListParagraph"/>
              <w:numPr>
                <w:ilvl w:val="0"/>
                <w:numId w:val="118"/>
              </w:numPr>
              <w:spacing w:before="60" w:after="60" w:line="259" w:lineRule="auto"/>
              <w:jc w:val="left"/>
              <w:rPr>
                <w:noProof/>
                <w:sz w:val="16"/>
                <w:szCs w:val="16"/>
              </w:rPr>
            </w:pPr>
            <w:r w:rsidRPr="00F5382B">
              <w:rPr>
                <w:noProof/>
                <w:sz w:val="16"/>
                <w:szCs w:val="16"/>
              </w:rPr>
              <w:t>Increased prices due to supply chain restrictions (as ICT user)</w:t>
            </w:r>
          </w:p>
          <w:p w14:paraId="1129EB29" w14:textId="77777777" w:rsidR="0087606E" w:rsidRPr="00F5382B" w:rsidRDefault="0087606E" w:rsidP="0087606E">
            <w:pPr>
              <w:spacing w:before="60" w:after="60"/>
              <w:rPr>
                <w:b/>
                <w:bCs/>
                <w:noProof/>
                <w:sz w:val="16"/>
                <w:szCs w:val="16"/>
              </w:rPr>
            </w:pPr>
          </w:p>
        </w:tc>
        <w:tc>
          <w:tcPr>
            <w:tcW w:w="1262" w:type="pct"/>
            <w:shd w:val="clear" w:color="auto" w:fill="E7E6E6"/>
          </w:tcPr>
          <w:p w14:paraId="3B03F94F" w14:textId="77777777" w:rsidR="0087606E" w:rsidRPr="00F5382B" w:rsidRDefault="0087606E" w:rsidP="0087606E">
            <w:pPr>
              <w:spacing w:before="60" w:after="60"/>
              <w:rPr>
                <w:i/>
                <w:iCs/>
                <w:noProof/>
                <w:sz w:val="16"/>
                <w:szCs w:val="16"/>
              </w:rPr>
            </w:pPr>
            <w:r w:rsidRPr="00F5382B">
              <w:rPr>
                <w:i/>
                <w:iCs/>
                <w:noProof/>
                <w:sz w:val="16"/>
                <w:szCs w:val="16"/>
              </w:rPr>
              <w:t>Indirect</w:t>
            </w:r>
          </w:p>
          <w:p w14:paraId="22801894" w14:textId="77777777" w:rsidR="0087606E" w:rsidRPr="00F5382B" w:rsidRDefault="0087606E" w:rsidP="0087606E">
            <w:pPr>
              <w:spacing w:before="60" w:after="60"/>
              <w:rPr>
                <w:noProof/>
                <w:sz w:val="16"/>
                <w:szCs w:val="16"/>
                <w:u w:val="single"/>
              </w:rPr>
            </w:pPr>
            <w:r w:rsidRPr="00F5382B">
              <w:rPr>
                <w:noProof/>
                <w:sz w:val="16"/>
                <w:szCs w:val="16"/>
                <w:u w:val="single"/>
              </w:rPr>
              <w:t>As trade partner</w:t>
            </w:r>
          </w:p>
          <w:p w14:paraId="273BA72E" w14:textId="77777777" w:rsidR="0087606E" w:rsidRPr="00F5382B" w:rsidRDefault="0087606E" w:rsidP="0087606E">
            <w:pPr>
              <w:pStyle w:val="ListParagraph"/>
              <w:numPr>
                <w:ilvl w:val="0"/>
                <w:numId w:val="118"/>
              </w:numPr>
              <w:spacing w:before="60" w:after="60"/>
              <w:jc w:val="left"/>
              <w:rPr>
                <w:noProof/>
                <w:sz w:val="16"/>
                <w:szCs w:val="16"/>
                <w:u w:val="single"/>
              </w:rPr>
            </w:pPr>
            <w:r w:rsidRPr="00F5382B">
              <w:rPr>
                <w:noProof/>
                <w:sz w:val="16"/>
                <w:szCs w:val="16"/>
              </w:rPr>
              <w:t xml:space="preserve">Trade negotiations – market restrictions/retaliations </w:t>
            </w:r>
          </w:p>
          <w:p w14:paraId="36895924" w14:textId="77777777" w:rsidR="0087606E" w:rsidRPr="00F5382B" w:rsidRDefault="0087606E" w:rsidP="0087606E">
            <w:pPr>
              <w:spacing w:before="60" w:after="60"/>
              <w:rPr>
                <w:noProof/>
                <w:sz w:val="16"/>
                <w:szCs w:val="16"/>
                <w:u w:val="single"/>
              </w:rPr>
            </w:pPr>
            <w:r w:rsidRPr="00F5382B">
              <w:rPr>
                <w:noProof/>
                <w:sz w:val="16"/>
                <w:szCs w:val="16"/>
                <w:u w:val="single"/>
              </w:rPr>
              <w:t>As ICT user</w:t>
            </w:r>
          </w:p>
          <w:p w14:paraId="4E2D9437" w14:textId="77777777" w:rsidR="0087606E" w:rsidRPr="00F5382B" w:rsidRDefault="0087606E" w:rsidP="0087606E">
            <w:pPr>
              <w:pStyle w:val="ListParagraph"/>
              <w:numPr>
                <w:ilvl w:val="0"/>
                <w:numId w:val="118"/>
              </w:numPr>
              <w:spacing w:before="60" w:after="60" w:line="259" w:lineRule="auto"/>
              <w:jc w:val="left"/>
              <w:rPr>
                <w:noProof/>
                <w:sz w:val="16"/>
                <w:szCs w:val="16"/>
              </w:rPr>
            </w:pPr>
            <w:r w:rsidRPr="00F5382B">
              <w:rPr>
                <w:noProof/>
                <w:sz w:val="16"/>
                <w:szCs w:val="16"/>
              </w:rPr>
              <w:t>Increased prices due to supply chain restrictions (as ICT user)</w:t>
            </w:r>
          </w:p>
          <w:p w14:paraId="7DC759FE" w14:textId="77777777" w:rsidR="0087606E" w:rsidRPr="00F5382B" w:rsidRDefault="0087606E" w:rsidP="0087606E">
            <w:pPr>
              <w:spacing w:before="60" w:after="60"/>
              <w:rPr>
                <w:b/>
                <w:bCs/>
                <w:noProof/>
                <w:sz w:val="16"/>
                <w:szCs w:val="16"/>
              </w:rPr>
            </w:pPr>
          </w:p>
        </w:tc>
      </w:tr>
      <w:tr w:rsidR="00EE3DF9" w:rsidRPr="00F5382B" w14:paraId="10E13ECE" w14:textId="77777777" w:rsidTr="00BC7F01">
        <w:trPr>
          <w:tblHeader/>
        </w:trPr>
        <w:tc>
          <w:tcPr>
            <w:tcW w:w="1439" w:type="pct"/>
            <w:shd w:val="clear" w:color="auto" w:fill="E7E6E6"/>
          </w:tcPr>
          <w:p w14:paraId="65E12F84" w14:textId="77777777" w:rsidR="00EE3DF9" w:rsidRPr="00F5382B" w:rsidRDefault="00EE3DF9">
            <w:pPr>
              <w:spacing w:before="60" w:after="60"/>
              <w:rPr>
                <w:b/>
                <w:bCs/>
                <w:noProof/>
                <w:sz w:val="16"/>
                <w:szCs w:val="16"/>
              </w:rPr>
            </w:pPr>
            <w:r w:rsidRPr="00F5382B">
              <w:rPr>
                <w:b/>
                <w:bCs/>
                <w:noProof/>
                <w:sz w:val="16"/>
                <w:szCs w:val="16"/>
              </w:rPr>
              <w:t>Benefits</w:t>
            </w:r>
          </w:p>
          <w:p w14:paraId="0AE8D17E" w14:textId="77777777" w:rsidR="00EE3DF9" w:rsidRPr="00F5382B" w:rsidRDefault="00EE3DF9">
            <w:pPr>
              <w:spacing w:before="60" w:after="60"/>
              <w:rPr>
                <w:i/>
                <w:iCs/>
                <w:noProof/>
                <w:sz w:val="16"/>
                <w:szCs w:val="16"/>
              </w:rPr>
            </w:pPr>
            <w:r w:rsidRPr="00F5382B">
              <w:rPr>
                <w:i/>
                <w:iCs/>
                <w:noProof/>
                <w:sz w:val="16"/>
                <w:szCs w:val="16"/>
              </w:rPr>
              <w:t>Direct</w:t>
            </w:r>
          </w:p>
          <w:p w14:paraId="20B98FE3"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Trust &amp; Uptake of ICT technologies </w:t>
            </w:r>
          </w:p>
          <w:p w14:paraId="09D1CB63"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Cost savings due to greater harmonisation </w:t>
            </w:r>
          </w:p>
          <w:p w14:paraId="50745939"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Cost savings due to incident response/detection</w:t>
            </w:r>
          </w:p>
          <w:p w14:paraId="1A8FCBC2"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Costs savings due to less cyber incidents </w:t>
            </w:r>
          </w:p>
          <w:p w14:paraId="1988821C"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Fees from certification for CABs </w:t>
            </w:r>
          </w:p>
          <w:p w14:paraId="24F41B3B" w14:textId="77777777" w:rsidR="00EE3DF9" w:rsidRPr="00F5382B" w:rsidRDefault="00EE3DF9">
            <w:pPr>
              <w:spacing w:before="60" w:after="60"/>
              <w:rPr>
                <w:i/>
                <w:iCs/>
                <w:noProof/>
                <w:sz w:val="16"/>
                <w:szCs w:val="16"/>
              </w:rPr>
            </w:pPr>
            <w:r w:rsidRPr="00F5382B">
              <w:rPr>
                <w:i/>
                <w:iCs/>
                <w:noProof/>
                <w:sz w:val="16"/>
                <w:szCs w:val="16"/>
              </w:rPr>
              <w:t>Indirect</w:t>
            </w:r>
          </w:p>
          <w:p w14:paraId="43C55C9B"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 xml:space="preserve">Enhanced reputation &amp; market opportunities due to certification and attestation </w:t>
            </w:r>
          </w:p>
          <w:p w14:paraId="057E8CAA"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Less dependencies &amp; legal uncertainties (digital sovereignty; third countries)</w:t>
            </w:r>
          </w:p>
          <w:p w14:paraId="62E70DE1" w14:textId="77777777" w:rsidR="00EE3DF9" w:rsidRPr="00F5382B" w:rsidRDefault="00EE3DF9" w:rsidP="00D52AD8">
            <w:pPr>
              <w:pStyle w:val="ListParagraph"/>
              <w:numPr>
                <w:ilvl w:val="0"/>
                <w:numId w:val="118"/>
              </w:numPr>
              <w:spacing w:before="60" w:after="60"/>
              <w:jc w:val="left"/>
              <w:rPr>
                <w:i/>
                <w:iCs/>
                <w:noProof/>
                <w:sz w:val="16"/>
                <w:szCs w:val="16"/>
              </w:rPr>
            </w:pPr>
            <w:r w:rsidRPr="00F5382B">
              <w:rPr>
                <w:noProof/>
                <w:sz w:val="16"/>
                <w:szCs w:val="16"/>
              </w:rPr>
              <w:t>Market opportunities, competitiveness and innovation for EU and trusted providers</w:t>
            </w:r>
          </w:p>
        </w:tc>
        <w:tc>
          <w:tcPr>
            <w:tcW w:w="999" w:type="pct"/>
            <w:shd w:val="clear" w:color="auto" w:fill="E7E6E6"/>
          </w:tcPr>
          <w:p w14:paraId="550C4C73" w14:textId="77777777" w:rsidR="00EE3DF9" w:rsidRPr="00F5382B" w:rsidRDefault="00EE3DF9">
            <w:pPr>
              <w:spacing w:before="60" w:after="60"/>
              <w:rPr>
                <w:b/>
                <w:bCs/>
                <w:noProof/>
                <w:sz w:val="16"/>
                <w:szCs w:val="16"/>
              </w:rPr>
            </w:pPr>
            <w:r w:rsidRPr="00F5382B">
              <w:rPr>
                <w:b/>
                <w:bCs/>
                <w:noProof/>
                <w:sz w:val="16"/>
                <w:szCs w:val="16"/>
              </w:rPr>
              <w:t>Benefits</w:t>
            </w:r>
          </w:p>
          <w:p w14:paraId="53DDBE34" w14:textId="77777777" w:rsidR="00EE3DF9" w:rsidRPr="00F5382B" w:rsidRDefault="00EE3DF9">
            <w:pPr>
              <w:spacing w:before="60" w:after="60"/>
              <w:rPr>
                <w:i/>
                <w:iCs/>
                <w:noProof/>
                <w:sz w:val="16"/>
                <w:szCs w:val="16"/>
              </w:rPr>
            </w:pPr>
            <w:r w:rsidRPr="00F5382B">
              <w:rPr>
                <w:i/>
                <w:iCs/>
                <w:noProof/>
                <w:sz w:val="16"/>
                <w:szCs w:val="16"/>
              </w:rPr>
              <w:t>Direct</w:t>
            </w:r>
          </w:p>
          <w:p w14:paraId="7CD6B657" w14:textId="77777777" w:rsidR="00EE3DF9" w:rsidRPr="00F5382B" w:rsidRDefault="00EE3DF9" w:rsidP="00D52AD8">
            <w:pPr>
              <w:pStyle w:val="ListParagraph"/>
              <w:numPr>
                <w:ilvl w:val="0"/>
                <w:numId w:val="119"/>
              </w:numPr>
              <w:spacing w:before="60" w:after="60"/>
              <w:jc w:val="left"/>
              <w:rPr>
                <w:noProof/>
                <w:sz w:val="16"/>
                <w:szCs w:val="16"/>
              </w:rPr>
            </w:pPr>
            <w:r w:rsidRPr="00F5382B">
              <w:rPr>
                <w:noProof/>
                <w:sz w:val="16"/>
                <w:szCs w:val="16"/>
              </w:rPr>
              <w:t>More certainty regarding trusted ICT solutions (certification)</w:t>
            </w:r>
          </w:p>
          <w:p w14:paraId="541E258F" w14:textId="77777777" w:rsidR="00EE3DF9" w:rsidRPr="00F5382B" w:rsidRDefault="00EE3DF9">
            <w:pPr>
              <w:spacing w:before="60" w:after="60"/>
              <w:rPr>
                <w:i/>
                <w:iCs/>
                <w:noProof/>
                <w:sz w:val="16"/>
                <w:szCs w:val="16"/>
              </w:rPr>
            </w:pPr>
            <w:r w:rsidRPr="00F5382B">
              <w:rPr>
                <w:i/>
                <w:iCs/>
                <w:noProof/>
                <w:sz w:val="16"/>
                <w:szCs w:val="16"/>
              </w:rPr>
              <w:t>Indirect</w:t>
            </w:r>
          </w:p>
          <w:p w14:paraId="2393C5D4" w14:textId="77777777" w:rsidR="00EE3DF9" w:rsidRPr="00F5382B" w:rsidRDefault="00EE3DF9" w:rsidP="00D52AD8">
            <w:pPr>
              <w:pStyle w:val="ListParagraph"/>
              <w:numPr>
                <w:ilvl w:val="0"/>
                <w:numId w:val="119"/>
              </w:numPr>
              <w:spacing w:before="60" w:after="60" w:line="259" w:lineRule="auto"/>
              <w:jc w:val="left"/>
              <w:rPr>
                <w:noProof/>
                <w:sz w:val="16"/>
                <w:szCs w:val="16"/>
              </w:rPr>
            </w:pPr>
            <w:r w:rsidRPr="00F5382B">
              <w:rPr>
                <w:noProof/>
                <w:sz w:val="16"/>
                <w:szCs w:val="16"/>
              </w:rPr>
              <w:t xml:space="preserve">Trust &amp; Uptake of ICT technologies </w:t>
            </w:r>
          </w:p>
          <w:p w14:paraId="7719188D" w14:textId="77777777" w:rsidR="00EE3DF9" w:rsidRPr="00F5382B" w:rsidRDefault="00EE3DF9" w:rsidP="00D52AD8">
            <w:pPr>
              <w:pStyle w:val="ListParagraph"/>
              <w:numPr>
                <w:ilvl w:val="0"/>
                <w:numId w:val="119"/>
              </w:numPr>
              <w:spacing w:before="60" w:after="60" w:line="259" w:lineRule="auto"/>
              <w:jc w:val="left"/>
              <w:rPr>
                <w:noProof/>
                <w:sz w:val="16"/>
                <w:szCs w:val="16"/>
              </w:rPr>
            </w:pPr>
            <w:r w:rsidRPr="00F5382B">
              <w:rPr>
                <w:noProof/>
                <w:sz w:val="16"/>
                <w:szCs w:val="16"/>
              </w:rPr>
              <w:t xml:space="preserve">Enhanced privacy </w:t>
            </w:r>
          </w:p>
          <w:p w14:paraId="18CFBE74" w14:textId="77777777" w:rsidR="00EE3DF9" w:rsidRPr="00F5382B" w:rsidRDefault="00EE3DF9" w:rsidP="00D52AD8">
            <w:pPr>
              <w:pStyle w:val="ListParagraph"/>
              <w:numPr>
                <w:ilvl w:val="0"/>
                <w:numId w:val="119"/>
              </w:numPr>
              <w:spacing w:before="60" w:after="60" w:line="259" w:lineRule="auto"/>
              <w:jc w:val="left"/>
              <w:rPr>
                <w:noProof/>
                <w:sz w:val="16"/>
                <w:szCs w:val="16"/>
              </w:rPr>
            </w:pPr>
            <w:r w:rsidRPr="00F5382B">
              <w:rPr>
                <w:noProof/>
                <w:sz w:val="16"/>
                <w:szCs w:val="16"/>
              </w:rPr>
              <w:t xml:space="preserve">More job opportunities </w:t>
            </w:r>
          </w:p>
          <w:p w14:paraId="74CA2AE6" w14:textId="77777777" w:rsidR="00EE3DF9" w:rsidRPr="00F5382B" w:rsidRDefault="00EE3DF9">
            <w:pPr>
              <w:spacing w:before="60" w:after="60"/>
              <w:rPr>
                <w:b/>
                <w:bCs/>
                <w:noProof/>
                <w:sz w:val="16"/>
                <w:szCs w:val="16"/>
              </w:rPr>
            </w:pPr>
          </w:p>
        </w:tc>
        <w:tc>
          <w:tcPr>
            <w:tcW w:w="1300" w:type="pct"/>
            <w:shd w:val="clear" w:color="auto" w:fill="E7E6E6"/>
          </w:tcPr>
          <w:p w14:paraId="0ADCB3B1" w14:textId="77777777" w:rsidR="00EE3DF9" w:rsidRPr="00F5382B" w:rsidRDefault="00EE3DF9">
            <w:pPr>
              <w:spacing w:before="60" w:after="60"/>
              <w:rPr>
                <w:b/>
                <w:bCs/>
                <w:noProof/>
                <w:sz w:val="16"/>
                <w:szCs w:val="16"/>
              </w:rPr>
            </w:pPr>
            <w:r w:rsidRPr="00F5382B">
              <w:rPr>
                <w:b/>
                <w:bCs/>
                <w:noProof/>
                <w:sz w:val="16"/>
                <w:szCs w:val="16"/>
              </w:rPr>
              <w:t>Benefits</w:t>
            </w:r>
          </w:p>
          <w:p w14:paraId="4FE643C6" w14:textId="77777777" w:rsidR="00EE3DF9" w:rsidRPr="00F5382B" w:rsidRDefault="00EE3DF9">
            <w:pPr>
              <w:spacing w:before="60" w:after="60"/>
              <w:rPr>
                <w:i/>
                <w:iCs/>
                <w:noProof/>
                <w:sz w:val="16"/>
                <w:szCs w:val="16"/>
              </w:rPr>
            </w:pPr>
            <w:r w:rsidRPr="00F5382B">
              <w:rPr>
                <w:i/>
                <w:iCs/>
                <w:noProof/>
                <w:sz w:val="16"/>
                <w:szCs w:val="16"/>
              </w:rPr>
              <w:t>Direct</w:t>
            </w:r>
          </w:p>
          <w:p w14:paraId="4FC2DECB" w14:textId="77777777" w:rsidR="00EE3DF9" w:rsidRPr="00F5382B" w:rsidRDefault="00EE3DF9" w:rsidP="00D52AD8">
            <w:pPr>
              <w:pStyle w:val="ListParagraph"/>
              <w:numPr>
                <w:ilvl w:val="0"/>
                <w:numId w:val="118"/>
              </w:numPr>
              <w:spacing w:before="60" w:after="60" w:line="259" w:lineRule="auto"/>
              <w:jc w:val="left"/>
              <w:rPr>
                <w:noProof/>
                <w:sz w:val="16"/>
                <w:szCs w:val="16"/>
              </w:rPr>
            </w:pPr>
            <w:r w:rsidRPr="00F5382B">
              <w:rPr>
                <w:noProof/>
                <w:sz w:val="16"/>
                <w:szCs w:val="16"/>
              </w:rPr>
              <w:t>Costs savings related to supervision</w:t>
            </w:r>
          </w:p>
          <w:p w14:paraId="01E9DFC0"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Reduction of hassle costs due to greater harmonisation (certification; incident response coordination; NIS2)</w:t>
            </w:r>
          </w:p>
          <w:p w14:paraId="04397F9A" w14:textId="77777777" w:rsidR="00EE3DF9" w:rsidRPr="00F5382B" w:rsidRDefault="00EE3DF9">
            <w:pPr>
              <w:spacing w:before="60" w:after="60"/>
              <w:rPr>
                <w:i/>
                <w:iCs/>
                <w:noProof/>
                <w:sz w:val="16"/>
                <w:szCs w:val="16"/>
              </w:rPr>
            </w:pPr>
            <w:r w:rsidRPr="00F5382B">
              <w:rPr>
                <w:i/>
                <w:iCs/>
                <w:noProof/>
                <w:sz w:val="16"/>
                <w:szCs w:val="16"/>
              </w:rPr>
              <w:t>Indirect</w:t>
            </w:r>
          </w:p>
          <w:p w14:paraId="2CE0E8ED"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Trust &amp; Uptake of ICT technologies </w:t>
            </w:r>
          </w:p>
          <w:p w14:paraId="4B549C7C" w14:textId="77777777" w:rsidR="00EE3DF9" w:rsidRPr="00F5382B" w:rsidRDefault="00EE3DF9">
            <w:pPr>
              <w:spacing w:before="60" w:after="60"/>
              <w:rPr>
                <w:b/>
                <w:bCs/>
                <w:noProof/>
                <w:sz w:val="16"/>
                <w:szCs w:val="16"/>
              </w:rPr>
            </w:pPr>
          </w:p>
        </w:tc>
        <w:tc>
          <w:tcPr>
            <w:tcW w:w="1262" w:type="pct"/>
            <w:shd w:val="clear" w:color="auto" w:fill="E7E6E6"/>
          </w:tcPr>
          <w:p w14:paraId="08042E2F" w14:textId="77777777" w:rsidR="00EE3DF9" w:rsidRPr="00F5382B" w:rsidRDefault="00EE3DF9">
            <w:pPr>
              <w:spacing w:before="60" w:after="60"/>
              <w:rPr>
                <w:b/>
                <w:bCs/>
                <w:noProof/>
                <w:sz w:val="16"/>
                <w:szCs w:val="16"/>
              </w:rPr>
            </w:pPr>
            <w:r w:rsidRPr="00F5382B">
              <w:rPr>
                <w:b/>
                <w:bCs/>
                <w:noProof/>
                <w:sz w:val="16"/>
                <w:szCs w:val="16"/>
              </w:rPr>
              <w:t>Benefits</w:t>
            </w:r>
          </w:p>
          <w:p w14:paraId="236C76E0" w14:textId="77777777" w:rsidR="00EE3DF9" w:rsidRPr="00F5382B" w:rsidRDefault="00EE3DF9">
            <w:pPr>
              <w:spacing w:before="60" w:after="60"/>
              <w:rPr>
                <w:i/>
                <w:iCs/>
                <w:noProof/>
                <w:sz w:val="16"/>
                <w:szCs w:val="16"/>
              </w:rPr>
            </w:pPr>
            <w:r w:rsidRPr="00F5382B">
              <w:rPr>
                <w:i/>
                <w:iCs/>
                <w:noProof/>
                <w:sz w:val="16"/>
                <w:szCs w:val="16"/>
              </w:rPr>
              <w:t>Direct</w:t>
            </w:r>
          </w:p>
          <w:p w14:paraId="131932E3" w14:textId="77777777" w:rsidR="00EE3DF9" w:rsidRPr="00F5382B" w:rsidRDefault="00EE3DF9">
            <w:pPr>
              <w:spacing w:before="60" w:after="60"/>
              <w:rPr>
                <w:noProof/>
                <w:sz w:val="16"/>
                <w:szCs w:val="16"/>
              </w:rPr>
            </w:pPr>
          </w:p>
          <w:p w14:paraId="48C1FB31" w14:textId="77777777" w:rsidR="00EE3DF9" w:rsidRPr="00F5382B" w:rsidRDefault="00EE3DF9">
            <w:pPr>
              <w:spacing w:before="60" w:after="60"/>
              <w:rPr>
                <w:i/>
                <w:iCs/>
                <w:noProof/>
                <w:sz w:val="16"/>
                <w:szCs w:val="16"/>
              </w:rPr>
            </w:pPr>
            <w:r w:rsidRPr="00F5382B">
              <w:rPr>
                <w:i/>
                <w:iCs/>
                <w:noProof/>
                <w:sz w:val="16"/>
                <w:szCs w:val="16"/>
              </w:rPr>
              <w:t xml:space="preserve">Indirect </w:t>
            </w:r>
          </w:p>
          <w:p w14:paraId="54CE60A4"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Trust &amp; Uptake of ICT technologies (use of cloud and 5G by the Commission; ENISA)</w:t>
            </w:r>
          </w:p>
          <w:p w14:paraId="0C5E4541" w14:textId="77777777" w:rsidR="00EE3DF9" w:rsidRPr="00F5382B" w:rsidRDefault="00EE3DF9" w:rsidP="00D52AD8">
            <w:pPr>
              <w:pStyle w:val="ListParagraph"/>
              <w:numPr>
                <w:ilvl w:val="0"/>
                <w:numId w:val="118"/>
              </w:numPr>
              <w:spacing w:before="60" w:after="60"/>
              <w:jc w:val="left"/>
              <w:rPr>
                <w:noProof/>
                <w:sz w:val="16"/>
                <w:szCs w:val="16"/>
              </w:rPr>
            </w:pPr>
            <w:r w:rsidRPr="00F5382B">
              <w:rPr>
                <w:noProof/>
                <w:sz w:val="16"/>
                <w:szCs w:val="16"/>
              </w:rPr>
              <w:t xml:space="preserve">Increased reputation of ENISA towards MS and international partners </w:t>
            </w:r>
          </w:p>
          <w:p w14:paraId="179381A4" w14:textId="77777777" w:rsidR="00EE3DF9" w:rsidRPr="00F5382B" w:rsidRDefault="00EE3DF9">
            <w:pPr>
              <w:spacing w:before="60" w:after="60"/>
              <w:rPr>
                <w:b/>
                <w:bCs/>
                <w:noProof/>
                <w:sz w:val="16"/>
                <w:szCs w:val="16"/>
              </w:rPr>
            </w:pPr>
          </w:p>
        </w:tc>
      </w:tr>
    </w:tbl>
    <w:p w14:paraId="42DBDCD5" w14:textId="77777777" w:rsidR="00EE3DF9" w:rsidRPr="00F5382B" w:rsidRDefault="00EE3DF9" w:rsidP="00EE3DF9">
      <w:pPr>
        <w:pStyle w:val="Heading1"/>
        <w:numPr>
          <w:ilvl w:val="0"/>
          <w:numId w:val="3"/>
        </w:numPr>
        <w:rPr>
          <w:noProof/>
        </w:rPr>
      </w:pPr>
      <w:r w:rsidRPr="00F5382B">
        <w:rPr>
          <w:noProof/>
        </w:rPr>
        <w:t xml:space="preserve"> </w:t>
      </w:r>
      <w:bookmarkStart w:id="228" w:name="_Toc210934622"/>
      <w:bookmarkStart w:id="229" w:name="_Toc210939806"/>
      <w:bookmarkStart w:id="230" w:name="_Toc219039500"/>
      <w:bookmarkStart w:id="231" w:name="_Toc219447399"/>
      <w:r w:rsidRPr="00F5382B">
        <w:rPr>
          <w:bCs/>
          <w:noProof/>
        </w:rPr>
        <w:t>Methodological explanations by policy option</w:t>
      </w:r>
      <w:bookmarkEnd w:id="228"/>
      <w:bookmarkEnd w:id="229"/>
      <w:bookmarkEnd w:id="230"/>
      <w:bookmarkEnd w:id="231"/>
    </w:p>
    <w:p w14:paraId="07B3B844" w14:textId="77777777" w:rsidR="00EE3DF9" w:rsidRPr="00F5382B" w:rsidRDefault="00EE3DF9" w:rsidP="00EE3DF9">
      <w:pPr>
        <w:pStyle w:val="Heading2"/>
        <w:numPr>
          <w:ilvl w:val="1"/>
          <w:numId w:val="3"/>
        </w:numPr>
        <w:rPr>
          <w:noProof/>
        </w:rPr>
      </w:pPr>
      <w:bookmarkStart w:id="232" w:name="_Toc210934198"/>
      <w:bookmarkStart w:id="233" w:name="_Toc210934243"/>
      <w:bookmarkStart w:id="234" w:name="_Toc210934449"/>
      <w:bookmarkStart w:id="235" w:name="_Toc210934525"/>
      <w:bookmarkStart w:id="236" w:name="_Toc210934623"/>
      <w:bookmarkStart w:id="237" w:name="_Toc210937570"/>
      <w:bookmarkStart w:id="238" w:name="_Toc210937642"/>
      <w:bookmarkStart w:id="239" w:name="_Toc210937961"/>
      <w:bookmarkStart w:id="240" w:name="_Toc210938032"/>
      <w:bookmarkStart w:id="241" w:name="_Toc210938083"/>
      <w:bookmarkStart w:id="242" w:name="_Toc210938276"/>
      <w:bookmarkStart w:id="243" w:name="_Toc210938335"/>
      <w:bookmarkStart w:id="244" w:name="_Toc210938396"/>
      <w:bookmarkStart w:id="245" w:name="_Toc210938474"/>
      <w:bookmarkStart w:id="246" w:name="_Toc210939807"/>
      <w:bookmarkStart w:id="247" w:name="_Toc210940161"/>
      <w:bookmarkStart w:id="248" w:name="_Toc210934624"/>
      <w:bookmarkStart w:id="249" w:name="_Toc210939808"/>
      <w:bookmarkStart w:id="250" w:name="_Toc219039501"/>
      <w:bookmarkStart w:id="251" w:name="_Toc219447400"/>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F5382B">
        <w:rPr>
          <w:noProof/>
        </w:rPr>
        <w:t>Options related to ENISA mandate</w:t>
      </w:r>
      <w:bookmarkStart w:id="252" w:name="_Toc210934625"/>
      <w:bookmarkStart w:id="253" w:name="_Toc210937572"/>
      <w:bookmarkStart w:id="254" w:name="_Toc210937644"/>
      <w:bookmarkStart w:id="255" w:name="_Toc210938085"/>
      <w:bookmarkStart w:id="256" w:name="_Toc210938278"/>
      <w:bookmarkStart w:id="257" w:name="_Toc210938337"/>
      <w:bookmarkStart w:id="258" w:name="_Toc210938398"/>
      <w:bookmarkStart w:id="259" w:name="_Toc210939809"/>
      <w:bookmarkEnd w:id="248"/>
      <w:bookmarkEnd w:id="249"/>
      <w:bookmarkEnd w:id="250"/>
      <w:bookmarkEnd w:id="251"/>
      <w:bookmarkEnd w:id="252"/>
      <w:bookmarkEnd w:id="253"/>
      <w:bookmarkEnd w:id="254"/>
      <w:bookmarkEnd w:id="255"/>
      <w:bookmarkEnd w:id="256"/>
      <w:bookmarkEnd w:id="257"/>
      <w:bookmarkEnd w:id="258"/>
      <w:bookmarkEnd w:id="259"/>
    </w:p>
    <w:p w14:paraId="14B0B6DD" w14:textId="77777777" w:rsidR="00EE3DF9" w:rsidRPr="00F5382B" w:rsidRDefault="00EE3DF9" w:rsidP="00EE3DF9">
      <w:pPr>
        <w:pStyle w:val="Heading3"/>
        <w:numPr>
          <w:ilvl w:val="2"/>
          <w:numId w:val="3"/>
        </w:numPr>
        <w:rPr>
          <w:noProof/>
        </w:rPr>
      </w:pPr>
      <w:bookmarkStart w:id="260" w:name="_Toc210934626"/>
      <w:bookmarkStart w:id="261" w:name="_Toc210939810"/>
      <w:bookmarkStart w:id="262" w:name="_Toc219039502"/>
      <w:bookmarkStart w:id="263" w:name="_Toc219447401"/>
      <w:r w:rsidRPr="00F5382B">
        <w:rPr>
          <w:noProof/>
        </w:rPr>
        <w:t>Benefits and costs savings (Options A2 and A3)</w:t>
      </w:r>
      <w:bookmarkEnd w:id="260"/>
      <w:bookmarkEnd w:id="261"/>
      <w:bookmarkEnd w:id="262"/>
      <w:bookmarkEnd w:id="263"/>
    </w:p>
    <w:p w14:paraId="5A63EB90" w14:textId="77777777" w:rsidR="00EE3DF9" w:rsidRPr="00F5382B" w:rsidRDefault="00EE3DF9" w:rsidP="00EE3DF9">
      <w:pPr>
        <w:pStyle w:val="Heading4"/>
        <w:numPr>
          <w:ilvl w:val="3"/>
          <w:numId w:val="3"/>
        </w:numPr>
        <w:rPr>
          <w:noProof/>
        </w:rPr>
      </w:pPr>
      <w:bookmarkStart w:id="264" w:name="_Toc210934627"/>
      <w:bookmarkStart w:id="265" w:name="_Toc210939811"/>
      <w:r w:rsidRPr="00F5382B">
        <w:rPr>
          <w:noProof/>
        </w:rPr>
        <w:t>Cost savings related to cybersecurity incidents</w:t>
      </w:r>
      <w:bookmarkEnd w:id="264"/>
      <w:bookmarkEnd w:id="265"/>
      <w:r w:rsidRPr="00F5382B">
        <w:rPr>
          <w:noProof/>
        </w:rPr>
        <w:t xml:space="preserve">  </w:t>
      </w:r>
    </w:p>
    <w:p w14:paraId="4650E4C1" w14:textId="77777777" w:rsidR="00EE3DF9" w:rsidRPr="00F5382B" w:rsidRDefault="00EE3DF9" w:rsidP="00EE3DF9">
      <w:pPr>
        <w:rPr>
          <w:i/>
          <w:iCs/>
          <w:noProof/>
        </w:rPr>
      </w:pPr>
      <w:r w:rsidRPr="00F5382B">
        <w:rPr>
          <w:noProof/>
        </w:rPr>
        <w:t xml:space="preserve">The quantitative benefits detailed below represent an estimate of the </w:t>
      </w:r>
      <w:r w:rsidRPr="00F5382B">
        <w:rPr>
          <w:b/>
          <w:noProof/>
        </w:rPr>
        <w:t>possible impact in terms of cost savings of the measures included in options A2 and A3 in relations to cybersecurity incidents</w:t>
      </w:r>
      <w:r w:rsidRPr="00F5382B">
        <w:rPr>
          <w:noProof/>
        </w:rPr>
        <w:t xml:space="preserve">. This is particularly relevant for enhanced operational coordination and situational awareness, such as the single repository or ENISA becoming a root authority within the international vulnerability identification systems. To estimate and show the possible impacts of the proposed measures on the EU’s cyberposture, several assumptions have been made to quantify the benefits in a most representative way. The data limitations are further explained in section 6 of the report and </w:t>
      </w:r>
      <w:r w:rsidRPr="00F5382B">
        <w:rPr>
          <w:i/>
          <w:iCs/>
          <w:noProof/>
        </w:rPr>
        <w:t>Annex 7</w:t>
      </w:r>
      <w:r w:rsidRPr="00F5382B">
        <w:rPr>
          <w:noProof/>
        </w:rPr>
        <w:t xml:space="preserve">.  </w:t>
      </w:r>
    </w:p>
    <w:p w14:paraId="28649A1B" w14:textId="77777777" w:rsidR="00EE3DF9" w:rsidRPr="00F5382B" w:rsidRDefault="00EE3DF9" w:rsidP="00EE3DF9">
      <w:pPr>
        <w:rPr>
          <w:b/>
          <w:bCs/>
          <w:noProof/>
        </w:rPr>
      </w:pPr>
      <w:r w:rsidRPr="00F5382B">
        <w:rPr>
          <w:noProof/>
        </w:rPr>
        <w:t xml:space="preserve">Based on the available data, this report measures the impact that proposed measures will have on reducing recovery costs from incidents. It is expected that the measures proposed will decrease the </w:t>
      </w:r>
      <w:r w:rsidRPr="00F5382B">
        <w:rPr>
          <w:i/>
          <w:iCs/>
          <w:noProof/>
        </w:rPr>
        <w:t>mean-time-to-identify</w:t>
      </w:r>
      <w:r w:rsidRPr="00F5382B">
        <w:rPr>
          <w:noProof/>
        </w:rPr>
        <w:t xml:space="preserve"> and the </w:t>
      </w:r>
      <w:r w:rsidRPr="00F5382B">
        <w:rPr>
          <w:i/>
          <w:iCs/>
          <w:noProof/>
        </w:rPr>
        <w:t xml:space="preserve">mean-time-to-detect. </w:t>
      </w:r>
      <w:r w:rsidRPr="00F5382B">
        <w:rPr>
          <w:noProof/>
        </w:rPr>
        <w:t xml:space="preserve">As explained in </w:t>
      </w:r>
      <w:r w:rsidRPr="00F5382B">
        <w:rPr>
          <w:i/>
          <w:iCs/>
          <w:noProof/>
        </w:rPr>
        <w:t>Annex 7</w:t>
      </w:r>
      <w:r w:rsidRPr="00F5382B">
        <w:rPr>
          <w:noProof/>
        </w:rPr>
        <w:t>, both are drivers of</w:t>
      </w:r>
      <w:r w:rsidRPr="00F5382B">
        <w:rPr>
          <w:b/>
          <w:bCs/>
          <w:noProof/>
        </w:rPr>
        <w:t xml:space="preserve"> </w:t>
      </w:r>
      <w:r w:rsidRPr="00F5382B">
        <w:rPr>
          <w:noProof/>
        </w:rPr>
        <w:t>the recovery costs from an incident.</w:t>
      </w:r>
      <w:r w:rsidRPr="00F5382B">
        <w:rPr>
          <w:b/>
          <w:bCs/>
          <w:noProof/>
        </w:rPr>
        <w:t xml:space="preserve"> </w:t>
      </w:r>
    </w:p>
    <w:p w14:paraId="3678B70E" w14:textId="10A9B128" w:rsidR="00EE3DF9" w:rsidRPr="00F5382B" w:rsidRDefault="00EE3DF9" w:rsidP="00EE3DF9">
      <w:pPr>
        <w:rPr>
          <w:noProof/>
        </w:rPr>
      </w:pPr>
      <w:r w:rsidRPr="00F5382B">
        <w:rPr>
          <w:noProof/>
        </w:rPr>
        <w:t xml:space="preserve">To estimate the average cost of an incident, based on available data, it is assumed that the average cost of an incident is EUR 4.4 M which is the average cost of a data breach in Europe according to the data presented in </w:t>
      </w:r>
      <w:r w:rsidRPr="00F5382B">
        <w:rPr>
          <w:i/>
          <w:iCs/>
          <w:noProof/>
        </w:rPr>
        <w:t>Annex 7</w:t>
      </w:r>
      <w:r w:rsidRPr="00F5382B">
        <w:rPr>
          <w:noProof/>
        </w:rPr>
        <w:t xml:space="preserve"> </w:t>
      </w:r>
      <w:r w:rsidRPr="00F5382B">
        <w:rPr>
          <w:i/>
          <w:iCs/>
          <w:noProof/>
        </w:rPr>
        <w:t>table 17</w:t>
      </w:r>
      <w:r w:rsidRPr="00F5382B">
        <w:rPr>
          <w:noProof/>
        </w:rPr>
        <w:t xml:space="preserve">. This can be a very large underestimation depending on the type of incident. While data breaches represent one of the most widely spread incidents, there are other widely spread types of incidents, such as ransomware attacks or DDoS attacks as presented in </w:t>
      </w:r>
      <w:r w:rsidRPr="00F5382B">
        <w:rPr>
          <w:i/>
          <w:iCs/>
          <w:noProof/>
        </w:rPr>
        <w:t>Annex 7 figure 1</w:t>
      </w:r>
      <w:r w:rsidR="00B204DC">
        <w:rPr>
          <w:i/>
          <w:iCs/>
          <w:noProof/>
        </w:rPr>
        <w:t>2</w:t>
      </w:r>
      <w:r w:rsidRPr="00F5382B">
        <w:rPr>
          <w:i/>
          <w:iCs/>
          <w:noProof/>
        </w:rPr>
        <w:t xml:space="preserve">. </w:t>
      </w:r>
      <w:r w:rsidRPr="00F5382B">
        <w:rPr>
          <w:noProof/>
        </w:rPr>
        <w:t xml:space="preserve"> </w:t>
      </w:r>
    </w:p>
    <w:p w14:paraId="5013653C" w14:textId="238512F6" w:rsidR="00EE3DF9" w:rsidRPr="00F5382B" w:rsidRDefault="00EE3DF9" w:rsidP="00EE3DF9">
      <w:pPr>
        <w:rPr>
          <w:noProof/>
        </w:rPr>
      </w:pPr>
      <w:r w:rsidRPr="00F5382B">
        <w:rPr>
          <w:noProof/>
        </w:rPr>
        <w:t xml:space="preserve">The average recovery time for a data breach is currently at 241 days </w:t>
      </w:r>
      <w:r w:rsidRPr="00F5382B">
        <w:rPr>
          <w:i/>
          <w:iCs/>
          <w:noProof/>
        </w:rPr>
        <w:t xml:space="preserve">Table </w:t>
      </w:r>
      <w:r w:rsidR="00BB3431">
        <w:rPr>
          <w:i/>
          <w:iCs/>
          <w:noProof/>
        </w:rPr>
        <w:t>22</w:t>
      </w:r>
      <w:r w:rsidRPr="00F5382B">
        <w:rPr>
          <w:noProof/>
        </w:rPr>
        <w:t xml:space="preserve">. It is assumed that the measures will lead to decreasing the recovery time from 241 to 200 days, reducing the recovery costs from EUR 4.4 M (BaU) to EUR 3.9 M (after the adoption of the measures proposed in A2/A3). The cost savings by number of incidents would be (4.4 – 3.9 =) EUR 0.5 million. </w:t>
      </w:r>
    </w:p>
    <w:p w14:paraId="131F7DC6" w14:textId="77777777" w:rsidR="00EE3DF9" w:rsidRPr="00F5382B" w:rsidRDefault="00EE3DF9" w:rsidP="00EE3DF9">
      <w:pPr>
        <w:rPr>
          <w:noProof/>
        </w:rPr>
      </w:pPr>
      <w:r w:rsidRPr="00F5382B">
        <w:rPr>
          <w:noProof/>
        </w:rPr>
        <w:t>In order to aggregate the possible cost savings, an estimation needs to be made regarding the number of incidents per year. Incidents can be distinguished between their malicious and non-malicious intent (for instance human error). ENISA</w:t>
      </w:r>
      <w:r w:rsidRPr="00F5382B">
        <w:rPr>
          <w:rStyle w:val="FootnoteReference"/>
          <w:noProof/>
        </w:rPr>
        <w:footnoteReference w:id="189"/>
      </w:r>
      <w:r w:rsidRPr="00F5382B">
        <w:rPr>
          <w:noProof/>
        </w:rPr>
        <w:t xml:space="preserve"> observed 11,079 incidents</w:t>
      </w:r>
      <w:r w:rsidRPr="00F5382B">
        <w:rPr>
          <w:b/>
          <w:bCs/>
          <w:noProof/>
        </w:rPr>
        <w:t xml:space="preserve"> </w:t>
      </w:r>
      <w:r w:rsidRPr="00F5382B">
        <w:rPr>
          <w:noProof/>
        </w:rPr>
        <w:t xml:space="preserve">(only malicious incidents), including 322 incidents specifically targeting two or more EU Member States. These are incidents that particularly affect NIS2 entities. Those entities are also expected to be the most impacted by the proposed policy measures.  Considering that the gains would be fully reaped after some implementation time, we assume that they would intervene in year five. Over five years, the gains would be of 0.5 M x 11,079 = EUR 5.5 bn.  </w:t>
      </w:r>
    </w:p>
    <w:p w14:paraId="3A28D9A4" w14:textId="77777777" w:rsidR="00EE3DF9" w:rsidRPr="00F5382B" w:rsidRDefault="00EE3DF9" w:rsidP="00EE3DF9">
      <w:pPr>
        <w:rPr>
          <w:noProof/>
        </w:rPr>
      </w:pPr>
      <w:r w:rsidRPr="00F5382B">
        <w:rPr>
          <w:noProof/>
        </w:rPr>
        <w:t xml:space="preserve">In order to take into account the business-as-usual scenario, we assume that some of these gains would be related to legislation in place, such as the CRA (20 to 33% of cost reduction, see below), this would lead to a range of benefits that might be related to measures improving detection and response under options A/A3 of </w:t>
      </w:r>
      <w:r w:rsidRPr="00F5382B">
        <w:rPr>
          <w:b/>
          <w:bCs/>
          <w:noProof/>
        </w:rPr>
        <w:t>EUR 3.7 to 4.4 bn</w:t>
      </w:r>
      <w:r w:rsidRPr="00F5382B">
        <w:rPr>
          <w:noProof/>
        </w:rPr>
        <w:t xml:space="preserve"> </w:t>
      </w:r>
      <w:r w:rsidRPr="00F5382B">
        <w:rPr>
          <w:b/>
          <w:bCs/>
          <w:noProof/>
        </w:rPr>
        <w:t xml:space="preserve">over five years </w:t>
      </w:r>
      <w:r w:rsidRPr="00F5382B">
        <w:rPr>
          <w:noProof/>
        </w:rPr>
        <w:t xml:space="preserve">(applying the BaU factor to EUR 5.5 bn lead to 0.67 x 5.5  and 0.8 x 5.5). </w:t>
      </w:r>
    </w:p>
    <w:p w14:paraId="4C3231B5" w14:textId="77777777" w:rsidR="00EE3DF9" w:rsidRPr="00F5382B" w:rsidRDefault="00EE3DF9" w:rsidP="00EE3DF9">
      <w:pPr>
        <w:rPr>
          <w:noProof/>
        </w:rPr>
      </w:pPr>
      <w:r w:rsidRPr="00F5382B">
        <w:rPr>
          <w:noProof/>
        </w:rPr>
        <w:t xml:space="preserve">Under the business-as-usual scenario, it is assumed that the number of recovery days would not decrease over time (or not as fast) staying at 241 days in the next five years (2028-2032). This might not be entirely accurate, considering that other factors, such as the existing legislation in place (NIS2, CRA) can also impact the recovery time thanks to better cybersecurity risk management measures in place and security by design approaches. At the same time, as presented in </w:t>
      </w:r>
      <w:r w:rsidRPr="00F5382B">
        <w:rPr>
          <w:i/>
          <w:iCs/>
          <w:noProof/>
        </w:rPr>
        <w:t>section 2</w:t>
      </w:r>
      <w:r w:rsidRPr="00F5382B">
        <w:rPr>
          <w:noProof/>
        </w:rPr>
        <w:t xml:space="preserve">, cybersecurity attacks are also gaining in complexity and are constantly evolving, hence the important of better situation awareness and response coordination. To make an estimate for the </w:t>
      </w:r>
      <w:r w:rsidRPr="00F5382B">
        <w:rPr>
          <w:b/>
          <w:bCs/>
          <w:noProof/>
        </w:rPr>
        <w:t>BaU scenario</w:t>
      </w:r>
      <w:r w:rsidRPr="00F5382B">
        <w:rPr>
          <w:noProof/>
        </w:rPr>
        <w:t xml:space="preserve">, we take the estimation of the reduction of cyber incidents made for the CRA (applicable by end of 2027) that could lead to a reduction of cybersecurity incidents by between </w:t>
      </w:r>
      <w:r w:rsidRPr="00F5382B">
        <w:rPr>
          <w:b/>
          <w:bCs/>
          <w:noProof/>
        </w:rPr>
        <w:t>20 % and 33 %</w:t>
      </w:r>
      <w:r w:rsidRPr="00F5382B">
        <w:rPr>
          <w:noProof/>
        </w:rPr>
        <w:t xml:space="preserve"> and reduce incident-related costs by a similar percentage</w:t>
      </w:r>
      <w:r w:rsidRPr="00F5382B">
        <w:rPr>
          <w:rStyle w:val="FootnoteReference"/>
          <w:noProof/>
        </w:rPr>
        <w:footnoteReference w:id="190"/>
      </w:r>
      <w:r w:rsidRPr="00F5382B">
        <w:rPr>
          <w:noProof/>
        </w:rPr>
        <w:t xml:space="preserve">. Following data limitations need to stressed: </w:t>
      </w:r>
    </w:p>
    <w:p w14:paraId="3CA9D162" w14:textId="77777777" w:rsidR="00EE3DF9" w:rsidRPr="00F5382B" w:rsidRDefault="00EE3DF9" w:rsidP="00D52AD8">
      <w:pPr>
        <w:pStyle w:val="ListParagraph"/>
        <w:numPr>
          <w:ilvl w:val="0"/>
          <w:numId w:val="131"/>
        </w:numPr>
        <w:rPr>
          <w:i/>
          <w:iCs/>
          <w:noProof/>
        </w:rPr>
      </w:pPr>
      <w:r w:rsidRPr="00F5382B">
        <w:rPr>
          <w:noProof/>
        </w:rPr>
        <w:t xml:space="preserve">The proposed measures could also reduce the number of incidents as such. However, based on the data available, no reasonable assumption could be made on the extent to which the measures would affect the number of incidents. </w:t>
      </w:r>
    </w:p>
    <w:p w14:paraId="59D27444" w14:textId="77777777" w:rsidR="00EE3DF9" w:rsidRPr="00F5382B" w:rsidRDefault="00EE3DF9" w:rsidP="00D52AD8">
      <w:pPr>
        <w:pStyle w:val="ListParagraph"/>
        <w:numPr>
          <w:ilvl w:val="0"/>
          <w:numId w:val="131"/>
        </w:numPr>
        <w:rPr>
          <w:i/>
          <w:iCs/>
          <w:noProof/>
        </w:rPr>
      </w:pPr>
      <w:r w:rsidRPr="00F5382B">
        <w:rPr>
          <w:noProof/>
        </w:rPr>
        <w:t xml:space="preserve">The average cost of an incident can be considerably higher, especially considering material and non-material damages as presented in </w:t>
      </w:r>
      <w:r w:rsidRPr="00F5382B">
        <w:rPr>
          <w:i/>
          <w:iCs/>
          <w:noProof/>
        </w:rPr>
        <w:t>Annex 7</w:t>
      </w:r>
      <w:r w:rsidRPr="00F5382B">
        <w:rPr>
          <w:noProof/>
        </w:rPr>
        <w:t xml:space="preserve">. </w:t>
      </w:r>
    </w:p>
    <w:p w14:paraId="79C34278" w14:textId="77777777" w:rsidR="00EE3DF9" w:rsidRPr="00F5382B" w:rsidRDefault="00EE3DF9" w:rsidP="00EE3DF9">
      <w:pPr>
        <w:ind w:left="360"/>
        <w:rPr>
          <w:noProof/>
        </w:rPr>
      </w:pPr>
      <w:r w:rsidRPr="00F5382B">
        <w:rPr>
          <w:noProof/>
        </w:rPr>
        <w:t>The number of incidents considered could be higher. A conservative assumption has been made that the measures would be particularly relevant for NIS2 entities as CSIRTs are already cooperating closely with ENISA on their protection.  A higher estimate could be based on a Eurostat analysis</w:t>
      </w:r>
      <w:r w:rsidRPr="00F5382B">
        <w:rPr>
          <w:rStyle w:val="FootnoteReference"/>
          <w:noProof/>
        </w:rPr>
        <w:footnoteReference w:id="191"/>
      </w:r>
      <w:r w:rsidRPr="00F5382B">
        <w:rPr>
          <w:noProof/>
        </w:rPr>
        <w:t xml:space="preserve"> considers that according to Eurostat, 21.54 % of EU enterprises with 10+ employees experienced ICT-related security incidents in 2023. Taking the total number of enterprises 1.54 million, the number of enterprises that suffered incidents would amount to 331 100 enterprises experienced incidents (malicious and malicious). Assuming that these incidents would be data breaches and that according to ENISA, 68% of data breaches are of non-malicious intent, this would lead to 105 952 malicious incidents in Europe. </w:t>
      </w:r>
    </w:p>
    <w:p w14:paraId="52D9F9C4" w14:textId="77777777" w:rsidR="00EE3DF9" w:rsidRPr="00F5382B" w:rsidRDefault="00EE3DF9" w:rsidP="00EE3DF9">
      <w:pPr>
        <w:pStyle w:val="Heading4"/>
        <w:numPr>
          <w:ilvl w:val="3"/>
          <w:numId w:val="3"/>
        </w:numPr>
        <w:rPr>
          <w:i/>
          <w:iCs/>
          <w:noProof/>
        </w:rPr>
      </w:pPr>
      <w:bookmarkStart w:id="266" w:name="_Toc210934628"/>
      <w:bookmarkStart w:id="267" w:name="_Toc210939812"/>
      <w:r w:rsidRPr="00F5382B">
        <w:rPr>
          <w:noProof/>
        </w:rPr>
        <w:t>Benefits and costs savings related to European individual cybersecurity skills attestation schemes</w:t>
      </w:r>
      <w:bookmarkEnd w:id="266"/>
      <w:bookmarkEnd w:id="267"/>
      <w:r w:rsidRPr="00F5382B">
        <w:rPr>
          <w:noProof/>
        </w:rPr>
        <w:t xml:space="preserve"> </w:t>
      </w:r>
    </w:p>
    <w:p w14:paraId="0F4FBDEE" w14:textId="77777777" w:rsidR="00EE3DF9" w:rsidRPr="00F5382B" w:rsidRDefault="00EE3DF9" w:rsidP="00EE3DF9">
      <w:pPr>
        <w:rPr>
          <w:noProof/>
          <w:lang w:val="en-IE"/>
        </w:rPr>
      </w:pPr>
      <w:r w:rsidRPr="00F5382B">
        <w:rPr>
          <w:noProof/>
        </w:rPr>
        <w:t xml:space="preserve">Regarding </w:t>
      </w:r>
      <w:r w:rsidRPr="00F5382B">
        <w:rPr>
          <w:b/>
          <w:bCs/>
          <w:i/>
          <w:iCs/>
          <w:noProof/>
        </w:rPr>
        <w:t>economic operators</w:t>
      </w:r>
      <w:r w:rsidRPr="00F5382B">
        <w:rPr>
          <w:noProof/>
          <w:lang w:val="en-IE"/>
        </w:rPr>
        <w:t>, t</w:t>
      </w:r>
      <w:r w:rsidRPr="00F5382B">
        <w:rPr>
          <w:noProof/>
        </w:rPr>
        <w:t>he development of European individual attestation schemes would support the development of the Single Market by leading to the rise of providers authorised to deliver such attestations, who would gain visibility in a market which is today widely occupied by non-European providers, whether dedicated certification companies or larger tech companies. </w:t>
      </w:r>
      <w:r w:rsidRPr="00F5382B">
        <w:rPr>
          <w:noProof/>
          <w:lang w:val="en-IE"/>
        </w:rPr>
        <w:t> </w:t>
      </w:r>
    </w:p>
    <w:p w14:paraId="01361241" w14:textId="77777777" w:rsidR="00EE3DF9" w:rsidRPr="00F5382B" w:rsidRDefault="00EE3DF9" w:rsidP="00EE3DF9">
      <w:pPr>
        <w:rPr>
          <w:noProof/>
          <w:lang w:val="en-IE"/>
        </w:rPr>
      </w:pPr>
      <w:r w:rsidRPr="00F5382B">
        <w:rPr>
          <w:noProof/>
          <w:lang w:val="en-IE"/>
        </w:rPr>
        <w:t>More widely and beyond authorised providers, the development of European individual attestation schemes would support training and hiring practices by providing visibility and recognition of certifications, while at the same time ensuring quality assurance, thereby saving hiring departments difficulties  </w:t>
      </w:r>
    </w:p>
    <w:p w14:paraId="12670356" w14:textId="77777777" w:rsidR="00EE3DF9" w:rsidRPr="00F5382B" w:rsidRDefault="00EE3DF9" w:rsidP="00EE3DF9">
      <w:pPr>
        <w:rPr>
          <w:noProof/>
          <w:lang w:val="en-IE"/>
        </w:rPr>
      </w:pPr>
      <w:r w:rsidRPr="00F5382B">
        <w:rPr>
          <w:noProof/>
          <w:lang w:val="en-IE"/>
        </w:rPr>
        <w:t xml:space="preserve">Regarding </w:t>
      </w:r>
      <w:r w:rsidRPr="00F5382B">
        <w:rPr>
          <w:b/>
          <w:bCs/>
          <w:i/>
          <w:iCs/>
          <w:noProof/>
          <w:lang w:val="en-IE"/>
        </w:rPr>
        <w:t>national authorities</w:t>
      </w:r>
      <w:r w:rsidRPr="00F5382B">
        <w:rPr>
          <w:noProof/>
          <w:lang w:val="en-IE"/>
        </w:rPr>
        <w:t>, entrusting</w:t>
      </w:r>
      <w:r w:rsidRPr="00F5382B">
        <w:rPr>
          <w:noProof/>
        </w:rPr>
        <w:t xml:space="preserve"> the elaboration and maintenance of European individual attestation schemes to ENISA and the delivery of such attestations to authorised providers, including national authorities, could ultimately lead to savings in terms of human resources for national authorities who develop today such attestations (or certifications) of people. </w:t>
      </w:r>
      <w:r w:rsidRPr="00F5382B">
        <w:rPr>
          <w:noProof/>
          <w:lang w:val="en-IE"/>
        </w:rPr>
        <w:t> </w:t>
      </w:r>
    </w:p>
    <w:p w14:paraId="14F7A4CE" w14:textId="77777777" w:rsidR="00EE3DF9" w:rsidRPr="00F5382B" w:rsidRDefault="00EE3DF9" w:rsidP="00EE3DF9">
      <w:pPr>
        <w:rPr>
          <w:noProof/>
        </w:rPr>
      </w:pPr>
      <w:r w:rsidRPr="00F5382B">
        <w:rPr>
          <w:noProof/>
        </w:rPr>
        <w:t>Additionally, national authorities would not be constrained to develop or maintain in-house schemes as they could rely on the European individual attestations, notably to check the competence of individuals working for managed security service providers or for hiring purposes. A rationalised and centralised EU individual attestation scheme would further rationalise the costs, avoiding proliferation of national schemes which aim at a similar objective across Member States but are developed independently across the EU.</w:t>
      </w:r>
    </w:p>
    <w:p w14:paraId="7B7A3867" w14:textId="77777777" w:rsidR="00EE3DF9" w:rsidRPr="00F5382B" w:rsidRDefault="00EE3DF9" w:rsidP="00EE3DF9">
      <w:pPr>
        <w:rPr>
          <w:noProof/>
        </w:rPr>
      </w:pPr>
      <w:r w:rsidRPr="00F5382B">
        <w:rPr>
          <w:noProof/>
        </w:rPr>
        <w:t xml:space="preserve">Regarding </w:t>
      </w:r>
      <w:r w:rsidRPr="00F5382B">
        <w:rPr>
          <w:b/>
          <w:bCs/>
          <w:i/>
          <w:iCs/>
          <w:noProof/>
        </w:rPr>
        <w:t>benefits for citizens</w:t>
      </w:r>
      <w:r w:rsidRPr="00F5382B">
        <w:rPr>
          <w:noProof/>
        </w:rPr>
        <w:t>, holding a cybersecurity attestation or certification enhances job market appeal and leads to wage increases. According to recent studies, 59 % of employees report a salary increase of 6–20 % within a year after being certified</w:t>
      </w:r>
      <w:r w:rsidRPr="00F5382B">
        <w:rPr>
          <w:rStyle w:val="FootnoteReference"/>
          <w:noProof/>
        </w:rPr>
        <w:footnoteReference w:id="192"/>
      </w:r>
      <w:r w:rsidRPr="00F5382B">
        <w:rPr>
          <w:noProof/>
        </w:rPr>
        <w:t>. Attestations also support external career mobility</w:t>
      </w:r>
      <w:r w:rsidRPr="00F5382B">
        <w:rPr>
          <w:rStyle w:val="FootnoteReference"/>
          <w:noProof/>
        </w:rPr>
        <w:footnoteReference w:id="193"/>
      </w:r>
      <w:r w:rsidRPr="00F5382B">
        <w:rPr>
          <w:noProof/>
        </w:rPr>
        <w:t xml:space="preserve"> and skills portability, which is particularly valuable for entry-level professionals, young graduates, SMEs, and workers seeking mobility. </w:t>
      </w:r>
      <w:r w:rsidRPr="00F5382B">
        <w:rPr>
          <w:rFonts w:eastAsia="Times New Roman"/>
          <w:noProof/>
        </w:rPr>
        <w:t>This has a positive impact on salary levels, reflecting the recognised value of their expertise</w:t>
      </w:r>
      <w:r w:rsidRPr="00F5382B">
        <w:rPr>
          <w:rFonts w:eastAsiaTheme="minorEastAsia"/>
          <w:noProof/>
          <w:vertAlign w:val="superscript"/>
        </w:rPr>
        <w:footnoteReference w:id="194"/>
      </w:r>
      <w:r w:rsidRPr="00F5382B">
        <w:rPr>
          <w:rFonts w:eastAsia="Times New Roman"/>
          <w:noProof/>
        </w:rPr>
        <w:t>. </w:t>
      </w:r>
    </w:p>
    <w:p w14:paraId="1AD2CD81" w14:textId="77777777" w:rsidR="00EE3DF9" w:rsidRPr="00F5382B" w:rsidRDefault="00EE3DF9" w:rsidP="00EE3DF9">
      <w:pPr>
        <w:rPr>
          <w:noProof/>
        </w:rPr>
      </w:pPr>
      <w:r w:rsidRPr="00F5382B">
        <w:rPr>
          <w:rFonts w:eastAsia="Times New Roman"/>
          <w:b/>
          <w:bCs/>
          <w:i/>
          <w:iCs/>
          <w:noProof/>
        </w:rPr>
        <w:t>Regarding the potential cost savings</w:t>
      </w:r>
      <w:r w:rsidRPr="00F5382B">
        <w:rPr>
          <w:rFonts w:eastAsia="Times New Roman"/>
          <w:noProof/>
        </w:rPr>
        <w:t>,</w:t>
      </w:r>
      <w:r w:rsidRPr="00F5382B">
        <w:rPr>
          <w:rFonts w:eastAsia="Times New Roman"/>
          <w:noProof/>
          <w:u w:val="single"/>
        </w:rPr>
        <w:t xml:space="preserve"> </w:t>
      </w:r>
      <w:r w:rsidRPr="00F5382B">
        <w:rPr>
          <w:noProof/>
        </w:rPr>
        <w:t>citizens would bear the cost of acquiring individual skills attestations. The cost of European individual cybersecurity attestations is expected to be closer to those delivered by public organisations and lower than the average cost of certifications from private bodies, potentially leading to cost savings. For example, attestations issued by public bodies in Europe cost around EUR 300-350, while the average cost for private certifications is around EUR 677 (excluding training). ENISA would advise on the price of European individual attestations, aiming for costs closer to those set by public authorities, which would benefit entry-level professionals, young graduates, SMEs, and workers seeking mobility.</w:t>
      </w:r>
    </w:p>
    <w:p w14:paraId="24229652" w14:textId="77777777" w:rsidR="00EE3DF9" w:rsidRPr="00F5382B" w:rsidRDefault="00EE3DF9" w:rsidP="00EE3DF9">
      <w:pPr>
        <w:rPr>
          <w:rFonts w:eastAsia="Times New Roman"/>
          <w:noProof/>
          <w:u w:val="single"/>
        </w:rPr>
      </w:pPr>
      <w:r w:rsidRPr="00F5382B">
        <w:rPr>
          <w:rFonts w:eastAsia="Times New Roman"/>
          <w:noProof/>
        </w:rPr>
        <w:t>Examples from European countries indicate that attestations issued by public bodies at national or regional level present a cost around EUR 300</w:t>
      </w:r>
      <w:r w:rsidRPr="00F5382B">
        <w:rPr>
          <w:rFonts w:asciiTheme="minorHAnsi" w:eastAsiaTheme="minorEastAsia" w:hAnsiTheme="minorHAnsi" w:cstheme="minorBidi"/>
          <w:noProof/>
          <w:vertAlign w:val="superscript"/>
        </w:rPr>
        <w:footnoteReference w:id="195"/>
      </w:r>
      <w:r w:rsidRPr="00F5382B">
        <w:rPr>
          <w:rFonts w:eastAsia="Times New Roman"/>
          <w:noProof/>
        </w:rPr>
        <w:t xml:space="preserve"> and EUR 350</w:t>
      </w:r>
      <w:r w:rsidRPr="00F5382B">
        <w:rPr>
          <w:rFonts w:asciiTheme="minorHAnsi" w:eastAsiaTheme="minorEastAsia" w:hAnsiTheme="minorHAnsi" w:cstheme="minorBidi"/>
          <w:noProof/>
          <w:vertAlign w:val="superscript"/>
        </w:rPr>
        <w:footnoteReference w:id="196"/>
      </w:r>
      <w:r w:rsidRPr="00F5382B">
        <w:rPr>
          <w:rFonts w:eastAsia="Times New Roman"/>
          <w:noProof/>
        </w:rPr>
        <w:t>. In contrast, the average cost for obtaining a certification from private bodies is around EUR 677 per certification (training excluded)</w:t>
      </w:r>
      <w:r w:rsidRPr="00F5382B">
        <w:rPr>
          <w:rFonts w:asciiTheme="minorHAnsi" w:eastAsiaTheme="minorEastAsia" w:hAnsiTheme="minorHAnsi" w:cstheme="minorBidi"/>
          <w:noProof/>
          <w:vertAlign w:val="superscript"/>
        </w:rPr>
        <w:footnoteReference w:id="197"/>
      </w:r>
      <w:r w:rsidRPr="00F5382B">
        <w:rPr>
          <w:rFonts w:eastAsia="Times New Roman"/>
          <w:noProof/>
        </w:rPr>
        <w:t xml:space="preserve">. ENISA would advise on the price of a European individual attestation to be delivered by authorised providers, providing estimations of the cost of the attestations to offset the costs incurred. It can therefore reasonably be inferred that such costs would be closer to those set by public authorities. </w:t>
      </w:r>
      <w:r w:rsidRPr="00F5382B">
        <w:rPr>
          <w:rFonts w:eastAsia="Times New Roman"/>
          <w:noProof/>
          <w:color w:val="000000" w:themeColor="text1"/>
        </w:rPr>
        <w:t>Although a European individual cybersecurity skills attestation scheme would not represent the only channel to obtain cybersecurity attestations or certifications, these estimates already show the potential positive impact of an EU-led skills attestation, especially for entry-level professionals, young graduates or SMEs, and workers looking for external mobility.</w:t>
      </w:r>
    </w:p>
    <w:p w14:paraId="5DED9411" w14:textId="77777777" w:rsidR="00EE3DF9" w:rsidRPr="00F5382B" w:rsidRDefault="00EE3DF9" w:rsidP="00EE3DF9">
      <w:pPr>
        <w:pStyle w:val="Heading3"/>
        <w:numPr>
          <w:ilvl w:val="2"/>
          <w:numId w:val="3"/>
        </w:numPr>
        <w:rPr>
          <w:bCs/>
          <w:iCs/>
          <w:noProof/>
        </w:rPr>
      </w:pPr>
      <w:bookmarkStart w:id="268" w:name="_Toc210934629"/>
      <w:bookmarkStart w:id="269" w:name="_Toc210939813"/>
      <w:bookmarkStart w:id="270" w:name="_Toc219039503"/>
      <w:bookmarkStart w:id="271" w:name="_Toc219447402"/>
      <w:r w:rsidRPr="00F5382B">
        <w:rPr>
          <w:noProof/>
        </w:rPr>
        <w:t>Costs related to ENISA mandate</w:t>
      </w:r>
      <w:bookmarkEnd w:id="268"/>
      <w:bookmarkEnd w:id="269"/>
      <w:bookmarkEnd w:id="270"/>
      <w:bookmarkEnd w:id="271"/>
      <w:r w:rsidRPr="00F5382B">
        <w:rPr>
          <w:bCs/>
          <w:iCs/>
          <w:noProof/>
        </w:rPr>
        <w:t xml:space="preserve"> </w:t>
      </w:r>
    </w:p>
    <w:p w14:paraId="7E562691" w14:textId="77777777" w:rsidR="00EE3DF9" w:rsidRPr="00F5382B" w:rsidRDefault="00EE3DF9" w:rsidP="00EE3DF9">
      <w:pPr>
        <w:pStyle w:val="Heading4"/>
        <w:numPr>
          <w:ilvl w:val="3"/>
          <w:numId w:val="3"/>
        </w:numPr>
        <w:rPr>
          <w:noProof/>
          <w:lang w:val="en-IE"/>
        </w:rPr>
      </w:pPr>
      <w:bookmarkStart w:id="272" w:name="_Toc210934630"/>
      <w:bookmarkStart w:id="273" w:name="_Toc210939814"/>
      <w:r w:rsidRPr="00F5382B">
        <w:rPr>
          <w:noProof/>
        </w:rPr>
        <w:t>FTEs costs on EU budget (all options)</w:t>
      </w:r>
      <w:bookmarkEnd w:id="272"/>
      <w:bookmarkEnd w:id="273"/>
    </w:p>
    <w:p w14:paraId="4A127313" w14:textId="77777777" w:rsidR="00EE3DF9" w:rsidRPr="00F5382B" w:rsidRDefault="00EE3DF9" w:rsidP="00EE3DF9">
      <w:pPr>
        <w:spacing w:before="120" w:after="120"/>
        <w:rPr>
          <w:noProof/>
        </w:rPr>
      </w:pPr>
      <w:r w:rsidRPr="00F5382B">
        <w:rPr>
          <w:noProof/>
        </w:rPr>
        <w:t>The table below provides an aggregated overview of the costs related to Options A.1, A.2 and A.3 by stakeholder. Detailed explanations are included further below.</w:t>
      </w:r>
    </w:p>
    <w:p w14:paraId="40D5770B" w14:textId="7FB4D3DD" w:rsidR="00EE3DF9" w:rsidRPr="00F5382B" w:rsidRDefault="00EE3DF9" w:rsidP="00EE3DF9">
      <w:pPr>
        <w:pStyle w:val="Heading5"/>
        <w:rPr>
          <w:noProof/>
        </w:rPr>
      </w:pPr>
      <w:bookmarkStart w:id="274" w:name="_Toc218767805"/>
      <w:r w:rsidRPr="00F5382B">
        <w:rPr>
          <w:noProof/>
        </w:rPr>
        <w:t>Table 1</w:t>
      </w:r>
      <w:r w:rsidR="002D2D20">
        <w:rPr>
          <w:noProof/>
        </w:rPr>
        <w:t>1</w:t>
      </w:r>
      <w:r w:rsidRPr="00F5382B">
        <w:rPr>
          <w:noProof/>
        </w:rPr>
        <w:t>: Allocation and costs of FTEs for Options A.1, A.2 and A.3</w:t>
      </w:r>
      <w:bookmarkEnd w:id="274"/>
    </w:p>
    <w:tbl>
      <w:tblPr>
        <w:tblStyle w:val="TableGrid"/>
        <w:tblW w:w="9351" w:type="dxa"/>
        <w:tblLayout w:type="fixed"/>
        <w:tblLook w:val="04A0" w:firstRow="1" w:lastRow="0" w:firstColumn="1" w:lastColumn="0" w:noHBand="0" w:noVBand="1"/>
      </w:tblPr>
      <w:tblGrid>
        <w:gridCol w:w="1303"/>
        <w:gridCol w:w="1499"/>
        <w:gridCol w:w="595"/>
        <w:gridCol w:w="709"/>
        <w:gridCol w:w="992"/>
        <w:gridCol w:w="851"/>
        <w:gridCol w:w="709"/>
        <w:gridCol w:w="1275"/>
        <w:gridCol w:w="1418"/>
      </w:tblGrid>
      <w:tr w:rsidR="00EE3DF9" w:rsidRPr="00F5382B" w14:paraId="560336CE" w14:textId="77777777">
        <w:tc>
          <w:tcPr>
            <w:tcW w:w="1303" w:type="dxa"/>
            <w:shd w:val="clear" w:color="auto" w:fill="F2F2F2" w:themeFill="background1" w:themeFillShade="F2"/>
          </w:tcPr>
          <w:p w14:paraId="5844C45A" w14:textId="77777777" w:rsidR="00EE3DF9" w:rsidRPr="00F5382B" w:rsidRDefault="00EE3DF9">
            <w:pPr>
              <w:jc w:val="center"/>
              <w:rPr>
                <w:b/>
                <w:bCs/>
                <w:noProof/>
                <w:sz w:val="16"/>
                <w:szCs w:val="16"/>
              </w:rPr>
            </w:pPr>
            <w:r w:rsidRPr="00F5382B">
              <w:rPr>
                <w:b/>
                <w:bCs/>
                <w:noProof/>
                <w:sz w:val="16"/>
                <w:szCs w:val="16"/>
              </w:rPr>
              <w:t>Option/ Stakeholder/ Purpose</w:t>
            </w:r>
          </w:p>
        </w:tc>
        <w:tc>
          <w:tcPr>
            <w:tcW w:w="1499" w:type="dxa"/>
            <w:shd w:val="clear" w:color="auto" w:fill="F2F2F2" w:themeFill="background1" w:themeFillShade="F2"/>
          </w:tcPr>
          <w:p w14:paraId="612D84FD" w14:textId="77777777" w:rsidR="00EE3DF9" w:rsidRPr="00F5382B" w:rsidRDefault="00EE3DF9">
            <w:pPr>
              <w:jc w:val="center"/>
              <w:rPr>
                <w:b/>
                <w:bCs/>
                <w:noProof/>
                <w:sz w:val="16"/>
                <w:szCs w:val="16"/>
              </w:rPr>
            </w:pPr>
            <w:r w:rsidRPr="00F5382B">
              <w:rPr>
                <w:b/>
                <w:bCs/>
                <w:noProof/>
                <w:sz w:val="16"/>
                <w:szCs w:val="16"/>
              </w:rPr>
              <w:t>Details</w:t>
            </w:r>
          </w:p>
        </w:tc>
        <w:tc>
          <w:tcPr>
            <w:tcW w:w="595" w:type="dxa"/>
            <w:shd w:val="clear" w:color="auto" w:fill="F2F2F2" w:themeFill="background1" w:themeFillShade="F2"/>
          </w:tcPr>
          <w:p w14:paraId="2A53C503" w14:textId="77777777" w:rsidR="00EE3DF9" w:rsidRPr="00F5382B" w:rsidRDefault="00EE3DF9">
            <w:pPr>
              <w:jc w:val="center"/>
              <w:rPr>
                <w:b/>
                <w:bCs/>
                <w:noProof/>
                <w:sz w:val="16"/>
                <w:szCs w:val="16"/>
              </w:rPr>
            </w:pPr>
            <w:r w:rsidRPr="00F5382B">
              <w:rPr>
                <w:b/>
                <w:bCs/>
                <w:noProof/>
                <w:sz w:val="16"/>
                <w:szCs w:val="16"/>
              </w:rPr>
              <w:t>2028</w:t>
            </w:r>
          </w:p>
          <w:p w14:paraId="6AB9DB87" w14:textId="77777777" w:rsidR="00EE3DF9" w:rsidRPr="00F5382B" w:rsidRDefault="00EE3DF9">
            <w:pPr>
              <w:jc w:val="center"/>
              <w:rPr>
                <w:b/>
                <w:bCs/>
                <w:noProof/>
                <w:sz w:val="16"/>
                <w:szCs w:val="16"/>
              </w:rPr>
            </w:pPr>
            <w:r w:rsidRPr="00F5382B">
              <w:rPr>
                <w:b/>
                <w:bCs/>
                <w:noProof/>
                <w:sz w:val="16"/>
                <w:szCs w:val="16"/>
              </w:rPr>
              <w:t>FTEs</w:t>
            </w:r>
          </w:p>
        </w:tc>
        <w:tc>
          <w:tcPr>
            <w:tcW w:w="709" w:type="dxa"/>
            <w:shd w:val="clear" w:color="auto" w:fill="F2F2F2" w:themeFill="background1" w:themeFillShade="F2"/>
          </w:tcPr>
          <w:p w14:paraId="7727C945" w14:textId="77777777" w:rsidR="00EE3DF9" w:rsidRPr="00F5382B" w:rsidRDefault="00EE3DF9">
            <w:pPr>
              <w:jc w:val="center"/>
              <w:rPr>
                <w:b/>
                <w:bCs/>
                <w:noProof/>
                <w:sz w:val="16"/>
                <w:szCs w:val="16"/>
              </w:rPr>
            </w:pPr>
            <w:r w:rsidRPr="00F5382B">
              <w:rPr>
                <w:b/>
                <w:bCs/>
                <w:noProof/>
                <w:sz w:val="16"/>
                <w:szCs w:val="16"/>
              </w:rPr>
              <w:t>2029</w:t>
            </w:r>
          </w:p>
          <w:p w14:paraId="4C61463D" w14:textId="77777777" w:rsidR="00EE3DF9" w:rsidRPr="00F5382B" w:rsidRDefault="00EE3DF9">
            <w:pPr>
              <w:jc w:val="center"/>
              <w:rPr>
                <w:b/>
                <w:bCs/>
                <w:noProof/>
                <w:sz w:val="16"/>
                <w:szCs w:val="16"/>
              </w:rPr>
            </w:pPr>
            <w:r w:rsidRPr="00F5382B">
              <w:rPr>
                <w:b/>
                <w:bCs/>
                <w:noProof/>
                <w:sz w:val="16"/>
                <w:szCs w:val="16"/>
              </w:rPr>
              <w:t>FTEs</w:t>
            </w:r>
          </w:p>
        </w:tc>
        <w:tc>
          <w:tcPr>
            <w:tcW w:w="992" w:type="dxa"/>
            <w:shd w:val="clear" w:color="auto" w:fill="F2F2F2" w:themeFill="background1" w:themeFillShade="F2"/>
          </w:tcPr>
          <w:p w14:paraId="4AD07AD6" w14:textId="77777777" w:rsidR="00EE3DF9" w:rsidRPr="00F5382B" w:rsidRDefault="00EE3DF9">
            <w:pPr>
              <w:jc w:val="center"/>
              <w:rPr>
                <w:b/>
                <w:bCs/>
                <w:noProof/>
                <w:sz w:val="16"/>
                <w:szCs w:val="16"/>
              </w:rPr>
            </w:pPr>
            <w:r w:rsidRPr="00F5382B">
              <w:rPr>
                <w:b/>
                <w:bCs/>
                <w:noProof/>
                <w:sz w:val="16"/>
                <w:szCs w:val="16"/>
              </w:rPr>
              <w:t>2030</w:t>
            </w:r>
          </w:p>
          <w:p w14:paraId="3B053411" w14:textId="77777777" w:rsidR="00EE3DF9" w:rsidRPr="00F5382B" w:rsidRDefault="00EE3DF9">
            <w:pPr>
              <w:jc w:val="center"/>
              <w:rPr>
                <w:b/>
                <w:bCs/>
                <w:noProof/>
                <w:sz w:val="16"/>
                <w:szCs w:val="16"/>
              </w:rPr>
            </w:pPr>
            <w:r w:rsidRPr="00F5382B">
              <w:rPr>
                <w:b/>
                <w:bCs/>
                <w:noProof/>
                <w:sz w:val="16"/>
                <w:szCs w:val="16"/>
              </w:rPr>
              <w:t>FTEs</w:t>
            </w:r>
          </w:p>
        </w:tc>
        <w:tc>
          <w:tcPr>
            <w:tcW w:w="851" w:type="dxa"/>
            <w:shd w:val="clear" w:color="auto" w:fill="F2F2F2" w:themeFill="background1" w:themeFillShade="F2"/>
          </w:tcPr>
          <w:p w14:paraId="51AB3F39" w14:textId="77777777" w:rsidR="00EE3DF9" w:rsidRPr="00F5382B" w:rsidRDefault="00EE3DF9">
            <w:pPr>
              <w:jc w:val="center"/>
              <w:rPr>
                <w:b/>
                <w:bCs/>
                <w:noProof/>
                <w:sz w:val="16"/>
                <w:szCs w:val="16"/>
              </w:rPr>
            </w:pPr>
            <w:r w:rsidRPr="00F5382B">
              <w:rPr>
                <w:b/>
                <w:bCs/>
                <w:noProof/>
                <w:sz w:val="16"/>
                <w:szCs w:val="16"/>
              </w:rPr>
              <w:t>2031</w:t>
            </w:r>
          </w:p>
          <w:p w14:paraId="31A55FC0" w14:textId="77777777" w:rsidR="00EE3DF9" w:rsidRPr="00F5382B" w:rsidRDefault="00EE3DF9">
            <w:pPr>
              <w:jc w:val="center"/>
              <w:rPr>
                <w:b/>
                <w:bCs/>
                <w:noProof/>
                <w:sz w:val="16"/>
                <w:szCs w:val="16"/>
              </w:rPr>
            </w:pPr>
            <w:r w:rsidRPr="00F5382B">
              <w:rPr>
                <w:b/>
                <w:bCs/>
                <w:noProof/>
                <w:sz w:val="16"/>
                <w:szCs w:val="16"/>
              </w:rPr>
              <w:t>FTEs</w:t>
            </w:r>
          </w:p>
        </w:tc>
        <w:tc>
          <w:tcPr>
            <w:tcW w:w="709" w:type="dxa"/>
            <w:shd w:val="clear" w:color="auto" w:fill="F2F2F2" w:themeFill="background1" w:themeFillShade="F2"/>
          </w:tcPr>
          <w:p w14:paraId="30570DC3" w14:textId="77777777" w:rsidR="00EE3DF9" w:rsidRPr="00F5382B" w:rsidRDefault="00EE3DF9">
            <w:pPr>
              <w:jc w:val="center"/>
              <w:rPr>
                <w:b/>
                <w:bCs/>
                <w:noProof/>
                <w:sz w:val="16"/>
                <w:szCs w:val="16"/>
              </w:rPr>
            </w:pPr>
            <w:r w:rsidRPr="00F5382B">
              <w:rPr>
                <w:b/>
                <w:bCs/>
                <w:noProof/>
                <w:sz w:val="16"/>
                <w:szCs w:val="16"/>
              </w:rPr>
              <w:t>2032</w:t>
            </w:r>
          </w:p>
          <w:p w14:paraId="16B7B07C" w14:textId="77777777" w:rsidR="00EE3DF9" w:rsidRPr="00F5382B" w:rsidRDefault="00EE3DF9">
            <w:pPr>
              <w:jc w:val="center"/>
              <w:rPr>
                <w:b/>
                <w:bCs/>
                <w:noProof/>
                <w:sz w:val="16"/>
                <w:szCs w:val="16"/>
              </w:rPr>
            </w:pPr>
            <w:r w:rsidRPr="00F5382B">
              <w:rPr>
                <w:b/>
                <w:bCs/>
                <w:noProof/>
                <w:sz w:val="16"/>
                <w:szCs w:val="16"/>
              </w:rPr>
              <w:t>FTEs</w:t>
            </w:r>
          </w:p>
        </w:tc>
        <w:tc>
          <w:tcPr>
            <w:tcW w:w="1275" w:type="dxa"/>
            <w:shd w:val="clear" w:color="auto" w:fill="F2F2F2" w:themeFill="background1" w:themeFillShade="F2"/>
          </w:tcPr>
          <w:p w14:paraId="1FFA32D5" w14:textId="77777777" w:rsidR="00EE3DF9" w:rsidRPr="00F5382B" w:rsidRDefault="00EE3DF9">
            <w:pPr>
              <w:jc w:val="center"/>
              <w:rPr>
                <w:b/>
                <w:bCs/>
                <w:noProof/>
                <w:sz w:val="16"/>
                <w:szCs w:val="16"/>
              </w:rPr>
            </w:pPr>
            <w:r w:rsidRPr="00F5382B">
              <w:rPr>
                <w:b/>
                <w:bCs/>
                <w:noProof/>
                <w:sz w:val="16"/>
                <w:szCs w:val="16"/>
              </w:rPr>
              <w:t>Costs per year</w:t>
            </w:r>
          </w:p>
          <w:p w14:paraId="5C7CC82E" w14:textId="77777777" w:rsidR="00EE3DF9" w:rsidRPr="00F5382B" w:rsidRDefault="00EE3DF9">
            <w:pPr>
              <w:jc w:val="center"/>
              <w:rPr>
                <w:b/>
                <w:bCs/>
                <w:noProof/>
                <w:sz w:val="16"/>
                <w:szCs w:val="16"/>
              </w:rPr>
            </w:pPr>
            <w:r w:rsidRPr="00F5382B">
              <w:rPr>
                <w:b/>
                <w:bCs/>
                <w:noProof/>
                <w:sz w:val="16"/>
                <w:szCs w:val="16"/>
              </w:rPr>
              <w:t>(EUR)</w:t>
            </w:r>
          </w:p>
        </w:tc>
        <w:tc>
          <w:tcPr>
            <w:tcW w:w="1418" w:type="dxa"/>
            <w:shd w:val="clear" w:color="auto" w:fill="F2F2F2" w:themeFill="background1" w:themeFillShade="F2"/>
          </w:tcPr>
          <w:p w14:paraId="3A186C65" w14:textId="77777777" w:rsidR="00EE3DF9" w:rsidRPr="00F5382B" w:rsidRDefault="00EE3DF9">
            <w:pPr>
              <w:jc w:val="center"/>
              <w:rPr>
                <w:b/>
                <w:bCs/>
                <w:noProof/>
                <w:sz w:val="16"/>
                <w:szCs w:val="16"/>
              </w:rPr>
            </w:pPr>
            <w:r w:rsidRPr="00F5382B">
              <w:rPr>
                <w:b/>
                <w:bCs/>
                <w:noProof/>
                <w:sz w:val="16"/>
                <w:szCs w:val="16"/>
              </w:rPr>
              <w:t>Total costs over 5 years (EUR)</w:t>
            </w:r>
          </w:p>
        </w:tc>
      </w:tr>
      <w:tr w:rsidR="00EE3DF9" w:rsidRPr="00F5382B" w14:paraId="75C19379" w14:textId="77777777">
        <w:tc>
          <w:tcPr>
            <w:tcW w:w="1303" w:type="dxa"/>
            <w:shd w:val="clear" w:color="auto" w:fill="C6D9F1" w:themeFill="text2" w:themeFillTint="33"/>
          </w:tcPr>
          <w:p w14:paraId="545A6E0D" w14:textId="77777777" w:rsidR="00EE3DF9" w:rsidRPr="00F5382B" w:rsidRDefault="00EE3DF9">
            <w:pPr>
              <w:rPr>
                <w:b/>
                <w:noProof/>
                <w:sz w:val="16"/>
                <w:szCs w:val="16"/>
              </w:rPr>
            </w:pPr>
            <w:r w:rsidRPr="00F5382B">
              <w:rPr>
                <w:b/>
                <w:noProof/>
                <w:sz w:val="16"/>
                <w:szCs w:val="16"/>
              </w:rPr>
              <w:t>Option A.1</w:t>
            </w:r>
          </w:p>
        </w:tc>
        <w:tc>
          <w:tcPr>
            <w:tcW w:w="1499" w:type="dxa"/>
            <w:shd w:val="clear" w:color="auto" w:fill="C6D9F1" w:themeFill="text2" w:themeFillTint="33"/>
          </w:tcPr>
          <w:p w14:paraId="2C3CD42C" w14:textId="77777777" w:rsidR="00EE3DF9" w:rsidRPr="00F5382B" w:rsidRDefault="00EE3DF9">
            <w:pPr>
              <w:rPr>
                <w:noProof/>
                <w:sz w:val="16"/>
                <w:szCs w:val="16"/>
              </w:rPr>
            </w:pPr>
          </w:p>
        </w:tc>
        <w:tc>
          <w:tcPr>
            <w:tcW w:w="595" w:type="dxa"/>
            <w:shd w:val="clear" w:color="auto" w:fill="C6D9F1" w:themeFill="text2" w:themeFillTint="33"/>
          </w:tcPr>
          <w:p w14:paraId="34A46198" w14:textId="77777777" w:rsidR="00EE3DF9" w:rsidRPr="00F5382B" w:rsidRDefault="00EE3DF9">
            <w:pPr>
              <w:rPr>
                <w:noProof/>
                <w:sz w:val="16"/>
                <w:szCs w:val="16"/>
              </w:rPr>
            </w:pPr>
          </w:p>
        </w:tc>
        <w:tc>
          <w:tcPr>
            <w:tcW w:w="709" w:type="dxa"/>
            <w:shd w:val="clear" w:color="auto" w:fill="C6D9F1" w:themeFill="text2" w:themeFillTint="33"/>
          </w:tcPr>
          <w:p w14:paraId="2140D43F" w14:textId="77777777" w:rsidR="00EE3DF9" w:rsidRPr="00F5382B" w:rsidRDefault="00EE3DF9">
            <w:pPr>
              <w:rPr>
                <w:noProof/>
                <w:sz w:val="16"/>
                <w:szCs w:val="16"/>
              </w:rPr>
            </w:pPr>
          </w:p>
        </w:tc>
        <w:tc>
          <w:tcPr>
            <w:tcW w:w="992" w:type="dxa"/>
            <w:shd w:val="clear" w:color="auto" w:fill="C6D9F1" w:themeFill="text2" w:themeFillTint="33"/>
          </w:tcPr>
          <w:p w14:paraId="4F1B2810" w14:textId="77777777" w:rsidR="00EE3DF9" w:rsidRPr="00F5382B" w:rsidRDefault="00EE3DF9">
            <w:pPr>
              <w:rPr>
                <w:noProof/>
                <w:sz w:val="16"/>
                <w:szCs w:val="16"/>
              </w:rPr>
            </w:pPr>
          </w:p>
        </w:tc>
        <w:tc>
          <w:tcPr>
            <w:tcW w:w="851" w:type="dxa"/>
            <w:shd w:val="clear" w:color="auto" w:fill="C6D9F1" w:themeFill="text2" w:themeFillTint="33"/>
          </w:tcPr>
          <w:p w14:paraId="5FDCC9F9" w14:textId="77777777" w:rsidR="00EE3DF9" w:rsidRPr="00F5382B" w:rsidRDefault="00EE3DF9">
            <w:pPr>
              <w:rPr>
                <w:noProof/>
                <w:sz w:val="16"/>
                <w:szCs w:val="16"/>
              </w:rPr>
            </w:pPr>
          </w:p>
        </w:tc>
        <w:tc>
          <w:tcPr>
            <w:tcW w:w="709" w:type="dxa"/>
            <w:shd w:val="clear" w:color="auto" w:fill="C6D9F1" w:themeFill="text2" w:themeFillTint="33"/>
          </w:tcPr>
          <w:p w14:paraId="343D3F55" w14:textId="77777777" w:rsidR="00EE3DF9" w:rsidRPr="00F5382B" w:rsidRDefault="00EE3DF9">
            <w:pPr>
              <w:rPr>
                <w:noProof/>
                <w:sz w:val="16"/>
                <w:szCs w:val="16"/>
              </w:rPr>
            </w:pPr>
          </w:p>
        </w:tc>
        <w:tc>
          <w:tcPr>
            <w:tcW w:w="1275" w:type="dxa"/>
            <w:shd w:val="clear" w:color="auto" w:fill="C6D9F1" w:themeFill="text2" w:themeFillTint="33"/>
          </w:tcPr>
          <w:p w14:paraId="2CB36C9B" w14:textId="77777777" w:rsidR="00EE3DF9" w:rsidRPr="00F5382B" w:rsidRDefault="00EE3DF9">
            <w:pPr>
              <w:rPr>
                <w:noProof/>
                <w:sz w:val="16"/>
                <w:szCs w:val="16"/>
              </w:rPr>
            </w:pPr>
          </w:p>
        </w:tc>
        <w:tc>
          <w:tcPr>
            <w:tcW w:w="1418" w:type="dxa"/>
            <w:shd w:val="clear" w:color="auto" w:fill="C6D9F1" w:themeFill="text2" w:themeFillTint="33"/>
          </w:tcPr>
          <w:p w14:paraId="7A5A5025" w14:textId="77777777" w:rsidR="00EE3DF9" w:rsidRPr="00F5382B" w:rsidRDefault="00EE3DF9">
            <w:pPr>
              <w:rPr>
                <w:noProof/>
                <w:sz w:val="16"/>
                <w:szCs w:val="16"/>
              </w:rPr>
            </w:pPr>
          </w:p>
        </w:tc>
      </w:tr>
      <w:tr w:rsidR="00EE3DF9" w:rsidRPr="00F5382B" w14:paraId="02B82218" w14:textId="77777777">
        <w:tc>
          <w:tcPr>
            <w:tcW w:w="1303" w:type="dxa"/>
            <w:shd w:val="clear" w:color="auto" w:fill="C6D9F1" w:themeFill="text2" w:themeFillTint="33"/>
          </w:tcPr>
          <w:p w14:paraId="1E4388DD" w14:textId="77777777" w:rsidR="00EE3DF9" w:rsidRPr="00F5382B" w:rsidRDefault="00EE3DF9">
            <w:pPr>
              <w:rPr>
                <w:b/>
                <w:noProof/>
                <w:sz w:val="16"/>
                <w:szCs w:val="16"/>
              </w:rPr>
            </w:pPr>
            <w:r w:rsidRPr="00F5382B">
              <w:rPr>
                <w:b/>
                <w:noProof/>
                <w:sz w:val="16"/>
                <w:szCs w:val="16"/>
              </w:rPr>
              <w:t>ENISA</w:t>
            </w:r>
          </w:p>
        </w:tc>
        <w:tc>
          <w:tcPr>
            <w:tcW w:w="1499" w:type="dxa"/>
            <w:shd w:val="clear" w:color="auto" w:fill="C6D9F1" w:themeFill="text2" w:themeFillTint="33"/>
          </w:tcPr>
          <w:p w14:paraId="1FE63C29" w14:textId="77777777" w:rsidR="00EE3DF9" w:rsidRPr="00F5382B" w:rsidRDefault="00EE3DF9">
            <w:pPr>
              <w:rPr>
                <w:noProof/>
                <w:sz w:val="16"/>
                <w:szCs w:val="16"/>
              </w:rPr>
            </w:pPr>
          </w:p>
        </w:tc>
        <w:tc>
          <w:tcPr>
            <w:tcW w:w="595" w:type="dxa"/>
            <w:shd w:val="clear" w:color="auto" w:fill="C6D9F1" w:themeFill="text2" w:themeFillTint="33"/>
          </w:tcPr>
          <w:p w14:paraId="5E9EBB5F" w14:textId="77777777" w:rsidR="00EE3DF9" w:rsidRPr="00F5382B" w:rsidRDefault="00EE3DF9">
            <w:pPr>
              <w:jc w:val="left"/>
              <w:rPr>
                <w:noProof/>
                <w:sz w:val="16"/>
                <w:szCs w:val="16"/>
              </w:rPr>
            </w:pPr>
            <w:r w:rsidRPr="00F5382B">
              <w:rPr>
                <w:noProof/>
                <w:sz w:val="16"/>
                <w:szCs w:val="16"/>
              </w:rPr>
              <w:t>-</w:t>
            </w:r>
          </w:p>
        </w:tc>
        <w:tc>
          <w:tcPr>
            <w:tcW w:w="709" w:type="dxa"/>
            <w:shd w:val="clear" w:color="auto" w:fill="C6D9F1" w:themeFill="text2" w:themeFillTint="33"/>
          </w:tcPr>
          <w:p w14:paraId="0A871A7C" w14:textId="77777777" w:rsidR="00EE3DF9" w:rsidRPr="00F5382B" w:rsidRDefault="00EE3DF9">
            <w:pPr>
              <w:rPr>
                <w:noProof/>
                <w:sz w:val="16"/>
                <w:szCs w:val="16"/>
              </w:rPr>
            </w:pPr>
            <w:r w:rsidRPr="00F5382B">
              <w:rPr>
                <w:noProof/>
                <w:sz w:val="16"/>
                <w:szCs w:val="16"/>
              </w:rPr>
              <w:t>-</w:t>
            </w:r>
          </w:p>
        </w:tc>
        <w:tc>
          <w:tcPr>
            <w:tcW w:w="992" w:type="dxa"/>
            <w:shd w:val="clear" w:color="auto" w:fill="C6D9F1" w:themeFill="text2" w:themeFillTint="33"/>
          </w:tcPr>
          <w:p w14:paraId="7C0FBAE5" w14:textId="77777777" w:rsidR="00EE3DF9" w:rsidRPr="00F5382B" w:rsidRDefault="00EE3DF9">
            <w:pPr>
              <w:rPr>
                <w:noProof/>
                <w:sz w:val="16"/>
                <w:szCs w:val="16"/>
              </w:rPr>
            </w:pPr>
            <w:r w:rsidRPr="00F5382B">
              <w:rPr>
                <w:noProof/>
                <w:sz w:val="16"/>
                <w:szCs w:val="16"/>
              </w:rPr>
              <w:t>-</w:t>
            </w:r>
          </w:p>
        </w:tc>
        <w:tc>
          <w:tcPr>
            <w:tcW w:w="851" w:type="dxa"/>
            <w:shd w:val="clear" w:color="auto" w:fill="C6D9F1" w:themeFill="text2" w:themeFillTint="33"/>
          </w:tcPr>
          <w:p w14:paraId="0281D7B5"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4A3CFF9D" w14:textId="77777777" w:rsidR="00EE3DF9" w:rsidRPr="00F5382B" w:rsidRDefault="00EE3DF9">
            <w:pPr>
              <w:rPr>
                <w:noProof/>
                <w:sz w:val="16"/>
                <w:szCs w:val="16"/>
              </w:rPr>
            </w:pPr>
            <w:r w:rsidRPr="00F5382B">
              <w:rPr>
                <w:noProof/>
                <w:sz w:val="16"/>
                <w:szCs w:val="16"/>
              </w:rPr>
              <w:t>-</w:t>
            </w:r>
          </w:p>
        </w:tc>
        <w:tc>
          <w:tcPr>
            <w:tcW w:w="1275" w:type="dxa"/>
            <w:shd w:val="clear" w:color="auto" w:fill="C6D9F1" w:themeFill="text2" w:themeFillTint="33"/>
          </w:tcPr>
          <w:p w14:paraId="2127011B" w14:textId="77777777" w:rsidR="00EE3DF9" w:rsidRPr="00F5382B" w:rsidRDefault="00EE3DF9">
            <w:pPr>
              <w:rPr>
                <w:noProof/>
                <w:sz w:val="16"/>
                <w:szCs w:val="16"/>
              </w:rPr>
            </w:pPr>
            <w:r w:rsidRPr="00F5382B">
              <w:rPr>
                <w:noProof/>
                <w:sz w:val="16"/>
                <w:szCs w:val="16"/>
              </w:rPr>
              <w:t>-</w:t>
            </w:r>
          </w:p>
        </w:tc>
        <w:tc>
          <w:tcPr>
            <w:tcW w:w="1418" w:type="dxa"/>
            <w:shd w:val="clear" w:color="auto" w:fill="C6D9F1" w:themeFill="text2" w:themeFillTint="33"/>
          </w:tcPr>
          <w:p w14:paraId="706235D5" w14:textId="77777777" w:rsidR="00EE3DF9" w:rsidRPr="00F5382B" w:rsidRDefault="00EE3DF9">
            <w:pPr>
              <w:rPr>
                <w:noProof/>
                <w:sz w:val="16"/>
                <w:szCs w:val="16"/>
              </w:rPr>
            </w:pPr>
            <w:r w:rsidRPr="00F5382B">
              <w:rPr>
                <w:noProof/>
                <w:sz w:val="16"/>
                <w:szCs w:val="16"/>
              </w:rPr>
              <w:t>-</w:t>
            </w:r>
          </w:p>
        </w:tc>
      </w:tr>
      <w:tr w:rsidR="00EE3DF9" w:rsidRPr="00F5382B" w14:paraId="4A9A2EE2" w14:textId="77777777">
        <w:tc>
          <w:tcPr>
            <w:tcW w:w="1303" w:type="dxa"/>
            <w:shd w:val="clear" w:color="auto" w:fill="C6D9F1" w:themeFill="text2" w:themeFillTint="33"/>
          </w:tcPr>
          <w:p w14:paraId="6D00B3FB" w14:textId="77777777" w:rsidR="00EE3DF9" w:rsidRPr="00F5382B" w:rsidRDefault="00EE3DF9">
            <w:pPr>
              <w:rPr>
                <w:b/>
                <w:noProof/>
                <w:sz w:val="16"/>
                <w:szCs w:val="16"/>
              </w:rPr>
            </w:pPr>
            <w:r w:rsidRPr="00F5382B">
              <w:rPr>
                <w:b/>
                <w:noProof/>
                <w:sz w:val="16"/>
                <w:szCs w:val="16"/>
              </w:rPr>
              <w:t>Member States</w:t>
            </w:r>
          </w:p>
        </w:tc>
        <w:tc>
          <w:tcPr>
            <w:tcW w:w="1499" w:type="dxa"/>
            <w:shd w:val="clear" w:color="auto" w:fill="C6D9F1" w:themeFill="text2" w:themeFillTint="33"/>
          </w:tcPr>
          <w:p w14:paraId="4F05860B" w14:textId="77777777" w:rsidR="00EE3DF9" w:rsidRPr="00F5382B" w:rsidRDefault="00EE3DF9">
            <w:pPr>
              <w:rPr>
                <w:noProof/>
                <w:sz w:val="16"/>
                <w:szCs w:val="16"/>
              </w:rPr>
            </w:pPr>
          </w:p>
        </w:tc>
        <w:tc>
          <w:tcPr>
            <w:tcW w:w="595" w:type="dxa"/>
            <w:shd w:val="clear" w:color="auto" w:fill="C6D9F1" w:themeFill="text2" w:themeFillTint="33"/>
          </w:tcPr>
          <w:p w14:paraId="21F42718"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2E8C880E" w14:textId="77777777" w:rsidR="00EE3DF9" w:rsidRPr="00F5382B" w:rsidRDefault="00EE3DF9">
            <w:pPr>
              <w:rPr>
                <w:noProof/>
                <w:sz w:val="16"/>
                <w:szCs w:val="16"/>
              </w:rPr>
            </w:pPr>
            <w:r w:rsidRPr="00F5382B">
              <w:rPr>
                <w:noProof/>
                <w:sz w:val="16"/>
                <w:szCs w:val="16"/>
              </w:rPr>
              <w:t>-</w:t>
            </w:r>
          </w:p>
        </w:tc>
        <w:tc>
          <w:tcPr>
            <w:tcW w:w="992" w:type="dxa"/>
            <w:shd w:val="clear" w:color="auto" w:fill="C6D9F1" w:themeFill="text2" w:themeFillTint="33"/>
          </w:tcPr>
          <w:p w14:paraId="604C4DBC" w14:textId="77777777" w:rsidR="00EE3DF9" w:rsidRPr="00F5382B" w:rsidRDefault="00EE3DF9">
            <w:pPr>
              <w:rPr>
                <w:noProof/>
                <w:sz w:val="16"/>
                <w:szCs w:val="16"/>
              </w:rPr>
            </w:pPr>
            <w:r w:rsidRPr="00F5382B">
              <w:rPr>
                <w:noProof/>
                <w:sz w:val="16"/>
                <w:szCs w:val="16"/>
              </w:rPr>
              <w:t>-</w:t>
            </w:r>
          </w:p>
        </w:tc>
        <w:tc>
          <w:tcPr>
            <w:tcW w:w="851" w:type="dxa"/>
            <w:shd w:val="clear" w:color="auto" w:fill="C6D9F1" w:themeFill="text2" w:themeFillTint="33"/>
          </w:tcPr>
          <w:p w14:paraId="6A4F1E87"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78531D32" w14:textId="77777777" w:rsidR="00EE3DF9" w:rsidRPr="00F5382B" w:rsidRDefault="00EE3DF9">
            <w:pPr>
              <w:rPr>
                <w:noProof/>
                <w:sz w:val="16"/>
                <w:szCs w:val="16"/>
              </w:rPr>
            </w:pPr>
            <w:r w:rsidRPr="00F5382B">
              <w:rPr>
                <w:noProof/>
                <w:sz w:val="16"/>
                <w:szCs w:val="16"/>
              </w:rPr>
              <w:t>-</w:t>
            </w:r>
          </w:p>
        </w:tc>
        <w:tc>
          <w:tcPr>
            <w:tcW w:w="1275" w:type="dxa"/>
            <w:shd w:val="clear" w:color="auto" w:fill="C6D9F1" w:themeFill="text2" w:themeFillTint="33"/>
          </w:tcPr>
          <w:p w14:paraId="2794068B" w14:textId="77777777" w:rsidR="00EE3DF9" w:rsidRPr="00F5382B" w:rsidRDefault="00EE3DF9">
            <w:pPr>
              <w:rPr>
                <w:noProof/>
                <w:sz w:val="16"/>
                <w:szCs w:val="16"/>
              </w:rPr>
            </w:pPr>
            <w:r w:rsidRPr="00F5382B">
              <w:rPr>
                <w:noProof/>
                <w:sz w:val="16"/>
                <w:szCs w:val="16"/>
              </w:rPr>
              <w:t>-</w:t>
            </w:r>
          </w:p>
        </w:tc>
        <w:tc>
          <w:tcPr>
            <w:tcW w:w="1418" w:type="dxa"/>
            <w:shd w:val="clear" w:color="auto" w:fill="C6D9F1" w:themeFill="text2" w:themeFillTint="33"/>
          </w:tcPr>
          <w:p w14:paraId="74CBD43D" w14:textId="77777777" w:rsidR="00EE3DF9" w:rsidRPr="00F5382B" w:rsidRDefault="00EE3DF9">
            <w:pPr>
              <w:rPr>
                <w:noProof/>
                <w:sz w:val="16"/>
                <w:szCs w:val="16"/>
              </w:rPr>
            </w:pPr>
            <w:r w:rsidRPr="00F5382B">
              <w:rPr>
                <w:noProof/>
                <w:sz w:val="16"/>
                <w:szCs w:val="16"/>
              </w:rPr>
              <w:t>-</w:t>
            </w:r>
          </w:p>
        </w:tc>
      </w:tr>
      <w:tr w:rsidR="00EE3DF9" w:rsidRPr="00F5382B" w14:paraId="5690F877" w14:textId="77777777">
        <w:tc>
          <w:tcPr>
            <w:tcW w:w="1303" w:type="dxa"/>
            <w:shd w:val="clear" w:color="auto" w:fill="C6D9F1" w:themeFill="text2" w:themeFillTint="33"/>
          </w:tcPr>
          <w:p w14:paraId="18055E5C" w14:textId="77777777" w:rsidR="00EE3DF9" w:rsidRPr="00F5382B" w:rsidRDefault="00EE3DF9">
            <w:pPr>
              <w:rPr>
                <w:b/>
                <w:noProof/>
                <w:sz w:val="16"/>
                <w:szCs w:val="16"/>
              </w:rPr>
            </w:pPr>
            <w:r w:rsidRPr="00F5382B">
              <w:rPr>
                <w:b/>
                <w:noProof/>
                <w:sz w:val="16"/>
                <w:szCs w:val="16"/>
              </w:rPr>
              <w:t>Businesses</w:t>
            </w:r>
          </w:p>
        </w:tc>
        <w:tc>
          <w:tcPr>
            <w:tcW w:w="1499" w:type="dxa"/>
            <w:shd w:val="clear" w:color="auto" w:fill="C6D9F1" w:themeFill="text2" w:themeFillTint="33"/>
          </w:tcPr>
          <w:p w14:paraId="2101A320" w14:textId="77777777" w:rsidR="00EE3DF9" w:rsidRPr="00F5382B" w:rsidRDefault="00EE3DF9">
            <w:pPr>
              <w:rPr>
                <w:noProof/>
                <w:sz w:val="16"/>
                <w:szCs w:val="16"/>
              </w:rPr>
            </w:pPr>
          </w:p>
        </w:tc>
        <w:tc>
          <w:tcPr>
            <w:tcW w:w="595" w:type="dxa"/>
            <w:shd w:val="clear" w:color="auto" w:fill="C6D9F1" w:themeFill="text2" w:themeFillTint="33"/>
          </w:tcPr>
          <w:p w14:paraId="56DBC2D6"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47CE7F22" w14:textId="77777777" w:rsidR="00EE3DF9" w:rsidRPr="00F5382B" w:rsidRDefault="00EE3DF9">
            <w:pPr>
              <w:rPr>
                <w:noProof/>
                <w:sz w:val="16"/>
                <w:szCs w:val="16"/>
              </w:rPr>
            </w:pPr>
            <w:r w:rsidRPr="00F5382B">
              <w:rPr>
                <w:noProof/>
                <w:sz w:val="16"/>
                <w:szCs w:val="16"/>
              </w:rPr>
              <w:t>-</w:t>
            </w:r>
          </w:p>
        </w:tc>
        <w:tc>
          <w:tcPr>
            <w:tcW w:w="992" w:type="dxa"/>
            <w:shd w:val="clear" w:color="auto" w:fill="C6D9F1" w:themeFill="text2" w:themeFillTint="33"/>
          </w:tcPr>
          <w:p w14:paraId="57F00AB3" w14:textId="77777777" w:rsidR="00EE3DF9" w:rsidRPr="00F5382B" w:rsidRDefault="00EE3DF9">
            <w:pPr>
              <w:rPr>
                <w:noProof/>
                <w:sz w:val="16"/>
                <w:szCs w:val="16"/>
              </w:rPr>
            </w:pPr>
            <w:r w:rsidRPr="00F5382B">
              <w:rPr>
                <w:noProof/>
                <w:sz w:val="16"/>
                <w:szCs w:val="16"/>
              </w:rPr>
              <w:t>-</w:t>
            </w:r>
          </w:p>
        </w:tc>
        <w:tc>
          <w:tcPr>
            <w:tcW w:w="851" w:type="dxa"/>
            <w:shd w:val="clear" w:color="auto" w:fill="C6D9F1" w:themeFill="text2" w:themeFillTint="33"/>
          </w:tcPr>
          <w:p w14:paraId="2ED75C94"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170774A8" w14:textId="77777777" w:rsidR="00EE3DF9" w:rsidRPr="00F5382B" w:rsidRDefault="00EE3DF9">
            <w:pPr>
              <w:rPr>
                <w:noProof/>
                <w:sz w:val="16"/>
                <w:szCs w:val="16"/>
              </w:rPr>
            </w:pPr>
            <w:r w:rsidRPr="00F5382B">
              <w:rPr>
                <w:noProof/>
                <w:sz w:val="16"/>
                <w:szCs w:val="16"/>
              </w:rPr>
              <w:t>-</w:t>
            </w:r>
          </w:p>
        </w:tc>
        <w:tc>
          <w:tcPr>
            <w:tcW w:w="1275" w:type="dxa"/>
            <w:shd w:val="clear" w:color="auto" w:fill="C6D9F1" w:themeFill="text2" w:themeFillTint="33"/>
          </w:tcPr>
          <w:p w14:paraId="1413112C" w14:textId="77777777" w:rsidR="00EE3DF9" w:rsidRPr="00F5382B" w:rsidRDefault="00EE3DF9">
            <w:pPr>
              <w:rPr>
                <w:noProof/>
                <w:sz w:val="16"/>
                <w:szCs w:val="16"/>
              </w:rPr>
            </w:pPr>
            <w:r w:rsidRPr="00F5382B">
              <w:rPr>
                <w:noProof/>
                <w:sz w:val="16"/>
                <w:szCs w:val="16"/>
              </w:rPr>
              <w:t>-</w:t>
            </w:r>
          </w:p>
        </w:tc>
        <w:tc>
          <w:tcPr>
            <w:tcW w:w="1418" w:type="dxa"/>
            <w:shd w:val="clear" w:color="auto" w:fill="C6D9F1" w:themeFill="text2" w:themeFillTint="33"/>
          </w:tcPr>
          <w:p w14:paraId="3A868B0B" w14:textId="77777777" w:rsidR="00EE3DF9" w:rsidRPr="00F5382B" w:rsidRDefault="00EE3DF9">
            <w:pPr>
              <w:rPr>
                <w:noProof/>
                <w:sz w:val="16"/>
                <w:szCs w:val="16"/>
              </w:rPr>
            </w:pPr>
            <w:r w:rsidRPr="00F5382B">
              <w:rPr>
                <w:noProof/>
                <w:sz w:val="16"/>
                <w:szCs w:val="16"/>
              </w:rPr>
              <w:t>-</w:t>
            </w:r>
          </w:p>
        </w:tc>
      </w:tr>
      <w:tr w:rsidR="00EE3DF9" w:rsidRPr="00F5382B" w14:paraId="334DAEDA" w14:textId="77777777">
        <w:tc>
          <w:tcPr>
            <w:tcW w:w="1303" w:type="dxa"/>
            <w:shd w:val="clear" w:color="auto" w:fill="C6D9F1" w:themeFill="text2" w:themeFillTint="33"/>
          </w:tcPr>
          <w:p w14:paraId="1298D469" w14:textId="77777777" w:rsidR="00EE3DF9" w:rsidRPr="00F5382B" w:rsidRDefault="00EE3DF9">
            <w:pPr>
              <w:rPr>
                <w:b/>
                <w:noProof/>
                <w:sz w:val="16"/>
                <w:szCs w:val="16"/>
              </w:rPr>
            </w:pPr>
            <w:r w:rsidRPr="00F5382B">
              <w:rPr>
                <w:b/>
                <w:noProof/>
                <w:sz w:val="16"/>
                <w:szCs w:val="16"/>
              </w:rPr>
              <w:t>Citizens</w:t>
            </w:r>
          </w:p>
        </w:tc>
        <w:tc>
          <w:tcPr>
            <w:tcW w:w="1499" w:type="dxa"/>
            <w:shd w:val="clear" w:color="auto" w:fill="C6D9F1" w:themeFill="text2" w:themeFillTint="33"/>
          </w:tcPr>
          <w:p w14:paraId="0C197832" w14:textId="77777777" w:rsidR="00EE3DF9" w:rsidRPr="00F5382B" w:rsidRDefault="00EE3DF9">
            <w:pPr>
              <w:rPr>
                <w:noProof/>
                <w:sz w:val="16"/>
                <w:szCs w:val="16"/>
              </w:rPr>
            </w:pPr>
          </w:p>
        </w:tc>
        <w:tc>
          <w:tcPr>
            <w:tcW w:w="595" w:type="dxa"/>
            <w:shd w:val="clear" w:color="auto" w:fill="C6D9F1" w:themeFill="text2" w:themeFillTint="33"/>
          </w:tcPr>
          <w:p w14:paraId="4824C48B"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4594F30B" w14:textId="77777777" w:rsidR="00EE3DF9" w:rsidRPr="00F5382B" w:rsidRDefault="00EE3DF9">
            <w:pPr>
              <w:rPr>
                <w:noProof/>
                <w:sz w:val="16"/>
                <w:szCs w:val="16"/>
              </w:rPr>
            </w:pPr>
            <w:r w:rsidRPr="00F5382B">
              <w:rPr>
                <w:noProof/>
                <w:sz w:val="16"/>
                <w:szCs w:val="16"/>
              </w:rPr>
              <w:t>-</w:t>
            </w:r>
          </w:p>
        </w:tc>
        <w:tc>
          <w:tcPr>
            <w:tcW w:w="992" w:type="dxa"/>
            <w:shd w:val="clear" w:color="auto" w:fill="C6D9F1" w:themeFill="text2" w:themeFillTint="33"/>
          </w:tcPr>
          <w:p w14:paraId="7E3CD212" w14:textId="77777777" w:rsidR="00EE3DF9" w:rsidRPr="00F5382B" w:rsidRDefault="00EE3DF9">
            <w:pPr>
              <w:rPr>
                <w:noProof/>
                <w:sz w:val="16"/>
                <w:szCs w:val="16"/>
              </w:rPr>
            </w:pPr>
            <w:r w:rsidRPr="00F5382B">
              <w:rPr>
                <w:noProof/>
                <w:sz w:val="16"/>
                <w:szCs w:val="16"/>
              </w:rPr>
              <w:t>-</w:t>
            </w:r>
          </w:p>
        </w:tc>
        <w:tc>
          <w:tcPr>
            <w:tcW w:w="851" w:type="dxa"/>
            <w:shd w:val="clear" w:color="auto" w:fill="C6D9F1" w:themeFill="text2" w:themeFillTint="33"/>
          </w:tcPr>
          <w:p w14:paraId="7E53FE03" w14:textId="77777777" w:rsidR="00EE3DF9" w:rsidRPr="00F5382B" w:rsidRDefault="00EE3DF9">
            <w:pPr>
              <w:rPr>
                <w:noProof/>
                <w:sz w:val="16"/>
                <w:szCs w:val="16"/>
              </w:rPr>
            </w:pPr>
            <w:r w:rsidRPr="00F5382B">
              <w:rPr>
                <w:noProof/>
                <w:sz w:val="16"/>
                <w:szCs w:val="16"/>
              </w:rPr>
              <w:t>-</w:t>
            </w:r>
          </w:p>
        </w:tc>
        <w:tc>
          <w:tcPr>
            <w:tcW w:w="709" w:type="dxa"/>
            <w:shd w:val="clear" w:color="auto" w:fill="C6D9F1" w:themeFill="text2" w:themeFillTint="33"/>
          </w:tcPr>
          <w:p w14:paraId="7744B47E" w14:textId="77777777" w:rsidR="00EE3DF9" w:rsidRPr="00F5382B" w:rsidRDefault="00EE3DF9">
            <w:pPr>
              <w:rPr>
                <w:noProof/>
                <w:sz w:val="16"/>
                <w:szCs w:val="16"/>
              </w:rPr>
            </w:pPr>
            <w:r w:rsidRPr="00F5382B">
              <w:rPr>
                <w:noProof/>
                <w:sz w:val="16"/>
                <w:szCs w:val="16"/>
              </w:rPr>
              <w:t>-</w:t>
            </w:r>
          </w:p>
        </w:tc>
        <w:tc>
          <w:tcPr>
            <w:tcW w:w="1275" w:type="dxa"/>
            <w:shd w:val="clear" w:color="auto" w:fill="C6D9F1" w:themeFill="text2" w:themeFillTint="33"/>
          </w:tcPr>
          <w:p w14:paraId="21CD4C46" w14:textId="77777777" w:rsidR="00EE3DF9" w:rsidRPr="00F5382B" w:rsidRDefault="00EE3DF9">
            <w:pPr>
              <w:rPr>
                <w:noProof/>
                <w:sz w:val="16"/>
                <w:szCs w:val="16"/>
              </w:rPr>
            </w:pPr>
            <w:r w:rsidRPr="00F5382B">
              <w:rPr>
                <w:noProof/>
                <w:sz w:val="16"/>
                <w:szCs w:val="16"/>
              </w:rPr>
              <w:t>-</w:t>
            </w:r>
          </w:p>
        </w:tc>
        <w:tc>
          <w:tcPr>
            <w:tcW w:w="1418" w:type="dxa"/>
            <w:shd w:val="clear" w:color="auto" w:fill="C6D9F1" w:themeFill="text2" w:themeFillTint="33"/>
          </w:tcPr>
          <w:p w14:paraId="5BF3CEB4" w14:textId="77777777" w:rsidR="00EE3DF9" w:rsidRPr="00F5382B" w:rsidRDefault="00EE3DF9">
            <w:pPr>
              <w:rPr>
                <w:noProof/>
                <w:sz w:val="16"/>
                <w:szCs w:val="16"/>
              </w:rPr>
            </w:pPr>
            <w:r w:rsidRPr="00F5382B">
              <w:rPr>
                <w:noProof/>
                <w:sz w:val="16"/>
                <w:szCs w:val="16"/>
              </w:rPr>
              <w:t>-</w:t>
            </w:r>
          </w:p>
        </w:tc>
      </w:tr>
      <w:tr w:rsidR="00EE3DF9" w:rsidRPr="00F5382B" w14:paraId="49D49FDD" w14:textId="77777777">
        <w:tc>
          <w:tcPr>
            <w:tcW w:w="1303" w:type="dxa"/>
            <w:shd w:val="clear" w:color="auto" w:fill="E5B8B7" w:themeFill="accent2" w:themeFillTint="66"/>
          </w:tcPr>
          <w:p w14:paraId="4639A468" w14:textId="77777777" w:rsidR="00EE3DF9" w:rsidRPr="00F5382B" w:rsidRDefault="00EE3DF9">
            <w:pPr>
              <w:rPr>
                <w:b/>
                <w:noProof/>
                <w:sz w:val="16"/>
                <w:szCs w:val="16"/>
              </w:rPr>
            </w:pPr>
            <w:r w:rsidRPr="00F5382B">
              <w:rPr>
                <w:b/>
                <w:noProof/>
                <w:sz w:val="16"/>
                <w:szCs w:val="16"/>
              </w:rPr>
              <w:t>Option A.2</w:t>
            </w:r>
          </w:p>
        </w:tc>
        <w:tc>
          <w:tcPr>
            <w:tcW w:w="1499" w:type="dxa"/>
            <w:shd w:val="clear" w:color="auto" w:fill="E5B8B7" w:themeFill="accent2" w:themeFillTint="66"/>
          </w:tcPr>
          <w:p w14:paraId="2C650100" w14:textId="77777777" w:rsidR="00EE3DF9" w:rsidRPr="00F5382B" w:rsidRDefault="00EE3DF9">
            <w:pPr>
              <w:rPr>
                <w:noProof/>
                <w:sz w:val="16"/>
                <w:szCs w:val="16"/>
              </w:rPr>
            </w:pPr>
          </w:p>
        </w:tc>
        <w:tc>
          <w:tcPr>
            <w:tcW w:w="595" w:type="dxa"/>
            <w:shd w:val="clear" w:color="auto" w:fill="E5B8B7" w:themeFill="accent2" w:themeFillTint="66"/>
          </w:tcPr>
          <w:p w14:paraId="39E420F6" w14:textId="77777777" w:rsidR="00EE3DF9" w:rsidRPr="00F5382B" w:rsidRDefault="00EE3DF9">
            <w:pPr>
              <w:rPr>
                <w:noProof/>
                <w:sz w:val="16"/>
                <w:szCs w:val="16"/>
              </w:rPr>
            </w:pPr>
          </w:p>
        </w:tc>
        <w:tc>
          <w:tcPr>
            <w:tcW w:w="709" w:type="dxa"/>
            <w:shd w:val="clear" w:color="auto" w:fill="E5B8B7" w:themeFill="accent2" w:themeFillTint="66"/>
          </w:tcPr>
          <w:p w14:paraId="7FD14D89" w14:textId="77777777" w:rsidR="00EE3DF9" w:rsidRPr="00F5382B" w:rsidRDefault="00EE3DF9">
            <w:pPr>
              <w:rPr>
                <w:noProof/>
                <w:sz w:val="16"/>
                <w:szCs w:val="16"/>
              </w:rPr>
            </w:pPr>
          </w:p>
        </w:tc>
        <w:tc>
          <w:tcPr>
            <w:tcW w:w="992" w:type="dxa"/>
            <w:shd w:val="clear" w:color="auto" w:fill="E5B8B7" w:themeFill="accent2" w:themeFillTint="66"/>
          </w:tcPr>
          <w:p w14:paraId="1B988E9D" w14:textId="77777777" w:rsidR="00EE3DF9" w:rsidRPr="00F5382B" w:rsidRDefault="00EE3DF9">
            <w:pPr>
              <w:rPr>
                <w:noProof/>
                <w:sz w:val="16"/>
                <w:szCs w:val="16"/>
              </w:rPr>
            </w:pPr>
          </w:p>
        </w:tc>
        <w:tc>
          <w:tcPr>
            <w:tcW w:w="851" w:type="dxa"/>
            <w:shd w:val="clear" w:color="auto" w:fill="E5B8B7" w:themeFill="accent2" w:themeFillTint="66"/>
          </w:tcPr>
          <w:p w14:paraId="46A3CAAB" w14:textId="77777777" w:rsidR="00EE3DF9" w:rsidRPr="00F5382B" w:rsidRDefault="00EE3DF9">
            <w:pPr>
              <w:rPr>
                <w:noProof/>
                <w:sz w:val="16"/>
                <w:szCs w:val="16"/>
              </w:rPr>
            </w:pPr>
          </w:p>
        </w:tc>
        <w:tc>
          <w:tcPr>
            <w:tcW w:w="709" w:type="dxa"/>
            <w:shd w:val="clear" w:color="auto" w:fill="E5B8B7" w:themeFill="accent2" w:themeFillTint="66"/>
          </w:tcPr>
          <w:p w14:paraId="14A2CD5A" w14:textId="77777777" w:rsidR="00EE3DF9" w:rsidRPr="00F5382B" w:rsidRDefault="00EE3DF9">
            <w:pPr>
              <w:rPr>
                <w:noProof/>
                <w:sz w:val="16"/>
                <w:szCs w:val="16"/>
              </w:rPr>
            </w:pPr>
          </w:p>
        </w:tc>
        <w:tc>
          <w:tcPr>
            <w:tcW w:w="1275" w:type="dxa"/>
            <w:shd w:val="clear" w:color="auto" w:fill="E5B8B7" w:themeFill="accent2" w:themeFillTint="66"/>
          </w:tcPr>
          <w:p w14:paraId="44ACB742" w14:textId="77777777" w:rsidR="00EE3DF9" w:rsidRPr="00F5382B" w:rsidRDefault="00EE3DF9">
            <w:pPr>
              <w:rPr>
                <w:noProof/>
                <w:sz w:val="16"/>
                <w:szCs w:val="16"/>
              </w:rPr>
            </w:pPr>
          </w:p>
        </w:tc>
        <w:tc>
          <w:tcPr>
            <w:tcW w:w="1418" w:type="dxa"/>
            <w:shd w:val="clear" w:color="auto" w:fill="E5B8B7" w:themeFill="accent2" w:themeFillTint="66"/>
          </w:tcPr>
          <w:p w14:paraId="30FF3658" w14:textId="77777777" w:rsidR="00EE3DF9" w:rsidRPr="00F5382B" w:rsidRDefault="00EE3DF9">
            <w:pPr>
              <w:rPr>
                <w:noProof/>
                <w:sz w:val="16"/>
                <w:szCs w:val="16"/>
              </w:rPr>
            </w:pPr>
          </w:p>
        </w:tc>
      </w:tr>
      <w:tr w:rsidR="00EE3DF9" w:rsidRPr="00F5382B" w14:paraId="27C2AD3D" w14:textId="77777777">
        <w:tc>
          <w:tcPr>
            <w:tcW w:w="1303" w:type="dxa"/>
            <w:shd w:val="clear" w:color="auto" w:fill="E5B8B7" w:themeFill="accent2" w:themeFillTint="66"/>
          </w:tcPr>
          <w:p w14:paraId="7D05CF94" w14:textId="77777777" w:rsidR="00EE3DF9" w:rsidRPr="00F5382B" w:rsidRDefault="00EE3DF9">
            <w:pPr>
              <w:rPr>
                <w:b/>
                <w:noProof/>
                <w:sz w:val="16"/>
                <w:szCs w:val="16"/>
              </w:rPr>
            </w:pPr>
            <w:r w:rsidRPr="00F5382B">
              <w:rPr>
                <w:b/>
                <w:noProof/>
                <w:sz w:val="16"/>
                <w:szCs w:val="16"/>
              </w:rPr>
              <w:t>ENISA</w:t>
            </w:r>
          </w:p>
        </w:tc>
        <w:tc>
          <w:tcPr>
            <w:tcW w:w="1499" w:type="dxa"/>
            <w:shd w:val="clear" w:color="auto" w:fill="E5B8B7" w:themeFill="accent2" w:themeFillTint="66"/>
          </w:tcPr>
          <w:p w14:paraId="62F948FD" w14:textId="77777777" w:rsidR="00EE3DF9" w:rsidRPr="00F5382B" w:rsidRDefault="00EE3DF9">
            <w:pPr>
              <w:rPr>
                <w:noProof/>
                <w:sz w:val="16"/>
                <w:szCs w:val="16"/>
              </w:rPr>
            </w:pPr>
          </w:p>
        </w:tc>
        <w:tc>
          <w:tcPr>
            <w:tcW w:w="595" w:type="dxa"/>
            <w:shd w:val="clear" w:color="auto" w:fill="E5B8B7" w:themeFill="accent2" w:themeFillTint="66"/>
          </w:tcPr>
          <w:p w14:paraId="1072053A" w14:textId="77777777" w:rsidR="00EE3DF9" w:rsidRPr="00F5382B" w:rsidRDefault="00EE3DF9">
            <w:pPr>
              <w:rPr>
                <w:noProof/>
                <w:sz w:val="16"/>
                <w:szCs w:val="16"/>
              </w:rPr>
            </w:pPr>
          </w:p>
        </w:tc>
        <w:tc>
          <w:tcPr>
            <w:tcW w:w="709" w:type="dxa"/>
            <w:shd w:val="clear" w:color="auto" w:fill="E5B8B7" w:themeFill="accent2" w:themeFillTint="66"/>
          </w:tcPr>
          <w:p w14:paraId="013F4A75" w14:textId="77777777" w:rsidR="00EE3DF9" w:rsidRPr="00F5382B" w:rsidRDefault="00EE3DF9">
            <w:pPr>
              <w:rPr>
                <w:noProof/>
                <w:sz w:val="16"/>
                <w:szCs w:val="16"/>
              </w:rPr>
            </w:pPr>
          </w:p>
        </w:tc>
        <w:tc>
          <w:tcPr>
            <w:tcW w:w="992" w:type="dxa"/>
            <w:shd w:val="clear" w:color="auto" w:fill="E5B8B7" w:themeFill="accent2" w:themeFillTint="66"/>
          </w:tcPr>
          <w:p w14:paraId="74180972" w14:textId="77777777" w:rsidR="00EE3DF9" w:rsidRPr="00F5382B" w:rsidRDefault="00EE3DF9">
            <w:pPr>
              <w:rPr>
                <w:noProof/>
                <w:sz w:val="16"/>
                <w:szCs w:val="16"/>
              </w:rPr>
            </w:pPr>
          </w:p>
        </w:tc>
        <w:tc>
          <w:tcPr>
            <w:tcW w:w="851" w:type="dxa"/>
            <w:shd w:val="clear" w:color="auto" w:fill="E5B8B7" w:themeFill="accent2" w:themeFillTint="66"/>
          </w:tcPr>
          <w:p w14:paraId="592F5B4A" w14:textId="77777777" w:rsidR="00EE3DF9" w:rsidRPr="00F5382B" w:rsidRDefault="00EE3DF9">
            <w:pPr>
              <w:rPr>
                <w:noProof/>
                <w:sz w:val="16"/>
                <w:szCs w:val="16"/>
              </w:rPr>
            </w:pPr>
          </w:p>
        </w:tc>
        <w:tc>
          <w:tcPr>
            <w:tcW w:w="709" w:type="dxa"/>
            <w:shd w:val="clear" w:color="auto" w:fill="E5B8B7" w:themeFill="accent2" w:themeFillTint="66"/>
          </w:tcPr>
          <w:p w14:paraId="08CE1B73" w14:textId="77777777" w:rsidR="00EE3DF9" w:rsidRPr="00F5382B" w:rsidRDefault="00EE3DF9">
            <w:pPr>
              <w:rPr>
                <w:noProof/>
                <w:sz w:val="16"/>
                <w:szCs w:val="16"/>
              </w:rPr>
            </w:pPr>
          </w:p>
        </w:tc>
        <w:tc>
          <w:tcPr>
            <w:tcW w:w="1275" w:type="dxa"/>
            <w:shd w:val="clear" w:color="auto" w:fill="E5B8B7" w:themeFill="accent2" w:themeFillTint="66"/>
          </w:tcPr>
          <w:p w14:paraId="65FFBE07" w14:textId="77777777" w:rsidR="00EE3DF9" w:rsidRPr="00F5382B" w:rsidRDefault="00EE3DF9">
            <w:pPr>
              <w:rPr>
                <w:noProof/>
                <w:sz w:val="16"/>
                <w:szCs w:val="16"/>
              </w:rPr>
            </w:pPr>
          </w:p>
        </w:tc>
        <w:tc>
          <w:tcPr>
            <w:tcW w:w="1418" w:type="dxa"/>
            <w:shd w:val="clear" w:color="auto" w:fill="E5B8B7" w:themeFill="accent2" w:themeFillTint="66"/>
          </w:tcPr>
          <w:p w14:paraId="1F29F5AD" w14:textId="77777777" w:rsidR="00EE3DF9" w:rsidRPr="00F5382B" w:rsidRDefault="00EE3DF9">
            <w:pPr>
              <w:rPr>
                <w:noProof/>
                <w:sz w:val="16"/>
                <w:szCs w:val="16"/>
              </w:rPr>
            </w:pPr>
          </w:p>
        </w:tc>
      </w:tr>
      <w:tr w:rsidR="00EE3DF9" w:rsidRPr="00F5382B" w14:paraId="61C586EE" w14:textId="77777777">
        <w:tc>
          <w:tcPr>
            <w:tcW w:w="1303" w:type="dxa"/>
            <w:shd w:val="clear" w:color="auto" w:fill="F2DBDB" w:themeFill="accent2" w:themeFillTint="33"/>
          </w:tcPr>
          <w:p w14:paraId="727CCA42" w14:textId="77777777" w:rsidR="00EE3DF9" w:rsidRPr="00F5382B" w:rsidRDefault="00EE3DF9">
            <w:pPr>
              <w:rPr>
                <w:b/>
                <w:noProof/>
                <w:sz w:val="16"/>
                <w:szCs w:val="16"/>
              </w:rPr>
            </w:pPr>
            <w:r w:rsidRPr="00F5382B">
              <w:rPr>
                <w:b/>
                <w:noProof/>
                <w:sz w:val="16"/>
                <w:szCs w:val="16"/>
              </w:rPr>
              <w:t>Reserve</w:t>
            </w:r>
          </w:p>
        </w:tc>
        <w:tc>
          <w:tcPr>
            <w:tcW w:w="1499" w:type="dxa"/>
            <w:shd w:val="clear" w:color="auto" w:fill="F2DBDB" w:themeFill="accent2" w:themeFillTint="33"/>
          </w:tcPr>
          <w:p w14:paraId="386842A8" w14:textId="77777777" w:rsidR="00EE3DF9" w:rsidRPr="00F5382B" w:rsidRDefault="00EE3DF9">
            <w:pPr>
              <w:rPr>
                <w:noProof/>
                <w:sz w:val="16"/>
                <w:szCs w:val="16"/>
              </w:rPr>
            </w:pPr>
          </w:p>
        </w:tc>
        <w:tc>
          <w:tcPr>
            <w:tcW w:w="595" w:type="dxa"/>
            <w:shd w:val="clear" w:color="auto" w:fill="F2DBDB" w:themeFill="accent2" w:themeFillTint="33"/>
          </w:tcPr>
          <w:p w14:paraId="12D20A77" w14:textId="77777777" w:rsidR="00EE3DF9" w:rsidRPr="00F5382B" w:rsidRDefault="00EE3DF9">
            <w:pPr>
              <w:jc w:val="right"/>
              <w:rPr>
                <w:noProof/>
                <w:sz w:val="16"/>
                <w:szCs w:val="16"/>
              </w:rPr>
            </w:pPr>
            <w:r w:rsidRPr="00F5382B">
              <w:rPr>
                <w:noProof/>
                <w:sz w:val="16"/>
                <w:szCs w:val="16"/>
              </w:rPr>
              <w:t>10</w:t>
            </w:r>
          </w:p>
        </w:tc>
        <w:tc>
          <w:tcPr>
            <w:tcW w:w="709" w:type="dxa"/>
            <w:shd w:val="clear" w:color="auto" w:fill="F2DBDB" w:themeFill="accent2" w:themeFillTint="33"/>
          </w:tcPr>
          <w:p w14:paraId="1EE82C22" w14:textId="77777777" w:rsidR="00EE3DF9" w:rsidRPr="00F5382B" w:rsidRDefault="00EE3DF9">
            <w:pPr>
              <w:jc w:val="right"/>
              <w:rPr>
                <w:noProof/>
                <w:sz w:val="16"/>
                <w:szCs w:val="16"/>
              </w:rPr>
            </w:pPr>
            <w:r w:rsidRPr="00F5382B">
              <w:rPr>
                <w:noProof/>
                <w:sz w:val="16"/>
                <w:szCs w:val="16"/>
              </w:rPr>
              <w:t>10</w:t>
            </w:r>
          </w:p>
        </w:tc>
        <w:tc>
          <w:tcPr>
            <w:tcW w:w="992" w:type="dxa"/>
            <w:shd w:val="clear" w:color="auto" w:fill="F2DBDB" w:themeFill="accent2" w:themeFillTint="33"/>
          </w:tcPr>
          <w:p w14:paraId="4BF1D0F8" w14:textId="77777777" w:rsidR="00EE3DF9" w:rsidRPr="00F5382B" w:rsidRDefault="00EE3DF9">
            <w:pPr>
              <w:jc w:val="right"/>
              <w:rPr>
                <w:noProof/>
                <w:sz w:val="16"/>
                <w:szCs w:val="16"/>
              </w:rPr>
            </w:pPr>
            <w:r w:rsidRPr="00F5382B">
              <w:rPr>
                <w:noProof/>
                <w:sz w:val="16"/>
                <w:szCs w:val="16"/>
              </w:rPr>
              <w:t>10</w:t>
            </w:r>
          </w:p>
        </w:tc>
        <w:tc>
          <w:tcPr>
            <w:tcW w:w="851" w:type="dxa"/>
            <w:shd w:val="clear" w:color="auto" w:fill="F2DBDB" w:themeFill="accent2" w:themeFillTint="33"/>
          </w:tcPr>
          <w:p w14:paraId="16EA91EA" w14:textId="77777777" w:rsidR="00EE3DF9" w:rsidRPr="00F5382B" w:rsidRDefault="00EE3DF9">
            <w:pPr>
              <w:jc w:val="right"/>
              <w:rPr>
                <w:noProof/>
                <w:sz w:val="16"/>
                <w:szCs w:val="16"/>
              </w:rPr>
            </w:pPr>
            <w:r w:rsidRPr="00F5382B">
              <w:rPr>
                <w:noProof/>
                <w:sz w:val="16"/>
                <w:szCs w:val="16"/>
              </w:rPr>
              <w:t>10</w:t>
            </w:r>
          </w:p>
        </w:tc>
        <w:tc>
          <w:tcPr>
            <w:tcW w:w="709" w:type="dxa"/>
            <w:shd w:val="clear" w:color="auto" w:fill="F2DBDB" w:themeFill="accent2" w:themeFillTint="33"/>
          </w:tcPr>
          <w:p w14:paraId="3FEC6CFD" w14:textId="77777777" w:rsidR="00EE3DF9" w:rsidRPr="00F5382B" w:rsidRDefault="00EE3DF9">
            <w:pPr>
              <w:jc w:val="right"/>
              <w:rPr>
                <w:noProof/>
                <w:sz w:val="16"/>
                <w:szCs w:val="16"/>
              </w:rPr>
            </w:pPr>
            <w:r w:rsidRPr="00F5382B">
              <w:rPr>
                <w:noProof/>
                <w:sz w:val="16"/>
                <w:szCs w:val="16"/>
              </w:rPr>
              <w:t>10</w:t>
            </w:r>
          </w:p>
        </w:tc>
        <w:tc>
          <w:tcPr>
            <w:tcW w:w="1275" w:type="dxa"/>
            <w:shd w:val="clear" w:color="auto" w:fill="F2DBDB" w:themeFill="accent2" w:themeFillTint="33"/>
          </w:tcPr>
          <w:p w14:paraId="6C1DFB7A" w14:textId="77777777" w:rsidR="00EE3DF9" w:rsidRPr="00F5382B" w:rsidRDefault="00EE3DF9">
            <w:pPr>
              <w:jc w:val="right"/>
              <w:rPr>
                <w:noProof/>
                <w:sz w:val="16"/>
                <w:szCs w:val="16"/>
              </w:rPr>
            </w:pPr>
            <w:r w:rsidRPr="00F5382B">
              <w:rPr>
                <w:noProof/>
                <w:sz w:val="16"/>
                <w:szCs w:val="16"/>
              </w:rPr>
              <w:t>1 282 770</w:t>
            </w:r>
          </w:p>
        </w:tc>
        <w:tc>
          <w:tcPr>
            <w:tcW w:w="1418" w:type="dxa"/>
            <w:shd w:val="clear" w:color="auto" w:fill="F2DBDB" w:themeFill="accent2" w:themeFillTint="33"/>
          </w:tcPr>
          <w:p w14:paraId="554561CB" w14:textId="77777777" w:rsidR="00EE3DF9" w:rsidRPr="00F5382B" w:rsidRDefault="00EE3DF9">
            <w:pPr>
              <w:jc w:val="right"/>
              <w:rPr>
                <w:noProof/>
                <w:sz w:val="16"/>
                <w:szCs w:val="16"/>
              </w:rPr>
            </w:pPr>
            <w:r w:rsidRPr="00F5382B">
              <w:rPr>
                <w:noProof/>
                <w:sz w:val="16"/>
                <w:szCs w:val="16"/>
              </w:rPr>
              <w:t>6 413 850</w:t>
            </w:r>
          </w:p>
        </w:tc>
      </w:tr>
      <w:tr w:rsidR="00EE3DF9" w:rsidRPr="00F5382B" w14:paraId="606F0357" w14:textId="77777777">
        <w:tc>
          <w:tcPr>
            <w:tcW w:w="1303" w:type="dxa"/>
            <w:shd w:val="clear" w:color="auto" w:fill="F2DBDB" w:themeFill="accent2" w:themeFillTint="33"/>
          </w:tcPr>
          <w:p w14:paraId="71D63EA9" w14:textId="77777777" w:rsidR="00EE3DF9" w:rsidRPr="00F5382B" w:rsidRDefault="00EE3DF9">
            <w:pPr>
              <w:rPr>
                <w:bCs/>
                <w:noProof/>
                <w:sz w:val="16"/>
                <w:szCs w:val="16"/>
              </w:rPr>
            </w:pPr>
            <w:r w:rsidRPr="00F5382B">
              <w:rPr>
                <w:bCs/>
                <w:noProof/>
                <w:sz w:val="16"/>
                <w:szCs w:val="16"/>
              </w:rPr>
              <w:t>CVD</w:t>
            </w:r>
          </w:p>
        </w:tc>
        <w:tc>
          <w:tcPr>
            <w:tcW w:w="1499" w:type="dxa"/>
            <w:shd w:val="clear" w:color="auto" w:fill="F2DBDB" w:themeFill="accent2" w:themeFillTint="33"/>
          </w:tcPr>
          <w:p w14:paraId="432ED04E" w14:textId="77777777" w:rsidR="00EE3DF9" w:rsidRPr="00F5382B" w:rsidRDefault="00EE3DF9">
            <w:pPr>
              <w:rPr>
                <w:bCs/>
                <w:noProof/>
                <w:sz w:val="16"/>
                <w:szCs w:val="16"/>
              </w:rPr>
            </w:pPr>
          </w:p>
        </w:tc>
        <w:tc>
          <w:tcPr>
            <w:tcW w:w="595" w:type="dxa"/>
            <w:shd w:val="clear" w:color="auto" w:fill="F2DBDB" w:themeFill="accent2" w:themeFillTint="33"/>
          </w:tcPr>
          <w:p w14:paraId="75FA245D" w14:textId="77777777" w:rsidR="00EE3DF9" w:rsidRPr="00F5382B" w:rsidRDefault="00EE3DF9">
            <w:pPr>
              <w:jc w:val="right"/>
              <w:rPr>
                <w:noProof/>
                <w:sz w:val="16"/>
                <w:szCs w:val="16"/>
              </w:rPr>
            </w:pPr>
            <w:r w:rsidRPr="00F5382B">
              <w:rPr>
                <w:noProof/>
                <w:sz w:val="16"/>
                <w:szCs w:val="16"/>
              </w:rPr>
              <w:t>15</w:t>
            </w:r>
          </w:p>
        </w:tc>
        <w:tc>
          <w:tcPr>
            <w:tcW w:w="709" w:type="dxa"/>
            <w:shd w:val="clear" w:color="auto" w:fill="F2DBDB" w:themeFill="accent2" w:themeFillTint="33"/>
          </w:tcPr>
          <w:p w14:paraId="1851F06F" w14:textId="77777777" w:rsidR="00EE3DF9" w:rsidRPr="00F5382B" w:rsidRDefault="00EE3DF9">
            <w:pPr>
              <w:jc w:val="right"/>
              <w:rPr>
                <w:noProof/>
                <w:sz w:val="16"/>
                <w:szCs w:val="16"/>
              </w:rPr>
            </w:pPr>
            <w:r w:rsidRPr="00F5382B">
              <w:rPr>
                <w:noProof/>
                <w:sz w:val="16"/>
                <w:szCs w:val="16"/>
              </w:rPr>
              <w:t>15</w:t>
            </w:r>
          </w:p>
        </w:tc>
        <w:tc>
          <w:tcPr>
            <w:tcW w:w="992" w:type="dxa"/>
            <w:shd w:val="clear" w:color="auto" w:fill="F2DBDB" w:themeFill="accent2" w:themeFillTint="33"/>
          </w:tcPr>
          <w:p w14:paraId="1A81947D" w14:textId="77777777" w:rsidR="00EE3DF9" w:rsidRPr="00F5382B" w:rsidRDefault="00EE3DF9">
            <w:pPr>
              <w:jc w:val="right"/>
              <w:rPr>
                <w:noProof/>
                <w:sz w:val="16"/>
                <w:szCs w:val="16"/>
              </w:rPr>
            </w:pPr>
            <w:r w:rsidRPr="00F5382B">
              <w:rPr>
                <w:noProof/>
                <w:sz w:val="16"/>
                <w:szCs w:val="16"/>
              </w:rPr>
              <w:t>15</w:t>
            </w:r>
          </w:p>
        </w:tc>
        <w:tc>
          <w:tcPr>
            <w:tcW w:w="851" w:type="dxa"/>
            <w:shd w:val="clear" w:color="auto" w:fill="F2DBDB" w:themeFill="accent2" w:themeFillTint="33"/>
          </w:tcPr>
          <w:p w14:paraId="782A41CB" w14:textId="77777777" w:rsidR="00EE3DF9" w:rsidRPr="00F5382B" w:rsidRDefault="00EE3DF9">
            <w:pPr>
              <w:jc w:val="right"/>
              <w:rPr>
                <w:noProof/>
                <w:sz w:val="16"/>
                <w:szCs w:val="16"/>
              </w:rPr>
            </w:pPr>
            <w:r w:rsidRPr="00F5382B">
              <w:rPr>
                <w:noProof/>
                <w:sz w:val="16"/>
                <w:szCs w:val="16"/>
              </w:rPr>
              <w:t>15</w:t>
            </w:r>
          </w:p>
        </w:tc>
        <w:tc>
          <w:tcPr>
            <w:tcW w:w="709" w:type="dxa"/>
            <w:shd w:val="clear" w:color="auto" w:fill="F2DBDB" w:themeFill="accent2" w:themeFillTint="33"/>
          </w:tcPr>
          <w:p w14:paraId="082B0668" w14:textId="77777777" w:rsidR="00EE3DF9" w:rsidRPr="00F5382B" w:rsidRDefault="00EE3DF9">
            <w:pPr>
              <w:jc w:val="right"/>
              <w:rPr>
                <w:noProof/>
                <w:sz w:val="16"/>
                <w:szCs w:val="16"/>
              </w:rPr>
            </w:pPr>
            <w:r w:rsidRPr="00F5382B">
              <w:rPr>
                <w:noProof/>
                <w:sz w:val="16"/>
                <w:szCs w:val="16"/>
              </w:rPr>
              <w:t>15</w:t>
            </w:r>
          </w:p>
        </w:tc>
        <w:tc>
          <w:tcPr>
            <w:tcW w:w="1275" w:type="dxa"/>
            <w:shd w:val="clear" w:color="auto" w:fill="F2DBDB" w:themeFill="accent2" w:themeFillTint="33"/>
          </w:tcPr>
          <w:p w14:paraId="75A1686B" w14:textId="77777777" w:rsidR="00EE3DF9" w:rsidRPr="00F5382B" w:rsidRDefault="00EE3DF9">
            <w:pPr>
              <w:jc w:val="right"/>
              <w:rPr>
                <w:noProof/>
                <w:sz w:val="16"/>
                <w:szCs w:val="16"/>
              </w:rPr>
            </w:pPr>
            <w:r w:rsidRPr="00F5382B">
              <w:rPr>
                <w:noProof/>
                <w:sz w:val="16"/>
                <w:szCs w:val="16"/>
              </w:rPr>
              <w:t>1 924 155</w:t>
            </w:r>
          </w:p>
        </w:tc>
        <w:tc>
          <w:tcPr>
            <w:tcW w:w="1418" w:type="dxa"/>
            <w:shd w:val="clear" w:color="auto" w:fill="F2DBDB" w:themeFill="accent2" w:themeFillTint="33"/>
          </w:tcPr>
          <w:p w14:paraId="4C2FCA41" w14:textId="77777777" w:rsidR="00EE3DF9" w:rsidRPr="00F5382B" w:rsidRDefault="00EE3DF9">
            <w:pPr>
              <w:jc w:val="right"/>
              <w:rPr>
                <w:noProof/>
                <w:sz w:val="16"/>
                <w:szCs w:val="16"/>
              </w:rPr>
            </w:pPr>
            <w:r w:rsidRPr="00F5382B">
              <w:rPr>
                <w:noProof/>
                <w:sz w:val="16"/>
                <w:szCs w:val="16"/>
              </w:rPr>
              <w:t>9 620 775</w:t>
            </w:r>
          </w:p>
        </w:tc>
      </w:tr>
      <w:tr w:rsidR="00EE3DF9" w:rsidRPr="00F5382B" w14:paraId="0396EC6F" w14:textId="77777777">
        <w:tc>
          <w:tcPr>
            <w:tcW w:w="1303" w:type="dxa"/>
            <w:shd w:val="clear" w:color="auto" w:fill="F2DBDB" w:themeFill="accent2" w:themeFillTint="33"/>
          </w:tcPr>
          <w:p w14:paraId="1DE017BE" w14:textId="77777777" w:rsidR="00EE3DF9" w:rsidRPr="00F5382B" w:rsidRDefault="00EE3DF9">
            <w:pPr>
              <w:rPr>
                <w:bCs/>
                <w:noProof/>
                <w:sz w:val="16"/>
                <w:szCs w:val="16"/>
              </w:rPr>
            </w:pPr>
            <w:r w:rsidRPr="00F5382B">
              <w:rPr>
                <w:bCs/>
                <w:noProof/>
                <w:sz w:val="16"/>
                <w:szCs w:val="16"/>
              </w:rPr>
              <w:t>Mutual Assistance</w:t>
            </w:r>
          </w:p>
        </w:tc>
        <w:tc>
          <w:tcPr>
            <w:tcW w:w="1499" w:type="dxa"/>
            <w:shd w:val="clear" w:color="auto" w:fill="F2DBDB" w:themeFill="accent2" w:themeFillTint="33"/>
          </w:tcPr>
          <w:p w14:paraId="38FBA685" w14:textId="77777777" w:rsidR="00EE3DF9" w:rsidRPr="00F5382B" w:rsidRDefault="00EE3DF9">
            <w:pPr>
              <w:rPr>
                <w:bCs/>
                <w:noProof/>
                <w:sz w:val="16"/>
                <w:szCs w:val="16"/>
              </w:rPr>
            </w:pPr>
          </w:p>
        </w:tc>
        <w:tc>
          <w:tcPr>
            <w:tcW w:w="595" w:type="dxa"/>
            <w:shd w:val="clear" w:color="auto" w:fill="F2DBDB" w:themeFill="accent2" w:themeFillTint="33"/>
          </w:tcPr>
          <w:p w14:paraId="293015A2" w14:textId="77777777" w:rsidR="00EE3DF9" w:rsidRPr="00F5382B" w:rsidRDefault="00EE3DF9">
            <w:pPr>
              <w:jc w:val="right"/>
              <w:rPr>
                <w:noProof/>
                <w:sz w:val="16"/>
                <w:szCs w:val="16"/>
              </w:rPr>
            </w:pPr>
            <w:r w:rsidRPr="00F5382B">
              <w:rPr>
                <w:noProof/>
                <w:sz w:val="16"/>
                <w:szCs w:val="16"/>
              </w:rPr>
              <w:t>4</w:t>
            </w:r>
          </w:p>
        </w:tc>
        <w:tc>
          <w:tcPr>
            <w:tcW w:w="709" w:type="dxa"/>
            <w:shd w:val="clear" w:color="auto" w:fill="F2DBDB" w:themeFill="accent2" w:themeFillTint="33"/>
          </w:tcPr>
          <w:p w14:paraId="34BAAF1C" w14:textId="77777777" w:rsidR="00EE3DF9" w:rsidRPr="00F5382B" w:rsidRDefault="00EE3DF9">
            <w:pPr>
              <w:jc w:val="right"/>
              <w:rPr>
                <w:noProof/>
                <w:sz w:val="16"/>
                <w:szCs w:val="16"/>
              </w:rPr>
            </w:pPr>
            <w:r w:rsidRPr="00F5382B">
              <w:rPr>
                <w:noProof/>
                <w:sz w:val="16"/>
                <w:szCs w:val="16"/>
              </w:rPr>
              <w:t>4</w:t>
            </w:r>
          </w:p>
        </w:tc>
        <w:tc>
          <w:tcPr>
            <w:tcW w:w="992" w:type="dxa"/>
            <w:shd w:val="clear" w:color="auto" w:fill="F2DBDB" w:themeFill="accent2" w:themeFillTint="33"/>
          </w:tcPr>
          <w:p w14:paraId="78DC950B" w14:textId="77777777" w:rsidR="00EE3DF9" w:rsidRPr="00F5382B" w:rsidRDefault="00EE3DF9">
            <w:pPr>
              <w:jc w:val="right"/>
              <w:rPr>
                <w:noProof/>
                <w:sz w:val="16"/>
                <w:szCs w:val="16"/>
              </w:rPr>
            </w:pPr>
            <w:r w:rsidRPr="00F5382B">
              <w:rPr>
                <w:noProof/>
                <w:sz w:val="16"/>
                <w:szCs w:val="16"/>
              </w:rPr>
              <w:t>4</w:t>
            </w:r>
          </w:p>
        </w:tc>
        <w:tc>
          <w:tcPr>
            <w:tcW w:w="851" w:type="dxa"/>
            <w:shd w:val="clear" w:color="auto" w:fill="F2DBDB" w:themeFill="accent2" w:themeFillTint="33"/>
          </w:tcPr>
          <w:p w14:paraId="414EB8F6" w14:textId="77777777" w:rsidR="00EE3DF9" w:rsidRPr="00F5382B" w:rsidRDefault="00EE3DF9">
            <w:pPr>
              <w:jc w:val="right"/>
              <w:rPr>
                <w:noProof/>
                <w:sz w:val="16"/>
                <w:szCs w:val="16"/>
              </w:rPr>
            </w:pPr>
            <w:r w:rsidRPr="00F5382B">
              <w:rPr>
                <w:noProof/>
                <w:sz w:val="16"/>
                <w:szCs w:val="16"/>
              </w:rPr>
              <w:t>4</w:t>
            </w:r>
          </w:p>
        </w:tc>
        <w:tc>
          <w:tcPr>
            <w:tcW w:w="709" w:type="dxa"/>
            <w:shd w:val="clear" w:color="auto" w:fill="F2DBDB" w:themeFill="accent2" w:themeFillTint="33"/>
          </w:tcPr>
          <w:p w14:paraId="041A99DA" w14:textId="77777777" w:rsidR="00EE3DF9" w:rsidRPr="00F5382B" w:rsidRDefault="00EE3DF9">
            <w:pPr>
              <w:jc w:val="right"/>
              <w:rPr>
                <w:noProof/>
                <w:sz w:val="16"/>
                <w:szCs w:val="16"/>
              </w:rPr>
            </w:pPr>
            <w:r w:rsidRPr="00F5382B">
              <w:rPr>
                <w:noProof/>
                <w:sz w:val="16"/>
                <w:szCs w:val="16"/>
              </w:rPr>
              <w:t>4</w:t>
            </w:r>
          </w:p>
        </w:tc>
        <w:tc>
          <w:tcPr>
            <w:tcW w:w="1275" w:type="dxa"/>
            <w:shd w:val="clear" w:color="auto" w:fill="F2DBDB" w:themeFill="accent2" w:themeFillTint="33"/>
          </w:tcPr>
          <w:p w14:paraId="0B8CE391" w14:textId="77777777" w:rsidR="00EE3DF9" w:rsidRPr="00F5382B" w:rsidRDefault="00EE3DF9">
            <w:pPr>
              <w:jc w:val="right"/>
              <w:rPr>
                <w:noProof/>
                <w:sz w:val="16"/>
                <w:szCs w:val="16"/>
              </w:rPr>
            </w:pPr>
            <w:r w:rsidRPr="00F5382B">
              <w:rPr>
                <w:noProof/>
                <w:sz w:val="16"/>
                <w:szCs w:val="16"/>
              </w:rPr>
              <w:t>513 108</w:t>
            </w:r>
          </w:p>
        </w:tc>
        <w:tc>
          <w:tcPr>
            <w:tcW w:w="1418" w:type="dxa"/>
            <w:shd w:val="clear" w:color="auto" w:fill="F2DBDB" w:themeFill="accent2" w:themeFillTint="33"/>
          </w:tcPr>
          <w:p w14:paraId="3702DAF6" w14:textId="77777777" w:rsidR="00EE3DF9" w:rsidRPr="00F5382B" w:rsidRDefault="00EE3DF9">
            <w:pPr>
              <w:jc w:val="right"/>
              <w:rPr>
                <w:noProof/>
                <w:sz w:val="16"/>
                <w:szCs w:val="16"/>
              </w:rPr>
            </w:pPr>
            <w:r w:rsidRPr="00F5382B">
              <w:rPr>
                <w:noProof/>
                <w:sz w:val="16"/>
                <w:szCs w:val="16"/>
              </w:rPr>
              <w:t>2 565 540</w:t>
            </w:r>
          </w:p>
        </w:tc>
      </w:tr>
      <w:tr w:rsidR="00EE3DF9" w:rsidRPr="00F5382B" w14:paraId="04FE33D8" w14:textId="77777777">
        <w:tc>
          <w:tcPr>
            <w:tcW w:w="1303" w:type="dxa"/>
            <w:shd w:val="clear" w:color="auto" w:fill="F2DBDB" w:themeFill="accent2" w:themeFillTint="33"/>
          </w:tcPr>
          <w:p w14:paraId="4FF9025D" w14:textId="77777777" w:rsidR="00EE3DF9" w:rsidRPr="00F5382B" w:rsidRDefault="00EE3DF9">
            <w:pPr>
              <w:rPr>
                <w:bCs/>
                <w:noProof/>
                <w:sz w:val="16"/>
                <w:szCs w:val="16"/>
              </w:rPr>
            </w:pPr>
            <w:r w:rsidRPr="00F5382B">
              <w:rPr>
                <w:noProof/>
                <w:sz w:val="16"/>
                <w:szCs w:val="16"/>
              </w:rPr>
              <w:t xml:space="preserve">Support for critical sectors resilience </w:t>
            </w:r>
          </w:p>
        </w:tc>
        <w:tc>
          <w:tcPr>
            <w:tcW w:w="1499" w:type="dxa"/>
            <w:shd w:val="clear" w:color="auto" w:fill="F2DBDB" w:themeFill="accent2" w:themeFillTint="33"/>
          </w:tcPr>
          <w:p w14:paraId="1EDC91CA" w14:textId="77777777" w:rsidR="00EE3DF9" w:rsidRPr="00F5382B" w:rsidRDefault="00EE3DF9">
            <w:pPr>
              <w:rPr>
                <w:bCs/>
                <w:noProof/>
                <w:sz w:val="16"/>
                <w:szCs w:val="16"/>
              </w:rPr>
            </w:pPr>
          </w:p>
        </w:tc>
        <w:tc>
          <w:tcPr>
            <w:tcW w:w="595" w:type="dxa"/>
            <w:shd w:val="clear" w:color="auto" w:fill="F2DBDB" w:themeFill="accent2" w:themeFillTint="33"/>
          </w:tcPr>
          <w:p w14:paraId="0ED1AA5C" w14:textId="77777777" w:rsidR="00EE3DF9" w:rsidRPr="00F5382B" w:rsidRDefault="00EE3DF9">
            <w:pPr>
              <w:jc w:val="right"/>
              <w:rPr>
                <w:noProof/>
                <w:sz w:val="16"/>
                <w:szCs w:val="16"/>
              </w:rPr>
            </w:pPr>
            <w:r w:rsidRPr="00F5382B">
              <w:rPr>
                <w:noProof/>
                <w:sz w:val="16"/>
                <w:szCs w:val="16"/>
              </w:rPr>
              <w:t>5</w:t>
            </w:r>
          </w:p>
        </w:tc>
        <w:tc>
          <w:tcPr>
            <w:tcW w:w="709" w:type="dxa"/>
            <w:shd w:val="clear" w:color="auto" w:fill="F2DBDB" w:themeFill="accent2" w:themeFillTint="33"/>
          </w:tcPr>
          <w:p w14:paraId="1C8132D6" w14:textId="77777777" w:rsidR="00EE3DF9" w:rsidRPr="00F5382B" w:rsidRDefault="00EE3DF9">
            <w:pPr>
              <w:jc w:val="right"/>
              <w:rPr>
                <w:noProof/>
                <w:sz w:val="16"/>
                <w:szCs w:val="16"/>
              </w:rPr>
            </w:pPr>
            <w:r w:rsidRPr="00F5382B">
              <w:rPr>
                <w:noProof/>
                <w:sz w:val="16"/>
                <w:szCs w:val="16"/>
              </w:rPr>
              <w:t>5</w:t>
            </w:r>
          </w:p>
        </w:tc>
        <w:tc>
          <w:tcPr>
            <w:tcW w:w="992" w:type="dxa"/>
            <w:shd w:val="clear" w:color="auto" w:fill="F2DBDB" w:themeFill="accent2" w:themeFillTint="33"/>
          </w:tcPr>
          <w:p w14:paraId="2388040D" w14:textId="77777777" w:rsidR="00EE3DF9" w:rsidRPr="00F5382B" w:rsidRDefault="00EE3DF9">
            <w:pPr>
              <w:jc w:val="right"/>
              <w:rPr>
                <w:noProof/>
                <w:sz w:val="16"/>
                <w:szCs w:val="16"/>
              </w:rPr>
            </w:pPr>
            <w:r w:rsidRPr="00F5382B">
              <w:rPr>
                <w:noProof/>
                <w:sz w:val="16"/>
                <w:szCs w:val="16"/>
              </w:rPr>
              <w:t>5</w:t>
            </w:r>
          </w:p>
        </w:tc>
        <w:tc>
          <w:tcPr>
            <w:tcW w:w="851" w:type="dxa"/>
            <w:shd w:val="clear" w:color="auto" w:fill="F2DBDB" w:themeFill="accent2" w:themeFillTint="33"/>
          </w:tcPr>
          <w:p w14:paraId="34102510" w14:textId="77777777" w:rsidR="00EE3DF9" w:rsidRPr="00F5382B" w:rsidRDefault="00EE3DF9">
            <w:pPr>
              <w:jc w:val="right"/>
              <w:rPr>
                <w:noProof/>
                <w:sz w:val="16"/>
                <w:szCs w:val="16"/>
              </w:rPr>
            </w:pPr>
            <w:r w:rsidRPr="00F5382B">
              <w:rPr>
                <w:noProof/>
                <w:sz w:val="16"/>
                <w:szCs w:val="16"/>
              </w:rPr>
              <w:t>5</w:t>
            </w:r>
          </w:p>
        </w:tc>
        <w:tc>
          <w:tcPr>
            <w:tcW w:w="709" w:type="dxa"/>
            <w:shd w:val="clear" w:color="auto" w:fill="F2DBDB" w:themeFill="accent2" w:themeFillTint="33"/>
          </w:tcPr>
          <w:p w14:paraId="6A6AB572" w14:textId="77777777" w:rsidR="00EE3DF9" w:rsidRPr="00F5382B" w:rsidRDefault="00EE3DF9">
            <w:pPr>
              <w:jc w:val="right"/>
              <w:rPr>
                <w:noProof/>
                <w:sz w:val="16"/>
                <w:szCs w:val="16"/>
              </w:rPr>
            </w:pPr>
            <w:r w:rsidRPr="00F5382B">
              <w:rPr>
                <w:noProof/>
                <w:sz w:val="16"/>
                <w:szCs w:val="16"/>
              </w:rPr>
              <w:t>5</w:t>
            </w:r>
          </w:p>
        </w:tc>
        <w:tc>
          <w:tcPr>
            <w:tcW w:w="1275" w:type="dxa"/>
            <w:shd w:val="clear" w:color="auto" w:fill="F2DBDB" w:themeFill="accent2" w:themeFillTint="33"/>
          </w:tcPr>
          <w:p w14:paraId="1ABFC011" w14:textId="77777777" w:rsidR="00EE3DF9" w:rsidRPr="00F5382B" w:rsidRDefault="00EE3DF9">
            <w:pPr>
              <w:jc w:val="right"/>
              <w:rPr>
                <w:noProof/>
                <w:sz w:val="16"/>
                <w:szCs w:val="16"/>
              </w:rPr>
            </w:pPr>
            <w:r w:rsidRPr="00F5382B">
              <w:rPr>
                <w:bCs/>
                <w:noProof/>
                <w:sz w:val="16"/>
                <w:szCs w:val="16"/>
              </w:rPr>
              <w:t>641 385</w:t>
            </w:r>
          </w:p>
        </w:tc>
        <w:tc>
          <w:tcPr>
            <w:tcW w:w="1418" w:type="dxa"/>
            <w:shd w:val="clear" w:color="auto" w:fill="F2DBDB" w:themeFill="accent2" w:themeFillTint="33"/>
          </w:tcPr>
          <w:p w14:paraId="493803FF" w14:textId="77777777" w:rsidR="00EE3DF9" w:rsidRPr="00F5382B" w:rsidRDefault="00EE3DF9">
            <w:pPr>
              <w:jc w:val="right"/>
              <w:rPr>
                <w:noProof/>
                <w:sz w:val="16"/>
                <w:szCs w:val="16"/>
              </w:rPr>
            </w:pPr>
            <w:r w:rsidRPr="00F5382B">
              <w:rPr>
                <w:bCs/>
                <w:noProof/>
                <w:sz w:val="16"/>
                <w:szCs w:val="16"/>
              </w:rPr>
              <w:t>3 206 925</w:t>
            </w:r>
          </w:p>
        </w:tc>
      </w:tr>
      <w:tr w:rsidR="00EE3DF9" w:rsidRPr="00F5382B" w14:paraId="12E2A7E4" w14:textId="77777777">
        <w:tc>
          <w:tcPr>
            <w:tcW w:w="1303" w:type="dxa"/>
            <w:shd w:val="clear" w:color="auto" w:fill="F2DBDB" w:themeFill="accent2" w:themeFillTint="33"/>
          </w:tcPr>
          <w:p w14:paraId="27178FA8" w14:textId="77777777" w:rsidR="00EE3DF9" w:rsidRPr="00F5382B" w:rsidRDefault="00EE3DF9">
            <w:pPr>
              <w:rPr>
                <w:bCs/>
                <w:noProof/>
                <w:sz w:val="16"/>
                <w:szCs w:val="16"/>
              </w:rPr>
            </w:pPr>
            <w:r w:rsidRPr="00F5382B">
              <w:rPr>
                <w:bCs/>
                <w:noProof/>
                <w:sz w:val="16"/>
                <w:szCs w:val="16"/>
              </w:rPr>
              <w:t>Skills scheme development</w:t>
            </w:r>
          </w:p>
        </w:tc>
        <w:tc>
          <w:tcPr>
            <w:tcW w:w="1499" w:type="dxa"/>
            <w:shd w:val="clear" w:color="auto" w:fill="F2DBDB" w:themeFill="accent2" w:themeFillTint="33"/>
          </w:tcPr>
          <w:p w14:paraId="4DEEDD9F" w14:textId="77777777" w:rsidR="00EE3DF9" w:rsidRPr="00F5382B" w:rsidRDefault="00EE3DF9">
            <w:pPr>
              <w:rPr>
                <w:bCs/>
                <w:noProof/>
                <w:sz w:val="16"/>
                <w:szCs w:val="16"/>
              </w:rPr>
            </w:pPr>
          </w:p>
        </w:tc>
        <w:tc>
          <w:tcPr>
            <w:tcW w:w="595" w:type="dxa"/>
            <w:shd w:val="clear" w:color="auto" w:fill="F2DBDB" w:themeFill="accent2" w:themeFillTint="33"/>
          </w:tcPr>
          <w:p w14:paraId="5FB90270" w14:textId="77777777" w:rsidR="00EE3DF9" w:rsidRPr="00F5382B" w:rsidRDefault="00EE3DF9">
            <w:pPr>
              <w:jc w:val="right"/>
              <w:rPr>
                <w:noProof/>
                <w:sz w:val="16"/>
                <w:szCs w:val="16"/>
              </w:rPr>
            </w:pPr>
            <w:r w:rsidRPr="00F5382B">
              <w:rPr>
                <w:noProof/>
                <w:sz w:val="16"/>
                <w:szCs w:val="16"/>
              </w:rPr>
              <w:t>2</w:t>
            </w:r>
          </w:p>
        </w:tc>
        <w:tc>
          <w:tcPr>
            <w:tcW w:w="709" w:type="dxa"/>
            <w:shd w:val="clear" w:color="auto" w:fill="F2DBDB" w:themeFill="accent2" w:themeFillTint="33"/>
          </w:tcPr>
          <w:p w14:paraId="579F6F2F" w14:textId="77777777" w:rsidR="00EE3DF9" w:rsidRPr="00F5382B" w:rsidRDefault="00EE3DF9">
            <w:pPr>
              <w:jc w:val="right"/>
              <w:rPr>
                <w:noProof/>
                <w:sz w:val="16"/>
                <w:szCs w:val="16"/>
              </w:rPr>
            </w:pPr>
            <w:r w:rsidRPr="00F5382B">
              <w:rPr>
                <w:noProof/>
                <w:sz w:val="16"/>
                <w:szCs w:val="16"/>
              </w:rPr>
              <w:t>2</w:t>
            </w:r>
          </w:p>
        </w:tc>
        <w:tc>
          <w:tcPr>
            <w:tcW w:w="992" w:type="dxa"/>
            <w:shd w:val="clear" w:color="auto" w:fill="F2DBDB" w:themeFill="accent2" w:themeFillTint="33"/>
          </w:tcPr>
          <w:p w14:paraId="1A793884" w14:textId="77777777" w:rsidR="00EE3DF9" w:rsidRPr="00F5382B" w:rsidRDefault="00EE3DF9">
            <w:pPr>
              <w:jc w:val="right"/>
              <w:rPr>
                <w:noProof/>
                <w:sz w:val="16"/>
                <w:szCs w:val="16"/>
              </w:rPr>
            </w:pPr>
            <w:r w:rsidRPr="00F5382B">
              <w:rPr>
                <w:noProof/>
                <w:sz w:val="16"/>
                <w:szCs w:val="16"/>
              </w:rPr>
              <w:t>2</w:t>
            </w:r>
          </w:p>
        </w:tc>
        <w:tc>
          <w:tcPr>
            <w:tcW w:w="851" w:type="dxa"/>
            <w:shd w:val="clear" w:color="auto" w:fill="F2DBDB" w:themeFill="accent2" w:themeFillTint="33"/>
          </w:tcPr>
          <w:p w14:paraId="3779DCA5" w14:textId="77777777" w:rsidR="00EE3DF9" w:rsidRPr="00F5382B" w:rsidRDefault="00EE3DF9">
            <w:pPr>
              <w:jc w:val="right"/>
              <w:rPr>
                <w:noProof/>
                <w:sz w:val="16"/>
                <w:szCs w:val="16"/>
              </w:rPr>
            </w:pPr>
            <w:r w:rsidRPr="00F5382B">
              <w:rPr>
                <w:noProof/>
                <w:sz w:val="16"/>
                <w:szCs w:val="16"/>
              </w:rPr>
              <w:t>2</w:t>
            </w:r>
          </w:p>
        </w:tc>
        <w:tc>
          <w:tcPr>
            <w:tcW w:w="709" w:type="dxa"/>
            <w:shd w:val="clear" w:color="auto" w:fill="F2DBDB" w:themeFill="accent2" w:themeFillTint="33"/>
          </w:tcPr>
          <w:p w14:paraId="591284B9" w14:textId="77777777" w:rsidR="00EE3DF9" w:rsidRPr="00F5382B" w:rsidRDefault="00EE3DF9">
            <w:pPr>
              <w:jc w:val="right"/>
              <w:rPr>
                <w:noProof/>
                <w:sz w:val="16"/>
                <w:szCs w:val="16"/>
              </w:rPr>
            </w:pPr>
            <w:r w:rsidRPr="00F5382B">
              <w:rPr>
                <w:noProof/>
                <w:sz w:val="16"/>
                <w:szCs w:val="16"/>
              </w:rPr>
              <w:t>2</w:t>
            </w:r>
          </w:p>
        </w:tc>
        <w:tc>
          <w:tcPr>
            <w:tcW w:w="1275" w:type="dxa"/>
            <w:shd w:val="clear" w:color="auto" w:fill="F2DBDB" w:themeFill="accent2" w:themeFillTint="33"/>
          </w:tcPr>
          <w:p w14:paraId="367AA4CB" w14:textId="77777777" w:rsidR="00EE3DF9" w:rsidRPr="00F5382B" w:rsidRDefault="00EE3DF9">
            <w:pPr>
              <w:jc w:val="right"/>
              <w:rPr>
                <w:noProof/>
                <w:sz w:val="16"/>
                <w:szCs w:val="16"/>
              </w:rPr>
            </w:pPr>
            <w:r w:rsidRPr="00F5382B">
              <w:rPr>
                <w:noProof/>
                <w:sz w:val="16"/>
                <w:szCs w:val="16"/>
              </w:rPr>
              <w:t>256 554</w:t>
            </w:r>
          </w:p>
        </w:tc>
        <w:tc>
          <w:tcPr>
            <w:tcW w:w="1418" w:type="dxa"/>
            <w:shd w:val="clear" w:color="auto" w:fill="F2DBDB" w:themeFill="accent2" w:themeFillTint="33"/>
          </w:tcPr>
          <w:p w14:paraId="1A10D5B1" w14:textId="77777777" w:rsidR="00EE3DF9" w:rsidRPr="00F5382B" w:rsidRDefault="00EE3DF9">
            <w:pPr>
              <w:jc w:val="right"/>
              <w:rPr>
                <w:noProof/>
                <w:sz w:val="16"/>
                <w:szCs w:val="16"/>
              </w:rPr>
            </w:pPr>
            <w:r w:rsidRPr="00F5382B">
              <w:rPr>
                <w:noProof/>
                <w:sz w:val="16"/>
                <w:szCs w:val="16"/>
              </w:rPr>
              <w:t>1 282 770</w:t>
            </w:r>
          </w:p>
        </w:tc>
      </w:tr>
      <w:tr w:rsidR="00EE3DF9" w:rsidRPr="00F5382B" w14:paraId="27C18389" w14:textId="77777777">
        <w:trPr>
          <w:trHeight w:val="413"/>
        </w:trPr>
        <w:tc>
          <w:tcPr>
            <w:tcW w:w="1303" w:type="dxa"/>
            <w:shd w:val="clear" w:color="auto" w:fill="F2DBDB" w:themeFill="accent2" w:themeFillTint="33"/>
          </w:tcPr>
          <w:p w14:paraId="1C4F9F56" w14:textId="77777777" w:rsidR="00EE3DF9" w:rsidRPr="00F5382B" w:rsidRDefault="00EE3DF9">
            <w:pPr>
              <w:rPr>
                <w:bCs/>
                <w:noProof/>
                <w:sz w:val="16"/>
                <w:szCs w:val="16"/>
              </w:rPr>
            </w:pPr>
            <w:r w:rsidRPr="00F5382B">
              <w:rPr>
                <w:bCs/>
                <w:noProof/>
                <w:sz w:val="16"/>
                <w:szCs w:val="16"/>
              </w:rPr>
              <w:t>Skills scheme maintenance</w:t>
            </w:r>
          </w:p>
        </w:tc>
        <w:tc>
          <w:tcPr>
            <w:tcW w:w="1499" w:type="dxa"/>
            <w:shd w:val="clear" w:color="auto" w:fill="F2DBDB" w:themeFill="accent2" w:themeFillTint="33"/>
          </w:tcPr>
          <w:p w14:paraId="35A060FD" w14:textId="77777777" w:rsidR="00EE3DF9" w:rsidRPr="00F5382B" w:rsidRDefault="00EE3DF9">
            <w:pPr>
              <w:rPr>
                <w:bCs/>
                <w:noProof/>
                <w:sz w:val="16"/>
                <w:szCs w:val="16"/>
              </w:rPr>
            </w:pPr>
          </w:p>
        </w:tc>
        <w:tc>
          <w:tcPr>
            <w:tcW w:w="595" w:type="dxa"/>
            <w:shd w:val="clear" w:color="auto" w:fill="F2DBDB" w:themeFill="accent2" w:themeFillTint="33"/>
          </w:tcPr>
          <w:p w14:paraId="64B58CF8" w14:textId="77777777" w:rsidR="00EE3DF9" w:rsidRPr="00F5382B" w:rsidRDefault="00EE3DF9">
            <w:pPr>
              <w:jc w:val="right"/>
              <w:rPr>
                <w:noProof/>
                <w:sz w:val="16"/>
                <w:szCs w:val="16"/>
              </w:rPr>
            </w:pPr>
            <w:r w:rsidRPr="00F5382B">
              <w:rPr>
                <w:noProof/>
                <w:sz w:val="16"/>
                <w:szCs w:val="16"/>
              </w:rPr>
              <w:t>6</w:t>
            </w:r>
          </w:p>
        </w:tc>
        <w:tc>
          <w:tcPr>
            <w:tcW w:w="709" w:type="dxa"/>
            <w:shd w:val="clear" w:color="auto" w:fill="F2DBDB" w:themeFill="accent2" w:themeFillTint="33"/>
          </w:tcPr>
          <w:p w14:paraId="23EDF5BD" w14:textId="77777777" w:rsidR="00EE3DF9" w:rsidRPr="00F5382B" w:rsidRDefault="00EE3DF9">
            <w:pPr>
              <w:jc w:val="right"/>
              <w:rPr>
                <w:noProof/>
                <w:sz w:val="16"/>
                <w:szCs w:val="16"/>
              </w:rPr>
            </w:pPr>
            <w:r w:rsidRPr="00F5382B">
              <w:rPr>
                <w:noProof/>
                <w:sz w:val="16"/>
                <w:szCs w:val="16"/>
              </w:rPr>
              <w:t>6</w:t>
            </w:r>
          </w:p>
        </w:tc>
        <w:tc>
          <w:tcPr>
            <w:tcW w:w="992" w:type="dxa"/>
            <w:shd w:val="clear" w:color="auto" w:fill="F2DBDB" w:themeFill="accent2" w:themeFillTint="33"/>
          </w:tcPr>
          <w:p w14:paraId="7AF91FDC" w14:textId="77777777" w:rsidR="00EE3DF9" w:rsidRPr="00F5382B" w:rsidRDefault="00EE3DF9">
            <w:pPr>
              <w:jc w:val="right"/>
              <w:rPr>
                <w:noProof/>
                <w:sz w:val="16"/>
                <w:szCs w:val="16"/>
              </w:rPr>
            </w:pPr>
            <w:r w:rsidRPr="00F5382B">
              <w:rPr>
                <w:noProof/>
                <w:sz w:val="16"/>
                <w:szCs w:val="16"/>
              </w:rPr>
              <w:t>6</w:t>
            </w:r>
          </w:p>
        </w:tc>
        <w:tc>
          <w:tcPr>
            <w:tcW w:w="851" w:type="dxa"/>
            <w:shd w:val="clear" w:color="auto" w:fill="F2DBDB" w:themeFill="accent2" w:themeFillTint="33"/>
          </w:tcPr>
          <w:p w14:paraId="424830B6" w14:textId="77777777" w:rsidR="00EE3DF9" w:rsidRPr="00F5382B" w:rsidRDefault="00EE3DF9">
            <w:pPr>
              <w:jc w:val="right"/>
              <w:rPr>
                <w:noProof/>
                <w:sz w:val="16"/>
                <w:szCs w:val="16"/>
              </w:rPr>
            </w:pPr>
            <w:r w:rsidRPr="00F5382B">
              <w:rPr>
                <w:noProof/>
                <w:sz w:val="16"/>
                <w:szCs w:val="16"/>
              </w:rPr>
              <w:t>6</w:t>
            </w:r>
          </w:p>
        </w:tc>
        <w:tc>
          <w:tcPr>
            <w:tcW w:w="709" w:type="dxa"/>
            <w:shd w:val="clear" w:color="auto" w:fill="F2DBDB" w:themeFill="accent2" w:themeFillTint="33"/>
          </w:tcPr>
          <w:p w14:paraId="66817E45" w14:textId="77777777" w:rsidR="00EE3DF9" w:rsidRPr="00F5382B" w:rsidRDefault="00EE3DF9">
            <w:pPr>
              <w:jc w:val="right"/>
              <w:rPr>
                <w:noProof/>
                <w:sz w:val="16"/>
                <w:szCs w:val="16"/>
              </w:rPr>
            </w:pPr>
            <w:r w:rsidRPr="00F5382B">
              <w:rPr>
                <w:noProof/>
                <w:sz w:val="16"/>
                <w:szCs w:val="16"/>
              </w:rPr>
              <w:t>6</w:t>
            </w:r>
          </w:p>
        </w:tc>
        <w:tc>
          <w:tcPr>
            <w:tcW w:w="1275" w:type="dxa"/>
            <w:shd w:val="clear" w:color="auto" w:fill="F2DBDB" w:themeFill="accent2" w:themeFillTint="33"/>
          </w:tcPr>
          <w:p w14:paraId="10D61A33" w14:textId="77777777" w:rsidR="00EE3DF9" w:rsidRPr="00F5382B" w:rsidRDefault="00EE3DF9">
            <w:pPr>
              <w:jc w:val="right"/>
              <w:rPr>
                <w:noProof/>
                <w:sz w:val="16"/>
                <w:szCs w:val="16"/>
              </w:rPr>
            </w:pPr>
            <w:r w:rsidRPr="00F5382B">
              <w:rPr>
                <w:noProof/>
                <w:sz w:val="16"/>
                <w:szCs w:val="16"/>
              </w:rPr>
              <w:t>763 662</w:t>
            </w:r>
          </w:p>
        </w:tc>
        <w:tc>
          <w:tcPr>
            <w:tcW w:w="1418" w:type="dxa"/>
            <w:shd w:val="clear" w:color="auto" w:fill="F2DBDB" w:themeFill="accent2" w:themeFillTint="33"/>
          </w:tcPr>
          <w:p w14:paraId="00B7D70B" w14:textId="77777777" w:rsidR="00EE3DF9" w:rsidRPr="00F5382B" w:rsidRDefault="00EE3DF9">
            <w:pPr>
              <w:jc w:val="right"/>
              <w:rPr>
                <w:noProof/>
                <w:sz w:val="16"/>
                <w:szCs w:val="16"/>
              </w:rPr>
            </w:pPr>
            <w:r w:rsidRPr="00F5382B">
              <w:rPr>
                <w:noProof/>
                <w:sz w:val="16"/>
                <w:szCs w:val="16"/>
              </w:rPr>
              <w:t>3 848 310</w:t>
            </w:r>
          </w:p>
        </w:tc>
      </w:tr>
      <w:tr w:rsidR="00EE3DF9" w:rsidRPr="00F5382B" w14:paraId="742C1168" w14:textId="77777777">
        <w:trPr>
          <w:trHeight w:val="263"/>
        </w:trPr>
        <w:tc>
          <w:tcPr>
            <w:tcW w:w="1303" w:type="dxa"/>
            <w:shd w:val="clear" w:color="auto" w:fill="F2DBDB" w:themeFill="accent2" w:themeFillTint="33"/>
          </w:tcPr>
          <w:p w14:paraId="45DFDDA3" w14:textId="77777777" w:rsidR="00EE3DF9" w:rsidRPr="00F5382B" w:rsidRDefault="00EE3DF9">
            <w:pPr>
              <w:rPr>
                <w:bCs/>
                <w:noProof/>
                <w:sz w:val="16"/>
                <w:szCs w:val="16"/>
              </w:rPr>
            </w:pPr>
            <w:r w:rsidRPr="00F5382B">
              <w:rPr>
                <w:bCs/>
                <w:noProof/>
                <w:sz w:val="16"/>
                <w:szCs w:val="16"/>
              </w:rPr>
              <w:t>CRA platform</w:t>
            </w:r>
          </w:p>
        </w:tc>
        <w:tc>
          <w:tcPr>
            <w:tcW w:w="1499" w:type="dxa"/>
            <w:shd w:val="clear" w:color="auto" w:fill="F2DBDB" w:themeFill="accent2" w:themeFillTint="33"/>
          </w:tcPr>
          <w:p w14:paraId="38468467" w14:textId="77777777" w:rsidR="00EE3DF9" w:rsidRPr="00F5382B" w:rsidRDefault="00EE3DF9">
            <w:pPr>
              <w:rPr>
                <w:bCs/>
                <w:noProof/>
                <w:sz w:val="16"/>
                <w:szCs w:val="16"/>
              </w:rPr>
            </w:pPr>
            <w:r w:rsidRPr="00F5382B">
              <w:rPr>
                <w:bCs/>
                <w:noProof/>
                <w:sz w:val="16"/>
                <w:szCs w:val="16"/>
              </w:rPr>
              <w:t>Day-to-day mgmt.</w:t>
            </w:r>
          </w:p>
        </w:tc>
        <w:tc>
          <w:tcPr>
            <w:tcW w:w="595" w:type="dxa"/>
            <w:shd w:val="clear" w:color="auto" w:fill="F2DBDB" w:themeFill="accent2" w:themeFillTint="33"/>
          </w:tcPr>
          <w:p w14:paraId="04523ED6" w14:textId="77777777" w:rsidR="00EE3DF9" w:rsidRPr="00F5382B" w:rsidRDefault="00EE3DF9">
            <w:pPr>
              <w:jc w:val="right"/>
              <w:rPr>
                <w:b/>
                <w:noProof/>
                <w:sz w:val="16"/>
                <w:szCs w:val="16"/>
              </w:rPr>
            </w:pPr>
            <w:r w:rsidRPr="00F5382B">
              <w:rPr>
                <w:noProof/>
                <w:sz w:val="16"/>
                <w:szCs w:val="16"/>
              </w:rPr>
              <w:t>10</w:t>
            </w:r>
          </w:p>
        </w:tc>
        <w:tc>
          <w:tcPr>
            <w:tcW w:w="709" w:type="dxa"/>
            <w:shd w:val="clear" w:color="auto" w:fill="F2DBDB" w:themeFill="accent2" w:themeFillTint="33"/>
          </w:tcPr>
          <w:p w14:paraId="62413BEE" w14:textId="77777777" w:rsidR="00EE3DF9" w:rsidRPr="00F5382B" w:rsidRDefault="00EE3DF9">
            <w:pPr>
              <w:jc w:val="right"/>
              <w:rPr>
                <w:b/>
                <w:noProof/>
                <w:sz w:val="16"/>
                <w:szCs w:val="16"/>
              </w:rPr>
            </w:pPr>
            <w:r w:rsidRPr="00F5382B">
              <w:rPr>
                <w:noProof/>
                <w:sz w:val="16"/>
                <w:szCs w:val="16"/>
              </w:rPr>
              <w:t>10</w:t>
            </w:r>
          </w:p>
        </w:tc>
        <w:tc>
          <w:tcPr>
            <w:tcW w:w="992" w:type="dxa"/>
            <w:shd w:val="clear" w:color="auto" w:fill="F2DBDB" w:themeFill="accent2" w:themeFillTint="33"/>
          </w:tcPr>
          <w:p w14:paraId="7BA50F65" w14:textId="77777777" w:rsidR="00EE3DF9" w:rsidRPr="00F5382B" w:rsidRDefault="00EE3DF9">
            <w:pPr>
              <w:jc w:val="right"/>
              <w:rPr>
                <w:b/>
                <w:noProof/>
                <w:sz w:val="16"/>
                <w:szCs w:val="16"/>
              </w:rPr>
            </w:pPr>
            <w:r w:rsidRPr="00F5382B">
              <w:rPr>
                <w:noProof/>
                <w:sz w:val="16"/>
                <w:szCs w:val="16"/>
              </w:rPr>
              <w:t>10</w:t>
            </w:r>
          </w:p>
        </w:tc>
        <w:tc>
          <w:tcPr>
            <w:tcW w:w="851" w:type="dxa"/>
            <w:shd w:val="clear" w:color="auto" w:fill="F2DBDB" w:themeFill="accent2" w:themeFillTint="33"/>
          </w:tcPr>
          <w:p w14:paraId="064C9227" w14:textId="77777777" w:rsidR="00EE3DF9" w:rsidRPr="00F5382B" w:rsidRDefault="00EE3DF9">
            <w:pPr>
              <w:jc w:val="right"/>
              <w:rPr>
                <w:b/>
                <w:noProof/>
                <w:sz w:val="16"/>
                <w:szCs w:val="16"/>
              </w:rPr>
            </w:pPr>
            <w:r w:rsidRPr="00F5382B">
              <w:rPr>
                <w:noProof/>
                <w:sz w:val="16"/>
                <w:szCs w:val="16"/>
              </w:rPr>
              <w:t>10</w:t>
            </w:r>
          </w:p>
        </w:tc>
        <w:tc>
          <w:tcPr>
            <w:tcW w:w="709" w:type="dxa"/>
            <w:shd w:val="clear" w:color="auto" w:fill="F2DBDB" w:themeFill="accent2" w:themeFillTint="33"/>
          </w:tcPr>
          <w:p w14:paraId="428F8A68" w14:textId="77777777" w:rsidR="00EE3DF9" w:rsidRPr="00F5382B" w:rsidRDefault="00EE3DF9">
            <w:pPr>
              <w:jc w:val="right"/>
              <w:rPr>
                <w:b/>
                <w:noProof/>
                <w:sz w:val="16"/>
                <w:szCs w:val="16"/>
              </w:rPr>
            </w:pPr>
            <w:r w:rsidRPr="00F5382B">
              <w:rPr>
                <w:noProof/>
                <w:sz w:val="16"/>
                <w:szCs w:val="16"/>
              </w:rPr>
              <w:t>10</w:t>
            </w:r>
          </w:p>
        </w:tc>
        <w:tc>
          <w:tcPr>
            <w:tcW w:w="1275" w:type="dxa"/>
            <w:shd w:val="clear" w:color="auto" w:fill="F2DBDB" w:themeFill="accent2" w:themeFillTint="33"/>
          </w:tcPr>
          <w:p w14:paraId="17BD8004" w14:textId="77777777" w:rsidR="00EE3DF9" w:rsidRPr="00F5382B" w:rsidRDefault="00EE3DF9">
            <w:pPr>
              <w:jc w:val="right"/>
              <w:rPr>
                <w:b/>
                <w:noProof/>
                <w:sz w:val="16"/>
                <w:szCs w:val="16"/>
              </w:rPr>
            </w:pPr>
            <w:r w:rsidRPr="00F5382B">
              <w:rPr>
                <w:noProof/>
                <w:sz w:val="16"/>
                <w:szCs w:val="16"/>
              </w:rPr>
              <w:t>1 282 770</w:t>
            </w:r>
          </w:p>
        </w:tc>
        <w:tc>
          <w:tcPr>
            <w:tcW w:w="1418" w:type="dxa"/>
            <w:shd w:val="clear" w:color="auto" w:fill="F2DBDB" w:themeFill="accent2" w:themeFillTint="33"/>
          </w:tcPr>
          <w:p w14:paraId="5BE4D0D3" w14:textId="77777777" w:rsidR="00EE3DF9" w:rsidRPr="00F5382B" w:rsidRDefault="00EE3DF9">
            <w:pPr>
              <w:jc w:val="right"/>
              <w:rPr>
                <w:bCs/>
                <w:noProof/>
                <w:sz w:val="16"/>
                <w:szCs w:val="16"/>
              </w:rPr>
            </w:pPr>
            <w:r w:rsidRPr="00F5382B">
              <w:rPr>
                <w:bCs/>
                <w:noProof/>
                <w:sz w:val="16"/>
                <w:szCs w:val="16"/>
              </w:rPr>
              <w:t>6 413 850 </w:t>
            </w:r>
          </w:p>
        </w:tc>
      </w:tr>
      <w:tr w:rsidR="00EE3DF9" w:rsidRPr="00F5382B" w14:paraId="0533F757" w14:textId="77777777">
        <w:trPr>
          <w:trHeight w:val="423"/>
        </w:trPr>
        <w:tc>
          <w:tcPr>
            <w:tcW w:w="1303" w:type="dxa"/>
            <w:shd w:val="clear" w:color="auto" w:fill="F2DBDB" w:themeFill="accent2" w:themeFillTint="33"/>
          </w:tcPr>
          <w:p w14:paraId="59A4AC0E" w14:textId="77777777" w:rsidR="00EE3DF9" w:rsidRPr="00F5382B" w:rsidRDefault="00EE3DF9">
            <w:pPr>
              <w:rPr>
                <w:bCs/>
                <w:noProof/>
                <w:sz w:val="16"/>
                <w:szCs w:val="16"/>
              </w:rPr>
            </w:pPr>
            <w:r w:rsidRPr="00F5382B">
              <w:rPr>
                <w:bCs/>
                <w:noProof/>
                <w:sz w:val="16"/>
                <w:szCs w:val="16"/>
              </w:rPr>
              <w:t>CRA platform</w:t>
            </w:r>
          </w:p>
        </w:tc>
        <w:tc>
          <w:tcPr>
            <w:tcW w:w="1499" w:type="dxa"/>
            <w:shd w:val="clear" w:color="auto" w:fill="F2DBDB" w:themeFill="accent2" w:themeFillTint="33"/>
          </w:tcPr>
          <w:p w14:paraId="1D6976DF" w14:textId="77777777" w:rsidR="00EE3DF9" w:rsidRPr="00F5382B" w:rsidRDefault="00EE3DF9">
            <w:pPr>
              <w:rPr>
                <w:bCs/>
                <w:noProof/>
                <w:sz w:val="16"/>
                <w:szCs w:val="16"/>
              </w:rPr>
            </w:pPr>
            <w:r w:rsidRPr="00F5382B">
              <w:rPr>
                <w:bCs/>
                <w:noProof/>
                <w:sz w:val="16"/>
                <w:szCs w:val="16"/>
              </w:rPr>
              <w:t>Vulnerability analysis</w:t>
            </w:r>
          </w:p>
        </w:tc>
        <w:tc>
          <w:tcPr>
            <w:tcW w:w="595" w:type="dxa"/>
            <w:shd w:val="clear" w:color="auto" w:fill="F2DBDB" w:themeFill="accent2" w:themeFillTint="33"/>
          </w:tcPr>
          <w:p w14:paraId="7201FE0F" w14:textId="77777777" w:rsidR="00EE3DF9" w:rsidRPr="00F5382B" w:rsidRDefault="00EE3DF9">
            <w:pPr>
              <w:jc w:val="right"/>
              <w:rPr>
                <w:b/>
                <w:noProof/>
                <w:sz w:val="16"/>
                <w:szCs w:val="16"/>
              </w:rPr>
            </w:pPr>
            <w:r w:rsidRPr="00F5382B">
              <w:rPr>
                <w:bCs/>
                <w:noProof/>
                <w:sz w:val="16"/>
                <w:szCs w:val="16"/>
              </w:rPr>
              <w:t>5</w:t>
            </w:r>
          </w:p>
        </w:tc>
        <w:tc>
          <w:tcPr>
            <w:tcW w:w="709" w:type="dxa"/>
            <w:shd w:val="clear" w:color="auto" w:fill="F2DBDB" w:themeFill="accent2" w:themeFillTint="33"/>
          </w:tcPr>
          <w:p w14:paraId="517C765E" w14:textId="77777777" w:rsidR="00EE3DF9" w:rsidRPr="00F5382B" w:rsidRDefault="00EE3DF9">
            <w:pPr>
              <w:jc w:val="right"/>
              <w:rPr>
                <w:b/>
                <w:noProof/>
                <w:sz w:val="16"/>
                <w:szCs w:val="16"/>
              </w:rPr>
            </w:pPr>
            <w:r w:rsidRPr="00F5382B">
              <w:rPr>
                <w:bCs/>
                <w:noProof/>
                <w:sz w:val="16"/>
                <w:szCs w:val="16"/>
              </w:rPr>
              <w:t>5</w:t>
            </w:r>
          </w:p>
        </w:tc>
        <w:tc>
          <w:tcPr>
            <w:tcW w:w="992" w:type="dxa"/>
            <w:shd w:val="clear" w:color="auto" w:fill="F2DBDB" w:themeFill="accent2" w:themeFillTint="33"/>
          </w:tcPr>
          <w:p w14:paraId="2ED5C3CC" w14:textId="77777777" w:rsidR="00EE3DF9" w:rsidRPr="00F5382B" w:rsidRDefault="00EE3DF9">
            <w:pPr>
              <w:jc w:val="right"/>
              <w:rPr>
                <w:b/>
                <w:noProof/>
                <w:sz w:val="16"/>
                <w:szCs w:val="16"/>
              </w:rPr>
            </w:pPr>
            <w:r w:rsidRPr="00F5382B">
              <w:rPr>
                <w:bCs/>
                <w:noProof/>
                <w:sz w:val="16"/>
                <w:szCs w:val="16"/>
              </w:rPr>
              <w:t>5</w:t>
            </w:r>
          </w:p>
        </w:tc>
        <w:tc>
          <w:tcPr>
            <w:tcW w:w="851" w:type="dxa"/>
            <w:shd w:val="clear" w:color="auto" w:fill="F2DBDB" w:themeFill="accent2" w:themeFillTint="33"/>
          </w:tcPr>
          <w:p w14:paraId="59C5462B" w14:textId="77777777" w:rsidR="00EE3DF9" w:rsidRPr="00F5382B" w:rsidRDefault="00EE3DF9">
            <w:pPr>
              <w:jc w:val="right"/>
              <w:rPr>
                <w:b/>
                <w:noProof/>
                <w:sz w:val="16"/>
                <w:szCs w:val="16"/>
              </w:rPr>
            </w:pPr>
            <w:r w:rsidRPr="00F5382B">
              <w:rPr>
                <w:bCs/>
                <w:noProof/>
                <w:sz w:val="16"/>
                <w:szCs w:val="16"/>
              </w:rPr>
              <w:t>5</w:t>
            </w:r>
          </w:p>
        </w:tc>
        <w:tc>
          <w:tcPr>
            <w:tcW w:w="709" w:type="dxa"/>
            <w:shd w:val="clear" w:color="auto" w:fill="F2DBDB" w:themeFill="accent2" w:themeFillTint="33"/>
          </w:tcPr>
          <w:p w14:paraId="0021D064" w14:textId="77777777" w:rsidR="00EE3DF9" w:rsidRPr="00F5382B" w:rsidRDefault="00EE3DF9">
            <w:pPr>
              <w:jc w:val="right"/>
              <w:rPr>
                <w:b/>
                <w:noProof/>
                <w:sz w:val="16"/>
                <w:szCs w:val="16"/>
              </w:rPr>
            </w:pPr>
            <w:r w:rsidRPr="00F5382B">
              <w:rPr>
                <w:bCs/>
                <w:noProof/>
                <w:sz w:val="16"/>
                <w:szCs w:val="16"/>
              </w:rPr>
              <w:t>5</w:t>
            </w:r>
          </w:p>
        </w:tc>
        <w:tc>
          <w:tcPr>
            <w:tcW w:w="1275" w:type="dxa"/>
            <w:shd w:val="clear" w:color="auto" w:fill="F2DBDB" w:themeFill="accent2" w:themeFillTint="33"/>
          </w:tcPr>
          <w:p w14:paraId="2C444DF8" w14:textId="77777777" w:rsidR="00EE3DF9" w:rsidRPr="00F5382B" w:rsidRDefault="00EE3DF9">
            <w:pPr>
              <w:jc w:val="right"/>
              <w:rPr>
                <w:b/>
                <w:noProof/>
                <w:sz w:val="16"/>
                <w:szCs w:val="16"/>
              </w:rPr>
            </w:pPr>
            <w:r w:rsidRPr="00F5382B">
              <w:rPr>
                <w:bCs/>
                <w:noProof/>
                <w:sz w:val="16"/>
                <w:szCs w:val="16"/>
              </w:rPr>
              <w:t>641 385</w:t>
            </w:r>
          </w:p>
        </w:tc>
        <w:tc>
          <w:tcPr>
            <w:tcW w:w="1418" w:type="dxa"/>
            <w:shd w:val="clear" w:color="auto" w:fill="F2DBDB" w:themeFill="accent2" w:themeFillTint="33"/>
          </w:tcPr>
          <w:p w14:paraId="536FDB11" w14:textId="77777777" w:rsidR="00EE3DF9" w:rsidRPr="00F5382B" w:rsidRDefault="00EE3DF9">
            <w:pPr>
              <w:jc w:val="right"/>
              <w:rPr>
                <w:b/>
                <w:noProof/>
                <w:sz w:val="16"/>
                <w:szCs w:val="16"/>
              </w:rPr>
            </w:pPr>
            <w:r w:rsidRPr="00F5382B">
              <w:rPr>
                <w:bCs/>
                <w:noProof/>
                <w:sz w:val="16"/>
                <w:szCs w:val="16"/>
              </w:rPr>
              <w:t>3 206 925</w:t>
            </w:r>
          </w:p>
        </w:tc>
      </w:tr>
      <w:tr w:rsidR="00EE3DF9" w:rsidRPr="00F5382B" w14:paraId="661D5CAA" w14:textId="77777777">
        <w:trPr>
          <w:trHeight w:val="415"/>
        </w:trPr>
        <w:tc>
          <w:tcPr>
            <w:tcW w:w="1303" w:type="dxa"/>
            <w:shd w:val="clear" w:color="auto" w:fill="F2DBDB" w:themeFill="accent2" w:themeFillTint="33"/>
          </w:tcPr>
          <w:p w14:paraId="35A4881E" w14:textId="77777777" w:rsidR="00EE3DF9" w:rsidRPr="00F5382B" w:rsidRDefault="00EE3DF9">
            <w:pPr>
              <w:rPr>
                <w:bCs/>
                <w:noProof/>
                <w:sz w:val="16"/>
                <w:szCs w:val="16"/>
              </w:rPr>
            </w:pPr>
            <w:r w:rsidRPr="00F5382B">
              <w:rPr>
                <w:bCs/>
                <w:noProof/>
                <w:sz w:val="16"/>
                <w:szCs w:val="16"/>
              </w:rPr>
              <w:t xml:space="preserve">CRA platform extension </w:t>
            </w:r>
          </w:p>
        </w:tc>
        <w:tc>
          <w:tcPr>
            <w:tcW w:w="1499" w:type="dxa"/>
            <w:shd w:val="clear" w:color="auto" w:fill="F2DBDB" w:themeFill="accent2" w:themeFillTint="33"/>
          </w:tcPr>
          <w:p w14:paraId="0406B3A1" w14:textId="77777777" w:rsidR="00EE3DF9" w:rsidRPr="00F5382B" w:rsidRDefault="00EE3DF9">
            <w:pPr>
              <w:rPr>
                <w:bCs/>
                <w:noProof/>
                <w:sz w:val="16"/>
                <w:szCs w:val="16"/>
              </w:rPr>
            </w:pPr>
            <w:r w:rsidRPr="00F5382B">
              <w:rPr>
                <w:bCs/>
                <w:noProof/>
                <w:sz w:val="16"/>
                <w:szCs w:val="16"/>
              </w:rPr>
              <w:t>Single entry point</w:t>
            </w:r>
          </w:p>
        </w:tc>
        <w:tc>
          <w:tcPr>
            <w:tcW w:w="595" w:type="dxa"/>
            <w:shd w:val="clear" w:color="auto" w:fill="F2DBDB" w:themeFill="accent2" w:themeFillTint="33"/>
          </w:tcPr>
          <w:p w14:paraId="1025DAF8" w14:textId="77777777" w:rsidR="00EE3DF9" w:rsidRPr="00F5382B" w:rsidRDefault="00EE3DF9">
            <w:pPr>
              <w:jc w:val="right"/>
              <w:rPr>
                <w:noProof/>
                <w:sz w:val="16"/>
                <w:szCs w:val="16"/>
              </w:rPr>
            </w:pPr>
            <w:r w:rsidRPr="00F5382B">
              <w:rPr>
                <w:bCs/>
                <w:noProof/>
                <w:sz w:val="16"/>
                <w:szCs w:val="16"/>
              </w:rPr>
              <w:t>8</w:t>
            </w:r>
          </w:p>
        </w:tc>
        <w:tc>
          <w:tcPr>
            <w:tcW w:w="709" w:type="dxa"/>
            <w:shd w:val="clear" w:color="auto" w:fill="F2DBDB" w:themeFill="accent2" w:themeFillTint="33"/>
          </w:tcPr>
          <w:p w14:paraId="174E0768" w14:textId="77777777" w:rsidR="00EE3DF9" w:rsidRPr="00F5382B" w:rsidRDefault="00EE3DF9">
            <w:pPr>
              <w:jc w:val="right"/>
              <w:rPr>
                <w:noProof/>
                <w:sz w:val="16"/>
                <w:szCs w:val="16"/>
              </w:rPr>
            </w:pPr>
            <w:r w:rsidRPr="00F5382B">
              <w:rPr>
                <w:noProof/>
                <w:sz w:val="16"/>
                <w:szCs w:val="16"/>
              </w:rPr>
              <w:t>8</w:t>
            </w:r>
          </w:p>
        </w:tc>
        <w:tc>
          <w:tcPr>
            <w:tcW w:w="992" w:type="dxa"/>
            <w:shd w:val="clear" w:color="auto" w:fill="F2DBDB" w:themeFill="accent2" w:themeFillTint="33"/>
          </w:tcPr>
          <w:p w14:paraId="277ED3CF" w14:textId="77777777" w:rsidR="00EE3DF9" w:rsidRPr="00F5382B" w:rsidRDefault="00EE3DF9">
            <w:pPr>
              <w:jc w:val="right"/>
              <w:rPr>
                <w:noProof/>
                <w:sz w:val="16"/>
                <w:szCs w:val="16"/>
              </w:rPr>
            </w:pPr>
            <w:r w:rsidRPr="00F5382B">
              <w:rPr>
                <w:noProof/>
                <w:sz w:val="16"/>
                <w:szCs w:val="16"/>
              </w:rPr>
              <w:t>8</w:t>
            </w:r>
          </w:p>
        </w:tc>
        <w:tc>
          <w:tcPr>
            <w:tcW w:w="851" w:type="dxa"/>
            <w:shd w:val="clear" w:color="auto" w:fill="F2DBDB" w:themeFill="accent2" w:themeFillTint="33"/>
          </w:tcPr>
          <w:p w14:paraId="47907A6D" w14:textId="77777777" w:rsidR="00EE3DF9" w:rsidRPr="00F5382B" w:rsidRDefault="00EE3DF9">
            <w:pPr>
              <w:jc w:val="right"/>
              <w:rPr>
                <w:noProof/>
                <w:sz w:val="16"/>
                <w:szCs w:val="16"/>
              </w:rPr>
            </w:pPr>
            <w:r w:rsidRPr="00F5382B">
              <w:rPr>
                <w:noProof/>
                <w:sz w:val="16"/>
                <w:szCs w:val="16"/>
              </w:rPr>
              <w:t>8</w:t>
            </w:r>
          </w:p>
        </w:tc>
        <w:tc>
          <w:tcPr>
            <w:tcW w:w="709" w:type="dxa"/>
            <w:shd w:val="clear" w:color="auto" w:fill="F2DBDB" w:themeFill="accent2" w:themeFillTint="33"/>
          </w:tcPr>
          <w:p w14:paraId="0CB5735B" w14:textId="77777777" w:rsidR="00EE3DF9" w:rsidRPr="00F5382B" w:rsidRDefault="00EE3DF9">
            <w:pPr>
              <w:jc w:val="right"/>
              <w:rPr>
                <w:noProof/>
                <w:sz w:val="16"/>
                <w:szCs w:val="16"/>
              </w:rPr>
            </w:pPr>
            <w:r w:rsidRPr="00F5382B">
              <w:rPr>
                <w:noProof/>
                <w:sz w:val="16"/>
                <w:szCs w:val="16"/>
              </w:rPr>
              <w:t>8</w:t>
            </w:r>
          </w:p>
        </w:tc>
        <w:tc>
          <w:tcPr>
            <w:tcW w:w="1275" w:type="dxa"/>
            <w:shd w:val="clear" w:color="auto" w:fill="F2DBDB" w:themeFill="accent2" w:themeFillTint="33"/>
          </w:tcPr>
          <w:p w14:paraId="28170FAD" w14:textId="77777777" w:rsidR="00EE3DF9" w:rsidRPr="00F5382B" w:rsidRDefault="00EE3DF9">
            <w:pPr>
              <w:jc w:val="right"/>
              <w:rPr>
                <w:noProof/>
                <w:sz w:val="16"/>
                <w:szCs w:val="16"/>
              </w:rPr>
            </w:pPr>
            <w:r w:rsidRPr="00F5382B">
              <w:rPr>
                <w:noProof/>
                <w:sz w:val="16"/>
                <w:szCs w:val="16"/>
              </w:rPr>
              <w:t>1 026 216</w:t>
            </w:r>
          </w:p>
        </w:tc>
        <w:tc>
          <w:tcPr>
            <w:tcW w:w="1418" w:type="dxa"/>
            <w:shd w:val="clear" w:color="auto" w:fill="F2DBDB" w:themeFill="accent2" w:themeFillTint="33"/>
          </w:tcPr>
          <w:p w14:paraId="17C11A5F" w14:textId="77777777" w:rsidR="00EE3DF9" w:rsidRPr="00F5382B" w:rsidRDefault="00EE3DF9">
            <w:pPr>
              <w:jc w:val="right"/>
              <w:rPr>
                <w:noProof/>
                <w:sz w:val="16"/>
                <w:szCs w:val="16"/>
              </w:rPr>
            </w:pPr>
            <w:r w:rsidRPr="00F5382B">
              <w:rPr>
                <w:noProof/>
                <w:sz w:val="16"/>
                <w:szCs w:val="16"/>
              </w:rPr>
              <w:t>5 131 080</w:t>
            </w:r>
          </w:p>
        </w:tc>
      </w:tr>
      <w:tr w:rsidR="00EE3DF9" w:rsidRPr="00F5382B" w14:paraId="5351AA69" w14:textId="77777777">
        <w:trPr>
          <w:trHeight w:val="703"/>
        </w:trPr>
        <w:tc>
          <w:tcPr>
            <w:tcW w:w="1303" w:type="dxa"/>
            <w:shd w:val="clear" w:color="auto" w:fill="F2DBDB" w:themeFill="accent2" w:themeFillTint="33"/>
          </w:tcPr>
          <w:p w14:paraId="0F78E1C4" w14:textId="77777777" w:rsidR="00EE3DF9" w:rsidRPr="00F5382B" w:rsidRDefault="00EE3DF9">
            <w:pPr>
              <w:rPr>
                <w:bCs/>
                <w:noProof/>
                <w:sz w:val="16"/>
                <w:szCs w:val="16"/>
              </w:rPr>
            </w:pPr>
            <w:r w:rsidRPr="00F5382B">
              <w:rPr>
                <w:bCs/>
                <w:noProof/>
                <w:sz w:val="16"/>
                <w:szCs w:val="16"/>
              </w:rPr>
              <w:t>CRA implementation</w:t>
            </w:r>
          </w:p>
        </w:tc>
        <w:tc>
          <w:tcPr>
            <w:tcW w:w="1499" w:type="dxa"/>
            <w:shd w:val="clear" w:color="auto" w:fill="F2DBDB" w:themeFill="accent2" w:themeFillTint="33"/>
          </w:tcPr>
          <w:p w14:paraId="2B79E748" w14:textId="77777777" w:rsidR="00EE3DF9" w:rsidRPr="00F5382B" w:rsidRDefault="00EE3DF9">
            <w:pPr>
              <w:rPr>
                <w:bCs/>
                <w:noProof/>
                <w:sz w:val="16"/>
                <w:szCs w:val="16"/>
              </w:rPr>
            </w:pPr>
            <w:r w:rsidRPr="00F5382B">
              <w:rPr>
                <w:bCs/>
                <w:noProof/>
                <w:sz w:val="16"/>
                <w:szCs w:val="16"/>
              </w:rPr>
              <w:t>Technical guidance,  market analysis etc.</w:t>
            </w:r>
          </w:p>
        </w:tc>
        <w:tc>
          <w:tcPr>
            <w:tcW w:w="595" w:type="dxa"/>
            <w:shd w:val="clear" w:color="auto" w:fill="F2DBDB" w:themeFill="accent2" w:themeFillTint="33"/>
          </w:tcPr>
          <w:p w14:paraId="7EAA8F24" w14:textId="77777777" w:rsidR="00EE3DF9" w:rsidRPr="00F5382B" w:rsidRDefault="00EE3DF9">
            <w:pPr>
              <w:jc w:val="right"/>
              <w:rPr>
                <w:b/>
                <w:noProof/>
                <w:sz w:val="16"/>
                <w:szCs w:val="16"/>
              </w:rPr>
            </w:pPr>
            <w:r w:rsidRPr="00F5382B">
              <w:rPr>
                <w:noProof/>
                <w:sz w:val="16"/>
                <w:szCs w:val="16"/>
              </w:rPr>
              <w:t>8</w:t>
            </w:r>
          </w:p>
        </w:tc>
        <w:tc>
          <w:tcPr>
            <w:tcW w:w="709" w:type="dxa"/>
            <w:shd w:val="clear" w:color="auto" w:fill="F2DBDB" w:themeFill="accent2" w:themeFillTint="33"/>
          </w:tcPr>
          <w:p w14:paraId="70425E0C" w14:textId="77777777" w:rsidR="00EE3DF9" w:rsidRPr="00F5382B" w:rsidRDefault="00EE3DF9">
            <w:pPr>
              <w:jc w:val="right"/>
              <w:rPr>
                <w:b/>
                <w:noProof/>
                <w:sz w:val="16"/>
                <w:szCs w:val="16"/>
              </w:rPr>
            </w:pPr>
            <w:r w:rsidRPr="00F5382B">
              <w:rPr>
                <w:noProof/>
                <w:sz w:val="16"/>
                <w:szCs w:val="16"/>
              </w:rPr>
              <w:t>8</w:t>
            </w:r>
          </w:p>
        </w:tc>
        <w:tc>
          <w:tcPr>
            <w:tcW w:w="992" w:type="dxa"/>
            <w:shd w:val="clear" w:color="auto" w:fill="F2DBDB" w:themeFill="accent2" w:themeFillTint="33"/>
          </w:tcPr>
          <w:p w14:paraId="3D1EE9DF" w14:textId="77777777" w:rsidR="00EE3DF9" w:rsidRPr="00F5382B" w:rsidRDefault="00EE3DF9">
            <w:pPr>
              <w:jc w:val="right"/>
              <w:rPr>
                <w:b/>
                <w:noProof/>
                <w:sz w:val="16"/>
                <w:szCs w:val="16"/>
              </w:rPr>
            </w:pPr>
            <w:r w:rsidRPr="00F5382B">
              <w:rPr>
                <w:noProof/>
                <w:sz w:val="16"/>
                <w:szCs w:val="16"/>
              </w:rPr>
              <w:t>8</w:t>
            </w:r>
          </w:p>
        </w:tc>
        <w:tc>
          <w:tcPr>
            <w:tcW w:w="851" w:type="dxa"/>
            <w:shd w:val="clear" w:color="auto" w:fill="F2DBDB" w:themeFill="accent2" w:themeFillTint="33"/>
          </w:tcPr>
          <w:p w14:paraId="65FEDF0F" w14:textId="77777777" w:rsidR="00EE3DF9" w:rsidRPr="00F5382B" w:rsidRDefault="00EE3DF9">
            <w:pPr>
              <w:jc w:val="right"/>
              <w:rPr>
                <w:b/>
                <w:noProof/>
                <w:sz w:val="16"/>
                <w:szCs w:val="16"/>
              </w:rPr>
            </w:pPr>
            <w:r w:rsidRPr="00F5382B">
              <w:rPr>
                <w:noProof/>
                <w:sz w:val="16"/>
                <w:szCs w:val="16"/>
              </w:rPr>
              <w:t>8</w:t>
            </w:r>
          </w:p>
        </w:tc>
        <w:tc>
          <w:tcPr>
            <w:tcW w:w="709" w:type="dxa"/>
            <w:shd w:val="clear" w:color="auto" w:fill="F2DBDB" w:themeFill="accent2" w:themeFillTint="33"/>
          </w:tcPr>
          <w:p w14:paraId="7DC0347D" w14:textId="77777777" w:rsidR="00EE3DF9" w:rsidRPr="00F5382B" w:rsidRDefault="00EE3DF9">
            <w:pPr>
              <w:jc w:val="right"/>
              <w:rPr>
                <w:b/>
                <w:noProof/>
                <w:sz w:val="16"/>
                <w:szCs w:val="16"/>
              </w:rPr>
            </w:pPr>
            <w:r w:rsidRPr="00F5382B">
              <w:rPr>
                <w:noProof/>
                <w:sz w:val="16"/>
                <w:szCs w:val="16"/>
              </w:rPr>
              <w:t>8</w:t>
            </w:r>
          </w:p>
        </w:tc>
        <w:tc>
          <w:tcPr>
            <w:tcW w:w="1275" w:type="dxa"/>
            <w:shd w:val="clear" w:color="auto" w:fill="F2DBDB" w:themeFill="accent2" w:themeFillTint="33"/>
          </w:tcPr>
          <w:p w14:paraId="51AA8AC8" w14:textId="77777777" w:rsidR="00EE3DF9" w:rsidRPr="00F5382B" w:rsidRDefault="00EE3DF9">
            <w:pPr>
              <w:jc w:val="right"/>
              <w:rPr>
                <w:b/>
                <w:noProof/>
                <w:sz w:val="16"/>
                <w:szCs w:val="16"/>
              </w:rPr>
            </w:pPr>
            <w:r w:rsidRPr="00F5382B">
              <w:rPr>
                <w:noProof/>
                <w:sz w:val="16"/>
                <w:szCs w:val="16"/>
              </w:rPr>
              <w:t>1 026 216</w:t>
            </w:r>
          </w:p>
        </w:tc>
        <w:tc>
          <w:tcPr>
            <w:tcW w:w="1418" w:type="dxa"/>
            <w:shd w:val="clear" w:color="auto" w:fill="F2DBDB" w:themeFill="accent2" w:themeFillTint="33"/>
          </w:tcPr>
          <w:p w14:paraId="169AFFBD" w14:textId="77777777" w:rsidR="00EE3DF9" w:rsidRPr="00F5382B" w:rsidRDefault="00EE3DF9">
            <w:pPr>
              <w:jc w:val="right"/>
              <w:rPr>
                <w:bCs/>
                <w:noProof/>
                <w:sz w:val="16"/>
                <w:szCs w:val="16"/>
              </w:rPr>
            </w:pPr>
            <w:r w:rsidRPr="00F5382B">
              <w:rPr>
                <w:bCs/>
                <w:noProof/>
                <w:sz w:val="16"/>
                <w:szCs w:val="16"/>
              </w:rPr>
              <w:t>5 131 080</w:t>
            </w:r>
          </w:p>
        </w:tc>
      </w:tr>
      <w:tr w:rsidR="00EE3DF9" w:rsidRPr="00F5382B" w14:paraId="38EB4DB7" w14:textId="77777777">
        <w:trPr>
          <w:trHeight w:val="375"/>
        </w:trPr>
        <w:tc>
          <w:tcPr>
            <w:tcW w:w="1303" w:type="dxa"/>
            <w:shd w:val="clear" w:color="auto" w:fill="F2DBDB" w:themeFill="accent2" w:themeFillTint="33"/>
          </w:tcPr>
          <w:p w14:paraId="7F03532F" w14:textId="77777777" w:rsidR="00EE3DF9" w:rsidRPr="00F5382B" w:rsidRDefault="00EE3DF9">
            <w:pPr>
              <w:rPr>
                <w:bCs/>
                <w:noProof/>
                <w:sz w:val="16"/>
                <w:szCs w:val="16"/>
              </w:rPr>
            </w:pPr>
            <w:r w:rsidRPr="00F5382B">
              <w:rPr>
                <w:bCs/>
                <w:noProof/>
                <w:sz w:val="16"/>
                <w:szCs w:val="16"/>
              </w:rPr>
              <w:t>CRA implementation</w:t>
            </w:r>
          </w:p>
        </w:tc>
        <w:tc>
          <w:tcPr>
            <w:tcW w:w="1499" w:type="dxa"/>
            <w:shd w:val="clear" w:color="auto" w:fill="F2DBDB" w:themeFill="accent2" w:themeFillTint="33"/>
          </w:tcPr>
          <w:p w14:paraId="3D9B387F" w14:textId="77777777" w:rsidR="00EE3DF9" w:rsidRPr="00F5382B" w:rsidRDefault="00EE3DF9">
            <w:pPr>
              <w:rPr>
                <w:bCs/>
                <w:noProof/>
                <w:sz w:val="16"/>
                <w:szCs w:val="16"/>
              </w:rPr>
            </w:pPr>
            <w:r w:rsidRPr="00F5382B">
              <w:rPr>
                <w:bCs/>
                <w:noProof/>
                <w:sz w:val="16"/>
                <w:szCs w:val="16"/>
              </w:rPr>
              <w:t>Standardisation</w:t>
            </w:r>
          </w:p>
        </w:tc>
        <w:tc>
          <w:tcPr>
            <w:tcW w:w="595" w:type="dxa"/>
            <w:shd w:val="clear" w:color="auto" w:fill="F2DBDB" w:themeFill="accent2" w:themeFillTint="33"/>
          </w:tcPr>
          <w:p w14:paraId="06D334E2" w14:textId="77777777" w:rsidR="00EE3DF9" w:rsidRPr="00F5382B" w:rsidRDefault="00EE3DF9">
            <w:pPr>
              <w:jc w:val="right"/>
              <w:rPr>
                <w:noProof/>
                <w:sz w:val="16"/>
                <w:szCs w:val="16"/>
              </w:rPr>
            </w:pPr>
            <w:r w:rsidRPr="00F5382B">
              <w:rPr>
                <w:bCs/>
                <w:noProof/>
                <w:sz w:val="16"/>
                <w:szCs w:val="16"/>
              </w:rPr>
              <w:t>5</w:t>
            </w:r>
          </w:p>
        </w:tc>
        <w:tc>
          <w:tcPr>
            <w:tcW w:w="709" w:type="dxa"/>
            <w:shd w:val="clear" w:color="auto" w:fill="F2DBDB" w:themeFill="accent2" w:themeFillTint="33"/>
          </w:tcPr>
          <w:p w14:paraId="6FA08649" w14:textId="77777777" w:rsidR="00EE3DF9" w:rsidRPr="00F5382B" w:rsidRDefault="00EE3DF9">
            <w:pPr>
              <w:jc w:val="right"/>
              <w:rPr>
                <w:noProof/>
                <w:sz w:val="16"/>
                <w:szCs w:val="16"/>
              </w:rPr>
            </w:pPr>
            <w:r w:rsidRPr="00F5382B">
              <w:rPr>
                <w:bCs/>
                <w:noProof/>
                <w:sz w:val="16"/>
                <w:szCs w:val="16"/>
              </w:rPr>
              <w:t>5</w:t>
            </w:r>
          </w:p>
        </w:tc>
        <w:tc>
          <w:tcPr>
            <w:tcW w:w="992" w:type="dxa"/>
            <w:shd w:val="clear" w:color="auto" w:fill="F2DBDB" w:themeFill="accent2" w:themeFillTint="33"/>
          </w:tcPr>
          <w:p w14:paraId="7C4C8398" w14:textId="77777777" w:rsidR="00EE3DF9" w:rsidRPr="00F5382B" w:rsidRDefault="00EE3DF9">
            <w:pPr>
              <w:jc w:val="right"/>
              <w:rPr>
                <w:noProof/>
                <w:sz w:val="16"/>
                <w:szCs w:val="16"/>
              </w:rPr>
            </w:pPr>
            <w:r w:rsidRPr="00F5382B">
              <w:rPr>
                <w:bCs/>
                <w:noProof/>
                <w:sz w:val="16"/>
                <w:szCs w:val="16"/>
              </w:rPr>
              <w:t>5</w:t>
            </w:r>
          </w:p>
        </w:tc>
        <w:tc>
          <w:tcPr>
            <w:tcW w:w="851" w:type="dxa"/>
            <w:shd w:val="clear" w:color="auto" w:fill="F2DBDB" w:themeFill="accent2" w:themeFillTint="33"/>
          </w:tcPr>
          <w:p w14:paraId="1E615FC6" w14:textId="77777777" w:rsidR="00EE3DF9" w:rsidRPr="00F5382B" w:rsidRDefault="00EE3DF9">
            <w:pPr>
              <w:jc w:val="right"/>
              <w:rPr>
                <w:noProof/>
                <w:sz w:val="16"/>
                <w:szCs w:val="16"/>
              </w:rPr>
            </w:pPr>
            <w:r w:rsidRPr="00F5382B">
              <w:rPr>
                <w:bCs/>
                <w:noProof/>
                <w:sz w:val="16"/>
                <w:szCs w:val="16"/>
              </w:rPr>
              <w:t>5</w:t>
            </w:r>
          </w:p>
        </w:tc>
        <w:tc>
          <w:tcPr>
            <w:tcW w:w="709" w:type="dxa"/>
            <w:shd w:val="clear" w:color="auto" w:fill="F2DBDB" w:themeFill="accent2" w:themeFillTint="33"/>
          </w:tcPr>
          <w:p w14:paraId="18A3E4A8" w14:textId="77777777" w:rsidR="00EE3DF9" w:rsidRPr="00F5382B" w:rsidRDefault="00EE3DF9">
            <w:pPr>
              <w:jc w:val="right"/>
              <w:rPr>
                <w:noProof/>
                <w:sz w:val="16"/>
                <w:szCs w:val="16"/>
              </w:rPr>
            </w:pPr>
            <w:r w:rsidRPr="00F5382B">
              <w:rPr>
                <w:bCs/>
                <w:noProof/>
                <w:sz w:val="16"/>
                <w:szCs w:val="16"/>
              </w:rPr>
              <w:t>5</w:t>
            </w:r>
          </w:p>
        </w:tc>
        <w:tc>
          <w:tcPr>
            <w:tcW w:w="1275" w:type="dxa"/>
            <w:shd w:val="clear" w:color="auto" w:fill="F2DBDB" w:themeFill="accent2" w:themeFillTint="33"/>
          </w:tcPr>
          <w:p w14:paraId="6287BD92" w14:textId="77777777" w:rsidR="00EE3DF9" w:rsidRPr="00F5382B" w:rsidRDefault="00EE3DF9">
            <w:pPr>
              <w:jc w:val="right"/>
              <w:rPr>
                <w:noProof/>
                <w:sz w:val="16"/>
                <w:szCs w:val="16"/>
              </w:rPr>
            </w:pPr>
            <w:r w:rsidRPr="00F5382B">
              <w:rPr>
                <w:bCs/>
                <w:noProof/>
                <w:sz w:val="16"/>
                <w:szCs w:val="16"/>
              </w:rPr>
              <w:t>641 385</w:t>
            </w:r>
          </w:p>
        </w:tc>
        <w:tc>
          <w:tcPr>
            <w:tcW w:w="1418" w:type="dxa"/>
            <w:shd w:val="clear" w:color="auto" w:fill="F2DBDB" w:themeFill="accent2" w:themeFillTint="33"/>
          </w:tcPr>
          <w:p w14:paraId="0C808141" w14:textId="77777777" w:rsidR="00EE3DF9" w:rsidRPr="00F5382B" w:rsidRDefault="00EE3DF9">
            <w:pPr>
              <w:jc w:val="right"/>
              <w:rPr>
                <w:bCs/>
                <w:noProof/>
                <w:sz w:val="16"/>
                <w:szCs w:val="16"/>
              </w:rPr>
            </w:pPr>
            <w:r w:rsidRPr="00F5382B">
              <w:rPr>
                <w:bCs/>
                <w:noProof/>
                <w:sz w:val="16"/>
                <w:szCs w:val="16"/>
              </w:rPr>
              <w:t>3 206 925</w:t>
            </w:r>
          </w:p>
        </w:tc>
      </w:tr>
      <w:tr w:rsidR="00EE3DF9" w:rsidRPr="00F5382B" w14:paraId="1AED6A3E" w14:textId="77777777">
        <w:trPr>
          <w:trHeight w:val="375"/>
        </w:trPr>
        <w:tc>
          <w:tcPr>
            <w:tcW w:w="1303" w:type="dxa"/>
            <w:shd w:val="clear" w:color="auto" w:fill="F2DBDB" w:themeFill="accent2" w:themeFillTint="33"/>
          </w:tcPr>
          <w:p w14:paraId="36113AAD" w14:textId="77777777" w:rsidR="00EE3DF9" w:rsidRPr="00F5382B" w:rsidRDefault="00EE3DF9">
            <w:pPr>
              <w:rPr>
                <w:bCs/>
                <w:noProof/>
                <w:sz w:val="16"/>
                <w:szCs w:val="16"/>
              </w:rPr>
            </w:pPr>
            <w:r w:rsidRPr="00F5382B">
              <w:rPr>
                <w:bCs/>
                <w:noProof/>
                <w:sz w:val="16"/>
                <w:szCs w:val="16"/>
              </w:rPr>
              <w:t>CRA implementation</w:t>
            </w:r>
          </w:p>
        </w:tc>
        <w:tc>
          <w:tcPr>
            <w:tcW w:w="1499" w:type="dxa"/>
            <w:shd w:val="clear" w:color="auto" w:fill="F2DBDB" w:themeFill="accent2" w:themeFillTint="33"/>
          </w:tcPr>
          <w:p w14:paraId="4E04C67B" w14:textId="77777777" w:rsidR="00EE3DF9" w:rsidRPr="00F5382B" w:rsidRDefault="00EE3DF9">
            <w:pPr>
              <w:rPr>
                <w:bCs/>
                <w:noProof/>
                <w:sz w:val="16"/>
                <w:szCs w:val="16"/>
              </w:rPr>
            </w:pPr>
            <w:r w:rsidRPr="00F5382B">
              <w:rPr>
                <w:bCs/>
                <w:noProof/>
                <w:sz w:val="16"/>
                <w:szCs w:val="16"/>
              </w:rPr>
              <w:t>Market surveillance</w:t>
            </w:r>
          </w:p>
        </w:tc>
        <w:tc>
          <w:tcPr>
            <w:tcW w:w="595" w:type="dxa"/>
            <w:shd w:val="clear" w:color="auto" w:fill="F2DBDB" w:themeFill="accent2" w:themeFillTint="33"/>
          </w:tcPr>
          <w:p w14:paraId="283F290A" w14:textId="77777777" w:rsidR="00EE3DF9" w:rsidRPr="00F5382B" w:rsidRDefault="00EE3DF9">
            <w:pPr>
              <w:jc w:val="right"/>
              <w:rPr>
                <w:b/>
                <w:noProof/>
                <w:sz w:val="16"/>
                <w:szCs w:val="16"/>
              </w:rPr>
            </w:pPr>
            <w:r w:rsidRPr="00F5382B">
              <w:rPr>
                <w:bCs/>
                <w:noProof/>
                <w:sz w:val="16"/>
                <w:szCs w:val="16"/>
              </w:rPr>
              <w:t>5</w:t>
            </w:r>
          </w:p>
        </w:tc>
        <w:tc>
          <w:tcPr>
            <w:tcW w:w="709" w:type="dxa"/>
            <w:shd w:val="clear" w:color="auto" w:fill="F2DBDB" w:themeFill="accent2" w:themeFillTint="33"/>
          </w:tcPr>
          <w:p w14:paraId="1A161BA2" w14:textId="77777777" w:rsidR="00EE3DF9" w:rsidRPr="00F5382B" w:rsidRDefault="00EE3DF9">
            <w:pPr>
              <w:jc w:val="right"/>
              <w:rPr>
                <w:b/>
                <w:noProof/>
                <w:sz w:val="16"/>
                <w:szCs w:val="16"/>
              </w:rPr>
            </w:pPr>
            <w:r w:rsidRPr="00F5382B">
              <w:rPr>
                <w:bCs/>
                <w:noProof/>
                <w:sz w:val="16"/>
                <w:szCs w:val="16"/>
              </w:rPr>
              <w:t>5</w:t>
            </w:r>
          </w:p>
        </w:tc>
        <w:tc>
          <w:tcPr>
            <w:tcW w:w="992" w:type="dxa"/>
            <w:shd w:val="clear" w:color="auto" w:fill="F2DBDB" w:themeFill="accent2" w:themeFillTint="33"/>
          </w:tcPr>
          <w:p w14:paraId="5D2ED5C4" w14:textId="77777777" w:rsidR="00EE3DF9" w:rsidRPr="00F5382B" w:rsidRDefault="00EE3DF9">
            <w:pPr>
              <w:jc w:val="right"/>
              <w:rPr>
                <w:b/>
                <w:noProof/>
                <w:sz w:val="16"/>
                <w:szCs w:val="16"/>
              </w:rPr>
            </w:pPr>
            <w:r w:rsidRPr="00F5382B">
              <w:rPr>
                <w:bCs/>
                <w:noProof/>
                <w:sz w:val="16"/>
                <w:szCs w:val="16"/>
              </w:rPr>
              <w:t>5</w:t>
            </w:r>
          </w:p>
        </w:tc>
        <w:tc>
          <w:tcPr>
            <w:tcW w:w="851" w:type="dxa"/>
            <w:shd w:val="clear" w:color="auto" w:fill="F2DBDB" w:themeFill="accent2" w:themeFillTint="33"/>
          </w:tcPr>
          <w:p w14:paraId="68CB97B8" w14:textId="77777777" w:rsidR="00EE3DF9" w:rsidRPr="00F5382B" w:rsidRDefault="00EE3DF9">
            <w:pPr>
              <w:jc w:val="right"/>
              <w:rPr>
                <w:b/>
                <w:noProof/>
                <w:sz w:val="16"/>
                <w:szCs w:val="16"/>
              </w:rPr>
            </w:pPr>
            <w:r w:rsidRPr="00F5382B">
              <w:rPr>
                <w:bCs/>
                <w:noProof/>
                <w:sz w:val="16"/>
                <w:szCs w:val="16"/>
              </w:rPr>
              <w:t>5</w:t>
            </w:r>
          </w:p>
        </w:tc>
        <w:tc>
          <w:tcPr>
            <w:tcW w:w="709" w:type="dxa"/>
            <w:shd w:val="clear" w:color="auto" w:fill="F2DBDB" w:themeFill="accent2" w:themeFillTint="33"/>
          </w:tcPr>
          <w:p w14:paraId="65884DAD" w14:textId="77777777" w:rsidR="00EE3DF9" w:rsidRPr="00F5382B" w:rsidRDefault="00EE3DF9">
            <w:pPr>
              <w:jc w:val="right"/>
              <w:rPr>
                <w:b/>
                <w:noProof/>
                <w:sz w:val="16"/>
                <w:szCs w:val="16"/>
              </w:rPr>
            </w:pPr>
            <w:r w:rsidRPr="00F5382B">
              <w:rPr>
                <w:bCs/>
                <w:noProof/>
                <w:sz w:val="16"/>
                <w:szCs w:val="16"/>
              </w:rPr>
              <w:t>5</w:t>
            </w:r>
          </w:p>
        </w:tc>
        <w:tc>
          <w:tcPr>
            <w:tcW w:w="1275" w:type="dxa"/>
            <w:shd w:val="clear" w:color="auto" w:fill="F2DBDB" w:themeFill="accent2" w:themeFillTint="33"/>
          </w:tcPr>
          <w:p w14:paraId="3918CBE7" w14:textId="77777777" w:rsidR="00EE3DF9" w:rsidRPr="00F5382B" w:rsidRDefault="00EE3DF9">
            <w:pPr>
              <w:jc w:val="right"/>
              <w:rPr>
                <w:b/>
                <w:noProof/>
                <w:sz w:val="16"/>
                <w:szCs w:val="16"/>
              </w:rPr>
            </w:pPr>
            <w:r w:rsidRPr="00F5382B">
              <w:rPr>
                <w:bCs/>
                <w:noProof/>
                <w:sz w:val="16"/>
                <w:szCs w:val="16"/>
              </w:rPr>
              <w:t>641 385</w:t>
            </w:r>
          </w:p>
        </w:tc>
        <w:tc>
          <w:tcPr>
            <w:tcW w:w="1418" w:type="dxa"/>
            <w:shd w:val="clear" w:color="auto" w:fill="F2DBDB" w:themeFill="accent2" w:themeFillTint="33"/>
          </w:tcPr>
          <w:p w14:paraId="07531F88" w14:textId="77777777" w:rsidR="00EE3DF9" w:rsidRPr="00F5382B" w:rsidRDefault="00EE3DF9">
            <w:pPr>
              <w:jc w:val="right"/>
              <w:rPr>
                <w:bCs/>
                <w:noProof/>
                <w:sz w:val="16"/>
                <w:szCs w:val="16"/>
              </w:rPr>
            </w:pPr>
            <w:r w:rsidRPr="00F5382B">
              <w:rPr>
                <w:bCs/>
                <w:noProof/>
                <w:sz w:val="16"/>
                <w:szCs w:val="16"/>
              </w:rPr>
              <w:t>3 206 925</w:t>
            </w:r>
          </w:p>
        </w:tc>
      </w:tr>
      <w:tr w:rsidR="00EE3DF9" w:rsidRPr="00F5382B" w14:paraId="7954AB70" w14:textId="77777777">
        <w:trPr>
          <w:trHeight w:val="423"/>
        </w:trPr>
        <w:tc>
          <w:tcPr>
            <w:tcW w:w="1303" w:type="dxa"/>
            <w:shd w:val="clear" w:color="auto" w:fill="F2DBDB" w:themeFill="accent2" w:themeFillTint="33"/>
          </w:tcPr>
          <w:p w14:paraId="21118B17" w14:textId="77777777" w:rsidR="00EE3DF9" w:rsidRPr="00F5382B" w:rsidRDefault="00EE3DF9">
            <w:pPr>
              <w:rPr>
                <w:bCs/>
                <w:noProof/>
                <w:sz w:val="16"/>
                <w:szCs w:val="16"/>
              </w:rPr>
            </w:pPr>
            <w:r w:rsidRPr="00F5382B">
              <w:rPr>
                <w:bCs/>
                <w:noProof/>
                <w:sz w:val="16"/>
                <w:szCs w:val="16"/>
              </w:rPr>
              <w:t>CRA implementation</w:t>
            </w:r>
          </w:p>
        </w:tc>
        <w:tc>
          <w:tcPr>
            <w:tcW w:w="1499" w:type="dxa"/>
            <w:shd w:val="clear" w:color="auto" w:fill="F2DBDB" w:themeFill="accent2" w:themeFillTint="33"/>
          </w:tcPr>
          <w:p w14:paraId="3911BE88" w14:textId="77777777" w:rsidR="00EE3DF9" w:rsidRPr="00F5382B" w:rsidRDefault="00EE3DF9">
            <w:pPr>
              <w:rPr>
                <w:bCs/>
                <w:noProof/>
                <w:sz w:val="16"/>
                <w:szCs w:val="16"/>
              </w:rPr>
            </w:pPr>
            <w:r w:rsidRPr="00F5382B">
              <w:rPr>
                <w:bCs/>
                <w:noProof/>
                <w:sz w:val="16"/>
                <w:szCs w:val="16"/>
              </w:rPr>
              <w:t xml:space="preserve">Testing and security evaluations </w:t>
            </w:r>
          </w:p>
        </w:tc>
        <w:tc>
          <w:tcPr>
            <w:tcW w:w="595" w:type="dxa"/>
            <w:shd w:val="clear" w:color="auto" w:fill="F2DBDB" w:themeFill="accent2" w:themeFillTint="33"/>
          </w:tcPr>
          <w:p w14:paraId="78C744B0" w14:textId="77777777" w:rsidR="00EE3DF9" w:rsidRPr="00F5382B" w:rsidRDefault="00EE3DF9">
            <w:pPr>
              <w:jc w:val="right"/>
              <w:rPr>
                <w:b/>
                <w:noProof/>
                <w:sz w:val="16"/>
                <w:szCs w:val="16"/>
              </w:rPr>
            </w:pPr>
            <w:r w:rsidRPr="00F5382B">
              <w:rPr>
                <w:noProof/>
                <w:sz w:val="16"/>
                <w:szCs w:val="16"/>
              </w:rPr>
              <w:t>4</w:t>
            </w:r>
          </w:p>
        </w:tc>
        <w:tc>
          <w:tcPr>
            <w:tcW w:w="709" w:type="dxa"/>
            <w:shd w:val="clear" w:color="auto" w:fill="F2DBDB" w:themeFill="accent2" w:themeFillTint="33"/>
          </w:tcPr>
          <w:p w14:paraId="0FA3199D" w14:textId="77777777" w:rsidR="00EE3DF9" w:rsidRPr="00F5382B" w:rsidRDefault="00EE3DF9">
            <w:pPr>
              <w:jc w:val="right"/>
              <w:rPr>
                <w:b/>
                <w:noProof/>
                <w:sz w:val="16"/>
                <w:szCs w:val="16"/>
              </w:rPr>
            </w:pPr>
            <w:r w:rsidRPr="00F5382B">
              <w:rPr>
                <w:noProof/>
                <w:sz w:val="16"/>
                <w:szCs w:val="16"/>
              </w:rPr>
              <w:t>4</w:t>
            </w:r>
          </w:p>
        </w:tc>
        <w:tc>
          <w:tcPr>
            <w:tcW w:w="992" w:type="dxa"/>
            <w:shd w:val="clear" w:color="auto" w:fill="F2DBDB" w:themeFill="accent2" w:themeFillTint="33"/>
          </w:tcPr>
          <w:p w14:paraId="7F1A514E" w14:textId="77777777" w:rsidR="00EE3DF9" w:rsidRPr="00F5382B" w:rsidRDefault="00EE3DF9">
            <w:pPr>
              <w:jc w:val="right"/>
              <w:rPr>
                <w:b/>
                <w:noProof/>
                <w:sz w:val="16"/>
                <w:szCs w:val="16"/>
              </w:rPr>
            </w:pPr>
            <w:r w:rsidRPr="00F5382B">
              <w:rPr>
                <w:noProof/>
                <w:sz w:val="16"/>
                <w:szCs w:val="16"/>
              </w:rPr>
              <w:t>4</w:t>
            </w:r>
          </w:p>
        </w:tc>
        <w:tc>
          <w:tcPr>
            <w:tcW w:w="851" w:type="dxa"/>
            <w:shd w:val="clear" w:color="auto" w:fill="F2DBDB" w:themeFill="accent2" w:themeFillTint="33"/>
          </w:tcPr>
          <w:p w14:paraId="2FAE2329" w14:textId="77777777" w:rsidR="00EE3DF9" w:rsidRPr="00F5382B" w:rsidRDefault="00EE3DF9">
            <w:pPr>
              <w:jc w:val="right"/>
              <w:rPr>
                <w:b/>
                <w:noProof/>
                <w:sz w:val="16"/>
                <w:szCs w:val="16"/>
              </w:rPr>
            </w:pPr>
            <w:r w:rsidRPr="00F5382B">
              <w:rPr>
                <w:noProof/>
                <w:sz w:val="16"/>
                <w:szCs w:val="16"/>
              </w:rPr>
              <w:t>4</w:t>
            </w:r>
          </w:p>
        </w:tc>
        <w:tc>
          <w:tcPr>
            <w:tcW w:w="709" w:type="dxa"/>
            <w:shd w:val="clear" w:color="auto" w:fill="F2DBDB" w:themeFill="accent2" w:themeFillTint="33"/>
          </w:tcPr>
          <w:p w14:paraId="46879F41" w14:textId="77777777" w:rsidR="00EE3DF9" w:rsidRPr="00F5382B" w:rsidRDefault="00EE3DF9">
            <w:pPr>
              <w:jc w:val="right"/>
              <w:rPr>
                <w:b/>
                <w:noProof/>
                <w:sz w:val="16"/>
                <w:szCs w:val="16"/>
              </w:rPr>
            </w:pPr>
            <w:r w:rsidRPr="00F5382B">
              <w:rPr>
                <w:noProof/>
                <w:sz w:val="16"/>
                <w:szCs w:val="16"/>
              </w:rPr>
              <w:t>4</w:t>
            </w:r>
          </w:p>
        </w:tc>
        <w:tc>
          <w:tcPr>
            <w:tcW w:w="1275" w:type="dxa"/>
            <w:shd w:val="clear" w:color="auto" w:fill="F2DBDB" w:themeFill="accent2" w:themeFillTint="33"/>
          </w:tcPr>
          <w:p w14:paraId="5BF565C4" w14:textId="77777777" w:rsidR="00EE3DF9" w:rsidRPr="00F5382B" w:rsidRDefault="00EE3DF9">
            <w:pPr>
              <w:jc w:val="right"/>
              <w:rPr>
                <w:b/>
                <w:noProof/>
                <w:sz w:val="16"/>
                <w:szCs w:val="16"/>
              </w:rPr>
            </w:pPr>
            <w:r w:rsidRPr="00F5382B">
              <w:rPr>
                <w:noProof/>
                <w:sz w:val="16"/>
                <w:szCs w:val="16"/>
              </w:rPr>
              <w:t>513 108</w:t>
            </w:r>
          </w:p>
        </w:tc>
        <w:tc>
          <w:tcPr>
            <w:tcW w:w="1418" w:type="dxa"/>
            <w:shd w:val="clear" w:color="auto" w:fill="F2DBDB" w:themeFill="accent2" w:themeFillTint="33"/>
          </w:tcPr>
          <w:p w14:paraId="704DF248" w14:textId="77777777" w:rsidR="00EE3DF9" w:rsidRPr="00F5382B" w:rsidRDefault="00EE3DF9">
            <w:pPr>
              <w:jc w:val="right"/>
              <w:rPr>
                <w:bCs/>
                <w:noProof/>
                <w:sz w:val="16"/>
                <w:szCs w:val="16"/>
              </w:rPr>
            </w:pPr>
            <w:r w:rsidRPr="00F5382B">
              <w:rPr>
                <w:noProof/>
                <w:sz w:val="16"/>
                <w:szCs w:val="16"/>
              </w:rPr>
              <w:t>2 565 540</w:t>
            </w:r>
          </w:p>
        </w:tc>
      </w:tr>
      <w:tr w:rsidR="00EE3DF9" w:rsidRPr="00F5382B" w14:paraId="41B31EA3" w14:textId="77777777">
        <w:trPr>
          <w:trHeight w:val="272"/>
        </w:trPr>
        <w:tc>
          <w:tcPr>
            <w:tcW w:w="1303" w:type="dxa"/>
            <w:shd w:val="clear" w:color="auto" w:fill="F2DBDB" w:themeFill="accent2" w:themeFillTint="33"/>
          </w:tcPr>
          <w:p w14:paraId="4041EE7C" w14:textId="77777777" w:rsidR="00EE3DF9" w:rsidRPr="00F5382B" w:rsidRDefault="00EE3DF9">
            <w:pPr>
              <w:rPr>
                <w:bCs/>
                <w:noProof/>
                <w:sz w:val="16"/>
                <w:szCs w:val="16"/>
              </w:rPr>
            </w:pPr>
            <w:r w:rsidRPr="00F5382B">
              <w:rPr>
                <w:bCs/>
                <w:noProof/>
                <w:sz w:val="16"/>
                <w:szCs w:val="16"/>
              </w:rPr>
              <w:t>Operational cooperation</w:t>
            </w:r>
          </w:p>
        </w:tc>
        <w:tc>
          <w:tcPr>
            <w:tcW w:w="1499" w:type="dxa"/>
            <w:shd w:val="clear" w:color="auto" w:fill="F2DBDB" w:themeFill="accent2" w:themeFillTint="33"/>
          </w:tcPr>
          <w:p w14:paraId="3C66DC32" w14:textId="77777777" w:rsidR="00EE3DF9" w:rsidRPr="00F5382B" w:rsidRDefault="00EE3DF9">
            <w:pPr>
              <w:rPr>
                <w:bCs/>
                <w:noProof/>
                <w:sz w:val="16"/>
                <w:szCs w:val="16"/>
              </w:rPr>
            </w:pPr>
          </w:p>
        </w:tc>
        <w:tc>
          <w:tcPr>
            <w:tcW w:w="595" w:type="dxa"/>
            <w:shd w:val="clear" w:color="auto" w:fill="F2DBDB" w:themeFill="accent2" w:themeFillTint="33"/>
          </w:tcPr>
          <w:p w14:paraId="511A3923" w14:textId="77777777" w:rsidR="00EE3DF9" w:rsidRPr="00F5382B" w:rsidRDefault="00EE3DF9">
            <w:pPr>
              <w:jc w:val="right"/>
              <w:rPr>
                <w:bCs/>
                <w:noProof/>
                <w:sz w:val="16"/>
                <w:szCs w:val="16"/>
              </w:rPr>
            </w:pPr>
            <w:r w:rsidRPr="00F5382B">
              <w:rPr>
                <w:bCs/>
                <w:noProof/>
                <w:sz w:val="16"/>
                <w:szCs w:val="16"/>
              </w:rPr>
              <w:t>5</w:t>
            </w:r>
          </w:p>
        </w:tc>
        <w:tc>
          <w:tcPr>
            <w:tcW w:w="709" w:type="dxa"/>
            <w:shd w:val="clear" w:color="auto" w:fill="F2DBDB" w:themeFill="accent2" w:themeFillTint="33"/>
          </w:tcPr>
          <w:p w14:paraId="760EDEC9" w14:textId="77777777" w:rsidR="00EE3DF9" w:rsidRPr="00F5382B" w:rsidRDefault="00EE3DF9">
            <w:pPr>
              <w:jc w:val="right"/>
              <w:rPr>
                <w:bCs/>
                <w:noProof/>
                <w:sz w:val="16"/>
                <w:szCs w:val="16"/>
              </w:rPr>
            </w:pPr>
            <w:r w:rsidRPr="00F5382B">
              <w:rPr>
                <w:bCs/>
                <w:noProof/>
                <w:sz w:val="16"/>
                <w:szCs w:val="16"/>
              </w:rPr>
              <w:t>5</w:t>
            </w:r>
          </w:p>
        </w:tc>
        <w:tc>
          <w:tcPr>
            <w:tcW w:w="992" w:type="dxa"/>
            <w:shd w:val="clear" w:color="auto" w:fill="F2DBDB" w:themeFill="accent2" w:themeFillTint="33"/>
          </w:tcPr>
          <w:p w14:paraId="3385B484" w14:textId="77777777" w:rsidR="00EE3DF9" w:rsidRPr="00F5382B" w:rsidRDefault="00EE3DF9">
            <w:pPr>
              <w:jc w:val="right"/>
              <w:rPr>
                <w:bCs/>
                <w:noProof/>
                <w:sz w:val="16"/>
                <w:szCs w:val="16"/>
              </w:rPr>
            </w:pPr>
            <w:r w:rsidRPr="00F5382B">
              <w:rPr>
                <w:bCs/>
                <w:noProof/>
                <w:sz w:val="16"/>
                <w:szCs w:val="16"/>
              </w:rPr>
              <w:t>5</w:t>
            </w:r>
          </w:p>
        </w:tc>
        <w:tc>
          <w:tcPr>
            <w:tcW w:w="851" w:type="dxa"/>
            <w:shd w:val="clear" w:color="auto" w:fill="F2DBDB" w:themeFill="accent2" w:themeFillTint="33"/>
          </w:tcPr>
          <w:p w14:paraId="2B6AEA38" w14:textId="77777777" w:rsidR="00EE3DF9" w:rsidRPr="00F5382B" w:rsidRDefault="00EE3DF9">
            <w:pPr>
              <w:jc w:val="right"/>
              <w:rPr>
                <w:bCs/>
                <w:noProof/>
                <w:sz w:val="16"/>
                <w:szCs w:val="16"/>
              </w:rPr>
            </w:pPr>
            <w:r w:rsidRPr="00F5382B">
              <w:rPr>
                <w:bCs/>
                <w:noProof/>
                <w:sz w:val="16"/>
                <w:szCs w:val="16"/>
              </w:rPr>
              <w:t>5</w:t>
            </w:r>
          </w:p>
        </w:tc>
        <w:tc>
          <w:tcPr>
            <w:tcW w:w="709" w:type="dxa"/>
            <w:shd w:val="clear" w:color="auto" w:fill="F2DBDB" w:themeFill="accent2" w:themeFillTint="33"/>
          </w:tcPr>
          <w:p w14:paraId="3FA83E03" w14:textId="77777777" w:rsidR="00EE3DF9" w:rsidRPr="00F5382B" w:rsidRDefault="00EE3DF9">
            <w:pPr>
              <w:jc w:val="right"/>
              <w:rPr>
                <w:bCs/>
                <w:noProof/>
                <w:sz w:val="16"/>
                <w:szCs w:val="16"/>
              </w:rPr>
            </w:pPr>
            <w:r w:rsidRPr="00F5382B">
              <w:rPr>
                <w:bCs/>
                <w:noProof/>
                <w:sz w:val="16"/>
                <w:szCs w:val="16"/>
              </w:rPr>
              <w:t>5</w:t>
            </w:r>
          </w:p>
        </w:tc>
        <w:tc>
          <w:tcPr>
            <w:tcW w:w="1275" w:type="dxa"/>
            <w:shd w:val="clear" w:color="auto" w:fill="F2DBDB" w:themeFill="accent2" w:themeFillTint="33"/>
          </w:tcPr>
          <w:p w14:paraId="345FC07F" w14:textId="77777777" w:rsidR="00EE3DF9" w:rsidRPr="00F5382B" w:rsidRDefault="00EE3DF9">
            <w:pPr>
              <w:jc w:val="right"/>
              <w:rPr>
                <w:bCs/>
                <w:noProof/>
                <w:sz w:val="16"/>
                <w:szCs w:val="16"/>
              </w:rPr>
            </w:pPr>
            <w:r w:rsidRPr="00F5382B">
              <w:rPr>
                <w:bCs/>
                <w:noProof/>
                <w:sz w:val="16"/>
                <w:szCs w:val="16"/>
              </w:rPr>
              <w:t>641 385</w:t>
            </w:r>
          </w:p>
        </w:tc>
        <w:tc>
          <w:tcPr>
            <w:tcW w:w="1418" w:type="dxa"/>
            <w:shd w:val="clear" w:color="auto" w:fill="F2DBDB" w:themeFill="accent2" w:themeFillTint="33"/>
          </w:tcPr>
          <w:p w14:paraId="5868A5F2" w14:textId="77777777" w:rsidR="00EE3DF9" w:rsidRPr="00F5382B" w:rsidRDefault="00EE3DF9">
            <w:pPr>
              <w:jc w:val="right"/>
              <w:rPr>
                <w:bCs/>
                <w:noProof/>
                <w:sz w:val="16"/>
                <w:szCs w:val="16"/>
              </w:rPr>
            </w:pPr>
            <w:r w:rsidRPr="00F5382B">
              <w:rPr>
                <w:bCs/>
                <w:noProof/>
                <w:sz w:val="16"/>
                <w:szCs w:val="16"/>
              </w:rPr>
              <w:t>3 206 925</w:t>
            </w:r>
          </w:p>
        </w:tc>
      </w:tr>
      <w:tr w:rsidR="00EE3DF9" w:rsidRPr="00F5382B" w14:paraId="2CDFED19" w14:textId="77777777">
        <w:trPr>
          <w:trHeight w:val="321"/>
        </w:trPr>
        <w:tc>
          <w:tcPr>
            <w:tcW w:w="1303" w:type="dxa"/>
            <w:shd w:val="clear" w:color="auto" w:fill="F2DBDB" w:themeFill="accent2" w:themeFillTint="33"/>
          </w:tcPr>
          <w:p w14:paraId="0FAB385F" w14:textId="77777777" w:rsidR="00EE3DF9" w:rsidRPr="00F5382B" w:rsidRDefault="00EE3DF9">
            <w:pPr>
              <w:rPr>
                <w:bCs/>
                <w:noProof/>
                <w:sz w:val="16"/>
                <w:szCs w:val="16"/>
              </w:rPr>
            </w:pPr>
            <w:r w:rsidRPr="00F5382B">
              <w:rPr>
                <w:bCs/>
                <w:noProof/>
                <w:sz w:val="16"/>
                <w:szCs w:val="16"/>
              </w:rPr>
              <w:t>Admin</w:t>
            </w:r>
          </w:p>
        </w:tc>
        <w:tc>
          <w:tcPr>
            <w:tcW w:w="1499" w:type="dxa"/>
            <w:shd w:val="clear" w:color="auto" w:fill="F2DBDB" w:themeFill="accent2" w:themeFillTint="33"/>
          </w:tcPr>
          <w:p w14:paraId="369E503B" w14:textId="77777777" w:rsidR="00EE3DF9" w:rsidRPr="00F5382B" w:rsidRDefault="00EE3DF9">
            <w:pPr>
              <w:rPr>
                <w:b/>
                <w:noProof/>
                <w:sz w:val="16"/>
                <w:szCs w:val="16"/>
              </w:rPr>
            </w:pPr>
          </w:p>
        </w:tc>
        <w:tc>
          <w:tcPr>
            <w:tcW w:w="595" w:type="dxa"/>
            <w:shd w:val="clear" w:color="auto" w:fill="F2DBDB" w:themeFill="accent2" w:themeFillTint="33"/>
          </w:tcPr>
          <w:p w14:paraId="7278B85A" w14:textId="77777777" w:rsidR="00EE3DF9" w:rsidRPr="00F5382B" w:rsidRDefault="00EE3DF9">
            <w:pPr>
              <w:jc w:val="right"/>
              <w:rPr>
                <w:bCs/>
                <w:noProof/>
                <w:sz w:val="16"/>
                <w:szCs w:val="16"/>
              </w:rPr>
            </w:pPr>
            <w:r w:rsidRPr="00F5382B">
              <w:rPr>
                <w:noProof/>
                <w:sz w:val="16"/>
                <w:szCs w:val="16"/>
              </w:rPr>
              <w:t>10</w:t>
            </w:r>
          </w:p>
        </w:tc>
        <w:tc>
          <w:tcPr>
            <w:tcW w:w="709" w:type="dxa"/>
            <w:shd w:val="clear" w:color="auto" w:fill="F2DBDB" w:themeFill="accent2" w:themeFillTint="33"/>
          </w:tcPr>
          <w:p w14:paraId="1C455B7E" w14:textId="77777777" w:rsidR="00EE3DF9" w:rsidRPr="00F5382B" w:rsidRDefault="00EE3DF9">
            <w:pPr>
              <w:jc w:val="right"/>
              <w:rPr>
                <w:bCs/>
                <w:noProof/>
                <w:sz w:val="16"/>
                <w:szCs w:val="16"/>
              </w:rPr>
            </w:pPr>
            <w:r w:rsidRPr="00F5382B">
              <w:rPr>
                <w:noProof/>
                <w:sz w:val="16"/>
                <w:szCs w:val="16"/>
              </w:rPr>
              <w:t>10</w:t>
            </w:r>
          </w:p>
        </w:tc>
        <w:tc>
          <w:tcPr>
            <w:tcW w:w="992" w:type="dxa"/>
            <w:shd w:val="clear" w:color="auto" w:fill="F2DBDB" w:themeFill="accent2" w:themeFillTint="33"/>
          </w:tcPr>
          <w:p w14:paraId="2BD3C1EC" w14:textId="77777777" w:rsidR="00EE3DF9" w:rsidRPr="00F5382B" w:rsidRDefault="00EE3DF9">
            <w:pPr>
              <w:jc w:val="right"/>
              <w:rPr>
                <w:bCs/>
                <w:noProof/>
                <w:sz w:val="16"/>
                <w:szCs w:val="16"/>
              </w:rPr>
            </w:pPr>
            <w:r w:rsidRPr="00F5382B">
              <w:rPr>
                <w:noProof/>
                <w:sz w:val="16"/>
                <w:szCs w:val="16"/>
              </w:rPr>
              <w:t>10</w:t>
            </w:r>
          </w:p>
        </w:tc>
        <w:tc>
          <w:tcPr>
            <w:tcW w:w="851" w:type="dxa"/>
            <w:shd w:val="clear" w:color="auto" w:fill="F2DBDB" w:themeFill="accent2" w:themeFillTint="33"/>
          </w:tcPr>
          <w:p w14:paraId="75C349B5" w14:textId="77777777" w:rsidR="00EE3DF9" w:rsidRPr="00F5382B" w:rsidRDefault="00EE3DF9">
            <w:pPr>
              <w:jc w:val="right"/>
              <w:rPr>
                <w:bCs/>
                <w:noProof/>
                <w:sz w:val="16"/>
                <w:szCs w:val="16"/>
              </w:rPr>
            </w:pPr>
            <w:r w:rsidRPr="00F5382B">
              <w:rPr>
                <w:noProof/>
                <w:sz w:val="16"/>
                <w:szCs w:val="16"/>
              </w:rPr>
              <w:t>10</w:t>
            </w:r>
          </w:p>
        </w:tc>
        <w:tc>
          <w:tcPr>
            <w:tcW w:w="709" w:type="dxa"/>
            <w:shd w:val="clear" w:color="auto" w:fill="F2DBDB" w:themeFill="accent2" w:themeFillTint="33"/>
          </w:tcPr>
          <w:p w14:paraId="5FEF8FD3" w14:textId="77777777" w:rsidR="00EE3DF9" w:rsidRPr="00F5382B" w:rsidRDefault="00EE3DF9">
            <w:pPr>
              <w:jc w:val="right"/>
              <w:rPr>
                <w:bCs/>
                <w:noProof/>
                <w:sz w:val="16"/>
                <w:szCs w:val="16"/>
              </w:rPr>
            </w:pPr>
            <w:r w:rsidRPr="00F5382B">
              <w:rPr>
                <w:noProof/>
                <w:sz w:val="16"/>
                <w:szCs w:val="16"/>
              </w:rPr>
              <w:t>10</w:t>
            </w:r>
          </w:p>
        </w:tc>
        <w:tc>
          <w:tcPr>
            <w:tcW w:w="1275" w:type="dxa"/>
            <w:shd w:val="clear" w:color="auto" w:fill="F2DBDB" w:themeFill="accent2" w:themeFillTint="33"/>
          </w:tcPr>
          <w:p w14:paraId="046D8139" w14:textId="77777777" w:rsidR="00EE3DF9" w:rsidRPr="00F5382B" w:rsidRDefault="00EE3DF9">
            <w:pPr>
              <w:jc w:val="right"/>
              <w:rPr>
                <w:b/>
                <w:noProof/>
                <w:sz w:val="16"/>
                <w:szCs w:val="16"/>
              </w:rPr>
            </w:pPr>
            <w:r w:rsidRPr="00F5382B">
              <w:rPr>
                <w:noProof/>
                <w:sz w:val="16"/>
                <w:szCs w:val="16"/>
              </w:rPr>
              <w:t>1 282 770</w:t>
            </w:r>
          </w:p>
        </w:tc>
        <w:tc>
          <w:tcPr>
            <w:tcW w:w="1418" w:type="dxa"/>
            <w:shd w:val="clear" w:color="auto" w:fill="F2DBDB" w:themeFill="accent2" w:themeFillTint="33"/>
          </w:tcPr>
          <w:p w14:paraId="78032CF0" w14:textId="77777777" w:rsidR="00EE3DF9" w:rsidRPr="00F5382B" w:rsidRDefault="00EE3DF9">
            <w:pPr>
              <w:jc w:val="right"/>
              <w:rPr>
                <w:bCs/>
                <w:noProof/>
                <w:sz w:val="16"/>
                <w:szCs w:val="16"/>
              </w:rPr>
            </w:pPr>
            <w:r w:rsidRPr="00F5382B">
              <w:rPr>
                <w:noProof/>
                <w:sz w:val="16"/>
                <w:szCs w:val="16"/>
              </w:rPr>
              <w:t>6 413 850</w:t>
            </w:r>
          </w:p>
        </w:tc>
      </w:tr>
      <w:tr w:rsidR="00EE3DF9" w:rsidRPr="00F5382B" w14:paraId="25814338" w14:textId="77777777">
        <w:trPr>
          <w:trHeight w:val="553"/>
        </w:trPr>
        <w:tc>
          <w:tcPr>
            <w:tcW w:w="1303" w:type="dxa"/>
            <w:shd w:val="clear" w:color="auto" w:fill="F2DBDB" w:themeFill="accent2" w:themeFillTint="33"/>
          </w:tcPr>
          <w:p w14:paraId="25979FF1" w14:textId="77777777" w:rsidR="00EE3DF9" w:rsidRPr="00F5382B" w:rsidRDefault="00EE3DF9">
            <w:pPr>
              <w:rPr>
                <w:b/>
                <w:noProof/>
                <w:sz w:val="16"/>
                <w:szCs w:val="16"/>
              </w:rPr>
            </w:pPr>
            <w:r w:rsidRPr="00F5382B">
              <w:rPr>
                <w:b/>
                <w:noProof/>
                <w:sz w:val="16"/>
                <w:szCs w:val="16"/>
              </w:rPr>
              <w:t>TOTAL FTEs under Option A.2 for ENISA</w:t>
            </w:r>
          </w:p>
        </w:tc>
        <w:tc>
          <w:tcPr>
            <w:tcW w:w="1499" w:type="dxa"/>
            <w:shd w:val="clear" w:color="auto" w:fill="F2DBDB" w:themeFill="accent2" w:themeFillTint="33"/>
          </w:tcPr>
          <w:p w14:paraId="44DF9B72" w14:textId="77777777" w:rsidR="00EE3DF9" w:rsidRPr="00F5382B" w:rsidRDefault="00EE3DF9">
            <w:pPr>
              <w:rPr>
                <w:b/>
                <w:noProof/>
                <w:sz w:val="16"/>
                <w:szCs w:val="16"/>
              </w:rPr>
            </w:pPr>
          </w:p>
        </w:tc>
        <w:tc>
          <w:tcPr>
            <w:tcW w:w="595" w:type="dxa"/>
            <w:shd w:val="clear" w:color="auto" w:fill="F2DBDB" w:themeFill="accent2" w:themeFillTint="33"/>
          </w:tcPr>
          <w:p w14:paraId="515B3569" w14:textId="77777777" w:rsidR="00EE3DF9" w:rsidRPr="00F5382B" w:rsidRDefault="00EE3DF9">
            <w:pPr>
              <w:jc w:val="right"/>
              <w:rPr>
                <w:b/>
                <w:noProof/>
                <w:sz w:val="16"/>
                <w:szCs w:val="16"/>
              </w:rPr>
            </w:pPr>
            <w:r w:rsidRPr="00F5382B">
              <w:rPr>
                <w:b/>
                <w:noProof/>
                <w:sz w:val="16"/>
                <w:szCs w:val="16"/>
              </w:rPr>
              <w:t>102</w:t>
            </w:r>
          </w:p>
        </w:tc>
        <w:tc>
          <w:tcPr>
            <w:tcW w:w="709" w:type="dxa"/>
            <w:shd w:val="clear" w:color="auto" w:fill="F2DBDB" w:themeFill="accent2" w:themeFillTint="33"/>
          </w:tcPr>
          <w:p w14:paraId="331CE48C" w14:textId="77777777" w:rsidR="00EE3DF9" w:rsidRPr="00F5382B" w:rsidRDefault="00EE3DF9">
            <w:pPr>
              <w:jc w:val="right"/>
              <w:rPr>
                <w:b/>
                <w:noProof/>
                <w:sz w:val="16"/>
                <w:szCs w:val="16"/>
              </w:rPr>
            </w:pPr>
            <w:r w:rsidRPr="00F5382B">
              <w:rPr>
                <w:b/>
                <w:noProof/>
                <w:sz w:val="16"/>
                <w:szCs w:val="16"/>
              </w:rPr>
              <w:t>102</w:t>
            </w:r>
          </w:p>
        </w:tc>
        <w:tc>
          <w:tcPr>
            <w:tcW w:w="992" w:type="dxa"/>
            <w:shd w:val="clear" w:color="auto" w:fill="F2DBDB" w:themeFill="accent2" w:themeFillTint="33"/>
          </w:tcPr>
          <w:p w14:paraId="76789BCF" w14:textId="77777777" w:rsidR="00EE3DF9" w:rsidRPr="00F5382B" w:rsidRDefault="00EE3DF9">
            <w:pPr>
              <w:jc w:val="right"/>
              <w:rPr>
                <w:b/>
                <w:noProof/>
                <w:sz w:val="16"/>
                <w:szCs w:val="16"/>
              </w:rPr>
            </w:pPr>
            <w:r w:rsidRPr="00F5382B">
              <w:rPr>
                <w:b/>
                <w:noProof/>
                <w:sz w:val="16"/>
                <w:szCs w:val="16"/>
              </w:rPr>
              <w:t>102</w:t>
            </w:r>
          </w:p>
        </w:tc>
        <w:tc>
          <w:tcPr>
            <w:tcW w:w="851" w:type="dxa"/>
            <w:shd w:val="clear" w:color="auto" w:fill="F2DBDB" w:themeFill="accent2" w:themeFillTint="33"/>
          </w:tcPr>
          <w:p w14:paraId="0BFE42F2" w14:textId="77777777" w:rsidR="00EE3DF9" w:rsidRPr="00F5382B" w:rsidRDefault="00EE3DF9">
            <w:pPr>
              <w:jc w:val="right"/>
              <w:rPr>
                <w:b/>
                <w:noProof/>
                <w:sz w:val="16"/>
                <w:szCs w:val="16"/>
              </w:rPr>
            </w:pPr>
            <w:r w:rsidRPr="00F5382B">
              <w:rPr>
                <w:b/>
                <w:noProof/>
                <w:sz w:val="16"/>
                <w:szCs w:val="16"/>
              </w:rPr>
              <w:t>102</w:t>
            </w:r>
          </w:p>
        </w:tc>
        <w:tc>
          <w:tcPr>
            <w:tcW w:w="709" w:type="dxa"/>
            <w:shd w:val="clear" w:color="auto" w:fill="F2DBDB" w:themeFill="accent2" w:themeFillTint="33"/>
          </w:tcPr>
          <w:p w14:paraId="345B0360" w14:textId="77777777" w:rsidR="00EE3DF9" w:rsidRPr="00F5382B" w:rsidRDefault="00EE3DF9">
            <w:pPr>
              <w:jc w:val="right"/>
              <w:rPr>
                <w:b/>
                <w:noProof/>
                <w:sz w:val="16"/>
                <w:szCs w:val="16"/>
              </w:rPr>
            </w:pPr>
            <w:r w:rsidRPr="00F5382B">
              <w:rPr>
                <w:b/>
                <w:noProof/>
                <w:sz w:val="16"/>
                <w:szCs w:val="16"/>
              </w:rPr>
              <w:t>102</w:t>
            </w:r>
          </w:p>
        </w:tc>
        <w:tc>
          <w:tcPr>
            <w:tcW w:w="1275" w:type="dxa"/>
            <w:shd w:val="clear" w:color="auto" w:fill="F2DBDB" w:themeFill="accent2" w:themeFillTint="33"/>
          </w:tcPr>
          <w:p w14:paraId="229D3BF7" w14:textId="77777777" w:rsidR="00EE3DF9" w:rsidRPr="00F5382B" w:rsidRDefault="00EE3DF9">
            <w:pPr>
              <w:jc w:val="right"/>
              <w:rPr>
                <w:b/>
                <w:noProof/>
                <w:sz w:val="16"/>
                <w:szCs w:val="16"/>
              </w:rPr>
            </w:pPr>
            <w:r w:rsidRPr="00F5382B">
              <w:rPr>
                <w:b/>
                <w:noProof/>
                <w:sz w:val="16"/>
                <w:szCs w:val="16"/>
              </w:rPr>
              <w:t>13 084 254</w:t>
            </w:r>
          </w:p>
        </w:tc>
        <w:tc>
          <w:tcPr>
            <w:tcW w:w="1418" w:type="dxa"/>
            <w:shd w:val="clear" w:color="auto" w:fill="F2DBDB" w:themeFill="accent2" w:themeFillTint="33"/>
          </w:tcPr>
          <w:p w14:paraId="05122E27" w14:textId="77777777" w:rsidR="00EE3DF9" w:rsidRPr="00F5382B" w:rsidRDefault="00EE3DF9">
            <w:pPr>
              <w:jc w:val="right"/>
              <w:rPr>
                <w:b/>
                <w:noProof/>
                <w:sz w:val="16"/>
                <w:szCs w:val="16"/>
              </w:rPr>
            </w:pPr>
            <w:r w:rsidRPr="00F5382B">
              <w:rPr>
                <w:b/>
                <w:noProof/>
                <w:sz w:val="16"/>
                <w:szCs w:val="16"/>
              </w:rPr>
              <w:t>65 421 270</w:t>
            </w:r>
          </w:p>
        </w:tc>
      </w:tr>
      <w:tr w:rsidR="00EE3DF9" w:rsidRPr="00F5382B" w14:paraId="25593DCB" w14:textId="77777777">
        <w:trPr>
          <w:trHeight w:val="703"/>
        </w:trPr>
        <w:tc>
          <w:tcPr>
            <w:tcW w:w="1303" w:type="dxa"/>
            <w:shd w:val="clear" w:color="auto" w:fill="F2DBDB" w:themeFill="accent2" w:themeFillTint="33"/>
          </w:tcPr>
          <w:p w14:paraId="6AFC85E5" w14:textId="77777777" w:rsidR="00EE3DF9" w:rsidRPr="00F5382B" w:rsidRDefault="00EE3DF9">
            <w:pPr>
              <w:rPr>
                <w:noProof/>
                <w:sz w:val="16"/>
                <w:szCs w:val="16"/>
              </w:rPr>
            </w:pPr>
            <w:r w:rsidRPr="00F5382B">
              <w:rPr>
                <w:noProof/>
                <w:sz w:val="16"/>
                <w:szCs w:val="16"/>
              </w:rPr>
              <w:t>NLOs Option A.2 (budget split bw ENISA and MS)</w:t>
            </w:r>
          </w:p>
        </w:tc>
        <w:tc>
          <w:tcPr>
            <w:tcW w:w="1499" w:type="dxa"/>
            <w:shd w:val="clear" w:color="auto" w:fill="F2DBDB" w:themeFill="accent2" w:themeFillTint="33"/>
          </w:tcPr>
          <w:p w14:paraId="74A99820" w14:textId="77777777" w:rsidR="00EE3DF9" w:rsidRPr="00F5382B" w:rsidRDefault="00EE3DF9">
            <w:pPr>
              <w:rPr>
                <w:noProof/>
                <w:sz w:val="16"/>
                <w:szCs w:val="16"/>
              </w:rPr>
            </w:pPr>
            <w:r w:rsidRPr="00F5382B">
              <w:rPr>
                <w:noProof/>
                <w:sz w:val="16"/>
                <w:szCs w:val="16"/>
              </w:rPr>
              <w:t>Daily allowances (EU budget)</w:t>
            </w:r>
          </w:p>
        </w:tc>
        <w:tc>
          <w:tcPr>
            <w:tcW w:w="595" w:type="dxa"/>
            <w:shd w:val="clear" w:color="auto" w:fill="F2DBDB" w:themeFill="accent2" w:themeFillTint="33"/>
          </w:tcPr>
          <w:p w14:paraId="293E003C" w14:textId="77777777" w:rsidR="00EE3DF9" w:rsidRPr="00F5382B" w:rsidRDefault="00EE3DF9">
            <w:pPr>
              <w:jc w:val="right"/>
              <w:rPr>
                <w:noProof/>
                <w:sz w:val="16"/>
                <w:szCs w:val="16"/>
              </w:rPr>
            </w:pPr>
            <w:r w:rsidRPr="00F5382B">
              <w:rPr>
                <w:noProof/>
                <w:sz w:val="16"/>
                <w:szCs w:val="16"/>
              </w:rPr>
              <w:t>40</w:t>
            </w:r>
          </w:p>
        </w:tc>
        <w:tc>
          <w:tcPr>
            <w:tcW w:w="709" w:type="dxa"/>
            <w:shd w:val="clear" w:color="auto" w:fill="F2DBDB" w:themeFill="accent2" w:themeFillTint="33"/>
          </w:tcPr>
          <w:p w14:paraId="4A9BB3F8" w14:textId="77777777" w:rsidR="00EE3DF9" w:rsidRPr="00F5382B" w:rsidRDefault="00EE3DF9">
            <w:pPr>
              <w:jc w:val="right"/>
              <w:rPr>
                <w:noProof/>
                <w:sz w:val="16"/>
                <w:szCs w:val="16"/>
              </w:rPr>
            </w:pPr>
            <w:r w:rsidRPr="00F5382B">
              <w:rPr>
                <w:noProof/>
                <w:sz w:val="16"/>
                <w:szCs w:val="16"/>
              </w:rPr>
              <w:t>40</w:t>
            </w:r>
          </w:p>
        </w:tc>
        <w:tc>
          <w:tcPr>
            <w:tcW w:w="992" w:type="dxa"/>
            <w:shd w:val="clear" w:color="auto" w:fill="F2DBDB" w:themeFill="accent2" w:themeFillTint="33"/>
          </w:tcPr>
          <w:p w14:paraId="52541772" w14:textId="77777777" w:rsidR="00EE3DF9" w:rsidRPr="00F5382B" w:rsidRDefault="00EE3DF9">
            <w:pPr>
              <w:jc w:val="right"/>
              <w:rPr>
                <w:noProof/>
                <w:sz w:val="16"/>
                <w:szCs w:val="16"/>
              </w:rPr>
            </w:pPr>
            <w:r w:rsidRPr="00F5382B">
              <w:rPr>
                <w:noProof/>
                <w:sz w:val="16"/>
                <w:szCs w:val="16"/>
              </w:rPr>
              <w:t>40</w:t>
            </w:r>
          </w:p>
        </w:tc>
        <w:tc>
          <w:tcPr>
            <w:tcW w:w="851" w:type="dxa"/>
            <w:shd w:val="clear" w:color="auto" w:fill="F2DBDB" w:themeFill="accent2" w:themeFillTint="33"/>
          </w:tcPr>
          <w:p w14:paraId="7F144EE5" w14:textId="77777777" w:rsidR="00EE3DF9" w:rsidRPr="00F5382B" w:rsidRDefault="00EE3DF9">
            <w:pPr>
              <w:jc w:val="right"/>
              <w:rPr>
                <w:noProof/>
                <w:sz w:val="16"/>
                <w:szCs w:val="16"/>
              </w:rPr>
            </w:pPr>
            <w:r w:rsidRPr="00F5382B">
              <w:rPr>
                <w:noProof/>
                <w:sz w:val="16"/>
                <w:szCs w:val="16"/>
              </w:rPr>
              <w:t>40</w:t>
            </w:r>
          </w:p>
        </w:tc>
        <w:tc>
          <w:tcPr>
            <w:tcW w:w="709" w:type="dxa"/>
            <w:shd w:val="clear" w:color="auto" w:fill="F2DBDB" w:themeFill="accent2" w:themeFillTint="33"/>
          </w:tcPr>
          <w:p w14:paraId="4923A944" w14:textId="77777777" w:rsidR="00EE3DF9" w:rsidRPr="00F5382B" w:rsidRDefault="00EE3DF9">
            <w:pPr>
              <w:jc w:val="right"/>
              <w:rPr>
                <w:noProof/>
                <w:sz w:val="16"/>
                <w:szCs w:val="16"/>
              </w:rPr>
            </w:pPr>
            <w:r w:rsidRPr="00F5382B">
              <w:rPr>
                <w:noProof/>
                <w:sz w:val="16"/>
                <w:szCs w:val="16"/>
              </w:rPr>
              <w:t>40</w:t>
            </w:r>
          </w:p>
        </w:tc>
        <w:tc>
          <w:tcPr>
            <w:tcW w:w="1275" w:type="dxa"/>
            <w:shd w:val="clear" w:color="auto" w:fill="F2DBDB" w:themeFill="accent2" w:themeFillTint="33"/>
          </w:tcPr>
          <w:p w14:paraId="78217C21" w14:textId="77777777" w:rsidR="00EE3DF9" w:rsidRPr="00F5382B" w:rsidRDefault="00EE3DF9">
            <w:pPr>
              <w:jc w:val="right"/>
              <w:rPr>
                <w:noProof/>
                <w:sz w:val="16"/>
                <w:szCs w:val="16"/>
              </w:rPr>
            </w:pPr>
            <w:r w:rsidRPr="00F5382B">
              <w:rPr>
                <w:noProof/>
                <w:sz w:val="16"/>
                <w:szCs w:val="16"/>
              </w:rPr>
              <w:t>1 440 000</w:t>
            </w:r>
          </w:p>
        </w:tc>
        <w:tc>
          <w:tcPr>
            <w:tcW w:w="1418" w:type="dxa"/>
            <w:shd w:val="clear" w:color="auto" w:fill="F2DBDB" w:themeFill="accent2" w:themeFillTint="33"/>
          </w:tcPr>
          <w:p w14:paraId="37A3E371" w14:textId="77777777" w:rsidR="00EE3DF9" w:rsidRPr="00F5382B" w:rsidRDefault="00EE3DF9">
            <w:pPr>
              <w:jc w:val="right"/>
              <w:rPr>
                <w:bCs/>
                <w:noProof/>
                <w:sz w:val="16"/>
                <w:szCs w:val="16"/>
              </w:rPr>
            </w:pPr>
            <w:r w:rsidRPr="00F5382B">
              <w:rPr>
                <w:bCs/>
                <w:noProof/>
                <w:sz w:val="16"/>
                <w:szCs w:val="16"/>
              </w:rPr>
              <w:t>7 200 000</w:t>
            </w:r>
          </w:p>
        </w:tc>
      </w:tr>
      <w:tr w:rsidR="00EE3DF9" w:rsidRPr="00F5382B" w14:paraId="52B5DC1A" w14:textId="77777777">
        <w:trPr>
          <w:trHeight w:val="703"/>
        </w:trPr>
        <w:tc>
          <w:tcPr>
            <w:tcW w:w="1303" w:type="dxa"/>
            <w:shd w:val="clear" w:color="auto" w:fill="F2DBDB" w:themeFill="accent2" w:themeFillTint="33"/>
          </w:tcPr>
          <w:p w14:paraId="6BA4631E" w14:textId="77777777" w:rsidR="00EE3DF9" w:rsidRPr="00F5382B" w:rsidRDefault="00EE3DF9">
            <w:pPr>
              <w:rPr>
                <w:b/>
                <w:noProof/>
                <w:sz w:val="16"/>
                <w:szCs w:val="16"/>
              </w:rPr>
            </w:pPr>
            <w:r w:rsidRPr="00F5382B">
              <w:rPr>
                <w:b/>
                <w:noProof/>
                <w:sz w:val="16"/>
                <w:szCs w:val="16"/>
              </w:rPr>
              <w:t>TOTAL Option A.2 for ENISA (FTEs + NLOs)</w:t>
            </w:r>
          </w:p>
        </w:tc>
        <w:tc>
          <w:tcPr>
            <w:tcW w:w="1499" w:type="dxa"/>
            <w:shd w:val="clear" w:color="auto" w:fill="F2DBDB" w:themeFill="accent2" w:themeFillTint="33"/>
          </w:tcPr>
          <w:p w14:paraId="1C7B75F4" w14:textId="77777777" w:rsidR="00EE3DF9" w:rsidRPr="00F5382B" w:rsidRDefault="00EE3DF9">
            <w:pPr>
              <w:rPr>
                <w:b/>
                <w:noProof/>
                <w:sz w:val="16"/>
                <w:szCs w:val="16"/>
              </w:rPr>
            </w:pPr>
          </w:p>
        </w:tc>
        <w:tc>
          <w:tcPr>
            <w:tcW w:w="595" w:type="dxa"/>
            <w:shd w:val="clear" w:color="auto" w:fill="F2DBDB" w:themeFill="accent2" w:themeFillTint="33"/>
          </w:tcPr>
          <w:p w14:paraId="4768D573" w14:textId="77777777" w:rsidR="00EE3DF9" w:rsidRPr="00F5382B" w:rsidRDefault="00EE3DF9">
            <w:pPr>
              <w:jc w:val="right"/>
              <w:rPr>
                <w:b/>
                <w:noProof/>
                <w:sz w:val="16"/>
                <w:szCs w:val="16"/>
              </w:rPr>
            </w:pPr>
            <w:r w:rsidRPr="00F5382B">
              <w:rPr>
                <w:b/>
                <w:noProof/>
                <w:sz w:val="16"/>
                <w:szCs w:val="16"/>
              </w:rPr>
              <w:t>142</w:t>
            </w:r>
          </w:p>
        </w:tc>
        <w:tc>
          <w:tcPr>
            <w:tcW w:w="709" w:type="dxa"/>
            <w:shd w:val="clear" w:color="auto" w:fill="F2DBDB" w:themeFill="accent2" w:themeFillTint="33"/>
          </w:tcPr>
          <w:p w14:paraId="1BD18561" w14:textId="77777777" w:rsidR="00EE3DF9" w:rsidRPr="00F5382B" w:rsidRDefault="00EE3DF9">
            <w:pPr>
              <w:jc w:val="right"/>
              <w:rPr>
                <w:b/>
                <w:noProof/>
                <w:sz w:val="16"/>
                <w:szCs w:val="16"/>
              </w:rPr>
            </w:pPr>
            <w:r w:rsidRPr="00F5382B">
              <w:rPr>
                <w:b/>
                <w:noProof/>
                <w:sz w:val="16"/>
                <w:szCs w:val="16"/>
              </w:rPr>
              <w:t>142</w:t>
            </w:r>
          </w:p>
        </w:tc>
        <w:tc>
          <w:tcPr>
            <w:tcW w:w="992" w:type="dxa"/>
            <w:shd w:val="clear" w:color="auto" w:fill="F2DBDB" w:themeFill="accent2" w:themeFillTint="33"/>
          </w:tcPr>
          <w:p w14:paraId="4FF6A398" w14:textId="77777777" w:rsidR="00EE3DF9" w:rsidRPr="00F5382B" w:rsidRDefault="00EE3DF9">
            <w:pPr>
              <w:jc w:val="right"/>
              <w:rPr>
                <w:b/>
                <w:noProof/>
                <w:sz w:val="16"/>
                <w:szCs w:val="16"/>
              </w:rPr>
            </w:pPr>
            <w:r w:rsidRPr="00F5382B">
              <w:rPr>
                <w:b/>
                <w:noProof/>
                <w:sz w:val="16"/>
                <w:szCs w:val="16"/>
              </w:rPr>
              <w:t>142</w:t>
            </w:r>
          </w:p>
        </w:tc>
        <w:tc>
          <w:tcPr>
            <w:tcW w:w="851" w:type="dxa"/>
            <w:shd w:val="clear" w:color="auto" w:fill="F2DBDB" w:themeFill="accent2" w:themeFillTint="33"/>
          </w:tcPr>
          <w:p w14:paraId="43EED164" w14:textId="77777777" w:rsidR="00EE3DF9" w:rsidRPr="00F5382B" w:rsidRDefault="00EE3DF9">
            <w:pPr>
              <w:jc w:val="right"/>
              <w:rPr>
                <w:b/>
                <w:noProof/>
                <w:sz w:val="16"/>
                <w:szCs w:val="16"/>
              </w:rPr>
            </w:pPr>
            <w:r w:rsidRPr="00F5382B">
              <w:rPr>
                <w:b/>
                <w:noProof/>
                <w:sz w:val="16"/>
                <w:szCs w:val="16"/>
              </w:rPr>
              <w:t>142</w:t>
            </w:r>
          </w:p>
        </w:tc>
        <w:tc>
          <w:tcPr>
            <w:tcW w:w="709" w:type="dxa"/>
            <w:shd w:val="clear" w:color="auto" w:fill="F2DBDB" w:themeFill="accent2" w:themeFillTint="33"/>
          </w:tcPr>
          <w:p w14:paraId="3BE3B4A2" w14:textId="77777777" w:rsidR="00EE3DF9" w:rsidRPr="00F5382B" w:rsidRDefault="00EE3DF9">
            <w:pPr>
              <w:jc w:val="right"/>
              <w:rPr>
                <w:b/>
                <w:noProof/>
                <w:sz w:val="16"/>
                <w:szCs w:val="16"/>
              </w:rPr>
            </w:pPr>
            <w:r w:rsidRPr="00F5382B">
              <w:rPr>
                <w:b/>
                <w:noProof/>
                <w:sz w:val="16"/>
                <w:szCs w:val="16"/>
              </w:rPr>
              <w:t>142</w:t>
            </w:r>
          </w:p>
        </w:tc>
        <w:tc>
          <w:tcPr>
            <w:tcW w:w="1275" w:type="dxa"/>
            <w:shd w:val="clear" w:color="auto" w:fill="F2DBDB" w:themeFill="accent2" w:themeFillTint="33"/>
          </w:tcPr>
          <w:p w14:paraId="29957362" w14:textId="77777777" w:rsidR="00EE3DF9" w:rsidRPr="00F5382B" w:rsidRDefault="00EE3DF9">
            <w:pPr>
              <w:jc w:val="right"/>
              <w:rPr>
                <w:b/>
                <w:noProof/>
                <w:sz w:val="16"/>
                <w:szCs w:val="16"/>
              </w:rPr>
            </w:pPr>
            <w:r w:rsidRPr="00F5382B">
              <w:rPr>
                <w:b/>
                <w:noProof/>
                <w:sz w:val="16"/>
                <w:szCs w:val="16"/>
              </w:rPr>
              <w:t>14 524 254</w:t>
            </w:r>
          </w:p>
        </w:tc>
        <w:tc>
          <w:tcPr>
            <w:tcW w:w="1418" w:type="dxa"/>
            <w:shd w:val="clear" w:color="auto" w:fill="F2DBDB" w:themeFill="accent2" w:themeFillTint="33"/>
          </w:tcPr>
          <w:p w14:paraId="657849D8" w14:textId="77777777" w:rsidR="00EE3DF9" w:rsidRPr="00F5382B" w:rsidRDefault="00EE3DF9">
            <w:pPr>
              <w:jc w:val="right"/>
              <w:rPr>
                <w:b/>
                <w:noProof/>
                <w:sz w:val="16"/>
                <w:szCs w:val="16"/>
              </w:rPr>
            </w:pPr>
            <w:r w:rsidRPr="00F5382B">
              <w:rPr>
                <w:b/>
                <w:noProof/>
                <w:sz w:val="16"/>
                <w:szCs w:val="16"/>
              </w:rPr>
              <w:t>72 621 270</w:t>
            </w:r>
          </w:p>
        </w:tc>
      </w:tr>
      <w:tr w:rsidR="00EE3DF9" w:rsidRPr="00F5382B" w14:paraId="2C045894" w14:textId="77777777">
        <w:trPr>
          <w:trHeight w:val="233"/>
        </w:trPr>
        <w:tc>
          <w:tcPr>
            <w:tcW w:w="1303" w:type="dxa"/>
            <w:shd w:val="clear" w:color="auto" w:fill="E5B8B7" w:themeFill="accent2" w:themeFillTint="66"/>
          </w:tcPr>
          <w:p w14:paraId="25C9BC38" w14:textId="77777777" w:rsidR="00EE3DF9" w:rsidRPr="00F5382B" w:rsidRDefault="00EE3DF9">
            <w:pPr>
              <w:rPr>
                <w:noProof/>
                <w:sz w:val="16"/>
                <w:szCs w:val="16"/>
              </w:rPr>
            </w:pPr>
            <w:r w:rsidRPr="00F5382B">
              <w:rPr>
                <w:noProof/>
                <w:sz w:val="16"/>
                <w:szCs w:val="16"/>
              </w:rPr>
              <w:t>Setting up and operating the CVD database</w:t>
            </w:r>
          </w:p>
        </w:tc>
        <w:tc>
          <w:tcPr>
            <w:tcW w:w="1499" w:type="dxa"/>
            <w:shd w:val="clear" w:color="auto" w:fill="E5B8B7" w:themeFill="accent2" w:themeFillTint="66"/>
          </w:tcPr>
          <w:p w14:paraId="474683F7" w14:textId="77777777" w:rsidR="00EE3DF9" w:rsidRPr="00F5382B" w:rsidRDefault="00EE3DF9">
            <w:pPr>
              <w:rPr>
                <w:b/>
                <w:noProof/>
                <w:sz w:val="16"/>
                <w:szCs w:val="16"/>
              </w:rPr>
            </w:pPr>
          </w:p>
        </w:tc>
        <w:tc>
          <w:tcPr>
            <w:tcW w:w="595" w:type="dxa"/>
            <w:shd w:val="clear" w:color="auto" w:fill="E5B8B7" w:themeFill="accent2" w:themeFillTint="66"/>
          </w:tcPr>
          <w:p w14:paraId="7741697A" w14:textId="77777777" w:rsidR="00EE3DF9" w:rsidRPr="00F5382B" w:rsidRDefault="00EE3DF9">
            <w:pPr>
              <w:jc w:val="right"/>
              <w:rPr>
                <w:b/>
                <w:noProof/>
                <w:sz w:val="16"/>
                <w:szCs w:val="16"/>
              </w:rPr>
            </w:pPr>
          </w:p>
        </w:tc>
        <w:tc>
          <w:tcPr>
            <w:tcW w:w="709" w:type="dxa"/>
            <w:shd w:val="clear" w:color="auto" w:fill="E5B8B7" w:themeFill="accent2" w:themeFillTint="66"/>
          </w:tcPr>
          <w:p w14:paraId="237869DA" w14:textId="77777777" w:rsidR="00EE3DF9" w:rsidRPr="00F5382B" w:rsidRDefault="00EE3DF9">
            <w:pPr>
              <w:jc w:val="right"/>
              <w:rPr>
                <w:b/>
                <w:noProof/>
                <w:sz w:val="16"/>
                <w:szCs w:val="16"/>
              </w:rPr>
            </w:pPr>
          </w:p>
        </w:tc>
        <w:tc>
          <w:tcPr>
            <w:tcW w:w="992" w:type="dxa"/>
            <w:shd w:val="clear" w:color="auto" w:fill="E5B8B7" w:themeFill="accent2" w:themeFillTint="66"/>
          </w:tcPr>
          <w:p w14:paraId="5D81A5D6" w14:textId="77777777" w:rsidR="00EE3DF9" w:rsidRPr="00F5382B" w:rsidRDefault="00EE3DF9">
            <w:pPr>
              <w:jc w:val="right"/>
              <w:rPr>
                <w:b/>
                <w:noProof/>
                <w:sz w:val="16"/>
                <w:szCs w:val="16"/>
              </w:rPr>
            </w:pPr>
          </w:p>
        </w:tc>
        <w:tc>
          <w:tcPr>
            <w:tcW w:w="851" w:type="dxa"/>
            <w:shd w:val="clear" w:color="auto" w:fill="E5B8B7" w:themeFill="accent2" w:themeFillTint="66"/>
          </w:tcPr>
          <w:p w14:paraId="51C3F42F" w14:textId="77777777" w:rsidR="00EE3DF9" w:rsidRPr="00F5382B" w:rsidRDefault="00EE3DF9">
            <w:pPr>
              <w:jc w:val="right"/>
              <w:rPr>
                <w:b/>
                <w:noProof/>
                <w:sz w:val="16"/>
                <w:szCs w:val="16"/>
              </w:rPr>
            </w:pPr>
          </w:p>
        </w:tc>
        <w:tc>
          <w:tcPr>
            <w:tcW w:w="709" w:type="dxa"/>
            <w:shd w:val="clear" w:color="auto" w:fill="E5B8B7" w:themeFill="accent2" w:themeFillTint="66"/>
          </w:tcPr>
          <w:p w14:paraId="657B8910" w14:textId="77777777" w:rsidR="00EE3DF9" w:rsidRPr="00F5382B" w:rsidRDefault="00EE3DF9">
            <w:pPr>
              <w:jc w:val="right"/>
              <w:rPr>
                <w:b/>
                <w:noProof/>
                <w:sz w:val="16"/>
                <w:szCs w:val="16"/>
              </w:rPr>
            </w:pPr>
          </w:p>
        </w:tc>
        <w:tc>
          <w:tcPr>
            <w:tcW w:w="1275" w:type="dxa"/>
            <w:shd w:val="clear" w:color="auto" w:fill="E5B8B7" w:themeFill="accent2" w:themeFillTint="66"/>
          </w:tcPr>
          <w:p w14:paraId="4F460A6C" w14:textId="77777777" w:rsidR="00EE3DF9" w:rsidRPr="00F5382B" w:rsidRDefault="00EE3DF9">
            <w:pPr>
              <w:jc w:val="right"/>
              <w:rPr>
                <w:bCs/>
                <w:noProof/>
                <w:sz w:val="16"/>
                <w:szCs w:val="16"/>
              </w:rPr>
            </w:pPr>
            <w:r w:rsidRPr="00F5382B">
              <w:rPr>
                <w:noProof/>
                <w:sz w:val="16"/>
                <w:szCs w:val="16"/>
              </w:rPr>
              <w:t>1 000 000</w:t>
            </w:r>
          </w:p>
        </w:tc>
        <w:tc>
          <w:tcPr>
            <w:tcW w:w="1418" w:type="dxa"/>
            <w:shd w:val="clear" w:color="auto" w:fill="E5B8B7" w:themeFill="accent2" w:themeFillTint="66"/>
          </w:tcPr>
          <w:p w14:paraId="4D0AA262" w14:textId="77777777" w:rsidR="00EE3DF9" w:rsidRPr="00F5382B" w:rsidRDefault="00EE3DF9">
            <w:pPr>
              <w:jc w:val="right"/>
              <w:rPr>
                <w:bCs/>
                <w:noProof/>
                <w:sz w:val="16"/>
                <w:szCs w:val="16"/>
              </w:rPr>
            </w:pPr>
            <w:r w:rsidRPr="00F5382B">
              <w:rPr>
                <w:noProof/>
                <w:sz w:val="16"/>
                <w:szCs w:val="16"/>
              </w:rPr>
              <w:t>5 000 000</w:t>
            </w:r>
          </w:p>
        </w:tc>
      </w:tr>
      <w:tr w:rsidR="00EE3DF9" w:rsidRPr="00F5382B" w14:paraId="32D6ED4B" w14:textId="77777777">
        <w:trPr>
          <w:trHeight w:val="233"/>
        </w:trPr>
        <w:tc>
          <w:tcPr>
            <w:tcW w:w="1303" w:type="dxa"/>
            <w:shd w:val="clear" w:color="auto" w:fill="E5B8B7" w:themeFill="accent2" w:themeFillTint="66"/>
          </w:tcPr>
          <w:p w14:paraId="3DC6EA7A" w14:textId="77777777" w:rsidR="00EE3DF9" w:rsidRPr="00F5382B" w:rsidRDefault="00EE3DF9">
            <w:pPr>
              <w:rPr>
                <w:noProof/>
                <w:sz w:val="16"/>
                <w:szCs w:val="16"/>
              </w:rPr>
            </w:pPr>
            <w:r w:rsidRPr="00F5382B">
              <w:rPr>
                <w:noProof/>
                <w:sz w:val="16"/>
                <w:szCs w:val="16"/>
              </w:rPr>
              <w:t>Skills scheme development, maintenance, and oversight</w:t>
            </w:r>
          </w:p>
        </w:tc>
        <w:tc>
          <w:tcPr>
            <w:tcW w:w="1499" w:type="dxa"/>
            <w:shd w:val="clear" w:color="auto" w:fill="E5B8B7" w:themeFill="accent2" w:themeFillTint="66"/>
          </w:tcPr>
          <w:p w14:paraId="131E1374" w14:textId="77777777" w:rsidR="00EE3DF9" w:rsidRPr="00F5382B" w:rsidRDefault="00EE3DF9">
            <w:pPr>
              <w:rPr>
                <w:b/>
                <w:noProof/>
                <w:sz w:val="16"/>
                <w:szCs w:val="16"/>
              </w:rPr>
            </w:pPr>
          </w:p>
        </w:tc>
        <w:tc>
          <w:tcPr>
            <w:tcW w:w="595" w:type="dxa"/>
            <w:shd w:val="clear" w:color="auto" w:fill="E5B8B7" w:themeFill="accent2" w:themeFillTint="66"/>
          </w:tcPr>
          <w:p w14:paraId="03DD0769" w14:textId="77777777" w:rsidR="00EE3DF9" w:rsidRPr="00F5382B" w:rsidRDefault="00EE3DF9">
            <w:pPr>
              <w:jc w:val="right"/>
              <w:rPr>
                <w:b/>
                <w:noProof/>
                <w:sz w:val="16"/>
                <w:szCs w:val="16"/>
              </w:rPr>
            </w:pPr>
          </w:p>
        </w:tc>
        <w:tc>
          <w:tcPr>
            <w:tcW w:w="709" w:type="dxa"/>
            <w:shd w:val="clear" w:color="auto" w:fill="E5B8B7" w:themeFill="accent2" w:themeFillTint="66"/>
          </w:tcPr>
          <w:p w14:paraId="5171F872" w14:textId="77777777" w:rsidR="00EE3DF9" w:rsidRPr="00F5382B" w:rsidRDefault="00EE3DF9">
            <w:pPr>
              <w:jc w:val="right"/>
              <w:rPr>
                <w:b/>
                <w:noProof/>
                <w:sz w:val="16"/>
                <w:szCs w:val="16"/>
              </w:rPr>
            </w:pPr>
          </w:p>
        </w:tc>
        <w:tc>
          <w:tcPr>
            <w:tcW w:w="992" w:type="dxa"/>
            <w:shd w:val="clear" w:color="auto" w:fill="E5B8B7" w:themeFill="accent2" w:themeFillTint="66"/>
          </w:tcPr>
          <w:p w14:paraId="1C551B30" w14:textId="77777777" w:rsidR="00EE3DF9" w:rsidRPr="00F5382B" w:rsidRDefault="00EE3DF9">
            <w:pPr>
              <w:jc w:val="right"/>
              <w:rPr>
                <w:b/>
                <w:noProof/>
                <w:sz w:val="16"/>
                <w:szCs w:val="16"/>
              </w:rPr>
            </w:pPr>
          </w:p>
        </w:tc>
        <w:tc>
          <w:tcPr>
            <w:tcW w:w="851" w:type="dxa"/>
            <w:shd w:val="clear" w:color="auto" w:fill="E5B8B7" w:themeFill="accent2" w:themeFillTint="66"/>
          </w:tcPr>
          <w:p w14:paraId="0800B7E3" w14:textId="77777777" w:rsidR="00EE3DF9" w:rsidRPr="00F5382B" w:rsidRDefault="00EE3DF9">
            <w:pPr>
              <w:jc w:val="right"/>
              <w:rPr>
                <w:b/>
                <w:noProof/>
                <w:sz w:val="16"/>
                <w:szCs w:val="16"/>
              </w:rPr>
            </w:pPr>
          </w:p>
        </w:tc>
        <w:tc>
          <w:tcPr>
            <w:tcW w:w="709" w:type="dxa"/>
            <w:shd w:val="clear" w:color="auto" w:fill="E5B8B7" w:themeFill="accent2" w:themeFillTint="66"/>
          </w:tcPr>
          <w:p w14:paraId="1E9B42D4" w14:textId="77777777" w:rsidR="00EE3DF9" w:rsidRPr="00F5382B" w:rsidRDefault="00EE3DF9">
            <w:pPr>
              <w:jc w:val="right"/>
              <w:rPr>
                <w:b/>
                <w:noProof/>
                <w:sz w:val="16"/>
                <w:szCs w:val="16"/>
              </w:rPr>
            </w:pPr>
          </w:p>
        </w:tc>
        <w:tc>
          <w:tcPr>
            <w:tcW w:w="1275" w:type="dxa"/>
            <w:shd w:val="clear" w:color="auto" w:fill="E5B8B7" w:themeFill="accent2" w:themeFillTint="66"/>
          </w:tcPr>
          <w:p w14:paraId="455F7DCE" w14:textId="77777777" w:rsidR="00EE3DF9" w:rsidRPr="00F5382B" w:rsidRDefault="00EE3DF9">
            <w:pPr>
              <w:jc w:val="right"/>
              <w:rPr>
                <w:bCs/>
                <w:noProof/>
                <w:sz w:val="16"/>
                <w:szCs w:val="16"/>
              </w:rPr>
            </w:pPr>
            <w:r w:rsidRPr="00F5382B">
              <w:rPr>
                <w:bCs/>
                <w:noProof/>
                <w:sz w:val="16"/>
                <w:szCs w:val="16"/>
              </w:rPr>
              <w:t>212 920</w:t>
            </w:r>
          </w:p>
        </w:tc>
        <w:tc>
          <w:tcPr>
            <w:tcW w:w="1418" w:type="dxa"/>
            <w:shd w:val="clear" w:color="auto" w:fill="E5B8B7" w:themeFill="accent2" w:themeFillTint="66"/>
          </w:tcPr>
          <w:p w14:paraId="7B6A29EA" w14:textId="77777777" w:rsidR="00EE3DF9" w:rsidRPr="00F5382B" w:rsidRDefault="00EE3DF9">
            <w:pPr>
              <w:jc w:val="right"/>
              <w:rPr>
                <w:bCs/>
                <w:noProof/>
                <w:sz w:val="16"/>
                <w:szCs w:val="16"/>
              </w:rPr>
            </w:pPr>
            <w:r w:rsidRPr="00F5382B">
              <w:rPr>
                <w:bCs/>
                <w:noProof/>
                <w:sz w:val="16"/>
                <w:szCs w:val="16"/>
              </w:rPr>
              <w:t>1 064 600</w:t>
            </w:r>
          </w:p>
        </w:tc>
      </w:tr>
      <w:tr w:rsidR="00EE3DF9" w:rsidRPr="00F5382B" w14:paraId="4EB7C5C6" w14:textId="77777777">
        <w:trPr>
          <w:trHeight w:val="233"/>
        </w:trPr>
        <w:tc>
          <w:tcPr>
            <w:tcW w:w="1303" w:type="dxa"/>
            <w:shd w:val="clear" w:color="auto" w:fill="E5B8B7" w:themeFill="accent2" w:themeFillTint="66"/>
          </w:tcPr>
          <w:p w14:paraId="7A5A36AD" w14:textId="77777777" w:rsidR="00EE3DF9" w:rsidRPr="00F5382B" w:rsidRDefault="00EE3DF9">
            <w:pPr>
              <w:rPr>
                <w:b/>
                <w:noProof/>
                <w:sz w:val="16"/>
                <w:szCs w:val="16"/>
              </w:rPr>
            </w:pPr>
            <w:r w:rsidRPr="00F5382B">
              <w:rPr>
                <w:noProof/>
                <w:sz w:val="16"/>
                <w:szCs w:val="16"/>
              </w:rPr>
              <w:t>Skills website (one-off costs)</w:t>
            </w:r>
          </w:p>
        </w:tc>
        <w:tc>
          <w:tcPr>
            <w:tcW w:w="1499" w:type="dxa"/>
            <w:shd w:val="clear" w:color="auto" w:fill="E5B8B7" w:themeFill="accent2" w:themeFillTint="66"/>
          </w:tcPr>
          <w:p w14:paraId="71F08248" w14:textId="77777777" w:rsidR="00EE3DF9" w:rsidRPr="00F5382B" w:rsidRDefault="00EE3DF9">
            <w:pPr>
              <w:rPr>
                <w:b/>
                <w:noProof/>
                <w:sz w:val="16"/>
                <w:szCs w:val="16"/>
              </w:rPr>
            </w:pPr>
          </w:p>
        </w:tc>
        <w:tc>
          <w:tcPr>
            <w:tcW w:w="595" w:type="dxa"/>
            <w:shd w:val="clear" w:color="auto" w:fill="E5B8B7" w:themeFill="accent2" w:themeFillTint="66"/>
          </w:tcPr>
          <w:p w14:paraId="32C2F2AD" w14:textId="77777777" w:rsidR="00EE3DF9" w:rsidRPr="00F5382B" w:rsidRDefault="00EE3DF9">
            <w:pPr>
              <w:jc w:val="right"/>
              <w:rPr>
                <w:b/>
                <w:noProof/>
                <w:sz w:val="16"/>
                <w:szCs w:val="16"/>
              </w:rPr>
            </w:pPr>
          </w:p>
        </w:tc>
        <w:tc>
          <w:tcPr>
            <w:tcW w:w="709" w:type="dxa"/>
            <w:shd w:val="clear" w:color="auto" w:fill="E5B8B7" w:themeFill="accent2" w:themeFillTint="66"/>
          </w:tcPr>
          <w:p w14:paraId="7BE4ADB0" w14:textId="77777777" w:rsidR="00EE3DF9" w:rsidRPr="00F5382B" w:rsidRDefault="00EE3DF9">
            <w:pPr>
              <w:jc w:val="right"/>
              <w:rPr>
                <w:b/>
                <w:noProof/>
                <w:sz w:val="16"/>
                <w:szCs w:val="16"/>
              </w:rPr>
            </w:pPr>
          </w:p>
        </w:tc>
        <w:tc>
          <w:tcPr>
            <w:tcW w:w="992" w:type="dxa"/>
            <w:shd w:val="clear" w:color="auto" w:fill="E5B8B7" w:themeFill="accent2" w:themeFillTint="66"/>
          </w:tcPr>
          <w:p w14:paraId="0EE826C9" w14:textId="77777777" w:rsidR="00EE3DF9" w:rsidRPr="00F5382B" w:rsidRDefault="00EE3DF9">
            <w:pPr>
              <w:jc w:val="right"/>
              <w:rPr>
                <w:b/>
                <w:noProof/>
                <w:sz w:val="16"/>
                <w:szCs w:val="16"/>
              </w:rPr>
            </w:pPr>
          </w:p>
        </w:tc>
        <w:tc>
          <w:tcPr>
            <w:tcW w:w="851" w:type="dxa"/>
            <w:shd w:val="clear" w:color="auto" w:fill="E5B8B7" w:themeFill="accent2" w:themeFillTint="66"/>
          </w:tcPr>
          <w:p w14:paraId="7B24AB95" w14:textId="77777777" w:rsidR="00EE3DF9" w:rsidRPr="00F5382B" w:rsidRDefault="00EE3DF9">
            <w:pPr>
              <w:jc w:val="right"/>
              <w:rPr>
                <w:b/>
                <w:noProof/>
                <w:sz w:val="16"/>
                <w:szCs w:val="16"/>
              </w:rPr>
            </w:pPr>
          </w:p>
        </w:tc>
        <w:tc>
          <w:tcPr>
            <w:tcW w:w="709" w:type="dxa"/>
            <w:shd w:val="clear" w:color="auto" w:fill="E5B8B7" w:themeFill="accent2" w:themeFillTint="66"/>
          </w:tcPr>
          <w:p w14:paraId="48D766AB" w14:textId="77777777" w:rsidR="00EE3DF9" w:rsidRPr="00F5382B" w:rsidRDefault="00EE3DF9">
            <w:pPr>
              <w:jc w:val="right"/>
              <w:rPr>
                <w:b/>
                <w:noProof/>
                <w:sz w:val="16"/>
                <w:szCs w:val="16"/>
              </w:rPr>
            </w:pPr>
          </w:p>
        </w:tc>
        <w:tc>
          <w:tcPr>
            <w:tcW w:w="1275" w:type="dxa"/>
            <w:shd w:val="clear" w:color="auto" w:fill="E5B8B7" w:themeFill="accent2" w:themeFillTint="66"/>
          </w:tcPr>
          <w:p w14:paraId="0A8A8B8F" w14:textId="77777777" w:rsidR="00EE3DF9" w:rsidRPr="00F5382B" w:rsidRDefault="00EE3DF9">
            <w:pPr>
              <w:jc w:val="right"/>
              <w:rPr>
                <w:b/>
                <w:noProof/>
                <w:sz w:val="16"/>
                <w:szCs w:val="16"/>
              </w:rPr>
            </w:pPr>
          </w:p>
        </w:tc>
        <w:tc>
          <w:tcPr>
            <w:tcW w:w="1418" w:type="dxa"/>
            <w:shd w:val="clear" w:color="auto" w:fill="E5B8B7" w:themeFill="accent2" w:themeFillTint="66"/>
          </w:tcPr>
          <w:p w14:paraId="0018B3D6" w14:textId="77777777" w:rsidR="00EE3DF9" w:rsidRPr="00F5382B" w:rsidRDefault="00EE3DF9">
            <w:pPr>
              <w:jc w:val="right"/>
              <w:rPr>
                <w:b/>
                <w:noProof/>
                <w:sz w:val="16"/>
                <w:szCs w:val="16"/>
              </w:rPr>
            </w:pPr>
            <w:r w:rsidRPr="00F5382B">
              <w:rPr>
                <w:noProof/>
                <w:sz w:val="16"/>
                <w:szCs w:val="16"/>
              </w:rPr>
              <w:t>1 000 000</w:t>
            </w:r>
          </w:p>
        </w:tc>
      </w:tr>
      <w:tr w:rsidR="00EE3DF9" w:rsidRPr="00F5382B" w14:paraId="57FA5B67" w14:textId="77777777">
        <w:trPr>
          <w:trHeight w:val="233"/>
        </w:trPr>
        <w:tc>
          <w:tcPr>
            <w:tcW w:w="1303" w:type="dxa"/>
            <w:shd w:val="clear" w:color="auto" w:fill="E5B8B7" w:themeFill="accent2" w:themeFillTint="66"/>
          </w:tcPr>
          <w:p w14:paraId="7B2B1D23" w14:textId="77777777" w:rsidR="00EE3DF9" w:rsidRPr="00F5382B" w:rsidRDefault="00EE3DF9">
            <w:pPr>
              <w:rPr>
                <w:b/>
                <w:noProof/>
                <w:sz w:val="16"/>
                <w:szCs w:val="16"/>
              </w:rPr>
            </w:pPr>
            <w:r w:rsidRPr="00F5382B">
              <w:rPr>
                <w:bCs/>
                <w:noProof/>
                <w:sz w:val="16"/>
                <w:szCs w:val="16"/>
              </w:rPr>
              <w:t>CRA platform maintenance</w:t>
            </w:r>
          </w:p>
        </w:tc>
        <w:tc>
          <w:tcPr>
            <w:tcW w:w="1499" w:type="dxa"/>
            <w:shd w:val="clear" w:color="auto" w:fill="E5B8B7" w:themeFill="accent2" w:themeFillTint="66"/>
          </w:tcPr>
          <w:p w14:paraId="4009B7E2" w14:textId="77777777" w:rsidR="00EE3DF9" w:rsidRPr="00F5382B" w:rsidRDefault="00EE3DF9">
            <w:pPr>
              <w:rPr>
                <w:b/>
                <w:noProof/>
                <w:sz w:val="16"/>
                <w:szCs w:val="16"/>
              </w:rPr>
            </w:pPr>
          </w:p>
        </w:tc>
        <w:tc>
          <w:tcPr>
            <w:tcW w:w="595" w:type="dxa"/>
            <w:shd w:val="clear" w:color="auto" w:fill="E5B8B7" w:themeFill="accent2" w:themeFillTint="66"/>
          </w:tcPr>
          <w:p w14:paraId="4FE02FCB" w14:textId="77777777" w:rsidR="00EE3DF9" w:rsidRPr="00F5382B" w:rsidRDefault="00EE3DF9">
            <w:pPr>
              <w:jc w:val="right"/>
              <w:rPr>
                <w:b/>
                <w:noProof/>
                <w:sz w:val="16"/>
                <w:szCs w:val="16"/>
              </w:rPr>
            </w:pPr>
          </w:p>
        </w:tc>
        <w:tc>
          <w:tcPr>
            <w:tcW w:w="709" w:type="dxa"/>
            <w:shd w:val="clear" w:color="auto" w:fill="E5B8B7" w:themeFill="accent2" w:themeFillTint="66"/>
          </w:tcPr>
          <w:p w14:paraId="66965EA7" w14:textId="77777777" w:rsidR="00EE3DF9" w:rsidRPr="00F5382B" w:rsidRDefault="00EE3DF9">
            <w:pPr>
              <w:jc w:val="right"/>
              <w:rPr>
                <w:b/>
                <w:noProof/>
                <w:sz w:val="16"/>
                <w:szCs w:val="16"/>
              </w:rPr>
            </w:pPr>
          </w:p>
        </w:tc>
        <w:tc>
          <w:tcPr>
            <w:tcW w:w="992" w:type="dxa"/>
            <w:shd w:val="clear" w:color="auto" w:fill="E5B8B7" w:themeFill="accent2" w:themeFillTint="66"/>
          </w:tcPr>
          <w:p w14:paraId="31BA19B1" w14:textId="77777777" w:rsidR="00EE3DF9" w:rsidRPr="00F5382B" w:rsidRDefault="00EE3DF9">
            <w:pPr>
              <w:jc w:val="right"/>
              <w:rPr>
                <w:b/>
                <w:noProof/>
                <w:sz w:val="16"/>
                <w:szCs w:val="16"/>
              </w:rPr>
            </w:pPr>
          </w:p>
        </w:tc>
        <w:tc>
          <w:tcPr>
            <w:tcW w:w="851" w:type="dxa"/>
            <w:shd w:val="clear" w:color="auto" w:fill="E5B8B7" w:themeFill="accent2" w:themeFillTint="66"/>
          </w:tcPr>
          <w:p w14:paraId="4B7859CA" w14:textId="77777777" w:rsidR="00EE3DF9" w:rsidRPr="00F5382B" w:rsidRDefault="00EE3DF9">
            <w:pPr>
              <w:jc w:val="right"/>
              <w:rPr>
                <w:b/>
                <w:noProof/>
                <w:sz w:val="16"/>
                <w:szCs w:val="16"/>
              </w:rPr>
            </w:pPr>
          </w:p>
        </w:tc>
        <w:tc>
          <w:tcPr>
            <w:tcW w:w="709" w:type="dxa"/>
            <w:shd w:val="clear" w:color="auto" w:fill="E5B8B7" w:themeFill="accent2" w:themeFillTint="66"/>
          </w:tcPr>
          <w:p w14:paraId="631986F4" w14:textId="77777777" w:rsidR="00EE3DF9" w:rsidRPr="00F5382B" w:rsidRDefault="00EE3DF9">
            <w:pPr>
              <w:jc w:val="right"/>
              <w:rPr>
                <w:b/>
                <w:noProof/>
                <w:sz w:val="16"/>
                <w:szCs w:val="16"/>
              </w:rPr>
            </w:pPr>
          </w:p>
        </w:tc>
        <w:tc>
          <w:tcPr>
            <w:tcW w:w="1275" w:type="dxa"/>
            <w:shd w:val="clear" w:color="auto" w:fill="E5B8B7" w:themeFill="accent2" w:themeFillTint="66"/>
          </w:tcPr>
          <w:p w14:paraId="655B200C" w14:textId="77777777" w:rsidR="00EE3DF9" w:rsidRPr="00F5382B" w:rsidRDefault="00EE3DF9">
            <w:pPr>
              <w:jc w:val="right"/>
              <w:rPr>
                <w:b/>
                <w:noProof/>
                <w:sz w:val="16"/>
                <w:szCs w:val="16"/>
              </w:rPr>
            </w:pPr>
            <w:r w:rsidRPr="00F5382B">
              <w:rPr>
                <w:noProof/>
                <w:sz w:val="16"/>
                <w:szCs w:val="16"/>
              </w:rPr>
              <w:t>2 000 000</w:t>
            </w:r>
          </w:p>
        </w:tc>
        <w:tc>
          <w:tcPr>
            <w:tcW w:w="1418" w:type="dxa"/>
            <w:shd w:val="clear" w:color="auto" w:fill="E5B8B7" w:themeFill="accent2" w:themeFillTint="66"/>
          </w:tcPr>
          <w:p w14:paraId="73E94B4A" w14:textId="77777777" w:rsidR="00EE3DF9" w:rsidRPr="00F5382B" w:rsidRDefault="00EE3DF9">
            <w:pPr>
              <w:jc w:val="right"/>
              <w:rPr>
                <w:b/>
                <w:noProof/>
                <w:sz w:val="16"/>
                <w:szCs w:val="16"/>
              </w:rPr>
            </w:pPr>
            <w:r w:rsidRPr="00F5382B">
              <w:rPr>
                <w:noProof/>
                <w:sz w:val="16"/>
                <w:szCs w:val="16"/>
              </w:rPr>
              <w:t>10 000 000</w:t>
            </w:r>
          </w:p>
        </w:tc>
      </w:tr>
      <w:tr w:rsidR="00EE3DF9" w:rsidRPr="00F5382B" w14:paraId="0B218468" w14:textId="77777777">
        <w:trPr>
          <w:trHeight w:val="233"/>
        </w:trPr>
        <w:tc>
          <w:tcPr>
            <w:tcW w:w="1303" w:type="dxa"/>
            <w:shd w:val="clear" w:color="auto" w:fill="E5B8B7" w:themeFill="accent2" w:themeFillTint="66"/>
          </w:tcPr>
          <w:p w14:paraId="3A9172A2" w14:textId="77777777" w:rsidR="00EE3DF9" w:rsidRPr="00F5382B" w:rsidRDefault="00EE3DF9">
            <w:pPr>
              <w:rPr>
                <w:noProof/>
                <w:sz w:val="16"/>
                <w:szCs w:val="16"/>
              </w:rPr>
            </w:pPr>
            <w:r w:rsidRPr="00F5382B">
              <w:rPr>
                <w:noProof/>
                <w:sz w:val="16"/>
                <w:szCs w:val="16"/>
              </w:rPr>
              <w:t>CRA implementation</w:t>
            </w:r>
          </w:p>
        </w:tc>
        <w:tc>
          <w:tcPr>
            <w:tcW w:w="1499" w:type="dxa"/>
            <w:shd w:val="clear" w:color="auto" w:fill="E5B8B7" w:themeFill="accent2" w:themeFillTint="66"/>
          </w:tcPr>
          <w:p w14:paraId="78E7801F" w14:textId="77777777" w:rsidR="00EE3DF9" w:rsidRPr="00F5382B" w:rsidRDefault="00EE3DF9">
            <w:pPr>
              <w:rPr>
                <w:b/>
                <w:noProof/>
                <w:sz w:val="16"/>
                <w:szCs w:val="16"/>
              </w:rPr>
            </w:pPr>
          </w:p>
        </w:tc>
        <w:tc>
          <w:tcPr>
            <w:tcW w:w="595" w:type="dxa"/>
            <w:shd w:val="clear" w:color="auto" w:fill="E5B8B7" w:themeFill="accent2" w:themeFillTint="66"/>
          </w:tcPr>
          <w:p w14:paraId="642B2C35" w14:textId="77777777" w:rsidR="00EE3DF9" w:rsidRPr="00F5382B" w:rsidRDefault="00EE3DF9">
            <w:pPr>
              <w:jc w:val="right"/>
              <w:rPr>
                <w:b/>
                <w:noProof/>
                <w:sz w:val="16"/>
                <w:szCs w:val="16"/>
              </w:rPr>
            </w:pPr>
          </w:p>
        </w:tc>
        <w:tc>
          <w:tcPr>
            <w:tcW w:w="709" w:type="dxa"/>
            <w:shd w:val="clear" w:color="auto" w:fill="E5B8B7" w:themeFill="accent2" w:themeFillTint="66"/>
          </w:tcPr>
          <w:p w14:paraId="674BCC56" w14:textId="77777777" w:rsidR="00EE3DF9" w:rsidRPr="00F5382B" w:rsidRDefault="00EE3DF9">
            <w:pPr>
              <w:jc w:val="right"/>
              <w:rPr>
                <w:b/>
                <w:noProof/>
                <w:sz w:val="16"/>
                <w:szCs w:val="16"/>
              </w:rPr>
            </w:pPr>
          </w:p>
        </w:tc>
        <w:tc>
          <w:tcPr>
            <w:tcW w:w="992" w:type="dxa"/>
            <w:shd w:val="clear" w:color="auto" w:fill="E5B8B7" w:themeFill="accent2" w:themeFillTint="66"/>
          </w:tcPr>
          <w:p w14:paraId="61EAEC56" w14:textId="77777777" w:rsidR="00EE3DF9" w:rsidRPr="00F5382B" w:rsidRDefault="00EE3DF9">
            <w:pPr>
              <w:jc w:val="right"/>
              <w:rPr>
                <w:b/>
                <w:noProof/>
                <w:sz w:val="16"/>
                <w:szCs w:val="16"/>
              </w:rPr>
            </w:pPr>
          </w:p>
        </w:tc>
        <w:tc>
          <w:tcPr>
            <w:tcW w:w="851" w:type="dxa"/>
            <w:shd w:val="clear" w:color="auto" w:fill="E5B8B7" w:themeFill="accent2" w:themeFillTint="66"/>
          </w:tcPr>
          <w:p w14:paraId="0C798B11" w14:textId="77777777" w:rsidR="00EE3DF9" w:rsidRPr="00F5382B" w:rsidRDefault="00EE3DF9">
            <w:pPr>
              <w:jc w:val="right"/>
              <w:rPr>
                <w:b/>
                <w:noProof/>
                <w:sz w:val="16"/>
                <w:szCs w:val="16"/>
              </w:rPr>
            </w:pPr>
          </w:p>
        </w:tc>
        <w:tc>
          <w:tcPr>
            <w:tcW w:w="709" w:type="dxa"/>
            <w:shd w:val="clear" w:color="auto" w:fill="E5B8B7" w:themeFill="accent2" w:themeFillTint="66"/>
          </w:tcPr>
          <w:p w14:paraId="2DD8CD44" w14:textId="77777777" w:rsidR="00EE3DF9" w:rsidRPr="00F5382B" w:rsidRDefault="00EE3DF9">
            <w:pPr>
              <w:jc w:val="right"/>
              <w:rPr>
                <w:b/>
                <w:noProof/>
                <w:sz w:val="16"/>
                <w:szCs w:val="16"/>
              </w:rPr>
            </w:pPr>
          </w:p>
        </w:tc>
        <w:tc>
          <w:tcPr>
            <w:tcW w:w="1275" w:type="dxa"/>
            <w:shd w:val="clear" w:color="auto" w:fill="E5B8B7" w:themeFill="accent2" w:themeFillTint="66"/>
          </w:tcPr>
          <w:p w14:paraId="7147651E" w14:textId="77777777" w:rsidR="00EE3DF9" w:rsidRPr="00F5382B" w:rsidRDefault="00EE3DF9">
            <w:pPr>
              <w:jc w:val="right"/>
              <w:rPr>
                <w:noProof/>
                <w:sz w:val="16"/>
                <w:szCs w:val="16"/>
              </w:rPr>
            </w:pPr>
            <w:r w:rsidRPr="00F5382B">
              <w:rPr>
                <w:noProof/>
                <w:sz w:val="16"/>
                <w:szCs w:val="16"/>
              </w:rPr>
              <w:t>2 000 000</w:t>
            </w:r>
          </w:p>
        </w:tc>
        <w:tc>
          <w:tcPr>
            <w:tcW w:w="1418" w:type="dxa"/>
            <w:shd w:val="clear" w:color="auto" w:fill="E5B8B7" w:themeFill="accent2" w:themeFillTint="66"/>
          </w:tcPr>
          <w:p w14:paraId="5AFF31AC" w14:textId="77777777" w:rsidR="00EE3DF9" w:rsidRPr="00F5382B" w:rsidRDefault="00EE3DF9">
            <w:pPr>
              <w:jc w:val="right"/>
              <w:rPr>
                <w:noProof/>
                <w:sz w:val="16"/>
                <w:szCs w:val="16"/>
              </w:rPr>
            </w:pPr>
            <w:r w:rsidRPr="00F5382B">
              <w:rPr>
                <w:noProof/>
                <w:sz w:val="16"/>
                <w:szCs w:val="16"/>
              </w:rPr>
              <w:t>10 000 000</w:t>
            </w:r>
          </w:p>
        </w:tc>
      </w:tr>
      <w:tr w:rsidR="00EE3DF9" w:rsidRPr="00F5382B" w14:paraId="102E00C7" w14:textId="77777777">
        <w:trPr>
          <w:trHeight w:val="233"/>
        </w:trPr>
        <w:tc>
          <w:tcPr>
            <w:tcW w:w="1303" w:type="dxa"/>
            <w:shd w:val="clear" w:color="auto" w:fill="E5B8B7" w:themeFill="accent2" w:themeFillTint="66"/>
          </w:tcPr>
          <w:p w14:paraId="1FE132FE" w14:textId="77777777" w:rsidR="00EE3DF9" w:rsidRPr="00F5382B" w:rsidRDefault="00EE3DF9">
            <w:pPr>
              <w:rPr>
                <w:b/>
                <w:noProof/>
                <w:sz w:val="16"/>
                <w:szCs w:val="16"/>
              </w:rPr>
            </w:pPr>
            <w:r w:rsidRPr="00F5382B">
              <w:rPr>
                <w:noProof/>
                <w:sz w:val="16"/>
                <w:szCs w:val="16"/>
              </w:rPr>
              <w:t>CTI services</w:t>
            </w:r>
          </w:p>
        </w:tc>
        <w:tc>
          <w:tcPr>
            <w:tcW w:w="1499" w:type="dxa"/>
            <w:shd w:val="clear" w:color="auto" w:fill="E5B8B7" w:themeFill="accent2" w:themeFillTint="66"/>
          </w:tcPr>
          <w:p w14:paraId="1D6E105E" w14:textId="77777777" w:rsidR="00EE3DF9" w:rsidRPr="00F5382B" w:rsidRDefault="00EE3DF9">
            <w:pPr>
              <w:rPr>
                <w:b/>
                <w:noProof/>
                <w:sz w:val="16"/>
                <w:szCs w:val="16"/>
              </w:rPr>
            </w:pPr>
          </w:p>
        </w:tc>
        <w:tc>
          <w:tcPr>
            <w:tcW w:w="595" w:type="dxa"/>
            <w:shd w:val="clear" w:color="auto" w:fill="E5B8B7" w:themeFill="accent2" w:themeFillTint="66"/>
          </w:tcPr>
          <w:p w14:paraId="2276B4AD" w14:textId="77777777" w:rsidR="00EE3DF9" w:rsidRPr="00F5382B" w:rsidRDefault="00EE3DF9">
            <w:pPr>
              <w:jc w:val="right"/>
              <w:rPr>
                <w:b/>
                <w:noProof/>
                <w:sz w:val="16"/>
                <w:szCs w:val="16"/>
              </w:rPr>
            </w:pPr>
          </w:p>
        </w:tc>
        <w:tc>
          <w:tcPr>
            <w:tcW w:w="709" w:type="dxa"/>
            <w:shd w:val="clear" w:color="auto" w:fill="E5B8B7" w:themeFill="accent2" w:themeFillTint="66"/>
          </w:tcPr>
          <w:p w14:paraId="3EFE121C" w14:textId="77777777" w:rsidR="00EE3DF9" w:rsidRPr="00F5382B" w:rsidRDefault="00EE3DF9">
            <w:pPr>
              <w:jc w:val="right"/>
              <w:rPr>
                <w:b/>
                <w:noProof/>
                <w:sz w:val="16"/>
                <w:szCs w:val="16"/>
              </w:rPr>
            </w:pPr>
          </w:p>
        </w:tc>
        <w:tc>
          <w:tcPr>
            <w:tcW w:w="992" w:type="dxa"/>
            <w:shd w:val="clear" w:color="auto" w:fill="E5B8B7" w:themeFill="accent2" w:themeFillTint="66"/>
          </w:tcPr>
          <w:p w14:paraId="34099E07" w14:textId="77777777" w:rsidR="00EE3DF9" w:rsidRPr="00F5382B" w:rsidRDefault="00EE3DF9">
            <w:pPr>
              <w:jc w:val="right"/>
              <w:rPr>
                <w:b/>
                <w:noProof/>
                <w:sz w:val="16"/>
                <w:szCs w:val="16"/>
              </w:rPr>
            </w:pPr>
          </w:p>
        </w:tc>
        <w:tc>
          <w:tcPr>
            <w:tcW w:w="851" w:type="dxa"/>
            <w:shd w:val="clear" w:color="auto" w:fill="E5B8B7" w:themeFill="accent2" w:themeFillTint="66"/>
          </w:tcPr>
          <w:p w14:paraId="700054EC" w14:textId="77777777" w:rsidR="00EE3DF9" w:rsidRPr="00F5382B" w:rsidRDefault="00EE3DF9">
            <w:pPr>
              <w:jc w:val="right"/>
              <w:rPr>
                <w:b/>
                <w:noProof/>
                <w:sz w:val="16"/>
                <w:szCs w:val="16"/>
              </w:rPr>
            </w:pPr>
          </w:p>
        </w:tc>
        <w:tc>
          <w:tcPr>
            <w:tcW w:w="709" w:type="dxa"/>
            <w:shd w:val="clear" w:color="auto" w:fill="E5B8B7" w:themeFill="accent2" w:themeFillTint="66"/>
          </w:tcPr>
          <w:p w14:paraId="57C6CE87" w14:textId="77777777" w:rsidR="00EE3DF9" w:rsidRPr="00F5382B" w:rsidRDefault="00EE3DF9">
            <w:pPr>
              <w:jc w:val="right"/>
              <w:rPr>
                <w:b/>
                <w:noProof/>
                <w:sz w:val="16"/>
                <w:szCs w:val="16"/>
              </w:rPr>
            </w:pPr>
          </w:p>
        </w:tc>
        <w:tc>
          <w:tcPr>
            <w:tcW w:w="1275" w:type="dxa"/>
            <w:shd w:val="clear" w:color="auto" w:fill="E5B8B7" w:themeFill="accent2" w:themeFillTint="66"/>
          </w:tcPr>
          <w:p w14:paraId="00EE075C" w14:textId="77777777" w:rsidR="00EE3DF9" w:rsidRPr="00F5382B" w:rsidRDefault="00EE3DF9">
            <w:pPr>
              <w:jc w:val="right"/>
              <w:rPr>
                <w:b/>
                <w:noProof/>
                <w:sz w:val="16"/>
                <w:szCs w:val="16"/>
              </w:rPr>
            </w:pPr>
            <w:r w:rsidRPr="00F5382B">
              <w:rPr>
                <w:noProof/>
                <w:sz w:val="16"/>
                <w:szCs w:val="16"/>
              </w:rPr>
              <w:t>4 000 000</w:t>
            </w:r>
          </w:p>
        </w:tc>
        <w:tc>
          <w:tcPr>
            <w:tcW w:w="1418" w:type="dxa"/>
            <w:shd w:val="clear" w:color="auto" w:fill="E5B8B7" w:themeFill="accent2" w:themeFillTint="66"/>
          </w:tcPr>
          <w:p w14:paraId="469D00A1" w14:textId="77777777" w:rsidR="00EE3DF9" w:rsidRPr="00F5382B" w:rsidRDefault="00EE3DF9">
            <w:pPr>
              <w:jc w:val="right"/>
              <w:rPr>
                <w:b/>
                <w:noProof/>
                <w:sz w:val="16"/>
                <w:szCs w:val="16"/>
              </w:rPr>
            </w:pPr>
            <w:r w:rsidRPr="00F5382B">
              <w:rPr>
                <w:noProof/>
                <w:sz w:val="16"/>
                <w:szCs w:val="16"/>
              </w:rPr>
              <w:t>20 000 000</w:t>
            </w:r>
          </w:p>
        </w:tc>
      </w:tr>
      <w:tr w:rsidR="00EE3DF9" w:rsidRPr="00F5382B" w14:paraId="66AE8EB5" w14:textId="77777777">
        <w:trPr>
          <w:trHeight w:val="233"/>
        </w:trPr>
        <w:tc>
          <w:tcPr>
            <w:tcW w:w="1303" w:type="dxa"/>
            <w:shd w:val="clear" w:color="auto" w:fill="E5B8B7" w:themeFill="accent2" w:themeFillTint="66"/>
          </w:tcPr>
          <w:p w14:paraId="4FE07A87" w14:textId="77777777" w:rsidR="00EE3DF9" w:rsidRPr="00F5382B" w:rsidRDefault="00EE3DF9">
            <w:pPr>
              <w:rPr>
                <w:b/>
                <w:noProof/>
                <w:sz w:val="16"/>
                <w:szCs w:val="16"/>
              </w:rPr>
            </w:pPr>
            <w:r w:rsidRPr="00F5382B">
              <w:rPr>
                <w:noProof/>
                <w:sz w:val="16"/>
                <w:szCs w:val="16"/>
              </w:rPr>
              <w:t>Single entry point – one-off costs</w:t>
            </w:r>
          </w:p>
        </w:tc>
        <w:tc>
          <w:tcPr>
            <w:tcW w:w="1499" w:type="dxa"/>
            <w:shd w:val="clear" w:color="auto" w:fill="E5B8B7" w:themeFill="accent2" w:themeFillTint="66"/>
          </w:tcPr>
          <w:p w14:paraId="71C97BA2" w14:textId="77777777" w:rsidR="00EE3DF9" w:rsidRPr="00F5382B" w:rsidRDefault="00EE3DF9">
            <w:pPr>
              <w:rPr>
                <w:b/>
                <w:noProof/>
                <w:sz w:val="16"/>
                <w:szCs w:val="16"/>
              </w:rPr>
            </w:pPr>
            <w:r w:rsidRPr="00F5382B">
              <w:rPr>
                <w:noProof/>
                <w:sz w:val="16"/>
                <w:szCs w:val="16"/>
              </w:rPr>
              <w:t>Design, equipment, legislations</w:t>
            </w:r>
          </w:p>
        </w:tc>
        <w:tc>
          <w:tcPr>
            <w:tcW w:w="595" w:type="dxa"/>
            <w:shd w:val="clear" w:color="auto" w:fill="E5B8B7" w:themeFill="accent2" w:themeFillTint="66"/>
          </w:tcPr>
          <w:p w14:paraId="5998F9F3" w14:textId="77777777" w:rsidR="00EE3DF9" w:rsidRPr="00F5382B" w:rsidRDefault="00EE3DF9">
            <w:pPr>
              <w:jc w:val="right"/>
              <w:rPr>
                <w:b/>
                <w:noProof/>
                <w:sz w:val="16"/>
                <w:szCs w:val="16"/>
              </w:rPr>
            </w:pPr>
          </w:p>
        </w:tc>
        <w:tc>
          <w:tcPr>
            <w:tcW w:w="709" w:type="dxa"/>
            <w:shd w:val="clear" w:color="auto" w:fill="E5B8B7" w:themeFill="accent2" w:themeFillTint="66"/>
          </w:tcPr>
          <w:p w14:paraId="5CB9C21B" w14:textId="77777777" w:rsidR="00EE3DF9" w:rsidRPr="00F5382B" w:rsidRDefault="00EE3DF9">
            <w:pPr>
              <w:jc w:val="right"/>
              <w:rPr>
                <w:b/>
                <w:noProof/>
                <w:sz w:val="16"/>
                <w:szCs w:val="16"/>
              </w:rPr>
            </w:pPr>
          </w:p>
        </w:tc>
        <w:tc>
          <w:tcPr>
            <w:tcW w:w="992" w:type="dxa"/>
            <w:shd w:val="clear" w:color="auto" w:fill="E5B8B7" w:themeFill="accent2" w:themeFillTint="66"/>
          </w:tcPr>
          <w:p w14:paraId="5D58760D" w14:textId="77777777" w:rsidR="00EE3DF9" w:rsidRPr="00F5382B" w:rsidRDefault="00EE3DF9">
            <w:pPr>
              <w:jc w:val="right"/>
              <w:rPr>
                <w:b/>
                <w:noProof/>
                <w:sz w:val="16"/>
                <w:szCs w:val="16"/>
              </w:rPr>
            </w:pPr>
          </w:p>
        </w:tc>
        <w:tc>
          <w:tcPr>
            <w:tcW w:w="851" w:type="dxa"/>
            <w:shd w:val="clear" w:color="auto" w:fill="E5B8B7" w:themeFill="accent2" w:themeFillTint="66"/>
          </w:tcPr>
          <w:p w14:paraId="25B5AE4F" w14:textId="77777777" w:rsidR="00EE3DF9" w:rsidRPr="00F5382B" w:rsidRDefault="00EE3DF9">
            <w:pPr>
              <w:jc w:val="right"/>
              <w:rPr>
                <w:b/>
                <w:noProof/>
                <w:sz w:val="16"/>
                <w:szCs w:val="16"/>
              </w:rPr>
            </w:pPr>
          </w:p>
        </w:tc>
        <w:tc>
          <w:tcPr>
            <w:tcW w:w="709" w:type="dxa"/>
            <w:shd w:val="clear" w:color="auto" w:fill="E5B8B7" w:themeFill="accent2" w:themeFillTint="66"/>
          </w:tcPr>
          <w:p w14:paraId="45ECE185" w14:textId="77777777" w:rsidR="00EE3DF9" w:rsidRPr="00F5382B" w:rsidRDefault="00EE3DF9">
            <w:pPr>
              <w:jc w:val="right"/>
              <w:rPr>
                <w:b/>
                <w:noProof/>
                <w:sz w:val="16"/>
                <w:szCs w:val="16"/>
              </w:rPr>
            </w:pPr>
          </w:p>
        </w:tc>
        <w:tc>
          <w:tcPr>
            <w:tcW w:w="1275" w:type="dxa"/>
            <w:shd w:val="clear" w:color="auto" w:fill="E5B8B7" w:themeFill="accent2" w:themeFillTint="66"/>
          </w:tcPr>
          <w:p w14:paraId="2B947679" w14:textId="77777777" w:rsidR="00EE3DF9" w:rsidRPr="00F5382B" w:rsidRDefault="00EE3DF9">
            <w:pPr>
              <w:jc w:val="right"/>
              <w:rPr>
                <w:b/>
                <w:noProof/>
                <w:sz w:val="16"/>
                <w:szCs w:val="16"/>
              </w:rPr>
            </w:pPr>
          </w:p>
        </w:tc>
        <w:tc>
          <w:tcPr>
            <w:tcW w:w="1418" w:type="dxa"/>
            <w:shd w:val="clear" w:color="auto" w:fill="E5B8B7" w:themeFill="accent2" w:themeFillTint="66"/>
          </w:tcPr>
          <w:p w14:paraId="7991BA8C" w14:textId="77777777" w:rsidR="00EE3DF9" w:rsidRPr="00F5382B" w:rsidRDefault="00EE3DF9">
            <w:pPr>
              <w:jc w:val="right"/>
              <w:rPr>
                <w:b/>
                <w:noProof/>
                <w:sz w:val="16"/>
                <w:szCs w:val="16"/>
              </w:rPr>
            </w:pPr>
            <w:r w:rsidRPr="00F5382B">
              <w:rPr>
                <w:noProof/>
                <w:sz w:val="16"/>
                <w:szCs w:val="16"/>
              </w:rPr>
              <w:t>8 000 000</w:t>
            </w:r>
          </w:p>
        </w:tc>
      </w:tr>
      <w:tr w:rsidR="00EE3DF9" w:rsidRPr="00F5382B" w14:paraId="51E0F9F9" w14:textId="77777777">
        <w:trPr>
          <w:trHeight w:val="233"/>
        </w:trPr>
        <w:tc>
          <w:tcPr>
            <w:tcW w:w="1303" w:type="dxa"/>
            <w:shd w:val="clear" w:color="auto" w:fill="E5B8B7" w:themeFill="accent2" w:themeFillTint="66"/>
          </w:tcPr>
          <w:p w14:paraId="51A5ADB7" w14:textId="77777777" w:rsidR="00EE3DF9" w:rsidRPr="00F5382B" w:rsidRDefault="00EE3DF9">
            <w:pPr>
              <w:rPr>
                <w:b/>
                <w:noProof/>
                <w:sz w:val="16"/>
                <w:szCs w:val="16"/>
              </w:rPr>
            </w:pPr>
            <w:r w:rsidRPr="00F5382B">
              <w:rPr>
                <w:bCs/>
                <w:noProof/>
                <w:sz w:val="16"/>
                <w:szCs w:val="16"/>
              </w:rPr>
              <w:t>Secure communications set-up (one-off costs)</w:t>
            </w:r>
          </w:p>
        </w:tc>
        <w:tc>
          <w:tcPr>
            <w:tcW w:w="1499" w:type="dxa"/>
            <w:shd w:val="clear" w:color="auto" w:fill="E5B8B7" w:themeFill="accent2" w:themeFillTint="66"/>
          </w:tcPr>
          <w:p w14:paraId="5C0617E6" w14:textId="77777777" w:rsidR="00EE3DF9" w:rsidRPr="00F5382B" w:rsidRDefault="00EE3DF9">
            <w:pPr>
              <w:rPr>
                <w:b/>
                <w:noProof/>
                <w:sz w:val="16"/>
                <w:szCs w:val="16"/>
              </w:rPr>
            </w:pPr>
          </w:p>
        </w:tc>
        <w:tc>
          <w:tcPr>
            <w:tcW w:w="595" w:type="dxa"/>
            <w:shd w:val="clear" w:color="auto" w:fill="E5B8B7" w:themeFill="accent2" w:themeFillTint="66"/>
          </w:tcPr>
          <w:p w14:paraId="70CFCB43" w14:textId="77777777" w:rsidR="00EE3DF9" w:rsidRPr="00F5382B" w:rsidRDefault="00EE3DF9">
            <w:pPr>
              <w:jc w:val="right"/>
              <w:rPr>
                <w:b/>
                <w:noProof/>
                <w:sz w:val="16"/>
                <w:szCs w:val="16"/>
              </w:rPr>
            </w:pPr>
          </w:p>
        </w:tc>
        <w:tc>
          <w:tcPr>
            <w:tcW w:w="709" w:type="dxa"/>
            <w:shd w:val="clear" w:color="auto" w:fill="E5B8B7" w:themeFill="accent2" w:themeFillTint="66"/>
          </w:tcPr>
          <w:p w14:paraId="6EB5BB14" w14:textId="77777777" w:rsidR="00EE3DF9" w:rsidRPr="00F5382B" w:rsidRDefault="00EE3DF9">
            <w:pPr>
              <w:jc w:val="right"/>
              <w:rPr>
                <w:b/>
                <w:noProof/>
                <w:sz w:val="16"/>
                <w:szCs w:val="16"/>
              </w:rPr>
            </w:pPr>
          </w:p>
        </w:tc>
        <w:tc>
          <w:tcPr>
            <w:tcW w:w="992" w:type="dxa"/>
            <w:shd w:val="clear" w:color="auto" w:fill="E5B8B7" w:themeFill="accent2" w:themeFillTint="66"/>
          </w:tcPr>
          <w:p w14:paraId="4CD6E447" w14:textId="77777777" w:rsidR="00EE3DF9" w:rsidRPr="00F5382B" w:rsidRDefault="00EE3DF9">
            <w:pPr>
              <w:jc w:val="right"/>
              <w:rPr>
                <w:b/>
                <w:noProof/>
                <w:sz w:val="16"/>
                <w:szCs w:val="16"/>
              </w:rPr>
            </w:pPr>
          </w:p>
        </w:tc>
        <w:tc>
          <w:tcPr>
            <w:tcW w:w="851" w:type="dxa"/>
            <w:shd w:val="clear" w:color="auto" w:fill="E5B8B7" w:themeFill="accent2" w:themeFillTint="66"/>
          </w:tcPr>
          <w:p w14:paraId="6B0054ED" w14:textId="77777777" w:rsidR="00EE3DF9" w:rsidRPr="00F5382B" w:rsidRDefault="00EE3DF9">
            <w:pPr>
              <w:jc w:val="right"/>
              <w:rPr>
                <w:b/>
                <w:noProof/>
                <w:sz w:val="16"/>
                <w:szCs w:val="16"/>
              </w:rPr>
            </w:pPr>
          </w:p>
        </w:tc>
        <w:tc>
          <w:tcPr>
            <w:tcW w:w="709" w:type="dxa"/>
            <w:shd w:val="clear" w:color="auto" w:fill="E5B8B7" w:themeFill="accent2" w:themeFillTint="66"/>
          </w:tcPr>
          <w:p w14:paraId="06C6FFD6" w14:textId="77777777" w:rsidR="00EE3DF9" w:rsidRPr="00F5382B" w:rsidRDefault="00EE3DF9">
            <w:pPr>
              <w:jc w:val="right"/>
              <w:rPr>
                <w:b/>
                <w:noProof/>
                <w:sz w:val="16"/>
                <w:szCs w:val="16"/>
              </w:rPr>
            </w:pPr>
          </w:p>
        </w:tc>
        <w:tc>
          <w:tcPr>
            <w:tcW w:w="1275" w:type="dxa"/>
            <w:shd w:val="clear" w:color="auto" w:fill="E5B8B7" w:themeFill="accent2" w:themeFillTint="66"/>
          </w:tcPr>
          <w:p w14:paraId="1B517269" w14:textId="77777777" w:rsidR="00EE3DF9" w:rsidRPr="00F5382B" w:rsidRDefault="00EE3DF9">
            <w:pPr>
              <w:jc w:val="right"/>
              <w:rPr>
                <w:b/>
                <w:noProof/>
                <w:sz w:val="16"/>
                <w:szCs w:val="16"/>
              </w:rPr>
            </w:pPr>
          </w:p>
        </w:tc>
        <w:tc>
          <w:tcPr>
            <w:tcW w:w="1418" w:type="dxa"/>
            <w:shd w:val="clear" w:color="auto" w:fill="E5B8B7" w:themeFill="accent2" w:themeFillTint="66"/>
          </w:tcPr>
          <w:p w14:paraId="1E9EEC6E" w14:textId="77777777" w:rsidR="00EE3DF9" w:rsidRPr="00F5382B" w:rsidRDefault="00EE3DF9">
            <w:pPr>
              <w:jc w:val="right"/>
              <w:rPr>
                <w:b/>
                <w:noProof/>
                <w:sz w:val="16"/>
                <w:szCs w:val="16"/>
              </w:rPr>
            </w:pPr>
            <w:r w:rsidRPr="00F5382B">
              <w:rPr>
                <w:noProof/>
                <w:sz w:val="16"/>
                <w:szCs w:val="16"/>
              </w:rPr>
              <w:t>1 100 000</w:t>
            </w:r>
          </w:p>
        </w:tc>
      </w:tr>
      <w:tr w:rsidR="00EE3DF9" w:rsidRPr="00F5382B" w14:paraId="4934A19D" w14:textId="77777777">
        <w:trPr>
          <w:trHeight w:val="233"/>
        </w:trPr>
        <w:tc>
          <w:tcPr>
            <w:tcW w:w="1303" w:type="dxa"/>
            <w:shd w:val="clear" w:color="auto" w:fill="E5B8B7" w:themeFill="accent2" w:themeFillTint="66"/>
          </w:tcPr>
          <w:p w14:paraId="3EE2A045" w14:textId="77777777" w:rsidR="00EE3DF9" w:rsidRPr="00F5382B" w:rsidRDefault="00EE3DF9">
            <w:pPr>
              <w:rPr>
                <w:bCs/>
                <w:noProof/>
                <w:sz w:val="16"/>
                <w:szCs w:val="16"/>
              </w:rPr>
            </w:pPr>
            <w:r w:rsidRPr="00F5382B">
              <w:rPr>
                <w:bCs/>
                <w:noProof/>
                <w:sz w:val="16"/>
                <w:szCs w:val="16"/>
              </w:rPr>
              <w:t>Secure communications maintenance</w:t>
            </w:r>
          </w:p>
        </w:tc>
        <w:tc>
          <w:tcPr>
            <w:tcW w:w="1499" w:type="dxa"/>
            <w:shd w:val="clear" w:color="auto" w:fill="E5B8B7" w:themeFill="accent2" w:themeFillTint="66"/>
          </w:tcPr>
          <w:p w14:paraId="172B569A" w14:textId="77777777" w:rsidR="00EE3DF9" w:rsidRPr="00F5382B" w:rsidRDefault="00EE3DF9">
            <w:pPr>
              <w:rPr>
                <w:b/>
                <w:noProof/>
                <w:sz w:val="16"/>
                <w:szCs w:val="16"/>
              </w:rPr>
            </w:pPr>
          </w:p>
        </w:tc>
        <w:tc>
          <w:tcPr>
            <w:tcW w:w="595" w:type="dxa"/>
            <w:shd w:val="clear" w:color="auto" w:fill="E5B8B7" w:themeFill="accent2" w:themeFillTint="66"/>
          </w:tcPr>
          <w:p w14:paraId="74A61C1F" w14:textId="77777777" w:rsidR="00EE3DF9" w:rsidRPr="00F5382B" w:rsidRDefault="00EE3DF9">
            <w:pPr>
              <w:jc w:val="right"/>
              <w:rPr>
                <w:b/>
                <w:noProof/>
                <w:sz w:val="16"/>
                <w:szCs w:val="16"/>
              </w:rPr>
            </w:pPr>
          </w:p>
        </w:tc>
        <w:tc>
          <w:tcPr>
            <w:tcW w:w="709" w:type="dxa"/>
            <w:shd w:val="clear" w:color="auto" w:fill="E5B8B7" w:themeFill="accent2" w:themeFillTint="66"/>
          </w:tcPr>
          <w:p w14:paraId="2391CAB9" w14:textId="77777777" w:rsidR="00EE3DF9" w:rsidRPr="00F5382B" w:rsidRDefault="00EE3DF9">
            <w:pPr>
              <w:jc w:val="right"/>
              <w:rPr>
                <w:b/>
                <w:noProof/>
                <w:sz w:val="16"/>
                <w:szCs w:val="16"/>
              </w:rPr>
            </w:pPr>
          </w:p>
        </w:tc>
        <w:tc>
          <w:tcPr>
            <w:tcW w:w="992" w:type="dxa"/>
            <w:shd w:val="clear" w:color="auto" w:fill="E5B8B7" w:themeFill="accent2" w:themeFillTint="66"/>
          </w:tcPr>
          <w:p w14:paraId="2B1ADF9E" w14:textId="77777777" w:rsidR="00EE3DF9" w:rsidRPr="00F5382B" w:rsidRDefault="00EE3DF9">
            <w:pPr>
              <w:jc w:val="right"/>
              <w:rPr>
                <w:b/>
                <w:noProof/>
                <w:sz w:val="16"/>
                <w:szCs w:val="16"/>
              </w:rPr>
            </w:pPr>
          </w:p>
        </w:tc>
        <w:tc>
          <w:tcPr>
            <w:tcW w:w="851" w:type="dxa"/>
            <w:shd w:val="clear" w:color="auto" w:fill="E5B8B7" w:themeFill="accent2" w:themeFillTint="66"/>
          </w:tcPr>
          <w:p w14:paraId="41018405" w14:textId="77777777" w:rsidR="00EE3DF9" w:rsidRPr="00F5382B" w:rsidRDefault="00EE3DF9">
            <w:pPr>
              <w:jc w:val="right"/>
              <w:rPr>
                <w:b/>
                <w:noProof/>
                <w:sz w:val="16"/>
                <w:szCs w:val="16"/>
              </w:rPr>
            </w:pPr>
          </w:p>
        </w:tc>
        <w:tc>
          <w:tcPr>
            <w:tcW w:w="709" w:type="dxa"/>
            <w:shd w:val="clear" w:color="auto" w:fill="E5B8B7" w:themeFill="accent2" w:themeFillTint="66"/>
          </w:tcPr>
          <w:p w14:paraId="72328290" w14:textId="77777777" w:rsidR="00EE3DF9" w:rsidRPr="00F5382B" w:rsidRDefault="00EE3DF9">
            <w:pPr>
              <w:jc w:val="right"/>
              <w:rPr>
                <w:b/>
                <w:noProof/>
                <w:sz w:val="16"/>
                <w:szCs w:val="16"/>
              </w:rPr>
            </w:pPr>
          </w:p>
        </w:tc>
        <w:tc>
          <w:tcPr>
            <w:tcW w:w="1275" w:type="dxa"/>
            <w:shd w:val="clear" w:color="auto" w:fill="E5B8B7" w:themeFill="accent2" w:themeFillTint="66"/>
          </w:tcPr>
          <w:p w14:paraId="16C7CAD9" w14:textId="77777777" w:rsidR="00EE3DF9" w:rsidRPr="00F5382B" w:rsidDel="003E2D0C" w:rsidRDefault="00EE3DF9">
            <w:pPr>
              <w:jc w:val="right"/>
              <w:rPr>
                <w:noProof/>
                <w:sz w:val="16"/>
                <w:szCs w:val="16"/>
              </w:rPr>
            </w:pPr>
            <w:r w:rsidRPr="00F5382B">
              <w:rPr>
                <w:noProof/>
                <w:sz w:val="16"/>
                <w:szCs w:val="16"/>
              </w:rPr>
              <w:t>1 083 250</w:t>
            </w:r>
          </w:p>
        </w:tc>
        <w:tc>
          <w:tcPr>
            <w:tcW w:w="1418" w:type="dxa"/>
            <w:shd w:val="clear" w:color="auto" w:fill="E5B8B7" w:themeFill="accent2" w:themeFillTint="66"/>
          </w:tcPr>
          <w:p w14:paraId="09BD961E" w14:textId="77777777" w:rsidR="00EE3DF9" w:rsidRPr="00F5382B" w:rsidRDefault="00EE3DF9">
            <w:pPr>
              <w:jc w:val="right"/>
              <w:rPr>
                <w:noProof/>
                <w:sz w:val="16"/>
                <w:szCs w:val="16"/>
              </w:rPr>
            </w:pPr>
            <w:r w:rsidRPr="00F5382B">
              <w:rPr>
                <w:noProof/>
                <w:sz w:val="16"/>
                <w:szCs w:val="16"/>
              </w:rPr>
              <w:t>4 333 000</w:t>
            </w:r>
          </w:p>
        </w:tc>
      </w:tr>
      <w:tr w:rsidR="00EE3DF9" w:rsidRPr="00F5382B" w14:paraId="2F09B36C" w14:textId="77777777">
        <w:trPr>
          <w:trHeight w:val="233"/>
        </w:trPr>
        <w:tc>
          <w:tcPr>
            <w:tcW w:w="1303" w:type="dxa"/>
            <w:shd w:val="clear" w:color="auto" w:fill="E5B8B7" w:themeFill="accent2" w:themeFillTint="66"/>
          </w:tcPr>
          <w:p w14:paraId="0328DE07" w14:textId="77777777" w:rsidR="00EE3DF9" w:rsidRPr="00F5382B" w:rsidRDefault="00EE3DF9">
            <w:pPr>
              <w:rPr>
                <w:bCs/>
                <w:noProof/>
                <w:sz w:val="16"/>
                <w:szCs w:val="16"/>
              </w:rPr>
            </w:pPr>
            <w:r w:rsidRPr="00F5382B">
              <w:rPr>
                <w:bCs/>
                <w:noProof/>
                <w:sz w:val="16"/>
                <w:szCs w:val="16"/>
              </w:rPr>
              <w:t>Cyber maturity</w:t>
            </w:r>
          </w:p>
        </w:tc>
        <w:tc>
          <w:tcPr>
            <w:tcW w:w="1499" w:type="dxa"/>
            <w:shd w:val="clear" w:color="auto" w:fill="E5B8B7" w:themeFill="accent2" w:themeFillTint="66"/>
          </w:tcPr>
          <w:p w14:paraId="51DA6BCA" w14:textId="77777777" w:rsidR="00EE3DF9" w:rsidRPr="00F5382B" w:rsidRDefault="00EE3DF9">
            <w:pPr>
              <w:rPr>
                <w:b/>
                <w:noProof/>
                <w:sz w:val="16"/>
                <w:szCs w:val="16"/>
              </w:rPr>
            </w:pPr>
          </w:p>
        </w:tc>
        <w:tc>
          <w:tcPr>
            <w:tcW w:w="595" w:type="dxa"/>
            <w:shd w:val="clear" w:color="auto" w:fill="E5B8B7" w:themeFill="accent2" w:themeFillTint="66"/>
          </w:tcPr>
          <w:p w14:paraId="4365F588" w14:textId="77777777" w:rsidR="00EE3DF9" w:rsidRPr="00F5382B" w:rsidRDefault="00EE3DF9">
            <w:pPr>
              <w:jc w:val="right"/>
              <w:rPr>
                <w:b/>
                <w:noProof/>
                <w:sz w:val="16"/>
                <w:szCs w:val="16"/>
              </w:rPr>
            </w:pPr>
          </w:p>
        </w:tc>
        <w:tc>
          <w:tcPr>
            <w:tcW w:w="709" w:type="dxa"/>
            <w:shd w:val="clear" w:color="auto" w:fill="E5B8B7" w:themeFill="accent2" w:themeFillTint="66"/>
          </w:tcPr>
          <w:p w14:paraId="39894862" w14:textId="77777777" w:rsidR="00EE3DF9" w:rsidRPr="00F5382B" w:rsidRDefault="00EE3DF9">
            <w:pPr>
              <w:jc w:val="right"/>
              <w:rPr>
                <w:b/>
                <w:noProof/>
                <w:sz w:val="16"/>
                <w:szCs w:val="16"/>
              </w:rPr>
            </w:pPr>
          </w:p>
        </w:tc>
        <w:tc>
          <w:tcPr>
            <w:tcW w:w="992" w:type="dxa"/>
            <w:shd w:val="clear" w:color="auto" w:fill="E5B8B7" w:themeFill="accent2" w:themeFillTint="66"/>
          </w:tcPr>
          <w:p w14:paraId="62AAB99B" w14:textId="77777777" w:rsidR="00EE3DF9" w:rsidRPr="00F5382B" w:rsidRDefault="00EE3DF9">
            <w:pPr>
              <w:jc w:val="right"/>
              <w:rPr>
                <w:b/>
                <w:noProof/>
                <w:sz w:val="16"/>
                <w:szCs w:val="16"/>
              </w:rPr>
            </w:pPr>
          </w:p>
        </w:tc>
        <w:tc>
          <w:tcPr>
            <w:tcW w:w="851" w:type="dxa"/>
            <w:shd w:val="clear" w:color="auto" w:fill="E5B8B7" w:themeFill="accent2" w:themeFillTint="66"/>
          </w:tcPr>
          <w:p w14:paraId="4A9F5FA0" w14:textId="77777777" w:rsidR="00EE3DF9" w:rsidRPr="00F5382B" w:rsidRDefault="00EE3DF9">
            <w:pPr>
              <w:jc w:val="right"/>
              <w:rPr>
                <w:b/>
                <w:noProof/>
                <w:sz w:val="16"/>
                <w:szCs w:val="16"/>
              </w:rPr>
            </w:pPr>
          </w:p>
        </w:tc>
        <w:tc>
          <w:tcPr>
            <w:tcW w:w="709" w:type="dxa"/>
            <w:shd w:val="clear" w:color="auto" w:fill="E5B8B7" w:themeFill="accent2" w:themeFillTint="66"/>
          </w:tcPr>
          <w:p w14:paraId="5F2461AD" w14:textId="77777777" w:rsidR="00EE3DF9" w:rsidRPr="00F5382B" w:rsidRDefault="00EE3DF9">
            <w:pPr>
              <w:jc w:val="right"/>
              <w:rPr>
                <w:b/>
                <w:noProof/>
                <w:sz w:val="16"/>
                <w:szCs w:val="16"/>
              </w:rPr>
            </w:pPr>
          </w:p>
        </w:tc>
        <w:tc>
          <w:tcPr>
            <w:tcW w:w="1275" w:type="dxa"/>
            <w:shd w:val="clear" w:color="auto" w:fill="E5B8B7" w:themeFill="accent2" w:themeFillTint="66"/>
          </w:tcPr>
          <w:p w14:paraId="11C420E9" w14:textId="77777777" w:rsidR="00EE3DF9" w:rsidRPr="00F5382B" w:rsidDel="003E2D0C" w:rsidRDefault="00EE3DF9">
            <w:pPr>
              <w:jc w:val="right"/>
              <w:rPr>
                <w:noProof/>
                <w:sz w:val="16"/>
                <w:szCs w:val="16"/>
              </w:rPr>
            </w:pPr>
            <w:r w:rsidRPr="00F5382B">
              <w:rPr>
                <w:noProof/>
                <w:sz w:val="16"/>
                <w:szCs w:val="16"/>
              </w:rPr>
              <w:t>3 000 000</w:t>
            </w:r>
          </w:p>
        </w:tc>
        <w:tc>
          <w:tcPr>
            <w:tcW w:w="1418" w:type="dxa"/>
            <w:shd w:val="clear" w:color="auto" w:fill="E5B8B7" w:themeFill="accent2" w:themeFillTint="66"/>
          </w:tcPr>
          <w:p w14:paraId="2C2F562C" w14:textId="77777777" w:rsidR="00EE3DF9" w:rsidRPr="00F5382B" w:rsidRDefault="00EE3DF9">
            <w:pPr>
              <w:jc w:val="right"/>
              <w:rPr>
                <w:noProof/>
                <w:sz w:val="16"/>
                <w:szCs w:val="16"/>
              </w:rPr>
            </w:pPr>
            <w:r w:rsidRPr="00F5382B">
              <w:rPr>
                <w:noProof/>
                <w:sz w:val="16"/>
                <w:szCs w:val="16"/>
              </w:rPr>
              <w:t>15 000 000</w:t>
            </w:r>
          </w:p>
        </w:tc>
      </w:tr>
      <w:tr w:rsidR="00EE3DF9" w:rsidRPr="00F5382B" w14:paraId="6D6D419E" w14:textId="77777777">
        <w:trPr>
          <w:trHeight w:val="233"/>
        </w:trPr>
        <w:tc>
          <w:tcPr>
            <w:tcW w:w="1303" w:type="dxa"/>
            <w:shd w:val="clear" w:color="auto" w:fill="D99594" w:themeFill="accent2" w:themeFillTint="99"/>
          </w:tcPr>
          <w:p w14:paraId="2234FD1E" w14:textId="77777777" w:rsidR="00EE3DF9" w:rsidRPr="00F5382B" w:rsidRDefault="00EE3DF9">
            <w:pPr>
              <w:rPr>
                <w:b/>
                <w:noProof/>
                <w:sz w:val="16"/>
                <w:szCs w:val="16"/>
              </w:rPr>
            </w:pPr>
            <w:r w:rsidRPr="00F5382B">
              <w:rPr>
                <w:b/>
                <w:noProof/>
                <w:sz w:val="16"/>
                <w:szCs w:val="16"/>
              </w:rPr>
              <w:t>Total costs for ENISA</w:t>
            </w:r>
          </w:p>
        </w:tc>
        <w:tc>
          <w:tcPr>
            <w:tcW w:w="1499" w:type="dxa"/>
            <w:shd w:val="clear" w:color="auto" w:fill="D99594" w:themeFill="accent2" w:themeFillTint="99"/>
          </w:tcPr>
          <w:p w14:paraId="65DF3B4B" w14:textId="77777777" w:rsidR="00EE3DF9" w:rsidRPr="00F5382B" w:rsidRDefault="00EE3DF9">
            <w:pPr>
              <w:rPr>
                <w:b/>
                <w:noProof/>
                <w:sz w:val="16"/>
                <w:szCs w:val="16"/>
              </w:rPr>
            </w:pPr>
          </w:p>
        </w:tc>
        <w:tc>
          <w:tcPr>
            <w:tcW w:w="595" w:type="dxa"/>
            <w:shd w:val="clear" w:color="auto" w:fill="D99594" w:themeFill="accent2" w:themeFillTint="99"/>
          </w:tcPr>
          <w:p w14:paraId="3FF28C74" w14:textId="77777777" w:rsidR="00EE3DF9" w:rsidRPr="00F5382B" w:rsidRDefault="00EE3DF9">
            <w:pPr>
              <w:jc w:val="right"/>
              <w:rPr>
                <w:b/>
                <w:noProof/>
                <w:sz w:val="16"/>
                <w:szCs w:val="16"/>
              </w:rPr>
            </w:pPr>
          </w:p>
        </w:tc>
        <w:tc>
          <w:tcPr>
            <w:tcW w:w="709" w:type="dxa"/>
            <w:shd w:val="clear" w:color="auto" w:fill="D99594" w:themeFill="accent2" w:themeFillTint="99"/>
          </w:tcPr>
          <w:p w14:paraId="570320AC" w14:textId="77777777" w:rsidR="00EE3DF9" w:rsidRPr="00F5382B" w:rsidRDefault="00EE3DF9">
            <w:pPr>
              <w:jc w:val="right"/>
              <w:rPr>
                <w:b/>
                <w:noProof/>
                <w:sz w:val="16"/>
                <w:szCs w:val="16"/>
              </w:rPr>
            </w:pPr>
          </w:p>
        </w:tc>
        <w:tc>
          <w:tcPr>
            <w:tcW w:w="992" w:type="dxa"/>
            <w:shd w:val="clear" w:color="auto" w:fill="D99594" w:themeFill="accent2" w:themeFillTint="99"/>
          </w:tcPr>
          <w:p w14:paraId="2E093ADB" w14:textId="77777777" w:rsidR="00EE3DF9" w:rsidRPr="00F5382B" w:rsidRDefault="00EE3DF9">
            <w:pPr>
              <w:jc w:val="right"/>
              <w:rPr>
                <w:b/>
                <w:noProof/>
                <w:sz w:val="16"/>
                <w:szCs w:val="16"/>
              </w:rPr>
            </w:pPr>
          </w:p>
        </w:tc>
        <w:tc>
          <w:tcPr>
            <w:tcW w:w="851" w:type="dxa"/>
            <w:shd w:val="clear" w:color="auto" w:fill="D99594" w:themeFill="accent2" w:themeFillTint="99"/>
          </w:tcPr>
          <w:p w14:paraId="3323AB44" w14:textId="77777777" w:rsidR="00EE3DF9" w:rsidRPr="00F5382B" w:rsidRDefault="00EE3DF9">
            <w:pPr>
              <w:jc w:val="right"/>
              <w:rPr>
                <w:b/>
                <w:noProof/>
                <w:sz w:val="16"/>
                <w:szCs w:val="16"/>
              </w:rPr>
            </w:pPr>
          </w:p>
        </w:tc>
        <w:tc>
          <w:tcPr>
            <w:tcW w:w="709" w:type="dxa"/>
            <w:shd w:val="clear" w:color="auto" w:fill="D99594" w:themeFill="accent2" w:themeFillTint="99"/>
          </w:tcPr>
          <w:p w14:paraId="7A6E2305" w14:textId="77777777" w:rsidR="00EE3DF9" w:rsidRPr="00F5382B" w:rsidRDefault="00EE3DF9">
            <w:pPr>
              <w:jc w:val="right"/>
              <w:rPr>
                <w:b/>
                <w:noProof/>
                <w:sz w:val="16"/>
                <w:szCs w:val="16"/>
              </w:rPr>
            </w:pPr>
          </w:p>
        </w:tc>
        <w:tc>
          <w:tcPr>
            <w:tcW w:w="1275" w:type="dxa"/>
            <w:shd w:val="clear" w:color="auto" w:fill="D99594" w:themeFill="accent2" w:themeFillTint="99"/>
          </w:tcPr>
          <w:p w14:paraId="6E42766B" w14:textId="77777777" w:rsidR="00EE3DF9" w:rsidRPr="00F5382B" w:rsidRDefault="00EE3DF9">
            <w:pPr>
              <w:jc w:val="right"/>
              <w:rPr>
                <w:b/>
                <w:noProof/>
                <w:sz w:val="16"/>
                <w:szCs w:val="16"/>
              </w:rPr>
            </w:pPr>
          </w:p>
        </w:tc>
        <w:tc>
          <w:tcPr>
            <w:tcW w:w="1418" w:type="dxa"/>
            <w:shd w:val="clear" w:color="auto" w:fill="D99594" w:themeFill="accent2" w:themeFillTint="99"/>
          </w:tcPr>
          <w:p w14:paraId="06C5CD9A" w14:textId="77777777" w:rsidR="00EE3DF9" w:rsidRPr="00F5382B" w:rsidRDefault="00EE3DF9">
            <w:pPr>
              <w:jc w:val="right"/>
              <w:rPr>
                <w:b/>
                <w:noProof/>
                <w:sz w:val="16"/>
                <w:szCs w:val="16"/>
              </w:rPr>
            </w:pPr>
            <w:r w:rsidRPr="00F5382B">
              <w:rPr>
                <w:b/>
                <w:bCs/>
                <w:noProof/>
                <w:sz w:val="16"/>
                <w:szCs w:val="16"/>
              </w:rPr>
              <w:t xml:space="preserve"> 148 118 870</w:t>
            </w:r>
            <w:r w:rsidRPr="00F5382B">
              <w:rPr>
                <w:b/>
                <w:noProof/>
                <w:sz w:val="16"/>
                <w:szCs w:val="16"/>
              </w:rPr>
              <w:t> </w:t>
            </w:r>
          </w:p>
        </w:tc>
      </w:tr>
      <w:tr w:rsidR="00EE3DF9" w:rsidRPr="00F5382B" w14:paraId="00D2174A" w14:textId="77777777">
        <w:trPr>
          <w:trHeight w:val="233"/>
        </w:trPr>
        <w:tc>
          <w:tcPr>
            <w:tcW w:w="1303" w:type="dxa"/>
            <w:shd w:val="clear" w:color="auto" w:fill="E5B8B7" w:themeFill="accent2" w:themeFillTint="66"/>
          </w:tcPr>
          <w:p w14:paraId="137B3ED7" w14:textId="77777777" w:rsidR="00EE3DF9" w:rsidRPr="00F5382B" w:rsidRDefault="00EE3DF9">
            <w:pPr>
              <w:rPr>
                <w:b/>
                <w:noProof/>
                <w:sz w:val="16"/>
                <w:szCs w:val="16"/>
              </w:rPr>
            </w:pPr>
            <w:r w:rsidRPr="00F5382B">
              <w:rPr>
                <w:b/>
                <w:noProof/>
                <w:sz w:val="16"/>
                <w:szCs w:val="16"/>
              </w:rPr>
              <w:t>Member States</w:t>
            </w:r>
          </w:p>
        </w:tc>
        <w:tc>
          <w:tcPr>
            <w:tcW w:w="1499" w:type="dxa"/>
            <w:shd w:val="clear" w:color="auto" w:fill="E5B8B7" w:themeFill="accent2" w:themeFillTint="66"/>
          </w:tcPr>
          <w:p w14:paraId="7A267C11" w14:textId="77777777" w:rsidR="00EE3DF9" w:rsidRPr="00F5382B" w:rsidRDefault="00EE3DF9">
            <w:pPr>
              <w:rPr>
                <w:b/>
                <w:noProof/>
                <w:sz w:val="16"/>
                <w:szCs w:val="16"/>
              </w:rPr>
            </w:pPr>
          </w:p>
        </w:tc>
        <w:tc>
          <w:tcPr>
            <w:tcW w:w="595" w:type="dxa"/>
            <w:shd w:val="clear" w:color="auto" w:fill="E5B8B7" w:themeFill="accent2" w:themeFillTint="66"/>
          </w:tcPr>
          <w:p w14:paraId="3172A0B2" w14:textId="77777777" w:rsidR="00EE3DF9" w:rsidRPr="00F5382B" w:rsidRDefault="00EE3DF9">
            <w:pPr>
              <w:jc w:val="right"/>
              <w:rPr>
                <w:b/>
                <w:noProof/>
                <w:sz w:val="16"/>
                <w:szCs w:val="16"/>
              </w:rPr>
            </w:pPr>
          </w:p>
        </w:tc>
        <w:tc>
          <w:tcPr>
            <w:tcW w:w="709" w:type="dxa"/>
            <w:shd w:val="clear" w:color="auto" w:fill="E5B8B7" w:themeFill="accent2" w:themeFillTint="66"/>
          </w:tcPr>
          <w:p w14:paraId="158BA4B5" w14:textId="77777777" w:rsidR="00EE3DF9" w:rsidRPr="00F5382B" w:rsidRDefault="00EE3DF9">
            <w:pPr>
              <w:jc w:val="right"/>
              <w:rPr>
                <w:b/>
                <w:noProof/>
                <w:sz w:val="16"/>
                <w:szCs w:val="16"/>
              </w:rPr>
            </w:pPr>
          </w:p>
        </w:tc>
        <w:tc>
          <w:tcPr>
            <w:tcW w:w="992" w:type="dxa"/>
            <w:shd w:val="clear" w:color="auto" w:fill="E5B8B7" w:themeFill="accent2" w:themeFillTint="66"/>
          </w:tcPr>
          <w:p w14:paraId="293A77A4" w14:textId="77777777" w:rsidR="00EE3DF9" w:rsidRPr="00F5382B" w:rsidRDefault="00EE3DF9">
            <w:pPr>
              <w:jc w:val="right"/>
              <w:rPr>
                <w:b/>
                <w:noProof/>
                <w:sz w:val="16"/>
                <w:szCs w:val="16"/>
              </w:rPr>
            </w:pPr>
          </w:p>
        </w:tc>
        <w:tc>
          <w:tcPr>
            <w:tcW w:w="851" w:type="dxa"/>
            <w:shd w:val="clear" w:color="auto" w:fill="E5B8B7" w:themeFill="accent2" w:themeFillTint="66"/>
          </w:tcPr>
          <w:p w14:paraId="430C97C9" w14:textId="77777777" w:rsidR="00EE3DF9" w:rsidRPr="00F5382B" w:rsidRDefault="00EE3DF9">
            <w:pPr>
              <w:jc w:val="right"/>
              <w:rPr>
                <w:b/>
                <w:noProof/>
                <w:sz w:val="16"/>
                <w:szCs w:val="16"/>
              </w:rPr>
            </w:pPr>
          </w:p>
        </w:tc>
        <w:tc>
          <w:tcPr>
            <w:tcW w:w="709" w:type="dxa"/>
            <w:shd w:val="clear" w:color="auto" w:fill="E5B8B7" w:themeFill="accent2" w:themeFillTint="66"/>
          </w:tcPr>
          <w:p w14:paraId="5527BF41" w14:textId="77777777" w:rsidR="00EE3DF9" w:rsidRPr="00F5382B" w:rsidRDefault="00EE3DF9">
            <w:pPr>
              <w:jc w:val="right"/>
              <w:rPr>
                <w:b/>
                <w:noProof/>
                <w:sz w:val="16"/>
                <w:szCs w:val="16"/>
              </w:rPr>
            </w:pPr>
          </w:p>
        </w:tc>
        <w:tc>
          <w:tcPr>
            <w:tcW w:w="1275" w:type="dxa"/>
            <w:shd w:val="clear" w:color="auto" w:fill="E5B8B7" w:themeFill="accent2" w:themeFillTint="66"/>
          </w:tcPr>
          <w:p w14:paraId="70E0F428" w14:textId="77777777" w:rsidR="00EE3DF9" w:rsidRPr="00F5382B" w:rsidRDefault="00EE3DF9">
            <w:pPr>
              <w:jc w:val="right"/>
              <w:rPr>
                <w:b/>
                <w:noProof/>
                <w:sz w:val="16"/>
                <w:szCs w:val="16"/>
              </w:rPr>
            </w:pPr>
          </w:p>
        </w:tc>
        <w:tc>
          <w:tcPr>
            <w:tcW w:w="1418" w:type="dxa"/>
            <w:shd w:val="clear" w:color="auto" w:fill="E5B8B7" w:themeFill="accent2" w:themeFillTint="66"/>
          </w:tcPr>
          <w:p w14:paraId="010390AE" w14:textId="77777777" w:rsidR="00EE3DF9" w:rsidRPr="00F5382B" w:rsidRDefault="00EE3DF9">
            <w:pPr>
              <w:jc w:val="right"/>
              <w:rPr>
                <w:b/>
                <w:noProof/>
                <w:sz w:val="16"/>
                <w:szCs w:val="16"/>
              </w:rPr>
            </w:pPr>
          </w:p>
        </w:tc>
      </w:tr>
      <w:tr w:rsidR="00EE3DF9" w:rsidRPr="00F5382B" w14:paraId="75E43BB9" w14:textId="77777777">
        <w:trPr>
          <w:trHeight w:val="703"/>
        </w:trPr>
        <w:tc>
          <w:tcPr>
            <w:tcW w:w="1303" w:type="dxa"/>
            <w:shd w:val="clear" w:color="auto" w:fill="F2DBDB" w:themeFill="accent2" w:themeFillTint="33"/>
          </w:tcPr>
          <w:p w14:paraId="16D42E94" w14:textId="77777777" w:rsidR="00EE3DF9" w:rsidRPr="00F5382B" w:rsidRDefault="00EE3DF9">
            <w:pPr>
              <w:rPr>
                <w:noProof/>
                <w:sz w:val="16"/>
                <w:szCs w:val="16"/>
              </w:rPr>
            </w:pPr>
            <w:r w:rsidRPr="00F5382B">
              <w:rPr>
                <w:noProof/>
                <w:sz w:val="16"/>
                <w:szCs w:val="16"/>
              </w:rPr>
              <w:t>NLOs seconded to ENISA (budget split bw ENISA and MS)</w:t>
            </w:r>
          </w:p>
        </w:tc>
        <w:tc>
          <w:tcPr>
            <w:tcW w:w="1499" w:type="dxa"/>
            <w:shd w:val="clear" w:color="auto" w:fill="F2DBDB" w:themeFill="accent2" w:themeFillTint="33"/>
          </w:tcPr>
          <w:p w14:paraId="650BA7AF" w14:textId="77777777" w:rsidR="00EE3DF9" w:rsidRPr="00F5382B" w:rsidRDefault="00EE3DF9">
            <w:pPr>
              <w:rPr>
                <w:noProof/>
                <w:sz w:val="16"/>
                <w:szCs w:val="16"/>
              </w:rPr>
            </w:pPr>
            <w:r w:rsidRPr="00F5382B">
              <w:rPr>
                <w:noProof/>
                <w:sz w:val="16"/>
                <w:szCs w:val="16"/>
              </w:rPr>
              <w:t>MS budget</w:t>
            </w:r>
          </w:p>
        </w:tc>
        <w:tc>
          <w:tcPr>
            <w:tcW w:w="595" w:type="dxa"/>
            <w:shd w:val="clear" w:color="auto" w:fill="F2DBDB" w:themeFill="accent2" w:themeFillTint="33"/>
          </w:tcPr>
          <w:p w14:paraId="0B2CD3CF" w14:textId="77777777" w:rsidR="00EE3DF9" w:rsidRPr="00F5382B" w:rsidRDefault="00EE3DF9">
            <w:pPr>
              <w:jc w:val="right"/>
              <w:rPr>
                <w:i/>
                <w:noProof/>
                <w:sz w:val="16"/>
                <w:szCs w:val="16"/>
              </w:rPr>
            </w:pPr>
            <w:r w:rsidRPr="00F5382B">
              <w:rPr>
                <w:i/>
                <w:noProof/>
                <w:sz w:val="16"/>
                <w:szCs w:val="16"/>
              </w:rPr>
              <w:t>(40)</w:t>
            </w:r>
          </w:p>
        </w:tc>
        <w:tc>
          <w:tcPr>
            <w:tcW w:w="709" w:type="dxa"/>
            <w:shd w:val="clear" w:color="auto" w:fill="F2DBDB" w:themeFill="accent2" w:themeFillTint="33"/>
          </w:tcPr>
          <w:p w14:paraId="51C6654B" w14:textId="77777777" w:rsidR="00EE3DF9" w:rsidRPr="00F5382B" w:rsidRDefault="00EE3DF9">
            <w:pPr>
              <w:jc w:val="right"/>
              <w:rPr>
                <w:i/>
                <w:noProof/>
                <w:sz w:val="16"/>
                <w:szCs w:val="16"/>
              </w:rPr>
            </w:pPr>
            <w:r w:rsidRPr="00F5382B">
              <w:rPr>
                <w:i/>
                <w:noProof/>
                <w:sz w:val="16"/>
                <w:szCs w:val="16"/>
              </w:rPr>
              <w:t>(40)</w:t>
            </w:r>
          </w:p>
        </w:tc>
        <w:tc>
          <w:tcPr>
            <w:tcW w:w="992" w:type="dxa"/>
            <w:shd w:val="clear" w:color="auto" w:fill="F2DBDB" w:themeFill="accent2" w:themeFillTint="33"/>
          </w:tcPr>
          <w:p w14:paraId="4328D7D2" w14:textId="77777777" w:rsidR="00EE3DF9" w:rsidRPr="00F5382B" w:rsidRDefault="00EE3DF9">
            <w:pPr>
              <w:jc w:val="right"/>
              <w:rPr>
                <w:i/>
                <w:noProof/>
                <w:sz w:val="16"/>
                <w:szCs w:val="16"/>
              </w:rPr>
            </w:pPr>
            <w:r w:rsidRPr="00F5382B">
              <w:rPr>
                <w:i/>
                <w:noProof/>
                <w:sz w:val="16"/>
                <w:szCs w:val="16"/>
              </w:rPr>
              <w:t>(40)</w:t>
            </w:r>
          </w:p>
        </w:tc>
        <w:tc>
          <w:tcPr>
            <w:tcW w:w="851" w:type="dxa"/>
            <w:shd w:val="clear" w:color="auto" w:fill="F2DBDB" w:themeFill="accent2" w:themeFillTint="33"/>
          </w:tcPr>
          <w:p w14:paraId="10EC6A82" w14:textId="77777777" w:rsidR="00EE3DF9" w:rsidRPr="00F5382B" w:rsidRDefault="00EE3DF9">
            <w:pPr>
              <w:jc w:val="right"/>
              <w:rPr>
                <w:i/>
                <w:noProof/>
                <w:sz w:val="16"/>
                <w:szCs w:val="16"/>
              </w:rPr>
            </w:pPr>
            <w:r w:rsidRPr="00F5382B">
              <w:rPr>
                <w:i/>
                <w:noProof/>
                <w:sz w:val="16"/>
                <w:szCs w:val="16"/>
              </w:rPr>
              <w:t>(40)</w:t>
            </w:r>
          </w:p>
        </w:tc>
        <w:tc>
          <w:tcPr>
            <w:tcW w:w="709" w:type="dxa"/>
            <w:shd w:val="clear" w:color="auto" w:fill="F2DBDB" w:themeFill="accent2" w:themeFillTint="33"/>
          </w:tcPr>
          <w:p w14:paraId="58BEC12F" w14:textId="77777777" w:rsidR="00EE3DF9" w:rsidRPr="00F5382B" w:rsidRDefault="00EE3DF9">
            <w:pPr>
              <w:jc w:val="right"/>
              <w:rPr>
                <w:i/>
                <w:noProof/>
                <w:sz w:val="16"/>
                <w:szCs w:val="16"/>
              </w:rPr>
            </w:pPr>
            <w:r w:rsidRPr="00F5382B">
              <w:rPr>
                <w:i/>
                <w:noProof/>
                <w:sz w:val="16"/>
                <w:szCs w:val="16"/>
              </w:rPr>
              <w:t>(40)</w:t>
            </w:r>
          </w:p>
        </w:tc>
        <w:tc>
          <w:tcPr>
            <w:tcW w:w="1275" w:type="dxa"/>
            <w:shd w:val="clear" w:color="auto" w:fill="F2DBDB" w:themeFill="accent2" w:themeFillTint="33"/>
          </w:tcPr>
          <w:p w14:paraId="29061E9D" w14:textId="77777777" w:rsidR="00EE3DF9" w:rsidRPr="00F5382B" w:rsidRDefault="00EE3DF9">
            <w:pPr>
              <w:jc w:val="right"/>
              <w:rPr>
                <w:noProof/>
                <w:sz w:val="16"/>
                <w:szCs w:val="16"/>
              </w:rPr>
            </w:pPr>
            <w:r w:rsidRPr="00F5382B">
              <w:rPr>
                <w:noProof/>
                <w:sz w:val="16"/>
                <w:szCs w:val="16"/>
              </w:rPr>
              <w:t>2 260 000</w:t>
            </w:r>
          </w:p>
        </w:tc>
        <w:tc>
          <w:tcPr>
            <w:tcW w:w="1418" w:type="dxa"/>
            <w:shd w:val="clear" w:color="auto" w:fill="F2DBDB" w:themeFill="accent2" w:themeFillTint="33"/>
          </w:tcPr>
          <w:p w14:paraId="6AD12E25" w14:textId="77777777" w:rsidR="00EE3DF9" w:rsidRPr="00F5382B" w:rsidRDefault="00EE3DF9">
            <w:pPr>
              <w:jc w:val="right"/>
              <w:rPr>
                <w:noProof/>
                <w:sz w:val="16"/>
                <w:szCs w:val="16"/>
              </w:rPr>
            </w:pPr>
            <w:r w:rsidRPr="00F5382B">
              <w:rPr>
                <w:noProof/>
                <w:sz w:val="16"/>
                <w:szCs w:val="16"/>
              </w:rPr>
              <w:t>11 300 000</w:t>
            </w:r>
          </w:p>
        </w:tc>
      </w:tr>
      <w:tr w:rsidR="00EE3DF9" w:rsidRPr="00F5382B" w14:paraId="4E0E44D3" w14:textId="77777777">
        <w:trPr>
          <w:trHeight w:val="703"/>
        </w:trPr>
        <w:tc>
          <w:tcPr>
            <w:tcW w:w="1303" w:type="dxa"/>
            <w:shd w:val="clear" w:color="auto" w:fill="D99594" w:themeFill="accent2" w:themeFillTint="99"/>
          </w:tcPr>
          <w:p w14:paraId="4FD412D4" w14:textId="77777777" w:rsidR="00EE3DF9" w:rsidRPr="00F5382B" w:rsidRDefault="00EE3DF9">
            <w:pPr>
              <w:rPr>
                <w:b/>
                <w:noProof/>
                <w:sz w:val="16"/>
                <w:szCs w:val="16"/>
              </w:rPr>
            </w:pPr>
            <w:r w:rsidRPr="00F5382B">
              <w:rPr>
                <w:b/>
                <w:noProof/>
                <w:sz w:val="16"/>
                <w:szCs w:val="16"/>
              </w:rPr>
              <w:t>TOTAL Option A.2 for Member States</w:t>
            </w:r>
          </w:p>
        </w:tc>
        <w:tc>
          <w:tcPr>
            <w:tcW w:w="1499" w:type="dxa"/>
            <w:shd w:val="clear" w:color="auto" w:fill="D99594" w:themeFill="accent2" w:themeFillTint="99"/>
          </w:tcPr>
          <w:p w14:paraId="15E33B24" w14:textId="77777777" w:rsidR="00EE3DF9" w:rsidRPr="00F5382B" w:rsidRDefault="00EE3DF9">
            <w:pPr>
              <w:jc w:val="right"/>
              <w:rPr>
                <w:b/>
                <w:noProof/>
                <w:sz w:val="16"/>
                <w:szCs w:val="16"/>
              </w:rPr>
            </w:pPr>
          </w:p>
        </w:tc>
        <w:tc>
          <w:tcPr>
            <w:tcW w:w="595" w:type="dxa"/>
            <w:shd w:val="clear" w:color="auto" w:fill="D99594" w:themeFill="accent2" w:themeFillTint="99"/>
          </w:tcPr>
          <w:p w14:paraId="49608BAD" w14:textId="77777777" w:rsidR="00EE3DF9" w:rsidRPr="00F5382B" w:rsidRDefault="00EE3DF9">
            <w:pPr>
              <w:jc w:val="right"/>
              <w:rPr>
                <w:b/>
                <w:noProof/>
                <w:sz w:val="16"/>
                <w:szCs w:val="16"/>
              </w:rPr>
            </w:pPr>
            <w:r w:rsidRPr="00F5382B">
              <w:rPr>
                <w:i/>
                <w:noProof/>
                <w:sz w:val="16"/>
                <w:szCs w:val="16"/>
              </w:rPr>
              <w:t>(40)</w:t>
            </w:r>
          </w:p>
        </w:tc>
        <w:tc>
          <w:tcPr>
            <w:tcW w:w="709" w:type="dxa"/>
            <w:shd w:val="clear" w:color="auto" w:fill="D99594" w:themeFill="accent2" w:themeFillTint="99"/>
          </w:tcPr>
          <w:p w14:paraId="17DB3D26" w14:textId="77777777" w:rsidR="00EE3DF9" w:rsidRPr="00F5382B" w:rsidRDefault="00EE3DF9">
            <w:pPr>
              <w:jc w:val="right"/>
              <w:rPr>
                <w:b/>
                <w:noProof/>
                <w:sz w:val="16"/>
                <w:szCs w:val="16"/>
              </w:rPr>
            </w:pPr>
            <w:r w:rsidRPr="00F5382B">
              <w:rPr>
                <w:i/>
                <w:noProof/>
                <w:sz w:val="16"/>
                <w:szCs w:val="16"/>
              </w:rPr>
              <w:t>(40)</w:t>
            </w:r>
          </w:p>
        </w:tc>
        <w:tc>
          <w:tcPr>
            <w:tcW w:w="992" w:type="dxa"/>
            <w:shd w:val="clear" w:color="auto" w:fill="D99594" w:themeFill="accent2" w:themeFillTint="99"/>
          </w:tcPr>
          <w:p w14:paraId="50C5915A" w14:textId="77777777" w:rsidR="00EE3DF9" w:rsidRPr="00F5382B" w:rsidRDefault="00EE3DF9">
            <w:pPr>
              <w:jc w:val="right"/>
              <w:rPr>
                <w:b/>
                <w:noProof/>
                <w:sz w:val="16"/>
                <w:szCs w:val="16"/>
              </w:rPr>
            </w:pPr>
            <w:r w:rsidRPr="00F5382B">
              <w:rPr>
                <w:i/>
                <w:noProof/>
                <w:sz w:val="16"/>
                <w:szCs w:val="16"/>
              </w:rPr>
              <w:t>(40)</w:t>
            </w:r>
          </w:p>
        </w:tc>
        <w:tc>
          <w:tcPr>
            <w:tcW w:w="851" w:type="dxa"/>
            <w:shd w:val="clear" w:color="auto" w:fill="D99594" w:themeFill="accent2" w:themeFillTint="99"/>
          </w:tcPr>
          <w:p w14:paraId="46660C87" w14:textId="77777777" w:rsidR="00EE3DF9" w:rsidRPr="00F5382B" w:rsidRDefault="00EE3DF9">
            <w:pPr>
              <w:jc w:val="right"/>
              <w:rPr>
                <w:b/>
                <w:noProof/>
                <w:sz w:val="16"/>
                <w:szCs w:val="16"/>
              </w:rPr>
            </w:pPr>
            <w:r w:rsidRPr="00F5382B">
              <w:rPr>
                <w:i/>
                <w:noProof/>
                <w:sz w:val="16"/>
                <w:szCs w:val="16"/>
              </w:rPr>
              <w:t>(40)</w:t>
            </w:r>
          </w:p>
        </w:tc>
        <w:tc>
          <w:tcPr>
            <w:tcW w:w="709" w:type="dxa"/>
            <w:shd w:val="clear" w:color="auto" w:fill="D99594" w:themeFill="accent2" w:themeFillTint="99"/>
          </w:tcPr>
          <w:p w14:paraId="53FB60EC" w14:textId="77777777" w:rsidR="00EE3DF9" w:rsidRPr="00F5382B" w:rsidRDefault="00EE3DF9">
            <w:pPr>
              <w:jc w:val="right"/>
              <w:rPr>
                <w:b/>
                <w:noProof/>
                <w:sz w:val="16"/>
                <w:szCs w:val="16"/>
              </w:rPr>
            </w:pPr>
            <w:r w:rsidRPr="00F5382B">
              <w:rPr>
                <w:i/>
                <w:noProof/>
                <w:sz w:val="16"/>
                <w:szCs w:val="16"/>
              </w:rPr>
              <w:t>(40)</w:t>
            </w:r>
          </w:p>
        </w:tc>
        <w:tc>
          <w:tcPr>
            <w:tcW w:w="1275" w:type="dxa"/>
            <w:shd w:val="clear" w:color="auto" w:fill="D99594" w:themeFill="accent2" w:themeFillTint="99"/>
          </w:tcPr>
          <w:p w14:paraId="6DC21B51" w14:textId="77777777" w:rsidR="00EE3DF9" w:rsidRPr="00F5382B" w:rsidRDefault="00EE3DF9">
            <w:pPr>
              <w:jc w:val="right"/>
              <w:rPr>
                <w:b/>
                <w:noProof/>
                <w:sz w:val="16"/>
                <w:szCs w:val="16"/>
              </w:rPr>
            </w:pPr>
            <w:r w:rsidRPr="00F5382B">
              <w:rPr>
                <w:b/>
                <w:bCs/>
                <w:noProof/>
                <w:sz w:val="16"/>
                <w:szCs w:val="16"/>
              </w:rPr>
              <w:t>2 260 000</w:t>
            </w:r>
          </w:p>
        </w:tc>
        <w:tc>
          <w:tcPr>
            <w:tcW w:w="1418" w:type="dxa"/>
            <w:shd w:val="clear" w:color="auto" w:fill="D99594" w:themeFill="accent2" w:themeFillTint="99"/>
          </w:tcPr>
          <w:p w14:paraId="4A9EED9C" w14:textId="77777777" w:rsidR="00EE3DF9" w:rsidRPr="00F5382B" w:rsidRDefault="00EE3DF9">
            <w:pPr>
              <w:jc w:val="right"/>
              <w:rPr>
                <w:b/>
                <w:noProof/>
                <w:sz w:val="16"/>
                <w:szCs w:val="16"/>
              </w:rPr>
            </w:pPr>
            <w:r w:rsidRPr="00F5382B">
              <w:rPr>
                <w:b/>
                <w:bCs/>
                <w:noProof/>
                <w:sz w:val="16"/>
                <w:szCs w:val="16"/>
              </w:rPr>
              <w:t>11 300 000</w:t>
            </w:r>
          </w:p>
        </w:tc>
      </w:tr>
      <w:tr w:rsidR="00EE3DF9" w:rsidRPr="00F5382B" w14:paraId="605ECAC1" w14:textId="77777777">
        <w:trPr>
          <w:trHeight w:val="703"/>
        </w:trPr>
        <w:tc>
          <w:tcPr>
            <w:tcW w:w="1303" w:type="dxa"/>
            <w:shd w:val="clear" w:color="auto" w:fill="D99594" w:themeFill="accent2" w:themeFillTint="99"/>
          </w:tcPr>
          <w:p w14:paraId="1473339D" w14:textId="77777777" w:rsidR="00EE3DF9" w:rsidRPr="00F5382B" w:rsidRDefault="00EE3DF9">
            <w:pPr>
              <w:rPr>
                <w:b/>
                <w:noProof/>
                <w:sz w:val="16"/>
                <w:szCs w:val="16"/>
              </w:rPr>
            </w:pPr>
            <w:r w:rsidRPr="00F5382B">
              <w:rPr>
                <w:b/>
                <w:noProof/>
                <w:sz w:val="16"/>
                <w:szCs w:val="16"/>
              </w:rPr>
              <w:t>Businesses</w:t>
            </w:r>
          </w:p>
        </w:tc>
        <w:tc>
          <w:tcPr>
            <w:tcW w:w="1499" w:type="dxa"/>
            <w:shd w:val="clear" w:color="auto" w:fill="D99594" w:themeFill="accent2" w:themeFillTint="99"/>
          </w:tcPr>
          <w:p w14:paraId="228FC329" w14:textId="77777777" w:rsidR="00EE3DF9" w:rsidRPr="00F5382B" w:rsidRDefault="00EE3DF9">
            <w:pPr>
              <w:rPr>
                <w:b/>
                <w:noProof/>
                <w:sz w:val="16"/>
                <w:szCs w:val="16"/>
              </w:rPr>
            </w:pPr>
            <w:r w:rsidRPr="00F5382B">
              <w:rPr>
                <w:b/>
                <w:noProof/>
                <w:sz w:val="16"/>
                <w:szCs w:val="16"/>
              </w:rPr>
              <w:t>Potential cost of paying a fee to ENISA to get authorised to deliver European individual attestations</w:t>
            </w:r>
          </w:p>
        </w:tc>
        <w:tc>
          <w:tcPr>
            <w:tcW w:w="595" w:type="dxa"/>
            <w:shd w:val="clear" w:color="auto" w:fill="D99594" w:themeFill="accent2" w:themeFillTint="99"/>
          </w:tcPr>
          <w:p w14:paraId="003ECD6C" w14:textId="77777777" w:rsidR="00EE3DF9" w:rsidRPr="00F5382B" w:rsidRDefault="00EE3DF9">
            <w:pPr>
              <w:rPr>
                <w:b/>
                <w:noProof/>
                <w:sz w:val="16"/>
                <w:szCs w:val="16"/>
              </w:rPr>
            </w:pPr>
          </w:p>
        </w:tc>
        <w:tc>
          <w:tcPr>
            <w:tcW w:w="709" w:type="dxa"/>
            <w:shd w:val="clear" w:color="auto" w:fill="D99594" w:themeFill="accent2" w:themeFillTint="99"/>
          </w:tcPr>
          <w:p w14:paraId="045B4D54" w14:textId="77777777" w:rsidR="00EE3DF9" w:rsidRPr="00F5382B" w:rsidRDefault="00EE3DF9">
            <w:pPr>
              <w:rPr>
                <w:b/>
                <w:noProof/>
                <w:sz w:val="16"/>
                <w:szCs w:val="16"/>
              </w:rPr>
            </w:pPr>
          </w:p>
        </w:tc>
        <w:tc>
          <w:tcPr>
            <w:tcW w:w="992" w:type="dxa"/>
            <w:shd w:val="clear" w:color="auto" w:fill="D99594" w:themeFill="accent2" w:themeFillTint="99"/>
          </w:tcPr>
          <w:p w14:paraId="3DB23F9F" w14:textId="77777777" w:rsidR="00EE3DF9" w:rsidRPr="00F5382B" w:rsidRDefault="00EE3DF9">
            <w:pPr>
              <w:rPr>
                <w:b/>
                <w:noProof/>
                <w:sz w:val="16"/>
                <w:szCs w:val="16"/>
              </w:rPr>
            </w:pPr>
          </w:p>
        </w:tc>
        <w:tc>
          <w:tcPr>
            <w:tcW w:w="851" w:type="dxa"/>
            <w:shd w:val="clear" w:color="auto" w:fill="D99594" w:themeFill="accent2" w:themeFillTint="99"/>
          </w:tcPr>
          <w:p w14:paraId="7A3F9022" w14:textId="77777777" w:rsidR="00EE3DF9" w:rsidRPr="00F5382B" w:rsidRDefault="00EE3DF9">
            <w:pPr>
              <w:rPr>
                <w:b/>
                <w:noProof/>
                <w:sz w:val="16"/>
                <w:szCs w:val="16"/>
              </w:rPr>
            </w:pPr>
          </w:p>
        </w:tc>
        <w:tc>
          <w:tcPr>
            <w:tcW w:w="709" w:type="dxa"/>
            <w:shd w:val="clear" w:color="auto" w:fill="D99594" w:themeFill="accent2" w:themeFillTint="99"/>
          </w:tcPr>
          <w:p w14:paraId="73896C73" w14:textId="77777777" w:rsidR="00EE3DF9" w:rsidRPr="00F5382B" w:rsidRDefault="00EE3DF9">
            <w:pPr>
              <w:rPr>
                <w:b/>
                <w:noProof/>
                <w:sz w:val="16"/>
                <w:szCs w:val="16"/>
              </w:rPr>
            </w:pPr>
          </w:p>
        </w:tc>
        <w:tc>
          <w:tcPr>
            <w:tcW w:w="1275" w:type="dxa"/>
            <w:shd w:val="clear" w:color="auto" w:fill="D99594" w:themeFill="accent2" w:themeFillTint="99"/>
          </w:tcPr>
          <w:p w14:paraId="7A125A9B" w14:textId="77777777" w:rsidR="00EE3DF9" w:rsidRPr="00F5382B" w:rsidRDefault="00EE3DF9">
            <w:pPr>
              <w:jc w:val="right"/>
              <w:rPr>
                <w:b/>
                <w:noProof/>
                <w:sz w:val="16"/>
                <w:szCs w:val="16"/>
              </w:rPr>
            </w:pPr>
          </w:p>
        </w:tc>
        <w:tc>
          <w:tcPr>
            <w:tcW w:w="1418" w:type="dxa"/>
            <w:shd w:val="clear" w:color="auto" w:fill="D99594" w:themeFill="accent2" w:themeFillTint="99"/>
          </w:tcPr>
          <w:p w14:paraId="2D2ADCA1" w14:textId="77777777" w:rsidR="00EE3DF9" w:rsidRPr="00F5382B" w:rsidRDefault="00EE3DF9">
            <w:pPr>
              <w:jc w:val="right"/>
              <w:rPr>
                <w:b/>
                <w:noProof/>
                <w:sz w:val="16"/>
                <w:szCs w:val="16"/>
              </w:rPr>
            </w:pPr>
          </w:p>
        </w:tc>
      </w:tr>
      <w:tr w:rsidR="00EE3DF9" w:rsidRPr="00F5382B" w14:paraId="6C418D07" w14:textId="77777777">
        <w:trPr>
          <w:trHeight w:val="703"/>
        </w:trPr>
        <w:tc>
          <w:tcPr>
            <w:tcW w:w="1303" w:type="dxa"/>
            <w:shd w:val="clear" w:color="auto" w:fill="D99594" w:themeFill="accent2" w:themeFillTint="99"/>
          </w:tcPr>
          <w:p w14:paraId="2F9525C8" w14:textId="77777777" w:rsidR="00EE3DF9" w:rsidRPr="00F5382B" w:rsidRDefault="00EE3DF9">
            <w:pPr>
              <w:rPr>
                <w:b/>
                <w:noProof/>
                <w:sz w:val="16"/>
                <w:szCs w:val="16"/>
              </w:rPr>
            </w:pPr>
            <w:r w:rsidRPr="00F5382B">
              <w:rPr>
                <w:b/>
                <w:noProof/>
                <w:sz w:val="16"/>
                <w:szCs w:val="16"/>
              </w:rPr>
              <w:t>Citizens</w:t>
            </w:r>
          </w:p>
        </w:tc>
        <w:tc>
          <w:tcPr>
            <w:tcW w:w="1499" w:type="dxa"/>
            <w:shd w:val="clear" w:color="auto" w:fill="D99594" w:themeFill="accent2" w:themeFillTint="99"/>
          </w:tcPr>
          <w:p w14:paraId="07D73111" w14:textId="77777777" w:rsidR="00EE3DF9" w:rsidRPr="00F5382B" w:rsidRDefault="00EE3DF9">
            <w:pPr>
              <w:rPr>
                <w:b/>
                <w:noProof/>
                <w:sz w:val="16"/>
                <w:szCs w:val="16"/>
              </w:rPr>
            </w:pPr>
            <w:r w:rsidRPr="00F5382B">
              <w:rPr>
                <w:b/>
                <w:noProof/>
                <w:sz w:val="16"/>
                <w:szCs w:val="16"/>
              </w:rPr>
              <w:t>Potential cost of acquiring the individual skills attestation</w:t>
            </w:r>
          </w:p>
        </w:tc>
        <w:tc>
          <w:tcPr>
            <w:tcW w:w="595" w:type="dxa"/>
            <w:shd w:val="clear" w:color="auto" w:fill="D99594" w:themeFill="accent2" w:themeFillTint="99"/>
          </w:tcPr>
          <w:p w14:paraId="6582109F" w14:textId="77777777" w:rsidR="00EE3DF9" w:rsidRPr="00F5382B" w:rsidRDefault="00EE3DF9">
            <w:pPr>
              <w:rPr>
                <w:b/>
                <w:noProof/>
                <w:sz w:val="16"/>
                <w:szCs w:val="16"/>
              </w:rPr>
            </w:pPr>
          </w:p>
        </w:tc>
        <w:tc>
          <w:tcPr>
            <w:tcW w:w="709" w:type="dxa"/>
            <w:shd w:val="clear" w:color="auto" w:fill="D99594" w:themeFill="accent2" w:themeFillTint="99"/>
          </w:tcPr>
          <w:p w14:paraId="49C48D7C" w14:textId="77777777" w:rsidR="00EE3DF9" w:rsidRPr="00F5382B" w:rsidRDefault="00EE3DF9">
            <w:pPr>
              <w:rPr>
                <w:b/>
                <w:noProof/>
                <w:sz w:val="16"/>
                <w:szCs w:val="16"/>
              </w:rPr>
            </w:pPr>
          </w:p>
        </w:tc>
        <w:tc>
          <w:tcPr>
            <w:tcW w:w="992" w:type="dxa"/>
            <w:shd w:val="clear" w:color="auto" w:fill="D99594" w:themeFill="accent2" w:themeFillTint="99"/>
          </w:tcPr>
          <w:p w14:paraId="1474B334" w14:textId="77777777" w:rsidR="00EE3DF9" w:rsidRPr="00F5382B" w:rsidRDefault="00EE3DF9">
            <w:pPr>
              <w:rPr>
                <w:b/>
                <w:noProof/>
                <w:sz w:val="16"/>
                <w:szCs w:val="16"/>
              </w:rPr>
            </w:pPr>
          </w:p>
        </w:tc>
        <w:tc>
          <w:tcPr>
            <w:tcW w:w="851" w:type="dxa"/>
            <w:shd w:val="clear" w:color="auto" w:fill="D99594" w:themeFill="accent2" w:themeFillTint="99"/>
          </w:tcPr>
          <w:p w14:paraId="5C0B8D9B" w14:textId="77777777" w:rsidR="00EE3DF9" w:rsidRPr="00F5382B" w:rsidRDefault="00EE3DF9">
            <w:pPr>
              <w:rPr>
                <w:b/>
                <w:noProof/>
                <w:sz w:val="16"/>
                <w:szCs w:val="16"/>
              </w:rPr>
            </w:pPr>
          </w:p>
        </w:tc>
        <w:tc>
          <w:tcPr>
            <w:tcW w:w="709" w:type="dxa"/>
            <w:shd w:val="clear" w:color="auto" w:fill="D99594" w:themeFill="accent2" w:themeFillTint="99"/>
          </w:tcPr>
          <w:p w14:paraId="42446A98" w14:textId="77777777" w:rsidR="00EE3DF9" w:rsidRPr="00F5382B" w:rsidRDefault="00EE3DF9">
            <w:pPr>
              <w:rPr>
                <w:b/>
                <w:noProof/>
                <w:sz w:val="16"/>
                <w:szCs w:val="16"/>
              </w:rPr>
            </w:pPr>
          </w:p>
        </w:tc>
        <w:tc>
          <w:tcPr>
            <w:tcW w:w="1275" w:type="dxa"/>
            <w:shd w:val="clear" w:color="auto" w:fill="D99594" w:themeFill="accent2" w:themeFillTint="99"/>
          </w:tcPr>
          <w:p w14:paraId="55BA29A7" w14:textId="77777777" w:rsidR="00EE3DF9" w:rsidRPr="00F5382B" w:rsidRDefault="00EE3DF9">
            <w:pPr>
              <w:jc w:val="right"/>
              <w:rPr>
                <w:b/>
                <w:noProof/>
                <w:sz w:val="16"/>
                <w:szCs w:val="16"/>
              </w:rPr>
            </w:pPr>
          </w:p>
        </w:tc>
        <w:tc>
          <w:tcPr>
            <w:tcW w:w="1418" w:type="dxa"/>
            <w:shd w:val="clear" w:color="auto" w:fill="D99594" w:themeFill="accent2" w:themeFillTint="99"/>
          </w:tcPr>
          <w:p w14:paraId="61DCBCBD" w14:textId="77777777" w:rsidR="00EE3DF9" w:rsidRPr="00F5382B" w:rsidRDefault="00EE3DF9">
            <w:pPr>
              <w:jc w:val="right"/>
              <w:rPr>
                <w:b/>
                <w:noProof/>
                <w:sz w:val="16"/>
                <w:szCs w:val="16"/>
              </w:rPr>
            </w:pPr>
          </w:p>
        </w:tc>
      </w:tr>
      <w:tr w:rsidR="00EE3DF9" w:rsidRPr="00F5382B" w14:paraId="6F21DAB7" w14:textId="77777777">
        <w:trPr>
          <w:trHeight w:val="703"/>
        </w:trPr>
        <w:tc>
          <w:tcPr>
            <w:tcW w:w="1303" w:type="dxa"/>
            <w:shd w:val="clear" w:color="auto" w:fill="FBD4B4" w:themeFill="accent6" w:themeFillTint="66"/>
          </w:tcPr>
          <w:p w14:paraId="29CC34BD" w14:textId="77777777" w:rsidR="00EE3DF9" w:rsidRPr="00F5382B" w:rsidRDefault="00EE3DF9">
            <w:pPr>
              <w:rPr>
                <w:b/>
                <w:noProof/>
                <w:sz w:val="16"/>
                <w:szCs w:val="16"/>
              </w:rPr>
            </w:pPr>
            <w:r w:rsidRPr="00F5382B">
              <w:rPr>
                <w:b/>
                <w:noProof/>
                <w:sz w:val="16"/>
                <w:szCs w:val="16"/>
              </w:rPr>
              <w:t>Option A.3</w:t>
            </w:r>
          </w:p>
          <w:p w14:paraId="1A0FFF6B" w14:textId="77777777" w:rsidR="00EE3DF9" w:rsidRPr="00F5382B" w:rsidRDefault="00EE3DF9">
            <w:pPr>
              <w:jc w:val="left"/>
              <w:rPr>
                <w:noProof/>
                <w:sz w:val="16"/>
                <w:szCs w:val="16"/>
              </w:rPr>
            </w:pPr>
            <w:r w:rsidRPr="00F5382B">
              <w:rPr>
                <w:bCs/>
                <w:noProof/>
                <w:sz w:val="16"/>
                <w:szCs w:val="16"/>
              </w:rPr>
              <w:t>(building on option A2)</w:t>
            </w:r>
          </w:p>
        </w:tc>
        <w:tc>
          <w:tcPr>
            <w:tcW w:w="1499" w:type="dxa"/>
            <w:shd w:val="clear" w:color="auto" w:fill="FBD4B4" w:themeFill="accent6" w:themeFillTint="66"/>
          </w:tcPr>
          <w:p w14:paraId="72C66DA8" w14:textId="77777777" w:rsidR="00EE3DF9" w:rsidRPr="00F5382B" w:rsidRDefault="00EE3DF9">
            <w:pPr>
              <w:rPr>
                <w:b/>
                <w:noProof/>
                <w:sz w:val="16"/>
                <w:szCs w:val="16"/>
              </w:rPr>
            </w:pPr>
          </w:p>
        </w:tc>
        <w:tc>
          <w:tcPr>
            <w:tcW w:w="595" w:type="dxa"/>
            <w:shd w:val="clear" w:color="auto" w:fill="FBD4B4" w:themeFill="accent6" w:themeFillTint="66"/>
          </w:tcPr>
          <w:p w14:paraId="4169B24E" w14:textId="77777777" w:rsidR="00EE3DF9" w:rsidRPr="00F5382B" w:rsidRDefault="00EE3DF9">
            <w:pPr>
              <w:rPr>
                <w:b/>
                <w:noProof/>
                <w:sz w:val="16"/>
                <w:szCs w:val="16"/>
              </w:rPr>
            </w:pPr>
          </w:p>
        </w:tc>
        <w:tc>
          <w:tcPr>
            <w:tcW w:w="709" w:type="dxa"/>
            <w:shd w:val="clear" w:color="auto" w:fill="FBD4B4" w:themeFill="accent6" w:themeFillTint="66"/>
          </w:tcPr>
          <w:p w14:paraId="0EEA1FF3" w14:textId="77777777" w:rsidR="00EE3DF9" w:rsidRPr="00F5382B" w:rsidRDefault="00EE3DF9">
            <w:pPr>
              <w:rPr>
                <w:b/>
                <w:noProof/>
                <w:sz w:val="16"/>
                <w:szCs w:val="16"/>
              </w:rPr>
            </w:pPr>
          </w:p>
        </w:tc>
        <w:tc>
          <w:tcPr>
            <w:tcW w:w="992" w:type="dxa"/>
            <w:shd w:val="clear" w:color="auto" w:fill="FBD4B4" w:themeFill="accent6" w:themeFillTint="66"/>
          </w:tcPr>
          <w:p w14:paraId="46D856F0" w14:textId="77777777" w:rsidR="00EE3DF9" w:rsidRPr="00F5382B" w:rsidRDefault="00EE3DF9">
            <w:pPr>
              <w:rPr>
                <w:b/>
                <w:noProof/>
                <w:sz w:val="16"/>
                <w:szCs w:val="16"/>
              </w:rPr>
            </w:pPr>
          </w:p>
        </w:tc>
        <w:tc>
          <w:tcPr>
            <w:tcW w:w="851" w:type="dxa"/>
            <w:shd w:val="clear" w:color="auto" w:fill="FBD4B4" w:themeFill="accent6" w:themeFillTint="66"/>
          </w:tcPr>
          <w:p w14:paraId="748C0EB9" w14:textId="77777777" w:rsidR="00EE3DF9" w:rsidRPr="00F5382B" w:rsidRDefault="00EE3DF9">
            <w:pPr>
              <w:rPr>
                <w:b/>
                <w:noProof/>
                <w:sz w:val="16"/>
                <w:szCs w:val="16"/>
              </w:rPr>
            </w:pPr>
          </w:p>
        </w:tc>
        <w:tc>
          <w:tcPr>
            <w:tcW w:w="709" w:type="dxa"/>
            <w:shd w:val="clear" w:color="auto" w:fill="FBD4B4" w:themeFill="accent6" w:themeFillTint="66"/>
          </w:tcPr>
          <w:p w14:paraId="3C1DD1BC" w14:textId="77777777" w:rsidR="00EE3DF9" w:rsidRPr="00F5382B" w:rsidRDefault="00EE3DF9">
            <w:pPr>
              <w:rPr>
                <w:b/>
                <w:noProof/>
                <w:sz w:val="16"/>
                <w:szCs w:val="16"/>
              </w:rPr>
            </w:pPr>
          </w:p>
        </w:tc>
        <w:tc>
          <w:tcPr>
            <w:tcW w:w="1275" w:type="dxa"/>
            <w:shd w:val="clear" w:color="auto" w:fill="FBD4B4" w:themeFill="accent6" w:themeFillTint="66"/>
          </w:tcPr>
          <w:p w14:paraId="5F03DCF5" w14:textId="77777777" w:rsidR="00EE3DF9" w:rsidRPr="00F5382B" w:rsidRDefault="00EE3DF9">
            <w:pPr>
              <w:jc w:val="right"/>
              <w:rPr>
                <w:b/>
                <w:noProof/>
                <w:sz w:val="16"/>
                <w:szCs w:val="16"/>
              </w:rPr>
            </w:pPr>
          </w:p>
        </w:tc>
        <w:tc>
          <w:tcPr>
            <w:tcW w:w="1418" w:type="dxa"/>
            <w:shd w:val="clear" w:color="auto" w:fill="FBD4B4" w:themeFill="accent6" w:themeFillTint="66"/>
          </w:tcPr>
          <w:p w14:paraId="32407DAB" w14:textId="77777777" w:rsidR="00EE3DF9" w:rsidRPr="00F5382B" w:rsidRDefault="00EE3DF9">
            <w:pPr>
              <w:jc w:val="right"/>
              <w:rPr>
                <w:b/>
                <w:noProof/>
                <w:sz w:val="16"/>
                <w:szCs w:val="16"/>
              </w:rPr>
            </w:pPr>
          </w:p>
        </w:tc>
      </w:tr>
      <w:tr w:rsidR="00EE3DF9" w:rsidRPr="00F5382B" w14:paraId="6F5F7CB0" w14:textId="77777777">
        <w:trPr>
          <w:trHeight w:val="297"/>
        </w:trPr>
        <w:tc>
          <w:tcPr>
            <w:tcW w:w="1303" w:type="dxa"/>
            <w:shd w:val="clear" w:color="auto" w:fill="FBD4B4" w:themeFill="accent6" w:themeFillTint="66"/>
          </w:tcPr>
          <w:p w14:paraId="00D09745" w14:textId="77777777" w:rsidR="00EE3DF9" w:rsidRPr="00F5382B" w:rsidRDefault="00EE3DF9">
            <w:pPr>
              <w:rPr>
                <w:b/>
                <w:noProof/>
                <w:sz w:val="16"/>
                <w:szCs w:val="16"/>
              </w:rPr>
            </w:pPr>
            <w:r w:rsidRPr="00F5382B">
              <w:rPr>
                <w:b/>
                <w:noProof/>
                <w:sz w:val="16"/>
                <w:szCs w:val="16"/>
              </w:rPr>
              <w:t>ENISA</w:t>
            </w:r>
          </w:p>
        </w:tc>
        <w:tc>
          <w:tcPr>
            <w:tcW w:w="1499" w:type="dxa"/>
            <w:shd w:val="clear" w:color="auto" w:fill="FBD4B4" w:themeFill="accent6" w:themeFillTint="66"/>
          </w:tcPr>
          <w:p w14:paraId="5D47DE0C" w14:textId="77777777" w:rsidR="00EE3DF9" w:rsidRPr="00F5382B" w:rsidRDefault="00EE3DF9">
            <w:pPr>
              <w:rPr>
                <w:b/>
                <w:noProof/>
                <w:sz w:val="16"/>
                <w:szCs w:val="16"/>
              </w:rPr>
            </w:pPr>
          </w:p>
        </w:tc>
        <w:tc>
          <w:tcPr>
            <w:tcW w:w="595" w:type="dxa"/>
            <w:shd w:val="clear" w:color="auto" w:fill="FBD4B4" w:themeFill="accent6" w:themeFillTint="66"/>
          </w:tcPr>
          <w:p w14:paraId="291E641A" w14:textId="77777777" w:rsidR="00EE3DF9" w:rsidRPr="00F5382B" w:rsidRDefault="00EE3DF9">
            <w:pPr>
              <w:rPr>
                <w:b/>
                <w:noProof/>
                <w:sz w:val="16"/>
                <w:szCs w:val="16"/>
              </w:rPr>
            </w:pPr>
          </w:p>
        </w:tc>
        <w:tc>
          <w:tcPr>
            <w:tcW w:w="709" w:type="dxa"/>
            <w:shd w:val="clear" w:color="auto" w:fill="FBD4B4" w:themeFill="accent6" w:themeFillTint="66"/>
          </w:tcPr>
          <w:p w14:paraId="0DF31469" w14:textId="77777777" w:rsidR="00EE3DF9" w:rsidRPr="00F5382B" w:rsidRDefault="00EE3DF9">
            <w:pPr>
              <w:rPr>
                <w:b/>
                <w:noProof/>
                <w:sz w:val="16"/>
                <w:szCs w:val="16"/>
              </w:rPr>
            </w:pPr>
          </w:p>
        </w:tc>
        <w:tc>
          <w:tcPr>
            <w:tcW w:w="992" w:type="dxa"/>
            <w:shd w:val="clear" w:color="auto" w:fill="FBD4B4" w:themeFill="accent6" w:themeFillTint="66"/>
          </w:tcPr>
          <w:p w14:paraId="4162C740" w14:textId="77777777" w:rsidR="00EE3DF9" w:rsidRPr="00F5382B" w:rsidRDefault="00EE3DF9">
            <w:pPr>
              <w:rPr>
                <w:b/>
                <w:noProof/>
                <w:sz w:val="16"/>
                <w:szCs w:val="16"/>
              </w:rPr>
            </w:pPr>
          </w:p>
        </w:tc>
        <w:tc>
          <w:tcPr>
            <w:tcW w:w="851" w:type="dxa"/>
            <w:shd w:val="clear" w:color="auto" w:fill="FBD4B4" w:themeFill="accent6" w:themeFillTint="66"/>
          </w:tcPr>
          <w:p w14:paraId="0582CA8E" w14:textId="77777777" w:rsidR="00EE3DF9" w:rsidRPr="00F5382B" w:rsidRDefault="00EE3DF9">
            <w:pPr>
              <w:rPr>
                <w:b/>
                <w:noProof/>
                <w:sz w:val="16"/>
                <w:szCs w:val="16"/>
              </w:rPr>
            </w:pPr>
          </w:p>
        </w:tc>
        <w:tc>
          <w:tcPr>
            <w:tcW w:w="709" w:type="dxa"/>
            <w:shd w:val="clear" w:color="auto" w:fill="FBD4B4" w:themeFill="accent6" w:themeFillTint="66"/>
          </w:tcPr>
          <w:p w14:paraId="05A15712" w14:textId="77777777" w:rsidR="00EE3DF9" w:rsidRPr="00F5382B" w:rsidRDefault="00EE3DF9">
            <w:pPr>
              <w:rPr>
                <w:b/>
                <w:noProof/>
                <w:sz w:val="16"/>
                <w:szCs w:val="16"/>
              </w:rPr>
            </w:pPr>
          </w:p>
        </w:tc>
        <w:tc>
          <w:tcPr>
            <w:tcW w:w="1275" w:type="dxa"/>
            <w:shd w:val="clear" w:color="auto" w:fill="FBD4B4" w:themeFill="accent6" w:themeFillTint="66"/>
          </w:tcPr>
          <w:p w14:paraId="19960AD5" w14:textId="77777777" w:rsidR="00EE3DF9" w:rsidRPr="00F5382B" w:rsidRDefault="00EE3DF9">
            <w:pPr>
              <w:jc w:val="right"/>
              <w:rPr>
                <w:b/>
                <w:noProof/>
                <w:sz w:val="16"/>
                <w:szCs w:val="16"/>
              </w:rPr>
            </w:pPr>
          </w:p>
        </w:tc>
        <w:tc>
          <w:tcPr>
            <w:tcW w:w="1418" w:type="dxa"/>
            <w:shd w:val="clear" w:color="auto" w:fill="FBD4B4" w:themeFill="accent6" w:themeFillTint="66"/>
          </w:tcPr>
          <w:p w14:paraId="2C2A572F" w14:textId="77777777" w:rsidR="00EE3DF9" w:rsidRPr="00F5382B" w:rsidRDefault="00EE3DF9">
            <w:pPr>
              <w:jc w:val="right"/>
              <w:rPr>
                <w:b/>
                <w:noProof/>
                <w:sz w:val="16"/>
                <w:szCs w:val="16"/>
              </w:rPr>
            </w:pPr>
          </w:p>
        </w:tc>
      </w:tr>
      <w:tr w:rsidR="00EE3DF9" w:rsidRPr="00F5382B" w14:paraId="23965F04" w14:textId="77777777">
        <w:trPr>
          <w:trHeight w:val="703"/>
        </w:trPr>
        <w:tc>
          <w:tcPr>
            <w:tcW w:w="1303" w:type="dxa"/>
            <w:shd w:val="clear" w:color="auto" w:fill="FDE9D9" w:themeFill="accent6" w:themeFillTint="33"/>
          </w:tcPr>
          <w:p w14:paraId="3D3F6B3E" w14:textId="77777777" w:rsidR="00EE3DF9" w:rsidRPr="00F5382B" w:rsidRDefault="00EE3DF9">
            <w:pPr>
              <w:rPr>
                <w:noProof/>
                <w:sz w:val="16"/>
                <w:szCs w:val="16"/>
              </w:rPr>
            </w:pPr>
            <w:r w:rsidRPr="00F5382B">
              <w:rPr>
                <w:bCs/>
                <w:noProof/>
                <w:sz w:val="16"/>
                <w:szCs w:val="16"/>
              </w:rPr>
              <w:t>FTEs covering areas under</w:t>
            </w:r>
            <w:r w:rsidRPr="00F5382B">
              <w:rPr>
                <w:noProof/>
                <w:sz w:val="16"/>
                <w:szCs w:val="16"/>
              </w:rPr>
              <w:t xml:space="preserve"> Option A.2  (FTEs + NLOs)</w:t>
            </w:r>
          </w:p>
        </w:tc>
        <w:tc>
          <w:tcPr>
            <w:tcW w:w="1499" w:type="dxa"/>
            <w:shd w:val="clear" w:color="auto" w:fill="FDE9D9" w:themeFill="accent6" w:themeFillTint="33"/>
          </w:tcPr>
          <w:p w14:paraId="4501F460" w14:textId="77777777" w:rsidR="00EE3DF9" w:rsidRPr="00F5382B" w:rsidRDefault="00EE3DF9">
            <w:pPr>
              <w:rPr>
                <w:b/>
                <w:noProof/>
                <w:sz w:val="16"/>
                <w:szCs w:val="16"/>
              </w:rPr>
            </w:pPr>
          </w:p>
        </w:tc>
        <w:tc>
          <w:tcPr>
            <w:tcW w:w="595" w:type="dxa"/>
            <w:shd w:val="clear" w:color="auto" w:fill="FDE9D9" w:themeFill="accent6" w:themeFillTint="33"/>
          </w:tcPr>
          <w:p w14:paraId="7708F252" w14:textId="77777777" w:rsidR="00EE3DF9" w:rsidRPr="00F5382B" w:rsidRDefault="00EE3DF9">
            <w:pPr>
              <w:jc w:val="right"/>
              <w:rPr>
                <w:bCs/>
                <w:noProof/>
                <w:sz w:val="16"/>
                <w:szCs w:val="16"/>
              </w:rPr>
            </w:pPr>
            <w:r w:rsidRPr="00F5382B">
              <w:rPr>
                <w:b/>
                <w:noProof/>
                <w:sz w:val="16"/>
                <w:szCs w:val="16"/>
              </w:rPr>
              <w:t>142</w:t>
            </w:r>
          </w:p>
        </w:tc>
        <w:tc>
          <w:tcPr>
            <w:tcW w:w="709" w:type="dxa"/>
            <w:shd w:val="clear" w:color="auto" w:fill="FDE9D9" w:themeFill="accent6" w:themeFillTint="33"/>
          </w:tcPr>
          <w:p w14:paraId="2D451FC3" w14:textId="77777777" w:rsidR="00EE3DF9" w:rsidRPr="00F5382B" w:rsidRDefault="00EE3DF9">
            <w:pPr>
              <w:jc w:val="right"/>
              <w:rPr>
                <w:bCs/>
                <w:noProof/>
                <w:sz w:val="16"/>
                <w:szCs w:val="16"/>
              </w:rPr>
            </w:pPr>
            <w:r w:rsidRPr="00F5382B">
              <w:rPr>
                <w:b/>
                <w:noProof/>
                <w:sz w:val="16"/>
                <w:szCs w:val="16"/>
              </w:rPr>
              <w:t>142</w:t>
            </w:r>
          </w:p>
        </w:tc>
        <w:tc>
          <w:tcPr>
            <w:tcW w:w="992" w:type="dxa"/>
            <w:shd w:val="clear" w:color="auto" w:fill="FDE9D9" w:themeFill="accent6" w:themeFillTint="33"/>
          </w:tcPr>
          <w:p w14:paraId="4FE04BF0" w14:textId="77777777" w:rsidR="00EE3DF9" w:rsidRPr="00F5382B" w:rsidRDefault="00EE3DF9">
            <w:pPr>
              <w:jc w:val="right"/>
              <w:rPr>
                <w:bCs/>
                <w:noProof/>
                <w:sz w:val="16"/>
                <w:szCs w:val="16"/>
              </w:rPr>
            </w:pPr>
            <w:r w:rsidRPr="00F5382B">
              <w:rPr>
                <w:b/>
                <w:noProof/>
                <w:sz w:val="16"/>
                <w:szCs w:val="16"/>
              </w:rPr>
              <w:t>142</w:t>
            </w:r>
          </w:p>
        </w:tc>
        <w:tc>
          <w:tcPr>
            <w:tcW w:w="851" w:type="dxa"/>
            <w:shd w:val="clear" w:color="auto" w:fill="FDE9D9" w:themeFill="accent6" w:themeFillTint="33"/>
          </w:tcPr>
          <w:p w14:paraId="6ACE16B1" w14:textId="77777777" w:rsidR="00EE3DF9" w:rsidRPr="00F5382B" w:rsidRDefault="00EE3DF9">
            <w:pPr>
              <w:jc w:val="right"/>
              <w:rPr>
                <w:bCs/>
                <w:noProof/>
                <w:sz w:val="16"/>
                <w:szCs w:val="16"/>
              </w:rPr>
            </w:pPr>
            <w:r w:rsidRPr="00F5382B">
              <w:rPr>
                <w:b/>
                <w:noProof/>
                <w:sz w:val="16"/>
                <w:szCs w:val="16"/>
              </w:rPr>
              <w:t>142</w:t>
            </w:r>
          </w:p>
        </w:tc>
        <w:tc>
          <w:tcPr>
            <w:tcW w:w="709" w:type="dxa"/>
            <w:shd w:val="clear" w:color="auto" w:fill="FDE9D9" w:themeFill="accent6" w:themeFillTint="33"/>
          </w:tcPr>
          <w:p w14:paraId="7F4982B4" w14:textId="77777777" w:rsidR="00EE3DF9" w:rsidRPr="00F5382B" w:rsidRDefault="00EE3DF9">
            <w:pPr>
              <w:jc w:val="right"/>
              <w:rPr>
                <w:bCs/>
                <w:noProof/>
                <w:sz w:val="16"/>
                <w:szCs w:val="16"/>
              </w:rPr>
            </w:pPr>
            <w:r w:rsidRPr="00F5382B">
              <w:rPr>
                <w:b/>
                <w:noProof/>
                <w:sz w:val="16"/>
                <w:szCs w:val="16"/>
              </w:rPr>
              <w:t>142</w:t>
            </w:r>
          </w:p>
        </w:tc>
        <w:tc>
          <w:tcPr>
            <w:tcW w:w="1275" w:type="dxa"/>
            <w:shd w:val="clear" w:color="auto" w:fill="FDE9D9" w:themeFill="accent6" w:themeFillTint="33"/>
          </w:tcPr>
          <w:p w14:paraId="42281DB7" w14:textId="77777777" w:rsidR="00EE3DF9" w:rsidRPr="00F5382B" w:rsidRDefault="00EE3DF9">
            <w:pPr>
              <w:jc w:val="right"/>
              <w:rPr>
                <w:bCs/>
                <w:noProof/>
                <w:sz w:val="16"/>
                <w:szCs w:val="16"/>
              </w:rPr>
            </w:pPr>
            <w:r w:rsidRPr="00F5382B">
              <w:rPr>
                <w:b/>
                <w:noProof/>
                <w:sz w:val="16"/>
                <w:szCs w:val="16"/>
              </w:rPr>
              <w:t>14 524 254</w:t>
            </w:r>
          </w:p>
        </w:tc>
        <w:tc>
          <w:tcPr>
            <w:tcW w:w="1418" w:type="dxa"/>
            <w:shd w:val="clear" w:color="auto" w:fill="FDE9D9" w:themeFill="accent6" w:themeFillTint="33"/>
          </w:tcPr>
          <w:p w14:paraId="1808C5BB" w14:textId="77777777" w:rsidR="00EE3DF9" w:rsidRPr="00F5382B" w:rsidRDefault="00EE3DF9">
            <w:pPr>
              <w:jc w:val="right"/>
              <w:rPr>
                <w:bCs/>
                <w:noProof/>
                <w:sz w:val="16"/>
                <w:szCs w:val="16"/>
              </w:rPr>
            </w:pPr>
            <w:r w:rsidRPr="00F5382B">
              <w:rPr>
                <w:b/>
                <w:noProof/>
                <w:sz w:val="16"/>
                <w:szCs w:val="16"/>
              </w:rPr>
              <w:t>72 621 270</w:t>
            </w:r>
          </w:p>
        </w:tc>
      </w:tr>
      <w:tr w:rsidR="00EE3DF9" w:rsidRPr="00F5382B" w14:paraId="3C17E9C7" w14:textId="77777777">
        <w:trPr>
          <w:trHeight w:val="703"/>
        </w:trPr>
        <w:tc>
          <w:tcPr>
            <w:tcW w:w="1303" w:type="dxa"/>
            <w:shd w:val="clear" w:color="auto" w:fill="FDE9D9" w:themeFill="accent6" w:themeFillTint="33"/>
          </w:tcPr>
          <w:p w14:paraId="5AC7EC40" w14:textId="77777777" w:rsidR="00EE3DF9" w:rsidRPr="00F5382B" w:rsidRDefault="00EE3DF9">
            <w:pPr>
              <w:rPr>
                <w:bCs/>
                <w:noProof/>
                <w:sz w:val="16"/>
                <w:szCs w:val="16"/>
              </w:rPr>
            </w:pPr>
            <w:r w:rsidRPr="00F5382B">
              <w:rPr>
                <w:bCs/>
                <w:noProof/>
                <w:sz w:val="16"/>
                <w:szCs w:val="16"/>
              </w:rPr>
              <w:t>Other costs for ENISA under Option A.2</w:t>
            </w:r>
          </w:p>
        </w:tc>
        <w:tc>
          <w:tcPr>
            <w:tcW w:w="1499" w:type="dxa"/>
            <w:shd w:val="clear" w:color="auto" w:fill="FDE9D9" w:themeFill="accent6" w:themeFillTint="33"/>
          </w:tcPr>
          <w:p w14:paraId="42BF3E3F" w14:textId="77777777" w:rsidR="00EE3DF9" w:rsidRPr="00F5382B" w:rsidRDefault="00EE3DF9">
            <w:pPr>
              <w:rPr>
                <w:bCs/>
                <w:noProof/>
                <w:sz w:val="16"/>
                <w:szCs w:val="16"/>
              </w:rPr>
            </w:pPr>
          </w:p>
        </w:tc>
        <w:tc>
          <w:tcPr>
            <w:tcW w:w="595" w:type="dxa"/>
            <w:shd w:val="clear" w:color="auto" w:fill="FDE9D9" w:themeFill="accent6" w:themeFillTint="33"/>
          </w:tcPr>
          <w:p w14:paraId="3DC3DF6A" w14:textId="77777777" w:rsidR="00EE3DF9" w:rsidRPr="00F5382B" w:rsidRDefault="00EE3DF9">
            <w:pPr>
              <w:jc w:val="right"/>
              <w:rPr>
                <w:bCs/>
                <w:noProof/>
                <w:sz w:val="16"/>
                <w:szCs w:val="16"/>
              </w:rPr>
            </w:pPr>
          </w:p>
        </w:tc>
        <w:tc>
          <w:tcPr>
            <w:tcW w:w="709" w:type="dxa"/>
            <w:shd w:val="clear" w:color="auto" w:fill="FDE9D9" w:themeFill="accent6" w:themeFillTint="33"/>
          </w:tcPr>
          <w:p w14:paraId="1E5EA7E6" w14:textId="77777777" w:rsidR="00EE3DF9" w:rsidRPr="00F5382B" w:rsidRDefault="00EE3DF9">
            <w:pPr>
              <w:jc w:val="right"/>
              <w:rPr>
                <w:bCs/>
                <w:noProof/>
                <w:sz w:val="16"/>
                <w:szCs w:val="16"/>
              </w:rPr>
            </w:pPr>
          </w:p>
        </w:tc>
        <w:tc>
          <w:tcPr>
            <w:tcW w:w="992" w:type="dxa"/>
            <w:shd w:val="clear" w:color="auto" w:fill="FDE9D9" w:themeFill="accent6" w:themeFillTint="33"/>
          </w:tcPr>
          <w:p w14:paraId="305BD37C" w14:textId="77777777" w:rsidR="00EE3DF9" w:rsidRPr="00F5382B" w:rsidRDefault="00EE3DF9">
            <w:pPr>
              <w:jc w:val="right"/>
              <w:rPr>
                <w:bCs/>
                <w:noProof/>
                <w:sz w:val="16"/>
                <w:szCs w:val="16"/>
              </w:rPr>
            </w:pPr>
          </w:p>
        </w:tc>
        <w:tc>
          <w:tcPr>
            <w:tcW w:w="851" w:type="dxa"/>
            <w:shd w:val="clear" w:color="auto" w:fill="FDE9D9" w:themeFill="accent6" w:themeFillTint="33"/>
          </w:tcPr>
          <w:p w14:paraId="4DCD06FA" w14:textId="77777777" w:rsidR="00EE3DF9" w:rsidRPr="00F5382B" w:rsidRDefault="00EE3DF9">
            <w:pPr>
              <w:jc w:val="right"/>
              <w:rPr>
                <w:bCs/>
                <w:noProof/>
                <w:sz w:val="16"/>
                <w:szCs w:val="16"/>
              </w:rPr>
            </w:pPr>
          </w:p>
        </w:tc>
        <w:tc>
          <w:tcPr>
            <w:tcW w:w="709" w:type="dxa"/>
            <w:shd w:val="clear" w:color="auto" w:fill="FDE9D9" w:themeFill="accent6" w:themeFillTint="33"/>
          </w:tcPr>
          <w:p w14:paraId="4D9170DF" w14:textId="77777777" w:rsidR="00EE3DF9" w:rsidRPr="00F5382B" w:rsidRDefault="00EE3DF9">
            <w:pPr>
              <w:jc w:val="right"/>
              <w:rPr>
                <w:bCs/>
                <w:noProof/>
                <w:sz w:val="16"/>
                <w:szCs w:val="16"/>
              </w:rPr>
            </w:pPr>
          </w:p>
        </w:tc>
        <w:tc>
          <w:tcPr>
            <w:tcW w:w="1275" w:type="dxa"/>
            <w:shd w:val="clear" w:color="auto" w:fill="FDE9D9" w:themeFill="accent6" w:themeFillTint="33"/>
          </w:tcPr>
          <w:p w14:paraId="5FA402DC" w14:textId="77777777" w:rsidR="00EE3DF9" w:rsidRPr="00F5382B" w:rsidRDefault="00EE3DF9">
            <w:pPr>
              <w:jc w:val="right"/>
              <w:rPr>
                <w:bCs/>
                <w:noProof/>
                <w:sz w:val="16"/>
                <w:szCs w:val="16"/>
              </w:rPr>
            </w:pPr>
          </w:p>
        </w:tc>
        <w:tc>
          <w:tcPr>
            <w:tcW w:w="1418" w:type="dxa"/>
            <w:shd w:val="clear" w:color="auto" w:fill="FDE9D9" w:themeFill="accent6" w:themeFillTint="33"/>
          </w:tcPr>
          <w:p w14:paraId="320EA8AF" w14:textId="77777777" w:rsidR="00EE3DF9" w:rsidRPr="00F5382B" w:rsidRDefault="00EE3DF9">
            <w:pPr>
              <w:spacing w:after="60"/>
              <w:jc w:val="right"/>
              <w:rPr>
                <w:b/>
                <w:bCs/>
                <w:noProof/>
                <w:sz w:val="16"/>
                <w:szCs w:val="16"/>
              </w:rPr>
            </w:pPr>
            <w:r w:rsidRPr="00F5382B">
              <w:rPr>
                <w:b/>
                <w:bCs/>
                <w:noProof/>
                <w:sz w:val="16"/>
                <w:szCs w:val="16"/>
              </w:rPr>
              <w:t>75 497 600</w:t>
            </w:r>
          </w:p>
          <w:p w14:paraId="776A1797" w14:textId="77777777" w:rsidR="00EE3DF9" w:rsidRPr="00F5382B" w:rsidRDefault="00EE3DF9">
            <w:pPr>
              <w:jc w:val="right"/>
              <w:rPr>
                <w:bCs/>
                <w:noProof/>
                <w:sz w:val="16"/>
                <w:szCs w:val="16"/>
              </w:rPr>
            </w:pPr>
          </w:p>
        </w:tc>
      </w:tr>
      <w:tr w:rsidR="00EE3DF9" w:rsidRPr="00F5382B" w14:paraId="4FCA153E" w14:textId="77777777">
        <w:trPr>
          <w:trHeight w:val="703"/>
        </w:trPr>
        <w:tc>
          <w:tcPr>
            <w:tcW w:w="1303" w:type="dxa"/>
            <w:shd w:val="clear" w:color="auto" w:fill="FDE9D9" w:themeFill="accent6" w:themeFillTint="33"/>
          </w:tcPr>
          <w:p w14:paraId="7C703CC0" w14:textId="77777777" w:rsidR="00EE3DF9" w:rsidRPr="00F5382B" w:rsidRDefault="00EE3DF9">
            <w:pPr>
              <w:rPr>
                <w:bCs/>
                <w:noProof/>
                <w:sz w:val="16"/>
                <w:szCs w:val="16"/>
              </w:rPr>
            </w:pPr>
            <w:r w:rsidRPr="00F5382B">
              <w:rPr>
                <w:bCs/>
                <w:noProof/>
                <w:sz w:val="16"/>
                <w:szCs w:val="16"/>
              </w:rPr>
              <w:t>Operational team</w:t>
            </w:r>
          </w:p>
        </w:tc>
        <w:tc>
          <w:tcPr>
            <w:tcW w:w="1499" w:type="dxa"/>
            <w:shd w:val="clear" w:color="auto" w:fill="FDE9D9" w:themeFill="accent6" w:themeFillTint="33"/>
          </w:tcPr>
          <w:p w14:paraId="78D77A32" w14:textId="77777777" w:rsidR="00EE3DF9" w:rsidRPr="00F5382B" w:rsidRDefault="00EE3DF9">
            <w:pPr>
              <w:rPr>
                <w:bCs/>
                <w:noProof/>
                <w:sz w:val="16"/>
                <w:szCs w:val="16"/>
              </w:rPr>
            </w:pPr>
            <w:r w:rsidRPr="00F5382B">
              <w:rPr>
                <w:bCs/>
                <w:noProof/>
                <w:sz w:val="16"/>
                <w:szCs w:val="16"/>
              </w:rPr>
              <w:t>Providing direct support under the NIS 2 Directive</w:t>
            </w:r>
          </w:p>
        </w:tc>
        <w:tc>
          <w:tcPr>
            <w:tcW w:w="595" w:type="dxa"/>
            <w:shd w:val="clear" w:color="auto" w:fill="FDE9D9" w:themeFill="accent6" w:themeFillTint="33"/>
          </w:tcPr>
          <w:p w14:paraId="7D77D875" w14:textId="77777777" w:rsidR="00EE3DF9" w:rsidRPr="00F5382B" w:rsidRDefault="00EE3DF9">
            <w:pPr>
              <w:jc w:val="right"/>
              <w:rPr>
                <w:bCs/>
                <w:noProof/>
                <w:sz w:val="16"/>
                <w:szCs w:val="16"/>
              </w:rPr>
            </w:pPr>
            <w:r w:rsidRPr="00F5382B">
              <w:rPr>
                <w:bCs/>
                <w:noProof/>
                <w:sz w:val="16"/>
                <w:szCs w:val="16"/>
              </w:rPr>
              <w:t>15</w:t>
            </w:r>
          </w:p>
        </w:tc>
        <w:tc>
          <w:tcPr>
            <w:tcW w:w="709" w:type="dxa"/>
            <w:shd w:val="clear" w:color="auto" w:fill="FDE9D9" w:themeFill="accent6" w:themeFillTint="33"/>
          </w:tcPr>
          <w:p w14:paraId="79B7E9ED" w14:textId="77777777" w:rsidR="00EE3DF9" w:rsidRPr="00F5382B" w:rsidRDefault="00EE3DF9">
            <w:pPr>
              <w:jc w:val="right"/>
              <w:rPr>
                <w:bCs/>
                <w:noProof/>
                <w:sz w:val="16"/>
                <w:szCs w:val="16"/>
              </w:rPr>
            </w:pPr>
            <w:r w:rsidRPr="00F5382B">
              <w:rPr>
                <w:bCs/>
                <w:noProof/>
                <w:sz w:val="16"/>
                <w:szCs w:val="16"/>
              </w:rPr>
              <w:t>25</w:t>
            </w:r>
          </w:p>
        </w:tc>
        <w:tc>
          <w:tcPr>
            <w:tcW w:w="992" w:type="dxa"/>
            <w:shd w:val="clear" w:color="auto" w:fill="FDE9D9" w:themeFill="accent6" w:themeFillTint="33"/>
          </w:tcPr>
          <w:p w14:paraId="1F9618D1" w14:textId="77777777" w:rsidR="00EE3DF9" w:rsidRPr="00F5382B" w:rsidRDefault="00EE3DF9">
            <w:pPr>
              <w:jc w:val="right"/>
              <w:rPr>
                <w:bCs/>
                <w:noProof/>
                <w:sz w:val="16"/>
                <w:szCs w:val="16"/>
              </w:rPr>
            </w:pPr>
            <w:r w:rsidRPr="00F5382B">
              <w:rPr>
                <w:bCs/>
                <w:noProof/>
                <w:sz w:val="16"/>
                <w:szCs w:val="16"/>
              </w:rPr>
              <w:t>25</w:t>
            </w:r>
          </w:p>
        </w:tc>
        <w:tc>
          <w:tcPr>
            <w:tcW w:w="851" w:type="dxa"/>
            <w:shd w:val="clear" w:color="auto" w:fill="FDE9D9" w:themeFill="accent6" w:themeFillTint="33"/>
          </w:tcPr>
          <w:p w14:paraId="5C42DD2B" w14:textId="77777777" w:rsidR="00EE3DF9" w:rsidRPr="00F5382B" w:rsidRDefault="00EE3DF9">
            <w:pPr>
              <w:jc w:val="right"/>
              <w:rPr>
                <w:bCs/>
                <w:noProof/>
                <w:sz w:val="16"/>
                <w:szCs w:val="16"/>
              </w:rPr>
            </w:pPr>
            <w:r w:rsidRPr="00F5382B">
              <w:rPr>
                <w:bCs/>
                <w:noProof/>
                <w:sz w:val="16"/>
                <w:szCs w:val="16"/>
              </w:rPr>
              <w:t>25</w:t>
            </w:r>
          </w:p>
        </w:tc>
        <w:tc>
          <w:tcPr>
            <w:tcW w:w="709" w:type="dxa"/>
            <w:shd w:val="clear" w:color="auto" w:fill="FDE9D9" w:themeFill="accent6" w:themeFillTint="33"/>
          </w:tcPr>
          <w:p w14:paraId="0C2BB342" w14:textId="77777777" w:rsidR="00EE3DF9" w:rsidRPr="00F5382B" w:rsidRDefault="00EE3DF9">
            <w:pPr>
              <w:jc w:val="right"/>
              <w:rPr>
                <w:bCs/>
                <w:noProof/>
                <w:sz w:val="16"/>
                <w:szCs w:val="16"/>
              </w:rPr>
            </w:pPr>
            <w:r w:rsidRPr="00F5382B">
              <w:rPr>
                <w:bCs/>
                <w:noProof/>
                <w:sz w:val="16"/>
                <w:szCs w:val="16"/>
              </w:rPr>
              <w:t>25</w:t>
            </w:r>
          </w:p>
        </w:tc>
        <w:tc>
          <w:tcPr>
            <w:tcW w:w="1275" w:type="dxa"/>
            <w:shd w:val="clear" w:color="auto" w:fill="FDE9D9" w:themeFill="accent6" w:themeFillTint="33"/>
          </w:tcPr>
          <w:p w14:paraId="0388AF64" w14:textId="77777777" w:rsidR="00EE3DF9" w:rsidRPr="00F5382B" w:rsidRDefault="00EE3DF9">
            <w:pPr>
              <w:jc w:val="right"/>
              <w:rPr>
                <w:bCs/>
                <w:noProof/>
                <w:sz w:val="16"/>
                <w:szCs w:val="16"/>
              </w:rPr>
            </w:pPr>
            <w:r w:rsidRPr="00F5382B">
              <w:rPr>
                <w:bCs/>
                <w:noProof/>
                <w:sz w:val="16"/>
                <w:szCs w:val="16"/>
              </w:rPr>
              <w:t>2 950 371</w:t>
            </w:r>
          </w:p>
        </w:tc>
        <w:tc>
          <w:tcPr>
            <w:tcW w:w="1418" w:type="dxa"/>
            <w:shd w:val="clear" w:color="auto" w:fill="FDE9D9" w:themeFill="accent6" w:themeFillTint="33"/>
          </w:tcPr>
          <w:p w14:paraId="2DBD3C96" w14:textId="77777777" w:rsidR="00EE3DF9" w:rsidRPr="00F5382B" w:rsidRDefault="00EE3DF9">
            <w:pPr>
              <w:jc w:val="right"/>
              <w:rPr>
                <w:bCs/>
                <w:noProof/>
                <w:sz w:val="16"/>
                <w:szCs w:val="16"/>
              </w:rPr>
            </w:pPr>
            <w:r w:rsidRPr="00F5382B">
              <w:rPr>
                <w:bCs/>
                <w:noProof/>
                <w:sz w:val="16"/>
                <w:szCs w:val="16"/>
              </w:rPr>
              <w:t>14 851 855</w:t>
            </w:r>
          </w:p>
        </w:tc>
      </w:tr>
      <w:tr w:rsidR="00EE3DF9" w:rsidRPr="00F5382B" w14:paraId="4C457687" w14:textId="77777777">
        <w:trPr>
          <w:trHeight w:val="703"/>
        </w:trPr>
        <w:tc>
          <w:tcPr>
            <w:tcW w:w="1303" w:type="dxa"/>
            <w:shd w:val="clear" w:color="auto" w:fill="FDE9D9" w:themeFill="accent6" w:themeFillTint="33"/>
          </w:tcPr>
          <w:p w14:paraId="169DC1B2" w14:textId="77777777" w:rsidR="00EE3DF9" w:rsidRPr="00F5382B" w:rsidRDefault="00EE3DF9">
            <w:pPr>
              <w:rPr>
                <w:bCs/>
                <w:noProof/>
                <w:sz w:val="16"/>
                <w:szCs w:val="16"/>
              </w:rPr>
            </w:pPr>
            <w:r w:rsidRPr="00F5382B">
              <w:rPr>
                <w:bCs/>
                <w:noProof/>
                <w:sz w:val="16"/>
                <w:szCs w:val="16"/>
              </w:rPr>
              <w:t>EU Cybersecurity Umbrella</w:t>
            </w:r>
          </w:p>
        </w:tc>
        <w:tc>
          <w:tcPr>
            <w:tcW w:w="1499" w:type="dxa"/>
            <w:shd w:val="clear" w:color="auto" w:fill="FDE9D9" w:themeFill="accent6" w:themeFillTint="33"/>
          </w:tcPr>
          <w:p w14:paraId="3D1C78CB" w14:textId="77777777" w:rsidR="00EE3DF9" w:rsidRPr="00F5382B" w:rsidRDefault="00EE3DF9">
            <w:pPr>
              <w:rPr>
                <w:bCs/>
                <w:noProof/>
                <w:sz w:val="16"/>
                <w:szCs w:val="16"/>
              </w:rPr>
            </w:pPr>
          </w:p>
        </w:tc>
        <w:tc>
          <w:tcPr>
            <w:tcW w:w="595" w:type="dxa"/>
            <w:shd w:val="clear" w:color="auto" w:fill="FDE9D9" w:themeFill="accent6" w:themeFillTint="33"/>
          </w:tcPr>
          <w:p w14:paraId="0852E741" w14:textId="77777777" w:rsidR="00EE3DF9" w:rsidRPr="00F5382B" w:rsidRDefault="00EE3DF9">
            <w:pPr>
              <w:jc w:val="right"/>
              <w:rPr>
                <w:bCs/>
                <w:noProof/>
                <w:sz w:val="16"/>
                <w:szCs w:val="16"/>
              </w:rPr>
            </w:pPr>
            <w:r w:rsidRPr="00F5382B">
              <w:rPr>
                <w:bCs/>
                <w:noProof/>
                <w:sz w:val="16"/>
                <w:szCs w:val="16"/>
              </w:rPr>
              <w:t>2.5</w:t>
            </w:r>
          </w:p>
        </w:tc>
        <w:tc>
          <w:tcPr>
            <w:tcW w:w="709" w:type="dxa"/>
            <w:shd w:val="clear" w:color="auto" w:fill="FDE9D9" w:themeFill="accent6" w:themeFillTint="33"/>
          </w:tcPr>
          <w:p w14:paraId="6F7E647A" w14:textId="77777777" w:rsidR="00EE3DF9" w:rsidRPr="00F5382B" w:rsidRDefault="00EE3DF9">
            <w:pPr>
              <w:jc w:val="right"/>
              <w:rPr>
                <w:bCs/>
                <w:noProof/>
                <w:sz w:val="16"/>
                <w:szCs w:val="16"/>
              </w:rPr>
            </w:pPr>
            <w:r w:rsidRPr="00F5382B">
              <w:rPr>
                <w:bCs/>
                <w:noProof/>
                <w:sz w:val="16"/>
                <w:szCs w:val="16"/>
              </w:rPr>
              <w:t>2.5</w:t>
            </w:r>
          </w:p>
        </w:tc>
        <w:tc>
          <w:tcPr>
            <w:tcW w:w="992" w:type="dxa"/>
            <w:shd w:val="clear" w:color="auto" w:fill="FDE9D9" w:themeFill="accent6" w:themeFillTint="33"/>
          </w:tcPr>
          <w:p w14:paraId="5EE1A18B" w14:textId="77777777" w:rsidR="00EE3DF9" w:rsidRPr="00F5382B" w:rsidRDefault="00EE3DF9">
            <w:pPr>
              <w:jc w:val="right"/>
              <w:rPr>
                <w:bCs/>
                <w:noProof/>
                <w:sz w:val="16"/>
                <w:szCs w:val="16"/>
              </w:rPr>
            </w:pPr>
            <w:r w:rsidRPr="00F5382B">
              <w:rPr>
                <w:bCs/>
                <w:noProof/>
                <w:sz w:val="16"/>
                <w:szCs w:val="16"/>
              </w:rPr>
              <w:t>2.5</w:t>
            </w:r>
          </w:p>
        </w:tc>
        <w:tc>
          <w:tcPr>
            <w:tcW w:w="851" w:type="dxa"/>
            <w:shd w:val="clear" w:color="auto" w:fill="FDE9D9" w:themeFill="accent6" w:themeFillTint="33"/>
          </w:tcPr>
          <w:p w14:paraId="10FF29D7" w14:textId="77777777" w:rsidR="00EE3DF9" w:rsidRPr="00F5382B" w:rsidRDefault="00EE3DF9">
            <w:pPr>
              <w:jc w:val="right"/>
              <w:rPr>
                <w:bCs/>
                <w:noProof/>
                <w:sz w:val="16"/>
                <w:szCs w:val="16"/>
              </w:rPr>
            </w:pPr>
            <w:r w:rsidRPr="00F5382B">
              <w:rPr>
                <w:bCs/>
                <w:noProof/>
                <w:sz w:val="16"/>
                <w:szCs w:val="16"/>
              </w:rPr>
              <w:t>2.5</w:t>
            </w:r>
          </w:p>
        </w:tc>
        <w:tc>
          <w:tcPr>
            <w:tcW w:w="709" w:type="dxa"/>
            <w:shd w:val="clear" w:color="auto" w:fill="FDE9D9" w:themeFill="accent6" w:themeFillTint="33"/>
          </w:tcPr>
          <w:p w14:paraId="27F4D681" w14:textId="77777777" w:rsidR="00EE3DF9" w:rsidRPr="00F5382B" w:rsidRDefault="00EE3DF9">
            <w:pPr>
              <w:jc w:val="right"/>
              <w:rPr>
                <w:bCs/>
                <w:noProof/>
                <w:sz w:val="16"/>
                <w:szCs w:val="16"/>
              </w:rPr>
            </w:pPr>
            <w:r w:rsidRPr="00F5382B">
              <w:rPr>
                <w:bCs/>
                <w:noProof/>
                <w:sz w:val="16"/>
                <w:szCs w:val="16"/>
              </w:rPr>
              <w:t>2.5</w:t>
            </w:r>
          </w:p>
        </w:tc>
        <w:tc>
          <w:tcPr>
            <w:tcW w:w="1275" w:type="dxa"/>
            <w:shd w:val="clear" w:color="auto" w:fill="FDE9D9" w:themeFill="accent6" w:themeFillTint="33"/>
          </w:tcPr>
          <w:p w14:paraId="76D5CB95" w14:textId="77777777" w:rsidR="00EE3DF9" w:rsidRPr="00F5382B" w:rsidRDefault="00EE3DF9">
            <w:pPr>
              <w:jc w:val="right"/>
              <w:rPr>
                <w:bCs/>
                <w:noProof/>
                <w:sz w:val="16"/>
                <w:szCs w:val="16"/>
              </w:rPr>
            </w:pPr>
            <w:r w:rsidRPr="00F5382B">
              <w:rPr>
                <w:bCs/>
                <w:noProof/>
                <w:sz w:val="16"/>
                <w:szCs w:val="16"/>
              </w:rPr>
              <w:t>320 693</w:t>
            </w:r>
          </w:p>
        </w:tc>
        <w:tc>
          <w:tcPr>
            <w:tcW w:w="1418" w:type="dxa"/>
            <w:shd w:val="clear" w:color="auto" w:fill="FDE9D9" w:themeFill="accent6" w:themeFillTint="33"/>
          </w:tcPr>
          <w:p w14:paraId="02F0003B" w14:textId="77777777" w:rsidR="00EE3DF9" w:rsidRPr="00F5382B" w:rsidRDefault="00EE3DF9">
            <w:pPr>
              <w:jc w:val="right"/>
              <w:rPr>
                <w:bCs/>
                <w:noProof/>
                <w:sz w:val="16"/>
                <w:szCs w:val="16"/>
              </w:rPr>
            </w:pPr>
            <w:r w:rsidRPr="00F5382B">
              <w:rPr>
                <w:bCs/>
                <w:noProof/>
                <w:sz w:val="16"/>
                <w:szCs w:val="16"/>
              </w:rPr>
              <w:t>1 603 463</w:t>
            </w:r>
          </w:p>
        </w:tc>
      </w:tr>
      <w:tr w:rsidR="00EE3DF9" w:rsidRPr="00F5382B" w14:paraId="423571AA" w14:textId="77777777">
        <w:trPr>
          <w:trHeight w:val="703"/>
        </w:trPr>
        <w:tc>
          <w:tcPr>
            <w:tcW w:w="1303" w:type="dxa"/>
            <w:shd w:val="clear" w:color="auto" w:fill="FDE9D9" w:themeFill="accent6" w:themeFillTint="33"/>
          </w:tcPr>
          <w:p w14:paraId="1FE1017F" w14:textId="77777777" w:rsidR="00EE3DF9" w:rsidRPr="00F5382B" w:rsidRDefault="00EE3DF9">
            <w:pPr>
              <w:rPr>
                <w:noProof/>
                <w:sz w:val="16"/>
                <w:szCs w:val="16"/>
              </w:rPr>
            </w:pPr>
            <w:r w:rsidRPr="00F5382B">
              <w:rPr>
                <w:noProof/>
                <w:sz w:val="16"/>
                <w:szCs w:val="16"/>
              </w:rPr>
              <w:t>Additional SNEs Option A.3 (budget split bw</w:t>
            </w:r>
            <w:r w:rsidRPr="00F5382B">
              <w:rPr>
                <w:bCs/>
                <w:noProof/>
                <w:sz w:val="16"/>
                <w:szCs w:val="16"/>
              </w:rPr>
              <w:t>.</w:t>
            </w:r>
            <w:r w:rsidRPr="00F5382B">
              <w:rPr>
                <w:noProof/>
                <w:sz w:val="16"/>
                <w:szCs w:val="16"/>
              </w:rPr>
              <w:t xml:space="preserve"> ENISA and MS)</w:t>
            </w:r>
          </w:p>
        </w:tc>
        <w:tc>
          <w:tcPr>
            <w:tcW w:w="1499" w:type="dxa"/>
            <w:shd w:val="clear" w:color="auto" w:fill="FDE9D9" w:themeFill="accent6" w:themeFillTint="33"/>
          </w:tcPr>
          <w:p w14:paraId="16033790" w14:textId="77777777" w:rsidR="00EE3DF9" w:rsidRPr="00F5382B" w:rsidRDefault="00EE3DF9">
            <w:pPr>
              <w:rPr>
                <w:noProof/>
                <w:sz w:val="16"/>
                <w:szCs w:val="16"/>
              </w:rPr>
            </w:pPr>
            <w:r w:rsidRPr="00F5382B">
              <w:rPr>
                <w:noProof/>
                <w:sz w:val="16"/>
                <w:szCs w:val="16"/>
              </w:rPr>
              <w:t>Daily allowances (EU budget)</w:t>
            </w:r>
          </w:p>
        </w:tc>
        <w:tc>
          <w:tcPr>
            <w:tcW w:w="595" w:type="dxa"/>
            <w:shd w:val="clear" w:color="auto" w:fill="FDE9D9" w:themeFill="accent6" w:themeFillTint="33"/>
          </w:tcPr>
          <w:p w14:paraId="14773B4C" w14:textId="77777777" w:rsidR="00EE3DF9" w:rsidRPr="00F5382B" w:rsidRDefault="00EE3DF9">
            <w:pPr>
              <w:jc w:val="right"/>
              <w:rPr>
                <w:i/>
                <w:noProof/>
                <w:sz w:val="16"/>
                <w:szCs w:val="16"/>
              </w:rPr>
            </w:pPr>
            <w:r w:rsidRPr="00F5382B">
              <w:rPr>
                <w:i/>
                <w:noProof/>
                <w:sz w:val="16"/>
                <w:szCs w:val="16"/>
              </w:rPr>
              <w:t>5</w:t>
            </w:r>
          </w:p>
        </w:tc>
        <w:tc>
          <w:tcPr>
            <w:tcW w:w="709" w:type="dxa"/>
            <w:shd w:val="clear" w:color="auto" w:fill="FDE9D9" w:themeFill="accent6" w:themeFillTint="33"/>
          </w:tcPr>
          <w:p w14:paraId="3D2A9DFD" w14:textId="77777777" w:rsidR="00EE3DF9" w:rsidRPr="00F5382B" w:rsidRDefault="00EE3DF9">
            <w:pPr>
              <w:jc w:val="right"/>
              <w:rPr>
                <w:i/>
                <w:noProof/>
                <w:sz w:val="16"/>
                <w:szCs w:val="16"/>
              </w:rPr>
            </w:pPr>
            <w:r w:rsidRPr="00F5382B">
              <w:rPr>
                <w:i/>
                <w:noProof/>
                <w:sz w:val="16"/>
                <w:szCs w:val="16"/>
              </w:rPr>
              <w:t>5</w:t>
            </w:r>
          </w:p>
        </w:tc>
        <w:tc>
          <w:tcPr>
            <w:tcW w:w="992" w:type="dxa"/>
            <w:shd w:val="clear" w:color="auto" w:fill="FDE9D9" w:themeFill="accent6" w:themeFillTint="33"/>
          </w:tcPr>
          <w:p w14:paraId="26FBC269" w14:textId="77777777" w:rsidR="00EE3DF9" w:rsidRPr="00F5382B" w:rsidRDefault="00EE3DF9">
            <w:pPr>
              <w:jc w:val="right"/>
              <w:rPr>
                <w:i/>
                <w:noProof/>
                <w:sz w:val="16"/>
                <w:szCs w:val="16"/>
              </w:rPr>
            </w:pPr>
            <w:r w:rsidRPr="00F5382B">
              <w:rPr>
                <w:i/>
                <w:noProof/>
                <w:sz w:val="16"/>
                <w:szCs w:val="16"/>
              </w:rPr>
              <w:t>5</w:t>
            </w:r>
          </w:p>
        </w:tc>
        <w:tc>
          <w:tcPr>
            <w:tcW w:w="851" w:type="dxa"/>
            <w:shd w:val="clear" w:color="auto" w:fill="FDE9D9" w:themeFill="accent6" w:themeFillTint="33"/>
          </w:tcPr>
          <w:p w14:paraId="235E0545" w14:textId="77777777" w:rsidR="00EE3DF9" w:rsidRPr="00F5382B" w:rsidRDefault="00EE3DF9">
            <w:pPr>
              <w:jc w:val="right"/>
              <w:rPr>
                <w:i/>
                <w:noProof/>
                <w:sz w:val="16"/>
                <w:szCs w:val="16"/>
              </w:rPr>
            </w:pPr>
            <w:r w:rsidRPr="00F5382B">
              <w:rPr>
                <w:i/>
                <w:noProof/>
                <w:sz w:val="16"/>
                <w:szCs w:val="16"/>
              </w:rPr>
              <w:t>5</w:t>
            </w:r>
          </w:p>
        </w:tc>
        <w:tc>
          <w:tcPr>
            <w:tcW w:w="709" w:type="dxa"/>
            <w:shd w:val="clear" w:color="auto" w:fill="FDE9D9" w:themeFill="accent6" w:themeFillTint="33"/>
          </w:tcPr>
          <w:p w14:paraId="68FCFAB6" w14:textId="77777777" w:rsidR="00EE3DF9" w:rsidRPr="00F5382B" w:rsidRDefault="00EE3DF9">
            <w:pPr>
              <w:jc w:val="right"/>
              <w:rPr>
                <w:i/>
                <w:noProof/>
                <w:sz w:val="16"/>
                <w:szCs w:val="16"/>
              </w:rPr>
            </w:pPr>
            <w:r w:rsidRPr="00F5382B">
              <w:rPr>
                <w:i/>
                <w:noProof/>
                <w:sz w:val="16"/>
                <w:szCs w:val="16"/>
              </w:rPr>
              <w:t>5</w:t>
            </w:r>
          </w:p>
        </w:tc>
        <w:tc>
          <w:tcPr>
            <w:tcW w:w="1275" w:type="dxa"/>
            <w:shd w:val="clear" w:color="auto" w:fill="FDE9D9" w:themeFill="accent6" w:themeFillTint="33"/>
          </w:tcPr>
          <w:p w14:paraId="4C2AFF5E" w14:textId="77777777" w:rsidR="00EE3DF9" w:rsidRPr="00F5382B" w:rsidRDefault="00EE3DF9">
            <w:pPr>
              <w:jc w:val="right"/>
              <w:rPr>
                <w:noProof/>
                <w:sz w:val="16"/>
                <w:szCs w:val="16"/>
              </w:rPr>
            </w:pPr>
            <w:r w:rsidRPr="00F5382B">
              <w:rPr>
                <w:noProof/>
                <w:sz w:val="16"/>
                <w:szCs w:val="16"/>
              </w:rPr>
              <w:t>180 000 </w:t>
            </w:r>
          </w:p>
        </w:tc>
        <w:tc>
          <w:tcPr>
            <w:tcW w:w="1418" w:type="dxa"/>
            <w:shd w:val="clear" w:color="auto" w:fill="FDE9D9" w:themeFill="accent6" w:themeFillTint="33"/>
          </w:tcPr>
          <w:p w14:paraId="28939E87" w14:textId="77777777" w:rsidR="00EE3DF9" w:rsidRPr="00F5382B" w:rsidRDefault="00EE3DF9">
            <w:pPr>
              <w:jc w:val="right"/>
              <w:rPr>
                <w:noProof/>
                <w:sz w:val="16"/>
                <w:szCs w:val="16"/>
              </w:rPr>
            </w:pPr>
            <w:r w:rsidRPr="00F5382B">
              <w:rPr>
                <w:noProof/>
                <w:sz w:val="16"/>
                <w:szCs w:val="16"/>
              </w:rPr>
              <w:t>900 000</w:t>
            </w:r>
          </w:p>
        </w:tc>
      </w:tr>
      <w:tr w:rsidR="00EE3DF9" w:rsidRPr="00F5382B" w14:paraId="6AB62121" w14:textId="77777777">
        <w:trPr>
          <w:trHeight w:val="703"/>
        </w:trPr>
        <w:tc>
          <w:tcPr>
            <w:tcW w:w="1303" w:type="dxa"/>
            <w:shd w:val="clear" w:color="auto" w:fill="FDE9D9" w:themeFill="accent6" w:themeFillTint="33"/>
          </w:tcPr>
          <w:p w14:paraId="175671AF" w14:textId="77777777" w:rsidR="00EE3DF9" w:rsidRPr="00F5382B" w:rsidRDefault="00EE3DF9">
            <w:pPr>
              <w:rPr>
                <w:b/>
                <w:noProof/>
                <w:sz w:val="16"/>
                <w:szCs w:val="16"/>
              </w:rPr>
            </w:pPr>
            <w:r w:rsidRPr="00F5382B">
              <w:rPr>
                <w:b/>
                <w:noProof/>
                <w:sz w:val="16"/>
                <w:szCs w:val="16"/>
              </w:rPr>
              <w:t>Total costs related to FTEs, NLOs and SNE for ENISA</w:t>
            </w:r>
          </w:p>
        </w:tc>
        <w:tc>
          <w:tcPr>
            <w:tcW w:w="1499" w:type="dxa"/>
            <w:shd w:val="clear" w:color="auto" w:fill="FDE9D9" w:themeFill="accent6" w:themeFillTint="33"/>
          </w:tcPr>
          <w:p w14:paraId="6A5401C4" w14:textId="77777777" w:rsidR="00EE3DF9" w:rsidRPr="00F5382B" w:rsidRDefault="00EE3DF9">
            <w:pPr>
              <w:rPr>
                <w:b/>
                <w:noProof/>
                <w:sz w:val="16"/>
                <w:szCs w:val="16"/>
              </w:rPr>
            </w:pPr>
          </w:p>
        </w:tc>
        <w:tc>
          <w:tcPr>
            <w:tcW w:w="595" w:type="dxa"/>
            <w:shd w:val="clear" w:color="auto" w:fill="FDE9D9" w:themeFill="accent6" w:themeFillTint="33"/>
          </w:tcPr>
          <w:p w14:paraId="33D4A913" w14:textId="77777777" w:rsidR="00EE3DF9" w:rsidRPr="00F5382B" w:rsidRDefault="00EE3DF9">
            <w:pPr>
              <w:jc w:val="right"/>
              <w:rPr>
                <w:b/>
                <w:noProof/>
                <w:sz w:val="16"/>
                <w:szCs w:val="16"/>
              </w:rPr>
            </w:pPr>
            <w:r w:rsidRPr="00F5382B">
              <w:rPr>
                <w:b/>
                <w:noProof/>
                <w:sz w:val="16"/>
                <w:szCs w:val="16"/>
              </w:rPr>
              <w:t>164.5</w:t>
            </w:r>
          </w:p>
        </w:tc>
        <w:tc>
          <w:tcPr>
            <w:tcW w:w="709" w:type="dxa"/>
            <w:shd w:val="clear" w:color="auto" w:fill="FDE9D9" w:themeFill="accent6" w:themeFillTint="33"/>
          </w:tcPr>
          <w:p w14:paraId="006714D3" w14:textId="77777777" w:rsidR="00EE3DF9" w:rsidRPr="00F5382B" w:rsidRDefault="00EE3DF9">
            <w:pPr>
              <w:jc w:val="right"/>
              <w:rPr>
                <w:b/>
                <w:noProof/>
                <w:sz w:val="16"/>
                <w:szCs w:val="16"/>
              </w:rPr>
            </w:pPr>
            <w:r w:rsidRPr="00F5382B">
              <w:rPr>
                <w:b/>
                <w:noProof/>
                <w:sz w:val="16"/>
                <w:szCs w:val="16"/>
              </w:rPr>
              <w:t>174.5</w:t>
            </w:r>
          </w:p>
        </w:tc>
        <w:tc>
          <w:tcPr>
            <w:tcW w:w="992" w:type="dxa"/>
            <w:shd w:val="clear" w:color="auto" w:fill="FDE9D9" w:themeFill="accent6" w:themeFillTint="33"/>
          </w:tcPr>
          <w:p w14:paraId="0D968ABE" w14:textId="77777777" w:rsidR="00EE3DF9" w:rsidRPr="00F5382B" w:rsidRDefault="00EE3DF9">
            <w:pPr>
              <w:jc w:val="right"/>
              <w:rPr>
                <w:b/>
                <w:noProof/>
                <w:sz w:val="16"/>
                <w:szCs w:val="16"/>
              </w:rPr>
            </w:pPr>
            <w:r w:rsidRPr="00F5382B">
              <w:rPr>
                <w:b/>
                <w:noProof/>
                <w:sz w:val="16"/>
                <w:szCs w:val="16"/>
              </w:rPr>
              <w:t>174.5</w:t>
            </w:r>
          </w:p>
        </w:tc>
        <w:tc>
          <w:tcPr>
            <w:tcW w:w="851" w:type="dxa"/>
            <w:shd w:val="clear" w:color="auto" w:fill="FDE9D9" w:themeFill="accent6" w:themeFillTint="33"/>
          </w:tcPr>
          <w:p w14:paraId="63555551" w14:textId="77777777" w:rsidR="00EE3DF9" w:rsidRPr="00F5382B" w:rsidRDefault="00EE3DF9">
            <w:pPr>
              <w:jc w:val="right"/>
              <w:rPr>
                <w:b/>
                <w:noProof/>
                <w:sz w:val="16"/>
                <w:szCs w:val="16"/>
              </w:rPr>
            </w:pPr>
            <w:r w:rsidRPr="00F5382B">
              <w:rPr>
                <w:b/>
                <w:noProof/>
                <w:sz w:val="16"/>
                <w:szCs w:val="16"/>
              </w:rPr>
              <w:t>174.5</w:t>
            </w:r>
          </w:p>
        </w:tc>
        <w:tc>
          <w:tcPr>
            <w:tcW w:w="709" w:type="dxa"/>
            <w:shd w:val="clear" w:color="auto" w:fill="FDE9D9" w:themeFill="accent6" w:themeFillTint="33"/>
          </w:tcPr>
          <w:p w14:paraId="5BB6F8C5" w14:textId="77777777" w:rsidR="00EE3DF9" w:rsidRPr="00F5382B" w:rsidRDefault="00EE3DF9">
            <w:pPr>
              <w:jc w:val="right"/>
              <w:rPr>
                <w:b/>
                <w:noProof/>
                <w:sz w:val="16"/>
                <w:szCs w:val="16"/>
              </w:rPr>
            </w:pPr>
            <w:r w:rsidRPr="00F5382B">
              <w:rPr>
                <w:b/>
                <w:noProof/>
                <w:sz w:val="16"/>
                <w:szCs w:val="16"/>
              </w:rPr>
              <w:t>174.5</w:t>
            </w:r>
          </w:p>
        </w:tc>
        <w:tc>
          <w:tcPr>
            <w:tcW w:w="1275" w:type="dxa"/>
            <w:shd w:val="clear" w:color="auto" w:fill="FDE9D9" w:themeFill="accent6" w:themeFillTint="33"/>
          </w:tcPr>
          <w:p w14:paraId="157282A6" w14:textId="77777777" w:rsidR="00EE3DF9" w:rsidRPr="00F5382B" w:rsidRDefault="00EE3DF9">
            <w:pPr>
              <w:jc w:val="right"/>
              <w:rPr>
                <w:b/>
                <w:noProof/>
                <w:sz w:val="16"/>
                <w:szCs w:val="16"/>
              </w:rPr>
            </w:pPr>
            <w:r w:rsidRPr="00F5382B">
              <w:rPr>
                <w:b/>
                <w:noProof/>
                <w:sz w:val="16"/>
                <w:szCs w:val="16"/>
              </w:rPr>
              <w:t> 17 975 318</w:t>
            </w:r>
          </w:p>
        </w:tc>
        <w:tc>
          <w:tcPr>
            <w:tcW w:w="1418" w:type="dxa"/>
            <w:shd w:val="clear" w:color="auto" w:fill="FDE9D9" w:themeFill="accent6" w:themeFillTint="33"/>
          </w:tcPr>
          <w:p w14:paraId="650ACF0D" w14:textId="77777777" w:rsidR="00EE3DF9" w:rsidRPr="00F5382B" w:rsidRDefault="00EE3DF9">
            <w:pPr>
              <w:jc w:val="right"/>
              <w:rPr>
                <w:b/>
                <w:noProof/>
                <w:sz w:val="16"/>
                <w:szCs w:val="16"/>
              </w:rPr>
            </w:pPr>
            <w:r w:rsidRPr="00F5382B">
              <w:rPr>
                <w:b/>
                <w:noProof/>
                <w:sz w:val="16"/>
                <w:szCs w:val="16"/>
              </w:rPr>
              <w:t>89 876 590</w:t>
            </w:r>
          </w:p>
        </w:tc>
      </w:tr>
      <w:tr w:rsidR="00EE3DF9" w:rsidRPr="00F5382B" w14:paraId="2A3D6F86" w14:textId="77777777">
        <w:trPr>
          <w:trHeight w:val="703"/>
        </w:trPr>
        <w:tc>
          <w:tcPr>
            <w:tcW w:w="1303" w:type="dxa"/>
            <w:shd w:val="clear" w:color="auto" w:fill="FBD4B4" w:themeFill="accent6" w:themeFillTint="66"/>
          </w:tcPr>
          <w:p w14:paraId="6821CF0B" w14:textId="77777777" w:rsidR="00EE3DF9" w:rsidRPr="00F5382B" w:rsidRDefault="00EE3DF9">
            <w:pPr>
              <w:rPr>
                <w:b/>
                <w:noProof/>
                <w:sz w:val="16"/>
                <w:szCs w:val="16"/>
              </w:rPr>
            </w:pPr>
            <w:r w:rsidRPr="00F5382B">
              <w:rPr>
                <w:b/>
                <w:noProof/>
                <w:sz w:val="16"/>
                <w:szCs w:val="16"/>
              </w:rPr>
              <w:t>TOTAL Option A.3 for ENISA</w:t>
            </w:r>
          </w:p>
        </w:tc>
        <w:tc>
          <w:tcPr>
            <w:tcW w:w="1499" w:type="dxa"/>
            <w:shd w:val="clear" w:color="auto" w:fill="FBD4B4" w:themeFill="accent6" w:themeFillTint="66"/>
          </w:tcPr>
          <w:p w14:paraId="7410D3F3" w14:textId="77777777" w:rsidR="00EE3DF9" w:rsidRPr="00F5382B" w:rsidRDefault="00EE3DF9">
            <w:pPr>
              <w:rPr>
                <w:b/>
                <w:noProof/>
                <w:sz w:val="16"/>
                <w:szCs w:val="16"/>
              </w:rPr>
            </w:pPr>
          </w:p>
        </w:tc>
        <w:tc>
          <w:tcPr>
            <w:tcW w:w="595" w:type="dxa"/>
            <w:shd w:val="clear" w:color="auto" w:fill="FBD4B4" w:themeFill="accent6" w:themeFillTint="66"/>
          </w:tcPr>
          <w:p w14:paraId="44A01441" w14:textId="77777777" w:rsidR="00EE3DF9" w:rsidRPr="00F5382B" w:rsidRDefault="00EE3DF9">
            <w:pPr>
              <w:jc w:val="right"/>
              <w:rPr>
                <w:b/>
                <w:noProof/>
                <w:sz w:val="16"/>
                <w:szCs w:val="16"/>
              </w:rPr>
            </w:pPr>
          </w:p>
        </w:tc>
        <w:tc>
          <w:tcPr>
            <w:tcW w:w="709" w:type="dxa"/>
            <w:shd w:val="clear" w:color="auto" w:fill="FBD4B4" w:themeFill="accent6" w:themeFillTint="66"/>
          </w:tcPr>
          <w:p w14:paraId="4C35C892" w14:textId="77777777" w:rsidR="00EE3DF9" w:rsidRPr="00F5382B" w:rsidRDefault="00EE3DF9">
            <w:pPr>
              <w:jc w:val="right"/>
              <w:rPr>
                <w:b/>
                <w:noProof/>
                <w:sz w:val="16"/>
                <w:szCs w:val="16"/>
              </w:rPr>
            </w:pPr>
          </w:p>
        </w:tc>
        <w:tc>
          <w:tcPr>
            <w:tcW w:w="992" w:type="dxa"/>
            <w:shd w:val="clear" w:color="auto" w:fill="FBD4B4" w:themeFill="accent6" w:themeFillTint="66"/>
          </w:tcPr>
          <w:p w14:paraId="465C6367" w14:textId="77777777" w:rsidR="00EE3DF9" w:rsidRPr="00F5382B" w:rsidRDefault="00EE3DF9">
            <w:pPr>
              <w:jc w:val="right"/>
              <w:rPr>
                <w:b/>
                <w:noProof/>
                <w:sz w:val="16"/>
                <w:szCs w:val="16"/>
              </w:rPr>
            </w:pPr>
          </w:p>
        </w:tc>
        <w:tc>
          <w:tcPr>
            <w:tcW w:w="851" w:type="dxa"/>
            <w:shd w:val="clear" w:color="auto" w:fill="FBD4B4" w:themeFill="accent6" w:themeFillTint="66"/>
          </w:tcPr>
          <w:p w14:paraId="615E4281" w14:textId="77777777" w:rsidR="00EE3DF9" w:rsidRPr="00F5382B" w:rsidRDefault="00EE3DF9">
            <w:pPr>
              <w:jc w:val="right"/>
              <w:rPr>
                <w:b/>
                <w:noProof/>
                <w:sz w:val="16"/>
                <w:szCs w:val="16"/>
              </w:rPr>
            </w:pPr>
          </w:p>
        </w:tc>
        <w:tc>
          <w:tcPr>
            <w:tcW w:w="709" w:type="dxa"/>
            <w:shd w:val="clear" w:color="auto" w:fill="FBD4B4" w:themeFill="accent6" w:themeFillTint="66"/>
          </w:tcPr>
          <w:p w14:paraId="782A31C4" w14:textId="77777777" w:rsidR="00EE3DF9" w:rsidRPr="00F5382B" w:rsidRDefault="00EE3DF9">
            <w:pPr>
              <w:jc w:val="right"/>
              <w:rPr>
                <w:b/>
                <w:noProof/>
                <w:sz w:val="16"/>
                <w:szCs w:val="16"/>
              </w:rPr>
            </w:pPr>
          </w:p>
        </w:tc>
        <w:tc>
          <w:tcPr>
            <w:tcW w:w="1275" w:type="dxa"/>
            <w:shd w:val="clear" w:color="auto" w:fill="FBD4B4" w:themeFill="accent6" w:themeFillTint="66"/>
          </w:tcPr>
          <w:p w14:paraId="05C4236B" w14:textId="77777777" w:rsidR="00EE3DF9" w:rsidRPr="00F5382B" w:rsidRDefault="00EE3DF9">
            <w:pPr>
              <w:jc w:val="right"/>
              <w:rPr>
                <w:b/>
                <w:noProof/>
                <w:sz w:val="16"/>
                <w:szCs w:val="16"/>
              </w:rPr>
            </w:pPr>
          </w:p>
        </w:tc>
        <w:tc>
          <w:tcPr>
            <w:tcW w:w="1418" w:type="dxa"/>
            <w:shd w:val="clear" w:color="auto" w:fill="FBD4B4" w:themeFill="accent6" w:themeFillTint="66"/>
          </w:tcPr>
          <w:p w14:paraId="508F730C" w14:textId="77777777" w:rsidR="00EE3DF9" w:rsidRPr="00F5382B" w:rsidRDefault="00EE3DF9">
            <w:pPr>
              <w:jc w:val="right"/>
              <w:rPr>
                <w:b/>
                <w:noProof/>
                <w:sz w:val="16"/>
                <w:szCs w:val="16"/>
              </w:rPr>
            </w:pPr>
            <w:r w:rsidRPr="00F5382B">
              <w:rPr>
                <w:b/>
                <w:noProof/>
                <w:sz w:val="16"/>
                <w:szCs w:val="16"/>
              </w:rPr>
              <w:t>165 374 188</w:t>
            </w:r>
          </w:p>
        </w:tc>
      </w:tr>
      <w:tr w:rsidR="00EE3DF9" w:rsidRPr="00F5382B" w14:paraId="08121499" w14:textId="77777777">
        <w:trPr>
          <w:trHeight w:val="703"/>
        </w:trPr>
        <w:tc>
          <w:tcPr>
            <w:tcW w:w="1303" w:type="dxa"/>
            <w:shd w:val="clear" w:color="auto" w:fill="FBD4B4" w:themeFill="accent6" w:themeFillTint="66"/>
          </w:tcPr>
          <w:p w14:paraId="11EC2B31" w14:textId="77777777" w:rsidR="00EE3DF9" w:rsidRPr="00F5382B" w:rsidRDefault="00EE3DF9">
            <w:pPr>
              <w:rPr>
                <w:b/>
                <w:noProof/>
                <w:sz w:val="16"/>
                <w:szCs w:val="16"/>
              </w:rPr>
            </w:pPr>
            <w:r w:rsidRPr="00F5382B">
              <w:rPr>
                <w:b/>
                <w:noProof/>
                <w:sz w:val="16"/>
                <w:szCs w:val="16"/>
              </w:rPr>
              <w:t>Member States</w:t>
            </w:r>
          </w:p>
        </w:tc>
        <w:tc>
          <w:tcPr>
            <w:tcW w:w="1499" w:type="dxa"/>
            <w:shd w:val="clear" w:color="auto" w:fill="FBD4B4" w:themeFill="accent6" w:themeFillTint="66"/>
          </w:tcPr>
          <w:p w14:paraId="2C41C387" w14:textId="77777777" w:rsidR="00EE3DF9" w:rsidRPr="00F5382B" w:rsidRDefault="00EE3DF9">
            <w:pPr>
              <w:rPr>
                <w:b/>
                <w:noProof/>
                <w:sz w:val="16"/>
                <w:szCs w:val="16"/>
              </w:rPr>
            </w:pPr>
          </w:p>
        </w:tc>
        <w:tc>
          <w:tcPr>
            <w:tcW w:w="595" w:type="dxa"/>
            <w:shd w:val="clear" w:color="auto" w:fill="FBD4B4" w:themeFill="accent6" w:themeFillTint="66"/>
          </w:tcPr>
          <w:p w14:paraId="71F6EBE1" w14:textId="77777777" w:rsidR="00EE3DF9" w:rsidRPr="00F5382B" w:rsidRDefault="00EE3DF9">
            <w:pPr>
              <w:jc w:val="right"/>
              <w:rPr>
                <w:b/>
                <w:noProof/>
                <w:sz w:val="16"/>
                <w:szCs w:val="16"/>
              </w:rPr>
            </w:pPr>
          </w:p>
        </w:tc>
        <w:tc>
          <w:tcPr>
            <w:tcW w:w="709" w:type="dxa"/>
            <w:shd w:val="clear" w:color="auto" w:fill="FBD4B4" w:themeFill="accent6" w:themeFillTint="66"/>
          </w:tcPr>
          <w:p w14:paraId="28C40EC6" w14:textId="77777777" w:rsidR="00EE3DF9" w:rsidRPr="00F5382B" w:rsidRDefault="00EE3DF9">
            <w:pPr>
              <w:jc w:val="right"/>
              <w:rPr>
                <w:b/>
                <w:noProof/>
                <w:sz w:val="16"/>
                <w:szCs w:val="16"/>
              </w:rPr>
            </w:pPr>
          </w:p>
        </w:tc>
        <w:tc>
          <w:tcPr>
            <w:tcW w:w="992" w:type="dxa"/>
            <w:shd w:val="clear" w:color="auto" w:fill="FBD4B4" w:themeFill="accent6" w:themeFillTint="66"/>
          </w:tcPr>
          <w:p w14:paraId="04779B79" w14:textId="77777777" w:rsidR="00EE3DF9" w:rsidRPr="00F5382B" w:rsidRDefault="00EE3DF9">
            <w:pPr>
              <w:jc w:val="right"/>
              <w:rPr>
                <w:b/>
                <w:noProof/>
                <w:sz w:val="16"/>
                <w:szCs w:val="16"/>
              </w:rPr>
            </w:pPr>
          </w:p>
        </w:tc>
        <w:tc>
          <w:tcPr>
            <w:tcW w:w="851" w:type="dxa"/>
            <w:shd w:val="clear" w:color="auto" w:fill="FBD4B4" w:themeFill="accent6" w:themeFillTint="66"/>
          </w:tcPr>
          <w:p w14:paraId="7B9426C1" w14:textId="77777777" w:rsidR="00EE3DF9" w:rsidRPr="00F5382B" w:rsidRDefault="00EE3DF9">
            <w:pPr>
              <w:jc w:val="right"/>
              <w:rPr>
                <w:b/>
                <w:noProof/>
                <w:sz w:val="16"/>
                <w:szCs w:val="16"/>
              </w:rPr>
            </w:pPr>
          </w:p>
        </w:tc>
        <w:tc>
          <w:tcPr>
            <w:tcW w:w="709" w:type="dxa"/>
            <w:shd w:val="clear" w:color="auto" w:fill="FBD4B4" w:themeFill="accent6" w:themeFillTint="66"/>
          </w:tcPr>
          <w:p w14:paraId="7D9FA3FC" w14:textId="77777777" w:rsidR="00EE3DF9" w:rsidRPr="00F5382B" w:rsidRDefault="00EE3DF9">
            <w:pPr>
              <w:jc w:val="right"/>
              <w:rPr>
                <w:b/>
                <w:noProof/>
                <w:sz w:val="16"/>
                <w:szCs w:val="16"/>
              </w:rPr>
            </w:pPr>
          </w:p>
        </w:tc>
        <w:tc>
          <w:tcPr>
            <w:tcW w:w="1275" w:type="dxa"/>
            <w:shd w:val="clear" w:color="auto" w:fill="FBD4B4" w:themeFill="accent6" w:themeFillTint="66"/>
          </w:tcPr>
          <w:p w14:paraId="7062EDB6" w14:textId="77777777" w:rsidR="00EE3DF9" w:rsidRPr="00F5382B" w:rsidRDefault="00EE3DF9">
            <w:pPr>
              <w:jc w:val="right"/>
              <w:rPr>
                <w:b/>
                <w:noProof/>
                <w:sz w:val="16"/>
                <w:szCs w:val="16"/>
              </w:rPr>
            </w:pPr>
          </w:p>
        </w:tc>
        <w:tc>
          <w:tcPr>
            <w:tcW w:w="1418" w:type="dxa"/>
            <w:shd w:val="clear" w:color="auto" w:fill="FBD4B4" w:themeFill="accent6" w:themeFillTint="66"/>
          </w:tcPr>
          <w:p w14:paraId="1E464000" w14:textId="77777777" w:rsidR="00EE3DF9" w:rsidRPr="00F5382B" w:rsidRDefault="00EE3DF9">
            <w:pPr>
              <w:jc w:val="right"/>
              <w:rPr>
                <w:b/>
                <w:noProof/>
                <w:sz w:val="16"/>
                <w:szCs w:val="16"/>
              </w:rPr>
            </w:pPr>
          </w:p>
        </w:tc>
      </w:tr>
      <w:tr w:rsidR="00EE3DF9" w:rsidRPr="00F5382B" w14:paraId="2E86B289" w14:textId="77777777">
        <w:trPr>
          <w:trHeight w:val="703"/>
        </w:trPr>
        <w:tc>
          <w:tcPr>
            <w:tcW w:w="1303" w:type="dxa"/>
            <w:shd w:val="clear" w:color="auto" w:fill="FDE9D9" w:themeFill="accent6" w:themeFillTint="33"/>
          </w:tcPr>
          <w:p w14:paraId="38ACE7D5" w14:textId="77777777" w:rsidR="00EE3DF9" w:rsidRPr="00F5382B" w:rsidRDefault="00EE3DF9">
            <w:pPr>
              <w:rPr>
                <w:noProof/>
                <w:sz w:val="16"/>
                <w:szCs w:val="16"/>
              </w:rPr>
            </w:pPr>
            <w:r w:rsidRPr="00F5382B">
              <w:rPr>
                <w:noProof/>
                <w:sz w:val="16"/>
                <w:szCs w:val="16"/>
              </w:rPr>
              <w:t>NLOs seconded to ENISA under Option A.2 (budget split bw ENISA and MS)</w:t>
            </w:r>
          </w:p>
        </w:tc>
        <w:tc>
          <w:tcPr>
            <w:tcW w:w="1499" w:type="dxa"/>
            <w:shd w:val="clear" w:color="auto" w:fill="FDE9D9" w:themeFill="accent6" w:themeFillTint="33"/>
          </w:tcPr>
          <w:p w14:paraId="5C469D56" w14:textId="77777777" w:rsidR="00EE3DF9" w:rsidRPr="00F5382B" w:rsidRDefault="00EE3DF9">
            <w:pPr>
              <w:rPr>
                <w:noProof/>
                <w:sz w:val="16"/>
                <w:szCs w:val="16"/>
              </w:rPr>
            </w:pPr>
            <w:r w:rsidRPr="00F5382B">
              <w:rPr>
                <w:noProof/>
                <w:sz w:val="16"/>
                <w:szCs w:val="16"/>
              </w:rPr>
              <w:t>MS budget</w:t>
            </w:r>
          </w:p>
        </w:tc>
        <w:tc>
          <w:tcPr>
            <w:tcW w:w="595" w:type="dxa"/>
            <w:shd w:val="clear" w:color="auto" w:fill="FDE9D9" w:themeFill="accent6" w:themeFillTint="33"/>
          </w:tcPr>
          <w:p w14:paraId="1C0EC69C" w14:textId="77777777" w:rsidR="00EE3DF9" w:rsidRPr="00F5382B" w:rsidRDefault="00EE3DF9">
            <w:pPr>
              <w:jc w:val="right"/>
              <w:rPr>
                <w:i/>
                <w:noProof/>
                <w:sz w:val="16"/>
                <w:szCs w:val="16"/>
              </w:rPr>
            </w:pPr>
            <w:r w:rsidRPr="00F5382B">
              <w:rPr>
                <w:i/>
                <w:noProof/>
                <w:sz w:val="16"/>
                <w:szCs w:val="16"/>
              </w:rPr>
              <w:t>(40)</w:t>
            </w:r>
          </w:p>
        </w:tc>
        <w:tc>
          <w:tcPr>
            <w:tcW w:w="709" w:type="dxa"/>
            <w:shd w:val="clear" w:color="auto" w:fill="FDE9D9" w:themeFill="accent6" w:themeFillTint="33"/>
          </w:tcPr>
          <w:p w14:paraId="7DE60464" w14:textId="77777777" w:rsidR="00EE3DF9" w:rsidRPr="00F5382B" w:rsidRDefault="00EE3DF9">
            <w:pPr>
              <w:jc w:val="right"/>
              <w:rPr>
                <w:i/>
                <w:noProof/>
                <w:sz w:val="16"/>
                <w:szCs w:val="16"/>
              </w:rPr>
            </w:pPr>
            <w:r w:rsidRPr="00F5382B">
              <w:rPr>
                <w:i/>
                <w:noProof/>
                <w:sz w:val="16"/>
                <w:szCs w:val="16"/>
              </w:rPr>
              <w:t>(40)</w:t>
            </w:r>
          </w:p>
        </w:tc>
        <w:tc>
          <w:tcPr>
            <w:tcW w:w="992" w:type="dxa"/>
            <w:shd w:val="clear" w:color="auto" w:fill="FDE9D9" w:themeFill="accent6" w:themeFillTint="33"/>
          </w:tcPr>
          <w:p w14:paraId="7C437998" w14:textId="77777777" w:rsidR="00EE3DF9" w:rsidRPr="00F5382B" w:rsidRDefault="00EE3DF9">
            <w:pPr>
              <w:jc w:val="right"/>
              <w:rPr>
                <w:i/>
                <w:noProof/>
                <w:sz w:val="16"/>
                <w:szCs w:val="16"/>
              </w:rPr>
            </w:pPr>
            <w:r w:rsidRPr="00F5382B">
              <w:rPr>
                <w:i/>
                <w:noProof/>
                <w:sz w:val="16"/>
                <w:szCs w:val="16"/>
              </w:rPr>
              <w:t>(40)</w:t>
            </w:r>
          </w:p>
        </w:tc>
        <w:tc>
          <w:tcPr>
            <w:tcW w:w="851" w:type="dxa"/>
            <w:shd w:val="clear" w:color="auto" w:fill="FDE9D9" w:themeFill="accent6" w:themeFillTint="33"/>
          </w:tcPr>
          <w:p w14:paraId="439CB36E" w14:textId="77777777" w:rsidR="00EE3DF9" w:rsidRPr="00F5382B" w:rsidRDefault="00EE3DF9">
            <w:pPr>
              <w:jc w:val="right"/>
              <w:rPr>
                <w:i/>
                <w:noProof/>
                <w:sz w:val="16"/>
                <w:szCs w:val="16"/>
              </w:rPr>
            </w:pPr>
            <w:r w:rsidRPr="00F5382B">
              <w:rPr>
                <w:i/>
                <w:noProof/>
                <w:sz w:val="16"/>
                <w:szCs w:val="16"/>
              </w:rPr>
              <w:t>(40)</w:t>
            </w:r>
          </w:p>
        </w:tc>
        <w:tc>
          <w:tcPr>
            <w:tcW w:w="709" w:type="dxa"/>
            <w:shd w:val="clear" w:color="auto" w:fill="FDE9D9" w:themeFill="accent6" w:themeFillTint="33"/>
          </w:tcPr>
          <w:p w14:paraId="6D9C5C7F" w14:textId="77777777" w:rsidR="00EE3DF9" w:rsidRPr="00F5382B" w:rsidRDefault="00EE3DF9">
            <w:pPr>
              <w:jc w:val="right"/>
              <w:rPr>
                <w:i/>
                <w:noProof/>
                <w:sz w:val="16"/>
                <w:szCs w:val="16"/>
              </w:rPr>
            </w:pPr>
            <w:r w:rsidRPr="00F5382B">
              <w:rPr>
                <w:i/>
                <w:noProof/>
                <w:sz w:val="16"/>
                <w:szCs w:val="16"/>
              </w:rPr>
              <w:t>(40)</w:t>
            </w:r>
          </w:p>
        </w:tc>
        <w:tc>
          <w:tcPr>
            <w:tcW w:w="1275" w:type="dxa"/>
            <w:shd w:val="clear" w:color="auto" w:fill="FDE9D9" w:themeFill="accent6" w:themeFillTint="33"/>
          </w:tcPr>
          <w:p w14:paraId="229576AA" w14:textId="77777777" w:rsidR="00EE3DF9" w:rsidRPr="00F5382B" w:rsidRDefault="00EE3DF9">
            <w:pPr>
              <w:jc w:val="right"/>
              <w:rPr>
                <w:bCs/>
                <w:noProof/>
                <w:sz w:val="16"/>
                <w:szCs w:val="16"/>
              </w:rPr>
            </w:pPr>
            <w:r w:rsidRPr="00F5382B">
              <w:rPr>
                <w:noProof/>
                <w:sz w:val="16"/>
                <w:szCs w:val="16"/>
              </w:rPr>
              <w:t>2 260 000</w:t>
            </w:r>
          </w:p>
        </w:tc>
        <w:tc>
          <w:tcPr>
            <w:tcW w:w="1418" w:type="dxa"/>
            <w:shd w:val="clear" w:color="auto" w:fill="FDE9D9" w:themeFill="accent6" w:themeFillTint="33"/>
          </w:tcPr>
          <w:p w14:paraId="5AF61B6B" w14:textId="77777777" w:rsidR="00EE3DF9" w:rsidRPr="00F5382B" w:rsidRDefault="00EE3DF9">
            <w:pPr>
              <w:jc w:val="right"/>
              <w:rPr>
                <w:bCs/>
                <w:noProof/>
                <w:sz w:val="16"/>
                <w:szCs w:val="16"/>
              </w:rPr>
            </w:pPr>
            <w:r w:rsidRPr="00F5382B">
              <w:rPr>
                <w:noProof/>
                <w:sz w:val="16"/>
                <w:szCs w:val="16"/>
              </w:rPr>
              <w:t>11 300 000</w:t>
            </w:r>
          </w:p>
        </w:tc>
      </w:tr>
      <w:tr w:rsidR="00EE3DF9" w:rsidRPr="00F5382B" w14:paraId="5EF7713E" w14:textId="77777777">
        <w:trPr>
          <w:trHeight w:val="703"/>
        </w:trPr>
        <w:tc>
          <w:tcPr>
            <w:tcW w:w="1303" w:type="dxa"/>
            <w:shd w:val="clear" w:color="auto" w:fill="FDE9D9" w:themeFill="accent6" w:themeFillTint="33"/>
          </w:tcPr>
          <w:p w14:paraId="007C035F" w14:textId="77777777" w:rsidR="00EE3DF9" w:rsidRPr="00F5382B" w:rsidRDefault="00EE3DF9">
            <w:pPr>
              <w:rPr>
                <w:noProof/>
                <w:sz w:val="16"/>
                <w:szCs w:val="16"/>
              </w:rPr>
            </w:pPr>
            <w:r w:rsidRPr="00F5382B">
              <w:rPr>
                <w:noProof/>
                <w:sz w:val="16"/>
                <w:szCs w:val="16"/>
              </w:rPr>
              <w:t>Additional SNEs Option A.3 (budget split bw ENISA and MS)</w:t>
            </w:r>
          </w:p>
        </w:tc>
        <w:tc>
          <w:tcPr>
            <w:tcW w:w="1499" w:type="dxa"/>
            <w:shd w:val="clear" w:color="auto" w:fill="FDE9D9" w:themeFill="accent6" w:themeFillTint="33"/>
          </w:tcPr>
          <w:p w14:paraId="3099FF92" w14:textId="77777777" w:rsidR="00EE3DF9" w:rsidRPr="00F5382B" w:rsidRDefault="00EE3DF9">
            <w:pPr>
              <w:rPr>
                <w:noProof/>
                <w:sz w:val="16"/>
                <w:szCs w:val="16"/>
              </w:rPr>
            </w:pPr>
            <w:r w:rsidRPr="00F5382B">
              <w:rPr>
                <w:noProof/>
                <w:sz w:val="16"/>
                <w:szCs w:val="16"/>
              </w:rPr>
              <w:t>MS budget</w:t>
            </w:r>
          </w:p>
        </w:tc>
        <w:tc>
          <w:tcPr>
            <w:tcW w:w="595" w:type="dxa"/>
            <w:shd w:val="clear" w:color="auto" w:fill="FDE9D9" w:themeFill="accent6" w:themeFillTint="33"/>
          </w:tcPr>
          <w:p w14:paraId="1EEE5664" w14:textId="77777777" w:rsidR="00EE3DF9" w:rsidRPr="00F5382B" w:rsidRDefault="00EE3DF9">
            <w:pPr>
              <w:jc w:val="right"/>
              <w:rPr>
                <w:i/>
                <w:noProof/>
                <w:sz w:val="16"/>
                <w:szCs w:val="16"/>
              </w:rPr>
            </w:pPr>
            <w:r w:rsidRPr="00F5382B">
              <w:rPr>
                <w:i/>
                <w:noProof/>
                <w:sz w:val="16"/>
                <w:szCs w:val="16"/>
              </w:rPr>
              <w:t>(5)</w:t>
            </w:r>
          </w:p>
        </w:tc>
        <w:tc>
          <w:tcPr>
            <w:tcW w:w="709" w:type="dxa"/>
            <w:shd w:val="clear" w:color="auto" w:fill="FDE9D9" w:themeFill="accent6" w:themeFillTint="33"/>
          </w:tcPr>
          <w:p w14:paraId="3874EAD8" w14:textId="77777777" w:rsidR="00EE3DF9" w:rsidRPr="00F5382B" w:rsidRDefault="00EE3DF9">
            <w:pPr>
              <w:jc w:val="right"/>
              <w:rPr>
                <w:i/>
                <w:noProof/>
                <w:sz w:val="16"/>
                <w:szCs w:val="16"/>
              </w:rPr>
            </w:pPr>
            <w:r w:rsidRPr="00F5382B">
              <w:rPr>
                <w:i/>
                <w:noProof/>
                <w:sz w:val="16"/>
                <w:szCs w:val="16"/>
              </w:rPr>
              <w:t>(5)</w:t>
            </w:r>
          </w:p>
        </w:tc>
        <w:tc>
          <w:tcPr>
            <w:tcW w:w="992" w:type="dxa"/>
            <w:shd w:val="clear" w:color="auto" w:fill="FDE9D9" w:themeFill="accent6" w:themeFillTint="33"/>
          </w:tcPr>
          <w:p w14:paraId="78623E9D" w14:textId="77777777" w:rsidR="00EE3DF9" w:rsidRPr="00F5382B" w:rsidRDefault="00EE3DF9">
            <w:pPr>
              <w:jc w:val="right"/>
              <w:rPr>
                <w:i/>
                <w:noProof/>
                <w:sz w:val="16"/>
                <w:szCs w:val="16"/>
              </w:rPr>
            </w:pPr>
            <w:r w:rsidRPr="00F5382B">
              <w:rPr>
                <w:i/>
                <w:noProof/>
                <w:sz w:val="16"/>
                <w:szCs w:val="16"/>
              </w:rPr>
              <w:t>(5)</w:t>
            </w:r>
          </w:p>
        </w:tc>
        <w:tc>
          <w:tcPr>
            <w:tcW w:w="851" w:type="dxa"/>
            <w:shd w:val="clear" w:color="auto" w:fill="FDE9D9" w:themeFill="accent6" w:themeFillTint="33"/>
          </w:tcPr>
          <w:p w14:paraId="6C0902F8" w14:textId="77777777" w:rsidR="00EE3DF9" w:rsidRPr="00F5382B" w:rsidRDefault="00EE3DF9">
            <w:pPr>
              <w:jc w:val="right"/>
              <w:rPr>
                <w:i/>
                <w:noProof/>
                <w:sz w:val="16"/>
                <w:szCs w:val="16"/>
              </w:rPr>
            </w:pPr>
            <w:r w:rsidRPr="00F5382B">
              <w:rPr>
                <w:i/>
                <w:noProof/>
                <w:sz w:val="16"/>
                <w:szCs w:val="16"/>
              </w:rPr>
              <w:t>(5)</w:t>
            </w:r>
          </w:p>
        </w:tc>
        <w:tc>
          <w:tcPr>
            <w:tcW w:w="709" w:type="dxa"/>
            <w:shd w:val="clear" w:color="auto" w:fill="FDE9D9" w:themeFill="accent6" w:themeFillTint="33"/>
          </w:tcPr>
          <w:p w14:paraId="30C3E0B3" w14:textId="77777777" w:rsidR="00EE3DF9" w:rsidRPr="00F5382B" w:rsidRDefault="00EE3DF9">
            <w:pPr>
              <w:jc w:val="right"/>
              <w:rPr>
                <w:i/>
                <w:noProof/>
                <w:sz w:val="16"/>
                <w:szCs w:val="16"/>
              </w:rPr>
            </w:pPr>
            <w:r w:rsidRPr="00F5382B">
              <w:rPr>
                <w:i/>
                <w:noProof/>
                <w:sz w:val="16"/>
                <w:szCs w:val="16"/>
              </w:rPr>
              <w:t>(5)</w:t>
            </w:r>
          </w:p>
        </w:tc>
        <w:tc>
          <w:tcPr>
            <w:tcW w:w="1275" w:type="dxa"/>
            <w:shd w:val="clear" w:color="auto" w:fill="FDE9D9" w:themeFill="accent6" w:themeFillTint="33"/>
          </w:tcPr>
          <w:p w14:paraId="65900F90" w14:textId="77777777" w:rsidR="00EE3DF9" w:rsidRPr="00F5382B" w:rsidRDefault="00EE3DF9">
            <w:pPr>
              <w:jc w:val="right"/>
              <w:rPr>
                <w:bCs/>
                <w:noProof/>
                <w:sz w:val="16"/>
                <w:szCs w:val="16"/>
              </w:rPr>
            </w:pPr>
            <w:r w:rsidRPr="00361799">
              <w:rPr>
                <w:bCs/>
                <w:noProof/>
                <w:sz w:val="16"/>
                <w:szCs w:val="16"/>
              </w:rPr>
              <w:t>282 500</w:t>
            </w:r>
          </w:p>
        </w:tc>
        <w:tc>
          <w:tcPr>
            <w:tcW w:w="1418" w:type="dxa"/>
            <w:shd w:val="clear" w:color="auto" w:fill="FDE9D9" w:themeFill="accent6" w:themeFillTint="33"/>
          </w:tcPr>
          <w:p w14:paraId="62B1EDAA" w14:textId="77777777" w:rsidR="00EE3DF9" w:rsidRPr="00F5382B" w:rsidRDefault="00EE3DF9">
            <w:pPr>
              <w:jc w:val="right"/>
              <w:rPr>
                <w:bCs/>
                <w:noProof/>
                <w:sz w:val="16"/>
                <w:szCs w:val="16"/>
              </w:rPr>
            </w:pPr>
            <w:r w:rsidRPr="00F5382B">
              <w:rPr>
                <w:bCs/>
                <w:noProof/>
                <w:sz w:val="16"/>
                <w:szCs w:val="16"/>
              </w:rPr>
              <w:t>1 412 500</w:t>
            </w:r>
          </w:p>
        </w:tc>
      </w:tr>
      <w:tr w:rsidR="00EE3DF9" w:rsidRPr="00F5382B" w14:paraId="4CE1E1E1" w14:textId="77777777">
        <w:trPr>
          <w:trHeight w:val="703"/>
        </w:trPr>
        <w:tc>
          <w:tcPr>
            <w:tcW w:w="1303" w:type="dxa"/>
            <w:shd w:val="clear" w:color="auto" w:fill="FDE9D9" w:themeFill="accent6" w:themeFillTint="33"/>
          </w:tcPr>
          <w:p w14:paraId="55C0333C" w14:textId="77777777" w:rsidR="00EE3DF9" w:rsidRPr="00F5382B" w:rsidRDefault="00EE3DF9">
            <w:pPr>
              <w:rPr>
                <w:b/>
                <w:noProof/>
                <w:sz w:val="16"/>
                <w:szCs w:val="16"/>
              </w:rPr>
            </w:pPr>
            <w:r w:rsidRPr="00F5382B">
              <w:rPr>
                <w:b/>
                <w:noProof/>
                <w:sz w:val="16"/>
                <w:szCs w:val="16"/>
              </w:rPr>
              <w:t xml:space="preserve">TOTAL costs for Member States under Option A.3 (Option A.2 + additional SNEs under Option A.3) </w:t>
            </w:r>
          </w:p>
        </w:tc>
        <w:tc>
          <w:tcPr>
            <w:tcW w:w="1499" w:type="dxa"/>
            <w:shd w:val="clear" w:color="auto" w:fill="FDE9D9" w:themeFill="accent6" w:themeFillTint="33"/>
          </w:tcPr>
          <w:p w14:paraId="497A6B39" w14:textId="77777777" w:rsidR="00EE3DF9" w:rsidRPr="00F5382B" w:rsidRDefault="00EE3DF9">
            <w:pPr>
              <w:rPr>
                <w:b/>
                <w:noProof/>
                <w:sz w:val="16"/>
                <w:szCs w:val="16"/>
              </w:rPr>
            </w:pPr>
            <w:r w:rsidRPr="00F5382B">
              <w:rPr>
                <w:b/>
                <w:noProof/>
                <w:sz w:val="16"/>
                <w:szCs w:val="16"/>
              </w:rPr>
              <w:t>MS budget</w:t>
            </w:r>
          </w:p>
        </w:tc>
        <w:tc>
          <w:tcPr>
            <w:tcW w:w="595" w:type="dxa"/>
            <w:shd w:val="clear" w:color="auto" w:fill="FDE9D9" w:themeFill="accent6" w:themeFillTint="33"/>
          </w:tcPr>
          <w:p w14:paraId="78704F28" w14:textId="77777777" w:rsidR="00EE3DF9" w:rsidRPr="00F5382B" w:rsidRDefault="00EE3DF9">
            <w:pPr>
              <w:jc w:val="right"/>
              <w:rPr>
                <w:b/>
                <w:i/>
                <w:noProof/>
                <w:sz w:val="16"/>
                <w:szCs w:val="16"/>
              </w:rPr>
            </w:pPr>
            <w:r w:rsidRPr="00F5382B">
              <w:rPr>
                <w:b/>
                <w:i/>
                <w:noProof/>
                <w:sz w:val="16"/>
                <w:szCs w:val="16"/>
              </w:rPr>
              <w:t>(45)</w:t>
            </w:r>
          </w:p>
        </w:tc>
        <w:tc>
          <w:tcPr>
            <w:tcW w:w="709" w:type="dxa"/>
            <w:shd w:val="clear" w:color="auto" w:fill="FDE9D9" w:themeFill="accent6" w:themeFillTint="33"/>
          </w:tcPr>
          <w:p w14:paraId="0799AF7D" w14:textId="77777777" w:rsidR="00EE3DF9" w:rsidRPr="00F5382B" w:rsidRDefault="00EE3DF9">
            <w:pPr>
              <w:jc w:val="right"/>
              <w:rPr>
                <w:b/>
                <w:i/>
                <w:noProof/>
                <w:sz w:val="16"/>
                <w:szCs w:val="16"/>
              </w:rPr>
            </w:pPr>
            <w:r w:rsidRPr="00F5382B">
              <w:rPr>
                <w:b/>
                <w:i/>
                <w:noProof/>
                <w:sz w:val="16"/>
                <w:szCs w:val="16"/>
              </w:rPr>
              <w:t>(45)</w:t>
            </w:r>
          </w:p>
        </w:tc>
        <w:tc>
          <w:tcPr>
            <w:tcW w:w="992" w:type="dxa"/>
            <w:shd w:val="clear" w:color="auto" w:fill="FDE9D9" w:themeFill="accent6" w:themeFillTint="33"/>
          </w:tcPr>
          <w:p w14:paraId="2DEE0EED" w14:textId="77777777" w:rsidR="00EE3DF9" w:rsidRPr="00F5382B" w:rsidRDefault="00EE3DF9">
            <w:pPr>
              <w:jc w:val="right"/>
              <w:rPr>
                <w:b/>
                <w:i/>
                <w:noProof/>
                <w:sz w:val="16"/>
                <w:szCs w:val="16"/>
              </w:rPr>
            </w:pPr>
            <w:r w:rsidRPr="00F5382B">
              <w:rPr>
                <w:b/>
                <w:i/>
                <w:noProof/>
                <w:sz w:val="16"/>
                <w:szCs w:val="16"/>
              </w:rPr>
              <w:t>(45)</w:t>
            </w:r>
          </w:p>
        </w:tc>
        <w:tc>
          <w:tcPr>
            <w:tcW w:w="851" w:type="dxa"/>
            <w:shd w:val="clear" w:color="auto" w:fill="FDE9D9" w:themeFill="accent6" w:themeFillTint="33"/>
          </w:tcPr>
          <w:p w14:paraId="20BF5CA3" w14:textId="77777777" w:rsidR="00EE3DF9" w:rsidRPr="00F5382B" w:rsidRDefault="00EE3DF9">
            <w:pPr>
              <w:jc w:val="right"/>
              <w:rPr>
                <w:b/>
                <w:i/>
                <w:noProof/>
                <w:sz w:val="16"/>
                <w:szCs w:val="16"/>
              </w:rPr>
            </w:pPr>
            <w:r w:rsidRPr="00F5382B">
              <w:rPr>
                <w:b/>
                <w:i/>
                <w:noProof/>
                <w:sz w:val="16"/>
                <w:szCs w:val="16"/>
              </w:rPr>
              <w:t>(45)</w:t>
            </w:r>
          </w:p>
        </w:tc>
        <w:tc>
          <w:tcPr>
            <w:tcW w:w="709" w:type="dxa"/>
            <w:shd w:val="clear" w:color="auto" w:fill="FDE9D9" w:themeFill="accent6" w:themeFillTint="33"/>
          </w:tcPr>
          <w:p w14:paraId="68519814" w14:textId="77777777" w:rsidR="00EE3DF9" w:rsidRPr="00F5382B" w:rsidRDefault="00EE3DF9">
            <w:pPr>
              <w:jc w:val="right"/>
              <w:rPr>
                <w:b/>
                <w:i/>
                <w:noProof/>
                <w:sz w:val="16"/>
                <w:szCs w:val="16"/>
              </w:rPr>
            </w:pPr>
            <w:r w:rsidRPr="00F5382B">
              <w:rPr>
                <w:b/>
                <w:i/>
                <w:noProof/>
                <w:sz w:val="16"/>
                <w:szCs w:val="16"/>
              </w:rPr>
              <w:t>(45)</w:t>
            </w:r>
          </w:p>
        </w:tc>
        <w:tc>
          <w:tcPr>
            <w:tcW w:w="1275" w:type="dxa"/>
            <w:shd w:val="clear" w:color="auto" w:fill="FDE9D9" w:themeFill="accent6" w:themeFillTint="33"/>
          </w:tcPr>
          <w:p w14:paraId="1D442051" w14:textId="77777777" w:rsidR="00EE3DF9" w:rsidRPr="00F5382B" w:rsidRDefault="00EE3DF9">
            <w:pPr>
              <w:jc w:val="right"/>
              <w:rPr>
                <w:b/>
                <w:noProof/>
                <w:sz w:val="16"/>
                <w:szCs w:val="16"/>
              </w:rPr>
            </w:pPr>
            <w:r w:rsidRPr="00F5382B">
              <w:rPr>
                <w:b/>
                <w:noProof/>
                <w:sz w:val="16"/>
                <w:szCs w:val="16"/>
              </w:rPr>
              <w:t>2 542 500</w:t>
            </w:r>
          </w:p>
        </w:tc>
        <w:tc>
          <w:tcPr>
            <w:tcW w:w="1418" w:type="dxa"/>
            <w:shd w:val="clear" w:color="auto" w:fill="FDE9D9" w:themeFill="accent6" w:themeFillTint="33"/>
          </w:tcPr>
          <w:p w14:paraId="5998903A" w14:textId="77777777" w:rsidR="00EE3DF9" w:rsidRPr="00F5382B" w:rsidRDefault="00EE3DF9">
            <w:pPr>
              <w:jc w:val="right"/>
              <w:rPr>
                <w:b/>
                <w:noProof/>
                <w:sz w:val="16"/>
                <w:szCs w:val="16"/>
              </w:rPr>
            </w:pPr>
            <w:r w:rsidRPr="00F5382B">
              <w:rPr>
                <w:b/>
                <w:noProof/>
                <w:sz w:val="16"/>
                <w:szCs w:val="16"/>
              </w:rPr>
              <w:t>12 712 500</w:t>
            </w:r>
          </w:p>
        </w:tc>
      </w:tr>
      <w:tr w:rsidR="00EE3DF9" w:rsidRPr="00F5382B" w14:paraId="0F1094FA" w14:textId="77777777">
        <w:trPr>
          <w:trHeight w:val="703"/>
        </w:trPr>
        <w:tc>
          <w:tcPr>
            <w:tcW w:w="1303" w:type="dxa"/>
            <w:shd w:val="clear" w:color="auto" w:fill="FBD4B4" w:themeFill="accent6" w:themeFillTint="66"/>
          </w:tcPr>
          <w:p w14:paraId="10A3424B" w14:textId="77777777" w:rsidR="00EE3DF9" w:rsidRPr="00F5382B" w:rsidRDefault="00EE3DF9">
            <w:pPr>
              <w:rPr>
                <w:b/>
                <w:noProof/>
                <w:sz w:val="16"/>
                <w:szCs w:val="16"/>
              </w:rPr>
            </w:pPr>
            <w:r w:rsidRPr="00F5382B">
              <w:rPr>
                <w:b/>
                <w:noProof/>
                <w:sz w:val="16"/>
                <w:szCs w:val="16"/>
              </w:rPr>
              <w:t>Businesses</w:t>
            </w:r>
          </w:p>
        </w:tc>
        <w:tc>
          <w:tcPr>
            <w:tcW w:w="1499" w:type="dxa"/>
            <w:shd w:val="clear" w:color="auto" w:fill="FBD4B4" w:themeFill="accent6" w:themeFillTint="66"/>
          </w:tcPr>
          <w:p w14:paraId="6232EAA5" w14:textId="77777777" w:rsidR="00EE3DF9" w:rsidRPr="00F5382B" w:rsidRDefault="00EE3DF9">
            <w:pPr>
              <w:rPr>
                <w:noProof/>
                <w:sz w:val="16"/>
                <w:szCs w:val="16"/>
              </w:rPr>
            </w:pPr>
            <w:r w:rsidRPr="00F5382B">
              <w:rPr>
                <w:noProof/>
                <w:sz w:val="16"/>
                <w:szCs w:val="16"/>
              </w:rPr>
              <w:t>The same as Option A.2 (No additional costs under Option A.3.)</w:t>
            </w:r>
          </w:p>
        </w:tc>
        <w:tc>
          <w:tcPr>
            <w:tcW w:w="595" w:type="dxa"/>
            <w:shd w:val="clear" w:color="auto" w:fill="FBD4B4" w:themeFill="accent6" w:themeFillTint="66"/>
          </w:tcPr>
          <w:p w14:paraId="5660AD02" w14:textId="77777777" w:rsidR="00EE3DF9" w:rsidRPr="00F5382B" w:rsidRDefault="00EE3DF9">
            <w:pPr>
              <w:rPr>
                <w:b/>
                <w:noProof/>
                <w:sz w:val="16"/>
                <w:szCs w:val="16"/>
              </w:rPr>
            </w:pPr>
          </w:p>
        </w:tc>
        <w:tc>
          <w:tcPr>
            <w:tcW w:w="709" w:type="dxa"/>
            <w:shd w:val="clear" w:color="auto" w:fill="FBD4B4" w:themeFill="accent6" w:themeFillTint="66"/>
          </w:tcPr>
          <w:p w14:paraId="55DA033C" w14:textId="77777777" w:rsidR="00EE3DF9" w:rsidRPr="00F5382B" w:rsidRDefault="00EE3DF9">
            <w:pPr>
              <w:rPr>
                <w:b/>
                <w:noProof/>
                <w:sz w:val="16"/>
                <w:szCs w:val="16"/>
              </w:rPr>
            </w:pPr>
          </w:p>
        </w:tc>
        <w:tc>
          <w:tcPr>
            <w:tcW w:w="992" w:type="dxa"/>
            <w:shd w:val="clear" w:color="auto" w:fill="FBD4B4" w:themeFill="accent6" w:themeFillTint="66"/>
          </w:tcPr>
          <w:p w14:paraId="27BB0903" w14:textId="77777777" w:rsidR="00EE3DF9" w:rsidRPr="00F5382B" w:rsidRDefault="00EE3DF9">
            <w:pPr>
              <w:rPr>
                <w:b/>
                <w:noProof/>
                <w:sz w:val="16"/>
                <w:szCs w:val="16"/>
              </w:rPr>
            </w:pPr>
          </w:p>
        </w:tc>
        <w:tc>
          <w:tcPr>
            <w:tcW w:w="851" w:type="dxa"/>
            <w:shd w:val="clear" w:color="auto" w:fill="FBD4B4" w:themeFill="accent6" w:themeFillTint="66"/>
          </w:tcPr>
          <w:p w14:paraId="4D55875D" w14:textId="77777777" w:rsidR="00EE3DF9" w:rsidRPr="00F5382B" w:rsidRDefault="00EE3DF9">
            <w:pPr>
              <w:rPr>
                <w:b/>
                <w:noProof/>
                <w:sz w:val="16"/>
                <w:szCs w:val="16"/>
              </w:rPr>
            </w:pPr>
          </w:p>
        </w:tc>
        <w:tc>
          <w:tcPr>
            <w:tcW w:w="709" w:type="dxa"/>
            <w:shd w:val="clear" w:color="auto" w:fill="FBD4B4" w:themeFill="accent6" w:themeFillTint="66"/>
          </w:tcPr>
          <w:p w14:paraId="6536DB5E" w14:textId="77777777" w:rsidR="00EE3DF9" w:rsidRPr="00F5382B" w:rsidRDefault="00EE3DF9">
            <w:pPr>
              <w:rPr>
                <w:b/>
                <w:noProof/>
                <w:sz w:val="16"/>
                <w:szCs w:val="16"/>
              </w:rPr>
            </w:pPr>
          </w:p>
        </w:tc>
        <w:tc>
          <w:tcPr>
            <w:tcW w:w="1275" w:type="dxa"/>
            <w:shd w:val="clear" w:color="auto" w:fill="FBD4B4" w:themeFill="accent6" w:themeFillTint="66"/>
          </w:tcPr>
          <w:p w14:paraId="048A8429" w14:textId="77777777" w:rsidR="00EE3DF9" w:rsidRPr="00F5382B" w:rsidRDefault="00EE3DF9">
            <w:pPr>
              <w:jc w:val="right"/>
              <w:rPr>
                <w:b/>
                <w:noProof/>
                <w:sz w:val="16"/>
                <w:szCs w:val="16"/>
              </w:rPr>
            </w:pPr>
          </w:p>
        </w:tc>
        <w:tc>
          <w:tcPr>
            <w:tcW w:w="1418" w:type="dxa"/>
            <w:shd w:val="clear" w:color="auto" w:fill="FBD4B4" w:themeFill="accent6" w:themeFillTint="66"/>
          </w:tcPr>
          <w:p w14:paraId="50FCD8A8" w14:textId="77777777" w:rsidR="00EE3DF9" w:rsidRPr="00F5382B" w:rsidRDefault="00EE3DF9">
            <w:pPr>
              <w:jc w:val="right"/>
              <w:rPr>
                <w:b/>
                <w:noProof/>
                <w:sz w:val="16"/>
                <w:szCs w:val="16"/>
              </w:rPr>
            </w:pPr>
          </w:p>
        </w:tc>
      </w:tr>
      <w:tr w:rsidR="00EE3DF9" w:rsidRPr="00F5382B" w14:paraId="177D5245" w14:textId="77777777">
        <w:trPr>
          <w:trHeight w:val="703"/>
        </w:trPr>
        <w:tc>
          <w:tcPr>
            <w:tcW w:w="1303" w:type="dxa"/>
            <w:shd w:val="clear" w:color="auto" w:fill="FBD4B4" w:themeFill="accent6" w:themeFillTint="66"/>
          </w:tcPr>
          <w:p w14:paraId="0A2FFC89" w14:textId="77777777" w:rsidR="00EE3DF9" w:rsidRPr="00F5382B" w:rsidRDefault="00EE3DF9">
            <w:pPr>
              <w:rPr>
                <w:b/>
                <w:noProof/>
                <w:sz w:val="16"/>
                <w:szCs w:val="16"/>
              </w:rPr>
            </w:pPr>
            <w:r w:rsidRPr="00F5382B">
              <w:rPr>
                <w:b/>
                <w:noProof/>
                <w:sz w:val="16"/>
                <w:szCs w:val="16"/>
              </w:rPr>
              <w:t>Citizens</w:t>
            </w:r>
          </w:p>
        </w:tc>
        <w:tc>
          <w:tcPr>
            <w:tcW w:w="1499" w:type="dxa"/>
            <w:shd w:val="clear" w:color="auto" w:fill="FBD4B4" w:themeFill="accent6" w:themeFillTint="66"/>
          </w:tcPr>
          <w:p w14:paraId="6DF7D2B5" w14:textId="77777777" w:rsidR="00EE3DF9" w:rsidRPr="00F5382B" w:rsidRDefault="00EE3DF9">
            <w:pPr>
              <w:rPr>
                <w:noProof/>
                <w:sz w:val="16"/>
                <w:szCs w:val="16"/>
              </w:rPr>
            </w:pPr>
            <w:r w:rsidRPr="00F5382B">
              <w:rPr>
                <w:noProof/>
                <w:sz w:val="16"/>
                <w:szCs w:val="16"/>
              </w:rPr>
              <w:t>The same as Option A.2 (No additional costs under Option A.3.)</w:t>
            </w:r>
          </w:p>
        </w:tc>
        <w:tc>
          <w:tcPr>
            <w:tcW w:w="595" w:type="dxa"/>
            <w:shd w:val="clear" w:color="auto" w:fill="FBD4B4" w:themeFill="accent6" w:themeFillTint="66"/>
          </w:tcPr>
          <w:p w14:paraId="575B59C5" w14:textId="77777777" w:rsidR="00EE3DF9" w:rsidRPr="00F5382B" w:rsidRDefault="00EE3DF9">
            <w:pPr>
              <w:rPr>
                <w:b/>
                <w:noProof/>
                <w:sz w:val="16"/>
                <w:szCs w:val="16"/>
              </w:rPr>
            </w:pPr>
          </w:p>
        </w:tc>
        <w:tc>
          <w:tcPr>
            <w:tcW w:w="709" w:type="dxa"/>
            <w:shd w:val="clear" w:color="auto" w:fill="FBD4B4" w:themeFill="accent6" w:themeFillTint="66"/>
          </w:tcPr>
          <w:p w14:paraId="668FC9AF" w14:textId="77777777" w:rsidR="00EE3DF9" w:rsidRPr="00F5382B" w:rsidRDefault="00EE3DF9">
            <w:pPr>
              <w:rPr>
                <w:b/>
                <w:noProof/>
                <w:sz w:val="16"/>
                <w:szCs w:val="16"/>
              </w:rPr>
            </w:pPr>
          </w:p>
        </w:tc>
        <w:tc>
          <w:tcPr>
            <w:tcW w:w="992" w:type="dxa"/>
            <w:shd w:val="clear" w:color="auto" w:fill="FBD4B4" w:themeFill="accent6" w:themeFillTint="66"/>
          </w:tcPr>
          <w:p w14:paraId="353926BA" w14:textId="77777777" w:rsidR="00EE3DF9" w:rsidRPr="00F5382B" w:rsidRDefault="00EE3DF9">
            <w:pPr>
              <w:rPr>
                <w:b/>
                <w:noProof/>
                <w:sz w:val="16"/>
                <w:szCs w:val="16"/>
              </w:rPr>
            </w:pPr>
          </w:p>
        </w:tc>
        <w:tc>
          <w:tcPr>
            <w:tcW w:w="851" w:type="dxa"/>
            <w:shd w:val="clear" w:color="auto" w:fill="FBD4B4" w:themeFill="accent6" w:themeFillTint="66"/>
          </w:tcPr>
          <w:p w14:paraId="6C8F737A" w14:textId="77777777" w:rsidR="00EE3DF9" w:rsidRPr="00F5382B" w:rsidRDefault="00EE3DF9">
            <w:pPr>
              <w:rPr>
                <w:b/>
                <w:noProof/>
                <w:sz w:val="16"/>
                <w:szCs w:val="16"/>
              </w:rPr>
            </w:pPr>
          </w:p>
        </w:tc>
        <w:tc>
          <w:tcPr>
            <w:tcW w:w="709" w:type="dxa"/>
            <w:shd w:val="clear" w:color="auto" w:fill="FBD4B4" w:themeFill="accent6" w:themeFillTint="66"/>
          </w:tcPr>
          <w:p w14:paraId="564DFB37" w14:textId="77777777" w:rsidR="00EE3DF9" w:rsidRPr="00F5382B" w:rsidRDefault="00EE3DF9">
            <w:pPr>
              <w:rPr>
                <w:b/>
                <w:noProof/>
                <w:sz w:val="16"/>
                <w:szCs w:val="16"/>
              </w:rPr>
            </w:pPr>
          </w:p>
        </w:tc>
        <w:tc>
          <w:tcPr>
            <w:tcW w:w="1275" w:type="dxa"/>
            <w:shd w:val="clear" w:color="auto" w:fill="FBD4B4" w:themeFill="accent6" w:themeFillTint="66"/>
          </w:tcPr>
          <w:p w14:paraId="08AB5C67" w14:textId="77777777" w:rsidR="00EE3DF9" w:rsidRPr="00F5382B" w:rsidRDefault="00EE3DF9">
            <w:pPr>
              <w:jc w:val="right"/>
              <w:rPr>
                <w:b/>
                <w:noProof/>
                <w:sz w:val="16"/>
                <w:szCs w:val="16"/>
              </w:rPr>
            </w:pPr>
          </w:p>
        </w:tc>
        <w:tc>
          <w:tcPr>
            <w:tcW w:w="1418" w:type="dxa"/>
            <w:shd w:val="clear" w:color="auto" w:fill="FBD4B4" w:themeFill="accent6" w:themeFillTint="66"/>
          </w:tcPr>
          <w:p w14:paraId="310492B7" w14:textId="77777777" w:rsidR="00EE3DF9" w:rsidRPr="00F5382B" w:rsidRDefault="00EE3DF9">
            <w:pPr>
              <w:jc w:val="right"/>
              <w:rPr>
                <w:b/>
                <w:noProof/>
                <w:sz w:val="16"/>
                <w:szCs w:val="16"/>
              </w:rPr>
            </w:pPr>
          </w:p>
        </w:tc>
      </w:tr>
    </w:tbl>
    <w:p w14:paraId="3DC9E819" w14:textId="77777777" w:rsidR="00EE3DF9" w:rsidRPr="00F5382B" w:rsidRDefault="00EE3DF9" w:rsidP="00EE3DF9">
      <w:pPr>
        <w:pStyle w:val="Heading4"/>
        <w:numPr>
          <w:ilvl w:val="0"/>
          <w:numId w:val="0"/>
        </w:numPr>
        <w:rPr>
          <w:noProof/>
        </w:rPr>
      </w:pPr>
    </w:p>
    <w:p w14:paraId="05D9E86B" w14:textId="77777777" w:rsidR="00EE3DF9" w:rsidRPr="00F5382B" w:rsidRDefault="00EE3DF9" w:rsidP="00EE3DF9">
      <w:pPr>
        <w:pStyle w:val="Heading4"/>
        <w:numPr>
          <w:ilvl w:val="3"/>
          <w:numId w:val="3"/>
        </w:numPr>
        <w:rPr>
          <w:noProof/>
        </w:rPr>
      </w:pPr>
      <w:bookmarkStart w:id="275" w:name="_Toc210934631"/>
      <w:bookmarkStart w:id="276" w:name="_Toc210939815"/>
      <w:r w:rsidRPr="00F5382B">
        <w:rPr>
          <w:noProof/>
        </w:rPr>
        <w:t>Costs on EU budget (Option A.2)</w:t>
      </w:r>
      <w:bookmarkEnd w:id="275"/>
      <w:bookmarkEnd w:id="276"/>
    </w:p>
    <w:p w14:paraId="13B6027A" w14:textId="77777777" w:rsidR="00EE3DF9" w:rsidRPr="00F5382B" w:rsidRDefault="00EE3DF9" w:rsidP="00EE3DF9">
      <w:pPr>
        <w:rPr>
          <w:noProof/>
        </w:rPr>
      </w:pPr>
      <w:r w:rsidRPr="00F5382B">
        <w:rPr>
          <w:noProof/>
        </w:rPr>
        <w:t xml:space="preserve">For implementing </w:t>
      </w:r>
      <w:r w:rsidRPr="00F5382B">
        <w:rPr>
          <w:b/>
          <w:bCs/>
          <w:i/>
          <w:iCs/>
          <w:noProof/>
        </w:rPr>
        <w:t>Option A.2</w:t>
      </w:r>
      <w:r w:rsidRPr="00F5382B">
        <w:rPr>
          <w:b/>
          <w:bCs/>
          <w:noProof/>
        </w:rPr>
        <w:t>,</w:t>
      </w:r>
      <w:r w:rsidRPr="00F5382B">
        <w:rPr>
          <w:noProof/>
        </w:rPr>
        <w:t xml:space="preserve"> ENISA requires a total of </w:t>
      </w:r>
      <w:r w:rsidRPr="00F5382B">
        <w:rPr>
          <w:b/>
          <w:bCs/>
          <w:noProof/>
        </w:rPr>
        <w:t xml:space="preserve">EUR </w:t>
      </w:r>
      <w:r w:rsidRPr="009C4056">
        <w:rPr>
          <w:b/>
          <w:bCs/>
          <w:noProof/>
        </w:rPr>
        <w:t>148 118 870</w:t>
      </w:r>
      <w:r w:rsidRPr="00F5382B">
        <w:rPr>
          <w:b/>
          <w:noProof/>
        </w:rPr>
        <w:t xml:space="preserve"> </w:t>
      </w:r>
      <w:r w:rsidRPr="00F5382B">
        <w:rPr>
          <w:b/>
          <w:bCs/>
          <w:noProof/>
        </w:rPr>
        <w:t>additional cost over 5 years (recurring cost of 138 million (M) over 5 years (EUR 26.7 in 2028 and EUR 27.8 yearly from 2029 to 2032) and a one-off cost of EUR 10.1M)</w:t>
      </w:r>
      <w:r w:rsidRPr="00F5382B">
        <w:rPr>
          <w:noProof/>
        </w:rPr>
        <w:t>, which is an incremental cost compared to the baseline (i.e. it does not include current ongoing activities). See details below.</w:t>
      </w:r>
    </w:p>
    <w:p w14:paraId="4889BF3D" w14:textId="77777777" w:rsidR="00EE3DF9" w:rsidRPr="00F5382B" w:rsidRDefault="00EE3DF9" w:rsidP="00EE3DF9">
      <w:pPr>
        <w:pStyle w:val="Heading4"/>
        <w:numPr>
          <w:ilvl w:val="4"/>
          <w:numId w:val="3"/>
        </w:numPr>
        <w:rPr>
          <w:noProof/>
        </w:rPr>
      </w:pPr>
      <w:bookmarkStart w:id="277" w:name="_Toc210934632"/>
      <w:bookmarkStart w:id="278" w:name="_Toc210939816"/>
      <w:r w:rsidRPr="00F5382B">
        <w:rPr>
          <w:noProof/>
        </w:rPr>
        <w:t>Costs of FTEs and NLOs for the preferred option (Option A.2)</w:t>
      </w:r>
      <w:bookmarkEnd w:id="277"/>
      <w:bookmarkEnd w:id="278"/>
    </w:p>
    <w:p w14:paraId="677A547C" w14:textId="77777777" w:rsidR="00EE3DF9" w:rsidRPr="00F5382B" w:rsidRDefault="00EE3DF9" w:rsidP="00EE3DF9">
      <w:pPr>
        <w:rPr>
          <w:noProof/>
        </w:rPr>
      </w:pPr>
      <w:r w:rsidRPr="00F5382B">
        <w:rPr>
          <w:noProof/>
        </w:rPr>
        <w:t>For implementing Option A.2 the total recurring costs related to 102 FTEs and 40 NLOs are EUR 14 524 254 per year, which amounts to EUR 72 621 270 over 5 years.</w:t>
      </w:r>
    </w:p>
    <w:p w14:paraId="5B080445" w14:textId="77777777" w:rsidR="00EE3DF9" w:rsidRPr="00F5382B" w:rsidRDefault="00EE3DF9" w:rsidP="00EE3DF9">
      <w:pPr>
        <w:rPr>
          <w:noProof/>
        </w:rPr>
      </w:pPr>
      <w:r w:rsidRPr="00F5382B">
        <w:rPr>
          <w:noProof/>
        </w:rPr>
        <w:t xml:space="preserve">Around 102 additional FTEs will be needed to deliver the additional tasks, with an estimated total annual recurring cost of </w:t>
      </w:r>
      <w:r w:rsidRPr="009C4056">
        <w:rPr>
          <w:noProof/>
        </w:rPr>
        <w:t>EUR 13.08M</w:t>
      </w:r>
      <w:r w:rsidRPr="00F5382B">
        <w:rPr>
          <w:noProof/>
        </w:rPr>
        <w:t xml:space="preserve"> for the Agency (EUR 65.42M over 5 years) and 40 National Liaison Officer (NLOs) seconded by the Member States to ENISA, with an estimated recurring cost of EUR 1.44M yearly, i.e. EUR 7.2M over 5 years</w:t>
      </w:r>
      <w:r>
        <w:rPr>
          <w:noProof/>
        </w:rPr>
        <w:t>.</w:t>
      </w:r>
      <w:r w:rsidRPr="00F5382B">
        <w:rPr>
          <w:noProof/>
        </w:rPr>
        <w:t xml:space="preserve"> </w:t>
      </w:r>
    </w:p>
    <w:p w14:paraId="5D98A222" w14:textId="77777777" w:rsidR="00EE3DF9" w:rsidRPr="00F5382B" w:rsidRDefault="00EE3DF9" w:rsidP="00EE3DF9">
      <w:pPr>
        <w:rPr>
          <w:noProof/>
        </w:rPr>
      </w:pPr>
      <w:r w:rsidRPr="00F5382B">
        <w:rPr>
          <w:noProof/>
        </w:rPr>
        <w:t xml:space="preserve">The </w:t>
      </w:r>
      <w:r w:rsidRPr="000679E9">
        <w:rPr>
          <w:b/>
          <w:bCs/>
          <w:noProof/>
        </w:rPr>
        <w:t>cost estimation per FTE</w:t>
      </w:r>
      <w:r w:rsidRPr="00F5382B">
        <w:rPr>
          <w:noProof/>
        </w:rPr>
        <w:t xml:space="preserve"> across this impact assessment is based on previous evaluations, estimates from similar activities conducted in comparable EU agencies, and the CSA impact assessment, where the average cost of one FTE, adjusted for inflation, is calculated at </w:t>
      </w:r>
      <w:r w:rsidRPr="00F5382B">
        <w:rPr>
          <w:b/>
          <w:bCs/>
          <w:noProof/>
        </w:rPr>
        <w:t>EUR 128 277</w:t>
      </w:r>
      <w:r w:rsidRPr="00F5382B">
        <w:rPr>
          <w:rStyle w:val="FootnoteReference"/>
          <w:b/>
          <w:bCs/>
          <w:noProof/>
        </w:rPr>
        <w:footnoteReference w:id="198"/>
      </w:r>
      <w:r w:rsidRPr="00F5382B">
        <w:rPr>
          <w:noProof/>
        </w:rPr>
        <w:t xml:space="preserve">. This estimated average cost of one full-time equivalent (FTE) is derived from two principal approaches: </w:t>
      </w:r>
    </w:p>
    <w:p w14:paraId="4390CEBD" w14:textId="77777777" w:rsidR="00EE3DF9" w:rsidRPr="00F5382B" w:rsidRDefault="00EE3DF9" w:rsidP="00D52AD8">
      <w:pPr>
        <w:pStyle w:val="ListParagraph"/>
        <w:numPr>
          <w:ilvl w:val="0"/>
          <w:numId w:val="132"/>
        </w:numPr>
        <w:spacing w:after="160" w:line="259" w:lineRule="auto"/>
        <w:rPr>
          <w:noProof/>
        </w:rPr>
      </w:pPr>
      <w:r w:rsidRPr="00F5382B">
        <w:rPr>
          <w:noProof/>
        </w:rPr>
        <w:t xml:space="preserve">internal ENISA data on personnel costs for 2025, provided directly by the agency and reflecting average annual salary costs across staff profiles, resulting in an average cost of EUR 130 667/FTE; and </w:t>
      </w:r>
    </w:p>
    <w:p w14:paraId="25580114" w14:textId="77777777" w:rsidR="00EE3DF9" w:rsidRPr="00F5382B" w:rsidRDefault="00EE3DF9" w:rsidP="00D52AD8">
      <w:pPr>
        <w:pStyle w:val="ListParagraph"/>
        <w:numPr>
          <w:ilvl w:val="0"/>
          <w:numId w:val="132"/>
        </w:numPr>
        <w:spacing w:after="160" w:line="259" w:lineRule="auto"/>
        <w:rPr>
          <w:noProof/>
        </w:rPr>
      </w:pPr>
      <w:r w:rsidRPr="00F5382B">
        <w:rPr>
          <w:noProof/>
        </w:rPr>
        <w:t>an analysis and actualisation of several estimates from previous ENISA evaluation report of 2017 and the Cybersecurity Act impact assessment, updated to 2025 values, resulting in an average cost of 125 887/FTE.</w:t>
      </w:r>
    </w:p>
    <w:p w14:paraId="3C2E1CA1" w14:textId="77777777" w:rsidR="00EE3DF9" w:rsidRPr="00F5382B" w:rsidRDefault="00EE3DF9" w:rsidP="00EE3DF9">
      <w:pPr>
        <w:rPr>
          <w:noProof/>
        </w:rPr>
      </w:pPr>
      <w:r w:rsidRPr="00F5382B">
        <w:rPr>
          <w:noProof/>
        </w:rPr>
        <w:t>An additional estimate was calculated based on ENISA’s reported staff expenditure in the Single Programming Document 2025-27 and Consolidated Annual Activity Report 2024, using figures for 2023 updated to 2025 values; however, as this figure closely aligns with the latest ENISA data (EUR 130 968/FTE), it is reported for transparency but not used in the final average.</w:t>
      </w:r>
    </w:p>
    <w:p w14:paraId="500D2773" w14:textId="77777777" w:rsidR="00EE3DF9" w:rsidRPr="00F5382B" w:rsidRDefault="00EE3DF9" w:rsidP="00EE3DF9">
      <w:pPr>
        <w:rPr>
          <w:noProof/>
        </w:rPr>
      </w:pPr>
      <w:r w:rsidRPr="00F5382B">
        <w:rPr>
          <w:noProof/>
        </w:rPr>
        <w:t>Calculation: EUR 128 277 = (EUR 130 667 + EUR 125 887)/2</w:t>
      </w:r>
    </w:p>
    <w:p w14:paraId="23AF5440" w14:textId="77777777" w:rsidR="00EE3DF9" w:rsidRPr="00F5382B" w:rsidRDefault="00EE3DF9" w:rsidP="00EE3DF9">
      <w:pPr>
        <w:rPr>
          <w:noProof/>
        </w:rPr>
      </w:pPr>
      <w:r w:rsidRPr="00F5382B">
        <w:rPr>
          <w:noProof/>
        </w:rPr>
        <w:t xml:space="preserve">Firstly, the administration and operation of the </w:t>
      </w:r>
      <w:r w:rsidRPr="211C3D34">
        <w:rPr>
          <w:b/>
          <w:bCs/>
          <w:i/>
          <w:iCs/>
          <w:noProof/>
          <w:u w:val="single"/>
        </w:rPr>
        <w:t>EU Cybersecurity Reserve</w:t>
      </w:r>
      <w:r w:rsidRPr="00F5382B">
        <w:rPr>
          <w:noProof/>
        </w:rPr>
        <w:t xml:space="preserve"> requires around </w:t>
      </w:r>
      <w:r w:rsidRPr="00F5382B">
        <w:rPr>
          <w:b/>
          <w:bCs/>
          <w:noProof/>
        </w:rPr>
        <w:t>10 FTEs</w:t>
      </w:r>
      <w:r w:rsidRPr="00F5382B">
        <w:rPr>
          <w:noProof/>
        </w:rPr>
        <w:t xml:space="preserve">, resulting in a total cost of </w:t>
      </w:r>
      <w:r w:rsidRPr="00F5382B">
        <w:rPr>
          <w:b/>
          <w:bCs/>
          <w:noProof/>
        </w:rPr>
        <w:t>EUR 1.28M per year</w:t>
      </w:r>
      <w:r w:rsidRPr="00F5382B">
        <w:rPr>
          <w:noProof/>
        </w:rPr>
        <w:t>; to be complemented by procured services from trusted managed security service providers</w:t>
      </w:r>
      <w:r w:rsidRPr="00F5382B">
        <w:rPr>
          <w:rStyle w:val="FootnoteReference"/>
          <w:noProof/>
        </w:rPr>
        <w:footnoteReference w:id="199"/>
      </w:r>
      <w:r w:rsidRPr="00F5382B">
        <w:rPr>
          <w:noProof/>
        </w:rPr>
        <w:t>.</w:t>
      </w:r>
    </w:p>
    <w:p w14:paraId="183FDD31" w14:textId="77777777" w:rsidR="00EE3DF9" w:rsidRPr="00F5382B" w:rsidRDefault="00EE3DF9" w:rsidP="00EE3DF9">
      <w:pPr>
        <w:spacing w:after="120"/>
        <w:rPr>
          <w:noProof/>
        </w:rPr>
      </w:pPr>
      <w:r w:rsidRPr="00F5382B">
        <w:rPr>
          <w:noProof/>
        </w:rPr>
        <w:t xml:space="preserve">Secondly, ENISA should further enhance its activities around the creation of a </w:t>
      </w:r>
      <w:r w:rsidRPr="000679E9">
        <w:rPr>
          <w:b/>
          <w:i/>
          <w:noProof/>
          <w:u w:val="single"/>
        </w:rPr>
        <w:t>European vulnerability database</w:t>
      </w:r>
      <w:r w:rsidRPr="00F5382B">
        <w:rPr>
          <w:noProof/>
        </w:rPr>
        <w:t xml:space="preserve"> and support Member States in activities related to the coordinated vulnerability disclosure (CVD). To provide Member States with added value information stemming from advanced analysis of vulnerabilities, ENISA would require </w:t>
      </w:r>
      <w:r w:rsidRPr="00F5382B">
        <w:rPr>
          <w:b/>
          <w:bCs/>
          <w:noProof/>
        </w:rPr>
        <w:t>15 additional FTEs</w:t>
      </w:r>
      <w:r w:rsidRPr="00F5382B">
        <w:rPr>
          <w:noProof/>
        </w:rPr>
        <w:t xml:space="preserve">, which results in a total cost of approximately </w:t>
      </w:r>
      <w:r w:rsidRPr="00F5382B">
        <w:rPr>
          <w:b/>
          <w:bCs/>
          <w:noProof/>
        </w:rPr>
        <w:t>EUR 1.924 million per year</w:t>
      </w:r>
      <w:r w:rsidRPr="00F5382B">
        <w:rPr>
          <w:noProof/>
        </w:rPr>
        <w:t xml:space="preserve">. </w:t>
      </w:r>
    </w:p>
    <w:p w14:paraId="65154E48" w14:textId="77777777" w:rsidR="00EE3DF9" w:rsidRPr="00F5382B" w:rsidRDefault="00EE3DF9" w:rsidP="00EE3DF9">
      <w:pPr>
        <w:rPr>
          <w:noProof/>
        </w:rPr>
      </w:pPr>
      <w:r w:rsidRPr="00F5382B">
        <w:rPr>
          <w:noProof/>
        </w:rPr>
        <w:t xml:space="preserve">Thirdly, for ENISA support to Member States in the </w:t>
      </w:r>
      <w:r w:rsidRPr="00F5382B">
        <w:rPr>
          <w:b/>
          <w:i/>
          <w:noProof/>
          <w:u w:val="single"/>
        </w:rPr>
        <w:t>mutual assistance and supervision NIS 2 Directive entities</w:t>
      </w:r>
      <w:r w:rsidRPr="00F5382B">
        <w:rPr>
          <w:noProof/>
        </w:rPr>
        <w:t xml:space="preserve">, subject to the jurisdiction of several Member States (link with option C). This would result in costs for human resources with minimum </w:t>
      </w:r>
      <w:r w:rsidRPr="000679E9">
        <w:rPr>
          <w:b/>
          <w:bCs/>
          <w:noProof/>
        </w:rPr>
        <w:t>4 additional FTEs</w:t>
      </w:r>
      <w:r w:rsidRPr="00F5382B">
        <w:rPr>
          <w:noProof/>
        </w:rPr>
        <w:t xml:space="preserve">, equal to EUR </w:t>
      </w:r>
      <w:r w:rsidRPr="000679E9">
        <w:rPr>
          <w:b/>
          <w:bCs/>
          <w:noProof/>
        </w:rPr>
        <w:t>513 108 per year</w:t>
      </w:r>
      <w:r w:rsidRPr="00F5382B">
        <w:rPr>
          <w:noProof/>
        </w:rPr>
        <w:t xml:space="preserve">. </w:t>
      </w:r>
    </w:p>
    <w:p w14:paraId="7D6903CF" w14:textId="77777777" w:rsidR="00EE3DF9" w:rsidRPr="00F5382B" w:rsidRDefault="00EE3DF9" w:rsidP="00EE3DF9">
      <w:pPr>
        <w:spacing w:after="120"/>
        <w:rPr>
          <w:noProof/>
        </w:rPr>
      </w:pPr>
      <w:r w:rsidRPr="00F5382B">
        <w:rPr>
          <w:noProof/>
        </w:rPr>
        <w:t>Fourthly, for the support of critical sectors resilience (including healthcare cybersecurity Action Plan implementation) 5 FTEs are needed, which amounts to a yearly recurring cost of EUR 641 385, i.e. EUR 3.2M over 5 years.</w:t>
      </w:r>
    </w:p>
    <w:p w14:paraId="40C40C5E" w14:textId="77777777" w:rsidR="00EE3DF9" w:rsidRPr="00F5382B" w:rsidRDefault="00EE3DF9" w:rsidP="00EE3DF9">
      <w:pPr>
        <w:rPr>
          <w:noProof/>
        </w:rPr>
      </w:pPr>
      <w:r w:rsidRPr="00F5382B">
        <w:rPr>
          <w:noProof/>
        </w:rPr>
        <w:t xml:space="preserve">Fifthly, for the development of </w:t>
      </w:r>
      <w:r w:rsidRPr="00F5382B">
        <w:rPr>
          <w:b/>
          <w:i/>
          <w:noProof/>
          <w:u w:val="single"/>
        </w:rPr>
        <w:t>European individual attestation schemes</w:t>
      </w:r>
      <w:r w:rsidRPr="00F5382B">
        <w:rPr>
          <w:noProof/>
        </w:rPr>
        <w:t xml:space="preserve">, considering that there are 12 different roles under the European Cybersecurity Skills Framework and that the development of schemes for all of those roles would be gradual, this action would require minimum </w:t>
      </w:r>
      <w:r w:rsidRPr="00F5382B">
        <w:rPr>
          <w:b/>
          <w:bCs/>
          <w:noProof/>
        </w:rPr>
        <w:t>2 additional FTEs</w:t>
      </w:r>
      <w:r w:rsidRPr="00F5382B">
        <w:rPr>
          <w:noProof/>
        </w:rPr>
        <w:t xml:space="preserve">, amounting to </w:t>
      </w:r>
      <w:r w:rsidRPr="00F5382B">
        <w:rPr>
          <w:b/>
          <w:bCs/>
          <w:noProof/>
        </w:rPr>
        <w:t>EUR 256 554</w:t>
      </w:r>
      <w:r w:rsidRPr="00F5382B">
        <w:rPr>
          <w:noProof/>
        </w:rPr>
        <w:t xml:space="preserve"> for schemes development. </w:t>
      </w:r>
    </w:p>
    <w:p w14:paraId="3C1B48D7" w14:textId="77777777" w:rsidR="00EE3DF9" w:rsidRPr="00F5382B" w:rsidRDefault="00EE3DF9" w:rsidP="00EE3DF9">
      <w:pPr>
        <w:rPr>
          <w:b/>
          <w:noProof/>
        </w:rPr>
      </w:pPr>
      <w:r w:rsidRPr="00F5382B">
        <w:rPr>
          <w:noProof/>
        </w:rPr>
        <w:t xml:space="preserve">In addition, </w:t>
      </w:r>
      <w:r w:rsidRPr="00F5382B">
        <w:rPr>
          <w:b/>
          <w:bCs/>
          <w:noProof/>
        </w:rPr>
        <w:t>6 FTEs</w:t>
      </w:r>
      <w:r w:rsidRPr="00F5382B">
        <w:rPr>
          <w:noProof/>
        </w:rPr>
        <w:t xml:space="preserve"> would be required for </w:t>
      </w:r>
      <w:r w:rsidRPr="000679E9">
        <w:rPr>
          <w:b/>
          <w:bCs/>
          <w:i/>
          <w:iCs/>
          <w:noProof/>
          <w:u w:val="single"/>
        </w:rPr>
        <w:t>maintenance and auditing tasks for the providers</w:t>
      </w:r>
      <w:r w:rsidRPr="00F5382B">
        <w:rPr>
          <w:noProof/>
        </w:rPr>
        <w:t xml:space="preserve"> that would be granted the role of entities issuing attestations, costing </w:t>
      </w:r>
      <w:r w:rsidRPr="00F5382B">
        <w:rPr>
          <w:b/>
          <w:bCs/>
          <w:noProof/>
        </w:rPr>
        <w:t>EUR 769 662 per year</w:t>
      </w:r>
      <w:r w:rsidRPr="00F5382B">
        <w:rPr>
          <w:noProof/>
        </w:rPr>
        <w:t>.  These FTEs would be</w:t>
      </w:r>
      <w:r w:rsidRPr="00F5382B">
        <w:rPr>
          <w:b/>
          <w:bCs/>
          <w:noProof/>
        </w:rPr>
        <w:t xml:space="preserve"> recurrent for the first five years, </w:t>
      </w:r>
      <w:r w:rsidRPr="00F5382B">
        <w:rPr>
          <w:noProof/>
        </w:rPr>
        <w:t>covering the preparation and roll-out of the first European individual attestation scheme and starting the second scheme</w:t>
      </w:r>
      <w:r w:rsidRPr="00F5382B">
        <w:rPr>
          <w:rStyle w:val="FootnoteReference"/>
          <w:noProof/>
        </w:rPr>
        <w:footnoteReference w:id="200"/>
      </w:r>
      <w:r w:rsidRPr="00F5382B">
        <w:rPr>
          <w:noProof/>
        </w:rPr>
        <w:t xml:space="preserve">. To meet the market demand most effectively and ensure budgetary efficiency, </w:t>
      </w:r>
      <w:r w:rsidRPr="00F5382B">
        <w:rPr>
          <w:b/>
          <w:bCs/>
          <w:noProof/>
        </w:rPr>
        <w:t>fees collected from providers would gradually complement and fully replace the EU budget after five years.</w:t>
      </w:r>
      <w:r w:rsidRPr="00F5382B">
        <w:rPr>
          <w:noProof/>
        </w:rPr>
        <w:t xml:space="preserve">  </w:t>
      </w:r>
    </w:p>
    <w:p w14:paraId="7DC64003" w14:textId="77777777" w:rsidR="00EE3DF9" w:rsidRPr="00F5382B" w:rsidRDefault="00EE3DF9" w:rsidP="00EE3DF9">
      <w:pPr>
        <w:spacing w:after="120"/>
        <w:rPr>
          <w:noProof/>
        </w:rPr>
      </w:pPr>
      <w:r w:rsidRPr="00F5382B">
        <w:rPr>
          <w:noProof/>
        </w:rPr>
        <w:t>In more details, based on ENISA’s experience in running pilot projects, the first scheme would take five years to set up, test and roll-out</w:t>
      </w:r>
      <w:r w:rsidRPr="00F5382B">
        <w:rPr>
          <w:noProof/>
          <w:vertAlign w:val="superscript"/>
        </w:rPr>
        <w:footnoteReference w:id="201"/>
      </w:r>
      <w:r w:rsidRPr="00F5382B">
        <w:rPr>
          <w:noProof/>
        </w:rPr>
        <w:t xml:space="preserve">. During the first five years, EU budget would allow to cover the development, testing and rolling out of the first European individual attestation scheme. This period would be divided into two phases: (1) after an initial three-year period, during which EU budget would be necessary to nurture and test the model, (2) the activity would gradually become self-financed while still being supported by EU budget over the two following years. During this two-year transition period, both fee-based revenues and EU budget would support the model until it reaches sufficient maturity. In parallel, during the years four and five, ENISA would start developing a second scheme justifying to keep the same level of financing from EU budget for all five years Before the model would become fully independent financially. </w:t>
      </w:r>
    </w:p>
    <w:p w14:paraId="3992A01C" w14:textId="5730C650" w:rsidR="00EE3DF9" w:rsidRPr="00F5382B" w:rsidRDefault="00EE3DF9" w:rsidP="00EE3DF9">
      <w:pPr>
        <w:rPr>
          <w:noProof/>
        </w:rPr>
      </w:pPr>
      <w:r w:rsidRPr="00F5382B">
        <w:rPr>
          <w:noProof/>
        </w:rPr>
        <w:t xml:space="preserve">It is taken into due account that as the schemes and the demand for authorisation from providers grows, this could lead to numerous applications of candidate attestation providers to be assessed by ENISA and ultimately, a growing number of providers for ENISA to supervise to ensure consistency in implementing the schemes. Consequently, ENISA would likely need additional resources to deliver on its tasks (authorisation and supervision). After year five, these additional </w:t>
      </w:r>
      <w:r w:rsidRPr="00F5382B">
        <w:rPr>
          <w:b/>
          <w:bCs/>
          <w:noProof/>
        </w:rPr>
        <w:t>costs would no longer be funded by the EU budget but by the fees collected from providers.</w:t>
      </w:r>
      <w:r w:rsidRPr="00F5382B">
        <w:rPr>
          <w:noProof/>
        </w:rPr>
        <w:t xml:space="preserve"> </w:t>
      </w:r>
      <w:r w:rsidR="00C34424">
        <w:rPr>
          <w:noProof/>
        </w:rPr>
        <w:t xml:space="preserve">The fees </w:t>
      </w:r>
      <w:r w:rsidR="0042610E">
        <w:rPr>
          <w:noProof/>
        </w:rPr>
        <w:t xml:space="preserve">could also be used to </w:t>
      </w:r>
      <w:r w:rsidR="000F04F3">
        <w:rPr>
          <w:noProof/>
        </w:rPr>
        <w:t>cover the cost of</w:t>
      </w:r>
      <w:r w:rsidR="00045932">
        <w:rPr>
          <w:noProof/>
        </w:rPr>
        <w:t xml:space="preserve"> </w:t>
      </w:r>
      <w:r w:rsidRPr="00F5382B">
        <w:rPr>
          <w:noProof/>
        </w:rPr>
        <w:t>training a pool of auditors in each Member State to perform the supervision tasks and to set up an internal governance ensuring uniform implementation of the schemes.</w:t>
      </w:r>
    </w:p>
    <w:p w14:paraId="4915371A" w14:textId="77777777" w:rsidR="00EE3DF9" w:rsidRPr="00F5382B" w:rsidRDefault="00EE3DF9" w:rsidP="00EE3DF9">
      <w:pPr>
        <w:rPr>
          <w:noProof/>
        </w:rPr>
      </w:pPr>
      <w:r w:rsidRPr="00F5382B">
        <w:rPr>
          <w:noProof/>
        </w:rPr>
        <w:t xml:space="preserve">Sixthly, in the context of the Cyber Resilience Act (CRA) </w:t>
      </w:r>
      <w:r w:rsidRPr="000679E9">
        <w:rPr>
          <w:b/>
          <w:bCs/>
          <w:noProof/>
        </w:rPr>
        <w:t>2</w:t>
      </w:r>
      <w:r>
        <w:rPr>
          <w:b/>
          <w:bCs/>
          <w:noProof/>
        </w:rPr>
        <w:t>3</w:t>
      </w:r>
      <w:r w:rsidRPr="000679E9">
        <w:rPr>
          <w:b/>
          <w:bCs/>
          <w:noProof/>
        </w:rPr>
        <w:t xml:space="preserve"> FTEs </w:t>
      </w:r>
      <w:r w:rsidRPr="00F5382B">
        <w:rPr>
          <w:noProof/>
        </w:rPr>
        <w:t xml:space="preserve">are needed, out of which 10 FTEs for the day-to-day </w:t>
      </w:r>
      <w:r w:rsidRPr="00F5382B">
        <w:rPr>
          <w:b/>
          <w:i/>
          <w:noProof/>
          <w:u w:val="single"/>
        </w:rPr>
        <w:t>management of the single reporting platform for CRA</w:t>
      </w:r>
      <w:r w:rsidRPr="00F5382B">
        <w:rPr>
          <w:noProof/>
        </w:rPr>
        <w:t xml:space="preserve">, 5 FTEs for platform services (vulnerability analysis) and 8 FTEs for managing the single entry point (in connection with the Digital Omnibus). This amounts to a total of </w:t>
      </w:r>
      <w:r w:rsidRPr="00CE2185">
        <w:rPr>
          <w:b/>
          <w:noProof/>
        </w:rPr>
        <w:t>EUR 2 950 371</w:t>
      </w:r>
      <w:r w:rsidRPr="00CE2185">
        <w:rPr>
          <w:b/>
          <w:bCs/>
          <w:noProof/>
        </w:rPr>
        <w:t xml:space="preserve"> </w:t>
      </w:r>
      <w:r w:rsidRPr="000679E9">
        <w:rPr>
          <w:b/>
          <w:bCs/>
          <w:noProof/>
        </w:rPr>
        <w:t>per year</w:t>
      </w:r>
      <w:r w:rsidRPr="00F5382B">
        <w:rPr>
          <w:noProof/>
        </w:rPr>
        <w:t>.</w:t>
      </w:r>
    </w:p>
    <w:p w14:paraId="4DEFAD9F" w14:textId="77777777" w:rsidR="00EE3DF9" w:rsidRPr="00F5382B" w:rsidRDefault="00EE3DF9" w:rsidP="00EE3DF9">
      <w:pPr>
        <w:rPr>
          <w:noProof/>
        </w:rPr>
      </w:pPr>
      <w:r w:rsidRPr="00F5382B">
        <w:rPr>
          <w:noProof/>
        </w:rPr>
        <w:t xml:space="preserve">Seventhly, for supporting the </w:t>
      </w:r>
      <w:r w:rsidRPr="00F5382B">
        <w:rPr>
          <w:b/>
          <w:i/>
          <w:noProof/>
          <w:u w:val="single"/>
        </w:rPr>
        <w:t>implementation of the Cyber Resilience Act</w:t>
      </w:r>
      <w:r w:rsidRPr="00F5382B">
        <w:rPr>
          <w:noProof/>
        </w:rPr>
        <w:t xml:space="preserve">, </w:t>
      </w:r>
      <w:r w:rsidRPr="00F5382B">
        <w:rPr>
          <w:b/>
          <w:bCs/>
          <w:noProof/>
        </w:rPr>
        <w:t>22</w:t>
      </w:r>
      <w:r w:rsidRPr="000679E9">
        <w:rPr>
          <w:b/>
          <w:bCs/>
          <w:noProof/>
        </w:rPr>
        <w:t xml:space="preserve"> FTEs</w:t>
      </w:r>
      <w:r w:rsidRPr="00F5382B">
        <w:rPr>
          <w:noProof/>
        </w:rPr>
        <w:t xml:space="preserve"> are needed. 8 FTEs are needed for the work on technical guidance, product security expertise and market analysis, 5 FTEs on standardisation to support CRA implementation, 5 FTEs for supporting the market surveillance activities and 4 FTEs for conformity/testing and security evaluations. This amounts to a recurring cost of </w:t>
      </w:r>
      <w:r w:rsidRPr="00F5382B">
        <w:rPr>
          <w:b/>
          <w:bCs/>
          <w:noProof/>
        </w:rPr>
        <w:t>EUR 2 822 094 per year (i.e. EUR 14.11M over 5 years)</w:t>
      </w:r>
      <w:r w:rsidRPr="00F5382B">
        <w:rPr>
          <w:noProof/>
        </w:rPr>
        <w:t>.</w:t>
      </w:r>
    </w:p>
    <w:p w14:paraId="7EE48A0B" w14:textId="77777777" w:rsidR="00EE3DF9" w:rsidRPr="00F5382B" w:rsidRDefault="00EE3DF9" w:rsidP="00EE3DF9">
      <w:pPr>
        <w:rPr>
          <w:noProof/>
        </w:rPr>
      </w:pPr>
      <w:r w:rsidRPr="00F5382B">
        <w:rPr>
          <w:noProof/>
        </w:rPr>
        <w:t xml:space="preserve">Eighthly, for </w:t>
      </w:r>
      <w:r w:rsidRPr="00F5382B">
        <w:rPr>
          <w:b/>
          <w:i/>
          <w:noProof/>
          <w:u w:val="single"/>
        </w:rPr>
        <w:t>operational cooperation</w:t>
      </w:r>
      <w:r w:rsidRPr="00F5382B">
        <w:rPr>
          <w:noProof/>
        </w:rPr>
        <w:t xml:space="preserve"> including situational awareness and additional </w:t>
      </w:r>
      <w:r w:rsidRPr="000679E9">
        <w:rPr>
          <w:b/>
          <w:bCs/>
          <w:noProof/>
        </w:rPr>
        <w:t>5 FTEs</w:t>
      </w:r>
      <w:r w:rsidRPr="00F5382B">
        <w:rPr>
          <w:noProof/>
        </w:rPr>
        <w:t xml:space="preserve"> are needed, amounting to </w:t>
      </w:r>
      <w:r w:rsidRPr="000679E9">
        <w:rPr>
          <w:b/>
          <w:bCs/>
          <w:noProof/>
        </w:rPr>
        <w:t>EUR 641 385 yearly.</w:t>
      </w:r>
      <w:r w:rsidRPr="00F5382B">
        <w:rPr>
          <w:noProof/>
        </w:rPr>
        <w:t xml:space="preserve"> </w:t>
      </w:r>
    </w:p>
    <w:p w14:paraId="2090CDAC" w14:textId="77777777" w:rsidR="00EE3DF9" w:rsidRPr="00F5382B" w:rsidRDefault="00EE3DF9" w:rsidP="00EE3DF9">
      <w:pPr>
        <w:rPr>
          <w:noProof/>
        </w:rPr>
      </w:pPr>
      <w:r w:rsidRPr="00F5382B">
        <w:rPr>
          <w:noProof/>
        </w:rPr>
        <w:t xml:space="preserve">Additionally, in the context of </w:t>
      </w:r>
      <w:r w:rsidRPr="000679E9">
        <w:rPr>
          <w:b/>
          <w:bCs/>
          <w:i/>
          <w:iCs/>
          <w:noProof/>
          <w:u w:val="single"/>
        </w:rPr>
        <w:t>operational cooperation</w:t>
      </w:r>
      <w:r w:rsidRPr="00F5382B">
        <w:rPr>
          <w:noProof/>
        </w:rPr>
        <w:t xml:space="preserve">, an additional cost stems from the daily allowance of National Liaison Officers seconded by each Member State to ENISA, </w:t>
      </w:r>
      <w:r w:rsidRPr="000679E9">
        <w:rPr>
          <w:b/>
          <w:bCs/>
          <w:noProof/>
        </w:rPr>
        <w:t>40 NLOs in total</w:t>
      </w:r>
      <w:r w:rsidRPr="00F5382B">
        <w:rPr>
          <w:noProof/>
        </w:rPr>
        <w:t xml:space="preserve">, which amounts to </w:t>
      </w:r>
      <w:r w:rsidRPr="000679E9">
        <w:rPr>
          <w:b/>
          <w:bCs/>
          <w:noProof/>
        </w:rPr>
        <w:t xml:space="preserve">EUR </w:t>
      </w:r>
      <w:r w:rsidRPr="00F5382B">
        <w:rPr>
          <w:b/>
          <w:bCs/>
          <w:noProof/>
        </w:rPr>
        <w:t xml:space="preserve">1 440 000 </w:t>
      </w:r>
      <w:r w:rsidRPr="000679E9">
        <w:rPr>
          <w:b/>
          <w:bCs/>
          <w:noProof/>
        </w:rPr>
        <w:t>yearly</w:t>
      </w:r>
      <w:r w:rsidRPr="00F5382B">
        <w:rPr>
          <w:noProof/>
        </w:rPr>
        <w:t xml:space="preserve"> (see below further details under costs for National Authorities and Economic Operators).</w:t>
      </w:r>
    </w:p>
    <w:p w14:paraId="6E2EF4C2" w14:textId="77777777" w:rsidR="00EE3DF9" w:rsidRPr="000679E9" w:rsidRDefault="00EE3DF9" w:rsidP="00EE3DF9">
      <w:pPr>
        <w:rPr>
          <w:b/>
          <w:bCs/>
          <w:noProof/>
        </w:rPr>
      </w:pPr>
      <w:r w:rsidRPr="00F5382B">
        <w:rPr>
          <w:noProof/>
        </w:rPr>
        <w:t xml:space="preserve">Finally, given the overall increased headcount of ENISA an additional </w:t>
      </w:r>
      <w:r w:rsidRPr="00F5382B">
        <w:rPr>
          <w:b/>
          <w:bCs/>
          <w:noProof/>
        </w:rPr>
        <w:t xml:space="preserve">10 </w:t>
      </w:r>
      <w:r w:rsidRPr="000679E9">
        <w:rPr>
          <w:b/>
          <w:bCs/>
          <w:noProof/>
        </w:rPr>
        <w:t>FTEs</w:t>
      </w:r>
      <w:r w:rsidRPr="00F5382B">
        <w:rPr>
          <w:noProof/>
        </w:rPr>
        <w:t xml:space="preserve"> are needed for </w:t>
      </w:r>
      <w:r w:rsidRPr="00F5382B">
        <w:rPr>
          <w:b/>
          <w:i/>
          <w:noProof/>
          <w:u w:val="single"/>
        </w:rPr>
        <w:t>admin/support functions</w:t>
      </w:r>
      <w:r w:rsidRPr="00F5382B">
        <w:rPr>
          <w:noProof/>
        </w:rPr>
        <w:t xml:space="preserve"> (such as accounting, HR, IT etc.), amounting to </w:t>
      </w:r>
      <w:r w:rsidRPr="00F5382B">
        <w:rPr>
          <w:b/>
          <w:noProof/>
        </w:rPr>
        <w:t xml:space="preserve">EUR </w:t>
      </w:r>
      <w:r w:rsidRPr="00F5382B">
        <w:rPr>
          <w:b/>
          <w:bCs/>
          <w:noProof/>
        </w:rPr>
        <w:t>1 282 770</w:t>
      </w:r>
      <w:r w:rsidRPr="00F5382B">
        <w:rPr>
          <w:b/>
          <w:noProof/>
        </w:rPr>
        <w:t xml:space="preserve"> </w:t>
      </w:r>
      <w:r w:rsidRPr="000679E9">
        <w:rPr>
          <w:b/>
          <w:bCs/>
          <w:noProof/>
        </w:rPr>
        <w:t>per year.</w:t>
      </w:r>
    </w:p>
    <w:p w14:paraId="1A7095F0" w14:textId="77777777" w:rsidR="00EE3DF9" w:rsidRPr="00F5382B" w:rsidRDefault="00EE3DF9" w:rsidP="00EE3DF9">
      <w:pPr>
        <w:rPr>
          <w:b/>
          <w:bCs/>
          <w:noProof/>
        </w:rPr>
      </w:pPr>
      <w:r w:rsidRPr="00F5382B">
        <w:rPr>
          <w:b/>
          <w:bCs/>
          <w:noProof/>
        </w:rPr>
        <w:t>Summary of calculations related to FTEs and NLOs for ENISA under Option A.2:</w:t>
      </w:r>
    </w:p>
    <w:p w14:paraId="6C34DB8C" w14:textId="77777777" w:rsidR="00EE3DF9" w:rsidRPr="00F5382B" w:rsidRDefault="00EE3DF9" w:rsidP="00D52AD8">
      <w:pPr>
        <w:pStyle w:val="ListParagraph"/>
        <w:numPr>
          <w:ilvl w:val="0"/>
          <w:numId w:val="122"/>
        </w:numPr>
        <w:spacing w:after="160" w:line="259" w:lineRule="auto"/>
        <w:rPr>
          <w:noProof/>
          <w:lang w:val="fr-FR"/>
        </w:rPr>
      </w:pPr>
      <w:r w:rsidRPr="00F5382B">
        <w:rPr>
          <w:b/>
          <w:noProof/>
          <w:lang w:val="fr-FR"/>
        </w:rPr>
        <w:t>EU Cybersecurity Reserve:</w:t>
      </w:r>
      <w:r w:rsidRPr="00F5382B">
        <w:rPr>
          <w:noProof/>
          <w:lang w:val="fr-FR"/>
        </w:rPr>
        <w:t xml:space="preserve"> 10 FTEs × EUR 128 277 = EUR 1 282 770</w:t>
      </w:r>
    </w:p>
    <w:p w14:paraId="42D76F03" w14:textId="77777777" w:rsidR="00EE3DF9" w:rsidRPr="00F5382B" w:rsidRDefault="00EE3DF9" w:rsidP="00D52AD8">
      <w:pPr>
        <w:pStyle w:val="ListParagraph"/>
        <w:numPr>
          <w:ilvl w:val="0"/>
          <w:numId w:val="122"/>
        </w:numPr>
        <w:spacing w:after="160" w:line="259" w:lineRule="auto"/>
        <w:rPr>
          <w:noProof/>
        </w:rPr>
      </w:pPr>
      <w:r w:rsidRPr="00F5382B">
        <w:rPr>
          <w:b/>
          <w:bCs/>
          <w:noProof/>
        </w:rPr>
        <w:t>Vulnerability database and CVD:</w:t>
      </w:r>
      <w:r w:rsidRPr="00F5382B">
        <w:rPr>
          <w:noProof/>
        </w:rPr>
        <w:t xml:space="preserve"> 15 FTEs × EUR 128 277 = EUR 1 924 155</w:t>
      </w:r>
    </w:p>
    <w:p w14:paraId="5DCAA852" w14:textId="77777777" w:rsidR="00EE3DF9" w:rsidRPr="00F5382B" w:rsidRDefault="00EE3DF9" w:rsidP="00D52AD8">
      <w:pPr>
        <w:pStyle w:val="ListParagraph"/>
        <w:numPr>
          <w:ilvl w:val="0"/>
          <w:numId w:val="122"/>
        </w:numPr>
        <w:spacing w:after="160" w:line="259" w:lineRule="auto"/>
        <w:rPr>
          <w:noProof/>
        </w:rPr>
      </w:pPr>
      <w:r w:rsidRPr="00F5382B">
        <w:rPr>
          <w:b/>
          <w:bCs/>
          <w:noProof/>
        </w:rPr>
        <w:t>Mutual assistance and supervision:</w:t>
      </w:r>
      <w:r w:rsidRPr="00F5382B">
        <w:rPr>
          <w:noProof/>
        </w:rPr>
        <w:t xml:space="preserve"> 4 FTEs × EUR 128 277 = EUR 513 108</w:t>
      </w:r>
    </w:p>
    <w:p w14:paraId="42A830A6" w14:textId="77777777" w:rsidR="00EE3DF9" w:rsidRPr="00F5382B" w:rsidRDefault="00EE3DF9" w:rsidP="00D52AD8">
      <w:pPr>
        <w:pStyle w:val="ListParagraph"/>
        <w:numPr>
          <w:ilvl w:val="0"/>
          <w:numId w:val="122"/>
        </w:numPr>
        <w:spacing w:after="160" w:line="259" w:lineRule="auto"/>
        <w:rPr>
          <w:noProof/>
        </w:rPr>
      </w:pPr>
      <w:r w:rsidRPr="00F5382B">
        <w:rPr>
          <w:noProof/>
        </w:rPr>
        <w:t>Support for critical sectors resilience (including healthcare cybersecurity Action Plan implementation): 5 FTEs × EUR 128 277 = EUR 641 385</w:t>
      </w:r>
    </w:p>
    <w:p w14:paraId="495F287F" w14:textId="77777777" w:rsidR="00EE3DF9" w:rsidRPr="00F5382B" w:rsidRDefault="00EE3DF9" w:rsidP="00D52AD8">
      <w:pPr>
        <w:pStyle w:val="ListParagraph"/>
        <w:numPr>
          <w:ilvl w:val="0"/>
          <w:numId w:val="122"/>
        </w:numPr>
        <w:spacing w:after="160" w:line="259" w:lineRule="auto"/>
        <w:rPr>
          <w:b/>
          <w:bCs/>
          <w:noProof/>
        </w:rPr>
      </w:pPr>
      <w:r w:rsidRPr="00F5382B">
        <w:rPr>
          <w:b/>
          <w:bCs/>
          <w:noProof/>
        </w:rPr>
        <w:t>European individual attestation schemes (development + maintenance):</w:t>
      </w:r>
    </w:p>
    <w:p w14:paraId="62A161F5" w14:textId="77777777" w:rsidR="00EE3DF9" w:rsidRPr="00F5382B" w:rsidRDefault="00EE3DF9" w:rsidP="00D52AD8">
      <w:pPr>
        <w:pStyle w:val="ListParagraph"/>
        <w:numPr>
          <w:ilvl w:val="1"/>
          <w:numId w:val="122"/>
        </w:numPr>
        <w:spacing w:after="160" w:line="259" w:lineRule="auto"/>
        <w:rPr>
          <w:noProof/>
        </w:rPr>
      </w:pPr>
      <w:r w:rsidRPr="00F5382B">
        <w:rPr>
          <w:noProof/>
        </w:rPr>
        <w:t>Development: 2 FTEs × EUR 128 277 = EUR 256 554</w:t>
      </w:r>
    </w:p>
    <w:p w14:paraId="6437DB54" w14:textId="77777777" w:rsidR="00EE3DF9" w:rsidRPr="00F5382B" w:rsidRDefault="00EE3DF9" w:rsidP="00D52AD8">
      <w:pPr>
        <w:pStyle w:val="ListParagraph"/>
        <w:numPr>
          <w:ilvl w:val="1"/>
          <w:numId w:val="122"/>
        </w:numPr>
        <w:spacing w:after="160" w:line="259" w:lineRule="auto"/>
        <w:rPr>
          <w:noProof/>
        </w:rPr>
      </w:pPr>
      <w:r w:rsidRPr="00F5382B">
        <w:rPr>
          <w:noProof/>
        </w:rPr>
        <w:t>Maintenance and auditing: 6 FTEs × EUR 128 277 = EUR 769 662</w:t>
      </w:r>
    </w:p>
    <w:p w14:paraId="4DE611DD" w14:textId="77777777" w:rsidR="00EE3DF9" w:rsidRPr="00F5382B" w:rsidRDefault="00EE3DF9" w:rsidP="00D52AD8">
      <w:pPr>
        <w:pStyle w:val="ListParagraph"/>
        <w:numPr>
          <w:ilvl w:val="1"/>
          <w:numId w:val="122"/>
        </w:numPr>
        <w:spacing w:after="160" w:line="259" w:lineRule="auto"/>
        <w:rPr>
          <w:b/>
          <w:bCs/>
          <w:noProof/>
        </w:rPr>
      </w:pPr>
      <w:r w:rsidRPr="00F5382B">
        <w:rPr>
          <w:b/>
          <w:bCs/>
          <w:noProof/>
        </w:rPr>
        <w:t>Total: 8FTEs =&gt; EUR 1 026 216</w:t>
      </w:r>
    </w:p>
    <w:p w14:paraId="0E4817CA" w14:textId="77777777" w:rsidR="00EE3DF9" w:rsidRPr="00F5382B" w:rsidRDefault="00EE3DF9" w:rsidP="00D52AD8">
      <w:pPr>
        <w:pStyle w:val="ListParagraph"/>
        <w:numPr>
          <w:ilvl w:val="0"/>
          <w:numId w:val="122"/>
        </w:numPr>
        <w:spacing w:after="160" w:line="259" w:lineRule="auto"/>
        <w:rPr>
          <w:b/>
          <w:bCs/>
          <w:noProof/>
        </w:rPr>
      </w:pPr>
      <w:r w:rsidRPr="00F5382B">
        <w:rPr>
          <w:b/>
          <w:bCs/>
          <w:noProof/>
        </w:rPr>
        <w:t>CRA platform :</w:t>
      </w:r>
    </w:p>
    <w:p w14:paraId="7EC56550" w14:textId="77777777" w:rsidR="00EE3DF9" w:rsidRPr="00F5382B" w:rsidRDefault="00EE3DF9" w:rsidP="00D52AD8">
      <w:pPr>
        <w:pStyle w:val="ListParagraph"/>
        <w:numPr>
          <w:ilvl w:val="1"/>
          <w:numId w:val="122"/>
        </w:numPr>
        <w:spacing w:after="160" w:line="259" w:lineRule="auto"/>
        <w:rPr>
          <w:noProof/>
        </w:rPr>
      </w:pPr>
      <w:r w:rsidRPr="00F5382B">
        <w:rPr>
          <w:noProof/>
        </w:rPr>
        <w:t>day-to-day management of the platform: 10 FTEs x 128 277 = EUR 1 282 770</w:t>
      </w:r>
    </w:p>
    <w:p w14:paraId="75CCB275" w14:textId="77777777" w:rsidR="00EE3DF9" w:rsidRPr="00F5382B" w:rsidRDefault="00EE3DF9" w:rsidP="00D52AD8">
      <w:pPr>
        <w:pStyle w:val="ListParagraph"/>
        <w:numPr>
          <w:ilvl w:val="1"/>
          <w:numId w:val="122"/>
        </w:numPr>
        <w:spacing w:after="160" w:line="259" w:lineRule="auto"/>
        <w:rPr>
          <w:noProof/>
        </w:rPr>
      </w:pPr>
      <w:r w:rsidRPr="00F5382B">
        <w:rPr>
          <w:noProof/>
        </w:rPr>
        <w:t>vulnerability analysis: 5 FTEs x 128 277 = EUR 641 385</w:t>
      </w:r>
    </w:p>
    <w:p w14:paraId="48E73135" w14:textId="77777777" w:rsidR="00EE3DF9" w:rsidRPr="00F5382B" w:rsidRDefault="00EE3DF9" w:rsidP="00D52AD8">
      <w:pPr>
        <w:pStyle w:val="ListParagraph"/>
        <w:numPr>
          <w:ilvl w:val="1"/>
          <w:numId w:val="122"/>
        </w:numPr>
        <w:spacing w:after="160" w:line="259" w:lineRule="auto"/>
        <w:rPr>
          <w:noProof/>
        </w:rPr>
      </w:pPr>
      <w:r w:rsidRPr="00F5382B">
        <w:rPr>
          <w:noProof/>
        </w:rPr>
        <w:t>single entry point: 8 FTEs x 128 277 = EUR 1 026 216</w:t>
      </w:r>
    </w:p>
    <w:p w14:paraId="68579E16" w14:textId="77777777" w:rsidR="00EE3DF9" w:rsidRPr="00F5382B" w:rsidRDefault="00EE3DF9" w:rsidP="00D52AD8">
      <w:pPr>
        <w:pStyle w:val="ListParagraph"/>
        <w:numPr>
          <w:ilvl w:val="1"/>
          <w:numId w:val="122"/>
        </w:numPr>
        <w:spacing w:after="160" w:line="259" w:lineRule="auto"/>
        <w:rPr>
          <w:b/>
          <w:bCs/>
          <w:noProof/>
        </w:rPr>
      </w:pPr>
      <w:r w:rsidRPr="00F5382B">
        <w:rPr>
          <w:b/>
          <w:bCs/>
          <w:noProof/>
        </w:rPr>
        <w:t>Total: 2</w:t>
      </w:r>
      <w:r>
        <w:rPr>
          <w:b/>
          <w:bCs/>
          <w:noProof/>
        </w:rPr>
        <w:t>3</w:t>
      </w:r>
      <w:r w:rsidRPr="00F5382B">
        <w:rPr>
          <w:b/>
          <w:bCs/>
          <w:noProof/>
        </w:rPr>
        <w:t xml:space="preserve"> FTEs =&gt; EUR </w:t>
      </w:r>
      <w:r w:rsidRPr="00CE2185">
        <w:rPr>
          <w:b/>
          <w:noProof/>
        </w:rPr>
        <w:t>2 950 371</w:t>
      </w:r>
    </w:p>
    <w:p w14:paraId="0458980C" w14:textId="77777777" w:rsidR="00EE3DF9" w:rsidRPr="00F5382B" w:rsidRDefault="00EE3DF9" w:rsidP="00D52AD8">
      <w:pPr>
        <w:pStyle w:val="ListParagraph"/>
        <w:numPr>
          <w:ilvl w:val="0"/>
          <w:numId w:val="122"/>
        </w:numPr>
        <w:spacing w:after="160" w:line="259" w:lineRule="auto"/>
        <w:rPr>
          <w:noProof/>
        </w:rPr>
      </w:pPr>
      <w:r w:rsidRPr="00F5382B">
        <w:rPr>
          <w:b/>
          <w:bCs/>
          <w:noProof/>
        </w:rPr>
        <w:t>Supporting the implementation of the CRA:</w:t>
      </w:r>
    </w:p>
    <w:p w14:paraId="55CDC6F8" w14:textId="77777777" w:rsidR="00EE3DF9" w:rsidRPr="00F5382B" w:rsidRDefault="00EE3DF9" w:rsidP="00D52AD8">
      <w:pPr>
        <w:pStyle w:val="ListParagraph"/>
        <w:numPr>
          <w:ilvl w:val="1"/>
          <w:numId w:val="122"/>
        </w:numPr>
        <w:spacing w:after="160" w:line="259" w:lineRule="auto"/>
        <w:rPr>
          <w:noProof/>
          <w:lang w:val="en-IE"/>
        </w:rPr>
      </w:pPr>
      <w:r w:rsidRPr="000679E9">
        <w:rPr>
          <w:noProof/>
          <w:lang w:val="en-IE"/>
        </w:rPr>
        <w:t>technical guidance</w:t>
      </w:r>
      <w:r w:rsidRPr="00F5382B">
        <w:rPr>
          <w:noProof/>
          <w:lang w:val="en-IE"/>
        </w:rPr>
        <w:t>, product security expertise, market analysis</w:t>
      </w:r>
      <w:r w:rsidRPr="000679E9">
        <w:rPr>
          <w:noProof/>
          <w:lang w:val="en-IE"/>
        </w:rPr>
        <w:t xml:space="preserve">: </w:t>
      </w:r>
      <w:r w:rsidRPr="00F5382B">
        <w:rPr>
          <w:noProof/>
          <w:lang w:val="en-IE"/>
        </w:rPr>
        <w:t>8</w:t>
      </w:r>
      <w:r w:rsidRPr="000679E9">
        <w:rPr>
          <w:noProof/>
          <w:lang w:val="en-IE"/>
        </w:rPr>
        <w:t xml:space="preserve"> FTEs x 128 277 = EUR </w:t>
      </w:r>
      <w:r w:rsidRPr="00F5382B">
        <w:rPr>
          <w:noProof/>
          <w:lang w:val="en-IE"/>
        </w:rPr>
        <w:t>1 026 616</w:t>
      </w:r>
    </w:p>
    <w:p w14:paraId="5257044A" w14:textId="77777777" w:rsidR="00EE3DF9" w:rsidRPr="000679E9" w:rsidRDefault="00EE3DF9" w:rsidP="00D52AD8">
      <w:pPr>
        <w:pStyle w:val="ListParagraph"/>
        <w:numPr>
          <w:ilvl w:val="1"/>
          <w:numId w:val="122"/>
        </w:numPr>
        <w:spacing w:after="160" w:line="259" w:lineRule="auto"/>
        <w:rPr>
          <w:noProof/>
          <w:lang w:val="fr-BE"/>
        </w:rPr>
      </w:pPr>
      <w:r w:rsidRPr="00F5382B">
        <w:rPr>
          <w:noProof/>
          <w:lang w:val="fr-BE"/>
        </w:rPr>
        <w:t>standardisation: 5 FTEs x 128 277 = 641 385</w:t>
      </w:r>
    </w:p>
    <w:p w14:paraId="6F4C6FCF" w14:textId="77777777" w:rsidR="00EE3DF9" w:rsidRPr="00F5382B" w:rsidRDefault="00EE3DF9" w:rsidP="00D52AD8">
      <w:pPr>
        <w:pStyle w:val="ListParagraph"/>
        <w:numPr>
          <w:ilvl w:val="1"/>
          <w:numId w:val="122"/>
        </w:numPr>
        <w:spacing w:after="160" w:line="259" w:lineRule="auto"/>
        <w:rPr>
          <w:noProof/>
        </w:rPr>
      </w:pPr>
      <w:r w:rsidRPr="00F5382B">
        <w:rPr>
          <w:noProof/>
        </w:rPr>
        <w:t xml:space="preserve">supporting market surveillance activities: 5 FTEs x 128 277 = EUR </w:t>
      </w:r>
      <w:r w:rsidRPr="00F5382B">
        <w:rPr>
          <w:noProof/>
          <w:lang w:val="fr-BE"/>
        </w:rPr>
        <w:t>641 385</w:t>
      </w:r>
    </w:p>
    <w:p w14:paraId="626A4BBD" w14:textId="77777777" w:rsidR="00EE3DF9" w:rsidRPr="00F5382B" w:rsidRDefault="00EE3DF9" w:rsidP="00D52AD8">
      <w:pPr>
        <w:pStyle w:val="ListParagraph"/>
        <w:numPr>
          <w:ilvl w:val="1"/>
          <w:numId w:val="122"/>
        </w:numPr>
        <w:spacing w:after="160" w:line="259" w:lineRule="auto"/>
        <w:rPr>
          <w:noProof/>
        </w:rPr>
      </w:pPr>
      <w:r w:rsidRPr="00F5382B">
        <w:rPr>
          <w:noProof/>
        </w:rPr>
        <w:t>conformity assessment/testing and security evaluations: 4 FTEs x 128 277 = EUR 513 108</w:t>
      </w:r>
    </w:p>
    <w:p w14:paraId="22E86F19" w14:textId="77777777" w:rsidR="00EE3DF9" w:rsidRPr="00F5382B" w:rsidRDefault="00EE3DF9" w:rsidP="00D52AD8">
      <w:pPr>
        <w:pStyle w:val="ListParagraph"/>
        <w:numPr>
          <w:ilvl w:val="1"/>
          <w:numId w:val="122"/>
        </w:numPr>
        <w:spacing w:after="160" w:line="259" w:lineRule="auto"/>
        <w:rPr>
          <w:b/>
          <w:bCs/>
          <w:noProof/>
        </w:rPr>
      </w:pPr>
      <w:r w:rsidRPr="00F5382B">
        <w:rPr>
          <w:b/>
          <w:bCs/>
          <w:noProof/>
        </w:rPr>
        <w:t>Total: 22 FTEs =&gt; EUR 2 822 094</w:t>
      </w:r>
    </w:p>
    <w:p w14:paraId="49FAD8F7" w14:textId="77777777" w:rsidR="00EE3DF9" w:rsidRPr="00F5382B" w:rsidRDefault="00EE3DF9" w:rsidP="00D52AD8">
      <w:pPr>
        <w:pStyle w:val="ListParagraph"/>
        <w:numPr>
          <w:ilvl w:val="0"/>
          <w:numId w:val="122"/>
        </w:numPr>
        <w:spacing w:after="160" w:line="259" w:lineRule="auto"/>
        <w:rPr>
          <w:b/>
          <w:bCs/>
          <w:noProof/>
        </w:rPr>
      </w:pPr>
      <w:r w:rsidRPr="00F5382B">
        <w:rPr>
          <w:b/>
          <w:bCs/>
          <w:noProof/>
        </w:rPr>
        <w:t xml:space="preserve">Operational cooperation, situational awareness: </w:t>
      </w:r>
    </w:p>
    <w:p w14:paraId="37624F20" w14:textId="77777777" w:rsidR="00EE3DF9" w:rsidRPr="00F5382B" w:rsidRDefault="00EE3DF9" w:rsidP="00D52AD8">
      <w:pPr>
        <w:pStyle w:val="ListParagraph"/>
        <w:numPr>
          <w:ilvl w:val="1"/>
          <w:numId w:val="122"/>
        </w:numPr>
        <w:spacing w:after="160" w:line="259" w:lineRule="auto"/>
        <w:rPr>
          <w:b/>
          <w:bCs/>
          <w:noProof/>
        </w:rPr>
      </w:pPr>
      <w:r w:rsidRPr="00F5382B">
        <w:rPr>
          <w:noProof/>
        </w:rPr>
        <w:t>5 FTEs x 128 277 = EUR 641 385</w:t>
      </w:r>
    </w:p>
    <w:p w14:paraId="51825ED5" w14:textId="77777777" w:rsidR="00EE3DF9" w:rsidRPr="00F5382B" w:rsidRDefault="00EE3DF9" w:rsidP="00D52AD8">
      <w:pPr>
        <w:pStyle w:val="ListParagraph"/>
        <w:numPr>
          <w:ilvl w:val="1"/>
          <w:numId w:val="122"/>
        </w:numPr>
        <w:spacing w:after="160" w:line="259" w:lineRule="auto"/>
        <w:rPr>
          <w:b/>
          <w:bCs/>
          <w:noProof/>
        </w:rPr>
      </w:pPr>
      <w:r w:rsidRPr="00F5382B">
        <w:rPr>
          <w:noProof/>
        </w:rPr>
        <w:t>40 national liaison officers x EUR 150 daily allowance x 20 days x 12 months = EUR 1 440 000</w:t>
      </w:r>
    </w:p>
    <w:p w14:paraId="117CF3EA" w14:textId="77777777" w:rsidR="00EE3DF9" w:rsidRPr="000679E9" w:rsidRDefault="00EE3DF9" w:rsidP="00D52AD8">
      <w:pPr>
        <w:pStyle w:val="ListParagraph"/>
        <w:numPr>
          <w:ilvl w:val="0"/>
          <w:numId w:val="122"/>
        </w:numPr>
        <w:spacing w:after="160" w:line="259" w:lineRule="auto"/>
        <w:rPr>
          <w:noProof/>
          <w:lang w:val="fr-BE"/>
        </w:rPr>
      </w:pPr>
      <w:r w:rsidRPr="000679E9">
        <w:rPr>
          <w:b/>
          <w:noProof/>
          <w:lang w:val="fr-BE"/>
        </w:rPr>
        <w:t xml:space="preserve">Support/admin functions: </w:t>
      </w:r>
      <w:r w:rsidRPr="00F5382B">
        <w:rPr>
          <w:noProof/>
          <w:lang w:val="fr-BE"/>
        </w:rPr>
        <w:t>10</w:t>
      </w:r>
      <w:r w:rsidRPr="000679E9">
        <w:rPr>
          <w:noProof/>
          <w:lang w:val="fr-BE"/>
        </w:rPr>
        <w:t xml:space="preserve"> FTEs x 128 277 = EUR </w:t>
      </w:r>
      <w:r w:rsidRPr="00F5382B">
        <w:rPr>
          <w:noProof/>
          <w:lang w:val="fr-BE"/>
        </w:rPr>
        <w:t>1 282 770</w:t>
      </w:r>
    </w:p>
    <w:p w14:paraId="01A60605" w14:textId="77777777" w:rsidR="00EE3DF9" w:rsidRPr="000679E9" w:rsidRDefault="00EE3DF9" w:rsidP="00EE3DF9">
      <w:pPr>
        <w:spacing w:after="0"/>
        <w:rPr>
          <w:b/>
          <w:bCs/>
          <w:noProof/>
        </w:rPr>
      </w:pPr>
      <w:r w:rsidRPr="000679E9">
        <w:rPr>
          <w:b/>
          <w:bCs/>
          <w:noProof/>
        </w:rPr>
        <w:t>TOTAL costs</w:t>
      </w:r>
      <w:r w:rsidRPr="00F5382B">
        <w:rPr>
          <w:b/>
          <w:bCs/>
          <w:noProof/>
        </w:rPr>
        <w:t xml:space="preserve"> related to 102 FTEs and 40 NLOs</w:t>
      </w:r>
      <w:r w:rsidRPr="000679E9">
        <w:rPr>
          <w:b/>
          <w:bCs/>
          <w:noProof/>
        </w:rPr>
        <w:t xml:space="preserve">: EUR </w:t>
      </w:r>
      <w:r w:rsidRPr="00F5382B">
        <w:rPr>
          <w:b/>
          <w:bCs/>
          <w:noProof/>
        </w:rPr>
        <w:t>14 </w:t>
      </w:r>
      <w:r w:rsidRPr="00130A80">
        <w:rPr>
          <w:b/>
          <w:bCs/>
          <w:noProof/>
          <w:lang w:val="en-IE"/>
        </w:rPr>
        <w:t>524 </w:t>
      </w:r>
      <w:r w:rsidRPr="00F5382B">
        <w:rPr>
          <w:b/>
          <w:bCs/>
          <w:noProof/>
          <w:lang w:val="ro-RO"/>
        </w:rPr>
        <w:t>254</w:t>
      </w:r>
      <w:r w:rsidRPr="000679E9">
        <w:rPr>
          <w:b/>
          <w:bCs/>
          <w:noProof/>
        </w:rPr>
        <w:t xml:space="preserve"> per year (recurring costs), which amounts to EUR </w:t>
      </w:r>
      <w:r w:rsidRPr="00F5382B">
        <w:rPr>
          <w:b/>
          <w:bCs/>
          <w:noProof/>
        </w:rPr>
        <w:t>72 621 270</w:t>
      </w:r>
      <w:r w:rsidRPr="000679E9">
        <w:rPr>
          <w:b/>
          <w:bCs/>
          <w:noProof/>
        </w:rPr>
        <w:t xml:space="preserve"> over 5 years</w:t>
      </w:r>
    </w:p>
    <w:p w14:paraId="59418F29" w14:textId="77777777" w:rsidR="00EE3DF9" w:rsidRPr="00F5382B" w:rsidRDefault="00EE3DF9" w:rsidP="00EE3DF9">
      <w:pPr>
        <w:pStyle w:val="ListParagraph"/>
        <w:spacing w:after="0"/>
        <w:rPr>
          <w:noProof/>
        </w:rPr>
      </w:pPr>
    </w:p>
    <w:p w14:paraId="431DEB37" w14:textId="77777777" w:rsidR="00EE3DF9" w:rsidRPr="00F5382B" w:rsidRDefault="00EE3DF9" w:rsidP="00EE3DF9">
      <w:pPr>
        <w:pStyle w:val="Heading4"/>
        <w:numPr>
          <w:ilvl w:val="4"/>
          <w:numId w:val="3"/>
        </w:numPr>
        <w:rPr>
          <w:noProof/>
        </w:rPr>
      </w:pPr>
      <w:bookmarkStart w:id="279" w:name="_Toc210934633"/>
      <w:bookmarkStart w:id="280" w:name="_Toc210939817"/>
      <w:r w:rsidRPr="00F5382B">
        <w:rPr>
          <w:noProof/>
        </w:rPr>
        <w:t>Other costs under preferred option (A.2)</w:t>
      </w:r>
      <w:bookmarkEnd w:id="279"/>
      <w:bookmarkEnd w:id="280"/>
      <w:r w:rsidRPr="00F5382B">
        <w:rPr>
          <w:noProof/>
        </w:rPr>
        <w:t xml:space="preserve"> – not related to FTEs and NLOs</w:t>
      </w:r>
    </w:p>
    <w:p w14:paraId="6DD581AE" w14:textId="77777777" w:rsidR="00EE3DF9" w:rsidRPr="00F5382B" w:rsidRDefault="00EE3DF9" w:rsidP="00EE3DF9">
      <w:pPr>
        <w:rPr>
          <w:b/>
          <w:bCs/>
          <w:i/>
          <w:iCs/>
          <w:noProof/>
        </w:rPr>
      </w:pPr>
      <w:r w:rsidRPr="00F5382B">
        <w:rPr>
          <w:b/>
          <w:bCs/>
          <w:i/>
          <w:iCs/>
          <w:noProof/>
        </w:rPr>
        <w:t>CVD database</w:t>
      </w:r>
    </w:p>
    <w:p w14:paraId="32DCF536" w14:textId="77777777" w:rsidR="00EE3DF9" w:rsidRPr="000679E9" w:rsidRDefault="00EE3DF9" w:rsidP="00EE3DF9">
      <w:pPr>
        <w:rPr>
          <w:noProof/>
        </w:rPr>
      </w:pPr>
      <w:r w:rsidRPr="000679E9">
        <w:rPr>
          <w:noProof/>
        </w:rPr>
        <w:t>For setting up and operating the CVD database an annual  EUR 1 000 000 recurring costs are estimated (i.e. 5 000 000 over 5 years).</w:t>
      </w:r>
    </w:p>
    <w:p w14:paraId="61B7DBFA" w14:textId="77777777" w:rsidR="00EE3DF9" w:rsidRPr="00F5382B" w:rsidRDefault="00EE3DF9" w:rsidP="00EE3DF9">
      <w:pPr>
        <w:rPr>
          <w:b/>
          <w:bCs/>
          <w:i/>
          <w:iCs/>
          <w:noProof/>
        </w:rPr>
      </w:pPr>
      <w:r w:rsidRPr="00F5382B">
        <w:rPr>
          <w:b/>
          <w:bCs/>
          <w:i/>
          <w:iCs/>
          <w:noProof/>
        </w:rPr>
        <w:t xml:space="preserve">CRA platform </w:t>
      </w:r>
    </w:p>
    <w:p w14:paraId="657EEAF9" w14:textId="77777777" w:rsidR="00EE3DF9" w:rsidRPr="00F5382B" w:rsidRDefault="00EE3DF9" w:rsidP="00EE3DF9">
      <w:pPr>
        <w:rPr>
          <w:noProof/>
          <w:lang w:val="en-IE"/>
        </w:rPr>
      </w:pPr>
      <w:r w:rsidRPr="00F5382B">
        <w:rPr>
          <w:noProof/>
          <w:lang w:val="en-IE"/>
        </w:rPr>
        <w:t xml:space="preserve">For the CRA single reporting platform and depending on the final architecture of the CRA platform (including possible extensions with the single entry point), maintenance costs could amount yearly for up to </w:t>
      </w:r>
      <w:r w:rsidRPr="211C3D34">
        <w:rPr>
          <w:noProof/>
          <w:lang w:val="en-IE"/>
        </w:rPr>
        <w:t>EUR 2M recurring costs</w:t>
      </w:r>
      <w:r w:rsidRPr="00F5382B">
        <w:rPr>
          <w:b/>
          <w:bCs/>
          <w:noProof/>
          <w:lang w:val="en-IE"/>
        </w:rPr>
        <w:t xml:space="preserve"> </w:t>
      </w:r>
      <w:r w:rsidRPr="00F5382B">
        <w:rPr>
          <w:noProof/>
          <w:lang w:val="en-IE"/>
        </w:rPr>
        <w:t>(</w:t>
      </w:r>
      <w:r w:rsidRPr="211C3D34">
        <w:rPr>
          <w:b/>
          <w:bCs/>
          <w:noProof/>
          <w:lang w:val="en-IE"/>
        </w:rPr>
        <w:t>total of EUR 10M over 5 years</w:t>
      </w:r>
      <w:r w:rsidRPr="00F5382B">
        <w:rPr>
          <w:noProof/>
          <w:lang w:val="en-IE"/>
        </w:rPr>
        <w:t xml:space="preserve">). The current procurements for the establishment is of </w:t>
      </w:r>
      <w:r w:rsidRPr="00F5382B">
        <w:rPr>
          <w:noProof/>
        </w:rPr>
        <w:t>EUR 12 million</w:t>
      </w:r>
      <w:r w:rsidRPr="00F5382B">
        <w:rPr>
          <w:rStyle w:val="FootnoteReference"/>
          <w:noProof/>
        </w:rPr>
        <w:footnoteReference w:id="202"/>
      </w:r>
      <w:r w:rsidRPr="00F5382B">
        <w:rPr>
          <w:noProof/>
        </w:rPr>
        <w:t xml:space="preserve">. </w:t>
      </w:r>
      <w:r w:rsidRPr="00F5382B">
        <w:rPr>
          <w:noProof/>
          <w:lang w:val="en-IE"/>
        </w:rPr>
        <w:t>The estimates consider that additional values are covered by contribution agreements to cover the operation and maintenance of the platform, that will need to be replaced by FTEs.</w:t>
      </w:r>
    </w:p>
    <w:p w14:paraId="5109348A" w14:textId="77777777" w:rsidR="00EE3DF9" w:rsidRPr="00F5382B" w:rsidRDefault="00EE3DF9" w:rsidP="00EE3DF9">
      <w:pPr>
        <w:rPr>
          <w:b/>
          <w:bCs/>
          <w:i/>
          <w:iCs/>
          <w:noProof/>
        </w:rPr>
      </w:pPr>
      <w:r w:rsidRPr="00F5382B">
        <w:rPr>
          <w:b/>
          <w:bCs/>
          <w:i/>
          <w:iCs/>
          <w:noProof/>
        </w:rPr>
        <w:t xml:space="preserve">CRA implementation </w:t>
      </w:r>
    </w:p>
    <w:p w14:paraId="6931630E" w14:textId="77777777" w:rsidR="00EE3DF9" w:rsidRPr="00F5382B" w:rsidRDefault="00EE3DF9" w:rsidP="00EE3DF9">
      <w:pPr>
        <w:rPr>
          <w:noProof/>
          <w:lang w:val="en-IE"/>
        </w:rPr>
      </w:pPr>
      <w:r w:rsidRPr="00F5382B">
        <w:rPr>
          <w:noProof/>
          <w:lang w:val="en-IE"/>
        </w:rPr>
        <w:t>The CRA implementation requires as well a yearly recurring cost of EUR 2M (i.e. EUR 10M over 5 years).</w:t>
      </w:r>
    </w:p>
    <w:p w14:paraId="26B1F085" w14:textId="77777777" w:rsidR="00EE3DF9" w:rsidRPr="00F5382B" w:rsidRDefault="00EE3DF9" w:rsidP="00EE3DF9">
      <w:pPr>
        <w:rPr>
          <w:b/>
          <w:bCs/>
          <w:i/>
          <w:iCs/>
          <w:noProof/>
        </w:rPr>
      </w:pPr>
      <w:r w:rsidRPr="00F5382B">
        <w:rPr>
          <w:b/>
          <w:bCs/>
          <w:i/>
          <w:iCs/>
          <w:noProof/>
        </w:rPr>
        <w:t>Extension of single reporting platform with the single entry point</w:t>
      </w:r>
    </w:p>
    <w:p w14:paraId="1364EF64" w14:textId="77777777" w:rsidR="00EE3DF9" w:rsidRPr="00F5382B" w:rsidRDefault="00EE3DF9" w:rsidP="00EE3DF9">
      <w:pPr>
        <w:rPr>
          <w:noProof/>
          <w:lang w:val="en-US"/>
        </w:rPr>
      </w:pPr>
      <w:r w:rsidRPr="00F5382B">
        <w:rPr>
          <w:noProof/>
          <w:lang w:val="en-US"/>
        </w:rPr>
        <w:t xml:space="preserve">The following costs would be covered by a </w:t>
      </w:r>
      <w:r w:rsidRPr="000679E9">
        <w:rPr>
          <w:b/>
          <w:noProof/>
          <w:lang w:val="en-US"/>
        </w:rPr>
        <w:t>one-off cost of</w:t>
      </w:r>
      <w:r w:rsidRPr="00F5382B">
        <w:rPr>
          <w:noProof/>
          <w:lang w:val="en-US"/>
        </w:rPr>
        <w:t xml:space="preserve">  </w:t>
      </w:r>
      <w:r w:rsidRPr="00F5382B">
        <w:rPr>
          <w:b/>
          <w:bCs/>
          <w:noProof/>
          <w:lang w:val="en-US"/>
        </w:rPr>
        <w:t>6 million EUR</w:t>
      </w:r>
      <w:r w:rsidRPr="00F5382B">
        <w:rPr>
          <w:noProof/>
          <w:lang w:val="en-US"/>
        </w:rPr>
        <w:t xml:space="preserve">, which would be used for studying specific requirements related to the legislative act and translation of specific requirements into architectural design, evaluation of system integration with existing platform, development of specific workflows and templates, acquisition of necessary hardware, software and licenses, user interface design, deployment and testing, security assurance, mission and outreach costs. </w:t>
      </w:r>
    </w:p>
    <w:p w14:paraId="22409756" w14:textId="77777777" w:rsidR="00EE3DF9" w:rsidRPr="00F5382B" w:rsidRDefault="00EE3DF9" w:rsidP="00EE3DF9">
      <w:pPr>
        <w:rPr>
          <w:b/>
          <w:bCs/>
          <w:noProof/>
          <w:lang w:val="en-US"/>
        </w:rPr>
      </w:pPr>
      <w:r w:rsidRPr="00F5382B">
        <w:rPr>
          <w:noProof/>
        </w:rPr>
        <w:t>In addition, operational expenses are estimated to be around</w:t>
      </w:r>
      <w:r w:rsidRPr="00F5382B">
        <w:rPr>
          <w:noProof/>
          <w:lang w:val="en-US"/>
        </w:rPr>
        <w:t xml:space="preserve"> EUR 500 000 per newly added legislation (one-off costs) for the extension. The assumption is that at least four legislations would be added in the next five years, amounting to a total of </w:t>
      </w:r>
      <w:r w:rsidRPr="00F5382B">
        <w:rPr>
          <w:b/>
          <w:bCs/>
          <w:noProof/>
          <w:lang w:val="en-US"/>
        </w:rPr>
        <w:t>EUR</w:t>
      </w:r>
      <w:r w:rsidRPr="00F5382B">
        <w:rPr>
          <w:noProof/>
          <w:lang w:val="en-US"/>
        </w:rPr>
        <w:t xml:space="preserve"> </w:t>
      </w:r>
      <w:r w:rsidRPr="00F5382B">
        <w:rPr>
          <w:b/>
          <w:bCs/>
          <w:noProof/>
          <w:lang w:val="en-US"/>
        </w:rPr>
        <w:t>2 million (one-off costs).</w:t>
      </w:r>
    </w:p>
    <w:p w14:paraId="22FA8713" w14:textId="77777777" w:rsidR="00EE3DF9" w:rsidRPr="00F5382B" w:rsidRDefault="00EE3DF9" w:rsidP="00EE3DF9">
      <w:pPr>
        <w:rPr>
          <w:b/>
          <w:bCs/>
          <w:i/>
          <w:iCs/>
          <w:noProof/>
        </w:rPr>
      </w:pPr>
      <w:r w:rsidRPr="00F5382B">
        <w:rPr>
          <w:b/>
          <w:bCs/>
          <w:i/>
          <w:iCs/>
          <w:noProof/>
        </w:rPr>
        <w:t>Procuring CTI services</w:t>
      </w:r>
    </w:p>
    <w:p w14:paraId="001CACA9" w14:textId="77777777" w:rsidR="00EE3DF9" w:rsidRPr="00F5382B" w:rsidRDefault="00EE3DF9" w:rsidP="00EE3DF9">
      <w:pPr>
        <w:rPr>
          <w:noProof/>
        </w:rPr>
      </w:pPr>
      <w:r w:rsidRPr="00F5382B">
        <w:rPr>
          <w:noProof/>
        </w:rPr>
        <w:t xml:space="preserve">The costs related to procuring cyber threat intelligence would amount to approximately EUR 4 000 000 per year, i.e. to </w:t>
      </w:r>
      <w:r w:rsidRPr="00F5382B">
        <w:rPr>
          <w:b/>
          <w:noProof/>
        </w:rPr>
        <w:t>EUR 20 million over 5 years</w:t>
      </w:r>
      <w:r w:rsidRPr="00F5382B">
        <w:rPr>
          <w:noProof/>
        </w:rPr>
        <w:t xml:space="preserve">.  See for reference: Service to Support the Cyber Situation and Analysis Centre for the European Commission </w:t>
      </w:r>
      <w:hyperlink r:id="rId54" w:history="1">
        <w:r w:rsidRPr="00F5382B">
          <w:rPr>
            <w:rStyle w:val="Hyperlink"/>
            <w:noProof/>
          </w:rPr>
          <w:t>https://ted.europa.eu/en/notice/-/detail/18139-2023</w:t>
        </w:r>
      </w:hyperlink>
      <w:r w:rsidRPr="00F5382B">
        <w:rPr>
          <w:noProof/>
        </w:rPr>
        <w:t xml:space="preserve">. </w:t>
      </w:r>
    </w:p>
    <w:p w14:paraId="6718912E" w14:textId="77777777" w:rsidR="00EE3DF9" w:rsidRPr="00F5382B" w:rsidRDefault="00EE3DF9" w:rsidP="00EE3DF9">
      <w:pPr>
        <w:rPr>
          <w:b/>
          <w:bCs/>
          <w:i/>
          <w:iCs/>
          <w:noProof/>
        </w:rPr>
      </w:pPr>
      <w:r w:rsidRPr="00F5382B">
        <w:rPr>
          <w:b/>
          <w:bCs/>
          <w:i/>
          <w:iCs/>
          <w:noProof/>
        </w:rPr>
        <w:t>European individual cybersecurity skills attestation schemes</w:t>
      </w:r>
    </w:p>
    <w:p w14:paraId="34867DFC" w14:textId="77777777" w:rsidR="00EE3DF9" w:rsidRPr="00F5382B" w:rsidRDefault="00EE3DF9" w:rsidP="00EE3DF9">
      <w:pPr>
        <w:rPr>
          <w:noProof/>
        </w:rPr>
      </w:pPr>
      <w:r w:rsidRPr="00F5382B">
        <w:rPr>
          <w:noProof/>
        </w:rPr>
        <w:t xml:space="preserve">Operational costs would need to support ENISA’s activities related to the European skills attestation schemes. First, there would be a </w:t>
      </w:r>
      <w:r w:rsidRPr="00F5382B">
        <w:rPr>
          <w:b/>
          <w:bCs/>
          <w:noProof/>
        </w:rPr>
        <w:t>one-off cost of EUR 1 million to design, develop, and penetration-test a secure website for running the mechanism</w:t>
      </w:r>
      <w:r w:rsidRPr="00F5382B">
        <w:rPr>
          <w:rStyle w:val="FootnoteReference"/>
          <w:b/>
          <w:bCs/>
          <w:noProof/>
        </w:rPr>
        <w:footnoteReference w:id="203"/>
      </w:r>
      <w:r w:rsidRPr="00F5382B">
        <w:rPr>
          <w:b/>
          <w:bCs/>
          <w:noProof/>
        </w:rPr>
        <w:t>.</w:t>
      </w:r>
    </w:p>
    <w:p w14:paraId="269C0078" w14:textId="77777777" w:rsidR="00EE3DF9" w:rsidRPr="00F5382B" w:rsidRDefault="00EE3DF9" w:rsidP="00EE3DF9">
      <w:pPr>
        <w:spacing w:after="160" w:line="259" w:lineRule="auto"/>
        <w:rPr>
          <w:bCs/>
          <w:noProof/>
          <w:lang w:val="en-US"/>
        </w:rPr>
      </w:pPr>
      <w:r w:rsidRPr="00F5382B">
        <w:rPr>
          <w:bCs/>
          <w:noProof/>
          <w:lang w:val="en-IE"/>
        </w:rPr>
        <w:t xml:space="preserve">Second, further compliance </w:t>
      </w:r>
      <w:r w:rsidRPr="00F5382B">
        <w:rPr>
          <w:bCs/>
          <w:noProof/>
          <w:lang w:val="en-US"/>
        </w:rPr>
        <w:t xml:space="preserve">costs would exist and need to be borne by EU budget during the first three years and shared between EU budget and fees during the two-year transition period. Such costs would cover activities related to the </w:t>
      </w:r>
      <w:r w:rsidRPr="00F5382B">
        <w:rPr>
          <w:b/>
          <w:noProof/>
          <w:lang w:val="en-US"/>
        </w:rPr>
        <w:t xml:space="preserve">development and maintenance of schemes, </w:t>
      </w:r>
      <w:r w:rsidRPr="00F5382B">
        <w:rPr>
          <w:bCs/>
          <w:noProof/>
          <w:lang w:val="en-US"/>
        </w:rPr>
        <w:t xml:space="preserve">including expenses of members of an ad hoc working group that would support ENISA in developing the schemes (reimbursement of expenses and payment of rapporteurs), missions to audit on-site providers, and training of assessors to ensure homogenous application of the schemes. It can be estimated that the total compliance costs would amount to costs of </w:t>
      </w:r>
      <w:r w:rsidRPr="00F5382B">
        <w:rPr>
          <w:b/>
          <w:noProof/>
          <w:lang w:val="en-US"/>
        </w:rPr>
        <w:t>EUR 1,064,600 over 5 years, i.e. EUR 212 920 per year (recurring costs)</w:t>
      </w:r>
      <w:r w:rsidRPr="00F5382B">
        <w:rPr>
          <w:bCs/>
          <w:noProof/>
          <w:lang w:val="en-US"/>
        </w:rPr>
        <w:t>, by applying the following estimations: the ad hoc working group would cost EUR 800,000, training of two assessors per Member State would amount to EUR 129,600 and auditing one entity per Member State would amount to EUR 135,000.</w:t>
      </w:r>
    </w:p>
    <w:p w14:paraId="49CABFDA" w14:textId="77777777" w:rsidR="00EE3DF9" w:rsidRPr="00F5382B" w:rsidRDefault="00EE3DF9" w:rsidP="00EE3DF9">
      <w:pPr>
        <w:spacing w:after="160" w:line="259" w:lineRule="auto"/>
        <w:rPr>
          <w:bCs/>
          <w:noProof/>
          <w:lang w:val="en-US"/>
        </w:rPr>
      </w:pPr>
      <w:r w:rsidRPr="00F5382B">
        <w:rPr>
          <w:bCs/>
          <w:noProof/>
          <w:lang w:val="en-US"/>
        </w:rPr>
        <w:t>In more details:</w:t>
      </w:r>
    </w:p>
    <w:p w14:paraId="022EFA3F" w14:textId="77777777" w:rsidR="00EE3DF9" w:rsidRPr="00F5382B" w:rsidRDefault="00EE3DF9" w:rsidP="00D52AD8">
      <w:pPr>
        <w:numPr>
          <w:ilvl w:val="0"/>
          <w:numId w:val="134"/>
        </w:numPr>
        <w:spacing w:after="160" w:line="259" w:lineRule="auto"/>
        <w:rPr>
          <w:bCs/>
          <w:noProof/>
          <w:lang w:val="en-US"/>
        </w:rPr>
      </w:pPr>
      <w:r w:rsidRPr="00F5382B">
        <w:rPr>
          <w:b/>
          <w:noProof/>
          <w:lang w:val="en-US"/>
        </w:rPr>
        <w:t>Costs of training assessors</w:t>
      </w:r>
      <w:r w:rsidRPr="00F5382B">
        <w:rPr>
          <w:bCs/>
          <w:noProof/>
          <w:lang w:val="en-US"/>
        </w:rPr>
        <w:t xml:space="preserve"> (on top of FTEs already included): it can be estimated that an additional EUR </w:t>
      </w:r>
      <w:r w:rsidRPr="00F5382B">
        <w:rPr>
          <w:bCs/>
          <w:noProof/>
          <w:lang w:val="en-IE"/>
        </w:rPr>
        <w:t xml:space="preserve">129,600 would be needed. </w:t>
      </w:r>
      <w:r w:rsidRPr="00F5382B">
        <w:rPr>
          <w:bCs/>
          <w:noProof/>
          <w:lang w:val="en-US"/>
        </w:rPr>
        <w:t xml:space="preserve">This estimation is based on analogy with UK courses to train </w:t>
      </w:r>
      <w:r w:rsidRPr="00F5382B">
        <w:rPr>
          <w:bCs/>
          <w:noProof/>
          <w:lang w:val="en-IE"/>
        </w:rPr>
        <w:t>Cyber Essentials Assessor, IASME Cyber Assurance Assessor or Cyber Essentials PLUS Assessor, for which we could estimate that the costs would be similar, amount to GBP 500 + VAT.</w:t>
      </w:r>
    </w:p>
    <w:p w14:paraId="5F42F383" w14:textId="77777777" w:rsidR="00EE3DF9" w:rsidRPr="00F5382B" w:rsidRDefault="00EE3DF9" w:rsidP="00EE3DF9">
      <w:pPr>
        <w:spacing w:after="160" w:line="259" w:lineRule="auto"/>
        <w:rPr>
          <w:bCs/>
          <w:noProof/>
          <w:lang w:val="en-IE"/>
        </w:rPr>
      </w:pPr>
      <w:r w:rsidRPr="00F5382B">
        <w:rPr>
          <w:bCs/>
          <w:noProof/>
          <w:lang w:val="en-IE"/>
        </w:rPr>
        <w:t>Calculations:</w:t>
      </w:r>
    </w:p>
    <w:p w14:paraId="2684E460" w14:textId="77777777" w:rsidR="00EE3DF9" w:rsidRPr="00F5382B" w:rsidRDefault="00EE3DF9" w:rsidP="00D52AD8">
      <w:pPr>
        <w:numPr>
          <w:ilvl w:val="0"/>
          <w:numId w:val="135"/>
        </w:numPr>
        <w:spacing w:after="160" w:line="259" w:lineRule="auto"/>
        <w:rPr>
          <w:bCs/>
          <w:noProof/>
          <w:lang w:val="en-IE"/>
        </w:rPr>
      </w:pPr>
      <w:r w:rsidRPr="00F5382B">
        <w:rPr>
          <w:bCs/>
          <w:noProof/>
          <w:lang w:val="en-IE"/>
        </w:rPr>
        <w:t>500 + (0.2x500)  = 600 (</w:t>
      </w:r>
      <w:hyperlink r:id="rId55" w:history="1">
        <w:r w:rsidRPr="00F5382B">
          <w:rPr>
            <w:rStyle w:val="Hyperlink"/>
            <w:bCs/>
            <w:noProof/>
            <w:lang w:val="en-US"/>
          </w:rPr>
          <w:t>Course Details and Certification Body Requirements v6</w:t>
        </w:r>
      </w:hyperlink>
      <w:r w:rsidRPr="00F5382B">
        <w:rPr>
          <w:bCs/>
          <w:noProof/>
          <w:lang w:val="en-IE"/>
        </w:rPr>
        <w:t xml:space="preserve">). To implement the first scheme, we could estimate 2 assessors per Member State. </w:t>
      </w:r>
    </w:p>
    <w:p w14:paraId="533A040D" w14:textId="77777777" w:rsidR="00EE3DF9" w:rsidRPr="00F5382B" w:rsidRDefault="00EE3DF9" w:rsidP="00D52AD8">
      <w:pPr>
        <w:numPr>
          <w:ilvl w:val="0"/>
          <w:numId w:val="135"/>
        </w:numPr>
        <w:spacing w:after="160" w:line="259" w:lineRule="auto"/>
        <w:rPr>
          <w:bCs/>
          <w:noProof/>
          <w:lang w:val="en-IE"/>
        </w:rPr>
      </w:pPr>
      <w:r w:rsidRPr="00F5382B">
        <w:rPr>
          <w:bCs/>
          <w:noProof/>
          <w:lang w:val="en-IE"/>
        </w:rPr>
        <w:t>600x27x2 = 32,400</w:t>
      </w:r>
    </w:p>
    <w:p w14:paraId="73BA4401" w14:textId="77777777" w:rsidR="00EE3DF9" w:rsidRPr="00F5382B" w:rsidRDefault="00EE3DF9" w:rsidP="00D52AD8">
      <w:pPr>
        <w:numPr>
          <w:ilvl w:val="0"/>
          <w:numId w:val="135"/>
        </w:numPr>
        <w:spacing w:after="160" w:line="259" w:lineRule="auto"/>
        <w:rPr>
          <w:bCs/>
          <w:noProof/>
          <w:lang w:val="en-IE"/>
        </w:rPr>
      </w:pPr>
      <w:r w:rsidRPr="00F5382B">
        <w:rPr>
          <w:bCs/>
          <w:noProof/>
          <w:lang w:val="en-IE"/>
        </w:rPr>
        <w:t>32,400x3 (first three years being fully EU budget) (97200) + (32,400/2)x2 (two year transition period being co-funded with the fees)= 129,600</w:t>
      </w:r>
    </w:p>
    <w:p w14:paraId="4BCFE009" w14:textId="77777777" w:rsidR="00EE3DF9" w:rsidRPr="00F5382B" w:rsidRDefault="00EE3DF9" w:rsidP="00D52AD8">
      <w:pPr>
        <w:numPr>
          <w:ilvl w:val="0"/>
          <w:numId w:val="134"/>
        </w:numPr>
        <w:spacing w:after="160" w:line="259" w:lineRule="auto"/>
        <w:rPr>
          <w:bCs/>
          <w:noProof/>
          <w:lang w:val="en-US"/>
        </w:rPr>
      </w:pPr>
      <w:r w:rsidRPr="00F5382B">
        <w:rPr>
          <w:b/>
          <w:noProof/>
          <w:lang w:val="en-IE"/>
        </w:rPr>
        <w:t>C</w:t>
      </w:r>
      <w:r w:rsidRPr="00F5382B">
        <w:rPr>
          <w:b/>
          <w:noProof/>
          <w:lang w:val="en-US"/>
        </w:rPr>
        <w:t>ost of an onsite audit</w:t>
      </w:r>
      <w:r w:rsidRPr="00F5382B">
        <w:rPr>
          <w:bCs/>
          <w:noProof/>
          <w:lang w:val="en-US"/>
        </w:rPr>
        <w:t xml:space="preserve">: Using as a point of reference audits for ISO/IEC 17024 accreditation – for providers that want to conduct exams and certify individuals – , such accreditation can vary depending on the accrediting body, scope of certification, and location. Organisations such as the International Accreditation Service or ANAB (US), COFRAC (FR), DakkS (DE) do not publicly list their prices. The cost therefore needs to be derived with supposition based on available information: considering that an on-site audit for ISO/IEC 17024 could be considerably cheaper than an organisational audit under ISO 27001 (estimated EUR 30,000, see section 4.2) and that, in this case, the audit would not cover all elements of the accreditation package, it could be estimated that on-site audits would represent a </w:t>
      </w:r>
      <w:r w:rsidRPr="00F5382B">
        <w:rPr>
          <w:b/>
          <w:noProof/>
          <w:lang w:val="en-US"/>
        </w:rPr>
        <w:t>one-off cost of EUR 5,000</w:t>
      </w:r>
      <w:r w:rsidRPr="00F5382B">
        <w:rPr>
          <w:bCs/>
          <w:noProof/>
          <w:lang w:val="en-US"/>
        </w:rPr>
        <w:t xml:space="preserve"> (covering the review of documentation, on-site audit and post audit report). Should ENISA audit </w:t>
      </w:r>
      <w:r w:rsidRPr="00F5382B">
        <w:rPr>
          <w:b/>
          <w:noProof/>
          <w:lang w:val="en-US"/>
        </w:rPr>
        <w:t>one entity per Member State during the first five years</w:t>
      </w:r>
      <w:r w:rsidRPr="00F5382B">
        <w:rPr>
          <w:bCs/>
          <w:noProof/>
          <w:lang w:val="en-US"/>
        </w:rPr>
        <w:t>, this would amount to 5,000x27=  EUR 135,000</w:t>
      </w:r>
    </w:p>
    <w:p w14:paraId="00D294E9" w14:textId="77777777" w:rsidR="00EE3DF9" w:rsidRPr="00F5382B" w:rsidRDefault="00EE3DF9" w:rsidP="00D52AD8">
      <w:pPr>
        <w:numPr>
          <w:ilvl w:val="0"/>
          <w:numId w:val="134"/>
        </w:numPr>
        <w:spacing w:after="160" w:line="259" w:lineRule="auto"/>
        <w:rPr>
          <w:bCs/>
          <w:noProof/>
          <w:lang w:val="en-IE"/>
        </w:rPr>
      </w:pPr>
      <w:r w:rsidRPr="00F5382B">
        <w:rPr>
          <w:b/>
          <w:noProof/>
          <w:lang w:val="en-IE"/>
        </w:rPr>
        <w:t>Cost of ad hoc working group:</w:t>
      </w:r>
      <w:r w:rsidRPr="00F5382B">
        <w:rPr>
          <w:bCs/>
          <w:noProof/>
          <w:lang w:val="en-IE"/>
        </w:rPr>
        <w:t xml:space="preserve"> ENISA estimates the yearly cost of the AHWG to amount to EUR 200,000.</w:t>
      </w:r>
    </w:p>
    <w:p w14:paraId="29A767BE" w14:textId="77777777" w:rsidR="00EE3DF9" w:rsidRPr="00F5382B" w:rsidRDefault="00EE3DF9" w:rsidP="00EE3DF9">
      <w:pPr>
        <w:keepNext/>
        <w:spacing w:after="160" w:line="259" w:lineRule="auto"/>
        <w:rPr>
          <w:bCs/>
          <w:noProof/>
          <w:lang w:val="en-IE"/>
        </w:rPr>
      </w:pPr>
      <w:r w:rsidRPr="00F5382B">
        <w:rPr>
          <w:bCs/>
          <w:noProof/>
          <w:lang w:val="en-IE"/>
        </w:rPr>
        <w:t>Calculations:</w:t>
      </w:r>
    </w:p>
    <w:p w14:paraId="1643A73D" w14:textId="77777777" w:rsidR="00EE3DF9" w:rsidRPr="00F5382B" w:rsidRDefault="00EE3DF9" w:rsidP="00D52AD8">
      <w:pPr>
        <w:numPr>
          <w:ilvl w:val="0"/>
          <w:numId w:val="135"/>
        </w:numPr>
        <w:spacing w:after="160" w:line="259" w:lineRule="auto"/>
        <w:rPr>
          <w:bCs/>
          <w:noProof/>
          <w:lang w:val="en-IE"/>
        </w:rPr>
      </w:pPr>
      <w:r w:rsidRPr="00F5382B">
        <w:rPr>
          <w:bCs/>
          <w:noProof/>
          <w:lang w:val="en-IE"/>
        </w:rPr>
        <w:t>AHWG: 200,000x3 (first three years being fully EU budget) + (200,000/2) x2  (two year transition period being co-funded with the fees)= 800,000</w:t>
      </w:r>
    </w:p>
    <w:p w14:paraId="3C738B84" w14:textId="77777777" w:rsidR="00EE3DF9" w:rsidRPr="000679E9" w:rsidRDefault="00EE3DF9" w:rsidP="00EE3DF9">
      <w:pPr>
        <w:rPr>
          <w:b/>
          <w:bCs/>
          <w:i/>
          <w:iCs/>
          <w:noProof/>
        </w:rPr>
      </w:pPr>
      <w:r w:rsidRPr="00F5382B">
        <w:rPr>
          <w:b/>
          <w:bCs/>
          <w:i/>
          <w:iCs/>
          <w:noProof/>
        </w:rPr>
        <w:t>Secure communications</w:t>
      </w:r>
    </w:p>
    <w:p w14:paraId="37BC1990" w14:textId="77777777" w:rsidR="00EE3DF9" w:rsidRPr="00F5382B" w:rsidRDefault="00EE3DF9" w:rsidP="00EE3DF9">
      <w:pPr>
        <w:spacing w:after="160" w:line="259" w:lineRule="auto"/>
        <w:rPr>
          <w:noProof/>
        </w:rPr>
      </w:pPr>
      <w:r w:rsidRPr="00F5382B">
        <w:rPr>
          <w:noProof/>
        </w:rPr>
        <w:t>The setting up of secure communications entails a one-off cost of EUR 1.1M in the first year (2028) and a yearly recurring maintenance cost of EUR 1 083 250 over the next 4 consecutive years (2029-2032).</w:t>
      </w:r>
    </w:p>
    <w:p w14:paraId="462D79EF" w14:textId="77777777" w:rsidR="00EE3DF9" w:rsidRPr="00F5382B" w:rsidRDefault="00EE3DF9" w:rsidP="00EE3DF9">
      <w:pPr>
        <w:rPr>
          <w:b/>
          <w:bCs/>
          <w:i/>
          <w:iCs/>
          <w:noProof/>
        </w:rPr>
      </w:pPr>
      <w:r w:rsidRPr="00F5382B">
        <w:rPr>
          <w:b/>
          <w:bCs/>
          <w:i/>
          <w:iCs/>
          <w:noProof/>
        </w:rPr>
        <w:t>Cyber maturity</w:t>
      </w:r>
    </w:p>
    <w:p w14:paraId="59ABB0BF" w14:textId="77777777" w:rsidR="00EE3DF9" w:rsidRPr="00F5382B" w:rsidRDefault="00EE3DF9" w:rsidP="00EE3DF9">
      <w:pPr>
        <w:spacing w:after="160" w:line="259" w:lineRule="auto"/>
        <w:rPr>
          <w:bCs/>
          <w:noProof/>
          <w:lang w:val="en-IE"/>
        </w:rPr>
      </w:pPr>
      <w:r w:rsidRPr="00F5382B">
        <w:rPr>
          <w:rFonts w:eastAsiaTheme="minorEastAsia"/>
          <w:noProof/>
          <w:sz w:val="22"/>
          <w:szCs w:val="22"/>
          <w:lang w:eastAsia="en-IE"/>
        </w:rPr>
        <w:t>To strengthen the cybersecurity posture of ENISA by reaching the required cyber maturity level the recurring cost amounts to EUR 3M per year (i.e. EUR 15M over 5 years), including the migration to secure European Data Centre. It is of paramount importance that the EU Cybersecurity Agency has the highest levels of cybersecurity and is recognised as a trust partner and lead by example in Europe.</w:t>
      </w:r>
    </w:p>
    <w:p w14:paraId="2AA870F2" w14:textId="77777777" w:rsidR="00EE3DF9" w:rsidRPr="00F5382B" w:rsidRDefault="00EE3DF9" w:rsidP="00EE3DF9">
      <w:pPr>
        <w:pStyle w:val="Heading4"/>
        <w:numPr>
          <w:ilvl w:val="4"/>
          <w:numId w:val="3"/>
        </w:numPr>
        <w:rPr>
          <w:noProof/>
        </w:rPr>
      </w:pPr>
      <w:bookmarkStart w:id="281" w:name="_Toc210934634"/>
      <w:bookmarkStart w:id="282" w:name="_Toc210939818"/>
      <w:r w:rsidRPr="00F5382B">
        <w:rPr>
          <w:noProof/>
        </w:rPr>
        <w:t>Total annual costs (FTEs and other costs) under preferred option (A.2)</w:t>
      </w:r>
      <w:bookmarkEnd w:id="281"/>
      <w:bookmarkEnd w:id="282"/>
    </w:p>
    <w:p w14:paraId="1B01BA6D" w14:textId="77777777" w:rsidR="00EE3DF9" w:rsidRPr="00F5382B" w:rsidRDefault="00EE3DF9" w:rsidP="00EE3DF9">
      <w:pPr>
        <w:rPr>
          <w:b/>
          <w:bCs/>
          <w:noProof/>
        </w:rPr>
      </w:pPr>
      <w:r w:rsidRPr="00F5382B">
        <w:rPr>
          <w:b/>
          <w:bCs/>
          <w:noProof/>
        </w:rPr>
        <w:t xml:space="preserve">Total annual cost for ENISA under Option A2 =&gt; EUR </w:t>
      </w:r>
      <w:r w:rsidRPr="000679E9">
        <w:rPr>
          <w:b/>
          <w:bCs/>
          <w:noProof/>
        </w:rPr>
        <w:t>148 118 870</w:t>
      </w:r>
      <w:r w:rsidRPr="00F5382B">
        <w:rPr>
          <w:b/>
          <w:bCs/>
          <w:noProof/>
        </w:rPr>
        <w:t xml:space="preserve"> over 5 years, broken down as follows in recurring and one-off costs: </w:t>
      </w:r>
    </w:p>
    <w:p w14:paraId="2C599827" w14:textId="77777777" w:rsidR="00EE3DF9" w:rsidRPr="00F5382B" w:rsidRDefault="00EE3DF9" w:rsidP="00D52AD8">
      <w:pPr>
        <w:pStyle w:val="ListParagraph"/>
        <w:numPr>
          <w:ilvl w:val="0"/>
          <w:numId w:val="123"/>
        </w:numPr>
        <w:spacing w:after="160" w:line="259" w:lineRule="auto"/>
        <w:ind w:left="360"/>
        <w:rPr>
          <w:b/>
          <w:bCs/>
          <w:noProof/>
        </w:rPr>
      </w:pPr>
      <w:r w:rsidRPr="00F5382B">
        <w:rPr>
          <w:b/>
          <w:bCs/>
          <w:noProof/>
        </w:rPr>
        <w:t xml:space="preserve">Total annual recurring costs for FTEs and NLOs for ENISA: </w:t>
      </w:r>
    </w:p>
    <w:p w14:paraId="042EDE9F" w14:textId="77777777" w:rsidR="00EE3DF9" w:rsidRPr="00F5382B" w:rsidRDefault="00EE3DF9" w:rsidP="00EE3DF9">
      <w:pPr>
        <w:spacing w:after="0"/>
        <w:ind w:left="720"/>
        <w:rPr>
          <w:b/>
          <w:bCs/>
          <w:noProof/>
        </w:rPr>
      </w:pPr>
      <w:r w:rsidRPr="00F5382B">
        <w:rPr>
          <w:noProof/>
        </w:rPr>
        <w:t xml:space="preserve">EUR 1 282 770 (Reserve)  </w:t>
      </w:r>
    </w:p>
    <w:p w14:paraId="151F340F" w14:textId="77777777" w:rsidR="00EE3DF9" w:rsidRPr="00F5382B" w:rsidRDefault="00EE3DF9" w:rsidP="00EE3DF9">
      <w:pPr>
        <w:spacing w:after="0"/>
        <w:ind w:left="720"/>
        <w:rPr>
          <w:noProof/>
        </w:rPr>
      </w:pPr>
      <w:r w:rsidRPr="00F5382B">
        <w:rPr>
          <w:noProof/>
        </w:rPr>
        <w:t>+ EUR 1 539 324 (Vulnerability database and CVD)</w:t>
      </w:r>
    </w:p>
    <w:p w14:paraId="691CE310" w14:textId="77777777" w:rsidR="00EE3DF9" w:rsidRPr="00F5382B" w:rsidRDefault="00EE3DF9" w:rsidP="00EE3DF9">
      <w:pPr>
        <w:spacing w:after="0"/>
        <w:ind w:left="720"/>
        <w:rPr>
          <w:noProof/>
        </w:rPr>
      </w:pPr>
      <w:r w:rsidRPr="00F5382B">
        <w:rPr>
          <w:noProof/>
        </w:rPr>
        <w:t xml:space="preserve">+ EUR 513 108 (Mutual assistance and supervision) </w:t>
      </w:r>
    </w:p>
    <w:p w14:paraId="143FBED2" w14:textId="77777777" w:rsidR="00EE3DF9" w:rsidRPr="00F5382B" w:rsidRDefault="00EE3DF9" w:rsidP="00EE3DF9">
      <w:pPr>
        <w:spacing w:after="0"/>
        <w:ind w:left="720"/>
        <w:rPr>
          <w:noProof/>
        </w:rPr>
      </w:pPr>
      <w:r w:rsidRPr="00F5382B">
        <w:rPr>
          <w:noProof/>
        </w:rPr>
        <w:t>+ EUR 641 385 (Support for critical sectors resilience (including healthcare cybersecurity Action Plan implementation)</w:t>
      </w:r>
    </w:p>
    <w:p w14:paraId="6C88483E" w14:textId="77777777" w:rsidR="00EE3DF9" w:rsidRPr="00F5382B" w:rsidRDefault="00EE3DF9" w:rsidP="00EE3DF9">
      <w:pPr>
        <w:spacing w:after="0"/>
        <w:ind w:left="720"/>
        <w:rPr>
          <w:b/>
          <w:noProof/>
          <w:lang w:val="fr-BE"/>
        </w:rPr>
      </w:pPr>
      <w:r w:rsidRPr="00F5382B">
        <w:rPr>
          <w:noProof/>
          <w:lang w:val="fr-BE"/>
        </w:rPr>
        <w:t xml:space="preserve">+ EUR 1 026 216 (Attestation schemes) </w:t>
      </w:r>
    </w:p>
    <w:p w14:paraId="43485714" w14:textId="77777777" w:rsidR="00EE3DF9" w:rsidRPr="00F5382B" w:rsidRDefault="00EE3DF9" w:rsidP="00EE3DF9">
      <w:pPr>
        <w:spacing w:after="0"/>
        <w:ind w:left="720"/>
        <w:rPr>
          <w:b/>
          <w:noProof/>
          <w:lang w:val="fr-BE"/>
        </w:rPr>
      </w:pPr>
      <w:r w:rsidRPr="00F5382B">
        <w:rPr>
          <w:noProof/>
          <w:lang w:val="fr-BE"/>
        </w:rPr>
        <w:t xml:space="preserve">+ EUR </w:t>
      </w:r>
      <w:r w:rsidRPr="000679E9">
        <w:rPr>
          <w:noProof/>
          <w:lang w:val="fr-BE"/>
        </w:rPr>
        <w:t>3 335 202</w:t>
      </w:r>
      <w:r w:rsidRPr="00F5382B">
        <w:rPr>
          <w:noProof/>
          <w:lang w:val="fr-BE"/>
        </w:rPr>
        <w:t xml:space="preserve"> (CRA platform) </w:t>
      </w:r>
    </w:p>
    <w:p w14:paraId="49416B1D" w14:textId="77777777" w:rsidR="00EE3DF9" w:rsidRPr="00F5382B" w:rsidRDefault="00EE3DF9" w:rsidP="00EE3DF9">
      <w:pPr>
        <w:spacing w:after="0"/>
        <w:ind w:left="720"/>
        <w:rPr>
          <w:b/>
          <w:bCs/>
          <w:noProof/>
        </w:rPr>
      </w:pPr>
      <w:r w:rsidRPr="00F5382B">
        <w:rPr>
          <w:noProof/>
        </w:rPr>
        <w:t xml:space="preserve">+ EUR 2 822 094 (Implementation of CRA) </w:t>
      </w:r>
    </w:p>
    <w:p w14:paraId="6DB710FF" w14:textId="77777777" w:rsidR="00EE3DF9" w:rsidRPr="00F5382B" w:rsidRDefault="00EE3DF9" w:rsidP="00EE3DF9">
      <w:pPr>
        <w:spacing w:after="0"/>
        <w:ind w:left="720"/>
        <w:rPr>
          <w:b/>
          <w:bCs/>
          <w:noProof/>
        </w:rPr>
      </w:pPr>
      <w:r w:rsidRPr="00F5382B">
        <w:rPr>
          <w:noProof/>
        </w:rPr>
        <w:t xml:space="preserve">+ EUR 641 385 (Operational cooperation) </w:t>
      </w:r>
    </w:p>
    <w:p w14:paraId="23140232" w14:textId="77777777" w:rsidR="00EE3DF9" w:rsidRPr="00F5382B" w:rsidRDefault="00EE3DF9" w:rsidP="00EE3DF9">
      <w:pPr>
        <w:spacing w:after="0"/>
        <w:ind w:left="720"/>
        <w:rPr>
          <w:b/>
          <w:bCs/>
          <w:noProof/>
        </w:rPr>
      </w:pPr>
      <w:r w:rsidRPr="00F5382B">
        <w:rPr>
          <w:noProof/>
        </w:rPr>
        <w:t xml:space="preserve">+ EUR 1 440 000 (Daily allowances for 27 NLOs) </w:t>
      </w:r>
    </w:p>
    <w:p w14:paraId="51A4FFDF" w14:textId="77777777" w:rsidR="00EE3DF9" w:rsidRPr="00F5382B" w:rsidRDefault="00EE3DF9" w:rsidP="00EE3DF9">
      <w:pPr>
        <w:spacing w:after="0"/>
        <w:ind w:left="720"/>
        <w:rPr>
          <w:noProof/>
        </w:rPr>
      </w:pPr>
      <w:r w:rsidRPr="00F5382B">
        <w:rPr>
          <w:noProof/>
        </w:rPr>
        <w:t xml:space="preserve">+ EUR 1 252 770 (Admin) </w:t>
      </w:r>
    </w:p>
    <w:p w14:paraId="41F8E155" w14:textId="77777777" w:rsidR="00EE3DF9" w:rsidRPr="00F5382B" w:rsidRDefault="00EE3DF9" w:rsidP="00EE3DF9">
      <w:pPr>
        <w:spacing w:after="0"/>
        <w:ind w:left="720"/>
        <w:rPr>
          <w:b/>
          <w:bCs/>
          <w:noProof/>
        </w:rPr>
      </w:pPr>
      <w:r w:rsidRPr="00F5382B">
        <w:rPr>
          <w:noProof/>
        </w:rPr>
        <w:t xml:space="preserve">= </w:t>
      </w:r>
      <w:r w:rsidRPr="00F5382B">
        <w:rPr>
          <w:b/>
          <w:bCs/>
          <w:noProof/>
        </w:rPr>
        <w:t>EUR 14 524 254 (rounded to EUR 14.5M), i.e. EUR 72 621 270 over 5 years.</w:t>
      </w:r>
    </w:p>
    <w:p w14:paraId="03E9531F" w14:textId="77777777" w:rsidR="00EE3DF9" w:rsidRPr="00F5382B" w:rsidRDefault="00EE3DF9" w:rsidP="00D52AD8">
      <w:pPr>
        <w:pStyle w:val="ListParagraph"/>
        <w:numPr>
          <w:ilvl w:val="0"/>
          <w:numId w:val="123"/>
        </w:numPr>
        <w:spacing w:after="0" w:line="259" w:lineRule="auto"/>
        <w:ind w:left="360"/>
        <w:rPr>
          <w:b/>
          <w:bCs/>
          <w:noProof/>
        </w:rPr>
      </w:pPr>
      <w:r w:rsidRPr="00F5382B">
        <w:rPr>
          <w:b/>
          <w:bCs/>
          <w:noProof/>
        </w:rPr>
        <w:t>Other annual recurring costs:</w:t>
      </w:r>
    </w:p>
    <w:p w14:paraId="29268C8D" w14:textId="77777777" w:rsidR="00EE3DF9" w:rsidRPr="00F5382B" w:rsidRDefault="00EE3DF9" w:rsidP="00EE3DF9">
      <w:pPr>
        <w:spacing w:after="0"/>
        <w:ind w:left="720"/>
        <w:rPr>
          <w:noProof/>
        </w:rPr>
      </w:pPr>
      <w:r w:rsidRPr="00F5382B">
        <w:rPr>
          <w:noProof/>
        </w:rPr>
        <w:t>EUR 4 000 000 (Costs related to procuring cyber threat intelligence (CTI))</w:t>
      </w:r>
    </w:p>
    <w:p w14:paraId="46EAD138" w14:textId="77777777" w:rsidR="00EE3DF9" w:rsidRPr="00F5382B" w:rsidRDefault="00EE3DF9" w:rsidP="00EE3DF9">
      <w:pPr>
        <w:spacing w:after="0"/>
        <w:ind w:left="720"/>
        <w:rPr>
          <w:noProof/>
          <w:lang w:val="fr-BE"/>
        </w:rPr>
      </w:pPr>
      <w:r w:rsidRPr="00F5382B">
        <w:rPr>
          <w:noProof/>
          <w:lang w:val="fr-BE"/>
        </w:rPr>
        <w:t>+ EUR 2 000 000 (CRA platform maintenance)</w:t>
      </w:r>
    </w:p>
    <w:p w14:paraId="39691C93" w14:textId="77777777" w:rsidR="00EE3DF9" w:rsidRPr="00F5382B" w:rsidRDefault="00EE3DF9" w:rsidP="00EE3DF9">
      <w:pPr>
        <w:spacing w:after="0"/>
        <w:ind w:left="720"/>
        <w:rPr>
          <w:noProof/>
          <w:lang w:val="fr-BE"/>
        </w:rPr>
      </w:pPr>
      <w:r w:rsidRPr="00F5382B">
        <w:rPr>
          <w:noProof/>
          <w:lang w:val="fr-BE"/>
        </w:rPr>
        <w:t>+ EUR 2 000 000 (CRA platform implementation)</w:t>
      </w:r>
    </w:p>
    <w:p w14:paraId="1079F4F8" w14:textId="77777777" w:rsidR="00EE3DF9" w:rsidRPr="00F5382B" w:rsidRDefault="00EE3DF9" w:rsidP="00EE3DF9">
      <w:pPr>
        <w:spacing w:after="0"/>
        <w:ind w:left="720"/>
        <w:rPr>
          <w:noProof/>
        </w:rPr>
      </w:pPr>
      <w:r w:rsidRPr="00F5382B">
        <w:rPr>
          <w:noProof/>
        </w:rPr>
        <w:t>+ EUR 1 000 000 (Setting up and operating the CVD database)</w:t>
      </w:r>
    </w:p>
    <w:p w14:paraId="31B77F19" w14:textId="77777777" w:rsidR="00EE3DF9" w:rsidRPr="00F5382B" w:rsidRDefault="00EE3DF9" w:rsidP="00EE3DF9">
      <w:pPr>
        <w:spacing w:after="0"/>
        <w:ind w:left="720"/>
        <w:rPr>
          <w:b/>
          <w:noProof/>
        </w:rPr>
      </w:pPr>
      <w:r w:rsidRPr="00F5382B">
        <w:rPr>
          <w:noProof/>
        </w:rPr>
        <w:t>+ EUR 212 920 (Skills scheme development and maintenance)</w:t>
      </w:r>
      <w:r w:rsidRPr="00F5382B">
        <w:rPr>
          <w:b/>
          <w:bCs/>
          <w:noProof/>
        </w:rPr>
        <w:t xml:space="preserve"> </w:t>
      </w:r>
    </w:p>
    <w:p w14:paraId="6793B3FA" w14:textId="77777777" w:rsidR="00EE3DF9" w:rsidRPr="00F5382B" w:rsidRDefault="00EE3DF9" w:rsidP="00EE3DF9">
      <w:pPr>
        <w:spacing w:after="0"/>
        <w:ind w:left="720"/>
        <w:rPr>
          <w:noProof/>
        </w:rPr>
      </w:pPr>
      <w:r w:rsidRPr="00F5382B">
        <w:rPr>
          <w:b/>
          <w:bCs/>
          <w:noProof/>
        </w:rPr>
        <w:t xml:space="preserve">+ </w:t>
      </w:r>
      <w:r w:rsidRPr="000679E9">
        <w:rPr>
          <w:noProof/>
        </w:rPr>
        <w:t>EUR 1 083 250 (Secure communications maintenance – over 4 years after set-up)</w:t>
      </w:r>
    </w:p>
    <w:p w14:paraId="286C6C1E" w14:textId="77777777" w:rsidR="00EE3DF9" w:rsidRPr="000679E9" w:rsidRDefault="00EE3DF9" w:rsidP="00EE3DF9">
      <w:pPr>
        <w:spacing w:after="0"/>
        <w:ind w:left="720"/>
        <w:rPr>
          <w:noProof/>
        </w:rPr>
      </w:pPr>
      <w:r w:rsidRPr="000679E9">
        <w:rPr>
          <w:noProof/>
        </w:rPr>
        <w:t>+ EUR 3</w:t>
      </w:r>
      <w:r w:rsidRPr="000679E9">
        <w:rPr>
          <w:noProof/>
          <w:lang w:val="hu-HU"/>
        </w:rPr>
        <w:t xml:space="preserve"> 000</w:t>
      </w:r>
      <w:r w:rsidRPr="000679E9">
        <w:rPr>
          <w:noProof/>
        </w:rPr>
        <w:t> 000 (Cyber maturity)</w:t>
      </w:r>
    </w:p>
    <w:p w14:paraId="627C7CC2" w14:textId="77777777" w:rsidR="00EE3DF9" w:rsidRPr="00F5382B" w:rsidRDefault="00EE3DF9" w:rsidP="00EE3DF9">
      <w:pPr>
        <w:spacing w:after="0"/>
        <w:ind w:left="720"/>
        <w:rPr>
          <w:b/>
          <w:bCs/>
          <w:noProof/>
        </w:rPr>
      </w:pPr>
      <w:r w:rsidRPr="00F5382B">
        <w:rPr>
          <w:noProof/>
        </w:rPr>
        <w:t xml:space="preserve">= EUR 12.21M in the first year and EUR 13.3 over 4 years, i.e. </w:t>
      </w:r>
      <w:r w:rsidRPr="00F5382B">
        <w:rPr>
          <w:b/>
          <w:bCs/>
          <w:noProof/>
        </w:rPr>
        <w:t>EUR 65 397</w:t>
      </w:r>
      <w:r w:rsidRPr="00F5382B">
        <w:rPr>
          <w:b/>
          <w:noProof/>
        </w:rPr>
        <w:t> 600</w:t>
      </w:r>
      <w:r w:rsidRPr="00F5382B">
        <w:rPr>
          <w:b/>
          <w:bCs/>
          <w:noProof/>
        </w:rPr>
        <w:t xml:space="preserve"> over 5 years</w:t>
      </w:r>
    </w:p>
    <w:p w14:paraId="5CCB11B7" w14:textId="77777777" w:rsidR="00EE3DF9" w:rsidRPr="00F5382B" w:rsidRDefault="00EE3DF9" w:rsidP="00D52AD8">
      <w:pPr>
        <w:pStyle w:val="ListParagraph"/>
        <w:numPr>
          <w:ilvl w:val="0"/>
          <w:numId w:val="123"/>
        </w:numPr>
        <w:spacing w:after="0" w:line="259" w:lineRule="auto"/>
        <w:ind w:left="360"/>
        <w:rPr>
          <w:b/>
          <w:bCs/>
          <w:noProof/>
        </w:rPr>
      </w:pPr>
      <w:r w:rsidRPr="00F5382B">
        <w:rPr>
          <w:b/>
          <w:bCs/>
          <w:noProof/>
        </w:rPr>
        <w:t>Other one-off costs:</w:t>
      </w:r>
    </w:p>
    <w:p w14:paraId="75738141" w14:textId="77777777" w:rsidR="00EE3DF9" w:rsidRPr="00F5382B" w:rsidRDefault="00EE3DF9" w:rsidP="00EE3DF9">
      <w:pPr>
        <w:spacing w:after="0"/>
        <w:ind w:left="720"/>
        <w:rPr>
          <w:noProof/>
        </w:rPr>
      </w:pPr>
      <w:r w:rsidRPr="00F5382B">
        <w:rPr>
          <w:noProof/>
        </w:rPr>
        <w:t>EUR 6 000 000 (Single entry point - one-off adjustment costs for various activities ranging from design to equipment)</w:t>
      </w:r>
    </w:p>
    <w:p w14:paraId="6B328A67" w14:textId="77777777" w:rsidR="00EE3DF9" w:rsidRPr="00F5382B" w:rsidRDefault="00EE3DF9" w:rsidP="00EE3DF9">
      <w:pPr>
        <w:spacing w:after="0"/>
        <w:ind w:left="720"/>
        <w:rPr>
          <w:noProof/>
        </w:rPr>
      </w:pPr>
      <w:r w:rsidRPr="00F5382B">
        <w:rPr>
          <w:noProof/>
        </w:rPr>
        <w:t>+ EUR 2 000 000 (Single entry point – four newly added legislations)</w:t>
      </w:r>
    </w:p>
    <w:p w14:paraId="0CF491EC" w14:textId="77777777" w:rsidR="00EE3DF9" w:rsidRPr="00F5382B" w:rsidRDefault="00EE3DF9" w:rsidP="00EE3DF9">
      <w:pPr>
        <w:spacing w:after="0"/>
        <w:ind w:left="720"/>
        <w:rPr>
          <w:noProof/>
        </w:rPr>
      </w:pPr>
      <w:r w:rsidRPr="00F5382B">
        <w:rPr>
          <w:noProof/>
        </w:rPr>
        <w:t>+ EUR 1 000 000 (Skills website)</w:t>
      </w:r>
    </w:p>
    <w:p w14:paraId="1D8ED1FE" w14:textId="77777777" w:rsidR="00EE3DF9" w:rsidRPr="00F5382B" w:rsidRDefault="00EE3DF9" w:rsidP="00EE3DF9">
      <w:pPr>
        <w:spacing w:after="0"/>
        <w:ind w:left="720"/>
        <w:rPr>
          <w:noProof/>
        </w:rPr>
      </w:pPr>
      <w:r w:rsidRPr="00F5382B">
        <w:rPr>
          <w:noProof/>
        </w:rPr>
        <w:t>+ EUR 1 100 000 (Secure communications set-up)</w:t>
      </w:r>
    </w:p>
    <w:p w14:paraId="0B1ACD27" w14:textId="77777777" w:rsidR="00EE3DF9" w:rsidRPr="00F5382B" w:rsidRDefault="00EE3DF9" w:rsidP="00EE3DF9">
      <w:pPr>
        <w:spacing w:after="0"/>
        <w:ind w:left="720"/>
        <w:rPr>
          <w:b/>
          <w:bCs/>
          <w:noProof/>
        </w:rPr>
      </w:pPr>
      <w:r w:rsidRPr="00F5382B">
        <w:rPr>
          <w:noProof/>
        </w:rPr>
        <w:t xml:space="preserve">= </w:t>
      </w:r>
      <w:r w:rsidRPr="00F5382B">
        <w:rPr>
          <w:b/>
          <w:bCs/>
          <w:noProof/>
        </w:rPr>
        <w:t>EUR 10 100 000</w:t>
      </w:r>
    </w:p>
    <w:p w14:paraId="1E3CF669" w14:textId="77777777" w:rsidR="00EE3DF9" w:rsidRPr="00F5382B" w:rsidRDefault="00EE3DF9" w:rsidP="00EE3DF9">
      <w:pPr>
        <w:spacing w:after="0"/>
        <w:rPr>
          <w:b/>
          <w:bCs/>
          <w:noProof/>
        </w:rPr>
      </w:pPr>
    </w:p>
    <w:p w14:paraId="23C5D830" w14:textId="77777777" w:rsidR="00EE3DF9" w:rsidRPr="00F5382B" w:rsidRDefault="00EE3DF9" w:rsidP="00EE3DF9">
      <w:pPr>
        <w:pStyle w:val="Heading4"/>
        <w:numPr>
          <w:ilvl w:val="3"/>
          <w:numId w:val="3"/>
        </w:numPr>
        <w:rPr>
          <w:noProof/>
        </w:rPr>
      </w:pPr>
      <w:bookmarkStart w:id="283" w:name="_Toc210934635"/>
      <w:bookmarkStart w:id="284" w:name="_Toc210939819"/>
      <w:r w:rsidRPr="00F5382B">
        <w:rPr>
          <w:noProof/>
        </w:rPr>
        <w:t xml:space="preserve"> Costs for national authorities and economic operators</w:t>
      </w:r>
      <w:bookmarkEnd w:id="283"/>
      <w:bookmarkEnd w:id="284"/>
    </w:p>
    <w:p w14:paraId="78036C32" w14:textId="77777777" w:rsidR="00EE3DF9" w:rsidRPr="00F5382B" w:rsidRDefault="00EE3DF9" w:rsidP="00EE3DF9">
      <w:pPr>
        <w:rPr>
          <w:b/>
          <w:bCs/>
          <w:i/>
          <w:iCs/>
          <w:noProof/>
        </w:rPr>
      </w:pPr>
      <w:r w:rsidRPr="00F5382B">
        <w:rPr>
          <w:b/>
          <w:bCs/>
          <w:i/>
          <w:iCs/>
          <w:noProof/>
        </w:rPr>
        <w:t>National liaison officers</w:t>
      </w:r>
    </w:p>
    <w:p w14:paraId="365AB44C" w14:textId="77777777" w:rsidR="00EE3DF9" w:rsidRPr="00F5382B" w:rsidRDefault="00EE3DF9" w:rsidP="00EE3DF9">
      <w:pPr>
        <w:rPr>
          <w:noProof/>
        </w:rPr>
      </w:pPr>
      <w:r w:rsidRPr="00F5382B">
        <w:rPr>
          <w:noProof/>
        </w:rPr>
        <w:t>In addition to ENISA’s staff, each Member State would designate at least one national liaison officer (NLO) as part of this operational team, in total 40 NLOs from the 27 MS. For cost estimation, we assume the average cost of EUR 56 500</w:t>
      </w:r>
      <w:r w:rsidRPr="00F5382B">
        <w:rPr>
          <w:rStyle w:val="FootnoteReference"/>
          <w:noProof/>
        </w:rPr>
        <w:footnoteReference w:id="204"/>
      </w:r>
      <w:r w:rsidRPr="00F5382B">
        <w:rPr>
          <w:noProof/>
        </w:rPr>
        <w:t xml:space="preserve"> applies to NLOs, as actual costs can vary across EU Member States. This assumption is justified because national liaison officers would retain their national salary and receive an allowance from ENISA, which may vary depending on multiple factors. Taking this information into account, the total cost of 40 NLOs would result in EUR 2.26M, to be borne by Member States’ National Authorities.</w:t>
      </w:r>
    </w:p>
    <w:p w14:paraId="50C3A472" w14:textId="77777777" w:rsidR="00EE3DF9" w:rsidRPr="00F5382B" w:rsidRDefault="00EE3DF9" w:rsidP="00EE3DF9">
      <w:pPr>
        <w:rPr>
          <w:b/>
          <w:bCs/>
          <w:noProof/>
        </w:rPr>
      </w:pPr>
      <w:r w:rsidRPr="00F5382B">
        <w:rPr>
          <w:b/>
          <w:bCs/>
          <w:noProof/>
        </w:rPr>
        <w:t>Calculations:</w:t>
      </w:r>
    </w:p>
    <w:p w14:paraId="7C888546" w14:textId="77777777" w:rsidR="00EE3DF9" w:rsidRPr="00F5382B" w:rsidRDefault="00EE3DF9" w:rsidP="00EE3DF9">
      <w:pPr>
        <w:rPr>
          <w:b/>
          <w:bCs/>
          <w:noProof/>
        </w:rPr>
      </w:pPr>
      <w:r w:rsidRPr="00F5382B">
        <w:rPr>
          <w:b/>
          <w:bCs/>
          <w:noProof/>
        </w:rPr>
        <w:t>Total annual recurrent cost from MS budget:</w:t>
      </w:r>
      <w:r w:rsidRPr="00F5382B">
        <w:rPr>
          <w:noProof/>
        </w:rPr>
        <w:t xml:space="preserve"> 40 national liaison officers × EUR 56 500 = </w:t>
      </w:r>
      <w:r w:rsidRPr="00F5382B">
        <w:rPr>
          <w:b/>
          <w:bCs/>
          <w:noProof/>
        </w:rPr>
        <w:t>EUR 2 260 000</w:t>
      </w:r>
    </w:p>
    <w:p w14:paraId="1C6DC2CC" w14:textId="77777777" w:rsidR="00EE3DF9" w:rsidRPr="00F5382B" w:rsidRDefault="00EE3DF9" w:rsidP="00EE3DF9">
      <w:pPr>
        <w:rPr>
          <w:b/>
          <w:bCs/>
          <w:i/>
          <w:iCs/>
          <w:noProof/>
        </w:rPr>
      </w:pPr>
    </w:p>
    <w:p w14:paraId="39D6C308" w14:textId="77777777" w:rsidR="00EE3DF9" w:rsidRPr="00F5382B" w:rsidRDefault="00EE3DF9" w:rsidP="00EE3DF9">
      <w:pPr>
        <w:rPr>
          <w:i/>
          <w:noProof/>
        </w:rPr>
      </w:pPr>
      <w:r w:rsidRPr="00F5382B">
        <w:rPr>
          <w:b/>
          <w:bCs/>
          <w:i/>
          <w:iCs/>
          <w:noProof/>
        </w:rPr>
        <w:t>European individual cybersecurity skills attestation schemes</w:t>
      </w:r>
    </w:p>
    <w:p w14:paraId="7F04E936" w14:textId="77777777" w:rsidR="00EE3DF9" w:rsidRPr="00F5382B" w:rsidRDefault="00EE3DF9" w:rsidP="00EE3DF9">
      <w:pPr>
        <w:rPr>
          <w:noProof/>
        </w:rPr>
      </w:pPr>
      <w:r w:rsidRPr="00F5382B">
        <w:rPr>
          <w:noProof/>
        </w:rPr>
        <w:t xml:space="preserve">National authorities and economic operators may incur costs if they choose to </w:t>
      </w:r>
      <w:r w:rsidRPr="00F5382B">
        <w:rPr>
          <w:b/>
          <w:bCs/>
          <w:noProof/>
        </w:rPr>
        <w:t>participate in developing European individual attestation schemes</w:t>
      </w:r>
      <w:r w:rsidRPr="00F5382B">
        <w:rPr>
          <w:noProof/>
        </w:rPr>
        <w:t xml:space="preserve">, but such involvement is voluntary. </w:t>
      </w:r>
    </w:p>
    <w:p w14:paraId="7A73BE9D" w14:textId="77777777" w:rsidR="00EE3DF9" w:rsidRPr="00F5382B" w:rsidRDefault="00EE3DF9" w:rsidP="00EE3DF9">
      <w:pPr>
        <w:rPr>
          <w:noProof/>
        </w:rPr>
      </w:pPr>
      <w:r w:rsidRPr="00F5382B">
        <w:rPr>
          <w:noProof/>
        </w:rPr>
        <w:t>Similarly, both national authorities and economic operators may</w:t>
      </w:r>
      <w:r w:rsidRPr="00F5382B">
        <w:rPr>
          <w:b/>
          <w:bCs/>
          <w:noProof/>
        </w:rPr>
        <w:t xml:space="preserve"> pay a fee to ENISA </w:t>
      </w:r>
      <w:r w:rsidRPr="00F5382B">
        <w:rPr>
          <w:noProof/>
        </w:rPr>
        <w:t xml:space="preserve">to become authorised to deliver European individual attestations. This cost is only borne by those who choose to become authorised and is offset by income from applicants seeking attestations. </w:t>
      </w:r>
    </w:p>
    <w:p w14:paraId="456492EF" w14:textId="77777777" w:rsidR="00EE3DF9" w:rsidRPr="00F5382B" w:rsidRDefault="00EE3DF9" w:rsidP="00EE3DF9">
      <w:pPr>
        <w:rPr>
          <w:noProof/>
          <w:lang w:val="en-IE"/>
        </w:rPr>
      </w:pPr>
      <w:r w:rsidRPr="00F5382B">
        <w:rPr>
          <w:noProof/>
          <w:lang w:val="en-IE"/>
        </w:rPr>
        <w:t xml:space="preserve">To provide an indication of the costs of becoming an authorised provider to deliver EU individual cybersecurity skills attestations and maintaining this authorisation, information publicly available as well as information gathered by ENISA directly from countries in the framework of the pilot project on an individual cybersecurity skills attestation scheme has been used. </w:t>
      </w:r>
    </w:p>
    <w:p w14:paraId="3E65A514" w14:textId="77777777" w:rsidR="00EE3DF9" w:rsidRPr="00F5382B" w:rsidRDefault="00EE3DF9" w:rsidP="00EE3DF9">
      <w:pPr>
        <w:rPr>
          <w:noProof/>
          <w:lang w:val="en-IE"/>
        </w:rPr>
      </w:pPr>
      <w:r w:rsidRPr="00F5382B">
        <w:rPr>
          <w:noProof/>
          <w:lang w:val="en-IE"/>
        </w:rPr>
        <w:t xml:space="preserve">In particular, three countries which have established an attestation system for specific cybersecurity profiles have been explored (UK, SK and CY): </w:t>
      </w:r>
    </w:p>
    <w:p w14:paraId="5C7ACA54" w14:textId="77777777" w:rsidR="00EE3DF9" w:rsidRPr="00F5382B" w:rsidRDefault="00EE3DF9" w:rsidP="00EE3DF9">
      <w:pPr>
        <w:pStyle w:val="ListParagraph"/>
        <w:numPr>
          <w:ilvl w:val="0"/>
          <w:numId w:val="25"/>
        </w:numPr>
        <w:spacing w:after="160" w:line="259" w:lineRule="auto"/>
        <w:rPr>
          <w:noProof/>
          <w:lang w:val="en-IE"/>
        </w:rPr>
      </w:pPr>
      <w:r w:rsidRPr="00F5382B">
        <w:rPr>
          <w:noProof/>
          <w:lang w:val="en-IE"/>
        </w:rPr>
        <w:t xml:space="preserve">The </w:t>
      </w:r>
      <w:r w:rsidRPr="00F5382B">
        <w:rPr>
          <w:b/>
          <w:bCs/>
          <w:i/>
          <w:iCs/>
          <w:noProof/>
          <w:u w:val="single"/>
          <w:lang w:val="en-IE"/>
        </w:rPr>
        <w:t>UK</w:t>
      </w:r>
      <w:r w:rsidRPr="00F5382B">
        <w:rPr>
          <w:noProof/>
          <w:lang w:val="en-IE"/>
        </w:rPr>
        <w:t xml:space="preserve"> Cyber Security Council does not publicly list the cost for an organisation to become a Licensed Body under its Standard for Professional Competence and Commitment (SPCC). The process involves: a formal application and vetting process, demonstrating capability to assess professionals against the SPCC, ongoing compliance and reporting and licensing fees. </w:t>
      </w:r>
    </w:p>
    <w:p w14:paraId="6DB0DF17" w14:textId="77777777" w:rsidR="00EE3DF9" w:rsidRPr="00F5382B" w:rsidRDefault="00EE3DF9" w:rsidP="00EE3DF9">
      <w:pPr>
        <w:pStyle w:val="ListParagraph"/>
        <w:numPr>
          <w:ilvl w:val="0"/>
          <w:numId w:val="25"/>
        </w:numPr>
        <w:spacing w:after="160" w:line="259" w:lineRule="auto"/>
        <w:rPr>
          <w:noProof/>
          <w:lang w:val="en-IE"/>
        </w:rPr>
      </w:pPr>
      <w:r w:rsidRPr="00F5382B">
        <w:rPr>
          <w:noProof/>
          <w:lang w:val="en-IE"/>
        </w:rPr>
        <w:t xml:space="preserve">In </w:t>
      </w:r>
      <w:r w:rsidRPr="00F5382B">
        <w:rPr>
          <w:b/>
          <w:bCs/>
          <w:i/>
          <w:iCs/>
          <w:noProof/>
          <w:u w:val="single"/>
          <w:lang w:val="en-IE"/>
        </w:rPr>
        <w:t>Cyprus</w:t>
      </w:r>
      <w:r w:rsidRPr="00F5382B">
        <w:rPr>
          <w:noProof/>
          <w:lang w:val="en-IE"/>
        </w:rPr>
        <w:t xml:space="preserve">, the Digital Security Authority (DSA) has developed the Cybersecurity Maturity Assessors scheme and commissioned a public university to design a databank of 350 questions covering the required skills and knowledge. The DSA further defined a set of requirements to become an examination centre. Two examination centres have been approved. However, the cost of applying to become an examination centre is not publicly disclosed on the DSA website. </w:t>
      </w:r>
    </w:p>
    <w:p w14:paraId="356B68BF" w14:textId="77777777" w:rsidR="00EE3DF9" w:rsidRPr="00F5382B" w:rsidRDefault="00EE3DF9" w:rsidP="00EE3DF9">
      <w:pPr>
        <w:pStyle w:val="ListParagraph"/>
        <w:numPr>
          <w:ilvl w:val="0"/>
          <w:numId w:val="25"/>
        </w:numPr>
        <w:spacing w:after="160" w:line="259" w:lineRule="auto"/>
        <w:rPr>
          <w:b/>
          <w:bCs/>
          <w:noProof/>
          <w:lang w:val="en-IE"/>
        </w:rPr>
      </w:pPr>
      <w:r w:rsidRPr="00F5382B">
        <w:rPr>
          <w:b/>
          <w:bCs/>
          <w:i/>
          <w:iCs/>
          <w:noProof/>
          <w:u w:val="single"/>
          <w:lang w:val="en-IE"/>
        </w:rPr>
        <w:t>Slovakia</w:t>
      </w:r>
      <w:r w:rsidRPr="00F5382B">
        <w:rPr>
          <w:noProof/>
          <w:lang w:val="en-IE"/>
        </w:rPr>
        <w:t xml:space="preserve"> has developed two individual certifications for the profiles of Cybersecurity Manager and Cybersecurity Auditor. The model involves the National Cybersecurity Authority (NBU) in charge of certification requirements, including content and assessment methods, the </w:t>
      </w:r>
      <w:r w:rsidRPr="00F5382B">
        <w:rPr>
          <w:b/>
          <w:bCs/>
          <w:noProof/>
          <w:lang w:val="en-IE"/>
        </w:rPr>
        <w:t>National Accreditation Authority (SNAS)</w:t>
      </w:r>
      <w:r w:rsidRPr="00F5382B">
        <w:rPr>
          <w:noProof/>
          <w:lang w:val="en-IE"/>
        </w:rPr>
        <w:t>, who oversees the accreditation of providers, and certification accreditation bodies, the only entities allowed to issue certificates. Only the National Competence and Certification Centre (KCCB) for cyber the role profile Cybersecurity Auditor, and KCCB and a private accredited certification body for the profile Cybersecurity Manager have been allowed to issue certificates as of September 2025.</w:t>
      </w:r>
    </w:p>
    <w:p w14:paraId="749E36BC" w14:textId="77777777" w:rsidR="00EE3DF9" w:rsidRPr="00F5382B" w:rsidRDefault="00EE3DF9" w:rsidP="00EE3DF9">
      <w:pPr>
        <w:rPr>
          <w:noProof/>
          <w:lang w:val="en-IE"/>
        </w:rPr>
      </w:pPr>
      <w:r w:rsidRPr="00F5382B">
        <w:rPr>
          <w:noProof/>
          <w:lang w:val="en-IE"/>
        </w:rPr>
        <w:t>The SNAS has published the rates below</w:t>
      </w:r>
      <w:r w:rsidRPr="00F5382B">
        <w:rPr>
          <w:rStyle w:val="FootnoteReference"/>
          <w:noProof/>
          <w:lang w:val="en-IE"/>
        </w:rPr>
        <w:footnoteReference w:id="205"/>
      </w:r>
      <w:r w:rsidRPr="00F5382B">
        <w:rPr>
          <w:noProof/>
          <w:lang w:val="en-IE"/>
        </w:rPr>
        <w:t>, which were used in this impact assessment as an indication of the cost (fees) of an initial authorisation and renewal:</w:t>
      </w:r>
    </w:p>
    <w:p w14:paraId="74A6B1D8" w14:textId="76BFF731" w:rsidR="00EE3DF9" w:rsidRPr="00F5382B" w:rsidRDefault="00EE3DF9" w:rsidP="00EE3DF9">
      <w:pPr>
        <w:pStyle w:val="Heading5"/>
        <w:rPr>
          <w:iCs w:val="0"/>
          <w:noProof/>
          <w:lang w:val="en-IE"/>
        </w:rPr>
      </w:pPr>
      <w:bookmarkStart w:id="285" w:name="_Toc218767806"/>
      <w:r w:rsidRPr="00F5382B">
        <w:rPr>
          <w:noProof/>
        </w:rPr>
        <w:t xml:space="preserve">Tables </w:t>
      </w:r>
      <w:r w:rsidR="00EA238E">
        <w:rPr>
          <w:noProof/>
        </w:rPr>
        <w:t>12</w:t>
      </w:r>
      <w:r w:rsidR="00EA238E" w:rsidRPr="00F5382B">
        <w:rPr>
          <w:noProof/>
        </w:rPr>
        <w:t xml:space="preserve"> </w:t>
      </w:r>
      <w:r w:rsidRPr="00F5382B">
        <w:rPr>
          <w:noProof/>
        </w:rPr>
        <w:t>and 1</w:t>
      </w:r>
      <w:r w:rsidR="00EA238E">
        <w:rPr>
          <w:noProof/>
        </w:rPr>
        <w:t>3</w:t>
      </w:r>
      <w:r w:rsidRPr="00F5382B">
        <w:rPr>
          <w:noProof/>
        </w:rPr>
        <w:t>: Rates for accreditation of bodies certifying persons in Slovakia</w:t>
      </w:r>
      <w:r w:rsidRPr="00F5382B">
        <w:rPr>
          <w:noProof/>
          <w:lang w:val="en-IE"/>
        </w:rPr>
        <w:t xml:space="preserve"> in 2025 (in EUR)</w:t>
      </w:r>
      <w:bookmarkEnd w:id="285"/>
    </w:p>
    <w:tbl>
      <w:tblPr>
        <w:tblStyle w:val="TableGrid"/>
        <w:tblW w:w="0" w:type="auto"/>
        <w:tblLook w:val="04A0" w:firstRow="1" w:lastRow="0" w:firstColumn="1" w:lastColumn="0" w:noHBand="0" w:noVBand="1"/>
      </w:tblPr>
      <w:tblGrid>
        <w:gridCol w:w="1836"/>
        <w:gridCol w:w="1850"/>
        <w:gridCol w:w="1864"/>
        <w:gridCol w:w="1842"/>
        <w:gridCol w:w="1850"/>
      </w:tblGrid>
      <w:tr w:rsidR="00EE3DF9" w:rsidRPr="00F5382B" w14:paraId="0F76ECD7" w14:textId="77777777">
        <w:tc>
          <w:tcPr>
            <w:tcW w:w="1870" w:type="dxa"/>
          </w:tcPr>
          <w:p w14:paraId="3A01ACDF" w14:textId="77777777" w:rsidR="00EE3DF9" w:rsidRPr="00F5382B" w:rsidRDefault="00EE3DF9">
            <w:pPr>
              <w:rPr>
                <w:b/>
                <w:bCs/>
                <w:noProof/>
              </w:rPr>
            </w:pPr>
            <w:r w:rsidRPr="00F5382B">
              <w:rPr>
                <w:b/>
                <w:bCs/>
                <w:noProof/>
              </w:rPr>
              <w:t>sector-specific scheme</w:t>
            </w:r>
          </w:p>
        </w:tc>
        <w:tc>
          <w:tcPr>
            <w:tcW w:w="1870" w:type="dxa"/>
          </w:tcPr>
          <w:p w14:paraId="6D51B529" w14:textId="77777777" w:rsidR="00EE3DF9" w:rsidRPr="00F5382B" w:rsidRDefault="00EE3DF9">
            <w:pPr>
              <w:rPr>
                <w:b/>
                <w:bCs/>
                <w:noProof/>
              </w:rPr>
            </w:pPr>
            <w:r w:rsidRPr="00F5382B">
              <w:rPr>
                <w:b/>
                <w:bCs/>
                <w:noProof/>
              </w:rPr>
              <w:t>rate for accreditation</w:t>
            </w:r>
          </w:p>
        </w:tc>
        <w:tc>
          <w:tcPr>
            <w:tcW w:w="1870" w:type="dxa"/>
          </w:tcPr>
          <w:p w14:paraId="729FD10A" w14:textId="77777777" w:rsidR="00EE3DF9" w:rsidRPr="00F5382B" w:rsidRDefault="00EE3DF9">
            <w:pPr>
              <w:rPr>
                <w:b/>
                <w:bCs/>
                <w:noProof/>
              </w:rPr>
            </w:pPr>
            <w:r w:rsidRPr="00F5382B">
              <w:rPr>
                <w:b/>
                <w:bCs/>
                <w:noProof/>
              </w:rPr>
              <w:t>rate for reaccreditation</w:t>
            </w:r>
          </w:p>
        </w:tc>
        <w:tc>
          <w:tcPr>
            <w:tcW w:w="1870" w:type="dxa"/>
          </w:tcPr>
          <w:p w14:paraId="7823633E" w14:textId="77777777" w:rsidR="00EE3DF9" w:rsidRPr="00F5382B" w:rsidRDefault="00EE3DF9">
            <w:pPr>
              <w:rPr>
                <w:b/>
                <w:bCs/>
                <w:noProof/>
              </w:rPr>
            </w:pPr>
            <w:r w:rsidRPr="00F5382B">
              <w:rPr>
                <w:b/>
                <w:bCs/>
                <w:noProof/>
              </w:rPr>
              <w:t>rate for surveillance</w:t>
            </w:r>
          </w:p>
        </w:tc>
        <w:tc>
          <w:tcPr>
            <w:tcW w:w="1870" w:type="dxa"/>
          </w:tcPr>
          <w:p w14:paraId="00A3300C" w14:textId="77777777" w:rsidR="00EE3DF9" w:rsidRPr="00F5382B" w:rsidRDefault="00EE3DF9">
            <w:pPr>
              <w:rPr>
                <w:b/>
                <w:bCs/>
                <w:noProof/>
              </w:rPr>
            </w:pPr>
            <w:r w:rsidRPr="00F5382B">
              <w:rPr>
                <w:b/>
                <w:bCs/>
                <w:noProof/>
              </w:rPr>
              <w:t>rate for annual fee for maintaining accreditation</w:t>
            </w:r>
          </w:p>
        </w:tc>
      </w:tr>
      <w:tr w:rsidR="00EE3DF9" w:rsidRPr="00F5382B" w14:paraId="73559935" w14:textId="77777777">
        <w:tc>
          <w:tcPr>
            <w:tcW w:w="1870" w:type="dxa"/>
          </w:tcPr>
          <w:p w14:paraId="6068BB96" w14:textId="77777777" w:rsidR="00EE3DF9" w:rsidRPr="00F5382B" w:rsidRDefault="00EE3DF9">
            <w:pPr>
              <w:rPr>
                <w:noProof/>
              </w:rPr>
            </w:pPr>
            <w:r w:rsidRPr="00F5382B">
              <w:rPr>
                <w:noProof/>
              </w:rPr>
              <w:t>in the field of cyber security, information systems</w:t>
            </w:r>
          </w:p>
        </w:tc>
        <w:tc>
          <w:tcPr>
            <w:tcW w:w="1870" w:type="dxa"/>
          </w:tcPr>
          <w:p w14:paraId="2CF159C6" w14:textId="77777777" w:rsidR="00EE3DF9" w:rsidRPr="00F5382B" w:rsidRDefault="00EE3DF9">
            <w:pPr>
              <w:rPr>
                <w:noProof/>
              </w:rPr>
            </w:pPr>
            <w:r w:rsidRPr="00F5382B">
              <w:rPr>
                <w:noProof/>
              </w:rPr>
              <w:t xml:space="preserve">5,368 </w:t>
            </w:r>
          </w:p>
        </w:tc>
        <w:tc>
          <w:tcPr>
            <w:tcW w:w="1870" w:type="dxa"/>
          </w:tcPr>
          <w:p w14:paraId="420DCEDB" w14:textId="77777777" w:rsidR="00EE3DF9" w:rsidRPr="00F5382B" w:rsidRDefault="00EE3DF9">
            <w:pPr>
              <w:rPr>
                <w:noProof/>
              </w:rPr>
            </w:pPr>
            <w:r w:rsidRPr="00F5382B">
              <w:rPr>
                <w:noProof/>
              </w:rPr>
              <w:t>4,880</w:t>
            </w:r>
          </w:p>
        </w:tc>
        <w:tc>
          <w:tcPr>
            <w:tcW w:w="1870" w:type="dxa"/>
          </w:tcPr>
          <w:p w14:paraId="26C57DCE" w14:textId="77777777" w:rsidR="00EE3DF9" w:rsidRPr="00F5382B" w:rsidRDefault="00EE3DF9">
            <w:pPr>
              <w:rPr>
                <w:noProof/>
              </w:rPr>
            </w:pPr>
            <w:r w:rsidRPr="00F5382B">
              <w:rPr>
                <w:noProof/>
              </w:rPr>
              <w:t>3,904</w:t>
            </w:r>
          </w:p>
        </w:tc>
        <w:tc>
          <w:tcPr>
            <w:tcW w:w="1870" w:type="dxa"/>
          </w:tcPr>
          <w:p w14:paraId="0177FDF0" w14:textId="77777777" w:rsidR="00EE3DF9" w:rsidRPr="00F5382B" w:rsidRDefault="00EE3DF9">
            <w:pPr>
              <w:rPr>
                <w:noProof/>
              </w:rPr>
            </w:pPr>
            <w:r w:rsidRPr="00F5382B">
              <w:rPr>
                <w:noProof/>
              </w:rPr>
              <w:t>800</w:t>
            </w:r>
          </w:p>
        </w:tc>
      </w:tr>
    </w:tbl>
    <w:p w14:paraId="35E368DD" w14:textId="77777777" w:rsidR="00EE3DF9" w:rsidRPr="00F5382B" w:rsidRDefault="00EE3DF9" w:rsidP="00EE3DF9">
      <w:pPr>
        <w:rPr>
          <w:noProof/>
        </w:rPr>
      </w:pPr>
    </w:p>
    <w:p w14:paraId="703AA6CC" w14:textId="77777777" w:rsidR="00EE3DF9" w:rsidRPr="00F5382B" w:rsidRDefault="00EE3DF9" w:rsidP="00EE3DF9">
      <w:pPr>
        <w:rPr>
          <w:noProof/>
        </w:rPr>
      </w:pPr>
      <w:r w:rsidRPr="00F5382B">
        <w:rPr>
          <w:noProof/>
        </w:rPr>
        <w:t xml:space="preserve">In case of assessment of certification body certifying persons as well as persons according to sector-specific schemes (in the field of cyber security, information systems) the resulting rate shall be calculated as the sum of rates for all activity types/categories and sector-specific scheme decreased by EUR 1,464 for accreditation / reaccreditation and by EUR 976 for surveillance. </w:t>
      </w:r>
    </w:p>
    <w:tbl>
      <w:tblPr>
        <w:tblStyle w:val="TableGrid"/>
        <w:tblW w:w="0" w:type="auto"/>
        <w:tblLook w:val="04A0" w:firstRow="1" w:lastRow="0" w:firstColumn="1" w:lastColumn="0" w:noHBand="0" w:noVBand="1"/>
      </w:tblPr>
      <w:tblGrid>
        <w:gridCol w:w="4620"/>
        <w:gridCol w:w="4622"/>
      </w:tblGrid>
      <w:tr w:rsidR="00EE3DF9" w:rsidRPr="00F5382B" w14:paraId="6D0A17B0" w14:textId="77777777">
        <w:tc>
          <w:tcPr>
            <w:tcW w:w="4675" w:type="dxa"/>
          </w:tcPr>
          <w:p w14:paraId="151DC903" w14:textId="77777777" w:rsidR="00EE3DF9" w:rsidRPr="00F5382B" w:rsidRDefault="00EE3DF9">
            <w:pPr>
              <w:jc w:val="center"/>
              <w:rPr>
                <w:b/>
                <w:bCs/>
                <w:noProof/>
              </w:rPr>
            </w:pPr>
            <w:r w:rsidRPr="00F5382B">
              <w:rPr>
                <w:b/>
                <w:bCs/>
                <w:noProof/>
              </w:rPr>
              <w:t>Duration of the test *</w:t>
            </w:r>
          </w:p>
        </w:tc>
        <w:tc>
          <w:tcPr>
            <w:tcW w:w="4675" w:type="dxa"/>
          </w:tcPr>
          <w:p w14:paraId="32B536F5" w14:textId="77777777" w:rsidR="00EE3DF9" w:rsidRPr="00F5382B" w:rsidRDefault="00EE3DF9">
            <w:pPr>
              <w:jc w:val="center"/>
              <w:rPr>
                <w:b/>
                <w:bCs/>
                <w:noProof/>
              </w:rPr>
            </w:pPr>
            <w:r w:rsidRPr="00F5382B">
              <w:rPr>
                <w:b/>
                <w:bCs/>
                <w:noProof/>
              </w:rPr>
              <w:t>rate for witness assessment</w:t>
            </w:r>
          </w:p>
        </w:tc>
      </w:tr>
      <w:tr w:rsidR="00EE3DF9" w:rsidRPr="00F5382B" w14:paraId="2CE6F709" w14:textId="77777777">
        <w:tc>
          <w:tcPr>
            <w:tcW w:w="4675" w:type="dxa"/>
          </w:tcPr>
          <w:p w14:paraId="373BAE1A" w14:textId="77777777" w:rsidR="00EE3DF9" w:rsidRPr="00F5382B" w:rsidRDefault="00EE3DF9">
            <w:pPr>
              <w:rPr>
                <w:noProof/>
              </w:rPr>
            </w:pPr>
            <w:r w:rsidRPr="00F5382B">
              <w:rPr>
                <w:noProof/>
              </w:rPr>
              <w:t>up to 0,5 day</w:t>
            </w:r>
          </w:p>
        </w:tc>
        <w:tc>
          <w:tcPr>
            <w:tcW w:w="4675" w:type="dxa"/>
          </w:tcPr>
          <w:p w14:paraId="0792FC55" w14:textId="77777777" w:rsidR="00EE3DF9" w:rsidRPr="00F5382B" w:rsidRDefault="00EE3DF9">
            <w:pPr>
              <w:rPr>
                <w:noProof/>
              </w:rPr>
            </w:pPr>
            <w:r w:rsidRPr="00F5382B">
              <w:rPr>
                <w:noProof/>
              </w:rPr>
              <w:t>1,220</w:t>
            </w:r>
          </w:p>
        </w:tc>
      </w:tr>
      <w:tr w:rsidR="00EE3DF9" w:rsidRPr="00F5382B" w14:paraId="04AE02FC" w14:textId="77777777">
        <w:tc>
          <w:tcPr>
            <w:tcW w:w="4675" w:type="dxa"/>
          </w:tcPr>
          <w:p w14:paraId="339FE9EA" w14:textId="77777777" w:rsidR="00EE3DF9" w:rsidRPr="00F5382B" w:rsidRDefault="00EE3DF9">
            <w:pPr>
              <w:rPr>
                <w:noProof/>
              </w:rPr>
            </w:pPr>
            <w:r w:rsidRPr="00F5382B">
              <w:rPr>
                <w:noProof/>
              </w:rPr>
              <w:t>up to 1,5 day</w:t>
            </w:r>
          </w:p>
        </w:tc>
        <w:tc>
          <w:tcPr>
            <w:tcW w:w="4675" w:type="dxa"/>
          </w:tcPr>
          <w:p w14:paraId="18DD8117" w14:textId="77777777" w:rsidR="00EE3DF9" w:rsidRPr="00F5382B" w:rsidRDefault="00EE3DF9">
            <w:pPr>
              <w:rPr>
                <w:noProof/>
              </w:rPr>
            </w:pPr>
            <w:r w:rsidRPr="00F5382B">
              <w:rPr>
                <w:noProof/>
              </w:rPr>
              <w:t>1,708</w:t>
            </w:r>
          </w:p>
        </w:tc>
      </w:tr>
      <w:tr w:rsidR="00EE3DF9" w:rsidRPr="00F5382B" w14:paraId="37F1522B" w14:textId="77777777">
        <w:tc>
          <w:tcPr>
            <w:tcW w:w="4675" w:type="dxa"/>
          </w:tcPr>
          <w:p w14:paraId="22B536CB" w14:textId="77777777" w:rsidR="00EE3DF9" w:rsidRPr="00F5382B" w:rsidRDefault="00EE3DF9">
            <w:pPr>
              <w:rPr>
                <w:noProof/>
              </w:rPr>
            </w:pPr>
            <w:r w:rsidRPr="00F5382B">
              <w:rPr>
                <w:noProof/>
              </w:rPr>
              <w:t>2 and more days</w:t>
            </w:r>
          </w:p>
        </w:tc>
        <w:tc>
          <w:tcPr>
            <w:tcW w:w="4675" w:type="dxa"/>
          </w:tcPr>
          <w:p w14:paraId="1D03DAE5" w14:textId="77777777" w:rsidR="00EE3DF9" w:rsidRPr="00F5382B" w:rsidRDefault="00EE3DF9">
            <w:pPr>
              <w:rPr>
                <w:noProof/>
              </w:rPr>
            </w:pPr>
            <w:r w:rsidRPr="00F5382B">
              <w:rPr>
                <w:noProof/>
              </w:rPr>
              <w:t>2,440</w:t>
            </w:r>
          </w:p>
        </w:tc>
      </w:tr>
    </w:tbl>
    <w:p w14:paraId="3FEA0055" w14:textId="77777777" w:rsidR="00EE3DF9" w:rsidRPr="00F5382B" w:rsidRDefault="00EE3DF9" w:rsidP="00EE3DF9">
      <w:pPr>
        <w:rPr>
          <w:noProof/>
        </w:rPr>
      </w:pPr>
      <w:r w:rsidRPr="00F5382B">
        <w:rPr>
          <w:noProof/>
        </w:rPr>
        <w:t>*Note: The audit day is considered one day of verification by one verifier.</w:t>
      </w:r>
    </w:p>
    <w:p w14:paraId="0F1B8603" w14:textId="77777777" w:rsidR="00EE3DF9" w:rsidRPr="00F5382B" w:rsidRDefault="00EE3DF9" w:rsidP="00EE3DF9">
      <w:pPr>
        <w:rPr>
          <w:noProof/>
        </w:rPr>
      </w:pPr>
      <w:r w:rsidRPr="00F5382B">
        <w:rPr>
          <w:noProof/>
          <w:u w:val="single"/>
        </w:rPr>
        <w:t>Calculations</w:t>
      </w:r>
      <w:r w:rsidRPr="00F5382B">
        <w:rPr>
          <w:noProof/>
        </w:rPr>
        <w:t xml:space="preserve"> (estimations, using SK figures):</w:t>
      </w:r>
    </w:p>
    <w:p w14:paraId="2DF0DF5B" w14:textId="77777777" w:rsidR="00EE3DF9" w:rsidRPr="00F5382B" w:rsidRDefault="00EE3DF9" w:rsidP="00EE3DF9">
      <w:pPr>
        <w:rPr>
          <w:noProof/>
        </w:rPr>
      </w:pPr>
      <w:r w:rsidRPr="00F5382B">
        <w:rPr>
          <w:b/>
          <w:bCs/>
          <w:noProof/>
        </w:rPr>
        <w:t>Cost of an initial authorisation, maintenance of the authorisation and surveillance</w:t>
      </w:r>
      <w:r w:rsidRPr="00F5382B">
        <w:rPr>
          <w:noProof/>
        </w:rPr>
        <w:t xml:space="preserve">: </w:t>
      </w:r>
    </w:p>
    <w:p w14:paraId="0CB57DBA" w14:textId="77777777" w:rsidR="00EE3DF9" w:rsidRPr="00F5382B" w:rsidRDefault="00EE3DF9" w:rsidP="00EE3DF9">
      <w:pPr>
        <w:pStyle w:val="ListParagraph"/>
        <w:numPr>
          <w:ilvl w:val="0"/>
          <w:numId w:val="25"/>
        </w:numPr>
        <w:spacing w:after="160" w:line="259" w:lineRule="auto"/>
        <w:rPr>
          <w:noProof/>
        </w:rPr>
      </w:pPr>
      <w:r w:rsidRPr="00F5382B">
        <w:rPr>
          <w:noProof/>
        </w:rPr>
        <w:t>rate for accreditation + rate for surveillance + rate for witness assessment (taking “up to 1,5 day” rate in the absence of indicate as to the duration of the witness assessments for existing certifications) – decrease for accreditation – decrease for surveillance</w:t>
      </w:r>
    </w:p>
    <w:p w14:paraId="29A50FFB" w14:textId="77777777" w:rsidR="00EE3DF9" w:rsidRPr="00F5382B" w:rsidRDefault="00EE3DF9" w:rsidP="00EE3DF9">
      <w:pPr>
        <w:pStyle w:val="ListParagraph"/>
        <w:numPr>
          <w:ilvl w:val="0"/>
          <w:numId w:val="25"/>
        </w:numPr>
        <w:spacing w:after="160" w:line="259" w:lineRule="auto"/>
        <w:rPr>
          <w:noProof/>
        </w:rPr>
      </w:pPr>
      <w:r w:rsidRPr="00F5382B">
        <w:rPr>
          <w:noProof/>
        </w:rPr>
        <w:t xml:space="preserve">5 368 + 3 904 + 1 708 - 1 464 – 976 = </w:t>
      </w:r>
      <w:r w:rsidRPr="00F5382B">
        <w:rPr>
          <w:b/>
          <w:bCs/>
          <w:noProof/>
        </w:rPr>
        <w:t>EUR 8 540 (fixed costs)</w:t>
      </w:r>
    </w:p>
    <w:p w14:paraId="3C62C7A2" w14:textId="77777777" w:rsidR="00EE3DF9" w:rsidRPr="00F5382B" w:rsidRDefault="00EE3DF9" w:rsidP="00EE3DF9">
      <w:pPr>
        <w:pStyle w:val="ListParagraph"/>
        <w:numPr>
          <w:ilvl w:val="0"/>
          <w:numId w:val="25"/>
        </w:numPr>
        <w:spacing w:after="160" w:line="259" w:lineRule="auto"/>
        <w:rPr>
          <w:b/>
          <w:noProof/>
        </w:rPr>
      </w:pPr>
      <w:r w:rsidRPr="00F5382B">
        <w:rPr>
          <w:noProof/>
        </w:rPr>
        <w:t xml:space="preserve">An </w:t>
      </w:r>
      <w:r w:rsidRPr="00F5382B">
        <w:rPr>
          <w:b/>
          <w:bCs/>
          <w:noProof/>
        </w:rPr>
        <w:t>additional EUR 800 would need to be paid covering the annual fee</w:t>
      </w:r>
      <w:r w:rsidRPr="00F5382B">
        <w:rPr>
          <w:noProof/>
        </w:rPr>
        <w:t xml:space="preserve"> of maintaining the accreditation. </w:t>
      </w:r>
    </w:p>
    <w:p w14:paraId="34915537" w14:textId="77777777" w:rsidR="00EE3DF9" w:rsidRPr="00F5382B" w:rsidRDefault="00EE3DF9" w:rsidP="00EE3DF9">
      <w:pPr>
        <w:pStyle w:val="Heading4"/>
        <w:numPr>
          <w:ilvl w:val="3"/>
          <w:numId w:val="3"/>
        </w:numPr>
        <w:rPr>
          <w:noProof/>
        </w:rPr>
      </w:pPr>
      <w:bookmarkStart w:id="286" w:name="_Toc210934636"/>
      <w:bookmarkStart w:id="287" w:name="_Toc210939820"/>
      <w:r w:rsidRPr="00F5382B">
        <w:rPr>
          <w:noProof/>
        </w:rPr>
        <w:t>Additional costs on EU budget</w:t>
      </w:r>
      <w:r w:rsidRPr="00F5382B">
        <w:rPr>
          <w:b/>
          <w:bCs/>
          <w:i/>
          <w:iCs/>
          <w:noProof/>
        </w:rPr>
        <w:t xml:space="preserve"> </w:t>
      </w:r>
      <w:r w:rsidRPr="00F5382B">
        <w:rPr>
          <w:noProof/>
        </w:rPr>
        <w:t>for O</w:t>
      </w:r>
      <w:r w:rsidRPr="00F5382B">
        <w:rPr>
          <w:b/>
          <w:bCs/>
          <w:i/>
          <w:iCs/>
          <w:noProof/>
        </w:rPr>
        <w:t>ption A.3</w:t>
      </w:r>
      <w:bookmarkEnd w:id="286"/>
      <w:bookmarkEnd w:id="287"/>
    </w:p>
    <w:p w14:paraId="467EDDC5" w14:textId="77777777" w:rsidR="00EE3DF9" w:rsidRPr="00F5382B" w:rsidRDefault="00EE3DF9" w:rsidP="00EE3DF9">
      <w:pPr>
        <w:rPr>
          <w:noProof/>
          <w:lang w:val="en-IE"/>
        </w:rPr>
      </w:pPr>
      <w:r w:rsidRPr="00F5382B">
        <w:rPr>
          <w:noProof/>
        </w:rPr>
        <w:t>Option A.3 proposes a significant reform of ENISA’s mandate, placing a strong emphasis on operational support. This approach builds on the reforms proposed in Option A.2 and aims to transform ENISA into a central actor for incident response, policy advice, and direct operational intervention at the EU level. The financial implications of implementing Option A.3 are higher than Option A.2, with an estimated total cost of approximately EUR 165.37M over 5 years</w:t>
      </w:r>
      <w:r w:rsidRPr="000679E9">
        <w:rPr>
          <w:noProof/>
        </w:rPr>
        <w:t xml:space="preserve"> for ENISA and EUR 12.7M over 5 years for MS</w:t>
      </w:r>
      <w:r w:rsidRPr="00F5382B">
        <w:rPr>
          <w:noProof/>
        </w:rPr>
        <w:t>. The recurring yearly costs for ENISA in top of Option A.2. amount to EUR 3.45M (i.e. EUR 17.26M over 5 years) and for MS EUR 282 500, i.e. EUR 1 412 500 over 5 years. This expenditure reflects the investment required to extend ENISA’s mandate, establish an EU-level cybersecurity umbrella, and create a dedicated operational team with NLOs to support entities under the NIS 2 Directive across all Member States.</w:t>
      </w:r>
    </w:p>
    <w:p w14:paraId="0C0EB0A7" w14:textId="77777777" w:rsidR="00EE3DF9" w:rsidRPr="00F5382B" w:rsidRDefault="00EE3DF9" w:rsidP="00EE3DF9">
      <w:pPr>
        <w:rPr>
          <w:noProof/>
        </w:rPr>
      </w:pPr>
      <w:r w:rsidRPr="00F5382B">
        <w:rPr>
          <w:noProof/>
        </w:rPr>
        <w:t>Option A.3. builds on option A.2., thus all the costs considered under option A.2. have to be considered under this option as well.</w:t>
      </w:r>
    </w:p>
    <w:p w14:paraId="2A9BA13B" w14:textId="77777777" w:rsidR="00EE3DF9" w:rsidRPr="00F5382B" w:rsidRDefault="00EE3DF9" w:rsidP="00EE3DF9">
      <w:pPr>
        <w:rPr>
          <w:noProof/>
        </w:rPr>
      </w:pPr>
      <w:r w:rsidRPr="00F5382B">
        <w:rPr>
          <w:noProof/>
        </w:rPr>
        <w:t xml:space="preserve">Additionally, there are two key components under Option A.3: </w:t>
      </w:r>
    </w:p>
    <w:p w14:paraId="2F850E81" w14:textId="77777777" w:rsidR="00EE3DF9" w:rsidRPr="00F5382B" w:rsidRDefault="00EE3DF9" w:rsidP="00D52AD8">
      <w:pPr>
        <w:pStyle w:val="ListParagraph"/>
        <w:numPr>
          <w:ilvl w:val="0"/>
          <w:numId w:val="125"/>
        </w:numPr>
        <w:spacing w:after="160" w:line="259" w:lineRule="auto"/>
        <w:rPr>
          <w:noProof/>
        </w:rPr>
      </w:pPr>
      <w:r w:rsidRPr="00F5382B">
        <w:rPr>
          <w:noProof/>
        </w:rPr>
        <w:t xml:space="preserve">the EU-level cybersecurity umbrella and </w:t>
      </w:r>
    </w:p>
    <w:p w14:paraId="1E8A3BF0" w14:textId="77777777" w:rsidR="00EE3DF9" w:rsidRPr="00F5382B" w:rsidRDefault="00EE3DF9" w:rsidP="00D52AD8">
      <w:pPr>
        <w:pStyle w:val="ListParagraph"/>
        <w:numPr>
          <w:ilvl w:val="0"/>
          <w:numId w:val="125"/>
        </w:numPr>
        <w:spacing w:after="160" w:line="259" w:lineRule="auto"/>
        <w:rPr>
          <w:noProof/>
        </w:rPr>
      </w:pPr>
      <w:r w:rsidRPr="00F5382B">
        <w:rPr>
          <w:noProof/>
        </w:rPr>
        <w:t xml:space="preserve">the establishment of an operational team to provide direct support to entities under the NIS 2 Directive. </w:t>
      </w:r>
    </w:p>
    <w:p w14:paraId="382A2E32" w14:textId="77777777" w:rsidR="00EE3DF9" w:rsidRPr="00F5382B" w:rsidRDefault="00EE3DF9" w:rsidP="00EE3DF9">
      <w:pPr>
        <w:rPr>
          <w:noProof/>
        </w:rPr>
      </w:pPr>
      <w:r w:rsidRPr="00F5382B">
        <w:rPr>
          <w:noProof/>
        </w:rPr>
        <w:t>Furthermore, EUR 180 000 for the daily allowances of 5 Seconded National Experts (SNEs) should be counted (see more details under the costs of Member States below)</w:t>
      </w:r>
      <w:r w:rsidRPr="00F5382B">
        <w:rPr>
          <w:b/>
          <w:bCs/>
          <w:noProof/>
        </w:rPr>
        <w:t>.</w:t>
      </w:r>
    </w:p>
    <w:p w14:paraId="453AFCFF" w14:textId="77777777" w:rsidR="00EE3DF9" w:rsidRPr="00F5382B" w:rsidRDefault="00EE3DF9" w:rsidP="00EE3DF9">
      <w:pPr>
        <w:rPr>
          <w:noProof/>
        </w:rPr>
      </w:pPr>
      <w:r w:rsidRPr="00F5382B">
        <w:rPr>
          <w:noProof/>
        </w:rPr>
        <w:t xml:space="preserve">The costs for this component are estimated at EUR 13.53 million yearly: </w:t>
      </w:r>
    </w:p>
    <w:p w14:paraId="03088B65" w14:textId="77777777" w:rsidR="00EE3DF9" w:rsidRPr="00F5382B" w:rsidRDefault="00EE3DF9" w:rsidP="00D52AD8">
      <w:pPr>
        <w:pStyle w:val="ListParagraph"/>
        <w:numPr>
          <w:ilvl w:val="0"/>
          <w:numId w:val="126"/>
        </w:numPr>
        <w:spacing w:after="160" w:line="259" w:lineRule="auto"/>
        <w:rPr>
          <w:noProof/>
        </w:rPr>
      </w:pPr>
      <w:r w:rsidRPr="00F5382B">
        <w:rPr>
          <w:noProof/>
        </w:rPr>
        <w:t>EUR 10.1 million - costs of Option A.2.  and</w:t>
      </w:r>
    </w:p>
    <w:p w14:paraId="79D8637A" w14:textId="77777777" w:rsidR="00EE3DF9" w:rsidRPr="00F5382B" w:rsidRDefault="00EE3DF9" w:rsidP="00D52AD8">
      <w:pPr>
        <w:pStyle w:val="ListParagraph"/>
        <w:numPr>
          <w:ilvl w:val="0"/>
          <w:numId w:val="126"/>
        </w:numPr>
        <w:spacing w:after="160" w:line="259" w:lineRule="auto"/>
        <w:rPr>
          <w:noProof/>
        </w:rPr>
      </w:pPr>
      <w:r w:rsidRPr="00F5382B">
        <w:rPr>
          <w:noProof/>
        </w:rPr>
        <w:t>EUR 3.27 million average yearly costs stemming from the two key components mentioned above</w:t>
      </w:r>
    </w:p>
    <w:p w14:paraId="7D6D2B97" w14:textId="77777777" w:rsidR="00EE3DF9" w:rsidRPr="00F5382B" w:rsidRDefault="00EE3DF9" w:rsidP="00D52AD8">
      <w:pPr>
        <w:pStyle w:val="ListParagraph"/>
        <w:numPr>
          <w:ilvl w:val="0"/>
          <w:numId w:val="126"/>
        </w:numPr>
        <w:spacing w:after="160" w:line="259" w:lineRule="auto"/>
        <w:rPr>
          <w:noProof/>
        </w:rPr>
      </w:pPr>
      <w:r w:rsidRPr="00F5382B">
        <w:rPr>
          <w:noProof/>
        </w:rPr>
        <w:t>EUR 180 000 for the daily allowances of 5 Seconded National Experts (SNEs).</w:t>
      </w:r>
    </w:p>
    <w:p w14:paraId="602E42C1" w14:textId="77777777" w:rsidR="00EE3DF9" w:rsidRPr="00F5382B" w:rsidRDefault="00EE3DF9" w:rsidP="00EE3DF9">
      <w:pPr>
        <w:rPr>
          <w:noProof/>
        </w:rPr>
      </w:pPr>
      <w:r w:rsidRPr="00F5382B">
        <w:rPr>
          <w:noProof/>
        </w:rPr>
        <w:t>See further details below.</w:t>
      </w:r>
    </w:p>
    <w:p w14:paraId="69C3CC8A" w14:textId="77777777" w:rsidR="00EE3DF9" w:rsidRPr="00F5382B" w:rsidRDefault="00EE3DF9" w:rsidP="00EE3DF9">
      <w:pPr>
        <w:rPr>
          <w:noProof/>
        </w:rPr>
      </w:pPr>
      <w:r w:rsidRPr="00F5382B">
        <w:rPr>
          <w:noProof/>
        </w:rPr>
        <w:t>A) The first key component is the creation of an EU-level cybersecurity umbrella, which includes policy advice, serving as a centre for information, and functioning as a Computer Emergency Response Team (CERT). Based on actualised human resources cost estimates from the European Commission’s 2017 evaluation of ENISA</w:t>
      </w:r>
      <w:r w:rsidRPr="00F5382B">
        <w:rPr>
          <w:rStyle w:val="FootnoteReference"/>
          <w:noProof/>
        </w:rPr>
        <w:footnoteReference w:id="206"/>
      </w:r>
      <w:r w:rsidRPr="00F5382B">
        <w:rPr>
          <w:noProof/>
        </w:rPr>
        <w:t xml:space="preserve">, a total of 2.5 FTEs would need to be added to the reforms proposed in Option A.2. </w:t>
      </w:r>
    </w:p>
    <w:p w14:paraId="178AAF97" w14:textId="77777777" w:rsidR="00EE3DF9" w:rsidRPr="00F5382B" w:rsidRDefault="00EE3DF9" w:rsidP="00EE3DF9">
      <w:pPr>
        <w:rPr>
          <w:noProof/>
        </w:rPr>
      </w:pPr>
      <w:r w:rsidRPr="00F5382B">
        <w:rPr>
          <w:noProof/>
        </w:rPr>
        <w:t>Calculations:</w:t>
      </w:r>
    </w:p>
    <w:p w14:paraId="3E7EE515" w14:textId="77777777" w:rsidR="00EE3DF9" w:rsidRPr="00F5382B" w:rsidRDefault="00EE3DF9" w:rsidP="00D52AD8">
      <w:pPr>
        <w:pStyle w:val="ListParagraph"/>
        <w:numPr>
          <w:ilvl w:val="0"/>
          <w:numId w:val="122"/>
        </w:numPr>
        <w:spacing w:after="160" w:line="259" w:lineRule="auto"/>
        <w:rPr>
          <w:noProof/>
        </w:rPr>
      </w:pPr>
      <w:r w:rsidRPr="00F5382B">
        <w:rPr>
          <w:b/>
          <w:bCs/>
          <w:noProof/>
        </w:rPr>
        <w:t>Additional 2.5 FTEs for the Cybersecurity Umbrella:</w:t>
      </w:r>
      <w:r w:rsidRPr="00F5382B">
        <w:rPr>
          <w:noProof/>
        </w:rPr>
        <w:t xml:space="preserve"> </w:t>
      </w:r>
    </w:p>
    <w:p w14:paraId="25273D6F" w14:textId="77777777" w:rsidR="00EE3DF9" w:rsidRPr="00F5382B" w:rsidRDefault="00EE3DF9" w:rsidP="00EE3DF9">
      <w:pPr>
        <w:pStyle w:val="ListParagraph"/>
        <w:rPr>
          <w:noProof/>
        </w:rPr>
      </w:pPr>
      <w:r w:rsidRPr="00F5382B">
        <w:rPr>
          <w:noProof/>
        </w:rPr>
        <w:t>2.5FTEs x EUR 128 277 = EUR 320 692 average costs yearly.</w:t>
      </w:r>
    </w:p>
    <w:p w14:paraId="6D6C86E4" w14:textId="77777777" w:rsidR="00EE3DF9" w:rsidRPr="00F5382B" w:rsidRDefault="00EE3DF9" w:rsidP="00EE3DF9">
      <w:pPr>
        <w:pStyle w:val="ListParagraph"/>
        <w:rPr>
          <w:noProof/>
        </w:rPr>
      </w:pPr>
      <w:r w:rsidRPr="00F5382B">
        <w:rPr>
          <w:noProof/>
        </w:rPr>
        <w:t>This amounts to EUR 1</w:t>
      </w:r>
      <w:r w:rsidRPr="00F5382B">
        <w:rPr>
          <w:noProof/>
          <w:lang w:val="en-IE"/>
        </w:rPr>
        <w:t> 603 460 over 5 ye</w:t>
      </w:r>
      <w:r w:rsidRPr="00F5382B">
        <w:rPr>
          <w:noProof/>
          <w:lang w:val="hu-HU"/>
        </w:rPr>
        <w:t>ars</w:t>
      </w:r>
      <w:r w:rsidRPr="00F5382B">
        <w:rPr>
          <w:noProof/>
        </w:rPr>
        <w:t>.</w:t>
      </w:r>
    </w:p>
    <w:p w14:paraId="777FC22D" w14:textId="77777777" w:rsidR="00EE3DF9" w:rsidRPr="00F5382B" w:rsidRDefault="00EE3DF9" w:rsidP="00EE3DF9">
      <w:pPr>
        <w:rPr>
          <w:noProof/>
        </w:rPr>
      </w:pPr>
      <w:r w:rsidRPr="00F5382B">
        <w:rPr>
          <w:noProof/>
        </w:rPr>
        <w:t xml:space="preserve">B) The other key component is the </w:t>
      </w:r>
      <w:r w:rsidRPr="00F5382B">
        <w:rPr>
          <w:b/>
          <w:noProof/>
        </w:rPr>
        <w:t>establishment of an operational team to provide direct support to entities under the NIS 2 Directive</w:t>
      </w:r>
      <w:r w:rsidRPr="00F5382B">
        <w:rPr>
          <w:noProof/>
        </w:rPr>
        <w:t>. This team, composed of ENISA staff and national liaison officers, would operate upon request from Member States. According to the same evaluation, the initial setup would cost around EUR 1.92 million, requiring 15 FTEs. Once fully operational, management and maintenance costs would reach around EUR 3.2 million, assuming the team grows to 25 FTEs by the 2</w:t>
      </w:r>
      <w:r w:rsidRPr="00F5382B">
        <w:rPr>
          <w:noProof/>
          <w:vertAlign w:val="superscript"/>
        </w:rPr>
        <w:t>nd</w:t>
      </w:r>
      <w:r w:rsidRPr="00F5382B">
        <w:rPr>
          <w:noProof/>
        </w:rPr>
        <w:t xml:space="preserve"> year. The total cost for this component is estimated at EUR 5.13 million for the first 1–2 years, including both initial setup and operational costs.</w:t>
      </w:r>
    </w:p>
    <w:p w14:paraId="7B49212B" w14:textId="77777777" w:rsidR="00EE3DF9" w:rsidRPr="00F5382B" w:rsidRDefault="00EE3DF9" w:rsidP="00EE3DF9">
      <w:pPr>
        <w:rPr>
          <w:noProof/>
        </w:rPr>
      </w:pPr>
      <w:r w:rsidRPr="00F5382B">
        <w:rPr>
          <w:noProof/>
        </w:rPr>
        <w:t xml:space="preserve">Calculations: </w:t>
      </w:r>
    </w:p>
    <w:p w14:paraId="3F8A7352" w14:textId="77777777" w:rsidR="00EE3DF9" w:rsidRPr="00F5382B" w:rsidRDefault="00EE3DF9" w:rsidP="00D52AD8">
      <w:pPr>
        <w:pStyle w:val="ListParagraph"/>
        <w:numPr>
          <w:ilvl w:val="0"/>
          <w:numId w:val="124"/>
        </w:numPr>
        <w:spacing w:after="160" w:line="259" w:lineRule="auto"/>
        <w:rPr>
          <w:noProof/>
        </w:rPr>
      </w:pPr>
      <w:r w:rsidRPr="00F5382B">
        <w:rPr>
          <w:b/>
          <w:bCs/>
          <w:noProof/>
        </w:rPr>
        <w:t xml:space="preserve">Initial setup: </w:t>
      </w:r>
      <w:r w:rsidRPr="00F5382B">
        <w:rPr>
          <w:noProof/>
        </w:rPr>
        <w:t>15 FTEs × EUR 128 277 = EUR 1 924 155</w:t>
      </w:r>
    </w:p>
    <w:p w14:paraId="3D76DEA4" w14:textId="77777777" w:rsidR="00EE3DF9" w:rsidRPr="00F5382B" w:rsidRDefault="00EE3DF9" w:rsidP="00D52AD8">
      <w:pPr>
        <w:pStyle w:val="ListParagraph"/>
        <w:numPr>
          <w:ilvl w:val="0"/>
          <w:numId w:val="124"/>
        </w:numPr>
        <w:spacing w:after="160" w:line="259" w:lineRule="auto"/>
        <w:rPr>
          <w:noProof/>
        </w:rPr>
      </w:pPr>
      <w:r w:rsidRPr="00F5382B">
        <w:rPr>
          <w:b/>
          <w:bCs/>
          <w:noProof/>
        </w:rPr>
        <w:t xml:space="preserve">Management and maintenance (fully operational): </w:t>
      </w:r>
      <w:r w:rsidRPr="00F5382B">
        <w:rPr>
          <w:noProof/>
        </w:rPr>
        <w:t>25 FTEs × EUR 128 277 = EUR 3 206 925</w:t>
      </w:r>
    </w:p>
    <w:p w14:paraId="144808DB" w14:textId="77777777" w:rsidR="00EE3DF9" w:rsidRPr="00F5382B" w:rsidRDefault="00EE3DF9" w:rsidP="00EE3DF9">
      <w:pPr>
        <w:rPr>
          <w:b/>
          <w:bCs/>
          <w:noProof/>
        </w:rPr>
      </w:pPr>
      <w:r w:rsidRPr="00F5382B">
        <w:rPr>
          <w:b/>
          <w:bCs/>
          <w:noProof/>
        </w:rPr>
        <w:t xml:space="preserve">Total cost for the first 2 years (setup + operational): </w:t>
      </w:r>
      <w:r w:rsidRPr="00F5382B">
        <w:rPr>
          <w:noProof/>
        </w:rPr>
        <w:t xml:space="preserve">EUR 1 924 155 (setup) + EUR 3 206 925 (maintenance) = </w:t>
      </w:r>
      <w:r w:rsidRPr="00F5382B">
        <w:rPr>
          <w:b/>
          <w:bCs/>
          <w:noProof/>
        </w:rPr>
        <w:t xml:space="preserve">EUR 5 131 080. </w:t>
      </w:r>
    </w:p>
    <w:p w14:paraId="2A8873C8" w14:textId="77777777" w:rsidR="00EE3DF9" w:rsidRPr="00F5382B" w:rsidRDefault="00EE3DF9" w:rsidP="00EE3DF9">
      <w:pPr>
        <w:rPr>
          <w:noProof/>
        </w:rPr>
      </w:pPr>
      <w:r w:rsidRPr="00F5382B">
        <w:rPr>
          <w:noProof/>
        </w:rPr>
        <w:t xml:space="preserve">Calculated over the assessment period of 5 years the total costs amount to EUR 14.75 million: (15 FTEs + 4 x 25 FTEs) x 128 277 = EUR 14 751 855 (calculating with 25 FTEs from the 2nd year). </w:t>
      </w:r>
    </w:p>
    <w:p w14:paraId="4FCE784D" w14:textId="77777777" w:rsidR="00EE3DF9" w:rsidRPr="00F5382B" w:rsidRDefault="00EE3DF9" w:rsidP="00EE3DF9">
      <w:pPr>
        <w:rPr>
          <w:noProof/>
        </w:rPr>
      </w:pPr>
      <w:r w:rsidRPr="00F5382B">
        <w:rPr>
          <w:noProof/>
        </w:rPr>
        <w:t xml:space="preserve">This means a yearly average cost of:  </w:t>
      </w:r>
    </w:p>
    <w:p w14:paraId="3EEA081A" w14:textId="77777777" w:rsidR="00EE3DF9" w:rsidRPr="00F5382B" w:rsidRDefault="00EE3DF9" w:rsidP="00EE3DF9">
      <w:pPr>
        <w:rPr>
          <w:noProof/>
        </w:rPr>
      </w:pPr>
      <w:r w:rsidRPr="00F5382B">
        <w:rPr>
          <w:noProof/>
        </w:rPr>
        <w:t>EUR 14 751 855 / 5 years = EUR 2 950 371.</w:t>
      </w:r>
    </w:p>
    <w:p w14:paraId="33459707" w14:textId="77777777" w:rsidR="00EE3DF9" w:rsidRPr="00F5382B" w:rsidRDefault="00EE3DF9" w:rsidP="00EE3DF9">
      <w:pPr>
        <w:rPr>
          <w:noProof/>
          <w:lang w:val="en-IE"/>
        </w:rPr>
      </w:pPr>
      <w:r w:rsidRPr="00F5382B">
        <w:rPr>
          <w:noProof/>
        </w:rPr>
        <w:t>Additionally to component A) and B), the daily allowances of</w:t>
      </w:r>
      <w:r w:rsidRPr="00F5382B">
        <w:rPr>
          <w:b/>
          <w:bCs/>
          <w:noProof/>
        </w:rPr>
        <w:t xml:space="preserve"> </w:t>
      </w:r>
      <w:r w:rsidRPr="00F5382B">
        <w:rPr>
          <w:noProof/>
        </w:rPr>
        <w:t>5 seconded national experts (SNEs) (=5 x EUR 150 daily allowance x 20 days x 12 months) EUR 180</w:t>
      </w:r>
      <w:r w:rsidRPr="00F5382B">
        <w:rPr>
          <w:noProof/>
          <w:lang w:val="en-IE"/>
        </w:rPr>
        <w:t> 000 should be added (see further details under costs of Member States below).</w:t>
      </w:r>
    </w:p>
    <w:p w14:paraId="0FBFA942" w14:textId="77777777" w:rsidR="00EE3DF9" w:rsidRPr="00F5382B" w:rsidRDefault="00EE3DF9" w:rsidP="00EE3DF9">
      <w:pPr>
        <w:rPr>
          <w:noProof/>
        </w:rPr>
      </w:pPr>
      <w:r w:rsidRPr="00F5382B">
        <w:rPr>
          <w:b/>
          <w:bCs/>
          <w:noProof/>
        </w:rPr>
        <w:t>Calculations of the total costs of Option A.3 for ENISA</w:t>
      </w:r>
      <w:r w:rsidRPr="00F5382B">
        <w:rPr>
          <w:noProof/>
        </w:rPr>
        <w:t xml:space="preserve">: </w:t>
      </w:r>
    </w:p>
    <w:p w14:paraId="46CD07EB" w14:textId="77777777" w:rsidR="00EE3DF9" w:rsidRPr="000679E9" w:rsidRDefault="00EE3DF9" w:rsidP="00EE3DF9">
      <w:pPr>
        <w:rPr>
          <w:i/>
          <w:iCs/>
          <w:noProof/>
        </w:rPr>
      </w:pPr>
      <w:r w:rsidRPr="000679E9">
        <w:rPr>
          <w:i/>
          <w:iCs/>
          <w:noProof/>
        </w:rPr>
        <w:t>Recurring costs related to FTEs and NLOs:</w:t>
      </w:r>
    </w:p>
    <w:p w14:paraId="42B58C07" w14:textId="77777777" w:rsidR="00EE3DF9" w:rsidRPr="00F5382B" w:rsidRDefault="00EE3DF9" w:rsidP="00EE3DF9">
      <w:pPr>
        <w:rPr>
          <w:noProof/>
        </w:rPr>
      </w:pPr>
      <w:r w:rsidRPr="00F5382B">
        <w:rPr>
          <w:noProof/>
        </w:rPr>
        <w:t xml:space="preserve">EUR 14 524 254 (from Option A2) </w:t>
      </w:r>
    </w:p>
    <w:p w14:paraId="49C9B139" w14:textId="77777777" w:rsidR="00EE3DF9" w:rsidRPr="00F5382B" w:rsidRDefault="00EE3DF9" w:rsidP="00EE3DF9">
      <w:pPr>
        <w:rPr>
          <w:noProof/>
        </w:rPr>
      </w:pPr>
      <w:r w:rsidRPr="00F5382B">
        <w:rPr>
          <w:b/>
          <w:bCs/>
          <w:noProof/>
        </w:rPr>
        <w:t xml:space="preserve">+ </w:t>
      </w:r>
      <w:r w:rsidRPr="00F5382B">
        <w:rPr>
          <w:noProof/>
        </w:rPr>
        <w:t xml:space="preserve">EUR 320 692 (EU Cybersecurity Umbrella additional 2.5 FTEs) </w:t>
      </w:r>
    </w:p>
    <w:p w14:paraId="59A0B8E3" w14:textId="77777777" w:rsidR="00EE3DF9" w:rsidRPr="00F5382B" w:rsidRDefault="00EE3DF9" w:rsidP="00EE3DF9">
      <w:pPr>
        <w:rPr>
          <w:noProof/>
        </w:rPr>
      </w:pPr>
      <w:r w:rsidRPr="00F5382B">
        <w:rPr>
          <w:noProof/>
        </w:rPr>
        <w:t xml:space="preserve">+ EUR 2 950 371 (operational team for NIS2) </w:t>
      </w:r>
    </w:p>
    <w:p w14:paraId="05E1CCDC" w14:textId="77777777" w:rsidR="00EE3DF9" w:rsidRPr="00F5382B" w:rsidRDefault="00EE3DF9" w:rsidP="00EE3DF9">
      <w:pPr>
        <w:rPr>
          <w:noProof/>
        </w:rPr>
      </w:pPr>
      <w:r w:rsidRPr="00F5382B">
        <w:rPr>
          <w:noProof/>
        </w:rPr>
        <w:t xml:space="preserve">+ EUR 180 000 (daily allowances for 5 SNEs) </w:t>
      </w:r>
    </w:p>
    <w:p w14:paraId="427CD915" w14:textId="77777777" w:rsidR="00EE3DF9" w:rsidRPr="00F5382B" w:rsidRDefault="00EE3DF9" w:rsidP="00EE3DF9">
      <w:pPr>
        <w:rPr>
          <w:noProof/>
        </w:rPr>
      </w:pPr>
      <w:r w:rsidRPr="00F5382B">
        <w:rPr>
          <w:noProof/>
        </w:rPr>
        <w:t xml:space="preserve">= EUR 17 975 318 yearly recurring costs, i.e. </w:t>
      </w:r>
      <w:r w:rsidRPr="000679E9">
        <w:rPr>
          <w:b/>
          <w:bCs/>
          <w:noProof/>
        </w:rPr>
        <w:t>EUR</w:t>
      </w:r>
      <w:r w:rsidRPr="00F5382B">
        <w:rPr>
          <w:noProof/>
        </w:rPr>
        <w:t xml:space="preserve"> </w:t>
      </w:r>
      <w:r w:rsidRPr="000679E9">
        <w:rPr>
          <w:b/>
          <w:bCs/>
          <w:noProof/>
        </w:rPr>
        <w:t>89.88M</w:t>
      </w:r>
      <w:r w:rsidRPr="00F5382B">
        <w:rPr>
          <w:noProof/>
        </w:rPr>
        <w:t xml:space="preserve"> over 5 years.</w:t>
      </w:r>
    </w:p>
    <w:p w14:paraId="4AA0C735" w14:textId="77777777" w:rsidR="00EE3DF9" w:rsidRPr="000679E9" w:rsidRDefault="00EE3DF9" w:rsidP="00EE3DF9">
      <w:pPr>
        <w:rPr>
          <w:i/>
          <w:iCs/>
          <w:noProof/>
        </w:rPr>
      </w:pPr>
      <w:r w:rsidRPr="000679E9">
        <w:rPr>
          <w:i/>
          <w:iCs/>
          <w:noProof/>
        </w:rPr>
        <w:t>Other costs (only from Option A2):</w:t>
      </w:r>
    </w:p>
    <w:p w14:paraId="15070829" w14:textId="77777777" w:rsidR="00EE3DF9" w:rsidRPr="000679E9" w:rsidRDefault="00EE3DF9" w:rsidP="00EE3DF9">
      <w:pPr>
        <w:rPr>
          <w:b/>
          <w:bCs/>
          <w:noProof/>
        </w:rPr>
      </w:pPr>
      <w:r w:rsidRPr="000679E9">
        <w:rPr>
          <w:b/>
          <w:bCs/>
          <w:noProof/>
        </w:rPr>
        <w:t>EUR 75.5M</w:t>
      </w:r>
    </w:p>
    <w:p w14:paraId="49D0C072" w14:textId="77777777" w:rsidR="00EE3DF9" w:rsidRPr="000679E9" w:rsidRDefault="00EE3DF9" w:rsidP="00EE3DF9">
      <w:pPr>
        <w:rPr>
          <w:b/>
          <w:bCs/>
          <w:noProof/>
        </w:rPr>
      </w:pPr>
      <w:r w:rsidRPr="000679E9">
        <w:rPr>
          <w:b/>
          <w:bCs/>
          <w:noProof/>
        </w:rPr>
        <w:t>In total:</w:t>
      </w:r>
      <w:r w:rsidRPr="00F5382B">
        <w:rPr>
          <w:noProof/>
        </w:rPr>
        <w:t xml:space="preserve"> EUR 89.88M+EUR 75.5M = </w:t>
      </w:r>
      <w:r w:rsidRPr="000679E9">
        <w:rPr>
          <w:b/>
          <w:bCs/>
          <w:noProof/>
        </w:rPr>
        <w:t>EUR 165.38M</w:t>
      </w:r>
      <w:r w:rsidRPr="00F5382B">
        <w:rPr>
          <w:b/>
          <w:bCs/>
          <w:noProof/>
        </w:rPr>
        <w:t xml:space="preserve"> over 5 years</w:t>
      </w:r>
    </w:p>
    <w:p w14:paraId="6873AE0D" w14:textId="77777777" w:rsidR="00EE3DF9" w:rsidRPr="00F5382B" w:rsidRDefault="00EE3DF9" w:rsidP="00EE3DF9">
      <w:pPr>
        <w:pStyle w:val="Heading4"/>
        <w:numPr>
          <w:ilvl w:val="3"/>
          <w:numId w:val="3"/>
        </w:numPr>
        <w:rPr>
          <w:noProof/>
        </w:rPr>
      </w:pPr>
      <w:bookmarkStart w:id="288" w:name="_Toc210934637"/>
      <w:bookmarkStart w:id="289" w:name="_Toc210939821"/>
      <w:r w:rsidRPr="00F5382B">
        <w:rPr>
          <w:noProof/>
        </w:rPr>
        <w:t xml:space="preserve"> Additional costs for national authorities for Option A.3</w:t>
      </w:r>
      <w:bookmarkEnd w:id="288"/>
      <w:bookmarkEnd w:id="289"/>
    </w:p>
    <w:p w14:paraId="38E9245B" w14:textId="77777777" w:rsidR="00EE3DF9" w:rsidRPr="00F5382B" w:rsidRDefault="00EE3DF9" w:rsidP="00EE3DF9">
      <w:pPr>
        <w:rPr>
          <w:noProof/>
        </w:rPr>
      </w:pPr>
      <w:r w:rsidRPr="00F5382B">
        <w:rPr>
          <w:noProof/>
        </w:rPr>
        <w:t>In addition to the 40 NLOs designated under Option A.2, some Member States would designate additional seconded national experts (SNEs) as part of this operational team, which would be about 5 SNEs (from all MS). For cost estimation, we assume the average cost of EUR 56 500 applies to SNEs, as actual costs can vary across EU Member States. This assumption is justified because SNEs would retain their national salary and receive an allowance from ENISA, which may vary depending on multiple factors. Taking this information into account, the total cost of 5 SNEs would result in EUR 282 500 yearly, i.e. EUR 1 412 500 over 5 years, to be borne by Member States’ National Authorities.</w:t>
      </w:r>
    </w:p>
    <w:p w14:paraId="632485A8" w14:textId="77777777" w:rsidR="00EE3DF9" w:rsidRPr="00F5382B" w:rsidRDefault="00EE3DF9" w:rsidP="00EE3DF9">
      <w:pPr>
        <w:rPr>
          <w:noProof/>
        </w:rPr>
      </w:pPr>
      <w:r w:rsidRPr="00F5382B">
        <w:rPr>
          <w:noProof/>
        </w:rPr>
        <w:t>Calculations:</w:t>
      </w:r>
    </w:p>
    <w:p w14:paraId="0B286CA1" w14:textId="77777777" w:rsidR="00EE3DF9" w:rsidRPr="00F5382B" w:rsidRDefault="00EE3DF9" w:rsidP="00EE3DF9">
      <w:pPr>
        <w:rPr>
          <w:b/>
          <w:bCs/>
          <w:noProof/>
        </w:rPr>
      </w:pPr>
      <w:r w:rsidRPr="00F5382B">
        <w:rPr>
          <w:b/>
          <w:bCs/>
          <w:noProof/>
        </w:rPr>
        <w:t>Total annual recurrent cost:</w:t>
      </w:r>
      <w:r w:rsidRPr="00F5382B">
        <w:rPr>
          <w:noProof/>
        </w:rPr>
        <w:t xml:space="preserve"> 5 SNEs × EUR 56 500 = </w:t>
      </w:r>
      <w:r w:rsidRPr="00F5382B">
        <w:rPr>
          <w:b/>
          <w:bCs/>
          <w:noProof/>
        </w:rPr>
        <w:t>EUR 282 500</w:t>
      </w:r>
    </w:p>
    <w:p w14:paraId="28DC13DD" w14:textId="77777777" w:rsidR="00EE3DF9" w:rsidRPr="00F5382B" w:rsidRDefault="00EE3DF9" w:rsidP="00EE3DF9">
      <w:pPr>
        <w:rPr>
          <w:noProof/>
        </w:rPr>
      </w:pPr>
      <w:r w:rsidRPr="00F5382B">
        <w:rPr>
          <w:b/>
          <w:bCs/>
          <w:noProof/>
        </w:rPr>
        <w:t xml:space="preserve">In total: </w:t>
      </w:r>
      <w:r w:rsidRPr="000679E9">
        <w:rPr>
          <w:noProof/>
        </w:rPr>
        <w:t>EUR 11.3M (from Option A.2) + EUR 1.41M</w:t>
      </w:r>
      <w:r w:rsidRPr="00F5382B">
        <w:rPr>
          <w:b/>
          <w:bCs/>
          <w:noProof/>
        </w:rPr>
        <w:t xml:space="preserve"> = EUR 12.71M for Option A.3 over 5 years for MS</w:t>
      </w:r>
    </w:p>
    <w:p w14:paraId="1DF2C1AE" w14:textId="77777777" w:rsidR="00EE3DF9" w:rsidRPr="00F5382B" w:rsidRDefault="00EE3DF9" w:rsidP="00EE3DF9">
      <w:pPr>
        <w:pStyle w:val="Heading2"/>
        <w:numPr>
          <w:ilvl w:val="1"/>
          <w:numId w:val="3"/>
        </w:numPr>
        <w:rPr>
          <w:noProof/>
        </w:rPr>
      </w:pPr>
      <w:bookmarkStart w:id="290" w:name="_Toc210934638"/>
      <w:bookmarkStart w:id="291" w:name="_Toc210939822"/>
      <w:bookmarkStart w:id="292" w:name="_Toc219039504"/>
      <w:bookmarkStart w:id="293" w:name="_Toc219447403"/>
      <w:r w:rsidRPr="00F5382B">
        <w:rPr>
          <w:noProof/>
        </w:rPr>
        <w:t>Options related to the certification framework (B)</w:t>
      </w:r>
      <w:bookmarkEnd w:id="290"/>
      <w:bookmarkEnd w:id="291"/>
      <w:bookmarkEnd w:id="292"/>
      <w:bookmarkEnd w:id="293"/>
    </w:p>
    <w:p w14:paraId="04FCF320" w14:textId="77777777" w:rsidR="00EE3DF9" w:rsidRPr="00F5382B" w:rsidRDefault="00EE3DF9" w:rsidP="00EE3DF9">
      <w:pPr>
        <w:rPr>
          <w:noProof/>
        </w:rPr>
      </w:pPr>
      <w:r w:rsidRPr="00F5382B">
        <w:rPr>
          <w:noProof/>
        </w:rPr>
        <w:t xml:space="preserve">The following scenarios and combinations of policy options have been considered for the cost calculations of FTEs for ENISA and MS:  </w:t>
      </w:r>
    </w:p>
    <w:p w14:paraId="7707CDF7" w14:textId="3D7B03CB" w:rsidR="00EE3DF9" w:rsidRPr="00F5382B" w:rsidRDefault="00EE3DF9" w:rsidP="00EE3DF9">
      <w:pPr>
        <w:pStyle w:val="Heading5"/>
        <w:rPr>
          <w:noProof/>
        </w:rPr>
      </w:pPr>
      <w:bookmarkStart w:id="294" w:name="_Toc218767807"/>
      <w:r w:rsidRPr="00F5382B">
        <w:rPr>
          <w:noProof/>
        </w:rPr>
        <w:t>Table 1</w:t>
      </w:r>
      <w:r w:rsidR="00EA238E">
        <w:rPr>
          <w:noProof/>
        </w:rPr>
        <w:t>4</w:t>
      </w:r>
      <w:r w:rsidRPr="00F5382B">
        <w:rPr>
          <w:noProof/>
        </w:rPr>
        <w:t>: Scenarios for development of schemes under ECCF, and percentage of maintenance costs covered by fees</w:t>
      </w:r>
      <w:bookmarkEnd w:id="294"/>
      <w:r w:rsidRPr="00F5382B">
        <w:rPr>
          <w:noProof/>
        </w:rPr>
        <w:t xml:space="preserve"> </w:t>
      </w:r>
    </w:p>
    <w:tbl>
      <w:tblPr>
        <w:tblW w:w="5000" w:type="pct"/>
        <w:tblCellMar>
          <w:left w:w="0" w:type="dxa"/>
          <w:right w:w="0" w:type="dxa"/>
        </w:tblCellMar>
        <w:tblLook w:val="04A0" w:firstRow="1" w:lastRow="0" w:firstColumn="1" w:lastColumn="0" w:noHBand="0" w:noVBand="1"/>
      </w:tblPr>
      <w:tblGrid>
        <w:gridCol w:w="840"/>
        <w:gridCol w:w="908"/>
        <w:gridCol w:w="616"/>
        <w:gridCol w:w="1170"/>
        <w:gridCol w:w="1044"/>
        <w:gridCol w:w="989"/>
        <w:gridCol w:w="1050"/>
        <w:gridCol w:w="850"/>
        <w:gridCol w:w="837"/>
        <w:gridCol w:w="835"/>
      </w:tblGrid>
      <w:tr w:rsidR="00EE3DF9" w:rsidRPr="00F5382B" w14:paraId="3D703824" w14:textId="77777777" w:rsidTr="00720684">
        <w:trPr>
          <w:trHeight w:val="389"/>
        </w:trPr>
        <w:tc>
          <w:tcPr>
            <w:tcW w:w="459" w:type="pct"/>
            <w:tcBorders>
              <w:top w:val="single" w:sz="4" w:space="0" w:color="auto"/>
              <w:left w:val="single" w:sz="4" w:space="0" w:color="auto"/>
              <w:bottom w:val="single" w:sz="4" w:space="0" w:color="auto"/>
              <w:right w:val="single" w:sz="4" w:space="0" w:color="auto"/>
            </w:tcBorders>
            <w:shd w:val="clear" w:color="auto" w:fill="F2CEED"/>
          </w:tcPr>
          <w:p w14:paraId="0175778B" w14:textId="77777777" w:rsidR="00EE3DF9" w:rsidRPr="00F5382B" w:rsidRDefault="00EE3DF9">
            <w:pPr>
              <w:spacing w:after="0"/>
              <w:jc w:val="left"/>
              <w:rPr>
                <w:rFonts w:eastAsia="Aptos"/>
                <w:noProof/>
                <w:color w:val="000000"/>
                <w:sz w:val="20"/>
                <w:szCs w:val="20"/>
                <w:lang w:val="en-IE" w:eastAsia="en-IE"/>
              </w:rPr>
            </w:pPr>
            <w:r w:rsidRPr="00F5382B">
              <w:rPr>
                <w:rFonts w:eastAsia="Aptos"/>
                <w:noProof/>
                <w:color w:val="000000"/>
                <w:sz w:val="20"/>
                <w:szCs w:val="20"/>
                <w:lang w:val="en-IE" w:eastAsia="en-IE"/>
              </w:rPr>
              <w:t>Policy options</w:t>
            </w:r>
          </w:p>
        </w:tc>
        <w:tc>
          <w:tcPr>
            <w:tcW w:w="497"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1277B7E3"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2024</w:t>
            </w:r>
          </w:p>
        </w:tc>
        <w:tc>
          <w:tcPr>
            <w:tcW w:w="337"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15D62F46"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2025</w:t>
            </w:r>
          </w:p>
        </w:tc>
        <w:tc>
          <w:tcPr>
            <w:tcW w:w="640"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54E04B0F"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2026</w:t>
            </w:r>
          </w:p>
        </w:tc>
        <w:tc>
          <w:tcPr>
            <w:tcW w:w="571"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3BAC709A" w14:textId="77777777" w:rsidR="00EE3DF9" w:rsidRPr="00F5382B" w:rsidRDefault="00EE3DF9">
            <w:pPr>
              <w:spacing w:after="0"/>
              <w:jc w:val="left"/>
              <w:rPr>
                <w:rFonts w:eastAsia="Aptos"/>
                <w:noProof/>
                <w:sz w:val="20"/>
                <w:szCs w:val="20"/>
                <w:lang w:val="en-IE" w:eastAsia="en-IE"/>
              </w:rPr>
            </w:pPr>
            <w:r w:rsidRPr="00F5382B">
              <w:rPr>
                <w:rFonts w:eastAsia="Aptos"/>
                <w:b/>
                <w:bCs/>
                <w:noProof/>
                <w:color w:val="000000"/>
                <w:sz w:val="20"/>
                <w:szCs w:val="20"/>
                <w:lang w:val="en-IE" w:eastAsia="en-IE"/>
              </w:rPr>
              <w:t xml:space="preserve">2027 </w:t>
            </w:r>
          </w:p>
        </w:tc>
        <w:tc>
          <w:tcPr>
            <w:tcW w:w="541"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6168A68D"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2028</w:t>
            </w:r>
          </w:p>
        </w:tc>
        <w:tc>
          <w:tcPr>
            <w:tcW w:w="574"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06CA4A90"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2029</w:t>
            </w:r>
          </w:p>
        </w:tc>
        <w:tc>
          <w:tcPr>
            <w:tcW w:w="465"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199B39E7"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2030</w:t>
            </w:r>
          </w:p>
        </w:tc>
        <w:tc>
          <w:tcPr>
            <w:tcW w:w="458"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7309003F"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2031</w:t>
            </w:r>
          </w:p>
        </w:tc>
        <w:tc>
          <w:tcPr>
            <w:tcW w:w="457" w:type="pct"/>
            <w:tcBorders>
              <w:top w:val="single" w:sz="4" w:space="0" w:color="auto"/>
              <w:left w:val="single" w:sz="4" w:space="0" w:color="auto"/>
              <w:bottom w:val="single" w:sz="4" w:space="0" w:color="auto"/>
              <w:right w:val="single" w:sz="4" w:space="0" w:color="auto"/>
            </w:tcBorders>
            <w:shd w:val="clear" w:color="auto" w:fill="F2CEED"/>
            <w:tcMar>
              <w:top w:w="0" w:type="dxa"/>
              <w:left w:w="108" w:type="dxa"/>
              <w:bottom w:w="0" w:type="dxa"/>
              <w:right w:w="108" w:type="dxa"/>
            </w:tcMar>
            <w:hideMark/>
          </w:tcPr>
          <w:p w14:paraId="3B5B6CF8" w14:textId="77777777" w:rsidR="00EE3DF9" w:rsidRPr="00F5382B" w:rsidRDefault="00EE3DF9">
            <w:pPr>
              <w:spacing w:after="0"/>
              <w:jc w:val="left"/>
              <w:rPr>
                <w:rFonts w:eastAsia="Aptos"/>
                <w:noProof/>
                <w:sz w:val="20"/>
                <w:szCs w:val="20"/>
                <w:lang w:val="en-IE" w:eastAsia="en-IE"/>
              </w:rPr>
            </w:pPr>
            <w:r w:rsidRPr="00F5382B">
              <w:rPr>
                <w:rFonts w:eastAsia="Aptos"/>
                <w:noProof/>
                <w:color w:val="000000"/>
                <w:sz w:val="20"/>
                <w:szCs w:val="20"/>
                <w:lang w:val="en-IE" w:eastAsia="en-IE"/>
              </w:rPr>
              <w:t>2032</w:t>
            </w:r>
          </w:p>
        </w:tc>
      </w:tr>
      <w:tr w:rsidR="00EE3DF9" w:rsidRPr="00F5382B" w14:paraId="259ED4E6" w14:textId="77777777" w:rsidTr="00720684">
        <w:tc>
          <w:tcPr>
            <w:tcW w:w="459" w:type="pct"/>
            <w:tcBorders>
              <w:top w:val="single" w:sz="4" w:space="0" w:color="auto"/>
              <w:left w:val="single" w:sz="4" w:space="0" w:color="auto"/>
              <w:bottom w:val="single" w:sz="4" w:space="0" w:color="auto"/>
              <w:right w:val="single" w:sz="4" w:space="0" w:color="auto"/>
            </w:tcBorders>
          </w:tcPr>
          <w:p w14:paraId="152692F3" w14:textId="77777777" w:rsidR="00EE3DF9" w:rsidRPr="00F5382B" w:rsidRDefault="00EE3DF9">
            <w:pPr>
              <w:spacing w:after="0"/>
              <w:jc w:val="left"/>
              <w:rPr>
                <w:rFonts w:eastAsia="Aptos"/>
                <w:b/>
                <w:bCs/>
                <w:noProof/>
                <w:sz w:val="20"/>
                <w:szCs w:val="20"/>
                <w:lang w:val="en-IE" w:eastAsia="en-IE"/>
              </w:rPr>
            </w:pPr>
            <w:r w:rsidRPr="00F5382B">
              <w:rPr>
                <w:rFonts w:eastAsia="Aptos"/>
                <w:b/>
                <w:bCs/>
                <w:noProof/>
                <w:sz w:val="20"/>
                <w:szCs w:val="20"/>
                <w:lang w:val="en-IE" w:eastAsia="en-IE"/>
              </w:rPr>
              <w:t>BaU</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E02DE7" w14:textId="77777777" w:rsidR="00EE3DF9" w:rsidRPr="00F5382B" w:rsidRDefault="00EE3DF9">
            <w:pPr>
              <w:spacing w:after="0"/>
              <w:jc w:val="left"/>
              <w:rPr>
                <w:rFonts w:eastAsia="Aptos"/>
                <w:b/>
                <w:bCs/>
                <w:noProof/>
                <w:sz w:val="20"/>
                <w:szCs w:val="20"/>
                <w:lang w:val="en-IE" w:eastAsia="en-IE"/>
              </w:rPr>
            </w:pPr>
            <w:r w:rsidRPr="00F5382B">
              <w:rPr>
                <w:rFonts w:eastAsia="Aptos"/>
                <w:b/>
                <w:bCs/>
                <w:noProof/>
                <w:sz w:val="20"/>
                <w:szCs w:val="20"/>
                <w:lang w:val="en-IE" w:eastAsia="en-IE"/>
              </w:rPr>
              <w:t xml:space="preserve">EUCC adopted </w:t>
            </w:r>
          </w:p>
        </w:tc>
        <w:tc>
          <w:tcPr>
            <w:tcW w:w="33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A4D9E2E" w14:textId="77777777" w:rsidR="00EE3DF9" w:rsidRPr="00F5382B" w:rsidRDefault="00EE3DF9">
            <w:pPr>
              <w:spacing w:after="0"/>
              <w:jc w:val="left"/>
              <w:rPr>
                <w:rFonts w:eastAsia="Aptos"/>
                <w:noProof/>
                <w:sz w:val="20"/>
                <w:szCs w:val="20"/>
                <w:lang w:val="en-IE" w:eastAsia="en-IE"/>
              </w:rPr>
            </w:pPr>
          </w:p>
        </w:tc>
        <w:tc>
          <w:tcPr>
            <w:tcW w:w="640"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1EBA2B72" w14:textId="77777777" w:rsidR="00EE3DF9" w:rsidRPr="00F5382B" w:rsidRDefault="00EE3DF9">
            <w:pPr>
              <w:spacing w:after="0"/>
              <w:jc w:val="left"/>
              <w:rPr>
                <w:rFonts w:eastAsia="Aptos"/>
                <w:noProof/>
                <w:sz w:val="20"/>
                <w:szCs w:val="20"/>
                <w:lang w:val="en-IE" w:eastAsia="en-IE"/>
              </w:rPr>
            </w:pPr>
          </w:p>
        </w:tc>
        <w:tc>
          <w:tcPr>
            <w:tcW w:w="57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67217AFF" w14:textId="77777777" w:rsidR="00EE3DF9" w:rsidRPr="00F5382B" w:rsidRDefault="00EE3DF9">
            <w:pPr>
              <w:spacing w:after="0"/>
              <w:jc w:val="left"/>
              <w:rPr>
                <w:rFonts w:eastAsia="Aptos"/>
                <w:noProof/>
                <w:sz w:val="20"/>
                <w:szCs w:val="20"/>
                <w:lang w:val="en-IE" w:eastAsia="en-IE"/>
              </w:rPr>
            </w:pPr>
          </w:p>
        </w:tc>
        <w:tc>
          <w:tcPr>
            <w:tcW w:w="54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0A786687"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574"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801ED02"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c>
          <w:tcPr>
            <w:tcW w:w="465"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0CEE46C3"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100%</w:t>
            </w:r>
          </w:p>
        </w:tc>
        <w:tc>
          <w:tcPr>
            <w:tcW w:w="458"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2C1D62EF"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100%</w:t>
            </w:r>
          </w:p>
        </w:tc>
        <w:tc>
          <w:tcPr>
            <w:tcW w:w="45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7E693839"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100%</w:t>
            </w:r>
          </w:p>
        </w:tc>
      </w:tr>
      <w:tr w:rsidR="00EE3DF9" w:rsidRPr="00F5382B" w14:paraId="447C2557" w14:textId="77777777" w:rsidTr="00720684">
        <w:tc>
          <w:tcPr>
            <w:tcW w:w="459" w:type="pct"/>
            <w:tcBorders>
              <w:top w:val="single" w:sz="4" w:space="0" w:color="auto"/>
              <w:left w:val="single" w:sz="4" w:space="0" w:color="auto"/>
              <w:bottom w:val="single" w:sz="4" w:space="0" w:color="auto"/>
              <w:right w:val="single" w:sz="4" w:space="0" w:color="auto"/>
            </w:tcBorders>
          </w:tcPr>
          <w:p w14:paraId="595A4E80" w14:textId="77777777" w:rsidR="00EE3DF9" w:rsidRPr="00F5382B" w:rsidRDefault="00EE3DF9">
            <w:pPr>
              <w:spacing w:after="0"/>
              <w:jc w:val="left"/>
              <w:rPr>
                <w:rFonts w:eastAsia="Aptos"/>
                <w:noProof/>
                <w:sz w:val="20"/>
                <w:szCs w:val="20"/>
                <w:lang w:val="en-IE" w:eastAsia="en-IE"/>
              </w:rPr>
            </w:pPr>
            <w:r w:rsidRPr="00F5382B">
              <w:rPr>
                <w:rFonts w:eastAsia="Aptos"/>
                <w:b/>
                <w:bCs/>
                <w:noProof/>
                <w:sz w:val="20"/>
                <w:szCs w:val="20"/>
                <w:lang w:val="en-IE" w:eastAsia="en-IE"/>
              </w:rPr>
              <w:t>BaU</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26142" w14:textId="77777777" w:rsidR="00EE3DF9" w:rsidRPr="00F5382B" w:rsidRDefault="00EE3DF9">
            <w:pPr>
              <w:spacing w:after="0"/>
              <w:jc w:val="left"/>
              <w:rPr>
                <w:rFonts w:eastAsia="Aptos"/>
                <w:noProof/>
                <w:sz w:val="20"/>
                <w:szCs w:val="20"/>
                <w:lang w:val="en-IE" w:eastAsia="en-IE"/>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DA1C3C" w14:textId="77777777" w:rsidR="00EE3DF9" w:rsidRPr="00F5382B" w:rsidRDefault="00EE3DF9">
            <w:pPr>
              <w:spacing w:after="0"/>
              <w:jc w:val="left"/>
              <w:rPr>
                <w:rFonts w:eastAsia="Aptos"/>
                <w:noProof/>
                <w:sz w:val="20"/>
                <w:szCs w:val="20"/>
                <w:lang w:val="en-IE" w:eastAsia="en-IE"/>
              </w:rPr>
            </w:pP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79FBFF" w14:textId="77777777" w:rsidR="00EE3DF9" w:rsidRPr="00F5382B" w:rsidRDefault="00EE3DF9">
            <w:pPr>
              <w:spacing w:after="0"/>
              <w:jc w:val="left"/>
              <w:rPr>
                <w:rFonts w:eastAsia="Aptos"/>
                <w:noProof/>
                <w:sz w:val="20"/>
                <w:szCs w:val="20"/>
                <w:lang w:val="fr-BE" w:eastAsia="en-IE"/>
              </w:rPr>
            </w:pPr>
            <w:r w:rsidRPr="00F5382B">
              <w:rPr>
                <w:rFonts w:eastAsia="Aptos"/>
                <w:b/>
                <w:bCs/>
                <w:noProof/>
                <w:sz w:val="20"/>
                <w:szCs w:val="20"/>
                <w:lang w:val="en-IE" w:eastAsia="en-IE"/>
              </w:rPr>
              <w:t xml:space="preserve">ID Wallet </w:t>
            </w:r>
            <w:r w:rsidRPr="00F5382B">
              <w:rPr>
                <w:rFonts w:eastAsia="Aptos"/>
                <w:noProof/>
                <w:sz w:val="20"/>
                <w:szCs w:val="20"/>
                <w:lang w:val="en-IE" w:eastAsia="en-IE"/>
              </w:rPr>
              <w:t>candidate scheme</w:t>
            </w:r>
          </w:p>
        </w:tc>
        <w:tc>
          <w:tcPr>
            <w:tcW w:w="57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60C52314"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Scheme adopted </w:t>
            </w:r>
          </w:p>
          <w:p w14:paraId="05DF8E03" w14:textId="77777777" w:rsidR="00EE3DF9" w:rsidRPr="00F5382B" w:rsidRDefault="00EE3DF9">
            <w:pPr>
              <w:spacing w:after="0"/>
              <w:jc w:val="left"/>
              <w:rPr>
                <w:rFonts w:eastAsia="Aptos"/>
                <w:noProof/>
                <w:sz w:val="20"/>
                <w:szCs w:val="20"/>
                <w:lang w:val="en-IE" w:eastAsia="en-IE"/>
              </w:rPr>
            </w:pPr>
          </w:p>
          <w:p w14:paraId="6C57B119"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p w14:paraId="7B320C22" w14:textId="77777777" w:rsidR="00EE3DF9" w:rsidRPr="00F5382B" w:rsidRDefault="00EE3DF9">
            <w:pPr>
              <w:spacing w:after="0"/>
              <w:jc w:val="left"/>
              <w:rPr>
                <w:rFonts w:eastAsia="Aptos"/>
                <w:noProof/>
                <w:sz w:val="20"/>
                <w:szCs w:val="20"/>
                <w:lang w:val="en-IE" w:eastAsia="en-IE"/>
              </w:rPr>
            </w:pPr>
          </w:p>
        </w:tc>
        <w:tc>
          <w:tcPr>
            <w:tcW w:w="54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A085E86"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574"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3E1F235B"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465"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B9C2A62"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c>
          <w:tcPr>
            <w:tcW w:w="458"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112C0A7"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c>
          <w:tcPr>
            <w:tcW w:w="45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07759259"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100%</w:t>
            </w:r>
          </w:p>
        </w:tc>
      </w:tr>
      <w:tr w:rsidR="00EE3DF9" w:rsidRPr="00F5382B" w14:paraId="4FD1370F" w14:textId="77777777" w:rsidTr="00720684">
        <w:tc>
          <w:tcPr>
            <w:tcW w:w="459" w:type="pct"/>
            <w:tcBorders>
              <w:top w:val="single" w:sz="4" w:space="0" w:color="auto"/>
              <w:left w:val="single" w:sz="4" w:space="0" w:color="auto"/>
              <w:bottom w:val="single" w:sz="4" w:space="0" w:color="auto"/>
              <w:right w:val="single" w:sz="4" w:space="0" w:color="auto"/>
            </w:tcBorders>
          </w:tcPr>
          <w:p w14:paraId="69B15F9B" w14:textId="77777777" w:rsidR="00EE3DF9" w:rsidRPr="00F5382B" w:rsidRDefault="00EE3DF9">
            <w:pPr>
              <w:spacing w:after="0"/>
              <w:jc w:val="left"/>
              <w:rPr>
                <w:rFonts w:eastAsia="Aptos"/>
                <w:noProof/>
                <w:sz w:val="20"/>
                <w:szCs w:val="20"/>
                <w:lang w:val="en-IE" w:eastAsia="en-IE"/>
              </w:rPr>
            </w:pPr>
            <w:r w:rsidRPr="00F5382B">
              <w:rPr>
                <w:rFonts w:eastAsia="Aptos"/>
                <w:b/>
                <w:bCs/>
                <w:noProof/>
                <w:sz w:val="20"/>
                <w:szCs w:val="20"/>
                <w:lang w:val="en-IE" w:eastAsia="en-IE"/>
              </w:rPr>
              <w:t>BaU</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DB7D1" w14:textId="77777777" w:rsidR="00EE3DF9" w:rsidRPr="00F5382B" w:rsidRDefault="00EE3DF9">
            <w:pPr>
              <w:spacing w:after="0"/>
              <w:jc w:val="left"/>
              <w:rPr>
                <w:rFonts w:eastAsia="Aptos"/>
                <w:noProof/>
                <w:sz w:val="20"/>
                <w:szCs w:val="20"/>
                <w:lang w:val="en-IE" w:eastAsia="en-IE"/>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1A618" w14:textId="77777777" w:rsidR="00EE3DF9" w:rsidRPr="00F5382B" w:rsidRDefault="00EE3DF9">
            <w:pPr>
              <w:spacing w:after="0"/>
              <w:jc w:val="left"/>
              <w:rPr>
                <w:rFonts w:eastAsia="Aptos"/>
                <w:noProof/>
                <w:sz w:val="20"/>
                <w:szCs w:val="20"/>
                <w:lang w:val="en-IE" w:eastAsia="en-IE"/>
              </w:rPr>
            </w:pP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FDA00A" w14:textId="77777777" w:rsidR="00EE3DF9" w:rsidRPr="00F5382B" w:rsidRDefault="00EE3DF9">
            <w:pPr>
              <w:spacing w:after="0"/>
              <w:jc w:val="left"/>
              <w:rPr>
                <w:rFonts w:eastAsia="Aptos"/>
                <w:noProof/>
                <w:sz w:val="20"/>
                <w:szCs w:val="20"/>
                <w:lang w:val="en-IE" w:eastAsia="en-IE"/>
              </w:rPr>
            </w:pPr>
            <w:r w:rsidRPr="00F5382B">
              <w:rPr>
                <w:rFonts w:eastAsia="Aptos"/>
                <w:b/>
                <w:bCs/>
                <w:noProof/>
                <w:sz w:val="20"/>
                <w:szCs w:val="20"/>
                <w:lang w:val="en-IE" w:eastAsia="en-IE"/>
              </w:rPr>
              <w:t xml:space="preserve">MSS </w:t>
            </w:r>
            <w:r w:rsidRPr="00F5382B">
              <w:rPr>
                <w:rFonts w:eastAsia="Aptos"/>
                <w:noProof/>
                <w:sz w:val="20"/>
                <w:szCs w:val="20"/>
                <w:lang w:val="en-IE" w:eastAsia="en-IE"/>
              </w:rPr>
              <w:t>candidate scheme + 1</w:t>
            </w:r>
            <w:r w:rsidRPr="00F5382B">
              <w:rPr>
                <w:rFonts w:eastAsia="Aptos"/>
                <w:noProof/>
                <w:sz w:val="20"/>
                <w:szCs w:val="20"/>
                <w:vertAlign w:val="superscript"/>
                <w:lang w:val="en-IE" w:eastAsia="en-IE"/>
              </w:rPr>
              <w:t>st</w:t>
            </w:r>
            <w:r w:rsidRPr="00F5382B">
              <w:rPr>
                <w:rFonts w:eastAsia="Aptos"/>
                <w:noProof/>
                <w:sz w:val="20"/>
                <w:szCs w:val="20"/>
                <w:lang w:val="en-IE" w:eastAsia="en-IE"/>
              </w:rPr>
              <w:t xml:space="preserve"> vertical</w:t>
            </w:r>
          </w:p>
          <w:p w14:paraId="15F177C0" w14:textId="77777777" w:rsidR="00EE3DF9" w:rsidRPr="00F5382B" w:rsidRDefault="00EE3DF9">
            <w:pPr>
              <w:spacing w:after="0"/>
              <w:jc w:val="left"/>
              <w:rPr>
                <w:rFonts w:eastAsia="Aptos"/>
                <w:b/>
                <w:bCs/>
                <w:noProof/>
                <w:sz w:val="20"/>
                <w:szCs w:val="20"/>
                <w:lang w:val="en-IE" w:eastAsia="en-IE"/>
              </w:rPr>
            </w:pPr>
            <w:r w:rsidRPr="00F5382B">
              <w:rPr>
                <w:rFonts w:eastAsia="Aptos"/>
                <w:i/>
                <w:iCs/>
                <w:noProof/>
                <w:sz w:val="20"/>
                <w:szCs w:val="20"/>
                <w:lang w:val="en-IE" w:eastAsia="en-IE"/>
              </w:rPr>
              <w:t xml:space="preserve">Gradually additional layers (tbc) </w:t>
            </w:r>
          </w:p>
        </w:tc>
        <w:tc>
          <w:tcPr>
            <w:tcW w:w="57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tcPr>
          <w:p w14:paraId="6B8BCB9A" w14:textId="77777777" w:rsidR="00EE3DF9" w:rsidRPr="00F5382B" w:rsidRDefault="00EE3DF9">
            <w:pPr>
              <w:spacing w:after="0"/>
              <w:jc w:val="left"/>
              <w:rPr>
                <w:rFonts w:eastAsia="Aptos"/>
                <w:i/>
                <w:iCs/>
                <w:noProof/>
                <w:sz w:val="20"/>
                <w:szCs w:val="20"/>
                <w:lang w:val="en-IE" w:eastAsia="en-IE"/>
              </w:rPr>
            </w:pPr>
            <w:r w:rsidRPr="00F5382B">
              <w:rPr>
                <w:rFonts w:eastAsia="Aptos"/>
                <w:i/>
                <w:iCs/>
                <w:noProof/>
                <w:sz w:val="20"/>
                <w:szCs w:val="20"/>
                <w:lang w:val="en-IE" w:eastAsia="en-IE"/>
              </w:rPr>
              <w:t xml:space="preserve">Scheme adopted </w:t>
            </w:r>
          </w:p>
          <w:p w14:paraId="6D0EBE64" w14:textId="77777777" w:rsidR="00EE3DF9" w:rsidRPr="00F5382B" w:rsidRDefault="00EE3DF9">
            <w:pPr>
              <w:spacing w:after="0"/>
              <w:jc w:val="left"/>
              <w:rPr>
                <w:rFonts w:eastAsia="Aptos"/>
                <w:i/>
                <w:iCs/>
                <w:noProof/>
                <w:sz w:val="20"/>
                <w:szCs w:val="20"/>
                <w:lang w:val="en-IE" w:eastAsia="en-IE"/>
              </w:rPr>
            </w:pPr>
          </w:p>
          <w:p w14:paraId="69AAEE73" w14:textId="77777777" w:rsidR="00EE3DF9" w:rsidRPr="00F5382B" w:rsidRDefault="00EE3DF9">
            <w:pPr>
              <w:spacing w:after="0"/>
              <w:jc w:val="left"/>
              <w:rPr>
                <w:rFonts w:eastAsia="Aptos"/>
                <w:i/>
                <w:iCs/>
                <w:noProof/>
                <w:sz w:val="20"/>
                <w:szCs w:val="20"/>
                <w:lang w:val="en-IE" w:eastAsia="en-IE"/>
              </w:rPr>
            </w:pPr>
            <w:r w:rsidRPr="00F5382B">
              <w:rPr>
                <w:rFonts w:eastAsia="Aptos"/>
                <w:noProof/>
                <w:sz w:val="20"/>
                <w:szCs w:val="20"/>
                <w:lang w:val="en-IE" w:eastAsia="en-IE"/>
              </w:rPr>
              <w:t>0%</w:t>
            </w:r>
          </w:p>
          <w:p w14:paraId="5D8A8FD0" w14:textId="77777777" w:rsidR="00EE3DF9" w:rsidRPr="00F5382B" w:rsidRDefault="00EE3DF9">
            <w:pPr>
              <w:spacing w:after="0"/>
              <w:jc w:val="left"/>
              <w:rPr>
                <w:rFonts w:eastAsia="Aptos"/>
                <w:i/>
                <w:iCs/>
                <w:noProof/>
                <w:sz w:val="20"/>
                <w:szCs w:val="20"/>
                <w:lang w:val="en-IE" w:eastAsia="en-IE"/>
              </w:rPr>
            </w:pPr>
          </w:p>
          <w:p w14:paraId="27BBF6D4" w14:textId="77777777" w:rsidR="00EE3DF9" w:rsidRPr="00F5382B" w:rsidRDefault="00EE3DF9">
            <w:pPr>
              <w:spacing w:after="0"/>
              <w:jc w:val="left"/>
              <w:rPr>
                <w:rFonts w:eastAsia="Aptos"/>
                <w:i/>
                <w:iCs/>
                <w:noProof/>
                <w:sz w:val="20"/>
                <w:szCs w:val="20"/>
                <w:lang w:val="en-IE" w:eastAsia="en-IE"/>
              </w:rPr>
            </w:pPr>
          </w:p>
        </w:tc>
        <w:tc>
          <w:tcPr>
            <w:tcW w:w="541"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70F8FBCE"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574"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1AE0F10B"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465"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28BF95B"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c>
          <w:tcPr>
            <w:tcW w:w="458"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0EE9E10B"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c>
          <w:tcPr>
            <w:tcW w:w="45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3D6B1353"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100%</w:t>
            </w:r>
          </w:p>
        </w:tc>
      </w:tr>
      <w:tr w:rsidR="00EE3DF9" w:rsidRPr="00F5382B" w14:paraId="6E36B16B" w14:textId="77777777" w:rsidTr="00720684">
        <w:tc>
          <w:tcPr>
            <w:tcW w:w="459" w:type="pct"/>
            <w:tcBorders>
              <w:top w:val="single" w:sz="4" w:space="0" w:color="auto"/>
              <w:left w:val="single" w:sz="4" w:space="0" w:color="auto"/>
              <w:bottom w:val="single" w:sz="4" w:space="0" w:color="auto"/>
              <w:right w:val="single" w:sz="4" w:space="0" w:color="auto"/>
            </w:tcBorders>
          </w:tcPr>
          <w:p w14:paraId="283A2779" w14:textId="77777777" w:rsidR="00EE3DF9" w:rsidRPr="00F5382B" w:rsidRDefault="00EE3DF9">
            <w:pPr>
              <w:spacing w:after="0"/>
              <w:jc w:val="left"/>
              <w:rPr>
                <w:rFonts w:eastAsia="Aptos"/>
                <w:noProof/>
                <w:sz w:val="20"/>
                <w:szCs w:val="20"/>
                <w:lang w:val="en-IE" w:eastAsia="en-IE"/>
              </w:rPr>
            </w:pPr>
          </w:p>
          <w:p w14:paraId="5A090B72"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B+ D3</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0900FD" w14:textId="77777777" w:rsidR="00EE3DF9" w:rsidRPr="00F5382B" w:rsidRDefault="00EE3DF9">
            <w:pPr>
              <w:spacing w:after="0"/>
              <w:jc w:val="left"/>
              <w:rPr>
                <w:rFonts w:eastAsia="Aptos"/>
                <w:noProof/>
                <w:sz w:val="20"/>
                <w:szCs w:val="20"/>
                <w:lang w:val="en-IE" w:eastAsia="en-IE"/>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77A4F3" w14:textId="77777777" w:rsidR="00EE3DF9" w:rsidRPr="00F5382B" w:rsidRDefault="00EE3DF9">
            <w:pPr>
              <w:spacing w:after="0"/>
              <w:jc w:val="left"/>
              <w:rPr>
                <w:rFonts w:eastAsia="Aptos"/>
                <w:noProof/>
                <w:sz w:val="20"/>
                <w:szCs w:val="20"/>
                <w:lang w:val="en-IE" w:eastAsia="en-IE"/>
              </w:rPr>
            </w:pP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00394" w14:textId="77777777" w:rsidR="00EE3DF9" w:rsidRPr="00F5382B" w:rsidRDefault="00EE3DF9">
            <w:pPr>
              <w:spacing w:after="0"/>
              <w:jc w:val="left"/>
              <w:rPr>
                <w:rFonts w:eastAsia="Aptos"/>
                <w:b/>
                <w:bCs/>
                <w:noProof/>
                <w:sz w:val="20"/>
                <w:szCs w:val="20"/>
                <w:lang w:val="en-IE" w:eastAsia="en-IE"/>
              </w:rPr>
            </w:pPr>
          </w:p>
        </w:tc>
        <w:tc>
          <w:tcPr>
            <w:tcW w:w="5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5FDA3" w14:textId="77777777" w:rsidR="00EE3DF9" w:rsidRPr="00F5382B" w:rsidRDefault="00EE3DF9">
            <w:pPr>
              <w:spacing w:after="0"/>
              <w:jc w:val="left"/>
              <w:rPr>
                <w:rFonts w:eastAsia="Aptos"/>
                <w:b/>
                <w:bCs/>
                <w:noProof/>
                <w:sz w:val="20"/>
                <w:szCs w:val="20"/>
                <w:lang w:val="en-IE" w:eastAsia="en-IE"/>
              </w:rPr>
            </w:pPr>
          </w:p>
        </w:tc>
        <w:tc>
          <w:tcPr>
            <w:tcW w:w="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02AE2" w14:textId="77777777" w:rsidR="00EE3DF9" w:rsidRPr="00F5382B" w:rsidRDefault="00EE3DF9">
            <w:pPr>
              <w:spacing w:after="0"/>
              <w:jc w:val="left"/>
              <w:rPr>
                <w:rFonts w:eastAsia="Aptos"/>
                <w:noProof/>
                <w:sz w:val="20"/>
                <w:szCs w:val="20"/>
                <w:lang w:val="en-IE" w:eastAsia="en-IE"/>
              </w:rPr>
            </w:pPr>
            <w:r w:rsidRPr="00F5382B">
              <w:rPr>
                <w:rFonts w:eastAsia="Aptos"/>
                <w:b/>
                <w:bCs/>
                <w:noProof/>
                <w:sz w:val="20"/>
                <w:szCs w:val="20"/>
                <w:lang w:val="en-IE" w:eastAsia="en-IE"/>
              </w:rPr>
              <w:t xml:space="preserve">EUCS </w:t>
            </w:r>
            <w:r w:rsidRPr="00F5382B">
              <w:rPr>
                <w:rFonts w:eastAsia="Aptos"/>
                <w:noProof/>
                <w:sz w:val="20"/>
                <w:szCs w:val="20"/>
                <w:lang w:val="en-IE" w:eastAsia="en-IE"/>
              </w:rPr>
              <w:t>candidate scheme (tbc)</w:t>
            </w:r>
          </w:p>
        </w:tc>
        <w:tc>
          <w:tcPr>
            <w:tcW w:w="574"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0FEA03AF"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Scheme adopted 0%</w:t>
            </w:r>
          </w:p>
        </w:tc>
        <w:tc>
          <w:tcPr>
            <w:tcW w:w="465"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1F9C136A"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458"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41A17DE2"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45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6B671FAA"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50% </w:t>
            </w:r>
          </w:p>
        </w:tc>
      </w:tr>
      <w:tr w:rsidR="00EE3DF9" w:rsidRPr="00F5382B" w14:paraId="5ED0520D" w14:textId="77777777" w:rsidTr="00720684">
        <w:trPr>
          <w:trHeight w:val="143"/>
        </w:trPr>
        <w:tc>
          <w:tcPr>
            <w:tcW w:w="459" w:type="pct"/>
            <w:tcBorders>
              <w:top w:val="single" w:sz="4" w:space="0" w:color="auto"/>
              <w:left w:val="single" w:sz="4" w:space="0" w:color="auto"/>
              <w:bottom w:val="single" w:sz="4" w:space="0" w:color="auto"/>
              <w:right w:val="single" w:sz="4" w:space="0" w:color="auto"/>
            </w:tcBorders>
          </w:tcPr>
          <w:p w14:paraId="72FCA9E1" w14:textId="77777777" w:rsidR="00EE3DF9" w:rsidRPr="00F5382B" w:rsidRDefault="00EE3DF9">
            <w:pPr>
              <w:spacing w:after="0"/>
              <w:jc w:val="left"/>
              <w:rPr>
                <w:rFonts w:eastAsia="Aptos"/>
                <w:noProof/>
                <w:sz w:val="20"/>
                <w:szCs w:val="20"/>
                <w:lang w:val="en-IE" w:eastAsia="en-IE"/>
              </w:rPr>
            </w:pPr>
          </w:p>
          <w:p w14:paraId="620E21E2"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B2 + B3</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6D2C3" w14:textId="77777777" w:rsidR="00EE3DF9" w:rsidRPr="00F5382B" w:rsidRDefault="00EE3DF9">
            <w:pPr>
              <w:spacing w:after="0"/>
              <w:jc w:val="left"/>
              <w:rPr>
                <w:rFonts w:eastAsia="Aptos"/>
                <w:noProof/>
                <w:sz w:val="20"/>
                <w:szCs w:val="20"/>
                <w:lang w:val="en-IE" w:eastAsia="en-IE"/>
              </w:rPr>
            </w:pPr>
          </w:p>
        </w:tc>
        <w:tc>
          <w:tcPr>
            <w:tcW w:w="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05FBF" w14:textId="77777777" w:rsidR="00EE3DF9" w:rsidRPr="00F5382B" w:rsidRDefault="00EE3DF9">
            <w:pPr>
              <w:spacing w:after="0"/>
              <w:jc w:val="left"/>
              <w:rPr>
                <w:rFonts w:eastAsia="Aptos"/>
                <w:noProof/>
                <w:sz w:val="20"/>
                <w:szCs w:val="20"/>
                <w:lang w:val="en-IE" w:eastAsia="en-IE"/>
              </w:rPr>
            </w:pPr>
          </w:p>
        </w:tc>
        <w:tc>
          <w:tcPr>
            <w:tcW w:w="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A62B95" w14:textId="77777777" w:rsidR="00EE3DF9" w:rsidRPr="00F5382B" w:rsidRDefault="00EE3DF9">
            <w:pPr>
              <w:spacing w:after="0"/>
              <w:jc w:val="left"/>
              <w:rPr>
                <w:rFonts w:eastAsia="Aptos"/>
                <w:b/>
                <w:bCs/>
                <w:noProof/>
                <w:sz w:val="20"/>
                <w:szCs w:val="20"/>
                <w:lang w:val="en-IE" w:eastAsia="en-IE"/>
              </w:rPr>
            </w:pPr>
          </w:p>
        </w:tc>
        <w:tc>
          <w:tcPr>
            <w:tcW w:w="5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2BD15" w14:textId="77777777" w:rsidR="00EE3DF9" w:rsidRPr="00F5382B" w:rsidRDefault="00EE3DF9">
            <w:pPr>
              <w:spacing w:after="0"/>
              <w:jc w:val="left"/>
              <w:rPr>
                <w:rFonts w:eastAsia="Aptos"/>
                <w:b/>
                <w:bCs/>
                <w:noProof/>
                <w:sz w:val="20"/>
                <w:szCs w:val="20"/>
                <w:lang w:val="en-IE" w:eastAsia="en-IE"/>
              </w:rPr>
            </w:pPr>
          </w:p>
        </w:tc>
        <w:tc>
          <w:tcPr>
            <w:tcW w:w="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CB330" w14:textId="77777777" w:rsidR="00EE3DF9" w:rsidRPr="00F5382B" w:rsidRDefault="00EE3DF9">
            <w:pPr>
              <w:spacing w:after="0"/>
              <w:jc w:val="left"/>
              <w:rPr>
                <w:rFonts w:eastAsia="Aptos"/>
                <w:b/>
                <w:bCs/>
                <w:noProof/>
                <w:sz w:val="20"/>
                <w:szCs w:val="20"/>
                <w:lang w:val="en-IE" w:eastAsia="en-IE"/>
              </w:rPr>
            </w:pPr>
          </w:p>
        </w:tc>
        <w:tc>
          <w:tcPr>
            <w:tcW w:w="5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F2E2C6" w14:textId="77777777" w:rsidR="00EE3DF9" w:rsidRPr="00F5382B" w:rsidRDefault="00EE3DF9">
            <w:pPr>
              <w:spacing w:after="0"/>
              <w:jc w:val="left"/>
              <w:rPr>
                <w:rFonts w:eastAsia="Aptos"/>
                <w:b/>
                <w:bCs/>
                <w:noProof/>
                <w:sz w:val="20"/>
                <w:szCs w:val="20"/>
                <w:lang w:val="en-IE" w:eastAsia="en-IE"/>
              </w:rPr>
            </w:pPr>
            <w:r w:rsidRPr="00F5382B">
              <w:rPr>
                <w:rFonts w:eastAsia="Aptos"/>
                <w:b/>
                <w:bCs/>
                <w:noProof/>
                <w:sz w:val="20"/>
                <w:szCs w:val="20"/>
                <w:lang w:val="en-IE" w:eastAsia="en-IE"/>
              </w:rPr>
              <w:t xml:space="preserve">New candidate  scheme (entities) </w:t>
            </w:r>
          </w:p>
        </w:tc>
        <w:tc>
          <w:tcPr>
            <w:tcW w:w="465"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29F29176"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 xml:space="preserve">Scheme adopted </w:t>
            </w:r>
          </w:p>
          <w:p w14:paraId="59C312F0" w14:textId="77777777" w:rsidR="00EE3DF9" w:rsidRPr="00F5382B" w:rsidRDefault="00EE3DF9">
            <w:pPr>
              <w:spacing w:after="0"/>
              <w:jc w:val="left"/>
              <w:rPr>
                <w:rFonts w:eastAsia="Aptos"/>
                <w:noProof/>
                <w:sz w:val="20"/>
                <w:szCs w:val="20"/>
                <w:lang w:val="en-IE" w:eastAsia="en-IE"/>
              </w:rPr>
            </w:pPr>
            <w:r w:rsidRPr="00F5382B">
              <w:rPr>
                <w:rFonts w:eastAsia="Aptos"/>
                <w:noProof/>
                <w:sz w:val="20"/>
                <w:szCs w:val="20"/>
                <w:lang w:val="en-IE" w:eastAsia="en-IE"/>
              </w:rPr>
              <w:t>0%</w:t>
            </w:r>
          </w:p>
        </w:tc>
        <w:tc>
          <w:tcPr>
            <w:tcW w:w="458"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2BBA6E6F" w14:textId="77777777" w:rsidR="00EE3DF9" w:rsidRPr="00F5382B" w:rsidRDefault="00EE3DF9">
            <w:pPr>
              <w:spacing w:after="0"/>
              <w:jc w:val="left"/>
              <w:rPr>
                <w:rFonts w:eastAsia="Aptos"/>
                <w:b/>
                <w:bCs/>
                <w:noProof/>
                <w:sz w:val="20"/>
                <w:szCs w:val="20"/>
                <w:lang w:val="en-IE" w:eastAsia="en-IE"/>
              </w:rPr>
            </w:pPr>
            <w:r w:rsidRPr="00F5382B">
              <w:rPr>
                <w:rFonts w:eastAsia="Aptos"/>
                <w:noProof/>
                <w:sz w:val="20"/>
                <w:szCs w:val="20"/>
                <w:lang w:val="en-IE" w:eastAsia="en-IE"/>
              </w:rPr>
              <w:t>0%</w:t>
            </w:r>
          </w:p>
        </w:tc>
        <w:tc>
          <w:tcPr>
            <w:tcW w:w="457" w:type="pct"/>
            <w:tcBorders>
              <w:top w:val="single" w:sz="4" w:space="0" w:color="auto"/>
              <w:left w:val="single" w:sz="4" w:space="0" w:color="auto"/>
              <w:bottom w:val="single" w:sz="4" w:space="0" w:color="auto"/>
              <w:right w:val="single" w:sz="4" w:space="0" w:color="auto"/>
            </w:tcBorders>
            <w:shd w:val="clear" w:color="auto" w:fill="DAE9F7"/>
            <w:tcMar>
              <w:top w:w="0" w:type="dxa"/>
              <w:left w:w="108" w:type="dxa"/>
              <w:bottom w:w="0" w:type="dxa"/>
              <w:right w:w="108" w:type="dxa"/>
            </w:tcMar>
            <w:hideMark/>
          </w:tcPr>
          <w:p w14:paraId="2A2B6BB9" w14:textId="77777777" w:rsidR="00EE3DF9" w:rsidRPr="00F5382B" w:rsidRDefault="00EE3DF9">
            <w:pPr>
              <w:spacing w:after="0"/>
              <w:jc w:val="left"/>
              <w:rPr>
                <w:rFonts w:eastAsia="Aptos"/>
                <w:noProof/>
                <w:sz w:val="20"/>
                <w:szCs w:val="20"/>
                <w:lang w:val="en-IE" w:eastAsia="en-IE"/>
              </w:rPr>
            </w:pPr>
            <w:r w:rsidRPr="000679E9">
              <w:rPr>
                <w:rFonts w:eastAsia="Aptos"/>
                <w:noProof/>
                <w:sz w:val="20"/>
                <w:szCs w:val="20"/>
                <w:lang w:val="en-IE" w:eastAsia="en-IE"/>
              </w:rPr>
              <w:t>0</w:t>
            </w:r>
            <w:r w:rsidRPr="00F5382B">
              <w:rPr>
                <w:rFonts w:eastAsia="Aptos"/>
                <w:noProof/>
                <w:sz w:val="20"/>
                <w:szCs w:val="20"/>
                <w:lang w:val="en-IE" w:eastAsia="en-IE"/>
              </w:rPr>
              <w:t xml:space="preserve">% </w:t>
            </w:r>
          </w:p>
        </w:tc>
      </w:tr>
    </w:tbl>
    <w:p w14:paraId="78E89F40" w14:textId="77777777" w:rsidR="00EE3DF9" w:rsidRPr="00F5382B" w:rsidRDefault="00EE3DF9" w:rsidP="00EE3DF9">
      <w:pPr>
        <w:pStyle w:val="ListParagraph"/>
        <w:ind w:left="360"/>
        <w:rPr>
          <w:noProof/>
        </w:rPr>
      </w:pPr>
    </w:p>
    <w:p w14:paraId="0F3254FC" w14:textId="77777777" w:rsidR="00EE3DF9" w:rsidRPr="00F5382B" w:rsidRDefault="00EE3DF9" w:rsidP="00EE3DF9">
      <w:pPr>
        <w:rPr>
          <w:noProof/>
        </w:rPr>
      </w:pPr>
      <w:r w:rsidRPr="00F5382B">
        <w:rPr>
          <w:noProof/>
        </w:rPr>
        <w:t xml:space="preserve">The assumptions </w:t>
      </w:r>
      <w:r w:rsidRPr="00F5382B">
        <w:rPr>
          <w:b/>
          <w:bCs/>
          <w:noProof/>
        </w:rPr>
        <w:t>of 2 FTEs for the maintenance of schemes</w:t>
      </w:r>
      <w:r w:rsidRPr="00F5382B">
        <w:rPr>
          <w:noProof/>
        </w:rPr>
        <w:t xml:space="preserve"> (included in B1/B2) take into account the following activities: </w:t>
      </w:r>
    </w:p>
    <w:p w14:paraId="18F30F68" w14:textId="77777777" w:rsidR="00EE3DF9" w:rsidRPr="00F5382B" w:rsidRDefault="00EE3DF9" w:rsidP="00D52AD8">
      <w:pPr>
        <w:numPr>
          <w:ilvl w:val="0"/>
          <w:numId w:val="127"/>
        </w:numPr>
        <w:spacing w:after="160" w:line="259" w:lineRule="auto"/>
        <w:rPr>
          <w:noProof/>
          <w:lang w:val="en-IE"/>
        </w:rPr>
      </w:pPr>
      <w:r w:rsidRPr="00F5382B">
        <w:rPr>
          <w:noProof/>
          <w:lang w:val="en-IE"/>
        </w:rPr>
        <w:t>the preparation, update and endorsement of technical specifications and guidelines, to support the harmonised operation of the schemes;</w:t>
      </w:r>
    </w:p>
    <w:p w14:paraId="3FA2C3AD" w14:textId="77777777" w:rsidR="00EE3DF9" w:rsidRPr="00F5382B" w:rsidRDefault="00EE3DF9" w:rsidP="00D52AD8">
      <w:pPr>
        <w:numPr>
          <w:ilvl w:val="0"/>
          <w:numId w:val="127"/>
        </w:numPr>
        <w:spacing w:after="160" w:line="259" w:lineRule="auto"/>
        <w:rPr>
          <w:noProof/>
          <w:lang w:val="en-IE"/>
        </w:rPr>
      </w:pPr>
      <w:r w:rsidRPr="00F5382B">
        <w:rPr>
          <w:noProof/>
          <w:lang w:val="en-IE"/>
        </w:rPr>
        <w:t>interactions and, where relevant, establishment of liaisons with relevant stakeholders, including for the purpose of receiving technical contributions;</w:t>
      </w:r>
    </w:p>
    <w:p w14:paraId="623994D8" w14:textId="77777777" w:rsidR="00EE3DF9" w:rsidRPr="00F5382B" w:rsidRDefault="00EE3DF9" w:rsidP="00D52AD8">
      <w:pPr>
        <w:numPr>
          <w:ilvl w:val="0"/>
          <w:numId w:val="127"/>
        </w:numPr>
        <w:spacing w:after="160" w:line="259" w:lineRule="auto"/>
        <w:rPr>
          <w:noProof/>
          <w:lang w:val="en-IE"/>
        </w:rPr>
      </w:pPr>
      <w:r w:rsidRPr="00F5382B">
        <w:rPr>
          <w:noProof/>
          <w:lang w:val="en-IE"/>
        </w:rPr>
        <w:t>advice on the necessary improvements and updates to the schemes;</w:t>
      </w:r>
    </w:p>
    <w:p w14:paraId="561009DE" w14:textId="77777777" w:rsidR="00EE3DF9" w:rsidRPr="00F5382B" w:rsidRDefault="00EE3DF9" w:rsidP="00D52AD8">
      <w:pPr>
        <w:numPr>
          <w:ilvl w:val="0"/>
          <w:numId w:val="127"/>
        </w:numPr>
        <w:spacing w:after="160" w:line="259" w:lineRule="auto"/>
        <w:rPr>
          <w:noProof/>
          <w:lang w:val="en-IE"/>
        </w:rPr>
      </w:pPr>
      <w:r w:rsidRPr="00F5382B">
        <w:rPr>
          <w:noProof/>
          <w:lang w:val="en-IE"/>
        </w:rPr>
        <w:t>exchange of information related to the implementation of the schemes; and</w:t>
      </w:r>
    </w:p>
    <w:p w14:paraId="40577CF7" w14:textId="77777777" w:rsidR="00EE3DF9" w:rsidRPr="00F5382B" w:rsidRDefault="00EE3DF9" w:rsidP="00D52AD8">
      <w:pPr>
        <w:numPr>
          <w:ilvl w:val="0"/>
          <w:numId w:val="127"/>
        </w:numPr>
        <w:spacing w:after="160" w:line="259" w:lineRule="auto"/>
        <w:rPr>
          <w:noProof/>
          <w:lang w:val="en-IE"/>
        </w:rPr>
      </w:pPr>
      <w:r w:rsidRPr="00F5382B">
        <w:rPr>
          <w:noProof/>
          <w:lang w:val="en-IE"/>
        </w:rPr>
        <w:t xml:space="preserve">contribution to peer review and peer assessment mechanisms and analysis of their outcome with a view of improving the operation of the schemes. </w:t>
      </w:r>
    </w:p>
    <w:p w14:paraId="7761D81C" w14:textId="77777777" w:rsidR="00EE3DF9" w:rsidRPr="00F5382B" w:rsidRDefault="00EE3DF9" w:rsidP="00EE3DF9">
      <w:pPr>
        <w:spacing w:after="160" w:line="259" w:lineRule="auto"/>
        <w:rPr>
          <w:noProof/>
          <w:lang w:val="en-IE"/>
        </w:rPr>
      </w:pPr>
      <w:r w:rsidRPr="00F5382B">
        <w:rPr>
          <w:noProof/>
          <w:lang w:val="en-IE"/>
        </w:rPr>
        <w:t xml:space="preserve">The estimates related to the FTEs for ENISA and for Member States are based on the assumptions presented in the general parts of this document. The FTE increase for ENISA has been estimated on the basis of the </w:t>
      </w:r>
      <w:r w:rsidRPr="00F5382B">
        <w:rPr>
          <w:i/>
          <w:iCs/>
          <w:noProof/>
          <w:lang w:val="en-IE"/>
        </w:rPr>
        <w:t>BaU scenario</w:t>
      </w:r>
      <w:r w:rsidRPr="00F5382B">
        <w:rPr>
          <w:noProof/>
          <w:lang w:val="en-IE"/>
        </w:rPr>
        <w:t xml:space="preserve"> in which ENISA has 9 FTEs covering following activities: </w:t>
      </w:r>
    </w:p>
    <w:p w14:paraId="7FAC95D7" w14:textId="77777777" w:rsidR="00EE3DF9" w:rsidRPr="00F5382B" w:rsidRDefault="00EE3DF9" w:rsidP="00D52AD8">
      <w:pPr>
        <w:pStyle w:val="ListParagraph"/>
        <w:numPr>
          <w:ilvl w:val="0"/>
          <w:numId w:val="120"/>
        </w:numPr>
        <w:spacing w:after="160" w:line="259" w:lineRule="auto"/>
        <w:rPr>
          <w:noProof/>
        </w:rPr>
      </w:pPr>
      <w:r w:rsidRPr="00F5382B">
        <w:rPr>
          <w:noProof/>
        </w:rPr>
        <w:t>Development of schemes</w:t>
      </w:r>
    </w:p>
    <w:p w14:paraId="1AFD5A0F" w14:textId="77777777" w:rsidR="00EE3DF9" w:rsidRPr="00F5382B" w:rsidRDefault="00EE3DF9" w:rsidP="00D52AD8">
      <w:pPr>
        <w:pStyle w:val="ListParagraph"/>
        <w:numPr>
          <w:ilvl w:val="0"/>
          <w:numId w:val="120"/>
        </w:numPr>
        <w:spacing w:after="160" w:line="259" w:lineRule="auto"/>
        <w:rPr>
          <w:noProof/>
        </w:rPr>
      </w:pPr>
      <w:r w:rsidRPr="00F5382B">
        <w:rPr>
          <w:noProof/>
        </w:rPr>
        <w:t xml:space="preserve">Horizontal - Supporting ECCF governance ECCG, SCCG; horizontal issues: accreditation &amp; notification of CABs; ECCG sub-group related to horizontal activities such as evaluation of encryption mechanisms  </w:t>
      </w:r>
    </w:p>
    <w:p w14:paraId="0474BC28" w14:textId="77777777" w:rsidR="00EE3DF9" w:rsidRPr="00F5382B" w:rsidRDefault="00EE3DF9" w:rsidP="00D52AD8">
      <w:pPr>
        <w:pStyle w:val="ListParagraph"/>
        <w:numPr>
          <w:ilvl w:val="0"/>
          <w:numId w:val="120"/>
        </w:numPr>
        <w:spacing w:after="160" w:line="259" w:lineRule="auto"/>
        <w:rPr>
          <w:noProof/>
        </w:rPr>
      </w:pPr>
      <w:r w:rsidRPr="00F5382B">
        <w:rPr>
          <w:noProof/>
        </w:rPr>
        <w:t xml:space="preserve">Horizontal - Outreach &amp; uptake of certificates - Website of certificates, CEF CSP, capacity building with MS </w:t>
      </w:r>
    </w:p>
    <w:p w14:paraId="0D6301AF" w14:textId="77777777" w:rsidR="00EE3DF9" w:rsidRPr="00F5382B" w:rsidRDefault="00EE3DF9" w:rsidP="00EE3DF9">
      <w:pPr>
        <w:spacing w:after="160" w:line="259" w:lineRule="auto"/>
        <w:rPr>
          <w:noProof/>
          <w:lang w:val="en-IE"/>
        </w:rPr>
      </w:pPr>
      <w:r w:rsidRPr="00F5382B">
        <w:rPr>
          <w:noProof/>
          <w:lang w:val="en-IE"/>
        </w:rPr>
        <w:t xml:space="preserve">The </w:t>
      </w:r>
      <w:r w:rsidRPr="000679E9">
        <w:rPr>
          <w:b/>
          <w:bCs/>
          <w:noProof/>
          <w:lang w:val="en-IE"/>
        </w:rPr>
        <w:t>operational costs</w:t>
      </w:r>
      <w:r w:rsidRPr="00F5382B">
        <w:rPr>
          <w:noProof/>
          <w:lang w:val="en-IE"/>
        </w:rPr>
        <w:t xml:space="preserve"> related to maintenance consider the following assumptions: </w:t>
      </w:r>
    </w:p>
    <w:p w14:paraId="2A443E10" w14:textId="77777777" w:rsidR="00EE3DF9" w:rsidRPr="000679E9" w:rsidRDefault="00EE3DF9" w:rsidP="00D52AD8">
      <w:pPr>
        <w:pStyle w:val="ListParagraph"/>
        <w:numPr>
          <w:ilvl w:val="0"/>
          <w:numId w:val="136"/>
        </w:numPr>
        <w:spacing w:after="160" w:line="259" w:lineRule="auto"/>
        <w:rPr>
          <w:bCs/>
          <w:noProof/>
          <w:lang w:val="en-IE"/>
        </w:rPr>
      </w:pPr>
      <w:r w:rsidRPr="00F5382B">
        <w:rPr>
          <w:b/>
          <w:noProof/>
          <w:lang w:val="en-IE"/>
        </w:rPr>
        <w:t xml:space="preserve">The cost of ad hoc working group/ECCG sub-group &amp; other related activities for the maintenance work </w:t>
      </w:r>
      <w:r w:rsidRPr="00F5382B">
        <w:rPr>
          <w:bCs/>
          <w:noProof/>
          <w:lang w:val="en-IE"/>
        </w:rPr>
        <w:t xml:space="preserve">has been estimated at the yearly cost of EUR 200,000 based on figures from ENISA. </w:t>
      </w:r>
      <w:r w:rsidRPr="00F5382B">
        <w:rPr>
          <w:bCs/>
          <w:noProof/>
        </w:rPr>
        <w:t>Specifically, the maintenance considers two in person meetings with experts per year (EUR 100 000), costs of contractors supporting the development and review of supporting documentation for the scheme, the uptake of certification schemes, support the peer assessments and the implementation of conformity assessments (4 x 15 000 = EUR 60 000). The cost also includes operational part of the CEF platform and the ENISA certification website (EUR 40 000).</w:t>
      </w:r>
    </w:p>
    <w:p w14:paraId="170DBB17" w14:textId="77777777" w:rsidR="00EE3DF9" w:rsidRPr="000679E9" w:rsidRDefault="00EE3DF9" w:rsidP="00EE3DF9">
      <w:pPr>
        <w:pStyle w:val="ListParagraph"/>
        <w:spacing w:after="160" w:line="259" w:lineRule="auto"/>
        <w:rPr>
          <w:bCs/>
          <w:noProof/>
          <w:lang w:val="en-IE"/>
        </w:rPr>
      </w:pPr>
    </w:p>
    <w:p w14:paraId="04CF1B94" w14:textId="77777777" w:rsidR="00EE3DF9" w:rsidRPr="00F5382B" w:rsidRDefault="00EE3DF9" w:rsidP="00D52AD8">
      <w:pPr>
        <w:pStyle w:val="ListParagraph"/>
        <w:numPr>
          <w:ilvl w:val="0"/>
          <w:numId w:val="136"/>
        </w:numPr>
        <w:spacing w:after="160" w:line="259" w:lineRule="auto"/>
        <w:rPr>
          <w:bCs/>
          <w:noProof/>
          <w:lang w:val="en-IE"/>
        </w:rPr>
      </w:pPr>
      <w:r w:rsidRPr="000679E9">
        <w:rPr>
          <w:b/>
          <w:bCs/>
          <w:noProof/>
          <w:lang w:val="en-IE"/>
        </w:rPr>
        <w:t xml:space="preserve">Fees related to maintenance of certification schemes </w:t>
      </w:r>
    </w:p>
    <w:p w14:paraId="1861B56A" w14:textId="7B468515" w:rsidR="00EE3DF9" w:rsidRPr="00F5382B" w:rsidRDefault="00EE3DF9" w:rsidP="00EE3DF9">
      <w:pPr>
        <w:spacing w:after="160" w:line="259" w:lineRule="auto"/>
        <w:rPr>
          <w:noProof/>
        </w:rPr>
      </w:pPr>
      <w:r w:rsidRPr="00F5382B">
        <w:rPr>
          <w:noProof/>
        </w:rPr>
        <w:t>Under B2, the expectations are that the revenues from fees to raise in progression  with the adoption of every new scheme, according to the pattern described in the table above. The first three years of maintenance (starting the year of adoption), no significant revenues would be expected, with a gradual progression from 50% (year 4 and 5)</w:t>
      </w:r>
      <w:r w:rsidR="00F85BF4">
        <w:rPr>
          <w:noProof/>
        </w:rPr>
        <w:t xml:space="preserve"> to 100%</w:t>
      </w:r>
      <w:r w:rsidRPr="00F5382B">
        <w:rPr>
          <w:noProof/>
        </w:rPr>
        <w:t>.  The pattern for the first adopted EU scheme (EUCC) would be slightly different with a faster progression towards full coverage of costs by fees considering the that the scheme is already operational.</w:t>
      </w:r>
    </w:p>
    <w:p w14:paraId="77796345" w14:textId="77777777" w:rsidR="00EE3DF9" w:rsidRPr="000679E9" w:rsidRDefault="00EE3DF9" w:rsidP="00EE3DF9">
      <w:pPr>
        <w:spacing w:after="160" w:line="259" w:lineRule="auto"/>
        <w:rPr>
          <w:noProof/>
        </w:rPr>
      </w:pPr>
      <w:r w:rsidRPr="00F5382B">
        <w:rPr>
          <w:noProof/>
        </w:rPr>
        <w:t xml:space="preserve">As a result, under B2 + D3, the following revenues would be gathered. </w:t>
      </w:r>
    </w:p>
    <w:p w14:paraId="06E23E03" w14:textId="77777777" w:rsidR="00EE3DF9" w:rsidRPr="00F5382B" w:rsidRDefault="00EE3DF9" w:rsidP="00EE3DF9">
      <w:pPr>
        <w:spacing w:after="160" w:line="259" w:lineRule="auto"/>
        <w:rPr>
          <w:noProof/>
        </w:rPr>
      </w:pPr>
      <w:r w:rsidRPr="00F5382B">
        <w:rPr>
          <w:noProof/>
        </w:rPr>
        <w:t>Year        Fees </w:t>
      </w:r>
    </w:p>
    <w:p w14:paraId="3071BAF4" w14:textId="77777777" w:rsidR="00EE3DF9" w:rsidRPr="00F5382B" w:rsidRDefault="00EE3DF9" w:rsidP="00EE3DF9">
      <w:pPr>
        <w:spacing w:after="160" w:line="259" w:lineRule="auto"/>
        <w:rPr>
          <w:noProof/>
        </w:rPr>
      </w:pPr>
      <w:r w:rsidRPr="00F5382B">
        <w:rPr>
          <w:noProof/>
        </w:rPr>
        <w:t>2028        0 </w:t>
      </w:r>
    </w:p>
    <w:p w14:paraId="161DEF85" w14:textId="77777777" w:rsidR="00EE3DF9" w:rsidRPr="00F5382B" w:rsidRDefault="00EE3DF9" w:rsidP="00EE3DF9">
      <w:pPr>
        <w:spacing w:after="160" w:line="259" w:lineRule="auto"/>
        <w:rPr>
          <w:noProof/>
        </w:rPr>
      </w:pPr>
      <w:r w:rsidRPr="00F5382B">
        <w:rPr>
          <w:noProof/>
        </w:rPr>
        <w:t>2029        100 000 (revenue) – one scheme (EUCC – 50%) </w:t>
      </w:r>
    </w:p>
    <w:p w14:paraId="157A82BB" w14:textId="77777777" w:rsidR="00EE3DF9" w:rsidRPr="00F5382B" w:rsidRDefault="00EE3DF9" w:rsidP="00EE3DF9">
      <w:pPr>
        <w:spacing w:after="160" w:line="259" w:lineRule="auto"/>
        <w:rPr>
          <w:noProof/>
        </w:rPr>
      </w:pPr>
      <w:r w:rsidRPr="00F5382B">
        <w:rPr>
          <w:noProof/>
        </w:rPr>
        <w:t>2030        400 000 (revenue) – three schemes (EUCC – 100%, ID Wallet – 50% , MSS – 50%) </w:t>
      </w:r>
    </w:p>
    <w:p w14:paraId="17F6095E" w14:textId="77777777" w:rsidR="00EE3DF9" w:rsidRPr="00F5382B" w:rsidRDefault="00EE3DF9" w:rsidP="00EE3DF9">
      <w:pPr>
        <w:spacing w:after="160" w:line="259" w:lineRule="auto"/>
        <w:rPr>
          <w:noProof/>
        </w:rPr>
      </w:pPr>
      <w:r w:rsidRPr="00F5382B">
        <w:rPr>
          <w:noProof/>
        </w:rPr>
        <w:t>2031        400 000 (revenue) – three schemes (EUCC – 100%, ID Wallet – 50%, MSS – 50%) </w:t>
      </w:r>
    </w:p>
    <w:p w14:paraId="54D20EEC" w14:textId="77777777" w:rsidR="00EE3DF9" w:rsidRPr="00F5382B" w:rsidRDefault="00EE3DF9" w:rsidP="00EE3DF9">
      <w:pPr>
        <w:spacing w:after="160" w:line="259" w:lineRule="auto"/>
        <w:rPr>
          <w:noProof/>
        </w:rPr>
      </w:pPr>
      <w:r w:rsidRPr="00F5382B">
        <w:rPr>
          <w:noProof/>
        </w:rPr>
        <w:t>2032        800 000 (revenue) – five schemes (EUCC - 100%, ID Wallet - 100%, MSS - 100%, EUCS - 50%, 5G -50%) </w:t>
      </w:r>
    </w:p>
    <w:p w14:paraId="19936148" w14:textId="77777777" w:rsidR="00EE3DF9" w:rsidRPr="000679E9" w:rsidRDefault="00EE3DF9" w:rsidP="00D52AD8">
      <w:pPr>
        <w:pStyle w:val="ListParagraph"/>
        <w:numPr>
          <w:ilvl w:val="0"/>
          <w:numId w:val="137"/>
        </w:numPr>
        <w:spacing w:after="160" w:line="259" w:lineRule="auto"/>
        <w:rPr>
          <w:noProof/>
        </w:rPr>
      </w:pPr>
      <w:r w:rsidRPr="00F5382B">
        <w:rPr>
          <w:b/>
          <w:bCs/>
          <w:noProof/>
        </w:rPr>
        <w:t xml:space="preserve">Total operational costs taking into account the fee revenues </w:t>
      </w:r>
      <w:r w:rsidRPr="000679E9">
        <w:rPr>
          <w:noProof/>
        </w:rPr>
        <w:t>(</w:t>
      </w:r>
      <w:r w:rsidRPr="00F5382B">
        <w:rPr>
          <w:noProof/>
        </w:rPr>
        <w:t xml:space="preserve">under B2) </w:t>
      </w:r>
    </w:p>
    <w:p w14:paraId="4607D010" w14:textId="7071645E" w:rsidR="00EE3DF9" w:rsidRPr="00F5382B" w:rsidRDefault="00EE3DF9" w:rsidP="00EE3DF9">
      <w:pPr>
        <w:spacing w:after="160" w:line="259" w:lineRule="auto"/>
        <w:rPr>
          <w:noProof/>
        </w:rPr>
      </w:pPr>
      <w:r w:rsidRPr="00F5382B">
        <w:rPr>
          <w:noProof/>
        </w:rPr>
        <w:t>In order to estimate the total operational costs considering the revenues made by ENISA through the collection of fees, we deduct the revenu</w:t>
      </w:r>
      <w:r w:rsidR="006A5083">
        <w:rPr>
          <w:noProof/>
        </w:rPr>
        <w:t>e</w:t>
      </w:r>
      <w:r w:rsidRPr="00F5382B">
        <w:rPr>
          <w:noProof/>
        </w:rPr>
        <w:t xml:space="preserve">s from the total operational costs, as follows (over five years). </w:t>
      </w:r>
    </w:p>
    <w:p w14:paraId="34C5C58A" w14:textId="77777777" w:rsidR="00EE3DF9" w:rsidRPr="00F5382B" w:rsidRDefault="00EE3DF9" w:rsidP="00EE3DF9">
      <w:pPr>
        <w:spacing w:after="160" w:line="259" w:lineRule="auto"/>
        <w:rPr>
          <w:noProof/>
          <w:lang w:val="en-IE"/>
        </w:rPr>
      </w:pPr>
      <w:r w:rsidRPr="00F5382B">
        <w:rPr>
          <w:noProof/>
          <w:lang w:val="en-IE"/>
        </w:rPr>
        <w:t xml:space="preserve">The </w:t>
      </w:r>
      <w:r w:rsidRPr="00F5382B">
        <w:rPr>
          <w:b/>
          <w:bCs/>
          <w:noProof/>
          <w:lang w:val="en-IE"/>
        </w:rPr>
        <w:t>estimates related to the costs of a certification scheme</w:t>
      </w:r>
      <w:r w:rsidRPr="00F5382B">
        <w:rPr>
          <w:noProof/>
          <w:lang w:val="en-IE"/>
        </w:rPr>
        <w:t xml:space="preserve"> are based on the below: </w:t>
      </w:r>
    </w:p>
    <w:p w14:paraId="2237FCCD" w14:textId="77777777" w:rsidR="00EE3DF9" w:rsidRPr="00F5382B" w:rsidRDefault="00EE3DF9" w:rsidP="00EE3DF9">
      <w:pPr>
        <w:rPr>
          <w:noProof/>
        </w:rPr>
      </w:pPr>
      <w:r w:rsidRPr="00F5382B">
        <w:rPr>
          <w:b/>
          <w:bCs/>
          <w:noProof/>
          <w:lang w:eastAsia="en-GB"/>
        </w:rPr>
        <w:drawing>
          <wp:anchor distT="0" distB="0" distL="114300" distR="114300" simplePos="0" relativeHeight="251658242" behindDoc="1" locked="0" layoutInCell="1" allowOverlap="1" wp14:anchorId="4EC625EF" wp14:editId="78420FBF">
            <wp:simplePos x="0" y="0"/>
            <wp:positionH relativeFrom="column">
              <wp:posOffset>44450</wp:posOffset>
            </wp:positionH>
            <wp:positionV relativeFrom="paragraph">
              <wp:posOffset>621665</wp:posOffset>
            </wp:positionV>
            <wp:extent cx="4368800" cy="3176905"/>
            <wp:effectExtent l="0" t="0" r="0" b="0"/>
            <wp:wrapTopAndBottom/>
            <wp:docPr id="1017758058" name="Picture 1" descr="A diagram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58058" name="Picture 1" descr="A diagram of a document&#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368800" cy="3176905"/>
                    </a:xfrm>
                    <a:prstGeom prst="rect">
                      <a:avLst/>
                    </a:prstGeom>
                  </pic:spPr>
                </pic:pic>
              </a:graphicData>
            </a:graphic>
            <wp14:sizeRelH relativeFrom="margin">
              <wp14:pctWidth>0</wp14:pctWidth>
            </wp14:sizeRelH>
            <wp14:sizeRelV relativeFrom="margin">
              <wp14:pctHeight>0</wp14:pctHeight>
            </wp14:sizeRelV>
          </wp:anchor>
        </w:drawing>
      </w:r>
      <w:r w:rsidRPr="00F5382B">
        <w:rPr>
          <w:noProof/>
        </w:rPr>
        <w:t>The picture illustrates the typical steps and hence costs for businesses when going through a certification process.</w:t>
      </w:r>
      <w:r w:rsidRPr="00F5382B">
        <w:rPr>
          <w:rStyle w:val="FootnoteReference"/>
          <w:noProof/>
        </w:rPr>
        <w:footnoteReference w:id="207"/>
      </w:r>
    </w:p>
    <w:p w14:paraId="58EA0AC1" w14:textId="77777777" w:rsidR="00EE3DF9" w:rsidRPr="00F5382B" w:rsidRDefault="00EE3DF9" w:rsidP="00EE3DF9">
      <w:pPr>
        <w:pStyle w:val="FootnoteText"/>
        <w:rPr>
          <w:noProof/>
        </w:rPr>
      </w:pPr>
    </w:p>
    <w:p w14:paraId="25AB767E" w14:textId="77777777" w:rsidR="00EE3DF9" w:rsidRPr="00F5382B" w:rsidRDefault="00EE3DF9" w:rsidP="00EE3DF9">
      <w:pPr>
        <w:pStyle w:val="FootnoteText"/>
        <w:rPr>
          <w:b/>
          <w:bCs/>
          <w:noProof/>
          <w:sz w:val="24"/>
          <w:szCs w:val="24"/>
        </w:rPr>
      </w:pPr>
      <w:r w:rsidRPr="00F5382B">
        <w:rPr>
          <w:b/>
          <w:bCs/>
          <w:noProof/>
          <w:sz w:val="24"/>
          <w:szCs w:val="24"/>
        </w:rPr>
        <w:t>Average cost of security audit</w:t>
      </w:r>
    </w:p>
    <w:p w14:paraId="3DED7439" w14:textId="77777777" w:rsidR="00EE3DF9" w:rsidRPr="00F5382B" w:rsidRDefault="00EE3DF9" w:rsidP="00EE3DF9">
      <w:pPr>
        <w:pStyle w:val="FootnoteText"/>
        <w:rPr>
          <w:b/>
          <w:bCs/>
          <w:noProof/>
          <w:sz w:val="24"/>
          <w:szCs w:val="24"/>
        </w:rPr>
      </w:pPr>
    </w:p>
    <w:p w14:paraId="59908E3D" w14:textId="77777777" w:rsidR="00EE3DF9" w:rsidRPr="00F5382B" w:rsidRDefault="00EE3DF9" w:rsidP="00EE3DF9">
      <w:pPr>
        <w:pStyle w:val="FootnoteText"/>
        <w:rPr>
          <w:noProof/>
          <w:sz w:val="24"/>
          <w:szCs w:val="24"/>
        </w:rPr>
      </w:pPr>
      <w:r w:rsidRPr="00F5382B">
        <w:rPr>
          <w:noProof/>
          <w:sz w:val="24"/>
          <w:szCs w:val="24"/>
        </w:rPr>
        <w:t>In the EU in 2025 typically ranges from EUR 3.000 to over EUR 50.000, depending on the organization’s size, complexity, audit scope, and regulatory requirements, with compliance-focused audits such as ISO 27001 costing between EUR 10.000 and EUR 50.000</w:t>
      </w:r>
      <w:r w:rsidRPr="00F5382B">
        <w:rPr>
          <w:noProof/>
          <w:sz w:val="24"/>
          <w:szCs w:val="24"/>
          <w:vertAlign w:val="superscript"/>
        </w:rPr>
        <w:footnoteReference w:id="208"/>
      </w:r>
      <w:r w:rsidRPr="00F5382B">
        <w:rPr>
          <w:noProof/>
          <w:sz w:val="24"/>
          <w:szCs w:val="24"/>
        </w:rPr>
        <w:t xml:space="preserve"> . </w:t>
      </w:r>
    </w:p>
    <w:p w14:paraId="19ADAAB5" w14:textId="77777777" w:rsidR="00EE3DF9" w:rsidRPr="00F5382B" w:rsidRDefault="00EE3DF9" w:rsidP="00EE3DF9">
      <w:pPr>
        <w:pStyle w:val="FootnoteText"/>
        <w:rPr>
          <w:noProof/>
          <w:sz w:val="24"/>
          <w:szCs w:val="24"/>
          <w:lang w:val="en-IE"/>
        </w:rPr>
      </w:pPr>
    </w:p>
    <w:p w14:paraId="367A8E7D" w14:textId="77777777" w:rsidR="00EE3DF9" w:rsidRPr="00F5382B" w:rsidRDefault="00EE3DF9" w:rsidP="00EE3DF9">
      <w:pPr>
        <w:pStyle w:val="FootnoteText"/>
        <w:rPr>
          <w:b/>
          <w:bCs/>
          <w:noProof/>
          <w:sz w:val="24"/>
          <w:szCs w:val="24"/>
          <w:lang w:val="en-IE"/>
        </w:rPr>
      </w:pPr>
      <w:r w:rsidRPr="00F5382B">
        <w:rPr>
          <w:b/>
          <w:bCs/>
          <w:noProof/>
          <w:sz w:val="24"/>
          <w:szCs w:val="24"/>
          <w:lang w:val="en-IE"/>
        </w:rPr>
        <w:t>Average costs of a qualification/certification process</w:t>
      </w:r>
    </w:p>
    <w:p w14:paraId="16B915BF" w14:textId="77777777" w:rsidR="00EE3DF9" w:rsidRPr="00F5382B" w:rsidRDefault="00EE3DF9" w:rsidP="00EE3DF9">
      <w:pPr>
        <w:pStyle w:val="FootnoteText"/>
        <w:rPr>
          <w:b/>
          <w:bCs/>
          <w:noProof/>
          <w:sz w:val="24"/>
          <w:szCs w:val="24"/>
          <w:lang w:val="en-IE"/>
        </w:rPr>
      </w:pPr>
    </w:p>
    <w:p w14:paraId="55840D0A" w14:textId="77777777" w:rsidR="00EE3DF9" w:rsidRPr="00F5382B" w:rsidRDefault="00EE3DF9" w:rsidP="00EE3DF9">
      <w:pPr>
        <w:pStyle w:val="FootnoteText"/>
        <w:rPr>
          <w:noProof/>
          <w:sz w:val="24"/>
          <w:szCs w:val="24"/>
          <w:lang w:val="en-IE"/>
        </w:rPr>
        <w:sectPr w:rsidR="00EE3DF9" w:rsidRPr="00F5382B" w:rsidSect="00EE3DF9">
          <w:headerReference w:type="default" r:id="rId57"/>
          <w:footerReference w:type="default" r:id="rId58"/>
          <w:headerReference w:type="first" r:id="rId59"/>
          <w:footerReference w:type="first" r:id="rId60"/>
          <w:pgSz w:w="11906" w:h="16838"/>
          <w:pgMar w:top="1440" w:right="1440" w:bottom="1440" w:left="1440" w:header="601" w:footer="1077" w:gutter="0"/>
          <w:cols w:space="720"/>
          <w:titlePg/>
          <w:docGrid w:linePitch="326"/>
        </w:sectPr>
      </w:pPr>
      <w:r w:rsidRPr="00F5382B">
        <w:rPr>
          <w:noProof/>
          <w:sz w:val="24"/>
          <w:szCs w:val="24"/>
          <w:lang w:val="en-IE"/>
        </w:rPr>
        <w:t xml:space="preserve">The following publicly available sources have been looked at to estimate the the range of costs for a certification process of cloud services, from EUR 5 000 to 160 000:  </w:t>
      </w:r>
    </w:p>
    <w:p w14:paraId="45F50B81" w14:textId="36B4CD8C" w:rsidR="00EE3DF9" w:rsidRPr="00F5382B" w:rsidRDefault="00EE3DF9" w:rsidP="00EE3DF9">
      <w:pPr>
        <w:pStyle w:val="Heading5"/>
        <w:rPr>
          <w:noProof/>
          <w:lang w:val="en-IE"/>
        </w:rPr>
      </w:pPr>
      <w:bookmarkStart w:id="295" w:name="_Toc218767808"/>
      <w:r w:rsidRPr="00F5382B">
        <w:rPr>
          <w:noProof/>
          <w:lang w:val="en-IE"/>
        </w:rPr>
        <w:t>Table 1</w:t>
      </w:r>
      <w:r w:rsidR="00EA238E">
        <w:rPr>
          <w:noProof/>
          <w:lang w:val="en-IE"/>
        </w:rPr>
        <w:t>5</w:t>
      </w:r>
      <w:r w:rsidRPr="00F5382B">
        <w:rPr>
          <w:noProof/>
          <w:lang w:val="en-IE"/>
        </w:rPr>
        <w:t>: Overview of existing national cloud certifications &amp; qualifications</w:t>
      </w:r>
      <w:bookmarkEnd w:id="295"/>
      <w:r w:rsidRPr="00F5382B">
        <w:rPr>
          <w:noProof/>
          <w:lang w:val="en-IE"/>
        </w:rPr>
        <w:t xml:space="preserve"> </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1437"/>
        <w:gridCol w:w="1728"/>
        <w:gridCol w:w="864"/>
        <w:gridCol w:w="1298"/>
        <w:gridCol w:w="1006"/>
        <w:gridCol w:w="1295"/>
        <w:gridCol w:w="1439"/>
        <w:gridCol w:w="4826"/>
      </w:tblGrid>
      <w:tr w:rsidR="00EE3DF9" w:rsidRPr="00F5382B" w14:paraId="4795EB0C" w14:textId="77777777">
        <w:trPr>
          <w:gridAfter w:val="7"/>
          <w:wAfter w:w="4483" w:type="pct"/>
          <w:trHeight w:val="517"/>
        </w:trPr>
        <w:tc>
          <w:tcPr>
            <w:tcW w:w="517" w:type="pct"/>
            <w:vMerge w:val="restart"/>
            <w:vAlign w:val="center"/>
            <w:hideMark/>
          </w:tcPr>
          <w:p w14:paraId="64C729A7" w14:textId="77777777" w:rsidR="00EE3DF9" w:rsidRPr="00F5382B" w:rsidRDefault="00EE3DF9">
            <w:pPr>
              <w:spacing w:after="0"/>
              <w:jc w:val="left"/>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Scheme</w:t>
            </w:r>
          </w:p>
        </w:tc>
      </w:tr>
      <w:tr w:rsidR="00EE3DF9" w:rsidRPr="00F5382B" w14:paraId="50142F47" w14:textId="77777777">
        <w:trPr>
          <w:trHeight w:val="570"/>
        </w:trPr>
        <w:tc>
          <w:tcPr>
            <w:tcW w:w="517" w:type="pct"/>
            <w:vMerge/>
            <w:vAlign w:val="center"/>
            <w:hideMark/>
          </w:tcPr>
          <w:p w14:paraId="5D66FD1B" w14:textId="77777777" w:rsidR="00EE3DF9" w:rsidRPr="00F5382B" w:rsidRDefault="00EE3DF9">
            <w:pPr>
              <w:spacing w:after="0"/>
              <w:jc w:val="left"/>
              <w:rPr>
                <w:rFonts w:eastAsia="Times New Roman"/>
                <w:b/>
                <w:bCs/>
                <w:noProof/>
                <w:color w:val="000000"/>
                <w:sz w:val="20"/>
                <w:szCs w:val="20"/>
                <w:lang w:val="en-IE" w:eastAsia="en-IE"/>
              </w:rPr>
            </w:pPr>
          </w:p>
        </w:tc>
        <w:tc>
          <w:tcPr>
            <w:tcW w:w="451" w:type="pct"/>
            <w:vAlign w:val="center"/>
            <w:hideMark/>
          </w:tcPr>
          <w:p w14:paraId="5308D52A" w14:textId="77777777" w:rsidR="00EE3DF9" w:rsidRPr="00F5382B" w:rsidRDefault="00EE3DF9">
            <w:pPr>
              <w:spacing w:after="0"/>
              <w:jc w:val="center"/>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Purpose</w:t>
            </w:r>
          </w:p>
        </w:tc>
        <w:tc>
          <w:tcPr>
            <w:tcW w:w="311" w:type="pct"/>
            <w:vAlign w:val="center"/>
            <w:hideMark/>
          </w:tcPr>
          <w:p w14:paraId="14E69CBA" w14:textId="77777777" w:rsidR="00EE3DF9" w:rsidRPr="00F5382B" w:rsidRDefault="00EE3DF9">
            <w:pPr>
              <w:spacing w:after="0"/>
              <w:jc w:val="center"/>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Target Cloud Level</w:t>
            </w:r>
          </w:p>
        </w:tc>
        <w:tc>
          <w:tcPr>
            <w:tcW w:w="467" w:type="pct"/>
            <w:vAlign w:val="center"/>
            <w:hideMark/>
          </w:tcPr>
          <w:p w14:paraId="6E1757B2" w14:textId="77777777" w:rsidR="00EE3DF9" w:rsidRPr="00F5382B" w:rsidRDefault="00EE3DF9">
            <w:pPr>
              <w:spacing w:after="0"/>
              <w:jc w:val="center"/>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Based on</w:t>
            </w:r>
          </w:p>
        </w:tc>
        <w:tc>
          <w:tcPr>
            <w:tcW w:w="362" w:type="pct"/>
            <w:vAlign w:val="center"/>
            <w:hideMark/>
          </w:tcPr>
          <w:p w14:paraId="108C367C" w14:textId="77777777" w:rsidR="00EE3DF9" w:rsidRPr="00F5382B" w:rsidRDefault="00EE3DF9">
            <w:pPr>
              <w:spacing w:after="0"/>
              <w:jc w:val="center"/>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Recognition</w:t>
            </w:r>
          </w:p>
        </w:tc>
        <w:tc>
          <w:tcPr>
            <w:tcW w:w="466" w:type="pct"/>
            <w:vAlign w:val="center"/>
            <w:hideMark/>
          </w:tcPr>
          <w:p w14:paraId="6E12FF65" w14:textId="77777777" w:rsidR="00EE3DF9" w:rsidRPr="00F5382B" w:rsidRDefault="00EE3DF9">
            <w:pPr>
              <w:spacing w:after="0"/>
              <w:jc w:val="left"/>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Base Standard</w:t>
            </w:r>
          </w:p>
        </w:tc>
        <w:tc>
          <w:tcPr>
            <w:tcW w:w="518" w:type="pct"/>
            <w:vAlign w:val="center"/>
            <w:hideMark/>
          </w:tcPr>
          <w:p w14:paraId="69DCC96A" w14:textId="77777777" w:rsidR="00EE3DF9" w:rsidRPr="00F5382B" w:rsidRDefault="00EE3DF9">
            <w:pPr>
              <w:spacing w:after="0"/>
              <w:jc w:val="left"/>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Auditing Requirements</w:t>
            </w:r>
          </w:p>
        </w:tc>
        <w:tc>
          <w:tcPr>
            <w:tcW w:w="1736" w:type="pct"/>
            <w:vAlign w:val="center"/>
            <w:hideMark/>
          </w:tcPr>
          <w:p w14:paraId="5627CDEF" w14:textId="77777777" w:rsidR="00EE3DF9" w:rsidRPr="00F5382B" w:rsidRDefault="00EE3DF9">
            <w:pPr>
              <w:spacing w:after="0"/>
              <w:jc w:val="left"/>
              <w:rPr>
                <w:rFonts w:eastAsia="Times New Roman"/>
                <w:b/>
                <w:bCs/>
                <w:noProof/>
                <w:color w:val="000000"/>
                <w:sz w:val="20"/>
                <w:szCs w:val="20"/>
                <w:lang w:val="en-IE" w:eastAsia="en-IE"/>
              </w:rPr>
            </w:pPr>
            <w:r w:rsidRPr="00F5382B">
              <w:rPr>
                <w:rFonts w:eastAsia="Times New Roman"/>
                <w:b/>
                <w:bCs/>
                <w:noProof/>
                <w:color w:val="000000"/>
                <w:sz w:val="20"/>
                <w:szCs w:val="20"/>
                <w:lang w:val="en-IE" w:eastAsia="en-IE"/>
              </w:rPr>
              <w:t>Source</w:t>
            </w:r>
          </w:p>
        </w:tc>
      </w:tr>
      <w:tr w:rsidR="00EE3DF9" w:rsidRPr="00F5382B" w14:paraId="47047159" w14:textId="77777777">
        <w:trPr>
          <w:trHeight w:val="870"/>
        </w:trPr>
        <w:tc>
          <w:tcPr>
            <w:tcW w:w="516" w:type="pct"/>
            <w:vAlign w:val="center"/>
            <w:hideMark/>
          </w:tcPr>
          <w:p w14:paraId="31668E63"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SecNumCloud</w:t>
            </w:r>
          </w:p>
          <w:p w14:paraId="46712C67" w14:textId="77777777" w:rsidR="00EE3DF9" w:rsidRPr="00F5382B" w:rsidRDefault="00EE3DF9">
            <w:pPr>
              <w:spacing w:after="0"/>
              <w:jc w:val="left"/>
              <w:rPr>
                <w:rFonts w:eastAsia="Times New Roman"/>
                <w:i/>
                <w:noProof/>
                <w:color w:val="000000"/>
                <w:sz w:val="20"/>
                <w:szCs w:val="20"/>
                <w:lang w:val="en-IE" w:eastAsia="en-IE"/>
              </w:rPr>
            </w:pPr>
            <w:r w:rsidRPr="00F5382B">
              <w:rPr>
                <w:rFonts w:eastAsia="Times New Roman"/>
                <w:i/>
                <w:iCs/>
                <w:noProof/>
                <w:color w:val="000000"/>
                <w:sz w:val="20"/>
                <w:szCs w:val="20"/>
                <w:lang w:val="en-IE" w:eastAsia="en-IE"/>
              </w:rPr>
              <w:t>France</w:t>
            </w:r>
          </w:p>
        </w:tc>
        <w:tc>
          <w:tcPr>
            <w:tcW w:w="622" w:type="pct"/>
            <w:vAlign w:val="center"/>
            <w:hideMark/>
          </w:tcPr>
          <w:p w14:paraId="7EC14D59"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Ensure high cybersecurity for cloud services</w:t>
            </w:r>
          </w:p>
        </w:tc>
        <w:tc>
          <w:tcPr>
            <w:tcW w:w="311" w:type="pct"/>
            <w:vAlign w:val="center"/>
            <w:hideMark/>
          </w:tcPr>
          <w:p w14:paraId="58C138AE"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High</w:t>
            </w:r>
          </w:p>
        </w:tc>
        <w:tc>
          <w:tcPr>
            <w:tcW w:w="467" w:type="pct"/>
            <w:vAlign w:val="center"/>
            <w:hideMark/>
          </w:tcPr>
          <w:p w14:paraId="07A8540A"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ANSSI controls (ISO+more)</w:t>
            </w:r>
          </w:p>
        </w:tc>
        <w:tc>
          <w:tcPr>
            <w:tcW w:w="362" w:type="pct"/>
            <w:vAlign w:val="center"/>
            <w:hideMark/>
          </w:tcPr>
          <w:p w14:paraId="5FACBB87"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National</w:t>
            </w:r>
          </w:p>
        </w:tc>
        <w:tc>
          <w:tcPr>
            <w:tcW w:w="466" w:type="pct"/>
            <w:vAlign w:val="center"/>
            <w:hideMark/>
          </w:tcPr>
          <w:p w14:paraId="00A31738"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ISO 27001 + extras</w:t>
            </w:r>
          </w:p>
        </w:tc>
        <w:tc>
          <w:tcPr>
            <w:tcW w:w="518" w:type="pct"/>
            <w:vAlign w:val="center"/>
            <w:hideMark/>
          </w:tcPr>
          <w:p w14:paraId="0BBE6569"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Annual, in-depth</w:t>
            </w:r>
          </w:p>
        </w:tc>
        <w:tc>
          <w:tcPr>
            <w:tcW w:w="1737" w:type="pct"/>
            <w:noWrap/>
            <w:vAlign w:val="center"/>
            <w:hideMark/>
          </w:tcPr>
          <w:p w14:paraId="22452B1D" w14:textId="77777777" w:rsidR="00EE3DF9" w:rsidRPr="00F5382B" w:rsidRDefault="00047E0F" w:rsidP="00D52AD8">
            <w:pPr>
              <w:pStyle w:val="ListParagraph"/>
              <w:numPr>
                <w:ilvl w:val="0"/>
                <w:numId w:val="128"/>
              </w:numPr>
              <w:spacing w:after="0"/>
              <w:jc w:val="left"/>
              <w:rPr>
                <w:rFonts w:eastAsia="Times New Roman"/>
                <w:noProof/>
                <w:color w:val="467886"/>
                <w:sz w:val="20"/>
                <w:szCs w:val="20"/>
                <w:u w:val="single"/>
                <w:lang w:val="en-IE" w:eastAsia="en-IE"/>
              </w:rPr>
            </w:pPr>
            <w:hyperlink r:id="rId61" w:history="1">
              <w:r w:rsidR="00EE3DF9" w:rsidRPr="00F5382B">
                <w:rPr>
                  <w:rFonts w:eastAsia="Times New Roman"/>
                  <w:noProof/>
                  <w:color w:val="467886"/>
                  <w:sz w:val="20"/>
                  <w:szCs w:val="20"/>
                  <w:u w:val="single"/>
                  <w:lang w:val="en-IE" w:eastAsia="en-IE"/>
                </w:rPr>
                <w:t>https://blog.avangarde-consulting.com/secnumcloud</w:t>
              </w:r>
            </w:hyperlink>
          </w:p>
          <w:p w14:paraId="5293BED4" w14:textId="77777777" w:rsidR="00EE3DF9" w:rsidRPr="00F5382B" w:rsidRDefault="00047E0F" w:rsidP="00D52AD8">
            <w:pPr>
              <w:pStyle w:val="ListParagraph"/>
              <w:numPr>
                <w:ilvl w:val="0"/>
                <w:numId w:val="128"/>
              </w:numPr>
              <w:spacing w:after="0"/>
              <w:jc w:val="left"/>
              <w:rPr>
                <w:rFonts w:eastAsia="Times New Roman"/>
                <w:noProof/>
                <w:color w:val="467886"/>
                <w:sz w:val="20"/>
                <w:szCs w:val="20"/>
                <w:u w:val="single"/>
                <w:lang w:val="en-IE" w:eastAsia="en-IE"/>
              </w:rPr>
            </w:pPr>
            <w:hyperlink r:id="rId62" w:history="1">
              <w:r w:rsidR="00EE3DF9" w:rsidRPr="00F5382B">
                <w:rPr>
                  <w:rFonts w:eastAsia="Times New Roman"/>
                  <w:noProof/>
                  <w:color w:val="467886"/>
                  <w:sz w:val="20"/>
                  <w:szCs w:val="20"/>
                  <w:u w:val="single"/>
                  <w:lang w:val="en-IE" w:eastAsia="en-IE"/>
                </w:rPr>
                <w:t xml:space="preserve">https://www.bpifrance.fr/nos-appels-a-projets-concours/guichet-dacces-au-dispositif-daccompagnement-a-la-qualification-secnumcloud </w:t>
              </w:r>
            </w:hyperlink>
          </w:p>
          <w:p w14:paraId="090CB18F" w14:textId="77777777" w:rsidR="00EE3DF9" w:rsidRPr="00F5382B" w:rsidRDefault="00EE3DF9" w:rsidP="00D52AD8">
            <w:pPr>
              <w:pStyle w:val="ListParagraph"/>
              <w:numPr>
                <w:ilvl w:val="0"/>
                <w:numId w:val="128"/>
              </w:numPr>
              <w:spacing w:after="0"/>
              <w:jc w:val="left"/>
              <w:rPr>
                <w:rFonts w:eastAsia="Times New Roman"/>
                <w:noProof/>
                <w:color w:val="467886"/>
                <w:sz w:val="20"/>
                <w:szCs w:val="20"/>
                <w:u w:val="single"/>
                <w:lang w:val="en-IE" w:eastAsia="en-IE"/>
              </w:rPr>
            </w:pPr>
            <w:r w:rsidRPr="00F5382B">
              <w:rPr>
                <w:rFonts w:eastAsia="Times New Roman"/>
                <w:noProof/>
                <w:color w:val="467886"/>
                <w:sz w:val="20"/>
                <w:szCs w:val="20"/>
                <w:u w:val="single"/>
                <w:lang w:val="en-IE" w:eastAsia="en-IE"/>
              </w:rPr>
              <w:t>https://cyber.gouv.fr/</w:t>
            </w:r>
          </w:p>
        </w:tc>
      </w:tr>
      <w:tr w:rsidR="00EE3DF9" w:rsidRPr="00F5382B" w14:paraId="2DCAE259" w14:textId="77777777">
        <w:trPr>
          <w:trHeight w:val="570"/>
        </w:trPr>
        <w:tc>
          <w:tcPr>
            <w:tcW w:w="516" w:type="pct"/>
            <w:vAlign w:val="center"/>
            <w:hideMark/>
          </w:tcPr>
          <w:p w14:paraId="107D383B" w14:textId="77777777" w:rsidR="00EE3DF9" w:rsidRPr="00C722D9" w:rsidRDefault="00EE3DF9">
            <w:pPr>
              <w:spacing w:after="0"/>
              <w:jc w:val="left"/>
              <w:rPr>
                <w:rFonts w:eastAsia="Times New Roman"/>
                <w:noProof/>
                <w:color w:val="000000"/>
                <w:sz w:val="20"/>
                <w:szCs w:val="20"/>
                <w:lang w:val="it-IT" w:eastAsia="en-IE"/>
              </w:rPr>
            </w:pPr>
            <w:r w:rsidRPr="00C722D9">
              <w:rPr>
                <w:rFonts w:eastAsia="Times New Roman"/>
                <w:noProof/>
                <w:color w:val="000000"/>
                <w:sz w:val="20"/>
                <w:szCs w:val="20"/>
                <w:lang w:val="it-IT" w:eastAsia="en-IE"/>
              </w:rPr>
              <w:t>C5 (Cloud Computing Compliance Criteria Catalogue)</w:t>
            </w:r>
          </w:p>
          <w:p w14:paraId="2EE2DB31" w14:textId="77777777" w:rsidR="00EE3DF9" w:rsidRPr="00F5382B" w:rsidRDefault="00EE3DF9">
            <w:pPr>
              <w:spacing w:after="0"/>
              <w:jc w:val="left"/>
              <w:rPr>
                <w:rFonts w:eastAsia="Times New Roman"/>
                <w:i/>
                <w:noProof/>
                <w:color w:val="000000"/>
                <w:sz w:val="20"/>
                <w:szCs w:val="20"/>
                <w:lang w:val="en-IE" w:eastAsia="en-IE"/>
              </w:rPr>
            </w:pPr>
            <w:r w:rsidRPr="00F5382B">
              <w:rPr>
                <w:rFonts w:eastAsia="Times New Roman"/>
                <w:i/>
                <w:iCs/>
                <w:noProof/>
                <w:color w:val="000000"/>
                <w:sz w:val="20"/>
                <w:szCs w:val="20"/>
                <w:lang w:val="en-IE" w:eastAsia="en-IE"/>
              </w:rPr>
              <w:t>Germany</w:t>
            </w:r>
          </w:p>
        </w:tc>
        <w:tc>
          <w:tcPr>
            <w:tcW w:w="622" w:type="pct"/>
            <w:vAlign w:val="center"/>
            <w:hideMark/>
          </w:tcPr>
          <w:p w14:paraId="4FFFC3A3"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Auditing framework for cloud services</w:t>
            </w:r>
          </w:p>
        </w:tc>
        <w:tc>
          <w:tcPr>
            <w:tcW w:w="311" w:type="pct"/>
            <w:vAlign w:val="center"/>
            <w:hideMark/>
          </w:tcPr>
          <w:p w14:paraId="22012014"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Medium-High</w:t>
            </w:r>
          </w:p>
        </w:tc>
        <w:tc>
          <w:tcPr>
            <w:tcW w:w="467" w:type="pct"/>
            <w:vAlign w:val="center"/>
            <w:hideMark/>
          </w:tcPr>
          <w:p w14:paraId="20386D45"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BSI (based on ISO/IEC 27001)</w:t>
            </w:r>
          </w:p>
        </w:tc>
        <w:tc>
          <w:tcPr>
            <w:tcW w:w="362" w:type="pct"/>
            <w:vAlign w:val="center"/>
            <w:hideMark/>
          </w:tcPr>
          <w:p w14:paraId="2FC4A6EA"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National</w:t>
            </w:r>
          </w:p>
        </w:tc>
        <w:tc>
          <w:tcPr>
            <w:tcW w:w="466" w:type="pct"/>
            <w:vAlign w:val="center"/>
            <w:hideMark/>
          </w:tcPr>
          <w:p w14:paraId="2644375A"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ISO 27001</w:t>
            </w:r>
          </w:p>
        </w:tc>
        <w:tc>
          <w:tcPr>
            <w:tcW w:w="518" w:type="pct"/>
            <w:vAlign w:val="center"/>
            <w:hideMark/>
          </w:tcPr>
          <w:p w14:paraId="220C3118"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Annual, risk-based</w:t>
            </w:r>
          </w:p>
        </w:tc>
        <w:tc>
          <w:tcPr>
            <w:tcW w:w="1737" w:type="pct"/>
            <w:noWrap/>
            <w:vAlign w:val="center"/>
            <w:hideMark/>
          </w:tcPr>
          <w:p w14:paraId="48C41E70" w14:textId="77777777" w:rsidR="00EE3DF9" w:rsidRPr="00F5382B" w:rsidRDefault="00047E0F" w:rsidP="00D52AD8">
            <w:pPr>
              <w:pStyle w:val="ListParagraph"/>
              <w:numPr>
                <w:ilvl w:val="0"/>
                <w:numId w:val="129"/>
              </w:numPr>
              <w:spacing w:after="0"/>
              <w:jc w:val="left"/>
              <w:rPr>
                <w:rFonts w:eastAsia="Times New Roman"/>
                <w:noProof/>
                <w:color w:val="467886"/>
                <w:sz w:val="20"/>
                <w:szCs w:val="20"/>
                <w:u w:val="single"/>
                <w:lang w:val="en-IE" w:eastAsia="en-IE"/>
              </w:rPr>
            </w:pPr>
            <w:hyperlink r:id="rId63" w:history="1">
              <w:r w:rsidR="00EE3DF9" w:rsidRPr="00F5382B">
                <w:rPr>
                  <w:rFonts w:eastAsia="Times New Roman"/>
                  <w:noProof/>
                  <w:color w:val="467886"/>
                  <w:sz w:val="20"/>
                  <w:szCs w:val="20"/>
                  <w:u w:val="single"/>
                  <w:lang w:val="en-IE" w:eastAsia="en-IE"/>
                </w:rPr>
                <w:t>https://www.chino.io/post/c5-certification-digital-health-compliance-guide?utm</w:t>
              </w:r>
            </w:hyperlink>
          </w:p>
          <w:p w14:paraId="26D09BC9" w14:textId="77777777" w:rsidR="00EE3DF9" w:rsidRPr="00F5382B" w:rsidRDefault="00047E0F" w:rsidP="00D52AD8">
            <w:pPr>
              <w:pStyle w:val="ListParagraph"/>
              <w:numPr>
                <w:ilvl w:val="0"/>
                <w:numId w:val="129"/>
              </w:numPr>
              <w:spacing w:after="0"/>
              <w:jc w:val="left"/>
              <w:rPr>
                <w:rFonts w:eastAsia="Times New Roman"/>
                <w:noProof/>
                <w:color w:val="467886"/>
                <w:sz w:val="20"/>
                <w:szCs w:val="20"/>
                <w:u w:val="single"/>
                <w:lang w:val="en-IE" w:eastAsia="en-IE"/>
              </w:rPr>
            </w:pPr>
            <w:hyperlink r:id="rId64" w:history="1">
              <w:r w:rsidR="00EE3DF9" w:rsidRPr="00F5382B">
                <w:rPr>
                  <w:rFonts w:eastAsia="Times New Roman"/>
                  <w:noProof/>
                  <w:color w:val="467886"/>
                  <w:sz w:val="20"/>
                  <w:szCs w:val="20"/>
                  <w:u w:val="single"/>
                  <w:lang w:val="en-IE" w:eastAsia="en-IE"/>
                </w:rPr>
                <w:t>https://simpliant.eu/insights/neues-digital-gesetz-pflicht-zu-c5-testierung-fuer-saas-anbieter-im-gesundheitswesen</w:t>
              </w:r>
            </w:hyperlink>
          </w:p>
          <w:p w14:paraId="2BF5337B" w14:textId="77777777" w:rsidR="00EE3DF9" w:rsidRPr="00F5382B" w:rsidRDefault="00047E0F" w:rsidP="00D52AD8">
            <w:pPr>
              <w:pStyle w:val="ListParagraph"/>
              <w:numPr>
                <w:ilvl w:val="0"/>
                <w:numId w:val="129"/>
              </w:numPr>
              <w:spacing w:after="0"/>
              <w:jc w:val="left"/>
              <w:rPr>
                <w:rFonts w:eastAsia="Times New Roman"/>
                <w:noProof/>
                <w:color w:val="000000"/>
                <w:sz w:val="20"/>
                <w:szCs w:val="20"/>
                <w:lang w:val="en-IE" w:eastAsia="en-IE"/>
              </w:rPr>
            </w:pPr>
            <w:hyperlink r:id="rId65" w:history="1">
              <w:r w:rsidR="00EE3DF9" w:rsidRPr="00F5382B">
                <w:rPr>
                  <w:rStyle w:val="Hyperlink"/>
                  <w:rFonts w:eastAsia="Times New Roman"/>
                  <w:noProof/>
                  <w:sz w:val="20"/>
                  <w:szCs w:val="20"/>
                  <w:lang w:val="en-IE" w:eastAsia="en-IE"/>
                </w:rPr>
                <w:t>https://www.bsi.bund.de/SharedDocs/Downloads/EN/BSI/CloudComputing/ComplianceControlsCatalogue/2020/C5_2020.pdf?__blob=publicationFile&amp;v=3</w:t>
              </w:r>
            </w:hyperlink>
          </w:p>
          <w:p w14:paraId="78C4B7C4" w14:textId="77777777" w:rsidR="00EE3DF9" w:rsidRPr="00F5382B" w:rsidRDefault="00EE3DF9">
            <w:pPr>
              <w:spacing w:after="0"/>
              <w:jc w:val="left"/>
              <w:rPr>
                <w:rFonts w:eastAsia="Times New Roman"/>
                <w:noProof/>
                <w:color w:val="467886"/>
                <w:sz w:val="20"/>
                <w:szCs w:val="20"/>
                <w:u w:val="single"/>
                <w:lang w:val="en-IE" w:eastAsia="en-IE"/>
              </w:rPr>
            </w:pPr>
          </w:p>
        </w:tc>
      </w:tr>
      <w:tr w:rsidR="00EE3DF9" w:rsidRPr="00F5382B" w14:paraId="58088CB0" w14:textId="77777777">
        <w:trPr>
          <w:trHeight w:val="885"/>
        </w:trPr>
        <w:tc>
          <w:tcPr>
            <w:tcW w:w="516" w:type="pct"/>
            <w:vAlign w:val="center"/>
            <w:hideMark/>
          </w:tcPr>
          <w:p w14:paraId="5B5A4BD1" w14:textId="77777777" w:rsidR="00EE3DF9" w:rsidRPr="00E5147D" w:rsidRDefault="00EE3DF9">
            <w:pPr>
              <w:spacing w:after="0"/>
              <w:jc w:val="left"/>
              <w:rPr>
                <w:rFonts w:eastAsia="Times New Roman"/>
                <w:noProof/>
                <w:color w:val="000000"/>
                <w:sz w:val="20"/>
                <w:szCs w:val="20"/>
                <w:lang w:val="es-ES_tradnl" w:eastAsia="en-IE"/>
              </w:rPr>
            </w:pPr>
            <w:r w:rsidRPr="00E5147D">
              <w:rPr>
                <w:rFonts w:eastAsia="Times New Roman"/>
                <w:noProof/>
                <w:color w:val="000000" w:themeColor="text1"/>
                <w:sz w:val="20"/>
                <w:szCs w:val="20"/>
                <w:lang w:val="es-ES_tradnl" w:eastAsia="en-IE"/>
              </w:rPr>
              <w:t>Esquema Nacional de Seguridad</w:t>
            </w:r>
          </w:p>
          <w:p w14:paraId="321B88D0" w14:textId="77777777" w:rsidR="00EE3DF9" w:rsidRPr="00F5382B" w:rsidRDefault="00EE3DF9">
            <w:pPr>
              <w:spacing w:after="0"/>
              <w:jc w:val="left"/>
              <w:rPr>
                <w:rFonts w:eastAsia="Times New Roman"/>
                <w:i/>
                <w:noProof/>
                <w:color w:val="000000"/>
                <w:sz w:val="20"/>
                <w:szCs w:val="20"/>
                <w:lang w:val="es-ES" w:eastAsia="en-IE"/>
              </w:rPr>
            </w:pPr>
            <w:r w:rsidRPr="00F5382B">
              <w:rPr>
                <w:rFonts w:eastAsia="Times New Roman"/>
                <w:i/>
                <w:iCs/>
                <w:noProof/>
                <w:color w:val="000000"/>
                <w:sz w:val="20"/>
                <w:szCs w:val="20"/>
                <w:lang w:val="es-ES" w:eastAsia="en-IE"/>
              </w:rPr>
              <w:t>Spain</w:t>
            </w:r>
          </w:p>
        </w:tc>
        <w:tc>
          <w:tcPr>
            <w:tcW w:w="622" w:type="pct"/>
            <w:vAlign w:val="center"/>
            <w:hideMark/>
          </w:tcPr>
          <w:p w14:paraId="655C5F03"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Qualification of cloud services for PA</w:t>
            </w:r>
          </w:p>
        </w:tc>
        <w:tc>
          <w:tcPr>
            <w:tcW w:w="311" w:type="pct"/>
            <w:vAlign w:val="center"/>
            <w:hideMark/>
          </w:tcPr>
          <w:p w14:paraId="23B5F2EC"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Basic to High</w:t>
            </w:r>
          </w:p>
        </w:tc>
        <w:tc>
          <w:tcPr>
            <w:tcW w:w="467" w:type="pct"/>
            <w:vAlign w:val="center"/>
            <w:hideMark/>
          </w:tcPr>
          <w:p w14:paraId="163512BE"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ENS (Royal Decree)</w:t>
            </w:r>
          </w:p>
        </w:tc>
        <w:tc>
          <w:tcPr>
            <w:tcW w:w="362" w:type="pct"/>
            <w:vAlign w:val="center"/>
            <w:hideMark/>
          </w:tcPr>
          <w:p w14:paraId="0D1CAFAF"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National</w:t>
            </w:r>
          </w:p>
        </w:tc>
        <w:tc>
          <w:tcPr>
            <w:tcW w:w="466" w:type="pct"/>
            <w:vAlign w:val="center"/>
            <w:hideMark/>
          </w:tcPr>
          <w:p w14:paraId="208C89F1"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ENS + ISO 27001</w:t>
            </w:r>
          </w:p>
        </w:tc>
        <w:tc>
          <w:tcPr>
            <w:tcW w:w="518" w:type="pct"/>
            <w:vAlign w:val="center"/>
            <w:hideMark/>
          </w:tcPr>
          <w:p w14:paraId="4A94B353"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Annual or periodic (per level)</w:t>
            </w:r>
          </w:p>
        </w:tc>
        <w:tc>
          <w:tcPr>
            <w:tcW w:w="1737" w:type="pct"/>
            <w:noWrap/>
            <w:vAlign w:val="bottom"/>
            <w:hideMark/>
          </w:tcPr>
          <w:p w14:paraId="45B049A6" w14:textId="77777777" w:rsidR="00EE3DF9" w:rsidRPr="00F5382B" w:rsidRDefault="00047E0F" w:rsidP="00D52AD8">
            <w:pPr>
              <w:pStyle w:val="ListParagraph"/>
              <w:numPr>
                <w:ilvl w:val="0"/>
                <w:numId w:val="130"/>
              </w:numPr>
              <w:spacing w:after="0"/>
              <w:ind w:left="360"/>
              <w:jc w:val="left"/>
              <w:rPr>
                <w:rFonts w:eastAsia="Times New Roman"/>
                <w:noProof/>
                <w:color w:val="000000"/>
                <w:sz w:val="20"/>
                <w:szCs w:val="20"/>
                <w:lang w:val="en-IE" w:eastAsia="en-IE"/>
              </w:rPr>
            </w:pPr>
            <w:hyperlink r:id="rId66" w:history="1">
              <w:r w:rsidR="00EE3DF9" w:rsidRPr="00F5382B">
                <w:rPr>
                  <w:rStyle w:val="Hyperlink"/>
                  <w:rFonts w:eastAsia="Times New Roman"/>
                  <w:noProof/>
                  <w:sz w:val="20"/>
                  <w:szCs w:val="20"/>
                  <w:lang w:val="en-IE" w:eastAsia="en-IE"/>
                </w:rPr>
                <w:t>https://www.audidat.com/blog/esquema-nacional-de-seguridad/certificacion-ens-precio/</w:t>
              </w:r>
            </w:hyperlink>
          </w:p>
          <w:p w14:paraId="17063E9F" w14:textId="77777777" w:rsidR="00EE3DF9" w:rsidRPr="00F5382B" w:rsidRDefault="00047E0F" w:rsidP="00D52AD8">
            <w:pPr>
              <w:pStyle w:val="ListParagraph"/>
              <w:numPr>
                <w:ilvl w:val="0"/>
                <w:numId w:val="130"/>
              </w:numPr>
              <w:spacing w:after="0"/>
              <w:ind w:left="360"/>
              <w:jc w:val="left"/>
              <w:rPr>
                <w:rFonts w:eastAsia="Times New Roman"/>
                <w:noProof/>
                <w:color w:val="000000"/>
                <w:sz w:val="20"/>
                <w:szCs w:val="20"/>
                <w:lang w:val="en-IE" w:eastAsia="en-IE"/>
              </w:rPr>
            </w:pPr>
            <w:hyperlink r:id="rId67" w:history="1">
              <w:r w:rsidR="00EE3DF9" w:rsidRPr="00F5382B">
                <w:rPr>
                  <w:rStyle w:val="Hyperlink"/>
                  <w:rFonts w:eastAsia="Times New Roman"/>
                  <w:noProof/>
                  <w:sz w:val="20"/>
                  <w:szCs w:val="20"/>
                  <w:lang w:val="en-IE" w:eastAsia="en-IE"/>
                </w:rPr>
                <w:t>https://doiser.com/que-precio-tiene-la-certificacion-del-esquema-nacional-de-seguridad</w:t>
              </w:r>
            </w:hyperlink>
          </w:p>
          <w:p w14:paraId="659D2104" w14:textId="77777777" w:rsidR="00EE3DF9" w:rsidRPr="00F5382B" w:rsidRDefault="00EE3DF9">
            <w:pPr>
              <w:spacing w:after="0"/>
              <w:jc w:val="left"/>
              <w:rPr>
                <w:rFonts w:eastAsia="Times New Roman"/>
                <w:noProof/>
                <w:color w:val="000000"/>
                <w:sz w:val="20"/>
                <w:szCs w:val="20"/>
                <w:lang w:val="en-IE" w:eastAsia="en-IE"/>
              </w:rPr>
            </w:pPr>
          </w:p>
        </w:tc>
      </w:tr>
      <w:tr w:rsidR="00EE3DF9" w:rsidRPr="00F5382B" w14:paraId="7ADCBF3B" w14:textId="77777777">
        <w:trPr>
          <w:trHeight w:val="570"/>
        </w:trPr>
        <w:tc>
          <w:tcPr>
            <w:tcW w:w="516" w:type="pct"/>
            <w:vAlign w:val="center"/>
            <w:hideMark/>
          </w:tcPr>
          <w:p w14:paraId="5B0A2DE7"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Italian AGID Qualification</w:t>
            </w:r>
          </w:p>
          <w:p w14:paraId="308FDB53" w14:textId="77777777" w:rsidR="00EE3DF9" w:rsidRPr="00F5382B" w:rsidRDefault="00EE3DF9">
            <w:pPr>
              <w:spacing w:after="0"/>
              <w:jc w:val="left"/>
              <w:rPr>
                <w:rFonts w:eastAsia="Times New Roman"/>
                <w:i/>
                <w:noProof/>
                <w:color w:val="000000"/>
                <w:sz w:val="20"/>
                <w:szCs w:val="20"/>
                <w:lang w:val="en-IE" w:eastAsia="en-IE"/>
              </w:rPr>
            </w:pPr>
            <w:r w:rsidRPr="00F5382B">
              <w:rPr>
                <w:rFonts w:eastAsia="Times New Roman"/>
                <w:i/>
                <w:iCs/>
                <w:noProof/>
                <w:color w:val="000000"/>
                <w:sz w:val="20"/>
                <w:szCs w:val="20"/>
                <w:lang w:val="en-IE" w:eastAsia="en-IE"/>
              </w:rPr>
              <w:t>Italy</w:t>
            </w:r>
          </w:p>
        </w:tc>
        <w:tc>
          <w:tcPr>
            <w:tcW w:w="622" w:type="pct"/>
            <w:vAlign w:val="center"/>
            <w:hideMark/>
          </w:tcPr>
          <w:p w14:paraId="19DDC1EB"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Qualification of cloud services for PA</w:t>
            </w:r>
          </w:p>
        </w:tc>
        <w:tc>
          <w:tcPr>
            <w:tcW w:w="311" w:type="pct"/>
            <w:vAlign w:val="center"/>
            <w:hideMark/>
          </w:tcPr>
          <w:p w14:paraId="6B6501C6"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Entry to Mid</w:t>
            </w:r>
          </w:p>
        </w:tc>
        <w:tc>
          <w:tcPr>
            <w:tcW w:w="467" w:type="pct"/>
            <w:vAlign w:val="center"/>
            <w:hideMark/>
          </w:tcPr>
          <w:p w14:paraId="1D020BFB"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AGID controls, partly ISO-based</w:t>
            </w:r>
          </w:p>
        </w:tc>
        <w:tc>
          <w:tcPr>
            <w:tcW w:w="362" w:type="pct"/>
            <w:vAlign w:val="center"/>
            <w:hideMark/>
          </w:tcPr>
          <w:p w14:paraId="72926A2E"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National</w:t>
            </w:r>
          </w:p>
        </w:tc>
        <w:tc>
          <w:tcPr>
            <w:tcW w:w="466" w:type="pct"/>
            <w:vAlign w:val="center"/>
            <w:hideMark/>
          </w:tcPr>
          <w:p w14:paraId="76006A48"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ISO 27001 (partly)</w:t>
            </w:r>
          </w:p>
        </w:tc>
        <w:tc>
          <w:tcPr>
            <w:tcW w:w="518" w:type="pct"/>
            <w:vAlign w:val="center"/>
            <w:hideMark/>
          </w:tcPr>
          <w:p w14:paraId="08FA4ADD" w14:textId="77777777" w:rsidR="00EE3DF9" w:rsidRPr="00F5382B" w:rsidRDefault="00EE3DF9">
            <w:pPr>
              <w:spacing w:after="0"/>
              <w:jc w:val="left"/>
              <w:rPr>
                <w:rFonts w:eastAsia="Times New Roman"/>
                <w:noProof/>
                <w:color w:val="000000"/>
                <w:sz w:val="20"/>
                <w:szCs w:val="20"/>
                <w:lang w:val="en-IE" w:eastAsia="en-IE"/>
              </w:rPr>
            </w:pPr>
            <w:r w:rsidRPr="00F5382B">
              <w:rPr>
                <w:rFonts w:eastAsia="Times New Roman"/>
                <w:noProof/>
                <w:color w:val="000000"/>
                <w:sz w:val="20"/>
                <w:szCs w:val="20"/>
                <w:lang w:val="en-IE" w:eastAsia="en-IE"/>
              </w:rPr>
              <w:t>Entry-level + documentation</w:t>
            </w:r>
          </w:p>
        </w:tc>
        <w:tc>
          <w:tcPr>
            <w:tcW w:w="1737" w:type="pct"/>
            <w:noWrap/>
            <w:vAlign w:val="bottom"/>
            <w:hideMark/>
          </w:tcPr>
          <w:p w14:paraId="0516B9C2" w14:textId="77777777" w:rsidR="00EE3DF9" w:rsidRPr="00F5382B" w:rsidRDefault="00047E0F" w:rsidP="00D52AD8">
            <w:pPr>
              <w:pStyle w:val="ListParagraph"/>
              <w:numPr>
                <w:ilvl w:val="0"/>
                <w:numId w:val="130"/>
              </w:numPr>
              <w:spacing w:after="0"/>
              <w:jc w:val="left"/>
              <w:rPr>
                <w:rFonts w:eastAsia="Times New Roman"/>
                <w:noProof/>
                <w:color w:val="000000"/>
                <w:sz w:val="20"/>
                <w:szCs w:val="20"/>
                <w:lang w:val="en-IE" w:eastAsia="en-IE"/>
              </w:rPr>
            </w:pPr>
            <w:hyperlink r:id="rId68" w:history="1">
              <w:r w:rsidR="00EE3DF9" w:rsidRPr="00F5382B">
                <w:rPr>
                  <w:rStyle w:val="Hyperlink"/>
                  <w:rFonts w:eastAsia="Times New Roman"/>
                  <w:noProof/>
                  <w:sz w:val="20"/>
                  <w:szCs w:val="20"/>
                  <w:lang w:val="en-IE" w:eastAsia="en-IE"/>
                </w:rPr>
                <w:t>https://consulenza.isgroup.it/kb/migliori-normative-acn-agid-italia-2025/?utm_source=chatgpt.com</w:t>
              </w:r>
            </w:hyperlink>
          </w:p>
          <w:p w14:paraId="53E1072A" w14:textId="77777777" w:rsidR="00EE3DF9" w:rsidRPr="00F5382B" w:rsidRDefault="00047E0F" w:rsidP="00D52AD8">
            <w:pPr>
              <w:pStyle w:val="ListParagraph"/>
              <w:numPr>
                <w:ilvl w:val="0"/>
                <w:numId w:val="130"/>
              </w:numPr>
              <w:spacing w:after="0"/>
              <w:jc w:val="left"/>
              <w:rPr>
                <w:rFonts w:eastAsia="Times New Roman"/>
                <w:noProof/>
                <w:color w:val="000000"/>
                <w:sz w:val="20"/>
                <w:szCs w:val="20"/>
                <w:lang w:val="en-IE" w:eastAsia="en-IE"/>
              </w:rPr>
            </w:pPr>
            <w:hyperlink r:id="rId69" w:history="1">
              <w:r w:rsidR="00EE3DF9" w:rsidRPr="00F5382B">
                <w:rPr>
                  <w:rFonts w:eastAsia="Times New Roman"/>
                  <w:noProof/>
                  <w:color w:val="467886"/>
                  <w:sz w:val="20"/>
                  <w:szCs w:val="20"/>
                  <w:u w:val="single"/>
                  <w:lang w:val="en-IE" w:eastAsia="en-IE"/>
                </w:rPr>
                <w:t>https://www.acn.gov.it/portale/cloud/qualificazione-e-adeguamento</w:t>
              </w:r>
            </w:hyperlink>
          </w:p>
        </w:tc>
      </w:tr>
    </w:tbl>
    <w:p w14:paraId="01A126A2" w14:textId="77777777" w:rsidR="00EE3DF9" w:rsidRPr="00F5382B" w:rsidRDefault="00EE3DF9" w:rsidP="00EE3DF9">
      <w:pPr>
        <w:spacing w:after="160" w:line="259" w:lineRule="auto"/>
        <w:rPr>
          <w:noProof/>
          <w:lang w:val="en-IE"/>
        </w:rPr>
      </w:pPr>
    </w:p>
    <w:p w14:paraId="1E53D36B" w14:textId="77777777" w:rsidR="00EE3DF9" w:rsidRPr="00F5382B" w:rsidRDefault="00EE3DF9" w:rsidP="00EE3DF9">
      <w:pPr>
        <w:rPr>
          <w:noProof/>
          <w:lang w:val="en-IE"/>
        </w:rPr>
        <w:sectPr w:rsidR="00EE3DF9" w:rsidRPr="00F5382B" w:rsidSect="00EE3DF9">
          <w:headerReference w:type="default" r:id="rId70"/>
          <w:footerReference w:type="default" r:id="rId71"/>
          <w:headerReference w:type="first" r:id="rId72"/>
          <w:footerReference w:type="first" r:id="rId73"/>
          <w:pgSz w:w="16838" w:h="11906" w:orient="landscape"/>
          <w:pgMar w:top="1440" w:right="1440" w:bottom="1440" w:left="1440" w:header="601" w:footer="1077" w:gutter="0"/>
          <w:cols w:space="720"/>
          <w:titlePg/>
          <w:docGrid w:linePitch="326"/>
        </w:sectPr>
      </w:pPr>
    </w:p>
    <w:p w14:paraId="10E27D0D" w14:textId="77777777" w:rsidR="00EE3DF9" w:rsidRPr="00F5382B" w:rsidRDefault="00EE3DF9" w:rsidP="00EE3DF9">
      <w:pPr>
        <w:pStyle w:val="Heading2"/>
        <w:numPr>
          <w:ilvl w:val="1"/>
          <w:numId w:val="3"/>
        </w:numPr>
        <w:rPr>
          <w:noProof/>
        </w:rPr>
      </w:pPr>
      <w:bookmarkStart w:id="296" w:name="_Toc210934639"/>
      <w:bookmarkStart w:id="297" w:name="_Toc210939823"/>
      <w:bookmarkStart w:id="298" w:name="_Toc219039505"/>
      <w:bookmarkStart w:id="299" w:name="_Toc219447404"/>
      <w:r w:rsidRPr="00F5382B">
        <w:rPr>
          <w:noProof/>
        </w:rPr>
        <w:t>Options related to simplification</w:t>
      </w:r>
      <w:bookmarkEnd w:id="296"/>
      <w:bookmarkEnd w:id="297"/>
      <w:bookmarkEnd w:id="298"/>
      <w:bookmarkEnd w:id="299"/>
      <w:r w:rsidRPr="00F5382B">
        <w:rPr>
          <w:noProof/>
        </w:rPr>
        <w:t xml:space="preserve"> </w:t>
      </w:r>
    </w:p>
    <w:p w14:paraId="5BE41E25" w14:textId="77777777" w:rsidR="00EE3DF9" w:rsidRPr="00F5382B" w:rsidRDefault="00EE3DF9" w:rsidP="00EE3DF9">
      <w:pPr>
        <w:pStyle w:val="Heading3"/>
        <w:numPr>
          <w:ilvl w:val="2"/>
          <w:numId w:val="3"/>
        </w:numPr>
        <w:rPr>
          <w:noProof/>
        </w:rPr>
      </w:pPr>
      <w:bookmarkStart w:id="300" w:name="_Toc210934640"/>
      <w:bookmarkStart w:id="301" w:name="_Toc210939824"/>
      <w:bookmarkStart w:id="302" w:name="_Toc219039506"/>
      <w:bookmarkStart w:id="303" w:name="_Toc219447405"/>
      <w:r w:rsidRPr="00F5382B">
        <w:rPr>
          <w:noProof/>
        </w:rPr>
        <w:t xml:space="preserve">Average cost of </w:t>
      </w:r>
      <w:r w:rsidRPr="00F5382B">
        <w:rPr>
          <w:bCs/>
          <w:iCs/>
          <w:noProof/>
        </w:rPr>
        <w:t>compliance with NIS2</w:t>
      </w:r>
      <w:bookmarkEnd w:id="300"/>
      <w:bookmarkEnd w:id="301"/>
      <w:r w:rsidRPr="00F5382B">
        <w:rPr>
          <w:bCs/>
          <w:iCs/>
          <w:noProof/>
        </w:rPr>
        <w:t xml:space="preserve"> (adjustment and administrative costs)</w:t>
      </w:r>
      <w:bookmarkEnd w:id="302"/>
      <w:bookmarkEnd w:id="303"/>
      <w:r w:rsidRPr="00F5382B">
        <w:rPr>
          <w:bCs/>
          <w:iCs/>
          <w:noProof/>
        </w:rPr>
        <w:t xml:space="preserve"> </w:t>
      </w:r>
    </w:p>
    <w:p w14:paraId="59655F66" w14:textId="77777777" w:rsidR="00EE3DF9" w:rsidRPr="00F5382B" w:rsidRDefault="00EE3DF9" w:rsidP="00EE3DF9">
      <w:pPr>
        <w:rPr>
          <w:noProof/>
        </w:rPr>
      </w:pPr>
      <w:r w:rsidRPr="00F5382B">
        <w:rPr>
          <w:noProof/>
        </w:rPr>
        <w:t xml:space="preserve">Article 21(2) of the NIS 2 Directive requires essential and important entities to implement cybersecurity risk-management measures. </w:t>
      </w:r>
    </w:p>
    <w:p w14:paraId="2109A812" w14:textId="77777777" w:rsidR="00EE3DF9" w:rsidRPr="00F5382B" w:rsidRDefault="00EE3DF9" w:rsidP="00EE3DF9">
      <w:pPr>
        <w:rPr>
          <w:noProof/>
        </w:rPr>
      </w:pPr>
      <w:r w:rsidRPr="00F5382B">
        <w:rPr>
          <w:noProof/>
        </w:rPr>
        <w:t xml:space="preserve">Organizations typically spend between 1 000 and 4 999 hours per year on proving compliance with such requirements (Source: https://drata.com/blog/introducing-2023-compliance-trends-report).  In terms of staffing, this range corresponds to roughly 0.56 to 2.78 FTE employees (assuming 1 800 working hours per FTE per year). Using an average fully loaded FTE cost of 56 500 per year (see above), this equates to an internal compliance demonstration cost ranging from approximately EUR 31.640 to EUR 157.070 annually per organisation. Taking the midpoint – around 3 000 hours or 1.67 FTE – the estimated average cost is about </w:t>
      </w:r>
      <w:r w:rsidRPr="00F5382B">
        <w:rPr>
          <w:b/>
          <w:noProof/>
        </w:rPr>
        <w:t>EUR 94 355 per year</w:t>
      </w:r>
      <w:r w:rsidRPr="00F5382B">
        <w:rPr>
          <w:noProof/>
        </w:rPr>
        <w:t xml:space="preserve">. This estimate includes administrative and adjustment costs.  The assumption is taken that 10% of these costs would stem from administrative costs. </w:t>
      </w:r>
    </w:p>
    <w:p w14:paraId="0A81701E" w14:textId="77777777" w:rsidR="00EE3DF9" w:rsidRPr="00F5382B" w:rsidRDefault="00EE3DF9" w:rsidP="00EE3DF9">
      <w:pPr>
        <w:pStyle w:val="Heading3"/>
        <w:numPr>
          <w:ilvl w:val="2"/>
          <w:numId w:val="3"/>
        </w:numPr>
        <w:rPr>
          <w:noProof/>
        </w:rPr>
      </w:pPr>
      <w:bookmarkStart w:id="304" w:name="_Toc210934641"/>
      <w:bookmarkStart w:id="305" w:name="_Toc210939825"/>
      <w:bookmarkStart w:id="306" w:name="_Toc219039507"/>
      <w:bookmarkStart w:id="307" w:name="_Toc219447406"/>
      <w:r w:rsidRPr="00F5382B">
        <w:rPr>
          <w:noProof/>
        </w:rPr>
        <w:t xml:space="preserve">Calculations for </w:t>
      </w:r>
      <w:r w:rsidRPr="00F5382B">
        <w:rPr>
          <w:bCs/>
          <w:iCs/>
          <w:noProof/>
        </w:rPr>
        <w:t>the number of entities impacted by scope changes</w:t>
      </w:r>
      <w:bookmarkEnd w:id="304"/>
      <w:bookmarkEnd w:id="305"/>
      <w:bookmarkEnd w:id="306"/>
      <w:bookmarkEnd w:id="307"/>
    </w:p>
    <w:p w14:paraId="22B6DD82" w14:textId="77777777" w:rsidR="00EE3DF9" w:rsidRPr="00F5382B" w:rsidRDefault="00EE3DF9" w:rsidP="00EE3DF9">
      <w:pPr>
        <w:pStyle w:val="FootnoteText"/>
        <w:rPr>
          <w:noProof/>
          <w:sz w:val="24"/>
          <w:szCs w:val="24"/>
        </w:rPr>
      </w:pPr>
      <w:r w:rsidRPr="00F5382B">
        <w:rPr>
          <w:noProof/>
          <w:sz w:val="24"/>
          <w:szCs w:val="24"/>
        </w:rPr>
        <w:t xml:space="preserve">The calculations are made under the assumption that there are 188 000 entities in the scope of NIS2. </w:t>
      </w:r>
    </w:p>
    <w:p w14:paraId="5C5C76F4" w14:textId="77777777" w:rsidR="00EE3DF9" w:rsidRPr="00F5382B" w:rsidRDefault="00EE3DF9" w:rsidP="00EE3DF9">
      <w:pPr>
        <w:pStyle w:val="FootnoteText"/>
        <w:rPr>
          <w:noProof/>
          <w:sz w:val="24"/>
          <w:szCs w:val="24"/>
        </w:rPr>
      </w:pPr>
    </w:p>
    <w:p w14:paraId="624C475B" w14:textId="17A766DD" w:rsidR="00EE3DF9" w:rsidRPr="00F5382B" w:rsidRDefault="00EE3DF9" w:rsidP="00EE3DF9">
      <w:pPr>
        <w:pStyle w:val="FootnoteText"/>
        <w:rPr>
          <w:noProof/>
          <w:sz w:val="24"/>
          <w:szCs w:val="24"/>
        </w:rPr>
      </w:pPr>
      <w:r w:rsidRPr="00F5382B">
        <w:rPr>
          <w:noProof/>
          <w:sz w:val="24"/>
          <w:szCs w:val="24"/>
        </w:rPr>
        <w:t>The clarification of the NIS2 scope would reduce it by approximately 6.200 DNS service providers. Moreover, by providing clarification on definitions and the types of entities referred to in Annex I and II, the NIS2 Directive would no longer apply to an estimated number of 22.500 entities. This estimation is based on an extrapolation of the number of essential and important entities that 6 Member States notified to the Commission of pursuant to their obligation under Article 3(5) of the NIS 2 Directive so far. Therefore, following the clarification and reduction of NIS2 scope, the Directive would apply to 28</w:t>
      </w:r>
      <w:r w:rsidR="00CE345C">
        <w:rPr>
          <w:noProof/>
          <w:sz w:val="24"/>
          <w:szCs w:val="24"/>
        </w:rPr>
        <w:t xml:space="preserve"> </w:t>
      </w:r>
      <w:r w:rsidRPr="00F5382B">
        <w:rPr>
          <w:noProof/>
          <w:sz w:val="24"/>
          <w:szCs w:val="24"/>
        </w:rPr>
        <w:t>700 fewer entities, bringing down the NIS2 scope to 159 700 NIS2 entities.</w:t>
      </w:r>
    </w:p>
    <w:p w14:paraId="235A4A4C" w14:textId="77777777" w:rsidR="00EE3DF9" w:rsidRPr="00F5382B" w:rsidRDefault="00EE3DF9" w:rsidP="00EE3DF9">
      <w:pPr>
        <w:pStyle w:val="FootnoteText"/>
        <w:rPr>
          <w:noProof/>
          <w:sz w:val="24"/>
          <w:szCs w:val="24"/>
        </w:rPr>
      </w:pPr>
    </w:p>
    <w:p w14:paraId="59E11016" w14:textId="77777777" w:rsidR="00EE3DF9" w:rsidRPr="00F5382B" w:rsidRDefault="00EE3DF9" w:rsidP="00EE3DF9">
      <w:pPr>
        <w:pStyle w:val="Heading3"/>
        <w:numPr>
          <w:ilvl w:val="2"/>
          <w:numId w:val="3"/>
        </w:numPr>
        <w:rPr>
          <w:noProof/>
          <w:szCs w:val="24"/>
        </w:rPr>
      </w:pPr>
      <w:bookmarkStart w:id="308" w:name="_Toc210934642"/>
      <w:bookmarkStart w:id="309" w:name="_Toc210939826"/>
      <w:bookmarkStart w:id="310" w:name="_Toc219039508"/>
      <w:bookmarkStart w:id="311" w:name="_Toc219447407"/>
      <w:r w:rsidRPr="00F5382B">
        <w:rPr>
          <w:noProof/>
        </w:rPr>
        <w:t>Cost savings under C2</w:t>
      </w:r>
      <w:bookmarkEnd w:id="308"/>
      <w:bookmarkEnd w:id="309"/>
      <w:bookmarkEnd w:id="310"/>
      <w:bookmarkEnd w:id="311"/>
      <w:r w:rsidRPr="00F5382B">
        <w:rPr>
          <w:noProof/>
        </w:rPr>
        <w:t xml:space="preserve"> </w:t>
      </w:r>
      <w:bookmarkStart w:id="312" w:name="_Toc210934643"/>
      <w:bookmarkStart w:id="313" w:name="_Toc210939827"/>
      <w:bookmarkEnd w:id="312"/>
      <w:bookmarkEnd w:id="313"/>
    </w:p>
    <w:p w14:paraId="2A330AF6" w14:textId="77777777" w:rsidR="00EE3DF9" w:rsidRPr="00F5382B" w:rsidRDefault="00EE3DF9" w:rsidP="00EE3DF9">
      <w:pPr>
        <w:pStyle w:val="FootnoteText"/>
        <w:rPr>
          <w:noProof/>
          <w:sz w:val="24"/>
          <w:szCs w:val="24"/>
        </w:rPr>
      </w:pPr>
      <w:r w:rsidRPr="00F5382B">
        <w:rPr>
          <w:noProof/>
          <w:sz w:val="24"/>
          <w:szCs w:val="24"/>
        </w:rPr>
        <w:t xml:space="preserve">With respect to the </w:t>
      </w:r>
      <w:r w:rsidRPr="00F5382B">
        <w:rPr>
          <w:b/>
          <w:bCs/>
          <w:noProof/>
          <w:sz w:val="24"/>
          <w:szCs w:val="24"/>
        </w:rPr>
        <w:t>scope clarification and reduction,</w:t>
      </w:r>
      <w:r w:rsidRPr="00F5382B">
        <w:rPr>
          <w:noProof/>
          <w:sz w:val="24"/>
          <w:szCs w:val="24"/>
        </w:rPr>
        <w:t xml:space="preserve"> if 28 700 companies are no longer required to comply with the NIS2 requirements, reducing their average costs of EUR 94355 per year, this amounts to EUR 2.7 billion annual savings considering all compliance costs. </w:t>
      </w:r>
    </w:p>
    <w:p w14:paraId="03385996" w14:textId="77777777" w:rsidR="00EE3DF9" w:rsidRPr="00F5382B" w:rsidRDefault="00EE3DF9" w:rsidP="00EE3DF9">
      <w:pPr>
        <w:pStyle w:val="FootnoteText"/>
        <w:rPr>
          <w:noProof/>
          <w:sz w:val="24"/>
          <w:szCs w:val="24"/>
        </w:rPr>
      </w:pPr>
    </w:p>
    <w:p w14:paraId="23D17748" w14:textId="77777777" w:rsidR="00EE3DF9" w:rsidRPr="00F5382B" w:rsidRDefault="00EE3DF9" w:rsidP="00EE3DF9">
      <w:pPr>
        <w:pStyle w:val="FootnoteText"/>
        <w:rPr>
          <w:noProof/>
          <w:sz w:val="24"/>
          <w:szCs w:val="24"/>
        </w:rPr>
      </w:pPr>
      <w:r w:rsidRPr="00F5382B">
        <w:rPr>
          <w:noProof/>
          <w:sz w:val="24"/>
          <w:szCs w:val="24"/>
        </w:rPr>
        <w:t xml:space="preserve">Regarding the </w:t>
      </w:r>
      <w:r w:rsidRPr="00F5382B">
        <w:rPr>
          <w:b/>
          <w:bCs/>
          <w:noProof/>
          <w:sz w:val="24"/>
          <w:szCs w:val="24"/>
        </w:rPr>
        <w:t>introduction of the SMC category</w:t>
      </w:r>
      <w:r w:rsidRPr="00F5382B">
        <w:rPr>
          <w:noProof/>
          <w:sz w:val="24"/>
          <w:szCs w:val="24"/>
        </w:rPr>
        <w:t xml:space="preserve">, the following calculations have been applied. Based on SMC Omnibus data, there are approximately 38.000 small mid-cap (SMC) companies in the EU—defined as having 250–749 employees and up to EUR150 million in turnover or EUR 129 million in assets (see SWD(2025) 501 final). A sector-by-sector mapping against the 18 sectors covered by the NIS 2 Directive suggests that around 16.000 of these SMCs (approximately 42%) are likely to fall within its scope. This includes sectors such as energy, transport, digital infrastructure, healthcare, food production, chemicals, and key manufacturing sub-sectors. The estimate reflects companies operating in fully or predominantly covered sectors and may vary slightly depending on national implementation and company-specific activities. </w:t>
      </w:r>
    </w:p>
    <w:p w14:paraId="35D9C9F2" w14:textId="77777777" w:rsidR="00EE3DF9" w:rsidRPr="00F5382B" w:rsidRDefault="00EE3DF9" w:rsidP="00EE3DF9">
      <w:pPr>
        <w:pStyle w:val="FootnoteText"/>
        <w:rPr>
          <w:noProof/>
          <w:sz w:val="24"/>
          <w:szCs w:val="24"/>
        </w:rPr>
      </w:pPr>
    </w:p>
    <w:p w14:paraId="7F2509A6" w14:textId="77777777" w:rsidR="00EE3DF9" w:rsidRPr="00F5382B" w:rsidRDefault="00EE3DF9" w:rsidP="00EE3DF9">
      <w:pPr>
        <w:pStyle w:val="FootnoteText"/>
        <w:rPr>
          <w:noProof/>
          <w:sz w:val="24"/>
          <w:szCs w:val="24"/>
        </w:rPr>
      </w:pPr>
      <w:r w:rsidRPr="00F5382B">
        <w:rPr>
          <w:noProof/>
          <w:sz w:val="24"/>
          <w:szCs w:val="24"/>
        </w:rPr>
        <w:t>An extrapolation of the number of essential entities that six Member States have notified the Commission of pursuant to Article 3(5) of the NIS 2 Directive thus far suggests that there will be around 51.000 essential entities in the Union. Based on the JRC study (</w:t>
      </w:r>
      <w:hyperlink r:id="rId74" w:history="1">
        <w:r w:rsidRPr="00F5382B">
          <w:rPr>
            <w:rStyle w:val="Hyperlink"/>
            <w:noProof/>
            <w:sz w:val="24"/>
            <w:szCs w:val="24"/>
          </w:rPr>
          <w:t>https://op.europa.eu/en/publication-detail/-/publication/7860ea6e-f003-11ef-981b-01aa75ed71a1/language-en</w:t>
        </w:r>
      </w:hyperlink>
      <w:r w:rsidRPr="00F5382B">
        <w:rPr>
          <w:noProof/>
          <w:sz w:val="24"/>
          <w:szCs w:val="24"/>
        </w:rPr>
        <w:t xml:space="preserve"> ) according to which enterprises with more than 250 employees are composed of 57% SMC defined as 250 to 499 employees, and that the simplification package defines SMCs as 250-749 employees (that is enlarging the notion of SMC), the number of essential entities that would be designated as important introducing the small-mid cap category in NIS2 would be more than 57% of 51.000, i.e. 29.070. Therefore, taking the midpoint of these two approaches, it is estimated that around 20.000 entities would be considered SMCs.</w:t>
      </w:r>
    </w:p>
    <w:p w14:paraId="4AF0231C" w14:textId="77777777" w:rsidR="00EE3DF9" w:rsidRPr="00F5382B" w:rsidRDefault="00EE3DF9" w:rsidP="00EE3DF9">
      <w:pPr>
        <w:pStyle w:val="FootnoteText"/>
        <w:rPr>
          <w:noProof/>
          <w:sz w:val="24"/>
          <w:szCs w:val="24"/>
        </w:rPr>
      </w:pPr>
    </w:p>
    <w:p w14:paraId="797FC21C" w14:textId="77777777" w:rsidR="00EE3DF9" w:rsidRPr="00F5382B" w:rsidRDefault="00EE3DF9" w:rsidP="00EE3DF9">
      <w:pPr>
        <w:pStyle w:val="FootnoteText"/>
        <w:rPr>
          <w:noProof/>
          <w:sz w:val="24"/>
          <w:szCs w:val="24"/>
        </w:rPr>
      </w:pPr>
      <w:r w:rsidRPr="00F5382B">
        <w:rPr>
          <w:noProof/>
          <w:sz w:val="24"/>
          <w:szCs w:val="24"/>
        </w:rPr>
        <w:t>The NIS2 Directive distinguishes between the categories of important and essential entities, whereas as a rule, large-size entities from the Annex I sectors are considered as essential and medium-sized and smaller entities from Annex I as well as all entities from Annex II are considered important. Important and essential entities are subject to different supervision and enforcement regimes (essential are supervised ex ante and ex post, whereas important – only ex post). Therefore, the number of essential entities would likely bring cost savings (administrative costs savings) for both the entities that become important (less compliance documentation) as well as for the Member States that would reduce their supervisory costs (enforcement cost savings).</w:t>
      </w:r>
    </w:p>
    <w:p w14:paraId="35469D51" w14:textId="77777777" w:rsidR="00EE3DF9" w:rsidRPr="00F5382B" w:rsidRDefault="00EE3DF9" w:rsidP="00EE3DF9">
      <w:pPr>
        <w:pStyle w:val="FootnoteText"/>
        <w:rPr>
          <w:noProof/>
          <w:sz w:val="24"/>
          <w:szCs w:val="24"/>
        </w:rPr>
      </w:pPr>
    </w:p>
    <w:p w14:paraId="710DEAB0" w14:textId="77777777" w:rsidR="00EE3DF9" w:rsidRPr="00F5382B" w:rsidRDefault="00EE3DF9" w:rsidP="00EE3DF9">
      <w:pPr>
        <w:pStyle w:val="FootnoteText"/>
        <w:rPr>
          <w:noProof/>
          <w:sz w:val="24"/>
          <w:szCs w:val="24"/>
        </w:rPr>
      </w:pPr>
      <w:r w:rsidRPr="00F5382B">
        <w:rPr>
          <w:noProof/>
          <w:sz w:val="24"/>
          <w:szCs w:val="24"/>
        </w:rPr>
        <w:t xml:space="preserve">The estimated reduction for entities is 22 500 entities times 10% of EUR 94 355, amounting to a total of over EUR 212 million. </w:t>
      </w:r>
    </w:p>
    <w:p w14:paraId="3DF15FF8" w14:textId="77777777" w:rsidR="00EE3DF9" w:rsidRPr="00F5382B" w:rsidRDefault="00EE3DF9" w:rsidP="00EE3DF9">
      <w:pPr>
        <w:pStyle w:val="FootnoteText"/>
        <w:rPr>
          <w:noProof/>
          <w:sz w:val="24"/>
          <w:szCs w:val="24"/>
        </w:rPr>
      </w:pPr>
    </w:p>
    <w:p w14:paraId="6FFB74A6" w14:textId="77777777" w:rsidR="00EE3DF9" w:rsidRPr="00F5382B" w:rsidRDefault="00EE3DF9" w:rsidP="00EE3DF9">
      <w:pPr>
        <w:pStyle w:val="FootnoteText"/>
        <w:rPr>
          <w:noProof/>
          <w:sz w:val="24"/>
          <w:szCs w:val="24"/>
        </w:rPr>
      </w:pPr>
      <w:r w:rsidRPr="00F5382B">
        <w:rPr>
          <w:noProof/>
          <w:sz w:val="24"/>
          <w:szCs w:val="24"/>
        </w:rPr>
        <w:t>For Member States one FTE less per year with an average salary of EUR 56 500 times 27 Member States, amounts to savings of EUR 1 525 500 million per year.</w:t>
      </w:r>
    </w:p>
    <w:p w14:paraId="1CB6F00E" w14:textId="77777777" w:rsidR="00EE3DF9" w:rsidRPr="00F5382B" w:rsidRDefault="00EE3DF9" w:rsidP="00EE3DF9">
      <w:pPr>
        <w:pStyle w:val="FootnoteText"/>
        <w:rPr>
          <w:noProof/>
          <w:sz w:val="24"/>
          <w:szCs w:val="24"/>
        </w:rPr>
      </w:pPr>
    </w:p>
    <w:p w14:paraId="3124045B" w14:textId="77777777" w:rsidR="00EE3DF9" w:rsidRPr="00F5382B" w:rsidRDefault="00EE3DF9" w:rsidP="00EE3DF9">
      <w:pPr>
        <w:pStyle w:val="FootnoteText"/>
        <w:rPr>
          <w:noProof/>
          <w:sz w:val="24"/>
          <w:szCs w:val="24"/>
        </w:rPr>
      </w:pPr>
      <w:r w:rsidRPr="00F5382B">
        <w:rPr>
          <w:noProof/>
          <w:sz w:val="24"/>
          <w:szCs w:val="24"/>
        </w:rPr>
        <w:t xml:space="preserve">With respect to savings linked to the use of a certification scheme to prove compliance with NIS2 requirements, the methodology of the calculations is as follows: </w:t>
      </w:r>
    </w:p>
    <w:p w14:paraId="4DC7E489" w14:textId="77777777" w:rsidR="00EE3DF9" w:rsidRPr="00F5382B" w:rsidRDefault="00EE3DF9" w:rsidP="00EE3DF9">
      <w:pPr>
        <w:pStyle w:val="FootnoteText"/>
        <w:rPr>
          <w:noProof/>
          <w:sz w:val="24"/>
          <w:szCs w:val="24"/>
        </w:rPr>
      </w:pPr>
      <w:r w:rsidRPr="00F5382B">
        <w:rPr>
          <w:noProof/>
          <w:sz w:val="24"/>
          <w:szCs w:val="24"/>
        </w:rPr>
        <w:t xml:space="preserve">The average costs for a security audit is explained under the previous section (30 000 EUR). Under NIS2, if an entity needs to be compliant in two Member States and assuming one audit per year, this would amount to 60 000 EUR. Hence, the cyber posture scheme could reduce the audit cost by half. </w:t>
      </w:r>
    </w:p>
    <w:p w14:paraId="08972E92" w14:textId="77777777" w:rsidR="00EE3DF9" w:rsidRPr="00F5382B" w:rsidRDefault="00EE3DF9" w:rsidP="00EE3DF9">
      <w:pPr>
        <w:pStyle w:val="FootnoteText"/>
        <w:rPr>
          <w:noProof/>
          <w:sz w:val="24"/>
          <w:szCs w:val="24"/>
        </w:rPr>
      </w:pPr>
    </w:p>
    <w:p w14:paraId="2AE23F81" w14:textId="77777777" w:rsidR="00EE3DF9" w:rsidRPr="00F5382B" w:rsidRDefault="00EE3DF9" w:rsidP="00EE3DF9">
      <w:pPr>
        <w:pStyle w:val="Heading3"/>
        <w:numPr>
          <w:ilvl w:val="2"/>
          <w:numId w:val="3"/>
        </w:numPr>
        <w:rPr>
          <w:noProof/>
          <w:szCs w:val="24"/>
        </w:rPr>
      </w:pPr>
      <w:bookmarkStart w:id="314" w:name="_Toc210934644"/>
      <w:bookmarkStart w:id="315" w:name="_Toc210939828"/>
      <w:bookmarkStart w:id="316" w:name="_Toc219039509"/>
      <w:bookmarkStart w:id="317" w:name="_Toc219447408"/>
      <w:r w:rsidRPr="00F5382B">
        <w:rPr>
          <w:noProof/>
        </w:rPr>
        <w:t>Estimates related to adjustment costs for option C3</w:t>
      </w:r>
      <w:bookmarkStart w:id="318" w:name="_Toc210934645"/>
      <w:bookmarkStart w:id="319" w:name="_Toc210939829"/>
      <w:bookmarkEnd w:id="314"/>
      <w:bookmarkEnd w:id="315"/>
      <w:bookmarkEnd w:id="316"/>
      <w:bookmarkEnd w:id="317"/>
      <w:bookmarkEnd w:id="318"/>
      <w:bookmarkEnd w:id="319"/>
    </w:p>
    <w:p w14:paraId="44AAEEA3" w14:textId="77777777" w:rsidR="00EE3DF9" w:rsidRPr="00F5382B" w:rsidRDefault="00EE3DF9" w:rsidP="00EE3DF9">
      <w:pPr>
        <w:pStyle w:val="FootnoteText"/>
        <w:rPr>
          <w:noProof/>
          <w:sz w:val="24"/>
          <w:szCs w:val="24"/>
        </w:rPr>
      </w:pPr>
      <w:r w:rsidRPr="00F5382B">
        <w:rPr>
          <w:noProof/>
          <w:sz w:val="24"/>
          <w:szCs w:val="24"/>
        </w:rPr>
        <w:t xml:space="preserve">According to available estimations, 22 000 entities are in scope of the DORA Regulation (see: </w:t>
      </w:r>
      <w:hyperlink r:id="rId75" w:history="1">
        <w:r w:rsidRPr="00F5382B">
          <w:rPr>
            <w:noProof/>
            <w:sz w:val="24"/>
            <w:szCs w:val="24"/>
          </w:rPr>
          <w:t>https://www.pwc.com/mt/en/services/pwc-digital-services/cyber-security-and-privacy/cyber-security-services/dora.html</w:t>
        </w:r>
      </w:hyperlink>
      <w:r w:rsidRPr="00F5382B">
        <w:rPr>
          <w:noProof/>
          <w:sz w:val="24"/>
          <w:szCs w:val="24"/>
        </w:rPr>
        <w:t>).  Therefore, in the case of Option C.3, if all NIS2 and DORA entities (159 700 + 22 000=181 700 in total) are to bear one-off adjustment costs of 0.5 FTE (taken 56.000/2= 28 250), this would amount to a total one-off cost of EUR 5.2 billion.</w:t>
      </w:r>
    </w:p>
    <w:p w14:paraId="6C91B496" w14:textId="77777777" w:rsidR="00EE3DF9" w:rsidRPr="00F5382B" w:rsidRDefault="00EE3DF9" w:rsidP="00EE3DF9">
      <w:pPr>
        <w:pStyle w:val="FootnoteText"/>
        <w:ind w:left="720"/>
        <w:rPr>
          <w:noProof/>
          <w:sz w:val="24"/>
          <w:szCs w:val="24"/>
        </w:rPr>
      </w:pPr>
    </w:p>
    <w:p w14:paraId="2CC9C260" w14:textId="77777777" w:rsidR="00EE3DF9" w:rsidRPr="00F5382B" w:rsidRDefault="00EE3DF9" w:rsidP="00EE3DF9">
      <w:pPr>
        <w:pStyle w:val="FootnoteText"/>
        <w:rPr>
          <w:noProof/>
          <w:sz w:val="24"/>
          <w:szCs w:val="24"/>
        </w:rPr>
      </w:pPr>
      <w:r w:rsidRPr="00F5382B">
        <w:rPr>
          <w:noProof/>
          <w:sz w:val="24"/>
          <w:szCs w:val="24"/>
        </w:rPr>
        <w:t xml:space="preserve">The costs for Member states training of staff are calculated as an approximate EUR 600 training cost multiplied by average of 10 staff per Member States, times 27 Member States (EUR 162 000 in total). While no training courses for such a codified framework currently exists, trainings and NIS2-specific accreditations exist. For example, a training and accreditation to become a NIS accredited expert costs EUR 590 in Austria (https://www.incite.at/de/unser-programm/accredited-nis-expert/). A training to become NIS2 Directive Lead Implementer in Belgium costs EUR 720 (https://www.practics.be/opleidingen/nis-2-directive-lead-implementer/). Based on these existing courses, it was estimated that trainings could cost EUR 600. https://www.practics.be/opleidingen/nis-2-directive-lead-implementer/). </w:t>
      </w:r>
    </w:p>
    <w:p w14:paraId="5332954C" w14:textId="77777777" w:rsidR="00EE3DF9" w:rsidRPr="00F5382B" w:rsidRDefault="00EE3DF9" w:rsidP="00EE3DF9">
      <w:pPr>
        <w:pStyle w:val="FootnoteText"/>
        <w:rPr>
          <w:noProof/>
        </w:rPr>
      </w:pPr>
    </w:p>
    <w:p w14:paraId="569655D5" w14:textId="77777777" w:rsidR="00EE3DF9" w:rsidRPr="00F5382B" w:rsidRDefault="00EE3DF9" w:rsidP="00EE3DF9">
      <w:pPr>
        <w:pStyle w:val="Heading3"/>
        <w:numPr>
          <w:ilvl w:val="2"/>
          <w:numId w:val="3"/>
        </w:numPr>
        <w:rPr>
          <w:noProof/>
          <w:szCs w:val="24"/>
        </w:rPr>
      </w:pPr>
      <w:bookmarkStart w:id="320" w:name="_Toc210934646"/>
      <w:bookmarkStart w:id="321" w:name="_Toc210939830"/>
      <w:bookmarkStart w:id="322" w:name="_Toc219039510"/>
      <w:bookmarkStart w:id="323" w:name="_Toc219447409"/>
      <w:r w:rsidRPr="00F5382B">
        <w:rPr>
          <w:noProof/>
        </w:rPr>
        <w:t>Estimates for cost savings u</w:t>
      </w:r>
      <w:r w:rsidRPr="00F5382B">
        <w:rPr>
          <w:bCs/>
          <w:iCs/>
          <w:noProof/>
          <w:szCs w:val="24"/>
        </w:rPr>
        <w:t>nder option C.3</w:t>
      </w:r>
      <w:bookmarkEnd w:id="320"/>
      <w:bookmarkEnd w:id="321"/>
      <w:bookmarkEnd w:id="322"/>
      <w:bookmarkEnd w:id="323"/>
    </w:p>
    <w:p w14:paraId="6067A252" w14:textId="77777777" w:rsidR="00EE3DF9" w:rsidRPr="00F5382B" w:rsidRDefault="00EE3DF9" w:rsidP="00EE3DF9">
      <w:pPr>
        <w:pStyle w:val="FootnoteText"/>
        <w:rPr>
          <w:noProof/>
          <w:sz w:val="24"/>
          <w:szCs w:val="24"/>
        </w:rPr>
      </w:pPr>
      <w:r w:rsidRPr="00F5382B">
        <w:rPr>
          <w:noProof/>
          <w:sz w:val="24"/>
          <w:szCs w:val="24"/>
        </w:rPr>
        <w:t xml:space="preserve">The 159 300 NIS2 entities following the scope reduction would save 0.5 FTE annually (EUR 28 250) from compliance due to streamlining and removing regulatory obligations. This would amount to EUR 4.5 billion annual savings only for the NIS2 entities. </w:t>
      </w:r>
    </w:p>
    <w:p w14:paraId="02CB0ABF" w14:textId="77777777" w:rsidR="00EE3DF9" w:rsidRPr="00F5382B" w:rsidRDefault="00EE3DF9" w:rsidP="00EE3DF9">
      <w:pPr>
        <w:pStyle w:val="FootnoteText"/>
        <w:rPr>
          <w:noProof/>
          <w:sz w:val="24"/>
          <w:szCs w:val="24"/>
        </w:rPr>
      </w:pPr>
    </w:p>
    <w:p w14:paraId="4267E487" w14:textId="77777777" w:rsidR="00EE3DF9" w:rsidRDefault="00EE3DF9" w:rsidP="00EE3DF9">
      <w:pPr>
        <w:pStyle w:val="FootnoteText"/>
        <w:rPr>
          <w:noProof/>
          <w:sz w:val="24"/>
          <w:szCs w:val="24"/>
        </w:rPr>
      </w:pPr>
      <w:r w:rsidRPr="00F5382B">
        <w:rPr>
          <w:noProof/>
          <w:sz w:val="24"/>
          <w:szCs w:val="24"/>
        </w:rPr>
        <w:t>Member States would benefit by requiring 2 FTE less per Member State (2x EUR 56 500 annual salary x27 = over EUR 3 million saving per year.</w:t>
      </w:r>
    </w:p>
    <w:p w14:paraId="70D641EC" w14:textId="77777777" w:rsidR="0087606E" w:rsidRDefault="0087606E" w:rsidP="00EE3DF9">
      <w:pPr>
        <w:pStyle w:val="FootnoteText"/>
        <w:rPr>
          <w:noProof/>
          <w:sz w:val="24"/>
          <w:szCs w:val="24"/>
        </w:rPr>
      </w:pPr>
    </w:p>
    <w:p w14:paraId="42982A2E" w14:textId="77777777" w:rsidR="0087606E" w:rsidRPr="00F5382B" w:rsidRDefault="0087606E" w:rsidP="0087606E">
      <w:pPr>
        <w:pStyle w:val="Heading2"/>
        <w:numPr>
          <w:ilvl w:val="1"/>
          <w:numId w:val="3"/>
        </w:numPr>
        <w:rPr>
          <w:noProof/>
        </w:rPr>
      </w:pPr>
      <w:bookmarkStart w:id="324" w:name="_Toc210934647"/>
      <w:bookmarkStart w:id="325" w:name="_Toc210939831"/>
      <w:bookmarkStart w:id="326" w:name="_Toc219038854"/>
      <w:bookmarkStart w:id="327" w:name="_Toc219447410"/>
      <w:r w:rsidRPr="00F5382B">
        <w:rPr>
          <w:noProof/>
        </w:rPr>
        <w:t>Options related to ICT supply chain</w:t>
      </w:r>
      <w:bookmarkEnd w:id="324"/>
      <w:bookmarkEnd w:id="325"/>
      <w:bookmarkEnd w:id="326"/>
      <w:bookmarkEnd w:id="327"/>
      <w:r w:rsidRPr="00F5382B">
        <w:rPr>
          <w:noProof/>
        </w:rPr>
        <w:t xml:space="preserve"> </w:t>
      </w:r>
    </w:p>
    <w:p w14:paraId="6296FF59" w14:textId="77777777" w:rsidR="0087606E" w:rsidRPr="00F5382B" w:rsidRDefault="0087606E" w:rsidP="0087606E">
      <w:pPr>
        <w:pStyle w:val="Heading3"/>
        <w:numPr>
          <w:ilvl w:val="2"/>
          <w:numId w:val="3"/>
        </w:numPr>
        <w:rPr>
          <w:rFonts w:eastAsia="Aptos"/>
          <w:noProof/>
        </w:rPr>
      </w:pPr>
      <w:bookmarkStart w:id="328" w:name="_Toc210934649"/>
      <w:bookmarkStart w:id="329" w:name="_Toc210939833"/>
      <w:bookmarkStart w:id="330" w:name="_Toc219038855"/>
      <w:bookmarkStart w:id="331" w:name="_Toc219447411"/>
      <w:r w:rsidRPr="00F5382B">
        <w:rPr>
          <w:rFonts w:eastAsia="Aptos"/>
          <w:noProof/>
        </w:rPr>
        <w:t>Cost estimation for replacing high-risk equipment under D2/3</w:t>
      </w:r>
      <w:bookmarkEnd w:id="328"/>
      <w:bookmarkEnd w:id="329"/>
      <w:bookmarkEnd w:id="330"/>
      <w:bookmarkEnd w:id="331"/>
    </w:p>
    <w:p w14:paraId="55CEF4F6" w14:textId="77777777" w:rsidR="0087606E" w:rsidRPr="00EE3DF9" w:rsidRDefault="0087606E" w:rsidP="0087606E">
      <w:pPr>
        <w:spacing w:after="160"/>
        <w:rPr>
          <w:rFonts w:eastAsia="Aptos"/>
          <w:noProof/>
          <w:kern w:val="2"/>
        </w:rPr>
      </w:pPr>
      <w:r w:rsidRPr="00EE3DF9">
        <w:rPr>
          <w:rFonts w:eastAsia="Aptos"/>
          <w:noProof/>
          <w:kern w:val="2"/>
        </w:rPr>
        <w:t>Estimations of costs for replacing the 5G equipment from high-risk suppliers in the EU were derived by taking into account the investments that were made in the EU for 5G non-standalone and standalone deployment since 2019 and until the measures would come into place in 2028. The data is provided by the 5G Observatory</w:t>
      </w:r>
      <w:r w:rsidRPr="00EE3DF9">
        <w:rPr>
          <w:rStyle w:val="FootnoteReference"/>
          <w:rFonts w:eastAsia="Aptos"/>
          <w:noProof/>
          <w:kern w:val="2"/>
        </w:rPr>
        <w:footnoteReference w:id="209"/>
      </w:r>
      <w:r w:rsidRPr="00EE3DF9">
        <w:rPr>
          <w:rFonts w:eastAsia="Aptos"/>
          <w:noProof/>
          <w:kern w:val="2"/>
        </w:rPr>
        <w:t xml:space="preserve">.  The estimations assume that the replacement of 5G equipment from high-risk suppliers will need to be done by mobile network operators for a period over </w:t>
      </w:r>
      <w:r w:rsidRPr="211C3D34">
        <w:rPr>
          <w:rFonts w:eastAsia="Aptos"/>
          <w:noProof/>
        </w:rPr>
        <w:t xml:space="preserve">three </w:t>
      </w:r>
      <w:r w:rsidRPr="00EE3DF9">
        <w:rPr>
          <w:rFonts w:eastAsia="Aptos"/>
          <w:noProof/>
          <w:kern w:val="2"/>
        </w:rPr>
        <w:t>years starting in 2028 (</w:t>
      </w:r>
      <w:r w:rsidRPr="211C3D34">
        <w:rPr>
          <w:rFonts w:eastAsia="Aptos"/>
          <w:noProof/>
        </w:rPr>
        <w:t>1</w:t>
      </w:r>
      <w:r w:rsidRPr="00E5147D">
        <w:rPr>
          <w:rFonts w:eastAsia="Aptos"/>
          <w:noProof/>
          <w:vertAlign w:val="superscript"/>
        </w:rPr>
        <w:t>st</w:t>
      </w:r>
      <w:r w:rsidRPr="211C3D34">
        <w:rPr>
          <w:rFonts w:eastAsia="Aptos"/>
          <w:noProof/>
        </w:rPr>
        <w:t xml:space="preserve"> January </w:t>
      </w:r>
      <w:r w:rsidRPr="00EE3DF9">
        <w:rPr>
          <w:rFonts w:eastAsia="Aptos"/>
          <w:noProof/>
          <w:kern w:val="2"/>
        </w:rPr>
        <w:t>2028</w:t>
      </w:r>
      <w:r w:rsidRPr="211C3D34">
        <w:rPr>
          <w:rFonts w:eastAsia="Aptos"/>
          <w:noProof/>
        </w:rPr>
        <w:t xml:space="preserve"> to 31</w:t>
      </w:r>
      <w:r w:rsidRPr="00E5147D">
        <w:rPr>
          <w:rFonts w:eastAsia="Aptos"/>
          <w:noProof/>
          <w:vertAlign w:val="superscript"/>
        </w:rPr>
        <w:t>st</w:t>
      </w:r>
      <w:r w:rsidRPr="211C3D34">
        <w:rPr>
          <w:rFonts w:eastAsia="Aptos"/>
          <w:noProof/>
        </w:rPr>
        <w:t xml:space="preserve"> December </w:t>
      </w:r>
      <w:r w:rsidRPr="00EE3DF9">
        <w:rPr>
          <w:rFonts w:eastAsia="Aptos"/>
          <w:noProof/>
          <w:kern w:val="2"/>
        </w:rPr>
        <w:t>203</w:t>
      </w:r>
      <w:r w:rsidRPr="211C3D34">
        <w:rPr>
          <w:rFonts w:eastAsia="Aptos"/>
          <w:noProof/>
        </w:rPr>
        <w:t>0</w:t>
      </w:r>
      <w:r w:rsidRPr="00EE3DF9">
        <w:rPr>
          <w:rFonts w:eastAsia="Aptos"/>
          <w:noProof/>
          <w:kern w:val="2"/>
        </w:rPr>
        <w:t xml:space="preserve">). </w:t>
      </w:r>
    </w:p>
    <w:p w14:paraId="7F987654" w14:textId="77777777" w:rsidR="0087606E" w:rsidRPr="00F5382B" w:rsidRDefault="0087606E" w:rsidP="0087606E">
      <w:pPr>
        <w:spacing w:after="160"/>
        <w:rPr>
          <w:rFonts w:eastAsia="Times New Roman"/>
          <w:noProof/>
          <w:lang w:val="en-IE" w:eastAsia="en-IE"/>
        </w:rPr>
      </w:pPr>
      <w:r w:rsidRPr="00EE3DF9">
        <w:rPr>
          <w:rFonts w:eastAsia="Aptos"/>
          <w:noProof/>
          <w:kern w:val="2"/>
        </w:rPr>
        <w:t>To aggregate the total value of equipment that would be affected by the restrictions, the observation is made, that according to the 5G Observatory</w:t>
      </w:r>
      <w:r w:rsidRPr="00F5382B">
        <w:rPr>
          <w:rFonts w:eastAsia="Times New Roman"/>
          <w:noProof/>
          <w:lang w:val="en-IE" w:eastAsia="en-IE"/>
        </w:rPr>
        <w:t>, Member States started to deploy 5G around 2019 for non-standalone 5G (RAN on the top of 4G core). Deployment for 5G as standalone (both RAN and Core are 5G) on average took off from 2023 onwards. Furthermore in 2024, investments in 5G RAN reached EUR 5.3 bn</w:t>
      </w:r>
      <w:r>
        <w:rPr>
          <w:rStyle w:val="FootnoteReference"/>
          <w:rFonts w:eastAsia="Times New Roman"/>
          <w:noProof/>
          <w:lang w:val="en-IE" w:eastAsia="en-IE"/>
        </w:rPr>
        <w:footnoteReference w:id="210"/>
      </w:r>
      <w:r w:rsidRPr="00F5382B">
        <w:rPr>
          <w:rFonts w:eastAsia="Times New Roman"/>
          <w:noProof/>
          <w:lang w:val="en-IE" w:eastAsia="en-IE"/>
        </w:rPr>
        <w:t>, and in 5G core network EUR 0.9 bn</w:t>
      </w:r>
      <w:r>
        <w:rPr>
          <w:rStyle w:val="FootnoteReference"/>
          <w:rFonts w:eastAsia="Times New Roman"/>
          <w:noProof/>
          <w:lang w:val="en-IE" w:eastAsia="en-IE"/>
        </w:rPr>
        <w:footnoteReference w:id="211"/>
      </w:r>
      <w:r w:rsidRPr="00F5382B">
        <w:rPr>
          <w:rFonts w:eastAsia="Times New Roman"/>
          <w:noProof/>
          <w:lang w:val="en-IE" w:eastAsia="en-IE"/>
        </w:rPr>
        <w:t xml:space="preserve">, totalling EUR 6.2 bn.  </w:t>
      </w:r>
    </w:p>
    <w:p w14:paraId="1700631D"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 xml:space="preserve">Considering the deployment scenarios, it is assumed that between </w:t>
      </w:r>
      <w:r w:rsidRPr="00E5147D">
        <w:rPr>
          <w:rFonts w:eastAsia="Times New Roman"/>
          <w:b/>
          <w:bCs/>
          <w:noProof/>
          <w:lang w:val="en-IE" w:eastAsia="en-IE"/>
        </w:rPr>
        <w:t>2019 and 2022</w:t>
      </w:r>
      <w:r w:rsidRPr="00F5382B">
        <w:rPr>
          <w:rFonts w:eastAsia="Times New Roman"/>
          <w:noProof/>
          <w:lang w:val="en-IE" w:eastAsia="en-IE"/>
        </w:rPr>
        <w:t xml:space="preserve">, only 5G RAN investment have been done, while between </w:t>
      </w:r>
      <w:r w:rsidRPr="00E5147D">
        <w:rPr>
          <w:rFonts w:eastAsia="Times New Roman"/>
          <w:b/>
          <w:bCs/>
          <w:noProof/>
          <w:lang w:val="en-IE" w:eastAsia="en-IE"/>
        </w:rPr>
        <w:t>2023 and 2027</w:t>
      </w:r>
      <w:r w:rsidRPr="00F5382B">
        <w:rPr>
          <w:rFonts w:eastAsia="Times New Roman"/>
          <w:noProof/>
          <w:lang w:val="en-IE" w:eastAsia="en-IE"/>
        </w:rPr>
        <w:t xml:space="preserve">, both 5G RAN and core investments have been done. Given that no data is available for the years before, </w:t>
      </w:r>
      <w:r>
        <w:rPr>
          <w:rFonts w:eastAsia="Times New Roman"/>
          <w:noProof/>
          <w:lang w:val="en-IE" w:eastAsia="en-IE"/>
        </w:rPr>
        <w:t xml:space="preserve">for 5G RAN and core, </w:t>
      </w:r>
      <w:r w:rsidRPr="00F5382B">
        <w:rPr>
          <w:rFonts w:eastAsia="Times New Roman"/>
          <w:noProof/>
          <w:lang w:val="en-IE" w:eastAsia="en-IE"/>
        </w:rPr>
        <w:t>it is assumed that the same amount</w:t>
      </w:r>
      <w:r>
        <w:rPr>
          <w:rFonts w:eastAsia="Times New Roman"/>
          <w:noProof/>
          <w:lang w:val="en-IE" w:eastAsia="en-IE"/>
        </w:rPr>
        <w:t xml:space="preserve"> as in 2024</w:t>
      </w:r>
      <w:r w:rsidRPr="00F5382B">
        <w:rPr>
          <w:rFonts w:eastAsia="Times New Roman"/>
          <w:noProof/>
          <w:lang w:val="en-IE" w:eastAsia="en-IE"/>
        </w:rPr>
        <w:t xml:space="preserve"> has been invested on an annual basis </w:t>
      </w:r>
      <w:r>
        <w:rPr>
          <w:rFonts w:eastAsia="Times New Roman"/>
          <w:noProof/>
          <w:lang w:val="en-IE" w:eastAsia="en-IE"/>
        </w:rPr>
        <w:t>for the years before</w:t>
      </w:r>
      <w:r w:rsidRPr="00F5382B">
        <w:rPr>
          <w:rFonts w:eastAsia="Times New Roman"/>
          <w:noProof/>
          <w:lang w:val="en-IE" w:eastAsia="en-IE"/>
        </w:rPr>
        <w:t xml:space="preserve">. This is an overestimation given that investments in 5G are </w:t>
      </w:r>
      <w:r>
        <w:rPr>
          <w:rFonts w:eastAsia="Times New Roman"/>
          <w:noProof/>
          <w:lang w:val="en-IE" w:eastAsia="en-IE"/>
        </w:rPr>
        <w:t xml:space="preserve">typically </w:t>
      </w:r>
      <w:r w:rsidRPr="00F5382B">
        <w:rPr>
          <w:rFonts w:eastAsia="Times New Roman"/>
          <w:noProof/>
          <w:lang w:val="en-IE" w:eastAsia="en-IE"/>
        </w:rPr>
        <w:t xml:space="preserve">increasing over time. </w:t>
      </w:r>
    </w:p>
    <w:p w14:paraId="04E706E9"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The share of equipment from high-risk suppliers across Member States can be estimated between 40%</w:t>
      </w:r>
      <w:r w:rsidRPr="00F5382B">
        <w:rPr>
          <w:rStyle w:val="FootnoteReference"/>
          <w:rFonts w:eastAsia="Times New Roman"/>
          <w:noProof/>
          <w:lang w:val="en-IE" w:eastAsia="en-IE"/>
        </w:rPr>
        <w:footnoteReference w:id="212"/>
      </w:r>
      <w:r w:rsidRPr="00F5382B">
        <w:rPr>
          <w:rFonts w:eastAsia="Times New Roman"/>
          <w:noProof/>
          <w:lang w:val="en-IE" w:eastAsia="en-IE"/>
        </w:rPr>
        <w:t xml:space="preserve"> and 32%</w:t>
      </w:r>
      <w:r w:rsidRPr="00F5382B">
        <w:rPr>
          <w:rStyle w:val="FootnoteReference"/>
          <w:rFonts w:eastAsia="Times New Roman"/>
          <w:noProof/>
          <w:lang w:val="en-IE" w:eastAsia="en-IE"/>
        </w:rPr>
        <w:footnoteReference w:id="213"/>
      </w:r>
      <w:r w:rsidRPr="00F5382B">
        <w:rPr>
          <w:rFonts w:eastAsia="Times New Roman"/>
          <w:noProof/>
          <w:lang w:val="en-IE" w:eastAsia="en-IE"/>
        </w:rPr>
        <w:t xml:space="preserve"> based on the estimated found in secondary sources. This is also corroborated by trade data (as indicated in the table below).</w:t>
      </w:r>
    </w:p>
    <w:p w14:paraId="2E00D50A" w14:textId="77777777" w:rsidR="0087606E" w:rsidRPr="00F5382B" w:rsidRDefault="0087606E" w:rsidP="0087606E">
      <w:pPr>
        <w:spacing w:after="160"/>
        <w:rPr>
          <w:rFonts w:eastAsia="Times New Roman"/>
          <w:noProof/>
          <w:lang w:val="en-IE" w:eastAsia="en-IE"/>
        </w:rPr>
      </w:pPr>
      <w:r w:rsidRPr="00F5382B">
        <w:rPr>
          <w:noProof/>
        </w:rPr>
        <w:t xml:space="preserve">To calculate the costs of replacement of 5G equipment from high-risk suppliers, we consider </w:t>
      </w:r>
      <w:r>
        <w:rPr>
          <w:noProof/>
        </w:rPr>
        <w:t xml:space="preserve">that </w:t>
      </w:r>
      <w:r w:rsidRPr="00F5382B">
        <w:rPr>
          <w:noProof/>
        </w:rPr>
        <w:t xml:space="preserve">the (estimated) market share of high-risk suppliers </w:t>
      </w:r>
      <w:r>
        <w:rPr>
          <w:noProof/>
        </w:rPr>
        <w:t>has slowly decreased following the adoption of the</w:t>
      </w:r>
      <w:r w:rsidRPr="00F5382B">
        <w:rPr>
          <w:noProof/>
        </w:rPr>
        <w:t xml:space="preserve"> 5G toolbox</w:t>
      </w:r>
      <w:r>
        <w:rPr>
          <w:noProof/>
        </w:rPr>
        <w:t xml:space="preserve"> in 2020 and its gradual implementation</w:t>
      </w:r>
      <w:r w:rsidRPr="00F5382B">
        <w:rPr>
          <w:noProof/>
        </w:rPr>
        <w:t xml:space="preserve">: </w:t>
      </w:r>
      <w:r>
        <w:rPr>
          <w:noProof/>
        </w:rPr>
        <w:t xml:space="preserve">it is </w:t>
      </w:r>
      <w:r w:rsidRPr="00F5382B">
        <w:rPr>
          <w:noProof/>
        </w:rPr>
        <w:t>estimated as 40% for initial phase (</w:t>
      </w:r>
      <w:r w:rsidRPr="00E5147D">
        <w:rPr>
          <w:b/>
          <w:bCs/>
          <w:noProof/>
        </w:rPr>
        <w:t>2019-2022</w:t>
      </w:r>
      <w:r w:rsidRPr="00F5382B">
        <w:rPr>
          <w:noProof/>
        </w:rPr>
        <w:t>) and then decrease to 32% (</w:t>
      </w:r>
      <w:r w:rsidRPr="00E5147D">
        <w:rPr>
          <w:b/>
          <w:bCs/>
          <w:noProof/>
        </w:rPr>
        <w:t>2023-2027</w:t>
      </w:r>
      <w:r w:rsidRPr="00F5382B">
        <w:rPr>
          <w:noProof/>
        </w:rPr>
        <w:t xml:space="preserve">). These shares are applied to the estimated yearly investments from 2019 to 2027. </w:t>
      </w:r>
    </w:p>
    <w:p w14:paraId="70F9A38B"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 xml:space="preserve">2019 – 2022: 0.4 x 5.3 bn = 2.12 bn * 4 years = EUR 8.5 bn </w:t>
      </w:r>
    </w:p>
    <w:p w14:paraId="3403ED34"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 xml:space="preserve">2023 – 2027: 0.32 x 6.25 bn = 2 bn  * 5 years = EUR 10 bn </w:t>
      </w:r>
    </w:p>
    <w:p w14:paraId="15AFB856"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Total 2019 – 2027 = 8.5 bn + 10 bn</w:t>
      </w:r>
      <w:r>
        <w:rPr>
          <w:rFonts w:eastAsia="Times New Roman"/>
          <w:noProof/>
          <w:lang w:val="en-IE" w:eastAsia="en-IE"/>
        </w:rPr>
        <w:t xml:space="preserve"> = 18.5 bn EUR is the total value of high-risk equipment to be phased out. </w:t>
      </w:r>
    </w:p>
    <w:p w14:paraId="113F89EC" w14:textId="77777777" w:rsidR="0087606E" w:rsidRDefault="0087606E" w:rsidP="0087606E">
      <w:pPr>
        <w:spacing w:after="160"/>
        <w:rPr>
          <w:rFonts w:eastAsia="Times New Roman"/>
          <w:noProof/>
          <w:lang w:val="en-IE" w:eastAsia="en-IE"/>
        </w:rPr>
      </w:pPr>
      <w:r w:rsidRPr="00EE3DF9">
        <w:rPr>
          <w:rFonts w:eastAsia="Aptos"/>
          <w:b/>
          <w:bCs/>
          <w:noProof/>
          <w:kern w:val="2"/>
        </w:rPr>
        <w:t>Business as usual (BaU) factor</w:t>
      </w:r>
      <w:r w:rsidRPr="00EE3DF9">
        <w:rPr>
          <w:rFonts w:eastAsia="Aptos"/>
          <w:noProof/>
          <w:kern w:val="2"/>
        </w:rPr>
        <w:t xml:space="preserve">: looking at the </w:t>
      </w:r>
      <w:r w:rsidRPr="4D5668E4">
        <w:rPr>
          <w:rFonts w:eastAsia="Aptos"/>
          <w:noProof/>
        </w:rPr>
        <w:t xml:space="preserve">three </w:t>
      </w:r>
      <w:r w:rsidRPr="00EE3DF9">
        <w:rPr>
          <w:rFonts w:eastAsia="Aptos"/>
          <w:noProof/>
          <w:kern w:val="2"/>
        </w:rPr>
        <w:t xml:space="preserve">year transition period, it can be reasonably assumed that </w:t>
      </w:r>
      <w:r w:rsidRPr="00F5382B">
        <w:rPr>
          <w:rFonts w:eastAsia="Times New Roman"/>
          <w:noProof/>
          <w:lang w:val="en-IE" w:eastAsia="en-IE"/>
        </w:rPr>
        <w:t xml:space="preserve">from </w:t>
      </w:r>
      <w:r w:rsidRPr="00E5147D">
        <w:rPr>
          <w:rFonts w:eastAsia="Times New Roman"/>
          <w:b/>
          <w:bCs/>
          <w:noProof/>
          <w:lang w:val="en-IE" w:eastAsia="en-IE"/>
        </w:rPr>
        <w:t>2028 to 203</w:t>
      </w:r>
      <w:r>
        <w:rPr>
          <w:rFonts w:eastAsia="Times New Roman"/>
          <w:b/>
          <w:bCs/>
          <w:noProof/>
          <w:lang w:val="en-IE" w:eastAsia="en-IE"/>
        </w:rPr>
        <w:t>0</w:t>
      </w:r>
      <w:r w:rsidRPr="00F5382B">
        <w:rPr>
          <w:rFonts w:eastAsia="Times New Roman"/>
          <w:noProof/>
          <w:lang w:val="en-IE" w:eastAsia="en-IE"/>
        </w:rPr>
        <w:t xml:space="preserve">, </w:t>
      </w:r>
      <w:r>
        <w:rPr>
          <w:rFonts w:eastAsia="Times New Roman"/>
          <w:noProof/>
          <w:lang w:val="en-IE" w:eastAsia="en-IE"/>
        </w:rPr>
        <w:t>30</w:t>
      </w:r>
      <w:r w:rsidRPr="00F5382B">
        <w:rPr>
          <w:rFonts w:eastAsia="Times New Roman"/>
          <w:noProof/>
          <w:lang w:val="en-IE" w:eastAsia="en-IE"/>
        </w:rPr>
        <w:t xml:space="preserve"> to </w:t>
      </w:r>
      <w:r>
        <w:rPr>
          <w:rFonts w:eastAsia="Times New Roman"/>
          <w:noProof/>
          <w:lang w:val="en-IE" w:eastAsia="en-IE"/>
        </w:rPr>
        <w:t>45</w:t>
      </w:r>
      <w:r w:rsidRPr="00F5382B">
        <w:rPr>
          <w:rFonts w:eastAsia="Times New Roman"/>
          <w:noProof/>
          <w:lang w:val="en-IE" w:eastAsia="en-IE"/>
        </w:rPr>
        <w:t xml:space="preserve"> % of the equipment would have to be replaced over a period of </w:t>
      </w:r>
      <w:r>
        <w:rPr>
          <w:rFonts w:eastAsia="Times New Roman"/>
          <w:noProof/>
          <w:lang w:val="en-IE" w:eastAsia="en-IE"/>
        </w:rPr>
        <w:t>three</w:t>
      </w:r>
      <w:r w:rsidRPr="00F5382B">
        <w:rPr>
          <w:rFonts w:eastAsia="Times New Roman"/>
          <w:noProof/>
          <w:lang w:val="en-IE" w:eastAsia="en-IE"/>
        </w:rPr>
        <w:t xml:space="preserve"> years, if the assumption is taken that the 10 to 15% of the equipment invested since 2019 would need to be replaced on yearly basis. </w:t>
      </w:r>
    </w:p>
    <w:p w14:paraId="4D9ACB92" w14:textId="77777777" w:rsidR="0087606E" w:rsidRPr="00F5382B" w:rsidRDefault="0087606E" w:rsidP="0087606E">
      <w:pPr>
        <w:spacing w:after="160"/>
        <w:rPr>
          <w:rFonts w:eastAsia="Times New Roman"/>
          <w:noProof/>
          <w:lang w:val="en-IE" w:eastAsia="en-IE"/>
        </w:rPr>
      </w:pPr>
      <w:r>
        <w:rPr>
          <w:rFonts w:eastAsia="Times New Roman"/>
          <w:noProof/>
          <w:lang w:val="en-IE" w:eastAsia="en-IE"/>
        </w:rPr>
        <w:t xml:space="preserve">The value of the </w:t>
      </w:r>
      <w:r w:rsidRPr="00E5147D">
        <w:rPr>
          <w:rFonts w:eastAsia="Times New Roman"/>
          <w:noProof/>
          <w:lang w:val="en-IE" w:eastAsia="en-IE"/>
        </w:rPr>
        <w:t>BaU (</w:t>
      </w:r>
      <w:r w:rsidRPr="00EF187F">
        <w:rPr>
          <w:rFonts w:eastAsia="Times New Roman"/>
          <w:noProof/>
          <w:lang w:val="en-IE" w:eastAsia="en-IE"/>
        </w:rPr>
        <w:t>e</w:t>
      </w:r>
      <w:r>
        <w:rPr>
          <w:rFonts w:eastAsia="Times New Roman"/>
          <w:noProof/>
          <w:lang w:val="en-IE" w:eastAsia="en-IE"/>
        </w:rPr>
        <w:t>quipment that would be replaced without intervention)</w:t>
      </w:r>
      <w:r>
        <w:rPr>
          <w:rFonts w:eastAsia="Times New Roman"/>
          <w:b/>
          <w:bCs/>
          <w:noProof/>
          <w:lang w:val="en-IE" w:eastAsia="en-IE"/>
        </w:rPr>
        <w:t xml:space="preserve"> </w:t>
      </w:r>
      <w:r w:rsidRPr="00E5147D">
        <w:rPr>
          <w:rFonts w:eastAsia="Times New Roman"/>
          <w:noProof/>
          <w:lang w:val="en-IE" w:eastAsia="en-IE"/>
        </w:rPr>
        <w:t xml:space="preserve">ranges from EUR </w:t>
      </w:r>
      <w:r>
        <w:rPr>
          <w:rFonts w:eastAsia="Times New Roman"/>
          <w:noProof/>
          <w:lang w:val="en-IE" w:eastAsia="en-IE"/>
        </w:rPr>
        <w:t>1.9 bn</w:t>
      </w:r>
      <w:r w:rsidRPr="00E5147D">
        <w:rPr>
          <w:rFonts w:eastAsia="Times New Roman"/>
          <w:noProof/>
          <w:lang w:val="en-IE" w:eastAsia="en-IE"/>
        </w:rPr>
        <w:t xml:space="preserve"> to </w:t>
      </w:r>
      <w:r>
        <w:rPr>
          <w:rFonts w:eastAsia="Times New Roman"/>
          <w:noProof/>
          <w:lang w:val="en-IE" w:eastAsia="en-IE"/>
        </w:rPr>
        <w:t>EUR 2.8</w:t>
      </w:r>
      <w:r w:rsidRPr="00E5147D">
        <w:rPr>
          <w:rFonts w:eastAsia="Times New Roman"/>
          <w:noProof/>
          <w:lang w:val="en-IE" w:eastAsia="en-IE"/>
        </w:rPr>
        <w:t xml:space="preserve"> bn per year,</w:t>
      </w:r>
      <w:r>
        <w:rPr>
          <w:rFonts w:eastAsia="Times New Roman"/>
          <w:b/>
          <w:bCs/>
          <w:noProof/>
          <w:lang w:val="en-IE" w:eastAsia="en-IE"/>
        </w:rPr>
        <w:t xml:space="preserve"> </w:t>
      </w:r>
      <w:r>
        <w:rPr>
          <w:rFonts w:eastAsia="Times New Roman"/>
          <w:noProof/>
          <w:lang w:val="en-IE" w:eastAsia="en-IE"/>
        </w:rPr>
        <w:t>calculating respectively 15 % and 10% of the yearly value of high-risk equipment. The yearly value of the high-risk equipment is equal to the total value of high-risk equipment invested in the past years (2019 to 2027) divided by the number of transition years (3 years) leading to 6</w:t>
      </w:r>
      <w:r w:rsidRPr="00F5382B">
        <w:rPr>
          <w:rFonts w:eastAsia="Times New Roman"/>
          <w:noProof/>
          <w:lang w:val="en-IE" w:eastAsia="en-IE"/>
        </w:rPr>
        <w:t>.</w:t>
      </w:r>
      <w:r>
        <w:rPr>
          <w:rFonts w:eastAsia="Times New Roman"/>
          <w:noProof/>
          <w:lang w:val="en-IE" w:eastAsia="en-IE"/>
        </w:rPr>
        <w:t>2</w:t>
      </w:r>
      <w:r w:rsidRPr="00F5382B">
        <w:rPr>
          <w:rFonts w:eastAsia="Times New Roman"/>
          <w:noProof/>
          <w:lang w:val="en-IE" w:eastAsia="en-IE"/>
        </w:rPr>
        <w:t xml:space="preserve"> bn EUR (without BaU</w:t>
      </w:r>
      <w:r>
        <w:rPr>
          <w:rFonts w:eastAsia="Times New Roman"/>
          <w:noProof/>
          <w:lang w:val="en-IE" w:eastAsia="en-IE"/>
        </w:rPr>
        <w:t xml:space="preserve">). </w:t>
      </w:r>
    </w:p>
    <w:p w14:paraId="468079A7" w14:textId="7D93AF69" w:rsidR="0087606E" w:rsidRPr="00F5382B" w:rsidRDefault="0087606E" w:rsidP="0087606E">
      <w:pPr>
        <w:spacing w:after="160"/>
        <w:rPr>
          <w:rFonts w:eastAsia="Times New Roman"/>
          <w:noProof/>
          <w:lang w:eastAsia="en-IE"/>
        </w:rPr>
      </w:pPr>
      <w:r w:rsidRPr="46C60233">
        <w:rPr>
          <w:rFonts w:eastAsia="Times New Roman"/>
          <w:noProof/>
          <w:lang w:eastAsia="en-IE"/>
        </w:rPr>
        <w:t xml:space="preserve">Hence, per year the value of high-risk vendor equipment to be replaced would be equal to </w:t>
      </w:r>
      <w:r w:rsidRPr="46C60233">
        <w:rPr>
          <w:rFonts w:eastAsia="Times New Roman"/>
          <w:b/>
          <w:bCs/>
          <w:noProof/>
          <w:lang w:eastAsia="en-IE"/>
        </w:rPr>
        <w:t>EUR 3.4 bn - EUR 4.3 bn</w:t>
      </w:r>
      <w:r w:rsidRPr="46C60233">
        <w:rPr>
          <w:rFonts w:eastAsia="Times New Roman"/>
          <w:noProof/>
          <w:lang w:eastAsia="en-IE"/>
        </w:rPr>
        <w:t xml:space="preserve"> (for three years) considering the BaU. These costs would be carried either by operator or transferred to subscribers resulting in higher prices (see next section).  </w:t>
      </w:r>
    </w:p>
    <w:p w14:paraId="49C7DECC" w14:textId="77777777" w:rsidR="0087606E" w:rsidRPr="00F5382B" w:rsidRDefault="0087606E" w:rsidP="0087606E">
      <w:pPr>
        <w:spacing w:after="160"/>
        <w:rPr>
          <w:rFonts w:eastAsia="Times New Roman"/>
          <w:noProof/>
          <w:lang w:val="en-IE" w:eastAsia="en-IE"/>
        </w:rPr>
      </w:pPr>
      <w:r w:rsidRPr="00F5382B">
        <w:rPr>
          <w:rFonts w:eastAsia="Times New Roman"/>
          <w:b/>
          <w:bCs/>
          <w:noProof/>
          <w:lang w:val="en-IE" w:eastAsia="en-IE"/>
        </w:rPr>
        <w:t>Following assumptions</w:t>
      </w:r>
      <w:r w:rsidRPr="00F5382B">
        <w:rPr>
          <w:rFonts w:eastAsia="Times New Roman"/>
          <w:noProof/>
          <w:lang w:val="en-IE" w:eastAsia="en-IE"/>
        </w:rPr>
        <w:t xml:space="preserve"> are taken for the calculations: </w:t>
      </w:r>
    </w:p>
    <w:p w14:paraId="13BB1DDD" w14:textId="2FD54A1C" w:rsidR="0087606E" w:rsidRPr="00F5382B" w:rsidRDefault="0087606E" w:rsidP="0087606E">
      <w:pPr>
        <w:spacing w:after="160"/>
        <w:rPr>
          <w:rFonts w:eastAsia="Times New Roman"/>
          <w:b/>
          <w:bCs/>
          <w:noProof/>
          <w:lang w:val="en-IE" w:eastAsia="en-IE"/>
        </w:rPr>
      </w:pPr>
      <w:r w:rsidRPr="70D08217">
        <w:rPr>
          <w:rFonts w:eastAsia="Times New Roman"/>
          <w:noProof/>
          <w:u w:val="single"/>
          <w:lang w:val="en-IE" w:eastAsia="en-IE"/>
        </w:rPr>
        <w:t xml:space="preserve">Regarding the calculated cost for operators </w:t>
      </w:r>
      <w:r w:rsidRPr="70D08217">
        <w:rPr>
          <w:rFonts w:eastAsia="Times New Roman"/>
          <w:noProof/>
          <w:lang w:val="en-IE" w:eastAsia="en-IE"/>
        </w:rPr>
        <w:t>: data from EU investment in 5G for 2024 are likely higher than what was actually invested in prior years. At the same time, it is assumed that prices of new equipment from other ‘trusted’ suppliers replacing high-risk suppliers remain the same. In reality, prices may differ due to market circumstances and technological developments.</w:t>
      </w:r>
      <w:r w:rsidRPr="70D08217">
        <w:rPr>
          <w:rFonts w:eastAsia="Times New Roman"/>
          <w:b/>
          <w:bCs/>
          <w:noProof/>
          <w:lang w:val="en-IE" w:eastAsia="en-IE"/>
        </w:rPr>
        <w:t xml:space="preserve"> </w:t>
      </w:r>
      <w:r w:rsidRPr="70D08217">
        <w:rPr>
          <w:rFonts w:eastAsia="Times New Roman"/>
          <w:noProof/>
          <w:lang w:val="en-IE" w:eastAsia="en-IE"/>
        </w:rPr>
        <w:t>Additional costs for operators might occur e.g. install equipment, train personnel, ensure interoperability within the network, as well as costs relating to the decommissioning</w:t>
      </w:r>
      <w:r w:rsidRPr="70D08217">
        <w:rPr>
          <w:rFonts w:eastAsia="Times New Roman"/>
          <w:b/>
          <w:bCs/>
          <w:noProof/>
          <w:lang w:val="en-IE" w:eastAsia="en-IE"/>
        </w:rPr>
        <w:t xml:space="preserve"> </w:t>
      </w:r>
      <w:r w:rsidRPr="70D08217">
        <w:rPr>
          <w:rFonts w:eastAsia="Times New Roman"/>
          <w:noProof/>
          <w:lang w:val="en-IE" w:eastAsia="en-IE"/>
        </w:rPr>
        <w:t xml:space="preserve">of old equipment. </w:t>
      </w:r>
    </w:p>
    <w:p w14:paraId="0C757464" w14:textId="77777777" w:rsidR="0087606E" w:rsidRPr="00F5382B" w:rsidRDefault="0087606E" w:rsidP="0087606E">
      <w:pPr>
        <w:spacing w:after="160"/>
        <w:rPr>
          <w:rFonts w:eastAsia="Times New Roman"/>
          <w:b/>
          <w:bCs/>
          <w:noProof/>
          <w:lang w:val="en-IE" w:eastAsia="en-IE"/>
        </w:rPr>
      </w:pPr>
      <w:r w:rsidRPr="000679E9">
        <w:rPr>
          <w:rFonts w:eastAsia="Times New Roman"/>
          <w:noProof/>
          <w:u w:val="single"/>
          <w:lang w:eastAsia="en-IE"/>
        </w:rPr>
        <w:t>The market share for high-risk suppliers may be subject to change</w:t>
      </w:r>
      <w:r w:rsidRPr="00F5382B">
        <w:rPr>
          <w:rFonts w:eastAsia="Times New Roman"/>
          <w:noProof/>
          <w:lang w:eastAsia="en-IE"/>
        </w:rPr>
        <w:t xml:space="preserve">. Whereas Strand Consult estimated the market share 40% in 2015, a more recent prediction pointed to 32% relative market share. The decline in market share is also supported by trade statistics for EU import from China for mobile equipment (see table below). </w:t>
      </w:r>
    </w:p>
    <w:p w14:paraId="10FED049" w14:textId="77777777" w:rsidR="0087606E" w:rsidRPr="00F5382B" w:rsidRDefault="0087606E" w:rsidP="0087606E">
      <w:pPr>
        <w:spacing w:after="160"/>
        <w:rPr>
          <w:rFonts w:eastAsia="Times New Roman"/>
          <w:noProof/>
          <w:lang w:val="en-IE" w:eastAsia="en-IE"/>
        </w:rPr>
      </w:pPr>
      <w:r w:rsidRPr="00F5382B">
        <w:rPr>
          <w:rFonts w:eastAsia="Times New Roman"/>
          <w:noProof/>
          <w:lang w:val="en-IE" w:eastAsia="en-IE"/>
        </w:rPr>
        <w:t xml:space="preserve">The market share for high-risk suppliers and resulting replacement costs are calculated on an EU average basis. In reality, these shares and costs will differ between EU Member States. </w:t>
      </w:r>
    </w:p>
    <w:p w14:paraId="1A893D97" w14:textId="77777777" w:rsidR="0087606E" w:rsidRPr="00F5382B" w:rsidRDefault="0087606E" w:rsidP="0087606E">
      <w:pPr>
        <w:spacing w:after="160"/>
        <w:rPr>
          <w:rFonts w:eastAsia="Times New Roman"/>
          <w:noProof/>
          <w:lang w:val="en-IE" w:eastAsia="en-IE"/>
        </w:rPr>
      </w:pPr>
      <w:r w:rsidRPr="000679E9">
        <w:rPr>
          <w:rFonts w:eastAsia="Times New Roman"/>
          <w:noProof/>
          <w:u w:val="single"/>
          <w:lang w:val="en-IE" w:eastAsia="en-IE"/>
        </w:rPr>
        <w:t>Regarding the normal course of replacement of equipment</w:t>
      </w:r>
      <w:r w:rsidRPr="00F5382B">
        <w:rPr>
          <w:rFonts w:eastAsia="Times New Roman"/>
          <w:noProof/>
          <w:lang w:val="en-IE" w:eastAsia="en-IE"/>
        </w:rPr>
        <w:t xml:space="preserve"> (‘business as usual’), mobile operators typically work with </w:t>
      </w:r>
      <w:r w:rsidRPr="00F5382B">
        <w:rPr>
          <w:rFonts w:eastAsia="Times New Roman"/>
          <w:b/>
          <w:bCs/>
          <w:noProof/>
          <w:lang w:val="en-IE" w:eastAsia="en-IE"/>
        </w:rPr>
        <w:t>replacement cycles for their equipment of 7-10 years</w:t>
      </w:r>
      <w:r w:rsidRPr="00F5382B">
        <w:rPr>
          <w:rFonts w:eastAsia="Times New Roman"/>
          <w:noProof/>
          <w:lang w:val="en-IE" w:eastAsia="en-IE"/>
        </w:rPr>
        <w:t xml:space="preserve">, taking into account amongst other things technology cycles with new standards (3G, 4G, 5G) becoming available.  On that basis, it can be assumed that about </w:t>
      </w:r>
      <w:r w:rsidRPr="000679E9">
        <w:rPr>
          <w:rFonts w:eastAsia="Times New Roman"/>
          <w:b/>
          <w:bCs/>
          <w:noProof/>
          <w:lang w:val="en-IE" w:eastAsia="en-IE"/>
        </w:rPr>
        <w:t>10-15% of equipment will be replaced on a yearly basis</w:t>
      </w:r>
      <w:r w:rsidRPr="00F5382B">
        <w:rPr>
          <w:rFonts w:eastAsia="Times New Roman"/>
          <w:noProof/>
          <w:lang w:val="en-IE" w:eastAsia="en-IE"/>
        </w:rPr>
        <w:t xml:space="preserve">, i.e. about </w:t>
      </w:r>
      <w:r>
        <w:rPr>
          <w:rFonts w:eastAsia="Times New Roman"/>
          <w:noProof/>
          <w:lang w:val="en-IE" w:eastAsia="en-IE"/>
        </w:rPr>
        <w:t>3</w:t>
      </w:r>
      <w:r w:rsidRPr="00F5382B">
        <w:rPr>
          <w:rFonts w:eastAsia="Times New Roman"/>
          <w:noProof/>
          <w:lang w:val="en-IE" w:eastAsia="en-IE"/>
        </w:rPr>
        <w:t xml:space="preserve">0% to </w:t>
      </w:r>
      <w:r>
        <w:rPr>
          <w:rFonts w:eastAsia="Times New Roman"/>
          <w:noProof/>
          <w:lang w:val="en-IE" w:eastAsia="en-IE"/>
        </w:rPr>
        <w:t>4</w:t>
      </w:r>
      <w:r w:rsidRPr="00F5382B">
        <w:rPr>
          <w:rFonts w:eastAsia="Times New Roman"/>
          <w:noProof/>
          <w:lang w:val="en-IE" w:eastAsia="en-IE"/>
        </w:rPr>
        <w:t xml:space="preserve">5% of equipment will be replaced in the normal course of business over the </w:t>
      </w:r>
      <w:r>
        <w:rPr>
          <w:rFonts w:eastAsia="Times New Roman"/>
          <w:noProof/>
          <w:lang w:val="en-IE" w:eastAsia="en-IE"/>
        </w:rPr>
        <w:t>3</w:t>
      </w:r>
      <w:r w:rsidRPr="00F5382B">
        <w:rPr>
          <w:rFonts w:eastAsia="Times New Roman"/>
          <w:noProof/>
          <w:lang w:val="en-IE" w:eastAsia="en-IE"/>
        </w:rPr>
        <w:t>-year transition period, and 100% of equipment will already have been replaced in the normal course of business over 10 years.</w:t>
      </w:r>
    </w:p>
    <w:p w14:paraId="1E0C7EC2" w14:textId="77777777" w:rsidR="0087606E" w:rsidRPr="00F5382B" w:rsidRDefault="0087606E" w:rsidP="0087606E">
      <w:pPr>
        <w:pStyle w:val="Heading3"/>
        <w:numPr>
          <w:ilvl w:val="2"/>
          <w:numId w:val="3"/>
        </w:numPr>
        <w:rPr>
          <w:rFonts w:eastAsia="Aptos"/>
          <w:noProof/>
        </w:rPr>
      </w:pPr>
      <w:bookmarkStart w:id="332" w:name="_Toc210934650"/>
      <w:bookmarkStart w:id="333" w:name="_Toc210939834"/>
      <w:bookmarkStart w:id="334" w:name="_Toc219038856"/>
      <w:bookmarkStart w:id="335" w:name="_Toc219447412"/>
      <w:r w:rsidRPr="00F5382B">
        <w:rPr>
          <w:rFonts w:eastAsia="Aptos"/>
          <w:noProof/>
        </w:rPr>
        <w:t>Transfer of costs: Potential Price increase for EU citizens</w:t>
      </w:r>
      <w:bookmarkEnd w:id="332"/>
      <w:bookmarkEnd w:id="333"/>
      <w:bookmarkEnd w:id="334"/>
      <w:bookmarkEnd w:id="335"/>
    </w:p>
    <w:p w14:paraId="60679518" w14:textId="77777777" w:rsidR="0087606E" w:rsidRPr="00EE3DF9" w:rsidRDefault="0087606E" w:rsidP="0087606E">
      <w:pPr>
        <w:spacing w:after="160" w:line="259" w:lineRule="auto"/>
        <w:rPr>
          <w:rFonts w:eastAsia="Aptos"/>
          <w:noProof/>
          <w:kern w:val="2"/>
        </w:rPr>
      </w:pPr>
      <w:r w:rsidRPr="00EE3DF9">
        <w:rPr>
          <w:rFonts w:eastAsia="Aptos"/>
          <w:noProof/>
          <w:kern w:val="2"/>
        </w:rPr>
        <w:t>The mobile network operator might decide to transfer the costs to the consumers. According to GSMA (</w:t>
      </w:r>
      <w:r w:rsidRPr="00EE3DF9">
        <w:rPr>
          <w:rFonts w:eastAsia="Aptos"/>
          <w:noProof/>
          <w:kern w:val="2"/>
          <w:vertAlign w:val="superscript"/>
        </w:rPr>
        <w:footnoteReference w:id="214"/>
      </w:r>
      <w:r w:rsidRPr="00EE3DF9">
        <w:rPr>
          <w:rFonts w:eastAsia="Aptos"/>
          <w:noProof/>
          <w:kern w:val="2"/>
        </w:rPr>
        <w:t xml:space="preserve">), there were </w:t>
      </w:r>
      <w:r w:rsidRPr="00E5147D">
        <w:rPr>
          <w:rFonts w:eastAsia="Aptos"/>
          <w:noProof/>
          <w:kern w:val="2"/>
        </w:rPr>
        <w:t>520 million mobile subscribers in 2025</w:t>
      </w:r>
      <w:r w:rsidRPr="00EE3DF9">
        <w:rPr>
          <w:rFonts w:eastAsia="Aptos"/>
          <w:noProof/>
          <w:kern w:val="2"/>
        </w:rPr>
        <w:t xml:space="preserve">. Taken the estimated cost of replacement at </w:t>
      </w:r>
      <w:r w:rsidRPr="00F5382B">
        <w:rPr>
          <w:rFonts w:eastAsia="Times New Roman"/>
          <w:noProof/>
          <w:lang w:val="en-IE" w:eastAsia="en-IE"/>
        </w:rPr>
        <w:t xml:space="preserve">EUR </w:t>
      </w:r>
      <w:r w:rsidRPr="211C3D34">
        <w:rPr>
          <w:rFonts w:eastAsia="Times New Roman"/>
          <w:noProof/>
          <w:lang w:val="en-IE" w:eastAsia="en-IE"/>
        </w:rPr>
        <w:t xml:space="preserve">3.4 bn - EUR 4.3 bn </w:t>
      </w:r>
      <w:r w:rsidRPr="00EE3DF9">
        <w:rPr>
          <w:rFonts w:eastAsia="Aptos"/>
          <w:noProof/>
          <w:kern w:val="2"/>
        </w:rPr>
        <w:t xml:space="preserve">per year over </w:t>
      </w:r>
      <w:r w:rsidRPr="211C3D34">
        <w:rPr>
          <w:rFonts w:eastAsia="Aptos"/>
          <w:noProof/>
        </w:rPr>
        <w:t xml:space="preserve">3 </w:t>
      </w:r>
      <w:r w:rsidRPr="00EE3DF9">
        <w:rPr>
          <w:rFonts w:eastAsia="Aptos"/>
          <w:noProof/>
          <w:kern w:val="2"/>
        </w:rPr>
        <w:t xml:space="preserve">years, this would amount </w:t>
      </w:r>
      <w:r w:rsidRPr="00E5147D">
        <w:rPr>
          <w:rFonts w:eastAsia="Aptos"/>
          <w:noProof/>
          <w:kern w:val="2"/>
        </w:rPr>
        <w:t xml:space="preserve">to EUR </w:t>
      </w:r>
      <w:r w:rsidRPr="00E5147D">
        <w:rPr>
          <w:rFonts w:eastAsia="Aptos"/>
          <w:noProof/>
        </w:rPr>
        <w:t>6</w:t>
      </w:r>
      <w:r w:rsidRPr="00E5147D">
        <w:rPr>
          <w:rFonts w:eastAsia="Aptos"/>
          <w:noProof/>
          <w:kern w:val="2"/>
        </w:rPr>
        <w:t>.</w:t>
      </w:r>
      <w:r w:rsidRPr="00E5147D">
        <w:rPr>
          <w:rFonts w:eastAsia="Aptos"/>
          <w:noProof/>
        </w:rPr>
        <w:t xml:space="preserve">5 </w:t>
      </w:r>
      <w:r w:rsidRPr="00E5147D">
        <w:rPr>
          <w:rFonts w:eastAsia="Aptos"/>
          <w:noProof/>
          <w:kern w:val="2"/>
        </w:rPr>
        <w:t xml:space="preserve">to EUR </w:t>
      </w:r>
      <w:r w:rsidRPr="00E5147D">
        <w:rPr>
          <w:rFonts w:eastAsia="Aptos"/>
          <w:noProof/>
        </w:rPr>
        <w:t>8</w:t>
      </w:r>
      <w:r w:rsidRPr="00E5147D">
        <w:rPr>
          <w:rFonts w:eastAsia="Aptos"/>
          <w:noProof/>
          <w:kern w:val="2"/>
        </w:rPr>
        <w:t>.</w:t>
      </w:r>
      <w:r w:rsidRPr="00E5147D">
        <w:rPr>
          <w:rFonts w:eastAsia="Aptos"/>
          <w:noProof/>
        </w:rPr>
        <w:t xml:space="preserve">3 </w:t>
      </w:r>
      <w:r w:rsidRPr="00E5147D">
        <w:rPr>
          <w:rFonts w:eastAsia="Aptos"/>
          <w:noProof/>
          <w:kern w:val="2"/>
        </w:rPr>
        <w:t>per mobile subscriber</w:t>
      </w:r>
      <w:r w:rsidRPr="00EE3DF9">
        <w:rPr>
          <w:rFonts w:eastAsia="Aptos"/>
          <w:noProof/>
          <w:kern w:val="2"/>
        </w:rPr>
        <w:t xml:space="preserve"> </w:t>
      </w:r>
      <w:r w:rsidRPr="211C3D34">
        <w:rPr>
          <w:rFonts w:eastAsia="Aptos"/>
          <w:noProof/>
        </w:rPr>
        <w:t xml:space="preserve">per year </w:t>
      </w:r>
      <w:r w:rsidRPr="00EE3DF9">
        <w:rPr>
          <w:rFonts w:eastAsia="Aptos"/>
          <w:noProof/>
          <w:kern w:val="2"/>
        </w:rPr>
        <w:t xml:space="preserve">over </w:t>
      </w:r>
      <w:r w:rsidRPr="211C3D34">
        <w:rPr>
          <w:rFonts w:eastAsia="Aptos"/>
          <w:noProof/>
        </w:rPr>
        <w:t xml:space="preserve">three </w:t>
      </w:r>
      <w:r w:rsidRPr="00EE3DF9">
        <w:rPr>
          <w:rFonts w:eastAsia="Aptos"/>
          <w:noProof/>
          <w:kern w:val="2"/>
        </w:rPr>
        <w:t>years.</w:t>
      </w:r>
      <w:bookmarkStart w:id="336" w:name="_Toc210940179"/>
      <w:bookmarkEnd w:id="336"/>
      <w:r w:rsidRPr="00EE3DF9">
        <w:rPr>
          <w:rFonts w:eastAsia="Aptos"/>
          <w:noProof/>
          <w:kern w:val="2"/>
        </w:rPr>
        <w:t xml:space="preserve">  </w:t>
      </w:r>
    </w:p>
    <w:p w14:paraId="00CF918A" w14:textId="77777777" w:rsidR="0087606E" w:rsidRPr="00F5382B" w:rsidRDefault="0087606E" w:rsidP="0087606E">
      <w:pPr>
        <w:pStyle w:val="Heading3"/>
        <w:numPr>
          <w:ilvl w:val="2"/>
          <w:numId w:val="3"/>
        </w:numPr>
        <w:rPr>
          <w:rFonts w:eastAsia="Aptos"/>
          <w:noProof/>
        </w:rPr>
      </w:pPr>
      <w:bookmarkStart w:id="337" w:name="_Toc210934651"/>
      <w:bookmarkStart w:id="338" w:name="_Toc210939835"/>
      <w:bookmarkStart w:id="339" w:name="_Toc219038857"/>
      <w:bookmarkStart w:id="340" w:name="_Toc219447413"/>
      <w:r w:rsidRPr="00F5382B">
        <w:rPr>
          <w:rFonts w:eastAsia="Aptos"/>
          <w:noProof/>
        </w:rPr>
        <w:t>Revenue gains for trusted suppliers</w:t>
      </w:r>
      <w:bookmarkEnd w:id="337"/>
      <w:bookmarkEnd w:id="338"/>
      <w:bookmarkEnd w:id="339"/>
      <w:bookmarkEnd w:id="340"/>
      <w:r w:rsidRPr="00F5382B">
        <w:rPr>
          <w:rFonts w:eastAsia="Aptos"/>
          <w:noProof/>
        </w:rPr>
        <w:t xml:space="preserve"> </w:t>
      </w:r>
    </w:p>
    <w:p w14:paraId="360F0A1D" w14:textId="77777777" w:rsidR="0087606E" w:rsidRPr="00F5382B" w:rsidRDefault="0087606E" w:rsidP="0087606E">
      <w:pPr>
        <w:rPr>
          <w:rFonts w:eastAsia="Times New Roman"/>
          <w:noProof/>
          <w:lang w:val="en-IE" w:eastAsia="en-IE"/>
        </w:rPr>
      </w:pPr>
      <w:r w:rsidRPr="00F5382B">
        <w:rPr>
          <w:noProof/>
        </w:rPr>
        <w:t>According to the 5G observatory indicators data, there are about</w:t>
      </w:r>
      <w:r w:rsidRPr="00F5382B">
        <w:rPr>
          <w:rFonts w:eastAsia="Times New Roman"/>
          <w:noProof/>
          <w:lang w:val="en-IE" w:eastAsia="en-IE"/>
        </w:rPr>
        <w:t xml:space="preserve"> EUR 18 bn investments in mobile network equipment in 2024, of which about 48% is invested in 5G equipment, which leads to EUR 8,6 bn of total 5G investment in Europe in 2024.  More granular assessment based on the data from the 5G Observatory, to focus on the key assets that would be considered on 5G as presented above: </w:t>
      </w:r>
    </w:p>
    <w:p w14:paraId="7A03D01A" w14:textId="77777777" w:rsidR="0087606E" w:rsidRPr="00F5382B" w:rsidRDefault="0087606E" w:rsidP="0087606E">
      <w:pPr>
        <w:pStyle w:val="ListParagraph"/>
        <w:numPr>
          <w:ilvl w:val="0"/>
          <w:numId w:val="133"/>
        </w:numPr>
        <w:spacing w:after="160" w:line="279" w:lineRule="auto"/>
        <w:rPr>
          <w:noProof/>
          <w:lang w:val="en-IE"/>
        </w:rPr>
      </w:pPr>
      <w:r w:rsidRPr="00F5382B">
        <w:rPr>
          <w:noProof/>
          <w:lang w:val="en-IE"/>
        </w:rPr>
        <w:t>Investments per year on 5G RAN: EUR 5.3 bn</w:t>
      </w:r>
      <w:r w:rsidRPr="00F5382B">
        <w:rPr>
          <w:noProof/>
          <w:lang w:val="en-IE"/>
        </w:rPr>
        <w:tab/>
        <w:t xml:space="preserve">                         </w:t>
      </w:r>
    </w:p>
    <w:p w14:paraId="7F536B61" w14:textId="77777777" w:rsidR="0087606E" w:rsidRPr="00F5382B" w:rsidRDefault="0087606E" w:rsidP="0087606E">
      <w:pPr>
        <w:pStyle w:val="ListParagraph"/>
        <w:numPr>
          <w:ilvl w:val="0"/>
          <w:numId w:val="133"/>
        </w:numPr>
        <w:spacing w:after="160" w:line="279" w:lineRule="auto"/>
        <w:rPr>
          <w:noProof/>
        </w:rPr>
      </w:pPr>
      <w:r w:rsidRPr="00F5382B">
        <w:rPr>
          <w:noProof/>
          <w:lang w:val="en-IE"/>
        </w:rPr>
        <w:t xml:space="preserve">Investments per year on 5G </w:t>
      </w:r>
      <w:r w:rsidRPr="00F5382B">
        <w:rPr>
          <w:noProof/>
        </w:rPr>
        <w:t>5G core network: EUR 0.9 bn</w:t>
      </w:r>
    </w:p>
    <w:p w14:paraId="3E4B64D8" w14:textId="77777777" w:rsidR="0087606E" w:rsidRPr="00F5382B" w:rsidRDefault="0087606E" w:rsidP="0087606E">
      <w:pPr>
        <w:rPr>
          <w:noProof/>
        </w:rPr>
      </w:pPr>
      <w:r w:rsidRPr="00F5382B">
        <w:rPr>
          <w:noProof/>
        </w:rPr>
        <w:t xml:space="preserve">This leads to a total of EUR 6.25 bn of yearly investments in 5G RAN and core network in Europe based on data from 2024. </w:t>
      </w:r>
      <w:r w:rsidRPr="00F5382B">
        <w:rPr>
          <w:rFonts w:eastAsia="Times New Roman"/>
          <w:noProof/>
          <w:lang w:val="en-IE" w:eastAsia="en-IE"/>
        </w:rPr>
        <w:t>The assumption is taken that 32 %</w:t>
      </w:r>
      <w:r w:rsidRPr="00F5382B">
        <w:rPr>
          <w:rStyle w:val="FootnoteReference"/>
          <w:rFonts w:eastAsia="Times New Roman"/>
          <w:noProof/>
          <w:lang w:val="en-IE" w:eastAsia="en-IE"/>
        </w:rPr>
        <w:footnoteReference w:id="215"/>
      </w:r>
      <w:r w:rsidRPr="00F5382B">
        <w:rPr>
          <w:rFonts w:eastAsia="Times New Roman"/>
          <w:noProof/>
          <w:lang w:val="en-IE" w:eastAsia="en-IE"/>
        </w:rPr>
        <w:t xml:space="preserve"> of these investments currently goes to equipment from high-risk suppliers (Huawei/ZTE). This share would likely gradually decrease through the implementation of the measures to restrict equipment from high-risk suppliers in key assets. </w:t>
      </w:r>
    </w:p>
    <w:p w14:paraId="6D688F01" w14:textId="77777777" w:rsidR="0087606E" w:rsidRPr="00F5382B" w:rsidRDefault="0087606E" w:rsidP="0087606E">
      <w:pPr>
        <w:rPr>
          <w:rFonts w:eastAsia="Times New Roman"/>
          <w:noProof/>
          <w:lang w:eastAsia="en-IE"/>
        </w:rPr>
      </w:pPr>
      <w:r w:rsidRPr="00F5382B">
        <w:rPr>
          <w:rFonts w:eastAsia="Times New Roman"/>
          <w:noProof/>
          <w:lang w:val="en-IE" w:eastAsia="en-IE"/>
        </w:rPr>
        <w:t xml:space="preserve">According to 2023 STRAND Consultancy figures quoted in secondary sources, </w:t>
      </w:r>
      <w:r w:rsidRPr="00F5382B">
        <w:rPr>
          <w:rFonts w:eastAsia="Times New Roman"/>
          <w:noProof/>
          <w:lang w:eastAsia="en-IE"/>
        </w:rPr>
        <w:t xml:space="preserve">equipment stemming from Chinese equipment is around 32%. Strand Consult predicts that, under current market conditions, they will still have a meaningful share of 5G networks toward the end of the decade. The same calculation described in the previous paragraph produces a figure of about 29% for 2028.  This assumption of a decline in market share can be supported by the general trend visible in statistical data representing EU import from China of telecommunications equipment, including 5G equipment, which shows a considerable and steady decline of about 30-40% from 2022 to 2024 which may be the result of the adoption of the EU 5G Toolbox. However, for our calculations we keep the estimation that the market share is 32% as in 2024.This would lead to a total value of investments </w:t>
      </w:r>
      <w:r w:rsidRPr="00F5382B">
        <w:rPr>
          <w:rFonts w:eastAsia="Times New Roman"/>
          <w:b/>
          <w:bCs/>
          <w:noProof/>
          <w:lang w:eastAsia="en-IE"/>
        </w:rPr>
        <w:t>per year</w:t>
      </w:r>
      <w:r w:rsidRPr="00F5382B">
        <w:rPr>
          <w:rFonts w:eastAsia="Times New Roman"/>
          <w:noProof/>
          <w:lang w:eastAsia="en-IE"/>
        </w:rPr>
        <w:t xml:space="preserve"> </w:t>
      </w:r>
      <w:r w:rsidRPr="00F5382B">
        <w:rPr>
          <w:rFonts w:eastAsia="Times New Roman"/>
          <w:b/>
          <w:bCs/>
          <w:noProof/>
          <w:lang w:eastAsia="en-IE"/>
        </w:rPr>
        <w:t>going to high-risk suppliers’ equipment of</w:t>
      </w:r>
      <w:r w:rsidRPr="00F5382B">
        <w:rPr>
          <w:rFonts w:eastAsia="Times New Roman"/>
          <w:noProof/>
          <w:lang w:eastAsia="en-IE"/>
        </w:rPr>
        <w:t xml:space="preserve"> EUR 6.25 * 32% = </w:t>
      </w:r>
      <w:r w:rsidRPr="00F5382B">
        <w:rPr>
          <w:rFonts w:eastAsia="Times New Roman"/>
          <w:b/>
          <w:bCs/>
          <w:noProof/>
          <w:lang w:eastAsia="en-IE"/>
        </w:rPr>
        <w:t>EUR 2 bn per year</w:t>
      </w:r>
      <w:r w:rsidRPr="00F5382B">
        <w:rPr>
          <w:rFonts w:eastAsia="Times New Roman"/>
          <w:noProof/>
          <w:lang w:eastAsia="en-IE"/>
        </w:rPr>
        <w:t xml:space="preserve">. Under the impact of the measures adopted, operators would need to replace equipment amounting to this value with equipment from other, trusted, providers. This investment would feed back into the wider economy, while transaction and substitution costs can be expected from changing suppliers (as indicated above). </w:t>
      </w:r>
    </w:p>
    <w:p w14:paraId="5F42FFB7" w14:textId="77777777" w:rsidR="0087606E" w:rsidRPr="00F5382B" w:rsidRDefault="0087606E" w:rsidP="0087606E">
      <w:pPr>
        <w:rPr>
          <w:rFonts w:eastAsia="Times New Roman"/>
          <w:noProof/>
          <w:lang w:eastAsia="en-IE"/>
        </w:rPr>
      </w:pPr>
      <w:r w:rsidRPr="00F5382B">
        <w:rPr>
          <w:rFonts w:eastAsia="Times New Roman"/>
          <w:noProof/>
          <w:lang w:eastAsia="en-IE"/>
        </w:rPr>
        <w:t xml:space="preserve">The assumptions is that the investments would continue the same pace. This considers the drive for European operators to upgrade their infrastructure if they want to rollout 5G.  GSMA report shows that Europe is lagging with only 30% of 5G connections compared to the rest of the world. </w:t>
      </w:r>
    </w:p>
    <w:p w14:paraId="2858EE1E" w14:textId="71C6B854" w:rsidR="0087606E" w:rsidRDefault="0087606E" w:rsidP="0087606E">
      <w:pPr>
        <w:spacing w:after="160"/>
        <w:jc w:val="left"/>
        <w:rPr>
          <w:rFonts w:eastAsia="Aptos"/>
          <w:b/>
          <w:noProof/>
          <w:kern w:val="2"/>
          <w:sz w:val="28"/>
          <w:szCs w:val="28"/>
        </w:rPr>
      </w:pPr>
      <w:r>
        <w:rPr>
          <w:rFonts w:eastAsia="Aptos"/>
          <w:b/>
          <w:noProof/>
          <w:kern w:val="2"/>
          <w:sz w:val="28"/>
          <w:szCs w:val="28"/>
        </w:rPr>
        <w:br w:type="page"/>
      </w:r>
    </w:p>
    <w:p w14:paraId="6F9A5098" w14:textId="77777777" w:rsidR="0087606E" w:rsidRPr="00EE3DF9" w:rsidRDefault="0087606E" w:rsidP="0087606E">
      <w:pPr>
        <w:spacing w:after="160"/>
        <w:jc w:val="left"/>
        <w:rPr>
          <w:rFonts w:eastAsia="Aptos"/>
          <w:b/>
          <w:noProof/>
          <w:kern w:val="2"/>
          <w:sz w:val="28"/>
          <w:szCs w:val="28"/>
        </w:rPr>
        <w:sectPr w:rsidR="0087606E" w:rsidRPr="00EE3DF9" w:rsidSect="0087606E">
          <w:headerReference w:type="default" r:id="rId76"/>
          <w:footerReference w:type="default" r:id="rId77"/>
          <w:headerReference w:type="first" r:id="rId78"/>
          <w:footerReference w:type="first" r:id="rId79"/>
          <w:pgSz w:w="11906" w:h="16838"/>
          <w:pgMar w:top="1440" w:right="1440" w:bottom="1440" w:left="1440" w:header="601" w:footer="1077" w:gutter="0"/>
          <w:cols w:space="720"/>
          <w:titlePg/>
          <w:docGrid w:linePitch="326"/>
        </w:sectPr>
      </w:pPr>
    </w:p>
    <w:p w14:paraId="76B3B82E" w14:textId="77777777" w:rsidR="0087606E" w:rsidRPr="00EE3DF9" w:rsidRDefault="0087606E" w:rsidP="0087606E">
      <w:pPr>
        <w:spacing w:after="0" w:line="259" w:lineRule="auto"/>
        <w:jc w:val="center"/>
        <w:rPr>
          <w:rFonts w:eastAsia="Aptos"/>
          <w:b/>
          <w:bCs/>
          <w:noProof/>
          <w:kern w:val="2"/>
          <w:sz w:val="22"/>
          <w:szCs w:val="22"/>
          <w:lang w:val="en-IE"/>
        </w:rPr>
      </w:pPr>
      <w:r w:rsidRPr="00EE3DF9">
        <w:rPr>
          <w:rFonts w:eastAsia="Aptos"/>
          <w:b/>
          <w:bCs/>
          <w:noProof/>
          <w:kern w:val="2"/>
          <w:sz w:val="22"/>
          <w:szCs w:val="22"/>
          <w:lang w:val="en-IE"/>
        </w:rPr>
        <w:t xml:space="preserve">EU27 Trade import from China </w:t>
      </w:r>
    </w:p>
    <w:p w14:paraId="67ADC142" w14:textId="77777777" w:rsidR="0087606E" w:rsidRPr="00EE3DF9" w:rsidRDefault="0087606E" w:rsidP="0087606E">
      <w:pPr>
        <w:spacing w:after="160" w:line="259" w:lineRule="auto"/>
        <w:jc w:val="left"/>
        <w:rPr>
          <w:rFonts w:eastAsia="Aptos"/>
          <w:noProof/>
          <w:kern w:val="2"/>
          <w:sz w:val="22"/>
          <w:szCs w:val="22"/>
          <w:lang w:val="en-IE"/>
        </w:rPr>
      </w:pPr>
      <w:r w:rsidRPr="00EE3DF9">
        <w:rPr>
          <w:rFonts w:eastAsia="Aptos"/>
          <w:noProof/>
          <w:kern w:val="2"/>
          <w:sz w:val="22"/>
          <w:szCs w:val="22"/>
          <w:lang w:val="en-IE"/>
        </w:rPr>
        <w:t xml:space="preserve">The Harmonized System (HS) Code for 5G Radio Access Network (RAN) components isn't a single code but varies based on the specific equipment, with common codes including </w:t>
      </w:r>
      <w:hyperlink r:id="rId80" w:history="1">
        <w:r w:rsidRPr="00EE3DF9">
          <w:rPr>
            <w:rFonts w:eastAsia="Aptos"/>
            <w:noProof/>
            <w:color w:val="467886"/>
            <w:kern w:val="2"/>
            <w:sz w:val="22"/>
            <w:szCs w:val="22"/>
            <w:u w:val="single"/>
            <w:lang w:val="en-IE"/>
          </w:rPr>
          <w:t>8517.69</w:t>
        </w:r>
      </w:hyperlink>
      <w:r w:rsidRPr="00EE3DF9">
        <w:rPr>
          <w:rFonts w:eastAsia="Aptos"/>
          <w:noProof/>
          <w:kern w:val="2"/>
          <w:sz w:val="22"/>
          <w:szCs w:val="22"/>
          <w:lang w:val="en-IE"/>
        </w:rPr>
        <w:t xml:space="preserve"> for other apparatus for the transmission or reception of voice, images, or other data and </w:t>
      </w:r>
      <w:hyperlink r:id="rId81" w:history="1">
        <w:r w:rsidRPr="00EE3DF9">
          <w:rPr>
            <w:rFonts w:eastAsia="Aptos"/>
            <w:noProof/>
            <w:color w:val="467886"/>
            <w:kern w:val="2"/>
            <w:sz w:val="22"/>
            <w:szCs w:val="22"/>
            <w:u w:val="single"/>
            <w:lang w:val="en-IE"/>
          </w:rPr>
          <w:t>8517.61</w:t>
        </w:r>
      </w:hyperlink>
      <w:r w:rsidRPr="00EE3DF9">
        <w:rPr>
          <w:rFonts w:eastAsia="Aptos"/>
          <w:noProof/>
          <w:kern w:val="2"/>
          <w:sz w:val="22"/>
          <w:szCs w:val="22"/>
          <w:lang w:val="en-IE"/>
        </w:rPr>
        <w:t xml:space="preserve"> for base stations and other telecommunication equipment, as 5G RAN falls under the broader category of telecommunications equipment.</w:t>
      </w:r>
    </w:p>
    <w:p w14:paraId="0FDBE742" w14:textId="77777777" w:rsidR="0087606E" w:rsidRPr="00EE3DF9" w:rsidRDefault="0087606E" w:rsidP="0087606E">
      <w:pPr>
        <w:spacing w:after="160" w:line="259" w:lineRule="auto"/>
        <w:jc w:val="left"/>
        <w:rPr>
          <w:rFonts w:eastAsia="Aptos"/>
          <w:noProof/>
          <w:kern w:val="2"/>
          <w:sz w:val="22"/>
          <w:szCs w:val="22"/>
          <w:lang w:val="en-IE"/>
        </w:rPr>
      </w:pPr>
      <w:r w:rsidRPr="00EE3DF9">
        <w:rPr>
          <w:rFonts w:eastAsia="Aptos"/>
          <w:noProof/>
          <w:kern w:val="2"/>
          <w:sz w:val="22"/>
          <w:szCs w:val="22"/>
          <w:lang w:val="en-IE"/>
        </w:rPr>
        <w:t>The Harmonized System (HS) Code for an Evolved Packet Core (EPC) is typically 85176290, which covers telecommunication equipment, including devices for network and packet transmission.</w:t>
      </w:r>
    </w:p>
    <w:p w14:paraId="02438022" w14:textId="77777777" w:rsidR="0087606E" w:rsidRPr="00EE3DF9" w:rsidRDefault="0087606E" w:rsidP="0087606E">
      <w:pPr>
        <w:pStyle w:val="Heading5"/>
        <w:rPr>
          <w:noProof/>
          <w:lang w:val="en-IE"/>
        </w:rPr>
      </w:pPr>
      <w:bookmarkStart w:id="341" w:name="_Toc218767809"/>
      <w:r>
        <w:rPr>
          <w:noProof/>
          <w:lang w:val="en-IE"/>
        </w:rPr>
        <w:t>Table 16:</w:t>
      </w:r>
      <w:r w:rsidRPr="00EE3DF9">
        <w:rPr>
          <w:noProof/>
          <w:lang w:val="en-IE"/>
        </w:rPr>
        <w:t xml:space="preserve"> </w:t>
      </w:r>
      <w:r>
        <w:rPr>
          <w:noProof/>
          <w:lang w:val="en-IE"/>
        </w:rPr>
        <w:t>Decrease in i</w:t>
      </w:r>
      <w:r w:rsidRPr="00EE3DF9">
        <w:rPr>
          <w:noProof/>
          <w:lang w:val="en-IE"/>
        </w:rPr>
        <w:t>mports from China from 2020 to 2024.</w:t>
      </w:r>
      <w:bookmarkEnd w:id="341"/>
      <w:r w:rsidRPr="00EE3DF9">
        <w:rPr>
          <w:noProof/>
          <w:lang w:val="en-IE"/>
        </w:rPr>
        <w:t xml:space="preserve"> </w:t>
      </w:r>
    </w:p>
    <w:tbl>
      <w:tblPr>
        <w:tblStyle w:val="TableGrid1"/>
        <w:tblW w:w="5000" w:type="pct"/>
        <w:tblLook w:val="04A0" w:firstRow="1" w:lastRow="0" w:firstColumn="1" w:lastColumn="0" w:noHBand="0" w:noVBand="1"/>
      </w:tblPr>
      <w:tblGrid>
        <w:gridCol w:w="2925"/>
        <w:gridCol w:w="4054"/>
        <w:gridCol w:w="3501"/>
        <w:gridCol w:w="3694"/>
      </w:tblGrid>
      <w:tr w:rsidR="0087606E" w:rsidRPr="00F5382B" w14:paraId="1B5BEB04" w14:textId="77777777" w:rsidTr="00641B35">
        <w:tc>
          <w:tcPr>
            <w:tcW w:w="1032" w:type="pct"/>
          </w:tcPr>
          <w:p w14:paraId="729751D2" w14:textId="77777777" w:rsidR="0087606E" w:rsidRPr="00F5382B" w:rsidRDefault="0087606E" w:rsidP="00641B35">
            <w:pPr>
              <w:spacing w:after="0"/>
              <w:jc w:val="left"/>
              <w:rPr>
                <w:rFonts w:eastAsia="Aptos"/>
                <w:noProof/>
              </w:rPr>
            </w:pPr>
          </w:p>
        </w:tc>
        <w:tc>
          <w:tcPr>
            <w:tcW w:w="1430" w:type="pct"/>
          </w:tcPr>
          <w:p w14:paraId="322ACB58" w14:textId="77777777" w:rsidR="0087606E" w:rsidRPr="00F5382B" w:rsidRDefault="0087606E" w:rsidP="00641B35">
            <w:pPr>
              <w:spacing w:after="0"/>
              <w:jc w:val="left"/>
              <w:rPr>
                <w:rFonts w:eastAsia="Aptos"/>
                <w:b/>
                <w:bCs/>
                <w:noProof/>
              </w:rPr>
            </w:pPr>
            <w:r w:rsidRPr="00F5382B">
              <w:rPr>
                <w:rFonts w:eastAsia="Aptos"/>
                <w:b/>
                <w:bCs/>
                <w:noProof/>
              </w:rPr>
              <w:t>851769</w:t>
            </w:r>
          </w:p>
          <w:p w14:paraId="2EC7C8A9" w14:textId="77777777" w:rsidR="0087606E" w:rsidRPr="00F5382B" w:rsidRDefault="0087606E" w:rsidP="00641B35">
            <w:pPr>
              <w:spacing w:after="0"/>
              <w:jc w:val="left"/>
              <w:rPr>
                <w:rFonts w:eastAsia="Aptos"/>
                <w:b/>
                <w:bCs/>
                <w:noProof/>
              </w:rPr>
            </w:pPr>
            <w:r w:rsidRPr="00F5382B">
              <w:rPr>
                <w:rFonts w:eastAsia="Aptos"/>
                <w:b/>
                <w:bCs/>
                <w:noProof/>
              </w:rPr>
              <w:t>-</w:t>
            </w:r>
          </w:p>
          <w:p w14:paraId="4169BF21" w14:textId="77777777" w:rsidR="0087606E" w:rsidRPr="00F5382B" w:rsidRDefault="0087606E" w:rsidP="00641B35">
            <w:pPr>
              <w:spacing w:after="0"/>
              <w:jc w:val="left"/>
              <w:rPr>
                <w:rFonts w:eastAsia="Aptos"/>
                <w:b/>
                <w:bCs/>
                <w:noProof/>
              </w:rPr>
            </w:pPr>
            <w:r w:rsidRPr="00F5382B">
              <w:rPr>
                <w:rFonts w:eastAsia="Aptos"/>
                <w:b/>
                <w:bCs/>
                <w:noProof/>
              </w:rPr>
              <w:t xml:space="preserve">apparatus for the transmission or reception of voice, images or other data, incl. apparatus for communication in a wired or wireless network [such as a local or wide area network] (excl. telephone sets, telephones for cellular networks or for other wireless networks, base stations, apparatus for the reception, conversion and transmission or regeneration of voice, images or other data, and transmission or reception apparatus of heading 8443, 8525, 8527 or 8528) </w:t>
            </w:r>
          </w:p>
        </w:tc>
        <w:tc>
          <w:tcPr>
            <w:tcW w:w="1235" w:type="pct"/>
          </w:tcPr>
          <w:p w14:paraId="10D636A0" w14:textId="77777777" w:rsidR="0087606E" w:rsidRPr="00F5382B" w:rsidRDefault="0087606E" w:rsidP="00641B35">
            <w:pPr>
              <w:spacing w:after="0"/>
              <w:jc w:val="left"/>
              <w:rPr>
                <w:rFonts w:eastAsia="Aptos"/>
                <w:b/>
                <w:bCs/>
                <w:noProof/>
              </w:rPr>
            </w:pPr>
            <w:r w:rsidRPr="00F5382B">
              <w:rPr>
                <w:rFonts w:eastAsia="Aptos"/>
                <w:b/>
                <w:bCs/>
                <w:noProof/>
              </w:rPr>
              <w:t>851761</w:t>
            </w:r>
          </w:p>
          <w:p w14:paraId="04FA3F3E" w14:textId="77777777" w:rsidR="0087606E" w:rsidRPr="00F5382B" w:rsidRDefault="0087606E" w:rsidP="00641B35">
            <w:pPr>
              <w:spacing w:after="0"/>
              <w:jc w:val="left"/>
              <w:rPr>
                <w:rFonts w:eastAsia="Aptos"/>
                <w:b/>
                <w:bCs/>
                <w:noProof/>
              </w:rPr>
            </w:pPr>
            <w:r w:rsidRPr="00F5382B">
              <w:rPr>
                <w:rFonts w:eastAsia="Aptos"/>
                <w:b/>
                <w:bCs/>
                <w:noProof/>
              </w:rPr>
              <w:t>-</w:t>
            </w:r>
          </w:p>
          <w:p w14:paraId="0F58D9F6" w14:textId="77777777" w:rsidR="0087606E" w:rsidRPr="00F5382B" w:rsidRDefault="0087606E" w:rsidP="00641B35">
            <w:pPr>
              <w:spacing w:after="0"/>
              <w:jc w:val="left"/>
              <w:rPr>
                <w:rFonts w:eastAsia="Aptos"/>
                <w:b/>
                <w:bCs/>
                <w:noProof/>
              </w:rPr>
            </w:pPr>
            <w:r w:rsidRPr="00F5382B">
              <w:rPr>
                <w:rFonts w:eastAsia="Aptos"/>
                <w:b/>
                <w:bCs/>
                <w:noProof/>
              </w:rPr>
              <w:t xml:space="preserve">base stations of apparatus for the transmission or reception of voice, images or other data </w:t>
            </w:r>
          </w:p>
        </w:tc>
        <w:tc>
          <w:tcPr>
            <w:tcW w:w="1303" w:type="pct"/>
          </w:tcPr>
          <w:p w14:paraId="5EAE5AD4" w14:textId="77777777" w:rsidR="0087606E" w:rsidRPr="00F5382B" w:rsidRDefault="0087606E" w:rsidP="00641B35">
            <w:pPr>
              <w:spacing w:after="0"/>
              <w:jc w:val="left"/>
              <w:rPr>
                <w:rFonts w:eastAsia="Aptos"/>
                <w:b/>
                <w:bCs/>
                <w:noProof/>
              </w:rPr>
            </w:pPr>
            <w:r w:rsidRPr="00F5382B">
              <w:rPr>
                <w:rFonts w:eastAsia="Aptos"/>
                <w:b/>
                <w:bCs/>
                <w:noProof/>
              </w:rPr>
              <w:t>851762</w:t>
            </w:r>
          </w:p>
          <w:p w14:paraId="61DF5426" w14:textId="77777777" w:rsidR="0087606E" w:rsidRPr="00F5382B" w:rsidRDefault="0087606E" w:rsidP="00641B35">
            <w:pPr>
              <w:spacing w:after="0"/>
              <w:jc w:val="left"/>
              <w:rPr>
                <w:rFonts w:eastAsia="Aptos"/>
                <w:b/>
                <w:bCs/>
                <w:noProof/>
              </w:rPr>
            </w:pPr>
            <w:r w:rsidRPr="00F5382B">
              <w:rPr>
                <w:rFonts w:eastAsia="Aptos"/>
                <w:b/>
                <w:bCs/>
                <w:noProof/>
              </w:rPr>
              <w:t>-</w:t>
            </w:r>
          </w:p>
          <w:p w14:paraId="4FAC2D8A" w14:textId="77777777" w:rsidR="0087606E" w:rsidRPr="00F5382B" w:rsidRDefault="0087606E" w:rsidP="00641B35">
            <w:pPr>
              <w:spacing w:after="0"/>
              <w:jc w:val="left"/>
              <w:rPr>
                <w:rFonts w:eastAsia="Aptos"/>
                <w:b/>
                <w:bCs/>
                <w:noProof/>
              </w:rPr>
            </w:pPr>
            <w:r w:rsidRPr="00F5382B">
              <w:rPr>
                <w:rFonts w:eastAsia="Aptos"/>
                <w:b/>
                <w:bCs/>
                <w:noProof/>
              </w:rPr>
              <w:t>machines for the reception, conversion and transmission or regeneration of voice, images or other data, incl. switching and routing apparatus (excl. telephone sets, telephones for cellular networks or for other wireless networks)</w:t>
            </w:r>
          </w:p>
        </w:tc>
      </w:tr>
      <w:tr w:rsidR="0087606E" w:rsidRPr="00F5382B" w14:paraId="32671D10" w14:textId="77777777" w:rsidTr="00641B35">
        <w:tc>
          <w:tcPr>
            <w:tcW w:w="1032" w:type="pct"/>
          </w:tcPr>
          <w:p w14:paraId="3053B0CD" w14:textId="77777777" w:rsidR="0087606E" w:rsidRPr="00F5382B" w:rsidRDefault="0087606E" w:rsidP="00641B35">
            <w:pPr>
              <w:spacing w:after="0"/>
              <w:jc w:val="left"/>
              <w:rPr>
                <w:rFonts w:eastAsia="Aptos"/>
                <w:noProof/>
              </w:rPr>
            </w:pPr>
            <w:r w:rsidRPr="00F5382B">
              <w:rPr>
                <w:rFonts w:eastAsia="Aptos"/>
                <w:noProof/>
              </w:rPr>
              <w:t>2020</w:t>
            </w:r>
          </w:p>
        </w:tc>
        <w:tc>
          <w:tcPr>
            <w:tcW w:w="1430" w:type="pct"/>
          </w:tcPr>
          <w:p w14:paraId="15B272BB" w14:textId="77777777" w:rsidR="0087606E" w:rsidRPr="00F5382B" w:rsidRDefault="0087606E" w:rsidP="00641B35">
            <w:pPr>
              <w:spacing w:after="0"/>
              <w:jc w:val="left"/>
              <w:rPr>
                <w:rFonts w:eastAsia="Aptos"/>
                <w:noProof/>
              </w:rPr>
            </w:pPr>
            <w:r w:rsidRPr="00F5382B">
              <w:rPr>
                <w:rFonts w:eastAsia="Aptos"/>
                <w:noProof/>
              </w:rPr>
              <w:t>570 982</w:t>
            </w:r>
          </w:p>
        </w:tc>
        <w:tc>
          <w:tcPr>
            <w:tcW w:w="1235" w:type="pct"/>
          </w:tcPr>
          <w:p w14:paraId="79E823A2" w14:textId="77777777" w:rsidR="0087606E" w:rsidRPr="00F5382B" w:rsidRDefault="0087606E" w:rsidP="00641B35">
            <w:pPr>
              <w:spacing w:after="0"/>
              <w:jc w:val="left"/>
              <w:rPr>
                <w:rFonts w:eastAsia="Aptos"/>
                <w:noProof/>
              </w:rPr>
            </w:pPr>
            <w:r w:rsidRPr="00F5382B">
              <w:rPr>
                <w:rFonts w:eastAsia="Aptos"/>
                <w:noProof/>
              </w:rPr>
              <w:t>101 071</w:t>
            </w:r>
          </w:p>
        </w:tc>
        <w:tc>
          <w:tcPr>
            <w:tcW w:w="1303" w:type="pct"/>
          </w:tcPr>
          <w:p w14:paraId="59ABE46D" w14:textId="77777777" w:rsidR="0087606E" w:rsidRPr="00F5382B" w:rsidRDefault="0087606E" w:rsidP="00641B35">
            <w:pPr>
              <w:spacing w:after="0"/>
              <w:jc w:val="left"/>
              <w:rPr>
                <w:rFonts w:eastAsia="Aptos"/>
                <w:noProof/>
              </w:rPr>
            </w:pPr>
            <w:r w:rsidRPr="00F5382B">
              <w:rPr>
                <w:rFonts w:eastAsia="Aptos"/>
                <w:noProof/>
              </w:rPr>
              <w:t>15 651 992</w:t>
            </w:r>
          </w:p>
        </w:tc>
      </w:tr>
      <w:tr w:rsidR="0087606E" w:rsidRPr="00F5382B" w14:paraId="2BFDC5B2" w14:textId="77777777" w:rsidTr="00641B35">
        <w:tc>
          <w:tcPr>
            <w:tcW w:w="1032" w:type="pct"/>
          </w:tcPr>
          <w:p w14:paraId="38D2C521" w14:textId="77777777" w:rsidR="0087606E" w:rsidRPr="00F5382B" w:rsidRDefault="0087606E" w:rsidP="00641B35">
            <w:pPr>
              <w:spacing w:after="0"/>
              <w:jc w:val="left"/>
              <w:rPr>
                <w:rFonts w:eastAsia="Aptos"/>
                <w:noProof/>
              </w:rPr>
            </w:pPr>
            <w:r w:rsidRPr="00F5382B">
              <w:rPr>
                <w:rFonts w:eastAsia="Aptos"/>
                <w:noProof/>
              </w:rPr>
              <w:t>2021</w:t>
            </w:r>
          </w:p>
        </w:tc>
        <w:tc>
          <w:tcPr>
            <w:tcW w:w="1430" w:type="pct"/>
          </w:tcPr>
          <w:p w14:paraId="08E1666C" w14:textId="77777777" w:rsidR="0087606E" w:rsidRPr="00F5382B" w:rsidRDefault="0087606E" w:rsidP="00641B35">
            <w:pPr>
              <w:spacing w:after="0"/>
              <w:jc w:val="left"/>
              <w:rPr>
                <w:rFonts w:eastAsia="Aptos"/>
                <w:noProof/>
              </w:rPr>
            </w:pPr>
            <w:r w:rsidRPr="00F5382B">
              <w:rPr>
                <w:rFonts w:eastAsia="Aptos"/>
                <w:noProof/>
              </w:rPr>
              <w:t>589 006</w:t>
            </w:r>
          </w:p>
        </w:tc>
        <w:tc>
          <w:tcPr>
            <w:tcW w:w="1235" w:type="pct"/>
          </w:tcPr>
          <w:p w14:paraId="4A22F222" w14:textId="77777777" w:rsidR="0087606E" w:rsidRPr="00F5382B" w:rsidRDefault="0087606E" w:rsidP="00641B35">
            <w:pPr>
              <w:spacing w:after="0"/>
              <w:jc w:val="left"/>
              <w:rPr>
                <w:rFonts w:eastAsia="Aptos"/>
                <w:noProof/>
              </w:rPr>
            </w:pPr>
            <w:r w:rsidRPr="00F5382B">
              <w:rPr>
                <w:rFonts w:eastAsia="Aptos"/>
                <w:noProof/>
              </w:rPr>
              <w:t>214 897</w:t>
            </w:r>
          </w:p>
        </w:tc>
        <w:tc>
          <w:tcPr>
            <w:tcW w:w="1303" w:type="pct"/>
          </w:tcPr>
          <w:p w14:paraId="39AFE555" w14:textId="77777777" w:rsidR="0087606E" w:rsidRPr="00F5382B" w:rsidRDefault="0087606E" w:rsidP="00641B35">
            <w:pPr>
              <w:spacing w:after="0"/>
              <w:jc w:val="left"/>
              <w:rPr>
                <w:rFonts w:eastAsia="Aptos"/>
                <w:noProof/>
              </w:rPr>
            </w:pPr>
            <w:r w:rsidRPr="00F5382B">
              <w:rPr>
                <w:rFonts w:eastAsia="Aptos"/>
                <w:noProof/>
              </w:rPr>
              <w:t>16 127 974</w:t>
            </w:r>
          </w:p>
        </w:tc>
      </w:tr>
      <w:tr w:rsidR="0087606E" w:rsidRPr="00F5382B" w14:paraId="4A3FEBE0" w14:textId="77777777" w:rsidTr="00641B35">
        <w:tc>
          <w:tcPr>
            <w:tcW w:w="1032" w:type="pct"/>
          </w:tcPr>
          <w:p w14:paraId="41961302" w14:textId="77777777" w:rsidR="0087606E" w:rsidRPr="00F5382B" w:rsidRDefault="0087606E" w:rsidP="00641B35">
            <w:pPr>
              <w:spacing w:after="0"/>
              <w:jc w:val="left"/>
              <w:rPr>
                <w:rFonts w:eastAsia="Aptos"/>
                <w:noProof/>
              </w:rPr>
            </w:pPr>
            <w:r w:rsidRPr="00F5382B">
              <w:rPr>
                <w:rFonts w:eastAsia="Aptos"/>
                <w:noProof/>
              </w:rPr>
              <w:t>2022</w:t>
            </w:r>
          </w:p>
        </w:tc>
        <w:tc>
          <w:tcPr>
            <w:tcW w:w="1430" w:type="pct"/>
          </w:tcPr>
          <w:p w14:paraId="3564094C" w14:textId="77777777" w:rsidR="0087606E" w:rsidRPr="00F5382B" w:rsidRDefault="0087606E" w:rsidP="00641B35">
            <w:pPr>
              <w:spacing w:after="0"/>
              <w:jc w:val="left"/>
              <w:rPr>
                <w:rFonts w:eastAsia="Aptos"/>
                <w:noProof/>
              </w:rPr>
            </w:pPr>
            <w:r w:rsidRPr="00F5382B">
              <w:rPr>
                <w:rFonts w:eastAsia="Aptos"/>
                <w:noProof/>
              </w:rPr>
              <w:t>771 210</w:t>
            </w:r>
          </w:p>
        </w:tc>
        <w:tc>
          <w:tcPr>
            <w:tcW w:w="1235" w:type="pct"/>
          </w:tcPr>
          <w:p w14:paraId="59C56CB8" w14:textId="77777777" w:rsidR="0087606E" w:rsidRPr="00F5382B" w:rsidRDefault="0087606E" w:rsidP="00641B35">
            <w:pPr>
              <w:spacing w:after="0"/>
              <w:jc w:val="left"/>
              <w:rPr>
                <w:rFonts w:eastAsia="Aptos"/>
                <w:noProof/>
              </w:rPr>
            </w:pPr>
            <w:r w:rsidRPr="00F5382B">
              <w:rPr>
                <w:rFonts w:eastAsia="Aptos"/>
                <w:noProof/>
              </w:rPr>
              <w:t>219 651</w:t>
            </w:r>
          </w:p>
        </w:tc>
        <w:tc>
          <w:tcPr>
            <w:tcW w:w="1303" w:type="pct"/>
          </w:tcPr>
          <w:p w14:paraId="05E8ACF5" w14:textId="77777777" w:rsidR="0087606E" w:rsidRPr="00F5382B" w:rsidRDefault="0087606E" w:rsidP="00641B35">
            <w:pPr>
              <w:spacing w:after="0"/>
              <w:jc w:val="left"/>
              <w:rPr>
                <w:rFonts w:eastAsia="Aptos"/>
                <w:noProof/>
              </w:rPr>
            </w:pPr>
            <w:r w:rsidRPr="00F5382B">
              <w:rPr>
                <w:rFonts w:eastAsia="Aptos"/>
                <w:noProof/>
              </w:rPr>
              <w:t>18 025 455</w:t>
            </w:r>
          </w:p>
        </w:tc>
      </w:tr>
      <w:tr w:rsidR="0087606E" w:rsidRPr="00F5382B" w14:paraId="47237A24" w14:textId="77777777" w:rsidTr="00641B35">
        <w:tc>
          <w:tcPr>
            <w:tcW w:w="1032" w:type="pct"/>
          </w:tcPr>
          <w:p w14:paraId="1148C50C" w14:textId="77777777" w:rsidR="0087606E" w:rsidRPr="00F5382B" w:rsidRDefault="0087606E" w:rsidP="00641B35">
            <w:pPr>
              <w:spacing w:after="0"/>
              <w:jc w:val="left"/>
              <w:rPr>
                <w:rFonts w:eastAsia="Aptos"/>
                <w:noProof/>
              </w:rPr>
            </w:pPr>
            <w:r w:rsidRPr="00F5382B">
              <w:rPr>
                <w:rFonts w:eastAsia="Aptos"/>
                <w:noProof/>
              </w:rPr>
              <w:t>2023</w:t>
            </w:r>
          </w:p>
        </w:tc>
        <w:tc>
          <w:tcPr>
            <w:tcW w:w="1430" w:type="pct"/>
          </w:tcPr>
          <w:p w14:paraId="2FBC1A94" w14:textId="77777777" w:rsidR="0087606E" w:rsidRPr="00F5382B" w:rsidRDefault="0087606E" w:rsidP="00641B35">
            <w:pPr>
              <w:spacing w:after="0"/>
              <w:jc w:val="left"/>
              <w:rPr>
                <w:rFonts w:eastAsia="Aptos"/>
                <w:noProof/>
              </w:rPr>
            </w:pPr>
            <w:r w:rsidRPr="00F5382B">
              <w:rPr>
                <w:rFonts w:eastAsia="Aptos"/>
                <w:noProof/>
              </w:rPr>
              <w:t>577 615</w:t>
            </w:r>
          </w:p>
        </w:tc>
        <w:tc>
          <w:tcPr>
            <w:tcW w:w="1235" w:type="pct"/>
          </w:tcPr>
          <w:p w14:paraId="5E54629A" w14:textId="77777777" w:rsidR="0087606E" w:rsidRPr="00F5382B" w:rsidRDefault="0087606E" w:rsidP="00641B35">
            <w:pPr>
              <w:spacing w:after="0"/>
              <w:jc w:val="left"/>
              <w:rPr>
                <w:rFonts w:eastAsia="Aptos"/>
                <w:noProof/>
              </w:rPr>
            </w:pPr>
            <w:r w:rsidRPr="00F5382B">
              <w:rPr>
                <w:rFonts w:eastAsia="Aptos"/>
                <w:noProof/>
              </w:rPr>
              <w:t>200 374</w:t>
            </w:r>
          </w:p>
        </w:tc>
        <w:tc>
          <w:tcPr>
            <w:tcW w:w="1303" w:type="pct"/>
          </w:tcPr>
          <w:p w14:paraId="665788AE" w14:textId="77777777" w:rsidR="0087606E" w:rsidRPr="00F5382B" w:rsidRDefault="0087606E" w:rsidP="00641B35">
            <w:pPr>
              <w:spacing w:after="0"/>
              <w:jc w:val="left"/>
              <w:rPr>
                <w:rFonts w:eastAsia="Aptos"/>
                <w:noProof/>
              </w:rPr>
            </w:pPr>
            <w:r w:rsidRPr="00F5382B">
              <w:rPr>
                <w:rFonts w:eastAsia="Aptos"/>
                <w:noProof/>
              </w:rPr>
              <w:t>14 938 139</w:t>
            </w:r>
          </w:p>
        </w:tc>
      </w:tr>
      <w:tr w:rsidR="0087606E" w:rsidRPr="00F5382B" w14:paraId="45189CBA" w14:textId="77777777" w:rsidTr="00641B35">
        <w:tc>
          <w:tcPr>
            <w:tcW w:w="1032" w:type="pct"/>
          </w:tcPr>
          <w:p w14:paraId="37118561" w14:textId="77777777" w:rsidR="0087606E" w:rsidRPr="00F5382B" w:rsidRDefault="0087606E" w:rsidP="00641B35">
            <w:pPr>
              <w:spacing w:after="0"/>
              <w:jc w:val="left"/>
              <w:rPr>
                <w:rFonts w:eastAsia="Aptos"/>
                <w:noProof/>
              </w:rPr>
            </w:pPr>
            <w:r w:rsidRPr="00F5382B">
              <w:rPr>
                <w:rFonts w:eastAsia="Aptos"/>
                <w:noProof/>
              </w:rPr>
              <w:t>2024</w:t>
            </w:r>
          </w:p>
        </w:tc>
        <w:tc>
          <w:tcPr>
            <w:tcW w:w="1430" w:type="pct"/>
          </w:tcPr>
          <w:p w14:paraId="3636ACF6" w14:textId="77777777" w:rsidR="0087606E" w:rsidRPr="00F5382B" w:rsidRDefault="0087606E" w:rsidP="00641B35">
            <w:pPr>
              <w:spacing w:after="0"/>
              <w:jc w:val="left"/>
              <w:rPr>
                <w:rFonts w:eastAsia="Aptos"/>
                <w:noProof/>
              </w:rPr>
            </w:pPr>
            <w:r w:rsidRPr="00F5382B">
              <w:rPr>
                <w:rFonts w:eastAsia="Aptos"/>
                <w:noProof/>
              </w:rPr>
              <w:t>609 043</w:t>
            </w:r>
          </w:p>
        </w:tc>
        <w:tc>
          <w:tcPr>
            <w:tcW w:w="1235" w:type="pct"/>
          </w:tcPr>
          <w:p w14:paraId="6A962139" w14:textId="77777777" w:rsidR="0087606E" w:rsidRPr="00F5382B" w:rsidRDefault="0087606E" w:rsidP="00641B35">
            <w:pPr>
              <w:spacing w:after="0"/>
              <w:jc w:val="left"/>
              <w:rPr>
                <w:rFonts w:eastAsia="Aptos"/>
                <w:noProof/>
              </w:rPr>
            </w:pPr>
            <w:r w:rsidRPr="00F5382B">
              <w:rPr>
                <w:rFonts w:eastAsia="Aptos"/>
                <w:noProof/>
              </w:rPr>
              <w:t>114 293</w:t>
            </w:r>
          </w:p>
        </w:tc>
        <w:tc>
          <w:tcPr>
            <w:tcW w:w="1303" w:type="pct"/>
          </w:tcPr>
          <w:p w14:paraId="1C8568F7" w14:textId="77777777" w:rsidR="0087606E" w:rsidRPr="00F5382B" w:rsidRDefault="0087606E" w:rsidP="00641B35">
            <w:pPr>
              <w:spacing w:after="0"/>
              <w:jc w:val="left"/>
              <w:rPr>
                <w:rFonts w:eastAsia="Aptos"/>
                <w:noProof/>
              </w:rPr>
            </w:pPr>
            <w:r w:rsidRPr="00F5382B">
              <w:rPr>
                <w:rFonts w:eastAsia="Aptos"/>
                <w:noProof/>
              </w:rPr>
              <w:t>12 141 236</w:t>
            </w:r>
          </w:p>
        </w:tc>
      </w:tr>
    </w:tbl>
    <w:p w14:paraId="5C4172F8" w14:textId="77777777" w:rsidR="0087606E" w:rsidRPr="00EE3DF9" w:rsidRDefault="0087606E" w:rsidP="0087606E">
      <w:pPr>
        <w:spacing w:after="0" w:line="259" w:lineRule="auto"/>
        <w:jc w:val="left"/>
        <w:rPr>
          <w:rFonts w:eastAsia="Aptos"/>
          <w:noProof/>
          <w:kern w:val="2"/>
          <w:sz w:val="22"/>
          <w:szCs w:val="22"/>
          <w:lang w:val="fr-BE"/>
        </w:rPr>
      </w:pPr>
      <w:r w:rsidRPr="00EE3DF9">
        <w:rPr>
          <w:rFonts w:eastAsia="Aptos"/>
          <w:noProof/>
          <w:kern w:val="2"/>
          <w:sz w:val="22"/>
          <w:szCs w:val="22"/>
          <w:lang w:val="fr-BE"/>
        </w:rPr>
        <w:t>Values in 1000 EUR</w:t>
      </w:r>
    </w:p>
    <w:p w14:paraId="26B6F027" w14:textId="3CDD139C" w:rsidR="00EE3DF9" w:rsidRPr="00F5382B" w:rsidRDefault="0087606E" w:rsidP="00EE3DF9">
      <w:pPr>
        <w:pStyle w:val="FootnoteText"/>
        <w:rPr>
          <w:noProof/>
          <w:sz w:val="24"/>
          <w:szCs w:val="24"/>
        </w:rPr>
      </w:pPr>
      <w:r w:rsidRPr="00EE3DF9">
        <w:rPr>
          <w:rFonts w:eastAsia="Aptos"/>
          <w:noProof/>
          <w:kern w:val="2"/>
          <w:sz w:val="22"/>
          <w:szCs w:val="22"/>
          <w:lang w:val="fr-BE"/>
        </w:rPr>
        <w:t>Source: ESTAT Comext</w:t>
      </w:r>
    </w:p>
    <w:p w14:paraId="01323B85" w14:textId="77777777" w:rsidR="00EE3DF9" w:rsidRPr="00F5382B" w:rsidRDefault="00EE3DF9" w:rsidP="00EE3DF9">
      <w:pPr>
        <w:spacing w:after="0"/>
        <w:rPr>
          <w:noProof/>
          <w:lang w:val="en-IE"/>
        </w:rPr>
        <w:sectPr w:rsidR="00EE3DF9" w:rsidRPr="00F5382B" w:rsidSect="00EE3DF9">
          <w:headerReference w:type="default" r:id="rId82"/>
          <w:footerReference w:type="default" r:id="rId83"/>
          <w:headerReference w:type="first" r:id="rId84"/>
          <w:footerReference w:type="first" r:id="rId85"/>
          <w:pgSz w:w="16838" w:h="11906" w:orient="landscape"/>
          <w:pgMar w:top="1440" w:right="1440" w:bottom="1440" w:left="1440" w:header="601" w:footer="1077" w:gutter="0"/>
          <w:cols w:space="720"/>
          <w:titlePg/>
          <w:docGrid w:linePitch="326"/>
        </w:sectPr>
      </w:pPr>
      <w:bookmarkStart w:id="342" w:name="_Toc210934648"/>
      <w:bookmarkStart w:id="343" w:name="_Toc210937986"/>
      <w:bookmarkStart w:id="344" w:name="_Toc210939832"/>
      <w:bookmarkEnd w:id="342"/>
      <w:bookmarkEnd w:id="343"/>
      <w:bookmarkEnd w:id="344"/>
    </w:p>
    <w:p w14:paraId="7F220CD1" w14:textId="77777777" w:rsidR="00EE3DF9" w:rsidRPr="00F5382B" w:rsidRDefault="00EE3DF9" w:rsidP="00EE3DF9">
      <w:pPr>
        <w:pStyle w:val="AnnexTitle0"/>
        <w:rPr>
          <w:noProof/>
        </w:rPr>
      </w:pPr>
      <w:bookmarkStart w:id="345" w:name="_Toc195101111"/>
      <w:bookmarkStart w:id="346" w:name="_Toc207027976"/>
      <w:bookmarkStart w:id="347" w:name="_Toc218767785"/>
      <w:bookmarkStart w:id="348" w:name="_Toc219039511"/>
      <w:bookmarkStart w:id="349" w:name="_Toc219447414"/>
      <w:r w:rsidRPr="00F5382B">
        <w:rPr>
          <w:noProof/>
        </w:rPr>
        <w:t>Annex 5: Competitiveness check</w:t>
      </w:r>
      <w:bookmarkEnd w:id="345"/>
      <w:bookmarkEnd w:id="346"/>
      <w:bookmarkEnd w:id="347"/>
      <w:bookmarkEnd w:id="348"/>
      <w:bookmarkEnd w:id="349"/>
    </w:p>
    <w:p w14:paraId="5852B446" w14:textId="77777777" w:rsidR="00EE3DF9" w:rsidRPr="00F5382B" w:rsidRDefault="00EE3DF9" w:rsidP="00D52AD8">
      <w:pPr>
        <w:numPr>
          <w:ilvl w:val="0"/>
          <w:numId w:val="111"/>
        </w:numPr>
        <w:spacing w:after="120"/>
        <w:textAlignment w:val="baseline"/>
        <w:rPr>
          <w:rFonts w:eastAsia="Times New Roman"/>
          <w:noProof/>
          <w:lang w:val="en-IE" w:eastAsia="en-IE"/>
        </w:rPr>
      </w:pPr>
      <w:r w:rsidRPr="00F5382B">
        <w:rPr>
          <w:rFonts w:eastAsia="Times New Roman"/>
          <w:b/>
          <w:bCs/>
          <w:smallCaps/>
          <w:noProof/>
          <w:lang w:eastAsia="en-IE"/>
        </w:rPr>
        <w:t>Overview of impacts on competitiveness </w:t>
      </w:r>
      <w:r w:rsidRPr="00F5382B">
        <w:rPr>
          <w:rFonts w:eastAsia="Times New Roman"/>
          <w:noProof/>
          <w:lang w:val="en-IE" w:eastAsia="en-IE"/>
        </w:rPr>
        <w:t> </w:t>
      </w:r>
    </w:p>
    <w:p w14:paraId="77DABAAB" w14:textId="50C78153" w:rsidR="00EE3DF9" w:rsidRPr="00F5382B" w:rsidRDefault="00EE3DF9" w:rsidP="00EE3DF9">
      <w:pPr>
        <w:pStyle w:val="Heading5"/>
        <w:rPr>
          <w:rFonts w:eastAsia="Times New Roman"/>
          <w:noProof/>
          <w:lang w:val="en-IE" w:eastAsia="en-IE"/>
        </w:rPr>
      </w:pPr>
      <w:bookmarkStart w:id="350" w:name="_Toc218767810"/>
      <w:r w:rsidRPr="00F5382B">
        <w:rPr>
          <w:noProof/>
          <w:lang w:eastAsia="en-IE"/>
        </w:rPr>
        <w:t>Table 1</w:t>
      </w:r>
      <w:r w:rsidR="00D73631">
        <w:rPr>
          <w:noProof/>
          <w:lang w:eastAsia="en-IE"/>
        </w:rPr>
        <w:t>7</w:t>
      </w:r>
      <w:r w:rsidRPr="00F5382B">
        <w:rPr>
          <w:noProof/>
          <w:lang w:eastAsia="en-IE"/>
        </w:rPr>
        <w:t>: Overview of impacts on competitiveness</w:t>
      </w:r>
      <w:bookmarkEnd w:id="350"/>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4"/>
        <w:gridCol w:w="2402"/>
        <w:gridCol w:w="3576"/>
      </w:tblGrid>
      <w:tr w:rsidR="00EE3DF9" w:rsidRPr="00F5382B" w14:paraId="05AE890B" w14:textId="77777777">
        <w:trPr>
          <w:trHeight w:val="300"/>
        </w:trPr>
        <w:tc>
          <w:tcPr>
            <w:tcW w:w="3270" w:type="dxa"/>
            <w:tcBorders>
              <w:top w:val="single" w:sz="6" w:space="0" w:color="auto"/>
              <w:left w:val="single" w:sz="6" w:space="0" w:color="auto"/>
              <w:bottom w:val="single" w:sz="6" w:space="0" w:color="auto"/>
              <w:right w:val="single" w:sz="6" w:space="0" w:color="auto"/>
            </w:tcBorders>
            <w:vAlign w:val="center"/>
            <w:hideMark/>
          </w:tcPr>
          <w:p w14:paraId="1D3818C6"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noProof/>
                <w:lang w:val="en-IE" w:eastAsia="en-IE"/>
              </w:rPr>
              <w:t>Dimensions of Competitiveness</w:t>
            </w:r>
            <w:r w:rsidRPr="00F5382B">
              <w:rPr>
                <w:rFonts w:eastAsia="Times New Roman"/>
                <w:noProof/>
                <w:lang w:val="en-IE" w:eastAsia="en-IE"/>
              </w:rPr>
              <w:t> </w:t>
            </w:r>
          </w:p>
        </w:tc>
        <w:tc>
          <w:tcPr>
            <w:tcW w:w="2625" w:type="dxa"/>
            <w:tcBorders>
              <w:top w:val="single" w:sz="6" w:space="0" w:color="auto"/>
              <w:left w:val="single" w:sz="6" w:space="0" w:color="auto"/>
              <w:bottom w:val="single" w:sz="6" w:space="0" w:color="auto"/>
              <w:right w:val="single" w:sz="6" w:space="0" w:color="auto"/>
            </w:tcBorders>
            <w:vAlign w:val="center"/>
            <w:hideMark/>
          </w:tcPr>
          <w:p w14:paraId="0C1B3814"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noProof/>
                <w:lang w:val="en-IE" w:eastAsia="en-IE"/>
              </w:rPr>
              <w:t>Impact of the initiative</w:t>
            </w:r>
            <w:r w:rsidRPr="00F5382B">
              <w:rPr>
                <w:rFonts w:eastAsia="Times New Roman"/>
                <w:noProof/>
                <w:lang w:val="en-IE" w:eastAsia="en-IE"/>
              </w:rPr>
              <w:t> </w:t>
            </w:r>
          </w:p>
          <w:p w14:paraId="0B430A12"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noProof/>
                <w:lang w:val="en-IE" w:eastAsia="en-IE"/>
              </w:rPr>
              <w:t>(++ / + / 0 / - / -- / n.a.)</w:t>
            </w:r>
            <w:r w:rsidRPr="00F5382B">
              <w:rPr>
                <w:rFonts w:eastAsia="Times New Roman"/>
                <w:noProof/>
                <w:lang w:val="en-IE" w:eastAsia="en-IE"/>
              </w:rPr>
              <w:t>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25E60DDC" w14:textId="77777777" w:rsidR="00EE3DF9" w:rsidRPr="00F5382B" w:rsidRDefault="00EE3DF9">
            <w:pPr>
              <w:spacing w:after="0"/>
              <w:jc w:val="center"/>
              <w:textAlignment w:val="baseline"/>
              <w:rPr>
                <w:rFonts w:eastAsia="Times New Roman"/>
                <w:noProof/>
                <w:lang w:val="en-IE" w:eastAsia="en-IE"/>
              </w:rPr>
            </w:pPr>
            <w:r w:rsidRPr="00F5382B">
              <w:rPr>
                <w:rFonts w:eastAsia="Times New Roman"/>
                <w:b/>
                <w:noProof/>
                <w:lang w:val="en-IE" w:eastAsia="en-IE"/>
              </w:rPr>
              <w:t>References to sub-sections of the main report or annexes</w:t>
            </w:r>
            <w:r w:rsidRPr="00F5382B">
              <w:rPr>
                <w:rFonts w:eastAsia="Times New Roman"/>
                <w:noProof/>
                <w:lang w:val="en-IE" w:eastAsia="en-IE"/>
              </w:rPr>
              <w:t> </w:t>
            </w:r>
          </w:p>
        </w:tc>
      </w:tr>
      <w:tr w:rsidR="00EE3DF9" w:rsidRPr="00F5382B" w14:paraId="6714B368" w14:textId="77777777">
        <w:trPr>
          <w:trHeight w:val="300"/>
        </w:trPr>
        <w:tc>
          <w:tcPr>
            <w:tcW w:w="3270" w:type="dxa"/>
            <w:tcBorders>
              <w:top w:val="single" w:sz="6" w:space="0" w:color="auto"/>
              <w:left w:val="single" w:sz="6" w:space="0" w:color="auto"/>
              <w:bottom w:val="single" w:sz="6" w:space="0" w:color="auto"/>
              <w:right w:val="single" w:sz="6" w:space="0" w:color="auto"/>
            </w:tcBorders>
            <w:vAlign w:val="center"/>
            <w:hideMark/>
          </w:tcPr>
          <w:p w14:paraId="13CC0F7D"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Cost and price competitiveness </w:t>
            </w:r>
          </w:p>
        </w:tc>
        <w:tc>
          <w:tcPr>
            <w:tcW w:w="2625" w:type="dxa"/>
            <w:tcBorders>
              <w:top w:val="single" w:sz="6" w:space="0" w:color="auto"/>
              <w:left w:val="single" w:sz="6" w:space="0" w:color="auto"/>
              <w:bottom w:val="single" w:sz="6" w:space="0" w:color="auto"/>
              <w:right w:val="single" w:sz="6" w:space="0" w:color="auto"/>
            </w:tcBorders>
            <w:vAlign w:val="center"/>
            <w:hideMark/>
          </w:tcPr>
          <w:p w14:paraId="167AF37F"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0 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05DC14C0"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Section 6 of the main report  </w:t>
            </w:r>
          </w:p>
        </w:tc>
      </w:tr>
      <w:tr w:rsidR="00EE3DF9" w:rsidRPr="00F5382B" w14:paraId="7056EBC9" w14:textId="77777777">
        <w:trPr>
          <w:trHeight w:val="300"/>
        </w:trPr>
        <w:tc>
          <w:tcPr>
            <w:tcW w:w="3270" w:type="dxa"/>
            <w:tcBorders>
              <w:top w:val="single" w:sz="6" w:space="0" w:color="auto"/>
              <w:left w:val="single" w:sz="6" w:space="0" w:color="auto"/>
              <w:bottom w:val="single" w:sz="6" w:space="0" w:color="auto"/>
              <w:right w:val="single" w:sz="6" w:space="0" w:color="auto"/>
            </w:tcBorders>
            <w:vAlign w:val="center"/>
            <w:hideMark/>
          </w:tcPr>
          <w:p w14:paraId="20339CB0"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International competitiveness  </w:t>
            </w:r>
          </w:p>
        </w:tc>
        <w:tc>
          <w:tcPr>
            <w:tcW w:w="2625" w:type="dxa"/>
            <w:tcBorders>
              <w:top w:val="single" w:sz="6" w:space="0" w:color="auto"/>
              <w:left w:val="single" w:sz="6" w:space="0" w:color="auto"/>
              <w:bottom w:val="single" w:sz="6" w:space="0" w:color="auto"/>
              <w:right w:val="single" w:sz="6" w:space="0" w:color="auto"/>
            </w:tcBorders>
            <w:vAlign w:val="center"/>
            <w:hideMark/>
          </w:tcPr>
          <w:p w14:paraId="770EC1BC"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0C2B332D"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Section 6 of the main report  </w:t>
            </w:r>
          </w:p>
        </w:tc>
      </w:tr>
      <w:tr w:rsidR="00EE3DF9" w:rsidRPr="00F5382B" w14:paraId="1FFFF5C2" w14:textId="77777777">
        <w:trPr>
          <w:trHeight w:val="300"/>
        </w:trPr>
        <w:tc>
          <w:tcPr>
            <w:tcW w:w="3270" w:type="dxa"/>
            <w:tcBorders>
              <w:top w:val="single" w:sz="6" w:space="0" w:color="auto"/>
              <w:left w:val="single" w:sz="6" w:space="0" w:color="auto"/>
              <w:bottom w:val="single" w:sz="6" w:space="0" w:color="auto"/>
              <w:right w:val="single" w:sz="6" w:space="0" w:color="auto"/>
            </w:tcBorders>
            <w:vAlign w:val="center"/>
            <w:hideMark/>
          </w:tcPr>
          <w:p w14:paraId="51A05ED3"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Capacity to innovate </w:t>
            </w:r>
          </w:p>
        </w:tc>
        <w:tc>
          <w:tcPr>
            <w:tcW w:w="2625" w:type="dxa"/>
            <w:tcBorders>
              <w:top w:val="single" w:sz="6" w:space="0" w:color="auto"/>
              <w:left w:val="single" w:sz="6" w:space="0" w:color="auto"/>
              <w:bottom w:val="single" w:sz="6" w:space="0" w:color="auto"/>
              <w:right w:val="single" w:sz="6" w:space="0" w:color="auto"/>
            </w:tcBorders>
            <w:vAlign w:val="center"/>
            <w:hideMark/>
          </w:tcPr>
          <w:p w14:paraId="1062B892"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0 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364F6C71"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Section 6 of the main report  </w:t>
            </w:r>
          </w:p>
        </w:tc>
      </w:tr>
      <w:tr w:rsidR="00EE3DF9" w:rsidRPr="00F5382B" w14:paraId="75E6184C" w14:textId="77777777">
        <w:trPr>
          <w:trHeight w:val="300"/>
        </w:trPr>
        <w:tc>
          <w:tcPr>
            <w:tcW w:w="3270" w:type="dxa"/>
            <w:tcBorders>
              <w:top w:val="single" w:sz="6" w:space="0" w:color="auto"/>
              <w:left w:val="single" w:sz="6" w:space="0" w:color="auto"/>
              <w:bottom w:val="single" w:sz="6" w:space="0" w:color="auto"/>
              <w:right w:val="single" w:sz="6" w:space="0" w:color="auto"/>
            </w:tcBorders>
            <w:vAlign w:val="center"/>
            <w:hideMark/>
          </w:tcPr>
          <w:p w14:paraId="3983CAA0"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SME competitiveness </w:t>
            </w:r>
          </w:p>
        </w:tc>
        <w:tc>
          <w:tcPr>
            <w:tcW w:w="2625" w:type="dxa"/>
            <w:tcBorders>
              <w:top w:val="single" w:sz="6" w:space="0" w:color="auto"/>
              <w:left w:val="single" w:sz="6" w:space="0" w:color="auto"/>
              <w:bottom w:val="single" w:sz="6" w:space="0" w:color="auto"/>
              <w:right w:val="single" w:sz="6" w:space="0" w:color="auto"/>
            </w:tcBorders>
            <w:vAlign w:val="center"/>
            <w:hideMark/>
          </w:tcPr>
          <w:p w14:paraId="100129FB"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 </w:t>
            </w:r>
          </w:p>
        </w:tc>
        <w:tc>
          <w:tcPr>
            <w:tcW w:w="3960" w:type="dxa"/>
            <w:tcBorders>
              <w:top w:val="single" w:sz="6" w:space="0" w:color="auto"/>
              <w:left w:val="single" w:sz="6" w:space="0" w:color="auto"/>
              <w:bottom w:val="single" w:sz="6" w:space="0" w:color="auto"/>
              <w:right w:val="single" w:sz="6" w:space="0" w:color="auto"/>
            </w:tcBorders>
            <w:vAlign w:val="center"/>
            <w:hideMark/>
          </w:tcPr>
          <w:p w14:paraId="17B42B19" w14:textId="77777777" w:rsidR="00EE3DF9" w:rsidRPr="00F5382B" w:rsidRDefault="00EE3DF9">
            <w:pPr>
              <w:spacing w:after="0"/>
              <w:textAlignment w:val="baseline"/>
              <w:rPr>
                <w:rFonts w:eastAsia="Times New Roman"/>
                <w:noProof/>
                <w:lang w:val="en-IE" w:eastAsia="en-IE"/>
              </w:rPr>
            </w:pPr>
            <w:r w:rsidRPr="00F5382B">
              <w:rPr>
                <w:rFonts w:eastAsia="Times New Roman"/>
                <w:noProof/>
                <w:lang w:val="en-IE" w:eastAsia="en-IE"/>
              </w:rPr>
              <w:t>Section 6 of the main report and Annex 6 </w:t>
            </w:r>
          </w:p>
        </w:tc>
      </w:tr>
    </w:tbl>
    <w:p w14:paraId="173F20FC" w14:textId="77777777" w:rsidR="00EE3DF9" w:rsidRPr="00F5382B" w:rsidRDefault="00EE3DF9" w:rsidP="00EE3DF9">
      <w:pPr>
        <w:spacing w:after="0"/>
        <w:textAlignment w:val="baseline"/>
        <w:rPr>
          <w:rFonts w:eastAsia="Times New Roman"/>
          <w:noProof/>
          <w:lang w:val="en-IE" w:eastAsia="en-IE"/>
        </w:rPr>
      </w:pPr>
      <w:r w:rsidRPr="00F5382B">
        <w:rPr>
          <w:rFonts w:eastAsia="Times New Roman"/>
          <w:noProof/>
          <w:lang w:val="en-IE" w:eastAsia="en-IE"/>
        </w:rPr>
        <w:t> </w:t>
      </w:r>
    </w:p>
    <w:p w14:paraId="6BE1234F" w14:textId="77777777" w:rsidR="00EE3DF9" w:rsidRPr="00F5382B" w:rsidRDefault="00EE3DF9" w:rsidP="00D52AD8">
      <w:pPr>
        <w:numPr>
          <w:ilvl w:val="0"/>
          <w:numId w:val="111"/>
        </w:numPr>
        <w:spacing w:after="120"/>
        <w:textAlignment w:val="baseline"/>
        <w:rPr>
          <w:rFonts w:eastAsia="Times New Roman"/>
          <w:b/>
          <w:smallCaps/>
          <w:noProof/>
          <w:lang w:eastAsia="en-IE"/>
        </w:rPr>
      </w:pPr>
      <w:r w:rsidRPr="00F5382B">
        <w:rPr>
          <w:rFonts w:eastAsia="Times New Roman"/>
          <w:b/>
          <w:bCs/>
          <w:smallCaps/>
          <w:noProof/>
          <w:lang w:eastAsia="en-IE"/>
        </w:rPr>
        <w:t>Synthetic assessment </w:t>
      </w:r>
      <w:r w:rsidRPr="00F5382B">
        <w:rPr>
          <w:rFonts w:eastAsia="Times New Roman"/>
          <w:b/>
          <w:smallCaps/>
          <w:noProof/>
          <w:lang w:eastAsia="en-IE"/>
        </w:rPr>
        <w:t> </w:t>
      </w:r>
    </w:p>
    <w:p w14:paraId="37147DA5"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In summary, the preferred option exhibits the following impacts on EU business competitiveness:</w:t>
      </w:r>
      <w:r w:rsidRPr="00F5382B">
        <w:rPr>
          <w:rFonts w:eastAsia="Times New Roman"/>
          <w:noProof/>
          <w:lang w:val="en-IE" w:eastAsia="en-IE"/>
        </w:rPr>
        <w:t> </w:t>
      </w:r>
    </w:p>
    <w:p w14:paraId="2824E4CE" w14:textId="77777777" w:rsidR="00EE3DF9" w:rsidRPr="00F5382B" w:rsidRDefault="00EE3DF9" w:rsidP="00EE3DF9">
      <w:pPr>
        <w:numPr>
          <w:ilvl w:val="0"/>
          <w:numId w:val="54"/>
        </w:numPr>
        <w:spacing w:after="120"/>
        <w:ind w:left="426"/>
        <w:textAlignment w:val="baseline"/>
        <w:rPr>
          <w:rFonts w:eastAsia="Times New Roman"/>
          <w:noProof/>
          <w:lang w:val="en-IE" w:eastAsia="en-IE"/>
        </w:rPr>
      </w:pPr>
      <w:r w:rsidRPr="00F5382B">
        <w:rPr>
          <w:rFonts w:eastAsia="Times New Roman"/>
          <w:noProof/>
          <w:lang w:eastAsia="en-IE"/>
        </w:rPr>
        <w:t>In terms of cost and price competitiveness the initiative is expected to have a neutral impact, indicating that significant changes in compliance or operational costs are not anticipated.</w:t>
      </w:r>
      <w:r w:rsidRPr="00F5382B">
        <w:rPr>
          <w:rFonts w:eastAsia="Times New Roman"/>
          <w:noProof/>
          <w:lang w:val="en-IE" w:eastAsia="en-IE"/>
        </w:rPr>
        <w:t> </w:t>
      </w:r>
    </w:p>
    <w:p w14:paraId="2A6A7FB7" w14:textId="77777777" w:rsidR="00EE3DF9" w:rsidRPr="00F5382B" w:rsidRDefault="00EE3DF9" w:rsidP="00EE3DF9">
      <w:pPr>
        <w:numPr>
          <w:ilvl w:val="0"/>
          <w:numId w:val="55"/>
        </w:numPr>
        <w:spacing w:after="120"/>
        <w:ind w:left="426"/>
        <w:textAlignment w:val="baseline"/>
        <w:rPr>
          <w:rFonts w:eastAsia="Times New Roman"/>
          <w:noProof/>
          <w:lang w:val="en-IE" w:eastAsia="en-IE"/>
        </w:rPr>
      </w:pPr>
      <w:r w:rsidRPr="00F5382B">
        <w:rPr>
          <w:rFonts w:eastAsia="Times New Roman"/>
          <w:noProof/>
          <w:lang w:eastAsia="en-IE"/>
        </w:rPr>
        <w:t>When it comes to the impact on international competitiveness and trade, the proposed changes are expected to enhance EU businesses’ global competitiveness, reducing financial losses and improving operational stability in case of crises. New mutual recognition agreements could facilitate cross-border trade, while new market dynamics in certification strengthen the international standing of EU Conformity Assessment Bodies (CABs), improving market access.</w:t>
      </w:r>
      <w:r w:rsidRPr="00F5382B">
        <w:rPr>
          <w:rFonts w:eastAsia="Times New Roman"/>
          <w:noProof/>
          <w:lang w:val="en-IE" w:eastAsia="en-IE"/>
        </w:rPr>
        <w:t> </w:t>
      </w:r>
    </w:p>
    <w:p w14:paraId="52B250E4" w14:textId="77777777" w:rsidR="00EE3DF9" w:rsidRPr="00F5382B" w:rsidRDefault="00EE3DF9" w:rsidP="00EE3DF9">
      <w:pPr>
        <w:numPr>
          <w:ilvl w:val="0"/>
          <w:numId w:val="56"/>
        </w:numPr>
        <w:spacing w:after="120"/>
        <w:ind w:left="426"/>
        <w:textAlignment w:val="baseline"/>
        <w:rPr>
          <w:rFonts w:eastAsia="Times New Roman"/>
          <w:noProof/>
          <w:lang w:val="en-IE" w:eastAsia="en-IE"/>
        </w:rPr>
      </w:pPr>
      <w:r w:rsidRPr="00F5382B">
        <w:rPr>
          <w:rFonts w:eastAsia="Times New Roman"/>
          <w:noProof/>
          <w:lang w:eastAsia="en-IE"/>
        </w:rPr>
        <w:t>In relation to the capacity to innovate, the initiative does not seem to influence the innovation dynamics directly, maintaining a neutral effect on research, development, and technological progress.</w:t>
      </w:r>
      <w:r w:rsidRPr="00F5382B">
        <w:rPr>
          <w:rFonts w:eastAsia="Times New Roman"/>
          <w:noProof/>
          <w:lang w:val="en-IE" w:eastAsia="en-IE"/>
        </w:rPr>
        <w:t> </w:t>
      </w:r>
    </w:p>
    <w:p w14:paraId="1DD62AA0" w14:textId="77777777" w:rsidR="00EE3DF9" w:rsidRPr="00F5382B" w:rsidRDefault="00EE3DF9" w:rsidP="00EE3DF9">
      <w:pPr>
        <w:numPr>
          <w:ilvl w:val="0"/>
          <w:numId w:val="57"/>
        </w:numPr>
        <w:spacing w:after="120"/>
        <w:ind w:left="426"/>
        <w:textAlignment w:val="baseline"/>
        <w:rPr>
          <w:rFonts w:eastAsia="Times New Roman"/>
          <w:noProof/>
          <w:lang w:val="en-IE" w:eastAsia="en-IE"/>
        </w:rPr>
      </w:pPr>
      <w:r w:rsidRPr="00F5382B">
        <w:rPr>
          <w:rFonts w:eastAsia="Times New Roman"/>
          <w:noProof/>
          <w:lang w:eastAsia="en-IE"/>
        </w:rPr>
        <w:t>In terms of SME competitiveness there are multiple aspects that could directly or indirectly generate a positive impact on SMEs. These are related to improved cybersecurity certification and cybersecurity skills attestation as well as changes to considerably simplify and streamline the current framework. All of this would enhance the competitive positioning of SMEs, in the context of an overall strengthened cybersecurity support from ENISA also in terms of awareness raising, incidents response and implementation of cybersecurity measures.</w:t>
      </w:r>
      <w:r w:rsidRPr="00F5382B">
        <w:rPr>
          <w:rFonts w:eastAsia="Times New Roman"/>
          <w:noProof/>
          <w:lang w:val="en-IE" w:eastAsia="en-IE"/>
        </w:rPr>
        <w:t> </w:t>
      </w:r>
    </w:p>
    <w:p w14:paraId="3C2DEFE7"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The preferred option could potentially favour the enhancement of the competitiveness landscape for SMEs and other economic operators throughout the EU, particularly by amplifying efficiency and operational coherence. Among the anticipated improvements is the simplification of compliance with cybersecurity requirements, a change that would reduce compliance costs for SMEs and public authorities by diminishing administrative overhead. This administrative streamlining may lead to immediate cost savings, allowing resources to be redirected towards innovation and market expansion initiatives. Additionally, the simplification of certification procedures is expected to offer advantages to businesses and certification bodies, as the ECCF reforms under option B.2 look to provide consistent and harmonised level of cybersecurity through certification across Member States, which could lighten the associated compliance and administrative burden.</w:t>
      </w:r>
      <w:r w:rsidRPr="00F5382B">
        <w:rPr>
          <w:rFonts w:eastAsia="Times New Roman"/>
          <w:noProof/>
          <w:lang w:val="en-IE" w:eastAsia="en-IE"/>
        </w:rPr>
        <w:t> </w:t>
      </w:r>
    </w:p>
    <w:p w14:paraId="49593819"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Furthermore, improving legal clarity and targeted guidance could be a critical benefit, couple with ENISA’s expanded and more focused mandate can contribute to reducing uncertainties and providing harmonised technical instructions that would be advantageous for national authorities and economic operators. These strategic enhancements could foster smoother operational cooperation on cybersecurity and related data flows across the EU, potentially strengthening the capabilities of national authorities and economic operators and facilitating new opportunities for public and private collaboration and service provision across borders.</w:t>
      </w:r>
    </w:p>
    <w:p w14:paraId="7ECA0659"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Coupled with an increased uptake of certification, these measures are anticipated to boost market confidence by establishing clearer legal frameworks. This could reduce uncertainties and encourage voluntary adherence from SMEs and economic operators, nurturing a culture of trust and reliability in digital exchanges. </w:t>
      </w:r>
      <w:r w:rsidRPr="00F5382B">
        <w:rPr>
          <w:rFonts w:ascii="Aptos" w:eastAsia="Times New Roman" w:hAnsi="Aptos"/>
          <w:noProof/>
          <w:lang w:eastAsia="en-IE"/>
        </w:rPr>
        <w:t xml:space="preserve"> </w:t>
      </w:r>
      <w:r w:rsidRPr="00F5382B">
        <w:rPr>
          <w:rFonts w:eastAsia="Times New Roman"/>
          <w:noProof/>
          <w:lang w:eastAsia="en-IE"/>
        </w:rPr>
        <w:t>Additionally, the enhanced agility of the ECCF in responding to market needs is expected to positively impact this development. The long-term efficiency gains anticipated as a result of these changes could include decreased reliance on external legal consultants and strengthened internal administrative capacities, enabling businesses to focus more on their core activities and strategic development. In essence, the proposed market intervention, particularly through harmonised certification and reporting frameworks, could dismantle barriers and facilitate seamless access to emerging markets, potentially enriching the EU market and contributing to the competitive positioning of EU businesses globally. Enhanced trust in digital services, fostered by improved certification uptake and streamlined incident reporting requirements, might spur increased consumer and business confidence, encouraging greater digital service adoption. Ultimately, the alignment with EU policy goals, including the “green oath” and REFIT principles, suggests a dedication to sustainable, simplified, and future-ready regulatory measures that may bolster economic resilience and competitiveness.</w:t>
      </w:r>
      <w:r w:rsidRPr="00F5382B">
        <w:rPr>
          <w:rFonts w:eastAsia="Times New Roman"/>
          <w:noProof/>
          <w:lang w:val="en-IE" w:eastAsia="en-IE"/>
        </w:rPr>
        <w:t> </w:t>
      </w:r>
    </w:p>
    <w:p w14:paraId="07FF3EE7" w14:textId="01081648" w:rsidR="00EE3DF9" w:rsidRPr="00F5382B" w:rsidRDefault="00EE3DF9" w:rsidP="00720684">
      <w:pPr>
        <w:spacing w:after="120"/>
        <w:rPr>
          <w:rFonts w:eastAsia="Times New Roman"/>
          <w:noProof/>
          <w:lang w:val="en-IE" w:eastAsia="en-IE"/>
        </w:rPr>
      </w:pPr>
      <w:r w:rsidRPr="00F5382B">
        <w:rPr>
          <w:rFonts w:eastAsia="Times New Roman"/>
          <w:noProof/>
          <w:lang w:eastAsia="en-IE"/>
        </w:rPr>
        <w:t>Focusing on cost and price competitiveness in particular, the proposed measures present potential benefits and challenges for businesses. Compliance costs, notably in the realm of cybersecurity requirements, may show favourable impacts, while other areas - such as the costs associated with inputs, capital, labour, production, distribution, and after-sales services - appear less impacted, suggesting neutral outcomes. Streamlined certification procedures promise reduced administrative burdens; however, they also raise the prospect of increased compliance costs, especially if stringent requirements are enforced. The competitive environment among suppliers and producers could be influenced by these developments, although current assessments indicate minimal disruption to their ability to set prices or freely advertise. The manner in which certification schemes are applied may advantage those who fulfil them, thereby affecting relative production costs across different entities. Additionally, simplifying reporting and oversight processes, facilitated by centralised databases, might lower long-term administrative expenses, thereby enhancing operational coherence and efficiency for entities navigating the regulatory environment. While these factors hold the potential to improve efficiencies in certain sectors, adapting to intensified competition and managing the costs associated with transitioning to new systems present financial challenges, particularly for SMEs. Thus, while cost and price competitiveness offer pathways to potential savings and efficiency gains, the broader impact remains reliant on the implementation of the proposed intervention across the market.</w:t>
      </w:r>
      <w:r w:rsidRPr="00F5382B">
        <w:rPr>
          <w:rFonts w:eastAsia="Times New Roman"/>
          <w:noProof/>
          <w:lang w:val="en-IE" w:eastAsia="en-IE"/>
        </w:rPr>
        <w:t xml:space="preserve"> Additionally, in the area of skills, the development of European individual attestation schemes would </w:t>
      </w:r>
      <w:r w:rsidRPr="00F5382B">
        <w:rPr>
          <w:rFonts w:eastAsia="Times New Roman"/>
          <w:noProof/>
          <w:lang w:eastAsia="en-IE"/>
        </w:rPr>
        <w:t>lead to increased visibility and recognition of</w:t>
      </w:r>
      <w:r w:rsidRPr="00F5382B">
        <w:rPr>
          <w:rFonts w:eastAsia="Times New Roman"/>
          <w:noProof/>
          <w:lang w:val="en-IE" w:eastAsia="en-IE"/>
        </w:rPr>
        <w:t xml:space="preserve"> European economic operators authorised to deliver such attestations in a market which is currently dominated by non-European providers while not excluding the latter, thereby ensuring fair competition amongst providers. </w:t>
      </w:r>
      <w:r w:rsidRPr="00F5382B">
        <w:rPr>
          <w:rFonts w:eastAsia="Times New Roman"/>
          <w:noProof/>
          <w:lang w:eastAsia="en-IE"/>
        </w:rPr>
        <w:t>Concerning the international competitiveness and impact on international trade resulting from changes introduced by the preferred option, there is the possibility of increase in European companies’ market share, as certified products or services will likely increase their overall level of cybersecurity and resilience in case of international crises, and are thus likely to gain stronger international appeal. The development of mutual recognition agreements under new certification schemes could facilitate international trade, dampen disruptions and potentially even increasing EU exports. The EU’s leadership in product certification and advances in services and process certification could further enhance the stature of EU-based Conformity Assessment Bodies resulting in new market dynamic and opportunities for EU companies. However, active monitoring of international market dynamics through risk assessments and market analyses remains crucial as these changes are implemented.</w:t>
      </w:r>
      <w:r w:rsidRPr="00F5382B">
        <w:rPr>
          <w:rFonts w:eastAsia="Times New Roman"/>
          <w:noProof/>
          <w:lang w:val="en-IE" w:eastAsia="en-IE"/>
        </w:rPr>
        <w:t> Whilst the overall high-tech import and export for the EU remains balanced, this may evolve over time and be different for specific sectors and / or products or services.</w:t>
      </w:r>
      <w:r w:rsidRPr="00F5382B">
        <w:rPr>
          <w:rStyle w:val="FootnoteReference"/>
          <w:rFonts w:eastAsia="Times New Roman"/>
          <w:noProof/>
          <w:lang w:val="en-IE" w:eastAsia="en-IE"/>
        </w:rPr>
        <w:footnoteReference w:id="216"/>
      </w:r>
      <w:r w:rsidRPr="00F5382B">
        <w:rPr>
          <w:rFonts w:eastAsia="Times New Roman"/>
          <w:noProof/>
          <w:lang w:val="en-IE" w:eastAsia="en-IE"/>
        </w:rPr>
        <w:t xml:space="preserve"> </w:t>
      </w:r>
    </w:p>
    <w:p w14:paraId="661CEA33"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The capacity to innovate within the cybersecurity landscape, within the preferred option, appears to maintain a neutral trajectory. The proposed measures do not seem to directly influence innovation dynamics, preserving the status quo in terms of research, development, and technological progress. The assessment is that the immediate capacity for innovation would remain unchanged as compliance adjustments do not directly impact the core innovation processes such as product or process innovation, nor do they significantly alter the pathways for accessing risk capital within the sector.</w:t>
      </w:r>
      <w:r w:rsidRPr="00F5382B">
        <w:rPr>
          <w:rFonts w:eastAsia="Times New Roman"/>
          <w:noProof/>
          <w:lang w:val="en-IE" w:eastAsia="en-IE"/>
        </w:rPr>
        <w:t> </w:t>
      </w:r>
    </w:p>
    <w:p w14:paraId="7E518EE6" w14:textId="381756B6" w:rsidR="00EE3DF9" w:rsidRPr="00F5382B" w:rsidRDefault="00EE3DF9" w:rsidP="00EE3DF9">
      <w:pPr>
        <w:spacing w:after="120"/>
        <w:textAlignment w:val="baseline"/>
        <w:rPr>
          <w:rFonts w:eastAsia="Times New Roman"/>
          <w:noProof/>
          <w:lang w:val="en-US" w:eastAsia="en-IE"/>
        </w:rPr>
      </w:pPr>
      <w:r w:rsidRPr="00F5382B">
        <w:rPr>
          <w:rFonts w:eastAsia="Times New Roman"/>
          <w:noProof/>
          <w:lang w:eastAsia="en-IE"/>
        </w:rPr>
        <w:t>In terms of competitiveness of SMEs, the proposed measures could significantly reduce compliance costs and streamline processes, allowing SMEs to reallocate precious resources from navigating intricate legal requirements to fuelling business growth and innovation. This reduction in administrative strain empowers SMEs to focus on their core activities, unlocking potential for expansion within and beyond Europe's borders. The emphasis on harmonisation of certification practices paves the way for greater cross-border interoperability, enabling SMEs to engage more readily in the European market whilst seizing new business prospects also in the global market. Enhanced legal clarity bolster SMEs’ resilience against cybersecurity threats, safeguarding their operational continuity and reinforcing their credibility.</w:t>
      </w:r>
      <w:r w:rsidRPr="00F5382B">
        <w:rPr>
          <w:rFonts w:eastAsia="Times New Roman"/>
          <w:noProof/>
          <w:lang w:val="en-IE" w:eastAsia="en-IE"/>
        </w:rPr>
        <w:t> </w:t>
      </w:r>
    </w:p>
    <w:p w14:paraId="19E40EBC" w14:textId="77777777" w:rsidR="00EE3DF9" w:rsidRPr="00F5382B" w:rsidRDefault="00EE3DF9" w:rsidP="00EE3DF9">
      <w:pPr>
        <w:numPr>
          <w:ilvl w:val="0"/>
          <w:numId w:val="58"/>
        </w:numPr>
        <w:spacing w:after="120"/>
        <w:ind w:left="1080"/>
        <w:textAlignment w:val="baseline"/>
        <w:rPr>
          <w:rFonts w:eastAsia="Times New Roman"/>
          <w:b/>
          <w:noProof/>
          <w:lang w:val="en-IE" w:eastAsia="en-IE"/>
        </w:rPr>
      </w:pPr>
      <w:r w:rsidRPr="00F5382B">
        <w:rPr>
          <w:rFonts w:eastAsia="Times New Roman"/>
          <w:b/>
          <w:bCs/>
          <w:smallCaps/>
          <w:noProof/>
          <w:lang w:eastAsia="en-IE"/>
        </w:rPr>
        <w:t>Competitive position of the most affected sectors</w:t>
      </w:r>
      <w:r w:rsidRPr="00F5382B">
        <w:rPr>
          <w:rFonts w:eastAsia="Times New Roman"/>
          <w:b/>
          <w:noProof/>
          <w:lang w:val="en-IE" w:eastAsia="en-IE"/>
        </w:rPr>
        <w:t> </w:t>
      </w:r>
    </w:p>
    <w:p w14:paraId="5D15FB77" w14:textId="77777777" w:rsidR="00EE3DF9" w:rsidRPr="00F5382B" w:rsidRDefault="00EE3DF9" w:rsidP="00EE3DF9">
      <w:pPr>
        <w:spacing w:after="120"/>
        <w:textAlignment w:val="baseline"/>
        <w:rPr>
          <w:rFonts w:eastAsia="Times New Roman"/>
          <w:noProof/>
          <w:lang w:val="en-IE" w:eastAsia="en-IE"/>
        </w:rPr>
      </w:pPr>
      <w:r w:rsidRPr="00F5382B">
        <w:rPr>
          <w:rFonts w:eastAsia="Times New Roman"/>
          <w:noProof/>
          <w:lang w:eastAsia="en-IE"/>
        </w:rPr>
        <w:t>The proposed measures as part of the preferred option are predominantly cross-sectoral, meaning they do not single out specific industries for direct impact. However, sectors identified as highly critical or critical under the NIS 2 Directive, such as healthcare, digital infrastructure, ICT service management, digital providers or manufacturing as well as sectors historically relying strongly on ICT solutions may experience stronger influence. These sectors, being integral to the operational infrastructure and in some case to public welfare, stand to benefit from enhanced security measures and better alignment with certification standards. Such enhancements foster a more secure and reliable digital environment, potentially improving the competitive position of these sectors. Overall, the proposed measures aim to eliminate some of the sector-specific compliance hurdles and facilitate reporting and certification across sectors and therefore no specific impact on competitiveness in specific sectors can be identified in relation to the preferred option. </w:t>
      </w:r>
      <w:r w:rsidRPr="00F5382B">
        <w:rPr>
          <w:rFonts w:eastAsia="Times New Roman"/>
          <w:noProof/>
          <w:lang w:val="en-IE" w:eastAsia="en-IE"/>
        </w:rPr>
        <w:t> </w:t>
      </w:r>
      <w:r w:rsidRPr="00F5382B">
        <w:rPr>
          <w:noProof/>
        </w:rPr>
        <w:br w:type="page"/>
      </w:r>
    </w:p>
    <w:p w14:paraId="2F5CF4C6" w14:textId="77777777" w:rsidR="00EE3DF9" w:rsidRPr="00F5382B" w:rsidRDefault="00EE3DF9" w:rsidP="00EE3DF9">
      <w:pPr>
        <w:pStyle w:val="AnnexTitle0"/>
        <w:rPr>
          <w:noProof/>
        </w:rPr>
      </w:pPr>
      <w:bookmarkStart w:id="351" w:name="_Toc207027977"/>
      <w:bookmarkStart w:id="352" w:name="_Toc218767786"/>
      <w:bookmarkStart w:id="353" w:name="_Toc219039512"/>
      <w:bookmarkStart w:id="354" w:name="_Toc219447415"/>
      <w:bookmarkStart w:id="355" w:name="_Toc195101115"/>
      <w:r w:rsidRPr="00F5382B">
        <w:rPr>
          <w:noProof/>
        </w:rPr>
        <w:t>Annex 6: SME check</w:t>
      </w:r>
      <w:bookmarkEnd w:id="351"/>
      <w:bookmarkEnd w:id="352"/>
      <w:bookmarkEnd w:id="353"/>
      <w:bookmarkEnd w:id="354"/>
      <w:r w:rsidRPr="00F5382B">
        <w:rPr>
          <w:noProof/>
        </w:rPr>
        <w:t xml:space="preserve"> </w:t>
      </w:r>
      <w:bookmarkEnd w:id="355"/>
    </w:p>
    <w:p w14:paraId="1C272307" w14:textId="77777777" w:rsidR="00EE3DF9" w:rsidRPr="00F5382B" w:rsidRDefault="00EE3DF9" w:rsidP="00EE3DF9">
      <w:pPr>
        <w:rPr>
          <w:b/>
          <w:bCs/>
          <w:smallCaps/>
          <w:noProof/>
          <w:color w:val="000000" w:themeColor="text1"/>
        </w:rPr>
      </w:pPr>
      <w:r w:rsidRPr="00F5382B">
        <w:rPr>
          <w:b/>
          <w:bCs/>
          <w:smallCaps/>
          <w:noProof/>
          <w:color w:val="000000" w:themeColor="text1"/>
        </w:rPr>
        <w:t>Overview of impacts on SMEs</w:t>
      </w:r>
    </w:p>
    <w:tbl>
      <w:tblPr>
        <w:tblStyle w:val="TableGrid"/>
        <w:tblW w:w="0" w:type="auto"/>
        <w:tblInd w:w="-34" w:type="dxa"/>
        <w:tblLook w:val="04A0" w:firstRow="1" w:lastRow="0" w:firstColumn="1" w:lastColumn="0" w:noHBand="0" w:noVBand="1"/>
      </w:tblPr>
      <w:tblGrid>
        <w:gridCol w:w="9276"/>
      </w:tblGrid>
      <w:tr w:rsidR="00EE3DF9" w:rsidRPr="00F5382B" w14:paraId="18A48F65" w14:textId="77777777" w:rsidTr="00C135AC">
        <w:tc>
          <w:tcPr>
            <w:tcW w:w="9322" w:type="dxa"/>
          </w:tcPr>
          <w:p w14:paraId="247787E1" w14:textId="77777777" w:rsidR="00EE3DF9" w:rsidRPr="00F5382B" w:rsidRDefault="00EE3DF9">
            <w:pPr>
              <w:pStyle w:val="ListParagraph"/>
              <w:spacing w:after="120"/>
              <w:ind w:left="0"/>
              <w:contextualSpacing w:val="0"/>
              <w:rPr>
                <w:b/>
                <w:bCs/>
                <w:noProof/>
                <w:color w:val="000000" w:themeColor="text1"/>
              </w:rPr>
            </w:pPr>
            <w:r w:rsidRPr="00F5382B">
              <w:rPr>
                <w:b/>
                <w:bCs/>
                <w:noProof/>
                <w:color w:val="000000" w:themeColor="text1"/>
              </w:rPr>
              <w:t xml:space="preserve">Relevance for SMEs </w:t>
            </w:r>
          </w:p>
        </w:tc>
      </w:tr>
      <w:tr w:rsidR="00EE3DF9" w:rsidRPr="00F5382B" w14:paraId="1CAFF453" w14:textId="77777777" w:rsidTr="00C135AC">
        <w:tc>
          <w:tcPr>
            <w:tcW w:w="9322" w:type="dxa"/>
          </w:tcPr>
          <w:p w14:paraId="7C1DC232" w14:textId="531FC71E" w:rsidR="00EE3DF9" w:rsidRPr="00F5382B" w:rsidRDefault="00EE3DF9">
            <w:pPr>
              <w:pStyle w:val="ListParagraph"/>
              <w:spacing w:after="120"/>
              <w:ind w:left="0"/>
              <w:contextualSpacing w:val="0"/>
              <w:rPr>
                <w:noProof/>
                <w:color w:val="000000" w:themeColor="text1"/>
              </w:rPr>
            </w:pPr>
            <w:r w:rsidRPr="00F5382B">
              <w:rPr>
                <w:noProof/>
                <w:color w:val="000000" w:themeColor="text1"/>
              </w:rPr>
              <w:t>This initiative is relevant to highly relevant for SMEs</w:t>
            </w:r>
            <w:r w:rsidRPr="00F5382B">
              <w:rPr>
                <w:noProof/>
                <w:color w:val="000000" w:themeColor="text1"/>
                <w:vertAlign w:val="superscript"/>
              </w:rPr>
              <w:t>1</w:t>
            </w:r>
            <w:r w:rsidRPr="00F5382B">
              <w:rPr>
                <w:noProof/>
                <w:color w:val="000000" w:themeColor="text1"/>
              </w:rPr>
              <w:t>. The revised EU Cybersecurity Act significantly impacts SMEs by establishing facilitating compliance, providing guidance, clarifying and reducing scope of NIS2 Directive and streamlining incident reporting mechanisms and development of certification schemes. In a digital business environment, cybersecurity is crucial for SMEs, particularly in vulnerable sectors like technology, healthcare, and e-commerce. SMEs must uphold cybersecurity throughout their product lifecycle, often relying on external solutions. Cybersecurity certification, while mainly voluntary, is essential for cross-border operations, scalability of business solutions and access to certain national or sectoral markets. SMEs, with fewer resources than larger companies, need streamlined requirements and simplified compliance to protect their systems effectively and reduce their legal exposure. Improving certification processes and reducing reporting requirements can enhance cybersecurity and lower compliance costs for SMEs. </w:t>
            </w:r>
          </w:p>
        </w:tc>
      </w:tr>
    </w:tbl>
    <w:p w14:paraId="253CC6E1" w14:textId="77777777" w:rsidR="00EE3DF9" w:rsidRPr="00F5382B" w:rsidRDefault="00EE3DF9" w:rsidP="00EE3DF9">
      <w:pPr>
        <w:spacing w:after="120"/>
        <w:rPr>
          <w:b/>
          <w:bCs/>
          <w:smallCaps/>
          <w:noProof/>
          <w:color w:val="000000" w:themeColor="text1"/>
        </w:rPr>
      </w:pPr>
    </w:p>
    <w:tbl>
      <w:tblPr>
        <w:tblStyle w:val="TableGrid"/>
        <w:tblW w:w="0" w:type="auto"/>
        <w:tblInd w:w="-34" w:type="dxa"/>
        <w:tblLook w:val="04A0" w:firstRow="1" w:lastRow="0" w:firstColumn="1" w:lastColumn="0" w:noHBand="0" w:noVBand="1"/>
      </w:tblPr>
      <w:tblGrid>
        <w:gridCol w:w="9276"/>
      </w:tblGrid>
      <w:tr w:rsidR="00EE3DF9" w:rsidRPr="00F5382B" w14:paraId="394E0461" w14:textId="77777777" w:rsidTr="58C4CB58">
        <w:tc>
          <w:tcPr>
            <w:tcW w:w="9322" w:type="dxa"/>
          </w:tcPr>
          <w:p w14:paraId="27A67E75" w14:textId="77777777" w:rsidR="00EE3DF9" w:rsidRPr="00F5382B" w:rsidRDefault="00EE3DF9">
            <w:pPr>
              <w:pStyle w:val="ListParagraph"/>
              <w:spacing w:after="120"/>
              <w:ind w:left="0"/>
              <w:contextualSpacing w:val="0"/>
              <w:rPr>
                <w:b/>
                <w:bCs/>
                <w:noProof/>
                <w:color w:val="000000" w:themeColor="text1"/>
              </w:rPr>
            </w:pPr>
            <w:r w:rsidRPr="00F5382B">
              <w:rPr>
                <w:b/>
                <w:bCs/>
                <w:noProof/>
                <w:color w:val="000000" w:themeColor="text1"/>
              </w:rPr>
              <w:t>(1)</w:t>
            </w:r>
            <w:r w:rsidRPr="00F5382B">
              <w:rPr>
                <w:noProof/>
              </w:rPr>
              <w:tab/>
            </w:r>
            <w:r w:rsidRPr="00F5382B">
              <w:rPr>
                <w:b/>
                <w:bCs/>
                <w:smallCaps/>
                <w:noProof/>
                <w:color w:val="000000" w:themeColor="text1"/>
              </w:rPr>
              <w:t>Identification of affected businesses and assessment of relevance</w:t>
            </w:r>
          </w:p>
        </w:tc>
      </w:tr>
      <w:tr w:rsidR="00EE3DF9" w:rsidRPr="00F5382B" w14:paraId="159CA674" w14:textId="77777777" w:rsidTr="58C4CB58">
        <w:tc>
          <w:tcPr>
            <w:tcW w:w="9322" w:type="dxa"/>
          </w:tcPr>
          <w:p w14:paraId="010AC7B9" w14:textId="77777777" w:rsidR="00EE3DF9" w:rsidRPr="00F5382B" w:rsidRDefault="00EE3DF9">
            <w:pPr>
              <w:pStyle w:val="ListParagraph"/>
              <w:spacing w:after="120"/>
              <w:ind w:left="0"/>
              <w:contextualSpacing w:val="0"/>
              <w:rPr>
                <w:b/>
                <w:bCs/>
                <w:noProof/>
                <w:color w:val="000000" w:themeColor="text1"/>
              </w:rPr>
            </w:pPr>
            <w:r w:rsidRPr="00F5382B">
              <w:rPr>
                <w:b/>
                <w:bCs/>
                <w:noProof/>
                <w:color w:val="000000" w:themeColor="text1"/>
              </w:rPr>
              <w:t>Are SMEs directly affected?</w:t>
            </w:r>
            <w:r w:rsidRPr="00F5382B">
              <w:rPr>
                <w:noProof/>
                <w:color w:val="000000" w:themeColor="text1"/>
              </w:rPr>
              <w:t xml:space="preserve"> </w:t>
            </w:r>
            <w:r w:rsidRPr="00F5382B">
              <w:rPr>
                <w:b/>
                <w:bCs/>
                <w:noProof/>
                <w:color w:val="000000" w:themeColor="text1"/>
              </w:rPr>
              <w:t>In which sectors?</w:t>
            </w:r>
          </w:p>
        </w:tc>
      </w:tr>
      <w:tr w:rsidR="00EE3DF9" w:rsidRPr="00F5382B" w14:paraId="64CAE0EC" w14:textId="77777777" w:rsidTr="58C4CB58">
        <w:tc>
          <w:tcPr>
            <w:tcW w:w="9322" w:type="dxa"/>
          </w:tcPr>
          <w:p w14:paraId="35AA63FE" w14:textId="77777777" w:rsidR="00EE3DF9" w:rsidRPr="00F5382B" w:rsidRDefault="00EE3DF9">
            <w:pPr>
              <w:pStyle w:val="ListParagraph"/>
              <w:spacing w:after="120"/>
              <w:ind w:left="0"/>
              <w:contextualSpacing w:val="0"/>
              <w:rPr>
                <w:noProof/>
                <w:color w:val="000000" w:themeColor="text1"/>
              </w:rPr>
            </w:pPr>
            <w:r w:rsidRPr="00F5382B">
              <w:rPr>
                <w:noProof/>
                <w:color w:val="000000" w:themeColor="text1"/>
              </w:rPr>
              <w:t>SMEs are directly affected by the preferred policy option. The initiative, while cross-sectoral, is particularly relevant in sectors identified as highly critical, where SMEs are also active. The proposed actions aim to enhance certification and cybersecurity skills, streamline the cybersecurity obligations, and reduce compliance costs, thereby improving the competitive positioning of SMEs. The number of micro- and small-sized entities in scope of the NIS2 Directive as well as medium-sized entities subject to ex ante supervision under the NIS2 Directive will be reduced. By fostering a more secure digital environment through harmonised certification procedures and streamlined administrative processes, SMEs in these sectors are expected to benefit substantially. Improved legal clarity and centralised guidance could further bolster SMEs’ resilience and operational coherence, thus strengthening their competitive stance within the EU Single Market and beyond. </w:t>
            </w:r>
          </w:p>
        </w:tc>
      </w:tr>
      <w:tr w:rsidR="00EE3DF9" w:rsidRPr="00F5382B" w14:paraId="33461CDA" w14:textId="77777777" w:rsidTr="58C4CB58">
        <w:tc>
          <w:tcPr>
            <w:tcW w:w="9322" w:type="dxa"/>
          </w:tcPr>
          <w:p w14:paraId="5623B791" w14:textId="77777777" w:rsidR="00EE3DF9" w:rsidRPr="00F5382B" w:rsidRDefault="00EE3DF9">
            <w:pPr>
              <w:pStyle w:val="ListParagraph"/>
              <w:spacing w:after="120"/>
              <w:ind w:left="0"/>
              <w:contextualSpacing w:val="0"/>
              <w:rPr>
                <w:rFonts w:cstheme="minorHAnsi"/>
                <w:b/>
                <w:noProof/>
                <w:color w:val="000000" w:themeColor="text1"/>
              </w:rPr>
            </w:pPr>
            <w:r w:rsidRPr="00F5382B">
              <w:rPr>
                <w:rFonts w:cstheme="minorHAnsi"/>
                <w:b/>
                <w:noProof/>
                <w:color w:val="000000" w:themeColor="text1"/>
              </w:rPr>
              <w:t>Estimated number of directly affected SMEs</w:t>
            </w:r>
          </w:p>
        </w:tc>
      </w:tr>
      <w:tr w:rsidR="00EE3DF9" w:rsidRPr="00F5382B" w14:paraId="25BCD00E" w14:textId="77777777" w:rsidTr="58C4CB58">
        <w:tc>
          <w:tcPr>
            <w:tcW w:w="9322" w:type="dxa"/>
          </w:tcPr>
          <w:p w14:paraId="23CDB59B" w14:textId="77777777" w:rsidR="00EE3DF9" w:rsidRPr="00F5382B" w:rsidRDefault="00EE3DF9">
            <w:pPr>
              <w:pStyle w:val="ListParagraph"/>
              <w:spacing w:after="120"/>
              <w:ind w:left="0"/>
              <w:rPr>
                <w:rFonts w:eastAsiaTheme="minorEastAsia"/>
                <w:noProof/>
                <w:color w:val="000000" w:themeColor="text1"/>
              </w:rPr>
            </w:pPr>
            <w:r w:rsidRPr="00F5382B">
              <w:rPr>
                <w:rFonts w:eastAsiaTheme="minorEastAsia"/>
                <w:noProof/>
                <w:color w:val="000000" w:themeColor="text1"/>
              </w:rPr>
              <w:t>According to Eurostat (2022), the EU is home to approximately 1.2 million enterprises operating in directly relevant sectors such as ICT manufacturing and ICT services (according to NACE Rev. 2 activity). Since 99 % of all EU enterprises are micro and small enterprises</w:t>
            </w:r>
            <w:r w:rsidRPr="00F5382B">
              <w:rPr>
                <w:rFonts w:eastAsiaTheme="minorEastAsia"/>
                <w:noProof/>
                <w:color w:val="000000" w:themeColor="text1"/>
                <w:vertAlign w:val="superscript"/>
              </w:rPr>
              <w:t>2</w:t>
            </w:r>
            <w:r w:rsidRPr="00F5382B">
              <w:rPr>
                <w:rFonts w:eastAsiaTheme="minorEastAsia"/>
                <w:noProof/>
                <w:color w:val="000000" w:themeColor="text1"/>
              </w:rPr>
              <w:t xml:space="preserve"> and 0.8 % are medium-sized enterprises, this implies that around 1.2 million SMEs could fall within the scope of the proposed policy options. The reduction of scope regarding the NIS2 Directive would affect 6.200 micro- and small-sized enterprises. </w:t>
            </w:r>
          </w:p>
        </w:tc>
      </w:tr>
      <w:tr w:rsidR="00EE3DF9" w:rsidRPr="00F5382B" w14:paraId="5B1AD525" w14:textId="77777777" w:rsidTr="58C4CB58">
        <w:tc>
          <w:tcPr>
            <w:tcW w:w="9322" w:type="dxa"/>
          </w:tcPr>
          <w:p w14:paraId="57866D45" w14:textId="77777777" w:rsidR="00EE3DF9" w:rsidRPr="00F5382B" w:rsidRDefault="00EE3DF9">
            <w:pPr>
              <w:pStyle w:val="ListParagraph"/>
              <w:spacing w:after="120"/>
              <w:ind w:left="0"/>
              <w:contextualSpacing w:val="0"/>
              <w:rPr>
                <w:rFonts w:cstheme="minorHAnsi"/>
                <w:b/>
                <w:noProof/>
                <w:color w:val="000000" w:themeColor="text1"/>
              </w:rPr>
            </w:pPr>
            <w:r w:rsidRPr="00F5382B">
              <w:rPr>
                <w:rFonts w:cstheme="minorHAnsi"/>
                <w:b/>
                <w:noProof/>
                <w:color w:val="000000" w:themeColor="text1"/>
              </w:rPr>
              <w:t>Estimated number of employees in directly affected SMEs</w:t>
            </w:r>
          </w:p>
        </w:tc>
      </w:tr>
      <w:tr w:rsidR="00EE3DF9" w:rsidRPr="00F5382B" w14:paraId="6E4767A1" w14:textId="77777777" w:rsidTr="58C4CB58">
        <w:tc>
          <w:tcPr>
            <w:tcW w:w="9322" w:type="dxa"/>
          </w:tcPr>
          <w:p w14:paraId="2F6FC78E" w14:textId="77777777" w:rsidR="00EE3DF9" w:rsidRPr="00F5382B" w:rsidRDefault="00EE3DF9">
            <w:pPr>
              <w:pStyle w:val="ListParagraph"/>
              <w:spacing w:after="120"/>
              <w:ind w:left="0"/>
              <w:contextualSpacing w:val="0"/>
              <w:rPr>
                <w:rFonts w:eastAsiaTheme="minorEastAsia"/>
                <w:noProof/>
                <w:color w:val="000000" w:themeColor="text1"/>
              </w:rPr>
            </w:pPr>
            <w:r w:rsidRPr="00F5382B">
              <w:rPr>
                <w:rFonts w:eastAsiaTheme="minorEastAsia"/>
                <w:noProof/>
                <w:color w:val="000000" w:themeColor="text1"/>
              </w:rPr>
              <w:t>In terms of employment, SMEs are the backbone of the European economy. Micro and small enterprises (up to 49 employees) account for 48 % of all enterprise employment, while medium-sized enterprises (50–249 employees) account for 15 %. Applying these proportions to the ICT sector, we estimate that the preferred option could directly affect between 4 and 5 million workers employed by SMEs in the information and communication technology</w:t>
            </w:r>
            <w:r w:rsidRPr="00F5382B">
              <w:rPr>
                <w:rStyle w:val="FootnoteReference"/>
                <w:rFonts w:eastAsiaTheme="minorEastAsia"/>
                <w:noProof/>
                <w:color w:val="000000" w:themeColor="text1"/>
              </w:rPr>
              <w:footnoteReference w:id="217"/>
            </w:r>
            <w:r w:rsidRPr="00F5382B">
              <w:rPr>
                <w:rFonts w:eastAsiaTheme="minorEastAsia"/>
                <w:noProof/>
                <w:color w:val="000000" w:themeColor="text1"/>
              </w:rPr>
              <w:t>. </w:t>
            </w:r>
          </w:p>
        </w:tc>
      </w:tr>
      <w:tr w:rsidR="00EE3DF9" w:rsidRPr="00F5382B" w14:paraId="1BADAE9B" w14:textId="77777777" w:rsidTr="58C4CB58">
        <w:tc>
          <w:tcPr>
            <w:tcW w:w="9322" w:type="dxa"/>
          </w:tcPr>
          <w:p w14:paraId="445F6B8C" w14:textId="77777777" w:rsidR="00EE3DF9" w:rsidRPr="00F5382B" w:rsidRDefault="00EE3DF9">
            <w:pPr>
              <w:pStyle w:val="ListParagraph"/>
              <w:spacing w:after="120"/>
              <w:ind w:left="0"/>
              <w:contextualSpacing w:val="0"/>
              <w:rPr>
                <w:b/>
                <w:bCs/>
                <w:noProof/>
                <w:color w:val="000000" w:themeColor="text1"/>
              </w:rPr>
            </w:pPr>
            <w:r w:rsidRPr="00F5382B">
              <w:rPr>
                <w:b/>
                <w:bCs/>
                <w:noProof/>
                <w:color w:val="000000" w:themeColor="text1"/>
              </w:rPr>
              <w:t>Are SMEs indirectly affected? In which sectors? What is the estimated number of indirectly affected SMEs and employees?</w:t>
            </w:r>
          </w:p>
        </w:tc>
      </w:tr>
      <w:tr w:rsidR="00EE3DF9" w:rsidRPr="00F5382B" w14:paraId="15BAAADB" w14:textId="77777777" w:rsidTr="58C4CB58">
        <w:trPr>
          <w:trHeight w:val="300"/>
        </w:trPr>
        <w:tc>
          <w:tcPr>
            <w:tcW w:w="9322" w:type="dxa"/>
          </w:tcPr>
          <w:p w14:paraId="7110347E" w14:textId="77777777" w:rsidR="00EE3DF9" w:rsidRPr="00F5382B" w:rsidRDefault="00EE3DF9">
            <w:pPr>
              <w:pStyle w:val="ListParagraph"/>
              <w:spacing w:after="120"/>
              <w:ind w:left="0"/>
              <w:contextualSpacing w:val="0"/>
              <w:rPr>
                <w:noProof/>
                <w:color w:val="000000" w:themeColor="text1"/>
              </w:rPr>
            </w:pPr>
            <w:r w:rsidRPr="00F5382B">
              <w:rPr>
                <w:noProof/>
                <w:color w:val="000000" w:themeColor="text1"/>
              </w:rPr>
              <w:t>Beyond the ICT realm, the anticipated solutions under the preferred policy option will have significant indirect effects on key EU sectors reliant on secure digital technologies, like smart manufacturing, healthcare, energy, transport and finance. This impact extends to the vast network of SMEs integrating, procuring, and distributing ICT products and services. Critical sectors such as manufacturing, retail trade, professional services, transportation, construction, and healthcare include around 6 to 7 million SMEs, employing approximately 36 million individuals who could be indirectly affected. The reduction of scope regarding the NIS2 Directive would affect 6.200 micro- and small-sized enterprises as DNS providers.</w:t>
            </w:r>
          </w:p>
        </w:tc>
      </w:tr>
    </w:tbl>
    <w:p w14:paraId="35394862" w14:textId="77777777" w:rsidR="00EE3DF9" w:rsidRPr="00F5382B" w:rsidRDefault="00EE3DF9" w:rsidP="00EE3DF9">
      <w:pPr>
        <w:spacing w:after="120"/>
        <w:rPr>
          <w:rFonts w:cstheme="minorHAnsi"/>
          <w:b/>
          <w:smallCaps/>
          <w:noProof/>
          <w:color w:val="000000" w:themeColor="text1"/>
        </w:rPr>
      </w:pPr>
    </w:p>
    <w:tbl>
      <w:tblPr>
        <w:tblStyle w:val="TableGrid"/>
        <w:tblW w:w="9214" w:type="dxa"/>
        <w:tblInd w:w="-34" w:type="dxa"/>
        <w:tblLook w:val="04A0" w:firstRow="1" w:lastRow="0" w:firstColumn="1" w:lastColumn="0" w:noHBand="0" w:noVBand="1"/>
      </w:tblPr>
      <w:tblGrid>
        <w:gridCol w:w="9214"/>
      </w:tblGrid>
      <w:tr w:rsidR="00EE3DF9" w:rsidRPr="00F5382B" w14:paraId="56E969F9" w14:textId="77777777" w:rsidTr="00E5147D">
        <w:tc>
          <w:tcPr>
            <w:tcW w:w="9214" w:type="dxa"/>
          </w:tcPr>
          <w:p w14:paraId="719AB39C" w14:textId="77777777" w:rsidR="00EE3DF9" w:rsidRPr="00F5382B" w:rsidRDefault="00EE3DF9" w:rsidP="00EE3DF9">
            <w:pPr>
              <w:pStyle w:val="ListParagraph"/>
              <w:numPr>
                <w:ilvl w:val="0"/>
                <w:numId w:val="47"/>
              </w:numPr>
              <w:spacing w:after="120"/>
              <w:contextualSpacing w:val="0"/>
              <w:rPr>
                <w:smallCaps/>
                <w:noProof/>
                <w:color w:val="000000" w:themeColor="text1"/>
              </w:rPr>
            </w:pPr>
            <w:r w:rsidRPr="00F5382B">
              <w:rPr>
                <w:b/>
                <w:bCs/>
                <w:smallCaps/>
                <w:noProof/>
                <w:color w:val="000000" w:themeColor="text1"/>
              </w:rPr>
              <w:t>Consultation of SME stakeholders</w:t>
            </w:r>
          </w:p>
        </w:tc>
      </w:tr>
      <w:tr w:rsidR="00EE3DF9" w:rsidRPr="00F5382B" w14:paraId="549DF08F" w14:textId="77777777" w:rsidTr="00E5147D">
        <w:tc>
          <w:tcPr>
            <w:tcW w:w="9214" w:type="dxa"/>
          </w:tcPr>
          <w:p w14:paraId="53934A80" w14:textId="77777777" w:rsidR="00EE3DF9" w:rsidRPr="00F5382B" w:rsidRDefault="00EE3DF9">
            <w:pPr>
              <w:pStyle w:val="ListParagraph"/>
              <w:spacing w:after="120"/>
              <w:ind w:left="0"/>
              <w:contextualSpacing w:val="0"/>
              <w:rPr>
                <w:rFonts w:cstheme="minorHAnsi"/>
                <w:b/>
                <w:noProof/>
                <w:color w:val="000000" w:themeColor="text1"/>
              </w:rPr>
            </w:pPr>
            <w:r w:rsidRPr="00F5382B">
              <w:rPr>
                <w:rFonts w:cstheme="minorHAnsi"/>
                <w:b/>
                <w:noProof/>
                <w:color w:val="000000" w:themeColor="text1"/>
              </w:rPr>
              <w:t>How has the input from the SME community been taken into consideration?</w:t>
            </w:r>
          </w:p>
        </w:tc>
      </w:tr>
      <w:tr w:rsidR="00EE3DF9" w:rsidRPr="00F5382B" w14:paraId="27C9C821" w14:textId="77777777" w:rsidTr="00E5147D">
        <w:tc>
          <w:tcPr>
            <w:tcW w:w="9214" w:type="dxa"/>
          </w:tcPr>
          <w:p w14:paraId="4A22728B" w14:textId="77777777" w:rsidR="00EE3DF9" w:rsidRPr="00F5382B" w:rsidRDefault="00EE3DF9">
            <w:pPr>
              <w:pStyle w:val="ListParagraph"/>
              <w:spacing w:after="120"/>
              <w:ind w:left="0"/>
              <w:contextualSpacing w:val="0"/>
              <w:rPr>
                <w:noProof/>
                <w:color w:val="000000" w:themeColor="text1"/>
                <w:lang w:val="en-IE"/>
              </w:rPr>
            </w:pPr>
            <w:r w:rsidRPr="00F5382B">
              <w:rPr>
                <w:noProof/>
                <w:color w:val="000000" w:themeColor="text1"/>
              </w:rPr>
              <w:t>A public consultation was launched from 11 April 2025 to 20 June 2025, also targeting SMEs. A share of 8.8% out of the total respondents identified themselves as SMEs, while the rest of respondents corresponded to large companies, academia, public authorities, business associations, trade unions and citizens. Focusing on business respondents, the share of SME respondents was 36.7 %, including micro enterprises (15.2 %), small enterprises (11.4 %) and medium sized enterprises (10.1 %). </w:t>
            </w:r>
            <w:r w:rsidRPr="00F5382B">
              <w:rPr>
                <w:noProof/>
                <w:color w:val="000000" w:themeColor="text1"/>
                <w:lang w:val="en-IE"/>
              </w:rPr>
              <w:t> </w:t>
            </w:r>
          </w:p>
          <w:p w14:paraId="26911B1C" w14:textId="77777777" w:rsidR="00EE3DF9" w:rsidRPr="00F5382B" w:rsidRDefault="00EE3DF9">
            <w:pPr>
              <w:pStyle w:val="ListParagraph"/>
              <w:spacing w:after="120"/>
              <w:ind w:left="0"/>
              <w:contextualSpacing w:val="0"/>
              <w:rPr>
                <w:noProof/>
                <w:color w:val="000000" w:themeColor="text1"/>
                <w:lang w:val="en-IE"/>
              </w:rPr>
            </w:pPr>
            <w:r w:rsidRPr="00F5382B">
              <w:rPr>
                <w:noProof/>
                <w:color w:val="000000" w:themeColor="text1"/>
              </w:rPr>
              <w:t>Moreover, a call for evidence was launched from 11 April 2025 to 20 June 2025. The initiative was also presented and discussed at a dedicated session organised by the European DIGITAL SME Alliance on 17 June 2025.</w:t>
            </w:r>
            <w:r w:rsidRPr="00F5382B">
              <w:rPr>
                <w:noProof/>
                <w:color w:val="000000" w:themeColor="text1"/>
                <w:lang w:val="en-IE"/>
              </w:rPr>
              <w:t> </w:t>
            </w:r>
          </w:p>
        </w:tc>
      </w:tr>
      <w:tr w:rsidR="00EE3DF9" w:rsidRPr="00F5382B" w14:paraId="02EF7CC9" w14:textId="77777777" w:rsidTr="00E5147D">
        <w:tc>
          <w:tcPr>
            <w:tcW w:w="9214" w:type="dxa"/>
          </w:tcPr>
          <w:p w14:paraId="030F745B" w14:textId="77777777" w:rsidR="00EE3DF9" w:rsidRPr="00F5382B" w:rsidRDefault="00EE3DF9">
            <w:pPr>
              <w:pStyle w:val="ListParagraph"/>
              <w:spacing w:after="120"/>
              <w:ind w:left="0"/>
              <w:contextualSpacing w:val="0"/>
              <w:rPr>
                <w:noProof/>
                <w:color w:val="000000" w:themeColor="text1"/>
              </w:rPr>
            </w:pPr>
            <w:r w:rsidRPr="00F5382B">
              <w:rPr>
                <w:b/>
                <w:bCs/>
                <w:noProof/>
                <w:color w:val="000000" w:themeColor="text1"/>
              </w:rPr>
              <w:t xml:space="preserve">Are SMEs’ views different from those of large businesses? </w:t>
            </w:r>
          </w:p>
        </w:tc>
      </w:tr>
      <w:tr w:rsidR="00EE3DF9" w:rsidRPr="00F5382B" w14:paraId="76CA6728" w14:textId="77777777" w:rsidTr="00E5147D">
        <w:tc>
          <w:tcPr>
            <w:tcW w:w="9214" w:type="dxa"/>
          </w:tcPr>
          <w:p w14:paraId="3892E791" w14:textId="77777777" w:rsidR="00EE3DF9" w:rsidRPr="00F5382B" w:rsidRDefault="00EE3DF9">
            <w:pPr>
              <w:pStyle w:val="ListParagraph"/>
              <w:spacing w:after="120"/>
              <w:ind w:left="0"/>
              <w:contextualSpacing w:val="0"/>
              <w:rPr>
                <w:noProof/>
                <w:color w:val="000000" w:themeColor="text1"/>
              </w:rPr>
            </w:pPr>
            <w:r w:rsidRPr="00F5382B">
              <w:rPr>
                <w:noProof/>
                <w:color w:val="000000" w:themeColor="text1"/>
              </w:rPr>
              <w:t xml:space="preserve">SMEs’ perspectives on cybersecurity differ significantly from those of larger businesses. SMEs often struggle with the administrative, financial burdens and legal exposure associated with cybersecurity compliance due to their limited resources and smaller compliance departments. While larger companies might adapt more readily to rigorous compliance measures, SMEs advocate for simplified certification processes and regulatory frameworks to reduce costs and foster innovation reducing costly compliance efforts. This was highlighted on one side by the European DIGITAL SME Alliance but it is also stemming from the results of the public consultation, where </w:t>
            </w:r>
            <w:r w:rsidRPr="00F5382B">
              <w:rPr>
                <w:noProof/>
              </w:rPr>
              <w:t xml:space="preserve">SMEs, in particular, </w:t>
            </w:r>
            <w:r w:rsidRPr="00F5382B">
              <w:rPr>
                <w:noProof/>
                <w:lang w:eastAsia="en-IE"/>
              </w:rPr>
              <w:t>underlined the need for more structured and transparent engagement mechanisms</w:t>
            </w:r>
            <w:r w:rsidRPr="00F5382B">
              <w:rPr>
                <w:noProof/>
              </w:rPr>
              <w:t xml:space="preserve"> </w:t>
            </w:r>
            <w:r w:rsidRPr="00F5382B">
              <w:rPr>
                <w:noProof/>
                <w:lang w:eastAsia="en-IE"/>
              </w:rPr>
              <w:t>in the ECCF</w:t>
            </w:r>
            <w:r w:rsidRPr="00F5382B">
              <w:rPr>
                <w:noProof/>
              </w:rPr>
              <w:t xml:space="preserve"> and warned against overregulation.</w:t>
            </w:r>
          </w:p>
        </w:tc>
      </w:tr>
    </w:tbl>
    <w:p w14:paraId="4DE458A6" w14:textId="77777777" w:rsidR="00EE3DF9" w:rsidRPr="00F5382B" w:rsidRDefault="00EE3DF9" w:rsidP="00EE3DF9">
      <w:pPr>
        <w:spacing w:after="120"/>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EE3DF9" w:rsidRPr="00F5382B" w14:paraId="78CBEE48" w14:textId="77777777">
        <w:trPr>
          <w:trHeight w:val="300"/>
        </w:trPr>
        <w:tc>
          <w:tcPr>
            <w:tcW w:w="8608" w:type="dxa"/>
          </w:tcPr>
          <w:p w14:paraId="4C29C088" w14:textId="77777777" w:rsidR="00EE3DF9" w:rsidRPr="00F5382B" w:rsidRDefault="00EE3DF9" w:rsidP="00EE3DF9">
            <w:pPr>
              <w:pStyle w:val="ListParagraph"/>
              <w:numPr>
                <w:ilvl w:val="0"/>
                <w:numId w:val="47"/>
              </w:numPr>
              <w:spacing w:after="120"/>
              <w:contextualSpacing w:val="0"/>
              <w:jc w:val="left"/>
              <w:rPr>
                <w:b/>
                <w:bCs/>
                <w:smallCaps/>
                <w:noProof/>
                <w:color w:val="000000" w:themeColor="text1"/>
              </w:rPr>
            </w:pPr>
            <w:r w:rsidRPr="00F5382B">
              <w:rPr>
                <w:b/>
                <w:bCs/>
                <w:smallCaps/>
                <w:noProof/>
                <w:color w:val="000000" w:themeColor="text1"/>
              </w:rPr>
              <w:t>Assessment of impacts on SMEs</w:t>
            </w:r>
            <w:r w:rsidRPr="00F5382B">
              <w:rPr>
                <w:rStyle w:val="FootnoteReference"/>
                <w:b/>
                <w:bCs/>
                <w:smallCaps/>
                <w:noProof/>
                <w:color w:val="000000" w:themeColor="text1"/>
              </w:rPr>
              <w:footnoteReference w:id="218"/>
            </w:r>
          </w:p>
        </w:tc>
      </w:tr>
      <w:tr w:rsidR="00EE3DF9" w:rsidRPr="00F5382B" w14:paraId="6FE5C554" w14:textId="77777777">
        <w:trPr>
          <w:trHeight w:val="300"/>
        </w:trPr>
        <w:tc>
          <w:tcPr>
            <w:tcW w:w="8608" w:type="dxa"/>
          </w:tcPr>
          <w:p w14:paraId="428127EF" w14:textId="77777777" w:rsidR="00EE3DF9" w:rsidRPr="00F5382B" w:rsidRDefault="00EE3DF9">
            <w:pPr>
              <w:spacing w:after="120"/>
              <w:rPr>
                <w:noProof/>
                <w:color w:val="000000" w:themeColor="text1"/>
              </w:rPr>
            </w:pPr>
            <w:r w:rsidRPr="00F5382B">
              <w:rPr>
                <w:b/>
                <w:bCs/>
                <w:noProof/>
                <w:color w:val="000000" w:themeColor="text1"/>
              </w:rPr>
              <w:t>What are the estimated direct costs for SMEs of the preferred policy option</w:t>
            </w:r>
            <w:r w:rsidRPr="00F5382B">
              <w:rPr>
                <w:b/>
                <w:bCs/>
                <w:i/>
                <w:iCs/>
                <w:noProof/>
                <w:color w:val="000000" w:themeColor="text1"/>
              </w:rPr>
              <w:t>?</w:t>
            </w:r>
            <w:r w:rsidRPr="00F5382B">
              <w:rPr>
                <w:noProof/>
                <w:color w:val="000000" w:themeColor="text1"/>
              </w:rPr>
              <w:t xml:space="preserve"> </w:t>
            </w:r>
          </w:p>
        </w:tc>
      </w:tr>
      <w:tr w:rsidR="00EE3DF9" w:rsidRPr="00F5382B" w14:paraId="33E7A530" w14:textId="77777777">
        <w:trPr>
          <w:trHeight w:val="300"/>
        </w:trPr>
        <w:tc>
          <w:tcPr>
            <w:tcW w:w="8608" w:type="dxa"/>
          </w:tcPr>
          <w:p w14:paraId="5CD0089F" w14:textId="77777777" w:rsidR="00EE3DF9" w:rsidRPr="00F5382B" w:rsidRDefault="00EE3DF9">
            <w:pPr>
              <w:spacing w:after="120"/>
              <w:rPr>
                <w:noProof/>
                <w:color w:val="000000" w:themeColor="text1"/>
              </w:rPr>
            </w:pPr>
            <w:bookmarkStart w:id="356" w:name="_Hlk189835363"/>
            <w:r w:rsidRPr="00F5382B">
              <w:rPr>
                <w:noProof/>
                <w:color w:val="000000" w:themeColor="text1"/>
              </w:rPr>
              <w:t xml:space="preserve">The preferred policy option will result in direct costs for SMEs, which are categorised into one-off and recurrent expenses. SMEs might incur expenses for short-term resource reallocation to align with new reporting templates and procedures. Recurrent costs mostly encompass certificate management and continuous compliance. Initial (one-off) costs could also include, should SMEs choose to get certified, adapting internal procedures for certification compliance </w:t>
            </w:r>
            <w:r w:rsidRPr="00F5382B">
              <w:rPr>
                <w:i/>
                <w:iCs/>
                <w:noProof/>
                <w:color w:val="000000" w:themeColor="text1"/>
              </w:rPr>
              <w:t>(see Section 6.1 of the impact assessment)</w:t>
            </w:r>
            <w:r w:rsidRPr="00F5382B">
              <w:rPr>
                <w:noProof/>
                <w:color w:val="000000" w:themeColor="text1"/>
              </w:rPr>
              <w:t>.</w:t>
            </w:r>
          </w:p>
        </w:tc>
      </w:tr>
      <w:bookmarkEnd w:id="356"/>
      <w:tr w:rsidR="00EE3DF9" w:rsidRPr="00F5382B" w14:paraId="4937BE0C" w14:textId="77777777">
        <w:trPr>
          <w:trHeight w:val="300"/>
        </w:trPr>
        <w:tc>
          <w:tcPr>
            <w:tcW w:w="8608" w:type="dxa"/>
          </w:tcPr>
          <w:p w14:paraId="58B8EBB7" w14:textId="77777777" w:rsidR="00EE3DF9" w:rsidRPr="00F5382B" w:rsidRDefault="00EE3DF9">
            <w:pPr>
              <w:spacing w:after="120"/>
              <w:rPr>
                <w:b/>
                <w:bCs/>
                <w:noProof/>
                <w:color w:val="000000" w:themeColor="text1"/>
              </w:rPr>
            </w:pPr>
            <w:r w:rsidRPr="00F5382B">
              <w:rPr>
                <w:b/>
                <w:bCs/>
                <w:noProof/>
                <w:color w:val="000000" w:themeColor="text1"/>
              </w:rPr>
              <w:t>What are the estimated direct benefits/cost savings for SMEs of the preferred policy option</w:t>
            </w:r>
            <w:r w:rsidRPr="00F5382B">
              <w:rPr>
                <w:rStyle w:val="FootnoteReference"/>
                <w:b/>
                <w:bCs/>
                <w:noProof/>
                <w:color w:val="000000" w:themeColor="text1"/>
              </w:rPr>
              <w:footnoteReference w:id="219"/>
            </w:r>
            <w:r w:rsidRPr="00F5382B">
              <w:rPr>
                <w:b/>
                <w:bCs/>
                <w:noProof/>
                <w:color w:val="000000" w:themeColor="text1"/>
              </w:rPr>
              <w:t>?</w:t>
            </w:r>
          </w:p>
        </w:tc>
      </w:tr>
      <w:tr w:rsidR="00EE3DF9" w:rsidRPr="00F5382B" w14:paraId="0085642E" w14:textId="77777777">
        <w:trPr>
          <w:trHeight w:val="300"/>
        </w:trPr>
        <w:tc>
          <w:tcPr>
            <w:tcW w:w="8608" w:type="dxa"/>
          </w:tcPr>
          <w:p w14:paraId="7A82A1C8" w14:textId="77777777" w:rsidR="00EE3DF9" w:rsidRPr="00F5382B" w:rsidRDefault="00EE3DF9">
            <w:pPr>
              <w:spacing w:after="120"/>
              <w:rPr>
                <w:noProof/>
                <w:color w:val="000000" w:themeColor="text1"/>
              </w:rPr>
            </w:pPr>
            <w:r w:rsidRPr="00F5382B">
              <w:rPr>
                <w:noProof/>
                <w:color w:val="000000" w:themeColor="text1"/>
              </w:rPr>
              <w:t>The preferred policy option presents several estimated direct benefits and cost savings specifically for SMEs, with some applying broadly to all economic operators. First, the number of micro- and small-sized entities in scope of the NIS2 Directive will be reduced. Moreover, SMEs benefit from compliance cost reductions thanks to fewer legal interpretations, easier demonstration of compliance with supply chain and cybersecurity risk-management obligations, resulting in lower administrative expenses. This translates into higher efficiency, which contributes to reduced operational disruptions and potentially lowers associated costs. Improved legal clarity and simplified certification procedures, particularly the ECCF reform, further reduces administrative burdens, enhancing predictability and harmonisation across Member States. The increased uptake of certifications, driven by reinforced trust is expected to support cross-border business models. Furthermore, long-term efficiency gains are projected for SMEs as harmonised obligations lead to lower compliance costs over time, diminishing reliance on external consultants while strengthening internal capacities. The higher readability of cybersecurity roles thanks to the European Cybersecurity Skills Framework and industry-delivered individual certifications, which will lead to increased transparency on identifying relevant attestations and on better information on the cost of a European individual attestation, two reasons mentioned by companies as a reason for not providing cybersecurity training</w:t>
            </w:r>
            <w:r w:rsidRPr="00F5382B">
              <w:rPr>
                <w:noProof/>
                <w:color w:val="000000" w:themeColor="text1"/>
                <w:vertAlign w:val="superscript"/>
              </w:rPr>
              <w:footnoteReference w:id="220"/>
            </w:r>
            <w:r w:rsidRPr="00F5382B">
              <w:rPr>
                <w:noProof/>
                <w:color w:val="000000" w:themeColor="text1"/>
              </w:rPr>
              <w:t>, will encourage SMEs to support employees in working towards such attestations. Whereas this will lead to direct immediate costs to support employees in their training, such immediate costs can be offset by longer employee retention and increased cybersecurity of SMEs thanks to trained staff, hence less costs in case of cybersecurity incidents.</w:t>
            </w:r>
          </w:p>
        </w:tc>
      </w:tr>
      <w:tr w:rsidR="00EE3DF9" w:rsidRPr="00F5382B" w14:paraId="58DEC448" w14:textId="77777777">
        <w:trPr>
          <w:trHeight w:val="300"/>
        </w:trPr>
        <w:tc>
          <w:tcPr>
            <w:tcW w:w="8608" w:type="dxa"/>
          </w:tcPr>
          <w:p w14:paraId="1860E931" w14:textId="77777777" w:rsidR="00EE3DF9" w:rsidRPr="00F5382B" w:rsidRDefault="00EE3DF9">
            <w:pPr>
              <w:spacing w:after="120"/>
              <w:rPr>
                <w:b/>
                <w:bCs/>
                <w:noProof/>
                <w:color w:val="000000" w:themeColor="text1"/>
              </w:rPr>
            </w:pPr>
            <w:r w:rsidRPr="00F5382B">
              <w:rPr>
                <w:b/>
                <w:bCs/>
                <w:noProof/>
                <w:color w:val="000000" w:themeColor="text1"/>
              </w:rPr>
              <w:t xml:space="preserve">What are the indirect impacts of this initiative on SMEs? </w:t>
            </w:r>
          </w:p>
        </w:tc>
      </w:tr>
      <w:tr w:rsidR="00EE3DF9" w:rsidRPr="00F5382B" w14:paraId="71F40C9C" w14:textId="77777777">
        <w:trPr>
          <w:trHeight w:val="300"/>
        </w:trPr>
        <w:tc>
          <w:tcPr>
            <w:tcW w:w="8608" w:type="dxa"/>
          </w:tcPr>
          <w:p w14:paraId="751CEE6F" w14:textId="5740C5A2" w:rsidR="00EE3DF9" w:rsidRPr="00F5382B" w:rsidRDefault="00EE3DF9">
            <w:pPr>
              <w:spacing w:after="120"/>
              <w:rPr>
                <w:noProof/>
                <w:color w:val="000000" w:themeColor="text1"/>
              </w:rPr>
            </w:pPr>
            <w:r w:rsidRPr="00F5382B">
              <w:rPr>
                <w:noProof/>
                <w:color w:val="000000" w:themeColor="text1"/>
              </w:rPr>
              <w:t>Positive impacts for economic operator, also pertinent to SMEs, include enhanced cross-border interoperability, which is facilitated by ENISA’s expanded mandate, and also through standardised reporting practices. This leads to improved operations across the EU in terms of streamlined and more efficient business processes. In alignment to EU policy goals, enhanced trust in digital services and market integration, through harmonised certification frameworks can boost access to new markets, supporting SMEs both within the EU Single Market and globally. </w:t>
            </w:r>
          </w:p>
        </w:tc>
      </w:tr>
    </w:tbl>
    <w:p w14:paraId="3A94B947" w14:textId="77777777" w:rsidR="00EE3DF9" w:rsidRPr="00F5382B" w:rsidRDefault="00EE3DF9" w:rsidP="00EE3DF9">
      <w:pPr>
        <w:spacing w:after="120"/>
        <w:rPr>
          <w:b/>
          <w:bCs/>
          <w:noProof/>
          <w:color w:val="000000" w:themeColor="text1"/>
        </w:rPr>
      </w:pPr>
    </w:p>
    <w:tbl>
      <w:tblPr>
        <w:tblStyle w:val="TableGrid"/>
        <w:tblW w:w="0" w:type="auto"/>
        <w:tblLook w:val="04A0" w:firstRow="1" w:lastRow="0" w:firstColumn="1" w:lastColumn="0" w:noHBand="0" w:noVBand="1"/>
      </w:tblPr>
      <w:tblGrid>
        <w:gridCol w:w="8613"/>
      </w:tblGrid>
      <w:tr w:rsidR="00EE3DF9" w:rsidRPr="00F5382B" w14:paraId="41FD3DDE" w14:textId="77777777" w:rsidTr="00E5147D">
        <w:tc>
          <w:tcPr>
            <w:tcW w:w="8613" w:type="dxa"/>
          </w:tcPr>
          <w:p w14:paraId="7694B554" w14:textId="77777777" w:rsidR="00EE3DF9" w:rsidRPr="00F5382B" w:rsidRDefault="00EE3DF9" w:rsidP="00EE3DF9">
            <w:pPr>
              <w:pStyle w:val="ListParagraph"/>
              <w:numPr>
                <w:ilvl w:val="0"/>
                <w:numId w:val="47"/>
              </w:numPr>
              <w:spacing w:after="120"/>
              <w:contextualSpacing w:val="0"/>
              <w:jc w:val="left"/>
              <w:rPr>
                <w:b/>
                <w:bCs/>
                <w:smallCaps/>
                <w:noProof/>
                <w:color w:val="000000" w:themeColor="text1"/>
              </w:rPr>
            </w:pPr>
            <w:r w:rsidRPr="00F5382B">
              <w:rPr>
                <w:b/>
                <w:bCs/>
                <w:smallCaps/>
                <w:noProof/>
                <w:color w:val="000000" w:themeColor="text1"/>
              </w:rPr>
              <w:t>Minimising negative impacts on SMEs</w:t>
            </w:r>
          </w:p>
        </w:tc>
      </w:tr>
      <w:tr w:rsidR="00EE3DF9" w:rsidRPr="00F5382B" w14:paraId="1CEA4FCF" w14:textId="77777777" w:rsidTr="00E5147D">
        <w:tc>
          <w:tcPr>
            <w:tcW w:w="8613" w:type="dxa"/>
          </w:tcPr>
          <w:p w14:paraId="2B3B4C49" w14:textId="77777777" w:rsidR="00EE3DF9" w:rsidRPr="00F5382B" w:rsidRDefault="00EE3DF9">
            <w:pPr>
              <w:spacing w:after="120"/>
              <w:rPr>
                <w:b/>
                <w:bCs/>
                <w:noProof/>
                <w:color w:val="000000" w:themeColor="text1"/>
              </w:rPr>
            </w:pPr>
            <w:r w:rsidRPr="00F5382B">
              <w:rPr>
                <w:b/>
                <w:bCs/>
                <w:noProof/>
                <w:color w:val="000000" w:themeColor="text1"/>
              </w:rPr>
              <w:t>Are SMEs disproportionately affected compared to large companies? If yes, are there any specific subgroups</w:t>
            </w:r>
            <w:r w:rsidRPr="00F5382B">
              <w:rPr>
                <w:noProof/>
              </w:rPr>
              <w:t xml:space="preserve"> </w:t>
            </w:r>
            <w:r w:rsidRPr="00F5382B">
              <w:rPr>
                <w:b/>
                <w:bCs/>
                <w:noProof/>
                <w:color w:val="000000" w:themeColor="text1"/>
              </w:rPr>
              <w:t>of SMEs more exposed than others?</w:t>
            </w:r>
          </w:p>
        </w:tc>
      </w:tr>
      <w:tr w:rsidR="00EE3DF9" w:rsidRPr="00F5382B" w14:paraId="194A5605" w14:textId="77777777" w:rsidTr="00E5147D">
        <w:tc>
          <w:tcPr>
            <w:tcW w:w="8613" w:type="dxa"/>
          </w:tcPr>
          <w:p w14:paraId="64047005" w14:textId="77777777" w:rsidR="00EE3DF9" w:rsidRPr="00F5382B" w:rsidRDefault="00EE3DF9">
            <w:pPr>
              <w:spacing w:after="120"/>
              <w:rPr>
                <w:noProof/>
                <w:color w:val="000000" w:themeColor="text1"/>
              </w:rPr>
            </w:pPr>
            <w:r w:rsidRPr="00F5382B">
              <w:rPr>
                <w:noProof/>
                <w:color w:val="000000" w:themeColor="text1"/>
              </w:rPr>
              <w:t>SMEs are not foreseen to be disproportionally subject to negative impacts, according to the measures proposed for the preferred options. </w:t>
            </w:r>
          </w:p>
        </w:tc>
      </w:tr>
      <w:tr w:rsidR="00EE3DF9" w:rsidRPr="00F5382B" w14:paraId="5943A9BD" w14:textId="77777777" w:rsidTr="00E5147D">
        <w:tc>
          <w:tcPr>
            <w:tcW w:w="8613" w:type="dxa"/>
          </w:tcPr>
          <w:p w14:paraId="53D2CE5D" w14:textId="77777777" w:rsidR="00EE3DF9" w:rsidRPr="00F5382B" w:rsidRDefault="00EE3DF9">
            <w:pPr>
              <w:spacing w:after="120"/>
              <w:rPr>
                <w:b/>
                <w:bCs/>
                <w:noProof/>
                <w:color w:val="000000" w:themeColor="text1"/>
              </w:rPr>
            </w:pPr>
            <w:r w:rsidRPr="00F5382B">
              <w:rPr>
                <w:b/>
                <w:bCs/>
                <w:noProof/>
                <w:color w:val="000000" w:themeColor="text1"/>
              </w:rPr>
              <w:t xml:space="preserve">Have mitigating measures been included in the preferred option/proposal? </w:t>
            </w:r>
            <w:r w:rsidRPr="00F5382B">
              <w:rPr>
                <w:noProof/>
                <w:color w:val="000000" w:themeColor="text1"/>
              </w:rPr>
              <w:t xml:space="preserve">(Yes/No) </w:t>
            </w:r>
          </w:p>
        </w:tc>
      </w:tr>
      <w:tr w:rsidR="00EE3DF9" w:rsidRPr="00F5382B" w14:paraId="3847D8BD" w14:textId="77777777" w:rsidTr="00E5147D">
        <w:tc>
          <w:tcPr>
            <w:tcW w:w="8613" w:type="dxa"/>
          </w:tcPr>
          <w:p w14:paraId="13D39D57" w14:textId="77777777" w:rsidR="00EE3DF9" w:rsidRPr="00F5382B" w:rsidRDefault="00EE3DF9">
            <w:pPr>
              <w:spacing w:after="120"/>
              <w:rPr>
                <w:noProof/>
                <w:color w:val="000000" w:themeColor="text1"/>
              </w:rPr>
            </w:pPr>
            <w:r w:rsidRPr="00F5382B">
              <w:rPr>
                <w:noProof/>
                <w:color w:val="000000" w:themeColor="text1"/>
              </w:rPr>
              <w:t>Given the absence of specific negative impacts for SMEs, no mitigating measures have been included in the preferred option formulation. </w:t>
            </w:r>
          </w:p>
        </w:tc>
      </w:tr>
    </w:tbl>
    <w:p w14:paraId="3752A519" w14:textId="77777777" w:rsidR="00EE3DF9" w:rsidRPr="00F5382B" w:rsidRDefault="00EE3DF9" w:rsidP="00EE3DF9">
      <w:pPr>
        <w:spacing w:after="120"/>
        <w:rPr>
          <w:b/>
          <w:bCs/>
          <w:smallCaps/>
          <w:noProof/>
          <w:color w:val="000000" w:themeColor="text1"/>
        </w:rPr>
      </w:pPr>
    </w:p>
    <w:tbl>
      <w:tblPr>
        <w:tblStyle w:val="TableGrid"/>
        <w:tblW w:w="8642" w:type="dxa"/>
        <w:tblLayout w:type="fixed"/>
        <w:tblLook w:val="06A0" w:firstRow="1" w:lastRow="0" w:firstColumn="1" w:lastColumn="0" w:noHBand="1" w:noVBand="1"/>
      </w:tblPr>
      <w:tblGrid>
        <w:gridCol w:w="8642"/>
      </w:tblGrid>
      <w:tr w:rsidR="00EE3DF9" w:rsidRPr="00F5382B" w14:paraId="76DD847F" w14:textId="77777777">
        <w:trPr>
          <w:trHeight w:val="300"/>
        </w:trPr>
        <w:tc>
          <w:tcPr>
            <w:tcW w:w="8642" w:type="dxa"/>
          </w:tcPr>
          <w:p w14:paraId="78949322" w14:textId="77777777" w:rsidR="00EE3DF9" w:rsidRPr="00F5382B" w:rsidRDefault="00EE3DF9">
            <w:pPr>
              <w:spacing w:after="120"/>
              <w:rPr>
                <w:b/>
                <w:bCs/>
                <w:smallCaps/>
                <w:noProof/>
                <w:color w:val="000000" w:themeColor="text1"/>
              </w:rPr>
            </w:pPr>
            <w:r w:rsidRPr="00F5382B">
              <w:rPr>
                <w:b/>
                <w:bCs/>
                <w:smallCaps/>
                <w:noProof/>
                <w:color w:val="000000" w:themeColor="text1"/>
              </w:rPr>
              <w:t>Contribution to the 35% burden reduction target for SMEs</w:t>
            </w:r>
          </w:p>
        </w:tc>
      </w:tr>
      <w:tr w:rsidR="00EE3DF9" w:rsidRPr="00F5382B" w14:paraId="1005B619" w14:textId="77777777">
        <w:trPr>
          <w:trHeight w:val="300"/>
        </w:trPr>
        <w:tc>
          <w:tcPr>
            <w:tcW w:w="8642" w:type="dxa"/>
          </w:tcPr>
          <w:p w14:paraId="2B30F3CC" w14:textId="77777777" w:rsidR="00EE3DF9" w:rsidRPr="00F5382B" w:rsidRDefault="00EE3DF9">
            <w:pPr>
              <w:spacing w:after="120"/>
              <w:rPr>
                <w:b/>
                <w:bCs/>
                <w:noProof/>
                <w:color w:val="000000" w:themeColor="text1"/>
              </w:rPr>
            </w:pPr>
            <w:r w:rsidRPr="00F5382B">
              <w:rPr>
                <w:b/>
                <w:bCs/>
                <w:noProof/>
                <w:color w:val="000000" w:themeColor="text1"/>
              </w:rPr>
              <w:t>Are there any administrative cost savings relevant for the 35% burden reduction target for SMEs?</w:t>
            </w:r>
          </w:p>
        </w:tc>
      </w:tr>
      <w:tr w:rsidR="00EE3DF9" w:rsidRPr="00F5382B" w14:paraId="7945D412" w14:textId="77777777">
        <w:trPr>
          <w:trHeight w:val="300"/>
        </w:trPr>
        <w:tc>
          <w:tcPr>
            <w:tcW w:w="8642" w:type="dxa"/>
          </w:tcPr>
          <w:p w14:paraId="4627A084" w14:textId="77777777" w:rsidR="00EE3DF9" w:rsidRPr="00F5382B" w:rsidRDefault="00EE3DF9">
            <w:pPr>
              <w:spacing w:after="120"/>
              <w:rPr>
                <w:noProof/>
                <w:color w:val="000000" w:themeColor="text1"/>
              </w:rPr>
            </w:pPr>
            <w:r w:rsidRPr="00F5382B">
              <w:rPr>
                <w:noProof/>
                <w:color w:val="000000" w:themeColor="text1"/>
              </w:rPr>
              <w:t xml:space="preserve">Enhancing the cybersecurity framework supports the achievement of the 35 % burden reduction target for SMEs by streamlining certification processes and reducing administrative costs. Measures such as supply chain guidelines, organisational certification and harmonized obligations can considerably diminish the effort required for cybersecurity compliance. Reducing the number of micro- and small-sized enterprises in scope regarding the NIS2 Directive directly contributes to the 35% burden reduction target for SMEs. Moreover, as stronger involvement and support of ENISA in addressing cybersecurity incidents it is estimated to potentially reduce between 15% to 20% the cost of such incidents for affected entities. European individual attestation will further </w:t>
            </w:r>
            <w:r w:rsidRPr="00F5382B">
              <w:rPr>
                <w:rFonts w:eastAsia="Calibri"/>
                <w:noProof/>
                <w:lang w:val="en-IE" w:eastAsia="en-IE"/>
              </w:rPr>
              <w:t>support talent retention and hiring practices by providing visibility of competences, quality assurance of candidates, and will indirectly lead to potential savings to prevent cybersecurity incident thanks to trained staff.</w:t>
            </w:r>
            <w:r w:rsidRPr="00F5382B">
              <w:rPr>
                <w:noProof/>
                <w:color w:val="000000" w:themeColor="text1"/>
              </w:rPr>
              <w:t xml:space="preserve"> Regarding certification, a stronger role of ENISA is estimated to potentially generate around 35% costs savings for each certification. Moreover, as a more indirect benefits, estimates suggest that companies (including SMEs) could benefit from cyber certification in terms of lower insurance premiums related to coverage of cyber incidents. Additionally, improved clarity, modularity, and streamlined certification processes benefit SMEs by easing compliance mechanism. These measures reduce reliance on external consultants and support SMEs across critical sectors, aligning with EU policy goals for a resilient digital economy. </w:t>
            </w:r>
          </w:p>
        </w:tc>
      </w:tr>
    </w:tbl>
    <w:p w14:paraId="06E5BADE" w14:textId="77777777" w:rsidR="00EE3DF9" w:rsidRPr="00F5382B" w:rsidRDefault="00EE3DF9" w:rsidP="00EE3DF9">
      <w:pPr>
        <w:pStyle w:val="AnnexTitle0"/>
        <w:rPr>
          <w:noProof/>
        </w:rPr>
      </w:pPr>
      <w:bookmarkStart w:id="357" w:name="_Toc195101116"/>
      <w:r w:rsidRPr="00F5382B">
        <w:rPr>
          <w:noProof/>
        </w:rPr>
        <w:br w:type="page"/>
      </w:r>
    </w:p>
    <w:p w14:paraId="363E81BC" w14:textId="77777777" w:rsidR="00EE3DF9" w:rsidRPr="00F5382B" w:rsidRDefault="00EE3DF9" w:rsidP="00EE3DF9">
      <w:pPr>
        <w:pStyle w:val="AnnexTitle0"/>
        <w:rPr>
          <w:noProof/>
        </w:rPr>
      </w:pPr>
      <w:bookmarkStart w:id="358" w:name="_Toc207202588"/>
      <w:bookmarkStart w:id="359" w:name="_Toc218767787"/>
      <w:bookmarkStart w:id="360" w:name="_Toc219039513"/>
      <w:bookmarkStart w:id="361" w:name="_Toc219447416"/>
      <w:r w:rsidRPr="00F5382B">
        <w:rPr>
          <w:noProof/>
        </w:rPr>
        <w:t xml:space="preserve">Annex 7: </w:t>
      </w:r>
      <w:bookmarkEnd w:id="358"/>
      <w:r w:rsidRPr="00F5382B">
        <w:rPr>
          <w:noProof/>
        </w:rPr>
        <w:t>Magnitude and costs of cyber incidents</w:t>
      </w:r>
      <w:bookmarkEnd w:id="359"/>
      <w:bookmarkEnd w:id="360"/>
      <w:bookmarkEnd w:id="361"/>
    </w:p>
    <w:p w14:paraId="1703CDC9" w14:textId="77777777" w:rsidR="00EE3DF9" w:rsidRPr="00F5382B" w:rsidRDefault="00EE3DF9" w:rsidP="00EE3DF9">
      <w:pPr>
        <w:spacing w:after="120"/>
        <w:rPr>
          <w:noProof/>
        </w:rPr>
      </w:pPr>
      <w:r w:rsidRPr="00F5382B">
        <w:rPr>
          <w:rFonts w:eastAsia="Times New Roman"/>
          <w:noProof/>
        </w:rPr>
        <w:t xml:space="preserve">To illustrate the political context, problem definition and economic impacts of the policy options explored in this impact assessment (sections 1, 2.1 and 6.1), this document presents </w:t>
      </w:r>
      <w:r w:rsidRPr="00F5382B">
        <w:rPr>
          <w:rFonts w:eastAsia="Times New Roman"/>
          <w:b/>
          <w:bCs/>
          <w:noProof/>
        </w:rPr>
        <w:t>quantitative estimates related to direct and indirect costs of most common cybersecurity incidents</w:t>
      </w:r>
      <w:r w:rsidRPr="00F5382B">
        <w:rPr>
          <w:rFonts w:eastAsia="Times New Roman"/>
          <w:noProof/>
        </w:rPr>
        <w:t xml:space="preserve"> by threat type affecting businesses, public authorities and citizens in Europe (</w:t>
      </w:r>
      <w:hyperlink w:anchor="Part1" w:history="1">
        <w:r w:rsidRPr="00F5382B">
          <w:rPr>
            <w:rStyle w:val="Hyperlink"/>
            <w:rFonts w:eastAsia="Times New Roman"/>
            <w:noProof/>
          </w:rPr>
          <w:t>Part 1</w:t>
        </w:r>
      </w:hyperlink>
      <w:r w:rsidRPr="00F5382B">
        <w:rPr>
          <w:rFonts w:eastAsia="Times New Roman"/>
          <w:noProof/>
        </w:rPr>
        <w:t xml:space="preserve">). Additionally, examples of cybersecurity incidents are provided to illustrate </w:t>
      </w:r>
      <w:r w:rsidRPr="00F5382B">
        <w:rPr>
          <w:b/>
          <w:bCs/>
          <w:noProof/>
        </w:rPr>
        <w:t xml:space="preserve">societal and/or economic cross border impacts, with specific SMEs examples </w:t>
      </w:r>
      <w:r w:rsidRPr="00F5382B">
        <w:rPr>
          <w:rFonts w:eastAsia="Times New Roman"/>
          <w:noProof/>
        </w:rPr>
        <w:t>(</w:t>
      </w:r>
      <w:hyperlink w:anchor="Part2" w:history="1">
        <w:r w:rsidRPr="00F5382B">
          <w:rPr>
            <w:rStyle w:val="Hyperlink"/>
            <w:rFonts w:eastAsia="Times New Roman"/>
            <w:noProof/>
          </w:rPr>
          <w:t>Part 2</w:t>
        </w:r>
      </w:hyperlink>
      <w:r w:rsidRPr="00F5382B">
        <w:rPr>
          <w:rFonts w:eastAsia="Times New Roman"/>
          <w:noProof/>
        </w:rPr>
        <w:t>), followed by an illustrative overview of</w:t>
      </w:r>
      <w:r w:rsidRPr="00F5382B">
        <w:rPr>
          <w:rFonts w:eastAsia="Times New Roman"/>
          <w:b/>
          <w:bCs/>
          <w:noProof/>
        </w:rPr>
        <w:t xml:space="preserve"> c</w:t>
      </w:r>
      <w:r w:rsidRPr="00F5382B">
        <w:rPr>
          <w:b/>
          <w:bCs/>
          <w:noProof/>
        </w:rPr>
        <w:t>ybersecurity problems chain reaction on real world problems</w:t>
      </w:r>
      <w:r w:rsidRPr="00F5382B">
        <w:rPr>
          <w:noProof/>
        </w:rPr>
        <w:t xml:space="preserve"> (quantified evidence of magnitude) (</w:t>
      </w:r>
      <w:hyperlink w:anchor="Part3" w:history="1">
        <w:r w:rsidRPr="00F5382B">
          <w:rPr>
            <w:rStyle w:val="Hyperlink"/>
            <w:noProof/>
          </w:rPr>
          <w:t>Part 3</w:t>
        </w:r>
      </w:hyperlink>
      <w:r w:rsidRPr="00F5382B">
        <w:rPr>
          <w:noProof/>
        </w:rPr>
        <w:t xml:space="preserve">). A </w:t>
      </w:r>
      <w:r w:rsidRPr="00F5382B">
        <w:rPr>
          <w:b/>
          <w:bCs/>
          <w:noProof/>
        </w:rPr>
        <w:t>mini-case study on real world effects</w:t>
      </w:r>
      <w:r w:rsidRPr="00F5382B">
        <w:rPr>
          <w:rFonts w:eastAsia="Times New Roman"/>
          <w:noProof/>
        </w:rPr>
        <w:t xml:space="preserve"> is presented (</w:t>
      </w:r>
      <w:hyperlink w:anchor="Part4" w:history="1">
        <w:r w:rsidRPr="00F5382B">
          <w:rPr>
            <w:rStyle w:val="Hyperlink"/>
            <w:rFonts w:eastAsia="Times New Roman"/>
            <w:noProof/>
          </w:rPr>
          <w:t>Part 4</w:t>
        </w:r>
      </w:hyperlink>
      <w:r w:rsidRPr="00F5382B">
        <w:rPr>
          <w:rFonts w:eastAsia="Times New Roman"/>
          <w:noProof/>
        </w:rPr>
        <w:t xml:space="preserve">). The last table provides more granular </w:t>
      </w:r>
      <w:r w:rsidRPr="00F5382B">
        <w:rPr>
          <w:rFonts w:eastAsia="Times New Roman"/>
          <w:b/>
          <w:bCs/>
          <w:noProof/>
        </w:rPr>
        <w:t>data on ransomware attacks</w:t>
      </w:r>
      <w:r w:rsidRPr="00F5382B">
        <w:rPr>
          <w:rFonts w:eastAsia="Times New Roman"/>
          <w:noProof/>
        </w:rPr>
        <w:t>: financial, economic and human impacts, recovery and root causes across selected European countries (</w:t>
      </w:r>
      <w:hyperlink w:anchor="Part5" w:history="1">
        <w:r w:rsidRPr="00F5382B">
          <w:rPr>
            <w:rStyle w:val="Hyperlink"/>
            <w:rFonts w:eastAsia="Times New Roman"/>
            <w:noProof/>
          </w:rPr>
          <w:t>Part 5</w:t>
        </w:r>
      </w:hyperlink>
      <w:r w:rsidRPr="00F5382B">
        <w:rPr>
          <w:rFonts w:eastAsia="Times New Roman"/>
          <w:noProof/>
        </w:rPr>
        <w:t>).</w:t>
      </w:r>
    </w:p>
    <w:p w14:paraId="07FA4C40" w14:textId="77777777" w:rsidR="00EE3DF9" w:rsidRPr="00F5382B" w:rsidRDefault="00EE3DF9" w:rsidP="00D52AD8">
      <w:pPr>
        <w:numPr>
          <w:ilvl w:val="0"/>
          <w:numId w:val="112"/>
        </w:numPr>
        <w:spacing w:after="120"/>
        <w:textAlignment w:val="baseline"/>
        <w:rPr>
          <w:rFonts w:eastAsia="Times New Roman"/>
          <w:b/>
          <w:noProof/>
          <w:u w:val="single"/>
        </w:rPr>
      </w:pPr>
      <w:bookmarkStart w:id="362" w:name="Part1"/>
      <w:r w:rsidRPr="00F5382B">
        <w:rPr>
          <w:rFonts w:eastAsia="Times New Roman"/>
          <w:b/>
          <w:smallCaps/>
          <w:noProof/>
          <w:lang w:eastAsia="en-IE"/>
        </w:rPr>
        <w:t>Costs of cyber incidents</w:t>
      </w:r>
    </w:p>
    <w:bookmarkEnd w:id="362"/>
    <w:p w14:paraId="284BD784" w14:textId="77777777" w:rsidR="00EE3DF9" w:rsidRPr="00F5382B" w:rsidRDefault="00EE3DF9" w:rsidP="00EE3DF9">
      <w:pPr>
        <w:pStyle w:val="ListParagraph"/>
        <w:spacing w:after="200" w:line="276" w:lineRule="auto"/>
        <w:ind w:left="1080"/>
        <w:rPr>
          <w:rFonts w:eastAsia="Times New Roman"/>
          <w:b/>
          <w:bCs/>
          <w:noProof/>
          <w:u w:val="single"/>
        </w:rPr>
      </w:pPr>
      <w:r w:rsidRPr="00F5382B">
        <w:rPr>
          <w:rFonts w:eastAsia="Times New Roman"/>
          <w:b/>
          <w:smallCaps/>
          <w:noProof/>
          <w:lang w:eastAsia="en-GB"/>
        </w:rPr>
        <w:drawing>
          <wp:anchor distT="0" distB="0" distL="114300" distR="114300" simplePos="0" relativeHeight="251658240" behindDoc="0" locked="0" layoutInCell="1" allowOverlap="1" wp14:anchorId="714AAD91" wp14:editId="58F18F88">
            <wp:simplePos x="0" y="0"/>
            <wp:positionH relativeFrom="margin">
              <wp:posOffset>-843411</wp:posOffset>
            </wp:positionH>
            <wp:positionV relativeFrom="paragraph">
              <wp:posOffset>204185</wp:posOffset>
            </wp:positionV>
            <wp:extent cx="7490202" cy="4012441"/>
            <wp:effectExtent l="0" t="0" r="0" b="7620"/>
            <wp:wrapTopAndBottom/>
            <wp:docPr id="1257804646"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04646" name="Picture 1" descr="A colorful circle with text&#10;&#10;AI-generated content may be incorrect."/>
                    <pic:cNvPicPr/>
                  </pic:nvPicPr>
                  <pic:blipFill>
                    <a:blip r:embed="rId86">
                      <a:extLst>
                        <a:ext uri="{28A0092B-C50C-407E-A947-70E740481C1C}">
                          <a14:useLocalDpi xmlns:a14="http://schemas.microsoft.com/office/drawing/2010/main" val="0"/>
                        </a:ext>
                      </a:extLst>
                    </a:blip>
                    <a:stretch>
                      <a:fillRect/>
                    </a:stretch>
                  </pic:blipFill>
                  <pic:spPr>
                    <a:xfrm>
                      <a:off x="0" y="0"/>
                      <a:ext cx="7493779" cy="4014357"/>
                    </a:xfrm>
                    <a:prstGeom prst="rect">
                      <a:avLst/>
                    </a:prstGeom>
                  </pic:spPr>
                </pic:pic>
              </a:graphicData>
            </a:graphic>
            <wp14:sizeRelH relativeFrom="page">
              <wp14:pctWidth>0</wp14:pctWidth>
            </wp14:sizeRelH>
            <wp14:sizeRelV relativeFrom="page">
              <wp14:pctHeight>0</wp14:pctHeight>
            </wp14:sizeRelV>
          </wp:anchor>
        </w:drawing>
      </w:r>
    </w:p>
    <w:p w14:paraId="57B40F1B" w14:textId="5D537EC2" w:rsidR="00EE3DF9" w:rsidRPr="00F5382B" w:rsidRDefault="00EE3DF9" w:rsidP="00EE3DF9">
      <w:pPr>
        <w:spacing w:after="120"/>
        <w:rPr>
          <w:rFonts w:eastAsia="Times New Roman"/>
          <w:i/>
          <w:iCs/>
          <w:noProof/>
        </w:rPr>
      </w:pPr>
      <w:bookmarkStart w:id="363" w:name="_Toc219447483"/>
      <w:r w:rsidRPr="00E5147D">
        <w:rPr>
          <w:rStyle w:val="CaptionChar"/>
          <w:noProof/>
        </w:rPr>
        <w:t>Figure 1</w:t>
      </w:r>
      <w:r w:rsidR="0061592A" w:rsidRPr="00E5147D">
        <w:rPr>
          <w:rStyle w:val="CaptionChar"/>
          <w:noProof/>
        </w:rPr>
        <w:t>2</w:t>
      </w:r>
      <w:r w:rsidRPr="00E5147D">
        <w:rPr>
          <w:rStyle w:val="CaptionChar"/>
          <w:noProof/>
        </w:rPr>
        <w:t xml:space="preserve"> Breakdown of incidents analysed by ENISA by threat type (July 2023-June 2024)</w:t>
      </w:r>
      <w:bookmarkEnd w:id="363"/>
      <w:r w:rsidRPr="00F5382B">
        <w:rPr>
          <w:rStyle w:val="FootnoteReference"/>
          <w:rFonts w:eastAsia="Times New Roman"/>
          <w:i/>
          <w:iCs/>
          <w:noProof/>
        </w:rPr>
        <w:footnoteReference w:id="221"/>
      </w:r>
    </w:p>
    <w:p w14:paraId="31B47413" w14:textId="6E323C10" w:rsidR="00EE3DF9" w:rsidRPr="00F5382B" w:rsidRDefault="00EE3DF9" w:rsidP="00EE3DF9">
      <w:pPr>
        <w:spacing w:after="120"/>
        <w:rPr>
          <w:rFonts w:eastAsia="Times New Roman"/>
          <w:noProof/>
        </w:rPr>
      </w:pPr>
      <w:r w:rsidRPr="00F5382B">
        <w:rPr>
          <w:rFonts w:eastAsia="Times New Roman"/>
          <w:noProof/>
        </w:rPr>
        <w:t xml:space="preserve">Building on available and reliable data sources (see section 1 below), </w:t>
      </w:r>
      <w:r w:rsidRPr="00F5382B">
        <w:rPr>
          <w:rFonts w:eastAsia="Times New Roman"/>
          <w:b/>
          <w:bCs/>
          <w:noProof/>
        </w:rPr>
        <w:t xml:space="preserve">aggregated quantitative estimates of costs </w:t>
      </w:r>
      <w:r w:rsidRPr="00F5382B">
        <w:rPr>
          <w:rFonts w:eastAsia="Times New Roman"/>
          <w:noProof/>
        </w:rPr>
        <w:t>of two of the most common incidents by threat type in the European Union, namely ransomware</w:t>
      </w:r>
      <w:r w:rsidRPr="00F5382B">
        <w:rPr>
          <w:rStyle w:val="FootnoteReference"/>
          <w:rFonts w:eastAsia="Times New Roman"/>
          <w:noProof/>
        </w:rPr>
        <w:footnoteReference w:id="222"/>
      </w:r>
      <w:r w:rsidRPr="00F5382B">
        <w:rPr>
          <w:rFonts w:eastAsia="Times New Roman"/>
          <w:noProof/>
        </w:rPr>
        <w:t xml:space="preserve"> attacks (25.79% of incidents) and data breaches</w:t>
      </w:r>
      <w:r w:rsidRPr="00F5382B">
        <w:rPr>
          <w:rStyle w:val="FootnoteReference"/>
          <w:rFonts w:eastAsia="Times New Roman"/>
          <w:noProof/>
        </w:rPr>
        <w:footnoteReference w:id="223"/>
      </w:r>
      <w:r w:rsidRPr="00F5382B">
        <w:rPr>
          <w:rFonts w:eastAsia="Times New Roman"/>
          <w:noProof/>
        </w:rPr>
        <w:t xml:space="preserve"> (19.01%), are further analysed (see figure 1</w:t>
      </w:r>
      <w:r w:rsidR="00563367">
        <w:rPr>
          <w:rFonts w:eastAsia="Times New Roman"/>
          <w:noProof/>
        </w:rPr>
        <w:t>2</w:t>
      </w:r>
      <w:r w:rsidRPr="00F5382B">
        <w:rPr>
          <w:rFonts w:eastAsia="Times New Roman"/>
          <w:noProof/>
        </w:rPr>
        <w:t>). While distributed denial of services (DDoS) is the most frequent threat type (41.1%), no reliable aggregated estimates can be provided. Additionally, where relevant and available, information related to supply chain attacks, considered by ENISA as threat on a horizontal level touching multiple of other threats</w:t>
      </w:r>
      <w:r w:rsidRPr="00F5382B">
        <w:rPr>
          <w:rStyle w:val="FootnoteReference"/>
          <w:rFonts w:eastAsia="Times New Roman"/>
          <w:noProof/>
        </w:rPr>
        <w:footnoteReference w:id="224"/>
      </w:r>
      <w:r w:rsidRPr="00F5382B">
        <w:rPr>
          <w:rFonts w:eastAsia="Times New Roman"/>
          <w:noProof/>
        </w:rPr>
        <w:t xml:space="preserve">, was further included. </w:t>
      </w:r>
    </w:p>
    <w:p w14:paraId="72D5C61B" w14:textId="77777777" w:rsidR="00EE3DF9" w:rsidRPr="00F5382B" w:rsidRDefault="00EE3DF9" w:rsidP="00EE3DF9">
      <w:pPr>
        <w:spacing w:after="120"/>
        <w:rPr>
          <w:rFonts w:eastAsia="Times New Roman"/>
          <w:noProof/>
        </w:rPr>
      </w:pPr>
      <w:r w:rsidRPr="00F5382B">
        <w:rPr>
          <w:rFonts w:eastAsia="Times New Roman"/>
          <w:noProof/>
        </w:rPr>
        <w:t xml:space="preserve"> To the extent possible, the document provides granularity on various types of incidents (malicious vs. non-malicious), their </w:t>
      </w:r>
      <w:r w:rsidRPr="00F5382B">
        <w:rPr>
          <w:rFonts w:eastAsia="Times New Roman"/>
          <w:b/>
          <w:bCs/>
          <w:noProof/>
        </w:rPr>
        <w:t>distribution</w:t>
      </w:r>
      <w:r w:rsidRPr="00F5382B">
        <w:rPr>
          <w:rFonts w:eastAsia="Times New Roman"/>
          <w:noProof/>
        </w:rPr>
        <w:t xml:space="preserve"> and </w:t>
      </w:r>
      <w:r w:rsidRPr="00F5382B">
        <w:rPr>
          <w:rFonts w:eastAsia="Times New Roman"/>
          <w:b/>
          <w:bCs/>
          <w:noProof/>
        </w:rPr>
        <w:t>different costs for different types of stakeholders</w:t>
      </w:r>
      <w:r w:rsidRPr="00F5382B">
        <w:rPr>
          <w:rFonts w:eastAsia="Times New Roman"/>
          <w:noProof/>
        </w:rPr>
        <w:t xml:space="preserve">. The document also includes examples to illustrate </w:t>
      </w:r>
      <w:r w:rsidRPr="00F5382B">
        <w:rPr>
          <w:rFonts w:eastAsia="Times New Roman"/>
          <w:b/>
          <w:noProof/>
        </w:rPr>
        <w:t xml:space="preserve">direct </w:t>
      </w:r>
      <w:r w:rsidRPr="00F5382B">
        <w:rPr>
          <w:rFonts w:eastAsia="Times New Roman"/>
          <w:b/>
          <w:bCs/>
          <w:noProof/>
        </w:rPr>
        <w:t>and</w:t>
      </w:r>
      <w:r w:rsidRPr="00F5382B">
        <w:rPr>
          <w:rFonts w:eastAsia="Times New Roman"/>
          <w:noProof/>
        </w:rPr>
        <w:t xml:space="preserve"> </w:t>
      </w:r>
      <w:r w:rsidRPr="00F5382B">
        <w:rPr>
          <w:rFonts w:eastAsia="Times New Roman"/>
          <w:b/>
          <w:bCs/>
          <w:noProof/>
        </w:rPr>
        <w:t>indirect (societal and economic) costs of cyber incidents</w:t>
      </w:r>
      <w:r w:rsidRPr="00F5382B">
        <w:rPr>
          <w:rFonts w:eastAsia="Times New Roman"/>
          <w:noProof/>
        </w:rPr>
        <w:t xml:space="preserve"> for which no aggregated estimates are available and that show the full magnitude of cyber incidents, including for SMEs. </w:t>
      </w:r>
    </w:p>
    <w:p w14:paraId="0E1DE569" w14:textId="77777777" w:rsidR="00EE3DF9" w:rsidRPr="00F5382B" w:rsidRDefault="00EE3DF9" w:rsidP="00EE3DF9">
      <w:pPr>
        <w:spacing w:after="120"/>
        <w:rPr>
          <w:rFonts w:eastAsia="Times New Roman"/>
          <w:noProof/>
        </w:rPr>
      </w:pPr>
      <w:r w:rsidRPr="00F5382B">
        <w:rPr>
          <w:rFonts w:eastAsia="Times New Roman"/>
          <w:noProof/>
        </w:rPr>
        <w:t xml:space="preserve">The impact assessment (section 6.1) explains how the policy measures are likely to affect the costs related to cybersecurity incidents presented in this document. This Annex is complementary to </w:t>
      </w:r>
      <w:r w:rsidRPr="00F5382B">
        <w:rPr>
          <w:rFonts w:eastAsia="Times New Roman"/>
          <w:i/>
          <w:noProof/>
        </w:rPr>
        <w:t xml:space="preserve">Annex </w:t>
      </w:r>
      <w:r w:rsidRPr="00F5382B">
        <w:rPr>
          <w:rFonts w:eastAsia="Times New Roman"/>
          <w:i/>
          <w:iCs/>
          <w:noProof/>
        </w:rPr>
        <w:t>4</w:t>
      </w:r>
      <w:r w:rsidRPr="00F5382B">
        <w:rPr>
          <w:rFonts w:eastAsia="Times New Roman"/>
          <w:noProof/>
        </w:rPr>
        <w:t xml:space="preserve"> on the Methodological approach.  </w:t>
      </w:r>
    </w:p>
    <w:p w14:paraId="2BF69A54" w14:textId="77777777" w:rsidR="00EE3DF9" w:rsidRPr="00F5382B" w:rsidRDefault="00EE3DF9" w:rsidP="00EE3DF9">
      <w:pPr>
        <w:spacing w:after="120"/>
        <w:rPr>
          <w:rFonts w:eastAsia="Times New Roman"/>
          <w:noProof/>
        </w:rPr>
      </w:pPr>
    </w:p>
    <w:p w14:paraId="2E8B504C" w14:textId="77777777" w:rsidR="00EE3DF9" w:rsidRPr="00F5382B" w:rsidRDefault="00EE3DF9" w:rsidP="00D52AD8">
      <w:pPr>
        <w:pStyle w:val="ListParagraph"/>
        <w:numPr>
          <w:ilvl w:val="0"/>
          <w:numId w:val="102"/>
        </w:numPr>
        <w:spacing w:before="120"/>
        <w:ind w:hanging="357"/>
        <w:contextualSpacing w:val="0"/>
        <w:jc w:val="left"/>
        <w:rPr>
          <w:b/>
          <w:noProof/>
        </w:rPr>
      </w:pPr>
      <w:r w:rsidRPr="00F5382B">
        <w:rPr>
          <w:b/>
          <w:noProof/>
        </w:rPr>
        <w:t xml:space="preserve">Methodological approach </w:t>
      </w:r>
    </w:p>
    <w:p w14:paraId="31944DE6" w14:textId="77777777" w:rsidR="00EE3DF9" w:rsidRPr="00F5382B" w:rsidRDefault="00EE3DF9" w:rsidP="00D52AD8">
      <w:pPr>
        <w:pStyle w:val="ListParagraph"/>
        <w:numPr>
          <w:ilvl w:val="1"/>
          <w:numId w:val="102"/>
        </w:numPr>
        <w:spacing w:before="120"/>
        <w:ind w:hanging="357"/>
        <w:contextualSpacing w:val="0"/>
        <w:jc w:val="left"/>
        <w:rPr>
          <w:b/>
          <w:noProof/>
        </w:rPr>
      </w:pPr>
      <w:r w:rsidRPr="00F5382B">
        <w:rPr>
          <w:b/>
          <w:bCs/>
          <w:noProof/>
        </w:rPr>
        <w:t xml:space="preserve"> Data limitations</w:t>
      </w:r>
    </w:p>
    <w:p w14:paraId="217D45AD" w14:textId="77777777" w:rsidR="00EE3DF9" w:rsidRPr="00F5382B" w:rsidRDefault="00EE3DF9" w:rsidP="00EE3DF9">
      <w:pPr>
        <w:spacing w:after="120"/>
        <w:rPr>
          <w:rFonts w:eastAsia="Times New Roman"/>
          <w:noProof/>
        </w:rPr>
      </w:pPr>
      <w:r w:rsidRPr="00F5382B">
        <w:rPr>
          <w:rFonts w:eastAsia="Times New Roman"/>
          <w:noProof/>
        </w:rPr>
        <w:t>As identified in other jurisdictions</w:t>
      </w:r>
      <w:r w:rsidRPr="00F5382B">
        <w:rPr>
          <w:rStyle w:val="FootnoteReference"/>
          <w:rFonts w:eastAsia="Times New Roman"/>
          <w:noProof/>
        </w:rPr>
        <w:footnoteReference w:id="225"/>
      </w:r>
      <w:r w:rsidRPr="00F5382B">
        <w:rPr>
          <w:rFonts w:eastAsia="Times New Roman"/>
          <w:noProof/>
        </w:rPr>
        <w:t xml:space="preserve">, </w:t>
      </w:r>
      <w:r w:rsidRPr="00F5382B">
        <w:rPr>
          <w:rFonts w:eastAsia="Times New Roman"/>
          <w:b/>
          <w:bCs/>
          <w:noProof/>
        </w:rPr>
        <w:t>the costs of adversarial cyber activity are difficult to estimate in a reliable fashion in the absence of common and mandatory reporting mechanism</w:t>
      </w:r>
      <w:r w:rsidRPr="00F5382B">
        <w:rPr>
          <w:rFonts w:eastAsia="Times New Roman"/>
          <w:noProof/>
        </w:rPr>
        <w:t xml:space="preserve"> due to a series of factors which should be taken into consideration when exploring the said data:</w:t>
      </w:r>
      <w:r w:rsidRPr="00F5382B">
        <w:rPr>
          <w:noProof/>
        </w:rPr>
        <w:t xml:space="preserve"> </w:t>
      </w:r>
    </w:p>
    <w:p w14:paraId="5DE6BE82" w14:textId="77777777" w:rsidR="00EE3DF9" w:rsidRPr="00F5382B" w:rsidRDefault="00EE3DF9" w:rsidP="00D52AD8">
      <w:pPr>
        <w:pStyle w:val="ListParagraph"/>
        <w:numPr>
          <w:ilvl w:val="3"/>
          <w:numId w:val="102"/>
        </w:numPr>
        <w:spacing w:after="120"/>
        <w:ind w:left="425" w:hanging="357"/>
        <w:contextualSpacing w:val="0"/>
        <w:rPr>
          <w:rFonts w:eastAsia="Times New Roman"/>
          <w:noProof/>
          <w:color w:val="000000" w:themeColor="text1"/>
        </w:rPr>
      </w:pPr>
      <w:r w:rsidRPr="00F5382B">
        <w:rPr>
          <w:rFonts w:eastAsia="Times New Roman"/>
          <w:noProof/>
        </w:rPr>
        <w:t xml:space="preserve">The </w:t>
      </w:r>
      <w:r w:rsidRPr="00F5382B">
        <w:rPr>
          <w:rFonts w:eastAsia="Times New Roman"/>
          <w:b/>
          <w:bCs/>
          <w:noProof/>
        </w:rPr>
        <w:t>sensitive nature of cybersecurity incident</w:t>
      </w:r>
      <w:r w:rsidRPr="00F5382B">
        <w:rPr>
          <w:rFonts w:eastAsia="Times New Roman"/>
          <w:b/>
          <w:noProof/>
        </w:rPr>
        <w:t>s (underreporting)</w:t>
      </w:r>
      <w:r w:rsidRPr="00F5382B">
        <w:rPr>
          <w:rFonts w:eastAsia="Times New Roman"/>
          <w:noProof/>
        </w:rPr>
        <w:t>: Economic actors often exhibit significant reluctance in disclosing the specifics and costs associated with such events. This reluctance stems from concerns over reputational damage, potential legal liabilities, and competitive disadvantages. Any available data or estimations must be viewed with these limitations in mind</w:t>
      </w:r>
      <w:r w:rsidRPr="00F5382B">
        <w:rPr>
          <w:rFonts w:eastAsia="Times New Roman"/>
          <w:noProof/>
          <w:color w:val="000000" w:themeColor="text1"/>
        </w:rPr>
        <w:t xml:space="preserve">, recognizing that they may not fully capture the scope or scale of the potential impacts. Additionally, not all cybersecurity incidents are reported. </w:t>
      </w:r>
    </w:p>
    <w:p w14:paraId="7827780F" w14:textId="77777777" w:rsidR="00EE3DF9" w:rsidRPr="00F5382B" w:rsidRDefault="00EE3DF9" w:rsidP="00D52AD8">
      <w:pPr>
        <w:pStyle w:val="ListParagraph"/>
        <w:numPr>
          <w:ilvl w:val="3"/>
          <w:numId w:val="102"/>
        </w:numPr>
        <w:spacing w:after="120"/>
        <w:ind w:left="425" w:hanging="357"/>
        <w:contextualSpacing w:val="0"/>
        <w:rPr>
          <w:rFonts w:eastAsia="Times New Roman"/>
          <w:noProof/>
          <w:color w:val="000000" w:themeColor="text1"/>
        </w:rPr>
      </w:pPr>
      <w:r w:rsidRPr="00F5382B">
        <w:rPr>
          <w:rFonts w:eastAsia="Times New Roman"/>
          <w:b/>
          <w:bCs/>
          <w:noProof/>
        </w:rPr>
        <w:t>Overlaps between different types of threats (complexity of the cyberspace)</w:t>
      </w:r>
      <w:r w:rsidRPr="00F5382B">
        <w:rPr>
          <w:rFonts w:eastAsia="Times New Roman"/>
          <w:noProof/>
        </w:rPr>
        <w:t xml:space="preserve">: An incident can be caused by different types of cybersecurity threats, leading to challenges in assessing the root cause of the damages. For instance, one of the techniques in ransomware is to encrypt data and ask a ransom to decrypt them. If the ransom is not paid, the data will be leaked, leading to a data breach. </w:t>
      </w:r>
    </w:p>
    <w:p w14:paraId="1D35DACD" w14:textId="77777777" w:rsidR="00EE3DF9" w:rsidRPr="00F5382B" w:rsidRDefault="00EE3DF9" w:rsidP="00D52AD8">
      <w:pPr>
        <w:pStyle w:val="ListParagraph"/>
        <w:numPr>
          <w:ilvl w:val="3"/>
          <w:numId w:val="102"/>
        </w:numPr>
        <w:spacing w:after="120"/>
        <w:ind w:left="425" w:hanging="357"/>
        <w:contextualSpacing w:val="0"/>
        <w:rPr>
          <w:rFonts w:eastAsia="Times New Roman"/>
          <w:noProof/>
          <w:color w:val="000000" w:themeColor="text1"/>
        </w:rPr>
      </w:pPr>
      <w:r w:rsidRPr="00F5382B">
        <w:rPr>
          <w:rFonts w:eastAsia="Times New Roman"/>
          <w:b/>
          <w:bCs/>
          <w:noProof/>
          <w:color w:val="000000" w:themeColor="text1"/>
        </w:rPr>
        <w:t>Challenges related to cost quantification of cyber incidents (</w:t>
      </w:r>
      <w:r w:rsidRPr="00F5382B">
        <w:rPr>
          <w:rFonts w:eastAsia="Times New Roman"/>
          <w:b/>
          <w:noProof/>
        </w:rPr>
        <w:t>lack of sufficient data on costs and losses)</w:t>
      </w:r>
      <w:r w:rsidRPr="00F5382B">
        <w:rPr>
          <w:rFonts w:eastAsia="Times New Roman"/>
          <w:b/>
          <w:bCs/>
          <w:noProof/>
          <w:color w:val="000000" w:themeColor="text1"/>
        </w:rPr>
        <w:t xml:space="preserve">: </w:t>
      </w:r>
      <w:r w:rsidRPr="00F5382B">
        <w:rPr>
          <w:rFonts w:eastAsia="Times New Roman"/>
          <w:noProof/>
          <w:color w:val="000000" w:themeColor="text1"/>
        </w:rPr>
        <w:t xml:space="preserve">The unpredictable nature of the aftermath of significant cybersecurity disruptions makes it exceedingly difficult to quantify material and human costs in advance. While economic analyses can provide estimates of direct costs, the broader societal impacts — including potential loss of life linked to outages in critical infrastructure — are not easily quantifiable. These assessments are typically performed retrospectively. Extrapolating from a single incident would not lead to reliable data, the impacts of incidents differing widely depending on factors such as the type of attack, sector, supply chain dependencies, geographical dimension... </w:t>
      </w:r>
    </w:p>
    <w:p w14:paraId="3617ADFC" w14:textId="77777777" w:rsidR="00EE3DF9" w:rsidRPr="00F5382B" w:rsidRDefault="00EE3DF9" w:rsidP="00D52AD8">
      <w:pPr>
        <w:pStyle w:val="ListParagraph"/>
        <w:numPr>
          <w:ilvl w:val="3"/>
          <w:numId w:val="102"/>
        </w:numPr>
        <w:spacing w:after="120"/>
        <w:ind w:left="425" w:hanging="357"/>
        <w:contextualSpacing w:val="0"/>
        <w:rPr>
          <w:rFonts w:eastAsia="Times New Roman"/>
          <w:noProof/>
          <w:color w:val="000000" w:themeColor="text1"/>
        </w:rPr>
      </w:pPr>
      <w:r w:rsidRPr="00F5382B">
        <w:rPr>
          <w:rFonts w:eastAsia="Times New Roman"/>
          <w:b/>
          <w:bCs/>
          <w:noProof/>
          <w:color w:val="000000" w:themeColor="text1"/>
        </w:rPr>
        <w:t>Comparability (lack of common reporting mechanism)</w:t>
      </w:r>
      <w:r w:rsidRPr="00F5382B">
        <w:rPr>
          <w:rFonts w:eastAsia="Times New Roman"/>
          <w:noProof/>
          <w:color w:val="000000" w:themeColor="text1"/>
        </w:rPr>
        <w:t>: While data from incidents occurring in the US are more easily accessible and reliable due to reporting mechanisms</w:t>
      </w:r>
      <w:r w:rsidRPr="00F5382B">
        <w:rPr>
          <w:rStyle w:val="FootnoteReference"/>
          <w:rFonts w:eastAsia="Times New Roman"/>
          <w:noProof/>
          <w:color w:val="000000" w:themeColor="text1"/>
        </w:rPr>
        <w:footnoteReference w:id="226"/>
      </w:r>
      <w:r w:rsidRPr="00F5382B">
        <w:rPr>
          <w:rFonts w:eastAsia="Times New Roman"/>
          <w:noProof/>
          <w:color w:val="000000" w:themeColor="text1"/>
        </w:rPr>
        <w:t>, such data cannot systematically be compared or used with the European market. For instance, cybersecurity incidents insurance models in the US and in Europe can hardly be compared. Hence, such comparisons or figures cannot be used nor considered reliable for comparison. Reporting across European countries may also vary. For the purpose of this impact assessment and in the absence of a unified reporting system, it is considered that the data can be compared.</w:t>
      </w:r>
    </w:p>
    <w:p w14:paraId="457A6946" w14:textId="77777777" w:rsidR="00EE3DF9" w:rsidRPr="00F5382B" w:rsidRDefault="00EE3DF9" w:rsidP="00EE3DF9">
      <w:pPr>
        <w:spacing w:after="120"/>
        <w:rPr>
          <w:rFonts w:eastAsia="Times New Roman"/>
          <w:noProof/>
        </w:rPr>
      </w:pPr>
      <w:r w:rsidRPr="00F5382B">
        <w:rPr>
          <w:rFonts w:eastAsia="Times New Roman"/>
          <w:noProof/>
        </w:rPr>
        <w:t xml:space="preserve">The reliability of information presented in this document is further outlined in the following section. </w:t>
      </w:r>
    </w:p>
    <w:p w14:paraId="04257C46" w14:textId="77777777" w:rsidR="00EE3DF9" w:rsidRPr="00F5382B" w:rsidRDefault="00EE3DF9" w:rsidP="00D52AD8">
      <w:pPr>
        <w:pStyle w:val="ListParagraph"/>
        <w:numPr>
          <w:ilvl w:val="1"/>
          <w:numId w:val="102"/>
        </w:numPr>
        <w:spacing w:before="120"/>
        <w:ind w:hanging="357"/>
        <w:contextualSpacing w:val="0"/>
        <w:jc w:val="left"/>
        <w:rPr>
          <w:b/>
          <w:bCs/>
          <w:noProof/>
        </w:rPr>
      </w:pPr>
      <w:r w:rsidRPr="00F5382B">
        <w:rPr>
          <w:b/>
          <w:bCs/>
          <w:noProof/>
        </w:rPr>
        <w:t xml:space="preserve"> Data sources for cost aggregation</w:t>
      </w:r>
    </w:p>
    <w:p w14:paraId="2D1D34BD" w14:textId="77777777" w:rsidR="00EE3DF9" w:rsidRPr="00F5382B" w:rsidRDefault="00EE3DF9" w:rsidP="00EE3DF9">
      <w:pPr>
        <w:spacing w:after="120"/>
        <w:rPr>
          <w:rFonts w:eastAsiaTheme="minorEastAsia"/>
          <w:noProof/>
          <w:vertAlign w:val="superscript"/>
        </w:rPr>
      </w:pPr>
      <w:r w:rsidRPr="00F5382B">
        <w:rPr>
          <w:rFonts w:eastAsia="Times New Roman"/>
          <w:noProof/>
        </w:rPr>
        <w:t>Data presented are extracted from two different sources: IBM Cost of a Data Breach Report 2025</w:t>
      </w:r>
      <w:r w:rsidRPr="00F5382B">
        <w:rPr>
          <w:rFonts w:eastAsiaTheme="minorEastAsia"/>
          <w:noProof/>
          <w:vertAlign w:val="superscript"/>
        </w:rPr>
        <w:footnoteReference w:id="227"/>
      </w:r>
      <w:r w:rsidRPr="00F5382B">
        <w:rPr>
          <w:rFonts w:eastAsia="Times New Roman"/>
          <w:noProof/>
        </w:rPr>
        <w:t xml:space="preserve"> and 2024</w:t>
      </w:r>
      <w:r w:rsidRPr="00F5382B">
        <w:rPr>
          <w:rStyle w:val="FootnoteReference"/>
          <w:rFonts w:eastAsia="Times New Roman"/>
          <w:noProof/>
        </w:rPr>
        <w:footnoteReference w:id="228"/>
      </w:r>
      <w:r w:rsidRPr="00F5382B">
        <w:rPr>
          <w:rFonts w:eastAsia="Times New Roman"/>
          <w:noProof/>
        </w:rPr>
        <w:t>; and Sophos "State of Ransomware" reports for 2025</w:t>
      </w:r>
      <w:r w:rsidRPr="00F5382B">
        <w:rPr>
          <w:rFonts w:eastAsiaTheme="minorEastAsia"/>
          <w:noProof/>
          <w:vertAlign w:val="superscript"/>
        </w:rPr>
        <w:footnoteReference w:id="229"/>
      </w:r>
      <w:r w:rsidRPr="00F5382B">
        <w:rPr>
          <w:rFonts w:eastAsia="Times New Roman"/>
          <w:noProof/>
        </w:rPr>
        <w:t xml:space="preserve"> (covering globally and also on specific countries: Spain, France, Germany, Italy, Switzerland and the UK).</w:t>
      </w:r>
    </w:p>
    <w:p w14:paraId="547D100C" w14:textId="77777777" w:rsidR="00EE3DF9" w:rsidRPr="00F5382B" w:rsidRDefault="00EE3DF9" w:rsidP="00EE3DF9">
      <w:pPr>
        <w:spacing w:after="120"/>
        <w:rPr>
          <w:rFonts w:eastAsia="Times New Roman"/>
          <w:i/>
          <w:iCs/>
          <w:noProof/>
        </w:rPr>
      </w:pPr>
      <w:r w:rsidRPr="00F5382B">
        <w:rPr>
          <w:rFonts w:eastAsia="Times New Roman"/>
          <w:i/>
          <w:iCs/>
          <w:noProof/>
        </w:rPr>
        <w:t>About the IBM Cost of Data Breach Reports</w:t>
      </w:r>
    </w:p>
    <w:p w14:paraId="5CDD90F2" w14:textId="77777777" w:rsidR="00EE3DF9" w:rsidRPr="00F5382B" w:rsidRDefault="00EE3DF9" w:rsidP="00EE3DF9">
      <w:pPr>
        <w:spacing w:after="120"/>
        <w:rPr>
          <w:rFonts w:eastAsia="Times New Roman"/>
          <w:noProof/>
        </w:rPr>
      </w:pPr>
      <w:r w:rsidRPr="00F5382B">
        <w:rPr>
          <w:rFonts w:eastAsia="Times New Roman"/>
          <w:noProof/>
        </w:rPr>
        <w:t xml:space="preserve">IBM reports are based on research that studied 600 organizations impacted by data breaches across 16 countries and regions, in partnership with the Ponemon Institute, which quantifies the financial impact and trends associated with data security incidents globally. IBM study is worldwide, and it includes specific European countries and regions (Belgium, the Netherlands, and Luxembourg together (Benelux), Germany, France, Italy and the UK). </w:t>
      </w:r>
    </w:p>
    <w:p w14:paraId="3B0E8608" w14:textId="77777777" w:rsidR="00EE3DF9" w:rsidRPr="00F5382B" w:rsidRDefault="00EE3DF9" w:rsidP="00EE3DF9">
      <w:pPr>
        <w:spacing w:after="120"/>
        <w:rPr>
          <w:rFonts w:eastAsia="Times New Roman"/>
          <w:noProof/>
        </w:rPr>
      </w:pPr>
      <w:r w:rsidRPr="00F5382B">
        <w:rPr>
          <w:rFonts w:eastAsia="Times New Roman"/>
          <w:noProof/>
        </w:rPr>
        <w:t xml:space="preserve">The data breaches examined ranged in size </w:t>
      </w:r>
      <w:r w:rsidRPr="00F5382B">
        <w:rPr>
          <w:rFonts w:eastAsia="Times New Roman"/>
          <w:b/>
          <w:bCs/>
          <w:noProof/>
        </w:rPr>
        <w:t>between 2,960 and 113,620 compromised records</w:t>
      </w:r>
      <w:r w:rsidRPr="00F5382B">
        <w:rPr>
          <w:rFonts w:eastAsia="Times New Roman"/>
          <w:noProof/>
        </w:rPr>
        <w:t xml:space="preserve">. It excludes very small and very large breaches. Researchers collected in-depth qualitative data through </w:t>
      </w:r>
      <w:r w:rsidRPr="00F5382B">
        <w:rPr>
          <w:rFonts w:eastAsia="Times New Roman"/>
          <w:b/>
          <w:bCs/>
          <w:noProof/>
        </w:rPr>
        <w:t>3,470 separate interviews</w:t>
      </w:r>
      <w:r w:rsidRPr="00F5382B">
        <w:rPr>
          <w:rFonts w:eastAsia="Times New Roman"/>
          <w:noProof/>
        </w:rPr>
        <w:t>. Interviewees included CEOs, CISOs, heads of operations, controllers, IT practitioners, and risk management specialists.</w:t>
      </w:r>
    </w:p>
    <w:p w14:paraId="3738ACE2" w14:textId="77777777" w:rsidR="00EE3DF9" w:rsidRPr="00F5382B" w:rsidRDefault="00EE3DF9" w:rsidP="00EE3DF9">
      <w:pPr>
        <w:spacing w:after="120"/>
        <w:rPr>
          <w:rFonts w:eastAsia="Times New Roman"/>
          <w:noProof/>
        </w:rPr>
      </w:pPr>
      <w:r w:rsidRPr="00F5382B">
        <w:rPr>
          <w:rFonts w:eastAsia="Times New Roman"/>
          <w:noProof/>
        </w:rPr>
        <w:t xml:space="preserve">Costs include </w:t>
      </w:r>
      <w:r w:rsidRPr="00F5382B">
        <w:rPr>
          <w:rFonts w:eastAsia="Times New Roman"/>
          <w:b/>
          <w:bCs/>
          <w:noProof/>
        </w:rPr>
        <w:t>direct expenses</w:t>
      </w:r>
      <w:r w:rsidRPr="00F5382B">
        <w:rPr>
          <w:rFonts w:eastAsia="Times New Roman"/>
          <w:noProof/>
        </w:rPr>
        <w:t xml:space="preserve"> (engaging forensic experts, outsourcing hotline support, and providing free credit monitoring or product discounts) and </w:t>
      </w:r>
      <w:r w:rsidRPr="00F5382B">
        <w:rPr>
          <w:rFonts w:eastAsia="Times New Roman"/>
          <w:b/>
          <w:bCs/>
          <w:noProof/>
        </w:rPr>
        <w:t>indirect costs</w:t>
      </w:r>
      <w:r w:rsidRPr="00F5382B">
        <w:rPr>
          <w:rFonts w:eastAsia="Times New Roman"/>
          <w:noProof/>
        </w:rPr>
        <w:t xml:space="preserve"> (in-house investigations and communications, as well as the extrapolated value of customer loss resulting from turnover or diminished customer acquisition rates). </w:t>
      </w:r>
    </w:p>
    <w:p w14:paraId="144D3AFD" w14:textId="77777777" w:rsidR="00EE3DF9" w:rsidRPr="00F5382B" w:rsidRDefault="00EE3DF9" w:rsidP="00EE3DF9">
      <w:pPr>
        <w:spacing w:after="120"/>
        <w:rPr>
          <w:rFonts w:eastAsia="Times New Roman"/>
          <w:i/>
          <w:iCs/>
          <w:noProof/>
        </w:rPr>
      </w:pPr>
      <w:r w:rsidRPr="00F5382B">
        <w:rPr>
          <w:rFonts w:eastAsia="Times New Roman"/>
          <w:i/>
          <w:iCs/>
          <w:noProof/>
        </w:rPr>
        <w:t xml:space="preserve">About Sophos report on "State of Ransomware" </w:t>
      </w:r>
    </w:p>
    <w:p w14:paraId="71DCAA10" w14:textId="77777777" w:rsidR="00EE3DF9" w:rsidRPr="00F5382B" w:rsidRDefault="00EE3DF9" w:rsidP="00EE3DF9">
      <w:pPr>
        <w:spacing w:after="120"/>
        <w:rPr>
          <w:rFonts w:eastAsia="Times New Roman"/>
          <w:noProof/>
        </w:rPr>
      </w:pPr>
      <w:r w:rsidRPr="00F5382B">
        <w:rPr>
          <w:rFonts w:eastAsia="Times New Roman"/>
          <w:noProof/>
        </w:rPr>
        <w:t xml:space="preserve">Sophos reports are based on an independent, vendor-agnostic </w:t>
      </w:r>
      <w:r w:rsidRPr="00F5382B">
        <w:rPr>
          <w:rFonts w:eastAsia="Times New Roman"/>
          <w:b/>
          <w:bCs/>
          <w:noProof/>
        </w:rPr>
        <w:t>survey of 3,400 IT/cybersecurity leaders</w:t>
      </w:r>
      <w:r w:rsidRPr="00F5382B">
        <w:rPr>
          <w:rFonts w:eastAsia="Times New Roman"/>
          <w:noProof/>
        </w:rPr>
        <w:t xml:space="preserve"> who work in organizations that were affected by</w:t>
      </w:r>
      <w:r w:rsidRPr="00F5382B">
        <w:rPr>
          <w:rFonts w:eastAsia="Times New Roman"/>
          <w:b/>
          <w:bCs/>
          <w:noProof/>
        </w:rPr>
        <w:t xml:space="preserve"> ransomware</w:t>
      </w:r>
      <w:r w:rsidRPr="00F5382B">
        <w:rPr>
          <w:rFonts w:eastAsia="Times New Roman"/>
          <w:noProof/>
        </w:rPr>
        <w:t xml:space="preserve"> in 2025. All respondents work in organizations that employ </w:t>
      </w:r>
      <w:r w:rsidRPr="00F5382B">
        <w:rPr>
          <w:rFonts w:eastAsia="Times New Roman"/>
          <w:b/>
          <w:bCs/>
          <w:noProof/>
        </w:rPr>
        <w:t>between 100 and 5,000 employees</w:t>
      </w:r>
      <w:r w:rsidRPr="00F5382B">
        <w:rPr>
          <w:rFonts w:eastAsia="Times New Roman"/>
          <w:noProof/>
        </w:rPr>
        <w:t xml:space="preserve">. </w:t>
      </w:r>
    </w:p>
    <w:p w14:paraId="397523D2" w14:textId="77777777" w:rsidR="00EE3DF9" w:rsidRPr="00F5382B" w:rsidRDefault="00EE3DF9" w:rsidP="00EE3DF9">
      <w:pPr>
        <w:spacing w:after="120"/>
        <w:rPr>
          <w:rFonts w:eastAsia="Times New Roman"/>
          <w:noProof/>
        </w:rPr>
      </w:pPr>
      <w:r w:rsidRPr="00F5382B">
        <w:rPr>
          <w:rFonts w:eastAsia="Times New Roman"/>
          <w:noProof/>
        </w:rPr>
        <w:t xml:space="preserve">Reports on specific countries are based on a survey of: </w:t>
      </w:r>
    </w:p>
    <w:p w14:paraId="5DEBFA71"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Germany: 300 IT/cybersecurity leaders were surveyed</w:t>
      </w:r>
    </w:p>
    <w:p w14:paraId="40F3A202"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Italy: 254 IT/cybersecurity leaders were surveyed</w:t>
      </w:r>
    </w:p>
    <w:p w14:paraId="5D9B0236"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Spain: 237 IT/cybersecurity leaders were surveyed</w:t>
      </w:r>
    </w:p>
    <w:p w14:paraId="1EB0C981"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UK: 201 IT/cybersecurity leaders were surveyed</w:t>
      </w:r>
    </w:p>
    <w:p w14:paraId="7F2F2550"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France: 185 IT/cybersecurity leaders were surveyed</w:t>
      </w:r>
    </w:p>
    <w:p w14:paraId="4EB76AE4" w14:textId="77777777" w:rsidR="00EE3DF9" w:rsidRPr="00F5382B" w:rsidRDefault="00EE3DF9" w:rsidP="00D52AD8">
      <w:pPr>
        <w:pStyle w:val="ListParagraph"/>
        <w:numPr>
          <w:ilvl w:val="0"/>
          <w:numId w:val="103"/>
        </w:numPr>
        <w:spacing w:after="120"/>
        <w:ind w:left="425" w:hanging="357"/>
        <w:contextualSpacing w:val="0"/>
        <w:rPr>
          <w:rFonts w:eastAsia="Times New Roman"/>
          <w:noProof/>
        </w:rPr>
      </w:pPr>
      <w:r w:rsidRPr="00F5382B">
        <w:rPr>
          <w:rFonts w:eastAsia="Times New Roman"/>
          <w:noProof/>
        </w:rPr>
        <w:t>Switzerland: 74 IT/cybersecurity leaders were surveyed</w:t>
      </w:r>
    </w:p>
    <w:p w14:paraId="6D8C9E58" w14:textId="77777777" w:rsidR="00EE3DF9" w:rsidRPr="00F5382B" w:rsidRDefault="00EE3DF9" w:rsidP="00D52AD8">
      <w:pPr>
        <w:pStyle w:val="ListParagraph"/>
        <w:numPr>
          <w:ilvl w:val="0"/>
          <w:numId w:val="102"/>
        </w:numPr>
        <w:spacing w:before="120"/>
        <w:ind w:hanging="357"/>
        <w:contextualSpacing w:val="0"/>
        <w:jc w:val="left"/>
        <w:rPr>
          <w:b/>
          <w:noProof/>
        </w:rPr>
      </w:pPr>
      <w:r w:rsidRPr="00F5382B">
        <w:rPr>
          <w:b/>
          <w:noProof/>
        </w:rPr>
        <w:t xml:space="preserve">Malicious vs. non-malicious intent of incidents and attack vectors  </w:t>
      </w:r>
    </w:p>
    <w:p w14:paraId="46A376ED" w14:textId="77777777" w:rsidR="00EE3DF9" w:rsidRPr="00F5382B" w:rsidRDefault="00EE3DF9" w:rsidP="00EE3DF9">
      <w:pPr>
        <w:spacing w:after="120"/>
        <w:rPr>
          <w:rFonts w:eastAsia="Times New Roman"/>
          <w:noProof/>
        </w:rPr>
      </w:pPr>
      <w:r w:rsidRPr="00F5382B">
        <w:rPr>
          <w:rFonts w:eastAsia="Times New Roman Bold"/>
          <w:noProof/>
        </w:rPr>
        <w:t>When analysing incidents, one consideration is whether these have been originated by malicious or non-malicious activities. In the IBM reports, “data breach” is used to cover all threats against data</w:t>
      </w:r>
      <w:r w:rsidRPr="00F5382B">
        <w:rPr>
          <w:rStyle w:val="FootnoteReference"/>
          <w:rFonts w:eastAsia="Times New Roman Bold"/>
          <w:noProof/>
        </w:rPr>
        <w:footnoteReference w:id="230"/>
      </w:r>
      <w:r w:rsidRPr="00F5382B">
        <w:rPr>
          <w:rFonts w:eastAsia="Times New Roman Bold"/>
          <w:noProof/>
        </w:rPr>
        <w:t xml:space="preserve">. </w:t>
      </w:r>
      <w:r w:rsidRPr="00F5382B">
        <w:rPr>
          <w:rFonts w:eastAsia="Times New Roman Bold"/>
          <w:b/>
          <w:bCs/>
          <w:noProof/>
        </w:rPr>
        <w:t xml:space="preserve">Regarding data breaches, 51% of the incidents can be attributed </w:t>
      </w:r>
      <w:r w:rsidRPr="00F5382B">
        <w:rPr>
          <w:rFonts w:eastAsia="Times New Roman"/>
          <w:b/>
          <w:bCs/>
          <w:noProof/>
        </w:rPr>
        <w:t>to malicious activities</w:t>
      </w:r>
      <w:r w:rsidRPr="00F5382B">
        <w:rPr>
          <w:rStyle w:val="FootnoteReference"/>
          <w:rFonts w:eastAsia="Times New Roman"/>
          <w:b/>
          <w:bCs/>
          <w:noProof/>
        </w:rPr>
        <w:footnoteReference w:id="231"/>
      </w:r>
      <w:r w:rsidRPr="00F5382B">
        <w:rPr>
          <w:rFonts w:eastAsia="Times New Roman"/>
          <w:noProof/>
        </w:rPr>
        <w:t>; 26% attributed to human error and 23% to IT failures</w:t>
      </w:r>
      <w:r w:rsidRPr="00F5382B">
        <w:rPr>
          <w:rStyle w:val="FootnoteReference"/>
          <w:rFonts w:eastAsia="Times New Roman"/>
          <w:noProof/>
        </w:rPr>
        <w:footnoteReference w:id="232"/>
      </w:r>
      <w:r w:rsidRPr="00F5382B">
        <w:rPr>
          <w:rFonts w:eastAsia="Times New Roman"/>
          <w:noProof/>
        </w:rPr>
        <w:t>. Hereafter, the expression “data breach” will be used to cover threats against data resulting from malicious activity only, as understood by ENISA.</w:t>
      </w:r>
    </w:p>
    <w:p w14:paraId="08163DBD" w14:textId="0A2438FF" w:rsidR="00EE3DF9" w:rsidRPr="00F5382B" w:rsidRDefault="00EE3DF9" w:rsidP="00EE3DF9">
      <w:pPr>
        <w:spacing w:after="120"/>
        <w:rPr>
          <w:rFonts w:eastAsia="Times New Roman Bold"/>
          <w:noProof/>
        </w:rPr>
      </w:pPr>
      <w:r w:rsidRPr="00F5382B">
        <w:rPr>
          <w:rFonts w:eastAsia="Times New Roman Bold"/>
          <w:b/>
          <w:bCs/>
          <w:noProof/>
        </w:rPr>
        <w:t>Malicious activities</w:t>
      </w:r>
      <w:r w:rsidRPr="00F5382B">
        <w:rPr>
          <w:rFonts w:eastAsia="Times New Roman Bold"/>
          <w:noProof/>
        </w:rPr>
        <w:t xml:space="preserve"> are those actions</w:t>
      </w:r>
      <w:r w:rsidRPr="00F5382B">
        <w:rPr>
          <w:rFonts w:eastAsia="Times New Roman Bold"/>
          <w:noProof/>
          <w:lang w:val="en-IE"/>
        </w:rPr>
        <w:t xml:space="preserve"> that seek to compromise or impair the confidentiality, integrity, or availability of computers, information or communications systems, networks, physical or virtual infrastructure controlled by computers or information systems, or information resident thereon</w:t>
      </w:r>
      <w:r w:rsidRPr="00F5382B">
        <w:rPr>
          <w:rStyle w:val="FootnoteReference"/>
          <w:rFonts w:eastAsia="Times New Roman Bold"/>
          <w:noProof/>
          <w:lang w:val="en-IE"/>
        </w:rPr>
        <w:footnoteReference w:id="233"/>
      </w:r>
      <w:r w:rsidRPr="00F5382B">
        <w:rPr>
          <w:rFonts w:eastAsia="Times New Roman Bold"/>
          <w:noProof/>
          <w:lang w:val="en-IE"/>
        </w:rPr>
        <w:t xml:space="preserve">. </w:t>
      </w:r>
      <w:r w:rsidRPr="00F5382B">
        <w:rPr>
          <w:rFonts w:eastAsia="Times New Roman Bold"/>
          <w:noProof/>
        </w:rPr>
        <w:t>These activities can be executed different initial attack vectors such as phishing campaigns, vulnerability exploitation, supply chain compromise (see table below).</w:t>
      </w:r>
    </w:p>
    <w:p w14:paraId="584B34C1" w14:textId="77777777" w:rsidR="00EE3DF9" w:rsidRPr="00F5382B" w:rsidRDefault="00EE3DF9" w:rsidP="00EE3DF9">
      <w:pPr>
        <w:spacing w:after="120"/>
        <w:rPr>
          <w:rFonts w:eastAsia="Times New Roman Bold"/>
          <w:noProof/>
          <w:lang w:val="en-IE"/>
        </w:rPr>
      </w:pPr>
      <w:r w:rsidRPr="00F5382B">
        <w:rPr>
          <w:rFonts w:eastAsia="Times New Roman Bold"/>
          <w:b/>
          <w:bCs/>
          <w:noProof/>
        </w:rPr>
        <w:t>Non-malicious activities</w:t>
      </w:r>
      <w:r w:rsidRPr="00F5382B">
        <w:rPr>
          <w:rFonts w:eastAsia="Times New Roman Bold"/>
          <w:noProof/>
        </w:rPr>
        <w:t xml:space="preserve"> are those without hostile intent, but that can still have serious consequences. They cover </w:t>
      </w:r>
      <w:r w:rsidRPr="00F5382B">
        <w:rPr>
          <w:rFonts w:eastAsia="Times New Roman Bold"/>
          <w:b/>
          <w:bCs/>
          <w:noProof/>
          <w:lang w:val="en-US"/>
        </w:rPr>
        <w:t xml:space="preserve">human errors </w:t>
      </w:r>
      <w:r w:rsidRPr="00F5382B">
        <w:rPr>
          <w:rFonts w:eastAsia="Times New Roman Bold"/>
          <w:noProof/>
          <w:lang w:val="en-US"/>
        </w:rPr>
        <w:t>(caused by accidental errors made by individuals while performing their regular responsibilities),</w:t>
      </w:r>
      <w:r w:rsidRPr="00F5382B">
        <w:rPr>
          <w:rFonts w:eastAsia="Times New Roman Bold"/>
          <w:b/>
          <w:bCs/>
          <w:noProof/>
          <w:lang w:val="en-US"/>
        </w:rPr>
        <w:t xml:space="preserve"> structural failures </w:t>
      </w:r>
      <w:r w:rsidRPr="00F5382B">
        <w:rPr>
          <w:rFonts w:eastAsia="Times New Roman Bold"/>
          <w:noProof/>
          <w:lang w:val="en-US"/>
        </w:rPr>
        <w:t>(hardware, software, or support systems, such as environmental controls fail (e.g., air conditioning)</w:t>
      </w:r>
      <w:r w:rsidRPr="00F5382B">
        <w:rPr>
          <w:rFonts w:eastAsia="Times New Roman Bold"/>
          <w:b/>
          <w:bCs/>
          <w:noProof/>
          <w:lang w:val="en-US"/>
        </w:rPr>
        <w:t>, and natural disasters</w:t>
      </w:r>
      <w:r w:rsidRPr="00F5382B">
        <w:rPr>
          <w:rStyle w:val="FootnoteReference"/>
          <w:rFonts w:eastAsia="Times New Roman Bold"/>
          <w:b/>
          <w:bCs/>
          <w:noProof/>
          <w:lang w:val="en-US"/>
        </w:rPr>
        <w:footnoteReference w:id="234"/>
      </w:r>
      <w:r w:rsidRPr="00F5382B">
        <w:rPr>
          <w:rFonts w:eastAsia="Times New Roman Bold"/>
          <w:noProof/>
          <w:lang w:val="en-IE"/>
        </w:rPr>
        <w:t>.</w:t>
      </w:r>
    </w:p>
    <w:p w14:paraId="5833B9B0" w14:textId="77777777" w:rsidR="00EE3DF9" w:rsidRPr="00F5382B" w:rsidRDefault="00EE3DF9" w:rsidP="00EE3DF9">
      <w:pPr>
        <w:pStyle w:val="Heading5"/>
        <w:rPr>
          <w:noProof/>
          <w:lang w:eastAsia="en-IE"/>
        </w:rPr>
      </w:pPr>
    </w:p>
    <w:p w14:paraId="53676C27" w14:textId="77A7F05D" w:rsidR="00EE3DF9" w:rsidRPr="00F5382B" w:rsidRDefault="00EE3DF9" w:rsidP="00EE3DF9">
      <w:pPr>
        <w:pStyle w:val="Heading5"/>
        <w:rPr>
          <w:i w:val="0"/>
          <w:noProof/>
          <w:lang w:eastAsia="en-IE"/>
        </w:rPr>
      </w:pPr>
      <w:bookmarkStart w:id="364" w:name="_Toc218767811"/>
      <w:r w:rsidRPr="00F5382B">
        <w:rPr>
          <w:noProof/>
          <w:lang w:eastAsia="en-IE"/>
        </w:rPr>
        <w:t>Table 1</w:t>
      </w:r>
      <w:r w:rsidR="008D5909">
        <w:rPr>
          <w:noProof/>
          <w:lang w:eastAsia="en-IE"/>
        </w:rPr>
        <w:t>8</w:t>
      </w:r>
      <w:r w:rsidRPr="00F5382B">
        <w:rPr>
          <w:noProof/>
          <w:lang w:eastAsia="en-IE"/>
        </w:rPr>
        <w:t>: Overview of average cost of breach and prevalence by initial attack vector</w:t>
      </w:r>
      <w:bookmarkEnd w:id="364"/>
    </w:p>
    <w:tbl>
      <w:tblPr>
        <w:tblW w:w="822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50"/>
        <w:gridCol w:w="2685"/>
        <w:gridCol w:w="2685"/>
      </w:tblGrid>
      <w:tr w:rsidR="00EE3DF9" w:rsidRPr="00F5382B" w14:paraId="51BA5E3F" w14:textId="77777777">
        <w:trPr>
          <w:trHeight w:val="300"/>
          <w:jc w:val="center"/>
        </w:trPr>
        <w:tc>
          <w:tcPr>
            <w:tcW w:w="2850" w:type="dxa"/>
            <w:tcMar>
              <w:top w:w="15" w:type="dxa"/>
              <w:left w:w="15" w:type="dxa"/>
              <w:bottom w:w="15" w:type="dxa"/>
              <w:right w:w="15" w:type="dxa"/>
            </w:tcMar>
            <w:vAlign w:val="center"/>
          </w:tcPr>
          <w:p w14:paraId="41ACFE7E" w14:textId="77777777" w:rsidR="00EE3DF9" w:rsidRPr="00F5382B" w:rsidRDefault="00EE3DF9">
            <w:pPr>
              <w:spacing w:after="160"/>
              <w:jc w:val="center"/>
              <w:rPr>
                <w:rFonts w:eastAsia="Times New Roman"/>
                <w:b/>
                <w:bCs/>
                <w:noProof/>
              </w:rPr>
            </w:pPr>
            <w:r w:rsidRPr="00F5382B">
              <w:rPr>
                <w:rFonts w:eastAsia="Times New Roman"/>
                <w:b/>
                <w:bCs/>
                <w:noProof/>
              </w:rPr>
              <w:t>Initial Attack Vector</w:t>
            </w:r>
          </w:p>
        </w:tc>
        <w:tc>
          <w:tcPr>
            <w:tcW w:w="2685" w:type="dxa"/>
            <w:tcMar>
              <w:top w:w="15" w:type="dxa"/>
              <w:left w:w="15" w:type="dxa"/>
              <w:bottom w:w="15" w:type="dxa"/>
              <w:right w:w="15" w:type="dxa"/>
            </w:tcMar>
            <w:vAlign w:val="center"/>
          </w:tcPr>
          <w:p w14:paraId="24ABF7F3" w14:textId="77777777" w:rsidR="00EE3DF9" w:rsidRPr="00F5382B" w:rsidRDefault="00EE3DF9">
            <w:pPr>
              <w:spacing w:after="160"/>
              <w:jc w:val="center"/>
              <w:rPr>
                <w:rFonts w:eastAsia="Times New Roman"/>
                <w:b/>
                <w:bCs/>
                <w:noProof/>
              </w:rPr>
            </w:pPr>
            <w:r w:rsidRPr="00F5382B">
              <w:rPr>
                <w:rFonts w:eastAsia="Times New Roman"/>
                <w:b/>
                <w:bCs/>
                <w:noProof/>
              </w:rPr>
              <w:t>Average Cost of Breach (USD millions)</w:t>
            </w:r>
          </w:p>
        </w:tc>
        <w:tc>
          <w:tcPr>
            <w:tcW w:w="2685" w:type="dxa"/>
            <w:tcMar>
              <w:top w:w="15" w:type="dxa"/>
              <w:left w:w="15" w:type="dxa"/>
              <w:bottom w:w="15" w:type="dxa"/>
              <w:right w:w="15" w:type="dxa"/>
            </w:tcMar>
            <w:vAlign w:val="center"/>
          </w:tcPr>
          <w:p w14:paraId="7453E663" w14:textId="77777777" w:rsidR="00EE3DF9" w:rsidRPr="00F5382B" w:rsidRDefault="00EE3DF9">
            <w:pPr>
              <w:spacing w:after="160"/>
              <w:jc w:val="center"/>
              <w:rPr>
                <w:rFonts w:eastAsia="Times New Roman"/>
                <w:b/>
                <w:bCs/>
                <w:noProof/>
              </w:rPr>
            </w:pPr>
            <w:r w:rsidRPr="00F5382B">
              <w:rPr>
                <w:rFonts w:eastAsia="Times New Roman"/>
                <w:b/>
                <w:bCs/>
                <w:noProof/>
              </w:rPr>
              <w:t>Prevalence (% of all breaches)</w:t>
            </w:r>
          </w:p>
        </w:tc>
      </w:tr>
      <w:tr w:rsidR="00EE3DF9" w:rsidRPr="00F5382B" w14:paraId="6F10AC64" w14:textId="77777777">
        <w:trPr>
          <w:trHeight w:val="300"/>
          <w:jc w:val="center"/>
        </w:trPr>
        <w:tc>
          <w:tcPr>
            <w:tcW w:w="2850" w:type="dxa"/>
            <w:tcMar>
              <w:top w:w="15" w:type="dxa"/>
              <w:left w:w="15" w:type="dxa"/>
              <w:bottom w:w="15" w:type="dxa"/>
              <w:right w:w="15" w:type="dxa"/>
            </w:tcMar>
            <w:vAlign w:val="center"/>
          </w:tcPr>
          <w:p w14:paraId="75BE8182" w14:textId="77777777" w:rsidR="00EE3DF9" w:rsidRPr="00F5382B" w:rsidRDefault="00EE3DF9">
            <w:pPr>
              <w:spacing w:after="160"/>
              <w:jc w:val="center"/>
              <w:rPr>
                <w:rFonts w:eastAsia="Times New Roman"/>
                <w:b/>
                <w:bCs/>
                <w:noProof/>
              </w:rPr>
            </w:pPr>
            <w:r w:rsidRPr="00F5382B">
              <w:rPr>
                <w:rFonts w:eastAsia="Times New Roman"/>
                <w:b/>
                <w:bCs/>
                <w:noProof/>
              </w:rPr>
              <w:t>Malicious insider</w:t>
            </w:r>
          </w:p>
        </w:tc>
        <w:tc>
          <w:tcPr>
            <w:tcW w:w="2685" w:type="dxa"/>
            <w:tcMar>
              <w:top w:w="15" w:type="dxa"/>
              <w:left w:w="15" w:type="dxa"/>
              <w:bottom w:w="15" w:type="dxa"/>
              <w:right w:w="15" w:type="dxa"/>
            </w:tcMar>
            <w:vAlign w:val="center"/>
          </w:tcPr>
          <w:p w14:paraId="287B4446" w14:textId="77777777" w:rsidR="00EE3DF9" w:rsidRPr="00F5382B" w:rsidRDefault="00EE3DF9">
            <w:pPr>
              <w:spacing w:after="160"/>
              <w:jc w:val="center"/>
              <w:rPr>
                <w:rFonts w:eastAsia="Times New Roman"/>
                <w:noProof/>
              </w:rPr>
            </w:pPr>
            <w:r w:rsidRPr="00F5382B">
              <w:rPr>
                <w:rFonts w:eastAsia="Times New Roman"/>
                <w:noProof/>
              </w:rPr>
              <w:t>4.92</w:t>
            </w:r>
          </w:p>
        </w:tc>
        <w:tc>
          <w:tcPr>
            <w:tcW w:w="2685" w:type="dxa"/>
            <w:tcMar>
              <w:top w:w="15" w:type="dxa"/>
              <w:left w:w="15" w:type="dxa"/>
              <w:bottom w:w="15" w:type="dxa"/>
              <w:right w:w="15" w:type="dxa"/>
            </w:tcMar>
            <w:vAlign w:val="center"/>
          </w:tcPr>
          <w:p w14:paraId="1BF70893" w14:textId="77777777" w:rsidR="00EE3DF9" w:rsidRPr="00F5382B" w:rsidRDefault="00EE3DF9">
            <w:pPr>
              <w:spacing w:after="160"/>
              <w:jc w:val="center"/>
              <w:rPr>
                <w:rFonts w:eastAsia="Times New Roman"/>
                <w:noProof/>
              </w:rPr>
            </w:pPr>
            <w:r w:rsidRPr="00F5382B">
              <w:rPr>
                <w:rFonts w:eastAsia="Times New Roman"/>
                <w:noProof/>
              </w:rPr>
              <w:t>7%</w:t>
            </w:r>
          </w:p>
        </w:tc>
      </w:tr>
      <w:tr w:rsidR="00EE3DF9" w:rsidRPr="00F5382B" w14:paraId="1B25F117" w14:textId="77777777">
        <w:trPr>
          <w:trHeight w:val="300"/>
          <w:jc w:val="center"/>
        </w:trPr>
        <w:tc>
          <w:tcPr>
            <w:tcW w:w="2850" w:type="dxa"/>
            <w:tcMar>
              <w:top w:w="15" w:type="dxa"/>
              <w:left w:w="15" w:type="dxa"/>
              <w:bottom w:w="15" w:type="dxa"/>
              <w:right w:w="15" w:type="dxa"/>
            </w:tcMar>
            <w:vAlign w:val="center"/>
          </w:tcPr>
          <w:p w14:paraId="6DB272FC" w14:textId="77777777" w:rsidR="00EE3DF9" w:rsidRPr="00F5382B" w:rsidRDefault="00EE3DF9">
            <w:pPr>
              <w:spacing w:after="160"/>
              <w:jc w:val="center"/>
              <w:rPr>
                <w:rFonts w:eastAsia="Times New Roman"/>
                <w:b/>
                <w:bCs/>
                <w:noProof/>
              </w:rPr>
            </w:pPr>
            <w:r w:rsidRPr="00F5382B">
              <w:rPr>
                <w:rFonts w:eastAsia="Times New Roman"/>
                <w:b/>
                <w:bCs/>
                <w:noProof/>
              </w:rPr>
              <w:t>Third-party vendor and supply chain compromise</w:t>
            </w:r>
          </w:p>
        </w:tc>
        <w:tc>
          <w:tcPr>
            <w:tcW w:w="2685" w:type="dxa"/>
            <w:tcMar>
              <w:top w:w="15" w:type="dxa"/>
              <w:left w:w="15" w:type="dxa"/>
              <w:bottom w:w="15" w:type="dxa"/>
              <w:right w:w="15" w:type="dxa"/>
            </w:tcMar>
            <w:vAlign w:val="center"/>
          </w:tcPr>
          <w:p w14:paraId="71F214B8" w14:textId="77777777" w:rsidR="00EE3DF9" w:rsidRPr="00F5382B" w:rsidRDefault="00EE3DF9">
            <w:pPr>
              <w:spacing w:after="160"/>
              <w:jc w:val="center"/>
              <w:rPr>
                <w:rFonts w:eastAsia="Times New Roman"/>
                <w:noProof/>
              </w:rPr>
            </w:pPr>
            <w:r w:rsidRPr="00F5382B">
              <w:rPr>
                <w:rFonts w:eastAsia="Times New Roman"/>
                <w:noProof/>
              </w:rPr>
              <w:t>4.91</w:t>
            </w:r>
          </w:p>
        </w:tc>
        <w:tc>
          <w:tcPr>
            <w:tcW w:w="2685" w:type="dxa"/>
            <w:tcMar>
              <w:top w:w="15" w:type="dxa"/>
              <w:left w:w="15" w:type="dxa"/>
              <w:bottom w:w="15" w:type="dxa"/>
              <w:right w:w="15" w:type="dxa"/>
            </w:tcMar>
            <w:vAlign w:val="center"/>
          </w:tcPr>
          <w:p w14:paraId="6F11DBB0" w14:textId="77777777" w:rsidR="00EE3DF9" w:rsidRPr="00F5382B" w:rsidRDefault="00EE3DF9">
            <w:pPr>
              <w:spacing w:after="160"/>
              <w:jc w:val="center"/>
              <w:rPr>
                <w:rFonts w:eastAsia="Times New Roman"/>
                <w:noProof/>
              </w:rPr>
            </w:pPr>
            <w:r w:rsidRPr="00F5382B">
              <w:rPr>
                <w:rFonts w:eastAsia="Times New Roman"/>
                <w:noProof/>
              </w:rPr>
              <w:t>15% (second most prevalent)</w:t>
            </w:r>
          </w:p>
        </w:tc>
      </w:tr>
      <w:tr w:rsidR="00EE3DF9" w:rsidRPr="00F5382B" w14:paraId="13A636F7" w14:textId="77777777">
        <w:trPr>
          <w:trHeight w:val="300"/>
          <w:jc w:val="center"/>
        </w:trPr>
        <w:tc>
          <w:tcPr>
            <w:tcW w:w="2850" w:type="dxa"/>
            <w:tcMar>
              <w:top w:w="15" w:type="dxa"/>
              <w:left w:w="15" w:type="dxa"/>
              <w:bottom w:w="15" w:type="dxa"/>
              <w:right w:w="15" w:type="dxa"/>
            </w:tcMar>
            <w:vAlign w:val="center"/>
          </w:tcPr>
          <w:p w14:paraId="199EC677" w14:textId="77777777" w:rsidR="00EE3DF9" w:rsidRPr="00F5382B" w:rsidRDefault="00EE3DF9">
            <w:pPr>
              <w:spacing w:after="160"/>
              <w:jc w:val="center"/>
              <w:rPr>
                <w:rFonts w:eastAsia="Times New Roman"/>
                <w:b/>
                <w:bCs/>
                <w:noProof/>
              </w:rPr>
            </w:pPr>
            <w:r w:rsidRPr="00F5382B">
              <w:rPr>
                <w:rFonts w:eastAsia="Times New Roman"/>
                <w:b/>
                <w:bCs/>
                <w:noProof/>
              </w:rPr>
              <w:t>Phishing</w:t>
            </w:r>
          </w:p>
        </w:tc>
        <w:tc>
          <w:tcPr>
            <w:tcW w:w="2685" w:type="dxa"/>
            <w:tcMar>
              <w:top w:w="15" w:type="dxa"/>
              <w:left w:w="15" w:type="dxa"/>
              <w:bottom w:w="15" w:type="dxa"/>
              <w:right w:w="15" w:type="dxa"/>
            </w:tcMar>
            <w:vAlign w:val="center"/>
          </w:tcPr>
          <w:p w14:paraId="7B30852A" w14:textId="77777777" w:rsidR="00EE3DF9" w:rsidRPr="00F5382B" w:rsidRDefault="00EE3DF9">
            <w:pPr>
              <w:spacing w:after="160"/>
              <w:jc w:val="center"/>
              <w:rPr>
                <w:rFonts w:eastAsia="Times New Roman"/>
                <w:noProof/>
              </w:rPr>
            </w:pPr>
            <w:r w:rsidRPr="00F5382B">
              <w:rPr>
                <w:rFonts w:eastAsia="Times New Roman"/>
                <w:noProof/>
              </w:rPr>
              <w:t>4.80</w:t>
            </w:r>
          </w:p>
        </w:tc>
        <w:tc>
          <w:tcPr>
            <w:tcW w:w="2685" w:type="dxa"/>
            <w:tcMar>
              <w:top w:w="15" w:type="dxa"/>
              <w:left w:w="15" w:type="dxa"/>
              <w:bottom w:w="15" w:type="dxa"/>
              <w:right w:w="15" w:type="dxa"/>
            </w:tcMar>
            <w:vAlign w:val="center"/>
          </w:tcPr>
          <w:p w14:paraId="0F719678" w14:textId="77777777" w:rsidR="00EE3DF9" w:rsidRPr="00F5382B" w:rsidRDefault="00EE3DF9">
            <w:pPr>
              <w:spacing w:after="160"/>
              <w:jc w:val="center"/>
              <w:rPr>
                <w:rFonts w:eastAsia="Times New Roman"/>
                <w:noProof/>
              </w:rPr>
            </w:pPr>
            <w:r w:rsidRPr="00F5382B">
              <w:rPr>
                <w:rFonts w:eastAsia="Times New Roman"/>
                <w:noProof/>
              </w:rPr>
              <w:t>16% (most frequent)</w:t>
            </w:r>
          </w:p>
        </w:tc>
      </w:tr>
      <w:tr w:rsidR="00EE3DF9" w:rsidRPr="00F5382B" w14:paraId="4D50651A" w14:textId="77777777">
        <w:trPr>
          <w:trHeight w:val="300"/>
          <w:jc w:val="center"/>
        </w:trPr>
        <w:tc>
          <w:tcPr>
            <w:tcW w:w="2850" w:type="dxa"/>
            <w:tcMar>
              <w:top w:w="15" w:type="dxa"/>
              <w:left w:w="15" w:type="dxa"/>
              <w:bottom w:w="15" w:type="dxa"/>
              <w:right w:w="15" w:type="dxa"/>
            </w:tcMar>
            <w:vAlign w:val="center"/>
          </w:tcPr>
          <w:p w14:paraId="6A974C23" w14:textId="77777777" w:rsidR="00EE3DF9" w:rsidRPr="00F5382B" w:rsidRDefault="00EE3DF9">
            <w:pPr>
              <w:spacing w:after="160"/>
              <w:jc w:val="center"/>
              <w:rPr>
                <w:rFonts w:eastAsia="Times New Roman"/>
                <w:b/>
                <w:bCs/>
                <w:noProof/>
              </w:rPr>
            </w:pPr>
            <w:r w:rsidRPr="00F5382B">
              <w:rPr>
                <w:rFonts w:eastAsia="Times New Roman"/>
                <w:b/>
                <w:bCs/>
                <w:noProof/>
              </w:rPr>
              <w:t>Compromised credentials</w:t>
            </w:r>
          </w:p>
        </w:tc>
        <w:tc>
          <w:tcPr>
            <w:tcW w:w="2685" w:type="dxa"/>
            <w:tcMar>
              <w:top w:w="15" w:type="dxa"/>
              <w:left w:w="15" w:type="dxa"/>
              <w:bottom w:w="15" w:type="dxa"/>
              <w:right w:w="15" w:type="dxa"/>
            </w:tcMar>
            <w:vAlign w:val="center"/>
          </w:tcPr>
          <w:p w14:paraId="4950D393" w14:textId="77777777" w:rsidR="00EE3DF9" w:rsidRPr="00F5382B" w:rsidRDefault="00EE3DF9">
            <w:pPr>
              <w:spacing w:after="160"/>
              <w:jc w:val="center"/>
              <w:rPr>
                <w:rFonts w:eastAsia="Times New Roman"/>
                <w:noProof/>
              </w:rPr>
            </w:pPr>
            <w:r w:rsidRPr="00F5382B">
              <w:rPr>
                <w:rFonts w:eastAsia="Times New Roman"/>
                <w:noProof/>
              </w:rPr>
              <w:t>4.67</w:t>
            </w:r>
          </w:p>
        </w:tc>
        <w:tc>
          <w:tcPr>
            <w:tcW w:w="2685" w:type="dxa"/>
            <w:tcMar>
              <w:top w:w="15" w:type="dxa"/>
              <w:left w:w="15" w:type="dxa"/>
              <w:bottom w:w="15" w:type="dxa"/>
              <w:right w:w="15" w:type="dxa"/>
            </w:tcMar>
            <w:vAlign w:val="center"/>
          </w:tcPr>
          <w:p w14:paraId="3CD187B8" w14:textId="77777777" w:rsidR="00EE3DF9" w:rsidRPr="00F5382B" w:rsidRDefault="00EE3DF9">
            <w:pPr>
              <w:spacing w:after="160"/>
              <w:jc w:val="center"/>
              <w:rPr>
                <w:rFonts w:eastAsia="Times New Roman"/>
                <w:noProof/>
              </w:rPr>
            </w:pPr>
            <w:r w:rsidRPr="00F5382B">
              <w:rPr>
                <w:rFonts w:eastAsia="Times New Roman"/>
                <w:noProof/>
              </w:rPr>
              <w:t>13%</w:t>
            </w:r>
          </w:p>
        </w:tc>
      </w:tr>
      <w:tr w:rsidR="00EE3DF9" w:rsidRPr="00F5382B" w14:paraId="68BCCA0E" w14:textId="77777777">
        <w:trPr>
          <w:trHeight w:val="300"/>
          <w:jc w:val="center"/>
        </w:trPr>
        <w:tc>
          <w:tcPr>
            <w:tcW w:w="2850" w:type="dxa"/>
            <w:tcMar>
              <w:top w:w="15" w:type="dxa"/>
              <w:left w:w="15" w:type="dxa"/>
              <w:bottom w:w="15" w:type="dxa"/>
              <w:right w:w="15" w:type="dxa"/>
            </w:tcMar>
            <w:vAlign w:val="center"/>
          </w:tcPr>
          <w:p w14:paraId="20436652" w14:textId="77777777" w:rsidR="00EE3DF9" w:rsidRPr="00F5382B" w:rsidRDefault="00EE3DF9">
            <w:pPr>
              <w:spacing w:after="160"/>
              <w:jc w:val="center"/>
              <w:rPr>
                <w:rFonts w:eastAsia="Times New Roman"/>
                <w:b/>
                <w:bCs/>
                <w:noProof/>
              </w:rPr>
            </w:pPr>
            <w:r w:rsidRPr="00F5382B">
              <w:rPr>
                <w:rFonts w:eastAsia="Times New Roman"/>
                <w:b/>
                <w:bCs/>
                <w:noProof/>
              </w:rPr>
              <w:t>Denial-of-service attacks</w:t>
            </w:r>
          </w:p>
        </w:tc>
        <w:tc>
          <w:tcPr>
            <w:tcW w:w="2685" w:type="dxa"/>
            <w:tcMar>
              <w:top w:w="15" w:type="dxa"/>
              <w:left w:w="15" w:type="dxa"/>
              <w:bottom w:w="15" w:type="dxa"/>
              <w:right w:w="15" w:type="dxa"/>
            </w:tcMar>
            <w:vAlign w:val="center"/>
          </w:tcPr>
          <w:p w14:paraId="54B92364" w14:textId="77777777" w:rsidR="00EE3DF9" w:rsidRPr="00F5382B" w:rsidRDefault="00EE3DF9">
            <w:pPr>
              <w:spacing w:after="160"/>
              <w:jc w:val="center"/>
              <w:rPr>
                <w:rFonts w:eastAsia="Times New Roman"/>
                <w:noProof/>
              </w:rPr>
            </w:pPr>
            <w:r w:rsidRPr="00F5382B">
              <w:rPr>
                <w:rFonts w:eastAsia="Times New Roman"/>
                <w:noProof/>
              </w:rPr>
              <w:t>4.41</w:t>
            </w:r>
          </w:p>
        </w:tc>
        <w:tc>
          <w:tcPr>
            <w:tcW w:w="2685" w:type="dxa"/>
            <w:tcMar>
              <w:top w:w="15" w:type="dxa"/>
              <w:left w:w="15" w:type="dxa"/>
              <w:bottom w:w="15" w:type="dxa"/>
              <w:right w:w="15" w:type="dxa"/>
            </w:tcMar>
            <w:vAlign w:val="center"/>
          </w:tcPr>
          <w:p w14:paraId="5D8F97BB" w14:textId="77777777" w:rsidR="00EE3DF9" w:rsidRPr="00F5382B" w:rsidRDefault="00EE3DF9">
            <w:pPr>
              <w:spacing w:after="160"/>
              <w:jc w:val="center"/>
              <w:rPr>
                <w:rFonts w:eastAsia="Times New Roman"/>
                <w:noProof/>
              </w:rPr>
            </w:pPr>
            <w:r w:rsidRPr="00F5382B">
              <w:rPr>
                <w:rFonts w:eastAsia="Times New Roman"/>
                <w:noProof/>
              </w:rPr>
              <w:t>7%</w:t>
            </w:r>
          </w:p>
        </w:tc>
      </w:tr>
      <w:tr w:rsidR="00EE3DF9" w:rsidRPr="00F5382B" w14:paraId="257A13A0" w14:textId="77777777">
        <w:trPr>
          <w:trHeight w:val="300"/>
          <w:jc w:val="center"/>
        </w:trPr>
        <w:tc>
          <w:tcPr>
            <w:tcW w:w="2850" w:type="dxa"/>
            <w:tcMar>
              <w:top w:w="15" w:type="dxa"/>
              <w:left w:w="15" w:type="dxa"/>
              <w:bottom w:w="15" w:type="dxa"/>
              <w:right w:w="15" w:type="dxa"/>
            </w:tcMar>
            <w:vAlign w:val="center"/>
          </w:tcPr>
          <w:p w14:paraId="2DA07538" w14:textId="77777777" w:rsidR="00EE3DF9" w:rsidRPr="00F5382B" w:rsidRDefault="00EE3DF9">
            <w:pPr>
              <w:spacing w:after="160"/>
              <w:jc w:val="center"/>
              <w:rPr>
                <w:rFonts w:eastAsia="Times New Roman"/>
                <w:b/>
                <w:bCs/>
                <w:noProof/>
              </w:rPr>
            </w:pPr>
            <w:r w:rsidRPr="00F5382B">
              <w:rPr>
                <w:rFonts w:eastAsia="Times New Roman"/>
                <w:b/>
                <w:bCs/>
                <w:noProof/>
              </w:rPr>
              <w:t>Vulnerability exploitation</w:t>
            </w:r>
          </w:p>
        </w:tc>
        <w:tc>
          <w:tcPr>
            <w:tcW w:w="2685" w:type="dxa"/>
            <w:tcMar>
              <w:top w:w="15" w:type="dxa"/>
              <w:left w:w="15" w:type="dxa"/>
              <w:bottom w:w="15" w:type="dxa"/>
              <w:right w:w="15" w:type="dxa"/>
            </w:tcMar>
            <w:vAlign w:val="center"/>
          </w:tcPr>
          <w:p w14:paraId="7FBDC207" w14:textId="77777777" w:rsidR="00EE3DF9" w:rsidRPr="00F5382B" w:rsidRDefault="00EE3DF9">
            <w:pPr>
              <w:spacing w:after="160"/>
              <w:jc w:val="center"/>
              <w:rPr>
                <w:rFonts w:eastAsia="Times New Roman"/>
                <w:noProof/>
              </w:rPr>
            </w:pPr>
            <w:r w:rsidRPr="00F5382B">
              <w:rPr>
                <w:rFonts w:eastAsia="Times New Roman"/>
                <w:noProof/>
              </w:rPr>
              <w:t>4.24</w:t>
            </w:r>
          </w:p>
        </w:tc>
        <w:tc>
          <w:tcPr>
            <w:tcW w:w="2685" w:type="dxa"/>
            <w:tcMar>
              <w:top w:w="15" w:type="dxa"/>
              <w:left w:w="15" w:type="dxa"/>
              <w:bottom w:w="15" w:type="dxa"/>
              <w:right w:w="15" w:type="dxa"/>
            </w:tcMar>
            <w:vAlign w:val="center"/>
          </w:tcPr>
          <w:p w14:paraId="2DC97AD5" w14:textId="77777777" w:rsidR="00EE3DF9" w:rsidRPr="00F5382B" w:rsidRDefault="00EE3DF9">
            <w:pPr>
              <w:spacing w:after="160"/>
              <w:jc w:val="center"/>
              <w:rPr>
                <w:rFonts w:eastAsia="Times New Roman"/>
                <w:noProof/>
              </w:rPr>
            </w:pPr>
            <w:r w:rsidRPr="00F5382B">
              <w:rPr>
                <w:rFonts w:eastAsia="Times New Roman"/>
                <w:noProof/>
              </w:rPr>
              <w:t>11%</w:t>
            </w:r>
          </w:p>
        </w:tc>
      </w:tr>
      <w:tr w:rsidR="00EE3DF9" w:rsidRPr="00F5382B" w14:paraId="5D3069B4" w14:textId="77777777">
        <w:trPr>
          <w:trHeight w:val="300"/>
          <w:jc w:val="center"/>
        </w:trPr>
        <w:tc>
          <w:tcPr>
            <w:tcW w:w="2850" w:type="dxa"/>
            <w:tcMar>
              <w:top w:w="15" w:type="dxa"/>
              <w:left w:w="15" w:type="dxa"/>
              <w:bottom w:w="15" w:type="dxa"/>
              <w:right w:w="15" w:type="dxa"/>
            </w:tcMar>
            <w:vAlign w:val="center"/>
          </w:tcPr>
          <w:p w14:paraId="574F9739" w14:textId="77777777" w:rsidR="00EE3DF9" w:rsidRPr="00F5382B" w:rsidRDefault="00EE3DF9">
            <w:pPr>
              <w:spacing w:after="160"/>
              <w:jc w:val="center"/>
              <w:rPr>
                <w:rFonts w:eastAsia="Times New Roman"/>
                <w:b/>
                <w:bCs/>
                <w:noProof/>
              </w:rPr>
            </w:pPr>
            <w:r w:rsidRPr="00F5382B">
              <w:rPr>
                <w:rFonts w:eastAsia="Times New Roman"/>
                <w:b/>
                <w:bCs/>
                <w:noProof/>
              </w:rPr>
              <w:t>Physical theft or security issue</w:t>
            </w:r>
          </w:p>
        </w:tc>
        <w:tc>
          <w:tcPr>
            <w:tcW w:w="2685" w:type="dxa"/>
            <w:tcMar>
              <w:top w:w="15" w:type="dxa"/>
              <w:left w:w="15" w:type="dxa"/>
              <w:bottom w:w="15" w:type="dxa"/>
              <w:right w:w="15" w:type="dxa"/>
            </w:tcMar>
            <w:vAlign w:val="center"/>
          </w:tcPr>
          <w:p w14:paraId="23694518" w14:textId="77777777" w:rsidR="00EE3DF9" w:rsidRPr="00F5382B" w:rsidRDefault="00EE3DF9">
            <w:pPr>
              <w:spacing w:after="160"/>
              <w:jc w:val="center"/>
              <w:rPr>
                <w:rFonts w:eastAsia="Times New Roman"/>
                <w:noProof/>
              </w:rPr>
            </w:pPr>
            <w:r w:rsidRPr="00F5382B">
              <w:rPr>
                <w:rFonts w:eastAsia="Times New Roman"/>
                <w:noProof/>
              </w:rPr>
              <w:t>4.07</w:t>
            </w:r>
          </w:p>
        </w:tc>
        <w:tc>
          <w:tcPr>
            <w:tcW w:w="2685" w:type="dxa"/>
            <w:tcMar>
              <w:top w:w="15" w:type="dxa"/>
              <w:left w:w="15" w:type="dxa"/>
              <w:bottom w:w="15" w:type="dxa"/>
              <w:right w:w="15" w:type="dxa"/>
            </w:tcMar>
            <w:vAlign w:val="center"/>
          </w:tcPr>
          <w:p w14:paraId="188C65F7" w14:textId="77777777" w:rsidR="00EE3DF9" w:rsidRPr="00F5382B" w:rsidRDefault="00EE3DF9">
            <w:pPr>
              <w:spacing w:after="160"/>
              <w:jc w:val="center"/>
              <w:rPr>
                <w:rFonts w:eastAsia="Times New Roman"/>
                <w:noProof/>
              </w:rPr>
            </w:pPr>
            <w:r w:rsidRPr="00F5382B">
              <w:rPr>
                <w:rFonts w:eastAsia="Times New Roman"/>
                <w:noProof/>
              </w:rPr>
              <w:t>8%</w:t>
            </w:r>
          </w:p>
        </w:tc>
      </w:tr>
      <w:tr w:rsidR="00EE3DF9" w:rsidRPr="00F5382B" w14:paraId="4C778859" w14:textId="77777777">
        <w:trPr>
          <w:trHeight w:val="300"/>
          <w:jc w:val="center"/>
        </w:trPr>
        <w:tc>
          <w:tcPr>
            <w:tcW w:w="2850" w:type="dxa"/>
            <w:tcMar>
              <w:top w:w="15" w:type="dxa"/>
              <w:left w:w="15" w:type="dxa"/>
              <w:bottom w:w="15" w:type="dxa"/>
              <w:right w:w="15" w:type="dxa"/>
            </w:tcMar>
            <w:vAlign w:val="center"/>
          </w:tcPr>
          <w:p w14:paraId="25540857" w14:textId="77777777" w:rsidR="00EE3DF9" w:rsidRPr="00F5382B" w:rsidRDefault="00EE3DF9">
            <w:pPr>
              <w:spacing w:after="160"/>
              <w:jc w:val="center"/>
              <w:rPr>
                <w:rFonts w:eastAsia="Times New Roman"/>
                <w:b/>
                <w:bCs/>
                <w:noProof/>
              </w:rPr>
            </w:pPr>
            <w:r w:rsidRPr="00F5382B">
              <w:rPr>
                <w:rFonts w:eastAsia="Times New Roman"/>
                <w:b/>
                <w:bCs/>
                <w:noProof/>
              </w:rPr>
              <w:t>Insider error</w:t>
            </w:r>
          </w:p>
        </w:tc>
        <w:tc>
          <w:tcPr>
            <w:tcW w:w="2685" w:type="dxa"/>
            <w:tcMar>
              <w:top w:w="15" w:type="dxa"/>
              <w:left w:w="15" w:type="dxa"/>
              <w:bottom w:w="15" w:type="dxa"/>
              <w:right w:w="15" w:type="dxa"/>
            </w:tcMar>
            <w:vAlign w:val="center"/>
          </w:tcPr>
          <w:p w14:paraId="23D0C54D" w14:textId="77777777" w:rsidR="00EE3DF9" w:rsidRPr="00F5382B" w:rsidRDefault="00EE3DF9">
            <w:pPr>
              <w:spacing w:after="160"/>
              <w:jc w:val="center"/>
              <w:rPr>
                <w:rFonts w:eastAsia="Times New Roman"/>
                <w:noProof/>
              </w:rPr>
            </w:pPr>
            <w:r w:rsidRPr="00F5382B">
              <w:rPr>
                <w:rFonts w:eastAsia="Times New Roman"/>
                <w:noProof/>
              </w:rPr>
              <w:t>3.62</w:t>
            </w:r>
          </w:p>
        </w:tc>
        <w:tc>
          <w:tcPr>
            <w:tcW w:w="2685" w:type="dxa"/>
            <w:tcMar>
              <w:top w:w="15" w:type="dxa"/>
              <w:left w:w="15" w:type="dxa"/>
              <w:bottom w:w="15" w:type="dxa"/>
              <w:right w:w="15" w:type="dxa"/>
            </w:tcMar>
            <w:vAlign w:val="center"/>
          </w:tcPr>
          <w:p w14:paraId="1B2DF0B1" w14:textId="77777777" w:rsidR="00EE3DF9" w:rsidRPr="00F5382B" w:rsidRDefault="00EE3DF9">
            <w:pPr>
              <w:spacing w:after="160"/>
              <w:jc w:val="center"/>
              <w:rPr>
                <w:rFonts w:eastAsia="Times New Roman"/>
                <w:noProof/>
              </w:rPr>
            </w:pPr>
            <w:r w:rsidRPr="00F5382B">
              <w:rPr>
                <w:rFonts w:eastAsia="Times New Roman"/>
                <w:noProof/>
              </w:rPr>
              <w:t>14%</w:t>
            </w:r>
          </w:p>
        </w:tc>
      </w:tr>
      <w:tr w:rsidR="00EE3DF9" w:rsidRPr="00F5382B" w14:paraId="6E17F9B6" w14:textId="77777777">
        <w:trPr>
          <w:trHeight w:val="300"/>
          <w:jc w:val="center"/>
        </w:trPr>
        <w:tc>
          <w:tcPr>
            <w:tcW w:w="2850" w:type="dxa"/>
            <w:tcMar>
              <w:top w:w="15" w:type="dxa"/>
              <w:left w:w="15" w:type="dxa"/>
              <w:bottom w:w="15" w:type="dxa"/>
              <w:right w:w="15" w:type="dxa"/>
            </w:tcMar>
            <w:vAlign w:val="center"/>
          </w:tcPr>
          <w:p w14:paraId="20B69434" w14:textId="77777777" w:rsidR="00EE3DF9" w:rsidRPr="00F5382B" w:rsidRDefault="00EE3DF9">
            <w:pPr>
              <w:spacing w:after="160"/>
              <w:jc w:val="center"/>
              <w:rPr>
                <w:rFonts w:eastAsia="Times New Roman"/>
                <w:b/>
                <w:bCs/>
                <w:noProof/>
              </w:rPr>
            </w:pPr>
            <w:r w:rsidRPr="00F5382B">
              <w:rPr>
                <w:rFonts w:eastAsia="Times New Roman"/>
                <w:b/>
                <w:bCs/>
                <w:noProof/>
              </w:rPr>
              <w:t>System error</w:t>
            </w:r>
          </w:p>
        </w:tc>
        <w:tc>
          <w:tcPr>
            <w:tcW w:w="2685" w:type="dxa"/>
            <w:tcMar>
              <w:top w:w="15" w:type="dxa"/>
              <w:left w:w="15" w:type="dxa"/>
              <w:bottom w:w="15" w:type="dxa"/>
              <w:right w:w="15" w:type="dxa"/>
            </w:tcMar>
            <w:vAlign w:val="center"/>
          </w:tcPr>
          <w:p w14:paraId="17604883" w14:textId="77777777" w:rsidR="00EE3DF9" w:rsidRPr="00F5382B" w:rsidRDefault="00EE3DF9">
            <w:pPr>
              <w:spacing w:after="160"/>
              <w:jc w:val="center"/>
              <w:rPr>
                <w:rFonts w:eastAsia="Times New Roman"/>
                <w:noProof/>
              </w:rPr>
            </w:pPr>
            <w:r w:rsidRPr="00F5382B">
              <w:rPr>
                <w:rFonts w:eastAsia="Times New Roman"/>
                <w:noProof/>
              </w:rPr>
              <w:t>3.61</w:t>
            </w:r>
          </w:p>
        </w:tc>
        <w:tc>
          <w:tcPr>
            <w:tcW w:w="2685" w:type="dxa"/>
            <w:tcMar>
              <w:top w:w="15" w:type="dxa"/>
              <w:left w:w="15" w:type="dxa"/>
              <w:bottom w:w="15" w:type="dxa"/>
              <w:right w:w="15" w:type="dxa"/>
            </w:tcMar>
            <w:vAlign w:val="center"/>
          </w:tcPr>
          <w:p w14:paraId="63CA9737" w14:textId="77777777" w:rsidR="00EE3DF9" w:rsidRPr="00F5382B" w:rsidRDefault="00EE3DF9">
            <w:pPr>
              <w:spacing w:after="160"/>
              <w:jc w:val="center"/>
              <w:rPr>
                <w:rFonts w:eastAsia="Times New Roman"/>
                <w:noProof/>
              </w:rPr>
            </w:pPr>
            <w:r w:rsidRPr="00F5382B">
              <w:rPr>
                <w:rFonts w:eastAsia="Times New Roman"/>
                <w:noProof/>
              </w:rPr>
              <w:t>9%</w:t>
            </w:r>
          </w:p>
        </w:tc>
      </w:tr>
      <w:tr w:rsidR="00EE3DF9" w:rsidRPr="00F5382B" w14:paraId="562E43DF" w14:textId="77777777">
        <w:trPr>
          <w:trHeight w:val="300"/>
          <w:jc w:val="center"/>
        </w:trPr>
        <w:tc>
          <w:tcPr>
            <w:tcW w:w="2850" w:type="dxa"/>
            <w:tcMar>
              <w:top w:w="15" w:type="dxa"/>
              <w:left w:w="15" w:type="dxa"/>
              <w:bottom w:w="15" w:type="dxa"/>
              <w:right w:w="15" w:type="dxa"/>
            </w:tcMar>
            <w:vAlign w:val="center"/>
          </w:tcPr>
          <w:p w14:paraId="28D3A811" w14:textId="77777777" w:rsidR="00EE3DF9" w:rsidRPr="00F5382B" w:rsidRDefault="00EE3DF9">
            <w:pPr>
              <w:jc w:val="center"/>
              <w:rPr>
                <w:rFonts w:eastAsia="Times New Roman"/>
                <w:b/>
                <w:bCs/>
                <w:noProof/>
              </w:rPr>
            </w:pPr>
            <w:r w:rsidRPr="00F5382B">
              <w:rPr>
                <w:rFonts w:eastAsia="Times New Roman"/>
                <w:b/>
                <w:bCs/>
                <w:noProof/>
              </w:rPr>
              <w:t>Total</w:t>
            </w:r>
          </w:p>
        </w:tc>
        <w:tc>
          <w:tcPr>
            <w:tcW w:w="2685" w:type="dxa"/>
            <w:tcMar>
              <w:top w:w="15" w:type="dxa"/>
              <w:left w:w="15" w:type="dxa"/>
              <w:bottom w:w="15" w:type="dxa"/>
              <w:right w:w="15" w:type="dxa"/>
            </w:tcMar>
            <w:vAlign w:val="center"/>
          </w:tcPr>
          <w:p w14:paraId="5AE34BD9" w14:textId="77777777" w:rsidR="00EE3DF9" w:rsidRPr="00F5382B" w:rsidRDefault="00EE3DF9">
            <w:pPr>
              <w:jc w:val="center"/>
              <w:rPr>
                <w:rFonts w:eastAsia="Times New Roman"/>
                <w:noProof/>
              </w:rPr>
            </w:pPr>
            <w:r w:rsidRPr="00F5382B">
              <w:rPr>
                <w:rFonts w:eastAsia="Times New Roman"/>
                <w:noProof/>
              </w:rPr>
              <w:t xml:space="preserve">4.44 </w:t>
            </w:r>
          </w:p>
        </w:tc>
        <w:tc>
          <w:tcPr>
            <w:tcW w:w="2685" w:type="dxa"/>
            <w:tcMar>
              <w:top w:w="15" w:type="dxa"/>
              <w:left w:w="15" w:type="dxa"/>
              <w:bottom w:w="15" w:type="dxa"/>
              <w:right w:w="15" w:type="dxa"/>
            </w:tcMar>
            <w:vAlign w:val="center"/>
          </w:tcPr>
          <w:p w14:paraId="5CE19C19" w14:textId="77777777" w:rsidR="00EE3DF9" w:rsidRPr="00F5382B" w:rsidRDefault="00EE3DF9">
            <w:pPr>
              <w:jc w:val="center"/>
              <w:rPr>
                <w:rFonts w:eastAsia="Times New Roman"/>
                <w:noProof/>
              </w:rPr>
            </w:pPr>
          </w:p>
        </w:tc>
      </w:tr>
    </w:tbl>
    <w:p w14:paraId="47EEA537" w14:textId="77777777" w:rsidR="00EE3DF9" w:rsidRPr="00F5382B" w:rsidRDefault="00EE3DF9" w:rsidP="00EE3DF9">
      <w:pPr>
        <w:spacing w:after="120"/>
        <w:ind w:left="720"/>
        <w:textAlignment w:val="baseline"/>
        <w:rPr>
          <w:rFonts w:eastAsia="Times New Roman"/>
          <w:b/>
          <w:smallCaps/>
          <w:noProof/>
          <w:lang w:eastAsia="en-IE"/>
        </w:rPr>
      </w:pPr>
    </w:p>
    <w:p w14:paraId="29451BB4" w14:textId="77777777" w:rsidR="00EE3DF9" w:rsidRPr="00F5382B" w:rsidRDefault="00EE3DF9" w:rsidP="00EE3DF9">
      <w:pPr>
        <w:spacing w:after="120"/>
        <w:rPr>
          <w:rFonts w:eastAsia="Times New Roman"/>
          <w:b/>
          <w:bCs/>
          <w:noProof/>
        </w:rPr>
      </w:pPr>
      <w:r w:rsidRPr="00F5382B">
        <w:rPr>
          <w:rFonts w:eastAsiaTheme="minorEastAsia"/>
          <w:noProof/>
        </w:rPr>
        <w:t xml:space="preserve">In the case of attacks using </w:t>
      </w:r>
      <w:r w:rsidRPr="00F5382B">
        <w:rPr>
          <w:rFonts w:eastAsiaTheme="minorEastAsia"/>
          <w:b/>
          <w:bCs/>
          <w:noProof/>
        </w:rPr>
        <w:t>third-party vendor and supply chain</w:t>
      </w:r>
      <w:r w:rsidRPr="00F5382B">
        <w:rPr>
          <w:rFonts w:eastAsiaTheme="minorEastAsia"/>
          <w:noProof/>
        </w:rPr>
        <w:t xml:space="preserve"> as their initial vector, the average breach cost rises to </w:t>
      </w:r>
      <w:r w:rsidRPr="00F5382B">
        <w:rPr>
          <w:rFonts w:eastAsiaTheme="minorEastAsia"/>
          <w:b/>
          <w:bCs/>
          <w:noProof/>
        </w:rPr>
        <w:t>USD 4.91 million</w:t>
      </w:r>
      <w:r w:rsidRPr="00F5382B">
        <w:rPr>
          <w:rFonts w:eastAsiaTheme="minorEastAsia"/>
          <w:noProof/>
        </w:rPr>
        <w:t>. Apart from the costs associated, this type of attacks is difficult to detect because it exploits trust between vendors and customers, and consequently, they took the longest combined time to detect and contain among the initial attack vectors studied, at</w:t>
      </w:r>
      <w:r w:rsidRPr="00F5382B">
        <w:rPr>
          <w:rFonts w:eastAsiaTheme="minorEastAsia"/>
          <w:b/>
          <w:bCs/>
          <w:noProof/>
        </w:rPr>
        <w:t xml:space="preserve"> 267 days</w:t>
      </w:r>
      <w:r w:rsidRPr="00F5382B">
        <w:rPr>
          <w:rFonts w:eastAsiaTheme="minorEastAsia"/>
          <w:noProof/>
        </w:rPr>
        <w:t>.</w:t>
      </w:r>
      <w:r w:rsidRPr="00F5382B">
        <w:rPr>
          <w:rFonts w:eastAsia="Times New Roman"/>
          <w:noProof/>
        </w:rPr>
        <w:t xml:space="preserve"> </w:t>
      </w:r>
    </w:p>
    <w:p w14:paraId="5B44915F" w14:textId="77777777" w:rsidR="00EE3DF9" w:rsidRPr="00F5382B" w:rsidRDefault="00EE3DF9" w:rsidP="00D52AD8">
      <w:pPr>
        <w:pStyle w:val="ListParagraph"/>
        <w:numPr>
          <w:ilvl w:val="0"/>
          <w:numId w:val="102"/>
        </w:numPr>
        <w:spacing w:before="120"/>
        <w:ind w:hanging="357"/>
        <w:contextualSpacing w:val="0"/>
        <w:jc w:val="left"/>
        <w:rPr>
          <w:b/>
          <w:noProof/>
        </w:rPr>
      </w:pPr>
      <w:r w:rsidRPr="00F5382B">
        <w:rPr>
          <w:b/>
          <w:noProof/>
        </w:rPr>
        <w:t>Overview costs for main types of incidents in Europe and globally</w:t>
      </w:r>
    </w:p>
    <w:p w14:paraId="7089C033" w14:textId="77777777" w:rsidR="00EE3DF9" w:rsidRPr="00F5382B" w:rsidRDefault="00EE3DF9" w:rsidP="00EE3DF9">
      <w:pPr>
        <w:spacing w:after="120"/>
        <w:rPr>
          <w:noProof/>
        </w:rPr>
      </w:pPr>
      <w:r w:rsidRPr="00F5382B">
        <w:rPr>
          <w:noProof/>
        </w:rPr>
        <w:t xml:space="preserve">Aggregated </w:t>
      </w:r>
      <w:r w:rsidRPr="00F5382B">
        <w:rPr>
          <w:rFonts w:eastAsia="Times New Roman Bold"/>
          <w:noProof/>
        </w:rPr>
        <w:t>estimates</w:t>
      </w:r>
      <w:r w:rsidRPr="00F5382B">
        <w:rPr>
          <w:noProof/>
        </w:rPr>
        <w:t xml:space="preserve"> are provided for data breaches and ransomware attacks. </w:t>
      </w:r>
    </w:p>
    <w:p w14:paraId="6F9F6ACC" w14:textId="77777777" w:rsidR="00EE3DF9" w:rsidRPr="00F5382B" w:rsidRDefault="00EE3DF9" w:rsidP="00D52AD8">
      <w:pPr>
        <w:pStyle w:val="ListParagraph"/>
        <w:numPr>
          <w:ilvl w:val="1"/>
          <w:numId w:val="113"/>
        </w:numPr>
        <w:spacing w:after="200" w:line="276" w:lineRule="auto"/>
        <w:jc w:val="left"/>
        <w:rPr>
          <w:b/>
          <w:noProof/>
        </w:rPr>
      </w:pPr>
      <w:r w:rsidRPr="00F5382B">
        <w:rPr>
          <w:b/>
          <w:noProof/>
        </w:rPr>
        <w:t>Data Breach</w:t>
      </w:r>
    </w:p>
    <w:p w14:paraId="51D10121" w14:textId="77777777" w:rsidR="00EE3DF9" w:rsidRPr="00F5382B" w:rsidRDefault="00EE3DF9" w:rsidP="00EE3DF9">
      <w:pPr>
        <w:spacing w:after="120"/>
        <w:rPr>
          <w:rFonts w:eastAsia="Times New Roman Bold"/>
          <w:noProof/>
        </w:rPr>
      </w:pPr>
      <w:r w:rsidRPr="00F5382B">
        <w:rPr>
          <w:rFonts w:eastAsia="Times New Roman Bold"/>
          <w:noProof/>
        </w:rPr>
        <w:t xml:space="preserve">Average cost in 2025 (globally): </w:t>
      </w:r>
      <w:r w:rsidRPr="00F5382B">
        <w:rPr>
          <w:rFonts w:eastAsia="Times New Roman Bold"/>
          <w:b/>
          <w:noProof/>
        </w:rPr>
        <w:t>USD 4.44 million</w:t>
      </w:r>
      <w:r w:rsidRPr="00F5382B">
        <w:rPr>
          <w:rFonts w:eastAsia="Times New Roman Bold"/>
          <w:noProof/>
        </w:rPr>
        <w:t xml:space="preserve"> (costs include detection, notification, post breach response and lost business). </w:t>
      </w:r>
    </w:p>
    <w:p w14:paraId="5A2533EA" w14:textId="00BD0671" w:rsidR="00EE3DF9" w:rsidRPr="00F5382B" w:rsidRDefault="00EE3DF9" w:rsidP="00EE3DF9">
      <w:pPr>
        <w:pStyle w:val="Heading5"/>
        <w:rPr>
          <w:noProof/>
        </w:rPr>
      </w:pPr>
      <w:bookmarkStart w:id="365" w:name="_Toc218767812"/>
      <w:r w:rsidRPr="00F5382B">
        <w:rPr>
          <w:noProof/>
        </w:rPr>
        <w:t xml:space="preserve">Table </w:t>
      </w:r>
      <w:r w:rsidR="0045617A">
        <w:rPr>
          <w:noProof/>
        </w:rPr>
        <w:t>19</w:t>
      </w:r>
      <w:r w:rsidRPr="00F5382B">
        <w:rPr>
          <w:noProof/>
        </w:rPr>
        <w:t>: Average cost of data breach by countries/regions in 2024-2025</w:t>
      </w:r>
      <w:bookmarkEnd w:id="365"/>
    </w:p>
    <w:tbl>
      <w:tblPr>
        <w:tblW w:w="0" w:type="auto"/>
        <w:jc w:val="center"/>
        <w:tblLayout w:type="fixed"/>
        <w:tblLook w:val="04A0" w:firstRow="1" w:lastRow="0" w:firstColumn="1" w:lastColumn="0" w:noHBand="0" w:noVBand="1"/>
      </w:tblPr>
      <w:tblGrid>
        <w:gridCol w:w="1700"/>
        <w:gridCol w:w="2495"/>
        <w:gridCol w:w="2545"/>
      </w:tblGrid>
      <w:tr w:rsidR="00EE3DF9" w:rsidRPr="00F5382B" w14:paraId="65947263"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458B8C" w14:textId="77777777" w:rsidR="00EE3DF9" w:rsidRPr="00F5382B" w:rsidRDefault="00EE3DF9">
            <w:pPr>
              <w:spacing w:after="160"/>
              <w:jc w:val="center"/>
              <w:rPr>
                <w:rFonts w:eastAsia="Times New Roman Bold"/>
                <w:b/>
                <w:noProof/>
              </w:rPr>
            </w:pPr>
            <w:r w:rsidRPr="00F5382B">
              <w:rPr>
                <w:rFonts w:eastAsia="Times New Roman Bold"/>
                <w:b/>
                <w:noProof/>
              </w:rPr>
              <w:t xml:space="preserve">Country/Region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075725" w14:textId="77777777" w:rsidR="00EE3DF9" w:rsidRPr="00F5382B" w:rsidRDefault="00EE3DF9">
            <w:pPr>
              <w:spacing w:after="160"/>
              <w:jc w:val="center"/>
              <w:rPr>
                <w:rFonts w:eastAsia="Times New Roman Bold"/>
                <w:b/>
                <w:noProof/>
              </w:rPr>
            </w:pPr>
            <w:r w:rsidRPr="00F5382B">
              <w:rPr>
                <w:rFonts w:eastAsia="Times New Roman Bold"/>
                <w:b/>
                <w:noProof/>
              </w:rPr>
              <w:t xml:space="preserve">2025 Average Cost (USD)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FA705C1" w14:textId="77777777" w:rsidR="00EE3DF9" w:rsidRPr="00F5382B" w:rsidRDefault="00EE3DF9">
            <w:pPr>
              <w:spacing w:after="160"/>
              <w:jc w:val="center"/>
              <w:rPr>
                <w:rFonts w:eastAsia="Times New Roman Bold"/>
                <w:b/>
                <w:noProof/>
              </w:rPr>
            </w:pPr>
            <w:r w:rsidRPr="00F5382B">
              <w:rPr>
                <w:rFonts w:eastAsia="Times New Roman Bold"/>
                <w:b/>
                <w:noProof/>
              </w:rPr>
              <w:t xml:space="preserve">2024 Average Cost (USD) </w:t>
            </w:r>
          </w:p>
        </w:tc>
      </w:tr>
      <w:tr w:rsidR="00EE3DF9" w:rsidRPr="00F5382B" w14:paraId="6D452BD4"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AF51F6D" w14:textId="77777777" w:rsidR="00EE3DF9" w:rsidRPr="00F5382B" w:rsidRDefault="00EE3DF9">
            <w:pPr>
              <w:spacing w:after="160"/>
              <w:jc w:val="center"/>
              <w:rPr>
                <w:rFonts w:eastAsia="Times New Roman Bold"/>
                <w:noProof/>
              </w:rPr>
            </w:pPr>
            <w:r w:rsidRPr="00F5382B">
              <w:rPr>
                <w:rFonts w:eastAsia="Times New Roman Bold"/>
                <w:noProof/>
              </w:rPr>
              <w:t xml:space="preserve">Benelux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C35BCE" w14:textId="77777777" w:rsidR="00EE3DF9" w:rsidRPr="00F5382B" w:rsidRDefault="00EE3DF9">
            <w:pPr>
              <w:spacing w:after="160"/>
              <w:jc w:val="center"/>
              <w:rPr>
                <w:rFonts w:eastAsia="Times New Roman Bold"/>
                <w:noProof/>
              </w:rPr>
            </w:pPr>
            <w:r w:rsidRPr="00F5382B">
              <w:rPr>
                <w:rFonts w:eastAsia="Times New Roman Bold"/>
                <w:noProof/>
              </w:rPr>
              <w:t xml:space="preserve">6.24 million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9A5EB6A" w14:textId="77777777" w:rsidR="00EE3DF9" w:rsidRPr="00F5382B" w:rsidRDefault="00EE3DF9">
            <w:pPr>
              <w:spacing w:after="160"/>
              <w:jc w:val="center"/>
              <w:rPr>
                <w:rFonts w:eastAsia="Times New Roman Bold"/>
                <w:noProof/>
              </w:rPr>
            </w:pPr>
            <w:r w:rsidRPr="00F5382B">
              <w:rPr>
                <w:rFonts w:eastAsia="Times New Roman Bold"/>
                <w:noProof/>
              </w:rPr>
              <w:t xml:space="preserve">5.90 million </w:t>
            </w:r>
          </w:p>
        </w:tc>
      </w:tr>
      <w:tr w:rsidR="00EE3DF9" w:rsidRPr="00F5382B" w14:paraId="372C40A2"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1AF5AA1" w14:textId="77777777" w:rsidR="00EE3DF9" w:rsidRPr="00F5382B" w:rsidRDefault="00EE3DF9">
            <w:pPr>
              <w:spacing w:after="160"/>
              <w:jc w:val="center"/>
              <w:rPr>
                <w:rFonts w:eastAsia="Times New Roman Bold"/>
                <w:noProof/>
              </w:rPr>
            </w:pPr>
            <w:r w:rsidRPr="00F5382B">
              <w:rPr>
                <w:rFonts w:eastAsia="Times New Roman Bold"/>
                <w:noProof/>
              </w:rPr>
              <w:t xml:space="preserve">United Kingdom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349AA6" w14:textId="77777777" w:rsidR="00EE3DF9" w:rsidRPr="00F5382B" w:rsidRDefault="00EE3DF9">
            <w:pPr>
              <w:spacing w:after="160"/>
              <w:jc w:val="center"/>
              <w:rPr>
                <w:rFonts w:eastAsia="Times New Roman Bold"/>
                <w:noProof/>
              </w:rPr>
            </w:pPr>
            <w:r w:rsidRPr="00F5382B">
              <w:rPr>
                <w:rFonts w:eastAsia="Times New Roman Bold"/>
                <w:noProof/>
              </w:rPr>
              <w:t xml:space="preserve">4.14 million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1D82B5" w14:textId="77777777" w:rsidR="00EE3DF9" w:rsidRPr="00F5382B" w:rsidRDefault="00EE3DF9">
            <w:pPr>
              <w:spacing w:after="160"/>
              <w:jc w:val="center"/>
              <w:rPr>
                <w:rFonts w:eastAsia="Times New Roman Bold"/>
                <w:noProof/>
              </w:rPr>
            </w:pPr>
            <w:r w:rsidRPr="00F5382B">
              <w:rPr>
                <w:rFonts w:eastAsia="Times New Roman Bold"/>
                <w:noProof/>
              </w:rPr>
              <w:t xml:space="preserve">4.53 million </w:t>
            </w:r>
          </w:p>
        </w:tc>
      </w:tr>
      <w:tr w:rsidR="00EE3DF9" w:rsidRPr="00F5382B" w14:paraId="77CB4832"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B84977" w14:textId="77777777" w:rsidR="00EE3DF9" w:rsidRPr="00F5382B" w:rsidRDefault="00EE3DF9">
            <w:pPr>
              <w:spacing w:after="160"/>
              <w:jc w:val="center"/>
              <w:rPr>
                <w:rFonts w:eastAsia="Times New Roman Bold"/>
                <w:noProof/>
              </w:rPr>
            </w:pPr>
            <w:r w:rsidRPr="00F5382B">
              <w:rPr>
                <w:rFonts w:eastAsia="Times New Roman Bold"/>
                <w:noProof/>
              </w:rPr>
              <w:t xml:space="preserve">Germany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3E72011" w14:textId="77777777" w:rsidR="00EE3DF9" w:rsidRPr="00F5382B" w:rsidRDefault="00EE3DF9">
            <w:pPr>
              <w:spacing w:after="160"/>
              <w:jc w:val="center"/>
              <w:rPr>
                <w:rFonts w:eastAsia="Times New Roman Bold"/>
                <w:noProof/>
              </w:rPr>
            </w:pPr>
            <w:r w:rsidRPr="00F5382B">
              <w:rPr>
                <w:rFonts w:eastAsia="Times New Roman Bold"/>
                <w:noProof/>
              </w:rPr>
              <w:t xml:space="preserve">4.03 million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C5EABE" w14:textId="77777777" w:rsidR="00EE3DF9" w:rsidRPr="00F5382B" w:rsidRDefault="00EE3DF9">
            <w:pPr>
              <w:spacing w:after="160"/>
              <w:jc w:val="center"/>
              <w:rPr>
                <w:rFonts w:eastAsia="Times New Roman Bold"/>
                <w:noProof/>
              </w:rPr>
            </w:pPr>
            <w:r w:rsidRPr="00F5382B">
              <w:rPr>
                <w:rFonts w:eastAsia="Times New Roman Bold"/>
                <w:noProof/>
              </w:rPr>
              <w:t xml:space="preserve">5.31 million </w:t>
            </w:r>
          </w:p>
        </w:tc>
      </w:tr>
      <w:tr w:rsidR="00EE3DF9" w:rsidRPr="00F5382B" w14:paraId="0CB1BEA8"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C9DA9D0" w14:textId="77777777" w:rsidR="00EE3DF9" w:rsidRPr="00F5382B" w:rsidRDefault="00EE3DF9">
            <w:pPr>
              <w:spacing w:after="160"/>
              <w:jc w:val="center"/>
              <w:rPr>
                <w:rFonts w:eastAsia="Times New Roman Bold"/>
                <w:noProof/>
              </w:rPr>
            </w:pPr>
            <w:r w:rsidRPr="00F5382B">
              <w:rPr>
                <w:rFonts w:eastAsia="Times New Roman Bold"/>
                <w:noProof/>
              </w:rPr>
              <w:t xml:space="preserve">France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886FF2" w14:textId="77777777" w:rsidR="00EE3DF9" w:rsidRPr="00F5382B" w:rsidRDefault="00EE3DF9">
            <w:pPr>
              <w:spacing w:after="160"/>
              <w:jc w:val="center"/>
              <w:rPr>
                <w:rFonts w:eastAsia="Times New Roman Bold"/>
                <w:noProof/>
              </w:rPr>
            </w:pPr>
            <w:r w:rsidRPr="00F5382B">
              <w:rPr>
                <w:rFonts w:eastAsia="Times New Roman Bold"/>
                <w:noProof/>
              </w:rPr>
              <w:t xml:space="preserve">3.73 million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3B7985" w14:textId="77777777" w:rsidR="00EE3DF9" w:rsidRPr="00F5382B" w:rsidRDefault="00EE3DF9">
            <w:pPr>
              <w:spacing w:after="160"/>
              <w:jc w:val="center"/>
              <w:rPr>
                <w:rFonts w:eastAsia="Times New Roman Bold"/>
                <w:noProof/>
              </w:rPr>
            </w:pPr>
            <w:r w:rsidRPr="00F5382B">
              <w:rPr>
                <w:rFonts w:eastAsia="Times New Roman Bold"/>
                <w:noProof/>
              </w:rPr>
              <w:t xml:space="preserve">4.17 million </w:t>
            </w:r>
          </w:p>
        </w:tc>
      </w:tr>
      <w:tr w:rsidR="00EE3DF9" w:rsidRPr="00F5382B" w14:paraId="7E1BA7BB" w14:textId="77777777">
        <w:trPr>
          <w:trHeight w:val="285"/>
          <w:jc w:val="center"/>
        </w:trPr>
        <w:tc>
          <w:tcPr>
            <w:tcW w:w="17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9EBF69F" w14:textId="77777777" w:rsidR="00EE3DF9" w:rsidRPr="00F5382B" w:rsidRDefault="00EE3DF9">
            <w:pPr>
              <w:spacing w:after="160"/>
              <w:jc w:val="center"/>
              <w:rPr>
                <w:rFonts w:eastAsia="Times New Roman Bold"/>
                <w:noProof/>
              </w:rPr>
            </w:pPr>
            <w:r w:rsidRPr="00F5382B">
              <w:rPr>
                <w:rFonts w:eastAsia="Times New Roman Bold"/>
                <w:noProof/>
              </w:rPr>
              <w:t xml:space="preserve">Italy </w:t>
            </w:r>
          </w:p>
        </w:tc>
        <w:tc>
          <w:tcPr>
            <w:tcW w:w="249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C60DF19" w14:textId="77777777" w:rsidR="00EE3DF9" w:rsidRPr="00F5382B" w:rsidRDefault="00EE3DF9">
            <w:pPr>
              <w:spacing w:after="160"/>
              <w:jc w:val="center"/>
              <w:rPr>
                <w:rFonts w:eastAsia="Times New Roman Bold"/>
                <w:noProof/>
              </w:rPr>
            </w:pPr>
            <w:r w:rsidRPr="00F5382B">
              <w:rPr>
                <w:rFonts w:eastAsia="Times New Roman Bold"/>
                <w:noProof/>
              </w:rPr>
              <w:t xml:space="preserve">3.44 million </w:t>
            </w:r>
          </w:p>
        </w:tc>
        <w:tc>
          <w:tcPr>
            <w:tcW w:w="254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5B716F" w14:textId="77777777" w:rsidR="00EE3DF9" w:rsidRPr="00F5382B" w:rsidRDefault="00EE3DF9" w:rsidP="00D52AD8">
            <w:pPr>
              <w:pStyle w:val="ListParagraph"/>
              <w:numPr>
                <w:ilvl w:val="1"/>
                <w:numId w:val="114"/>
              </w:numPr>
              <w:spacing w:after="160"/>
              <w:jc w:val="center"/>
              <w:rPr>
                <w:rFonts w:eastAsia="Times New Roman Bold"/>
                <w:noProof/>
              </w:rPr>
            </w:pPr>
            <w:r w:rsidRPr="00F5382B">
              <w:rPr>
                <w:rFonts w:eastAsia="Times New Roman Bold"/>
                <w:noProof/>
              </w:rPr>
              <w:t xml:space="preserve"> million</w:t>
            </w:r>
          </w:p>
        </w:tc>
      </w:tr>
    </w:tbl>
    <w:p w14:paraId="05FEAD3E" w14:textId="77777777" w:rsidR="00EE3DF9" w:rsidRPr="00F5382B" w:rsidRDefault="00EE3DF9" w:rsidP="00EE3DF9">
      <w:pPr>
        <w:spacing w:after="0"/>
        <w:rPr>
          <w:rFonts w:eastAsia="Times New Roman Bold"/>
          <w:i/>
          <w:iCs/>
          <w:noProof/>
        </w:rPr>
      </w:pPr>
    </w:p>
    <w:p w14:paraId="1648E430" w14:textId="77777777" w:rsidR="00EE3DF9" w:rsidRPr="00F5382B" w:rsidRDefault="00EE3DF9" w:rsidP="00EE3DF9">
      <w:pPr>
        <w:spacing w:after="200" w:line="276" w:lineRule="auto"/>
        <w:jc w:val="left"/>
        <w:rPr>
          <w:b/>
          <w:noProof/>
        </w:rPr>
      </w:pPr>
      <w:r w:rsidRPr="00F5382B">
        <w:rPr>
          <w:b/>
          <w:noProof/>
        </w:rPr>
        <w:t>3.2 Ransomware</w:t>
      </w:r>
    </w:p>
    <w:p w14:paraId="0566D5EA" w14:textId="0E404B3B" w:rsidR="00EE3DF9" w:rsidRPr="00F5382B" w:rsidRDefault="00EE3DF9" w:rsidP="00EE3DF9">
      <w:pPr>
        <w:pStyle w:val="Heading5"/>
        <w:rPr>
          <w:noProof/>
        </w:rPr>
      </w:pPr>
      <w:bookmarkStart w:id="366" w:name="_Toc218767813"/>
      <w:r w:rsidRPr="00F5382B">
        <w:rPr>
          <w:noProof/>
        </w:rPr>
        <w:t xml:space="preserve">Table </w:t>
      </w:r>
      <w:r w:rsidR="0045617A">
        <w:rPr>
          <w:noProof/>
        </w:rPr>
        <w:t>20</w:t>
      </w:r>
      <w:r w:rsidRPr="00F5382B">
        <w:rPr>
          <w:noProof/>
        </w:rPr>
        <w:t>: Average cost of a ransomware incident (globally) in 2025</w:t>
      </w:r>
      <w:bookmarkEnd w:id="366"/>
    </w:p>
    <w:tbl>
      <w:tblPr>
        <w:tblW w:w="0" w:type="auto"/>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4719"/>
        <w:gridCol w:w="2687"/>
      </w:tblGrid>
      <w:tr w:rsidR="00EE3DF9" w:rsidRPr="00F5382B" w14:paraId="0EE0E6A5" w14:textId="77777777">
        <w:trPr>
          <w:trHeight w:val="300"/>
          <w:jc w:val="center"/>
        </w:trPr>
        <w:tc>
          <w:tcPr>
            <w:tcW w:w="471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2928A1" w14:textId="77777777" w:rsidR="00EE3DF9" w:rsidRPr="00F5382B" w:rsidRDefault="00EE3DF9">
            <w:pPr>
              <w:spacing w:after="0"/>
              <w:jc w:val="center"/>
              <w:rPr>
                <w:rFonts w:eastAsia="Times New Roman"/>
                <w:b/>
                <w:bCs/>
                <w:noProof/>
              </w:rPr>
            </w:pPr>
            <w:r w:rsidRPr="00F5382B">
              <w:rPr>
                <w:rFonts w:eastAsia="Times New Roman"/>
                <w:b/>
                <w:bCs/>
                <w:noProof/>
              </w:rPr>
              <w:t>Type</w:t>
            </w:r>
          </w:p>
        </w:tc>
        <w:tc>
          <w:tcPr>
            <w:tcW w:w="26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708924A" w14:textId="77777777" w:rsidR="00EE3DF9" w:rsidRPr="00F5382B" w:rsidRDefault="00EE3DF9">
            <w:pPr>
              <w:spacing w:after="0"/>
              <w:jc w:val="center"/>
              <w:rPr>
                <w:rFonts w:eastAsia="Times New Roman"/>
                <w:b/>
                <w:bCs/>
                <w:noProof/>
              </w:rPr>
            </w:pPr>
            <w:r w:rsidRPr="00F5382B">
              <w:rPr>
                <w:rFonts w:eastAsia="Times New Roman"/>
                <w:b/>
                <w:bCs/>
                <w:noProof/>
              </w:rPr>
              <w:t>2024 Average</w:t>
            </w:r>
          </w:p>
        </w:tc>
      </w:tr>
      <w:tr w:rsidR="00EE3DF9" w:rsidRPr="00F5382B" w14:paraId="4309B2DF" w14:textId="77777777">
        <w:trPr>
          <w:trHeight w:val="300"/>
          <w:jc w:val="center"/>
        </w:trPr>
        <w:tc>
          <w:tcPr>
            <w:tcW w:w="471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4FCFF89" w14:textId="77777777" w:rsidR="00EE3DF9" w:rsidRPr="00F5382B" w:rsidRDefault="00EE3DF9">
            <w:pPr>
              <w:spacing w:after="0"/>
              <w:jc w:val="center"/>
              <w:rPr>
                <w:rFonts w:eastAsia="Times New Roman"/>
                <w:noProof/>
              </w:rPr>
            </w:pPr>
            <w:r w:rsidRPr="00F5382B">
              <w:rPr>
                <w:rFonts w:eastAsia="Times New Roman"/>
                <w:noProof/>
              </w:rPr>
              <w:t>Average Ransom Demand</w:t>
            </w:r>
          </w:p>
        </w:tc>
        <w:tc>
          <w:tcPr>
            <w:tcW w:w="26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E4226E" w14:textId="77777777" w:rsidR="00EE3DF9" w:rsidRPr="00F5382B" w:rsidRDefault="00EE3DF9">
            <w:pPr>
              <w:spacing w:after="0"/>
              <w:jc w:val="center"/>
              <w:rPr>
                <w:rFonts w:eastAsia="Times New Roman"/>
                <w:noProof/>
              </w:rPr>
            </w:pPr>
            <w:r w:rsidRPr="00F5382B">
              <w:rPr>
                <w:rFonts w:eastAsia="Times New Roman"/>
                <w:noProof/>
              </w:rPr>
              <w:t>USD 1,324,439</w:t>
            </w:r>
          </w:p>
        </w:tc>
      </w:tr>
      <w:tr w:rsidR="00EE3DF9" w:rsidRPr="00F5382B" w14:paraId="3FE5AAEB" w14:textId="77777777">
        <w:trPr>
          <w:trHeight w:val="300"/>
          <w:jc w:val="center"/>
        </w:trPr>
        <w:tc>
          <w:tcPr>
            <w:tcW w:w="471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61FF7D7" w14:textId="77777777" w:rsidR="00EE3DF9" w:rsidRPr="00F5382B" w:rsidRDefault="00EE3DF9">
            <w:pPr>
              <w:spacing w:after="0"/>
              <w:jc w:val="center"/>
              <w:rPr>
                <w:rFonts w:eastAsia="Times New Roman"/>
                <w:noProof/>
              </w:rPr>
            </w:pPr>
            <w:r w:rsidRPr="00F5382B">
              <w:rPr>
                <w:rFonts w:eastAsia="Times New Roman"/>
                <w:noProof/>
              </w:rPr>
              <w:t>Average Ransom Payment</w:t>
            </w:r>
          </w:p>
        </w:tc>
        <w:tc>
          <w:tcPr>
            <w:tcW w:w="26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73E358" w14:textId="77777777" w:rsidR="00EE3DF9" w:rsidRPr="00F5382B" w:rsidRDefault="00EE3DF9">
            <w:pPr>
              <w:spacing w:after="0"/>
              <w:jc w:val="center"/>
              <w:rPr>
                <w:rFonts w:eastAsia="Times New Roman"/>
                <w:noProof/>
              </w:rPr>
            </w:pPr>
            <w:r w:rsidRPr="00F5382B">
              <w:rPr>
                <w:rFonts w:eastAsia="Times New Roman"/>
                <w:noProof/>
              </w:rPr>
              <w:t>USD 1,000,000</w:t>
            </w:r>
          </w:p>
        </w:tc>
      </w:tr>
      <w:tr w:rsidR="00EE3DF9" w:rsidRPr="00F5382B" w14:paraId="6CB5F37C" w14:textId="77777777">
        <w:trPr>
          <w:trHeight w:val="300"/>
          <w:jc w:val="center"/>
        </w:trPr>
        <w:tc>
          <w:tcPr>
            <w:tcW w:w="471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DACE43" w14:textId="77777777" w:rsidR="00EE3DF9" w:rsidRPr="00F5382B" w:rsidRDefault="00EE3DF9">
            <w:pPr>
              <w:spacing w:after="0"/>
              <w:jc w:val="center"/>
              <w:rPr>
                <w:rFonts w:eastAsia="Times New Roman"/>
                <w:noProof/>
              </w:rPr>
            </w:pPr>
            <w:r w:rsidRPr="00F5382B">
              <w:rPr>
                <w:rFonts w:eastAsia="Times New Roman"/>
                <w:noProof/>
              </w:rPr>
              <w:t>Average Recovery Cost (Excluding Ransom)</w:t>
            </w:r>
          </w:p>
        </w:tc>
        <w:tc>
          <w:tcPr>
            <w:tcW w:w="26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D27D8D3" w14:textId="77777777" w:rsidR="00EE3DF9" w:rsidRPr="00F5382B" w:rsidRDefault="00EE3DF9">
            <w:pPr>
              <w:spacing w:after="0"/>
              <w:jc w:val="center"/>
              <w:rPr>
                <w:rFonts w:eastAsia="Times New Roman"/>
                <w:noProof/>
              </w:rPr>
            </w:pPr>
            <w:r w:rsidRPr="00F5382B">
              <w:rPr>
                <w:rFonts w:eastAsia="Times New Roman"/>
                <w:noProof/>
              </w:rPr>
              <w:t>USD 1,530,000</w:t>
            </w:r>
          </w:p>
        </w:tc>
      </w:tr>
      <w:tr w:rsidR="00EE3DF9" w:rsidRPr="00F5382B" w14:paraId="3D69A5EA" w14:textId="77777777">
        <w:trPr>
          <w:trHeight w:val="300"/>
          <w:jc w:val="center"/>
        </w:trPr>
        <w:tc>
          <w:tcPr>
            <w:tcW w:w="471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4ADE46" w14:textId="77777777" w:rsidR="00EE3DF9" w:rsidRPr="00F5382B" w:rsidRDefault="00EE3DF9">
            <w:pPr>
              <w:spacing w:after="0"/>
              <w:jc w:val="center"/>
              <w:rPr>
                <w:rFonts w:eastAsia="Times New Roman"/>
                <w:noProof/>
              </w:rPr>
            </w:pPr>
            <w:r w:rsidRPr="00F5382B">
              <w:rPr>
                <w:rFonts w:eastAsia="Times New Roman"/>
                <w:noProof/>
              </w:rPr>
              <w:t>Payment vs. Demand</w:t>
            </w:r>
          </w:p>
        </w:tc>
        <w:tc>
          <w:tcPr>
            <w:tcW w:w="2687"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3DF195" w14:textId="77777777" w:rsidR="00EE3DF9" w:rsidRPr="00F5382B" w:rsidRDefault="00EE3DF9">
            <w:pPr>
              <w:spacing w:after="0"/>
              <w:jc w:val="center"/>
              <w:rPr>
                <w:rFonts w:eastAsia="Times New Roman"/>
                <w:noProof/>
              </w:rPr>
            </w:pPr>
            <w:r w:rsidRPr="00F5382B">
              <w:rPr>
                <w:rFonts w:eastAsia="Times New Roman"/>
                <w:noProof/>
              </w:rPr>
              <w:t>85%</w:t>
            </w:r>
          </w:p>
        </w:tc>
      </w:tr>
    </w:tbl>
    <w:p w14:paraId="190ED21C" w14:textId="77777777" w:rsidR="00EE3DF9" w:rsidRPr="00F5382B" w:rsidRDefault="00EE3DF9" w:rsidP="00EE3DF9">
      <w:pPr>
        <w:spacing w:after="0"/>
        <w:rPr>
          <w:rFonts w:eastAsia="Times New Roman Bold"/>
          <w:i/>
          <w:iCs/>
          <w:noProof/>
        </w:rPr>
      </w:pPr>
    </w:p>
    <w:p w14:paraId="689F3650" w14:textId="07B684BB" w:rsidR="00EE3DF9" w:rsidRPr="00F5382B" w:rsidRDefault="00EE3DF9" w:rsidP="00EE3DF9">
      <w:pPr>
        <w:pStyle w:val="Heading5"/>
        <w:rPr>
          <w:noProof/>
        </w:rPr>
      </w:pPr>
      <w:bookmarkStart w:id="367" w:name="_Toc218767814"/>
      <w:r w:rsidRPr="00F5382B">
        <w:rPr>
          <w:noProof/>
        </w:rPr>
        <w:t xml:space="preserve">Table </w:t>
      </w:r>
      <w:r w:rsidR="0045617A">
        <w:rPr>
          <w:noProof/>
        </w:rPr>
        <w:t>21</w:t>
      </w:r>
      <w:r w:rsidRPr="00F5382B">
        <w:rPr>
          <w:noProof/>
        </w:rPr>
        <w:t>: Average cost to recover, median ransom demand and median ransom payment by country/region in 2024</w:t>
      </w:r>
      <w:bookmarkEnd w:id="367"/>
    </w:p>
    <w:tbl>
      <w:tblPr>
        <w:tblW w:w="0" w:type="auto"/>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220"/>
        <w:gridCol w:w="1943"/>
        <w:gridCol w:w="1998"/>
        <w:gridCol w:w="2024"/>
      </w:tblGrid>
      <w:tr w:rsidR="00EE3DF9" w:rsidRPr="00F5382B" w14:paraId="541A3C5B" w14:textId="77777777">
        <w:trPr>
          <w:trHeight w:val="865"/>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EF39978" w14:textId="77777777" w:rsidR="00EE3DF9" w:rsidRPr="00F5382B" w:rsidRDefault="00EE3DF9">
            <w:pPr>
              <w:spacing w:after="160"/>
              <w:jc w:val="center"/>
              <w:rPr>
                <w:rFonts w:eastAsia="Times New Roman Bold"/>
                <w:b/>
                <w:noProof/>
              </w:rPr>
            </w:pPr>
            <w:r w:rsidRPr="00F5382B">
              <w:rPr>
                <w:rFonts w:eastAsia="Times New Roman Bold"/>
                <w:b/>
                <w:noProof/>
              </w:rPr>
              <w:t>Country</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53547B" w14:textId="77777777" w:rsidR="00EE3DF9" w:rsidRPr="00F5382B" w:rsidRDefault="00EE3DF9">
            <w:pPr>
              <w:spacing w:after="160"/>
              <w:jc w:val="center"/>
              <w:rPr>
                <w:rFonts w:eastAsia="Times New Roman Bold"/>
                <w:b/>
                <w:noProof/>
              </w:rPr>
            </w:pPr>
            <w:r w:rsidRPr="00F5382B">
              <w:rPr>
                <w:rFonts w:eastAsia="Times New Roman Bold"/>
                <w:b/>
                <w:noProof/>
              </w:rPr>
              <w:t>Average Cost to Recover (Excluding Ransom)</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1DCBBE3" w14:textId="77777777" w:rsidR="00EE3DF9" w:rsidRPr="00F5382B" w:rsidRDefault="00EE3DF9">
            <w:pPr>
              <w:spacing w:after="160"/>
              <w:jc w:val="center"/>
              <w:rPr>
                <w:rFonts w:eastAsia="Times New Roman Bold"/>
                <w:b/>
                <w:noProof/>
              </w:rPr>
            </w:pPr>
            <w:r w:rsidRPr="00F5382B">
              <w:rPr>
                <w:rFonts w:eastAsia="Times New Roman Bold"/>
                <w:b/>
                <w:noProof/>
              </w:rPr>
              <w:t>Median Ransom Demand (2024)</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20DF10" w14:textId="77777777" w:rsidR="00EE3DF9" w:rsidRPr="00F5382B" w:rsidRDefault="00EE3DF9">
            <w:pPr>
              <w:spacing w:after="160"/>
              <w:jc w:val="center"/>
              <w:rPr>
                <w:rFonts w:eastAsia="Times New Roman Bold"/>
                <w:b/>
                <w:noProof/>
              </w:rPr>
            </w:pPr>
            <w:r w:rsidRPr="00F5382B">
              <w:rPr>
                <w:rFonts w:eastAsia="Times New Roman Bold"/>
                <w:b/>
                <w:noProof/>
              </w:rPr>
              <w:t>Median Ransom Payment (2024)</w:t>
            </w:r>
          </w:p>
        </w:tc>
      </w:tr>
      <w:tr w:rsidR="00EE3DF9" w:rsidRPr="00F5382B" w14:paraId="75925977"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8A5D35" w14:textId="77777777" w:rsidR="00EE3DF9" w:rsidRPr="00F5382B" w:rsidRDefault="00EE3DF9">
            <w:pPr>
              <w:spacing w:after="160"/>
              <w:jc w:val="center"/>
              <w:rPr>
                <w:rFonts w:eastAsia="Times New Roman Bold"/>
                <w:noProof/>
              </w:rPr>
            </w:pPr>
            <w:r w:rsidRPr="00F5382B">
              <w:rPr>
                <w:rFonts w:eastAsia="Times New Roman Bold"/>
                <w:noProof/>
              </w:rPr>
              <w:t>France</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0266E2F" w14:textId="77777777" w:rsidR="00EE3DF9" w:rsidRPr="00F5382B" w:rsidRDefault="00EE3DF9">
            <w:pPr>
              <w:spacing w:after="160"/>
              <w:jc w:val="center"/>
              <w:rPr>
                <w:rFonts w:eastAsia="Times New Roman Bold"/>
                <w:noProof/>
              </w:rPr>
            </w:pPr>
            <w:r w:rsidRPr="00F5382B">
              <w:rPr>
                <w:rFonts w:eastAsia="Times New Roman Bold"/>
                <w:noProof/>
              </w:rPr>
              <w:t>$1.22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D5DAFD5" w14:textId="77777777" w:rsidR="00EE3DF9" w:rsidRPr="00F5382B" w:rsidRDefault="00EE3DF9">
            <w:pPr>
              <w:spacing w:after="160"/>
              <w:jc w:val="center"/>
              <w:rPr>
                <w:rFonts w:eastAsia="Times New Roman Bold"/>
                <w:noProof/>
              </w:rPr>
            </w:pPr>
            <w:r w:rsidRPr="00F5382B">
              <w:rPr>
                <w:rFonts w:eastAsia="Times New Roman Bold"/>
                <w:noProof/>
              </w:rPr>
              <w:t>$643,125</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2F3F0A" w14:textId="77777777" w:rsidR="00EE3DF9" w:rsidRPr="00F5382B" w:rsidRDefault="00EE3DF9">
            <w:pPr>
              <w:spacing w:after="160"/>
              <w:jc w:val="center"/>
              <w:rPr>
                <w:rFonts w:eastAsia="Times New Roman Bold"/>
                <w:noProof/>
              </w:rPr>
            </w:pPr>
            <w:r w:rsidRPr="00F5382B">
              <w:rPr>
                <w:rFonts w:eastAsia="Times New Roman Bold"/>
                <w:noProof/>
              </w:rPr>
              <w:t>$231,525</w:t>
            </w:r>
          </w:p>
        </w:tc>
      </w:tr>
      <w:tr w:rsidR="00EE3DF9" w:rsidRPr="00F5382B" w14:paraId="7089F0C1"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A7F2DBC" w14:textId="77777777" w:rsidR="00EE3DF9" w:rsidRPr="00F5382B" w:rsidRDefault="00EE3DF9">
            <w:pPr>
              <w:spacing w:after="160"/>
              <w:jc w:val="center"/>
              <w:rPr>
                <w:rFonts w:eastAsia="Times New Roman Bold"/>
                <w:noProof/>
              </w:rPr>
            </w:pPr>
            <w:r w:rsidRPr="00F5382B">
              <w:rPr>
                <w:rFonts w:eastAsia="Times New Roman Bold"/>
                <w:noProof/>
              </w:rPr>
              <w:t>Germany</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C0A3061" w14:textId="77777777" w:rsidR="00EE3DF9" w:rsidRPr="00F5382B" w:rsidRDefault="00EE3DF9">
            <w:pPr>
              <w:spacing w:after="160"/>
              <w:jc w:val="center"/>
              <w:rPr>
                <w:rFonts w:eastAsia="Times New Roman Bold"/>
                <w:noProof/>
              </w:rPr>
            </w:pPr>
            <w:r w:rsidRPr="00F5382B">
              <w:rPr>
                <w:rFonts w:eastAsia="Times New Roman Bold"/>
                <w:noProof/>
              </w:rPr>
              <w:t>$1.56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DEEE416" w14:textId="77777777" w:rsidR="00EE3DF9" w:rsidRPr="00F5382B" w:rsidRDefault="00EE3DF9">
            <w:pPr>
              <w:spacing w:after="160"/>
              <w:jc w:val="center"/>
              <w:rPr>
                <w:rFonts w:eastAsia="Times New Roman Bold"/>
                <w:noProof/>
              </w:rPr>
            </w:pPr>
            <w:r w:rsidRPr="00F5382B">
              <w:rPr>
                <w:rFonts w:eastAsia="Times New Roman Bold"/>
                <w:noProof/>
              </w:rPr>
              <w:t>$600,000</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0B0FA95" w14:textId="77777777" w:rsidR="00EE3DF9" w:rsidRPr="00F5382B" w:rsidRDefault="00EE3DF9">
            <w:pPr>
              <w:spacing w:after="160"/>
              <w:jc w:val="center"/>
              <w:rPr>
                <w:rFonts w:eastAsia="Times New Roman Bold"/>
                <w:noProof/>
              </w:rPr>
            </w:pPr>
            <w:r w:rsidRPr="00F5382B">
              <w:rPr>
                <w:rFonts w:eastAsia="Times New Roman Bold"/>
                <w:noProof/>
              </w:rPr>
              <w:t>$411,600</w:t>
            </w:r>
          </w:p>
        </w:tc>
      </w:tr>
      <w:tr w:rsidR="00EE3DF9" w:rsidRPr="00F5382B" w14:paraId="6026998E"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E61904" w14:textId="77777777" w:rsidR="00EE3DF9" w:rsidRPr="00F5382B" w:rsidRDefault="00EE3DF9">
            <w:pPr>
              <w:spacing w:after="160"/>
              <w:jc w:val="center"/>
              <w:rPr>
                <w:rFonts w:eastAsia="Times New Roman Bold"/>
                <w:noProof/>
              </w:rPr>
            </w:pPr>
            <w:r w:rsidRPr="00F5382B">
              <w:rPr>
                <w:rFonts w:eastAsia="Times New Roman Bold"/>
                <w:noProof/>
              </w:rPr>
              <w:t>Italy</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45AA6DC" w14:textId="77777777" w:rsidR="00EE3DF9" w:rsidRPr="00F5382B" w:rsidRDefault="00EE3DF9">
            <w:pPr>
              <w:spacing w:after="160"/>
              <w:jc w:val="center"/>
              <w:rPr>
                <w:rFonts w:eastAsia="Times New Roman Bold"/>
                <w:noProof/>
              </w:rPr>
            </w:pPr>
            <w:r w:rsidRPr="00F5382B">
              <w:rPr>
                <w:rFonts w:eastAsia="Times New Roman Bold"/>
                <w:noProof/>
              </w:rPr>
              <w:t>$3.55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C0423A" w14:textId="77777777" w:rsidR="00EE3DF9" w:rsidRPr="00F5382B" w:rsidRDefault="00EE3DF9">
            <w:pPr>
              <w:spacing w:after="160"/>
              <w:jc w:val="center"/>
              <w:rPr>
                <w:rFonts w:eastAsia="Times New Roman Bold"/>
                <w:noProof/>
              </w:rPr>
            </w:pPr>
            <w:r w:rsidRPr="00F5382B">
              <w:rPr>
                <w:rFonts w:eastAsia="Times New Roman Bold"/>
                <w:noProof/>
              </w:rPr>
              <w:t>$4.12 million</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B99218" w14:textId="77777777" w:rsidR="00EE3DF9" w:rsidRPr="00F5382B" w:rsidRDefault="00EE3DF9">
            <w:pPr>
              <w:spacing w:after="160"/>
              <w:jc w:val="center"/>
              <w:rPr>
                <w:rFonts w:eastAsia="Times New Roman Bold"/>
                <w:noProof/>
              </w:rPr>
            </w:pPr>
            <w:r w:rsidRPr="00F5382B">
              <w:rPr>
                <w:rFonts w:eastAsia="Times New Roman Bold"/>
                <w:noProof/>
              </w:rPr>
              <w:t>$2.06 million</w:t>
            </w:r>
          </w:p>
        </w:tc>
      </w:tr>
      <w:tr w:rsidR="00EE3DF9" w:rsidRPr="00F5382B" w14:paraId="1C811CED"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3DDB9B9" w14:textId="77777777" w:rsidR="00EE3DF9" w:rsidRPr="00F5382B" w:rsidRDefault="00EE3DF9">
            <w:pPr>
              <w:spacing w:after="160"/>
              <w:jc w:val="center"/>
              <w:rPr>
                <w:rFonts w:eastAsia="Times New Roman Bold"/>
                <w:noProof/>
              </w:rPr>
            </w:pPr>
            <w:r w:rsidRPr="00F5382B">
              <w:rPr>
                <w:rFonts w:eastAsia="Times New Roman Bold"/>
                <w:noProof/>
              </w:rPr>
              <w:t>Spain</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C2ABF95" w14:textId="77777777" w:rsidR="00EE3DF9" w:rsidRPr="00F5382B" w:rsidRDefault="00EE3DF9">
            <w:pPr>
              <w:spacing w:after="160"/>
              <w:jc w:val="center"/>
              <w:rPr>
                <w:rFonts w:eastAsia="Times New Roman Bold"/>
                <w:noProof/>
              </w:rPr>
            </w:pPr>
            <w:r w:rsidRPr="00F5382B">
              <w:rPr>
                <w:rFonts w:eastAsia="Times New Roman Bold"/>
                <w:noProof/>
              </w:rPr>
              <w:t>$1.15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F0474A4" w14:textId="77777777" w:rsidR="00EE3DF9" w:rsidRPr="00F5382B" w:rsidRDefault="00EE3DF9">
            <w:pPr>
              <w:spacing w:after="160"/>
              <w:jc w:val="center"/>
              <w:rPr>
                <w:rFonts w:eastAsia="Times New Roman Bold"/>
                <w:noProof/>
              </w:rPr>
            </w:pPr>
            <w:r w:rsidRPr="00F5382B">
              <w:rPr>
                <w:rFonts w:eastAsia="Times New Roman Bold"/>
                <w:noProof/>
              </w:rPr>
              <w:t>$911,600</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FBBCA6" w14:textId="77777777" w:rsidR="00EE3DF9" w:rsidRPr="00F5382B" w:rsidRDefault="00EE3DF9">
            <w:pPr>
              <w:spacing w:after="160"/>
              <w:jc w:val="center"/>
              <w:rPr>
                <w:rFonts w:eastAsia="Times New Roman Bold"/>
                <w:noProof/>
              </w:rPr>
            </w:pPr>
            <w:r w:rsidRPr="00F5382B">
              <w:rPr>
                <w:rFonts w:eastAsia="Times New Roman Bold"/>
                <w:noProof/>
              </w:rPr>
              <w:t>$322,500</w:t>
            </w:r>
          </w:p>
        </w:tc>
      </w:tr>
      <w:tr w:rsidR="00EE3DF9" w:rsidRPr="00F5382B" w14:paraId="0CE744D2"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3F63CD" w14:textId="77777777" w:rsidR="00EE3DF9" w:rsidRPr="00F5382B" w:rsidRDefault="00EE3DF9">
            <w:pPr>
              <w:spacing w:after="160"/>
              <w:jc w:val="center"/>
              <w:rPr>
                <w:rFonts w:eastAsia="Times New Roman Bold"/>
                <w:noProof/>
              </w:rPr>
            </w:pPr>
            <w:r w:rsidRPr="00F5382B">
              <w:rPr>
                <w:rFonts w:eastAsia="Times New Roman Bold"/>
                <w:noProof/>
              </w:rPr>
              <w:t>Switzerland</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AE46FB0" w14:textId="77777777" w:rsidR="00EE3DF9" w:rsidRPr="00F5382B" w:rsidRDefault="00EE3DF9">
            <w:pPr>
              <w:spacing w:after="160"/>
              <w:jc w:val="center"/>
              <w:rPr>
                <w:rFonts w:eastAsia="Times New Roman Bold"/>
                <w:noProof/>
              </w:rPr>
            </w:pPr>
            <w:r w:rsidRPr="00F5382B">
              <w:rPr>
                <w:rFonts w:eastAsia="Times New Roman Bold"/>
                <w:noProof/>
              </w:rPr>
              <w:t>$1.04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9D7FF6" w14:textId="77777777" w:rsidR="00EE3DF9" w:rsidRPr="00F5382B" w:rsidRDefault="00EE3DF9">
            <w:pPr>
              <w:spacing w:after="160"/>
              <w:jc w:val="center"/>
              <w:rPr>
                <w:rFonts w:eastAsia="Times New Roman Bold"/>
                <w:noProof/>
              </w:rPr>
            </w:pPr>
            <w:r w:rsidRPr="00F5382B">
              <w:rPr>
                <w:rFonts w:eastAsia="Times New Roman Bold"/>
                <w:noProof/>
              </w:rPr>
              <w:t>$328,748</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42F613" w14:textId="77777777" w:rsidR="00EE3DF9" w:rsidRPr="00F5382B" w:rsidRDefault="00EE3DF9">
            <w:pPr>
              <w:spacing w:after="160"/>
              <w:jc w:val="center"/>
              <w:rPr>
                <w:rFonts w:eastAsia="Times New Roman Bold"/>
                <w:noProof/>
              </w:rPr>
            </w:pPr>
            <w:r w:rsidRPr="00F5382B">
              <w:rPr>
                <w:rFonts w:eastAsia="Times New Roman Bold"/>
                <w:noProof/>
              </w:rPr>
              <w:t>$1.1 million</w:t>
            </w:r>
          </w:p>
        </w:tc>
      </w:tr>
      <w:tr w:rsidR="00EE3DF9" w:rsidRPr="00F5382B" w14:paraId="39974F9E" w14:textId="77777777">
        <w:trPr>
          <w:trHeight w:val="300"/>
          <w:jc w:val="center"/>
        </w:trPr>
        <w:tc>
          <w:tcPr>
            <w:tcW w:w="122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F47E0F7" w14:textId="77777777" w:rsidR="00EE3DF9" w:rsidRPr="00F5382B" w:rsidRDefault="00EE3DF9">
            <w:pPr>
              <w:spacing w:after="160"/>
              <w:jc w:val="center"/>
              <w:rPr>
                <w:rFonts w:eastAsia="Times New Roman Bold"/>
                <w:noProof/>
              </w:rPr>
            </w:pPr>
            <w:r w:rsidRPr="00F5382B">
              <w:rPr>
                <w:rFonts w:eastAsia="Times New Roman Bold"/>
                <w:noProof/>
              </w:rPr>
              <w:t>UK</w:t>
            </w:r>
          </w:p>
        </w:tc>
        <w:tc>
          <w:tcPr>
            <w:tcW w:w="194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38E31CF" w14:textId="77777777" w:rsidR="00EE3DF9" w:rsidRPr="00F5382B" w:rsidRDefault="00EE3DF9">
            <w:pPr>
              <w:spacing w:after="160"/>
              <w:jc w:val="center"/>
              <w:rPr>
                <w:rFonts w:eastAsia="Times New Roman Bold"/>
                <w:noProof/>
              </w:rPr>
            </w:pPr>
            <w:r w:rsidRPr="00F5382B">
              <w:rPr>
                <w:rFonts w:eastAsia="Times New Roman Bold"/>
                <w:noProof/>
              </w:rPr>
              <w:t>$2.58 million</w:t>
            </w:r>
          </w:p>
        </w:tc>
        <w:tc>
          <w:tcPr>
            <w:tcW w:w="199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199004" w14:textId="77777777" w:rsidR="00EE3DF9" w:rsidRPr="00F5382B" w:rsidRDefault="00EE3DF9">
            <w:pPr>
              <w:spacing w:after="160"/>
              <w:jc w:val="center"/>
              <w:rPr>
                <w:rFonts w:eastAsia="Times New Roman Bold"/>
                <w:noProof/>
              </w:rPr>
            </w:pPr>
            <w:r w:rsidRPr="00F5382B">
              <w:rPr>
                <w:rFonts w:eastAsia="Times New Roman Bold"/>
                <w:noProof/>
              </w:rPr>
              <w:t>$5.37 million</w:t>
            </w:r>
          </w:p>
        </w:tc>
        <w:tc>
          <w:tcPr>
            <w:tcW w:w="202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B6BDAC" w14:textId="77777777" w:rsidR="00EE3DF9" w:rsidRPr="00F5382B" w:rsidRDefault="00EE3DF9">
            <w:pPr>
              <w:spacing w:after="160"/>
              <w:jc w:val="center"/>
              <w:rPr>
                <w:rFonts w:eastAsia="Times New Roman Bold"/>
                <w:noProof/>
              </w:rPr>
            </w:pPr>
            <w:r w:rsidRPr="00F5382B">
              <w:rPr>
                <w:rFonts w:eastAsia="Times New Roman Bold"/>
                <w:noProof/>
              </w:rPr>
              <w:t>$5.20 million</w:t>
            </w:r>
          </w:p>
        </w:tc>
      </w:tr>
    </w:tbl>
    <w:p w14:paraId="7CD63C08" w14:textId="77777777" w:rsidR="00EE3DF9" w:rsidRPr="00F5382B" w:rsidRDefault="00EE3DF9" w:rsidP="00EE3DF9">
      <w:pPr>
        <w:spacing w:after="0"/>
        <w:jc w:val="left"/>
        <w:rPr>
          <w:rFonts w:eastAsia="Times New Roman Bold"/>
          <w:i/>
          <w:iCs/>
          <w:noProof/>
        </w:rPr>
      </w:pPr>
    </w:p>
    <w:p w14:paraId="41CA04BA" w14:textId="77777777" w:rsidR="00EE3DF9" w:rsidRPr="00F5382B" w:rsidRDefault="00EE3DF9" w:rsidP="00D52AD8">
      <w:pPr>
        <w:pStyle w:val="ListParagraph"/>
        <w:numPr>
          <w:ilvl w:val="0"/>
          <w:numId w:val="102"/>
        </w:numPr>
        <w:spacing w:before="120"/>
        <w:ind w:hanging="357"/>
        <w:contextualSpacing w:val="0"/>
        <w:jc w:val="left"/>
        <w:rPr>
          <w:b/>
          <w:noProof/>
        </w:rPr>
      </w:pPr>
      <w:r w:rsidRPr="00F5382B">
        <w:rPr>
          <w:b/>
          <w:noProof/>
        </w:rPr>
        <w:t>Costs parameters of data breaches</w:t>
      </w:r>
    </w:p>
    <w:p w14:paraId="7E243D4A" w14:textId="77777777" w:rsidR="00EE3DF9" w:rsidRPr="00F5382B" w:rsidRDefault="00EE3DF9" w:rsidP="00EE3DF9">
      <w:pPr>
        <w:spacing w:after="120"/>
        <w:rPr>
          <w:noProof/>
        </w:rPr>
      </w:pPr>
      <w:r w:rsidRPr="00F5382B">
        <w:rPr>
          <w:noProof/>
        </w:rPr>
        <w:t xml:space="preserve">Among the cost drivers of cybersecurity incidents, an important parameter to be considered is the </w:t>
      </w:r>
      <w:r w:rsidRPr="00F5382B">
        <w:rPr>
          <w:b/>
          <w:bCs/>
          <w:noProof/>
        </w:rPr>
        <w:t>time organizations took to identify (MTTI) and contain (MTTC)</w:t>
      </w:r>
      <w:r w:rsidRPr="00F5382B">
        <w:rPr>
          <w:noProof/>
        </w:rPr>
        <w:t xml:space="preserve"> a breach as well as the time to fully recover systems.  </w:t>
      </w:r>
      <w:r w:rsidRPr="00F5382B">
        <w:rPr>
          <w:b/>
          <w:bCs/>
          <w:noProof/>
        </w:rPr>
        <w:t>Recovery</w:t>
      </w:r>
      <w:r w:rsidRPr="00F5382B">
        <w:rPr>
          <w:noProof/>
        </w:rPr>
        <w:t xml:space="preserve"> means that business operations are back to normal, compliance obligations are met, confidence is restored, and controls are in place to avoid future breaches. </w:t>
      </w:r>
    </w:p>
    <w:p w14:paraId="4F504B66" w14:textId="1D7F5CFA" w:rsidR="00EE3DF9" w:rsidRPr="00F5382B" w:rsidRDefault="00EE3DF9" w:rsidP="00E5147D">
      <w:pPr>
        <w:pStyle w:val="Heading5"/>
        <w:rPr>
          <w:noProof/>
        </w:rPr>
      </w:pPr>
      <w:bookmarkStart w:id="368" w:name="_Toc218767815"/>
      <w:r w:rsidRPr="00F5382B">
        <w:rPr>
          <w:noProof/>
        </w:rPr>
        <w:t xml:space="preserve">Table </w:t>
      </w:r>
      <w:r w:rsidR="0045617A">
        <w:rPr>
          <w:noProof/>
        </w:rPr>
        <w:t>22</w:t>
      </w:r>
      <w:r w:rsidRPr="00F5382B">
        <w:rPr>
          <w:noProof/>
        </w:rPr>
        <w:t>: Mean-time-to-identify and mean-time-to-contain data breaches in 2021, 2024 and 2025 (in days)</w:t>
      </w:r>
      <w:bookmarkEnd w:id="368"/>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08"/>
        <w:gridCol w:w="1660"/>
        <w:gridCol w:w="1767"/>
        <w:gridCol w:w="1496"/>
      </w:tblGrid>
      <w:tr w:rsidR="00EE3DF9" w:rsidRPr="00F5382B" w14:paraId="203E96FC" w14:textId="77777777">
        <w:trPr>
          <w:trHeight w:val="300"/>
          <w:jc w:val="center"/>
        </w:trPr>
        <w:tc>
          <w:tcPr>
            <w:tcW w:w="1608" w:type="dxa"/>
            <w:tcMar>
              <w:top w:w="15" w:type="dxa"/>
              <w:left w:w="15" w:type="dxa"/>
              <w:bottom w:w="15" w:type="dxa"/>
              <w:right w:w="15" w:type="dxa"/>
            </w:tcMar>
            <w:vAlign w:val="center"/>
          </w:tcPr>
          <w:p w14:paraId="56696A49" w14:textId="77777777" w:rsidR="00EE3DF9" w:rsidRPr="00F5382B" w:rsidRDefault="00EE3DF9">
            <w:pPr>
              <w:spacing w:after="160"/>
              <w:jc w:val="center"/>
              <w:rPr>
                <w:rFonts w:eastAsia="Times New Roman Bold"/>
                <w:b/>
                <w:noProof/>
              </w:rPr>
            </w:pPr>
            <w:r w:rsidRPr="00F5382B">
              <w:rPr>
                <w:rFonts w:eastAsia="Times New Roman Bold"/>
                <w:b/>
                <w:noProof/>
              </w:rPr>
              <w:t xml:space="preserve"> Year</w:t>
            </w:r>
          </w:p>
        </w:tc>
        <w:tc>
          <w:tcPr>
            <w:tcW w:w="1660" w:type="dxa"/>
            <w:tcMar>
              <w:top w:w="15" w:type="dxa"/>
              <w:left w:w="15" w:type="dxa"/>
              <w:bottom w:w="15" w:type="dxa"/>
              <w:right w:w="15" w:type="dxa"/>
            </w:tcMar>
            <w:vAlign w:val="center"/>
          </w:tcPr>
          <w:p w14:paraId="251F5161" w14:textId="77777777" w:rsidR="00EE3DF9" w:rsidRPr="00F5382B" w:rsidRDefault="00EE3DF9">
            <w:pPr>
              <w:spacing w:after="160"/>
              <w:jc w:val="center"/>
              <w:rPr>
                <w:rFonts w:eastAsia="Times New Roman Bold"/>
                <w:b/>
                <w:noProof/>
              </w:rPr>
            </w:pPr>
            <w:r w:rsidRPr="00F5382B">
              <w:rPr>
                <w:rFonts w:eastAsia="Times New Roman Bold"/>
                <w:b/>
                <w:noProof/>
              </w:rPr>
              <w:t>MTTI (Days)</w:t>
            </w:r>
          </w:p>
        </w:tc>
        <w:tc>
          <w:tcPr>
            <w:tcW w:w="1767" w:type="dxa"/>
            <w:tcMar>
              <w:top w:w="15" w:type="dxa"/>
              <w:left w:w="15" w:type="dxa"/>
              <w:bottom w:w="15" w:type="dxa"/>
              <w:right w:w="15" w:type="dxa"/>
            </w:tcMar>
            <w:vAlign w:val="center"/>
          </w:tcPr>
          <w:p w14:paraId="3D81CE6E" w14:textId="77777777" w:rsidR="00EE3DF9" w:rsidRPr="00F5382B" w:rsidRDefault="00EE3DF9">
            <w:pPr>
              <w:spacing w:after="160"/>
              <w:jc w:val="center"/>
              <w:rPr>
                <w:rFonts w:eastAsia="Times New Roman Bold"/>
                <w:b/>
                <w:noProof/>
              </w:rPr>
            </w:pPr>
            <w:r w:rsidRPr="00F5382B">
              <w:rPr>
                <w:rFonts w:eastAsia="Times New Roman Bold"/>
                <w:b/>
                <w:noProof/>
              </w:rPr>
              <w:t>MTTC (Days)</w:t>
            </w:r>
          </w:p>
        </w:tc>
        <w:tc>
          <w:tcPr>
            <w:tcW w:w="1496" w:type="dxa"/>
            <w:tcMar>
              <w:top w:w="15" w:type="dxa"/>
              <w:left w:w="15" w:type="dxa"/>
              <w:bottom w:w="15" w:type="dxa"/>
              <w:right w:w="15" w:type="dxa"/>
            </w:tcMar>
            <w:vAlign w:val="center"/>
          </w:tcPr>
          <w:p w14:paraId="37D923C9" w14:textId="77777777" w:rsidR="00EE3DF9" w:rsidRPr="00F5382B" w:rsidRDefault="00EE3DF9">
            <w:pPr>
              <w:spacing w:after="160"/>
              <w:jc w:val="center"/>
              <w:rPr>
                <w:rFonts w:eastAsia="Times New Roman Bold"/>
                <w:b/>
                <w:noProof/>
              </w:rPr>
            </w:pPr>
            <w:r w:rsidRPr="00F5382B">
              <w:rPr>
                <w:rFonts w:eastAsia="Times New Roman Bold"/>
                <w:b/>
                <w:noProof/>
              </w:rPr>
              <w:t>Total Days</w:t>
            </w:r>
          </w:p>
        </w:tc>
      </w:tr>
      <w:tr w:rsidR="00EE3DF9" w:rsidRPr="00F5382B" w14:paraId="3F738ED0" w14:textId="77777777">
        <w:trPr>
          <w:trHeight w:val="300"/>
          <w:jc w:val="center"/>
        </w:trPr>
        <w:tc>
          <w:tcPr>
            <w:tcW w:w="1608" w:type="dxa"/>
            <w:tcMar>
              <w:top w:w="15" w:type="dxa"/>
              <w:left w:w="15" w:type="dxa"/>
              <w:bottom w:w="15" w:type="dxa"/>
              <w:right w:w="15" w:type="dxa"/>
            </w:tcMar>
            <w:vAlign w:val="center"/>
          </w:tcPr>
          <w:p w14:paraId="1C330788" w14:textId="77777777" w:rsidR="00EE3DF9" w:rsidRPr="00F5382B" w:rsidRDefault="00EE3DF9">
            <w:pPr>
              <w:spacing w:after="160"/>
              <w:jc w:val="center"/>
              <w:rPr>
                <w:rFonts w:eastAsia="Times New Roman Bold"/>
                <w:noProof/>
              </w:rPr>
            </w:pPr>
            <w:r w:rsidRPr="00F5382B">
              <w:rPr>
                <w:rFonts w:eastAsia="Times New Roman Bold"/>
                <w:noProof/>
              </w:rPr>
              <w:t>2025</w:t>
            </w:r>
          </w:p>
        </w:tc>
        <w:tc>
          <w:tcPr>
            <w:tcW w:w="1660" w:type="dxa"/>
            <w:tcMar>
              <w:top w:w="15" w:type="dxa"/>
              <w:left w:w="15" w:type="dxa"/>
              <w:bottom w:w="15" w:type="dxa"/>
              <w:right w:w="15" w:type="dxa"/>
            </w:tcMar>
            <w:vAlign w:val="center"/>
          </w:tcPr>
          <w:p w14:paraId="6CB4B8E8" w14:textId="77777777" w:rsidR="00EE3DF9" w:rsidRPr="00F5382B" w:rsidRDefault="00EE3DF9">
            <w:pPr>
              <w:spacing w:after="160"/>
              <w:jc w:val="center"/>
              <w:rPr>
                <w:rFonts w:eastAsia="Times New Roman Bold"/>
                <w:noProof/>
              </w:rPr>
            </w:pPr>
            <w:r w:rsidRPr="00F5382B">
              <w:rPr>
                <w:rFonts w:eastAsia="Times New Roman Bold"/>
                <w:noProof/>
              </w:rPr>
              <w:t>60</w:t>
            </w:r>
          </w:p>
        </w:tc>
        <w:tc>
          <w:tcPr>
            <w:tcW w:w="1767" w:type="dxa"/>
            <w:tcMar>
              <w:top w:w="15" w:type="dxa"/>
              <w:left w:w="15" w:type="dxa"/>
              <w:bottom w:w="15" w:type="dxa"/>
              <w:right w:w="15" w:type="dxa"/>
            </w:tcMar>
            <w:vAlign w:val="center"/>
          </w:tcPr>
          <w:p w14:paraId="6C268794" w14:textId="77777777" w:rsidR="00EE3DF9" w:rsidRPr="00F5382B" w:rsidRDefault="00EE3DF9">
            <w:pPr>
              <w:spacing w:after="160"/>
              <w:jc w:val="center"/>
              <w:rPr>
                <w:rFonts w:eastAsia="Times New Roman Bold"/>
                <w:noProof/>
              </w:rPr>
            </w:pPr>
            <w:r w:rsidRPr="00F5382B">
              <w:rPr>
                <w:rFonts w:eastAsia="Times New Roman Bold"/>
                <w:noProof/>
              </w:rPr>
              <w:t>181</w:t>
            </w:r>
          </w:p>
        </w:tc>
        <w:tc>
          <w:tcPr>
            <w:tcW w:w="1496" w:type="dxa"/>
            <w:tcMar>
              <w:top w:w="15" w:type="dxa"/>
              <w:left w:w="15" w:type="dxa"/>
              <w:bottom w:w="15" w:type="dxa"/>
              <w:right w:w="15" w:type="dxa"/>
            </w:tcMar>
            <w:vAlign w:val="center"/>
          </w:tcPr>
          <w:p w14:paraId="1D2C16CE" w14:textId="77777777" w:rsidR="00EE3DF9" w:rsidRPr="00F5382B" w:rsidRDefault="00EE3DF9">
            <w:pPr>
              <w:spacing w:after="160"/>
              <w:jc w:val="center"/>
              <w:rPr>
                <w:rFonts w:eastAsia="Times New Roman Bold"/>
                <w:b/>
                <w:noProof/>
              </w:rPr>
            </w:pPr>
            <w:r w:rsidRPr="00F5382B">
              <w:rPr>
                <w:rFonts w:eastAsia="Times New Roman Bold"/>
                <w:b/>
                <w:noProof/>
              </w:rPr>
              <w:t>241</w:t>
            </w:r>
          </w:p>
        </w:tc>
      </w:tr>
      <w:tr w:rsidR="00EE3DF9" w:rsidRPr="00F5382B" w14:paraId="37B614F0" w14:textId="77777777">
        <w:trPr>
          <w:trHeight w:val="300"/>
          <w:jc w:val="center"/>
        </w:trPr>
        <w:tc>
          <w:tcPr>
            <w:tcW w:w="1608" w:type="dxa"/>
            <w:tcMar>
              <w:top w:w="15" w:type="dxa"/>
              <w:left w:w="15" w:type="dxa"/>
              <w:bottom w:w="15" w:type="dxa"/>
              <w:right w:w="15" w:type="dxa"/>
            </w:tcMar>
            <w:vAlign w:val="center"/>
          </w:tcPr>
          <w:p w14:paraId="4F3AA152" w14:textId="77777777" w:rsidR="00EE3DF9" w:rsidRPr="00F5382B" w:rsidRDefault="00EE3DF9">
            <w:pPr>
              <w:spacing w:after="160"/>
              <w:jc w:val="center"/>
              <w:rPr>
                <w:rFonts w:eastAsia="Times New Roman Bold"/>
                <w:noProof/>
              </w:rPr>
            </w:pPr>
            <w:r w:rsidRPr="00F5382B">
              <w:rPr>
                <w:rFonts w:eastAsia="Times New Roman Bold"/>
                <w:noProof/>
              </w:rPr>
              <w:t>2024</w:t>
            </w:r>
          </w:p>
        </w:tc>
        <w:tc>
          <w:tcPr>
            <w:tcW w:w="1660" w:type="dxa"/>
            <w:tcMar>
              <w:top w:w="15" w:type="dxa"/>
              <w:left w:w="15" w:type="dxa"/>
              <w:bottom w:w="15" w:type="dxa"/>
              <w:right w:w="15" w:type="dxa"/>
            </w:tcMar>
            <w:vAlign w:val="center"/>
          </w:tcPr>
          <w:p w14:paraId="174BA5E0" w14:textId="77777777" w:rsidR="00EE3DF9" w:rsidRPr="00F5382B" w:rsidRDefault="00EE3DF9">
            <w:pPr>
              <w:spacing w:after="160"/>
              <w:jc w:val="center"/>
              <w:rPr>
                <w:rFonts w:eastAsia="Times New Roman Bold"/>
                <w:noProof/>
              </w:rPr>
            </w:pPr>
            <w:r w:rsidRPr="00F5382B">
              <w:rPr>
                <w:rFonts w:eastAsia="Times New Roman Bold"/>
                <w:noProof/>
              </w:rPr>
              <w:t>64</w:t>
            </w:r>
          </w:p>
        </w:tc>
        <w:tc>
          <w:tcPr>
            <w:tcW w:w="1767" w:type="dxa"/>
            <w:tcMar>
              <w:top w:w="15" w:type="dxa"/>
              <w:left w:w="15" w:type="dxa"/>
              <w:bottom w:w="15" w:type="dxa"/>
              <w:right w:w="15" w:type="dxa"/>
            </w:tcMar>
            <w:vAlign w:val="center"/>
          </w:tcPr>
          <w:p w14:paraId="4C27491B" w14:textId="77777777" w:rsidR="00EE3DF9" w:rsidRPr="00F5382B" w:rsidRDefault="00EE3DF9">
            <w:pPr>
              <w:spacing w:after="160"/>
              <w:jc w:val="center"/>
              <w:rPr>
                <w:rFonts w:eastAsia="Times New Roman Bold"/>
                <w:noProof/>
              </w:rPr>
            </w:pPr>
            <w:r w:rsidRPr="00F5382B">
              <w:rPr>
                <w:rFonts w:eastAsia="Times New Roman Bold"/>
                <w:noProof/>
              </w:rPr>
              <w:t>194</w:t>
            </w:r>
          </w:p>
        </w:tc>
        <w:tc>
          <w:tcPr>
            <w:tcW w:w="1496" w:type="dxa"/>
            <w:tcMar>
              <w:top w:w="15" w:type="dxa"/>
              <w:left w:w="15" w:type="dxa"/>
              <w:bottom w:w="15" w:type="dxa"/>
              <w:right w:w="15" w:type="dxa"/>
            </w:tcMar>
            <w:vAlign w:val="center"/>
          </w:tcPr>
          <w:p w14:paraId="1A2C7CA2" w14:textId="77777777" w:rsidR="00EE3DF9" w:rsidRPr="00F5382B" w:rsidRDefault="00EE3DF9">
            <w:pPr>
              <w:spacing w:after="160"/>
              <w:jc w:val="center"/>
              <w:rPr>
                <w:rFonts w:eastAsia="Times New Roman Bold"/>
                <w:noProof/>
              </w:rPr>
            </w:pPr>
            <w:r w:rsidRPr="00F5382B">
              <w:rPr>
                <w:rFonts w:eastAsia="Times New Roman Bold"/>
                <w:noProof/>
              </w:rPr>
              <w:t>258</w:t>
            </w:r>
          </w:p>
        </w:tc>
      </w:tr>
      <w:tr w:rsidR="00EE3DF9" w:rsidRPr="00F5382B" w14:paraId="64827786" w14:textId="77777777">
        <w:trPr>
          <w:trHeight w:val="345"/>
          <w:jc w:val="center"/>
        </w:trPr>
        <w:tc>
          <w:tcPr>
            <w:tcW w:w="1608" w:type="dxa"/>
            <w:tcMar>
              <w:top w:w="15" w:type="dxa"/>
              <w:left w:w="15" w:type="dxa"/>
              <w:bottom w:w="15" w:type="dxa"/>
              <w:right w:w="15" w:type="dxa"/>
            </w:tcMar>
            <w:vAlign w:val="center"/>
          </w:tcPr>
          <w:p w14:paraId="5F4E1CF8" w14:textId="77777777" w:rsidR="00EE3DF9" w:rsidRPr="00F5382B" w:rsidRDefault="00EE3DF9">
            <w:pPr>
              <w:spacing w:after="160"/>
              <w:jc w:val="center"/>
              <w:rPr>
                <w:rFonts w:eastAsia="Times New Roman Bold"/>
                <w:noProof/>
              </w:rPr>
            </w:pPr>
            <w:r w:rsidRPr="00F5382B">
              <w:rPr>
                <w:rFonts w:eastAsia="Times New Roman Bold"/>
                <w:noProof/>
              </w:rPr>
              <w:t>2021 (Peak)</w:t>
            </w:r>
          </w:p>
        </w:tc>
        <w:tc>
          <w:tcPr>
            <w:tcW w:w="1660" w:type="dxa"/>
            <w:tcMar>
              <w:top w:w="15" w:type="dxa"/>
              <w:left w:w="15" w:type="dxa"/>
              <w:bottom w:w="15" w:type="dxa"/>
              <w:right w:w="15" w:type="dxa"/>
            </w:tcMar>
            <w:vAlign w:val="center"/>
          </w:tcPr>
          <w:p w14:paraId="52BA3181" w14:textId="77777777" w:rsidR="00EE3DF9" w:rsidRPr="00F5382B" w:rsidRDefault="00EE3DF9">
            <w:pPr>
              <w:spacing w:after="160"/>
              <w:jc w:val="center"/>
              <w:rPr>
                <w:rFonts w:eastAsia="Times New Roman Bold"/>
                <w:noProof/>
              </w:rPr>
            </w:pPr>
            <w:r w:rsidRPr="00F5382B">
              <w:rPr>
                <w:rFonts w:eastAsia="Times New Roman Bold"/>
                <w:noProof/>
              </w:rPr>
              <w:t>75</w:t>
            </w:r>
          </w:p>
        </w:tc>
        <w:tc>
          <w:tcPr>
            <w:tcW w:w="1767" w:type="dxa"/>
            <w:tcMar>
              <w:top w:w="15" w:type="dxa"/>
              <w:left w:w="15" w:type="dxa"/>
              <w:bottom w:w="15" w:type="dxa"/>
              <w:right w:w="15" w:type="dxa"/>
            </w:tcMar>
            <w:vAlign w:val="center"/>
          </w:tcPr>
          <w:p w14:paraId="4C0A12C8" w14:textId="77777777" w:rsidR="00EE3DF9" w:rsidRPr="00F5382B" w:rsidRDefault="00EE3DF9">
            <w:pPr>
              <w:spacing w:after="160"/>
              <w:jc w:val="center"/>
              <w:rPr>
                <w:rFonts w:eastAsia="Times New Roman Bold"/>
                <w:noProof/>
              </w:rPr>
            </w:pPr>
            <w:r w:rsidRPr="00F5382B">
              <w:rPr>
                <w:rFonts w:eastAsia="Times New Roman Bold"/>
                <w:noProof/>
              </w:rPr>
              <w:t>212</w:t>
            </w:r>
          </w:p>
        </w:tc>
        <w:tc>
          <w:tcPr>
            <w:tcW w:w="1496" w:type="dxa"/>
            <w:tcMar>
              <w:top w:w="15" w:type="dxa"/>
              <w:left w:w="15" w:type="dxa"/>
              <w:bottom w:w="15" w:type="dxa"/>
              <w:right w:w="15" w:type="dxa"/>
            </w:tcMar>
            <w:vAlign w:val="center"/>
          </w:tcPr>
          <w:p w14:paraId="397F523B" w14:textId="77777777" w:rsidR="00EE3DF9" w:rsidRPr="00F5382B" w:rsidRDefault="00EE3DF9">
            <w:pPr>
              <w:spacing w:after="160"/>
              <w:jc w:val="center"/>
              <w:rPr>
                <w:rFonts w:eastAsia="Times New Roman Bold"/>
                <w:noProof/>
              </w:rPr>
            </w:pPr>
            <w:r w:rsidRPr="00F5382B">
              <w:rPr>
                <w:rFonts w:eastAsia="Times New Roman Bold"/>
                <w:noProof/>
              </w:rPr>
              <w:t>287</w:t>
            </w:r>
          </w:p>
        </w:tc>
      </w:tr>
    </w:tbl>
    <w:p w14:paraId="7C304491" w14:textId="2F12DA01" w:rsidR="00EE3DF9" w:rsidRPr="00F5382B" w:rsidRDefault="00EE3DF9" w:rsidP="00EE3DF9">
      <w:pPr>
        <w:spacing w:after="120"/>
        <w:rPr>
          <w:rFonts w:eastAsia="Times New Roman"/>
          <w:noProof/>
        </w:rPr>
      </w:pPr>
      <w:r w:rsidRPr="00F5382B">
        <w:rPr>
          <w:rFonts w:eastAsia="Times New Roman"/>
          <w:noProof/>
        </w:rPr>
        <w:t xml:space="preserve">This time varies depending on how the incident was discovered, and recovery is typically longer when the incident was identified by disclosure of the attacker. </w:t>
      </w:r>
    </w:p>
    <w:p w14:paraId="62C3564D" w14:textId="70E309A5" w:rsidR="00EE3DF9" w:rsidRPr="00F5382B" w:rsidRDefault="00EE3DF9" w:rsidP="00EE3DF9">
      <w:pPr>
        <w:pStyle w:val="Heading5"/>
        <w:rPr>
          <w:noProof/>
        </w:rPr>
      </w:pPr>
      <w:bookmarkStart w:id="369" w:name="_Toc218767816"/>
      <w:r w:rsidRPr="00F5382B">
        <w:rPr>
          <w:noProof/>
        </w:rPr>
        <w:t>Table 2</w:t>
      </w:r>
      <w:r w:rsidR="0045617A">
        <w:rPr>
          <w:noProof/>
        </w:rPr>
        <w:t>3</w:t>
      </w:r>
      <w:r w:rsidRPr="00F5382B">
        <w:rPr>
          <w:noProof/>
        </w:rPr>
        <w:t>: Mean-time-to-identify and mean-time-to-contain data breaches per identification method in 2025 (in days)</w:t>
      </w:r>
      <w:bookmarkEnd w:id="369"/>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65"/>
        <w:gridCol w:w="1020"/>
        <w:gridCol w:w="910"/>
        <w:gridCol w:w="2230"/>
      </w:tblGrid>
      <w:tr w:rsidR="00EE3DF9" w:rsidRPr="00F5382B" w14:paraId="6FCFA903" w14:textId="77777777">
        <w:trPr>
          <w:trHeight w:val="670"/>
          <w:jc w:val="center"/>
        </w:trPr>
        <w:tc>
          <w:tcPr>
            <w:tcW w:w="3765" w:type="dxa"/>
            <w:tcMar>
              <w:top w:w="15" w:type="dxa"/>
              <w:left w:w="15" w:type="dxa"/>
              <w:bottom w:w="15" w:type="dxa"/>
              <w:right w:w="15" w:type="dxa"/>
            </w:tcMar>
            <w:vAlign w:val="center"/>
          </w:tcPr>
          <w:p w14:paraId="7AD2A9E7" w14:textId="77777777" w:rsidR="00EE3DF9" w:rsidRPr="00F5382B" w:rsidRDefault="00EE3DF9">
            <w:pPr>
              <w:spacing w:after="160"/>
              <w:jc w:val="center"/>
              <w:rPr>
                <w:rFonts w:eastAsia="Times New Roman Bold"/>
                <w:b/>
                <w:noProof/>
              </w:rPr>
            </w:pPr>
            <w:r w:rsidRPr="00F5382B">
              <w:rPr>
                <w:rFonts w:eastAsia="Times New Roman Bold"/>
                <w:b/>
                <w:noProof/>
              </w:rPr>
              <w:t>Identification Method</w:t>
            </w:r>
          </w:p>
        </w:tc>
        <w:tc>
          <w:tcPr>
            <w:tcW w:w="1020" w:type="dxa"/>
            <w:tcMar>
              <w:top w:w="15" w:type="dxa"/>
              <w:left w:w="15" w:type="dxa"/>
              <w:bottom w:w="15" w:type="dxa"/>
              <w:right w:w="15" w:type="dxa"/>
            </w:tcMar>
            <w:vAlign w:val="center"/>
          </w:tcPr>
          <w:p w14:paraId="7ECCEC43" w14:textId="77777777" w:rsidR="00EE3DF9" w:rsidRPr="00F5382B" w:rsidRDefault="00EE3DF9">
            <w:pPr>
              <w:spacing w:after="160"/>
              <w:jc w:val="center"/>
              <w:rPr>
                <w:rFonts w:eastAsia="Times New Roman Bold"/>
                <w:b/>
                <w:noProof/>
              </w:rPr>
            </w:pPr>
            <w:r w:rsidRPr="00F5382B">
              <w:rPr>
                <w:rFonts w:eastAsia="Times New Roman Bold"/>
                <w:b/>
                <w:noProof/>
              </w:rPr>
              <w:t>MTTI (Days)</w:t>
            </w:r>
          </w:p>
        </w:tc>
        <w:tc>
          <w:tcPr>
            <w:tcW w:w="910" w:type="dxa"/>
            <w:tcMar>
              <w:top w:w="15" w:type="dxa"/>
              <w:left w:w="15" w:type="dxa"/>
              <w:bottom w:w="15" w:type="dxa"/>
              <w:right w:w="15" w:type="dxa"/>
            </w:tcMar>
            <w:vAlign w:val="center"/>
          </w:tcPr>
          <w:p w14:paraId="1690D588" w14:textId="77777777" w:rsidR="00EE3DF9" w:rsidRPr="00F5382B" w:rsidRDefault="00EE3DF9">
            <w:pPr>
              <w:spacing w:after="160"/>
              <w:jc w:val="center"/>
              <w:rPr>
                <w:rFonts w:eastAsia="Times New Roman Bold"/>
                <w:b/>
                <w:noProof/>
              </w:rPr>
            </w:pPr>
            <w:r w:rsidRPr="00F5382B">
              <w:rPr>
                <w:rFonts w:eastAsia="Times New Roman Bold"/>
                <w:b/>
                <w:noProof/>
              </w:rPr>
              <w:t>MTTC (Days)</w:t>
            </w:r>
          </w:p>
        </w:tc>
        <w:tc>
          <w:tcPr>
            <w:tcW w:w="2230" w:type="dxa"/>
            <w:tcMar>
              <w:top w:w="15" w:type="dxa"/>
              <w:left w:w="15" w:type="dxa"/>
              <w:bottom w:w="15" w:type="dxa"/>
              <w:right w:w="15" w:type="dxa"/>
            </w:tcMar>
            <w:vAlign w:val="center"/>
          </w:tcPr>
          <w:p w14:paraId="4D5C7A61" w14:textId="77777777" w:rsidR="00EE3DF9" w:rsidRPr="00F5382B" w:rsidRDefault="00EE3DF9">
            <w:pPr>
              <w:spacing w:after="160"/>
              <w:jc w:val="center"/>
              <w:rPr>
                <w:rFonts w:eastAsia="Times New Roman Bold"/>
                <w:b/>
                <w:noProof/>
              </w:rPr>
            </w:pPr>
            <w:r w:rsidRPr="00F5382B">
              <w:rPr>
                <w:rFonts w:eastAsia="Times New Roman Bold"/>
                <w:b/>
                <w:noProof/>
              </w:rPr>
              <w:t xml:space="preserve">Total Days to Resolve </w:t>
            </w:r>
          </w:p>
        </w:tc>
      </w:tr>
      <w:tr w:rsidR="00EE3DF9" w:rsidRPr="00F5382B" w14:paraId="0C3584CA" w14:textId="77777777">
        <w:trPr>
          <w:trHeight w:val="300"/>
          <w:jc w:val="center"/>
        </w:trPr>
        <w:tc>
          <w:tcPr>
            <w:tcW w:w="3765" w:type="dxa"/>
            <w:tcMar>
              <w:top w:w="15" w:type="dxa"/>
              <w:left w:w="15" w:type="dxa"/>
              <w:bottom w:w="15" w:type="dxa"/>
              <w:right w:w="15" w:type="dxa"/>
            </w:tcMar>
            <w:vAlign w:val="center"/>
          </w:tcPr>
          <w:p w14:paraId="0C93C6C3" w14:textId="77777777" w:rsidR="00EE3DF9" w:rsidRPr="00F5382B" w:rsidRDefault="00EE3DF9">
            <w:pPr>
              <w:spacing w:after="160"/>
              <w:jc w:val="center"/>
              <w:rPr>
                <w:rFonts w:eastAsia="Times New Roman Bold"/>
                <w:noProof/>
              </w:rPr>
            </w:pPr>
            <w:r w:rsidRPr="00F5382B">
              <w:rPr>
                <w:rFonts w:eastAsia="Times New Roman Bold"/>
                <w:noProof/>
              </w:rPr>
              <w:t>Organization’s security teams and tools</w:t>
            </w:r>
          </w:p>
        </w:tc>
        <w:tc>
          <w:tcPr>
            <w:tcW w:w="1020" w:type="dxa"/>
            <w:tcMar>
              <w:top w:w="15" w:type="dxa"/>
              <w:left w:w="15" w:type="dxa"/>
              <w:bottom w:w="15" w:type="dxa"/>
              <w:right w:w="15" w:type="dxa"/>
            </w:tcMar>
            <w:vAlign w:val="center"/>
          </w:tcPr>
          <w:p w14:paraId="1C3CE542" w14:textId="77777777" w:rsidR="00EE3DF9" w:rsidRPr="00F5382B" w:rsidRDefault="00EE3DF9">
            <w:pPr>
              <w:spacing w:after="160"/>
              <w:jc w:val="center"/>
              <w:rPr>
                <w:rFonts w:eastAsia="Times New Roman Bold"/>
                <w:noProof/>
              </w:rPr>
            </w:pPr>
            <w:r w:rsidRPr="00F5382B">
              <w:rPr>
                <w:rFonts w:eastAsia="Times New Roman Bold"/>
                <w:noProof/>
              </w:rPr>
              <w:t>52</w:t>
            </w:r>
          </w:p>
        </w:tc>
        <w:tc>
          <w:tcPr>
            <w:tcW w:w="910" w:type="dxa"/>
            <w:tcMar>
              <w:top w:w="15" w:type="dxa"/>
              <w:left w:w="15" w:type="dxa"/>
              <w:bottom w:w="15" w:type="dxa"/>
              <w:right w:w="15" w:type="dxa"/>
            </w:tcMar>
            <w:vAlign w:val="center"/>
          </w:tcPr>
          <w:p w14:paraId="6733D437" w14:textId="77777777" w:rsidR="00EE3DF9" w:rsidRPr="00F5382B" w:rsidRDefault="00EE3DF9">
            <w:pPr>
              <w:spacing w:after="160"/>
              <w:jc w:val="center"/>
              <w:rPr>
                <w:rFonts w:eastAsia="Times New Roman Bold"/>
                <w:noProof/>
              </w:rPr>
            </w:pPr>
            <w:r w:rsidRPr="00F5382B">
              <w:rPr>
                <w:rFonts w:eastAsia="Times New Roman Bold"/>
                <w:noProof/>
              </w:rPr>
              <w:t>172</w:t>
            </w:r>
          </w:p>
        </w:tc>
        <w:tc>
          <w:tcPr>
            <w:tcW w:w="2230" w:type="dxa"/>
            <w:tcMar>
              <w:top w:w="15" w:type="dxa"/>
              <w:left w:w="15" w:type="dxa"/>
              <w:bottom w:w="15" w:type="dxa"/>
              <w:right w:w="15" w:type="dxa"/>
            </w:tcMar>
            <w:vAlign w:val="center"/>
          </w:tcPr>
          <w:p w14:paraId="4A612782" w14:textId="77777777" w:rsidR="00EE3DF9" w:rsidRPr="00F5382B" w:rsidRDefault="00EE3DF9">
            <w:pPr>
              <w:spacing w:after="160"/>
              <w:jc w:val="center"/>
              <w:rPr>
                <w:rFonts w:eastAsia="Times New Roman Bold"/>
                <w:b/>
                <w:noProof/>
              </w:rPr>
            </w:pPr>
            <w:r w:rsidRPr="00F5382B">
              <w:rPr>
                <w:rFonts w:eastAsia="Times New Roman Bold"/>
                <w:b/>
                <w:noProof/>
              </w:rPr>
              <w:t>224</w:t>
            </w:r>
          </w:p>
        </w:tc>
      </w:tr>
      <w:tr w:rsidR="00EE3DF9" w:rsidRPr="00F5382B" w14:paraId="22AB57B9" w14:textId="77777777">
        <w:trPr>
          <w:trHeight w:val="300"/>
          <w:jc w:val="center"/>
        </w:trPr>
        <w:tc>
          <w:tcPr>
            <w:tcW w:w="3765" w:type="dxa"/>
            <w:tcMar>
              <w:top w:w="15" w:type="dxa"/>
              <w:left w:w="15" w:type="dxa"/>
              <w:bottom w:w="15" w:type="dxa"/>
              <w:right w:w="15" w:type="dxa"/>
            </w:tcMar>
            <w:vAlign w:val="center"/>
          </w:tcPr>
          <w:p w14:paraId="7C33F5B2" w14:textId="77777777" w:rsidR="00EE3DF9" w:rsidRPr="00F5382B" w:rsidRDefault="00EE3DF9">
            <w:pPr>
              <w:spacing w:after="160"/>
              <w:jc w:val="center"/>
              <w:rPr>
                <w:rFonts w:eastAsia="Times New Roman Bold"/>
                <w:noProof/>
              </w:rPr>
            </w:pPr>
            <w:r w:rsidRPr="00F5382B">
              <w:rPr>
                <w:rFonts w:eastAsia="Times New Roman Bold"/>
                <w:noProof/>
              </w:rPr>
              <w:t>Benign third party</w:t>
            </w:r>
          </w:p>
        </w:tc>
        <w:tc>
          <w:tcPr>
            <w:tcW w:w="1020" w:type="dxa"/>
            <w:tcMar>
              <w:top w:w="15" w:type="dxa"/>
              <w:left w:w="15" w:type="dxa"/>
              <w:bottom w:w="15" w:type="dxa"/>
              <w:right w:w="15" w:type="dxa"/>
            </w:tcMar>
            <w:vAlign w:val="center"/>
          </w:tcPr>
          <w:p w14:paraId="7065B655" w14:textId="77777777" w:rsidR="00EE3DF9" w:rsidRPr="00F5382B" w:rsidRDefault="00EE3DF9">
            <w:pPr>
              <w:spacing w:after="160"/>
              <w:jc w:val="center"/>
              <w:rPr>
                <w:rFonts w:eastAsia="Times New Roman Bold"/>
                <w:noProof/>
              </w:rPr>
            </w:pPr>
            <w:r w:rsidRPr="00F5382B">
              <w:rPr>
                <w:rFonts w:eastAsia="Times New Roman Bold"/>
                <w:noProof/>
              </w:rPr>
              <w:t>63</w:t>
            </w:r>
          </w:p>
        </w:tc>
        <w:tc>
          <w:tcPr>
            <w:tcW w:w="910" w:type="dxa"/>
            <w:tcMar>
              <w:top w:w="15" w:type="dxa"/>
              <w:left w:w="15" w:type="dxa"/>
              <w:bottom w:w="15" w:type="dxa"/>
              <w:right w:w="15" w:type="dxa"/>
            </w:tcMar>
            <w:vAlign w:val="center"/>
          </w:tcPr>
          <w:p w14:paraId="0910C0B6" w14:textId="77777777" w:rsidR="00EE3DF9" w:rsidRPr="00F5382B" w:rsidRDefault="00EE3DF9">
            <w:pPr>
              <w:spacing w:after="160"/>
              <w:jc w:val="center"/>
              <w:rPr>
                <w:rFonts w:eastAsia="Times New Roman Bold"/>
                <w:noProof/>
              </w:rPr>
            </w:pPr>
            <w:r w:rsidRPr="00F5382B">
              <w:rPr>
                <w:rFonts w:eastAsia="Times New Roman Bold"/>
                <w:noProof/>
              </w:rPr>
              <w:t>190</w:t>
            </w:r>
          </w:p>
        </w:tc>
        <w:tc>
          <w:tcPr>
            <w:tcW w:w="2230" w:type="dxa"/>
            <w:tcMar>
              <w:top w:w="15" w:type="dxa"/>
              <w:left w:w="15" w:type="dxa"/>
              <w:bottom w:w="15" w:type="dxa"/>
              <w:right w:w="15" w:type="dxa"/>
            </w:tcMar>
            <w:vAlign w:val="center"/>
          </w:tcPr>
          <w:p w14:paraId="62BDB3E6" w14:textId="77777777" w:rsidR="00EE3DF9" w:rsidRPr="00F5382B" w:rsidRDefault="00EE3DF9">
            <w:pPr>
              <w:spacing w:after="160"/>
              <w:jc w:val="center"/>
              <w:rPr>
                <w:rFonts w:eastAsia="Times New Roman Bold"/>
                <w:noProof/>
              </w:rPr>
            </w:pPr>
            <w:r w:rsidRPr="00F5382B">
              <w:rPr>
                <w:rFonts w:eastAsia="Times New Roman Bold"/>
                <w:noProof/>
              </w:rPr>
              <w:t>253</w:t>
            </w:r>
          </w:p>
        </w:tc>
      </w:tr>
      <w:tr w:rsidR="00EE3DF9" w:rsidRPr="00F5382B" w14:paraId="78F49C59" w14:textId="77777777">
        <w:trPr>
          <w:trHeight w:val="300"/>
          <w:jc w:val="center"/>
        </w:trPr>
        <w:tc>
          <w:tcPr>
            <w:tcW w:w="3765" w:type="dxa"/>
            <w:tcMar>
              <w:top w:w="15" w:type="dxa"/>
              <w:left w:w="15" w:type="dxa"/>
              <w:bottom w:w="15" w:type="dxa"/>
              <w:right w:w="15" w:type="dxa"/>
            </w:tcMar>
            <w:vAlign w:val="center"/>
          </w:tcPr>
          <w:p w14:paraId="22510D88" w14:textId="77777777" w:rsidR="00EE3DF9" w:rsidRPr="00F5382B" w:rsidRDefault="00EE3DF9">
            <w:pPr>
              <w:spacing w:after="160"/>
              <w:jc w:val="center"/>
              <w:rPr>
                <w:rFonts w:eastAsia="Times New Roman Bold"/>
                <w:noProof/>
              </w:rPr>
            </w:pPr>
            <w:r w:rsidRPr="00F5382B">
              <w:rPr>
                <w:rFonts w:eastAsia="Times New Roman Bold"/>
                <w:noProof/>
              </w:rPr>
              <w:t>Disclosure from the attacker</w:t>
            </w:r>
          </w:p>
        </w:tc>
        <w:tc>
          <w:tcPr>
            <w:tcW w:w="1020" w:type="dxa"/>
            <w:tcMar>
              <w:top w:w="15" w:type="dxa"/>
              <w:left w:w="15" w:type="dxa"/>
              <w:bottom w:w="15" w:type="dxa"/>
              <w:right w:w="15" w:type="dxa"/>
            </w:tcMar>
            <w:vAlign w:val="center"/>
          </w:tcPr>
          <w:p w14:paraId="1A80CC29" w14:textId="77777777" w:rsidR="00EE3DF9" w:rsidRPr="00F5382B" w:rsidRDefault="00EE3DF9">
            <w:pPr>
              <w:spacing w:after="160"/>
              <w:jc w:val="center"/>
              <w:rPr>
                <w:rFonts w:eastAsia="Times New Roman Bold"/>
                <w:noProof/>
              </w:rPr>
            </w:pPr>
            <w:r w:rsidRPr="00F5382B">
              <w:rPr>
                <w:rFonts w:eastAsia="Times New Roman Bold"/>
                <w:noProof/>
              </w:rPr>
              <w:t>75</w:t>
            </w:r>
          </w:p>
        </w:tc>
        <w:tc>
          <w:tcPr>
            <w:tcW w:w="910" w:type="dxa"/>
            <w:tcMar>
              <w:top w:w="15" w:type="dxa"/>
              <w:left w:w="15" w:type="dxa"/>
              <w:bottom w:w="15" w:type="dxa"/>
              <w:right w:w="15" w:type="dxa"/>
            </w:tcMar>
            <w:vAlign w:val="center"/>
          </w:tcPr>
          <w:p w14:paraId="5A250BBF" w14:textId="77777777" w:rsidR="00EE3DF9" w:rsidRPr="00F5382B" w:rsidRDefault="00EE3DF9">
            <w:pPr>
              <w:spacing w:after="160"/>
              <w:jc w:val="center"/>
              <w:rPr>
                <w:rFonts w:eastAsia="Times New Roman Bold"/>
                <w:noProof/>
              </w:rPr>
            </w:pPr>
            <w:r w:rsidRPr="00F5382B">
              <w:rPr>
                <w:rFonts w:eastAsia="Times New Roman Bold"/>
                <w:noProof/>
              </w:rPr>
              <w:t>183</w:t>
            </w:r>
          </w:p>
        </w:tc>
        <w:tc>
          <w:tcPr>
            <w:tcW w:w="2230" w:type="dxa"/>
            <w:tcMar>
              <w:top w:w="15" w:type="dxa"/>
              <w:left w:w="15" w:type="dxa"/>
              <w:bottom w:w="15" w:type="dxa"/>
              <w:right w:w="15" w:type="dxa"/>
            </w:tcMar>
            <w:vAlign w:val="center"/>
          </w:tcPr>
          <w:p w14:paraId="5A4089D5" w14:textId="77777777" w:rsidR="00EE3DF9" w:rsidRPr="00F5382B" w:rsidRDefault="00EE3DF9">
            <w:pPr>
              <w:spacing w:after="160"/>
              <w:jc w:val="center"/>
              <w:rPr>
                <w:rFonts w:eastAsia="Times New Roman Bold"/>
                <w:noProof/>
              </w:rPr>
            </w:pPr>
            <w:r w:rsidRPr="00F5382B">
              <w:rPr>
                <w:rFonts w:eastAsia="Times New Roman Bold"/>
                <w:noProof/>
              </w:rPr>
              <w:t>258</w:t>
            </w:r>
          </w:p>
        </w:tc>
      </w:tr>
    </w:tbl>
    <w:p w14:paraId="5B1EF8B8" w14:textId="77777777" w:rsidR="00EE3DF9" w:rsidRPr="00F5382B" w:rsidRDefault="00EE3DF9" w:rsidP="00EE3DF9">
      <w:pPr>
        <w:rPr>
          <w:rFonts w:eastAsia="Times New Roman Bold"/>
          <w:i/>
          <w:iCs/>
          <w:noProof/>
        </w:rPr>
      </w:pPr>
    </w:p>
    <w:p w14:paraId="4E388462" w14:textId="77FA8AA2" w:rsidR="00EE3DF9" w:rsidRPr="00F5382B" w:rsidRDefault="00EE3DF9" w:rsidP="00EE3DF9">
      <w:pPr>
        <w:spacing w:after="120"/>
        <w:rPr>
          <w:rFonts w:eastAsia="Times New Roman"/>
          <w:noProof/>
        </w:rPr>
      </w:pPr>
      <w:r w:rsidRPr="00F5382B">
        <w:rPr>
          <w:rFonts w:eastAsia="Times New Roman"/>
          <w:noProof/>
        </w:rPr>
        <w:t>Recovery time also depends on the use of emerging technologies in the security process.</w:t>
      </w:r>
    </w:p>
    <w:p w14:paraId="693B7FC3" w14:textId="61A5581E" w:rsidR="00EE3DF9" w:rsidRPr="00F5382B" w:rsidRDefault="00EE3DF9" w:rsidP="00EE3DF9">
      <w:pPr>
        <w:pStyle w:val="Heading5"/>
        <w:rPr>
          <w:noProof/>
        </w:rPr>
      </w:pPr>
      <w:bookmarkStart w:id="370" w:name="_Toc218767817"/>
      <w:r w:rsidRPr="00F5382B">
        <w:rPr>
          <w:noProof/>
        </w:rPr>
        <w:t>Table 2</w:t>
      </w:r>
      <w:r w:rsidR="00B205CB">
        <w:rPr>
          <w:noProof/>
        </w:rPr>
        <w:t>4</w:t>
      </w:r>
      <w:r w:rsidRPr="00F5382B">
        <w:rPr>
          <w:noProof/>
        </w:rPr>
        <w:t>: Mean-time-to-identify and mean-time-to-contain data breaches per use of emerging technologies in 2025 (in days)</w:t>
      </w:r>
      <w:bookmarkEnd w:id="370"/>
    </w:p>
    <w:tbl>
      <w:tblPr>
        <w:tblW w:w="706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460"/>
        <w:gridCol w:w="945"/>
        <w:gridCol w:w="1075"/>
        <w:gridCol w:w="1585"/>
      </w:tblGrid>
      <w:tr w:rsidR="00EE3DF9" w:rsidRPr="00F5382B" w14:paraId="31BE2CDE" w14:textId="77777777">
        <w:trPr>
          <w:trHeight w:val="300"/>
          <w:jc w:val="center"/>
        </w:trPr>
        <w:tc>
          <w:tcPr>
            <w:tcW w:w="3460" w:type="dxa"/>
            <w:tcMar>
              <w:top w:w="15" w:type="dxa"/>
              <w:left w:w="15" w:type="dxa"/>
              <w:bottom w:w="15" w:type="dxa"/>
              <w:right w:w="15" w:type="dxa"/>
            </w:tcMar>
            <w:vAlign w:val="center"/>
          </w:tcPr>
          <w:p w14:paraId="2AA145B7" w14:textId="77777777" w:rsidR="00EE3DF9" w:rsidRPr="00F5382B" w:rsidRDefault="00EE3DF9">
            <w:pPr>
              <w:spacing w:after="0"/>
              <w:rPr>
                <w:noProof/>
              </w:rPr>
            </w:pPr>
            <w:r w:rsidRPr="00F5382B">
              <w:rPr>
                <w:noProof/>
              </w:rPr>
              <w:t>Security AI and Automation Usage</w:t>
            </w:r>
          </w:p>
        </w:tc>
        <w:tc>
          <w:tcPr>
            <w:tcW w:w="945" w:type="dxa"/>
            <w:tcMar>
              <w:top w:w="15" w:type="dxa"/>
              <w:left w:w="15" w:type="dxa"/>
              <w:bottom w:w="15" w:type="dxa"/>
              <w:right w:w="15" w:type="dxa"/>
            </w:tcMar>
            <w:vAlign w:val="center"/>
          </w:tcPr>
          <w:p w14:paraId="07FC4A36" w14:textId="77777777" w:rsidR="00EE3DF9" w:rsidRPr="00F5382B" w:rsidRDefault="00EE3DF9">
            <w:pPr>
              <w:spacing w:after="0"/>
              <w:rPr>
                <w:noProof/>
              </w:rPr>
            </w:pPr>
            <w:r w:rsidRPr="00F5382B">
              <w:rPr>
                <w:noProof/>
              </w:rPr>
              <w:t>MTTI (Days)</w:t>
            </w:r>
          </w:p>
        </w:tc>
        <w:tc>
          <w:tcPr>
            <w:tcW w:w="1075" w:type="dxa"/>
            <w:tcMar>
              <w:top w:w="15" w:type="dxa"/>
              <w:left w:w="15" w:type="dxa"/>
              <w:bottom w:w="15" w:type="dxa"/>
              <w:right w:w="15" w:type="dxa"/>
            </w:tcMar>
            <w:vAlign w:val="center"/>
          </w:tcPr>
          <w:p w14:paraId="74B7AD17" w14:textId="77777777" w:rsidR="00EE3DF9" w:rsidRPr="00F5382B" w:rsidRDefault="00EE3DF9">
            <w:pPr>
              <w:spacing w:after="0"/>
              <w:rPr>
                <w:noProof/>
              </w:rPr>
            </w:pPr>
            <w:r w:rsidRPr="00F5382B">
              <w:rPr>
                <w:noProof/>
              </w:rPr>
              <w:t>MTTC (Days)</w:t>
            </w:r>
          </w:p>
        </w:tc>
        <w:tc>
          <w:tcPr>
            <w:tcW w:w="1585" w:type="dxa"/>
            <w:tcMar>
              <w:top w:w="15" w:type="dxa"/>
              <w:left w:w="15" w:type="dxa"/>
              <w:bottom w:w="15" w:type="dxa"/>
              <w:right w:w="15" w:type="dxa"/>
            </w:tcMar>
            <w:vAlign w:val="center"/>
          </w:tcPr>
          <w:p w14:paraId="45784364" w14:textId="77777777" w:rsidR="00EE3DF9" w:rsidRPr="00F5382B" w:rsidRDefault="00EE3DF9">
            <w:pPr>
              <w:spacing w:after="0"/>
              <w:rPr>
                <w:noProof/>
              </w:rPr>
            </w:pPr>
            <w:r w:rsidRPr="00F5382B">
              <w:rPr>
                <w:noProof/>
              </w:rPr>
              <w:t>Total Days to Resolve</w:t>
            </w:r>
          </w:p>
        </w:tc>
      </w:tr>
      <w:tr w:rsidR="00EE3DF9" w:rsidRPr="00F5382B" w14:paraId="10384E31" w14:textId="77777777">
        <w:trPr>
          <w:trHeight w:val="300"/>
          <w:jc w:val="center"/>
        </w:trPr>
        <w:tc>
          <w:tcPr>
            <w:tcW w:w="3460" w:type="dxa"/>
            <w:tcMar>
              <w:top w:w="15" w:type="dxa"/>
              <w:left w:w="15" w:type="dxa"/>
              <w:bottom w:w="15" w:type="dxa"/>
              <w:right w:w="15" w:type="dxa"/>
            </w:tcMar>
            <w:vAlign w:val="center"/>
          </w:tcPr>
          <w:p w14:paraId="67CC1CCF" w14:textId="77777777" w:rsidR="00EE3DF9" w:rsidRPr="00F5382B" w:rsidRDefault="00EE3DF9">
            <w:pPr>
              <w:spacing w:after="0"/>
              <w:jc w:val="center"/>
              <w:rPr>
                <w:rFonts w:eastAsia="Times New Roman Bold"/>
                <w:noProof/>
              </w:rPr>
            </w:pPr>
            <w:r w:rsidRPr="00F5382B">
              <w:rPr>
                <w:rFonts w:eastAsia="Times New Roman Bold"/>
                <w:noProof/>
              </w:rPr>
              <w:t>Extensive use</w:t>
            </w:r>
          </w:p>
        </w:tc>
        <w:tc>
          <w:tcPr>
            <w:tcW w:w="945" w:type="dxa"/>
            <w:tcMar>
              <w:top w:w="15" w:type="dxa"/>
              <w:left w:w="15" w:type="dxa"/>
              <w:bottom w:w="15" w:type="dxa"/>
              <w:right w:w="15" w:type="dxa"/>
            </w:tcMar>
            <w:vAlign w:val="center"/>
          </w:tcPr>
          <w:p w14:paraId="1C7A1B13" w14:textId="77777777" w:rsidR="00EE3DF9" w:rsidRPr="00F5382B" w:rsidRDefault="00EE3DF9">
            <w:pPr>
              <w:spacing w:after="0"/>
              <w:jc w:val="center"/>
              <w:rPr>
                <w:rFonts w:eastAsia="Times New Roman Bold"/>
                <w:noProof/>
              </w:rPr>
            </w:pPr>
            <w:r w:rsidRPr="00F5382B">
              <w:rPr>
                <w:rFonts w:eastAsia="Times New Roman Bold"/>
                <w:noProof/>
              </w:rPr>
              <w:t>51</w:t>
            </w:r>
          </w:p>
        </w:tc>
        <w:tc>
          <w:tcPr>
            <w:tcW w:w="1075" w:type="dxa"/>
            <w:tcMar>
              <w:top w:w="15" w:type="dxa"/>
              <w:left w:w="15" w:type="dxa"/>
              <w:bottom w:w="15" w:type="dxa"/>
              <w:right w:w="15" w:type="dxa"/>
            </w:tcMar>
            <w:vAlign w:val="center"/>
          </w:tcPr>
          <w:p w14:paraId="136D74A2" w14:textId="77777777" w:rsidR="00EE3DF9" w:rsidRPr="00F5382B" w:rsidRDefault="00EE3DF9">
            <w:pPr>
              <w:spacing w:after="0"/>
              <w:jc w:val="center"/>
              <w:rPr>
                <w:rFonts w:eastAsia="Times New Roman Bold"/>
                <w:noProof/>
              </w:rPr>
            </w:pPr>
            <w:r w:rsidRPr="00F5382B">
              <w:rPr>
                <w:rFonts w:eastAsia="Times New Roman Bold"/>
                <w:noProof/>
              </w:rPr>
              <w:t>153</w:t>
            </w:r>
          </w:p>
        </w:tc>
        <w:tc>
          <w:tcPr>
            <w:tcW w:w="1585" w:type="dxa"/>
            <w:tcMar>
              <w:top w:w="15" w:type="dxa"/>
              <w:left w:w="15" w:type="dxa"/>
              <w:bottom w:w="15" w:type="dxa"/>
              <w:right w:w="15" w:type="dxa"/>
            </w:tcMar>
            <w:vAlign w:val="center"/>
          </w:tcPr>
          <w:p w14:paraId="69201E53" w14:textId="77777777" w:rsidR="00EE3DF9" w:rsidRPr="00F5382B" w:rsidRDefault="00EE3DF9">
            <w:pPr>
              <w:spacing w:after="0"/>
              <w:jc w:val="center"/>
              <w:rPr>
                <w:rFonts w:eastAsia="Times New Roman Bold"/>
                <w:noProof/>
              </w:rPr>
            </w:pPr>
            <w:r w:rsidRPr="00F5382B">
              <w:rPr>
                <w:rFonts w:eastAsia="Times New Roman Bold"/>
                <w:noProof/>
              </w:rPr>
              <w:t>204</w:t>
            </w:r>
          </w:p>
        </w:tc>
      </w:tr>
      <w:tr w:rsidR="00EE3DF9" w:rsidRPr="00F5382B" w14:paraId="3A3E3E73" w14:textId="77777777">
        <w:trPr>
          <w:trHeight w:val="300"/>
          <w:jc w:val="center"/>
        </w:trPr>
        <w:tc>
          <w:tcPr>
            <w:tcW w:w="3460" w:type="dxa"/>
            <w:tcMar>
              <w:top w:w="15" w:type="dxa"/>
              <w:left w:w="15" w:type="dxa"/>
              <w:bottom w:w="15" w:type="dxa"/>
              <w:right w:w="15" w:type="dxa"/>
            </w:tcMar>
            <w:vAlign w:val="center"/>
          </w:tcPr>
          <w:p w14:paraId="5B1C60D3" w14:textId="77777777" w:rsidR="00EE3DF9" w:rsidRPr="00F5382B" w:rsidRDefault="00EE3DF9">
            <w:pPr>
              <w:spacing w:after="0"/>
              <w:jc w:val="center"/>
              <w:rPr>
                <w:rFonts w:eastAsia="Times New Roman Bold"/>
                <w:noProof/>
              </w:rPr>
            </w:pPr>
            <w:r w:rsidRPr="00F5382B">
              <w:rPr>
                <w:rFonts w:eastAsia="Times New Roman Bold"/>
                <w:noProof/>
              </w:rPr>
              <w:t>Limited use</w:t>
            </w:r>
          </w:p>
        </w:tc>
        <w:tc>
          <w:tcPr>
            <w:tcW w:w="945" w:type="dxa"/>
            <w:tcMar>
              <w:top w:w="15" w:type="dxa"/>
              <w:left w:w="15" w:type="dxa"/>
              <w:bottom w:w="15" w:type="dxa"/>
              <w:right w:w="15" w:type="dxa"/>
            </w:tcMar>
            <w:vAlign w:val="center"/>
          </w:tcPr>
          <w:p w14:paraId="6ABB733D" w14:textId="77777777" w:rsidR="00EE3DF9" w:rsidRPr="00F5382B" w:rsidRDefault="00EE3DF9">
            <w:pPr>
              <w:spacing w:after="0"/>
              <w:jc w:val="center"/>
              <w:rPr>
                <w:rFonts w:eastAsia="Times New Roman Bold"/>
                <w:noProof/>
              </w:rPr>
            </w:pPr>
            <w:r w:rsidRPr="00F5382B">
              <w:rPr>
                <w:rFonts w:eastAsia="Times New Roman Bold"/>
                <w:noProof/>
              </w:rPr>
              <w:t>60</w:t>
            </w:r>
          </w:p>
        </w:tc>
        <w:tc>
          <w:tcPr>
            <w:tcW w:w="1075" w:type="dxa"/>
            <w:tcMar>
              <w:top w:w="15" w:type="dxa"/>
              <w:left w:w="15" w:type="dxa"/>
              <w:bottom w:w="15" w:type="dxa"/>
              <w:right w:w="15" w:type="dxa"/>
            </w:tcMar>
            <w:vAlign w:val="center"/>
          </w:tcPr>
          <w:p w14:paraId="3440DD47" w14:textId="77777777" w:rsidR="00EE3DF9" w:rsidRPr="00F5382B" w:rsidRDefault="00EE3DF9">
            <w:pPr>
              <w:spacing w:after="0"/>
              <w:jc w:val="center"/>
              <w:rPr>
                <w:rFonts w:eastAsia="Times New Roman Bold"/>
                <w:noProof/>
              </w:rPr>
            </w:pPr>
            <w:r w:rsidRPr="00F5382B">
              <w:rPr>
                <w:rFonts w:eastAsia="Times New Roman Bold"/>
                <w:noProof/>
              </w:rPr>
              <w:t>183</w:t>
            </w:r>
          </w:p>
        </w:tc>
        <w:tc>
          <w:tcPr>
            <w:tcW w:w="1585" w:type="dxa"/>
            <w:tcMar>
              <w:top w:w="15" w:type="dxa"/>
              <w:left w:w="15" w:type="dxa"/>
              <w:bottom w:w="15" w:type="dxa"/>
              <w:right w:w="15" w:type="dxa"/>
            </w:tcMar>
            <w:vAlign w:val="center"/>
          </w:tcPr>
          <w:p w14:paraId="3775B8C5" w14:textId="77777777" w:rsidR="00EE3DF9" w:rsidRPr="00F5382B" w:rsidRDefault="00EE3DF9">
            <w:pPr>
              <w:spacing w:after="0"/>
              <w:jc w:val="center"/>
              <w:rPr>
                <w:rFonts w:eastAsia="Times New Roman Bold"/>
                <w:noProof/>
              </w:rPr>
            </w:pPr>
            <w:r w:rsidRPr="00F5382B">
              <w:rPr>
                <w:rFonts w:eastAsia="Times New Roman Bold"/>
                <w:noProof/>
              </w:rPr>
              <w:t>243</w:t>
            </w:r>
          </w:p>
        </w:tc>
      </w:tr>
      <w:tr w:rsidR="00EE3DF9" w:rsidRPr="00F5382B" w14:paraId="2199FDB5" w14:textId="77777777">
        <w:trPr>
          <w:trHeight w:val="214"/>
          <w:jc w:val="center"/>
        </w:trPr>
        <w:tc>
          <w:tcPr>
            <w:tcW w:w="3460" w:type="dxa"/>
            <w:tcMar>
              <w:top w:w="15" w:type="dxa"/>
              <w:left w:w="15" w:type="dxa"/>
              <w:bottom w:w="15" w:type="dxa"/>
              <w:right w:w="15" w:type="dxa"/>
            </w:tcMar>
            <w:vAlign w:val="center"/>
          </w:tcPr>
          <w:p w14:paraId="00EE964D" w14:textId="77777777" w:rsidR="00EE3DF9" w:rsidRPr="00F5382B" w:rsidRDefault="00EE3DF9">
            <w:pPr>
              <w:spacing w:after="0"/>
              <w:jc w:val="center"/>
              <w:rPr>
                <w:rFonts w:eastAsiaTheme="minorEastAsia"/>
                <w:noProof/>
              </w:rPr>
            </w:pPr>
            <w:r w:rsidRPr="00F5382B">
              <w:rPr>
                <w:rFonts w:eastAsiaTheme="minorEastAsia"/>
                <w:noProof/>
              </w:rPr>
              <w:t>No use</w:t>
            </w:r>
          </w:p>
        </w:tc>
        <w:tc>
          <w:tcPr>
            <w:tcW w:w="945" w:type="dxa"/>
            <w:tcMar>
              <w:top w:w="15" w:type="dxa"/>
              <w:left w:w="15" w:type="dxa"/>
              <w:bottom w:w="15" w:type="dxa"/>
              <w:right w:w="15" w:type="dxa"/>
            </w:tcMar>
            <w:vAlign w:val="center"/>
          </w:tcPr>
          <w:p w14:paraId="5C08B740" w14:textId="77777777" w:rsidR="00EE3DF9" w:rsidRPr="00F5382B" w:rsidRDefault="00EE3DF9">
            <w:pPr>
              <w:spacing w:after="0"/>
              <w:jc w:val="center"/>
              <w:rPr>
                <w:rFonts w:eastAsiaTheme="minorEastAsia"/>
                <w:noProof/>
              </w:rPr>
            </w:pPr>
            <w:r w:rsidRPr="00F5382B">
              <w:rPr>
                <w:rFonts w:eastAsiaTheme="minorEastAsia"/>
                <w:noProof/>
              </w:rPr>
              <w:t>72</w:t>
            </w:r>
          </w:p>
        </w:tc>
        <w:tc>
          <w:tcPr>
            <w:tcW w:w="1075" w:type="dxa"/>
            <w:tcMar>
              <w:top w:w="15" w:type="dxa"/>
              <w:left w:w="15" w:type="dxa"/>
              <w:bottom w:w="15" w:type="dxa"/>
              <w:right w:w="15" w:type="dxa"/>
            </w:tcMar>
            <w:vAlign w:val="center"/>
          </w:tcPr>
          <w:p w14:paraId="556B03B1" w14:textId="77777777" w:rsidR="00EE3DF9" w:rsidRPr="00F5382B" w:rsidRDefault="00EE3DF9">
            <w:pPr>
              <w:spacing w:after="0"/>
              <w:jc w:val="center"/>
              <w:rPr>
                <w:rFonts w:eastAsiaTheme="minorEastAsia"/>
                <w:noProof/>
              </w:rPr>
            </w:pPr>
            <w:r w:rsidRPr="00F5382B">
              <w:rPr>
                <w:rFonts w:eastAsiaTheme="minorEastAsia"/>
                <w:noProof/>
              </w:rPr>
              <w:t>212</w:t>
            </w:r>
          </w:p>
        </w:tc>
        <w:tc>
          <w:tcPr>
            <w:tcW w:w="1585" w:type="dxa"/>
            <w:tcMar>
              <w:top w:w="15" w:type="dxa"/>
              <w:left w:w="15" w:type="dxa"/>
              <w:bottom w:w="15" w:type="dxa"/>
              <w:right w:w="15" w:type="dxa"/>
            </w:tcMar>
            <w:vAlign w:val="center"/>
          </w:tcPr>
          <w:p w14:paraId="057982C2" w14:textId="77777777" w:rsidR="00EE3DF9" w:rsidRPr="00F5382B" w:rsidRDefault="00EE3DF9">
            <w:pPr>
              <w:spacing w:after="0"/>
              <w:jc w:val="center"/>
              <w:rPr>
                <w:rFonts w:eastAsiaTheme="minorEastAsia"/>
                <w:noProof/>
              </w:rPr>
            </w:pPr>
            <w:r w:rsidRPr="00F5382B">
              <w:rPr>
                <w:rFonts w:eastAsiaTheme="minorEastAsia"/>
                <w:noProof/>
              </w:rPr>
              <w:t>284</w:t>
            </w:r>
          </w:p>
        </w:tc>
      </w:tr>
    </w:tbl>
    <w:p w14:paraId="2BA6C932" w14:textId="77777777" w:rsidR="00EE3DF9" w:rsidRPr="00F5382B" w:rsidRDefault="00EE3DF9" w:rsidP="00EE3DF9">
      <w:pPr>
        <w:spacing w:after="120"/>
        <w:rPr>
          <w:rFonts w:eastAsia="Times New Roman Bold"/>
          <w:i/>
          <w:iCs/>
          <w:noProof/>
        </w:rPr>
      </w:pPr>
    </w:p>
    <w:p w14:paraId="38813EBC" w14:textId="77777777" w:rsidR="00EE3DF9" w:rsidRPr="00F5382B" w:rsidRDefault="00EE3DF9" w:rsidP="00EE3DF9">
      <w:pPr>
        <w:spacing w:after="120"/>
        <w:rPr>
          <w:rFonts w:eastAsia="Times New Roman"/>
          <w:noProof/>
        </w:rPr>
      </w:pPr>
      <w:r w:rsidRPr="00F5382B">
        <w:rPr>
          <w:rFonts w:eastAsia="Times New Roman"/>
          <w:noProof/>
        </w:rPr>
        <w:t xml:space="preserve">This </w:t>
      </w:r>
      <w:r w:rsidRPr="00F5382B">
        <w:rPr>
          <w:rFonts w:eastAsia="Times New Roman"/>
          <w:b/>
          <w:noProof/>
        </w:rPr>
        <w:t>time to recover</w:t>
      </w:r>
      <w:r w:rsidRPr="00F5382B">
        <w:rPr>
          <w:rFonts w:eastAsia="Times New Roman"/>
          <w:noProof/>
        </w:rPr>
        <w:t xml:space="preserve"> can be translate into </w:t>
      </w:r>
      <w:r w:rsidRPr="00F5382B">
        <w:rPr>
          <w:rFonts w:eastAsia="Times New Roman"/>
          <w:b/>
          <w:noProof/>
        </w:rPr>
        <w:t>economic cost</w:t>
      </w:r>
      <w:r w:rsidRPr="00F5382B">
        <w:rPr>
          <w:rFonts w:eastAsia="Times New Roman"/>
          <w:b/>
          <w:bCs/>
          <w:noProof/>
        </w:rPr>
        <w:t xml:space="preserve">. </w:t>
      </w:r>
      <w:r w:rsidRPr="00F5382B">
        <w:rPr>
          <w:rFonts w:eastAsia="Times New Roman"/>
          <w:noProof/>
        </w:rPr>
        <w:t xml:space="preserve">The longer it is, the more costly it will be for an organisation. </w:t>
      </w:r>
    </w:p>
    <w:p w14:paraId="51507548" w14:textId="611931F1" w:rsidR="00EE3DF9" w:rsidRPr="00F5382B" w:rsidRDefault="00EE3DF9" w:rsidP="00EE3DF9">
      <w:pPr>
        <w:pStyle w:val="Heading5"/>
        <w:rPr>
          <w:noProof/>
        </w:rPr>
      </w:pPr>
      <w:bookmarkStart w:id="371" w:name="_Toc218767818"/>
      <w:r w:rsidRPr="00F5382B">
        <w:rPr>
          <w:noProof/>
        </w:rPr>
        <w:t>Table 2</w:t>
      </w:r>
      <w:r w:rsidR="00B205CB">
        <w:rPr>
          <w:noProof/>
        </w:rPr>
        <w:t>5</w:t>
      </w:r>
      <w:r w:rsidRPr="00F5382B">
        <w:rPr>
          <w:noProof/>
        </w:rPr>
        <w:t>: Economic cost of time to recover (in USD)</w:t>
      </w:r>
      <w:bookmarkEnd w:id="371"/>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69"/>
        <w:gridCol w:w="2426"/>
      </w:tblGrid>
      <w:tr w:rsidR="00EE3DF9" w:rsidRPr="00F5382B" w14:paraId="1128C271" w14:textId="77777777" w:rsidTr="00E5147D">
        <w:trPr>
          <w:trHeight w:val="300"/>
          <w:jc w:val="center"/>
        </w:trPr>
        <w:tc>
          <w:tcPr>
            <w:tcW w:w="3669" w:type="dxa"/>
            <w:tcMar>
              <w:top w:w="15" w:type="dxa"/>
              <w:left w:w="15" w:type="dxa"/>
              <w:bottom w:w="15" w:type="dxa"/>
              <w:right w:w="15" w:type="dxa"/>
            </w:tcMar>
            <w:vAlign w:val="center"/>
          </w:tcPr>
          <w:p w14:paraId="16B033D5" w14:textId="77777777" w:rsidR="00EE3DF9" w:rsidRPr="00F5382B" w:rsidRDefault="00EE3DF9">
            <w:pPr>
              <w:spacing w:after="120"/>
              <w:jc w:val="center"/>
              <w:rPr>
                <w:rFonts w:eastAsia="Times New Roman Bold"/>
                <w:noProof/>
              </w:rPr>
            </w:pPr>
            <w:r w:rsidRPr="00F5382B">
              <w:rPr>
                <w:rFonts w:eastAsia="Times New Roman Bold"/>
                <w:noProof/>
              </w:rPr>
              <w:t>Breach Lifecycle Duration (MTTI + MTTC)</w:t>
            </w:r>
          </w:p>
        </w:tc>
        <w:tc>
          <w:tcPr>
            <w:tcW w:w="2426" w:type="dxa"/>
            <w:tcMar>
              <w:top w:w="15" w:type="dxa"/>
              <w:left w:w="15" w:type="dxa"/>
              <w:bottom w:w="15" w:type="dxa"/>
              <w:right w:w="15" w:type="dxa"/>
            </w:tcMar>
            <w:vAlign w:val="center"/>
          </w:tcPr>
          <w:p w14:paraId="00C142B5" w14:textId="77777777" w:rsidR="00EE3DF9" w:rsidRPr="00F5382B" w:rsidRDefault="00EE3DF9">
            <w:pPr>
              <w:spacing w:after="120"/>
              <w:jc w:val="center"/>
              <w:rPr>
                <w:rFonts w:eastAsia="Times New Roman Bold"/>
                <w:noProof/>
              </w:rPr>
            </w:pPr>
            <w:r w:rsidRPr="00F5382B">
              <w:rPr>
                <w:rFonts w:eastAsia="Times New Roman Bold"/>
                <w:noProof/>
              </w:rPr>
              <w:t>Average Cost (USD)</w:t>
            </w:r>
          </w:p>
        </w:tc>
      </w:tr>
      <w:tr w:rsidR="00EE3DF9" w:rsidRPr="00F5382B" w14:paraId="1EBC74BE" w14:textId="77777777" w:rsidTr="00E5147D">
        <w:trPr>
          <w:trHeight w:val="300"/>
          <w:jc w:val="center"/>
        </w:trPr>
        <w:tc>
          <w:tcPr>
            <w:tcW w:w="3669" w:type="dxa"/>
            <w:tcMar>
              <w:top w:w="15" w:type="dxa"/>
              <w:left w:w="15" w:type="dxa"/>
              <w:bottom w:w="15" w:type="dxa"/>
              <w:right w:w="15" w:type="dxa"/>
            </w:tcMar>
            <w:vAlign w:val="center"/>
          </w:tcPr>
          <w:p w14:paraId="63B834BA" w14:textId="77777777" w:rsidR="00EE3DF9" w:rsidRPr="00F5382B" w:rsidRDefault="00EE3DF9">
            <w:pPr>
              <w:spacing w:after="0"/>
              <w:rPr>
                <w:rFonts w:eastAsia="Times New Roman Bold"/>
                <w:noProof/>
              </w:rPr>
            </w:pPr>
            <w:r w:rsidRPr="00F5382B">
              <w:rPr>
                <w:rFonts w:eastAsia="Times New Roman Bold"/>
                <w:noProof/>
              </w:rPr>
              <w:t>Less than 200 days</w:t>
            </w:r>
          </w:p>
        </w:tc>
        <w:tc>
          <w:tcPr>
            <w:tcW w:w="2426" w:type="dxa"/>
            <w:tcMar>
              <w:top w:w="15" w:type="dxa"/>
              <w:left w:w="15" w:type="dxa"/>
              <w:bottom w:w="15" w:type="dxa"/>
              <w:right w:w="15" w:type="dxa"/>
            </w:tcMar>
            <w:vAlign w:val="center"/>
          </w:tcPr>
          <w:p w14:paraId="2CCBBA72" w14:textId="77777777" w:rsidR="00EE3DF9" w:rsidRPr="00F5382B" w:rsidRDefault="00EE3DF9">
            <w:pPr>
              <w:spacing w:after="0"/>
              <w:rPr>
                <w:rFonts w:eastAsia="Times New Roman Bold"/>
                <w:noProof/>
              </w:rPr>
            </w:pPr>
            <w:r w:rsidRPr="00F5382B">
              <w:rPr>
                <w:rFonts w:eastAsia="Times New Roman Bold"/>
                <w:noProof/>
              </w:rPr>
              <w:t>3.87 million</w:t>
            </w:r>
          </w:p>
        </w:tc>
      </w:tr>
      <w:tr w:rsidR="00EE3DF9" w:rsidRPr="00F5382B" w14:paraId="22A13803" w14:textId="77777777" w:rsidTr="00E5147D">
        <w:trPr>
          <w:trHeight w:val="300"/>
          <w:jc w:val="center"/>
        </w:trPr>
        <w:tc>
          <w:tcPr>
            <w:tcW w:w="3669" w:type="dxa"/>
            <w:tcMar>
              <w:top w:w="15" w:type="dxa"/>
              <w:left w:w="15" w:type="dxa"/>
              <w:bottom w:w="15" w:type="dxa"/>
              <w:right w:w="15" w:type="dxa"/>
            </w:tcMar>
            <w:vAlign w:val="center"/>
          </w:tcPr>
          <w:p w14:paraId="3ED761E2" w14:textId="77777777" w:rsidR="00EE3DF9" w:rsidRPr="00F5382B" w:rsidRDefault="00EE3DF9">
            <w:pPr>
              <w:spacing w:after="0"/>
              <w:rPr>
                <w:rFonts w:eastAsia="Times New Roman Bold"/>
                <w:noProof/>
              </w:rPr>
            </w:pPr>
            <w:r w:rsidRPr="00F5382B">
              <w:rPr>
                <w:rFonts w:eastAsia="Times New Roman Bold"/>
                <w:noProof/>
              </w:rPr>
              <w:t>Exceeding 200 days</w:t>
            </w:r>
          </w:p>
        </w:tc>
        <w:tc>
          <w:tcPr>
            <w:tcW w:w="2426" w:type="dxa"/>
            <w:tcMar>
              <w:top w:w="15" w:type="dxa"/>
              <w:left w:w="15" w:type="dxa"/>
              <w:bottom w:w="15" w:type="dxa"/>
              <w:right w:w="15" w:type="dxa"/>
            </w:tcMar>
            <w:vAlign w:val="center"/>
          </w:tcPr>
          <w:p w14:paraId="67D2F22B" w14:textId="77777777" w:rsidR="00EE3DF9" w:rsidRPr="00F5382B" w:rsidRDefault="00EE3DF9">
            <w:pPr>
              <w:spacing w:after="0"/>
              <w:rPr>
                <w:rFonts w:eastAsia="Times New Roman Bold"/>
                <w:noProof/>
              </w:rPr>
            </w:pPr>
            <w:r w:rsidRPr="00F5382B">
              <w:rPr>
                <w:rFonts w:eastAsia="Times New Roman Bold"/>
                <w:noProof/>
              </w:rPr>
              <w:t>5.01 million</w:t>
            </w:r>
          </w:p>
        </w:tc>
      </w:tr>
    </w:tbl>
    <w:p w14:paraId="1DEE7D25" w14:textId="77777777" w:rsidR="00EE3DF9" w:rsidRPr="00F5382B" w:rsidRDefault="00EE3DF9" w:rsidP="00EE3DF9">
      <w:pPr>
        <w:rPr>
          <w:noProof/>
        </w:rPr>
        <w:sectPr w:rsidR="00EE3DF9" w:rsidRPr="00F5382B" w:rsidSect="00EE3DF9">
          <w:headerReference w:type="default" r:id="rId87"/>
          <w:footerReference w:type="default" r:id="rId88"/>
          <w:headerReference w:type="first" r:id="rId89"/>
          <w:footerReference w:type="first" r:id="rId90"/>
          <w:pgSz w:w="11906" w:h="16838"/>
          <w:pgMar w:top="1440" w:right="1440" w:bottom="1440" w:left="1440" w:header="601" w:footer="1077" w:gutter="0"/>
          <w:cols w:space="720"/>
          <w:titlePg/>
          <w:docGrid w:linePitch="326"/>
        </w:sectPr>
      </w:pPr>
    </w:p>
    <w:p w14:paraId="6143B4CE" w14:textId="77777777" w:rsidR="00EE3DF9" w:rsidRPr="00F5382B" w:rsidRDefault="00EE3DF9" w:rsidP="00D52AD8">
      <w:pPr>
        <w:numPr>
          <w:ilvl w:val="0"/>
          <w:numId w:val="112"/>
        </w:numPr>
        <w:spacing w:after="120"/>
        <w:textAlignment w:val="baseline"/>
        <w:rPr>
          <w:rFonts w:eastAsia="Times New Roman"/>
          <w:b/>
          <w:smallCaps/>
          <w:noProof/>
          <w:lang w:eastAsia="en-IE"/>
        </w:rPr>
      </w:pPr>
      <w:bookmarkStart w:id="372" w:name="Part2"/>
      <w:r w:rsidRPr="00F5382B">
        <w:rPr>
          <w:rFonts w:eastAsia="Times New Roman"/>
          <w:b/>
          <w:smallCaps/>
          <w:noProof/>
          <w:lang w:eastAsia="en-IE"/>
        </w:rPr>
        <w:t>Examples of incidents and sectoral trends with societal and/or economic cross</w:t>
      </w:r>
      <w:r w:rsidRPr="00F5382B">
        <w:rPr>
          <w:rFonts w:eastAsia="Times New Roman"/>
          <w:b/>
          <w:bCs/>
          <w:smallCaps/>
          <w:noProof/>
          <w:lang w:eastAsia="en-IE"/>
        </w:rPr>
        <w:t>-</w:t>
      </w:r>
      <w:r w:rsidRPr="00F5382B">
        <w:rPr>
          <w:rFonts w:eastAsia="Times New Roman"/>
          <w:b/>
          <w:smallCaps/>
          <w:noProof/>
          <w:lang w:eastAsia="en-IE"/>
        </w:rPr>
        <w:t xml:space="preserve">border impact, including SMEs </w:t>
      </w:r>
    </w:p>
    <w:bookmarkEnd w:id="372"/>
    <w:p w14:paraId="7D7C1DCC" w14:textId="77777777" w:rsidR="00EE3DF9" w:rsidRPr="00F5382B" w:rsidRDefault="00EE3DF9" w:rsidP="00EE3DF9">
      <w:pPr>
        <w:pStyle w:val="ListNumber"/>
        <w:numPr>
          <w:ilvl w:val="0"/>
          <w:numId w:val="0"/>
        </w:numPr>
        <w:tabs>
          <w:tab w:val="clear" w:pos="709"/>
        </w:tabs>
        <w:spacing w:after="120"/>
        <w:jc w:val="left"/>
        <w:rPr>
          <w:noProof/>
        </w:rPr>
      </w:pPr>
      <w:r w:rsidRPr="00F5382B">
        <w:rPr>
          <w:noProof/>
        </w:rPr>
        <w:t xml:space="preserve">The following table provides examples of cybersecurity incidents or sectoral trends and their cross-border impacts. The purpose of this table is not to quantify costs but to illustrate rippling effects onto the real world. </w:t>
      </w:r>
    </w:p>
    <w:p w14:paraId="1D900895" w14:textId="02B74205" w:rsidR="00EE3DF9" w:rsidRPr="00F5382B" w:rsidRDefault="00EE3DF9" w:rsidP="00EE3DF9">
      <w:pPr>
        <w:pStyle w:val="Heading5"/>
        <w:rPr>
          <w:b/>
          <w:noProof/>
        </w:rPr>
      </w:pPr>
      <w:bookmarkStart w:id="373" w:name="_Toc218767819"/>
      <w:r w:rsidRPr="00F5382B">
        <w:rPr>
          <w:noProof/>
        </w:rPr>
        <w:t>Table 2</w:t>
      </w:r>
      <w:r w:rsidR="0012685D">
        <w:rPr>
          <w:noProof/>
        </w:rPr>
        <w:t>6</w:t>
      </w:r>
      <w:r w:rsidRPr="00F5382B">
        <w:rPr>
          <w:noProof/>
        </w:rPr>
        <w:t>: Examples of incidents and sectoral trends with societal and/or economic cross border impact (Source: Sophos</w:t>
      </w:r>
      <w:r w:rsidRPr="00F5382B">
        <w:rPr>
          <w:rStyle w:val="FootnoteReference"/>
          <w:noProof/>
        </w:rPr>
        <w:footnoteReference w:id="235"/>
      </w:r>
      <w:r w:rsidRPr="00F5382B">
        <w:rPr>
          <w:noProof/>
        </w:rPr>
        <w:t>)</w:t>
      </w:r>
      <w:bookmarkEnd w:id="373"/>
    </w:p>
    <w:tbl>
      <w:tblPr>
        <w:tblStyle w:val="CV11"/>
        <w:tblW w:w="5000" w:type="pct"/>
        <w:tblLayout w:type="fixed"/>
        <w:tblLook w:val="04A0" w:firstRow="1" w:lastRow="0" w:firstColumn="1" w:lastColumn="0" w:noHBand="0" w:noVBand="1"/>
      </w:tblPr>
      <w:tblGrid>
        <w:gridCol w:w="725"/>
        <w:gridCol w:w="2733"/>
        <w:gridCol w:w="1985"/>
        <w:gridCol w:w="3157"/>
        <w:gridCol w:w="5620"/>
      </w:tblGrid>
      <w:tr w:rsidR="00EE3DF9" w:rsidRPr="00F5382B" w14:paraId="2BCF0F18" w14:textId="77777777" w:rsidTr="00E5147D">
        <w:trPr>
          <w:trHeight w:val="300"/>
        </w:trPr>
        <w:tc>
          <w:tcPr>
            <w:tcW w:w="252" w:type="pct"/>
            <w:hideMark/>
          </w:tcPr>
          <w:p w14:paraId="39A5FE24" w14:textId="77777777" w:rsidR="00EE3DF9" w:rsidRPr="00F5382B" w:rsidRDefault="00EE3DF9">
            <w:pPr>
              <w:pStyle w:val="ListNumber"/>
              <w:numPr>
                <w:ilvl w:val="0"/>
                <w:numId w:val="0"/>
              </w:numPr>
              <w:spacing w:after="0"/>
              <w:ind w:left="357" w:hanging="360"/>
              <w:jc w:val="center"/>
              <w:rPr>
                <w:b/>
                <w:bCs/>
                <w:noProof/>
                <w:szCs w:val="22"/>
                <w:lang w:val="en-IE"/>
              </w:rPr>
            </w:pPr>
            <w:r w:rsidRPr="00F5382B">
              <w:rPr>
                <w:b/>
                <w:noProof/>
                <w:szCs w:val="22"/>
                <w:lang w:val="en-IE"/>
              </w:rPr>
              <w:t>No.</w:t>
            </w:r>
          </w:p>
        </w:tc>
        <w:tc>
          <w:tcPr>
            <w:tcW w:w="949" w:type="pct"/>
            <w:hideMark/>
          </w:tcPr>
          <w:p w14:paraId="301385E4" w14:textId="77777777" w:rsidR="00EE3DF9" w:rsidRPr="00F5382B" w:rsidRDefault="00EE3DF9">
            <w:pPr>
              <w:pStyle w:val="ListNumber"/>
              <w:numPr>
                <w:ilvl w:val="0"/>
                <w:numId w:val="0"/>
              </w:numPr>
              <w:spacing w:after="120"/>
              <w:ind w:hanging="360"/>
              <w:jc w:val="center"/>
              <w:rPr>
                <w:b/>
                <w:noProof/>
                <w:szCs w:val="22"/>
                <w:lang w:val="en-IE"/>
              </w:rPr>
            </w:pPr>
            <w:r w:rsidRPr="00F5382B">
              <w:rPr>
                <w:b/>
                <w:noProof/>
                <w:szCs w:val="22"/>
                <w:lang w:val="en-IE"/>
              </w:rPr>
              <w:t xml:space="preserve">        Incident or trends, date, source</w:t>
            </w:r>
          </w:p>
        </w:tc>
        <w:tc>
          <w:tcPr>
            <w:tcW w:w="689" w:type="pct"/>
            <w:hideMark/>
          </w:tcPr>
          <w:p w14:paraId="78045B5C" w14:textId="77777777" w:rsidR="00EE3DF9" w:rsidRPr="00F5382B" w:rsidRDefault="00EE3DF9">
            <w:pPr>
              <w:pStyle w:val="ListNumber"/>
              <w:numPr>
                <w:ilvl w:val="0"/>
                <w:numId w:val="0"/>
              </w:numPr>
              <w:spacing w:after="120"/>
              <w:ind w:hanging="360"/>
              <w:jc w:val="center"/>
              <w:rPr>
                <w:b/>
                <w:noProof/>
                <w:szCs w:val="22"/>
                <w:lang w:val="en-IE"/>
              </w:rPr>
            </w:pPr>
            <w:r w:rsidRPr="00F5382B">
              <w:rPr>
                <w:b/>
                <w:noProof/>
                <w:szCs w:val="22"/>
                <w:lang w:val="en-IE"/>
              </w:rPr>
              <w:t xml:space="preserve">   Sector(s) and countries involved</w:t>
            </w:r>
          </w:p>
        </w:tc>
        <w:tc>
          <w:tcPr>
            <w:tcW w:w="1096" w:type="pct"/>
            <w:hideMark/>
          </w:tcPr>
          <w:p w14:paraId="5A31C8F7" w14:textId="77777777" w:rsidR="00EE3DF9" w:rsidRPr="00F5382B" w:rsidRDefault="00EE3DF9">
            <w:pPr>
              <w:pStyle w:val="ListNumber"/>
              <w:numPr>
                <w:ilvl w:val="0"/>
                <w:numId w:val="0"/>
              </w:numPr>
              <w:spacing w:after="120"/>
              <w:jc w:val="center"/>
              <w:rPr>
                <w:b/>
                <w:noProof/>
                <w:szCs w:val="22"/>
                <w:lang w:val="en-IE"/>
              </w:rPr>
            </w:pPr>
            <w:r w:rsidRPr="00F5382B">
              <w:rPr>
                <w:b/>
                <w:noProof/>
                <w:szCs w:val="22"/>
                <w:lang w:val="en-IE"/>
              </w:rPr>
              <w:t>What happened</w:t>
            </w:r>
          </w:p>
        </w:tc>
        <w:tc>
          <w:tcPr>
            <w:tcW w:w="1951" w:type="pct"/>
            <w:hideMark/>
          </w:tcPr>
          <w:p w14:paraId="42F77EFA" w14:textId="77777777" w:rsidR="00EE3DF9" w:rsidRPr="00F5382B" w:rsidRDefault="00EE3DF9">
            <w:pPr>
              <w:pStyle w:val="ListNumber"/>
              <w:numPr>
                <w:ilvl w:val="0"/>
                <w:numId w:val="0"/>
              </w:numPr>
              <w:spacing w:after="120"/>
              <w:ind w:hanging="360"/>
              <w:jc w:val="center"/>
              <w:rPr>
                <w:b/>
                <w:noProof/>
                <w:szCs w:val="22"/>
                <w:lang w:val="en-IE"/>
              </w:rPr>
            </w:pPr>
            <w:r w:rsidRPr="00F5382B">
              <w:rPr>
                <w:b/>
                <w:noProof/>
                <w:szCs w:val="22"/>
                <w:lang w:val="en-IE"/>
              </w:rPr>
              <w:t>Societal and/or economic cross border impacts</w:t>
            </w:r>
          </w:p>
        </w:tc>
      </w:tr>
      <w:tr w:rsidR="00EE3DF9" w:rsidRPr="00F5382B" w14:paraId="47C87AE6" w14:textId="77777777" w:rsidTr="00E5147D">
        <w:trPr>
          <w:trHeight w:val="300"/>
        </w:trPr>
        <w:tc>
          <w:tcPr>
            <w:tcW w:w="252" w:type="pct"/>
            <w:hideMark/>
          </w:tcPr>
          <w:p w14:paraId="4182D021"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1 </w:t>
            </w:r>
          </w:p>
        </w:tc>
        <w:tc>
          <w:tcPr>
            <w:tcW w:w="949" w:type="pct"/>
            <w:hideMark/>
          </w:tcPr>
          <w:p w14:paraId="5277559C"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NotPetya</w:t>
            </w:r>
            <w:r w:rsidRPr="00F5382B">
              <w:rPr>
                <w:noProof/>
                <w:szCs w:val="22"/>
                <w:lang w:val="en-IE"/>
              </w:rPr>
              <w:t xml:space="preserve"> (June 2017) </w:t>
            </w:r>
          </w:p>
          <w:p w14:paraId="471C106C" w14:textId="77777777" w:rsidR="00EE3DF9" w:rsidRPr="00F5382B" w:rsidRDefault="00047E0F">
            <w:pPr>
              <w:pStyle w:val="ListNumber"/>
              <w:numPr>
                <w:ilvl w:val="0"/>
                <w:numId w:val="0"/>
              </w:numPr>
              <w:spacing w:after="120"/>
              <w:jc w:val="left"/>
              <w:rPr>
                <w:noProof/>
                <w:szCs w:val="22"/>
                <w:lang w:val="en-IE"/>
              </w:rPr>
            </w:pPr>
            <w:hyperlink r:id="rId91" w:tgtFrame="_blank" w:history="1">
              <w:r w:rsidR="00EE3DF9" w:rsidRPr="00F5382B">
                <w:rPr>
                  <w:rStyle w:val="Hyperlink"/>
                  <w:noProof/>
                  <w:szCs w:val="22"/>
                  <w:lang w:val="en-US"/>
                </w:rPr>
                <w:t>Major Cyber Incidents Archives - EuRepoC: European Repository of Cyber Incidents</w:t>
              </w:r>
            </w:hyperlink>
            <w:r w:rsidR="00EE3DF9" w:rsidRPr="00F5382B">
              <w:rPr>
                <w:noProof/>
                <w:szCs w:val="22"/>
                <w:lang w:val="en-IE"/>
              </w:rPr>
              <w:t> </w:t>
            </w:r>
          </w:p>
        </w:tc>
        <w:tc>
          <w:tcPr>
            <w:tcW w:w="689" w:type="pct"/>
            <w:hideMark/>
          </w:tcPr>
          <w:p w14:paraId="1AAED568"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Ukraine origin; heavy collateral damage in EU companies (e.g. manufacturing, shipping, health care, pharmaceuticals, global supply chain disruption, essential services disrupted in Ukraine) </w:t>
            </w:r>
          </w:p>
        </w:tc>
        <w:tc>
          <w:tcPr>
            <w:tcW w:w="1096" w:type="pct"/>
            <w:hideMark/>
          </w:tcPr>
          <w:p w14:paraId="403DA5E9"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Started as an attack against Ukraine on 27 June 2017, disguised as ransomware but in reality a wiper that irreversibly destroyed data. Spread globally within hours, bypassing borders and hitting multinational companies. </w:t>
            </w:r>
          </w:p>
          <w:p w14:paraId="1812BF27"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w:t>
            </w:r>
          </w:p>
        </w:tc>
        <w:tc>
          <w:tcPr>
            <w:tcW w:w="1951" w:type="pct"/>
            <w:hideMark/>
          </w:tcPr>
          <w:p w14:paraId="223BF70A"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Shipping giant Maersk effectively paralyzed: 76 port terminals across the world were disrupted, leaving cargo ships stranded. </w:t>
            </w:r>
          </w:p>
          <w:p w14:paraId="7180F320"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Essential goods like food, medicine, and energy shipments delayed, showing how a cyberattack in one region can cascade into global logistics. </w:t>
            </w:r>
          </w:p>
          <w:p w14:paraId="7AFC112D"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Merck, one of the world’s largest pharmaceutical companies, had its vaccine production disrupted. </w:t>
            </w:r>
          </w:p>
          <w:p w14:paraId="332BE39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Ripple effect on healthcare systems worldwide due to delayed medicine distribution. </w:t>
            </w:r>
          </w:p>
          <w:p w14:paraId="35C79FAE"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Banks, government offices, and the Kyiv metro system were disabled. </w:t>
            </w:r>
          </w:p>
          <w:p w14:paraId="46459F0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Citizens couldn’t withdraw money, pay bills, or use essential transport. </w:t>
            </w:r>
          </w:p>
          <w:p w14:paraId="77F331C0"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Ukrainian society faced a nationwide paralysis, highlighting the fragility of digital infrastructure during geopolitical conflict. </w:t>
            </w:r>
          </w:p>
        </w:tc>
      </w:tr>
      <w:tr w:rsidR="00EE3DF9" w:rsidRPr="00F5382B" w14:paraId="00E15BAC" w14:textId="77777777" w:rsidTr="00E5147D">
        <w:trPr>
          <w:trHeight w:val="285"/>
        </w:trPr>
        <w:tc>
          <w:tcPr>
            <w:tcW w:w="252" w:type="pct"/>
            <w:hideMark/>
          </w:tcPr>
          <w:p w14:paraId="711FB5F9"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2 </w:t>
            </w:r>
          </w:p>
        </w:tc>
        <w:tc>
          <w:tcPr>
            <w:tcW w:w="949" w:type="pct"/>
            <w:hideMark/>
          </w:tcPr>
          <w:p w14:paraId="68950B4A"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WannaCry</w:t>
            </w:r>
            <w:r w:rsidRPr="00F5382B">
              <w:rPr>
                <w:noProof/>
                <w:szCs w:val="22"/>
                <w:lang w:val="en-IE"/>
              </w:rPr>
              <w:t xml:space="preserve"> (2017) </w:t>
            </w:r>
          </w:p>
          <w:p w14:paraId="38DEFD36" w14:textId="77777777" w:rsidR="00EE3DF9" w:rsidRPr="00F5382B" w:rsidRDefault="00047E0F">
            <w:pPr>
              <w:pStyle w:val="ListNumber"/>
              <w:numPr>
                <w:ilvl w:val="0"/>
                <w:numId w:val="0"/>
              </w:numPr>
              <w:spacing w:after="120"/>
              <w:jc w:val="left"/>
              <w:rPr>
                <w:noProof/>
                <w:szCs w:val="22"/>
                <w:lang w:val="en-IE"/>
              </w:rPr>
            </w:pPr>
            <w:hyperlink r:id="rId92" w:history="1">
              <w:r w:rsidR="00EE3DF9" w:rsidRPr="00F5382B">
                <w:rPr>
                  <w:rStyle w:val="Hyperlink"/>
                  <w:noProof/>
                  <w:szCs w:val="22"/>
                  <w:lang w:val="en-IE"/>
                </w:rPr>
                <w:t>https://www.wired.com/story/how-wannacry-spread-around-the-world/</w:t>
              </w:r>
            </w:hyperlink>
            <w:r w:rsidR="00EE3DF9" w:rsidRPr="00F5382B">
              <w:rPr>
                <w:noProof/>
                <w:szCs w:val="22"/>
                <w:lang w:val="en-IE"/>
              </w:rPr>
              <w:t xml:space="preserve"> </w:t>
            </w:r>
          </w:p>
        </w:tc>
        <w:tc>
          <w:tcPr>
            <w:tcW w:w="689" w:type="pct"/>
            <w:hideMark/>
          </w:tcPr>
          <w:p w14:paraId="5DA4C699"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Affected over 150 countries, hitting critical sectors including healthcare (notably the UK’s NHS), telecommunications, transportation, manufacturing, government services, and finance </w:t>
            </w:r>
          </w:p>
        </w:tc>
        <w:tc>
          <w:tcPr>
            <w:tcW w:w="1096" w:type="pct"/>
            <w:hideMark/>
          </w:tcPr>
          <w:p w14:paraId="1563CE73" w14:textId="77777777" w:rsidR="00EE3DF9" w:rsidRPr="00F5382B" w:rsidRDefault="00EE3DF9">
            <w:pPr>
              <w:pStyle w:val="ListNumber"/>
              <w:numPr>
                <w:ilvl w:val="0"/>
                <w:numId w:val="0"/>
              </w:numPr>
              <w:spacing w:after="120"/>
              <w:jc w:val="left"/>
              <w:rPr>
                <w:noProof/>
                <w:szCs w:val="22"/>
                <w:lang w:val="en-IE"/>
              </w:rPr>
            </w:pPr>
            <w:r w:rsidRPr="00F5382B">
              <w:rPr>
                <w:noProof/>
                <w:szCs w:val="22"/>
              </w:rPr>
              <w:t>Launched on 12 May 2017, spreading via the EternalBlue exploit (a leaked NSA tool). </w:t>
            </w:r>
            <w:r w:rsidRPr="00F5382B">
              <w:rPr>
                <w:noProof/>
                <w:szCs w:val="22"/>
                <w:lang w:val="en-IE"/>
              </w:rPr>
              <w:t> </w:t>
            </w:r>
          </w:p>
          <w:p w14:paraId="30F3D6B6"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A ransomware attack, poorly coded with little chance of recovering files even if ransom was paid. </w:t>
            </w:r>
          </w:p>
        </w:tc>
        <w:tc>
          <w:tcPr>
            <w:tcW w:w="1951" w:type="pct"/>
            <w:hideMark/>
          </w:tcPr>
          <w:p w14:paraId="1580E228"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Over 200,000 computers across 150 countries affected.  </w:t>
            </w:r>
          </w:p>
          <w:p w14:paraId="0C70CA70"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Global cost estimated at $4 billion.  </w:t>
            </w:r>
          </w:p>
          <w:p w14:paraId="5E12DD1D"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Healthcare:  </w:t>
            </w:r>
          </w:p>
          <w:p w14:paraId="14B984BE"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Over 80 NHS hospitals and 600 GP practices disrupted.  </w:t>
            </w:r>
          </w:p>
          <w:p w14:paraId="2C263362"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Emergency departments forced to turn patients away.  </w:t>
            </w:r>
          </w:p>
          <w:p w14:paraId="508DFF95"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Operations and cancer treatments cancelled.  </w:t>
            </w:r>
          </w:p>
          <w:p w14:paraId="7292CDD1"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 Lives were put at risk — one of the clearest examples of a cyberattack impacting human safety directly.  </w:t>
            </w:r>
          </w:p>
          <w:p w14:paraId="04EED134"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Global Disruption Across Industries: Telecom (Spain’s Telefónica), logistics (FedEx), railways (Germany’s Deutsche Bahn), and manufacturing plants all impacted.  </w:t>
            </w:r>
          </w:p>
          <w:p w14:paraId="58DC582F"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Employees sent home as systems locked up, productivity ground to a halt.  </w:t>
            </w:r>
          </w:p>
          <w:p w14:paraId="182FE7EE"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Takeaway: Showed how ransomware can directly endanger human lives by crippling hospitals and essential services.  </w:t>
            </w:r>
          </w:p>
        </w:tc>
      </w:tr>
      <w:tr w:rsidR="00EE3DF9" w:rsidRPr="00F5382B" w14:paraId="551E8FDF" w14:textId="77777777" w:rsidTr="00E5147D">
        <w:trPr>
          <w:trHeight w:val="285"/>
        </w:trPr>
        <w:tc>
          <w:tcPr>
            <w:tcW w:w="252" w:type="pct"/>
            <w:hideMark/>
          </w:tcPr>
          <w:p w14:paraId="60869087"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3 </w:t>
            </w:r>
          </w:p>
        </w:tc>
        <w:tc>
          <w:tcPr>
            <w:tcW w:w="949" w:type="pct"/>
            <w:hideMark/>
          </w:tcPr>
          <w:p w14:paraId="256369FB"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Colonial Pipeline Attack</w:t>
            </w:r>
            <w:r w:rsidRPr="00F5382B">
              <w:rPr>
                <w:noProof/>
                <w:szCs w:val="22"/>
                <w:lang w:val="en-IE"/>
              </w:rPr>
              <w:t xml:space="preserve"> (2021)</w:t>
            </w:r>
          </w:p>
          <w:p w14:paraId="71E58671" w14:textId="77777777" w:rsidR="00EE3DF9" w:rsidRPr="00F5382B" w:rsidRDefault="00047E0F">
            <w:pPr>
              <w:pStyle w:val="ListNumber"/>
              <w:numPr>
                <w:ilvl w:val="0"/>
                <w:numId w:val="0"/>
              </w:numPr>
              <w:spacing w:after="120"/>
              <w:jc w:val="left"/>
              <w:rPr>
                <w:noProof/>
                <w:szCs w:val="22"/>
                <w:lang w:val="en-IE"/>
              </w:rPr>
            </w:pPr>
            <w:hyperlink r:id="rId93" w:history="1">
              <w:r w:rsidR="00EE3DF9" w:rsidRPr="00F5382B">
                <w:rPr>
                  <w:rStyle w:val="Hyperlink"/>
                  <w:noProof/>
                  <w:szCs w:val="22"/>
                  <w:lang w:val="en-IE"/>
                </w:rPr>
                <w:t>https://www.energy.gov/ceser/colonial-pipeline-cyber-incident</w:t>
              </w:r>
            </w:hyperlink>
            <w:r w:rsidR="00EE3DF9" w:rsidRPr="00F5382B">
              <w:rPr>
                <w:noProof/>
                <w:szCs w:val="22"/>
                <w:lang w:val="en-IE"/>
              </w:rPr>
              <w:t xml:space="preserve"> </w:t>
            </w:r>
          </w:p>
        </w:tc>
        <w:tc>
          <w:tcPr>
            <w:tcW w:w="689" w:type="pct"/>
            <w:hideMark/>
          </w:tcPr>
          <w:p w14:paraId="0D63891A"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the U.S., disrupting the fuel sector, which in turn caused widespread gasoline shortages, panic buying, and impacts on transportation and critical supply chains </w:t>
            </w:r>
          </w:p>
        </w:tc>
        <w:tc>
          <w:tcPr>
            <w:tcW w:w="1096" w:type="pct"/>
            <w:hideMark/>
          </w:tcPr>
          <w:p w14:paraId="3E8F5B39"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On 7 May 2021, Colonial Pipeline — the largest refined oil pipeline in the U.S. — shut down operations after a ransomware attack.  </w:t>
            </w:r>
          </w:p>
          <w:p w14:paraId="1CAB7D10"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The pipeline supplies 45% of the East Coast’s fuel, moving 2.5 million barrels per day of gasoline, diesel, and jet fuel. </w:t>
            </w:r>
          </w:p>
        </w:tc>
        <w:tc>
          <w:tcPr>
            <w:tcW w:w="1951" w:type="pct"/>
            <w:hideMark/>
          </w:tcPr>
          <w:p w14:paraId="79E9A31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Ransom payment of $4.4 million (partially recovered by U.S. DOJ). Cleanup, recovery, and compliance costs added tens of millions.   </w:t>
            </w:r>
          </w:p>
          <w:p w14:paraId="132329EA"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Immediate Societal Impacts:</w:t>
            </w:r>
          </w:p>
          <w:p w14:paraId="470BA716"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Fuel Shortages Across the U.S. East Coast. Shutdown lasted nearly a week: more than 11,000 gas stations ran dry across states like Georgia, North Carolina, Virginia, and Washington, D.C. In some areas, 70% of gas stations reported shortages.  </w:t>
            </w:r>
          </w:p>
          <w:p w14:paraId="2515CFD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Panic Buying &amp; Public Anxiety: Fear of prolonged shortages led to panic buying and hoarding, worsening the crisis. Long queues at gas stations.  </w:t>
            </w:r>
          </w:p>
          <w:p w14:paraId="50D3EEB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Transportation &amp; Airline Disruptions:  Airlines, including American Airlines and Delta, were forced to reschedule or add refuelling stops. Trucking and logistics companies saw higher fuel prices, raising delivery costs and slowing operations.  </w:t>
            </w:r>
          </w:p>
          <w:p w14:paraId="6D7A6488"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Economic Impact: National average gasoline prices rose to their highest level since 2014 (~$3 per gallon).  </w:t>
            </w:r>
          </w:p>
          <w:p w14:paraId="0B6FA521"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Takeaway: Highlighted the economic fragility of energy infrastructure under cyberattack.  </w:t>
            </w:r>
          </w:p>
        </w:tc>
      </w:tr>
      <w:tr w:rsidR="00EE3DF9" w:rsidRPr="00F5382B" w14:paraId="5990FDE8" w14:textId="77777777" w:rsidTr="00E5147D">
        <w:trPr>
          <w:trHeight w:val="285"/>
        </w:trPr>
        <w:tc>
          <w:tcPr>
            <w:tcW w:w="252" w:type="pct"/>
            <w:hideMark/>
          </w:tcPr>
          <w:p w14:paraId="10823049"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4 </w:t>
            </w:r>
          </w:p>
        </w:tc>
        <w:tc>
          <w:tcPr>
            <w:tcW w:w="949" w:type="pct"/>
            <w:hideMark/>
          </w:tcPr>
          <w:p w14:paraId="6D8324ED"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Jaguar Land Rover</w:t>
            </w:r>
            <w:r w:rsidRPr="00F5382B">
              <w:rPr>
                <w:noProof/>
                <w:szCs w:val="22"/>
                <w:lang w:val="en-IE"/>
              </w:rPr>
              <w:t xml:space="preserve"> (2025) </w:t>
            </w:r>
          </w:p>
          <w:p w14:paraId="5B2C9214" w14:textId="77777777" w:rsidR="00EE3DF9" w:rsidRPr="00F5382B" w:rsidRDefault="00047E0F">
            <w:pPr>
              <w:pStyle w:val="ListNumber"/>
              <w:numPr>
                <w:ilvl w:val="0"/>
                <w:numId w:val="0"/>
              </w:numPr>
              <w:spacing w:after="120"/>
              <w:jc w:val="left"/>
              <w:rPr>
                <w:noProof/>
                <w:szCs w:val="22"/>
              </w:rPr>
            </w:pPr>
            <w:hyperlink r:id="rId94" w:history="1">
              <w:r w:rsidR="00EE3DF9" w:rsidRPr="00F5382B">
                <w:rPr>
                  <w:rStyle w:val="Hyperlink"/>
                  <w:noProof/>
                  <w:szCs w:val="22"/>
                </w:rPr>
                <w:t>theguardian.com/business/2025/sep/16/jaguar-land-rover-production-shutdown-cyber-attack</w:t>
              </w:r>
            </w:hyperlink>
            <w:r w:rsidR="00EE3DF9" w:rsidRPr="00F5382B">
              <w:rPr>
                <w:noProof/>
                <w:szCs w:val="22"/>
              </w:rPr>
              <w:t xml:space="preserve"> </w:t>
            </w:r>
          </w:p>
          <w:p w14:paraId="57ECFE61" w14:textId="77777777" w:rsidR="00EE3DF9" w:rsidRPr="00F5382B" w:rsidRDefault="00047E0F">
            <w:pPr>
              <w:pStyle w:val="ListNumber"/>
              <w:numPr>
                <w:ilvl w:val="0"/>
                <w:numId w:val="0"/>
              </w:numPr>
              <w:spacing w:after="120"/>
              <w:jc w:val="left"/>
              <w:rPr>
                <w:noProof/>
                <w:szCs w:val="22"/>
              </w:rPr>
            </w:pPr>
            <w:hyperlink r:id="rId95" w:history="1">
              <w:r w:rsidR="00EE3DF9" w:rsidRPr="00F5382B">
                <w:rPr>
                  <w:rStyle w:val="Hyperlink"/>
                  <w:noProof/>
                  <w:szCs w:val="22"/>
                  <w:lang w:val="en-IE"/>
                </w:rPr>
                <w:t>https://www.bbc.com/news/articles/cgl15ykerlro</w:t>
              </w:r>
            </w:hyperlink>
          </w:p>
          <w:p w14:paraId="39E7A568" w14:textId="77777777" w:rsidR="00EE3DF9" w:rsidRPr="00F5382B" w:rsidRDefault="00EE3DF9">
            <w:pPr>
              <w:pStyle w:val="ListNumber"/>
              <w:numPr>
                <w:ilvl w:val="0"/>
                <w:numId w:val="0"/>
              </w:numPr>
              <w:spacing w:after="120"/>
              <w:jc w:val="left"/>
              <w:rPr>
                <w:noProof/>
                <w:szCs w:val="22"/>
                <w:lang w:val="en-IE"/>
              </w:rPr>
            </w:pPr>
          </w:p>
        </w:tc>
        <w:tc>
          <w:tcPr>
            <w:tcW w:w="689" w:type="pct"/>
            <w:hideMark/>
          </w:tcPr>
          <w:p w14:paraId="06C15C47"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The UK, China, Slovakia, India, automotive manufacturing sector </w:t>
            </w:r>
          </w:p>
        </w:tc>
        <w:tc>
          <w:tcPr>
            <w:tcW w:w="1096" w:type="pct"/>
            <w:hideMark/>
          </w:tcPr>
          <w:p w14:paraId="42FDCCEF"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In September 2025, a major cyberattack forced Jaguar Land Rover to halt production across its factories in the UK, China, Slovakia, and India, crippling the automotive manufacturing sector, disrupting global supply chains, and threatening thousands of jobs in the UK economy and beyond. </w:t>
            </w:r>
          </w:p>
        </w:tc>
        <w:tc>
          <w:tcPr>
            <w:tcW w:w="1951" w:type="pct"/>
            <w:hideMark/>
          </w:tcPr>
          <w:p w14:paraId="1DABCF0F"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Jaguar Land Rover’s (JLR) cyber-attack led to a shut-down of its UK factories (Solihull, Halewood, Wolverhampton), halting production entirely and costing about £72 million in lost sales per day.  </w:t>
            </w:r>
          </w:p>
          <w:p w14:paraId="63332AF1"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Suppliers, especially small- and medium-sized firms in its supply chain (which supports over 100,000 UK jobs) are facing cash-flow crises, with some at risk of collapse without government support.  </w:t>
            </w:r>
          </w:p>
          <w:p w14:paraId="3D035E1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The wider UK economy is seeing a knock-on effect, as vehicle registrations are delayed, dealerships can’t operate normally, and output lags during a key registration period.   </w:t>
            </w:r>
          </w:p>
          <w:p w14:paraId="453E03A1" w14:textId="77777777" w:rsidR="00EE3DF9" w:rsidRPr="00F5382B" w:rsidRDefault="00EE3DF9">
            <w:pPr>
              <w:pStyle w:val="ListNumber"/>
              <w:numPr>
                <w:ilvl w:val="0"/>
                <w:numId w:val="0"/>
              </w:numPr>
              <w:spacing w:after="120"/>
              <w:rPr>
                <w:noProof/>
                <w:szCs w:val="22"/>
                <w:lang w:val="en-IE"/>
              </w:rPr>
            </w:pPr>
            <w:r w:rsidRPr="00F5382B">
              <w:rPr>
                <w:noProof/>
                <w:szCs w:val="22"/>
                <w:lang w:val="en-IE"/>
              </w:rPr>
              <w:t>The UK government will underwrite a £1.5bn loan guarantee to Jaguar Land Rover (JLR) to protect jobs and support the supply chain. It is believed to be the first time that a company has received government help as a result of a cyber-attack.</w:t>
            </w:r>
          </w:p>
          <w:p w14:paraId="771E1ED0"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If the shutdown extends through to November, JLR could lose over £3.5 billion in revenue while suppliers’ losses and job risks mount even higher.  </w:t>
            </w:r>
          </w:p>
        </w:tc>
      </w:tr>
      <w:tr w:rsidR="00EE3DF9" w:rsidRPr="00F5382B" w14:paraId="30C34755" w14:textId="77777777" w:rsidTr="00E5147D">
        <w:trPr>
          <w:trHeight w:val="300"/>
        </w:trPr>
        <w:tc>
          <w:tcPr>
            <w:tcW w:w="252" w:type="pct"/>
            <w:hideMark/>
          </w:tcPr>
          <w:p w14:paraId="2A69A04C"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5 </w:t>
            </w:r>
          </w:p>
        </w:tc>
        <w:tc>
          <w:tcPr>
            <w:tcW w:w="949" w:type="pct"/>
            <w:hideMark/>
          </w:tcPr>
          <w:p w14:paraId="3137567B"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SolarWinds / “Sunburst”</w:t>
            </w:r>
            <w:r w:rsidRPr="00F5382B">
              <w:rPr>
                <w:noProof/>
                <w:szCs w:val="22"/>
                <w:lang w:val="en-IE"/>
              </w:rPr>
              <w:t xml:space="preserve"> (discovered late 2020) </w:t>
            </w:r>
          </w:p>
          <w:p w14:paraId="32FD827A" w14:textId="77777777" w:rsidR="00EE3DF9" w:rsidRPr="00F5382B" w:rsidRDefault="00047E0F">
            <w:pPr>
              <w:pStyle w:val="ListNumber"/>
              <w:numPr>
                <w:ilvl w:val="0"/>
                <w:numId w:val="0"/>
              </w:numPr>
              <w:spacing w:after="120"/>
              <w:jc w:val="left"/>
              <w:rPr>
                <w:noProof/>
                <w:szCs w:val="22"/>
                <w:lang w:val="en-IE"/>
              </w:rPr>
            </w:pPr>
            <w:hyperlink r:id="rId96" w:history="1">
              <w:r w:rsidR="00EE3DF9" w:rsidRPr="00F5382B">
                <w:rPr>
                  <w:rStyle w:val="Hyperlink"/>
                  <w:noProof/>
                  <w:szCs w:val="22"/>
                  <w:lang w:val="en-IE"/>
                </w:rPr>
                <w:t>https://cert.europa.eu/publications/security-advisories/2020-060/</w:t>
              </w:r>
            </w:hyperlink>
          </w:p>
          <w:p w14:paraId="42835B56" w14:textId="77777777" w:rsidR="00EE3DF9" w:rsidRPr="00F5382B" w:rsidRDefault="00047E0F">
            <w:pPr>
              <w:pStyle w:val="ListNumber"/>
              <w:numPr>
                <w:ilvl w:val="0"/>
                <w:numId w:val="0"/>
              </w:numPr>
              <w:spacing w:after="120"/>
              <w:jc w:val="left"/>
              <w:rPr>
                <w:noProof/>
                <w:szCs w:val="22"/>
                <w:lang w:val="en-IE"/>
              </w:rPr>
            </w:pPr>
            <w:hyperlink r:id="rId97" w:tgtFrame="_blank" w:history="1">
              <w:r w:rsidR="00EE3DF9" w:rsidRPr="00F5382B">
                <w:rPr>
                  <w:rStyle w:val="Hyperlink"/>
                  <w:noProof/>
                  <w:szCs w:val="22"/>
                  <w:lang w:val="en-US"/>
                </w:rPr>
                <w:t>Major Cyber Incidents Archives - EuRepoC: European Repository of Cyber Incidents</w:t>
              </w:r>
            </w:hyperlink>
            <w:r w:rsidR="00EE3DF9" w:rsidRPr="00F5382B">
              <w:rPr>
                <w:noProof/>
                <w:szCs w:val="22"/>
                <w:lang w:val="en-IE"/>
              </w:rPr>
              <w:t> </w:t>
            </w:r>
          </w:p>
          <w:p w14:paraId="4453C3FD"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w:t>
            </w:r>
            <w:hyperlink r:id="rId98" w:history="1">
              <w:r w:rsidRPr="00F5382B">
                <w:rPr>
                  <w:rStyle w:val="Hyperlink"/>
                  <w:noProof/>
                  <w:szCs w:val="22"/>
                  <w:lang w:val="en-IE"/>
                </w:rPr>
                <w:t>https://www.ironnet.com/hubfs/IronNet-2021-Cybersecurity-Impact-Report-June2021.pdf?hsLang=en&amp;submissionGuid=39c8446a-6789-41e5-8652-a7dd61b8af94.</w:t>
              </w:r>
            </w:hyperlink>
          </w:p>
        </w:tc>
        <w:tc>
          <w:tcPr>
            <w:tcW w:w="689" w:type="pct"/>
            <w:hideMark/>
          </w:tcPr>
          <w:p w14:paraId="5C92A144"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Global—including EU governmental &amp; private organizations using SolarWinds Orion software </w:t>
            </w:r>
          </w:p>
        </w:tc>
        <w:tc>
          <w:tcPr>
            <w:tcW w:w="1096" w:type="pct"/>
            <w:hideMark/>
          </w:tcPr>
          <w:p w14:paraId="00419E2D"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 xml:space="preserve">In December 2020, malicious activity that led to the compromise of the software of a major provider was exploited to access data of providers’ customers. </w:t>
            </w:r>
          </w:p>
          <w:p w14:paraId="705DCA1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According to CERT-EU, the attack was a very sophisticated supply chain attack</w:t>
            </w:r>
          </w:p>
        </w:tc>
        <w:tc>
          <w:tcPr>
            <w:tcW w:w="1951" w:type="pct"/>
            <w:hideMark/>
          </w:tcPr>
          <w:p w14:paraId="591F82FE" w14:textId="77777777" w:rsidR="00EE3DF9" w:rsidRPr="00F5382B" w:rsidRDefault="00EE3DF9">
            <w:pPr>
              <w:pStyle w:val="ListNumber"/>
              <w:numPr>
                <w:ilvl w:val="0"/>
                <w:numId w:val="0"/>
              </w:numPr>
              <w:spacing w:after="120"/>
              <w:rPr>
                <w:noProof/>
                <w:szCs w:val="22"/>
                <w:lang w:val="en-IE"/>
              </w:rPr>
            </w:pPr>
            <w:r w:rsidRPr="00F5382B">
              <w:rPr>
                <w:noProof/>
                <w:szCs w:val="22"/>
                <w:lang w:val="en-IE"/>
              </w:rPr>
              <w:t xml:space="preserve">85% of SolarWinds cyberattack victims said the attack had an impact ranging from ‘small’ to ‘significant’. </w:t>
            </w:r>
          </w:p>
          <w:p w14:paraId="28F12503" w14:textId="77777777" w:rsidR="00EE3DF9" w:rsidRPr="00F5382B" w:rsidRDefault="00EE3DF9">
            <w:pPr>
              <w:pStyle w:val="ListNumber"/>
              <w:numPr>
                <w:ilvl w:val="0"/>
                <w:numId w:val="0"/>
              </w:numPr>
              <w:spacing w:after="120"/>
              <w:rPr>
                <w:noProof/>
                <w:szCs w:val="22"/>
                <w:lang w:val="en-IE"/>
              </w:rPr>
            </w:pPr>
            <w:r w:rsidRPr="00F5382B">
              <w:rPr>
                <w:noProof/>
                <w:szCs w:val="22"/>
                <w:lang w:val="en-IE"/>
              </w:rPr>
              <w:t>Financial impact: On average globally, the attack cost companies 11% of their annual revenue. These financial costs include incident response and remediation, system upgrades, legal and regulatory fines, customer notification and support, operational disruption and downtime</w:t>
            </w:r>
          </w:p>
          <w:p w14:paraId="4625BCA8" w14:textId="77777777" w:rsidR="00EE3DF9" w:rsidRPr="00F5382B" w:rsidRDefault="00EE3DF9">
            <w:pPr>
              <w:pStyle w:val="ListNumber"/>
              <w:numPr>
                <w:ilvl w:val="0"/>
                <w:numId w:val="0"/>
              </w:numPr>
              <w:spacing w:after="120"/>
              <w:rPr>
                <w:noProof/>
                <w:szCs w:val="22"/>
                <w:lang w:val="en-IE"/>
              </w:rPr>
            </w:pPr>
            <w:r w:rsidRPr="00F5382B">
              <w:rPr>
                <w:noProof/>
                <w:szCs w:val="22"/>
                <w:lang w:val="en-IE"/>
              </w:rPr>
              <w:t>Indirect and long-term costs: reputational damage and loss of trust, loss of intellectual property and sensitive data, insurance premium increases, litigation and legal fees, or loss of competitive advantage.</w:t>
            </w:r>
          </w:p>
        </w:tc>
      </w:tr>
      <w:tr w:rsidR="00EE3DF9" w:rsidRPr="00F5382B" w14:paraId="7172FFB8" w14:textId="77777777" w:rsidTr="00E5147D">
        <w:trPr>
          <w:trHeight w:val="300"/>
        </w:trPr>
        <w:tc>
          <w:tcPr>
            <w:tcW w:w="252" w:type="pct"/>
            <w:hideMark/>
          </w:tcPr>
          <w:p w14:paraId="4E945A99"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6 </w:t>
            </w:r>
          </w:p>
        </w:tc>
        <w:tc>
          <w:tcPr>
            <w:tcW w:w="949" w:type="pct"/>
            <w:hideMark/>
          </w:tcPr>
          <w:p w14:paraId="2C648DCE"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Denmark Railway Transport Disruption</w:t>
            </w:r>
            <w:r w:rsidRPr="00F5382B">
              <w:rPr>
                <w:noProof/>
                <w:szCs w:val="22"/>
                <w:lang w:val="en-IE"/>
              </w:rPr>
              <w:t xml:space="preserve"> (November 2022) </w:t>
            </w:r>
          </w:p>
          <w:p w14:paraId="28A0D2BB" w14:textId="77777777" w:rsidR="00EE3DF9" w:rsidRPr="00F5382B" w:rsidRDefault="00047E0F">
            <w:pPr>
              <w:pStyle w:val="ListNumber"/>
              <w:numPr>
                <w:ilvl w:val="0"/>
                <w:numId w:val="0"/>
              </w:numPr>
              <w:spacing w:after="120"/>
              <w:jc w:val="left"/>
              <w:rPr>
                <w:noProof/>
                <w:szCs w:val="22"/>
                <w:lang w:val="en-IE"/>
              </w:rPr>
            </w:pPr>
            <w:hyperlink r:id="rId99" w:tgtFrame="_blank" w:history="1">
              <w:r w:rsidR="00EE3DF9" w:rsidRPr="00F5382B">
                <w:rPr>
                  <w:rStyle w:val="Hyperlink"/>
                  <w:noProof/>
                  <w:szCs w:val="22"/>
                  <w:lang w:val="en-US"/>
                </w:rPr>
                <w:t>Denmark's rail transport paralysed due to cyberattack | INCIBE-CERT | INCIBE</w:t>
              </w:r>
            </w:hyperlink>
            <w:r w:rsidR="00EE3DF9" w:rsidRPr="00F5382B">
              <w:rPr>
                <w:noProof/>
                <w:szCs w:val="22"/>
                <w:lang w:val="en-IE"/>
              </w:rPr>
              <w:t> </w:t>
            </w:r>
          </w:p>
        </w:tc>
        <w:tc>
          <w:tcPr>
            <w:tcW w:w="689" w:type="pct"/>
            <w:hideMark/>
          </w:tcPr>
          <w:p w14:paraId="3CC120EE"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Denmark / Danish rail sector </w:t>
            </w:r>
          </w:p>
        </w:tc>
        <w:tc>
          <w:tcPr>
            <w:tcW w:w="1096" w:type="pct"/>
            <w:hideMark/>
          </w:tcPr>
          <w:p w14:paraId="581931D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Attack on a subcontractor’s system used by Denmark’s railway operator (DSB) forced a shutdown of services (servers shut down).  </w:t>
            </w:r>
          </w:p>
        </w:tc>
        <w:tc>
          <w:tcPr>
            <w:tcW w:w="1951" w:type="pct"/>
            <w:hideMark/>
          </w:tcPr>
          <w:p w14:paraId="599AB83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Daily life &amp; mobility: Thousands of commuters, students, and workers were stranded, highlighting society’s reliance on rail transport. </w:t>
            </w:r>
          </w:p>
          <w:p w14:paraId="1F9AC48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Safety risk: Train drivers lost access to safety-critical data, making continued operation unsafe. </w:t>
            </w:r>
          </w:p>
          <w:p w14:paraId="0F72CDCF"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Public trust: The sudden halt of the national rail network eroded confidence in digital resilience of essential services. </w:t>
            </w:r>
          </w:p>
          <w:p w14:paraId="424E3259"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Vulnerability awareness: The incident exposed how attacks on third-party suppliers can paralyze critical infrastructure. </w:t>
            </w:r>
          </w:p>
          <w:p w14:paraId="4CEE6A5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Social strain: Frustration, missed obligations, and unequal impact on vulnerable groups deepened the societal disruption. </w:t>
            </w:r>
          </w:p>
        </w:tc>
      </w:tr>
      <w:tr w:rsidR="00EE3DF9" w:rsidRPr="00F5382B" w14:paraId="701AC155" w14:textId="77777777" w:rsidTr="00E5147D">
        <w:trPr>
          <w:trHeight w:val="300"/>
        </w:trPr>
        <w:tc>
          <w:tcPr>
            <w:tcW w:w="252" w:type="pct"/>
            <w:hideMark/>
          </w:tcPr>
          <w:p w14:paraId="63C92DCD"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7 </w:t>
            </w:r>
          </w:p>
        </w:tc>
        <w:tc>
          <w:tcPr>
            <w:tcW w:w="949" w:type="pct"/>
            <w:hideMark/>
          </w:tcPr>
          <w:p w14:paraId="37EF0A55"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Transport Sector Trends</w:t>
            </w:r>
            <w:r w:rsidRPr="00F5382B">
              <w:rPr>
                <w:noProof/>
                <w:szCs w:val="22"/>
                <w:lang w:val="en-IE"/>
              </w:rPr>
              <w:t xml:space="preserve"> (2021-2022) </w:t>
            </w:r>
          </w:p>
          <w:p w14:paraId="686C3831" w14:textId="77777777" w:rsidR="00EE3DF9" w:rsidRPr="00F5382B" w:rsidRDefault="00047E0F">
            <w:pPr>
              <w:pStyle w:val="ListNumber"/>
              <w:numPr>
                <w:ilvl w:val="0"/>
                <w:numId w:val="0"/>
              </w:numPr>
              <w:spacing w:after="120"/>
              <w:jc w:val="left"/>
              <w:rPr>
                <w:noProof/>
                <w:szCs w:val="22"/>
                <w:lang w:val="en-IE"/>
              </w:rPr>
            </w:pPr>
            <w:hyperlink r:id="rId100" w:tgtFrame="_blank" w:history="1">
              <w:r w:rsidR="00EE3DF9" w:rsidRPr="00F5382B">
                <w:rPr>
                  <w:rStyle w:val="Hyperlink"/>
                  <w:noProof/>
                  <w:szCs w:val="22"/>
                  <w:lang w:val="en-US"/>
                </w:rPr>
                <w:t>ENISA THREAT LANDSCAPE: transport sector</w:t>
              </w:r>
            </w:hyperlink>
            <w:r w:rsidR="00EE3DF9" w:rsidRPr="00F5382B">
              <w:rPr>
                <w:noProof/>
                <w:szCs w:val="22"/>
                <w:lang w:val="en-IE"/>
              </w:rPr>
              <w:t> </w:t>
            </w:r>
          </w:p>
        </w:tc>
        <w:tc>
          <w:tcPr>
            <w:tcW w:w="689" w:type="pct"/>
            <w:hideMark/>
          </w:tcPr>
          <w:p w14:paraId="1AB49D6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EU-wide transport sector (aviation, maritime, rail, road) </w:t>
            </w:r>
          </w:p>
        </w:tc>
        <w:tc>
          <w:tcPr>
            <w:tcW w:w="1096" w:type="pct"/>
            <w:hideMark/>
          </w:tcPr>
          <w:p w14:paraId="1E08081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ENISA reports that ransomware attacks in transport nearly doubled in 2022 from 2021; other threats include data breaches, malware, DoS/DDoS.  </w:t>
            </w:r>
          </w:p>
        </w:tc>
        <w:tc>
          <w:tcPr>
            <w:tcW w:w="1951" w:type="pct"/>
            <w:hideMark/>
          </w:tcPr>
          <w:p w14:paraId="352BE5C7"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Increased risk to movement of people/goods; potential disruptions in essential infrastructure; regulatory and insurance implications; growing need for OT/IT integration security. </w:t>
            </w:r>
          </w:p>
        </w:tc>
      </w:tr>
      <w:tr w:rsidR="00EE3DF9" w:rsidRPr="00F5382B" w14:paraId="5A1077A1" w14:textId="77777777" w:rsidTr="00E5147D">
        <w:trPr>
          <w:trHeight w:val="300"/>
        </w:trPr>
        <w:tc>
          <w:tcPr>
            <w:tcW w:w="252" w:type="pct"/>
            <w:hideMark/>
          </w:tcPr>
          <w:p w14:paraId="4D77C301"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8 </w:t>
            </w:r>
          </w:p>
        </w:tc>
        <w:tc>
          <w:tcPr>
            <w:tcW w:w="949" w:type="pct"/>
            <w:hideMark/>
          </w:tcPr>
          <w:p w14:paraId="0680D136"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Health Sector Trend</w:t>
            </w:r>
            <w:r w:rsidRPr="00F5382B">
              <w:rPr>
                <w:noProof/>
                <w:szCs w:val="22"/>
                <w:lang w:val="en-IE"/>
              </w:rPr>
              <w:t xml:space="preserve"> (2021-2023) </w:t>
            </w:r>
          </w:p>
          <w:p w14:paraId="16E6C1E9" w14:textId="77777777" w:rsidR="00EE3DF9" w:rsidRPr="00F5382B" w:rsidRDefault="00047E0F">
            <w:pPr>
              <w:pStyle w:val="ListNumber"/>
              <w:numPr>
                <w:ilvl w:val="0"/>
                <w:numId w:val="0"/>
              </w:numPr>
              <w:spacing w:after="120"/>
              <w:jc w:val="left"/>
              <w:rPr>
                <w:noProof/>
                <w:szCs w:val="22"/>
                <w:lang w:val="en-IE"/>
              </w:rPr>
            </w:pPr>
            <w:hyperlink r:id="rId101" w:tgtFrame="_blank" w:history="1">
              <w:r w:rsidR="00EE3DF9" w:rsidRPr="00F5382B">
                <w:rPr>
                  <w:rStyle w:val="Hyperlink"/>
                  <w:noProof/>
                  <w:szCs w:val="22"/>
                  <w:lang w:val="en-US"/>
                </w:rPr>
                <w:t>ENISA Threat LANDSCAPE: HEALTH SECTOR</w:t>
              </w:r>
            </w:hyperlink>
            <w:r w:rsidR="00EE3DF9" w:rsidRPr="00F5382B">
              <w:rPr>
                <w:noProof/>
                <w:szCs w:val="22"/>
                <w:lang w:val="en-IE"/>
              </w:rPr>
              <w:t> </w:t>
            </w:r>
          </w:p>
        </w:tc>
        <w:tc>
          <w:tcPr>
            <w:tcW w:w="689" w:type="pct"/>
            <w:hideMark/>
          </w:tcPr>
          <w:p w14:paraId="2DA9D173"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EU health, hospitals, health authorities </w:t>
            </w:r>
          </w:p>
        </w:tc>
        <w:tc>
          <w:tcPr>
            <w:tcW w:w="1096" w:type="pct"/>
            <w:hideMark/>
          </w:tcPr>
          <w:p w14:paraId="66D4FF64"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From reported incidents, ~ 215 publicly reported incidents over period; 54% of cybersecurity threats in health were ransomware; also many data breaches. </w:t>
            </w:r>
          </w:p>
        </w:tc>
        <w:tc>
          <w:tcPr>
            <w:tcW w:w="1951" w:type="pct"/>
            <w:hideMark/>
          </w:tcPr>
          <w:p w14:paraId="14569EA2"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Impacts on patient care; cancelled or delayed operations; exposed sensitive personal data; pressure on policy to improve resilience of health systems. </w:t>
            </w:r>
          </w:p>
        </w:tc>
      </w:tr>
      <w:tr w:rsidR="00EE3DF9" w:rsidRPr="00F5382B" w14:paraId="190D1362" w14:textId="77777777" w:rsidTr="00E5147D">
        <w:trPr>
          <w:trHeight w:val="300"/>
        </w:trPr>
        <w:tc>
          <w:tcPr>
            <w:tcW w:w="252" w:type="pct"/>
            <w:hideMark/>
          </w:tcPr>
          <w:p w14:paraId="44CA3FF8"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9 </w:t>
            </w:r>
          </w:p>
        </w:tc>
        <w:tc>
          <w:tcPr>
            <w:tcW w:w="949" w:type="pct"/>
            <w:hideMark/>
          </w:tcPr>
          <w:p w14:paraId="1E04D6D3"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Estonia GRU Attacks &amp; Sanctions</w:t>
            </w:r>
            <w:r w:rsidRPr="00F5382B">
              <w:rPr>
                <w:noProof/>
                <w:szCs w:val="22"/>
                <w:lang w:val="en-IE"/>
              </w:rPr>
              <w:t xml:space="preserve"> (2020-2025) </w:t>
            </w:r>
          </w:p>
          <w:p w14:paraId="3AB22C4D" w14:textId="77777777" w:rsidR="00EE3DF9" w:rsidRPr="00F5382B" w:rsidRDefault="00047E0F">
            <w:pPr>
              <w:pStyle w:val="ListNumber"/>
              <w:numPr>
                <w:ilvl w:val="0"/>
                <w:numId w:val="0"/>
              </w:numPr>
              <w:spacing w:after="120"/>
              <w:jc w:val="left"/>
              <w:rPr>
                <w:noProof/>
                <w:szCs w:val="22"/>
                <w:lang w:val="en-IE"/>
              </w:rPr>
            </w:pPr>
            <w:hyperlink r:id="rId102" w:tgtFrame="_blank" w:history="1">
              <w:r w:rsidR="00EE3DF9" w:rsidRPr="00F5382B">
                <w:rPr>
                  <w:rStyle w:val="Hyperlink"/>
                  <w:noProof/>
                  <w:szCs w:val="22"/>
                  <w:lang w:val="en-US"/>
                </w:rPr>
                <w:t>Cyber-attacks: three individuals added to EU sanctions list for malicious cyber activities against Estonia - Consilium</w:t>
              </w:r>
            </w:hyperlink>
            <w:r w:rsidR="00EE3DF9" w:rsidRPr="00F5382B">
              <w:rPr>
                <w:noProof/>
                <w:szCs w:val="22"/>
                <w:lang w:val="en-IE"/>
              </w:rPr>
              <w:t> </w:t>
            </w:r>
          </w:p>
        </w:tc>
        <w:tc>
          <w:tcPr>
            <w:tcW w:w="689" w:type="pct"/>
            <w:hideMark/>
          </w:tcPr>
          <w:p w14:paraId="605A6308"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Estonia &amp; EU </w:t>
            </w:r>
          </w:p>
        </w:tc>
        <w:tc>
          <w:tcPr>
            <w:tcW w:w="1096" w:type="pct"/>
            <w:hideMark/>
          </w:tcPr>
          <w:p w14:paraId="06961AAD"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Series of cyberattacks by Russian GRU element U29155, infiltrating various government ministries, stealing documents including health, business data; led to EU sanctions against individuals.  </w:t>
            </w:r>
          </w:p>
        </w:tc>
        <w:tc>
          <w:tcPr>
            <w:tcW w:w="1951" w:type="pct"/>
            <w:hideMark/>
          </w:tcPr>
          <w:p w14:paraId="478A207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Diplomatic consequences (sanctions), reinforcement of cyber norms and influence on policy (sanctions regime / cyber diplomacy toolbox); motivated other states to improve defensive posture. </w:t>
            </w:r>
          </w:p>
        </w:tc>
      </w:tr>
      <w:tr w:rsidR="00EE3DF9" w:rsidRPr="00F5382B" w14:paraId="53CCBA27" w14:textId="77777777" w:rsidTr="00E5147D">
        <w:trPr>
          <w:trHeight w:val="300"/>
        </w:trPr>
        <w:tc>
          <w:tcPr>
            <w:tcW w:w="252" w:type="pct"/>
            <w:hideMark/>
          </w:tcPr>
          <w:p w14:paraId="25AD6461"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10 </w:t>
            </w:r>
          </w:p>
        </w:tc>
        <w:tc>
          <w:tcPr>
            <w:tcW w:w="949" w:type="pct"/>
            <w:hideMark/>
          </w:tcPr>
          <w:p w14:paraId="07F0A58C"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Airports software provider (Collins Aerospace) attack</w:t>
            </w:r>
            <w:r w:rsidRPr="00F5382B">
              <w:rPr>
                <w:noProof/>
                <w:szCs w:val="22"/>
                <w:lang w:val="en-IE"/>
              </w:rPr>
              <w:t xml:space="preserve"> (Sept 2025) </w:t>
            </w:r>
          </w:p>
          <w:p w14:paraId="360BAA33" w14:textId="77777777" w:rsidR="00EE3DF9" w:rsidRPr="00F5382B" w:rsidRDefault="00047E0F">
            <w:pPr>
              <w:pStyle w:val="ListNumber"/>
              <w:numPr>
                <w:ilvl w:val="0"/>
                <w:numId w:val="0"/>
              </w:numPr>
              <w:spacing w:after="120"/>
              <w:jc w:val="left"/>
              <w:rPr>
                <w:noProof/>
                <w:szCs w:val="22"/>
                <w:lang w:val="en-IE"/>
              </w:rPr>
            </w:pPr>
            <w:hyperlink r:id="rId103" w:tgtFrame="_blank" w:history="1">
              <w:r w:rsidR="00EE3DF9" w:rsidRPr="00F5382B">
                <w:rPr>
                  <w:rStyle w:val="Hyperlink"/>
                  <w:noProof/>
                  <w:szCs w:val="22"/>
                  <w:lang w:val="en-US"/>
                </w:rPr>
                <w:t>Cyberattack disrupts European airports including Heathrow, Brussels | Reuters</w:t>
              </w:r>
            </w:hyperlink>
            <w:r w:rsidR="00EE3DF9" w:rsidRPr="00F5382B">
              <w:rPr>
                <w:noProof/>
                <w:szCs w:val="22"/>
                <w:lang w:val="en-IE"/>
              </w:rPr>
              <w:t> </w:t>
            </w:r>
          </w:p>
        </w:tc>
        <w:tc>
          <w:tcPr>
            <w:tcW w:w="689" w:type="pct"/>
            <w:hideMark/>
          </w:tcPr>
          <w:p w14:paraId="788D4529"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Multiple major European airports (Heathrow, Brussels, Berlin etc.) </w:t>
            </w:r>
          </w:p>
        </w:tc>
        <w:tc>
          <w:tcPr>
            <w:tcW w:w="1096" w:type="pct"/>
            <w:hideMark/>
          </w:tcPr>
          <w:p w14:paraId="5EA31F8B"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Attack/disruption affecting electronic check-in / baggage drop / boarding systems, due to cyber issue at a third party supplier. Forced manual procedures; flight delays / cancellations.  </w:t>
            </w:r>
          </w:p>
        </w:tc>
        <w:tc>
          <w:tcPr>
            <w:tcW w:w="1951" w:type="pct"/>
            <w:hideMark/>
          </w:tcPr>
          <w:p w14:paraId="32FDF5D5"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Travel &amp; mobility disruptions; passenger inconvenience; economic cost; demonstrates dependencies on software providers; need for supply chain resilience. </w:t>
            </w:r>
          </w:p>
        </w:tc>
      </w:tr>
      <w:tr w:rsidR="00EE3DF9" w:rsidRPr="00F5382B" w14:paraId="4D584795" w14:textId="77777777" w:rsidTr="00E5147D">
        <w:trPr>
          <w:trHeight w:val="300"/>
        </w:trPr>
        <w:tc>
          <w:tcPr>
            <w:tcW w:w="252" w:type="pct"/>
            <w:hideMark/>
          </w:tcPr>
          <w:p w14:paraId="700E58D6" w14:textId="77777777" w:rsidR="00EE3DF9" w:rsidRPr="00F5382B" w:rsidRDefault="00EE3DF9" w:rsidP="00E5147D">
            <w:pPr>
              <w:pStyle w:val="ListNumber"/>
              <w:numPr>
                <w:ilvl w:val="0"/>
                <w:numId w:val="0"/>
              </w:numPr>
              <w:spacing w:after="0"/>
              <w:ind w:left="360" w:hanging="360"/>
              <w:jc w:val="left"/>
              <w:rPr>
                <w:noProof/>
                <w:szCs w:val="22"/>
                <w:lang w:val="en-IE"/>
              </w:rPr>
            </w:pPr>
            <w:r w:rsidRPr="00F5382B">
              <w:rPr>
                <w:noProof/>
                <w:szCs w:val="22"/>
                <w:lang w:val="en-IE"/>
              </w:rPr>
              <w:t>11 </w:t>
            </w:r>
          </w:p>
        </w:tc>
        <w:tc>
          <w:tcPr>
            <w:tcW w:w="949" w:type="pct"/>
            <w:hideMark/>
          </w:tcPr>
          <w:p w14:paraId="7172EE71" w14:textId="77777777" w:rsidR="00EE3DF9" w:rsidRPr="00F5382B" w:rsidRDefault="00EE3DF9">
            <w:pPr>
              <w:pStyle w:val="ListNumber"/>
              <w:numPr>
                <w:ilvl w:val="0"/>
                <w:numId w:val="0"/>
              </w:numPr>
              <w:spacing w:after="120"/>
              <w:jc w:val="left"/>
              <w:rPr>
                <w:noProof/>
                <w:szCs w:val="22"/>
                <w:lang w:val="en-IE"/>
              </w:rPr>
            </w:pPr>
            <w:r w:rsidRPr="00F5382B">
              <w:rPr>
                <w:b/>
                <w:noProof/>
                <w:szCs w:val="22"/>
                <w:lang w:val="en-IE"/>
              </w:rPr>
              <w:t>ENISA threat landscape on transport &amp; OT</w:t>
            </w:r>
            <w:r w:rsidRPr="00F5382B">
              <w:rPr>
                <w:noProof/>
                <w:szCs w:val="22"/>
                <w:lang w:val="en-IE"/>
              </w:rPr>
              <w:t xml:space="preserve"> (2022) </w:t>
            </w:r>
          </w:p>
          <w:p w14:paraId="61326A0C" w14:textId="77777777" w:rsidR="00EE3DF9" w:rsidRPr="00F5382B" w:rsidRDefault="00047E0F">
            <w:pPr>
              <w:pStyle w:val="ListNumber"/>
              <w:numPr>
                <w:ilvl w:val="0"/>
                <w:numId w:val="0"/>
              </w:numPr>
              <w:spacing w:after="120"/>
              <w:jc w:val="left"/>
              <w:rPr>
                <w:noProof/>
                <w:szCs w:val="22"/>
                <w:lang w:val="en-IE"/>
              </w:rPr>
            </w:pPr>
            <w:hyperlink r:id="rId104" w:tgtFrame="_blank" w:history="1">
              <w:r w:rsidR="00EE3DF9" w:rsidRPr="00F5382B">
                <w:rPr>
                  <w:rStyle w:val="Hyperlink"/>
                  <w:noProof/>
                  <w:szCs w:val="22"/>
                  <w:lang w:val="en-US"/>
                </w:rPr>
                <w:t>ENISA THREAT LANDSCAPE: transport sector</w:t>
              </w:r>
            </w:hyperlink>
            <w:r w:rsidR="00EE3DF9" w:rsidRPr="00F5382B">
              <w:rPr>
                <w:noProof/>
                <w:szCs w:val="22"/>
                <w:lang w:val="en-IE"/>
              </w:rPr>
              <w:t> </w:t>
            </w:r>
          </w:p>
        </w:tc>
        <w:tc>
          <w:tcPr>
            <w:tcW w:w="689" w:type="pct"/>
            <w:hideMark/>
          </w:tcPr>
          <w:p w14:paraId="661B3815"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EU transport sector </w:t>
            </w:r>
          </w:p>
        </w:tc>
        <w:tc>
          <w:tcPr>
            <w:tcW w:w="1096" w:type="pct"/>
            <w:hideMark/>
          </w:tcPr>
          <w:p w14:paraId="3D4362C8"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ENISA warned that operational technology (OT) infrastructure &amp; industrial control systems are increasingly at risk, with more connected systems, more vulnerabilities. Ransomware increasing.  </w:t>
            </w:r>
          </w:p>
        </w:tc>
        <w:tc>
          <w:tcPr>
            <w:tcW w:w="1951" w:type="pct"/>
            <w:hideMark/>
          </w:tcPr>
          <w:p w14:paraId="5D3174BC" w14:textId="77777777" w:rsidR="00EE3DF9" w:rsidRPr="00F5382B" w:rsidRDefault="00EE3DF9">
            <w:pPr>
              <w:pStyle w:val="ListNumber"/>
              <w:numPr>
                <w:ilvl w:val="0"/>
                <w:numId w:val="0"/>
              </w:numPr>
              <w:spacing w:after="120"/>
              <w:jc w:val="left"/>
              <w:rPr>
                <w:noProof/>
                <w:szCs w:val="22"/>
                <w:lang w:val="en-IE"/>
              </w:rPr>
            </w:pPr>
            <w:r w:rsidRPr="00F5382B">
              <w:rPr>
                <w:noProof/>
                <w:szCs w:val="22"/>
                <w:lang w:val="en-IE"/>
              </w:rPr>
              <w:t>Potential for major disruption if safety-critical OT systems are directly attacked; underscores urgent need for OT security; drives regulatory / standards work. </w:t>
            </w:r>
          </w:p>
        </w:tc>
      </w:tr>
    </w:tbl>
    <w:p w14:paraId="4EBEFF90" w14:textId="77777777" w:rsidR="00EE3DF9" w:rsidRPr="00F5382B" w:rsidRDefault="00EE3DF9" w:rsidP="00EE3DF9">
      <w:pPr>
        <w:tabs>
          <w:tab w:val="left" w:pos="5461"/>
        </w:tabs>
        <w:rPr>
          <w:noProof/>
          <w:sz w:val="22"/>
          <w:szCs w:val="22"/>
        </w:rPr>
      </w:pPr>
    </w:p>
    <w:p w14:paraId="221A2603" w14:textId="77777777" w:rsidR="00F779F0" w:rsidRPr="00F5382B" w:rsidRDefault="00F779F0" w:rsidP="00EE3DF9">
      <w:pPr>
        <w:tabs>
          <w:tab w:val="left" w:pos="5461"/>
        </w:tabs>
        <w:rPr>
          <w:noProof/>
          <w:sz w:val="22"/>
          <w:szCs w:val="22"/>
        </w:rPr>
      </w:pPr>
    </w:p>
    <w:p w14:paraId="105F0863" w14:textId="3C88B630" w:rsidR="00EE3DF9" w:rsidRPr="00F5382B" w:rsidRDefault="00EE3DF9" w:rsidP="00EE3DF9">
      <w:pPr>
        <w:pStyle w:val="Heading5"/>
        <w:rPr>
          <w:noProof/>
        </w:rPr>
      </w:pPr>
      <w:bookmarkStart w:id="374" w:name="_Toc218767820"/>
      <w:r w:rsidRPr="00F5382B">
        <w:rPr>
          <w:noProof/>
        </w:rPr>
        <w:t>Table 2</w:t>
      </w:r>
      <w:r w:rsidR="00F779F0">
        <w:rPr>
          <w:noProof/>
        </w:rPr>
        <w:t>7</w:t>
      </w:r>
      <w:r w:rsidRPr="00F5382B">
        <w:rPr>
          <w:noProof/>
        </w:rPr>
        <w:t>: Examples of cyber incidents affecting SMEs</w:t>
      </w:r>
      <w:bookmarkEnd w:id="374"/>
      <w:r w:rsidRPr="00F5382B">
        <w:rPr>
          <w:noProof/>
        </w:rPr>
        <w:t xml:space="preserve">  </w:t>
      </w:r>
    </w:p>
    <w:tbl>
      <w:tblPr>
        <w:tblStyle w:val="CV11"/>
        <w:tblW w:w="0" w:type="auto"/>
        <w:tblLayout w:type="fixed"/>
        <w:tblLook w:val="04A0" w:firstRow="1" w:lastRow="0" w:firstColumn="1" w:lastColumn="0" w:noHBand="0" w:noVBand="1"/>
      </w:tblPr>
      <w:tblGrid>
        <w:gridCol w:w="1995"/>
        <w:gridCol w:w="1281"/>
        <w:gridCol w:w="1417"/>
        <w:gridCol w:w="1324"/>
        <w:gridCol w:w="2302"/>
        <w:gridCol w:w="4716"/>
        <w:gridCol w:w="960"/>
      </w:tblGrid>
      <w:tr w:rsidR="00EE3DF9" w:rsidRPr="00F5382B" w14:paraId="7D676F9A" w14:textId="77777777" w:rsidTr="00E5147D">
        <w:trPr>
          <w:trHeight w:val="300"/>
        </w:trPr>
        <w:tc>
          <w:tcPr>
            <w:tcW w:w="1995" w:type="dxa"/>
          </w:tcPr>
          <w:p w14:paraId="28D185F9" w14:textId="77777777" w:rsidR="00EE3DF9" w:rsidRPr="00F5382B" w:rsidRDefault="00EE3DF9">
            <w:pPr>
              <w:spacing w:after="120"/>
              <w:jc w:val="center"/>
              <w:rPr>
                <w:noProof/>
              </w:rPr>
            </w:pPr>
            <w:r w:rsidRPr="00F5382B">
              <w:rPr>
                <w:rFonts w:eastAsia="Aptos"/>
                <w:b/>
                <w:noProof/>
              </w:rPr>
              <w:t>Company</w:t>
            </w:r>
          </w:p>
        </w:tc>
        <w:tc>
          <w:tcPr>
            <w:tcW w:w="1281" w:type="dxa"/>
          </w:tcPr>
          <w:p w14:paraId="090D6A4A" w14:textId="77777777" w:rsidR="00EE3DF9" w:rsidRPr="00F5382B" w:rsidRDefault="00EE3DF9">
            <w:pPr>
              <w:spacing w:after="120"/>
              <w:jc w:val="center"/>
              <w:rPr>
                <w:noProof/>
              </w:rPr>
            </w:pPr>
            <w:r w:rsidRPr="00F5382B">
              <w:rPr>
                <w:rFonts w:eastAsia="Aptos"/>
                <w:b/>
                <w:noProof/>
              </w:rPr>
              <w:t>Country</w:t>
            </w:r>
          </w:p>
        </w:tc>
        <w:tc>
          <w:tcPr>
            <w:tcW w:w="1417" w:type="dxa"/>
          </w:tcPr>
          <w:p w14:paraId="62B361A3" w14:textId="77777777" w:rsidR="00EE3DF9" w:rsidRPr="00F5382B" w:rsidRDefault="00EE3DF9">
            <w:pPr>
              <w:spacing w:after="120"/>
              <w:jc w:val="center"/>
              <w:rPr>
                <w:noProof/>
              </w:rPr>
            </w:pPr>
            <w:r w:rsidRPr="00F5382B">
              <w:rPr>
                <w:rFonts w:eastAsia="Aptos"/>
                <w:b/>
                <w:noProof/>
              </w:rPr>
              <w:t>Year (incident / reporting)</w:t>
            </w:r>
          </w:p>
        </w:tc>
        <w:tc>
          <w:tcPr>
            <w:tcW w:w="1324" w:type="dxa"/>
          </w:tcPr>
          <w:p w14:paraId="16B5925E" w14:textId="77777777" w:rsidR="00EE3DF9" w:rsidRPr="00F5382B" w:rsidRDefault="00EE3DF9">
            <w:pPr>
              <w:spacing w:after="120"/>
              <w:jc w:val="center"/>
              <w:rPr>
                <w:noProof/>
              </w:rPr>
            </w:pPr>
            <w:r w:rsidRPr="00F5382B">
              <w:rPr>
                <w:rFonts w:eastAsia="Aptos"/>
                <w:b/>
                <w:noProof/>
              </w:rPr>
              <w:t>Incident type</w:t>
            </w:r>
          </w:p>
        </w:tc>
        <w:tc>
          <w:tcPr>
            <w:tcW w:w="2302" w:type="dxa"/>
          </w:tcPr>
          <w:p w14:paraId="4EBCE60E" w14:textId="77777777" w:rsidR="00EE3DF9" w:rsidRPr="00F5382B" w:rsidRDefault="00EE3DF9">
            <w:pPr>
              <w:spacing w:after="120"/>
              <w:jc w:val="center"/>
              <w:rPr>
                <w:noProof/>
              </w:rPr>
            </w:pPr>
            <w:r w:rsidRPr="00F5382B">
              <w:rPr>
                <w:rFonts w:eastAsia="Aptos"/>
                <w:b/>
                <w:noProof/>
              </w:rPr>
              <w:t>Reported impact</w:t>
            </w:r>
          </w:p>
        </w:tc>
        <w:tc>
          <w:tcPr>
            <w:tcW w:w="4716" w:type="dxa"/>
          </w:tcPr>
          <w:p w14:paraId="3FD292FC" w14:textId="77777777" w:rsidR="00EE3DF9" w:rsidRPr="00F5382B" w:rsidRDefault="00EE3DF9">
            <w:pPr>
              <w:spacing w:after="120"/>
              <w:jc w:val="center"/>
              <w:rPr>
                <w:noProof/>
              </w:rPr>
            </w:pPr>
            <w:r w:rsidRPr="00F5382B">
              <w:rPr>
                <w:rFonts w:eastAsia="Aptos"/>
                <w:b/>
                <w:noProof/>
              </w:rPr>
              <w:t>Direct quote (local source)</w:t>
            </w:r>
          </w:p>
        </w:tc>
        <w:tc>
          <w:tcPr>
            <w:tcW w:w="960" w:type="dxa"/>
          </w:tcPr>
          <w:p w14:paraId="0C5D969B" w14:textId="77777777" w:rsidR="00EE3DF9" w:rsidRPr="00F5382B" w:rsidRDefault="00EE3DF9">
            <w:pPr>
              <w:spacing w:after="120"/>
              <w:jc w:val="center"/>
              <w:rPr>
                <w:noProof/>
              </w:rPr>
            </w:pPr>
            <w:r w:rsidRPr="00F5382B">
              <w:rPr>
                <w:rFonts w:eastAsia="Aptos"/>
                <w:b/>
                <w:noProof/>
              </w:rPr>
              <w:t>Source</w:t>
            </w:r>
          </w:p>
        </w:tc>
      </w:tr>
      <w:tr w:rsidR="00EE3DF9" w:rsidRPr="00F5382B" w14:paraId="4DBD362E" w14:textId="77777777" w:rsidTr="00E5147D">
        <w:trPr>
          <w:trHeight w:val="300"/>
        </w:trPr>
        <w:tc>
          <w:tcPr>
            <w:tcW w:w="1995" w:type="dxa"/>
          </w:tcPr>
          <w:p w14:paraId="0431691A" w14:textId="77777777" w:rsidR="00EE3DF9" w:rsidRPr="00F5382B" w:rsidRDefault="00EE3DF9">
            <w:pPr>
              <w:spacing w:after="120"/>
              <w:jc w:val="left"/>
              <w:rPr>
                <w:noProof/>
              </w:rPr>
            </w:pPr>
            <w:r w:rsidRPr="00F5382B">
              <w:rPr>
                <w:rFonts w:eastAsia="Aptos"/>
                <w:b/>
                <w:noProof/>
              </w:rPr>
              <w:t>Einhaus Group (Hamm)</w:t>
            </w:r>
          </w:p>
        </w:tc>
        <w:tc>
          <w:tcPr>
            <w:tcW w:w="1281" w:type="dxa"/>
          </w:tcPr>
          <w:p w14:paraId="7699AB30" w14:textId="77777777" w:rsidR="00EE3DF9" w:rsidRPr="00F5382B" w:rsidRDefault="00EE3DF9">
            <w:pPr>
              <w:spacing w:after="120"/>
              <w:rPr>
                <w:noProof/>
              </w:rPr>
            </w:pPr>
            <w:r w:rsidRPr="00F5382B">
              <w:rPr>
                <w:rFonts w:eastAsia="Aptos"/>
                <w:noProof/>
              </w:rPr>
              <w:t>Germany</w:t>
            </w:r>
          </w:p>
        </w:tc>
        <w:tc>
          <w:tcPr>
            <w:tcW w:w="1417" w:type="dxa"/>
          </w:tcPr>
          <w:p w14:paraId="004938BE" w14:textId="77777777" w:rsidR="00EE3DF9" w:rsidRPr="00F5382B" w:rsidRDefault="00EE3DF9">
            <w:pPr>
              <w:spacing w:after="120"/>
              <w:rPr>
                <w:noProof/>
              </w:rPr>
            </w:pPr>
            <w:r w:rsidRPr="00F5382B">
              <w:rPr>
                <w:rFonts w:eastAsia="Aptos"/>
                <w:noProof/>
              </w:rPr>
              <w:t>2023 attack, reported 2025 (insolvency proceedings)</w:t>
            </w:r>
          </w:p>
        </w:tc>
        <w:tc>
          <w:tcPr>
            <w:tcW w:w="1324" w:type="dxa"/>
          </w:tcPr>
          <w:p w14:paraId="14127E82" w14:textId="77777777" w:rsidR="00EE3DF9" w:rsidRPr="00F5382B" w:rsidRDefault="00EE3DF9">
            <w:pPr>
              <w:spacing w:after="120"/>
              <w:rPr>
                <w:noProof/>
              </w:rPr>
            </w:pPr>
            <w:r w:rsidRPr="00F5382B">
              <w:rPr>
                <w:rFonts w:eastAsia="Aptos"/>
                <w:noProof/>
              </w:rPr>
              <w:t>Royal ransomware attack → downtime + ransom</w:t>
            </w:r>
          </w:p>
        </w:tc>
        <w:tc>
          <w:tcPr>
            <w:tcW w:w="2302" w:type="dxa"/>
          </w:tcPr>
          <w:p w14:paraId="248BFE85" w14:textId="77777777" w:rsidR="00EE3DF9" w:rsidRPr="00F5382B" w:rsidRDefault="00EE3DF9">
            <w:pPr>
              <w:spacing w:after="120"/>
              <w:rPr>
                <w:noProof/>
              </w:rPr>
            </w:pPr>
            <w:r w:rsidRPr="00F5382B">
              <w:rPr>
                <w:rFonts w:eastAsia="Aptos"/>
                <w:noProof/>
              </w:rPr>
              <w:t xml:space="preserve">Paid ≈ EUR 200,000 ransom; </w:t>
            </w:r>
            <w:r w:rsidRPr="00F5382B">
              <w:rPr>
                <w:rFonts w:eastAsia="Aptos"/>
                <w:b/>
                <w:noProof/>
              </w:rPr>
              <w:t>total losses in mid seven-figure range</w:t>
            </w:r>
            <w:r w:rsidRPr="00F5382B">
              <w:rPr>
                <w:rFonts w:eastAsia="Aptos"/>
                <w:noProof/>
              </w:rPr>
              <w:t>; insolvency for subsidiaries</w:t>
            </w:r>
          </w:p>
        </w:tc>
        <w:tc>
          <w:tcPr>
            <w:tcW w:w="4716" w:type="dxa"/>
          </w:tcPr>
          <w:p w14:paraId="29B00C7D" w14:textId="77777777" w:rsidR="00EE3DF9" w:rsidRPr="00F5382B" w:rsidRDefault="00EE3DF9">
            <w:pPr>
              <w:spacing w:after="120"/>
              <w:rPr>
                <w:noProof/>
              </w:rPr>
            </w:pPr>
            <w:r w:rsidRPr="00F5382B">
              <w:rPr>
                <w:rFonts w:eastAsia="Aptos"/>
                <w:i/>
                <w:noProof/>
                <w:lang w:val="de-DE"/>
              </w:rPr>
              <w:t>“Einhaus spricht von einem Schaden im mittleren siebenstelligen Bereich.”</w:t>
            </w:r>
            <w:r w:rsidRPr="00F5382B">
              <w:rPr>
                <w:rFonts w:eastAsia="Aptos"/>
                <w:noProof/>
                <w:lang w:val="de-DE"/>
              </w:rPr>
              <w:t xml:space="preserve"> </w:t>
            </w:r>
            <w:r w:rsidRPr="00F5382B">
              <w:rPr>
                <w:rFonts w:eastAsia="Aptos"/>
                <w:noProof/>
              </w:rPr>
              <w:t>(WA.de, 31 Jul 2025) → “Einhaus speaks of a loss in the mid seven-figure range.”</w:t>
            </w:r>
          </w:p>
        </w:tc>
        <w:tc>
          <w:tcPr>
            <w:tcW w:w="960" w:type="dxa"/>
          </w:tcPr>
          <w:p w14:paraId="61DBF119" w14:textId="77777777" w:rsidR="00EE3DF9" w:rsidRPr="00F5382B" w:rsidRDefault="00047E0F">
            <w:pPr>
              <w:spacing w:after="120"/>
              <w:rPr>
                <w:noProof/>
              </w:rPr>
            </w:pPr>
            <w:hyperlink r:id="rId105">
              <w:r w:rsidR="00EE3DF9" w:rsidRPr="00F5382B">
                <w:rPr>
                  <w:rStyle w:val="Hyperlink"/>
                  <w:rFonts w:eastAsia="Aptos"/>
                  <w:noProof/>
                  <w:color w:val="467886"/>
                </w:rPr>
                <w:t>WA.de article</w:t>
              </w:r>
            </w:hyperlink>
          </w:p>
        </w:tc>
      </w:tr>
      <w:tr w:rsidR="00EE3DF9" w:rsidRPr="00F5382B" w14:paraId="64960DC9" w14:textId="77777777" w:rsidTr="00E5147D">
        <w:trPr>
          <w:trHeight w:val="300"/>
        </w:trPr>
        <w:tc>
          <w:tcPr>
            <w:tcW w:w="1995" w:type="dxa"/>
          </w:tcPr>
          <w:p w14:paraId="6ED46457" w14:textId="77777777" w:rsidR="00EE3DF9" w:rsidRPr="00F5382B" w:rsidRDefault="00EE3DF9">
            <w:pPr>
              <w:spacing w:after="120"/>
              <w:jc w:val="left"/>
              <w:rPr>
                <w:noProof/>
              </w:rPr>
            </w:pPr>
            <w:r w:rsidRPr="00F5382B">
              <w:rPr>
                <w:rFonts w:eastAsia="Aptos"/>
                <w:b/>
                <w:noProof/>
              </w:rPr>
              <w:t>Fasana (Stotzheim, paper-napkin manufacturer, ≈240 employees)</w:t>
            </w:r>
          </w:p>
        </w:tc>
        <w:tc>
          <w:tcPr>
            <w:tcW w:w="1281" w:type="dxa"/>
          </w:tcPr>
          <w:p w14:paraId="651A5171" w14:textId="77777777" w:rsidR="00EE3DF9" w:rsidRPr="00F5382B" w:rsidRDefault="00EE3DF9">
            <w:pPr>
              <w:spacing w:after="120"/>
              <w:rPr>
                <w:noProof/>
              </w:rPr>
            </w:pPr>
            <w:r w:rsidRPr="00F5382B">
              <w:rPr>
                <w:rFonts w:eastAsia="Aptos"/>
                <w:noProof/>
              </w:rPr>
              <w:t>Germany</w:t>
            </w:r>
          </w:p>
        </w:tc>
        <w:tc>
          <w:tcPr>
            <w:tcW w:w="1417" w:type="dxa"/>
          </w:tcPr>
          <w:p w14:paraId="3DB3555C" w14:textId="77777777" w:rsidR="00EE3DF9" w:rsidRPr="00F5382B" w:rsidRDefault="00EE3DF9">
            <w:pPr>
              <w:spacing w:after="120"/>
              <w:rPr>
                <w:noProof/>
              </w:rPr>
            </w:pPr>
            <w:r w:rsidRPr="00F5382B">
              <w:rPr>
                <w:rFonts w:eastAsia="Aptos"/>
                <w:noProof/>
              </w:rPr>
              <w:t>May 2025</w:t>
            </w:r>
          </w:p>
        </w:tc>
        <w:tc>
          <w:tcPr>
            <w:tcW w:w="1324" w:type="dxa"/>
          </w:tcPr>
          <w:p w14:paraId="23DE872F" w14:textId="77777777" w:rsidR="00EE3DF9" w:rsidRPr="00F5382B" w:rsidRDefault="00EE3DF9">
            <w:pPr>
              <w:spacing w:after="120"/>
              <w:rPr>
                <w:noProof/>
              </w:rPr>
            </w:pPr>
            <w:r w:rsidRPr="00F5382B">
              <w:rPr>
                <w:rFonts w:eastAsia="Aptos"/>
                <w:noProof/>
              </w:rPr>
              <w:t>Ransomware attack → production halted; ransom notes printed</w:t>
            </w:r>
          </w:p>
        </w:tc>
        <w:tc>
          <w:tcPr>
            <w:tcW w:w="2302" w:type="dxa"/>
          </w:tcPr>
          <w:p w14:paraId="2AF4EAF8" w14:textId="77777777" w:rsidR="00EE3DF9" w:rsidRPr="00F5382B" w:rsidRDefault="00EE3DF9">
            <w:pPr>
              <w:spacing w:after="120"/>
              <w:rPr>
                <w:noProof/>
              </w:rPr>
            </w:pPr>
            <w:r w:rsidRPr="00F5382B">
              <w:rPr>
                <w:rFonts w:eastAsia="Aptos"/>
                <w:b/>
                <w:noProof/>
              </w:rPr>
              <w:t>EUR 250,000 lost orders in one day</w:t>
            </w:r>
            <w:r w:rsidRPr="00F5382B">
              <w:rPr>
                <w:rFonts w:eastAsia="Aptos"/>
                <w:noProof/>
              </w:rPr>
              <w:t>; ≈</w:t>
            </w:r>
            <w:r w:rsidRPr="00F5382B">
              <w:rPr>
                <w:rFonts w:eastAsia="Aptos"/>
                <w:b/>
                <w:noProof/>
              </w:rPr>
              <w:t>EUR 2 million losses in two weeks</w:t>
            </w:r>
            <w:r w:rsidRPr="00F5382B">
              <w:rPr>
                <w:rFonts w:eastAsia="Aptos"/>
                <w:noProof/>
              </w:rPr>
              <w:t>; company filed insolvency</w:t>
            </w:r>
          </w:p>
        </w:tc>
        <w:tc>
          <w:tcPr>
            <w:tcW w:w="4716" w:type="dxa"/>
          </w:tcPr>
          <w:p w14:paraId="10E6FE38" w14:textId="77777777" w:rsidR="00EE3DF9" w:rsidRPr="00F5382B" w:rsidRDefault="00EE3DF9">
            <w:pPr>
              <w:spacing w:after="120"/>
              <w:rPr>
                <w:noProof/>
              </w:rPr>
            </w:pPr>
            <w:r w:rsidRPr="00F5382B">
              <w:rPr>
                <w:rFonts w:eastAsia="Aptos"/>
                <w:i/>
                <w:noProof/>
                <w:lang w:val="de-DE"/>
              </w:rPr>
              <w:t>“Allein am 20. Mai habe man Aufträge im Wert von mehr als 250.000 Euro nicht ausführen können…”</w:t>
            </w:r>
            <w:r w:rsidRPr="00F5382B">
              <w:rPr>
                <w:rFonts w:eastAsia="Aptos"/>
                <w:noProof/>
                <w:lang w:val="de-DE"/>
              </w:rPr>
              <w:t xml:space="preserve"> </w:t>
            </w:r>
            <w:r w:rsidRPr="00F5382B">
              <w:rPr>
                <w:rFonts w:eastAsia="Aptos"/>
                <w:noProof/>
              </w:rPr>
              <w:t>(Kölner Stadt-Anzeiger, 12 Jun 2025) → “On 20 May alone, orders worth more than EUR 250,000 could not be executed…”</w:t>
            </w:r>
          </w:p>
        </w:tc>
        <w:tc>
          <w:tcPr>
            <w:tcW w:w="960" w:type="dxa"/>
          </w:tcPr>
          <w:p w14:paraId="08B360D2" w14:textId="77777777" w:rsidR="00EE3DF9" w:rsidRPr="00F5382B" w:rsidRDefault="00047E0F">
            <w:pPr>
              <w:spacing w:after="120"/>
              <w:rPr>
                <w:noProof/>
              </w:rPr>
            </w:pPr>
            <w:hyperlink r:id="rId106">
              <w:r w:rsidR="00EE3DF9" w:rsidRPr="00F5382B">
                <w:rPr>
                  <w:rStyle w:val="Hyperlink"/>
                  <w:rFonts w:eastAsia="Aptos"/>
                  <w:noProof/>
                  <w:color w:val="467886"/>
                </w:rPr>
                <w:t>Kölner Stadt-Anzeiger article</w:t>
              </w:r>
            </w:hyperlink>
          </w:p>
        </w:tc>
      </w:tr>
    </w:tbl>
    <w:p w14:paraId="6B9BCC61" w14:textId="77777777" w:rsidR="00EE3DF9" w:rsidRPr="00F5382B" w:rsidRDefault="00EE3DF9" w:rsidP="00D52AD8">
      <w:pPr>
        <w:numPr>
          <w:ilvl w:val="0"/>
          <w:numId w:val="104"/>
        </w:numPr>
        <w:tabs>
          <w:tab w:val="left" w:pos="5461"/>
        </w:tabs>
        <w:spacing w:after="120" w:line="276" w:lineRule="auto"/>
        <w:ind w:left="425" w:hanging="357"/>
        <w:rPr>
          <w:rFonts w:eastAsia="Calibri"/>
          <w:noProof/>
        </w:rPr>
      </w:pPr>
      <w:r w:rsidRPr="00F5382B">
        <w:rPr>
          <w:rFonts w:eastAsia="Calibri"/>
          <w:b/>
          <w:bCs/>
          <w:noProof/>
        </w:rPr>
        <w:t>Einhaus Group</w:t>
      </w:r>
      <w:r w:rsidRPr="00F5382B">
        <w:rPr>
          <w:rFonts w:eastAsia="Calibri"/>
          <w:noProof/>
        </w:rPr>
        <w:t xml:space="preserve"> was a significant player in the mobile phone insurance and repair industry, operating across Germany with a substantial workforce and revenue. The ransomware attack in 2023 led to severe operational disruptions, including the payment of a ransom and a drastic  reduction in staff, ultimately resulting in the company's collapse. Previous to the attack, the company had around 170 employees and 70 million of annual revenues </w:t>
      </w:r>
    </w:p>
    <w:p w14:paraId="52FCA8D0" w14:textId="77777777" w:rsidR="00EE3DF9" w:rsidRPr="00F5382B" w:rsidRDefault="00EE3DF9" w:rsidP="00D52AD8">
      <w:pPr>
        <w:numPr>
          <w:ilvl w:val="0"/>
          <w:numId w:val="104"/>
        </w:numPr>
        <w:tabs>
          <w:tab w:val="left" w:pos="5461"/>
        </w:tabs>
        <w:spacing w:after="120" w:line="276" w:lineRule="auto"/>
        <w:ind w:left="425" w:hanging="357"/>
        <w:rPr>
          <w:rFonts w:eastAsia="Calibri"/>
          <w:noProof/>
        </w:rPr>
      </w:pPr>
      <w:r w:rsidRPr="00F5382B">
        <w:rPr>
          <w:rFonts w:eastAsia="Calibri"/>
          <w:b/>
          <w:bCs/>
          <w:noProof/>
        </w:rPr>
        <w:t>Fasana GmbH</w:t>
      </w:r>
      <w:r w:rsidRPr="00F5382B">
        <w:rPr>
          <w:rFonts w:eastAsia="Calibri"/>
          <w:noProof/>
        </w:rPr>
        <w:t>, a mid-sized manufacturer of paper napkins, experienced a ransomware attack in 2025 that halted production and caused significant financial losses. Despite efforts to recover, the company filed for insolvency due to the extensive impact of the cyberattack. Previous to the attack, the company had around 240 employees and 54 million of annual revenues in 2023.</w:t>
      </w:r>
    </w:p>
    <w:p w14:paraId="41E50BE7" w14:textId="77777777" w:rsidR="00EE3DF9" w:rsidRPr="00F5382B" w:rsidRDefault="00EE3DF9" w:rsidP="00D52AD8">
      <w:pPr>
        <w:numPr>
          <w:ilvl w:val="0"/>
          <w:numId w:val="112"/>
        </w:numPr>
        <w:spacing w:after="120"/>
        <w:textAlignment w:val="baseline"/>
        <w:rPr>
          <w:rFonts w:eastAsia="Times New Roman"/>
          <w:b/>
          <w:smallCaps/>
          <w:noProof/>
          <w:lang w:eastAsia="en-IE"/>
        </w:rPr>
      </w:pPr>
      <w:bookmarkStart w:id="375" w:name="Part3"/>
      <w:r w:rsidRPr="00F5382B">
        <w:rPr>
          <w:rFonts w:eastAsia="Times New Roman"/>
          <w:b/>
          <w:smallCaps/>
          <w:noProof/>
          <w:lang w:eastAsia="en-IE"/>
        </w:rPr>
        <w:t>Cybersecurity problems chain reaction on real world problems: quantified evidence of magnitude</w:t>
      </w:r>
    </w:p>
    <w:p w14:paraId="0B067CAE" w14:textId="108074C3" w:rsidR="00EE3DF9" w:rsidRPr="00F5382B" w:rsidRDefault="00EE3DF9" w:rsidP="00EE3DF9">
      <w:pPr>
        <w:pStyle w:val="Heading5"/>
        <w:rPr>
          <w:noProof/>
        </w:rPr>
      </w:pPr>
      <w:bookmarkStart w:id="376" w:name="_Toc218767821"/>
      <w:bookmarkEnd w:id="375"/>
      <w:r w:rsidRPr="00F5382B">
        <w:rPr>
          <w:noProof/>
        </w:rPr>
        <w:t>Table 2</w:t>
      </w:r>
      <w:r w:rsidR="00F779F0">
        <w:rPr>
          <w:noProof/>
        </w:rPr>
        <w:t>8</w:t>
      </w:r>
      <w:r w:rsidRPr="00F5382B">
        <w:rPr>
          <w:noProof/>
        </w:rPr>
        <w:t>: Cybersecurity problems chain reaction</w:t>
      </w:r>
      <w:bookmarkEnd w:id="376"/>
    </w:p>
    <w:tbl>
      <w:tblPr>
        <w:tblStyle w:val="TableGrid"/>
        <w:tblW w:w="14142" w:type="dxa"/>
        <w:tblLayout w:type="fixed"/>
        <w:tblLook w:val="04A0" w:firstRow="1" w:lastRow="0" w:firstColumn="1" w:lastColumn="0" w:noHBand="0" w:noVBand="1"/>
      </w:tblPr>
      <w:tblGrid>
        <w:gridCol w:w="1809"/>
        <w:gridCol w:w="1843"/>
        <w:gridCol w:w="1583"/>
        <w:gridCol w:w="2046"/>
        <w:gridCol w:w="6861"/>
      </w:tblGrid>
      <w:tr w:rsidR="00EE3DF9" w:rsidRPr="00F5382B" w14:paraId="46238D65" w14:textId="77777777">
        <w:trPr>
          <w:trHeight w:val="300"/>
        </w:trPr>
        <w:tc>
          <w:tcPr>
            <w:tcW w:w="18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9D7EF" w14:textId="77777777" w:rsidR="00EE3DF9" w:rsidRPr="00F5382B" w:rsidRDefault="00EE3DF9">
            <w:pPr>
              <w:spacing w:after="120"/>
              <w:rPr>
                <w:noProof/>
                <w:sz w:val="22"/>
                <w:szCs w:val="22"/>
              </w:rPr>
            </w:pPr>
            <w:r w:rsidRPr="00F5382B">
              <w:rPr>
                <w:b/>
                <w:noProof/>
                <w:sz w:val="22"/>
                <w:szCs w:val="22"/>
              </w:rPr>
              <w:t>Cybersecurity problem</w:t>
            </w:r>
            <w:r w:rsidRPr="00F5382B">
              <w:rPr>
                <w:noProof/>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00DB28F" w14:textId="77777777" w:rsidR="00EE3DF9" w:rsidRPr="00F5382B" w:rsidRDefault="00EE3DF9">
            <w:pPr>
              <w:spacing w:after="120"/>
              <w:rPr>
                <w:noProof/>
                <w:sz w:val="22"/>
                <w:szCs w:val="22"/>
              </w:rPr>
            </w:pPr>
            <w:r w:rsidRPr="00F5382B">
              <w:rPr>
                <w:b/>
                <w:noProof/>
                <w:sz w:val="22"/>
                <w:szCs w:val="22"/>
              </w:rPr>
              <w:t>Evidence of the cybersecurity problem</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1887DD69" w14:textId="77777777" w:rsidR="00EE3DF9" w:rsidRPr="00F5382B" w:rsidRDefault="00EE3DF9">
            <w:pPr>
              <w:spacing w:after="120"/>
              <w:jc w:val="center"/>
              <w:rPr>
                <w:noProof/>
                <w:sz w:val="22"/>
                <w:szCs w:val="22"/>
              </w:rPr>
            </w:pPr>
            <w:r w:rsidRPr="00F5382B">
              <w:rPr>
                <w:b/>
                <w:noProof/>
                <w:sz w:val="22"/>
                <w:szCs w:val="22"/>
              </w:rPr>
              <w:t>Affected stakeholder(s)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5C73C" w14:textId="77777777" w:rsidR="00EE3DF9" w:rsidRPr="00F5382B" w:rsidRDefault="00EE3DF9">
            <w:pPr>
              <w:spacing w:after="120"/>
              <w:jc w:val="left"/>
              <w:rPr>
                <w:noProof/>
                <w:sz w:val="22"/>
                <w:szCs w:val="22"/>
              </w:rPr>
            </w:pPr>
            <w:r w:rsidRPr="00F5382B">
              <w:rPr>
                <w:b/>
                <w:noProof/>
                <w:sz w:val="22"/>
                <w:szCs w:val="22"/>
              </w:rPr>
              <w:t xml:space="preserve">Chain reaction on real world </w:t>
            </w:r>
            <w:r w:rsidRPr="00F5382B">
              <w:rPr>
                <w:b/>
                <w:bCs/>
                <w:noProof/>
                <w:sz w:val="22"/>
                <w:szCs w:val="22"/>
              </w:rPr>
              <w:t xml:space="preserve">(societal </w:t>
            </w:r>
            <w:r w:rsidRPr="00F5382B">
              <w:rPr>
                <w:b/>
                <w:noProof/>
                <w:sz w:val="22"/>
                <w:szCs w:val="22"/>
              </w:rPr>
              <w:t>problems</w:t>
            </w:r>
            <w:r w:rsidRPr="00F5382B">
              <w:rPr>
                <w:b/>
                <w:bCs/>
                <w:noProof/>
                <w:sz w:val="22"/>
                <w:szCs w:val="22"/>
              </w:rPr>
              <w:t>)</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90438" w14:textId="77777777" w:rsidR="00EE3DF9" w:rsidRPr="00F5382B" w:rsidRDefault="00EE3DF9">
            <w:pPr>
              <w:spacing w:after="120"/>
              <w:rPr>
                <w:noProof/>
                <w:sz w:val="22"/>
                <w:szCs w:val="22"/>
              </w:rPr>
            </w:pPr>
            <w:r w:rsidRPr="00F5382B">
              <w:rPr>
                <w:b/>
                <w:noProof/>
                <w:sz w:val="22"/>
                <w:szCs w:val="22"/>
              </w:rPr>
              <w:t>Evidence of magnitude on real world (illustrative examples)</w:t>
            </w:r>
          </w:p>
        </w:tc>
      </w:tr>
      <w:tr w:rsidR="00EE3DF9" w:rsidRPr="00F5382B" w14:paraId="7ABAE824" w14:textId="77777777">
        <w:trPr>
          <w:trHeight w:val="300"/>
        </w:trPr>
        <w:tc>
          <w:tcPr>
            <w:tcW w:w="1809" w:type="dxa"/>
            <w:vMerge w:val="restart"/>
            <w:tcBorders>
              <w:top w:val="single" w:sz="8" w:space="0" w:color="auto"/>
              <w:left w:val="single" w:sz="8" w:space="0" w:color="auto"/>
              <w:right w:val="single" w:sz="8" w:space="0" w:color="auto"/>
            </w:tcBorders>
            <w:tcMar>
              <w:left w:w="108" w:type="dxa"/>
              <w:right w:w="108" w:type="dxa"/>
            </w:tcMar>
          </w:tcPr>
          <w:p w14:paraId="5CF4263E" w14:textId="77777777" w:rsidR="00EE3DF9" w:rsidRPr="00F5382B" w:rsidRDefault="00EE3DF9">
            <w:pPr>
              <w:spacing w:after="120"/>
              <w:rPr>
                <w:noProof/>
                <w:sz w:val="22"/>
                <w:szCs w:val="22"/>
              </w:rPr>
            </w:pPr>
            <w:r w:rsidRPr="00F5382B">
              <w:rPr>
                <w:noProof/>
                <w:sz w:val="22"/>
                <w:szCs w:val="22"/>
              </w:rPr>
              <w:t xml:space="preserve">Fast-evolving cybersecurity threat: growing cybersecurity incidents </w:t>
            </w:r>
          </w:p>
          <w:p w14:paraId="1D6C0E77" w14:textId="77777777" w:rsidR="00EE3DF9" w:rsidRPr="00F5382B" w:rsidRDefault="00EE3DF9">
            <w:pPr>
              <w:spacing w:after="120"/>
              <w:rPr>
                <w:noProof/>
                <w:sz w:val="22"/>
                <w:szCs w:val="22"/>
              </w:rPr>
            </w:pPr>
            <w:r w:rsidRPr="00F5382B">
              <w:rPr>
                <w:noProof/>
                <w:sz w:val="22"/>
                <w:szCs w:val="22"/>
              </w:rPr>
              <w:t xml:space="preserve"> </w:t>
            </w:r>
          </w:p>
          <w:p w14:paraId="55739AF5" w14:textId="77777777" w:rsidR="00EE3DF9" w:rsidRPr="00F5382B" w:rsidRDefault="00EE3DF9">
            <w:pPr>
              <w:spacing w:after="120"/>
              <w:rPr>
                <w:noProof/>
                <w:sz w:val="22"/>
                <w:szCs w:val="22"/>
              </w:rPr>
            </w:pPr>
            <w:r w:rsidRPr="00F5382B">
              <w:rPr>
                <w:noProof/>
                <w:sz w:val="22"/>
                <w:szCs w:val="22"/>
              </w:rPr>
              <w:t xml:space="preserve"> </w:t>
            </w:r>
          </w:p>
          <w:p w14:paraId="4F0C9DE4" w14:textId="77777777" w:rsidR="00EE3DF9" w:rsidRPr="00F5382B" w:rsidRDefault="00EE3DF9">
            <w:pPr>
              <w:spacing w:after="120"/>
              <w:rPr>
                <w:noProof/>
                <w:sz w:val="22"/>
                <w:szCs w:val="22"/>
              </w:rPr>
            </w:pPr>
            <w:r w:rsidRPr="00F5382B">
              <w:rPr>
                <w:noProof/>
                <w:sz w:val="22"/>
                <w:szCs w:val="22"/>
              </w:rPr>
              <w:t xml:space="preserve"> </w:t>
            </w:r>
          </w:p>
          <w:p w14:paraId="32121B75" w14:textId="77777777" w:rsidR="00EE3DF9" w:rsidRPr="00F5382B" w:rsidRDefault="00EE3DF9">
            <w:pPr>
              <w:spacing w:after="120"/>
              <w:rPr>
                <w:noProof/>
                <w:sz w:val="22"/>
                <w:szCs w:val="22"/>
              </w:rPr>
            </w:pPr>
            <w:r w:rsidRPr="00F5382B">
              <w:rPr>
                <w:noProof/>
                <w:sz w:val="22"/>
                <w:szCs w:val="22"/>
              </w:rPr>
              <w:t xml:space="preserve"> </w:t>
            </w:r>
          </w:p>
        </w:tc>
        <w:tc>
          <w:tcPr>
            <w:tcW w:w="1843" w:type="dxa"/>
            <w:vMerge w:val="restart"/>
            <w:tcBorders>
              <w:top w:val="single" w:sz="8" w:space="0" w:color="auto"/>
              <w:left w:val="single" w:sz="8" w:space="0" w:color="auto"/>
              <w:right w:val="single" w:sz="8" w:space="0" w:color="auto"/>
            </w:tcBorders>
            <w:tcMar>
              <w:left w:w="108" w:type="dxa"/>
              <w:right w:w="108" w:type="dxa"/>
            </w:tcMar>
          </w:tcPr>
          <w:p w14:paraId="7BB412FE" w14:textId="77777777" w:rsidR="00EE3DF9" w:rsidRPr="00F5382B" w:rsidRDefault="00EE3DF9">
            <w:pPr>
              <w:spacing w:after="120"/>
              <w:rPr>
                <w:noProof/>
                <w:sz w:val="22"/>
                <w:szCs w:val="22"/>
              </w:rPr>
            </w:pPr>
            <w:r w:rsidRPr="00F5382B">
              <w:rPr>
                <w:noProof/>
                <w:sz w:val="22"/>
                <w:szCs w:val="22"/>
              </w:rPr>
              <w:t>July 2023-June 2024: 11,079 incidents, including 322 incidents specifically targeting two or more Member States</w:t>
            </w:r>
          </w:p>
          <w:p w14:paraId="4649A304" w14:textId="77777777" w:rsidR="00EE3DF9" w:rsidRPr="00F5382B" w:rsidRDefault="00EE3DF9">
            <w:pPr>
              <w:spacing w:after="120"/>
              <w:rPr>
                <w:noProof/>
                <w:sz w:val="22"/>
                <w:szCs w:val="22"/>
              </w:rPr>
            </w:pPr>
            <w:r w:rsidRPr="00F5382B">
              <w:rPr>
                <w:noProof/>
                <w:sz w:val="22"/>
                <w:szCs w:val="22"/>
              </w:rPr>
              <w:t xml:space="preserve">Steep rise compared to July 2022-June 2023: 2,580 incidents, with an additional 220 incidents specifically targeting two or more Member States </w:t>
            </w:r>
          </w:p>
        </w:tc>
        <w:tc>
          <w:tcPr>
            <w:tcW w:w="1583"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1FFBD54" w14:textId="77777777" w:rsidR="00EE3DF9" w:rsidRPr="00F5382B" w:rsidRDefault="00EE3DF9">
            <w:pPr>
              <w:spacing w:after="120"/>
              <w:jc w:val="center"/>
              <w:rPr>
                <w:noProof/>
                <w:sz w:val="22"/>
                <w:szCs w:val="22"/>
              </w:rPr>
            </w:pPr>
            <w:r w:rsidRPr="00F5382B">
              <w:rPr>
                <w:noProof/>
                <w:sz w:val="22"/>
                <w:szCs w:val="22"/>
              </w:rPr>
              <w:t>Private and public entities, including</w:t>
            </w:r>
          </w:p>
          <w:p w14:paraId="1B0EF012" w14:textId="77777777" w:rsidR="00EE3DF9" w:rsidRPr="00F5382B" w:rsidRDefault="00EE3DF9">
            <w:pPr>
              <w:spacing w:after="120"/>
              <w:jc w:val="center"/>
              <w:rPr>
                <w:noProof/>
                <w:sz w:val="22"/>
                <w:szCs w:val="22"/>
              </w:rPr>
            </w:pPr>
            <w:r w:rsidRPr="00F5382B">
              <w:rPr>
                <w:noProof/>
                <w:sz w:val="22"/>
                <w:szCs w:val="22"/>
              </w:rPr>
              <w:t>public authorities</w:t>
            </w:r>
          </w:p>
          <w:p w14:paraId="271CB0FE" w14:textId="77777777" w:rsidR="00EE3DF9" w:rsidRPr="00F5382B" w:rsidRDefault="00EE3DF9">
            <w:pPr>
              <w:spacing w:after="120"/>
              <w:jc w:val="center"/>
              <w:rPr>
                <w:noProof/>
                <w:sz w:val="22"/>
                <w:szCs w:val="22"/>
              </w:rPr>
            </w:pP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12BEBA92" w14:textId="77777777" w:rsidR="00EE3DF9" w:rsidRPr="00F5382B" w:rsidRDefault="00EE3DF9">
            <w:pPr>
              <w:spacing w:after="120"/>
              <w:jc w:val="left"/>
              <w:rPr>
                <w:noProof/>
                <w:sz w:val="22"/>
                <w:szCs w:val="22"/>
              </w:rPr>
            </w:pPr>
            <w:r w:rsidRPr="00F5382B">
              <w:rPr>
                <w:noProof/>
                <w:sz w:val="22"/>
                <w:szCs w:val="22"/>
              </w:rPr>
              <w:t xml:space="preserve">Need to recover from the costs of incidents </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3A0832A7" w14:textId="77777777" w:rsidR="00EE3DF9" w:rsidRPr="00F5382B" w:rsidRDefault="00EE3DF9">
            <w:pPr>
              <w:spacing w:after="120"/>
              <w:rPr>
                <w:noProof/>
                <w:sz w:val="22"/>
                <w:szCs w:val="22"/>
              </w:rPr>
            </w:pPr>
            <w:r w:rsidRPr="00F5382B">
              <w:rPr>
                <w:b/>
                <w:bCs/>
                <w:noProof/>
                <w:sz w:val="22"/>
                <w:szCs w:val="22"/>
                <w:u w:val="single"/>
              </w:rPr>
              <w:t>Direct costs</w:t>
            </w:r>
          </w:p>
          <w:p w14:paraId="678C12AC" w14:textId="77777777" w:rsidR="00EE3DF9" w:rsidRPr="00F5382B" w:rsidRDefault="00EE3DF9">
            <w:pPr>
              <w:spacing w:after="120"/>
              <w:rPr>
                <w:noProof/>
                <w:sz w:val="22"/>
                <w:szCs w:val="22"/>
              </w:rPr>
            </w:pPr>
            <w:r w:rsidRPr="00F5382B">
              <w:rPr>
                <w:noProof/>
                <w:sz w:val="22"/>
                <w:szCs w:val="22"/>
              </w:rPr>
              <w:t xml:space="preserve">Total costs of cyber incidents are difficult to estimate, despite proliferating (non-scholarly) reports. Scholarly analysis of those reports estimates the range from USD 172 billion in 2017 to USD 8.0 trillion in 2021 </w:t>
            </w:r>
            <w:r w:rsidRPr="00F5382B">
              <w:rPr>
                <w:rStyle w:val="FootnoteReference"/>
                <w:noProof/>
                <w:sz w:val="22"/>
                <w:szCs w:val="22"/>
              </w:rPr>
              <w:footnoteReference w:id="236"/>
            </w:r>
            <w:r w:rsidRPr="00F5382B">
              <w:rPr>
                <w:noProof/>
                <w:sz w:val="22"/>
                <w:szCs w:val="22"/>
              </w:rPr>
              <w:t>.</w:t>
            </w:r>
          </w:p>
          <w:p w14:paraId="03B540CE" w14:textId="77777777" w:rsidR="00EE3DF9" w:rsidRPr="00F5382B" w:rsidRDefault="00EE3DF9">
            <w:pPr>
              <w:spacing w:after="120"/>
              <w:rPr>
                <w:noProof/>
                <w:sz w:val="22"/>
                <w:szCs w:val="22"/>
              </w:rPr>
            </w:pPr>
            <w:r w:rsidRPr="00F5382B">
              <w:rPr>
                <w:noProof/>
                <w:sz w:val="22"/>
                <w:szCs w:val="22"/>
              </w:rPr>
              <w:t>Around 4,000 ransomware incidents per year</w:t>
            </w:r>
            <w:r w:rsidRPr="00F5382B">
              <w:rPr>
                <w:rStyle w:val="FootnoteReference"/>
                <w:noProof/>
                <w:sz w:val="22"/>
                <w:szCs w:val="22"/>
              </w:rPr>
              <w:footnoteReference w:id="237"/>
            </w:r>
            <w:r w:rsidRPr="00F5382B">
              <w:rPr>
                <w:noProof/>
                <w:sz w:val="22"/>
                <w:szCs w:val="22"/>
              </w:rPr>
              <w:t xml:space="preserve"> and the average cost of a ransomware attack in 2024-2025 was approximately EUR 1.59 million</w:t>
            </w:r>
            <w:r w:rsidRPr="00F5382B">
              <w:rPr>
                <w:rStyle w:val="FootnoteReference"/>
                <w:noProof/>
                <w:sz w:val="22"/>
                <w:szCs w:val="22"/>
              </w:rPr>
              <w:footnoteReference w:id="238"/>
            </w:r>
            <w:r w:rsidRPr="00F5382B">
              <w:rPr>
                <w:noProof/>
                <w:sz w:val="22"/>
                <w:szCs w:val="22"/>
              </w:rPr>
              <w:t>.</w:t>
            </w:r>
          </w:p>
          <w:p w14:paraId="5B83DD06" w14:textId="77777777" w:rsidR="00EE3DF9" w:rsidRPr="00F5382B" w:rsidRDefault="00EE3DF9">
            <w:pPr>
              <w:spacing w:after="120"/>
              <w:rPr>
                <w:noProof/>
                <w:sz w:val="22"/>
                <w:szCs w:val="22"/>
              </w:rPr>
            </w:pPr>
            <w:r w:rsidRPr="00F5382B">
              <w:rPr>
                <w:noProof/>
                <w:sz w:val="22"/>
                <w:szCs w:val="22"/>
              </w:rPr>
              <w:t>For a national example, Germany</w:t>
            </w:r>
            <w:r w:rsidRPr="00F5382B">
              <w:rPr>
                <w:rStyle w:val="FootnoteReference"/>
                <w:noProof/>
                <w:sz w:val="22"/>
                <w:szCs w:val="22"/>
              </w:rPr>
              <w:footnoteReference w:id="239"/>
            </w:r>
            <w:r w:rsidRPr="00F5382B">
              <w:rPr>
                <w:noProof/>
                <w:sz w:val="22"/>
                <w:szCs w:val="22"/>
              </w:rPr>
              <w:t>: Record losses of around 267 billion euro (2024)</w:t>
            </w:r>
          </w:p>
          <w:p w14:paraId="6CC3263D" w14:textId="77777777" w:rsidR="00EE3DF9" w:rsidRPr="00F5382B" w:rsidRDefault="00EE3DF9">
            <w:pPr>
              <w:spacing w:after="120"/>
              <w:rPr>
                <w:noProof/>
                <w:sz w:val="22"/>
                <w:szCs w:val="22"/>
              </w:rPr>
            </w:pPr>
            <w:r w:rsidRPr="00F5382B">
              <w:rPr>
                <w:b/>
                <w:noProof/>
                <w:sz w:val="22"/>
                <w:szCs w:val="22"/>
                <w:u w:val="single"/>
              </w:rPr>
              <w:t xml:space="preserve">Indirect costs: </w:t>
            </w:r>
          </w:p>
          <w:p w14:paraId="159EE40E" w14:textId="77777777" w:rsidR="00EE3DF9" w:rsidRPr="00F5382B" w:rsidRDefault="00EE3DF9">
            <w:pPr>
              <w:spacing w:after="120"/>
              <w:rPr>
                <w:noProof/>
                <w:sz w:val="22"/>
                <w:szCs w:val="22"/>
              </w:rPr>
            </w:pPr>
            <w:r w:rsidRPr="00F5382B">
              <w:rPr>
                <w:noProof/>
                <w:sz w:val="22"/>
                <w:szCs w:val="22"/>
              </w:rPr>
              <w:t>Large data breaches are associated with a loss of 5-9% reputational intangible capital or firm’s brand value (</w:t>
            </w:r>
            <w:hyperlink r:id="rId107">
              <w:r w:rsidRPr="00F5382B">
                <w:rPr>
                  <w:rStyle w:val="Hyperlink"/>
                  <w:noProof/>
                  <w:color w:val="467886"/>
                  <w:sz w:val="22"/>
                  <w:szCs w:val="22"/>
                </w:rPr>
                <w:t>Do data breaches damage reputation? Evidence from 45 companies between 2002 and 2018 | Journal of Cybersecurity | Oxford Academic</w:t>
              </w:r>
            </w:hyperlink>
            <w:r w:rsidRPr="00F5382B">
              <w:rPr>
                <w:noProof/>
                <w:sz w:val="22"/>
                <w:szCs w:val="22"/>
              </w:rPr>
              <w:t>)</w:t>
            </w:r>
          </w:p>
          <w:p w14:paraId="0B9FA429" w14:textId="77777777" w:rsidR="00EE3DF9" w:rsidRPr="00F5382B" w:rsidRDefault="00EE3DF9">
            <w:pPr>
              <w:spacing w:after="120"/>
              <w:rPr>
                <w:noProof/>
                <w:sz w:val="22"/>
                <w:szCs w:val="22"/>
              </w:rPr>
            </w:pPr>
            <w:r w:rsidRPr="00F5382B">
              <w:rPr>
                <w:noProof/>
                <w:sz w:val="22"/>
                <w:szCs w:val="22"/>
              </w:rPr>
              <w:t xml:space="preserve">Germany (2024): </w:t>
            </w:r>
          </w:p>
          <w:p w14:paraId="06697FC8" w14:textId="77777777" w:rsidR="00EE3DF9" w:rsidRPr="00F5382B" w:rsidRDefault="00EE3DF9" w:rsidP="00D52AD8">
            <w:pPr>
              <w:pStyle w:val="ListParagraph"/>
              <w:numPr>
                <w:ilvl w:val="0"/>
                <w:numId w:val="107"/>
              </w:numPr>
              <w:spacing w:after="120"/>
              <w:rPr>
                <w:noProof/>
                <w:sz w:val="22"/>
                <w:szCs w:val="22"/>
              </w:rPr>
            </w:pPr>
            <w:r w:rsidRPr="00F5382B">
              <w:rPr>
                <w:noProof/>
                <w:sz w:val="22"/>
                <w:szCs w:val="22"/>
              </w:rPr>
              <w:t xml:space="preserve">8 out of 10 companies affected by data theft, espionage or sabotage in </w:t>
            </w:r>
          </w:p>
          <w:p w14:paraId="1857C8B1" w14:textId="77777777" w:rsidR="00EE3DF9" w:rsidRPr="00F5382B" w:rsidRDefault="00EE3DF9" w:rsidP="00D52AD8">
            <w:pPr>
              <w:pStyle w:val="ListParagraph"/>
              <w:numPr>
                <w:ilvl w:val="0"/>
                <w:numId w:val="107"/>
              </w:numPr>
              <w:spacing w:after="120"/>
              <w:rPr>
                <w:noProof/>
                <w:sz w:val="22"/>
                <w:szCs w:val="22"/>
              </w:rPr>
            </w:pPr>
            <w:r w:rsidRPr="00F5382B">
              <w:rPr>
                <w:noProof/>
                <w:sz w:val="22"/>
                <w:szCs w:val="22"/>
              </w:rPr>
              <w:t>Cyberattacks: Two-thirds of companies feel their existence is threatened</w:t>
            </w:r>
          </w:p>
        </w:tc>
      </w:tr>
      <w:tr w:rsidR="00EE3DF9" w:rsidRPr="00F5382B" w14:paraId="14ACA079" w14:textId="77777777">
        <w:trPr>
          <w:trHeight w:val="300"/>
        </w:trPr>
        <w:tc>
          <w:tcPr>
            <w:tcW w:w="1809" w:type="dxa"/>
            <w:vMerge/>
            <w:tcMar>
              <w:left w:w="108" w:type="dxa"/>
              <w:right w:w="108" w:type="dxa"/>
            </w:tcMar>
          </w:tcPr>
          <w:p w14:paraId="6F68B5F8" w14:textId="77777777" w:rsidR="00EE3DF9" w:rsidRPr="00F5382B" w:rsidRDefault="00EE3DF9">
            <w:pPr>
              <w:spacing w:after="120"/>
              <w:rPr>
                <w:noProof/>
                <w:sz w:val="22"/>
                <w:szCs w:val="22"/>
              </w:rPr>
            </w:pPr>
          </w:p>
        </w:tc>
        <w:tc>
          <w:tcPr>
            <w:tcW w:w="1843" w:type="dxa"/>
            <w:vMerge/>
            <w:tcMar>
              <w:left w:w="108" w:type="dxa"/>
              <w:right w:w="108" w:type="dxa"/>
            </w:tcMar>
          </w:tcPr>
          <w:p w14:paraId="1F19E5E7" w14:textId="77777777" w:rsidR="00EE3DF9" w:rsidRPr="00F5382B" w:rsidRDefault="00EE3DF9">
            <w:pPr>
              <w:spacing w:after="120"/>
              <w:rPr>
                <w:noProof/>
                <w:sz w:val="22"/>
                <w:szCs w:val="22"/>
              </w:rPr>
            </w:pPr>
          </w:p>
        </w:tc>
        <w:tc>
          <w:tcPr>
            <w:tcW w:w="1583" w:type="dxa"/>
            <w:vMerge/>
          </w:tcPr>
          <w:p w14:paraId="3F959DAB" w14:textId="77777777" w:rsidR="00EE3DF9" w:rsidRPr="00F5382B" w:rsidRDefault="00EE3DF9">
            <w:pPr>
              <w:spacing w:after="120"/>
              <w:jc w:val="center"/>
              <w:rPr>
                <w:noProof/>
                <w:sz w:val="22"/>
                <w:szCs w:val="22"/>
              </w:rPr>
            </w:pPr>
          </w:p>
        </w:tc>
        <w:tc>
          <w:tcPr>
            <w:tcW w:w="2046" w:type="dxa"/>
            <w:tcBorders>
              <w:top w:val="single" w:sz="8" w:space="0" w:color="auto"/>
              <w:left w:val="nil"/>
              <w:bottom w:val="single" w:sz="8" w:space="0" w:color="auto"/>
              <w:right w:val="single" w:sz="8" w:space="0" w:color="auto"/>
            </w:tcBorders>
            <w:tcMar>
              <w:left w:w="108" w:type="dxa"/>
              <w:right w:w="108" w:type="dxa"/>
            </w:tcMar>
          </w:tcPr>
          <w:p w14:paraId="69CE7F49" w14:textId="77777777" w:rsidR="00EE3DF9" w:rsidRPr="00F5382B" w:rsidRDefault="00EE3DF9">
            <w:pPr>
              <w:spacing w:after="120"/>
              <w:jc w:val="left"/>
              <w:rPr>
                <w:noProof/>
                <w:sz w:val="22"/>
                <w:szCs w:val="22"/>
              </w:rPr>
            </w:pPr>
            <w:r w:rsidRPr="00F5382B">
              <w:rPr>
                <w:noProof/>
                <w:sz w:val="22"/>
                <w:szCs w:val="22"/>
              </w:rPr>
              <w:t>Increased need for cybersecurity professionals at a time of budget cuts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31F60F61" w14:textId="77777777" w:rsidR="00EE3DF9" w:rsidRPr="00F5382B" w:rsidRDefault="00EE3DF9">
            <w:pPr>
              <w:spacing w:after="120"/>
              <w:rPr>
                <w:noProof/>
                <w:sz w:val="22"/>
                <w:szCs w:val="22"/>
              </w:rPr>
            </w:pPr>
            <w:r w:rsidRPr="00F5382B">
              <w:rPr>
                <w:noProof/>
                <w:sz w:val="22"/>
                <w:szCs w:val="22"/>
              </w:rPr>
              <w:t>Cybersecurity incident responders are in the top 3 cybersecurity most needed roles (</w:t>
            </w:r>
            <w:hyperlink r:id="rId108">
              <w:r w:rsidRPr="00F5382B">
                <w:rPr>
                  <w:rStyle w:val="Hyperlink"/>
                  <w:noProof/>
                  <w:color w:val="467886"/>
                  <w:sz w:val="22"/>
                  <w:szCs w:val="22"/>
                </w:rPr>
                <w:t>Summary-report_Cybersecurity-Skills-Needs-Analysis-1.pdf</w:t>
              </w:r>
            </w:hyperlink>
            <w:r w:rsidRPr="00F5382B">
              <w:rPr>
                <w:noProof/>
                <w:sz w:val="22"/>
                <w:szCs w:val="22"/>
              </w:rPr>
              <w:t>), identified by 34% of surveyed organisations</w:t>
            </w:r>
            <w:r w:rsidRPr="00F5382B">
              <w:rPr>
                <w:rStyle w:val="FootnoteReference"/>
                <w:noProof/>
                <w:sz w:val="22"/>
                <w:szCs w:val="22"/>
              </w:rPr>
              <w:footnoteReference w:id="240"/>
            </w:r>
          </w:p>
          <w:p w14:paraId="47B8B961" w14:textId="77777777" w:rsidR="00EE3DF9" w:rsidRPr="00F5382B" w:rsidRDefault="00EE3DF9">
            <w:pPr>
              <w:spacing w:after="120"/>
              <w:rPr>
                <w:noProof/>
                <w:sz w:val="22"/>
                <w:szCs w:val="22"/>
              </w:rPr>
            </w:pPr>
            <w:r w:rsidRPr="00F5382B">
              <w:rPr>
                <w:noProof/>
                <w:sz w:val="22"/>
                <w:szCs w:val="22"/>
              </w:rPr>
              <w:t>Organisations in the EU have experienced cybersecurity cutbacks in the past 2024 with budget cuts on the rise (+3%), freezes on promotions (+6%), hiring freezes (+4%)</w:t>
            </w:r>
            <w:r w:rsidRPr="00F5382B">
              <w:rPr>
                <w:rStyle w:val="FootnoteReference"/>
                <w:noProof/>
                <w:sz w:val="22"/>
                <w:szCs w:val="22"/>
              </w:rPr>
              <w:footnoteReference w:id="241"/>
            </w:r>
          </w:p>
        </w:tc>
      </w:tr>
      <w:tr w:rsidR="00EE3DF9" w:rsidRPr="00F5382B" w14:paraId="027FD25D" w14:textId="77777777">
        <w:trPr>
          <w:trHeight w:val="300"/>
        </w:trPr>
        <w:tc>
          <w:tcPr>
            <w:tcW w:w="1809" w:type="dxa"/>
            <w:vMerge/>
            <w:tcMar>
              <w:left w:w="108" w:type="dxa"/>
              <w:right w:w="108" w:type="dxa"/>
            </w:tcMar>
          </w:tcPr>
          <w:p w14:paraId="3D94FA74" w14:textId="77777777" w:rsidR="00EE3DF9" w:rsidRPr="00F5382B" w:rsidRDefault="00EE3DF9">
            <w:pPr>
              <w:spacing w:after="120"/>
              <w:rPr>
                <w:noProof/>
                <w:sz w:val="22"/>
                <w:szCs w:val="22"/>
              </w:rPr>
            </w:pPr>
          </w:p>
        </w:tc>
        <w:tc>
          <w:tcPr>
            <w:tcW w:w="1843" w:type="dxa"/>
            <w:vMerge/>
            <w:tcMar>
              <w:left w:w="108" w:type="dxa"/>
              <w:right w:w="108" w:type="dxa"/>
            </w:tcMar>
          </w:tcPr>
          <w:p w14:paraId="17590C56" w14:textId="77777777" w:rsidR="00EE3DF9" w:rsidRPr="00F5382B" w:rsidRDefault="00EE3DF9">
            <w:pPr>
              <w:spacing w:after="120"/>
              <w:rPr>
                <w:noProof/>
                <w:sz w:val="22"/>
                <w:szCs w:val="22"/>
              </w:rPr>
            </w:pPr>
          </w:p>
        </w:tc>
        <w:tc>
          <w:tcPr>
            <w:tcW w:w="1583" w:type="dxa"/>
            <w:vMerge/>
          </w:tcPr>
          <w:p w14:paraId="4E3AEAB3" w14:textId="77777777" w:rsidR="00EE3DF9" w:rsidRPr="00F5382B" w:rsidRDefault="00EE3DF9">
            <w:pPr>
              <w:spacing w:after="120"/>
              <w:jc w:val="center"/>
              <w:rPr>
                <w:noProof/>
                <w:sz w:val="22"/>
                <w:szCs w:val="22"/>
              </w:rPr>
            </w:pPr>
          </w:p>
        </w:tc>
        <w:tc>
          <w:tcPr>
            <w:tcW w:w="2046" w:type="dxa"/>
            <w:tcBorders>
              <w:top w:val="single" w:sz="8" w:space="0" w:color="auto"/>
              <w:left w:val="nil"/>
              <w:bottom w:val="single" w:sz="8" w:space="0" w:color="auto"/>
              <w:right w:val="single" w:sz="8" w:space="0" w:color="auto"/>
            </w:tcBorders>
            <w:tcMar>
              <w:left w:w="108" w:type="dxa"/>
              <w:right w:w="108" w:type="dxa"/>
            </w:tcMar>
          </w:tcPr>
          <w:p w14:paraId="454ABC5A" w14:textId="77777777" w:rsidR="00EE3DF9" w:rsidRPr="00F5382B" w:rsidRDefault="00EE3DF9">
            <w:pPr>
              <w:spacing w:after="120"/>
              <w:jc w:val="left"/>
              <w:rPr>
                <w:noProof/>
                <w:sz w:val="22"/>
                <w:szCs w:val="22"/>
              </w:rPr>
            </w:pPr>
            <w:r w:rsidRPr="00F5382B">
              <w:rPr>
                <w:noProof/>
                <w:sz w:val="22"/>
                <w:szCs w:val="22"/>
              </w:rPr>
              <w:t>Increased need for spending on information security</w:t>
            </w:r>
            <w:r w:rsidRPr="00F5382B">
              <w:rPr>
                <w:b/>
                <w:bCs/>
                <w:noProof/>
                <w:sz w:val="22"/>
                <w:szCs w:val="22"/>
              </w:rPr>
              <w:t xml:space="preserve"> </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5F28B50A" w14:textId="77777777" w:rsidR="00EE3DF9" w:rsidRPr="00F5382B" w:rsidRDefault="00EE3DF9">
            <w:pPr>
              <w:spacing w:after="120"/>
              <w:rPr>
                <w:noProof/>
                <w:sz w:val="22"/>
                <w:szCs w:val="22"/>
              </w:rPr>
            </w:pPr>
            <w:r w:rsidRPr="00F5382B">
              <w:rPr>
                <w:noProof/>
                <w:sz w:val="22"/>
                <w:szCs w:val="22"/>
              </w:rPr>
              <w:t xml:space="preserve">Median spending for information security of an organisation in scope of the NIS2 Directive was EUR 1.4 million in 2023, while the average expenditure was EUR 6.7 million </w:t>
            </w:r>
            <w:hyperlink r:id="rId109">
              <w:r w:rsidRPr="00F5382B">
                <w:rPr>
                  <w:rStyle w:val="Hyperlink"/>
                  <w:noProof/>
                  <w:color w:val="467886"/>
                  <w:sz w:val="22"/>
                  <w:szCs w:val="22"/>
                </w:rPr>
                <w:t>NIS INVESTMENTS 2024</w:t>
              </w:r>
            </w:hyperlink>
          </w:p>
          <w:p w14:paraId="37B63380" w14:textId="77777777" w:rsidR="00EE3DF9" w:rsidRPr="00F5382B" w:rsidRDefault="00EE3DF9">
            <w:pPr>
              <w:spacing w:after="120"/>
              <w:rPr>
                <w:noProof/>
                <w:sz w:val="22"/>
                <w:szCs w:val="22"/>
              </w:rPr>
            </w:pPr>
            <w:r w:rsidRPr="00F5382B">
              <w:rPr>
                <w:noProof/>
                <w:sz w:val="22"/>
                <w:szCs w:val="22"/>
              </w:rPr>
              <w:t xml:space="preserve">“Even though more than 60% of CEOs and CISOs surveyed report that cyber risk management is integrated into enterprise risk management in their organizations, many still struggle to accurately assess the level of required investment”. </w:t>
            </w:r>
            <w:hyperlink r:id="rId110" w:history="1">
              <w:r w:rsidRPr="00F5382B">
                <w:rPr>
                  <w:rStyle w:val="Hyperlink"/>
                  <w:noProof/>
                  <w:sz w:val="22"/>
                  <w:szCs w:val="22"/>
                </w:rPr>
                <w:t>WEF_Global_Cybersecurity_Outlook_2025.pdf</w:t>
              </w:r>
            </w:hyperlink>
          </w:p>
          <w:p w14:paraId="63E27A6F" w14:textId="77777777" w:rsidR="00EE3DF9" w:rsidRPr="00F5382B" w:rsidRDefault="00EE3DF9">
            <w:pPr>
              <w:spacing w:after="120"/>
              <w:rPr>
                <w:noProof/>
                <w:sz w:val="22"/>
                <w:szCs w:val="22"/>
              </w:rPr>
            </w:pPr>
            <w:r w:rsidRPr="00F5382B">
              <w:rPr>
                <w:noProof/>
                <w:sz w:val="22"/>
                <w:szCs w:val="22"/>
              </w:rPr>
              <w:t>Germany: The average share of IT security expenditure in companies' total IT budgets has risen to 17% (2024)</w:t>
            </w:r>
            <w:r w:rsidRPr="00F5382B">
              <w:rPr>
                <w:rStyle w:val="FootnoteReference"/>
                <w:noProof/>
                <w:sz w:val="22"/>
                <w:szCs w:val="22"/>
              </w:rPr>
              <w:footnoteReference w:id="242"/>
            </w:r>
          </w:p>
        </w:tc>
      </w:tr>
      <w:tr w:rsidR="00EE3DF9" w:rsidRPr="00F5382B" w14:paraId="36B0813F" w14:textId="77777777">
        <w:trPr>
          <w:trHeight w:val="300"/>
        </w:trPr>
        <w:tc>
          <w:tcPr>
            <w:tcW w:w="1809" w:type="dxa"/>
            <w:vMerge/>
            <w:tcMar>
              <w:left w:w="108" w:type="dxa"/>
              <w:right w:w="108" w:type="dxa"/>
            </w:tcMar>
          </w:tcPr>
          <w:p w14:paraId="7CB5EBAF" w14:textId="77777777" w:rsidR="00EE3DF9" w:rsidRPr="00F5382B" w:rsidRDefault="00EE3DF9">
            <w:pPr>
              <w:spacing w:after="120"/>
              <w:rPr>
                <w:noProof/>
                <w:sz w:val="22"/>
                <w:szCs w:val="22"/>
              </w:rPr>
            </w:pPr>
          </w:p>
        </w:tc>
        <w:tc>
          <w:tcPr>
            <w:tcW w:w="1843" w:type="dxa"/>
            <w:vMerge/>
            <w:tcMar>
              <w:left w:w="108" w:type="dxa"/>
              <w:right w:w="108" w:type="dxa"/>
            </w:tcMar>
          </w:tcPr>
          <w:p w14:paraId="6A1F97BA" w14:textId="77777777" w:rsidR="00EE3DF9" w:rsidRPr="00F5382B" w:rsidRDefault="00EE3DF9">
            <w:pPr>
              <w:spacing w:after="120"/>
              <w:rPr>
                <w:noProof/>
                <w:sz w:val="22"/>
                <w:szCs w:val="22"/>
              </w:rPr>
            </w:pPr>
          </w:p>
        </w:tc>
        <w:tc>
          <w:tcPr>
            <w:tcW w:w="1583" w:type="dxa"/>
            <w:tcBorders>
              <w:top w:val="nil"/>
              <w:left w:val="single" w:sz="8" w:space="0" w:color="auto"/>
              <w:bottom w:val="single" w:sz="8" w:space="0" w:color="auto"/>
              <w:right w:val="single" w:sz="8" w:space="0" w:color="auto"/>
            </w:tcBorders>
            <w:tcMar>
              <w:left w:w="108" w:type="dxa"/>
              <w:right w:w="108" w:type="dxa"/>
            </w:tcMar>
          </w:tcPr>
          <w:p w14:paraId="590CB4C7" w14:textId="77777777" w:rsidR="00EE3DF9" w:rsidRPr="00F5382B" w:rsidRDefault="00EE3DF9">
            <w:pPr>
              <w:spacing w:after="120"/>
              <w:jc w:val="center"/>
              <w:rPr>
                <w:noProof/>
                <w:sz w:val="22"/>
                <w:szCs w:val="22"/>
              </w:rPr>
            </w:pPr>
            <w:r w:rsidRPr="00F5382B">
              <w:rPr>
                <w:noProof/>
                <w:sz w:val="22"/>
                <w:szCs w:val="22"/>
              </w:rPr>
              <w:t>Public authorities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578019F2" w14:textId="77777777" w:rsidR="00EE3DF9" w:rsidRPr="00F5382B" w:rsidRDefault="00EE3DF9">
            <w:pPr>
              <w:spacing w:after="120"/>
              <w:jc w:val="left"/>
              <w:rPr>
                <w:noProof/>
                <w:sz w:val="22"/>
                <w:szCs w:val="22"/>
              </w:rPr>
            </w:pPr>
            <w:r w:rsidRPr="00F5382B">
              <w:rPr>
                <w:noProof/>
                <w:sz w:val="22"/>
                <w:szCs w:val="22"/>
              </w:rPr>
              <w:t xml:space="preserve">Increased need for information exchange to allow more effective cross-border cooperation  </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68704914" w14:textId="77777777" w:rsidR="00EE3DF9" w:rsidRPr="00F5382B" w:rsidRDefault="00EE3DF9">
            <w:pPr>
              <w:spacing w:after="120"/>
              <w:rPr>
                <w:noProof/>
                <w:sz w:val="22"/>
                <w:szCs w:val="22"/>
              </w:rPr>
            </w:pPr>
            <w:r w:rsidRPr="00F5382B">
              <w:rPr>
                <w:noProof/>
                <w:sz w:val="22"/>
                <w:szCs w:val="22"/>
              </w:rPr>
              <w:t xml:space="preserve">Academic literature shows the added value of information exchange to ensure pro-active defence of organisations, while displaying the challenges in information sharing (lack of common language, complexity of information…) </w:t>
            </w:r>
            <w:hyperlink r:id="rId111" w:history="1">
              <w:r w:rsidRPr="00F5382B">
                <w:rPr>
                  <w:rStyle w:val="Hyperlink"/>
                  <w:noProof/>
                  <w:sz w:val="22"/>
                  <w:szCs w:val="22"/>
                </w:rPr>
                <w:t>Overcoming information-sharing challenges in cyber defence exercises | Journal of Cybersecurity | Oxford Academic</w:t>
              </w:r>
            </w:hyperlink>
          </w:p>
        </w:tc>
      </w:tr>
      <w:tr w:rsidR="00EE3DF9" w:rsidRPr="00F5382B" w14:paraId="4ABFBE9C" w14:textId="77777777">
        <w:trPr>
          <w:trHeight w:val="300"/>
        </w:trPr>
        <w:tc>
          <w:tcPr>
            <w:tcW w:w="1809" w:type="dxa"/>
            <w:vMerge/>
            <w:tcMar>
              <w:left w:w="108" w:type="dxa"/>
              <w:right w:w="108" w:type="dxa"/>
            </w:tcMar>
          </w:tcPr>
          <w:p w14:paraId="2C5B26D4" w14:textId="77777777" w:rsidR="00EE3DF9" w:rsidRPr="00F5382B" w:rsidRDefault="00EE3DF9">
            <w:pPr>
              <w:spacing w:after="120"/>
              <w:rPr>
                <w:noProof/>
                <w:sz w:val="22"/>
                <w:szCs w:val="22"/>
              </w:rPr>
            </w:pPr>
          </w:p>
        </w:tc>
        <w:tc>
          <w:tcPr>
            <w:tcW w:w="1843" w:type="dxa"/>
            <w:vMerge/>
            <w:tcMar>
              <w:left w:w="108" w:type="dxa"/>
              <w:right w:w="108" w:type="dxa"/>
            </w:tcMar>
          </w:tcPr>
          <w:p w14:paraId="3FED5DCB" w14:textId="77777777" w:rsidR="00EE3DF9" w:rsidRPr="00F5382B" w:rsidRDefault="00EE3DF9">
            <w:pPr>
              <w:spacing w:after="12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1034193A" w14:textId="77777777" w:rsidR="00EE3DF9" w:rsidRPr="00F5382B" w:rsidRDefault="00EE3DF9">
            <w:pPr>
              <w:spacing w:after="120"/>
              <w:jc w:val="center"/>
              <w:rPr>
                <w:noProof/>
                <w:sz w:val="22"/>
                <w:szCs w:val="22"/>
              </w:rPr>
            </w:pPr>
            <w:r w:rsidRPr="00F5382B">
              <w:rPr>
                <w:noProof/>
                <w:sz w:val="22"/>
                <w:szCs w:val="22"/>
              </w:rPr>
              <w:t>EU citizens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39B88FCD" w14:textId="77777777" w:rsidR="00EE3DF9" w:rsidRPr="00F5382B" w:rsidRDefault="00EE3DF9">
            <w:pPr>
              <w:spacing w:after="120"/>
              <w:jc w:val="left"/>
              <w:rPr>
                <w:noProof/>
                <w:sz w:val="22"/>
                <w:szCs w:val="22"/>
              </w:rPr>
            </w:pPr>
            <w:r w:rsidRPr="00F5382B">
              <w:rPr>
                <w:noProof/>
                <w:sz w:val="22"/>
                <w:szCs w:val="22"/>
              </w:rPr>
              <w:t xml:space="preserve">Increased societal instability </w:t>
            </w:r>
          </w:p>
          <w:p w14:paraId="78717B1E" w14:textId="77777777" w:rsidR="00EE3DF9" w:rsidRPr="00F5382B" w:rsidRDefault="00EE3DF9">
            <w:pPr>
              <w:spacing w:after="120"/>
              <w:jc w:val="left"/>
              <w:rPr>
                <w:noProof/>
                <w:sz w:val="22"/>
                <w:szCs w:val="22"/>
              </w:rPr>
            </w:pPr>
            <w:r w:rsidRPr="00F5382B">
              <w:rPr>
                <w:noProof/>
                <w:sz w:val="22"/>
                <w:szCs w:val="22"/>
              </w:rPr>
              <w:t xml:space="preserve">Safety and privacy </w:t>
            </w:r>
          </w:p>
          <w:p w14:paraId="348D3153" w14:textId="77777777" w:rsidR="00EE3DF9" w:rsidRPr="00F5382B" w:rsidRDefault="00EE3DF9">
            <w:pPr>
              <w:spacing w:after="120"/>
              <w:jc w:val="left"/>
              <w:rPr>
                <w:noProof/>
                <w:sz w:val="22"/>
                <w:szCs w:val="22"/>
              </w:rPr>
            </w:pPr>
            <w:r w:rsidRPr="00F5382B">
              <w:rPr>
                <w:noProof/>
                <w:sz w:val="22"/>
                <w:szCs w:val="22"/>
              </w:rPr>
              <w:t xml:space="preserve">Financial </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27AA07B5" w14:textId="77777777" w:rsidR="00EE3DF9" w:rsidRPr="00F5382B" w:rsidRDefault="00EE3DF9">
            <w:pPr>
              <w:spacing w:after="120"/>
              <w:rPr>
                <w:noProof/>
                <w:sz w:val="22"/>
                <w:szCs w:val="22"/>
              </w:rPr>
            </w:pPr>
            <w:r w:rsidRPr="00F5382B">
              <w:rPr>
                <w:noProof/>
                <w:sz w:val="22"/>
                <w:szCs w:val="22"/>
              </w:rPr>
              <w:t xml:space="preserve">The societal impact (inability of the citizens to access important services) of cyber threats is the third biggest impact thereof, affecting primarily access to public administration and health sectors  </w:t>
            </w:r>
            <w:hyperlink r:id="rId112">
              <w:r w:rsidRPr="00F5382B">
                <w:rPr>
                  <w:rStyle w:val="Hyperlink"/>
                  <w:noProof/>
                  <w:color w:val="467886"/>
                  <w:sz w:val="22"/>
                  <w:szCs w:val="22"/>
                </w:rPr>
                <w:t>ENISA THREAT LANDSCAPE 2023</w:t>
              </w:r>
            </w:hyperlink>
          </w:p>
          <w:p w14:paraId="40F67A54" w14:textId="77777777" w:rsidR="00EE3DF9" w:rsidRPr="00F5382B" w:rsidRDefault="00EE3DF9">
            <w:pPr>
              <w:spacing w:after="120"/>
              <w:rPr>
                <w:noProof/>
                <w:sz w:val="22"/>
                <w:szCs w:val="22"/>
              </w:rPr>
            </w:pPr>
            <w:r w:rsidRPr="00F5382B">
              <w:rPr>
                <w:noProof/>
                <w:sz w:val="22"/>
                <w:szCs w:val="22"/>
              </w:rPr>
              <w:t xml:space="preserve">Global average cost of a data breach in 2025: USD 4.4 million (IBM. (2024) Data Breach Report). </w:t>
            </w:r>
          </w:p>
        </w:tc>
      </w:tr>
      <w:tr w:rsidR="00EE3DF9" w:rsidRPr="00F5382B" w14:paraId="47B7D103" w14:textId="77777777">
        <w:trPr>
          <w:trHeight w:val="300"/>
        </w:trPr>
        <w:tc>
          <w:tcPr>
            <w:tcW w:w="1809" w:type="dxa"/>
            <w:vMerge w:val="restart"/>
            <w:tcBorders>
              <w:top w:val="single" w:sz="8" w:space="0" w:color="auto"/>
              <w:left w:val="single" w:sz="8" w:space="0" w:color="auto"/>
              <w:right w:val="single" w:sz="8" w:space="0" w:color="auto"/>
            </w:tcBorders>
            <w:tcMar>
              <w:left w:w="108" w:type="dxa"/>
              <w:right w:w="108" w:type="dxa"/>
            </w:tcMar>
          </w:tcPr>
          <w:p w14:paraId="39003533" w14:textId="77777777" w:rsidR="00EE3DF9" w:rsidRPr="00F5382B" w:rsidRDefault="00EE3DF9">
            <w:pPr>
              <w:spacing w:after="120"/>
              <w:rPr>
                <w:noProof/>
                <w:sz w:val="22"/>
                <w:szCs w:val="22"/>
              </w:rPr>
            </w:pPr>
            <w:r w:rsidRPr="00F5382B">
              <w:rPr>
                <w:noProof/>
                <w:sz w:val="22"/>
                <w:szCs w:val="22"/>
              </w:rPr>
              <w:t>Quickly evolving cybersecurity related technologies</w:t>
            </w:r>
          </w:p>
          <w:p w14:paraId="5805A6CA" w14:textId="77777777" w:rsidR="00EE3DF9" w:rsidRPr="00F5382B" w:rsidRDefault="00EE3DF9">
            <w:pPr>
              <w:spacing w:after="120"/>
              <w:rPr>
                <w:noProof/>
                <w:sz w:val="22"/>
                <w:szCs w:val="22"/>
              </w:rPr>
            </w:pPr>
            <w:r w:rsidRPr="00F5382B">
              <w:rPr>
                <w:noProof/>
                <w:sz w:val="22"/>
                <w:szCs w:val="22"/>
              </w:rPr>
              <w:t xml:space="preserve"> </w:t>
            </w:r>
          </w:p>
          <w:p w14:paraId="6BDC753D" w14:textId="77777777" w:rsidR="00EE3DF9" w:rsidRPr="00F5382B" w:rsidRDefault="00EE3DF9">
            <w:pPr>
              <w:spacing w:after="120"/>
              <w:rPr>
                <w:noProof/>
                <w:sz w:val="22"/>
                <w:szCs w:val="22"/>
              </w:rPr>
            </w:pPr>
            <w:r w:rsidRPr="00F5382B">
              <w:rPr>
                <w:noProof/>
                <w:sz w:val="22"/>
                <w:szCs w:val="22"/>
              </w:rPr>
              <w:t xml:space="preserve"> </w:t>
            </w:r>
          </w:p>
        </w:tc>
        <w:tc>
          <w:tcPr>
            <w:tcW w:w="1843" w:type="dxa"/>
            <w:vMerge w:val="restart"/>
            <w:tcBorders>
              <w:top w:val="single" w:sz="8" w:space="0" w:color="auto"/>
              <w:left w:val="single" w:sz="8" w:space="0" w:color="auto"/>
              <w:right w:val="single" w:sz="8" w:space="0" w:color="auto"/>
            </w:tcBorders>
            <w:tcMar>
              <w:left w:w="108" w:type="dxa"/>
              <w:right w:w="108" w:type="dxa"/>
            </w:tcMar>
          </w:tcPr>
          <w:p w14:paraId="038A878C" w14:textId="77777777" w:rsidR="00EE3DF9" w:rsidRPr="00F5382B" w:rsidRDefault="00EE3DF9">
            <w:pPr>
              <w:spacing w:after="120"/>
              <w:rPr>
                <w:noProof/>
                <w:sz w:val="22"/>
                <w:szCs w:val="22"/>
              </w:rPr>
            </w:pPr>
            <w:r w:rsidRPr="00F5382B">
              <w:rPr>
                <w:noProof/>
                <w:sz w:val="22"/>
                <w:szCs w:val="22"/>
              </w:rPr>
              <w:t>Cybersecurity professional consider the biggest challenge industry faces will be emerging technology (48%)</w:t>
            </w:r>
            <w:r w:rsidRPr="00F5382B">
              <w:rPr>
                <w:rStyle w:val="FootnoteReference"/>
                <w:noProof/>
                <w:sz w:val="22"/>
                <w:szCs w:val="22"/>
              </w:rPr>
              <w:footnoteReference w:id="243"/>
            </w:r>
          </w:p>
          <w:p w14:paraId="747EA600" w14:textId="77777777" w:rsidR="00EE3DF9" w:rsidRPr="00F5382B" w:rsidRDefault="00EE3DF9">
            <w:pPr>
              <w:spacing w:after="120"/>
              <w:rPr>
                <w:noProof/>
                <w:sz w:val="22"/>
                <w:szCs w:val="22"/>
              </w:rPr>
            </w:pPr>
            <w:r w:rsidRPr="00F5382B">
              <w:rPr>
                <w:noProof/>
                <w:sz w:val="22"/>
                <w:szCs w:val="22"/>
              </w:rPr>
              <w:t xml:space="preserve">Annual growth rate of cloud security of approximately 25% projected through 2027 </w:t>
            </w:r>
            <w:r w:rsidRPr="00F5382B">
              <w:rPr>
                <w:rStyle w:val="FootnoteReference"/>
                <w:noProof/>
                <w:sz w:val="22"/>
                <w:szCs w:val="22"/>
              </w:rPr>
              <w:footnoteReference w:id="244"/>
            </w:r>
          </w:p>
          <w:p w14:paraId="39B34B48" w14:textId="77777777" w:rsidR="00EE3DF9" w:rsidRPr="00F5382B" w:rsidRDefault="00EE3DF9">
            <w:pPr>
              <w:spacing w:after="120"/>
              <w:rPr>
                <w:noProof/>
                <w:sz w:val="22"/>
                <w:szCs w:val="22"/>
              </w:rPr>
            </w:pPr>
            <w:r w:rsidRPr="00F5382B">
              <w:rPr>
                <w:noProof/>
                <w:sz w:val="22"/>
                <w:szCs w:val="22"/>
              </w:rPr>
              <w:t xml:space="preserve"> </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2E5BD79C" w14:textId="77777777" w:rsidR="00EE3DF9" w:rsidRPr="00F5382B" w:rsidRDefault="00EE3DF9">
            <w:pPr>
              <w:spacing w:after="120"/>
              <w:jc w:val="center"/>
              <w:rPr>
                <w:noProof/>
                <w:sz w:val="22"/>
                <w:szCs w:val="22"/>
              </w:rPr>
            </w:pPr>
            <w:r w:rsidRPr="00F5382B">
              <w:rPr>
                <w:noProof/>
                <w:sz w:val="22"/>
                <w:szCs w:val="22"/>
              </w:rPr>
              <w:t>Companies and businesses</w:t>
            </w:r>
          </w:p>
          <w:p w14:paraId="146B35F8" w14:textId="77777777" w:rsidR="00EE3DF9" w:rsidRPr="00F5382B" w:rsidRDefault="00EE3DF9">
            <w:pPr>
              <w:spacing w:after="120"/>
              <w:jc w:val="center"/>
              <w:rPr>
                <w:noProof/>
                <w:sz w:val="22"/>
                <w:szCs w:val="22"/>
              </w:rPr>
            </w:pPr>
            <w:r w:rsidRPr="00F5382B">
              <w:rPr>
                <w:noProof/>
                <w:sz w:val="22"/>
                <w:szCs w:val="22"/>
              </w:rPr>
              <w:t>Public authorities</w:t>
            </w:r>
          </w:p>
          <w:p w14:paraId="70022AB5" w14:textId="77777777" w:rsidR="00EE3DF9" w:rsidRPr="00F5382B" w:rsidRDefault="00EE3DF9">
            <w:pPr>
              <w:spacing w:after="120"/>
              <w:jc w:val="center"/>
              <w:rPr>
                <w:noProof/>
                <w:sz w:val="22"/>
                <w:szCs w:val="22"/>
              </w:rPr>
            </w:pPr>
            <w:r w:rsidRPr="00F5382B">
              <w:rPr>
                <w:noProof/>
                <w:sz w:val="22"/>
                <w:szCs w:val="22"/>
              </w:rPr>
              <w:t>EU citizens</w:t>
            </w:r>
          </w:p>
          <w:p w14:paraId="1E2D43C3" w14:textId="77777777" w:rsidR="00EE3DF9" w:rsidRPr="00F5382B" w:rsidRDefault="00EE3DF9">
            <w:pPr>
              <w:spacing w:after="120"/>
              <w:jc w:val="center"/>
              <w:rPr>
                <w:noProof/>
                <w:sz w:val="22"/>
                <w:szCs w:val="22"/>
              </w:rPr>
            </w:pP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498D59CB" w14:textId="77777777" w:rsidR="00EE3DF9" w:rsidRPr="00F5382B" w:rsidRDefault="00EE3DF9">
            <w:pPr>
              <w:spacing w:after="120"/>
              <w:jc w:val="left"/>
              <w:rPr>
                <w:noProof/>
                <w:sz w:val="22"/>
                <w:szCs w:val="22"/>
              </w:rPr>
            </w:pPr>
            <w:r w:rsidRPr="00F5382B">
              <w:rPr>
                <w:noProof/>
                <w:sz w:val="22"/>
                <w:szCs w:val="22"/>
              </w:rPr>
              <w:t xml:space="preserve">Need for a permanently skilled workforce </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4EBAA54D" w14:textId="77777777" w:rsidR="00EE3DF9" w:rsidRPr="00F5382B" w:rsidRDefault="00EE3DF9">
            <w:pPr>
              <w:spacing w:after="120"/>
              <w:rPr>
                <w:noProof/>
                <w:sz w:val="22"/>
                <w:szCs w:val="22"/>
              </w:rPr>
            </w:pPr>
            <w:r w:rsidRPr="00F5382B">
              <w:rPr>
                <w:noProof/>
                <w:sz w:val="22"/>
                <w:szCs w:val="22"/>
              </w:rPr>
              <w:t>Cybersecurity professionals consider technical gaps on EU security teams to address Artificial intelligence (29%), Cloud computing security (27%), Zero Trust implementation (24%), Digital forensics and incident response (23%)</w:t>
            </w:r>
            <w:r w:rsidRPr="00F5382B">
              <w:rPr>
                <w:rStyle w:val="FootnoteReference"/>
                <w:noProof/>
                <w:sz w:val="22"/>
                <w:szCs w:val="22"/>
              </w:rPr>
              <w:footnoteReference w:id="245"/>
            </w:r>
          </w:p>
          <w:p w14:paraId="69644BAB" w14:textId="77777777" w:rsidR="00EE3DF9" w:rsidRPr="00F5382B" w:rsidRDefault="00EE3DF9">
            <w:pPr>
              <w:spacing w:after="120"/>
              <w:rPr>
                <w:noProof/>
                <w:sz w:val="22"/>
                <w:szCs w:val="22"/>
              </w:rPr>
            </w:pPr>
            <w:r w:rsidRPr="00F5382B">
              <w:rPr>
                <w:noProof/>
                <w:sz w:val="22"/>
                <w:szCs w:val="22"/>
              </w:rPr>
              <w:t>Cybersecurity certifications are becoming key to showing credentials and demonstrating up-to-date knowledge, e.g. in France where 39% of professionals hold a certification (non-formal education) vs 36% holding a diploma in cybersecurity (formal education)</w:t>
            </w:r>
            <w:r w:rsidRPr="00F5382B">
              <w:rPr>
                <w:rStyle w:val="FootnoteReference"/>
                <w:noProof/>
                <w:sz w:val="22"/>
                <w:szCs w:val="22"/>
              </w:rPr>
              <w:footnoteReference w:id="246"/>
            </w:r>
            <w:r w:rsidRPr="00F5382B">
              <w:rPr>
                <w:noProof/>
                <w:sz w:val="22"/>
                <w:szCs w:val="22"/>
              </w:rPr>
              <w:t>.</w:t>
            </w:r>
          </w:p>
        </w:tc>
      </w:tr>
      <w:tr w:rsidR="00EE3DF9" w:rsidRPr="00F5382B" w14:paraId="7AFFC6A3" w14:textId="77777777">
        <w:trPr>
          <w:trHeight w:val="300"/>
        </w:trPr>
        <w:tc>
          <w:tcPr>
            <w:tcW w:w="1809" w:type="dxa"/>
            <w:vMerge/>
            <w:tcMar>
              <w:left w:w="108" w:type="dxa"/>
              <w:right w:w="108" w:type="dxa"/>
            </w:tcMar>
          </w:tcPr>
          <w:p w14:paraId="71DA3D86" w14:textId="77777777" w:rsidR="00EE3DF9" w:rsidRPr="00F5382B" w:rsidRDefault="00EE3DF9">
            <w:pPr>
              <w:spacing w:after="120"/>
              <w:rPr>
                <w:noProof/>
                <w:sz w:val="22"/>
                <w:szCs w:val="22"/>
              </w:rPr>
            </w:pPr>
          </w:p>
        </w:tc>
        <w:tc>
          <w:tcPr>
            <w:tcW w:w="1843" w:type="dxa"/>
            <w:vMerge/>
            <w:tcMar>
              <w:left w:w="108" w:type="dxa"/>
              <w:right w:w="108" w:type="dxa"/>
            </w:tcMar>
          </w:tcPr>
          <w:p w14:paraId="5C772AEC" w14:textId="77777777" w:rsidR="00EE3DF9" w:rsidRPr="00F5382B" w:rsidRDefault="00EE3DF9">
            <w:pPr>
              <w:spacing w:after="12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62B699A4" w14:textId="77777777" w:rsidR="00EE3DF9" w:rsidRPr="00F5382B" w:rsidRDefault="00EE3DF9">
            <w:pPr>
              <w:spacing w:after="120"/>
              <w:jc w:val="center"/>
              <w:rPr>
                <w:noProof/>
                <w:sz w:val="22"/>
                <w:szCs w:val="22"/>
              </w:rPr>
            </w:pPr>
            <w:r w:rsidRPr="00F5382B">
              <w:rPr>
                <w:noProof/>
                <w:sz w:val="22"/>
                <w:szCs w:val="22"/>
              </w:rPr>
              <w:t>Companies and businesses</w:t>
            </w:r>
          </w:p>
          <w:p w14:paraId="123116BA" w14:textId="77777777" w:rsidR="00EE3DF9" w:rsidRPr="00F5382B" w:rsidRDefault="00EE3DF9">
            <w:pPr>
              <w:spacing w:after="120"/>
              <w:jc w:val="center"/>
              <w:rPr>
                <w:noProof/>
                <w:sz w:val="22"/>
                <w:szCs w:val="22"/>
              </w:rPr>
            </w:pPr>
            <w:r w:rsidRPr="00F5382B">
              <w:rPr>
                <w:noProof/>
                <w:sz w:val="22"/>
                <w:szCs w:val="22"/>
              </w:rPr>
              <w:t>Public authorities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00419180" w14:textId="77777777" w:rsidR="00EE3DF9" w:rsidRPr="00F5382B" w:rsidRDefault="00EE3DF9">
            <w:pPr>
              <w:spacing w:after="120"/>
              <w:jc w:val="left"/>
              <w:rPr>
                <w:noProof/>
                <w:sz w:val="22"/>
                <w:szCs w:val="22"/>
              </w:rPr>
            </w:pPr>
            <w:r w:rsidRPr="00F5382B">
              <w:rPr>
                <w:noProof/>
                <w:sz w:val="22"/>
                <w:szCs w:val="22"/>
              </w:rPr>
              <w:t>Need to keep up with technological evolution to ensure security of the systems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6E778A41" w14:textId="77777777" w:rsidR="00EE3DF9" w:rsidRPr="00F5382B" w:rsidRDefault="00EE3DF9">
            <w:pPr>
              <w:spacing w:after="120"/>
              <w:rPr>
                <w:noProof/>
                <w:sz w:val="22"/>
                <w:szCs w:val="22"/>
              </w:rPr>
            </w:pPr>
            <w:r w:rsidRPr="00F5382B">
              <w:rPr>
                <w:noProof/>
                <w:sz w:val="22"/>
                <w:szCs w:val="22"/>
              </w:rPr>
              <w:t>Bad actors are close to using AI to hijack other AI systems that companies rely on — like chatbots or agents — forcing them to go rogue, warns John Watters, a longtime cybersecurity leader and former top executive at Google's Mandiant</w:t>
            </w:r>
            <w:r w:rsidRPr="00F5382B">
              <w:rPr>
                <w:rStyle w:val="FootnoteReference"/>
                <w:noProof/>
                <w:sz w:val="22"/>
                <w:szCs w:val="22"/>
              </w:rPr>
              <w:footnoteReference w:id="247"/>
            </w:r>
            <w:r w:rsidRPr="00F5382B">
              <w:rPr>
                <w:noProof/>
                <w:sz w:val="22"/>
                <w:szCs w:val="22"/>
              </w:rPr>
              <w:t>. He says security companies are now carving out a new vertical of products to respond</w:t>
            </w:r>
            <w:r w:rsidRPr="00F5382B">
              <w:rPr>
                <w:rStyle w:val="FootnoteReference"/>
                <w:noProof/>
                <w:sz w:val="22"/>
                <w:szCs w:val="22"/>
              </w:rPr>
              <w:footnoteReference w:id="248"/>
            </w:r>
            <w:r w:rsidRPr="00F5382B">
              <w:rPr>
                <w:noProof/>
                <w:sz w:val="22"/>
                <w:szCs w:val="22"/>
              </w:rPr>
              <w:t>. Why it matters: The world is only months away from an untraceable cyberattack run entirely by an autonomous AI agent. But the attack won't be generic. It will be built uniquely for its victim, exploiting a zero-day vulnerability tailored to that company's systems. The big picture: Security vendors need to adapt faster than ever to prepare customers for that new reality. Watters warns that AI tools will make it easier for malicious hackers to personalize their attacks and to do so at scale.</w:t>
            </w:r>
          </w:p>
        </w:tc>
      </w:tr>
      <w:tr w:rsidR="00EE3DF9" w:rsidRPr="00F5382B" w14:paraId="78BBC811" w14:textId="77777777">
        <w:trPr>
          <w:trHeight w:val="300"/>
        </w:trPr>
        <w:tc>
          <w:tcPr>
            <w:tcW w:w="1809" w:type="dxa"/>
            <w:vMerge/>
            <w:tcMar>
              <w:left w:w="108" w:type="dxa"/>
              <w:right w:w="108" w:type="dxa"/>
            </w:tcMar>
          </w:tcPr>
          <w:p w14:paraId="41746083" w14:textId="77777777" w:rsidR="00EE3DF9" w:rsidRPr="00F5382B" w:rsidRDefault="00EE3DF9">
            <w:pPr>
              <w:spacing w:after="120"/>
              <w:rPr>
                <w:noProof/>
                <w:sz w:val="22"/>
                <w:szCs w:val="22"/>
              </w:rPr>
            </w:pPr>
          </w:p>
        </w:tc>
        <w:tc>
          <w:tcPr>
            <w:tcW w:w="1843" w:type="dxa"/>
            <w:vMerge/>
            <w:tcMar>
              <w:left w:w="108" w:type="dxa"/>
              <w:right w:w="108" w:type="dxa"/>
            </w:tcMar>
          </w:tcPr>
          <w:p w14:paraId="28A760D3" w14:textId="77777777" w:rsidR="00EE3DF9" w:rsidRPr="00F5382B" w:rsidRDefault="00EE3DF9">
            <w:pPr>
              <w:spacing w:after="12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383A5352" w14:textId="77777777" w:rsidR="00EE3DF9" w:rsidRPr="00F5382B" w:rsidRDefault="00EE3DF9">
            <w:pPr>
              <w:spacing w:after="120"/>
              <w:jc w:val="center"/>
              <w:rPr>
                <w:noProof/>
                <w:sz w:val="22"/>
                <w:szCs w:val="22"/>
              </w:rPr>
            </w:pPr>
            <w:r w:rsidRPr="00F5382B">
              <w:rPr>
                <w:noProof/>
                <w:sz w:val="22"/>
                <w:szCs w:val="22"/>
              </w:rPr>
              <w:t>Academia</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309B545F" w14:textId="77777777" w:rsidR="00EE3DF9" w:rsidRPr="00F5382B" w:rsidRDefault="00EE3DF9">
            <w:pPr>
              <w:spacing w:after="120"/>
              <w:jc w:val="left"/>
              <w:rPr>
                <w:noProof/>
                <w:sz w:val="22"/>
                <w:szCs w:val="22"/>
              </w:rPr>
            </w:pPr>
            <w:r w:rsidRPr="00F5382B">
              <w:rPr>
                <w:noProof/>
                <w:sz w:val="22"/>
                <w:szCs w:val="22"/>
              </w:rPr>
              <w:t>Need to keep up with updated curricula and training programmes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52008359" w14:textId="77777777" w:rsidR="00EE3DF9" w:rsidRPr="00F5382B" w:rsidRDefault="00EE3DF9">
            <w:pPr>
              <w:spacing w:after="120"/>
              <w:rPr>
                <w:noProof/>
                <w:sz w:val="22"/>
                <w:szCs w:val="22"/>
              </w:rPr>
            </w:pPr>
            <w:r w:rsidRPr="00F5382B">
              <w:rPr>
                <w:noProof/>
                <w:sz w:val="22"/>
                <w:szCs w:val="22"/>
              </w:rPr>
              <w:t>Academic literature demonstrates that “consistency across programs ensures that graduates enter the workforce with comparable skills, no matter where they were trained, enhancing their employability across the EU. As recognized by </w:t>
            </w:r>
            <w:bookmarkStart w:id="377" w:name="bbib0053"/>
            <w:r w:rsidRPr="00F5382B">
              <w:rPr>
                <w:noProof/>
                <w:sz w:val="22"/>
                <w:szCs w:val="22"/>
              </w:rPr>
              <w:t>Stavrou &amp; Piki (2024)</w:t>
            </w:r>
            <w:bookmarkEnd w:id="377"/>
            <w:r w:rsidRPr="00F5382B">
              <w:rPr>
                <w:rStyle w:val="FootnoteReference"/>
                <w:noProof/>
                <w:sz w:val="22"/>
                <w:szCs w:val="22"/>
              </w:rPr>
              <w:footnoteReference w:id="249"/>
            </w:r>
            <w:r w:rsidRPr="00F5382B">
              <w:rPr>
                <w:noProof/>
                <w:sz w:val="22"/>
                <w:szCs w:val="22"/>
              </w:rPr>
              <w:t>, this is especially valuable for a mobile workforce, allowing professionals to transfer their skills easily across member states and filling gaps where shortages are acute.</w:t>
            </w:r>
            <w:r w:rsidRPr="00F5382B">
              <w:rPr>
                <w:rStyle w:val="FootnoteReference"/>
                <w:noProof/>
                <w:sz w:val="22"/>
                <w:szCs w:val="22"/>
              </w:rPr>
              <w:footnoteReference w:id="250"/>
            </w:r>
          </w:p>
        </w:tc>
      </w:tr>
      <w:tr w:rsidR="00EE3DF9" w:rsidRPr="00F5382B" w14:paraId="21D22C25" w14:textId="77777777">
        <w:trPr>
          <w:trHeight w:val="300"/>
        </w:trPr>
        <w:tc>
          <w:tcPr>
            <w:tcW w:w="1809" w:type="dxa"/>
            <w:vMerge w:val="restart"/>
            <w:tcBorders>
              <w:top w:val="single" w:sz="8" w:space="0" w:color="auto"/>
              <w:left w:val="single" w:sz="8" w:space="0" w:color="auto"/>
              <w:right w:val="single" w:sz="8" w:space="0" w:color="auto"/>
            </w:tcBorders>
            <w:tcMar>
              <w:left w:w="108" w:type="dxa"/>
              <w:right w:w="108" w:type="dxa"/>
            </w:tcMar>
          </w:tcPr>
          <w:p w14:paraId="56F7331A" w14:textId="77777777" w:rsidR="00EE3DF9" w:rsidRPr="00F5382B" w:rsidRDefault="00EE3DF9">
            <w:pPr>
              <w:spacing w:after="120"/>
              <w:rPr>
                <w:noProof/>
                <w:sz w:val="22"/>
                <w:szCs w:val="22"/>
              </w:rPr>
            </w:pPr>
            <w:r w:rsidRPr="00F5382B">
              <w:rPr>
                <w:noProof/>
                <w:sz w:val="22"/>
                <w:szCs w:val="22"/>
              </w:rPr>
              <w:t xml:space="preserve">Lack of cybersecurity professionals </w:t>
            </w:r>
          </w:p>
          <w:p w14:paraId="64706142" w14:textId="77777777" w:rsidR="00EE3DF9" w:rsidRPr="00F5382B" w:rsidRDefault="00EE3DF9">
            <w:pPr>
              <w:spacing w:after="120"/>
              <w:rPr>
                <w:noProof/>
                <w:sz w:val="22"/>
                <w:szCs w:val="22"/>
              </w:rPr>
            </w:pPr>
            <w:r w:rsidRPr="00F5382B">
              <w:rPr>
                <w:noProof/>
                <w:sz w:val="22"/>
                <w:szCs w:val="22"/>
              </w:rPr>
              <w:t xml:space="preserve"> </w:t>
            </w:r>
          </w:p>
          <w:p w14:paraId="465001A2" w14:textId="77777777" w:rsidR="00EE3DF9" w:rsidRPr="00F5382B" w:rsidRDefault="00EE3DF9">
            <w:pPr>
              <w:spacing w:after="120"/>
              <w:rPr>
                <w:noProof/>
                <w:sz w:val="22"/>
                <w:szCs w:val="22"/>
              </w:rPr>
            </w:pPr>
            <w:r w:rsidRPr="00F5382B">
              <w:rPr>
                <w:noProof/>
                <w:sz w:val="22"/>
                <w:szCs w:val="22"/>
              </w:rPr>
              <w:t xml:space="preserve"> </w:t>
            </w:r>
          </w:p>
          <w:p w14:paraId="065B89D5" w14:textId="77777777" w:rsidR="00EE3DF9" w:rsidRPr="00F5382B" w:rsidRDefault="00EE3DF9">
            <w:pPr>
              <w:spacing w:after="120"/>
              <w:rPr>
                <w:noProof/>
                <w:sz w:val="22"/>
                <w:szCs w:val="22"/>
              </w:rPr>
            </w:pPr>
            <w:r w:rsidRPr="00F5382B">
              <w:rPr>
                <w:noProof/>
                <w:sz w:val="22"/>
                <w:szCs w:val="22"/>
              </w:rPr>
              <w:t xml:space="preserve"> </w:t>
            </w:r>
          </w:p>
        </w:tc>
        <w:tc>
          <w:tcPr>
            <w:tcW w:w="1843" w:type="dxa"/>
            <w:vMerge w:val="restart"/>
            <w:tcBorders>
              <w:top w:val="single" w:sz="8" w:space="0" w:color="auto"/>
              <w:left w:val="single" w:sz="8" w:space="0" w:color="auto"/>
              <w:right w:val="single" w:sz="8" w:space="0" w:color="auto"/>
            </w:tcBorders>
            <w:tcMar>
              <w:left w:w="108" w:type="dxa"/>
              <w:right w:w="108" w:type="dxa"/>
            </w:tcMar>
          </w:tcPr>
          <w:p w14:paraId="00C36C07" w14:textId="77777777" w:rsidR="00EE3DF9" w:rsidRPr="00F5382B" w:rsidRDefault="00EE3DF9">
            <w:pPr>
              <w:spacing w:after="120"/>
              <w:rPr>
                <w:noProof/>
                <w:sz w:val="22"/>
                <w:szCs w:val="22"/>
              </w:rPr>
            </w:pPr>
            <w:r w:rsidRPr="00F5382B">
              <w:rPr>
                <w:noProof/>
                <w:sz w:val="22"/>
                <w:szCs w:val="22"/>
              </w:rPr>
              <w:t xml:space="preserve">Estimated gap of 299,000 professionals missing in the EU in 2024 </w:t>
            </w:r>
            <w:r w:rsidRPr="00F5382B">
              <w:rPr>
                <w:rStyle w:val="FootnoteReference"/>
                <w:noProof/>
                <w:sz w:val="22"/>
                <w:szCs w:val="22"/>
              </w:rPr>
              <w:footnoteReference w:id="251"/>
            </w:r>
          </w:p>
        </w:tc>
        <w:tc>
          <w:tcPr>
            <w:tcW w:w="1583" w:type="dxa"/>
            <w:vMerge w:val="restart"/>
            <w:tcBorders>
              <w:top w:val="single" w:sz="8" w:space="0" w:color="auto"/>
              <w:left w:val="single" w:sz="8" w:space="0" w:color="auto"/>
              <w:right w:val="single" w:sz="8" w:space="0" w:color="auto"/>
            </w:tcBorders>
            <w:tcMar>
              <w:left w:w="108" w:type="dxa"/>
              <w:right w:w="108" w:type="dxa"/>
            </w:tcMar>
          </w:tcPr>
          <w:p w14:paraId="6413EC22" w14:textId="77777777" w:rsidR="00EE3DF9" w:rsidRPr="00F5382B" w:rsidRDefault="00EE3DF9">
            <w:pPr>
              <w:spacing w:after="120"/>
              <w:jc w:val="center"/>
              <w:rPr>
                <w:noProof/>
                <w:sz w:val="22"/>
                <w:szCs w:val="22"/>
              </w:rPr>
            </w:pPr>
            <w:r w:rsidRPr="00F5382B">
              <w:rPr>
                <w:noProof/>
                <w:sz w:val="22"/>
                <w:szCs w:val="22"/>
              </w:rPr>
              <w:t>Companies and businesses</w:t>
            </w:r>
          </w:p>
          <w:p w14:paraId="6B56B8E7" w14:textId="77777777" w:rsidR="00EE3DF9" w:rsidRPr="00F5382B" w:rsidRDefault="00EE3DF9">
            <w:pPr>
              <w:spacing w:after="120"/>
              <w:jc w:val="center"/>
              <w:rPr>
                <w:noProof/>
                <w:sz w:val="22"/>
                <w:szCs w:val="22"/>
              </w:rPr>
            </w:pPr>
            <w:r w:rsidRPr="00F5382B">
              <w:rPr>
                <w:noProof/>
                <w:sz w:val="22"/>
                <w:szCs w:val="22"/>
              </w:rPr>
              <w:t>Public authorities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79007871" w14:textId="77777777" w:rsidR="00EE3DF9" w:rsidRPr="00F5382B" w:rsidRDefault="00EE3DF9">
            <w:pPr>
              <w:spacing w:after="120"/>
              <w:jc w:val="left"/>
              <w:rPr>
                <w:noProof/>
                <w:sz w:val="22"/>
                <w:szCs w:val="22"/>
              </w:rPr>
            </w:pPr>
            <w:r w:rsidRPr="00F5382B">
              <w:rPr>
                <w:noProof/>
                <w:sz w:val="22"/>
                <w:szCs w:val="22"/>
              </w:rPr>
              <w:t>Difficulties to hire and adequately train professional; competition amongst employers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22197114" w14:textId="77777777" w:rsidR="00EE3DF9" w:rsidRPr="00F5382B" w:rsidRDefault="00EE3DF9">
            <w:pPr>
              <w:spacing w:after="120"/>
              <w:rPr>
                <w:noProof/>
                <w:sz w:val="22"/>
                <w:szCs w:val="22"/>
              </w:rPr>
            </w:pPr>
            <w:r w:rsidRPr="00F5382B">
              <w:rPr>
                <w:noProof/>
                <w:sz w:val="22"/>
                <w:szCs w:val="22"/>
              </w:rPr>
              <w:t xml:space="preserve">More than half of the companies that searched for adequate candidates experienced difficulties, such as finding qualified candidates (45%), because of lack of candidates (44%), lack of awareness (22%) and budget constraints (16%) </w:t>
            </w:r>
            <w:r w:rsidRPr="00F5382B">
              <w:rPr>
                <w:rStyle w:val="FootnoteReference"/>
                <w:noProof/>
                <w:sz w:val="22"/>
                <w:szCs w:val="22"/>
              </w:rPr>
              <w:footnoteReference w:id="252"/>
            </w:r>
          </w:p>
          <w:p w14:paraId="4513C0A4" w14:textId="77777777" w:rsidR="00EE3DF9" w:rsidRPr="00F5382B" w:rsidRDefault="00EE3DF9">
            <w:pPr>
              <w:spacing w:after="120"/>
              <w:rPr>
                <w:noProof/>
                <w:sz w:val="22"/>
                <w:szCs w:val="22"/>
              </w:rPr>
            </w:pPr>
            <w:r w:rsidRPr="00F5382B">
              <w:rPr>
                <w:noProof/>
                <w:sz w:val="22"/>
                <w:szCs w:val="22"/>
              </w:rPr>
              <w:t>57% of companies say their employees involved in cybersecurity absorbed this role into an existing non-cyber security related role. 34% of companies have recruited from a non-cyber security related previous role</w:t>
            </w:r>
            <w:r w:rsidRPr="00F5382B">
              <w:rPr>
                <w:rStyle w:val="FootnoteReference"/>
                <w:noProof/>
                <w:sz w:val="22"/>
                <w:szCs w:val="22"/>
              </w:rPr>
              <w:footnoteReference w:id="253"/>
            </w:r>
          </w:p>
        </w:tc>
      </w:tr>
      <w:tr w:rsidR="00EE3DF9" w:rsidRPr="00F5382B" w14:paraId="6E7C64CF" w14:textId="77777777">
        <w:trPr>
          <w:trHeight w:val="300"/>
        </w:trPr>
        <w:tc>
          <w:tcPr>
            <w:tcW w:w="1809" w:type="dxa"/>
            <w:vMerge/>
            <w:tcMar>
              <w:left w:w="108" w:type="dxa"/>
              <w:right w:w="108" w:type="dxa"/>
            </w:tcMar>
          </w:tcPr>
          <w:p w14:paraId="16F455BF" w14:textId="77777777" w:rsidR="00EE3DF9" w:rsidRPr="00F5382B" w:rsidRDefault="00EE3DF9">
            <w:pPr>
              <w:spacing w:after="120"/>
              <w:rPr>
                <w:noProof/>
                <w:sz w:val="22"/>
                <w:szCs w:val="22"/>
              </w:rPr>
            </w:pPr>
          </w:p>
        </w:tc>
        <w:tc>
          <w:tcPr>
            <w:tcW w:w="1843" w:type="dxa"/>
            <w:vMerge/>
            <w:tcMar>
              <w:left w:w="108" w:type="dxa"/>
              <w:right w:w="108" w:type="dxa"/>
            </w:tcMar>
          </w:tcPr>
          <w:p w14:paraId="368A2CBF" w14:textId="77777777" w:rsidR="00EE3DF9" w:rsidRPr="00F5382B" w:rsidRDefault="00EE3DF9">
            <w:pPr>
              <w:spacing w:after="120"/>
              <w:rPr>
                <w:noProof/>
                <w:sz w:val="22"/>
                <w:szCs w:val="22"/>
              </w:rPr>
            </w:pPr>
          </w:p>
        </w:tc>
        <w:tc>
          <w:tcPr>
            <w:tcW w:w="1583" w:type="dxa"/>
            <w:vMerge/>
            <w:tcMar>
              <w:left w:w="108" w:type="dxa"/>
              <w:right w:w="108" w:type="dxa"/>
            </w:tcMar>
          </w:tcPr>
          <w:p w14:paraId="6DE3633E" w14:textId="77777777" w:rsidR="00EE3DF9" w:rsidRPr="00F5382B" w:rsidRDefault="00EE3DF9">
            <w:pPr>
              <w:spacing w:after="120"/>
              <w:jc w:val="center"/>
              <w:rPr>
                <w:noProof/>
                <w:sz w:val="22"/>
                <w:szCs w:val="22"/>
              </w:rPr>
            </w:pP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476322C8" w14:textId="77777777" w:rsidR="00EE3DF9" w:rsidRPr="00F5382B" w:rsidRDefault="00EE3DF9">
            <w:pPr>
              <w:spacing w:after="120"/>
              <w:jc w:val="left"/>
              <w:rPr>
                <w:noProof/>
                <w:sz w:val="22"/>
                <w:szCs w:val="22"/>
              </w:rPr>
            </w:pPr>
            <w:r w:rsidRPr="00F5382B">
              <w:rPr>
                <w:noProof/>
                <w:sz w:val="22"/>
                <w:szCs w:val="22"/>
              </w:rPr>
              <w:t>Vulnerability to cybersecurity incidents / weakening of the security of organisations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413A23CE" w14:textId="77777777" w:rsidR="00EE3DF9" w:rsidRPr="00F5382B" w:rsidRDefault="00EE3DF9">
            <w:pPr>
              <w:spacing w:after="120"/>
              <w:rPr>
                <w:noProof/>
                <w:sz w:val="22"/>
                <w:szCs w:val="22"/>
              </w:rPr>
            </w:pPr>
            <w:r w:rsidRPr="00F5382B">
              <w:rPr>
                <w:noProof/>
                <w:sz w:val="22"/>
                <w:szCs w:val="22"/>
              </w:rPr>
              <w:t>Nearly 50% of SMEs indicate that a lack of in-house cybersecurity expertise leaves them vulnerable to cyber incidents</w:t>
            </w:r>
            <w:r w:rsidRPr="00F5382B">
              <w:rPr>
                <w:rStyle w:val="FootnoteReference"/>
                <w:noProof/>
                <w:sz w:val="22"/>
                <w:szCs w:val="22"/>
              </w:rPr>
              <w:footnoteReference w:id="254"/>
            </w:r>
            <w:r w:rsidRPr="00F5382B">
              <w:rPr>
                <w:noProof/>
                <w:sz w:val="22"/>
                <w:szCs w:val="22"/>
              </w:rPr>
              <w:t xml:space="preserve"> </w:t>
            </w:r>
          </w:p>
        </w:tc>
      </w:tr>
      <w:tr w:rsidR="00EE3DF9" w:rsidRPr="00F5382B" w14:paraId="417A60FC" w14:textId="77777777">
        <w:trPr>
          <w:trHeight w:val="300"/>
        </w:trPr>
        <w:tc>
          <w:tcPr>
            <w:tcW w:w="1809" w:type="dxa"/>
            <w:vMerge/>
            <w:tcMar>
              <w:left w:w="108" w:type="dxa"/>
              <w:right w:w="108" w:type="dxa"/>
            </w:tcMar>
          </w:tcPr>
          <w:p w14:paraId="35344446" w14:textId="77777777" w:rsidR="00EE3DF9" w:rsidRPr="00F5382B" w:rsidRDefault="00EE3DF9">
            <w:pPr>
              <w:spacing w:after="120"/>
              <w:rPr>
                <w:noProof/>
                <w:sz w:val="22"/>
                <w:szCs w:val="22"/>
              </w:rPr>
            </w:pPr>
          </w:p>
        </w:tc>
        <w:tc>
          <w:tcPr>
            <w:tcW w:w="1843" w:type="dxa"/>
            <w:vMerge/>
            <w:tcMar>
              <w:left w:w="108" w:type="dxa"/>
              <w:right w:w="108" w:type="dxa"/>
            </w:tcMar>
          </w:tcPr>
          <w:p w14:paraId="312BFAA3" w14:textId="77777777" w:rsidR="00EE3DF9" w:rsidRPr="00F5382B" w:rsidRDefault="00EE3DF9">
            <w:pPr>
              <w:spacing w:after="120"/>
              <w:rPr>
                <w:noProof/>
                <w:sz w:val="22"/>
                <w:szCs w:val="22"/>
              </w:rPr>
            </w:pPr>
          </w:p>
        </w:tc>
        <w:tc>
          <w:tcPr>
            <w:tcW w:w="1583" w:type="dxa"/>
            <w:vMerge/>
            <w:tcMar>
              <w:left w:w="108" w:type="dxa"/>
              <w:right w:w="108" w:type="dxa"/>
            </w:tcMar>
          </w:tcPr>
          <w:p w14:paraId="7F3B0472" w14:textId="77777777" w:rsidR="00EE3DF9" w:rsidRPr="00F5382B" w:rsidRDefault="00EE3DF9">
            <w:pPr>
              <w:spacing w:after="120"/>
              <w:jc w:val="center"/>
              <w:rPr>
                <w:noProof/>
                <w:sz w:val="22"/>
                <w:szCs w:val="22"/>
              </w:rPr>
            </w:pP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16268353" w14:textId="77777777" w:rsidR="00EE3DF9" w:rsidRPr="00F5382B" w:rsidRDefault="00EE3DF9">
            <w:pPr>
              <w:spacing w:after="120"/>
              <w:jc w:val="left"/>
              <w:rPr>
                <w:noProof/>
                <w:sz w:val="22"/>
                <w:szCs w:val="22"/>
              </w:rPr>
            </w:pPr>
            <w:r w:rsidRPr="00F5382B">
              <w:rPr>
                <w:noProof/>
                <w:sz w:val="22"/>
                <w:szCs w:val="22"/>
              </w:rPr>
              <w:t>Incapacity to follow up on technological development / loss of competitiveness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5E88CF02" w14:textId="77777777" w:rsidR="00EE3DF9" w:rsidRPr="00F5382B" w:rsidRDefault="00EE3DF9">
            <w:pPr>
              <w:spacing w:after="120"/>
              <w:rPr>
                <w:noProof/>
                <w:sz w:val="22"/>
                <w:szCs w:val="22"/>
              </w:rPr>
            </w:pPr>
            <w:r w:rsidRPr="00F5382B">
              <w:rPr>
                <w:noProof/>
                <w:sz w:val="22"/>
                <w:szCs w:val="22"/>
              </w:rPr>
              <w:t>The Draghi report explicitly identifies that competitiveness is less about relative labour costs and more about knowledge and skills embodied in the labour force</w:t>
            </w:r>
            <w:r w:rsidRPr="00F5382B">
              <w:rPr>
                <w:rStyle w:val="FootnoteReference"/>
                <w:noProof/>
                <w:sz w:val="22"/>
                <w:szCs w:val="22"/>
              </w:rPr>
              <w:footnoteReference w:id="255"/>
            </w:r>
            <w:r w:rsidRPr="00F5382B">
              <w:rPr>
                <w:noProof/>
                <w:sz w:val="22"/>
                <w:szCs w:val="22"/>
              </w:rPr>
              <w:t>.</w:t>
            </w:r>
          </w:p>
        </w:tc>
      </w:tr>
      <w:tr w:rsidR="00EE3DF9" w:rsidRPr="00F5382B" w14:paraId="26E6E6C6" w14:textId="77777777">
        <w:trPr>
          <w:trHeight w:val="300"/>
        </w:trPr>
        <w:tc>
          <w:tcPr>
            <w:tcW w:w="1809" w:type="dxa"/>
            <w:vMerge/>
            <w:tcMar>
              <w:left w:w="108" w:type="dxa"/>
              <w:right w:w="108" w:type="dxa"/>
            </w:tcMar>
          </w:tcPr>
          <w:p w14:paraId="0EE7748C" w14:textId="77777777" w:rsidR="00EE3DF9" w:rsidRPr="00F5382B" w:rsidRDefault="00EE3DF9">
            <w:pPr>
              <w:spacing w:after="120"/>
              <w:rPr>
                <w:noProof/>
                <w:sz w:val="22"/>
                <w:szCs w:val="22"/>
              </w:rPr>
            </w:pPr>
          </w:p>
        </w:tc>
        <w:tc>
          <w:tcPr>
            <w:tcW w:w="1843" w:type="dxa"/>
            <w:vMerge/>
            <w:tcMar>
              <w:left w:w="108" w:type="dxa"/>
              <w:right w:w="108" w:type="dxa"/>
            </w:tcMar>
          </w:tcPr>
          <w:p w14:paraId="606EDFE5" w14:textId="77777777" w:rsidR="00EE3DF9" w:rsidRPr="00F5382B" w:rsidRDefault="00EE3DF9">
            <w:pPr>
              <w:spacing w:after="12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18904782" w14:textId="77777777" w:rsidR="00EE3DF9" w:rsidRPr="00F5382B" w:rsidRDefault="00EE3DF9">
            <w:pPr>
              <w:spacing w:after="120"/>
              <w:jc w:val="center"/>
              <w:rPr>
                <w:noProof/>
                <w:sz w:val="22"/>
                <w:szCs w:val="22"/>
              </w:rPr>
            </w:pPr>
            <w:r w:rsidRPr="00F5382B">
              <w:rPr>
                <w:noProof/>
                <w:sz w:val="22"/>
                <w:szCs w:val="22"/>
              </w:rPr>
              <w:t>Academia</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72140E9B" w14:textId="77777777" w:rsidR="00EE3DF9" w:rsidRPr="00F5382B" w:rsidRDefault="00EE3DF9">
            <w:pPr>
              <w:spacing w:after="120"/>
              <w:jc w:val="left"/>
              <w:rPr>
                <w:noProof/>
                <w:sz w:val="22"/>
                <w:szCs w:val="22"/>
              </w:rPr>
            </w:pPr>
            <w:r w:rsidRPr="00F5382B">
              <w:rPr>
                <w:noProof/>
                <w:sz w:val="22"/>
                <w:szCs w:val="22"/>
              </w:rPr>
              <w:t>Difficulty in attracting academic knowledge and expertise to academia, with consequences on discrepancy between academic programmes/employers needs</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06813BFC" w14:textId="77777777" w:rsidR="00EE3DF9" w:rsidRPr="00F5382B" w:rsidRDefault="00EE3DF9">
            <w:pPr>
              <w:spacing w:after="120"/>
              <w:rPr>
                <w:noProof/>
                <w:sz w:val="22"/>
                <w:szCs w:val="22"/>
              </w:rPr>
            </w:pPr>
            <w:r w:rsidRPr="00F5382B">
              <w:rPr>
                <w:noProof/>
                <w:sz w:val="22"/>
                <w:szCs w:val="22"/>
              </w:rPr>
              <w:t>There are not enough academic institutions achieving top levels of excellence and the pipeline from innovation into commercialisation is weak</w:t>
            </w:r>
            <w:r w:rsidRPr="00F5382B">
              <w:rPr>
                <w:rStyle w:val="FootnoteReference"/>
                <w:noProof/>
                <w:sz w:val="22"/>
                <w:szCs w:val="22"/>
              </w:rPr>
              <w:footnoteReference w:id="256"/>
            </w:r>
            <w:r w:rsidRPr="00F5382B">
              <w:rPr>
                <w:noProof/>
                <w:sz w:val="22"/>
                <w:szCs w:val="22"/>
              </w:rPr>
              <w:t xml:space="preserve"> </w:t>
            </w:r>
          </w:p>
        </w:tc>
      </w:tr>
      <w:tr w:rsidR="00EE3DF9" w:rsidRPr="00F5382B" w14:paraId="27FDD561" w14:textId="77777777">
        <w:trPr>
          <w:trHeight w:val="1393"/>
        </w:trPr>
        <w:tc>
          <w:tcPr>
            <w:tcW w:w="1809" w:type="dxa"/>
            <w:vMerge w:val="restart"/>
            <w:tcBorders>
              <w:top w:val="single" w:sz="8" w:space="0" w:color="auto"/>
              <w:left w:val="single" w:sz="8" w:space="0" w:color="auto"/>
              <w:right w:val="single" w:sz="8" w:space="0" w:color="auto"/>
            </w:tcBorders>
            <w:tcMar>
              <w:left w:w="108" w:type="dxa"/>
              <w:right w:w="108" w:type="dxa"/>
            </w:tcMar>
          </w:tcPr>
          <w:p w14:paraId="03300490" w14:textId="77777777" w:rsidR="00EE3DF9" w:rsidRPr="00F5382B" w:rsidRDefault="00EE3DF9">
            <w:pPr>
              <w:spacing w:after="120"/>
              <w:rPr>
                <w:noProof/>
                <w:sz w:val="22"/>
                <w:szCs w:val="22"/>
              </w:rPr>
            </w:pPr>
            <w:r w:rsidRPr="00F5382B">
              <w:rPr>
                <w:noProof/>
                <w:sz w:val="22"/>
                <w:szCs w:val="22"/>
              </w:rPr>
              <w:t xml:space="preserve">Proliferation of national cybersecurity certification schemes </w:t>
            </w:r>
          </w:p>
        </w:tc>
        <w:tc>
          <w:tcPr>
            <w:tcW w:w="1843" w:type="dxa"/>
            <w:vMerge w:val="restart"/>
            <w:tcBorders>
              <w:top w:val="single" w:sz="8" w:space="0" w:color="auto"/>
              <w:left w:val="single" w:sz="8" w:space="0" w:color="auto"/>
              <w:right w:val="single" w:sz="8" w:space="0" w:color="auto"/>
            </w:tcBorders>
            <w:tcMar>
              <w:left w:w="108" w:type="dxa"/>
              <w:right w:w="108" w:type="dxa"/>
            </w:tcMar>
          </w:tcPr>
          <w:p w14:paraId="642BB87D" w14:textId="77777777" w:rsidR="00EE3DF9" w:rsidRPr="00F5382B" w:rsidRDefault="00EE3DF9">
            <w:pPr>
              <w:spacing w:after="120"/>
              <w:rPr>
                <w:noProof/>
                <w:sz w:val="22"/>
                <w:szCs w:val="22"/>
              </w:rPr>
            </w:pPr>
            <w:r w:rsidRPr="00F5382B">
              <w:rPr>
                <w:noProof/>
                <w:sz w:val="22"/>
                <w:szCs w:val="22"/>
              </w:rPr>
              <w:t>The 2024 ENISA report on Market of Cybersecurity Assessments shows proliferation of certification schemes across different technologies and sectors, while at the same time there continues to be a strong market demand for security assurance based on certification schemes</w:t>
            </w:r>
            <w:r w:rsidRPr="00F5382B">
              <w:rPr>
                <w:rStyle w:val="FootnoteReference"/>
                <w:noProof/>
                <w:sz w:val="22"/>
                <w:szCs w:val="22"/>
              </w:rPr>
              <w:footnoteReference w:id="257"/>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7C518BBE" w14:textId="77777777" w:rsidR="00EE3DF9" w:rsidRPr="00F5382B" w:rsidRDefault="00EE3DF9">
            <w:pPr>
              <w:spacing w:after="120"/>
              <w:jc w:val="center"/>
              <w:rPr>
                <w:noProof/>
                <w:sz w:val="22"/>
                <w:szCs w:val="22"/>
              </w:rPr>
            </w:pPr>
            <w:r w:rsidRPr="00F5382B">
              <w:rPr>
                <w:noProof/>
                <w:sz w:val="22"/>
                <w:szCs w:val="22"/>
              </w:rPr>
              <w:t>National authorities</w:t>
            </w:r>
          </w:p>
          <w:p w14:paraId="5F6B044A" w14:textId="77777777" w:rsidR="00EE3DF9" w:rsidRPr="00F5382B" w:rsidRDefault="00EE3DF9">
            <w:pPr>
              <w:spacing w:after="120"/>
              <w:jc w:val="center"/>
              <w:rPr>
                <w:i/>
                <w:noProof/>
                <w:sz w:val="22"/>
                <w:szCs w:val="22"/>
              </w:rPr>
            </w:pPr>
            <w:r w:rsidRPr="00F5382B">
              <w:rPr>
                <w:noProof/>
                <w:sz w:val="22"/>
                <w:szCs w:val="22"/>
              </w:rPr>
              <w:t>EU institutions</w:t>
            </w:r>
          </w:p>
        </w:tc>
        <w:tc>
          <w:tcPr>
            <w:tcW w:w="2046" w:type="dxa"/>
            <w:tcBorders>
              <w:top w:val="single" w:sz="8" w:space="0" w:color="auto"/>
              <w:left w:val="single" w:sz="8" w:space="0" w:color="auto"/>
              <w:right w:val="single" w:sz="8" w:space="0" w:color="auto"/>
            </w:tcBorders>
            <w:tcMar>
              <w:left w:w="108" w:type="dxa"/>
              <w:right w:w="108" w:type="dxa"/>
            </w:tcMar>
          </w:tcPr>
          <w:p w14:paraId="279065EC" w14:textId="77777777" w:rsidR="00EE3DF9" w:rsidRPr="00F5382B" w:rsidRDefault="00EE3DF9">
            <w:pPr>
              <w:spacing w:after="120"/>
              <w:jc w:val="left"/>
              <w:rPr>
                <w:noProof/>
                <w:sz w:val="22"/>
                <w:szCs w:val="22"/>
              </w:rPr>
            </w:pPr>
            <w:r w:rsidRPr="00F5382B">
              <w:rPr>
                <w:noProof/>
                <w:sz w:val="22"/>
                <w:szCs w:val="22"/>
              </w:rPr>
              <w:t>Fragmented cybersecurity across the EU creating strategic weaknesses</w:t>
            </w:r>
          </w:p>
        </w:tc>
        <w:tc>
          <w:tcPr>
            <w:tcW w:w="6861" w:type="dxa"/>
            <w:tcBorders>
              <w:top w:val="single" w:sz="8" w:space="0" w:color="auto"/>
              <w:left w:val="single" w:sz="8" w:space="0" w:color="auto"/>
              <w:right w:val="single" w:sz="8" w:space="0" w:color="auto"/>
            </w:tcBorders>
            <w:tcMar>
              <w:left w:w="108" w:type="dxa"/>
              <w:right w:w="108" w:type="dxa"/>
            </w:tcMar>
          </w:tcPr>
          <w:p w14:paraId="69A2DCCF" w14:textId="77777777" w:rsidR="00EE3DF9" w:rsidRPr="00F5382B" w:rsidRDefault="00EE3DF9">
            <w:pPr>
              <w:spacing w:after="120"/>
              <w:rPr>
                <w:noProof/>
                <w:sz w:val="22"/>
                <w:szCs w:val="22"/>
                <w:lang w:val="en-IE"/>
              </w:rPr>
            </w:pPr>
            <w:r w:rsidRPr="00F5382B">
              <w:rPr>
                <w:noProof/>
                <w:sz w:val="22"/>
                <w:szCs w:val="22"/>
              </w:rPr>
              <w:t>The 2024 Report on the State of the Cybersecurity in the Union</w:t>
            </w:r>
            <w:r w:rsidRPr="00F5382B">
              <w:rPr>
                <w:rStyle w:val="FootnoteReference"/>
                <w:noProof/>
              </w:rPr>
              <w:footnoteReference w:id="258"/>
            </w:r>
            <w:r w:rsidRPr="00F5382B">
              <w:rPr>
                <w:noProof/>
                <w:sz w:val="22"/>
                <w:szCs w:val="22"/>
              </w:rPr>
              <w:t xml:space="preserve"> clearly shows uneven level of cybersecurity capability and maturity across member states creating strategic gaps and weaknesses in the Unions attack surface, which is interconnected through supply chains.</w:t>
            </w:r>
          </w:p>
        </w:tc>
      </w:tr>
      <w:tr w:rsidR="00EE3DF9" w:rsidRPr="00F5382B" w14:paraId="77238C81" w14:textId="77777777">
        <w:trPr>
          <w:trHeight w:val="2260"/>
        </w:trPr>
        <w:tc>
          <w:tcPr>
            <w:tcW w:w="1809" w:type="dxa"/>
            <w:vMerge/>
            <w:tcMar>
              <w:left w:w="108" w:type="dxa"/>
              <w:right w:w="108" w:type="dxa"/>
            </w:tcMar>
          </w:tcPr>
          <w:p w14:paraId="4FEFBE75" w14:textId="77777777" w:rsidR="00EE3DF9" w:rsidRPr="00F5382B" w:rsidRDefault="00EE3DF9">
            <w:pPr>
              <w:spacing w:after="160"/>
              <w:rPr>
                <w:noProof/>
                <w:sz w:val="22"/>
                <w:szCs w:val="22"/>
              </w:rPr>
            </w:pPr>
          </w:p>
        </w:tc>
        <w:tc>
          <w:tcPr>
            <w:tcW w:w="1843" w:type="dxa"/>
            <w:vMerge/>
            <w:tcMar>
              <w:left w:w="108" w:type="dxa"/>
              <w:right w:w="108" w:type="dxa"/>
            </w:tcMar>
          </w:tcPr>
          <w:p w14:paraId="3B6A6EA3" w14:textId="77777777" w:rsidR="00EE3DF9" w:rsidRPr="00F5382B" w:rsidRDefault="00EE3DF9">
            <w:pPr>
              <w:spacing w:after="16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7D233EC6" w14:textId="77777777" w:rsidR="00EE3DF9" w:rsidRPr="00F5382B" w:rsidRDefault="00EE3DF9">
            <w:pPr>
              <w:jc w:val="center"/>
              <w:rPr>
                <w:noProof/>
                <w:sz w:val="22"/>
                <w:szCs w:val="22"/>
              </w:rPr>
            </w:pPr>
            <w:r w:rsidRPr="00F5382B">
              <w:rPr>
                <w:noProof/>
                <w:sz w:val="22"/>
                <w:szCs w:val="22"/>
              </w:rPr>
              <w:t>Companies and businesses</w:t>
            </w:r>
          </w:p>
          <w:p w14:paraId="4C2C30C8" w14:textId="77777777" w:rsidR="00EE3DF9" w:rsidRPr="00F5382B" w:rsidRDefault="00EE3DF9">
            <w:pPr>
              <w:jc w:val="center"/>
              <w:rPr>
                <w:noProof/>
                <w:sz w:val="22"/>
                <w:szCs w:val="22"/>
              </w:rPr>
            </w:pPr>
            <w:r w:rsidRPr="00F5382B">
              <w:rPr>
                <w:noProof/>
                <w:sz w:val="22"/>
                <w:szCs w:val="22"/>
              </w:rPr>
              <w:t>EU citizens</w:t>
            </w:r>
          </w:p>
        </w:tc>
        <w:tc>
          <w:tcPr>
            <w:tcW w:w="2046" w:type="dxa"/>
            <w:tcBorders>
              <w:left w:val="single" w:sz="8" w:space="0" w:color="auto"/>
              <w:right w:val="single" w:sz="8" w:space="0" w:color="auto"/>
            </w:tcBorders>
            <w:tcMar>
              <w:left w:w="108" w:type="dxa"/>
              <w:right w:w="108" w:type="dxa"/>
            </w:tcMar>
          </w:tcPr>
          <w:p w14:paraId="5658566D" w14:textId="77777777" w:rsidR="00EE3DF9" w:rsidRPr="00F5382B" w:rsidRDefault="00EE3DF9">
            <w:pPr>
              <w:spacing w:after="160"/>
              <w:jc w:val="left"/>
              <w:rPr>
                <w:noProof/>
                <w:sz w:val="22"/>
                <w:szCs w:val="22"/>
              </w:rPr>
            </w:pPr>
            <w:r w:rsidRPr="00F5382B">
              <w:rPr>
                <w:noProof/>
                <w:sz w:val="22"/>
                <w:szCs w:val="22"/>
              </w:rPr>
              <w:t>Lack of trust in security of ICT solutions limiting the Unions ability to adopt data-driven solutions at large</w:t>
            </w:r>
          </w:p>
        </w:tc>
        <w:tc>
          <w:tcPr>
            <w:tcW w:w="6861" w:type="dxa"/>
            <w:tcBorders>
              <w:left w:val="single" w:sz="8" w:space="0" w:color="auto"/>
              <w:right w:val="single" w:sz="8" w:space="0" w:color="auto"/>
            </w:tcBorders>
            <w:tcMar>
              <w:left w:w="108" w:type="dxa"/>
              <w:right w:w="108" w:type="dxa"/>
            </w:tcMar>
          </w:tcPr>
          <w:p w14:paraId="15F87169" w14:textId="77777777" w:rsidR="00EE3DF9" w:rsidRPr="00F5382B" w:rsidRDefault="00EE3DF9">
            <w:pPr>
              <w:spacing w:after="160"/>
              <w:rPr>
                <w:noProof/>
                <w:sz w:val="22"/>
                <w:szCs w:val="22"/>
                <w:lang w:val="en-IE"/>
              </w:rPr>
            </w:pPr>
            <w:r w:rsidRPr="00F5382B">
              <w:rPr>
                <w:noProof/>
                <w:sz w:val="22"/>
                <w:szCs w:val="22"/>
              </w:rPr>
              <w:t>The 2025 Digital Trust Index</w:t>
            </w:r>
            <w:r w:rsidRPr="00F5382B">
              <w:rPr>
                <w:rStyle w:val="FootnoteReference"/>
                <w:noProof/>
                <w:sz w:val="22"/>
                <w:szCs w:val="22"/>
              </w:rPr>
              <w:footnoteReference w:id="259"/>
            </w:r>
            <w:r w:rsidRPr="00F5382B">
              <w:rPr>
                <w:noProof/>
                <w:sz w:val="22"/>
                <w:szCs w:val="22"/>
              </w:rPr>
              <w:t xml:space="preserve"> has shown that the global trust in digital services is declining. This has been impacting the use of cutting-edge technologies by customers</w:t>
            </w:r>
            <w:r w:rsidRPr="00F5382B">
              <w:rPr>
                <w:rStyle w:val="FootnoteReference"/>
                <w:noProof/>
                <w:sz w:val="22"/>
                <w:szCs w:val="22"/>
              </w:rPr>
              <w:footnoteReference w:id="260"/>
            </w:r>
            <w:r w:rsidRPr="00F5382B">
              <w:rPr>
                <w:noProof/>
                <w:sz w:val="22"/>
                <w:szCs w:val="22"/>
              </w:rPr>
              <w:t xml:space="preserve"> . The importance of trust in security of data has also been recognised in the G7 Leaders’ Communiqué</w:t>
            </w:r>
            <w:r w:rsidRPr="00F5382B">
              <w:rPr>
                <w:rStyle w:val="FootnoteReference"/>
                <w:noProof/>
                <w:sz w:val="22"/>
                <w:szCs w:val="22"/>
              </w:rPr>
              <w:footnoteReference w:id="261"/>
            </w:r>
            <w:r w:rsidRPr="00F5382B">
              <w:rPr>
                <w:noProof/>
                <w:sz w:val="22"/>
                <w:szCs w:val="22"/>
              </w:rPr>
              <w:t>.</w:t>
            </w:r>
          </w:p>
        </w:tc>
      </w:tr>
      <w:tr w:rsidR="00EE3DF9" w:rsidRPr="00F5382B" w14:paraId="1A2ED15E" w14:textId="77777777">
        <w:trPr>
          <w:trHeight w:val="406"/>
        </w:trPr>
        <w:tc>
          <w:tcPr>
            <w:tcW w:w="1809" w:type="dxa"/>
            <w:vMerge/>
            <w:tcMar>
              <w:left w:w="108" w:type="dxa"/>
              <w:right w:w="108" w:type="dxa"/>
            </w:tcMar>
          </w:tcPr>
          <w:p w14:paraId="29D21605" w14:textId="77777777" w:rsidR="00EE3DF9" w:rsidRPr="00F5382B" w:rsidRDefault="00EE3DF9">
            <w:pPr>
              <w:spacing w:after="160"/>
              <w:rPr>
                <w:noProof/>
                <w:sz w:val="22"/>
                <w:szCs w:val="22"/>
              </w:rPr>
            </w:pPr>
          </w:p>
        </w:tc>
        <w:tc>
          <w:tcPr>
            <w:tcW w:w="1843" w:type="dxa"/>
            <w:vMerge/>
            <w:tcMar>
              <w:left w:w="108" w:type="dxa"/>
              <w:right w:w="108" w:type="dxa"/>
            </w:tcMar>
          </w:tcPr>
          <w:p w14:paraId="7BA379AE" w14:textId="77777777" w:rsidR="00EE3DF9" w:rsidRPr="00F5382B" w:rsidRDefault="00EE3DF9">
            <w:pPr>
              <w:spacing w:after="16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49800D6F" w14:textId="77777777" w:rsidR="00EE3DF9" w:rsidRPr="00F5382B" w:rsidRDefault="00EE3DF9">
            <w:pPr>
              <w:jc w:val="center"/>
              <w:rPr>
                <w:noProof/>
                <w:sz w:val="22"/>
                <w:szCs w:val="22"/>
              </w:rPr>
            </w:pPr>
            <w:r w:rsidRPr="00F5382B">
              <w:rPr>
                <w:noProof/>
                <w:sz w:val="22"/>
                <w:szCs w:val="22"/>
              </w:rPr>
              <w:t>Companies and businesses</w:t>
            </w:r>
          </w:p>
          <w:p w14:paraId="509033AA" w14:textId="77777777" w:rsidR="00EE3DF9" w:rsidRPr="00F5382B" w:rsidRDefault="00EE3DF9">
            <w:pPr>
              <w:jc w:val="center"/>
              <w:rPr>
                <w:noProof/>
                <w:sz w:val="22"/>
                <w:szCs w:val="22"/>
              </w:rPr>
            </w:pPr>
            <w:r w:rsidRPr="00F5382B">
              <w:rPr>
                <w:noProof/>
                <w:sz w:val="22"/>
                <w:szCs w:val="22"/>
              </w:rPr>
              <w:t>EU citizens</w:t>
            </w:r>
          </w:p>
        </w:tc>
        <w:tc>
          <w:tcPr>
            <w:tcW w:w="2046" w:type="dxa"/>
            <w:tcBorders>
              <w:left w:val="single" w:sz="8" w:space="0" w:color="auto"/>
              <w:bottom w:val="single" w:sz="8" w:space="0" w:color="auto"/>
              <w:right w:val="single" w:sz="8" w:space="0" w:color="auto"/>
            </w:tcBorders>
            <w:tcMar>
              <w:left w:w="108" w:type="dxa"/>
              <w:right w:w="108" w:type="dxa"/>
            </w:tcMar>
          </w:tcPr>
          <w:p w14:paraId="471AE084" w14:textId="77777777" w:rsidR="00EE3DF9" w:rsidRPr="00F5382B" w:rsidRDefault="00EE3DF9">
            <w:pPr>
              <w:spacing w:after="160"/>
              <w:jc w:val="left"/>
              <w:rPr>
                <w:noProof/>
                <w:sz w:val="22"/>
                <w:szCs w:val="22"/>
              </w:rPr>
            </w:pPr>
            <w:r w:rsidRPr="00F5382B">
              <w:rPr>
                <w:noProof/>
                <w:sz w:val="22"/>
                <w:szCs w:val="22"/>
              </w:rPr>
              <w:t>Higher compliance costs for businesses resulting in higher prices, limited market access to the Single Market, fragmented reaction to emerging threats</w:t>
            </w:r>
          </w:p>
        </w:tc>
        <w:tc>
          <w:tcPr>
            <w:tcW w:w="6861" w:type="dxa"/>
            <w:tcBorders>
              <w:left w:val="single" w:sz="8" w:space="0" w:color="auto"/>
              <w:bottom w:val="single" w:sz="8" w:space="0" w:color="auto"/>
              <w:right w:val="single" w:sz="8" w:space="0" w:color="auto"/>
            </w:tcBorders>
            <w:tcMar>
              <w:left w:w="108" w:type="dxa"/>
              <w:right w:w="108" w:type="dxa"/>
            </w:tcMar>
          </w:tcPr>
          <w:p w14:paraId="6D240709" w14:textId="77777777" w:rsidR="00EE3DF9" w:rsidRPr="00F5382B" w:rsidRDefault="00EE3DF9">
            <w:pPr>
              <w:spacing w:after="160"/>
              <w:rPr>
                <w:noProof/>
                <w:sz w:val="22"/>
                <w:szCs w:val="22"/>
                <w:lang w:val="en-IE"/>
              </w:rPr>
            </w:pPr>
            <w:r w:rsidRPr="00F5382B">
              <w:rPr>
                <w:noProof/>
                <w:sz w:val="22"/>
                <w:szCs w:val="22"/>
              </w:rPr>
              <w:t>The negative impacts of the lack of mutual recognition and harmonised security requirements has been also acknowledged in the Draghi report on EU competitiveness</w:t>
            </w:r>
            <w:r w:rsidRPr="00F5382B">
              <w:rPr>
                <w:rStyle w:val="FootnoteReference"/>
                <w:noProof/>
                <w:sz w:val="22"/>
                <w:szCs w:val="22"/>
              </w:rPr>
              <w:footnoteReference w:id="262"/>
            </w:r>
            <w:r w:rsidRPr="00F5382B">
              <w:rPr>
                <w:noProof/>
                <w:sz w:val="22"/>
                <w:szCs w:val="22"/>
              </w:rPr>
              <w:t xml:space="preserve"> and the Niinistö report</w:t>
            </w:r>
            <w:r w:rsidRPr="00F5382B">
              <w:rPr>
                <w:rStyle w:val="FootnoteReference"/>
                <w:noProof/>
                <w:sz w:val="22"/>
                <w:szCs w:val="22"/>
              </w:rPr>
              <w:footnoteReference w:id="263"/>
            </w:r>
            <w:r w:rsidRPr="00F5382B">
              <w:rPr>
                <w:noProof/>
                <w:sz w:val="22"/>
                <w:szCs w:val="22"/>
              </w:rPr>
              <w:t xml:space="preserve">. The average cost of these certifications is around EUR 70 000 and can vary each can vary between EUR 28 750 for smaller systems to EUR 110 000 for larger and more complex systems to be assessed . This estimate would grow proportionally with the number of currently existing parallel/national schemas. </w:t>
            </w:r>
          </w:p>
        </w:tc>
      </w:tr>
      <w:tr w:rsidR="00EE3DF9" w:rsidRPr="00F5382B" w14:paraId="6A5ABB53" w14:textId="77777777">
        <w:trPr>
          <w:trHeight w:val="300"/>
        </w:trPr>
        <w:tc>
          <w:tcPr>
            <w:tcW w:w="1809" w:type="dxa"/>
            <w:tcBorders>
              <w:top w:val="single" w:sz="8" w:space="0" w:color="auto"/>
              <w:left w:val="single" w:sz="8" w:space="0" w:color="auto"/>
              <w:bottom w:val="single" w:sz="8" w:space="0" w:color="auto"/>
              <w:right w:val="single" w:sz="8" w:space="0" w:color="auto"/>
            </w:tcBorders>
            <w:tcMar>
              <w:left w:w="108" w:type="dxa"/>
              <w:right w:w="108" w:type="dxa"/>
            </w:tcMar>
          </w:tcPr>
          <w:p w14:paraId="1122C89C" w14:textId="77777777" w:rsidR="00EE3DF9" w:rsidRPr="00F5382B" w:rsidRDefault="00EE3DF9">
            <w:pPr>
              <w:spacing w:after="160"/>
              <w:rPr>
                <w:noProof/>
                <w:sz w:val="22"/>
                <w:szCs w:val="22"/>
              </w:rPr>
            </w:pPr>
            <w:r w:rsidRPr="00F5382B">
              <w:rPr>
                <w:noProof/>
                <w:sz w:val="22"/>
                <w:szCs w:val="22"/>
              </w:rPr>
              <w:t xml:space="preserve">Complexity of cybersecurity policies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E76CAC1" w14:textId="77777777" w:rsidR="00EE3DF9" w:rsidRPr="00F5382B" w:rsidRDefault="00EE3DF9">
            <w:pPr>
              <w:spacing w:after="160"/>
              <w:rPr>
                <w:noProof/>
                <w:sz w:val="22"/>
                <w:szCs w:val="22"/>
              </w:rPr>
            </w:pPr>
            <w:r w:rsidRPr="00F5382B">
              <w:rPr>
                <w:noProof/>
                <w:sz w:val="22"/>
                <w:szCs w:val="22"/>
              </w:rPr>
              <w:t xml:space="preserve">Results of the public consultation + stakeholder position papers +  Implementation Dialogue on Cybersecurity Policy by EVP Virkkunen </w:t>
            </w:r>
            <w:r w:rsidRPr="00F5382B">
              <w:rPr>
                <w:b/>
                <w:bCs/>
                <w:noProof/>
                <w:sz w:val="22"/>
                <w:szCs w:val="22"/>
              </w:rPr>
              <w:t xml:space="preserve">-  </w:t>
            </w:r>
            <w:r w:rsidRPr="00F5382B">
              <w:rPr>
                <w:noProof/>
                <w:sz w:val="22"/>
                <w:szCs w:val="22"/>
              </w:rPr>
              <w:t>stakeholders raised significant concerns about the cumulative burden of overlapping cybersecurity obligations</w:t>
            </w:r>
            <w:r w:rsidRPr="00F5382B">
              <w:rPr>
                <w:rStyle w:val="FootnoteReference"/>
                <w:noProof/>
                <w:sz w:val="22"/>
                <w:szCs w:val="22"/>
              </w:rPr>
              <w:footnoteReference w:id="264"/>
            </w:r>
            <w:r w:rsidRPr="00F5382B">
              <w:rPr>
                <w:noProof/>
                <w:sz w:val="22"/>
                <w:szCs w:val="22"/>
              </w:rPr>
              <w:t xml:space="preserve"> </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2E4D5642" w14:textId="77777777" w:rsidR="00EE3DF9" w:rsidRPr="00F5382B" w:rsidRDefault="00EE3DF9">
            <w:pPr>
              <w:jc w:val="center"/>
              <w:rPr>
                <w:noProof/>
                <w:sz w:val="22"/>
                <w:szCs w:val="22"/>
              </w:rPr>
            </w:pPr>
            <w:r w:rsidRPr="00F5382B">
              <w:rPr>
                <w:noProof/>
                <w:sz w:val="22"/>
                <w:szCs w:val="22"/>
              </w:rPr>
              <w:t>Companies and businesses</w:t>
            </w:r>
          </w:p>
          <w:p w14:paraId="67F2FD76" w14:textId="77777777" w:rsidR="00EE3DF9" w:rsidRPr="00F5382B" w:rsidRDefault="00EE3DF9">
            <w:pPr>
              <w:jc w:val="center"/>
              <w:rPr>
                <w:noProof/>
                <w:sz w:val="22"/>
                <w:szCs w:val="22"/>
              </w:rPr>
            </w:pPr>
            <w:r w:rsidRPr="00F5382B">
              <w:rPr>
                <w:noProof/>
                <w:sz w:val="22"/>
                <w:szCs w:val="22"/>
              </w:rPr>
              <w:t>Competent authorities</w:t>
            </w: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6FF28FC0" w14:textId="77777777" w:rsidR="00EE3DF9" w:rsidRPr="00F5382B" w:rsidRDefault="00EE3DF9">
            <w:pPr>
              <w:spacing w:after="160"/>
              <w:jc w:val="left"/>
              <w:rPr>
                <w:i/>
                <w:noProof/>
                <w:sz w:val="22"/>
                <w:szCs w:val="22"/>
              </w:rPr>
            </w:pPr>
            <w:r w:rsidRPr="00F5382B">
              <w:rPr>
                <w:noProof/>
                <w:sz w:val="22"/>
                <w:szCs w:val="22"/>
              </w:rPr>
              <w:t>Reducing the burden on businesses to determine the applicable legal requirements and to support them in demonstrating compliance would free resources and allow entities to focus on the main goal – improving their resilience and Union’s overall cyber posture.</w:t>
            </w: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4781AA91" w14:textId="77777777" w:rsidR="00EE3DF9" w:rsidRPr="00F5382B" w:rsidRDefault="00EE3DF9">
            <w:pPr>
              <w:spacing w:after="160"/>
              <w:rPr>
                <w:noProof/>
                <w:sz w:val="22"/>
                <w:szCs w:val="22"/>
                <w:lang w:val="en-IE"/>
              </w:rPr>
            </w:pPr>
            <w:r w:rsidRPr="00F5382B">
              <w:rPr>
                <w:noProof/>
                <w:sz w:val="22"/>
                <w:szCs w:val="22"/>
                <w:lang w:val="en-IE"/>
              </w:rPr>
              <w:t xml:space="preserve">A cybersecurity audit in the EU typically ranges from €3,000 to over €50,000, depending on the organization’s size, complexity, audit scope, and regulatory requirements in 2025. While small businesses and basic vulnerability scans cost €3,000 – €10,000, compliance-focused audits (ISO 27001) can cost between €10,000 and €50,000 </w:t>
            </w:r>
            <w:r w:rsidRPr="00F5382B">
              <w:rPr>
                <w:rStyle w:val="FootnoteReference"/>
                <w:noProof/>
                <w:sz w:val="22"/>
                <w:szCs w:val="22"/>
                <w:lang w:val="en-IE"/>
              </w:rPr>
              <w:footnoteReference w:id="265"/>
            </w:r>
            <w:r w:rsidRPr="00F5382B">
              <w:rPr>
                <w:noProof/>
                <w:sz w:val="22"/>
                <w:szCs w:val="22"/>
                <w:lang w:val="en-IE"/>
              </w:rPr>
              <w:t>. ISO 27001 is the most used international standard for information security in Europe. However, compliance with national cybersecurity frameworks can cost up to 100.000 EUR.</w:t>
            </w:r>
          </w:p>
          <w:p w14:paraId="54795338" w14:textId="77777777" w:rsidR="00EE3DF9" w:rsidRPr="00F5382B" w:rsidRDefault="00EE3DF9">
            <w:pPr>
              <w:spacing w:after="160"/>
              <w:rPr>
                <w:noProof/>
                <w:sz w:val="22"/>
                <w:szCs w:val="22"/>
                <w:lang w:val="en-IE"/>
              </w:rPr>
            </w:pPr>
            <w:r w:rsidRPr="00F5382B">
              <w:rPr>
                <w:noProof/>
                <w:sz w:val="22"/>
                <w:szCs w:val="22"/>
                <w:lang w:val="en-IE"/>
              </w:rPr>
              <w:t xml:space="preserve">Therefore, entities which are subject to different national cybersecurity frameworks may have to obtain several certifications, increasing costs for compliance. The same holds true for entities subject to different legal frameworks. For instance, an entity which is subject to NIS2 and DORA and which is operating in two Member States with its activities in scope of NIS2 may have to carry three audits despite the existence of an internationally recognized standard for information security. </w:t>
            </w:r>
          </w:p>
          <w:p w14:paraId="4D7A5D51" w14:textId="77777777" w:rsidR="00EE3DF9" w:rsidRPr="00F5382B" w:rsidRDefault="00EE3DF9">
            <w:pPr>
              <w:spacing w:after="160"/>
              <w:rPr>
                <w:noProof/>
                <w:sz w:val="22"/>
                <w:szCs w:val="22"/>
                <w:lang w:val="en-IE"/>
              </w:rPr>
            </w:pPr>
            <w:r w:rsidRPr="00F5382B">
              <w:rPr>
                <w:noProof/>
                <w:sz w:val="22"/>
                <w:szCs w:val="22"/>
              </w:rPr>
              <w:t>Focusing only on entities in scope of the NIS 2 Directive, it is estimated that around EUR 213 810 per entity per year are spent on demonstrating compliance</w:t>
            </w:r>
            <w:r w:rsidRPr="00F5382B">
              <w:rPr>
                <w:noProof/>
                <w:sz w:val="22"/>
                <w:szCs w:val="22"/>
                <w:vertAlign w:val="superscript"/>
              </w:rPr>
              <w:footnoteReference w:id="266"/>
            </w:r>
            <w:r w:rsidRPr="00F5382B">
              <w:rPr>
                <w:noProof/>
                <w:sz w:val="22"/>
                <w:szCs w:val="22"/>
              </w:rPr>
              <w:t>. Assuming that the new measure would lead to even a mere 10% reduction in time and effort, enabled by recognised certifications, this could save over EUR 3.40 billion annually across the EU. This highlights how adopting ECCF certifications can both strengthen security posture and materially reduce the administrative and financial burden of compliance with the NIS 2 Directive’s risk-management requirements.</w:t>
            </w:r>
          </w:p>
        </w:tc>
      </w:tr>
      <w:tr w:rsidR="00EE3DF9" w:rsidRPr="00F5382B" w14:paraId="6ABAE677" w14:textId="77777777">
        <w:trPr>
          <w:trHeight w:val="300"/>
        </w:trPr>
        <w:tc>
          <w:tcPr>
            <w:tcW w:w="1809" w:type="dxa"/>
            <w:tcBorders>
              <w:top w:val="single" w:sz="8" w:space="0" w:color="auto"/>
              <w:left w:val="single" w:sz="8" w:space="0" w:color="auto"/>
              <w:bottom w:val="single" w:sz="8" w:space="0" w:color="auto"/>
              <w:right w:val="single" w:sz="8" w:space="0" w:color="auto"/>
            </w:tcBorders>
            <w:tcMar>
              <w:left w:w="108" w:type="dxa"/>
              <w:right w:w="108" w:type="dxa"/>
            </w:tcMar>
          </w:tcPr>
          <w:p w14:paraId="35D14342" w14:textId="6AEAC3E5" w:rsidR="00EE3DF9" w:rsidRPr="00F5382B" w:rsidRDefault="00EE3DF9">
            <w:pPr>
              <w:spacing w:after="160"/>
              <w:rPr>
                <w:noProof/>
                <w:sz w:val="22"/>
                <w:szCs w:val="22"/>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80E083A" w14:textId="422F415A" w:rsidR="00EE3DF9" w:rsidRPr="00F5382B" w:rsidRDefault="00EE3DF9">
            <w:pPr>
              <w:spacing w:after="160"/>
              <w:rPr>
                <w:noProof/>
                <w:sz w:val="22"/>
                <w:szCs w:val="22"/>
              </w:rPr>
            </w:pP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7CFAB456" w14:textId="05666F70" w:rsidR="00EE3DF9" w:rsidRPr="00F5382B" w:rsidRDefault="00EE3DF9">
            <w:pPr>
              <w:spacing w:after="160"/>
              <w:jc w:val="center"/>
              <w:rPr>
                <w:noProof/>
                <w:sz w:val="22"/>
                <w:szCs w:val="22"/>
              </w:rPr>
            </w:pPr>
          </w:p>
        </w:tc>
        <w:tc>
          <w:tcPr>
            <w:tcW w:w="2046" w:type="dxa"/>
            <w:tcBorders>
              <w:top w:val="single" w:sz="8" w:space="0" w:color="auto"/>
              <w:left w:val="single" w:sz="8" w:space="0" w:color="auto"/>
              <w:bottom w:val="single" w:sz="8" w:space="0" w:color="auto"/>
              <w:right w:val="single" w:sz="8" w:space="0" w:color="auto"/>
            </w:tcBorders>
            <w:tcMar>
              <w:left w:w="108" w:type="dxa"/>
              <w:right w:w="108" w:type="dxa"/>
            </w:tcMar>
          </w:tcPr>
          <w:p w14:paraId="4F460E56" w14:textId="53C391BA" w:rsidR="00EE3DF9" w:rsidRPr="00F5382B" w:rsidRDefault="00EE3DF9">
            <w:pPr>
              <w:spacing w:after="160"/>
              <w:jc w:val="left"/>
              <w:rPr>
                <w:noProof/>
                <w:sz w:val="22"/>
                <w:szCs w:val="22"/>
              </w:rPr>
            </w:pPr>
          </w:p>
        </w:tc>
        <w:tc>
          <w:tcPr>
            <w:tcW w:w="6861" w:type="dxa"/>
            <w:tcBorders>
              <w:top w:val="single" w:sz="8" w:space="0" w:color="auto"/>
              <w:left w:val="single" w:sz="8" w:space="0" w:color="auto"/>
              <w:bottom w:val="single" w:sz="8" w:space="0" w:color="auto"/>
              <w:right w:val="single" w:sz="8" w:space="0" w:color="auto"/>
            </w:tcBorders>
            <w:tcMar>
              <w:left w:w="108" w:type="dxa"/>
              <w:right w:w="108" w:type="dxa"/>
            </w:tcMar>
          </w:tcPr>
          <w:p w14:paraId="2D13C6B5" w14:textId="26B654AE" w:rsidR="00EE3DF9" w:rsidRPr="00F5382B" w:rsidRDefault="00EE3DF9">
            <w:pPr>
              <w:rPr>
                <w:noProof/>
                <w:sz w:val="22"/>
                <w:szCs w:val="22"/>
                <w:lang w:val="en-IE"/>
              </w:rPr>
            </w:pPr>
          </w:p>
        </w:tc>
      </w:tr>
    </w:tbl>
    <w:p w14:paraId="1F2865D5" w14:textId="77777777" w:rsidR="00EE3DF9" w:rsidRPr="00F5382B" w:rsidRDefault="00EE3DF9" w:rsidP="00EE3DF9">
      <w:pPr>
        <w:spacing w:after="200" w:line="276" w:lineRule="auto"/>
        <w:jc w:val="left"/>
        <w:rPr>
          <w:rFonts w:eastAsia="Times New Roman"/>
          <w:b/>
          <w:bCs/>
          <w:noProof/>
          <w:u w:val="single"/>
        </w:rPr>
        <w:sectPr w:rsidR="00EE3DF9" w:rsidRPr="00F5382B" w:rsidSect="00EE3DF9">
          <w:headerReference w:type="default" r:id="rId113"/>
          <w:footerReference w:type="default" r:id="rId114"/>
          <w:pgSz w:w="16838" w:h="11906" w:orient="landscape"/>
          <w:pgMar w:top="1417" w:right="1417" w:bottom="1417" w:left="1417" w:header="708" w:footer="708" w:gutter="0"/>
          <w:cols w:space="708"/>
          <w:docGrid w:linePitch="360"/>
        </w:sectPr>
      </w:pPr>
    </w:p>
    <w:p w14:paraId="6BD766DB" w14:textId="77777777" w:rsidR="00EE3DF9" w:rsidRPr="00F5382B" w:rsidRDefault="00EE3DF9" w:rsidP="00D52AD8">
      <w:pPr>
        <w:numPr>
          <w:ilvl w:val="0"/>
          <w:numId w:val="112"/>
        </w:numPr>
        <w:spacing w:after="120"/>
        <w:textAlignment w:val="baseline"/>
        <w:rPr>
          <w:rFonts w:eastAsia="Times New Roman"/>
          <w:b/>
          <w:smallCaps/>
          <w:noProof/>
          <w:lang w:eastAsia="en-IE"/>
        </w:rPr>
      </w:pPr>
      <w:bookmarkStart w:id="378" w:name="Part4"/>
      <w:r w:rsidRPr="00F5382B">
        <w:rPr>
          <w:rFonts w:eastAsia="Times New Roman"/>
          <w:b/>
          <w:smallCaps/>
          <w:noProof/>
          <w:lang w:eastAsia="en-IE"/>
        </w:rPr>
        <w:t>Mini-case study</w:t>
      </w:r>
    </w:p>
    <w:tbl>
      <w:tblPr>
        <w:tblStyle w:val="TableGrid"/>
        <w:tblW w:w="0" w:type="auto"/>
        <w:tblLook w:val="04A0" w:firstRow="1" w:lastRow="0" w:firstColumn="1" w:lastColumn="0" w:noHBand="0" w:noVBand="1"/>
      </w:tblPr>
      <w:tblGrid>
        <w:gridCol w:w="8834"/>
      </w:tblGrid>
      <w:tr w:rsidR="00EE3DF9" w:rsidRPr="00F5382B" w14:paraId="01B249CA" w14:textId="77777777">
        <w:tc>
          <w:tcPr>
            <w:tcW w:w="8834" w:type="dxa"/>
          </w:tcPr>
          <w:bookmarkEnd w:id="378"/>
          <w:p w14:paraId="4191CE87" w14:textId="77777777" w:rsidR="00EE3DF9" w:rsidRPr="00F5382B" w:rsidRDefault="00EE3DF9">
            <w:pPr>
              <w:spacing w:after="120"/>
              <w:rPr>
                <w:b/>
                <w:bCs/>
                <w:noProof/>
                <w:lang w:val="en-IE"/>
              </w:rPr>
            </w:pPr>
            <w:r w:rsidRPr="00F5382B">
              <w:rPr>
                <w:b/>
                <w:bCs/>
                <w:noProof/>
                <w:lang w:val="en-IE"/>
              </w:rPr>
              <w:t>The challenge of assessing societal impacts: the example of the Viasat Satellite Network Cyber-attack (2022)</w:t>
            </w:r>
          </w:p>
          <w:p w14:paraId="11ACEB56" w14:textId="77777777" w:rsidR="00EE3DF9" w:rsidRPr="00F5382B" w:rsidRDefault="00EE3DF9">
            <w:pPr>
              <w:spacing w:after="120"/>
              <w:rPr>
                <w:noProof/>
                <w:lang w:val="en-IE"/>
              </w:rPr>
            </w:pPr>
            <w:r w:rsidRPr="00F5382B">
              <w:rPr>
                <w:noProof/>
                <w:lang w:val="en-IE"/>
              </w:rPr>
              <w:t>On February 24, 2022, coinciding with the start of Russia’s invasion of Ukraine, a sophisticated cyberattack targeted the KA-SAT satellite network operated by Viasat Inc. This network provides broadband internet access to tens of thousands of users across Ukraine and much of Europe.</w:t>
            </w:r>
          </w:p>
          <w:p w14:paraId="31CCF100" w14:textId="77777777" w:rsidR="00EE3DF9" w:rsidRPr="00F5382B" w:rsidRDefault="00EE3DF9">
            <w:pPr>
              <w:spacing w:after="120"/>
              <w:rPr>
                <w:noProof/>
                <w:lang w:val="en-IE"/>
              </w:rPr>
            </w:pPr>
            <w:r w:rsidRPr="00F5382B">
              <w:rPr>
                <w:noProof/>
                <w:lang w:val="en-IE"/>
              </w:rPr>
              <w:t>The attackers deployed a wiper malware known as “AcidRain” designed to remotely erase vulnerable modems and routers, effectively disabling them. The primary goal was to disrupt communications, not to steal data. The attack was publicly attributed by the European Union to Russia</w:t>
            </w:r>
            <w:r w:rsidRPr="00F5382B">
              <w:rPr>
                <w:rStyle w:val="FootnoteReference"/>
                <w:noProof/>
                <w:lang w:val="en-IE"/>
              </w:rPr>
              <w:footnoteReference w:id="267"/>
            </w:r>
            <w:r w:rsidRPr="00F5382B">
              <w:rPr>
                <w:noProof/>
                <w:lang w:val="en-IE"/>
              </w:rPr>
              <w:t>, as well as by the United Kingdom and by the United States.</w:t>
            </w:r>
          </w:p>
          <w:p w14:paraId="1E464DAA" w14:textId="77777777" w:rsidR="00EE3DF9" w:rsidRPr="00F5382B" w:rsidRDefault="00EE3DF9">
            <w:pPr>
              <w:spacing w:after="120"/>
              <w:rPr>
                <w:b/>
                <w:bCs/>
                <w:noProof/>
                <w:lang w:val="en-IE"/>
              </w:rPr>
            </w:pPr>
            <w:r w:rsidRPr="00F5382B">
              <w:rPr>
                <w:b/>
                <w:bCs/>
                <w:noProof/>
                <w:lang w:val="en-IE"/>
              </w:rPr>
              <w:t>Quantifiable impact across Ukraine and Member States</w:t>
            </w:r>
            <w:r w:rsidRPr="00F5382B">
              <w:rPr>
                <w:rStyle w:val="FootnoteReference"/>
                <w:b/>
                <w:bCs/>
                <w:noProof/>
                <w:lang w:val="en-IE"/>
              </w:rPr>
              <w:footnoteReference w:id="268"/>
            </w:r>
          </w:p>
          <w:p w14:paraId="0A1E433C" w14:textId="77777777" w:rsidR="00EE3DF9" w:rsidRPr="00F5382B" w:rsidRDefault="00EE3DF9" w:rsidP="00D52AD8">
            <w:pPr>
              <w:numPr>
                <w:ilvl w:val="0"/>
                <w:numId w:val="98"/>
              </w:numPr>
              <w:spacing w:after="120"/>
              <w:ind w:left="425" w:hanging="357"/>
              <w:jc w:val="left"/>
              <w:rPr>
                <w:noProof/>
                <w:lang w:val="en-IE"/>
              </w:rPr>
            </w:pPr>
            <w:r w:rsidRPr="00F5382B">
              <w:rPr>
                <w:b/>
                <w:bCs/>
                <w:noProof/>
                <w:lang w:val="en-IE"/>
              </w:rPr>
              <w:t>Ukraine:</w:t>
            </w:r>
            <w:r w:rsidRPr="00F5382B">
              <w:rPr>
                <w:noProof/>
                <w:lang w:val="en-IE"/>
              </w:rPr>
              <w:t> The attack severely disrupted internet access for both civilian and government users, hampering communications during a critical period of military conflict.</w:t>
            </w:r>
          </w:p>
          <w:p w14:paraId="46060B6B" w14:textId="77777777" w:rsidR="00EE3DF9" w:rsidRPr="00F5382B" w:rsidRDefault="00EE3DF9" w:rsidP="00D52AD8">
            <w:pPr>
              <w:numPr>
                <w:ilvl w:val="0"/>
                <w:numId w:val="98"/>
              </w:numPr>
              <w:spacing w:after="120"/>
              <w:ind w:left="425" w:hanging="357"/>
              <w:jc w:val="left"/>
              <w:rPr>
                <w:noProof/>
                <w:lang w:val="en-IE"/>
              </w:rPr>
            </w:pPr>
            <w:r w:rsidRPr="00F5382B">
              <w:rPr>
                <w:b/>
                <w:bCs/>
                <w:noProof/>
                <w:lang w:val="en-IE"/>
              </w:rPr>
              <w:t>Germany:</w:t>
            </w:r>
            <w:r w:rsidRPr="00F5382B">
              <w:rPr>
                <w:noProof/>
                <w:lang w:val="en-IE"/>
              </w:rPr>
              <w:t> A major German energy company lost remote monitoring access to over </w:t>
            </w:r>
            <w:r w:rsidRPr="00F5382B">
              <w:rPr>
                <w:b/>
                <w:bCs/>
                <w:noProof/>
                <w:lang w:val="en-IE"/>
              </w:rPr>
              <w:t>5,800 wind turbines</w:t>
            </w:r>
            <w:r w:rsidRPr="00F5382B">
              <w:rPr>
                <w:noProof/>
                <w:lang w:val="en-IE"/>
              </w:rPr>
              <w:t>, highlighting the risk to critical infrastructure.</w:t>
            </w:r>
          </w:p>
          <w:p w14:paraId="70F0F1AB" w14:textId="77777777" w:rsidR="00EE3DF9" w:rsidRPr="00F5382B" w:rsidRDefault="00EE3DF9" w:rsidP="00D52AD8">
            <w:pPr>
              <w:numPr>
                <w:ilvl w:val="0"/>
                <w:numId w:val="98"/>
              </w:numPr>
              <w:spacing w:after="120"/>
              <w:ind w:left="425" w:hanging="357"/>
              <w:jc w:val="left"/>
              <w:rPr>
                <w:noProof/>
                <w:lang w:val="en-IE"/>
              </w:rPr>
            </w:pPr>
            <w:r w:rsidRPr="00F5382B">
              <w:rPr>
                <w:b/>
                <w:bCs/>
                <w:noProof/>
                <w:lang w:val="en-IE"/>
              </w:rPr>
              <w:t>France:</w:t>
            </w:r>
            <w:r w:rsidRPr="00F5382B">
              <w:rPr>
                <w:noProof/>
                <w:lang w:val="en-IE"/>
              </w:rPr>
              <w:t> Nearly </w:t>
            </w:r>
            <w:r w:rsidRPr="00F5382B">
              <w:rPr>
                <w:b/>
                <w:bCs/>
                <w:noProof/>
                <w:lang w:val="en-IE"/>
              </w:rPr>
              <w:t>9,000 subscribers</w:t>
            </w:r>
            <w:r w:rsidRPr="00F5382B">
              <w:rPr>
                <w:noProof/>
                <w:lang w:val="en-IE"/>
              </w:rPr>
              <w:t> of a French satellite internet provider experienced outages.</w:t>
            </w:r>
          </w:p>
          <w:p w14:paraId="6674193E" w14:textId="77777777" w:rsidR="00EE3DF9" w:rsidRPr="00F5382B" w:rsidRDefault="00EE3DF9" w:rsidP="00D52AD8">
            <w:pPr>
              <w:numPr>
                <w:ilvl w:val="0"/>
                <w:numId w:val="98"/>
              </w:numPr>
              <w:spacing w:after="120"/>
              <w:ind w:left="425" w:hanging="357"/>
              <w:jc w:val="left"/>
              <w:rPr>
                <w:noProof/>
                <w:lang w:val="en-IE"/>
              </w:rPr>
            </w:pPr>
            <w:r w:rsidRPr="00F5382B">
              <w:rPr>
                <w:b/>
                <w:bCs/>
                <w:noProof/>
                <w:lang w:val="en-IE"/>
              </w:rPr>
              <w:t>Other EU Member States:</w:t>
            </w:r>
            <w:r w:rsidRPr="00F5382B">
              <w:rPr>
                <w:noProof/>
                <w:lang w:val="en-IE"/>
              </w:rPr>
              <w:t xml:space="preserve"> Around a third of </w:t>
            </w:r>
            <w:r w:rsidRPr="00F5382B">
              <w:rPr>
                <w:b/>
                <w:bCs/>
                <w:noProof/>
                <w:lang w:val="en-IE"/>
              </w:rPr>
              <w:t>40,000 subscribers</w:t>
            </w:r>
            <w:r w:rsidRPr="00F5382B">
              <w:rPr>
                <w:noProof/>
                <w:lang w:val="en-IE"/>
              </w:rPr>
              <w:t xml:space="preserve"> of another satellite internet provider in Europe (including Germany, France, Hungary, Greece, Italy, and Poland) were affected.</w:t>
            </w:r>
          </w:p>
          <w:p w14:paraId="0EF93D90" w14:textId="77777777" w:rsidR="00EE3DF9" w:rsidRPr="00F5382B" w:rsidRDefault="00EE3DF9" w:rsidP="00D52AD8">
            <w:pPr>
              <w:numPr>
                <w:ilvl w:val="0"/>
                <w:numId w:val="98"/>
              </w:numPr>
              <w:spacing w:after="120"/>
              <w:ind w:left="425" w:hanging="357"/>
              <w:jc w:val="left"/>
              <w:rPr>
                <w:noProof/>
                <w:lang w:val="en-IE"/>
              </w:rPr>
            </w:pPr>
            <w:r w:rsidRPr="00F5382B">
              <w:rPr>
                <w:b/>
                <w:bCs/>
                <w:noProof/>
                <w:lang w:val="en-IE"/>
              </w:rPr>
              <w:t>Duration:</w:t>
            </w:r>
            <w:r w:rsidRPr="00F5382B">
              <w:rPr>
                <w:noProof/>
                <w:lang w:val="en-IE"/>
              </w:rPr>
              <w:t> Some users were without internet for more than two weeks, demonstrating the prolonged operational impact.</w:t>
            </w:r>
          </w:p>
          <w:p w14:paraId="0ABB6F38" w14:textId="77777777" w:rsidR="00EE3DF9" w:rsidRPr="00F5382B" w:rsidRDefault="00EE3DF9">
            <w:pPr>
              <w:spacing w:after="120"/>
              <w:rPr>
                <w:b/>
                <w:bCs/>
                <w:noProof/>
                <w:lang w:val="en-IE"/>
              </w:rPr>
            </w:pPr>
            <w:r w:rsidRPr="00F5382B">
              <w:rPr>
                <w:b/>
                <w:bCs/>
                <w:noProof/>
                <w:lang w:val="en-IE"/>
              </w:rPr>
              <w:t xml:space="preserve">Unquantifiable societal and operational impacts </w:t>
            </w:r>
          </w:p>
          <w:p w14:paraId="53A669C5" w14:textId="77777777" w:rsidR="00EE3DF9" w:rsidRPr="00F5382B" w:rsidRDefault="00EE3DF9" w:rsidP="00D52AD8">
            <w:pPr>
              <w:numPr>
                <w:ilvl w:val="0"/>
                <w:numId w:val="99"/>
              </w:numPr>
              <w:spacing w:after="120"/>
              <w:ind w:left="425" w:hanging="357"/>
              <w:jc w:val="left"/>
              <w:rPr>
                <w:noProof/>
                <w:lang w:val="en-IE"/>
              </w:rPr>
            </w:pPr>
            <w:r w:rsidRPr="00F5382B">
              <w:rPr>
                <w:b/>
                <w:bCs/>
                <w:noProof/>
                <w:lang w:val="en-IE"/>
              </w:rPr>
              <w:t>Military and civilian impacts:</w:t>
            </w:r>
            <w:r w:rsidRPr="00F5382B">
              <w:rPr>
                <w:noProof/>
                <w:lang w:val="en-IE"/>
              </w:rPr>
              <w:t> The outage affected not only government and military communications, but also civilian populations, who lost access to reliable information and essential services at a time of war for Ukraine. This disrupted daily business operations and potentially put at risk civilians in Ukraine, whose access to information was affected.</w:t>
            </w:r>
          </w:p>
          <w:p w14:paraId="32348DC6" w14:textId="77777777" w:rsidR="00EE3DF9" w:rsidRPr="00F5382B" w:rsidRDefault="00EE3DF9" w:rsidP="00D52AD8">
            <w:pPr>
              <w:numPr>
                <w:ilvl w:val="0"/>
                <w:numId w:val="99"/>
              </w:numPr>
              <w:spacing w:after="120"/>
              <w:ind w:left="425" w:hanging="357"/>
              <w:jc w:val="left"/>
              <w:rPr>
                <w:noProof/>
                <w:lang w:val="en-IE"/>
              </w:rPr>
            </w:pPr>
            <w:r w:rsidRPr="00F5382B">
              <w:rPr>
                <w:b/>
                <w:bCs/>
                <w:noProof/>
                <w:lang w:val="en-IE"/>
              </w:rPr>
              <w:t>Critical Infrastructure:</w:t>
            </w:r>
            <w:r w:rsidRPr="00F5382B">
              <w:rPr>
                <w:noProof/>
                <w:lang w:val="en-IE"/>
              </w:rPr>
              <w:t> The attack’s spillover into the energy sector and widespread internet outages underscored the vulnerability of interconnected infrastructure across borders.</w:t>
            </w:r>
          </w:p>
          <w:p w14:paraId="252FAB4A" w14:textId="77777777" w:rsidR="00EE3DF9" w:rsidRPr="00F5382B" w:rsidRDefault="00EE3DF9" w:rsidP="00D52AD8">
            <w:pPr>
              <w:numPr>
                <w:ilvl w:val="0"/>
                <w:numId w:val="99"/>
              </w:numPr>
              <w:spacing w:after="120"/>
              <w:ind w:left="425" w:hanging="357"/>
              <w:jc w:val="left"/>
              <w:rPr>
                <w:noProof/>
                <w:lang w:val="en-IE"/>
              </w:rPr>
            </w:pPr>
            <w:r w:rsidRPr="00F5382B">
              <w:rPr>
                <w:b/>
                <w:bCs/>
                <w:noProof/>
                <w:lang w:val="en-IE"/>
              </w:rPr>
              <w:t>Recovery:</w:t>
            </w:r>
            <w:r w:rsidRPr="00F5382B">
              <w:rPr>
                <w:noProof/>
                <w:lang w:val="en-IE"/>
              </w:rPr>
              <w:t> The recovery time varied, but the incident highlighted the challenges of restoring service after a coordinated, destructive cyberattack.</w:t>
            </w:r>
          </w:p>
          <w:p w14:paraId="30CAFEDD" w14:textId="77777777" w:rsidR="00EE3DF9" w:rsidRPr="00F5382B" w:rsidRDefault="00EE3DF9">
            <w:pPr>
              <w:spacing w:after="120"/>
              <w:rPr>
                <w:b/>
                <w:bCs/>
                <w:noProof/>
                <w:lang w:val="en-IE"/>
              </w:rPr>
            </w:pPr>
            <w:r w:rsidRPr="00F5382B">
              <w:rPr>
                <w:b/>
                <w:bCs/>
                <w:noProof/>
                <w:lang w:val="en-IE"/>
              </w:rPr>
              <w:t>Lessons Learned</w:t>
            </w:r>
          </w:p>
          <w:p w14:paraId="76A03AF9" w14:textId="77777777" w:rsidR="00EE3DF9" w:rsidRPr="00F5382B" w:rsidRDefault="00EE3DF9" w:rsidP="00D52AD8">
            <w:pPr>
              <w:numPr>
                <w:ilvl w:val="0"/>
                <w:numId w:val="100"/>
              </w:numPr>
              <w:spacing w:after="120"/>
              <w:ind w:left="425" w:hanging="357"/>
              <w:jc w:val="left"/>
              <w:rPr>
                <w:noProof/>
                <w:lang w:val="en-IE"/>
              </w:rPr>
            </w:pPr>
            <w:r w:rsidRPr="00F5382B">
              <w:rPr>
                <w:b/>
                <w:bCs/>
                <w:noProof/>
                <w:lang w:val="en-IE"/>
              </w:rPr>
              <w:t>Cross-border vulnerability:</w:t>
            </w:r>
            <w:r w:rsidRPr="00F5382B">
              <w:rPr>
                <w:noProof/>
                <w:lang w:val="en-IE"/>
              </w:rPr>
              <w:t> The attack demonstrated how a cyber incident in one country can rapidly impact multiple EU member states due to shared infrastructure.</w:t>
            </w:r>
          </w:p>
          <w:p w14:paraId="7C0368BA" w14:textId="77777777" w:rsidR="00EE3DF9" w:rsidRPr="00F5382B" w:rsidRDefault="00EE3DF9" w:rsidP="00D52AD8">
            <w:pPr>
              <w:numPr>
                <w:ilvl w:val="0"/>
                <w:numId w:val="100"/>
              </w:numPr>
              <w:spacing w:after="120"/>
              <w:ind w:left="425" w:hanging="357"/>
              <w:jc w:val="left"/>
              <w:rPr>
                <w:noProof/>
                <w:lang w:val="en-IE"/>
              </w:rPr>
            </w:pPr>
            <w:r w:rsidRPr="00F5382B">
              <w:rPr>
                <w:b/>
                <w:bCs/>
                <w:noProof/>
                <w:lang w:val="en-IE"/>
              </w:rPr>
              <w:t>Critical infrastructure risk:</w:t>
            </w:r>
            <w:r w:rsidRPr="00F5382B">
              <w:rPr>
                <w:noProof/>
                <w:lang w:val="en-IE"/>
              </w:rPr>
              <w:t> Essential services are vulnerable to cyber disruptions and spillover effects.</w:t>
            </w:r>
          </w:p>
          <w:p w14:paraId="29D59498" w14:textId="77777777" w:rsidR="00EE3DF9" w:rsidRPr="00F5382B" w:rsidRDefault="00EE3DF9" w:rsidP="00D52AD8">
            <w:pPr>
              <w:numPr>
                <w:ilvl w:val="0"/>
                <w:numId w:val="100"/>
              </w:numPr>
              <w:spacing w:after="120"/>
              <w:ind w:left="425" w:hanging="357"/>
              <w:jc w:val="left"/>
              <w:rPr>
                <w:noProof/>
                <w:lang w:val="en-IE"/>
              </w:rPr>
            </w:pPr>
            <w:r w:rsidRPr="00F5382B">
              <w:rPr>
                <w:b/>
                <w:bCs/>
                <w:noProof/>
                <w:lang w:val="en-IE"/>
              </w:rPr>
              <w:t xml:space="preserve">Need for information sharing: </w:t>
            </w:r>
            <w:r w:rsidRPr="00F5382B">
              <w:rPr>
                <w:noProof/>
                <w:lang w:val="en-IE"/>
              </w:rPr>
              <w:t>Better information sharing would have increased preparedness and resilience</w:t>
            </w:r>
          </w:p>
        </w:tc>
      </w:tr>
    </w:tbl>
    <w:p w14:paraId="2FC57132" w14:textId="77777777" w:rsidR="00EE3DF9" w:rsidRPr="00F5382B" w:rsidRDefault="00EE3DF9" w:rsidP="00EE3DF9">
      <w:pPr>
        <w:spacing w:after="200" w:line="276" w:lineRule="auto"/>
        <w:jc w:val="left"/>
        <w:rPr>
          <w:noProof/>
        </w:rPr>
        <w:sectPr w:rsidR="00EE3DF9" w:rsidRPr="00F5382B" w:rsidSect="00EE3DF9">
          <w:headerReference w:type="default" r:id="rId115"/>
          <w:footerReference w:type="default" r:id="rId116"/>
          <w:pgSz w:w="12240" w:h="15840"/>
          <w:pgMar w:top="1440" w:right="1440" w:bottom="1440" w:left="1440" w:header="708" w:footer="708" w:gutter="0"/>
          <w:cols w:space="708"/>
          <w:docGrid w:linePitch="360"/>
        </w:sectPr>
      </w:pPr>
      <w:bookmarkStart w:id="379" w:name="_Toc207027978"/>
      <w:bookmarkEnd w:id="357"/>
    </w:p>
    <w:p w14:paraId="44946874" w14:textId="77777777" w:rsidR="00EE3DF9" w:rsidRPr="00F5382B" w:rsidRDefault="00EE3DF9" w:rsidP="00D52AD8">
      <w:pPr>
        <w:numPr>
          <w:ilvl w:val="0"/>
          <w:numId w:val="112"/>
        </w:numPr>
        <w:spacing w:after="120"/>
        <w:textAlignment w:val="baseline"/>
        <w:rPr>
          <w:rFonts w:eastAsia="Times New Roman"/>
          <w:b/>
          <w:smallCaps/>
          <w:noProof/>
          <w:lang w:eastAsia="en-IE"/>
        </w:rPr>
      </w:pPr>
      <w:bookmarkStart w:id="380" w:name="Part5"/>
      <w:r w:rsidRPr="00F5382B">
        <w:rPr>
          <w:rFonts w:eastAsia="Times New Roman"/>
          <w:b/>
          <w:smallCaps/>
          <w:noProof/>
          <w:lang w:eastAsia="en-IE"/>
        </w:rPr>
        <w:t>State of ransomware in selected European countries</w:t>
      </w:r>
    </w:p>
    <w:p w14:paraId="0C77FA18" w14:textId="6E0D7467" w:rsidR="00EE3DF9" w:rsidRPr="00F5382B" w:rsidRDefault="00EE3DF9" w:rsidP="00EE3DF9">
      <w:pPr>
        <w:pStyle w:val="Heading5"/>
        <w:rPr>
          <w:noProof/>
        </w:rPr>
      </w:pPr>
      <w:bookmarkStart w:id="381" w:name="_Toc218767822"/>
      <w:bookmarkEnd w:id="380"/>
      <w:r w:rsidRPr="00F5382B">
        <w:rPr>
          <w:noProof/>
        </w:rPr>
        <w:t>Table 2</w:t>
      </w:r>
      <w:r w:rsidR="00F779F0">
        <w:rPr>
          <w:noProof/>
        </w:rPr>
        <w:t>9</w:t>
      </w:r>
      <w:r w:rsidRPr="00F5382B">
        <w:rPr>
          <w:noProof/>
        </w:rPr>
        <w:t>: Ransomware attacks: financial, economic and human impacts, recovery and root causes in France, Germany, Italy, Spain, Switzerland and the United Kingdom (Q1 2025)</w:t>
      </w:r>
      <w:r w:rsidR="00454058" w:rsidRPr="00E5147D">
        <w:rPr>
          <w:rStyle w:val="FootnoteReference"/>
          <w:rFonts w:eastAsia="Times New Roman"/>
          <w:i w:val="0"/>
          <w:iCs w:val="0"/>
          <w:noProof/>
          <w:color w:val="auto"/>
          <w:lang w:val="en-IE" w:eastAsia="en-GB"/>
        </w:rPr>
        <w:footnoteReference w:id="269"/>
      </w:r>
      <w:bookmarkEnd w:id="381"/>
    </w:p>
    <w:tbl>
      <w:tblPr>
        <w:tblStyle w:val="CV11"/>
        <w:tblW w:w="0" w:type="auto"/>
        <w:tblLayout w:type="fixed"/>
        <w:tblLook w:val="04A0" w:firstRow="1" w:lastRow="0" w:firstColumn="1" w:lastColumn="0" w:noHBand="0" w:noVBand="1"/>
      </w:tblPr>
      <w:tblGrid>
        <w:gridCol w:w="1526"/>
        <w:gridCol w:w="1701"/>
        <w:gridCol w:w="1276"/>
        <w:gridCol w:w="1489"/>
        <w:gridCol w:w="1554"/>
        <w:gridCol w:w="1554"/>
        <w:gridCol w:w="1679"/>
        <w:gridCol w:w="1554"/>
      </w:tblGrid>
      <w:tr w:rsidR="00EE3DF9" w:rsidRPr="00F5382B" w14:paraId="0FDD9FA3" w14:textId="77777777" w:rsidTr="00C27FF5">
        <w:tc>
          <w:tcPr>
            <w:tcW w:w="1526" w:type="dxa"/>
            <w:hideMark/>
          </w:tcPr>
          <w:p w14:paraId="71C216EC" w14:textId="77777777" w:rsidR="00EE3DF9" w:rsidRPr="00F5382B" w:rsidRDefault="00EE3DF9">
            <w:pPr>
              <w:spacing w:after="200" w:line="276" w:lineRule="auto"/>
              <w:jc w:val="left"/>
              <w:rPr>
                <w:b/>
                <w:bCs/>
                <w:noProof/>
                <w:lang w:val="en-IE"/>
              </w:rPr>
            </w:pPr>
            <w:r w:rsidRPr="00F5382B">
              <w:rPr>
                <w:b/>
                <w:noProof/>
                <w:lang w:val="en-IE"/>
              </w:rPr>
              <w:t>Category</w:t>
            </w:r>
          </w:p>
        </w:tc>
        <w:tc>
          <w:tcPr>
            <w:tcW w:w="1701" w:type="dxa"/>
            <w:hideMark/>
          </w:tcPr>
          <w:p w14:paraId="3DF66262" w14:textId="77777777" w:rsidR="00EE3DF9" w:rsidRPr="00F5382B" w:rsidRDefault="00EE3DF9">
            <w:pPr>
              <w:spacing w:after="200" w:line="276" w:lineRule="auto"/>
              <w:jc w:val="left"/>
              <w:rPr>
                <w:b/>
                <w:bCs/>
                <w:noProof/>
                <w:lang w:val="en-IE"/>
              </w:rPr>
            </w:pPr>
            <w:r w:rsidRPr="00F5382B">
              <w:rPr>
                <w:b/>
                <w:noProof/>
                <w:lang w:val="en-IE"/>
              </w:rPr>
              <w:t>Finding</w:t>
            </w:r>
          </w:p>
        </w:tc>
        <w:tc>
          <w:tcPr>
            <w:tcW w:w="1276" w:type="dxa"/>
            <w:hideMark/>
          </w:tcPr>
          <w:p w14:paraId="30290CD0" w14:textId="77777777" w:rsidR="00EE3DF9" w:rsidRPr="00F5382B" w:rsidRDefault="00EE3DF9">
            <w:pPr>
              <w:spacing w:after="200" w:line="276" w:lineRule="auto"/>
              <w:jc w:val="left"/>
              <w:rPr>
                <w:b/>
                <w:bCs/>
                <w:noProof/>
                <w:lang w:val="en-IE"/>
              </w:rPr>
            </w:pPr>
            <w:r w:rsidRPr="00F5382B">
              <w:rPr>
                <w:b/>
                <w:noProof/>
                <w:lang w:val="en-IE"/>
              </w:rPr>
              <w:t>France (FR)</w:t>
            </w:r>
          </w:p>
        </w:tc>
        <w:tc>
          <w:tcPr>
            <w:tcW w:w="1489" w:type="dxa"/>
            <w:hideMark/>
          </w:tcPr>
          <w:p w14:paraId="31DD5EC8" w14:textId="77777777" w:rsidR="00EE3DF9" w:rsidRPr="00F5382B" w:rsidRDefault="00EE3DF9">
            <w:pPr>
              <w:spacing w:after="200" w:line="276" w:lineRule="auto"/>
              <w:jc w:val="left"/>
              <w:rPr>
                <w:b/>
                <w:bCs/>
                <w:noProof/>
                <w:lang w:val="en-IE"/>
              </w:rPr>
            </w:pPr>
            <w:r w:rsidRPr="00F5382B">
              <w:rPr>
                <w:b/>
                <w:noProof/>
                <w:lang w:val="en-IE"/>
              </w:rPr>
              <w:t>Germany (DE)</w:t>
            </w:r>
          </w:p>
        </w:tc>
        <w:tc>
          <w:tcPr>
            <w:tcW w:w="1554" w:type="dxa"/>
            <w:hideMark/>
          </w:tcPr>
          <w:p w14:paraId="1489E29F" w14:textId="77777777" w:rsidR="00EE3DF9" w:rsidRPr="00F5382B" w:rsidRDefault="00EE3DF9">
            <w:pPr>
              <w:spacing w:after="200" w:line="276" w:lineRule="auto"/>
              <w:jc w:val="left"/>
              <w:rPr>
                <w:b/>
                <w:bCs/>
                <w:noProof/>
                <w:lang w:val="en-IE"/>
              </w:rPr>
            </w:pPr>
            <w:r w:rsidRPr="00F5382B">
              <w:rPr>
                <w:b/>
                <w:noProof/>
                <w:lang w:val="en-IE"/>
              </w:rPr>
              <w:t>Italy (IT)</w:t>
            </w:r>
          </w:p>
        </w:tc>
        <w:tc>
          <w:tcPr>
            <w:tcW w:w="1554" w:type="dxa"/>
            <w:hideMark/>
          </w:tcPr>
          <w:p w14:paraId="08C79793" w14:textId="77777777" w:rsidR="00EE3DF9" w:rsidRPr="00F5382B" w:rsidRDefault="00EE3DF9">
            <w:pPr>
              <w:spacing w:after="200" w:line="276" w:lineRule="auto"/>
              <w:jc w:val="left"/>
              <w:rPr>
                <w:b/>
                <w:bCs/>
                <w:noProof/>
                <w:lang w:val="en-IE"/>
              </w:rPr>
            </w:pPr>
            <w:r w:rsidRPr="00F5382B">
              <w:rPr>
                <w:b/>
                <w:noProof/>
                <w:lang w:val="en-IE"/>
              </w:rPr>
              <w:t>Spain (ES)</w:t>
            </w:r>
          </w:p>
        </w:tc>
        <w:tc>
          <w:tcPr>
            <w:tcW w:w="1679" w:type="dxa"/>
            <w:hideMark/>
          </w:tcPr>
          <w:p w14:paraId="6C0EA383" w14:textId="77777777" w:rsidR="00EE3DF9" w:rsidRPr="00F5382B" w:rsidRDefault="00EE3DF9">
            <w:pPr>
              <w:spacing w:after="200" w:line="276" w:lineRule="auto"/>
              <w:jc w:val="left"/>
              <w:rPr>
                <w:b/>
                <w:bCs/>
                <w:noProof/>
                <w:lang w:val="en-IE"/>
              </w:rPr>
            </w:pPr>
            <w:r w:rsidRPr="00F5382B">
              <w:rPr>
                <w:b/>
                <w:noProof/>
                <w:lang w:val="en-IE"/>
              </w:rPr>
              <w:t>Switzerland (CH)</w:t>
            </w:r>
          </w:p>
        </w:tc>
        <w:tc>
          <w:tcPr>
            <w:tcW w:w="1554" w:type="dxa"/>
            <w:hideMark/>
          </w:tcPr>
          <w:p w14:paraId="08A3D2E0" w14:textId="77777777" w:rsidR="00EE3DF9" w:rsidRPr="00F5382B" w:rsidRDefault="00EE3DF9">
            <w:pPr>
              <w:spacing w:after="200" w:line="276" w:lineRule="auto"/>
              <w:jc w:val="left"/>
              <w:rPr>
                <w:b/>
                <w:bCs/>
                <w:noProof/>
                <w:lang w:val="en-IE"/>
              </w:rPr>
            </w:pPr>
            <w:r w:rsidRPr="00F5382B">
              <w:rPr>
                <w:b/>
                <w:noProof/>
                <w:lang w:val="en-IE"/>
              </w:rPr>
              <w:t>UK (UK)</w:t>
            </w:r>
          </w:p>
        </w:tc>
      </w:tr>
      <w:tr w:rsidR="00EE3DF9" w:rsidRPr="00F5382B" w14:paraId="2B4F6F9D" w14:textId="77777777" w:rsidTr="00C27FF5">
        <w:tc>
          <w:tcPr>
            <w:tcW w:w="1526" w:type="dxa"/>
            <w:hideMark/>
          </w:tcPr>
          <w:p w14:paraId="4441F5E6" w14:textId="6F85598E" w:rsidR="00EE3DF9" w:rsidRPr="00F5382B" w:rsidRDefault="00EE3DF9">
            <w:pPr>
              <w:spacing w:after="200" w:line="276" w:lineRule="auto"/>
              <w:jc w:val="left"/>
              <w:rPr>
                <w:noProof/>
                <w:lang w:val="en-IE"/>
              </w:rPr>
            </w:pPr>
            <w:r w:rsidRPr="00F5382B">
              <w:rPr>
                <w:b/>
                <w:noProof/>
                <w:lang w:val="en-IE"/>
              </w:rPr>
              <w:t xml:space="preserve">Survey </w:t>
            </w:r>
            <w:r w:rsidR="00C27FF5">
              <w:rPr>
                <w:b/>
                <w:noProof/>
                <w:lang w:val="en-IE"/>
              </w:rPr>
              <w:t>s</w:t>
            </w:r>
            <w:r w:rsidRPr="00F5382B">
              <w:rPr>
                <w:b/>
                <w:noProof/>
                <w:lang w:val="en-IE"/>
              </w:rPr>
              <w:t>cope</w:t>
            </w:r>
          </w:p>
        </w:tc>
        <w:tc>
          <w:tcPr>
            <w:tcW w:w="1701" w:type="dxa"/>
            <w:hideMark/>
          </w:tcPr>
          <w:p w14:paraId="31834F8C" w14:textId="3B918DBC" w:rsidR="00EE3DF9" w:rsidRPr="00F5382B" w:rsidRDefault="00EE3DF9">
            <w:pPr>
              <w:spacing w:after="200" w:line="276" w:lineRule="auto"/>
              <w:jc w:val="left"/>
              <w:rPr>
                <w:noProof/>
                <w:lang w:val="en-IE"/>
              </w:rPr>
            </w:pPr>
            <w:r w:rsidRPr="00F5382B">
              <w:rPr>
                <w:noProof/>
                <w:lang w:val="en-IE"/>
              </w:rPr>
              <w:t xml:space="preserve">Sample </w:t>
            </w:r>
            <w:r w:rsidR="008C5200">
              <w:rPr>
                <w:noProof/>
                <w:lang w:val="en-IE"/>
              </w:rPr>
              <w:t>s</w:t>
            </w:r>
            <w:r w:rsidRPr="00F5382B">
              <w:rPr>
                <w:noProof/>
                <w:lang w:val="en-IE"/>
              </w:rPr>
              <w:t>ize (Organi</w:t>
            </w:r>
            <w:r w:rsidR="008C5200">
              <w:rPr>
                <w:noProof/>
                <w:lang w:val="en-IE"/>
              </w:rPr>
              <w:t>s</w:t>
            </w:r>
            <w:r w:rsidRPr="00F5382B">
              <w:rPr>
                <w:noProof/>
                <w:lang w:val="en-IE"/>
              </w:rPr>
              <w:t>ations hit by ransomware)</w:t>
            </w:r>
          </w:p>
        </w:tc>
        <w:tc>
          <w:tcPr>
            <w:tcW w:w="1276" w:type="dxa"/>
            <w:hideMark/>
          </w:tcPr>
          <w:p w14:paraId="158F8348" w14:textId="77777777" w:rsidR="00EE3DF9" w:rsidRPr="00F5382B" w:rsidRDefault="00EE3DF9">
            <w:pPr>
              <w:spacing w:after="200" w:line="276" w:lineRule="auto"/>
              <w:jc w:val="left"/>
              <w:rPr>
                <w:noProof/>
                <w:lang w:val="en-IE"/>
              </w:rPr>
            </w:pPr>
            <w:r w:rsidRPr="00F5382B">
              <w:rPr>
                <w:b/>
                <w:noProof/>
                <w:lang w:val="en-IE"/>
              </w:rPr>
              <w:t>185</w:t>
            </w:r>
          </w:p>
        </w:tc>
        <w:tc>
          <w:tcPr>
            <w:tcW w:w="1489" w:type="dxa"/>
            <w:hideMark/>
          </w:tcPr>
          <w:p w14:paraId="3DAC1754" w14:textId="77777777" w:rsidR="00EE3DF9" w:rsidRPr="00F5382B" w:rsidRDefault="00EE3DF9">
            <w:pPr>
              <w:spacing w:after="200" w:line="276" w:lineRule="auto"/>
              <w:jc w:val="left"/>
              <w:rPr>
                <w:noProof/>
                <w:lang w:val="en-IE"/>
              </w:rPr>
            </w:pPr>
            <w:r w:rsidRPr="00F5382B">
              <w:rPr>
                <w:b/>
                <w:noProof/>
                <w:lang w:val="en-IE"/>
              </w:rPr>
              <w:t>300</w:t>
            </w:r>
          </w:p>
        </w:tc>
        <w:tc>
          <w:tcPr>
            <w:tcW w:w="1554" w:type="dxa"/>
            <w:hideMark/>
          </w:tcPr>
          <w:p w14:paraId="0E07D7DF" w14:textId="77777777" w:rsidR="00EE3DF9" w:rsidRPr="00F5382B" w:rsidRDefault="00EE3DF9">
            <w:pPr>
              <w:spacing w:after="200" w:line="276" w:lineRule="auto"/>
              <w:jc w:val="left"/>
              <w:rPr>
                <w:noProof/>
                <w:lang w:val="en-IE"/>
              </w:rPr>
            </w:pPr>
            <w:r w:rsidRPr="00F5382B">
              <w:rPr>
                <w:b/>
                <w:noProof/>
                <w:lang w:val="en-IE"/>
              </w:rPr>
              <w:t>254</w:t>
            </w:r>
          </w:p>
        </w:tc>
        <w:tc>
          <w:tcPr>
            <w:tcW w:w="1554" w:type="dxa"/>
            <w:hideMark/>
          </w:tcPr>
          <w:p w14:paraId="5DF13E22" w14:textId="77777777" w:rsidR="00EE3DF9" w:rsidRPr="00F5382B" w:rsidRDefault="00EE3DF9">
            <w:pPr>
              <w:spacing w:after="200" w:line="276" w:lineRule="auto"/>
              <w:jc w:val="left"/>
              <w:rPr>
                <w:noProof/>
                <w:lang w:val="en-IE"/>
              </w:rPr>
            </w:pPr>
            <w:r w:rsidRPr="00F5382B">
              <w:rPr>
                <w:b/>
                <w:noProof/>
                <w:lang w:val="en-IE"/>
              </w:rPr>
              <w:t>237</w:t>
            </w:r>
          </w:p>
        </w:tc>
        <w:tc>
          <w:tcPr>
            <w:tcW w:w="1679" w:type="dxa"/>
            <w:hideMark/>
          </w:tcPr>
          <w:p w14:paraId="0AE97A11" w14:textId="77777777" w:rsidR="00EE3DF9" w:rsidRPr="00F5382B" w:rsidRDefault="00EE3DF9">
            <w:pPr>
              <w:spacing w:after="200" w:line="276" w:lineRule="auto"/>
              <w:jc w:val="left"/>
              <w:rPr>
                <w:noProof/>
                <w:lang w:val="en-IE"/>
              </w:rPr>
            </w:pPr>
            <w:r w:rsidRPr="00F5382B">
              <w:rPr>
                <w:b/>
                <w:noProof/>
                <w:lang w:val="en-IE"/>
              </w:rPr>
              <w:t>74</w:t>
            </w:r>
          </w:p>
        </w:tc>
        <w:tc>
          <w:tcPr>
            <w:tcW w:w="1554" w:type="dxa"/>
            <w:hideMark/>
          </w:tcPr>
          <w:p w14:paraId="39FC9E3D" w14:textId="77777777" w:rsidR="00EE3DF9" w:rsidRPr="00F5382B" w:rsidRDefault="00EE3DF9">
            <w:pPr>
              <w:spacing w:after="200" w:line="276" w:lineRule="auto"/>
              <w:jc w:val="left"/>
              <w:rPr>
                <w:noProof/>
                <w:lang w:val="en-IE"/>
              </w:rPr>
            </w:pPr>
            <w:r w:rsidRPr="00F5382B">
              <w:rPr>
                <w:b/>
                <w:noProof/>
                <w:lang w:val="en-IE"/>
              </w:rPr>
              <w:t>201</w:t>
            </w:r>
          </w:p>
        </w:tc>
      </w:tr>
      <w:tr w:rsidR="00EE3DF9" w:rsidRPr="00F5382B" w14:paraId="7CA34690" w14:textId="77777777" w:rsidTr="00C27FF5">
        <w:tc>
          <w:tcPr>
            <w:tcW w:w="1526" w:type="dxa"/>
            <w:hideMark/>
          </w:tcPr>
          <w:p w14:paraId="2179B1A1" w14:textId="77777777" w:rsidR="00EE3DF9" w:rsidRPr="00F5382B" w:rsidRDefault="00EE3DF9">
            <w:pPr>
              <w:spacing w:after="200" w:line="276" w:lineRule="auto"/>
              <w:jc w:val="left"/>
              <w:rPr>
                <w:noProof/>
                <w:lang w:val="en-IE"/>
              </w:rPr>
            </w:pPr>
          </w:p>
        </w:tc>
        <w:tc>
          <w:tcPr>
            <w:tcW w:w="1701" w:type="dxa"/>
            <w:hideMark/>
          </w:tcPr>
          <w:p w14:paraId="54A02DED" w14:textId="77777777" w:rsidR="00EE3DF9" w:rsidRPr="00F5382B" w:rsidRDefault="00EE3DF9">
            <w:pPr>
              <w:spacing w:after="200" w:line="276" w:lineRule="auto"/>
              <w:jc w:val="left"/>
              <w:rPr>
                <w:noProof/>
                <w:lang w:val="en-IE"/>
              </w:rPr>
            </w:pPr>
            <w:r w:rsidRPr="00F5382B">
              <w:rPr>
                <w:noProof/>
                <w:lang w:val="en-IE"/>
              </w:rPr>
              <w:t>Employee Range</w:t>
            </w:r>
          </w:p>
        </w:tc>
        <w:tc>
          <w:tcPr>
            <w:tcW w:w="1276" w:type="dxa"/>
            <w:hideMark/>
          </w:tcPr>
          <w:p w14:paraId="200EBF08" w14:textId="77777777" w:rsidR="00EE3DF9" w:rsidRPr="00F5382B" w:rsidRDefault="00EE3DF9">
            <w:pPr>
              <w:spacing w:after="200" w:line="276" w:lineRule="auto"/>
              <w:jc w:val="left"/>
              <w:rPr>
                <w:noProof/>
                <w:lang w:val="en-IE"/>
              </w:rPr>
            </w:pPr>
            <w:r w:rsidRPr="00F5382B">
              <w:rPr>
                <w:noProof/>
                <w:lang w:val="en-IE"/>
              </w:rPr>
              <w:t>100 to 5,000</w:t>
            </w:r>
          </w:p>
        </w:tc>
        <w:tc>
          <w:tcPr>
            <w:tcW w:w="1489" w:type="dxa"/>
            <w:hideMark/>
          </w:tcPr>
          <w:p w14:paraId="70C358E4" w14:textId="77777777" w:rsidR="00EE3DF9" w:rsidRPr="00F5382B" w:rsidRDefault="00EE3DF9">
            <w:pPr>
              <w:spacing w:after="200" w:line="276" w:lineRule="auto"/>
              <w:jc w:val="left"/>
              <w:rPr>
                <w:noProof/>
                <w:lang w:val="en-IE"/>
              </w:rPr>
            </w:pPr>
            <w:r w:rsidRPr="00F5382B">
              <w:rPr>
                <w:noProof/>
                <w:lang w:val="en-IE"/>
              </w:rPr>
              <w:t>100 to 5,000</w:t>
            </w:r>
          </w:p>
        </w:tc>
        <w:tc>
          <w:tcPr>
            <w:tcW w:w="1554" w:type="dxa"/>
            <w:hideMark/>
          </w:tcPr>
          <w:p w14:paraId="11360B82" w14:textId="77777777" w:rsidR="00EE3DF9" w:rsidRPr="00F5382B" w:rsidRDefault="00EE3DF9">
            <w:pPr>
              <w:spacing w:after="200" w:line="276" w:lineRule="auto"/>
              <w:jc w:val="left"/>
              <w:rPr>
                <w:noProof/>
                <w:lang w:val="en-IE"/>
              </w:rPr>
            </w:pPr>
            <w:r w:rsidRPr="00F5382B">
              <w:rPr>
                <w:noProof/>
                <w:lang w:val="en-IE"/>
              </w:rPr>
              <w:t>100 to 5,000</w:t>
            </w:r>
          </w:p>
        </w:tc>
        <w:tc>
          <w:tcPr>
            <w:tcW w:w="1554" w:type="dxa"/>
            <w:hideMark/>
          </w:tcPr>
          <w:p w14:paraId="61642442" w14:textId="77777777" w:rsidR="00EE3DF9" w:rsidRPr="00F5382B" w:rsidRDefault="00EE3DF9">
            <w:pPr>
              <w:spacing w:after="200" w:line="276" w:lineRule="auto"/>
              <w:jc w:val="left"/>
              <w:rPr>
                <w:noProof/>
                <w:lang w:val="en-IE"/>
              </w:rPr>
            </w:pPr>
            <w:r w:rsidRPr="00F5382B">
              <w:rPr>
                <w:noProof/>
                <w:lang w:val="en-IE"/>
              </w:rPr>
              <w:t>100 to 5,000</w:t>
            </w:r>
          </w:p>
        </w:tc>
        <w:tc>
          <w:tcPr>
            <w:tcW w:w="1679" w:type="dxa"/>
            <w:hideMark/>
          </w:tcPr>
          <w:p w14:paraId="59CFF45B" w14:textId="77777777" w:rsidR="00EE3DF9" w:rsidRPr="00F5382B" w:rsidRDefault="00EE3DF9">
            <w:pPr>
              <w:spacing w:after="200" w:line="276" w:lineRule="auto"/>
              <w:jc w:val="left"/>
              <w:rPr>
                <w:noProof/>
                <w:lang w:val="en-IE"/>
              </w:rPr>
            </w:pPr>
            <w:r w:rsidRPr="00F5382B">
              <w:rPr>
                <w:noProof/>
                <w:lang w:val="en-IE"/>
              </w:rPr>
              <w:t>100 to 5,000</w:t>
            </w:r>
          </w:p>
        </w:tc>
        <w:tc>
          <w:tcPr>
            <w:tcW w:w="1554" w:type="dxa"/>
            <w:hideMark/>
          </w:tcPr>
          <w:p w14:paraId="19DE34FB" w14:textId="77777777" w:rsidR="00EE3DF9" w:rsidRPr="00F5382B" w:rsidRDefault="00EE3DF9">
            <w:pPr>
              <w:spacing w:after="200" w:line="276" w:lineRule="auto"/>
              <w:jc w:val="left"/>
              <w:rPr>
                <w:noProof/>
                <w:lang w:val="en-IE"/>
              </w:rPr>
            </w:pPr>
            <w:r w:rsidRPr="00F5382B">
              <w:rPr>
                <w:noProof/>
                <w:lang w:val="en-IE"/>
              </w:rPr>
              <w:t>100 to 5,000</w:t>
            </w:r>
          </w:p>
        </w:tc>
      </w:tr>
      <w:tr w:rsidR="00EE3DF9" w:rsidRPr="00F5382B" w14:paraId="1FF29626" w14:textId="77777777" w:rsidTr="00C27FF5">
        <w:tc>
          <w:tcPr>
            <w:tcW w:w="1526" w:type="dxa"/>
            <w:hideMark/>
          </w:tcPr>
          <w:p w14:paraId="1ED70A29" w14:textId="77777777" w:rsidR="00EE3DF9" w:rsidRPr="00F5382B" w:rsidRDefault="00EE3DF9">
            <w:pPr>
              <w:spacing w:after="200" w:line="276" w:lineRule="auto"/>
              <w:jc w:val="left"/>
              <w:rPr>
                <w:noProof/>
                <w:lang w:val="en-IE"/>
              </w:rPr>
            </w:pPr>
          </w:p>
        </w:tc>
        <w:tc>
          <w:tcPr>
            <w:tcW w:w="1701" w:type="dxa"/>
            <w:hideMark/>
          </w:tcPr>
          <w:p w14:paraId="3AAD8682" w14:textId="77777777" w:rsidR="00EE3DF9" w:rsidRPr="00F5382B" w:rsidRDefault="00EE3DF9">
            <w:pPr>
              <w:spacing w:after="200" w:line="276" w:lineRule="auto"/>
              <w:jc w:val="left"/>
              <w:rPr>
                <w:noProof/>
                <w:lang w:val="en-IE"/>
              </w:rPr>
            </w:pPr>
            <w:r w:rsidRPr="00F5382B">
              <w:rPr>
                <w:noProof/>
                <w:lang w:val="en-IE"/>
              </w:rPr>
              <w:t>Survey Period</w:t>
            </w:r>
          </w:p>
        </w:tc>
        <w:tc>
          <w:tcPr>
            <w:tcW w:w="1276" w:type="dxa"/>
            <w:hideMark/>
          </w:tcPr>
          <w:p w14:paraId="2E0E0B3C" w14:textId="77777777" w:rsidR="00EE3DF9" w:rsidRPr="00F5382B" w:rsidRDefault="00EE3DF9">
            <w:pPr>
              <w:spacing w:after="200" w:line="276" w:lineRule="auto"/>
              <w:jc w:val="left"/>
              <w:rPr>
                <w:noProof/>
                <w:lang w:val="en-IE"/>
              </w:rPr>
            </w:pPr>
            <w:r w:rsidRPr="00F5382B">
              <w:rPr>
                <w:noProof/>
                <w:lang w:val="en-IE"/>
              </w:rPr>
              <w:t>Jan–Mar 2025</w:t>
            </w:r>
          </w:p>
        </w:tc>
        <w:tc>
          <w:tcPr>
            <w:tcW w:w="1489" w:type="dxa"/>
            <w:hideMark/>
          </w:tcPr>
          <w:p w14:paraId="6BD1C6C0" w14:textId="77777777" w:rsidR="00EE3DF9" w:rsidRPr="00F5382B" w:rsidRDefault="00EE3DF9">
            <w:pPr>
              <w:spacing w:after="200" w:line="276" w:lineRule="auto"/>
              <w:jc w:val="left"/>
              <w:rPr>
                <w:noProof/>
                <w:lang w:val="en-IE"/>
              </w:rPr>
            </w:pPr>
            <w:r w:rsidRPr="00F5382B">
              <w:rPr>
                <w:noProof/>
                <w:lang w:val="en-IE"/>
              </w:rPr>
              <w:t>Jan–Mar 2025</w:t>
            </w:r>
          </w:p>
        </w:tc>
        <w:tc>
          <w:tcPr>
            <w:tcW w:w="1554" w:type="dxa"/>
            <w:hideMark/>
          </w:tcPr>
          <w:p w14:paraId="69C2984D" w14:textId="77777777" w:rsidR="00EE3DF9" w:rsidRPr="00F5382B" w:rsidRDefault="00EE3DF9">
            <w:pPr>
              <w:spacing w:after="200" w:line="276" w:lineRule="auto"/>
              <w:jc w:val="left"/>
              <w:rPr>
                <w:noProof/>
                <w:lang w:val="en-IE"/>
              </w:rPr>
            </w:pPr>
            <w:r w:rsidRPr="00F5382B">
              <w:rPr>
                <w:noProof/>
                <w:lang w:val="en-IE"/>
              </w:rPr>
              <w:t>Jan–Mar 2025</w:t>
            </w:r>
          </w:p>
        </w:tc>
        <w:tc>
          <w:tcPr>
            <w:tcW w:w="1554" w:type="dxa"/>
            <w:hideMark/>
          </w:tcPr>
          <w:p w14:paraId="6959B92E" w14:textId="77777777" w:rsidR="00EE3DF9" w:rsidRPr="00F5382B" w:rsidRDefault="00EE3DF9">
            <w:pPr>
              <w:spacing w:after="200" w:line="276" w:lineRule="auto"/>
              <w:jc w:val="left"/>
              <w:rPr>
                <w:noProof/>
                <w:lang w:val="en-IE"/>
              </w:rPr>
            </w:pPr>
            <w:r w:rsidRPr="00F5382B">
              <w:rPr>
                <w:noProof/>
                <w:lang w:val="en-IE"/>
              </w:rPr>
              <w:t>Jan–Mar 2025</w:t>
            </w:r>
          </w:p>
        </w:tc>
        <w:tc>
          <w:tcPr>
            <w:tcW w:w="1679" w:type="dxa"/>
            <w:hideMark/>
          </w:tcPr>
          <w:p w14:paraId="3222198A" w14:textId="77777777" w:rsidR="00EE3DF9" w:rsidRPr="00F5382B" w:rsidRDefault="00EE3DF9">
            <w:pPr>
              <w:spacing w:after="200" w:line="276" w:lineRule="auto"/>
              <w:jc w:val="left"/>
              <w:rPr>
                <w:noProof/>
                <w:lang w:val="en-IE"/>
              </w:rPr>
            </w:pPr>
            <w:r w:rsidRPr="00F5382B">
              <w:rPr>
                <w:noProof/>
                <w:lang w:val="en-IE"/>
              </w:rPr>
              <w:t>Jan–Mar 2025</w:t>
            </w:r>
          </w:p>
        </w:tc>
        <w:tc>
          <w:tcPr>
            <w:tcW w:w="1554" w:type="dxa"/>
            <w:hideMark/>
          </w:tcPr>
          <w:p w14:paraId="613A9853" w14:textId="77777777" w:rsidR="00EE3DF9" w:rsidRPr="00F5382B" w:rsidRDefault="00EE3DF9">
            <w:pPr>
              <w:spacing w:after="200" w:line="276" w:lineRule="auto"/>
              <w:jc w:val="left"/>
              <w:rPr>
                <w:noProof/>
                <w:lang w:val="en-IE"/>
              </w:rPr>
            </w:pPr>
            <w:r w:rsidRPr="00F5382B">
              <w:rPr>
                <w:noProof/>
                <w:lang w:val="en-IE"/>
              </w:rPr>
              <w:t>Jan–Mar 2025</w:t>
            </w:r>
          </w:p>
        </w:tc>
      </w:tr>
      <w:tr w:rsidR="00EE3DF9" w:rsidRPr="00F5382B" w14:paraId="71A34D5D" w14:textId="77777777" w:rsidTr="00C27FF5">
        <w:tc>
          <w:tcPr>
            <w:tcW w:w="1526" w:type="dxa"/>
            <w:hideMark/>
          </w:tcPr>
          <w:p w14:paraId="3876FC28" w14:textId="77777777" w:rsidR="00EE3DF9" w:rsidRPr="00F5382B" w:rsidRDefault="00EE3DF9">
            <w:pPr>
              <w:spacing w:after="200" w:line="276" w:lineRule="auto"/>
              <w:jc w:val="left"/>
              <w:rPr>
                <w:noProof/>
                <w:lang w:val="en-IE"/>
              </w:rPr>
            </w:pPr>
            <w:r w:rsidRPr="00F5382B">
              <w:rPr>
                <w:b/>
                <w:noProof/>
                <w:lang w:val="en-IE"/>
              </w:rPr>
              <w:t>Attack Outcomes</w:t>
            </w:r>
          </w:p>
        </w:tc>
        <w:tc>
          <w:tcPr>
            <w:tcW w:w="1701" w:type="dxa"/>
            <w:hideMark/>
          </w:tcPr>
          <w:p w14:paraId="47B467E4" w14:textId="77777777" w:rsidR="00EE3DF9" w:rsidRPr="00F5382B" w:rsidRDefault="00EE3DF9">
            <w:pPr>
              <w:spacing w:after="200" w:line="276" w:lineRule="auto"/>
              <w:jc w:val="left"/>
              <w:rPr>
                <w:noProof/>
                <w:lang w:val="en-IE"/>
              </w:rPr>
            </w:pPr>
            <w:r w:rsidRPr="00F5382B">
              <w:rPr>
                <w:noProof/>
                <w:lang w:val="en-IE"/>
              </w:rPr>
              <w:t>Percentage of attacks resulting in data encryption</w:t>
            </w:r>
          </w:p>
        </w:tc>
        <w:tc>
          <w:tcPr>
            <w:tcW w:w="1276" w:type="dxa"/>
            <w:hideMark/>
          </w:tcPr>
          <w:p w14:paraId="6F027C1A" w14:textId="77777777" w:rsidR="00EE3DF9" w:rsidRPr="00F5382B" w:rsidRDefault="00EE3DF9">
            <w:pPr>
              <w:spacing w:after="200" w:line="276" w:lineRule="auto"/>
              <w:jc w:val="left"/>
              <w:rPr>
                <w:noProof/>
                <w:lang w:val="en-IE"/>
              </w:rPr>
            </w:pPr>
            <w:r w:rsidRPr="00F5382B">
              <w:rPr>
                <w:b/>
                <w:noProof/>
                <w:lang w:val="en-IE"/>
              </w:rPr>
              <w:t>58%</w:t>
            </w:r>
            <w:r w:rsidRPr="00F5382B">
              <w:rPr>
                <w:noProof/>
                <w:lang w:val="en-IE"/>
              </w:rPr>
              <w:t xml:space="preserve"> (Above global 50%)</w:t>
            </w:r>
          </w:p>
        </w:tc>
        <w:tc>
          <w:tcPr>
            <w:tcW w:w="1489" w:type="dxa"/>
            <w:hideMark/>
          </w:tcPr>
          <w:p w14:paraId="4D5FEF53" w14:textId="77777777" w:rsidR="00EE3DF9" w:rsidRPr="00F5382B" w:rsidRDefault="00EE3DF9">
            <w:pPr>
              <w:spacing w:after="200" w:line="276" w:lineRule="auto"/>
              <w:jc w:val="left"/>
              <w:rPr>
                <w:noProof/>
                <w:lang w:val="en-IE"/>
              </w:rPr>
            </w:pPr>
            <w:r w:rsidRPr="00F5382B">
              <w:rPr>
                <w:noProof/>
                <w:lang w:val="en-IE"/>
              </w:rPr>
              <w:t>51% (In line with global 50%)</w:t>
            </w:r>
          </w:p>
        </w:tc>
        <w:tc>
          <w:tcPr>
            <w:tcW w:w="1554" w:type="dxa"/>
            <w:hideMark/>
          </w:tcPr>
          <w:p w14:paraId="746D22FC" w14:textId="77777777" w:rsidR="00EE3DF9" w:rsidRPr="00F5382B" w:rsidRDefault="00EE3DF9">
            <w:pPr>
              <w:spacing w:after="200" w:line="276" w:lineRule="auto"/>
              <w:jc w:val="left"/>
              <w:rPr>
                <w:noProof/>
                <w:lang w:val="en-IE"/>
              </w:rPr>
            </w:pPr>
            <w:r w:rsidRPr="00F5382B">
              <w:rPr>
                <w:noProof/>
                <w:lang w:val="en-IE"/>
              </w:rPr>
              <w:t>55% (Above global 50%)</w:t>
            </w:r>
          </w:p>
        </w:tc>
        <w:tc>
          <w:tcPr>
            <w:tcW w:w="1554" w:type="dxa"/>
            <w:hideMark/>
          </w:tcPr>
          <w:p w14:paraId="19E4039A" w14:textId="77777777" w:rsidR="00EE3DF9" w:rsidRPr="00F5382B" w:rsidRDefault="00EE3DF9">
            <w:pPr>
              <w:spacing w:after="200" w:line="276" w:lineRule="auto"/>
              <w:jc w:val="left"/>
              <w:rPr>
                <w:noProof/>
                <w:lang w:val="en-IE"/>
              </w:rPr>
            </w:pPr>
            <w:r w:rsidRPr="00F5382B">
              <w:rPr>
                <w:noProof/>
                <w:lang w:val="en-IE"/>
              </w:rPr>
              <w:t>47% (Below global 50%)</w:t>
            </w:r>
          </w:p>
        </w:tc>
        <w:tc>
          <w:tcPr>
            <w:tcW w:w="1679" w:type="dxa"/>
            <w:hideMark/>
          </w:tcPr>
          <w:p w14:paraId="5B6AEDB4" w14:textId="77777777" w:rsidR="00EE3DF9" w:rsidRPr="00F5382B" w:rsidRDefault="00EE3DF9">
            <w:pPr>
              <w:spacing w:after="200" w:line="276" w:lineRule="auto"/>
              <w:jc w:val="left"/>
              <w:rPr>
                <w:noProof/>
                <w:lang w:val="en-IE"/>
              </w:rPr>
            </w:pPr>
            <w:r w:rsidRPr="00F5382B">
              <w:rPr>
                <w:noProof/>
                <w:lang w:val="en-IE"/>
              </w:rPr>
              <w:t>53% (Just above global 50%)</w:t>
            </w:r>
          </w:p>
        </w:tc>
        <w:tc>
          <w:tcPr>
            <w:tcW w:w="1554" w:type="dxa"/>
            <w:hideMark/>
          </w:tcPr>
          <w:p w14:paraId="302E0C86" w14:textId="77777777" w:rsidR="00EE3DF9" w:rsidRPr="00F5382B" w:rsidRDefault="00EE3DF9">
            <w:pPr>
              <w:spacing w:after="200" w:line="276" w:lineRule="auto"/>
              <w:jc w:val="left"/>
              <w:rPr>
                <w:noProof/>
                <w:lang w:val="en-IE"/>
              </w:rPr>
            </w:pPr>
            <w:r w:rsidRPr="00F5382B">
              <w:rPr>
                <w:b/>
                <w:noProof/>
                <w:lang w:val="en-IE"/>
              </w:rPr>
              <w:t>70%</w:t>
            </w:r>
            <w:r w:rsidRPr="00F5382B">
              <w:rPr>
                <w:noProof/>
                <w:lang w:val="en-IE"/>
              </w:rPr>
              <w:t xml:space="preserve"> (Well above global 50%)</w:t>
            </w:r>
          </w:p>
        </w:tc>
      </w:tr>
      <w:tr w:rsidR="00EE3DF9" w:rsidRPr="00F5382B" w14:paraId="263009AF" w14:textId="77777777" w:rsidTr="00C27FF5">
        <w:tc>
          <w:tcPr>
            <w:tcW w:w="1526" w:type="dxa"/>
            <w:hideMark/>
          </w:tcPr>
          <w:p w14:paraId="20DBDD13" w14:textId="77777777" w:rsidR="00EE3DF9" w:rsidRPr="00F5382B" w:rsidRDefault="00EE3DF9">
            <w:pPr>
              <w:spacing w:after="200" w:line="276" w:lineRule="auto"/>
              <w:jc w:val="left"/>
              <w:rPr>
                <w:noProof/>
                <w:lang w:val="en-IE"/>
              </w:rPr>
            </w:pPr>
          </w:p>
        </w:tc>
        <w:tc>
          <w:tcPr>
            <w:tcW w:w="1701" w:type="dxa"/>
            <w:hideMark/>
          </w:tcPr>
          <w:p w14:paraId="2DBCF825" w14:textId="77777777" w:rsidR="00EE3DF9" w:rsidRPr="00F5382B" w:rsidRDefault="00EE3DF9">
            <w:pPr>
              <w:spacing w:after="200" w:line="276" w:lineRule="auto"/>
              <w:jc w:val="left"/>
              <w:rPr>
                <w:noProof/>
                <w:lang w:val="en-IE"/>
              </w:rPr>
            </w:pPr>
            <w:r w:rsidRPr="00F5382B">
              <w:rPr>
                <w:noProof/>
                <w:lang w:val="en-IE"/>
              </w:rPr>
              <w:t>Percentage of encrypted attacks that also resulted in data theft</w:t>
            </w:r>
          </w:p>
        </w:tc>
        <w:tc>
          <w:tcPr>
            <w:tcW w:w="1276" w:type="dxa"/>
            <w:hideMark/>
          </w:tcPr>
          <w:p w14:paraId="45887FE7" w14:textId="77777777" w:rsidR="00EE3DF9" w:rsidRPr="00F5382B" w:rsidRDefault="00EE3DF9">
            <w:pPr>
              <w:spacing w:after="200" w:line="276" w:lineRule="auto"/>
              <w:jc w:val="left"/>
              <w:rPr>
                <w:noProof/>
                <w:lang w:val="en-IE"/>
              </w:rPr>
            </w:pPr>
            <w:r w:rsidRPr="00F5382B">
              <w:rPr>
                <w:noProof/>
                <w:lang w:val="en-IE"/>
              </w:rPr>
              <w:t>44%</w:t>
            </w:r>
          </w:p>
        </w:tc>
        <w:tc>
          <w:tcPr>
            <w:tcW w:w="1489" w:type="dxa"/>
            <w:hideMark/>
          </w:tcPr>
          <w:p w14:paraId="209FA04E" w14:textId="77777777" w:rsidR="00EE3DF9" w:rsidRPr="00F5382B" w:rsidRDefault="00EE3DF9">
            <w:pPr>
              <w:spacing w:after="200" w:line="276" w:lineRule="auto"/>
              <w:jc w:val="left"/>
              <w:rPr>
                <w:noProof/>
                <w:lang w:val="en-IE"/>
              </w:rPr>
            </w:pPr>
            <w:r w:rsidRPr="00F5382B">
              <w:rPr>
                <w:noProof/>
                <w:lang w:val="en-IE"/>
              </w:rPr>
              <w:t>24%</w:t>
            </w:r>
          </w:p>
        </w:tc>
        <w:tc>
          <w:tcPr>
            <w:tcW w:w="1554" w:type="dxa"/>
            <w:hideMark/>
          </w:tcPr>
          <w:p w14:paraId="26D58C95" w14:textId="77777777" w:rsidR="00EE3DF9" w:rsidRPr="00F5382B" w:rsidRDefault="00EE3DF9">
            <w:pPr>
              <w:spacing w:after="200" w:line="276" w:lineRule="auto"/>
              <w:jc w:val="left"/>
              <w:rPr>
                <w:noProof/>
                <w:lang w:val="en-IE"/>
              </w:rPr>
            </w:pPr>
            <w:r w:rsidRPr="00F5382B">
              <w:rPr>
                <w:b/>
                <w:noProof/>
                <w:lang w:val="en-IE"/>
              </w:rPr>
              <w:t>11%</w:t>
            </w:r>
          </w:p>
        </w:tc>
        <w:tc>
          <w:tcPr>
            <w:tcW w:w="1554" w:type="dxa"/>
            <w:hideMark/>
          </w:tcPr>
          <w:p w14:paraId="697EE51A" w14:textId="77777777" w:rsidR="00EE3DF9" w:rsidRPr="00F5382B" w:rsidRDefault="00EE3DF9">
            <w:pPr>
              <w:spacing w:after="200" w:line="276" w:lineRule="auto"/>
              <w:jc w:val="left"/>
              <w:rPr>
                <w:noProof/>
                <w:lang w:val="en-IE"/>
              </w:rPr>
            </w:pPr>
            <w:r w:rsidRPr="00F5382B">
              <w:rPr>
                <w:noProof/>
                <w:lang w:val="en-IE"/>
              </w:rPr>
              <w:t>36%</w:t>
            </w:r>
          </w:p>
        </w:tc>
        <w:tc>
          <w:tcPr>
            <w:tcW w:w="1679" w:type="dxa"/>
            <w:hideMark/>
          </w:tcPr>
          <w:p w14:paraId="44280065" w14:textId="77777777" w:rsidR="00EE3DF9" w:rsidRPr="00F5382B" w:rsidRDefault="00EE3DF9">
            <w:pPr>
              <w:spacing w:after="200" w:line="276" w:lineRule="auto"/>
              <w:jc w:val="left"/>
              <w:rPr>
                <w:noProof/>
                <w:lang w:val="en-IE"/>
              </w:rPr>
            </w:pPr>
            <w:r w:rsidRPr="00F5382B">
              <w:rPr>
                <w:noProof/>
                <w:lang w:val="en-IE"/>
              </w:rPr>
              <w:t>10%</w:t>
            </w:r>
          </w:p>
        </w:tc>
        <w:tc>
          <w:tcPr>
            <w:tcW w:w="1554" w:type="dxa"/>
            <w:hideMark/>
          </w:tcPr>
          <w:p w14:paraId="4DA3F663" w14:textId="77777777" w:rsidR="00EE3DF9" w:rsidRPr="00F5382B" w:rsidRDefault="00EE3DF9">
            <w:pPr>
              <w:spacing w:after="200" w:line="276" w:lineRule="auto"/>
              <w:jc w:val="left"/>
              <w:rPr>
                <w:noProof/>
                <w:lang w:val="en-IE"/>
              </w:rPr>
            </w:pPr>
            <w:r w:rsidRPr="00F5382B">
              <w:rPr>
                <w:noProof/>
                <w:lang w:val="en-IE"/>
              </w:rPr>
              <w:t>26%</w:t>
            </w:r>
          </w:p>
        </w:tc>
      </w:tr>
      <w:tr w:rsidR="00EE3DF9" w:rsidRPr="00F5382B" w14:paraId="46EF8E64" w14:textId="77777777" w:rsidTr="00C27FF5">
        <w:tc>
          <w:tcPr>
            <w:tcW w:w="1526" w:type="dxa"/>
            <w:hideMark/>
          </w:tcPr>
          <w:p w14:paraId="1BF050A0" w14:textId="59F72D9A" w:rsidR="00EE3DF9" w:rsidRPr="00F5382B" w:rsidRDefault="00EE3DF9">
            <w:pPr>
              <w:spacing w:after="200" w:line="276" w:lineRule="auto"/>
              <w:jc w:val="left"/>
              <w:rPr>
                <w:noProof/>
                <w:lang w:val="en-IE"/>
              </w:rPr>
            </w:pPr>
            <w:r w:rsidRPr="00F5382B">
              <w:rPr>
                <w:b/>
                <w:noProof/>
                <w:lang w:val="en-IE"/>
              </w:rPr>
              <w:t xml:space="preserve">Financial </w:t>
            </w:r>
            <w:r w:rsidR="00C27FF5">
              <w:rPr>
                <w:b/>
                <w:noProof/>
                <w:lang w:val="en-IE"/>
              </w:rPr>
              <w:t>i</w:t>
            </w:r>
            <w:r w:rsidRPr="00F5382B">
              <w:rPr>
                <w:b/>
                <w:noProof/>
                <w:lang w:val="en-IE"/>
              </w:rPr>
              <w:t>mpact (Ransom)</w:t>
            </w:r>
          </w:p>
        </w:tc>
        <w:tc>
          <w:tcPr>
            <w:tcW w:w="1701" w:type="dxa"/>
            <w:hideMark/>
          </w:tcPr>
          <w:p w14:paraId="6D51B9A1" w14:textId="77777777" w:rsidR="00EE3DF9" w:rsidRPr="00F5382B" w:rsidRDefault="00EE3DF9">
            <w:pPr>
              <w:spacing w:after="200" w:line="276" w:lineRule="auto"/>
              <w:jc w:val="left"/>
              <w:rPr>
                <w:noProof/>
                <w:lang w:val="en-IE"/>
              </w:rPr>
            </w:pPr>
            <w:r w:rsidRPr="00F5382B">
              <w:rPr>
                <w:noProof/>
                <w:lang w:val="en-IE"/>
              </w:rPr>
              <w:t>Median Ransom Demand (Last year)</w:t>
            </w:r>
          </w:p>
        </w:tc>
        <w:tc>
          <w:tcPr>
            <w:tcW w:w="1276" w:type="dxa"/>
            <w:hideMark/>
          </w:tcPr>
          <w:p w14:paraId="734B3578" w14:textId="77777777" w:rsidR="00EE3DF9" w:rsidRPr="00F5382B" w:rsidRDefault="00EE3DF9">
            <w:pPr>
              <w:spacing w:after="200" w:line="276" w:lineRule="auto"/>
              <w:jc w:val="left"/>
              <w:rPr>
                <w:noProof/>
                <w:lang w:val="en-IE"/>
              </w:rPr>
            </w:pPr>
            <w:r w:rsidRPr="00F5382B">
              <w:rPr>
                <w:noProof/>
                <w:lang w:val="en-IE"/>
              </w:rPr>
              <w:t>$643,125</w:t>
            </w:r>
          </w:p>
        </w:tc>
        <w:tc>
          <w:tcPr>
            <w:tcW w:w="1489" w:type="dxa"/>
            <w:hideMark/>
          </w:tcPr>
          <w:p w14:paraId="274F30A9" w14:textId="77777777" w:rsidR="00EE3DF9" w:rsidRPr="00F5382B" w:rsidRDefault="00EE3DF9">
            <w:pPr>
              <w:spacing w:after="200" w:line="276" w:lineRule="auto"/>
              <w:jc w:val="left"/>
              <w:rPr>
                <w:noProof/>
                <w:lang w:val="en-IE"/>
              </w:rPr>
            </w:pPr>
            <w:r w:rsidRPr="00F5382B">
              <w:rPr>
                <w:noProof/>
                <w:lang w:val="en-IE"/>
              </w:rPr>
              <w:t>$600,000</w:t>
            </w:r>
          </w:p>
        </w:tc>
        <w:tc>
          <w:tcPr>
            <w:tcW w:w="1554" w:type="dxa"/>
            <w:hideMark/>
          </w:tcPr>
          <w:p w14:paraId="240A84CF" w14:textId="77777777" w:rsidR="00EE3DF9" w:rsidRPr="00F5382B" w:rsidRDefault="00EE3DF9">
            <w:pPr>
              <w:spacing w:after="200" w:line="276" w:lineRule="auto"/>
              <w:jc w:val="left"/>
              <w:rPr>
                <w:noProof/>
                <w:lang w:val="en-IE"/>
              </w:rPr>
            </w:pPr>
            <w:r w:rsidRPr="00F5382B">
              <w:rPr>
                <w:b/>
                <w:noProof/>
                <w:lang w:val="en-IE"/>
              </w:rPr>
              <w:t>$4.12 million</w:t>
            </w:r>
          </w:p>
        </w:tc>
        <w:tc>
          <w:tcPr>
            <w:tcW w:w="1554" w:type="dxa"/>
            <w:hideMark/>
          </w:tcPr>
          <w:p w14:paraId="4295C2A1" w14:textId="77777777" w:rsidR="00EE3DF9" w:rsidRPr="00F5382B" w:rsidRDefault="00EE3DF9">
            <w:pPr>
              <w:spacing w:after="200" w:line="276" w:lineRule="auto"/>
              <w:jc w:val="left"/>
              <w:rPr>
                <w:noProof/>
                <w:lang w:val="en-IE"/>
              </w:rPr>
            </w:pPr>
            <w:r w:rsidRPr="00F5382B">
              <w:rPr>
                <w:noProof/>
                <w:lang w:val="en-IE"/>
              </w:rPr>
              <w:t>$911,600</w:t>
            </w:r>
          </w:p>
        </w:tc>
        <w:tc>
          <w:tcPr>
            <w:tcW w:w="1679" w:type="dxa"/>
            <w:hideMark/>
          </w:tcPr>
          <w:p w14:paraId="065874A2" w14:textId="77777777" w:rsidR="00EE3DF9" w:rsidRPr="00F5382B" w:rsidRDefault="00EE3DF9">
            <w:pPr>
              <w:spacing w:after="200" w:line="276" w:lineRule="auto"/>
              <w:jc w:val="left"/>
              <w:rPr>
                <w:noProof/>
                <w:lang w:val="en-IE"/>
              </w:rPr>
            </w:pPr>
            <w:r w:rsidRPr="00F5382B">
              <w:rPr>
                <w:b/>
                <w:noProof/>
                <w:lang w:val="en-IE"/>
              </w:rPr>
              <w:t>$328,748</w:t>
            </w:r>
          </w:p>
        </w:tc>
        <w:tc>
          <w:tcPr>
            <w:tcW w:w="1554" w:type="dxa"/>
            <w:hideMark/>
          </w:tcPr>
          <w:p w14:paraId="0A7F0BAC" w14:textId="77777777" w:rsidR="00EE3DF9" w:rsidRPr="00F5382B" w:rsidRDefault="00EE3DF9">
            <w:pPr>
              <w:spacing w:after="200" w:line="276" w:lineRule="auto"/>
              <w:jc w:val="left"/>
              <w:rPr>
                <w:noProof/>
                <w:lang w:val="en-IE"/>
              </w:rPr>
            </w:pPr>
            <w:r w:rsidRPr="00F5382B">
              <w:rPr>
                <w:b/>
                <w:noProof/>
                <w:lang w:val="en-IE"/>
              </w:rPr>
              <w:t>$5.37 million</w:t>
            </w:r>
          </w:p>
        </w:tc>
      </w:tr>
      <w:tr w:rsidR="00EE3DF9" w:rsidRPr="00F5382B" w14:paraId="3FDFF51E" w14:textId="77777777" w:rsidTr="00C27FF5">
        <w:tc>
          <w:tcPr>
            <w:tcW w:w="1526" w:type="dxa"/>
            <w:hideMark/>
          </w:tcPr>
          <w:p w14:paraId="6F36620D" w14:textId="77777777" w:rsidR="00EE3DF9" w:rsidRPr="00F5382B" w:rsidRDefault="00EE3DF9">
            <w:pPr>
              <w:spacing w:after="200" w:line="276" w:lineRule="auto"/>
              <w:jc w:val="left"/>
              <w:rPr>
                <w:noProof/>
                <w:lang w:val="en-IE"/>
              </w:rPr>
            </w:pPr>
          </w:p>
        </w:tc>
        <w:tc>
          <w:tcPr>
            <w:tcW w:w="1701" w:type="dxa"/>
            <w:hideMark/>
          </w:tcPr>
          <w:p w14:paraId="145C70C1" w14:textId="77777777" w:rsidR="00EE3DF9" w:rsidRPr="00F5382B" w:rsidRDefault="00EE3DF9">
            <w:pPr>
              <w:spacing w:after="200" w:line="276" w:lineRule="auto"/>
              <w:jc w:val="left"/>
              <w:rPr>
                <w:noProof/>
                <w:lang w:val="en-IE"/>
              </w:rPr>
            </w:pPr>
            <w:r w:rsidRPr="00F5382B">
              <w:rPr>
                <w:noProof/>
                <w:lang w:val="en-IE"/>
              </w:rPr>
              <w:t>Demands of $1 million or more</w:t>
            </w:r>
          </w:p>
        </w:tc>
        <w:tc>
          <w:tcPr>
            <w:tcW w:w="1276" w:type="dxa"/>
            <w:hideMark/>
          </w:tcPr>
          <w:p w14:paraId="395E6279" w14:textId="77777777" w:rsidR="00EE3DF9" w:rsidRPr="00F5382B" w:rsidRDefault="00EE3DF9">
            <w:pPr>
              <w:spacing w:after="200" w:line="276" w:lineRule="auto"/>
              <w:jc w:val="left"/>
              <w:rPr>
                <w:noProof/>
                <w:lang w:val="en-IE"/>
              </w:rPr>
            </w:pPr>
            <w:r w:rsidRPr="00F5382B">
              <w:rPr>
                <w:noProof/>
                <w:lang w:val="en-IE"/>
              </w:rPr>
              <w:t>49%</w:t>
            </w:r>
          </w:p>
        </w:tc>
        <w:tc>
          <w:tcPr>
            <w:tcW w:w="1489" w:type="dxa"/>
            <w:hideMark/>
          </w:tcPr>
          <w:p w14:paraId="74F484EF" w14:textId="77777777" w:rsidR="00EE3DF9" w:rsidRPr="00F5382B" w:rsidRDefault="00EE3DF9">
            <w:pPr>
              <w:spacing w:after="200" w:line="276" w:lineRule="auto"/>
              <w:jc w:val="left"/>
              <w:rPr>
                <w:noProof/>
                <w:lang w:val="en-IE"/>
              </w:rPr>
            </w:pPr>
            <w:r w:rsidRPr="00F5382B">
              <w:rPr>
                <w:noProof/>
                <w:lang w:val="en-IE"/>
              </w:rPr>
              <w:t>49%</w:t>
            </w:r>
          </w:p>
        </w:tc>
        <w:tc>
          <w:tcPr>
            <w:tcW w:w="1554" w:type="dxa"/>
            <w:hideMark/>
          </w:tcPr>
          <w:p w14:paraId="639CC1E1" w14:textId="77777777" w:rsidR="00EE3DF9" w:rsidRPr="00F5382B" w:rsidRDefault="00EE3DF9">
            <w:pPr>
              <w:spacing w:after="200" w:line="276" w:lineRule="auto"/>
              <w:jc w:val="left"/>
              <w:rPr>
                <w:noProof/>
                <w:lang w:val="en-IE"/>
              </w:rPr>
            </w:pPr>
            <w:r w:rsidRPr="00F5382B">
              <w:rPr>
                <w:noProof/>
                <w:lang w:val="en-IE"/>
              </w:rPr>
              <w:t>68%</w:t>
            </w:r>
          </w:p>
        </w:tc>
        <w:tc>
          <w:tcPr>
            <w:tcW w:w="1554" w:type="dxa"/>
            <w:hideMark/>
          </w:tcPr>
          <w:p w14:paraId="0FC6B4BA" w14:textId="77777777" w:rsidR="00EE3DF9" w:rsidRPr="00F5382B" w:rsidRDefault="00EE3DF9">
            <w:pPr>
              <w:spacing w:after="200" w:line="276" w:lineRule="auto"/>
              <w:jc w:val="left"/>
              <w:rPr>
                <w:noProof/>
                <w:lang w:val="en-IE"/>
              </w:rPr>
            </w:pPr>
            <w:r w:rsidRPr="00F5382B">
              <w:rPr>
                <w:noProof/>
                <w:lang w:val="en-IE"/>
              </w:rPr>
              <w:t>50%</w:t>
            </w:r>
          </w:p>
        </w:tc>
        <w:tc>
          <w:tcPr>
            <w:tcW w:w="1679" w:type="dxa"/>
            <w:hideMark/>
          </w:tcPr>
          <w:p w14:paraId="550FEAD5" w14:textId="77777777" w:rsidR="00EE3DF9" w:rsidRPr="00F5382B" w:rsidRDefault="00EE3DF9">
            <w:pPr>
              <w:spacing w:after="200" w:line="276" w:lineRule="auto"/>
              <w:jc w:val="left"/>
              <w:rPr>
                <w:noProof/>
                <w:lang w:val="en-IE"/>
              </w:rPr>
            </w:pPr>
            <w:r w:rsidRPr="00F5382B">
              <w:rPr>
                <w:noProof/>
                <w:lang w:val="en-IE"/>
              </w:rPr>
              <w:t>46%</w:t>
            </w:r>
          </w:p>
        </w:tc>
        <w:tc>
          <w:tcPr>
            <w:tcW w:w="1554" w:type="dxa"/>
            <w:hideMark/>
          </w:tcPr>
          <w:p w14:paraId="5EB0CE1C" w14:textId="77777777" w:rsidR="00EE3DF9" w:rsidRPr="00F5382B" w:rsidRDefault="00EE3DF9">
            <w:pPr>
              <w:spacing w:after="200" w:line="276" w:lineRule="auto"/>
              <w:jc w:val="left"/>
              <w:rPr>
                <w:noProof/>
                <w:lang w:val="en-IE"/>
              </w:rPr>
            </w:pPr>
            <w:r w:rsidRPr="00F5382B">
              <w:rPr>
                <w:b/>
                <w:noProof/>
                <w:lang w:val="en-IE"/>
              </w:rPr>
              <w:t>89%</w:t>
            </w:r>
          </w:p>
        </w:tc>
      </w:tr>
      <w:tr w:rsidR="00EE3DF9" w:rsidRPr="00F5382B" w14:paraId="6B3F75A5" w14:textId="77777777" w:rsidTr="00C27FF5">
        <w:tc>
          <w:tcPr>
            <w:tcW w:w="1526" w:type="dxa"/>
            <w:hideMark/>
          </w:tcPr>
          <w:p w14:paraId="0DCB5DC9" w14:textId="77777777" w:rsidR="00EE3DF9" w:rsidRPr="00F5382B" w:rsidRDefault="00EE3DF9">
            <w:pPr>
              <w:spacing w:after="200" w:line="276" w:lineRule="auto"/>
              <w:jc w:val="left"/>
              <w:rPr>
                <w:noProof/>
                <w:lang w:val="en-IE"/>
              </w:rPr>
            </w:pPr>
          </w:p>
        </w:tc>
        <w:tc>
          <w:tcPr>
            <w:tcW w:w="1701" w:type="dxa"/>
            <w:hideMark/>
          </w:tcPr>
          <w:p w14:paraId="4DD9B259" w14:textId="77777777" w:rsidR="00EE3DF9" w:rsidRPr="00F5382B" w:rsidRDefault="00EE3DF9">
            <w:pPr>
              <w:spacing w:after="200" w:line="276" w:lineRule="auto"/>
              <w:jc w:val="left"/>
              <w:rPr>
                <w:noProof/>
                <w:lang w:val="en-IE"/>
              </w:rPr>
            </w:pPr>
            <w:r w:rsidRPr="00F5382B">
              <w:rPr>
                <w:noProof/>
                <w:lang w:val="en-IE"/>
              </w:rPr>
              <w:t>Median Ransom Payment (Last year)</w:t>
            </w:r>
          </w:p>
        </w:tc>
        <w:tc>
          <w:tcPr>
            <w:tcW w:w="1276" w:type="dxa"/>
            <w:hideMark/>
          </w:tcPr>
          <w:p w14:paraId="339BE15E" w14:textId="77777777" w:rsidR="00EE3DF9" w:rsidRPr="00F5382B" w:rsidRDefault="00EE3DF9">
            <w:pPr>
              <w:spacing w:after="200" w:line="276" w:lineRule="auto"/>
              <w:jc w:val="left"/>
              <w:rPr>
                <w:noProof/>
                <w:lang w:val="en-IE"/>
              </w:rPr>
            </w:pPr>
            <w:r w:rsidRPr="00F5382B">
              <w:rPr>
                <w:noProof/>
                <w:lang w:val="en-IE"/>
              </w:rPr>
              <w:t>$231,525</w:t>
            </w:r>
          </w:p>
        </w:tc>
        <w:tc>
          <w:tcPr>
            <w:tcW w:w="1489" w:type="dxa"/>
            <w:hideMark/>
          </w:tcPr>
          <w:p w14:paraId="7E218F3D" w14:textId="77777777" w:rsidR="00EE3DF9" w:rsidRPr="00F5382B" w:rsidRDefault="00EE3DF9">
            <w:pPr>
              <w:spacing w:after="200" w:line="276" w:lineRule="auto"/>
              <w:jc w:val="left"/>
              <w:rPr>
                <w:noProof/>
                <w:lang w:val="en-IE"/>
              </w:rPr>
            </w:pPr>
            <w:r w:rsidRPr="00F5382B">
              <w:rPr>
                <w:noProof/>
                <w:lang w:val="en-IE"/>
              </w:rPr>
              <w:t>$411,600</w:t>
            </w:r>
          </w:p>
        </w:tc>
        <w:tc>
          <w:tcPr>
            <w:tcW w:w="1554" w:type="dxa"/>
            <w:hideMark/>
          </w:tcPr>
          <w:p w14:paraId="68810AEC" w14:textId="77777777" w:rsidR="00EE3DF9" w:rsidRPr="00F5382B" w:rsidRDefault="00EE3DF9">
            <w:pPr>
              <w:spacing w:after="200" w:line="276" w:lineRule="auto"/>
              <w:jc w:val="left"/>
              <w:rPr>
                <w:noProof/>
                <w:lang w:val="en-IE"/>
              </w:rPr>
            </w:pPr>
            <w:r w:rsidRPr="00F5382B">
              <w:rPr>
                <w:noProof/>
                <w:lang w:val="en-IE"/>
              </w:rPr>
              <w:t>$2.06 million</w:t>
            </w:r>
          </w:p>
        </w:tc>
        <w:tc>
          <w:tcPr>
            <w:tcW w:w="1554" w:type="dxa"/>
            <w:hideMark/>
          </w:tcPr>
          <w:p w14:paraId="398CF200" w14:textId="77777777" w:rsidR="00EE3DF9" w:rsidRPr="00F5382B" w:rsidRDefault="00EE3DF9">
            <w:pPr>
              <w:spacing w:after="200" w:line="276" w:lineRule="auto"/>
              <w:jc w:val="left"/>
              <w:rPr>
                <w:noProof/>
                <w:lang w:val="en-IE"/>
              </w:rPr>
            </w:pPr>
            <w:r w:rsidRPr="00F5382B">
              <w:rPr>
                <w:noProof/>
                <w:lang w:val="en-IE"/>
              </w:rPr>
              <w:t>$322,500</w:t>
            </w:r>
          </w:p>
        </w:tc>
        <w:tc>
          <w:tcPr>
            <w:tcW w:w="1679" w:type="dxa"/>
            <w:hideMark/>
          </w:tcPr>
          <w:p w14:paraId="6F2CC3E9" w14:textId="77777777" w:rsidR="00EE3DF9" w:rsidRPr="00F5382B" w:rsidRDefault="00EE3DF9">
            <w:pPr>
              <w:spacing w:after="200" w:line="276" w:lineRule="auto"/>
              <w:jc w:val="left"/>
              <w:rPr>
                <w:noProof/>
                <w:lang w:val="en-IE"/>
              </w:rPr>
            </w:pPr>
            <w:r w:rsidRPr="00F5382B">
              <w:rPr>
                <w:noProof/>
                <w:lang w:val="en-IE"/>
              </w:rPr>
              <w:t>$1.1 million (Shared by 22 respondents)</w:t>
            </w:r>
          </w:p>
        </w:tc>
        <w:tc>
          <w:tcPr>
            <w:tcW w:w="1554" w:type="dxa"/>
            <w:hideMark/>
          </w:tcPr>
          <w:p w14:paraId="2364C0A6" w14:textId="77777777" w:rsidR="00EE3DF9" w:rsidRPr="00F5382B" w:rsidRDefault="00EE3DF9">
            <w:pPr>
              <w:spacing w:after="200" w:line="276" w:lineRule="auto"/>
              <w:jc w:val="left"/>
              <w:rPr>
                <w:noProof/>
                <w:lang w:val="en-IE"/>
              </w:rPr>
            </w:pPr>
            <w:r w:rsidRPr="00F5382B">
              <w:rPr>
                <w:b/>
                <w:noProof/>
                <w:lang w:val="en-IE"/>
              </w:rPr>
              <w:t>$5.20 million</w:t>
            </w:r>
          </w:p>
        </w:tc>
      </w:tr>
      <w:tr w:rsidR="00EE3DF9" w:rsidRPr="00F5382B" w14:paraId="7EAA1E37" w14:textId="77777777" w:rsidTr="00C27FF5">
        <w:tc>
          <w:tcPr>
            <w:tcW w:w="1526" w:type="dxa"/>
            <w:hideMark/>
          </w:tcPr>
          <w:p w14:paraId="7C9136DF" w14:textId="77777777" w:rsidR="00EE3DF9" w:rsidRPr="00F5382B" w:rsidRDefault="00EE3DF9">
            <w:pPr>
              <w:spacing w:after="200" w:line="276" w:lineRule="auto"/>
              <w:jc w:val="left"/>
              <w:rPr>
                <w:noProof/>
                <w:lang w:val="en-IE"/>
              </w:rPr>
            </w:pPr>
          </w:p>
        </w:tc>
        <w:tc>
          <w:tcPr>
            <w:tcW w:w="1701" w:type="dxa"/>
            <w:hideMark/>
          </w:tcPr>
          <w:p w14:paraId="69F2F3A2" w14:textId="77777777" w:rsidR="00EE3DF9" w:rsidRPr="00F5382B" w:rsidRDefault="00EE3DF9">
            <w:pPr>
              <w:spacing w:after="200" w:line="276" w:lineRule="auto"/>
              <w:jc w:val="left"/>
              <w:rPr>
                <w:noProof/>
                <w:lang w:val="en-IE"/>
              </w:rPr>
            </w:pPr>
            <w:r w:rsidRPr="00F5382B">
              <w:rPr>
                <w:noProof/>
                <w:lang w:val="en-IE"/>
              </w:rPr>
              <w:t>Typical percentage paid of the ransom demand (Global avg. is 85%)</w:t>
            </w:r>
          </w:p>
        </w:tc>
        <w:tc>
          <w:tcPr>
            <w:tcW w:w="1276" w:type="dxa"/>
            <w:hideMark/>
          </w:tcPr>
          <w:p w14:paraId="287979FA" w14:textId="77777777" w:rsidR="00EE3DF9" w:rsidRPr="00F5382B" w:rsidRDefault="00EE3DF9">
            <w:pPr>
              <w:spacing w:after="200" w:line="276" w:lineRule="auto"/>
              <w:jc w:val="left"/>
              <w:rPr>
                <w:noProof/>
                <w:lang w:val="en-IE"/>
              </w:rPr>
            </w:pPr>
            <w:r w:rsidRPr="00F5382B">
              <w:rPr>
                <w:noProof/>
                <w:lang w:val="en-IE"/>
              </w:rPr>
              <w:t>87%</w:t>
            </w:r>
          </w:p>
        </w:tc>
        <w:tc>
          <w:tcPr>
            <w:tcW w:w="1489" w:type="dxa"/>
            <w:hideMark/>
          </w:tcPr>
          <w:p w14:paraId="5749236A" w14:textId="77777777" w:rsidR="00EE3DF9" w:rsidRPr="00F5382B" w:rsidRDefault="00EE3DF9">
            <w:pPr>
              <w:spacing w:after="200" w:line="276" w:lineRule="auto"/>
              <w:jc w:val="left"/>
              <w:rPr>
                <w:noProof/>
                <w:lang w:val="en-IE"/>
              </w:rPr>
            </w:pPr>
            <w:r w:rsidRPr="00F5382B">
              <w:rPr>
                <w:noProof/>
                <w:lang w:val="en-IE"/>
              </w:rPr>
              <w:t>86%</w:t>
            </w:r>
          </w:p>
        </w:tc>
        <w:tc>
          <w:tcPr>
            <w:tcW w:w="1554" w:type="dxa"/>
            <w:hideMark/>
          </w:tcPr>
          <w:p w14:paraId="2BE0912B" w14:textId="77777777" w:rsidR="00EE3DF9" w:rsidRPr="00F5382B" w:rsidRDefault="00EE3DF9">
            <w:pPr>
              <w:spacing w:after="200" w:line="276" w:lineRule="auto"/>
              <w:jc w:val="left"/>
              <w:rPr>
                <w:noProof/>
                <w:lang w:val="en-IE"/>
              </w:rPr>
            </w:pPr>
            <w:r w:rsidRPr="00F5382B">
              <w:rPr>
                <w:b/>
                <w:noProof/>
                <w:lang w:val="en-IE"/>
              </w:rPr>
              <w:t>97%</w:t>
            </w:r>
          </w:p>
        </w:tc>
        <w:tc>
          <w:tcPr>
            <w:tcW w:w="1554" w:type="dxa"/>
            <w:hideMark/>
          </w:tcPr>
          <w:p w14:paraId="612DFB88" w14:textId="77777777" w:rsidR="00EE3DF9" w:rsidRPr="00F5382B" w:rsidRDefault="00EE3DF9">
            <w:pPr>
              <w:spacing w:after="200" w:line="276" w:lineRule="auto"/>
              <w:jc w:val="left"/>
              <w:rPr>
                <w:noProof/>
                <w:lang w:val="en-IE"/>
              </w:rPr>
            </w:pPr>
            <w:r w:rsidRPr="00F5382B">
              <w:rPr>
                <w:noProof/>
                <w:lang w:val="en-IE"/>
              </w:rPr>
              <w:t>80%</w:t>
            </w:r>
          </w:p>
        </w:tc>
        <w:tc>
          <w:tcPr>
            <w:tcW w:w="1679" w:type="dxa"/>
            <w:hideMark/>
          </w:tcPr>
          <w:p w14:paraId="3C17733D" w14:textId="77777777" w:rsidR="00EE3DF9" w:rsidRPr="00F5382B" w:rsidRDefault="00EE3DF9">
            <w:pPr>
              <w:spacing w:after="200" w:line="276" w:lineRule="auto"/>
              <w:jc w:val="left"/>
              <w:rPr>
                <w:noProof/>
                <w:lang w:val="en-IE"/>
              </w:rPr>
            </w:pPr>
            <w:r w:rsidRPr="00F5382B">
              <w:rPr>
                <w:b/>
                <w:noProof/>
                <w:lang w:val="en-IE"/>
              </w:rPr>
              <w:t>76%</w:t>
            </w:r>
          </w:p>
        </w:tc>
        <w:tc>
          <w:tcPr>
            <w:tcW w:w="1554" w:type="dxa"/>
            <w:hideMark/>
          </w:tcPr>
          <w:p w14:paraId="6AACB50A" w14:textId="77777777" w:rsidR="00EE3DF9" w:rsidRPr="00F5382B" w:rsidRDefault="00EE3DF9">
            <w:pPr>
              <w:spacing w:after="200" w:line="276" w:lineRule="auto"/>
              <w:jc w:val="left"/>
              <w:rPr>
                <w:noProof/>
                <w:lang w:val="en-IE"/>
              </w:rPr>
            </w:pPr>
            <w:r w:rsidRPr="00F5382B">
              <w:rPr>
                <w:b/>
                <w:noProof/>
                <w:lang w:val="en-IE"/>
              </w:rPr>
              <w:t>103%</w:t>
            </w:r>
          </w:p>
        </w:tc>
      </w:tr>
      <w:tr w:rsidR="00EE3DF9" w:rsidRPr="00F5382B" w14:paraId="76CBC945" w14:textId="77777777" w:rsidTr="00C27FF5">
        <w:tc>
          <w:tcPr>
            <w:tcW w:w="1526" w:type="dxa"/>
            <w:hideMark/>
          </w:tcPr>
          <w:p w14:paraId="5F561F29" w14:textId="356288B2" w:rsidR="00EE3DF9" w:rsidRPr="00F5382B" w:rsidRDefault="00EE3DF9">
            <w:pPr>
              <w:spacing w:after="200" w:line="276" w:lineRule="auto"/>
              <w:jc w:val="left"/>
              <w:rPr>
                <w:noProof/>
                <w:lang w:val="en-IE"/>
              </w:rPr>
            </w:pPr>
            <w:r w:rsidRPr="00F5382B">
              <w:rPr>
                <w:b/>
                <w:noProof/>
                <w:lang w:val="en-IE"/>
              </w:rPr>
              <w:t xml:space="preserve">Payment </w:t>
            </w:r>
            <w:r w:rsidR="00C27FF5">
              <w:rPr>
                <w:b/>
                <w:noProof/>
                <w:lang w:val="en-IE"/>
              </w:rPr>
              <w:t>n</w:t>
            </w:r>
            <w:r w:rsidRPr="00F5382B">
              <w:rPr>
                <w:b/>
                <w:noProof/>
                <w:lang w:val="en-IE"/>
              </w:rPr>
              <w:t>egotiation</w:t>
            </w:r>
          </w:p>
        </w:tc>
        <w:tc>
          <w:tcPr>
            <w:tcW w:w="1701" w:type="dxa"/>
            <w:hideMark/>
          </w:tcPr>
          <w:p w14:paraId="05F6596A" w14:textId="77777777" w:rsidR="00EE3DF9" w:rsidRPr="00F5382B" w:rsidRDefault="00EE3DF9">
            <w:pPr>
              <w:spacing w:after="200" w:line="276" w:lineRule="auto"/>
              <w:jc w:val="left"/>
              <w:rPr>
                <w:noProof/>
                <w:lang w:val="en-IE"/>
              </w:rPr>
            </w:pPr>
            <w:r w:rsidRPr="00F5382B">
              <w:rPr>
                <w:noProof/>
                <w:lang w:val="en-IE"/>
              </w:rPr>
              <w:t>Paid LESS THAN the initial ransom demand</w:t>
            </w:r>
          </w:p>
        </w:tc>
        <w:tc>
          <w:tcPr>
            <w:tcW w:w="1276" w:type="dxa"/>
            <w:hideMark/>
          </w:tcPr>
          <w:p w14:paraId="56D0F21A" w14:textId="77777777" w:rsidR="00EE3DF9" w:rsidRPr="00F5382B" w:rsidRDefault="00EE3DF9">
            <w:pPr>
              <w:spacing w:after="200" w:line="276" w:lineRule="auto"/>
              <w:jc w:val="left"/>
              <w:rPr>
                <w:noProof/>
                <w:lang w:val="en-IE"/>
              </w:rPr>
            </w:pPr>
            <w:r w:rsidRPr="00F5382B">
              <w:rPr>
                <w:noProof/>
                <w:lang w:val="en-IE"/>
              </w:rPr>
              <w:t>38%</w:t>
            </w:r>
          </w:p>
        </w:tc>
        <w:tc>
          <w:tcPr>
            <w:tcW w:w="1489" w:type="dxa"/>
            <w:hideMark/>
          </w:tcPr>
          <w:p w14:paraId="28E4AAEF" w14:textId="77777777" w:rsidR="00EE3DF9" w:rsidRPr="00F5382B" w:rsidRDefault="00EE3DF9">
            <w:pPr>
              <w:spacing w:after="200" w:line="276" w:lineRule="auto"/>
              <w:jc w:val="left"/>
              <w:rPr>
                <w:noProof/>
                <w:lang w:val="en-IE"/>
              </w:rPr>
            </w:pPr>
            <w:r w:rsidRPr="00F5382B">
              <w:rPr>
                <w:noProof/>
                <w:lang w:val="en-IE"/>
              </w:rPr>
              <w:t>47%</w:t>
            </w:r>
          </w:p>
        </w:tc>
        <w:tc>
          <w:tcPr>
            <w:tcW w:w="1554" w:type="dxa"/>
            <w:hideMark/>
          </w:tcPr>
          <w:p w14:paraId="677E6458" w14:textId="77777777" w:rsidR="00EE3DF9" w:rsidRPr="00F5382B" w:rsidRDefault="00EE3DF9">
            <w:pPr>
              <w:spacing w:after="200" w:line="276" w:lineRule="auto"/>
              <w:jc w:val="left"/>
              <w:rPr>
                <w:noProof/>
                <w:lang w:val="en-IE"/>
              </w:rPr>
            </w:pPr>
            <w:r w:rsidRPr="00F5382B">
              <w:rPr>
                <w:noProof/>
                <w:lang w:val="en-IE"/>
              </w:rPr>
              <w:t>62%</w:t>
            </w:r>
          </w:p>
        </w:tc>
        <w:tc>
          <w:tcPr>
            <w:tcW w:w="1554" w:type="dxa"/>
            <w:hideMark/>
          </w:tcPr>
          <w:p w14:paraId="76DC75C8" w14:textId="77777777" w:rsidR="00EE3DF9" w:rsidRPr="00F5382B" w:rsidRDefault="00EE3DF9">
            <w:pPr>
              <w:spacing w:after="200" w:line="276" w:lineRule="auto"/>
              <w:jc w:val="left"/>
              <w:rPr>
                <w:noProof/>
                <w:lang w:val="en-IE"/>
              </w:rPr>
            </w:pPr>
            <w:r w:rsidRPr="00F5382B">
              <w:rPr>
                <w:b/>
                <w:noProof/>
                <w:lang w:val="en-IE"/>
              </w:rPr>
              <w:t>72%</w:t>
            </w:r>
          </w:p>
        </w:tc>
        <w:tc>
          <w:tcPr>
            <w:tcW w:w="1679" w:type="dxa"/>
            <w:hideMark/>
          </w:tcPr>
          <w:p w14:paraId="029F767E" w14:textId="77777777" w:rsidR="00EE3DF9" w:rsidRPr="00F5382B" w:rsidRDefault="00EE3DF9">
            <w:pPr>
              <w:spacing w:after="200" w:line="276" w:lineRule="auto"/>
              <w:jc w:val="left"/>
              <w:rPr>
                <w:noProof/>
                <w:lang w:val="en-IE"/>
              </w:rPr>
            </w:pPr>
            <w:r w:rsidRPr="00F5382B">
              <w:rPr>
                <w:noProof/>
                <w:lang w:val="en-IE"/>
              </w:rPr>
              <w:t>65%</w:t>
            </w:r>
          </w:p>
        </w:tc>
        <w:tc>
          <w:tcPr>
            <w:tcW w:w="1554" w:type="dxa"/>
            <w:hideMark/>
          </w:tcPr>
          <w:p w14:paraId="3A916490" w14:textId="77777777" w:rsidR="00EE3DF9" w:rsidRPr="00F5382B" w:rsidRDefault="00EE3DF9">
            <w:pPr>
              <w:spacing w:after="200" w:line="276" w:lineRule="auto"/>
              <w:jc w:val="left"/>
              <w:rPr>
                <w:noProof/>
                <w:lang w:val="en-IE"/>
              </w:rPr>
            </w:pPr>
            <w:r w:rsidRPr="00F5382B">
              <w:rPr>
                <w:noProof/>
                <w:lang w:val="en-IE"/>
              </w:rPr>
              <w:t>49%</w:t>
            </w:r>
          </w:p>
        </w:tc>
      </w:tr>
      <w:tr w:rsidR="00EE3DF9" w:rsidRPr="00F5382B" w14:paraId="65DBF786" w14:textId="77777777" w:rsidTr="00C27FF5">
        <w:tc>
          <w:tcPr>
            <w:tcW w:w="1526" w:type="dxa"/>
            <w:hideMark/>
          </w:tcPr>
          <w:p w14:paraId="02F54E90" w14:textId="77777777" w:rsidR="00EE3DF9" w:rsidRPr="00F5382B" w:rsidRDefault="00EE3DF9">
            <w:pPr>
              <w:spacing w:after="200" w:line="276" w:lineRule="auto"/>
              <w:jc w:val="left"/>
              <w:rPr>
                <w:noProof/>
                <w:lang w:val="en-IE"/>
              </w:rPr>
            </w:pPr>
          </w:p>
        </w:tc>
        <w:tc>
          <w:tcPr>
            <w:tcW w:w="1701" w:type="dxa"/>
            <w:hideMark/>
          </w:tcPr>
          <w:p w14:paraId="17D38C68" w14:textId="77777777" w:rsidR="00EE3DF9" w:rsidRPr="00F5382B" w:rsidRDefault="00EE3DF9">
            <w:pPr>
              <w:spacing w:after="200" w:line="276" w:lineRule="auto"/>
              <w:jc w:val="left"/>
              <w:rPr>
                <w:noProof/>
                <w:lang w:val="en-IE"/>
              </w:rPr>
            </w:pPr>
            <w:r w:rsidRPr="00F5382B">
              <w:rPr>
                <w:noProof/>
                <w:lang w:val="en-IE"/>
              </w:rPr>
              <w:t>Paid THE SAME as the initial ransom demand</w:t>
            </w:r>
          </w:p>
        </w:tc>
        <w:tc>
          <w:tcPr>
            <w:tcW w:w="1276" w:type="dxa"/>
            <w:hideMark/>
          </w:tcPr>
          <w:p w14:paraId="29BE3E10" w14:textId="77777777" w:rsidR="00EE3DF9" w:rsidRPr="00F5382B" w:rsidRDefault="00EE3DF9">
            <w:pPr>
              <w:spacing w:after="200" w:line="276" w:lineRule="auto"/>
              <w:jc w:val="left"/>
              <w:rPr>
                <w:noProof/>
                <w:lang w:val="en-IE"/>
              </w:rPr>
            </w:pPr>
            <w:r w:rsidRPr="00F5382B">
              <w:rPr>
                <w:b/>
                <w:noProof/>
                <w:lang w:val="en-IE"/>
              </w:rPr>
              <w:t>50%</w:t>
            </w:r>
          </w:p>
        </w:tc>
        <w:tc>
          <w:tcPr>
            <w:tcW w:w="1489" w:type="dxa"/>
            <w:hideMark/>
          </w:tcPr>
          <w:p w14:paraId="025FB2D9" w14:textId="77777777" w:rsidR="00EE3DF9" w:rsidRPr="00F5382B" w:rsidRDefault="00EE3DF9">
            <w:pPr>
              <w:spacing w:after="200" w:line="276" w:lineRule="auto"/>
              <w:jc w:val="left"/>
              <w:rPr>
                <w:noProof/>
                <w:lang w:val="en-IE"/>
              </w:rPr>
            </w:pPr>
            <w:r w:rsidRPr="00F5382B">
              <w:rPr>
                <w:noProof/>
                <w:lang w:val="en-IE"/>
              </w:rPr>
              <w:t>32%</w:t>
            </w:r>
          </w:p>
        </w:tc>
        <w:tc>
          <w:tcPr>
            <w:tcW w:w="1554" w:type="dxa"/>
            <w:hideMark/>
          </w:tcPr>
          <w:p w14:paraId="2C5CE9CD" w14:textId="77777777" w:rsidR="00EE3DF9" w:rsidRPr="00F5382B" w:rsidRDefault="00EE3DF9">
            <w:pPr>
              <w:spacing w:after="200" w:line="276" w:lineRule="auto"/>
              <w:jc w:val="left"/>
              <w:rPr>
                <w:noProof/>
                <w:lang w:val="en-IE"/>
              </w:rPr>
            </w:pPr>
            <w:r w:rsidRPr="00F5382B">
              <w:rPr>
                <w:noProof/>
                <w:lang w:val="en-IE"/>
              </w:rPr>
              <w:t>14%</w:t>
            </w:r>
          </w:p>
        </w:tc>
        <w:tc>
          <w:tcPr>
            <w:tcW w:w="1554" w:type="dxa"/>
            <w:hideMark/>
          </w:tcPr>
          <w:p w14:paraId="03823572" w14:textId="77777777" w:rsidR="00EE3DF9" w:rsidRPr="00F5382B" w:rsidRDefault="00EE3DF9">
            <w:pPr>
              <w:spacing w:after="200" w:line="276" w:lineRule="auto"/>
              <w:jc w:val="left"/>
              <w:rPr>
                <w:noProof/>
                <w:lang w:val="en-IE"/>
              </w:rPr>
            </w:pPr>
            <w:r w:rsidRPr="00F5382B">
              <w:rPr>
                <w:noProof/>
                <w:lang w:val="en-IE"/>
              </w:rPr>
              <w:t>28%</w:t>
            </w:r>
          </w:p>
        </w:tc>
        <w:tc>
          <w:tcPr>
            <w:tcW w:w="1679" w:type="dxa"/>
            <w:hideMark/>
          </w:tcPr>
          <w:p w14:paraId="354903F9" w14:textId="77777777" w:rsidR="00EE3DF9" w:rsidRPr="00F5382B" w:rsidRDefault="00EE3DF9">
            <w:pPr>
              <w:spacing w:after="200" w:line="276" w:lineRule="auto"/>
              <w:jc w:val="left"/>
              <w:rPr>
                <w:noProof/>
                <w:lang w:val="en-IE"/>
              </w:rPr>
            </w:pPr>
            <w:r w:rsidRPr="00F5382B">
              <w:rPr>
                <w:noProof/>
                <w:lang w:val="en-IE"/>
              </w:rPr>
              <w:t>15%</w:t>
            </w:r>
          </w:p>
        </w:tc>
        <w:tc>
          <w:tcPr>
            <w:tcW w:w="1554" w:type="dxa"/>
            <w:hideMark/>
          </w:tcPr>
          <w:p w14:paraId="4D2A2BB7" w14:textId="77777777" w:rsidR="00EE3DF9" w:rsidRPr="00F5382B" w:rsidRDefault="00EE3DF9">
            <w:pPr>
              <w:spacing w:after="200" w:line="276" w:lineRule="auto"/>
              <w:jc w:val="left"/>
              <w:rPr>
                <w:noProof/>
                <w:lang w:val="en-IE"/>
              </w:rPr>
            </w:pPr>
            <w:r w:rsidRPr="00F5382B">
              <w:rPr>
                <w:noProof/>
                <w:lang w:val="en-IE"/>
              </w:rPr>
              <w:t>23%</w:t>
            </w:r>
          </w:p>
        </w:tc>
      </w:tr>
      <w:tr w:rsidR="00EE3DF9" w:rsidRPr="00F5382B" w14:paraId="1E4F153E" w14:textId="77777777" w:rsidTr="00C27FF5">
        <w:tc>
          <w:tcPr>
            <w:tcW w:w="1526" w:type="dxa"/>
            <w:hideMark/>
          </w:tcPr>
          <w:p w14:paraId="42B3CD09" w14:textId="77777777" w:rsidR="00EE3DF9" w:rsidRPr="00F5382B" w:rsidRDefault="00EE3DF9">
            <w:pPr>
              <w:spacing w:after="200" w:line="276" w:lineRule="auto"/>
              <w:jc w:val="left"/>
              <w:rPr>
                <w:noProof/>
                <w:lang w:val="en-IE"/>
              </w:rPr>
            </w:pPr>
            <w:r w:rsidRPr="00F5382B">
              <w:rPr>
                <w:b/>
                <w:noProof/>
                <w:lang w:val="en-IE"/>
              </w:rPr>
              <w:t>Recovery &amp; Costs</w:t>
            </w:r>
          </w:p>
        </w:tc>
        <w:tc>
          <w:tcPr>
            <w:tcW w:w="1701" w:type="dxa"/>
            <w:hideMark/>
          </w:tcPr>
          <w:p w14:paraId="06CDA7B1" w14:textId="77777777" w:rsidR="00EE3DF9" w:rsidRPr="00F5382B" w:rsidRDefault="00EE3DF9">
            <w:pPr>
              <w:spacing w:after="200" w:line="276" w:lineRule="auto"/>
              <w:jc w:val="left"/>
              <w:rPr>
                <w:noProof/>
                <w:lang w:val="en-IE"/>
              </w:rPr>
            </w:pPr>
            <w:r w:rsidRPr="00F5382B">
              <w:rPr>
                <w:noProof/>
                <w:lang w:val="en-IE"/>
              </w:rPr>
              <w:t>Average Cost to Recover (excluding ransom payments)</w:t>
            </w:r>
          </w:p>
        </w:tc>
        <w:tc>
          <w:tcPr>
            <w:tcW w:w="1276" w:type="dxa"/>
            <w:hideMark/>
          </w:tcPr>
          <w:p w14:paraId="1AA6E77A" w14:textId="77777777" w:rsidR="00EE3DF9" w:rsidRPr="00F5382B" w:rsidRDefault="00EE3DF9">
            <w:pPr>
              <w:spacing w:after="200" w:line="276" w:lineRule="auto"/>
              <w:jc w:val="left"/>
              <w:rPr>
                <w:noProof/>
                <w:lang w:val="en-IE"/>
              </w:rPr>
            </w:pPr>
            <w:r w:rsidRPr="00F5382B">
              <w:rPr>
                <w:noProof/>
                <w:lang w:val="en-IE"/>
              </w:rPr>
              <w:t>$1.22 million</w:t>
            </w:r>
          </w:p>
        </w:tc>
        <w:tc>
          <w:tcPr>
            <w:tcW w:w="1489" w:type="dxa"/>
            <w:hideMark/>
          </w:tcPr>
          <w:p w14:paraId="100AF350" w14:textId="77777777" w:rsidR="00EE3DF9" w:rsidRPr="00F5382B" w:rsidRDefault="00EE3DF9">
            <w:pPr>
              <w:spacing w:after="200" w:line="276" w:lineRule="auto"/>
              <w:jc w:val="left"/>
              <w:rPr>
                <w:noProof/>
                <w:lang w:val="en-IE"/>
              </w:rPr>
            </w:pPr>
            <w:r w:rsidRPr="00F5382B">
              <w:rPr>
                <w:noProof/>
                <w:lang w:val="en-IE"/>
              </w:rPr>
              <w:t>$1.56 million</w:t>
            </w:r>
          </w:p>
        </w:tc>
        <w:tc>
          <w:tcPr>
            <w:tcW w:w="1554" w:type="dxa"/>
            <w:hideMark/>
          </w:tcPr>
          <w:p w14:paraId="0F24FC30" w14:textId="77777777" w:rsidR="00EE3DF9" w:rsidRPr="00F5382B" w:rsidRDefault="00EE3DF9">
            <w:pPr>
              <w:spacing w:after="200" w:line="276" w:lineRule="auto"/>
              <w:jc w:val="left"/>
              <w:rPr>
                <w:noProof/>
                <w:lang w:val="en-IE"/>
              </w:rPr>
            </w:pPr>
            <w:r w:rsidRPr="00F5382B">
              <w:rPr>
                <w:b/>
                <w:noProof/>
                <w:lang w:val="en-IE"/>
              </w:rPr>
              <w:t>$3.55 million</w:t>
            </w:r>
          </w:p>
        </w:tc>
        <w:tc>
          <w:tcPr>
            <w:tcW w:w="1554" w:type="dxa"/>
            <w:hideMark/>
          </w:tcPr>
          <w:p w14:paraId="18EB72CA" w14:textId="77777777" w:rsidR="00EE3DF9" w:rsidRPr="00F5382B" w:rsidRDefault="00EE3DF9">
            <w:pPr>
              <w:spacing w:after="200" w:line="276" w:lineRule="auto"/>
              <w:jc w:val="left"/>
              <w:rPr>
                <w:noProof/>
                <w:lang w:val="en-IE"/>
              </w:rPr>
            </w:pPr>
            <w:r w:rsidRPr="00F5382B">
              <w:rPr>
                <w:noProof/>
                <w:lang w:val="en-IE"/>
              </w:rPr>
              <w:t>$1.15 million</w:t>
            </w:r>
          </w:p>
        </w:tc>
        <w:tc>
          <w:tcPr>
            <w:tcW w:w="1679" w:type="dxa"/>
            <w:hideMark/>
          </w:tcPr>
          <w:p w14:paraId="1B9F6F73" w14:textId="77777777" w:rsidR="00EE3DF9" w:rsidRPr="00F5382B" w:rsidRDefault="00EE3DF9">
            <w:pPr>
              <w:spacing w:after="200" w:line="276" w:lineRule="auto"/>
              <w:jc w:val="left"/>
              <w:rPr>
                <w:noProof/>
                <w:lang w:val="en-IE"/>
              </w:rPr>
            </w:pPr>
            <w:r w:rsidRPr="00F5382B">
              <w:rPr>
                <w:noProof/>
                <w:lang w:val="en-IE"/>
              </w:rPr>
              <w:t>$1.04 million</w:t>
            </w:r>
          </w:p>
        </w:tc>
        <w:tc>
          <w:tcPr>
            <w:tcW w:w="1554" w:type="dxa"/>
            <w:hideMark/>
          </w:tcPr>
          <w:p w14:paraId="4E834DDE" w14:textId="77777777" w:rsidR="00EE3DF9" w:rsidRPr="00F5382B" w:rsidRDefault="00EE3DF9">
            <w:pPr>
              <w:spacing w:after="200" w:line="276" w:lineRule="auto"/>
              <w:jc w:val="left"/>
              <w:rPr>
                <w:noProof/>
                <w:lang w:val="en-IE"/>
              </w:rPr>
            </w:pPr>
            <w:r w:rsidRPr="00F5382B">
              <w:rPr>
                <w:noProof/>
                <w:lang w:val="en-IE"/>
              </w:rPr>
              <w:t>$2.58 million</w:t>
            </w:r>
          </w:p>
        </w:tc>
      </w:tr>
      <w:tr w:rsidR="00EE3DF9" w:rsidRPr="00F5382B" w14:paraId="320C0E73" w14:textId="77777777" w:rsidTr="00C27FF5">
        <w:tc>
          <w:tcPr>
            <w:tcW w:w="1526" w:type="dxa"/>
            <w:hideMark/>
          </w:tcPr>
          <w:p w14:paraId="5AEEABF6" w14:textId="77777777" w:rsidR="00EE3DF9" w:rsidRPr="00F5382B" w:rsidRDefault="00EE3DF9">
            <w:pPr>
              <w:spacing w:after="200" w:line="276" w:lineRule="auto"/>
              <w:jc w:val="left"/>
              <w:rPr>
                <w:noProof/>
                <w:lang w:val="en-IE"/>
              </w:rPr>
            </w:pPr>
          </w:p>
        </w:tc>
        <w:tc>
          <w:tcPr>
            <w:tcW w:w="1701" w:type="dxa"/>
            <w:hideMark/>
          </w:tcPr>
          <w:p w14:paraId="1147DE4D" w14:textId="77777777" w:rsidR="00EE3DF9" w:rsidRPr="00F5382B" w:rsidRDefault="00EE3DF9">
            <w:pPr>
              <w:spacing w:after="200" w:line="276" w:lineRule="auto"/>
              <w:jc w:val="left"/>
              <w:rPr>
                <w:noProof/>
                <w:lang w:val="en-IE"/>
              </w:rPr>
            </w:pPr>
            <w:r w:rsidRPr="00F5382B">
              <w:rPr>
                <w:noProof/>
                <w:lang w:val="en-IE"/>
              </w:rPr>
              <w:t>Fully recovered in up to a week</w:t>
            </w:r>
          </w:p>
        </w:tc>
        <w:tc>
          <w:tcPr>
            <w:tcW w:w="1276" w:type="dxa"/>
            <w:hideMark/>
          </w:tcPr>
          <w:p w14:paraId="0D27F2F6" w14:textId="77777777" w:rsidR="00EE3DF9" w:rsidRPr="00F5382B" w:rsidRDefault="00EE3DF9">
            <w:pPr>
              <w:spacing w:after="200" w:line="276" w:lineRule="auto"/>
              <w:jc w:val="left"/>
              <w:rPr>
                <w:noProof/>
                <w:lang w:val="en-IE"/>
              </w:rPr>
            </w:pPr>
            <w:r w:rsidRPr="00F5382B">
              <w:rPr>
                <w:noProof/>
                <w:lang w:val="en-IE"/>
              </w:rPr>
              <w:t>53%</w:t>
            </w:r>
          </w:p>
        </w:tc>
        <w:tc>
          <w:tcPr>
            <w:tcW w:w="1489" w:type="dxa"/>
            <w:hideMark/>
          </w:tcPr>
          <w:p w14:paraId="50A089AE" w14:textId="77777777" w:rsidR="00EE3DF9" w:rsidRPr="00F5382B" w:rsidRDefault="00EE3DF9">
            <w:pPr>
              <w:spacing w:after="200" w:line="276" w:lineRule="auto"/>
              <w:jc w:val="left"/>
              <w:rPr>
                <w:noProof/>
                <w:lang w:val="en-IE"/>
              </w:rPr>
            </w:pPr>
            <w:r w:rsidRPr="00F5382B">
              <w:rPr>
                <w:b/>
                <w:noProof/>
                <w:lang w:val="en-IE"/>
              </w:rPr>
              <w:t>64%</w:t>
            </w:r>
          </w:p>
        </w:tc>
        <w:tc>
          <w:tcPr>
            <w:tcW w:w="1554" w:type="dxa"/>
            <w:hideMark/>
          </w:tcPr>
          <w:p w14:paraId="39CEA889" w14:textId="77777777" w:rsidR="00EE3DF9" w:rsidRPr="00F5382B" w:rsidRDefault="00EE3DF9">
            <w:pPr>
              <w:spacing w:after="200" w:line="276" w:lineRule="auto"/>
              <w:jc w:val="left"/>
              <w:rPr>
                <w:noProof/>
                <w:lang w:val="en-IE"/>
              </w:rPr>
            </w:pPr>
            <w:r w:rsidRPr="00F5382B">
              <w:rPr>
                <w:noProof/>
                <w:lang w:val="en-IE"/>
              </w:rPr>
              <w:t>46%</w:t>
            </w:r>
          </w:p>
        </w:tc>
        <w:tc>
          <w:tcPr>
            <w:tcW w:w="1554" w:type="dxa"/>
            <w:hideMark/>
          </w:tcPr>
          <w:p w14:paraId="48245ED2" w14:textId="77777777" w:rsidR="00EE3DF9" w:rsidRPr="00F5382B" w:rsidRDefault="00EE3DF9">
            <w:pPr>
              <w:spacing w:after="200" w:line="276" w:lineRule="auto"/>
              <w:jc w:val="left"/>
              <w:rPr>
                <w:noProof/>
                <w:lang w:val="en-IE"/>
              </w:rPr>
            </w:pPr>
            <w:r w:rsidRPr="00F5382B">
              <w:rPr>
                <w:noProof/>
                <w:lang w:val="en-IE"/>
              </w:rPr>
              <w:t>49%</w:t>
            </w:r>
          </w:p>
        </w:tc>
        <w:tc>
          <w:tcPr>
            <w:tcW w:w="1679" w:type="dxa"/>
            <w:hideMark/>
          </w:tcPr>
          <w:p w14:paraId="365669F8" w14:textId="77777777" w:rsidR="00EE3DF9" w:rsidRPr="00F5382B" w:rsidRDefault="00EE3DF9">
            <w:pPr>
              <w:spacing w:after="200" w:line="276" w:lineRule="auto"/>
              <w:jc w:val="left"/>
              <w:rPr>
                <w:noProof/>
                <w:lang w:val="en-IE"/>
              </w:rPr>
            </w:pPr>
            <w:r w:rsidRPr="00F5382B">
              <w:rPr>
                <w:noProof/>
                <w:lang w:val="en-IE"/>
              </w:rPr>
              <w:t>58%</w:t>
            </w:r>
          </w:p>
        </w:tc>
        <w:tc>
          <w:tcPr>
            <w:tcW w:w="1554" w:type="dxa"/>
            <w:hideMark/>
          </w:tcPr>
          <w:p w14:paraId="2C2C141B" w14:textId="77777777" w:rsidR="00EE3DF9" w:rsidRPr="00F5382B" w:rsidRDefault="00EE3DF9">
            <w:pPr>
              <w:spacing w:after="200" w:line="276" w:lineRule="auto"/>
              <w:jc w:val="left"/>
              <w:rPr>
                <w:noProof/>
                <w:lang w:val="en-IE"/>
              </w:rPr>
            </w:pPr>
            <w:r w:rsidRPr="00F5382B">
              <w:rPr>
                <w:noProof/>
                <w:lang w:val="en-IE"/>
              </w:rPr>
              <w:t>59%</w:t>
            </w:r>
          </w:p>
        </w:tc>
      </w:tr>
      <w:tr w:rsidR="00EE3DF9" w:rsidRPr="00F5382B" w14:paraId="574D1DF0" w14:textId="77777777" w:rsidTr="00C27FF5">
        <w:tc>
          <w:tcPr>
            <w:tcW w:w="1526" w:type="dxa"/>
            <w:hideMark/>
          </w:tcPr>
          <w:p w14:paraId="139325ED" w14:textId="77777777" w:rsidR="00EE3DF9" w:rsidRPr="00F5382B" w:rsidRDefault="00EE3DF9">
            <w:pPr>
              <w:spacing w:after="200" w:line="276" w:lineRule="auto"/>
              <w:jc w:val="left"/>
              <w:rPr>
                <w:noProof/>
                <w:lang w:val="en-IE"/>
              </w:rPr>
            </w:pPr>
          </w:p>
        </w:tc>
        <w:tc>
          <w:tcPr>
            <w:tcW w:w="1701" w:type="dxa"/>
            <w:hideMark/>
          </w:tcPr>
          <w:p w14:paraId="0F22A7E7" w14:textId="77777777" w:rsidR="00EE3DF9" w:rsidRPr="00F5382B" w:rsidRDefault="00EE3DF9">
            <w:pPr>
              <w:spacing w:after="200" w:line="276" w:lineRule="auto"/>
              <w:jc w:val="left"/>
              <w:rPr>
                <w:noProof/>
                <w:lang w:val="en-IE"/>
              </w:rPr>
            </w:pPr>
            <w:r w:rsidRPr="00F5382B">
              <w:rPr>
                <w:noProof/>
                <w:lang w:val="en-IE"/>
              </w:rPr>
              <w:t>Used backups to recover encrypted data</w:t>
            </w:r>
          </w:p>
        </w:tc>
        <w:tc>
          <w:tcPr>
            <w:tcW w:w="1276" w:type="dxa"/>
            <w:hideMark/>
          </w:tcPr>
          <w:p w14:paraId="3F90023D" w14:textId="77777777" w:rsidR="00EE3DF9" w:rsidRPr="00F5382B" w:rsidRDefault="00EE3DF9">
            <w:pPr>
              <w:spacing w:after="200" w:line="276" w:lineRule="auto"/>
              <w:jc w:val="left"/>
              <w:rPr>
                <w:noProof/>
                <w:lang w:val="en-IE"/>
              </w:rPr>
            </w:pPr>
            <w:r w:rsidRPr="00F5382B">
              <w:rPr>
                <w:noProof/>
                <w:lang w:val="en-IE"/>
              </w:rPr>
              <w:t>60%</w:t>
            </w:r>
          </w:p>
        </w:tc>
        <w:tc>
          <w:tcPr>
            <w:tcW w:w="1489" w:type="dxa"/>
            <w:hideMark/>
          </w:tcPr>
          <w:p w14:paraId="12B2B647" w14:textId="77777777" w:rsidR="00EE3DF9" w:rsidRPr="00F5382B" w:rsidRDefault="00EE3DF9">
            <w:pPr>
              <w:spacing w:after="200" w:line="276" w:lineRule="auto"/>
              <w:jc w:val="left"/>
              <w:rPr>
                <w:noProof/>
                <w:lang w:val="en-IE"/>
              </w:rPr>
            </w:pPr>
            <w:r w:rsidRPr="00F5382B">
              <w:rPr>
                <w:noProof/>
                <w:lang w:val="en-IE"/>
              </w:rPr>
              <w:t>59%</w:t>
            </w:r>
          </w:p>
        </w:tc>
        <w:tc>
          <w:tcPr>
            <w:tcW w:w="1554" w:type="dxa"/>
            <w:hideMark/>
          </w:tcPr>
          <w:p w14:paraId="6D078CA5" w14:textId="77777777" w:rsidR="00EE3DF9" w:rsidRPr="00F5382B" w:rsidRDefault="00EE3DF9">
            <w:pPr>
              <w:spacing w:after="200" w:line="276" w:lineRule="auto"/>
              <w:jc w:val="left"/>
              <w:rPr>
                <w:noProof/>
                <w:lang w:val="en-IE"/>
              </w:rPr>
            </w:pPr>
            <w:r w:rsidRPr="00F5382B">
              <w:rPr>
                <w:noProof/>
                <w:lang w:val="en-IE"/>
              </w:rPr>
              <w:t>58%</w:t>
            </w:r>
          </w:p>
        </w:tc>
        <w:tc>
          <w:tcPr>
            <w:tcW w:w="1554" w:type="dxa"/>
            <w:hideMark/>
          </w:tcPr>
          <w:p w14:paraId="55AB8163" w14:textId="77777777" w:rsidR="00EE3DF9" w:rsidRPr="00F5382B" w:rsidRDefault="00EE3DF9">
            <w:pPr>
              <w:spacing w:after="200" w:line="276" w:lineRule="auto"/>
              <w:jc w:val="left"/>
              <w:rPr>
                <w:noProof/>
                <w:lang w:val="en-IE"/>
              </w:rPr>
            </w:pPr>
            <w:r w:rsidRPr="00F5382B">
              <w:rPr>
                <w:b/>
                <w:noProof/>
                <w:lang w:val="en-IE"/>
              </w:rPr>
              <w:t>70%</w:t>
            </w:r>
          </w:p>
        </w:tc>
        <w:tc>
          <w:tcPr>
            <w:tcW w:w="1679" w:type="dxa"/>
            <w:hideMark/>
          </w:tcPr>
          <w:p w14:paraId="2F8F9F16" w14:textId="77777777" w:rsidR="00EE3DF9" w:rsidRPr="00F5382B" w:rsidRDefault="00EE3DF9">
            <w:pPr>
              <w:spacing w:after="200" w:line="276" w:lineRule="auto"/>
              <w:jc w:val="left"/>
              <w:rPr>
                <w:noProof/>
                <w:lang w:val="en-IE"/>
              </w:rPr>
            </w:pPr>
            <w:r w:rsidRPr="00F5382B">
              <w:rPr>
                <w:noProof/>
                <w:lang w:val="en-IE"/>
              </w:rPr>
              <w:t>56%</w:t>
            </w:r>
          </w:p>
        </w:tc>
        <w:tc>
          <w:tcPr>
            <w:tcW w:w="1554" w:type="dxa"/>
            <w:hideMark/>
          </w:tcPr>
          <w:p w14:paraId="33D6ECF4" w14:textId="77777777" w:rsidR="00EE3DF9" w:rsidRPr="00F5382B" w:rsidRDefault="00EE3DF9">
            <w:pPr>
              <w:spacing w:after="200" w:line="276" w:lineRule="auto"/>
              <w:jc w:val="left"/>
              <w:rPr>
                <w:noProof/>
                <w:lang w:val="en-IE"/>
              </w:rPr>
            </w:pPr>
            <w:r w:rsidRPr="00F5382B">
              <w:rPr>
                <w:b/>
                <w:noProof/>
                <w:lang w:val="en-IE"/>
              </w:rPr>
              <w:t>39%</w:t>
            </w:r>
          </w:p>
        </w:tc>
      </w:tr>
      <w:tr w:rsidR="00EE3DF9" w:rsidRPr="00F5382B" w14:paraId="7A91826D" w14:textId="77777777" w:rsidTr="00C27FF5">
        <w:tc>
          <w:tcPr>
            <w:tcW w:w="1526" w:type="dxa"/>
            <w:hideMark/>
          </w:tcPr>
          <w:p w14:paraId="44825D19" w14:textId="77777777" w:rsidR="00EE3DF9" w:rsidRPr="00F5382B" w:rsidRDefault="00EE3DF9">
            <w:pPr>
              <w:spacing w:after="200" w:line="276" w:lineRule="auto"/>
              <w:jc w:val="left"/>
              <w:rPr>
                <w:noProof/>
                <w:lang w:val="en-IE"/>
              </w:rPr>
            </w:pPr>
            <w:r w:rsidRPr="00F5382B">
              <w:rPr>
                <w:b/>
                <w:noProof/>
                <w:lang w:val="en-IE"/>
              </w:rPr>
              <w:t>Root Causes (Technical)</w:t>
            </w:r>
          </w:p>
        </w:tc>
        <w:tc>
          <w:tcPr>
            <w:tcW w:w="1701" w:type="dxa"/>
            <w:hideMark/>
          </w:tcPr>
          <w:p w14:paraId="583A6AE9" w14:textId="77777777" w:rsidR="00EE3DF9" w:rsidRPr="00F5382B" w:rsidRDefault="00EE3DF9">
            <w:pPr>
              <w:spacing w:after="200" w:line="276" w:lineRule="auto"/>
              <w:jc w:val="left"/>
              <w:rPr>
                <w:noProof/>
                <w:lang w:val="en-IE"/>
              </w:rPr>
            </w:pPr>
            <w:r w:rsidRPr="00F5382B">
              <w:rPr>
                <w:noProof/>
                <w:lang w:val="en-IE"/>
              </w:rPr>
              <w:t>Most common technical root cause</w:t>
            </w:r>
          </w:p>
        </w:tc>
        <w:tc>
          <w:tcPr>
            <w:tcW w:w="1276" w:type="dxa"/>
            <w:hideMark/>
          </w:tcPr>
          <w:p w14:paraId="54245CE3" w14:textId="77777777" w:rsidR="00EE3DF9" w:rsidRPr="00F5382B" w:rsidRDefault="00EE3DF9">
            <w:pPr>
              <w:spacing w:after="200" w:line="276" w:lineRule="auto"/>
              <w:jc w:val="left"/>
              <w:rPr>
                <w:noProof/>
                <w:lang w:val="en-IE"/>
              </w:rPr>
            </w:pPr>
            <w:r w:rsidRPr="00F5382B">
              <w:rPr>
                <w:b/>
                <w:noProof/>
                <w:lang w:val="en-IE"/>
              </w:rPr>
              <w:t>Exploited vulnerabilities (30%)</w:t>
            </w:r>
          </w:p>
        </w:tc>
        <w:tc>
          <w:tcPr>
            <w:tcW w:w="1489" w:type="dxa"/>
            <w:hideMark/>
          </w:tcPr>
          <w:p w14:paraId="120C4E0E" w14:textId="77777777" w:rsidR="00EE3DF9" w:rsidRPr="00F5382B" w:rsidRDefault="00EE3DF9">
            <w:pPr>
              <w:spacing w:after="200" w:line="276" w:lineRule="auto"/>
              <w:jc w:val="left"/>
              <w:rPr>
                <w:noProof/>
                <w:lang w:val="en-IE"/>
              </w:rPr>
            </w:pPr>
            <w:r w:rsidRPr="00F5382B">
              <w:rPr>
                <w:b/>
                <w:noProof/>
                <w:lang w:val="en-IE"/>
              </w:rPr>
              <w:t>Exploited vulnerabilities (42%)</w:t>
            </w:r>
          </w:p>
        </w:tc>
        <w:tc>
          <w:tcPr>
            <w:tcW w:w="1554" w:type="dxa"/>
            <w:hideMark/>
          </w:tcPr>
          <w:p w14:paraId="7D1B1D8A" w14:textId="77777777" w:rsidR="00EE3DF9" w:rsidRPr="00F5382B" w:rsidRDefault="00EE3DF9">
            <w:pPr>
              <w:spacing w:after="200" w:line="276" w:lineRule="auto"/>
              <w:jc w:val="left"/>
              <w:rPr>
                <w:noProof/>
                <w:lang w:val="en-IE"/>
              </w:rPr>
            </w:pPr>
            <w:r w:rsidRPr="00F5382B">
              <w:rPr>
                <w:b/>
                <w:noProof/>
                <w:lang w:val="en-IE"/>
              </w:rPr>
              <w:t>Exploited vulnerabilities (35%)</w:t>
            </w:r>
          </w:p>
        </w:tc>
        <w:tc>
          <w:tcPr>
            <w:tcW w:w="1554" w:type="dxa"/>
            <w:hideMark/>
          </w:tcPr>
          <w:p w14:paraId="144928A7" w14:textId="77777777" w:rsidR="00EE3DF9" w:rsidRPr="00F5382B" w:rsidRDefault="00EE3DF9">
            <w:pPr>
              <w:spacing w:after="200" w:line="276" w:lineRule="auto"/>
              <w:jc w:val="left"/>
              <w:rPr>
                <w:noProof/>
                <w:lang w:val="en-IE"/>
              </w:rPr>
            </w:pPr>
            <w:r w:rsidRPr="00F5382B">
              <w:rPr>
                <w:b/>
                <w:noProof/>
                <w:lang w:val="en-IE"/>
              </w:rPr>
              <w:t>Exploited vulnerabilities (30%)</w:t>
            </w:r>
          </w:p>
        </w:tc>
        <w:tc>
          <w:tcPr>
            <w:tcW w:w="1679" w:type="dxa"/>
            <w:hideMark/>
          </w:tcPr>
          <w:p w14:paraId="55A94956" w14:textId="77777777" w:rsidR="00EE3DF9" w:rsidRPr="00F5382B" w:rsidRDefault="00EE3DF9">
            <w:pPr>
              <w:spacing w:after="200" w:line="276" w:lineRule="auto"/>
              <w:jc w:val="left"/>
              <w:rPr>
                <w:noProof/>
                <w:lang w:val="en-IE"/>
              </w:rPr>
            </w:pPr>
            <w:r w:rsidRPr="00F5382B">
              <w:rPr>
                <w:noProof/>
                <w:lang w:val="en-IE"/>
              </w:rPr>
              <w:t>Compromised credentials (32%)</w:t>
            </w:r>
          </w:p>
        </w:tc>
        <w:tc>
          <w:tcPr>
            <w:tcW w:w="1554" w:type="dxa"/>
            <w:hideMark/>
          </w:tcPr>
          <w:p w14:paraId="5A6F4AB2" w14:textId="77777777" w:rsidR="00EE3DF9" w:rsidRPr="00F5382B" w:rsidRDefault="00EE3DF9">
            <w:pPr>
              <w:spacing w:after="200" w:line="276" w:lineRule="auto"/>
              <w:jc w:val="left"/>
              <w:rPr>
                <w:noProof/>
                <w:lang w:val="en-IE"/>
              </w:rPr>
            </w:pPr>
            <w:r w:rsidRPr="00F5382B">
              <w:rPr>
                <w:b/>
                <w:noProof/>
                <w:lang w:val="en-IE"/>
              </w:rPr>
              <w:t>Exploited vulnerabilities (36%)</w:t>
            </w:r>
          </w:p>
        </w:tc>
      </w:tr>
      <w:tr w:rsidR="00EE3DF9" w:rsidRPr="00F5382B" w14:paraId="02F5AD58" w14:textId="77777777" w:rsidTr="00C27FF5">
        <w:tc>
          <w:tcPr>
            <w:tcW w:w="1526" w:type="dxa"/>
            <w:hideMark/>
          </w:tcPr>
          <w:p w14:paraId="3B4581CA" w14:textId="77777777" w:rsidR="00EE3DF9" w:rsidRPr="00F5382B" w:rsidRDefault="00EE3DF9">
            <w:pPr>
              <w:spacing w:after="200" w:line="276" w:lineRule="auto"/>
              <w:jc w:val="left"/>
              <w:rPr>
                <w:noProof/>
                <w:lang w:val="en-IE"/>
              </w:rPr>
            </w:pPr>
            <w:r w:rsidRPr="00F5382B">
              <w:rPr>
                <w:b/>
                <w:noProof/>
                <w:lang w:val="en-IE"/>
              </w:rPr>
              <w:t>Root Causes (Operational)</w:t>
            </w:r>
          </w:p>
        </w:tc>
        <w:tc>
          <w:tcPr>
            <w:tcW w:w="1701" w:type="dxa"/>
            <w:hideMark/>
          </w:tcPr>
          <w:p w14:paraId="7490F553" w14:textId="77777777" w:rsidR="00EE3DF9" w:rsidRPr="00F5382B" w:rsidRDefault="00EE3DF9">
            <w:pPr>
              <w:spacing w:after="200" w:line="276" w:lineRule="auto"/>
              <w:jc w:val="left"/>
              <w:rPr>
                <w:noProof/>
                <w:lang w:val="en-IE"/>
              </w:rPr>
            </w:pPr>
            <w:r w:rsidRPr="00F5382B">
              <w:rPr>
                <w:noProof/>
                <w:lang w:val="en-IE"/>
              </w:rPr>
              <w:t>Most common operational root cause</w:t>
            </w:r>
          </w:p>
        </w:tc>
        <w:tc>
          <w:tcPr>
            <w:tcW w:w="1276" w:type="dxa"/>
            <w:hideMark/>
          </w:tcPr>
          <w:p w14:paraId="78207446" w14:textId="77777777" w:rsidR="00EE3DF9" w:rsidRPr="00F5382B" w:rsidRDefault="00EE3DF9">
            <w:pPr>
              <w:spacing w:after="200" w:line="276" w:lineRule="auto"/>
              <w:jc w:val="left"/>
              <w:rPr>
                <w:noProof/>
                <w:lang w:val="en-IE"/>
              </w:rPr>
            </w:pPr>
            <w:r w:rsidRPr="00F5382B">
              <w:rPr>
                <w:noProof/>
                <w:lang w:val="en-IE"/>
              </w:rPr>
              <w:t>Known security gap (43%)</w:t>
            </w:r>
          </w:p>
        </w:tc>
        <w:tc>
          <w:tcPr>
            <w:tcW w:w="1489" w:type="dxa"/>
            <w:hideMark/>
          </w:tcPr>
          <w:p w14:paraId="10199CD7" w14:textId="77777777" w:rsidR="00EE3DF9" w:rsidRPr="00F5382B" w:rsidRDefault="00EE3DF9">
            <w:pPr>
              <w:spacing w:after="200" w:line="276" w:lineRule="auto"/>
              <w:jc w:val="left"/>
              <w:rPr>
                <w:noProof/>
                <w:lang w:val="en-IE"/>
              </w:rPr>
            </w:pPr>
            <w:r w:rsidRPr="00F5382B">
              <w:rPr>
                <w:b/>
                <w:noProof/>
                <w:lang w:val="en-IE"/>
              </w:rPr>
              <w:t>Lack of people/capacity (47%)</w:t>
            </w:r>
          </w:p>
        </w:tc>
        <w:tc>
          <w:tcPr>
            <w:tcW w:w="1554" w:type="dxa"/>
            <w:hideMark/>
          </w:tcPr>
          <w:p w14:paraId="41A29DE0" w14:textId="77777777" w:rsidR="00EE3DF9" w:rsidRPr="00F5382B" w:rsidRDefault="00EE3DF9">
            <w:pPr>
              <w:spacing w:after="200" w:line="276" w:lineRule="auto"/>
              <w:jc w:val="left"/>
              <w:rPr>
                <w:noProof/>
                <w:lang w:val="en-IE"/>
              </w:rPr>
            </w:pPr>
            <w:r w:rsidRPr="00F5382B">
              <w:rPr>
                <w:b/>
                <w:noProof/>
                <w:lang w:val="en-IE"/>
              </w:rPr>
              <w:t>Lack of expertise (45%)</w:t>
            </w:r>
          </w:p>
        </w:tc>
        <w:tc>
          <w:tcPr>
            <w:tcW w:w="1554" w:type="dxa"/>
            <w:hideMark/>
          </w:tcPr>
          <w:p w14:paraId="168F75F1" w14:textId="77777777" w:rsidR="00EE3DF9" w:rsidRPr="00F5382B" w:rsidRDefault="00EE3DF9">
            <w:pPr>
              <w:spacing w:after="200" w:line="276" w:lineRule="auto"/>
              <w:jc w:val="left"/>
              <w:rPr>
                <w:noProof/>
                <w:lang w:val="en-IE"/>
              </w:rPr>
            </w:pPr>
            <w:r w:rsidRPr="00F5382B">
              <w:rPr>
                <w:noProof/>
                <w:lang w:val="en-IE"/>
              </w:rPr>
              <w:t>Known security gap (42%)</w:t>
            </w:r>
          </w:p>
        </w:tc>
        <w:tc>
          <w:tcPr>
            <w:tcW w:w="1679" w:type="dxa"/>
            <w:hideMark/>
          </w:tcPr>
          <w:p w14:paraId="18AC50AE" w14:textId="77777777" w:rsidR="00EE3DF9" w:rsidRPr="00F5382B" w:rsidRDefault="00EE3DF9">
            <w:pPr>
              <w:spacing w:after="200" w:line="276" w:lineRule="auto"/>
              <w:jc w:val="left"/>
              <w:rPr>
                <w:noProof/>
                <w:lang w:val="en-IE"/>
              </w:rPr>
            </w:pPr>
            <w:r w:rsidRPr="00F5382B">
              <w:rPr>
                <w:b/>
                <w:noProof/>
                <w:lang w:val="en-IE"/>
              </w:rPr>
              <w:t>Lack of people/capacity (55%)</w:t>
            </w:r>
          </w:p>
        </w:tc>
        <w:tc>
          <w:tcPr>
            <w:tcW w:w="1554" w:type="dxa"/>
            <w:hideMark/>
          </w:tcPr>
          <w:p w14:paraId="259FEA8B" w14:textId="77777777" w:rsidR="00EE3DF9" w:rsidRPr="00F5382B" w:rsidRDefault="00EE3DF9">
            <w:pPr>
              <w:spacing w:after="200" w:line="276" w:lineRule="auto"/>
              <w:jc w:val="left"/>
              <w:rPr>
                <w:noProof/>
                <w:lang w:val="en-IE"/>
              </w:rPr>
            </w:pPr>
            <w:r w:rsidRPr="00F5382B">
              <w:rPr>
                <w:noProof/>
                <w:lang w:val="en-IE"/>
              </w:rPr>
              <w:t>Lack of expertise (42%)</w:t>
            </w:r>
          </w:p>
        </w:tc>
      </w:tr>
      <w:tr w:rsidR="00EE3DF9" w:rsidRPr="00F5382B" w14:paraId="7A87DAF0" w14:textId="77777777" w:rsidTr="00C27FF5">
        <w:tc>
          <w:tcPr>
            <w:tcW w:w="1526" w:type="dxa"/>
            <w:hideMark/>
          </w:tcPr>
          <w:p w14:paraId="2607AA17" w14:textId="77777777" w:rsidR="00EE3DF9" w:rsidRPr="00F5382B" w:rsidRDefault="00EE3DF9">
            <w:pPr>
              <w:spacing w:after="200" w:line="276" w:lineRule="auto"/>
              <w:jc w:val="left"/>
              <w:rPr>
                <w:noProof/>
                <w:lang w:val="en-IE"/>
              </w:rPr>
            </w:pPr>
            <w:r w:rsidRPr="00F5382B">
              <w:rPr>
                <w:b/>
                <w:noProof/>
                <w:lang w:val="en-IE"/>
              </w:rPr>
              <w:t>Human Impact</w:t>
            </w:r>
          </w:p>
        </w:tc>
        <w:tc>
          <w:tcPr>
            <w:tcW w:w="1701" w:type="dxa"/>
            <w:hideMark/>
          </w:tcPr>
          <w:p w14:paraId="0F14F2C7" w14:textId="77777777" w:rsidR="00EE3DF9" w:rsidRPr="00F5382B" w:rsidRDefault="00EE3DF9">
            <w:pPr>
              <w:spacing w:after="200" w:line="276" w:lineRule="auto"/>
              <w:jc w:val="left"/>
              <w:rPr>
                <w:noProof/>
                <w:lang w:val="en-IE"/>
              </w:rPr>
            </w:pPr>
            <w:r w:rsidRPr="00F5382B">
              <w:rPr>
                <w:noProof/>
                <w:lang w:val="en-IE"/>
              </w:rPr>
              <w:t>Reported increased anxiety or stress about future attacks</w:t>
            </w:r>
          </w:p>
        </w:tc>
        <w:tc>
          <w:tcPr>
            <w:tcW w:w="1276" w:type="dxa"/>
            <w:hideMark/>
          </w:tcPr>
          <w:p w14:paraId="31B26C2C" w14:textId="77777777" w:rsidR="00EE3DF9" w:rsidRPr="00F5382B" w:rsidRDefault="00EE3DF9">
            <w:pPr>
              <w:spacing w:after="200" w:line="276" w:lineRule="auto"/>
              <w:jc w:val="left"/>
              <w:rPr>
                <w:noProof/>
                <w:lang w:val="en-IE"/>
              </w:rPr>
            </w:pPr>
            <w:r w:rsidRPr="00F5382B">
              <w:rPr>
                <w:b/>
                <w:noProof/>
                <w:lang w:val="en-IE"/>
              </w:rPr>
              <w:t>50%</w:t>
            </w:r>
          </w:p>
        </w:tc>
        <w:tc>
          <w:tcPr>
            <w:tcW w:w="1489" w:type="dxa"/>
            <w:hideMark/>
          </w:tcPr>
          <w:p w14:paraId="24ECB073" w14:textId="77777777" w:rsidR="00EE3DF9" w:rsidRPr="00F5382B" w:rsidRDefault="00EE3DF9">
            <w:pPr>
              <w:spacing w:after="200" w:line="276" w:lineRule="auto"/>
              <w:jc w:val="left"/>
              <w:rPr>
                <w:noProof/>
                <w:lang w:val="en-IE"/>
              </w:rPr>
            </w:pPr>
            <w:r w:rsidRPr="00F5382B">
              <w:rPr>
                <w:noProof/>
                <w:lang w:val="en-IE"/>
              </w:rPr>
              <w:t>44%</w:t>
            </w:r>
          </w:p>
        </w:tc>
        <w:tc>
          <w:tcPr>
            <w:tcW w:w="1554" w:type="dxa"/>
            <w:hideMark/>
          </w:tcPr>
          <w:p w14:paraId="2739E4CD" w14:textId="77777777" w:rsidR="00EE3DF9" w:rsidRPr="00F5382B" w:rsidRDefault="00EE3DF9">
            <w:pPr>
              <w:spacing w:after="200" w:line="276" w:lineRule="auto"/>
              <w:jc w:val="left"/>
              <w:rPr>
                <w:noProof/>
                <w:lang w:val="en-IE"/>
              </w:rPr>
            </w:pPr>
            <w:r w:rsidRPr="00F5382B">
              <w:rPr>
                <w:noProof/>
                <w:lang w:val="en-IE"/>
              </w:rPr>
              <w:t>35%</w:t>
            </w:r>
          </w:p>
        </w:tc>
        <w:tc>
          <w:tcPr>
            <w:tcW w:w="1554" w:type="dxa"/>
            <w:hideMark/>
          </w:tcPr>
          <w:p w14:paraId="730B48B6" w14:textId="77777777" w:rsidR="00EE3DF9" w:rsidRPr="00F5382B" w:rsidRDefault="00EE3DF9">
            <w:pPr>
              <w:spacing w:after="200" w:line="276" w:lineRule="auto"/>
              <w:jc w:val="left"/>
              <w:rPr>
                <w:noProof/>
                <w:lang w:val="en-IE"/>
              </w:rPr>
            </w:pPr>
            <w:r w:rsidRPr="00F5382B">
              <w:rPr>
                <w:noProof/>
                <w:lang w:val="en-IE"/>
              </w:rPr>
              <w:t>33%</w:t>
            </w:r>
          </w:p>
        </w:tc>
        <w:tc>
          <w:tcPr>
            <w:tcW w:w="1679" w:type="dxa"/>
            <w:hideMark/>
          </w:tcPr>
          <w:p w14:paraId="12F16FD2" w14:textId="77777777" w:rsidR="00EE3DF9" w:rsidRPr="00F5382B" w:rsidRDefault="00EE3DF9">
            <w:pPr>
              <w:spacing w:after="200" w:line="276" w:lineRule="auto"/>
              <w:jc w:val="left"/>
              <w:rPr>
                <w:noProof/>
                <w:lang w:val="en-IE"/>
              </w:rPr>
            </w:pPr>
            <w:r w:rsidRPr="00F5382B">
              <w:rPr>
                <w:noProof/>
                <w:lang w:val="en-IE"/>
              </w:rPr>
              <w:t>28%</w:t>
            </w:r>
          </w:p>
        </w:tc>
        <w:tc>
          <w:tcPr>
            <w:tcW w:w="1554" w:type="dxa"/>
            <w:hideMark/>
          </w:tcPr>
          <w:p w14:paraId="535B8EF3" w14:textId="77777777" w:rsidR="00EE3DF9" w:rsidRPr="00F5382B" w:rsidRDefault="00EE3DF9">
            <w:pPr>
              <w:spacing w:after="200" w:line="276" w:lineRule="auto"/>
              <w:jc w:val="left"/>
              <w:rPr>
                <w:noProof/>
                <w:lang w:val="en-IE"/>
              </w:rPr>
            </w:pPr>
            <w:r w:rsidRPr="00F5382B">
              <w:rPr>
                <w:noProof/>
                <w:lang w:val="en-IE"/>
              </w:rPr>
              <w:t>41%</w:t>
            </w:r>
          </w:p>
        </w:tc>
      </w:tr>
      <w:tr w:rsidR="00EE3DF9" w:rsidRPr="00F5382B" w14:paraId="25411B7B" w14:textId="77777777" w:rsidTr="00C27FF5">
        <w:tc>
          <w:tcPr>
            <w:tcW w:w="1526" w:type="dxa"/>
            <w:hideMark/>
          </w:tcPr>
          <w:p w14:paraId="48E72126" w14:textId="77777777" w:rsidR="00EE3DF9" w:rsidRPr="00F5382B" w:rsidRDefault="00EE3DF9">
            <w:pPr>
              <w:spacing w:after="200" w:line="276" w:lineRule="auto"/>
              <w:jc w:val="left"/>
              <w:rPr>
                <w:noProof/>
                <w:lang w:val="en-IE"/>
              </w:rPr>
            </w:pPr>
          </w:p>
        </w:tc>
        <w:tc>
          <w:tcPr>
            <w:tcW w:w="1701" w:type="dxa"/>
            <w:hideMark/>
          </w:tcPr>
          <w:p w14:paraId="65EF814C" w14:textId="77777777" w:rsidR="00EE3DF9" w:rsidRPr="00F5382B" w:rsidRDefault="00EE3DF9">
            <w:pPr>
              <w:spacing w:after="200" w:line="276" w:lineRule="auto"/>
              <w:jc w:val="left"/>
              <w:rPr>
                <w:noProof/>
                <w:lang w:val="en-IE"/>
              </w:rPr>
            </w:pPr>
            <w:r w:rsidRPr="00F5382B">
              <w:rPr>
                <w:noProof/>
                <w:lang w:val="en-IE"/>
              </w:rPr>
              <w:t>Staff absence due to stress/mental health issues</w:t>
            </w:r>
          </w:p>
        </w:tc>
        <w:tc>
          <w:tcPr>
            <w:tcW w:w="1276" w:type="dxa"/>
            <w:hideMark/>
          </w:tcPr>
          <w:p w14:paraId="3040404A" w14:textId="77777777" w:rsidR="00EE3DF9" w:rsidRPr="00F5382B" w:rsidRDefault="00EE3DF9">
            <w:pPr>
              <w:spacing w:after="200" w:line="276" w:lineRule="auto"/>
              <w:jc w:val="left"/>
              <w:rPr>
                <w:noProof/>
                <w:lang w:val="en-IE"/>
              </w:rPr>
            </w:pPr>
            <w:r w:rsidRPr="00F5382B">
              <w:rPr>
                <w:noProof/>
                <w:lang w:val="en-IE"/>
              </w:rPr>
              <w:t>22%</w:t>
            </w:r>
          </w:p>
        </w:tc>
        <w:tc>
          <w:tcPr>
            <w:tcW w:w="1489" w:type="dxa"/>
            <w:hideMark/>
          </w:tcPr>
          <w:p w14:paraId="2BEF1E24" w14:textId="77777777" w:rsidR="00EE3DF9" w:rsidRPr="00F5382B" w:rsidRDefault="00EE3DF9">
            <w:pPr>
              <w:spacing w:after="200" w:line="276" w:lineRule="auto"/>
              <w:jc w:val="left"/>
              <w:rPr>
                <w:noProof/>
                <w:lang w:val="en-IE"/>
              </w:rPr>
            </w:pPr>
            <w:r w:rsidRPr="00F5382B">
              <w:rPr>
                <w:noProof/>
                <w:lang w:val="en-IE"/>
              </w:rPr>
              <w:t>44%</w:t>
            </w:r>
          </w:p>
        </w:tc>
        <w:tc>
          <w:tcPr>
            <w:tcW w:w="1554" w:type="dxa"/>
            <w:hideMark/>
          </w:tcPr>
          <w:p w14:paraId="0F641AF4" w14:textId="77777777" w:rsidR="00EE3DF9" w:rsidRPr="00F5382B" w:rsidRDefault="00EE3DF9">
            <w:pPr>
              <w:spacing w:after="200" w:line="276" w:lineRule="auto"/>
              <w:jc w:val="left"/>
              <w:rPr>
                <w:noProof/>
                <w:lang w:val="en-IE"/>
              </w:rPr>
            </w:pPr>
            <w:r w:rsidRPr="00F5382B">
              <w:rPr>
                <w:noProof/>
                <w:lang w:val="en-IE"/>
              </w:rPr>
              <w:t>32%</w:t>
            </w:r>
          </w:p>
        </w:tc>
        <w:tc>
          <w:tcPr>
            <w:tcW w:w="1554" w:type="dxa"/>
            <w:hideMark/>
          </w:tcPr>
          <w:p w14:paraId="0E6ACE3F" w14:textId="77777777" w:rsidR="00EE3DF9" w:rsidRPr="00F5382B" w:rsidRDefault="00EE3DF9">
            <w:pPr>
              <w:spacing w:after="200" w:line="276" w:lineRule="auto"/>
              <w:jc w:val="left"/>
              <w:rPr>
                <w:noProof/>
                <w:lang w:val="en-IE"/>
              </w:rPr>
            </w:pPr>
            <w:r w:rsidRPr="00F5382B">
              <w:rPr>
                <w:noProof/>
                <w:lang w:val="en-IE"/>
              </w:rPr>
              <w:t>25%</w:t>
            </w:r>
          </w:p>
        </w:tc>
        <w:tc>
          <w:tcPr>
            <w:tcW w:w="1679" w:type="dxa"/>
            <w:hideMark/>
          </w:tcPr>
          <w:p w14:paraId="327704EE" w14:textId="77777777" w:rsidR="00EE3DF9" w:rsidRPr="00F5382B" w:rsidRDefault="00EE3DF9">
            <w:pPr>
              <w:spacing w:after="200" w:line="276" w:lineRule="auto"/>
              <w:jc w:val="left"/>
              <w:rPr>
                <w:noProof/>
                <w:lang w:val="en-IE"/>
              </w:rPr>
            </w:pPr>
            <w:r w:rsidRPr="00F5382B">
              <w:rPr>
                <w:b/>
                <w:noProof/>
                <w:lang w:val="en-IE"/>
              </w:rPr>
              <w:t>64%</w:t>
            </w:r>
          </w:p>
        </w:tc>
        <w:tc>
          <w:tcPr>
            <w:tcW w:w="1554" w:type="dxa"/>
            <w:hideMark/>
          </w:tcPr>
          <w:p w14:paraId="1B04E13A" w14:textId="77777777" w:rsidR="00EE3DF9" w:rsidRPr="00F5382B" w:rsidRDefault="00EE3DF9">
            <w:pPr>
              <w:spacing w:after="200" w:line="276" w:lineRule="auto"/>
              <w:jc w:val="left"/>
              <w:rPr>
                <w:noProof/>
                <w:lang w:val="en-IE"/>
              </w:rPr>
            </w:pPr>
            <w:r w:rsidRPr="00F5382B">
              <w:rPr>
                <w:noProof/>
                <w:lang w:val="en-IE"/>
              </w:rPr>
              <w:t>26%</w:t>
            </w:r>
          </w:p>
        </w:tc>
      </w:tr>
    </w:tbl>
    <w:p w14:paraId="4DC7F402" w14:textId="77777777" w:rsidR="00EE3DF9" w:rsidRPr="00F5382B" w:rsidRDefault="00EE3DF9" w:rsidP="00EE3DF9">
      <w:pPr>
        <w:spacing w:after="200" w:line="276" w:lineRule="auto"/>
        <w:jc w:val="left"/>
        <w:rPr>
          <w:b/>
          <w:bCs/>
          <w:noProof/>
          <w:lang w:val="en-IE"/>
        </w:rPr>
      </w:pPr>
    </w:p>
    <w:p w14:paraId="0AE8BEA8" w14:textId="77777777" w:rsidR="00EE3DF9" w:rsidRPr="00F5382B" w:rsidRDefault="00EE3DF9" w:rsidP="00EE3DF9">
      <w:pPr>
        <w:spacing w:after="200" w:line="276" w:lineRule="auto"/>
        <w:jc w:val="left"/>
        <w:rPr>
          <w:noProof/>
        </w:rPr>
        <w:sectPr w:rsidR="00EE3DF9" w:rsidRPr="00F5382B" w:rsidSect="00EE3DF9">
          <w:headerReference w:type="default" r:id="rId117"/>
          <w:footerReference w:type="default" r:id="rId118"/>
          <w:pgSz w:w="15840" w:h="12240" w:orient="landscape"/>
          <w:pgMar w:top="1440" w:right="1440" w:bottom="1440" w:left="1440" w:header="708" w:footer="708" w:gutter="0"/>
          <w:cols w:space="708"/>
          <w:docGrid w:linePitch="360"/>
        </w:sectPr>
      </w:pPr>
      <w:r w:rsidRPr="00F5382B">
        <w:rPr>
          <w:noProof/>
        </w:rPr>
        <w:br w:type="page"/>
      </w:r>
    </w:p>
    <w:p w14:paraId="100C923F" w14:textId="77777777" w:rsidR="00D52AD8" w:rsidRPr="00F5382B" w:rsidRDefault="00D52AD8" w:rsidP="00D52AD8">
      <w:pPr>
        <w:pStyle w:val="AnnexTitle0"/>
        <w:rPr>
          <w:noProof/>
        </w:rPr>
      </w:pPr>
      <w:bookmarkStart w:id="382" w:name="_Toc218767788"/>
      <w:bookmarkStart w:id="383" w:name="_Toc219039514"/>
      <w:bookmarkStart w:id="384" w:name="_Toc219447417"/>
      <w:bookmarkEnd w:id="379"/>
      <w:r w:rsidRPr="00F5382B">
        <w:rPr>
          <w:noProof/>
        </w:rPr>
        <w:t xml:space="preserve">Annex 8: </w:t>
      </w:r>
      <w:r>
        <w:rPr>
          <w:noProof/>
        </w:rPr>
        <w:t xml:space="preserve">Commission Staff Working Document Evaluation Accompanying the document </w:t>
      </w:r>
      <w:r w:rsidRPr="00F5382B">
        <w:rPr>
          <w:noProof/>
        </w:rPr>
        <w:t>REPORT FROM THE COMMISSION TO THE EUROPEAN PARLIAMENT AND THE COUNCIL</w:t>
      </w:r>
      <w:r>
        <w:rPr>
          <w:noProof/>
        </w:rPr>
        <w:t xml:space="preserve"> </w:t>
      </w:r>
      <w:r w:rsidRPr="00F5382B">
        <w:rPr>
          <w:noProof/>
        </w:rPr>
        <w:t>on the evaluation of the European Union Agency for Cybersecurity (ENISA) and the European Cybersecurity Certification Framework</w:t>
      </w:r>
      <w:bookmarkEnd w:id="382"/>
      <w:bookmarkEnd w:id="383"/>
      <w:bookmarkEnd w:id="384"/>
    </w:p>
    <w:p w14:paraId="4D532F7C" w14:textId="77777777" w:rsidR="00D52AD8" w:rsidRPr="00C57110" w:rsidRDefault="00D52AD8" w:rsidP="00DE3924">
      <w:pPr>
        <w:pStyle w:val="Heading1"/>
        <w:numPr>
          <w:ilvl w:val="0"/>
          <w:numId w:val="0"/>
        </w:numPr>
        <w:ind w:left="480" w:hanging="480"/>
        <w:rPr>
          <w:b w:val="0"/>
          <w:bCs/>
          <w:noProof/>
        </w:rPr>
      </w:pPr>
      <w:bookmarkStart w:id="385" w:name="_Toc218702592"/>
      <w:bookmarkStart w:id="386" w:name="_Toc219039515"/>
      <w:bookmarkStart w:id="387" w:name="_Toc219447418"/>
      <w:r w:rsidRPr="00380B24">
        <w:rPr>
          <w:noProof/>
        </w:rPr>
        <w:t>Glossary</w:t>
      </w:r>
      <w:bookmarkEnd w:id="385"/>
      <w:bookmarkEnd w:id="386"/>
      <w:bookmarkEnd w:id="387"/>
    </w:p>
    <w:p w14:paraId="3A15DF4C" w14:textId="77777777" w:rsidR="00B202FC" w:rsidRPr="00380B24" w:rsidRDefault="00B202FC" w:rsidP="00B202FC">
      <w:pPr>
        <w:pStyle w:val="Text1"/>
        <w:ind w:left="0"/>
        <w:rPr>
          <w:noProof/>
        </w:rPr>
      </w:pPr>
      <w:r w:rsidRPr="00380B24">
        <w:rPr>
          <w:noProof/>
        </w:rPr>
        <w:t>The table below explains the key terms or acronyms used in this document.</w:t>
      </w: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75"/>
        <w:gridCol w:w="6945"/>
      </w:tblGrid>
      <w:tr w:rsidR="00B202FC" w:rsidRPr="00380B24" w14:paraId="0EDA5C33" w14:textId="77777777">
        <w:trPr>
          <w:trHeight w:val="20"/>
          <w:tblHeader/>
        </w:trPr>
        <w:tc>
          <w:tcPr>
            <w:tcW w:w="1575" w:type="dxa"/>
            <w:vAlign w:val="center"/>
          </w:tcPr>
          <w:p w14:paraId="74244338" w14:textId="77777777" w:rsidR="00B202FC" w:rsidRPr="00380B24" w:rsidRDefault="00B202FC">
            <w:pPr>
              <w:spacing w:before="120" w:after="120"/>
              <w:jc w:val="center"/>
              <w:rPr>
                <w:rFonts w:eastAsia="Arial"/>
                <w:b/>
                <w:i/>
                <w:noProof/>
              </w:rPr>
            </w:pPr>
            <w:r w:rsidRPr="00380B24">
              <w:rPr>
                <w:rFonts w:eastAsia="Arial"/>
                <w:b/>
                <w:i/>
                <w:noProof/>
              </w:rPr>
              <w:t>Term or acronym</w:t>
            </w:r>
          </w:p>
        </w:tc>
        <w:tc>
          <w:tcPr>
            <w:tcW w:w="6945" w:type="dxa"/>
            <w:vAlign w:val="center"/>
          </w:tcPr>
          <w:p w14:paraId="2E33A8AA" w14:textId="77777777" w:rsidR="00B202FC" w:rsidRPr="00380B24" w:rsidRDefault="00B202FC">
            <w:pPr>
              <w:spacing w:before="120" w:after="120"/>
              <w:jc w:val="center"/>
              <w:rPr>
                <w:rFonts w:eastAsia="Arial"/>
                <w:b/>
                <w:i/>
                <w:noProof/>
              </w:rPr>
            </w:pPr>
            <w:r w:rsidRPr="00380B24">
              <w:rPr>
                <w:b/>
                <w:i/>
                <w:noProof/>
              </w:rPr>
              <w:t>Meaning or definition</w:t>
            </w:r>
          </w:p>
        </w:tc>
      </w:tr>
      <w:tr w:rsidR="00B202FC" w:rsidRPr="00380B24" w14:paraId="7D7E0F35" w14:textId="77777777">
        <w:trPr>
          <w:trHeight w:val="20"/>
        </w:trPr>
        <w:tc>
          <w:tcPr>
            <w:tcW w:w="1575" w:type="dxa"/>
          </w:tcPr>
          <w:p w14:paraId="6A0FCD38"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AI</w:t>
            </w:r>
          </w:p>
        </w:tc>
        <w:tc>
          <w:tcPr>
            <w:tcW w:w="6945" w:type="dxa"/>
          </w:tcPr>
          <w:p w14:paraId="7B40BC20"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Artificial intelligence</w:t>
            </w:r>
          </w:p>
        </w:tc>
      </w:tr>
      <w:tr w:rsidR="00B202FC" w:rsidRPr="00380B24" w14:paraId="64B82B4B" w14:textId="77777777">
        <w:trPr>
          <w:trHeight w:val="20"/>
        </w:trPr>
        <w:tc>
          <w:tcPr>
            <w:tcW w:w="1575" w:type="dxa"/>
          </w:tcPr>
          <w:p w14:paraId="681A608F"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BEREC</w:t>
            </w:r>
          </w:p>
        </w:tc>
        <w:tc>
          <w:tcPr>
            <w:tcW w:w="6945" w:type="dxa"/>
          </w:tcPr>
          <w:p w14:paraId="56F734F9"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Body of European Regulators for Electronic Communications </w:t>
            </w:r>
          </w:p>
        </w:tc>
      </w:tr>
      <w:tr w:rsidR="00B202FC" w:rsidRPr="00380B24" w14:paraId="6DF2218D" w14:textId="77777777">
        <w:trPr>
          <w:trHeight w:val="20"/>
        </w:trPr>
        <w:tc>
          <w:tcPr>
            <w:tcW w:w="1575" w:type="dxa"/>
          </w:tcPr>
          <w:p w14:paraId="0861B93C"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CAB</w:t>
            </w:r>
          </w:p>
        </w:tc>
        <w:tc>
          <w:tcPr>
            <w:tcW w:w="6945" w:type="dxa"/>
          </w:tcPr>
          <w:p w14:paraId="280BF63C"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Conformity Assessment Body</w:t>
            </w:r>
          </w:p>
        </w:tc>
      </w:tr>
      <w:tr w:rsidR="00B202FC" w:rsidRPr="00380B24" w14:paraId="1B4A6943" w14:textId="77777777">
        <w:trPr>
          <w:trHeight w:val="20"/>
        </w:trPr>
        <w:tc>
          <w:tcPr>
            <w:tcW w:w="1575" w:type="dxa"/>
          </w:tcPr>
          <w:p w14:paraId="7CFE228B"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CERT-EU</w:t>
            </w:r>
          </w:p>
        </w:tc>
        <w:tc>
          <w:tcPr>
            <w:tcW w:w="6945" w:type="dxa"/>
          </w:tcPr>
          <w:p w14:paraId="3C80264F"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Cybersecurity Service for the Union institutions, bodies, offices and agencies</w:t>
            </w:r>
          </w:p>
        </w:tc>
      </w:tr>
      <w:tr w:rsidR="00B202FC" w:rsidRPr="00380B24" w14:paraId="2C928AB6" w14:textId="77777777">
        <w:trPr>
          <w:trHeight w:val="20"/>
        </w:trPr>
        <w:tc>
          <w:tcPr>
            <w:tcW w:w="1575" w:type="dxa"/>
          </w:tcPr>
          <w:p w14:paraId="10B4EA89"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cPPP</w:t>
            </w:r>
          </w:p>
        </w:tc>
        <w:tc>
          <w:tcPr>
            <w:tcW w:w="6945" w:type="dxa"/>
          </w:tcPr>
          <w:p w14:paraId="07965048"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Contractual Public-Private Partnership on cybersecurity, signed by the European Commission and the European Cyber Security Organisation (ECSO) on 5 July 2016</w:t>
            </w:r>
          </w:p>
        </w:tc>
      </w:tr>
      <w:tr w:rsidR="00B202FC" w:rsidRPr="00380B24" w14:paraId="079657DC" w14:textId="77777777">
        <w:trPr>
          <w:trHeight w:val="20"/>
        </w:trPr>
        <w:tc>
          <w:tcPr>
            <w:tcW w:w="1575" w:type="dxa"/>
          </w:tcPr>
          <w:p w14:paraId="0CE03692"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CRA</w:t>
            </w:r>
          </w:p>
        </w:tc>
        <w:tc>
          <w:tcPr>
            <w:tcW w:w="6945" w:type="dxa"/>
          </w:tcPr>
          <w:p w14:paraId="109A3956"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 xml:space="preserve">Cyber Resilience Act </w:t>
            </w:r>
          </w:p>
        </w:tc>
      </w:tr>
      <w:tr w:rsidR="00B202FC" w:rsidRPr="00380B24" w14:paraId="0637370C" w14:textId="77777777">
        <w:trPr>
          <w:trHeight w:val="20"/>
        </w:trPr>
        <w:tc>
          <w:tcPr>
            <w:tcW w:w="1575" w:type="dxa"/>
          </w:tcPr>
          <w:p w14:paraId="2DB54E9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CSoA</w:t>
            </w:r>
          </w:p>
        </w:tc>
        <w:tc>
          <w:tcPr>
            <w:tcW w:w="6945" w:type="dxa"/>
          </w:tcPr>
          <w:p w14:paraId="1F93DAA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Cyber Solidarity Act</w:t>
            </w:r>
          </w:p>
        </w:tc>
      </w:tr>
      <w:tr w:rsidR="00B202FC" w:rsidRPr="00380B24" w14:paraId="60BF863C" w14:textId="77777777">
        <w:trPr>
          <w:trHeight w:val="20"/>
        </w:trPr>
        <w:tc>
          <w:tcPr>
            <w:tcW w:w="1575" w:type="dxa"/>
          </w:tcPr>
          <w:p w14:paraId="0F4771B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CSA</w:t>
            </w:r>
          </w:p>
        </w:tc>
        <w:tc>
          <w:tcPr>
            <w:tcW w:w="6945" w:type="dxa"/>
          </w:tcPr>
          <w:p w14:paraId="42E1853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Cybersecurity Act</w:t>
            </w:r>
          </w:p>
        </w:tc>
      </w:tr>
      <w:tr w:rsidR="00B202FC" w:rsidRPr="00380B24" w14:paraId="5375F289" w14:textId="77777777">
        <w:trPr>
          <w:trHeight w:val="20"/>
        </w:trPr>
        <w:tc>
          <w:tcPr>
            <w:tcW w:w="1575" w:type="dxa"/>
          </w:tcPr>
          <w:p w14:paraId="2E8D990B"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CSIRT</w:t>
            </w:r>
          </w:p>
        </w:tc>
        <w:tc>
          <w:tcPr>
            <w:tcW w:w="6945" w:type="dxa"/>
          </w:tcPr>
          <w:p w14:paraId="09350E65"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Computer Security Incident Response Team</w:t>
            </w:r>
          </w:p>
        </w:tc>
      </w:tr>
      <w:tr w:rsidR="00B202FC" w:rsidRPr="00380B24" w14:paraId="5BC411D3" w14:textId="77777777">
        <w:trPr>
          <w:trHeight w:val="20"/>
        </w:trPr>
        <w:tc>
          <w:tcPr>
            <w:tcW w:w="1575" w:type="dxa"/>
          </w:tcPr>
          <w:p w14:paraId="6EE6544C"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DORA</w:t>
            </w:r>
          </w:p>
        </w:tc>
        <w:tc>
          <w:tcPr>
            <w:tcW w:w="6945" w:type="dxa"/>
          </w:tcPr>
          <w:p w14:paraId="153CE258"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Digital Operational Resilience Act</w:t>
            </w:r>
          </w:p>
        </w:tc>
      </w:tr>
      <w:tr w:rsidR="00B202FC" w:rsidRPr="00380B24" w14:paraId="7D0D75FA" w14:textId="77777777">
        <w:trPr>
          <w:trHeight w:val="20"/>
        </w:trPr>
        <w:tc>
          <w:tcPr>
            <w:tcW w:w="1575" w:type="dxa"/>
          </w:tcPr>
          <w:p w14:paraId="0BECACEA"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w:t>
            </w:r>
          </w:p>
        </w:tc>
        <w:tc>
          <w:tcPr>
            <w:tcW w:w="6945" w:type="dxa"/>
          </w:tcPr>
          <w:p w14:paraId="11B237A5"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Commission</w:t>
            </w:r>
          </w:p>
        </w:tc>
      </w:tr>
      <w:tr w:rsidR="00B202FC" w:rsidRPr="00380B24" w14:paraId="2A2C7243" w14:textId="77777777">
        <w:trPr>
          <w:trHeight w:val="20"/>
        </w:trPr>
        <w:tc>
          <w:tcPr>
            <w:tcW w:w="1575" w:type="dxa"/>
          </w:tcPr>
          <w:p w14:paraId="0873EB24"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EC3</w:t>
            </w:r>
          </w:p>
        </w:tc>
        <w:tc>
          <w:tcPr>
            <w:tcW w:w="6945" w:type="dxa"/>
          </w:tcPr>
          <w:p w14:paraId="6210662B"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Cybercrime Centre </w:t>
            </w:r>
          </w:p>
        </w:tc>
      </w:tr>
      <w:tr w:rsidR="00B202FC" w:rsidRPr="00380B24" w14:paraId="56DCDE05" w14:textId="77777777">
        <w:trPr>
          <w:trHeight w:val="20"/>
        </w:trPr>
        <w:tc>
          <w:tcPr>
            <w:tcW w:w="1575" w:type="dxa"/>
          </w:tcPr>
          <w:p w14:paraId="06284ABC"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ECA</w:t>
            </w:r>
          </w:p>
        </w:tc>
        <w:tc>
          <w:tcPr>
            <w:tcW w:w="6945" w:type="dxa"/>
          </w:tcPr>
          <w:p w14:paraId="52C7D255"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Court of Auditors</w:t>
            </w:r>
          </w:p>
        </w:tc>
      </w:tr>
      <w:tr w:rsidR="00B202FC" w:rsidRPr="00380B24" w14:paraId="78FA17F7" w14:textId="77777777">
        <w:trPr>
          <w:trHeight w:val="20"/>
        </w:trPr>
        <w:tc>
          <w:tcPr>
            <w:tcW w:w="1575" w:type="dxa"/>
          </w:tcPr>
          <w:p w14:paraId="723E492B"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ECCC</w:t>
            </w:r>
          </w:p>
        </w:tc>
        <w:tc>
          <w:tcPr>
            <w:tcW w:w="6945" w:type="dxa"/>
          </w:tcPr>
          <w:p w14:paraId="5A89F147"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Cybersecurity Competence Centre and Network </w:t>
            </w:r>
          </w:p>
        </w:tc>
      </w:tr>
      <w:tr w:rsidR="00B202FC" w:rsidRPr="00380B24" w14:paraId="31F3C4DC" w14:textId="77777777">
        <w:trPr>
          <w:trHeight w:val="20"/>
        </w:trPr>
        <w:tc>
          <w:tcPr>
            <w:tcW w:w="1575" w:type="dxa"/>
          </w:tcPr>
          <w:p w14:paraId="2D76638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ECCF</w:t>
            </w:r>
          </w:p>
        </w:tc>
        <w:tc>
          <w:tcPr>
            <w:tcW w:w="6945" w:type="dxa"/>
          </w:tcPr>
          <w:p w14:paraId="31D4209C"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Cybersecurity Certification Framework</w:t>
            </w:r>
          </w:p>
        </w:tc>
      </w:tr>
      <w:tr w:rsidR="00B202FC" w:rsidRPr="00380B24" w14:paraId="57794D8F" w14:textId="77777777">
        <w:trPr>
          <w:trHeight w:val="20"/>
        </w:trPr>
        <w:tc>
          <w:tcPr>
            <w:tcW w:w="1575" w:type="dxa"/>
          </w:tcPr>
          <w:p w14:paraId="6FD3EAA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ECCG</w:t>
            </w:r>
          </w:p>
        </w:tc>
        <w:tc>
          <w:tcPr>
            <w:tcW w:w="6945" w:type="dxa"/>
          </w:tcPr>
          <w:p w14:paraId="2FDD4A54"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Cybersecurity Certification Group </w:t>
            </w:r>
          </w:p>
        </w:tc>
      </w:tr>
      <w:tr w:rsidR="00B202FC" w:rsidRPr="00380B24" w14:paraId="25CFE267" w14:textId="77777777">
        <w:trPr>
          <w:trHeight w:val="20"/>
        </w:trPr>
        <w:tc>
          <w:tcPr>
            <w:tcW w:w="1575" w:type="dxa"/>
          </w:tcPr>
          <w:p w14:paraId="63A1470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EDA</w:t>
            </w:r>
          </w:p>
        </w:tc>
        <w:tc>
          <w:tcPr>
            <w:tcW w:w="6945" w:type="dxa"/>
          </w:tcPr>
          <w:p w14:paraId="3D2DEC5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Defence Agency </w:t>
            </w:r>
          </w:p>
        </w:tc>
      </w:tr>
      <w:tr w:rsidR="00B202FC" w:rsidRPr="00380B24" w14:paraId="51ACF93F" w14:textId="77777777">
        <w:trPr>
          <w:trHeight w:val="20"/>
        </w:trPr>
        <w:tc>
          <w:tcPr>
            <w:tcW w:w="1575" w:type="dxa"/>
          </w:tcPr>
          <w:p w14:paraId="332D5060"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eID</w:t>
            </w:r>
          </w:p>
        </w:tc>
        <w:tc>
          <w:tcPr>
            <w:tcW w:w="6945" w:type="dxa"/>
          </w:tcPr>
          <w:p w14:paraId="6C714D3C"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European Digital Identity</w:t>
            </w:r>
          </w:p>
        </w:tc>
      </w:tr>
      <w:tr w:rsidR="00B202FC" w:rsidRPr="00380B24" w14:paraId="75BDDE92" w14:textId="77777777">
        <w:trPr>
          <w:trHeight w:val="360"/>
        </w:trPr>
        <w:tc>
          <w:tcPr>
            <w:tcW w:w="1575" w:type="dxa"/>
          </w:tcPr>
          <w:p w14:paraId="73E2C8DD"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eIDAS</w:t>
            </w:r>
          </w:p>
        </w:tc>
        <w:tc>
          <w:tcPr>
            <w:tcW w:w="6945" w:type="dxa"/>
          </w:tcPr>
          <w:p w14:paraId="5E40C476"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Regulation (EU) No 910/2014 of the European Parliament and of the Council of 23 July 2014 on electronic identification and trust services for electronic transactions in the internal market and repealing Directive 1999/93/EC</w:t>
            </w:r>
          </w:p>
        </w:tc>
      </w:tr>
      <w:tr w:rsidR="00B202FC" w:rsidRPr="00380B24" w14:paraId="3641AE87" w14:textId="77777777">
        <w:trPr>
          <w:trHeight w:val="20"/>
        </w:trPr>
        <w:tc>
          <w:tcPr>
            <w:tcW w:w="1575" w:type="dxa"/>
          </w:tcPr>
          <w:p w14:paraId="101082F9"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ENISA</w:t>
            </w:r>
          </w:p>
        </w:tc>
        <w:tc>
          <w:tcPr>
            <w:tcW w:w="6945" w:type="dxa"/>
          </w:tcPr>
          <w:p w14:paraId="647D4EB7"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sz w:val="24"/>
                <w:szCs w:val="24"/>
              </w:rPr>
              <w:t>European Union Agency for Cybersecurity</w:t>
            </w:r>
          </w:p>
        </w:tc>
      </w:tr>
      <w:tr w:rsidR="00B202FC" w:rsidRPr="00380B24" w14:paraId="7FB65A4E" w14:textId="77777777">
        <w:trPr>
          <w:trHeight w:val="20"/>
        </w:trPr>
        <w:tc>
          <w:tcPr>
            <w:tcW w:w="1575" w:type="dxa"/>
          </w:tcPr>
          <w:p w14:paraId="10D1480A" w14:textId="77777777" w:rsidR="00B202FC" w:rsidRPr="00380B24" w:rsidRDefault="00B202FC">
            <w:pPr>
              <w:pStyle w:val="TABLEFONT"/>
              <w:rPr>
                <w:rFonts w:ascii="Times New Roman" w:hAnsi="Times New Roman"/>
                <w:noProof/>
                <w:sz w:val="24"/>
                <w:szCs w:val="24"/>
              </w:rPr>
            </w:pPr>
            <w:r w:rsidRPr="00380B24">
              <w:rPr>
                <w:rFonts w:ascii="Times New Roman" w:hAnsi="Times New Roman"/>
                <w:noProof/>
                <w:sz w:val="24"/>
                <w:szCs w:val="24"/>
              </w:rPr>
              <w:t xml:space="preserve">EU Cyber Blueprint </w:t>
            </w:r>
          </w:p>
        </w:tc>
        <w:tc>
          <w:tcPr>
            <w:tcW w:w="6945" w:type="dxa"/>
          </w:tcPr>
          <w:p w14:paraId="47C556B0" w14:textId="77777777" w:rsidR="00B202FC" w:rsidRPr="00380B24" w:rsidRDefault="00B202FC">
            <w:pPr>
              <w:pStyle w:val="TABLEFONT"/>
              <w:rPr>
                <w:rFonts w:ascii="Times New Roman" w:hAnsi="Times New Roman"/>
                <w:noProof/>
                <w:sz w:val="24"/>
                <w:szCs w:val="24"/>
              </w:rPr>
            </w:pPr>
            <w:r w:rsidRPr="00380B24">
              <w:rPr>
                <w:rFonts w:ascii="Times New Roman" w:hAnsi="Times New Roman"/>
                <w:noProof/>
                <w:sz w:val="24"/>
                <w:szCs w:val="24"/>
              </w:rPr>
              <w:t>Council Recommendation on an EU blueprint for cyber crisis management (COM/2025/66 final)</w:t>
            </w:r>
          </w:p>
          <w:p w14:paraId="789B7A79" w14:textId="77777777" w:rsidR="00B202FC" w:rsidRPr="00380B24" w:rsidRDefault="00B202FC">
            <w:pPr>
              <w:pStyle w:val="TABLEFONT"/>
              <w:rPr>
                <w:rFonts w:ascii="Times New Roman" w:hAnsi="Times New Roman"/>
                <w:noProof/>
                <w:sz w:val="24"/>
                <w:szCs w:val="24"/>
              </w:rPr>
            </w:pPr>
          </w:p>
        </w:tc>
      </w:tr>
      <w:tr w:rsidR="00B202FC" w:rsidRPr="00380B24" w14:paraId="74002618" w14:textId="77777777">
        <w:trPr>
          <w:trHeight w:val="20"/>
        </w:trPr>
        <w:tc>
          <w:tcPr>
            <w:tcW w:w="1575" w:type="dxa"/>
          </w:tcPr>
          <w:p w14:paraId="11B36756"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EUCC</w:t>
            </w:r>
          </w:p>
        </w:tc>
        <w:tc>
          <w:tcPr>
            <w:tcW w:w="6945" w:type="dxa"/>
          </w:tcPr>
          <w:p w14:paraId="2A90119B"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Common Criteria </w:t>
            </w:r>
          </w:p>
        </w:tc>
      </w:tr>
      <w:tr w:rsidR="00B202FC" w:rsidRPr="00380B24" w14:paraId="20CBF804" w14:textId="77777777">
        <w:trPr>
          <w:trHeight w:val="20"/>
        </w:trPr>
        <w:tc>
          <w:tcPr>
            <w:tcW w:w="1575" w:type="dxa"/>
          </w:tcPr>
          <w:p w14:paraId="44C26F2A"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Europol</w:t>
            </w:r>
          </w:p>
        </w:tc>
        <w:tc>
          <w:tcPr>
            <w:tcW w:w="6945" w:type="dxa"/>
          </w:tcPr>
          <w:p w14:paraId="722F6F4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Union Agency for Law Enforcement Cooperation </w:t>
            </w:r>
          </w:p>
        </w:tc>
      </w:tr>
      <w:tr w:rsidR="00B202FC" w:rsidRPr="00380B24" w14:paraId="4BE42491" w14:textId="77777777">
        <w:trPr>
          <w:trHeight w:val="20"/>
        </w:trPr>
        <w:tc>
          <w:tcPr>
            <w:tcW w:w="1575" w:type="dxa"/>
          </w:tcPr>
          <w:p w14:paraId="4BF67E67"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FTE</w:t>
            </w:r>
          </w:p>
        </w:tc>
        <w:tc>
          <w:tcPr>
            <w:tcW w:w="6945" w:type="dxa"/>
          </w:tcPr>
          <w:p w14:paraId="4A5C2429"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Full-time equivalent</w:t>
            </w:r>
          </w:p>
        </w:tc>
      </w:tr>
      <w:tr w:rsidR="00B202FC" w:rsidRPr="00380B24" w14:paraId="522B0988" w14:textId="77777777">
        <w:trPr>
          <w:trHeight w:val="20"/>
        </w:trPr>
        <w:tc>
          <w:tcPr>
            <w:tcW w:w="1575" w:type="dxa"/>
          </w:tcPr>
          <w:p w14:paraId="0A5BA931"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GDPR</w:t>
            </w:r>
          </w:p>
        </w:tc>
        <w:tc>
          <w:tcPr>
            <w:tcW w:w="6945" w:type="dxa"/>
          </w:tcPr>
          <w:p w14:paraId="79768075"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Pr="00380B24">
              <w:rPr>
                <w:noProof/>
              </w:rPr>
              <w:t> </w:t>
            </w:r>
          </w:p>
        </w:tc>
      </w:tr>
      <w:tr w:rsidR="00B202FC" w:rsidRPr="00380B24" w14:paraId="39D51526" w14:textId="77777777">
        <w:trPr>
          <w:trHeight w:val="20"/>
        </w:trPr>
        <w:tc>
          <w:tcPr>
            <w:tcW w:w="1575" w:type="dxa"/>
          </w:tcPr>
          <w:p w14:paraId="58197827"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IA</w:t>
            </w:r>
          </w:p>
        </w:tc>
        <w:tc>
          <w:tcPr>
            <w:tcW w:w="6945" w:type="dxa"/>
          </w:tcPr>
          <w:p w14:paraId="64235086"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Impact assessment</w:t>
            </w:r>
          </w:p>
        </w:tc>
      </w:tr>
      <w:tr w:rsidR="00B202FC" w:rsidRPr="00380B24" w14:paraId="45D3B96F" w14:textId="77777777">
        <w:trPr>
          <w:trHeight w:val="20"/>
        </w:trPr>
        <w:tc>
          <w:tcPr>
            <w:tcW w:w="1575" w:type="dxa"/>
          </w:tcPr>
          <w:p w14:paraId="3E991EEF"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ICT</w:t>
            </w:r>
          </w:p>
        </w:tc>
        <w:tc>
          <w:tcPr>
            <w:tcW w:w="6945" w:type="dxa"/>
          </w:tcPr>
          <w:p w14:paraId="13447F48"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Information and communication technologies</w:t>
            </w:r>
          </w:p>
        </w:tc>
      </w:tr>
      <w:tr w:rsidR="00B202FC" w:rsidRPr="00380B24" w14:paraId="49FFA1E1" w14:textId="77777777">
        <w:trPr>
          <w:trHeight w:val="20"/>
        </w:trPr>
        <w:tc>
          <w:tcPr>
            <w:tcW w:w="1575" w:type="dxa"/>
          </w:tcPr>
          <w:p w14:paraId="667DADB7"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IoT</w:t>
            </w:r>
          </w:p>
        </w:tc>
        <w:tc>
          <w:tcPr>
            <w:tcW w:w="6945" w:type="dxa"/>
          </w:tcPr>
          <w:p w14:paraId="7E7E2FE0"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Internet of things</w:t>
            </w:r>
          </w:p>
        </w:tc>
      </w:tr>
      <w:tr w:rsidR="00B202FC" w:rsidRPr="00380B24" w14:paraId="0E46353C" w14:textId="77777777">
        <w:trPr>
          <w:trHeight w:val="20"/>
        </w:trPr>
        <w:tc>
          <w:tcPr>
            <w:tcW w:w="1575" w:type="dxa"/>
          </w:tcPr>
          <w:p w14:paraId="6EF2182A"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ISAC</w:t>
            </w:r>
          </w:p>
        </w:tc>
        <w:tc>
          <w:tcPr>
            <w:tcW w:w="6945" w:type="dxa"/>
          </w:tcPr>
          <w:p w14:paraId="589604E2"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 xml:space="preserve">Information Sharing and Analysis Centre </w:t>
            </w:r>
          </w:p>
        </w:tc>
      </w:tr>
      <w:tr w:rsidR="00B202FC" w:rsidRPr="00380B24" w14:paraId="0C7A3874" w14:textId="77777777">
        <w:trPr>
          <w:trHeight w:val="20"/>
        </w:trPr>
        <w:tc>
          <w:tcPr>
            <w:tcW w:w="1575" w:type="dxa"/>
          </w:tcPr>
          <w:p w14:paraId="3674FE30"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MoU</w:t>
            </w:r>
          </w:p>
        </w:tc>
        <w:tc>
          <w:tcPr>
            <w:tcW w:w="6945" w:type="dxa"/>
          </w:tcPr>
          <w:p w14:paraId="4148448A"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hAnsi="Times New Roman"/>
                <w:noProof/>
                <w:color w:val="000000"/>
                <w:sz w:val="24"/>
                <w:szCs w:val="24"/>
              </w:rPr>
              <w:t>Memorandum of Understanding</w:t>
            </w:r>
          </w:p>
        </w:tc>
      </w:tr>
      <w:tr w:rsidR="00B202FC" w:rsidRPr="00380B24" w14:paraId="12A335F0" w14:textId="77777777">
        <w:trPr>
          <w:trHeight w:val="20"/>
        </w:trPr>
        <w:tc>
          <w:tcPr>
            <w:tcW w:w="1575" w:type="dxa"/>
          </w:tcPr>
          <w:p w14:paraId="47D47735"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MS</w:t>
            </w:r>
          </w:p>
        </w:tc>
        <w:tc>
          <w:tcPr>
            <w:tcW w:w="6945" w:type="dxa"/>
          </w:tcPr>
          <w:p w14:paraId="3CEE0784"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Member State</w:t>
            </w:r>
          </w:p>
        </w:tc>
      </w:tr>
      <w:tr w:rsidR="00B202FC" w:rsidRPr="00380B24" w14:paraId="300AEC4E" w14:textId="77777777">
        <w:trPr>
          <w:trHeight w:val="20"/>
        </w:trPr>
        <w:tc>
          <w:tcPr>
            <w:tcW w:w="1575" w:type="dxa"/>
          </w:tcPr>
          <w:p w14:paraId="1A58E9A5"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NATO</w:t>
            </w:r>
          </w:p>
        </w:tc>
        <w:tc>
          <w:tcPr>
            <w:tcW w:w="6945" w:type="dxa"/>
          </w:tcPr>
          <w:p w14:paraId="60080DEB"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North Atlantic Treaty Organization</w:t>
            </w:r>
          </w:p>
        </w:tc>
      </w:tr>
      <w:tr w:rsidR="00B202FC" w:rsidRPr="00380B24" w14:paraId="4381EAEA" w14:textId="77777777">
        <w:trPr>
          <w:trHeight w:val="20"/>
        </w:trPr>
        <w:tc>
          <w:tcPr>
            <w:tcW w:w="1575" w:type="dxa"/>
          </w:tcPr>
          <w:p w14:paraId="2E18307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NCC</w:t>
            </w:r>
          </w:p>
        </w:tc>
        <w:tc>
          <w:tcPr>
            <w:tcW w:w="6945" w:type="dxa"/>
          </w:tcPr>
          <w:p w14:paraId="71076385"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National Coordination Centre</w:t>
            </w:r>
          </w:p>
        </w:tc>
      </w:tr>
      <w:tr w:rsidR="00B202FC" w:rsidRPr="00380B24" w14:paraId="676297B0" w14:textId="77777777">
        <w:trPr>
          <w:trHeight w:val="20"/>
        </w:trPr>
        <w:tc>
          <w:tcPr>
            <w:tcW w:w="1575" w:type="dxa"/>
          </w:tcPr>
          <w:p w14:paraId="6A1DE7C0"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NGO</w:t>
            </w:r>
          </w:p>
        </w:tc>
        <w:tc>
          <w:tcPr>
            <w:tcW w:w="6945" w:type="dxa"/>
          </w:tcPr>
          <w:p w14:paraId="18509B4D"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Non-governmental organisation</w:t>
            </w:r>
          </w:p>
        </w:tc>
      </w:tr>
      <w:tr w:rsidR="00B202FC" w:rsidRPr="00380B24" w14:paraId="6E53D042" w14:textId="77777777">
        <w:trPr>
          <w:trHeight w:val="20"/>
        </w:trPr>
        <w:tc>
          <w:tcPr>
            <w:tcW w:w="1575" w:type="dxa"/>
          </w:tcPr>
          <w:p w14:paraId="4C62160D"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NIS</w:t>
            </w:r>
          </w:p>
        </w:tc>
        <w:tc>
          <w:tcPr>
            <w:tcW w:w="6945" w:type="dxa"/>
          </w:tcPr>
          <w:p w14:paraId="69F4C5C4"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Network and information security</w:t>
            </w:r>
          </w:p>
        </w:tc>
      </w:tr>
      <w:tr w:rsidR="00B202FC" w:rsidRPr="00380B24" w14:paraId="107AA685" w14:textId="77777777">
        <w:trPr>
          <w:trHeight w:val="20"/>
        </w:trPr>
        <w:tc>
          <w:tcPr>
            <w:tcW w:w="1575" w:type="dxa"/>
          </w:tcPr>
          <w:p w14:paraId="20696EF0"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NIS2 Directive</w:t>
            </w:r>
          </w:p>
        </w:tc>
        <w:tc>
          <w:tcPr>
            <w:tcW w:w="6945" w:type="dxa"/>
          </w:tcPr>
          <w:p w14:paraId="07D1A384"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Directive (EU) 2022/2555 of the European Parliament and of the Council of 14 December 2022 on measures for a high common level of cybersecurity across the Union, amending Regulation (EU) No 910/2014 and Directive (EU) 2018/1972, and repealing Directive (EU) 2016/1148</w:t>
            </w:r>
          </w:p>
        </w:tc>
      </w:tr>
      <w:tr w:rsidR="00B202FC" w:rsidRPr="00380B24" w14:paraId="303CD783" w14:textId="77777777">
        <w:trPr>
          <w:trHeight w:val="20"/>
        </w:trPr>
        <w:tc>
          <w:tcPr>
            <w:tcW w:w="1575" w:type="dxa"/>
          </w:tcPr>
          <w:p w14:paraId="4C52EC3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OECD</w:t>
            </w:r>
          </w:p>
        </w:tc>
        <w:tc>
          <w:tcPr>
            <w:tcW w:w="6945" w:type="dxa"/>
          </w:tcPr>
          <w:p w14:paraId="243C16A1"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Organisation for Economic Cooperation and Development</w:t>
            </w:r>
          </w:p>
        </w:tc>
      </w:tr>
      <w:tr w:rsidR="00B202FC" w:rsidRPr="00380B24" w14:paraId="620A7C6D" w14:textId="77777777">
        <w:trPr>
          <w:trHeight w:val="20"/>
        </w:trPr>
        <w:tc>
          <w:tcPr>
            <w:tcW w:w="1575" w:type="dxa"/>
          </w:tcPr>
          <w:p w14:paraId="292478D5"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PART-IS</w:t>
            </w:r>
          </w:p>
        </w:tc>
        <w:tc>
          <w:tcPr>
            <w:tcW w:w="6945" w:type="dxa"/>
          </w:tcPr>
          <w:p w14:paraId="773C5EB7"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EU Regulation on Information Security (PART-IS, Regulation (EU) 2023/203)</w:t>
            </w:r>
          </w:p>
        </w:tc>
      </w:tr>
      <w:tr w:rsidR="00B202FC" w:rsidRPr="00380B24" w14:paraId="263B9894" w14:textId="77777777">
        <w:trPr>
          <w:trHeight w:val="20"/>
        </w:trPr>
        <w:tc>
          <w:tcPr>
            <w:tcW w:w="1575" w:type="dxa"/>
          </w:tcPr>
          <w:p w14:paraId="47545BCE"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SCCG</w:t>
            </w:r>
          </w:p>
        </w:tc>
        <w:tc>
          <w:tcPr>
            <w:tcW w:w="6945" w:type="dxa"/>
          </w:tcPr>
          <w:p w14:paraId="0A52D17F"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Stakeholder Cybersecurity Certification Group </w:t>
            </w:r>
          </w:p>
        </w:tc>
      </w:tr>
      <w:tr w:rsidR="00B202FC" w:rsidRPr="00380B24" w14:paraId="44AE2346" w14:textId="77777777">
        <w:trPr>
          <w:trHeight w:val="20"/>
        </w:trPr>
        <w:tc>
          <w:tcPr>
            <w:tcW w:w="1575" w:type="dxa"/>
          </w:tcPr>
          <w:p w14:paraId="57593C62"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SME</w:t>
            </w:r>
          </w:p>
        </w:tc>
        <w:tc>
          <w:tcPr>
            <w:tcW w:w="6945" w:type="dxa"/>
          </w:tcPr>
          <w:p w14:paraId="156E548B"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Small and medium-sized enterprise</w:t>
            </w:r>
          </w:p>
        </w:tc>
      </w:tr>
      <w:tr w:rsidR="00B202FC" w:rsidRPr="00380B24" w14:paraId="32DE6E86" w14:textId="77777777">
        <w:trPr>
          <w:trHeight w:val="20"/>
        </w:trPr>
        <w:tc>
          <w:tcPr>
            <w:tcW w:w="1575" w:type="dxa"/>
          </w:tcPr>
          <w:p w14:paraId="678C18E8"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SOG-IS MRA</w:t>
            </w:r>
          </w:p>
        </w:tc>
        <w:tc>
          <w:tcPr>
            <w:tcW w:w="6945" w:type="dxa"/>
          </w:tcPr>
          <w:p w14:paraId="04A46C61"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Senior Officials Group Information Systems Security Mutual Recognition Agreement</w:t>
            </w:r>
          </w:p>
        </w:tc>
      </w:tr>
      <w:tr w:rsidR="00B202FC" w:rsidRPr="00380B24" w14:paraId="751EF398" w14:textId="77777777">
        <w:trPr>
          <w:trHeight w:val="20"/>
        </w:trPr>
        <w:tc>
          <w:tcPr>
            <w:tcW w:w="1575" w:type="dxa"/>
          </w:tcPr>
          <w:p w14:paraId="1A42E7BE"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TFEU</w:t>
            </w:r>
          </w:p>
        </w:tc>
        <w:tc>
          <w:tcPr>
            <w:tcW w:w="6945" w:type="dxa"/>
          </w:tcPr>
          <w:p w14:paraId="13C12E6E" w14:textId="77777777" w:rsidR="00B202FC" w:rsidRPr="00380B24" w:rsidRDefault="00B202F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Treaty on the Functioning of the European Union</w:t>
            </w:r>
          </w:p>
        </w:tc>
      </w:tr>
      <w:tr w:rsidR="00B202FC" w:rsidRPr="00380B24" w14:paraId="0DB14CFC" w14:textId="77777777">
        <w:trPr>
          <w:trHeight w:val="20"/>
        </w:trPr>
        <w:tc>
          <w:tcPr>
            <w:tcW w:w="1575" w:type="dxa"/>
          </w:tcPr>
          <w:p w14:paraId="3F7412EB"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URWP</w:t>
            </w:r>
          </w:p>
        </w:tc>
        <w:tc>
          <w:tcPr>
            <w:tcW w:w="6945" w:type="dxa"/>
          </w:tcPr>
          <w:p w14:paraId="63068F38" w14:textId="77777777" w:rsidR="00B202FC" w:rsidRPr="00380B24" w:rsidRDefault="00B202FC">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Union rolling work programme</w:t>
            </w:r>
          </w:p>
        </w:tc>
      </w:tr>
    </w:tbl>
    <w:p w14:paraId="10894752" w14:textId="77777777" w:rsidR="00D52AD8" w:rsidRPr="00C57110" w:rsidRDefault="00D52AD8" w:rsidP="00D52AD8">
      <w:pPr>
        <w:spacing w:after="0"/>
        <w:rPr>
          <w:noProof/>
          <w:color w:val="325BAA"/>
        </w:rPr>
      </w:pPr>
      <w:r w:rsidRPr="00C57110">
        <w:rPr>
          <w:noProof/>
        </w:rPr>
        <w:br w:type="page"/>
      </w:r>
    </w:p>
    <w:p w14:paraId="7D81C2CB" w14:textId="77777777" w:rsidR="00D52AD8" w:rsidRPr="00C57110" w:rsidRDefault="00D52AD8" w:rsidP="00D52AD8">
      <w:pPr>
        <w:rPr>
          <w:noProof/>
        </w:rPr>
        <w:sectPr w:rsidR="00D52AD8" w:rsidRPr="00C57110" w:rsidSect="00EA3E62">
          <w:headerReference w:type="even" r:id="rId119"/>
          <w:headerReference w:type="default" r:id="rId120"/>
          <w:footerReference w:type="even" r:id="rId121"/>
          <w:footerReference w:type="default" r:id="rId122"/>
          <w:headerReference w:type="first" r:id="rId123"/>
          <w:footerReference w:type="first" r:id="rId124"/>
          <w:pgSz w:w="11906" w:h="16838"/>
          <w:pgMar w:top="1020" w:right="1701" w:bottom="1020" w:left="1587" w:header="601" w:footer="1077" w:gutter="0"/>
          <w:cols w:space="720"/>
          <w:titlePg/>
        </w:sectPr>
      </w:pPr>
    </w:p>
    <w:p w14:paraId="761AD3D0" w14:textId="77777777" w:rsidR="00D52AD8" w:rsidRPr="00F9425D" w:rsidRDefault="00D52AD8" w:rsidP="00DE3924">
      <w:pPr>
        <w:pStyle w:val="Heading1"/>
        <w:numPr>
          <w:ilvl w:val="0"/>
          <w:numId w:val="185"/>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388" w:name="_Toc42093669"/>
      <w:bookmarkStart w:id="389" w:name="_Toc42093880"/>
      <w:bookmarkStart w:id="390" w:name="_Toc218702593"/>
      <w:bookmarkStart w:id="391" w:name="_Toc219039516"/>
      <w:bookmarkStart w:id="392" w:name="_Toc219447419"/>
      <w:r w:rsidRPr="00F9425D">
        <w:rPr>
          <w:noProof/>
          <w:szCs w:val="24"/>
        </w:rPr>
        <w:t>Introduction</w:t>
      </w:r>
      <w:bookmarkEnd w:id="388"/>
      <w:bookmarkEnd w:id="389"/>
      <w:bookmarkEnd w:id="390"/>
      <w:bookmarkEnd w:id="391"/>
      <w:bookmarkEnd w:id="392"/>
    </w:p>
    <w:p w14:paraId="7E3CCC51" w14:textId="6D151FED" w:rsidR="00D52AD8" w:rsidRPr="00C57110" w:rsidRDefault="00D52AD8" w:rsidP="00D52AD8">
      <w:pPr>
        <w:rPr>
          <w:noProof/>
        </w:rPr>
      </w:pPr>
      <w:r w:rsidRPr="00C57110">
        <w:rPr>
          <w:noProof/>
        </w:rPr>
        <w:t xml:space="preserve">The </w:t>
      </w:r>
      <w:r w:rsidR="00B202FC" w:rsidRPr="00380B24">
        <w:rPr>
          <w:noProof/>
        </w:rPr>
        <w:t xml:space="preserve">impact assessment </w:t>
      </w:r>
      <w:r w:rsidRPr="00C57110">
        <w:rPr>
          <w:noProof/>
        </w:rPr>
        <w:t>(IA) report that accompanied the proposal for the Cybersecurity Act (CSA) in 2017</w:t>
      </w:r>
      <w:r w:rsidRPr="00C57110">
        <w:rPr>
          <w:rStyle w:val="FootnoteReference"/>
          <w:noProof/>
        </w:rPr>
        <w:footnoteReference w:id="270"/>
      </w:r>
      <w:r w:rsidRPr="00C57110">
        <w:rPr>
          <w:noProof/>
        </w:rPr>
        <w:t xml:space="preserve"> (</w:t>
      </w:r>
      <w:r w:rsidR="00B202FC" w:rsidRPr="00380B24">
        <w:rPr>
          <w:noProof/>
        </w:rPr>
        <w:t>ʻ2017 IAʼ</w:t>
      </w:r>
      <w:r w:rsidRPr="00C57110">
        <w:rPr>
          <w:noProof/>
        </w:rPr>
        <w:t xml:space="preserve">) was developed by the European Commission to provide a comprehensive and evidence-based foundation for </w:t>
      </w:r>
      <w:r w:rsidR="00B202FC" w:rsidRPr="00380B24">
        <w:rPr>
          <w:noProof/>
        </w:rPr>
        <w:t>developing legislation on</w:t>
      </w:r>
      <w:r w:rsidRPr="00C57110">
        <w:rPr>
          <w:noProof/>
        </w:rPr>
        <w:t xml:space="preserve"> EU cybersecurity. The main purpose of </w:t>
      </w:r>
      <w:r w:rsidR="00B202FC" w:rsidRPr="00380B24">
        <w:rPr>
          <w:noProof/>
        </w:rPr>
        <w:t>the 2017 IA</w:t>
      </w:r>
      <w:r w:rsidRPr="00C57110">
        <w:rPr>
          <w:noProof/>
        </w:rPr>
        <w:t xml:space="preserve"> was </w:t>
      </w:r>
      <w:r w:rsidR="00B202FC" w:rsidRPr="00380B24">
        <w:rPr>
          <w:noProof/>
        </w:rPr>
        <w:t xml:space="preserve">twofold:  (i) </w:t>
      </w:r>
      <w:r w:rsidRPr="00C57110">
        <w:rPr>
          <w:noProof/>
        </w:rPr>
        <w:t xml:space="preserve">to assess whether the existing mandate and </w:t>
      </w:r>
      <w:r w:rsidR="00B202FC" w:rsidRPr="00380B24">
        <w:rPr>
          <w:noProof/>
        </w:rPr>
        <w:t>operations</w:t>
      </w:r>
      <w:r w:rsidRPr="00C57110">
        <w:rPr>
          <w:noProof/>
        </w:rPr>
        <w:t xml:space="preserve"> of the European Union Agency for Network and Information Security (ENISA) remained fit for purpose in a rapidly evolving threat and policy landscape</w:t>
      </w:r>
      <w:r w:rsidR="00B202FC" w:rsidRPr="00380B24">
        <w:rPr>
          <w:noProof/>
        </w:rPr>
        <w:t>,</w:t>
      </w:r>
      <w:r w:rsidRPr="00C57110">
        <w:rPr>
          <w:noProof/>
        </w:rPr>
        <w:t xml:space="preserve"> and</w:t>
      </w:r>
      <w:r w:rsidR="00B202FC" w:rsidRPr="00380B24">
        <w:rPr>
          <w:noProof/>
        </w:rPr>
        <w:t xml:space="preserve"> (ii)</w:t>
      </w:r>
      <w:r w:rsidRPr="00C57110">
        <w:rPr>
          <w:noProof/>
        </w:rPr>
        <w:t xml:space="preserve"> to determine the need for an EU-wide cybersecurity certification framework for ICT products and services. </w:t>
      </w:r>
      <w:r w:rsidR="00B202FC" w:rsidRPr="00380B24">
        <w:rPr>
          <w:noProof/>
        </w:rPr>
        <w:t>The 2017 IA</w:t>
      </w:r>
      <w:r w:rsidRPr="00C57110">
        <w:rPr>
          <w:noProof/>
        </w:rPr>
        <w:t xml:space="preserve"> was not only a legal requirement under the then ENISA Regulation</w:t>
      </w:r>
      <w:r w:rsidRPr="00C57110">
        <w:rPr>
          <w:rStyle w:val="FootnoteReference"/>
          <w:noProof/>
        </w:rPr>
        <w:footnoteReference w:id="271"/>
      </w:r>
      <w:r w:rsidRPr="00C57110">
        <w:rPr>
          <w:noProof/>
        </w:rPr>
        <w:t xml:space="preserve"> but also a response to the growing recognition that cyber threats were increasing in scale and complexity and that fragmented national approaches to cybersecurity and certification risked undermining both the internal market and the EU’s collective resilience.</w:t>
      </w:r>
    </w:p>
    <w:p w14:paraId="7D774612" w14:textId="77777777" w:rsidR="00D52AD8" w:rsidRPr="00C57110" w:rsidRDefault="00D52AD8" w:rsidP="00D52AD8">
      <w:pPr>
        <w:pStyle w:val="Heading2"/>
        <w:rPr>
          <w:noProof/>
          <w:szCs w:val="24"/>
        </w:rPr>
      </w:pPr>
      <w:bookmarkStart w:id="393" w:name="_Toc42093480"/>
      <w:bookmarkStart w:id="394" w:name="_Toc42093547"/>
      <w:bookmarkStart w:id="395" w:name="_Toc42093670"/>
      <w:bookmarkStart w:id="396" w:name="_Toc42093881"/>
      <w:bookmarkStart w:id="397" w:name="_Toc218702594"/>
      <w:bookmarkStart w:id="398" w:name="_Toc219039517"/>
      <w:bookmarkStart w:id="399" w:name="_Toc219447420"/>
      <w:r w:rsidRPr="00C57110">
        <w:rPr>
          <w:noProof/>
          <w:szCs w:val="24"/>
        </w:rPr>
        <w:t>Purpose and scope</w:t>
      </w:r>
      <w:bookmarkEnd w:id="393"/>
      <w:bookmarkEnd w:id="394"/>
      <w:bookmarkEnd w:id="395"/>
      <w:bookmarkEnd w:id="396"/>
      <w:r w:rsidRPr="00C57110">
        <w:rPr>
          <w:noProof/>
          <w:szCs w:val="24"/>
        </w:rPr>
        <w:t xml:space="preserve"> of the evaluation</w:t>
      </w:r>
      <w:bookmarkEnd w:id="397"/>
      <w:bookmarkEnd w:id="398"/>
      <w:bookmarkEnd w:id="399"/>
    </w:p>
    <w:p w14:paraId="63C80A1C" w14:textId="5E76A727" w:rsidR="00D52AD8" w:rsidRPr="00C57110" w:rsidRDefault="00D52AD8" w:rsidP="00D52AD8">
      <w:pPr>
        <w:rPr>
          <w:noProof/>
        </w:rPr>
      </w:pPr>
      <w:r w:rsidRPr="00C57110">
        <w:rPr>
          <w:noProof/>
        </w:rPr>
        <w:t xml:space="preserve">Building on the 2017 IA, this evaluation report examines the performance of ENISA and the European cybersecurity certification framework (ECCF) since the adoption of the </w:t>
      </w:r>
      <w:r w:rsidR="00B202FC" w:rsidRPr="00380B24">
        <w:rPr>
          <w:noProof/>
        </w:rPr>
        <w:t>CSA</w:t>
      </w:r>
      <w:r w:rsidRPr="00C57110">
        <w:rPr>
          <w:noProof/>
        </w:rPr>
        <w:t>. The evaluation was conducted in accordance with Article</w:t>
      </w:r>
      <w:r w:rsidR="00B202FC" w:rsidRPr="00380B24">
        <w:rPr>
          <w:noProof/>
        </w:rPr>
        <w:t> </w:t>
      </w:r>
      <w:r w:rsidRPr="00C57110">
        <w:rPr>
          <w:noProof/>
        </w:rPr>
        <w:t xml:space="preserve">114 of the Treaty on the Functioning of the European Union (TFEU), which provides the legal basis for EU action in this area, aiming </w:t>
      </w:r>
      <w:r w:rsidR="00B202FC" w:rsidRPr="00380B24">
        <w:rPr>
          <w:noProof/>
        </w:rPr>
        <w:t>to harmonise the</w:t>
      </w:r>
      <w:r w:rsidRPr="00C57110">
        <w:rPr>
          <w:noProof/>
        </w:rPr>
        <w:t xml:space="preserve"> laws of the Member States to ensure the proper functioning of the internal market. The internal market legal basis for ENISA has been recognised by the Court of Justice (C-217/04, judgment of 2</w:t>
      </w:r>
      <w:r w:rsidR="00B202FC" w:rsidRPr="00380B24">
        <w:rPr>
          <w:noProof/>
        </w:rPr>
        <w:t> </w:t>
      </w:r>
      <w:r w:rsidRPr="00C57110">
        <w:rPr>
          <w:noProof/>
        </w:rPr>
        <w:t xml:space="preserve">May 2006) and was further confirmed by the 2013 ENISA Regulation setting </w:t>
      </w:r>
      <w:r w:rsidR="00B202FC" w:rsidRPr="00380B24">
        <w:rPr>
          <w:noProof/>
        </w:rPr>
        <w:t xml:space="preserve">out ENISA's </w:t>
      </w:r>
      <w:r w:rsidRPr="00C57110">
        <w:rPr>
          <w:noProof/>
        </w:rPr>
        <w:t xml:space="preserve"> current mandate</w:t>
      </w:r>
      <w:r w:rsidR="00B202FC" w:rsidRPr="00380B24">
        <w:rPr>
          <w:noProof/>
        </w:rPr>
        <w:t>.</w:t>
      </w:r>
      <w:r w:rsidRPr="00C57110">
        <w:rPr>
          <w:noProof/>
        </w:rPr>
        <w:t xml:space="preserve"> Activities </w:t>
      </w:r>
      <w:r w:rsidR="00B202FC" w:rsidRPr="00380B24">
        <w:rPr>
          <w:noProof/>
        </w:rPr>
        <w:t>aimed at increasing</w:t>
      </w:r>
      <w:r w:rsidRPr="00C57110">
        <w:rPr>
          <w:noProof/>
        </w:rPr>
        <w:t xml:space="preserve"> cooperation and coordination and EU</w:t>
      </w:r>
      <w:r w:rsidR="00B202FC" w:rsidRPr="00380B24">
        <w:rPr>
          <w:noProof/>
        </w:rPr>
        <w:t>-</w:t>
      </w:r>
      <w:r w:rsidRPr="00C57110">
        <w:rPr>
          <w:noProof/>
        </w:rPr>
        <w:t>level capabilities to complement the action of Member States fall within the field of operational cooperation. This is specifically identified by the Directive (EU) 2016/1148 of the European Parliament and of the Council of 6</w:t>
      </w:r>
      <w:r w:rsidR="00B202FC" w:rsidRPr="00380B24">
        <w:rPr>
          <w:noProof/>
        </w:rPr>
        <w:t> </w:t>
      </w:r>
      <w:r w:rsidRPr="00C57110">
        <w:rPr>
          <w:noProof/>
        </w:rPr>
        <w:t>July 2016 concerning measures for a high common level of security of network and information systems across the Union (hereafter referred to as NIS Directive), for which Article</w:t>
      </w:r>
      <w:r w:rsidR="00B202FC" w:rsidRPr="00380B24">
        <w:rPr>
          <w:noProof/>
        </w:rPr>
        <w:t> </w:t>
      </w:r>
      <w:r w:rsidRPr="00C57110">
        <w:rPr>
          <w:noProof/>
        </w:rPr>
        <w:t>114 TFEU is the legal basis</w:t>
      </w:r>
      <w:r w:rsidR="00B202FC" w:rsidRPr="00380B24">
        <w:rPr>
          <w:noProof/>
        </w:rPr>
        <w:t>. The Directive identifies operational cooperation</w:t>
      </w:r>
      <w:r w:rsidRPr="00C57110">
        <w:rPr>
          <w:noProof/>
        </w:rPr>
        <w:t xml:space="preserve"> as an objective to be pursued </w:t>
      </w:r>
      <w:r w:rsidR="00B202FC" w:rsidRPr="00380B24">
        <w:rPr>
          <w:noProof/>
        </w:rPr>
        <w:t>by</w:t>
      </w:r>
      <w:r w:rsidRPr="00C57110">
        <w:rPr>
          <w:noProof/>
        </w:rPr>
        <w:t xml:space="preserve"> the Computer Security Incident Response Team Network (CSIRTs Network), </w:t>
      </w:r>
      <w:r w:rsidR="00B202FC" w:rsidRPr="00380B24">
        <w:rPr>
          <w:noProof/>
        </w:rPr>
        <w:t>with</w:t>
      </w:r>
      <w:r w:rsidRPr="00C57110">
        <w:rPr>
          <w:noProof/>
        </w:rPr>
        <w:t xml:space="preserve"> ENISA </w:t>
      </w:r>
      <w:r w:rsidR="00B202FC" w:rsidRPr="00380B24">
        <w:rPr>
          <w:noProof/>
        </w:rPr>
        <w:t>providing</w:t>
      </w:r>
      <w:r w:rsidRPr="00C57110">
        <w:rPr>
          <w:noProof/>
        </w:rPr>
        <w:t xml:space="preserve"> the secretariat and actively </w:t>
      </w:r>
      <w:r w:rsidR="00B202FC" w:rsidRPr="00380B24">
        <w:rPr>
          <w:noProof/>
        </w:rPr>
        <w:t>supporting</w:t>
      </w:r>
      <w:r w:rsidRPr="00C57110">
        <w:rPr>
          <w:noProof/>
        </w:rPr>
        <w:t xml:space="preserve"> cooperation (Article</w:t>
      </w:r>
      <w:r w:rsidR="00B202FC" w:rsidRPr="00380B24">
        <w:rPr>
          <w:noProof/>
        </w:rPr>
        <w:t> </w:t>
      </w:r>
      <w:r w:rsidRPr="00C57110">
        <w:rPr>
          <w:noProof/>
        </w:rPr>
        <w:t>12(1)). Article</w:t>
      </w:r>
      <w:r w:rsidR="00B202FC" w:rsidRPr="00380B24">
        <w:rPr>
          <w:noProof/>
        </w:rPr>
        <w:t> </w:t>
      </w:r>
      <w:r w:rsidRPr="00C57110">
        <w:rPr>
          <w:noProof/>
        </w:rPr>
        <w:t xml:space="preserve">12(f) further </w:t>
      </w:r>
      <w:r w:rsidR="00B202FC" w:rsidRPr="00380B24">
        <w:rPr>
          <w:noProof/>
        </w:rPr>
        <w:t>identifies the following</w:t>
      </w:r>
      <w:r w:rsidRPr="00C57110">
        <w:rPr>
          <w:noProof/>
        </w:rPr>
        <w:t xml:space="preserve"> as tasks of the CSIRT Network: identifying further forms of operational cooperation, including in relation to categories of risks and incidents, early warnings, mutual assistance and principles and modalities for coordination when Member States respond to cross-border risks and incidents. Article</w:t>
      </w:r>
      <w:r w:rsidR="00B202FC" w:rsidRPr="00380B24">
        <w:rPr>
          <w:noProof/>
        </w:rPr>
        <w:t> </w:t>
      </w:r>
      <w:r w:rsidRPr="00C57110">
        <w:rPr>
          <w:noProof/>
        </w:rPr>
        <w:t xml:space="preserve">11(3) under the NIS2 </w:t>
      </w:r>
      <w:r w:rsidR="00B202FC" w:rsidRPr="00380B24">
        <w:rPr>
          <w:noProof/>
        </w:rPr>
        <w:t>Directive</w:t>
      </w:r>
      <w:r w:rsidRPr="00C57110">
        <w:rPr>
          <w:rStyle w:val="FootnoteReference"/>
          <w:noProof/>
        </w:rPr>
        <w:footnoteReference w:id="272"/>
      </w:r>
      <w:r w:rsidR="00B202FC" w:rsidRPr="00380B24">
        <w:rPr>
          <w:noProof/>
        </w:rPr>
        <w:t xml:space="preserve"> also confirms this.</w:t>
      </w:r>
    </w:p>
    <w:p w14:paraId="0DDE51BC" w14:textId="77777777" w:rsidR="00B202FC" w:rsidRPr="00380B24" w:rsidRDefault="00B202FC" w:rsidP="00B202FC">
      <w:pPr>
        <w:rPr>
          <w:noProof/>
        </w:rPr>
      </w:pPr>
      <w:r w:rsidRPr="00380B24">
        <w:rPr>
          <w:noProof/>
        </w:rPr>
        <w:t>The 2017 IA covered the performance, governance and organisational structure of ENISA, focusing on the period from 2013 to 2016, also taking into account more recent developments and anticipated future needs. The 2017 IA examined ENISA’s support to Member States, its role in policy development and capacity building, its contribution to operational cooperation and its visibility and added value at both national and EU levels. In parallel, the IA addressed the emerging challenge of cybersecurity certification. It analysed the proliferation of national schemes, the lack of mutual recognition and the resulting risks of market fragmentation and increased compliance costs for businesses, particularly SMEs. The 2017 IA thus considered not only the effectiveness of ENISA’s existing mandate but also the potential benefits and design of an ECCF.</w:t>
      </w:r>
    </w:p>
    <w:p w14:paraId="24F261FB" w14:textId="77777777" w:rsidR="00B202FC" w:rsidRPr="00380B24" w:rsidRDefault="00B202FC" w:rsidP="00B202FC">
      <w:pPr>
        <w:rPr>
          <w:noProof/>
        </w:rPr>
      </w:pPr>
      <w:r w:rsidRPr="00380B24">
        <w:rPr>
          <w:noProof/>
        </w:rPr>
        <w:t xml:space="preserve">This evaluation assesses the extent to which the objectives of ENISA’s mandate and of the ECCF have been achieved, the effectiveness and efficiency of the measures implemented, their continued relevance, coherence with other EU policies and the added value of EU action. The evaluation addresses the main issues arising from the evolving cybersecurity landscape, such as the increasing number and sophistication of cyberattacks, the need for a high common level of cybersecurity across the EU and the fragmentation of certification schemes for ICT products and services. </w:t>
      </w:r>
    </w:p>
    <w:p w14:paraId="11841BF8" w14:textId="77777777" w:rsidR="00D52AD8" w:rsidRPr="00C57110" w:rsidRDefault="00D52AD8" w:rsidP="00D52AD8">
      <w:pPr>
        <w:rPr>
          <w:noProof/>
        </w:rPr>
      </w:pPr>
      <w:r w:rsidRPr="00C57110">
        <w:rPr>
          <w:noProof/>
        </w:rPr>
        <w:t>In line with the European Commission’s Better Regulation Guidelines, the evaluation applies all five compulsory criteria:</w:t>
      </w:r>
    </w:p>
    <w:p w14:paraId="1431BAA9" w14:textId="08F77E47" w:rsidR="00D52AD8" w:rsidRPr="00C57110" w:rsidRDefault="00D52AD8" w:rsidP="00D52AD8">
      <w:pPr>
        <w:pStyle w:val="ListParagraph"/>
        <w:numPr>
          <w:ilvl w:val="0"/>
          <w:numId w:val="140"/>
        </w:numPr>
        <w:rPr>
          <w:noProof/>
        </w:rPr>
      </w:pPr>
      <w:r w:rsidRPr="00C57110">
        <w:rPr>
          <w:b/>
          <w:bCs/>
          <w:noProof/>
        </w:rPr>
        <w:t>Relevance:</w:t>
      </w:r>
      <w:r w:rsidRPr="00C57110">
        <w:rPr>
          <w:noProof/>
        </w:rPr>
        <w:t xml:space="preserve"> Examining whether the </w:t>
      </w:r>
      <w:r w:rsidR="00B202FC" w:rsidRPr="00380B24">
        <w:rPr>
          <w:noProof/>
        </w:rPr>
        <w:t>action</w:t>
      </w:r>
      <w:r w:rsidRPr="00C57110">
        <w:rPr>
          <w:noProof/>
        </w:rPr>
        <w:t xml:space="preserve"> continues to address the needs of stakeholders in light of technological and threat developments.</w:t>
      </w:r>
    </w:p>
    <w:p w14:paraId="52D29666" w14:textId="77777777" w:rsidR="00D52AD8" w:rsidRPr="00C57110" w:rsidRDefault="00D52AD8" w:rsidP="00D52AD8">
      <w:pPr>
        <w:pStyle w:val="ListParagraph"/>
        <w:numPr>
          <w:ilvl w:val="0"/>
          <w:numId w:val="140"/>
        </w:numPr>
        <w:rPr>
          <w:noProof/>
        </w:rPr>
      </w:pPr>
      <w:r w:rsidRPr="00C57110">
        <w:rPr>
          <w:b/>
          <w:bCs/>
          <w:noProof/>
        </w:rPr>
        <w:t>Effectiveness:</w:t>
      </w:r>
      <w:r w:rsidRPr="00C57110">
        <w:rPr>
          <w:noProof/>
        </w:rPr>
        <w:t xml:space="preserve"> Assessing the extent to which the objectives of the existing framework have been achieved.</w:t>
      </w:r>
    </w:p>
    <w:p w14:paraId="73E098F3" w14:textId="77777777" w:rsidR="00D52AD8" w:rsidRPr="00C57110" w:rsidRDefault="00D52AD8" w:rsidP="00D52AD8">
      <w:pPr>
        <w:pStyle w:val="ListParagraph"/>
        <w:numPr>
          <w:ilvl w:val="0"/>
          <w:numId w:val="140"/>
        </w:numPr>
        <w:rPr>
          <w:noProof/>
        </w:rPr>
      </w:pPr>
      <w:r w:rsidRPr="00C57110">
        <w:rPr>
          <w:b/>
          <w:bCs/>
          <w:noProof/>
        </w:rPr>
        <w:t>Efficiency:</w:t>
      </w:r>
      <w:r w:rsidRPr="00C57110">
        <w:rPr>
          <w:noProof/>
        </w:rPr>
        <w:t xml:space="preserve"> Evaluating whether the resources invested are justified by the results obtained.</w:t>
      </w:r>
    </w:p>
    <w:p w14:paraId="0166330D" w14:textId="77777777" w:rsidR="00B202FC" w:rsidRPr="00380B24" w:rsidRDefault="00B202FC" w:rsidP="00B202FC">
      <w:pPr>
        <w:pStyle w:val="ListParagraph"/>
        <w:numPr>
          <w:ilvl w:val="0"/>
          <w:numId w:val="140"/>
        </w:numPr>
        <w:rPr>
          <w:noProof/>
        </w:rPr>
      </w:pPr>
      <w:r w:rsidRPr="00380B24">
        <w:rPr>
          <w:b/>
          <w:bCs/>
          <w:noProof/>
        </w:rPr>
        <w:t>Coherence:</w:t>
      </w:r>
      <w:r w:rsidRPr="00380B24">
        <w:rPr>
          <w:noProof/>
        </w:rPr>
        <w:t xml:space="preserve"> Analysing both internal coherence across the various provisions of the CSA, including ENISA’s mandate and the ECCF, and external coherence in relation to other EU legislation such as Directive (EU) 2016/1148 of the European Parliament and of the Council of 6 July 2016 concerning measures for a high common level of security of network and information systems across the Union, later replaced by Directive (EU) 2022/2555 of the European Parliament and of the Council of 14 December 2022 on measures for a high common level of cybersecurity across the Union (NIS1 &amp; NIS2 Directive), Regulation (EU) 2016/679 of the European Parliament and of the Council of 27 April 2016 on the protection of natural persons with regard to the processing of personal data and on the free movement of such data, and repealing Directive 95/46/EC (the General Data Protection Regulation or GDPR), Regulation (EU) No 910/2014 of the European Parliament and of the Council of 23 July 2014 on electronic identification and trust services for electronic transactions in the internal market and repealing Directive 1999/93/EC (the eIDAS Regulation), and sectoral rules. </w:t>
      </w:r>
    </w:p>
    <w:p w14:paraId="02AF1945" w14:textId="19B42DFB" w:rsidR="00D52AD8" w:rsidRPr="00C57110" w:rsidRDefault="00D52AD8" w:rsidP="00D52AD8">
      <w:pPr>
        <w:pStyle w:val="ListParagraph"/>
        <w:numPr>
          <w:ilvl w:val="0"/>
          <w:numId w:val="140"/>
        </w:numPr>
        <w:rPr>
          <w:noProof/>
        </w:rPr>
      </w:pPr>
      <w:r w:rsidRPr="00C57110">
        <w:rPr>
          <w:b/>
          <w:bCs/>
          <w:noProof/>
        </w:rPr>
        <w:t>EU added value:</w:t>
      </w:r>
      <w:r w:rsidRPr="00C57110">
        <w:rPr>
          <w:noProof/>
        </w:rPr>
        <w:t xml:space="preserve"> Considering whether action at </w:t>
      </w:r>
      <w:r w:rsidR="00B202FC" w:rsidRPr="00380B24">
        <w:rPr>
          <w:noProof/>
        </w:rPr>
        <w:t>EU</w:t>
      </w:r>
      <w:r w:rsidRPr="00C57110">
        <w:rPr>
          <w:noProof/>
        </w:rPr>
        <w:t xml:space="preserve"> level provides benefits that could not be achieved by Member States acting alone, particularly in terms of reducing fragmentation and supporting the functioning of the internal market.</w:t>
      </w:r>
    </w:p>
    <w:p w14:paraId="12691295" w14:textId="3054B4E6" w:rsidR="00D52AD8" w:rsidRPr="00C57110" w:rsidRDefault="00D52AD8" w:rsidP="00D52AD8">
      <w:pPr>
        <w:rPr>
          <w:noProof/>
        </w:rPr>
      </w:pPr>
      <w:r w:rsidRPr="00C57110">
        <w:rPr>
          <w:noProof/>
        </w:rPr>
        <w:t>The methodology for this evaluation combines a review of legal and policy documents, ENISA’s annual reports and technical studies, along with other grey literature, with both quantitative and qualitative data analysis. The evidence base is further strengthened by stakeholder consultation, a call for evidence, targeted surveys, interviews and workshops involving public authorities, EU institutions, industry, academia, civil society and individual citizens</w:t>
      </w:r>
      <w:r w:rsidR="00B202FC" w:rsidRPr="00380B24">
        <w:rPr>
          <w:noProof/>
        </w:rPr>
        <w:t>.</w:t>
      </w:r>
      <w:r w:rsidRPr="00C57110">
        <w:rPr>
          <w:noProof/>
        </w:rPr>
        <w:t xml:space="preserve"> Where possible, the assessment benchmarks EU approaches against international best practices and considers the coherence of measures with other relevant policies.</w:t>
      </w:r>
    </w:p>
    <w:p w14:paraId="63FA9F8B" w14:textId="3CACB6AB" w:rsidR="00D52AD8" w:rsidRPr="00C57110" w:rsidRDefault="00D52AD8" w:rsidP="00D52AD8">
      <w:pPr>
        <w:rPr>
          <w:noProof/>
        </w:rPr>
      </w:pPr>
      <w:r w:rsidRPr="00C57110">
        <w:rPr>
          <w:noProof/>
        </w:rPr>
        <w:t xml:space="preserve">Despite its </w:t>
      </w:r>
      <w:r w:rsidR="00B202FC" w:rsidRPr="00380B24">
        <w:rPr>
          <w:noProof/>
        </w:rPr>
        <w:t xml:space="preserve">broad </w:t>
      </w:r>
      <w:r w:rsidRPr="00C57110">
        <w:rPr>
          <w:noProof/>
        </w:rPr>
        <w:t xml:space="preserve">evidence base, the evaluation </w:t>
      </w:r>
      <w:r w:rsidR="00B202FC" w:rsidRPr="00380B24">
        <w:rPr>
          <w:noProof/>
        </w:rPr>
        <w:t>has</w:t>
      </w:r>
      <w:r w:rsidRPr="00C57110">
        <w:rPr>
          <w:noProof/>
        </w:rPr>
        <w:t xml:space="preserve"> several limitations. Data gaps persist in certain areas, particularly regarding the uptake and impact of certification schemes and the experiences of small and medium enterprises (SMEs) and end-users. The dynamic nature of the cybersecurity landscape and the concurrent evolution of related EU policies make it challenging to </w:t>
      </w:r>
      <w:r w:rsidR="00B202FC" w:rsidRPr="00380B24">
        <w:rPr>
          <w:noProof/>
        </w:rPr>
        <w:t xml:space="preserve">decide whether to </w:t>
      </w:r>
      <w:r w:rsidRPr="00C57110">
        <w:rPr>
          <w:noProof/>
        </w:rPr>
        <w:t>attribute observed impacts solely to ENISA or to the certification framework. Furthermore, the representativeness of some stakeholder consultations is limited by the relatively low participation of certain groups.</w:t>
      </w:r>
    </w:p>
    <w:p w14:paraId="20C777EE" w14:textId="48E8932A" w:rsidR="00D52AD8" w:rsidRPr="00C57110" w:rsidRDefault="00D52AD8" w:rsidP="00D52AD8">
      <w:pPr>
        <w:rPr>
          <w:noProof/>
        </w:rPr>
      </w:pPr>
      <w:r w:rsidRPr="00C57110">
        <w:rPr>
          <w:noProof/>
        </w:rPr>
        <w:t>The evaluation covers the period between 2019 and 2023. More recent developments, such as the Cyber Resilience Act (Regulation (EU) 2024/2847), could only partly be considered. The geographical scope includes all EU Member States, as well as countries participating in relevant EU cybersecurity initiatives, such as those in the European Economic Area and the European Free Trade Association and Horizon 2020</w:t>
      </w:r>
      <w:r w:rsidR="00B202FC" w:rsidRPr="00380B24">
        <w:rPr>
          <w:noProof/>
        </w:rPr>
        <w:t>-</w:t>
      </w:r>
      <w:r w:rsidRPr="00C57110">
        <w:rPr>
          <w:noProof/>
        </w:rPr>
        <w:t>associated countries. The methodology and its limitations are described in detail in Annex II to the evaluation report.</w:t>
      </w:r>
    </w:p>
    <w:p w14:paraId="1F50B689" w14:textId="77777777" w:rsidR="00D52AD8" w:rsidRPr="00C57110" w:rsidRDefault="00D52AD8" w:rsidP="00D52AD8">
      <w:pPr>
        <w:rPr>
          <w:noProof/>
        </w:rPr>
      </w:pPr>
      <w:r w:rsidRPr="00C57110">
        <w:rPr>
          <w:noProof/>
        </w:rPr>
        <w:br w:type="page"/>
      </w:r>
    </w:p>
    <w:p w14:paraId="76776DC6" w14:textId="77777777" w:rsidR="00D52AD8" w:rsidRPr="00C57110" w:rsidRDefault="00D52AD8" w:rsidP="00D52AD8">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00" w:name="_Toc42093672"/>
      <w:bookmarkStart w:id="401" w:name="_Toc42093883"/>
      <w:bookmarkStart w:id="402" w:name="_Toc218702595"/>
      <w:bookmarkStart w:id="403" w:name="_Toc219039518"/>
      <w:bookmarkStart w:id="404" w:name="_Toc219447421"/>
      <w:r w:rsidRPr="00C57110">
        <w:rPr>
          <w:noProof/>
          <w:szCs w:val="24"/>
        </w:rPr>
        <w:t>What was the expected outcome of the intervention?</w:t>
      </w:r>
      <w:bookmarkEnd w:id="400"/>
      <w:bookmarkEnd w:id="401"/>
      <w:bookmarkEnd w:id="402"/>
      <w:bookmarkEnd w:id="403"/>
      <w:bookmarkEnd w:id="404"/>
    </w:p>
    <w:p w14:paraId="1510B736" w14:textId="77777777" w:rsidR="00B202FC" w:rsidRPr="00380B24" w:rsidRDefault="00B202FC" w:rsidP="00B202FC">
      <w:pPr>
        <w:pStyle w:val="Text1"/>
        <w:ind w:left="0"/>
        <w:rPr>
          <w:noProof/>
        </w:rPr>
      </w:pPr>
      <w:r w:rsidRPr="00380B24">
        <w:rPr>
          <w:noProof/>
        </w:rPr>
        <w:t>This Chapter introduces the EU’s action on cybersecurity as it falls within the scope of this evaluation, outlining its objectives, logic and the baseline conditions that shaped its design. The chapter explains how the CSA and the establishment of ENISA’s mandate and the ECCF were intended to address persistent fragmentation, inconsistent protection and market barriers across Member States, based on the 2017 IA. By reconstructing the state of play prior to the CSA, this chapter provides the necessary context for evaluating the effectiveness and impact of the action in subsequent sections.</w:t>
      </w:r>
    </w:p>
    <w:p w14:paraId="3D515B13" w14:textId="77777777" w:rsidR="00B202FC" w:rsidRPr="00380B24" w:rsidRDefault="00B202FC" w:rsidP="00B202FC">
      <w:pPr>
        <w:pStyle w:val="Heading2"/>
        <w:numPr>
          <w:ilvl w:val="1"/>
          <w:numId w:val="139"/>
        </w:numPr>
        <w:ind w:left="1440"/>
        <w:rPr>
          <w:noProof/>
          <w:szCs w:val="24"/>
        </w:rPr>
      </w:pPr>
      <w:bookmarkStart w:id="405" w:name="_Toc218702596"/>
      <w:bookmarkStart w:id="406" w:name="_Toc219039519"/>
      <w:bookmarkStart w:id="407" w:name="_Toc219447422"/>
      <w:r w:rsidRPr="00380B24">
        <w:rPr>
          <w:noProof/>
          <w:szCs w:val="24"/>
        </w:rPr>
        <w:t>Description of the intervention and its objectives</w:t>
      </w:r>
      <w:bookmarkEnd w:id="405"/>
      <w:bookmarkEnd w:id="406"/>
      <w:bookmarkEnd w:id="407"/>
    </w:p>
    <w:p w14:paraId="751FB42D" w14:textId="77777777" w:rsidR="00B202FC" w:rsidRPr="00380B24" w:rsidRDefault="00B202FC" w:rsidP="00B202FC">
      <w:pPr>
        <w:rPr>
          <w:noProof/>
        </w:rPr>
      </w:pPr>
      <w:r w:rsidRPr="00380B24">
        <w:rPr>
          <w:noProof/>
        </w:rPr>
        <w:t>The CSA, adopted in 2019, was designed to address persistent fragmentation and insufficient coordination in the EU’s approach to cybersecurity. The preceding IA identified the need for a more coherent EU-wide approach, as existing legislation such as the NIS Directive, GDPR and eIDAS Regulation had resulted in a patchwork of national policies and certification schemes. This fragmentation undermined both the resilience of the internal market and the competitiveness of European industry.</w:t>
      </w:r>
    </w:p>
    <w:p w14:paraId="5C501F1A" w14:textId="77777777" w:rsidR="00B202FC" w:rsidRPr="00380B24" w:rsidRDefault="00B202FC" w:rsidP="00B202FC">
      <w:pPr>
        <w:rPr>
          <w:noProof/>
        </w:rPr>
      </w:pPr>
      <w:r w:rsidRPr="00380B24">
        <w:rPr>
          <w:noProof/>
        </w:rPr>
        <w:t>The preferred options were a ‘reformed ENISA’ (Option 2) and the establishment of an EU general ICT security certification framework (Option 3). The explanatory memorandum confirms that these options were fully taken on board in the final CSA. ENISA was granted a permanent mandate and a central role in the EU cybersecurity ecosystem, with expanded responsibilities to support policy implementation, capacity building, support for operational cooperation and certification. The CSA also established the ECCF, aiming to harmonise certification schemes across the EU, reduce costs and administrative burdens and increase trust in ICT products, processes and services.</w:t>
      </w:r>
    </w:p>
    <w:p w14:paraId="08C612EC" w14:textId="77777777" w:rsidR="00B202FC" w:rsidRPr="00380B24" w:rsidRDefault="00B202FC" w:rsidP="00B202FC">
      <w:pPr>
        <w:rPr>
          <w:noProof/>
        </w:rPr>
      </w:pPr>
      <w:r w:rsidRPr="00380B24">
        <w:rPr>
          <w:noProof/>
        </w:rPr>
        <w:t>These actions were intended to address several interrelated problems. Fragmentation of cybersecurity policies and national certification schemes across Member States led to inconsistent levels of protection and market barriers. There were also dispersed resources and approaches among EU institutions, agencies and bodies, as well as insufficient awareness and information among citizens and businesses regarding cyber threats and the security properties of ICT products and services.</w:t>
      </w:r>
    </w:p>
    <w:p w14:paraId="31D09F7B" w14:textId="77777777" w:rsidR="00B202FC" w:rsidRPr="00380B24" w:rsidRDefault="00B202FC" w:rsidP="00B202FC">
      <w:pPr>
        <w:rPr>
          <w:noProof/>
        </w:rPr>
      </w:pPr>
      <w:r w:rsidRPr="00380B24">
        <w:rPr>
          <w:noProof/>
        </w:rPr>
        <w:t xml:space="preserve">To tackle these problems, the following objectives were agreed upon:  </w:t>
      </w:r>
    </w:p>
    <w:p w14:paraId="2B8310EB" w14:textId="77777777" w:rsidR="00B202FC" w:rsidRPr="00380B24" w:rsidRDefault="00B202FC" w:rsidP="00B202FC">
      <w:pPr>
        <w:pStyle w:val="ListParagraph"/>
        <w:numPr>
          <w:ilvl w:val="0"/>
          <w:numId w:val="188"/>
        </w:numPr>
        <w:rPr>
          <w:noProof/>
        </w:rPr>
      </w:pPr>
      <w:r w:rsidRPr="00380B24">
        <w:rPr>
          <w:noProof/>
        </w:rPr>
        <w:t xml:space="preserve">increase capabilities and preparedness of Member States and businesses, </w:t>
      </w:r>
    </w:p>
    <w:p w14:paraId="5E2CDC0A" w14:textId="77777777" w:rsidR="00B202FC" w:rsidRPr="00380B24" w:rsidRDefault="00B202FC" w:rsidP="00B202FC">
      <w:pPr>
        <w:pStyle w:val="ListParagraph"/>
        <w:numPr>
          <w:ilvl w:val="0"/>
          <w:numId w:val="188"/>
        </w:numPr>
        <w:rPr>
          <w:noProof/>
        </w:rPr>
      </w:pPr>
      <w:r w:rsidRPr="00380B24">
        <w:rPr>
          <w:noProof/>
        </w:rPr>
        <w:t xml:space="preserve">improve cooperation and coordination across Member States and EU institutions, agencies and bodies  </w:t>
      </w:r>
    </w:p>
    <w:p w14:paraId="7A024F36" w14:textId="77777777" w:rsidR="00B202FC" w:rsidRPr="00380B24" w:rsidRDefault="00B202FC" w:rsidP="00B202FC">
      <w:pPr>
        <w:pStyle w:val="ListParagraph"/>
        <w:numPr>
          <w:ilvl w:val="0"/>
          <w:numId w:val="188"/>
        </w:numPr>
        <w:rPr>
          <w:noProof/>
        </w:rPr>
      </w:pPr>
      <w:r w:rsidRPr="00380B24">
        <w:rPr>
          <w:noProof/>
        </w:rPr>
        <w:t>enhance EU-level operational capacity, particularly in the case of cross-border cyber crises</w:t>
      </w:r>
    </w:p>
    <w:p w14:paraId="45A5B3D1" w14:textId="77777777" w:rsidR="00B202FC" w:rsidRPr="00380B24" w:rsidRDefault="00B202FC" w:rsidP="00B202FC">
      <w:pPr>
        <w:pStyle w:val="ListParagraph"/>
        <w:numPr>
          <w:ilvl w:val="0"/>
          <w:numId w:val="188"/>
        </w:numPr>
        <w:rPr>
          <w:noProof/>
        </w:rPr>
      </w:pPr>
      <w:r w:rsidRPr="00380B24">
        <w:rPr>
          <w:noProof/>
        </w:rPr>
        <w:t xml:space="preserve">raise awareness of cybersecurity issues among citizens and businesses, </w:t>
      </w:r>
    </w:p>
    <w:p w14:paraId="00F033AB" w14:textId="77777777" w:rsidR="00B202FC" w:rsidRPr="00380B24" w:rsidRDefault="00B202FC" w:rsidP="00B202FC">
      <w:pPr>
        <w:pStyle w:val="ListParagraph"/>
        <w:numPr>
          <w:ilvl w:val="0"/>
          <w:numId w:val="188"/>
        </w:numPr>
        <w:rPr>
          <w:noProof/>
        </w:rPr>
      </w:pPr>
      <w:r w:rsidRPr="00380B24">
        <w:rPr>
          <w:noProof/>
        </w:rPr>
        <w:t xml:space="preserve">increase transparency of cybersecurity assurance for ICT products, services and processes and </w:t>
      </w:r>
    </w:p>
    <w:p w14:paraId="19FAD953" w14:textId="77777777" w:rsidR="00B202FC" w:rsidRPr="00380B24" w:rsidRDefault="00B202FC" w:rsidP="00B202FC">
      <w:pPr>
        <w:pStyle w:val="ListParagraph"/>
        <w:numPr>
          <w:ilvl w:val="0"/>
          <w:numId w:val="188"/>
        </w:numPr>
        <w:rPr>
          <w:noProof/>
        </w:rPr>
      </w:pPr>
      <w:r w:rsidRPr="00380B24">
        <w:rPr>
          <w:noProof/>
        </w:rPr>
        <w:t>avoid further fragmentation of certification schemes and related requirements across the EU.</w:t>
      </w:r>
    </w:p>
    <w:p w14:paraId="47701374" w14:textId="77777777" w:rsidR="00B202FC" w:rsidRPr="00380B24" w:rsidRDefault="00B202FC" w:rsidP="00B202FC">
      <w:pPr>
        <w:rPr>
          <w:noProof/>
        </w:rPr>
      </w:pPr>
      <w:r w:rsidRPr="00380B24">
        <w:rPr>
          <w:noProof/>
        </w:rPr>
        <w:t>At the time of adoption, the expected achievements were clear. The CSA was expected to deliver a more harmonised and resilient cybersecurity landscape, with ENISA acting as a centre of expertise, supporting policy implementation, capacity building and operational cooperation. The ECCF was expected to streamline certification processes and reduce costs by up to 80% for certain products. The intervention logic was that by empowering ENISA and establishing a harmonised certification framework, the EU would be better equipped to respond to cyber threats, support the digital single market and protect citizens and businesses. Success was expected to be reflected in a more harmonised and resilient cybersecurity landscape, with reduced costs and barriers for businesses and increased trust and awareness among users.</w:t>
      </w:r>
    </w:p>
    <w:p w14:paraId="31A7275D" w14:textId="77777777" w:rsidR="00B202FC" w:rsidRPr="00380B24" w:rsidRDefault="00B202FC" w:rsidP="00B202FC">
      <w:pPr>
        <w:rPr>
          <w:noProof/>
        </w:rPr>
      </w:pPr>
      <w:r w:rsidRPr="00380B24">
        <w:rPr>
          <w:noProof/>
        </w:rPr>
        <w:t>The strategic objective of the intervention logic for the EU cybersecurity certification scheme was formulated as follows: Create a European ICT Security Certification Framework that at the same time, avoids the fragmentation resulting from different approaches across European Union and is as close as possible up to international standards in order to reduce trade hindrances.</w:t>
      </w:r>
    </w:p>
    <w:p w14:paraId="610851DA" w14:textId="1D629251" w:rsidR="00D52AD8" w:rsidRPr="00C57110" w:rsidRDefault="00D52AD8" w:rsidP="00D52AD8">
      <w:pPr>
        <w:rPr>
          <w:noProof/>
        </w:rPr>
      </w:pPr>
      <w:r w:rsidRPr="00C57110">
        <w:rPr>
          <w:noProof/>
        </w:rPr>
        <w:t xml:space="preserve">Quantitatively, according to the 2017 IA, before </w:t>
      </w:r>
      <w:r w:rsidR="00B202FC" w:rsidRPr="00380B24">
        <w:rPr>
          <w:noProof/>
        </w:rPr>
        <w:t>action was taken</w:t>
      </w:r>
      <w:r w:rsidRPr="00C57110">
        <w:rPr>
          <w:noProof/>
        </w:rPr>
        <w:t>, certification costs for products like smart meters could exceed EUR</w:t>
      </w:r>
      <w:r w:rsidR="00B202FC" w:rsidRPr="00380B24">
        <w:rPr>
          <w:noProof/>
        </w:rPr>
        <w:t> </w:t>
      </w:r>
      <w:r w:rsidRPr="00C57110">
        <w:rPr>
          <w:noProof/>
        </w:rPr>
        <w:t>300</w:t>
      </w:r>
      <w:r w:rsidR="00B202FC" w:rsidRPr="00380B24">
        <w:rPr>
          <w:noProof/>
        </w:rPr>
        <w:t> </w:t>
      </w:r>
      <w:r w:rsidRPr="00C57110">
        <w:rPr>
          <w:noProof/>
        </w:rPr>
        <w:t>000 for two markets, with processes taking six to eighteen months. For cloud services, compliance costs were estimated at EUR</w:t>
      </w:r>
      <w:r w:rsidR="00B202FC" w:rsidRPr="00380B24">
        <w:rPr>
          <w:noProof/>
        </w:rPr>
        <w:t> </w:t>
      </w:r>
      <w:r w:rsidRPr="00C57110">
        <w:rPr>
          <w:noProof/>
        </w:rPr>
        <w:t>1.2 billion, representing up to 10% of annual expenditures and certification could take up to nine months. The CSA aimed to reduce these costs by up to 80% for smart meters and to achieve yearly savings of EUR</w:t>
      </w:r>
      <w:r w:rsidR="00B202FC" w:rsidRPr="00380B24">
        <w:rPr>
          <w:noProof/>
        </w:rPr>
        <w:t> </w:t>
      </w:r>
      <w:r w:rsidRPr="00C57110">
        <w:rPr>
          <w:noProof/>
        </w:rPr>
        <w:t>1.1 billion in the EU public sector for cloud services, with certification times reduced to four to six months.</w:t>
      </w:r>
    </w:p>
    <w:p w14:paraId="17390212" w14:textId="77777777" w:rsidR="00D52AD8" w:rsidRPr="00C57110" w:rsidRDefault="00D52AD8" w:rsidP="00D52AD8">
      <w:pPr>
        <w:pStyle w:val="Heading2"/>
        <w:numPr>
          <w:ilvl w:val="1"/>
          <w:numId w:val="139"/>
        </w:numPr>
        <w:ind w:left="1440"/>
        <w:rPr>
          <w:noProof/>
          <w:szCs w:val="24"/>
        </w:rPr>
      </w:pPr>
      <w:bookmarkStart w:id="408" w:name="_Toc42093484"/>
      <w:bookmarkStart w:id="409" w:name="_Toc42093551"/>
      <w:bookmarkStart w:id="410" w:name="_Toc42093674"/>
      <w:bookmarkStart w:id="411" w:name="_Toc42093885"/>
      <w:bookmarkStart w:id="412" w:name="_Toc218702597"/>
      <w:bookmarkStart w:id="413" w:name="_Toc219039520"/>
      <w:bookmarkStart w:id="414" w:name="_Toc219447423"/>
      <w:r w:rsidRPr="00C57110">
        <w:rPr>
          <w:noProof/>
          <w:szCs w:val="24"/>
        </w:rPr>
        <w:t>Point(s) of comparison</w:t>
      </w:r>
      <w:bookmarkEnd w:id="408"/>
      <w:bookmarkEnd w:id="409"/>
      <w:bookmarkEnd w:id="410"/>
      <w:bookmarkEnd w:id="411"/>
      <w:bookmarkEnd w:id="412"/>
      <w:bookmarkEnd w:id="413"/>
      <w:bookmarkEnd w:id="414"/>
      <w:r w:rsidRPr="00C57110">
        <w:rPr>
          <w:noProof/>
          <w:szCs w:val="24"/>
        </w:rPr>
        <w:t xml:space="preserve"> </w:t>
      </w:r>
    </w:p>
    <w:p w14:paraId="4473217E" w14:textId="77777777" w:rsidR="00B202FC" w:rsidRPr="00380B24" w:rsidRDefault="00B202FC" w:rsidP="00B202FC">
      <w:pPr>
        <w:rPr>
          <w:noProof/>
        </w:rPr>
      </w:pPr>
      <w:r w:rsidRPr="00380B24">
        <w:rPr>
          <w:noProof/>
        </w:rPr>
        <w:t>This section reconstructs the state of play in the EU as of 2017, drawing on the 2017 IA and its supporting studies, stakeholders’ consultations and economic analyses. The baseline scenario reflects the situation before the adoption of the CSA and serves as the main point of comparison for assessing subsequent developments. It covers ENISA’s status and resources, the certification landscape, relevant market and economic data, as well as stakeholder perceptions and consultation data.</w:t>
      </w:r>
    </w:p>
    <w:p w14:paraId="0CCEBF8C" w14:textId="77777777" w:rsidR="00D52AD8" w:rsidRPr="00C57110" w:rsidRDefault="00D52AD8" w:rsidP="00D52AD8">
      <w:pPr>
        <w:rPr>
          <w:b/>
          <w:bCs/>
          <w:noProof/>
        </w:rPr>
      </w:pPr>
      <w:r w:rsidRPr="00C57110">
        <w:rPr>
          <w:b/>
          <w:bCs/>
          <w:noProof/>
        </w:rPr>
        <w:t>ENISA’s status and resources</w:t>
      </w:r>
    </w:p>
    <w:p w14:paraId="7297092B" w14:textId="69940205" w:rsidR="00D52AD8" w:rsidRPr="00C57110" w:rsidRDefault="00D52AD8" w:rsidP="00D52AD8">
      <w:pPr>
        <w:rPr>
          <w:noProof/>
        </w:rPr>
      </w:pPr>
      <w:r w:rsidRPr="00C57110">
        <w:rPr>
          <w:noProof/>
        </w:rPr>
        <w:t xml:space="preserve">In 2017, ENISA was operating under a fixed-term mandate that was due to expire in 2020. </w:t>
      </w:r>
      <w:r w:rsidR="00B202FC" w:rsidRPr="00380B24">
        <w:rPr>
          <w:noProof/>
        </w:rPr>
        <w:t>Its</w:t>
      </w:r>
      <w:r w:rsidRPr="00C57110">
        <w:rPr>
          <w:noProof/>
        </w:rPr>
        <w:t xml:space="preserve"> annual EU contribution was EUR</w:t>
      </w:r>
      <w:r w:rsidR="00B202FC" w:rsidRPr="00380B24">
        <w:rPr>
          <w:noProof/>
        </w:rPr>
        <w:t> </w:t>
      </w:r>
      <w:r w:rsidRPr="00C57110">
        <w:rPr>
          <w:noProof/>
        </w:rPr>
        <w:t>10.3 million and it had an authorised establishment plan of 48 staff members, making it one of the smallest EU agencies in terms of both budget and personnel. Despite its broad mandate, which included support for policy development and implementation, capacity building, community building and support for operational cooperation, ENISA’s resources were widely recognised as insufficient to meet the growing and evolving demands from Member States, EU institutions and the private sector.</w:t>
      </w:r>
    </w:p>
    <w:p w14:paraId="014F7A8C" w14:textId="77777777" w:rsidR="00B202FC" w:rsidRPr="00380B24" w:rsidRDefault="00B202FC" w:rsidP="00B202FC">
      <w:pPr>
        <w:rPr>
          <w:noProof/>
        </w:rPr>
      </w:pPr>
      <w:r w:rsidRPr="00380B24">
        <w:rPr>
          <w:noProof/>
        </w:rPr>
        <w:t>When ENISA’s performance was evaluated for the period 2013-2016, it was found to be relevant and efficient to a large extent, but its effectiveness, coherence and EU added value were only partially achieved. The fixed-term mandate was a significant limitation, as it prevented long-term planning and sustainable support for Member States and EU institutions. Furthermore, ENISA’s ability to recruit and retain highly qualified experts was hampered by its location (split between Athens and Heraklion) and the predominance of fixed-term contracts, which made it less attractive compared to other agencies or the private sector.</w:t>
      </w:r>
    </w:p>
    <w:p w14:paraId="611CFC4A" w14:textId="77777777" w:rsidR="00B202FC" w:rsidRPr="00380B24" w:rsidRDefault="00B202FC" w:rsidP="00B202FC">
      <w:pPr>
        <w:rPr>
          <w:noProof/>
        </w:rPr>
      </w:pPr>
      <w:r w:rsidRPr="00380B24">
        <w:rPr>
          <w:noProof/>
        </w:rPr>
        <w:t>Stakeholder consultations reinforced these findings. A majority of respondents considered ENISA’s size insufficient for its workload. There was a broad consensus that both its resources and mandate needed to be adapted to enable it to support Member States in facing future cybersecurity challenges. While ENISA’s activities were generally coherent with those of other organisations, there was a clear need for a more coordinated approach at EU level. The agency’s main added value was seen in its ability to enhance cooperation between Member States and communities under the NIS Directive, but its impact was limited by its scale and temporary mandate.</w:t>
      </w:r>
    </w:p>
    <w:p w14:paraId="30077BE6" w14:textId="77777777" w:rsidR="00B202FC" w:rsidRPr="00380B24" w:rsidRDefault="00B202FC" w:rsidP="00B202FC">
      <w:pPr>
        <w:keepNext/>
        <w:rPr>
          <w:b/>
          <w:bCs/>
          <w:noProof/>
        </w:rPr>
      </w:pPr>
      <w:r w:rsidRPr="00380B24">
        <w:rPr>
          <w:b/>
          <w:bCs/>
          <w:noProof/>
        </w:rPr>
        <w:t>Certification landscape</w:t>
      </w:r>
    </w:p>
    <w:p w14:paraId="2A2903C4" w14:textId="77777777" w:rsidR="00B202FC" w:rsidRPr="00380B24" w:rsidRDefault="00B202FC" w:rsidP="00B202FC">
      <w:pPr>
        <w:rPr>
          <w:noProof/>
        </w:rPr>
      </w:pPr>
      <w:r w:rsidRPr="00380B24">
        <w:rPr>
          <w:noProof/>
        </w:rPr>
        <w:t>The certification landscape in the EU in 2017 was highly fragmented and complex. Multiple national and sectoral certification schemes existed. Manufacturers often had to certify the same product multiple times to access different national markets. For example, according to the 2017 IA</w:t>
      </w:r>
      <w:r w:rsidRPr="00380B24">
        <w:rPr>
          <w:rStyle w:val="FootnoteReference"/>
          <w:noProof/>
        </w:rPr>
        <w:footnoteReference w:id="273"/>
      </w:r>
      <w:r w:rsidRPr="00380B24">
        <w:rPr>
          <w:noProof/>
        </w:rPr>
        <w:t>, smart meter manufacturers faced costs of around EUR 1 million to certify products in three countries, a barrier particularly penalised SMEs.</w:t>
      </w:r>
    </w:p>
    <w:p w14:paraId="6D3F53C4" w14:textId="6E1E566D" w:rsidR="00D52AD8" w:rsidRPr="00C57110" w:rsidRDefault="00D52AD8" w:rsidP="00D52AD8">
      <w:pPr>
        <w:rPr>
          <w:noProof/>
        </w:rPr>
      </w:pPr>
      <w:r w:rsidRPr="00C57110">
        <w:rPr>
          <w:noProof/>
        </w:rPr>
        <w:t>The SOG-IS Mutual Recognition Agreement (MRA) was the main European mechanism for certification, but it only included 12 Member States plus Norway and was limited to a few protection profiles for certain digital products. Certification processes were lengthy and costly: a CC certificate for the lowest assurance level could take six months and cost EUR</w:t>
      </w:r>
      <w:r w:rsidR="00B202FC" w:rsidRPr="00380B24">
        <w:rPr>
          <w:noProof/>
        </w:rPr>
        <w:t> </w:t>
      </w:r>
      <w:r w:rsidRPr="00C57110">
        <w:rPr>
          <w:noProof/>
        </w:rPr>
        <w:t>20</w:t>
      </w:r>
      <w:r w:rsidR="00B202FC" w:rsidRPr="00380B24">
        <w:rPr>
          <w:noProof/>
        </w:rPr>
        <w:t> </w:t>
      </w:r>
      <w:r w:rsidRPr="00C57110">
        <w:rPr>
          <w:noProof/>
        </w:rPr>
        <w:t>000, while higher assurance levels could take up to two years and cost at least EUR</w:t>
      </w:r>
      <w:r w:rsidR="00B202FC" w:rsidRPr="00380B24">
        <w:rPr>
          <w:noProof/>
        </w:rPr>
        <w:t> </w:t>
      </w:r>
      <w:r w:rsidRPr="00C57110">
        <w:rPr>
          <w:noProof/>
        </w:rPr>
        <w:t>500</w:t>
      </w:r>
      <w:r w:rsidR="00B202FC" w:rsidRPr="00380B24">
        <w:rPr>
          <w:noProof/>
        </w:rPr>
        <w:t> </w:t>
      </w:r>
      <w:r w:rsidRPr="00C57110">
        <w:rPr>
          <w:noProof/>
        </w:rPr>
        <w:t>000. The lack of a harmonised approach led to significant market fragmentation, increased costs and barriers to entry, especially for smaller companies.</w:t>
      </w:r>
    </w:p>
    <w:p w14:paraId="317D661D" w14:textId="77777777" w:rsidR="00D52AD8" w:rsidRPr="00C57110" w:rsidRDefault="00D52AD8" w:rsidP="00D52AD8">
      <w:pPr>
        <w:rPr>
          <w:noProof/>
        </w:rPr>
      </w:pPr>
      <w:r w:rsidRPr="00C57110">
        <w:rPr>
          <w:noProof/>
        </w:rPr>
        <w:t>Surveys conducted as part of the 2017 IA showed that a majority of respondents were aware of multiple certification schemes for the same product or service and a large majority agreed that mutual recognition was desirable at European level. The absence of a common EU framework for certification was widely seen as a major obstacle to the development of the digital single market and the competitiveness of European industry.</w:t>
      </w:r>
    </w:p>
    <w:p w14:paraId="32C32D32" w14:textId="77777777" w:rsidR="00D52AD8" w:rsidRPr="00C57110" w:rsidRDefault="00D52AD8" w:rsidP="00D52AD8">
      <w:pPr>
        <w:rPr>
          <w:b/>
          <w:bCs/>
          <w:noProof/>
        </w:rPr>
      </w:pPr>
      <w:r w:rsidRPr="00C57110">
        <w:rPr>
          <w:b/>
          <w:bCs/>
          <w:noProof/>
        </w:rPr>
        <w:t>Relevant market and economic data</w:t>
      </w:r>
    </w:p>
    <w:p w14:paraId="04A995A9" w14:textId="1CE680EC" w:rsidR="00D52AD8" w:rsidRPr="00C57110" w:rsidRDefault="00D52AD8" w:rsidP="00D52AD8">
      <w:pPr>
        <w:rPr>
          <w:noProof/>
        </w:rPr>
      </w:pPr>
      <w:r w:rsidRPr="00C57110">
        <w:rPr>
          <w:noProof/>
        </w:rPr>
        <w:t>According to the 2017 IA, the economic impact of cybercrime in the EU was substantial. It was estimated at 0.41% of GDP, or around EUR</w:t>
      </w:r>
      <w:r w:rsidR="00B202FC" w:rsidRPr="00380B24">
        <w:rPr>
          <w:noProof/>
        </w:rPr>
        <w:t> </w:t>
      </w:r>
      <w:r w:rsidRPr="00C57110">
        <w:rPr>
          <w:noProof/>
        </w:rPr>
        <w:t>55 billion in 2013, with Germany being the most affected Member State (1.6% of GDP</w:t>
      </w:r>
      <w:r w:rsidR="00B202FC" w:rsidRPr="00380B24">
        <w:rPr>
          <w:noProof/>
        </w:rPr>
        <w:t>)</w:t>
      </w:r>
      <w:r w:rsidRPr="00380B24">
        <w:rPr>
          <w:rStyle w:val="FootnoteReference"/>
          <w:noProof/>
        </w:rPr>
        <w:footnoteReference w:id="274"/>
      </w:r>
      <w:r w:rsidR="00B202FC" w:rsidRPr="00380B24">
        <w:rPr>
          <w:noProof/>
        </w:rPr>
        <w:t>.</w:t>
      </w:r>
      <w:r w:rsidRPr="00C57110">
        <w:rPr>
          <w:noProof/>
        </w:rPr>
        <w:t xml:space="preserve"> The cost of certification for smart meters was at least EUR</w:t>
      </w:r>
      <w:r w:rsidR="00B202FC" w:rsidRPr="00380B24">
        <w:rPr>
          <w:noProof/>
        </w:rPr>
        <w:t> </w:t>
      </w:r>
      <w:r w:rsidRPr="00C57110">
        <w:rPr>
          <w:noProof/>
        </w:rPr>
        <w:t>300</w:t>
      </w:r>
      <w:r w:rsidR="00B202FC" w:rsidRPr="00380B24">
        <w:rPr>
          <w:noProof/>
        </w:rPr>
        <w:t> </w:t>
      </w:r>
      <w:r w:rsidRPr="00C57110">
        <w:rPr>
          <w:noProof/>
        </w:rPr>
        <w:t>000 for two markets and for cloud services, compliance costs were estimated at EUR</w:t>
      </w:r>
      <w:r w:rsidR="00B202FC" w:rsidRPr="00380B24">
        <w:rPr>
          <w:noProof/>
        </w:rPr>
        <w:t> </w:t>
      </w:r>
      <w:r w:rsidRPr="00C57110">
        <w:rPr>
          <w:noProof/>
        </w:rPr>
        <w:t xml:space="preserve">1.2 billion, representing 2% to 10% of companies’ annual </w:t>
      </w:r>
      <w:r w:rsidR="00B202FC" w:rsidRPr="00380B24">
        <w:rPr>
          <w:noProof/>
        </w:rPr>
        <w:t>expenditure.</w:t>
      </w:r>
      <w:r w:rsidRPr="00C57110">
        <w:rPr>
          <w:noProof/>
        </w:rPr>
        <w:t xml:space="preserve"> Certification processes for cloud services could take 7</w:t>
      </w:r>
      <w:r w:rsidR="00B202FC" w:rsidRPr="00380B24">
        <w:rPr>
          <w:noProof/>
        </w:rPr>
        <w:t>-</w:t>
      </w:r>
      <w:r w:rsidRPr="00C57110">
        <w:rPr>
          <w:noProof/>
        </w:rPr>
        <w:t>9 months.</w:t>
      </w:r>
    </w:p>
    <w:p w14:paraId="78DF143C" w14:textId="51EC91CF" w:rsidR="00D52AD8" w:rsidRPr="00C57110" w:rsidRDefault="00D52AD8" w:rsidP="00D52AD8">
      <w:pPr>
        <w:rPr>
          <w:noProof/>
        </w:rPr>
      </w:pPr>
      <w:r w:rsidRPr="00C57110">
        <w:rPr>
          <w:noProof/>
        </w:rPr>
        <w:t>The EU’s investment in cybersecurity was below the critical mass needed to protect the economy and institutions, especially when compared to international competitors. For example, the US government invested over EUR</w:t>
      </w:r>
      <w:r w:rsidR="00B202FC" w:rsidRPr="00380B24">
        <w:rPr>
          <w:noProof/>
        </w:rPr>
        <w:t> </w:t>
      </w:r>
      <w:r w:rsidRPr="00C57110">
        <w:rPr>
          <w:noProof/>
        </w:rPr>
        <w:t>19 billion in cybersecurity in 2017, a 35% increase from 2016</w:t>
      </w:r>
      <w:r w:rsidRPr="00380B24">
        <w:rPr>
          <w:rStyle w:val="FootnoteReference"/>
          <w:noProof/>
        </w:rPr>
        <w:footnoteReference w:id="275"/>
      </w:r>
      <w:r w:rsidRPr="00C57110">
        <w:rPr>
          <w:noProof/>
        </w:rPr>
        <w:t>. EU funding for cybersecurity projects under Horizon 2020 was about EUR</w:t>
      </w:r>
      <w:r w:rsidR="00B202FC" w:rsidRPr="00380B24">
        <w:rPr>
          <w:noProof/>
        </w:rPr>
        <w:t> </w:t>
      </w:r>
      <w:r w:rsidRPr="00C57110">
        <w:rPr>
          <w:noProof/>
        </w:rPr>
        <w:t>600 million for 2013</w:t>
      </w:r>
      <w:r w:rsidR="00B202FC" w:rsidRPr="00380B24">
        <w:rPr>
          <w:noProof/>
        </w:rPr>
        <w:t>-</w:t>
      </w:r>
      <w:r w:rsidRPr="00C57110">
        <w:rPr>
          <w:noProof/>
        </w:rPr>
        <w:t>2020, with additional contributions from other programmes, but these were not sufficient to address the scale of the challenge</w:t>
      </w:r>
      <w:r w:rsidRPr="00380B24">
        <w:rPr>
          <w:rStyle w:val="FootnoteReference"/>
          <w:noProof/>
        </w:rPr>
        <w:footnoteReference w:id="276"/>
      </w:r>
      <w:r w:rsidRPr="00C57110">
        <w:rPr>
          <w:noProof/>
        </w:rPr>
        <w:t>. The lack of sufficient investment and coordination at EU level was seen as a key barrier to building resilience and supporting the digital single market.</w:t>
      </w:r>
    </w:p>
    <w:p w14:paraId="21184992" w14:textId="77777777" w:rsidR="00D52AD8" w:rsidRPr="00C57110" w:rsidRDefault="00D52AD8" w:rsidP="00D52AD8">
      <w:pPr>
        <w:rPr>
          <w:b/>
          <w:bCs/>
          <w:noProof/>
        </w:rPr>
      </w:pPr>
      <w:r w:rsidRPr="00C57110">
        <w:rPr>
          <w:b/>
          <w:bCs/>
          <w:noProof/>
        </w:rPr>
        <w:t>Stakeholder perceptions and consultations data</w:t>
      </w:r>
    </w:p>
    <w:p w14:paraId="3BCB1E9C" w14:textId="77777777" w:rsidR="00D52AD8" w:rsidRPr="00C57110" w:rsidRDefault="00D52AD8" w:rsidP="00D52AD8">
      <w:pPr>
        <w:rPr>
          <w:noProof/>
        </w:rPr>
      </w:pPr>
      <w:r w:rsidRPr="00C57110">
        <w:rPr>
          <w:noProof/>
        </w:rPr>
        <w:t xml:space="preserve">Stakeholder consultations for the 2017 IA included a call for evidence, targeted surveys, workshops and interviews with a wide range of actors, including public authorities, EU institutions, industry, academia, civil society and individual citizens. The main findings were as follows: </w:t>
      </w:r>
    </w:p>
    <w:p w14:paraId="0009BAEA" w14:textId="77777777" w:rsidR="00B202FC" w:rsidRPr="00380B24" w:rsidRDefault="00B202FC" w:rsidP="00B202FC">
      <w:pPr>
        <w:pStyle w:val="ListParagraph"/>
        <w:numPr>
          <w:ilvl w:val="0"/>
          <w:numId w:val="141"/>
        </w:numPr>
        <w:rPr>
          <w:noProof/>
        </w:rPr>
      </w:pPr>
      <w:r w:rsidRPr="00380B24">
        <w:rPr>
          <w:noProof/>
        </w:rPr>
        <w:t>A large majority of respondents positively assessed ENISA’s performance for 2013-2016 and a significant proportion considered ENISA to be achieving its objectives.</w:t>
      </w:r>
    </w:p>
    <w:p w14:paraId="22522A15" w14:textId="77777777" w:rsidR="00D52AD8" w:rsidRPr="00C57110" w:rsidRDefault="00D52AD8" w:rsidP="00D52AD8">
      <w:pPr>
        <w:pStyle w:val="ListParagraph"/>
        <w:numPr>
          <w:ilvl w:val="0"/>
          <w:numId w:val="141"/>
        </w:numPr>
        <w:rPr>
          <w:noProof/>
        </w:rPr>
      </w:pPr>
      <w:r w:rsidRPr="00C57110">
        <w:rPr>
          <w:noProof/>
        </w:rPr>
        <w:t>Many appreciated ENISA’s products and services as coming from an EU-level body and valued their quality.</w:t>
      </w:r>
    </w:p>
    <w:p w14:paraId="4525290B" w14:textId="77777777" w:rsidR="00D52AD8" w:rsidRPr="00C57110" w:rsidRDefault="00D52AD8" w:rsidP="00D52AD8">
      <w:pPr>
        <w:pStyle w:val="ListParagraph"/>
        <w:numPr>
          <w:ilvl w:val="0"/>
          <w:numId w:val="141"/>
        </w:numPr>
        <w:rPr>
          <w:noProof/>
        </w:rPr>
      </w:pPr>
      <w:r w:rsidRPr="00C57110">
        <w:rPr>
          <w:noProof/>
        </w:rPr>
        <w:t>A large majority considered current EU instruments and mechanisms insufficient or only partially adequate to address cybersecurity challenges and almost all saw a need for an EU body to respond, with most identifying ENISA as the right organisation.</w:t>
      </w:r>
    </w:p>
    <w:p w14:paraId="3DA4546D" w14:textId="77777777" w:rsidR="00D52AD8" w:rsidRPr="00C57110" w:rsidRDefault="00D52AD8" w:rsidP="00D52AD8">
      <w:pPr>
        <w:pStyle w:val="ListParagraph"/>
        <w:numPr>
          <w:ilvl w:val="0"/>
          <w:numId w:val="141"/>
        </w:numPr>
        <w:rPr>
          <w:noProof/>
        </w:rPr>
      </w:pPr>
      <w:r w:rsidRPr="00C57110">
        <w:rPr>
          <w:noProof/>
        </w:rPr>
        <w:t>A significant proportion of respondents to the ENISA consultation saw a role for ENISA in establishing a harmonised framework for ICT security certification.</w:t>
      </w:r>
    </w:p>
    <w:p w14:paraId="5E807078" w14:textId="77777777" w:rsidR="00B202FC" w:rsidRPr="00380B24" w:rsidRDefault="00B202FC" w:rsidP="00B202FC">
      <w:pPr>
        <w:pStyle w:val="ListParagraph"/>
        <w:numPr>
          <w:ilvl w:val="0"/>
          <w:numId w:val="141"/>
        </w:numPr>
        <w:rPr>
          <w:noProof/>
        </w:rPr>
      </w:pPr>
      <w:r w:rsidRPr="00380B24">
        <w:rPr>
          <w:noProof/>
        </w:rPr>
        <w:t>Many respondents to the 2016 consultation for the preparation of the EU cybersecurity contractual public-private partnership (cPPP)</w:t>
      </w:r>
      <w:r w:rsidRPr="00380B24">
        <w:rPr>
          <w:rStyle w:val="FootnoteReference"/>
          <w:noProof/>
        </w:rPr>
        <w:footnoteReference w:id="277"/>
      </w:r>
      <w:r w:rsidRPr="00380B24">
        <w:rPr>
          <w:rStyle w:val="FootnoteReference"/>
          <w:noProof/>
        </w:rPr>
        <w:footnoteReference w:id="278"/>
      </w:r>
      <w:r w:rsidRPr="00380B24">
        <w:rPr>
          <w:noProof/>
        </w:rPr>
        <w:t>, which devoted a section to the topic of certification, did not know whether national certification schemes were mutually recognised, with only a minority saying ‘Yes’</w:t>
      </w:r>
      <w:r w:rsidRPr="00380B24">
        <w:rPr>
          <w:rStyle w:val="FootnoteReference"/>
          <w:noProof/>
        </w:rPr>
        <w:footnoteReference w:id="279"/>
      </w:r>
      <w:r w:rsidRPr="00380B24">
        <w:rPr>
          <w:noProof/>
        </w:rPr>
        <w:t>.</w:t>
      </w:r>
    </w:p>
    <w:p w14:paraId="006797B8" w14:textId="77777777" w:rsidR="00B202FC" w:rsidRPr="00380B24" w:rsidRDefault="00B202FC" w:rsidP="00B202FC">
      <w:pPr>
        <w:pStyle w:val="ListParagraph"/>
        <w:numPr>
          <w:ilvl w:val="0"/>
          <w:numId w:val="141"/>
        </w:numPr>
        <w:rPr>
          <w:noProof/>
        </w:rPr>
      </w:pPr>
      <w:r w:rsidRPr="00380B24">
        <w:rPr>
          <w:noProof/>
        </w:rPr>
        <w:t>A substantial proportion thought existing certification schemes did not support the needs of Europe’s industry, and many said it was not easy to demonstrate equivalence between standards, certification schemes and labels.</w:t>
      </w:r>
    </w:p>
    <w:p w14:paraId="21342571" w14:textId="77777777" w:rsidR="00B202FC" w:rsidRPr="00380B24" w:rsidRDefault="00B202FC" w:rsidP="00B202FC">
      <w:pPr>
        <w:pStyle w:val="ListParagraph"/>
        <w:numPr>
          <w:ilvl w:val="0"/>
          <w:numId w:val="141"/>
        </w:numPr>
        <w:rPr>
          <w:noProof/>
        </w:rPr>
      </w:pPr>
      <w:r w:rsidRPr="00380B24">
        <w:rPr>
          <w:noProof/>
        </w:rPr>
        <w:t>Many respondents experienced barriers to market access and export due to fragmentation and a significant number of SME respondents identified the cost of certification as a problem.</w:t>
      </w:r>
    </w:p>
    <w:p w14:paraId="688D3159" w14:textId="77777777" w:rsidR="00B202FC" w:rsidRPr="00380B24" w:rsidRDefault="00B202FC" w:rsidP="00B202FC">
      <w:pPr>
        <w:rPr>
          <w:noProof/>
        </w:rPr>
      </w:pPr>
      <w:r w:rsidRPr="00380B24">
        <w:rPr>
          <w:noProof/>
        </w:rPr>
        <w:t>Stakeholders consistently identified the most urgent gaps to be in cooperation across Member States, capacity to prevent and resolve large-scale attacks and the need for harmonised standards and certification. The consultations also revealed that while ENISA was valued for its expertise and its role in community building, there was a strong call for a more permanent, better-resourced agency with a clearer mandate and greater operational capacity.</w:t>
      </w:r>
    </w:p>
    <w:p w14:paraId="18933A9D" w14:textId="7BA29540" w:rsidR="00D52AD8" w:rsidRPr="00C57110" w:rsidRDefault="00D52AD8" w:rsidP="00D52AD8">
      <w:pPr>
        <w:rPr>
          <w:noProof/>
        </w:rPr>
      </w:pPr>
      <w:r w:rsidRPr="00C57110">
        <w:rPr>
          <w:noProof/>
        </w:rPr>
        <w:t>In summary, the baseline scenario in 2017 was a small, under-resourced ENISA with a fixed-term mandate, a fragmented and costly certification landscape, significant economic losses due to cybercrime and widespread stakeholder recognition of the need for greater EU-level coordination, harmonisation and investment. The lack of mutual recognition of certification schemes, high costs and long processes and insufficient EU-level operational capacity were seen as major barriers to a secure and competitive digital single market. These baseline conditions provide the foundation for assessing the effectiveness and impact of the CSA and the reformed ENISA. The evidence presented here is drawn directly from the 2017 CSA IA, including its executive summary, problem definition, baseline scenario, economic analysis and stakeholder consultation sections.</w:t>
      </w:r>
    </w:p>
    <w:p w14:paraId="633C5F52" w14:textId="77777777" w:rsidR="00D52AD8" w:rsidRPr="00C57110" w:rsidRDefault="00D52AD8" w:rsidP="00D52AD8">
      <w:pPr>
        <w:rPr>
          <w:noProof/>
        </w:rPr>
      </w:pPr>
      <w:r w:rsidRPr="00C57110">
        <w:rPr>
          <w:noProof/>
        </w:rPr>
        <w:br w:type="page"/>
      </w:r>
    </w:p>
    <w:p w14:paraId="1E21A5CE" w14:textId="77777777" w:rsidR="00D52AD8" w:rsidRPr="00C57110" w:rsidRDefault="00D52AD8" w:rsidP="00D52AD8">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15" w:name="_Toc42093675"/>
      <w:bookmarkStart w:id="416" w:name="_Toc42093886"/>
      <w:bookmarkStart w:id="417" w:name="_Toc218702598"/>
      <w:bookmarkStart w:id="418" w:name="_Toc219039521"/>
      <w:bookmarkStart w:id="419" w:name="_Toc219447424"/>
      <w:r w:rsidRPr="00C57110">
        <w:rPr>
          <w:noProof/>
          <w:szCs w:val="24"/>
        </w:rPr>
        <w:t>How has the situation evolved over the evaluation period?</w:t>
      </w:r>
      <w:bookmarkEnd w:id="415"/>
      <w:bookmarkEnd w:id="416"/>
      <w:bookmarkEnd w:id="417"/>
      <w:bookmarkEnd w:id="418"/>
      <w:bookmarkEnd w:id="419"/>
    </w:p>
    <w:p w14:paraId="0BE2A196" w14:textId="2744BD66" w:rsidR="00D52AD8" w:rsidRPr="00C57110" w:rsidRDefault="00D52AD8" w:rsidP="00D52AD8">
      <w:pPr>
        <w:pStyle w:val="Text1"/>
        <w:ind w:left="0"/>
        <w:rPr>
          <w:noProof/>
        </w:rPr>
      </w:pPr>
      <w:r w:rsidRPr="00C57110">
        <w:rPr>
          <w:noProof/>
        </w:rPr>
        <w:t>This chapter reviews how the EU’s cybersecurity landscape has evolved over the evaluation period, highlighting the transformative impact of major legislative acts such as the Cybersecurity Act, NIS2 Directive</w:t>
      </w:r>
      <w:r w:rsidR="00B202FC" w:rsidRPr="00380B24">
        <w:rPr>
          <w:noProof/>
        </w:rPr>
        <w:t>,</w:t>
      </w:r>
      <w:r w:rsidRPr="00C57110">
        <w:rPr>
          <w:noProof/>
        </w:rPr>
        <w:t xml:space="preserve"> Cyber Resilience Act and Cyber Solidarity Act (both under development at the time of the evaluation). These laws, together with sector-specific regulations, have reshaped the mandates and activities of ENISA and the ECCF. The chapter outlines how new threats, rapid digitalisation and geopolitical tensions have driven regulatory and operational changes, setting the context for assessing the effectiveness, coherence and added value of the EU’s </w:t>
      </w:r>
      <w:r w:rsidR="00B202FC" w:rsidRPr="00380B24">
        <w:rPr>
          <w:noProof/>
        </w:rPr>
        <w:t xml:space="preserve">action on </w:t>
      </w:r>
      <w:r w:rsidRPr="00C57110">
        <w:rPr>
          <w:noProof/>
        </w:rPr>
        <w:t>cybersecurity.</w:t>
      </w:r>
    </w:p>
    <w:p w14:paraId="105DB17D" w14:textId="77777777" w:rsidR="00D52AD8" w:rsidRPr="00380B24" w:rsidRDefault="00D52AD8" w:rsidP="00D52AD8">
      <w:pPr>
        <w:rPr>
          <w:b/>
          <w:noProof/>
          <w:lang w:val="en-IE"/>
        </w:rPr>
      </w:pPr>
      <w:bookmarkStart w:id="420" w:name="_Toc42093486"/>
      <w:bookmarkStart w:id="421" w:name="_Toc42093676"/>
      <w:bookmarkStart w:id="422" w:name="_Toc42093887"/>
      <w:r w:rsidRPr="00C57110">
        <w:rPr>
          <w:b/>
          <w:bCs/>
          <w:noProof/>
        </w:rPr>
        <w:t>Current s</w:t>
      </w:r>
      <w:bookmarkEnd w:id="420"/>
      <w:bookmarkEnd w:id="421"/>
      <w:bookmarkEnd w:id="422"/>
      <w:r w:rsidRPr="00C57110">
        <w:rPr>
          <w:b/>
          <w:bCs/>
          <w:noProof/>
        </w:rPr>
        <w:t>tate of play</w:t>
      </w:r>
    </w:p>
    <w:p w14:paraId="756ED283" w14:textId="77777777" w:rsidR="00D52AD8" w:rsidRPr="00C57110" w:rsidRDefault="00D52AD8" w:rsidP="00D52AD8">
      <w:pPr>
        <w:rPr>
          <w:noProof/>
        </w:rPr>
      </w:pPr>
      <w:r w:rsidRPr="00C57110">
        <w:rPr>
          <w:noProof/>
        </w:rPr>
        <w:t>Since the adoption of the CSA, the EU’s cybersecurity environment has undergone profound changes. The world has seen a dramatic escalation in cyber threats, with attacks becoming more frequent, sophisticated and impactful. Geopolitical tensions, such as Russia’s war of aggression against Ukraine, have brought cyber operations to the forefront of hybrid warfare. At the same time, the COVID-19 pandemic accelerated digitalisation, exposing new vulnerabilities as remote work and digital services expanded rapidly. These developments have fundamentally altered the risk landscape and prompted the EU to significantly strengthen its legal and policy framework for cybersecurity.</w:t>
      </w:r>
    </w:p>
    <w:p w14:paraId="378EDE15" w14:textId="77777777" w:rsidR="00D52AD8" w:rsidRPr="00C57110" w:rsidRDefault="00D52AD8" w:rsidP="00D52AD8">
      <w:pPr>
        <w:rPr>
          <w:b/>
          <w:bCs/>
          <w:noProof/>
        </w:rPr>
      </w:pPr>
      <w:r w:rsidRPr="00C57110">
        <w:rPr>
          <w:b/>
          <w:bCs/>
          <w:noProof/>
        </w:rPr>
        <w:t>Expansion of the EU cybersecurity legal and policy framework</w:t>
      </w:r>
    </w:p>
    <w:p w14:paraId="7EEA9415" w14:textId="77777777" w:rsidR="00D52AD8" w:rsidRPr="00C57110" w:rsidRDefault="00D52AD8" w:rsidP="00D52AD8">
      <w:pPr>
        <w:rPr>
          <w:noProof/>
        </w:rPr>
      </w:pPr>
      <w:r w:rsidRPr="00C57110">
        <w:rPr>
          <w:noProof/>
        </w:rPr>
        <w:t>In response to these evolving challenges, the EU adopted new legislative and policy instruments (of which some were under development during the evaluation period), building on the foundation laid by the CSA, and which have been central to the EU’s cybersecurity strategy:</w:t>
      </w:r>
    </w:p>
    <w:p w14:paraId="0F0A43FE" w14:textId="77777777" w:rsidR="00B202FC" w:rsidRPr="00380B24" w:rsidRDefault="00B202FC" w:rsidP="00B202FC">
      <w:pPr>
        <w:pStyle w:val="ListParagraph"/>
        <w:numPr>
          <w:ilvl w:val="0"/>
          <w:numId w:val="142"/>
        </w:numPr>
        <w:rPr>
          <w:noProof/>
        </w:rPr>
      </w:pPr>
      <w:r w:rsidRPr="00380B24">
        <w:rPr>
          <w:b/>
          <w:bCs/>
          <w:noProof/>
        </w:rPr>
        <w:t>NIS2 Directive (Directive (EU) 2022/2555):</w:t>
      </w:r>
      <w:r w:rsidRPr="00380B24">
        <w:rPr>
          <w:noProof/>
        </w:rPr>
        <w:t xml:space="preserve"> This Directive makes a broader range of entities subject to cybersecurity requirements, strengthens risk management and incident reporting obligations and develops cooperation among Member States.</w:t>
      </w:r>
    </w:p>
    <w:p w14:paraId="14F2199D" w14:textId="77777777" w:rsidR="00D52AD8" w:rsidRPr="00C57110" w:rsidRDefault="00D52AD8" w:rsidP="00D52AD8">
      <w:pPr>
        <w:pStyle w:val="ListParagraph"/>
        <w:numPr>
          <w:ilvl w:val="0"/>
          <w:numId w:val="142"/>
        </w:numPr>
        <w:rPr>
          <w:noProof/>
        </w:rPr>
      </w:pPr>
      <w:r w:rsidRPr="00C57110">
        <w:rPr>
          <w:b/>
          <w:bCs/>
          <w:noProof/>
        </w:rPr>
        <w:t>Cyber Resilience Act (CRA, Regulation (EU) 2024/2487</w:t>
      </w:r>
      <w:r w:rsidRPr="00C57110">
        <w:rPr>
          <w:noProof/>
        </w:rPr>
        <w:t>, under development during the evaluation period</w:t>
      </w:r>
      <w:r w:rsidRPr="00C57110">
        <w:rPr>
          <w:b/>
          <w:bCs/>
          <w:noProof/>
        </w:rPr>
        <w:t>):</w:t>
      </w:r>
      <w:r w:rsidRPr="00C57110">
        <w:rPr>
          <w:noProof/>
        </w:rPr>
        <w:t xml:space="preserve"> The CRA introduces horizontal cybersecurity requirements for products with digital elements, aiming to ensure that hardware and software placed on the EU market are secure by design and by default considering their lifecycle.</w:t>
      </w:r>
    </w:p>
    <w:p w14:paraId="26CD47A5" w14:textId="77777777" w:rsidR="00D52AD8" w:rsidRPr="00C57110" w:rsidRDefault="00D52AD8" w:rsidP="00D52AD8">
      <w:pPr>
        <w:pStyle w:val="ListParagraph"/>
        <w:numPr>
          <w:ilvl w:val="0"/>
          <w:numId w:val="142"/>
        </w:numPr>
        <w:rPr>
          <w:noProof/>
        </w:rPr>
      </w:pPr>
      <w:r w:rsidRPr="00C57110">
        <w:rPr>
          <w:b/>
          <w:bCs/>
          <w:noProof/>
        </w:rPr>
        <w:t xml:space="preserve">Cyber Solidarity Act (CSoA, Regulation (EU) 2025/38, </w:t>
      </w:r>
      <w:r w:rsidRPr="00C57110">
        <w:rPr>
          <w:noProof/>
        </w:rPr>
        <w:t>under development during the evaluation period</w:t>
      </w:r>
      <w:r w:rsidRPr="00C57110">
        <w:rPr>
          <w:b/>
          <w:bCs/>
          <w:noProof/>
        </w:rPr>
        <w:t>):</w:t>
      </w:r>
      <w:r w:rsidRPr="00C57110">
        <w:rPr>
          <w:noProof/>
        </w:rPr>
        <w:t xml:space="preserve"> The CSoA focuses on building Union capacities for detection, preparedness and response to significant and large-scale cyber incidents, including the establishment of the EU Cybersecurity Reserve.</w:t>
      </w:r>
    </w:p>
    <w:p w14:paraId="2C4253D8" w14:textId="77777777" w:rsidR="00D52AD8" w:rsidRPr="00C57110" w:rsidRDefault="00D52AD8" w:rsidP="00D52AD8">
      <w:pPr>
        <w:pStyle w:val="ListParagraph"/>
        <w:numPr>
          <w:ilvl w:val="0"/>
          <w:numId w:val="142"/>
        </w:numPr>
        <w:rPr>
          <w:noProof/>
        </w:rPr>
      </w:pPr>
      <w:r w:rsidRPr="00C57110">
        <w:rPr>
          <w:b/>
          <w:bCs/>
          <w:noProof/>
        </w:rPr>
        <w:t>Digital Operational Resilience Act (DORA, Regulation (EU) 2022/2554):</w:t>
      </w:r>
      <w:r w:rsidRPr="00C57110">
        <w:rPr>
          <w:noProof/>
        </w:rPr>
        <w:t xml:space="preserve"> DORA sets out comprehensive requirements for the financial sector to ensure operational resilience against ICT-related incidents.</w:t>
      </w:r>
    </w:p>
    <w:p w14:paraId="07974337" w14:textId="1322C35B" w:rsidR="00D52AD8" w:rsidRPr="00C57110" w:rsidRDefault="00D52AD8" w:rsidP="00D52AD8">
      <w:pPr>
        <w:pStyle w:val="ListParagraph"/>
        <w:numPr>
          <w:ilvl w:val="0"/>
          <w:numId w:val="142"/>
        </w:numPr>
        <w:rPr>
          <w:noProof/>
        </w:rPr>
      </w:pPr>
      <w:r w:rsidRPr="00C57110">
        <w:rPr>
          <w:b/>
          <w:bCs/>
          <w:noProof/>
        </w:rPr>
        <w:t>Network Code on Cybersecurity for Electricity (NCCS, Delegated Regulation (EU) 2024/1366</w:t>
      </w:r>
      <w:r w:rsidRPr="00C57110">
        <w:rPr>
          <w:noProof/>
        </w:rPr>
        <w:t>, under development during the evaluation period</w:t>
      </w:r>
      <w:r w:rsidRPr="00C57110">
        <w:rPr>
          <w:b/>
          <w:bCs/>
          <w:noProof/>
        </w:rPr>
        <w:t>):</w:t>
      </w:r>
      <w:r w:rsidRPr="00C57110">
        <w:rPr>
          <w:noProof/>
        </w:rPr>
        <w:t xml:space="preserve"> </w:t>
      </w:r>
      <w:r w:rsidR="00B202FC" w:rsidRPr="00380B24">
        <w:rPr>
          <w:noProof/>
        </w:rPr>
        <w:t>The NCCS</w:t>
      </w:r>
      <w:r w:rsidRPr="00C57110">
        <w:rPr>
          <w:noProof/>
        </w:rPr>
        <w:t xml:space="preserve"> introduces sector-specific cybersecurity rules for the electricity sector, particularly for cross-border flows.</w:t>
      </w:r>
    </w:p>
    <w:p w14:paraId="50FA3BDE" w14:textId="77777777" w:rsidR="00D52AD8" w:rsidRPr="00C57110" w:rsidRDefault="00D52AD8" w:rsidP="00D52AD8">
      <w:pPr>
        <w:pStyle w:val="ListParagraph"/>
        <w:numPr>
          <w:ilvl w:val="0"/>
          <w:numId w:val="142"/>
        </w:numPr>
        <w:rPr>
          <w:noProof/>
        </w:rPr>
      </w:pPr>
      <w:r w:rsidRPr="00C57110">
        <w:rPr>
          <w:b/>
          <w:bCs/>
          <w:noProof/>
        </w:rPr>
        <w:t>EU Regulation on Information Security (PART-IS, Regulation (EU) 2023/203):</w:t>
      </w:r>
      <w:r w:rsidRPr="00C57110">
        <w:rPr>
          <w:noProof/>
        </w:rPr>
        <w:t xml:space="preserve"> PART-IS establishes information security requirements for the air transport sector.</w:t>
      </w:r>
    </w:p>
    <w:p w14:paraId="2AD797E7" w14:textId="77777777" w:rsidR="00D52AD8" w:rsidRPr="00C57110" w:rsidRDefault="00D52AD8" w:rsidP="00D52AD8">
      <w:pPr>
        <w:pStyle w:val="ListParagraph"/>
        <w:numPr>
          <w:ilvl w:val="0"/>
          <w:numId w:val="142"/>
        </w:numPr>
        <w:rPr>
          <w:noProof/>
        </w:rPr>
      </w:pPr>
      <w:r w:rsidRPr="00C57110">
        <w:rPr>
          <w:b/>
          <w:bCs/>
          <w:noProof/>
        </w:rPr>
        <w:t>5G Cybersecurity Toolbox (Commission Recommendation (EU) 2019/534):</w:t>
      </w:r>
      <w:r w:rsidRPr="00C57110">
        <w:rPr>
          <w:noProof/>
        </w:rPr>
        <w:t xml:space="preserve"> This provides guidance for securing 5G networks across the EU by recommending strategic and technical measures.</w:t>
      </w:r>
    </w:p>
    <w:p w14:paraId="2BEB541B" w14:textId="77777777" w:rsidR="00D52AD8" w:rsidRPr="00C57110" w:rsidRDefault="00D52AD8" w:rsidP="00D52AD8">
      <w:pPr>
        <w:pStyle w:val="ListParagraph"/>
        <w:numPr>
          <w:ilvl w:val="0"/>
          <w:numId w:val="142"/>
        </w:numPr>
        <w:rPr>
          <w:noProof/>
        </w:rPr>
      </w:pPr>
      <w:r w:rsidRPr="00C57110">
        <w:rPr>
          <w:b/>
          <w:bCs/>
          <w:noProof/>
        </w:rPr>
        <w:t>Cybersecurity Skills Academy (COM(2023) 207 final):</w:t>
      </w:r>
      <w:r w:rsidRPr="00C57110">
        <w:rPr>
          <w:noProof/>
        </w:rPr>
        <w:t xml:space="preserve"> This initiative addresses the growing gap in cybersecurity skills by promoting training and capacity building.</w:t>
      </w:r>
    </w:p>
    <w:p w14:paraId="7E066BD1" w14:textId="77777777" w:rsidR="00D52AD8" w:rsidRPr="00C57110" w:rsidRDefault="00D52AD8" w:rsidP="00D52AD8">
      <w:pPr>
        <w:pStyle w:val="ListParagraph"/>
        <w:numPr>
          <w:ilvl w:val="0"/>
          <w:numId w:val="142"/>
        </w:numPr>
        <w:rPr>
          <w:noProof/>
        </w:rPr>
      </w:pPr>
      <w:r w:rsidRPr="00C57110">
        <w:rPr>
          <w:b/>
          <w:bCs/>
          <w:noProof/>
        </w:rPr>
        <w:t>EU Action Plan on the Cybersecurity of Hospitals and Healthcare Providers (COM(2025) 10 final):</w:t>
      </w:r>
      <w:r w:rsidRPr="00C57110">
        <w:rPr>
          <w:noProof/>
        </w:rPr>
        <w:t xml:space="preserve"> This plan aims to strengthen the resilience of the healthcare sector.</w:t>
      </w:r>
    </w:p>
    <w:p w14:paraId="5763333A" w14:textId="37AD309B" w:rsidR="00D52AD8" w:rsidRPr="00C57110" w:rsidRDefault="00B202FC" w:rsidP="00D52AD8">
      <w:pPr>
        <w:rPr>
          <w:noProof/>
        </w:rPr>
      </w:pPr>
      <w:r w:rsidRPr="00380B24">
        <w:rPr>
          <w:noProof/>
        </w:rPr>
        <w:t>Together with the CSA, these</w:t>
      </w:r>
      <w:r w:rsidR="00D52AD8" w:rsidRPr="00C57110">
        <w:rPr>
          <w:noProof/>
        </w:rPr>
        <w:t xml:space="preserve"> legal and policy instruments</w:t>
      </w:r>
      <w:r w:rsidRPr="00380B24">
        <w:rPr>
          <w:noProof/>
        </w:rPr>
        <w:t xml:space="preserve"> </w:t>
      </w:r>
      <w:r w:rsidR="00D52AD8" w:rsidRPr="00C57110">
        <w:rPr>
          <w:noProof/>
        </w:rPr>
        <w:t>form a comprehensive and multi-layered framework that addresses both horizontal and sector-specific cybersecurity challenges. They reflect the EU’s recognition that cybersecurity is not only a technical issue but also a matter of economic security, public safety and strategic autonomy.</w:t>
      </w:r>
    </w:p>
    <w:p w14:paraId="13B10D1E" w14:textId="77777777" w:rsidR="00D52AD8" w:rsidRPr="00C57110" w:rsidRDefault="00D52AD8" w:rsidP="00D52AD8">
      <w:pPr>
        <w:rPr>
          <w:b/>
          <w:bCs/>
          <w:noProof/>
        </w:rPr>
      </w:pPr>
      <w:r w:rsidRPr="00C57110">
        <w:rPr>
          <w:b/>
          <w:bCs/>
          <w:noProof/>
        </w:rPr>
        <w:t>Implementation and operational developments</w:t>
      </w:r>
    </w:p>
    <w:p w14:paraId="0A50F199" w14:textId="0A2E8D25" w:rsidR="00D52AD8" w:rsidRPr="00C57110" w:rsidRDefault="00D52AD8" w:rsidP="00D52AD8">
      <w:pPr>
        <w:rPr>
          <w:noProof/>
        </w:rPr>
      </w:pPr>
      <w:r w:rsidRPr="00C57110">
        <w:rPr>
          <w:noProof/>
        </w:rPr>
        <w:t xml:space="preserve">The implementation of the new legal framework has required significant adaptation by Member States, EU institutions and businesses. ENISA’s mandate has expanded accordingly. </w:t>
      </w:r>
      <w:r w:rsidR="00B202FC" w:rsidRPr="00380B24">
        <w:rPr>
          <w:noProof/>
        </w:rPr>
        <w:t>ENISA</w:t>
      </w:r>
      <w:r w:rsidRPr="00C57110">
        <w:rPr>
          <w:noProof/>
        </w:rPr>
        <w:t xml:space="preserve"> now supports Member States in developing and updating national cybersecurity strategies, implementing new legal requirements and building operational capacity. By virtue of other </w:t>
      </w:r>
      <w:r w:rsidR="00B202FC" w:rsidRPr="00380B24">
        <w:rPr>
          <w:noProof/>
        </w:rPr>
        <w:t>legislation proposed</w:t>
      </w:r>
      <w:r w:rsidRPr="00C57110">
        <w:rPr>
          <w:noProof/>
        </w:rPr>
        <w:t xml:space="preserve"> at the time of evaluation and subsequently through the contribution agreements, ENISA has also been tasked with managing the European Vulnerability Database and supporting the EU Cybersecurity Reserve.</w:t>
      </w:r>
    </w:p>
    <w:p w14:paraId="5E5128D0" w14:textId="36E967F5" w:rsidR="00D52AD8" w:rsidRPr="00C57110" w:rsidRDefault="00D52AD8" w:rsidP="00D52AD8">
      <w:pPr>
        <w:rPr>
          <w:noProof/>
        </w:rPr>
      </w:pPr>
      <w:r w:rsidRPr="00C57110">
        <w:rPr>
          <w:noProof/>
        </w:rPr>
        <w:t xml:space="preserve">The ECCF, established by the CSA, has continued to evolve. ENISA has coordinated the development of candidate certification schemes, such as the EU Common Criteria (EUCC) and the forthcoming European Cloud Certification Scheme (EUCS). However, the process has been slower than anticipated, with the first scheme taking nearly five years from initiation to adoption. </w:t>
      </w:r>
      <w:r w:rsidR="00B202FC" w:rsidRPr="00380B24">
        <w:rPr>
          <w:noProof/>
        </w:rPr>
        <w:t>The reasons for the delays include</w:t>
      </w:r>
      <w:r w:rsidRPr="00C57110">
        <w:rPr>
          <w:noProof/>
        </w:rPr>
        <w:t xml:space="preserve"> the complexity of technical, legal and political negotiations, as well as the need for consensus among a wide range of stakeholders.</w:t>
      </w:r>
    </w:p>
    <w:p w14:paraId="06DBD50C" w14:textId="77777777" w:rsidR="00B202FC" w:rsidRPr="00380B24" w:rsidRDefault="00B202FC" w:rsidP="00B202FC">
      <w:pPr>
        <w:rPr>
          <w:noProof/>
        </w:rPr>
      </w:pPr>
      <w:r w:rsidRPr="00380B24">
        <w:rPr>
          <w:noProof/>
        </w:rPr>
        <w:t>Monitoring arrangements have included regular reporting, stakeholder consultations and the use of indicators such as the number of training courses delivered, publications produced, and stakeholder engagement events held. ENISA’s outputs have increased in both volume and scope, reflecting the growing demands on it.</w:t>
      </w:r>
    </w:p>
    <w:p w14:paraId="3A88CEDB" w14:textId="77777777" w:rsidR="00B202FC" w:rsidRPr="00380B24" w:rsidRDefault="00B202FC" w:rsidP="00B202FC">
      <w:pPr>
        <w:rPr>
          <w:b/>
          <w:bCs/>
          <w:noProof/>
        </w:rPr>
      </w:pPr>
      <w:r w:rsidRPr="00380B24">
        <w:rPr>
          <w:b/>
          <w:bCs/>
          <w:noProof/>
        </w:rPr>
        <w:t>Current situation and key developments</w:t>
      </w:r>
    </w:p>
    <w:p w14:paraId="2D747973" w14:textId="77777777" w:rsidR="00B202FC" w:rsidRPr="00380B24" w:rsidRDefault="00B202FC" w:rsidP="00B202FC">
      <w:pPr>
        <w:rPr>
          <w:noProof/>
        </w:rPr>
      </w:pPr>
      <w:r w:rsidRPr="00380B24">
        <w:rPr>
          <w:noProof/>
        </w:rPr>
        <w:t>The cybersecurity threat landscape has become more complex and interconnected. Ransomware attacks, supply chain compromises and hybrid threats are now commonplace, affecting critical infrastructure, public services and businesses of all sizes. The average cost of a major cyber incident has risen sharply, with global estimates of overall cost exceeding EUR 5.5 trillion in 2020</w:t>
      </w:r>
      <w:r w:rsidRPr="00380B24">
        <w:rPr>
          <w:rStyle w:val="FootnoteReference"/>
          <w:noProof/>
        </w:rPr>
        <w:footnoteReference w:id="280"/>
      </w:r>
      <w:r w:rsidRPr="00380B24">
        <w:rPr>
          <w:noProof/>
        </w:rPr>
        <w:t xml:space="preserve"> and projected to reach EUR 9 trillion by 2025.</w:t>
      </w:r>
    </w:p>
    <w:p w14:paraId="2B880E1E" w14:textId="3345FF97" w:rsidR="00D52AD8" w:rsidRPr="00C57110" w:rsidRDefault="00D52AD8" w:rsidP="00D52AD8">
      <w:pPr>
        <w:rPr>
          <w:noProof/>
        </w:rPr>
      </w:pPr>
      <w:r w:rsidRPr="00C57110">
        <w:rPr>
          <w:noProof/>
        </w:rPr>
        <w:t xml:space="preserve">ENISA has responded by scaling up its activities, delivering a growing number of publications, technical guidelines and capacity-building events. </w:t>
      </w:r>
      <w:r w:rsidR="00B202FC" w:rsidRPr="00380B24">
        <w:rPr>
          <w:noProof/>
        </w:rPr>
        <w:t>ENISA</w:t>
      </w:r>
      <w:r w:rsidRPr="00C57110">
        <w:rPr>
          <w:noProof/>
        </w:rPr>
        <w:t xml:space="preserve"> has played a central role in supporting the implementation of new legislation, advising on incident response and facilitating information sharing among Member States. The ECCF has begun to deliver candidate certification schemes (with one scheme adopted), but the pace has been slower than originally envisaged and fragmentation persists due to differences in national approaches and resource allocation.</w:t>
      </w:r>
    </w:p>
    <w:p w14:paraId="1D925171" w14:textId="77777777" w:rsidR="00D52AD8" w:rsidRPr="00C57110" w:rsidRDefault="00D52AD8" w:rsidP="00D52AD8">
      <w:pPr>
        <w:rPr>
          <w:b/>
          <w:bCs/>
          <w:noProof/>
        </w:rPr>
      </w:pPr>
      <w:r w:rsidRPr="00C57110">
        <w:rPr>
          <w:b/>
          <w:bCs/>
          <w:noProof/>
        </w:rPr>
        <w:t>Delays, challenges and external factors</w:t>
      </w:r>
    </w:p>
    <w:p w14:paraId="114B2CE7" w14:textId="1F6B18AD" w:rsidR="00D52AD8" w:rsidRPr="00C57110" w:rsidRDefault="00D52AD8" w:rsidP="00D52AD8">
      <w:pPr>
        <w:rPr>
          <w:noProof/>
        </w:rPr>
      </w:pPr>
      <w:r w:rsidRPr="00C57110">
        <w:rPr>
          <w:noProof/>
        </w:rPr>
        <w:t xml:space="preserve">The implementation of the new legislative framework has not been without challenges. Delays in the adoption of certification schemes have limited the harmonisation of cybersecurity assurance across the EU. </w:t>
      </w:r>
      <w:r w:rsidR="00B202FC" w:rsidRPr="00380B24">
        <w:rPr>
          <w:noProof/>
        </w:rPr>
        <w:t>Both ENISA and national authorities are affected by resource</w:t>
      </w:r>
      <w:r w:rsidRPr="00C57110">
        <w:rPr>
          <w:noProof/>
        </w:rPr>
        <w:t xml:space="preserve"> constraints, including the shortage of skilled cybersecurity professionals</w:t>
      </w:r>
      <w:r w:rsidR="00B202FC" w:rsidRPr="00380B24">
        <w:rPr>
          <w:noProof/>
        </w:rPr>
        <w:t>.</w:t>
      </w:r>
      <w:r w:rsidRPr="00C57110">
        <w:rPr>
          <w:noProof/>
        </w:rPr>
        <w:t xml:space="preserve"> The regulatory landscape</w:t>
      </w:r>
      <w:r w:rsidR="00B202FC" w:rsidRPr="00380B24">
        <w:rPr>
          <w:noProof/>
        </w:rPr>
        <w:t xml:space="preserve"> is complex</w:t>
      </w:r>
      <w:r w:rsidRPr="00C57110">
        <w:rPr>
          <w:noProof/>
        </w:rPr>
        <w:t>, with overlapping horizontal and sector-specific requirements</w:t>
      </w:r>
      <w:r w:rsidR="00B202FC" w:rsidRPr="00380B24">
        <w:rPr>
          <w:noProof/>
        </w:rPr>
        <w:t>. This</w:t>
      </w:r>
      <w:r w:rsidRPr="00C57110">
        <w:rPr>
          <w:noProof/>
        </w:rPr>
        <w:t xml:space="preserve"> has created compliance challenges for businesses operating across multiple sectors.</w:t>
      </w:r>
    </w:p>
    <w:p w14:paraId="0C064D06" w14:textId="77777777" w:rsidR="00D52AD8" w:rsidRPr="00C57110" w:rsidRDefault="00D52AD8" w:rsidP="00D52AD8">
      <w:pPr>
        <w:rPr>
          <w:noProof/>
        </w:rPr>
      </w:pPr>
      <w:r w:rsidRPr="00C57110">
        <w:rPr>
          <w:noProof/>
        </w:rPr>
        <w:t>External factors, such as the acceleration of digital transformation, the emergence of disruptive technologies like AI and quantum computing and intensifying geopolitical tensions, have all impacted the implementation of the EU’s cybersecurity framework. Hybrid attacks, in which cyber operations are combined with other forms of aggression, have become a defining feature of the threat landscape.</w:t>
      </w:r>
    </w:p>
    <w:p w14:paraId="68C58E02" w14:textId="77777777" w:rsidR="00D52AD8" w:rsidRPr="00C57110" w:rsidRDefault="00D52AD8" w:rsidP="00D52AD8">
      <w:pPr>
        <w:rPr>
          <w:b/>
          <w:bCs/>
          <w:noProof/>
        </w:rPr>
      </w:pPr>
      <w:r w:rsidRPr="00C57110">
        <w:rPr>
          <w:b/>
          <w:bCs/>
          <w:noProof/>
        </w:rPr>
        <w:t>Monitoring, indicators and further information</w:t>
      </w:r>
    </w:p>
    <w:p w14:paraId="7DE5D0B8" w14:textId="6A9E7000" w:rsidR="00D52AD8" w:rsidRPr="00C57110" w:rsidRDefault="00D52AD8" w:rsidP="00D52AD8">
      <w:pPr>
        <w:rPr>
          <w:noProof/>
        </w:rPr>
      </w:pPr>
      <w:r w:rsidRPr="00C57110">
        <w:rPr>
          <w:noProof/>
        </w:rPr>
        <w:t>Throughout the evaluation period, ENISA’s mandate and the ECCF have been monitored using a range of quantitative and qualitative indicators. These include the number of certification schemes adopted, the volume and reach of ENISA’s outputs, the level of stakeholder engagement and feedback from stakeholder consultations. Further details and data can be found in the annexes to the evaluation report.</w:t>
      </w:r>
    </w:p>
    <w:p w14:paraId="7485158E" w14:textId="5B3B90F5" w:rsidR="00D52AD8" w:rsidRPr="00C57110" w:rsidRDefault="00D52AD8" w:rsidP="00D52AD8">
      <w:pPr>
        <w:rPr>
          <w:noProof/>
        </w:rPr>
      </w:pPr>
      <w:r w:rsidRPr="00C57110">
        <w:rPr>
          <w:noProof/>
        </w:rPr>
        <w:t xml:space="preserve">In summary, the evolution of the EU’s cybersecurity landscape over the evaluation period has been shaped by a series of ambitious and far-reaching legislative initiatives. These new laws have been instrumental in driving change, expanding the regulatory framework and strengthening the capacity of Member States, EU institutions and businesses to address increasingly complex and dynamic cyber threats. Their implementation has also revealed important challenges, including delays, resource constraints and the ongoing need for harmonisation. The rapidly changing cyber threat landscape, technological advances and geopolitical developments </w:t>
      </w:r>
      <w:r w:rsidR="00B202FC" w:rsidRPr="00380B24">
        <w:rPr>
          <w:noProof/>
        </w:rPr>
        <w:t>increase</w:t>
      </w:r>
      <w:r w:rsidRPr="00C57110">
        <w:rPr>
          <w:noProof/>
        </w:rPr>
        <w:t xml:space="preserve"> the critical importance of these legislative measures and the need for continued adaptation and coordination at European level. This </w:t>
      </w:r>
      <w:r w:rsidR="00B202FC" w:rsidRPr="00380B24">
        <w:rPr>
          <w:noProof/>
        </w:rPr>
        <w:t>is the background to</w:t>
      </w:r>
      <w:r w:rsidRPr="00C57110">
        <w:rPr>
          <w:noProof/>
        </w:rPr>
        <w:t xml:space="preserve"> the subsequent analysis of the effectiveness, efficiency and added value of the CSA, ENISA’s mandate and the ECCF.</w:t>
      </w:r>
    </w:p>
    <w:p w14:paraId="3098EC63" w14:textId="77777777" w:rsidR="00D52AD8" w:rsidRPr="00C57110" w:rsidRDefault="00D52AD8" w:rsidP="00D52AD8">
      <w:pPr>
        <w:rPr>
          <w:noProof/>
        </w:rPr>
      </w:pPr>
      <w:r w:rsidRPr="00C57110">
        <w:rPr>
          <w:noProof/>
        </w:rPr>
        <w:br w:type="page"/>
      </w:r>
    </w:p>
    <w:p w14:paraId="75B158EB" w14:textId="77777777" w:rsidR="00D52AD8" w:rsidRPr="00C57110" w:rsidRDefault="00D52AD8" w:rsidP="00D52AD8">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23" w:name="_Toc218702599"/>
      <w:bookmarkStart w:id="424" w:name="_Toc219039522"/>
      <w:bookmarkStart w:id="425" w:name="_Toc219447425"/>
      <w:r w:rsidRPr="00C57110">
        <w:rPr>
          <w:noProof/>
          <w:szCs w:val="24"/>
        </w:rPr>
        <w:t>Evaluation findings (analytical part)</w:t>
      </w:r>
      <w:bookmarkEnd w:id="423"/>
      <w:bookmarkEnd w:id="424"/>
      <w:bookmarkEnd w:id="425"/>
    </w:p>
    <w:p w14:paraId="2FAD3019" w14:textId="1734E27F" w:rsidR="00D52AD8" w:rsidRPr="00C57110" w:rsidRDefault="00D52AD8" w:rsidP="00D52AD8">
      <w:pPr>
        <w:pStyle w:val="Text1"/>
        <w:ind w:left="0"/>
        <w:rPr>
          <w:noProof/>
        </w:rPr>
      </w:pPr>
      <w:r w:rsidRPr="00C57110">
        <w:rPr>
          <w:noProof/>
        </w:rPr>
        <w:t xml:space="preserve">This chapter presents an analytical assessment of the CSA, ENISA’s mandate and the ECCF, drawing on the </w:t>
      </w:r>
      <w:r w:rsidR="00B202FC" w:rsidRPr="00380B24">
        <w:rPr>
          <w:noProof/>
        </w:rPr>
        <w:t>study</w:t>
      </w:r>
      <w:r w:rsidRPr="00C57110">
        <w:rPr>
          <w:noProof/>
        </w:rPr>
        <w:t xml:space="preserve"> to support the evaluation of ENISA and the ECCF from 2024</w:t>
      </w:r>
      <w:r w:rsidRPr="00C57110">
        <w:rPr>
          <w:rStyle w:val="FootnoteReference"/>
          <w:noProof/>
        </w:rPr>
        <w:footnoteReference w:id="281"/>
      </w:r>
      <w:r w:rsidRPr="00C57110">
        <w:rPr>
          <w:noProof/>
        </w:rPr>
        <w:t xml:space="preserve">. This chapter summarises the findings around the five evaluation criteria: effectiveness, efficiency, coherence, EU added value and relevance. Drawing on qualitative and quantitative evidence, including stakeholder surveys, interviews and performance data, this chapter compares the expected outcomes of the </w:t>
      </w:r>
      <w:r w:rsidR="00B202FC" w:rsidRPr="00380B24">
        <w:rPr>
          <w:noProof/>
        </w:rPr>
        <w:t>action</w:t>
      </w:r>
      <w:r w:rsidRPr="00C57110">
        <w:rPr>
          <w:noProof/>
        </w:rPr>
        <w:t xml:space="preserve"> with the actual situation observed during the evaluation period. The analysis provides an evidence-based assessment on the extent to which the </w:t>
      </w:r>
      <w:r w:rsidR="00B202FC" w:rsidRPr="00380B24">
        <w:rPr>
          <w:noProof/>
        </w:rPr>
        <w:t>action</w:t>
      </w:r>
      <w:r w:rsidRPr="00C57110">
        <w:rPr>
          <w:noProof/>
        </w:rPr>
        <w:t xml:space="preserve"> achieved its objectives, the difference it made for various stakeholders and its ongoing suitability in the face of evolving cybersecurity challenges and policy needs. References to supporting data and further details are provided throughout, with additional evidence available in the annexes.</w:t>
      </w:r>
    </w:p>
    <w:p w14:paraId="221B0B52" w14:textId="77777777" w:rsidR="00D52AD8" w:rsidRPr="00C57110" w:rsidRDefault="00D52AD8" w:rsidP="00D52AD8">
      <w:pPr>
        <w:pStyle w:val="Heading1"/>
        <w:numPr>
          <w:ilvl w:val="1"/>
          <w:numId w:val="3"/>
        </w:numPr>
        <w:rPr>
          <w:rFonts w:ascii="Times New Roman Bold" w:hAnsi="Times New Roman Bold"/>
          <w:b w:val="0"/>
          <w:smallCaps w:val="0"/>
          <w:noProof/>
          <w:szCs w:val="24"/>
        </w:rPr>
      </w:pPr>
      <w:bookmarkStart w:id="426" w:name="_Toc82789914"/>
      <w:bookmarkStart w:id="427" w:name="_Toc218702600"/>
      <w:bookmarkStart w:id="428" w:name="_Toc219039523"/>
      <w:bookmarkStart w:id="429" w:name="_Toc219447426"/>
      <w:r w:rsidRPr="00C57110">
        <w:rPr>
          <w:rFonts w:ascii="Times New Roman Bold" w:hAnsi="Times New Roman Bold"/>
          <w:b w:val="0"/>
          <w:smallCaps w:val="0"/>
          <w:noProof/>
          <w:szCs w:val="24"/>
        </w:rPr>
        <w:t>To what extent was the intervention successful and why?</w:t>
      </w:r>
      <w:bookmarkEnd w:id="426"/>
      <w:bookmarkEnd w:id="427"/>
      <w:bookmarkEnd w:id="428"/>
      <w:bookmarkEnd w:id="429"/>
      <w:r w:rsidRPr="00C57110">
        <w:rPr>
          <w:rFonts w:ascii="Times New Roman Bold" w:hAnsi="Times New Roman Bold"/>
          <w:b w:val="0"/>
          <w:smallCaps w:val="0"/>
          <w:noProof/>
          <w:szCs w:val="24"/>
        </w:rPr>
        <w:t xml:space="preserve"> </w:t>
      </w:r>
    </w:p>
    <w:p w14:paraId="028E1346" w14:textId="77777777" w:rsidR="00D52AD8" w:rsidRPr="00C57110" w:rsidRDefault="00D52AD8" w:rsidP="00D52AD8">
      <w:pPr>
        <w:pStyle w:val="Text1"/>
        <w:ind w:left="0"/>
        <w:rPr>
          <w:b/>
          <w:bCs/>
          <w:noProof/>
        </w:rPr>
      </w:pPr>
      <w:r w:rsidRPr="00C57110">
        <w:rPr>
          <w:b/>
          <w:bCs/>
          <w:noProof/>
        </w:rPr>
        <w:t>Effectiveness</w:t>
      </w:r>
    </w:p>
    <w:p w14:paraId="1F8606AD" w14:textId="77777777" w:rsidR="00D52AD8" w:rsidRPr="00C57110" w:rsidRDefault="00D52AD8" w:rsidP="00D52AD8">
      <w:pPr>
        <w:pStyle w:val="Text1"/>
        <w:ind w:left="0"/>
        <w:rPr>
          <w:b/>
          <w:bCs/>
          <w:noProof/>
        </w:rPr>
      </w:pPr>
      <w:r w:rsidRPr="00C57110">
        <w:rPr>
          <w:b/>
          <w:bCs/>
          <w:noProof/>
        </w:rPr>
        <w:t>ENISA</w:t>
      </w:r>
    </w:p>
    <w:p w14:paraId="73BACEB3" w14:textId="62E1CD4B" w:rsidR="00D52AD8" w:rsidRPr="00380B24" w:rsidRDefault="00D52AD8" w:rsidP="00D52AD8">
      <w:pPr>
        <w:rPr>
          <w:noProof/>
        </w:rPr>
      </w:pPr>
      <w:r w:rsidRPr="00C57110">
        <w:rPr>
          <w:rFonts w:eastAsia="Times New Roman"/>
          <w:noProof/>
          <w:color w:val="000000" w:themeColor="text1"/>
        </w:rPr>
        <w:t xml:space="preserve">ENISA has fulfilled its mandate by delivering nearly all planned outputs. </w:t>
      </w:r>
      <w:r w:rsidR="00B202FC" w:rsidRPr="00380B24">
        <w:rPr>
          <w:rFonts w:eastAsia="Times New Roman"/>
          <w:noProof/>
          <w:color w:val="000000" w:themeColor="text1"/>
        </w:rPr>
        <w:t>During</w:t>
      </w:r>
      <w:r w:rsidRPr="00C57110">
        <w:rPr>
          <w:rFonts w:eastAsia="Times New Roman"/>
          <w:noProof/>
          <w:color w:val="000000" w:themeColor="text1"/>
        </w:rPr>
        <w:t xml:space="preserve"> challenging times</w:t>
      </w:r>
      <w:r w:rsidR="00B202FC" w:rsidRPr="00380B24">
        <w:rPr>
          <w:rFonts w:eastAsia="Times New Roman"/>
          <w:noProof/>
          <w:color w:val="000000" w:themeColor="text1"/>
        </w:rPr>
        <w:t>,</w:t>
      </w:r>
      <w:r w:rsidRPr="00C57110">
        <w:rPr>
          <w:rFonts w:eastAsia="Times New Roman"/>
          <w:noProof/>
          <w:color w:val="000000" w:themeColor="text1"/>
        </w:rPr>
        <w:t xml:space="preserve"> such as the COVID-19 pandemic and Russian war of aggression on Ukraine, </w:t>
      </w:r>
      <w:r w:rsidR="00B202FC" w:rsidRPr="00380B24">
        <w:rPr>
          <w:rFonts w:eastAsia="Times New Roman"/>
          <w:noProof/>
          <w:color w:val="000000" w:themeColor="text1"/>
        </w:rPr>
        <w:t xml:space="preserve">ENISA </w:t>
      </w:r>
      <w:r w:rsidRPr="00C57110">
        <w:rPr>
          <w:rFonts w:eastAsia="Times New Roman"/>
          <w:noProof/>
          <w:color w:val="000000" w:themeColor="text1"/>
        </w:rPr>
        <w:t xml:space="preserve">demonstrated flexibility and </w:t>
      </w:r>
      <w:r w:rsidR="00B202FC" w:rsidRPr="00380B24">
        <w:rPr>
          <w:rFonts w:eastAsia="Times New Roman"/>
          <w:noProof/>
          <w:color w:val="000000" w:themeColor="text1"/>
        </w:rPr>
        <w:t>was evaluated positively by stakeholders.</w:t>
      </w:r>
      <w:r w:rsidRPr="00C57110">
        <w:rPr>
          <w:rFonts w:eastAsia="Times New Roman"/>
          <w:noProof/>
          <w:color w:val="000000" w:themeColor="text1"/>
        </w:rPr>
        <w:t xml:space="preserve"> ENISA’s effectiveness stems from a robust governance structure and a matrix-based organisational model that facilitates task delivery and cooperation. However, while stakeholders valued ENISA’s capacity-building efforts, </w:t>
      </w:r>
      <w:r w:rsidR="00B202FC" w:rsidRPr="00380B24">
        <w:rPr>
          <w:rFonts w:eastAsia="Times New Roman"/>
          <w:noProof/>
          <w:color w:val="000000" w:themeColor="text1"/>
        </w:rPr>
        <w:t xml:space="preserve">there were occasionally delays due to </w:t>
      </w:r>
      <w:r w:rsidRPr="00C57110">
        <w:rPr>
          <w:rFonts w:eastAsia="Times New Roman"/>
          <w:noProof/>
          <w:color w:val="000000" w:themeColor="text1"/>
        </w:rPr>
        <w:t>ongoing resource constraints and rigid strategic plans</w:t>
      </w:r>
      <w:r w:rsidR="00B202FC" w:rsidRPr="00380B24">
        <w:rPr>
          <w:rFonts w:eastAsia="Times New Roman"/>
          <w:noProof/>
          <w:color w:val="000000" w:themeColor="text1"/>
        </w:rPr>
        <w:t>.</w:t>
      </w:r>
      <w:r w:rsidRPr="00C57110">
        <w:rPr>
          <w:rFonts w:eastAsia="Times New Roman"/>
          <w:noProof/>
          <w:color w:val="000000" w:themeColor="text1"/>
        </w:rPr>
        <w:t xml:space="preserve"> In particular, ENISA planned 219 outputs between 2017 and 2022 and delivered 203, often exceeding initial targets per output due to a higher-than-expected number of stakeholders engaged in its activities. Eight outputs were delivered to some extent and in three cases, outputs were not delivered or only partially achieved</w:t>
      </w:r>
      <w:r w:rsidR="00B202FC" w:rsidRPr="00380B24">
        <w:rPr>
          <w:rFonts w:eastAsia="Times New Roman"/>
          <w:noProof/>
          <w:color w:val="000000" w:themeColor="text1"/>
        </w:rPr>
        <w:t>,</w:t>
      </w:r>
      <w:r w:rsidRPr="00C57110">
        <w:rPr>
          <w:rFonts w:eastAsia="Times New Roman"/>
          <w:noProof/>
          <w:color w:val="000000" w:themeColor="text1"/>
        </w:rPr>
        <w:t xml:space="preserve"> due </w:t>
      </w:r>
      <w:r w:rsidR="00B202FC" w:rsidRPr="00380B24">
        <w:rPr>
          <w:rFonts w:eastAsia="Times New Roman"/>
          <w:noProof/>
          <w:color w:val="000000" w:themeColor="text1"/>
        </w:rPr>
        <w:t xml:space="preserve">particularly </w:t>
      </w:r>
      <w:r w:rsidRPr="00C57110">
        <w:rPr>
          <w:rFonts w:eastAsia="Times New Roman"/>
          <w:noProof/>
          <w:color w:val="000000" w:themeColor="text1"/>
        </w:rPr>
        <w:t xml:space="preserve">to the COVID-19 pandemic. The results of five outputs were not reported entirely. ENISA’s support </w:t>
      </w:r>
      <w:r w:rsidR="00B202FC" w:rsidRPr="00380B24">
        <w:rPr>
          <w:rFonts w:eastAsia="Times New Roman"/>
          <w:noProof/>
          <w:color w:val="000000" w:themeColor="text1"/>
        </w:rPr>
        <w:t>for</w:t>
      </w:r>
      <w:r w:rsidRPr="00C57110">
        <w:rPr>
          <w:rFonts w:eastAsia="Times New Roman"/>
          <w:noProof/>
          <w:color w:val="000000" w:themeColor="text1"/>
        </w:rPr>
        <w:t xml:space="preserve"> policy implementation was generally well received, with 93% of stakeholders expressing satisfaction with </w:t>
      </w:r>
      <w:r w:rsidR="00B202FC" w:rsidRPr="00380B24">
        <w:rPr>
          <w:rFonts w:eastAsia="Times New Roman"/>
          <w:noProof/>
          <w:color w:val="000000" w:themeColor="text1"/>
        </w:rPr>
        <w:t xml:space="preserve">ENISA’s </w:t>
      </w:r>
      <w:r w:rsidRPr="00C57110">
        <w:rPr>
          <w:rFonts w:eastAsia="Times New Roman"/>
          <w:noProof/>
          <w:color w:val="000000" w:themeColor="text1"/>
        </w:rPr>
        <w:t xml:space="preserve">added value in this area in 2022.  </w:t>
      </w:r>
      <w:r w:rsidR="00B202FC" w:rsidRPr="00380B24">
        <w:rPr>
          <w:noProof/>
        </w:rPr>
        <w:t>ENISA</w:t>
      </w:r>
      <w:r w:rsidRPr="00380B24">
        <w:rPr>
          <w:noProof/>
        </w:rPr>
        <w:t xml:space="preserve"> contributed to national and EU policies and legislative initiatives, supported the implementation of the NIS Directive and played a key role in the development of the ECCF. In 2021, ENISA made 193 relevant contributions to EU and national policies and legislative initiatives, which increased to 314 in 2022. However, over 80% of these contributions were through organising workshops and conferences. In 2022, ENISA’s reports, analyses and studies were referred to 65 times at EU and national levels.</w:t>
      </w:r>
      <w:r w:rsidR="00B202FC" w:rsidRPr="00380B24">
        <w:rPr>
          <w:noProof/>
        </w:rPr>
        <w:t xml:space="preserve"> Between 2017 and 2023, ENISA produced and issued a total of 286 publications. These covered a wide range of topics, with the most frequent being cybersecurity policy (72 publications), cyber threats (48), critical infrastructure (38), incident reporting (24) and emerging technologies (21).</w:t>
      </w:r>
    </w:p>
    <w:p w14:paraId="4322130A" w14:textId="77777777" w:rsidR="00B202FC" w:rsidRPr="00380B24" w:rsidRDefault="00B202FC" w:rsidP="00B202FC">
      <w:pPr>
        <w:rPr>
          <w:noProof/>
        </w:rPr>
      </w:pPr>
      <w:r w:rsidRPr="00380B24">
        <w:rPr>
          <w:noProof/>
        </w:rPr>
        <w:t>Among key outputs, ENISA’s studies, such as the 2020 report on NIS investments</w:t>
      </w:r>
      <w:r w:rsidRPr="00380B24">
        <w:rPr>
          <w:rStyle w:val="FootnoteReference"/>
          <w:noProof/>
        </w:rPr>
        <w:footnoteReference w:id="282"/>
      </w:r>
      <w:r w:rsidRPr="00380B24">
        <w:rPr>
          <w:noProof/>
        </w:rPr>
        <w:t>, highlighted the challenges faced by organisations in implementing the NIS Directive, such as unclear expectations and limited support from national authorities. Moreover, the Agency’s support to the NIS Cooperation Group Workstream on Digital infrastructure and service providers was crucial in analysing the security aspects of the digital infrastructure sector, which then fed into the NIS2 proposal to extend the scope of the sector. This analysis also assisted Member States in the development of guidelines by highlighting priorities and best practices within the industry.</w:t>
      </w:r>
      <w:r w:rsidRPr="00380B24">
        <w:rPr>
          <w:rStyle w:val="FootnoteReference"/>
          <w:noProof/>
        </w:rPr>
        <w:footnoteReference w:id="283"/>
      </w:r>
      <w:r w:rsidRPr="00380B24">
        <w:rPr>
          <w:noProof/>
        </w:rPr>
        <w:t xml:space="preserve"> </w:t>
      </w:r>
    </w:p>
    <w:p w14:paraId="0D41395B" w14:textId="77777777" w:rsidR="00B202FC" w:rsidRPr="00380B24" w:rsidRDefault="00B202FC" w:rsidP="00B202FC">
      <w:pPr>
        <w:rPr>
          <w:noProof/>
        </w:rPr>
      </w:pPr>
      <w:r w:rsidRPr="00380B24">
        <w:rPr>
          <w:noProof/>
        </w:rPr>
        <w:t>In 2023, ENISA’s efforts in the implementation of the directive included the provision of technical advice to the Commission on the implementation of NIS2 security measures and the drafting of guidelines for national coordinated vulnerability disclosure policies.</w:t>
      </w:r>
      <w:r w:rsidRPr="00380B24">
        <w:rPr>
          <w:rStyle w:val="FootnoteReference"/>
          <w:noProof/>
        </w:rPr>
        <w:footnoteReference w:id="284"/>
      </w:r>
      <w:r w:rsidRPr="00380B24">
        <w:rPr>
          <w:noProof/>
        </w:rPr>
        <w:t xml:space="preserve"> The Agency supported the implementation of NIS2 by responding to 12 individual requests from Member States for advice on the transposition of the Directive into national legislation and by organising risk management training for national authorities to help build knowledge and expertise.</w:t>
      </w:r>
    </w:p>
    <w:p w14:paraId="60988E2E" w14:textId="77777777"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However, stakeholders also noted that ENISA’s reports could be more concise, practical and better tailored to their needs, with improved visualisation and summaries. The lack of a more effective communication system and the complex structure of ENISA’s website further complicated stakeholder interaction with ENISA’s outputs. Some stakeholders called for more transparent processes, better tailored content and more detailed and pragmatic guidance, especially for sector-specific needs. </w:t>
      </w:r>
    </w:p>
    <w:p w14:paraId="57935CF1" w14:textId="0B8DA811"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While ENISA has achieved many of its objectives, there is a clear opportunity for ENISA to enhance its efficiency through improved prioritisation, clear focus and more strategic resource allocation. </w:t>
      </w:r>
      <w:r w:rsidR="00B202FC" w:rsidRPr="00380B24">
        <w:rPr>
          <w:rFonts w:eastAsia="Times New Roman"/>
          <w:noProof/>
          <w:color w:val="000000" w:themeColor="text1"/>
        </w:rPr>
        <w:t>ENISA’s</w:t>
      </w:r>
      <w:r w:rsidRPr="00C57110">
        <w:rPr>
          <w:rFonts w:eastAsia="Times New Roman"/>
          <w:noProof/>
          <w:color w:val="000000" w:themeColor="text1"/>
        </w:rPr>
        <w:t xml:space="preserve"> efficiency has been occasionally hampered by external factors and a need for more streamlined internal governance. Internally, ENISA has developed innovative solutions, such as a matrix-based organisational model, to coordinate between operational and administrative functions more effectively. However, </w:t>
      </w:r>
      <w:r w:rsidR="00B202FC" w:rsidRPr="00380B24">
        <w:rPr>
          <w:rFonts w:eastAsia="Times New Roman"/>
          <w:noProof/>
          <w:color w:val="000000" w:themeColor="text1"/>
        </w:rPr>
        <w:t xml:space="preserve"> ENISA's staff</w:t>
      </w:r>
      <w:r w:rsidRPr="00C57110">
        <w:rPr>
          <w:rFonts w:eastAsia="Times New Roman"/>
          <w:noProof/>
          <w:color w:val="000000" w:themeColor="text1"/>
        </w:rPr>
        <w:t xml:space="preserve"> occupancy rate fluctuated between 74% and 90% from 2017 to 2023 and recruitment and retention of senior cybersecurity experts remained a persistent challenge. This impacted deliverables</w:t>
      </w:r>
      <w:r w:rsidR="00B202FC" w:rsidRPr="00380B24">
        <w:rPr>
          <w:rFonts w:eastAsia="Times New Roman"/>
          <w:noProof/>
          <w:color w:val="000000" w:themeColor="text1"/>
        </w:rPr>
        <w:t>,</w:t>
      </w:r>
      <w:r w:rsidRPr="00C57110">
        <w:rPr>
          <w:rFonts w:eastAsia="Times New Roman"/>
          <w:noProof/>
          <w:color w:val="000000" w:themeColor="text1"/>
        </w:rPr>
        <w:t xml:space="preserve"> with some outputs that were not delivered or only partially achieved.</w:t>
      </w:r>
    </w:p>
    <w:p w14:paraId="4B616869" w14:textId="54754447" w:rsidR="00D52AD8" w:rsidRPr="00C57110" w:rsidRDefault="00D52AD8" w:rsidP="00D52AD8">
      <w:pPr>
        <w:tabs>
          <w:tab w:val="left" w:pos="5103"/>
        </w:tabs>
        <w:spacing w:after="120"/>
        <w:rPr>
          <w:rFonts w:eastAsia="Times New Roman"/>
          <w:noProof/>
          <w:color w:val="000000" w:themeColor="text1"/>
        </w:rPr>
      </w:pPr>
      <w:r w:rsidRPr="00C57110">
        <w:rPr>
          <w:rFonts w:eastAsia="Times New Roman"/>
          <w:noProof/>
          <w:color w:val="000000" w:themeColor="text1"/>
        </w:rPr>
        <w:t xml:space="preserve">There is also room to improve task prioritisation. By reassessing its operational focus, ENISA can leverage existing frameworks and stakeholder feedback to improve task delivery even further. This approach is particularly crucial for addressing emergent priorities without compromising on existing commitments. ENISA’s ongoing commitment to stakeholder engagement and consultation has been a strength, yet </w:t>
      </w:r>
      <w:r w:rsidR="00B202FC" w:rsidRPr="00380B24">
        <w:rPr>
          <w:rFonts w:eastAsia="Times New Roman"/>
          <w:noProof/>
          <w:color w:val="000000" w:themeColor="text1"/>
        </w:rPr>
        <w:t>its</w:t>
      </w:r>
      <w:r w:rsidRPr="00C57110">
        <w:rPr>
          <w:rFonts w:eastAsia="Times New Roman"/>
          <w:noProof/>
          <w:color w:val="000000" w:themeColor="text1"/>
        </w:rPr>
        <w:t xml:space="preserve"> operational capacity shows insufficient resources. </w:t>
      </w:r>
      <w:r w:rsidR="00B202FC" w:rsidRPr="00380B24">
        <w:rPr>
          <w:rFonts w:eastAsia="Times New Roman"/>
          <w:noProof/>
          <w:color w:val="000000" w:themeColor="text1"/>
        </w:rPr>
        <w:t>More</w:t>
      </w:r>
      <w:r w:rsidRPr="00C57110">
        <w:rPr>
          <w:rFonts w:eastAsia="Times New Roman"/>
          <w:noProof/>
          <w:color w:val="000000" w:themeColor="text1"/>
        </w:rPr>
        <w:t xml:space="preserve"> dynamic reallocation of tasks and resources could help </w:t>
      </w:r>
      <w:r w:rsidR="00B202FC" w:rsidRPr="00380B24">
        <w:rPr>
          <w:rFonts w:eastAsia="Times New Roman"/>
          <w:noProof/>
          <w:color w:val="000000" w:themeColor="text1"/>
        </w:rPr>
        <w:t>towards</w:t>
      </w:r>
      <w:r w:rsidRPr="00C57110">
        <w:rPr>
          <w:rFonts w:eastAsia="Times New Roman"/>
          <w:noProof/>
          <w:color w:val="000000" w:themeColor="text1"/>
        </w:rPr>
        <w:t xml:space="preserve"> timely fulfilment of new requests and enhance ENISA’s ability to respond to cybersecurity challenges to a certain extent. </w:t>
      </w:r>
    </w:p>
    <w:p w14:paraId="617AB480" w14:textId="77777777" w:rsidR="00B202FC" w:rsidRPr="00380B24" w:rsidRDefault="00B202FC" w:rsidP="00B202FC">
      <w:pPr>
        <w:spacing w:after="120"/>
        <w:rPr>
          <w:noProof/>
        </w:rPr>
      </w:pPr>
      <w:r w:rsidRPr="00380B24">
        <w:rPr>
          <w:rFonts w:eastAsia="Times New Roman"/>
          <w:noProof/>
          <w:color w:val="000000" w:themeColor="text1"/>
        </w:rPr>
        <w:t>ENISA’s aim of maintaining and bolstering its reputation in the cybersecurity community could be further realised by ensuring that tasks are aligned not only with strategic goals but also with operational capacity. To this end, ENISA’s mandate would need to be revised, supported by a continual process of resource evaluation and strategic reprioritisation. This structured approach will assist ENISA in navigating its evolving role within the EU cybersecurity framework more effectively, ultimately increasing its impact and sustaining its status as a flagship institution for cybersecurity initiatives. Such prioritisation should be facilitated through collaborative efforts between ENISA, Member States, and EU policymakers to ensure alignment with strategic objectives and operational capacity.  </w:t>
      </w:r>
    </w:p>
    <w:p w14:paraId="3B6B8CC9" w14:textId="77777777" w:rsidR="00B202FC" w:rsidRPr="00380B24" w:rsidRDefault="00B202FC" w:rsidP="00B202FC">
      <w:pPr>
        <w:pStyle w:val="Text1"/>
        <w:spacing w:before="240"/>
        <w:ind w:left="0"/>
        <w:rPr>
          <w:b/>
          <w:bCs/>
          <w:noProof/>
        </w:rPr>
      </w:pPr>
      <w:r w:rsidRPr="00380B24">
        <w:rPr>
          <w:b/>
          <w:bCs/>
          <w:noProof/>
        </w:rPr>
        <w:t>ECCF</w:t>
      </w:r>
    </w:p>
    <w:p w14:paraId="2804BF48"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The ECCF was envisioned as a pillar for improving cybersecurity assurance across the EU internal market, aiming to harmonise the certification of ICT products, services, and processes. It sought to tackle persistent issues such as market fragmentation, the need for enhanced transparency, and raise public trust in digital solutions. Its structured governance model involving entities like ENISA and the European Cybersecurity Certification Group (ECCG), gathering National Cybersecurity Certification Authorities (NCCAs), has indeed laid a foundation for increased coordination among stakeholders, including Member States and private entities. However, the practical realisation of these goals has been met with numerous challenges that have restricted the ECCF’s effectiveness. A significant shortcoming of the current ECCF is its inability to effectively address the fragmentation of certification schemes across the EU, mainly due to procedural limitations. This fragmentation has persisted even though the framework is intended to harmonise certification processes, leading to inconsistencies and inefficiencies in cybersecurity assurance. This can be observed in the substantial delay in operationalising the first certification scheme, the EUCC, which took 55 months from initiation to adoption. This delay points to inefficiencies, predominantly influenced by the complex and multifaceted approval procedures. Moreover, there is a certain lack of clarity about responsibilities and accountability among stakeholders. This has made achieving the framework objectives even more complex. External factors further complicated the ECCF’s aims. </w:t>
      </w:r>
    </w:p>
    <w:p w14:paraId="592AF2D7"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The evolving geopolitical landscape, characterised by increasing cyber threats and political tensions around data sovereignty and digital control, required adaptive measures that the ECCF struggled to implement swiftly. These external pressures resulted in delayed scheme adoptions, as seen with the EUCS, where discussions stalled over non-technical debates like data localisation requirements. </w:t>
      </w:r>
    </w:p>
    <w:p w14:paraId="5FB2F918" w14:textId="77777777" w:rsidR="00B202FC" w:rsidRPr="00380B24" w:rsidRDefault="00B202FC" w:rsidP="00B202FC">
      <w:pPr>
        <w:spacing w:after="120"/>
        <w:rPr>
          <w:noProof/>
        </w:rPr>
      </w:pPr>
      <w:r w:rsidRPr="00380B24">
        <w:rPr>
          <w:rFonts w:eastAsia="Times New Roman"/>
          <w:noProof/>
          <w:color w:val="000000" w:themeColor="text1"/>
        </w:rPr>
        <w:t>Despite these hurdles, there have been positive outcomes–particularly in raising awareness across Member States about the importance and intricacies of cybersecurity certification. The COVID-19 pandemic, while causing operational delays, also made the necessity for resilient digital infrastructure even clearer, thrusting cybersecurity into the policy spotlight. Additionally, the analysis identified key lessons, noting the uneven resource allocation across stakeholders, which hinders the uniform development and deployment of certification schemes. National authorities acknowledged the support of the ECCF in building national cybersecurity certification capabilities but noted significant resource imbalances between Member States. For example, the number of FTEs was seven times higher in one Member State compared to another one for similar activities of issuing certificates. Also, ENISA stated that due to the difficulty of retaining staff and the competitive job market for cybersecurity professionals, it could not maintain its full staff level (including for certification) at times. Addressing these disparities is vital for future efficiency and effectiveness, particularly through retaining expert staff within ENISA and fostering constant dialogue among all parties involved.  </w:t>
      </w:r>
      <w:r w:rsidRPr="00380B24">
        <w:rPr>
          <w:noProof/>
        </w:rPr>
        <w:t xml:space="preserve"> </w:t>
      </w:r>
    </w:p>
    <w:p w14:paraId="103DEB51" w14:textId="31C94929" w:rsidR="00D52AD8" w:rsidRPr="00C57110" w:rsidRDefault="00B202FC" w:rsidP="00D52AD8">
      <w:pPr>
        <w:pStyle w:val="Text1"/>
        <w:ind w:left="0"/>
        <w:rPr>
          <w:noProof/>
        </w:rPr>
      </w:pPr>
      <w:r w:rsidRPr="00380B24">
        <w:rPr>
          <w:noProof/>
        </w:rPr>
        <w:t xml:space="preserve">Despite these challenges, the ECCF did improve harmonisation among Member States and established better cooperation opportunities, particularly through the creation of stakeholder cooperation forums such as the ECCG. </w:t>
      </w:r>
      <w:r w:rsidR="00D52AD8" w:rsidRPr="00C57110">
        <w:rPr>
          <w:noProof/>
        </w:rPr>
        <w:t xml:space="preserve">Most participants during the interview process agreed that the ECCF established better cooperation opportunities for Member States and the majority of Member </w:t>
      </w:r>
      <w:r w:rsidRPr="00380B24">
        <w:rPr>
          <w:noProof/>
        </w:rPr>
        <w:t>State</w:t>
      </w:r>
      <w:r w:rsidR="00D52AD8" w:rsidRPr="00C57110">
        <w:rPr>
          <w:noProof/>
        </w:rPr>
        <w:t xml:space="preserve"> representatives interviewed agreed that the ECCF improved harmonisation among Member States. Statements gathered during interviews </w:t>
      </w:r>
      <w:r w:rsidRPr="00380B24">
        <w:rPr>
          <w:noProof/>
        </w:rPr>
        <w:t>underlined the importance of</w:t>
      </w:r>
      <w:r w:rsidR="00D52AD8" w:rsidRPr="00C57110">
        <w:rPr>
          <w:noProof/>
        </w:rPr>
        <w:t xml:space="preserve"> the ECCF support to Member </w:t>
      </w:r>
      <w:r w:rsidRPr="00380B24">
        <w:rPr>
          <w:noProof/>
        </w:rPr>
        <w:t>States when Member States developed their</w:t>
      </w:r>
      <w:r w:rsidR="00D52AD8" w:rsidRPr="00C57110">
        <w:rPr>
          <w:noProof/>
        </w:rPr>
        <w:t xml:space="preserve"> capabilities</w:t>
      </w:r>
      <w:r w:rsidRPr="00380B24">
        <w:rPr>
          <w:noProof/>
        </w:rPr>
        <w:t>.</w:t>
      </w:r>
      <w:r w:rsidR="00D52AD8" w:rsidRPr="00C57110">
        <w:rPr>
          <w:noProof/>
        </w:rPr>
        <w:t xml:space="preserve"> For instance, </w:t>
      </w:r>
      <w:r w:rsidRPr="00380B24">
        <w:rPr>
          <w:noProof/>
        </w:rPr>
        <w:t>one</w:t>
      </w:r>
      <w:r w:rsidR="00D52AD8" w:rsidRPr="00C57110">
        <w:rPr>
          <w:noProof/>
        </w:rPr>
        <w:t xml:space="preserve"> national authority reported how it benefited from cooperation among Member States by acquiring knowledge in areas where it lacked expertise, while others stressed the pedagogical value that cooperation among ECCG members can have. However, national experts stressed that the ECCF strengths remained ‘potential’ due to the lack of scheme implementation so far.</w:t>
      </w:r>
    </w:p>
    <w:p w14:paraId="3279475C" w14:textId="77777777" w:rsidR="00D52AD8" w:rsidRPr="00C57110" w:rsidRDefault="00D52AD8" w:rsidP="00D52AD8">
      <w:pPr>
        <w:pStyle w:val="Text1"/>
        <w:ind w:left="0"/>
        <w:rPr>
          <w:b/>
          <w:bCs/>
          <w:noProof/>
        </w:rPr>
      </w:pPr>
      <w:r w:rsidRPr="00C57110">
        <w:rPr>
          <w:b/>
          <w:bCs/>
          <w:noProof/>
        </w:rPr>
        <w:t>Efficiency</w:t>
      </w:r>
    </w:p>
    <w:p w14:paraId="71B37274" w14:textId="77777777" w:rsidR="00D52AD8" w:rsidRPr="00C57110" w:rsidRDefault="00D52AD8" w:rsidP="00D52AD8">
      <w:pPr>
        <w:pStyle w:val="Text1"/>
        <w:ind w:left="0"/>
        <w:rPr>
          <w:b/>
          <w:bCs/>
          <w:noProof/>
        </w:rPr>
      </w:pPr>
      <w:r w:rsidRPr="00C57110">
        <w:rPr>
          <w:b/>
          <w:bCs/>
          <w:noProof/>
        </w:rPr>
        <w:t>ENISA</w:t>
      </w:r>
    </w:p>
    <w:p w14:paraId="0C3ACAC6" w14:textId="12087CEB"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During the evaluation period, which spanned from 2017 to 2023, ENISA demonstrated efficient operations under its existing governance structure. The matrix-based organisational framework helped ENISA prioritise tasks, optimised resource alignment, and fostered cooperation between various units. This approach, coupled with a balanced mix of operational and administrative staff, helped facilitate the execution of its mandated duties. Despite this, the evaluation highlighted several key areas where ENISA has room to improve its efficiency. Interviews with ENISA’s staff, </w:t>
      </w:r>
      <w:r w:rsidR="00B202FC" w:rsidRPr="00380B24">
        <w:rPr>
          <w:rFonts w:eastAsia="Times New Roman"/>
          <w:noProof/>
          <w:color w:val="000000" w:themeColor="text1"/>
        </w:rPr>
        <w:t>stakeholder</w:t>
      </w:r>
      <w:r w:rsidRPr="00C57110">
        <w:rPr>
          <w:rFonts w:eastAsia="Times New Roman"/>
          <w:noProof/>
          <w:color w:val="000000" w:themeColor="text1"/>
        </w:rPr>
        <w:t xml:space="preserve"> surveys and internal documentation indicated that </w:t>
      </w:r>
      <w:r w:rsidR="00B202FC" w:rsidRPr="00380B24">
        <w:rPr>
          <w:rFonts w:eastAsia="Times New Roman"/>
          <w:noProof/>
          <w:color w:val="000000" w:themeColor="text1"/>
        </w:rPr>
        <w:t>ENISA</w:t>
      </w:r>
      <w:r w:rsidRPr="00C57110">
        <w:rPr>
          <w:rFonts w:eastAsia="Times New Roman"/>
          <w:noProof/>
          <w:color w:val="000000" w:themeColor="text1"/>
        </w:rPr>
        <w:t xml:space="preserve"> struggled to keep pace with increasing demands and </w:t>
      </w:r>
      <w:r w:rsidR="00B202FC" w:rsidRPr="00380B24">
        <w:rPr>
          <w:rFonts w:eastAsia="Times New Roman"/>
          <w:noProof/>
          <w:color w:val="000000" w:themeColor="text1"/>
        </w:rPr>
        <w:t>fill</w:t>
      </w:r>
      <w:r w:rsidRPr="00C57110">
        <w:rPr>
          <w:rFonts w:eastAsia="Times New Roman"/>
          <w:noProof/>
          <w:color w:val="000000" w:themeColor="text1"/>
        </w:rPr>
        <w:t xml:space="preserve"> specialised positions, exacerbated by a global shortage of IT and cybersecurity specialists. This has led to delays, reprioritisation of tasks, and periods of high stress and workload. Stakeholders gave a positive assessment of ENISA’s performance during periods of high workload, with 63% of respondents stating that </w:t>
      </w:r>
      <w:r w:rsidR="00B202FC" w:rsidRPr="00380B24">
        <w:rPr>
          <w:rFonts w:eastAsia="Times New Roman"/>
          <w:noProof/>
          <w:color w:val="000000" w:themeColor="text1"/>
        </w:rPr>
        <w:t>ENISA</w:t>
      </w:r>
      <w:r w:rsidRPr="00C57110">
        <w:rPr>
          <w:rFonts w:eastAsia="Times New Roman"/>
          <w:noProof/>
          <w:color w:val="000000" w:themeColor="text1"/>
        </w:rPr>
        <w:t xml:space="preserve"> was successful or very successful in delivering its outputs. However, resource constraints, operational inefficiencies and challenges stemming from the political and regulatory environment were identified as the main obstacles to ENISA’s performance during periods of high workload.  In 2022, 64% of respondents experienced stress due to high workload and 43% due to high administrative burden. Only 32% gave a positive assessment of stress management.</w:t>
      </w:r>
    </w:p>
    <w:p w14:paraId="46AC475C"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Nevertheless, certain adjustments could alleviate these challenges. The recent strategic decisions to reallocate human resources demonstrate a capacity that can  address priority shifts to a certain extent. For instance, the reallocation of approximately 10.5 FTEs planned in 2022 to accommodate the Cybersecurity Support Action suggests that ENISA is able to optimise current resources when necessary even though, on that occasion, the FTEs needed for the implementation of the Support Action were in fact obtained partially through procurement and partially through contract management staff. </w:t>
      </w:r>
    </w:p>
    <w:p w14:paraId="5A3A7740" w14:textId="77777777" w:rsidR="00B202FC" w:rsidRPr="00380B24" w:rsidRDefault="00B202FC" w:rsidP="00B202FC">
      <w:pPr>
        <w:spacing w:after="120"/>
        <w:rPr>
          <w:noProof/>
        </w:rPr>
      </w:pPr>
      <w:r w:rsidRPr="00380B24">
        <w:rPr>
          <w:rFonts w:eastAsia="Times New Roman"/>
          <w:noProof/>
          <w:color w:val="000000" w:themeColor="text1"/>
        </w:rPr>
        <w:t xml:space="preserve">Budget management also presents opportunities for improvement. </w:t>
      </w:r>
      <w:r w:rsidRPr="00380B24">
        <w:rPr>
          <w:noProof/>
        </w:rPr>
        <w:t>Despite significant budget growth from 2017 to 2023, resource constraints persisted. ENISA’s budget grew unevenly, with notable increases in 2019 (over 46%), 2020 (30.5%) and 2022 (72.4% compared to 2021, due to the Cybersecurity Support Action).</w:t>
      </w:r>
      <w:r w:rsidRPr="00380B24">
        <w:rPr>
          <w:rFonts w:eastAsia="Times New Roman"/>
          <w:noProof/>
          <w:color w:val="000000" w:themeColor="text1"/>
        </w:rPr>
        <w:t xml:space="preserve"> ENISA was less able to balance approved and committed appropriations between 2019 and 2022 due to delays in actions like the Cybersecurity Support Action. By reversing this trend and making efforts to manage administrative expenditure, including addressing procurement delays, internal efficiency could see certain further enhancement. </w:t>
      </w:r>
    </w:p>
    <w:p w14:paraId="36F38046" w14:textId="77777777" w:rsidR="00D52AD8" w:rsidRPr="00C57110" w:rsidRDefault="00D52AD8" w:rsidP="00B202FC">
      <w:pPr>
        <w:pStyle w:val="Text1"/>
        <w:spacing w:before="240" w:after="120"/>
        <w:ind w:left="0"/>
        <w:rPr>
          <w:b/>
          <w:bCs/>
          <w:noProof/>
        </w:rPr>
      </w:pPr>
      <w:r w:rsidRPr="00C57110">
        <w:rPr>
          <w:b/>
          <w:bCs/>
          <w:noProof/>
        </w:rPr>
        <w:t>ECCF</w:t>
      </w:r>
    </w:p>
    <w:p w14:paraId="368CD40C" w14:textId="6AAD00BC"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The efficiency of the ECCF has been subject to scrutiny, given the extended timelines for the adoption of cybersecurity certification schemes and the </w:t>
      </w:r>
      <w:r w:rsidR="00B202FC" w:rsidRPr="00380B24">
        <w:rPr>
          <w:rFonts w:eastAsia="Times New Roman"/>
          <w:noProof/>
          <w:color w:val="000000" w:themeColor="text1"/>
        </w:rPr>
        <w:t>myriad</w:t>
      </w:r>
      <w:r w:rsidRPr="00C57110">
        <w:rPr>
          <w:rFonts w:eastAsia="Times New Roman"/>
          <w:noProof/>
          <w:color w:val="000000" w:themeColor="text1"/>
        </w:rPr>
        <w:t xml:space="preserve"> of complexities involved. Despite its strategic </w:t>
      </w:r>
      <w:r w:rsidR="00B202FC" w:rsidRPr="00380B24">
        <w:rPr>
          <w:rFonts w:eastAsia="Times New Roman"/>
          <w:noProof/>
          <w:color w:val="000000" w:themeColor="text1"/>
        </w:rPr>
        <w:t>aim of streamlining</w:t>
      </w:r>
      <w:r w:rsidRPr="00C57110">
        <w:rPr>
          <w:rFonts w:eastAsia="Times New Roman"/>
          <w:noProof/>
          <w:color w:val="000000" w:themeColor="text1"/>
        </w:rPr>
        <w:t xml:space="preserve"> the certification process across the EU, </w:t>
      </w:r>
      <w:r w:rsidR="00B202FC" w:rsidRPr="00380B24">
        <w:rPr>
          <w:rFonts w:eastAsia="Times New Roman"/>
          <w:noProof/>
          <w:color w:val="000000" w:themeColor="text1"/>
        </w:rPr>
        <w:t xml:space="preserve">the </w:t>
      </w:r>
      <w:r w:rsidRPr="00C57110">
        <w:rPr>
          <w:rFonts w:eastAsia="Times New Roman"/>
          <w:noProof/>
          <w:color w:val="000000" w:themeColor="text1"/>
        </w:rPr>
        <w:t xml:space="preserve">ECCF’s efficiency was notably hampered by drawn-out discussions and preparation phases that culminated in significant delays; the first scheme </w:t>
      </w:r>
      <w:r w:rsidR="00B202FC" w:rsidRPr="00380B24">
        <w:rPr>
          <w:rFonts w:eastAsia="Times New Roman"/>
          <w:noProof/>
          <w:color w:val="000000" w:themeColor="text1"/>
        </w:rPr>
        <w:t xml:space="preserve">EUCC </w:t>
      </w:r>
      <w:r w:rsidRPr="00C57110">
        <w:rPr>
          <w:rFonts w:eastAsia="Times New Roman"/>
          <w:noProof/>
          <w:color w:val="000000" w:themeColor="text1"/>
        </w:rPr>
        <w:t>was only adopted in early 2024, nearly five years post-implementation. These protracted timelines can be attributed to multifaceted challenges encompassing both political and technical dimensions.</w:t>
      </w:r>
    </w:p>
    <w:p w14:paraId="53AFA94C" w14:textId="0A022370" w:rsidR="00D52AD8" w:rsidRPr="00C57110" w:rsidRDefault="00D52AD8" w:rsidP="00D52AD8">
      <w:pPr>
        <w:pStyle w:val="Text1"/>
        <w:ind w:left="0"/>
        <w:rPr>
          <w:noProof/>
        </w:rPr>
      </w:pPr>
      <w:r w:rsidRPr="00C57110">
        <w:rPr>
          <w:noProof/>
        </w:rPr>
        <w:t xml:space="preserve">Given the recent adoption of the EUCC scheme, it is premature to identify costs borne or benefits experienced by stakeholders for compliance with ECCF requirements. Survey respondents indicated some costs and benefits related to preparatory activities. Benefits include enhanced cooperation, knowledge exchange, growing awareness and contribution to standard development. Costs include dissemination and awareness support, pilot implementations, legal consultations for aligning national requirements, setting up of web portals and reporting mechanisms and CAB accreditation. Stakeholders involved in </w:t>
      </w:r>
      <w:r w:rsidR="00B202FC" w:rsidRPr="00380B24">
        <w:rPr>
          <w:noProof/>
        </w:rPr>
        <w:t>preparing schemes</w:t>
      </w:r>
      <w:r w:rsidRPr="00C57110">
        <w:rPr>
          <w:noProof/>
        </w:rPr>
        <w:t xml:space="preserve"> bore costs related to scheme development, publication and communication efforts, including investment in staff allocation and upskilling.</w:t>
      </w:r>
    </w:p>
    <w:p w14:paraId="19AA3CAE" w14:textId="77777777" w:rsidR="00B202FC" w:rsidRPr="00380B24" w:rsidRDefault="00B202FC" w:rsidP="00B202FC">
      <w:pPr>
        <w:spacing w:after="120"/>
        <w:rPr>
          <w:rFonts w:eastAsia="Times New Roman"/>
          <w:noProof/>
          <w:color w:val="000000" w:themeColor="text1"/>
        </w:rPr>
      </w:pPr>
      <w:r w:rsidRPr="00380B24">
        <w:rPr>
          <w:noProof/>
        </w:rPr>
        <w:t>Content and process-related issues had the greatest impact on the efficiency of the ECCF. Content issues included political factors and the technical complexity of schemes, which varied for each scheme depending on the stakeholders involved and products/services to be certified.</w:t>
      </w:r>
    </w:p>
    <w:p w14:paraId="0B28DF3B" w14:textId="0F162BD3" w:rsidR="00D52AD8" w:rsidRPr="00380B24"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More generally, political challenges, including the politicisation of discussions around certification requirements, have hindered progress by creating an environment where transparency and communication suffered. </w:t>
      </w:r>
      <w:r w:rsidR="00B202FC" w:rsidRPr="00380B24">
        <w:rPr>
          <w:rFonts w:eastAsia="Times New Roman"/>
          <w:noProof/>
          <w:color w:val="000000" w:themeColor="text1"/>
        </w:rPr>
        <w:t xml:space="preserve">For instance, the </w:t>
      </w:r>
      <w:r w:rsidRPr="00C57110">
        <w:rPr>
          <w:rFonts w:eastAsia="Times New Roman"/>
          <w:noProof/>
          <w:color w:val="000000" w:themeColor="text1"/>
        </w:rPr>
        <w:t xml:space="preserve">EUCS was impacted significantly by debates around data sovereignty requirements, </w:t>
      </w:r>
      <w:r w:rsidR="00B202FC" w:rsidRPr="00380B24">
        <w:rPr>
          <w:rFonts w:eastAsia="Times New Roman"/>
          <w:noProof/>
          <w:color w:val="000000" w:themeColor="text1"/>
        </w:rPr>
        <w:t>attracting</w:t>
      </w:r>
      <w:r w:rsidRPr="00C57110">
        <w:rPr>
          <w:rFonts w:eastAsia="Times New Roman"/>
          <w:noProof/>
          <w:color w:val="000000" w:themeColor="text1"/>
        </w:rPr>
        <w:t xml:space="preserve"> political </w:t>
      </w:r>
      <w:r w:rsidR="00B202FC" w:rsidRPr="00380B24">
        <w:rPr>
          <w:rFonts w:eastAsia="Times New Roman"/>
          <w:noProof/>
          <w:color w:val="000000" w:themeColor="text1"/>
        </w:rPr>
        <w:t>pressure</w:t>
      </w:r>
      <w:r w:rsidRPr="00C57110">
        <w:rPr>
          <w:rFonts w:eastAsia="Times New Roman"/>
          <w:noProof/>
          <w:color w:val="000000" w:themeColor="text1"/>
        </w:rPr>
        <w:t xml:space="preserve"> from </w:t>
      </w:r>
      <w:r w:rsidR="00B202FC" w:rsidRPr="00380B24">
        <w:rPr>
          <w:rFonts w:eastAsia="Times New Roman"/>
          <w:noProof/>
          <w:color w:val="000000" w:themeColor="text1"/>
        </w:rPr>
        <w:t>non-EU</w:t>
      </w:r>
      <w:r w:rsidRPr="00C57110">
        <w:rPr>
          <w:rFonts w:eastAsia="Times New Roman"/>
          <w:noProof/>
          <w:color w:val="000000" w:themeColor="text1"/>
        </w:rPr>
        <w:t xml:space="preserve"> countries and industry outside the </w:t>
      </w:r>
      <w:r w:rsidR="00B202FC" w:rsidRPr="00380B24">
        <w:rPr>
          <w:rFonts w:eastAsia="Times New Roman"/>
          <w:noProof/>
          <w:color w:val="000000" w:themeColor="text1"/>
        </w:rPr>
        <w:t>EU</w:t>
      </w:r>
      <w:r w:rsidRPr="00C57110">
        <w:rPr>
          <w:rFonts w:eastAsia="Times New Roman"/>
          <w:noProof/>
          <w:color w:val="000000" w:themeColor="text1"/>
        </w:rPr>
        <w:t xml:space="preserve">, leading to shifts from technical to political discourse within the ECCG. </w:t>
      </w:r>
      <w:r w:rsidRPr="00380B24">
        <w:rPr>
          <w:noProof/>
        </w:rPr>
        <w:t xml:space="preserve">Moreover, the scheme was impacted by a shift in EU policy priorities due to the concurrent proposal of the CRA in September 2022. </w:t>
      </w:r>
    </w:p>
    <w:p w14:paraId="3A08A42A" w14:textId="609BF09A" w:rsidR="00D52AD8" w:rsidRPr="00380B24" w:rsidRDefault="00D52AD8" w:rsidP="00D52AD8">
      <w:pPr>
        <w:spacing w:after="120"/>
        <w:rPr>
          <w:noProof/>
        </w:rPr>
      </w:pPr>
      <w:r w:rsidRPr="00C57110">
        <w:rPr>
          <w:rFonts w:eastAsia="Times New Roman"/>
          <w:noProof/>
          <w:color w:val="000000" w:themeColor="text1"/>
        </w:rPr>
        <w:t xml:space="preserve">Technical complexities further contributed to inefficiencies, notably the difficulty in translating draft schemes into legal acts, given the diverse and demanding nature of the products/services slated for certification, such as 5G and cloud computing. The wide-ranging requests and lack of established standards in certain areas added layers of difficulty to the preparation and adoption processes, necessitating a multitude of stakeholders and phases to ensure alignment with existing policies and practices. </w:t>
      </w:r>
      <w:r w:rsidRPr="00380B24">
        <w:rPr>
          <w:noProof/>
        </w:rPr>
        <w:t xml:space="preserve">Stakeholders confirmed the difficulty of converting an existing international certification mechanism (SOG-IS) into EU law and highlighted the need for more structured engagement in the framework through clear processes and realistic timelines. </w:t>
      </w:r>
      <w:r w:rsidRPr="00C57110">
        <w:rPr>
          <w:rFonts w:eastAsia="Times New Roman"/>
          <w:noProof/>
          <w:color w:val="000000" w:themeColor="text1"/>
        </w:rPr>
        <w:t xml:space="preserve">Despite these inefficiencies, several positive elements arose within the framework. The formation of dedicated groups and </w:t>
      </w:r>
      <w:r w:rsidR="00B202FC" w:rsidRPr="00380B24">
        <w:rPr>
          <w:rFonts w:eastAsia="Times New Roman"/>
          <w:noProof/>
          <w:color w:val="000000" w:themeColor="text1"/>
        </w:rPr>
        <w:t>forums</w:t>
      </w:r>
      <w:r w:rsidRPr="00C57110">
        <w:rPr>
          <w:rFonts w:eastAsia="Times New Roman"/>
          <w:noProof/>
          <w:color w:val="000000" w:themeColor="text1"/>
        </w:rPr>
        <w:t>, including the ECCG</w:t>
      </w:r>
      <w:r w:rsidR="00B202FC" w:rsidRPr="00380B24">
        <w:rPr>
          <w:rFonts w:eastAsia="Times New Roman"/>
          <w:noProof/>
          <w:color w:val="000000" w:themeColor="text1"/>
        </w:rPr>
        <w:t>, the</w:t>
      </w:r>
      <w:r w:rsidRPr="00C57110">
        <w:rPr>
          <w:rFonts w:eastAsia="Times New Roman"/>
          <w:noProof/>
          <w:color w:val="000000" w:themeColor="text1"/>
        </w:rPr>
        <w:t xml:space="preserve"> </w:t>
      </w:r>
      <w:r w:rsidRPr="00380B24">
        <w:rPr>
          <w:rFonts w:eastAsia="Times New Roman"/>
          <w:noProof/>
          <w:color w:val="000000" w:themeColor="text1"/>
        </w:rPr>
        <w:t>Ad Hoc Working Group (AHWG)</w:t>
      </w:r>
      <w:r w:rsidRPr="00C57110">
        <w:rPr>
          <w:rFonts w:eastAsia="Times New Roman"/>
          <w:noProof/>
          <w:color w:val="000000" w:themeColor="text1"/>
        </w:rPr>
        <w:t xml:space="preserve"> dedicated to specific schemes and the Stakeholder Cybersecurity Certification Group (SCCG), facilitated necessary stakeholder involvement. Nonetheless, there remains substantial room for improvement in ensuring these structures function optimally as, for example perceived lack of involvement of the </w:t>
      </w:r>
      <w:r w:rsidR="00B202FC" w:rsidRPr="00380B24">
        <w:rPr>
          <w:rFonts w:eastAsia="Times New Roman"/>
          <w:noProof/>
          <w:color w:val="000000" w:themeColor="text1"/>
        </w:rPr>
        <w:t xml:space="preserve">SCCG members </w:t>
      </w:r>
      <w:r w:rsidRPr="00C57110">
        <w:rPr>
          <w:rFonts w:eastAsia="Times New Roman"/>
          <w:noProof/>
          <w:color w:val="000000" w:themeColor="text1"/>
        </w:rPr>
        <w:t xml:space="preserve">in the ECCF. Refinement of internal governance is crucial to </w:t>
      </w:r>
      <w:r w:rsidR="00B202FC" w:rsidRPr="00380B24">
        <w:rPr>
          <w:rFonts w:eastAsia="Times New Roman"/>
          <w:noProof/>
          <w:color w:val="000000" w:themeColor="text1"/>
        </w:rPr>
        <w:t>increase</w:t>
      </w:r>
      <w:r w:rsidRPr="00C57110">
        <w:rPr>
          <w:rFonts w:eastAsia="Times New Roman"/>
          <w:noProof/>
          <w:color w:val="000000" w:themeColor="text1"/>
        </w:rPr>
        <w:t xml:space="preserve"> the active participation and strategic input of stakeholders.</w:t>
      </w:r>
      <w:r w:rsidRPr="00380B24">
        <w:rPr>
          <w:rFonts w:eastAsia="Times New Roman"/>
          <w:noProof/>
          <w:color w:val="000000" w:themeColor="text1"/>
        </w:rPr>
        <w:t> </w:t>
      </w:r>
      <w:r w:rsidRPr="00380B24">
        <w:rPr>
          <w:noProof/>
        </w:rPr>
        <w:t xml:space="preserve"> </w:t>
      </w:r>
    </w:p>
    <w:p w14:paraId="788EAEE7" w14:textId="77777777" w:rsidR="00D52AD8" w:rsidRPr="00C57110" w:rsidRDefault="00D52AD8" w:rsidP="00D52AD8">
      <w:pPr>
        <w:pStyle w:val="Text1"/>
        <w:ind w:left="0"/>
        <w:rPr>
          <w:noProof/>
        </w:rPr>
      </w:pPr>
    </w:p>
    <w:p w14:paraId="14D8D758" w14:textId="77777777" w:rsidR="00D52AD8" w:rsidRPr="00C57110" w:rsidRDefault="00D52AD8" w:rsidP="00D52AD8">
      <w:pPr>
        <w:pStyle w:val="Text1"/>
        <w:ind w:left="0"/>
        <w:rPr>
          <w:b/>
          <w:bCs/>
          <w:noProof/>
        </w:rPr>
      </w:pPr>
      <w:r w:rsidRPr="00C57110">
        <w:rPr>
          <w:b/>
          <w:bCs/>
          <w:noProof/>
        </w:rPr>
        <w:t>Coherence</w:t>
      </w:r>
    </w:p>
    <w:p w14:paraId="5DCA1585" w14:textId="77777777" w:rsidR="00D52AD8" w:rsidRPr="00C57110" w:rsidRDefault="00D52AD8" w:rsidP="00D52AD8">
      <w:pPr>
        <w:pStyle w:val="Text1"/>
        <w:ind w:left="0"/>
        <w:rPr>
          <w:b/>
          <w:bCs/>
          <w:noProof/>
        </w:rPr>
      </w:pPr>
      <w:r w:rsidRPr="00C57110">
        <w:rPr>
          <w:b/>
          <w:bCs/>
          <w:noProof/>
        </w:rPr>
        <w:t>ENISA</w:t>
      </w:r>
    </w:p>
    <w:p w14:paraId="2CA88541" w14:textId="596A3190" w:rsidR="00D52AD8" w:rsidRPr="00380B24" w:rsidRDefault="00D52AD8" w:rsidP="00D52AD8">
      <w:pPr>
        <w:spacing w:after="120"/>
        <w:rPr>
          <w:noProof/>
        </w:rPr>
      </w:pPr>
      <w:r w:rsidRPr="00C57110">
        <w:rPr>
          <w:rFonts w:eastAsia="Times New Roman"/>
          <w:noProof/>
          <w:color w:val="000000" w:themeColor="text1"/>
        </w:rPr>
        <w:t xml:space="preserve">In assessing ENISA’s coherence, the evaluation highlights both strengths and areas for improvement. ENISA’s commitment to fostering cybersecurity cooperation at the EU level is apparent, particularly through its facilitation and direct engagement with stakeholders. ENISA supported EU networks such as the CSIRTs </w:t>
      </w:r>
      <w:r w:rsidR="00B202FC" w:rsidRPr="00380B24">
        <w:rPr>
          <w:rFonts w:eastAsia="Times New Roman"/>
          <w:noProof/>
          <w:color w:val="000000" w:themeColor="text1"/>
        </w:rPr>
        <w:t>network</w:t>
      </w:r>
      <w:r w:rsidRPr="00C57110">
        <w:rPr>
          <w:rFonts w:eastAsia="Times New Roman"/>
          <w:noProof/>
          <w:color w:val="000000" w:themeColor="text1"/>
        </w:rPr>
        <w:t xml:space="preserve"> and EU-CyCLONe and facilitated the exchange of best practices through the NIS Cooperation Group</w:t>
      </w:r>
      <w:r w:rsidR="00B202FC" w:rsidRPr="00380B24">
        <w:rPr>
          <w:rFonts w:eastAsia="Times New Roman"/>
          <w:noProof/>
          <w:color w:val="000000" w:themeColor="text1"/>
        </w:rPr>
        <w:t xml:space="preserve"> and </w:t>
      </w:r>
      <w:r w:rsidRPr="00C57110">
        <w:rPr>
          <w:rFonts w:eastAsia="Times New Roman"/>
          <w:noProof/>
          <w:color w:val="000000" w:themeColor="text1"/>
        </w:rPr>
        <w:t xml:space="preserve">organised exercises such as CyberEurope. Despite some overlaps with national cybersecurity authorities and CERT-EU, ENISA’s efforts were largely complementary, with effective exploitation of synergies and knowledge sharing. Survey data indicated that 74% of stakeholders overall agreed that ENISA sufficiently exploited synergies in expertise and knowledge sharing with other actors, with representatives of private bodies slightly less satisfied (65%).  </w:t>
      </w:r>
    </w:p>
    <w:p w14:paraId="580CE4B4" w14:textId="59FC578C" w:rsidR="00D52AD8" w:rsidRPr="00380B24" w:rsidRDefault="00D52AD8" w:rsidP="00D52AD8">
      <w:pPr>
        <w:spacing w:after="120"/>
        <w:rPr>
          <w:noProof/>
        </w:rPr>
      </w:pPr>
      <w:r w:rsidRPr="00C57110">
        <w:rPr>
          <w:rFonts w:eastAsia="Times New Roman"/>
          <w:noProof/>
          <w:color w:val="000000" w:themeColor="text1"/>
        </w:rPr>
        <w:t xml:space="preserve">This dual approach has enabled ENISA to significantly contribute to the cyber domain, aligning with recent legislative frameworks. However, while ENISA’s role as a facilitator and coordinator is positive, several areas require improvement to enhance coherence. The evaluation identified the need to improve synergies between </w:t>
      </w:r>
      <w:r w:rsidR="00B202FC" w:rsidRPr="00380B24">
        <w:rPr>
          <w:rFonts w:eastAsia="Times New Roman"/>
          <w:noProof/>
          <w:color w:val="000000" w:themeColor="text1"/>
        </w:rPr>
        <w:t xml:space="preserve">the </w:t>
      </w:r>
      <w:r w:rsidRPr="00C57110">
        <w:rPr>
          <w:rFonts w:eastAsia="Times New Roman"/>
          <w:noProof/>
          <w:color w:val="000000" w:themeColor="text1"/>
        </w:rPr>
        <w:t xml:space="preserve">responsibilities and actions of ENISA and other EU bodies such as the European Cybersecurity Competence Centre (ECCC), as well as national cybersecurity authorities. Although these roles are often complementary, opportunities exist to further streamline operations and improve organisational efficiency. By formalising cooperation arrangements with other entities, such as EMSA and the JRC, ENISA could better leverage synergies and ensure a unified approach to cybersecurity initiatives. Internal communication and resource management within ENISA should also be refined. </w:t>
      </w:r>
      <w:r w:rsidR="00B202FC" w:rsidRPr="00380B24">
        <w:rPr>
          <w:rFonts w:eastAsia="Times New Roman"/>
          <w:noProof/>
          <w:color w:val="000000" w:themeColor="text1"/>
        </w:rPr>
        <w:t>ENISA’s</w:t>
      </w:r>
      <w:r w:rsidRPr="00C57110">
        <w:rPr>
          <w:rFonts w:eastAsia="Times New Roman"/>
          <w:noProof/>
          <w:color w:val="000000" w:themeColor="text1"/>
        </w:rPr>
        <w:t xml:space="preserve"> interaction with private stakeholders and international partners must be more predictable and transparent to maintain confidence and foster collaborative efforts. In this context, private entities, while considering ENISA’s contribution beneficial, suggested that ENISA’s stakeholder engagement activities could be improved, particularly in relation to collaboration with industry representatives and </w:t>
      </w:r>
      <w:r w:rsidR="00B202FC" w:rsidRPr="00380B24">
        <w:rPr>
          <w:rFonts w:eastAsia="Times New Roman"/>
          <w:noProof/>
          <w:color w:val="000000" w:themeColor="text1"/>
        </w:rPr>
        <w:t>non-EU</w:t>
      </w:r>
      <w:r w:rsidRPr="00C57110">
        <w:rPr>
          <w:rFonts w:eastAsia="Times New Roman"/>
          <w:noProof/>
          <w:color w:val="000000" w:themeColor="text1"/>
        </w:rPr>
        <w:t xml:space="preserve"> countries.  </w:t>
      </w:r>
    </w:p>
    <w:p w14:paraId="01AEC248" w14:textId="40B787D3" w:rsidR="00D52AD8" w:rsidRPr="00380B24" w:rsidRDefault="00D52AD8" w:rsidP="00D52AD8">
      <w:pPr>
        <w:spacing w:after="120"/>
        <w:rPr>
          <w:noProof/>
        </w:rPr>
      </w:pPr>
      <w:r w:rsidRPr="00C57110">
        <w:rPr>
          <w:rFonts w:eastAsia="Times New Roman"/>
          <w:noProof/>
          <w:color w:val="000000" w:themeColor="text1"/>
        </w:rPr>
        <w:t xml:space="preserve">In alignment with the CRA and NIS2 Directive, a clear delineation of ENISA’s tasks </w:t>
      </w:r>
      <w:r w:rsidR="00B202FC" w:rsidRPr="00380B24">
        <w:rPr>
          <w:rFonts w:eastAsia="Times New Roman"/>
          <w:noProof/>
          <w:color w:val="000000" w:themeColor="text1"/>
        </w:rPr>
        <w:t>supporting</w:t>
      </w:r>
      <w:r w:rsidRPr="00C57110">
        <w:rPr>
          <w:rFonts w:eastAsia="Times New Roman"/>
          <w:noProof/>
          <w:color w:val="000000" w:themeColor="text1"/>
        </w:rPr>
        <w:t xml:space="preserve"> policy implementation could </w:t>
      </w:r>
      <w:r w:rsidR="00B202FC" w:rsidRPr="00380B24">
        <w:rPr>
          <w:rFonts w:eastAsia="Times New Roman"/>
          <w:noProof/>
          <w:color w:val="000000" w:themeColor="text1"/>
        </w:rPr>
        <w:t>increase</w:t>
      </w:r>
      <w:r w:rsidRPr="00C57110">
        <w:rPr>
          <w:rFonts w:eastAsia="Times New Roman"/>
          <w:noProof/>
          <w:color w:val="000000" w:themeColor="text1"/>
        </w:rPr>
        <w:t xml:space="preserve"> efficiency and ensure consistency across regulatory measures.  This clarity would also improve ENISA’s ability to respond to sectoral regulatory requirements. </w:t>
      </w:r>
    </w:p>
    <w:p w14:paraId="2860056C" w14:textId="5BE28E0E" w:rsidR="00D52AD8" w:rsidRPr="00380B24" w:rsidRDefault="00D52AD8" w:rsidP="00D52AD8">
      <w:pPr>
        <w:spacing w:after="120"/>
        <w:rPr>
          <w:noProof/>
        </w:rPr>
      </w:pPr>
      <w:r w:rsidRPr="00C57110">
        <w:rPr>
          <w:rFonts w:eastAsia="Times New Roman"/>
          <w:noProof/>
          <w:color w:val="000000" w:themeColor="text1"/>
        </w:rPr>
        <w:t xml:space="preserve">In summary, while ENISA has demonstrated a solid foundation in promoting cybersecurity coherence in the EU, there is </w:t>
      </w:r>
      <w:r w:rsidR="00B202FC" w:rsidRPr="00380B24">
        <w:rPr>
          <w:rFonts w:eastAsia="Times New Roman"/>
          <w:noProof/>
          <w:color w:val="000000" w:themeColor="text1"/>
        </w:rPr>
        <w:t>potential</w:t>
      </w:r>
      <w:r w:rsidRPr="00C57110">
        <w:rPr>
          <w:rFonts w:eastAsia="Times New Roman"/>
          <w:noProof/>
          <w:color w:val="000000" w:themeColor="text1"/>
        </w:rPr>
        <w:t xml:space="preserve"> for </w:t>
      </w:r>
      <w:r w:rsidR="00B202FC" w:rsidRPr="00380B24">
        <w:rPr>
          <w:rFonts w:eastAsia="Times New Roman"/>
          <w:noProof/>
          <w:color w:val="000000" w:themeColor="text1"/>
        </w:rPr>
        <w:t>it</w:t>
      </w:r>
      <w:r w:rsidRPr="00C57110">
        <w:rPr>
          <w:rFonts w:eastAsia="Times New Roman"/>
          <w:noProof/>
          <w:color w:val="000000" w:themeColor="text1"/>
        </w:rPr>
        <w:t xml:space="preserve"> to reprioritise its efforts. This approach will help </w:t>
      </w:r>
      <w:r w:rsidR="00B202FC" w:rsidRPr="00380B24">
        <w:rPr>
          <w:rFonts w:eastAsia="Times New Roman"/>
          <w:noProof/>
          <w:color w:val="000000" w:themeColor="text1"/>
        </w:rPr>
        <w:t xml:space="preserve">it to </w:t>
      </w:r>
      <w:r w:rsidRPr="00C57110">
        <w:rPr>
          <w:rFonts w:eastAsia="Times New Roman"/>
          <w:noProof/>
          <w:color w:val="000000" w:themeColor="text1"/>
        </w:rPr>
        <w:t>efficiently fulfil its mandate and adapt to the evolving cybersecurity landscape. By addressing current inefficiencies and enhancing inter-</w:t>
      </w:r>
      <w:r w:rsidR="00B202FC" w:rsidRPr="00380B24">
        <w:rPr>
          <w:rFonts w:eastAsia="Times New Roman"/>
          <w:noProof/>
          <w:color w:val="000000" w:themeColor="text1"/>
        </w:rPr>
        <w:t>agency</w:t>
      </w:r>
      <w:r w:rsidRPr="00C57110">
        <w:rPr>
          <w:rFonts w:eastAsia="Times New Roman"/>
          <w:noProof/>
          <w:color w:val="000000" w:themeColor="text1"/>
        </w:rPr>
        <w:t xml:space="preserve"> coordination, ENISA can effectively maintain its crucial role within the EU’s cybersecurity framework.</w:t>
      </w:r>
      <w:r w:rsidRPr="00380B24">
        <w:rPr>
          <w:rFonts w:eastAsia="Times New Roman"/>
          <w:noProof/>
          <w:color w:val="000000" w:themeColor="text1"/>
        </w:rPr>
        <w:t> </w:t>
      </w:r>
      <w:r w:rsidRPr="00C57110">
        <w:rPr>
          <w:noProof/>
        </w:rPr>
        <w:t xml:space="preserve"> </w:t>
      </w:r>
    </w:p>
    <w:p w14:paraId="117AC7F5" w14:textId="77777777" w:rsidR="00D52AD8" w:rsidRPr="00C57110" w:rsidRDefault="00D52AD8" w:rsidP="00B202FC">
      <w:pPr>
        <w:pStyle w:val="Text1"/>
        <w:spacing w:before="240"/>
        <w:ind w:left="0"/>
        <w:rPr>
          <w:b/>
          <w:bCs/>
          <w:noProof/>
        </w:rPr>
      </w:pPr>
      <w:r w:rsidRPr="00C57110">
        <w:rPr>
          <w:b/>
          <w:bCs/>
          <w:noProof/>
        </w:rPr>
        <w:t>ECCF</w:t>
      </w:r>
    </w:p>
    <w:p w14:paraId="0F008C9C" w14:textId="6B8BAB85" w:rsidR="00B202FC" w:rsidRPr="00380B24" w:rsidRDefault="00B202FC" w:rsidP="00B202FC">
      <w:pPr>
        <w:spacing w:after="120"/>
        <w:rPr>
          <w:noProof/>
        </w:rPr>
      </w:pPr>
      <w:r w:rsidRPr="00380B24">
        <w:rPr>
          <w:rFonts w:eastAsia="Times New Roman"/>
          <w:noProof/>
          <w:color w:val="000000" w:themeColor="text1"/>
        </w:rPr>
        <w:t>The ECCF’s coherence is affected by the lack of clear accountability mechanisms, which has led to difficulties in aligning its objectives with other legislative measures. This misalignment risks creating overlaps and inefficiencies in the cybersecurity landscape. To ensure a unified approach to cybersecurity, the ECCF needs to be completely coherent with other EU legislative instruments, including the NIS2 Directive and the CRA. In theory, the ECCF is aligned with these legislative measures, designed to address various facets of cybersecurity within the EU landscape, yet real-world integration remains complex and requires diligent oversight. The forthcoming implementation of the EUCC scheme poses a significant test for this coherence: if the scheme is successfully deployed, it will demonstrate the ECCF’s ability to harmonise and effectively leverage additional legislative efforts. Stakeholders have emphasised the need for careful coordination between the ECCF and emerging regulatory acts to prevent potential overlaps which could undermine efficiency and dilute intended effects across sectors. Specifically, concerns arise regarding the interface between the ECCF and the CRA, as both initiatives aim to raise cybersecurity standards but risk redundancy if not fully synchronised.</w:t>
      </w:r>
      <w:r w:rsidRPr="00380B24">
        <w:rPr>
          <w:noProof/>
          <w:color w:val="000000" w:themeColor="text1"/>
        </w:rPr>
        <w:t xml:space="preserve"> </w:t>
      </w:r>
      <w:r w:rsidRPr="00380B24">
        <w:rPr>
          <w:rFonts w:eastAsia="Times New Roman"/>
          <w:noProof/>
          <w:color w:val="000000" w:themeColor="text1"/>
        </w:rPr>
        <w:t>On the sectoral side, coherence must extend to accommodate continuing advancements in technologies, ensuring that cybersecurity initiatives are appropriately nuanced to address critical infrastructure needs. </w:t>
      </w:r>
      <w:r w:rsidRPr="00380B24">
        <w:rPr>
          <w:noProof/>
        </w:rPr>
        <w:t xml:space="preserve"> </w:t>
      </w:r>
    </w:p>
    <w:p w14:paraId="231F03EE" w14:textId="77777777" w:rsidR="00B202FC" w:rsidRPr="00380B24" w:rsidRDefault="00B202FC" w:rsidP="00B202FC">
      <w:pPr>
        <w:pStyle w:val="Text1"/>
        <w:ind w:left="0"/>
        <w:rPr>
          <w:noProof/>
        </w:rPr>
      </w:pPr>
      <w:r w:rsidRPr="00380B24">
        <w:rPr>
          <w:noProof/>
        </w:rPr>
        <w:t>Survey data showed that 83% of stakeholders found the ECCF to be coherent with other EU instruments, with 55% rating it as fairly coherent, 23% as very coherent and 5% as perfectly coherent. However, concerns remain about potential overlaps, particularly with the CRA, which could result in duplication of efforts and inconsistent requirements. More than half of respondents identified overlaps between the ECCF and other EU initiatives. Member States stressed the importance of ensuring coherent implementation of the CSA and CRA and highlighted the need to establish communication channels with international organisations to leverage existing European or international standards and prevent inconsistencies between standards developed at the EU and international levels.</w:t>
      </w:r>
    </w:p>
    <w:p w14:paraId="3F5C39C5" w14:textId="77777777" w:rsidR="00D52AD8" w:rsidRPr="00C57110" w:rsidRDefault="00D52AD8" w:rsidP="00D52AD8">
      <w:pPr>
        <w:pStyle w:val="Heading1"/>
        <w:numPr>
          <w:ilvl w:val="1"/>
          <w:numId w:val="3"/>
        </w:numPr>
        <w:rPr>
          <w:rFonts w:ascii="Times New Roman Bold" w:hAnsi="Times New Roman Bold"/>
          <w:b w:val="0"/>
          <w:smallCaps w:val="0"/>
          <w:noProof/>
          <w:szCs w:val="24"/>
        </w:rPr>
      </w:pPr>
      <w:bookmarkStart w:id="430" w:name="_Toc82789915"/>
      <w:bookmarkStart w:id="431" w:name="_Toc218702601"/>
      <w:bookmarkStart w:id="432" w:name="_Toc219039524"/>
      <w:bookmarkStart w:id="433" w:name="_Toc219447427"/>
      <w:r w:rsidRPr="00C57110">
        <w:rPr>
          <w:rFonts w:ascii="Times New Roman Bold" w:hAnsi="Times New Roman Bold"/>
          <w:b w:val="0"/>
          <w:smallCaps w:val="0"/>
          <w:noProof/>
          <w:szCs w:val="24"/>
        </w:rPr>
        <w:t>How did the EU intervention make a difference and to whom?</w:t>
      </w:r>
      <w:bookmarkEnd w:id="430"/>
      <w:bookmarkEnd w:id="431"/>
      <w:bookmarkEnd w:id="432"/>
      <w:bookmarkEnd w:id="433"/>
    </w:p>
    <w:p w14:paraId="63625BD8" w14:textId="77777777" w:rsidR="00B202FC" w:rsidRPr="00380B24" w:rsidRDefault="00B202FC" w:rsidP="00B202FC">
      <w:pPr>
        <w:pStyle w:val="Text1"/>
        <w:ind w:left="0"/>
        <w:rPr>
          <w:b/>
          <w:bCs/>
          <w:noProof/>
        </w:rPr>
      </w:pPr>
      <w:r w:rsidRPr="00380B24">
        <w:rPr>
          <w:b/>
          <w:bCs/>
          <w:noProof/>
        </w:rPr>
        <w:t>EU added value</w:t>
      </w:r>
    </w:p>
    <w:p w14:paraId="1D4FCB87" w14:textId="77777777" w:rsidR="00D52AD8" w:rsidRPr="00C57110" w:rsidRDefault="00D52AD8" w:rsidP="00D52AD8">
      <w:pPr>
        <w:pStyle w:val="Text1"/>
        <w:ind w:left="0"/>
        <w:rPr>
          <w:b/>
          <w:bCs/>
          <w:noProof/>
        </w:rPr>
      </w:pPr>
      <w:r w:rsidRPr="00C57110">
        <w:rPr>
          <w:b/>
          <w:bCs/>
          <w:noProof/>
        </w:rPr>
        <w:t>ENISA</w:t>
      </w:r>
    </w:p>
    <w:p w14:paraId="193FC5A6" w14:textId="1D709836"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ENISA has significantly contributed to enhancing the EU’s cybersecurity ecosystem, yet there are opportunities for improvement that could amplify its impact. Serving as a centralised hub, ENISA has facilitated vital cooperation across the </w:t>
      </w:r>
      <w:r w:rsidR="00B202FC" w:rsidRPr="00380B24">
        <w:rPr>
          <w:rFonts w:eastAsia="Times New Roman"/>
          <w:noProof/>
          <w:color w:val="000000" w:themeColor="text1"/>
        </w:rPr>
        <w:t>EU. It has</w:t>
      </w:r>
      <w:r w:rsidRPr="00C57110">
        <w:rPr>
          <w:rFonts w:eastAsia="Times New Roman"/>
          <w:noProof/>
          <w:color w:val="000000" w:themeColor="text1"/>
        </w:rPr>
        <w:t xml:space="preserve"> complemented national efforts, especially in Member States with less developed cybersecurity infrastructures, and aligned cybersecurity practices and policies. </w:t>
      </w:r>
      <w:r w:rsidRPr="00380B24">
        <w:rPr>
          <w:noProof/>
        </w:rPr>
        <w:t xml:space="preserve">Around two thirds of surveyed stakeholders considered that </w:t>
      </w:r>
      <w:r w:rsidR="00B202FC" w:rsidRPr="00380B24">
        <w:rPr>
          <w:noProof/>
        </w:rPr>
        <w:t xml:space="preserve">without ENISA, </w:t>
      </w:r>
      <w:r w:rsidRPr="00380B24">
        <w:rPr>
          <w:noProof/>
        </w:rPr>
        <w:t>the collection and dissemination of relevant cybersecurity information, the generation of new knowledge, insights and evidence on cybersecurity issues and supporting the implementation of EU cybersecurity policies at the national level would be hard to achieve</w:t>
      </w:r>
      <w:r w:rsidR="00B202FC" w:rsidRPr="00380B24">
        <w:rPr>
          <w:noProof/>
        </w:rPr>
        <w:t>.</w:t>
      </w:r>
      <w:r w:rsidRPr="00C57110">
        <w:rPr>
          <w:rFonts w:eastAsia="Times New Roman"/>
          <w:noProof/>
          <w:color w:val="000000" w:themeColor="text1"/>
        </w:rPr>
        <w:t xml:space="preserve"> </w:t>
      </w:r>
      <w:r w:rsidRPr="00380B24">
        <w:rPr>
          <w:noProof/>
        </w:rPr>
        <w:t xml:space="preserve">Three quarters of respondents believed that </w:t>
      </w:r>
      <w:r w:rsidR="00B202FC" w:rsidRPr="00380B24">
        <w:rPr>
          <w:noProof/>
        </w:rPr>
        <w:t>without ENISA there would be little effect on improving</w:t>
      </w:r>
      <w:r w:rsidRPr="00380B24">
        <w:rPr>
          <w:noProof/>
        </w:rPr>
        <w:t xml:space="preserve"> Member States’ cybersecurity capacities, as well as raising awareness of cybersecurity issues</w:t>
      </w:r>
      <w:r w:rsidR="00B202FC" w:rsidRPr="00380B24">
        <w:rPr>
          <w:noProof/>
        </w:rPr>
        <w:t>.</w:t>
      </w:r>
      <w:r w:rsidRPr="00380B24">
        <w:rPr>
          <w:noProof/>
        </w:rPr>
        <w:t xml:space="preserve"> </w:t>
      </w:r>
      <w:r w:rsidRPr="00C57110">
        <w:rPr>
          <w:rFonts w:eastAsia="Times New Roman"/>
          <w:noProof/>
          <w:color w:val="000000" w:themeColor="text1"/>
        </w:rPr>
        <w:t xml:space="preserve">As a decentralised EU Agency, ENISA’s specialised mandate has allowed it to consolidate cybersecurity expertise and engage effectively with Member States, playing a pivotal role in shaping Europe’s cybersecurity landscape. In this context, </w:t>
      </w:r>
      <w:r w:rsidR="00B202FC" w:rsidRPr="00380B24">
        <w:rPr>
          <w:rFonts w:eastAsia="Times New Roman"/>
          <w:noProof/>
          <w:color w:val="000000" w:themeColor="text1"/>
        </w:rPr>
        <w:t>ENISA’s</w:t>
      </w:r>
      <w:r w:rsidRPr="00C57110">
        <w:rPr>
          <w:rFonts w:eastAsia="Times New Roman"/>
          <w:noProof/>
          <w:color w:val="000000" w:themeColor="text1"/>
        </w:rPr>
        <w:t xml:space="preserve"> main focus on Member States is essential, given its role in providing insights into emerging threats and recommending tools and strategies for addressing them. </w:t>
      </w:r>
    </w:p>
    <w:p w14:paraId="3E8E2F59" w14:textId="038C2364"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Moreover, ENISA plays a critical part in promoting cybersecurity certification and supporting standardisation activities, which helps reduce market fragmentation and fosters robust cybersecurity practices across the EU. </w:t>
      </w:r>
      <w:r w:rsidR="00B202FC" w:rsidRPr="00380B24">
        <w:rPr>
          <w:rFonts w:eastAsia="Times New Roman"/>
          <w:noProof/>
          <w:color w:val="000000" w:themeColor="text1"/>
        </w:rPr>
        <w:t>Although no other</w:t>
      </w:r>
      <w:r w:rsidRPr="00C57110">
        <w:rPr>
          <w:rFonts w:eastAsia="Times New Roman"/>
          <w:noProof/>
          <w:color w:val="000000" w:themeColor="text1"/>
        </w:rPr>
        <w:t xml:space="preserve"> similar bodies with ENISA’s expertise and organisational agility</w:t>
      </w:r>
      <w:r w:rsidR="00B202FC" w:rsidRPr="00380B24">
        <w:rPr>
          <w:rFonts w:eastAsia="Times New Roman"/>
          <w:noProof/>
          <w:color w:val="000000" w:themeColor="text1"/>
        </w:rPr>
        <w:t xml:space="preserve"> exist</w:t>
      </w:r>
      <w:r w:rsidRPr="00C57110">
        <w:rPr>
          <w:rFonts w:eastAsia="Times New Roman"/>
          <w:noProof/>
          <w:color w:val="000000" w:themeColor="text1"/>
        </w:rPr>
        <w:t xml:space="preserve">, its current primary focus on national authorities has attracted criticism from private sector stakeholders. Feedback from large industry players indicates that more could be done to tailor insights to the private sector’s specific challenges. </w:t>
      </w:r>
      <w:r w:rsidRPr="00380B24">
        <w:rPr>
          <w:noProof/>
        </w:rPr>
        <w:t xml:space="preserve">Companies reported that they often relied on ISO/IEC standards rather than ENISA schemes. Some organisations valued ENISA’s technical guidelines, tools and reports, although they claimed some of them were redundant with existing standards. </w:t>
      </w:r>
      <w:r w:rsidRPr="00C57110">
        <w:rPr>
          <w:rFonts w:eastAsia="Times New Roman"/>
          <w:noProof/>
          <w:color w:val="000000" w:themeColor="text1"/>
        </w:rPr>
        <w:t xml:space="preserve">Though the primary focus on national authorities is crucial, </w:t>
      </w:r>
      <w:r w:rsidR="00B202FC" w:rsidRPr="00380B24">
        <w:rPr>
          <w:rFonts w:eastAsia="Times New Roman"/>
          <w:noProof/>
          <w:color w:val="000000" w:themeColor="text1"/>
        </w:rPr>
        <w:t xml:space="preserve">ENISA could address these concerns by </w:t>
      </w:r>
      <w:r w:rsidRPr="00C57110">
        <w:rPr>
          <w:rFonts w:eastAsia="Times New Roman"/>
          <w:noProof/>
          <w:color w:val="000000" w:themeColor="text1"/>
        </w:rPr>
        <w:t xml:space="preserve">strategically </w:t>
      </w:r>
      <w:r w:rsidR="00B202FC" w:rsidRPr="00380B24">
        <w:rPr>
          <w:rFonts w:eastAsia="Times New Roman"/>
          <w:noProof/>
          <w:color w:val="000000" w:themeColor="text1"/>
        </w:rPr>
        <w:t>improving</w:t>
      </w:r>
      <w:r w:rsidRPr="00C57110">
        <w:rPr>
          <w:rFonts w:eastAsia="Times New Roman"/>
          <w:noProof/>
          <w:color w:val="000000" w:themeColor="text1"/>
        </w:rPr>
        <w:t xml:space="preserve"> engagement </w:t>
      </w:r>
      <w:r w:rsidR="00B202FC" w:rsidRPr="00380B24">
        <w:rPr>
          <w:rFonts w:eastAsia="Times New Roman"/>
          <w:noProof/>
          <w:color w:val="000000" w:themeColor="text1"/>
        </w:rPr>
        <w:t xml:space="preserve">with stakeholders </w:t>
      </w:r>
      <w:r w:rsidRPr="00C57110">
        <w:rPr>
          <w:rFonts w:eastAsia="Times New Roman"/>
          <w:noProof/>
          <w:color w:val="000000" w:themeColor="text1"/>
        </w:rPr>
        <w:t xml:space="preserve">and collaboration </w:t>
      </w:r>
      <w:r w:rsidR="00B202FC" w:rsidRPr="00380B24">
        <w:rPr>
          <w:rFonts w:eastAsia="Times New Roman"/>
          <w:noProof/>
          <w:color w:val="000000" w:themeColor="text1"/>
        </w:rPr>
        <w:t>with the industry.</w:t>
      </w:r>
      <w:r w:rsidRPr="00C57110">
        <w:rPr>
          <w:rFonts w:eastAsia="Times New Roman"/>
          <w:noProof/>
          <w:color w:val="000000" w:themeColor="text1"/>
        </w:rPr>
        <w:t xml:space="preserve"> Additionally, ENISA’s mandate could benefit from strategically reassessing its priorities to adeptly adapt to evolving cybersecurity challenges. This would allow ENISA to maintain its valuable contributions to the EU, while effectively addressing the expanding needs of its varied stakeholders.</w:t>
      </w:r>
      <w:r w:rsidRPr="00380B24">
        <w:rPr>
          <w:rFonts w:eastAsia="Times New Roman"/>
          <w:noProof/>
          <w:color w:val="000000" w:themeColor="text1"/>
        </w:rPr>
        <w:t> </w:t>
      </w:r>
    </w:p>
    <w:p w14:paraId="6FBB2C17" w14:textId="77777777" w:rsidR="00D52AD8" w:rsidRPr="00C57110" w:rsidRDefault="00D52AD8" w:rsidP="00D52AD8">
      <w:pPr>
        <w:spacing w:before="240"/>
        <w:rPr>
          <w:rFonts w:eastAsia="Times New Roman"/>
          <w:noProof/>
          <w:color w:val="000000" w:themeColor="text1"/>
        </w:rPr>
      </w:pPr>
      <w:r w:rsidRPr="00C57110">
        <w:rPr>
          <w:rFonts w:eastAsia="Times New Roman"/>
          <w:b/>
          <w:bCs/>
          <w:noProof/>
          <w:color w:val="000000" w:themeColor="text1"/>
        </w:rPr>
        <w:t>Key achievements and challenges </w:t>
      </w:r>
    </w:p>
    <w:p w14:paraId="7A97687C" w14:textId="323669A7"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ENISA is widely recognised within the EU’s cybersecurity community for its robust reputation, quality publications and significant role in fostering cooperation among Member States and other cybersecurity entities. ENISA’s work </w:t>
      </w:r>
      <w:r w:rsidR="00B202FC" w:rsidRPr="00380B24">
        <w:rPr>
          <w:rFonts w:eastAsia="Times New Roman"/>
          <w:noProof/>
          <w:color w:val="000000" w:themeColor="text1"/>
        </w:rPr>
        <w:t>on</w:t>
      </w:r>
      <w:r w:rsidRPr="00C57110">
        <w:rPr>
          <w:rFonts w:eastAsia="Times New Roman"/>
          <w:noProof/>
          <w:color w:val="000000" w:themeColor="text1"/>
        </w:rPr>
        <w:t xml:space="preserve"> harmonising cybersecurity requirements is crucial in establishing a consistent level of protection across Member States, contributing directly to capacity building, especially for smaller Member States. This harmonisation not only ensures a secure digital environment across the EU but also elevates cybersecurity preparedness across its stakeholders.</w:t>
      </w:r>
      <w:r w:rsidRPr="00380B24">
        <w:rPr>
          <w:rFonts w:eastAsia="Times New Roman"/>
          <w:noProof/>
          <w:color w:val="000000" w:themeColor="text1"/>
        </w:rPr>
        <w:t> </w:t>
      </w:r>
    </w:p>
    <w:p w14:paraId="1D906040" w14:textId="6C7FF997"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However, the evaluation identified several challenges faced by ENISA. ENISA </w:t>
      </w:r>
      <w:r w:rsidR="00B202FC" w:rsidRPr="00380B24">
        <w:rPr>
          <w:rFonts w:eastAsia="Times New Roman"/>
          <w:noProof/>
          <w:color w:val="000000" w:themeColor="text1"/>
        </w:rPr>
        <w:t>shows</w:t>
      </w:r>
      <w:r w:rsidRPr="00C57110">
        <w:rPr>
          <w:rFonts w:eastAsia="Times New Roman"/>
          <w:noProof/>
          <w:color w:val="000000" w:themeColor="text1"/>
        </w:rPr>
        <w:t xml:space="preserve"> limited agility in responding to evolving cybersecurity threats which may lead to potential delays in its activities. To mitigate the </w:t>
      </w:r>
      <w:r w:rsidR="00B202FC" w:rsidRPr="00380B24">
        <w:rPr>
          <w:rFonts w:eastAsia="Times New Roman"/>
          <w:noProof/>
          <w:color w:val="000000" w:themeColor="text1"/>
        </w:rPr>
        <w:t xml:space="preserve">problems of limited resources, the </w:t>
      </w:r>
      <w:r w:rsidRPr="00C57110">
        <w:rPr>
          <w:rFonts w:eastAsia="Times New Roman"/>
          <w:noProof/>
          <w:color w:val="000000" w:themeColor="text1"/>
        </w:rPr>
        <w:t>stakeholders</w:t>
      </w:r>
      <w:r w:rsidRPr="00C57110">
        <w:rPr>
          <w:rFonts w:eastAsia="Times New Roman"/>
          <w:noProof/>
          <w:color w:val="000000" w:themeColor="text1"/>
          <w:vertAlign w:val="superscript"/>
        </w:rPr>
        <w:t>2</w:t>
      </w:r>
      <w:r w:rsidRPr="00C57110">
        <w:rPr>
          <w:rFonts w:eastAsia="Times New Roman"/>
          <w:noProof/>
          <w:color w:val="000000" w:themeColor="text1"/>
        </w:rPr>
        <w:t xml:space="preserve"> emphasised the need for improved recruitment processes and workload management strategies. Expanding ENISA’s mandate to </w:t>
      </w:r>
      <w:r w:rsidR="00B202FC" w:rsidRPr="00380B24">
        <w:rPr>
          <w:rFonts w:eastAsia="Times New Roman"/>
          <w:noProof/>
          <w:color w:val="000000" w:themeColor="text1"/>
        </w:rPr>
        <w:t>extend</w:t>
      </w:r>
      <w:r w:rsidRPr="00C57110">
        <w:rPr>
          <w:rFonts w:eastAsia="Times New Roman"/>
          <w:noProof/>
          <w:color w:val="000000" w:themeColor="text1"/>
        </w:rPr>
        <w:t xml:space="preserve"> its operational role could address these concerns, allowing it to leverage technological advancements and improve cybersecurity frameworks. This restructuring would enable ENISA to proactively tackle dynamic threats, increasing its impact through joint training initiatives and </w:t>
      </w:r>
      <w:r w:rsidR="00B202FC" w:rsidRPr="00380B24">
        <w:rPr>
          <w:rFonts w:eastAsia="Times New Roman"/>
          <w:noProof/>
          <w:color w:val="000000" w:themeColor="text1"/>
        </w:rPr>
        <w:t xml:space="preserve">making a </w:t>
      </w:r>
      <w:r w:rsidRPr="00C57110">
        <w:rPr>
          <w:rFonts w:eastAsia="Times New Roman"/>
          <w:noProof/>
          <w:color w:val="000000" w:themeColor="text1"/>
        </w:rPr>
        <w:t>contribution to policy-making processes.</w:t>
      </w:r>
      <w:r w:rsidRPr="00380B24">
        <w:rPr>
          <w:rFonts w:eastAsia="Times New Roman"/>
          <w:noProof/>
          <w:color w:val="000000" w:themeColor="text1"/>
        </w:rPr>
        <w:t> </w:t>
      </w:r>
    </w:p>
    <w:p w14:paraId="46C92CD3" w14:textId="04971277" w:rsidR="00D52AD8" w:rsidRPr="00380B24" w:rsidRDefault="00D52AD8" w:rsidP="00D52AD8">
      <w:pPr>
        <w:spacing w:after="120"/>
        <w:rPr>
          <w:noProof/>
        </w:rPr>
      </w:pPr>
      <w:r w:rsidRPr="00C57110">
        <w:rPr>
          <w:rFonts w:eastAsia="Times New Roman"/>
          <w:noProof/>
          <w:color w:val="000000" w:themeColor="text1"/>
        </w:rPr>
        <w:t>Finally, ENISA’s stakeholder consultation and management systems are deemed effective in facilitating management of stakeholder needs and expectations</w:t>
      </w:r>
      <w:r w:rsidR="00B202FC" w:rsidRPr="00380B24">
        <w:rPr>
          <w:rFonts w:eastAsia="Times New Roman"/>
          <w:noProof/>
          <w:color w:val="000000" w:themeColor="text1"/>
        </w:rPr>
        <w:t>. However,</w:t>
      </w:r>
      <w:r w:rsidRPr="00C57110">
        <w:rPr>
          <w:rFonts w:eastAsia="Times New Roman"/>
          <w:noProof/>
          <w:color w:val="000000" w:themeColor="text1"/>
        </w:rPr>
        <w:t xml:space="preserve"> a stronger, more transparent relationship with Member States is necessary to </w:t>
      </w:r>
      <w:r w:rsidR="00B202FC" w:rsidRPr="00380B24">
        <w:rPr>
          <w:rFonts w:eastAsia="Times New Roman"/>
          <w:noProof/>
          <w:color w:val="000000" w:themeColor="text1"/>
        </w:rPr>
        <w:t>develop</w:t>
      </w:r>
      <w:r w:rsidRPr="00C57110">
        <w:rPr>
          <w:rFonts w:eastAsia="Times New Roman"/>
          <w:noProof/>
          <w:color w:val="000000" w:themeColor="text1"/>
        </w:rPr>
        <w:t xml:space="preserve"> cooperation and information sharing. Future priorities include updating internal frameworks to better manage growing responsibilities and diverse challenges, ensuring that ENISA can fully implement its mandated tasks given its staff size.</w:t>
      </w:r>
      <w:r w:rsidRPr="00380B24">
        <w:rPr>
          <w:rFonts w:eastAsia="Times New Roman"/>
          <w:noProof/>
          <w:color w:val="000000" w:themeColor="text1"/>
        </w:rPr>
        <w:t> </w:t>
      </w:r>
      <w:r w:rsidRPr="00380B24">
        <w:rPr>
          <w:noProof/>
        </w:rPr>
        <w:t xml:space="preserve"> </w:t>
      </w:r>
    </w:p>
    <w:p w14:paraId="2EC96F9F" w14:textId="77777777" w:rsidR="00D52AD8" w:rsidRPr="00C57110" w:rsidRDefault="00D52AD8" w:rsidP="00B202FC">
      <w:pPr>
        <w:pStyle w:val="Text1"/>
        <w:spacing w:before="240"/>
        <w:ind w:left="0"/>
        <w:rPr>
          <w:b/>
          <w:bCs/>
          <w:noProof/>
        </w:rPr>
      </w:pPr>
      <w:r w:rsidRPr="00C57110">
        <w:rPr>
          <w:b/>
          <w:bCs/>
          <w:noProof/>
        </w:rPr>
        <w:t>ECCF</w:t>
      </w:r>
    </w:p>
    <w:p w14:paraId="6B0ABC66" w14:textId="77777777" w:rsidR="00B202FC" w:rsidRPr="00380B24" w:rsidRDefault="00B202FC" w:rsidP="00B202FC">
      <w:pPr>
        <w:pStyle w:val="Text1"/>
        <w:ind w:left="0"/>
        <w:rPr>
          <w:noProof/>
          <w:color w:val="000000" w:themeColor="text1"/>
        </w:rPr>
      </w:pPr>
      <w:r w:rsidRPr="00380B24">
        <w:rPr>
          <w:noProof/>
          <w:color w:val="000000" w:themeColor="text1"/>
        </w:rPr>
        <w:t xml:space="preserve">Despite its potential, the ECCF has struggled to deliver added value in fostering a unified and effective cybersecurity environment across the EU. The ECCF sought to significantly enhance the EU’s cybersecurity landscape by introducing an unprecedented development procedure and governance structure for certification processes. At its core, the ECCF represented a critical advancement in the EU’s ability to create a harmonised approach to the certification of ICT products, services, and processes. The inherent EU added value of this framework lies in its potential to bridge disparate national approaches, fostering an internal market with consistent, reliable, and recognised cybersecurity standards across Member States. However, the protracted timelines and fragmented implementation have impeded the ECCF’s ability to fully capitalise on its envisioned value. Specifically, the delay in actionable schemes, evidenced by the late adoption of initiatives like the EUCC, curtailed immediate impacts, leaving its theoretical potential largely unfulfilled. </w:t>
      </w:r>
    </w:p>
    <w:p w14:paraId="15EA79C3" w14:textId="77777777" w:rsidR="00B202FC" w:rsidRPr="00380B24" w:rsidRDefault="00B202FC" w:rsidP="00B202FC">
      <w:pPr>
        <w:pStyle w:val="Text1"/>
        <w:ind w:left="0"/>
        <w:rPr>
          <w:noProof/>
          <w:color w:val="000000" w:themeColor="text1"/>
        </w:rPr>
      </w:pPr>
      <w:r w:rsidRPr="00380B24">
        <w:rPr>
          <w:noProof/>
          <w:color w:val="000000" w:themeColor="text1"/>
        </w:rPr>
        <w:t>The EUCC was adopted in January 2024, 4.5 years after the Commission request was introduced. Based on interviews with Commission, Member States and ENISA, this long timeframe of development and adoption can be attributed to a mix of factors. First, delay was caused by the lack of experience in developing and adopting schemes. Stakeholders confirmed the difficulty of translating the ENISA candidate scheme endorsed by the ECCG into an EU legal text both for the Commission draft implementing act and during the comitology procedure. Stakeholders also confirmed the difficulty of converting an existing intergovernmental certification mechanism (Senior Officials Group Information Systems Security – SOG-IS) into EU law that raised challenges related both to technical complexities and harmonisation with the repeal of national schemes. Moreover, the scheme was impacted by a shift in EU policy priorities due to the concurrent proposal of the CRA in September 2022, as well as by staff turnover and shortage from the Commission side.</w:t>
      </w:r>
    </w:p>
    <w:p w14:paraId="5F4DE61C" w14:textId="77777777" w:rsidR="00B202FC" w:rsidRPr="00380B24" w:rsidRDefault="00B202FC" w:rsidP="00B202FC">
      <w:pPr>
        <w:pStyle w:val="Text1"/>
        <w:ind w:left="0"/>
        <w:rPr>
          <w:noProof/>
          <w:color w:val="000000" w:themeColor="text1"/>
        </w:rPr>
      </w:pPr>
      <w:r w:rsidRPr="00380B24">
        <w:rPr>
          <w:noProof/>
          <w:color w:val="000000" w:themeColor="text1"/>
        </w:rPr>
        <w:t>The request for EUCS was introduced in November 2019 building on previous stakeholder-driven efforts that started in 2017. According to surveyed stakeholders, the adoption of the EUCS scheme was primarily impeded by issues related to its content and largely due to the politicisation of the debate, which contributed to divide Member States positions within the ECCG. As emerged from the call for evidence and confirmed by interviews with all relevant stakeholder categories (i.e. national authorities, EU institutions and agencies and industry), the discussions surrounding sovereignty concerns resulted in polarized discussion around the draft scheme in the institutional and public spheres. Furthermore, the situation around the EUCS triggered debates related to the scope of the ECCF as well as criticism from stakeholders regarding insufficient involvement in scheme development processes, due to a lack of transparency.</w:t>
      </w:r>
    </w:p>
    <w:p w14:paraId="4A81A9D2" w14:textId="77777777" w:rsidR="00B202FC" w:rsidRPr="00380B24" w:rsidRDefault="00B202FC" w:rsidP="00B202FC">
      <w:pPr>
        <w:pStyle w:val="Text1"/>
        <w:ind w:left="0"/>
        <w:rPr>
          <w:noProof/>
        </w:rPr>
      </w:pPr>
      <w:r w:rsidRPr="00380B24">
        <w:rPr>
          <w:noProof/>
          <w:color w:val="000000" w:themeColor="text1"/>
        </w:rPr>
        <w:t xml:space="preserve">Disparities in systemic implementation, compounded by varying degrees of readiness and resource availability among Member States, further dilute the framework’s comprehensive influence. Nevertheless, the ECCF has invigorated cooperative dynamics across the EU. By establishing groups such as the ECCG, it has institutionalised coordination efforts, enabling broader engagement across different governance levels. This collaborative infrastructure encourages information sharing and joint strategies, promoting a unified cybersecurity stance against evolving threats. </w:t>
      </w:r>
      <w:r w:rsidRPr="00380B24">
        <w:rPr>
          <w:noProof/>
        </w:rPr>
        <w:t>While the direct influence of the ECCF is limited, stakeholders broadly agreed that the framework brings EU added value compared to what could have been achieved by Member States alone. 92% of stakeholders believed that Member States alone could not have achieved more streamlined and cost-effective certification processes, specifically in terms of uptake of certification, cost-effective processes, cyber-awareness, trust in the EU single market and cybersecurity by default and design. Most stakeholders recognise the added value of the ECCF in achieving a more secure, transparent and cohesive internal market for ICT products, services and processes. According to 88% of stakeholders, Member States alone might not be able (or able only in a limited way) to increase trust and awareness of citizens and businesses regarding the cybersecurity of ICT products, processes and services alone. This suggests the ECCF helps enhance trust.</w:t>
      </w:r>
    </w:p>
    <w:p w14:paraId="2D2326E9" w14:textId="77777777"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For the ECCF to unlock its full EU added value, increased and concise stakeholder participation is critical. Fostering an inclusive environment where industry partners, national authorities, and EU bodies actively contribute to and guide the certification process will ensure widespread acceptance and effectiveness of cybersecurity standards.</w:t>
      </w:r>
      <w:r w:rsidRPr="00380B24">
        <w:rPr>
          <w:rFonts w:eastAsia="Times New Roman"/>
          <w:noProof/>
          <w:color w:val="000000" w:themeColor="text1"/>
        </w:rPr>
        <w:t> </w:t>
      </w:r>
    </w:p>
    <w:p w14:paraId="389894E2" w14:textId="77777777" w:rsidR="00D52AD8" w:rsidRPr="00C57110" w:rsidRDefault="00D52AD8" w:rsidP="00D52AD8">
      <w:pPr>
        <w:spacing w:before="240"/>
        <w:rPr>
          <w:rFonts w:eastAsia="Times New Roman"/>
          <w:noProof/>
          <w:color w:val="000000" w:themeColor="text1"/>
        </w:rPr>
      </w:pPr>
      <w:r w:rsidRPr="00C57110">
        <w:rPr>
          <w:rFonts w:eastAsia="Times New Roman"/>
          <w:b/>
          <w:bCs/>
          <w:noProof/>
          <w:color w:val="000000" w:themeColor="text1"/>
        </w:rPr>
        <w:t>Key achievements and challenges </w:t>
      </w:r>
    </w:p>
    <w:p w14:paraId="50947815" w14:textId="32AC1568"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The ECCF serves as a critical tool for enhancing EU-level collaboration </w:t>
      </w:r>
      <w:r w:rsidR="00B202FC" w:rsidRPr="00380B24">
        <w:rPr>
          <w:rFonts w:eastAsia="Times New Roman"/>
          <w:noProof/>
          <w:color w:val="000000" w:themeColor="text1"/>
        </w:rPr>
        <w:t>between</w:t>
      </w:r>
      <w:r w:rsidRPr="00C57110">
        <w:rPr>
          <w:rFonts w:eastAsia="Times New Roman"/>
          <w:noProof/>
          <w:color w:val="000000" w:themeColor="text1"/>
        </w:rPr>
        <w:t xml:space="preserve"> ENISA, Member States, and industries</w:t>
      </w:r>
      <w:r w:rsidR="00B202FC" w:rsidRPr="00380B24">
        <w:rPr>
          <w:rFonts w:eastAsia="Times New Roman"/>
          <w:noProof/>
          <w:color w:val="000000" w:themeColor="text1"/>
        </w:rPr>
        <w:t>. Therefore, it has considerable</w:t>
      </w:r>
      <w:r w:rsidRPr="00C57110">
        <w:rPr>
          <w:rFonts w:eastAsia="Times New Roman"/>
          <w:noProof/>
          <w:color w:val="000000" w:themeColor="text1"/>
        </w:rPr>
        <w:t xml:space="preserve"> relevance in the dynamic cybersecurity environment. Its adaptability facilitates scheme development through ad</w:t>
      </w:r>
      <w:r w:rsidR="00B202FC" w:rsidRPr="00380B24">
        <w:rPr>
          <w:rFonts w:eastAsia="Times New Roman"/>
          <w:noProof/>
          <w:color w:val="000000" w:themeColor="text1"/>
        </w:rPr>
        <w:t> </w:t>
      </w:r>
      <w:r w:rsidRPr="00C57110">
        <w:rPr>
          <w:rFonts w:eastAsia="Times New Roman"/>
          <w:noProof/>
          <w:color w:val="000000" w:themeColor="text1"/>
        </w:rPr>
        <w:t>hoc working groups and aligns with EU legislative frameworks like NIS2. This potential, while significant, remains largely untapped due to limited implementation of actual schemes.</w:t>
      </w:r>
      <w:r w:rsidRPr="00380B24">
        <w:rPr>
          <w:rFonts w:eastAsia="Times New Roman"/>
          <w:noProof/>
          <w:color w:val="000000" w:themeColor="text1"/>
        </w:rPr>
        <w:t> </w:t>
      </w:r>
    </w:p>
    <w:p w14:paraId="6ACF94D8" w14:textId="0EBDF6C6"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The ECCF is pivotal in addressing emerging cybersecurity threats and fostering compliance, particularly in leveraging new technologies such as </w:t>
      </w:r>
      <w:r w:rsidR="00B202FC" w:rsidRPr="00380B24">
        <w:rPr>
          <w:rFonts w:eastAsia="Times New Roman"/>
          <w:noProof/>
          <w:color w:val="000000" w:themeColor="text1"/>
        </w:rPr>
        <w:t>artificial intelligence.</w:t>
      </w:r>
      <w:r w:rsidRPr="00C57110">
        <w:rPr>
          <w:rFonts w:eastAsia="Times New Roman"/>
          <w:noProof/>
          <w:color w:val="000000" w:themeColor="text1"/>
        </w:rPr>
        <w:t xml:space="preserve"> Stakeholders acknowledge its role in strengthening cooperation </w:t>
      </w:r>
      <w:r w:rsidR="00B202FC" w:rsidRPr="00380B24">
        <w:rPr>
          <w:rFonts w:eastAsia="Times New Roman"/>
          <w:noProof/>
          <w:color w:val="000000" w:themeColor="text1"/>
        </w:rPr>
        <w:t xml:space="preserve">among Member States </w:t>
      </w:r>
      <w:r w:rsidRPr="00C57110">
        <w:rPr>
          <w:rFonts w:eastAsia="Times New Roman"/>
          <w:noProof/>
          <w:color w:val="000000" w:themeColor="text1"/>
        </w:rPr>
        <w:t>and improving cybersecurity preparedness. Its value in fostering internal market exchanges, by replacing national certification schemes with EU-wide ones, is also recognised.</w:t>
      </w:r>
      <w:r w:rsidRPr="00380B24">
        <w:rPr>
          <w:rFonts w:eastAsia="Times New Roman"/>
          <w:noProof/>
          <w:color w:val="000000" w:themeColor="text1"/>
        </w:rPr>
        <w:t> </w:t>
      </w:r>
    </w:p>
    <w:p w14:paraId="21C4E30B" w14:textId="77777777" w:rsidR="00B202FC" w:rsidRPr="00380B24" w:rsidRDefault="00B202FC" w:rsidP="00B202FC">
      <w:pPr>
        <w:spacing w:after="120"/>
        <w:rPr>
          <w:noProof/>
        </w:rPr>
      </w:pPr>
      <w:r w:rsidRPr="00380B24">
        <w:rPr>
          <w:rFonts w:eastAsia="Times New Roman"/>
          <w:noProof/>
          <w:color w:val="000000" w:themeColor="text1"/>
        </w:rPr>
        <w:t>However, the ECCF is hampered by significant weaknesses. Lengthy processes for adopting schemes hinder its effectiveness, a challenge exacerbated by technical complexities and political pressures from industry lobbying. These delays undermine trust and prevent the swift adoption of standards. Opportunities exist for the ECCF to enhance EU cybersecurity frameworks, yet threats like resource constraints and geopolitical tensions pose challenges. Shifts in policy priorities and potential legislative overlaps could make the framework less effective, risking market inconsistencies. Addressing these issues is vital for ensuring the ECCF’s evolution from a promising concept into a fully operational mechanism, bolstering EU cybersecurity standardisation and certification. </w:t>
      </w:r>
      <w:r w:rsidRPr="00380B24">
        <w:rPr>
          <w:noProof/>
        </w:rPr>
        <w:t xml:space="preserve"> </w:t>
      </w:r>
    </w:p>
    <w:p w14:paraId="1946E322" w14:textId="77777777" w:rsidR="00B202FC" w:rsidRPr="00380B24" w:rsidRDefault="00B202FC" w:rsidP="00B202FC">
      <w:pPr>
        <w:pStyle w:val="Heading1"/>
        <w:numPr>
          <w:ilvl w:val="1"/>
          <w:numId w:val="3"/>
        </w:numPr>
        <w:rPr>
          <w:rFonts w:ascii="Times New Roman Bold" w:hAnsi="Times New Roman Bold"/>
          <w:b w:val="0"/>
          <w:smallCaps w:val="0"/>
          <w:noProof/>
          <w:szCs w:val="24"/>
        </w:rPr>
      </w:pPr>
      <w:bookmarkStart w:id="434" w:name="_Toc218702602"/>
      <w:bookmarkStart w:id="435" w:name="_Toc219039525"/>
      <w:bookmarkStart w:id="436" w:name="_Toc219447428"/>
      <w:r w:rsidRPr="00380B24">
        <w:rPr>
          <w:rFonts w:ascii="Times New Roman Bold" w:hAnsi="Times New Roman Bold"/>
          <w:b w:val="0"/>
          <w:smallCaps w:val="0"/>
          <w:noProof/>
          <w:szCs w:val="24"/>
        </w:rPr>
        <w:t>Is the intervention still relevant?</w:t>
      </w:r>
      <w:bookmarkEnd w:id="434"/>
      <w:bookmarkEnd w:id="435"/>
      <w:bookmarkEnd w:id="436"/>
    </w:p>
    <w:p w14:paraId="4F84436D" w14:textId="77777777" w:rsidR="00B202FC" w:rsidRPr="00380B24" w:rsidRDefault="00B202FC" w:rsidP="00B202FC">
      <w:pPr>
        <w:rPr>
          <w:b/>
          <w:bCs/>
          <w:iCs/>
          <w:noProof/>
        </w:rPr>
      </w:pPr>
      <w:r w:rsidRPr="00380B24">
        <w:rPr>
          <w:b/>
          <w:bCs/>
          <w:iCs/>
          <w:noProof/>
        </w:rPr>
        <w:t>Relevance</w:t>
      </w:r>
    </w:p>
    <w:p w14:paraId="201B8FA8" w14:textId="77777777" w:rsidR="00B202FC" w:rsidRPr="00380B24" w:rsidRDefault="00B202FC" w:rsidP="00B202FC">
      <w:pPr>
        <w:rPr>
          <w:b/>
          <w:bCs/>
          <w:iCs/>
          <w:noProof/>
        </w:rPr>
      </w:pPr>
      <w:r w:rsidRPr="00380B24">
        <w:rPr>
          <w:b/>
          <w:bCs/>
          <w:noProof/>
        </w:rPr>
        <w:t>ENISA</w:t>
      </w:r>
    </w:p>
    <w:p w14:paraId="5C62D873" w14:textId="77777777" w:rsidR="00B202FC" w:rsidRPr="00380B24" w:rsidRDefault="00B202FC" w:rsidP="00B202FC">
      <w:pPr>
        <w:spacing w:after="120"/>
        <w:rPr>
          <w:noProof/>
        </w:rPr>
      </w:pPr>
      <w:r w:rsidRPr="00380B24">
        <w:rPr>
          <w:rFonts w:eastAsia="Times New Roman"/>
          <w:noProof/>
          <w:color w:val="000000" w:themeColor="text1"/>
        </w:rPr>
        <w:t xml:space="preserve">ENISA’s relevance within the cybersecurity domain is also due to its responsiveness to evolving stakeholder needs and its flexibility to adapt to the changing landscape. ENISA has consistently demonstrated its ability to review and realign its areas of action to address emerging developments, thereby maintaining its position as a vital component in the EU’s cybersecurity framework. </w:t>
      </w:r>
      <w:r w:rsidRPr="00380B24">
        <w:rPr>
          <w:noProof/>
        </w:rPr>
        <w:t>For example, in 2020, ENISA established the Ad hoc Working Group on Artificial Intelligence Cybersecurity to address the growing need to map the AI threat landscape and develop security measures. In 2021, it set up an interdisciplinary working group on emerging and future cybersecurity challenges, integrating foresight into cybersecurity practices and increasing awareness of future threats.</w:t>
      </w:r>
      <w:r w:rsidRPr="00380B24">
        <w:rPr>
          <w:rFonts w:eastAsia="Times New Roman"/>
          <w:noProof/>
          <w:color w:val="000000" w:themeColor="text1"/>
        </w:rPr>
        <w:t xml:space="preserve"> </w:t>
      </w:r>
    </w:p>
    <w:p w14:paraId="5716AB5D"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While stakeholder satisfaction with ENISA’s efforts is generally positive, 44% of the surveyed stakeholders and 50% of industry representatives indicated their needs </w:t>
      </w:r>
      <w:r w:rsidRPr="00380B24">
        <w:rPr>
          <w:noProof/>
        </w:rPr>
        <w:t>were met only ‘somewhat’, ‘to a small extent’, or ‘not at all’</w:t>
      </w:r>
      <w:r w:rsidRPr="00380B24">
        <w:rPr>
          <w:rFonts w:eastAsia="Times New Roman"/>
          <w:noProof/>
          <w:color w:val="000000" w:themeColor="text1"/>
        </w:rPr>
        <w:t xml:space="preserve"> by ENISA’s services and outputs. There are dimensions where its relevance can be further enhanced. Despite its responsive nature, ENISA could still further improve support and increase visibility among diverse sectors and stakeholders, particularly for SMEs, which often struggle to adhere to cybersecurity requirements. A shift towards providing more direct tools and resources tailored to specific sectors but also providing insights in and tools to address emerging threats can increase ENISA’s impact. ENISA’s approach to stakeholder engagement was effective, utilising forums, committees and working groups to actively involve national experts in operations and publications. However, the complex decentralised structure within some Member States posed challenges that could be mitigated by better organisation and clearer coordination with national authorities. ENISA’s ongoing initiatives, including the development of cybersecurity guidelines and capacity-building programmes, reflect its commitment to fostering cooperation and reinforcing the EU’s collective cybersecurity posture. Stronger collaboration across industries and improved information access could address some limitations perceived by the industry sector. </w:t>
      </w:r>
    </w:p>
    <w:p w14:paraId="1BB8E4BB" w14:textId="77777777" w:rsidR="00B202FC" w:rsidRPr="00380B24" w:rsidRDefault="00B202FC" w:rsidP="00B202FC">
      <w:pPr>
        <w:spacing w:after="120"/>
        <w:rPr>
          <w:noProof/>
        </w:rPr>
      </w:pPr>
      <w:r w:rsidRPr="00380B24">
        <w:rPr>
          <w:rFonts w:eastAsia="Times New Roman"/>
          <w:noProof/>
          <w:color w:val="000000" w:themeColor="text1"/>
        </w:rPr>
        <w:t>What would really help ENISA to vastly improve would be re-evaluating priorities, streamlining processes, acquiring new appropriate resources and maximising existing resources efficiently, thereby reinforcing its foundational role in Europe’s cybersecurity ecosystem. Through strategic alignment with the European cybersecurity strategy, ENISA’s new priorities could create pathways towards contributions with greater impact. For ENISA to improve its capacity to provide policy and technical support, it might need to provide more  resources, be more selective with its engagements and refine its operational focus areas. In conclusion, while ENISA’s relevance is clear, there is still room for improvement.  </w:t>
      </w:r>
      <w:r w:rsidRPr="00380B24">
        <w:rPr>
          <w:noProof/>
        </w:rPr>
        <w:t xml:space="preserve"> </w:t>
      </w:r>
    </w:p>
    <w:p w14:paraId="1F2B9A86" w14:textId="77777777" w:rsidR="00B202FC" w:rsidRPr="00380B24" w:rsidRDefault="00B202FC" w:rsidP="00B202FC">
      <w:pPr>
        <w:pStyle w:val="Text1"/>
        <w:ind w:left="0"/>
        <w:rPr>
          <w:b/>
          <w:bCs/>
          <w:noProof/>
        </w:rPr>
      </w:pPr>
      <w:r w:rsidRPr="00380B24">
        <w:rPr>
          <w:b/>
          <w:bCs/>
          <w:noProof/>
        </w:rPr>
        <w:t>ECCF</w:t>
      </w:r>
    </w:p>
    <w:p w14:paraId="66D3D02F"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The ECCF has emerged as a crucial response to the growing complexity and sophistication of cyber threats across the EU. It aspires to establish harmonised cybersecurity certification schemes that ensure trust and foster a secure digital market. Despite its promising premise, the framework’s relevance is still considered more potential than practical, with certification schemes only recently entering the operational phase. The lack of tangible results so far is a sign that implementation is uneven and means the ECCF’s current standing in the cybersecurity landscape is uncertain. The significance of the ECCF lies in its strategic role in raising cybersecurity standards and enabling mutual recognition of certifications across Member States, thereby reducing individual enterprise costs and strengthening the internal market. The ECCF seeks robust integration with other EU legal acts, aiming to streamline procedures and facilitate cross-border trade. Yet the protracted timeline for scheme deployment and the discrepancy in expertise and resources among Member States make it much harder for the ECCF to realise its full potential. These challenges hinder collaborative efforts and impede the standardisation process that is central to the ECCF’s mission.  </w:t>
      </w:r>
    </w:p>
    <w:p w14:paraId="66E67C2E" w14:textId="77777777" w:rsidR="00B202FC" w:rsidRPr="00380B24" w:rsidRDefault="00B202FC" w:rsidP="00B202FC">
      <w:pPr>
        <w:spacing w:after="120"/>
        <w:rPr>
          <w:noProof/>
        </w:rPr>
      </w:pPr>
      <w:r w:rsidRPr="00380B24">
        <w:rPr>
          <w:rFonts w:eastAsia="Times New Roman"/>
          <w:noProof/>
          <w:color w:val="000000" w:themeColor="text1"/>
        </w:rPr>
        <w:t>Despite these challenges, there are several factors ensuring the ECCF’s relevance. One is that the surge in cyber threats intensifies the need for a united cybersecurity strategy that can adapt swiftly to changing scenarios, such as the increased relevance of certification in high-assurance areas like cloud services and 5G infrastructures. Public procurement mandates in these sectors reflect the growing demand for a unified and reliable certification framework that the ECCF can fulfil. Furthermore, the ECCF is linked to emerging legislative acts, notably the CRA and NIS2 Directive, which points to its value in addressing critical infrastructure needs and legal conformity across the EU. ENISA’s proactive role and the establishment of NCCAs mark crucial milestones towards strengthening collaborative interactions and promoting certification adoption. However, there are considerable differences between larger and smaller Member States when it comes to resource allocation and expertise, meaning continued imbalances in participation and effectiveness that impact the development of a collective scheme. </w:t>
      </w:r>
      <w:r w:rsidRPr="00380B24">
        <w:rPr>
          <w:noProof/>
        </w:rPr>
        <w:t xml:space="preserve"> </w:t>
      </w:r>
    </w:p>
    <w:p w14:paraId="71430E10" w14:textId="28B0C20D" w:rsidR="00D52AD8" w:rsidRPr="00C57110" w:rsidRDefault="00B202FC" w:rsidP="00D52AD8">
      <w:pPr>
        <w:pStyle w:val="Text1"/>
        <w:ind w:left="0"/>
        <w:rPr>
          <w:noProof/>
        </w:rPr>
      </w:pPr>
      <w:r w:rsidRPr="00380B24">
        <w:rPr>
          <w:noProof/>
        </w:rPr>
        <w:t>In conclusion, the evaluation finds that EU action</w:t>
      </w:r>
      <w:r w:rsidR="00D52AD8" w:rsidRPr="00C57110">
        <w:rPr>
          <w:noProof/>
        </w:rPr>
        <w:t xml:space="preserve"> has delivered relevant benefits in strengthening the cybersecurity landscape across the </w:t>
      </w:r>
      <w:r w:rsidRPr="00380B24">
        <w:rPr>
          <w:noProof/>
        </w:rPr>
        <w:t>EU.</w:t>
      </w:r>
      <w:r w:rsidR="00D52AD8" w:rsidRPr="00C57110">
        <w:rPr>
          <w:noProof/>
        </w:rPr>
        <w:t xml:space="preserve"> ENISA has established itself as a centre of expertise, a facilitator of cooperation and a key contributor to policy development and capacity building, particularly for Member States with less developed cybersecurity capabilities. The ECCF, while still in the early stages of implementation, has laid the groundwork for harmonised certification and increased trust in digital products and services. However, both ENISA and ECCF have faced significant challenges, including resource constraints, delays in scheme adoption and the complexity of aligning with a rapidly evolving legislative and technological environment. Despite these obstacles, </w:t>
      </w:r>
      <w:r w:rsidRPr="00380B24">
        <w:rPr>
          <w:noProof/>
        </w:rPr>
        <w:t>they remain</w:t>
      </w:r>
      <w:r w:rsidR="00D52AD8" w:rsidRPr="00C57110">
        <w:rPr>
          <w:noProof/>
        </w:rPr>
        <w:t xml:space="preserve"> highly relevant and </w:t>
      </w:r>
      <w:r w:rsidRPr="00380B24">
        <w:rPr>
          <w:noProof/>
        </w:rPr>
        <w:t>continue</w:t>
      </w:r>
      <w:r w:rsidR="00D52AD8" w:rsidRPr="00C57110">
        <w:rPr>
          <w:noProof/>
        </w:rPr>
        <w:t xml:space="preserve"> to provide clear EU added value, especially in fostering cross-border cooperation, supporting SMEs and addressing emerging threats. The findings highlight the need for ongoing adaptation, increased resources and enhanced stakeholder engagement to ensure that the EU’s cybersecurity framework remains effective, efficient and fit for future challenges. </w:t>
      </w:r>
      <w:r w:rsidR="00D52AD8" w:rsidRPr="00C57110">
        <w:rPr>
          <w:noProof/>
        </w:rPr>
        <w:br w:type="page"/>
      </w:r>
    </w:p>
    <w:p w14:paraId="347F7293" w14:textId="77777777" w:rsidR="00D52AD8" w:rsidRPr="00C57110" w:rsidRDefault="00D52AD8" w:rsidP="00D52AD8">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37" w:name="_Toc218702603"/>
      <w:bookmarkStart w:id="438" w:name="_Toc219039526"/>
      <w:bookmarkStart w:id="439" w:name="_Toc219447429"/>
      <w:r w:rsidRPr="00C57110">
        <w:rPr>
          <w:noProof/>
          <w:szCs w:val="24"/>
        </w:rPr>
        <w:t>What are the conclusions and lessons learned?</w:t>
      </w:r>
      <w:bookmarkEnd w:id="437"/>
      <w:bookmarkEnd w:id="438"/>
      <w:bookmarkEnd w:id="439"/>
    </w:p>
    <w:p w14:paraId="185B477F" w14:textId="20114870" w:rsidR="00D52AD8" w:rsidRPr="00C57110" w:rsidRDefault="00D52AD8" w:rsidP="00D52AD8">
      <w:pPr>
        <w:pStyle w:val="Text1"/>
        <w:ind w:left="0"/>
        <w:rPr>
          <w:noProof/>
        </w:rPr>
      </w:pPr>
      <w:r w:rsidRPr="00C57110">
        <w:rPr>
          <w:noProof/>
        </w:rPr>
        <w:t xml:space="preserve">This chapter synthesises the main conclusions and lessons learned from the evaluation of </w:t>
      </w:r>
      <w:r w:rsidR="00B202FC" w:rsidRPr="00380B24">
        <w:rPr>
          <w:noProof/>
        </w:rPr>
        <w:t xml:space="preserve">EU action on </w:t>
      </w:r>
      <w:r w:rsidRPr="00C57110">
        <w:rPr>
          <w:noProof/>
        </w:rPr>
        <w:t xml:space="preserve">cybersecurity, focusing on ENISA and the ECCF. It provides policy-relevant insights for future development while </w:t>
      </w:r>
      <w:r w:rsidR="00B202FC" w:rsidRPr="00380B24">
        <w:rPr>
          <w:noProof/>
        </w:rPr>
        <w:t>staying within</w:t>
      </w:r>
      <w:r w:rsidRPr="00C57110">
        <w:rPr>
          <w:noProof/>
        </w:rPr>
        <w:t xml:space="preserve"> the </w:t>
      </w:r>
      <w:r w:rsidR="00B202FC" w:rsidRPr="00380B24">
        <w:rPr>
          <w:noProof/>
        </w:rPr>
        <w:t>limits</w:t>
      </w:r>
      <w:r w:rsidRPr="00C57110">
        <w:rPr>
          <w:noProof/>
        </w:rPr>
        <w:t xml:space="preserve"> of a staff working document. The conclusions are based on a systematic screening of evidence from performance data, stakeholder consultations and targeted workshops, highlighting what has worked, what remains uncertain and where challenges persist. Lessons learned are presented as part of the narrative, with attention to regulatory simplification and burden reduction.</w:t>
      </w:r>
    </w:p>
    <w:p w14:paraId="00D2A1AA" w14:textId="77777777" w:rsidR="00D52AD8" w:rsidRPr="00C57110" w:rsidRDefault="00D52AD8" w:rsidP="00D52AD8">
      <w:pPr>
        <w:pStyle w:val="Heading1"/>
        <w:numPr>
          <w:ilvl w:val="1"/>
          <w:numId w:val="3"/>
        </w:numPr>
        <w:rPr>
          <w:rFonts w:ascii="Times New Roman Bold" w:hAnsi="Times New Roman Bold"/>
          <w:b w:val="0"/>
          <w:smallCaps w:val="0"/>
          <w:noProof/>
        </w:rPr>
      </w:pPr>
      <w:bookmarkStart w:id="440" w:name="_Toc218702604"/>
      <w:bookmarkStart w:id="441" w:name="_Toc219039527"/>
      <w:bookmarkStart w:id="442" w:name="_Toc219447430"/>
      <w:r w:rsidRPr="00C57110">
        <w:rPr>
          <w:rFonts w:ascii="Times New Roman Bold" w:hAnsi="Times New Roman Bold"/>
          <w:b w:val="0"/>
          <w:smallCaps w:val="0"/>
          <w:noProof/>
        </w:rPr>
        <w:t>Conclusions</w:t>
      </w:r>
      <w:bookmarkEnd w:id="440"/>
      <w:bookmarkEnd w:id="441"/>
      <w:bookmarkEnd w:id="442"/>
    </w:p>
    <w:p w14:paraId="2B90B806" w14:textId="5214B0C0" w:rsidR="00D52AD8" w:rsidRPr="00C57110" w:rsidRDefault="00D52AD8" w:rsidP="00D52AD8">
      <w:pPr>
        <w:pStyle w:val="Text1"/>
        <w:ind w:left="0"/>
        <w:rPr>
          <w:noProof/>
        </w:rPr>
      </w:pPr>
      <w:r w:rsidRPr="00C57110">
        <w:rPr>
          <w:noProof/>
        </w:rPr>
        <w:t>The evaluation of ENISA highlights its crucial role in working towards a cohesive cybersecurity landscape across the EU. Although ENISA has shown effectiveness in parts of its mandate and generating valuable outputs, there remains significant room for improvement in handling external disruptions and meeting stakeholder expectations consistently. As demands on ENISA continue to grow, it is important to reassess its mandate and resources</w:t>
      </w:r>
      <w:r>
        <w:rPr>
          <w:noProof/>
        </w:rPr>
        <w:t xml:space="preserve"> </w:t>
      </w:r>
      <w:r w:rsidRPr="00C57110">
        <w:rPr>
          <w:noProof/>
        </w:rPr>
        <w:t xml:space="preserve">to better align it with priorities, with continued emphasis on supporting Member States as they address cybersecurity threats and </w:t>
      </w:r>
      <w:r w:rsidR="00B202FC" w:rsidRPr="00380B24">
        <w:rPr>
          <w:noProof/>
        </w:rPr>
        <w:t>improve their</w:t>
      </w:r>
      <w:r w:rsidRPr="00C57110">
        <w:rPr>
          <w:noProof/>
        </w:rPr>
        <w:t xml:space="preserve"> national cybersecurity infrastructures. </w:t>
      </w:r>
      <w:r w:rsidR="00B202FC" w:rsidRPr="00380B24">
        <w:rPr>
          <w:noProof/>
        </w:rPr>
        <w:t>Making ENISA more effective</w:t>
      </w:r>
      <w:r w:rsidRPr="00C57110">
        <w:rPr>
          <w:noProof/>
        </w:rPr>
        <w:t xml:space="preserve"> would require </w:t>
      </w:r>
      <w:r w:rsidR="00B202FC" w:rsidRPr="00380B24">
        <w:rPr>
          <w:noProof/>
        </w:rPr>
        <w:t>refinement of</w:t>
      </w:r>
      <w:r w:rsidRPr="00C57110">
        <w:rPr>
          <w:noProof/>
        </w:rPr>
        <w:t xml:space="preserve"> its report production process, making </w:t>
      </w:r>
      <w:r w:rsidR="00B202FC" w:rsidRPr="00380B24">
        <w:rPr>
          <w:noProof/>
        </w:rPr>
        <w:t>reports</w:t>
      </w:r>
      <w:r w:rsidRPr="00C57110">
        <w:rPr>
          <w:noProof/>
        </w:rPr>
        <w:t xml:space="preserve"> more tailored to stakeholder needs as well as more user-friendly and accessible through visual aids and concise summaries. Strengthening communication channels is essential to ensure ENISA’s activities and services are clearly visible to stakeholders, including industry players. A well-defined communication strategy will aid in fostering stronger connections and cooperation within existing cybersecurity networks such as ISACs.  </w:t>
      </w:r>
    </w:p>
    <w:p w14:paraId="4FC16214" w14:textId="77777777" w:rsidR="00B202FC" w:rsidRPr="00380B24" w:rsidRDefault="00B202FC" w:rsidP="00B202FC">
      <w:pPr>
        <w:pStyle w:val="Text1"/>
        <w:ind w:left="0"/>
        <w:rPr>
          <w:noProof/>
        </w:rPr>
      </w:pPr>
      <w:r w:rsidRPr="00380B24">
        <w:rPr>
          <w:noProof/>
        </w:rPr>
        <w:t xml:space="preserve">ENISA can become more efficient through a more strategic focus on task prioritisation, enabling a more streamlined approach to managing workload pressures. To become more relevant to stakeholders, ENISA should continue to expand its central role in supporting Member States by strengthening its capacity to provide timely insights into emerging threats and strategic tools for addressing them. Moreover, as a number of stakeholders noted, ENISA could establish more structured and transparent methods of engaging with private entities, with an emphasis on supporting SMEs. Clarity should be sought regarding ENISA’s role in policy implementation with other EU institutions, ensuring that collaboration with Member States is at the forefront of these efforts to reinforce the cohesion of the EU’s unified cybersecurity strategy, which would also include strengthening cooperation with other EU agencies and seeking synergies with other cybersecurity bodies for joint actions to improve operational coherence across Europe.  </w:t>
      </w:r>
    </w:p>
    <w:p w14:paraId="4978A95E" w14:textId="7ECD9B33" w:rsidR="00D52AD8" w:rsidRPr="00C57110" w:rsidRDefault="00D52AD8" w:rsidP="00D52AD8">
      <w:pPr>
        <w:pStyle w:val="Text1"/>
        <w:ind w:left="0"/>
        <w:rPr>
          <w:noProof/>
        </w:rPr>
      </w:pPr>
      <w:r w:rsidRPr="00C57110">
        <w:rPr>
          <w:noProof/>
        </w:rPr>
        <w:t xml:space="preserve">Overall, maintaining ENISA’s status as a specialised </w:t>
      </w:r>
      <w:r w:rsidR="00B202FC" w:rsidRPr="00380B24">
        <w:rPr>
          <w:noProof/>
        </w:rPr>
        <w:t>agency</w:t>
      </w:r>
      <w:r w:rsidRPr="00C57110">
        <w:rPr>
          <w:noProof/>
        </w:rPr>
        <w:t xml:space="preserve"> within the EU framework is important, as it ensures continued focus on cybersecurity priorities. </w:t>
      </w:r>
    </w:p>
    <w:p w14:paraId="35065045" w14:textId="30C7F17C" w:rsidR="00D52AD8" w:rsidRPr="00380B24" w:rsidRDefault="00D52AD8" w:rsidP="00D52AD8">
      <w:pPr>
        <w:spacing w:after="120"/>
        <w:rPr>
          <w:noProof/>
        </w:rPr>
      </w:pPr>
      <w:r w:rsidRPr="00380B24">
        <w:rPr>
          <w:noProof/>
        </w:rPr>
        <w:t xml:space="preserve">The ECCF has partially achieved its objectives. It has succeeded in improving cooperation and coordination among Member States, EU institutions and the private sector, notably through the creation of </w:t>
      </w:r>
      <w:r w:rsidR="00B202FC" w:rsidRPr="00380B24">
        <w:rPr>
          <w:noProof/>
        </w:rPr>
        <w:t>forums</w:t>
      </w:r>
      <w:r w:rsidRPr="00380B24">
        <w:rPr>
          <w:noProof/>
        </w:rPr>
        <w:t xml:space="preserve"> such as the ECCG and to a lesser extent, the SCCG. These structures have facilitated knowledge sharing and harmonisation, but delays in the adoption of certification schemes, most notably the EUCC, which took nearly five years to implement, have limited ECCF’s impact on market fragmentation, trust and transparency. The lack of implemented schemes means that many of ECCF’s strengths remain ‘potential’ rather than realised and the benefits for businesses and citizens are yet to materialise.</w:t>
      </w:r>
    </w:p>
    <w:p w14:paraId="4E4227BB" w14:textId="77777777" w:rsidR="00D52AD8" w:rsidRPr="00C57110" w:rsidRDefault="00D52AD8" w:rsidP="00D52AD8">
      <w:pPr>
        <w:pStyle w:val="Text1"/>
        <w:ind w:left="0"/>
        <w:rPr>
          <w:noProof/>
        </w:rPr>
      </w:pPr>
      <w:r w:rsidRPr="00C57110">
        <w:rPr>
          <w:noProof/>
        </w:rPr>
        <w:t>The evaluation finds that the EU’s role has been essential in bringing together diverse actors to work on shared solutions that would not have been possible at national level. ENISA’s decentralised structure and the ECCF’s harmonised approach have enabled economies of scale and safeguarded key EU interests in cybersecurity. Stakeholders consistently noted that, without EU involvement, coordination, expertise development and cross-border cooperation would be significantly weaker, leading to fragmented approaches and increased costs.</w:t>
      </w:r>
    </w:p>
    <w:p w14:paraId="5AFB0168" w14:textId="0187E290" w:rsidR="00D52AD8" w:rsidRPr="00C57110" w:rsidRDefault="00D52AD8" w:rsidP="00D52AD8">
      <w:pPr>
        <w:pStyle w:val="Text1"/>
        <w:ind w:left="0"/>
        <w:rPr>
          <w:noProof/>
        </w:rPr>
      </w:pPr>
      <w:r w:rsidRPr="00C57110">
        <w:rPr>
          <w:noProof/>
        </w:rPr>
        <w:t>Unintended effects have also emerged.  The politicisation of debates around certification schemes (e.g</w:t>
      </w:r>
      <w:r w:rsidR="00B202FC" w:rsidRPr="00380B24">
        <w:rPr>
          <w:noProof/>
        </w:rPr>
        <w:t>.</w:t>
      </w:r>
      <w:r w:rsidRPr="00C57110">
        <w:rPr>
          <w:noProof/>
        </w:rPr>
        <w:t xml:space="preserve"> cloud sovereignty requirements) has led to delays and decreased trust among stakeholders. Nevertheless, the overall impact of the </w:t>
      </w:r>
      <w:r w:rsidR="00B202FC" w:rsidRPr="00380B24">
        <w:rPr>
          <w:noProof/>
        </w:rPr>
        <w:t>action</w:t>
      </w:r>
      <w:r w:rsidRPr="00C57110">
        <w:rPr>
          <w:noProof/>
        </w:rPr>
        <w:t xml:space="preserve"> remains positive, with stakeholders recognising the need for continued adaptation and coordination.</w:t>
      </w:r>
    </w:p>
    <w:p w14:paraId="6A71CFC4" w14:textId="77777777" w:rsidR="00D52AD8" w:rsidRPr="00C57110" w:rsidRDefault="00D52AD8" w:rsidP="00D52AD8">
      <w:pPr>
        <w:pStyle w:val="Text1"/>
        <w:ind w:left="0"/>
        <w:rPr>
          <w:noProof/>
        </w:rPr>
      </w:pPr>
      <w:r w:rsidRPr="00C57110">
        <w:rPr>
          <w:noProof/>
        </w:rPr>
        <w:t>In terms of regulatory simplification and burden reduction (REFIT), the evaluation highlights the importance of streamlining reporting requirements, improving communication channels and making ENISA’s outputs more accessible and tailored to stakeholder needs. Stakeholders suggested that more concise, practical reports and greater use of visualisations would enhance effectiveness and reduce unnecessary complexity.</w:t>
      </w:r>
    </w:p>
    <w:p w14:paraId="2B3C7C01" w14:textId="77777777" w:rsidR="00D52AD8" w:rsidRPr="00C57110" w:rsidRDefault="00D52AD8" w:rsidP="00D52AD8">
      <w:pPr>
        <w:pStyle w:val="Heading1"/>
        <w:numPr>
          <w:ilvl w:val="1"/>
          <w:numId w:val="3"/>
        </w:numPr>
        <w:rPr>
          <w:rFonts w:ascii="Times New Roman Bold" w:hAnsi="Times New Roman Bold"/>
          <w:b w:val="0"/>
          <w:smallCaps w:val="0"/>
          <w:noProof/>
        </w:rPr>
      </w:pPr>
      <w:bookmarkStart w:id="443" w:name="_Toc218702605"/>
      <w:bookmarkStart w:id="444" w:name="_Toc219039528"/>
      <w:bookmarkStart w:id="445" w:name="_Toc219447431"/>
      <w:r w:rsidRPr="00C57110">
        <w:rPr>
          <w:rFonts w:ascii="Times New Roman Bold" w:hAnsi="Times New Roman Bold"/>
          <w:b w:val="0"/>
          <w:smallCaps w:val="0"/>
          <w:noProof/>
        </w:rPr>
        <w:t>Lessons learned</w:t>
      </w:r>
      <w:bookmarkEnd w:id="443"/>
      <w:bookmarkEnd w:id="444"/>
      <w:bookmarkEnd w:id="445"/>
    </w:p>
    <w:p w14:paraId="4A6DF81F" w14:textId="77777777" w:rsidR="00D52AD8" w:rsidRPr="00C57110" w:rsidRDefault="00D52AD8" w:rsidP="00D52AD8">
      <w:pPr>
        <w:pStyle w:val="Text1"/>
        <w:ind w:left="0"/>
        <w:rPr>
          <w:noProof/>
        </w:rPr>
      </w:pPr>
      <w:r w:rsidRPr="00C57110">
        <w:rPr>
          <w:noProof/>
        </w:rPr>
        <w:t>The evaluation yields several lessons that are relevant for future policy development, while acknowledging that some findings remain preliminary and require ongoing monitoring.</w:t>
      </w:r>
    </w:p>
    <w:p w14:paraId="40B27C3E" w14:textId="77777777" w:rsidR="00B202FC" w:rsidRPr="00380B24" w:rsidRDefault="00B202FC" w:rsidP="00B202FC">
      <w:pPr>
        <w:pStyle w:val="Text1"/>
        <w:ind w:left="0"/>
        <w:rPr>
          <w:noProof/>
        </w:rPr>
      </w:pPr>
      <w:r w:rsidRPr="00380B24">
        <w:rPr>
          <w:noProof/>
        </w:rPr>
        <w:t xml:space="preserve">First, ENISA’s expanding mandate and the evolving cybersecurity landscape would benefit from a </w:t>
      </w:r>
      <w:r w:rsidRPr="00380B24">
        <w:rPr>
          <w:b/>
          <w:bCs/>
          <w:noProof/>
        </w:rPr>
        <w:t>flexible approach to resource allocation and prioritisation</w:t>
      </w:r>
      <w:r w:rsidRPr="00380B24">
        <w:rPr>
          <w:noProof/>
        </w:rPr>
        <w:t>. ENISA’s effectiveness depends on its ability to match its growing responsibilities with adequate human and financial resources. Lessons from stakeholder consultations indicate that secondment of national officials, partnerships with academic institutions and targeted recruitment programmes could go some way to addressing resource gaps and improving capacity.</w:t>
      </w:r>
    </w:p>
    <w:p w14:paraId="1A55383C" w14:textId="77777777" w:rsidR="00B202FC" w:rsidRPr="00380B24" w:rsidRDefault="00B202FC" w:rsidP="00B202FC">
      <w:pPr>
        <w:pStyle w:val="Text1"/>
        <w:ind w:left="0"/>
        <w:rPr>
          <w:noProof/>
        </w:rPr>
      </w:pPr>
      <w:r w:rsidRPr="00380B24">
        <w:rPr>
          <w:noProof/>
        </w:rPr>
        <w:t xml:space="preserve">Second, the </w:t>
      </w:r>
      <w:r w:rsidRPr="00380B24">
        <w:rPr>
          <w:b/>
          <w:bCs/>
          <w:noProof/>
        </w:rPr>
        <w:t>quality of stakeholder engagement</w:t>
      </w:r>
      <w:r w:rsidRPr="00380B24">
        <w:rPr>
          <w:noProof/>
        </w:rPr>
        <w:t xml:space="preserve"> is a critical determinant of success. ENISA’s effectiveness, efficiency and relevance are closely linked to its relationships with Member States, EU institutions and industry. The evaluation suggests that ENISA could further develop its cooperation strategies, including clearer communication campaigns, more structured engagement with industry (especially SMEs) and improved feedback mechanisms. </w:t>
      </w:r>
    </w:p>
    <w:p w14:paraId="525B03E1" w14:textId="77777777" w:rsidR="00B202FC" w:rsidRPr="00380B24" w:rsidRDefault="00B202FC" w:rsidP="00B202FC">
      <w:pPr>
        <w:pStyle w:val="Text1"/>
        <w:ind w:left="0"/>
        <w:rPr>
          <w:noProof/>
        </w:rPr>
      </w:pPr>
      <w:r w:rsidRPr="00380B24">
        <w:rPr>
          <w:noProof/>
        </w:rPr>
        <w:t xml:space="preserve">Third, the ECCF’s experience highlights the importance of having </w:t>
      </w:r>
      <w:r w:rsidRPr="00380B24">
        <w:rPr>
          <w:b/>
          <w:bCs/>
          <w:noProof/>
        </w:rPr>
        <w:t>clear roles and responsibilities in scheme implementation and maintenance</w:t>
      </w:r>
      <w:r w:rsidRPr="00380B24">
        <w:rPr>
          <w:noProof/>
        </w:rPr>
        <w:t xml:space="preserve">. </w:t>
      </w:r>
      <w:r w:rsidRPr="00380B24">
        <w:rPr>
          <w:noProof/>
          <w:color w:val="000000" w:themeColor="text1"/>
        </w:rPr>
        <w:t>Despite ENISA’s pivotal role in fostering cooperation and operational cohesiveness among Member States and other stakeholders, constraints on the efficiency and effectiveness of the ECCF have been evident, mainly due to the complexities of scheme adoption processes. These issues highlight the necessity of a substantial revision in governance structures to improve operational clarity and accountability at all levels. </w:t>
      </w:r>
      <w:r w:rsidRPr="00380B24">
        <w:rPr>
          <w:noProof/>
        </w:rPr>
        <w:t>The evaluation also points to the importance for more granular scheme requests, early preparatory analysis and regular updates to work programmes to align expectations and smoothen adoption processes.</w:t>
      </w:r>
    </w:p>
    <w:p w14:paraId="3B369A22" w14:textId="550B70D9"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Fourth, developing </w:t>
      </w:r>
      <w:r w:rsidRPr="00C57110">
        <w:rPr>
          <w:rFonts w:eastAsia="Times New Roman"/>
          <w:b/>
          <w:bCs/>
          <w:noProof/>
          <w:color w:val="000000" w:themeColor="text1"/>
        </w:rPr>
        <w:t>streamlined decision-making processes</w:t>
      </w:r>
      <w:r w:rsidRPr="00C57110">
        <w:rPr>
          <w:rFonts w:eastAsia="Times New Roman"/>
          <w:noProof/>
          <w:color w:val="000000" w:themeColor="text1"/>
        </w:rPr>
        <w:t xml:space="preserve"> within the ECCF which clarify roles and responsibilities will promote transparency and efficiency, particularly in collaborative efforts among Member States, the Commission, and ENISA. This will foster accountability and reduce inefficiencies. </w:t>
      </w:r>
    </w:p>
    <w:p w14:paraId="38C3D01C" w14:textId="77777777" w:rsidR="00D52AD8" w:rsidRPr="00C57110" w:rsidRDefault="00D52AD8" w:rsidP="00D52AD8">
      <w:pPr>
        <w:spacing w:after="120"/>
        <w:rPr>
          <w:rFonts w:eastAsia="Times New Roman"/>
          <w:noProof/>
          <w:color w:val="000000" w:themeColor="text1"/>
        </w:rPr>
      </w:pPr>
      <w:r w:rsidRPr="00C57110">
        <w:rPr>
          <w:rFonts w:eastAsia="Times New Roman"/>
          <w:noProof/>
          <w:color w:val="000000" w:themeColor="text1"/>
        </w:rPr>
        <w:t xml:space="preserve">Fifth, a commitment to </w:t>
      </w:r>
      <w:r w:rsidRPr="00C57110">
        <w:rPr>
          <w:rFonts w:eastAsia="Times New Roman"/>
          <w:b/>
          <w:bCs/>
          <w:noProof/>
          <w:color w:val="000000" w:themeColor="text1"/>
        </w:rPr>
        <w:t>setting and adhering to realistic timelines</w:t>
      </w:r>
      <w:r w:rsidRPr="00C57110">
        <w:rPr>
          <w:rFonts w:eastAsia="Times New Roman"/>
          <w:noProof/>
          <w:color w:val="000000" w:themeColor="text1"/>
        </w:rPr>
        <w:t xml:space="preserve"> for the development and implementation of certification schemes is essential. This involves supporting detailed technical analysis and bolstering preparatory efforts to effectively anticipate and mitigate political influences.</w:t>
      </w:r>
      <w:r w:rsidRPr="00380B24">
        <w:rPr>
          <w:rFonts w:eastAsia="Times New Roman"/>
          <w:noProof/>
          <w:color w:val="000000" w:themeColor="text1"/>
        </w:rPr>
        <w:t> </w:t>
      </w:r>
    </w:p>
    <w:p w14:paraId="106E8B5F"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Sixth, actively investing in the </w:t>
      </w:r>
      <w:r w:rsidRPr="00380B24">
        <w:rPr>
          <w:rFonts w:eastAsia="Times New Roman"/>
          <w:b/>
          <w:bCs/>
          <w:noProof/>
          <w:color w:val="000000" w:themeColor="text1"/>
        </w:rPr>
        <w:t>training and retention of skilled personnel</w:t>
      </w:r>
      <w:r w:rsidRPr="00380B24">
        <w:rPr>
          <w:rFonts w:eastAsia="Times New Roman"/>
          <w:noProof/>
          <w:color w:val="000000" w:themeColor="text1"/>
        </w:rPr>
        <w:t xml:space="preserve"> within ENISA is crucial to ensuring continuity and expertise when navigating complex cybersecurity challenges. Long-term workforce stability will be vital to maintaining the ECCF’s operational efficacy. </w:t>
      </w:r>
    </w:p>
    <w:p w14:paraId="7BE57846" w14:textId="77777777" w:rsidR="00B202FC" w:rsidRPr="00380B24" w:rsidRDefault="00B202FC" w:rsidP="00B202FC">
      <w:pPr>
        <w:spacing w:after="120"/>
        <w:rPr>
          <w:noProof/>
        </w:rPr>
      </w:pPr>
      <w:r w:rsidRPr="00380B24">
        <w:rPr>
          <w:rFonts w:eastAsia="Times New Roman"/>
          <w:noProof/>
          <w:color w:val="000000" w:themeColor="text1"/>
        </w:rPr>
        <w:t xml:space="preserve">Seventh, industry and consumer </w:t>
      </w:r>
      <w:r w:rsidRPr="00380B24">
        <w:rPr>
          <w:rFonts w:eastAsia="Times New Roman"/>
          <w:b/>
          <w:bCs/>
          <w:noProof/>
          <w:color w:val="000000" w:themeColor="text1"/>
        </w:rPr>
        <w:t>awareness about the ECCF could be increased</w:t>
      </w:r>
      <w:r w:rsidRPr="00380B24">
        <w:rPr>
          <w:rFonts w:eastAsia="Times New Roman"/>
          <w:noProof/>
          <w:color w:val="000000" w:themeColor="text1"/>
        </w:rPr>
        <w:t xml:space="preserve"> through targeted campaigns and strategic involvement, emphasising the value of certified products and services. A proactive approach to garnering stakeholder support is critical to boosting demand and trust in ECCF initiatives. </w:t>
      </w:r>
      <w:r w:rsidRPr="00380B24">
        <w:rPr>
          <w:noProof/>
        </w:rPr>
        <w:t xml:space="preserve"> </w:t>
      </w:r>
    </w:p>
    <w:p w14:paraId="68C60237" w14:textId="32F51A10" w:rsidR="00D52AD8" w:rsidRPr="00C57110" w:rsidRDefault="00B202FC" w:rsidP="00D52AD8">
      <w:pPr>
        <w:pStyle w:val="Text1"/>
        <w:ind w:left="0"/>
        <w:rPr>
          <w:noProof/>
        </w:rPr>
      </w:pPr>
      <w:r w:rsidRPr="00380B24">
        <w:rPr>
          <w:noProof/>
        </w:rPr>
        <w:t xml:space="preserve">Eighth, the </w:t>
      </w:r>
      <w:r w:rsidR="00D52AD8" w:rsidRPr="00C57110">
        <w:rPr>
          <w:noProof/>
        </w:rPr>
        <w:t xml:space="preserve">relevance and </w:t>
      </w:r>
      <w:r w:rsidR="00D52AD8" w:rsidRPr="00C57110">
        <w:rPr>
          <w:b/>
          <w:bCs/>
          <w:noProof/>
        </w:rPr>
        <w:t xml:space="preserve">added value </w:t>
      </w:r>
      <w:r w:rsidRPr="00380B24">
        <w:rPr>
          <w:b/>
          <w:bCs/>
          <w:noProof/>
        </w:rPr>
        <w:t xml:space="preserve">of these efforts </w:t>
      </w:r>
      <w:r w:rsidR="00D52AD8" w:rsidRPr="00C57110">
        <w:rPr>
          <w:b/>
          <w:bCs/>
          <w:noProof/>
        </w:rPr>
        <w:t>remain ‘potential’</w:t>
      </w:r>
      <w:r w:rsidR="00D52AD8" w:rsidRPr="00C57110">
        <w:rPr>
          <w:noProof/>
        </w:rPr>
        <w:t xml:space="preserve"> until schemes are fully implemented and maintained. Promoting uptake among industry, raising awareness among consumers and linking scheme planning to threat monitoring and legislative developments are essential for realising the full benefits of the ECCF.</w:t>
      </w:r>
    </w:p>
    <w:p w14:paraId="0F4FDAD0" w14:textId="77777777" w:rsidR="00D52AD8" w:rsidRPr="00C57110" w:rsidRDefault="00D52AD8" w:rsidP="00D52AD8">
      <w:pPr>
        <w:pStyle w:val="Text1"/>
        <w:ind w:left="0"/>
        <w:rPr>
          <w:noProof/>
        </w:rPr>
      </w:pPr>
      <w:r w:rsidRPr="00C57110">
        <w:rPr>
          <w:noProof/>
        </w:rPr>
        <w:t xml:space="preserve">Finally, the evaluation identifies opportunities for </w:t>
      </w:r>
      <w:r w:rsidRPr="00C57110">
        <w:rPr>
          <w:b/>
          <w:bCs/>
          <w:noProof/>
        </w:rPr>
        <w:t>regulatory simplification and burden reduction</w:t>
      </w:r>
      <w:r w:rsidRPr="00C57110">
        <w:rPr>
          <w:noProof/>
        </w:rPr>
        <w:t>. Streamlining administrative processes, clarifying terminology and harmonising requirements across legislative acts can help reduce unnecessary complexity and improve efficiency. Stakeholders emphasised the value of voluntary approaches, clear guidance documents and coordinated implementation to avoid overlaps and ensure coherence.</w:t>
      </w:r>
    </w:p>
    <w:p w14:paraId="058A2772" w14:textId="7FF5A5F6" w:rsidR="00D52AD8" w:rsidRPr="00C57110" w:rsidRDefault="00D52AD8" w:rsidP="00D52AD8">
      <w:pPr>
        <w:pStyle w:val="Text1"/>
        <w:ind w:left="0"/>
        <w:rPr>
          <w:noProof/>
        </w:rPr>
      </w:pPr>
      <w:r w:rsidRPr="00C57110">
        <w:rPr>
          <w:noProof/>
        </w:rPr>
        <w:t xml:space="preserve">Some findings, such as the long-term impact of new certification schemes and the effectiveness of market surveillance, are too preliminary to draw firm conclusions and warrant a </w:t>
      </w:r>
      <w:r w:rsidR="00B202FC" w:rsidRPr="00380B24">
        <w:rPr>
          <w:noProof/>
        </w:rPr>
        <w:t>‘</w:t>
      </w:r>
      <w:r w:rsidRPr="00C57110">
        <w:rPr>
          <w:noProof/>
        </w:rPr>
        <w:t xml:space="preserve">wait and </w:t>
      </w:r>
      <w:r w:rsidR="00B202FC" w:rsidRPr="00380B24">
        <w:rPr>
          <w:noProof/>
        </w:rPr>
        <w:t>see’</w:t>
      </w:r>
      <w:r w:rsidRPr="00C57110">
        <w:rPr>
          <w:noProof/>
        </w:rPr>
        <w:t xml:space="preserve"> approach. Ongoing monitoring and stakeholder engagement will be necessary to assess whether these issues resolve </w:t>
      </w:r>
      <w:r w:rsidR="00B202FC" w:rsidRPr="00380B24">
        <w:rPr>
          <w:noProof/>
        </w:rPr>
        <w:t xml:space="preserve">themselves </w:t>
      </w:r>
      <w:r w:rsidRPr="00C57110">
        <w:rPr>
          <w:noProof/>
        </w:rPr>
        <w:t>over time or require further intervention.</w:t>
      </w:r>
    </w:p>
    <w:p w14:paraId="2017F7A3" w14:textId="77777777" w:rsidR="00D52AD8" w:rsidRPr="00C57110" w:rsidRDefault="00D52AD8" w:rsidP="00D52AD8">
      <w:pPr>
        <w:pStyle w:val="Text1"/>
        <w:rPr>
          <w:noProof/>
        </w:rPr>
      </w:pPr>
    </w:p>
    <w:p w14:paraId="5283FD08" w14:textId="77777777" w:rsidR="00D52AD8" w:rsidRPr="00C57110" w:rsidRDefault="00D52AD8" w:rsidP="00D52AD8">
      <w:pPr>
        <w:rPr>
          <w:noProof/>
        </w:rPr>
        <w:sectPr w:rsidR="00D52AD8" w:rsidRPr="00C57110" w:rsidSect="00D52AD8">
          <w:headerReference w:type="even" r:id="rId125"/>
          <w:headerReference w:type="default" r:id="rId126"/>
          <w:footerReference w:type="even" r:id="rId127"/>
          <w:footerReference w:type="default" r:id="rId128"/>
          <w:headerReference w:type="first" r:id="rId129"/>
          <w:footerReference w:type="first" r:id="rId130"/>
          <w:pgSz w:w="11906" w:h="16838"/>
          <w:pgMar w:top="1020" w:right="1701" w:bottom="1020" w:left="1587" w:header="601" w:footer="1077" w:gutter="0"/>
          <w:cols w:space="720"/>
          <w:titlePg/>
        </w:sectPr>
      </w:pPr>
    </w:p>
    <w:p w14:paraId="2C8F0D6D" w14:textId="77777777" w:rsidR="00D52AD8" w:rsidRPr="00C57110" w:rsidRDefault="00D52AD8" w:rsidP="00D52AD8">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rPr>
      </w:pPr>
      <w:bookmarkStart w:id="446" w:name="_Toc481484483"/>
      <w:bookmarkStart w:id="447" w:name="_Toc218702606"/>
      <w:bookmarkStart w:id="448" w:name="_Toc219039529"/>
      <w:bookmarkStart w:id="449" w:name="_Toc219447432"/>
      <w:r w:rsidRPr="00C57110">
        <w:rPr>
          <w:noProof/>
        </w:rPr>
        <w:t>Annex I: Procedural Information</w:t>
      </w:r>
      <w:bookmarkEnd w:id="446"/>
      <w:bookmarkEnd w:id="447"/>
      <w:bookmarkEnd w:id="448"/>
      <w:bookmarkEnd w:id="449"/>
    </w:p>
    <w:p w14:paraId="0702C932" w14:textId="683FFEAE" w:rsidR="00D52AD8" w:rsidRPr="00C57110" w:rsidRDefault="00D52AD8" w:rsidP="00D52AD8">
      <w:pPr>
        <w:pStyle w:val="Heading2"/>
        <w:rPr>
          <w:noProof/>
        </w:rPr>
      </w:pPr>
      <w:bookmarkStart w:id="450" w:name="_Toc218702607"/>
      <w:bookmarkStart w:id="451" w:name="_Toc207202589"/>
      <w:bookmarkStart w:id="452" w:name="_Toc219039530"/>
      <w:bookmarkStart w:id="453" w:name="_Toc219447433"/>
      <w:r w:rsidRPr="00C57110">
        <w:rPr>
          <w:noProof/>
        </w:rPr>
        <w:t>Lead DG, Decide Planning/CWP references</w:t>
      </w:r>
      <w:bookmarkEnd w:id="450"/>
      <w:bookmarkEnd w:id="451"/>
      <w:bookmarkEnd w:id="452"/>
      <w:bookmarkEnd w:id="453"/>
    </w:p>
    <w:p w14:paraId="10ED384B" w14:textId="77777777" w:rsidR="00D52AD8" w:rsidRPr="00C57110" w:rsidRDefault="00D52AD8" w:rsidP="00D52AD8">
      <w:pPr>
        <w:ind w:left="50"/>
        <w:rPr>
          <w:rFonts w:eastAsia="Times New Roman"/>
          <w:noProof/>
          <w:color w:val="000000" w:themeColor="text1"/>
        </w:rPr>
      </w:pPr>
      <w:r w:rsidRPr="00C57110">
        <w:rPr>
          <w:rFonts w:eastAsia="Times New Roman"/>
          <w:noProof/>
          <w:color w:val="000000" w:themeColor="text1"/>
        </w:rPr>
        <w:t xml:space="preserve">Lead DG: Directorate-General for Communications Networks Content and Technology (CNECT). </w:t>
      </w:r>
    </w:p>
    <w:p w14:paraId="77954067" w14:textId="77777777" w:rsidR="00D52AD8" w:rsidRPr="00C57110" w:rsidRDefault="00D52AD8" w:rsidP="00D52AD8">
      <w:pPr>
        <w:ind w:left="50"/>
        <w:rPr>
          <w:rFonts w:eastAsia="Times New Roman"/>
          <w:noProof/>
          <w:color w:val="000000" w:themeColor="text1"/>
        </w:rPr>
      </w:pPr>
      <w:r w:rsidRPr="00C57110">
        <w:rPr>
          <w:rFonts w:eastAsia="Times New Roman"/>
          <w:noProof/>
          <w:color w:val="000000" w:themeColor="text1"/>
        </w:rPr>
        <w:t>Decide: PLAN/2023/181</w:t>
      </w:r>
    </w:p>
    <w:p w14:paraId="33D4A13C" w14:textId="77777777" w:rsidR="00D52AD8" w:rsidRPr="00C57110" w:rsidRDefault="00D52AD8" w:rsidP="00D52AD8">
      <w:pPr>
        <w:ind w:left="50"/>
        <w:rPr>
          <w:rFonts w:eastAsia="Times New Roman"/>
          <w:noProof/>
          <w:color w:val="000000" w:themeColor="text1"/>
        </w:rPr>
      </w:pPr>
      <w:r w:rsidRPr="00C57110">
        <w:rPr>
          <w:rFonts w:eastAsia="Times New Roman"/>
          <w:noProof/>
          <w:color w:val="000000" w:themeColor="text1"/>
        </w:rPr>
        <w:t>Evaluation of the European Union Agency for Cybersecurity (ENISA) and the European Cybersecurity Certification Framework</w:t>
      </w:r>
    </w:p>
    <w:p w14:paraId="7F3A5156" w14:textId="3E37FEBE" w:rsidR="00D52AD8" w:rsidRPr="00C57110" w:rsidRDefault="00D52AD8" w:rsidP="00D52AD8">
      <w:pPr>
        <w:pStyle w:val="Heading2"/>
        <w:rPr>
          <w:noProof/>
        </w:rPr>
      </w:pPr>
      <w:bookmarkStart w:id="454" w:name="_Toc207202590"/>
      <w:bookmarkStart w:id="455" w:name="_Toc218702608"/>
      <w:bookmarkStart w:id="456" w:name="_Toc219039531"/>
      <w:bookmarkStart w:id="457" w:name="_Toc219447434"/>
      <w:r w:rsidRPr="00C57110">
        <w:rPr>
          <w:noProof/>
        </w:rPr>
        <w:t>Organisation and timing</w:t>
      </w:r>
      <w:bookmarkEnd w:id="454"/>
      <w:bookmarkEnd w:id="455"/>
      <w:bookmarkEnd w:id="456"/>
      <w:bookmarkEnd w:id="457"/>
    </w:p>
    <w:p w14:paraId="2BA024D1" w14:textId="30BD0F6F" w:rsidR="00D52AD8" w:rsidRPr="00C57110" w:rsidRDefault="00B202FC" w:rsidP="00D52AD8">
      <w:pPr>
        <w:rPr>
          <w:noProof/>
        </w:rPr>
      </w:pPr>
      <w:r w:rsidRPr="00380B24">
        <w:rPr>
          <w:rFonts w:eastAsia="Times New Roman"/>
          <w:noProof/>
        </w:rPr>
        <w:t>14 July 2023 - 4 December 2024 – The call for evidence was launched on 14 July 2023 (see below) and the final study report was delivered on 4 December 2024 (see below).</w:t>
      </w:r>
    </w:p>
    <w:p w14:paraId="39B131AE" w14:textId="3A07F474" w:rsidR="00D52AD8" w:rsidRPr="00C57110" w:rsidRDefault="00D52AD8" w:rsidP="00D52AD8">
      <w:pPr>
        <w:pStyle w:val="Heading2"/>
        <w:rPr>
          <w:noProof/>
        </w:rPr>
      </w:pPr>
      <w:bookmarkStart w:id="458" w:name="_Toc207202591"/>
      <w:bookmarkStart w:id="459" w:name="_Toc218702609"/>
      <w:bookmarkStart w:id="460" w:name="_Toc219039532"/>
      <w:bookmarkStart w:id="461" w:name="_Toc219447435"/>
      <w:r w:rsidRPr="00C57110">
        <w:rPr>
          <w:noProof/>
        </w:rPr>
        <w:t>Consultation of the RSB</w:t>
      </w:r>
      <w:bookmarkEnd w:id="458"/>
      <w:bookmarkEnd w:id="459"/>
      <w:bookmarkEnd w:id="460"/>
      <w:bookmarkEnd w:id="461"/>
    </w:p>
    <w:p w14:paraId="5DCBAC30" w14:textId="77777777" w:rsidR="00D52AD8" w:rsidRPr="00C57110" w:rsidRDefault="00D52AD8" w:rsidP="00D52AD8">
      <w:pPr>
        <w:rPr>
          <w:noProof/>
        </w:rPr>
      </w:pPr>
      <w:r w:rsidRPr="00C57110">
        <w:rPr>
          <w:noProof/>
        </w:rPr>
        <w:t>N/A</w:t>
      </w:r>
    </w:p>
    <w:p w14:paraId="69998E51" w14:textId="25283944" w:rsidR="00D52AD8" w:rsidRPr="00C57110" w:rsidRDefault="00D52AD8" w:rsidP="00D52AD8">
      <w:pPr>
        <w:pStyle w:val="Heading2"/>
        <w:rPr>
          <w:noProof/>
        </w:rPr>
      </w:pPr>
      <w:bookmarkStart w:id="462" w:name="_Toc207202592"/>
      <w:bookmarkStart w:id="463" w:name="_Toc218702610"/>
      <w:bookmarkStart w:id="464" w:name="_Toc219039533"/>
      <w:bookmarkStart w:id="465" w:name="_Toc219447436"/>
      <w:r w:rsidRPr="00C57110">
        <w:rPr>
          <w:noProof/>
        </w:rPr>
        <w:t>Evidence, sources and quality</w:t>
      </w:r>
      <w:bookmarkEnd w:id="462"/>
      <w:bookmarkEnd w:id="463"/>
      <w:bookmarkEnd w:id="464"/>
      <w:bookmarkEnd w:id="465"/>
    </w:p>
    <w:p w14:paraId="42F5B44F" w14:textId="0DECB985" w:rsidR="00D52AD8" w:rsidRPr="00380B24" w:rsidRDefault="00D52AD8" w:rsidP="00D52AD8">
      <w:pPr>
        <w:rPr>
          <w:rFonts w:eastAsia="Times New Roman"/>
          <w:noProof/>
          <w:color w:val="000000" w:themeColor="text1"/>
        </w:rPr>
      </w:pPr>
      <w:r w:rsidRPr="00380B24">
        <w:rPr>
          <w:rFonts w:eastAsia="Times New Roman"/>
          <w:noProof/>
          <w:color w:val="000000" w:themeColor="text1"/>
        </w:rPr>
        <w:t xml:space="preserve">Study to support the evaluation of the European Union Agency for Cybersecurity (ENISA) and the European Cybersecurity Certification Framework according to Regulation (EU) 2019/881 – STUDY 2023/037, carried out for the European Commission by PwC EU Services EESV, Open Evidence S.L. and PPMI Group, UAB – Final report </w:t>
      </w:r>
      <w:r w:rsidR="00B202FC" w:rsidRPr="00380B24">
        <w:rPr>
          <w:rFonts w:eastAsia="Times New Roman"/>
          <w:noProof/>
          <w:color w:val="000000" w:themeColor="text1"/>
        </w:rPr>
        <w:t>4 </w:t>
      </w:r>
      <w:r w:rsidRPr="00380B24">
        <w:rPr>
          <w:rFonts w:eastAsia="Times New Roman"/>
          <w:noProof/>
          <w:color w:val="000000" w:themeColor="text1"/>
        </w:rPr>
        <w:t>December 2024</w:t>
      </w:r>
    </w:p>
    <w:p w14:paraId="67131057" w14:textId="4D95CD33" w:rsidR="00D52AD8" w:rsidRPr="00380B24" w:rsidRDefault="00D52AD8" w:rsidP="00D52AD8">
      <w:pPr>
        <w:rPr>
          <w:rFonts w:eastAsia="Times New Roman"/>
          <w:noProof/>
        </w:rPr>
      </w:pPr>
      <w:r w:rsidRPr="00380B24">
        <w:rPr>
          <w:rFonts w:eastAsia="Times New Roman"/>
          <w:noProof/>
        </w:rPr>
        <w:t xml:space="preserve"> A </w:t>
      </w:r>
      <w:r w:rsidR="00B202FC" w:rsidRPr="00380B24">
        <w:rPr>
          <w:rFonts w:eastAsia="Times New Roman"/>
          <w:noProof/>
        </w:rPr>
        <w:t>call</w:t>
      </w:r>
      <w:r w:rsidRPr="00380B24">
        <w:rPr>
          <w:rFonts w:eastAsia="Times New Roman"/>
          <w:noProof/>
        </w:rPr>
        <w:t xml:space="preserve"> for evidence on the</w:t>
      </w:r>
      <w:r w:rsidRPr="00380B24">
        <w:rPr>
          <w:rFonts w:eastAsia="Times New Roman"/>
          <w:noProof/>
          <w:color w:val="000000" w:themeColor="text1"/>
        </w:rPr>
        <w:t xml:space="preserve"> impact, effectiveness and efficiency of ENISA’s mandate and of the provisions</w:t>
      </w:r>
      <w:r w:rsidRPr="00380B24">
        <w:rPr>
          <w:rFonts w:eastAsia="Times New Roman"/>
          <w:noProof/>
        </w:rPr>
        <w:t xml:space="preserve"> of the European Cybersecurity Certification Framework (ECCF) was conducted from 14</w:t>
      </w:r>
      <w:r w:rsidR="00B202FC" w:rsidRPr="00380B24">
        <w:rPr>
          <w:rFonts w:eastAsia="Times New Roman"/>
          <w:noProof/>
        </w:rPr>
        <w:t> </w:t>
      </w:r>
      <w:r w:rsidRPr="00380B24">
        <w:rPr>
          <w:rFonts w:eastAsia="Times New Roman"/>
          <w:noProof/>
        </w:rPr>
        <w:t>July 2023 to 16</w:t>
      </w:r>
      <w:r w:rsidR="00B202FC" w:rsidRPr="00380B24">
        <w:rPr>
          <w:rFonts w:eastAsia="Times New Roman"/>
          <w:noProof/>
        </w:rPr>
        <w:t> </w:t>
      </w:r>
      <w:r w:rsidRPr="00380B24">
        <w:rPr>
          <w:rFonts w:eastAsia="Times New Roman"/>
          <w:noProof/>
        </w:rPr>
        <w:t xml:space="preserve">September 2023. The </w:t>
      </w:r>
      <w:r w:rsidR="00B202FC" w:rsidRPr="00380B24">
        <w:rPr>
          <w:rFonts w:eastAsia="Times New Roman"/>
          <w:noProof/>
        </w:rPr>
        <w:t>call</w:t>
      </w:r>
      <w:r w:rsidRPr="00380B24">
        <w:rPr>
          <w:rFonts w:eastAsia="Times New Roman"/>
          <w:noProof/>
        </w:rPr>
        <w:t xml:space="preserve"> for evidence </w:t>
      </w:r>
      <w:r w:rsidR="00B202FC" w:rsidRPr="00380B24">
        <w:rPr>
          <w:rFonts w:eastAsia="Times New Roman"/>
          <w:noProof/>
        </w:rPr>
        <w:t>was intended to elicit</w:t>
      </w:r>
      <w:r w:rsidRPr="00380B24">
        <w:rPr>
          <w:rFonts w:eastAsia="Times New Roman"/>
          <w:noProof/>
        </w:rPr>
        <w:t xml:space="preserve"> feedback from relevant stakeholders involved in the cybersecurity domain, and, more specifically, from those involved in the EU certification process. Overall, 41 stakeholders contributed to the </w:t>
      </w:r>
      <w:r w:rsidR="00B202FC" w:rsidRPr="00380B24">
        <w:rPr>
          <w:rFonts w:eastAsia="Times New Roman"/>
          <w:noProof/>
        </w:rPr>
        <w:t>call</w:t>
      </w:r>
      <w:r w:rsidRPr="00380B24">
        <w:rPr>
          <w:rFonts w:eastAsia="Times New Roman"/>
          <w:noProof/>
        </w:rPr>
        <w:t xml:space="preserve"> for evidence, mostly from the private sector.</w:t>
      </w:r>
    </w:p>
    <w:p w14:paraId="6166CB0C" w14:textId="77777777" w:rsidR="00D52AD8" w:rsidRPr="00C57110" w:rsidRDefault="00D52AD8" w:rsidP="00D52AD8">
      <w:pPr>
        <w:rPr>
          <w:rFonts w:eastAsia="Times New Roman"/>
          <w:i/>
          <w:noProof/>
        </w:rPr>
      </w:pPr>
      <w:r w:rsidRPr="00C57110">
        <w:rPr>
          <w:rFonts w:eastAsia="Times New Roman"/>
          <w:i/>
          <w:noProof/>
        </w:rPr>
        <w:br w:type="page"/>
      </w:r>
    </w:p>
    <w:p w14:paraId="3F886559" w14:textId="77777777" w:rsidR="00D52AD8" w:rsidRPr="00C57110" w:rsidRDefault="00D52AD8" w:rsidP="00D52AD8">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66" w:name="_Toc218702611"/>
      <w:bookmarkStart w:id="467" w:name="_Toc219039534"/>
      <w:bookmarkStart w:id="468" w:name="_Toc219447437"/>
      <w:r w:rsidRPr="00C57110">
        <w:rPr>
          <w:noProof/>
          <w:szCs w:val="24"/>
        </w:rPr>
        <w:t>Annex II. Methodology and Analytical models used</w:t>
      </w:r>
      <w:bookmarkEnd w:id="466"/>
      <w:bookmarkEnd w:id="467"/>
      <w:bookmarkEnd w:id="468"/>
    </w:p>
    <w:p w14:paraId="10015C8A" w14:textId="77777777" w:rsidR="00B202FC" w:rsidRPr="00380B24" w:rsidRDefault="00B202FC" w:rsidP="00B202FC">
      <w:pPr>
        <w:rPr>
          <w:i/>
          <w:iCs/>
          <w:noProof/>
        </w:rPr>
      </w:pPr>
      <w:bookmarkStart w:id="469" w:name="_Toc481484489"/>
      <w:r w:rsidRPr="00380B24">
        <w:rPr>
          <w:i/>
          <w:iCs/>
          <w:noProof/>
        </w:rPr>
        <w:t>Provide a critical assessment of the work carried out by the external contractor which allows an understanding of why you agreed or disagreed with their conclusions.</w:t>
      </w:r>
    </w:p>
    <w:p w14:paraId="1F47E284" w14:textId="77777777" w:rsidR="00B202FC" w:rsidRPr="00380B24" w:rsidRDefault="00B202FC" w:rsidP="00B202FC">
      <w:pPr>
        <w:rPr>
          <w:iCs/>
          <w:noProof/>
        </w:rPr>
      </w:pPr>
      <w:r w:rsidRPr="00380B24">
        <w:rPr>
          <w:iCs/>
          <w:noProof/>
        </w:rPr>
        <w:t>This annex provides a detailed account of the methodology and analytical approaches used in the evaluation of ENISA and the ECCF, as documented in the 2024 ENISA and ECCF Evaluation Report. This annex explains the data collection process, sources and stakeholder consultation activities, as well as the analytical techniques and validation steps applied throughout the evaluation. It also addresses any changes from the original plan, known limitations and the measures taken to ensure the reliability and robustness of the findings. The information presented here is intended to ensure full transparency and to support the credibility of the conclusions of the evaluation.</w:t>
      </w:r>
    </w:p>
    <w:p w14:paraId="23C9A744" w14:textId="3640DC51" w:rsidR="00B202FC" w:rsidRPr="00380B24" w:rsidRDefault="00B202FC" w:rsidP="00B202FC">
      <w:pPr>
        <w:pStyle w:val="Heading2"/>
        <w:rPr>
          <w:noProof/>
        </w:rPr>
      </w:pPr>
      <w:bookmarkStart w:id="470" w:name="_Toc218702612"/>
      <w:bookmarkStart w:id="471" w:name="_Toc219039535"/>
      <w:bookmarkStart w:id="472" w:name="_Toc219447438"/>
      <w:r w:rsidRPr="00380B24">
        <w:rPr>
          <w:noProof/>
        </w:rPr>
        <w:t>Overview and process</w:t>
      </w:r>
      <w:bookmarkEnd w:id="470"/>
      <w:bookmarkEnd w:id="471"/>
      <w:bookmarkEnd w:id="472"/>
    </w:p>
    <w:p w14:paraId="748B00F1" w14:textId="77777777" w:rsidR="00D52AD8" w:rsidRPr="00C57110" w:rsidRDefault="00D52AD8" w:rsidP="00D52AD8">
      <w:pPr>
        <w:rPr>
          <w:iCs/>
          <w:noProof/>
        </w:rPr>
      </w:pPr>
      <w:r w:rsidRPr="00C57110">
        <w:rPr>
          <w:iCs/>
          <w:noProof/>
        </w:rPr>
        <w:t>The evaluation of ENISA and the ECCF was conducted through a comprehensive, multi-method approach designed to ensure transparency, robustness and stakeholder engagement at every stage. The study was carried out by an external contractor, with close involvement and oversight from the European Commission. All planned activities, including surveys, interviews, workshops and desk research, were completed as scheduled, with only minor adaptations to the original plan as set out in the evaluation roadmap. Where challenges arose, such as difficulties in engaging certain stakeholder groups, mitigating measures were implemented to ensure the integrity and completeness of the evidence base.</w:t>
      </w:r>
    </w:p>
    <w:p w14:paraId="13B00913" w14:textId="0DF7B68D" w:rsidR="00D52AD8" w:rsidRPr="00C57110" w:rsidRDefault="00B202FC" w:rsidP="00D52AD8">
      <w:pPr>
        <w:pStyle w:val="Heading2"/>
        <w:rPr>
          <w:noProof/>
        </w:rPr>
      </w:pPr>
      <w:bookmarkStart w:id="473" w:name="_Toc218702613"/>
      <w:bookmarkStart w:id="474" w:name="_Toc219039536"/>
      <w:bookmarkStart w:id="475" w:name="_Toc219447439"/>
      <w:r w:rsidRPr="00380B24">
        <w:rPr>
          <w:noProof/>
        </w:rPr>
        <w:t>Data collection and sources</w:t>
      </w:r>
      <w:bookmarkEnd w:id="473"/>
      <w:bookmarkEnd w:id="474"/>
      <w:bookmarkEnd w:id="475"/>
    </w:p>
    <w:p w14:paraId="6877A701" w14:textId="77777777" w:rsidR="00B202FC" w:rsidRPr="00380B24" w:rsidRDefault="00B202FC" w:rsidP="00B202FC">
      <w:pPr>
        <w:rPr>
          <w:b/>
          <w:bCs/>
          <w:iCs/>
          <w:noProof/>
        </w:rPr>
      </w:pPr>
      <w:r w:rsidRPr="00380B24">
        <w:rPr>
          <w:b/>
          <w:bCs/>
          <w:iCs/>
          <w:noProof/>
        </w:rPr>
        <w:t>Desk research and administrative data</w:t>
      </w:r>
    </w:p>
    <w:p w14:paraId="652B1C74" w14:textId="754E1F41" w:rsidR="00D52AD8" w:rsidRPr="00C57110" w:rsidRDefault="00D52AD8" w:rsidP="00D52AD8">
      <w:pPr>
        <w:rPr>
          <w:iCs/>
          <w:noProof/>
        </w:rPr>
      </w:pPr>
      <w:r w:rsidRPr="00C57110">
        <w:rPr>
          <w:iCs/>
          <w:noProof/>
        </w:rPr>
        <w:t xml:space="preserve">Administrative and monitoring data provided by ENISA and the Commission formed </w:t>
      </w:r>
      <w:r w:rsidR="00B202FC" w:rsidRPr="00380B24">
        <w:rPr>
          <w:iCs/>
          <w:noProof/>
        </w:rPr>
        <w:t>the</w:t>
      </w:r>
      <w:r w:rsidRPr="00C57110">
        <w:rPr>
          <w:iCs/>
          <w:noProof/>
        </w:rPr>
        <w:t xml:space="preserve"> cornerstone of the evaluation. These data were used to assess the efficiency of </w:t>
      </w:r>
      <w:r w:rsidR="00B202FC" w:rsidRPr="00380B24">
        <w:rPr>
          <w:iCs/>
          <w:noProof/>
        </w:rPr>
        <w:t>ENISA</w:t>
      </w:r>
      <w:r w:rsidRPr="00C57110">
        <w:rPr>
          <w:iCs/>
          <w:noProof/>
        </w:rPr>
        <w:t>, triangulate stakeholder perspectives and provide a factual basis for answering the evaluation questions. Internal documents, including minutes, reports and audits, were systematically reviewed to complement and validate findings from other sources.</w:t>
      </w:r>
    </w:p>
    <w:p w14:paraId="41EF8A4C" w14:textId="5111EB9C" w:rsidR="00D52AD8" w:rsidRPr="00C57110" w:rsidRDefault="00D52AD8" w:rsidP="00D52AD8">
      <w:pPr>
        <w:rPr>
          <w:iCs/>
          <w:noProof/>
        </w:rPr>
      </w:pPr>
      <w:r w:rsidRPr="00C57110">
        <w:rPr>
          <w:iCs/>
          <w:noProof/>
        </w:rPr>
        <w:t xml:space="preserve">For the ECCF, the evaluation focused on legislative texts, notably the Cybersecurity Act and its amendments, as well as new legislative documents such as the NIS2 Directive, </w:t>
      </w:r>
      <w:r w:rsidR="00B202FC" w:rsidRPr="00380B24">
        <w:rPr>
          <w:iCs/>
          <w:noProof/>
        </w:rPr>
        <w:t>CRA</w:t>
      </w:r>
      <w:r w:rsidRPr="00C57110">
        <w:rPr>
          <w:iCs/>
          <w:noProof/>
        </w:rPr>
        <w:t xml:space="preserve"> and the Union Rolling Work Programme (URWP). The Commission’s call for evidence on the ECCF was also analysed, with particular attention to feedback from SCCG members.</w:t>
      </w:r>
    </w:p>
    <w:p w14:paraId="07E97889" w14:textId="77777777" w:rsidR="00B202FC" w:rsidRPr="00380B24" w:rsidRDefault="00B202FC" w:rsidP="00B202FC">
      <w:pPr>
        <w:rPr>
          <w:b/>
          <w:bCs/>
          <w:iCs/>
          <w:noProof/>
        </w:rPr>
      </w:pPr>
      <w:r w:rsidRPr="00380B24">
        <w:rPr>
          <w:b/>
          <w:bCs/>
          <w:iCs/>
          <w:noProof/>
        </w:rPr>
        <w:t>Document and literature review</w:t>
      </w:r>
    </w:p>
    <w:p w14:paraId="1FCFF1E0" w14:textId="77777777" w:rsidR="00D52AD8" w:rsidRPr="00C57110" w:rsidRDefault="00D52AD8" w:rsidP="00D52AD8">
      <w:pPr>
        <w:rPr>
          <w:iCs/>
          <w:noProof/>
        </w:rPr>
      </w:pPr>
      <w:r w:rsidRPr="00C57110">
        <w:rPr>
          <w:iCs/>
          <w:noProof/>
        </w:rPr>
        <w:t>The literature review drew primarily on official documents published by ENISA and the European Commission, including eleven official reports, three studies and relevant website publications. Annual activity reports with annexes were extensively used to assess ENISA’s performance. For certification schemes, published draft schemes for the EUCC and EUCS were reviewed to understand the state of play and barriers to adoption.</w:t>
      </w:r>
    </w:p>
    <w:p w14:paraId="7EC3E139" w14:textId="77777777" w:rsidR="00B202FC" w:rsidRPr="00380B24" w:rsidRDefault="00B202FC" w:rsidP="00B202FC">
      <w:pPr>
        <w:rPr>
          <w:b/>
          <w:bCs/>
          <w:iCs/>
          <w:noProof/>
        </w:rPr>
      </w:pPr>
      <w:r w:rsidRPr="00380B24">
        <w:rPr>
          <w:b/>
          <w:bCs/>
          <w:iCs/>
          <w:noProof/>
        </w:rPr>
        <w:t>Academic literature review</w:t>
      </w:r>
    </w:p>
    <w:p w14:paraId="283F7E9E" w14:textId="77777777" w:rsidR="00D52AD8" w:rsidRPr="00C57110" w:rsidRDefault="00D52AD8" w:rsidP="00D52AD8">
      <w:pPr>
        <w:rPr>
          <w:iCs/>
          <w:noProof/>
        </w:rPr>
      </w:pPr>
      <w:r w:rsidRPr="00C57110">
        <w:rPr>
          <w:iCs/>
          <w:noProof/>
        </w:rPr>
        <w:t>Academic research was used to situate the evaluation within the broader European cybersecurity debate and to inform the initial focus of data collection. The literature provided critical perspectives on ENISA’s epistemic authority, the challenges and vulnerabilities of the European cybersecurity domain and the alignment of the ECCF with international standards and best practices. Comparative studies with other certification schemes were also reviewed to assess the competitiveness and adaptability of the ECCF.</w:t>
      </w:r>
    </w:p>
    <w:p w14:paraId="26E93F87" w14:textId="0CB5811E" w:rsidR="00D52AD8" w:rsidRPr="00C57110" w:rsidRDefault="00D52AD8" w:rsidP="00D52AD8">
      <w:pPr>
        <w:pStyle w:val="Heading2"/>
        <w:rPr>
          <w:noProof/>
        </w:rPr>
      </w:pPr>
      <w:bookmarkStart w:id="476" w:name="_Toc218702614"/>
      <w:bookmarkStart w:id="477" w:name="_Toc219039537"/>
      <w:bookmarkStart w:id="478" w:name="_Toc219447440"/>
      <w:r w:rsidRPr="00C57110">
        <w:rPr>
          <w:noProof/>
        </w:rPr>
        <w:t xml:space="preserve">Stakeholder </w:t>
      </w:r>
      <w:r w:rsidR="00B202FC" w:rsidRPr="00380B24">
        <w:rPr>
          <w:noProof/>
        </w:rPr>
        <w:t>consultation</w:t>
      </w:r>
      <w:bookmarkEnd w:id="476"/>
      <w:bookmarkEnd w:id="477"/>
      <w:bookmarkEnd w:id="478"/>
    </w:p>
    <w:p w14:paraId="2EFBE959" w14:textId="77777777" w:rsidR="00B202FC" w:rsidRPr="00380B24" w:rsidRDefault="00B202FC" w:rsidP="00B202FC">
      <w:pPr>
        <w:rPr>
          <w:b/>
          <w:bCs/>
          <w:iCs/>
          <w:noProof/>
        </w:rPr>
      </w:pPr>
      <w:r w:rsidRPr="00380B24">
        <w:rPr>
          <w:b/>
          <w:bCs/>
          <w:iCs/>
          <w:noProof/>
        </w:rPr>
        <w:t>Interview programme</w:t>
      </w:r>
    </w:p>
    <w:p w14:paraId="1E3588C8" w14:textId="77777777" w:rsidR="00D52AD8" w:rsidRPr="00C57110" w:rsidRDefault="00D52AD8" w:rsidP="00D52AD8">
      <w:pPr>
        <w:rPr>
          <w:iCs/>
          <w:noProof/>
        </w:rPr>
      </w:pPr>
      <w:r w:rsidRPr="00C57110">
        <w:rPr>
          <w:iCs/>
          <w:noProof/>
        </w:rPr>
        <w:t>The interview programme was a central pillar of the evaluation, designed to capture a wide range of perspectives from across the EU cybersecurity ecosystem. In total, 182 individuals were contacted (40 for ECCF, 142 for ENISA), resulting in 52 interviews for ENISA and 13 for ECCF. All interviews included questions on both ENISA and ECCF and 19 stakeholders were selected from survey respondents who volunteered for interviews.</w:t>
      </w:r>
    </w:p>
    <w:p w14:paraId="06CD10B0" w14:textId="77777777" w:rsidR="00D52AD8" w:rsidRPr="00C57110" w:rsidRDefault="00D52AD8" w:rsidP="00D52AD8">
      <w:pPr>
        <w:rPr>
          <w:iCs/>
          <w:noProof/>
        </w:rPr>
      </w:pPr>
      <w:r w:rsidRPr="00C57110">
        <w:rPr>
          <w:b/>
          <w:bCs/>
          <w:iCs/>
          <w:noProof/>
        </w:rPr>
        <w:t xml:space="preserve">ENISA: </w:t>
      </w:r>
      <w:r w:rsidRPr="00C57110">
        <w:rPr>
          <w:iCs/>
          <w:noProof/>
        </w:rPr>
        <w:t>52 interviews were conducted, involving ENISA staff, representatives from DG CNECT, DIGIT, INTPA, NEAR, other EU entities, industry, academia, international representatives and Member State officials.</w:t>
      </w:r>
    </w:p>
    <w:p w14:paraId="0405F3FA" w14:textId="10A96EEB" w:rsidR="00D52AD8" w:rsidRPr="00C57110" w:rsidRDefault="00D52AD8" w:rsidP="00D52AD8">
      <w:pPr>
        <w:rPr>
          <w:iCs/>
          <w:noProof/>
        </w:rPr>
      </w:pPr>
      <w:r w:rsidRPr="00C57110">
        <w:rPr>
          <w:b/>
          <w:bCs/>
          <w:iCs/>
          <w:noProof/>
        </w:rPr>
        <w:t>ECCF:</w:t>
      </w:r>
      <w:r w:rsidRPr="00C57110">
        <w:rPr>
          <w:iCs/>
          <w:noProof/>
        </w:rPr>
        <w:t xml:space="preserve"> 13 interviews were conducted with 31 interviewees, including EU </w:t>
      </w:r>
      <w:r w:rsidR="00B202FC" w:rsidRPr="00380B24">
        <w:rPr>
          <w:iCs/>
          <w:noProof/>
        </w:rPr>
        <w:t>institutions</w:t>
      </w:r>
      <w:r w:rsidRPr="00C57110">
        <w:rPr>
          <w:iCs/>
          <w:noProof/>
        </w:rPr>
        <w:t xml:space="preserve">, ECCG </w:t>
      </w:r>
      <w:r w:rsidR="00B202FC" w:rsidRPr="00380B24">
        <w:rPr>
          <w:iCs/>
          <w:noProof/>
        </w:rPr>
        <w:t>members</w:t>
      </w:r>
      <w:r w:rsidRPr="00C57110">
        <w:rPr>
          <w:iCs/>
          <w:noProof/>
        </w:rPr>
        <w:t xml:space="preserve"> and SCCG </w:t>
      </w:r>
      <w:r w:rsidR="00B202FC" w:rsidRPr="00380B24">
        <w:rPr>
          <w:iCs/>
          <w:noProof/>
        </w:rPr>
        <w:t>members.</w:t>
      </w:r>
      <w:r w:rsidRPr="00C57110">
        <w:rPr>
          <w:iCs/>
          <w:noProof/>
        </w:rPr>
        <w:t xml:space="preserve"> Despite challenges in engaging private stakeholders (only three of nine SCCG </w:t>
      </w:r>
      <w:r w:rsidR="00B202FC" w:rsidRPr="00380B24">
        <w:rPr>
          <w:iCs/>
          <w:noProof/>
        </w:rPr>
        <w:t>members</w:t>
      </w:r>
      <w:r w:rsidRPr="00C57110">
        <w:rPr>
          <w:iCs/>
          <w:noProof/>
        </w:rPr>
        <w:t xml:space="preserve"> responded), the analysis of </w:t>
      </w:r>
      <w:r w:rsidR="00B202FC" w:rsidRPr="00380B24">
        <w:rPr>
          <w:iCs/>
          <w:noProof/>
        </w:rPr>
        <w:t>stakeholder</w:t>
      </w:r>
      <w:r w:rsidRPr="00C57110">
        <w:rPr>
          <w:iCs/>
          <w:noProof/>
        </w:rPr>
        <w:t xml:space="preserve"> consultation data helped offset this limitation.</w:t>
      </w:r>
    </w:p>
    <w:p w14:paraId="0C7907DC" w14:textId="77777777" w:rsidR="00B202FC" w:rsidRPr="00380B24" w:rsidRDefault="00B202FC" w:rsidP="00B202FC">
      <w:pPr>
        <w:rPr>
          <w:b/>
          <w:bCs/>
          <w:iCs/>
          <w:noProof/>
        </w:rPr>
      </w:pPr>
      <w:r w:rsidRPr="00380B24">
        <w:rPr>
          <w:b/>
          <w:bCs/>
          <w:iCs/>
          <w:noProof/>
        </w:rPr>
        <w:t>Survey programme</w:t>
      </w:r>
    </w:p>
    <w:p w14:paraId="4838C6F0" w14:textId="77777777" w:rsidR="00D52AD8" w:rsidRPr="00C57110" w:rsidRDefault="00D52AD8" w:rsidP="00D52AD8">
      <w:pPr>
        <w:rPr>
          <w:iCs/>
          <w:noProof/>
        </w:rPr>
      </w:pPr>
      <w:r w:rsidRPr="00C57110">
        <w:rPr>
          <w:iCs/>
          <w:noProof/>
        </w:rPr>
        <w:t>The survey approach was adapted after the inception report: instead of two separate surveys for internal and external stakeholders, an integrated survey was conducted to address all stakeholder groups. The survey included specific sections on ENISA and the ECCF, with question filtering and branching to ensure relevance.</w:t>
      </w:r>
    </w:p>
    <w:p w14:paraId="4534B9A2" w14:textId="4F10DE4C" w:rsidR="00D52AD8" w:rsidRPr="00C57110" w:rsidRDefault="00D52AD8" w:rsidP="00D52AD8">
      <w:pPr>
        <w:pStyle w:val="ListParagraph"/>
        <w:numPr>
          <w:ilvl w:val="0"/>
          <w:numId w:val="143"/>
        </w:numPr>
        <w:rPr>
          <w:noProof/>
        </w:rPr>
      </w:pPr>
      <w:r w:rsidRPr="00C57110">
        <w:rPr>
          <w:b/>
          <w:bCs/>
          <w:noProof/>
        </w:rPr>
        <w:t>Design:</w:t>
      </w:r>
      <w:r w:rsidRPr="00C57110">
        <w:rPr>
          <w:noProof/>
        </w:rPr>
        <w:t xml:space="preserve"> The survey was developed based on desk research</w:t>
      </w:r>
      <w:r w:rsidR="00B202FC" w:rsidRPr="00380B24">
        <w:rPr>
          <w:noProof/>
        </w:rPr>
        <w:t xml:space="preserve"> and </w:t>
      </w:r>
      <w:r w:rsidRPr="00C57110">
        <w:rPr>
          <w:noProof/>
        </w:rPr>
        <w:t>initial interviews. It included both closed and open questions, with a limited number of mandatory items.</w:t>
      </w:r>
    </w:p>
    <w:p w14:paraId="12C24A88" w14:textId="77777777" w:rsidR="00D52AD8" w:rsidRPr="00C57110" w:rsidRDefault="00D52AD8" w:rsidP="00D52AD8">
      <w:pPr>
        <w:pStyle w:val="ListParagraph"/>
        <w:numPr>
          <w:ilvl w:val="0"/>
          <w:numId w:val="143"/>
        </w:numPr>
        <w:rPr>
          <w:iCs/>
          <w:noProof/>
        </w:rPr>
      </w:pPr>
      <w:r w:rsidRPr="00C57110">
        <w:rPr>
          <w:b/>
          <w:bCs/>
          <w:iCs/>
          <w:noProof/>
        </w:rPr>
        <w:t>Dissemination:</w:t>
      </w:r>
      <w:r w:rsidRPr="00C57110">
        <w:rPr>
          <w:iCs/>
          <w:noProof/>
        </w:rPr>
        <w:t xml:space="preserve"> Conducted via EUSurvey, 856 stakeholders received a personal invitation. The Commission and ENISA promoted the survey through various channels and the deadline was extended to maximise responses.</w:t>
      </w:r>
    </w:p>
    <w:p w14:paraId="42B1EC3E" w14:textId="552CFAE6" w:rsidR="00D52AD8" w:rsidRPr="00C57110" w:rsidRDefault="00D52AD8" w:rsidP="00D52AD8">
      <w:pPr>
        <w:pStyle w:val="ListParagraph"/>
        <w:numPr>
          <w:ilvl w:val="0"/>
          <w:numId w:val="143"/>
        </w:numPr>
        <w:rPr>
          <w:iCs/>
          <w:noProof/>
        </w:rPr>
      </w:pPr>
      <w:r w:rsidRPr="00C57110">
        <w:rPr>
          <w:b/>
          <w:bCs/>
          <w:iCs/>
          <w:noProof/>
        </w:rPr>
        <w:t xml:space="preserve">Results: </w:t>
      </w:r>
      <w:r w:rsidRPr="00C57110">
        <w:rPr>
          <w:iCs/>
          <w:noProof/>
        </w:rPr>
        <w:t>209 responses were collected, with 70 respondents (33%) involved with the ECCF. The survey results were analysed using data science and analytics software, supplemented by manual analysis.</w:t>
      </w:r>
    </w:p>
    <w:p w14:paraId="06D1E69E" w14:textId="31893AE7" w:rsidR="00B202FC" w:rsidRPr="00380B24" w:rsidRDefault="00B202FC" w:rsidP="00B202FC">
      <w:pPr>
        <w:pStyle w:val="Heading2"/>
        <w:rPr>
          <w:noProof/>
        </w:rPr>
      </w:pPr>
      <w:bookmarkStart w:id="479" w:name="_Toc218702615"/>
      <w:bookmarkStart w:id="480" w:name="_Toc219039538"/>
      <w:bookmarkStart w:id="481" w:name="_Toc219447441"/>
      <w:r w:rsidRPr="00380B24">
        <w:rPr>
          <w:noProof/>
        </w:rPr>
        <w:t>Workshops and validation activities</w:t>
      </w:r>
      <w:bookmarkEnd w:id="479"/>
      <w:bookmarkEnd w:id="480"/>
      <w:bookmarkEnd w:id="481"/>
    </w:p>
    <w:p w14:paraId="3D88EDC0" w14:textId="77777777" w:rsidR="00B202FC" w:rsidRPr="00380B24" w:rsidRDefault="00B202FC" w:rsidP="00B202FC">
      <w:pPr>
        <w:rPr>
          <w:b/>
          <w:bCs/>
          <w:iCs/>
          <w:noProof/>
        </w:rPr>
      </w:pPr>
      <w:r w:rsidRPr="00380B24">
        <w:rPr>
          <w:b/>
          <w:bCs/>
          <w:iCs/>
          <w:noProof/>
        </w:rPr>
        <w:t>SWOT and recommendations workshops</w:t>
      </w:r>
    </w:p>
    <w:p w14:paraId="4915BAFD" w14:textId="77777777" w:rsidR="00B202FC" w:rsidRPr="00380B24" w:rsidRDefault="00B202FC" w:rsidP="00B202FC">
      <w:pPr>
        <w:rPr>
          <w:noProof/>
        </w:rPr>
      </w:pPr>
      <w:r w:rsidRPr="00380B24">
        <w:rPr>
          <w:noProof/>
        </w:rPr>
        <w:t>SWOT workshop: held online on 21 May 2024 with 32 participants, including experts from academia, ENISA and the Commission. The workshop aimed to develop a SWOT analysis for ENISA and the ECCF, validate preliminary findings and foster technical exchange. Interactive polling and breakout sessions were used to gather and validate stakeholder input. The results were used to refine the strengths, weaknesses, opportunities and threats identified for both ENISA and the ECCF.</w:t>
      </w:r>
    </w:p>
    <w:p w14:paraId="61B34663" w14:textId="77777777" w:rsidR="00B202FC" w:rsidRPr="00380B24" w:rsidRDefault="00B202FC" w:rsidP="00B202FC">
      <w:pPr>
        <w:rPr>
          <w:iCs/>
          <w:noProof/>
        </w:rPr>
      </w:pPr>
      <w:r w:rsidRPr="00380B24">
        <w:rPr>
          <w:iCs/>
          <w:noProof/>
        </w:rPr>
        <w:t>Recommendations workshop: held online on 12 July 2024 with 77 participants. The workshop presented preliminary evaluation results and facilitated collaborative discussions on lessons learned and potential improvements for ENISA and the ECCF. Interactive polls and an anonymous form to be filled by each Member State were used to collect feedback and validate findings.</w:t>
      </w:r>
    </w:p>
    <w:p w14:paraId="35A032EF" w14:textId="77777777" w:rsidR="00B202FC" w:rsidRPr="00380B24" w:rsidRDefault="00B202FC" w:rsidP="00B202FC">
      <w:pPr>
        <w:rPr>
          <w:b/>
          <w:bCs/>
          <w:iCs/>
          <w:noProof/>
        </w:rPr>
      </w:pPr>
      <w:r w:rsidRPr="00380B24">
        <w:rPr>
          <w:b/>
          <w:bCs/>
          <w:iCs/>
          <w:noProof/>
        </w:rPr>
        <w:t>Validation and quality assurance</w:t>
      </w:r>
    </w:p>
    <w:p w14:paraId="5DB60E54" w14:textId="77777777" w:rsidR="00D52AD8" w:rsidRPr="00C57110" w:rsidRDefault="00D52AD8" w:rsidP="00D52AD8">
      <w:pPr>
        <w:rPr>
          <w:iCs/>
          <w:noProof/>
        </w:rPr>
      </w:pPr>
      <w:r w:rsidRPr="00C57110">
        <w:rPr>
          <w:iCs/>
          <w:noProof/>
        </w:rPr>
        <w:t>The evaluation process included multiple validation steps to ensure the reliability and robustness of the findings:</w:t>
      </w:r>
    </w:p>
    <w:p w14:paraId="62CFAEC8" w14:textId="77777777" w:rsidR="00B202FC" w:rsidRPr="00380B24" w:rsidRDefault="00B202FC" w:rsidP="00B202FC">
      <w:pPr>
        <w:pStyle w:val="ListParagraph"/>
        <w:numPr>
          <w:ilvl w:val="0"/>
          <w:numId w:val="144"/>
        </w:numPr>
        <w:rPr>
          <w:iCs/>
          <w:noProof/>
        </w:rPr>
      </w:pPr>
      <w:r w:rsidRPr="00380B24">
        <w:rPr>
          <w:iCs/>
          <w:noProof/>
        </w:rPr>
        <w:t>preliminary findings were presented to stakeholders in workshops, where interactive polling and open discussion allowed for real-time validation and refinement;</w:t>
      </w:r>
    </w:p>
    <w:p w14:paraId="547119CE" w14:textId="77777777" w:rsidR="00B202FC" w:rsidRPr="00380B24" w:rsidRDefault="00B202FC" w:rsidP="00B202FC">
      <w:pPr>
        <w:pStyle w:val="ListParagraph"/>
        <w:numPr>
          <w:ilvl w:val="0"/>
          <w:numId w:val="144"/>
        </w:numPr>
        <w:rPr>
          <w:iCs/>
          <w:noProof/>
        </w:rPr>
      </w:pPr>
      <w:r w:rsidRPr="00380B24">
        <w:rPr>
          <w:iCs/>
          <w:noProof/>
        </w:rPr>
        <w:t>an anonymous asynchronous feedback form was provided to capture additional input from stakeholders unable to participate in real time;</w:t>
      </w:r>
    </w:p>
    <w:p w14:paraId="26D1CD18" w14:textId="39A23BF9" w:rsidR="00D52AD8" w:rsidRPr="00C57110" w:rsidRDefault="00B202FC" w:rsidP="00D52AD8">
      <w:pPr>
        <w:pStyle w:val="ListParagraph"/>
        <w:numPr>
          <w:ilvl w:val="0"/>
          <w:numId w:val="144"/>
        </w:numPr>
        <w:rPr>
          <w:iCs/>
          <w:noProof/>
        </w:rPr>
      </w:pPr>
      <w:r w:rsidRPr="00380B24">
        <w:rPr>
          <w:iCs/>
          <w:noProof/>
        </w:rPr>
        <w:t>the</w:t>
      </w:r>
      <w:r w:rsidR="00D52AD8" w:rsidRPr="00C57110">
        <w:rPr>
          <w:iCs/>
          <w:noProof/>
        </w:rPr>
        <w:t xml:space="preserve"> iterative process of presenting, discussing and refining findings ensured that the analysis accurately reflected the collective insights and perspectives of all participants.</w:t>
      </w:r>
    </w:p>
    <w:p w14:paraId="59B5CEEF" w14:textId="30F386B0" w:rsidR="00D52AD8" w:rsidRPr="00C57110" w:rsidRDefault="00B202FC" w:rsidP="00D52AD8">
      <w:pPr>
        <w:pStyle w:val="Heading2"/>
        <w:rPr>
          <w:noProof/>
        </w:rPr>
      </w:pPr>
      <w:bookmarkStart w:id="482" w:name="_Toc218702616"/>
      <w:bookmarkStart w:id="483" w:name="_Toc219039539"/>
      <w:bookmarkStart w:id="484" w:name="_Toc219447442"/>
      <w:r w:rsidRPr="00380B24">
        <w:rPr>
          <w:noProof/>
        </w:rPr>
        <w:t>Analytical approaches and quality assurance</w:t>
      </w:r>
      <w:bookmarkEnd w:id="482"/>
      <w:bookmarkEnd w:id="483"/>
      <w:bookmarkEnd w:id="484"/>
    </w:p>
    <w:p w14:paraId="398EFCEC" w14:textId="77777777" w:rsidR="00B202FC" w:rsidRPr="00380B24" w:rsidRDefault="00B202FC" w:rsidP="00B202FC">
      <w:pPr>
        <w:rPr>
          <w:noProof/>
        </w:rPr>
      </w:pPr>
      <w:r w:rsidRPr="00380B24">
        <w:rPr>
          <w:noProof/>
        </w:rPr>
        <w:t>The evaluation combined qualitative and quantitative methods, including desk research, literature review, stakeholder interviews, surveys and workshops. Data analysis was supported by analytics software and manual review. Quality was ensured through:</w:t>
      </w:r>
    </w:p>
    <w:p w14:paraId="3D89AD9F" w14:textId="77777777" w:rsidR="00B202FC" w:rsidRPr="00380B24" w:rsidRDefault="00B202FC" w:rsidP="00B202FC">
      <w:pPr>
        <w:pStyle w:val="ListParagraph"/>
        <w:numPr>
          <w:ilvl w:val="0"/>
          <w:numId w:val="145"/>
        </w:numPr>
        <w:rPr>
          <w:iCs/>
          <w:noProof/>
        </w:rPr>
      </w:pPr>
      <w:r w:rsidRPr="00380B24">
        <w:rPr>
          <w:iCs/>
          <w:noProof/>
        </w:rPr>
        <w:t>iterative validation with stakeholders and expert input during workshops;</w:t>
      </w:r>
    </w:p>
    <w:p w14:paraId="65D675F7" w14:textId="77777777" w:rsidR="00B202FC" w:rsidRPr="00380B24" w:rsidRDefault="00B202FC" w:rsidP="00B202FC">
      <w:pPr>
        <w:pStyle w:val="ListParagraph"/>
        <w:numPr>
          <w:ilvl w:val="0"/>
          <w:numId w:val="145"/>
        </w:numPr>
        <w:rPr>
          <w:iCs/>
          <w:noProof/>
        </w:rPr>
      </w:pPr>
      <w:r w:rsidRPr="00380B24">
        <w:rPr>
          <w:iCs/>
          <w:noProof/>
        </w:rPr>
        <w:t>systematic triangulation of data sources to cross-check findings;</w:t>
      </w:r>
    </w:p>
    <w:p w14:paraId="6F787053" w14:textId="77777777" w:rsidR="00B202FC" w:rsidRPr="00380B24" w:rsidRDefault="00B202FC" w:rsidP="00B202FC">
      <w:pPr>
        <w:pStyle w:val="ListParagraph"/>
        <w:numPr>
          <w:ilvl w:val="0"/>
          <w:numId w:val="145"/>
        </w:numPr>
        <w:rPr>
          <w:noProof/>
        </w:rPr>
      </w:pPr>
      <w:r w:rsidRPr="00380B24">
        <w:rPr>
          <w:noProof/>
        </w:rPr>
        <w:t>adaptation of tools (e.g. survey design) to maximise relevance and response rates.</w:t>
      </w:r>
    </w:p>
    <w:p w14:paraId="7A7A1A0F" w14:textId="6AB27A09" w:rsidR="00B202FC" w:rsidRPr="00380B24" w:rsidRDefault="00B202FC" w:rsidP="00B202FC">
      <w:pPr>
        <w:pStyle w:val="Heading2"/>
        <w:rPr>
          <w:noProof/>
        </w:rPr>
      </w:pPr>
      <w:bookmarkStart w:id="485" w:name="_Toc218702617"/>
      <w:bookmarkStart w:id="486" w:name="_Toc219039540"/>
      <w:bookmarkStart w:id="487" w:name="_Toc219447443"/>
      <w:r w:rsidRPr="00380B24">
        <w:rPr>
          <w:noProof/>
        </w:rPr>
        <w:t>Limitations and mitigating measures</w:t>
      </w:r>
      <w:bookmarkEnd w:id="485"/>
      <w:bookmarkEnd w:id="486"/>
      <w:bookmarkEnd w:id="487"/>
    </w:p>
    <w:p w14:paraId="39469FAB" w14:textId="77777777" w:rsidR="00B202FC" w:rsidRPr="00380B24" w:rsidRDefault="00B202FC" w:rsidP="00B202FC">
      <w:pPr>
        <w:pStyle w:val="ListParagraph"/>
        <w:numPr>
          <w:ilvl w:val="0"/>
          <w:numId w:val="146"/>
        </w:numPr>
        <w:rPr>
          <w:iCs/>
          <w:noProof/>
        </w:rPr>
      </w:pPr>
      <w:r w:rsidRPr="00380B24">
        <w:rPr>
          <w:b/>
          <w:bCs/>
          <w:iCs/>
          <w:noProof/>
        </w:rPr>
        <w:t>Data and timing:</w:t>
      </w:r>
      <w:r w:rsidRPr="00380B24">
        <w:rPr>
          <w:iCs/>
          <w:noProof/>
        </w:rPr>
        <w:t xml:space="preserve"> the main limitation was the difficulty in securing interviews with private stakeholders, particularly SCCG members. This was mitigated by analysing stakeholders’ consultation data and extending the survey deadline.</w:t>
      </w:r>
    </w:p>
    <w:p w14:paraId="65684473" w14:textId="77777777" w:rsidR="00B202FC" w:rsidRPr="00380B24" w:rsidRDefault="00B202FC" w:rsidP="00B202FC">
      <w:pPr>
        <w:pStyle w:val="ListParagraph"/>
        <w:numPr>
          <w:ilvl w:val="0"/>
          <w:numId w:val="146"/>
        </w:numPr>
        <w:rPr>
          <w:iCs/>
          <w:noProof/>
        </w:rPr>
      </w:pPr>
      <w:r w:rsidRPr="00380B24">
        <w:rPr>
          <w:b/>
          <w:bCs/>
          <w:iCs/>
          <w:noProof/>
        </w:rPr>
        <w:t>Reliability:</w:t>
      </w:r>
      <w:r w:rsidRPr="00380B24">
        <w:rPr>
          <w:iCs/>
          <w:noProof/>
        </w:rPr>
        <w:t xml:space="preserve"> the use of multiple data sources and triangulation of findings enhanced the reliability of the evaluation. Validation through stakeholder workshops and polling further strengthened the robustness of the conclusions.</w:t>
      </w:r>
    </w:p>
    <w:p w14:paraId="334CAA97" w14:textId="75D6944F" w:rsidR="00D52AD8" w:rsidRPr="00C57110" w:rsidRDefault="00D52AD8" w:rsidP="00D52AD8">
      <w:pPr>
        <w:pStyle w:val="ListParagraph"/>
        <w:numPr>
          <w:ilvl w:val="0"/>
          <w:numId w:val="146"/>
        </w:numPr>
        <w:rPr>
          <w:iCs/>
          <w:noProof/>
        </w:rPr>
      </w:pPr>
      <w:r w:rsidRPr="00C57110">
        <w:rPr>
          <w:b/>
          <w:bCs/>
          <w:iCs/>
          <w:noProof/>
        </w:rPr>
        <w:t>Uncertainty:</w:t>
      </w:r>
      <w:r w:rsidRPr="00C57110">
        <w:rPr>
          <w:iCs/>
          <w:noProof/>
        </w:rPr>
        <w:t xml:space="preserve"> </w:t>
      </w:r>
      <w:r w:rsidR="00B202FC" w:rsidRPr="00380B24">
        <w:rPr>
          <w:iCs/>
          <w:noProof/>
        </w:rPr>
        <w:t>some</w:t>
      </w:r>
      <w:r w:rsidRPr="00C57110">
        <w:rPr>
          <w:iCs/>
          <w:noProof/>
        </w:rPr>
        <w:t xml:space="preserve"> results, especially regarding the ECCF (where only one scheme was adopted by early 2024), are preliminary. The robustness of findings was enhanced by cross-referencing multiple sources and validating with stakeholders, but some uncertainty remains due to the evolving nature of the policy landscape.</w:t>
      </w:r>
    </w:p>
    <w:p w14:paraId="1F3923E5" w14:textId="2DEF85C3" w:rsidR="00D52AD8" w:rsidRPr="00C57110" w:rsidRDefault="00D52AD8" w:rsidP="00D52AD8">
      <w:pPr>
        <w:pStyle w:val="Heading2"/>
        <w:rPr>
          <w:noProof/>
        </w:rPr>
      </w:pPr>
      <w:bookmarkStart w:id="488" w:name="_Toc218702618"/>
      <w:bookmarkStart w:id="489" w:name="_Toc219039541"/>
      <w:bookmarkStart w:id="490" w:name="_Toc219447444"/>
      <w:r w:rsidRPr="00C57110">
        <w:rPr>
          <w:noProof/>
        </w:rPr>
        <w:t xml:space="preserve">Points of </w:t>
      </w:r>
      <w:r w:rsidR="00B202FC" w:rsidRPr="00380B24">
        <w:rPr>
          <w:noProof/>
        </w:rPr>
        <w:t>comparison</w:t>
      </w:r>
      <w:bookmarkEnd w:id="488"/>
      <w:bookmarkEnd w:id="489"/>
      <w:bookmarkEnd w:id="490"/>
    </w:p>
    <w:p w14:paraId="5167F0C1" w14:textId="77777777" w:rsidR="00B202FC" w:rsidRPr="00380B24" w:rsidRDefault="00B202FC" w:rsidP="00B202FC">
      <w:pPr>
        <w:rPr>
          <w:noProof/>
        </w:rPr>
      </w:pPr>
      <w:r w:rsidRPr="00380B24">
        <w:rPr>
          <w:noProof/>
        </w:rPr>
        <w:t>The main point of comparison for the evaluation was the baseline scenario of 2017, reconstructed from the 2017 Impact Assessment for the Cybersecurity Act and supporting studies. This baseline included ENISA’s status and resources, the certification landscape, market and economic data and stakeholder perceptions. All comparisons and assessments were made against this baseline, as set out in the original evaluation roadmap.</w:t>
      </w:r>
    </w:p>
    <w:p w14:paraId="44C0C81C" w14:textId="732BC783" w:rsidR="00D52AD8" w:rsidRPr="00C57110" w:rsidRDefault="00D52AD8" w:rsidP="00D52AD8">
      <w:pPr>
        <w:pStyle w:val="Heading2"/>
        <w:rPr>
          <w:noProof/>
        </w:rPr>
      </w:pPr>
      <w:bookmarkStart w:id="491" w:name="_Toc218702619"/>
      <w:bookmarkStart w:id="492" w:name="_Toc219039542"/>
      <w:bookmarkStart w:id="493" w:name="_Toc219447445"/>
      <w:r w:rsidRPr="00C57110">
        <w:rPr>
          <w:noProof/>
        </w:rPr>
        <w:t>Critical assessment of the contractor</w:t>
      </w:r>
      <w:bookmarkEnd w:id="491"/>
      <w:bookmarkEnd w:id="492"/>
      <w:bookmarkEnd w:id="493"/>
    </w:p>
    <w:p w14:paraId="670D9948" w14:textId="77777777" w:rsidR="00B202FC" w:rsidRPr="00380B24" w:rsidRDefault="00B202FC" w:rsidP="00B202FC">
      <w:pPr>
        <w:spacing w:after="160" w:line="257" w:lineRule="auto"/>
        <w:rPr>
          <w:rFonts w:eastAsia="Times New Roman"/>
          <w:noProof/>
        </w:rPr>
      </w:pPr>
      <w:r w:rsidRPr="00380B24">
        <w:rPr>
          <w:rFonts w:eastAsia="Times New Roman"/>
          <w:noProof/>
        </w:rPr>
        <w:t>Th</w:t>
      </w:r>
      <w:r w:rsidRPr="00380B24">
        <w:rPr>
          <w:rFonts w:eastAsia="Times New Roman"/>
          <w:noProof/>
          <w:szCs w:val="20"/>
        </w:rPr>
        <w:t>e contractor’s evaluation of ENISA demonstrated a certain positive bias, largely attributed to interviews with ENISA staff constituting a significant part of the interviews overall. While the report rightly acknowledges ENISA’s resource constraints, the analysis could be more balanced regarding other areas for improvement. The study was improved following feedback from DG CONNECT in several instances.</w:t>
      </w:r>
    </w:p>
    <w:p w14:paraId="013C2F8C" w14:textId="77777777" w:rsidR="00D52AD8" w:rsidRPr="002F7A4D" w:rsidRDefault="00D52AD8" w:rsidP="00D52AD8">
      <w:pPr>
        <w:pStyle w:val="Text1"/>
        <w:rPr>
          <w:noProof/>
        </w:rPr>
        <w:sectPr w:rsidR="00D52AD8" w:rsidRPr="002F7A4D" w:rsidSect="00E5147D">
          <w:headerReference w:type="even" r:id="rId131"/>
          <w:headerReference w:type="default" r:id="rId132"/>
          <w:footerReference w:type="even" r:id="rId133"/>
          <w:footerReference w:type="default" r:id="rId134"/>
          <w:headerReference w:type="first" r:id="rId135"/>
          <w:footerReference w:type="first" r:id="rId136"/>
          <w:pgSz w:w="11906" w:h="16838"/>
          <w:pgMar w:top="1440" w:right="1440" w:bottom="1440" w:left="1440" w:header="601" w:footer="1077" w:gutter="0"/>
          <w:cols w:space="720"/>
          <w:titlePg/>
          <w:docGrid w:linePitch="326"/>
        </w:sectPr>
      </w:pPr>
    </w:p>
    <w:p w14:paraId="7CF8C2E8" w14:textId="7F24C82F" w:rsidR="00D52AD8" w:rsidRPr="00C57110" w:rsidRDefault="00D52AD8" w:rsidP="00D52AD8">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94" w:name="_Toc218702620"/>
      <w:bookmarkStart w:id="495" w:name="_Toc219039543"/>
      <w:bookmarkStart w:id="496" w:name="_Toc219447446"/>
      <w:r w:rsidRPr="00C57110">
        <w:rPr>
          <w:noProof/>
          <w:szCs w:val="24"/>
        </w:rPr>
        <w:t>Annex III. Evaluation matrix and</w:t>
      </w:r>
      <w:r w:rsidR="00B202FC" w:rsidRPr="00380B24">
        <w:rPr>
          <w:noProof/>
          <w:szCs w:val="24"/>
        </w:rPr>
        <w:t>,</w:t>
      </w:r>
      <w:r w:rsidRPr="00C57110">
        <w:rPr>
          <w:noProof/>
          <w:szCs w:val="24"/>
        </w:rPr>
        <w:t xml:space="preserve"> where relevant, </w:t>
      </w:r>
      <w:r w:rsidR="00B202FC" w:rsidRPr="00380B24">
        <w:rPr>
          <w:noProof/>
          <w:szCs w:val="24"/>
        </w:rPr>
        <w:t>details</w:t>
      </w:r>
      <w:r w:rsidRPr="00C57110">
        <w:rPr>
          <w:noProof/>
          <w:szCs w:val="24"/>
        </w:rPr>
        <w:t xml:space="preserve"> on answers to the evaluation questions (by criterion)</w:t>
      </w:r>
      <w:bookmarkEnd w:id="494"/>
      <w:bookmarkEnd w:id="495"/>
      <w:bookmarkEnd w:id="496"/>
    </w:p>
    <w:p w14:paraId="6E5A2F32" w14:textId="41209ED2" w:rsidR="00D52AD8" w:rsidRPr="00C57110" w:rsidRDefault="00D52AD8" w:rsidP="00D52AD8">
      <w:pPr>
        <w:rPr>
          <w:rFonts w:eastAsia="Arial"/>
          <w:noProof/>
          <w:lang w:eastAsia="ja-JP"/>
        </w:rPr>
      </w:pPr>
      <w:r w:rsidRPr="00C57110">
        <w:rPr>
          <w:rFonts w:eastAsia="Arial"/>
          <w:noProof/>
          <w:lang w:eastAsia="ja-JP"/>
        </w:rPr>
        <w:t xml:space="preserve">This annex presents the evaluation matrix that serves as the central organising framework for the assessment of ENISA and the ECCF. It provides detailed, criterion-based responses to the evaluation questions, covering all five evaluation criteria: </w:t>
      </w:r>
      <w:r w:rsidRPr="00380B24">
        <w:rPr>
          <w:rFonts w:eastAsia="Arial"/>
          <w:b/>
          <w:noProof/>
          <w:lang w:eastAsia="ja-JP"/>
        </w:rPr>
        <w:t>effectiveness</w:t>
      </w:r>
      <w:r w:rsidRPr="00380B24">
        <w:rPr>
          <w:rFonts w:eastAsia="Arial"/>
          <w:noProof/>
          <w:lang w:eastAsia="ja-JP"/>
        </w:rPr>
        <w:t xml:space="preserve">, </w:t>
      </w:r>
      <w:r w:rsidRPr="00380B24">
        <w:rPr>
          <w:rFonts w:eastAsia="Arial"/>
          <w:b/>
          <w:noProof/>
          <w:lang w:eastAsia="ja-JP"/>
        </w:rPr>
        <w:t>efficiency</w:t>
      </w:r>
      <w:r w:rsidRPr="00380B24">
        <w:rPr>
          <w:rFonts w:eastAsia="Arial"/>
          <w:noProof/>
          <w:lang w:eastAsia="ja-JP"/>
        </w:rPr>
        <w:t xml:space="preserve">, </w:t>
      </w:r>
      <w:r w:rsidR="00B202FC" w:rsidRPr="00380B24">
        <w:rPr>
          <w:rFonts w:eastAsia="Arial"/>
          <w:b/>
          <w:bCs/>
          <w:noProof/>
          <w:lang w:eastAsia="ja-JP"/>
        </w:rPr>
        <w:t xml:space="preserve">coherence, </w:t>
      </w:r>
      <w:r w:rsidRPr="00380B24">
        <w:rPr>
          <w:rFonts w:eastAsia="Arial"/>
          <w:b/>
          <w:noProof/>
          <w:lang w:eastAsia="ja-JP"/>
        </w:rPr>
        <w:t>relevance</w:t>
      </w:r>
      <w:r w:rsidRPr="00380B24">
        <w:rPr>
          <w:rFonts w:eastAsia="Arial"/>
          <w:noProof/>
          <w:lang w:eastAsia="ja-JP"/>
        </w:rPr>
        <w:t xml:space="preserve"> and</w:t>
      </w:r>
      <w:r w:rsidRPr="00380B24">
        <w:rPr>
          <w:rFonts w:eastAsia="Arial"/>
          <w:b/>
          <w:noProof/>
          <w:lang w:eastAsia="ja-JP"/>
        </w:rPr>
        <w:t xml:space="preserve"> EU added value</w:t>
      </w:r>
      <w:r w:rsidRPr="00C57110">
        <w:rPr>
          <w:rFonts w:eastAsia="Arial"/>
          <w:noProof/>
          <w:lang w:eastAsia="ja-JP"/>
        </w:rPr>
        <w:t>.</w:t>
      </w:r>
    </w:p>
    <w:p w14:paraId="14D192B8" w14:textId="77777777" w:rsidR="00D52AD8" w:rsidRPr="00C57110" w:rsidRDefault="00D52AD8" w:rsidP="00D52AD8">
      <w:pPr>
        <w:rPr>
          <w:rFonts w:eastAsia="Arial"/>
          <w:noProof/>
          <w:lang w:eastAsia="ja-JP"/>
        </w:rPr>
      </w:pPr>
      <w:r w:rsidRPr="00C57110">
        <w:rPr>
          <w:rFonts w:eastAsia="Arial"/>
          <w:noProof/>
          <w:lang w:eastAsia="ja-JP"/>
        </w:rPr>
        <w:t>The evidence and analysis included in this annex substantiate the findings outlined in Section 4 of the main evaluation report. For clarity and transparency, the questions and their corresponding evidence-based answers are presented individually and grouped by evaluation criterion. The depth of coverage for each criterion reflects its relative importance and the extent of supporting evidence available in the main body of the report.</w:t>
      </w:r>
    </w:p>
    <w:p w14:paraId="46F65291" w14:textId="77777777" w:rsidR="00D52AD8" w:rsidRPr="00C57110" w:rsidRDefault="00D52AD8" w:rsidP="00D52AD8">
      <w:pPr>
        <w:rPr>
          <w:rFonts w:eastAsia="Arial"/>
          <w:noProof/>
          <w:lang w:eastAsia="ja-JP"/>
        </w:rPr>
      </w:pPr>
      <w:r w:rsidRPr="00C57110">
        <w:rPr>
          <w:rFonts w:eastAsia="Arial"/>
          <w:noProof/>
          <w:lang w:eastAsia="ja-JP"/>
        </w:rPr>
        <w:t>Findings are presented separately for ENISA and the ECCF to reflect their distinct roles and contributions within the broader cybersecurity landscape.</w:t>
      </w:r>
    </w:p>
    <w:p w14:paraId="72CA6794" w14:textId="1E3B44A0" w:rsidR="00D52AD8" w:rsidRPr="00C57110" w:rsidRDefault="00D52AD8" w:rsidP="00D52AD8">
      <w:pPr>
        <w:pStyle w:val="Heading2"/>
        <w:rPr>
          <w:rFonts w:eastAsia="Arial"/>
          <w:noProof/>
          <w:lang w:eastAsia="ja-JP"/>
        </w:rPr>
      </w:pPr>
      <w:bookmarkStart w:id="497" w:name="_Toc218702621"/>
      <w:bookmarkStart w:id="498" w:name="_Toc219039544"/>
      <w:bookmarkStart w:id="499" w:name="_Toc219447447"/>
      <w:r w:rsidRPr="00C57110">
        <w:rPr>
          <w:rFonts w:eastAsia="Arial"/>
          <w:noProof/>
          <w:lang w:eastAsia="ja-JP"/>
        </w:rPr>
        <w:t xml:space="preserve">Evaluation </w:t>
      </w:r>
      <w:r w:rsidR="00B202FC" w:rsidRPr="00380B24">
        <w:rPr>
          <w:rFonts w:eastAsia="Arial"/>
          <w:noProof/>
          <w:lang w:eastAsia="ja-JP"/>
        </w:rPr>
        <w:t>matrix</w:t>
      </w:r>
      <w:r w:rsidRPr="00C57110">
        <w:rPr>
          <w:rFonts w:eastAsia="Arial"/>
          <w:noProof/>
          <w:lang w:eastAsia="ja-JP"/>
        </w:rPr>
        <w:t>:</w:t>
      </w:r>
      <w:bookmarkEnd w:id="497"/>
      <w:bookmarkEnd w:id="498"/>
      <w:bookmarkEnd w:id="499"/>
    </w:p>
    <w:p w14:paraId="42A07910" w14:textId="77777777" w:rsidR="00B202FC" w:rsidRPr="00380B24" w:rsidRDefault="00B202FC" w:rsidP="00B202FC">
      <w:pPr>
        <w:rPr>
          <w:rFonts w:eastAsia="Arial"/>
          <w:noProof/>
          <w:lang w:eastAsia="ja-JP"/>
        </w:rPr>
      </w:pPr>
      <w:r w:rsidRPr="00380B24">
        <w:rPr>
          <w:rFonts w:eastAsia="Arial"/>
          <w:noProof/>
          <w:lang w:eastAsia="ja-JP"/>
        </w:rPr>
        <w:t>The following sections present refined and up-to-date evaluation matrices used to assess the effectiveness, impact, efficiency, coherence, relevance and EU added value of both ENISA and the ECCF. These matrices are aligned with the latest edition of the European Commission’s Better Regulation Guidelines and outline the evaluation questions (EQs) and operational questions (OQs), along with the corresponding judgement criteria, stakeholder groups and indicators used to evaluate each criterion.</w:t>
      </w:r>
    </w:p>
    <w:p w14:paraId="1644435D" w14:textId="77777777" w:rsidR="00D52AD8" w:rsidRPr="00C57110" w:rsidRDefault="00D52AD8" w:rsidP="00D52AD8">
      <w:pPr>
        <w:rPr>
          <w:rFonts w:eastAsia="Arial"/>
          <w:noProof/>
          <w:lang w:eastAsia="ja-JP"/>
        </w:rPr>
      </w:pPr>
      <w:r w:rsidRPr="00C57110">
        <w:rPr>
          <w:rFonts w:eastAsia="Arial"/>
          <w:noProof/>
          <w:lang w:eastAsia="ja-JP"/>
        </w:rPr>
        <w:t>The matrices also specify the data sources required to determine the values of the proposed indicators. Certain EQs and OQs have been specifically designed to address aspects unique to the ECCF.</w:t>
      </w:r>
    </w:p>
    <w:p w14:paraId="43329E48" w14:textId="77777777" w:rsidR="00B202FC" w:rsidRPr="00380B24" w:rsidRDefault="00D52AD8" w:rsidP="00B202FC">
      <w:pPr>
        <w:rPr>
          <w:rFonts w:eastAsia="Arial"/>
          <w:noProof/>
          <w:lang w:eastAsia="ja-JP"/>
        </w:rPr>
      </w:pPr>
      <w:r w:rsidRPr="00C57110">
        <w:rPr>
          <w:rFonts w:eastAsia="Arial"/>
          <w:noProof/>
          <w:lang w:eastAsia="ja-JP"/>
        </w:rPr>
        <w:t xml:space="preserve">Functioning as a structured analytical tool, the evaluation matrices demonstrate how evidence collected through various methodologies and data sources contributes to answering the evaluation questions and shaping the overall conclusions. </w:t>
      </w:r>
      <w:bookmarkStart w:id="500" w:name="_Toc138265007"/>
      <w:bookmarkStart w:id="501" w:name="_Toc151458062"/>
      <w:bookmarkStart w:id="502" w:name="_Toc152321589"/>
      <w:bookmarkStart w:id="503" w:name="_Toc152513849"/>
      <w:bookmarkStart w:id="504" w:name="_Toc152592635"/>
      <w:bookmarkStart w:id="505" w:name="_Toc165880396"/>
      <w:bookmarkStart w:id="506" w:name="_Toc168425940"/>
      <w:bookmarkStart w:id="507" w:name="_Toc173138006"/>
      <w:bookmarkStart w:id="508" w:name="_Toc173138093"/>
      <w:bookmarkStart w:id="509" w:name="_Toc173520887"/>
      <w:bookmarkStart w:id="510" w:name="_Toc173524272"/>
    </w:p>
    <w:p w14:paraId="53D8FC95" w14:textId="28C48E36" w:rsidR="00D52AD8" w:rsidRPr="00C57110" w:rsidRDefault="00D52AD8" w:rsidP="00B202FC">
      <w:pPr>
        <w:pStyle w:val="Heading3"/>
        <w:rPr>
          <w:noProof/>
          <w:lang w:eastAsia="ja-JP"/>
        </w:rPr>
      </w:pPr>
      <w:bookmarkStart w:id="511" w:name="_Toc218702622"/>
      <w:bookmarkStart w:id="512" w:name="_Toc219039545"/>
      <w:bookmarkStart w:id="513" w:name="_Toc219447448"/>
      <w:r w:rsidRPr="00C57110">
        <w:rPr>
          <w:noProof/>
        </w:rPr>
        <w:t>Effectiveness</w:t>
      </w:r>
      <w:r w:rsidRPr="00C57110">
        <w:rPr>
          <w:noProof/>
          <w:lang w:eastAsia="ja-JP"/>
        </w:rPr>
        <w:t xml:space="preserve"> and impact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61207D1" w14:textId="77777777" w:rsidR="00B202FC" w:rsidRPr="00380B24" w:rsidRDefault="00B202FC" w:rsidP="00B202FC">
      <w:pPr>
        <w:spacing w:before="120"/>
        <w:rPr>
          <w:rFonts w:eastAsia="Arial"/>
          <w:noProof/>
          <w:lang w:eastAsia="ja-JP"/>
        </w:rPr>
      </w:pPr>
      <w:r w:rsidRPr="00380B24">
        <w:rPr>
          <w:rFonts w:eastAsia="Arial"/>
          <w:noProof/>
          <w:lang w:eastAsia="ja-JP"/>
        </w:rPr>
        <w:t>In line with the Better Regulation Toolbox, the effectiveness analysis examined how successfully ENISA and the ECCF have achieved or made progress toward their intended objectives. This involved assessing the actual outputs, results and impacts in relation to the goals of the action.</w:t>
      </w:r>
    </w:p>
    <w:p w14:paraId="2CC2DD81" w14:textId="77777777" w:rsidR="00B202FC" w:rsidRPr="00380B24" w:rsidRDefault="00B202FC" w:rsidP="00B202FC">
      <w:pPr>
        <w:spacing w:before="120"/>
        <w:rPr>
          <w:rFonts w:eastAsia="Arial"/>
          <w:noProof/>
          <w:lang w:eastAsia="ja-JP"/>
        </w:rPr>
      </w:pPr>
      <w:r w:rsidRPr="00380B24">
        <w:rPr>
          <w:rFonts w:eastAsia="Arial"/>
          <w:noProof/>
          <w:lang w:eastAsia="ja-JP"/>
        </w:rPr>
        <w:t xml:space="preserve">The effectiveness analysis yielded insights into the progress made so far by ENISA and the ECCF. The evaluation drew heavily on the intervention logic of both entities. </w:t>
      </w:r>
    </w:p>
    <w:p w14:paraId="4C652D32" w14:textId="77777777" w:rsidR="00D52AD8" w:rsidRPr="00C57110" w:rsidRDefault="00D52AD8" w:rsidP="00D52AD8">
      <w:pPr>
        <w:spacing w:before="120"/>
        <w:rPr>
          <w:rFonts w:eastAsia="Arial"/>
          <w:noProof/>
          <w:lang w:eastAsia="ja-JP"/>
        </w:rPr>
      </w:pPr>
      <w:r w:rsidRPr="00C57110">
        <w:rPr>
          <w:rFonts w:eastAsia="Arial"/>
          <w:noProof/>
          <w:lang w:eastAsia="ja-JP"/>
        </w:rPr>
        <w:t>The tables below illustrate the structure of the evaluation matrix. Where appropriate, findings are presented separately for ENISA and the ECCF.</w:t>
      </w:r>
    </w:p>
    <w:p w14:paraId="6083A8D6" w14:textId="77777777" w:rsidR="00D52AD8" w:rsidRPr="00C57110" w:rsidRDefault="00D52AD8" w:rsidP="00D52AD8">
      <w:pPr>
        <w:spacing w:before="120"/>
        <w:rPr>
          <w:rFonts w:eastAsia="Arial"/>
          <w:b/>
          <w:bCs/>
          <w:noProof/>
          <w:lang w:eastAsia="ja-JP"/>
        </w:rPr>
      </w:pPr>
      <w:r w:rsidRPr="00C57110">
        <w:rPr>
          <w:rFonts w:eastAsia="Arial"/>
          <w:b/>
          <w:bCs/>
          <w:noProof/>
          <w:lang w:eastAsia="ja-JP"/>
        </w:rPr>
        <w:t>ENISA</w:t>
      </w:r>
    </w:p>
    <w:tbl>
      <w:tblPr>
        <w:tblStyle w:val="Standardtableforma7"/>
        <w:tblW w:w="5000" w:type="pct"/>
        <w:jc w:val="center"/>
        <w:tblLook w:val="04A0" w:firstRow="1" w:lastRow="0" w:firstColumn="1" w:lastColumn="0" w:noHBand="0" w:noVBand="1"/>
      </w:tblPr>
      <w:tblGrid>
        <w:gridCol w:w="3535"/>
        <w:gridCol w:w="2866"/>
        <w:gridCol w:w="7773"/>
      </w:tblGrid>
      <w:tr w:rsidR="00B202FC" w:rsidRPr="00380B24" w14:paraId="7412313D"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tcBorders>
              <w:top w:val="double" w:sz="4" w:space="0" w:color="auto"/>
              <w:left w:val="double" w:sz="4" w:space="0" w:color="auto"/>
            </w:tcBorders>
            <w:shd w:val="clear" w:color="auto" w:fill="C6D9F1" w:themeFill="text2" w:themeFillTint="33"/>
          </w:tcPr>
          <w:p w14:paraId="516DE642" w14:textId="77777777" w:rsidR="00B202FC" w:rsidRPr="00380B24" w:rsidRDefault="00B202FC">
            <w:pPr>
              <w:rPr>
                <w:b/>
                <w:bCs/>
                <w:i/>
                <w:noProof/>
                <w:color w:val="000000" w:themeColor="text1"/>
                <w:sz w:val="20"/>
                <w:lang w:eastAsia="ja-JP"/>
              </w:rPr>
            </w:pPr>
            <w:r w:rsidRPr="00380B24">
              <w:rPr>
                <w:b/>
                <w:bCs/>
                <w:i/>
                <w:noProof/>
                <w:color w:val="000000" w:themeColor="text1"/>
                <w:sz w:val="20"/>
                <w:lang w:eastAsia="ja-JP"/>
              </w:rPr>
              <w:t>Effectiveness</w:t>
            </w:r>
          </w:p>
          <w:p w14:paraId="0027527D"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EQ1, ENISA</w:t>
            </w:r>
          </w:p>
        </w:tc>
        <w:tc>
          <w:tcPr>
            <w:tcW w:w="3753" w:type="pct"/>
            <w:gridSpan w:val="2"/>
            <w:tcBorders>
              <w:top w:val="double" w:sz="4" w:space="0" w:color="auto"/>
              <w:right w:val="double" w:sz="4" w:space="0" w:color="auto"/>
            </w:tcBorders>
            <w:shd w:val="clear" w:color="auto" w:fill="C6D9F1" w:themeFill="text2" w:themeFillTint="33"/>
          </w:tcPr>
          <w:p w14:paraId="7F943716"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To what extent has ENISA achieved its objectives and implemented the tasks set out in its mandate? What, if anything, could be done to render ENISA more effective in achieving these objectives?</w:t>
            </w:r>
          </w:p>
        </w:tc>
      </w:tr>
      <w:tr w:rsidR="00B202FC" w:rsidRPr="00380B24" w14:paraId="5A9D1269" w14:textId="77777777">
        <w:trPr>
          <w:trHeight w:val="229"/>
          <w:jc w:val="center"/>
        </w:trPr>
        <w:tc>
          <w:tcPr>
            <w:tcW w:w="5000" w:type="pct"/>
            <w:gridSpan w:val="3"/>
            <w:tcBorders>
              <w:left w:val="double" w:sz="4" w:space="0" w:color="auto"/>
              <w:right w:val="double" w:sz="4" w:space="0" w:color="auto"/>
            </w:tcBorders>
            <w:shd w:val="clear" w:color="auto" w:fill="F2F2F2"/>
          </w:tcPr>
          <w:p w14:paraId="78F7EF1D" w14:textId="77777777" w:rsidR="00B202FC" w:rsidRPr="00380B24" w:rsidRDefault="00B202FC">
            <w:pPr>
              <w:rPr>
                <w:b/>
                <w:caps/>
                <w:noProof/>
                <w:sz w:val="20"/>
                <w:lang w:eastAsia="ja-JP"/>
              </w:rPr>
            </w:pPr>
            <w:r w:rsidRPr="00380B24">
              <w:rPr>
                <w:b/>
                <w:caps/>
                <w:noProof/>
                <w:sz w:val="20"/>
                <w:lang w:eastAsia="ja-JP"/>
              </w:rPr>
              <w:t>Operational questions</w:t>
            </w:r>
          </w:p>
        </w:tc>
      </w:tr>
      <w:tr w:rsidR="00B202FC" w:rsidRPr="00380B24" w14:paraId="54E76C67" w14:textId="77777777">
        <w:trPr>
          <w:jc w:val="center"/>
        </w:trPr>
        <w:tc>
          <w:tcPr>
            <w:tcW w:w="5000" w:type="pct"/>
            <w:gridSpan w:val="3"/>
            <w:tcBorders>
              <w:left w:val="double" w:sz="4" w:space="0" w:color="auto"/>
              <w:right w:val="double" w:sz="4" w:space="0" w:color="auto"/>
            </w:tcBorders>
            <w:shd w:val="clear" w:color="auto" w:fill="F2F2F2"/>
          </w:tcPr>
          <w:p w14:paraId="56D82F1E" w14:textId="77777777" w:rsidR="00B202FC" w:rsidRPr="00380B24" w:rsidRDefault="00B202FC" w:rsidP="00B202FC">
            <w:pPr>
              <w:numPr>
                <w:ilvl w:val="0"/>
                <w:numId w:val="162"/>
              </w:numPr>
              <w:spacing w:before="120" w:after="0"/>
              <w:contextualSpacing/>
              <w:rPr>
                <w:noProof/>
                <w:sz w:val="20"/>
                <w:lang w:eastAsia="ja-JP"/>
              </w:rPr>
            </w:pPr>
            <w:r w:rsidRPr="00380B24">
              <w:rPr>
                <w:noProof/>
                <w:sz w:val="20"/>
                <w:lang w:eastAsia="ja-JP"/>
              </w:rPr>
              <w:t>OQ1: Did the activities of ENISA result in the expected outputs? To what extent were the stakeholders satisfied with their quality?</w:t>
            </w:r>
          </w:p>
          <w:p w14:paraId="3E947E18" w14:textId="77777777" w:rsidR="00B202FC" w:rsidRPr="00380B24" w:rsidRDefault="00B202FC" w:rsidP="00B202FC">
            <w:pPr>
              <w:numPr>
                <w:ilvl w:val="0"/>
                <w:numId w:val="162"/>
              </w:numPr>
              <w:spacing w:before="120" w:after="0"/>
              <w:contextualSpacing/>
              <w:rPr>
                <w:noProof/>
                <w:sz w:val="20"/>
                <w:lang w:eastAsia="ja-JP"/>
              </w:rPr>
            </w:pPr>
            <w:r w:rsidRPr="00380B24">
              <w:rPr>
                <w:noProof/>
                <w:sz w:val="20"/>
                <w:lang w:eastAsia="ja-JP"/>
              </w:rPr>
              <w:t>OQ2: To what extent has ENISA become a centre of expertise on cybersecurity? Where relevant, what were the main factors limiting ENISA’s contribution to this objective?</w:t>
            </w:r>
          </w:p>
          <w:p w14:paraId="61B643A5" w14:textId="77777777" w:rsidR="00B202FC" w:rsidRPr="00380B24" w:rsidRDefault="00B202FC" w:rsidP="00B202FC">
            <w:pPr>
              <w:numPr>
                <w:ilvl w:val="0"/>
                <w:numId w:val="162"/>
              </w:numPr>
              <w:spacing w:before="120" w:after="0"/>
              <w:contextualSpacing/>
              <w:rPr>
                <w:noProof/>
                <w:sz w:val="20"/>
                <w:lang w:eastAsia="ja-JP"/>
              </w:rPr>
            </w:pPr>
            <w:r w:rsidRPr="00380B24">
              <w:rPr>
                <w:noProof/>
                <w:sz w:val="20"/>
                <w:lang w:eastAsia="ja-JP"/>
              </w:rPr>
              <w:t>OQ3: To what extent has ENISA provided guidance, advice and assistance on cybersecurity policy development and implementation</w:t>
            </w:r>
            <w:r w:rsidRPr="00380B24">
              <w:rPr>
                <w:bCs/>
                <w:noProof/>
                <w:sz w:val="20"/>
                <w:lang w:eastAsia="ja-JP"/>
              </w:rPr>
              <w:t xml:space="preserve"> for MS and EU institutions?</w:t>
            </w:r>
            <w:r w:rsidRPr="00380B24">
              <w:rPr>
                <w:noProof/>
                <w:sz w:val="20"/>
                <w:lang w:eastAsia="ja-JP"/>
              </w:rPr>
              <w:t xml:space="preserve"> To what extent have ENISA’s stakeholders followed the cybersecurity requirements issued by ENISA?</w:t>
            </w:r>
          </w:p>
          <w:p w14:paraId="284E047C" w14:textId="77777777" w:rsidR="00B202FC" w:rsidRPr="00380B24" w:rsidRDefault="00B202FC" w:rsidP="00B202FC">
            <w:pPr>
              <w:numPr>
                <w:ilvl w:val="0"/>
                <w:numId w:val="162"/>
              </w:numPr>
              <w:spacing w:before="120" w:after="0"/>
              <w:contextualSpacing/>
              <w:rPr>
                <w:noProof/>
                <w:sz w:val="20"/>
                <w:lang w:eastAsia="ja-JP"/>
              </w:rPr>
            </w:pPr>
            <w:r w:rsidRPr="00380B24">
              <w:rPr>
                <w:noProof/>
                <w:sz w:val="20"/>
                <w:lang w:eastAsia="ja-JP"/>
              </w:rPr>
              <w:t>OQ4: To what extent has ENISA enhanced MS capabilities in preventing and responding to cyber threats? Where relevant, what were the main factors limiting ENISA’s contribution to this objective?</w:t>
            </w:r>
          </w:p>
          <w:p w14:paraId="540EBFF8" w14:textId="77777777" w:rsidR="00B202FC" w:rsidRPr="00380B24" w:rsidRDefault="00B202FC" w:rsidP="00B202FC">
            <w:pPr>
              <w:numPr>
                <w:ilvl w:val="0"/>
                <w:numId w:val="162"/>
              </w:numPr>
              <w:spacing w:before="120" w:after="0"/>
              <w:contextualSpacing/>
              <w:rPr>
                <w:noProof/>
                <w:sz w:val="20"/>
                <w:lang w:eastAsia="ja-JP"/>
              </w:rPr>
            </w:pPr>
            <w:r w:rsidRPr="00380B24">
              <w:rPr>
                <w:noProof/>
                <w:sz w:val="20"/>
                <w:lang w:eastAsia="ja-JP"/>
              </w:rPr>
              <w:t>OQ5: To what extent has ENISA’s reputation in cybersecurity matters remained stable?</w:t>
            </w:r>
          </w:p>
        </w:tc>
      </w:tr>
      <w:tr w:rsidR="00B202FC" w:rsidRPr="00380B24" w14:paraId="3FE8038B" w14:textId="77777777">
        <w:trPr>
          <w:jc w:val="center"/>
        </w:trPr>
        <w:tc>
          <w:tcPr>
            <w:tcW w:w="5000" w:type="pct"/>
            <w:gridSpan w:val="3"/>
            <w:tcBorders>
              <w:left w:val="double" w:sz="4" w:space="0" w:color="auto"/>
              <w:right w:val="double" w:sz="4" w:space="0" w:color="auto"/>
            </w:tcBorders>
            <w:shd w:val="clear" w:color="auto" w:fill="F2F2F2"/>
          </w:tcPr>
          <w:p w14:paraId="4D36870E" w14:textId="77777777" w:rsidR="00B202FC" w:rsidRPr="00380B24" w:rsidRDefault="00B202FC">
            <w:pPr>
              <w:rPr>
                <w:noProof/>
                <w:sz w:val="20"/>
                <w:lang w:eastAsia="ja-JP"/>
              </w:rPr>
            </w:pPr>
            <w:r w:rsidRPr="00380B24">
              <w:rPr>
                <w:b/>
                <w:caps/>
                <w:noProof/>
                <w:sz w:val="20"/>
                <w:lang w:eastAsia="ja-JP"/>
              </w:rPr>
              <w:t>Judgement criteria and INDICATORS</w:t>
            </w:r>
          </w:p>
        </w:tc>
      </w:tr>
      <w:tr w:rsidR="00B202FC" w:rsidRPr="00380B24" w14:paraId="31C8D870" w14:textId="77777777">
        <w:trPr>
          <w:trHeight w:val="244"/>
          <w:jc w:val="center"/>
        </w:trPr>
        <w:tc>
          <w:tcPr>
            <w:tcW w:w="2258" w:type="pct"/>
            <w:gridSpan w:val="2"/>
            <w:tcBorders>
              <w:left w:val="double" w:sz="4" w:space="0" w:color="auto"/>
            </w:tcBorders>
            <w:shd w:val="clear" w:color="auto" w:fill="F2F2F2"/>
          </w:tcPr>
          <w:p w14:paraId="42DCD512" w14:textId="77777777" w:rsidR="00B202FC" w:rsidRPr="00380B24" w:rsidRDefault="00B202FC">
            <w:pPr>
              <w:spacing w:before="120"/>
              <w:rPr>
                <w:noProof/>
                <w:sz w:val="20"/>
                <w:lang w:eastAsia="ja-JP"/>
              </w:rPr>
            </w:pPr>
            <w:r w:rsidRPr="00380B24">
              <w:rPr>
                <w:noProof/>
                <w:sz w:val="20"/>
                <w:lang w:eastAsia="ja-JP"/>
              </w:rPr>
              <w:t>OQ1: Successful implementation of activities and delivery of outputs as a key precondition for achieving objectives</w:t>
            </w:r>
          </w:p>
        </w:tc>
        <w:tc>
          <w:tcPr>
            <w:tcW w:w="2742" w:type="pct"/>
            <w:tcBorders>
              <w:right w:val="double" w:sz="4" w:space="0" w:color="auto"/>
            </w:tcBorders>
            <w:shd w:val="clear" w:color="auto" w:fill="F2F2F2"/>
          </w:tcPr>
          <w:p w14:paraId="2CE6EAC2" w14:textId="77777777" w:rsidR="00B202FC" w:rsidRPr="00380B24" w:rsidRDefault="00B202FC">
            <w:pPr>
              <w:spacing w:before="120"/>
              <w:rPr>
                <w:noProof/>
                <w:sz w:val="20"/>
                <w:lang w:eastAsia="ja-JP"/>
              </w:rPr>
            </w:pPr>
            <w:r w:rsidRPr="00380B24">
              <w:rPr>
                <w:noProof/>
                <w:sz w:val="20"/>
                <w:lang w:eastAsia="ja-JP"/>
              </w:rPr>
              <w:t xml:space="preserve">Number and share of successfully implemented activities and delivered outputs </w:t>
            </w:r>
          </w:p>
        </w:tc>
      </w:tr>
      <w:tr w:rsidR="00B202FC" w:rsidRPr="00380B24" w14:paraId="3F00AFFA" w14:textId="77777777">
        <w:trPr>
          <w:trHeight w:val="242"/>
          <w:jc w:val="center"/>
        </w:trPr>
        <w:tc>
          <w:tcPr>
            <w:tcW w:w="2258" w:type="pct"/>
            <w:gridSpan w:val="2"/>
            <w:tcBorders>
              <w:left w:val="double" w:sz="4" w:space="0" w:color="auto"/>
            </w:tcBorders>
            <w:shd w:val="clear" w:color="auto" w:fill="F2F2F2"/>
          </w:tcPr>
          <w:p w14:paraId="012410DD" w14:textId="77777777" w:rsidR="00B202FC" w:rsidRPr="00380B24" w:rsidRDefault="00B202FC">
            <w:pPr>
              <w:spacing w:before="120"/>
              <w:rPr>
                <w:noProof/>
                <w:sz w:val="20"/>
                <w:lang w:eastAsia="ja-JP"/>
              </w:rPr>
            </w:pPr>
            <w:r w:rsidRPr="00380B24">
              <w:rPr>
                <w:noProof/>
                <w:sz w:val="20"/>
                <w:lang w:eastAsia="ja-JP"/>
              </w:rPr>
              <w:t xml:space="preserve">OQ2: Stakeholders identify ENISA as </w:t>
            </w:r>
            <w:r w:rsidRPr="00380B24">
              <w:rPr>
                <w:bCs/>
                <w:noProof/>
                <w:sz w:val="20"/>
                <w:lang w:eastAsia="ja-JP"/>
              </w:rPr>
              <w:t>a leading centre of expertise on cybersecurity</w:t>
            </w:r>
          </w:p>
        </w:tc>
        <w:tc>
          <w:tcPr>
            <w:tcW w:w="2742" w:type="pct"/>
            <w:tcBorders>
              <w:right w:val="double" w:sz="4" w:space="0" w:color="auto"/>
            </w:tcBorders>
            <w:shd w:val="clear" w:color="auto" w:fill="F2F2F2"/>
          </w:tcPr>
          <w:p w14:paraId="5FA7AF65" w14:textId="77777777" w:rsidR="00B202FC" w:rsidRPr="00380B24" w:rsidRDefault="00B202FC">
            <w:pPr>
              <w:spacing w:before="120"/>
              <w:rPr>
                <w:noProof/>
                <w:sz w:val="20"/>
                <w:lang w:eastAsia="ja-JP"/>
              </w:rPr>
            </w:pPr>
            <w:r w:rsidRPr="00380B24">
              <w:rPr>
                <w:noProof/>
                <w:sz w:val="20"/>
                <w:lang w:eastAsia="ja-JP"/>
              </w:rPr>
              <w:t>Share of stakeholders by group that considers ENISA to be a leading centre of expertise on cybersecurity</w:t>
            </w:r>
          </w:p>
        </w:tc>
      </w:tr>
      <w:tr w:rsidR="00B202FC" w:rsidRPr="00380B24" w14:paraId="6D316AAD" w14:textId="77777777">
        <w:trPr>
          <w:trHeight w:val="242"/>
          <w:jc w:val="center"/>
        </w:trPr>
        <w:tc>
          <w:tcPr>
            <w:tcW w:w="2258" w:type="pct"/>
            <w:gridSpan w:val="2"/>
            <w:tcBorders>
              <w:left w:val="double" w:sz="4" w:space="0" w:color="auto"/>
            </w:tcBorders>
            <w:shd w:val="clear" w:color="auto" w:fill="F2F2F2"/>
          </w:tcPr>
          <w:p w14:paraId="186BD98C" w14:textId="77777777" w:rsidR="00B202FC" w:rsidRPr="00380B24" w:rsidRDefault="00B202FC">
            <w:pPr>
              <w:spacing w:before="120"/>
              <w:rPr>
                <w:bCs/>
                <w:noProof/>
                <w:sz w:val="20"/>
                <w:lang w:eastAsia="ja-JP"/>
              </w:rPr>
            </w:pPr>
            <w:r w:rsidRPr="00380B24">
              <w:rPr>
                <w:bCs/>
                <w:noProof/>
                <w:sz w:val="20"/>
                <w:lang w:eastAsia="ja-JP"/>
              </w:rPr>
              <w:t>OQ3: Stakeholders identify ENISA as a leading partner in cybersecurity policy development and implementation</w:t>
            </w:r>
          </w:p>
        </w:tc>
        <w:tc>
          <w:tcPr>
            <w:tcW w:w="2742" w:type="pct"/>
            <w:tcBorders>
              <w:right w:val="double" w:sz="4" w:space="0" w:color="auto"/>
            </w:tcBorders>
            <w:shd w:val="clear" w:color="auto" w:fill="F2F2F2"/>
          </w:tcPr>
          <w:p w14:paraId="7C858D86" w14:textId="77777777" w:rsidR="00B202FC" w:rsidRPr="00380B24" w:rsidRDefault="00B202FC">
            <w:pPr>
              <w:spacing w:before="120"/>
              <w:rPr>
                <w:bCs/>
                <w:noProof/>
                <w:sz w:val="20"/>
                <w:lang w:eastAsia="ja-JP"/>
              </w:rPr>
            </w:pPr>
            <w:r w:rsidRPr="00380B24">
              <w:rPr>
                <w:noProof/>
                <w:sz w:val="20"/>
                <w:lang w:eastAsia="ja-JP"/>
              </w:rPr>
              <w:t>Share of stakeholders by group that considers</w:t>
            </w:r>
            <w:r w:rsidRPr="00380B24" w:rsidDel="00FD08EE">
              <w:rPr>
                <w:noProof/>
                <w:sz w:val="20"/>
                <w:lang w:eastAsia="ja-JP"/>
              </w:rPr>
              <w:t xml:space="preserve"> </w:t>
            </w:r>
            <w:r w:rsidRPr="00380B24">
              <w:rPr>
                <w:noProof/>
                <w:sz w:val="20"/>
                <w:lang w:eastAsia="ja-JP"/>
              </w:rPr>
              <w:t xml:space="preserve">ENISA to be a leading partner in cybersecurity policy </w:t>
            </w:r>
            <w:r w:rsidRPr="00380B24">
              <w:rPr>
                <w:bCs/>
                <w:noProof/>
                <w:sz w:val="20"/>
                <w:lang w:eastAsia="ja-JP"/>
              </w:rPr>
              <w:t>development and implementation</w:t>
            </w:r>
          </w:p>
          <w:p w14:paraId="2A933A54" w14:textId="77777777" w:rsidR="00B202FC" w:rsidRPr="00380B24" w:rsidRDefault="00B202FC">
            <w:pPr>
              <w:spacing w:before="120"/>
              <w:rPr>
                <w:noProof/>
                <w:sz w:val="20"/>
                <w:lang w:eastAsia="ja-JP"/>
              </w:rPr>
            </w:pPr>
            <w:r w:rsidRPr="00380B24">
              <w:rPr>
                <w:noProof/>
                <w:sz w:val="20"/>
                <w:lang w:eastAsia="ja-JP"/>
              </w:rPr>
              <w:t>Share of stakeholders that adopted regulatory or managerial change as a result of ENISA’s support</w:t>
            </w:r>
          </w:p>
        </w:tc>
      </w:tr>
      <w:tr w:rsidR="00B202FC" w:rsidRPr="00380B24" w14:paraId="6015532B" w14:textId="77777777">
        <w:trPr>
          <w:trHeight w:val="242"/>
          <w:jc w:val="center"/>
        </w:trPr>
        <w:tc>
          <w:tcPr>
            <w:tcW w:w="2258" w:type="pct"/>
            <w:gridSpan w:val="2"/>
            <w:tcBorders>
              <w:left w:val="double" w:sz="4" w:space="0" w:color="auto"/>
            </w:tcBorders>
            <w:shd w:val="clear" w:color="auto" w:fill="F2F2F2"/>
          </w:tcPr>
          <w:p w14:paraId="1BD6579A" w14:textId="77777777" w:rsidR="00B202FC" w:rsidRPr="00380B24" w:rsidRDefault="00B202FC">
            <w:pPr>
              <w:spacing w:before="120"/>
              <w:rPr>
                <w:noProof/>
                <w:sz w:val="20"/>
                <w:lang w:eastAsia="ja-JP"/>
              </w:rPr>
            </w:pPr>
            <w:r w:rsidRPr="00380B24">
              <w:rPr>
                <w:noProof/>
                <w:sz w:val="20"/>
                <w:lang w:eastAsia="ja-JP"/>
              </w:rPr>
              <w:t xml:space="preserve">OQ4: MS representatives agree that ENISA provided crucial support in preventing and responding to cyber threats, including via the </w:t>
            </w:r>
            <w:r w:rsidRPr="00380B24">
              <w:rPr>
                <w:bCs/>
                <w:noProof/>
                <w:sz w:val="20"/>
                <w:lang w:eastAsia="ja-JP"/>
              </w:rPr>
              <w:t>Cybersecurity Support Action</w:t>
            </w:r>
          </w:p>
        </w:tc>
        <w:tc>
          <w:tcPr>
            <w:tcW w:w="2742" w:type="pct"/>
            <w:tcBorders>
              <w:right w:val="double" w:sz="4" w:space="0" w:color="auto"/>
            </w:tcBorders>
            <w:shd w:val="clear" w:color="auto" w:fill="F2F2F2"/>
          </w:tcPr>
          <w:p w14:paraId="08EB6007" w14:textId="77777777" w:rsidR="00B202FC" w:rsidRPr="00380B24" w:rsidRDefault="00B202FC">
            <w:pPr>
              <w:spacing w:before="120"/>
              <w:rPr>
                <w:noProof/>
                <w:sz w:val="20"/>
                <w:lang w:eastAsia="ja-JP"/>
              </w:rPr>
            </w:pPr>
            <w:r w:rsidRPr="00380B24">
              <w:rPr>
                <w:noProof/>
                <w:sz w:val="20"/>
                <w:lang w:eastAsia="ja-JP"/>
              </w:rPr>
              <w:t>Share of MS representatives by country that considers</w:t>
            </w:r>
            <w:r w:rsidRPr="00380B24" w:rsidDel="00FD08EE">
              <w:rPr>
                <w:noProof/>
                <w:sz w:val="20"/>
                <w:lang w:eastAsia="ja-JP"/>
              </w:rPr>
              <w:t xml:space="preserve"> </w:t>
            </w:r>
            <w:r w:rsidRPr="00380B24">
              <w:rPr>
                <w:noProof/>
                <w:sz w:val="20"/>
                <w:lang w:eastAsia="ja-JP"/>
              </w:rPr>
              <w:t>ENISA to be a crucial provider of cybersecurity support in preventing and responding to cyber threats</w:t>
            </w:r>
          </w:p>
          <w:p w14:paraId="48CF9F0B" w14:textId="77777777" w:rsidR="00B202FC" w:rsidRPr="00380B24" w:rsidRDefault="00B202FC">
            <w:pPr>
              <w:spacing w:before="120"/>
              <w:rPr>
                <w:noProof/>
                <w:sz w:val="20"/>
                <w:lang w:eastAsia="ja-JP"/>
              </w:rPr>
            </w:pPr>
            <w:r w:rsidRPr="00380B24">
              <w:rPr>
                <w:noProof/>
                <w:sz w:val="20"/>
                <w:lang w:eastAsia="ja-JP"/>
              </w:rPr>
              <w:t xml:space="preserve">Share of MS stakeholders that considers the </w:t>
            </w:r>
            <w:r w:rsidRPr="00380B24">
              <w:rPr>
                <w:bCs/>
                <w:noProof/>
                <w:sz w:val="20"/>
                <w:lang w:eastAsia="ja-JP"/>
              </w:rPr>
              <w:t>Cybersecurity Support Action</w:t>
            </w:r>
            <w:r w:rsidRPr="00380B24">
              <w:rPr>
                <w:noProof/>
                <w:sz w:val="20"/>
                <w:lang w:eastAsia="ja-JP"/>
              </w:rPr>
              <w:t xml:space="preserve"> effective; number and share of completed </w:t>
            </w:r>
            <w:r w:rsidRPr="00380B24">
              <w:rPr>
                <w:i/>
                <w:noProof/>
                <w:sz w:val="20"/>
                <w:lang w:eastAsia="ja-JP"/>
              </w:rPr>
              <w:t>ex ante</w:t>
            </w:r>
            <w:r w:rsidRPr="00380B24">
              <w:rPr>
                <w:noProof/>
                <w:sz w:val="20"/>
                <w:lang w:eastAsia="ja-JP"/>
              </w:rPr>
              <w:t xml:space="preserve"> and </w:t>
            </w:r>
            <w:r w:rsidRPr="00380B24">
              <w:rPr>
                <w:i/>
                <w:noProof/>
                <w:sz w:val="20"/>
                <w:lang w:eastAsia="ja-JP"/>
              </w:rPr>
              <w:t>ex post</w:t>
            </w:r>
            <w:r w:rsidRPr="00380B24">
              <w:rPr>
                <w:noProof/>
                <w:sz w:val="20"/>
                <w:lang w:eastAsia="ja-JP"/>
              </w:rPr>
              <w:t xml:space="preserve"> activities</w:t>
            </w:r>
          </w:p>
        </w:tc>
      </w:tr>
      <w:tr w:rsidR="00B202FC" w:rsidRPr="00380B24" w14:paraId="402D05FC" w14:textId="77777777">
        <w:trPr>
          <w:trHeight w:val="398"/>
          <w:jc w:val="center"/>
        </w:trPr>
        <w:tc>
          <w:tcPr>
            <w:tcW w:w="2258" w:type="pct"/>
            <w:gridSpan w:val="2"/>
            <w:tcBorders>
              <w:left w:val="double" w:sz="4" w:space="0" w:color="auto"/>
            </w:tcBorders>
            <w:shd w:val="clear" w:color="auto" w:fill="F2F2F2"/>
          </w:tcPr>
          <w:p w14:paraId="2D248139" w14:textId="77777777" w:rsidR="00B202FC" w:rsidRPr="00380B24" w:rsidRDefault="00B202FC">
            <w:pPr>
              <w:spacing w:before="120"/>
              <w:rPr>
                <w:noProof/>
                <w:sz w:val="20"/>
                <w:lang w:eastAsia="ja-JP"/>
              </w:rPr>
            </w:pPr>
            <w:r w:rsidRPr="00380B24">
              <w:rPr>
                <w:noProof/>
                <w:sz w:val="20"/>
                <w:lang w:eastAsia="ja-JP"/>
              </w:rPr>
              <w:t>OQ5: ENISA’s reputation remained stable over the evaluation period</w:t>
            </w:r>
          </w:p>
        </w:tc>
        <w:tc>
          <w:tcPr>
            <w:tcW w:w="2742" w:type="pct"/>
            <w:tcBorders>
              <w:right w:val="double" w:sz="4" w:space="0" w:color="auto"/>
            </w:tcBorders>
            <w:shd w:val="clear" w:color="auto" w:fill="F2F2F2"/>
          </w:tcPr>
          <w:p w14:paraId="6C7E310F" w14:textId="77777777" w:rsidR="00B202FC" w:rsidRPr="00380B24" w:rsidRDefault="00B202FC">
            <w:pPr>
              <w:spacing w:before="120"/>
              <w:rPr>
                <w:noProof/>
                <w:sz w:val="20"/>
                <w:lang w:eastAsia="ja-JP"/>
              </w:rPr>
            </w:pPr>
            <w:r w:rsidRPr="00380B24">
              <w:rPr>
                <w:noProof/>
                <w:sz w:val="20"/>
                <w:lang w:eastAsia="ja-JP"/>
              </w:rPr>
              <w:t>Perceptions of stakeholders about ENISA’s work (two thirds of stakeholders assess ENISA’s reputation in a positive way)</w:t>
            </w:r>
          </w:p>
        </w:tc>
      </w:tr>
      <w:tr w:rsidR="00B202FC" w:rsidRPr="00380B24" w14:paraId="419AE499" w14:textId="77777777">
        <w:trPr>
          <w:trHeight w:val="242"/>
          <w:jc w:val="center"/>
        </w:trPr>
        <w:tc>
          <w:tcPr>
            <w:tcW w:w="2258" w:type="pct"/>
            <w:gridSpan w:val="2"/>
            <w:tcBorders>
              <w:left w:val="double" w:sz="4" w:space="0" w:color="auto"/>
            </w:tcBorders>
            <w:shd w:val="clear" w:color="auto" w:fill="F2F2F2"/>
          </w:tcPr>
          <w:p w14:paraId="1A4B6001" w14:textId="77777777" w:rsidR="00B202FC" w:rsidRPr="00380B24" w:rsidRDefault="00B202FC">
            <w:pPr>
              <w:spacing w:before="120"/>
              <w:rPr>
                <w:noProof/>
                <w:sz w:val="20"/>
                <w:lang w:eastAsia="ja-JP"/>
              </w:rPr>
            </w:pPr>
            <w:r w:rsidRPr="00380B24">
              <w:rPr>
                <w:b/>
                <w:caps/>
                <w:noProof/>
                <w:sz w:val="20"/>
                <w:lang w:eastAsia="ja-JP"/>
              </w:rPr>
              <w:t>Data sources</w:t>
            </w:r>
          </w:p>
        </w:tc>
        <w:tc>
          <w:tcPr>
            <w:tcW w:w="2742" w:type="pct"/>
            <w:tcBorders>
              <w:right w:val="double" w:sz="4" w:space="0" w:color="auto"/>
            </w:tcBorders>
            <w:shd w:val="clear" w:color="auto" w:fill="F2F2F2"/>
          </w:tcPr>
          <w:p w14:paraId="58AEB677" w14:textId="77777777" w:rsidR="00B202FC" w:rsidRPr="00380B24" w:rsidRDefault="00B202FC">
            <w:pPr>
              <w:spacing w:before="120"/>
              <w:rPr>
                <w:noProof/>
                <w:sz w:val="20"/>
                <w:lang w:eastAsia="ja-JP"/>
              </w:rPr>
            </w:pPr>
          </w:p>
        </w:tc>
      </w:tr>
      <w:tr w:rsidR="00B202FC" w:rsidRPr="00380B24" w14:paraId="37AF6F86" w14:textId="77777777">
        <w:trPr>
          <w:jc w:val="center"/>
        </w:trPr>
        <w:tc>
          <w:tcPr>
            <w:tcW w:w="5000" w:type="pct"/>
            <w:gridSpan w:val="3"/>
            <w:tcBorders>
              <w:left w:val="double" w:sz="4" w:space="0" w:color="auto"/>
              <w:bottom w:val="double" w:sz="4" w:space="0" w:color="auto"/>
              <w:right w:val="double" w:sz="4" w:space="0" w:color="auto"/>
            </w:tcBorders>
            <w:shd w:val="clear" w:color="auto" w:fill="F2F2F2"/>
          </w:tcPr>
          <w:p w14:paraId="6E40949A" w14:textId="77777777" w:rsidR="00B202FC" w:rsidRPr="00380B24" w:rsidRDefault="00B202FC" w:rsidP="00B202FC">
            <w:pPr>
              <w:numPr>
                <w:ilvl w:val="0"/>
                <w:numId w:val="163"/>
              </w:numPr>
              <w:spacing w:before="120" w:after="0"/>
              <w:contextualSpacing/>
              <w:rPr>
                <w:noProof/>
                <w:sz w:val="20"/>
                <w:lang w:eastAsia="ja-JP"/>
              </w:rPr>
            </w:pPr>
            <w:r w:rsidRPr="00380B24">
              <w:rPr>
                <w:noProof/>
                <w:sz w:val="20"/>
                <w:lang w:eastAsia="ja-JP"/>
              </w:rPr>
              <w:t>Desk research</w:t>
            </w:r>
          </w:p>
          <w:p w14:paraId="3E91BBAD" w14:textId="77777777" w:rsidR="00B202FC" w:rsidRPr="00380B24" w:rsidRDefault="00B202FC" w:rsidP="00B202FC">
            <w:pPr>
              <w:numPr>
                <w:ilvl w:val="0"/>
                <w:numId w:val="163"/>
              </w:numPr>
              <w:spacing w:before="120" w:after="0"/>
              <w:contextualSpacing/>
              <w:rPr>
                <w:noProof/>
                <w:sz w:val="20"/>
                <w:lang w:eastAsia="ja-JP"/>
              </w:rPr>
            </w:pPr>
            <w:r w:rsidRPr="00380B24">
              <w:rPr>
                <w:noProof/>
                <w:sz w:val="20"/>
                <w:lang w:eastAsia="ja-JP"/>
              </w:rPr>
              <w:t>Interviews</w:t>
            </w:r>
          </w:p>
          <w:p w14:paraId="77D9ACB1" w14:textId="77777777" w:rsidR="00B202FC" w:rsidRPr="00380B24" w:rsidRDefault="00B202FC" w:rsidP="00B202FC">
            <w:pPr>
              <w:numPr>
                <w:ilvl w:val="0"/>
                <w:numId w:val="163"/>
              </w:numPr>
              <w:spacing w:before="120" w:after="0"/>
              <w:contextualSpacing/>
              <w:rPr>
                <w:noProof/>
                <w:sz w:val="20"/>
                <w:lang w:eastAsia="ja-JP"/>
              </w:rPr>
            </w:pPr>
            <w:r w:rsidRPr="00380B24">
              <w:rPr>
                <w:noProof/>
                <w:sz w:val="20"/>
                <w:lang w:eastAsia="ja-JP"/>
              </w:rPr>
              <w:t>Survey</w:t>
            </w:r>
          </w:p>
          <w:p w14:paraId="74C30220" w14:textId="77777777" w:rsidR="00B202FC" w:rsidRPr="00380B24" w:rsidRDefault="00B202FC" w:rsidP="00B202FC">
            <w:pPr>
              <w:numPr>
                <w:ilvl w:val="0"/>
                <w:numId w:val="163"/>
              </w:numPr>
              <w:spacing w:before="120" w:after="0"/>
              <w:contextualSpacing/>
              <w:rPr>
                <w:noProof/>
                <w:sz w:val="20"/>
                <w:lang w:eastAsia="ja-JP"/>
              </w:rPr>
            </w:pPr>
            <w:r w:rsidRPr="00380B24">
              <w:rPr>
                <w:noProof/>
                <w:sz w:val="20"/>
                <w:lang w:eastAsia="ja-JP"/>
              </w:rPr>
              <w:t>Case studies</w:t>
            </w:r>
          </w:p>
          <w:p w14:paraId="78358154" w14:textId="77777777" w:rsidR="00B202FC" w:rsidRPr="00380B24" w:rsidRDefault="00B202FC" w:rsidP="00B202FC">
            <w:pPr>
              <w:numPr>
                <w:ilvl w:val="0"/>
                <w:numId w:val="163"/>
              </w:numPr>
              <w:spacing w:before="120" w:after="0"/>
              <w:contextualSpacing/>
              <w:rPr>
                <w:noProof/>
                <w:sz w:val="20"/>
                <w:lang w:eastAsia="ja-JP"/>
              </w:rPr>
            </w:pPr>
            <w:r w:rsidRPr="00380B24">
              <w:rPr>
                <w:noProof/>
                <w:sz w:val="20"/>
                <w:lang w:eastAsia="ja-JP"/>
              </w:rPr>
              <w:t>Workshop on the intervention logic</w:t>
            </w:r>
          </w:p>
        </w:tc>
      </w:tr>
    </w:tbl>
    <w:p w14:paraId="492460B2" w14:textId="77777777" w:rsidR="00D52AD8" w:rsidRPr="00C57110" w:rsidRDefault="00D52AD8" w:rsidP="00D52AD8">
      <w:pPr>
        <w:spacing w:before="120"/>
        <w:rPr>
          <w:rFonts w:eastAsia="Arial"/>
          <w:noProof/>
          <w:sz w:val="20"/>
          <w:szCs w:val="20"/>
          <w:lang w:eastAsia="ja-JP"/>
        </w:rPr>
      </w:pP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35"/>
        <w:gridCol w:w="1494"/>
        <w:gridCol w:w="9145"/>
      </w:tblGrid>
      <w:tr w:rsidR="00B202FC" w:rsidRPr="00380B24" w14:paraId="53176AF5"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shd w:val="clear" w:color="auto" w:fill="C6D9F1" w:themeFill="text2" w:themeFillTint="33"/>
          </w:tcPr>
          <w:p w14:paraId="65E8F656" w14:textId="77777777" w:rsidR="00B202FC" w:rsidRPr="00380B24" w:rsidRDefault="00B202FC">
            <w:pPr>
              <w:rPr>
                <w:b/>
                <w:bCs/>
                <w:i/>
                <w:noProof/>
                <w:color w:val="000000" w:themeColor="text1"/>
                <w:sz w:val="20"/>
                <w:lang w:eastAsia="ja-JP"/>
              </w:rPr>
            </w:pPr>
            <w:r w:rsidRPr="00380B24">
              <w:rPr>
                <w:b/>
                <w:bCs/>
                <w:i/>
                <w:noProof/>
                <w:color w:val="000000" w:themeColor="text1"/>
                <w:sz w:val="20"/>
                <w:lang w:eastAsia="ja-JP"/>
              </w:rPr>
              <w:t>Effectiveness</w:t>
            </w:r>
          </w:p>
          <w:p w14:paraId="353F1CBB"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EQ2, ENISA</w:t>
            </w:r>
          </w:p>
        </w:tc>
        <w:tc>
          <w:tcPr>
            <w:tcW w:w="3753" w:type="pct"/>
            <w:gridSpan w:val="2"/>
            <w:shd w:val="clear" w:color="auto" w:fill="C6D9F1" w:themeFill="text2" w:themeFillTint="33"/>
          </w:tcPr>
          <w:p w14:paraId="513E0374"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To what extent has the governance framework been effective?</w:t>
            </w:r>
          </w:p>
        </w:tc>
      </w:tr>
      <w:tr w:rsidR="00B202FC" w:rsidRPr="00380B24" w14:paraId="73B15FF5" w14:textId="77777777">
        <w:trPr>
          <w:trHeight w:val="229"/>
          <w:jc w:val="center"/>
        </w:trPr>
        <w:tc>
          <w:tcPr>
            <w:tcW w:w="5000" w:type="pct"/>
            <w:gridSpan w:val="3"/>
            <w:shd w:val="clear" w:color="auto" w:fill="F2F2F2"/>
          </w:tcPr>
          <w:p w14:paraId="446F0F79" w14:textId="77777777" w:rsidR="00B202FC" w:rsidRPr="00380B24" w:rsidRDefault="00B202FC">
            <w:pPr>
              <w:rPr>
                <w:b/>
                <w:caps/>
                <w:noProof/>
                <w:sz w:val="20"/>
                <w:lang w:eastAsia="ja-JP"/>
              </w:rPr>
            </w:pPr>
            <w:r w:rsidRPr="00380B24">
              <w:rPr>
                <w:b/>
                <w:caps/>
                <w:noProof/>
                <w:sz w:val="20"/>
                <w:lang w:eastAsia="ja-JP"/>
              </w:rPr>
              <w:t>Operational questions</w:t>
            </w:r>
          </w:p>
        </w:tc>
      </w:tr>
      <w:tr w:rsidR="00B202FC" w:rsidRPr="00380B24" w14:paraId="0C51BD84" w14:textId="77777777">
        <w:trPr>
          <w:jc w:val="center"/>
        </w:trPr>
        <w:tc>
          <w:tcPr>
            <w:tcW w:w="5000" w:type="pct"/>
            <w:gridSpan w:val="3"/>
            <w:shd w:val="clear" w:color="auto" w:fill="F2F2F2"/>
          </w:tcPr>
          <w:p w14:paraId="76BB3362" w14:textId="77777777" w:rsidR="00B202FC" w:rsidRPr="00380B24" w:rsidRDefault="00B202FC" w:rsidP="00B202FC">
            <w:pPr>
              <w:numPr>
                <w:ilvl w:val="0"/>
                <w:numId w:val="158"/>
              </w:numPr>
              <w:spacing w:before="120" w:after="0"/>
              <w:contextualSpacing/>
              <w:rPr>
                <w:noProof/>
                <w:sz w:val="20"/>
                <w:lang w:eastAsia="ja-JP"/>
              </w:rPr>
            </w:pPr>
            <w:r w:rsidRPr="00380B24">
              <w:rPr>
                <w:noProof/>
                <w:sz w:val="20"/>
                <w:lang w:eastAsia="ja-JP"/>
              </w:rPr>
              <w:t>OQ</w:t>
            </w:r>
            <w:r w:rsidRPr="00380B24">
              <w:rPr>
                <w:bCs/>
                <w:noProof/>
                <w:sz w:val="20"/>
                <w:lang w:eastAsia="ja-JP"/>
              </w:rPr>
              <w:t>1</w:t>
            </w:r>
            <w:r w:rsidRPr="00380B24">
              <w:rPr>
                <w:noProof/>
                <w:sz w:val="20"/>
                <w:lang w:eastAsia="ja-JP"/>
              </w:rPr>
              <w:t xml:space="preserve">: How </w:t>
            </w:r>
            <w:r w:rsidRPr="00380B24">
              <w:rPr>
                <w:bCs/>
                <w:noProof/>
                <w:sz w:val="20"/>
                <w:lang w:eastAsia="ja-JP"/>
              </w:rPr>
              <w:t xml:space="preserve">effectively </w:t>
            </w:r>
            <w:r w:rsidRPr="00380B24">
              <w:rPr>
                <w:noProof/>
                <w:sz w:val="20"/>
                <w:lang w:eastAsia="ja-JP"/>
              </w:rPr>
              <w:t>have the current governance, internal organisational structure and human resources policies and practices of ENISA contributed to its effectiveness?</w:t>
            </w:r>
          </w:p>
          <w:p w14:paraId="06AF40B3" w14:textId="77777777" w:rsidR="00B202FC" w:rsidRPr="00380B24" w:rsidRDefault="00B202FC" w:rsidP="00B202FC">
            <w:pPr>
              <w:numPr>
                <w:ilvl w:val="0"/>
                <w:numId w:val="158"/>
              </w:numPr>
              <w:spacing w:before="120" w:after="0"/>
              <w:contextualSpacing/>
              <w:rPr>
                <w:noProof/>
                <w:sz w:val="20"/>
                <w:lang w:eastAsia="ja-JP"/>
              </w:rPr>
            </w:pPr>
            <w:r w:rsidRPr="00380B24">
              <w:rPr>
                <w:noProof/>
                <w:sz w:val="20"/>
                <w:lang w:eastAsia="ja-JP"/>
              </w:rPr>
              <w:t>OQ2: Were the internal mechanisms for programming, monitoring, reporting and evaluating ENISA effective?</w:t>
            </w:r>
          </w:p>
        </w:tc>
      </w:tr>
      <w:tr w:rsidR="00B202FC" w:rsidRPr="00380B24" w14:paraId="4FD40247" w14:textId="77777777">
        <w:trPr>
          <w:jc w:val="center"/>
        </w:trPr>
        <w:tc>
          <w:tcPr>
            <w:tcW w:w="5000" w:type="pct"/>
            <w:gridSpan w:val="3"/>
            <w:shd w:val="clear" w:color="auto" w:fill="F2F2F2"/>
          </w:tcPr>
          <w:p w14:paraId="36E0240E" w14:textId="77777777" w:rsidR="00B202FC" w:rsidRPr="00380B24" w:rsidRDefault="00B202FC">
            <w:pPr>
              <w:rPr>
                <w:noProof/>
                <w:sz w:val="20"/>
                <w:lang w:eastAsia="ja-JP"/>
              </w:rPr>
            </w:pPr>
            <w:r w:rsidRPr="00380B24">
              <w:rPr>
                <w:b/>
                <w:caps/>
                <w:noProof/>
                <w:sz w:val="20"/>
                <w:lang w:eastAsia="ja-JP"/>
              </w:rPr>
              <w:t>Judgement criteria and INDICATORS</w:t>
            </w:r>
          </w:p>
        </w:tc>
      </w:tr>
      <w:tr w:rsidR="00B202FC" w:rsidRPr="00380B24" w14:paraId="0F9619A9" w14:textId="77777777">
        <w:trPr>
          <w:trHeight w:val="52"/>
          <w:jc w:val="center"/>
        </w:trPr>
        <w:tc>
          <w:tcPr>
            <w:tcW w:w="1774" w:type="pct"/>
            <w:gridSpan w:val="2"/>
            <w:shd w:val="clear" w:color="auto" w:fill="F2F2F2"/>
          </w:tcPr>
          <w:p w14:paraId="13684BCA" w14:textId="77777777" w:rsidR="00B202FC" w:rsidRPr="00380B24" w:rsidRDefault="00B202FC">
            <w:pPr>
              <w:spacing w:before="120"/>
              <w:rPr>
                <w:noProof/>
                <w:sz w:val="20"/>
                <w:lang w:eastAsia="ja-JP"/>
              </w:rPr>
            </w:pPr>
            <w:r w:rsidRPr="00380B24">
              <w:rPr>
                <w:noProof/>
                <w:sz w:val="20"/>
                <w:lang w:eastAsia="ja-JP"/>
              </w:rPr>
              <w:t>OQ1: ENISA’s governance structure is conducive to the effectiveness of its work</w:t>
            </w:r>
          </w:p>
        </w:tc>
        <w:tc>
          <w:tcPr>
            <w:tcW w:w="3226" w:type="pct"/>
            <w:shd w:val="clear" w:color="auto" w:fill="F2F2F2"/>
          </w:tcPr>
          <w:p w14:paraId="233050BD" w14:textId="77777777" w:rsidR="00B202FC" w:rsidRPr="00380B24" w:rsidRDefault="00B202FC">
            <w:pPr>
              <w:spacing w:before="120"/>
              <w:rPr>
                <w:noProof/>
                <w:sz w:val="20"/>
                <w:lang w:eastAsia="ja-JP"/>
              </w:rPr>
            </w:pPr>
            <w:r w:rsidRPr="00380B24">
              <w:rPr>
                <w:noProof/>
                <w:sz w:val="20"/>
                <w:lang w:eastAsia="ja-JP"/>
              </w:rPr>
              <w:t>ENISA’s stakeholders consider its governance structure effective; ENISA fulfils its annual activities and objectives and complies with the management target scores</w:t>
            </w:r>
          </w:p>
        </w:tc>
      </w:tr>
      <w:tr w:rsidR="00B202FC" w:rsidRPr="00380B24" w14:paraId="6342BBD0" w14:textId="77777777">
        <w:trPr>
          <w:trHeight w:val="52"/>
          <w:jc w:val="center"/>
        </w:trPr>
        <w:tc>
          <w:tcPr>
            <w:tcW w:w="1774" w:type="pct"/>
            <w:gridSpan w:val="2"/>
            <w:shd w:val="clear" w:color="auto" w:fill="F2F2F2"/>
          </w:tcPr>
          <w:p w14:paraId="0C632850" w14:textId="77777777" w:rsidR="00B202FC" w:rsidRPr="00380B24" w:rsidRDefault="00B202FC">
            <w:pPr>
              <w:spacing w:before="120"/>
              <w:rPr>
                <w:noProof/>
                <w:sz w:val="20"/>
                <w:lang w:eastAsia="ja-JP"/>
              </w:rPr>
            </w:pPr>
            <w:r w:rsidRPr="00380B24">
              <w:rPr>
                <w:noProof/>
                <w:sz w:val="20"/>
                <w:lang w:eastAsia="ja-JP"/>
              </w:rPr>
              <w:t>OQ2: The internal mechanisms for programming, monitoring, reporting and evaluating ENISA were effective</w:t>
            </w:r>
          </w:p>
        </w:tc>
        <w:tc>
          <w:tcPr>
            <w:tcW w:w="3226" w:type="pct"/>
            <w:shd w:val="clear" w:color="auto" w:fill="F2F2F2"/>
          </w:tcPr>
          <w:p w14:paraId="530E3637" w14:textId="77777777" w:rsidR="00B202FC" w:rsidRPr="00380B24" w:rsidRDefault="00B202FC">
            <w:pPr>
              <w:spacing w:before="120"/>
              <w:rPr>
                <w:noProof/>
                <w:sz w:val="20"/>
                <w:lang w:eastAsia="ja-JP"/>
              </w:rPr>
            </w:pPr>
            <w:r w:rsidRPr="00380B24">
              <w:rPr>
                <w:noProof/>
                <w:sz w:val="20"/>
                <w:lang w:eastAsia="ja-JP"/>
              </w:rPr>
              <w:t>ENISA follows rules and procedures imposed by the Commission; ENISA staff considers the monitoring system effective; EC officials consider ENISA’s internal monitoring system effective</w:t>
            </w:r>
          </w:p>
        </w:tc>
      </w:tr>
      <w:tr w:rsidR="00B202FC" w:rsidRPr="00380B24" w14:paraId="3D207003" w14:textId="77777777">
        <w:trPr>
          <w:jc w:val="center"/>
        </w:trPr>
        <w:tc>
          <w:tcPr>
            <w:tcW w:w="5000" w:type="pct"/>
            <w:gridSpan w:val="3"/>
            <w:shd w:val="clear" w:color="auto" w:fill="F2F2F2"/>
          </w:tcPr>
          <w:p w14:paraId="122C009E" w14:textId="77777777" w:rsidR="00B202FC" w:rsidRPr="00380B24" w:rsidRDefault="00B202FC" w:rsidP="00B202FC">
            <w:pPr>
              <w:numPr>
                <w:ilvl w:val="0"/>
                <w:numId w:val="159"/>
              </w:numPr>
              <w:spacing w:before="120" w:after="0"/>
              <w:contextualSpacing/>
              <w:rPr>
                <w:noProof/>
                <w:sz w:val="20"/>
                <w:lang w:eastAsia="ja-JP"/>
              </w:rPr>
            </w:pPr>
            <w:r w:rsidRPr="00380B24">
              <w:rPr>
                <w:b/>
                <w:caps/>
                <w:noProof/>
                <w:sz w:val="20"/>
                <w:lang w:eastAsia="ja-JP"/>
              </w:rPr>
              <w:t>Data sources</w:t>
            </w:r>
          </w:p>
        </w:tc>
      </w:tr>
      <w:tr w:rsidR="00B202FC" w:rsidRPr="00380B24" w14:paraId="55A7761C" w14:textId="77777777">
        <w:trPr>
          <w:trHeight w:val="744"/>
          <w:jc w:val="center"/>
        </w:trPr>
        <w:tc>
          <w:tcPr>
            <w:tcW w:w="5000" w:type="pct"/>
            <w:gridSpan w:val="3"/>
            <w:shd w:val="clear" w:color="auto" w:fill="F2F2F2"/>
          </w:tcPr>
          <w:p w14:paraId="2075E8ED" w14:textId="77777777" w:rsidR="00B202FC" w:rsidRPr="00380B24" w:rsidRDefault="00B202FC" w:rsidP="00B202FC">
            <w:pPr>
              <w:numPr>
                <w:ilvl w:val="0"/>
                <w:numId w:val="159"/>
              </w:numPr>
              <w:spacing w:before="120" w:after="0"/>
              <w:contextualSpacing/>
              <w:rPr>
                <w:noProof/>
                <w:sz w:val="20"/>
                <w:lang w:eastAsia="ja-JP"/>
              </w:rPr>
            </w:pPr>
            <w:r w:rsidRPr="00380B24">
              <w:rPr>
                <w:noProof/>
                <w:sz w:val="20"/>
                <w:lang w:eastAsia="ja-JP"/>
              </w:rPr>
              <w:t>Desk research</w:t>
            </w:r>
          </w:p>
          <w:p w14:paraId="66758AA9" w14:textId="77777777" w:rsidR="00B202FC" w:rsidRPr="00380B24" w:rsidRDefault="00B202FC" w:rsidP="00B202FC">
            <w:pPr>
              <w:numPr>
                <w:ilvl w:val="0"/>
                <w:numId w:val="159"/>
              </w:numPr>
              <w:spacing w:before="120" w:after="0"/>
              <w:contextualSpacing/>
              <w:rPr>
                <w:noProof/>
                <w:sz w:val="20"/>
                <w:lang w:eastAsia="ja-JP"/>
              </w:rPr>
            </w:pPr>
            <w:r w:rsidRPr="00380B24">
              <w:rPr>
                <w:noProof/>
                <w:sz w:val="20"/>
                <w:lang w:eastAsia="ja-JP"/>
              </w:rPr>
              <w:t>Interviews</w:t>
            </w:r>
          </w:p>
          <w:p w14:paraId="465568EF" w14:textId="77777777" w:rsidR="00B202FC" w:rsidRPr="00380B24" w:rsidRDefault="00B202FC" w:rsidP="00B202FC">
            <w:pPr>
              <w:numPr>
                <w:ilvl w:val="0"/>
                <w:numId w:val="159"/>
              </w:numPr>
              <w:spacing w:before="120" w:after="0"/>
              <w:contextualSpacing/>
              <w:rPr>
                <w:noProof/>
                <w:sz w:val="20"/>
                <w:lang w:eastAsia="ja-JP"/>
              </w:rPr>
            </w:pPr>
            <w:r w:rsidRPr="00380B24">
              <w:rPr>
                <w:noProof/>
                <w:sz w:val="20"/>
                <w:lang w:eastAsia="ja-JP"/>
              </w:rPr>
              <w:t>Survey</w:t>
            </w:r>
          </w:p>
        </w:tc>
      </w:tr>
    </w:tbl>
    <w:p w14:paraId="3A0DDAFF" w14:textId="77777777" w:rsidR="00D52AD8" w:rsidRPr="00C57110" w:rsidRDefault="00D52AD8" w:rsidP="00D52AD8">
      <w:pPr>
        <w:spacing w:before="120"/>
        <w:rPr>
          <w:rFonts w:eastAsia="Arial"/>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65DBB23F" w14:textId="77777777">
        <w:tc>
          <w:tcPr>
            <w:tcW w:w="5000" w:type="pct"/>
            <w:shd w:val="clear" w:color="auto" w:fill="C6D9F1" w:themeFill="text2" w:themeFillTint="33"/>
          </w:tcPr>
          <w:p w14:paraId="65721D52" w14:textId="77777777" w:rsidR="00B202FC" w:rsidRPr="00380B24" w:rsidRDefault="00B202FC">
            <w:pPr>
              <w:rPr>
                <w:rFonts w:ascii="Arial" w:eastAsia="Arial" w:hAnsi="Arial" w:cs="Arial"/>
                <w:b/>
                <w:noProof/>
                <w:color w:val="000000" w:themeColor="text1"/>
                <w:sz w:val="20"/>
              </w:rPr>
            </w:pPr>
            <w:r w:rsidRPr="00380B24">
              <w:rPr>
                <w:b/>
                <w:bCs/>
                <w:noProof/>
                <w:color w:val="000000" w:themeColor="text1"/>
                <w:sz w:val="20"/>
                <w:lang w:eastAsia="ja-JP"/>
              </w:rPr>
              <w:t>Evaluation results</w:t>
            </w:r>
          </w:p>
        </w:tc>
      </w:tr>
      <w:tr w:rsidR="00B202FC" w:rsidRPr="00380B24" w14:paraId="3E63E1F4" w14:textId="77777777">
        <w:trPr>
          <w:trHeight w:val="1251"/>
        </w:trPr>
        <w:tc>
          <w:tcPr>
            <w:tcW w:w="5000" w:type="pct"/>
            <w:shd w:val="clear" w:color="auto" w:fill="F2F2F2" w:themeFill="background1" w:themeFillShade="F2"/>
          </w:tcPr>
          <w:p w14:paraId="38520476" w14:textId="77777777" w:rsidR="00B202FC" w:rsidRPr="00380B24" w:rsidRDefault="00B202FC">
            <w:pPr>
              <w:rPr>
                <w:noProof/>
                <w:sz w:val="20"/>
                <w:lang w:eastAsia="ja-JP"/>
              </w:rPr>
            </w:pPr>
            <w:r w:rsidRPr="00380B24">
              <w:rPr>
                <w:noProof/>
                <w:sz w:val="20"/>
                <w:lang w:eastAsia="ja-JP"/>
              </w:rPr>
              <w:t xml:space="preserve">ENISA successfully fulfilled its mandate by delivering most planned outputs, even during challenging times like the COVID-19 pandemic and Russia's war of aggression against Ukraine. ENISA’s effectiveness is largely due to its strong governance and matrix-based organisational model, which aids task delivery and cooperation. However, key areas for improvement have been identified, particularly in strategic prioritisation and resource allocation. Despite a solid governance structure, ENISA experiences delays due to resource constraints and rigid strategic plans, signalling a need for more agile management. Enhancing task prioritisation and aligning operational capacity with strategic objectives could bolster ENISA’s efficiency and responsiveness to emergent cybersecurity challenges. The evaluation shows the need for additional resources. Additionally, more streamlined internal governance and dynamic reallocation of tasks and resources could help, to a certain extent, with timely fulfilment of new requests. Lastly, strengthened communication channels and a better-defined communication strategy would support ENISA’s outreach to its public and private stakeholders. </w:t>
            </w:r>
          </w:p>
          <w:p w14:paraId="3D81FA16" w14:textId="77777777" w:rsidR="00B202FC" w:rsidRPr="00380B24" w:rsidRDefault="00B202FC">
            <w:pPr>
              <w:rPr>
                <w:noProof/>
                <w:sz w:val="20"/>
                <w:lang w:eastAsia="ja-JP"/>
              </w:rPr>
            </w:pPr>
          </w:p>
        </w:tc>
      </w:tr>
    </w:tbl>
    <w:p w14:paraId="18E01DD1" w14:textId="77777777" w:rsidR="00B202FC" w:rsidRPr="00380B24" w:rsidRDefault="00B202FC" w:rsidP="00B202FC">
      <w:pPr>
        <w:spacing w:before="120"/>
        <w:rPr>
          <w:rFonts w:eastAsia="Arial"/>
          <w:b/>
          <w:bCs/>
          <w:noProof/>
          <w:szCs w:val="20"/>
          <w:lang w:eastAsia="ja-JP"/>
        </w:rPr>
      </w:pPr>
    </w:p>
    <w:p w14:paraId="7B9FE686" w14:textId="77777777" w:rsidR="00D52AD8" w:rsidRPr="00C57110" w:rsidRDefault="00D52AD8" w:rsidP="00D52AD8">
      <w:pPr>
        <w:spacing w:before="120"/>
        <w:rPr>
          <w:rFonts w:eastAsia="Arial"/>
          <w:b/>
          <w:bCs/>
          <w:noProof/>
          <w:szCs w:val="20"/>
          <w:lang w:eastAsia="ja-JP"/>
        </w:rPr>
      </w:pPr>
      <w:r w:rsidRPr="00C57110">
        <w:rPr>
          <w:rFonts w:eastAsia="Arial"/>
          <w:b/>
          <w:bCs/>
          <w:noProof/>
          <w:szCs w:val="20"/>
          <w:lang w:eastAsia="ja-JP"/>
        </w:rPr>
        <w:t>ECCF</w:t>
      </w: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3243"/>
        <w:gridCol w:w="3844"/>
        <w:gridCol w:w="7087"/>
      </w:tblGrid>
      <w:tr w:rsidR="00B202FC" w:rsidRPr="00380B24" w14:paraId="79D63B02" w14:textId="77777777">
        <w:trPr>
          <w:cnfStyle w:val="100000000000" w:firstRow="1" w:lastRow="0" w:firstColumn="0" w:lastColumn="0" w:oddVBand="0" w:evenVBand="0" w:oddHBand="0" w:evenHBand="0" w:firstRowFirstColumn="0" w:firstRowLastColumn="0" w:lastRowFirstColumn="0" w:lastRowLastColumn="0"/>
          <w:trHeight w:val="343"/>
          <w:jc w:val="center"/>
        </w:trPr>
        <w:tc>
          <w:tcPr>
            <w:tcW w:w="1144" w:type="pct"/>
            <w:shd w:val="clear" w:color="auto" w:fill="C6D9F1" w:themeFill="text2" w:themeFillTint="33"/>
          </w:tcPr>
          <w:p w14:paraId="2E1F1C4A" w14:textId="77777777" w:rsidR="00B202FC" w:rsidRPr="00380B24" w:rsidRDefault="00B202FC">
            <w:pPr>
              <w:rPr>
                <w:b/>
                <w:bCs/>
                <w:i/>
                <w:noProof/>
                <w:color w:val="000000" w:themeColor="text1"/>
                <w:sz w:val="20"/>
                <w:lang w:eastAsia="ja-JP"/>
              </w:rPr>
            </w:pPr>
            <w:r w:rsidRPr="00380B24">
              <w:rPr>
                <w:b/>
                <w:bCs/>
                <w:i/>
                <w:noProof/>
                <w:color w:val="000000" w:themeColor="text1"/>
                <w:sz w:val="20"/>
                <w:lang w:eastAsia="ja-JP"/>
              </w:rPr>
              <w:t>Effectiveness</w:t>
            </w:r>
          </w:p>
          <w:p w14:paraId="7A8CFEBF"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EQ3, ECCF</w:t>
            </w:r>
          </w:p>
        </w:tc>
        <w:tc>
          <w:tcPr>
            <w:tcW w:w="3856" w:type="pct"/>
            <w:gridSpan w:val="2"/>
            <w:shd w:val="clear" w:color="auto" w:fill="C6D9F1" w:themeFill="text2" w:themeFillTint="33"/>
            <w:vAlign w:val="center"/>
          </w:tcPr>
          <w:p w14:paraId="0E15EA9D"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To what extent has the ECCF achieved its objectives?</w:t>
            </w:r>
          </w:p>
        </w:tc>
      </w:tr>
      <w:tr w:rsidR="00B202FC" w:rsidRPr="00380B24" w14:paraId="40F38111" w14:textId="77777777">
        <w:trPr>
          <w:trHeight w:val="229"/>
          <w:jc w:val="center"/>
        </w:trPr>
        <w:tc>
          <w:tcPr>
            <w:tcW w:w="5000" w:type="pct"/>
            <w:gridSpan w:val="3"/>
            <w:shd w:val="clear" w:color="auto" w:fill="F2F2F2" w:themeFill="background1" w:themeFillShade="F2"/>
          </w:tcPr>
          <w:p w14:paraId="2AA2C1DA" w14:textId="77777777" w:rsidR="00B202FC" w:rsidRPr="00380B24" w:rsidRDefault="00B202FC">
            <w:pPr>
              <w:rPr>
                <w:b/>
                <w:caps/>
                <w:noProof/>
                <w:sz w:val="20"/>
                <w:lang w:eastAsia="ja-JP"/>
              </w:rPr>
            </w:pPr>
            <w:r w:rsidRPr="00380B24">
              <w:rPr>
                <w:b/>
                <w:caps/>
                <w:noProof/>
                <w:sz w:val="20"/>
                <w:lang w:eastAsia="ja-JP"/>
              </w:rPr>
              <w:t>Operational questions</w:t>
            </w:r>
          </w:p>
        </w:tc>
      </w:tr>
      <w:tr w:rsidR="00B202FC" w:rsidRPr="00380B24" w14:paraId="64714D0A" w14:textId="77777777">
        <w:trPr>
          <w:jc w:val="center"/>
        </w:trPr>
        <w:tc>
          <w:tcPr>
            <w:tcW w:w="5000" w:type="pct"/>
            <w:gridSpan w:val="3"/>
            <w:shd w:val="clear" w:color="auto" w:fill="F2F2F2" w:themeFill="background1" w:themeFillShade="F2"/>
          </w:tcPr>
          <w:p w14:paraId="58AB3DD8"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OQ1: To what extent has the ECCF increased capabilities and preparedness of Member States and businesses, in particular regarding critical infrastructures?</w:t>
            </w:r>
          </w:p>
          <w:p w14:paraId="3C706B0D"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OQ2: To what extent has the ECCF improved cooperation and coordination across Member States and EU institutions, agencies and bodies as well as well as with other relevant stakeholders (e.g. industry, standardisation bodies)?</w:t>
            </w:r>
          </w:p>
          <w:p w14:paraId="3FC7948F"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OQ3: To what extent has the ECCF improved EU-level capabilities to support and complement the action of Member States?</w:t>
            </w:r>
          </w:p>
          <w:p w14:paraId="669B0CAF"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OQ4: To what extent has the ECCF enhanced trust and awareness among the general public and businesses on cybersecurity issues through transparent information?</w:t>
            </w:r>
          </w:p>
          <w:p w14:paraId="65429480"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OQ5: To what extent has the ECCF increased the overall transparency of cybersecurity assurance of ICT products and services, ensuring security by default and design as well as mitigation of vulnerabilities?</w:t>
            </w:r>
          </w:p>
          <w:p w14:paraId="4647E72A"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 xml:space="preserve">OQ6: To what extent has the ECCF ensured that businesses can sell secure ICT products, services and processes across the internal market at lower administrative and financial costs? </w:t>
            </w:r>
          </w:p>
          <w:p w14:paraId="4F7C08FA" w14:textId="77777777" w:rsidR="00B202FC" w:rsidRPr="00380B24" w:rsidRDefault="00B202FC" w:rsidP="00B202FC">
            <w:pPr>
              <w:numPr>
                <w:ilvl w:val="0"/>
                <w:numId w:val="164"/>
              </w:numPr>
              <w:spacing w:before="120" w:after="0"/>
              <w:contextualSpacing/>
              <w:rPr>
                <w:noProof/>
                <w:sz w:val="20"/>
                <w:lang w:eastAsia="ja-JP"/>
              </w:rPr>
            </w:pPr>
            <w:r w:rsidRPr="00380B24">
              <w:rPr>
                <w:noProof/>
                <w:sz w:val="20"/>
                <w:lang w:eastAsia="ja-JP"/>
              </w:rPr>
              <w:t>OQ7: To what extent has the ECCF reduced fragmentation of certification schemes in the EU and related security requirements and evaluation criteria across Member States and sectors?</w:t>
            </w:r>
          </w:p>
        </w:tc>
      </w:tr>
      <w:tr w:rsidR="00B202FC" w:rsidRPr="00380B24" w14:paraId="077650D4" w14:textId="77777777">
        <w:trPr>
          <w:jc w:val="center"/>
        </w:trPr>
        <w:tc>
          <w:tcPr>
            <w:tcW w:w="5000" w:type="pct"/>
            <w:gridSpan w:val="3"/>
            <w:shd w:val="clear" w:color="auto" w:fill="F2F2F2" w:themeFill="background1" w:themeFillShade="F2"/>
          </w:tcPr>
          <w:p w14:paraId="69A559E3" w14:textId="77777777" w:rsidR="00B202FC" w:rsidRPr="00380B24" w:rsidRDefault="00B202FC">
            <w:pPr>
              <w:rPr>
                <w:noProof/>
                <w:sz w:val="20"/>
                <w:lang w:eastAsia="ja-JP"/>
              </w:rPr>
            </w:pPr>
            <w:r w:rsidRPr="00380B24">
              <w:rPr>
                <w:b/>
                <w:caps/>
                <w:noProof/>
                <w:sz w:val="20"/>
                <w:lang w:eastAsia="ja-JP"/>
              </w:rPr>
              <w:t>Judgement criteria and INDICATORS</w:t>
            </w:r>
          </w:p>
        </w:tc>
      </w:tr>
      <w:tr w:rsidR="00B202FC" w:rsidRPr="00380B24" w14:paraId="584E9C03" w14:textId="77777777">
        <w:trPr>
          <w:trHeight w:val="48"/>
          <w:jc w:val="center"/>
        </w:trPr>
        <w:tc>
          <w:tcPr>
            <w:tcW w:w="2500" w:type="pct"/>
            <w:gridSpan w:val="2"/>
            <w:shd w:val="clear" w:color="auto" w:fill="F2F2F2" w:themeFill="background1" w:themeFillShade="F2"/>
          </w:tcPr>
          <w:p w14:paraId="6107960D" w14:textId="77777777" w:rsidR="00B202FC" w:rsidRPr="00380B24" w:rsidRDefault="00B202FC">
            <w:pPr>
              <w:spacing w:before="120"/>
              <w:rPr>
                <w:noProof/>
                <w:sz w:val="20"/>
                <w:lang w:eastAsia="ja-JP"/>
              </w:rPr>
            </w:pPr>
            <w:r w:rsidRPr="00380B24">
              <w:rPr>
                <w:noProof/>
                <w:sz w:val="20"/>
                <w:lang w:eastAsia="ja-JP"/>
              </w:rPr>
              <w:t xml:space="preserve">OQ1: All Member States appointed national cybersecurity certification authorities </w:t>
            </w:r>
          </w:p>
        </w:tc>
        <w:tc>
          <w:tcPr>
            <w:tcW w:w="2500" w:type="pct"/>
            <w:shd w:val="clear" w:color="auto" w:fill="F2F2F2" w:themeFill="background1" w:themeFillShade="F2"/>
          </w:tcPr>
          <w:p w14:paraId="7B146409" w14:textId="77777777" w:rsidR="00B202FC" w:rsidRPr="00380B24" w:rsidRDefault="00B202FC">
            <w:pPr>
              <w:spacing w:before="120"/>
              <w:rPr>
                <w:noProof/>
                <w:sz w:val="20"/>
                <w:lang w:eastAsia="ja-JP"/>
              </w:rPr>
            </w:pPr>
            <w:r w:rsidRPr="00380B24">
              <w:rPr>
                <w:noProof/>
                <w:sz w:val="20"/>
                <w:lang w:eastAsia="ja-JP"/>
              </w:rPr>
              <w:t xml:space="preserve">Number of national cybersecurity certification authorities appointed; resources allocated to national cybersecurity certification authorities </w:t>
            </w:r>
          </w:p>
        </w:tc>
      </w:tr>
      <w:tr w:rsidR="00B202FC" w:rsidRPr="00380B24" w14:paraId="0A0FFB81" w14:textId="77777777">
        <w:trPr>
          <w:trHeight w:val="44"/>
          <w:jc w:val="center"/>
        </w:trPr>
        <w:tc>
          <w:tcPr>
            <w:tcW w:w="2500" w:type="pct"/>
            <w:gridSpan w:val="2"/>
            <w:shd w:val="clear" w:color="auto" w:fill="F2F2F2" w:themeFill="background1" w:themeFillShade="F2"/>
          </w:tcPr>
          <w:p w14:paraId="5AC40AE9" w14:textId="77777777" w:rsidR="00B202FC" w:rsidRPr="00380B24" w:rsidRDefault="00B202FC">
            <w:pPr>
              <w:spacing w:before="120"/>
              <w:rPr>
                <w:noProof/>
                <w:sz w:val="20"/>
                <w:lang w:eastAsia="ja-JP"/>
              </w:rPr>
            </w:pPr>
            <w:r w:rsidRPr="00380B24">
              <w:rPr>
                <w:noProof/>
                <w:sz w:val="20"/>
                <w:lang w:eastAsia="ja-JP"/>
              </w:rPr>
              <w:t xml:space="preserve">OQ1: ICT products, services or processes certified under the EU cybersecurity certification schemes </w:t>
            </w:r>
          </w:p>
        </w:tc>
        <w:tc>
          <w:tcPr>
            <w:tcW w:w="2500" w:type="pct"/>
            <w:shd w:val="clear" w:color="auto" w:fill="F2F2F2" w:themeFill="background1" w:themeFillShade="F2"/>
          </w:tcPr>
          <w:p w14:paraId="2DE37519" w14:textId="77777777" w:rsidR="00B202FC" w:rsidRPr="00380B24" w:rsidRDefault="00B202FC">
            <w:pPr>
              <w:spacing w:before="120"/>
              <w:rPr>
                <w:noProof/>
                <w:sz w:val="20"/>
                <w:lang w:eastAsia="ja-JP"/>
              </w:rPr>
            </w:pPr>
            <w:r w:rsidRPr="00380B24">
              <w:rPr>
                <w:noProof/>
                <w:sz w:val="20"/>
                <w:lang w:eastAsia="ja-JP"/>
              </w:rPr>
              <w:t xml:space="preserve">Number of certification schemes issued and businesses certified </w:t>
            </w:r>
          </w:p>
        </w:tc>
      </w:tr>
      <w:tr w:rsidR="00B202FC" w:rsidRPr="00380B24" w14:paraId="4F3AEAE3" w14:textId="77777777">
        <w:trPr>
          <w:trHeight w:val="44"/>
          <w:jc w:val="center"/>
        </w:trPr>
        <w:tc>
          <w:tcPr>
            <w:tcW w:w="2500" w:type="pct"/>
            <w:gridSpan w:val="2"/>
            <w:shd w:val="clear" w:color="auto" w:fill="F2F2F2" w:themeFill="background1" w:themeFillShade="F2"/>
          </w:tcPr>
          <w:p w14:paraId="223038EA" w14:textId="77777777" w:rsidR="00B202FC" w:rsidRPr="00380B24" w:rsidRDefault="00B202FC">
            <w:pPr>
              <w:spacing w:before="120"/>
              <w:rPr>
                <w:noProof/>
                <w:sz w:val="20"/>
                <w:lang w:eastAsia="ja-JP"/>
              </w:rPr>
            </w:pPr>
            <w:r w:rsidRPr="00380B24">
              <w:rPr>
                <w:noProof/>
                <w:sz w:val="20"/>
                <w:lang w:eastAsia="ja-JP"/>
              </w:rPr>
              <w:t>OQ2: ECCG set up and taking decisions</w:t>
            </w:r>
          </w:p>
        </w:tc>
        <w:tc>
          <w:tcPr>
            <w:tcW w:w="2500" w:type="pct"/>
            <w:shd w:val="clear" w:color="auto" w:fill="F2F2F2" w:themeFill="background1" w:themeFillShade="F2"/>
          </w:tcPr>
          <w:p w14:paraId="2F043390" w14:textId="77777777" w:rsidR="00B202FC" w:rsidRPr="00380B24" w:rsidRDefault="00B202FC">
            <w:pPr>
              <w:spacing w:before="120"/>
              <w:rPr>
                <w:noProof/>
                <w:sz w:val="20"/>
                <w:lang w:eastAsia="ja-JP"/>
              </w:rPr>
            </w:pPr>
            <w:r w:rsidRPr="00380B24">
              <w:rPr>
                <w:noProof/>
                <w:sz w:val="20"/>
                <w:lang w:eastAsia="ja-JP"/>
              </w:rPr>
              <w:t>Number of ECCG meetings that took place; type of issues discussed; number and type of decisions taken and documents adopted</w:t>
            </w:r>
          </w:p>
        </w:tc>
      </w:tr>
      <w:tr w:rsidR="00B202FC" w:rsidRPr="00380B24" w14:paraId="11289196" w14:textId="77777777">
        <w:trPr>
          <w:trHeight w:val="44"/>
          <w:jc w:val="center"/>
        </w:trPr>
        <w:tc>
          <w:tcPr>
            <w:tcW w:w="2500" w:type="pct"/>
            <w:gridSpan w:val="2"/>
            <w:shd w:val="clear" w:color="auto" w:fill="F2F2F2" w:themeFill="background1" w:themeFillShade="F2"/>
          </w:tcPr>
          <w:p w14:paraId="2251DC8F" w14:textId="77777777" w:rsidR="00B202FC" w:rsidRPr="00380B24" w:rsidRDefault="00B202FC">
            <w:pPr>
              <w:spacing w:before="120"/>
              <w:rPr>
                <w:noProof/>
                <w:sz w:val="20"/>
                <w:lang w:eastAsia="ja-JP"/>
              </w:rPr>
            </w:pPr>
            <w:r w:rsidRPr="00380B24">
              <w:rPr>
                <w:noProof/>
                <w:sz w:val="20"/>
                <w:lang w:eastAsia="ja-JP"/>
              </w:rPr>
              <w:t>OQ2: Certificates issued under the ‘Senior Officials Group Information Systems Security - Mutual Recognition Agreement' (SOG-IS-MRA) extended to the EU27 in view of an equivalent EU scheme</w:t>
            </w:r>
          </w:p>
        </w:tc>
        <w:tc>
          <w:tcPr>
            <w:tcW w:w="2500" w:type="pct"/>
            <w:shd w:val="clear" w:color="auto" w:fill="F2F2F2" w:themeFill="background1" w:themeFillShade="F2"/>
          </w:tcPr>
          <w:p w14:paraId="3987287A" w14:textId="77777777" w:rsidR="00B202FC" w:rsidRPr="00380B24" w:rsidRDefault="00B202FC">
            <w:pPr>
              <w:spacing w:before="120"/>
              <w:rPr>
                <w:noProof/>
                <w:sz w:val="20"/>
                <w:lang w:eastAsia="ja-JP"/>
              </w:rPr>
            </w:pPr>
            <w:r w:rsidRPr="00380B24">
              <w:rPr>
                <w:noProof/>
                <w:sz w:val="20"/>
                <w:lang w:eastAsia="ja-JP"/>
              </w:rPr>
              <w:t xml:space="preserve">Number of SOGIS-MRA equivalent schemes at EU level, extended to EU27; number and type of decisions taken and documents adopted by the SOG-IS MRA and transferred to EU level </w:t>
            </w:r>
          </w:p>
        </w:tc>
      </w:tr>
      <w:tr w:rsidR="00B202FC" w:rsidRPr="00380B24" w14:paraId="62ECD3E4" w14:textId="77777777">
        <w:trPr>
          <w:trHeight w:val="44"/>
          <w:jc w:val="center"/>
        </w:trPr>
        <w:tc>
          <w:tcPr>
            <w:tcW w:w="2500" w:type="pct"/>
            <w:gridSpan w:val="2"/>
            <w:shd w:val="clear" w:color="auto" w:fill="F2F2F2" w:themeFill="background1" w:themeFillShade="F2"/>
          </w:tcPr>
          <w:p w14:paraId="5C65E2FC" w14:textId="77777777" w:rsidR="00B202FC" w:rsidRPr="00380B24" w:rsidRDefault="00B202FC">
            <w:pPr>
              <w:spacing w:before="120"/>
              <w:rPr>
                <w:noProof/>
                <w:sz w:val="20"/>
                <w:lang w:eastAsia="ja-JP"/>
              </w:rPr>
            </w:pPr>
            <w:r w:rsidRPr="00380B24">
              <w:rPr>
                <w:noProof/>
                <w:sz w:val="20"/>
                <w:lang w:eastAsia="ja-JP"/>
              </w:rPr>
              <w:t xml:space="preserve">OQ3: ENISA has more resources to tackle cybersecurity certification issues </w:t>
            </w:r>
          </w:p>
        </w:tc>
        <w:tc>
          <w:tcPr>
            <w:tcW w:w="2500" w:type="pct"/>
            <w:shd w:val="clear" w:color="auto" w:fill="F2F2F2" w:themeFill="background1" w:themeFillShade="F2"/>
          </w:tcPr>
          <w:p w14:paraId="4BC1BFED" w14:textId="77777777" w:rsidR="00B202FC" w:rsidRPr="00380B24" w:rsidRDefault="00B202FC">
            <w:pPr>
              <w:spacing w:before="120"/>
              <w:rPr>
                <w:noProof/>
                <w:sz w:val="20"/>
                <w:lang w:eastAsia="ja-JP"/>
              </w:rPr>
            </w:pPr>
            <w:r w:rsidRPr="00380B24">
              <w:rPr>
                <w:noProof/>
                <w:sz w:val="20"/>
                <w:lang w:eastAsia="ja-JP"/>
              </w:rPr>
              <w:t>Resources effectively allocated to ENISA (number of staff and financial endowment) to carry out certification-related tasks</w:t>
            </w:r>
          </w:p>
        </w:tc>
      </w:tr>
      <w:tr w:rsidR="00B202FC" w:rsidRPr="00380B24" w14:paraId="43C3C396" w14:textId="77777777">
        <w:trPr>
          <w:trHeight w:val="44"/>
          <w:jc w:val="center"/>
        </w:trPr>
        <w:tc>
          <w:tcPr>
            <w:tcW w:w="2500" w:type="pct"/>
            <w:gridSpan w:val="2"/>
            <w:shd w:val="clear" w:color="auto" w:fill="F2F2F2" w:themeFill="background1" w:themeFillShade="F2"/>
          </w:tcPr>
          <w:p w14:paraId="3289C824" w14:textId="77777777" w:rsidR="00B202FC" w:rsidRPr="00380B24" w:rsidRDefault="00B202FC">
            <w:pPr>
              <w:spacing w:before="120"/>
              <w:rPr>
                <w:noProof/>
                <w:sz w:val="20"/>
                <w:lang w:eastAsia="ja-JP"/>
              </w:rPr>
            </w:pPr>
            <w:r w:rsidRPr="00380B24">
              <w:rPr>
                <w:noProof/>
                <w:sz w:val="20"/>
                <w:lang w:eastAsia="ja-JP"/>
              </w:rPr>
              <w:t>OQ4: More people and businesses know about cybersecurity certification</w:t>
            </w:r>
          </w:p>
        </w:tc>
        <w:tc>
          <w:tcPr>
            <w:tcW w:w="2500" w:type="pct"/>
            <w:shd w:val="clear" w:color="auto" w:fill="F2F2F2" w:themeFill="background1" w:themeFillShade="F2"/>
          </w:tcPr>
          <w:p w14:paraId="6ACFDFA6" w14:textId="77777777" w:rsidR="00B202FC" w:rsidRPr="00380B24" w:rsidRDefault="00B202FC">
            <w:pPr>
              <w:spacing w:before="120"/>
              <w:rPr>
                <w:noProof/>
                <w:sz w:val="20"/>
                <w:lang w:eastAsia="ja-JP"/>
              </w:rPr>
            </w:pPr>
            <w:r w:rsidRPr="00380B24">
              <w:rPr>
                <w:noProof/>
                <w:sz w:val="20"/>
                <w:lang w:eastAsia="ja-JP"/>
              </w:rPr>
              <w:t>Percentage of the general public and businesses aware of cybersecurity certification; percentage of the general public</w:t>
            </w:r>
            <w:r w:rsidRPr="00380B24" w:rsidDel="003C32EC">
              <w:rPr>
                <w:noProof/>
                <w:sz w:val="20"/>
                <w:lang w:eastAsia="ja-JP"/>
              </w:rPr>
              <w:t xml:space="preserve"> </w:t>
            </w:r>
            <w:r w:rsidRPr="00380B24">
              <w:rPr>
                <w:noProof/>
                <w:sz w:val="20"/>
                <w:lang w:eastAsia="ja-JP"/>
              </w:rPr>
              <w:t xml:space="preserve">and businesses aware of the importance of a high level of security of ICT products, services and processes </w:t>
            </w:r>
          </w:p>
        </w:tc>
      </w:tr>
      <w:tr w:rsidR="00B202FC" w:rsidRPr="00380B24" w14:paraId="402D30A7" w14:textId="77777777">
        <w:trPr>
          <w:trHeight w:val="44"/>
          <w:jc w:val="center"/>
        </w:trPr>
        <w:tc>
          <w:tcPr>
            <w:tcW w:w="2500" w:type="pct"/>
            <w:gridSpan w:val="2"/>
            <w:shd w:val="clear" w:color="auto" w:fill="F2F2F2" w:themeFill="background1" w:themeFillShade="F2"/>
          </w:tcPr>
          <w:p w14:paraId="48333B11" w14:textId="77777777" w:rsidR="00B202FC" w:rsidRPr="00380B24" w:rsidRDefault="00B202FC">
            <w:pPr>
              <w:spacing w:before="120"/>
              <w:rPr>
                <w:noProof/>
                <w:sz w:val="20"/>
                <w:lang w:eastAsia="ja-JP"/>
              </w:rPr>
            </w:pPr>
            <w:r w:rsidRPr="00380B24">
              <w:rPr>
                <w:noProof/>
                <w:sz w:val="20"/>
                <w:lang w:eastAsia="ja-JP"/>
              </w:rPr>
              <w:t>OQ5: Buyers, in particular operators of essential services, are more incentivised to purchase certified ICT products, services and processes compared to before the Cybersecurity Act</w:t>
            </w:r>
          </w:p>
        </w:tc>
        <w:tc>
          <w:tcPr>
            <w:tcW w:w="2500" w:type="pct"/>
            <w:shd w:val="clear" w:color="auto" w:fill="F2F2F2" w:themeFill="background1" w:themeFillShade="F2"/>
          </w:tcPr>
          <w:p w14:paraId="706DD264" w14:textId="77777777" w:rsidR="00B202FC" w:rsidRPr="00380B24" w:rsidRDefault="00B202FC">
            <w:pPr>
              <w:spacing w:before="120"/>
              <w:rPr>
                <w:noProof/>
                <w:sz w:val="20"/>
                <w:lang w:eastAsia="ja-JP"/>
              </w:rPr>
            </w:pPr>
            <w:r w:rsidRPr="00380B24">
              <w:rPr>
                <w:noProof/>
                <w:sz w:val="20"/>
                <w:lang w:eastAsia="ja-JP"/>
              </w:rPr>
              <w:t>Extent to which the ECCF has contributed to the purchase of certified ICT products, services and processes</w:t>
            </w:r>
          </w:p>
        </w:tc>
      </w:tr>
      <w:tr w:rsidR="00B202FC" w:rsidRPr="00380B24" w14:paraId="237CCAF1" w14:textId="77777777">
        <w:trPr>
          <w:trHeight w:val="44"/>
          <w:jc w:val="center"/>
        </w:trPr>
        <w:tc>
          <w:tcPr>
            <w:tcW w:w="2500" w:type="pct"/>
            <w:gridSpan w:val="2"/>
            <w:shd w:val="clear" w:color="auto" w:fill="F2F2F2" w:themeFill="background1" w:themeFillShade="F2"/>
          </w:tcPr>
          <w:p w14:paraId="20B046EB" w14:textId="77777777" w:rsidR="00B202FC" w:rsidRPr="00380B24" w:rsidRDefault="00B202FC">
            <w:pPr>
              <w:spacing w:before="120"/>
              <w:rPr>
                <w:noProof/>
                <w:sz w:val="20"/>
                <w:lang w:eastAsia="ja-JP"/>
              </w:rPr>
            </w:pPr>
            <w:r w:rsidRPr="00380B24">
              <w:rPr>
                <w:noProof/>
                <w:sz w:val="20"/>
                <w:lang w:eastAsia="ja-JP"/>
              </w:rPr>
              <w:t>OQ6: Vendors are more incentivised to certify their ICT products, services and processes compared to before the Cybersecurity Act</w:t>
            </w:r>
          </w:p>
        </w:tc>
        <w:tc>
          <w:tcPr>
            <w:tcW w:w="2500" w:type="pct"/>
            <w:shd w:val="clear" w:color="auto" w:fill="F2F2F2" w:themeFill="background1" w:themeFillShade="F2"/>
          </w:tcPr>
          <w:p w14:paraId="259D6D74" w14:textId="77777777" w:rsidR="00B202FC" w:rsidRPr="00380B24" w:rsidRDefault="00B202FC">
            <w:pPr>
              <w:spacing w:before="120"/>
              <w:rPr>
                <w:noProof/>
                <w:sz w:val="20"/>
                <w:lang w:eastAsia="ja-JP"/>
              </w:rPr>
            </w:pPr>
            <w:r w:rsidRPr="00380B24">
              <w:rPr>
                <w:noProof/>
                <w:sz w:val="20"/>
                <w:lang w:eastAsia="ja-JP"/>
              </w:rPr>
              <w:t>Extent to which the ECCF has contributed to the certification of ICT products, services and processes</w:t>
            </w:r>
          </w:p>
        </w:tc>
      </w:tr>
      <w:tr w:rsidR="00B202FC" w:rsidRPr="00380B24" w14:paraId="22F08155" w14:textId="77777777">
        <w:trPr>
          <w:trHeight w:val="44"/>
          <w:jc w:val="center"/>
        </w:trPr>
        <w:tc>
          <w:tcPr>
            <w:tcW w:w="2500" w:type="pct"/>
            <w:gridSpan w:val="2"/>
            <w:shd w:val="clear" w:color="auto" w:fill="F2F2F2" w:themeFill="background1" w:themeFillShade="F2"/>
          </w:tcPr>
          <w:p w14:paraId="05824430" w14:textId="77777777" w:rsidR="00B202FC" w:rsidRPr="00380B24" w:rsidRDefault="00B202FC">
            <w:pPr>
              <w:spacing w:before="120"/>
              <w:rPr>
                <w:noProof/>
                <w:sz w:val="20"/>
                <w:lang w:eastAsia="ja-JP"/>
              </w:rPr>
            </w:pPr>
            <w:r w:rsidRPr="00380B24">
              <w:rPr>
                <w:noProof/>
                <w:sz w:val="20"/>
                <w:lang w:eastAsia="ja-JP"/>
              </w:rPr>
              <w:t>OQ7: Less or no cybersecurity certification schemes were developed outside the perimeter of the ECCF compared to before its adoption</w:t>
            </w:r>
          </w:p>
        </w:tc>
        <w:tc>
          <w:tcPr>
            <w:tcW w:w="2500" w:type="pct"/>
            <w:shd w:val="clear" w:color="auto" w:fill="F2F2F2" w:themeFill="background1" w:themeFillShade="F2"/>
          </w:tcPr>
          <w:p w14:paraId="717EA799" w14:textId="77777777" w:rsidR="00B202FC" w:rsidRPr="00380B24" w:rsidRDefault="00B202FC">
            <w:pPr>
              <w:spacing w:before="120"/>
              <w:rPr>
                <w:noProof/>
                <w:sz w:val="20"/>
                <w:lang w:eastAsia="ja-JP"/>
              </w:rPr>
            </w:pPr>
            <w:r w:rsidRPr="00380B24">
              <w:rPr>
                <w:noProof/>
                <w:sz w:val="20"/>
                <w:lang w:eastAsia="ja-JP"/>
              </w:rPr>
              <w:t xml:space="preserve">Number and type of cybersecurity certification schemes developed outside the ECCF perimeter </w:t>
            </w:r>
          </w:p>
        </w:tc>
      </w:tr>
      <w:tr w:rsidR="00B202FC" w:rsidRPr="00380B24" w14:paraId="7C6E2FA7" w14:textId="77777777">
        <w:trPr>
          <w:jc w:val="center"/>
        </w:trPr>
        <w:tc>
          <w:tcPr>
            <w:tcW w:w="5000" w:type="pct"/>
            <w:gridSpan w:val="3"/>
            <w:shd w:val="clear" w:color="auto" w:fill="F2F2F2" w:themeFill="background1" w:themeFillShade="F2"/>
          </w:tcPr>
          <w:p w14:paraId="7F9E7151" w14:textId="77777777" w:rsidR="00B202FC" w:rsidRPr="00380B24" w:rsidRDefault="00B202FC">
            <w:pPr>
              <w:rPr>
                <w:noProof/>
                <w:sz w:val="20"/>
                <w:lang w:eastAsia="ja-JP"/>
              </w:rPr>
            </w:pPr>
            <w:r w:rsidRPr="00380B24">
              <w:rPr>
                <w:b/>
                <w:caps/>
                <w:noProof/>
                <w:sz w:val="20"/>
                <w:lang w:eastAsia="ja-JP"/>
              </w:rPr>
              <w:t>Data sources</w:t>
            </w:r>
          </w:p>
        </w:tc>
      </w:tr>
      <w:tr w:rsidR="00B202FC" w:rsidRPr="00380B24" w14:paraId="4CDFCF36" w14:textId="77777777">
        <w:trPr>
          <w:jc w:val="center"/>
        </w:trPr>
        <w:tc>
          <w:tcPr>
            <w:tcW w:w="5000" w:type="pct"/>
            <w:gridSpan w:val="3"/>
            <w:shd w:val="clear" w:color="auto" w:fill="F2F2F2" w:themeFill="background1" w:themeFillShade="F2"/>
          </w:tcPr>
          <w:p w14:paraId="2A2703FE" w14:textId="77777777" w:rsidR="00B202FC" w:rsidRPr="00380B24" w:rsidRDefault="00B202FC" w:rsidP="00B202FC">
            <w:pPr>
              <w:numPr>
                <w:ilvl w:val="0"/>
                <w:numId w:val="165"/>
              </w:numPr>
              <w:spacing w:before="120" w:after="0"/>
              <w:contextualSpacing/>
              <w:rPr>
                <w:noProof/>
                <w:sz w:val="20"/>
                <w:lang w:eastAsia="ja-JP"/>
              </w:rPr>
            </w:pPr>
            <w:r w:rsidRPr="00380B24">
              <w:rPr>
                <w:noProof/>
                <w:sz w:val="20"/>
                <w:lang w:eastAsia="ja-JP"/>
              </w:rPr>
              <w:t>Desk research</w:t>
            </w:r>
          </w:p>
          <w:p w14:paraId="35D0F786" w14:textId="77777777" w:rsidR="00B202FC" w:rsidRPr="00380B24" w:rsidRDefault="00B202FC" w:rsidP="00B202FC">
            <w:pPr>
              <w:numPr>
                <w:ilvl w:val="0"/>
                <w:numId w:val="165"/>
              </w:numPr>
              <w:spacing w:before="120" w:after="0"/>
              <w:contextualSpacing/>
              <w:rPr>
                <w:noProof/>
                <w:sz w:val="20"/>
                <w:lang w:eastAsia="ja-JP"/>
              </w:rPr>
            </w:pPr>
            <w:r w:rsidRPr="00380B24">
              <w:rPr>
                <w:noProof/>
                <w:sz w:val="20"/>
                <w:lang w:eastAsia="ja-JP"/>
              </w:rPr>
              <w:t>Interviews</w:t>
            </w:r>
          </w:p>
          <w:p w14:paraId="2CB497C3" w14:textId="77777777" w:rsidR="00B202FC" w:rsidRPr="00380B24" w:rsidRDefault="00B202FC" w:rsidP="00B202FC">
            <w:pPr>
              <w:numPr>
                <w:ilvl w:val="0"/>
                <w:numId w:val="165"/>
              </w:numPr>
              <w:spacing w:before="120" w:after="0"/>
              <w:contextualSpacing/>
              <w:rPr>
                <w:noProof/>
                <w:sz w:val="20"/>
                <w:lang w:eastAsia="ja-JP"/>
              </w:rPr>
            </w:pPr>
            <w:r w:rsidRPr="00380B24">
              <w:rPr>
                <w:noProof/>
                <w:sz w:val="20"/>
                <w:lang w:eastAsia="ja-JP"/>
              </w:rPr>
              <w:t>Survey</w:t>
            </w:r>
          </w:p>
          <w:p w14:paraId="272EE3A4" w14:textId="77777777" w:rsidR="00B202FC" w:rsidRPr="00380B24" w:rsidRDefault="00B202FC" w:rsidP="00B202FC">
            <w:pPr>
              <w:numPr>
                <w:ilvl w:val="0"/>
                <w:numId w:val="165"/>
              </w:numPr>
              <w:spacing w:before="120" w:after="0"/>
              <w:contextualSpacing/>
              <w:rPr>
                <w:noProof/>
                <w:sz w:val="20"/>
                <w:lang w:eastAsia="ja-JP"/>
              </w:rPr>
            </w:pPr>
            <w:r w:rsidRPr="00380B24">
              <w:rPr>
                <w:noProof/>
                <w:sz w:val="20"/>
                <w:lang w:eastAsia="ja-JP"/>
              </w:rPr>
              <w:t xml:space="preserve">Workshop on the intervention logic </w:t>
            </w:r>
          </w:p>
        </w:tc>
      </w:tr>
    </w:tbl>
    <w:p w14:paraId="27AFE899" w14:textId="77777777" w:rsidR="00D52AD8" w:rsidRPr="00C57110" w:rsidRDefault="00D52AD8" w:rsidP="00D52AD8">
      <w:pPr>
        <w:spacing w:before="120"/>
        <w:rPr>
          <w:rFonts w:eastAsia="Arial"/>
          <w:noProof/>
          <w:szCs w:val="20"/>
          <w:lang w:eastAsia="ja-JP"/>
        </w:rPr>
      </w:pP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35"/>
        <w:gridCol w:w="1950"/>
        <w:gridCol w:w="8689"/>
      </w:tblGrid>
      <w:tr w:rsidR="00B202FC" w:rsidRPr="00380B24" w14:paraId="570F098A"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shd w:val="clear" w:color="auto" w:fill="C6D9F1" w:themeFill="text2" w:themeFillTint="33"/>
          </w:tcPr>
          <w:p w14:paraId="183FD4D5" w14:textId="77777777" w:rsidR="00B202FC" w:rsidRPr="00380B24" w:rsidRDefault="00B202FC">
            <w:pPr>
              <w:rPr>
                <w:b/>
                <w:bCs/>
                <w:i/>
                <w:noProof/>
                <w:color w:val="000000" w:themeColor="text1"/>
                <w:sz w:val="20"/>
                <w:lang w:eastAsia="ja-JP"/>
              </w:rPr>
            </w:pPr>
            <w:r w:rsidRPr="00380B24">
              <w:rPr>
                <w:b/>
                <w:bCs/>
                <w:i/>
                <w:noProof/>
                <w:color w:val="000000" w:themeColor="text1"/>
                <w:sz w:val="20"/>
                <w:lang w:eastAsia="ja-JP"/>
              </w:rPr>
              <w:t>Effectiveness</w:t>
            </w:r>
          </w:p>
          <w:p w14:paraId="63D4A04E"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EQ4, ECCF</w:t>
            </w:r>
          </w:p>
        </w:tc>
        <w:tc>
          <w:tcPr>
            <w:tcW w:w="3753" w:type="pct"/>
            <w:gridSpan w:val="2"/>
            <w:shd w:val="clear" w:color="auto" w:fill="C6D9F1" w:themeFill="text2" w:themeFillTint="33"/>
          </w:tcPr>
          <w:p w14:paraId="6F16C1A0" w14:textId="77777777" w:rsidR="00B202FC" w:rsidRPr="00380B24" w:rsidRDefault="00B202FC">
            <w:pPr>
              <w:rPr>
                <w:b/>
                <w:bCs/>
                <w:noProof/>
                <w:color w:val="000000" w:themeColor="text1"/>
                <w:sz w:val="20"/>
                <w:lang w:eastAsia="ja-JP"/>
              </w:rPr>
            </w:pPr>
            <w:r w:rsidRPr="00380B24">
              <w:rPr>
                <w:b/>
                <w:bCs/>
                <w:noProof/>
                <w:color w:val="000000" w:themeColor="text1"/>
                <w:sz w:val="20"/>
                <w:lang w:eastAsia="ja-JP"/>
              </w:rPr>
              <w:t>What are the main gaps and challenges that have hindered the achievement of the objectives of the ECCF? Why?</w:t>
            </w:r>
          </w:p>
        </w:tc>
      </w:tr>
      <w:tr w:rsidR="00B202FC" w:rsidRPr="00380B24" w14:paraId="1DF9A5D1" w14:textId="77777777">
        <w:trPr>
          <w:trHeight w:val="229"/>
          <w:jc w:val="center"/>
        </w:trPr>
        <w:tc>
          <w:tcPr>
            <w:tcW w:w="5000" w:type="pct"/>
            <w:gridSpan w:val="3"/>
            <w:shd w:val="clear" w:color="auto" w:fill="F2F2F2"/>
          </w:tcPr>
          <w:p w14:paraId="76EDDB0E" w14:textId="77777777" w:rsidR="00B202FC" w:rsidRPr="00380B24" w:rsidRDefault="00B202FC">
            <w:pPr>
              <w:rPr>
                <w:b/>
                <w:caps/>
                <w:noProof/>
                <w:sz w:val="20"/>
                <w:lang w:eastAsia="ja-JP"/>
              </w:rPr>
            </w:pPr>
            <w:r w:rsidRPr="00380B24">
              <w:rPr>
                <w:b/>
                <w:caps/>
                <w:noProof/>
                <w:sz w:val="20"/>
                <w:lang w:eastAsia="ja-JP"/>
              </w:rPr>
              <w:t>Operational questions</w:t>
            </w:r>
          </w:p>
        </w:tc>
      </w:tr>
      <w:tr w:rsidR="00B202FC" w:rsidRPr="00380B24" w14:paraId="55F9566A" w14:textId="77777777">
        <w:trPr>
          <w:jc w:val="center"/>
        </w:trPr>
        <w:tc>
          <w:tcPr>
            <w:tcW w:w="5000" w:type="pct"/>
            <w:gridSpan w:val="3"/>
            <w:shd w:val="clear" w:color="auto" w:fill="F2F2F2"/>
          </w:tcPr>
          <w:p w14:paraId="0D5B14FA" w14:textId="77777777" w:rsidR="00B202FC" w:rsidRPr="00380B24" w:rsidRDefault="00B202FC" w:rsidP="00B202FC">
            <w:pPr>
              <w:numPr>
                <w:ilvl w:val="0"/>
                <w:numId w:val="166"/>
              </w:numPr>
              <w:spacing w:before="120" w:after="0"/>
              <w:contextualSpacing/>
              <w:rPr>
                <w:noProof/>
                <w:sz w:val="20"/>
                <w:lang w:eastAsia="ja-JP"/>
              </w:rPr>
            </w:pPr>
            <w:r w:rsidRPr="00380B24">
              <w:rPr>
                <w:noProof/>
                <w:sz w:val="20"/>
                <w:lang w:eastAsia="ja-JP"/>
              </w:rPr>
              <w:t xml:space="preserve">OQ1: Which administrative shortcomings have prevented the ECCF from achieving its objectives? Did these shortcomings appear or increase during the COVID-19 pandemic, following geopolitical tensions or the emergence of other EU policy priorities? </w:t>
            </w:r>
          </w:p>
          <w:p w14:paraId="7A406A52" w14:textId="77777777" w:rsidR="00B202FC" w:rsidRPr="00380B24" w:rsidRDefault="00B202FC" w:rsidP="00B202FC">
            <w:pPr>
              <w:numPr>
                <w:ilvl w:val="0"/>
                <w:numId w:val="166"/>
              </w:numPr>
              <w:spacing w:before="120" w:after="0"/>
              <w:contextualSpacing/>
              <w:rPr>
                <w:noProof/>
                <w:sz w:val="20"/>
                <w:lang w:eastAsia="ja-JP"/>
              </w:rPr>
            </w:pPr>
            <w:r w:rsidRPr="00380B24">
              <w:rPr>
                <w:noProof/>
                <w:sz w:val="20"/>
                <w:lang w:eastAsia="ja-JP"/>
              </w:rPr>
              <w:t xml:space="preserve">OQ2: Which legal shortcomings have prevented the ECCF from achieving its objectives? Did these shortcomings appear or increase during the COVID-19 pandemic, following geopolitical tensions or the emergence of other EU policy priorities? </w:t>
            </w:r>
          </w:p>
          <w:p w14:paraId="143BD223" w14:textId="77777777" w:rsidR="00B202FC" w:rsidRPr="00380B24" w:rsidRDefault="00B202FC" w:rsidP="00B202FC">
            <w:pPr>
              <w:numPr>
                <w:ilvl w:val="0"/>
                <w:numId w:val="166"/>
              </w:numPr>
              <w:spacing w:before="120" w:after="0"/>
              <w:contextualSpacing/>
              <w:rPr>
                <w:noProof/>
                <w:sz w:val="20"/>
                <w:lang w:eastAsia="ja-JP"/>
              </w:rPr>
            </w:pPr>
            <w:r w:rsidRPr="00380B24">
              <w:rPr>
                <w:noProof/>
                <w:sz w:val="20"/>
                <w:lang w:eastAsia="ja-JP"/>
              </w:rPr>
              <w:t xml:space="preserve">OQ3: Which operational shortcomings have prevented the ECCF from achieving its objectives? Did these shortcomings appear or increase during the COVID-19 pandemic, following geopolitical tensions or the emergence of other EU policy priorities? </w:t>
            </w:r>
          </w:p>
        </w:tc>
      </w:tr>
      <w:tr w:rsidR="00B202FC" w:rsidRPr="00380B24" w14:paraId="79C8C213" w14:textId="77777777">
        <w:trPr>
          <w:jc w:val="center"/>
        </w:trPr>
        <w:tc>
          <w:tcPr>
            <w:tcW w:w="5000" w:type="pct"/>
            <w:gridSpan w:val="3"/>
            <w:shd w:val="clear" w:color="auto" w:fill="F2F2F2"/>
          </w:tcPr>
          <w:p w14:paraId="59750835" w14:textId="77777777" w:rsidR="00B202FC" w:rsidRPr="00380B24" w:rsidRDefault="00B202FC">
            <w:pPr>
              <w:rPr>
                <w:noProof/>
                <w:sz w:val="20"/>
                <w:lang w:eastAsia="ja-JP"/>
              </w:rPr>
            </w:pPr>
            <w:r w:rsidRPr="00380B24">
              <w:rPr>
                <w:b/>
                <w:caps/>
                <w:noProof/>
                <w:sz w:val="20"/>
                <w:lang w:eastAsia="ja-JP"/>
              </w:rPr>
              <w:t>Judgement criteria and INDICATORS</w:t>
            </w:r>
          </w:p>
        </w:tc>
      </w:tr>
      <w:tr w:rsidR="00B202FC" w:rsidRPr="00380B24" w14:paraId="536FE35D" w14:textId="77777777">
        <w:trPr>
          <w:trHeight w:val="48"/>
          <w:jc w:val="center"/>
        </w:trPr>
        <w:tc>
          <w:tcPr>
            <w:tcW w:w="1935" w:type="pct"/>
            <w:gridSpan w:val="2"/>
            <w:shd w:val="clear" w:color="auto" w:fill="F2F2F2"/>
          </w:tcPr>
          <w:p w14:paraId="25CA5787" w14:textId="77777777" w:rsidR="00B202FC" w:rsidRPr="00380B24" w:rsidRDefault="00B202FC">
            <w:pPr>
              <w:spacing w:before="120"/>
              <w:rPr>
                <w:noProof/>
                <w:sz w:val="20"/>
                <w:lang w:eastAsia="ja-JP"/>
              </w:rPr>
            </w:pPr>
            <w:r w:rsidRPr="00380B24">
              <w:rPr>
                <w:noProof/>
                <w:sz w:val="20"/>
                <w:lang w:eastAsia="ja-JP"/>
              </w:rPr>
              <w:t>OQ1: Administrative barriers, such as time-consuming procedures and lack of effective decision-making tools as well as conflicting national certification procedures/requests</w:t>
            </w:r>
          </w:p>
        </w:tc>
        <w:tc>
          <w:tcPr>
            <w:tcW w:w="3065" w:type="pct"/>
            <w:shd w:val="clear" w:color="auto" w:fill="F2F2F2"/>
          </w:tcPr>
          <w:p w14:paraId="5E8C9D00" w14:textId="77777777" w:rsidR="00B202FC" w:rsidRPr="00380B24" w:rsidRDefault="00B202FC">
            <w:pPr>
              <w:spacing w:before="120"/>
              <w:rPr>
                <w:noProof/>
                <w:sz w:val="20"/>
                <w:lang w:eastAsia="ja-JP"/>
              </w:rPr>
            </w:pPr>
            <w:r w:rsidRPr="00380B24">
              <w:rPr>
                <w:noProof/>
                <w:sz w:val="20"/>
                <w:lang w:eastAsia="ja-JP"/>
              </w:rPr>
              <w:t>Number of administrative procedures initiated and finalised; type of shortcomings in decision-making highlighted by participants in the ECCF (in particular ENISA, Member States and the Commission)</w:t>
            </w:r>
          </w:p>
        </w:tc>
      </w:tr>
      <w:tr w:rsidR="00B202FC" w:rsidRPr="00380B24" w14:paraId="02DFD339" w14:textId="77777777">
        <w:trPr>
          <w:trHeight w:val="44"/>
          <w:jc w:val="center"/>
        </w:trPr>
        <w:tc>
          <w:tcPr>
            <w:tcW w:w="1935" w:type="pct"/>
            <w:gridSpan w:val="2"/>
            <w:shd w:val="clear" w:color="auto" w:fill="F2F2F2"/>
          </w:tcPr>
          <w:p w14:paraId="067242E0" w14:textId="77777777" w:rsidR="00B202FC" w:rsidRPr="00380B24" w:rsidRDefault="00B202FC">
            <w:pPr>
              <w:spacing w:before="120"/>
              <w:rPr>
                <w:noProof/>
                <w:sz w:val="20"/>
                <w:lang w:eastAsia="ja-JP"/>
              </w:rPr>
            </w:pPr>
            <w:r w:rsidRPr="00380B24">
              <w:rPr>
                <w:noProof/>
                <w:sz w:val="20"/>
                <w:lang w:eastAsia="ja-JP"/>
              </w:rPr>
              <w:t>OQ2: Legal barriers, such as national legal frameworks and requirements hindering the adoption of EU cybersecurity certification schemes</w:t>
            </w:r>
          </w:p>
        </w:tc>
        <w:tc>
          <w:tcPr>
            <w:tcW w:w="3065" w:type="pct"/>
            <w:shd w:val="clear" w:color="auto" w:fill="F2F2F2"/>
          </w:tcPr>
          <w:p w14:paraId="687C47EA" w14:textId="77777777" w:rsidR="00B202FC" w:rsidRPr="00380B24" w:rsidRDefault="00B202FC">
            <w:pPr>
              <w:spacing w:before="120"/>
              <w:rPr>
                <w:noProof/>
                <w:sz w:val="20"/>
                <w:lang w:eastAsia="ja-JP"/>
              </w:rPr>
            </w:pPr>
            <w:r w:rsidRPr="00380B24">
              <w:rPr>
                <w:noProof/>
                <w:sz w:val="20"/>
                <w:lang w:eastAsia="ja-JP"/>
              </w:rPr>
              <w:t>Number of initiated and finalised legal acts, including implementing law, at both EU and national level; type of shortcomings highlighted by participants in the ECCF (in particular ENISA, Member States and the Commission, SCCG members)</w:t>
            </w:r>
          </w:p>
        </w:tc>
      </w:tr>
      <w:tr w:rsidR="00B202FC" w:rsidRPr="00380B24" w14:paraId="45533753" w14:textId="77777777">
        <w:trPr>
          <w:trHeight w:val="44"/>
          <w:jc w:val="center"/>
        </w:trPr>
        <w:tc>
          <w:tcPr>
            <w:tcW w:w="1935" w:type="pct"/>
            <w:gridSpan w:val="2"/>
            <w:shd w:val="clear" w:color="auto" w:fill="F2F2F2"/>
          </w:tcPr>
          <w:p w14:paraId="5FB6E4CE" w14:textId="77777777" w:rsidR="00B202FC" w:rsidRPr="00380B24" w:rsidRDefault="00B202FC">
            <w:pPr>
              <w:spacing w:before="120"/>
              <w:rPr>
                <w:noProof/>
                <w:sz w:val="20"/>
                <w:lang w:eastAsia="ja-JP"/>
              </w:rPr>
            </w:pPr>
            <w:r w:rsidRPr="00380B24">
              <w:rPr>
                <w:noProof/>
                <w:sz w:val="20"/>
                <w:lang w:eastAsia="ja-JP"/>
              </w:rPr>
              <w:t>OQ3: Operational barriers, such as the lack of online platforms and adequate collaboration tools</w:t>
            </w:r>
          </w:p>
        </w:tc>
        <w:tc>
          <w:tcPr>
            <w:tcW w:w="3065" w:type="pct"/>
            <w:shd w:val="clear" w:color="auto" w:fill="F2F2F2"/>
          </w:tcPr>
          <w:p w14:paraId="0674AE66" w14:textId="77777777" w:rsidR="00B202FC" w:rsidRPr="00380B24" w:rsidRDefault="00B202FC">
            <w:pPr>
              <w:spacing w:before="120"/>
              <w:rPr>
                <w:noProof/>
                <w:sz w:val="20"/>
                <w:lang w:eastAsia="ja-JP"/>
              </w:rPr>
            </w:pPr>
            <w:r w:rsidRPr="00380B24">
              <w:rPr>
                <w:noProof/>
                <w:sz w:val="20"/>
                <w:lang w:eastAsia="ja-JP"/>
              </w:rPr>
              <w:t>Number and type of exchanges allowed by existing collaboration tools; type of shortcomings in operational tools highlighted by participants in the ECCF (in particular ENISA, Member States and the Commission)</w:t>
            </w:r>
          </w:p>
        </w:tc>
      </w:tr>
      <w:tr w:rsidR="00B202FC" w:rsidRPr="00380B24" w14:paraId="1D881AA9" w14:textId="77777777">
        <w:trPr>
          <w:jc w:val="center"/>
        </w:trPr>
        <w:tc>
          <w:tcPr>
            <w:tcW w:w="5000" w:type="pct"/>
            <w:gridSpan w:val="3"/>
            <w:shd w:val="clear" w:color="auto" w:fill="F2F2F2"/>
          </w:tcPr>
          <w:p w14:paraId="247E54CE" w14:textId="77777777" w:rsidR="00B202FC" w:rsidRPr="00380B24" w:rsidRDefault="00B202FC">
            <w:pPr>
              <w:rPr>
                <w:noProof/>
                <w:sz w:val="20"/>
                <w:lang w:eastAsia="ja-JP"/>
              </w:rPr>
            </w:pPr>
            <w:r w:rsidRPr="00380B24">
              <w:rPr>
                <w:b/>
                <w:caps/>
                <w:noProof/>
                <w:sz w:val="20"/>
                <w:lang w:eastAsia="ja-JP"/>
              </w:rPr>
              <w:t>Data sources</w:t>
            </w:r>
          </w:p>
        </w:tc>
      </w:tr>
      <w:tr w:rsidR="00B202FC" w:rsidRPr="00380B24" w14:paraId="6FD98169" w14:textId="77777777">
        <w:trPr>
          <w:jc w:val="center"/>
        </w:trPr>
        <w:tc>
          <w:tcPr>
            <w:tcW w:w="5000" w:type="pct"/>
            <w:gridSpan w:val="3"/>
            <w:shd w:val="clear" w:color="auto" w:fill="F2F2F2"/>
          </w:tcPr>
          <w:p w14:paraId="0973853D" w14:textId="77777777" w:rsidR="00B202FC" w:rsidRPr="00380B24" w:rsidRDefault="00B202FC" w:rsidP="00B202FC">
            <w:pPr>
              <w:numPr>
                <w:ilvl w:val="0"/>
                <w:numId w:val="167"/>
              </w:numPr>
              <w:spacing w:before="120" w:after="0"/>
              <w:contextualSpacing/>
              <w:rPr>
                <w:noProof/>
                <w:sz w:val="20"/>
                <w:lang w:eastAsia="ja-JP"/>
              </w:rPr>
            </w:pPr>
            <w:r w:rsidRPr="00380B24">
              <w:rPr>
                <w:noProof/>
                <w:sz w:val="20"/>
                <w:lang w:eastAsia="ja-JP"/>
              </w:rPr>
              <w:t>Desk research</w:t>
            </w:r>
          </w:p>
          <w:p w14:paraId="2FCB1F59" w14:textId="77777777" w:rsidR="00B202FC" w:rsidRPr="00380B24" w:rsidRDefault="00B202FC" w:rsidP="00B202FC">
            <w:pPr>
              <w:numPr>
                <w:ilvl w:val="0"/>
                <w:numId w:val="167"/>
              </w:numPr>
              <w:spacing w:before="120" w:after="0"/>
              <w:contextualSpacing/>
              <w:rPr>
                <w:noProof/>
                <w:sz w:val="20"/>
                <w:lang w:eastAsia="ja-JP"/>
              </w:rPr>
            </w:pPr>
            <w:r w:rsidRPr="00380B24">
              <w:rPr>
                <w:noProof/>
                <w:sz w:val="20"/>
                <w:lang w:eastAsia="ja-JP"/>
              </w:rPr>
              <w:t>Interviews</w:t>
            </w:r>
          </w:p>
          <w:p w14:paraId="1E7E56ED" w14:textId="77777777" w:rsidR="00B202FC" w:rsidRPr="00380B24" w:rsidRDefault="00B202FC" w:rsidP="00B202FC">
            <w:pPr>
              <w:numPr>
                <w:ilvl w:val="0"/>
                <w:numId w:val="167"/>
              </w:numPr>
              <w:spacing w:before="120" w:after="0"/>
              <w:contextualSpacing/>
              <w:rPr>
                <w:noProof/>
                <w:sz w:val="20"/>
                <w:lang w:eastAsia="ja-JP"/>
              </w:rPr>
            </w:pPr>
            <w:r w:rsidRPr="00380B24">
              <w:rPr>
                <w:noProof/>
                <w:sz w:val="20"/>
                <w:lang w:eastAsia="ja-JP"/>
              </w:rPr>
              <w:t>Survey</w:t>
            </w:r>
          </w:p>
        </w:tc>
      </w:tr>
    </w:tbl>
    <w:p w14:paraId="795FE37F" w14:textId="77777777" w:rsidR="00D52AD8" w:rsidRPr="00C57110" w:rsidRDefault="00D52AD8" w:rsidP="00D52AD8">
      <w:pPr>
        <w:rPr>
          <w:noProof/>
          <w:sz w:val="20"/>
          <w:szCs w:val="20"/>
        </w:rPr>
      </w:pPr>
      <w:bookmarkStart w:id="514" w:name="_Toc138265008"/>
      <w:bookmarkStart w:id="515" w:name="_Toc151458063"/>
      <w:bookmarkStart w:id="516" w:name="_Toc152321590"/>
      <w:bookmarkStart w:id="517" w:name="_Toc152513850"/>
      <w:bookmarkStart w:id="518" w:name="_Toc152592636"/>
      <w:bookmarkStart w:id="519" w:name="_Toc165880397"/>
      <w:bookmarkStart w:id="520" w:name="_Toc168425941"/>
      <w:bookmarkStart w:id="521" w:name="_Toc173138007"/>
      <w:bookmarkStart w:id="522" w:name="_Toc173138094"/>
      <w:bookmarkStart w:id="523" w:name="_Toc173520888"/>
      <w:bookmarkStart w:id="524" w:name="_Toc173524273"/>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3E89DF82" w14:textId="77777777">
        <w:tc>
          <w:tcPr>
            <w:tcW w:w="5000" w:type="pct"/>
            <w:shd w:val="clear" w:color="auto" w:fill="C6D9F1" w:themeFill="text2" w:themeFillTint="33"/>
          </w:tcPr>
          <w:bookmarkEnd w:id="514"/>
          <w:bookmarkEnd w:id="515"/>
          <w:bookmarkEnd w:id="516"/>
          <w:bookmarkEnd w:id="517"/>
          <w:bookmarkEnd w:id="518"/>
          <w:bookmarkEnd w:id="519"/>
          <w:bookmarkEnd w:id="520"/>
          <w:bookmarkEnd w:id="521"/>
          <w:bookmarkEnd w:id="522"/>
          <w:bookmarkEnd w:id="523"/>
          <w:bookmarkEnd w:id="524"/>
          <w:p w14:paraId="5A81BF04" w14:textId="77777777" w:rsidR="00B202FC" w:rsidRPr="00380B24" w:rsidRDefault="00B202FC">
            <w:pPr>
              <w:rPr>
                <w:rFonts w:ascii="Arial" w:eastAsia="Arial" w:hAnsi="Arial" w:cs="Arial"/>
                <w:b/>
                <w:noProof/>
                <w:color w:val="000000" w:themeColor="text1"/>
                <w:sz w:val="20"/>
              </w:rPr>
            </w:pPr>
            <w:r w:rsidRPr="00380B24">
              <w:rPr>
                <w:b/>
                <w:bCs/>
                <w:i/>
                <w:noProof/>
                <w:color w:val="000000" w:themeColor="text1"/>
                <w:sz w:val="20"/>
                <w:lang w:eastAsia="ja-JP"/>
              </w:rPr>
              <w:t>Evaluation results</w:t>
            </w:r>
          </w:p>
        </w:tc>
      </w:tr>
      <w:tr w:rsidR="00B202FC" w:rsidRPr="00380B24" w14:paraId="080D0D51" w14:textId="77777777">
        <w:trPr>
          <w:trHeight w:val="1211"/>
        </w:trPr>
        <w:tc>
          <w:tcPr>
            <w:tcW w:w="5000" w:type="pct"/>
            <w:shd w:val="clear" w:color="auto" w:fill="F2F2F2" w:themeFill="background1" w:themeFillShade="F2"/>
          </w:tcPr>
          <w:p w14:paraId="4A505D03" w14:textId="77777777" w:rsidR="00B202FC" w:rsidRPr="00380B24" w:rsidRDefault="00B202FC">
            <w:pPr>
              <w:rPr>
                <w:rFonts w:ascii="Arial" w:eastAsia="Arial" w:hAnsi="Arial" w:cs="Arial"/>
                <w:noProof/>
                <w:sz w:val="20"/>
              </w:rPr>
            </w:pPr>
            <w:r w:rsidRPr="00380B24">
              <w:rPr>
                <w:noProof/>
                <w:sz w:val="20"/>
                <w:lang w:eastAsia="ja-JP"/>
              </w:rPr>
              <w:t>The ECCF made a modest contribution to enhancing the cybersecurity capabilities of Member States and private companies. National authorities recognised the ECCF’s support in developing national cybersecurity certification capabilities but highlighted significant resource disparities between Member States. ENISA reported staffing difficulties, mainly related to turnover and the limited number of personnel available to carry out all activities arising from new schemes, including in Member States. Delays in the adoption of certification schemes caused by disagreements between Member States, legal complications, politicisation and coordination issues, negatively affected the ECCF’s effectiveness, thus impacting the achievement of its objectives. Despite these obstacles, the ECCF strengthened cooperation and coordination between Member States and EU institutions in cybersecurity certification.</w:t>
            </w:r>
          </w:p>
        </w:tc>
      </w:tr>
    </w:tbl>
    <w:p w14:paraId="77C48C01" w14:textId="77777777" w:rsidR="00B202FC" w:rsidRPr="00380B24" w:rsidRDefault="00B202FC" w:rsidP="0019266B">
      <w:pPr>
        <w:pStyle w:val="Heading3"/>
        <w:spacing w:before="240"/>
        <w:ind w:left="1922"/>
        <w:rPr>
          <w:noProof/>
          <w:lang w:eastAsia="ja-JP"/>
        </w:rPr>
      </w:pPr>
      <w:bookmarkStart w:id="525" w:name="_Toc218702623"/>
      <w:bookmarkStart w:id="526" w:name="_Toc219039546"/>
      <w:bookmarkStart w:id="527" w:name="_Toc219447449"/>
      <w:r w:rsidRPr="00380B24">
        <w:rPr>
          <w:noProof/>
          <w:lang w:eastAsia="ja-JP"/>
        </w:rPr>
        <w:t>Efficiency</w:t>
      </w:r>
      <w:bookmarkEnd w:id="525"/>
      <w:bookmarkEnd w:id="526"/>
      <w:bookmarkEnd w:id="527"/>
    </w:p>
    <w:p w14:paraId="4A3BE951" w14:textId="77777777" w:rsidR="00B202FC" w:rsidRPr="00380B24" w:rsidRDefault="00B202FC" w:rsidP="00B202FC">
      <w:pPr>
        <w:spacing w:before="120"/>
        <w:rPr>
          <w:rFonts w:eastAsia="Arial"/>
          <w:noProof/>
          <w:lang w:eastAsia="ja-JP"/>
        </w:rPr>
      </w:pPr>
      <w:r w:rsidRPr="00380B24">
        <w:rPr>
          <w:rFonts w:eastAsia="Arial"/>
          <w:noProof/>
          <w:lang w:eastAsia="ja-JP"/>
        </w:rPr>
        <w:t>Efficiency-related questions examine the resources invested in relation to the changes generated by the measure. This involves assessing the inputs against the outputs, results and impacts, essentially weighing costs against benefits. The efficiency evaluation explored the costs associated with the EU measure as they affect various stakeholder groups, along with the factors influencing these costs and their connection to ENISA and the ECCF.</w:t>
      </w:r>
    </w:p>
    <w:p w14:paraId="77729214" w14:textId="77777777" w:rsidR="00B202FC" w:rsidRPr="00380B24" w:rsidRDefault="00B202FC" w:rsidP="00B202FC">
      <w:pPr>
        <w:spacing w:before="120"/>
        <w:rPr>
          <w:rFonts w:eastAsia="Arial"/>
          <w:noProof/>
          <w:lang w:eastAsia="ja-JP"/>
        </w:rPr>
      </w:pPr>
      <w:r w:rsidRPr="00380B24">
        <w:rPr>
          <w:rFonts w:eastAsia="Arial"/>
          <w:noProof/>
          <w:lang w:eastAsia="ja-JP"/>
        </w:rPr>
        <w:t>This evaluation was conducted based on the outcomes experienced by different stakeholder groups, as identified in the effectiveness analysis. Where feasible, these outputs were quantified. The analysis also acknowledged that while costs may initially outweigh benefits, net benefits could emerge over time, particularly given ENISA’s recently extended mandate and the early-stage development of the ECCF.</w:t>
      </w:r>
    </w:p>
    <w:p w14:paraId="015AF850" w14:textId="77777777" w:rsidR="00B202FC" w:rsidRPr="00380B24" w:rsidRDefault="00B202FC" w:rsidP="00B202FC">
      <w:pPr>
        <w:spacing w:before="120"/>
        <w:rPr>
          <w:rFonts w:eastAsia="Arial"/>
          <w:noProof/>
          <w:lang w:eastAsia="ja-JP"/>
        </w:rPr>
      </w:pPr>
      <w:r w:rsidRPr="00380B24">
        <w:rPr>
          <w:rFonts w:eastAsia="Arial"/>
          <w:noProof/>
          <w:lang w:eastAsia="ja-JP"/>
        </w:rPr>
        <w:t>The overall conclusions drawn from the efficiency questions provided insight into whether the resources allocated to ENISA’s activities and the implementation of the ECCF are being used optimally and are necessary to achieve the measure’s objectives. Where findings indicated inefficiencies, opportunities for simplification and burden reduction were identified and examined. Where applicable, the evaluation also highlighted areas with the potential for improving efficiency and streamlining the design and implementation of the measure.</w:t>
      </w:r>
    </w:p>
    <w:p w14:paraId="46C85996" w14:textId="77777777" w:rsidR="00D52AD8" w:rsidRPr="00C57110" w:rsidRDefault="00D52AD8" w:rsidP="00D52AD8">
      <w:pPr>
        <w:spacing w:before="120"/>
        <w:rPr>
          <w:rFonts w:eastAsia="Arial"/>
          <w:noProof/>
          <w:lang w:eastAsia="ja-JP"/>
        </w:rPr>
      </w:pPr>
      <w:r w:rsidRPr="00C57110">
        <w:rPr>
          <w:rFonts w:eastAsia="Arial"/>
          <w:noProof/>
          <w:lang w:eastAsia="ja-JP"/>
        </w:rPr>
        <w:t>The tables below outline the structure of the evaluation matrix. Findings are presented separately for ENISA and the ECCF.</w:t>
      </w:r>
    </w:p>
    <w:p w14:paraId="0F21AAAF" w14:textId="77777777" w:rsidR="00D52AD8" w:rsidRPr="00C57110" w:rsidRDefault="00D52AD8" w:rsidP="00D52AD8">
      <w:pPr>
        <w:spacing w:before="120"/>
        <w:rPr>
          <w:rFonts w:eastAsia="Arial"/>
          <w:b/>
          <w:bCs/>
          <w:noProof/>
          <w:lang w:eastAsia="ja-JP"/>
        </w:rPr>
      </w:pPr>
      <w:r w:rsidRPr="00C57110">
        <w:rPr>
          <w:rFonts w:eastAsia="Arial"/>
          <w:b/>
          <w:bCs/>
          <w:noProof/>
          <w:lang w:eastAsia="ja-JP"/>
        </w:rPr>
        <w:t>ENISA</w:t>
      </w: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25"/>
        <w:gridCol w:w="3206"/>
        <w:gridCol w:w="7543"/>
      </w:tblGrid>
      <w:tr w:rsidR="00B202FC" w:rsidRPr="00380B24" w14:paraId="3962637A"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08" w:type="pct"/>
            <w:shd w:val="clear" w:color="auto" w:fill="C6D9F1" w:themeFill="text2" w:themeFillTint="33"/>
          </w:tcPr>
          <w:p w14:paraId="538B4BCB"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21E786C3"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792" w:type="pct"/>
            <w:gridSpan w:val="2"/>
            <w:shd w:val="clear" w:color="auto" w:fill="C6D9F1" w:themeFill="text2" w:themeFillTint="33"/>
          </w:tcPr>
          <w:p w14:paraId="4A299C6A"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has ENISA been efficient in implementing the tasks set out in its mandate as laid down in its Regulation?</w:t>
            </w:r>
          </w:p>
        </w:tc>
      </w:tr>
      <w:tr w:rsidR="00B202FC" w:rsidRPr="00380B24" w14:paraId="22A84CDD" w14:textId="77777777">
        <w:trPr>
          <w:trHeight w:val="229"/>
          <w:jc w:val="center"/>
        </w:trPr>
        <w:tc>
          <w:tcPr>
            <w:tcW w:w="5000" w:type="pct"/>
            <w:gridSpan w:val="3"/>
            <w:shd w:val="clear" w:color="auto" w:fill="F2F2F2"/>
          </w:tcPr>
          <w:p w14:paraId="0E8F186A"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659EEE7B" w14:textId="77777777">
        <w:trPr>
          <w:jc w:val="center"/>
        </w:trPr>
        <w:tc>
          <w:tcPr>
            <w:tcW w:w="5000" w:type="pct"/>
            <w:gridSpan w:val="3"/>
            <w:shd w:val="clear" w:color="auto" w:fill="F2F2F2"/>
          </w:tcPr>
          <w:p w14:paraId="2D997029" w14:textId="77777777" w:rsidR="00B202FC" w:rsidRPr="00380B24" w:rsidRDefault="00B202FC" w:rsidP="00B202FC">
            <w:pPr>
              <w:numPr>
                <w:ilvl w:val="0"/>
                <w:numId w:val="148"/>
              </w:numPr>
              <w:spacing w:before="40" w:after="40"/>
              <w:contextualSpacing/>
              <w:rPr>
                <w:noProof/>
                <w:sz w:val="20"/>
                <w:lang w:eastAsia="ja-JP"/>
              </w:rPr>
            </w:pPr>
            <w:r w:rsidRPr="00380B24">
              <w:rPr>
                <w:bCs/>
                <w:noProof/>
                <w:sz w:val="20"/>
                <w:lang w:eastAsia="ja-JP"/>
              </w:rPr>
              <w:t>OQ1: Have the resources allocated to ENISA been sufficient for the pursuit of its tasks (input/output analysis)?</w:t>
            </w:r>
            <w:r w:rsidRPr="00380B24">
              <w:rPr>
                <w:noProof/>
                <w:sz w:val="20"/>
                <w:lang w:eastAsia="ja-JP"/>
              </w:rPr>
              <w:t xml:space="preserve"> To what extent has the execution of the tasks been effectively resourced?</w:t>
            </w:r>
          </w:p>
          <w:p w14:paraId="72709F5F" w14:textId="77777777" w:rsidR="00B202FC" w:rsidRPr="00380B24" w:rsidRDefault="00B202FC" w:rsidP="00B202FC">
            <w:pPr>
              <w:numPr>
                <w:ilvl w:val="0"/>
                <w:numId w:val="148"/>
              </w:numPr>
              <w:spacing w:before="40" w:after="40"/>
              <w:contextualSpacing/>
              <w:rPr>
                <w:noProof/>
                <w:sz w:val="20"/>
                <w:lang w:eastAsia="ja-JP"/>
              </w:rPr>
            </w:pPr>
            <w:r w:rsidRPr="00380B24">
              <w:rPr>
                <w:bCs/>
                <w:noProof/>
                <w:sz w:val="20"/>
                <w:lang w:eastAsia="ja-JP"/>
              </w:rPr>
              <w:t xml:space="preserve">OQ2: Were the annual budgets of ENISA implemented in an efficient way considering the results achieved? </w:t>
            </w:r>
          </w:p>
        </w:tc>
      </w:tr>
      <w:tr w:rsidR="00B202FC" w:rsidRPr="00380B24" w14:paraId="4BBE2B93" w14:textId="77777777">
        <w:trPr>
          <w:jc w:val="center"/>
        </w:trPr>
        <w:tc>
          <w:tcPr>
            <w:tcW w:w="5000" w:type="pct"/>
            <w:gridSpan w:val="3"/>
            <w:shd w:val="clear" w:color="auto" w:fill="F2F2F2"/>
          </w:tcPr>
          <w:p w14:paraId="1D2FBEFA"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757BD04F" w14:textId="77777777">
        <w:trPr>
          <w:trHeight w:val="156"/>
          <w:jc w:val="center"/>
        </w:trPr>
        <w:tc>
          <w:tcPr>
            <w:tcW w:w="2339" w:type="pct"/>
            <w:gridSpan w:val="2"/>
            <w:shd w:val="clear" w:color="auto" w:fill="F2F2F2"/>
          </w:tcPr>
          <w:p w14:paraId="599A8D6D" w14:textId="77777777" w:rsidR="00B202FC" w:rsidRPr="00380B24" w:rsidRDefault="00B202FC">
            <w:pPr>
              <w:spacing w:before="40" w:after="40"/>
              <w:rPr>
                <w:noProof/>
                <w:sz w:val="20"/>
                <w:lang w:eastAsia="ja-JP"/>
              </w:rPr>
            </w:pPr>
            <w:r w:rsidRPr="00380B24">
              <w:rPr>
                <w:noProof/>
                <w:sz w:val="20"/>
                <w:lang w:eastAsia="ja-JP"/>
              </w:rPr>
              <w:t>OQ1: The extent to which the resources allocated to ENISA have been sufficient for the pursuit of its individual tasks</w:t>
            </w:r>
          </w:p>
        </w:tc>
        <w:tc>
          <w:tcPr>
            <w:tcW w:w="2661" w:type="pct"/>
            <w:shd w:val="clear" w:color="auto" w:fill="F2F2F2"/>
          </w:tcPr>
          <w:p w14:paraId="19308570" w14:textId="77777777" w:rsidR="00B202FC" w:rsidRPr="00380B24" w:rsidRDefault="00B202FC">
            <w:pPr>
              <w:spacing w:before="40" w:after="40"/>
              <w:rPr>
                <w:noProof/>
                <w:sz w:val="20"/>
                <w:lang w:eastAsia="ja-JP"/>
              </w:rPr>
            </w:pPr>
            <w:r w:rsidRPr="00380B24">
              <w:rPr>
                <w:noProof/>
                <w:sz w:val="20"/>
                <w:lang w:eastAsia="ja-JP"/>
              </w:rPr>
              <w:t xml:space="preserve">Title II commitment and paid budget share; opinions of ENISA staff and EC officials on the extent to which individual tasks were effectively resourced </w:t>
            </w:r>
          </w:p>
        </w:tc>
      </w:tr>
      <w:tr w:rsidR="00B202FC" w:rsidRPr="00380B24" w14:paraId="760435EF" w14:textId="77777777">
        <w:trPr>
          <w:trHeight w:val="156"/>
          <w:jc w:val="center"/>
        </w:trPr>
        <w:tc>
          <w:tcPr>
            <w:tcW w:w="2339" w:type="pct"/>
            <w:gridSpan w:val="2"/>
            <w:shd w:val="clear" w:color="auto" w:fill="F2F2F2"/>
          </w:tcPr>
          <w:p w14:paraId="29F35080" w14:textId="77777777" w:rsidR="00B202FC" w:rsidRPr="00380B24" w:rsidRDefault="00B202FC">
            <w:pPr>
              <w:spacing w:before="40" w:after="40"/>
              <w:rPr>
                <w:noProof/>
                <w:sz w:val="20"/>
                <w:lang w:eastAsia="ja-JP"/>
              </w:rPr>
            </w:pPr>
            <w:r w:rsidRPr="00380B24">
              <w:rPr>
                <w:noProof/>
                <w:sz w:val="20"/>
                <w:lang w:eastAsia="ja-JP"/>
              </w:rPr>
              <w:t>OQ2: The annual budget of ENISA has been implemented efficiently</w:t>
            </w:r>
          </w:p>
        </w:tc>
        <w:tc>
          <w:tcPr>
            <w:tcW w:w="2661" w:type="pct"/>
            <w:shd w:val="clear" w:color="auto" w:fill="F2F2F2"/>
          </w:tcPr>
          <w:p w14:paraId="76640441" w14:textId="77777777" w:rsidR="00B202FC" w:rsidRPr="00380B24" w:rsidRDefault="00B202FC">
            <w:pPr>
              <w:spacing w:before="40" w:after="40"/>
              <w:rPr>
                <w:noProof/>
                <w:sz w:val="20"/>
                <w:lang w:eastAsia="ja-JP"/>
              </w:rPr>
            </w:pPr>
            <w:r w:rsidRPr="00380B24">
              <w:rPr>
                <w:noProof/>
                <w:sz w:val="20"/>
                <w:lang w:eastAsia="ja-JP"/>
              </w:rPr>
              <w:t>ENISA commitment and paid budget; annual budget implementation targets</w:t>
            </w:r>
          </w:p>
        </w:tc>
      </w:tr>
      <w:tr w:rsidR="00B202FC" w:rsidRPr="00380B24" w14:paraId="08FC76C7" w14:textId="77777777">
        <w:trPr>
          <w:jc w:val="center"/>
        </w:trPr>
        <w:tc>
          <w:tcPr>
            <w:tcW w:w="5000" w:type="pct"/>
            <w:gridSpan w:val="3"/>
            <w:shd w:val="clear" w:color="auto" w:fill="F2F2F2"/>
          </w:tcPr>
          <w:p w14:paraId="1A9609A3"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3F67EE4A" w14:textId="77777777">
        <w:trPr>
          <w:jc w:val="center"/>
        </w:trPr>
        <w:tc>
          <w:tcPr>
            <w:tcW w:w="5000" w:type="pct"/>
            <w:gridSpan w:val="3"/>
            <w:shd w:val="clear" w:color="auto" w:fill="F2F2F2"/>
          </w:tcPr>
          <w:p w14:paraId="58656B7C" w14:textId="77777777" w:rsidR="00B202FC" w:rsidRPr="00380B24" w:rsidRDefault="00B202FC" w:rsidP="00B202FC">
            <w:pPr>
              <w:numPr>
                <w:ilvl w:val="0"/>
                <w:numId w:val="148"/>
              </w:numPr>
              <w:spacing w:before="40" w:after="40"/>
              <w:contextualSpacing/>
              <w:rPr>
                <w:noProof/>
                <w:sz w:val="20"/>
                <w:lang w:eastAsia="ja-JP"/>
              </w:rPr>
            </w:pPr>
            <w:r w:rsidRPr="00380B24">
              <w:rPr>
                <w:noProof/>
                <w:sz w:val="20"/>
                <w:lang w:eastAsia="ja-JP"/>
              </w:rPr>
              <w:t>Desk research</w:t>
            </w:r>
          </w:p>
          <w:p w14:paraId="45D960EB" w14:textId="77777777" w:rsidR="00B202FC" w:rsidRPr="00380B24" w:rsidRDefault="00B202FC" w:rsidP="00B202FC">
            <w:pPr>
              <w:numPr>
                <w:ilvl w:val="0"/>
                <w:numId w:val="148"/>
              </w:numPr>
              <w:spacing w:before="40" w:after="40"/>
              <w:contextualSpacing/>
              <w:rPr>
                <w:noProof/>
                <w:sz w:val="20"/>
                <w:lang w:eastAsia="ja-JP"/>
              </w:rPr>
            </w:pPr>
            <w:r w:rsidRPr="00380B24">
              <w:rPr>
                <w:bCs/>
                <w:noProof/>
                <w:sz w:val="20"/>
                <w:lang w:eastAsia="ja-JP"/>
              </w:rPr>
              <w:t>Interviews</w:t>
            </w:r>
          </w:p>
        </w:tc>
      </w:tr>
    </w:tbl>
    <w:p w14:paraId="112D5B56" w14:textId="77777777" w:rsidR="00B202FC" w:rsidRPr="00380B24" w:rsidRDefault="00B202FC" w:rsidP="00B202FC">
      <w:pPr>
        <w:spacing w:before="40" w:after="40"/>
        <w:rPr>
          <w:rFonts w:eastAsia="Arial"/>
          <w:noProof/>
          <w:sz w:val="20"/>
          <w:szCs w:val="20"/>
          <w:lang w:eastAsia="ja-JP"/>
        </w:rPr>
      </w:pP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27"/>
        <w:gridCol w:w="3677"/>
        <w:gridCol w:w="7070"/>
      </w:tblGrid>
      <w:tr w:rsidR="00B202FC" w:rsidRPr="00380B24" w14:paraId="06D9BAA6"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09" w:type="pct"/>
            <w:shd w:val="clear" w:color="auto" w:fill="C6D9F1" w:themeFill="text2" w:themeFillTint="33"/>
          </w:tcPr>
          <w:p w14:paraId="1415AC8A"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1E88E9C0"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791" w:type="pct"/>
            <w:gridSpan w:val="2"/>
            <w:shd w:val="clear" w:color="auto" w:fill="C6D9F1" w:themeFill="text2" w:themeFillTint="33"/>
          </w:tcPr>
          <w:p w14:paraId="057C2666"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has ENISA adapted to periods of high workload?</w:t>
            </w:r>
          </w:p>
        </w:tc>
      </w:tr>
      <w:tr w:rsidR="00B202FC" w:rsidRPr="00380B24" w14:paraId="728348D5" w14:textId="77777777">
        <w:trPr>
          <w:trHeight w:val="229"/>
          <w:jc w:val="center"/>
        </w:trPr>
        <w:tc>
          <w:tcPr>
            <w:tcW w:w="5000" w:type="pct"/>
            <w:gridSpan w:val="3"/>
            <w:shd w:val="clear" w:color="auto" w:fill="F2F2F2"/>
          </w:tcPr>
          <w:p w14:paraId="69DA307E"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6178ECBE" w14:textId="77777777">
        <w:trPr>
          <w:jc w:val="center"/>
        </w:trPr>
        <w:tc>
          <w:tcPr>
            <w:tcW w:w="5000" w:type="pct"/>
            <w:gridSpan w:val="3"/>
            <w:shd w:val="clear" w:color="auto" w:fill="F2F2F2"/>
          </w:tcPr>
          <w:p w14:paraId="318E0545" w14:textId="77777777" w:rsidR="00B202FC" w:rsidRPr="00380B24" w:rsidRDefault="00B202FC" w:rsidP="00B202FC">
            <w:pPr>
              <w:numPr>
                <w:ilvl w:val="0"/>
                <w:numId w:val="149"/>
              </w:numPr>
              <w:spacing w:before="40" w:after="40"/>
              <w:contextualSpacing/>
              <w:rPr>
                <w:noProof/>
                <w:sz w:val="20"/>
                <w:lang w:eastAsia="ja-JP"/>
              </w:rPr>
            </w:pPr>
            <w:r w:rsidRPr="00380B24">
              <w:rPr>
                <w:bCs/>
                <w:noProof/>
                <w:sz w:val="20"/>
                <w:lang w:eastAsia="ja-JP"/>
              </w:rPr>
              <w:t xml:space="preserve">OQ1: What were the periods of high workload during the evaluation period? </w:t>
            </w:r>
          </w:p>
          <w:p w14:paraId="306D0581" w14:textId="77777777" w:rsidR="00B202FC" w:rsidRPr="00380B24" w:rsidRDefault="00B202FC" w:rsidP="00B202FC">
            <w:pPr>
              <w:numPr>
                <w:ilvl w:val="0"/>
                <w:numId w:val="149"/>
              </w:numPr>
              <w:spacing w:before="40" w:after="40"/>
              <w:contextualSpacing/>
              <w:rPr>
                <w:noProof/>
                <w:sz w:val="20"/>
                <w:lang w:eastAsia="ja-JP"/>
              </w:rPr>
            </w:pPr>
            <w:r w:rsidRPr="00380B24">
              <w:rPr>
                <w:bCs/>
                <w:noProof/>
                <w:sz w:val="20"/>
                <w:lang w:eastAsia="ja-JP"/>
              </w:rPr>
              <w:t>OQ2: Did ENISA manage to carry on with all their tasks during these periods?</w:t>
            </w:r>
          </w:p>
        </w:tc>
      </w:tr>
      <w:tr w:rsidR="00B202FC" w:rsidRPr="00380B24" w14:paraId="02528EDE" w14:textId="77777777">
        <w:trPr>
          <w:jc w:val="center"/>
        </w:trPr>
        <w:tc>
          <w:tcPr>
            <w:tcW w:w="5000" w:type="pct"/>
            <w:gridSpan w:val="3"/>
            <w:shd w:val="clear" w:color="auto" w:fill="F2F2F2"/>
          </w:tcPr>
          <w:p w14:paraId="771F2EC7"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6970D651" w14:textId="77777777">
        <w:trPr>
          <w:trHeight w:val="678"/>
          <w:jc w:val="center"/>
        </w:trPr>
        <w:tc>
          <w:tcPr>
            <w:tcW w:w="2506" w:type="pct"/>
            <w:gridSpan w:val="2"/>
            <w:shd w:val="clear" w:color="auto" w:fill="F2F2F2"/>
          </w:tcPr>
          <w:p w14:paraId="343F96D1" w14:textId="77777777" w:rsidR="00B202FC" w:rsidRPr="00380B24" w:rsidRDefault="00B202FC">
            <w:pPr>
              <w:spacing w:before="40" w:after="40"/>
              <w:rPr>
                <w:noProof/>
                <w:sz w:val="20"/>
                <w:lang w:eastAsia="ja-JP"/>
              </w:rPr>
            </w:pPr>
            <w:r w:rsidRPr="00380B24">
              <w:rPr>
                <w:noProof/>
                <w:sz w:val="20"/>
                <w:lang w:eastAsia="ja-JP"/>
              </w:rPr>
              <w:t>OQ1: The high workload periods identified</w:t>
            </w:r>
          </w:p>
        </w:tc>
        <w:tc>
          <w:tcPr>
            <w:tcW w:w="2494" w:type="pct"/>
            <w:shd w:val="clear" w:color="auto" w:fill="F2F2F2"/>
          </w:tcPr>
          <w:p w14:paraId="0689A44D" w14:textId="77777777" w:rsidR="00B202FC" w:rsidRPr="00380B24" w:rsidRDefault="00B202FC">
            <w:pPr>
              <w:spacing w:before="40" w:after="40"/>
              <w:rPr>
                <w:noProof/>
                <w:sz w:val="20"/>
                <w:lang w:eastAsia="ja-JP"/>
              </w:rPr>
            </w:pPr>
            <w:r w:rsidRPr="00380B24">
              <w:rPr>
                <w:noProof/>
                <w:sz w:val="20"/>
                <w:lang w:eastAsia="ja-JP"/>
              </w:rPr>
              <w:t>The periods of high workload are analysed where relevant</w:t>
            </w:r>
          </w:p>
        </w:tc>
      </w:tr>
      <w:tr w:rsidR="00B202FC" w:rsidRPr="00380B24" w14:paraId="652C8806" w14:textId="77777777">
        <w:trPr>
          <w:trHeight w:val="207"/>
          <w:jc w:val="center"/>
        </w:trPr>
        <w:tc>
          <w:tcPr>
            <w:tcW w:w="2506" w:type="pct"/>
            <w:gridSpan w:val="2"/>
            <w:shd w:val="clear" w:color="auto" w:fill="F2F2F2"/>
          </w:tcPr>
          <w:p w14:paraId="28DAD20B" w14:textId="77777777" w:rsidR="00B202FC" w:rsidRPr="00380B24" w:rsidRDefault="00B202FC">
            <w:pPr>
              <w:spacing w:before="40" w:after="40"/>
              <w:rPr>
                <w:noProof/>
                <w:sz w:val="20"/>
                <w:lang w:eastAsia="ja-JP"/>
              </w:rPr>
            </w:pPr>
            <w:r w:rsidRPr="00380B24">
              <w:rPr>
                <w:noProof/>
                <w:sz w:val="20"/>
                <w:lang w:eastAsia="ja-JP"/>
              </w:rPr>
              <w:t xml:space="preserve">OQ2: Tasks were implemented during the period of high workload </w:t>
            </w:r>
          </w:p>
        </w:tc>
        <w:tc>
          <w:tcPr>
            <w:tcW w:w="2494" w:type="pct"/>
            <w:shd w:val="clear" w:color="auto" w:fill="F2F2F2"/>
          </w:tcPr>
          <w:p w14:paraId="6DB8CA0F" w14:textId="77777777" w:rsidR="00B202FC" w:rsidRPr="00380B24" w:rsidRDefault="00B202FC">
            <w:pPr>
              <w:spacing w:before="40" w:after="40"/>
              <w:rPr>
                <w:noProof/>
                <w:sz w:val="20"/>
                <w:lang w:eastAsia="ja-JP"/>
              </w:rPr>
            </w:pPr>
            <w:r w:rsidRPr="00380B24">
              <w:rPr>
                <w:noProof/>
                <w:sz w:val="20"/>
                <w:lang w:eastAsia="ja-JP"/>
              </w:rPr>
              <w:t>Findings of other evaluation questions indicate that ENISA kept performing its tasks during the period of high workload</w:t>
            </w:r>
          </w:p>
        </w:tc>
      </w:tr>
      <w:tr w:rsidR="00B202FC" w:rsidRPr="00380B24" w14:paraId="45C22D42" w14:textId="77777777">
        <w:trPr>
          <w:jc w:val="center"/>
        </w:trPr>
        <w:tc>
          <w:tcPr>
            <w:tcW w:w="5000" w:type="pct"/>
            <w:gridSpan w:val="3"/>
            <w:shd w:val="clear" w:color="auto" w:fill="F2F2F2"/>
          </w:tcPr>
          <w:p w14:paraId="786B41A4"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3AF70FA3" w14:textId="77777777">
        <w:trPr>
          <w:jc w:val="center"/>
        </w:trPr>
        <w:tc>
          <w:tcPr>
            <w:tcW w:w="5000" w:type="pct"/>
            <w:gridSpan w:val="3"/>
            <w:shd w:val="clear" w:color="auto" w:fill="F2F2F2"/>
          </w:tcPr>
          <w:p w14:paraId="454F2068" w14:textId="77777777" w:rsidR="00B202FC" w:rsidRPr="00380B24" w:rsidRDefault="00B202FC" w:rsidP="00B202FC">
            <w:pPr>
              <w:numPr>
                <w:ilvl w:val="0"/>
                <w:numId w:val="150"/>
              </w:numPr>
              <w:spacing w:before="40" w:after="40"/>
              <w:contextualSpacing/>
              <w:rPr>
                <w:noProof/>
                <w:sz w:val="20"/>
                <w:lang w:eastAsia="ja-JP"/>
              </w:rPr>
            </w:pPr>
            <w:r w:rsidRPr="00380B24">
              <w:rPr>
                <w:noProof/>
                <w:sz w:val="20"/>
                <w:lang w:eastAsia="ja-JP"/>
              </w:rPr>
              <w:t>Desk research</w:t>
            </w:r>
          </w:p>
          <w:p w14:paraId="079B110C" w14:textId="77777777" w:rsidR="00B202FC" w:rsidRPr="00380B24" w:rsidRDefault="00B202FC" w:rsidP="00B202FC">
            <w:pPr>
              <w:numPr>
                <w:ilvl w:val="0"/>
                <w:numId w:val="150"/>
              </w:numPr>
              <w:spacing w:before="40" w:after="40"/>
              <w:contextualSpacing/>
              <w:rPr>
                <w:bCs/>
                <w:noProof/>
                <w:sz w:val="20"/>
                <w:lang w:eastAsia="ja-JP"/>
              </w:rPr>
            </w:pPr>
            <w:r w:rsidRPr="00380B24">
              <w:rPr>
                <w:bCs/>
                <w:noProof/>
                <w:sz w:val="20"/>
                <w:lang w:eastAsia="ja-JP"/>
              </w:rPr>
              <w:t>Interviews</w:t>
            </w:r>
          </w:p>
          <w:p w14:paraId="62E9B5F9" w14:textId="77777777" w:rsidR="00B202FC" w:rsidRPr="00380B24" w:rsidRDefault="00B202FC" w:rsidP="00B202FC">
            <w:pPr>
              <w:numPr>
                <w:ilvl w:val="0"/>
                <w:numId w:val="150"/>
              </w:numPr>
              <w:spacing w:before="40" w:after="40"/>
              <w:contextualSpacing/>
              <w:rPr>
                <w:noProof/>
                <w:sz w:val="20"/>
                <w:lang w:eastAsia="ja-JP"/>
              </w:rPr>
            </w:pPr>
            <w:r w:rsidRPr="00380B24">
              <w:rPr>
                <w:noProof/>
                <w:sz w:val="20"/>
                <w:lang w:eastAsia="ja-JP"/>
              </w:rPr>
              <w:t>Survey</w:t>
            </w:r>
          </w:p>
        </w:tc>
      </w:tr>
    </w:tbl>
    <w:p w14:paraId="50C96B4D" w14:textId="77777777" w:rsidR="00D52AD8" w:rsidRPr="00C57110" w:rsidRDefault="00D52AD8" w:rsidP="00D52AD8">
      <w:pPr>
        <w:spacing w:before="40" w:after="40"/>
        <w:rPr>
          <w:rFonts w:eastAsia="Arial"/>
          <w:noProof/>
          <w:sz w:val="20"/>
          <w:szCs w:val="20"/>
          <w:lang w:eastAsia="ja-JP"/>
        </w:rPr>
      </w:pP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2C245BFD"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144" w:type="pct"/>
            <w:shd w:val="clear" w:color="auto" w:fill="C6D9F1" w:themeFill="text2" w:themeFillTint="33"/>
          </w:tcPr>
          <w:p w14:paraId="62850484" w14:textId="77777777" w:rsidR="00B202FC" w:rsidRPr="00380B24" w:rsidRDefault="00B202FC">
            <w:pPr>
              <w:spacing w:before="40" w:after="40"/>
              <w:rPr>
                <w:b/>
                <w:i/>
                <w:iCs/>
                <w:noProof/>
                <w:color w:val="000000" w:themeColor="text1"/>
                <w:sz w:val="20"/>
                <w:lang w:eastAsia="ja-JP"/>
              </w:rPr>
            </w:pPr>
            <w:r w:rsidRPr="00380B24">
              <w:rPr>
                <w:b/>
                <w:i/>
                <w:iCs/>
                <w:noProof/>
                <w:color w:val="000000" w:themeColor="text1"/>
                <w:sz w:val="20"/>
                <w:lang w:eastAsia="ja-JP"/>
              </w:rPr>
              <w:t>Efficiency</w:t>
            </w:r>
          </w:p>
          <w:p w14:paraId="240B266E"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EQ3, ENISA</w:t>
            </w:r>
          </w:p>
        </w:tc>
        <w:tc>
          <w:tcPr>
            <w:tcW w:w="3856" w:type="pct"/>
            <w:gridSpan w:val="2"/>
            <w:shd w:val="clear" w:color="auto" w:fill="C6D9F1" w:themeFill="text2" w:themeFillTint="33"/>
          </w:tcPr>
          <w:p w14:paraId="5ACE01B5"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To what extent have ENISA’s internal organisation, governance and procedures been conducive to its efficiency and what administrative costs and burdens do they create and for whom?</w:t>
            </w:r>
          </w:p>
        </w:tc>
      </w:tr>
      <w:tr w:rsidR="00B202FC" w:rsidRPr="00380B24" w14:paraId="69808A58" w14:textId="77777777">
        <w:trPr>
          <w:trHeight w:val="229"/>
          <w:jc w:val="center"/>
        </w:trPr>
        <w:tc>
          <w:tcPr>
            <w:tcW w:w="5000" w:type="pct"/>
            <w:gridSpan w:val="3"/>
            <w:shd w:val="clear" w:color="auto" w:fill="F2F2F2"/>
          </w:tcPr>
          <w:p w14:paraId="09E9CD95"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3AAA90FD" w14:textId="77777777">
        <w:trPr>
          <w:jc w:val="center"/>
        </w:trPr>
        <w:tc>
          <w:tcPr>
            <w:tcW w:w="5000" w:type="pct"/>
            <w:gridSpan w:val="3"/>
            <w:shd w:val="clear" w:color="auto" w:fill="F2F2F2"/>
          </w:tcPr>
          <w:p w14:paraId="03483B2C" w14:textId="77777777" w:rsidR="00B202FC" w:rsidRPr="00380B24" w:rsidRDefault="00B202FC" w:rsidP="00B202FC">
            <w:pPr>
              <w:numPr>
                <w:ilvl w:val="0"/>
                <w:numId w:val="160"/>
              </w:numPr>
              <w:spacing w:before="40" w:after="40"/>
              <w:contextualSpacing/>
              <w:rPr>
                <w:bCs/>
                <w:noProof/>
                <w:sz w:val="20"/>
                <w:lang w:eastAsia="ja-JP"/>
              </w:rPr>
            </w:pPr>
            <w:r w:rsidRPr="00380B24">
              <w:rPr>
                <w:bCs/>
                <w:noProof/>
                <w:sz w:val="20"/>
                <w:lang w:eastAsia="ja-JP"/>
              </w:rPr>
              <w:t xml:space="preserve">OQ1: To what extent do ENISA’s internal organisation, governance and procedures </w:t>
            </w:r>
            <w:r w:rsidRPr="00380B24">
              <w:rPr>
                <w:noProof/>
                <w:sz w:val="20"/>
                <w:lang w:eastAsia="ja-JP"/>
              </w:rPr>
              <w:t xml:space="preserve">support its ability to perform its tasks, given its mandate and size? </w:t>
            </w:r>
          </w:p>
          <w:p w14:paraId="0512BB5D" w14:textId="77777777" w:rsidR="00B202FC" w:rsidRPr="00380B24" w:rsidRDefault="00B202FC" w:rsidP="00B202FC">
            <w:pPr>
              <w:numPr>
                <w:ilvl w:val="0"/>
                <w:numId w:val="160"/>
              </w:numPr>
              <w:spacing w:before="40" w:after="40"/>
              <w:contextualSpacing/>
              <w:rPr>
                <w:bCs/>
                <w:noProof/>
                <w:sz w:val="20"/>
                <w:lang w:eastAsia="ja-JP"/>
              </w:rPr>
            </w:pPr>
            <w:r w:rsidRPr="00380B24">
              <w:rPr>
                <w:noProof/>
                <w:sz w:val="20"/>
                <w:lang w:eastAsia="ja-JP"/>
              </w:rPr>
              <w:t xml:space="preserve">OQ2: How does the balance of operational staff and administrative support staff affect the implementation of ENISA’s tasks and the achievement of its objectives? </w:t>
            </w:r>
          </w:p>
        </w:tc>
      </w:tr>
      <w:tr w:rsidR="00B202FC" w:rsidRPr="00380B24" w14:paraId="737EEE9F" w14:textId="77777777">
        <w:trPr>
          <w:jc w:val="center"/>
        </w:trPr>
        <w:tc>
          <w:tcPr>
            <w:tcW w:w="5000" w:type="pct"/>
            <w:gridSpan w:val="3"/>
            <w:shd w:val="clear" w:color="auto" w:fill="F2F2F2"/>
          </w:tcPr>
          <w:p w14:paraId="3C891F34" w14:textId="77777777" w:rsidR="00B202FC" w:rsidRPr="00380B24" w:rsidRDefault="00B202FC">
            <w:pPr>
              <w:spacing w:before="40" w:after="40"/>
              <w:rPr>
                <w:bCs/>
                <w:noProof/>
                <w:sz w:val="20"/>
                <w:lang w:eastAsia="ja-JP"/>
              </w:rPr>
            </w:pPr>
            <w:r w:rsidRPr="00380B24">
              <w:rPr>
                <w:b/>
                <w:caps/>
                <w:noProof/>
                <w:sz w:val="20"/>
                <w:lang w:eastAsia="ja-JP"/>
              </w:rPr>
              <w:t>Judgement criteria and INDICATORS</w:t>
            </w:r>
          </w:p>
        </w:tc>
      </w:tr>
      <w:tr w:rsidR="00B202FC" w:rsidRPr="00380B24" w14:paraId="2F456CA6" w14:textId="77777777">
        <w:trPr>
          <w:trHeight w:val="414"/>
          <w:jc w:val="center"/>
        </w:trPr>
        <w:tc>
          <w:tcPr>
            <w:tcW w:w="2500" w:type="pct"/>
            <w:gridSpan w:val="2"/>
            <w:shd w:val="clear" w:color="auto" w:fill="F2F2F2"/>
          </w:tcPr>
          <w:p w14:paraId="679536B5" w14:textId="77777777" w:rsidR="00B202FC" w:rsidRPr="00380B24" w:rsidRDefault="00B202FC">
            <w:pPr>
              <w:spacing w:before="40" w:after="40"/>
              <w:rPr>
                <w:noProof/>
                <w:sz w:val="20"/>
                <w:lang w:eastAsia="ja-JP"/>
              </w:rPr>
            </w:pPr>
            <w:r w:rsidRPr="00380B24">
              <w:rPr>
                <w:noProof/>
                <w:sz w:val="20"/>
                <w:lang w:eastAsia="ja-JP"/>
              </w:rPr>
              <w:t>OQ1: The extent to which ENISA’s internal organisation, governance and procedures are fit for purpose without excessive costs and major administrative burdens</w:t>
            </w:r>
          </w:p>
        </w:tc>
        <w:tc>
          <w:tcPr>
            <w:tcW w:w="2500" w:type="pct"/>
            <w:shd w:val="clear" w:color="auto" w:fill="F2F2F2"/>
          </w:tcPr>
          <w:p w14:paraId="62609BCA" w14:textId="77777777" w:rsidR="00B202FC" w:rsidRPr="00380B24" w:rsidRDefault="00B202FC">
            <w:pPr>
              <w:spacing w:before="40" w:after="40"/>
              <w:rPr>
                <w:noProof/>
                <w:sz w:val="20"/>
                <w:lang w:eastAsia="ja-JP"/>
              </w:rPr>
            </w:pPr>
            <w:r w:rsidRPr="00380B24">
              <w:rPr>
                <w:noProof/>
                <w:sz w:val="20"/>
                <w:lang w:eastAsia="ja-JP"/>
              </w:rPr>
              <w:t>Alignment of ENISA’s internal organisation, governance and procedures with its mandate and size; the volume of administrative costs and administrative burdens; IAS and ECA opinions on the governance of ENISA</w:t>
            </w:r>
          </w:p>
        </w:tc>
      </w:tr>
      <w:tr w:rsidR="00B202FC" w:rsidRPr="00380B24" w14:paraId="405D5675" w14:textId="77777777">
        <w:trPr>
          <w:trHeight w:val="414"/>
          <w:jc w:val="center"/>
        </w:trPr>
        <w:tc>
          <w:tcPr>
            <w:tcW w:w="2500" w:type="pct"/>
            <w:gridSpan w:val="2"/>
            <w:shd w:val="clear" w:color="auto" w:fill="F2F2F2"/>
          </w:tcPr>
          <w:p w14:paraId="1565F519" w14:textId="77777777" w:rsidR="00B202FC" w:rsidRPr="00380B24" w:rsidRDefault="00B202FC">
            <w:pPr>
              <w:spacing w:before="40" w:after="40"/>
              <w:rPr>
                <w:noProof/>
                <w:sz w:val="20"/>
                <w:lang w:eastAsia="ja-JP"/>
              </w:rPr>
            </w:pPr>
            <w:r w:rsidRPr="00380B24">
              <w:rPr>
                <w:noProof/>
                <w:sz w:val="20"/>
                <w:lang w:eastAsia="ja-JP"/>
              </w:rPr>
              <w:t>OQ2: The balance between operational and administrative support staff is appropriate</w:t>
            </w:r>
          </w:p>
        </w:tc>
        <w:tc>
          <w:tcPr>
            <w:tcW w:w="2500" w:type="pct"/>
            <w:shd w:val="clear" w:color="auto" w:fill="F2F2F2"/>
          </w:tcPr>
          <w:p w14:paraId="03787CEE" w14:textId="77777777" w:rsidR="00B202FC" w:rsidRPr="00380B24" w:rsidRDefault="00B202FC">
            <w:pPr>
              <w:spacing w:before="40" w:after="40"/>
              <w:rPr>
                <w:noProof/>
                <w:sz w:val="20"/>
                <w:lang w:eastAsia="ja-JP"/>
              </w:rPr>
            </w:pPr>
            <w:r w:rsidRPr="00380B24">
              <w:rPr>
                <w:noProof/>
                <w:sz w:val="20"/>
                <w:lang w:eastAsia="ja-JP"/>
              </w:rPr>
              <w:t>Number and share of administrative and operational staff; staff performance management indicators; qualitative opinion of interviewed staff members</w:t>
            </w:r>
          </w:p>
        </w:tc>
      </w:tr>
      <w:tr w:rsidR="00B202FC" w:rsidRPr="00380B24" w14:paraId="10EF5EBE" w14:textId="77777777">
        <w:trPr>
          <w:jc w:val="center"/>
        </w:trPr>
        <w:tc>
          <w:tcPr>
            <w:tcW w:w="5000" w:type="pct"/>
            <w:gridSpan w:val="3"/>
            <w:shd w:val="clear" w:color="auto" w:fill="F2F2F2"/>
          </w:tcPr>
          <w:p w14:paraId="57CA8F7C" w14:textId="77777777" w:rsidR="00B202FC" w:rsidRPr="00380B24" w:rsidRDefault="00B202FC">
            <w:pPr>
              <w:spacing w:before="40" w:after="40"/>
              <w:rPr>
                <w:bCs/>
                <w:noProof/>
                <w:sz w:val="20"/>
                <w:lang w:eastAsia="ja-JP"/>
              </w:rPr>
            </w:pPr>
            <w:r w:rsidRPr="00380B24">
              <w:rPr>
                <w:b/>
                <w:caps/>
                <w:noProof/>
                <w:sz w:val="20"/>
                <w:lang w:eastAsia="ja-JP"/>
              </w:rPr>
              <w:t>Data sources</w:t>
            </w:r>
          </w:p>
        </w:tc>
      </w:tr>
      <w:tr w:rsidR="00B202FC" w:rsidRPr="00380B24" w14:paraId="23A23887" w14:textId="77777777">
        <w:trPr>
          <w:jc w:val="center"/>
        </w:trPr>
        <w:tc>
          <w:tcPr>
            <w:tcW w:w="5000" w:type="pct"/>
            <w:gridSpan w:val="3"/>
            <w:shd w:val="clear" w:color="auto" w:fill="F2F2F2"/>
          </w:tcPr>
          <w:p w14:paraId="4A125891" w14:textId="77777777" w:rsidR="00B202FC" w:rsidRPr="00380B24" w:rsidRDefault="00B202FC" w:rsidP="00B202FC">
            <w:pPr>
              <w:numPr>
                <w:ilvl w:val="0"/>
                <w:numId w:val="160"/>
              </w:numPr>
              <w:spacing w:before="40" w:after="40"/>
              <w:contextualSpacing/>
              <w:rPr>
                <w:noProof/>
                <w:sz w:val="20"/>
                <w:lang w:eastAsia="ja-JP"/>
              </w:rPr>
            </w:pPr>
            <w:r w:rsidRPr="00380B24">
              <w:rPr>
                <w:noProof/>
                <w:sz w:val="20"/>
                <w:lang w:eastAsia="ja-JP"/>
              </w:rPr>
              <w:t xml:space="preserve">Desk research </w:t>
            </w:r>
          </w:p>
          <w:p w14:paraId="3CDC9FB2" w14:textId="77777777" w:rsidR="00B202FC" w:rsidRPr="00380B24" w:rsidRDefault="00B202FC" w:rsidP="00B202FC">
            <w:pPr>
              <w:numPr>
                <w:ilvl w:val="0"/>
                <w:numId w:val="160"/>
              </w:numPr>
              <w:spacing w:before="40" w:after="40"/>
              <w:contextualSpacing/>
              <w:rPr>
                <w:bCs/>
                <w:noProof/>
                <w:sz w:val="20"/>
                <w:lang w:eastAsia="ja-JP"/>
              </w:rPr>
            </w:pPr>
            <w:r w:rsidRPr="00380B24">
              <w:rPr>
                <w:bCs/>
                <w:noProof/>
                <w:sz w:val="20"/>
                <w:lang w:eastAsia="ja-JP"/>
              </w:rPr>
              <w:t>Interviews</w:t>
            </w:r>
          </w:p>
          <w:p w14:paraId="76E75484" w14:textId="77777777" w:rsidR="00B202FC" w:rsidRPr="00380B24" w:rsidRDefault="00B202FC" w:rsidP="00B202FC">
            <w:pPr>
              <w:numPr>
                <w:ilvl w:val="0"/>
                <w:numId w:val="160"/>
              </w:numPr>
              <w:spacing w:before="40" w:after="40"/>
              <w:contextualSpacing/>
              <w:rPr>
                <w:bCs/>
                <w:noProof/>
                <w:sz w:val="20"/>
                <w:lang w:eastAsia="ja-JP"/>
              </w:rPr>
            </w:pPr>
            <w:r w:rsidRPr="00380B24">
              <w:rPr>
                <w:bCs/>
                <w:noProof/>
                <w:sz w:val="20"/>
                <w:lang w:eastAsia="ja-JP"/>
              </w:rPr>
              <w:t>Survey</w:t>
            </w:r>
          </w:p>
        </w:tc>
      </w:tr>
    </w:tbl>
    <w:p w14:paraId="0E35476B" w14:textId="77777777" w:rsidR="00D52AD8" w:rsidRPr="00C57110" w:rsidRDefault="00D52AD8" w:rsidP="00D52AD8">
      <w:pPr>
        <w:spacing w:before="40" w:after="40"/>
        <w:rPr>
          <w:rFonts w:eastAsia="Arial"/>
          <w:noProof/>
          <w:sz w:val="20"/>
          <w:szCs w:val="20"/>
          <w:lang w:eastAsia="ja-JP"/>
        </w:rPr>
      </w:pPr>
    </w:p>
    <w:tbl>
      <w:tblPr>
        <w:tblStyle w:val="Standardtableforma8"/>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04"/>
        <w:gridCol w:w="3657"/>
        <w:gridCol w:w="7113"/>
      </w:tblGrid>
      <w:tr w:rsidR="00B202FC" w:rsidRPr="00380B24" w14:paraId="63B233EA" w14:textId="77777777">
        <w:trPr>
          <w:cnfStyle w:val="100000000000" w:firstRow="1" w:lastRow="0" w:firstColumn="0" w:lastColumn="0" w:oddVBand="0" w:evenVBand="0" w:oddHBand="0" w:evenHBand="0" w:firstRowFirstColumn="0" w:firstRowLastColumn="0" w:lastRowFirstColumn="0" w:lastRowLastColumn="0"/>
          <w:trHeight w:val="56"/>
        </w:trPr>
        <w:tc>
          <w:tcPr>
            <w:tcW w:w="1201" w:type="pct"/>
            <w:shd w:val="clear" w:color="auto" w:fill="C6D9F1" w:themeFill="text2" w:themeFillTint="33"/>
          </w:tcPr>
          <w:p w14:paraId="604660CC" w14:textId="77777777" w:rsidR="00B202FC" w:rsidRPr="00380B24" w:rsidRDefault="00B202FC">
            <w:pPr>
              <w:spacing w:before="40" w:after="40"/>
              <w:rPr>
                <w:b/>
                <w:i/>
                <w:iCs/>
                <w:noProof/>
                <w:color w:val="000000" w:themeColor="text1"/>
                <w:sz w:val="20"/>
                <w:lang w:eastAsia="ja-JP"/>
              </w:rPr>
            </w:pPr>
            <w:r w:rsidRPr="00380B24">
              <w:rPr>
                <w:b/>
                <w:i/>
                <w:iCs/>
                <w:noProof/>
                <w:color w:val="000000" w:themeColor="text1"/>
                <w:sz w:val="20"/>
                <w:lang w:eastAsia="ja-JP"/>
              </w:rPr>
              <w:t>Efficiency</w:t>
            </w:r>
          </w:p>
          <w:p w14:paraId="06FC4D27"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EQ4, ENISA</w:t>
            </w:r>
          </w:p>
        </w:tc>
        <w:tc>
          <w:tcPr>
            <w:tcW w:w="3799" w:type="pct"/>
            <w:gridSpan w:val="2"/>
            <w:shd w:val="clear" w:color="auto" w:fill="C6D9F1" w:themeFill="text2" w:themeFillTint="33"/>
          </w:tcPr>
          <w:p w14:paraId="182878E2"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What aspects, means, actors or processes render ENISA more or less efficient?</w:t>
            </w:r>
          </w:p>
        </w:tc>
      </w:tr>
      <w:tr w:rsidR="00B202FC" w:rsidRPr="00380B24" w14:paraId="00CA8AFE" w14:textId="77777777">
        <w:trPr>
          <w:trHeight w:val="229"/>
        </w:trPr>
        <w:tc>
          <w:tcPr>
            <w:tcW w:w="5000" w:type="pct"/>
            <w:gridSpan w:val="3"/>
            <w:shd w:val="clear" w:color="auto" w:fill="F2F2F2"/>
          </w:tcPr>
          <w:p w14:paraId="467E9297"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5D8D3FB9" w14:textId="77777777">
        <w:tc>
          <w:tcPr>
            <w:tcW w:w="5000" w:type="pct"/>
            <w:gridSpan w:val="3"/>
            <w:shd w:val="clear" w:color="auto" w:fill="F2F2F2"/>
          </w:tcPr>
          <w:p w14:paraId="7542E778" w14:textId="77777777" w:rsidR="00B202FC" w:rsidRPr="00380B24" w:rsidRDefault="00B202FC" w:rsidP="00B202FC">
            <w:pPr>
              <w:numPr>
                <w:ilvl w:val="0"/>
                <w:numId w:val="160"/>
              </w:numPr>
              <w:spacing w:before="40" w:after="40"/>
              <w:contextualSpacing/>
              <w:rPr>
                <w:bCs/>
                <w:noProof/>
                <w:sz w:val="20"/>
                <w:lang w:eastAsia="ja-JP"/>
              </w:rPr>
            </w:pPr>
            <w:r w:rsidRPr="00380B24">
              <w:rPr>
                <w:bCs/>
                <w:noProof/>
                <w:sz w:val="20"/>
                <w:lang w:eastAsia="ja-JP"/>
              </w:rPr>
              <w:t>OQ1: What are the inefficiencies identified in ENISA’s activities?</w:t>
            </w:r>
          </w:p>
          <w:p w14:paraId="22B6E573" w14:textId="77777777" w:rsidR="00B202FC" w:rsidRPr="00380B24" w:rsidRDefault="00B202FC" w:rsidP="00B202FC">
            <w:pPr>
              <w:numPr>
                <w:ilvl w:val="0"/>
                <w:numId w:val="160"/>
              </w:numPr>
              <w:spacing w:before="40" w:after="40"/>
              <w:contextualSpacing/>
              <w:rPr>
                <w:bCs/>
                <w:noProof/>
                <w:sz w:val="20"/>
                <w:lang w:eastAsia="ja-JP"/>
              </w:rPr>
            </w:pPr>
            <w:r w:rsidRPr="00380B24">
              <w:rPr>
                <w:bCs/>
                <w:noProof/>
                <w:sz w:val="20"/>
                <w:lang w:eastAsia="ja-JP"/>
              </w:rPr>
              <w:t>OQ2: Which of ENISA’s activities are particularly efficiently or inefficiently implemented?</w:t>
            </w:r>
          </w:p>
        </w:tc>
      </w:tr>
      <w:tr w:rsidR="00B202FC" w:rsidRPr="00380B24" w14:paraId="3B7796FD" w14:textId="77777777">
        <w:tc>
          <w:tcPr>
            <w:tcW w:w="5000" w:type="pct"/>
            <w:gridSpan w:val="3"/>
            <w:shd w:val="clear" w:color="auto" w:fill="F2F2F2"/>
          </w:tcPr>
          <w:p w14:paraId="0ED278F9" w14:textId="77777777" w:rsidR="00B202FC" w:rsidRPr="00380B24" w:rsidRDefault="00B202FC">
            <w:pPr>
              <w:spacing w:before="40" w:after="40"/>
              <w:rPr>
                <w:bCs/>
                <w:noProof/>
                <w:sz w:val="20"/>
                <w:lang w:eastAsia="ja-JP"/>
              </w:rPr>
            </w:pPr>
            <w:r w:rsidRPr="00380B24">
              <w:rPr>
                <w:b/>
                <w:caps/>
                <w:noProof/>
                <w:sz w:val="20"/>
                <w:lang w:eastAsia="ja-JP"/>
              </w:rPr>
              <w:t>Judgement criteria and INDICATORS</w:t>
            </w:r>
          </w:p>
        </w:tc>
      </w:tr>
      <w:tr w:rsidR="00B202FC" w:rsidRPr="00380B24" w14:paraId="51A651F6" w14:textId="77777777">
        <w:trPr>
          <w:trHeight w:val="178"/>
        </w:trPr>
        <w:tc>
          <w:tcPr>
            <w:tcW w:w="2491" w:type="pct"/>
            <w:gridSpan w:val="2"/>
            <w:shd w:val="clear" w:color="auto" w:fill="F2F2F2"/>
          </w:tcPr>
          <w:p w14:paraId="75E83A07" w14:textId="77777777" w:rsidR="00B202FC" w:rsidRPr="00380B24" w:rsidRDefault="00B202FC">
            <w:pPr>
              <w:spacing w:before="40" w:after="40"/>
              <w:rPr>
                <w:noProof/>
                <w:sz w:val="20"/>
                <w:lang w:eastAsia="ja-JP"/>
              </w:rPr>
            </w:pPr>
            <w:r w:rsidRPr="00380B24">
              <w:rPr>
                <w:noProof/>
                <w:sz w:val="20"/>
                <w:lang w:eastAsia="ja-JP"/>
              </w:rPr>
              <w:t>OQ1: ENISA addressed all identified inefficiencies</w:t>
            </w:r>
          </w:p>
        </w:tc>
        <w:tc>
          <w:tcPr>
            <w:tcW w:w="2509" w:type="pct"/>
            <w:vMerge w:val="restart"/>
            <w:shd w:val="clear" w:color="auto" w:fill="F2F2F2"/>
            <w:vAlign w:val="center"/>
          </w:tcPr>
          <w:p w14:paraId="690721BD" w14:textId="77777777" w:rsidR="00B202FC" w:rsidRPr="00380B24" w:rsidRDefault="00B202FC">
            <w:pPr>
              <w:spacing w:before="40" w:after="40"/>
              <w:rPr>
                <w:bCs/>
                <w:noProof/>
                <w:sz w:val="20"/>
                <w:lang w:eastAsia="ja-JP"/>
              </w:rPr>
            </w:pPr>
            <w:r w:rsidRPr="00380B24">
              <w:rPr>
                <w:bCs/>
                <w:noProof/>
                <w:sz w:val="20"/>
                <w:lang w:eastAsia="ja-JP"/>
              </w:rPr>
              <w:t xml:space="preserve">Findings on the previous efficiency questions and stakeholder perceptions </w:t>
            </w:r>
          </w:p>
        </w:tc>
      </w:tr>
      <w:tr w:rsidR="00B202FC" w:rsidRPr="00380B24" w14:paraId="685138AB" w14:textId="77777777">
        <w:trPr>
          <w:trHeight w:val="176"/>
        </w:trPr>
        <w:tc>
          <w:tcPr>
            <w:tcW w:w="2491" w:type="pct"/>
            <w:gridSpan w:val="2"/>
            <w:shd w:val="clear" w:color="auto" w:fill="F2F2F2"/>
          </w:tcPr>
          <w:p w14:paraId="74A31F55" w14:textId="77777777" w:rsidR="00B202FC" w:rsidRPr="00380B24" w:rsidRDefault="00B202FC">
            <w:pPr>
              <w:spacing w:before="40" w:after="40"/>
              <w:rPr>
                <w:noProof/>
                <w:sz w:val="20"/>
                <w:lang w:eastAsia="ja-JP"/>
              </w:rPr>
            </w:pPr>
            <w:r w:rsidRPr="00380B24">
              <w:rPr>
                <w:noProof/>
                <w:sz w:val="20"/>
                <w:lang w:eastAsia="ja-JP"/>
              </w:rPr>
              <w:t>OQ2: Good and bad practices identified in the selected activities</w:t>
            </w:r>
          </w:p>
        </w:tc>
        <w:tc>
          <w:tcPr>
            <w:tcW w:w="2509" w:type="pct"/>
            <w:vMerge/>
            <w:shd w:val="clear" w:color="auto" w:fill="F2F2F2"/>
          </w:tcPr>
          <w:p w14:paraId="30F5FF55" w14:textId="77777777" w:rsidR="00B202FC" w:rsidRPr="00380B24" w:rsidRDefault="00B202FC">
            <w:pPr>
              <w:spacing w:before="40" w:after="40"/>
              <w:rPr>
                <w:noProof/>
                <w:sz w:val="20"/>
                <w:lang w:eastAsia="ja-JP"/>
              </w:rPr>
            </w:pPr>
          </w:p>
        </w:tc>
      </w:tr>
      <w:tr w:rsidR="00B202FC" w:rsidRPr="00380B24" w14:paraId="55A5EBDF" w14:textId="77777777">
        <w:tc>
          <w:tcPr>
            <w:tcW w:w="5000" w:type="pct"/>
            <w:gridSpan w:val="3"/>
            <w:shd w:val="clear" w:color="auto" w:fill="F2F2F2"/>
          </w:tcPr>
          <w:p w14:paraId="0EF7DB54" w14:textId="77777777" w:rsidR="00B202FC" w:rsidRPr="00380B24" w:rsidRDefault="00B202FC">
            <w:pPr>
              <w:spacing w:before="40" w:after="40"/>
              <w:rPr>
                <w:bCs/>
                <w:noProof/>
                <w:sz w:val="20"/>
                <w:lang w:eastAsia="ja-JP"/>
              </w:rPr>
            </w:pPr>
            <w:r w:rsidRPr="00380B24">
              <w:rPr>
                <w:b/>
                <w:caps/>
                <w:noProof/>
                <w:sz w:val="20"/>
                <w:lang w:eastAsia="ja-JP"/>
              </w:rPr>
              <w:t>Data sources</w:t>
            </w:r>
          </w:p>
        </w:tc>
      </w:tr>
      <w:tr w:rsidR="00B202FC" w:rsidRPr="00380B24" w14:paraId="3C1CA90D" w14:textId="77777777">
        <w:tc>
          <w:tcPr>
            <w:tcW w:w="5000" w:type="pct"/>
            <w:gridSpan w:val="3"/>
            <w:shd w:val="clear" w:color="auto" w:fill="F2F2F2"/>
          </w:tcPr>
          <w:p w14:paraId="5956B95B" w14:textId="77777777" w:rsidR="00B202FC" w:rsidRPr="00380B24" w:rsidRDefault="00B202FC" w:rsidP="00B202FC">
            <w:pPr>
              <w:numPr>
                <w:ilvl w:val="0"/>
                <w:numId w:val="161"/>
              </w:numPr>
              <w:spacing w:before="40" w:after="40"/>
              <w:contextualSpacing/>
              <w:rPr>
                <w:noProof/>
                <w:sz w:val="20"/>
                <w:lang w:eastAsia="ja-JP"/>
              </w:rPr>
            </w:pPr>
            <w:r w:rsidRPr="00380B24">
              <w:rPr>
                <w:noProof/>
                <w:sz w:val="20"/>
                <w:lang w:eastAsia="ja-JP"/>
              </w:rPr>
              <w:t xml:space="preserve">Desk research </w:t>
            </w:r>
          </w:p>
          <w:p w14:paraId="6F11AEC0" w14:textId="77777777" w:rsidR="00B202FC" w:rsidRPr="00380B24" w:rsidRDefault="00B202FC" w:rsidP="00B202FC">
            <w:pPr>
              <w:numPr>
                <w:ilvl w:val="0"/>
                <w:numId w:val="161"/>
              </w:numPr>
              <w:spacing w:before="40" w:after="40"/>
              <w:contextualSpacing/>
              <w:rPr>
                <w:bCs/>
                <w:noProof/>
                <w:sz w:val="20"/>
                <w:lang w:eastAsia="ja-JP"/>
              </w:rPr>
            </w:pPr>
            <w:r w:rsidRPr="00380B24">
              <w:rPr>
                <w:bCs/>
                <w:noProof/>
                <w:sz w:val="20"/>
                <w:lang w:eastAsia="ja-JP"/>
              </w:rPr>
              <w:t>Interviews</w:t>
            </w:r>
          </w:p>
          <w:p w14:paraId="1469DBA9" w14:textId="77777777" w:rsidR="00B202FC" w:rsidRPr="00380B24" w:rsidRDefault="00B202FC" w:rsidP="00B202FC">
            <w:pPr>
              <w:numPr>
                <w:ilvl w:val="0"/>
                <w:numId w:val="161"/>
              </w:numPr>
              <w:spacing w:before="40" w:after="40"/>
              <w:contextualSpacing/>
              <w:rPr>
                <w:noProof/>
                <w:sz w:val="20"/>
                <w:lang w:eastAsia="ja-JP"/>
              </w:rPr>
            </w:pPr>
            <w:r w:rsidRPr="00380B24">
              <w:rPr>
                <w:noProof/>
                <w:sz w:val="20"/>
                <w:lang w:eastAsia="ja-JP"/>
              </w:rPr>
              <w:t>Case studies</w:t>
            </w:r>
          </w:p>
        </w:tc>
      </w:tr>
    </w:tbl>
    <w:p w14:paraId="586D2909" w14:textId="77777777" w:rsidR="00D52AD8" w:rsidRPr="00C57110" w:rsidRDefault="00D52AD8" w:rsidP="00D52AD8">
      <w:pPr>
        <w:spacing w:before="40" w:after="40"/>
        <w:rPr>
          <w:noProof/>
          <w:sz w:val="20"/>
          <w:szCs w:val="20"/>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1EEF94DE" w14:textId="77777777">
        <w:tc>
          <w:tcPr>
            <w:tcW w:w="5000" w:type="pct"/>
            <w:shd w:val="clear" w:color="auto" w:fill="C6D9F1" w:themeFill="text2" w:themeFillTint="33"/>
          </w:tcPr>
          <w:p w14:paraId="15B6BFFA" w14:textId="77777777" w:rsidR="00B202FC" w:rsidRPr="00380B24" w:rsidRDefault="00B202FC">
            <w:pPr>
              <w:spacing w:before="40" w:after="40"/>
              <w:rPr>
                <w:rFonts w:ascii="Arial" w:eastAsia="Arial" w:hAnsi="Arial" w:cs="Arial"/>
                <w:b/>
                <w:noProof/>
                <w:color w:val="000000" w:themeColor="text1"/>
                <w:sz w:val="20"/>
              </w:rPr>
            </w:pPr>
            <w:r w:rsidRPr="00380B24">
              <w:rPr>
                <w:b/>
                <w:i/>
                <w:iCs/>
                <w:noProof/>
                <w:color w:val="000000" w:themeColor="text1"/>
                <w:sz w:val="20"/>
                <w:lang w:eastAsia="ja-JP"/>
              </w:rPr>
              <w:t>Evaluation results</w:t>
            </w:r>
          </w:p>
        </w:tc>
      </w:tr>
      <w:tr w:rsidR="00B202FC" w:rsidRPr="00380B24" w14:paraId="69FE0290" w14:textId="77777777">
        <w:tc>
          <w:tcPr>
            <w:tcW w:w="5000" w:type="pct"/>
            <w:shd w:val="clear" w:color="auto" w:fill="F2F2F2" w:themeFill="background1" w:themeFillShade="F2"/>
          </w:tcPr>
          <w:p w14:paraId="682EC138" w14:textId="77777777" w:rsidR="00B202FC" w:rsidRPr="00380B24" w:rsidRDefault="00B202FC">
            <w:pPr>
              <w:rPr>
                <w:noProof/>
                <w:sz w:val="20"/>
                <w:lang w:eastAsia="ja-JP"/>
              </w:rPr>
            </w:pPr>
            <w:r w:rsidRPr="00380B24">
              <w:rPr>
                <w:noProof/>
                <w:sz w:val="20"/>
                <w:lang w:eastAsia="ja-JP"/>
              </w:rPr>
              <w:t>The evaluation highlighted that while ENISA operated efficiently under its governance structure, it struggled with increasing demands and filling specialised positions due to a global IT and cybersecurity specialist shortage and insufficient resources, resulting in task delays and periods of high stress for personnel. Improvements can be made to a certain extent by optimising internal workforce management to handle critical tasks, as demonstrated by reallocating 10.5 FTEs for the Cybersecurity Support Action. Additionally, enhancing budget and procurement management could improve internal efficiency and address the downward trend in balancing appropriations.</w:t>
            </w:r>
            <w:r w:rsidRPr="00380B24">
              <w:rPr>
                <w:noProof/>
              </w:rPr>
              <w:br/>
            </w:r>
            <w:r w:rsidRPr="00380B24">
              <w:rPr>
                <w:noProof/>
                <w:sz w:val="20"/>
                <w:lang w:eastAsia="ja-JP"/>
              </w:rPr>
              <w:t xml:space="preserve">Although ENISA’s budget grew significantly between 2017 and 2023, it continued to face resource constraints that impacted its operational efficiency. </w:t>
            </w:r>
          </w:p>
          <w:p w14:paraId="64B76080" w14:textId="77777777" w:rsidR="00B202FC" w:rsidRPr="00380B24" w:rsidRDefault="00B202FC">
            <w:pPr>
              <w:rPr>
                <w:rFonts w:ascii="Arial" w:eastAsia="Arial" w:hAnsi="Arial" w:cs="Arial"/>
                <w:noProof/>
                <w:sz w:val="20"/>
              </w:rPr>
            </w:pPr>
          </w:p>
        </w:tc>
      </w:tr>
    </w:tbl>
    <w:p w14:paraId="370A06A2" w14:textId="77777777" w:rsidR="00D52AD8" w:rsidRPr="00C57110" w:rsidRDefault="00D52AD8" w:rsidP="00D52AD8">
      <w:pPr>
        <w:spacing w:before="40" w:after="40"/>
        <w:rPr>
          <w:b/>
          <w:bCs/>
          <w:noProof/>
          <w:szCs w:val="20"/>
        </w:rPr>
      </w:pPr>
    </w:p>
    <w:p w14:paraId="61BE3BFB" w14:textId="77777777" w:rsidR="0019266B" w:rsidRDefault="0019266B" w:rsidP="00B202FC">
      <w:pPr>
        <w:spacing w:before="40" w:after="40"/>
        <w:rPr>
          <w:b/>
          <w:bCs/>
          <w:noProof/>
          <w:szCs w:val="20"/>
        </w:rPr>
      </w:pPr>
    </w:p>
    <w:p w14:paraId="16AD573C" w14:textId="77777777" w:rsidR="00D52AD8" w:rsidRPr="00C57110" w:rsidRDefault="00D52AD8" w:rsidP="00D52AD8">
      <w:pPr>
        <w:spacing w:before="40" w:after="40"/>
        <w:rPr>
          <w:b/>
          <w:bCs/>
          <w:noProof/>
          <w:szCs w:val="20"/>
        </w:rPr>
      </w:pPr>
      <w:r w:rsidRPr="00C57110">
        <w:rPr>
          <w:b/>
          <w:bCs/>
          <w:noProof/>
          <w:szCs w:val="20"/>
        </w:rPr>
        <w:t>ECCF</w:t>
      </w:r>
    </w:p>
    <w:tbl>
      <w:tblPr>
        <w:tblStyle w:val="Standardtableforma8"/>
        <w:tblW w:w="5000" w:type="pct"/>
        <w:jc w:val="center"/>
        <w:tblLook w:val="04A0" w:firstRow="1" w:lastRow="0" w:firstColumn="1" w:lastColumn="0" w:noHBand="0" w:noVBand="1"/>
      </w:tblPr>
      <w:tblGrid>
        <w:gridCol w:w="3404"/>
        <w:gridCol w:w="3657"/>
        <w:gridCol w:w="7113"/>
      </w:tblGrid>
      <w:tr w:rsidR="00B202FC" w:rsidRPr="00380B24" w14:paraId="21F71ECE"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01" w:type="pct"/>
            <w:tcBorders>
              <w:top w:val="double" w:sz="4" w:space="0" w:color="auto"/>
              <w:left w:val="double" w:sz="4" w:space="0" w:color="auto"/>
            </w:tcBorders>
            <w:shd w:val="clear" w:color="auto" w:fill="C6D9F1" w:themeFill="text2" w:themeFillTint="33"/>
          </w:tcPr>
          <w:p w14:paraId="5BB16444"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3F6071E0"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EQ5, ECCF</w:t>
            </w:r>
          </w:p>
        </w:tc>
        <w:tc>
          <w:tcPr>
            <w:tcW w:w="3799" w:type="pct"/>
            <w:gridSpan w:val="2"/>
            <w:tcBorders>
              <w:top w:val="double" w:sz="4" w:space="0" w:color="auto"/>
              <w:right w:val="double" w:sz="4" w:space="0" w:color="auto"/>
            </w:tcBorders>
            <w:shd w:val="clear" w:color="auto" w:fill="C6D9F1" w:themeFill="text2" w:themeFillTint="33"/>
          </w:tcPr>
          <w:p w14:paraId="71FD6ACD"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has the ECCF been implemented efficiently?</w:t>
            </w:r>
          </w:p>
        </w:tc>
      </w:tr>
      <w:tr w:rsidR="00B202FC" w:rsidRPr="00380B24" w14:paraId="7107583F" w14:textId="77777777">
        <w:trPr>
          <w:trHeight w:val="229"/>
          <w:jc w:val="center"/>
        </w:trPr>
        <w:tc>
          <w:tcPr>
            <w:tcW w:w="5000" w:type="pct"/>
            <w:gridSpan w:val="3"/>
            <w:tcBorders>
              <w:left w:val="double" w:sz="4" w:space="0" w:color="auto"/>
              <w:right w:val="double" w:sz="4" w:space="0" w:color="auto"/>
            </w:tcBorders>
            <w:shd w:val="clear" w:color="auto" w:fill="F2F2F2" w:themeFill="background1" w:themeFillShade="F2"/>
          </w:tcPr>
          <w:p w14:paraId="206580B5"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27E31A99" w14:textId="77777777">
        <w:trPr>
          <w:jc w:val="center"/>
        </w:trPr>
        <w:tc>
          <w:tcPr>
            <w:tcW w:w="5000" w:type="pct"/>
            <w:gridSpan w:val="3"/>
            <w:tcBorders>
              <w:left w:val="double" w:sz="4" w:space="0" w:color="auto"/>
              <w:right w:val="double" w:sz="4" w:space="0" w:color="auto"/>
            </w:tcBorders>
            <w:shd w:val="clear" w:color="auto" w:fill="F2F2F2" w:themeFill="background1" w:themeFillShade="F2"/>
          </w:tcPr>
          <w:p w14:paraId="41D16771" w14:textId="77777777" w:rsidR="00B202FC" w:rsidRPr="00380B24" w:rsidRDefault="00B202FC" w:rsidP="00B202FC">
            <w:pPr>
              <w:numPr>
                <w:ilvl w:val="0"/>
                <w:numId w:val="168"/>
              </w:numPr>
              <w:spacing w:before="40" w:after="40"/>
              <w:contextualSpacing/>
              <w:rPr>
                <w:noProof/>
                <w:sz w:val="20"/>
                <w:lang w:eastAsia="ja-JP"/>
              </w:rPr>
            </w:pPr>
            <w:r w:rsidRPr="00380B24">
              <w:rPr>
                <w:noProof/>
                <w:sz w:val="20"/>
                <w:lang w:eastAsia="ja-JP"/>
              </w:rPr>
              <w:t>OQ1: What benefits have been experienced by Member States since the establishment of the ECCF?</w:t>
            </w:r>
          </w:p>
          <w:p w14:paraId="197A2BF3" w14:textId="77777777" w:rsidR="00B202FC" w:rsidRPr="00380B24" w:rsidRDefault="00B202FC" w:rsidP="00B202FC">
            <w:pPr>
              <w:numPr>
                <w:ilvl w:val="0"/>
                <w:numId w:val="168"/>
              </w:numPr>
              <w:spacing w:before="40" w:after="40"/>
              <w:contextualSpacing/>
              <w:rPr>
                <w:noProof/>
                <w:sz w:val="20"/>
                <w:lang w:eastAsia="ja-JP"/>
              </w:rPr>
            </w:pPr>
            <w:r w:rsidRPr="00380B24">
              <w:rPr>
                <w:noProof/>
                <w:sz w:val="20"/>
                <w:lang w:eastAsia="ja-JP"/>
              </w:rPr>
              <w:t>OQ2: What costs have been borne at national level since the establishment of the ECCF?</w:t>
            </w:r>
          </w:p>
          <w:p w14:paraId="7EF4D134" w14:textId="77777777" w:rsidR="00B202FC" w:rsidRPr="00380B24" w:rsidRDefault="00B202FC" w:rsidP="00B202FC">
            <w:pPr>
              <w:numPr>
                <w:ilvl w:val="0"/>
                <w:numId w:val="168"/>
              </w:numPr>
              <w:spacing w:before="40" w:after="40"/>
              <w:contextualSpacing/>
              <w:rPr>
                <w:noProof/>
                <w:sz w:val="20"/>
                <w:lang w:eastAsia="ja-JP"/>
              </w:rPr>
            </w:pPr>
            <w:r w:rsidRPr="00380B24">
              <w:rPr>
                <w:noProof/>
                <w:sz w:val="20"/>
                <w:lang w:eastAsia="ja-JP"/>
              </w:rPr>
              <w:t>OQ3: What benefits have been experienced at EU level (i.e. Commission, ENISA) since the establishment of the ECCF?</w:t>
            </w:r>
          </w:p>
          <w:p w14:paraId="110AC67B" w14:textId="77777777" w:rsidR="00B202FC" w:rsidRPr="00380B24" w:rsidRDefault="00B202FC" w:rsidP="00B202FC">
            <w:pPr>
              <w:numPr>
                <w:ilvl w:val="0"/>
                <w:numId w:val="168"/>
              </w:numPr>
              <w:spacing w:before="40" w:after="40"/>
              <w:contextualSpacing/>
              <w:rPr>
                <w:noProof/>
                <w:sz w:val="20"/>
                <w:lang w:eastAsia="ja-JP"/>
              </w:rPr>
            </w:pPr>
            <w:r w:rsidRPr="00380B24">
              <w:rPr>
                <w:noProof/>
                <w:sz w:val="20"/>
                <w:lang w:eastAsia="ja-JP"/>
              </w:rPr>
              <w:t>OQ3: What costs have been borne at EU level (i.e. Commission, ENISA) since the establishment of the ECCF?</w:t>
            </w:r>
          </w:p>
          <w:p w14:paraId="656D29A2" w14:textId="77777777" w:rsidR="00B202FC" w:rsidRPr="00380B24" w:rsidRDefault="00B202FC" w:rsidP="00B202FC">
            <w:pPr>
              <w:numPr>
                <w:ilvl w:val="0"/>
                <w:numId w:val="168"/>
              </w:numPr>
              <w:spacing w:before="40" w:after="40"/>
              <w:contextualSpacing/>
              <w:rPr>
                <w:noProof/>
                <w:sz w:val="20"/>
                <w:lang w:eastAsia="ja-JP"/>
              </w:rPr>
            </w:pPr>
            <w:r w:rsidRPr="00380B24">
              <w:rPr>
                <w:noProof/>
                <w:sz w:val="20"/>
                <w:lang w:eastAsia="ja-JP"/>
              </w:rPr>
              <w:t>OQ4: What benefits have been experienced by businesses and the general public since the establishment of the ECCF?</w:t>
            </w:r>
          </w:p>
        </w:tc>
      </w:tr>
      <w:tr w:rsidR="00B202FC" w:rsidRPr="00380B24" w14:paraId="25141958" w14:textId="77777777">
        <w:trPr>
          <w:jc w:val="center"/>
        </w:trPr>
        <w:tc>
          <w:tcPr>
            <w:tcW w:w="5000" w:type="pct"/>
            <w:gridSpan w:val="3"/>
            <w:tcBorders>
              <w:left w:val="double" w:sz="4" w:space="0" w:color="auto"/>
              <w:right w:val="double" w:sz="4" w:space="0" w:color="auto"/>
            </w:tcBorders>
            <w:shd w:val="clear" w:color="auto" w:fill="F2F2F2" w:themeFill="background1" w:themeFillShade="F2"/>
          </w:tcPr>
          <w:p w14:paraId="4E8024E4"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397720C4" w14:textId="77777777">
        <w:trPr>
          <w:trHeight w:val="178"/>
          <w:jc w:val="center"/>
        </w:trPr>
        <w:tc>
          <w:tcPr>
            <w:tcW w:w="2491" w:type="pct"/>
            <w:gridSpan w:val="2"/>
            <w:tcBorders>
              <w:left w:val="double" w:sz="4" w:space="0" w:color="auto"/>
            </w:tcBorders>
            <w:shd w:val="clear" w:color="auto" w:fill="F2F2F2" w:themeFill="background1" w:themeFillShade="F2"/>
          </w:tcPr>
          <w:p w14:paraId="0F1D08A2" w14:textId="77777777" w:rsidR="00B202FC" w:rsidRPr="00380B24" w:rsidRDefault="00B202FC">
            <w:pPr>
              <w:spacing w:before="40" w:after="40"/>
              <w:rPr>
                <w:noProof/>
                <w:sz w:val="20"/>
                <w:lang w:eastAsia="ja-JP"/>
              </w:rPr>
            </w:pPr>
            <w:r w:rsidRPr="00380B24">
              <w:rPr>
                <w:noProof/>
                <w:sz w:val="20"/>
                <w:lang w:eastAsia="ja-JP"/>
              </w:rPr>
              <w:t>OQ1: Member States confirm they experienced a set of benefits as a result of participating in the ECCF, especially compared to SOG-IS-MRA</w:t>
            </w:r>
          </w:p>
        </w:tc>
        <w:tc>
          <w:tcPr>
            <w:tcW w:w="2509" w:type="pct"/>
            <w:tcBorders>
              <w:right w:val="double" w:sz="4" w:space="0" w:color="auto"/>
            </w:tcBorders>
            <w:shd w:val="clear" w:color="auto" w:fill="F2F2F2" w:themeFill="background1" w:themeFillShade="F2"/>
          </w:tcPr>
          <w:p w14:paraId="67E0E326" w14:textId="77777777" w:rsidR="00B202FC" w:rsidRPr="00380B24" w:rsidRDefault="00B202FC">
            <w:pPr>
              <w:spacing w:before="40" w:after="40"/>
              <w:rPr>
                <w:noProof/>
                <w:sz w:val="20"/>
                <w:lang w:eastAsia="ja-JP"/>
              </w:rPr>
            </w:pPr>
            <w:r w:rsidRPr="00380B24">
              <w:rPr>
                <w:noProof/>
                <w:sz w:val="20"/>
                <w:lang w:eastAsia="ja-JP"/>
              </w:rPr>
              <w:t>Benefits from participating in, and issuing certificates valid under, the SOG-IS-MRA; benefits from participating in the ECCF</w:t>
            </w:r>
          </w:p>
        </w:tc>
      </w:tr>
      <w:tr w:rsidR="00B202FC" w:rsidRPr="00380B24" w14:paraId="07662257" w14:textId="77777777">
        <w:trPr>
          <w:trHeight w:val="176"/>
          <w:jc w:val="center"/>
        </w:trPr>
        <w:tc>
          <w:tcPr>
            <w:tcW w:w="2491" w:type="pct"/>
            <w:gridSpan w:val="2"/>
            <w:tcBorders>
              <w:left w:val="double" w:sz="4" w:space="0" w:color="auto"/>
            </w:tcBorders>
            <w:shd w:val="clear" w:color="auto" w:fill="F2F2F2" w:themeFill="background1" w:themeFillShade="F2"/>
          </w:tcPr>
          <w:p w14:paraId="2A30D1A0" w14:textId="77777777" w:rsidR="00B202FC" w:rsidRPr="00380B24" w:rsidRDefault="00B202FC">
            <w:pPr>
              <w:spacing w:before="40" w:after="40"/>
              <w:rPr>
                <w:noProof/>
                <w:sz w:val="20"/>
                <w:lang w:eastAsia="ja-JP"/>
              </w:rPr>
            </w:pPr>
            <w:r w:rsidRPr="00380B24">
              <w:rPr>
                <w:noProof/>
                <w:sz w:val="20"/>
                <w:lang w:eastAsia="ja-JP"/>
              </w:rPr>
              <w:t>OQ2: Member States confirm they incurred a set of costs as a result of participating in the ECCF</w:t>
            </w:r>
          </w:p>
        </w:tc>
        <w:tc>
          <w:tcPr>
            <w:tcW w:w="2509" w:type="pct"/>
            <w:tcBorders>
              <w:right w:val="double" w:sz="4" w:space="0" w:color="auto"/>
            </w:tcBorders>
            <w:shd w:val="clear" w:color="auto" w:fill="F2F2F2" w:themeFill="background1" w:themeFillShade="F2"/>
          </w:tcPr>
          <w:p w14:paraId="2DE6B979" w14:textId="77777777" w:rsidR="00B202FC" w:rsidRPr="00380B24" w:rsidRDefault="00B202FC">
            <w:pPr>
              <w:spacing w:before="40" w:after="40"/>
              <w:rPr>
                <w:noProof/>
                <w:sz w:val="20"/>
                <w:lang w:eastAsia="ja-JP"/>
              </w:rPr>
            </w:pPr>
            <w:r w:rsidRPr="00380B24">
              <w:rPr>
                <w:noProof/>
                <w:sz w:val="20"/>
                <w:lang w:eastAsia="ja-JP"/>
              </w:rPr>
              <w:t>Costs, including administrative and human resources costs, borne as a result of implementing the ECCF at national level (Member States), including the establishment of national certification authorities</w:t>
            </w:r>
          </w:p>
        </w:tc>
      </w:tr>
      <w:tr w:rsidR="00B202FC" w:rsidRPr="00380B24" w14:paraId="1CE71874" w14:textId="77777777">
        <w:trPr>
          <w:trHeight w:val="176"/>
          <w:jc w:val="center"/>
        </w:trPr>
        <w:tc>
          <w:tcPr>
            <w:tcW w:w="2491" w:type="pct"/>
            <w:gridSpan w:val="2"/>
            <w:tcBorders>
              <w:left w:val="double" w:sz="4" w:space="0" w:color="auto"/>
            </w:tcBorders>
            <w:shd w:val="clear" w:color="auto" w:fill="F2F2F2" w:themeFill="background1" w:themeFillShade="F2"/>
          </w:tcPr>
          <w:p w14:paraId="74400CBD" w14:textId="77777777" w:rsidR="00B202FC" w:rsidRPr="00380B24" w:rsidRDefault="00B202FC">
            <w:pPr>
              <w:spacing w:before="40" w:after="40"/>
              <w:rPr>
                <w:noProof/>
                <w:sz w:val="20"/>
                <w:lang w:eastAsia="ja-JP"/>
              </w:rPr>
            </w:pPr>
            <w:r w:rsidRPr="00380B24">
              <w:rPr>
                <w:noProof/>
                <w:sz w:val="20"/>
                <w:lang w:eastAsia="ja-JP"/>
              </w:rPr>
              <w:t>OQ3: Commission and ENISA confirm they experienced a set of benefits as a result of participating in the ECCF, especially compared to SOG-IS-MRA</w:t>
            </w:r>
          </w:p>
        </w:tc>
        <w:tc>
          <w:tcPr>
            <w:tcW w:w="2509" w:type="pct"/>
            <w:tcBorders>
              <w:right w:val="double" w:sz="4" w:space="0" w:color="auto"/>
            </w:tcBorders>
            <w:shd w:val="clear" w:color="auto" w:fill="F2F2F2" w:themeFill="background1" w:themeFillShade="F2"/>
          </w:tcPr>
          <w:p w14:paraId="5835A426" w14:textId="77777777" w:rsidR="00B202FC" w:rsidRPr="00380B24" w:rsidRDefault="00B202FC">
            <w:pPr>
              <w:spacing w:before="40" w:after="40"/>
              <w:rPr>
                <w:noProof/>
                <w:sz w:val="20"/>
                <w:lang w:eastAsia="ja-JP"/>
              </w:rPr>
            </w:pPr>
            <w:r w:rsidRPr="00380B24">
              <w:rPr>
                <w:noProof/>
                <w:sz w:val="20"/>
                <w:lang w:eastAsia="ja-JP"/>
              </w:rPr>
              <w:t xml:space="preserve">Benefits from participating in, preparing and adopting certification schemes </w:t>
            </w:r>
          </w:p>
        </w:tc>
      </w:tr>
      <w:tr w:rsidR="00B202FC" w:rsidRPr="00380B24" w14:paraId="0BCAAE5C" w14:textId="77777777">
        <w:trPr>
          <w:trHeight w:val="176"/>
          <w:jc w:val="center"/>
        </w:trPr>
        <w:tc>
          <w:tcPr>
            <w:tcW w:w="2491" w:type="pct"/>
            <w:gridSpan w:val="2"/>
            <w:tcBorders>
              <w:left w:val="double" w:sz="4" w:space="0" w:color="auto"/>
            </w:tcBorders>
            <w:shd w:val="clear" w:color="auto" w:fill="F2F2F2" w:themeFill="background1" w:themeFillShade="F2"/>
          </w:tcPr>
          <w:p w14:paraId="68A1DB07" w14:textId="77777777" w:rsidR="00B202FC" w:rsidRPr="00380B24" w:rsidRDefault="00B202FC">
            <w:pPr>
              <w:spacing w:before="40" w:after="40"/>
              <w:rPr>
                <w:noProof/>
                <w:sz w:val="20"/>
                <w:lang w:eastAsia="ja-JP"/>
              </w:rPr>
            </w:pPr>
            <w:r w:rsidRPr="00380B24">
              <w:rPr>
                <w:noProof/>
                <w:sz w:val="20"/>
                <w:lang w:eastAsia="ja-JP"/>
              </w:rPr>
              <w:t>OQ3: Commission and ENISA confirm they incurred a set of costs as a result of participating in the ECCF</w:t>
            </w:r>
          </w:p>
        </w:tc>
        <w:tc>
          <w:tcPr>
            <w:tcW w:w="2509" w:type="pct"/>
            <w:tcBorders>
              <w:right w:val="double" w:sz="4" w:space="0" w:color="auto"/>
            </w:tcBorders>
            <w:shd w:val="clear" w:color="auto" w:fill="F2F2F2" w:themeFill="background1" w:themeFillShade="F2"/>
          </w:tcPr>
          <w:p w14:paraId="245C80EC" w14:textId="77777777" w:rsidR="00B202FC" w:rsidRPr="00380B24" w:rsidRDefault="00B202FC">
            <w:pPr>
              <w:spacing w:before="40" w:after="40"/>
              <w:rPr>
                <w:noProof/>
                <w:sz w:val="20"/>
                <w:lang w:eastAsia="ja-JP"/>
              </w:rPr>
            </w:pPr>
            <w:r w:rsidRPr="00380B24">
              <w:rPr>
                <w:noProof/>
                <w:sz w:val="20"/>
                <w:lang w:eastAsia="ja-JP"/>
              </w:rPr>
              <w:t>Costs, including administrative and human resources costs, borne as a result of implementing the ECCF at EU level (Commission, ENISA)</w:t>
            </w:r>
          </w:p>
        </w:tc>
      </w:tr>
      <w:tr w:rsidR="00B202FC" w:rsidRPr="00380B24" w14:paraId="0D0C20AF" w14:textId="77777777">
        <w:trPr>
          <w:trHeight w:val="176"/>
          <w:jc w:val="center"/>
        </w:trPr>
        <w:tc>
          <w:tcPr>
            <w:tcW w:w="2491" w:type="pct"/>
            <w:gridSpan w:val="2"/>
            <w:tcBorders>
              <w:left w:val="double" w:sz="4" w:space="0" w:color="auto"/>
            </w:tcBorders>
            <w:shd w:val="clear" w:color="auto" w:fill="F2F2F2" w:themeFill="background1" w:themeFillShade="F2"/>
          </w:tcPr>
          <w:p w14:paraId="798FC3FA" w14:textId="77777777" w:rsidR="00B202FC" w:rsidRPr="00380B24" w:rsidRDefault="00B202FC">
            <w:pPr>
              <w:spacing w:before="40" w:after="40"/>
              <w:rPr>
                <w:noProof/>
                <w:sz w:val="20"/>
                <w:lang w:eastAsia="ja-JP"/>
              </w:rPr>
            </w:pPr>
            <w:r w:rsidRPr="00380B24">
              <w:rPr>
                <w:noProof/>
                <w:sz w:val="20"/>
                <w:lang w:eastAsia="ja-JP"/>
              </w:rPr>
              <w:t>OQ4: Businesses and the general public confirm they experienced a set of benefits deriving from the ECCF</w:t>
            </w:r>
          </w:p>
        </w:tc>
        <w:tc>
          <w:tcPr>
            <w:tcW w:w="2509" w:type="pct"/>
            <w:tcBorders>
              <w:right w:val="double" w:sz="4" w:space="0" w:color="auto"/>
            </w:tcBorders>
            <w:shd w:val="clear" w:color="auto" w:fill="F2F2F2" w:themeFill="background1" w:themeFillShade="F2"/>
          </w:tcPr>
          <w:p w14:paraId="1B5E55BE" w14:textId="77777777" w:rsidR="00B202FC" w:rsidRPr="00380B24" w:rsidRDefault="00B202FC">
            <w:pPr>
              <w:spacing w:before="40" w:after="40"/>
              <w:rPr>
                <w:noProof/>
                <w:sz w:val="20"/>
                <w:lang w:eastAsia="ja-JP"/>
              </w:rPr>
            </w:pPr>
            <w:r w:rsidRPr="00380B24">
              <w:rPr>
                <w:noProof/>
                <w:sz w:val="20"/>
                <w:lang w:eastAsia="ja-JP"/>
              </w:rPr>
              <w:t>Benefits in terms of competitiveness for businesses; benefits in terms of more awareness for the general public</w:t>
            </w:r>
          </w:p>
        </w:tc>
      </w:tr>
      <w:tr w:rsidR="00B202FC" w:rsidRPr="00380B24" w14:paraId="532C8A62" w14:textId="77777777">
        <w:trPr>
          <w:jc w:val="center"/>
        </w:trPr>
        <w:tc>
          <w:tcPr>
            <w:tcW w:w="5000" w:type="pct"/>
            <w:gridSpan w:val="3"/>
            <w:tcBorders>
              <w:left w:val="double" w:sz="4" w:space="0" w:color="auto"/>
              <w:right w:val="double" w:sz="4" w:space="0" w:color="auto"/>
            </w:tcBorders>
            <w:shd w:val="clear" w:color="auto" w:fill="F2F2F2" w:themeFill="background1" w:themeFillShade="F2"/>
          </w:tcPr>
          <w:p w14:paraId="254E9811"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553B6128" w14:textId="77777777">
        <w:trPr>
          <w:jc w:val="center"/>
        </w:trPr>
        <w:tc>
          <w:tcPr>
            <w:tcW w:w="5000" w:type="pct"/>
            <w:gridSpan w:val="3"/>
            <w:tcBorders>
              <w:left w:val="double" w:sz="4" w:space="0" w:color="auto"/>
              <w:bottom w:val="double" w:sz="4" w:space="0" w:color="auto"/>
              <w:right w:val="double" w:sz="4" w:space="0" w:color="auto"/>
            </w:tcBorders>
            <w:shd w:val="clear" w:color="auto" w:fill="F2F2F2" w:themeFill="background1" w:themeFillShade="F2"/>
          </w:tcPr>
          <w:p w14:paraId="6EC5B301" w14:textId="77777777" w:rsidR="00B202FC" w:rsidRPr="00380B24" w:rsidRDefault="00B202FC" w:rsidP="00B202FC">
            <w:pPr>
              <w:numPr>
                <w:ilvl w:val="0"/>
                <w:numId w:val="169"/>
              </w:numPr>
              <w:spacing w:before="40" w:after="40"/>
              <w:contextualSpacing/>
              <w:rPr>
                <w:noProof/>
                <w:sz w:val="20"/>
                <w:lang w:eastAsia="ja-JP"/>
              </w:rPr>
            </w:pPr>
            <w:r w:rsidRPr="00380B24">
              <w:rPr>
                <w:noProof/>
                <w:sz w:val="20"/>
                <w:lang w:eastAsia="ja-JP"/>
              </w:rPr>
              <w:t xml:space="preserve">Desk research </w:t>
            </w:r>
          </w:p>
          <w:p w14:paraId="317132A9" w14:textId="77777777" w:rsidR="00B202FC" w:rsidRPr="00380B24" w:rsidRDefault="00B202FC" w:rsidP="00B202FC">
            <w:pPr>
              <w:numPr>
                <w:ilvl w:val="0"/>
                <w:numId w:val="169"/>
              </w:numPr>
              <w:spacing w:before="40" w:after="40"/>
              <w:contextualSpacing/>
              <w:rPr>
                <w:noProof/>
                <w:sz w:val="20"/>
                <w:lang w:eastAsia="ja-JP"/>
              </w:rPr>
            </w:pPr>
            <w:r w:rsidRPr="00380B24">
              <w:rPr>
                <w:noProof/>
                <w:sz w:val="20"/>
                <w:lang w:eastAsia="ja-JP"/>
              </w:rPr>
              <w:t>Interviews</w:t>
            </w:r>
          </w:p>
          <w:p w14:paraId="5EB15CA0" w14:textId="77777777" w:rsidR="00B202FC" w:rsidRPr="00380B24" w:rsidRDefault="00B202FC" w:rsidP="00B202FC">
            <w:pPr>
              <w:numPr>
                <w:ilvl w:val="0"/>
                <w:numId w:val="169"/>
              </w:numPr>
              <w:spacing w:before="40" w:after="40"/>
              <w:contextualSpacing/>
              <w:rPr>
                <w:noProof/>
                <w:sz w:val="20"/>
                <w:lang w:eastAsia="ja-JP"/>
              </w:rPr>
            </w:pPr>
            <w:r w:rsidRPr="00380B24">
              <w:rPr>
                <w:noProof/>
                <w:sz w:val="20"/>
                <w:lang w:eastAsia="ja-JP"/>
              </w:rPr>
              <w:t>Survey</w:t>
            </w:r>
          </w:p>
        </w:tc>
      </w:tr>
    </w:tbl>
    <w:p w14:paraId="620B1F1C" w14:textId="77777777" w:rsidR="00B202FC" w:rsidRPr="00380B24" w:rsidRDefault="00B202FC" w:rsidP="00B202FC">
      <w:pPr>
        <w:rPr>
          <w:noProof/>
          <w:sz w:val="20"/>
          <w:szCs w:val="20"/>
          <w:lang w:eastAsia="ja-JP"/>
        </w:rPr>
      </w:pPr>
    </w:p>
    <w:tbl>
      <w:tblPr>
        <w:tblStyle w:val="Standardtableforma8"/>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04"/>
        <w:gridCol w:w="3657"/>
        <w:gridCol w:w="7113"/>
      </w:tblGrid>
      <w:tr w:rsidR="00B202FC" w:rsidRPr="00380B24" w14:paraId="4207583A" w14:textId="77777777">
        <w:trPr>
          <w:cnfStyle w:val="100000000000" w:firstRow="1" w:lastRow="0" w:firstColumn="0" w:lastColumn="0" w:oddVBand="0" w:evenVBand="0" w:oddHBand="0" w:evenHBand="0" w:firstRowFirstColumn="0" w:firstRowLastColumn="0" w:lastRowFirstColumn="0" w:lastRowLastColumn="0"/>
          <w:trHeight w:val="56"/>
        </w:trPr>
        <w:tc>
          <w:tcPr>
            <w:tcW w:w="1201" w:type="pct"/>
            <w:shd w:val="clear" w:color="auto" w:fill="C6D9F1" w:themeFill="text2" w:themeFillTint="33"/>
          </w:tcPr>
          <w:p w14:paraId="5FB55E5F" w14:textId="77777777" w:rsidR="00B202FC" w:rsidRPr="00380B24" w:rsidRDefault="00B202FC">
            <w:pPr>
              <w:rPr>
                <w:b/>
                <w:i/>
                <w:iCs/>
                <w:noProof/>
                <w:color w:val="000000" w:themeColor="text1"/>
                <w:sz w:val="20"/>
                <w:lang w:eastAsia="ja-JP"/>
              </w:rPr>
            </w:pPr>
            <w:r w:rsidRPr="00380B24">
              <w:rPr>
                <w:b/>
                <w:i/>
                <w:iCs/>
                <w:noProof/>
                <w:color w:val="000000" w:themeColor="text1"/>
                <w:sz w:val="20"/>
                <w:lang w:eastAsia="ja-JP"/>
              </w:rPr>
              <w:t>Efficiency</w:t>
            </w:r>
          </w:p>
          <w:p w14:paraId="4BF23D40" w14:textId="77777777" w:rsidR="00B202FC" w:rsidRPr="00380B24" w:rsidRDefault="00B202FC">
            <w:pPr>
              <w:rPr>
                <w:b/>
                <w:noProof/>
                <w:color w:val="000000" w:themeColor="text1"/>
                <w:sz w:val="20"/>
                <w:lang w:eastAsia="ja-JP"/>
              </w:rPr>
            </w:pPr>
            <w:r w:rsidRPr="00380B24">
              <w:rPr>
                <w:b/>
                <w:noProof/>
                <w:color w:val="000000" w:themeColor="text1"/>
                <w:sz w:val="20"/>
                <w:lang w:eastAsia="ja-JP"/>
              </w:rPr>
              <w:t>EQ6, ECCF</w:t>
            </w:r>
          </w:p>
        </w:tc>
        <w:tc>
          <w:tcPr>
            <w:tcW w:w="3799" w:type="pct"/>
            <w:gridSpan w:val="2"/>
            <w:shd w:val="clear" w:color="auto" w:fill="C6D9F1" w:themeFill="text2" w:themeFillTint="33"/>
          </w:tcPr>
          <w:p w14:paraId="272498D1" w14:textId="77777777" w:rsidR="00B202FC" w:rsidRPr="00380B24" w:rsidRDefault="00B202FC">
            <w:pPr>
              <w:rPr>
                <w:b/>
                <w:noProof/>
                <w:color w:val="000000" w:themeColor="text1"/>
                <w:sz w:val="20"/>
                <w:lang w:eastAsia="ja-JP"/>
              </w:rPr>
            </w:pPr>
            <w:r w:rsidRPr="00380B24">
              <w:rPr>
                <w:b/>
                <w:noProof/>
                <w:color w:val="000000" w:themeColor="text1"/>
                <w:sz w:val="20"/>
                <w:lang w:eastAsia="ja-JP"/>
              </w:rPr>
              <w:t>What aspects, means, actors or processes render the ECCF more or less efficient?</w:t>
            </w:r>
          </w:p>
        </w:tc>
      </w:tr>
      <w:tr w:rsidR="00B202FC" w:rsidRPr="00380B24" w14:paraId="0F29E29B" w14:textId="77777777">
        <w:trPr>
          <w:trHeight w:val="229"/>
        </w:trPr>
        <w:tc>
          <w:tcPr>
            <w:tcW w:w="5000" w:type="pct"/>
            <w:gridSpan w:val="3"/>
            <w:shd w:val="clear" w:color="auto" w:fill="F2F2F2"/>
          </w:tcPr>
          <w:p w14:paraId="2ED07BCB"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19F36E9A" w14:textId="77777777">
        <w:tc>
          <w:tcPr>
            <w:tcW w:w="5000" w:type="pct"/>
            <w:gridSpan w:val="3"/>
            <w:shd w:val="clear" w:color="auto" w:fill="F2F2F2"/>
          </w:tcPr>
          <w:p w14:paraId="54E70F34" w14:textId="77777777" w:rsidR="00B202FC" w:rsidRPr="00380B24" w:rsidRDefault="00B202FC" w:rsidP="00B202FC">
            <w:pPr>
              <w:numPr>
                <w:ilvl w:val="0"/>
                <w:numId w:val="181"/>
              </w:numPr>
              <w:spacing w:before="40" w:after="40"/>
              <w:contextualSpacing/>
              <w:rPr>
                <w:bCs/>
                <w:noProof/>
                <w:sz w:val="20"/>
                <w:lang w:eastAsia="ja-JP"/>
              </w:rPr>
            </w:pPr>
            <w:r w:rsidRPr="00380B24">
              <w:rPr>
                <w:bCs/>
                <w:noProof/>
                <w:sz w:val="20"/>
                <w:lang w:eastAsia="ja-JP"/>
              </w:rPr>
              <w:t>OQ1: What are the inefficiencies identified in the ECCF’s processes or outputs?</w:t>
            </w:r>
          </w:p>
          <w:p w14:paraId="3F3F0EE3" w14:textId="77777777" w:rsidR="00B202FC" w:rsidRPr="00380B24" w:rsidRDefault="00B202FC" w:rsidP="00B202FC">
            <w:pPr>
              <w:numPr>
                <w:ilvl w:val="0"/>
                <w:numId w:val="181"/>
              </w:numPr>
              <w:spacing w:before="40" w:after="40"/>
              <w:contextualSpacing/>
              <w:rPr>
                <w:bCs/>
                <w:noProof/>
                <w:sz w:val="20"/>
                <w:lang w:eastAsia="ja-JP"/>
              </w:rPr>
            </w:pPr>
            <w:r w:rsidRPr="00380B24">
              <w:rPr>
                <w:bCs/>
                <w:noProof/>
                <w:sz w:val="20"/>
                <w:lang w:eastAsia="ja-JP"/>
              </w:rPr>
              <w:t>OQ2: What ECCF activities or processes are particularly efficiently implemented? To what extent have the adoption of the Union Rolling Work Programme, the preparation of schemes carried out by ENISA, the opinions provided by the ECCG, advice provided by the SCCG and ad-hoc working groups contributed to the smooth functioning of the ECCF?</w:t>
            </w:r>
          </w:p>
          <w:p w14:paraId="712B01DD" w14:textId="77777777" w:rsidR="00B202FC" w:rsidRPr="00380B24" w:rsidRDefault="00B202FC" w:rsidP="00B202FC">
            <w:pPr>
              <w:numPr>
                <w:ilvl w:val="0"/>
                <w:numId w:val="181"/>
              </w:numPr>
              <w:spacing w:before="40" w:after="40"/>
              <w:contextualSpacing/>
              <w:rPr>
                <w:bCs/>
                <w:noProof/>
                <w:sz w:val="20"/>
                <w:lang w:eastAsia="ja-JP"/>
              </w:rPr>
            </w:pPr>
            <w:r w:rsidRPr="00380B24">
              <w:rPr>
                <w:bCs/>
                <w:noProof/>
                <w:sz w:val="20"/>
                <w:lang w:eastAsia="ja-JP"/>
              </w:rPr>
              <w:t>OQ3: What are the factors that could be linked to each of the elements that demonstrate efficiencies and inefficiencies?</w:t>
            </w:r>
          </w:p>
        </w:tc>
      </w:tr>
      <w:tr w:rsidR="00B202FC" w:rsidRPr="00380B24" w14:paraId="742285B1" w14:textId="77777777">
        <w:tc>
          <w:tcPr>
            <w:tcW w:w="5000" w:type="pct"/>
            <w:gridSpan w:val="3"/>
            <w:shd w:val="clear" w:color="auto" w:fill="F2F2F2"/>
          </w:tcPr>
          <w:p w14:paraId="2AE6D267" w14:textId="77777777" w:rsidR="00B202FC" w:rsidRPr="00380B24" w:rsidRDefault="00B202FC">
            <w:pPr>
              <w:spacing w:before="40" w:after="40"/>
              <w:rPr>
                <w:bCs/>
                <w:noProof/>
                <w:sz w:val="20"/>
                <w:lang w:eastAsia="ja-JP"/>
              </w:rPr>
            </w:pPr>
            <w:r w:rsidRPr="00380B24">
              <w:rPr>
                <w:b/>
                <w:caps/>
                <w:noProof/>
                <w:sz w:val="20"/>
                <w:lang w:eastAsia="ja-JP"/>
              </w:rPr>
              <w:t>Judgement criteria and INDICATORS</w:t>
            </w:r>
          </w:p>
        </w:tc>
      </w:tr>
      <w:tr w:rsidR="00B202FC" w:rsidRPr="00380B24" w14:paraId="4059D722" w14:textId="77777777">
        <w:trPr>
          <w:trHeight w:val="178"/>
        </w:trPr>
        <w:tc>
          <w:tcPr>
            <w:tcW w:w="2491" w:type="pct"/>
            <w:gridSpan w:val="2"/>
            <w:shd w:val="clear" w:color="auto" w:fill="F2F2F2"/>
          </w:tcPr>
          <w:p w14:paraId="6B6FD40E" w14:textId="77777777" w:rsidR="00B202FC" w:rsidRPr="00380B24" w:rsidRDefault="00B202FC">
            <w:pPr>
              <w:spacing w:before="40" w:after="40"/>
              <w:rPr>
                <w:noProof/>
                <w:sz w:val="20"/>
                <w:lang w:eastAsia="ja-JP"/>
              </w:rPr>
            </w:pPr>
            <w:r w:rsidRPr="00380B24">
              <w:rPr>
                <w:noProof/>
                <w:sz w:val="20"/>
                <w:lang w:eastAsia="ja-JP"/>
              </w:rPr>
              <w:t>OQ1: There are no identified inefficiencies</w:t>
            </w:r>
          </w:p>
        </w:tc>
        <w:tc>
          <w:tcPr>
            <w:tcW w:w="2509" w:type="pct"/>
            <w:vMerge w:val="restart"/>
            <w:shd w:val="clear" w:color="auto" w:fill="F2F2F2"/>
          </w:tcPr>
          <w:p w14:paraId="3C27078F" w14:textId="77777777" w:rsidR="00B202FC" w:rsidRPr="00380B24" w:rsidRDefault="00B202FC">
            <w:pPr>
              <w:spacing w:before="40" w:after="40"/>
              <w:rPr>
                <w:bCs/>
                <w:noProof/>
                <w:sz w:val="20"/>
                <w:lang w:eastAsia="ja-JP"/>
              </w:rPr>
            </w:pPr>
            <w:r w:rsidRPr="00380B24">
              <w:rPr>
                <w:bCs/>
                <w:noProof/>
                <w:sz w:val="20"/>
                <w:lang w:eastAsia="ja-JP"/>
              </w:rPr>
              <w:t>Findings on the previous efficiency questions and stakeholder perceptions triangulated with additional data sources.</w:t>
            </w:r>
          </w:p>
        </w:tc>
      </w:tr>
      <w:tr w:rsidR="00B202FC" w:rsidRPr="00380B24" w14:paraId="3864554F" w14:textId="77777777">
        <w:trPr>
          <w:trHeight w:val="176"/>
        </w:trPr>
        <w:tc>
          <w:tcPr>
            <w:tcW w:w="2491" w:type="pct"/>
            <w:gridSpan w:val="2"/>
            <w:shd w:val="clear" w:color="auto" w:fill="F2F2F2"/>
          </w:tcPr>
          <w:p w14:paraId="519F198E" w14:textId="77777777" w:rsidR="00B202FC" w:rsidRPr="00380B24" w:rsidRDefault="00B202FC">
            <w:pPr>
              <w:spacing w:before="40" w:after="40"/>
              <w:rPr>
                <w:noProof/>
                <w:sz w:val="20"/>
                <w:lang w:eastAsia="ja-JP"/>
              </w:rPr>
            </w:pPr>
            <w:r w:rsidRPr="00380B24">
              <w:rPr>
                <w:noProof/>
                <w:sz w:val="20"/>
                <w:lang w:eastAsia="ja-JP"/>
              </w:rPr>
              <w:t>OQ2: Identified good practices in the selected activities</w:t>
            </w:r>
          </w:p>
        </w:tc>
        <w:tc>
          <w:tcPr>
            <w:tcW w:w="2509" w:type="pct"/>
            <w:vMerge/>
            <w:shd w:val="clear" w:color="auto" w:fill="F2F2F2"/>
          </w:tcPr>
          <w:p w14:paraId="5FA42D22" w14:textId="77777777" w:rsidR="00B202FC" w:rsidRPr="00380B24" w:rsidRDefault="00B202FC">
            <w:pPr>
              <w:spacing w:before="40" w:after="40"/>
              <w:rPr>
                <w:noProof/>
                <w:sz w:val="20"/>
                <w:lang w:eastAsia="ja-JP"/>
              </w:rPr>
            </w:pPr>
          </w:p>
        </w:tc>
      </w:tr>
      <w:tr w:rsidR="00B202FC" w:rsidRPr="00380B24" w14:paraId="4D8246EE" w14:textId="77777777">
        <w:trPr>
          <w:trHeight w:val="176"/>
        </w:trPr>
        <w:tc>
          <w:tcPr>
            <w:tcW w:w="2491" w:type="pct"/>
            <w:gridSpan w:val="2"/>
            <w:shd w:val="clear" w:color="auto" w:fill="F2F2F2"/>
          </w:tcPr>
          <w:p w14:paraId="7C297703" w14:textId="77777777" w:rsidR="00B202FC" w:rsidRPr="00380B24" w:rsidRDefault="00B202FC">
            <w:pPr>
              <w:spacing w:before="40" w:after="40"/>
              <w:rPr>
                <w:noProof/>
                <w:sz w:val="20"/>
                <w:lang w:eastAsia="ja-JP"/>
              </w:rPr>
            </w:pPr>
            <w:r w:rsidRPr="00380B24">
              <w:rPr>
                <w:noProof/>
                <w:sz w:val="20"/>
                <w:lang w:eastAsia="ja-JP"/>
              </w:rPr>
              <w:t>OQ3: Causal factors of efficient and inefficient practices are identified</w:t>
            </w:r>
          </w:p>
        </w:tc>
        <w:tc>
          <w:tcPr>
            <w:tcW w:w="2509" w:type="pct"/>
            <w:vMerge/>
            <w:shd w:val="clear" w:color="auto" w:fill="F2F2F2"/>
          </w:tcPr>
          <w:p w14:paraId="5DC79A96" w14:textId="77777777" w:rsidR="00B202FC" w:rsidRPr="00380B24" w:rsidRDefault="00B202FC">
            <w:pPr>
              <w:spacing w:before="40" w:after="40"/>
              <w:rPr>
                <w:noProof/>
                <w:sz w:val="20"/>
                <w:lang w:eastAsia="ja-JP"/>
              </w:rPr>
            </w:pPr>
          </w:p>
        </w:tc>
      </w:tr>
      <w:tr w:rsidR="00B202FC" w:rsidRPr="00380B24" w14:paraId="73A8D5BC" w14:textId="77777777">
        <w:tc>
          <w:tcPr>
            <w:tcW w:w="5000" w:type="pct"/>
            <w:gridSpan w:val="3"/>
            <w:shd w:val="clear" w:color="auto" w:fill="F2F2F2"/>
          </w:tcPr>
          <w:p w14:paraId="19E7FB85" w14:textId="77777777" w:rsidR="00B202FC" w:rsidRPr="00380B24" w:rsidRDefault="00B202FC">
            <w:pPr>
              <w:spacing w:before="40" w:after="40"/>
              <w:rPr>
                <w:bCs/>
                <w:noProof/>
                <w:sz w:val="20"/>
                <w:lang w:eastAsia="ja-JP"/>
              </w:rPr>
            </w:pPr>
            <w:r w:rsidRPr="00380B24">
              <w:rPr>
                <w:b/>
                <w:caps/>
                <w:noProof/>
                <w:sz w:val="20"/>
                <w:lang w:eastAsia="ja-JP"/>
              </w:rPr>
              <w:t>Data sources</w:t>
            </w:r>
          </w:p>
        </w:tc>
      </w:tr>
      <w:tr w:rsidR="00B202FC" w:rsidRPr="00380B24" w14:paraId="357FF7EF" w14:textId="77777777">
        <w:tc>
          <w:tcPr>
            <w:tcW w:w="5000" w:type="pct"/>
            <w:gridSpan w:val="3"/>
            <w:shd w:val="clear" w:color="auto" w:fill="F2F2F2"/>
          </w:tcPr>
          <w:p w14:paraId="2F1C84E2" w14:textId="77777777" w:rsidR="00B202FC" w:rsidRPr="00380B24" w:rsidRDefault="00B202FC" w:rsidP="00B202FC">
            <w:pPr>
              <w:numPr>
                <w:ilvl w:val="0"/>
                <w:numId w:val="180"/>
              </w:numPr>
              <w:spacing w:before="40" w:after="40"/>
              <w:contextualSpacing/>
              <w:rPr>
                <w:noProof/>
                <w:sz w:val="20"/>
                <w:lang w:eastAsia="ja-JP"/>
              </w:rPr>
            </w:pPr>
            <w:r w:rsidRPr="00380B24">
              <w:rPr>
                <w:noProof/>
                <w:sz w:val="20"/>
                <w:lang w:eastAsia="ja-JP"/>
              </w:rPr>
              <w:t xml:space="preserve">Desk research </w:t>
            </w:r>
          </w:p>
          <w:p w14:paraId="7422A80B" w14:textId="77777777" w:rsidR="00B202FC" w:rsidRPr="00380B24" w:rsidRDefault="00B202FC" w:rsidP="00B202FC">
            <w:pPr>
              <w:numPr>
                <w:ilvl w:val="0"/>
                <w:numId w:val="180"/>
              </w:numPr>
              <w:spacing w:before="40" w:after="40"/>
              <w:contextualSpacing/>
              <w:rPr>
                <w:noProof/>
                <w:sz w:val="20"/>
                <w:lang w:eastAsia="ja-JP"/>
              </w:rPr>
            </w:pPr>
            <w:r w:rsidRPr="00380B24">
              <w:rPr>
                <w:noProof/>
                <w:sz w:val="20"/>
                <w:lang w:eastAsia="ja-JP"/>
              </w:rPr>
              <w:t>Interviews</w:t>
            </w:r>
          </w:p>
          <w:p w14:paraId="709594F2" w14:textId="77777777" w:rsidR="00B202FC" w:rsidRPr="00380B24" w:rsidRDefault="00B202FC" w:rsidP="00B202FC">
            <w:pPr>
              <w:numPr>
                <w:ilvl w:val="0"/>
                <w:numId w:val="180"/>
              </w:numPr>
              <w:spacing w:before="40" w:after="40"/>
              <w:contextualSpacing/>
              <w:rPr>
                <w:noProof/>
                <w:sz w:val="20"/>
                <w:lang w:eastAsia="ja-JP"/>
              </w:rPr>
            </w:pPr>
            <w:r w:rsidRPr="00380B24">
              <w:rPr>
                <w:noProof/>
                <w:sz w:val="20"/>
                <w:lang w:eastAsia="ja-JP"/>
              </w:rPr>
              <w:t>Survey</w:t>
            </w:r>
          </w:p>
        </w:tc>
      </w:tr>
    </w:tbl>
    <w:p w14:paraId="20E2C82F" w14:textId="77777777" w:rsidR="00D52AD8" w:rsidRPr="00C57110" w:rsidRDefault="00D52AD8" w:rsidP="00D52AD8">
      <w:pPr>
        <w:rPr>
          <w:noProof/>
          <w:sz w:val="20"/>
          <w:szCs w:val="20"/>
          <w:lang w:eastAsia="ja-JP"/>
        </w:rPr>
      </w:pPr>
    </w:p>
    <w:tbl>
      <w:tblPr>
        <w:tblStyle w:val="TableGrid"/>
        <w:tblW w:w="0" w:type="auto"/>
        <w:tblInd w:w="-2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94"/>
      </w:tblGrid>
      <w:tr w:rsidR="00B202FC" w:rsidRPr="00380B24" w14:paraId="26A19248" w14:textId="77777777">
        <w:tc>
          <w:tcPr>
            <w:tcW w:w="0" w:type="auto"/>
            <w:shd w:val="clear" w:color="auto" w:fill="C6D9F1" w:themeFill="text2" w:themeFillTint="33"/>
          </w:tcPr>
          <w:p w14:paraId="765499EA" w14:textId="77777777" w:rsidR="00B202FC" w:rsidRPr="00380B24" w:rsidRDefault="00B202FC">
            <w:pPr>
              <w:rPr>
                <w:rFonts w:ascii="Arial" w:eastAsia="Arial" w:hAnsi="Arial" w:cs="Arial"/>
                <w:b/>
                <w:noProof/>
                <w:sz w:val="20"/>
              </w:rPr>
            </w:pPr>
            <w:bookmarkStart w:id="528" w:name="_Toc138265010"/>
            <w:bookmarkStart w:id="529" w:name="_Toc151458065"/>
            <w:bookmarkStart w:id="530" w:name="_Toc152321592"/>
            <w:bookmarkStart w:id="531" w:name="_Toc152513852"/>
            <w:bookmarkStart w:id="532" w:name="_Toc152592638"/>
            <w:bookmarkStart w:id="533" w:name="_Toc165880399"/>
            <w:bookmarkStart w:id="534" w:name="_Toc168425943"/>
            <w:bookmarkStart w:id="535" w:name="_Toc173138009"/>
            <w:bookmarkStart w:id="536" w:name="_Toc173138096"/>
            <w:bookmarkStart w:id="537" w:name="_Toc173520889"/>
            <w:bookmarkStart w:id="538" w:name="_Toc173524274"/>
            <w:r w:rsidRPr="00380B24">
              <w:rPr>
                <w:b/>
                <w:i/>
                <w:iCs/>
                <w:noProof/>
                <w:color w:val="000000" w:themeColor="text1"/>
                <w:sz w:val="20"/>
                <w:lang w:eastAsia="ja-JP"/>
              </w:rPr>
              <w:t>Evaluation results</w:t>
            </w:r>
          </w:p>
        </w:tc>
      </w:tr>
      <w:tr w:rsidR="00B202FC" w:rsidRPr="00380B24" w14:paraId="7D98C439" w14:textId="77777777">
        <w:tc>
          <w:tcPr>
            <w:tcW w:w="0" w:type="auto"/>
          </w:tcPr>
          <w:p w14:paraId="1F7599C4" w14:textId="77777777" w:rsidR="00B202FC" w:rsidRPr="00380B24" w:rsidRDefault="00B202FC">
            <w:pPr>
              <w:rPr>
                <w:noProof/>
                <w:sz w:val="20"/>
                <w:shd w:val="clear" w:color="auto" w:fill="F2F2F2" w:themeFill="background1" w:themeFillShade="F2"/>
                <w:lang w:eastAsia="ja-JP"/>
              </w:rPr>
            </w:pPr>
            <w:r w:rsidRPr="00380B24">
              <w:rPr>
                <w:noProof/>
                <w:sz w:val="20"/>
                <w:shd w:val="clear" w:color="auto" w:fill="F2F2F2" w:themeFill="background1" w:themeFillShade="F2"/>
                <w:lang w:eastAsia="ja-JP"/>
              </w:rPr>
              <w:t>The efficiency of the ECCF was shaped primarily by challenges related to both the substance and the procedures involved. Issues concerning content included political factors and the technical complexity of the certification schemes, which varied depending on the stakeholders and the specific products or services subject to certification. Procedural difficulties arose from preparation and adoption processes that had not been previously tested and were potentially cumbersome. On the other hand, the voluntary nature of the schemes did not seem to have a notable influence on the ECCF’s efficiency.</w:t>
            </w:r>
            <w:r w:rsidRPr="00380B24" w:rsidDel="00742DC9">
              <w:rPr>
                <w:noProof/>
                <w:sz w:val="20"/>
                <w:shd w:val="clear" w:color="auto" w:fill="F2F2F2" w:themeFill="background1" w:themeFillShade="F2"/>
                <w:lang w:eastAsia="ja-JP"/>
              </w:rPr>
              <w:t xml:space="preserve"> </w:t>
            </w:r>
            <w:r w:rsidRPr="00380B24">
              <w:rPr>
                <w:noProof/>
                <w:sz w:val="20"/>
                <w:shd w:val="clear" w:color="auto" w:fill="F2F2F2" w:themeFill="background1" w:themeFillShade="F2"/>
                <w:lang w:eastAsia="ja-JP"/>
              </w:rPr>
              <w:t xml:space="preserve">The formation of dedicated groups and forums </w:t>
            </w:r>
            <w:r w:rsidRPr="00380B24">
              <w:rPr>
                <w:noProof/>
                <w:sz w:val="20"/>
                <w:lang w:eastAsia="ja-JP"/>
              </w:rPr>
              <w:t>facilitated</w:t>
            </w:r>
            <w:r w:rsidRPr="00380B24">
              <w:rPr>
                <w:noProof/>
                <w:sz w:val="20"/>
                <w:shd w:val="clear" w:color="auto" w:fill="F2F2F2" w:themeFill="background1" w:themeFillShade="F2"/>
                <w:lang w:eastAsia="ja-JP"/>
              </w:rPr>
              <w:t xml:space="preserve"> necessary stakeholder involvement even though </w:t>
            </w:r>
            <w:r w:rsidRPr="00380B24">
              <w:rPr>
                <w:noProof/>
                <w:sz w:val="20"/>
                <w:lang w:eastAsia="ja-JP"/>
              </w:rPr>
              <w:t>there remains</w:t>
            </w:r>
            <w:r w:rsidRPr="00380B24">
              <w:rPr>
                <w:noProof/>
                <w:sz w:val="20"/>
                <w:shd w:val="clear" w:color="auto" w:fill="F2F2F2" w:themeFill="background1" w:themeFillShade="F2"/>
                <w:lang w:eastAsia="ja-JP"/>
              </w:rPr>
              <w:t xml:space="preserve"> substantial room for organisational improvement and refinement of internal governance. </w:t>
            </w:r>
          </w:p>
        </w:tc>
      </w:tr>
    </w:tbl>
    <w:p w14:paraId="7D5E34FA" w14:textId="77777777" w:rsidR="00D52AD8" w:rsidRPr="00C57110" w:rsidRDefault="00D52AD8" w:rsidP="00D52AD8">
      <w:pPr>
        <w:rPr>
          <w:noProof/>
        </w:rPr>
      </w:pPr>
    </w:p>
    <w:p w14:paraId="22235482" w14:textId="77777777" w:rsidR="00D52AD8" w:rsidRPr="00C57110" w:rsidRDefault="00D52AD8" w:rsidP="00D52AD8">
      <w:pPr>
        <w:pStyle w:val="Heading3"/>
        <w:rPr>
          <w:noProof/>
          <w:lang w:eastAsia="ja-JP"/>
        </w:rPr>
      </w:pPr>
      <w:bookmarkStart w:id="539" w:name="_Toc138265009"/>
      <w:bookmarkStart w:id="540" w:name="_Toc151458064"/>
      <w:bookmarkStart w:id="541" w:name="_Toc152321591"/>
      <w:bookmarkStart w:id="542" w:name="_Toc152513851"/>
      <w:bookmarkStart w:id="543" w:name="_Toc152592637"/>
      <w:bookmarkStart w:id="544" w:name="_Toc165880398"/>
      <w:bookmarkStart w:id="545" w:name="_Toc168425942"/>
      <w:bookmarkStart w:id="546" w:name="_Toc173138008"/>
      <w:bookmarkStart w:id="547" w:name="_Toc173138095"/>
      <w:bookmarkStart w:id="548" w:name="_Toc173520890"/>
      <w:bookmarkStart w:id="549" w:name="_Toc173524275"/>
      <w:bookmarkStart w:id="550" w:name="_Toc218702624"/>
      <w:bookmarkStart w:id="551" w:name="_Toc219039547"/>
      <w:bookmarkStart w:id="552" w:name="_Toc219447450"/>
      <w:bookmarkStart w:id="553" w:name="_Toc138265011"/>
      <w:bookmarkStart w:id="554" w:name="_Toc151458066"/>
      <w:bookmarkStart w:id="555" w:name="_Toc152321593"/>
      <w:bookmarkStart w:id="556" w:name="_Toc152513853"/>
      <w:bookmarkStart w:id="557" w:name="_Toc152592639"/>
      <w:bookmarkStart w:id="558" w:name="_Toc165880400"/>
      <w:bookmarkStart w:id="559" w:name="_Toc168425944"/>
      <w:bookmarkStart w:id="560" w:name="_Toc173138010"/>
      <w:bookmarkStart w:id="561" w:name="_Toc173138097"/>
      <w:bookmarkEnd w:id="528"/>
      <w:bookmarkEnd w:id="529"/>
      <w:bookmarkEnd w:id="530"/>
      <w:bookmarkEnd w:id="531"/>
      <w:bookmarkEnd w:id="532"/>
      <w:bookmarkEnd w:id="533"/>
      <w:bookmarkEnd w:id="534"/>
      <w:bookmarkEnd w:id="535"/>
      <w:bookmarkEnd w:id="536"/>
      <w:bookmarkEnd w:id="537"/>
      <w:bookmarkEnd w:id="538"/>
      <w:r w:rsidRPr="00C57110">
        <w:rPr>
          <w:noProof/>
          <w:lang w:eastAsia="ja-JP"/>
        </w:rPr>
        <w:t>Coherence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406DB21A" w14:textId="1790806A" w:rsidR="00D52AD8" w:rsidRPr="00C57110" w:rsidRDefault="00D52AD8" w:rsidP="00D52AD8">
      <w:pPr>
        <w:spacing w:before="120"/>
        <w:rPr>
          <w:rFonts w:eastAsia="Arial"/>
          <w:noProof/>
          <w:lang w:eastAsia="ja-JP"/>
        </w:rPr>
      </w:pPr>
      <w:r w:rsidRPr="00C57110">
        <w:rPr>
          <w:rFonts w:eastAsia="Arial"/>
          <w:noProof/>
          <w:lang w:eastAsia="ja-JP"/>
        </w:rPr>
        <w:t xml:space="preserve">The coherence analysis examined the extent to which the objectives of ENISA and the ECCF align with and complement other initiatives and the work of EU and national bodies in the field of cybersecurity. Specifically, </w:t>
      </w:r>
      <w:r w:rsidR="00B202FC" w:rsidRPr="00380B24">
        <w:rPr>
          <w:rFonts w:eastAsia="Arial"/>
          <w:noProof/>
          <w:lang w:eastAsia="ja-JP"/>
        </w:rPr>
        <w:t xml:space="preserve">the </w:t>
      </w:r>
      <w:r w:rsidRPr="00C57110">
        <w:rPr>
          <w:rFonts w:eastAsia="Arial"/>
          <w:noProof/>
          <w:lang w:eastAsia="ja-JP"/>
        </w:rPr>
        <w:t xml:space="preserve">external coherence </w:t>
      </w:r>
      <w:r w:rsidR="00B202FC" w:rsidRPr="00380B24">
        <w:rPr>
          <w:rFonts w:eastAsia="Arial"/>
          <w:noProof/>
          <w:lang w:eastAsia="ja-JP"/>
        </w:rPr>
        <w:t xml:space="preserve">analysis </w:t>
      </w:r>
      <w:r w:rsidRPr="00C57110">
        <w:rPr>
          <w:rFonts w:eastAsia="Arial"/>
          <w:noProof/>
          <w:lang w:eastAsia="ja-JP"/>
        </w:rPr>
        <w:t>assessed how well ENISA and the ECCF support the broader cybersecurity policy goals of the European Commission.</w:t>
      </w:r>
    </w:p>
    <w:p w14:paraId="4B567619" w14:textId="77777777" w:rsidR="00D52AD8" w:rsidRPr="00C57110" w:rsidRDefault="00D52AD8" w:rsidP="00D52AD8">
      <w:pPr>
        <w:spacing w:before="120"/>
        <w:rPr>
          <w:rFonts w:eastAsia="Arial"/>
          <w:noProof/>
          <w:lang w:eastAsia="ja-JP"/>
        </w:rPr>
      </w:pPr>
      <w:r w:rsidRPr="00C57110">
        <w:rPr>
          <w:rFonts w:eastAsia="Arial"/>
          <w:noProof/>
          <w:lang w:eastAsia="ja-JP"/>
        </w:rPr>
        <w:t>Internal coherence was also evaluated to determine how effectively the various components within ENISA and the ECCF function together to achieve their respective objectives.</w:t>
      </w:r>
    </w:p>
    <w:p w14:paraId="4EFD7113" w14:textId="77777777" w:rsidR="00D52AD8" w:rsidRPr="00C57110" w:rsidRDefault="00D52AD8" w:rsidP="00D52AD8">
      <w:pPr>
        <w:spacing w:before="120"/>
        <w:rPr>
          <w:rFonts w:eastAsia="Arial"/>
          <w:noProof/>
          <w:lang w:eastAsia="ja-JP"/>
        </w:rPr>
      </w:pPr>
      <w:r w:rsidRPr="00C57110">
        <w:rPr>
          <w:rFonts w:eastAsia="Arial"/>
          <w:noProof/>
          <w:lang w:eastAsia="ja-JP"/>
        </w:rPr>
        <w:t>The tables below present the structure of the evaluation matrix. Where relevant, findings are presented separately for ENISA and the ECCF.</w:t>
      </w:r>
    </w:p>
    <w:p w14:paraId="6BE7D77E" w14:textId="77777777" w:rsidR="00D52AD8" w:rsidRPr="00C57110" w:rsidRDefault="00D52AD8" w:rsidP="00D52AD8">
      <w:pPr>
        <w:spacing w:before="120"/>
        <w:rPr>
          <w:rFonts w:eastAsia="Arial"/>
          <w:b/>
          <w:bCs/>
          <w:noProof/>
          <w:lang w:eastAsia="ja-JP"/>
        </w:rPr>
      </w:pPr>
      <w:r w:rsidRPr="00C57110">
        <w:rPr>
          <w:rFonts w:eastAsia="Arial"/>
          <w:b/>
          <w:bCs/>
          <w:noProof/>
          <w:lang w:eastAsia="ja-JP"/>
        </w:rPr>
        <w:t>ENISA</w:t>
      </w: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47"/>
        <w:gridCol w:w="3657"/>
        <w:gridCol w:w="7070"/>
      </w:tblGrid>
      <w:tr w:rsidR="00B202FC" w:rsidRPr="00380B24" w14:paraId="05124BFF" w14:textId="77777777">
        <w:trPr>
          <w:cnfStyle w:val="100000000000" w:firstRow="1" w:lastRow="0" w:firstColumn="0" w:lastColumn="0" w:oddVBand="0" w:evenVBand="0" w:oddHBand="0" w:evenHBand="0" w:firstRowFirstColumn="0" w:firstRowLastColumn="0" w:lastRowFirstColumn="0" w:lastRowLastColumn="0"/>
          <w:trHeight w:val="56"/>
        </w:trPr>
        <w:tc>
          <w:tcPr>
            <w:tcW w:w="1216" w:type="pct"/>
            <w:shd w:val="clear" w:color="auto" w:fill="C6D9F1" w:themeFill="text2" w:themeFillTint="33"/>
          </w:tcPr>
          <w:p w14:paraId="76EF3F49"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535BCA21"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784" w:type="pct"/>
            <w:gridSpan w:val="2"/>
            <w:shd w:val="clear" w:color="auto" w:fill="C6D9F1" w:themeFill="text2" w:themeFillTint="33"/>
          </w:tcPr>
          <w:p w14:paraId="03664283"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How well has ENISA supported the overarching policy goals?</w:t>
            </w:r>
          </w:p>
        </w:tc>
      </w:tr>
      <w:tr w:rsidR="00B202FC" w:rsidRPr="00380B24" w14:paraId="7EFC38B3" w14:textId="77777777">
        <w:trPr>
          <w:trHeight w:val="229"/>
        </w:trPr>
        <w:tc>
          <w:tcPr>
            <w:tcW w:w="5000" w:type="pct"/>
            <w:gridSpan w:val="3"/>
            <w:shd w:val="clear" w:color="auto" w:fill="F2F2F2" w:themeFill="background1" w:themeFillShade="F2"/>
          </w:tcPr>
          <w:p w14:paraId="29FA3627"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778FCC72" w14:textId="77777777">
        <w:tc>
          <w:tcPr>
            <w:tcW w:w="5000" w:type="pct"/>
            <w:gridSpan w:val="3"/>
            <w:shd w:val="clear" w:color="auto" w:fill="F2F2F2" w:themeFill="background1" w:themeFillShade="F2"/>
          </w:tcPr>
          <w:p w14:paraId="2D18369F" w14:textId="77777777" w:rsidR="00B202FC" w:rsidRPr="00380B24" w:rsidRDefault="00B202FC" w:rsidP="00B202FC">
            <w:pPr>
              <w:numPr>
                <w:ilvl w:val="0"/>
                <w:numId w:val="152"/>
              </w:numPr>
              <w:spacing w:before="40" w:after="40"/>
              <w:contextualSpacing/>
              <w:rPr>
                <w:noProof/>
                <w:sz w:val="20"/>
                <w:lang w:eastAsia="ja-JP"/>
              </w:rPr>
            </w:pPr>
            <w:r w:rsidRPr="00380B24">
              <w:rPr>
                <w:bCs/>
                <w:noProof/>
                <w:sz w:val="20"/>
                <w:lang w:eastAsia="ja-JP"/>
              </w:rPr>
              <w:t>OQ1: To what extent has ENISA contributed to the implementation of the NIS2 Directive?</w:t>
            </w:r>
          </w:p>
          <w:p w14:paraId="14F43487" w14:textId="77777777" w:rsidR="00B202FC" w:rsidRPr="00380B24" w:rsidRDefault="00B202FC">
            <w:pPr>
              <w:spacing w:before="40" w:after="40"/>
              <w:ind w:left="720"/>
              <w:contextualSpacing/>
              <w:rPr>
                <w:noProof/>
                <w:sz w:val="20"/>
                <w:lang w:eastAsia="ja-JP"/>
              </w:rPr>
            </w:pPr>
          </w:p>
        </w:tc>
      </w:tr>
      <w:tr w:rsidR="00B202FC" w:rsidRPr="00380B24" w14:paraId="2A20873C" w14:textId="77777777">
        <w:tc>
          <w:tcPr>
            <w:tcW w:w="5000" w:type="pct"/>
            <w:gridSpan w:val="3"/>
            <w:shd w:val="clear" w:color="auto" w:fill="F2F2F2" w:themeFill="background1" w:themeFillShade="F2"/>
          </w:tcPr>
          <w:p w14:paraId="62A33476"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2272AAEB" w14:textId="77777777">
        <w:trPr>
          <w:trHeight w:val="104"/>
        </w:trPr>
        <w:tc>
          <w:tcPr>
            <w:tcW w:w="2506" w:type="pct"/>
            <w:gridSpan w:val="2"/>
            <w:shd w:val="clear" w:color="auto" w:fill="F2F2F2" w:themeFill="background1" w:themeFillShade="F2"/>
          </w:tcPr>
          <w:p w14:paraId="3CF0BFA5" w14:textId="77777777" w:rsidR="00B202FC" w:rsidRPr="00380B24" w:rsidRDefault="00B202FC">
            <w:pPr>
              <w:spacing w:before="40" w:after="40"/>
              <w:rPr>
                <w:noProof/>
                <w:sz w:val="20"/>
                <w:lang w:eastAsia="ja-JP"/>
              </w:rPr>
            </w:pPr>
            <w:r w:rsidRPr="00380B24">
              <w:rPr>
                <w:noProof/>
                <w:sz w:val="20"/>
                <w:lang w:eastAsia="ja-JP"/>
              </w:rPr>
              <w:t>OQ1: ENISA positively contributed to the implementation of the NIS2.</w:t>
            </w:r>
          </w:p>
        </w:tc>
        <w:tc>
          <w:tcPr>
            <w:tcW w:w="2494" w:type="pct"/>
            <w:shd w:val="clear" w:color="auto" w:fill="F2F2F2" w:themeFill="background1" w:themeFillShade="F2"/>
          </w:tcPr>
          <w:p w14:paraId="7AF4F547" w14:textId="77777777" w:rsidR="00B202FC" w:rsidRPr="00380B24" w:rsidRDefault="00B202FC">
            <w:pPr>
              <w:spacing w:before="40" w:after="40"/>
              <w:rPr>
                <w:noProof/>
                <w:sz w:val="20"/>
                <w:lang w:eastAsia="ja-JP"/>
              </w:rPr>
            </w:pPr>
            <w:r w:rsidRPr="00380B24">
              <w:rPr>
                <w:noProof/>
                <w:sz w:val="20"/>
                <w:lang w:eastAsia="ja-JP"/>
              </w:rPr>
              <w:t>Quality of implementation of NIS2 provisions.</w:t>
            </w:r>
          </w:p>
        </w:tc>
      </w:tr>
      <w:tr w:rsidR="00B202FC" w:rsidRPr="00380B24" w14:paraId="66984061" w14:textId="77777777">
        <w:trPr>
          <w:trHeight w:val="104"/>
        </w:trPr>
        <w:tc>
          <w:tcPr>
            <w:tcW w:w="2506" w:type="pct"/>
            <w:gridSpan w:val="2"/>
            <w:shd w:val="clear" w:color="auto" w:fill="F2F2F2" w:themeFill="background1" w:themeFillShade="F2"/>
          </w:tcPr>
          <w:p w14:paraId="2413B23E" w14:textId="77777777" w:rsidR="00B202FC" w:rsidRPr="00380B24" w:rsidRDefault="00B202FC">
            <w:pPr>
              <w:spacing w:before="40" w:after="40"/>
              <w:rPr>
                <w:noProof/>
                <w:sz w:val="20"/>
                <w:lang w:eastAsia="ja-JP"/>
              </w:rPr>
            </w:pPr>
          </w:p>
        </w:tc>
        <w:tc>
          <w:tcPr>
            <w:tcW w:w="2494" w:type="pct"/>
            <w:shd w:val="clear" w:color="auto" w:fill="F2F2F2" w:themeFill="background1" w:themeFillShade="F2"/>
          </w:tcPr>
          <w:p w14:paraId="22A9C932" w14:textId="77777777" w:rsidR="00B202FC" w:rsidRPr="00380B24" w:rsidRDefault="00B202FC">
            <w:pPr>
              <w:spacing w:before="40" w:after="40"/>
              <w:rPr>
                <w:noProof/>
                <w:sz w:val="20"/>
                <w:lang w:eastAsia="ja-JP"/>
              </w:rPr>
            </w:pPr>
          </w:p>
        </w:tc>
      </w:tr>
      <w:tr w:rsidR="00B202FC" w:rsidRPr="00380B24" w14:paraId="3BCC4D6D" w14:textId="77777777">
        <w:tc>
          <w:tcPr>
            <w:tcW w:w="5000" w:type="pct"/>
            <w:gridSpan w:val="3"/>
            <w:shd w:val="clear" w:color="auto" w:fill="F2F2F2" w:themeFill="background1" w:themeFillShade="F2"/>
          </w:tcPr>
          <w:p w14:paraId="79EAB26F"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741F828A" w14:textId="77777777">
        <w:tc>
          <w:tcPr>
            <w:tcW w:w="5000" w:type="pct"/>
            <w:gridSpan w:val="3"/>
            <w:shd w:val="clear" w:color="auto" w:fill="F2F2F2" w:themeFill="background1" w:themeFillShade="F2"/>
          </w:tcPr>
          <w:p w14:paraId="27C3273D" w14:textId="77777777" w:rsidR="00B202FC" w:rsidRPr="00380B24" w:rsidRDefault="00B202FC" w:rsidP="00B202FC">
            <w:pPr>
              <w:numPr>
                <w:ilvl w:val="0"/>
                <w:numId w:val="152"/>
              </w:numPr>
              <w:spacing w:before="40" w:after="40"/>
              <w:contextualSpacing/>
              <w:rPr>
                <w:noProof/>
                <w:sz w:val="20"/>
                <w:lang w:eastAsia="ja-JP"/>
              </w:rPr>
            </w:pPr>
            <w:r w:rsidRPr="00380B24">
              <w:rPr>
                <w:noProof/>
                <w:sz w:val="20"/>
                <w:lang w:eastAsia="ja-JP"/>
              </w:rPr>
              <w:t>Desk research</w:t>
            </w:r>
          </w:p>
          <w:p w14:paraId="04C5246F" w14:textId="77777777" w:rsidR="00B202FC" w:rsidRPr="00380B24" w:rsidRDefault="00B202FC" w:rsidP="00B202FC">
            <w:pPr>
              <w:numPr>
                <w:ilvl w:val="0"/>
                <w:numId w:val="152"/>
              </w:numPr>
              <w:spacing w:before="40" w:after="40"/>
              <w:contextualSpacing/>
              <w:rPr>
                <w:noProof/>
                <w:sz w:val="20"/>
                <w:lang w:eastAsia="ja-JP"/>
              </w:rPr>
            </w:pPr>
            <w:r w:rsidRPr="00380B24">
              <w:rPr>
                <w:noProof/>
                <w:sz w:val="20"/>
                <w:lang w:eastAsia="ja-JP"/>
              </w:rPr>
              <w:t>Interviews</w:t>
            </w:r>
          </w:p>
          <w:p w14:paraId="1A135E90" w14:textId="77777777" w:rsidR="00B202FC" w:rsidRPr="00380B24" w:rsidRDefault="00B202FC" w:rsidP="00B202FC">
            <w:pPr>
              <w:numPr>
                <w:ilvl w:val="0"/>
                <w:numId w:val="152"/>
              </w:numPr>
              <w:spacing w:before="40" w:after="40"/>
              <w:contextualSpacing/>
              <w:rPr>
                <w:noProof/>
                <w:sz w:val="20"/>
                <w:lang w:eastAsia="ja-JP"/>
              </w:rPr>
            </w:pPr>
            <w:r w:rsidRPr="00380B24">
              <w:rPr>
                <w:noProof/>
                <w:sz w:val="20"/>
                <w:lang w:eastAsia="ja-JP"/>
              </w:rPr>
              <w:t>Survey</w:t>
            </w:r>
          </w:p>
        </w:tc>
      </w:tr>
    </w:tbl>
    <w:p w14:paraId="117BB926" w14:textId="77777777" w:rsidR="00D52AD8" w:rsidRPr="00C57110" w:rsidRDefault="00D52AD8" w:rsidP="00D52AD8">
      <w:pPr>
        <w:spacing w:before="40" w:after="40"/>
        <w:rPr>
          <w:rFonts w:eastAsia="Arial"/>
          <w:b/>
          <w:noProof/>
          <w:sz w:val="20"/>
          <w:szCs w:val="20"/>
          <w:lang w:eastAsia="ja-JP"/>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42"/>
        <w:gridCol w:w="3189"/>
        <w:gridCol w:w="7543"/>
      </w:tblGrid>
      <w:tr w:rsidR="00B202FC" w:rsidRPr="00380B24" w14:paraId="249A1031" w14:textId="77777777">
        <w:trPr>
          <w:cnfStyle w:val="100000000000" w:firstRow="1" w:lastRow="0" w:firstColumn="0" w:lastColumn="0" w:oddVBand="0" w:evenVBand="0" w:oddHBand="0" w:evenHBand="0" w:firstRowFirstColumn="0" w:firstRowLastColumn="0" w:lastRowFirstColumn="0" w:lastRowLastColumn="0"/>
          <w:trHeight w:val="56"/>
        </w:trPr>
        <w:tc>
          <w:tcPr>
            <w:tcW w:w="1214" w:type="pct"/>
            <w:shd w:val="clear" w:color="auto" w:fill="C6D9F1" w:themeFill="text2" w:themeFillTint="33"/>
          </w:tcPr>
          <w:p w14:paraId="64767643" w14:textId="77777777" w:rsidR="00B202FC" w:rsidRPr="00380B24" w:rsidRDefault="00B202FC">
            <w:pPr>
              <w:spacing w:before="40" w:after="40"/>
              <w:rPr>
                <w:b/>
                <w:i/>
                <w:iCs/>
                <w:noProof/>
                <w:color w:val="000000" w:themeColor="text1"/>
                <w:sz w:val="20"/>
                <w:lang w:eastAsia="ja-JP"/>
              </w:rPr>
            </w:pPr>
            <w:r w:rsidRPr="00380B24">
              <w:rPr>
                <w:b/>
                <w:i/>
                <w:iCs/>
                <w:noProof/>
                <w:color w:val="000000" w:themeColor="text1"/>
                <w:sz w:val="20"/>
                <w:lang w:eastAsia="ja-JP"/>
              </w:rPr>
              <w:t>Coherence</w:t>
            </w:r>
          </w:p>
          <w:p w14:paraId="2FA3D8A9"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EQ2, ENISA</w:t>
            </w:r>
          </w:p>
        </w:tc>
        <w:tc>
          <w:tcPr>
            <w:tcW w:w="3786" w:type="pct"/>
            <w:gridSpan w:val="2"/>
            <w:shd w:val="clear" w:color="auto" w:fill="C6D9F1" w:themeFill="text2" w:themeFillTint="33"/>
          </w:tcPr>
          <w:p w14:paraId="3BBB8996" w14:textId="77777777" w:rsidR="00B202FC" w:rsidRPr="00380B24" w:rsidRDefault="00B202FC">
            <w:pPr>
              <w:spacing w:before="40" w:after="40"/>
              <w:rPr>
                <w:b/>
                <w:noProof/>
                <w:color w:val="000000" w:themeColor="text1"/>
                <w:sz w:val="20"/>
                <w:lang w:eastAsia="ja-JP"/>
              </w:rPr>
            </w:pPr>
            <w:r w:rsidRPr="00380B24">
              <w:rPr>
                <w:b/>
                <w:noProof/>
                <w:color w:val="000000" w:themeColor="text1"/>
                <w:sz w:val="20"/>
                <w:lang w:eastAsia="ja-JP"/>
              </w:rPr>
              <w:t>To what extent has ENISA fostered cooperation at EU and national level?</w:t>
            </w:r>
          </w:p>
        </w:tc>
      </w:tr>
      <w:tr w:rsidR="00B202FC" w:rsidRPr="00380B24" w14:paraId="5962BAF3" w14:textId="77777777">
        <w:trPr>
          <w:trHeight w:val="229"/>
        </w:trPr>
        <w:tc>
          <w:tcPr>
            <w:tcW w:w="5000" w:type="pct"/>
            <w:gridSpan w:val="3"/>
            <w:shd w:val="clear" w:color="auto" w:fill="F2F2F2" w:themeFill="background1" w:themeFillShade="F2"/>
          </w:tcPr>
          <w:p w14:paraId="456BF354"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36A9F21C" w14:textId="77777777">
        <w:tc>
          <w:tcPr>
            <w:tcW w:w="5000" w:type="pct"/>
            <w:gridSpan w:val="3"/>
            <w:shd w:val="clear" w:color="auto" w:fill="F2F2F2" w:themeFill="background1" w:themeFillShade="F2"/>
          </w:tcPr>
          <w:p w14:paraId="3BAAE986" w14:textId="77777777" w:rsidR="00B202FC" w:rsidRPr="00380B24" w:rsidRDefault="00B202FC" w:rsidP="00B202FC">
            <w:pPr>
              <w:numPr>
                <w:ilvl w:val="0"/>
                <w:numId w:val="152"/>
              </w:numPr>
              <w:spacing w:before="40" w:after="40"/>
              <w:contextualSpacing/>
              <w:rPr>
                <w:bCs/>
                <w:noProof/>
                <w:sz w:val="20"/>
                <w:lang w:eastAsia="ja-JP"/>
              </w:rPr>
            </w:pPr>
            <w:r w:rsidRPr="00380B24">
              <w:rPr>
                <w:bCs/>
                <w:noProof/>
                <w:sz w:val="20"/>
                <w:lang w:eastAsia="ja-JP"/>
              </w:rPr>
              <w:t>OQ1: To what extent has ENISA exploited synergies in expertise and knowledge sharing with other stakeholders and EU/MS bodies and private and public stakeholders?</w:t>
            </w:r>
          </w:p>
          <w:p w14:paraId="26CD8D14" w14:textId="77777777" w:rsidR="00B202FC" w:rsidRPr="00380B24" w:rsidRDefault="00B202FC" w:rsidP="00B202FC">
            <w:pPr>
              <w:numPr>
                <w:ilvl w:val="0"/>
                <w:numId w:val="152"/>
              </w:numPr>
              <w:spacing w:before="40" w:after="40"/>
              <w:contextualSpacing/>
              <w:rPr>
                <w:bCs/>
                <w:noProof/>
                <w:sz w:val="20"/>
                <w:lang w:eastAsia="ja-JP"/>
              </w:rPr>
            </w:pPr>
            <w:r w:rsidRPr="00380B24">
              <w:rPr>
                <w:bCs/>
                <w:noProof/>
                <w:sz w:val="20"/>
                <w:lang w:eastAsia="ja-JP"/>
              </w:rPr>
              <w:t xml:space="preserve">OQ2: To what extent has ENISA </w:t>
            </w:r>
            <w:r w:rsidRPr="00380B24">
              <w:rPr>
                <w:noProof/>
                <w:sz w:val="20"/>
                <w:lang w:eastAsia="ja-JP"/>
              </w:rPr>
              <w:t>coordinated its work with other EU/national bodies</w:t>
            </w:r>
            <w:r w:rsidRPr="00380B24">
              <w:rPr>
                <w:bCs/>
                <w:noProof/>
                <w:sz w:val="20"/>
                <w:lang w:eastAsia="ja-JP"/>
              </w:rPr>
              <w:t xml:space="preserve"> and private and public stakeholders in preventing and responding to cyber threats?</w:t>
            </w:r>
          </w:p>
        </w:tc>
      </w:tr>
      <w:tr w:rsidR="00B202FC" w:rsidRPr="00380B24" w14:paraId="6A6D13C2" w14:textId="77777777">
        <w:tc>
          <w:tcPr>
            <w:tcW w:w="5000" w:type="pct"/>
            <w:gridSpan w:val="3"/>
            <w:shd w:val="clear" w:color="auto" w:fill="F2F2F2" w:themeFill="background1" w:themeFillShade="F2"/>
          </w:tcPr>
          <w:p w14:paraId="30B9FEB4" w14:textId="77777777" w:rsidR="00B202FC" w:rsidRPr="00380B24" w:rsidRDefault="00B202FC">
            <w:pPr>
              <w:spacing w:before="40" w:after="40"/>
              <w:rPr>
                <w:bCs/>
                <w:noProof/>
                <w:sz w:val="20"/>
                <w:lang w:eastAsia="ja-JP"/>
              </w:rPr>
            </w:pPr>
            <w:r w:rsidRPr="00380B24">
              <w:rPr>
                <w:b/>
                <w:caps/>
                <w:noProof/>
                <w:sz w:val="20"/>
                <w:lang w:eastAsia="ja-JP"/>
              </w:rPr>
              <w:t>Judgement criteria and INDICATORS</w:t>
            </w:r>
          </w:p>
        </w:tc>
      </w:tr>
      <w:tr w:rsidR="00B202FC" w:rsidRPr="00380B24" w14:paraId="44E2F2F3" w14:textId="77777777">
        <w:trPr>
          <w:trHeight w:val="765"/>
        </w:trPr>
        <w:tc>
          <w:tcPr>
            <w:tcW w:w="2339" w:type="pct"/>
            <w:gridSpan w:val="2"/>
            <w:shd w:val="clear" w:color="auto" w:fill="F2F2F2" w:themeFill="background1" w:themeFillShade="F2"/>
          </w:tcPr>
          <w:p w14:paraId="759BE78B" w14:textId="77777777" w:rsidR="00B202FC" w:rsidRPr="00380B24" w:rsidRDefault="00B202FC">
            <w:pPr>
              <w:spacing w:before="40" w:after="40"/>
              <w:rPr>
                <w:noProof/>
                <w:sz w:val="20"/>
                <w:lang w:eastAsia="ja-JP"/>
              </w:rPr>
            </w:pPr>
            <w:r w:rsidRPr="00380B24">
              <w:rPr>
                <w:noProof/>
                <w:sz w:val="20"/>
                <w:lang w:eastAsia="ja-JP"/>
              </w:rPr>
              <w:t xml:space="preserve">OQ1: ENISA sufficiently exploited synergies in expertise and knowledge sharing with other stakeholders and EU/MS bodies </w:t>
            </w:r>
          </w:p>
        </w:tc>
        <w:tc>
          <w:tcPr>
            <w:tcW w:w="2661" w:type="pct"/>
            <w:shd w:val="clear" w:color="auto" w:fill="F2F2F2" w:themeFill="background1" w:themeFillShade="F2"/>
          </w:tcPr>
          <w:p w14:paraId="790EB92D" w14:textId="77777777" w:rsidR="00B202FC" w:rsidRPr="00380B24" w:rsidRDefault="00B202FC">
            <w:pPr>
              <w:spacing w:before="40" w:after="40"/>
              <w:rPr>
                <w:bCs/>
                <w:noProof/>
                <w:sz w:val="20"/>
                <w:lang w:eastAsia="ja-JP"/>
              </w:rPr>
            </w:pPr>
            <w:r w:rsidRPr="00380B24">
              <w:rPr>
                <w:noProof/>
                <w:sz w:val="20"/>
                <w:lang w:eastAsia="ja-JP"/>
              </w:rPr>
              <w:t xml:space="preserve">Opinions of stakeholders (with two thirds of all stakeholders having a positive opinion); share of synergies exploited and their contribution to the quality of achieved outputs </w:t>
            </w:r>
          </w:p>
        </w:tc>
      </w:tr>
      <w:tr w:rsidR="00B202FC" w:rsidRPr="00380B24" w14:paraId="29FD0DA0" w14:textId="77777777">
        <w:trPr>
          <w:trHeight w:val="156"/>
        </w:trPr>
        <w:tc>
          <w:tcPr>
            <w:tcW w:w="2339" w:type="pct"/>
            <w:gridSpan w:val="2"/>
            <w:shd w:val="clear" w:color="auto" w:fill="F2F2F2" w:themeFill="background1" w:themeFillShade="F2"/>
          </w:tcPr>
          <w:p w14:paraId="518F3B01" w14:textId="77777777" w:rsidR="00B202FC" w:rsidRPr="00380B24" w:rsidRDefault="00B202FC">
            <w:pPr>
              <w:spacing w:before="40" w:after="40"/>
              <w:rPr>
                <w:noProof/>
                <w:sz w:val="20"/>
                <w:lang w:eastAsia="ja-JP"/>
              </w:rPr>
            </w:pPr>
            <w:r w:rsidRPr="00380B24">
              <w:rPr>
                <w:noProof/>
                <w:sz w:val="20"/>
                <w:lang w:eastAsia="ja-JP"/>
              </w:rPr>
              <w:t xml:space="preserve">OQ2: ENISA made the best use of existing resources while working with other EU/national bodies </w:t>
            </w:r>
            <w:r w:rsidRPr="00380B24">
              <w:rPr>
                <w:bCs/>
                <w:noProof/>
                <w:sz w:val="20"/>
                <w:lang w:eastAsia="ja-JP"/>
              </w:rPr>
              <w:t>and private and public stakeholders</w:t>
            </w:r>
            <w:r w:rsidRPr="00380B24">
              <w:rPr>
                <w:noProof/>
                <w:sz w:val="20"/>
                <w:lang w:eastAsia="ja-JP"/>
              </w:rPr>
              <w:t xml:space="preserve"> in preventing and responding to cyber threats (while avoiding overlaps)</w:t>
            </w:r>
          </w:p>
        </w:tc>
        <w:tc>
          <w:tcPr>
            <w:tcW w:w="2661" w:type="pct"/>
            <w:shd w:val="clear" w:color="auto" w:fill="F2F2F2" w:themeFill="background1" w:themeFillShade="F2"/>
          </w:tcPr>
          <w:p w14:paraId="7ED77053" w14:textId="77777777" w:rsidR="00B202FC" w:rsidRPr="00380B24" w:rsidRDefault="00B202FC">
            <w:pPr>
              <w:spacing w:before="40" w:after="40"/>
              <w:rPr>
                <w:noProof/>
                <w:sz w:val="20"/>
                <w:lang w:eastAsia="ja-JP"/>
              </w:rPr>
            </w:pPr>
            <w:r w:rsidRPr="00380B24">
              <w:rPr>
                <w:noProof/>
                <w:sz w:val="20"/>
                <w:lang w:eastAsia="ja-JP"/>
              </w:rPr>
              <w:t>Share of complementarities and overlaps in the work of ENISA with other EU/national bodies</w:t>
            </w:r>
            <w:r w:rsidRPr="00380B24">
              <w:rPr>
                <w:rStyle w:val="FootnoteReference"/>
                <w:noProof/>
                <w:lang w:eastAsia="en-US"/>
              </w:rPr>
              <w:footnoteReference w:id="285"/>
            </w:r>
            <w:r w:rsidRPr="00380B24">
              <w:rPr>
                <w:noProof/>
                <w:sz w:val="20"/>
                <w:lang w:eastAsia="ja-JP"/>
              </w:rPr>
              <w:t>; opinions of stakeholders on this issue (with two thirds of all stakeholders having a positive opinion)</w:t>
            </w:r>
          </w:p>
        </w:tc>
      </w:tr>
      <w:tr w:rsidR="00B202FC" w:rsidRPr="00380B24" w14:paraId="0E270C94" w14:textId="77777777">
        <w:trPr>
          <w:trHeight w:val="156"/>
        </w:trPr>
        <w:tc>
          <w:tcPr>
            <w:tcW w:w="2339" w:type="pct"/>
            <w:gridSpan w:val="2"/>
            <w:shd w:val="clear" w:color="auto" w:fill="F2F2F2" w:themeFill="background1" w:themeFillShade="F2"/>
          </w:tcPr>
          <w:p w14:paraId="6C007522" w14:textId="77777777" w:rsidR="00B202FC" w:rsidRPr="00380B24" w:rsidRDefault="00B202FC">
            <w:pPr>
              <w:spacing w:before="40" w:after="40"/>
              <w:rPr>
                <w:noProof/>
                <w:sz w:val="20"/>
                <w:lang w:eastAsia="ja-JP"/>
              </w:rPr>
            </w:pPr>
            <w:r w:rsidRPr="00380B24">
              <w:rPr>
                <w:noProof/>
                <w:sz w:val="20"/>
                <w:lang w:eastAsia="ja-JP"/>
              </w:rPr>
              <w:t>OQ3: Stakeholders confirm ENISA’s leading role in the cooperation between MS, EU institutions, companies and other groups in the cyber domain</w:t>
            </w:r>
          </w:p>
        </w:tc>
        <w:tc>
          <w:tcPr>
            <w:tcW w:w="2661" w:type="pct"/>
            <w:shd w:val="clear" w:color="auto" w:fill="F2F2F2" w:themeFill="background1" w:themeFillShade="F2"/>
          </w:tcPr>
          <w:p w14:paraId="689A9A87" w14:textId="77777777" w:rsidR="00B202FC" w:rsidRPr="00380B24" w:rsidRDefault="00B202FC">
            <w:pPr>
              <w:spacing w:before="40" w:after="40"/>
              <w:rPr>
                <w:noProof/>
                <w:sz w:val="20"/>
                <w:lang w:eastAsia="ja-JP"/>
              </w:rPr>
            </w:pPr>
            <w:r w:rsidRPr="00380B24">
              <w:rPr>
                <w:noProof/>
                <w:sz w:val="20"/>
                <w:lang w:eastAsia="ja-JP"/>
              </w:rPr>
              <w:t>Share of stakeholders by group and country that considers ENISA’s role in maintaining cooperation among them as crucial</w:t>
            </w:r>
          </w:p>
        </w:tc>
      </w:tr>
      <w:tr w:rsidR="00B202FC" w:rsidRPr="00380B24" w14:paraId="0C133E03" w14:textId="77777777">
        <w:tc>
          <w:tcPr>
            <w:tcW w:w="5000" w:type="pct"/>
            <w:gridSpan w:val="3"/>
            <w:shd w:val="clear" w:color="auto" w:fill="F2F2F2" w:themeFill="background1" w:themeFillShade="F2"/>
          </w:tcPr>
          <w:p w14:paraId="0B1A53F3" w14:textId="77777777" w:rsidR="00B202FC" w:rsidRPr="00380B24" w:rsidRDefault="00B202FC">
            <w:pPr>
              <w:spacing w:before="40" w:after="40"/>
              <w:rPr>
                <w:bCs/>
                <w:noProof/>
                <w:sz w:val="20"/>
                <w:lang w:eastAsia="ja-JP"/>
              </w:rPr>
            </w:pPr>
            <w:r w:rsidRPr="00380B24">
              <w:rPr>
                <w:b/>
                <w:caps/>
                <w:noProof/>
                <w:sz w:val="20"/>
                <w:lang w:eastAsia="ja-JP"/>
              </w:rPr>
              <w:t>Data sources</w:t>
            </w:r>
          </w:p>
        </w:tc>
      </w:tr>
      <w:tr w:rsidR="00B202FC" w:rsidRPr="00380B24" w14:paraId="78CD600D" w14:textId="77777777">
        <w:tc>
          <w:tcPr>
            <w:tcW w:w="5000" w:type="pct"/>
            <w:gridSpan w:val="3"/>
            <w:shd w:val="clear" w:color="auto" w:fill="F2F2F2" w:themeFill="background1" w:themeFillShade="F2"/>
          </w:tcPr>
          <w:p w14:paraId="593EBD6C" w14:textId="77777777" w:rsidR="00B202FC" w:rsidRPr="00380B24" w:rsidRDefault="00B202FC" w:rsidP="00B202FC">
            <w:pPr>
              <w:numPr>
                <w:ilvl w:val="0"/>
                <w:numId w:val="153"/>
              </w:numPr>
              <w:spacing w:before="40" w:after="40"/>
              <w:contextualSpacing/>
              <w:rPr>
                <w:noProof/>
                <w:sz w:val="20"/>
                <w:lang w:eastAsia="ja-JP"/>
              </w:rPr>
            </w:pPr>
            <w:r w:rsidRPr="00380B24">
              <w:rPr>
                <w:noProof/>
                <w:sz w:val="20"/>
                <w:lang w:eastAsia="ja-JP"/>
              </w:rPr>
              <w:t xml:space="preserve">Desk research </w:t>
            </w:r>
          </w:p>
          <w:p w14:paraId="56F5CB40" w14:textId="77777777" w:rsidR="00B202FC" w:rsidRPr="00380B24" w:rsidRDefault="00B202FC" w:rsidP="00B202FC">
            <w:pPr>
              <w:numPr>
                <w:ilvl w:val="0"/>
                <w:numId w:val="153"/>
              </w:numPr>
              <w:spacing w:before="40" w:after="40"/>
              <w:contextualSpacing/>
              <w:rPr>
                <w:noProof/>
                <w:sz w:val="20"/>
                <w:lang w:eastAsia="ja-JP"/>
              </w:rPr>
            </w:pPr>
            <w:r w:rsidRPr="00380B24">
              <w:rPr>
                <w:noProof/>
                <w:sz w:val="20"/>
                <w:lang w:eastAsia="ja-JP"/>
              </w:rPr>
              <w:t>Interviews</w:t>
            </w:r>
          </w:p>
          <w:p w14:paraId="2E83291F" w14:textId="77777777" w:rsidR="00B202FC" w:rsidRPr="00380B24" w:rsidRDefault="00B202FC" w:rsidP="00B202FC">
            <w:pPr>
              <w:numPr>
                <w:ilvl w:val="0"/>
                <w:numId w:val="153"/>
              </w:numPr>
              <w:spacing w:before="40" w:after="40"/>
              <w:contextualSpacing/>
              <w:rPr>
                <w:bCs/>
                <w:noProof/>
                <w:sz w:val="20"/>
                <w:lang w:eastAsia="ja-JP"/>
              </w:rPr>
            </w:pPr>
            <w:r w:rsidRPr="00380B24">
              <w:rPr>
                <w:noProof/>
                <w:sz w:val="20"/>
                <w:lang w:eastAsia="ja-JP"/>
              </w:rPr>
              <w:t>Survey</w:t>
            </w:r>
          </w:p>
        </w:tc>
      </w:tr>
    </w:tbl>
    <w:p w14:paraId="50132813" w14:textId="77777777" w:rsidR="00D52AD8" w:rsidRPr="00C57110" w:rsidRDefault="00D52AD8" w:rsidP="00D52AD8">
      <w:pPr>
        <w:spacing w:before="40" w:after="40"/>
        <w:rPr>
          <w:rFonts w:eastAsia="Arial"/>
          <w:b/>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2FB9953C" w14:textId="77777777">
        <w:tc>
          <w:tcPr>
            <w:tcW w:w="5000" w:type="pct"/>
            <w:shd w:val="clear" w:color="auto" w:fill="C6D9F1" w:themeFill="text2" w:themeFillTint="33"/>
          </w:tcPr>
          <w:p w14:paraId="408B0131" w14:textId="77777777" w:rsidR="00B202FC" w:rsidRPr="00380B24" w:rsidRDefault="00B202FC">
            <w:pPr>
              <w:rPr>
                <w:rFonts w:ascii="Arial" w:eastAsia="Arial" w:hAnsi="Arial" w:cs="Arial"/>
                <w:b/>
                <w:noProof/>
                <w:sz w:val="20"/>
              </w:rPr>
            </w:pPr>
            <w:r w:rsidRPr="00380B24">
              <w:rPr>
                <w:b/>
                <w:noProof/>
                <w:color w:val="000000" w:themeColor="text1"/>
                <w:sz w:val="20"/>
                <w:lang w:eastAsia="ja-JP"/>
              </w:rPr>
              <w:t>Evaluation results</w:t>
            </w:r>
          </w:p>
        </w:tc>
      </w:tr>
      <w:tr w:rsidR="00B202FC" w:rsidRPr="00380B24" w14:paraId="1FA4B6B9" w14:textId="77777777">
        <w:trPr>
          <w:trHeight w:val="551"/>
        </w:trPr>
        <w:tc>
          <w:tcPr>
            <w:tcW w:w="5000" w:type="pct"/>
            <w:shd w:val="clear" w:color="auto" w:fill="F2F2F2" w:themeFill="background1" w:themeFillShade="F2"/>
          </w:tcPr>
          <w:p w14:paraId="7D9EEFDE" w14:textId="77777777" w:rsidR="00B202FC" w:rsidRPr="00380B24" w:rsidRDefault="00B202FC">
            <w:pPr>
              <w:rPr>
                <w:noProof/>
                <w:sz w:val="20"/>
              </w:rPr>
            </w:pPr>
            <w:r w:rsidRPr="00380B24">
              <w:rPr>
                <w:noProof/>
                <w:sz w:val="20"/>
                <w:lang w:eastAsia="ja-JP"/>
              </w:rPr>
              <w:t>The findings reveal that ENISA played a proactive role in encouraging collaboration and the exchange of knowledge among stakeholders.</w:t>
            </w:r>
            <w:r w:rsidRPr="00380B24">
              <w:rPr>
                <w:noProof/>
                <w:sz w:val="20"/>
              </w:rPr>
              <w:t xml:space="preserve"> While ENISA effectively promotes cybersecurity cooperation across the EU, there is room for improvement in streamlining operations and enhancing synergies with EU bodies like the ECCC and national authorities. Formalising cooperation with agencies such as EMSA and the JRC could make for a more unified approach to cybersecurity initiatives. Furthermore, refining internal communication and clarifying ENISA’s role in policy implementation could improve efficiency and regulatory consistency.</w:t>
            </w:r>
          </w:p>
          <w:p w14:paraId="55650604" w14:textId="77777777" w:rsidR="00B202FC" w:rsidRPr="00380B24" w:rsidRDefault="00B202FC">
            <w:pPr>
              <w:rPr>
                <w:noProof/>
              </w:rPr>
            </w:pPr>
          </w:p>
        </w:tc>
      </w:tr>
    </w:tbl>
    <w:p w14:paraId="12D4A48B" w14:textId="77777777" w:rsidR="00D52AD8" w:rsidRPr="00C57110" w:rsidRDefault="00D52AD8" w:rsidP="00D52AD8">
      <w:pPr>
        <w:spacing w:before="40" w:after="40"/>
        <w:rPr>
          <w:rFonts w:eastAsia="Arial"/>
          <w:b/>
          <w:noProof/>
          <w:szCs w:val="20"/>
          <w:lang w:eastAsia="ja-JP"/>
        </w:rPr>
      </w:pPr>
    </w:p>
    <w:p w14:paraId="02B92F4F" w14:textId="77777777" w:rsidR="00D52AD8" w:rsidRPr="00C57110" w:rsidRDefault="00D52AD8" w:rsidP="00D52AD8">
      <w:pPr>
        <w:spacing w:before="40" w:after="40"/>
        <w:rPr>
          <w:rFonts w:eastAsia="Arial"/>
          <w:b/>
          <w:noProof/>
          <w:szCs w:val="20"/>
          <w:lang w:eastAsia="ja-JP"/>
        </w:rPr>
      </w:pPr>
      <w:r w:rsidRPr="00C57110">
        <w:rPr>
          <w:rFonts w:eastAsia="Arial"/>
          <w:b/>
          <w:noProof/>
          <w:szCs w:val="20"/>
          <w:lang w:eastAsia="ja-JP"/>
        </w:rPr>
        <w:t>ECCF</w:t>
      </w: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44"/>
        <w:gridCol w:w="907"/>
        <w:gridCol w:w="9823"/>
      </w:tblGrid>
      <w:tr w:rsidR="00B202FC" w:rsidRPr="00380B24" w14:paraId="171964BF" w14:textId="77777777">
        <w:trPr>
          <w:cnfStyle w:val="100000000000" w:firstRow="1" w:lastRow="0" w:firstColumn="0" w:lastColumn="0" w:oddVBand="0" w:evenVBand="0" w:oddHBand="0" w:evenHBand="0" w:firstRowFirstColumn="0" w:firstRowLastColumn="0" w:lastRowFirstColumn="0" w:lastRowLastColumn="0"/>
          <w:trHeight w:val="56"/>
        </w:trPr>
        <w:tc>
          <w:tcPr>
            <w:tcW w:w="1215" w:type="pct"/>
            <w:shd w:val="clear" w:color="auto" w:fill="C6D9F1" w:themeFill="text2" w:themeFillTint="33"/>
          </w:tcPr>
          <w:p w14:paraId="3679940F"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7131C575"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EQ3, ECCF</w:t>
            </w:r>
          </w:p>
        </w:tc>
        <w:tc>
          <w:tcPr>
            <w:tcW w:w="3785" w:type="pct"/>
            <w:gridSpan w:val="2"/>
            <w:shd w:val="clear" w:color="auto" w:fill="C6D9F1" w:themeFill="text2" w:themeFillTint="33"/>
          </w:tcPr>
          <w:p w14:paraId="1D711AAF"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is the ECCF coherent or overlapping with other relevant initiatives in the area of cybersecurity market?</w:t>
            </w:r>
          </w:p>
        </w:tc>
      </w:tr>
      <w:tr w:rsidR="00B202FC" w:rsidRPr="00380B24" w14:paraId="1C8736C6" w14:textId="77777777">
        <w:trPr>
          <w:trHeight w:val="229"/>
        </w:trPr>
        <w:tc>
          <w:tcPr>
            <w:tcW w:w="5000" w:type="pct"/>
            <w:gridSpan w:val="3"/>
            <w:shd w:val="clear" w:color="auto" w:fill="F2F2F2" w:themeFill="background1" w:themeFillShade="F2"/>
          </w:tcPr>
          <w:p w14:paraId="443ABD91"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47D85CEE" w14:textId="77777777">
        <w:tc>
          <w:tcPr>
            <w:tcW w:w="5000" w:type="pct"/>
            <w:gridSpan w:val="3"/>
            <w:shd w:val="clear" w:color="auto" w:fill="F2F2F2" w:themeFill="background1" w:themeFillShade="F2"/>
          </w:tcPr>
          <w:p w14:paraId="0A4D0E45" w14:textId="77777777" w:rsidR="00B202FC" w:rsidRPr="00380B24" w:rsidRDefault="00B202FC" w:rsidP="00B202FC">
            <w:pPr>
              <w:numPr>
                <w:ilvl w:val="0"/>
                <w:numId w:val="153"/>
              </w:numPr>
              <w:spacing w:before="40" w:after="40"/>
              <w:contextualSpacing/>
              <w:rPr>
                <w:noProof/>
                <w:sz w:val="20"/>
                <w:lang w:eastAsia="ja-JP"/>
              </w:rPr>
            </w:pPr>
            <w:r w:rsidRPr="00380B24">
              <w:rPr>
                <w:noProof/>
                <w:sz w:val="20"/>
                <w:lang w:eastAsia="ja-JP"/>
              </w:rPr>
              <w:t>OQ1: To what extent is the ECCF coherent and complementary with other policy, legal and funding instruments adopted at EU and national level?</w:t>
            </w:r>
          </w:p>
          <w:p w14:paraId="4929135B" w14:textId="77777777" w:rsidR="00B202FC" w:rsidRPr="00380B24" w:rsidRDefault="00B202FC" w:rsidP="00B202FC">
            <w:pPr>
              <w:numPr>
                <w:ilvl w:val="0"/>
                <w:numId w:val="153"/>
              </w:numPr>
              <w:spacing w:before="40" w:after="40"/>
              <w:contextualSpacing/>
              <w:rPr>
                <w:noProof/>
                <w:sz w:val="20"/>
                <w:lang w:eastAsia="ja-JP"/>
              </w:rPr>
            </w:pPr>
            <w:r w:rsidRPr="00380B24">
              <w:rPr>
                <w:noProof/>
                <w:sz w:val="20"/>
                <w:lang w:eastAsia="ja-JP"/>
              </w:rPr>
              <w:t>OQ2: To what extent does the ECCF overlap or create gaps with other policy, legal and funding instruments adopted at EU and national level?</w:t>
            </w:r>
          </w:p>
        </w:tc>
      </w:tr>
      <w:tr w:rsidR="00B202FC" w:rsidRPr="00380B24" w14:paraId="778152A0" w14:textId="77777777">
        <w:tc>
          <w:tcPr>
            <w:tcW w:w="5000" w:type="pct"/>
            <w:gridSpan w:val="3"/>
            <w:shd w:val="clear" w:color="auto" w:fill="F2F2F2" w:themeFill="background1" w:themeFillShade="F2"/>
          </w:tcPr>
          <w:p w14:paraId="5271EC41"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493DEA81" w14:textId="77777777">
        <w:trPr>
          <w:trHeight w:val="156"/>
        </w:trPr>
        <w:tc>
          <w:tcPr>
            <w:tcW w:w="1535" w:type="pct"/>
            <w:gridSpan w:val="2"/>
            <w:shd w:val="clear" w:color="auto" w:fill="F2F2F2" w:themeFill="background1" w:themeFillShade="F2"/>
          </w:tcPr>
          <w:p w14:paraId="374BBC3C" w14:textId="77777777" w:rsidR="00B202FC" w:rsidRPr="00380B24" w:rsidRDefault="00B202FC">
            <w:pPr>
              <w:spacing w:before="40" w:after="40"/>
              <w:rPr>
                <w:noProof/>
                <w:sz w:val="20"/>
                <w:lang w:eastAsia="ja-JP"/>
              </w:rPr>
            </w:pPr>
            <w:r w:rsidRPr="00380B24">
              <w:rPr>
                <w:noProof/>
                <w:sz w:val="20"/>
                <w:lang w:eastAsia="ja-JP"/>
              </w:rPr>
              <w:t>OQ1: The ECCF’s scope complements that of other EU and national instruments</w:t>
            </w:r>
          </w:p>
        </w:tc>
        <w:tc>
          <w:tcPr>
            <w:tcW w:w="3465" w:type="pct"/>
            <w:shd w:val="clear" w:color="auto" w:fill="F2F2F2" w:themeFill="background1" w:themeFillShade="F2"/>
          </w:tcPr>
          <w:p w14:paraId="6F812A3A" w14:textId="77777777" w:rsidR="00B202FC" w:rsidRPr="00380B24" w:rsidRDefault="00B202FC">
            <w:pPr>
              <w:spacing w:before="40" w:after="40"/>
              <w:rPr>
                <w:noProof/>
                <w:sz w:val="20"/>
                <w:lang w:eastAsia="ja-JP"/>
              </w:rPr>
            </w:pPr>
            <w:r w:rsidRPr="00380B24">
              <w:rPr>
                <w:noProof/>
                <w:sz w:val="20"/>
                <w:lang w:eastAsia="ja-JP"/>
              </w:rPr>
              <w:t xml:space="preserve">Extent to which the ECCF complements EU measures that have already been adopted (i.e. NIS2 Directive, European Cybersecurity Competence Centre and Network, Digital Europe programme) or that have been proposed (i.e. Cyber Resilience Act, Cyber Solidarity Act); extent to which the ECCF complements national cybersecurity certification measures adopted since the entry into force of the Cybersecurity Act; share of Member States detecting complementarity </w:t>
            </w:r>
          </w:p>
        </w:tc>
      </w:tr>
      <w:tr w:rsidR="00B202FC" w:rsidRPr="00380B24" w14:paraId="4FCFD806" w14:textId="77777777">
        <w:trPr>
          <w:trHeight w:val="156"/>
        </w:trPr>
        <w:tc>
          <w:tcPr>
            <w:tcW w:w="1535" w:type="pct"/>
            <w:gridSpan w:val="2"/>
            <w:shd w:val="clear" w:color="auto" w:fill="F2F2F2" w:themeFill="background1" w:themeFillShade="F2"/>
          </w:tcPr>
          <w:p w14:paraId="675A4561" w14:textId="77777777" w:rsidR="00B202FC" w:rsidRPr="00380B24" w:rsidRDefault="00B202FC">
            <w:pPr>
              <w:spacing w:before="40" w:after="40"/>
              <w:rPr>
                <w:noProof/>
                <w:sz w:val="20"/>
                <w:lang w:eastAsia="ja-JP"/>
              </w:rPr>
            </w:pPr>
            <w:r w:rsidRPr="00380B24">
              <w:rPr>
                <w:noProof/>
                <w:sz w:val="20"/>
                <w:lang w:eastAsia="ja-JP"/>
              </w:rPr>
              <w:t>OQ2: Other EU and national instruments tackle different aspects of securing the cybersecurity of ICT products, services and processes</w:t>
            </w:r>
          </w:p>
        </w:tc>
        <w:tc>
          <w:tcPr>
            <w:tcW w:w="3465" w:type="pct"/>
            <w:shd w:val="clear" w:color="auto" w:fill="F2F2F2" w:themeFill="background1" w:themeFillShade="F2"/>
          </w:tcPr>
          <w:p w14:paraId="0D24975F" w14:textId="77777777" w:rsidR="00B202FC" w:rsidRPr="00380B24" w:rsidRDefault="00B202FC">
            <w:pPr>
              <w:spacing w:before="40" w:after="40"/>
              <w:rPr>
                <w:noProof/>
                <w:sz w:val="20"/>
                <w:lang w:eastAsia="ja-JP"/>
              </w:rPr>
            </w:pPr>
            <w:r w:rsidRPr="00380B24">
              <w:rPr>
                <w:noProof/>
                <w:sz w:val="20"/>
                <w:lang w:eastAsia="ja-JP"/>
              </w:rPr>
              <w:t xml:space="preserve">Extent to which the ECCF scope overlaps with EU measures adopted (i.e. NIS2 Directive, European Cybersecurity Competence Centre and Network, Digital Europe programme) or proposed (i.e. Cyber Resilience Act, Cyber Solidarity Act); extent to which the ECCF scope overlaps with national cybersecurity certification measures adopted since the entry into force of the Cybersecurity Act; share of Member States detecting complementarity </w:t>
            </w:r>
          </w:p>
        </w:tc>
      </w:tr>
      <w:tr w:rsidR="00B202FC" w:rsidRPr="00380B24" w14:paraId="4076AF7E" w14:textId="77777777">
        <w:tc>
          <w:tcPr>
            <w:tcW w:w="5000" w:type="pct"/>
            <w:gridSpan w:val="3"/>
            <w:shd w:val="clear" w:color="auto" w:fill="F2F2F2" w:themeFill="background1" w:themeFillShade="F2"/>
          </w:tcPr>
          <w:p w14:paraId="739F4714"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08E3561C" w14:textId="77777777">
        <w:tc>
          <w:tcPr>
            <w:tcW w:w="5000" w:type="pct"/>
            <w:gridSpan w:val="3"/>
            <w:shd w:val="clear" w:color="auto" w:fill="F2F2F2" w:themeFill="background1" w:themeFillShade="F2"/>
          </w:tcPr>
          <w:p w14:paraId="24375DE6" w14:textId="77777777" w:rsidR="00B202FC" w:rsidRPr="00380B24" w:rsidRDefault="00B202FC" w:rsidP="00B202FC">
            <w:pPr>
              <w:numPr>
                <w:ilvl w:val="0"/>
                <w:numId w:val="170"/>
              </w:numPr>
              <w:spacing w:before="40" w:after="40"/>
              <w:contextualSpacing/>
              <w:rPr>
                <w:noProof/>
                <w:sz w:val="20"/>
                <w:lang w:eastAsia="ja-JP"/>
              </w:rPr>
            </w:pPr>
            <w:r w:rsidRPr="00380B24">
              <w:rPr>
                <w:noProof/>
                <w:sz w:val="20"/>
                <w:lang w:eastAsia="ja-JP"/>
              </w:rPr>
              <w:t>Desk research</w:t>
            </w:r>
          </w:p>
          <w:p w14:paraId="7B1A1452" w14:textId="77777777" w:rsidR="00B202FC" w:rsidRPr="00380B24" w:rsidRDefault="00B202FC" w:rsidP="00B202FC">
            <w:pPr>
              <w:numPr>
                <w:ilvl w:val="0"/>
                <w:numId w:val="170"/>
              </w:numPr>
              <w:spacing w:before="40" w:after="40"/>
              <w:contextualSpacing/>
              <w:rPr>
                <w:noProof/>
                <w:sz w:val="20"/>
                <w:lang w:eastAsia="ja-JP"/>
              </w:rPr>
            </w:pPr>
            <w:r w:rsidRPr="00380B24">
              <w:rPr>
                <w:noProof/>
                <w:sz w:val="20"/>
                <w:lang w:eastAsia="ja-JP"/>
              </w:rPr>
              <w:t xml:space="preserve">Interviews </w:t>
            </w:r>
          </w:p>
          <w:p w14:paraId="328A90D7" w14:textId="77777777" w:rsidR="00B202FC" w:rsidRPr="00380B24" w:rsidRDefault="00B202FC" w:rsidP="00B202FC">
            <w:pPr>
              <w:numPr>
                <w:ilvl w:val="0"/>
                <w:numId w:val="170"/>
              </w:numPr>
              <w:spacing w:before="40" w:after="40"/>
              <w:contextualSpacing/>
              <w:rPr>
                <w:noProof/>
                <w:sz w:val="20"/>
                <w:lang w:eastAsia="ja-JP"/>
              </w:rPr>
            </w:pPr>
            <w:r w:rsidRPr="00380B24">
              <w:rPr>
                <w:noProof/>
                <w:sz w:val="20"/>
                <w:lang w:eastAsia="ja-JP"/>
              </w:rPr>
              <w:t>Survey</w:t>
            </w:r>
          </w:p>
        </w:tc>
      </w:tr>
    </w:tbl>
    <w:p w14:paraId="0862F0F5" w14:textId="77777777" w:rsidR="00D52AD8" w:rsidRPr="00C57110" w:rsidRDefault="00D52AD8" w:rsidP="00D52AD8">
      <w:pPr>
        <w:spacing w:before="40" w:after="40"/>
        <w:rPr>
          <w:noProof/>
          <w:sz w:val="20"/>
          <w:szCs w:val="20"/>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444"/>
        <w:gridCol w:w="907"/>
        <w:gridCol w:w="9823"/>
      </w:tblGrid>
      <w:tr w:rsidR="00B202FC" w:rsidRPr="00380B24" w14:paraId="692FCE91" w14:textId="77777777">
        <w:trPr>
          <w:cnfStyle w:val="100000000000" w:firstRow="1" w:lastRow="0" w:firstColumn="0" w:lastColumn="0" w:oddVBand="0" w:evenVBand="0" w:oddHBand="0" w:evenHBand="0" w:firstRowFirstColumn="0" w:firstRowLastColumn="0" w:lastRowFirstColumn="0" w:lastRowLastColumn="0"/>
          <w:trHeight w:val="56"/>
        </w:trPr>
        <w:tc>
          <w:tcPr>
            <w:tcW w:w="1215" w:type="pct"/>
            <w:shd w:val="clear" w:color="auto" w:fill="C6D9F1" w:themeFill="text2" w:themeFillTint="33"/>
          </w:tcPr>
          <w:p w14:paraId="6DC4C328"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307FB54A"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EQ4, ECCF</w:t>
            </w:r>
          </w:p>
        </w:tc>
        <w:tc>
          <w:tcPr>
            <w:tcW w:w="3785" w:type="pct"/>
            <w:gridSpan w:val="2"/>
            <w:shd w:val="clear" w:color="auto" w:fill="C6D9F1" w:themeFill="text2" w:themeFillTint="33"/>
          </w:tcPr>
          <w:p w14:paraId="2E5AB71E"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is the ECCF coherent internally?</w:t>
            </w:r>
          </w:p>
        </w:tc>
      </w:tr>
      <w:tr w:rsidR="00B202FC" w:rsidRPr="00380B24" w14:paraId="2DBCCAD0" w14:textId="77777777">
        <w:trPr>
          <w:trHeight w:val="229"/>
        </w:trPr>
        <w:tc>
          <w:tcPr>
            <w:tcW w:w="5000" w:type="pct"/>
            <w:gridSpan w:val="3"/>
            <w:shd w:val="clear" w:color="auto" w:fill="F2F2F2"/>
          </w:tcPr>
          <w:p w14:paraId="6A147441"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03572A8B" w14:textId="77777777">
        <w:tc>
          <w:tcPr>
            <w:tcW w:w="5000" w:type="pct"/>
            <w:gridSpan w:val="3"/>
            <w:shd w:val="clear" w:color="auto" w:fill="F2F2F2"/>
          </w:tcPr>
          <w:p w14:paraId="3EBD684D" w14:textId="77777777" w:rsidR="00B202FC" w:rsidRPr="00380B24" w:rsidRDefault="00B202FC" w:rsidP="00B202FC">
            <w:pPr>
              <w:numPr>
                <w:ilvl w:val="0"/>
                <w:numId w:val="171"/>
              </w:numPr>
              <w:spacing w:before="40" w:after="40"/>
              <w:contextualSpacing/>
              <w:rPr>
                <w:noProof/>
                <w:sz w:val="20"/>
                <w:lang w:eastAsia="ja-JP"/>
              </w:rPr>
            </w:pPr>
            <w:r w:rsidRPr="00380B24">
              <w:rPr>
                <w:noProof/>
                <w:sz w:val="20"/>
                <w:lang w:eastAsia="ja-JP"/>
              </w:rPr>
              <w:t>OQ1: To what extent are the various elements of the ECCF coherent among themselves?</w:t>
            </w:r>
          </w:p>
        </w:tc>
      </w:tr>
      <w:tr w:rsidR="00B202FC" w:rsidRPr="00380B24" w14:paraId="3E217B0C" w14:textId="77777777">
        <w:tc>
          <w:tcPr>
            <w:tcW w:w="5000" w:type="pct"/>
            <w:gridSpan w:val="3"/>
            <w:shd w:val="clear" w:color="auto" w:fill="F2F2F2"/>
          </w:tcPr>
          <w:p w14:paraId="4207BE6F"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41D1D328" w14:textId="77777777">
        <w:trPr>
          <w:trHeight w:val="156"/>
        </w:trPr>
        <w:tc>
          <w:tcPr>
            <w:tcW w:w="1535" w:type="pct"/>
            <w:gridSpan w:val="2"/>
            <w:shd w:val="clear" w:color="auto" w:fill="F2F2F2"/>
          </w:tcPr>
          <w:p w14:paraId="257A4338" w14:textId="77777777" w:rsidR="00B202FC" w:rsidRPr="00380B24" w:rsidRDefault="00B202FC">
            <w:pPr>
              <w:spacing w:before="40" w:after="40"/>
              <w:rPr>
                <w:noProof/>
                <w:sz w:val="20"/>
                <w:lang w:eastAsia="ja-JP"/>
              </w:rPr>
            </w:pPr>
            <w:r w:rsidRPr="00380B24">
              <w:rPr>
                <w:noProof/>
                <w:sz w:val="20"/>
                <w:lang w:eastAsia="ja-JP"/>
              </w:rPr>
              <w:t>OQ1: The ECCF procedures, governance mechanisms and working arrangements are coherent among themselves</w:t>
            </w:r>
          </w:p>
        </w:tc>
        <w:tc>
          <w:tcPr>
            <w:tcW w:w="3465" w:type="pct"/>
            <w:shd w:val="clear" w:color="auto" w:fill="F2F2F2"/>
          </w:tcPr>
          <w:p w14:paraId="5E71763C" w14:textId="77777777" w:rsidR="00B202FC" w:rsidRPr="00380B24" w:rsidRDefault="00B202FC">
            <w:pPr>
              <w:spacing w:before="40" w:after="40"/>
              <w:rPr>
                <w:noProof/>
                <w:sz w:val="20"/>
                <w:lang w:eastAsia="ja-JP"/>
              </w:rPr>
            </w:pPr>
            <w:r w:rsidRPr="00380B24">
              <w:rPr>
                <w:noProof/>
                <w:sz w:val="20"/>
                <w:lang w:eastAsia="ja-JP"/>
              </w:rPr>
              <w:t>Number and type (e.g. legal, administrative, operational) of issues identified by ENISA, the Commission and relevant forums (i.e. ECCG, SCCG, ad hoc working group members)</w:t>
            </w:r>
          </w:p>
        </w:tc>
      </w:tr>
      <w:tr w:rsidR="00B202FC" w:rsidRPr="00380B24" w14:paraId="429179C7" w14:textId="77777777">
        <w:tc>
          <w:tcPr>
            <w:tcW w:w="5000" w:type="pct"/>
            <w:gridSpan w:val="3"/>
            <w:shd w:val="clear" w:color="auto" w:fill="F2F2F2"/>
          </w:tcPr>
          <w:p w14:paraId="299E8CEF"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2C80F205" w14:textId="77777777">
        <w:tc>
          <w:tcPr>
            <w:tcW w:w="5000" w:type="pct"/>
            <w:gridSpan w:val="3"/>
            <w:shd w:val="clear" w:color="auto" w:fill="F2F2F2"/>
          </w:tcPr>
          <w:p w14:paraId="61F98FAC" w14:textId="77777777" w:rsidR="00B202FC" w:rsidRPr="00380B24" w:rsidRDefault="00B202FC" w:rsidP="00B202FC">
            <w:pPr>
              <w:numPr>
                <w:ilvl w:val="0"/>
                <w:numId w:val="172"/>
              </w:numPr>
              <w:spacing w:before="40" w:after="40"/>
              <w:contextualSpacing/>
              <w:rPr>
                <w:noProof/>
                <w:sz w:val="20"/>
                <w:lang w:eastAsia="ja-JP"/>
              </w:rPr>
            </w:pPr>
            <w:r w:rsidRPr="00380B24">
              <w:rPr>
                <w:noProof/>
                <w:sz w:val="20"/>
                <w:lang w:eastAsia="ja-JP"/>
              </w:rPr>
              <w:t>Desk research</w:t>
            </w:r>
          </w:p>
          <w:p w14:paraId="3E09A528" w14:textId="77777777" w:rsidR="00B202FC" w:rsidRPr="00380B24" w:rsidRDefault="00B202FC" w:rsidP="00B202FC">
            <w:pPr>
              <w:numPr>
                <w:ilvl w:val="0"/>
                <w:numId w:val="172"/>
              </w:numPr>
              <w:spacing w:before="40" w:after="40"/>
              <w:contextualSpacing/>
              <w:rPr>
                <w:noProof/>
                <w:sz w:val="20"/>
                <w:lang w:eastAsia="ja-JP"/>
              </w:rPr>
            </w:pPr>
            <w:r w:rsidRPr="00380B24">
              <w:rPr>
                <w:noProof/>
                <w:sz w:val="20"/>
                <w:lang w:eastAsia="ja-JP"/>
              </w:rPr>
              <w:t>Interviews</w:t>
            </w:r>
          </w:p>
          <w:p w14:paraId="1311CA0C" w14:textId="77777777" w:rsidR="00B202FC" w:rsidRPr="00380B24" w:rsidRDefault="00B202FC" w:rsidP="00B202FC">
            <w:pPr>
              <w:numPr>
                <w:ilvl w:val="0"/>
                <w:numId w:val="172"/>
              </w:numPr>
              <w:spacing w:before="40" w:after="40"/>
              <w:contextualSpacing/>
              <w:rPr>
                <w:noProof/>
                <w:sz w:val="20"/>
                <w:lang w:eastAsia="ja-JP"/>
              </w:rPr>
            </w:pPr>
            <w:r w:rsidRPr="00380B24">
              <w:rPr>
                <w:noProof/>
                <w:sz w:val="20"/>
                <w:lang w:eastAsia="ja-JP"/>
              </w:rPr>
              <w:t>Survey</w:t>
            </w:r>
          </w:p>
        </w:tc>
      </w:tr>
    </w:tbl>
    <w:p w14:paraId="2E8128C4" w14:textId="77777777" w:rsidR="00D52AD8" w:rsidRPr="00C57110" w:rsidRDefault="00D52AD8" w:rsidP="00D52AD8">
      <w:pPr>
        <w:spacing w:before="40" w:after="40"/>
        <w:rPr>
          <w:rFonts w:eastAsia="Arial"/>
          <w:b/>
          <w:noProof/>
          <w:sz w:val="20"/>
          <w:szCs w:val="20"/>
          <w:lang w:eastAsia="ja-JP"/>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2242A3EA"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5D43448"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58E68094"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EQ5, ECCF</w:t>
            </w:r>
          </w:p>
        </w:tc>
        <w:tc>
          <w:tcPr>
            <w:tcW w:w="3856" w:type="pct"/>
            <w:gridSpan w:val="2"/>
            <w:shd w:val="clear" w:color="auto" w:fill="C6D9F1" w:themeFill="text2" w:themeFillTint="33"/>
          </w:tcPr>
          <w:p w14:paraId="1DDF801D"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is the ECCF coherent with other EU-level actions, particularly sectoral ones, in the area of certification?</w:t>
            </w:r>
          </w:p>
        </w:tc>
      </w:tr>
      <w:tr w:rsidR="00B202FC" w:rsidRPr="00380B24" w14:paraId="4C6DA55A" w14:textId="77777777">
        <w:trPr>
          <w:trHeight w:val="229"/>
        </w:trPr>
        <w:tc>
          <w:tcPr>
            <w:tcW w:w="5000" w:type="pct"/>
            <w:gridSpan w:val="3"/>
            <w:shd w:val="clear" w:color="auto" w:fill="F2F2F2" w:themeFill="background1" w:themeFillShade="F2"/>
          </w:tcPr>
          <w:p w14:paraId="71971781"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184126F0" w14:textId="77777777">
        <w:tc>
          <w:tcPr>
            <w:tcW w:w="5000" w:type="pct"/>
            <w:gridSpan w:val="3"/>
            <w:shd w:val="clear" w:color="auto" w:fill="F2F2F2" w:themeFill="background1" w:themeFillShade="F2"/>
          </w:tcPr>
          <w:p w14:paraId="256D4058" w14:textId="77777777" w:rsidR="00B202FC" w:rsidRPr="00380B24" w:rsidRDefault="00B202FC" w:rsidP="00B202FC">
            <w:pPr>
              <w:numPr>
                <w:ilvl w:val="0"/>
                <w:numId w:val="173"/>
              </w:numPr>
              <w:spacing w:before="40" w:after="40"/>
              <w:contextualSpacing/>
              <w:rPr>
                <w:noProof/>
                <w:sz w:val="20"/>
                <w:lang w:eastAsia="ja-JP"/>
              </w:rPr>
            </w:pPr>
            <w:r w:rsidRPr="00380B24">
              <w:rPr>
                <w:noProof/>
                <w:sz w:val="20"/>
                <w:lang w:eastAsia="ja-JP"/>
              </w:rPr>
              <w:t>OQ1: To what extent does the ECCF complement or overlap with EU policies in the area of certification?</w:t>
            </w:r>
          </w:p>
          <w:p w14:paraId="6B4A30DB" w14:textId="77777777" w:rsidR="00B202FC" w:rsidRPr="00380B24" w:rsidRDefault="00B202FC" w:rsidP="00B202FC">
            <w:pPr>
              <w:numPr>
                <w:ilvl w:val="0"/>
                <w:numId w:val="173"/>
              </w:numPr>
              <w:spacing w:before="40" w:after="40"/>
              <w:contextualSpacing/>
              <w:rPr>
                <w:noProof/>
                <w:sz w:val="20"/>
                <w:lang w:eastAsia="ja-JP"/>
              </w:rPr>
            </w:pPr>
            <w:r w:rsidRPr="00380B24">
              <w:rPr>
                <w:noProof/>
                <w:sz w:val="20"/>
                <w:lang w:eastAsia="ja-JP"/>
              </w:rPr>
              <w:t>OQ2: To what extent is the ECCF coherent with the EU digital strategy and other relevant sectoral strategies?</w:t>
            </w:r>
          </w:p>
        </w:tc>
      </w:tr>
      <w:tr w:rsidR="00B202FC" w:rsidRPr="00380B24" w14:paraId="37A5F0FE" w14:textId="77777777">
        <w:tc>
          <w:tcPr>
            <w:tcW w:w="5000" w:type="pct"/>
            <w:gridSpan w:val="3"/>
            <w:shd w:val="clear" w:color="auto" w:fill="F2F2F2" w:themeFill="background1" w:themeFillShade="F2"/>
          </w:tcPr>
          <w:p w14:paraId="167F95E3"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3B3A518C" w14:textId="77777777">
        <w:trPr>
          <w:trHeight w:val="156"/>
        </w:trPr>
        <w:tc>
          <w:tcPr>
            <w:tcW w:w="2500" w:type="pct"/>
            <w:gridSpan w:val="2"/>
            <w:shd w:val="clear" w:color="auto" w:fill="F2F2F2" w:themeFill="background1" w:themeFillShade="F2"/>
          </w:tcPr>
          <w:p w14:paraId="741B1DB5" w14:textId="77777777" w:rsidR="00B202FC" w:rsidRPr="00380B24" w:rsidRDefault="00B202FC">
            <w:pPr>
              <w:spacing w:before="40" w:after="40"/>
              <w:rPr>
                <w:noProof/>
                <w:sz w:val="20"/>
                <w:lang w:eastAsia="ja-JP"/>
              </w:rPr>
            </w:pPr>
            <w:r w:rsidRPr="00380B24">
              <w:rPr>
                <w:noProof/>
                <w:sz w:val="20"/>
                <w:lang w:eastAsia="ja-JP"/>
              </w:rPr>
              <w:t xml:space="preserve">Other EU initiatives (e.g. delegated act under Radio Equipment Directive, etc.) to secure/certify ICT products, services and processes do not overlap with the ECCF </w:t>
            </w:r>
          </w:p>
        </w:tc>
        <w:tc>
          <w:tcPr>
            <w:tcW w:w="2500" w:type="pct"/>
            <w:shd w:val="clear" w:color="auto" w:fill="F2F2F2" w:themeFill="background1" w:themeFillShade="F2"/>
          </w:tcPr>
          <w:p w14:paraId="4F4F9600" w14:textId="77777777" w:rsidR="00B202FC" w:rsidRPr="00380B24" w:rsidRDefault="00B202FC">
            <w:pPr>
              <w:spacing w:before="40" w:after="40"/>
              <w:rPr>
                <w:noProof/>
                <w:sz w:val="20"/>
                <w:lang w:eastAsia="ja-JP"/>
              </w:rPr>
            </w:pPr>
            <w:r w:rsidRPr="00380B24">
              <w:rPr>
                <w:noProof/>
                <w:sz w:val="20"/>
                <w:lang w:eastAsia="ja-JP"/>
              </w:rPr>
              <w:t>Number and type of sectoral EU policies implemented; extent to which the sectoral policies overlap with the ECCF</w:t>
            </w:r>
          </w:p>
        </w:tc>
      </w:tr>
      <w:tr w:rsidR="00B202FC" w:rsidRPr="00380B24" w14:paraId="781B99C4" w14:textId="77777777">
        <w:trPr>
          <w:trHeight w:val="156"/>
        </w:trPr>
        <w:tc>
          <w:tcPr>
            <w:tcW w:w="2500" w:type="pct"/>
            <w:gridSpan w:val="2"/>
            <w:shd w:val="clear" w:color="auto" w:fill="F2F2F2" w:themeFill="background1" w:themeFillShade="F2"/>
          </w:tcPr>
          <w:p w14:paraId="47572FA4" w14:textId="77777777" w:rsidR="00B202FC" w:rsidRPr="00380B24" w:rsidRDefault="00B202FC">
            <w:pPr>
              <w:spacing w:before="40" w:after="40"/>
              <w:rPr>
                <w:noProof/>
                <w:sz w:val="20"/>
                <w:lang w:eastAsia="ja-JP"/>
              </w:rPr>
            </w:pPr>
            <w:r w:rsidRPr="00380B24">
              <w:rPr>
                <w:noProof/>
                <w:sz w:val="20"/>
                <w:lang w:eastAsia="ja-JP"/>
              </w:rPr>
              <w:t xml:space="preserve">The ECCF ensures trust in ICT products, services and processes that otherwise would not be covered by other cybersecurity requirements </w:t>
            </w:r>
          </w:p>
        </w:tc>
        <w:tc>
          <w:tcPr>
            <w:tcW w:w="2500" w:type="pct"/>
            <w:shd w:val="clear" w:color="auto" w:fill="F2F2F2" w:themeFill="background1" w:themeFillShade="F2"/>
          </w:tcPr>
          <w:p w14:paraId="76CB80DD" w14:textId="77777777" w:rsidR="00B202FC" w:rsidRPr="00380B24" w:rsidRDefault="00B202FC">
            <w:pPr>
              <w:spacing w:before="40" w:after="40"/>
              <w:rPr>
                <w:noProof/>
                <w:sz w:val="20"/>
                <w:lang w:eastAsia="ja-JP"/>
              </w:rPr>
            </w:pPr>
            <w:r w:rsidRPr="00380B24">
              <w:rPr>
                <w:noProof/>
                <w:sz w:val="20"/>
                <w:lang w:eastAsia="ja-JP"/>
              </w:rPr>
              <w:t>Number and type of digital strategy actions and sectoral strategies implemented; extent to which digital strategy actions and sectoral strategies overlap with the ECCF</w:t>
            </w:r>
          </w:p>
        </w:tc>
      </w:tr>
      <w:tr w:rsidR="00B202FC" w:rsidRPr="00380B24" w14:paraId="147536FC" w14:textId="77777777">
        <w:tc>
          <w:tcPr>
            <w:tcW w:w="5000" w:type="pct"/>
            <w:gridSpan w:val="3"/>
            <w:shd w:val="clear" w:color="auto" w:fill="F2F2F2" w:themeFill="background1" w:themeFillShade="F2"/>
          </w:tcPr>
          <w:p w14:paraId="55E6DB3B"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06C47FF7" w14:textId="77777777">
        <w:tc>
          <w:tcPr>
            <w:tcW w:w="5000" w:type="pct"/>
            <w:gridSpan w:val="3"/>
            <w:shd w:val="clear" w:color="auto" w:fill="F2F2F2" w:themeFill="background1" w:themeFillShade="F2"/>
          </w:tcPr>
          <w:p w14:paraId="6FCB1F23" w14:textId="77777777" w:rsidR="00B202FC" w:rsidRPr="00380B24" w:rsidRDefault="00B202FC" w:rsidP="00B202FC">
            <w:pPr>
              <w:numPr>
                <w:ilvl w:val="0"/>
                <w:numId w:val="174"/>
              </w:numPr>
              <w:spacing w:before="40" w:after="40"/>
              <w:contextualSpacing/>
              <w:rPr>
                <w:noProof/>
                <w:sz w:val="20"/>
                <w:lang w:eastAsia="ja-JP"/>
              </w:rPr>
            </w:pPr>
            <w:r w:rsidRPr="00380B24">
              <w:rPr>
                <w:noProof/>
                <w:sz w:val="20"/>
                <w:lang w:eastAsia="ja-JP"/>
              </w:rPr>
              <w:t>Desk research</w:t>
            </w:r>
          </w:p>
          <w:p w14:paraId="5E766764" w14:textId="77777777" w:rsidR="00B202FC" w:rsidRPr="00380B24" w:rsidRDefault="00B202FC" w:rsidP="00B202FC">
            <w:pPr>
              <w:numPr>
                <w:ilvl w:val="0"/>
                <w:numId w:val="174"/>
              </w:numPr>
              <w:spacing w:before="40" w:after="40"/>
              <w:contextualSpacing/>
              <w:rPr>
                <w:noProof/>
                <w:sz w:val="20"/>
                <w:lang w:eastAsia="ja-JP"/>
              </w:rPr>
            </w:pPr>
            <w:r w:rsidRPr="00380B24">
              <w:rPr>
                <w:noProof/>
                <w:sz w:val="20"/>
                <w:lang w:eastAsia="ja-JP"/>
              </w:rPr>
              <w:t>Survey</w:t>
            </w:r>
          </w:p>
          <w:p w14:paraId="7F6953E5" w14:textId="77777777" w:rsidR="00B202FC" w:rsidRPr="00380B24" w:rsidRDefault="00B202FC" w:rsidP="00B202FC">
            <w:pPr>
              <w:numPr>
                <w:ilvl w:val="0"/>
                <w:numId w:val="174"/>
              </w:numPr>
              <w:spacing w:before="40" w:after="40"/>
              <w:contextualSpacing/>
              <w:rPr>
                <w:noProof/>
                <w:sz w:val="20"/>
                <w:lang w:eastAsia="ja-JP"/>
              </w:rPr>
            </w:pPr>
            <w:r w:rsidRPr="00380B24">
              <w:rPr>
                <w:noProof/>
                <w:sz w:val="20"/>
                <w:lang w:eastAsia="ja-JP"/>
              </w:rPr>
              <w:t>Interviews</w:t>
            </w:r>
          </w:p>
        </w:tc>
      </w:tr>
    </w:tbl>
    <w:p w14:paraId="71431E91" w14:textId="77777777" w:rsidR="00D52AD8" w:rsidRPr="00C57110" w:rsidRDefault="00D52AD8" w:rsidP="00D52AD8">
      <w:pPr>
        <w:rPr>
          <w:noProof/>
          <w:sz w:val="20"/>
          <w:szCs w:val="20"/>
          <w:lang w:eastAsia="ja-JP"/>
        </w:rPr>
      </w:pPr>
      <w:bookmarkStart w:id="562" w:name="_Toc173520891"/>
      <w:bookmarkStart w:id="563" w:name="_Toc173524276"/>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3A6D220E" w14:textId="77777777">
        <w:tc>
          <w:tcPr>
            <w:tcW w:w="5000" w:type="pct"/>
            <w:shd w:val="clear" w:color="auto" w:fill="C6D9F1" w:themeFill="text2" w:themeFillTint="33"/>
          </w:tcPr>
          <w:bookmarkEnd w:id="553"/>
          <w:bookmarkEnd w:id="554"/>
          <w:bookmarkEnd w:id="555"/>
          <w:bookmarkEnd w:id="556"/>
          <w:bookmarkEnd w:id="557"/>
          <w:bookmarkEnd w:id="558"/>
          <w:bookmarkEnd w:id="559"/>
          <w:bookmarkEnd w:id="560"/>
          <w:bookmarkEnd w:id="561"/>
          <w:bookmarkEnd w:id="562"/>
          <w:bookmarkEnd w:id="563"/>
          <w:p w14:paraId="011C6C23" w14:textId="77777777" w:rsidR="00B202FC" w:rsidRPr="00380B24" w:rsidRDefault="00B202FC">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B202FC" w:rsidRPr="00380B24" w14:paraId="103575ED" w14:textId="77777777">
        <w:tc>
          <w:tcPr>
            <w:tcW w:w="5000" w:type="pct"/>
            <w:shd w:val="clear" w:color="auto" w:fill="F2F2F2" w:themeFill="background1" w:themeFillShade="F2"/>
          </w:tcPr>
          <w:p w14:paraId="07C0346E" w14:textId="77777777" w:rsidR="00B202FC" w:rsidRPr="00380B24" w:rsidRDefault="00B202FC">
            <w:pPr>
              <w:rPr>
                <w:noProof/>
                <w:sz w:val="20"/>
                <w:lang w:eastAsia="ja-JP"/>
              </w:rPr>
            </w:pPr>
          </w:p>
          <w:p w14:paraId="73A80785" w14:textId="77777777" w:rsidR="00B202FC" w:rsidRPr="00380B24" w:rsidRDefault="00B202FC">
            <w:pPr>
              <w:rPr>
                <w:rFonts w:ascii="Arial" w:eastAsia="Arial" w:hAnsi="Arial" w:cs="Arial"/>
                <w:noProof/>
                <w:sz w:val="20"/>
                <w:lang w:eastAsia="ja-JP"/>
              </w:rPr>
            </w:pPr>
            <w:r w:rsidRPr="00380B24">
              <w:rPr>
                <w:noProof/>
                <w:sz w:val="20"/>
                <w:lang w:eastAsia="ja-JP"/>
              </w:rPr>
              <w:t xml:space="preserve">While theoretically consistent with EU legal measures on cybersecurity, in particular the CRA (proposal at the time of the evaluation) and the NIS2 Directive, the ECCF has been found to lack clear accountability mechanisms ensuring consistency with the existing EU legal framework and requiring diligent oversight. The CRA (under development) is expected to considerably impact the legal framework related to the security evaluation and certification of ICT products. In this regard, the forthcoming implementation of the EUCC scheme will significantly test its coherence with the existing EU legal framework. </w:t>
            </w:r>
            <w:r w:rsidRPr="00380B24">
              <w:rPr>
                <w:rFonts w:ascii="Arial" w:eastAsia="Arial" w:hAnsi="Arial" w:cs="Arial"/>
                <w:noProof/>
                <w:sz w:val="20"/>
                <w:lang w:eastAsia="ja-JP"/>
              </w:rPr>
              <w:t xml:space="preserve"> </w:t>
            </w:r>
          </w:p>
        </w:tc>
      </w:tr>
    </w:tbl>
    <w:p w14:paraId="6DF9BB45" w14:textId="77777777" w:rsidR="00B202FC" w:rsidRPr="00380B24" w:rsidRDefault="00B202FC" w:rsidP="00B202FC">
      <w:pPr>
        <w:rPr>
          <w:noProof/>
          <w:lang w:eastAsia="ja-JP"/>
        </w:rPr>
      </w:pPr>
    </w:p>
    <w:p w14:paraId="20922C6C" w14:textId="77777777" w:rsidR="00B202FC" w:rsidRPr="00380B24" w:rsidRDefault="00B202FC" w:rsidP="00B202FC">
      <w:pPr>
        <w:pStyle w:val="Heading3"/>
        <w:rPr>
          <w:noProof/>
          <w:lang w:eastAsia="ja-JP"/>
        </w:rPr>
      </w:pPr>
      <w:bookmarkStart w:id="564" w:name="_Toc218702625"/>
      <w:bookmarkStart w:id="565" w:name="_Toc219039548"/>
      <w:bookmarkStart w:id="566" w:name="_Toc219447451"/>
      <w:r w:rsidRPr="00380B24">
        <w:rPr>
          <w:noProof/>
          <w:lang w:eastAsia="ja-JP"/>
        </w:rPr>
        <w:t>EU added value</w:t>
      </w:r>
      <w:bookmarkEnd w:id="564"/>
      <w:bookmarkEnd w:id="565"/>
      <w:bookmarkEnd w:id="566"/>
    </w:p>
    <w:p w14:paraId="77B3B52A" w14:textId="1D9B3156" w:rsidR="00D52AD8" w:rsidRPr="00C57110" w:rsidRDefault="00D52AD8" w:rsidP="00D52AD8">
      <w:pPr>
        <w:spacing w:before="120"/>
        <w:rPr>
          <w:rFonts w:eastAsia="Arial"/>
          <w:noProof/>
          <w:lang w:eastAsia="ja-JP"/>
        </w:rPr>
      </w:pPr>
      <w:r w:rsidRPr="00C57110">
        <w:rPr>
          <w:rFonts w:eastAsia="Arial"/>
          <w:noProof/>
          <w:lang w:eastAsia="ja-JP"/>
        </w:rPr>
        <w:t>In accordance with the Better Regulation Toolbox, the assessment of EU added value focused on identifying changes resulting from the activities of ENISA and the ECCF that would not likely have occurred through actions taken solely by Member States. The evaluation considered the factors contributing to EU added value, such as enhanced coordination, improved effectiveness or efficiency and reduced administrative burden, among others.</w:t>
      </w:r>
    </w:p>
    <w:p w14:paraId="4439F54F" w14:textId="77777777" w:rsidR="00D52AD8" w:rsidRPr="00C57110" w:rsidRDefault="00D52AD8" w:rsidP="00D52AD8">
      <w:pPr>
        <w:spacing w:before="120"/>
        <w:rPr>
          <w:rFonts w:eastAsia="Arial"/>
          <w:noProof/>
          <w:lang w:eastAsia="ja-JP"/>
        </w:rPr>
      </w:pPr>
      <w:r w:rsidRPr="00C57110">
        <w:rPr>
          <w:rFonts w:eastAsia="Arial"/>
          <w:noProof/>
          <w:lang w:eastAsia="ja-JP"/>
        </w:rPr>
        <w:t>The tables below outline the structure of the evaluation matrix. Findings are presented separately for ENISA and the ECCF.</w:t>
      </w:r>
    </w:p>
    <w:p w14:paraId="518240C6" w14:textId="77777777" w:rsidR="00B202FC" w:rsidRPr="00380B24" w:rsidRDefault="00B202FC" w:rsidP="00B202FC">
      <w:pPr>
        <w:spacing w:before="120"/>
        <w:rPr>
          <w:rFonts w:eastAsia="Arial"/>
          <w:b/>
          <w:bCs/>
          <w:noProof/>
          <w:lang w:eastAsia="ja-JP"/>
        </w:rPr>
      </w:pPr>
    </w:p>
    <w:p w14:paraId="7E84A4A6" w14:textId="77777777" w:rsidR="00D52AD8" w:rsidRPr="00C57110" w:rsidRDefault="00D52AD8" w:rsidP="00D52AD8">
      <w:pPr>
        <w:spacing w:before="120"/>
        <w:rPr>
          <w:rFonts w:eastAsia="Arial"/>
          <w:b/>
          <w:bCs/>
          <w:noProof/>
          <w:lang w:eastAsia="ja-JP"/>
        </w:rPr>
      </w:pPr>
      <w:r w:rsidRPr="00C57110">
        <w:rPr>
          <w:rFonts w:eastAsia="Arial"/>
          <w:b/>
          <w:bCs/>
          <w:noProof/>
          <w:lang w:eastAsia="ja-JP"/>
        </w:rPr>
        <w:t>ENISA</w:t>
      </w: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97"/>
        <w:gridCol w:w="3716"/>
        <w:gridCol w:w="7061"/>
      </w:tblGrid>
      <w:tr w:rsidR="00B202FC" w:rsidRPr="00380B24" w14:paraId="5F3DD76A" w14:textId="77777777">
        <w:trPr>
          <w:cnfStyle w:val="100000000000" w:firstRow="1" w:lastRow="0" w:firstColumn="0" w:lastColumn="0" w:oddVBand="0" w:evenVBand="0" w:oddHBand="0" w:evenHBand="0" w:firstRowFirstColumn="0" w:firstRowLastColumn="0" w:lastRowFirstColumn="0" w:lastRowLastColumn="0"/>
          <w:trHeight w:val="56"/>
        </w:trPr>
        <w:tc>
          <w:tcPr>
            <w:tcW w:w="1198" w:type="pct"/>
            <w:shd w:val="clear" w:color="auto" w:fill="C6D9F1" w:themeFill="text2" w:themeFillTint="33"/>
          </w:tcPr>
          <w:p w14:paraId="33B932E7"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EU added value</w:t>
            </w:r>
          </w:p>
          <w:p w14:paraId="62E28582"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802" w:type="pct"/>
            <w:gridSpan w:val="2"/>
            <w:shd w:val="clear" w:color="auto" w:fill="C6D9F1" w:themeFill="text2" w:themeFillTint="33"/>
          </w:tcPr>
          <w:p w14:paraId="2728B1E8"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Could the identified outputs, results and impacts have been achieved without EU intervention?</w:t>
            </w:r>
          </w:p>
        </w:tc>
      </w:tr>
      <w:tr w:rsidR="00B202FC" w:rsidRPr="00380B24" w14:paraId="10D241F9" w14:textId="77777777">
        <w:trPr>
          <w:trHeight w:val="229"/>
        </w:trPr>
        <w:tc>
          <w:tcPr>
            <w:tcW w:w="5000" w:type="pct"/>
            <w:gridSpan w:val="3"/>
            <w:shd w:val="clear" w:color="auto" w:fill="F2F2F2"/>
          </w:tcPr>
          <w:p w14:paraId="627DD7F2"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4F5CA84F" w14:textId="77777777">
        <w:tc>
          <w:tcPr>
            <w:tcW w:w="5000" w:type="pct"/>
            <w:gridSpan w:val="3"/>
            <w:shd w:val="clear" w:color="auto" w:fill="F2F2F2"/>
          </w:tcPr>
          <w:p w14:paraId="6D39A5E0" w14:textId="77777777" w:rsidR="00B202FC" w:rsidRPr="00380B24" w:rsidRDefault="00B202FC" w:rsidP="00B202FC">
            <w:pPr>
              <w:numPr>
                <w:ilvl w:val="0"/>
                <w:numId w:val="157"/>
              </w:numPr>
              <w:spacing w:before="40" w:after="40"/>
              <w:contextualSpacing/>
              <w:rPr>
                <w:noProof/>
                <w:sz w:val="20"/>
                <w:lang w:eastAsia="ja-JP"/>
              </w:rPr>
            </w:pPr>
            <w:r w:rsidRPr="00380B24">
              <w:rPr>
                <w:noProof/>
                <w:sz w:val="20"/>
                <w:lang w:eastAsia="ja-JP"/>
              </w:rPr>
              <w:t>OQ1: What other possible options are there for achieving the outputs and results?</w:t>
            </w:r>
          </w:p>
          <w:p w14:paraId="579D79F6" w14:textId="77777777" w:rsidR="00B202FC" w:rsidRPr="00380B24" w:rsidRDefault="00B202FC" w:rsidP="00B202FC">
            <w:pPr>
              <w:numPr>
                <w:ilvl w:val="0"/>
                <w:numId w:val="157"/>
              </w:numPr>
              <w:spacing w:before="40" w:after="40"/>
              <w:contextualSpacing/>
              <w:rPr>
                <w:noProof/>
                <w:sz w:val="20"/>
                <w:lang w:eastAsia="ja-JP"/>
              </w:rPr>
            </w:pPr>
            <w:r w:rsidRPr="00380B24">
              <w:rPr>
                <w:noProof/>
                <w:sz w:val="20"/>
                <w:lang w:eastAsia="ja-JP"/>
              </w:rPr>
              <w:t>OQ2: Is it still valid to assume that the objectives of the action can best be met by action at EU level?</w:t>
            </w:r>
          </w:p>
        </w:tc>
      </w:tr>
      <w:tr w:rsidR="00B202FC" w:rsidRPr="00380B24" w14:paraId="2EF8612D" w14:textId="77777777">
        <w:tc>
          <w:tcPr>
            <w:tcW w:w="5000" w:type="pct"/>
            <w:gridSpan w:val="3"/>
            <w:shd w:val="clear" w:color="auto" w:fill="F2F2F2"/>
          </w:tcPr>
          <w:p w14:paraId="30B1C5A7"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30DEB6F0" w14:textId="77777777">
        <w:trPr>
          <w:trHeight w:val="156"/>
        </w:trPr>
        <w:tc>
          <w:tcPr>
            <w:tcW w:w="2509" w:type="pct"/>
            <w:gridSpan w:val="2"/>
            <w:shd w:val="clear" w:color="auto" w:fill="F2F2F2"/>
          </w:tcPr>
          <w:p w14:paraId="09B4B618" w14:textId="77777777" w:rsidR="00B202FC" w:rsidRPr="00380B24" w:rsidRDefault="00B202FC">
            <w:pPr>
              <w:spacing w:before="40" w:after="40"/>
              <w:rPr>
                <w:noProof/>
                <w:sz w:val="20"/>
                <w:lang w:eastAsia="ja-JP"/>
              </w:rPr>
            </w:pPr>
            <w:r w:rsidRPr="00380B24">
              <w:rPr>
                <w:noProof/>
                <w:sz w:val="20"/>
                <w:lang w:eastAsia="ja-JP"/>
              </w:rPr>
              <w:t xml:space="preserve">OQ1: Feasibility of alternative options for achieving the outputs and results of ENISA </w:t>
            </w:r>
          </w:p>
        </w:tc>
        <w:tc>
          <w:tcPr>
            <w:tcW w:w="2491" w:type="pct"/>
            <w:shd w:val="clear" w:color="auto" w:fill="F2F2F2"/>
          </w:tcPr>
          <w:p w14:paraId="74BA79C7" w14:textId="77777777" w:rsidR="00B202FC" w:rsidRPr="00380B24" w:rsidRDefault="00B202FC">
            <w:pPr>
              <w:spacing w:before="40" w:after="40"/>
              <w:rPr>
                <w:noProof/>
                <w:sz w:val="20"/>
                <w:lang w:eastAsia="ja-JP"/>
              </w:rPr>
            </w:pPr>
            <w:r w:rsidRPr="00380B24">
              <w:rPr>
                <w:noProof/>
                <w:sz w:val="20"/>
                <w:lang w:eastAsia="ja-JP"/>
              </w:rPr>
              <w:t>List of alternative options and their description</w:t>
            </w:r>
          </w:p>
        </w:tc>
      </w:tr>
      <w:tr w:rsidR="00B202FC" w:rsidRPr="00380B24" w14:paraId="3BBAF033" w14:textId="77777777">
        <w:trPr>
          <w:trHeight w:val="156"/>
        </w:trPr>
        <w:tc>
          <w:tcPr>
            <w:tcW w:w="2509" w:type="pct"/>
            <w:gridSpan w:val="2"/>
            <w:shd w:val="clear" w:color="auto" w:fill="F2F2F2"/>
          </w:tcPr>
          <w:p w14:paraId="6B1CE18A" w14:textId="77777777" w:rsidR="00B202FC" w:rsidRPr="00380B24" w:rsidRDefault="00B202FC">
            <w:pPr>
              <w:spacing w:before="40" w:after="40"/>
              <w:rPr>
                <w:noProof/>
                <w:sz w:val="20"/>
                <w:lang w:eastAsia="ja-JP"/>
              </w:rPr>
            </w:pPr>
            <w:r w:rsidRPr="00380B24">
              <w:rPr>
                <w:noProof/>
                <w:sz w:val="20"/>
                <w:lang w:eastAsia="ja-JP"/>
              </w:rPr>
              <w:t>OQ2. EU-level action is considered the most optimal</w:t>
            </w:r>
          </w:p>
        </w:tc>
        <w:tc>
          <w:tcPr>
            <w:tcW w:w="2491" w:type="pct"/>
            <w:shd w:val="clear" w:color="auto" w:fill="F2F2F2"/>
          </w:tcPr>
          <w:p w14:paraId="4E05487E" w14:textId="77777777" w:rsidR="00B202FC" w:rsidRPr="00380B24" w:rsidRDefault="00B202FC">
            <w:pPr>
              <w:spacing w:before="40" w:after="40"/>
              <w:rPr>
                <w:noProof/>
                <w:sz w:val="20"/>
                <w:lang w:eastAsia="ja-JP"/>
              </w:rPr>
            </w:pPr>
            <w:r w:rsidRPr="00380B24">
              <w:rPr>
                <w:noProof/>
                <w:sz w:val="20"/>
                <w:lang w:eastAsia="ja-JP"/>
              </w:rPr>
              <w:t>Stakeholders’ opinions on the added value of ENISA</w:t>
            </w:r>
          </w:p>
        </w:tc>
      </w:tr>
      <w:tr w:rsidR="00B202FC" w:rsidRPr="00380B24" w14:paraId="76F4A9C6" w14:textId="77777777">
        <w:tc>
          <w:tcPr>
            <w:tcW w:w="5000" w:type="pct"/>
            <w:gridSpan w:val="3"/>
            <w:shd w:val="clear" w:color="auto" w:fill="F2F2F2"/>
          </w:tcPr>
          <w:p w14:paraId="0D9DB9FC"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7D59E1A2" w14:textId="77777777">
        <w:tc>
          <w:tcPr>
            <w:tcW w:w="5000" w:type="pct"/>
            <w:gridSpan w:val="3"/>
            <w:shd w:val="clear" w:color="auto" w:fill="F2F2F2"/>
          </w:tcPr>
          <w:p w14:paraId="2321F7BC" w14:textId="77777777" w:rsidR="00B202FC" w:rsidRPr="00380B24" w:rsidRDefault="00B202FC" w:rsidP="00B202FC">
            <w:pPr>
              <w:numPr>
                <w:ilvl w:val="0"/>
                <w:numId w:val="157"/>
              </w:numPr>
              <w:spacing w:before="40" w:after="40"/>
              <w:contextualSpacing/>
              <w:rPr>
                <w:noProof/>
                <w:sz w:val="20"/>
                <w:lang w:eastAsia="ja-JP"/>
              </w:rPr>
            </w:pPr>
            <w:r w:rsidRPr="00380B24">
              <w:rPr>
                <w:noProof/>
                <w:sz w:val="20"/>
                <w:lang w:eastAsia="ja-JP"/>
              </w:rPr>
              <w:t>Desk research</w:t>
            </w:r>
          </w:p>
          <w:p w14:paraId="6929A2DD" w14:textId="77777777" w:rsidR="00B202FC" w:rsidRPr="00380B24" w:rsidRDefault="00B202FC" w:rsidP="00B202FC">
            <w:pPr>
              <w:numPr>
                <w:ilvl w:val="0"/>
                <w:numId w:val="157"/>
              </w:numPr>
              <w:spacing w:before="40" w:after="40"/>
              <w:contextualSpacing/>
              <w:rPr>
                <w:noProof/>
                <w:sz w:val="20"/>
                <w:lang w:eastAsia="ja-JP"/>
              </w:rPr>
            </w:pPr>
            <w:r w:rsidRPr="00380B24">
              <w:rPr>
                <w:noProof/>
                <w:sz w:val="20"/>
                <w:lang w:eastAsia="ja-JP"/>
              </w:rPr>
              <w:t>Interviews</w:t>
            </w:r>
          </w:p>
        </w:tc>
      </w:tr>
    </w:tbl>
    <w:p w14:paraId="7C31EC86" w14:textId="77777777" w:rsidR="00B202FC" w:rsidRPr="00380B24" w:rsidRDefault="00B202FC" w:rsidP="00B202FC">
      <w:pPr>
        <w:spacing w:before="40" w:after="40"/>
        <w:rPr>
          <w:rFonts w:eastAsia="Arial"/>
          <w:noProof/>
          <w:sz w:val="20"/>
          <w:szCs w:val="20"/>
          <w:lang w:eastAsia="ja-JP"/>
        </w:rPr>
      </w:pP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4DD5D05B"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24BC771"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EU added value</w:t>
            </w:r>
          </w:p>
          <w:p w14:paraId="502F1025"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856" w:type="pct"/>
            <w:gridSpan w:val="2"/>
            <w:shd w:val="clear" w:color="auto" w:fill="C6D9F1" w:themeFill="text2" w:themeFillTint="33"/>
          </w:tcPr>
          <w:p w14:paraId="388B29F8"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What would be the most likely consequences of stopping or withdrawing EU involvement?</w:t>
            </w:r>
          </w:p>
        </w:tc>
      </w:tr>
      <w:tr w:rsidR="00B202FC" w:rsidRPr="00380B24" w14:paraId="0ADA3764" w14:textId="77777777">
        <w:trPr>
          <w:trHeight w:val="229"/>
        </w:trPr>
        <w:tc>
          <w:tcPr>
            <w:tcW w:w="5000" w:type="pct"/>
            <w:gridSpan w:val="3"/>
            <w:shd w:val="clear" w:color="auto" w:fill="F2F2F2"/>
          </w:tcPr>
          <w:p w14:paraId="1EA714EB"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41E06507" w14:textId="77777777">
        <w:tc>
          <w:tcPr>
            <w:tcW w:w="5000" w:type="pct"/>
            <w:gridSpan w:val="3"/>
            <w:shd w:val="clear" w:color="auto" w:fill="F2F2F2"/>
          </w:tcPr>
          <w:p w14:paraId="708BBDC2" w14:textId="77777777" w:rsidR="00B202FC" w:rsidRPr="00380B24" w:rsidRDefault="00B202FC" w:rsidP="00B202FC">
            <w:pPr>
              <w:numPr>
                <w:ilvl w:val="0"/>
                <w:numId w:val="178"/>
              </w:numPr>
              <w:spacing w:before="40" w:after="40"/>
              <w:contextualSpacing/>
              <w:rPr>
                <w:noProof/>
                <w:sz w:val="20"/>
                <w:lang w:eastAsia="ja-JP"/>
              </w:rPr>
            </w:pPr>
            <w:r w:rsidRPr="00380B24">
              <w:rPr>
                <w:noProof/>
                <w:sz w:val="20"/>
                <w:lang w:eastAsia="ja-JP"/>
              </w:rPr>
              <w:t>OQ1: How would the EU cybersecurity landscape change if EU involvement were to be withdrawn or stopped?</w:t>
            </w:r>
          </w:p>
          <w:p w14:paraId="3BFBB1CA" w14:textId="77777777" w:rsidR="00B202FC" w:rsidRPr="00380B24" w:rsidRDefault="00B202FC" w:rsidP="00B202FC">
            <w:pPr>
              <w:numPr>
                <w:ilvl w:val="0"/>
                <w:numId w:val="178"/>
              </w:numPr>
              <w:spacing w:before="40" w:after="40"/>
              <w:contextualSpacing/>
              <w:rPr>
                <w:noProof/>
                <w:sz w:val="20"/>
                <w:lang w:eastAsia="ja-JP"/>
              </w:rPr>
            </w:pPr>
            <w:r w:rsidRPr="00380B24">
              <w:rPr>
                <w:noProof/>
                <w:sz w:val="20"/>
                <w:lang w:eastAsia="ja-JP"/>
              </w:rPr>
              <w:t>OQ2: What would stakeholders see as a suitable alternative to the current EU action?</w:t>
            </w:r>
          </w:p>
        </w:tc>
      </w:tr>
      <w:tr w:rsidR="00B202FC" w:rsidRPr="00380B24" w14:paraId="400EE520" w14:textId="77777777">
        <w:tc>
          <w:tcPr>
            <w:tcW w:w="5000" w:type="pct"/>
            <w:gridSpan w:val="3"/>
            <w:shd w:val="clear" w:color="auto" w:fill="F2F2F2"/>
          </w:tcPr>
          <w:p w14:paraId="5890A4CB"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0AFEEAC2" w14:textId="77777777">
        <w:trPr>
          <w:trHeight w:val="156"/>
        </w:trPr>
        <w:tc>
          <w:tcPr>
            <w:tcW w:w="2500" w:type="pct"/>
            <w:gridSpan w:val="2"/>
            <w:shd w:val="clear" w:color="auto" w:fill="F2F2F2"/>
          </w:tcPr>
          <w:p w14:paraId="1678CD40" w14:textId="77777777" w:rsidR="00B202FC" w:rsidRPr="00380B24" w:rsidRDefault="00B202FC">
            <w:pPr>
              <w:spacing w:before="40" w:after="40"/>
              <w:rPr>
                <w:noProof/>
                <w:sz w:val="20"/>
                <w:lang w:eastAsia="ja-JP"/>
              </w:rPr>
            </w:pPr>
            <w:r w:rsidRPr="00380B24">
              <w:rPr>
                <w:noProof/>
                <w:sz w:val="20"/>
                <w:lang w:eastAsia="ja-JP"/>
              </w:rPr>
              <w:t xml:space="preserve">OQ1: Anticipated quality of feasible alternative options </w:t>
            </w:r>
          </w:p>
        </w:tc>
        <w:tc>
          <w:tcPr>
            <w:tcW w:w="2500" w:type="pct"/>
            <w:vMerge w:val="restart"/>
            <w:shd w:val="clear" w:color="auto" w:fill="F2F2F2"/>
          </w:tcPr>
          <w:p w14:paraId="3366D4CF" w14:textId="77777777" w:rsidR="00B202FC" w:rsidRPr="00380B24" w:rsidRDefault="00B202FC">
            <w:pPr>
              <w:spacing w:before="40" w:after="40"/>
              <w:rPr>
                <w:noProof/>
                <w:sz w:val="20"/>
                <w:lang w:eastAsia="ja-JP"/>
              </w:rPr>
            </w:pPr>
            <w:r w:rsidRPr="00380B24">
              <w:rPr>
                <w:noProof/>
                <w:sz w:val="20"/>
                <w:lang w:eastAsia="ja-JP"/>
              </w:rPr>
              <w:t xml:space="preserve">Stakeholders’ opinions on the added value of ENISA </w:t>
            </w:r>
          </w:p>
        </w:tc>
      </w:tr>
      <w:tr w:rsidR="00B202FC" w:rsidRPr="00380B24" w14:paraId="1B79BFAF" w14:textId="77777777">
        <w:trPr>
          <w:trHeight w:val="156"/>
        </w:trPr>
        <w:tc>
          <w:tcPr>
            <w:tcW w:w="2500" w:type="pct"/>
            <w:gridSpan w:val="2"/>
            <w:shd w:val="clear" w:color="auto" w:fill="F2F2F2"/>
          </w:tcPr>
          <w:p w14:paraId="7080DAFB" w14:textId="77777777" w:rsidR="00B202FC" w:rsidRPr="00380B24" w:rsidRDefault="00B202FC">
            <w:pPr>
              <w:spacing w:before="40" w:after="40"/>
              <w:rPr>
                <w:noProof/>
                <w:sz w:val="20"/>
                <w:lang w:eastAsia="ja-JP"/>
              </w:rPr>
            </w:pPr>
            <w:r w:rsidRPr="00380B24">
              <w:rPr>
                <w:noProof/>
                <w:sz w:val="20"/>
                <w:lang w:eastAsia="ja-JP"/>
              </w:rPr>
              <w:t>OQ2: Stakeholders see ENISA as the most optimal option</w:t>
            </w:r>
          </w:p>
        </w:tc>
        <w:tc>
          <w:tcPr>
            <w:tcW w:w="2500" w:type="pct"/>
            <w:vMerge/>
            <w:shd w:val="clear" w:color="auto" w:fill="F2F2F2"/>
          </w:tcPr>
          <w:p w14:paraId="1A5DCC77" w14:textId="77777777" w:rsidR="00B202FC" w:rsidRPr="00380B24" w:rsidRDefault="00B202FC">
            <w:pPr>
              <w:spacing w:before="40" w:after="40"/>
              <w:rPr>
                <w:noProof/>
                <w:sz w:val="20"/>
                <w:lang w:eastAsia="ja-JP"/>
              </w:rPr>
            </w:pPr>
          </w:p>
        </w:tc>
      </w:tr>
      <w:tr w:rsidR="00B202FC" w:rsidRPr="00380B24" w14:paraId="360068A0" w14:textId="77777777">
        <w:tc>
          <w:tcPr>
            <w:tcW w:w="5000" w:type="pct"/>
            <w:gridSpan w:val="3"/>
            <w:shd w:val="clear" w:color="auto" w:fill="F2F2F2"/>
          </w:tcPr>
          <w:p w14:paraId="28BB56DF"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59C272E3" w14:textId="77777777">
        <w:tc>
          <w:tcPr>
            <w:tcW w:w="5000" w:type="pct"/>
            <w:gridSpan w:val="3"/>
            <w:shd w:val="clear" w:color="auto" w:fill="F2F2F2"/>
          </w:tcPr>
          <w:p w14:paraId="48BAA422" w14:textId="77777777" w:rsidR="00B202FC" w:rsidRPr="00380B24" w:rsidRDefault="00B202FC" w:rsidP="00B202FC">
            <w:pPr>
              <w:numPr>
                <w:ilvl w:val="0"/>
                <w:numId w:val="178"/>
              </w:numPr>
              <w:spacing w:before="40" w:after="40"/>
              <w:contextualSpacing/>
              <w:rPr>
                <w:noProof/>
                <w:sz w:val="20"/>
                <w:lang w:eastAsia="ja-JP"/>
              </w:rPr>
            </w:pPr>
            <w:r w:rsidRPr="00380B24">
              <w:rPr>
                <w:noProof/>
                <w:sz w:val="20"/>
                <w:lang w:eastAsia="ja-JP"/>
              </w:rPr>
              <w:t>Desk research</w:t>
            </w:r>
          </w:p>
          <w:p w14:paraId="3B37764E" w14:textId="77777777" w:rsidR="00B202FC" w:rsidRPr="00380B24" w:rsidRDefault="00B202FC" w:rsidP="00B202FC">
            <w:pPr>
              <w:numPr>
                <w:ilvl w:val="0"/>
                <w:numId w:val="178"/>
              </w:numPr>
              <w:spacing w:before="40" w:after="40"/>
              <w:contextualSpacing/>
              <w:rPr>
                <w:noProof/>
                <w:sz w:val="20"/>
                <w:lang w:eastAsia="ja-JP"/>
              </w:rPr>
            </w:pPr>
            <w:r w:rsidRPr="00380B24">
              <w:rPr>
                <w:noProof/>
                <w:sz w:val="20"/>
                <w:lang w:eastAsia="ja-JP"/>
              </w:rPr>
              <w:t>Interviews</w:t>
            </w:r>
          </w:p>
        </w:tc>
      </w:tr>
    </w:tbl>
    <w:p w14:paraId="15F660F6" w14:textId="77777777" w:rsidR="00D52AD8" w:rsidRPr="00C57110" w:rsidRDefault="00D52AD8" w:rsidP="00D52AD8">
      <w:pPr>
        <w:spacing w:before="40" w:after="40"/>
        <w:rPr>
          <w:rFonts w:eastAsia="Arial"/>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49143979" w14:textId="77777777">
        <w:tc>
          <w:tcPr>
            <w:tcW w:w="5000" w:type="pct"/>
            <w:shd w:val="clear" w:color="auto" w:fill="C6D9F1" w:themeFill="text2" w:themeFillTint="33"/>
          </w:tcPr>
          <w:p w14:paraId="0A49B793" w14:textId="77777777" w:rsidR="00B202FC" w:rsidRPr="00380B24" w:rsidRDefault="00B202FC">
            <w:pPr>
              <w:rPr>
                <w:rFonts w:ascii="Arial" w:eastAsia="Arial" w:hAnsi="Arial" w:cs="Arial"/>
                <w:b/>
                <w:noProof/>
                <w:sz w:val="20"/>
              </w:rPr>
            </w:pPr>
            <w:r w:rsidRPr="00380B24">
              <w:rPr>
                <w:b/>
                <w:bCs/>
                <w:i/>
                <w:noProof/>
                <w:color w:val="000000" w:themeColor="text1"/>
                <w:sz w:val="20"/>
                <w:lang w:eastAsia="ja-JP"/>
              </w:rPr>
              <w:t>Evaluation results</w:t>
            </w:r>
          </w:p>
        </w:tc>
      </w:tr>
      <w:tr w:rsidR="00B202FC" w:rsidRPr="00380B24" w14:paraId="678CD249" w14:textId="77777777">
        <w:tc>
          <w:tcPr>
            <w:tcW w:w="5000" w:type="pct"/>
            <w:shd w:val="clear" w:color="auto" w:fill="F2F2F2" w:themeFill="background1" w:themeFillShade="F2"/>
          </w:tcPr>
          <w:p w14:paraId="27EDC434" w14:textId="77777777" w:rsidR="00B202FC" w:rsidRPr="00380B24" w:rsidRDefault="00B202FC">
            <w:pPr>
              <w:rPr>
                <w:noProof/>
                <w:sz w:val="20"/>
                <w:lang w:eastAsia="ja-JP"/>
              </w:rPr>
            </w:pPr>
            <w:r w:rsidRPr="00380B24">
              <w:rPr>
                <w:noProof/>
                <w:sz w:val="20"/>
                <w:lang w:eastAsia="ja-JP"/>
              </w:rPr>
              <w:t xml:space="preserve">The achievements in terms of outputs, results and impacts would have been difficult to attain without ENISA’s involvement. ENISA’s dedicated focus on the implementation of cybersecurity policy, combined with its ability to coordinate and align efforts across Member States, represents a unique contribution that other EU bodies may not be able to provide due to their broader mandates or more narrowly defined roles. ENISA brought added value to EU cybersecurity through its independent and decentralised structure, which enhanced cooperation with Member States and supported responses to cybersecurity threats. Without ENISA, the EU would likely encounter greater difficulties in coordinating efforts across borders and would face a more fragmented cybersecurity landscape, particularly affecting those Member States with less advanced capabilities in this field. Strategically increasing stakeholder engagement and reassessing resources could help ENISA better adapt to evolving cybersecurity threats and expand its operational role. Future priorities include improving recruitment processes, managing workload and strengthening transparent relationships with Member States to enhance cooperation and information sharing. Addressing criticism from private-sector stakeholders by tailoring insights to their specific challenges should also be considered. </w:t>
            </w:r>
          </w:p>
        </w:tc>
      </w:tr>
    </w:tbl>
    <w:p w14:paraId="55C583FC" w14:textId="77777777" w:rsidR="00D52AD8" w:rsidRPr="00C57110" w:rsidRDefault="00D52AD8" w:rsidP="00D52AD8">
      <w:pPr>
        <w:spacing w:before="40" w:after="40"/>
        <w:rPr>
          <w:rFonts w:eastAsia="Arial"/>
          <w:noProof/>
          <w:szCs w:val="20"/>
          <w:lang w:eastAsia="ja-JP"/>
        </w:rPr>
      </w:pPr>
    </w:p>
    <w:p w14:paraId="15654E77" w14:textId="77777777" w:rsidR="00D52AD8" w:rsidRPr="00C57110" w:rsidRDefault="00D52AD8" w:rsidP="00D52AD8">
      <w:pPr>
        <w:spacing w:before="40" w:after="40"/>
        <w:rPr>
          <w:rFonts w:eastAsia="Arial"/>
          <w:b/>
          <w:bCs/>
          <w:noProof/>
          <w:szCs w:val="20"/>
          <w:lang w:eastAsia="ja-JP"/>
        </w:rPr>
      </w:pPr>
      <w:r w:rsidRPr="00C57110">
        <w:rPr>
          <w:rFonts w:eastAsia="Arial"/>
          <w:b/>
          <w:bCs/>
          <w:noProof/>
          <w:szCs w:val="20"/>
          <w:lang w:eastAsia="ja-JP"/>
        </w:rPr>
        <w:t>ECCF</w:t>
      </w: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59676901"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FBD9DD1"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EU added value</w:t>
            </w:r>
          </w:p>
          <w:p w14:paraId="185C22C9"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EQ3, ECCF</w:t>
            </w:r>
          </w:p>
        </w:tc>
        <w:tc>
          <w:tcPr>
            <w:tcW w:w="3856" w:type="pct"/>
            <w:gridSpan w:val="2"/>
            <w:shd w:val="clear" w:color="auto" w:fill="C6D9F1" w:themeFill="text2" w:themeFillTint="33"/>
          </w:tcPr>
          <w:p w14:paraId="21AF33EA"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has the ECCF brought EU added value compared to what could have been achieved by Member States alone?</w:t>
            </w:r>
          </w:p>
        </w:tc>
      </w:tr>
      <w:tr w:rsidR="00B202FC" w:rsidRPr="00380B24" w14:paraId="408C5628" w14:textId="77777777">
        <w:trPr>
          <w:trHeight w:val="229"/>
        </w:trPr>
        <w:tc>
          <w:tcPr>
            <w:tcW w:w="5000" w:type="pct"/>
            <w:gridSpan w:val="3"/>
            <w:shd w:val="clear" w:color="auto" w:fill="F2F2F2" w:themeFill="background1" w:themeFillShade="F2"/>
          </w:tcPr>
          <w:p w14:paraId="6F3432C3"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4CE6346A" w14:textId="77777777">
        <w:tc>
          <w:tcPr>
            <w:tcW w:w="5000" w:type="pct"/>
            <w:gridSpan w:val="3"/>
            <w:shd w:val="clear" w:color="auto" w:fill="F2F2F2" w:themeFill="background1" w:themeFillShade="F2"/>
          </w:tcPr>
          <w:p w14:paraId="62D204FC"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 xml:space="preserve">OQ1: Could the same outcomes of the ECCF be achieved by participating countries adopting cybersecurity certification schemes outside the European framework? </w:t>
            </w:r>
          </w:p>
          <w:p w14:paraId="2E162A30"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OQ2: To what extent could Member States have achieved the same outcomes without the ECCF?</w:t>
            </w:r>
          </w:p>
          <w:p w14:paraId="235D49D5"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 xml:space="preserve">OQ3: To what extent has the ECCF increased the likelihood of achieving a more secure, transparent and cohesive internal market for ICT products, services and processes? </w:t>
            </w:r>
          </w:p>
        </w:tc>
      </w:tr>
      <w:tr w:rsidR="00B202FC" w:rsidRPr="00380B24" w14:paraId="592DCCA9" w14:textId="77777777">
        <w:tc>
          <w:tcPr>
            <w:tcW w:w="5000" w:type="pct"/>
            <w:gridSpan w:val="3"/>
            <w:shd w:val="clear" w:color="auto" w:fill="F2F2F2" w:themeFill="background1" w:themeFillShade="F2"/>
          </w:tcPr>
          <w:p w14:paraId="36759DA6"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0AE1BD14" w14:textId="77777777">
        <w:trPr>
          <w:trHeight w:val="156"/>
        </w:trPr>
        <w:tc>
          <w:tcPr>
            <w:tcW w:w="2500" w:type="pct"/>
            <w:gridSpan w:val="2"/>
            <w:shd w:val="clear" w:color="auto" w:fill="F2F2F2" w:themeFill="background1" w:themeFillShade="F2"/>
          </w:tcPr>
          <w:p w14:paraId="4D1143B0" w14:textId="77777777" w:rsidR="00B202FC" w:rsidRPr="00380B24" w:rsidRDefault="00B202FC">
            <w:pPr>
              <w:spacing w:before="40" w:after="40"/>
              <w:rPr>
                <w:noProof/>
                <w:sz w:val="20"/>
                <w:lang w:eastAsia="ja-JP"/>
              </w:rPr>
            </w:pPr>
            <w:r w:rsidRPr="00380B24">
              <w:rPr>
                <w:noProof/>
                <w:sz w:val="20"/>
                <w:lang w:eastAsia="ja-JP"/>
              </w:rPr>
              <w:t xml:space="preserve">OQ1: Member States state that they prefer to use the ECCF to achieve a harmonised, streamlined and coherent cybersecurity certification mechanism </w:t>
            </w:r>
          </w:p>
        </w:tc>
        <w:tc>
          <w:tcPr>
            <w:tcW w:w="2500" w:type="pct"/>
            <w:shd w:val="clear" w:color="auto" w:fill="F2F2F2" w:themeFill="background1" w:themeFillShade="F2"/>
          </w:tcPr>
          <w:p w14:paraId="2A5E9E0A" w14:textId="77777777" w:rsidR="00B202FC" w:rsidRPr="00380B24" w:rsidRDefault="00B202FC">
            <w:pPr>
              <w:spacing w:before="40" w:after="40"/>
              <w:rPr>
                <w:noProof/>
                <w:sz w:val="20"/>
                <w:lang w:eastAsia="ja-JP"/>
              </w:rPr>
            </w:pPr>
            <w:r w:rsidRPr="00380B24">
              <w:rPr>
                <w:noProof/>
                <w:sz w:val="20"/>
                <w:lang w:eastAsia="ja-JP"/>
              </w:rPr>
              <w:t>Number of Member States preferring to use the ECCF; number and type of parallel certification procedures carried out by Member States</w:t>
            </w:r>
          </w:p>
        </w:tc>
      </w:tr>
      <w:tr w:rsidR="00B202FC" w:rsidRPr="00380B24" w14:paraId="7D5D7A79" w14:textId="77777777">
        <w:trPr>
          <w:trHeight w:val="156"/>
        </w:trPr>
        <w:tc>
          <w:tcPr>
            <w:tcW w:w="2500" w:type="pct"/>
            <w:gridSpan w:val="2"/>
            <w:shd w:val="clear" w:color="auto" w:fill="F2F2F2" w:themeFill="background1" w:themeFillShade="F2"/>
          </w:tcPr>
          <w:p w14:paraId="111F5AC5" w14:textId="77777777" w:rsidR="00B202FC" w:rsidRPr="00380B24" w:rsidRDefault="00B202FC">
            <w:pPr>
              <w:spacing w:before="40" w:after="40"/>
              <w:rPr>
                <w:noProof/>
                <w:sz w:val="20"/>
                <w:lang w:eastAsia="ja-JP"/>
              </w:rPr>
            </w:pPr>
            <w:r w:rsidRPr="00380B24">
              <w:rPr>
                <w:noProof/>
                <w:sz w:val="20"/>
                <w:lang w:eastAsia="ja-JP"/>
              </w:rPr>
              <w:t>OQ2: Member States’ unilateral and uncoordinated measures were ineffective in securing ICT products, services and processes placed on the internal market</w:t>
            </w:r>
          </w:p>
        </w:tc>
        <w:tc>
          <w:tcPr>
            <w:tcW w:w="2500" w:type="pct"/>
            <w:shd w:val="clear" w:color="auto" w:fill="F2F2F2" w:themeFill="background1" w:themeFillShade="F2"/>
          </w:tcPr>
          <w:p w14:paraId="7AE9FB60" w14:textId="77777777" w:rsidR="00B202FC" w:rsidRPr="00380B24" w:rsidRDefault="00B202FC">
            <w:pPr>
              <w:spacing w:before="40" w:after="40"/>
              <w:rPr>
                <w:noProof/>
                <w:sz w:val="20"/>
                <w:lang w:eastAsia="ja-JP"/>
              </w:rPr>
            </w:pPr>
            <w:r w:rsidRPr="00380B24">
              <w:rPr>
                <w:noProof/>
                <w:sz w:val="20"/>
                <w:lang w:eastAsia="ja-JP"/>
              </w:rPr>
              <w:t xml:space="preserve">Number of national certification measures successfully certifying ICT products, services and processes; number of certification procedures carried out under the SOG-IS-MRA </w:t>
            </w:r>
          </w:p>
        </w:tc>
      </w:tr>
      <w:tr w:rsidR="00B202FC" w:rsidRPr="00380B24" w14:paraId="2AB8E5FE" w14:textId="77777777">
        <w:trPr>
          <w:trHeight w:val="156"/>
        </w:trPr>
        <w:tc>
          <w:tcPr>
            <w:tcW w:w="2500" w:type="pct"/>
            <w:gridSpan w:val="2"/>
            <w:shd w:val="clear" w:color="auto" w:fill="F2F2F2" w:themeFill="background1" w:themeFillShade="F2"/>
          </w:tcPr>
          <w:p w14:paraId="063063AE" w14:textId="77777777" w:rsidR="00B202FC" w:rsidRPr="00380B24" w:rsidRDefault="00B202FC">
            <w:pPr>
              <w:spacing w:before="40" w:after="40"/>
              <w:rPr>
                <w:noProof/>
                <w:sz w:val="20"/>
                <w:lang w:eastAsia="ja-JP"/>
              </w:rPr>
            </w:pPr>
            <w:r w:rsidRPr="00380B24">
              <w:rPr>
                <w:noProof/>
                <w:sz w:val="20"/>
                <w:lang w:eastAsia="ja-JP"/>
              </w:rPr>
              <w:t>OQ3: ECCF increases the security of ICT products, services and processes sold in the internal market</w:t>
            </w:r>
          </w:p>
        </w:tc>
        <w:tc>
          <w:tcPr>
            <w:tcW w:w="2500" w:type="pct"/>
            <w:shd w:val="clear" w:color="auto" w:fill="F2F2F2" w:themeFill="background1" w:themeFillShade="F2"/>
          </w:tcPr>
          <w:p w14:paraId="096CB719" w14:textId="77777777" w:rsidR="00B202FC" w:rsidRPr="00380B24" w:rsidRDefault="00B202FC">
            <w:pPr>
              <w:spacing w:before="40" w:after="40"/>
              <w:rPr>
                <w:noProof/>
                <w:sz w:val="20"/>
                <w:lang w:eastAsia="ja-JP"/>
              </w:rPr>
            </w:pPr>
            <w:r w:rsidRPr="00380B24">
              <w:rPr>
                <w:noProof/>
                <w:sz w:val="20"/>
                <w:lang w:eastAsia="ja-JP"/>
              </w:rPr>
              <w:t>Extent to which the certification of ICT products, services and processes through the ECCF has guaranteed more security</w:t>
            </w:r>
          </w:p>
        </w:tc>
      </w:tr>
      <w:tr w:rsidR="00B202FC" w:rsidRPr="00380B24" w14:paraId="6F52DE31" w14:textId="77777777">
        <w:tc>
          <w:tcPr>
            <w:tcW w:w="5000" w:type="pct"/>
            <w:gridSpan w:val="3"/>
            <w:shd w:val="clear" w:color="auto" w:fill="F2F2F2" w:themeFill="background1" w:themeFillShade="F2"/>
          </w:tcPr>
          <w:p w14:paraId="125C05B0"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57480580" w14:textId="77777777">
        <w:tc>
          <w:tcPr>
            <w:tcW w:w="5000" w:type="pct"/>
            <w:gridSpan w:val="3"/>
            <w:shd w:val="clear" w:color="auto" w:fill="F2F2F2" w:themeFill="background1" w:themeFillShade="F2"/>
          </w:tcPr>
          <w:p w14:paraId="5922F2EA"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Desk research</w:t>
            </w:r>
          </w:p>
          <w:p w14:paraId="2CCDD140"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Survey</w:t>
            </w:r>
          </w:p>
          <w:p w14:paraId="6EE160B5" w14:textId="77777777" w:rsidR="00B202FC" w:rsidRPr="00380B24" w:rsidRDefault="00B202FC" w:rsidP="00B202FC">
            <w:pPr>
              <w:numPr>
                <w:ilvl w:val="0"/>
                <w:numId w:val="179"/>
              </w:numPr>
              <w:spacing w:before="40" w:after="40"/>
              <w:contextualSpacing/>
              <w:rPr>
                <w:noProof/>
                <w:sz w:val="20"/>
                <w:lang w:eastAsia="ja-JP"/>
              </w:rPr>
            </w:pPr>
            <w:r w:rsidRPr="00380B24">
              <w:rPr>
                <w:noProof/>
                <w:sz w:val="20"/>
                <w:lang w:eastAsia="ja-JP"/>
              </w:rPr>
              <w:t>Interviews</w:t>
            </w:r>
          </w:p>
        </w:tc>
      </w:tr>
    </w:tbl>
    <w:p w14:paraId="1E2482CB" w14:textId="77777777" w:rsidR="00D52AD8" w:rsidRPr="00C57110" w:rsidRDefault="00D52AD8" w:rsidP="00D52AD8">
      <w:pPr>
        <w:rPr>
          <w:rFonts w:eastAsia="Times New Roman"/>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1FD13C49" w14:textId="77777777">
        <w:tc>
          <w:tcPr>
            <w:tcW w:w="5000" w:type="pct"/>
            <w:shd w:val="clear" w:color="auto" w:fill="C6D9F1" w:themeFill="text2" w:themeFillTint="33"/>
          </w:tcPr>
          <w:p w14:paraId="267CE105" w14:textId="77777777" w:rsidR="00B202FC" w:rsidRPr="00380B24" w:rsidRDefault="00B202FC">
            <w:pPr>
              <w:rPr>
                <w:rFonts w:ascii="Arial" w:eastAsia="Arial" w:hAnsi="Arial" w:cs="Arial"/>
                <w:b/>
                <w:noProof/>
                <w:sz w:val="20"/>
              </w:rPr>
            </w:pPr>
            <w:r w:rsidRPr="00380B24">
              <w:rPr>
                <w:b/>
                <w:bCs/>
                <w:i/>
                <w:noProof/>
                <w:color w:val="000000" w:themeColor="text1"/>
                <w:sz w:val="20"/>
                <w:lang w:eastAsia="ja-JP"/>
              </w:rPr>
              <w:t>Evaluation results</w:t>
            </w:r>
          </w:p>
        </w:tc>
      </w:tr>
      <w:tr w:rsidR="00B202FC" w:rsidRPr="00380B24" w14:paraId="2E6B416B" w14:textId="77777777">
        <w:trPr>
          <w:trHeight w:val="685"/>
        </w:trPr>
        <w:tc>
          <w:tcPr>
            <w:tcW w:w="5000" w:type="pct"/>
            <w:shd w:val="clear" w:color="auto" w:fill="F2F2F2" w:themeFill="background1" w:themeFillShade="F2"/>
          </w:tcPr>
          <w:p w14:paraId="390275BA" w14:textId="77777777" w:rsidR="00B202FC" w:rsidRPr="00380B24" w:rsidRDefault="00B202FC">
            <w:pPr>
              <w:rPr>
                <w:noProof/>
                <w:sz w:val="20"/>
                <w:lang w:eastAsia="ja-JP"/>
              </w:rPr>
            </w:pPr>
            <w:r w:rsidRPr="00380B24">
              <w:rPr>
                <w:noProof/>
                <w:sz w:val="20"/>
                <w:lang w:eastAsia="ja-JP"/>
              </w:rPr>
              <w:t xml:space="preserve">Stakeholders generally agreed that the ECCF delivers added value at EU level beyond what individual Member States could achieve on their own, even though its direct impact remains limited. This added value was particularly noticeable in areas such as the adoption of certification, the use of cost-efficient procedures, the promotion of cyber-awareness, the strengthening of trust within the EU single market and the encouragement of cybersecurity principles by default and by design. Most stakeholders also acknowledged the ECCF’s role in contributing to a more secure, transparent and unified internal market for ICT products, services and processes. However, the added value of the ECCF has been somewhat limited due to its shortcomings in reaching its objectives (see effectiveness criteria) and its lack of efficiency (see efficiency criteria). </w:t>
            </w:r>
          </w:p>
        </w:tc>
      </w:tr>
    </w:tbl>
    <w:p w14:paraId="63B963C3" w14:textId="77777777" w:rsidR="00B202FC" w:rsidRPr="00380B24" w:rsidRDefault="00B202FC" w:rsidP="0019266B">
      <w:pPr>
        <w:pStyle w:val="Heading3"/>
        <w:numPr>
          <w:ilvl w:val="0"/>
          <w:numId w:val="0"/>
        </w:numPr>
        <w:ind w:left="1920"/>
        <w:rPr>
          <w:noProof/>
        </w:rPr>
      </w:pPr>
    </w:p>
    <w:p w14:paraId="025FCD38" w14:textId="77777777" w:rsidR="00D52AD8" w:rsidRPr="00C57110" w:rsidRDefault="00D52AD8" w:rsidP="00D52AD8">
      <w:pPr>
        <w:pStyle w:val="Heading3"/>
        <w:rPr>
          <w:noProof/>
          <w:lang w:eastAsia="ja-JP"/>
        </w:rPr>
      </w:pPr>
      <w:bookmarkStart w:id="567" w:name="_Toc218702626"/>
      <w:bookmarkStart w:id="568" w:name="_Toc219039549"/>
      <w:bookmarkStart w:id="569" w:name="_Toc219447452"/>
      <w:r w:rsidRPr="00C57110">
        <w:rPr>
          <w:noProof/>
        </w:rPr>
        <w:t>Relevance</w:t>
      </w:r>
      <w:bookmarkEnd w:id="567"/>
      <w:bookmarkEnd w:id="568"/>
      <w:bookmarkEnd w:id="569"/>
    </w:p>
    <w:p w14:paraId="3FF4E78E" w14:textId="77777777" w:rsidR="00B202FC" w:rsidRPr="00380B24" w:rsidRDefault="00B202FC" w:rsidP="00B202FC">
      <w:pPr>
        <w:spacing w:before="120"/>
        <w:rPr>
          <w:rFonts w:eastAsia="Arial"/>
          <w:noProof/>
          <w:lang w:eastAsia="ja-JP"/>
        </w:rPr>
      </w:pPr>
      <w:r w:rsidRPr="00380B24">
        <w:rPr>
          <w:rFonts w:eastAsia="Arial"/>
          <w:noProof/>
          <w:lang w:eastAsia="ja-JP"/>
        </w:rPr>
        <w:t>According to the Better Regulation Toolbox, the relevance evaluation compared the needs and challenges present at the time of the adoption of Regulation (EU) 2019/881, which established ENISA’s current mandate and the European cybersecurity certification scheme, with those encountered during its implementation. The evaluation also examined how the current and anticipated future needs and problems within the EU align with the objectives of ENISA and the ECCF.</w:t>
      </w:r>
    </w:p>
    <w:p w14:paraId="31640E86" w14:textId="77777777" w:rsidR="00B202FC" w:rsidRPr="00380B24" w:rsidRDefault="00B202FC" w:rsidP="00B202FC">
      <w:pPr>
        <w:spacing w:before="120"/>
        <w:rPr>
          <w:rFonts w:eastAsia="Arial"/>
          <w:noProof/>
          <w:lang w:eastAsia="ja-JP"/>
        </w:rPr>
      </w:pPr>
      <w:r w:rsidRPr="00380B24">
        <w:rPr>
          <w:rFonts w:eastAsia="Arial"/>
          <w:noProof/>
          <w:lang w:eastAsia="ja-JP"/>
        </w:rPr>
        <w:t>The relevance evaluation identified potential mismatches between the objectives of ENISA and the ECCF and the evolving cybersecurity landscape. For instance, some of the ‘problem drivers’ outlined in the original impact assessment may no longer be applicable, while emerging technological developments could introduce new challenges related to cybersecurity innovation.</w:t>
      </w:r>
    </w:p>
    <w:p w14:paraId="2E122FA0" w14:textId="77777777" w:rsidR="00D52AD8" w:rsidRPr="00C57110" w:rsidRDefault="00D52AD8" w:rsidP="00D52AD8">
      <w:pPr>
        <w:spacing w:before="120"/>
        <w:rPr>
          <w:rFonts w:eastAsia="Arial"/>
          <w:noProof/>
          <w:lang w:eastAsia="ja-JP"/>
        </w:rPr>
      </w:pPr>
      <w:r w:rsidRPr="00C57110">
        <w:rPr>
          <w:rFonts w:eastAsia="Arial"/>
          <w:noProof/>
          <w:lang w:eastAsia="ja-JP"/>
        </w:rPr>
        <w:t>The tables below outline the structure of the evaluation matrix. Findings are presented separately for ENISA and the ECCF.</w:t>
      </w:r>
    </w:p>
    <w:p w14:paraId="537389CD" w14:textId="77777777" w:rsidR="00552FA5" w:rsidRDefault="00552FA5" w:rsidP="00B202FC">
      <w:pPr>
        <w:spacing w:before="120"/>
        <w:rPr>
          <w:rFonts w:eastAsia="Arial"/>
          <w:b/>
          <w:bCs/>
          <w:noProof/>
          <w:lang w:eastAsia="ja-JP"/>
        </w:rPr>
      </w:pPr>
    </w:p>
    <w:p w14:paraId="0AB9E279" w14:textId="77777777" w:rsidR="00D52AD8" w:rsidRPr="00C57110" w:rsidRDefault="00D52AD8" w:rsidP="00D52AD8">
      <w:pPr>
        <w:spacing w:before="120"/>
        <w:rPr>
          <w:rFonts w:eastAsia="Arial"/>
          <w:b/>
          <w:bCs/>
          <w:noProof/>
          <w:lang w:eastAsia="ja-JP"/>
        </w:rPr>
      </w:pPr>
      <w:r w:rsidRPr="00C57110">
        <w:rPr>
          <w:rFonts w:eastAsia="Arial"/>
          <w:b/>
          <w:bCs/>
          <w:noProof/>
          <w:lang w:eastAsia="ja-JP"/>
        </w:rPr>
        <w:t>ENISA</w:t>
      </w: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0F96D338"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D066768"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69B9DD04"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856" w:type="pct"/>
            <w:gridSpan w:val="2"/>
            <w:shd w:val="clear" w:color="auto" w:fill="C6D9F1" w:themeFill="text2" w:themeFillTint="33"/>
          </w:tcPr>
          <w:p w14:paraId="1A60D34C"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Are objectives and tasks revisited periodically to identify upcoming and urgent needs?</w:t>
            </w:r>
          </w:p>
        </w:tc>
      </w:tr>
      <w:tr w:rsidR="00B202FC" w:rsidRPr="00380B24" w14:paraId="1780AF51" w14:textId="77777777">
        <w:trPr>
          <w:trHeight w:val="229"/>
        </w:trPr>
        <w:tc>
          <w:tcPr>
            <w:tcW w:w="5000" w:type="pct"/>
            <w:gridSpan w:val="3"/>
            <w:shd w:val="clear" w:color="auto" w:fill="F2F2F2"/>
          </w:tcPr>
          <w:p w14:paraId="2831BF32"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2BCD96B8" w14:textId="77777777">
        <w:tc>
          <w:tcPr>
            <w:tcW w:w="5000" w:type="pct"/>
            <w:gridSpan w:val="3"/>
            <w:shd w:val="clear" w:color="auto" w:fill="F2F2F2"/>
          </w:tcPr>
          <w:p w14:paraId="3ED27B36" w14:textId="77777777" w:rsidR="00B202FC" w:rsidRPr="00380B24" w:rsidRDefault="00B202FC" w:rsidP="00B202FC">
            <w:pPr>
              <w:numPr>
                <w:ilvl w:val="0"/>
                <w:numId w:val="154"/>
              </w:numPr>
              <w:spacing w:before="40" w:after="40"/>
              <w:contextualSpacing/>
              <w:rPr>
                <w:noProof/>
                <w:sz w:val="20"/>
                <w:lang w:eastAsia="ja-JP"/>
              </w:rPr>
            </w:pPr>
            <w:r w:rsidRPr="00380B24">
              <w:rPr>
                <w:noProof/>
                <w:sz w:val="20"/>
                <w:lang w:eastAsia="ja-JP"/>
              </w:rPr>
              <w:t>OQ1: How flexible has ENISA been in adapting to the evolving landscape of threats, regulatory changes and policy responses? Where relevant, what were the main factors limiting ENISA’s contribution to this objective?</w:t>
            </w:r>
          </w:p>
        </w:tc>
      </w:tr>
      <w:tr w:rsidR="00B202FC" w:rsidRPr="00380B24" w14:paraId="0A4723F4" w14:textId="77777777">
        <w:tc>
          <w:tcPr>
            <w:tcW w:w="5000" w:type="pct"/>
            <w:gridSpan w:val="3"/>
            <w:shd w:val="clear" w:color="auto" w:fill="F2F2F2"/>
          </w:tcPr>
          <w:p w14:paraId="091BCAFE"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6D27737B" w14:textId="77777777">
        <w:tc>
          <w:tcPr>
            <w:tcW w:w="2500" w:type="pct"/>
            <w:gridSpan w:val="2"/>
            <w:shd w:val="clear" w:color="auto" w:fill="F2F2F2"/>
          </w:tcPr>
          <w:p w14:paraId="663B0B86" w14:textId="77777777" w:rsidR="00B202FC" w:rsidRPr="00380B24" w:rsidRDefault="00B202FC">
            <w:pPr>
              <w:spacing w:before="40" w:after="40"/>
              <w:rPr>
                <w:noProof/>
                <w:sz w:val="20"/>
                <w:lang w:eastAsia="ja-JP"/>
              </w:rPr>
            </w:pPr>
            <w:r w:rsidRPr="00380B24">
              <w:rPr>
                <w:noProof/>
                <w:sz w:val="20"/>
                <w:lang w:eastAsia="ja-JP"/>
              </w:rPr>
              <w:t>ENISA quickly adapted to the evolving landscape of threats, regulatory changes and policy responses</w:t>
            </w:r>
          </w:p>
        </w:tc>
        <w:tc>
          <w:tcPr>
            <w:tcW w:w="2500" w:type="pct"/>
            <w:shd w:val="clear" w:color="auto" w:fill="F2F2F2"/>
          </w:tcPr>
          <w:p w14:paraId="02360341" w14:textId="77777777" w:rsidR="00B202FC" w:rsidRPr="00380B24" w:rsidRDefault="00B202FC">
            <w:pPr>
              <w:spacing w:before="40" w:after="40"/>
              <w:rPr>
                <w:noProof/>
                <w:sz w:val="20"/>
                <w:lang w:eastAsia="ja-JP"/>
              </w:rPr>
            </w:pPr>
            <w:r w:rsidRPr="00380B24">
              <w:rPr>
                <w:noProof/>
                <w:sz w:val="20"/>
                <w:lang w:eastAsia="ja-JP"/>
              </w:rPr>
              <w:t>Speed of organisational responses to the changing regulatory environment and policy responses; speed and quality of responses to emerging cyber threats</w:t>
            </w:r>
          </w:p>
        </w:tc>
      </w:tr>
      <w:tr w:rsidR="00B202FC" w:rsidRPr="00380B24" w14:paraId="3FDCB901" w14:textId="77777777">
        <w:tc>
          <w:tcPr>
            <w:tcW w:w="5000" w:type="pct"/>
            <w:gridSpan w:val="3"/>
            <w:shd w:val="clear" w:color="auto" w:fill="F2F2F2"/>
          </w:tcPr>
          <w:p w14:paraId="1D862F99"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36CCDE73" w14:textId="77777777">
        <w:tc>
          <w:tcPr>
            <w:tcW w:w="5000" w:type="pct"/>
            <w:gridSpan w:val="3"/>
            <w:shd w:val="clear" w:color="auto" w:fill="F2F2F2"/>
          </w:tcPr>
          <w:p w14:paraId="11B22C97" w14:textId="77777777" w:rsidR="00B202FC" w:rsidRPr="00380B24" w:rsidRDefault="00B202FC" w:rsidP="00B202FC">
            <w:pPr>
              <w:numPr>
                <w:ilvl w:val="0"/>
                <w:numId w:val="154"/>
              </w:numPr>
              <w:spacing w:before="40" w:after="40"/>
              <w:contextualSpacing/>
              <w:rPr>
                <w:noProof/>
                <w:sz w:val="20"/>
                <w:lang w:eastAsia="ja-JP"/>
              </w:rPr>
            </w:pPr>
            <w:r w:rsidRPr="00380B24">
              <w:rPr>
                <w:noProof/>
                <w:sz w:val="20"/>
                <w:lang w:eastAsia="ja-JP"/>
              </w:rPr>
              <w:t xml:space="preserve">Desk research </w:t>
            </w:r>
          </w:p>
          <w:p w14:paraId="7B654C6E" w14:textId="77777777" w:rsidR="00B202FC" w:rsidRPr="00380B24" w:rsidRDefault="00B202FC" w:rsidP="00B202FC">
            <w:pPr>
              <w:numPr>
                <w:ilvl w:val="0"/>
                <w:numId w:val="154"/>
              </w:numPr>
              <w:spacing w:before="40" w:after="40"/>
              <w:contextualSpacing/>
              <w:rPr>
                <w:noProof/>
                <w:sz w:val="20"/>
                <w:lang w:eastAsia="ja-JP"/>
              </w:rPr>
            </w:pPr>
            <w:r w:rsidRPr="00380B24">
              <w:rPr>
                <w:noProof/>
                <w:sz w:val="20"/>
                <w:lang w:eastAsia="ja-JP"/>
              </w:rPr>
              <w:t>Interviews</w:t>
            </w:r>
          </w:p>
          <w:p w14:paraId="78322546" w14:textId="77777777" w:rsidR="00B202FC" w:rsidRPr="00380B24" w:rsidRDefault="00B202FC" w:rsidP="00B202FC">
            <w:pPr>
              <w:numPr>
                <w:ilvl w:val="0"/>
                <w:numId w:val="154"/>
              </w:numPr>
              <w:spacing w:before="40" w:after="40"/>
              <w:contextualSpacing/>
              <w:rPr>
                <w:noProof/>
                <w:sz w:val="20"/>
                <w:lang w:eastAsia="ja-JP"/>
              </w:rPr>
            </w:pPr>
            <w:r w:rsidRPr="00380B24">
              <w:rPr>
                <w:noProof/>
                <w:sz w:val="20"/>
                <w:lang w:eastAsia="ja-JP"/>
              </w:rPr>
              <w:t>Survey</w:t>
            </w:r>
          </w:p>
        </w:tc>
      </w:tr>
    </w:tbl>
    <w:p w14:paraId="0A611F29" w14:textId="77777777" w:rsidR="00D52AD8" w:rsidRPr="00C57110" w:rsidRDefault="00D52AD8" w:rsidP="00D52AD8">
      <w:pPr>
        <w:spacing w:before="40" w:after="40"/>
        <w:rPr>
          <w:rFonts w:eastAsia="Arial"/>
          <w:noProof/>
          <w:sz w:val="20"/>
          <w:szCs w:val="20"/>
          <w:lang w:eastAsia="ja-JP"/>
        </w:rPr>
      </w:pP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3955107E"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52610B8E"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70053301"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856" w:type="pct"/>
            <w:gridSpan w:val="2"/>
            <w:shd w:val="clear" w:color="auto" w:fill="C6D9F1" w:themeFill="text2" w:themeFillTint="33"/>
          </w:tcPr>
          <w:p w14:paraId="1282A733"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Did ENISA’s objectives and tasks respond successfully to the overall EU policy objectives and the needs of stakeholders?</w:t>
            </w:r>
          </w:p>
        </w:tc>
      </w:tr>
      <w:tr w:rsidR="00B202FC" w:rsidRPr="00380B24" w14:paraId="690D19FA" w14:textId="77777777">
        <w:trPr>
          <w:trHeight w:val="229"/>
        </w:trPr>
        <w:tc>
          <w:tcPr>
            <w:tcW w:w="5000" w:type="pct"/>
            <w:gridSpan w:val="3"/>
            <w:shd w:val="clear" w:color="auto" w:fill="F2F2F2"/>
          </w:tcPr>
          <w:p w14:paraId="0F6677C2"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12D98418" w14:textId="77777777">
        <w:tc>
          <w:tcPr>
            <w:tcW w:w="5000" w:type="pct"/>
            <w:gridSpan w:val="3"/>
            <w:shd w:val="clear" w:color="auto" w:fill="F2F2F2"/>
          </w:tcPr>
          <w:p w14:paraId="36AA771E" w14:textId="77777777" w:rsidR="00B202FC" w:rsidRPr="00380B24" w:rsidRDefault="00B202FC" w:rsidP="00B202FC">
            <w:pPr>
              <w:numPr>
                <w:ilvl w:val="0"/>
                <w:numId w:val="155"/>
              </w:numPr>
              <w:spacing w:before="40" w:after="40"/>
              <w:contextualSpacing/>
              <w:rPr>
                <w:noProof/>
                <w:sz w:val="20"/>
                <w:lang w:eastAsia="ja-JP"/>
              </w:rPr>
            </w:pPr>
            <w:r w:rsidRPr="00380B24">
              <w:rPr>
                <w:noProof/>
                <w:sz w:val="20"/>
                <w:lang w:eastAsia="ja-JP"/>
              </w:rPr>
              <w:t>OQ1: Has ENISA correctly identified the needs of its stakeholders and the EU policy objectives?</w:t>
            </w:r>
          </w:p>
          <w:p w14:paraId="44A897EF" w14:textId="77777777" w:rsidR="00B202FC" w:rsidRPr="00380B24" w:rsidRDefault="00B202FC" w:rsidP="00B202FC">
            <w:pPr>
              <w:numPr>
                <w:ilvl w:val="0"/>
                <w:numId w:val="155"/>
              </w:numPr>
              <w:spacing w:before="40" w:after="40"/>
              <w:contextualSpacing/>
              <w:rPr>
                <w:noProof/>
                <w:sz w:val="20"/>
                <w:lang w:eastAsia="ja-JP"/>
              </w:rPr>
            </w:pPr>
            <w:r w:rsidRPr="00380B24">
              <w:rPr>
                <w:noProof/>
                <w:sz w:val="20"/>
                <w:lang w:eastAsia="ja-JP"/>
              </w:rPr>
              <w:t>OQ2: Has ENISA successfully responded to the needs of its stakeholders and the EU policy objectives?</w:t>
            </w:r>
          </w:p>
        </w:tc>
      </w:tr>
      <w:tr w:rsidR="00B202FC" w:rsidRPr="00380B24" w14:paraId="3A5C51A6" w14:textId="77777777">
        <w:tc>
          <w:tcPr>
            <w:tcW w:w="5000" w:type="pct"/>
            <w:gridSpan w:val="3"/>
            <w:shd w:val="clear" w:color="auto" w:fill="F2F2F2"/>
          </w:tcPr>
          <w:p w14:paraId="3DAD3F25"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1049899C" w14:textId="77777777">
        <w:trPr>
          <w:trHeight w:val="156"/>
        </w:trPr>
        <w:tc>
          <w:tcPr>
            <w:tcW w:w="2500" w:type="pct"/>
            <w:gridSpan w:val="2"/>
            <w:shd w:val="clear" w:color="auto" w:fill="F2F2F2"/>
          </w:tcPr>
          <w:p w14:paraId="02B513AB" w14:textId="77777777" w:rsidR="00B202FC" w:rsidRPr="00380B24" w:rsidRDefault="00B202FC">
            <w:pPr>
              <w:spacing w:before="40" w:after="40"/>
              <w:rPr>
                <w:noProof/>
                <w:sz w:val="20"/>
                <w:lang w:eastAsia="ja-JP"/>
              </w:rPr>
            </w:pPr>
            <w:r w:rsidRPr="00380B24">
              <w:rPr>
                <w:noProof/>
                <w:sz w:val="20"/>
                <w:lang w:eastAsia="ja-JP"/>
              </w:rPr>
              <w:t>OQ1: The needs of ENISA’s stakeholders and the EU policy objectives (including priorities) were duly identified.</w:t>
            </w:r>
          </w:p>
        </w:tc>
        <w:tc>
          <w:tcPr>
            <w:tcW w:w="2500" w:type="pct"/>
            <w:shd w:val="clear" w:color="auto" w:fill="F2F2F2"/>
          </w:tcPr>
          <w:p w14:paraId="77C029BC" w14:textId="77777777" w:rsidR="00B202FC" w:rsidRPr="00380B24" w:rsidRDefault="00B202FC">
            <w:pPr>
              <w:spacing w:before="40" w:after="40"/>
              <w:rPr>
                <w:noProof/>
                <w:sz w:val="20"/>
                <w:lang w:eastAsia="ja-JP"/>
              </w:rPr>
            </w:pPr>
            <w:r w:rsidRPr="00380B24">
              <w:rPr>
                <w:noProof/>
                <w:sz w:val="20"/>
                <w:lang w:eastAsia="ja-JP"/>
              </w:rPr>
              <w:t>Needs of stakeholders were acknowledged in ENISA’s organisational decision-making; practices of stakeholder consultation have been duly established and implemented; positive perceptions of ENISA’s stakeholders on those issues</w:t>
            </w:r>
          </w:p>
          <w:p w14:paraId="220E0E5B" w14:textId="77777777" w:rsidR="00B202FC" w:rsidRPr="00380B24" w:rsidRDefault="00B202FC">
            <w:pPr>
              <w:spacing w:before="40" w:after="40"/>
              <w:rPr>
                <w:noProof/>
                <w:sz w:val="20"/>
                <w:lang w:eastAsia="ja-JP"/>
              </w:rPr>
            </w:pPr>
          </w:p>
        </w:tc>
      </w:tr>
      <w:tr w:rsidR="00B202FC" w:rsidRPr="00380B24" w14:paraId="64FBF106" w14:textId="77777777">
        <w:trPr>
          <w:trHeight w:val="156"/>
        </w:trPr>
        <w:tc>
          <w:tcPr>
            <w:tcW w:w="2500" w:type="pct"/>
            <w:gridSpan w:val="2"/>
            <w:shd w:val="clear" w:color="auto" w:fill="F2F2F2"/>
          </w:tcPr>
          <w:p w14:paraId="7030E343" w14:textId="77777777" w:rsidR="00B202FC" w:rsidRPr="00380B24" w:rsidRDefault="00B202FC">
            <w:pPr>
              <w:spacing w:before="40" w:after="40"/>
              <w:rPr>
                <w:noProof/>
                <w:sz w:val="20"/>
                <w:lang w:eastAsia="ja-JP"/>
              </w:rPr>
            </w:pPr>
            <w:r w:rsidRPr="00380B24">
              <w:rPr>
                <w:noProof/>
                <w:sz w:val="20"/>
                <w:lang w:eastAsia="ja-JP"/>
              </w:rPr>
              <w:t>OQ2: ENISA responded well to the needs of stakeholders and the EU policy objectives.</w:t>
            </w:r>
          </w:p>
        </w:tc>
        <w:tc>
          <w:tcPr>
            <w:tcW w:w="2500" w:type="pct"/>
            <w:shd w:val="clear" w:color="auto" w:fill="F2F2F2"/>
          </w:tcPr>
          <w:p w14:paraId="1E8B6705" w14:textId="77777777" w:rsidR="00B202FC" w:rsidRPr="00380B24" w:rsidRDefault="00B202FC">
            <w:pPr>
              <w:spacing w:before="40" w:after="40"/>
              <w:rPr>
                <w:noProof/>
                <w:sz w:val="20"/>
                <w:lang w:eastAsia="ja-JP"/>
              </w:rPr>
            </w:pPr>
            <w:r w:rsidRPr="00380B24">
              <w:rPr>
                <w:noProof/>
                <w:sz w:val="20"/>
                <w:lang w:eastAsia="ja-JP"/>
              </w:rPr>
              <w:t>EU policy objectives (including priorities) in the field of cybersecurity were acknowledged and referred to in ENISA’s documents</w:t>
            </w:r>
          </w:p>
        </w:tc>
      </w:tr>
      <w:tr w:rsidR="00B202FC" w:rsidRPr="00380B24" w14:paraId="146BDD6E" w14:textId="77777777">
        <w:tc>
          <w:tcPr>
            <w:tcW w:w="5000" w:type="pct"/>
            <w:gridSpan w:val="3"/>
            <w:shd w:val="clear" w:color="auto" w:fill="F2F2F2"/>
          </w:tcPr>
          <w:p w14:paraId="305A5496"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20435430" w14:textId="77777777">
        <w:tc>
          <w:tcPr>
            <w:tcW w:w="5000" w:type="pct"/>
            <w:gridSpan w:val="3"/>
            <w:shd w:val="clear" w:color="auto" w:fill="F2F2F2"/>
          </w:tcPr>
          <w:p w14:paraId="091A7DC3" w14:textId="77777777" w:rsidR="00B202FC" w:rsidRPr="00380B24" w:rsidRDefault="00B202FC" w:rsidP="00B202FC">
            <w:pPr>
              <w:numPr>
                <w:ilvl w:val="0"/>
                <w:numId w:val="156"/>
              </w:numPr>
              <w:spacing w:before="40" w:after="40"/>
              <w:contextualSpacing/>
              <w:rPr>
                <w:noProof/>
                <w:sz w:val="20"/>
                <w:lang w:eastAsia="ja-JP"/>
              </w:rPr>
            </w:pPr>
            <w:r w:rsidRPr="00380B24">
              <w:rPr>
                <w:noProof/>
                <w:sz w:val="20"/>
                <w:lang w:eastAsia="ja-JP"/>
              </w:rPr>
              <w:t>Desk research</w:t>
            </w:r>
          </w:p>
          <w:p w14:paraId="5857492D" w14:textId="77777777" w:rsidR="00B202FC" w:rsidRPr="00380B24" w:rsidRDefault="00B202FC" w:rsidP="00B202FC">
            <w:pPr>
              <w:numPr>
                <w:ilvl w:val="0"/>
                <w:numId w:val="156"/>
              </w:numPr>
              <w:spacing w:before="40" w:after="40"/>
              <w:contextualSpacing/>
              <w:rPr>
                <w:noProof/>
                <w:sz w:val="20"/>
                <w:lang w:eastAsia="ja-JP"/>
              </w:rPr>
            </w:pPr>
            <w:r w:rsidRPr="00380B24">
              <w:rPr>
                <w:noProof/>
                <w:sz w:val="20"/>
                <w:lang w:eastAsia="ja-JP"/>
              </w:rPr>
              <w:t>Interviews</w:t>
            </w:r>
          </w:p>
          <w:p w14:paraId="279F2B0D" w14:textId="77777777" w:rsidR="00B202FC" w:rsidRPr="00380B24" w:rsidRDefault="00B202FC" w:rsidP="00B202FC">
            <w:pPr>
              <w:numPr>
                <w:ilvl w:val="0"/>
                <w:numId w:val="156"/>
              </w:numPr>
              <w:spacing w:before="40" w:after="40"/>
              <w:contextualSpacing/>
              <w:rPr>
                <w:noProof/>
                <w:sz w:val="20"/>
                <w:lang w:eastAsia="ja-JP"/>
              </w:rPr>
            </w:pPr>
            <w:r w:rsidRPr="00380B24">
              <w:rPr>
                <w:noProof/>
                <w:sz w:val="20"/>
                <w:lang w:eastAsia="ja-JP"/>
              </w:rPr>
              <w:t xml:space="preserve">Survey </w:t>
            </w:r>
          </w:p>
        </w:tc>
      </w:tr>
    </w:tbl>
    <w:p w14:paraId="5D89D708" w14:textId="77777777" w:rsidR="00D52AD8" w:rsidRPr="00C57110" w:rsidRDefault="00D52AD8" w:rsidP="00D52AD8">
      <w:pPr>
        <w:spacing w:before="40" w:after="40"/>
        <w:rPr>
          <w:rFonts w:eastAsia="Arial"/>
          <w:noProof/>
          <w:sz w:val="20"/>
          <w:szCs w:val="20"/>
          <w:lang w:eastAsia="ja-JP"/>
        </w:rPr>
      </w:pPr>
    </w:p>
    <w:p w14:paraId="0C0B3E14" w14:textId="77777777" w:rsidR="00D52AD8" w:rsidRPr="00C57110" w:rsidRDefault="00D52AD8" w:rsidP="00D52AD8">
      <w:pPr>
        <w:spacing w:before="40" w:after="40"/>
        <w:rPr>
          <w:noProof/>
          <w:sz w:val="20"/>
          <w:szCs w:val="20"/>
          <w:lang w:eastAsia="ja-JP"/>
        </w:rPr>
      </w:pPr>
    </w:p>
    <w:tbl>
      <w:tblPr>
        <w:tblStyle w:val="Standardtableforma9"/>
        <w:tblW w:w="0" w:type="auto"/>
        <w:tblBorders>
          <w:top w:val="double" w:sz="4" w:space="0" w:color="auto"/>
          <w:left w:val="double" w:sz="4" w:space="0" w:color="auto"/>
          <w:bottom w:val="double" w:sz="4" w:space="0" w:color="auto"/>
          <w:right w:val="double" w:sz="4"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3278"/>
        <w:gridCol w:w="3797"/>
        <w:gridCol w:w="7099"/>
      </w:tblGrid>
      <w:tr w:rsidR="00B202FC" w:rsidRPr="00380B24" w14:paraId="3A53591E" w14:textId="77777777">
        <w:trPr>
          <w:cnfStyle w:val="100000000000" w:firstRow="1" w:lastRow="0" w:firstColumn="0" w:lastColumn="0" w:oddVBand="0" w:evenVBand="0" w:oddHBand="0" w:evenHBand="0" w:firstRowFirstColumn="0" w:firstRowLastColumn="0" w:lastRowFirstColumn="0" w:lastRowLastColumn="0"/>
          <w:trHeight w:val="56"/>
        </w:trPr>
        <w:tc>
          <w:tcPr>
            <w:tcW w:w="3379" w:type="dxa"/>
            <w:shd w:val="clear" w:color="auto" w:fill="C6D9F1" w:themeFill="text2" w:themeFillTint="33"/>
          </w:tcPr>
          <w:p w14:paraId="06351627" w14:textId="77777777" w:rsidR="00B202FC" w:rsidRPr="00380B24" w:rsidRDefault="00B202FC">
            <w:pPr>
              <w:spacing w:before="40" w:after="40"/>
              <w:rPr>
                <w:b/>
                <w:bCs/>
                <w:i/>
                <w:iCs/>
                <w:noProof/>
                <w:color w:val="000000" w:themeColor="text1"/>
                <w:sz w:val="20"/>
                <w:lang w:eastAsia="ja-JP"/>
              </w:rPr>
            </w:pPr>
            <w:r w:rsidRPr="00380B24">
              <w:rPr>
                <w:b/>
                <w:bCs/>
                <w:i/>
                <w:iCs/>
                <w:noProof/>
                <w:color w:val="000000" w:themeColor="text1"/>
                <w:sz w:val="20"/>
                <w:lang w:eastAsia="ja-JP"/>
              </w:rPr>
              <w:t>RELEVANCE</w:t>
            </w:r>
          </w:p>
          <w:p w14:paraId="3D9F9422"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EQ3, ENISA</w:t>
            </w:r>
          </w:p>
        </w:tc>
        <w:tc>
          <w:tcPr>
            <w:tcW w:w="11389" w:type="dxa"/>
            <w:gridSpan w:val="2"/>
            <w:shd w:val="clear" w:color="auto" w:fill="C6D9F1" w:themeFill="text2" w:themeFillTint="33"/>
          </w:tcPr>
          <w:p w14:paraId="2E02BE82"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has ENISA supported the Commission and Member States in their policy-related tasks?</w:t>
            </w:r>
          </w:p>
        </w:tc>
      </w:tr>
      <w:tr w:rsidR="00B202FC" w:rsidRPr="00380B24" w14:paraId="3F0AD911" w14:textId="77777777">
        <w:trPr>
          <w:trHeight w:val="229"/>
        </w:trPr>
        <w:tc>
          <w:tcPr>
            <w:tcW w:w="14768" w:type="dxa"/>
            <w:gridSpan w:val="3"/>
            <w:shd w:val="clear" w:color="auto" w:fill="F2F2F2" w:themeFill="background1" w:themeFillShade="F2"/>
          </w:tcPr>
          <w:p w14:paraId="2A8EB036" w14:textId="77777777" w:rsidR="00B202FC" w:rsidRPr="00380B24" w:rsidRDefault="00B202FC">
            <w:pPr>
              <w:spacing w:before="40" w:after="40"/>
              <w:rPr>
                <w:b/>
                <w:bCs/>
                <w:caps/>
                <w:noProof/>
                <w:sz w:val="20"/>
                <w:lang w:eastAsia="ja-JP"/>
              </w:rPr>
            </w:pPr>
            <w:r w:rsidRPr="00380B24">
              <w:rPr>
                <w:b/>
                <w:bCs/>
                <w:caps/>
                <w:noProof/>
                <w:sz w:val="20"/>
                <w:lang w:eastAsia="ja-JP"/>
              </w:rPr>
              <w:t>Operational questions</w:t>
            </w:r>
          </w:p>
        </w:tc>
      </w:tr>
      <w:tr w:rsidR="00B202FC" w:rsidRPr="00380B24" w14:paraId="6F92F42C" w14:textId="77777777">
        <w:trPr>
          <w:trHeight w:val="300"/>
        </w:trPr>
        <w:tc>
          <w:tcPr>
            <w:tcW w:w="14768" w:type="dxa"/>
            <w:gridSpan w:val="3"/>
            <w:shd w:val="clear" w:color="auto" w:fill="F2F2F2" w:themeFill="background1" w:themeFillShade="F2"/>
          </w:tcPr>
          <w:p w14:paraId="1E3625AA" w14:textId="77777777" w:rsidR="00B202FC" w:rsidRPr="00380B24" w:rsidRDefault="00B202FC" w:rsidP="00B202FC">
            <w:pPr>
              <w:numPr>
                <w:ilvl w:val="0"/>
                <w:numId w:val="151"/>
              </w:numPr>
              <w:spacing w:before="40" w:after="40"/>
              <w:contextualSpacing/>
              <w:rPr>
                <w:noProof/>
                <w:sz w:val="20"/>
                <w:lang w:eastAsia="ja-JP"/>
              </w:rPr>
            </w:pPr>
            <w:r w:rsidRPr="00380B24">
              <w:rPr>
                <w:noProof/>
                <w:sz w:val="20"/>
                <w:lang w:eastAsia="ja-JP"/>
              </w:rPr>
              <w:t>OQ1: To what extent do ENISA’s stakeholders indicate that the role and purpose of ENISA in policy-related tasks are clear and properly defined?</w:t>
            </w:r>
          </w:p>
          <w:p w14:paraId="1E4F9EFC" w14:textId="77777777" w:rsidR="00B202FC" w:rsidRPr="00380B24" w:rsidRDefault="00B202FC" w:rsidP="00B202FC">
            <w:pPr>
              <w:numPr>
                <w:ilvl w:val="0"/>
                <w:numId w:val="151"/>
              </w:numPr>
              <w:spacing w:before="40" w:after="40"/>
              <w:contextualSpacing/>
              <w:rPr>
                <w:noProof/>
                <w:sz w:val="20"/>
                <w:lang w:eastAsia="ja-JP"/>
              </w:rPr>
            </w:pPr>
            <w:r w:rsidRPr="00380B24">
              <w:rPr>
                <w:noProof/>
                <w:sz w:val="20"/>
                <w:lang w:eastAsia="ja-JP"/>
              </w:rPr>
              <w:t>OQ2: To what extent have ENISA’s operations enabled Commission staff to better focus on the institutional tasks?</w:t>
            </w:r>
          </w:p>
        </w:tc>
      </w:tr>
      <w:tr w:rsidR="00B202FC" w:rsidRPr="00380B24" w14:paraId="7DC954DF" w14:textId="77777777">
        <w:trPr>
          <w:trHeight w:val="300"/>
        </w:trPr>
        <w:tc>
          <w:tcPr>
            <w:tcW w:w="14768" w:type="dxa"/>
            <w:gridSpan w:val="3"/>
            <w:shd w:val="clear" w:color="auto" w:fill="F2F2F2" w:themeFill="background1" w:themeFillShade="F2"/>
          </w:tcPr>
          <w:p w14:paraId="73AE38E3" w14:textId="77777777" w:rsidR="00B202FC" w:rsidRPr="00380B24" w:rsidRDefault="00B202FC">
            <w:pPr>
              <w:spacing w:before="40" w:after="40"/>
              <w:rPr>
                <w:noProof/>
                <w:sz w:val="20"/>
                <w:lang w:eastAsia="ja-JP"/>
              </w:rPr>
            </w:pPr>
            <w:r w:rsidRPr="00380B24">
              <w:rPr>
                <w:b/>
                <w:bCs/>
                <w:caps/>
                <w:noProof/>
                <w:sz w:val="20"/>
                <w:lang w:eastAsia="ja-JP"/>
              </w:rPr>
              <w:t>Judgement criteria and INDICATORS</w:t>
            </w:r>
          </w:p>
        </w:tc>
      </w:tr>
      <w:tr w:rsidR="00B202FC" w:rsidRPr="00380B24" w14:paraId="091CFF2D" w14:textId="77777777">
        <w:trPr>
          <w:trHeight w:val="104"/>
        </w:trPr>
        <w:tc>
          <w:tcPr>
            <w:tcW w:w="7384" w:type="dxa"/>
            <w:gridSpan w:val="2"/>
            <w:shd w:val="clear" w:color="auto" w:fill="F2F2F2" w:themeFill="background1" w:themeFillShade="F2"/>
          </w:tcPr>
          <w:p w14:paraId="2FC9EB52" w14:textId="77777777" w:rsidR="00B202FC" w:rsidRPr="00380B24" w:rsidRDefault="00B202FC">
            <w:pPr>
              <w:spacing w:before="40" w:after="40"/>
              <w:rPr>
                <w:noProof/>
                <w:sz w:val="20"/>
                <w:lang w:eastAsia="ja-JP"/>
              </w:rPr>
            </w:pPr>
            <w:r w:rsidRPr="00380B24">
              <w:rPr>
                <w:noProof/>
                <w:sz w:val="20"/>
                <w:lang w:eastAsia="ja-JP"/>
              </w:rPr>
              <w:t>EC officials consider ENISA’s operation optimal for its institutional tasks.</w:t>
            </w:r>
          </w:p>
        </w:tc>
        <w:tc>
          <w:tcPr>
            <w:tcW w:w="7384" w:type="dxa"/>
            <w:vMerge w:val="restart"/>
            <w:shd w:val="clear" w:color="auto" w:fill="F2F2F2" w:themeFill="background1" w:themeFillShade="F2"/>
            <w:vAlign w:val="center"/>
          </w:tcPr>
          <w:p w14:paraId="70556973" w14:textId="77777777" w:rsidR="00B202FC" w:rsidRPr="00380B24" w:rsidRDefault="00B202FC">
            <w:pPr>
              <w:spacing w:before="40" w:after="40"/>
              <w:rPr>
                <w:noProof/>
                <w:sz w:val="20"/>
                <w:lang w:eastAsia="ja-JP"/>
              </w:rPr>
            </w:pPr>
            <w:r w:rsidRPr="00380B24">
              <w:rPr>
                <w:noProof/>
                <w:sz w:val="20"/>
                <w:lang w:eastAsia="ja-JP"/>
              </w:rPr>
              <w:t>Opinion of EC officials on the operation of ENISA; IAS, ECA evaluations</w:t>
            </w:r>
          </w:p>
          <w:p w14:paraId="17BB579E" w14:textId="77777777" w:rsidR="00B202FC" w:rsidRPr="00380B24" w:rsidRDefault="00B202FC">
            <w:pPr>
              <w:spacing w:before="40" w:after="40"/>
              <w:rPr>
                <w:noProof/>
                <w:sz w:val="20"/>
                <w:lang w:eastAsia="ja-JP"/>
              </w:rPr>
            </w:pPr>
            <w:r w:rsidRPr="00380B24">
              <w:rPr>
                <w:noProof/>
                <w:sz w:val="20"/>
                <w:lang w:eastAsia="ja-JP"/>
              </w:rPr>
              <w:t>Perception of ENISA’s stakeholders (two thirds of surveyed/interviewed stakeholders have a positive opinion on the specific aspects of ENISA’s performance)</w:t>
            </w:r>
          </w:p>
        </w:tc>
      </w:tr>
      <w:tr w:rsidR="00B202FC" w:rsidRPr="00380B24" w14:paraId="5342EFE5" w14:textId="77777777">
        <w:trPr>
          <w:trHeight w:val="104"/>
        </w:trPr>
        <w:tc>
          <w:tcPr>
            <w:tcW w:w="7384" w:type="dxa"/>
            <w:gridSpan w:val="2"/>
            <w:shd w:val="clear" w:color="auto" w:fill="F2F2F2" w:themeFill="background1" w:themeFillShade="F2"/>
          </w:tcPr>
          <w:p w14:paraId="38760C5B" w14:textId="77777777" w:rsidR="00B202FC" w:rsidRPr="00380B24" w:rsidRDefault="00B202FC">
            <w:pPr>
              <w:spacing w:before="40" w:after="40"/>
              <w:rPr>
                <w:noProof/>
                <w:sz w:val="20"/>
                <w:lang w:eastAsia="ja-JP"/>
              </w:rPr>
            </w:pPr>
            <w:r w:rsidRPr="00380B24">
              <w:rPr>
                <w:noProof/>
                <w:sz w:val="20"/>
                <w:lang w:eastAsia="ja-JP"/>
              </w:rPr>
              <w:t>ENISA’s stakeholders view its policy development support positively.</w:t>
            </w:r>
          </w:p>
        </w:tc>
        <w:tc>
          <w:tcPr>
            <w:tcW w:w="7384" w:type="dxa"/>
            <w:vMerge/>
          </w:tcPr>
          <w:p w14:paraId="23C4E2F1" w14:textId="77777777" w:rsidR="00B202FC" w:rsidRPr="00380B24" w:rsidRDefault="00B202FC">
            <w:pPr>
              <w:rPr>
                <w:noProof/>
              </w:rPr>
            </w:pPr>
          </w:p>
        </w:tc>
      </w:tr>
      <w:tr w:rsidR="00B202FC" w:rsidRPr="00380B24" w14:paraId="1F3EA7EB" w14:textId="77777777">
        <w:trPr>
          <w:trHeight w:val="104"/>
        </w:trPr>
        <w:tc>
          <w:tcPr>
            <w:tcW w:w="7384" w:type="dxa"/>
            <w:gridSpan w:val="2"/>
            <w:shd w:val="clear" w:color="auto" w:fill="F2F2F2" w:themeFill="background1" w:themeFillShade="F2"/>
          </w:tcPr>
          <w:p w14:paraId="49FA14CF" w14:textId="77777777" w:rsidR="00B202FC" w:rsidRPr="00380B24" w:rsidRDefault="00B202FC">
            <w:pPr>
              <w:spacing w:before="40" w:after="40"/>
              <w:rPr>
                <w:noProof/>
                <w:sz w:val="20"/>
                <w:lang w:eastAsia="ja-JP"/>
              </w:rPr>
            </w:pPr>
            <w:r w:rsidRPr="00380B24">
              <w:rPr>
                <w:noProof/>
                <w:sz w:val="20"/>
                <w:lang w:eastAsia="ja-JP"/>
              </w:rPr>
              <w:t>ENISA’s stakeholders view its policy implementation support positively.</w:t>
            </w:r>
          </w:p>
        </w:tc>
        <w:tc>
          <w:tcPr>
            <w:tcW w:w="7384" w:type="dxa"/>
            <w:vMerge/>
          </w:tcPr>
          <w:p w14:paraId="19FD2344" w14:textId="77777777" w:rsidR="00B202FC" w:rsidRPr="00380B24" w:rsidRDefault="00B202FC">
            <w:pPr>
              <w:rPr>
                <w:noProof/>
              </w:rPr>
            </w:pPr>
          </w:p>
        </w:tc>
      </w:tr>
      <w:tr w:rsidR="00B202FC" w:rsidRPr="00380B24" w14:paraId="1B3975F9" w14:textId="77777777">
        <w:trPr>
          <w:trHeight w:val="104"/>
        </w:trPr>
        <w:tc>
          <w:tcPr>
            <w:tcW w:w="7384" w:type="dxa"/>
            <w:gridSpan w:val="2"/>
            <w:shd w:val="clear" w:color="auto" w:fill="F2F2F2" w:themeFill="background1" w:themeFillShade="F2"/>
          </w:tcPr>
          <w:p w14:paraId="41BCAF66" w14:textId="77777777" w:rsidR="00B202FC" w:rsidRPr="00380B24" w:rsidRDefault="00B202FC">
            <w:pPr>
              <w:spacing w:before="40" w:after="40"/>
              <w:rPr>
                <w:noProof/>
                <w:sz w:val="20"/>
                <w:lang w:eastAsia="ja-JP"/>
              </w:rPr>
            </w:pPr>
            <w:r w:rsidRPr="00380B24">
              <w:rPr>
                <w:noProof/>
                <w:sz w:val="20"/>
                <w:lang w:eastAsia="ja-JP"/>
              </w:rPr>
              <w:t>ENISA’s stakeholders view ENISA’s advice and opinion positively.</w:t>
            </w:r>
          </w:p>
        </w:tc>
        <w:tc>
          <w:tcPr>
            <w:tcW w:w="7384" w:type="dxa"/>
            <w:vMerge/>
          </w:tcPr>
          <w:p w14:paraId="7EA1AB66" w14:textId="77777777" w:rsidR="00B202FC" w:rsidRPr="00380B24" w:rsidRDefault="00B202FC">
            <w:pPr>
              <w:rPr>
                <w:noProof/>
              </w:rPr>
            </w:pPr>
          </w:p>
        </w:tc>
      </w:tr>
      <w:tr w:rsidR="00B202FC" w:rsidRPr="00380B24" w14:paraId="7F79946C" w14:textId="77777777">
        <w:trPr>
          <w:trHeight w:val="300"/>
        </w:trPr>
        <w:tc>
          <w:tcPr>
            <w:tcW w:w="14768" w:type="dxa"/>
            <w:gridSpan w:val="3"/>
            <w:shd w:val="clear" w:color="auto" w:fill="F2F2F2" w:themeFill="background1" w:themeFillShade="F2"/>
          </w:tcPr>
          <w:p w14:paraId="066F8623" w14:textId="77777777" w:rsidR="00B202FC" w:rsidRPr="00380B24" w:rsidRDefault="00B202FC">
            <w:pPr>
              <w:spacing w:before="40" w:after="40"/>
              <w:rPr>
                <w:noProof/>
                <w:sz w:val="20"/>
                <w:lang w:eastAsia="ja-JP"/>
              </w:rPr>
            </w:pPr>
            <w:r w:rsidRPr="00380B24">
              <w:rPr>
                <w:b/>
                <w:bCs/>
                <w:caps/>
                <w:noProof/>
                <w:sz w:val="20"/>
                <w:lang w:eastAsia="ja-JP"/>
              </w:rPr>
              <w:t>Data sources</w:t>
            </w:r>
          </w:p>
        </w:tc>
      </w:tr>
      <w:tr w:rsidR="00B202FC" w:rsidRPr="00380B24" w14:paraId="36590288" w14:textId="77777777">
        <w:trPr>
          <w:trHeight w:val="300"/>
        </w:trPr>
        <w:tc>
          <w:tcPr>
            <w:tcW w:w="14768" w:type="dxa"/>
            <w:gridSpan w:val="3"/>
            <w:shd w:val="clear" w:color="auto" w:fill="F2F2F2" w:themeFill="background1" w:themeFillShade="F2"/>
          </w:tcPr>
          <w:p w14:paraId="763FFDC6" w14:textId="77777777" w:rsidR="00B202FC" w:rsidRPr="00380B24" w:rsidRDefault="00B202FC" w:rsidP="00B202FC">
            <w:pPr>
              <w:numPr>
                <w:ilvl w:val="0"/>
                <w:numId w:val="151"/>
              </w:numPr>
              <w:spacing w:before="40" w:after="40"/>
              <w:contextualSpacing/>
              <w:rPr>
                <w:noProof/>
                <w:sz w:val="20"/>
                <w:lang w:eastAsia="ja-JP"/>
              </w:rPr>
            </w:pPr>
            <w:r w:rsidRPr="00380B24">
              <w:rPr>
                <w:noProof/>
                <w:sz w:val="20"/>
                <w:lang w:eastAsia="ja-JP"/>
              </w:rPr>
              <w:t xml:space="preserve">Desk research </w:t>
            </w:r>
          </w:p>
          <w:p w14:paraId="0FF78F97" w14:textId="77777777" w:rsidR="00B202FC" w:rsidRPr="00380B24" w:rsidRDefault="00B202FC" w:rsidP="00B202FC">
            <w:pPr>
              <w:numPr>
                <w:ilvl w:val="0"/>
                <w:numId w:val="151"/>
              </w:numPr>
              <w:spacing w:before="40" w:after="40"/>
              <w:contextualSpacing/>
              <w:rPr>
                <w:noProof/>
                <w:sz w:val="20"/>
                <w:lang w:eastAsia="ja-JP"/>
              </w:rPr>
            </w:pPr>
            <w:r w:rsidRPr="00380B24">
              <w:rPr>
                <w:noProof/>
                <w:sz w:val="20"/>
                <w:lang w:eastAsia="ja-JP"/>
              </w:rPr>
              <w:t>Interviews</w:t>
            </w:r>
          </w:p>
          <w:p w14:paraId="274C54AC" w14:textId="77777777" w:rsidR="00B202FC" w:rsidRPr="00380B24" w:rsidRDefault="00B202FC" w:rsidP="00B202FC">
            <w:pPr>
              <w:numPr>
                <w:ilvl w:val="0"/>
                <w:numId w:val="151"/>
              </w:numPr>
              <w:spacing w:before="40" w:after="40"/>
              <w:contextualSpacing/>
              <w:rPr>
                <w:noProof/>
                <w:sz w:val="20"/>
                <w:lang w:eastAsia="ja-JP"/>
              </w:rPr>
            </w:pPr>
            <w:r w:rsidRPr="00380B24">
              <w:rPr>
                <w:noProof/>
                <w:sz w:val="20"/>
                <w:lang w:eastAsia="ja-JP"/>
              </w:rPr>
              <w:t>Survey</w:t>
            </w:r>
          </w:p>
        </w:tc>
      </w:tr>
    </w:tbl>
    <w:p w14:paraId="5DFA803B" w14:textId="77777777" w:rsidR="00D52AD8" w:rsidRPr="00C57110" w:rsidRDefault="00D52AD8" w:rsidP="00D52AD8">
      <w:pPr>
        <w:rPr>
          <w:noProof/>
          <w:sz w:val="20"/>
          <w:szCs w:val="20"/>
          <w:lang w:eastAsia="ja-JP"/>
        </w:rPr>
      </w:pPr>
    </w:p>
    <w:p w14:paraId="6E1646ED" w14:textId="77777777" w:rsidR="00D52AD8" w:rsidRPr="00C57110" w:rsidRDefault="00D52AD8" w:rsidP="00D52AD8">
      <w:pPr>
        <w:spacing w:before="40" w:after="40"/>
        <w:rPr>
          <w:rFonts w:eastAsia="Arial"/>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2B3CF00B" w14:textId="77777777">
        <w:tc>
          <w:tcPr>
            <w:tcW w:w="5000" w:type="pct"/>
            <w:shd w:val="clear" w:color="auto" w:fill="C6D9F1" w:themeFill="text2" w:themeFillTint="33"/>
          </w:tcPr>
          <w:p w14:paraId="0F437DC7" w14:textId="77777777" w:rsidR="00B202FC" w:rsidRPr="00380B24" w:rsidRDefault="00B202FC">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B202FC" w:rsidRPr="00380B24" w14:paraId="095820E6" w14:textId="77777777">
        <w:tc>
          <w:tcPr>
            <w:tcW w:w="5000" w:type="pct"/>
            <w:shd w:val="clear" w:color="auto" w:fill="F2F2F2" w:themeFill="background1" w:themeFillShade="F2"/>
          </w:tcPr>
          <w:p w14:paraId="5BD1AB0A" w14:textId="77777777" w:rsidR="00B202FC" w:rsidRPr="00380B24" w:rsidRDefault="00B202FC">
            <w:pPr>
              <w:rPr>
                <w:noProof/>
                <w:sz w:val="20"/>
                <w:lang w:eastAsia="ja-JP"/>
              </w:rPr>
            </w:pPr>
            <w:r w:rsidRPr="00380B24">
              <w:rPr>
                <w:noProof/>
                <w:sz w:val="20"/>
              </w:rPr>
              <w:t>ENISA’s significance in the cybersecurity domain is highlighted by its adaptability to evolving stakeholder needs and its ability to realign its focus to meet emerging developments.</w:t>
            </w:r>
            <w:r w:rsidRPr="00380B24">
              <w:rPr>
                <w:noProof/>
                <w:sz w:val="20"/>
                <w:lang w:eastAsia="ja-JP"/>
              </w:rPr>
              <w:t xml:space="preserve"> ENISA reacted successfully to changes in the cybersecurity environment, resulting in high levels of satisfaction among stakeholders. However, some expressed concerns about ENISA’s ability to fully address the rising cyber threats across Europe. National cybersecurity bodies and smaller Member States benefited from ENISA’s initiatives in building capacity and providing regulatory guidance. Nonetheless, there remain opportunities to strengthen ENISA’s relevance, particularly by taking a more proactive role in offering tools and support tailored to specific sectors. This is especially important for small and medium-sized enterprises (SMEs), which face distinct needs and challenges. </w:t>
            </w:r>
            <w:r w:rsidRPr="00380B24">
              <w:rPr>
                <w:noProof/>
                <w:sz w:val="20"/>
              </w:rPr>
              <w:t>By revisiting priorities, improving its communication, streamlining processes, ensuring adequate resources and, to a certain extent, efficiently utilising existing resources, ENISA can strengthen its foundational role within Europe’s cybersecurity framework and better align with the dynamic demands of the European cybersecurity landscape.</w:t>
            </w:r>
          </w:p>
          <w:p w14:paraId="159B7EB2" w14:textId="77777777" w:rsidR="00B202FC" w:rsidRPr="00380B24" w:rsidRDefault="00B202FC">
            <w:pPr>
              <w:rPr>
                <w:noProof/>
              </w:rPr>
            </w:pPr>
          </w:p>
        </w:tc>
      </w:tr>
    </w:tbl>
    <w:p w14:paraId="4E755BF5" w14:textId="77777777" w:rsidR="00D52AD8" w:rsidRPr="00C57110" w:rsidRDefault="00D52AD8" w:rsidP="00D52AD8">
      <w:pPr>
        <w:spacing w:before="40" w:after="40"/>
        <w:rPr>
          <w:rFonts w:eastAsia="Arial"/>
          <w:noProof/>
          <w:szCs w:val="20"/>
          <w:lang w:eastAsia="ja-JP"/>
        </w:rPr>
      </w:pPr>
    </w:p>
    <w:p w14:paraId="0755B5BA" w14:textId="77777777" w:rsidR="00D52AD8" w:rsidRPr="00C57110" w:rsidRDefault="00D52AD8" w:rsidP="00D52AD8">
      <w:pPr>
        <w:spacing w:before="40" w:after="40"/>
        <w:rPr>
          <w:rFonts w:eastAsia="Arial"/>
          <w:b/>
          <w:bCs/>
          <w:noProof/>
          <w:szCs w:val="20"/>
          <w:lang w:eastAsia="ja-JP"/>
        </w:rPr>
      </w:pPr>
      <w:r w:rsidRPr="00C57110">
        <w:rPr>
          <w:rFonts w:eastAsia="Arial"/>
          <w:b/>
          <w:bCs/>
          <w:noProof/>
          <w:szCs w:val="20"/>
          <w:lang w:eastAsia="ja-JP"/>
        </w:rPr>
        <w:t>ECCF</w:t>
      </w: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243"/>
        <w:gridCol w:w="3844"/>
        <w:gridCol w:w="7087"/>
      </w:tblGrid>
      <w:tr w:rsidR="00B202FC" w:rsidRPr="00380B24" w14:paraId="0D7376F4"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1B802C1D"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1F290A43"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EQ4, ECCF</w:t>
            </w:r>
          </w:p>
        </w:tc>
        <w:tc>
          <w:tcPr>
            <w:tcW w:w="3856" w:type="pct"/>
            <w:gridSpan w:val="2"/>
            <w:shd w:val="clear" w:color="auto" w:fill="C6D9F1" w:themeFill="text2" w:themeFillTint="33"/>
          </w:tcPr>
          <w:p w14:paraId="047B68E3"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are the scope and objectives of the ECCF still relevant?</w:t>
            </w:r>
          </w:p>
        </w:tc>
      </w:tr>
      <w:tr w:rsidR="00B202FC" w:rsidRPr="00380B24" w14:paraId="23C64B38" w14:textId="77777777">
        <w:trPr>
          <w:trHeight w:val="229"/>
        </w:trPr>
        <w:tc>
          <w:tcPr>
            <w:tcW w:w="5000" w:type="pct"/>
            <w:gridSpan w:val="3"/>
            <w:shd w:val="clear" w:color="auto" w:fill="F2F2F2" w:themeFill="background1" w:themeFillShade="F2"/>
          </w:tcPr>
          <w:p w14:paraId="21A721BE"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5A1D0658" w14:textId="77777777">
        <w:tc>
          <w:tcPr>
            <w:tcW w:w="5000" w:type="pct"/>
            <w:gridSpan w:val="3"/>
            <w:shd w:val="clear" w:color="auto" w:fill="F2F2F2" w:themeFill="background1" w:themeFillShade="F2"/>
          </w:tcPr>
          <w:p w14:paraId="09406AFB" w14:textId="77777777" w:rsidR="00B202FC" w:rsidRPr="00380B24" w:rsidRDefault="00B202FC" w:rsidP="00B202FC">
            <w:pPr>
              <w:numPr>
                <w:ilvl w:val="0"/>
                <w:numId w:val="175"/>
              </w:numPr>
              <w:spacing w:before="40" w:after="40"/>
              <w:contextualSpacing/>
              <w:rPr>
                <w:noProof/>
                <w:sz w:val="20"/>
                <w:lang w:eastAsia="ja-JP"/>
              </w:rPr>
            </w:pPr>
            <w:r w:rsidRPr="00380B24">
              <w:rPr>
                <w:noProof/>
                <w:sz w:val="20"/>
                <w:lang w:eastAsia="ja-JP"/>
              </w:rPr>
              <w:t>OQ1: To what extent are the objectives of the ECCF still relevant for addressing the cybersecurity threat landscape?</w:t>
            </w:r>
          </w:p>
          <w:p w14:paraId="0754C52D" w14:textId="77777777" w:rsidR="00B202FC" w:rsidRPr="00380B24" w:rsidRDefault="00B202FC" w:rsidP="00B202FC">
            <w:pPr>
              <w:numPr>
                <w:ilvl w:val="0"/>
                <w:numId w:val="175"/>
              </w:numPr>
              <w:spacing w:before="40" w:after="40"/>
              <w:contextualSpacing/>
              <w:rPr>
                <w:noProof/>
                <w:sz w:val="20"/>
                <w:lang w:eastAsia="ja-JP"/>
              </w:rPr>
            </w:pPr>
            <w:r w:rsidRPr="00380B24">
              <w:rPr>
                <w:noProof/>
                <w:sz w:val="20"/>
                <w:lang w:eastAsia="ja-JP"/>
              </w:rPr>
              <w:t>OQ2: To what extent are the objectives of the ECCF still relevant considering how the EU policy context has changed since its adoption?</w:t>
            </w:r>
          </w:p>
        </w:tc>
      </w:tr>
      <w:tr w:rsidR="00B202FC" w:rsidRPr="00380B24" w14:paraId="7B0BFC66" w14:textId="77777777">
        <w:tc>
          <w:tcPr>
            <w:tcW w:w="5000" w:type="pct"/>
            <w:gridSpan w:val="3"/>
            <w:shd w:val="clear" w:color="auto" w:fill="F2F2F2" w:themeFill="background1" w:themeFillShade="F2"/>
          </w:tcPr>
          <w:p w14:paraId="2689443F"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617DAED1" w14:textId="77777777">
        <w:tc>
          <w:tcPr>
            <w:tcW w:w="2500" w:type="pct"/>
            <w:gridSpan w:val="2"/>
            <w:shd w:val="clear" w:color="auto" w:fill="F2F2F2" w:themeFill="background1" w:themeFillShade="F2"/>
          </w:tcPr>
          <w:p w14:paraId="15DEDB41" w14:textId="77777777" w:rsidR="00B202FC" w:rsidRPr="00380B24" w:rsidRDefault="00B202FC">
            <w:pPr>
              <w:spacing w:before="40" w:after="40"/>
              <w:rPr>
                <w:noProof/>
                <w:sz w:val="20"/>
                <w:lang w:eastAsia="ja-JP"/>
              </w:rPr>
            </w:pPr>
            <w:r w:rsidRPr="00380B24">
              <w:rPr>
                <w:noProof/>
                <w:sz w:val="20"/>
                <w:lang w:eastAsia="ja-JP"/>
              </w:rPr>
              <w:t>OQ1: The ECCF is still needed to tackle cybersecurity threats to the EU.</w:t>
            </w:r>
          </w:p>
        </w:tc>
        <w:tc>
          <w:tcPr>
            <w:tcW w:w="2500" w:type="pct"/>
            <w:shd w:val="clear" w:color="auto" w:fill="F2F2F2" w:themeFill="background1" w:themeFillShade="F2"/>
          </w:tcPr>
          <w:p w14:paraId="218E0C61" w14:textId="77777777" w:rsidR="00B202FC" w:rsidRPr="00380B24" w:rsidRDefault="00B202FC">
            <w:pPr>
              <w:spacing w:before="40" w:after="40"/>
              <w:rPr>
                <w:noProof/>
                <w:sz w:val="20"/>
                <w:lang w:eastAsia="ja-JP"/>
              </w:rPr>
            </w:pPr>
            <w:r w:rsidRPr="00380B24">
              <w:rPr>
                <w:noProof/>
                <w:sz w:val="20"/>
                <w:lang w:eastAsia="ja-JP"/>
              </w:rPr>
              <w:t>Number of ECCF objectives which are still relevant in the current threat landscape.</w:t>
            </w:r>
          </w:p>
        </w:tc>
      </w:tr>
      <w:tr w:rsidR="00B202FC" w:rsidRPr="00380B24" w14:paraId="1CB59AFE" w14:textId="77777777">
        <w:tc>
          <w:tcPr>
            <w:tcW w:w="2500" w:type="pct"/>
            <w:gridSpan w:val="2"/>
            <w:shd w:val="clear" w:color="auto" w:fill="F2F2F2" w:themeFill="background1" w:themeFillShade="F2"/>
          </w:tcPr>
          <w:p w14:paraId="2DA87001" w14:textId="77777777" w:rsidR="00B202FC" w:rsidRPr="00380B24" w:rsidRDefault="00B202FC">
            <w:pPr>
              <w:spacing w:before="40" w:after="40"/>
              <w:rPr>
                <w:noProof/>
                <w:sz w:val="20"/>
                <w:lang w:eastAsia="ja-JP"/>
              </w:rPr>
            </w:pPr>
            <w:r w:rsidRPr="00380B24">
              <w:rPr>
                <w:noProof/>
                <w:sz w:val="20"/>
                <w:lang w:eastAsia="ja-JP"/>
              </w:rPr>
              <w:t>OQ2: The ECCF is still needed despite the EU policy and programmes implemented since its introduction.</w:t>
            </w:r>
          </w:p>
        </w:tc>
        <w:tc>
          <w:tcPr>
            <w:tcW w:w="2500" w:type="pct"/>
            <w:shd w:val="clear" w:color="auto" w:fill="F2F2F2" w:themeFill="background1" w:themeFillShade="F2"/>
          </w:tcPr>
          <w:p w14:paraId="31DD954E" w14:textId="77777777" w:rsidR="00B202FC" w:rsidRPr="00380B24" w:rsidRDefault="00B202FC">
            <w:pPr>
              <w:spacing w:before="40" w:after="40"/>
              <w:rPr>
                <w:noProof/>
                <w:sz w:val="20"/>
                <w:lang w:eastAsia="ja-JP"/>
              </w:rPr>
            </w:pPr>
            <w:r w:rsidRPr="00380B24">
              <w:rPr>
                <w:noProof/>
                <w:sz w:val="20"/>
                <w:lang w:eastAsia="ja-JP"/>
              </w:rPr>
              <w:t>Number of objectives which are still relevant after the introduction of the NIS2 Directive, the European Cybersecurity Competence Centre and Network, the EU cybersecurity strategy and the Digital Europe programme as well as the proposals for a CRA and a Cyber Solidarity Act.</w:t>
            </w:r>
          </w:p>
        </w:tc>
      </w:tr>
      <w:tr w:rsidR="00B202FC" w:rsidRPr="00380B24" w14:paraId="0C01D3D3" w14:textId="77777777">
        <w:tc>
          <w:tcPr>
            <w:tcW w:w="5000" w:type="pct"/>
            <w:gridSpan w:val="3"/>
            <w:shd w:val="clear" w:color="auto" w:fill="F2F2F2" w:themeFill="background1" w:themeFillShade="F2"/>
          </w:tcPr>
          <w:p w14:paraId="7E07CAF3"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78D46FC3" w14:textId="77777777">
        <w:tc>
          <w:tcPr>
            <w:tcW w:w="5000" w:type="pct"/>
            <w:gridSpan w:val="3"/>
            <w:shd w:val="clear" w:color="auto" w:fill="F2F2F2" w:themeFill="background1" w:themeFillShade="F2"/>
          </w:tcPr>
          <w:p w14:paraId="3D280FC2" w14:textId="77777777" w:rsidR="00B202FC" w:rsidRPr="00380B24" w:rsidRDefault="00B202FC" w:rsidP="00B202FC">
            <w:pPr>
              <w:numPr>
                <w:ilvl w:val="0"/>
                <w:numId w:val="176"/>
              </w:numPr>
              <w:spacing w:before="40" w:after="40"/>
              <w:contextualSpacing/>
              <w:rPr>
                <w:noProof/>
                <w:sz w:val="20"/>
                <w:lang w:eastAsia="ja-JP"/>
              </w:rPr>
            </w:pPr>
            <w:r w:rsidRPr="00380B24">
              <w:rPr>
                <w:noProof/>
                <w:sz w:val="20"/>
                <w:lang w:eastAsia="ja-JP"/>
              </w:rPr>
              <w:t>Desk research</w:t>
            </w:r>
          </w:p>
          <w:p w14:paraId="44F1519B" w14:textId="77777777" w:rsidR="00B202FC" w:rsidRPr="00380B24" w:rsidRDefault="00B202FC" w:rsidP="00B202FC">
            <w:pPr>
              <w:numPr>
                <w:ilvl w:val="0"/>
                <w:numId w:val="176"/>
              </w:numPr>
              <w:spacing w:before="40" w:after="40"/>
              <w:contextualSpacing/>
              <w:rPr>
                <w:noProof/>
                <w:sz w:val="20"/>
                <w:lang w:eastAsia="ja-JP"/>
              </w:rPr>
            </w:pPr>
            <w:r w:rsidRPr="00380B24">
              <w:rPr>
                <w:noProof/>
                <w:sz w:val="20"/>
                <w:lang w:eastAsia="ja-JP"/>
              </w:rPr>
              <w:t>Interviews</w:t>
            </w:r>
          </w:p>
        </w:tc>
      </w:tr>
    </w:tbl>
    <w:p w14:paraId="1C7644CB" w14:textId="77777777" w:rsidR="00D52AD8" w:rsidRPr="00C57110" w:rsidRDefault="00D52AD8" w:rsidP="00D52AD8">
      <w:pPr>
        <w:spacing w:before="40" w:after="40"/>
        <w:rPr>
          <w:rFonts w:eastAsia="Arial"/>
          <w:noProof/>
          <w:sz w:val="20"/>
          <w:szCs w:val="20"/>
          <w:lang w:eastAsia="ja-JP"/>
        </w:rPr>
      </w:pPr>
    </w:p>
    <w:tbl>
      <w:tblPr>
        <w:tblStyle w:val="Standardtableforma9"/>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5323"/>
        <w:gridCol w:w="1690"/>
        <w:gridCol w:w="7161"/>
      </w:tblGrid>
      <w:tr w:rsidR="00B202FC" w:rsidRPr="00380B24" w14:paraId="20AF6B5F"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878" w:type="pct"/>
            <w:shd w:val="clear" w:color="auto" w:fill="C6D9F1" w:themeFill="text2" w:themeFillTint="33"/>
          </w:tcPr>
          <w:p w14:paraId="41910B3A" w14:textId="77777777" w:rsidR="00B202FC" w:rsidRPr="00380B24" w:rsidRDefault="00B202FC">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7468820A"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EQ5, ECCF</w:t>
            </w:r>
          </w:p>
        </w:tc>
        <w:tc>
          <w:tcPr>
            <w:tcW w:w="3122" w:type="pct"/>
            <w:gridSpan w:val="2"/>
            <w:shd w:val="clear" w:color="auto" w:fill="C6D9F1" w:themeFill="text2" w:themeFillTint="33"/>
          </w:tcPr>
          <w:p w14:paraId="6851AEE5" w14:textId="77777777" w:rsidR="00B202FC" w:rsidRPr="00380B24" w:rsidRDefault="00B202FC">
            <w:pPr>
              <w:spacing w:before="40" w:after="40"/>
              <w:rPr>
                <w:b/>
                <w:bCs/>
                <w:noProof/>
                <w:color w:val="000000" w:themeColor="text1"/>
                <w:sz w:val="20"/>
                <w:lang w:eastAsia="ja-JP"/>
              </w:rPr>
            </w:pPr>
            <w:r w:rsidRPr="00380B24">
              <w:rPr>
                <w:b/>
                <w:bCs/>
                <w:noProof/>
                <w:color w:val="000000" w:themeColor="text1"/>
                <w:sz w:val="20"/>
                <w:lang w:eastAsia="ja-JP"/>
              </w:rPr>
              <w:t>To what extent is the ECCF still relevant in terms of achieving its objectives?</w:t>
            </w:r>
          </w:p>
        </w:tc>
      </w:tr>
      <w:tr w:rsidR="00B202FC" w:rsidRPr="00380B24" w14:paraId="7917B910" w14:textId="77777777">
        <w:trPr>
          <w:trHeight w:val="229"/>
          <w:jc w:val="center"/>
        </w:trPr>
        <w:tc>
          <w:tcPr>
            <w:tcW w:w="5000" w:type="pct"/>
            <w:gridSpan w:val="3"/>
            <w:shd w:val="clear" w:color="auto" w:fill="F2F2F2" w:themeFill="background1" w:themeFillShade="F2"/>
          </w:tcPr>
          <w:p w14:paraId="04B6EFBC" w14:textId="77777777" w:rsidR="00B202FC" w:rsidRPr="00380B24" w:rsidRDefault="00B202FC">
            <w:pPr>
              <w:spacing w:before="40" w:after="40"/>
              <w:rPr>
                <w:b/>
                <w:caps/>
                <w:noProof/>
                <w:sz w:val="20"/>
                <w:lang w:eastAsia="ja-JP"/>
              </w:rPr>
            </w:pPr>
            <w:r w:rsidRPr="00380B24">
              <w:rPr>
                <w:b/>
                <w:caps/>
                <w:noProof/>
                <w:sz w:val="20"/>
                <w:lang w:eastAsia="ja-JP"/>
              </w:rPr>
              <w:t>Operational questions</w:t>
            </w:r>
          </w:p>
        </w:tc>
      </w:tr>
      <w:tr w:rsidR="00B202FC" w:rsidRPr="00380B24" w14:paraId="6D907A3D" w14:textId="77777777">
        <w:trPr>
          <w:jc w:val="center"/>
        </w:trPr>
        <w:tc>
          <w:tcPr>
            <w:tcW w:w="5000" w:type="pct"/>
            <w:gridSpan w:val="3"/>
            <w:shd w:val="clear" w:color="auto" w:fill="F2F2F2" w:themeFill="background1" w:themeFillShade="F2"/>
          </w:tcPr>
          <w:p w14:paraId="1E239CBE" w14:textId="77777777" w:rsidR="00B202FC" w:rsidRPr="00380B24" w:rsidRDefault="00B202FC" w:rsidP="00B202FC">
            <w:pPr>
              <w:numPr>
                <w:ilvl w:val="0"/>
                <w:numId w:val="177"/>
              </w:numPr>
              <w:spacing w:before="40" w:after="40"/>
              <w:contextualSpacing/>
              <w:rPr>
                <w:noProof/>
                <w:sz w:val="20"/>
                <w:lang w:eastAsia="ja-JP"/>
              </w:rPr>
            </w:pPr>
            <w:r w:rsidRPr="00380B24">
              <w:rPr>
                <w:noProof/>
                <w:sz w:val="20"/>
                <w:lang w:eastAsia="ja-JP"/>
              </w:rPr>
              <w:t>OQ1: Are the features of the ECCF (schemes and procedures) envisaged in the Cybersecurity Act still relevant in terms of fulfilling its objectives in the current threat landscape?</w:t>
            </w:r>
          </w:p>
          <w:p w14:paraId="5740D74D" w14:textId="77777777" w:rsidR="00B202FC" w:rsidRPr="00380B24" w:rsidRDefault="00B202FC" w:rsidP="00B202FC">
            <w:pPr>
              <w:numPr>
                <w:ilvl w:val="0"/>
                <w:numId w:val="177"/>
              </w:numPr>
              <w:spacing w:before="40" w:after="40"/>
              <w:contextualSpacing/>
              <w:rPr>
                <w:noProof/>
                <w:sz w:val="20"/>
                <w:lang w:eastAsia="ja-JP"/>
              </w:rPr>
            </w:pPr>
            <w:r w:rsidRPr="00380B24">
              <w:rPr>
                <w:noProof/>
                <w:sz w:val="20"/>
                <w:lang w:eastAsia="ja-JP"/>
              </w:rPr>
              <w:t>OQ2: To what extent is the ECCF relevant in terms of securing ICT products, services and processes? To what extent has it increased or decreased in relevance in view of increasing geopolitical tensions in digital policy?</w:t>
            </w:r>
          </w:p>
        </w:tc>
      </w:tr>
      <w:tr w:rsidR="00B202FC" w:rsidRPr="00380B24" w14:paraId="705072EE" w14:textId="77777777">
        <w:trPr>
          <w:jc w:val="center"/>
        </w:trPr>
        <w:tc>
          <w:tcPr>
            <w:tcW w:w="5000" w:type="pct"/>
            <w:gridSpan w:val="3"/>
            <w:shd w:val="clear" w:color="auto" w:fill="F2F2F2" w:themeFill="background1" w:themeFillShade="F2"/>
          </w:tcPr>
          <w:p w14:paraId="5AAE6B1F" w14:textId="77777777" w:rsidR="00B202FC" w:rsidRPr="00380B24" w:rsidRDefault="00B202FC">
            <w:pPr>
              <w:spacing w:before="40" w:after="40"/>
              <w:rPr>
                <w:noProof/>
                <w:sz w:val="20"/>
                <w:lang w:eastAsia="ja-JP"/>
              </w:rPr>
            </w:pPr>
            <w:r w:rsidRPr="00380B24">
              <w:rPr>
                <w:b/>
                <w:caps/>
                <w:noProof/>
                <w:sz w:val="20"/>
                <w:lang w:eastAsia="ja-JP"/>
              </w:rPr>
              <w:t>Judgement criteria and INDICATORS</w:t>
            </w:r>
          </w:p>
        </w:tc>
      </w:tr>
      <w:tr w:rsidR="00B202FC" w:rsidRPr="00380B24" w14:paraId="2D907A7A" w14:textId="77777777">
        <w:trPr>
          <w:jc w:val="center"/>
        </w:trPr>
        <w:tc>
          <w:tcPr>
            <w:tcW w:w="2474" w:type="pct"/>
            <w:gridSpan w:val="2"/>
            <w:shd w:val="clear" w:color="auto" w:fill="F2F2F2" w:themeFill="background1" w:themeFillShade="F2"/>
          </w:tcPr>
          <w:p w14:paraId="5955F92A" w14:textId="77777777" w:rsidR="00B202FC" w:rsidRPr="00380B24" w:rsidRDefault="00B202FC">
            <w:pPr>
              <w:spacing w:before="40" w:after="40"/>
              <w:rPr>
                <w:noProof/>
                <w:sz w:val="20"/>
                <w:lang w:eastAsia="ja-JP"/>
              </w:rPr>
            </w:pPr>
            <w:r w:rsidRPr="00380B24">
              <w:rPr>
                <w:noProof/>
                <w:sz w:val="20"/>
                <w:lang w:eastAsia="ja-JP"/>
              </w:rPr>
              <w:t>OQ1: The Commission and Member States do not highlight the need for adjustments to fulfil its objectives in the current threat landscape.</w:t>
            </w:r>
          </w:p>
        </w:tc>
        <w:tc>
          <w:tcPr>
            <w:tcW w:w="2526" w:type="pct"/>
            <w:shd w:val="clear" w:color="auto" w:fill="F2F2F2" w:themeFill="background1" w:themeFillShade="F2"/>
          </w:tcPr>
          <w:p w14:paraId="52449EE4" w14:textId="77777777" w:rsidR="00B202FC" w:rsidRPr="00380B24" w:rsidRDefault="00B202FC">
            <w:pPr>
              <w:spacing w:before="40" w:after="40"/>
              <w:rPr>
                <w:noProof/>
                <w:sz w:val="20"/>
                <w:lang w:eastAsia="ja-JP"/>
              </w:rPr>
            </w:pPr>
            <w:r w:rsidRPr="00380B24">
              <w:rPr>
                <w:noProof/>
                <w:sz w:val="20"/>
                <w:lang w:eastAsia="ja-JP"/>
              </w:rPr>
              <w:t>Extent of possible adjustments needed to tackle current cybersecurity threats.</w:t>
            </w:r>
          </w:p>
        </w:tc>
      </w:tr>
      <w:tr w:rsidR="00B202FC" w:rsidRPr="00380B24" w14:paraId="342C03BA" w14:textId="77777777">
        <w:trPr>
          <w:jc w:val="center"/>
        </w:trPr>
        <w:tc>
          <w:tcPr>
            <w:tcW w:w="2474" w:type="pct"/>
            <w:gridSpan w:val="2"/>
            <w:shd w:val="clear" w:color="auto" w:fill="F2F2F2" w:themeFill="background1" w:themeFillShade="F2"/>
          </w:tcPr>
          <w:p w14:paraId="1AB77882" w14:textId="77777777" w:rsidR="00B202FC" w:rsidRPr="00380B24" w:rsidRDefault="00B202FC">
            <w:pPr>
              <w:spacing w:before="40" w:after="40"/>
              <w:rPr>
                <w:noProof/>
                <w:sz w:val="20"/>
                <w:lang w:eastAsia="ja-JP"/>
              </w:rPr>
            </w:pPr>
            <w:r w:rsidRPr="00380B24">
              <w:rPr>
                <w:noProof/>
                <w:sz w:val="20"/>
                <w:lang w:eastAsia="ja-JP"/>
              </w:rPr>
              <w:t>OQ2: The relevance of the ECCF increased for Member States.</w:t>
            </w:r>
          </w:p>
        </w:tc>
        <w:tc>
          <w:tcPr>
            <w:tcW w:w="2526" w:type="pct"/>
            <w:shd w:val="clear" w:color="auto" w:fill="F2F2F2" w:themeFill="background1" w:themeFillShade="F2"/>
          </w:tcPr>
          <w:p w14:paraId="0B96D312" w14:textId="77777777" w:rsidR="00B202FC" w:rsidRPr="00380B24" w:rsidRDefault="00B202FC">
            <w:pPr>
              <w:spacing w:before="40" w:after="40"/>
              <w:rPr>
                <w:noProof/>
                <w:sz w:val="20"/>
                <w:lang w:eastAsia="ja-JP"/>
              </w:rPr>
            </w:pPr>
            <w:r w:rsidRPr="00380B24">
              <w:rPr>
                <w:noProof/>
                <w:sz w:val="20"/>
                <w:lang w:eastAsia="ja-JP"/>
              </w:rPr>
              <w:t>Number and type of cybersecurity certification initiatives launched, both in the EU and internationally since the adoption of the Cybersecurity Act; extent to which Member States state that cybersecurity certification is needed.</w:t>
            </w:r>
          </w:p>
        </w:tc>
      </w:tr>
      <w:tr w:rsidR="00B202FC" w:rsidRPr="00380B24" w14:paraId="31E76E93" w14:textId="77777777">
        <w:trPr>
          <w:jc w:val="center"/>
        </w:trPr>
        <w:tc>
          <w:tcPr>
            <w:tcW w:w="5000" w:type="pct"/>
            <w:gridSpan w:val="3"/>
            <w:shd w:val="clear" w:color="auto" w:fill="F2F2F2" w:themeFill="background1" w:themeFillShade="F2"/>
          </w:tcPr>
          <w:p w14:paraId="1797B42A" w14:textId="77777777" w:rsidR="00B202FC" w:rsidRPr="00380B24" w:rsidRDefault="00B202FC">
            <w:pPr>
              <w:spacing w:before="40" w:after="40"/>
              <w:rPr>
                <w:noProof/>
                <w:sz w:val="20"/>
                <w:lang w:eastAsia="ja-JP"/>
              </w:rPr>
            </w:pPr>
            <w:r w:rsidRPr="00380B24">
              <w:rPr>
                <w:b/>
                <w:caps/>
                <w:noProof/>
                <w:sz w:val="20"/>
                <w:lang w:eastAsia="ja-JP"/>
              </w:rPr>
              <w:t>Data sources</w:t>
            </w:r>
          </w:p>
        </w:tc>
      </w:tr>
      <w:tr w:rsidR="00B202FC" w:rsidRPr="00380B24" w14:paraId="63BA7A7B" w14:textId="77777777">
        <w:trPr>
          <w:jc w:val="center"/>
        </w:trPr>
        <w:tc>
          <w:tcPr>
            <w:tcW w:w="5000" w:type="pct"/>
            <w:gridSpan w:val="3"/>
            <w:shd w:val="clear" w:color="auto" w:fill="F2F2F2" w:themeFill="background1" w:themeFillShade="F2"/>
          </w:tcPr>
          <w:p w14:paraId="1689C38A" w14:textId="77777777" w:rsidR="00B202FC" w:rsidRPr="00380B24" w:rsidRDefault="00B202FC" w:rsidP="00B202FC">
            <w:pPr>
              <w:numPr>
                <w:ilvl w:val="0"/>
                <w:numId w:val="177"/>
              </w:numPr>
              <w:spacing w:before="40" w:after="40"/>
              <w:contextualSpacing/>
              <w:rPr>
                <w:noProof/>
                <w:sz w:val="20"/>
                <w:lang w:eastAsia="ja-JP"/>
              </w:rPr>
            </w:pPr>
            <w:r w:rsidRPr="00380B24">
              <w:rPr>
                <w:noProof/>
                <w:sz w:val="20"/>
                <w:lang w:eastAsia="ja-JP"/>
              </w:rPr>
              <w:t>Desk research</w:t>
            </w:r>
          </w:p>
          <w:p w14:paraId="3E1F3935" w14:textId="77777777" w:rsidR="00B202FC" w:rsidRPr="00380B24" w:rsidRDefault="00B202FC" w:rsidP="00B202FC">
            <w:pPr>
              <w:numPr>
                <w:ilvl w:val="0"/>
                <w:numId w:val="177"/>
              </w:numPr>
              <w:spacing w:before="40" w:after="40"/>
              <w:contextualSpacing/>
              <w:rPr>
                <w:noProof/>
                <w:sz w:val="20"/>
                <w:lang w:eastAsia="ja-JP"/>
              </w:rPr>
            </w:pPr>
            <w:r w:rsidRPr="00380B24">
              <w:rPr>
                <w:noProof/>
                <w:sz w:val="20"/>
                <w:lang w:eastAsia="ja-JP"/>
              </w:rPr>
              <w:t>Survey</w:t>
            </w:r>
          </w:p>
          <w:p w14:paraId="4EE2894F" w14:textId="77777777" w:rsidR="00B202FC" w:rsidRPr="00380B24" w:rsidRDefault="00B202FC" w:rsidP="00B202FC">
            <w:pPr>
              <w:numPr>
                <w:ilvl w:val="0"/>
                <w:numId w:val="177"/>
              </w:numPr>
              <w:spacing w:before="40" w:after="40"/>
              <w:contextualSpacing/>
              <w:rPr>
                <w:noProof/>
                <w:sz w:val="20"/>
                <w:lang w:eastAsia="ja-JP"/>
              </w:rPr>
            </w:pPr>
            <w:r w:rsidRPr="00380B24">
              <w:rPr>
                <w:noProof/>
                <w:sz w:val="20"/>
                <w:lang w:eastAsia="ja-JP"/>
              </w:rPr>
              <w:t>Interviews</w:t>
            </w:r>
          </w:p>
        </w:tc>
      </w:tr>
    </w:tbl>
    <w:p w14:paraId="63A8AF1B" w14:textId="77777777" w:rsidR="00D52AD8" w:rsidRPr="00C57110" w:rsidRDefault="00D52AD8" w:rsidP="00D52AD8">
      <w:pPr>
        <w:spacing w:before="40" w:after="40"/>
        <w:rPr>
          <w:noProof/>
          <w:sz w:val="20"/>
          <w:szCs w:val="20"/>
          <w:lang w:eastAsia="ja-JP"/>
        </w:rPr>
      </w:pPr>
    </w:p>
    <w:p w14:paraId="59528C0E" w14:textId="77777777" w:rsidR="00D52AD8" w:rsidRPr="00C57110" w:rsidRDefault="00D52AD8" w:rsidP="00D52AD8">
      <w:pPr>
        <w:rPr>
          <w:noProof/>
          <w:sz w:val="20"/>
          <w:szCs w:val="20"/>
          <w:lang w:eastAsia="ja-JP"/>
        </w:rPr>
      </w:pPr>
    </w:p>
    <w:p w14:paraId="4ED3C87B" w14:textId="77777777" w:rsidR="00D52AD8" w:rsidRPr="00C57110" w:rsidRDefault="00D52AD8" w:rsidP="00D52AD8">
      <w:pPr>
        <w:rPr>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4"/>
      </w:tblGrid>
      <w:tr w:rsidR="00B202FC" w:rsidRPr="00380B24" w14:paraId="37755D97" w14:textId="77777777">
        <w:trPr>
          <w:trHeight w:val="289"/>
        </w:trPr>
        <w:tc>
          <w:tcPr>
            <w:tcW w:w="5000" w:type="pct"/>
            <w:shd w:val="clear" w:color="auto" w:fill="C6D9F1" w:themeFill="text2" w:themeFillTint="33"/>
          </w:tcPr>
          <w:p w14:paraId="2C9050B8" w14:textId="77777777" w:rsidR="00B202FC" w:rsidRPr="00380B24" w:rsidRDefault="00B202FC">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B202FC" w:rsidRPr="00380B24" w14:paraId="4B8BFCA7" w14:textId="77777777">
        <w:tc>
          <w:tcPr>
            <w:tcW w:w="5000" w:type="pct"/>
            <w:shd w:val="clear" w:color="auto" w:fill="F2F2F2" w:themeFill="background1" w:themeFillShade="F2"/>
          </w:tcPr>
          <w:p w14:paraId="2C942CEB" w14:textId="77777777" w:rsidR="00B202FC" w:rsidRPr="00380B24" w:rsidRDefault="00B202FC">
            <w:pPr>
              <w:rPr>
                <w:rFonts w:ascii="Arial" w:eastAsia="Arial" w:hAnsi="Arial" w:cs="Arial"/>
                <w:noProof/>
                <w:sz w:val="20"/>
                <w:lang w:eastAsia="ja-JP"/>
              </w:rPr>
            </w:pPr>
            <w:r w:rsidRPr="00380B24">
              <w:rPr>
                <w:noProof/>
                <w:sz w:val="20"/>
                <w:lang w:eastAsia="ja-JP"/>
              </w:rPr>
              <w:t xml:space="preserve">The ECCF remains relevant in supporting the objectives of the internal market. Given the rising frequency and seriousness of cybersecurity threats, stakeholders considered EU cybersecurity certification to be a useful and important tool to enhance Europe’s cyber resilience and preparedness. Several elements contributed to the ECCF’s perceived relevance, including enhanced cooperation at EU level, assistance in the development of standards and the possibility of requiring certification for critical infrastructure (e.g. under NIS2) and recipients of public procurement. In addition, stakeholders pointed to the ECCF’s ability to strengthen collaboration among EU Member States and promote trade by offering a harmonised certification platform. </w:t>
            </w:r>
          </w:p>
        </w:tc>
      </w:tr>
    </w:tbl>
    <w:p w14:paraId="63241876" w14:textId="77777777" w:rsidR="00D52AD8" w:rsidRPr="00C57110" w:rsidRDefault="00D52AD8" w:rsidP="00D52AD8">
      <w:pPr>
        <w:rPr>
          <w:noProof/>
          <w:lang w:eastAsia="ja-JP"/>
        </w:rPr>
      </w:pPr>
    </w:p>
    <w:p w14:paraId="7ACB401B" w14:textId="77777777" w:rsidR="00D52AD8" w:rsidRPr="00C57110" w:rsidRDefault="00D52AD8" w:rsidP="00D52AD8">
      <w:pPr>
        <w:rPr>
          <w:noProof/>
          <w:lang w:eastAsia="ja-JP"/>
        </w:rPr>
      </w:pPr>
      <w:r w:rsidRPr="00C57110">
        <w:rPr>
          <w:noProof/>
          <w:lang w:eastAsia="ja-JP"/>
        </w:rPr>
        <w:br w:type="page"/>
      </w:r>
    </w:p>
    <w:p w14:paraId="62673275" w14:textId="65C06703" w:rsidR="00D52AD8" w:rsidRPr="00C57110" w:rsidRDefault="00D52AD8" w:rsidP="00D52AD8">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570" w:name="_Toc218702627"/>
      <w:bookmarkStart w:id="571" w:name="_Toc219039550"/>
      <w:bookmarkStart w:id="572" w:name="_Toc219447453"/>
      <w:r w:rsidRPr="00C57110">
        <w:rPr>
          <w:noProof/>
          <w:szCs w:val="24"/>
        </w:rPr>
        <w:t>Annex IV. Overview of benefits and costs [and where relevant, Table on simplification and burden reduction</w:t>
      </w:r>
      <w:r w:rsidR="00B202FC" w:rsidRPr="00380B24">
        <w:rPr>
          <w:noProof/>
        </w:rPr>
        <w:t>]</w:t>
      </w:r>
      <w:bookmarkEnd w:id="570"/>
      <w:bookmarkEnd w:id="571"/>
      <w:bookmarkEnd w:id="572"/>
    </w:p>
    <w:p w14:paraId="3FE1E53C" w14:textId="77777777" w:rsidR="00B202FC" w:rsidRPr="00380B24" w:rsidRDefault="00B202FC" w:rsidP="00B202FC">
      <w:pPr>
        <w:pStyle w:val="Text1"/>
        <w:ind w:left="0"/>
        <w:rPr>
          <w:noProof/>
        </w:rPr>
      </w:pPr>
      <w:r w:rsidRPr="00380B24">
        <w:rPr>
          <w:noProof/>
        </w:rPr>
        <w:t>Annex IV provides an overview of the costs and benefits projected in the preferred options of the 2017 CSA IA. It also shows the potential simplification and burden reduction savings identified in the current 2025 IA for the updated CSA preferred options. This annex presents a comparison, highlighting both the initial expectations and the most recent projections for the main policy options considered for ENISA and the ECCF. It is important to note that, at the time of this evaluation, there is no quantitative data available on the simplification or burden reduction already achieved for ENISA. For certification, no realised savings can be reported yet, as the first EU-wide certification scheme was only adopted in May 2025 and the evaluation was conducted between 2023 and 2024. As a result, the annex focuses on projected and potential impacts, rather than on realised monetary benefits or cost reductions for either ENISA or the ECCF.</w:t>
      </w:r>
    </w:p>
    <w:tbl>
      <w:tblPr>
        <w:tblStyle w:val="CV112"/>
        <w:tblW w:w="505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3586"/>
        <w:gridCol w:w="1415"/>
        <w:gridCol w:w="1605"/>
        <w:gridCol w:w="1603"/>
        <w:gridCol w:w="1876"/>
        <w:gridCol w:w="2004"/>
        <w:gridCol w:w="2143"/>
      </w:tblGrid>
      <w:tr w:rsidR="00B202FC" w:rsidRPr="00380B24" w14:paraId="7B605061" w14:textId="77777777">
        <w:trPr>
          <w:trHeight w:val="220"/>
        </w:trPr>
        <w:tc>
          <w:tcPr>
            <w:tcW w:w="5000" w:type="pct"/>
            <w:gridSpan w:val="7"/>
            <w:tcBorders>
              <w:top w:val="double" w:sz="4" w:space="0" w:color="auto"/>
            </w:tcBorders>
            <w:shd w:val="clear" w:color="auto" w:fill="C6D9F1" w:themeFill="text2" w:themeFillTint="33"/>
            <w:tcMar>
              <w:top w:w="57" w:type="dxa"/>
              <w:left w:w="57" w:type="dxa"/>
              <w:bottom w:w="57" w:type="dxa"/>
              <w:right w:w="57" w:type="dxa"/>
            </w:tcMar>
          </w:tcPr>
          <w:p w14:paraId="582415AC" w14:textId="77777777" w:rsidR="00B202FC" w:rsidRPr="00380B24" w:rsidRDefault="00B202FC">
            <w:pPr>
              <w:tabs>
                <w:tab w:val="num" w:pos="425"/>
                <w:tab w:val="left" w:pos="480"/>
                <w:tab w:val="center" w:pos="7458"/>
              </w:tabs>
              <w:rPr>
                <w:b/>
                <w:i/>
                <w:noProof/>
              </w:rPr>
            </w:pPr>
            <w:r w:rsidRPr="00380B24">
              <w:rPr>
                <w:b/>
                <w:i/>
                <w:noProof/>
              </w:rPr>
              <w:tab/>
            </w:r>
            <w:r w:rsidRPr="00380B24">
              <w:rPr>
                <w:b/>
                <w:i/>
                <w:noProof/>
              </w:rPr>
              <w:tab/>
            </w:r>
            <w:r w:rsidRPr="00380B24">
              <w:rPr>
                <w:b/>
                <w:i/>
                <w:noProof/>
              </w:rPr>
              <w:tab/>
              <w:t>Table 1. Overview of the costs and benefits identified in the evaluation</w:t>
            </w:r>
          </w:p>
        </w:tc>
      </w:tr>
      <w:tr w:rsidR="00B202FC" w:rsidRPr="00380B24" w14:paraId="1A723B3F" w14:textId="77777777">
        <w:trPr>
          <w:trHeight w:val="220"/>
        </w:trPr>
        <w:tc>
          <w:tcPr>
            <w:tcW w:w="1260" w:type="pct"/>
            <w:tcBorders>
              <w:top w:val="double" w:sz="4" w:space="0" w:color="auto"/>
              <w:right w:val="double" w:sz="4" w:space="0" w:color="auto"/>
              <w:tl2br w:val="double" w:sz="4" w:space="0" w:color="auto"/>
            </w:tcBorders>
            <w:tcMar>
              <w:top w:w="57" w:type="dxa"/>
              <w:left w:w="57" w:type="dxa"/>
              <w:bottom w:w="57" w:type="dxa"/>
              <w:right w:w="57" w:type="dxa"/>
            </w:tcMar>
          </w:tcPr>
          <w:p w14:paraId="38F8A4D5" w14:textId="77777777" w:rsidR="00B202FC" w:rsidRPr="00380B24" w:rsidRDefault="00B202FC">
            <w:pPr>
              <w:tabs>
                <w:tab w:val="num" w:pos="425"/>
              </w:tabs>
              <w:rPr>
                <w:b/>
                <w:noProof/>
              </w:rPr>
            </w:pPr>
          </w:p>
        </w:tc>
        <w:tc>
          <w:tcPr>
            <w:tcW w:w="1061" w:type="pct"/>
            <w:gridSpan w:val="2"/>
            <w:vMerge w:val="restart"/>
            <w:tcBorders>
              <w:left w:val="double" w:sz="4" w:space="0" w:color="auto"/>
            </w:tcBorders>
            <w:tcMar>
              <w:top w:w="57" w:type="dxa"/>
              <w:left w:w="57" w:type="dxa"/>
              <w:bottom w:w="57" w:type="dxa"/>
              <w:right w:w="57" w:type="dxa"/>
            </w:tcMar>
            <w:vAlign w:val="center"/>
          </w:tcPr>
          <w:p w14:paraId="35D84224" w14:textId="77777777" w:rsidR="00B202FC" w:rsidRPr="00380B24" w:rsidRDefault="00B202FC">
            <w:pPr>
              <w:tabs>
                <w:tab w:val="num" w:pos="425"/>
              </w:tabs>
              <w:jc w:val="center"/>
              <w:rPr>
                <w:noProof/>
              </w:rPr>
            </w:pPr>
            <w:r w:rsidRPr="00380B24">
              <w:rPr>
                <w:b/>
                <w:bCs/>
                <w:noProof/>
              </w:rPr>
              <w:t>Citizens/Consumers</w:t>
            </w:r>
          </w:p>
        </w:tc>
        <w:tc>
          <w:tcPr>
            <w:tcW w:w="1222" w:type="pct"/>
            <w:gridSpan w:val="2"/>
            <w:vMerge w:val="restart"/>
            <w:tcMar>
              <w:top w:w="57" w:type="dxa"/>
              <w:left w:w="57" w:type="dxa"/>
              <w:bottom w:w="57" w:type="dxa"/>
              <w:right w:w="57" w:type="dxa"/>
            </w:tcMar>
            <w:vAlign w:val="center"/>
          </w:tcPr>
          <w:p w14:paraId="446E32D9" w14:textId="77777777" w:rsidR="00B202FC" w:rsidRPr="00380B24" w:rsidRDefault="00B202FC">
            <w:pPr>
              <w:tabs>
                <w:tab w:val="num" w:pos="425"/>
              </w:tabs>
              <w:jc w:val="center"/>
              <w:rPr>
                <w:noProof/>
              </w:rPr>
            </w:pPr>
            <w:r w:rsidRPr="00380B24">
              <w:rPr>
                <w:b/>
                <w:bCs/>
                <w:noProof/>
              </w:rPr>
              <w:t>Businesses</w:t>
            </w:r>
          </w:p>
        </w:tc>
        <w:tc>
          <w:tcPr>
            <w:tcW w:w="1456" w:type="pct"/>
            <w:gridSpan w:val="2"/>
            <w:vMerge w:val="restart"/>
            <w:tcMar>
              <w:top w:w="57" w:type="dxa"/>
              <w:left w:w="57" w:type="dxa"/>
              <w:bottom w:w="57" w:type="dxa"/>
              <w:right w:w="57" w:type="dxa"/>
            </w:tcMar>
            <w:vAlign w:val="center"/>
          </w:tcPr>
          <w:p w14:paraId="52A18B84" w14:textId="77777777" w:rsidR="00B202FC" w:rsidRPr="00380B24" w:rsidRDefault="00B202FC">
            <w:pPr>
              <w:tabs>
                <w:tab w:val="num" w:pos="425"/>
              </w:tabs>
              <w:jc w:val="center"/>
              <w:rPr>
                <w:noProof/>
              </w:rPr>
            </w:pPr>
            <w:r w:rsidRPr="00380B24">
              <w:rPr>
                <w:b/>
                <w:bCs/>
                <w:noProof/>
              </w:rPr>
              <w:t>Administrations</w:t>
            </w:r>
          </w:p>
        </w:tc>
      </w:tr>
      <w:tr w:rsidR="00B202FC" w:rsidRPr="00380B24" w14:paraId="5315A6E9" w14:textId="77777777">
        <w:trPr>
          <w:trHeight w:val="516"/>
        </w:trPr>
        <w:tc>
          <w:tcPr>
            <w:tcW w:w="1260" w:type="pct"/>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2B578FC4" w14:textId="77777777" w:rsidR="00B202FC" w:rsidRPr="00380B24" w:rsidRDefault="00B202FC">
            <w:pPr>
              <w:tabs>
                <w:tab w:val="num" w:pos="425"/>
              </w:tabs>
              <w:rPr>
                <w:noProof/>
              </w:rPr>
            </w:pPr>
            <w:r w:rsidRPr="00380B24">
              <w:rPr>
                <w:b/>
                <w:noProof/>
              </w:rPr>
              <w:t xml:space="preserve">      </w:t>
            </w:r>
          </w:p>
        </w:tc>
        <w:tc>
          <w:tcPr>
            <w:tcW w:w="1061" w:type="pct"/>
            <w:gridSpan w:val="2"/>
            <w:vMerge/>
            <w:tcBorders>
              <w:left w:val="double" w:sz="4" w:space="0" w:color="auto"/>
            </w:tcBorders>
            <w:tcMar>
              <w:top w:w="57" w:type="dxa"/>
              <w:left w:w="57" w:type="dxa"/>
              <w:bottom w:w="57" w:type="dxa"/>
              <w:right w:w="57" w:type="dxa"/>
            </w:tcMar>
          </w:tcPr>
          <w:p w14:paraId="59332EAA" w14:textId="77777777" w:rsidR="00B202FC" w:rsidRPr="00380B24" w:rsidRDefault="00B202FC">
            <w:pPr>
              <w:tabs>
                <w:tab w:val="num" w:pos="425"/>
              </w:tabs>
              <w:jc w:val="center"/>
              <w:rPr>
                <w:b/>
                <w:bCs/>
                <w:noProof/>
              </w:rPr>
            </w:pPr>
          </w:p>
        </w:tc>
        <w:tc>
          <w:tcPr>
            <w:tcW w:w="1222" w:type="pct"/>
            <w:gridSpan w:val="2"/>
            <w:vMerge/>
            <w:tcMar>
              <w:top w:w="57" w:type="dxa"/>
              <w:left w:w="57" w:type="dxa"/>
              <w:bottom w:w="57" w:type="dxa"/>
              <w:right w:w="57" w:type="dxa"/>
            </w:tcMar>
          </w:tcPr>
          <w:p w14:paraId="1B920F25" w14:textId="77777777" w:rsidR="00B202FC" w:rsidRPr="00380B24" w:rsidRDefault="00B202FC">
            <w:pPr>
              <w:tabs>
                <w:tab w:val="num" w:pos="425"/>
              </w:tabs>
              <w:jc w:val="center"/>
              <w:rPr>
                <w:b/>
                <w:bCs/>
                <w:noProof/>
              </w:rPr>
            </w:pPr>
          </w:p>
        </w:tc>
        <w:tc>
          <w:tcPr>
            <w:tcW w:w="1456" w:type="pct"/>
            <w:gridSpan w:val="2"/>
            <w:vMerge/>
            <w:tcMar>
              <w:top w:w="57" w:type="dxa"/>
              <w:left w:w="57" w:type="dxa"/>
              <w:bottom w:w="57" w:type="dxa"/>
              <w:right w:w="57" w:type="dxa"/>
            </w:tcMar>
          </w:tcPr>
          <w:p w14:paraId="4D5BBAAF" w14:textId="77777777" w:rsidR="00B202FC" w:rsidRPr="00380B24" w:rsidRDefault="00B202FC">
            <w:pPr>
              <w:tabs>
                <w:tab w:val="num" w:pos="425"/>
              </w:tabs>
              <w:jc w:val="center"/>
              <w:rPr>
                <w:b/>
                <w:bCs/>
                <w:noProof/>
              </w:rPr>
            </w:pPr>
          </w:p>
        </w:tc>
      </w:tr>
      <w:tr w:rsidR="00B202FC" w:rsidRPr="00380B24" w14:paraId="7D45F8B1" w14:textId="77777777">
        <w:trPr>
          <w:trHeight w:val="278"/>
        </w:trPr>
        <w:tc>
          <w:tcPr>
            <w:tcW w:w="1260" w:type="pct"/>
            <w:vMerge/>
            <w:tcBorders>
              <w:bottom w:val="double" w:sz="4" w:space="0" w:color="auto"/>
              <w:right w:val="double" w:sz="4" w:space="0" w:color="auto"/>
              <w:tl2br w:val="double" w:sz="4" w:space="0" w:color="auto"/>
            </w:tcBorders>
            <w:tcMar>
              <w:top w:w="57" w:type="dxa"/>
              <w:left w:w="57" w:type="dxa"/>
              <w:bottom w:w="57" w:type="dxa"/>
              <w:right w:w="57" w:type="dxa"/>
            </w:tcMar>
          </w:tcPr>
          <w:p w14:paraId="00B12299" w14:textId="77777777" w:rsidR="00B202FC" w:rsidRPr="00380B24" w:rsidRDefault="00B202FC">
            <w:pPr>
              <w:tabs>
                <w:tab w:val="num" w:pos="425"/>
              </w:tabs>
              <w:jc w:val="center"/>
              <w:rPr>
                <w:noProof/>
              </w:rPr>
            </w:pPr>
          </w:p>
        </w:tc>
        <w:tc>
          <w:tcPr>
            <w:tcW w:w="497" w:type="pct"/>
            <w:tcBorders>
              <w:left w:val="double" w:sz="4" w:space="0" w:color="auto"/>
              <w:bottom w:val="double" w:sz="4" w:space="0" w:color="auto"/>
            </w:tcBorders>
            <w:tcMar>
              <w:top w:w="57" w:type="dxa"/>
              <w:left w:w="57" w:type="dxa"/>
              <w:bottom w:w="57" w:type="dxa"/>
              <w:right w:w="57" w:type="dxa"/>
            </w:tcMar>
          </w:tcPr>
          <w:p w14:paraId="2688F4EA" w14:textId="77777777" w:rsidR="00B202FC" w:rsidRPr="00380B24" w:rsidRDefault="00B202FC">
            <w:pPr>
              <w:tabs>
                <w:tab w:val="num" w:pos="425"/>
              </w:tabs>
              <w:jc w:val="center"/>
              <w:rPr>
                <w:b/>
                <w:bCs/>
                <w:noProof/>
              </w:rPr>
            </w:pPr>
            <w:r w:rsidRPr="00380B24">
              <w:rPr>
                <w:b/>
                <w:bCs/>
                <w:noProof/>
              </w:rPr>
              <w:t xml:space="preserve">Quantitative data </w:t>
            </w:r>
          </w:p>
        </w:tc>
        <w:tc>
          <w:tcPr>
            <w:tcW w:w="564" w:type="pct"/>
            <w:tcBorders>
              <w:bottom w:val="double" w:sz="4" w:space="0" w:color="auto"/>
            </w:tcBorders>
            <w:tcMar>
              <w:top w:w="57" w:type="dxa"/>
              <w:left w:w="57" w:type="dxa"/>
              <w:bottom w:w="57" w:type="dxa"/>
              <w:right w:w="57" w:type="dxa"/>
            </w:tcMar>
          </w:tcPr>
          <w:p w14:paraId="6F288AB9" w14:textId="77777777" w:rsidR="00B202FC" w:rsidRPr="00380B24" w:rsidRDefault="00B202FC">
            <w:pPr>
              <w:tabs>
                <w:tab w:val="num" w:pos="425"/>
              </w:tabs>
              <w:jc w:val="center"/>
              <w:rPr>
                <w:b/>
                <w:bCs/>
                <w:noProof/>
              </w:rPr>
            </w:pPr>
            <w:r w:rsidRPr="00380B24">
              <w:rPr>
                <w:b/>
                <w:bCs/>
                <w:noProof/>
              </w:rPr>
              <w:t>Comment</w:t>
            </w:r>
          </w:p>
        </w:tc>
        <w:tc>
          <w:tcPr>
            <w:tcW w:w="563" w:type="pct"/>
            <w:tcBorders>
              <w:bottom w:val="double" w:sz="4" w:space="0" w:color="auto"/>
            </w:tcBorders>
            <w:tcMar>
              <w:top w:w="57" w:type="dxa"/>
              <w:left w:w="57" w:type="dxa"/>
              <w:bottom w:w="57" w:type="dxa"/>
              <w:right w:w="57" w:type="dxa"/>
            </w:tcMar>
          </w:tcPr>
          <w:p w14:paraId="015EDF1F" w14:textId="77777777" w:rsidR="00B202FC" w:rsidRPr="00380B24" w:rsidRDefault="00B202FC">
            <w:pPr>
              <w:tabs>
                <w:tab w:val="num" w:pos="425"/>
              </w:tabs>
              <w:jc w:val="center"/>
              <w:rPr>
                <w:b/>
                <w:bCs/>
                <w:noProof/>
              </w:rPr>
            </w:pPr>
            <w:r w:rsidRPr="00380B24">
              <w:rPr>
                <w:b/>
                <w:bCs/>
                <w:noProof/>
              </w:rPr>
              <w:t>Quantitative data</w:t>
            </w:r>
          </w:p>
        </w:tc>
        <w:tc>
          <w:tcPr>
            <w:tcW w:w="659" w:type="pct"/>
            <w:tcBorders>
              <w:bottom w:val="double" w:sz="4" w:space="0" w:color="auto"/>
            </w:tcBorders>
            <w:tcMar>
              <w:top w:w="57" w:type="dxa"/>
              <w:left w:w="57" w:type="dxa"/>
              <w:bottom w:w="57" w:type="dxa"/>
              <w:right w:w="57" w:type="dxa"/>
            </w:tcMar>
          </w:tcPr>
          <w:p w14:paraId="2FA26687" w14:textId="77777777" w:rsidR="00B202FC" w:rsidRPr="00380B24" w:rsidRDefault="00B202FC">
            <w:pPr>
              <w:tabs>
                <w:tab w:val="num" w:pos="425"/>
              </w:tabs>
              <w:jc w:val="center"/>
              <w:rPr>
                <w:b/>
                <w:bCs/>
                <w:noProof/>
              </w:rPr>
            </w:pPr>
            <w:r w:rsidRPr="00380B24">
              <w:rPr>
                <w:b/>
                <w:bCs/>
                <w:noProof/>
              </w:rPr>
              <w:t>Comment</w:t>
            </w:r>
          </w:p>
        </w:tc>
        <w:tc>
          <w:tcPr>
            <w:tcW w:w="704" w:type="pct"/>
            <w:tcBorders>
              <w:bottom w:val="double" w:sz="4" w:space="0" w:color="auto"/>
            </w:tcBorders>
            <w:tcMar>
              <w:top w:w="57" w:type="dxa"/>
              <w:left w:w="57" w:type="dxa"/>
              <w:bottom w:w="57" w:type="dxa"/>
              <w:right w:w="57" w:type="dxa"/>
            </w:tcMar>
          </w:tcPr>
          <w:p w14:paraId="044420B7" w14:textId="77777777" w:rsidR="00B202FC" w:rsidRPr="00380B24" w:rsidRDefault="00B202FC">
            <w:pPr>
              <w:tabs>
                <w:tab w:val="num" w:pos="425"/>
              </w:tabs>
              <w:jc w:val="center"/>
              <w:rPr>
                <w:b/>
                <w:bCs/>
                <w:noProof/>
              </w:rPr>
            </w:pPr>
            <w:r w:rsidRPr="00380B24">
              <w:rPr>
                <w:b/>
                <w:bCs/>
                <w:noProof/>
              </w:rPr>
              <w:t>Quantitative data</w:t>
            </w:r>
          </w:p>
          <w:p w14:paraId="44A7B906" w14:textId="77777777" w:rsidR="00B202FC" w:rsidRPr="00380B24" w:rsidRDefault="00B202FC">
            <w:pPr>
              <w:tabs>
                <w:tab w:val="num" w:pos="425"/>
              </w:tabs>
              <w:jc w:val="center"/>
              <w:rPr>
                <w:b/>
                <w:bCs/>
                <w:noProof/>
              </w:rPr>
            </w:pPr>
          </w:p>
        </w:tc>
        <w:tc>
          <w:tcPr>
            <w:tcW w:w="752" w:type="pct"/>
            <w:tcBorders>
              <w:bottom w:val="double" w:sz="4" w:space="0" w:color="auto"/>
            </w:tcBorders>
          </w:tcPr>
          <w:p w14:paraId="717207A3" w14:textId="77777777" w:rsidR="00B202FC" w:rsidRPr="00380B24" w:rsidRDefault="00B202FC">
            <w:pPr>
              <w:tabs>
                <w:tab w:val="num" w:pos="425"/>
              </w:tabs>
              <w:jc w:val="center"/>
              <w:rPr>
                <w:b/>
                <w:bCs/>
                <w:noProof/>
              </w:rPr>
            </w:pPr>
            <w:r w:rsidRPr="00380B24">
              <w:rPr>
                <w:b/>
                <w:bCs/>
                <w:noProof/>
              </w:rPr>
              <w:t>Comment</w:t>
            </w:r>
          </w:p>
          <w:p w14:paraId="3E9BE250" w14:textId="77777777" w:rsidR="00B202FC" w:rsidRPr="00380B24" w:rsidRDefault="00B202FC">
            <w:pPr>
              <w:tabs>
                <w:tab w:val="num" w:pos="425"/>
              </w:tabs>
              <w:jc w:val="center"/>
              <w:rPr>
                <w:b/>
                <w:bCs/>
                <w:noProof/>
              </w:rPr>
            </w:pPr>
          </w:p>
        </w:tc>
      </w:tr>
      <w:tr w:rsidR="00B202FC" w:rsidRPr="00380B24" w14:paraId="608D4206" w14:textId="77777777">
        <w:trPr>
          <w:trHeight w:val="300"/>
        </w:trPr>
        <w:tc>
          <w:tcPr>
            <w:tcW w:w="5000" w:type="pct"/>
            <w:gridSpan w:val="7"/>
            <w:tcMar>
              <w:top w:w="57" w:type="dxa"/>
              <w:left w:w="57" w:type="dxa"/>
              <w:bottom w:w="57" w:type="dxa"/>
              <w:right w:w="57" w:type="dxa"/>
            </w:tcMar>
            <w:vAlign w:val="center"/>
          </w:tcPr>
          <w:p w14:paraId="00629225" w14:textId="77777777" w:rsidR="00B202FC" w:rsidRPr="00380B24" w:rsidRDefault="00B202FC">
            <w:pPr>
              <w:tabs>
                <w:tab w:val="num" w:pos="425"/>
              </w:tabs>
              <w:jc w:val="center"/>
              <w:rPr>
                <w:noProof/>
              </w:rPr>
            </w:pPr>
            <w:r w:rsidRPr="00380B24">
              <w:rPr>
                <w:b/>
                <w:noProof/>
              </w:rPr>
              <w:t>Costs</w:t>
            </w:r>
          </w:p>
        </w:tc>
      </w:tr>
      <w:tr w:rsidR="00B202FC" w:rsidRPr="00380B24" w14:paraId="4C149C55" w14:textId="77777777">
        <w:trPr>
          <w:trHeight w:val="1108"/>
        </w:trPr>
        <w:tc>
          <w:tcPr>
            <w:tcW w:w="1260" w:type="pct"/>
            <w:tcBorders>
              <w:right w:val="double" w:sz="4" w:space="0" w:color="auto"/>
            </w:tcBorders>
            <w:tcMar>
              <w:top w:w="57" w:type="dxa"/>
              <w:left w:w="57" w:type="dxa"/>
              <w:bottom w:w="57" w:type="dxa"/>
              <w:right w:w="57" w:type="dxa"/>
            </w:tcMar>
            <w:vAlign w:val="center"/>
          </w:tcPr>
          <w:p w14:paraId="262ABCF2" w14:textId="77777777" w:rsidR="00B202FC" w:rsidRPr="00380B24" w:rsidRDefault="00B202FC">
            <w:pPr>
              <w:tabs>
                <w:tab w:val="num" w:pos="425"/>
              </w:tabs>
              <w:rPr>
                <w:noProof/>
              </w:rPr>
            </w:pPr>
            <w:r w:rsidRPr="00380B24">
              <w:rPr>
                <w:b/>
                <w:noProof/>
              </w:rPr>
              <w:t>Direct compliance costs</w:t>
            </w:r>
            <w:r w:rsidRPr="00380B24">
              <w:rPr>
                <w:noProof/>
              </w:rPr>
              <w:t xml:space="preserve"> </w:t>
            </w:r>
            <w:r w:rsidRPr="00380B24">
              <w:rPr>
                <w:noProof/>
                <w:sz w:val="16"/>
                <w:szCs w:val="16"/>
              </w:rPr>
              <w:t>(adjustment costs, administrative costs, regulatory charges)</w:t>
            </w:r>
          </w:p>
          <w:p w14:paraId="509F4CD5" w14:textId="77777777" w:rsidR="00B202FC" w:rsidRPr="00380B24" w:rsidRDefault="00B202FC">
            <w:pPr>
              <w:tabs>
                <w:tab w:val="num" w:pos="425"/>
              </w:tabs>
              <w:rPr>
                <w:b/>
                <w:noProof/>
              </w:rPr>
            </w:pPr>
            <w:r w:rsidRPr="00380B24">
              <w:rPr>
                <w:noProof/>
              </w:rPr>
              <w:t xml:space="preserve"> </w:t>
            </w:r>
          </w:p>
          <w:p w14:paraId="0A5354B5" w14:textId="77777777" w:rsidR="00B202FC" w:rsidRPr="00380B24" w:rsidRDefault="00B202FC">
            <w:pPr>
              <w:tabs>
                <w:tab w:val="num" w:pos="425"/>
              </w:tabs>
              <w:rPr>
                <w:b/>
                <w:noProof/>
              </w:rPr>
            </w:pPr>
          </w:p>
          <w:p w14:paraId="39E5689D" w14:textId="77777777" w:rsidR="00B202FC" w:rsidRPr="00380B24" w:rsidRDefault="00B202FC">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30EB261A" w14:textId="77777777" w:rsidR="00B202FC" w:rsidRPr="00380B24" w:rsidRDefault="00B202FC">
            <w:pPr>
              <w:tabs>
                <w:tab w:val="num" w:pos="425"/>
              </w:tabs>
              <w:rPr>
                <w:noProof/>
              </w:rPr>
            </w:pPr>
            <w:r w:rsidRPr="00380B24">
              <w:rPr>
                <w:noProof/>
              </w:rPr>
              <w:t>No monetary costs were projected.</w:t>
            </w:r>
          </w:p>
        </w:tc>
        <w:tc>
          <w:tcPr>
            <w:tcW w:w="564" w:type="pct"/>
            <w:tcMar>
              <w:top w:w="57" w:type="dxa"/>
              <w:left w:w="57" w:type="dxa"/>
              <w:bottom w:w="57" w:type="dxa"/>
              <w:right w:w="57" w:type="dxa"/>
            </w:tcMar>
          </w:tcPr>
          <w:p w14:paraId="48218FD5" w14:textId="77777777" w:rsidR="00B202FC" w:rsidRPr="00380B24" w:rsidRDefault="00B202FC">
            <w:pPr>
              <w:tabs>
                <w:tab w:val="num" w:pos="425"/>
              </w:tabs>
              <w:rPr>
                <w:noProof/>
              </w:rPr>
            </w:pPr>
            <w:r w:rsidRPr="00380B24">
              <w:rPr>
                <w:noProof/>
              </w:rPr>
              <w:t>No direct compliance costs for citizens/consumers identified.</w:t>
            </w:r>
            <w:r w:rsidRPr="00380B24">
              <w:rPr>
                <w:noProof/>
              </w:rPr>
              <w:tab/>
            </w:r>
          </w:p>
        </w:tc>
        <w:tc>
          <w:tcPr>
            <w:tcW w:w="563" w:type="pct"/>
            <w:tcMar>
              <w:top w:w="57" w:type="dxa"/>
              <w:left w:w="57" w:type="dxa"/>
              <w:bottom w:w="57" w:type="dxa"/>
              <w:right w:w="57" w:type="dxa"/>
            </w:tcMar>
          </w:tcPr>
          <w:p w14:paraId="4A97B6CB" w14:textId="77777777" w:rsidR="00B202FC" w:rsidRPr="00380B24" w:rsidRDefault="00B202FC">
            <w:pPr>
              <w:tabs>
                <w:tab w:val="num" w:pos="425"/>
              </w:tabs>
              <w:rPr>
                <w:b/>
                <w:noProof/>
              </w:rPr>
            </w:pPr>
            <w:r w:rsidRPr="00380B24">
              <w:rPr>
                <w:noProof/>
              </w:rPr>
              <w:t>No monetary costs were projected.</w:t>
            </w:r>
          </w:p>
        </w:tc>
        <w:tc>
          <w:tcPr>
            <w:tcW w:w="659" w:type="pct"/>
            <w:tcMar>
              <w:top w:w="57" w:type="dxa"/>
              <w:left w:w="57" w:type="dxa"/>
              <w:bottom w:w="57" w:type="dxa"/>
              <w:right w:w="57" w:type="dxa"/>
            </w:tcMar>
          </w:tcPr>
          <w:p w14:paraId="394C7079" w14:textId="77777777" w:rsidR="00B202FC" w:rsidRPr="00380B24" w:rsidRDefault="00B202FC">
            <w:pPr>
              <w:tabs>
                <w:tab w:val="num" w:pos="425"/>
              </w:tabs>
              <w:rPr>
                <w:b/>
                <w:noProof/>
              </w:rPr>
            </w:pPr>
            <w:r w:rsidRPr="00380B24">
              <w:rPr>
                <w:noProof/>
              </w:rPr>
              <w:t>No direct compliance costs for businesses in the short term, as certification remains voluntary.</w:t>
            </w:r>
            <w:r w:rsidRPr="00380B24">
              <w:rPr>
                <w:noProof/>
              </w:rPr>
              <w:tab/>
            </w:r>
          </w:p>
        </w:tc>
        <w:tc>
          <w:tcPr>
            <w:tcW w:w="704" w:type="pct"/>
            <w:tcMar>
              <w:top w:w="57" w:type="dxa"/>
              <w:left w:w="57" w:type="dxa"/>
              <w:bottom w:w="57" w:type="dxa"/>
              <w:right w:w="57" w:type="dxa"/>
            </w:tcMar>
          </w:tcPr>
          <w:p w14:paraId="4483ACEC" w14:textId="77777777" w:rsidR="00B202FC" w:rsidRPr="00380B24" w:rsidRDefault="00B202FC">
            <w:pPr>
              <w:tabs>
                <w:tab w:val="num" w:pos="425"/>
              </w:tabs>
              <w:rPr>
                <w:noProof/>
              </w:rPr>
            </w:pPr>
            <w:r w:rsidRPr="00380B24">
              <w:rPr>
                <w:b/>
                <w:bCs/>
                <w:noProof/>
              </w:rPr>
              <w:t>ENISA:</w:t>
            </w:r>
            <w:r w:rsidRPr="00380B24">
              <w:rPr>
                <w:noProof/>
              </w:rPr>
              <w:t xml:space="preserve"> +EUR 9-12 million/year (to reach EUR 20-23 million/year); 50 additional staff (36 permanent, 14 external) (recurrent).</w:t>
            </w:r>
          </w:p>
          <w:p w14:paraId="0A8DA0D8" w14:textId="77777777" w:rsidR="00B202FC" w:rsidRPr="00380B24" w:rsidRDefault="00B202FC">
            <w:pPr>
              <w:tabs>
                <w:tab w:val="num" w:pos="425"/>
              </w:tabs>
              <w:rPr>
                <w:noProof/>
              </w:rPr>
            </w:pPr>
            <w:r w:rsidRPr="00380B24">
              <w:rPr>
                <w:b/>
                <w:bCs/>
                <w:noProof/>
              </w:rPr>
              <w:t>ECCF:</w:t>
            </w:r>
            <w:r w:rsidRPr="00380B24">
              <w:rPr>
                <w:noProof/>
              </w:rPr>
              <w:t xml:space="preserve"> Member States: ~EUR 1.6 million/year per authority for personnel, equipment and operations (recurrent).</w:t>
            </w:r>
          </w:p>
          <w:p w14:paraId="76604067" w14:textId="77777777" w:rsidR="00B202FC" w:rsidRPr="00380B24" w:rsidRDefault="00B202FC">
            <w:pPr>
              <w:tabs>
                <w:tab w:val="num" w:pos="425"/>
              </w:tabs>
              <w:rPr>
                <w:noProof/>
              </w:rPr>
            </w:pPr>
            <w:r w:rsidRPr="00380B24">
              <w:rPr>
                <w:b/>
                <w:bCs/>
                <w:noProof/>
              </w:rPr>
              <w:t>EU Commission:</w:t>
            </w:r>
            <w:r w:rsidRPr="00380B24">
              <w:rPr>
                <w:noProof/>
              </w:rPr>
              <w:t xml:space="preserve"> 3 FTEs for scheme adoption (recurrent).</w:t>
            </w:r>
          </w:p>
          <w:p w14:paraId="6593A9A0" w14:textId="77777777" w:rsidR="00B202FC" w:rsidRPr="00380B24" w:rsidRDefault="00B202FC">
            <w:pPr>
              <w:tabs>
                <w:tab w:val="num" w:pos="425"/>
              </w:tabs>
              <w:rPr>
                <w:b/>
                <w:noProof/>
              </w:rPr>
            </w:pPr>
            <w:r w:rsidRPr="00380B24">
              <w:rPr>
                <w:b/>
                <w:bCs/>
                <w:noProof/>
              </w:rPr>
              <w:t>Expert group:</w:t>
            </w:r>
            <w:r w:rsidRPr="00380B24">
              <w:rPr>
                <w:noProof/>
              </w:rPr>
              <w:t xml:space="preserve"> EUR 16 000-17 000/year (recurrent).</w:t>
            </w:r>
            <w:r w:rsidRPr="00380B24">
              <w:rPr>
                <w:noProof/>
              </w:rPr>
              <w:tab/>
            </w:r>
          </w:p>
        </w:tc>
        <w:tc>
          <w:tcPr>
            <w:tcW w:w="752" w:type="pct"/>
            <w:tcBorders>
              <w:top w:val="single" w:sz="4" w:space="0" w:color="auto"/>
              <w:bottom w:val="double" w:sz="4" w:space="0" w:color="auto"/>
            </w:tcBorders>
          </w:tcPr>
          <w:p w14:paraId="6CDF42DA" w14:textId="77777777" w:rsidR="00B202FC" w:rsidRPr="00380B24" w:rsidRDefault="00B202FC">
            <w:pPr>
              <w:tabs>
                <w:tab w:val="num" w:pos="425"/>
              </w:tabs>
              <w:rPr>
                <w:b/>
                <w:noProof/>
              </w:rPr>
            </w:pPr>
            <w:r w:rsidRPr="00380B24">
              <w:rPr>
                <w:noProof/>
              </w:rPr>
              <w:t>ENISA costs mostly borne by EU budget; ECCF costs for Member States relate to setting up and running certification authorities.</w:t>
            </w:r>
            <w:r w:rsidRPr="00380B24">
              <w:rPr>
                <w:noProof/>
              </w:rPr>
              <w:tab/>
            </w:r>
          </w:p>
        </w:tc>
      </w:tr>
      <w:tr w:rsidR="00B202FC" w:rsidRPr="00380B24" w14:paraId="3222AD80" w14:textId="77777777">
        <w:trPr>
          <w:trHeight w:val="1108"/>
        </w:trPr>
        <w:tc>
          <w:tcPr>
            <w:tcW w:w="1260" w:type="pct"/>
            <w:tcBorders>
              <w:right w:val="double" w:sz="4" w:space="0" w:color="auto"/>
            </w:tcBorders>
            <w:tcMar>
              <w:top w:w="57" w:type="dxa"/>
              <w:left w:w="57" w:type="dxa"/>
              <w:bottom w:w="57" w:type="dxa"/>
              <w:right w:w="57" w:type="dxa"/>
            </w:tcMar>
            <w:vAlign w:val="center"/>
          </w:tcPr>
          <w:p w14:paraId="4DBE3B86" w14:textId="77777777" w:rsidR="00B202FC" w:rsidRPr="00380B24" w:rsidRDefault="00B202FC">
            <w:pPr>
              <w:tabs>
                <w:tab w:val="num" w:pos="425"/>
              </w:tabs>
              <w:rPr>
                <w:noProof/>
                <w:sz w:val="16"/>
                <w:szCs w:val="16"/>
              </w:rPr>
            </w:pPr>
            <w:r w:rsidRPr="00380B24">
              <w:rPr>
                <w:b/>
                <w:noProof/>
              </w:rPr>
              <w:t xml:space="preserve">Enforcement costs: </w:t>
            </w:r>
            <w:r w:rsidRPr="00380B24">
              <w:rPr>
                <w:noProof/>
                <w:sz w:val="16"/>
                <w:szCs w:val="16"/>
              </w:rPr>
              <w:t>(costs associated with activities linked to implementing an initiative, such as monitoring, inspections and adjudication/litigation)</w:t>
            </w:r>
          </w:p>
          <w:p w14:paraId="15FE6AEF" w14:textId="77777777" w:rsidR="00B202FC" w:rsidRPr="00380B24" w:rsidRDefault="00B202FC">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5C5911D6" w14:textId="77777777" w:rsidR="00B202FC" w:rsidRPr="00380B24" w:rsidRDefault="00B202FC">
            <w:pPr>
              <w:tabs>
                <w:tab w:val="num" w:pos="425"/>
              </w:tabs>
              <w:rPr>
                <w:noProof/>
              </w:rPr>
            </w:pPr>
            <w:r w:rsidRPr="00380B24">
              <w:rPr>
                <w:noProof/>
              </w:rPr>
              <w:t>No monetary costs were projected.</w:t>
            </w:r>
          </w:p>
        </w:tc>
        <w:tc>
          <w:tcPr>
            <w:tcW w:w="564" w:type="pct"/>
            <w:tcMar>
              <w:top w:w="57" w:type="dxa"/>
              <w:left w:w="57" w:type="dxa"/>
              <w:bottom w:w="57" w:type="dxa"/>
              <w:right w:w="57" w:type="dxa"/>
            </w:tcMar>
          </w:tcPr>
          <w:p w14:paraId="600E35BA" w14:textId="77777777" w:rsidR="00B202FC" w:rsidRPr="00380B24" w:rsidRDefault="00B202FC">
            <w:pPr>
              <w:tabs>
                <w:tab w:val="num" w:pos="425"/>
              </w:tabs>
              <w:rPr>
                <w:noProof/>
              </w:rPr>
            </w:pPr>
            <w:r w:rsidRPr="00380B24">
              <w:rPr>
                <w:noProof/>
              </w:rPr>
              <w:t>Not specified.</w:t>
            </w:r>
          </w:p>
        </w:tc>
        <w:tc>
          <w:tcPr>
            <w:tcW w:w="563" w:type="pct"/>
            <w:tcMar>
              <w:top w:w="57" w:type="dxa"/>
              <w:left w:w="57" w:type="dxa"/>
              <w:bottom w:w="57" w:type="dxa"/>
              <w:right w:w="57" w:type="dxa"/>
            </w:tcMar>
          </w:tcPr>
          <w:p w14:paraId="1C300B7F" w14:textId="77777777" w:rsidR="00B202FC" w:rsidRPr="00380B24" w:rsidRDefault="00B202FC">
            <w:pPr>
              <w:tabs>
                <w:tab w:val="num" w:pos="425"/>
              </w:tabs>
              <w:rPr>
                <w:noProof/>
              </w:rPr>
            </w:pPr>
            <w:r w:rsidRPr="00380B24">
              <w:rPr>
                <w:noProof/>
              </w:rPr>
              <w:t>No monetary costs were projected.</w:t>
            </w:r>
          </w:p>
        </w:tc>
        <w:tc>
          <w:tcPr>
            <w:tcW w:w="659" w:type="pct"/>
            <w:tcMar>
              <w:top w:w="57" w:type="dxa"/>
              <w:left w:w="57" w:type="dxa"/>
              <w:bottom w:w="57" w:type="dxa"/>
              <w:right w:w="57" w:type="dxa"/>
            </w:tcMar>
          </w:tcPr>
          <w:p w14:paraId="7A35C254" w14:textId="77777777" w:rsidR="00B202FC" w:rsidRPr="00380B24" w:rsidRDefault="00B202FC">
            <w:pPr>
              <w:tabs>
                <w:tab w:val="num" w:pos="425"/>
              </w:tabs>
              <w:rPr>
                <w:noProof/>
              </w:rPr>
            </w:pPr>
            <w:r w:rsidRPr="00380B24">
              <w:rPr>
                <w:noProof/>
              </w:rPr>
              <w:t>Not specified for businesses.</w:t>
            </w:r>
            <w:r w:rsidRPr="00380B24">
              <w:rPr>
                <w:noProof/>
              </w:rPr>
              <w:tab/>
            </w:r>
          </w:p>
        </w:tc>
        <w:tc>
          <w:tcPr>
            <w:tcW w:w="704" w:type="pct"/>
            <w:tcMar>
              <w:top w:w="57" w:type="dxa"/>
              <w:left w:w="57" w:type="dxa"/>
              <w:bottom w:w="57" w:type="dxa"/>
              <w:right w:w="57" w:type="dxa"/>
            </w:tcMar>
          </w:tcPr>
          <w:p w14:paraId="7B6CFD62" w14:textId="77777777" w:rsidR="00B202FC" w:rsidRPr="00380B24" w:rsidRDefault="00B202FC">
            <w:pPr>
              <w:tabs>
                <w:tab w:val="num" w:pos="425"/>
              </w:tabs>
              <w:rPr>
                <w:noProof/>
              </w:rPr>
            </w:pPr>
            <w:r w:rsidRPr="00380B24">
              <w:rPr>
                <w:b/>
                <w:bCs/>
                <w:noProof/>
              </w:rPr>
              <w:t>Member States:</w:t>
            </w:r>
            <w:r w:rsidRPr="00380B24">
              <w:rPr>
                <w:noProof/>
              </w:rPr>
              <w:t xml:space="preserve"> ~EUR 290 000-300 000/year per authority for enforcement and supervision (recurrent).</w:t>
            </w:r>
          </w:p>
        </w:tc>
        <w:tc>
          <w:tcPr>
            <w:tcW w:w="752" w:type="pct"/>
            <w:tcBorders>
              <w:top w:val="double" w:sz="4" w:space="0" w:color="auto"/>
              <w:bottom w:val="double" w:sz="4" w:space="0" w:color="auto"/>
            </w:tcBorders>
          </w:tcPr>
          <w:p w14:paraId="1F4195F5" w14:textId="77777777" w:rsidR="00B202FC" w:rsidRPr="00380B24" w:rsidRDefault="00B202FC">
            <w:pPr>
              <w:tabs>
                <w:tab w:val="num" w:pos="425"/>
              </w:tabs>
              <w:rPr>
                <w:noProof/>
              </w:rPr>
            </w:pPr>
            <w:r w:rsidRPr="00380B24">
              <w:rPr>
                <w:noProof/>
              </w:rPr>
              <w:t>Applies to operational management of certification authorities.</w:t>
            </w:r>
            <w:r w:rsidRPr="00380B24">
              <w:rPr>
                <w:noProof/>
              </w:rPr>
              <w:tab/>
            </w:r>
          </w:p>
        </w:tc>
      </w:tr>
      <w:tr w:rsidR="00B202FC" w:rsidRPr="00380B24" w14:paraId="0A6D9ACE" w14:textId="77777777">
        <w:trPr>
          <w:trHeight w:val="1108"/>
        </w:trPr>
        <w:tc>
          <w:tcPr>
            <w:tcW w:w="1260" w:type="pct"/>
            <w:tcBorders>
              <w:right w:val="double" w:sz="4" w:space="0" w:color="auto"/>
            </w:tcBorders>
            <w:tcMar>
              <w:top w:w="57" w:type="dxa"/>
              <w:left w:w="57" w:type="dxa"/>
              <w:bottom w:w="57" w:type="dxa"/>
              <w:right w:w="57" w:type="dxa"/>
            </w:tcMar>
            <w:vAlign w:val="center"/>
          </w:tcPr>
          <w:p w14:paraId="7766C4A3" w14:textId="77777777" w:rsidR="00B202FC" w:rsidRPr="00380B24" w:rsidRDefault="00B202FC">
            <w:pPr>
              <w:tabs>
                <w:tab w:val="num" w:pos="425"/>
              </w:tabs>
              <w:rPr>
                <w:noProof/>
              </w:rPr>
            </w:pPr>
            <w:r w:rsidRPr="00380B24">
              <w:rPr>
                <w:b/>
                <w:noProof/>
              </w:rPr>
              <w:t>Indirect costs</w:t>
            </w:r>
            <w:r w:rsidRPr="00380B24">
              <w:rPr>
                <w:noProof/>
              </w:rPr>
              <w:t xml:space="preserve"> </w:t>
            </w:r>
            <w:r w:rsidRPr="00380B24">
              <w:rPr>
                <w:noProof/>
                <w:sz w:val="16"/>
                <w:szCs w:val="16"/>
              </w:rPr>
              <w:t>(indirect compliance costs or other indirect costs such as transaction costs)</w:t>
            </w:r>
          </w:p>
          <w:p w14:paraId="3C92A9CF" w14:textId="77777777" w:rsidR="00B202FC" w:rsidRPr="00380B24" w:rsidRDefault="00B202FC">
            <w:pPr>
              <w:tabs>
                <w:tab w:val="num" w:pos="425"/>
              </w:tabs>
              <w:rPr>
                <w:b/>
                <w:i/>
                <w:noProof/>
              </w:rPr>
            </w:pPr>
          </w:p>
          <w:p w14:paraId="61894922" w14:textId="77777777" w:rsidR="00B202FC" w:rsidRPr="00380B24" w:rsidRDefault="00B202FC">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6AC77C82" w14:textId="77777777" w:rsidR="00B202FC" w:rsidRPr="00380B24" w:rsidRDefault="00B202FC">
            <w:pPr>
              <w:tabs>
                <w:tab w:val="num" w:pos="425"/>
              </w:tabs>
              <w:rPr>
                <w:noProof/>
              </w:rPr>
            </w:pPr>
            <w:r w:rsidRPr="00380B24">
              <w:rPr>
                <w:noProof/>
              </w:rPr>
              <w:t>No monetary costs were projected.</w:t>
            </w:r>
          </w:p>
        </w:tc>
        <w:tc>
          <w:tcPr>
            <w:tcW w:w="564" w:type="pct"/>
            <w:tcMar>
              <w:top w:w="57" w:type="dxa"/>
              <w:left w:w="57" w:type="dxa"/>
              <w:bottom w:w="57" w:type="dxa"/>
              <w:right w:w="57" w:type="dxa"/>
            </w:tcMar>
          </w:tcPr>
          <w:p w14:paraId="02007B4B" w14:textId="77777777" w:rsidR="00B202FC" w:rsidRPr="00380B24" w:rsidRDefault="00B202FC">
            <w:pPr>
              <w:tabs>
                <w:tab w:val="num" w:pos="425"/>
              </w:tabs>
              <w:rPr>
                <w:noProof/>
              </w:rPr>
            </w:pPr>
            <w:r w:rsidRPr="00380B24">
              <w:rPr>
                <w:noProof/>
              </w:rPr>
              <w:t>Not specified.</w:t>
            </w:r>
          </w:p>
        </w:tc>
        <w:tc>
          <w:tcPr>
            <w:tcW w:w="563" w:type="pct"/>
            <w:tcMar>
              <w:top w:w="57" w:type="dxa"/>
              <w:left w:w="57" w:type="dxa"/>
              <w:bottom w:w="57" w:type="dxa"/>
              <w:right w:w="57" w:type="dxa"/>
            </w:tcMar>
          </w:tcPr>
          <w:p w14:paraId="6786ADA8" w14:textId="77777777" w:rsidR="00B202FC" w:rsidRPr="00380B24" w:rsidRDefault="00B202FC">
            <w:pPr>
              <w:tabs>
                <w:tab w:val="num" w:pos="425"/>
              </w:tabs>
              <w:rPr>
                <w:noProof/>
              </w:rPr>
            </w:pPr>
            <w:r w:rsidRPr="00380B24">
              <w:rPr>
                <w:noProof/>
              </w:rPr>
              <w:t>No monetary costs were projected.</w:t>
            </w:r>
          </w:p>
        </w:tc>
        <w:tc>
          <w:tcPr>
            <w:tcW w:w="659" w:type="pct"/>
            <w:tcMar>
              <w:top w:w="57" w:type="dxa"/>
              <w:left w:w="57" w:type="dxa"/>
              <w:bottom w:w="57" w:type="dxa"/>
              <w:right w:w="57" w:type="dxa"/>
            </w:tcMar>
          </w:tcPr>
          <w:p w14:paraId="34C0F5D4" w14:textId="77777777" w:rsidR="00B202FC" w:rsidRPr="00380B24" w:rsidRDefault="00B202FC">
            <w:pPr>
              <w:tabs>
                <w:tab w:val="num" w:pos="425"/>
              </w:tabs>
              <w:rPr>
                <w:noProof/>
              </w:rPr>
            </w:pPr>
            <w:r w:rsidRPr="00380B24">
              <w:rPr>
                <w:noProof/>
              </w:rPr>
              <w:t>Not specified for businesses</w:t>
            </w:r>
            <w:r w:rsidRPr="00380B24">
              <w:rPr>
                <w:noProof/>
              </w:rPr>
              <w:tab/>
            </w:r>
          </w:p>
        </w:tc>
        <w:tc>
          <w:tcPr>
            <w:tcW w:w="704" w:type="pct"/>
            <w:tcMar>
              <w:top w:w="57" w:type="dxa"/>
              <w:left w:w="57" w:type="dxa"/>
              <w:bottom w:w="57" w:type="dxa"/>
              <w:right w:w="57" w:type="dxa"/>
            </w:tcMar>
          </w:tcPr>
          <w:p w14:paraId="69A390CB" w14:textId="77777777" w:rsidR="00B202FC" w:rsidRPr="00380B24" w:rsidRDefault="00B202FC">
            <w:pPr>
              <w:tabs>
                <w:tab w:val="num" w:pos="425"/>
              </w:tabs>
              <w:rPr>
                <w:noProof/>
              </w:rPr>
            </w:pPr>
            <w:r w:rsidRPr="00380B24">
              <w:rPr>
                <w:noProof/>
              </w:rPr>
              <w:t>No monetary costs were projected.</w:t>
            </w:r>
          </w:p>
        </w:tc>
        <w:tc>
          <w:tcPr>
            <w:tcW w:w="752" w:type="pct"/>
            <w:tcBorders>
              <w:top w:val="double" w:sz="4" w:space="0" w:color="auto"/>
              <w:bottom w:val="double" w:sz="4" w:space="0" w:color="auto"/>
            </w:tcBorders>
          </w:tcPr>
          <w:p w14:paraId="42F6A03A" w14:textId="77777777" w:rsidR="00B202FC" w:rsidRPr="00380B24" w:rsidRDefault="00B202FC">
            <w:pPr>
              <w:tabs>
                <w:tab w:val="num" w:pos="425"/>
              </w:tabs>
              <w:rPr>
                <w:noProof/>
              </w:rPr>
            </w:pPr>
            <w:r w:rsidRPr="00380B24">
              <w:rPr>
                <w:noProof/>
              </w:rPr>
              <w:t>Not specified.</w:t>
            </w:r>
          </w:p>
        </w:tc>
      </w:tr>
      <w:tr w:rsidR="00B202FC" w:rsidRPr="00380B24" w14:paraId="70D1D452" w14:textId="77777777">
        <w:trPr>
          <w:trHeight w:val="299"/>
        </w:trPr>
        <w:tc>
          <w:tcPr>
            <w:tcW w:w="5000" w:type="pct"/>
            <w:gridSpan w:val="7"/>
            <w:tcMar>
              <w:top w:w="57" w:type="dxa"/>
              <w:left w:w="57" w:type="dxa"/>
              <w:bottom w:w="57" w:type="dxa"/>
              <w:right w:w="57" w:type="dxa"/>
            </w:tcMar>
            <w:vAlign w:val="center"/>
          </w:tcPr>
          <w:p w14:paraId="29D87A20" w14:textId="77777777" w:rsidR="00B202FC" w:rsidRPr="00380B24" w:rsidRDefault="00B202FC">
            <w:pPr>
              <w:tabs>
                <w:tab w:val="num" w:pos="425"/>
              </w:tabs>
              <w:jc w:val="center"/>
              <w:rPr>
                <w:noProof/>
              </w:rPr>
            </w:pPr>
            <w:r w:rsidRPr="00380B24">
              <w:rPr>
                <w:b/>
                <w:noProof/>
              </w:rPr>
              <w:t>Benefits</w:t>
            </w:r>
          </w:p>
        </w:tc>
      </w:tr>
      <w:tr w:rsidR="00B202FC" w:rsidRPr="00380B24" w14:paraId="4351E3D0" w14:textId="77777777">
        <w:trPr>
          <w:trHeight w:val="1108"/>
        </w:trPr>
        <w:tc>
          <w:tcPr>
            <w:tcW w:w="1260" w:type="pct"/>
            <w:tcBorders>
              <w:right w:val="double" w:sz="4" w:space="0" w:color="auto"/>
            </w:tcBorders>
            <w:tcMar>
              <w:top w:w="57" w:type="dxa"/>
              <w:left w:w="57" w:type="dxa"/>
              <w:bottom w:w="57" w:type="dxa"/>
              <w:right w:w="57" w:type="dxa"/>
            </w:tcMar>
            <w:vAlign w:val="center"/>
          </w:tcPr>
          <w:p w14:paraId="3CCB3E8F" w14:textId="77777777" w:rsidR="00B202FC" w:rsidRPr="00380B24" w:rsidRDefault="00B202FC">
            <w:pPr>
              <w:tabs>
                <w:tab w:val="num" w:pos="425"/>
              </w:tabs>
              <w:rPr>
                <w:noProof/>
              </w:rPr>
            </w:pPr>
            <w:r w:rsidRPr="00380B24">
              <w:rPr>
                <w:b/>
                <w:noProof/>
              </w:rPr>
              <w:t>Direct benefits</w:t>
            </w:r>
            <w:r w:rsidRPr="00380B24">
              <w:rPr>
                <w:noProof/>
              </w:rPr>
              <w:t xml:space="preserve"> </w:t>
            </w:r>
            <w:r w:rsidRPr="00380B24">
              <w:rPr>
                <w:noProof/>
                <w:sz w:val="16"/>
                <w:szCs w:val="16"/>
              </w:rPr>
              <w:t>(such as improved wellbeing, changes in pollution levels, safety, health, employment, market efficiency)</w:t>
            </w:r>
          </w:p>
          <w:p w14:paraId="5C2BB5A9" w14:textId="77777777" w:rsidR="00B202FC" w:rsidRPr="00380B24" w:rsidRDefault="00B202FC">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13E4F9B3" w14:textId="77777777" w:rsidR="00B202FC" w:rsidRPr="00380B24" w:rsidRDefault="00B202FC">
            <w:pPr>
              <w:tabs>
                <w:tab w:val="num" w:pos="425"/>
              </w:tabs>
              <w:rPr>
                <w:noProof/>
              </w:rPr>
            </w:pPr>
            <w:r w:rsidRPr="00380B24">
              <w:rPr>
                <w:noProof/>
              </w:rPr>
              <w:t>No monetary costs were projected.</w:t>
            </w:r>
          </w:p>
        </w:tc>
        <w:tc>
          <w:tcPr>
            <w:tcW w:w="564" w:type="pct"/>
            <w:tcMar>
              <w:top w:w="57" w:type="dxa"/>
              <w:left w:w="57" w:type="dxa"/>
              <w:bottom w:w="57" w:type="dxa"/>
              <w:right w:w="57" w:type="dxa"/>
            </w:tcMar>
          </w:tcPr>
          <w:p w14:paraId="524C11AE" w14:textId="77777777" w:rsidR="00B202FC" w:rsidRPr="00380B24" w:rsidRDefault="00B202FC">
            <w:pPr>
              <w:tabs>
                <w:tab w:val="num" w:pos="425"/>
              </w:tabs>
              <w:rPr>
                <w:noProof/>
              </w:rPr>
            </w:pPr>
            <w:r w:rsidRPr="00380B24">
              <w:rPr>
                <w:noProof/>
              </w:rPr>
              <w:t>Not directly quantified. Expected reduction in cyber incidents and improved trust and security (recurrent).</w:t>
            </w:r>
          </w:p>
        </w:tc>
        <w:tc>
          <w:tcPr>
            <w:tcW w:w="563" w:type="pct"/>
            <w:tcMar>
              <w:top w:w="57" w:type="dxa"/>
              <w:left w:w="57" w:type="dxa"/>
              <w:bottom w:w="57" w:type="dxa"/>
              <w:right w:w="57" w:type="dxa"/>
            </w:tcMar>
          </w:tcPr>
          <w:p w14:paraId="4B4F2F41" w14:textId="77777777" w:rsidR="00B202FC" w:rsidRPr="00380B24" w:rsidRDefault="00B202FC">
            <w:pPr>
              <w:tabs>
                <w:tab w:val="num" w:pos="425"/>
              </w:tabs>
              <w:rPr>
                <w:noProof/>
              </w:rPr>
            </w:pPr>
            <w:r w:rsidRPr="00380B24">
              <w:rPr>
                <w:noProof/>
              </w:rPr>
              <w:t>No monetary costs were projected.</w:t>
            </w:r>
          </w:p>
        </w:tc>
        <w:tc>
          <w:tcPr>
            <w:tcW w:w="659" w:type="pct"/>
            <w:tcMar>
              <w:top w:w="57" w:type="dxa"/>
              <w:left w:w="57" w:type="dxa"/>
              <w:bottom w:w="57" w:type="dxa"/>
              <w:right w:w="57" w:type="dxa"/>
            </w:tcMar>
          </w:tcPr>
          <w:p w14:paraId="37D4B1CC" w14:textId="77777777" w:rsidR="00B202FC" w:rsidRPr="00380B24" w:rsidRDefault="00B202FC">
            <w:pPr>
              <w:tabs>
                <w:tab w:val="num" w:pos="425"/>
              </w:tabs>
              <w:rPr>
                <w:noProof/>
              </w:rPr>
            </w:pPr>
            <w:r w:rsidRPr="00380B24">
              <w:rPr>
                <w:noProof/>
              </w:rPr>
              <w:t>Direct benefits from reduced investment in commercial analyses/reports; free access to ENISA outputs; improved competitiveness; reduced market-entry barriers for SMEs; and access to wider cybersecurity market (recurrent).</w:t>
            </w:r>
          </w:p>
        </w:tc>
        <w:tc>
          <w:tcPr>
            <w:tcW w:w="704" w:type="pct"/>
            <w:tcMar>
              <w:top w:w="57" w:type="dxa"/>
              <w:left w:w="57" w:type="dxa"/>
              <w:bottom w:w="57" w:type="dxa"/>
              <w:right w:w="57" w:type="dxa"/>
            </w:tcMar>
          </w:tcPr>
          <w:p w14:paraId="75B5A923" w14:textId="77777777" w:rsidR="00B202FC" w:rsidRPr="00380B24" w:rsidRDefault="00B202FC">
            <w:pPr>
              <w:tabs>
                <w:tab w:val="num" w:pos="425"/>
              </w:tabs>
              <w:rPr>
                <w:noProof/>
              </w:rPr>
            </w:pPr>
            <w:r w:rsidRPr="00380B24">
              <w:rPr>
                <w:noProof/>
              </w:rPr>
              <w:t>No monetary costs were projected.</w:t>
            </w:r>
          </w:p>
        </w:tc>
        <w:tc>
          <w:tcPr>
            <w:tcW w:w="752" w:type="pct"/>
            <w:tcBorders>
              <w:top w:val="double" w:sz="4" w:space="0" w:color="auto"/>
              <w:bottom w:val="double" w:sz="4" w:space="0" w:color="auto"/>
            </w:tcBorders>
          </w:tcPr>
          <w:p w14:paraId="55268F3C" w14:textId="77777777" w:rsidR="00B202FC" w:rsidRPr="00380B24" w:rsidRDefault="00B202FC">
            <w:pPr>
              <w:tabs>
                <w:tab w:val="num" w:pos="425"/>
              </w:tabs>
              <w:rPr>
                <w:noProof/>
              </w:rPr>
            </w:pPr>
            <w:r w:rsidRPr="00380B24">
              <w:rPr>
                <w:noProof/>
              </w:rPr>
              <w:t>Efficiency gains for EU budget; economies of scale in information collection and operational cooperation; reduced need for new EU body (saves EUR 21.9 million in set-up costs) (one-off).</w:t>
            </w:r>
          </w:p>
        </w:tc>
      </w:tr>
      <w:tr w:rsidR="00B202FC" w:rsidRPr="00380B24" w14:paraId="710D5901" w14:textId="77777777">
        <w:trPr>
          <w:trHeight w:val="1108"/>
        </w:trPr>
        <w:tc>
          <w:tcPr>
            <w:tcW w:w="1260" w:type="pct"/>
            <w:tcBorders>
              <w:right w:val="double" w:sz="4" w:space="0" w:color="auto"/>
            </w:tcBorders>
            <w:tcMar>
              <w:top w:w="57" w:type="dxa"/>
              <w:left w:w="57" w:type="dxa"/>
              <w:bottom w:w="57" w:type="dxa"/>
              <w:right w:w="57" w:type="dxa"/>
            </w:tcMar>
            <w:vAlign w:val="center"/>
          </w:tcPr>
          <w:p w14:paraId="379D756F" w14:textId="77777777" w:rsidR="00B202FC" w:rsidRPr="00380B24" w:rsidRDefault="00B202FC">
            <w:pPr>
              <w:tabs>
                <w:tab w:val="num" w:pos="425"/>
              </w:tabs>
              <w:rPr>
                <w:b/>
                <w:noProof/>
              </w:rPr>
            </w:pPr>
            <w:r w:rsidRPr="00380B24">
              <w:rPr>
                <w:b/>
                <w:noProof/>
              </w:rPr>
              <w:t>Indirect benefits</w:t>
            </w:r>
            <w:r w:rsidRPr="00380B24">
              <w:rPr>
                <w:noProof/>
              </w:rPr>
              <w:t xml:space="preserve"> </w:t>
            </w:r>
            <w:r w:rsidRPr="00380B24">
              <w:rPr>
                <w:noProof/>
                <w:sz w:val="16"/>
                <w:szCs w:val="16"/>
              </w:rPr>
              <w:t>(such as wider economic benefits, macroeconomic benefits, social impacts, environmental impacts)</w:t>
            </w:r>
          </w:p>
        </w:tc>
        <w:tc>
          <w:tcPr>
            <w:tcW w:w="497" w:type="pct"/>
            <w:tcBorders>
              <w:left w:val="double" w:sz="4" w:space="0" w:color="auto"/>
            </w:tcBorders>
            <w:tcMar>
              <w:top w:w="57" w:type="dxa"/>
              <w:left w:w="57" w:type="dxa"/>
              <w:bottom w:w="57" w:type="dxa"/>
              <w:right w:w="57" w:type="dxa"/>
            </w:tcMar>
          </w:tcPr>
          <w:p w14:paraId="2EAEF91E" w14:textId="77777777" w:rsidR="00B202FC" w:rsidRPr="00380B24" w:rsidRDefault="00B202FC">
            <w:pPr>
              <w:tabs>
                <w:tab w:val="num" w:pos="425"/>
              </w:tabs>
              <w:rPr>
                <w:noProof/>
              </w:rPr>
            </w:pPr>
            <w:r w:rsidRPr="00380B24">
              <w:rPr>
                <w:noProof/>
              </w:rPr>
              <w:t>No monetary costs were projected.</w:t>
            </w:r>
          </w:p>
        </w:tc>
        <w:tc>
          <w:tcPr>
            <w:tcW w:w="564" w:type="pct"/>
            <w:tcMar>
              <w:top w:w="57" w:type="dxa"/>
              <w:left w:w="57" w:type="dxa"/>
              <w:bottom w:w="57" w:type="dxa"/>
              <w:right w:w="57" w:type="dxa"/>
            </w:tcMar>
          </w:tcPr>
          <w:p w14:paraId="0997CCEB" w14:textId="77777777" w:rsidR="00B202FC" w:rsidRPr="00380B24" w:rsidRDefault="00B202FC">
            <w:pPr>
              <w:tabs>
                <w:tab w:val="num" w:pos="425"/>
              </w:tabs>
              <w:rPr>
                <w:noProof/>
              </w:rPr>
            </w:pPr>
            <w:r w:rsidRPr="00380B24">
              <w:rPr>
                <w:noProof/>
              </w:rPr>
              <w:t>Not specified.</w:t>
            </w:r>
          </w:p>
        </w:tc>
        <w:tc>
          <w:tcPr>
            <w:tcW w:w="563" w:type="pct"/>
            <w:tcMar>
              <w:top w:w="57" w:type="dxa"/>
              <w:left w:w="57" w:type="dxa"/>
              <w:bottom w:w="57" w:type="dxa"/>
              <w:right w:w="57" w:type="dxa"/>
            </w:tcMar>
          </w:tcPr>
          <w:p w14:paraId="1F9CFEC2" w14:textId="77777777" w:rsidR="00B202FC" w:rsidRPr="00380B24" w:rsidRDefault="00B202FC">
            <w:pPr>
              <w:tabs>
                <w:tab w:val="num" w:pos="425"/>
              </w:tabs>
              <w:rPr>
                <w:noProof/>
              </w:rPr>
            </w:pPr>
            <w:r w:rsidRPr="00380B24">
              <w:rPr>
                <w:noProof/>
              </w:rPr>
              <w:t>Expected reduction in costs of cybercrime incidents (currently ~0.41% of EU GDP, ~EUR 55 billion/year) (recurrent).</w:t>
            </w:r>
          </w:p>
        </w:tc>
        <w:tc>
          <w:tcPr>
            <w:tcW w:w="659" w:type="pct"/>
            <w:tcMar>
              <w:top w:w="57" w:type="dxa"/>
              <w:left w:w="57" w:type="dxa"/>
              <w:bottom w:w="57" w:type="dxa"/>
              <w:right w:w="57" w:type="dxa"/>
            </w:tcMar>
          </w:tcPr>
          <w:p w14:paraId="64E61278" w14:textId="77777777" w:rsidR="00B202FC" w:rsidRPr="00380B24" w:rsidRDefault="00B202FC">
            <w:pPr>
              <w:tabs>
                <w:tab w:val="num" w:pos="425"/>
              </w:tabs>
              <w:rPr>
                <w:noProof/>
              </w:rPr>
            </w:pPr>
            <w:r w:rsidRPr="00380B24">
              <w:rPr>
                <w:noProof/>
              </w:rPr>
              <w:t>Indirect benefits from harmonised policy; reduced administrative burden; mutual recognition of certificates; increased trust in digital solutions; and improved access to public procurement (recurrent).</w:t>
            </w:r>
          </w:p>
        </w:tc>
        <w:tc>
          <w:tcPr>
            <w:tcW w:w="704" w:type="pct"/>
            <w:tcMar>
              <w:top w:w="57" w:type="dxa"/>
              <w:left w:w="57" w:type="dxa"/>
              <w:bottom w:w="57" w:type="dxa"/>
              <w:right w:w="57" w:type="dxa"/>
            </w:tcMar>
          </w:tcPr>
          <w:p w14:paraId="695F760F" w14:textId="77777777" w:rsidR="00B202FC" w:rsidRPr="00380B24" w:rsidRDefault="00B202FC">
            <w:pPr>
              <w:tabs>
                <w:tab w:val="num" w:pos="425"/>
              </w:tabs>
              <w:rPr>
                <w:noProof/>
              </w:rPr>
            </w:pPr>
            <w:r w:rsidRPr="00380B24">
              <w:rPr>
                <w:noProof/>
              </w:rPr>
              <w:t>No monetary costs were projected.</w:t>
            </w:r>
          </w:p>
        </w:tc>
        <w:tc>
          <w:tcPr>
            <w:tcW w:w="752" w:type="pct"/>
            <w:tcBorders>
              <w:top w:val="double" w:sz="4" w:space="0" w:color="auto"/>
              <w:bottom w:val="double" w:sz="4" w:space="0" w:color="auto"/>
            </w:tcBorders>
          </w:tcPr>
          <w:p w14:paraId="0E410FF1" w14:textId="77777777" w:rsidR="00B202FC" w:rsidRPr="00380B24" w:rsidRDefault="00B202FC">
            <w:pPr>
              <w:tabs>
                <w:tab w:val="num" w:pos="425"/>
              </w:tabs>
              <w:rPr>
                <w:noProof/>
              </w:rPr>
            </w:pPr>
            <w:r w:rsidRPr="00380B24">
              <w:rPr>
                <w:noProof/>
              </w:rPr>
              <w:t>Member States benefit from economies of scale, reduced duplication and more harmonised approaches.</w:t>
            </w:r>
          </w:p>
        </w:tc>
      </w:tr>
    </w:tbl>
    <w:tbl>
      <w:tblPr>
        <w:tblStyle w:val="CV11"/>
        <w:tblW w:w="5057"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997"/>
        <w:gridCol w:w="1739"/>
        <w:gridCol w:w="2010"/>
        <w:gridCol w:w="1603"/>
        <w:gridCol w:w="1884"/>
        <w:gridCol w:w="2001"/>
        <w:gridCol w:w="1998"/>
      </w:tblGrid>
      <w:tr w:rsidR="00B202FC" w:rsidRPr="00380B24" w14:paraId="65B4F2E7" w14:textId="77777777">
        <w:tc>
          <w:tcPr>
            <w:tcW w:w="5000" w:type="pct"/>
            <w:gridSpan w:val="7"/>
            <w:tcBorders>
              <w:top w:val="double" w:sz="4" w:space="0" w:color="auto"/>
            </w:tcBorders>
            <w:shd w:val="clear" w:color="auto" w:fill="FDE9D9" w:themeFill="accent6" w:themeFillTint="33"/>
            <w:tcMar>
              <w:top w:w="57" w:type="dxa"/>
              <w:left w:w="57" w:type="dxa"/>
              <w:bottom w:w="57" w:type="dxa"/>
              <w:right w:w="57" w:type="dxa"/>
            </w:tcMar>
          </w:tcPr>
          <w:p w14:paraId="281C6E01" w14:textId="77777777" w:rsidR="00B202FC" w:rsidRPr="00380B24" w:rsidRDefault="00B202FC">
            <w:pPr>
              <w:tabs>
                <w:tab w:val="num" w:pos="425"/>
              </w:tabs>
              <w:jc w:val="center"/>
              <w:rPr>
                <w:b/>
                <w:bCs/>
                <w:i/>
                <w:iCs/>
                <w:noProof/>
              </w:rPr>
            </w:pPr>
            <w:r w:rsidRPr="00380B24">
              <w:rPr>
                <w:b/>
                <w:bCs/>
                <w:i/>
                <w:iCs/>
                <w:noProof/>
              </w:rPr>
              <w:t xml:space="preserve">PART II: II </w:t>
            </w:r>
            <w:r w:rsidRPr="00380B24">
              <w:rPr>
                <w:b/>
                <w:bCs/>
                <w:i/>
                <w:iCs/>
                <w:noProof/>
                <w:u w:val="single"/>
              </w:rPr>
              <w:t>Potential</w:t>
            </w:r>
            <w:r w:rsidRPr="00380B24">
              <w:rPr>
                <w:b/>
                <w:bCs/>
                <w:i/>
                <w:iCs/>
                <w:noProof/>
              </w:rPr>
              <w:t xml:space="preserve"> simplification and burden reduction (savings)</w:t>
            </w:r>
          </w:p>
        </w:tc>
      </w:tr>
      <w:tr w:rsidR="00B202FC" w:rsidRPr="00380B24" w14:paraId="04769357" w14:textId="77777777">
        <w:tc>
          <w:tcPr>
            <w:tcW w:w="1053" w:type="pct"/>
            <w:vMerge w:val="restart"/>
            <w:tcBorders>
              <w:top w:val="double" w:sz="4" w:space="0" w:color="auto"/>
              <w:tl2br w:val="single" w:sz="4" w:space="0" w:color="auto"/>
            </w:tcBorders>
            <w:tcMar>
              <w:top w:w="57" w:type="dxa"/>
              <w:left w:w="57" w:type="dxa"/>
              <w:bottom w:w="57" w:type="dxa"/>
              <w:right w:w="57" w:type="dxa"/>
            </w:tcMar>
          </w:tcPr>
          <w:p w14:paraId="69D78040" w14:textId="77777777" w:rsidR="00B202FC" w:rsidRPr="00380B24" w:rsidRDefault="00B202FC">
            <w:pPr>
              <w:tabs>
                <w:tab w:val="num" w:pos="425"/>
              </w:tabs>
              <w:jc w:val="center"/>
              <w:rPr>
                <w:noProof/>
              </w:rPr>
            </w:pPr>
          </w:p>
        </w:tc>
        <w:tc>
          <w:tcPr>
            <w:tcW w:w="1317" w:type="pct"/>
            <w:gridSpan w:val="2"/>
            <w:tcBorders>
              <w:top w:val="double" w:sz="4" w:space="0" w:color="auto"/>
            </w:tcBorders>
          </w:tcPr>
          <w:p w14:paraId="0B600C84" w14:textId="77777777" w:rsidR="00B202FC" w:rsidRPr="00380B24" w:rsidRDefault="00B202FC">
            <w:pPr>
              <w:tabs>
                <w:tab w:val="num" w:pos="425"/>
              </w:tabs>
              <w:jc w:val="center"/>
              <w:rPr>
                <w:b/>
                <w:bCs/>
                <w:noProof/>
              </w:rPr>
            </w:pPr>
            <w:r w:rsidRPr="00380B24">
              <w:rPr>
                <w:b/>
                <w:bCs/>
                <w:noProof/>
              </w:rPr>
              <w:t>Citizens/Consumers/Workers</w:t>
            </w:r>
          </w:p>
        </w:tc>
        <w:tc>
          <w:tcPr>
            <w:tcW w:w="1225" w:type="pct"/>
            <w:gridSpan w:val="2"/>
            <w:tcBorders>
              <w:top w:val="double" w:sz="4" w:space="0" w:color="auto"/>
            </w:tcBorders>
          </w:tcPr>
          <w:p w14:paraId="7ECCE1B1" w14:textId="77777777" w:rsidR="00B202FC" w:rsidRPr="00380B24" w:rsidRDefault="00B202FC">
            <w:pPr>
              <w:tabs>
                <w:tab w:val="num" w:pos="425"/>
              </w:tabs>
              <w:jc w:val="center"/>
              <w:rPr>
                <w:b/>
                <w:bCs/>
                <w:noProof/>
              </w:rPr>
            </w:pPr>
            <w:r w:rsidRPr="00380B24">
              <w:rPr>
                <w:b/>
                <w:bCs/>
                <w:noProof/>
              </w:rPr>
              <w:t>Businesses</w:t>
            </w:r>
          </w:p>
        </w:tc>
        <w:tc>
          <w:tcPr>
            <w:tcW w:w="1405" w:type="pct"/>
            <w:gridSpan w:val="2"/>
            <w:tcBorders>
              <w:top w:val="double" w:sz="4" w:space="0" w:color="auto"/>
            </w:tcBorders>
          </w:tcPr>
          <w:p w14:paraId="14FB36EB" w14:textId="77777777" w:rsidR="00B202FC" w:rsidRPr="00380B24" w:rsidRDefault="00B202FC">
            <w:pPr>
              <w:tabs>
                <w:tab w:val="num" w:pos="425"/>
              </w:tabs>
              <w:jc w:val="center"/>
              <w:rPr>
                <w:b/>
                <w:bCs/>
                <w:noProof/>
              </w:rPr>
            </w:pPr>
            <w:r w:rsidRPr="00380B24">
              <w:rPr>
                <w:b/>
                <w:bCs/>
                <w:noProof/>
              </w:rPr>
              <w:t>Administrations</w:t>
            </w:r>
          </w:p>
        </w:tc>
      </w:tr>
      <w:tr w:rsidR="00B202FC" w:rsidRPr="00380B24" w14:paraId="49D96C60" w14:textId="77777777">
        <w:tc>
          <w:tcPr>
            <w:tcW w:w="1053" w:type="pct"/>
            <w:vMerge/>
            <w:tcMar>
              <w:top w:w="57" w:type="dxa"/>
              <w:left w:w="57" w:type="dxa"/>
              <w:bottom w:w="57" w:type="dxa"/>
              <w:right w:w="57" w:type="dxa"/>
            </w:tcMar>
          </w:tcPr>
          <w:p w14:paraId="53FF2C66" w14:textId="77777777" w:rsidR="00B202FC" w:rsidRPr="00380B24" w:rsidRDefault="00B202FC">
            <w:pPr>
              <w:tabs>
                <w:tab w:val="num" w:pos="425"/>
              </w:tabs>
              <w:jc w:val="center"/>
              <w:rPr>
                <w:b/>
                <w:noProof/>
              </w:rPr>
            </w:pPr>
          </w:p>
        </w:tc>
        <w:tc>
          <w:tcPr>
            <w:tcW w:w="611" w:type="pct"/>
            <w:tcBorders>
              <w:top w:val="double" w:sz="4" w:space="0" w:color="auto"/>
            </w:tcBorders>
          </w:tcPr>
          <w:p w14:paraId="7F571CF1" w14:textId="77777777" w:rsidR="00B202FC" w:rsidRPr="00380B24" w:rsidRDefault="00B202FC">
            <w:pPr>
              <w:tabs>
                <w:tab w:val="num" w:pos="425"/>
              </w:tabs>
              <w:jc w:val="center"/>
              <w:rPr>
                <w:b/>
                <w:bCs/>
                <w:noProof/>
              </w:rPr>
            </w:pPr>
            <w:r w:rsidRPr="00380B24">
              <w:rPr>
                <w:b/>
                <w:bCs/>
                <w:noProof/>
              </w:rPr>
              <w:t>Quantitative data</w:t>
            </w:r>
          </w:p>
        </w:tc>
        <w:tc>
          <w:tcPr>
            <w:tcW w:w="706" w:type="pct"/>
            <w:tcBorders>
              <w:top w:val="double" w:sz="4" w:space="0" w:color="auto"/>
            </w:tcBorders>
          </w:tcPr>
          <w:p w14:paraId="4BFE4C3A" w14:textId="77777777" w:rsidR="00B202FC" w:rsidRPr="00380B24" w:rsidRDefault="00B202FC">
            <w:pPr>
              <w:tabs>
                <w:tab w:val="num" w:pos="425"/>
              </w:tabs>
              <w:jc w:val="center"/>
              <w:rPr>
                <w:b/>
                <w:bCs/>
                <w:noProof/>
              </w:rPr>
            </w:pPr>
            <w:r w:rsidRPr="00380B24">
              <w:rPr>
                <w:b/>
                <w:bCs/>
                <w:noProof/>
              </w:rPr>
              <w:t>Comment</w:t>
            </w:r>
          </w:p>
        </w:tc>
        <w:tc>
          <w:tcPr>
            <w:tcW w:w="563" w:type="pct"/>
            <w:tcBorders>
              <w:top w:val="double" w:sz="4" w:space="0" w:color="auto"/>
            </w:tcBorders>
          </w:tcPr>
          <w:p w14:paraId="75BF1E84" w14:textId="77777777" w:rsidR="00B202FC" w:rsidRPr="00380B24" w:rsidRDefault="00B202FC">
            <w:pPr>
              <w:tabs>
                <w:tab w:val="num" w:pos="425"/>
              </w:tabs>
              <w:jc w:val="center"/>
              <w:rPr>
                <w:b/>
                <w:bCs/>
                <w:noProof/>
              </w:rPr>
            </w:pPr>
            <w:r w:rsidRPr="00380B24">
              <w:rPr>
                <w:b/>
                <w:bCs/>
                <w:noProof/>
              </w:rPr>
              <w:t>Quantitative data</w:t>
            </w:r>
          </w:p>
        </w:tc>
        <w:tc>
          <w:tcPr>
            <w:tcW w:w="662" w:type="pct"/>
            <w:tcBorders>
              <w:top w:val="double" w:sz="4" w:space="0" w:color="auto"/>
            </w:tcBorders>
          </w:tcPr>
          <w:p w14:paraId="400298CD" w14:textId="77777777" w:rsidR="00B202FC" w:rsidRPr="00380B24" w:rsidRDefault="00B202FC">
            <w:pPr>
              <w:tabs>
                <w:tab w:val="num" w:pos="425"/>
              </w:tabs>
              <w:jc w:val="center"/>
              <w:rPr>
                <w:b/>
                <w:bCs/>
                <w:noProof/>
              </w:rPr>
            </w:pPr>
            <w:r w:rsidRPr="00380B24">
              <w:rPr>
                <w:b/>
                <w:bCs/>
                <w:noProof/>
              </w:rPr>
              <w:t>Comment</w:t>
            </w:r>
          </w:p>
        </w:tc>
        <w:tc>
          <w:tcPr>
            <w:tcW w:w="703" w:type="pct"/>
            <w:tcBorders>
              <w:top w:val="double" w:sz="4" w:space="0" w:color="auto"/>
            </w:tcBorders>
          </w:tcPr>
          <w:p w14:paraId="3EACCB36" w14:textId="77777777" w:rsidR="00B202FC" w:rsidRPr="00380B24" w:rsidRDefault="00B202FC">
            <w:pPr>
              <w:tabs>
                <w:tab w:val="num" w:pos="425"/>
              </w:tabs>
              <w:jc w:val="center"/>
              <w:rPr>
                <w:b/>
                <w:bCs/>
                <w:noProof/>
              </w:rPr>
            </w:pPr>
            <w:r w:rsidRPr="00380B24">
              <w:rPr>
                <w:b/>
                <w:bCs/>
                <w:noProof/>
              </w:rPr>
              <w:t>Quantitative data</w:t>
            </w:r>
          </w:p>
        </w:tc>
        <w:tc>
          <w:tcPr>
            <w:tcW w:w="702" w:type="pct"/>
            <w:tcBorders>
              <w:top w:val="double" w:sz="4" w:space="0" w:color="auto"/>
            </w:tcBorders>
          </w:tcPr>
          <w:p w14:paraId="05FCAF30" w14:textId="77777777" w:rsidR="00B202FC" w:rsidRPr="00380B24" w:rsidRDefault="00B202FC">
            <w:pPr>
              <w:tabs>
                <w:tab w:val="num" w:pos="425"/>
              </w:tabs>
              <w:jc w:val="center"/>
              <w:rPr>
                <w:b/>
                <w:bCs/>
                <w:noProof/>
              </w:rPr>
            </w:pPr>
            <w:r w:rsidRPr="00380B24">
              <w:rPr>
                <w:b/>
                <w:bCs/>
                <w:noProof/>
              </w:rPr>
              <w:t>Comment</w:t>
            </w:r>
          </w:p>
        </w:tc>
      </w:tr>
      <w:tr w:rsidR="00B202FC" w:rsidRPr="00380B24" w14:paraId="1255C271" w14:textId="77777777">
        <w:tc>
          <w:tcPr>
            <w:tcW w:w="5000" w:type="pct"/>
            <w:gridSpan w:val="7"/>
            <w:tcMar>
              <w:top w:w="57" w:type="dxa"/>
              <w:left w:w="57" w:type="dxa"/>
              <w:bottom w:w="57" w:type="dxa"/>
              <w:right w:w="57" w:type="dxa"/>
            </w:tcMar>
          </w:tcPr>
          <w:p w14:paraId="351F7199" w14:textId="77777777" w:rsidR="00B202FC" w:rsidRPr="00380B24" w:rsidRDefault="00B202FC">
            <w:pPr>
              <w:tabs>
                <w:tab w:val="num" w:pos="425"/>
              </w:tabs>
              <w:rPr>
                <w:noProof/>
              </w:rPr>
            </w:pPr>
            <w:r w:rsidRPr="00380B24">
              <w:rPr>
                <w:b/>
                <w:noProof/>
              </w:rPr>
              <w:t>Description:</w:t>
            </w:r>
          </w:p>
        </w:tc>
      </w:tr>
      <w:tr w:rsidR="00B202FC" w:rsidRPr="00380B24" w14:paraId="72D03B77" w14:textId="77777777">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7F1123F1" w14:textId="77777777" w:rsidR="00B202FC" w:rsidRPr="00380B24" w:rsidRDefault="00B202FC">
            <w:pPr>
              <w:tabs>
                <w:tab w:val="num" w:pos="425"/>
              </w:tabs>
              <w:rPr>
                <w:b/>
                <w:bCs/>
                <w:noProof/>
              </w:rPr>
            </w:pPr>
            <w:r w:rsidRPr="00380B24">
              <w:rPr>
                <w:b/>
                <w:bCs/>
                <w:noProof/>
                <w:color w:val="000000" w:themeColor="text1"/>
              </w:rPr>
              <w:t>Option A.2: Reform of ENISA’s mandate</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4F9CCBE9" w14:textId="77777777" w:rsidR="00B202FC" w:rsidRPr="00380B24" w:rsidRDefault="00B202FC">
            <w:pPr>
              <w:tabs>
                <w:tab w:val="num" w:pos="425"/>
              </w:tabs>
              <w:rPr>
                <w:noProof/>
              </w:rPr>
            </w:pPr>
            <w:r w:rsidRPr="00380B24">
              <w:rPr>
                <w:noProof/>
              </w:rPr>
              <w:t>Attestation cost per attestation: ~EUR 300-350 (public) vs ~EUR 677 (private).</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4D47911F" w14:textId="77777777" w:rsidR="00B202FC" w:rsidRPr="00380B24" w:rsidRDefault="00B202FC">
            <w:pPr>
              <w:tabs>
                <w:tab w:val="num" w:pos="425"/>
              </w:tabs>
              <w:rPr>
                <w:noProof/>
              </w:rPr>
            </w:pPr>
            <w:r w:rsidRPr="00380B24">
              <w:rPr>
                <w:noProof/>
              </w:rPr>
              <w:t>Better visibility on the labour market for cybersecurity professionals; better career progression; better wages; increased portability of skills.</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4D97262E" w14:textId="77777777" w:rsidR="00B202FC" w:rsidRPr="00380B24" w:rsidRDefault="00B202FC">
            <w:pPr>
              <w:tabs>
                <w:tab w:val="num" w:pos="425"/>
              </w:tabs>
              <w:rPr>
                <w:noProof/>
              </w:rPr>
            </w:pPr>
            <w:r w:rsidRPr="00380B24">
              <w:rPr>
                <w:noProof/>
              </w:rPr>
              <w:t xml:space="preserve">EUR 3.7 to 4.4 billion over five years (broad estimate) for faster incident detection and response. </w:t>
            </w: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3AA09D56" w14:textId="77777777" w:rsidR="00B202FC" w:rsidRPr="00380B24" w:rsidRDefault="00B202FC">
            <w:pPr>
              <w:tabs>
                <w:tab w:val="num" w:pos="425"/>
              </w:tabs>
              <w:rPr>
                <w:noProof/>
              </w:rPr>
            </w:pPr>
            <w:r w:rsidRPr="00380B24">
              <w:rPr>
                <w:noProof/>
              </w:rPr>
              <w:t>Reputation of skills attestation providers;</w:t>
            </w:r>
          </w:p>
          <w:p w14:paraId="3EC0B1ED" w14:textId="77777777" w:rsidR="00B202FC" w:rsidRPr="00380B24" w:rsidRDefault="00B202FC">
            <w:pPr>
              <w:tabs>
                <w:tab w:val="num" w:pos="425"/>
              </w:tabs>
              <w:rPr>
                <w:noProof/>
              </w:rPr>
            </w:pPr>
            <w:r w:rsidRPr="00380B24">
              <w:rPr>
                <w:noProof/>
              </w:rPr>
              <w:t>access to the cybersecurity skills market (especially SMEs); improved incident response reduces breach costs; streamlined certification processes.</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0176A818" w14:textId="77777777" w:rsidR="00B202FC" w:rsidRPr="00380B24" w:rsidRDefault="00B202FC">
            <w:pPr>
              <w:tabs>
                <w:tab w:val="num" w:pos="425"/>
              </w:tabs>
              <w:rPr>
                <w:noProof/>
              </w:rPr>
            </w:pPr>
            <w:r w:rsidRPr="00380B24">
              <w:rPr>
                <w:noProof/>
              </w:rPr>
              <w:t>Fees offset ENISA operational costs.</w:t>
            </w:r>
          </w:p>
        </w:tc>
        <w:tc>
          <w:tcPr>
            <w:tcW w:w="702" w:type="pct"/>
            <w:tcBorders>
              <w:top w:val="double" w:sz="4" w:space="0" w:color="auto"/>
              <w:bottom w:val="double" w:sz="4" w:space="0" w:color="auto"/>
            </w:tcBorders>
          </w:tcPr>
          <w:p w14:paraId="401B4FC6" w14:textId="77777777" w:rsidR="00B202FC" w:rsidRPr="00380B24" w:rsidRDefault="00B202FC">
            <w:pPr>
              <w:tabs>
                <w:tab w:val="num" w:pos="425"/>
              </w:tabs>
              <w:rPr>
                <w:noProof/>
              </w:rPr>
            </w:pPr>
            <w:r w:rsidRPr="00380B24">
              <w:rPr>
                <w:noProof/>
              </w:rPr>
              <w:t>Cost avoidance for public authorities that are developing or plan to develop attestation schemes (reduced compliance and supervisory burden for authorities); use of national liaison officers for some tasks.</w:t>
            </w:r>
          </w:p>
        </w:tc>
      </w:tr>
      <w:tr w:rsidR="00B202FC" w:rsidRPr="00380B24" w14:paraId="32B5D8BD" w14:textId="77777777">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3986360C" w14:textId="77777777" w:rsidR="00B202FC" w:rsidRPr="00380B24" w:rsidRDefault="00B202FC">
            <w:pPr>
              <w:tabs>
                <w:tab w:val="num" w:pos="425"/>
              </w:tabs>
              <w:rPr>
                <w:b/>
                <w:bCs/>
                <w:noProof/>
              </w:rPr>
            </w:pPr>
            <w:r w:rsidRPr="00380B24">
              <w:rPr>
                <w:b/>
                <w:bCs/>
                <w:noProof/>
              </w:rPr>
              <w:t>Option B.2: Reform the ECCF by revising procedures and extending scope to simplify regulatory compliance</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6CD440E6" w14:textId="77777777" w:rsidR="00B202FC" w:rsidRPr="00380B24" w:rsidRDefault="00B202FC">
            <w:pPr>
              <w:tabs>
                <w:tab w:val="num" w:pos="425"/>
              </w:tabs>
              <w:rPr>
                <w:noProof/>
              </w:rPr>
            </w:pPr>
            <w:r w:rsidRPr="00380B24">
              <w:rPr>
                <w:noProof/>
              </w:rPr>
              <w:t>No monetary savings were projected.</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5CAAFE4" w14:textId="77777777" w:rsidR="00B202FC" w:rsidRPr="00380B24" w:rsidRDefault="00B202FC">
            <w:pPr>
              <w:tabs>
                <w:tab w:val="num" w:pos="425"/>
              </w:tabs>
              <w:rPr>
                <w:noProof/>
              </w:rPr>
            </w:pPr>
            <w:r w:rsidRPr="00380B24">
              <w:rPr>
                <w:noProof/>
              </w:rPr>
              <w:t>Faster access to certified services; indirect benefit from improved security and reduced incident costs.</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BCA8CE0" w14:textId="77777777" w:rsidR="00B202FC" w:rsidRPr="00380B24" w:rsidRDefault="00B202FC">
            <w:pPr>
              <w:tabs>
                <w:tab w:val="num" w:pos="425"/>
              </w:tabs>
              <w:rPr>
                <w:noProof/>
              </w:rPr>
            </w:pPr>
            <w:r w:rsidRPr="00380B24">
              <w:rPr>
                <w:noProof/>
              </w:rPr>
              <w:t xml:space="preserve">N/A </w:t>
            </w:r>
          </w:p>
          <w:p w14:paraId="548B5F6A" w14:textId="77777777" w:rsidR="00B202FC" w:rsidRPr="00380B24" w:rsidRDefault="00B202FC">
            <w:pPr>
              <w:tabs>
                <w:tab w:val="num" w:pos="425"/>
              </w:tabs>
              <w:rPr>
                <w:noProof/>
              </w:rPr>
            </w:pPr>
          </w:p>
          <w:p w14:paraId="01D85109" w14:textId="77777777" w:rsidR="00B202FC" w:rsidRPr="00380B24" w:rsidRDefault="00B202FC">
            <w:pPr>
              <w:tabs>
                <w:tab w:val="num" w:pos="425"/>
              </w:tabs>
              <w:rPr>
                <w:noProof/>
              </w:rPr>
            </w:pP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2A96C7B" w14:textId="77777777" w:rsidR="00B202FC" w:rsidRPr="00380B24" w:rsidRDefault="00B202FC">
            <w:pPr>
              <w:tabs>
                <w:tab w:val="num" w:pos="425"/>
              </w:tabs>
              <w:rPr>
                <w:noProof/>
              </w:rPr>
            </w:pPr>
            <w:r w:rsidRPr="00380B24">
              <w:rPr>
                <w:noProof/>
              </w:rPr>
              <w:t>Single certification instead of multiple national ones; reduced compliance costs; lower cyber insurance premiums; increased mutual recognition.</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18B39CF4" w14:textId="77777777" w:rsidR="00B202FC" w:rsidRPr="00380B24" w:rsidRDefault="00B202FC">
            <w:pPr>
              <w:tabs>
                <w:tab w:val="num" w:pos="425"/>
              </w:tabs>
              <w:rPr>
                <w:noProof/>
              </w:rPr>
            </w:pPr>
            <w:r w:rsidRPr="00380B24">
              <w:rPr>
                <w:noProof/>
              </w:rPr>
              <w:t>Reduced time to develop schemes.</w:t>
            </w:r>
          </w:p>
        </w:tc>
        <w:tc>
          <w:tcPr>
            <w:tcW w:w="702" w:type="pct"/>
            <w:tcBorders>
              <w:top w:val="double" w:sz="4" w:space="0" w:color="auto"/>
              <w:bottom w:val="double" w:sz="4" w:space="0" w:color="auto"/>
            </w:tcBorders>
          </w:tcPr>
          <w:p w14:paraId="3D990732" w14:textId="77777777" w:rsidR="00B202FC" w:rsidRPr="00380B24" w:rsidRDefault="00B202FC">
            <w:pPr>
              <w:tabs>
                <w:tab w:val="num" w:pos="425"/>
              </w:tabs>
              <w:rPr>
                <w:noProof/>
              </w:rPr>
            </w:pPr>
            <w:r w:rsidRPr="00380B24">
              <w:rPr>
                <w:noProof/>
              </w:rPr>
              <w:t>Reduced supervisory burden; streamlined scheme adoption and monitoring.</w:t>
            </w:r>
          </w:p>
        </w:tc>
      </w:tr>
      <w:tr w:rsidR="00B202FC" w:rsidRPr="00380B24" w14:paraId="79E15708" w14:textId="77777777">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0548A0C2" w14:textId="77777777" w:rsidR="00B202FC" w:rsidRPr="00380B24" w:rsidRDefault="00B202FC">
            <w:pPr>
              <w:tabs>
                <w:tab w:val="num" w:pos="425"/>
              </w:tabs>
              <w:rPr>
                <w:b/>
                <w:bCs/>
                <w:noProof/>
              </w:rPr>
            </w:pPr>
            <w:r w:rsidRPr="00380B24">
              <w:rPr>
                <w:b/>
                <w:bCs/>
                <w:noProof/>
              </w:rPr>
              <w:t>Option C.2: Targeted action – further simplification of compliance with relevant EU cybersecurity legislative framework</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4E4BDAA3" w14:textId="77777777" w:rsidR="00B202FC" w:rsidRPr="00380B24" w:rsidRDefault="00B202FC">
            <w:pPr>
              <w:tabs>
                <w:tab w:val="num" w:pos="425"/>
              </w:tabs>
              <w:rPr>
                <w:noProof/>
              </w:rPr>
            </w:pPr>
            <w:r w:rsidRPr="00380B24">
              <w:rPr>
                <w:noProof/>
              </w:rPr>
              <w:t>No monetary savings were projected.</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4F0F86D7" w14:textId="77777777" w:rsidR="00B202FC" w:rsidRPr="00380B24" w:rsidRDefault="00B202FC">
            <w:pPr>
              <w:tabs>
                <w:tab w:val="num" w:pos="425"/>
              </w:tabs>
              <w:rPr>
                <w:noProof/>
              </w:rPr>
            </w:pPr>
            <w:r w:rsidRPr="00380B24">
              <w:rPr>
                <w:noProof/>
              </w:rPr>
              <w:t>Reduced compliance costs for individuals in reclassified entities; indirect benefit from improved security and fewer incidents.</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1B4C7F7" w14:textId="6593E9D4" w:rsidR="00B202FC" w:rsidRPr="00380B24" w:rsidRDefault="00B202FC">
            <w:pPr>
              <w:tabs>
                <w:tab w:val="num" w:pos="425"/>
              </w:tabs>
              <w:rPr>
                <w:noProof/>
              </w:rPr>
            </w:pPr>
            <w:r w:rsidRPr="00380B24">
              <w:rPr>
                <w:noProof/>
              </w:rPr>
              <w:t>Annual savings in compliance costs of EUR </w:t>
            </w:r>
            <w:r w:rsidR="00E5750A">
              <w:rPr>
                <w:noProof/>
              </w:rPr>
              <w:t>14</w:t>
            </w:r>
            <w:r w:rsidRPr="00380B24">
              <w:rPr>
                <w:noProof/>
              </w:rPr>
              <w:t>.</w:t>
            </w:r>
            <w:r>
              <w:rPr>
                <w:noProof/>
              </w:rPr>
              <w:t>6</w:t>
            </w:r>
            <w:r w:rsidRPr="00380B24">
              <w:rPr>
                <w:noProof/>
              </w:rPr>
              <w:t> billion over five years.</w:t>
            </w: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F680AC0" w14:textId="77777777" w:rsidR="00B202FC" w:rsidRPr="00380B24" w:rsidRDefault="00B202FC">
            <w:pPr>
              <w:tabs>
                <w:tab w:val="num" w:pos="425"/>
              </w:tabs>
              <w:rPr>
                <w:noProof/>
              </w:rPr>
            </w:pPr>
            <w:r w:rsidRPr="00380B24">
              <w:rPr>
                <w:noProof/>
              </w:rPr>
              <w:t>Reduced administrative burden due to fewer entities in scope; streamlined demonstration of compliance via certification.</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45712E2F" w14:textId="77777777" w:rsidR="00B202FC" w:rsidRPr="00380B24" w:rsidRDefault="00B202FC">
            <w:pPr>
              <w:tabs>
                <w:tab w:val="num" w:pos="425"/>
              </w:tabs>
              <w:rPr>
                <w:noProof/>
                <w:lang w:eastAsia="en-IE"/>
              </w:rPr>
            </w:pPr>
            <w:r w:rsidRPr="00380B24">
              <w:rPr>
                <w:noProof/>
                <w:lang w:eastAsia="en-IE"/>
              </w:rPr>
              <w:t>Annual savings in enforcement costs of EUR 7.5 million over five years.</w:t>
            </w:r>
          </w:p>
        </w:tc>
        <w:tc>
          <w:tcPr>
            <w:tcW w:w="702" w:type="pct"/>
            <w:tcBorders>
              <w:top w:val="double" w:sz="4" w:space="0" w:color="auto"/>
              <w:bottom w:val="double" w:sz="4" w:space="0" w:color="auto"/>
            </w:tcBorders>
          </w:tcPr>
          <w:p w14:paraId="22059106" w14:textId="77777777" w:rsidR="00B202FC" w:rsidRPr="00380B24" w:rsidRDefault="00B202FC">
            <w:pPr>
              <w:tabs>
                <w:tab w:val="num" w:pos="425"/>
              </w:tabs>
              <w:rPr>
                <w:noProof/>
              </w:rPr>
            </w:pPr>
            <w:r w:rsidRPr="00380B24">
              <w:rPr>
                <w:noProof/>
              </w:rPr>
              <w:t xml:space="preserve">Reduced supervisory burden for authorities; simplified compliance monitoring; 28 700 fewer NIS2 entities to be supervised. </w:t>
            </w:r>
          </w:p>
          <w:p w14:paraId="4A9965C0" w14:textId="77777777" w:rsidR="00B202FC" w:rsidRPr="00380B24" w:rsidRDefault="00B202FC">
            <w:pPr>
              <w:tabs>
                <w:tab w:val="num" w:pos="425"/>
              </w:tabs>
              <w:rPr>
                <w:noProof/>
              </w:rPr>
            </w:pPr>
          </w:p>
        </w:tc>
      </w:tr>
    </w:tbl>
    <w:p w14:paraId="54D4B768" w14:textId="77777777" w:rsidR="00B202FC" w:rsidRPr="00380B24" w:rsidRDefault="00B202FC" w:rsidP="00B202FC">
      <w:pPr>
        <w:rPr>
          <w:noProof/>
        </w:rPr>
        <w:sectPr w:rsidR="00B202FC" w:rsidRPr="00380B24" w:rsidSect="00E5147D">
          <w:headerReference w:type="default" r:id="rId137"/>
          <w:footerReference w:type="default" r:id="rId138"/>
          <w:headerReference w:type="first" r:id="rId139"/>
          <w:footerReference w:type="first" r:id="rId140"/>
          <w:pgSz w:w="16838" w:h="11906" w:orient="landscape"/>
          <w:pgMar w:top="1440" w:right="1440" w:bottom="1440" w:left="1440" w:header="601" w:footer="1077" w:gutter="0"/>
          <w:cols w:space="720"/>
          <w:titlePg/>
          <w:docGrid w:linePitch="326"/>
        </w:sectPr>
      </w:pPr>
    </w:p>
    <w:p w14:paraId="7F8CE107" w14:textId="77777777" w:rsidR="00B202FC" w:rsidRPr="00380B24" w:rsidRDefault="00B202FC" w:rsidP="00B202FC">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573" w:name="_Toc218702628"/>
      <w:bookmarkStart w:id="574" w:name="_Toc219039551"/>
      <w:bookmarkStart w:id="575" w:name="_Toc219447454"/>
      <w:r w:rsidRPr="00380B24">
        <w:rPr>
          <w:noProof/>
          <w:szCs w:val="24"/>
        </w:rPr>
        <w:t xml:space="preserve">Annex V. Stakeholder </w:t>
      </w:r>
      <w:r w:rsidRPr="00380B24">
        <w:rPr>
          <w:noProof/>
          <w:color w:val="000000" w:themeColor="text1"/>
          <w:szCs w:val="24"/>
        </w:rPr>
        <w:t>consultation - Synopsis report</w:t>
      </w:r>
      <w:bookmarkEnd w:id="573"/>
      <w:bookmarkEnd w:id="574"/>
      <w:bookmarkEnd w:id="575"/>
      <w:r w:rsidRPr="00380B24">
        <w:rPr>
          <w:noProof/>
          <w:color w:val="000000" w:themeColor="text1"/>
          <w:szCs w:val="24"/>
        </w:rPr>
        <w:t xml:space="preserve"> </w:t>
      </w:r>
    </w:p>
    <w:bookmarkEnd w:id="469"/>
    <w:p w14:paraId="4DB4C0D8" w14:textId="213CD5D4" w:rsidR="00D52AD8" w:rsidRPr="00C57110" w:rsidRDefault="00D52AD8" w:rsidP="00D52AD8">
      <w:pPr>
        <w:pStyle w:val="Text1"/>
        <w:ind w:left="0"/>
        <w:rPr>
          <w:noProof/>
        </w:rPr>
      </w:pPr>
      <w:r w:rsidRPr="00C57110">
        <w:rPr>
          <w:noProof/>
        </w:rPr>
        <w:t xml:space="preserve">This annex </w:t>
      </w:r>
      <w:r w:rsidR="00B202FC" w:rsidRPr="00380B24">
        <w:rPr>
          <w:noProof/>
        </w:rPr>
        <w:t>summarises all the</w:t>
      </w:r>
      <w:r w:rsidRPr="00C57110">
        <w:rPr>
          <w:noProof/>
        </w:rPr>
        <w:t xml:space="preserve"> consultation activities </w:t>
      </w:r>
      <w:r w:rsidR="00B202FC" w:rsidRPr="00380B24">
        <w:rPr>
          <w:noProof/>
        </w:rPr>
        <w:t>carried out</w:t>
      </w:r>
      <w:r w:rsidRPr="00C57110">
        <w:rPr>
          <w:noProof/>
        </w:rPr>
        <w:t xml:space="preserve"> as part of the evaluation of ENISA and the ECCF. The consultation strategy was designed to collect input from all relevant stakeholder groups, including public authorities, EU institutions, industry, academia, civil society and individual citizens. It covers the full range of activities undertaken, such as the call for evidence, </w:t>
      </w:r>
      <w:r w:rsidR="00B202FC" w:rsidRPr="00380B24">
        <w:rPr>
          <w:noProof/>
        </w:rPr>
        <w:t xml:space="preserve">the </w:t>
      </w:r>
      <w:r w:rsidRPr="00C57110">
        <w:rPr>
          <w:noProof/>
        </w:rPr>
        <w:t>targeted survey, targeted interviews and dedicated workshops</w:t>
      </w:r>
      <w:r w:rsidR="00B202FC" w:rsidRPr="00380B24">
        <w:rPr>
          <w:noProof/>
        </w:rPr>
        <w:t>. It provides</w:t>
      </w:r>
      <w:r w:rsidRPr="00C57110">
        <w:rPr>
          <w:noProof/>
        </w:rPr>
        <w:t xml:space="preserve"> a consolidated overview of stakeholder feedback on the performance, strengths, weaknesses and areas for improvement of ENISA and the ECCF. The evidence collected through these activities forms a key part of the analytical framework supporting the evaluation and informs the recommendations for future policy development.</w:t>
      </w:r>
    </w:p>
    <w:p w14:paraId="2A570A11" w14:textId="1E32F32C" w:rsidR="00D52AD8" w:rsidRPr="00C57110" w:rsidRDefault="00D52AD8" w:rsidP="00D52AD8">
      <w:pPr>
        <w:pStyle w:val="Heading2"/>
        <w:rPr>
          <w:noProof/>
        </w:rPr>
      </w:pPr>
      <w:bookmarkStart w:id="576" w:name="_Toc218702629"/>
      <w:bookmarkStart w:id="577" w:name="_Toc219039552"/>
      <w:bookmarkStart w:id="578" w:name="_Toc219447455"/>
      <w:r w:rsidRPr="00C57110">
        <w:rPr>
          <w:noProof/>
        </w:rPr>
        <w:t>Consultation scope and objectives</w:t>
      </w:r>
      <w:bookmarkEnd w:id="576"/>
      <w:bookmarkEnd w:id="577"/>
      <w:bookmarkEnd w:id="578"/>
    </w:p>
    <w:p w14:paraId="682A01B8" w14:textId="77777777" w:rsidR="00D52AD8" w:rsidRPr="00C57110" w:rsidRDefault="00D52AD8" w:rsidP="00D52AD8">
      <w:pPr>
        <w:pStyle w:val="Text1"/>
        <w:ind w:left="0"/>
        <w:rPr>
          <w:b/>
          <w:bCs/>
          <w:noProof/>
        </w:rPr>
      </w:pPr>
      <w:r w:rsidRPr="00C57110">
        <w:rPr>
          <w:b/>
          <w:bCs/>
          <w:noProof/>
        </w:rPr>
        <w:t>Scope</w:t>
      </w:r>
    </w:p>
    <w:p w14:paraId="2E90DDFD" w14:textId="35E3E388" w:rsidR="00D52AD8" w:rsidRPr="00C57110" w:rsidRDefault="00D52AD8" w:rsidP="00D52AD8">
      <w:pPr>
        <w:pStyle w:val="Text1"/>
        <w:ind w:left="0"/>
        <w:rPr>
          <w:noProof/>
        </w:rPr>
      </w:pPr>
      <w:r w:rsidRPr="00C57110">
        <w:rPr>
          <w:noProof/>
        </w:rPr>
        <w:t>The stakeholder consultation activities were undertaken as part of the evaluation of ENISA and the ECCF, in accordance with Article</w:t>
      </w:r>
      <w:r w:rsidR="00B202FC" w:rsidRPr="00380B24">
        <w:rPr>
          <w:noProof/>
        </w:rPr>
        <w:t> </w:t>
      </w:r>
      <w:r w:rsidRPr="00C57110">
        <w:rPr>
          <w:noProof/>
        </w:rPr>
        <w:t xml:space="preserve">67 of Regulation (EU) 2019/881, known as the Cybersecurity Act. The evaluation covered the period from 2017 to 2023 and sought to assess the performance of ENISA and the ECCF against the criteria of effectiveness, efficiency, relevance, coherence and </w:t>
      </w:r>
      <w:r w:rsidR="00B202FC" w:rsidRPr="00380B24">
        <w:rPr>
          <w:noProof/>
        </w:rPr>
        <w:t>EU</w:t>
      </w:r>
      <w:r w:rsidRPr="00C57110">
        <w:rPr>
          <w:noProof/>
        </w:rPr>
        <w:t xml:space="preserve"> added value. The consultation activities were designed to gather evidence from a wide range of stakeholders in order to inform the evaluation and support evidence-based </w:t>
      </w:r>
      <w:r w:rsidR="00B202FC" w:rsidRPr="00380B24">
        <w:rPr>
          <w:noProof/>
        </w:rPr>
        <w:t>policy-making.</w:t>
      </w:r>
    </w:p>
    <w:p w14:paraId="19A71A96" w14:textId="77777777" w:rsidR="00B202FC" w:rsidRPr="00380B24" w:rsidRDefault="00B202FC" w:rsidP="00B202FC">
      <w:pPr>
        <w:pStyle w:val="Text1"/>
        <w:ind w:left="0"/>
        <w:rPr>
          <w:noProof/>
        </w:rPr>
      </w:pPr>
      <w:r w:rsidRPr="00380B24">
        <w:rPr>
          <w:noProof/>
        </w:rPr>
        <w:t>The consultation addressed both ENISA and the ECCF, focusing on ENISA’s mandate, objectives, governance, working practices and the implementation of the ECCF. The scope included assessing ENISA’s support for policy development and implementation, capacity building, stakeholder engagement, and the development and adoption of cybersecurity certification schemes under the ECCF.</w:t>
      </w:r>
    </w:p>
    <w:p w14:paraId="6B8432A5" w14:textId="77777777" w:rsidR="00D52AD8" w:rsidRPr="00C57110" w:rsidRDefault="00D52AD8" w:rsidP="00D52AD8">
      <w:pPr>
        <w:pStyle w:val="Text1"/>
        <w:ind w:left="0"/>
        <w:rPr>
          <w:b/>
          <w:bCs/>
          <w:noProof/>
        </w:rPr>
      </w:pPr>
      <w:r w:rsidRPr="00C57110">
        <w:rPr>
          <w:b/>
          <w:bCs/>
          <w:noProof/>
        </w:rPr>
        <w:t>Objectives</w:t>
      </w:r>
    </w:p>
    <w:p w14:paraId="4997CAF8" w14:textId="77777777" w:rsidR="00D52AD8" w:rsidRPr="00C57110" w:rsidRDefault="00D52AD8" w:rsidP="00B202FC">
      <w:pPr>
        <w:pStyle w:val="Text1"/>
        <w:spacing w:after="120"/>
        <w:ind w:left="0"/>
        <w:rPr>
          <w:noProof/>
        </w:rPr>
      </w:pPr>
      <w:r w:rsidRPr="00C57110">
        <w:rPr>
          <w:noProof/>
        </w:rPr>
        <w:t>The objectives of the stakeholder consultation were as follows:</w:t>
      </w:r>
    </w:p>
    <w:p w14:paraId="259E149C" w14:textId="77777777" w:rsidR="00B202FC" w:rsidRPr="00380B24" w:rsidRDefault="00B202FC" w:rsidP="00B202FC">
      <w:pPr>
        <w:pStyle w:val="Text1"/>
        <w:numPr>
          <w:ilvl w:val="0"/>
          <w:numId w:val="182"/>
        </w:numPr>
        <w:spacing w:after="120"/>
        <w:rPr>
          <w:noProof/>
        </w:rPr>
      </w:pPr>
      <w:r w:rsidRPr="00380B24">
        <w:rPr>
          <w:noProof/>
        </w:rPr>
        <w:t>to collect comprehensive and representative feedback from all relevant stakeholder groups regarding the performance, strengths, weaknesses and areas for improvement of ENISA and the ECCF;</w:t>
      </w:r>
    </w:p>
    <w:p w14:paraId="3C89694F" w14:textId="77777777" w:rsidR="00B202FC" w:rsidRPr="00380B24" w:rsidRDefault="00B202FC" w:rsidP="00B202FC">
      <w:pPr>
        <w:pStyle w:val="Text1"/>
        <w:numPr>
          <w:ilvl w:val="0"/>
          <w:numId w:val="182"/>
        </w:numPr>
        <w:spacing w:after="120"/>
        <w:rPr>
          <w:noProof/>
        </w:rPr>
      </w:pPr>
      <w:r w:rsidRPr="00380B24">
        <w:rPr>
          <w:noProof/>
        </w:rPr>
        <w:t>to assess the effectiveness, efficiency, relevance, coherence and EU added value of ENISA’s activities and the ECCF, as perceived by stakeholders;</w:t>
      </w:r>
    </w:p>
    <w:p w14:paraId="7E99BDDB" w14:textId="77777777" w:rsidR="00B202FC" w:rsidRPr="00380B24" w:rsidRDefault="00B202FC" w:rsidP="00B202FC">
      <w:pPr>
        <w:pStyle w:val="Text1"/>
        <w:numPr>
          <w:ilvl w:val="0"/>
          <w:numId w:val="182"/>
        </w:numPr>
        <w:spacing w:after="120"/>
        <w:rPr>
          <w:noProof/>
        </w:rPr>
      </w:pPr>
      <w:r w:rsidRPr="00380B24">
        <w:rPr>
          <w:noProof/>
        </w:rPr>
        <w:t>to identify lessons learned and recommendations for potential changes to the existing Regulation and for improving the performance of ENISA and the ECCF;</w:t>
      </w:r>
    </w:p>
    <w:p w14:paraId="6B1589AB" w14:textId="77777777" w:rsidR="00B202FC" w:rsidRPr="00380B24" w:rsidRDefault="00B202FC" w:rsidP="00B202FC">
      <w:pPr>
        <w:pStyle w:val="Text1"/>
        <w:numPr>
          <w:ilvl w:val="0"/>
          <w:numId w:val="182"/>
        </w:numPr>
        <w:spacing w:after="120"/>
        <w:rPr>
          <w:noProof/>
        </w:rPr>
      </w:pPr>
      <w:r w:rsidRPr="00380B24">
        <w:rPr>
          <w:noProof/>
        </w:rPr>
        <w:t>to ensure that the evaluation is informed by the experiences, needs and expectations of Member States, EU institutions, industry, standardisation bodies, academia, non-governmental organisations and other relevant actors;</w:t>
      </w:r>
    </w:p>
    <w:p w14:paraId="344F62ED" w14:textId="77777777" w:rsidR="00B202FC" w:rsidRPr="00380B24" w:rsidRDefault="00B202FC" w:rsidP="00B202FC">
      <w:pPr>
        <w:pStyle w:val="Text1"/>
        <w:numPr>
          <w:ilvl w:val="0"/>
          <w:numId w:val="182"/>
        </w:numPr>
        <w:spacing w:after="120"/>
        <w:rPr>
          <w:noProof/>
        </w:rPr>
      </w:pPr>
      <w:r w:rsidRPr="00380B24">
        <w:rPr>
          <w:noProof/>
        </w:rPr>
        <w:t>to gather input on the implementation and impact of the ECCF, including the development and adoption of certification schemes, stakeholder involvement, transparency and alignment with EU and international standards.</w:t>
      </w:r>
    </w:p>
    <w:p w14:paraId="6492F709" w14:textId="77777777" w:rsidR="00B202FC" w:rsidRPr="00380B24" w:rsidRDefault="00B202FC" w:rsidP="00B202FC">
      <w:pPr>
        <w:pStyle w:val="Text1"/>
        <w:ind w:left="0"/>
        <w:rPr>
          <w:noProof/>
        </w:rPr>
      </w:pPr>
      <w:r w:rsidRPr="00380B24">
        <w:rPr>
          <w:noProof/>
        </w:rPr>
        <w:t>The consultation was structured in such a way as to provide evidence for the evaluation’s analytical framework, which included a mixed-methods approach comprising desk research, surveys, interviews and workshops. The consultation aimed at systematically collecting and analysing the perspectives of all key stakeholders, including public authorities, the private sector, civil society, members of academia, experts and individual citizens, to inform the evaluation conclusions and the policy-making process.</w:t>
      </w:r>
    </w:p>
    <w:p w14:paraId="3C1B69A3" w14:textId="42C5D1CB" w:rsidR="00D52AD8" w:rsidRPr="00C57110" w:rsidRDefault="00D52AD8" w:rsidP="00D52AD8">
      <w:pPr>
        <w:pStyle w:val="Heading2"/>
        <w:rPr>
          <w:noProof/>
        </w:rPr>
      </w:pPr>
      <w:bookmarkStart w:id="579" w:name="_Toc218702630"/>
      <w:bookmarkStart w:id="580" w:name="_Toc219039553"/>
      <w:bookmarkStart w:id="581" w:name="_Toc219447456"/>
      <w:r w:rsidRPr="00C57110">
        <w:rPr>
          <w:noProof/>
        </w:rPr>
        <w:t>Mapping of stakeholders</w:t>
      </w:r>
      <w:bookmarkEnd w:id="579"/>
      <w:bookmarkEnd w:id="580"/>
      <w:bookmarkEnd w:id="581"/>
    </w:p>
    <w:p w14:paraId="02B06B75" w14:textId="029CB71F" w:rsidR="00D52AD8" w:rsidRPr="00C57110" w:rsidRDefault="00D52AD8" w:rsidP="00D52AD8">
      <w:pPr>
        <w:pStyle w:val="Text1"/>
        <w:ind w:left="0"/>
        <w:rPr>
          <w:noProof/>
        </w:rPr>
      </w:pPr>
      <w:r w:rsidRPr="00C57110">
        <w:rPr>
          <w:noProof/>
        </w:rPr>
        <w:t xml:space="preserve">The consultation activities </w:t>
      </w:r>
      <w:r w:rsidR="00B202FC" w:rsidRPr="00380B24">
        <w:rPr>
          <w:noProof/>
        </w:rPr>
        <w:t>to evaluate</w:t>
      </w:r>
      <w:r w:rsidRPr="00C57110">
        <w:rPr>
          <w:noProof/>
        </w:rPr>
        <w:t xml:space="preserve"> ENISA and the ECCF were designed to ensure broad and balanced representation of all relevant </w:t>
      </w:r>
      <w:r w:rsidR="00B202FC" w:rsidRPr="00380B24">
        <w:rPr>
          <w:noProof/>
        </w:rPr>
        <w:t>stakeholders</w:t>
      </w:r>
      <w:r w:rsidRPr="00C57110">
        <w:rPr>
          <w:noProof/>
        </w:rPr>
        <w:t xml:space="preserve"> in the European cybersecurity landscape. Stakeholders were identified and mapped according to their institutional role, their involvement in cybersecurity policy and practice</w:t>
      </w:r>
      <w:r w:rsidR="00B202FC" w:rsidRPr="00380B24">
        <w:rPr>
          <w:noProof/>
        </w:rPr>
        <w:t>,</w:t>
      </w:r>
      <w:r w:rsidRPr="00C57110">
        <w:rPr>
          <w:noProof/>
        </w:rPr>
        <w:t xml:space="preserve"> and their relationship to ENISA and the ECCF. This mapping informed the design and targeting of surveys, interviews and workshops.</w:t>
      </w:r>
    </w:p>
    <w:p w14:paraId="451727CB" w14:textId="77777777" w:rsidR="00D52AD8" w:rsidRPr="00C57110" w:rsidRDefault="00D52AD8" w:rsidP="00D52AD8">
      <w:pPr>
        <w:pStyle w:val="Text1"/>
        <w:ind w:left="0"/>
        <w:rPr>
          <w:noProof/>
        </w:rPr>
      </w:pPr>
      <w:r w:rsidRPr="00C57110">
        <w:rPr>
          <w:noProof/>
        </w:rPr>
        <w:t>The main stakeholder categories included:</w:t>
      </w:r>
    </w:p>
    <w:p w14:paraId="048B1115"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EU institutions and bodies: </w:t>
      </w:r>
      <w:r w:rsidRPr="00380B24">
        <w:rPr>
          <w:noProof/>
        </w:rPr>
        <w:t>this group comprised the European Commission, the European Parliament and decentralised agencies with responsibilities in cybersecurity policy, oversight and implementation. Their input focused on policy development, regulatory coherence and cross-border coordination.</w:t>
      </w:r>
    </w:p>
    <w:p w14:paraId="661B0534"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National public authorities: </w:t>
      </w:r>
      <w:r w:rsidRPr="00380B24">
        <w:rPr>
          <w:noProof/>
        </w:rPr>
        <w:t>national cybersecurity agencies, competent ministries, regulators and other authorities responsible for implementing and enforcing cybersecurity policy were included. These stakeholders provided perspectives on national approaches, regulatory challenges and the practicalities of executing policy.</w:t>
      </w:r>
    </w:p>
    <w:p w14:paraId="35A38D09"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Industry and private sector organisations: </w:t>
      </w:r>
      <w:r w:rsidRPr="00380B24">
        <w:rPr>
          <w:noProof/>
        </w:rPr>
        <w:t>this category included companies involved in developing, providing or operating digital products and services, such as hardware manufacturers, software developers, cloud service providers and cybersecurity solution vendors. Their input was essential for understanding the impact of certification schemes and regulatory requirements on market stakeholders.</w:t>
      </w:r>
    </w:p>
    <w:p w14:paraId="5E665062"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Industry associations and representative bodies: </w:t>
      </w:r>
      <w:r w:rsidRPr="00380B24">
        <w:rPr>
          <w:noProof/>
        </w:rPr>
        <w:t>associations representing the collective interests of businesses and industry sectors were engaged to reflect the perspectives of both large enterprises and SMEs. These organisations often acted as intermediaries, helping their members participate in the consultation process.</w:t>
      </w:r>
    </w:p>
    <w:p w14:paraId="1626AFB2"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SMEs: </w:t>
      </w:r>
      <w:r w:rsidRPr="00380B24">
        <w:rPr>
          <w:noProof/>
        </w:rPr>
        <w:t>these were consulted both directly and through representative associations. Their feedback was important for assessing the proportionality and accessibility of the regulatory framework, given their specific resource constraints and operational realities.</w:t>
      </w:r>
    </w:p>
    <w:p w14:paraId="652F0F50"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Academic and research institutions: </w:t>
      </w:r>
      <w:r w:rsidRPr="00380B24">
        <w:rPr>
          <w:noProof/>
        </w:rPr>
        <w:t>universities, research centres and think tanks with expertise in cybersecurity, standardisation and policy evaluation contributed analytical and technical perspectives. Their involvement ensured a robust assessment of the strengths and limitations of the current framework.</w:t>
      </w:r>
    </w:p>
    <w:p w14:paraId="596B4D1F"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Consumer and civil society organisations: </w:t>
      </w:r>
      <w:r w:rsidRPr="00380B24">
        <w:rPr>
          <w:noProof/>
        </w:rPr>
        <w:t>organisations advocating for consumer rights, privacy, digital security and broader societal interests were included to ensure that the public interest was reflected in the evaluation. Their contributions addressed issues such as transparency, user protection and the societal impact of cybersecurity measures.</w:t>
      </w:r>
    </w:p>
    <w:p w14:paraId="047A8F08"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International organisations and standardisation bodies: </w:t>
      </w:r>
      <w:r w:rsidRPr="00380B24">
        <w:rPr>
          <w:noProof/>
        </w:rPr>
        <w:t>relevant international entities and standardisation organisations were engaged to provide input on how well European initiatives were aligned with global standards and practices.</w:t>
      </w:r>
    </w:p>
    <w:p w14:paraId="6CCDE78B" w14:textId="77777777" w:rsidR="00B202FC" w:rsidRPr="00380B24" w:rsidRDefault="00B202FC" w:rsidP="00B202FC">
      <w:pPr>
        <w:pStyle w:val="Text1"/>
        <w:numPr>
          <w:ilvl w:val="0"/>
          <w:numId w:val="184"/>
        </w:numPr>
        <w:spacing w:after="120"/>
        <w:ind w:left="714" w:hanging="357"/>
        <w:rPr>
          <w:noProof/>
        </w:rPr>
      </w:pPr>
      <w:r w:rsidRPr="00380B24">
        <w:rPr>
          <w:b/>
          <w:bCs/>
          <w:noProof/>
        </w:rPr>
        <w:t xml:space="preserve">Individual citizens: </w:t>
      </w:r>
      <w:r w:rsidRPr="00380B24">
        <w:rPr>
          <w:noProof/>
        </w:rPr>
        <w:t>members of the public were invited to participate, particularly through the targeted survey, to capture user experiences, perceptions of cybersecurity risks and expectations regarding digital security and trust.</w:t>
      </w:r>
    </w:p>
    <w:p w14:paraId="32389DD5" w14:textId="77777777" w:rsidR="00B202FC" w:rsidRPr="00380B24" w:rsidRDefault="00B202FC" w:rsidP="00B202FC">
      <w:pPr>
        <w:pStyle w:val="Text1"/>
        <w:ind w:left="0"/>
        <w:rPr>
          <w:noProof/>
        </w:rPr>
      </w:pPr>
      <w:r w:rsidRPr="00380B24">
        <w:rPr>
          <w:noProof/>
        </w:rPr>
        <w:t>This mapping ensured that the consultation strategy was inclusive and balanced, avoiding overreliance on any single group. It also guided the development of survey instruments and interview protocols, ensuring that questions were tailored to the specific roles and expertise of each stakeholder category.</w:t>
      </w:r>
    </w:p>
    <w:p w14:paraId="0953B1FD" w14:textId="0B50CCD2" w:rsidR="00D52AD8" w:rsidRPr="00C57110" w:rsidRDefault="00D52AD8" w:rsidP="00D52AD8">
      <w:pPr>
        <w:pStyle w:val="Heading2"/>
        <w:rPr>
          <w:noProof/>
        </w:rPr>
      </w:pPr>
      <w:bookmarkStart w:id="582" w:name="_Toc218702631"/>
      <w:bookmarkStart w:id="583" w:name="_Toc219039554"/>
      <w:bookmarkStart w:id="584" w:name="_Toc219447457"/>
      <w:r w:rsidRPr="00C57110">
        <w:rPr>
          <w:noProof/>
        </w:rPr>
        <w:t>Consultation activities</w:t>
      </w:r>
      <w:bookmarkEnd w:id="582"/>
      <w:bookmarkEnd w:id="583"/>
      <w:bookmarkEnd w:id="584"/>
    </w:p>
    <w:p w14:paraId="6ADFFE17" w14:textId="77777777" w:rsidR="00D52AD8" w:rsidRPr="00C57110" w:rsidRDefault="00D52AD8" w:rsidP="00D52AD8">
      <w:pPr>
        <w:pStyle w:val="Text1"/>
        <w:ind w:left="0"/>
        <w:rPr>
          <w:noProof/>
        </w:rPr>
      </w:pPr>
      <w:r w:rsidRPr="00C57110">
        <w:rPr>
          <w:noProof/>
        </w:rPr>
        <w:t>Consultation activities were conducted to support the evaluation of ENISA and the ECCF. The objective was to collect robust and representative evidence from all relevant stakeholder groups, ensuring that the evaluation was informed by a wide range of perspectives and experiences.</w:t>
      </w:r>
    </w:p>
    <w:p w14:paraId="2E23A7A0" w14:textId="77777777" w:rsidR="00D52AD8" w:rsidRPr="00C57110" w:rsidRDefault="00D52AD8" w:rsidP="00B202FC">
      <w:pPr>
        <w:pStyle w:val="Text1"/>
        <w:spacing w:after="120"/>
        <w:ind w:left="0"/>
        <w:rPr>
          <w:noProof/>
        </w:rPr>
      </w:pPr>
      <w:r w:rsidRPr="00C57110">
        <w:rPr>
          <w:noProof/>
        </w:rPr>
        <w:t>The main consultation activities included:</w:t>
      </w:r>
    </w:p>
    <w:p w14:paraId="5CF9E253" w14:textId="77777777" w:rsidR="00B202FC" w:rsidRPr="00380B24" w:rsidRDefault="00B202FC" w:rsidP="00B202FC">
      <w:pPr>
        <w:pStyle w:val="Text1"/>
        <w:numPr>
          <w:ilvl w:val="0"/>
          <w:numId w:val="183"/>
        </w:numPr>
        <w:spacing w:after="120"/>
        <w:ind w:left="714" w:hanging="357"/>
        <w:rPr>
          <w:noProof/>
        </w:rPr>
      </w:pPr>
      <w:r w:rsidRPr="00380B24">
        <w:rPr>
          <w:b/>
          <w:bCs/>
          <w:noProof/>
        </w:rPr>
        <w:t xml:space="preserve">Call for evidence: </w:t>
      </w:r>
      <w:r w:rsidRPr="00380B24">
        <w:rPr>
          <w:noProof/>
        </w:rPr>
        <w:t>a call for evidence was organised to collect feedback from a wider audience, including stakeholders not directly targeted by the survey or interviews. The call for evidence was open from 14 July to 16 September 2023 and received 41 contributions from a diverse range of stakeholders, including business associations, companies, public authorities, consumer organisations, NGOs and individual citizens. The targeted survey provided additional perspectives on the effectiveness, efficiency and impact of ENISA and the ECCF.</w:t>
      </w:r>
    </w:p>
    <w:p w14:paraId="796C773F" w14:textId="77777777" w:rsidR="00B202FC" w:rsidRPr="00380B24" w:rsidRDefault="00B202FC" w:rsidP="00B202FC">
      <w:pPr>
        <w:pStyle w:val="Text1"/>
        <w:numPr>
          <w:ilvl w:val="0"/>
          <w:numId w:val="183"/>
        </w:numPr>
        <w:spacing w:after="120"/>
        <w:ind w:left="714" w:hanging="357"/>
        <w:rPr>
          <w:noProof/>
        </w:rPr>
      </w:pPr>
      <w:r w:rsidRPr="00380B24">
        <w:rPr>
          <w:b/>
          <w:bCs/>
          <w:noProof/>
        </w:rPr>
        <w:t xml:space="preserve">Survey: </w:t>
      </w:r>
      <w:r w:rsidRPr="00380B24">
        <w:rPr>
          <w:noProof/>
        </w:rPr>
        <w:t>a targeted survey was conducted using the EUSurvey platform. The survey was designed to involve all stakeholder groups, including those involved with ENISA and the ECCF. It included both closed and open questions, with filtering to ensure that it was relevant to different respondents. The survey was sent to 856 stakeholders and was also promoted by the European Commission, ENISA and relevant associations. The survey was open from 13 February to 5 March 2024, with extensions to maximise participation. In total, 209 responses were collected, covering a broad spectrum of stakeholder categories, such as national authorities, industry stakeholders, academic institutions, consumer organisations and EU institutions.</w:t>
      </w:r>
    </w:p>
    <w:p w14:paraId="512797B5" w14:textId="77777777" w:rsidR="00B202FC" w:rsidRPr="00380B24" w:rsidRDefault="00B202FC" w:rsidP="00B202FC">
      <w:pPr>
        <w:pStyle w:val="Text1"/>
        <w:numPr>
          <w:ilvl w:val="0"/>
          <w:numId w:val="183"/>
        </w:numPr>
        <w:spacing w:after="120"/>
        <w:ind w:left="714" w:hanging="357"/>
        <w:rPr>
          <w:noProof/>
        </w:rPr>
      </w:pPr>
      <w:r w:rsidRPr="00380B24">
        <w:rPr>
          <w:b/>
          <w:bCs/>
          <w:noProof/>
        </w:rPr>
        <w:t>Interviews:</w:t>
      </w:r>
      <w:r w:rsidRPr="00380B24">
        <w:rPr>
          <w:noProof/>
        </w:rPr>
        <w:t xml:space="preserve"> a structured interview programme was carried out to gather in-depth qualitative insights. The study team contacted 182 individuals and conducted 49 interviews for ENISA and 13 for the ECCF. Interviewees included ENISA staff and representatives of the European Commission, national authorities, industry, academia and international organisations. The interviews were designed to explore key evaluation questions in greater detail and to validate findings from other consultation activities.</w:t>
      </w:r>
    </w:p>
    <w:p w14:paraId="156DB342" w14:textId="5129C427" w:rsidR="00D52AD8" w:rsidRPr="00C57110" w:rsidRDefault="00D52AD8" w:rsidP="00B202FC">
      <w:pPr>
        <w:pStyle w:val="Text1"/>
        <w:numPr>
          <w:ilvl w:val="0"/>
          <w:numId w:val="183"/>
        </w:numPr>
        <w:spacing w:after="120"/>
        <w:ind w:left="714" w:hanging="357"/>
        <w:rPr>
          <w:noProof/>
        </w:rPr>
      </w:pPr>
      <w:r w:rsidRPr="00C57110">
        <w:rPr>
          <w:b/>
          <w:bCs/>
          <w:noProof/>
        </w:rPr>
        <w:t xml:space="preserve">Workshops: </w:t>
      </w:r>
      <w:r w:rsidR="00B202FC" w:rsidRPr="00380B24">
        <w:rPr>
          <w:noProof/>
        </w:rPr>
        <w:t>two</w:t>
      </w:r>
      <w:r w:rsidRPr="00C57110">
        <w:rPr>
          <w:noProof/>
        </w:rPr>
        <w:t xml:space="preserve"> main workshops were held </w:t>
      </w:r>
      <w:r w:rsidR="00B202FC" w:rsidRPr="00380B24">
        <w:rPr>
          <w:noProof/>
        </w:rPr>
        <w:t>for</w:t>
      </w:r>
      <w:r w:rsidRPr="00C57110">
        <w:rPr>
          <w:noProof/>
        </w:rPr>
        <w:t xml:space="preserve"> collective discussion and validation of findings. The first was a SWOT and </w:t>
      </w:r>
      <w:r w:rsidR="00B202FC" w:rsidRPr="00380B24">
        <w:rPr>
          <w:noProof/>
        </w:rPr>
        <w:t>recommendations workshop</w:t>
      </w:r>
      <w:r w:rsidRPr="00C57110">
        <w:rPr>
          <w:noProof/>
        </w:rPr>
        <w:t>, which brought together stakeholders from academia, ENISA, the European Commission and industry to discuss strengths, weaknesses, opportunities and threats related to ENISA and the ECCF. This workshop included interactive polling and breakout sessions to gather detailed feedback and suggestions for improvement. The second workshop focused on validating preliminary evaluation results and collecting recommendations for future improvements. Participants included representatives from the European Commission, Member States and other key stakeholder groups.</w:t>
      </w:r>
    </w:p>
    <w:p w14:paraId="2C829C0E" w14:textId="4A56E63C" w:rsidR="00D52AD8" w:rsidRPr="00C57110" w:rsidRDefault="00D52AD8" w:rsidP="00D52AD8">
      <w:pPr>
        <w:pStyle w:val="Text1"/>
        <w:ind w:left="0"/>
        <w:rPr>
          <w:noProof/>
        </w:rPr>
      </w:pPr>
      <w:r w:rsidRPr="00C57110">
        <w:rPr>
          <w:noProof/>
        </w:rPr>
        <w:t>The overarching objective of these consultation activities was to ensure that the evaluation of ENISA and the ECCF was informed by stakeholder input. Each activity was designed to capture a specific type of evidence: desk research provided context and baseline data</w:t>
      </w:r>
      <w:r w:rsidR="00B202FC" w:rsidRPr="00380B24">
        <w:rPr>
          <w:noProof/>
        </w:rPr>
        <w:t>;</w:t>
      </w:r>
      <w:r w:rsidRPr="00C57110">
        <w:rPr>
          <w:noProof/>
        </w:rPr>
        <w:t xml:space="preserve"> the survey programme enabled quantitative analysis of stakeholder views</w:t>
      </w:r>
      <w:r w:rsidR="00B202FC" w:rsidRPr="00380B24">
        <w:rPr>
          <w:noProof/>
        </w:rPr>
        <w:t>;</w:t>
      </w:r>
      <w:r w:rsidRPr="00C57110">
        <w:rPr>
          <w:noProof/>
        </w:rPr>
        <w:t xml:space="preserve"> interviews offered qualitative depth and validation</w:t>
      </w:r>
      <w:r w:rsidR="00B202FC" w:rsidRPr="00380B24">
        <w:rPr>
          <w:noProof/>
        </w:rPr>
        <w:t>;</w:t>
      </w:r>
      <w:r w:rsidRPr="00C57110">
        <w:rPr>
          <w:noProof/>
        </w:rPr>
        <w:t xml:space="preserve"> and workshops </w:t>
      </w:r>
      <w:r w:rsidR="00B202FC" w:rsidRPr="00380B24">
        <w:rPr>
          <w:noProof/>
        </w:rPr>
        <w:t>allowed</w:t>
      </w:r>
      <w:r w:rsidRPr="00C57110">
        <w:rPr>
          <w:noProof/>
        </w:rPr>
        <w:t xml:space="preserve"> collective reflection and consensus-building. Together, these activities ensured that the evaluation </w:t>
      </w:r>
      <w:r w:rsidR="00B202FC" w:rsidRPr="00380B24">
        <w:rPr>
          <w:noProof/>
        </w:rPr>
        <w:t>reflected</w:t>
      </w:r>
      <w:r w:rsidRPr="00C57110">
        <w:rPr>
          <w:noProof/>
        </w:rPr>
        <w:t xml:space="preserve"> the experiences, needs and expectations of all relevant </w:t>
      </w:r>
      <w:r w:rsidR="00B202FC" w:rsidRPr="00380B24">
        <w:rPr>
          <w:noProof/>
        </w:rPr>
        <w:t>stakeholders</w:t>
      </w:r>
      <w:r w:rsidRPr="00C57110">
        <w:rPr>
          <w:noProof/>
        </w:rPr>
        <w:t xml:space="preserve"> in the European cybersecurity ecosystem.</w:t>
      </w:r>
    </w:p>
    <w:p w14:paraId="29A99DF4" w14:textId="4A039FC4" w:rsidR="00D52AD8" w:rsidRPr="00C57110" w:rsidRDefault="00D52AD8" w:rsidP="00D52AD8">
      <w:pPr>
        <w:pStyle w:val="Heading2"/>
        <w:rPr>
          <w:noProof/>
        </w:rPr>
      </w:pPr>
      <w:bookmarkStart w:id="585" w:name="_Toc218702632"/>
      <w:bookmarkStart w:id="586" w:name="_Toc219039555"/>
      <w:bookmarkStart w:id="587" w:name="_Toc219447458"/>
      <w:r w:rsidRPr="00C57110">
        <w:rPr>
          <w:noProof/>
        </w:rPr>
        <w:t>Call for evidence</w:t>
      </w:r>
      <w:bookmarkEnd w:id="585"/>
      <w:bookmarkEnd w:id="586"/>
      <w:bookmarkEnd w:id="587"/>
    </w:p>
    <w:p w14:paraId="06C24A0E" w14:textId="77777777" w:rsidR="00B202FC" w:rsidRPr="00380B24" w:rsidRDefault="00B202FC" w:rsidP="00B202FC">
      <w:pPr>
        <w:pStyle w:val="Text1"/>
        <w:ind w:left="0"/>
        <w:rPr>
          <w:noProof/>
        </w:rPr>
      </w:pPr>
      <w:r w:rsidRPr="00380B24">
        <w:rPr>
          <w:noProof/>
        </w:rPr>
        <w:t>The call for evidence was conducted from 14 July to 16 September 2023 to collect stakeholder feedback on the impact, effectiveness and efficiency of ENISA’s mandate and the ECCF. The consultation aimed to gather views from a broad range of stakeholders, particularly those involved in the EU cybersecurity certification process. In total, 41 responses were received from 13 EU Member States and two non-EU countries, with the majority of contributions coming from the private sector. Nearly half of the respondents were business associations (20), followed by companies and businesses (9), public authorities (4), consumer organisations (1), NGOs (1), research centres and standards associations (4), and individual citizens (2). Most respondents (85%) were based in the EU, with the remainder from the USA and the UK. Sectoral representation was also diverse, with significant input from digital service providers, digital infrastructure providers, manufacturing trade associations and generalist organisations.</w:t>
      </w:r>
    </w:p>
    <w:p w14:paraId="669FBEE5" w14:textId="77777777" w:rsidR="00B202FC" w:rsidRPr="00380B24" w:rsidRDefault="00B202FC" w:rsidP="00B202FC">
      <w:pPr>
        <w:pStyle w:val="Text1"/>
        <w:ind w:left="0"/>
        <w:rPr>
          <w:noProof/>
        </w:rPr>
      </w:pPr>
      <w:r w:rsidRPr="00380B24">
        <w:rPr>
          <w:noProof/>
        </w:rPr>
        <w:t>The call for evidence sought to assess three main areas: the overall organisation and performance of ENISA, the functioning of the ECCF and feedback on specific certification schemes, particularly the Cloud Services Scheme (EUCS). Stakeholder feedback on ENISA was generally positive, with around 30% of respondents recognising ENISA as a leading centre of cybersecurity expertise in the EU. Particularly appreciated were its contributions to cyber resilience, incident response and the promotion of cooperation and best practice exchange. However, almost 22% of respondents said that ENISA’s resources and capabilities needed to be distributed adequately and consistently, citing also challenges in recruiting qualified staff. Stakeholders recommended increasing cooperation with academic and research institutions to maintain specialised expertise.</w:t>
      </w:r>
    </w:p>
    <w:p w14:paraId="196B3FCB" w14:textId="77777777" w:rsidR="00B202FC" w:rsidRPr="00380B24" w:rsidRDefault="00B202FC" w:rsidP="00B202FC">
      <w:pPr>
        <w:pStyle w:val="Text1"/>
        <w:ind w:left="0"/>
        <w:rPr>
          <w:noProof/>
        </w:rPr>
      </w:pPr>
      <w:r w:rsidRPr="00380B24">
        <w:rPr>
          <w:noProof/>
        </w:rPr>
        <w:t>A recurring theme in the feedback was the need for greater transparency and stakeholder involvement in ENISA’s processes. Over 40% of respondents expressed concerns about insufficient engagement, particularly for smaller organisations and civil society representatives. Stakeholders called for more meaningful participation and improved communication, and for ‘update only’ meetings to be avoided. While it was highlighted that ENISA engaged with Member States through the national liaison officers network, some respondents noted limited benefits from existing working groups due to organisational challenges.</w:t>
      </w:r>
    </w:p>
    <w:p w14:paraId="427B181A" w14:textId="77777777" w:rsidR="00B202FC" w:rsidRPr="00380B24" w:rsidRDefault="00B202FC" w:rsidP="00B202FC">
      <w:pPr>
        <w:pStyle w:val="Text1"/>
        <w:ind w:left="0"/>
        <w:rPr>
          <w:noProof/>
        </w:rPr>
      </w:pPr>
      <w:r w:rsidRPr="00380B24">
        <w:rPr>
          <w:noProof/>
        </w:rPr>
        <w:t>Regarding the ECCF, stakeholders generally viewed EU cybersecurity certification as a useful and promising tool, but highlighted several areas for improvement. Delays in adopting certification schemes and the Union rolling work programme (URWP) were frequently mentioned as limiting the impact of the framework. Approximately 34% of respondents reported that they were insufficiently involved in developing certification schemes). A similar proportion (32%) highlighted a lack of transparency in ECCF procedures, including opaque decision-making, insufficient information sharing and changes to draft schemes without prior consultation. Stakeholders emphasised the importance of increasing transparency regarding the composition and functioning of ad hoc working groups, and of ensuring that members have access to draft schemes and are promptly informed of significant changes.</w:t>
      </w:r>
    </w:p>
    <w:p w14:paraId="0758709F" w14:textId="77777777" w:rsidR="00B202FC" w:rsidRPr="00380B24" w:rsidRDefault="00B202FC" w:rsidP="00B202FC">
      <w:pPr>
        <w:pStyle w:val="Text1"/>
        <w:ind w:left="0"/>
        <w:rPr>
          <w:noProof/>
        </w:rPr>
      </w:pPr>
      <w:r w:rsidRPr="00380B24">
        <w:rPr>
          <w:noProof/>
        </w:rPr>
        <w:t>The mandatory nature of certification schemes was another area of debate. Of the 34% of respondents who raised this issue, the majority were opposed to mandatory requirements, citing concerns about increased costs and barriers to the internal market, particularly for SMEs. Those in favour of mandatory certification stressed the need for sectoral approaches, alignment with international standards and the use of impact assessments to evaluate the potential effects on economic operators and the internal market.</w:t>
      </w:r>
    </w:p>
    <w:p w14:paraId="3B975B62" w14:textId="02CB6304" w:rsidR="00D52AD8" w:rsidRPr="00C57110" w:rsidRDefault="00D52AD8" w:rsidP="00D52AD8">
      <w:pPr>
        <w:pStyle w:val="Text1"/>
        <w:ind w:left="0"/>
        <w:rPr>
          <w:noProof/>
        </w:rPr>
      </w:pPr>
      <w:r w:rsidRPr="00C57110">
        <w:rPr>
          <w:noProof/>
        </w:rPr>
        <w:t xml:space="preserve">The Cloud Services Scheme attracted particular attention, with </w:t>
      </w:r>
      <w:r w:rsidR="00B202FC" w:rsidRPr="00380B24">
        <w:rPr>
          <w:noProof/>
        </w:rPr>
        <w:t>9</w:t>
      </w:r>
      <w:r w:rsidRPr="00C57110">
        <w:rPr>
          <w:noProof/>
        </w:rPr>
        <w:t xml:space="preserve"> out of </w:t>
      </w:r>
      <w:r w:rsidR="00B202FC" w:rsidRPr="00380B24">
        <w:rPr>
          <w:noProof/>
        </w:rPr>
        <w:t>10</w:t>
      </w:r>
      <w:r w:rsidRPr="00C57110">
        <w:rPr>
          <w:noProof/>
        </w:rPr>
        <w:t xml:space="preserve"> stakeholders concerned about the certification process</w:t>
      </w:r>
      <w:r w:rsidR="00B202FC" w:rsidRPr="00380B24">
        <w:rPr>
          <w:noProof/>
        </w:rPr>
        <w:t xml:space="preserve"> being politicised</w:t>
      </w:r>
      <w:r w:rsidRPr="00C57110">
        <w:rPr>
          <w:noProof/>
        </w:rPr>
        <w:t>, especially regarding data localisation requirements. Respondents warned that such requirements could disrupt business relationships and hinder market competition, particularly for providers headquartered outside the EU.</w:t>
      </w:r>
    </w:p>
    <w:p w14:paraId="389991D9" w14:textId="4FA2546A" w:rsidR="00D52AD8" w:rsidRPr="00C57110" w:rsidRDefault="00D52AD8" w:rsidP="00D52AD8">
      <w:pPr>
        <w:pStyle w:val="Text1"/>
        <w:ind w:left="0"/>
        <w:rPr>
          <w:noProof/>
        </w:rPr>
      </w:pPr>
      <w:r w:rsidRPr="00C57110">
        <w:rPr>
          <w:noProof/>
        </w:rPr>
        <w:t xml:space="preserve">Stakeholders also stressed the importance of aligning EU certification schemes with international standards (21% of respondents) and ensuring coherence with the broader EU legislative framework (20%). Recommendations included streamlining compliance, allowing audit reports </w:t>
      </w:r>
      <w:r w:rsidR="00B202FC" w:rsidRPr="00380B24">
        <w:rPr>
          <w:noProof/>
        </w:rPr>
        <w:t xml:space="preserve">to be reused </w:t>
      </w:r>
      <w:r w:rsidRPr="00C57110">
        <w:rPr>
          <w:noProof/>
        </w:rPr>
        <w:t>for multiple legal acts and ensuring mutual recognition of cybersecurity certificates across EU countries.</w:t>
      </w:r>
    </w:p>
    <w:p w14:paraId="2FBBB5FB" w14:textId="77777777" w:rsidR="00B202FC" w:rsidRPr="00380B24" w:rsidRDefault="00B202FC" w:rsidP="00B202FC">
      <w:pPr>
        <w:pStyle w:val="Text1"/>
        <w:ind w:left="0"/>
        <w:rPr>
          <w:noProof/>
        </w:rPr>
      </w:pPr>
      <w:r w:rsidRPr="00380B24">
        <w:rPr>
          <w:noProof/>
        </w:rPr>
        <w:t>In summary, the call for evidence highlighted both strengths and areas for improvement in ENISA’s mandate and in the ECCF. Stakeholders recognised ENISA’s expertise and positive impact, but called for adequate resources that are distributed appropriately, for greater transparency and for more inclusive stakeholder engagement. As regards the ECCF, the feedback underscored the need for schemes to be adopted in a timely manner and for greater transparency, stronger stakeholder involvement and alignment with international standards and EU law. The consultation also revealed concerns about certification processes being politicised by considerations related to non-technical risk factors. Overall, the feedback emphasised the importance of collaborative and inclusive approaches to developing effective European cybersecurity policies and certification frameworks.</w:t>
      </w:r>
    </w:p>
    <w:p w14:paraId="4F413075" w14:textId="2AB4E1BB" w:rsidR="00B202FC" w:rsidRPr="00380B24" w:rsidRDefault="00B202FC" w:rsidP="00B202FC">
      <w:pPr>
        <w:pStyle w:val="Heading2"/>
        <w:rPr>
          <w:noProof/>
        </w:rPr>
      </w:pPr>
      <w:bookmarkStart w:id="588" w:name="_Toc218702633"/>
      <w:bookmarkStart w:id="589" w:name="_Toc219039556"/>
      <w:bookmarkStart w:id="590" w:name="_Toc219447459"/>
      <w:r w:rsidRPr="00380B24">
        <w:rPr>
          <w:noProof/>
        </w:rPr>
        <w:t>Targeted survey</w:t>
      </w:r>
      <w:bookmarkEnd w:id="588"/>
      <w:bookmarkEnd w:id="589"/>
      <w:bookmarkEnd w:id="590"/>
    </w:p>
    <w:p w14:paraId="12ECCB4E" w14:textId="77777777" w:rsidR="00B202FC" w:rsidRPr="00380B24" w:rsidRDefault="00B202FC" w:rsidP="00B202FC">
      <w:pPr>
        <w:pStyle w:val="Text1"/>
        <w:ind w:left="0"/>
        <w:rPr>
          <w:noProof/>
        </w:rPr>
      </w:pPr>
      <w:r w:rsidRPr="00380B24">
        <w:rPr>
          <w:noProof/>
        </w:rPr>
        <w:t>The targeted survey formed a central part of the evaluation of ENISA and the ECCF. It aimed to collect evidence and perspectives from a broad pool of stakeholders across the European cybersecurity ecosystem. The consultation was designed to assess the effectiveness, efficiency, relevance, coherence and added value of ENISA and the ECCF, and to ensure that the evaluation was informed by the experiences and expectations of all relevant stakeholders. This included stakeholders directly involved with ENISA and the ECCF, as well as those who benefit from their outputs and activities.</w:t>
      </w:r>
    </w:p>
    <w:p w14:paraId="3968115A" w14:textId="218D36B0" w:rsidR="00D52AD8" w:rsidRPr="00C57110" w:rsidRDefault="00D52AD8" w:rsidP="00D52AD8">
      <w:pPr>
        <w:pStyle w:val="Text1"/>
        <w:ind w:left="0"/>
        <w:rPr>
          <w:noProof/>
        </w:rPr>
      </w:pPr>
      <w:r w:rsidRPr="00C57110">
        <w:rPr>
          <w:noProof/>
        </w:rPr>
        <w:t>The survey programme was conducted via the EUSurvey platform, with the questionnaire developed on the basis of desk research, initial interviews and feedback. The survey included both closed and open questions, with filtering and branching logic to ensure that respondents were asked questions relevant to their background and involvement with ENISA and/or the ECCF. The survey was launched on 13</w:t>
      </w:r>
      <w:r w:rsidR="00B202FC" w:rsidRPr="00380B24">
        <w:rPr>
          <w:noProof/>
        </w:rPr>
        <w:t> </w:t>
      </w:r>
      <w:r w:rsidRPr="00C57110">
        <w:rPr>
          <w:noProof/>
        </w:rPr>
        <w:t>February and closed on 5</w:t>
      </w:r>
      <w:r w:rsidR="00B202FC" w:rsidRPr="00380B24">
        <w:rPr>
          <w:noProof/>
        </w:rPr>
        <w:t> </w:t>
      </w:r>
      <w:r w:rsidRPr="00C57110">
        <w:rPr>
          <w:noProof/>
        </w:rPr>
        <w:t>March 2024, with extensions and follow-up reminders to maximise participation.</w:t>
      </w:r>
    </w:p>
    <w:p w14:paraId="686E7BBD" w14:textId="0F3BD5B7" w:rsidR="00D52AD8" w:rsidRPr="00C57110" w:rsidRDefault="00D52AD8" w:rsidP="00D52AD8">
      <w:pPr>
        <w:pStyle w:val="Heading3"/>
        <w:rPr>
          <w:noProof/>
        </w:rPr>
      </w:pPr>
      <w:bookmarkStart w:id="591" w:name="_Toc218702634"/>
      <w:bookmarkStart w:id="592" w:name="_Toc219039557"/>
      <w:bookmarkStart w:id="593" w:name="_Toc219447460"/>
      <w:r w:rsidRPr="00C57110">
        <w:rPr>
          <w:noProof/>
        </w:rPr>
        <w:t>Stakeholder participation</w:t>
      </w:r>
      <w:bookmarkEnd w:id="591"/>
      <w:bookmarkEnd w:id="592"/>
      <w:bookmarkEnd w:id="593"/>
    </w:p>
    <w:p w14:paraId="718DFDE3" w14:textId="4177AFB1" w:rsidR="00D52AD8" w:rsidRPr="00380B24" w:rsidRDefault="00D52AD8" w:rsidP="00E5147D">
      <w:pPr>
        <w:pStyle w:val="Text1"/>
        <w:ind w:left="0"/>
        <w:rPr>
          <w:noProof/>
        </w:rPr>
      </w:pPr>
      <w:bookmarkStart w:id="594" w:name="_Toc163500290"/>
      <w:bookmarkStart w:id="595" w:name="_Toc168425243"/>
      <w:bookmarkStart w:id="596" w:name="_Toc168426429"/>
      <w:bookmarkStart w:id="597" w:name="_Toc173138213"/>
      <w:bookmarkStart w:id="598" w:name="_Toc173524576"/>
      <w:r w:rsidRPr="00913100">
        <w:rPr>
          <w:noProof/>
        </w:rPr>
        <w:t xml:space="preserve">A total of 856 stakeholders received a personal invitation to complete the survey. The survey link was also promoted via the Commission’s news page, </w:t>
      </w:r>
      <w:r w:rsidR="00B202FC" w:rsidRPr="00380B24">
        <w:rPr>
          <w:noProof/>
          <w:szCs w:val="24"/>
        </w:rPr>
        <w:t xml:space="preserve">in </w:t>
      </w:r>
      <w:r w:rsidRPr="00C57110">
        <w:rPr>
          <w:noProof/>
          <w:szCs w:val="24"/>
        </w:rPr>
        <w:t xml:space="preserve">ENISA’s internal communications and </w:t>
      </w:r>
      <w:r w:rsidR="00B202FC" w:rsidRPr="00380B24">
        <w:rPr>
          <w:noProof/>
          <w:szCs w:val="24"/>
        </w:rPr>
        <w:t xml:space="preserve">by the </w:t>
      </w:r>
      <w:r w:rsidRPr="00C57110">
        <w:rPr>
          <w:noProof/>
          <w:szCs w:val="24"/>
        </w:rPr>
        <w:t>relevant associations. Up to three follow-up emails were sent to non-respondents and the deadline was extended by one week to accommodate additional responses. In total, 209 responses were received, representing a broad cross-section of stakeholder groups and ensuring a robust and representative evidence base for the evaluation.</w:t>
      </w:r>
    </w:p>
    <w:p w14:paraId="36034044" w14:textId="77777777" w:rsidR="00D52AD8" w:rsidRPr="00E5147D" w:rsidRDefault="00D52AD8" w:rsidP="00E5147D">
      <w:pPr>
        <w:rPr>
          <w:b/>
          <w:noProof/>
          <w:sz w:val="20"/>
          <w:szCs w:val="20"/>
        </w:rPr>
      </w:pPr>
      <w:r w:rsidRPr="00E5147D">
        <w:rPr>
          <w:b/>
          <w:noProof/>
          <w:sz w:val="20"/>
          <w:szCs w:val="20"/>
        </w:rPr>
        <w:t>Table 1. Number of survey responses per stakeholder group (overall)</w:t>
      </w:r>
      <w:bookmarkEnd w:id="594"/>
      <w:bookmarkEnd w:id="595"/>
      <w:bookmarkEnd w:id="596"/>
      <w:bookmarkEnd w:id="597"/>
      <w:bookmarkEnd w:id="598"/>
    </w:p>
    <w:tbl>
      <w:tblPr>
        <w:tblStyle w:val="TableGrid"/>
        <w:tblW w:w="5000" w:type="pct"/>
        <w:jc w:val="center"/>
        <w:tblBorders>
          <w:insideH w:val="single" w:sz="6" w:space="0" w:color="auto"/>
          <w:insideV w:val="single" w:sz="6" w:space="0" w:color="auto"/>
        </w:tblBorders>
        <w:tblLook w:val="04A0" w:firstRow="1" w:lastRow="0" w:firstColumn="1" w:lastColumn="0" w:noHBand="0" w:noVBand="1"/>
      </w:tblPr>
      <w:tblGrid>
        <w:gridCol w:w="1372"/>
        <w:gridCol w:w="1061"/>
        <w:gridCol w:w="994"/>
        <w:gridCol w:w="1050"/>
        <w:gridCol w:w="1338"/>
        <w:gridCol w:w="950"/>
        <w:gridCol w:w="828"/>
        <w:gridCol w:w="1276"/>
        <w:gridCol w:w="707"/>
      </w:tblGrid>
      <w:tr w:rsidR="00B202FC" w:rsidRPr="00380B24" w14:paraId="427B15A7" w14:textId="77777777">
        <w:trPr>
          <w:jc w:val="center"/>
        </w:trPr>
        <w:tc>
          <w:tcPr>
            <w:tcW w:w="698" w:type="pct"/>
          </w:tcPr>
          <w:p w14:paraId="0756BF46" w14:textId="77777777" w:rsidR="00B202FC" w:rsidRPr="00380B24" w:rsidRDefault="00B202FC">
            <w:pPr>
              <w:rPr>
                <w:noProof/>
                <w:lang w:eastAsia="lt-LT"/>
              </w:rPr>
            </w:pPr>
          </w:p>
        </w:tc>
        <w:tc>
          <w:tcPr>
            <w:tcW w:w="577" w:type="pct"/>
            <w:shd w:val="clear" w:color="auto" w:fill="C6D9F1" w:themeFill="text2" w:themeFillTint="33"/>
            <w:vAlign w:val="center"/>
          </w:tcPr>
          <w:p w14:paraId="25F48FD3" w14:textId="77777777" w:rsidR="00B202FC" w:rsidRPr="00380B24" w:rsidRDefault="00B202FC">
            <w:pPr>
              <w:jc w:val="center"/>
              <w:rPr>
                <w:b/>
                <w:bCs/>
                <w:noProof/>
                <w:sz w:val="20"/>
                <w:szCs w:val="16"/>
                <w:lang w:eastAsia="lt-LT"/>
              </w:rPr>
            </w:pPr>
            <w:r w:rsidRPr="00380B24">
              <w:rPr>
                <w:b/>
                <w:bCs/>
                <w:noProof/>
                <w:sz w:val="20"/>
                <w:szCs w:val="16"/>
              </w:rPr>
              <w:t>ENISA Ad hoc Working Groups</w:t>
            </w:r>
          </w:p>
        </w:tc>
        <w:tc>
          <w:tcPr>
            <w:tcW w:w="510" w:type="pct"/>
            <w:shd w:val="clear" w:color="auto" w:fill="C6D9F1" w:themeFill="text2" w:themeFillTint="33"/>
            <w:vAlign w:val="center"/>
          </w:tcPr>
          <w:p w14:paraId="323E5401" w14:textId="77777777" w:rsidR="00B202FC" w:rsidRPr="00380B24" w:rsidRDefault="00B202FC">
            <w:pPr>
              <w:jc w:val="center"/>
              <w:rPr>
                <w:b/>
                <w:bCs/>
                <w:noProof/>
                <w:sz w:val="20"/>
                <w:szCs w:val="16"/>
                <w:lang w:eastAsia="lt-LT"/>
              </w:rPr>
            </w:pPr>
            <w:r w:rsidRPr="00380B24">
              <w:rPr>
                <w:b/>
                <w:bCs/>
                <w:noProof/>
                <w:sz w:val="20"/>
                <w:szCs w:val="16"/>
              </w:rPr>
              <w:t>ENISA Advisory Group</w:t>
            </w:r>
          </w:p>
        </w:tc>
        <w:tc>
          <w:tcPr>
            <w:tcW w:w="538" w:type="pct"/>
            <w:shd w:val="clear" w:color="auto" w:fill="C6D9F1" w:themeFill="text2" w:themeFillTint="33"/>
            <w:vAlign w:val="center"/>
          </w:tcPr>
          <w:p w14:paraId="1C296AFE" w14:textId="77777777" w:rsidR="00B202FC" w:rsidRPr="00380B24" w:rsidRDefault="00B202FC">
            <w:pPr>
              <w:jc w:val="center"/>
              <w:rPr>
                <w:b/>
                <w:bCs/>
                <w:noProof/>
                <w:sz w:val="20"/>
                <w:szCs w:val="16"/>
                <w:lang w:eastAsia="lt-LT"/>
              </w:rPr>
            </w:pPr>
            <w:r w:rsidRPr="00380B24">
              <w:rPr>
                <w:b/>
                <w:bCs/>
                <w:noProof/>
                <w:sz w:val="20"/>
                <w:szCs w:val="16"/>
              </w:rPr>
              <w:t>ENISA Executive Board</w:t>
            </w:r>
          </w:p>
        </w:tc>
        <w:tc>
          <w:tcPr>
            <w:tcW w:w="680" w:type="pct"/>
            <w:shd w:val="clear" w:color="auto" w:fill="C6D9F1" w:themeFill="text2" w:themeFillTint="33"/>
            <w:vAlign w:val="center"/>
          </w:tcPr>
          <w:p w14:paraId="7BFA4C14" w14:textId="77777777" w:rsidR="00B202FC" w:rsidRPr="00380B24" w:rsidRDefault="00B202FC">
            <w:pPr>
              <w:jc w:val="center"/>
              <w:rPr>
                <w:b/>
                <w:bCs/>
                <w:noProof/>
                <w:sz w:val="20"/>
                <w:szCs w:val="16"/>
                <w:lang w:eastAsia="lt-LT"/>
              </w:rPr>
            </w:pPr>
            <w:r w:rsidRPr="00380B24">
              <w:rPr>
                <w:b/>
                <w:bCs/>
                <w:noProof/>
                <w:sz w:val="20"/>
                <w:szCs w:val="16"/>
              </w:rPr>
              <w:t>ENISA Management Board</w:t>
            </w:r>
          </w:p>
        </w:tc>
        <w:tc>
          <w:tcPr>
            <w:tcW w:w="488" w:type="pct"/>
            <w:shd w:val="clear" w:color="auto" w:fill="C6D9F1" w:themeFill="text2" w:themeFillTint="33"/>
            <w:vAlign w:val="center"/>
          </w:tcPr>
          <w:p w14:paraId="4C458D7E" w14:textId="77777777" w:rsidR="00B202FC" w:rsidRPr="00380B24" w:rsidRDefault="00B202FC">
            <w:pPr>
              <w:jc w:val="center"/>
              <w:rPr>
                <w:b/>
                <w:bCs/>
                <w:noProof/>
                <w:sz w:val="20"/>
                <w:szCs w:val="16"/>
                <w:lang w:eastAsia="lt-LT"/>
              </w:rPr>
            </w:pPr>
            <w:r w:rsidRPr="00380B24">
              <w:rPr>
                <w:b/>
                <w:bCs/>
                <w:noProof/>
                <w:sz w:val="20"/>
                <w:szCs w:val="16"/>
              </w:rPr>
              <w:t>ENISA National Liaison Officer</w:t>
            </w:r>
          </w:p>
        </w:tc>
        <w:tc>
          <w:tcPr>
            <w:tcW w:w="428" w:type="pct"/>
            <w:shd w:val="clear" w:color="auto" w:fill="C6D9F1" w:themeFill="text2" w:themeFillTint="33"/>
            <w:vAlign w:val="center"/>
          </w:tcPr>
          <w:p w14:paraId="23520480" w14:textId="77777777" w:rsidR="00B202FC" w:rsidRPr="00380B24" w:rsidRDefault="00B202FC">
            <w:pPr>
              <w:jc w:val="center"/>
              <w:rPr>
                <w:b/>
                <w:bCs/>
                <w:noProof/>
                <w:sz w:val="20"/>
                <w:szCs w:val="16"/>
                <w:lang w:eastAsia="lt-LT"/>
              </w:rPr>
            </w:pPr>
            <w:r w:rsidRPr="00380B24">
              <w:rPr>
                <w:b/>
                <w:bCs/>
                <w:noProof/>
                <w:sz w:val="20"/>
                <w:szCs w:val="16"/>
              </w:rPr>
              <w:t>ENISA Staff</w:t>
            </w:r>
          </w:p>
        </w:tc>
        <w:tc>
          <w:tcPr>
            <w:tcW w:w="689" w:type="pct"/>
            <w:shd w:val="clear" w:color="auto" w:fill="C6D9F1" w:themeFill="text2" w:themeFillTint="33"/>
            <w:vAlign w:val="center"/>
          </w:tcPr>
          <w:p w14:paraId="1C83614B" w14:textId="77777777" w:rsidR="00B202FC" w:rsidRPr="00380B24" w:rsidRDefault="00B202FC">
            <w:pPr>
              <w:jc w:val="center"/>
              <w:rPr>
                <w:b/>
                <w:bCs/>
                <w:noProof/>
                <w:sz w:val="20"/>
                <w:szCs w:val="16"/>
                <w:lang w:eastAsia="lt-LT"/>
              </w:rPr>
            </w:pPr>
            <w:r w:rsidRPr="00380B24">
              <w:rPr>
                <w:b/>
                <w:bCs/>
                <w:noProof/>
                <w:sz w:val="20"/>
                <w:szCs w:val="16"/>
              </w:rPr>
              <w:t>External to ENISA</w:t>
            </w:r>
          </w:p>
        </w:tc>
        <w:tc>
          <w:tcPr>
            <w:tcW w:w="392" w:type="pct"/>
            <w:shd w:val="clear" w:color="auto" w:fill="C6D9F1" w:themeFill="text2" w:themeFillTint="33"/>
            <w:vAlign w:val="center"/>
          </w:tcPr>
          <w:p w14:paraId="773835F6" w14:textId="77777777" w:rsidR="00B202FC" w:rsidRPr="00380B24" w:rsidRDefault="00B202FC">
            <w:pPr>
              <w:jc w:val="center"/>
              <w:rPr>
                <w:b/>
                <w:bCs/>
                <w:noProof/>
                <w:sz w:val="20"/>
                <w:szCs w:val="16"/>
                <w:lang w:eastAsia="lt-LT"/>
              </w:rPr>
            </w:pPr>
            <w:r w:rsidRPr="00380B24">
              <w:rPr>
                <w:b/>
                <w:bCs/>
                <w:noProof/>
                <w:sz w:val="20"/>
                <w:szCs w:val="16"/>
              </w:rPr>
              <w:t>Total</w:t>
            </w:r>
          </w:p>
        </w:tc>
      </w:tr>
      <w:tr w:rsidR="00B202FC" w:rsidRPr="00380B24" w14:paraId="4AF90AFD" w14:textId="77777777">
        <w:trPr>
          <w:jc w:val="center"/>
        </w:trPr>
        <w:tc>
          <w:tcPr>
            <w:tcW w:w="698" w:type="pct"/>
            <w:vAlign w:val="center"/>
          </w:tcPr>
          <w:p w14:paraId="06FA881B" w14:textId="77777777" w:rsidR="00B202FC" w:rsidRPr="00380B24" w:rsidRDefault="00B202FC">
            <w:pPr>
              <w:rPr>
                <w:b/>
                <w:bCs/>
                <w:noProof/>
                <w:sz w:val="20"/>
                <w:szCs w:val="16"/>
                <w:lang w:eastAsia="lt-LT"/>
              </w:rPr>
            </w:pPr>
            <w:r w:rsidRPr="00380B24">
              <w:rPr>
                <w:b/>
                <w:bCs/>
                <w:noProof/>
                <w:sz w:val="20"/>
                <w:szCs w:val="16"/>
              </w:rPr>
              <w:t>Academia / research</w:t>
            </w:r>
          </w:p>
        </w:tc>
        <w:tc>
          <w:tcPr>
            <w:tcW w:w="577" w:type="pct"/>
            <w:vAlign w:val="center"/>
          </w:tcPr>
          <w:p w14:paraId="54441E84" w14:textId="77777777" w:rsidR="00B202FC" w:rsidRPr="00380B24" w:rsidRDefault="00B202FC">
            <w:pPr>
              <w:jc w:val="center"/>
              <w:rPr>
                <w:noProof/>
                <w:sz w:val="20"/>
                <w:lang w:eastAsia="lt-LT"/>
              </w:rPr>
            </w:pPr>
            <w:r w:rsidRPr="00380B24">
              <w:rPr>
                <w:noProof/>
                <w:sz w:val="20"/>
              </w:rPr>
              <w:t>2</w:t>
            </w:r>
          </w:p>
        </w:tc>
        <w:tc>
          <w:tcPr>
            <w:tcW w:w="510" w:type="pct"/>
            <w:vAlign w:val="center"/>
          </w:tcPr>
          <w:p w14:paraId="54539C52" w14:textId="77777777" w:rsidR="00B202FC" w:rsidRPr="00380B24" w:rsidRDefault="00B202FC">
            <w:pPr>
              <w:jc w:val="center"/>
              <w:rPr>
                <w:noProof/>
                <w:sz w:val="20"/>
                <w:lang w:eastAsia="lt-LT"/>
              </w:rPr>
            </w:pPr>
            <w:r w:rsidRPr="00380B24">
              <w:rPr>
                <w:noProof/>
                <w:sz w:val="20"/>
              </w:rPr>
              <w:t>2</w:t>
            </w:r>
          </w:p>
        </w:tc>
        <w:tc>
          <w:tcPr>
            <w:tcW w:w="538" w:type="pct"/>
            <w:vAlign w:val="center"/>
          </w:tcPr>
          <w:p w14:paraId="26A0E4FC" w14:textId="77777777" w:rsidR="00B202FC" w:rsidRPr="00380B24" w:rsidRDefault="00B202FC">
            <w:pPr>
              <w:jc w:val="center"/>
              <w:rPr>
                <w:noProof/>
                <w:sz w:val="20"/>
                <w:lang w:eastAsia="lt-LT"/>
              </w:rPr>
            </w:pPr>
          </w:p>
        </w:tc>
        <w:tc>
          <w:tcPr>
            <w:tcW w:w="680" w:type="pct"/>
            <w:vAlign w:val="center"/>
          </w:tcPr>
          <w:p w14:paraId="057D604E" w14:textId="77777777" w:rsidR="00B202FC" w:rsidRPr="00380B24" w:rsidRDefault="00B202FC">
            <w:pPr>
              <w:jc w:val="center"/>
              <w:rPr>
                <w:noProof/>
                <w:sz w:val="20"/>
                <w:lang w:eastAsia="lt-LT"/>
              </w:rPr>
            </w:pPr>
          </w:p>
        </w:tc>
        <w:tc>
          <w:tcPr>
            <w:tcW w:w="488" w:type="pct"/>
            <w:vAlign w:val="center"/>
          </w:tcPr>
          <w:p w14:paraId="35E45220" w14:textId="77777777" w:rsidR="00B202FC" w:rsidRPr="00380B24" w:rsidRDefault="00B202FC">
            <w:pPr>
              <w:jc w:val="center"/>
              <w:rPr>
                <w:noProof/>
                <w:sz w:val="20"/>
                <w:lang w:eastAsia="lt-LT"/>
              </w:rPr>
            </w:pPr>
          </w:p>
        </w:tc>
        <w:tc>
          <w:tcPr>
            <w:tcW w:w="428" w:type="pct"/>
            <w:vAlign w:val="center"/>
          </w:tcPr>
          <w:p w14:paraId="132F5B89" w14:textId="77777777" w:rsidR="00B202FC" w:rsidRPr="00380B24" w:rsidRDefault="00B202FC">
            <w:pPr>
              <w:jc w:val="center"/>
              <w:rPr>
                <w:noProof/>
                <w:sz w:val="20"/>
                <w:lang w:eastAsia="lt-LT"/>
              </w:rPr>
            </w:pPr>
          </w:p>
        </w:tc>
        <w:tc>
          <w:tcPr>
            <w:tcW w:w="689" w:type="pct"/>
            <w:vAlign w:val="center"/>
          </w:tcPr>
          <w:p w14:paraId="1AD75C4E" w14:textId="77777777" w:rsidR="00B202FC" w:rsidRPr="00380B24" w:rsidRDefault="00B202FC">
            <w:pPr>
              <w:jc w:val="center"/>
              <w:rPr>
                <w:noProof/>
                <w:sz w:val="20"/>
                <w:lang w:eastAsia="lt-LT"/>
              </w:rPr>
            </w:pPr>
            <w:r w:rsidRPr="00380B24">
              <w:rPr>
                <w:noProof/>
                <w:sz w:val="20"/>
              </w:rPr>
              <w:t>3</w:t>
            </w:r>
          </w:p>
        </w:tc>
        <w:tc>
          <w:tcPr>
            <w:tcW w:w="392" w:type="pct"/>
            <w:vAlign w:val="center"/>
          </w:tcPr>
          <w:p w14:paraId="52FCE564" w14:textId="77777777" w:rsidR="00B202FC" w:rsidRPr="00380B24" w:rsidRDefault="00B202FC">
            <w:pPr>
              <w:jc w:val="center"/>
              <w:rPr>
                <w:noProof/>
                <w:sz w:val="20"/>
                <w:lang w:eastAsia="lt-LT"/>
              </w:rPr>
            </w:pPr>
            <w:r w:rsidRPr="00380B24">
              <w:rPr>
                <w:noProof/>
                <w:sz w:val="20"/>
              </w:rPr>
              <w:t>7</w:t>
            </w:r>
          </w:p>
        </w:tc>
      </w:tr>
      <w:tr w:rsidR="00B202FC" w:rsidRPr="00380B24" w14:paraId="5D244D99" w14:textId="77777777">
        <w:trPr>
          <w:jc w:val="center"/>
        </w:trPr>
        <w:tc>
          <w:tcPr>
            <w:tcW w:w="698" w:type="pct"/>
            <w:vAlign w:val="center"/>
          </w:tcPr>
          <w:p w14:paraId="4F2767B2" w14:textId="77777777" w:rsidR="00B202FC" w:rsidRPr="00380B24" w:rsidRDefault="00B202FC">
            <w:pPr>
              <w:rPr>
                <w:b/>
                <w:bCs/>
                <w:noProof/>
                <w:sz w:val="20"/>
                <w:szCs w:val="16"/>
                <w:lang w:eastAsia="lt-LT"/>
              </w:rPr>
            </w:pPr>
            <w:r w:rsidRPr="00380B24">
              <w:rPr>
                <w:b/>
                <w:bCs/>
                <w:noProof/>
                <w:sz w:val="20"/>
                <w:szCs w:val="16"/>
              </w:rPr>
              <w:t>Consumer organisation</w:t>
            </w:r>
          </w:p>
        </w:tc>
        <w:tc>
          <w:tcPr>
            <w:tcW w:w="577" w:type="pct"/>
            <w:vAlign w:val="center"/>
          </w:tcPr>
          <w:p w14:paraId="35C2050F" w14:textId="77777777" w:rsidR="00B202FC" w:rsidRPr="00380B24" w:rsidRDefault="00B202FC">
            <w:pPr>
              <w:jc w:val="center"/>
              <w:rPr>
                <w:noProof/>
                <w:sz w:val="20"/>
                <w:lang w:eastAsia="lt-LT"/>
              </w:rPr>
            </w:pPr>
          </w:p>
        </w:tc>
        <w:tc>
          <w:tcPr>
            <w:tcW w:w="510" w:type="pct"/>
            <w:vAlign w:val="center"/>
          </w:tcPr>
          <w:p w14:paraId="6F48F1C7" w14:textId="77777777" w:rsidR="00B202FC" w:rsidRPr="00380B24" w:rsidRDefault="00B202FC">
            <w:pPr>
              <w:jc w:val="center"/>
              <w:rPr>
                <w:noProof/>
                <w:sz w:val="20"/>
                <w:lang w:eastAsia="lt-LT"/>
              </w:rPr>
            </w:pPr>
            <w:r w:rsidRPr="00380B24">
              <w:rPr>
                <w:noProof/>
                <w:sz w:val="20"/>
              </w:rPr>
              <w:t>1</w:t>
            </w:r>
          </w:p>
        </w:tc>
        <w:tc>
          <w:tcPr>
            <w:tcW w:w="538" w:type="pct"/>
            <w:vAlign w:val="center"/>
          </w:tcPr>
          <w:p w14:paraId="5C705D9F" w14:textId="77777777" w:rsidR="00B202FC" w:rsidRPr="00380B24" w:rsidRDefault="00B202FC">
            <w:pPr>
              <w:jc w:val="center"/>
              <w:rPr>
                <w:noProof/>
                <w:sz w:val="20"/>
                <w:lang w:eastAsia="lt-LT"/>
              </w:rPr>
            </w:pPr>
          </w:p>
        </w:tc>
        <w:tc>
          <w:tcPr>
            <w:tcW w:w="680" w:type="pct"/>
            <w:vAlign w:val="center"/>
          </w:tcPr>
          <w:p w14:paraId="5DC48031" w14:textId="77777777" w:rsidR="00B202FC" w:rsidRPr="00380B24" w:rsidRDefault="00B202FC">
            <w:pPr>
              <w:jc w:val="center"/>
              <w:rPr>
                <w:noProof/>
                <w:sz w:val="20"/>
                <w:lang w:eastAsia="lt-LT"/>
              </w:rPr>
            </w:pPr>
          </w:p>
        </w:tc>
        <w:tc>
          <w:tcPr>
            <w:tcW w:w="488" w:type="pct"/>
            <w:vAlign w:val="center"/>
          </w:tcPr>
          <w:p w14:paraId="5676B310" w14:textId="77777777" w:rsidR="00B202FC" w:rsidRPr="00380B24" w:rsidRDefault="00B202FC">
            <w:pPr>
              <w:jc w:val="center"/>
              <w:rPr>
                <w:noProof/>
                <w:sz w:val="20"/>
                <w:lang w:eastAsia="lt-LT"/>
              </w:rPr>
            </w:pPr>
          </w:p>
        </w:tc>
        <w:tc>
          <w:tcPr>
            <w:tcW w:w="428" w:type="pct"/>
            <w:vAlign w:val="center"/>
          </w:tcPr>
          <w:p w14:paraId="22C04FCB" w14:textId="77777777" w:rsidR="00B202FC" w:rsidRPr="00380B24" w:rsidRDefault="00B202FC">
            <w:pPr>
              <w:jc w:val="center"/>
              <w:rPr>
                <w:noProof/>
                <w:sz w:val="20"/>
                <w:lang w:eastAsia="lt-LT"/>
              </w:rPr>
            </w:pPr>
          </w:p>
        </w:tc>
        <w:tc>
          <w:tcPr>
            <w:tcW w:w="689" w:type="pct"/>
            <w:vAlign w:val="center"/>
          </w:tcPr>
          <w:p w14:paraId="46C1F690" w14:textId="77777777" w:rsidR="00B202FC" w:rsidRPr="00380B24" w:rsidRDefault="00B202FC">
            <w:pPr>
              <w:jc w:val="center"/>
              <w:rPr>
                <w:noProof/>
                <w:sz w:val="20"/>
                <w:lang w:eastAsia="lt-LT"/>
              </w:rPr>
            </w:pPr>
            <w:r w:rsidRPr="00380B24">
              <w:rPr>
                <w:noProof/>
                <w:sz w:val="20"/>
              </w:rPr>
              <w:t>4</w:t>
            </w:r>
          </w:p>
        </w:tc>
        <w:tc>
          <w:tcPr>
            <w:tcW w:w="392" w:type="pct"/>
            <w:vAlign w:val="center"/>
          </w:tcPr>
          <w:p w14:paraId="1A1CC7A9" w14:textId="77777777" w:rsidR="00B202FC" w:rsidRPr="00380B24" w:rsidRDefault="00B202FC">
            <w:pPr>
              <w:jc w:val="center"/>
              <w:rPr>
                <w:noProof/>
                <w:sz w:val="20"/>
                <w:lang w:eastAsia="lt-LT"/>
              </w:rPr>
            </w:pPr>
            <w:r w:rsidRPr="00380B24">
              <w:rPr>
                <w:noProof/>
                <w:sz w:val="20"/>
              </w:rPr>
              <w:t>5</w:t>
            </w:r>
          </w:p>
        </w:tc>
      </w:tr>
      <w:tr w:rsidR="00B202FC" w:rsidRPr="00380B24" w14:paraId="5538BAF3" w14:textId="77777777">
        <w:trPr>
          <w:jc w:val="center"/>
        </w:trPr>
        <w:tc>
          <w:tcPr>
            <w:tcW w:w="698" w:type="pct"/>
            <w:vAlign w:val="center"/>
          </w:tcPr>
          <w:p w14:paraId="54C1D10E" w14:textId="77777777" w:rsidR="00B202FC" w:rsidRPr="00380B24" w:rsidRDefault="00B202FC">
            <w:pPr>
              <w:rPr>
                <w:b/>
                <w:bCs/>
                <w:noProof/>
                <w:sz w:val="20"/>
                <w:szCs w:val="16"/>
                <w:lang w:eastAsia="lt-LT"/>
              </w:rPr>
            </w:pPr>
            <w:r w:rsidRPr="00380B24">
              <w:rPr>
                <w:b/>
                <w:bCs/>
                <w:noProof/>
                <w:sz w:val="20"/>
                <w:szCs w:val="16"/>
              </w:rPr>
              <w:t>EU institution/ body</w:t>
            </w:r>
          </w:p>
        </w:tc>
        <w:tc>
          <w:tcPr>
            <w:tcW w:w="577" w:type="pct"/>
            <w:vAlign w:val="center"/>
          </w:tcPr>
          <w:p w14:paraId="2A7DE433" w14:textId="77777777" w:rsidR="00B202FC" w:rsidRPr="00380B24" w:rsidRDefault="00B202FC">
            <w:pPr>
              <w:jc w:val="center"/>
              <w:rPr>
                <w:noProof/>
                <w:sz w:val="20"/>
                <w:lang w:eastAsia="lt-LT"/>
              </w:rPr>
            </w:pPr>
            <w:r w:rsidRPr="00380B24">
              <w:rPr>
                <w:noProof/>
                <w:sz w:val="20"/>
              </w:rPr>
              <w:t>2</w:t>
            </w:r>
          </w:p>
        </w:tc>
        <w:tc>
          <w:tcPr>
            <w:tcW w:w="510" w:type="pct"/>
            <w:vAlign w:val="center"/>
          </w:tcPr>
          <w:p w14:paraId="3AA83166" w14:textId="77777777" w:rsidR="00B202FC" w:rsidRPr="00380B24" w:rsidRDefault="00B202FC">
            <w:pPr>
              <w:jc w:val="center"/>
              <w:rPr>
                <w:noProof/>
                <w:sz w:val="20"/>
                <w:lang w:eastAsia="lt-LT"/>
              </w:rPr>
            </w:pPr>
            <w:r w:rsidRPr="00380B24">
              <w:rPr>
                <w:noProof/>
                <w:sz w:val="20"/>
              </w:rPr>
              <w:t>3</w:t>
            </w:r>
          </w:p>
        </w:tc>
        <w:tc>
          <w:tcPr>
            <w:tcW w:w="538" w:type="pct"/>
            <w:vAlign w:val="center"/>
          </w:tcPr>
          <w:p w14:paraId="617BEAB9" w14:textId="77777777" w:rsidR="00B202FC" w:rsidRPr="00380B24" w:rsidRDefault="00B202FC">
            <w:pPr>
              <w:jc w:val="center"/>
              <w:rPr>
                <w:noProof/>
                <w:sz w:val="20"/>
                <w:lang w:eastAsia="lt-LT"/>
              </w:rPr>
            </w:pPr>
          </w:p>
        </w:tc>
        <w:tc>
          <w:tcPr>
            <w:tcW w:w="680" w:type="pct"/>
            <w:vAlign w:val="center"/>
          </w:tcPr>
          <w:p w14:paraId="69E89EC9" w14:textId="77777777" w:rsidR="00B202FC" w:rsidRPr="00380B24" w:rsidRDefault="00B202FC">
            <w:pPr>
              <w:jc w:val="center"/>
              <w:rPr>
                <w:noProof/>
                <w:sz w:val="20"/>
                <w:lang w:eastAsia="lt-LT"/>
              </w:rPr>
            </w:pPr>
            <w:r w:rsidRPr="00380B24">
              <w:rPr>
                <w:noProof/>
                <w:sz w:val="20"/>
              </w:rPr>
              <w:t>1</w:t>
            </w:r>
          </w:p>
        </w:tc>
        <w:tc>
          <w:tcPr>
            <w:tcW w:w="488" w:type="pct"/>
            <w:vAlign w:val="center"/>
          </w:tcPr>
          <w:p w14:paraId="1C206E39" w14:textId="77777777" w:rsidR="00B202FC" w:rsidRPr="00380B24" w:rsidRDefault="00B202FC">
            <w:pPr>
              <w:jc w:val="center"/>
              <w:rPr>
                <w:noProof/>
                <w:sz w:val="20"/>
                <w:lang w:eastAsia="lt-LT"/>
              </w:rPr>
            </w:pPr>
          </w:p>
        </w:tc>
        <w:tc>
          <w:tcPr>
            <w:tcW w:w="428" w:type="pct"/>
            <w:vAlign w:val="center"/>
          </w:tcPr>
          <w:p w14:paraId="23313516" w14:textId="77777777" w:rsidR="00B202FC" w:rsidRPr="00380B24" w:rsidRDefault="00B202FC">
            <w:pPr>
              <w:jc w:val="center"/>
              <w:rPr>
                <w:noProof/>
                <w:sz w:val="20"/>
                <w:lang w:eastAsia="lt-LT"/>
              </w:rPr>
            </w:pPr>
          </w:p>
        </w:tc>
        <w:tc>
          <w:tcPr>
            <w:tcW w:w="689" w:type="pct"/>
            <w:vAlign w:val="center"/>
          </w:tcPr>
          <w:p w14:paraId="31CE3F32" w14:textId="77777777" w:rsidR="00B202FC" w:rsidRPr="00380B24" w:rsidRDefault="00B202FC">
            <w:pPr>
              <w:jc w:val="center"/>
              <w:rPr>
                <w:noProof/>
                <w:sz w:val="20"/>
                <w:lang w:eastAsia="lt-LT"/>
              </w:rPr>
            </w:pPr>
            <w:r w:rsidRPr="00380B24">
              <w:rPr>
                <w:noProof/>
                <w:sz w:val="20"/>
              </w:rPr>
              <w:t>7</w:t>
            </w:r>
          </w:p>
        </w:tc>
        <w:tc>
          <w:tcPr>
            <w:tcW w:w="392" w:type="pct"/>
            <w:vAlign w:val="center"/>
          </w:tcPr>
          <w:p w14:paraId="505B2F77" w14:textId="77777777" w:rsidR="00B202FC" w:rsidRPr="00380B24" w:rsidRDefault="00B202FC">
            <w:pPr>
              <w:jc w:val="center"/>
              <w:rPr>
                <w:noProof/>
                <w:sz w:val="20"/>
                <w:lang w:eastAsia="lt-LT"/>
              </w:rPr>
            </w:pPr>
            <w:r w:rsidRPr="00380B24">
              <w:rPr>
                <w:noProof/>
                <w:sz w:val="20"/>
              </w:rPr>
              <w:t>13</w:t>
            </w:r>
          </w:p>
        </w:tc>
      </w:tr>
      <w:tr w:rsidR="00B202FC" w:rsidRPr="00380B24" w14:paraId="64AFD24B" w14:textId="77777777">
        <w:trPr>
          <w:jc w:val="center"/>
        </w:trPr>
        <w:tc>
          <w:tcPr>
            <w:tcW w:w="698" w:type="pct"/>
            <w:vAlign w:val="center"/>
          </w:tcPr>
          <w:p w14:paraId="7C68EA7E" w14:textId="77777777" w:rsidR="00B202FC" w:rsidRPr="00380B24" w:rsidRDefault="00B202FC">
            <w:pPr>
              <w:rPr>
                <w:b/>
                <w:bCs/>
                <w:noProof/>
                <w:sz w:val="20"/>
                <w:szCs w:val="16"/>
                <w:lang w:eastAsia="lt-LT"/>
              </w:rPr>
            </w:pPr>
            <w:r w:rsidRPr="00380B24">
              <w:rPr>
                <w:b/>
                <w:bCs/>
                <w:noProof/>
                <w:sz w:val="20"/>
                <w:szCs w:val="16"/>
              </w:rPr>
              <w:t>Individuals</w:t>
            </w:r>
          </w:p>
        </w:tc>
        <w:tc>
          <w:tcPr>
            <w:tcW w:w="577" w:type="pct"/>
            <w:vAlign w:val="center"/>
          </w:tcPr>
          <w:p w14:paraId="5FF8EB64" w14:textId="77777777" w:rsidR="00B202FC" w:rsidRPr="00380B24" w:rsidRDefault="00B202FC">
            <w:pPr>
              <w:jc w:val="center"/>
              <w:rPr>
                <w:noProof/>
                <w:sz w:val="20"/>
                <w:lang w:eastAsia="lt-LT"/>
              </w:rPr>
            </w:pPr>
            <w:r w:rsidRPr="00380B24">
              <w:rPr>
                <w:noProof/>
                <w:sz w:val="20"/>
              </w:rPr>
              <w:t>1</w:t>
            </w:r>
          </w:p>
        </w:tc>
        <w:tc>
          <w:tcPr>
            <w:tcW w:w="510" w:type="pct"/>
            <w:vAlign w:val="center"/>
          </w:tcPr>
          <w:p w14:paraId="6B6B52D6" w14:textId="77777777" w:rsidR="00B202FC" w:rsidRPr="00380B24" w:rsidRDefault="00B202FC">
            <w:pPr>
              <w:jc w:val="center"/>
              <w:rPr>
                <w:noProof/>
                <w:sz w:val="20"/>
                <w:lang w:eastAsia="lt-LT"/>
              </w:rPr>
            </w:pPr>
            <w:r w:rsidRPr="00380B24">
              <w:rPr>
                <w:noProof/>
                <w:sz w:val="20"/>
              </w:rPr>
              <w:t>4</w:t>
            </w:r>
          </w:p>
        </w:tc>
        <w:tc>
          <w:tcPr>
            <w:tcW w:w="538" w:type="pct"/>
            <w:vAlign w:val="center"/>
          </w:tcPr>
          <w:p w14:paraId="0F55D115" w14:textId="77777777" w:rsidR="00B202FC" w:rsidRPr="00380B24" w:rsidRDefault="00B202FC">
            <w:pPr>
              <w:jc w:val="center"/>
              <w:rPr>
                <w:noProof/>
                <w:sz w:val="20"/>
                <w:lang w:eastAsia="lt-LT"/>
              </w:rPr>
            </w:pPr>
          </w:p>
        </w:tc>
        <w:tc>
          <w:tcPr>
            <w:tcW w:w="680" w:type="pct"/>
            <w:vAlign w:val="center"/>
          </w:tcPr>
          <w:p w14:paraId="6A42D77C" w14:textId="77777777" w:rsidR="00B202FC" w:rsidRPr="00380B24" w:rsidRDefault="00B202FC">
            <w:pPr>
              <w:jc w:val="center"/>
              <w:rPr>
                <w:noProof/>
                <w:sz w:val="20"/>
                <w:lang w:eastAsia="lt-LT"/>
              </w:rPr>
            </w:pPr>
          </w:p>
        </w:tc>
        <w:tc>
          <w:tcPr>
            <w:tcW w:w="488" w:type="pct"/>
            <w:vAlign w:val="center"/>
          </w:tcPr>
          <w:p w14:paraId="2151AD7B" w14:textId="77777777" w:rsidR="00B202FC" w:rsidRPr="00380B24" w:rsidRDefault="00B202FC">
            <w:pPr>
              <w:jc w:val="center"/>
              <w:rPr>
                <w:noProof/>
                <w:sz w:val="20"/>
                <w:lang w:eastAsia="lt-LT"/>
              </w:rPr>
            </w:pPr>
          </w:p>
        </w:tc>
        <w:tc>
          <w:tcPr>
            <w:tcW w:w="428" w:type="pct"/>
            <w:vAlign w:val="center"/>
          </w:tcPr>
          <w:p w14:paraId="5578FDB5" w14:textId="77777777" w:rsidR="00B202FC" w:rsidRPr="00380B24" w:rsidRDefault="00B202FC">
            <w:pPr>
              <w:jc w:val="center"/>
              <w:rPr>
                <w:noProof/>
                <w:sz w:val="20"/>
                <w:lang w:eastAsia="lt-LT"/>
              </w:rPr>
            </w:pPr>
          </w:p>
        </w:tc>
        <w:tc>
          <w:tcPr>
            <w:tcW w:w="689" w:type="pct"/>
            <w:vAlign w:val="center"/>
          </w:tcPr>
          <w:p w14:paraId="1DA9E12C" w14:textId="77777777" w:rsidR="00B202FC" w:rsidRPr="00380B24" w:rsidRDefault="00B202FC">
            <w:pPr>
              <w:jc w:val="center"/>
              <w:rPr>
                <w:noProof/>
                <w:sz w:val="20"/>
                <w:lang w:eastAsia="lt-LT"/>
              </w:rPr>
            </w:pPr>
          </w:p>
        </w:tc>
        <w:tc>
          <w:tcPr>
            <w:tcW w:w="392" w:type="pct"/>
            <w:vAlign w:val="center"/>
          </w:tcPr>
          <w:p w14:paraId="1930155A" w14:textId="77777777" w:rsidR="00B202FC" w:rsidRPr="00380B24" w:rsidRDefault="00B202FC">
            <w:pPr>
              <w:jc w:val="center"/>
              <w:rPr>
                <w:noProof/>
                <w:sz w:val="20"/>
                <w:lang w:eastAsia="lt-LT"/>
              </w:rPr>
            </w:pPr>
            <w:r w:rsidRPr="00380B24">
              <w:rPr>
                <w:noProof/>
                <w:sz w:val="20"/>
              </w:rPr>
              <w:t>5</w:t>
            </w:r>
          </w:p>
        </w:tc>
      </w:tr>
      <w:tr w:rsidR="00B202FC" w:rsidRPr="00380B24" w14:paraId="7E6F10F9" w14:textId="77777777">
        <w:trPr>
          <w:jc w:val="center"/>
        </w:trPr>
        <w:tc>
          <w:tcPr>
            <w:tcW w:w="698" w:type="pct"/>
            <w:vAlign w:val="center"/>
          </w:tcPr>
          <w:p w14:paraId="482374B7" w14:textId="77777777" w:rsidR="00B202FC" w:rsidRPr="00380B24" w:rsidRDefault="00B202FC">
            <w:pPr>
              <w:rPr>
                <w:b/>
                <w:bCs/>
                <w:noProof/>
                <w:sz w:val="20"/>
                <w:szCs w:val="16"/>
                <w:lang w:eastAsia="lt-LT"/>
              </w:rPr>
            </w:pPr>
            <w:r w:rsidRPr="00380B24">
              <w:rPr>
                <w:b/>
                <w:bCs/>
                <w:noProof/>
                <w:sz w:val="20"/>
                <w:szCs w:val="16"/>
              </w:rPr>
              <w:t>Industry organisation</w:t>
            </w:r>
          </w:p>
        </w:tc>
        <w:tc>
          <w:tcPr>
            <w:tcW w:w="577" w:type="pct"/>
            <w:vAlign w:val="center"/>
          </w:tcPr>
          <w:p w14:paraId="134178C9" w14:textId="77777777" w:rsidR="00B202FC" w:rsidRPr="00380B24" w:rsidRDefault="00B202FC">
            <w:pPr>
              <w:jc w:val="center"/>
              <w:rPr>
                <w:noProof/>
                <w:sz w:val="20"/>
                <w:lang w:eastAsia="lt-LT"/>
              </w:rPr>
            </w:pPr>
            <w:r w:rsidRPr="00380B24">
              <w:rPr>
                <w:noProof/>
                <w:sz w:val="20"/>
              </w:rPr>
              <w:t>23</w:t>
            </w:r>
          </w:p>
        </w:tc>
        <w:tc>
          <w:tcPr>
            <w:tcW w:w="510" w:type="pct"/>
            <w:vAlign w:val="center"/>
          </w:tcPr>
          <w:p w14:paraId="51C36480" w14:textId="77777777" w:rsidR="00B202FC" w:rsidRPr="00380B24" w:rsidRDefault="00B202FC">
            <w:pPr>
              <w:jc w:val="center"/>
              <w:rPr>
                <w:noProof/>
                <w:sz w:val="20"/>
                <w:lang w:eastAsia="lt-LT"/>
              </w:rPr>
            </w:pPr>
            <w:r w:rsidRPr="00380B24">
              <w:rPr>
                <w:noProof/>
                <w:sz w:val="20"/>
              </w:rPr>
              <w:t>21</w:t>
            </w:r>
          </w:p>
        </w:tc>
        <w:tc>
          <w:tcPr>
            <w:tcW w:w="538" w:type="pct"/>
            <w:vAlign w:val="center"/>
          </w:tcPr>
          <w:p w14:paraId="4FF36627" w14:textId="77777777" w:rsidR="00B202FC" w:rsidRPr="00380B24" w:rsidRDefault="00B202FC">
            <w:pPr>
              <w:jc w:val="center"/>
              <w:rPr>
                <w:noProof/>
                <w:sz w:val="20"/>
                <w:lang w:eastAsia="lt-LT"/>
              </w:rPr>
            </w:pPr>
          </w:p>
        </w:tc>
        <w:tc>
          <w:tcPr>
            <w:tcW w:w="680" w:type="pct"/>
            <w:vAlign w:val="center"/>
          </w:tcPr>
          <w:p w14:paraId="47A2D656" w14:textId="77777777" w:rsidR="00B202FC" w:rsidRPr="00380B24" w:rsidRDefault="00B202FC">
            <w:pPr>
              <w:jc w:val="center"/>
              <w:rPr>
                <w:noProof/>
                <w:sz w:val="20"/>
                <w:lang w:eastAsia="lt-LT"/>
              </w:rPr>
            </w:pPr>
          </w:p>
        </w:tc>
        <w:tc>
          <w:tcPr>
            <w:tcW w:w="488" w:type="pct"/>
            <w:vAlign w:val="center"/>
          </w:tcPr>
          <w:p w14:paraId="4D0577DC" w14:textId="77777777" w:rsidR="00B202FC" w:rsidRPr="00380B24" w:rsidRDefault="00B202FC">
            <w:pPr>
              <w:jc w:val="center"/>
              <w:rPr>
                <w:noProof/>
                <w:sz w:val="20"/>
                <w:lang w:eastAsia="lt-LT"/>
              </w:rPr>
            </w:pPr>
          </w:p>
        </w:tc>
        <w:tc>
          <w:tcPr>
            <w:tcW w:w="428" w:type="pct"/>
            <w:vAlign w:val="center"/>
          </w:tcPr>
          <w:p w14:paraId="65D40BDC" w14:textId="77777777" w:rsidR="00B202FC" w:rsidRPr="00380B24" w:rsidRDefault="00B202FC">
            <w:pPr>
              <w:jc w:val="center"/>
              <w:rPr>
                <w:noProof/>
                <w:sz w:val="20"/>
                <w:lang w:eastAsia="lt-LT"/>
              </w:rPr>
            </w:pPr>
          </w:p>
        </w:tc>
        <w:tc>
          <w:tcPr>
            <w:tcW w:w="689" w:type="pct"/>
            <w:vAlign w:val="center"/>
          </w:tcPr>
          <w:p w14:paraId="12D7E811" w14:textId="77777777" w:rsidR="00B202FC" w:rsidRPr="00380B24" w:rsidRDefault="00B202FC">
            <w:pPr>
              <w:jc w:val="center"/>
              <w:rPr>
                <w:noProof/>
                <w:sz w:val="20"/>
                <w:lang w:eastAsia="lt-LT"/>
              </w:rPr>
            </w:pPr>
            <w:r w:rsidRPr="00380B24">
              <w:rPr>
                <w:noProof/>
                <w:sz w:val="20"/>
              </w:rPr>
              <w:t>18</w:t>
            </w:r>
          </w:p>
        </w:tc>
        <w:tc>
          <w:tcPr>
            <w:tcW w:w="392" w:type="pct"/>
            <w:vAlign w:val="center"/>
          </w:tcPr>
          <w:p w14:paraId="7FEE924A" w14:textId="77777777" w:rsidR="00B202FC" w:rsidRPr="00380B24" w:rsidRDefault="00B202FC">
            <w:pPr>
              <w:jc w:val="center"/>
              <w:rPr>
                <w:noProof/>
                <w:sz w:val="20"/>
                <w:lang w:eastAsia="lt-LT"/>
              </w:rPr>
            </w:pPr>
            <w:r w:rsidRPr="00380B24">
              <w:rPr>
                <w:noProof/>
                <w:sz w:val="20"/>
              </w:rPr>
              <w:t>62</w:t>
            </w:r>
          </w:p>
        </w:tc>
      </w:tr>
      <w:tr w:rsidR="00B202FC" w:rsidRPr="00380B24" w14:paraId="3FECE456" w14:textId="77777777">
        <w:trPr>
          <w:jc w:val="center"/>
        </w:trPr>
        <w:tc>
          <w:tcPr>
            <w:tcW w:w="698" w:type="pct"/>
            <w:vAlign w:val="center"/>
          </w:tcPr>
          <w:p w14:paraId="05EB1679" w14:textId="77777777" w:rsidR="00B202FC" w:rsidRPr="00380B24" w:rsidRDefault="00B202FC">
            <w:pPr>
              <w:rPr>
                <w:b/>
                <w:bCs/>
                <w:noProof/>
                <w:sz w:val="20"/>
                <w:szCs w:val="16"/>
                <w:lang w:eastAsia="lt-LT"/>
              </w:rPr>
            </w:pPr>
            <w:r w:rsidRPr="00380B24">
              <w:rPr>
                <w:b/>
                <w:bCs/>
                <w:noProof/>
                <w:sz w:val="20"/>
                <w:szCs w:val="16"/>
              </w:rPr>
              <w:t>International body or network</w:t>
            </w:r>
          </w:p>
        </w:tc>
        <w:tc>
          <w:tcPr>
            <w:tcW w:w="577" w:type="pct"/>
            <w:vAlign w:val="center"/>
          </w:tcPr>
          <w:p w14:paraId="26C9D6BB" w14:textId="77777777" w:rsidR="00B202FC" w:rsidRPr="00380B24" w:rsidRDefault="00B202FC">
            <w:pPr>
              <w:jc w:val="center"/>
              <w:rPr>
                <w:noProof/>
                <w:sz w:val="20"/>
                <w:lang w:eastAsia="lt-LT"/>
              </w:rPr>
            </w:pPr>
          </w:p>
        </w:tc>
        <w:tc>
          <w:tcPr>
            <w:tcW w:w="510" w:type="pct"/>
            <w:vAlign w:val="center"/>
          </w:tcPr>
          <w:p w14:paraId="283F954F" w14:textId="77777777" w:rsidR="00B202FC" w:rsidRPr="00380B24" w:rsidRDefault="00B202FC">
            <w:pPr>
              <w:jc w:val="center"/>
              <w:rPr>
                <w:noProof/>
                <w:sz w:val="20"/>
                <w:lang w:eastAsia="lt-LT"/>
              </w:rPr>
            </w:pPr>
            <w:r w:rsidRPr="00380B24">
              <w:rPr>
                <w:noProof/>
                <w:sz w:val="20"/>
              </w:rPr>
              <w:t>1</w:t>
            </w:r>
          </w:p>
        </w:tc>
        <w:tc>
          <w:tcPr>
            <w:tcW w:w="538" w:type="pct"/>
            <w:vAlign w:val="center"/>
          </w:tcPr>
          <w:p w14:paraId="2A4FB538" w14:textId="77777777" w:rsidR="00B202FC" w:rsidRPr="00380B24" w:rsidRDefault="00B202FC">
            <w:pPr>
              <w:jc w:val="center"/>
              <w:rPr>
                <w:noProof/>
                <w:sz w:val="20"/>
                <w:lang w:eastAsia="lt-LT"/>
              </w:rPr>
            </w:pPr>
          </w:p>
        </w:tc>
        <w:tc>
          <w:tcPr>
            <w:tcW w:w="680" w:type="pct"/>
            <w:vAlign w:val="center"/>
          </w:tcPr>
          <w:p w14:paraId="4EE7DDB0" w14:textId="77777777" w:rsidR="00B202FC" w:rsidRPr="00380B24" w:rsidRDefault="00B202FC">
            <w:pPr>
              <w:jc w:val="center"/>
              <w:rPr>
                <w:noProof/>
                <w:sz w:val="20"/>
                <w:lang w:eastAsia="lt-LT"/>
              </w:rPr>
            </w:pPr>
          </w:p>
        </w:tc>
        <w:tc>
          <w:tcPr>
            <w:tcW w:w="488" w:type="pct"/>
            <w:vAlign w:val="center"/>
          </w:tcPr>
          <w:p w14:paraId="3030998E" w14:textId="77777777" w:rsidR="00B202FC" w:rsidRPr="00380B24" w:rsidRDefault="00B202FC">
            <w:pPr>
              <w:jc w:val="center"/>
              <w:rPr>
                <w:noProof/>
                <w:sz w:val="20"/>
                <w:lang w:eastAsia="lt-LT"/>
              </w:rPr>
            </w:pPr>
          </w:p>
        </w:tc>
        <w:tc>
          <w:tcPr>
            <w:tcW w:w="428" w:type="pct"/>
            <w:vAlign w:val="center"/>
          </w:tcPr>
          <w:p w14:paraId="537FB6A6" w14:textId="77777777" w:rsidR="00B202FC" w:rsidRPr="00380B24" w:rsidRDefault="00B202FC">
            <w:pPr>
              <w:jc w:val="center"/>
              <w:rPr>
                <w:noProof/>
                <w:sz w:val="20"/>
                <w:lang w:eastAsia="lt-LT"/>
              </w:rPr>
            </w:pPr>
          </w:p>
        </w:tc>
        <w:tc>
          <w:tcPr>
            <w:tcW w:w="689" w:type="pct"/>
            <w:vAlign w:val="center"/>
          </w:tcPr>
          <w:p w14:paraId="658EE4E1" w14:textId="77777777" w:rsidR="00B202FC" w:rsidRPr="00380B24" w:rsidRDefault="00B202FC">
            <w:pPr>
              <w:jc w:val="center"/>
              <w:rPr>
                <w:noProof/>
                <w:sz w:val="20"/>
                <w:lang w:eastAsia="lt-LT"/>
              </w:rPr>
            </w:pPr>
            <w:r w:rsidRPr="00380B24">
              <w:rPr>
                <w:noProof/>
                <w:sz w:val="20"/>
              </w:rPr>
              <w:t>5</w:t>
            </w:r>
          </w:p>
        </w:tc>
        <w:tc>
          <w:tcPr>
            <w:tcW w:w="392" w:type="pct"/>
            <w:vAlign w:val="center"/>
          </w:tcPr>
          <w:p w14:paraId="35EF7F21" w14:textId="77777777" w:rsidR="00B202FC" w:rsidRPr="00380B24" w:rsidRDefault="00B202FC">
            <w:pPr>
              <w:jc w:val="center"/>
              <w:rPr>
                <w:noProof/>
                <w:sz w:val="20"/>
                <w:lang w:eastAsia="lt-LT"/>
              </w:rPr>
            </w:pPr>
            <w:r w:rsidRPr="00380B24">
              <w:rPr>
                <w:noProof/>
                <w:sz w:val="20"/>
              </w:rPr>
              <w:t>6</w:t>
            </w:r>
          </w:p>
        </w:tc>
      </w:tr>
      <w:tr w:rsidR="00B202FC" w:rsidRPr="00380B24" w14:paraId="2B743C02" w14:textId="77777777">
        <w:trPr>
          <w:jc w:val="center"/>
        </w:trPr>
        <w:tc>
          <w:tcPr>
            <w:tcW w:w="698" w:type="pct"/>
            <w:vAlign w:val="center"/>
          </w:tcPr>
          <w:p w14:paraId="7E009ECA" w14:textId="77777777" w:rsidR="00B202FC" w:rsidRPr="00380B24" w:rsidRDefault="00B202FC">
            <w:pPr>
              <w:rPr>
                <w:b/>
                <w:bCs/>
                <w:noProof/>
                <w:sz w:val="20"/>
                <w:szCs w:val="16"/>
                <w:lang w:eastAsia="lt-LT"/>
              </w:rPr>
            </w:pPr>
            <w:r w:rsidRPr="00380B24">
              <w:rPr>
                <w:b/>
                <w:bCs/>
                <w:noProof/>
                <w:sz w:val="20"/>
                <w:szCs w:val="16"/>
              </w:rPr>
              <w:t>National cybersecurity authority/ agency</w:t>
            </w:r>
          </w:p>
        </w:tc>
        <w:tc>
          <w:tcPr>
            <w:tcW w:w="577" w:type="pct"/>
            <w:vAlign w:val="center"/>
          </w:tcPr>
          <w:p w14:paraId="78D8ACA2" w14:textId="77777777" w:rsidR="00B202FC" w:rsidRPr="00380B24" w:rsidRDefault="00B202FC">
            <w:pPr>
              <w:jc w:val="center"/>
              <w:rPr>
                <w:noProof/>
                <w:sz w:val="20"/>
                <w:lang w:eastAsia="lt-LT"/>
              </w:rPr>
            </w:pPr>
            <w:r w:rsidRPr="00380B24">
              <w:rPr>
                <w:noProof/>
                <w:sz w:val="20"/>
              </w:rPr>
              <w:t>22</w:t>
            </w:r>
          </w:p>
        </w:tc>
        <w:tc>
          <w:tcPr>
            <w:tcW w:w="510" w:type="pct"/>
            <w:vAlign w:val="center"/>
          </w:tcPr>
          <w:p w14:paraId="2B63A96E" w14:textId="77777777" w:rsidR="00B202FC" w:rsidRPr="00380B24" w:rsidRDefault="00B202FC">
            <w:pPr>
              <w:jc w:val="center"/>
              <w:rPr>
                <w:noProof/>
                <w:sz w:val="20"/>
                <w:lang w:eastAsia="lt-LT"/>
              </w:rPr>
            </w:pPr>
          </w:p>
        </w:tc>
        <w:tc>
          <w:tcPr>
            <w:tcW w:w="538" w:type="pct"/>
            <w:vAlign w:val="center"/>
          </w:tcPr>
          <w:p w14:paraId="2967AE10" w14:textId="77777777" w:rsidR="00B202FC" w:rsidRPr="00380B24" w:rsidRDefault="00B202FC">
            <w:pPr>
              <w:jc w:val="center"/>
              <w:rPr>
                <w:noProof/>
                <w:sz w:val="20"/>
                <w:lang w:eastAsia="lt-LT"/>
              </w:rPr>
            </w:pPr>
            <w:r w:rsidRPr="00380B24">
              <w:rPr>
                <w:noProof/>
                <w:sz w:val="20"/>
              </w:rPr>
              <w:t>2</w:t>
            </w:r>
          </w:p>
        </w:tc>
        <w:tc>
          <w:tcPr>
            <w:tcW w:w="680" w:type="pct"/>
            <w:vAlign w:val="center"/>
          </w:tcPr>
          <w:p w14:paraId="098D7222" w14:textId="77777777" w:rsidR="00B202FC" w:rsidRPr="00380B24" w:rsidRDefault="00B202FC">
            <w:pPr>
              <w:jc w:val="center"/>
              <w:rPr>
                <w:noProof/>
                <w:sz w:val="20"/>
                <w:lang w:eastAsia="lt-LT"/>
              </w:rPr>
            </w:pPr>
            <w:r w:rsidRPr="00380B24">
              <w:rPr>
                <w:noProof/>
                <w:sz w:val="20"/>
              </w:rPr>
              <w:t>7</w:t>
            </w:r>
          </w:p>
        </w:tc>
        <w:tc>
          <w:tcPr>
            <w:tcW w:w="488" w:type="pct"/>
            <w:vAlign w:val="center"/>
          </w:tcPr>
          <w:p w14:paraId="12603F6C" w14:textId="77777777" w:rsidR="00B202FC" w:rsidRPr="00380B24" w:rsidRDefault="00B202FC">
            <w:pPr>
              <w:jc w:val="center"/>
              <w:rPr>
                <w:noProof/>
                <w:sz w:val="20"/>
                <w:lang w:eastAsia="lt-LT"/>
              </w:rPr>
            </w:pPr>
            <w:r w:rsidRPr="00380B24">
              <w:rPr>
                <w:noProof/>
                <w:sz w:val="20"/>
              </w:rPr>
              <w:t>10</w:t>
            </w:r>
          </w:p>
        </w:tc>
        <w:tc>
          <w:tcPr>
            <w:tcW w:w="428" w:type="pct"/>
            <w:vAlign w:val="center"/>
          </w:tcPr>
          <w:p w14:paraId="116DC723" w14:textId="77777777" w:rsidR="00B202FC" w:rsidRPr="00380B24" w:rsidRDefault="00B202FC">
            <w:pPr>
              <w:jc w:val="center"/>
              <w:rPr>
                <w:noProof/>
                <w:sz w:val="20"/>
                <w:lang w:eastAsia="lt-LT"/>
              </w:rPr>
            </w:pPr>
          </w:p>
        </w:tc>
        <w:tc>
          <w:tcPr>
            <w:tcW w:w="689" w:type="pct"/>
            <w:vAlign w:val="center"/>
          </w:tcPr>
          <w:p w14:paraId="3B7D4655" w14:textId="77777777" w:rsidR="00B202FC" w:rsidRPr="00380B24" w:rsidRDefault="00B202FC">
            <w:pPr>
              <w:jc w:val="center"/>
              <w:rPr>
                <w:noProof/>
                <w:sz w:val="20"/>
                <w:lang w:eastAsia="lt-LT"/>
              </w:rPr>
            </w:pPr>
            <w:r w:rsidRPr="00380B24">
              <w:rPr>
                <w:noProof/>
                <w:sz w:val="20"/>
              </w:rPr>
              <w:t>37</w:t>
            </w:r>
          </w:p>
        </w:tc>
        <w:tc>
          <w:tcPr>
            <w:tcW w:w="392" w:type="pct"/>
            <w:vAlign w:val="center"/>
          </w:tcPr>
          <w:p w14:paraId="500002B2" w14:textId="77777777" w:rsidR="00B202FC" w:rsidRPr="00380B24" w:rsidRDefault="00B202FC">
            <w:pPr>
              <w:jc w:val="center"/>
              <w:rPr>
                <w:noProof/>
                <w:sz w:val="20"/>
                <w:lang w:eastAsia="lt-LT"/>
              </w:rPr>
            </w:pPr>
            <w:r w:rsidRPr="00380B24">
              <w:rPr>
                <w:noProof/>
                <w:sz w:val="20"/>
              </w:rPr>
              <w:t>78</w:t>
            </w:r>
          </w:p>
        </w:tc>
      </w:tr>
      <w:tr w:rsidR="00B202FC" w:rsidRPr="00380B24" w14:paraId="24819949" w14:textId="77777777">
        <w:trPr>
          <w:jc w:val="center"/>
        </w:trPr>
        <w:tc>
          <w:tcPr>
            <w:tcW w:w="698" w:type="pct"/>
            <w:vAlign w:val="center"/>
          </w:tcPr>
          <w:p w14:paraId="252EEE4C" w14:textId="77777777" w:rsidR="00B202FC" w:rsidRPr="00380B24" w:rsidRDefault="00B202FC">
            <w:pPr>
              <w:rPr>
                <w:b/>
                <w:bCs/>
                <w:noProof/>
                <w:sz w:val="20"/>
                <w:szCs w:val="16"/>
                <w:lang w:eastAsia="lt-LT"/>
              </w:rPr>
            </w:pPr>
            <w:r w:rsidRPr="00380B24">
              <w:rPr>
                <w:b/>
                <w:bCs/>
                <w:noProof/>
                <w:sz w:val="20"/>
                <w:szCs w:val="16"/>
              </w:rPr>
              <w:t>Other competent authority</w:t>
            </w:r>
          </w:p>
        </w:tc>
        <w:tc>
          <w:tcPr>
            <w:tcW w:w="577" w:type="pct"/>
            <w:vAlign w:val="center"/>
          </w:tcPr>
          <w:p w14:paraId="14789DB9" w14:textId="77777777" w:rsidR="00B202FC" w:rsidRPr="00380B24" w:rsidRDefault="00B202FC">
            <w:pPr>
              <w:jc w:val="center"/>
              <w:rPr>
                <w:noProof/>
                <w:sz w:val="20"/>
                <w:lang w:eastAsia="lt-LT"/>
              </w:rPr>
            </w:pPr>
            <w:r w:rsidRPr="00380B24">
              <w:rPr>
                <w:noProof/>
                <w:sz w:val="20"/>
              </w:rPr>
              <w:t>5</w:t>
            </w:r>
          </w:p>
        </w:tc>
        <w:tc>
          <w:tcPr>
            <w:tcW w:w="510" w:type="pct"/>
            <w:vAlign w:val="center"/>
          </w:tcPr>
          <w:p w14:paraId="724779F3" w14:textId="77777777" w:rsidR="00B202FC" w:rsidRPr="00380B24" w:rsidRDefault="00B202FC">
            <w:pPr>
              <w:jc w:val="center"/>
              <w:rPr>
                <w:noProof/>
                <w:sz w:val="20"/>
                <w:lang w:eastAsia="lt-LT"/>
              </w:rPr>
            </w:pPr>
          </w:p>
        </w:tc>
        <w:tc>
          <w:tcPr>
            <w:tcW w:w="538" w:type="pct"/>
            <w:vAlign w:val="center"/>
          </w:tcPr>
          <w:p w14:paraId="3B1E64E0" w14:textId="77777777" w:rsidR="00B202FC" w:rsidRPr="00380B24" w:rsidRDefault="00B202FC">
            <w:pPr>
              <w:jc w:val="center"/>
              <w:rPr>
                <w:noProof/>
                <w:sz w:val="20"/>
                <w:lang w:eastAsia="lt-LT"/>
              </w:rPr>
            </w:pPr>
          </w:p>
        </w:tc>
        <w:tc>
          <w:tcPr>
            <w:tcW w:w="680" w:type="pct"/>
            <w:vAlign w:val="center"/>
          </w:tcPr>
          <w:p w14:paraId="1810BA1F" w14:textId="77777777" w:rsidR="00B202FC" w:rsidRPr="00380B24" w:rsidRDefault="00B202FC">
            <w:pPr>
              <w:jc w:val="center"/>
              <w:rPr>
                <w:noProof/>
                <w:sz w:val="20"/>
                <w:lang w:eastAsia="lt-LT"/>
              </w:rPr>
            </w:pPr>
            <w:r w:rsidRPr="00380B24">
              <w:rPr>
                <w:noProof/>
                <w:sz w:val="20"/>
              </w:rPr>
              <w:t>1</w:t>
            </w:r>
          </w:p>
        </w:tc>
        <w:tc>
          <w:tcPr>
            <w:tcW w:w="488" w:type="pct"/>
            <w:vAlign w:val="center"/>
          </w:tcPr>
          <w:p w14:paraId="54C0FB72" w14:textId="77777777" w:rsidR="00B202FC" w:rsidRPr="00380B24" w:rsidRDefault="00B202FC">
            <w:pPr>
              <w:jc w:val="center"/>
              <w:rPr>
                <w:noProof/>
                <w:sz w:val="20"/>
                <w:lang w:eastAsia="lt-LT"/>
              </w:rPr>
            </w:pPr>
          </w:p>
        </w:tc>
        <w:tc>
          <w:tcPr>
            <w:tcW w:w="428" w:type="pct"/>
            <w:vAlign w:val="center"/>
          </w:tcPr>
          <w:p w14:paraId="0A7B297F" w14:textId="77777777" w:rsidR="00B202FC" w:rsidRPr="00380B24" w:rsidRDefault="00B202FC">
            <w:pPr>
              <w:jc w:val="center"/>
              <w:rPr>
                <w:noProof/>
                <w:sz w:val="20"/>
                <w:lang w:eastAsia="lt-LT"/>
              </w:rPr>
            </w:pPr>
          </w:p>
        </w:tc>
        <w:tc>
          <w:tcPr>
            <w:tcW w:w="689" w:type="pct"/>
            <w:vAlign w:val="center"/>
          </w:tcPr>
          <w:p w14:paraId="31F3A1E3" w14:textId="77777777" w:rsidR="00B202FC" w:rsidRPr="00380B24" w:rsidRDefault="00B202FC">
            <w:pPr>
              <w:jc w:val="center"/>
              <w:rPr>
                <w:noProof/>
                <w:sz w:val="20"/>
                <w:lang w:eastAsia="lt-LT"/>
              </w:rPr>
            </w:pPr>
            <w:r w:rsidRPr="00380B24">
              <w:rPr>
                <w:noProof/>
                <w:sz w:val="20"/>
              </w:rPr>
              <w:t>13</w:t>
            </w:r>
          </w:p>
        </w:tc>
        <w:tc>
          <w:tcPr>
            <w:tcW w:w="392" w:type="pct"/>
            <w:vAlign w:val="center"/>
          </w:tcPr>
          <w:p w14:paraId="6A965682" w14:textId="77777777" w:rsidR="00B202FC" w:rsidRPr="00380B24" w:rsidRDefault="00B202FC">
            <w:pPr>
              <w:jc w:val="center"/>
              <w:rPr>
                <w:noProof/>
                <w:sz w:val="20"/>
                <w:lang w:eastAsia="lt-LT"/>
              </w:rPr>
            </w:pPr>
            <w:r w:rsidRPr="00380B24">
              <w:rPr>
                <w:noProof/>
                <w:sz w:val="20"/>
              </w:rPr>
              <w:t>19</w:t>
            </w:r>
          </w:p>
        </w:tc>
      </w:tr>
      <w:tr w:rsidR="00B202FC" w:rsidRPr="00380B24" w14:paraId="7E373B57" w14:textId="77777777">
        <w:trPr>
          <w:jc w:val="center"/>
        </w:trPr>
        <w:tc>
          <w:tcPr>
            <w:tcW w:w="698" w:type="pct"/>
            <w:vAlign w:val="center"/>
          </w:tcPr>
          <w:p w14:paraId="1AE25A1E" w14:textId="77777777" w:rsidR="00B202FC" w:rsidRPr="00380B24" w:rsidRDefault="00B202FC">
            <w:pPr>
              <w:rPr>
                <w:b/>
                <w:bCs/>
                <w:noProof/>
                <w:sz w:val="20"/>
                <w:szCs w:val="16"/>
                <w:lang w:eastAsia="lt-LT"/>
              </w:rPr>
            </w:pPr>
            <w:r w:rsidRPr="00380B24">
              <w:rPr>
                <w:b/>
                <w:bCs/>
                <w:noProof/>
                <w:sz w:val="20"/>
                <w:szCs w:val="16"/>
              </w:rPr>
              <w:t>Other</w:t>
            </w:r>
          </w:p>
        </w:tc>
        <w:tc>
          <w:tcPr>
            <w:tcW w:w="577" w:type="pct"/>
            <w:vAlign w:val="center"/>
          </w:tcPr>
          <w:p w14:paraId="78A7E725" w14:textId="77777777" w:rsidR="00B202FC" w:rsidRPr="00380B24" w:rsidRDefault="00B202FC">
            <w:pPr>
              <w:jc w:val="center"/>
              <w:rPr>
                <w:noProof/>
                <w:sz w:val="20"/>
                <w:lang w:eastAsia="lt-LT"/>
              </w:rPr>
            </w:pPr>
          </w:p>
        </w:tc>
        <w:tc>
          <w:tcPr>
            <w:tcW w:w="510" w:type="pct"/>
            <w:vAlign w:val="center"/>
          </w:tcPr>
          <w:p w14:paraId="5C5B63C3" w14:textId="77777777" w:rsidR="00B202FC" w:rsidRPr="00380B24" w:rsidRDefault="00B202FC">
            <w:pPr>
              <w:jc w:val="center"/>
              <w:rPr>
                <w:noProof/>
                <w:sz w:val="20"/>
                <w:lang w:eastAsia="lt-LT"/>
              </w:rPr>
            </w:pPr>
            <w:r w:rsidRPr="00380B24">
              <w:rPr>
                <w:noProof/>
                <w:sz w:val="20"/>
              </w:rPr>
              <w:t>1</w:t>
            </w:r>
          </w:p>
        </w:tc>
        <w:tc>
          <w:tcPr>
            <w:tcW w:w="538" w:type="pct"/>
            <w:vAlign w:val="center"/>
          </w:tcPr>
          <w:p w14:paraId="390F0A47" w14:textId="77777777" w:rsidR="00B202FC" w:rsidRPr="00380B24" w:rsidRDefault="00B202FC">
            <w:pPr>
              <w:jc w:val="center"/>
              <w:rPr>
                <w:noProof/>
                <w:sz w:val="20"/>
                <w:lang w:eastAsia="lt-LT"/>
              </w:rPr>
            </w:pPr>
          </w:p>
        </w:tc>
        <w:tc>
          <w:tcPr>
            <w:tcW w:w="680" w:type="pct"/>
            <w:vAlign w:val="center"/>
          </w:tcPr>
          <w:p w14:paraId="110A28DA" w14:textId="77777777" w:rsidR="00B202FC" w:rsidRPr="00380B24" w:rsidRDefault="00B202FC">
            <w:pPr>
              <w:jc w:val="center"/>
              <w:rPr>
                <w:noProof/>
                <w:sz w:val="20"/>
                <w:lang w:eastAsia="lt-LT"/>
              </w:rPr>
            </w:pPr>
          </w:p>
        </w:tc>
        <w:tc>
          <w:tcPr>
            <w:tcW w:w="488" w:type="pct"/>
            <w:vAlign w:val="center"/>
          </w:tcPr>
          <w:p w14:paraId="4DCDEB9E" w14:textId="77777777" w:rsidR="00B202FC" w:rsidRPr="00380B24" w:rsidRDefault="00B202FC">
            <w:pPr>
              <w:jc w:val="center"/>
              <w:rPr>
                <w:noProof/>
                <w:sz w:val="20"/>
                <w:lang w:eastAsia="lt-LT"/>
              </w:rPr>
            </w:pPr>
          </w:p>
        </w:tc>
        <w:tc>
          <w:tcPr>
            <w:tcW w:w="428" w:type="pct"/>
            <w:vAlign w:val="center"/>
          </w:tcPr>
          <w:p w14:paraId="6FD4DD9E" w14:textId="77777777" w:rsidR="00B202FC" w:rsidRPr="00380B24" w:rsidRDefault="00B202FC">
            <w:pPr>
              <w:jc w:val="center"/>
              <w:rPr>
                <w:noProof/>
                <w:sz w:val="20"/>
                <w:lang w:eastAsia="lt-LT"/>
              </w:rPr>
            </w:pPr>
          </w:p>
        </w:tc>
        <w:tc>
          <w:tcPr>
            <w:tcW w:w="689" w:type="pct"/>
            <w:vAlign w:val="center"/>
          </w:tcPr>
          <w:p w14:paraId="5446F2B4" w14:textId="77777777" w:rsidR="00B202FC" w:rsidRPr="00380B24" w:rsidRDefault="00B202FC">
            <w:pPr>
              <w:jc w:val="center"/>
              <w:rPr>
                <w:noProof/>
                <w:sz w:val="20"/>
                <w:lang w:eastAsia="lt-LT"/>
              </w:rPr>
            </w:pPr>
          </w:p>
        </w:tc>
        <w:tc>
          <w:tcPr>
            <w:tcW w:w="392" w:type="pct"/>
            <w:vAlign w:val="center"/>
          </w:tcPr>
          <w:p w14:paraId="40D9CA6B" w14:textId="77777777" w:rsidR="00B202FC" w:rsidRPr="00380B24" w:rsidRDefault="00B202FC">
            <w:pPr>
              <w:jc w:val="center"/>
              <w:rPr>
                <w:noProof/>
                <w:sz w:val="20"/>
                <w:lang w:eastAsia="lt-LT"/>
              </w:rPr>
            </w:pPr>
            <w:r w:rsidRPr="00380B24">
              <w:rPr>
                <w:noProof/>
                <w:sz w:val="20"/>
              </w:rPr>
              <w:t>1</w:t>
            </w:r>
          </w:p>
        </w:tc>
      </w:tr>
      <w:tr w:rsidR="00B202FC" w:rsidRPr="00380B24" w14:paraId="71E1ABAA" w14:textId="77777777">
        <w:trPr>
          <w:jc w:val="center"/>
        </w:trPr>
        <w:tc>
          <w:tcPr>
            <w:tcW w:w="698" w:type="pct"/>
            <w:shd w:val="clear" w:color="auto" w:fill="F2F2F2" w:themeFill="background1" w:themeFillShade="F2"/>
            <w:vAlign w:val="center"/>
          </w:tcPr>
          <w:p w14:paraId="27EC7BF5" w14:textId="77777777" w:rsidR="00B202FC" w:rsidRPr="00380B24" w:rsidRDefault="00B202FC">
            <w:pPr>
              <w:rPr>
                <w:b/>
                <w:bCs/>
                <w:noProof/>
                <w:sz w:val="20"/>
                <w:szCs w:val="16"/>
                <w:lang w:eastAsia="lt-LT"/>
              </w:rPr>
            </w:pPr>
            <w:r w:rsidRPr="00380B24">
              <w:rPr>
                <w:b/>
                <w:bCs/>
                <w:noProof/>
                <w:sz w:val="20"/>
                <w:szCs w:val="16"/>
              </w:rPr>
              <w:t>Total</w:t>
            </w:r>
          </w:p>
        </w:tc>
        <w:tc>
          <w:tcPr>
            <w:tcW w:w="577" w:type="pct"/>
            <w:shd w:val="clear" w:color="auto" w:fill="F2F2F2" w:themeFill="background1" w:themeFillShade="F2"/>
            <w:vAlign w:val="center"/>
          </w:tcPr>
          <w:p w14:paraId="365C2984" w14:textId="77777777" w:rsidR="00B202FC" w:rsidRPr="00380B24" w:rsidRDefault="00B202FC">
            <w:pPr>
              <w:jc w:val="center"/>
              <w:rPr>
                <w:b/>
                <w:bCs/>
                <w:noProof/>
                <w:sz w:val="20"/>
                <w:lang w:eastAsia="lt-LT"/>
              </w:rPr>
            </w:pPr>
            <w:r w:rsidRPr="00380B24">
              <w:rPr>
                <w:b/>
                <w:bCs/>
                <w:noProof/>
                <w:sz w:val="20"/>
              </w:rPr>
              <w:t>55</w:t>
            </w:r>
          </w:p>
        </w:tc>
        <w:tc>
          <w:tcPr>
            <w:tcW w:w="510" w:type="pct"/>
            <w:shd w:val="clear" w:color="auto" w:fill="F2F2F2" w:themeFill="background1" w:themeFillShade="F2"/>
            <w:vAlign w:val="center"/>
          </w:tcPr>
          <w:p w14:paraId="08B179AF" w14:textId="77777777" w:rsidR="00B202FC" w:rsidRPr="00380B24" w:rsidRDefault="00B202FC">
            <w:pPr>
              <w:jc w:val="center"/>
              <w:rPr>
                <w:b/>
                <w:bCs/>
                <w:noProof/>
                <w:sz w:val="20"/>
                <w:lang w:eastAsia="lt-LT"/>
              </w:rPr>
            </w:pPr>
            <w:r w:rsidRPr="00380B24">
              <w:rPr>
                <w:b/>
                <w:bCs/>
                <w:noProof/>
                <w:sz w:val="20"/>
              </w:rPr>
              <w:t>33</w:t>
            </w:r>
          </w:p>
        </w:tc>
        <w:tc>
          <w:tcPr>
            <w:tcW w:w="538" w:type="pct"/>
            <w:shd w:val="clear" w:color="auto" w:fill="F2F2F2" w:themeFill="background1" w:themeFillShade="F2"/>
            <w:vAlign w:val="center"/>
          </w:tcPr>
          <w:p w14:paraId="1B95E20D" w14:textId="77777777" w:rsidR="00B202FC" w:rsidRPr="00380B24" w:rsidRDefault="00B202FC">
            <w:pPr>
              <w:jc w:val="center"/>
              <w:rPr>
                <w:b/>
                <w:bCs/>
                <w:noProof/>
                <w:sz w:val="20"/>
                <w:lang w:eastAsia="lt-LT"/>
              </w:rPr>
            </w:pPr>
            <w:r w:rsidRPr="00380B24">
              <w:rPr>
                <w:b/>
                <w:bCs/>
                <w:noProof/>
                <w:sz w:val="20"/>
              </w:rPr>
              <w:t>2</w:t>
            </w:r>
          </w:p>
        </w:tc>
        <w:tc>
          <w:tcPr>
            <w:tcW w:w="680" w:type="pct"/>
            <w:shd w:val="clear" w:color="auto" w:fill="F2F2F2" w:themeFill="background1" w:themeFillShade="F2"/>
            <w:vAlign w:val="center"/>
          </w:tcPr>
          <w:p w14:paraId="600DDE65" w14:textId="77777777" w:rsidR="00B202FC" w:rsidRPr="00380B24" w:rsidRDefault="00B202FC">
            <w:pPr>
              <w:jc w:val="center"/>
              <w:rPr>
                <w:b/>
                <w:bCs/>
                <w:noProof/>
                <w:sz w:val="20"/>
                <w:lang w:eastAsia="lt-LT"/>
              </w:rPr>
            </w:pPr>
            <w:r w:rsidRPr="00380B24">
              <w:rPr>
                <w:b/>
                <w:bCs/>
                <w:noProof/>
                <w:sz w:val="20"/>
              </w:rPr>
              <w:t>9</w:t>
            </w:r>
          </w:p>
        </w:tc>
        <w:tc>
          <w:tcPr>
            <w:tcW w:w="488" w:type="pct"/>
            <w:shd w:val="clear" w:color="auto" w:fill="F2F2F2" w:themeFill="background1" w:themeFillShade="F2"/>
            <w:vAlign w:val="center"/>
          </w:tcPr>
          <w:p w14:paraId="0F19A216" w14:textId="77777777" w:rsidR="00B202FC" w:rsidRPr="00380B24" w:rsidRDefault="00B202FC">
            <w:pPr>
              <w:jc w:val="center"/>
              <w:rPr>
                <w:b/>
                <w:bCs/>
                <w:noProof/>
                <w:sz w:val="20"/>
                <w:lang w:eastAsia="lt-LT"/>
              </w:rPr>
            </w:pPr>
            <w:r w:rsidRPr="00380B24">
              <w:rPr>
                <w:b/>
                <w:bCs/>
                <w:noProof/>
                <w:sz w:val="20"/>
              </w:rPr>
              <w:t>10</w:t>
            </w:r>
          </w:p>
        </w:tc>
        <w:tc>
          <w:tcPr>
            <w:tcW w:w="428" w:type="pct"/>
            <w:shd w:val="clear" w:color="auto" w:fill="F2F2F2" w:themeFill="background1" w:themeFillShade="F2"/>
            <w:vAlign w:val="center"/>
          </w:tcPr>
          <w:p w14:paraId="656BCDDA" w14:textId="77777777" w:rsidR="00B202FC" w:rsidRPr="00380B24" w:rsidRDefault="00B202FC">
            <w:pPr>
              <w:jc w:val="center"/>
              <w:rPr>
                <w:b/>
                <w:bCs/>
                <w:noProof/>
                <w:sz w:val="20"/>
                <w:lang w:eastAsia="lt-LT"/>
              </w:rPr>
            </w:pPr>
            <w:r w:rsidRPr="00380B24">
              <w:rPr>
                <w:b/>
                <w:bCs/>
                <w:noProof/>
                <w:sz w:val="20"/>
              </w:rPr>
              <w:t>13</w:t>
            </w:r>
          </w:p>
        </w:tc>
        <w:tc>
          <w:tcPr>
            <w:tcW w:w="689" w:type="pct"/>
            <w:shd w:val="clear" w:color="auto" w:fill="F2F2F2" w:themeFill="background1" w:themeFillShade="F2"/>
            <w:vAlign w:val="center"/>
          </w:tcPr>
          <w:p w14:paraId="73C5164F" w14:textId="77777777" w:rsidR="00B202FC" w:rsidRPr="00380B24" w:rsidRDefault="00B202FC">
            <w:pPr>
              <w:jc w:val="center"/>
              <w:rPr>
                <w:b/>
                <w:bCs/>
                <w:noProof/>
                <w:sz w:val="20"/>
                <w:lang w:eastAsia="lt-LT"/>
              </w:rPr>
            </w:pPr>
            <w:r w:rsidRPr="00380B24">
              <w:rPr>
                <w:b/>
                <w:bCs/>
                <w:noProof/>
                <w:sz w:val="20"/>
              </w:rPr>
              <w:t>87</w:t>
            </w:r>
          </w:p>
        </w:tc>
        <w:tc>
          <w:tcPr>
            <w:tcW w:w="392" w:type="pct"/>
            <w:shd w:val="clear" w:color="auto" w:fill="F2F2F2" w:themeFill="background1" w:themeFillShade="F2"/>
            <w:vAlign w:val="center"/>
          </w:tcPr>
          <w:p w14:paraId="6AF5C70A" w14:textId="77777777" w:rsidR="00B202FC" w:rsidRPr="00380B24" w:rsidRDefault="00B202FC">
            <w:pPr>
              <w:jc w:val="center"/>
              <w:rPr>
                <w:b/>
                <w:bCs/>
                <w:noProof/>
                <w:sz w:val="20"/>
                <w:lang w:eastAsia="lt-LT"/>
              </w:rPr>
            </w:pPr>
            <w:r w:rsidRPr="00380B24">
              <w:rPr>
                <w:b/>
                <w:bCs/>
                <w:noProof/>
                <w:sz w:val="20"/>
              </w:rPr>
              <w:t>209</w:t>
            </w:r>
          </w:p>
        </w:tc>
      </w:tr>
    </w:tbl>
    <w:p w14:paraId="11412174" w14:textId="77777777" w:rsidR="00D52AD8" w:rsidRPr="00C57110" w:rsidRDefault="00D52AD8" w:rsidP="00D52AD8">
      <w:pPr>
        <w:pStyle w:val="Text1"/>
        <w:ind w:left="0"/>
        <w:rPr>
          <w:b/>
          <w:bCs/>
          <w:noProof/>
        </w:rPr>
      </w:pPr>
    </w:p>
    <w:p w14:paraId="0AAD2188" w14:textId="77777777" w:rsidR="00D52AD8" w:rsidRPr="00C57110" w:rsidRDefault="00D52AD8" w:rsidP="00B202FC">
      <w:pPr>
        <w:pStyle w:val="Text1"/>
        <w:keepNext/>
        <w:ind w:left="0"/>
        <w:rPr>
          <w:b/>
          <w:bCs/>
          <w:noProof/>
        </w:rPr>
      </w:pPr>
      <w:r w:rsidRPr="00C57110">
        <w:rPr>
          <w:b/>
          <w:bCs/>
          <w:noProof/>
        </w:rPr>
        <w:t>ECCF-specific stakeholder participation</w:t>
      </w:r>
    </w:p>
    <w:p w14:paraId="2EEC0F56" w14:textId="279BE428" w:rsidR="00D52AD8" w:rsidRPr="00C57110" w:rsidRDefault="00B202FC" w:rsidP="00D52AD8">
      <w:pPr>
        <w:pStyle w:val="Text1"/>
        <w:ind w:left="0"/>
        <w:rPr>
          <w:noProof/>
        </w:rPr>
      </w:pPr>
      <w:r w:rsidRPr="00380B24">
        <w:rPr>
          <w:noProof/>
        </w:rPr>
        <w:t>Of</w:t>
      </w:r>
      <w:r w:rsidR="00D52AD8" w:rsidRPr="00C57110">
        <w:rPr>
          <w:noProof/>
        </w:rPr>
        <w:t xml:space="preserve"> all </w:t>
      </w:r>
      <w:r w:rsidRPr="00380B24">
        <w:rPr>
          <w:noProof/>
        </w:rPr>
        <w:t xml:space="preserve">the </w:t>
      </w:r>
      <w:r w:rsidR="00D52AD8" w:rsidRPr="00C57110">
        <w:rPr>
          <w:noProof/>
        </w:rPr>
        <w:t>respondents</w:t>
      </w:r>
      <w:r w:rsidRPr="00380B24">
        <w:rPr>
          <w:noProof/>
        </w:rPr>
        <w:t xml:space="preserve">, 70 </w:t>
      </w:r>
      <w:r w:rsidR="00D52AD8" w:rsidRPr="00C57110">
        <w:rPr>
          <w:noProof/>
        </w:rPr>
        <w:t xml:space="preserve">(33%) indicated </w:t>
      </w:r>
      <w:r w:rsidRPr="00380B24">
        <w:rPr>
          <w:noProof/>
        </w:rPr>
        <w:t>that they were involved</w:t>
      </w:r>
      <w:r w:rsidR="00D52AD8" w:rsidRPr="00C57110">
        <w:rPr>
          <w:noProof/>
        </w:rPr>
        <w:t xml:space="preserve"> with the ECCF and received a specific set of questions about its implementation. The breakdown for ECCF stakeholder groups is as follows:</w:t>
      </w:r>
    </w:p>
    <w:p w14:paraId="3115212C" w14:textId="77777777" w:rsidR="00D52AD8" w:rsidRPr="00380B24" w:rsidRDefault="00D52AD8" w:rsidP="00D52AD8">
      <w:pPr>
        <w:rPr>
          <w:b/>
          <w:noProof/>
          <w:sz w:val="20"/>
          <w:szCs w:val="20"/>
          <w:lang w:eastAsia="lt-LT"/>
        </w:rPr>
      </w:pPr>
      <w:bookmarkStart w:id="599" w:name="_Toc163500291"/>
      <w:bookmarkStart w:id="600" w:name="_Toc168425244"/>
      <w:bookmarkStart w:id="601" w:name="_Toc168426430"/>
      <w:bookmarkStart w:id="602" w:name="_Toc173138214"/>
      <w:bookmarkStart w:id="603" w:name="_Toc173524577"/>
      <w:r w:rsidRPr="00380B24">
        <w:rPr>
          <w:b/>
          <w:noProof/>
          <w:sz w:val="20"/>
          <w:szCs w:val="20"/>
        </w:rPr>
        <w:t>Table 2. Number of survey responses per stakeholder group (ECCF)</w:t>
      </w:r>
      <w:bookmarkEnd w:id="599"/>
      <w:bookmarkEnd w:id="600"/>
      <w:bookmarkEnd w:id="601"/>
      <w:bookmarkEnd w:id="602"/>
      <w:bookmarkEnd w:id="603"/>
    </w:p>
    <w:tbl>
      <w:tblPr>
        <w:tblStyle w:val="TableGrid"/>
        <w:tblW w:w="5000" w:type="pct"/>
        <w:tblBorders>
          <w:insideH w:val="single" w:sz="6" w:space="0" w:color="auto"/>
          <w:insideV w:val="single" w:sz="6" w:space="0" w:color="auto"/>
        </w:tblBorders>
        <w:tblLook w:val="04A0" w:firstRow="1" w:lastRow="0" w:firstColumn="1" w:lastColumn="0" w:noHBand="0" w:noVBand="1"/>
      </w:tblPr>
      <w:tblGrid>
        <w:gridCol w:w="4788"/>
        <w:gridCol w:w="4788"/>
      </w:tblGrid>
      <w:tr w:rsidR="00B202FC" w:rsidRPr="00380B24" w14:paraId="60B39540" w14:textId="77777777">
        <w:tc>
          <w:tcPr>
            <w:tcW w:w="2500" w:type="pct"/>
            <w:shd w:val="clear" w:color="auto" w:fill="DBE5F1" w:themeFill="accent1" w:themeFillTint="33"/>
          </w:tcPr>
          <w:p w14:paraId="21D4BD82" w14:textId="77777777" w:rsidR="00B202FC" w:rsidRPr="00380B24" w:rsidRDefault="00B202FC">
            <w:pPr>
              <w:rPr>
                <w:b/>
                <w:bCs/>
                <w:noProof/>
                <w:sz w:val="20"/>
                <w:lang w:eastAsia="lt-LT"/>
              </w:rPr>
            </w:pPr>
            <w:r w:rsidRPr="00380B24">
              <w:rPr>
                <w:b/>
                <w:bCs/>
                <w:noProof/>
                <w:sz w:val="20"/>
              </w:rPr>
              <w:t>Stakeholder group</w:t>
            </w:r>
          </w:p>
        </w:tc>
        <w:tc>
          <w:tcPr>
            <w:tcW w:w="2500" w:type="pct"/>
            <w:shd w:val="clear" w:color="auto" w:fill="DBE5F1" w:themeFill="accent1" w:themeFillTint="33"/>
          </w:tcPr>
          <w:p w14:paraId="7976E171" w14:textId="77777777" w:rsidR="00B202FC" w:rsidRPr="00380B24" w:rsidRDefault="00B202FC">
            <w:pPr>
              <w:rPr>
                <w:b/>
                <w:bCs/>
                <w:noProof/>
                <w:sz w:val="20"/>
                <w:lang w:eastAsia="lt-LT"/>
              </w:rPr>
            </w:pPr>
            <w:r w:rsidRPr="00380B24">
              <w:rPr>
                <w:b/>
                <w:bCs/>
                <w:noProof/>
                <w:sz w:val="20"/>
              </w:rPr>
              <w:t>Number of responses</w:t>
            </w:r>
          </w:p>
        </w:tc>
      </w:tr>
      <w:tr w:rsidR="00B202FC" w:rsidRPr="00380B24" w14:paraId="2951329F" w14:textId="77777777">
        <w:tc>
          <w:tcPr>
            <w:tcW w:w="2500" w:type="pct"/>
          </w:tcPr>
          <w:p w14:paraId="647192FC" w14:textId="77777777" w:rsidR="00B202FC" w:rsidRPr="00380B24" w:rsidRDefault="00B202FC">
            <w:pPr>
              <w:rPr>
                <w:b/>
                <w:bCs/>
                <w:noProof/>
                <w:sz w:val="20"/>
                <w:lang w:eastAsia="lt-LT"/>
              </w:rPr>
            </w:pPr>
            <w:r w:rsidRPr="00380B24">
              <w:rPr>
                <w:b/>
                <w:bCs/>
                <w:noProof/>
                <w:sz w:val="20"/>
              </w:rPr>
              <w:t>ENISA ad hoc working group(s) related to cybersecurity certification</w:t>
            </w:r>
          </w:p>
        </w:tc>
        <w:tc>
          <w:tcPr>
            <w:tcW w:w="2500" w:type="pct"/>
            <w:vAlign w:val="center"/>
          </w:tcPr>
          <w:p w14:paraId="7420CC79" w14:textId="77777777" w:rsidR="00B202FC" w:rsidRPr="00380B24" w:rsidRDefault="00B202FC">
            <w:pPr>
              <w:jc w:val="center"/>
              <w:rPr>
                <w:noProof/>
                <w:sz w:val="20"/>
                <w:lang w:eastAsia="lt-LT"/>
              </w:rPr>
            </w:pPr>
            <w:r w:rsidRPr="00380B24">
              <w:rPr>
                <w:noProof/>
                <w:sz w:val="20"/>
              </w:rPr>
              <w:t>37</w:t>
            </w:r>
          </w:p>
        </w:tc>
      </w:tr>
      <w:tr w:rsidR="00B202FC" w:rsidRPr="00380B24" w14:paraId="377CA511" w14:textId="77777777">
        <w:tc>
          <w:tcPr>
            <w:tcW w:w="2500" w:type="pct"/>
          </w:tcPr>
          <w:p w14:paraId="2B0FD08F" w14:textId="77777777" w:rsidR="00B202FC" w:rsidRPr="00380B24" w:rsidRDefault="00B202FC">
            <w:pPr>
              <w:rPr>
                <w:b/>
                <w:bCs/>
                <w:noProof/>
                <w:sz w:val="20"/>
                <w:lang w:eastAsia="lt-LT"/>
              </w:rPr>
            </w:pPr>
            <w:r w:rsidRPr="00380B24">
              <w:rPr>
                <w:b/>
                <w:bCs/>
                <w:noProof/>
                <w:sz w:val="20"/>
              </w:rPr>
              <w:t>Stakeholder Cybersecurity Certification Group (SCCG)</w:t>
            </w:r>
          </w:p>
        </w:tc>
        <w:tc>
          <w:tcPr>
            <w:tcW w:w="2500" w:type="pct"/>
            <w:vAlign w:val="center"/>
          </w:tcPr>
          <w:p w14:paraId="18C0CCC7" w14:textId="77777777" w:rsidR="00B202FC" w:rsidRPr="00380B24" w:rsidRDefault="00B202FC">
            <w:pPr>
              <w:jc w:val="center"/>
              <w:rPr>
                <w:noProof/>
                <w:sz w:val="20"/>
                <w:lang w:eastAsia="lt-LT"/>
              </w:rPr>
            </w:pPr>
            <w:r w:rsidRPr="00380B24">
              <w:rPr>
                <w:noProof/>
                <w:sz w:val="20"/>
              </w:rPr>
              <w:t>24</w:t>
            </w:r>
          </w:p>
        </w:tc>
      </w:tr>
      <w:tr w:rsidR="00B202FC" w:rsidRPr="00380B24" w14:paraId="6C7B155E" w14:textId="77777777">
        <w:tc>
          <w:tcPr>
            <w:tcW w:w="2500" w:type="pct"/>
          </w:tcPr>
          <w:p w14:paraId="43D54E8C" w14:textId="77777777" w:rsidR="00B202FC" w:rsidRPr="00380B24" w:rsidRDefault="00B202FC">
            <w:pPr>
              <w:rPr>
                <w:b/>
                <w:bCs/>
                <w:noProof/>
                <w:sz w:val="20"/>
                <w:lang w:eastAsia="lt-LT"/>
              </w:rPr>
            </w:pPr>
            <w:r w:rsidRPr="00380B24">
              <w:rPr>
                <w:b/>
                <w:bCs/>
                <w:noProof/>
                <w:sz w:val="20"/>
              </w:rPr>
              <w:t>European Cybersecurity Certification Group (ECCG)</w:t>
            </w:r>
          </w:p>
        </w:tc>
        <w:tc>
          <w:tcPr>
            <w:tcW w:w="2500" w:type="pct"/>
            <w:vAlign w:val="center"/>
          </w:tcPr>
          <w:p w14:paraId="693334BD" w14:textId="77777777" w:rsidR="00B202FC" w:rsidRPr="00380B24" w:rsidRDefault="00B202FC">
            <w:pPr>
              <w:jc w:val="center"/>
              <w:rPr>
                <w:noProof/>
                <w:sz w:val="20"/>
                <w:lang w:eastAsia="lt-LT"/>
              </w:rPr>
            </w:pPr>
            <w:r w:rsidRPr="00380B24">
              <w:rPr>
                <w:noProof/>
                <w:sz w:val="20"/>
              </w:rPr>
              <w:t>21</w:t>
            </w:r>
          </w:p>
        </w:tc>
      </w:tr>
      <w:tr w:rsidR="00B202FC" w:rsidRPr="00380B24" w14:paraId="095BCB27" w14:textId="77777777">
        <w:tc>
          <w:tcPr>
            <w:tcW w:w="2500" w:type="pct"/>
          </w:tcPr>
          <w:p w14:paraId="48EFA7C4" w14:textId="77777777" w:rsidR="00B202FC" w:rsidRPr="00380B24" w:rsidRDefault="00B202FC">
            <w:pPr>
              <w:rPr>
                <w:b/>
                <w:bCs/>
                <w:noProof/>
                <w:sz w:val="20"/>
                <w:lang w:eastAsia="lt-LT"/>
              </w:rPr>
            </w:pPr>
            <w:r w:rsidRPr="00380B24">
              <w:rPr>
                <w:b/>
                <w:bCs/>
                <w:noProof/>
                <w:sz w:val="20"/>
              </w:rPr>
              <w:t>National Cybersecurity Certification Authorities</w:t>
            </w:r>
          </w:p>
        </w:tc>
        <w:tc>
          <w:tcPr>
            <w:tcW w:w="2500" w:type="pct"/>
            <w:vAlign w:val="center"/>
          </w:tcPr>
          <w:p w14:paraId="2D03E458" w14:textId="77777777" w:rsidR="00B202FC" w:rsidRPr="00380B24" w:rsidRDefault="00B202FC">
            <w:pPr>
              <w:jc w:val="center"/>
              <w:rPr>
                <w:noProof/>
                <w:sz w:val="20"/>
                <w:lang w:eastAsia="lt-LT"/>
              </w:rPr>
            </w:pPr>
            <w:r w:rsidRPr="00380B24">
              <w:rPr>
                <w:noProof/>
                <w:sz w:val="20"/>
              </w:rPr>
              <w:t>19</w:t>
            </w:r>
          </w:p>
        </w:tc>
      </w:tr>
    </w:tbl>
    <w:p w14:paraId="1726280D" w14:textId="77777777" w:rsidR="00D52AD8" w:rsidRPr="00C57110" w:rsidRDefault="00D52AD8" w:rsidP="00D52AD8">
      <w:pPr>
        <w:rPr>
          <w:rFonts w:eastAsia="Times New Roman"/>
          <w:noProof/>
          <w:sz w:val="20"/>
          <w:szCs w:val="16"/>
          <w:lang w:eastAsia="lt-LT"/>
        </w:rPr>
      </w:pPr>
      <w:r w:rsidRPr="00C57110">
        <w:rPr>
          <w:rFonts w:eastAsia="Times New Roman"/>
          <w:noProof/>
          <w:sz w:val="20"/>
          <w:szCs w:val="16"/>
          <w:lang w:eastAsia="lt-LT"/>
        </w:rPr>
        <w:t>Note: Respondents could select more than one option.</w:t>
      </w:r>
    </w:p>
    <w:p w14:paraId="2DDB3CD0" w14:textId="20E40249" w:rsidR="00D52AD8" w:rsidRPr="00C57110" w:rsidRDefault="00D52AD8" w:rsidP="00D52AD8">
      <w:pPr>
        <w:pStyle w:val="Heading3"/>
        <w:spacing w:line="360" w:lineRule="auto"/>
        <w:rPr>
          <w:noProof/>
        </w:rPr>
      </w:pPr>
      <w:bookmarkStart w:id="604" w:name="_Toc218702635"/>
      <w:bookmarkStart w:id="605" w:name="_Toc219039558"/>
      <w:bookmarkStart w:id="606" w:name="_Toc219447461"/>
      <w:r w:rsidRPr="00C57110">
        <w:rPr>
          <w:noProof/>
        </w:rPr>
        <w:t>Summary of results</w:t>
      </w:r>
      <w:bookmarkEnd w:id="604"/>
      <w:bookmarkEnd w:id="605"/>
      <w:bookmarkEnd w:id="606"/>
    </w:p>
    <w:p w14:paraId="4EB8B2FB" w14:textId="77777777" w:rsidR="00D52AD8" w:rsidRPr="00C57110" w:rsidRDefault="00D52AD8" w:rsidP="00D52AD8">
      <w:pPr>
        <w:tabs>
          <w:tab w:val="left" w:pos="1454"/>
        </w:tabs>
        <w:rPr>
          <w:b/>
          <w:bCs/>
          <w:noProof/>
        </w:rPr>
      </w:pPr>
      <w:r w:rsidRPr="00C57110">
        <w:rPr>
          <w:b/>
          <w:bCs/>
          <w:noProof/>
        </w:rPr>
        <w:t>ENISA survey results</w:t>
      </w:r>
    </w:p>
    <w:p w14:paraId="1EB72299" w14:textId="77777777" w:rsidR="00D52AD8" w:rsidRPr="00C57110" w:rsidRDefault="00D52AD8" w:rsidP="00D52AD8">
      <w:pPr>
        <w:rPr>
          <w:b/>
          <w:bCs/>
          <w:noProof/>
        </w:rPr>
      </w:pPr>
      <w:r w:rsidRPr="00C57110">
        <w:rPr>
          <w:b/>
          <w:bCs/>
          <w:noProof/>
        </w:rPr>
        <w:t>Effectiveness</w:t>
      </w:r>
    </w:p>
    <w:p w14:paraId="72B71222" w14:textId="228C979E" w:rsidR="00D52AD8" w:rsidRPr="00C57110" w:rsidRDefault="00D52AD8" w:rsidP="00D52AD8">
      <w:pPr>
        <w:rPr>
          <w:noProof/>
        </w:rPr>
      </w:pPr>
      <w:r w:rsidRPr="00C57110">
        <w:rPr>
          <w:noProof/>
        </w:rPr>
        <w:t>ENISA is generally acknowledged by stakeholders as effective in fulfilling most of its mandate. According to the survey, 71% of stakeholders considered ENISA a leading centre of expertise on cybersecurity, able to deliver valuable outputs, including for policy-making and decision-making processes. ENISA’s support was particularly appreciated during critical periods, such as the COVID-19 pandemic</w:t>
      </w:r>
      <w:r w:rsidR="00B202FC" w:rsidRPr="00380B24">
        <w:rPr>
          <w:noProof/>
        </w:rPr>
        <w:t>,</w:t>
      </w:r>
      <w:r w:rsidRPr="00C57110">
        <w:rPr>
          <w:noProof/>
        </w:rPr>
        <w:t xml:space="preserve"> and </w:t>
      </w:r>
      <w:r w:rsidR="00B202FC" w:rsidRPr="00380B24">
        <w:rPr>
          <w:noProof/>
        </w:rPr>
        <w:t xml:space="preserve">for </w:t>
      </w:r>
      <w:r w:rsidRPr="00C57110">
        <w:rPr>
          <w:noProof/>
        </w:rPr>
        <w:t xml:space="preserve">its operational cooperation with Ukraine. </w:t>
      </w:r>
    </w:p>
    <w:p w14:paraId="335FFB00" w14:textId="77777777" w:rsidR="00B202FC" w:rsidRPr="00380B24" w:rsidRDefault="00B202FC" w:rsidP="00B202FC">
      <w:pPr>
        <w:rPr>
          <w:rFonts w:eastAsia="Calibri" w:cs="Arial"/>
          <w:noProof/>
        </w:rPr>
      </w:pPr>
      <w:r w:rsidRPr="00380B24">
        <w:rPr>
          <w:noProof/>
        </w:rPr>
        <w:t xml:space="preserve">ENISA’s publications were cited most frequently by stakeholders in the cybersecurity field, confirming ENISA’s status as a centre of expertise in this area. Between 2017 and 2023, ENISA produced and issued a total of 286 publications. These covered a wide range of topics, with the most frequent being cybersecurity policy (72 publications), cyber threats (48), critical infrastructure (38), incident reporting (24) and emerging technologies (21). </w:t>
      </w:r>
      <w:r w:rsidRPr="00380B24">
        <w:rPr>
          <w:rFonts w:eastAsia="Calibri" w:cs="Arial"/>
          <w:noProof/>
        </w:rPr>
        <w:t xml:space="preserve">Stakeholders were involved in the preparation of these publications through workshops and studies. While these publications were highly cited and appreciated for their independence and clarity, </w:t>
      </w:r>
      <w:r w:rsidRPr="00380B24">
        <w:rPr>
          <w:noProof/>
        </w:rPr>
        <w:t>many respondents noted in the open-ended follow-up questions that these could be made more concise and practical</w:t>
      </w:r>
      <w:r w:rsidRPr="00380B24">
        <w:rPr>
          <w:rFonts w:eastAsia="Calibri" w:cs="Arial"/>
          <w:noProof/>
        </w:rPr>
        <w:t xml:space="preserve">. </w:t>
      </w:r>
      <w:r w:rsidRPr="00380B24">
        <w:rPr>
          <w:noProof/>
        </w:rPr>
        <w:t>There was a clear call for using summaries and visualisations</w:t>
      </w:r>
      <w:r w:rsidRPr="00380B24">
        <w:rPr>
          <w:rFonts w:eastAsia="Calibri" w:cs="Arial"/>
          <w:noProof/>
        </w:rPr>
        <w:t xml:space="preserve"> more widely to make key information easier to identify. </w:t>
      </w:r>
    </w:p>
    <w:p w14:paraId="042D0E8A" w14:textId="77777777" w:rsidR="00B202FC" w:rsidRPr="00380B24" w:rsidRDefault="00B202FC" w:rsidP="00B202FC">
      <w:pPr>
        <w:rPr>
          <w:noProof/>
        </w:rPr>
      </w:pPr>
      <w:r w:rsidRPr="00380B24">
        <w:rPr>
          <w:noProof/>
        </w:rPr>
        <w:t>Supporting policy implementation is one of ENISA’s key tasks, as reinforced by the Cybersecurity Act. ENISA’s support has contributed to its stakeholders adopting regulatory or policy changes and innovations. Respondents provided concrete examples, such as adopting structured threat communication protocols and using ENISA’s guidance on implementing the NIS Directive to improve cybersecurity resilience. Respondents also underlined the</w:t>
      </w:r>
      <w:r w:rsidRPr="00380B24">
        <w:rPr>
          <w:rFonts w:eastAsia="Calibri" w:cs="Arial"/>
          <w:noProof/>
        </w:rPr>
        <w:t xml:space="preserve"> influence of ENISA’s frameworks on national cybersecurity certification schemes</w:t>
      </w:r>
      <w:r w:rsidRPr="00380B24">
        <w:rPr>
          <w:noProof/>
        </w:rPr>
        <w:t xml:space="preserve"> and the fact that ENISA’s foresight activities helped anticipate future regulatory needs. Over 80% of ENISA’s contribution was related to organising workshops and conferences. However, according to survey results, only about half of national authorities and companies consistently used ENISA’s outputs for policy- or decision-making processes.</w:t>
      </w:r>
    </w:p>
    <w:p w14:paraId="4F9367F3" w14:textId="48D9E8A5" w:rsidR="00B202FC" w:rsidRPr="00380B24" w:rsidRDefault="00D52AD8" w:rsidP="00B202FC">
      <w:pPr>
        <w:pStyle w:val="Caption"/>
        <w:keepNext/>
        <w:rPr>
          <w:noProof/>
        </w:rPr>
      </w:pPr>
      <w:bookmarkStart w:id="607" w:name="_Toc218765296"/>
      <w:bookmarkStart w:id="608" w:name="_Toc219447484"/>
      <w:r w:rsidRPr="00C57110">
        <w:rPr>
          <w:noProof/>
        </w:rPr>
        <w:t xml:space="preserve">Figure </w:t>
      </w:r>
      <w:r w:rsidR="00165BD8">
        <w:rPr>
          <w:noProof/>
        </w:rPr>
        <w:t>1</w:t>
      </w:r>
      <w:r w:rsidR="000B51FE">
        <w:rPr>
          <w:noProof/>
        </w:rPr>
        <w:t>3</w:t>
      </w:r>
      <w:r w:rsidR="00B202FC" w:rsidRPr="00380B24">
        <w:rPr>
          <w:noProof/>
        </w:rPr>
        <w:t xml:space="preserve"> </w:t>
      </w:r>
      <w:r w:rsidR="00B202FC">
        <w:rPr>
          <w:noProof/>
        </w:rPr>
        <w:fldChar w:fldCharType="begin"/>
      </w:r>
      <w:r w:rsidR="00B202FC">
        <w:rPr>
          <w:noProof/>
        </w:rPr>
        <w:instrText xml:space="preserve"> SEQ Figure \* ARABIC </w:instrText>
      </w:r>
      <w:r w:rsidR="00B202FC">
        <w:rPr>
          <w:noProof/>
        </w:rPr>
        <w:fldChar w:fldCharType="separate"/>
      </w:r>
      <w:r>
        <w:rPr>
          <w:noProof/>
        </w:rPr>
        <w:t>2</w:t>
      </w:r>
      <w:r w:rsidR="00B202FC">
        <w:rPr>
          <w:noProof/>
        </w:rPr>
        <w:fldChar w:fldCharType="end"/>
      </w:r>
      <w:r w:rsidR="00B202FC" w:rsidRPr="00380B24">
        <w:rPr>
          <w:noProof/>
        </w:rPr>
        <w:t xml:space="preserve"> ENISA’s outputs in policy tasks</w:t>
      </w:r>
      <w:bookmarkEnd w:id="607"/>
      <w:bookmarkEnd w:id="608"/>
    </w:p>
    <w:p w14:paraId="6507A85F" w14:textId="77777777" w:rsidR="00B202FC" w:rsidRPr="00380B24" w:rsidRDefault="00B202FC" w:rsidP="00B202FC">
      <w:pPr>
        <w:pStyle w:val="Body"/>
        <w:spacing w:after="0"/>
        <w:rPr>
          <w:rStyle w:val="SourceChar"/>
          <w:rFonts w:ascii="Times New Roman" w:hAnsi="Times New Roman"/>
        </w:rPr>
      </w:pPr>
      <w:r w:rsidRPr="00380B24">
        <w:rPr>
          <w:rFonts w:ascii="Times New Roman" w:hAnsi="Times New Roman"/>
          <w:lang w:eastAsia="en-GB"/>
        </w:rPr>
        <w:drawing>
          <wp:inline distT="0" distB="0" distL="0" distR="0" wp14:anchorId="0FF99720" wp14:editId="75276BA2">
            <wp:extent cx="5472000" cy="2466975"/>
            <wp:effectExtent l="0" t="0" r="14605" b="9525"/>
            <wp:docPr id="37025825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r w:rsidRPr="00380B24">
        <w:rPr>
          <w:rStyle w:val="SourceChar"/>
          <w:rFonts w:ascii="Times New Roman" w:hAnsi="Times New Roman"/>
        </w:rPr>
        <w:t xml:space="preserve"> </w:t>
      </w:r>
    </w:p>
    <w:p w14:paraId="71D32F35" w14:textId="77777777" w:rsidR="00B202FC" w:rsidRPr="00380B24" w:rsidRDefault="00B202FC" w:rsidP="26DB0DB3">
      <w:pPr>
        <w:pStyle w:val="FootnoteText"/>
        <w:rPr>
          <w:rStyle w:val="SourceChar"/>
          <w:rFonts w:eastAsiaTheme="minorEastAsia"/>
          <w:noProof/>
          <w:lang w:val="en-GB"/>
        </w:rPr>
      </w:pPr>
      <w:r w:rsidRPr="26DB0DB3">
        <w:rPr>
          <w:rStyle w:val="SourceChar"/>
          <w:rFonts w:eastAsiaTheme="minorEastAsia"/>
          <w:noProof/>
          <w:lang w:val="en-GB"/>
        </w:rPr>
        <w:t>Source: PPMI, Intellera Consulting and PwC (2024). Study to support the evaluation of the European Union Agency for Cybersecurity (ENISA) and the European Cybersecurity Certification Framework – Final Report. Survey of stakeholders, question 21 ‘Please indicate to which extent ENISA’s activities and outputs contributed to the following aspects? My organisation uses ENISA’s outputs in its policy and or decision-making processes’.</w:t>
      </w:r>
    </w:p>
    <w:p w14:paraId="4DC6F745" w14:textId="32DA6B9C" w:rsidR="00B202FC" w:rsidRPr="00380B24" w:rsidRDefault="00B202FC" w:rsidP="001E4F09">
      <w:pPr>
        <w:spacing w:before="240"/>
        <w:rPr>
          <w:rFonts w:eastAsia="Calibri"/>
          <w:noProof/>
        </w:rPr>
      </w:pPr>
      <w:r w:rsidRPr="00380B24">
        <w:rPr>
          <w:noProof/>
        </w:rPr>
        <w:t xml:space="preserve">The consultation results also show ENISA’s effectiveness in supporting Member States through the Cybersecurity Support Action. 58 % of all stakeholders agreed that ENISA effectively supported Member States in preventing and responding to cyberattacks through that Action, with no notable differences between various stakeholder groups. However, the consultation also revealed that 44% of survey respondents were unable to assess the usefulness of the Action, indicating </w:t>
      </w:r>
      <w:r w:rsidRPr="00380B24">
        <w:rPr>
          <w:rFonts w:eastAsia="Calibri"/>
          <w:noProof/>
        </w:rPr>
        <w:t>that the visibility of the Action needed to be improved.</w:t>
      </w:r>
    </w:p>
    <w:p w14:paraId="6508E503" w14:textId="6FE02718" w:rsidR="00B202FC" w:rsidRPr="00380B24" w:rsidRDefault="00B202FC" w:rsidP="00B202FC">
      <w:pPr>
        <w:pStyle w:val="Caption"/>
        <w:keepNext/>
        <w:rPr>
          <w:noProof/>
        </w:rPr>
      </w:pPr>
      <w:bookmarkStart w:id="609" w:name="_Toc218765297"/>
      <w:bookmarkStart w:id="610" w:name="_Toc219447485"/>
      <w:r w:rsidRPr="00380B24">
        <w:rPr>
          <w:noProof/>
        </w:rPr>
        <w:t xml:space="preserve">Figure </w:t>
      </w:r>
      <w:r w:rsidR="000B51FE">
        <w:rPr>
          <w:noProof/>
        </w:rPr>
        <w:t>14</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sidRPr="00380B24">
        <w:rPr>
          <w:noProof/>
        </w:rPr>
        <w:t xml:space="preserve"> The Cybersecurity Support Action’s support to Member States in preventing and responding to cyber attacks</w:t>
      </w:r>
      <w:bookmarkEnd w:id="609"/>
      <w:bookmarkEnd w:id="610"/>
    </w:p>
    <w:p w14:paraId="214680DA" w14:textId="77777777" w:rsidR="00B202FC" w:rsidRPr="00380B24" w:rsidRDefault="00B202FC" w:rsidP="00B202FC">
      <w:pPr>
        <w:spacing w:after="0"/>
        <w:rPr>
          <w:noProof/>
        </w:rPr>
      </w:pPr>
      <w:r w:rsidRPr="00380B24">
        <w:rPr>
          <w:noProof/>
          <w:lang w:eastAsia="en-GB"/>
        </w:rPr>
        <w:drawing>
          <wp:inline distT="0" distB="0" distL="0" distR="0" wp14:anchorId="04590ADC" wp14:editId="670247B3">
            <wp:extent cx="5472000" cy="2438400"/>
            <wp:effectExtent l="0" t="0" r="14605" b="0"/>
            <wp:docPr id="519511533"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28CA0017" w14:textId="77777777" w:rsidR="00B202FC" w:rsidRPr="00380B24" w:rsidRDefault="00B202FC" w:rsidP="00B202FC">
      <w:pPr>
        <w:pStyle w:val="Body"/>
        <w:rPr>
          <w:rFonts w:ascii="Times New Roman" w:hAnsi="Times New Roman"/>
          <w:b/>
          <w:bCs/>
          <w:lang w:eastAsia="ja-JP"/>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25 ‘In your opinion, to which extent has the ENISA Cybersecurity Support Action been effective in supporting EU member states in preventing and responding to cyberattacks?’</w:t>
      </w:r>
    </w:p>
    <w:p w14:paraId="6872447A" w14:textId="77777777" w:rsidR="00B202FC" w:rsidRPr="00380B24" w:rsidRDefault="00B202FC" w:rsidP="00B202FC">
      <w:pPr>
        <w:rPr>
          <w:noProof/>
        </w:rPr>
      </w:pPr>
      <w:r w:rsidRPr="00380B24">
        <w:rPr>
          <w:noProof/>
        </w:rPr>
        <w:t xml:space="preserve">In summary, while stakeholder satisfaction with ENISA’s approach and activities is generally positive, given its valuable outputs and role as a centre of expertise in cybersecurity, there are areas where its relevance can be significantly improved. ENISA’s contributions to policy implementation and capacity building are appreciated by stakeholders, although there are clear opportunities for improvement in communication, stakeholder engagement and resource allocation.  </w:t>
      </w:r>
    </w:p>
    <w:p w14:paraId="02B9D929" w14:textId="77777777" w:rsidR="00B202FC" w:rsidRPr="00380B24" w:rsidRDefault="00B202FC" w:rsidP="00B202FC">
      <w:pPr>
        <w:rPr>
          <w:b/>
          <w:noProof/>
        </w:rPr>
      </w:pPr>
      <w:r w:rsidRPr="00380B24">
        <w:rPr>
          <w:b/>
          <w:bCs/>
          <w:noProof/>
        </w:rPr>
        <w:t>Efficiency</w:t>
      </w:r>
    </w:p>
    <w:p w14:paraId="2ECCAF65" w14:textId="77777777" w:rsidR="00B202FC" w:rsidRPr="00380B24" w:rsidRDefault="00B202FC" w:rsidP="00B202FC">
      <w:pPr>
        <w:rPr>
          <w:rFonts w:eastAsia="Calibri"/>
          <w:noProof/>
          <w:color w:val="000000" w:themeColor="text1"/>
        </w:rPr>
      </w:pPr>
      <w:r w:rsidRPr="00380B24">
        <w:rPr>
          <w:rFonts w:eastAsia="Calibri"/>
          <w:noProof/>
          <w:color w:val="000000" w:themeColor="text1"/>
        </w:rPr>
        <w:t xml:space="preserve">During the 2017-2023 evaluation period, stakeholders were enthusiastic about ENISA’s performance, praising it for successfully delivering its outputs even during periods of high workload, and recognising its operations as mostly efficient under its existing governance structure. Despite this, the evaluation and survey highlighted several key areas where stakeholders found that ENISA still had room to become more efficient. </w:t>
      </w:r>
    </w:p>
    <w:p w14:paraId="7D7183B1" w14:textId="77777777" w:rsidR="00B202FC" w:rsidRPr="00380B24" w:rsidRDefault="00B202FC" w:rsidP="00B202FC">
      <w:pPr>
        <w:rPr>
          <w:noProof/>
        </w:rPr>
      </w:pPr>
      <w:r w:rsidRPr="00380B24">
        <w:rPr>
          <w:noProof/>
        </w:rPr>
        <w:t>Responses to open-ended questions showed that some stakeholders were confused about ENISA’s role within the EU’s cybersecurity framework. Notably, 28% of the respondents surveyed were more restrained with regard to seeing ENISA as the centre of expertise on cybersecurity. They noted that the lack of a more effective communication system jeopardises ENISA’s standing as the centre of expertise and that the complicated structure of ENISA’s website prevented them from interacting properly with its outputs.</w:t>
      </w:r>
    </w:p>
    <w:p w14:paraId="06D61185" w14:textId="77777777" w:rsidR="00B202FC" w:rsidRPr="00380B24" w:rsidRDefault="00B202FC" w:rsidP="00B202FC">
      <w:pPr>
        <w:rPr>
          <w:rFonts w:eastAsia="Calibri"/>
          <w:noProof/>
          <w:color w:val="000000" w:themeColor="text1"/>
        </w:rPr>
      </w:pPr>
      <w:r w:rsidRPr="00380B24">
        <w:rPr>
          <w:rFonts w:eastAsia="Calibri"/>
          <w:noProof/>
          <w:color w:val="000000" w:themeColor="text1"/>
        </w:rPr>
        <w:t xml:space="preserve">Interviews with ENISA’s staff, stakeholder surveys and internal documentation indicated that ENISA struggled to keep pace with increasing demands and struggled to fill specialised positions, exacerbated by a global shortage of IT and cybersecurity specialists. This led to delays, reprioritisation of tasks and periods of high stress and workload. </w:t>
      </w:r>
      <w:r w:rsidRPr="00380B24">
        <w:rPr>
          <w:rFonts w:eastAsia="Calibri"/>
          <w:noProof/>
        </w:rPr>
        <w:t>Periods of high workload for ENISA were often associated with adopting and implementing new policies or legal acts, with developing cybersecurity certification and with operational activities related to geopolitical developments.</w:t>
      </w:r>
      <w:r w:rsidRPr="00380B24">
        <w:rPr>
          <w:rFonts w:eastAsia="Calibri"/>
          <w:noProof/>
          <w:color w:val="000000" w:themeColor="text1"/>
        </w:rPr>
        <w:t xml:space="preserve"> However, 63% of stakeholders gave a positive assessment of ENISA’s performance (‘successful’ or ‘very successful’) during such periods. The survey results indicate that ENISA’s organisational arrangements were relatively well adapted to managing periods of high workload. A total of 84% of stakeholders ‘completely’, to a ‘large extent’ or ‘somewhat’ agreed with this statement.</w:t>
      </w:r>
    </w:p>
    <w:p w14:paraId="5D6AC44D" w14:textId="77777777" w:rsidR="00B202FC" w:rsidRPr="00380B24" w:rsidRDefault="00B202FC" w:rsidP="00B202FC">
      <w:pPr>
        <w:rPr>
          <w:noProof/>
        </w:rPr>
      </w:pPr>
      <w:r w:rsidRPr="00380B24">
        <w:rPr>
          <w:noProof/>
        </w:rPr>
        <w:t>However, resources and resource allocation, operational inefficiencies and challenges stemming from the political and regulatory environment were identified as the main obstacles to ENISA’s performance during periods of high workload. The 2022 Staff Satisfaction Survey shows that 64% of respondents experienced stress due to high workload.</w:t>
      </w:r>
    </w:p>
    <w:p w14:paraId="63F9A586" w14:textId="77777777" w:rsidR="00B202FC" w:rsidRPr="00380B24" w:rsidRDefault="00B202FC" w:rsidP="00B202FC">
      <w:pPr>
        <w:rPr>
          <w:noProof/>
        </w:rPr>
      </w:pPr>
      <w:r w:rsidRPr="00380B24">
        <w:rPr>
          <w:noProof/>
        </w:rPr>
        <w:t xml:space="preserve">In 2023, an average of 76% of staff reported working more than 40 hours per week monthly and in 2022, 4 FTEs resigned due to overwork and work over weekend. Some stakeholders noted that more resources and, to some extent, </w:t>
      </w:r>
      <w:r w:rsidRPr="00380B24">
        <w:rPr>
          <w:rFonts w:eastAsia="Times New Roman"/>
          <w:noProof/>
          <w:color w:val="000000" w:themeColor="text1"/>
        </w:rPr>
        <w:t xml:space="preserve">a more agile approach to deploying resources could be a way for ENISA to better adapt to evolving cybersecurity demands and to minimise delays. </w:t>
      </w:r>
      <w:r w:rsidRPr="00380B24">
        <w:rPr>
          <w:noProof/>
        </w:rPr>
        <w:t>Other stakeholders thought that ENISA could increase its capacity to provide policy and technical support by being more selective with its engagements and refining its operational focus areas.</w:t>
      </w:r>
    </w:p>
    <w:p w14:paraId="7B4FE090" w14:textId="77777777" w:rsidR="00B202FC" w:rsidRPr="00380B24" w:rsidRDefault="00B202FC" w:rsidP="00B202FC">
      <w:pPr>
        <w:spacing w:after="120"/>
        <w:rPr>
          <w:rFonts w:eastAsia="Times New Roman"/>
          <w:noProof/>
          <w:color w:val="000000" w:themeColor="text1"/>
        </w:rPr>
      </w:pPr>
      <w:r w:rsidRPr="00380B24">
        <w:rPr>
          <w:rFonts w:eastAsia="Times New Roman"/>
          <w:noProof/>
          <w:color w:val="000000" w:themeColor="text1"/>
        </w:rPr>
        <w:t xml:space="preserve">Stakeholders also noted that budget management presents opportunities for improvement. </w:t>
      </w:r>
      <w:r w:rsidRPr="00380B24">
        <w:rPr>
          <w:rFonts w:eastAsia="Times New Roman"/>
          <w:noProof/>
        </w:rPr>
        <w:t xml:space="preserve">Despite significant budget growth from 2017 to 2023, resource constraints persisted. ENISA’s budget grew unevenly, with notable increases in 2019 (over 46%), 2020 (30.5%) and 2022 (72.4% compared to 2021, due to the Cybersecurity Support Action). </w:t>
      </w:r>
      <w:r w:rsidRPr="00380B24">
        <w:rPr>
          <w:rFonts w:eastAsia="Times New Roman"/>
          <w:noProof/>
          <w:color w:val="000000" w:themeColor="text1"/>
        </w:rPr>
        <w:t>ENISA encountered a downward trend in balancing approved and committed appropriations between 2019 and 2022 due to delays in actions like the Cybersecurity Support Action. Reversing this trend and dedicating efforts towards managing administrative expenditure, including addressing procurement delays, could further improve internal efficiency.</w:t>
      </w:r>
    </w:p>
    <w:p w14:paraId="4267012E" w14:textId="77777777" w:rsidR="00B202FC" w:rsidRPr="00380B24" w:rsidRDefault="00B202FC" w:rsidP="00B202FC">
      <w:pPr>
        <w:rPr>
          <w:noProof/>
        </w:rPr>
      </w:pPr>
      <w:r w:rsidRPr="00380B24">
        <w:rPr>
          <w:noProof/>
        </w:rPr>
        <w:t>In summary, ENISA demonstrated efficiency in implementing its tasks, supported by a revised governance structure. However, stakeholders underlined opportunities for ENISA to become more efficient by improving its communications and by making more resources available or allocating resources in a more strategic manner.</w:t>
      </w:r>
    </w:p>
    <w:p w14:paraId="3F53C179" w14:textId="77777777" w:rsidR="00D52AD8" w:rsidRPr="00C57110" w:rsidRDefault="00D52AD8" w:rsidP="00D52AD8">
      <w:pPr>
        <w:rPr>
          <w:b/>
          <w:noProof/>
        </w:rPr>
      </w:pPr>
      <w:r w:rsidRPr="00C57110">
        <w:rPr>
          <w:b/>
          <w:noProof/>
        </w:rPr>
        <w:t>Relevance</w:t>
      </w:r>
    </w:p>
    <w:p w14:paraId="4A27E409" w14:textId="77777777" w:rsidR="00B202FC" w:rsidRPr="00380B24" w:rsidRDefault="00B202FC" w:rsidP="00B202FC">
      <w:pPr>
        <w:rPr>
          <w:noProof/>
        </w:rPr>
      </w:pPr>
      <w:r w:rsidRPr="00380B24">
        <w:rPr>
          <w:noProof/>
        </w:rPr>
        <w:t>ENISA’s relevance within the cybersecurity domain is shown by its responsiveness to evolving stakeholder needs and its flexibility to adapt to the changing landscape. According to stakeholders, it has consistently demonstrated its ability to review and realign its areas of action in response to emerging developments. Thus, it continues to be a vital part of the EU’s cybersecurity framework.</w:t>
      </w:r>
    </w:p>
    <w:p w14:paraId="77641471" w14:textId="77777777" w:rsidR="00B202FC" w:rsidRPr="00380B24" w:rsidDel="00341ACD" w:rsidRDefault="00B202FC" w:rsidP="00B202FC">
      <w:pPr>
        <w:rPr>
          <w:noProof/>
          <w:color w:val="000000"/>
          <w:shd w:val="clear" w:color="auto" w:fill="FFFFFF"/>
        </w:rPr>
      </w:pPr>
      <w:r w:rsidRPr="00380B24">
        <w:rPr>
          <w:noProof/>
        </w:rPr>
        <w:t>The results of the survey confirmed that ENISA’s work was mostly relevant to stakeholders’ needs. It regularly reviewed its areas of activity to respond to emerging needs and remained agile by setting up ad hoc working groups. Stakeholders expressed a high level of satisfaction with how ENISA responded to changes in the cybersecurity landscape, although some felt that it needed more tools</w:t>
      </w:r>
      <w:r w:rsidRPr="00380B24">
        <w:rPr>
          <w:noProof/>
          <w:shd w:val="clear" w:color="auto" w:fill="FFFFFF"/>
        </w:rPr>
        <w:t xml:space="preserve"> </w:t>
      </w:r>
      <w:r w:rsidRPr="00380B24">
        <w:rPr>
          <w:noProof/>
        </w:rPr>
        <w:t>to effectively address the growing cyber threats in Europe. National cybersecurity authorities and smaller Member States benefited from ENISA’s capacity building initiatives and regulatory insights. Howeve</w:t>
      </w:r>
      <w:r w:rsidRPr="00380B24">
        <w:rPr>
          <w:noProof/>
          <w:shd w:val="clear" w:color="auto" w:fill="FFFFFF"/>
        </w:rPr>
        <w:t xml:space="preserve">r, </w:t>
      </w:r>
      <w:r w:rsidRPr="00380B24">
        <w:rPr>
          <w:noProof/>
          <w:color w:val="000000"/>
          <w:shd w:val="clear" w:color="auto" w:fill="FFFFFF"/>
        </w:rPr>
        <w:t xml:space="preserve">stakeholders </w:t>
      </w:r>
      <w:r w:rsidRPr="00380B24">
        <w:rPr>
          <w:noProof/>
          <w:color w:val="000000" w:themeColor="text1"/>
        </w:rPr>
        <w:t xml:space="preserve">noted that </w:t>
      </w:r>
      <w:r w:rsidRPr="00380B24">
        <w:rPr>
          <w:noProof/>
          <w:color w:val="000000"/>
          <w:shd w:val="clear" w:color="auto" w:fill="FFFFFF"/>
        </w:rPr>
        <w:t>ENISA could further increase its relevance in some areas. To do this, they suggested that it improve</w:t>
      </w:r>
      <w:r w:rsidRPr="00380B24">
        <w:rPr>
          <w:noProof/>
          <w:color w:val="000000" w:themeColor="text1"/>
        </w:rPr>
        <w:t xml:space="preserve"> its support and increase its visibility among various sectors and stakeholders, especially SMEs, which often find it hard to meet cybersecurity requirements. Stakeholders also called for more sector-specific tools and resources, as well as insights and tools to tackle emerging threats.</w:t>
      </w:r>
      <w:r w:rsidRPr="00380B24">
        <w:rPr>
          <w:noProof/>
        </w:rPr>
        <w:t xml:space="preserve"> </w:t>
      </w:r>
    </w:p>
    <w:p w14:paraId="557137D3" w14:textId="77777777" w:rsidR="00B202FC" w:rsidRPr="00380B24" w:rsidRDefault="00B202FC" w:rsidP="00B202FC">
      <w:pPr>
        <w:rPr>
          <w:noProof/>
        </w:rPr>
      </w:pPr>
      <w:r w:rsidRPr="00380B24">
        <w:rPr>
          <w:noProof/>
        </w:rPr>
        <w:t xml:space="preserve">The stakeholders surveyed reported being satisfied with ENISA’s ability to adapt to the changing cybersecurity landscape. Specifically, 74% of respondents mostly or strongly agreed that ENISA quickly adapted to changes in the cybersecurity landscape in 2019-2023, and 70% mostly or strongly agreed that ENISA sufficiently addressed all major unforeseen cybersecurity incidents during that period. There were no notable differences between the responses of different stakeholder groups. </w:t>
      </w:r>
    </w:p>
    <w:p w14:paraId="73776E65" w14:textId="77777777" w:rsidR="00B202FC" w:rsidRPr="00380B24" w:rsidRDefault="00B202FC" w:rsidP="00B202FC">
      <w:pPr>
        <w:rPr>
          <w:noProof/>
        </w:rPr>
      </w:pPr>
      <w:r w:rsidRPr="00380B24">
        <w:rPr>
          <w:noProof/>
        </w:rPr>
        <w:t xml:space="preserve">While stakeholders acknowledged ENISA’s efforts, some respondents felt that it needed greater capabilities to effectively address all cyber threats in Europe. Respondents argued that ENISA lacked an effective incident response unit and operational capabilities to act quickly in the face of cybersecurity incidents. They felt that these were not sufficiently supported by ENISA’s mandate and governance structure. Some respondents stressed that directly managing cybersecurity incidents was not the purpose of ENISA and that it had no capabilities in this area. Instead, ENISA supports Member States in dealing with incidents, and those respondents pointed to successes in this context with the CSIRTs network. ENISA contributed to the EU’s preparedness to face cyber threats by supporting and organising cyber exercises and by improving operational cooperation between Member States, including through its support to the CSIRTs network. </w:t>
      </w:r>
    </w:p>
    <w:p w14:paraId="47D3033D" w14:textId="77777777" w:rsidR="00B202FC" w:rsidRPr="00380B24" w:rsidRDefault="00B202FC" w:rsidP="00B202FC">
      <w:pPr>
        <w:rPr>
          <w:noProof/>
        </w:rPr>
      </w:pPr>
      <w:r w:rsidRPr="00380B24">
        <w:rPr>
          <w:noProof/>
        </w:rPr>
        <w:t xml:space="preserve">ENISA set up appropriate practices for stakeholder consultation and management, </w:t>
      </w:r>
      <w:r w:rsidRPr="00380B24">
        <w:rPr>
          <w:noProof/>
          <w:color w:val="000000"/>
          <w:shd w:val="clear" w:color="auto" w:fill="FFFFFF"/>
        </w:rPr>
        <w:t xml:space="preserve">however industry stakeholders expressed dissatisfaction with the consultation and collaboration processes that involved them, as well as with the difficulty in accessing information. </w:t>
      </w:r>
    </w:p>
    <w:p w14:paraId="05302064" w14:textId="77777777" w:rsidR="00B202FC" w:rsidRPr="00380B24" w:rsidRDefault="00B202FC" w:rsidP="00B202FC">
      <w:pPr>
        <w:rPr>
          <w:noProof/>
        </w:rPr>
      </w:pPr>
      <w:r w:rsidRPr="00380B24">
        <w:rPr>
          <w:rFonts w:eastAsia="Times New Roman"/>
          <w:noProof/>
          <w:lang w:eastAsia="en-IE"/>
        </w:rPr>
        <w:t>While ENISA’s outputs and services generally align with stakeholder needs, notable discrepancies exist in how different groups</w:t>
      </w:r>
      <w:r w:rsidRPr="00380B24">
        <w:rPr>
          <w:noProof/>
        </w:rPr>
        <w:t xml:space="preserve"> of stakeholders</w:t>
      </w:r>
      <w:r w:rsidRPr="00380B24">
        <w:rPr>
          <w:rFonts w:eastAsia="Times New Roman"/>
          <w:noProof/>
          <w:lang w:eastAsia="en-IE"/>
        </w:rPr>
        <w:t xml:space="preserve"> perceive ENISA’s responsiveness to their needs. </w:t>
      </w:r>
      <w:r w:rsidRPr="00380B24">
        <w:rPr>
          <w:noProof/>
        </w:rPr>
        <w:t>ENISA’s support is perceived as most relevant by EU institutions, and relevant to a lesser extent by national authorities or entities and private bodies. The difference in the relevance of ENISA’s work to its stakeholders was underlined by the varying level of satisfaction with its services and outputs. 44% of all respondents indicated that their needs were met only ‘somewhat’, ‘to a small extent’ or ‘not at all’. This figure rises to 50% for respondents representing industry organisations, with a comparatively higher proportion of respondents selecting ‘to a lesser extent’. This data suggests that there is still room for ENISA to tailor its efforts to better meet the needs of national organisations and private bodies.</w:t>
      </w:r>
    </w:p>
    <w:p w14:paraId="22575F04" w14:textId="39E5110C" w:rsidR="00B202FC" w:rsidRPr="00380B24" w:rsidRDefault="00B202FC" w:rsidP="00E5147D">
      <w:pPr>
        <w:pStyle w:val="Caption"/>
        <w:rPr>
          <w:noProof/>
        </w:rPr>
      </w:pPr>
      <w:bookmarkStart w:id="611" w:name="_Toc218765298"/>
      <w:bookmarkStart w:id="612" w:name="_Toc219447486"/>
      <w:r w:rsidRPr="00380B24">
        <w:rPr>
          <w:noProof/>
        </w:rPr>
        <w:t>Figure</w:t>
      </w:r>
      <w:r w:rsidR="00720D23" w:rsidRPr="00720D23">
        <w:rPr>
          <w:noProof/>
        </w:rPr>
        <w:t xml:space="preserve"> </w:t>
      </w:r>
      <w:r w:rsidR="000B51FE">
        <w:rPr>
          <w:noProof/>
        </w:rPr>
        <w:t>15</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sidRPr="00380B24">
        <w:rPr>
          <w:noProof/>
        </w:rPr>
        <w:t xml:space="preserve"> Relevance of ENISA’s support to different groups of stakeholders</w:t>
      </w:r>
      <w:bookmarkEnd w:id="611"/>
      <w:bookmarkEnd w:id="612"/>
    </w:p>
    <w:p w14:paraId="0CE4E942" w14:textId="77777777" w:rsidR="00B202FC" w:rsidRPr="00380B24" w:rsidRDefault="00B202FC" w:rsidP="00B202FC">
      <w:pPr>
        <w:pStyle w:val="Body"/>
        <w:tabs>
          <w:tab w:val="left" w:pos="1515"/>
          <w:tab w:val="left" w:pos="5372"/>
        </w:tabs>
        <w:spacing w:after="120"/>
        <w:rPr>
          <w:rStyle w:val="SourceChar"/>
          <w:rFonts w:ascii="Times New Roman" w:hAnsi="Times New Roman"/>
        </w:rPr>
      </w:pPr>
      <w:r w:rsidRPr="00380B24">
        <w:rPr>
          <w:rFonts w:ascii="Times New Roman" w:hAnsi="Times New Roman"/>
          <w:lang w:eastAsia="en-GB"/>
        </w:rPr>
        <w:drawing>
          <wp:inline distT="0" distB="0" distL="0" distR="0" wp14:anchorId="5D859D8E" wp14:editId="69FA3044">
            <wp:extent cx="5472000" cy="2091193"/>
            <wp:effectExtent l="0" t="0" r="14605" b="4445"/>
            <wp:docPr id="769924817"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21 ‘Please indicate to which extent ENISA’s activities and outputs contributed to the following aspects:</w:t>
      </w:r>
      <w:r w:rsidRPr="00380B24">
        <w:rPr>
          <w:rFonts w:ascii="Times New Roman" w:hAnsi="Times New Roman"/>
        </w:rPr>
        <w:t xml:space="preserve"> </w:t>
      </w:r>
      <w:r w:rsidRPr="00380B24">
        <w:rPr>
          <w:rStyle w:val="SourceChar"/>
          <w:rFonts w:ascii="Times New Roman" w:hAnsi="Times New Roman"/>
        </w:rPr>
        <w:t>ENISA’s outputs and services correspond to my organisation’s needs’.</w:t>
      </w:r>
    </w:p>
    <w:p w14:paraId="44D5436C" w14:textId="77777777" w:rsidR="00B202FC" w:rsidRPr="00380B24" w:rsidRDefault="00B202FC" w:rsidP="00B202FC">
      <w:pPr>
        <w:rPr>
          <w:noProof/>
        </w:rPr>
      </w:pPr>
      <w:r w:rsidRPr="00380B24">
        <w:rPr>
          <w:noProof/>
        </w:rPr>
        <w:t xml:space="preserve">National cybersecurity authorities and agencies valued ENISA’s role as a key facilitator of cooperation and information exchange between Member States, as well as in promoting technical cooperation and a common standard of cybersecurity. They also valued the insights provided by ENISA on new regulations, guidelines, best practices and national requirements. Capacity-building initiatives were particularly appreciated by smaller Member States with more limited internal capabilities, while support for common standards proved particularly beneficial for EU candidate countries. </w:t>
      </w:r>
    </w:p>
    <w:p w14:paraId="448853C9" w14:textId="77777777" w:rsidR="00B202FC" w:rsidRPr="00380B24" w:rsidRDefault="00B202FC" w:rsidP="00B202FC">
      <w:pPr>
        <w:rPr>
          <w:noProof/>
        </w:rPr>
      </w:pPr>
      <w:r w:rsidRPr="00380B24">
        <w:rPr>
          <w:noProof/>
        </w:rPr>
        <w:t xml:space="preserve">Representatives of international organisations, industry and vendors highlighted the importance of ENISA in representing the EU’s position in the increasingly complex regulatory landscape of cybersecurity compliance and technical policy. ENISA’s role in facilitating cooperation between different types of national and international stakeholders was described as crucial for ensuring a common understanding among different stakeholders. However, respondents called for ENISA to play a more direct role in providing tools and support to different sectors in order to increase its visibility and impact. ENISA could improve support for SMEs across the Digital Single Market to help such companies better integrate and comply with cybersecurity standards. </w:t>
      </w:r>
    </w:p>
    <w:p w14:paraId="3D031FC9" w14:textId="77777777" w:rsidR="00B202FC" w:rsidRPr="00380B24" w:rsidRDefault="00B202FC" w:rsidP="00B202FC">
      <w:pPr>
        <w:rPr>
          <w:noProof/>
        </w:rPr>
      </w:pPr>
      <w:r w:rsidRPr="00380B24">
        <w:rPr>
          <w:noProof/>
        </w:rPr>
        <w:t>ENISA’s support to EU institutions was well received, including its support in promoting situational awareness and crisis management. Its role in collecting information and liaising with Member States on cybersecurity was also valued. Respondents from the Commission expressed confidence in ENISA as a reliable implementing partner and a source of technical and operational expertise. ENISA has made contributions to national and EU policies and legislative initiatives, which have been generally well received by stakeholders. According to ENISA, its ability to provide policy support to the Commission is mainly hindered by a lack of qualified policy experts.</w:t>
      </w:r>
    </w:p>
    <w:p w14:paraId="3BE72CB9" w14:textId="77777777" w:rsidR="00B202FC" w:rsidRPr="00380B24" w:rsidRDefault="00B202FC" w:rsidP="00B202FC">
      <w:pPr>
        <w:rPr>
          <w:noProof/>
        </w:rPr>
      </w:pPr>
      <w:r w:rsidRPr="00380B24">
        <w:rPr>
          <w:noProof/>
        </w:rPr>
        <w:t>The role and purpose of ENISA in policy-related tasks were found to be clear and properly defined, as confirmed by 72% of the stakeholders surveyed. However, some stakeholders had expected ENISA’s role in policy-related tasks to go beyond its current mandate.</w:t>
      </w:r>
    </w:p>
    <w:p w14:paraId="2A98EBFA" w14:textId="5E51094A" w:rsidR="00D52AD8" w:rsidRPr="00C57110" w:rsidRDefault="00D52AD8" w:rsidP="00D52AD8">
      <w:pPr>
        <w:rPr>
          <w:rFonts w:eastAsiaTheme="majorEastAsia"/>
          <w:noProof/>
          <w:lang w:eastAsia="en-IE"/>
        </w:rPr>
      </w:pPr>
      <w:r w:rsidRPr="00C57110">
        <w:rPr>
          <w:rFonts w:eastAsiaTheme="majorEastAsia"/>
          <w:noProof/>
          <w:lang w:eastAsia="en-IE"/>
        </w:rPr>
        <w:t>In summary, ENISA’s relevance is well</w:t>
      </w:r>
      <w:r w:rsidR="00B202FC" w:rsidRPr="00380B24">
        <w:rPr>
          <w:rFonts w:eastAsiaTheme="majorEastAsia"/>
          <w:noProof/>
          <w:lang w:eastAsia="en-IE"/>
        </w:rPr>
        <w:t xml:space="preserve"> </w:t>
      </w:r>
      <w:r w:rsidRPr="00C57110">
        <w:rPr>
          <w:rFonts w:eastAsiaTheme="majorEastAsia"/>
          <w:noProof/>
          <w:lang w:eastAsia="en-IE"/>
        </w:rPr>
        <w:t xml:space="preserve">established, and its </w:t>
      </w:r>
      <w:r w:rsidRPr="00C57110">
        <w:rPr>
          <w:noProof/>
        </w:rPr>
        <w:t>flexibility, strategic alignment and stakeholder engagement are valued. Nevertheless</w:t>
      </w:r>
      <w:r w:rsidRPr="00C57110">
        <w:rPr>
          <w:rFonts w:eastAsiaTheme="majorEastAsia"/>
          <w:noProof/>
          <w:lang w:eastAsia="en-IE"/>
        </w:rPr>
        <w:t xml:space="preserve">, stakeholders stressed that there is still significant room for </w:t>
      </w:r>
      <w:r w:rsidR="00B202FC" w:rsidRPr="00380B24">
        <w:rPr>
          <w:rFonts w:eastAsiaTheme="majorEastAsia"/>
          <w:noProof/>
          <w:lang w:eastAsia="en-IE"/>
        </w:rPr>
        <w:t xml:space="preserve">ENISA </w:t>
      </w:r>
      <w:r w:rsidRPr="00C57110">
        <w:rPr>
          <w:rFonts w:eastAsiaTheme="majorEastAsia"/>
          <w:noProof/>
          <w:lang w:eastAsia="en-IE"/>
        </w:rPr>
        <w:t xml:space="preserve">to better meet </w:t>
      </w:r>
      <w:r w:rsidR="00B202FC" w:rsidRPr="00380B24">
        <w:rPr>
          <w:rFonts w:eastAsiaTheme="majorEastAsia"/>
          <w:noProof/>
          <w:lang w:eastAsia="en-IE"/>
        </w:rPr>
        <w:t>their needs</w:t>
      </w:r>
      <w:r w:rsidRPr="00C57110">
        <w:rPr>
          <w:rFonts w:eastAsiaTheme="majorEastAsia"/>
          <w:noProof/>
          <w:lang w:eastAsia="en-IE"/>
        </w:rPr>
        <w:t xml:space="preserve">. </w:t>
      </w:r>
    </w:p>
    <w:p w14:paraId="47A191B0" w14:textId="77777777" w:rsidR="00D52AD8" w:rsidRPr="00C57110" w:rsidRDefault="00D52AD8" w:rsidP="00D52AD8">
      <w:pPr>
        <w:rPr>
          <w:b/>
          <w:bCs/>
          <w:noProof/>
        </w:rPr>
      </w:pPr>
      <w:r w:rsidRPr="00C57110">
        <w:rPr>
          <w:b/>
          <w:bCs/>
          <w:noProof/>
        </w:rPr>
        <w:t>Coherence</w:t>
      </w:r>
    </w:p>
    <w:p w14:paraId="1C5EEBCD" w14:textId="65DE381E" w:rsidR="00D52AD8" w:rsidRPr="00C57110" w:rsidRDefault="00D52AD8" w:rsidP="00D52AD8">
      <w:pPr>
        <w:rPr>
          <w:noProof/>
        </w:rPr>
      </w:pPr>
      <w:r w:rsidRPr="00C57110">
        <w:rPr>
          <w:noProof/>
        </w:rPr>
        <w:t>ENISA played an active role in fostering cooperation and knowledge sharing among stakeholders, as confirmed by the results of the survey.</w:t>
      </w:r>
      <w:r w:rsidRPr="00C57110">
        <w:rPr>
          <w:rFonts w:eastAsia="Times New Roman"/>
          <w:noProof/>
          <w:color w:val="000000" w:themeColor="text1"/>
        </w:rPr>
        <w:t xml:space="preserve"> </w:t>
      </w:r>
      <w:r w:rsidR="00B202FC" w:rsidRPr="00380B24">
        <w:rPr>
          <w:noProof/>
        </w:rPr>
        <w:t>Its</w:t>
      </w:r>
      <w:r w:rsidRPr="00C57110">
        <w:rPr>
          <w:noProof/>
        </w:rPr>
        <w:t xml:space="preserve"> efforts were </w:t>
      </w:r>
      <w:r w:rsidR="00B202FC" w:rsidRPr="00380B24">
        <w:rPr>
          <w:noProof/>
        </w:rPr>
        <w:t>thought</w:t>
      </w:r>
      <w:r w:rsidRPr="00C57110">
        <w:rPr>
          <w:noProof/>
        </w:rPr>
        <w:t xml:space="preserve"> to </w:t>
      </w:r>
      <w:r w:rsidR="00B202FC" w:rsidRPr="00380B24">
        <w:rPr>
          <w:noProof/>
        </w:rPr>
        <w:t>complement</w:t>
      </w:r>
      <w:r w:rsidRPr="00C57110">
        <w:rPr>
          <w:noProof/>
        </w:rPr>
        <w:t xml:space="preserve"> those of national cybersecurity authorities and CERT-EU, although some interviewees noted that there were areas of overlap. ENISA supported key EU networks such as CSIRTs and EU-CyCLONe, organised exercises such as CyberEurope</w:t>
      </w:r>
      <w:r w:rsidR="00B202FC" w:rsidRPr="00380B24">
        <w:rPr>
          <w:noProof/>
        </w:rPr>
        <w:t>,</w:t>
      </w:r>
      <w:r w:rsidRPr="00C57110">
        <w:rPr>
          <w:noProof/>
        </w:rPr>
        <w:t xml:space="preserve"> and facilitated the exchange of best practices through the NIS Cooperation Group.</w:t>
      </w:r>
    </w:p>
    <w:p w14:paraId="5FC7C0C5" w14:textId="77777777" w:rsidR="00B202FC" w:rsidRPr="00380B24" w:rsidRDefault="00B202FC" w:rsidP="00B202FC">
      <w:pPr>
        <w:rPr>
          <w:noProof/>
        </w:rPr>
      </w:pPr>
      <w:r w:rsidRPr="00380B24">
        <w:rPr>
          <w:noProof/>
        </w:rPr>
        <w:t xml:space="preserve">Survey respondents provided a positive assessment of ENISA’s efforts to exploit synergies in expertise and knowledge sharing with other stakeholders. Representatives of private bodies were somewhat less satisfied (65%) compared to other stakeholder groups (74% overall). </w:t>
      </w:r>
    </w:p>
    <w:p w14:paraId="0D3B2494" w14:textId="0F8E4AA8" w:rsidR="00B202FC" w:rsidRPr="00380B24" w:rsidRDefault="00B202FC" w:rsidP="00B202FC">
      <w:pPr>
        <w:pStyle w:val="Caption"/>
        <w:keepNext/>
        <w:rPr>
          <w:noProof/>
        </w:rPr>
      </w:pPr>
      <w:bookmarkStart w:id="613" w:name="_Toc218765299"/>
      <w:bookmarkStart w:id="614" w:name="_Toc219447487"/>
      <w:r w:rsidRPr="00380B24">
        <w:rPr>
          <w:noProof/>
        </w:rPr>
        <w:t>Figure</w:t>
      </w:r>
      <w:r w:rsidR="00576BAB">
        <w:rPr>
          <w:noProof/>
        </w:rPr>
        <w:t xml:space="preserve"> 16</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sidRPr="00380B24">
        <w:rPr>
          <w:noProof/>
        </w:rPr>
        <w:t xml:space="preserve"> ENISA sufficiently exploited synergies with other stakeholders</w:t>
      </w:r>
      <w:bookmarkEnd w:id="613"/>
      <w:bookmarkEnd w:id="614"/>
    </w:p>
    <w:p w14:paraId="30F70188" w14:textId="77777777" w:rsidR="00B202FC" w:rsidRPr="00380B24" w:rsidRDefault="00B202FC" w:rsidP="00B202FC">
      <w:pPr>
        <w:spacing w:after="0"/>
        <w:rPr>
          <w:noProof/>
        </w:rPr>
      </w:pPr>
      <w:r w:rsidRPr="00380B24">
        <w:rPr>
          <w:noProof/>
          <w:lang w:eastAsia="en-GB"/>
        </w:rPr>
        <w:drawing>
          <wp:inline distT="0" distB="0" distL="0" distR="0" wp14:anchorId="3E1A9F2F" wp14:editId="1E5998EE">
            <wp:extent cx="5472000" cy="2311400"/>
            <wp:effectExtent l="0" t="0" r="14605" b="12700"/>
            <wp:docPr id="1542473418"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0F0287FD" w14:textId="77777777" w:rsidR="00B202FC" w:rsidRPr="00380B24" w:rsidRDefault="00B202FC" w:rsidP="00B202FC">
      <w:pPr>
        <w:pStyle w:val="Body"/>
        <w:rPr>
          <w:rStyle w:val="SourceChar"/>
          <w:rFonts w:ascii="Times New Roman" w:hAnsi="Times New Roman"/>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questions 15 and 23: ‘Please indicate to what extent you agree or disagree with the following statements about ENISA: ENISA sufficiently exploited synergies with other stakeholders’</w:t>
      </w:r>
    </w:p>
    <w:p w14:paraId="6F27B69F" w14:textId="77777777" w:rsidR="00B202FC" w:rsidRPr="00380B24" w:rsidRDefault="00B202FC" w:rsidP="00B202FC">
      <w:pPr>
        <w:rPr>
          <w:noProof/>
        </w:rPr>
      </w:pPr>
      <w:r w:rsidRPr="00380B24">
        <w:rPr>
          <w:noProof/>
        </w:rPr>
        <w:t xml:space="preserve">There were a few overlaps between the formal responsibilities of ENISA and those of other relevant stakeholders, but these activities were mostly carried out in a complementary way. Stakeholders saw the greatest overlap between ENISA and the national cybersecurity authorities, the ECCC, CERT-EU and Commission services. They identified </w:t>
      </w:r>
      <w:r w:rsidRPr="00380B24">
        <w:rPr>
          <w:rFonts w:eastAsia="Times New Roman"/>
          <w:noProof/>
          <w:color w:val="000000" w:themeColor="text1"/>
        </w:rPr>
        <w:t xml:space="preserve">a need to improve synergies between the responsibilities and actions of ENISA and those of other EU bodies. </w:t>
      </w:r>
      <w:r w:rsidRPr="00380B24">
        <w:rPr>
          <w:noProof/>
        </w:rPr>
        <w:t xml:space="preserve">Responses to open-ended follow-up questions indicated that there were already complementarities with national authorities in policy-related tasks, risk management, capacity building and incident response, which were mutually beneficial. Some survey respondents underlined that, by formalising cooperation arrangements with other entities, such as EMSA and the JRC, ENISA could better leverage synergies and ensure a unified approach to cybersecurity initiatives. </w:t>
      </w:r>
    </w:p>
    <w:p w14:paraId="6195D710" w14:textId="77E5566A" w:rsidR="00B202FC" w:rsidRPr="00380B24" w:rsidRDefault="00B202FC" w:rsidP="00B202FC">
      <w:pPr>
        <w:pStyle w:val="Caption"/>
        <w:keepNext/>
        <w:rPr>
          <w:noProof/>
        </w:rPr>
      </w:pPr>
      <w:bookmarkStart w:id="615" w:name="_Toc218765300"/>
      <w:bookmarkStart w:id="616" w:name="_Toc219447488"/>
      <w:r w:rsidRPr="00380B24">
        <w:rPr>
          <w:noProof/>
        </w:rPr>
        <w:t>Figure</w:t>
      </w:r>
      <w:r w:rsidR="003E4DBB">
        <w:rPr>
          <w:noProof/>
        </w:rPr>
        <w:t xml:space="preserve"> </w:t>
      </w:r>
      <w:r w:rsidR="00576BAB">
        <w:rPr>
          <w:noProof/>
        </w:rPr>
        <w:t>17</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sidRPr="00380B24">
        <w:rPr>
          <w:noProof/>
        </w:rPr>
        <w:t xml:space="preserve"> Overlaps between ENISA and other stakeholders in the field of cybersecurity</w:t>
      </w:r>
      <w:bookmarkEnd w:id="615"/>
      <w:bookmarkEnd w:id="616"/>
    </w:p>
    <w:p w14:paraId="4C6870D4" w14:textId="77777777" w:rsidR="00B202FC" w:rsidRPr="00380B24" w:rsidRDefault="00B202FC" w:rsidP="00B202FC">
      <w:pPr>
        <w:pStyle w:val="Body"/>
        <w:spacing w:after="0"/>
        <w:rPr>
          <w:rFonts w:ascii="Times New Roman" w:hAnsi="Times New Roman"/>
          <w:lang w:eastAsia="ja-JP"/>
        </w:rPr>
      </w:pPr>
      <w:r w:rsidRPr="00380B24">
        <w:rPr>
          <w:rFonts w:ascii="Times New Roman" w:hAnsi="Times New Roman"/>
          <w:lang w:eastAsia="en-GB"/>
        </w:rPr>
        <w:drawing>
          <wp:inline distT="0" distB="0" distL="0" distR="0" wp14:anchorId="6E4CA78B" wp14:editId="0DC46B79">
            <wp:extent cx="5472000" cy="4140200"/>
            <wp:effectExtent l="0" t="0" r="14605" b="12700"/>
            <wp:docPr id="861530871"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5DBD640F" w14:textId="77777777" w:rsidR="00B202FC" w:rsidRPr="00380B24" w:rsidRDefault="00B202FC" w:rsidP="00B202FC">
      <w:pPr>
        <w:pStyle w:val="Body"/>
        <w:rPr>
          <w:rFonts w:ascii="Times New Roman" w:hAnsi="Times New Roman"/>
          <w:sz w:val="16"/>
          <w:lang w:eastAsia="ja-JP"/>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26 ‘In your view, to what extent, if at all, do ENISA’s outputs and services overlap with those of the following institutions active in the area of cybersecurity?’</w:t>
      </w:r>
    </w:p>
    <w:p w14:paraId="45B474A2" w14:textId="77777777" w:rsidR="00B202FC" w:rsidRPr="00380B24" w:rsidRDefault="00B202FC" w:rsidP="00B202FC">
      <w:pPr>
        <w:rPr>
          <w:noProof/>
        </w:rPr>
      </w:pPr>
      <w:r w:rsidRPr="00380B24">
        <w:rPr>
          <w:noProof/>
        </w:rPr>
        <w:t xml:space="preserve">ENISA strengthened its cooperation with EU, regional and international stakeholders during the evaluation period. This was demonstrated by the increasing number of structured cooperation frameworks set up. Several MoUs were signed with other EU bodies to improve working arrangements and facilitate the sharing of knowledge, information and expertise. ENISA also signed a service level agreement with the ECCC in the fields of research, innovation and administration in 2022. This was followed by an MoU in 2023 to coordinate the implementation of operational tasks and research initiatives. Despite this, some survey respondents still see a need to further calibrate activities and increase coordination between both organisations. </w:t>
      </w:r>
    </w:p>
    <w:p w14:paraId="36EB34E2" w14:textId="77777777" w:rsidR="00B202FC" w:rsidRPr="00380B24" w:rsidRDefault="00B202FC" w:rsidP="00B202FC">
      <w:pPr>
        <w:spacing w:before="240"/>
        <w:rPr>
          <w:noProof/>
        </w:rPr>
      </w:pPr>
      <w:r w:rsidRPr="00380B24">
        <w:rPr>
          <w:noProof/>
        </w:rPr>
        <w:t>ENISA facilitated cybersecurity cooperation at EU and national levels. Stakeholders had positive opinions of ENISA’s promotion of cybersecurity cooperation, including information sharing and coordination, during the evaluation period. National authorities assessed ENISA’s contribution to cybersecurity promotion especially positively, with 83% of survey respondents indicating that it had achieved this objective to a large extent or completely.</w:t>
      </w:r>
    </w:p>
    <w:p w14:paraId="78588742" w14:textId="77777777" w:rsidR="00B202FC" w:rsidRPr="00380B24" w:rsidRDefault="00B202FC" w:rsidP="00B202FC">
      <w:pPr>
        <w:rPr>
          <w:noProof/>
          <w:lang w:eastAsia="lt-LT"/>
        </w:rPr>
      </w:pPr>
    </w:p>
    <w:p w14:paraId="7749E1EA" w14:textId="77777777" w:rsidR="00B202FC" w:rsidRPr="00380B24" w:rsidRDefault="00B202FC" w:rsidP="00B202FC">
      <w:pPr>
        <w:rPr>
          <w:noProof/>
          <w:lang w:eastAsia="lt-LT"/>
        </w:rPr>
      </w:pPr>
    </w:p>
    <w:p w14:paraId="686CC06C" w14:textId="77777777" w:rsidR="00B202FC" w:rsidRPr="00380B24" w:rsidRDefault="00B202FC" w:rsidP="00B202FC">
      <w:pPr>
        <w:rPr>
          <w:noProof/>
        </w:rPr>
      </w:pPr>
    </w:p>
    <w:p w14:paraId="2F1ED729" w14:textId="5D9FD028" w:rsidR="00B202FC" w:rsidRPr="00380B24" w:rsidRDefault="00B202FC" w:rsidP="00B202FC">
      <w:pPr>
        <w:pStyle w:val="Caption"/>
        <w:keepNext/>
        <w:rPr>
          <w:noProof/>
        </w:rPr>
      </w:pPr>
      <w:bookmarkStart w:id="617" w:name="_Toc218765301"/>
      <w:bookmarkStart w:id="618" w:name="_Toc219447489"/>
      <w:r w:rsidRPr="00380B24">
        <w:rPr>
          <w:noProof/>
        </w:rPr>
        <w:t xml:space="preserve">Figure </w:t>
      </w:r>
      <w:r w:rsidR="00576BAB">
        <w:rPr>
          <w:noProof/>
        </w:rPr>
        <w:t>18</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r w:rsidRPr="00380B24">
        <w:rPr>
          <w:noProof/>
        </w:rPr>
        <w:t>ENISA’s contribution to promoting cybersecurity cooperation</w:t>
      </w:r>
      <w:bookmarkEnd w:id="617"/>
      <w:bookmarkEnd w:id="618"/>
    </w:p>
    <w:p w14:paraId="4D311743" w14:textId="77777777" w:rsidR="00B202FC" w:rsidRPr="00380B24" w:rsidRDefault="00B202FC" w:rsidP="00B202FC">
      <w:pPr>
        <w:spacing w:after="0"/>
        <w:rPr>
          <w:noProof/>
        </w:rPr>
      </w:pPr>
      <w:r w:rsidRPr="00380B24">
        <w:rPr>
          <w:noProof/>
          <w:lang w:eastAsia="en-GB"/>
        </w:rPr>
        <w:drawing>
          <wp:inline distT="0" distB="0" distL="0" distR="0" wp14:anchorId="435BAAB1" wp14:editId="2EB028CF">
            <wp:extent cx="5472000" cy="2600325"/>
            <wp:effectExtent l="0" t="0" r="14605" b="9525"/>
            <wp:docPr id="1967424151"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6F56373C" w14:textId="77777777" w:rsidR="00B202FC" w:rsidRPr="00380B24" w:rsidRDefault="00B202FC" w:rsidP="00B202FC">
      <w:pPr>
        <w:pStyle w:val="Body"/>
        <w:spacing w:after="0"/>
        <w:rPr>
          <w:rStyle w:val="SourceChar"/>
          <w:rFonts w:ascii="Times New Roman" w:hAnsi="Times New Roman"/>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16: ‘In your opinion, to what extent has ENISA achieved the following objectives during the period of 2019-2023? Promoting cybersecurity cooperation, including information exchange and coordination, at EU level between MS, EU institutions, bodies, offices and agencies and relevant private and public stakeholders’</w:t>
      </w:r>
    </w:p>
    <w:p w14:paraId="5991E717" w14:textId="77777777" w:rsidR="00B202FC" w:rsidRPr="00380B24" w:rsidRDefault="00B202FC" w:rsidP="00B202FC">
      <w:pPr>
        <w:spacing w:before="120"/>
        <w:rPr>
          <w:noProof/>
        </w:rPr>
      </w:pPr>
      <w:r w:rsidRPr="00380B24">
        <w:rPr>
          <w:noProof/>
        </w:rPr>
        <w:t xml:space="preserve">ENISA also strengthened its regional cooperation with non-EU countries, particularly with the Western Balkans and Ukraine. ENISA </w:t>
      </w:r>
      <w:r w:rsidRPr="00380B24" w:rsidDel="00ED116C">
        <w:rPr>
          <w:noProof/>
        </w:rPr>
        <w:t xml:space="preserve"> </w:t>
      </w:r>
      <w:r w:rsidRPr="00380B24">
        <w:rPr>
          <w:noProof/>
        </w:rPr>
        <w:t>set up working arrangements with the US Cybersecurity and Infrastructure Security Agency (CISA) in the areas of capacity building, exchange of best practices and increasing situational awareness.</w:t>
      </w:r>
    </w:p>
    <w:p w14:paraId="4D5B4595" w14:textId="77777777" w:rsidR="00B202FC" w:rsidRPr="00380B24" w:rsidRDefault="00B202FC" w:rsidP="00B202FC">
      <w:pPr>
        <w:rPr>
          <w:rFonts w:eastAsia="Calibri"/>
          <w:noProof/>
          <w:color w:val="000000" w:themeColor="text1"/>
        </w:rPr>
      </w:pPr>
      <w:r w:rsidRPr="00380B24">
        <w:rPr>
          <w:rFonts w:eastAsia="Times New Roman"/>
          <w:noProof/>
          <w:color w:val="000000" w:themeColor="text1"/>
        </w:rPr>
        <w:t xml:space="preserve">Survey respondents and interviewees expressed that ENISA’s interactions with private stakeholders and international partners must be more predictable and transparent to maintain confidence and foster collaboration. Around half the representatives of private bodies found ENISA’s role in contributing to cooperation and coordination between stakeholders to be limited. </w:t>
      </w:r>
      <w:r w:rsidRPr="00380B24">
        <w:rPr>
          <w:rFonts w:eastAsia="Calibri"/>
          <w:noProof/>
          <w:color w:val="000000" w:themeColor="text1"/>
        </w:rPr>
        <w:t xml:space="preserve">In this context, private bodies suggested that ENISA could improve its outreach and stakeholder engagement activities and could expand its partnerships with global cybersecurity stakeholders, particularly as regards collaborating with industry representatives and non-EU countries.  </w:t>
      </w:r>
    </w:p>
    <w:p w14:paraId="41893201" w14:textId="76163792" w:rsidR="00B202FC" w:rsidRPr="00380B24" w:rsidRDefault="00B202FC" w:rsidP="00B202FC">
      <w:pPr>
        <w:pStyle w:val="Caption"/>
        <w:keepNext/>
        <w:rPr>
          <w:noProof/>
        </w:rPr>
      </w:pPr>
      <w:bookmarkStart w:id="619" w:name="_Toc218765302"/>
      <w:bookmarkStart w:id="620" w:name="_Toc219447490"/>
      <w:r w:rsidRPr="00380B24">
        <w:rPr>
          <w:noProof/>
        </w:rPr>
        <w:t xml:space="preserve">Figure </w:t>
      </w:r>
      <w:r w:rsidR="00576BAB">
        <w:rPr>
          <w:noProof/>
        </w:rPr>
        <w:t>19</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rsidRPr="00380B24">
        <w:rPr>
          <w:noProof/>
        </w:rPr>
        <w:t>ENISA’s contribution to cooperation and coordination between stakeholders</w:t>
      </w:r>
      <w:bookmarkEnd w:id="619"/>
      <w:bookmarkEnd w:id="620"/>
    </w:p>
    <w:p w14:paraId="47503824" w14:textId="77777777" w:rsidR="00B202FC" w:rsidRPr="00380B24" w:rsidRDefault="00B202FC" w:rsidP="00E5147D">
      <w:pPr>
        <w:rPr>
          <w:noProof/>
        </w:rPr>
      </w:pPr>
      <w:r w:rsidRPr="00380B24">
        <w:rPr>
          <w:noProof/>
          <w:lang w:eastAsia="en-GB"/>
        </w:rPr>
        <w:drawing>
          <wp:inline distT="0" distB="0" distL="0" distR="0" wp14:anchorId="371A653E" wp14:editId="0AAABF69">
            <wp:extent cx="5472000" cy="2114092"/>
            <wp:effectExtent l="0" t="0" r="14605" b="635"/>
            <wp:docPr id="1676189144"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6B868681" w14:textId="77777777" w:rsidR="00B202FC" w:rsidRPr="00380B24" w:rsidRDefault="00B202FC" w:rsidP="00B202FC">
      <w:pPr>
        <w:pStyle w:val="Body"/>
        <w:rPr>
          <w:rFonts w:ascii="Times New Roman" w:hAnsi="Times New Roman"/>
          <w:sz w:val="16"/>
          <w:lang w:eastAsia="ja-JP"/>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21 ‘Please indicate to which extent ENISA’s activities and outputs contributed to the following aspects: The activities of ENISA have improved the cooperation and coordination between my organisation and other stakeholders’</w:t>
      </w:r>
    </w:p>
    <w:p w14:paraId="22E3035E" w14:textId="77777777" w:rsidR="00B202FC" w:rsidRPr="00380B24" w:rsidRDefault="00B202FC" w:rsidP="00B202FC">
      <w:pPr>
        <w:rPr>
          <w:noProof/>
        </w:rPr>
      </w:pPr>
      <w:r w:rsidRPr="00380B24">
        <w:rPr>
          <w:rFonts w:eastAsia="Times New Roman"/>
          <w:noProof/>
          <w:color w:val="000000" w:themeColor="text1"/>
        </w:rPr>
        <w:t>In summary, stakeholders found that ENISA demonstrated a solid foundation in promoting cybersecurity coherence in the EU</w:t>
      </w:r>
      <w:r w:rsidRPr="00380B24">
        <w:rPr>
          <w:noProof/>
        </w:rPr>
        <w:t>. They thought that its structured cooperation frameworks, support for key EU networks and facilitation of best practice exchanges contributed to a coordinated and coherent approach to cybersecurity across the EU. Some recommendations included addressing current inefficiencies and improving inter-Agency coordination.</w:t>
      </w:r>
    </w:p>
    <w:p w14:paraId="7A04F467" w14:textId="77777777" w:rsidR="00B202FC" w:rsidRPr="00380B24" w:rsidRDefault="00B202FC" w:rsidP="00B202FC">
      <w:pPr>
        <w:rPr>
          <w:b/>
          <w:bCs/>
          <w:noProof/>
        </w:rPr>
      </w:pPr>
      <w:r w:rsidRPr="00380B24">
        <w:rPr>
          <w:b/>
          <w:bCs/>
          <w:noProof/>
        </w:rPr>
        <w:t>EU Added Value</w:t>
      </w:r>
    </w:p>
    <w:p w14:paraId="2B2109A8" w14:textId="77777777" w:rsidR="00B202FC" w:rsidRPr="00380B24" w:rsidRDefault="00B202FC" w:rsidP="00B202FC">
      <w:pPr>
        <w:rPr>
          <w:rFonts w:eastAsia="Calibri"/>
          <w:noProof/>
        </w:rPr>
      </w:pPr>
      <w:r w:rsidRPr="00380B24">
        <w:rPr>
          <w:rFonts w:eastAsia="Calibri"/>
          <w:noProof/>
        </w:rPr>
        <w:t>According to stakeholders and survey respondents, ENISA has made a significant contribution to the strengthening of the EU’s cybersecurity ecosystem. It is seen as a central hub that has encouraged vital cooperation across the EU, supported national efforts, particularly in Member States with less mature cybersecurity frameworks, and helped align cybersecurity practices and policies. At the same time, stakeholders have identified areas where ENISA’s impact could be reinforced.</w:t>
      </w:r>
    </w:p>
    <w:p w14:paraId="2D7C3DC9" w14:textId="77777777" w:rsidR="00B202FC" w:rsidRPr="00380B24" w:rsidRDefault="00B202FC" w:rsidP="00B202FC">
      <w:pPr>
        <w:rPr>
          <w:noProof/>
        </w:rPr>
      </w:pPr>
      <w:r w:rsidRPr="00380B24">
        <w:rPr>
          <w:noProof/>
        </w:rPr>
        <w:t xml:space="preserve">ENISA’s current configuration was considered optimal for maintaining independence and facilitating close cooperation with Member States. Stakeholders emphasised that ENISA’s independence from political influence added great value. </w:t>
      </w:r>
    </w:p>
    <w:p w14:paraId="207FACA1" w14:textId="191BC7BE" w:rsidR="00D52AD8" w:rsidRPr="00C57110" w:rsidRDefault="00D52AD8" w:rsidP="00D52AD8">
      <w:pPr>
        <w:rPr>
          <w:noProof/>
        </w:rPr>
      </w:pPr>
      <w:r w:rsidRPr="00C57110">
        <w:rPr>
          <w:noProof/>
        </w:rPr>
        <w:t xml:space="preserve">ENISA’s role in promoting convergence and harmonisation across the European cybersecurity landscape was achieved through active engagement with Member States, including the involvement of national experts in strategic and day-to-day discussions. ENISA coordinated with bodies such as CERT-EU, Europol and EC3 to produce joint reports, avoiding duplication and improving </w:t>
      </w:r>
      <w:r w:rsidR="00B202FC" w:rsidRPr="00380B24">
        <w:rPr>
          <w:noProof/>
        </w:rPr>
        <w:t>shared</w:t>
      </w:r>
      <w:r w:rsidRPr="00C57110">
        <w:rPr>
          <w:noProof/>
        </w:rPr>
        <w:t xml:space="preserve"> situational awareness. Agreements with other EU bodies, such as the ECCC and the </w:t>
      </w:r>
      <w:r w:rsidR="00B202FC" w:rsidRPr="00380B24">
        <w:rPr>
          <w:noProof/>
        </w:rPr>
        <w:t>European Union Agency for Railways (</w:t>
      </w:r>
      <w:r w:rsidRPr="00C57110">
        <w:rPr>
          <w:noProof/>
        </w:rPr>
        <w:t>ERA</w:t>
      </w:r>
      <w:r w:rsidR="00B202FC" w:rsidRPr="00380B24">
        <w:rPr>
          <w:noProof/>
        </w:rPr>
        <w:t>),</w:t>
      </w:r>
      <w:r w:rsidRPr="00C57110">
        <w:rPr>
          <w:noProof/>
        </w:rPr>
        <w:t xml:space="preserve"> facilitated cooperation and avoided overlapping mandates. ENISA’s secretariat roles in </w:t>
      </w:r>
      <w:r w:rsidR="00B202FC" w:rsidRPr="00380B24">
        <w:rPr>
          <w:noProof/>
        </w:rPr>
        <w:t xml:space="preserve">the </w:t>
      </w:r>
      <w:r w:rsidRPr="00C57110">
        <w:rPr>
          <w:noProof/>
        </w:rPr>
        <w:t>CSIRTs network and EU</w:t>
      </w:r>
      <w:r w:rsidR="00B202FC" w:rsidRPr="00380B24">
        <w:rPr>
          <w:noProof/>
        </w:rPr>
        <w:t>-</w:t>
      </w:r>
      <w:r w:rsidRPr="00C57110">
        <w:rPr>
          <w:noProof/>
        </w:rPr>
        <w:t xml:space="preserve">CyCLONe ensured continued coordination </w:t>
      </w:r>
      <w:r w:rsidR="00B202FC" w:rsidRPr="00380B24">
        <w:rPr>
          <w:noProof/>
        </w:rPr>
        <w:t>between and the</w:t>
      </w:r>
      <w:r w:rsidRPr="00C57110">
        <w:rPr>
          <w:noProof/>
        </w:rPr>
        <w:t xml:space="preserve"> effectiveness of these groups. </w:t>
      </w:r>
    </w:p>
    <w:p w14:paraId="5D0E5D26" w14:textId="59CA8CA1" w:rsidR="00D52AD8" w:rsidRPr="00C57110" w:rsidRDefault="00D52AD8" w:rsidP="00D52AD8">
      <w:pPr>
        <w:rPr>
          <w:noProof/>
        </w:rPr>
      </w:pPr>
      <w:r w:rsidRPr="00C57110">
        <w:rPr>
          <w:noProof/>
        </w:rPr>
        <w:t xml:space="preserve">According to the survey, around two thirds of stakeholders considered that the collection and dissemination of relevant cybersecurity information, the generation of new knowledge, insights and evidence on cybersecurity issues and </w:t>
      </w:r>
      <w:r w:rsidR="00B202FC" w:rsidRPr="00380B24">
        <w:rPr>
          <w:noProof/>
        </w:rPr>
        <w:t>support for</w:t>
      </w:r>
      <w:r w:rsidRPr="00C57110">
        <w:rPr>
          <w:noProof/>
        </w:rPr>
        <w:t xml:space="preserve"> the implementation of EU cybersecurity policies at the national level would be hard to achieve without ENISA. Three quarters of respondents believed that </w:t>
      </w:r>
      <w:r w:rsidR="00B202FC" w:rsidRPr="00380B24">
        <w:rPr>
          <w:noProof/>
        </w:rPr>
        <w:t xml:space="preserve">improving </w:t>
      </w:r>
      <w:r w:rsidRPr="00C57110">
        <w:rPr>
          <w:noProof/>
        </w:rPr>
        <w:t xml:space="preserve">Member States’ cybersecurity capacities, </w:t>
      </w:r>
      <w:r w:rsidR="00B202FC" w:rsidRPr="00380B24">
        <w:rPr>
          <w:noProof/>
        </w:rPr>
        <w:t>and</w:t>
      </w:r>
      <w:r w:rsidRPr="00C57110">
        <w:rPr>
          <w:noProof/>
        </w:rPr>
        <w:t xml:space="preserve"> raising awareness of cybersecurity issues, would </w:t>
      </w:r>
      <w:r w:rsidR="00B202FC" w:rsidRPr="00380B24">
        <w:rPr>
          <w:noProof/>
        </w:rPr>
        <w:t xml:space="preserve">have little effect in the absence of </w:t>
      </w:r>
      <w:r w:rsidRPr="00C57110">
        <w:rPr>
          <w:noProof/>
        </w:rPr>
        <w:t xml:space="preserve">ENISA. Around </w:t>
      </w:r>
      <w:r w:rsidR="00B202FC" w:rsidRPr="00380B24">
        <w:rPr>
          <w:noProof/>
        </w:rPr>
        <w:t>half</w:t>
      </w:r>
      <w:r w:rsidRPr="00C57110">
        <w:rPr>
          <w:noProof/>
        </w:rPr>
        <w:t xml:space="preserve"> of respondents believed that improving the cybersecurity capacities of EU institutions would be possible only to a small extent or would not be possible at all without ENISA</w:t>
      </w:r>
      <w:r w:rsidR="00B202FC" w:rsidRPr="00380B24">
        <w:rPr>
          <w:noProof/>
        </w:rPr>
        <w:t>. As for</w:t>
      </w:r>
      <w:r w:rsidRPr="00C57110">
        <w:rPr>
          <w:noProof/>
        </w:rPr>
        <w:t xml:space="preserve"> facilitating cooperation with third countries and international organisations, 45% of respondents said this would be possible only to a small extent without ENISA and 7% said </w:t>
      </w:r>
      <w:r w:rsidR="00B202FC" w:rsidRPr="00380B24">
        <w:rPr>
          <w:noProof/>
        </w:rPr>
        <w:t xml:space="preserve">it would </w:t>
      </w:r>
      <w:r w:rsidRPr="00C57110">
        <w:rPr>
          <w:noProof/>
        </w:rPr>
        <w:t xml:space="preserve">not </w:t>
      </w:r>
      <w:r w:rsidR="00B202FC" w:rsidRPr="00380B24">
        <w:rPr>
          <w:noProof/>
        </w:rPr>
        <w:t xml:space="preserve">be possible </w:t>
      </w:r>
      <w:r w:rsidRPr="00C57110">
        <w:rPr>
          <w:noProof/>
        </w:rPr>
        <w:t xml:space="preserve">at all. For enhancing cybersecurity cooperation between stakeholders in the EU, 46% said this would be possible only to a small extent and 7% said not at all. </w:t>
      </w:r>
    </w:p>
    <w:p w14:paraId="65A308D5" w14:textId="5680037A" w:rsidR="00B202FC" w:rsidRPr="00380B24" w:rsidRDefault="00B202FC" w:rsidP="00B202FC">
      <w:pPr>
        <w:pStyle w:val="Caption"/>
        <w:keepNext/>
        <w:rPr>
          <w:noProof/>
        </w:rPr>
      </w:pPr>
      <w:bookmarkStart w:id="621" w:name="_Toc218765303"/>
      <w:bookmarkStart w:id="622" w:name="_Toc219447491"/>
      <w:r w:rsidRPr="00380B24">
        <w:rPr>
          <w:noProof/>
        </w:rPr>
        <w:t xml:space="preserve">Figure </w:t>
      </w:r>
      <w:r w:rsidR="00576BAB">
        <w:rPr>
          <w:noProof/>
        </w:rPr>
        <w:t>20</w:t>
      </w:r>
      <w:r>
        <w:rPr>
          <w:noProof/>
        </w:rPr>
        <w:fldChar w:fldCharType="begin"/>
      </w:r>
      <w:r>
        <w:rPr>
          <w:noProof/>
        </w:rPr>
        <w:instrText xml:space="preserve"> SEQ Figure \* ARABIC </w:instrText>
      </w:r>
      <w:r>
        <w:rPr>
          <w:noProof/>
        </w:rPr>
        <w:fldChar w:fldCharType="separate"/>
      </w:r>
      <w:r>
        <w:rPr>
          <w:noProof/>
        </w:rPr>
        <w:t>9</w:t>
      </w:r>
      <w:r>
        <w:rPr>
          <w:noProof/>
        </w:rPr>
        <w:fldChar w:fldCharType="end"/>
      </w:r>
      <w:r w:rsidRPr="00380B24">
        <w:rPr>
          <w:noProof/>
        </w:rPr>
        <w:t xml:space="preserve"> Achieving ENISA’s objectives without ENISA itself</w:t>
      </w:r>
      <w:bookmarkEnd w:id="621"/>
      <w:bookmarkEnd w:id="622"/>
    </w:p>
    <w:p w14:paraId="20942041" w14:textId="77777777" w:rsidR="001E1878" w:rsidRDefault="00B202FC" w:rsidP="00B202FC">
      <w:pPr>
        <w:pStyle w:val="Body"/>
        <w:rPr>
          <w:rStyle w:val="SourceChar"/>
          <w:rFonts w:ascii="Times New Roman" w:hAnsi="Times New Roman"/>
        </w:rPr>
      </w:pPr>
      <w:r w:rsidRPr="00380B24">
        <w:rPr>
          <w:rFonts w:ascii="Times New Roman" w:hAnsi="Times New Roman"/>
          <w:lang w:eastAsia="en-GB"/>
        </w:rPr>
        <w:drawing>
          <wp:inline distT="0" distB="0" distL="0" distR="0" wp14:anchorId="537DE859" wp14:editId="204789EE">
            <wp:extent cx="5472000" cy="4235450"/>
            <wp:effectExtent l="0" t="0" r="14605" b="12700"/>
            <wp:docPr id="1706766879"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3A96CF63" w14:textId="75678CDE" w:rsidR="00B202FC" w:rsidRPr="00380B24" w:rsidRDefault="00B202FC" w:rsidP="00B202FC">
      <w:pPr>
        <w:pStyle w:val="Body"/>
        <w:rPr>
          <w:rStyle w:val="SourceChar"/>
          <w:rFonts w:ascii="Times New Roman" w:hAnsi="Times New Roman"/>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34 ‘In your view, to what extent would the following results have been possible to achieve by Member States alone, without ENISA’s involvement?’</w:t>
      </w:r>
    </w:p>
    <w:p w14:paraId="469ED40B" w14:textId="77777777" w:rsidR="00B202FC" w:rsidRPr="00380B24" w:rsidRDefault="00B202FC" w:rsidP="00B202FC">
      <w:pPr>
        <w:rPr>
          <w:noProof/>
        </w:rPr>
      </w:pPr>
      <w:r w:rsidRPr="00380B24">
        <w:rPr>
          <w:noProof/>
        </w:rPr>
        <w:t xml:space="preserve">Most respondents said ENISA provided clear EU-level added value to the cybersecurity of the EU. ENISA’s specialised mandate, allowing it to act as a separate EU decentralised body, allowed for a dedicated and independent approach to cybersecurity. As an EU agency, ENISA’s structure and governance allows for better and easier cooperation with Member States. Its expertise continues to be important in addressing the complex and evolving threats facing the EU. </w:t>
      </w:r>
    </w:p>
    <w:p w14:paraId="563983FC" w14:textId="77777777" w:rsidR="00B202FC" w:rsidRPr="00380B24" w:rsidRDefault="00B202FC" w:rsidP="00B202FC">
      <w:pPr>
        <w:rPr>
          <w:noProof/>
        </w:rPr>
      </w:pPr>
      <w:r w:rsidRPr="00380B24">
        <w:rPr>
          <w:noProof/>
        </w:rPr>
        <w:t xml:space="preserve">However, private entities were more critical of the idea that ENISA provided added value. For example, 6% of private bodies responded ‘not at all’ and 14% ‘to a small extent’ when asked about ENISA’s added value to their activities, compared to 0% and 8% respectively among national authorities. ENISA’s primary focus was on national authorities, making sector-specific outputs less visible and impactful. The overall impact of guidelines and events depended on the level of maturity and specific needs of the organisation ENISA dealt with. Major industry players with a longstanding commitment to cybersecurity found ENISA’s activities aligned with their routine operations but lacked new insights, </w:t>
      </w:r>
      <w:r w:rsidRPr="00380B24">
        <w:rPr>
          <w:rFonts w:eastAsia="Times New Roman"/>
          <w:noProof/>
        </w:rPr>
        <w:t>indicating that more could be done to tailor insights to the private sector’s specific challenges</w:t>
      </w:r>
      <w:r w:rsidRPr="00380B24">
        <w:rPr>
          <w:noProof/>
        </w:rPr>
        <w:t xml:space="preserve">. Companies reported that they often relied on International Organization for Standardization (ISO)/ International Electrotechnical Commission (IEC) standards rather than ENISA initiatives. Some organisations valued ENISA’s technical guidelines, tools and reports but claimed several of them were redundant in the context of existing standards. Private stakeholders monitored ENISA’s work in areas such as IoT security and cybersecurity certification to ensure consistency with international standards. </w:t>
      </w:r>
    </w:p>
    <w:p w14:paraId="77893A27" w14:textId="225BBCEE" w:rsidR="00B202FC" w:rsidRPr="00380B24" w:rsidRDefault="00B202FC" w:rsidP="00B202FC">
      <w:pPr>
        <w:pStyle w:val="Caption"/>
        <w:keepNext/>
        <w:rPr>
          <w:noProof/>
        </w:rPr>
      </w:pPr>
      <w:bookmarkStart w:id="623" w:name="_Toc218765304"/>
      <w:bookmarkStart w:id="624" w:name="_Toc219447492"/>
      <w:r w:rsidRPr="00380B24">
        <w:rPr>
          <w:noProof/>
        </w:rPr>
        <w:t xml:space="preserve">Figure </w:t>
      </w:r>
      <w:r w:rsidR="00576BAB">
        <w:rPr>
          <w:noProof/>
        </w:rPr>
        <w:t xml:space="preserve">21 </w:t>
      </w:r>
      <w:r>
        <w:rPr>
          <w:noProof/>
        </w:rPr>
        <w:fldChar w:fldCharType="begin"/>
      </w:r>
      <w:r>
        <w:rPr>
          <w:noProof/>
        </w:rPr>
        <w:instrText xml:space="preserve"> SEQ Figure \* ARABIC </w:instrText>
      </w:r>
      <w:r>
        <w:rPr>
          <w:noProof/>
        </w:rPr>
        <w:fldChar w:fldCharType="separate"/>
      </w:r>
      <w:r>
        <w:rPr>
          <w:noProof/>
        </w:rPr>
        <w:t>10</w:t>
      </w:r>
      <w:r>
        <w:rPr>
          <w:noProof/>
        </w:rPr>
        <w:fldChar w:fldCharType="end"/>
      </w:r>
      <w:r w:rsidRPr="00380B24">
        <w:rPr>
          <w:noProof/>
        </w:rPr>
        <w:t xml:space="preserve"> Added value of ENISA’s activities</w:t>
      </w:r>
      <w:bookmarkEnd w:id="623"/>
      <w:bookmarkEnd w:id="624"/>
    </w:p>
    <w:p w14:paraId="0F7ED10A" w14:textId="77777777" w:rsidR="001E1878" w:rsidRDefault="00B202FC" w:rsidP="00B202FC">
      <w:pPr>
        <w:rPr>
          <w:rStyle w:val="SourceChar"/>
          <w:rFonts w:eastAsiaTheme="minorEastAsia"/>
          <w:noProof/>
        </w:rPr>
      </w:pPr>
      <w:r w:rsidRPr="00380B24">
        <w:rPr>
          <w:noProof/>
          <w:lang w:eastAsia="en-GB"/>
        </w:rPr>
        <w:drawing>
          <wp:inline distT="0" distB="0" distL="0" distR="0" wp14:anchorId="73834301" wp14:editId="0DAE6B83">
            <wp:extent cx="5472000" cy="2152650"/>
            <wp:effectExtent l="0" t="0" r="14605" b="0"/>
            <wp:docPr id="83149627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6688E1AD" w14:textId="411CF8BA" w:rsidR="00B202FC" w:rsidRPr="00380B24" w:rsidRDefault="00B202FC" w:rsidP="00B202FC">
      <w:pPr>
        <w:rPr>
          <w:noProof/>
        </w:rPr>
      </w:pPr>
      <w:r w:rsidRPr="26DB0DB3">
        <w:rPr>
          <w:rStyle w:val="SourceChar"/>
          <w:rFonts w:eastAsiaTheme="minorEastAsia"/>
          <w:noProof/>
          <w:lang w:val="en-GB"/>
        </w:rPr>
        <w:t>Source: PPMI, Intellera Consulting and PwC (2024). Study to support the evaluation of the European Union Agency for Cybersecurity (ENISA) and the European Cybersecurity Certification Framework – Final Report. Survey of stakeholders, question 35: ‘Overall, to what extent has ENISA provided added value to the activities of your organisation during the period of 2019-2023?’</w:t>
      </w:r>
    </w:p>
    <w:p w14:paraId="2C469F43" w14:textId="77777777" w:rsidR="00B202FC" w:rsidRPr="00380B24" w:rsidRDefault="00B202FC" w:rsidP="00B202FC">
      <w:pPr>
        <w:rPr>
          <w:noProof/>
        </w:rPr>
      </w:pPr>
      <w:r w:rsidRPr="00380B24">
        <w:rPr>
          <w:noProof/>
        </w:rPr>
        <w:t>In the event of the withdrawal of EU action, the most likely consequences were expected to be increased difficulties in achieving trans-national coordination and the development of expertise in the field of cybersecurity. Overall, according to stakeholders, abolishing ENISA would lead to coordination challenges, less effective cybersecurity measures and potentially disjointed national approaches to cybersecurity issues.</w:t>
      </w:r>
    </w:p>
    <w:p w14:paraId="2C589905" w14:textId="77777777" w:rsidR="00B202FC" w:rsidRPr="00380B24" w:rsidRDefault="00B202FC" w:rsidP="00B202FC">
      <w:pPr>
        <w:rPr>
          <w:rFonts w:eastAsia="Calibri"/>
          <w:noProof/>
        </w:rPr>
      </w:pPr>
      <w:r w:rsidRPr="00380B24">
        <w:rPr>
          <w:noProof/>
        </w:rPr>
        <w:t xml:space="preserve">ENISA is recognised for its specific focus on cybersecurity policy implementation, stakeholder engagement and comprehensive support to Member States, which positions it uniquely within the EU’s cybersecurity landscape. </w:t>
      </w:r>
      <w:r w:rsidRPr="00380B24">
        <w:rPr>
          <w:rFonts w:eastAsia="Calibri"/>
          <w:noProof/>
        </w:rPr>
        <w:t>While focusing on national authorities is essential, respondents said that ENISA could improve by increasing engagement with stakeholders and collaboration with industry. They also suggested that increased resources and better prioritisation could help ENISA adapt to evolving cybersecurity challenges.</w:t>
      </w:r>
    </w:p>
    <w:p w14:paraId="2C8F9BF4" w14:textId="77777777" w:rsidR="00D52AD8" w:rsidRPr="00C57110" w:rsidRDefault="00D52AD8" w:rsidP="00D52AD8">
      <w:pPr>
        <w:rPr>
          <w:b/>
          <w:bCs/>
          <w:noProof/>
        </w:rPr>
      </w:pPr>
      <w:r w:rsidRPr="00C57110">
        <w:rPr>
          <w:b/>
          <w:bCs/>
          <w:noProof/>
        </w:rPr>
        <w:t>ECCF survey results</w:t>
      </w:r>
    </w:p>
    <w:p w14:paraId="1C5EBD61" w14:textId="77777777" w:rsidR="00D52AD8" w:rsidRPr="00C57110" w:rsidRDefault="00D52AD8" w:rsidP="00D52AD8">
      <w:pPr>
        <w:rPr>
          <w:b/>
          <w:noProof/>
        </w:rPr>
      </w:pPr>
      <w:r w:rsidRPr="00C57110">
        <w:rPr>
          <w:b/>
          <w:noProof/>
        </w:rPr>
        <w:t>Effectiveness</w:t>
      </w:r>
    </w:p>
    <w:p w14:paraId="7A17392C" w14:textId="77777777" w:rsidR="00B202FC" w:rsidRPr="00380B24" w:rsidRDefault="00B202FC" w:rsidP="00B202FC">
      <w:pPr>
        <w:rPr>
          <w:noProof/>
        </w:rPr>
      </w:pPr>
      <w:r w:rsidRPr="00380B24">
        <w:rPr>
          <w:noProof/>
        </w:rPr>
        <w:t>The ECCF contributed only somewhat to improving the cybersecurity capabilities of Member States and private companies, according to the survey. 53% of stakeholders believed that the ECCF contributed only to a small extent to enhancing the capabilities and preparedness of private companies to face cybersecurity threats, while 19% did not consider the ECCF to have made any contribution to private companies at all. For Member States, 50% of survey respondents believed that the ECCF improved their capabilities only slightly, despite the establishment of national certification authorities across all Member States. The framework was considered to fall short in its ability to support national authorities in their efforts to increase national cybersecurity certification capabilities.</w:t>
      </w:r>
    </w:p>
    <w:p w14:paraId="61F91D6C" w14:textId="683A6F27" w:rsidR="00B202FC" w:rsidRPr="00380B24" w:rsidRDefault="00B202FC" w:rsidP="00E5147D">
      <w:pPr>
        <w:rPr>
          <w:noProof/>
        </w:rPr>
      </w:pPr>
      <w:r w:rsidRPr="00380B24">
        <w:rPr>
          <w:noProof/>
        </w:rPr>
        <w:t xml:space="preserve">The survey results also indicated that delays in the adoption of certification schemes deeply affected the ECCF’s ability to attain its objectives. Specifically, 55% of stakeholders believed that certification scheme delays negatively affected the ECCF’s ability to improve the transparency of ICT products and services. Moreover, 61% said these delays negatively impacted the public’s and businesses’ trust in and awareness of cybersecurity, and 53% believed that delays hindered efforts to reduce the fragmentation of certification schemes within the EU. </w:t>
      </w:r>
    </w:p>
    <w:p w14:paraId="2CEA9E4A" w14:textId="60ACC204" w:rsidR="00B202FC" w:rsidRPr="00380B24" w:rsidRDefault="00B202FC" w:rsidP="00B202FC">
      <w:pPr>
        <w:pStyle w:val="Caption"/>
        <w:keepNext/>
        <w:rPr>
          <w:noProof/>
        </w:rPr>
      </w:pPr>
      <w:bookmarkStart w:id="625" w:name="_Toc218765305"/>
      <w:bookmarkStart w:id="626" w:name="_Toc219447493"/>
      <w:r w:rsidRPr="00380B24">
        <w:rPr>
          <w:noProof/>
        </w:rPr>
        <w:t>Figure</w:t>
      </w:r>
      <w:r w:rsidR="00576BAB">
        <w:rPr>
          <w:noProof/>
        </w:rPr>
        <w:t xml:space="preserve"> 22</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rsidRPr="00380B24">
        <w:rPr>
          <w:noProof/>
        </w:rPr>
        <w:t xml:space="preserve"> Objectives that were not reached according to stakeholders</w:t>
      </w:r>
      <w:bookmarkEnd w:id="625"/>
      <w:bookmarkEnd w:id="626"/>
    </w:p>
    <w:p w14:paraId="3FC73F7F" w14:textId="77777777" w:rsidR="00B202FC" w:rsidRPr="00380B24" w:rsidRDefault="00B202FC" w:rsidP="00B202FC">
      <w:pPr>
        <w:spacing w:after="0"/>
        <w:rPr>
          <w:noProof/>
        </w:rPr>
      </w:pPr>
      <w:r w:rsidRPr="00380B24">
        <w:rPr>
          <w:noProof/>
          <w:lang w:eastAsia="en-GB"/>
        </w:rPr>
        <w:drawing>
          <wp:inline distT="0" distB="0" distL="0" distR="0" wp14:anchorId="775F34A9" wp14:editId="1A7440D1">
            <wp:extent cx="5472000" cy="1854200"/>
            <wp:effectExtent l="0" t="0" r="14605" b="12700"/>
            <wp:docPr id="112437858" name="Chart 1">
              <a:extLst xmlns:a="http://schemas.openxmlformats.org/drawingml/2006/main">
                <a:ext uri="{FF2B5EF4-FFF2-40B4-BE49-F238E27FC236}">
                  <a16:creationId xmlns:a16="http://schemas.microsoft.com/office/drawing/2014/main" id="{92D7B686-6BD0-5169-7D42-B6AD90E0D7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59DBB0F8" w14:textId="77777777" w:rsidR="00B202FC" w:rsidRPr="00380B24" w:rsidRDefault="00B202FC" w:rsidP="00B202FC">
      <w:pPr>
        <w:pStyle w:val="Source"/>
        <w:rPr>
          <w:rFonts w:ascii="Times New Roman" w:hAnsi="Times New Roman"/>
          <w:noProof/>
          <w:lang w:val="en-GB"/>
        </w:rPr>
      </w:pPr>
      <w:r w:rsidRPr="00380B24">
        <w:rPr>
          <w:rFonts w:ascii="Times New Roman" w:hAnsi="Times New Roman"/>
          <w:noProof/>
          <w:lang w:val="en-GB"/>
        </w:rPr>
        <w:t xml:space="preserve">Source: </w:t>
      </w:r>
      <w:r w:rsidRPr="00380B24">
        <w:rPr>
          <w:rStyle w:val="SourceChar"/>
          <w:rFonts w:ascii="Times New Roman" w:hAnsi="Times New Roman"/>
          <w:noProof/>
          <w:lang w:val="en-GB"/>
        </w:rPr>
        <w:t>PPMI, Intellera Consulting and PwC (2024). Study to support the evaluation of the European Union Agency for Cybersecurity (ENISA) and the European Cybersecurity Certification Framework – Final Report. S</w:t>
      </w:r>
      <w:r w:rsidRPr="00380B24">
        <w:rPr>
          <w:rFonts w:ascii="Times New Roman" w:hAnsi="Times New Roman"/>
          <w:noProof/>
          <w:lang w:val="en-GB"/>
        </w:rPr>
        <w:t>urvey of stakeholders, question 48: ‘Do you agree with the following statements’</w:t>
      </w:r>
    </w:p>
    <w:p w14:paraId="5C20FF05" w14:textId="77777777" w:rsidR="00B202FC" w:rsidRPr="00380B24" w:rsidRDefault="00B202FC" w:rsidP="00B202FC">
      <w:pPr>
        <w:rPr>
          <w:noProof/>
        </w:rPr>
      </w:pPr>
      <w:r w:rsidRPr="00380B24">
        <w:rPr>
          <w:noProof/>
        </w:rPr>
        <w:t>Despite these challenges, according to the survey, 52% of respondents reported that the ECCF improved cooperation and coordination across Member States and EU institutions, bodies and agencies.</w:t>
      </w:r>
    </w:p>
    <w:p w14:paraId="78E4565A" w14:textId="77777777" w:rsidR="00B202FC" w:rsidRPr="00380B24" w:rsidRDefault="00B202FC" w:rsidP="00B202FC">
      <w:pPr>
        <w:rPr>
          <w:noProof/>
        </w:rPr>
      </w:pPr>
      <w:r w:rsidRPr="00380B24">
        <w:rPr>
          <w:noProof/>
        </w:rPr>
        <w:t xml:space="preserve">External factors also influenced the effectiveness of the ECCF. According to the survey, 46% of stakeholders said emerging cybersecurity needs, challenges and threats had positively influenced the ECCF’s effectiveness; 42% of respondents indicated that the increase in Member States’ capabilities in cybersecurity had had a positive impact on the ECCF. However, 45% of stakeholders considered that changes in policy priorities at the EU and Member State levels had had a negative impact on the ECCF. Geopolitical factors were also significant, with 49% of stakeholders saying that they had impacted the ECCF negatively or highly negatively. The COVID-19 pandemic had had a slightly negative impact, according to 31% of survey respondents. </w:t>
      </w:r>
    </w:p>
    <w:p w14:paraId="6AD1BE58" w14:textId="6380BFAC" w:rsidR="00B202FC" w:rsidRPr="00380B24" w:rsidRDefault="00B202FC" w:rsidP="00B202FC">
      <w:pPr>
        <w:pStyle w:val="Caption"/>
        <w:keepNext/>
        <w:rPr>
          <w:noProof/>
        </w:rPr>
      </w:pPr>
      <w:bookmarkStart w:id="627" w:name="_Toc218765306"/>
      <w:bookmarkStart w:id="628" w:name="_Toc219447494"/>
      <w:r w:rsidRPr="00380B24">
        <w:rPr>
          <w:noProof/>
        </w:rPr>
        <w:t xml:space="preserve">Figure </w:t>
      </w:r>
      <w:r w:rsidR="00576BAB">
        <w:rPr>
          <w:noProof/>
        </w:rPr>
        <w:t>23</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r w:rsidRPr="00380B24">
        <w:rPr>
          <w:noProof/>
        </w:rPr>
        <w:t>External factors influencing the ECCF’s objective</w:t>
      </w:r>
      <w:bookmarkEnd w:id="627"/>
      <w:bookmarkEnd w:id="628"/>
    </w:p>
    <w:p w14:paraId="0B80155B" w14:textId="77777777" w:rsidR="00B202FC" w:rsidRPr="00380B24" w:rsidRDefault="00B202FC" w:rsidP="00B202FC">
      <w:pPr>
        <w:spacing w:after="0"/>
        <w:rPr>
          <w:noProof/>
        </w:rPr>
      </w:pPr>
      <w:r w:rsidRPr="00380B24">
        <w:rPr>
          <w:noProof/>
          <w:lang w:eastAsia="en-GB"/>
        </w:rPr>
        <w:drawing>
          <wp:inline distT="0" distB="0" distL="0" distR="0" wp14:anchorId="78E74A7E" wp14:editId="5C21C94B">
            <wp:extent cx="5472000" cy="2743200"/>
            <wp:effectExtent l="0" t="0" r="14605" b="0"/>
            <wp:docPr id="416241358" name="Chart 1">
              <a:extLst xmlns:a="http://schemas.openxmlformats.org/drawingml/2006/main">
                <a:ext uri="{FF2B5EF4-FFF2-40B4-BE49-F238E27FC236}">
                  <a16:creationId xmlns:a16="http://schemas.microsoft.com/office/drawing/2014/main" id="{9D2B0145-4A58-6031-DA1F-C2F14D595E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BC00060" w14:textId="77777777" w:rsidR="00B202FC" w:rsidRPr="00380B24" w:rsidRDefault="00B202FC" w:rsidP="00B202FC">
      <w:pPr>
        <w:pStyle w:val="Source"/>
        <w:rPr>
          <w:rFonts w:ascii="Times New Roman" w:eastAsia="Arial" w:hAnsi="Times New Roman"/>
          <w:noProof/>
          <w:lang w:val="en-GB"/>
        </w:rPr>
      </w:pPr>
      <w:r w:rsidRPr="00380B24">
        <w:rPr>
          <w:rFonts w:ascii="Times New Roman" w:hAnsi="Times New Roman"/>
          <w:noProof/>
          <w:lang w:val="en-GB"/>
        </w:rPr>
        <w:t>Source:</w:t>
      </w:r>
      <w:r w:rsidRPr="00380B24">
        <w:rPr>
          <w:rStyle w:val="SourceChar"/>
          <w:rFonts w:ascii="Times New Roman" w:hAnsi="Times New Roman"/>
          <w:noProof/>
          <w:lang w:val="en-GB"/>
        </w:rPr>
        <w:t xml:space="preserve"> PPMI, Intellera Consulting and PwC (2024). Study to support the evaluation of the European Union Agency for Cybersecurity (ENISA) and the European Cybersecurity Certification Framework – Final Report. Survey </w:t>
      </w:r>
      <w:r w:rsidRPr="00380B24">
        <w:rPr>
          <w:rFonts w:ascii="Times New Roman" w:hAnsi="Times New Roman"/>
          <w:noProof/>
          <w:lang w:val="en-GB"/>
        </w:rPr>
        <w:t xml:space="preserve">of stakeholders, question </w:t>
      </w:r>
      <w:r w:rsidRPr="00380B24">
        <w:rPr>
          <w:rFonts w:ascii="Times New Roman" w:eastAsia="Arial" w:hAnsi="Times New Roman"/>
          <w:noProof/>
          <w:lang w:val="en-GB"/>
        </w:rPr>
        <w:t>49: ‘</w:t>
      </w:r>
      <w:r w:rsidRPr="00380B24">
        <w:rPr>
          <w:rFonts w:ascii="Times New Roman" w:hAnsi="Times New Roman"/>
          <w:noProof/>
          <w:lang w:val="en-GB"/>
        </w:rPr>
        <w:t>In your opinion, to what extent have the following external factors positively or negatively influenced the ECCF in achieving its objectives?</w:t>
      </w:r>
      <w:r w:rsidRPr="00380B24">
        <w:rPr>
          <w:rFonts w:ascii="Times New Roman" w:eastAsia="Arial" w:hAnsi="Times New Roman"/>
          <w:noProof/>
          <w:lang w:val="en-GB"/>
        </w:rPr>
        <w:t>’</w:t>
      </w:r>
    </w:p>
    <w:p w14:paraId="1FDB452F" w14:textId="77777777" w:rsidR="00B202FC" w:rsidRPr="00380B24" w:rsidRDefault="00B202FC" w:rsidP="00B202FC">
      <w:pPr>
        <w:rPr>
          <w:noProof/>
        </w:rPr>
      </w:pPr>
      <w:r w:rsidRPr="00380B24">
        <w:rPr>
          <w:noProof/>
        </w:rPr>
        <w:t>In summary, the ECCF’s effectiveness in fulfilling its objectives was limited by resource imbalances, delays in adopting schemes and external factors such as changing policy priorities and geopolitical influences. While the ECCF improved cooperation and harmonisation among Member States and EU institutions, significant challenges remained in the drive to improve certification capabilities and reduce fragmentation across the EU.</w:t>
      </w:r>
    </w:p>
    <w:p w14:paraId="39F9DB8A" w14:textId="77777777" w:rsidR="00B202FC" w:rsidRPr="00380B24" w:rsidRDefault="00B202FC" w:rsidP="00B202FC">
      <w:pPr>
        <w:rPr>
          <w:b/>
          <w:noProof/>
        </w:rPr>
      </w:pPr>
      <w:r w:rsidRPr="00380B24">
        <w:rPr>
          <w:b/>
          <w:noProof/>
        </w:rPr>
        <w:t>Efficiency</w:t>
      </w:r>
    </w:p>
    <w:p w14:paraId="41681134" w14:textId="77777777" w:rsidR="00B202FC" w:rsidRPr="00380B24" w:rsidRDefault="00B202FC" w:rsidP="00B202FC">
      <w:pPr>
        <w:rPr>
          <w:noProof/>
        </w:rPr>
      </w:pPr>
      <w:r w:rsidRPr="00380B24">
        <w:rPr>
          <w:noProof/>
        </w:rPr>
        <w:t xml:space="preserve">The efficiency of the ECCF was mostly impacted by content- and process-related issues. According to the survey, 77% of respondents reported that content issues, such as technical complexity or political impact, were the factor that most hindered the operation of the ECCF. 70% of respondents identified process-related issues, including the functioning of the preparation and adoption process, as significant obstacles to efficiency. Legal concerns, such as shortcomings in the legal framework at EU or national level, had less impact (identified by 43% of respondents). </w:t>
      </w:r>
    </w:p>
    <w:p w14:paraId="5068CA16" w14:textId="77777777" w:rsidR="00B202FC" w:rsidRPr="00380B24" w:rsidRDefault="00B202FC" w:rsidP="00B202FC">
      <w:pPr>
        <w:rPr>
          <w:noProof/>
        </w:rPr>
      </w:pPr>
      <w:r w:rsidRPr="00380B24">
        <w:rPr>
          <w:noProof/>
        </w:rPr>
        <w:t>As regards the EUCS scheme, 46% of survey respondents indicated that content issues, resulting largely from the politicisation of the debate, were the primary impediment to adoption. In the case of EU5G, 38% of stakeholders raised content-related issues and 32% attributed delays to process-related issues. The EUCC scheme was adopted in January 2024 after about 55 months of discussion, with delays attributed to technical complexity, lack of experience in developing schemes and changing policy priorities.</w:t>
      </w:r>
    </w:p>
    <w:p w14:paraId="5F1D91CC" w14:textId="77777777" w:rsidR="00B202FC" w:rsidRPr="00380B24" w:rsidRDefault="00B202FC" w:rsidP="00B202FC">
      <w:pPr>
        <w:rPr>
          <w:noProof/>
        </w:rPr>
      </w:pPr>
      <w:r w:rsidRPr="00380B24">
        <w:rPr>
          <w:noProof/>
        </w:rPr>
        <w:t xml:space="preserve">Survey respondents identified ENISA and its ad hoc working groups as the stakeholders that contributed most to the smooth functioning of the framework, with 77% and 88% of respondents respectively agreeing completely or to a large extent that these bodies had made a contribution. The ECCG, SCCG and NCCAs also garnered rather positive opinions, with 58% of respondents expressing a positive view for each of these stakeholder categories. </w:t>
      </w:r>
    </w:p>
    <w:p w14:paraId="0C6F16DB" w14:textId="6FAAD72A" w:rsidR="00B202FC" w:rsidRPr="00380B24" w:rsidRDefault="00B202FC" w:rsidP="00B202FC">
      <w:pPr>
        <w:pStyle w:val="Caption"/>
        <w:keepNext/>
        <w:rPr>
          <w:noProof/>
        </w:rPr>
      </w:pPr>
      <w:bookmarkStart w:id="629" w:name="_Toc218765307"/>
      <w:bookmarkStart w:id="630" w:name="_Toc219447495"/>
      <w:r w:rsidRPr="00380B24">
        <w:rPr>
          <w:noProof/>
        </w:rPr>
        <w:t xml:space="preserve">Figure </w:t>
      </w:r>
      <w:r w:rsidR="00576BAB">
        <w:rPr>
          <w:noProof/>
        </w:rPr>
        <w:t>24</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r w:rsidRPr="00380B24">
        <w:rPr>
          <w:noProof/>
        </w:rPr>
        <w:t xml:space="preserve"> Stakeholders’ contribution to ensuring smooth functioning of the ECCF</w:t>
      </w:r>
      <w:bookmarkEnd w:id="629"/>
      <w:bookmarkEnd w:id="630"/>
    </w:p>
    <w:p w14:paraId="1CCC7793" w14:textId="77777777" w:rsidR="00B202FC" w:rsidRPr="00380B24" w:rsidRDefault="00B202FC" w:rsidP="00B202FC">
      <w:pPr>
        <w:spacing w:after="0"/>
        <w:rPr>
          <w:noProof/>
        </w:rPr>
      </w:pPr>
      <w:r w:rsidRPr="00380B24">
        <w:rPr>
          <w:noProof/>
          <w:lang w:eastAsia="en-GB"/>
        </w:rPr>
        <w:drawing>
          <wp:inline distT="0" distB="0" distL="0" distR="0" wp14:anchorId="17343676" wp14:editId="491A1C24">
            <wp:extent cx="5472000" cy="2190750"/>
            <wp:effectExtent l="0" t="0" r="14605" b="0"/>
            <wp:docPr id="1927282615" name="Chart 1">
              <a:extLst xmlns:a="http://schemas.openxmlformats.org/drawingml/2006/main">
                <a:ext uri="{FF2B5EF4-FFF2-40B4-BE49-F238E27FC236}">
                  <a16:creationId xmlns:a16="http://schemas.microsoft.com/office/drawing/2014/main" id="{210C9959-7AE5-0597-9640-911F08368C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6B13F5BA" w14:textId="77777777" w:rsidR="00B202FC" w:rsidRPr="00380B24" w:rsidRDefault="00B202FC" w:rsidP="00B202FC">
      <w:pPr>
        <w:pStyle w:val="Source"/>
        <w:rPr>
          <w:rFonts w:ascii="Times New Roman" w:hAnsi="Times New Roman"/>
          <w:noProof/>
          <w:lang w:val="en-GB"/>
        </w:rPr>
      </w:pPr>
      <w:r w:rsidRPr="00380B24">
        <w:rPr>
          <w:rFonts w:ascii="Times New Roman" w:hAnsi="Times New Roman"/>
          <w:noProof/>
          <w:lang w:val="en-GB"/>
        </w:rPr>
        <w:t xml:space="preserve">Source: </w:t>
      </w:r>
      <w:r w:rsidRPr="00380B24">
        <w:rPr>
          <w:rStyle w:val="SourceChar"/>
          <w:rFonts w:ascii="Times New Roman" w:hAnsi="Times New Roman"/>
          <w:noProof/>
          <w:lang w:val="en-GB"/>
        </w:rPr>
        <w:t xml:space="preserve">PPMI, Intellera Consulting and PwC (2024). Study to support the evaluation of the European Union Agency for Cybersecurity (ENISA) and the European Cybersecurity Certification Framework – Final Report. Survey </w:t>
      </w:r>
      <w:r w:rsidRPr="00380B24">
        <w:rPr>
          <w:rFonts w:ascii="Times New Roman" w:hAnsi="Times New Roman"/>
          <w:noProof/>
          <w:lang w:val="en-GB"/>
        </w:rPr>
        <w:t xml:space="preserve">of stakeholders, question </w:t>
      </w:r>
      <w:r w:rsidRPr="00380B24">
        <w:rPr>
          <w:rFonts w:ascii="Times New Roman" w:eastAsia="Arial" w:hAnsi="Times New Roman"/>
          <w:noProof/>
          <w:lang w:val="en-GB"/>
        </w:rPr>
        <w:t>51: ‘</w:t>
      </w:r>
      <w:r w:rsidRPr="00380B24">
        <w:rPr>
          <w:rFonts w:ascii="Times New Roman" w:hAnsi="Times New Roman"/>
          <w:noProof/>
          <w:lang w:val="en-GB"/>
        </w:rPr>
        <w:t>In your opinion, to what extent have the following stakeholders and processes contributed to ensuring a smooth functioning of the ECCF?</w:t>
      </w:r>
      <w:r w:rsidRPr="00380B24">
        <w:rPr>
          <w:rFonts w:ascii="Times New Roman" w:eastAsia="Arial" w:hAnsi="Times New Roman"/>
          <w:noProof/>
          <w:lang w:val="en-GB"/>
        </w:rPr>
        <w:t>’</w:t>
      </w:r>
    </w:p>
    <w:p w14:paraId="77C6CAAA" w14:textId="77777777" w:rsidR="00B202FC" w:rsidRPr="00380B24" w:rsidRDefault="00B202FC" w:rsidP="00B202FC">
      <w:pPr>
        <w:rPr>
          <w:noProof/>
        </w:rPr>
      </w:pPr>
      <w:r w:rsidRPr="00380B24">
        <w:rPr>
          <w:noProof/>
        </w:rPr>
        <w:t xml:space="preserve">According to the survey, areas of the ECCF that could be improved include the process of preparing, adopting and reviewing schemes (suggested by 81%), stakeholder’s cooperation (75%) and security objectives/assurance levels and schemes (37%). </w:t>
      </w:r>
    </w:p>
    <w:p w14:paraId="2059E3C1" w14:textId="3CED4AC1" w:rsidR="00B202FC" w:rsidRPr="00380B24" w:rsidRDefault="00B202FC" w:rsidP="00B202FC">
      <w:pPr>
        <w:pStyle w:val="Caption"/>
        <w:keepNext/>
        <w:rPr>
          <w:noProof/>
        </w:rPr>
      </w:pPr>
      <w:bookmarkStart w:id="631" w:name="_Toc218765308"/>
      <w:bookmarkStart w:id="632" w:name="_Toc219447496"/>
      <w:r w:rsidRPr="00380B24">
        <w:rPr>
          <w:noProof/>
        </w:rPr>
        <w:t xml:space="preserve">Figure </w:t>
      </w:r>
      <w:r w:rsidR="00576BAB">
        <w:rPr>
          <w:noProof/>
        </w:rPr>
        <w:t>25</w:t>
      </w:r>
      <w:r>
        <w:rPr>
          <w:noProof/>
        </w:rPr>
        <w:fldChar w:fldCharType="begin"/>
      </w:r>
      <w:r>
        <w:rPr>
          <w:noProof/>
        </w:rPr>
        <w:instrText xml:space="preserve"> SEQ Figure \* ARABIC </w:instrText>
      </w:r>
      <w:r>
        <w:rPr>
          <w:noProof/>
        </w:rPr>
        <w:fldChar w:fldCharType="separate"/>
      </w:r>
      <w:r>
        <w:rPr>
          <w:noProof/>
        </w:rPr>
        <w:t>14</w:t>
      </w:r>
      <w:r>
        <w:rPr>
          <w:noProof/>
        </w:rPr>
        <w:fldChar w:fldCharType="end"/>
      </w:r>
      <w:r w:rsidRPr="00380B24">
        <w:rPr>
          <w:noProof/>
        </w:rPr>
        <w:t xml:space="preserve"> ECCF improvements</w:t>
      </w:r>
      <w:bookmarkEnd w:id="631"/>
      <w:bookmarkEnd w:id="632"/>
    </w:p>
    <w:p w14:paraId="338330AA" w14:textId="77777777" w:rsidR="00B202FC" w:rsidRPr="00380B24" w:rsidRDefault="00B202FC" w:rsidP="00B202FC">
      <w:pPr>
        <w:spacing w:after="0"/>
        <w:rPr>
          <w:noProof/>
        </w:rPr>
      </w:pPr>
      <w:r w:rsidRPr="00380B24">
        <w:rPr>
          <w:noProof/>
          <w:lang w:eastAsia="en-GB"/>
        </w:rPr>
        <w:drawing>
          <wp:inline distT="0" distB="0" distL="0" distR="0" wp14:anchorId="09B671AA" wp14:editId="5BB7AA03">
            <wp:extent cx="5476875" cy="1638300"/>
            <wp:effectExtent l="0" t="0" r="0" b="0"/>
            <wp:docPr id="332342613" name="drawing"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2613" name="drawing" descr="A graph with numbers and a bar&#10;&#10;AI-generated content may be incorrect."/>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476875" cy="1638300"/>
                    </a:xfrm>
                    <a:prstGeom prst="rect">
                      <a:avLst/>
                    </a:prstGeom>
                  </pic:spPr>
                </pic:pic>
              </a:graphicData>
            </a:graphic>
          </wp:inline>
        </w:drawing>
      </w:r>
    </w:p>
    <w:p w14:paraId="4AEEC386" w14:textId="77777777" w:rsidR="00B202FC" w:rsidRPr="00380B24" w:rsidRDefault="00B202FC" w:rsidP="00B202FC">
      <w:pPr>
        <w:spacing w:after="0"/>
        <w:rPr>
          <w:noProof/>
        </w:rPr>
      </w:pPr>
      <w:r w:rsidRPr="00380B24">
        <w:rPr>
          <w:noProof/>
          <w:sz w:val="16"/>
          <w:szCs w:val="16"/>
          <w:lang w:eastAsia="ja-JP"/>
        </w:rPr>
        <w:t xml:space="preserve">Source: </w:t>
      </w:r>
      <w:r w:rsidRPr="00380B24">
        <w:rPr>
          <w:rStyle w:val="SourceChar"/>
          <w:rFonts w:eastAsiaTheme="minorHAnsi"/>
          <w:noProof/>
        </w:rPr>
        <w:t>PPMI, Intellera Consulting and PwC (2024). Study to support the evaluation of the European Union Agency for Cybersecurity (ENISA) and the European Cybersecurity Certification Framework – Final Report</w:t>
      </w:r>
      <w:r w:rsidRPr="00380B24">
        <w:rPr>
          <w:noProof/>
          <w:sz w:val="16"/>
          <w:szCs w:val="16"/>
          <w:lang w:eastAsia="ja-JP"/>
        </w:rPr>
        <w:t>. Survey of stakeholders, question 64: ‘Which of the following areas of the ECCF, if any, could be improved?’</w:t>
      </w:r>
    </w:p>
    <w:p w14:paraId="44CFB662" w14:textId="77777777" w:rsidR="00B202FC" w:rsidRPr="00380B24" w:rsidRDefault="00B202FC" w:rsidP="00B202FC">
      <w:pPr>
        <w:spacing w:before="240"/>
        <w:rPr>
          <w:noProof/>
        </w:rPr>
      </w:pPr>
      <w:r w:rsidRPr="00380B24">
        <w:rPr>
          <w:noProof/>
        </w:rPr>
        <w:t>Given the EUCC scheme was adopted only recently, it is too early to identify the costs borne or the benefits experienced by stakeholders in terms of compliance with ECCF requirements. However, survey respondents indicated some costs and benefits related to preparatory activities, such as the development of standards, capacity building, and awareness-raising.</w:t>
      </w:r>
    </w:p>
    <w:p w14:paraId="6F94AB1C" w14:textId="77777777" w:rsidR="00B202FC" w:rsidRPr="00380B24" w:rsidRDefault="00B202FC" w:rsidP="00B202FC">
      <w:pPr>
        <w:rPr>
          <w:noProof/>
        </w:rPr>
      </w:pPr>
      <w:r w:rsidRPr="00380B24">
        <w:rPr>
          <w:noProof/>
        </w:rPr>
        <w:t>In summary, while ENISA and ad hoc working groups were seen as positive contributors, improvements are needed in the area of stakeholder cooperation and decision-making transparency, as well as in process management.</w:t>
      </w:r>
    </w:p>
    <w:p w14:paraId="584B1856" w14:textId="77777777" w:rsidR="00D52AD8" w:rsidRPr="00C57110" w:rsidRDefault="00D52AD8" w:rsidP="00D52AD8">
      <w:pPr>
        <w:rPr>
          <w:b/>
          <w:noProof/>
        </w:rPr>
      </w:pPr>
      <w:r w:rsidRPr="00C57110">
        <w:rPr>
          <w:b/>
          <w:noProof/>
        </w:rPr>
        <w:t>Relevance</w:t>
      </w:r>
    </w:p>
    <w:p w14:paraId="6EF3B650" w14:textId="77777777" w:rsidR="00B202FC" w:rsidRPr="00380B24" w:rsidRDefault="00B202FC" w:rsidP="00B202FC">
      <w:pPr>
        <w:rPr>
          <w:rStyle w:val="normaltextrun"/>
          <w:noProof/>
          <w:color w:val="000000" w:themeColor="text1"/>
        </w:rPr>
      </w:pPr>
      <w:r w:rsidRPr="00380B24">
        <w:rPr>
          <w:noProof/>
        </w:rPr>
        <w:t>The ECCF is seen as highly relevant to the achievement of internal market objectives in the current cybersecurity landscape. Stakeholders said that, given the increase in the number and intensity of cybersecurity threats, EU cybersecurity certification is a valuable asset. Key aspects that make ECCF relevant include the closer level of EU cooperation, its contribution to the development of standards and the ability to require critical infrastructures and public procurement beneficiaries to become certified. Stakeholders emphasised ECCF’s capacity to effectively improve cooperation between EU Member States and to streamline trade by providing a unified certification platform.</w:t>
      </w:r>
    </w:p>
    <w:p w14:paraId="16A6029E" w14:textId="77777777" w:rsidR="00B202FC" w:rsidRPr="00380B24" w:rsidRDefault="00B202FC" w:rsidP="00B202FC">
      <w:pPr>
        <w:rPr>
          <w:noProof/>
        </w:rPr>
      </w:pPr>
      <w:r w:rsidRPr="00380B24">
        <w:rPr>
          <w:noProof/>
        </w:rPr>
        <w:t>The ECCF’s relevance is further underscored by references to it in other EU legislation, including the Cyber Resilience Act (CRA), the NIS2 Directive and the European Digital Identity Regulation, which were all pending adoption by the co-legislators or proposed at the time of the evaluation. The CRA is expected to be crucial in promoting the certification of software and products with digital elements. The ECCF has provided input to the development of new standards and to addressing gaps in existing ones, such as for the cloud and 5G.</w:t>
      </w:r>
    </w:p>
    <w:p w14:paraId="33CB6541" w14:textId="4A81D6B4" w:rsidR="00D52AD8" w:rsidRPr="00C57110" w:rsidRDefault="00B202FC" w:rsidP="00D52AD8">
      <w:pPr>
        <w:rPr>
          <w:noProof/>
        </w:rPr>
      </w:pPr>
      <w:r w:rsidRPr="00380B24">
        <w:rPr>
          <w:noProof/>
        </w:rPr>
        <w:t>The mutual</w:t>
      </w:r>
      <w:r w:rsidR="00D52AD8" w:rsidRPr="00C57110">
        <w:rPr>
          <w:noProof/>
        </w:rPr>
        <w:t xml:space="preserve"> recognition of </w:t>
      </w:r>
      <w:r w:rsidRPr="00380B24">
        <w:rPr>
          <w:noProof/>
        </w:rPr>
        <w:t xml:space="preserve">certified </w:t>
      </w:r>
      <w:r w:rsidR="00D52AD8" w:rsidRPr="00C57110">
        <w:rPr>
          <w:noProof/>
        </w:rPr>
        <w:t xml:space="preserve">products, services and processes across the </w:t>
      </w:r>
      <w:r w:rsidRPr="00380B24">
        <w:rPr>
          <w:noProof/>
        </w:rPr>
        <w:t>EU</w:t>
      </w:r>
      <w:r w:rsidR="00D52AD8" w:rsidRPr="00C57110">
        <w:rPr>
          <w:noProof/>
        </w:rPr>
        <w:t xml:space="preserve"> is still considered an effective tool to reduce individual costs for enterprises, thereby </w:t>
      </w:r>
      <w:r w:rsidRPr="00380B24">
        <w:rPr>
          <w:noProof/>
        </w:rPr>
        <w:t>strengthening</w:t>
      </w:r>
      <w:r w:rsidR="00D52AD8" w:rsidRPr="00C57110">
        <w:rPr>
          <w:noProof/>
        </w:rPr>
        <w:t xml:space="preserve"> the single market and facilitating trade within the EU</w:t>
      </w:r>
      <w:r w:rsidRPr="00380B24">
        <w:rPr>
          <w:noProof/>
        </w:rPr>
        <w:t>.</w:t>
      </w:r>
      <w:r w:rsidR="00D52AD8" w:rsidRPr="00C57110">
        <w:rPr>
          <w:noProof/>
        </w:rPr>
        <w:t xml:space="preserve"> The ECCF was also identified as a platform for cooperation among Member States at the EU level, aimed at fostering comprehensive evaluation and coordination.</w:t>
      </w:r>
    </w:p>
    <w:p w14:paraId="1CF83D5E" w14:textId="7216858A" w:rsidR="00D52AD8" w:rsidRPr="00C57110" w:rsidRDefault="00D52AD8" w:rsidP="00D52AD8">
      <w:pPr>
        <w:rPr>
          <w:noProof/>
        </w:rPr>
      </w:pPr>
      <w:r w:rsidRPr="00C57110">
        <w:rPr>
          <w:noProof/>
        </w:rPr>
        <w:t>Survey respondents confirmed the relevance of the ECCF’s scope. Specifically, 86% agreed that the scope of the ECCF is sufficient in terms of the elements within each scheme (security objectives, assurance levels</w:t>
      </w:r>
      <w:r w:rsidR="00B202FC" w:rsidRPr="00380B24">
        <w:rPr>
          <w:noProof/>
        </w:rPr>
        <w:t xml:space="preserve"> and types</w:t>
      </w:r>
      <w:r w:rsidRPr="00C57110">
        <w:rPr>
          <w:noProof/>
        </w:rPr>
        <w:t xml:space="preserve"> of </w:t>
      </w:r>
      <w:r w:rsidR="00B202FC" w:rsidRPr="00380B24">
        <w:rPr>
          <w:noProof/>
        </w:rPr>
        <w:t>requirement</w:t>
      </w:r>
      <w:r w:rsidRPr="00C57110">
        <w:rPr>
          <w:noProof/>
        </w:rPr>
        <w:t xml:space="preserve">) and 88% agreed </w:t>
      </w:r>
      <w:r w:rsidR="00B202FC" w:rsidRPr="00380B24">
        <w:rPr>
          <w:noProof/>
        </w:rPr>
        <w:t>that it is adequate to cover</w:t>
      </w:r>
      <w:r w:rsidRPr="00C57110">
        <w:rPr>
          <w:noProof/>
        </w:rPr>
        <w:t xml:space="preserve"> ICT products</w:t>
      </w:r>
      <w:r w:rsidR="00B202FC" w:rsidRPr="00380B24">
        <w:rPr>
          <w:noProof/>
        </w:rPr>
        <w:t>, processes</w:t>
      </w:r>
      <w:r w:rsidRPr="00C57110">
        <w:rPr>
          <w:noProof/>
        </w:rPr>
        <w:t xml:space="preserve"> and services. </w:t>
      </w:r>
    </w:p>
    <w:p w14:paraId="7A56EEF3" w14:textId="77777777" w:rsidR="00D52AD8" w:rsidRPr="00C57110" w:rsidRDefault="00D52AD8" w:rsidP="00D52AD8">
      <w:pPr>
        <w:rPr>
          <w:b/>
          <w:bCs/>
          <w:noProof/>
        </w:rPr>
      </w:pPr>
      <w:r w:rsidRPr="00C57110">
        <w:rPr>
          <w:b/>
          <w:bCs/>
          <w:noProof/>
        </w:rPr>
        <w:t>Coherence</w:t>
      </w:r>
    </w:p>
    <w:p w14:paraId="5F5284F6" w14:textId="77777777" w:rsidR="00B202FC" w:rsidRPr="00380B24" w:rsidRDefault="00B202FC" w:rsidP="00B202FC">
      <w:pPr>
        <w:rPr>
          <w:noProof/>
        </w:rPr>
      </w:pPr>
      <w:r w:rsidRPr="00380B24">
        <w:rPr>
          <w:noProof/>
        </w:rPr>
        <w:t>The ECCF has demonstrated coherence with existing cybersecurity legislation and its operations are expected to be influenced significantly by the implementation of legislative measures such as the CRA, the European Digital Identity Regulation and the NIS2 Directive, according to the survey. Some stakeholders expressed concern about the risk of potential overlaps between the CSA and the CRA; this shows that real-world integration will be a challenge and will require oversight.</w:t>
      </w:r>
    </w:p>
    <w:p w14:paraId="7BC3A941" w14:textId="77777777" w:rsidR="00B202FC" w:rsidRPr="00380B24" w:rsidRDefault="00B202FC" w:rsidP="00B202FC">
      <w:pPr>
        <w:rPr>
          <w:noProof/>
        </w:rPr>
      </w:pPr>
      <w:r w:rsidRPr="00380B24">
        <w:rPr>
          <w:noProof/>
        </w:rPr>
        <w:t xml:space="preserve">Ensuring the CSA’s consistency with other EU policy and legislative measures, both cybersecurity-related (e.g. the NIS2 Directive and the CRA) and sectoral (e.g. the European Digital Identity Regulation), is essential for facilitating compliance and ensuring successful implementation of the ECCF. According to the survey, 83% of stakeholders found the framework to be coherent with existing instruments in the EU regulatory framework, with 55% answering ‘fairly coherent,’ 23% ‘very coherent,’ and 5% ‘perfectly coherent.’ </w:t>
      </w:r>
    </w:p>
    <w:p w14:paraId="1C41254A" w14:textId="77777777" w:rsidR="00B202FC" w:rsidRPr="00380B24" w:rsidRDefault="00B202FC" w:rsidP="00B202FC">
      <w:pPr>
        <w:spacing w:before="240"/>
        <w:rPr>
          <w:noProof/>
        </w:rPr>
      </w:pPr>
      <w:r w:rsidRPr="00380B24">
        <w:rPr>
          <w:noProof/>
        </w:rPr>
        <w:t xml:space="preserve">A broad majority – 72% of survey respondents – agreed that the then-planned adoption of the CRA would have a significant effect on the ECCF. The CRA is expected to introduce mandatory conformity assessment of cybersecurity requirements; existing certificates under an EU scheme may offer a presumption of conformity. While the CSA and CRA legal texts seemed fairly coherent, Member States stressed that it will be important to ensure a consistent implementation of the two acts. </w:t>
      </w:r>
    </w:p>
    <w:p w14:paraId="0A405955" w14:textId="5774C468" w:rsidR="00B202FC" w:rsidRPr="00380B24" w:rsidRDefault="00B202FC" w:rsidP="00B202FC">
      <w:pPr>
        <w:pStyle w:val="Caption"/>
        <w:keepNext/>
        <w:rPr>
          <w:noProof/>
        </w:rPr>
      </w:pPr>
      <w:bookmarkStart w:id="633" w:name="_Toc218765309"/>
      <w:bookmarkStart w:id="634" w:name="_Toc219447497"/>
      <w:r w:rsidRPr="00380B24">
        <w:rPr>
          <w:noProof/>
        </w:rPr>
        <w:t xml:space="preserve">Figure </w:t>
      </w:r>
      <w:r w:rsidR="00576BAB">
        <w:rPr>
          <w:noProof/>
        </w:rPr>
        <w:t>26</w:t>
      </w:r>
      <w:r w:rsidRPr="00380B24">
        <w:rPr>
          <w:noProof/>
        </w:rPr>
        <w:t xml:space="preserv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r w:rsidRPr="00380B24">
        <w:rPr>
          <w:noProof/>
        </w:rPr>
        <w:t xml:space="preserve"> Impact of the CRA proposal on the ECCF</w:t>
      </w:r>
      <w:bookmarkEnd w:id="633"/>
      <w:bookmarkEnd w:id="634"/>
    </w:p>
    <w:p w14:paraId="61AFD65D" w14:textId="77777777" w:rsidR="00B202FC" w:rsidRPr="00380B24" w:rsidRDefault="00B202FC" w:rsidP="00B202FC">
      <w:pPr>
        <w:spacing w:after="0"/>
        <w:rPr>
          <w:noProof/>
          <w:lang w:eastAsia="ja-JP"/>
        </w:rPr>
      </w:pPr>
      <w:r w:rsidRPr="00380B24">
        <w:rPr>
          <w:noProof/>
          <w:lang w:eastAsia="en-GB"/>
        </w:rPr>
        <w:drawing>
          <wp:inline distT="0" distB="0" distL="0" distR="0" wp14:anchorId="4414388C" wp14:editId="56CA1C70">
            <wp:extent cx="5472000" cy="1174750"/>
            <wp:effectExtent l="0" t="0" r="14605" b="6350"/>
            <wp:docPr id="2125510038" name="Chart 1">
              <a:extLst xmlns:a="http://schemas.openxmlformats.org/drawingml/2006/main">
                <a:ext uri="{FF2B5EF4-FFF2-40B4-BE49-F238E27FC236}">
                  <a16:creationId xmlns:a16="http://schemas.microsoft.com/office/drawing/2014/main" id="{3457EFED-A0BB-F3DB-B62C-D49F4059D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31BF8860" w14:textId="77777777" w:rsidR="00B202FC" w:rsidRPr="00380B24" w:rsidRDefault="00B202FC" w:rsidP="00B202FC">
      <w:pPr>
        <w:pStyle w:val="Body"/>
        <w:spacing w:after="0"/>
        <w:rPr>
          <w:rStyle w:val="SourceChar"/>
          <w:rFonts w:ascii="Times New Roman" w:hAnsi="Times New Roman"/>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63: ‘In your view, to what extent will the impact of the ECCF increase because of the adoption of the proposed Cyber Resilience Act (CRA)?'</w:t>
      </w:r>
    </w:p>
    <w:p w14:paraId="1BDF9582" w14:textId="77777777" w:rsidR="00B202FC" w:rsidRPr="00380B24" w:rsidRDefault="00B202FC" w:rsidP="00B202FC">
      <w:pPr>
        <w:spacing w:before="240"/>
        <w:rPr>
          <w:noProof/>
        </w:rPr>
      </w:pPr>
      <w:r w:rsidRPr="00380B24">
        <w:rPr>
          <w:noProof/>
        </w:rPr>
        <w:t xml:space="preserve">Despite recognising the overall coherence, more than half of respondents (54%) identified overlaps between the ECCF and other EU initiatives. Stakeholder contributions indicated that this concern stemmed from a potential overlap with the CRA, which could result in a duplication of efforts and inconsistent requirements. Member States also reported a risk of overlaps and noted the challenges involved in aligning the ECCF with international and European standardisation processes. They emphasised the need to establish a communication channel with international standardisation organisations to leverage existing European or international standards and prevent inconsistencies between standards developed at the EU and international levels. </w:t>
      </w:r>
    </w:p>
    <w:p w14:paraId="448056FB" w14:textId="650DEA47" w:rsidR="00D52AD8" w:rsidRPr="00C57110" w:rsidRDefault="00D52AD8" w:rsidP="00D52AD8">
      <w:pPr>
        <w:rPr>
          <w:noProof/>
        </w:rPr>
      </w:pPr>
      <w:r w:rsidRPr="00C57110">
        <w:rPr>
          <w:noProof/>
        </w:rPr>
        <w:t xml:space="preserve">In summary, stakeholders found the ECCF to be largely </w:t>
      </w:r>
      <w:r w:rsidR="00B202FC" w:rsidRPr="00380B24">
        <w:rPr>
          <w:noProof/>
        </w:rPr>
        <w:t>consistent with the</w:t>
      </w:r>
      <w:r w:rsidRPr="00C57110">
        <w:rPr>
          <w:noProof/>
        </w:rPr>
        <w:t xml:space="preserve"> existing EU regulatory framework, but also highlighted the importance of ensuring consistent alignment with </w:t>
      </w:r>
      <w:r w:rsidR="00B202FC" w:rsidRPr="00380B24">
        <w:rPr>
          <w:noProof/>
        </w:rPr>
        <w:t xml:space="preserve">forthcoming </w:t>
      </w:r>
      <w:r w:rsidRPr="00C57110">
        <w:rPr>
          <w:noProof/>
        </w:rPr>
        <w:t>legislation and avoiding overlaps with other initiatives. Continued attention to terminology and standardisation processes will be necessary to maintain coherence as the framework evolves.</w:t>
      </w:r>
    </w:p>
    <w:p w14:paraId="0A95BA6C" w14:textId="77777777" w:rsidR="00D52AD8" w:rsidRPr="00C57110" w:rsidRDefault="00D52AD8" w:rsidP="00B202FC">
      <w:pPr>
        <w:keepNext/>
        <w:rPr>
          <w:b/>
          <w:noProof/>
        </w:rPr>
      </w:pPr>
      <w:r w:rsidRPr="00C57110">
        <w:rPr>
          <w:b/>
          <w:noProof/>
        </w:rPr>
        <w:t>EU Added Value</w:t>
      </w:r>
    </w:p>
    <w:p w14:paraId="2D1D6F8B" w14:textId="61E19C67" w:rsidR="00D52AD8" w:rsidRPr="00C57110" w:rsidRDefault="00D52AD8" w:rsidP="00D52AD8">
      <w:pPr>
        <w:rPr>
          <w:noProof/>
        </w:rPr>
      </w:pPr>
      <w:r w:rsidRPr="00C57110">
        <w:rPr>
          <w:noProof/>
        </w:rPr>
        <w:t xml:space="preserve">Stakeholders broadly agreed that the ECCF brings clear EU added value compared to what could have been achieved by Member States alone. The framework’s harmonised approach to cybersecurity certification across all Member States provides a common EU baseline </w:t>
      </w:r>
      <w:r w:rsidR="00B202FC" w:rsidRPr="00380B24">
        <w:rPr>
          <w:noProof/>
        </w:rPr>
        <w:t>of</w:t>
      </w:r>
      <w:r w:rsidRPr="00C57110">
        <w:rPr>
          <w:noProof/>
        </w:rPr>
        <w:t xml:space="preserve"> security requirements for digital products, processes and services within the EU single market. This builds trust among consumers and businesses and promotes cross-border cooperation. Most stakeholders recognised the added value of the ECCF in achieving a more secure, transparent and cohesive internal market for ICT products, services and processes.</w:t>
      </w:r>
    </w:p>
    <w:p w14:paraId="360A60F0" w14:textId="77777777" w:rsidR="00B202FC" w:rsidRPr="00380B24" w:rsidRDefault="00B202FC" w:rsidP="00E5147D">
      <w:pPr>
        <w:rPr>
          <w:b/>
          <w:bCs/>
          <w:iCs/>
          <w:noProof/>
          <w:szCs w:val="22"/>
        </w:rPr>
      </w:pPr>
      <w:r w:rsidRPr="00D81164">
        <w:rPr>
          <w:noProof/>
        </w:rPr>
        <w:t xml:space="preserve">According to the survey, 84% of stakeholders believed that Member States alone could increase the uptake of certification only to some extent or to a limited extent. Furthermore, 92% of stakeholders believed that Member States alone could not have achieved more streamlined and cost-effective certification processes. For example, 41% of respondents said Member States could not have achieved more streamlined and cost-effective certification processes at all and 33% said they could have done so only to a small extent. </w:t>
      </w:r>
    </w:p>
    <w:p w14:paraId="47359C32" w14:textId="52C132F4" w:rsidR="00B202FC" w:rsidRPr="00380B24" w:rsidRDefault="00B202FC" w:rsidP="00B202FC">
      <w:pPr>
        <w:pStyle w:val="Caption"/>
        <w:keepNext/>
        <w:rPr>
          <w:noProof/>
        </w:rPr>
      </w:pPr>
      <w:bookmarkStart w:id="635" w:name="_Toc218765310"/>
      <w:bookmarkStart w:id="636" w:name="_Toc219447498"/>
      <w:r w:rsidRPr="00380B24">
        <w:rPr>
          <w:noProof/>
        </w:rPr>
        <w:t xml:space="preserve">Figure </w:t>
      </w:r>
      <w:r w:rsidR="00576BAB">
        <w:rPr>
          <w:noProof/>
        </w:rPr>
        <w:t>27</w:t>
      </w:r>
      <w:r>
        <w:rPr>
          <w:noProof/>
        </w:rPr>
        <w:fldChar w:fldCharType="begin"/>
      </w:r>
      <w:r>
        <w:rPr>
          <w:noProof/>
        </w:rPr>
        <w:instrText xml:space="preserve"> SEQ Figure \* ARABIC </w:instrText>
      </w:r>
      <w:r>
        <w:rPr>
          <w:noProof/>
        </w:rPr>
        <w:fldChar w:fldCharType="separate"/>
      </w:r>
      <w:r>
        <w:rPr>
          <w:noProof/>
        </w:rPr>
        <w:t>16</w:t>
      </w:r>
      <w:r>
        <w:rPr>
          <w:noProof/>
        </w:rPr>
        <w:fldChar w:fldCharType="end"/>
      </w:r>
      <w:r w:rsidRPr="00380B24">
        <w:rPr>
          <w:noProof/>
        </w:rPr>
        <w:t xml:space="preserve"> ECCF added value</w:t>
      </w:r>
      <w:bookmarkEnd w:id="635"/>
      <w:bookmarkEnd w:id="636"/>
    </w:p>
    <w:p w14:paraId="6EB60F2A" w14:textId="77777777" w:rsidR="00B202FC" w:rsidRPr="00380B24" w:rsidRDefault="00B202FC" w:rsidP="00B202FC">
      <w:pPr>
        <w:spacing w:after="0"/>
        <w:rPr>
          <w:noProof/>
        </w:rPr>
      </w:pPr>
      <w:r w:rsidRPr="00380B24">
        <w:rPr>
          <w:noProof/>
          <w:lang w:eastAsia="en-GB"/>
        </w:rPr>
        <w:drawing>
          <wp:inline distT="0" distB="0" distL="0" distR="0" wp14:anchorId="22B1DCC4" wp14:editId="1C6F0A25">
            <wp:extent cx="5472000" cy="1574800"/>
            <wp:effectExtent l="0" t="0" r="14605" b="6350"/>
            <wp:docPr id="1477907536" name="Chart 1">
              <a:extLst xmlns:a="http://schemas.openxmlformats.org/drawingml/2006/main">
                <a:ext uri="{FF2B5EF4-FFF2-40B4-BE49-F238E27FC236}">
                  <a16:creationId xmlns:a16="http://schemas.microsoft.com/office/drawing/2014/main" id="{C91D613E-621B-6DB1-A1A6-646ED72B83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5970B8C4" w14:textId="77777777" w:rsidR="00B202FC" w:rsidRPr="00380B24" w:rsidRDefault="00B202FC" w:rsidP="00B202FC">
      <w:pPr>
        <w:pStyle w:val="Body"/>
        <w:spacing w:after="0"/>
        <w:rPr>
          <w:rStyle w:val="SourceChar"/>
          <w:rFonts w:ascii="Times New Roman" w:hAnsi="Times New Roman"/>
        </w:rPr>
      </w:pPr>
      <w:r w:rsidRPr="00380B24">
        <w:rPr>
          <w:rStyle w:val="SourceChar"/>
          <w:rFonts w:ascii="Times New Roman" w:hAnsi="Times New Roman"/>
        </w:rPr>
        <w:t>Source: PPMI, Intellera Consulting and PwC (2024). Study to support the evaluation of the European Union Agency for Cybersecurity (ENISA) and the European Cybersecurity Certification Framework – Final Report. Survey of stakeholders, question 60: ‘Do you agree with the following statements?’: ‘Due to the delay in the adoption of European cybersecurity certification schemes, Member States alone could have increased the uptake of cybersecurity certification more than what the ECCF has done’ and ‘Due to the delay in the adoption of European cybersecurity certification schemes, Member States alone could have achieved more streamlined and cost-effective certification processes than what the ECCF has done.’</w:t>
      </w:r>
    </w:p>
    <w:p w14:paraId="546D1071" w14:textId="77777777" w:rsidR="00B202FC" w:rsidRPr="00380B24" w:rsidRDefault="00B202FC" w:rsidP="00B202FC">
      <w:pPr>
        <w:spacing w:before="360"/>
        <w:rPr>
          <w:noProof/>
        </w:rPr>
      </w:pPr>
      <w:r w:rsidRPr="00380B24">
        <w:rPr>
          <w:noProof/>
        </w:rPr>
        <w:t xml:space="preserve">When considering the benefit of the ECCF on increasing levels of trust, 88% of stakeholders agreed that Member States alone might not be able, or able only in a limited way, to increase trust and awareness among the public and businesses about the cybersecurity of ICT products, processes and services. Additionally, 92% of stakeholders agreed that Member States alone could not have increased trust and confidence in the single market more than the ECCF had done. Regarding transparency challenges, 88% of stakeholders agreed that Member States alone could have increased the transparency of ICT products and services, ensuring security by default and design, only to a limited extent. For example, 48% of respondents said Member States could not have enhanced trust and confidence in the single market at all and 28% said they could have done so only to a small extent. </w:t>
      </w:r>
    </w:p>
    <w:p w14:paraId="771CA5B3" w14:textId="524536A8" w:rsidR="00B202FC" w:rsidRPr="00380B24" w:rsidRDefault="00B202FC" w:rsidP="00B202FC">
      <w:pPr>
        <w:pStyle w:val="Caption"/>
        <w:keepNext/>
        <w:rPr>
          <w:noProof/>
        </w:rPr>
      </w:pPr>
      <w:bookmarkStart w:id="637" w:name="_Toc218765311"/>
      <w:bookmarkStart w:id="638" w:name="_Toc219447499"/>
      <w:r w:rsidRPr="00380B24">
        <w:rPr>
          <w:noProof/>
        </w:rPr>
        <w:t xml:space="preserve">Figure </w:t>
      </w:r>
      <w:r w:rsidR="00576BAB">
        <w:rPr>
          <w:noProof/>
        </w:rPr>
        <w:t>28</w:t>
      </w:r>
      <w:r>
        <w:rPr>
          <w:noProof/>
        </w:rPr>
        <w:fldChar w:fldCharType="begin"/>
      </w:r>
      <w:r>
        <w:rPr>
          <w:noProof/>
        </w:rPr>
        <w:instrText xml:space="preserve"> SEQ Figure \* ARABIC </w:instrText>
      </w:r>
      <w:r>
        <w:rPr>
          <w:noProof/>
        </w:rPr>
        <w:fldChar w:fldCharType="separate"/>
      </w:r>
      <w:r>
        <w:rPr>
          <w:noProof/>
        </w:rPr>
        <w:t>17</w:t>
      </w:r>
      <w:r>
        <w:rPr>
          <w:noProof/>
        </w:rPr>
        <w:fldChar w:fldCharType="end"/>
      </w:r>
      <w:r w:rsidRPr="00380B24">
        <w:rPr>
          <w:noProof/>
        </w:rPr>
        <w:t xml:space="preserve"> ECCF trust and transparency added value</w:t>
      </w:r>
      <w:bookmarkEnd w:id="637"/>
      <w:bookmarkEnd w:id="638"/>
    </w:p>
    <w:p w14:paraId="210DBE63" w14:textId="77777777" w:rsidR="00B202FC" w:rsidRPr="00380B24" w:rsidRDefault="00B202FC" w:rsidP="00B202FC">
      <w:pPr>
        <w:spacing w:after="0"/>
        <w:rPr>
          <w:noProof/>
        </w:rPr>
      </w:pPr>
      <w:r w:rsidRPr="00380B24">
        <w:rPr>
          <w:noProof/>
          <w:lang w:eastAsia="en-GB"/>
        </w:rPr>
        <w:drawing>
          <wp:inline distT="0" distB="0" distL="0" distR="0" wp14:anchorId="6AE4F718" wp14:editId="6CE842C3">
            <wp:extent cx="5472000" cy="1993900"/>
            <wp:effectExtent l="0" t="0" r="14605" b="6350"/>
            <wp:docPr id="1605228524" name="Chart 1">
              <a:extLst xmlns:a="http://schemas.openxmlformats.org/drawingml/2006/main">
                <a:ext uri="{FF2B5EF4-FFF2-40B4-BE49-F238E27FC236}">
                  <a16:creationId xmlns:a16="http://schemas.microsoft.com/office/drawing/2014/main" id="{180FAF77-33A3-6D58-D9B6-CC4D4AFCF7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274DA745" w14:textId="77777777" w:rsidR="00B202FC" w:rsidRPr="00380B24" w:rsidRDefault="00B202FC" w:rsidP="00B202FC">
      <w:pPr>
        <w:rPr>
          <w:noProof/>
          <w:sz w:val="16"/>
          <w:szCs w:val="20"/>
          <w:lang w:eastAsia="ja-JP"/>
        </w:rPr>
      </w:pPr>
      <w:r w:rsidRPr="00380B24">
        <w:rPr>
          <w:rStyle w:val="SourceChar"/>
          <w:rFonts w:eastAsiaTheme="minorEastAsia"/>
          <w:noProof/>
        </w:rPr>
        <w:t>Source: PPMI, Intellera Consulting and PwC (2024). Study to support the evaluation of the European Union Agency for Cybersecurity (ENISA) and the European Cybersecurity Certification Framework – Final Report. Survey of stakeholders, question 60: ‘Do you agree with the following statements’:’ Due to the delay in the adoption of European cybersecurity certification schemes, Member States alone could have enhanced the trust and awareness of citizens and businesses about cybersecurity of ICT products, processes and services more than what the ECCF has done’, ‘Due to the delay in the adoption of European cybersecurity certification schemes, Member States alone could have enhanced trust and confidence in the single market more than what the ECCF has done’ and ‘Due to the delay in the adoption of European cybersecurity certification schemes, Member States alone could have enhanced the overall transparency of ICT products and services, ensuring security by default and design and addressing vulnerabilities more than what the ECCF has done.’</w:t>
      </w:r>
    </w:p>
    <w:p w14:paraId="6916CA98" w14:textId="77777777" w:rsidR="00B202FC" w:rsidRPr="00380B24" w:rsidRDefault="00B202FC" w:rsidP="00B202FC">
      <w:pPr>
        <w:rPr>
          <w:noProof/>
        </w:rPr>
      </w:pPr>
      <w:r w:rsidRPr="00380B24">
        <w:rPr>
          <w:noProof/>
        </w:rPr>
        <w:t>In summary, the ECCF’s EU added value is widely recognised by stakeholders. The framework enables harmonised certification, increases trust and transparency and streamlines processes across the EU, achieving outcomes that would be difficult for Member States to accomplish on their own.</w:t>
      </w:r>
    </w:p>
    <w:p w14:paraId="0D78FDDF" w14:textId="2817DDFC" w:rsidR="00D52AD8" w:rsidRPr="00C57110" w:rsidRDefault="00D52AD8" w:rsidP="00D52AD8">
      <w:pPr>
        <w:pStyle w:val="Heading2"/>
        <w:rPr>
          <w:noProof/>
        </w:rPr>
      </w:pPr>
      <w:bookmarkStart w:id="639" w:name="_Toc218702636"/>
      <w:bookmarkStart w:id="640" w:name="_Toc219039559"/>
      <w:bookmarkStart w:id="641" w:name="_Toc219447462"/>
      <w:r w:rsidRPr="00C57110">
        <w:rPr>
          <w:noProof/>
        </w:rPr>
        <w:t>Targeted consultation (interviews)</w:t>
      </w:r>
      <w:bookmarkEnd w:id="639"/>
      <w:bookmarkEnd w:id="640"/>
      <w:bookmarkEnd w:id="641"/>
    </w:p>
    <w:p w14:paraId="75B01233" w14:textId="273A09DD" w:rsidR="00D52AD8" w:rsidRPr="00C57110" w:rsidRDefault="00D52AD8" w:rsidP="00D52AD8">
      <w:pPr>
        <w:rPr>
          <w:noProof/>
        </w:rPr>
      </w:pPr>
      <w:r w:rsidRPr="00C57110">
        <w:rPr>
          <w:noProof/>
        </w:rPr>
        <w:t>As part of the evaluation of ENISA and the ECCF, a structured interview programme was implemented to collect qualitative insights from key stakeholders. In total, 49 interviews were conducted for ENISA and 13 interviews for the ECCF, involving a diverse range of participants including ENISA staff</w:t>
      </w:r>
      <w:r w:rsidR="00B202FC" w:rsidRPr="00380B24">
        <w:rPr>
          <w:noProof/>
        </w:rPr>
        <w:t xml:space="preserve"> and</w:t>
      </w:r>
      <w:r w:rsidRPr="00C57110">
        <w:rPr>
          <w:noProof/>
        </w:rPr>
        <w:t xml:space="preserve"> representatives of the Commission, national cybersecurity authorities, industry associations and international organisations. The interviews were designed to complement the survey and the call for evidence by providing detailed perspectives on the implementation of ENISA’s mandate, the functioning of the ECCF and the practical challenges and opportunities encountered by those directly involved in the European cybersecurity ecosystem.</w:t>
      </w:r>
    </w:p>
    <w:p w14:paraId="7EB72596" w14:textId="77777777" w:rsidR="00D52AD8" w:rsidRPr="00C57110" w:rsidRDefault="00D52AD8" w:rsidP="00D52AD8">
      <w:pPr>
        <w:keepNext/>
        <w:rPr>
          <w:b/>
          <w:bCs/>
          <w:noProof/>
        </w:rPr>
      </w:pPr>
      <w:r w:rsidRPr="00C57110">
        <w:rPr>
          <w:b/>
          <w:bCs/>
          <w:noProof/>
        </w:rPr>
        <w:t>ENISA</w:t>
      </w:r>
    </w:p>
    <w:p w14:paraId="5455D8DD" w14:textId="77777777" w:rsidR="00B202FC" w:rsidRPr="00380B24" w:rsidRDefault="00B202FC" w:rsidP="00B202FC">
      <w:pPr>
        <w:rPr>
          <w:noProof/>
        </w:rPr>
      </w:pPr>
      <w:r w:rsidRPr="00380B24">
        <w:rPr>
          <w:noProof/>
        </w:rPr>
        <w:t>Interviewees consistently recognised ENISA’s changing and increasingly central role in the EU cybersecurity landscape. ENISA was widely regarded as a trusted coordinator and facilitator, particularly valued for its support to Member States, its expertise in policy implementation and its contribution to operational cooperation. However, resource constraints were frequently mentioned as a limiting factor, with stakeholders noting that ENISA’s expanding mandate and growing responsibilities were not always matched by adequate allocation or reallocation of financial and human resources. The agency’s matrix-based organisational model and its governance structure were viewed positively, but interviewees called for further strengthening of internal coordination and prioritisation mechanisms to manage periods of high workload and to ensure the efficient delivery of outputs. Stakeholders from national authorities and EU institutions emphasised ENISA’s valuable support in the implementation of cybersecurity policies, including the NIS Directive, the NIS2 Directive and sector-specific regulations. ENISA’s technical guidance, best practice-sharing and capacity-building initiatives were cited as particularly beneficial for smaller Member States and as being effective in harmonising approaches across the EU. However, some stakeholders expressed a need for more tailored, sector-specific guidance and for better dissemination of ENISA’s outputs to ensure they are taken up in practice by a wider range of stakeholders.</w:t>
      </w:r>
    </w:p>
    <w:p w14:paraId="7C6D8B65" w14:textId="77777777" w:rsidR="00B202FC" w:rsidRPr="00380B24" w:rsidRDefault="00B202FC" w:rsidP="00B202FC">
      <w:pPr>
        <w:rPr>
          <w:noProof/>
        </w:rPr>
      </w:pPr>
      <w:r w:rsidRPr="00380B24">
        <w:rPr>
          <w:noProof/>
        </w:rPr>
        <w:t>The interviews highlighted ENISA’s added value in fostering cooperation and knowledge-sharing among Member States, EU institutions and other stakeholders. The agency’s role as a facilitator of networks such as the CSIRTs network and EU-CyCLONe was also appreciated. Nonetheless, several interviewees identified areas for improvement, including the need for more structured and regular engagement with industry, SMEs and civil society, as well as greater transparency and inclusiveness in stakeholder consultations. Some stakeholders suggested that ENISA could further strengthen its engagement with international partners and standardisation bodies to augment the global relevance of EU cybersecurity policies and certification schemes.</w:t>
      </w:r>
    </w:p>
    <w:p w14:paraId="11899E3A" w14:textId="77777777" w:rsidR="00B202FC" w:rsidRPr="00380B24" w:rsidRDefault="00B202FC" w:rsidP="00B202FC">
      <w:pPr>
        <w:rPr>
          <w:noProof/>
        </w:rPr>
      </w:pPr>
      <w:r w:rsidRPr="00380B24">
        <w:rPr>
          <w:noProof/>
        </w:rPr>
        <w:t>Across all interviews, there was a clear call for greater clarity, flexibility and resourcing at both the EU and national levels. Stakeholders recommended beefing up ENISA’s mandate and resources to enable the agency to fulfil its expanding responsibilities, particularly in the areas of operational cooperation, policy support and certification scheme development. Suggestions included formalising ENISA’s leadership in key networks, improving internal coordination and increasing the frequency and depth of stakeholder engagement. Interviewees also emphasised the need for ongoing investment in capacity building, knowledge-sharing and the development of sector-specific guidance.</w:t>
      </w:r>
    </w:p>
    <w:p w14:paraId="7A8ED11C" w14:textId="77777777" w:rsidR="00D52AD8" w:rsidRPr="00C57110" w:rsidRDefault="00D52AD8" w:rsidP="00D52AD8">
      <w:pPr>
        <w:rPr>
          <w:b/>
          <w:noProof/>
        </w:rPr>
      </w:pPr>
      <w:r w:rsidRPr="00C57110">
        <w:rPr>
          <w:b/>
          <w:noProof/>
        </w:rPr>
        <w:t>ECCF</w:t>
      </w:r>
    </w:p>
    <w:p w14:paraId="53F90FF0" w14:textId="77777777" w:rsidR="00D52AD8" w:rsidRPr="00C57110" w:rsidRDefault="00D52AD8" w:rsidP="00D52AD8">
      <w:pPr>
        <w:rPr>
          <w:noProof/>
        </w:rPr>
      </w:pPr>
      <w:r w:rsidRPr="00C57110">
        <w:rPr>
          <w:noProof/>
        </w:rPr>
        <w:t>Interviewees provided detailed feedback on the implementation and governance of the ECCF. While the framework was recognised as a valuable tool for harmonising cybersecurity certification across the EU, stakeholders identified several challenges. Delays in the adoption of certification schemes, particularly the EUCC and EUCS, were attributed to complex technical requirements, political sensitivities and coordination difficulties among Member States and EU institutions. Industry representatives and national authorities expressed concerns about insufficient involvement in scheme development, limited transparency in decision-making processes and the need for clearer roles and responsibilities among key actors, including ENISA, the Commission and the ECCG and SCCG groups.</w:t>
      </w:r>
    </w:p>
    <w:p w14:paraId="14E55244" w14:textId="78993315" w:rsidR="00D52AD8" w:rsidRPr="00C57110" w:rsidRDefault="00D52AD8" w:rsidP="00D52AD8">
      <w:pPr>
        <w:rPr>
          <w:noProof/>
        </w:rPr>
      </w:pPr>
      <w:r w:rsidRPr="00C57110">
        <w:rPr>
          <w:noProof/>
        </w:rPr>
        <w:t xml:space="preserve">Interviewees also highlighted the importance of aligning certification schemes with international standards and ensuring </w:t>
      </w:r>
      <w:r w:rsidR="00B202FC" w:rsidRPr="00380B24">
        <w:rPr>
          <w:noProof/>
        </w:rPr>
        <w:t>consistency</w:t>
      </w:r>
      <w:r w:rsidRPr="00C57110">
        <w:rPr>
          <w:noProof/>
        </w:rPr>
        <w:t xml:space="preserve"> with other EU legislative instruments, such as the NIS2 Directive and the proposed CRA. The voluntary nature of schemes was not seen as a major </w:t>
      </w:r>
      <w:r w:rsidR="00B202FC" w:rsidRPr="00380B24">
        <w:rPr>
          <w:noProof/>
        </w:rPr>
        <w:t>problem</w:t>
      </w:r>
      <w:r w:rsidRPr="00C57110">
        <w:rPr>
          <w:noProof/>
        </w:rPr>
        <w:t>, but the lack of experience in developing certification schemes contributed to delays and uncertainty. Stakeholders called for more structured engagement in the framework through clear processes and realistic timelines, as well as for regular meetings with clear objectives and sufficient time to prepare.</w:t>
      </w:r>
    </w:p>
    <w:p w14:paraId="3C91B9A5" w14:textId="284997A1" w:rsidR="00D52AD8" w:rsidRPr="00C57110" w:rsidRDefault="00D52AD8" w:rsidP="00D52AD8">
      <w:pPr>
        <w:rPr>
          <w:noProof/>
        </w:rPr>
      </w:pPr>
      <w:r w:rsidRPr="00C57110">
        <w:rPr>
          <w:noProof/>
        </w:rPr>
        <w:t>There was a strong emphasis on the need for more effective mechanisms to resolve political and technical deadlocks during scheme development, as well as for greater transparency and information</w:t>
      </w:r>
      <w:r w:rsidR="00B202FC" w:rsidRPr="00380B24">
        <w:rPr>
          <w:noProof/>
        </w:rPr>
        <w:t>-</w:t>
      </w:r>
      <w:r w:rsidRPr="00C57110">
        <w:rPr>
          <w:noProof/>
        </w:rPr>
        <w:t>sharing throughout the process. Interviewees stressed that the ECCF’s added value would only be fully realised if these governance and operational challenges were addressed, enabling the framework to deliver on its promise of a harmonised and effective European cybersecurity certification landscape.</w:t>
      </w:r>
    </w:p>
    <w:p w14:paraId="3D8BB899" w14:textId="749FD740" w:rsidR="00D52AD8" w:rsidRPr="00C57110" w:rsidRDefault="00D52AD8" w:rsidP="00D52AD8">
      <w:pPr>
        <w:pStyle w:val="Heading2"/>
        <w:rPr>
          <w:noProof/>
        </w:rPr>
      </w:pPr>
      <w:bookmarkStart w:id="642" w:name="_Toc218702637"/>
      <w:bookmarkStart w:id="643" w:name="_Toc219039560"/>
      <w:bookmarkStart w:id="644" w:name="_Toc219447463"/>
      <w:r w:rsidRPr="00C57110">
        <w:rPr>
          <w:noProof/>
        </w:rPr>
        <w:t>SWOT and recommendations workshops</w:t>
      </w:r>
      <w:bookmarkEnd w:id="642"/>
      <w:bookmarkEnd w:id="643"/>
      <w:bookmarkEnd w:id="644"/>
    </w:p>
    <w:p w14:paraId="34358E43" w14:textId="2A4ABDA7" w:rsidR="00D52AD8" w:rsidRPr="00C57110" w:rsidRDefault="00D52AD8" w:rsidP="00D52AD8">
      <w:pPr>
        <w:pStyle w:val="Text1"/>
        <w:ind w:left="0"/>
        <w:rPr>
          <w:noProof/>
        </w:rPr>
      </w:pPr>
      <w:r w:rsidRPr="00C57110">
        <w:rPr>
          <w:noProof/>
        </w:rPr>
        <w:t>As part of the evaluation process for ENISA and the ECCF, two dedicated workshops were organised to facilitate collaborative analysis and gather targeted recommendations. These workshops brought together a wide range of stakeholders, including experts from academia</w:t>
      </w:r>
      <w:r w:rsidR="00B202FC" w:rsidRPr="00380B24">
        <w:rPr>
          <w:noProof/>
        </w:rPr>
        <w:t xml:space="preserve"> and</w:t>
      </w:r>
      <w:r w:rsidRPr="00C57110">
        <w:rPr>
          <w:noProof/>
        </w:rPr>
        <w:t xml:space="preserve"> representatives from ENISA, DG CNECT, Member States and the study team. The workshops were conducted online and structured to maximise technical exchange, validation of findings and the formulation of actionable suggestions for future improvements.</w:t>
      </w:r>
    </w:p>
    <w:p w14:paraId="059F8187" w14:textId="6BD3E36C" w:rsidR="00D52AD8" w:rsidRPr="00C57110" w:rsidRDefault="00D52AD8" w:rsidP="00D52AD8">
      <w:pPr>
        <w:pStyle w:val="Heading3"/>
        <w:rPr>
          <w:noProof/>
        </w:rPr>
      </w:pPr>
      <w:bookmarkStart w:id="645" w:name="_Toc218702638"/>
      <w:bookmarkStart w:id="646" w:name="_Toc219039561"/>
      <w:bookmarkStart w:id="647" w:name="_Toc219447464"/>
      <w:r w:rsidRPr="00C57110">
        <w:rPr>
          <w:noProof/>
        </w:rPr>
        <w:t>SWOT Workshop</w:t>
      </w:r>
      <w:bookmarkEnd w:id="645"/>
      <w:bookmarkEnd w:id="646"/>
      <w:bookmarkEnd w:id="647"/>
    </w:p>
    <w:p w14:paraId="06272B33" w14:textId="77777777" w:rsidR="00B202FC" w:rsidRPr="00380B24" w:rsidRDefault="00B202FC" w:rsidP="00B202FC">
      <w:pPr>
        <w:pStyle w:val="Text1"/>
        <w:ind w:left="0"/>
        <w:rPr>
          <w:noProof/>
        </w:rPr>
      </w:pPr>
      <w:r w:rsidRPr="00380B24">
        <w:rPr>
          <w:noProof/>
        </w:rPr>
        <w:t>The SWOT workshop was held on 21 May 2024 via MS Teams, with 32 participants, including six study team members. The objective was to conduct an analysis of ENISA and the ECCF, using data collated by the study team and direct input from stakeholders. The workshop aimed to improve understanding of the strengths, weaknesses, opportunities and threats facing both ENISA and the ECCF and to foster dialogue on potential improvements to the Cybersecurity Act.</w:t>
      </w:r>
    </w:p>
    <w:p w14:paraId="4285FA47" w14:textId="77777777" w:rsidR="00D52AD8" w:rsidRPr="00C57110" w:rsidRDefault="00D52AD8" w:rsidP="00B202FC">
      <w:pPr>
        <w:keepNext/>
        <w:rPr>
          <w:b/>
          <w:bCs/>
          <w:noProof/>
        </w:rPr>
      </w:pPr>
      <w:r w:rsidRPr="00C57110">
        <w:rPr>
          <w:b/>
          <w:bCs/>
          <w:noProof/>
        </w:rPr>
        <w:t>ENISA SWOT Results</w:t>
      </w:r>
    </w:p>
    <w:p w14:paraId="28DF425F" w14:textId="105A720F" w:rsidR="00D52AD8" w:rsidRPr="00C57110" w:rsidRDefault="00D52AD8" w:rsidP="00D52AD8">
      <w:pPr>
        <w:pStyle w:val="Text1"/>
        <w:ind w:left="0"/>
        <w:rPr>
          <w:noProof/>
        </w:rPr>
      </w:pPr>
      <w:r w:rsidRPr="00C57110">
        <w:rPr>
          <w:noProof/>
        </w:rPr>
        <w:t xml:space="preserve">Stakeholders confirmed the strengths identified by the study team, including ENISA’s positive reputation within the EU cybersecurity community, the quality of its publications, effective collaboration among Member States, harmonisation efforts and capacity building. </w:t>
      </w:r>
      <w:r w:rsidR="00B202FC" w:rsidRPr="00380B24">
        <w:rPr>
          <w:noProof/>
        </w:rPr>
        <w:t>Its weaknesses</w:t>
      </w:r>
      <w:r w:rsidRPr="00C57110">
        <w:rPr>
          <w:noProof/>
        </w:rPr>
        <w:t xml:space="preserve"> were also </w:t>
      </w:r>
      <w:r w:rsidR="00B202FC" w:rsidRPr="00380B24">
        <w:rPr>
          <w:noProof/>
        </w:rPr>
        <w:t>attested</w:t>
      </w:r>
      <w:r w:rsidRPr="00C57110">
        <w:rPr>
          <w:noProof/>
        </w:rPr>
        <w:t xml:space="preserve">, including resource </w:t>
      </w:r>
      <w:r w:rsidR="00B202FC" w:rsidRPr="00380B24">
        <w:rPr>
          <w:noProof/>
        </w:rPr>
        <w:t>shortages</w:t>
      </w:r>
      <w:r w:rsidRPr="00C57110">
        <w:rPr>
          <w:noProof/>
        </w:rPr>
        <w:t xml:space="preserve">, strategic rigidity, potential delays, lack of clarity </w:t>
      </w:r>
      <w:r w:rsidR="00B202FC" w:rsidRPr="00380B24">
        <w:rPr>
          <w:noProof/>
        </w:rPr>
        <w:t>of</w:t>
      </w:r>
      <w:r w:rsidRPr="00C57110">
        <w:rPr>
          <w:noProof/>
        </w:rPr>
        <w:t xml:space="preserve"> ENISA’s policy role and limited operational support. Opportunities identified included </w:t>
      </w:r>
      <w:r w:rsidR="00B202FC" w:rsidRPr="00380B24">
        <w:rPr>
          <w:noProof/>
        </w:rPr>
        <w:t>increased</w:t>
      </w:r>
      <w:r w:rsidRPr="00C57110">
        <w:rPr>
          <w:noProof/>
        </w:rPr>
        <w:t xml:space="preserve"> impact and services, collaborative training initiatives, </w:t>
      </w:r>
      <w:r w:rsidR="00B202FC" w:rsidRPr="00380B24">
        <w:rPr>
          <w:noProof/>
        </w:rPr>
        <w:t>the</w:t>
      </w:r>
      <w:r w:rsidRPr="00C57110">
        <w:rPr>
          <w:noProof/>
        </w:rPr>
        <w:t xml:space="preserve"> harmonisation</w:t>
      </w:r>
      <w:r w:rsidR="00B202FC" w:rsidRPr="00380B24">
        <w:rPr>
          <w:noProof/>
        </w:rPr>
        <w:t xml:space="preserve"> of standards</w:t>
      </w:r>
      <w:r w:rsidRPr="00C57110">
        <w:rPr>
          <w:noProof/>
        </w:rPr>
        <w:t xml:space="preserve">, policy engagement and an expanded mandate for more direct operational roles. Threats discussed included rapid technological advancement, </w:t>
      </w:r>
      <w:r w:rsidR="00B202FC" w:rsidRPr="00380B24">
        <w:rPr>
          <w:noProof/>
        </w:rPr>
        <w:t xml:space="preserve">the </w:t>
      </w:r>
      <w:r w:rsidRPr="00C57110">
        <w:rPr>
          <w:noProof/>
        </w:rPr>
        <w:t>proliferation of funding initiatives, unexpected resource constraints, complacency and geopolitical instability.</w:t>
      </w:r>
    </w:p>
    <w:p w14:paraId="1802026B" w14:textId="77777777" w:rsidR="00D52AD8" w:rsidRPr="00C57110" w:rsidRDefault="00D52AD8" w:rsidP="00D52AD8">
      <w:pPr>
        <w:rPr>
          <w:b/>
          <w:bCs/>
          <w:noProof/>
        </w:rPr>
      </w:pPr>
      <w:r w:rsidRPr="00C57110">
        <w:rPr>
          <w:b/>
          <w:bCs/>
          <w:noProof/>
        </w:rPr>
        <w:t>ECCF SWOT Results</w:t>
      </w:r>
    </w:p>
    <w:p w14:paraId="2023766D" w14:textId="78D65A60" w:rsidR="00D52AD8" w:rsidRPr="00C57110" w:rsidRDefault="00D52AD8" w:rsidP="00D52AD8">
      <w:pPr>
        <w:pStyle w:val="Text1"/>
        <w:ind w:left="0"/>
        <w:rPr>
          <w:noProof/>
        </w:rPr>
      </w:pPr>
      <w:r w:rsidRPr="00C57110">
        <w:rPr>
          <w:noProof/>
        </w:rPr>
        <w:t xml:space="preserve">The ECCF SWOT analysis was similarly </w:t>
      </w:r>
      <w:r w:rsidR="00B202FC" w:rsidRPr="00380B24">
        <w:rPr>
          <w:noProof/>
        </w:rPr>
        <w:t>confirmed</w:t>
      </w:r>
      <w:r w:rsidRPr="00C57110">
        <w:rPr>
          <w:noProof/>
        </w:rPr>
        <w:t xml:space="preserve"> by participants. Strengths included </w:t>
      </w:r>
      <w:r w:rsidR="00B202FC" w:rsidRPr="00380B24">
        <w:rPr>
          <w:noProof/>
        </w:rPr>
        <w:t>boosting</w:t>
      </w:r>
      <w:r w:rsidRPr="00C57110">
        <w:rPr>
          <w:noProof/>
        </w:rPr>
        <w:t xml:space="preserve"> cooperation at EU level, adaptability to evolving technologies and legislative frameworks, the ability to mobilise experts and contribute to </w:t>
      </w:r>
      <w:r w:rsidR="00B202FC" w:rsidRPr="00380B24">
        <w:rPr>
          <w:noProof/>
        </w:rPr>
        <w:t>the</w:t>
      </w:r>
      <w:r w:rsidRPr="00C57110">
        <w:rPr>
          <w:noProof/>
        </w:rPr>
        <w:t xml:space="preserve"> development</w:t>
      </w:r>
      <w:r w:rsidR="00B202FC" w:rsidRPr="00380B24">
        <w:rPr>
          <w:noProof/>
        </w:rPr>
        <w:t xml:space="preserve"> of standards</w:t>
      </w:r>
      <w:r w:rsidRPr="00C57110">
        <w:rPr>
          <w:noProof/>
        </w:rPr>
        <w:t xml:space="preserve">, ENISA’s capacity to ensure smooth scheme adoption, </w:t>
      </w:r>
      <w:r w:rsidR="00B202FC" w:rsidRPr="00380B24">
        <w:rPr>
          <w:noProof/>
        </w:rPr>
        <w:t xml:space="preserve">its </w:t>
      </w:r>
      <w:r w:rsidRPr="00C57110">
        <w:rPr>
          <w:noProof/>
        </w:rPr>
        <w:t xml:space="preserve">relevance for internal market objectives and the added value of </w:t>
      </w:r>
      <w:r w:rsidR="00B202FC" w:rsidRPr="00380B24">
        <w:rPr>
          <w:noProof/>
        </w:rPr>
        <w:t>EU action.</w:t>
      </w:r>
      <w:r w:rsidRPr="00C57110">
        <w:rPr>
          <w:noProof/>
        </w:rPr>
        <w:t xml:space="preserve"> Weaknesses </w:t>
      </w:r>
      <w:r w:rsidR="00B202FC" w:rsidRPr="00380B24">
        <w:rPr>
          <w:noProof/>
        </w:rPr>
        <w:t>raised were the</w:t>
      </w:r>
      <w:r w:rsidRPr="00C57110">
        <w:rPr>
          <w:noProof/>
        </w:rPr>
        <w:t xml:space="preserve"> time-consuming scheme adoption processes, complexity in scheme development, susceptibility to geopolitical pressure</w:t>
      </w:r>
      <w:r w:rsidR="00B202FC" w:rsidRPr="00380B24">
        <w:rPr>
          <w:noProof/>
        </w:rPr>
        <w:t xml:space="preserve"> and </w:t>
      </w:r>
      <w:r w:rsidRPr="00C57110">
        <w:rPr>
          <w:noProof/>
        </w:rPr>
        <w:t xml:space="preserve">policy priority changes, </w:t>
      </w:r>
      <w:r w:rsidR="00B202FC" w:rsidRPr="00380B24">
        <w:rPr>
          <w:noProof/>
        </w:rPr>
        <w:t xml:space="preserve">a </w:t>
      </w:r>
      <w:r w:rsidRPr="00C57110">
        <w:rPr>
          <w:noProof/>
        </w:rPr>
        <w:t xml:space="preserve">perceived lack of involvement of industry and external stakeholders and </w:t>
      </w:r>
      <w:r w:rsidR="00B202FC" w:rsidRPr="00380B24">
        <w:rPr>
          <w:noProof/>
        </w:rPr>
        <w:t xml:space="preserve">an </w:t>
      </w:r>
      <w:r w:rsidRPr="00C57110">
        <w:rPr>
          <w:noProof/>
        </w:rPr>
        <w:t>unproven capacity to support cybersecurity preparedness and transparency.</w:t>
      </w:r>
    </w:p>
    <w:p w14:paraId="6E4882A6" w14:textId="77777777" w:rsidR="00B202FC" w:rsidRPr="00380B24" w:rsidRDefault="00B202FC" w:rsidP="00B202FC">
      <w:pPr>
        <w:pStyle w:val="Text1"/>
        <w:ind w:left="0"/>
        <w:rPr>
          <w:noProof/>
        </w:rPr>
      </w:pPr>
      <w:r w:rsidRPr="00380B24">
        <w:rPr>
          <w:noProof/>
        </w:rPr>
        <w:t>Opportunities identified included greater flexibility and usefulness in tackling emerging threats such as artificial intelligence, strengthening Member State capabilities, the possibility of using certification as a presumption of conformity, potential mandatory requirements from upcoming legislation, the extension of its scope to managed security services, and providing impetus to standardisation processes. Threats included a lack of resources, potential shifts in policy priorities, increasing geopolitical instability, the risk of overlaps with other EU legislation and a risk of internal market distortions due to national cybersecurity requirements.</w:t>
      </w:r>
    </w:p>
    <w:p w14:paraId="37B997A5" w14:textId="28611511" w:rsidR="00D52AD8" w:rsidRPr="00C57110" w:rsidRDefault="00D52AD8" w:rsidP="00D52AD8">
      <w:pPr>
        <w:pStyle w:val="Heading3"/>
        <w:rPr>
          <w:noProof/>
        </w:rPr>
      </w:pPr>
      <w:bookmarkStart w:id="648" w:name="_Toc218702639"/>
      <w:bookmarkStart w:id="649" w:name="_Toc219039562"/>
      <w:bookmarkStart w:id="650" w:name="_Toc219447465"/>
      <w:r w:rsidRPr="00C57110">
        <w:rPr>
          <w:noProof/>
        </w:rPr>
        <w:t>Recommendations Workshop</w:t>
      </w:r>
      <w:bookmarkEnd w:id="648"/>
      <w:bookmarkEnd w:id="649"/>
      <w:bookmarkEnd w:id="650"/>
    </w:p>
    <w:p w14:paraId="65FB638A" w14:textId="5256062A" w:rsidR="00D52AD8" w:rsidRPr="00C57110" w:rsidRDefault="00D52AD8" w:rsidP="00D52AD8">
      <w:pPr>
        <w:rPr>
          <w:noProof/>
        </w:rPr>
      </w:pPr>
      <w:r w:rsidRPr="00C57110">
        <w:rPr>
          <w:noProof/>
        </w:rPr>
        <w:t>The recommendations workshop took place on 12</w:t>
      </w:r>
      <w:r w:rsidR="00B202FC" w:rsidRPr="00380B24">
        <w:rPr>
          <w:noProof/>
        </w:rPr>
        <w:t> </w:t>
      </w:r>
      <w:r w:rsidRPr="00C57110">
        <w:rPr>
          <w:noProof/>
        </w:rPr>
        <w:t>July 2024, also via MS Teams, with 77 participants</w:t>
      </w:r>
      <w:r w:rsidR="00B202FC" w:rsidRPr="00380B24">
        <w:rPr>
          <w:noProof/>
        </w:rPr>
        <w:t>,</w:t>
      </w:r>
      <w:r w:rsidRPr="00C57110">
        <w:rPr>
          <w:noProof/>
        </w:rPr>
        <w:t xml:space="preserve"> including seven study team members. The aim was to gather ideas for improving the performance of ENISA and the ECCF, drawing on the evaluation results and stakeholder input. </w:t>
      </w:r>
    </w:p>
    <w:p w14:paraId="782693B9" w14:textId="77777777" w:rsidR="00D52AD8" w:rsidRPr="00C57110" w:rsidRDefault="00D52AD8" w:rsidP="00D52AD8">
      <w:pPr>
        <w:rPr>
          <w:b/>
          <w:bCs/>
          <w:noProof/>
        </w:rPr>
      </w:pPr>
      <w:r w:rsidRPr="00C57110">
        <w:rPr>
          <w:b/>
          <w:bCs/>
          <w:noProof/>
        </w:rPr>
        <w:t>ENISA Recommendations</w:t>
      </w:r>
    </w:p>
    <w:p w14:paraId="43E8EA98" w14:textId="77777777" w:rsidR="00B202FC" w:rsidRPr="00380B24" w:rsidRDefault="00B202FC" w:rsidP="00B202FC">
      <w:pPr>
        <w:pStyle w:val="Text1"/>
        <w:ind w:left="0"/>
        <w:rPr>
          <w:noProof/>
        </w:rPr>
      </w:pPr>
      <w:r w:rsidRPr="00380B24">
        <w:rPr>
          <w:noProof/>
        </w:rPr>
        <w:t>Polling results showed an average score of 3.9 (on a scale from 1 (not at all) to 5 (completely/fully agree)), indicating general agreement with the evaluation findings but with some reservations, particularly regarding efficiency and internal governance. Stakeholders emphasised the need for adequate financial resources and stressed the importance of maintaining a clear focus within the mandate to avoid resource dilution. Coordination with other bodies such as ECCC, EU-CyCLONe and CSIRT was highlighted as a way of avoiding duplication and improving efficiency.</w:t>
      </w:r>
    </w:p>
    <w:p w14:paraId="597C96EB" w14:textId="77777777" w:rsidR="00B202FC" w:rsidRPr="00380B24" w:rsidRDefault="00B202FC" w:rsidP="00B202FC">
      <w:pPr>
        <w:pStyle w:val="Text1"/>
        <w:ind w:left="0"/>
        <w:rPr>
          <w:noProof/>
        </w:rPr>
      </w:pPr>
      <w:r w:rsidRPr="00380B24">
        <w:rPr>
          <w:noProof/>
        </w:rPr>
        <w:t>Suggestions for governance included creating platforms for Member States to share information, streamlining the production of reports and balancing ENISA’s advisory and executive roles. The importance of seconded members from Member States for increasing alignment with national priorities was noted, though retaining qualified staff remains a challenge. Stakeholder engagement should be efficient and tailored to different audiences, with feedback systematically incorporated into future planning.</w:t>
      </w:r>
    </w:p>
    <w:p w14:paraId="1BB69D13" w14:textId="77777777" w:rsidR="00B202FC" w:rsidRPr="00380B24" w:rsidRDefault="00B202FC" w:rsidP="00B202FC">
      <w:pPr>
        <w:pStyle w:val="Text1"/>
        <w:ind w:left="0"/>
        <w:rPr>
          <w:noProof/>
        </w:rPr>
      </w:pPr>
      <w:r w:rsidRPr="00380B24">
        <w:rPr>
          <w:noProof/>
        </w:rPr>
        <w:t>ENISA’s position in the EU cybersecurity landscape could be strengthened by it prioritising services and support to Member States, acting as an impartial facilitator and fostering robust cooperation with bodies such as the ECCC. Suggestions were also made for ENISA to establish cooperation with US entities such as MITRE</w:t>
      </w:r>
      <w:r w:rsidRPr="00380B24">
        <w:rPr>
          <w:rStyle w:val="FootnoteReference"/>
          <w:noProof/>
        </w:rPr>
        <w:footnoteReference w:id="286"/>
      </w:r>
      <w:r w:rsidRPr="00380B24">
        <w:rPr>
          <w:noProof/>
        </w:rPr>
        <w:t xml:space="preserve"> and NIST (regarding the NVD)</w:t>
      </w:r>
      <w:r w:rsidRPr="00380B24">
        <w:rPr>
          <w:rStyle w:val="FootnoteReference"/>
          <w:noProof/>
        </w:rPr>
        <w:footnoteReference w:id="287"/>
      </w:r>
      <w:r w:rsidRPr="00380B24">
        <w:rPr>
          <w:noProof/>
        </w:rPr>
        <w:t xml:space="preserve"> to improve threat intelligence and vulnerability management.</w:t>
      </w:r>
    </w:p>
    <w:p w14:paraId="02CA79F6" w14:textId="77777777" w:rsidR="00D52AD8" w:rsidRPr="00C57110" w:rsidRDefault="00D52AD8" w:rsidP="00D52AD8">
      <w:pPr>
        <w:keepNext/>
        <w:rPr>
          <w:b/>
          <w:bCs/>
          <w:noProof/>
        </w:rPr>
      </w:pPr>
      <w:r w:rsidRPr="00C57110">
        <w:rPr>
          <w:b/>
          <w:bCs/>
          <w:noProof/>
        </w:rPr>
        <w:t>ECCF Recommendations</w:t>
      </w:r>
    </w:p>
    <w:p w14:paraId="2CB593B5" w14:textId="49376BAC" w:rsidR="00D52AD8" w:rsidRPr="00C57110" w:rsidRDefault="00D52AD8" w:rsidP="00D52AD8">
      <w:pPr>
        <w:pStyle w:val="Text1"/>
        <w:ind w:left="0"/>
        <w:rPr>
          <w:noProof/>
        </w:rPr>
      </w:pPr>
      <w:r w:rsidRPr="00C57110">
        <w:rPr>
          <w:noProof/>
        </w:rPr>
        <w:t>Polling results for the ECCF averaged 3.8</w:t>
      </w:r>
      <w:r w:rsidR="00B202FC" w:rsidRPr="00380B24">
        <w:rPr>
          <w:noProof/>
        </w:rPr>
        <w:t xml:space="preserve"> (on a scale from 1 to 5),</w:t>
      </w:r>
      <w:r w:rsidRPr="00C57110">
        <w:rPr>
          <w:noProof/>
        </w:rPr>
        <w:t xml:space="preserve"> indicating general agreement with the evaluation findings, but </w:t>
      </w:r>
      <w:r w:rsidR="00B202FC" w:rsidRPr="00380B24">
        <w:rPr>
          <w:noProof/>
        </w:rPr>
        <w:t>revealed more disparate</w:t>
      </w:r>
      <w:r w:rsidRPr="00C57110">
        <w:rPr>
          <w:noProof/>
        </w:rPr>
        <w:t xml:space="preserve"> views on coherence and added value. Discussions focused on the future purpose and scope of EU certification, with participants divided on whether the ECCF should address non-technical threats. Some </w:t>
      </w:r>
      <w:r w:rsidR="00B202FC" w:rsidRPr="00380B24">
        <w:rPr>
          <w:noProof/>
        </w:rPr>
        <w:t>argued</w:t>
      </w:r>
      <w:r w:rsidRPr="00C57110">
        <w:rPr>
          <w:noProof/>
        </w:rPr>
        <w:t xml:space="preserve"> for keeping the framework technical while others saw value in using certification to address strategic issues.</w:t>
      </w:r>
    </w:p>
    <w:p w14:paraId="3935B83E" w14:textId="29898637" w:rsidR="00D52AD8" w:rsidRPr="002F7A4D" w:rsidRDefault="00B202FC" w:rsidP="00D52AD8">
      <w:pPr>
        <w:pStyle w:val="Text1"/>
        <w:ind w:left="0"/>
        <w:rPr>
          <w:noProof/>
        </w:rPr>
      </w:pPr>
      <w:r w:rsidRPr="00380B24">
        <w:rPr>
          <w:noProof/>
        </w:rPr>
        <w:t>Process improvements were suggested across all stages of scheme development, including early preliminary assessments, realistic timeframes, increased involvement of the ECCG and early legal advice from the Commission. Greater independence for ENISA in scheme development and limiting political elements were also recommended. Simplifying administrative processes and considering the elimination of implementing acts for voluntary schemes were proposed to streamline adoption. Participants discussed the future roles of stakeholders, including the role of the ECCG in the maintenance of the schemes. Alignment with existing standardisation efforts was emphasised, as was the need for more industry involvement and input from independent experts.</w:t>
      </w:r>
      <w:r w:rsidRPr="00A12133">
        <w:rPr>
          <w:noProof/>
        </w:rPr>
        <w:t xml:space="preserve"> </w:t>
      </w:r>
    </w:p>
    <w:p w14:paraId="5CEA06A0" w14:textId="77777777" w:rsidR="00D52AD8" w:rsidRPr="00F5382B" w:rsidRDefault="00D52AD8" w:rsidP="00D52AD8">
      <w:pPr>
        <w:spacing w:after="120"/>
        <w:textAlignment w:val="baseline"/>
        <w:rPr>
          <w:rFonts w:eastAsia="Times New Roman"/>
          <w:noProof/>
          <w:lang w:val="en-IE" w:eastAsia="en-IE"/>
        </w:rPr>
      </w:pPr>
    </w:p>
    <w:p w14:paraId="53C026DD" w14:textId="190D1BBE" w:rsidR="00EE3DF9" w:rsidRPr="00F5382B" w:rsidRDefault="00D52AD8" w:rsidP="00D52AD8">
      <w:pPr>
        <w:pStyle w:val="AnnexTitle0"/>
        <w:rPr>
          <w:noProof/>
        </w:rPr>
      </w:pPr>
      <w:r w:rsidRPr="00F5382B">
        <w:rPr>
          <w:noProof/>
        </w:rPr>
        <w:br w:type="page"/>
      </w:r>
    </w:p>
    <w:p w14:paraId="0D9FCFCB" w14:textId="77777777" w:rsidR="00EE3DF9" w:rsidRPr="00F5382B" w:rsidRDefault="00EE3DF9" w:rsidP="00EE3DF9">
      <w:pPr>
        <w:pStyle w:val="AnnexTitle0"/>
        <w:rPr>
          <w:noProof/>
        </w:rPr>
      </w:pPr>
      <w:bookmarkStart w:id="651" w:name="_Toc218767789"/>
      <w:bookmarkStart w:id="652" w:name="_Toc219039563"/>
      <w:bookmarkStart w:id="653" w:name="_Toc219447466"/>
      <w:r w:rsidRPr="00F5382B">
        <w:rPr>
          <w:noProof/>
        </w:rPr>
        <w:t>Annex 9: Regulatory gaps</w:t>
      </w:r>
      <w:bookmarkEnd w:id="651"/>
      <w:bookmarkEnd w:id="652"/>
      <w:bookmarkEnd w:id="653"/>
    </w:p>
    <w:p w14:paraId="46F35A9D" w14:textId="77777777" w:rsidR="00EE3DF9" w:rsidRPr="00F5382B" w:rsidRDefault="00EE3DF9" w:rsidP="00EE3DF9">
      <w:pPr>
        <w:spacing w:after="120"/>
        <w:rPr>
          <w:noProof/>
          <w:lang w:val="en-IE"/>
        </w:rPr>
      </w:pPr>
      <w:r w:rsidRPr="00F5382B">
        <w:rPr>
          <w:noProof/>
          <w:lang w:eastAsia="en-GB"/>
        </w:rPr>
        <w:drawing>
          <wp:anchor distT="0" distB="0" distL="114300" distR="114300" simplePos="0" relativeHeight="251658243" behindDoc="0" locked="0" layoutInCell="1" allowOverlap="1" wp14:anchorId="461C37FC" wp14:editId="439CA7BF">
            <wp:simplePos x="0" y="0"/>
            <wp:positionH relativeFrom="column">
              <wp:posOffset>-569595</wp:posOffset>
            </wp:positionH>
            <wp:positionV relativeFrom="paragraph">
              <wp:posOffset>1761490</wp:posOffset>
            </wp:positionV>
            <wp:extent cx="6745605" cy="3794125"/>
            <wp:effectExtent l="0" t="0" r="0" b="0"/>
            <wp:wrapTopAndBottom/>
            <wp:docPr id="381339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39526" name=""/>
                    <pic:cNvPicPr/>
                  </pic:nvPicPr>
                  <pic:blipFill>
                    <a:blip r:embed="rId157">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58"/>
                        </a:ext>
                      </a:extLst>
                    </a:blip>
                    <a:stretch>
                      <a:fillRect/>
                    </a:stretch>
                  </pic:blipFill>
                  <pic:spPr>
                    <a:xfrm>
                      <a:off x="0" y="0"/>
                      <a:ext cx="6745605" cy="3794125"/>
                    </a:xfrm>
                    <a:prstGeom prst="rect">
                      <a:avLst/>
                    </a:prstGeom>
                  </pic:spPr>
                </pic:pic>
              </a:graphicData>
            </a:graphic>
            <wp14:sizeRelH relativeFrom="page">
              <wp14:pctWidth>0</wp14:pctWidth>
            </wp14:sizeRelH>
            <wp14:sizeRelV relativeFrom="page">
              <wp14:pctHeight>0</wp14:pctHeight>
            </wp14:sizeRelV>
          </wp:anchor>
        </w:drawing>
      </w:r>
      <w:r w:rsidRPr="00F5382B">
        <w:rPr>
          <w:noProof/>
        </w:rPr>
        <w:t>Since the adoption of the CSA in 2019, the cybersecurity threat landscape has changed significantly with the increasing sophistication and speed of cyber-attacks, impact of emerging and advanced technologies. The EU cybersecurity regulatory landscape evolved considerably since 2019 (and the adoption of the CSA), with of key legislative acts, recommendations and policies like the NIS2 Directive, Cyber Resilience Act (CRA) and Cyber Solidarity Act (CSoA), the EU Cyber Blueprint, the 5G Cybersecurity Toolbox and the Cybersecurity Skills Academy. There are also other sectoral legislations that include elements relevant to support cybersecurity objectives. Each of the instruments is filling regulatory gaps or setting new policy objectives. The interplay between those new instruments and the CSA is presented in the picture below.</w:t>
      </w:r>
      <w:r w:rsidRPr="00F5382B">
        <w:rPr>
          <w:noProof/>
          <w:lang w:val="en-IE"/>
        </w:rPr>
        <w:t> </w:t>
      </w:r>
    </w:p>
    <w:p w14:paraId="00E817E6" w14:textId="4DAE8ABA" w:rsidR="00EE3DF9" w:rsidRPr="00F5382B" w:rsidRDefault="00EE3DF9" w:rsidP="00E5147D">
      <w:pPr>
        <w:pStyle w:val="Caption"/>
        <w:rPr>
          <w:i w:val="0"/>
          <w:iCs w:val="0"/>
          <w:noProof/>
          <w:lang w:val="en-IE"/>
        </w:rPr>
      </w:pPr>
      <w:bookmarkStart w:id="654" w:name="_Toc219447500"/>
      <w:r w:rsidRPr="00F5382B">
        <w:rPr>
          <w:noProof/>
        </w:rPr>
        <w:t>Figure</w:t>
      </w:r>
      <w:r w:rsidR="00576BAB">
        <w:rPr>
          <w:noProof/>
        </w:rPr>
        <w:t xml:space="preserve"> 29</w:t>
      </w:r>
      <w:r w:rsidRPr="00F5382B">
        <w:rPr>
          <w:noProof/>
        </w:rPr>
        <w:t xml:space="preserve"> Cybersecurity regulatory landscape and the place of CSA (2025 before CSA revision)</w:t>
      </w:r>
      <w:bookmarkEnd w:id="654"/>
      <w:r w:rsidRPr="00F5382B">
        <w:rPr>
          <w:i w:val="0"/>
          <w:iCs w:val="0"/>
          <w:noProof/>
          <w:lang w:val="en-IE"/>
        </w:rPr>
        <w:t> </w:t>
      </w:r>
    </w:p>
    <w:p w14:paraId="62E98461" w14:textId="77777777" w:rsidR="00EE3DF9" w:rsidRPr="00F5382B" w:rsidRDefault="00EE3DF9" w:rsidP="00D52AD8">
      <w:pPr>
        <w:pStyle w:val="ListParagraph"/>
        <w:numPr>
          <w:ilvl w:val="0"/>
          <w:numId w:val="106"/>
        </w:numPr>
        <w:spacing w:after="120"/>
        <w:ind w:left="357" w:hanging="357"/>
        <w:contextualSpacing w:val="0"/>
        <w:rPr>
          <w:noProof/>
        </w:rPr>
      </w:pPr>
      <w:r w:rsidRPr="00F5382B">
        <w:rPr>
          <w:noProof/>
        </w:rPr>
        <w:t xml:space="preserve">More specifically, the following main regulatory gaps were identified:  </w:t>
      </w:r>
    </w:p>
    <w:p w14:paraId="3388756D" w14:textId="77777777" w:rsidR="00EE3DF9" w:rsidRPr="00F5382B" w:rsidRDefault="00EE3DF9" w:rsidP="00EE3DF9">
      <w:pPr>
        <w:pStyle w:val="ListParagraph"/>
        <w:numPr>
          <w:ilvl w:val="1"/>
          <w:numId w:val="40"/>
        </w:numPr>
        <w:spacing w:after="120"/>
        <w:ind w:left="425" w:hanging="357"/>
        <w:contextualSpacing w:val="0"/>
        <w:rPr>
          <w:noProof/>
        </w:rPr>
      </w:pPr>
      <w:r w:rsidRPr="00F5382B">
        <w:rPr>
          <w:b/>
          <w:bCs/>
          <w:noProof/>
        </w:rPr>
        <w:t xml:space="preserve">The </w:t>
      </w:r>
      <w:r w:rsidRPr="00F5382B">
        <w:rPr>
          <w:b/>
          <w:noProof/>
        </w:rPr>
        <w:t>Cybersecurity Act (2019)</w:t>
      </w:r>
      <w:r w:rsidRPr="00F5382B">
        <w:rPr>
          <w:noProof/>
        </w:rPr>
        <w:t xml:space="preserve"> provides for an </w:t>
      </w:r>
      <w:r w:rsidRPr="00F5382B">
        <w:rPr>
          <w:b/>
          <w:bCs/>
          <w:i/>
          <w:iCs/>
          <w:noProof/>
        </w:rPr>
        <w:t>ENISA mandate</w:t>
      </w:r>
      <w:r w:rsidRPr="00F5382B">
        <w:rPr>
          <w:noProof/>
        </w:rPr>
        <w:t xml:space="preserve"> and sets a framework (</w:t>
      </w:r>
      <w:r w:rsidRPr="00F5382B">
        <w:rPr>
          <w:b/>
          <w:bCs/>
          <w:i/>
          <w:iCs/>
          <w:noProof/>
        </w:rPr>
        <w:t xml:space="preserve">ECCF) </w:t>
      </w:r>
      <w:r w:rsidRPr="00F5382B">
        <w:rPr>
          <w:noProof/>
        </w:rPr>
        <w:t>for the development, at EU level, of voluntary European cybersecurity certification schemes</w:t>
      </w:r>
      <w:r w:rsidRPr="00F5382B">
        <w:rPr>
          <w:b/>
          <w:bCs/>
          <w:i/>
          <w:iCs/>
          <w:noProof/>
        </w:rPr>
        <w:t xml:space="preserve"> </w:t>
      </w:r>
      <w:r w:rsidRPr="00F5382B">
        <w:rPr>
          <w:noProof/>
        </w:rPr>
        <w:t>for specific ICT products, services, processes, and, through a later amendment, for managed security services, to ensure an adequate level of cybersecurity and avoid fragmentation and for which ENISA plays a key role.</w:t>
      </w:r>
    </w:p>
    <w:p w14:paraId="150DA307" w14:textId="77777777" w:rsidR="00EE3DF9" w:rsidRPr="00F5382B" w:rsidRDefault="00EE3DF9" w:rsidP="00EE3DF9">
      <w:pPr>
        <w:spacing w:after="120"/>
        <w:ind w:left="425"/>
        <w:rPr>
          <w:i/>
          <w:noProof/>
          <w:u w:val="single"/>
        </w:rPr>
      </w:pPr>
      <w:r w:rsidRPr="00F5382B">
        <w:rPr>
          <w:i/>
          <w:iCs/>
          <w:noProof/>
          <w:u w:val="single"/>
        </w:rPr>
        <w:t xml:space="preserve">Limitations of the mandate of ENISA: </w:t>
      </w:r>
    </w:p>
    <w:p w14:paraId="47340182" w14:textId="77777777" w:rsidR="00EE3DF9" w:rsidRPr="00F5382B" w:rsidRDefault="00EE3DF9" w:rsidP="00EE3DF9">
      <w:pPr>
        <w:pStyle w:val="ListParagraph"/>
        <w:numPr>
          <w:ilvl w:val="2"/>
          <w:numId w:val="40"/>
        </w:numPr>
        <w:spacing w:after="120"/>
        <w:ind w:left="1071" w:hanging="357"/>
        <w:contextualSpacing w:val="0"/>
        <w:rPr>
          <w:noProof/>
        </w:rPr>
      </w:pPr>
      <w:r w:rsidRPr="211C3D34">
        <w:rPr>
          <w:b/>
          <w:bCs/>
          <w:noProof/>
        </w:rPr>
        <w:t xml:space="preserve">ENISA’s mandate does not provide for the possibility to effectively support </w:t>
      </w:r>
      <w:r w:rsidRPr="00F5382B">
        <w:rPr>
          <w:b/>
          <w:bCs/>
          <w:noProof/>
        </w:rPr>
        <w:t xml:space="preserve">Member States in mutual assistance and </w:t>
      </w:r>
      <w:r w:rsidRPr="211C3D34">
        <w:rPr>
          <w:b/>
          <w:bCs/>
          <w:noProof/>
        </w:rPr>
        <w:t>information exchange at EU level for potential cross border incidents</w:t>
      </w:r>
      <w:r w:rsidRPr="00F5382B">
        <w:rPr>
          <w:noProof/>
        </w:rPr>
        <w:t>. Meanwhile, capabilities are uneven in Member States: a number of Member States already have large cyber agencies, less mature Member States lack the capacity. With an average 179% percent increase in supply chain attacks</w:t>
      </w:r>
      <w:r w:rsidRPr="00F5382B">
        <w:rPr>
          <w:rStyle w:val="FootnoteReference"/>
          <w:noProof/>
        </w:rPr>
        <w:footnoteReference w:id="288"/>
      </w:r>
      <w:r w:rsidRPr="00F5382B">
        <w:rPr>
          <w:noProof/>
        </w:rPr>
        <w:t xml:space="preserve"> (which by nature are cross border) and where the time to exploit due to Artificial Intelligence is significantly shorter, Member States cybersecurity agencies and CSIRTs need to share even faster information about incidents (e.g. indicators of compromise) as well as mitigation measures with critical entities. Discussions in the NIS Cooperation Group on the implementation of supervision and mutual assistance revealed that “</w:t>
      </w:r>
      <w:r w:rsidRPr="211C3D34">
        <w:rPr>
          <w:i/>
          <w:iCs/>
          <w:noProof/>
        </w:rPr>
        <w:t>Member States face difficulties in applying this provision in the absence of standardised procedures and coordination efforts</w:t>
      </w:r>
      <w:r w:rsidRPr="00F5382B">
        <w:rPr>
          <w:i/>
          <w:iCs/>
          <w:noProof/>
        </w:rPr>
        <w:t>”</w:t>
      </w:r>
      <w:r w:rsidRPr="00F5382B">
        <w:rPr>
          <w:noProof/>
        </w:rPr>
        <w:t xml:space="preserve"> at Union level. </w:t>
      </w:r>
    </w:p>
    <w:p w14:paraId="312ABA62"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b/>
          <w:bCs/>
          <w:noProof/>
        </w:rPr>
        <w:t xml:space="preserve">Lack of efficient tools and mandate of ENISA for EU wide situational awareness on cybersecurity: </w:t>
      </w:r>
      <w:r w:rsidRPr="00F5382B">
        <w:rPr>
          <w:noProof/>
        </w:rPr>
        <w:t>Today, the cyber situational awareness is fragmented along national lines. Additionally, after Brexit, the EU is not part of the main intelligence network (the 5 eyes agreement between the US, CAN, UK, NZ and AU). There is therefore an urgent need to build up a European capacity for a shared and agreed EU cyber situational awareness. Given the sensitivities of Member States on information exchange, it is considered that – ENISA operating within</w:t>
      </w:r>
      <w:r w:rsidRPr="00F5382B">
        <w:rPr>
          <w:b/>
          <w:bCs/>
          <w:noProof/>
        </w:rPr>
        <w:t xml:space="preserve"> </w:t>
      </w:r>
      <w:r w:rsidRPr="00F5382B">
        <w:rPr>
          <w:noProof/>
        </w:rPr>
        <w:t xml:space="preserve">a hybrid governance with Member States – is more acceptable for Member States than any other more structural change that would be granted to the Commission. Empowering ENISA with such a competence appears therefore to be the least resistance path to increase cyber posture. However, the current mandate of ENISA does not provide for a clear task, adequate tools or a stable resourcing to effectively support and bring significant added value to the </w:t>
      </w:r>
      <w:r w:rsidRPr="00F5382B">
        <w:rPr>
          <w:b/>
          <w:noProof/>
        </w:rPr>
        <w:t>operational cooperation</w:t>
      </w:r>
      <w:r w:rsidRPr="00F5382B">
        <w:rPr>
          <w:noProof/>
        </w:rPr>
        <w:t xml:space="preserve"> among Member States such as the shared Union situational awareness of the cybersecurity threat landscape.</w:t>
      </w:r>
    </w:p>
    <w:p w14:paraId="4F3D197E"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b/>
          <w:bCs/>
          <w:noProof/>
        </w:rPr>
        <w:t xml:space="preserve">Dependency on a single third country’s vulnerability management system: </w:t>
      </w:r>
      <w:r w:rsidRPr="00F5382B">
        <w:rPr>
          <w:noProof/>
        </w:rPr>
        <w:t>The publicly available catalogue</w:t>
      </w:r>
      <w:r w:rsidRPr="00F5382B">
        <w:rPr>
          <w:b/>
          <w:bCs/>
          <w:noProof/>
        </w:rPr>
        <w:t xml:space="preserve"> </w:t>
      </w:r>
      <w:r w:rsidRPr="00F5382B">
        <w:rPr>
          <w:noProof/>
        </w:rPr>
        <w:t>Common Vulnerabilities and Exposure (CVE) is a key element of vulnerability management and essential for cybersecurity risk management worldwide as it keeps an updated repository of known vulnerabilities, including a unique identifier and patches (where they exist). Today, CVE is the global reference standard and depends on a repository run by a US association – MITRE – which is dependent on the US government funding. This creates a strong dependency of and single point of failure for the EU cybersecurity ecosystem. The recent threats to the funding of MITRE have highlighted the urgency and importance of ensuring a European equivalent system and reducing this strategic dependency. Today, the current mandate of ENISA does not allow for ENISA to play a more prominent role in the vulnerability management at Union level and the CVE process on international level.</w:t>
      </w:r>
    </w:p>
    <w:p w14:paraId="7607D315"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b/>
          <w:bCs/>
          <w:noProof/>
        </w:rPr>
        <w:t>Lack of effective framework to support closing the cybersecurity talent and associated skills gap</w:t>
      </w:r>
      <w:r w:rsidRPr="211C3D34">
        <w:rPr>
          <w:b/>
          <w:bCs/>
          <w:noProof/>
        </w:rPr>
        <w:t>:</w:t>
      </w:r>
      <w:r w:rsidRPr="00F5382B">
        <w:rPr>
          <w:noProof/>
        </w:rPr>
        <w:t xml:space="preserve"> the gap in the cybersecurity workforce grew from an estimated 274,000 in 2023 to 299,000 in 2024</w:t>
      </w:r>
      <w:r w:rsidRPr="00F5382B">
        <w:rPr>
          <w:rStyle w:val="FootnoteReference"/>
          <w:noProof/>
        </w:rPr>
        <w:footnoteReference w:id="289"/>
      </w:r>
      <w:r w:rsidRPr="00F5382B">
        <w:rPr>
          <w:noProof/>
        </w:rPr>
        <w:t>. What is more, the companies, and especially SMEs encounter difficulties to hire people with adequate competences in cybersecurity</w:t>
      </w:r>
      <w:r w:rsidRPr="00F5382B">
        <w:rPr>
          <w:rStyle w:val="FootnoteReference"/>
          <w:noProof/>
        </w:rPr>
        <w:footnoteReference w:id="290"/>
      </w:r>
      <w:r w:rsidRPr="00F5382B">
        <w:rPr>
          <w:noProof/>
        </w:rPr>
        <w:t xml:space="preserve">.  ENISA’s current mandate on skills is limited to capacity-building activities and lacks appropriate tools and resources to effectively promote the European Cybersecurity Skills Framework among stakeholders (Member States, industry, academia), nor to ensure that the ECSF is the reference framework to the skills and competencies recognition associated to cybersecurity role profiles. Currently, individual certifications recognised on the market are rather coming from a handful of non-European private players and prove expensive for individuals to obtain. A mandate for ENISA does not allow to run an EU attestation mechanism that could be used by individuals to demonstrate having cybersecurity competences and skills and for Member States and industry to have a clear reference framework. </w:t>
      </w:r>
    </w:p>
    <w:p w14:paraId="2539C471" w14:textId="77777777" w:rsidR="00EE3DF9" w:rsidRPr="00F5382B" w:rsidRDefault="00EE3DF9" w:rsidP="00EE3DF9">
      <w:pPr>
        <w:pStyle w:val="ListParagraph"/>
        <w:numPr>
          <w:ilvl w:val="2"/>
          <w:numId w:val="40"/>
        </w:numPr>
        <w:spacing w:after="120"/>
        <w:ind w:left="1071" w:hanging="357"/>
        <w:contextualSpacing w:val="0"/>
        <w:rPr>
          <w:rFonts w:eastAsia="Segoe UI"/>
          <w:noProof/>
        </w:rPr>
      </w:pPr>
      <w:r w:rsidRPr="00F5382B">
        <w:rPr>
          <w:b/>
          <w:bCs/>
          <w:noProof/>
        </w:rPr>
        <w:t>Lack of tasks to support European and international standardisation</w:t>
      </w:r>
      <w:r w:rsidRPr="211C3D34">
        <w:rPr>
          <w:b/>
          <w:bCs/>
          <w:noProof/>
        </w:rPr>
        <w:t xml:space="preserve"> work related to the CRA, the ECCF as well as to the efforts to EU-US work on ensuring mutual recognition of cybersecurity standards. </w:t>
      </w:r>
      <w:r w:rsidRPr="00F5382B">
        <w:rPr>
          <w:noProof/>
        </w:rPr>
        <w:t>Standards play an essential role in facilitating compliance and supporting industry in the implementation of cybersecurity policy at European level. It is also a cornerstone to promote technical alignment and mutual recognition with important international partners, such as the United States, as outlined in the 2025 EU US Joint Statement on transatlantic trade and investment</w:t>
      </w:r>
      <w:r w:rsidRPr="00F5382B">
        <w:rPr>
          <w:rStyle w:val="FootnoteReference"/>
          <w:noProof/>
        </w:rPr>
        <w:footnoteReference w:id="291"/>
      </w:r>
      <w:r w:rsidRPr="00F5382B">
        <w:rPr>
          <w:noProof/>
        </w:rPr>
        <w:t xml:space="preserve">. ENISA’s mandate does not provide for the clear tasks and resources to reflect such needs. In particular, the mandate does not explicitly entitle ENISA to engage and contribute to </w:t>
      </w:r>
      <w:r w:rsidRPr="211C3D34">
        <w:rPr>
          <w:noProof/>
        </w:rPr>
        <w:t>standards</w:t>
      </w:r>
      <w:r w:rsidRPr="00F5382B">
        <w:rPr>
          <w:noProof/>
        </w:rPr>
        <w:t xml:space="preserve"> development activities at European and international level and does not envisage a role for ENISA in drafting and maintaining technical specifications to support Union legislation, and in particular the CRA and ECCF. In particular, because of the nature and the broad scope of the CRA (covering all hardware and software products), its implementation will involve considerable technical work on standards and technical guidance over time, that cannot be achieved without extensive support from ENISA.  </w:t>
      </w:r>
    </w:p>
    <w:p w14:paraId="3431E79C" w14:textId="77777777" w:rsidR="00EE3DF9" w:rsidRPr="00F5382B" w:rsidRDefault="00EE3DF9" w:rsidP="00EE3DF9">
      <w:pPr>
        <w:pStyle w:val="ListParagraph"/>
        <w:numPr>
          <w:ilvl w:val="2"/>
          <w:numId w:val="40"/>
        </w:numPr>
        <w:spacing w:after="120"/>
        <w:ind w:left="1071" w:hanging="357"/>
        <w:contextualSpacing w:val="0"/>
        <w:rPr>
          <w:b/>
          <w:bCs/>
          <w:noProof/>
        </w:rPr>
      </w:pPr>
      <w:r w:rsidRPr="211C3D34">
        <w:rPr>
          <w:b/>
          <w:bCs/>
          <w:noProof/>
        </w:rPr>
        <w:t>Insufficient and unsustainable resourcing model:</w:t>
      </w:r>
      <w:r w:rsidRPr="00F5382B">
        <w:rPr>
          <w:noProof/>
        </w:rPr>
        <w:t xml:space="preserve"> ENISA is small in size compared to other Union security agencies. Since 2019, the Commission has added tasks and resources to ENISA through contribution agreements, effectively increasing staff count from 130 </w:t>
      </w:r>
      <w:r w:rsidRPr="00F5382B">
        <w:rPr>
          <w:rStyle w:val="FootnoteReference"/>
          <w:noProof/>
        </w:rPr>
        <w:footnoteReference w:id="292"/>
      </w:r>
      <w:r w:rsidRPr="00F5382B">
        <w:rPr>
          <w:noProof/>
        </w:rPr>
        <w:t xml:space="preserve"> in the establishment plan to 148.  It should also be mentioned that the transfer of </w:t>
      </w:r>
      <w:r w:rsidRPr="00F5382B">
        <w:rPr>
          <w:rFonts w:eastAsia="Segoe UI"/>
          <w:noProof/>
        </w:rPr>
        <w:t>additional resources to ENISA via contribution agreements generates additional overhead costs of their conclusions and management for ENISA and the Commission</w:t>
      </w:r>
      <w:r w:rsidRPr="00F5382B">
        <w:rPr>
          <w:noProof/>
        </w:rPr>
        <w:t xml:space="preserve">. Different legislative acts, adopted post CSA, provide for specific tasks for ENISA, such as the administration and organisation of the EU Cybersecurity Reserve or reviewing incidents within the European Cybersecurity Incident Review Mechanism by the CSoA, setting up and managing the vulnerabilities platform, establishing a single reporting platform or supporting Member States’ market surveillance activities under the CRA. Without a clear overreaching take of how such tasks fit together, </w:t>
      </w:r>
      <w:r w:rsidRPr="00F5382B">
        <w:rPr>
          <w:b/>
          <w:bCs/>
          <w:noProof/>
        </w:rPr>
        <w:t>ENISA's ability to prioritize resources effectively is impacted, leading to operational inefficiencies</w:t>
      </w:r>
      <w:r w:rsidRPr="00F5382B">
        <w:rPr>
          <w:noProof/>
        </w:rPr>
        <w:t xml:space="preserve">.  Furthermore, ENISA currently does not have the capacity to generate own resources. The current mandate lacks a legal basis for ENISA to request </w:t>
      </w:r>
      <w:r w:rsidRPr="00F5382B">
        <w:rPr>
          <w:i/>
          <w:iCs/>
          <w:noProof/>
        </w:rPr>
        <w:t>fees</w:t>
      </w:r>
      <w:r w:rsidRPr="00F5382B">
        <w:rPr>
          <w:noProof/>
        </w:rPr>
        <w:t xml:space="preserve"> to sustain activities that serve enhancing the cybersecurity of the Union, reflecting also the conclusions of 2023 report from the Court of Auditors</w:t>
      </w:r>
      <w:r w:rsidRPr="00F5382B">
        <w:rPr>
          <w:rFonts w:eastAsia="Segoe UI"/>
          <w:noProof/>
        </w:rPr>
        <w:t>.</w:t>
      </w:r>
    </w:p>
    <w:p w14:paraId="798F2D3A" w14:textId="77777777" w:rsidR="00EE3DF9" w:rsidRPr="00F5382B" w:rsidRDefault="00EE3DF9" w:rsidP="00EE3DF9">
      <w:pPr>
        <w:spacing w:after="120"/>
        <w:ind w:left="425"/>
        <w:rPr>
          <w:i/>
          <w:iCs/>
          <w:noProof/>
          <w:u w:val="single"/>
        </w:rPr>
      </w:pPr>
      <w:r w:rsidRPr="00F5382B">
        <w:rPr>
          <w:i/>
          <w:iCs/>
          <w:noProof/>
          <w:u w:val="single"/>
        </w:rPr>
        <w:t xml:space="preserve">Limitations of the </w:t>
      </w:r>
      <w:r w:rsidRPr="00F5382B">
        <w:rPr>
          <w:i/>
          <w:noProof/>
          <w:u w:val="single"/>
        </w:rPr>
        <w:t>ECCF</w:t>
      </w:r>
      <w:r w:rsidRPr="00F5382B">
        <w:rPr>
          <w:i/>
          <w:iCs/>
          <w:noProof/>
          <w:u w:val="single"/>
        </w:rPr>
        <w:t xml:space="preserve">: </w:t>
      </w:r>
    </w:p>
    <w:p w14:paraId="04C6F6F2" w14:textId="77777777" w:rsidR="00EE3DF9" w:rsidRPr="00F5382B" w:rsidRDefault="00EE3DF9" w:rsidP="00EE3DF9">
      <w:pPr>
        <w:pStyle w:val="ListParagraph"/>
        <w:numPr>
          <w:ilvl w:val="2"/>
          <w:numId w:val="40"/>
        </w:numPr>
        <w:spacing w:after="120"/>
        <w:ind w:left="1071" w:hanging="357"/>
        <w:contextualSpacing w:val="0"/>
        <w:rPr>
          <w:b/>
          <w:noProof/>
        </w:rPr>
      </w:pPr>
      <w:r w:rsidRPr="00F5382B">
        <w:rPr>
          <w:b/>
          <w:noProof/>
        </w:rPr>
        <w:t>Legal shortcomings</w:t>
      </w:r>
      <w:r w:rsidRPr="00F5382B">
        <w:rPr>
          <w:noProof/>
        </w:rPr>
        <w:t xml:space="preserve"> in the Cybersecurity Act relating to the scope and risks covered, as well as procedural aspects. This has led to delays and blockage in schemes development on key technologies (cloud and 5G) and a lack of agility to rapidly respond to technological advances and market needs. In this context, Member States are proceeding with the adoption of national schemes leading to increased market fragmentation and undermining Europe’s technological leadership. </w:t>
      </w:r>
    </w:p>
    <w:p w14:paraId="5FFC528A" w14:textId="08CFDFE2"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 ECCF was designed to provide a harmonised level of cybersecurity for ICT solutions </w:t>
      </w:r>
      <w:r w:rsidRPr="211C3D34">
        <w:rPr>
          <w:b/>
          <w:bCs/>
          <w:noProof/>
        </w:rPr>
        <w:t>but does not allow for a mechanism to address</w:t>
      </w:r>
      <w:r w:rsidRPr="00F5382B">
        <w:rPr>
          <w:noProof/>
        </w:rPr>
        <w:t xml:space="preserve"> </w:t>
      </w:r>
      <w:r w:rsidRPr="211C3D34">
        <w:rPr>
          <w:b/>
          <w:bCs/>
          <w:noProof/>
        </w:rPr>
        <w:t>non-technical risks</w:t>
      </w:r>
      <w:r w:rsidRPr="00F5382B">
        <w:rPr>
          <w:rStyle w:val="FootnoteReference"/>
          <w:noProof/>
        </w:rPr>
        <w:footnoteReference w:id="293"/>
      </w:r>
      <w:r w:rsidRPr="00F5382B">
        <w:rPr>
          <w:noProof/>
        </w:rPr>
        <w:t>. There is in general a lack of clarity as to what type of risk are in the scope of the framework</w:t>
      </w:r>
      <w:r w:rsidRPr="211C3D34">
        <w:rPr>
          <w:i/>
          <w:iCs/>
          <w:noProof/>
        </w:rPr>
        <w:t>.</w:t>
      </w:r>
      <w:r w:rsidRPr="00F5382B">
        <w:rPr>
          <w:noProof/>
        </w:rPr>
        <w:t xml:space="preserve"> Regarding the development of European cybersecurity schemes, currently the technical preparation of the two schemes related to cloud services (EUCS) and related to 5G (EU5G) are fully on hold due to concerns and uncertainty related to how non-technical risks, would be addressed. </w:t>
      </w:r>
    </w:p>
    <w:p w14:paraId="6DF773E9"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 </w:t>
      </w:r>
      <w:r w:rsidRPr="00F5382B">
        <w:rPr>
          <w:b/>
          <w:noProof/>
        </w:rPr>
        <w:t>scope of the ECCF</w:t>
      </w:r>
      <w:r w:rsidRPr="00F5382B">
        <w:rPr>
          <w:noProof/>
        </w:rPr>
        <w:t xml:space="preserve"> has not been future proof to meet the legislative and market demand in terms of security assurance. The limited scope (covering ICT products, services and processes) already required an amendment to the CSA to include the possibility to certify managed security services. Furthermore, the framework </w:t>
      </w:r>
      <w:r w:rsidRPr="00F5382B">
        <w:rPr>
          <w:b/>
          <w:noProof/>
        </w:rPr>
        <w:t>does not allow to certify cyber posture of entities</w:t>
      </w:r>
      <w:r w:rsidRPr="00F5382B">
        <w:rPr>
          <w:noProof/>
        </w:rPr>
        <w:t xml:space="preserve">, allowing to demonstrate compliance with the organisation cybersecurity measures, i.e. set out by the NIS2 Directive </w:t>
      </w:r>
      <w:r w:rsidRPr="00F5382B">
        <w:rPr>
          <w:i/>
          <w:iCs/>
          <w:noProof/>
        </w:rPr>
        <w:t>(see below)</w:t>
      </w:r>
      <w:r w:rsidRPr="00F5382B">
        <w:rPr>
          <w:noProof/>
        </w:rPr>
        <w:t xml:space="preserve"> and other relevant Union legal acts in the future, such as GDPR.</w:t>
      </w:r>
    </w:p>
    <w:p w14:paraId="4926B48B"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 framework lacks attributing clear </w:t>
      </w:r>
      <w:r w:rsidRPr="00F5382B">
        <w:rPr>
          <w:b/>
          <w:noProof/>
        </w:rPr>
        <w:t>ownership to the actors involved in the strategic planning</w:t>
      </w:r>
      <w:r w:rsidRPr="00F5382B">
        <w:rPr>
          <w:b/>
          <w:i/>
          <w:noProof/>
        </w:rPr>
        <w:t xml:space="preserve">, </w:t>
      </w:r>
      <w:r w:rsidRPr="00F5382B">
        <w:rPr>
          <w:noProof/>
        </w:rPr>
        <w:t>development</w:t>
      </w:r>
      <w:r w:rsidRPr="00F5382B">
        <w:rPr>
          <w:b/>
          <w:i/>
          <w:noProof/>
        </w:rPr>
        <w:t xml:space="preserve"> </w:t>
      </w:r>
      <w:r w:rsidRPr="00F5382B">
        <w:rPr>
          <w:b/>
          <w:noProof/>
        </w:rPr>
        <w:t>procedure</w:t>
      </w:r>
      <w:r w:rsidRPr="00F5382B">
        <w:rPr>
          <w:noProof/>
        </w:rPr>
        <w:t xml:space="preserve"> and does not specify a </w:t>
      </w:r>
      <w:r w:rsidRPr="00F5382B">
        <w:rPr>
          <w:b/>
          <w:noProof/>
        </w:rPr>
        <w:t>maintenance framework</w:t>
      </w:r>
      <w:r w:rsidRPr="00F5382B">
        <w:rPr>
          <w:noProof/>
        </w:rPr>
        <w:t xml:space="preserve"> for adopted scheme. This results in </w:t>
      </w:r>
      <w:r w:rsidRPr="00F5382B">
        <w:rPr>
          <w:b/>
          <w:noProof/>
        </w:rPr>
        <w:t>strategic planning</w:t>
      </w:r>
      <w:r w:rsidRPr="00F5382B">
        <w:rPr>
          <w:noProof/>
        </w:rPr>
        <w:t xml:space="preserve"> (i.e. </w:t>
      </w:r>
      <w:r w:rsidRPr="00F5382B">
        <w:rPr>
          <w:i/>
          <w:noProof/>
        </w:rPr>
        <w:t>‘Union Rolling Work Programme’</w:t>
      </w:r>
      <w:r w:rsidRPr="00F5382B">
        <w:rPr>
          <w:noProof/>
        </w:rPr>
        <w:t xml:space="preserve">) and development procedure being vulnerable to delays. In addition, there is a risk of adopted schemes quickly becoming outdated, and the credibility of European scheme being undermined. </w:t>
      </w:r>
    </w:p>
    <w:p w14:paraId="6CE91EEC"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 EUCC has evidenced the need to entrust ENISA with the </w:t>
      </w:r>
      <w:r w:rsidRPr="211C3D34">
        <w:rPr>
          <w:b/>
          <w:bCs/>
          <w:noProof/>
        </w:rPr>
        <w:t>maintenance</w:t>
      </w:r>
      <w:r w:rsidRPr="00F5382B">
        <w:rPr>
          <w:noProof/>
        </w:rPr>
        <w:t xml:space="preserve"> of the scheme that involves mostly technical work. In practice, the maintenance of the EUCC, includes the drafting and maintenance of more than 50 </w:t>
      </w:r>
      <w:r w:rsidRPr="211C3D34">
        <w:rPr>
          <w:b/>
          <w:bCs/>
          <w:noProof/>
        </w:rPr>
        <w:t>technical specifications</w:t>
      </w:r>
      <w:r w:rsidRPr="00F5382B">
        <w:rPr>
          <w:noProof/>
        </w:rPr>
        <w:t xml:space="preserve"> (so-called state-of-the-art documents that interpret the Common Criteria evaluation standards for specific use cases) supporting and referenced in the scheme</w:t>
      </w:r>
      <w:r w:rsidRPr="00F5382B">
        <w:rPr>
          <w:noProof/>
          <w:vertAlign w:val="superscript"/>
        </w:rPr>
        <w:footnoteReference w:id="294"/>
      </w:r>
      <w:r w:rsidRPr="00F5382B">
        <w:rPr>
          <w:noProof/>
        </w:rPr>
        <w:t xml:space="preserve">. Furthermore, there is currently no legal basis in the ECCF that technical specifications drafted by ENISA can be directly referenced for European cybersecurity certification schemes. This leads to burdensome legislative procedures of amending schemes (since its adoption in 2024, the EUCC is now undergoing its second amendment). In the absence of clear role for ENISA and legal basis in this area it is unclear how the maintenance both of the EUCC and of future schemes would be sustained and financed.  </w:t>
      </w:r>
    </w:p>
    <w:p w14:paraId="46542930" w14:textId="77777777" w:rsidR="00EE3DF9" w:rsidRPr="00F5382B" w:rsidDel="003A3E4B" w:rsidRDefault="00EE3DF9" w:rsidP="00EE3DF9">
      <w:pPr>
        <w:pStyle w:val="ListParagraph"/>
        <w:numPr>
          <w:ilvl w:val="2"/>
          <w:numId w:val="40"/>
        </w:numPr>
        <w:spacing w:after="120"/>
        <w:ind w:left="1071" w:hanging="357"/>
        <w:contextualSpacing w:val="0"/>
        <w:rPr>
          <w:noProof/>
        </w:rPr>
      </w:pPr>
      <w:r w:rsidRPr="00F5382B">
        <w:rPr>
          <w:noProof/>
        </w:rPr>
        <w:t xml:space="preserve">Furthermore, the </w:t>
      </w:r>
      <w:r w:rsidRPr="00F5382B">
        <w:rPr>
          <w:b/>
          <w:bCs/>
          <w:noProof/>
        </w:rPr>
        <w:t>global impact</w:t>
      </w:r>
      <w:r w:rsidRPr="00F5382B">
        <w:rPr>
          <w:noProof/>
        </w:rPr>
        <w:t xml:space="preserve"> of the European cybersecurity certification framework requires to explore technical alignment where possible with other international frameworks and to engage and contribute to international standardisation activities. Engaging meaningfully in the contribution of international standards both for the EUCC and other schemes in the future requires a clear tasks and appropriate resources for ENISA. This is ever the more needed to deliver on the commitment to mutual recognition of cybersecurity standards in the context of the EU US joint statement on an agreement on reciprocal and fair and balanced trade, </w:t>
      </w:r>
    </w:p>
    <w:p w14:paraId="25BCEE2E" w14:textId="77777777" w:rsidR="00EE3DF9" w:rsidRPr="00F5382B" w:rsidRDefault="00EE3DF9" w:rsidP="00EE3DF9">
      <w:pPr>
        <w:pStyle w:val="ListParagraph"/>
        <w:numPr>
          <w:ilvl w:val="1"/>
          <w:numId w:val="40"/>
        </w:numPr>
        <w:spacing w:after="120"/>
        <w:ind w:left="425" w:hanging="357"/>
        <w:contextualSpacing w:val="0"/>
        <w:rPr>
          <w:noProof/>
        </w:rPr>
      </w:pPr>
      <w:r w:rsidRPr="00F5382B">
        <w:rPr>
          <w:b/>
          <w:bCs/>
          <w:noProof/>
        </w:rPr>
        <w:t xml:space="preserve">Simplification: </w:t>
      </w:r>
      <w:r w:rsidRPr="00F5382B">
        <w:rPr>
          <w:noProof/>
        </w:rPr>
        <w:t xml:space="preserve">The revision of the CSA also represents an opportunity to contribute to the Commission's simplification and burden reduction agenda. </w:t>
      </w:r>
      <w:r w:rsidRPr="00F5382B">
        <w:rPr>
          <w:b/>
          <w:bCs/>
          <w:noProof/>
        </w:rPr>
        <w:t xml:space="preserve">The Directive on measures for a high common level of cybersecurity across the Union (the NIS2 Directive) – </w:t>
      </w:r>
      <w:r w:rsidRPr="00F5382B">
        <w:rPr>
          <w:i/>
          <w:iCs/>
          <w:noProof/>
        </w:rPr>
        <w:t xml:space="preserve">in force since January 2023, with the transposition deadline due on 17 October 2024 </w:t>
      </w:r>
      <w:r w:rsidRPr="00F5382B">
        <w:rPr>
          <w:noProof/>
        </w:rPr>
        <w:t xml:space="preserve">– mandates Member States to ensure that entities operating in highly critical and other critical sectors implement cybersecurity risk management requirements, including supply chain security measures, and report significant incidents. </w:t>
      </w:r>
    </w:p>
    <w:p w14:paraId="5C0A2916" w14:textId="77777777" w:rsidR="00EE3DF9" w:rsidRPr="00F5382B" w:rsidRDefault="00EE3DF9" w:rsidP="00EE3DF9">
      <w:pPr>
        <w:spacing w:after="120"/>
        <w:ind w:left="425"/>
        <w:rPr>
          <w:i/>
          <w:iCs/>
          <w:noProof/>
          <w:u w:val="single"/>
        </w:rPr>
      </w:pPr>
      <w:r w:rsidRPr="00F5382B">
        <w:rPr>
          <w:i/>
          <w:noProof/>
          <w:u w:val="single"/>
        </w:rPr>
        <w:t>Limitations</w:t>
      </w:r>
      <w:r w:rsidRPr="00F5382B">
        <w:rPr>
          <w:i/>
          <w:iCs/>
          <w:noProof/>
          <w:u w:val="single"/>
        </w:rPr>
        <w:t>:</w:t>
      </w:r>
    </w:p>
    <w:p w14:paraId="0CD70AAF"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With the NIS2 being a Directive, there are diverging national transposition frameworks for cybersecurity risk management, which poses an issue for companies operating in and having to </w:t>
      </w:r>
      <w:r w:rsidRPr="00F5382B">
        <w:rPr>
          <w:b/>
          <w:noProof/>
        </w:rPr>
        <w:t>demonstrate compliance in several Member States leading to important administrative burden</w:t>
      </w:r>
      <w:r w:rsidRPr="00F5382B">
        <w:rPr>
          <w:noProof/>
        </w:rPr>
        <w:t xml:space="preserve">. Member States impose different levels of compliance proof requirements </w:t>
      </w:r>
      <w:r w:rsidRPr="00F5382B">
        <w:rPr>
          <w:i/>
          <w:iCs/>
          <w:noProof/>
        </w:rPr>
        <w:t xml:space="preserve">(e.g. audits, testing) </w:t>
      </w:r>
      <w:r w:rsidRPr="00F5382B">
        <w:rPr>
          <w:noProof/>
        </w:rPr>
        <w:t xml:space="preserve">which poses challenges notably to entities operating in multiple Member States. Currently there is no tool in NIS2 or ECCF to allow a levelling of the playing field for demonstrating compliance with NIS2 when it comes to supervision requirements across Member States. </w:t>
      </w:r>
    </w:p>
    <w:p w14:paraId="30C19F50"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 NIS2 Directive provides for </w:t>
      </w:r>
      <w:r w:rsidRPr="00F5382B">
        <w:rPr>
          <w:b/>
          <w:noProof/>
        </w:rPr>
        <w:t>minimum harmonisation</w:t>
      </w:r>
      <w:r w:rsidRPr="00F5382B">
        <w:rPr>
          <w:b/>
          <w:bCs/>
          <w:i/>
          <w:iCs/>
          <w:noProof/>
        </w:rPr>
        <w:t xml:space="preserve">. </w:t>
      </w:r>
      <w:r w:rsidRPr="00F5382B">
        <w:rPr>
          <w:noProof/>
        </w:rPr>
        <w:t xml:space="preserve"> Even when the EU adopts an implementing regulation to harmonise these cybersecurity risk management measures, Member States can still gold plate.  This is a constant concern flagged by the industry, which may need to comply with 27 different implementation models, standards and requirements. In line with the</w:t>
      </w:r>
      <w:r w:rsidRPr="00F5382B">
        <w:rPr>
          <w:b/>
          <w:bCs/>
          <w:i/>
          <w:iCs/>
          <w:noProof/>
        </w:rPr>
        <w:t xml:space="preserve"> </w:t>
      </w:r>
      <w:r w:rsidRPr="00F5382B">
        <w:rPr>
          <w:b/>
          <w:noProof/>
        </w:rPr>
        <w:t>recommendations of the Draghi report</w:t>
      </w:r>
      <w:r w:rsidRPr="00F5382B">
        <w:rPr>
          <w:b/>
          <w:bCs/>
          <w:i/>
          <w:iCs/>
          <w:noProof/>
        </w:rPr>
        <w:t xml:space="preserve">, </w:t>
      </w:r>
      <w:r w:rsidRPr="00F5382B">
        <w:rPr>
          <w:noProof/>
        </w:rPr>
        <w:t>the CSA will amend the NIS2 directive, ensuring maximum harmonisation when an implementing regulation is adopted.</w:t>
      </w:r>
    </w:p>
    <w:p w14:paraId="0F097B56"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There are also certain </w:t>
      </w:r>
      <w:r w:rsidRPr="211C3D34">
        <w:rPr>
          <w:b/>
          <w:bCs/>
          <w:noProof/>
        </w:rPr>
        <w:t>unclarities surrounding the scope and definitions</w:t>
      </w:r>
      <w:r w:rsidRPr="00F5382B">
        <w:rPr>
          <w:noProof/>
        </w:rPr>
        <w:t xml:space="preserve"> in NIS2. One example is the reference to the definition of electricity producers without any further specification, which leads to the interpretation that any medium-sized entity owning solar panels should be treated as producer of electricity and thus subject to NIS2 Directive. The use of guidelines to clarify the issue will not provide for sufficient </w:t>
      </w:r>
      <w:r w:rsidRPr="211C3D34">
        <w:rPr>
          <w:b/>
          <w:bCs/>
          <w:noProof/>
        </w:rPr>
        <w:t>legal certainty</w:t>
      </w:r>
      <w:r w:rsidRPr="00F5382B">
        <w:rPr>
          <w:noProof/>
        </w:rPr>
        <w:t xml:space="preserve">. What is more, smaller and medium companies in certain sectors are currently treated as essential entities under the NIS2 Directive leading to quite significant documentation requirements in comparison to the impact of the entity on the market and overall cybersecurity. This may concern documentation requirements for around 20.000 companies. Introducing clarification on definitions and the types of entities provides legal certainty and ensures a contained scope of application reduced with an estimated number of 24.500 entities, a large proportion of which would be medium-sized entities. Furthermore, reducing the scope by removing </w:t>
      </w:r>
      <w:r w:rsidRPr="00F5382B">
        <w:rPr>
          <w:noProof/>
          <w:color w:val="000000" w:themeColor="text1"/>
        </w:rPr>
        <w:t>the approximately 6.200 </w:t>
      </w:r>
      <w:r w:rsidRPr="00F5382B">
        <w:rPr>
          <w:rStyle w:val="FootnoteReference"/>
          <w:noProof/>
          <w:color w:val="000000" w:themeColor="text1"/>
        </w:rPr>
        <w:footnoteReference w:id="295"/>
      </w:r>
      <w:r w:rsidRPr="00F5382B">
        <w:rPr>
          <w:noProof/>
          <w:color w:val="000000" w:themeColor="text1"/>
        </w:rPr>
        <w:t xml:space="preserve"> micro and small DNS service providers would address the concerns of both Member States authorities that would have been required to supervise an important number of small market players for which complying with the requirements of the NIS 2 Directive would have </w:t>
      </w:r>
      <w:r w:rsidRPr="00F5382B">
        <w:rPr>
          <w:noProof/>
        </w:rPr>
        <w:t>constituted</w:t>
      </w:r>
      <w:r w:rsidRPr="00F5382B">
        <w:rPr>
          <w:noProof/>
          <w:color w:val="000000" w:themeColor="text1"/>
        </w:rPr>
        <w:t xml:space="preserve"> an important financial and organisational burden. </w:t>
      </w:r>
      <w:r w:rsidRPr="00F5382B">
        <w:rPr>
          <w:noProof/>
        </w:rPr>
        <w:t>This would support the Commission's goal to cut administrative costs by 25% overall and by 35% for SMEs.</w:t>
      </w:r>
    </w:p>
    <w:p w14:paraId="79CD395A" w14:textId="77777777" w:rsidR="00EE3DF9" w:rsidRPr="00F5382B" w:rsidRDefault="00EE3DF9" w:rsidP="00EE3DF9">
      <w:pPr>
        <w:pStyle w:val="ListParagraph"/>
        <w:numPr>
          <w:ilvl w:val="2"/>
          <w:numId w:val="40"/>
        </w:numPr>
        <w:spacing w:after="120"/>
        <w:ind w:left="1071" w:hanging="357"/>
        <w:contextualSpacing w:val="0"/>
        <w:rPr>
          <w:noProof/>
        </w:rPr>
      </w:pPr>
      <w:r w:rsidRPr="00F5382B">
        <w:rPr>
          <w:noProof/>
        </w:rPr>
        <w:t xml:space="preserve">When it comes to </w:t>
      </w:r>
      <w:r w:rsidRPr="00F5382B">
        <w:rPr>
          <w:b/>
          <w:noProof/>
        </w:rPr>
        <w:t>ransomware reporting</w:t>
      </w:r>
      <w:r w:rsidRPr="00F5382B">
        <w:rPr>
          <w:noProof/>
        </w:rPr>
        <w:t>, divergent requirements cause authorities to have a disjointed overview of the landscape of such incidents, whereas entities face diverging requirements between Member States. NIS2 currently does not require or empower to specify further notification of the information necessary to effectively combat the prime threat of ransomware, such as ransom payments. Such information, paired with other relevant information, could significantly contribute to effective incident response and investigation of ransomware incidents, including the tracing of payments on cryptocurrency exchange platforms in order to identify the recipients. This would also enable the Union to gain an overview of the damages caused by ransomware attacks.</w:t>
      </w:r>
    </w:p>
    <w:p w14:paraId="511E2ADB" w14:textId="77777777" w:rsidR="00EE3DF9" w:rsidRPr="00F5382B" w:rsidRDefault="00EE3DF9" w:rsidP="00EE3DF9">
      <w:pPr>
        <w:spacing w:after="120"/>
        <w:rPr>
          <w:noProof/>
        </w:rPr>
      </w:pPr>
      <w:r w:rsidRPr="00F5382B">
        <w:rPr>
          <w:noProof/>
        </w:rPr>
        <w:t xml:space="preserve">As a matter of clarification, as regards the interplay with the </w:t>
      </w:r>
      <w:r w:rsidRPr="00F5382B">
        <w:rPr>
          <w:b/>
          <w:bCs/>
          <w:noProof/>
        </w:rPr>
        <w:t>CER Directive</w:t>
      </w:r>
      <w:r w:rsidRPr="00F5382B">
        <w:rPr>
          <w:noProof/>
        </w:rPr>
        <w:t>, mention should be made that the latter requires from Member States to identify the critical entities from the list of sectors, while NIS2 Directive applies to all entities from the list of sectors where these meet a certain threshold. Also, while any entity identified as critical in accordance with the CER Directive becomes a NIS2 entity, NIS2 entities are not automatically critical entities under CER. Therefore, while enhancing the legal clarity by way of fine-tuning and adjustments to the scope of the NIS2 Directive is necessary due to the size-cap approach enshrined in NIS2, it does not directly affect the CER Directive.</w:t>
      </w:r>
    </w:p>
    <w:p w14:paraId="72C03D1E" w14:textId="77777777" w:rsidR="00EE3DF9" w:rsidRDefault="00EE3DF9" w:rsidP="00F0485A">
      <w:pPr>
        <w:spacing w:after="120"/>
        <w:rPr>
          <w:noProof/>
        </w:rPr>
      </w:pPr>
    </w:p>
    <w:p w14:paraId="02F0A5D3" w14:textId="77777777" w:rsidR="00F0485A" w:rsidRPr="00F5382B" w:rsidRDefault="00F0485A" w:rsidP="00F0485A">
      <w:pPr>
        <w:pStyle w:val="ListParagraph"/>
        <w:numPr>
          <w:ilvl w:val="1"/>
          <w:numId w:val="40"/>
        </w:numPr>
        <w:spacing w:after="120"/>
        <w:ind w:left="425" w:hanging="357"/>
        <w:contextualSpacing w:val="0"/>
        <w:rPr>
          <w:noProof/>
        </w:rPr>
      </w:pPr>
      <w:r w:rsidRPr="00F5382B">
        <w:rPr>
          <w:b/>
          <w:bCs/>
          <w:noProof/>
        </w:rPr>
        <w:t xml:space="preserve">ICT Supply Chain Security: </w:t>
      </w:r>
      <w:r w:rsidRPr="00F5382B">
        <w:rPr>
          <w:noProof/>
        </w:rPr>
        <w:t xml:space="preserve">The growing presence of digital technologies in supply chain has increased the attack surface, given especially the fast penetration of Chinese technologies as well as dependencies on non-EU technologies in general. The current cybersecurity framework does not reflect sufficiently non-technical risks and where reflected; those measures are of a non-binding nature. As evidenced by the 5G toolbox, attempt to address such risks through non- binding instrument has led to fragmentation. </w:t>
      </w:r>
    </w:p>
    <w:p w14:paraId="65163A0F" w14:textId="77777777" w:rsidR="00F0485A" w:rsidRPr="00F5382B" w:rsidRDefault="00F0485A" w:rsidP="00F0485A">
      <w:pPr>
        <w:spacing w:after="120"/>
        <w:ind w:left="425"/>
        <w:rPr>
          <w:i/>
          <w:noProof/>
          <w:u w:val="single"/>
        </w:rPr>
      </w:pPr>
      <w:r w:rsidRPr="00F5382B">
        <w:rPr>
          <w:i/>
          <w:noProof/>
          <w:u w:val="single"/>
        </w:rPr>
        <w:t xml:space="preserve">Limitations: </w:t>
      </w:r>
    </w:p>
    <w:p w14:paraId="20BE4A50" w14:textId="77777777" w:rsidR="00F0485A" w:rsidRPr="00F5382B" w:rsidRDefault="00F0485A" w:rsidP="00F0485A">
      <w:pPr>
        <w:pStyle w:val="ListParagraph"/>
        <w:numPr>
          <w:ilvl w:val="2"/>
          <w:numId w:val="40"/>
        </w:numPr>
        <w:spacing w:after="120"/>
        <w:ind w:left="1071" w:hanging="357"/>
        <w:contextualSpacing w:val="0"/>
        <w:rPr>
          <w:noProof/>
        </w:rPr>
      </w:pPr>
      <w:r w:rsidRPr="00F5382B">
        <w:rPr>
          <w:b/>
          <w:bCs/>
          <w:noProof/>
        </w:rPr>
        <w:t>The current EU regulatory framework addresses only technical risks</w:t>
      </w:r>
      <w:r w:rsidRPr="00F5382B">
        <w:rPr>
          <w:b/>
          <w:noProof/>
        </w:rPr>
        <w:t>.</w:t>
      </w:r>
    </w:p>
    <w:p w14:paraId="3F35A904" w14:textId="77777777" w:rsidR="00F0485A" w:rsidRPr="00F5382B" w:rsidRDefault="00F0485A" w:rsidP="00F0485A">
      <w:pPr>
        <w:pStyle w:val="ListParagraph"/>
        <w:numPr>
          <w:ilvl w:val="2"/>
          <w:numId w:val="40"/>
        </w:numPr>
        <w:spacing w:after="120"/>
        <w:ind w:left="1071" w:hanging="357"/>
        <w:contextualSpacing w:val="0"/>
        <w:rPr>
          <w:noProof/>
        </w:rPr>
      </w:pPr>
      <w:r w:rsidRPr="00F5382B">
        <w:rPr>
          <w:noProof/>
        </w:rPr>
        <w:t xml:space="preserve">The NIS2 Directive imposes on entities operating in key sectors obligations to apply </w:t>
      </w:r>
      <w:r w:rsidRPr="00F5382B">
        <w:rPr>
          <w:b/>
          <w:noProof/>
        </w:rPr>
        <w:t>appropriate</w:t>
      </w:r>
      <w:r w:rsidRPr="00F5382B">
        <w:rPr>
          <w:noProof/>
        </w:rPr>
        <w:t xml:space="preserve"> organisational risk management measures in relation to the supply chain security. When applying these measures, the entity should take into account the results of Union level coordinated security risk assessments where non-technical risk factors can also be addressed. However, there is no legal obligation for entities to comply with the identified mitigating measures. </w:t>
      </w:r>
    </w:p>
    <w:p w14:paraId="08A1E303" w14:textId="77777777" w:rsidR="00F0485A" w:rsidRPr="00F5382B" w:rsidRDefault="00F0485A" w:rsidP="00F0485A">
      <w:pPr>
        <w:pStyle w:val="ListParagraph"/>
        <w:numPr>
          <w:ilvl w:val="2"/>
          <w:numId w:val="40"/>
        </w:numPr>
        <w:spacing w:after="120"/>
        <w:ind w:left="1071" w:hanging="357"/>
        <w:contextualSpacing w:val="0"/>
        <w:rPr>
          <w:b/>
          <w:bCs/>
          <w:noProof/>
        </w:rPr>
      </w:pPr>
      <w:r w:rsidRPr="00F5382B">
        <w:rPr>
          <w:b/>
          <w:bCs/>
          <w:noProof/>
        </w:rPr>
        <w:t>In the field of the electronic communications sector, the 5G cybersecurity Toolbox</w:t>
      </w:r>
      <w:r w:rsidRPr="00F5382B">
        <w:rPr>
          <w:noProof/>
        </w:rPr>
        <w:t xml:space="preserve"> recommends measures on how to mitigate risks (technical and non-technical) to 5G networks including recommending restrictions or exclusions of high-risk suppliers. </w:t>
      </w:r>
    </w:p>
    <w:p w14:paraId="458E946D" w14:textId="77777777" w:rsidR="00F0485A" w:rsidRPr="00F5382B" w:rsidRDefault="00F0485A" w:rsidP="00F0485A">
      <w:pPr>
        <w:pStyle w:val="ListParagraph"/>
        <w:numPr>
          <w:ilvl w:val="1"/>
          <w:numId w:val="14"/>
        </w:numPr>
        <w:spacing w:after="120"/>
        <w:ind w:left="1786" w:hanging="357"/>
        <w:contextualSpacing w:val="0"/>
        <w:rPr>
          <w:noProof/>
        </w:rPr>
      </w:pPr>
      <w:r w:rsidRPr="00F5382B">
        <w:rPr>
          <w:noProof/>
        </w:rPr>
        <w:t>While the 5G cybersecurity Toolbox is a robust, risk-based approach to the 5G networks security, it remains a policy and a non-binding document developed and agreed with Member States. According to the Second Progress Report implementing the EU Toolbox on 5G Cybersecurity</w:t>
      </w:r>
      <w:r w:rsidRPr="00F5382B">
        <w:rPr>
          <w:noProof/>
          <w:vertAlign w:val="superscript"/>
        </w:rPr>
        <w:footnoteReference w:id="296"/>
      </w:r>
      <w:r w:rsidRPr="00F5382B">
        <w:rPr>
          <w:noProof/>
        </w:rPr>
        <w:t>, only thirteen Member States have implemented restrictions on high-risk suppliers. In addition, the scope of potential restrictions on high-risk suppliers is fragmented across Member States</w:t>
      </w:r>
      <w:r w:rsidRPr="00F5382B">
        <w:rPr>
          <w:noProof/>
          <w:vertAlign w:val="superscript"/>
        </w:rPr>
        <w:footnoteReference w:id="297"/>
      </w:r>
      <w:r w:rsidRPr="00F5382B">
        <w:rPr>
          <w:noProof/>
          <w:vertAlign w:val="superscript"/>
        </w:rPr>
        <w:t xml:space="preserve">  </w:t>
      </w:r>
      <w:r w:rsidRPr="00F5382B">
        <w:rPr>
          <w:noProof/>
        </w:rPr>
        <w:t xml:space="preserve">which opens the door to vulnerabilities that could affect the entire network. Only ten Member States require information for 5G equipment sourcing. This means that very likely a majority of Member States’ authorities have no clear picture of which suppliers are present in the deployed networks. These divergences create fragmentations in the Single Market and weaken the security of networks as a whole. </w:t>
      </w:r>
    </w:p>
    <w:p w14:paraId="09E0E521" w14:textId="77777777" w:rsidR="00F0485A" w:rsidRPr="00F5382B" w:rsidRDefault="00F0485A" w:rsidP="00F0485A">
      <w:pPr>
        <w:pStyle w:val="ListParagraph"/>
        <w:numPr>
          <w:ilvl w:val="1"/>
          <w:numId w:val="14"/>
        </w:numPr>
        <w:spacing w:after="120"/>
        <w:ind w:left="1786" w:hanging="357"/>
        <w:contextualSpacing w:val="0"/>
        <w:rPr>
          <w:noProof/>
        </w:rPr>
      </w:pPr>
      <w:r w:rsidRPr="00F5382B">
        <w:rPr>
          <w:noProof/>
        </w:rPr>
        <w:t xml:space="preserve">The 5G cybersecurity Toolbox does not cover other ICT supply chains. While there is a possibility to develop similar recommended measures under the mechanism laid down in Article 22 of the NIS 2 Directive, they would have the same drawbacks as the current 5G cybersecurity toolbox (voluntary non harmonised approach). </w:t>
      </w:r>
    </w:p>
    <w:p w14:paraId="780B8212" w14:textId="20584B1E" w:rsidR="00F0485A" w:rsidRPr="00F5382B" w:rsidRDefault="00F0485A" w:rsidP="00F0485A">
      <w:pPr>
        <w:spacing w:after="120"/>
        <w:rPr>
          <w:noProof/>
        </w:rPr>
        <w:sectPr w:rsidR="00F0485A" w:rsidRPr="00F5382B" w:rsidSect="00EE3DF9">
          <w:headerReference w:type="default" r:id="rId159"/>
          <w:footerReference w:type="default" r:id="rId160"/>
          <w:headerReference w:type="first" r:id="rId161"/>
          <w:footerReference w:type="first" r:id="rId162"/>
          <w:pgSz w:w="12240" w:h="15840"/>
          <w:pgMar w:top="1440" w:right="1440" w:bottom="1440" w:left="1440" w:header="708" w:footer="708" w:gutter="0"/>
          <w:cols w:space="708"/>
          <w:docGrid w:linePitch="360"/>
        </w:sectPr>
      </w:pPr>
      <w:r w:rsidRPr="00F5382B">
        <w:rPr>
          <w:noProof/>
        </w:rPr>
        <w:t>While there is no existing framework, NIS2 Directive has established in fact the first step of the necessary procedure with the Union level coordinated security risk assessment, which could include recommended mitigation measures. The CSA revision will build therefore on this</w:t>
      </w:r>
      <w:r>
        <w:rPr>
          <w:noProof/>
        </w:rPr>
        <w:t>.</w:t>
      </w:r>
    </w:p>
    <w:p w14:paraId="6C89F2F5" w14:textId="77777777" w:rsidR="00EE3DF9" w:rsidRPr="00F5382B" w:rsidRDefault="00EE3DF9" w:rsidP="00EE3DF9">
      <w:pPr>
        <w:pStyle w:val="AnnexTitle0"/>
        <w:rPr>
          <w:noProof/>
        </w:rPr>
      </w:pPr>
      <w:bookmarkStart w:id="655" w:name="_Toc218767790"/>
      <w:bookmarkStart w:id="656" w:name="_Toc219039564"/>
      <w:bookmarkStart w:id="657" w:name="_Toc219447467"/>
      <w:r w:rsidRPr="00F5382B">
        <w:rPr>
          <w:noProof/>
        </w:rPr>
        <w:t>Annex 10: Overview of ENISA’s key stakeholders’ needs</w:t>
      </w:r>
      <w:bookmarkEnd w:id="655"/>
      <w:bookmarkEnd w:id="656"/>
      <w:bookmarkEnd w:id="657"/>
    </w:p>
    <w:p w14:paraId="033A9C1D" w14:textId="77777777" w:rsidR="00EE3DF9" w:rsidRPr="00F5382B" w:rsidRDefault="00EE3DF9" w:rsidP="00EE3DF9">
      <w:pPr>
        <w:spacing w:after="120"/>
        <w:rPr>
          <w:noProof/>
        </w:rPr>
      </w:pPr>
      <w:r w:rsidRPr="00F5382B">
        <w:rPr>
          <w:noProof/>
          <w:lang w:eastAsia="en-GB"/>
        </w:rPr>
        <w:t>This Annex provides a general overview of</w:t>
      </w:r>
      <w:r w:rsidRPr="211C3D34">
        <w:rPr>
          <w:b/>
          <w:bCs/>
          <w:noProof/>
        </w:rPr>
        <w:t xml:space="preserve"> ENISA’s key stakeholders, their expectations and unmet needs </w:t>
      </w:r>
      <w:r w:rsidRPr="211C3D34">
        <w:rPr>
          <w:noProof/>
        </w:rPr>
        <w:t>based o</w:t>
      </w:r>
      <w:r w:rsidRPr="00F5382B">
        <w:rPr>
          <w:noProof/>
        </w:rPr>
        <w:t>n the objectives of ENISA in the current CSA, the main ENISA-related tasks stemming from the NIS2 Directive and Cyber Solidarity Act, as well as other available information deriving from evidence such as Council conclusions, public consultation on the CSA review</w:t>
      </w:r>
      <w:r w:rsidRPr="00F5382B">
        <w:rPr>
          <w:rStyle w:val="FootnoteReference"/>
          <w:noProof/>
        </w:rPr>
        <w:footnoteReference w:id="298"/>
      </w:r>
      <w:r w:rsidRPr="00F5382B">
        <w:rPr>
          <w:noProof/>
        </w:rPr>
        <w:t>, ENISA’s Single Programming Document</w:t>
      </w:r>
      <w:r w:rsidRPr="00F5382B">
        <w:rPr>
          <w:rStyle w:val="FootnoteReference"/>
          <w:noProof/>
        </w:rPr>
        <w:footnoteReference w:id="299"/>
      </w:r>
      <w:r w:rsidRPr="00F5382B">
        <w:rPr>
          <w:noProof/>
        </w:rPr>
        <w:t>, ENISA’s 2024 Consolidated Annual Activity Report</w:t>
      </w:r>
      <w:r w:rsidRPr="00F5382B">
        <w:rPr>
          <w:rStyle w:val="FootnoteReference"/>
          <w:noProof/>
        </w:rPr>
        <w:footnoteReference w:id="300"/>
      </w:r>
      <w:r w:rsidRPr="00F5382B">
        <w:rPr>
          <w:noProof/>
        </w:rPr>
        <w:t xml:space="preserve"> and 2024 Evaluation report</w:t>
      </w:r>
      <w:r w:rsidRPr="00F5382B">
        <w:rPr>
          <w:rStyle w:val="FootnoteReference"/>
          <w:noProof/>
        </w:rPr>
        <w:footnoteReference w:id="301"/>
      </w:r>
      <w:r w:rsidRPr="00F5382B">
        <w:rPr>
          <w:noProof/>
        </w:rPr>
        <w:t xml:space="preserve"> (Annex 8). Due to the recent adoption of the CRA (2024), needs of stakeholders have not been evaluated yet. CRA-related expectations have therefore not been integrated in the table. Unmet needs can only be backed by evidence where stakeholders have clearly expressed fulfilment of their needs or where some concrete actions from ENISA’s current mandate have not, in part or in full, been implemented.</w:t>
      </w:r>
    </w:p>
    <w:p w14:paraId="7A83C8CB" w14:textId="77777777" w:rsidR="00EE3DF9" w:rsidRPr="00F5382B" w:rsidRDefault="00EE3DF9" w:rsidP="00EE3DF9">
      <w:pPr>
        <w:spacing w:after="120"/>
        <w:rPr>
          <w:noProof/>
        </w:rPr>
      </w:pPr>
      <w:r w:rsidRPr="00F5382B">
        <w:rPr>
          <w:noProof/>
        </w:rPr>
        <w:t>This Annex distinguishes between the scope of the tasks of ENISA and the scope of the ECCF in the current mandate.</w:t>
      </w:r>
    </w:p>
    <w:p w14:paraId="2CBAFFCC" w14:textId="5EE87BDF" w:rsidR="00EE3DF9" w:rsidRPr="00F5382B" w:rsidRDefault="00EE3DF9" w:rsidP="00EE3DF9">
      <w:pPr>
        <w:pStyle w:val="Heading5"/>
        <w:rPr>
          <w:noProof/>
        </w:rPr>
      </w:pPr>
      <w:bookmarkStart w:id="658" w:name="_Toc218767823"/>
      <w:r w:rsidRPr="00F5382B">
        <w:rPr>
          <w:noProof/>
        </w:rPr>
        <w:t xml:space="preserve">Table </w:t>
      </w:r>
      <w:r w:rsidR="000475F6">
        <w:rPr>
          <w:noProof/>
        </w:rPr>
        <w:t>30</w:t>
      </w:r>
      <w:r w:rsidRPr="00F5382B">
        <w:rPr>
          <w:noProof/>
        </w:rPr>
        <w:t>: General overview of ENISA’s key stakeholders, their expectations and unmet needs in relation to ENISA’s current tasks</w:t>
      </w:r>
      <w:bookmarkEnd w:id="658"/>
    </w:p>
    <w:tbl>
      <w:tblPr>
        <w:tblStyle w:val="GridTable5Dark-Accent1"/>
        <w:tblW w:w="5000" w:type="pct"/>
        <w:tblLook w:val="04A0" w:firstRow="1" w:lastRow="0" w:firstColumn="1" w:lastColumn="0" w:noHBand="0" w:noVBand="1"/>
      </w:tblPr>
      <w:tblGrid>
        <w:gridCol w:w="1655"/>
        <w:gridCol w:w="3681"/>
        <w:gridCol w:w="1510"/>
        <w:gridCol w:w="6330"/>
      </w:tblGrid>
      <w:tr w:rsidR="00EE3DF9" w:rsidRPr="00F5382B" w14:paraId="516CB0C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14:paraId="1CF3FCD1" w14:textId="77777777" w:rsidR="00EE3DF9" w:rsidRPr="00F5382B" w:rsidRDefault="00EE3DF9">
            <w:pPr>
              <w:spacing w:after="120"/>
              <w:jc w:val="center"/>
              <w:rPr>
                <w:noProof/>
              </w:rPr>
            </w:pPr>
            <w:r w:rsidRPr="00F5382B">
              <w:rPr>
                <w:noProof/>
              </w:rPr>
              <w:t>Key stakeholders</w:t>
            </w:r>
          </w:p>
        </w:tc>
        <w:tc>
          <w:tcPr>
            <w:tcW w:w="1397" w:type="pct"/>
          </w:tcPr>
          <w:p w14:paraId="5736B13F"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i/>
                <w:iCs/>
                <w:noProof/>
              </w:rPr>
            </w:pPr>
            <w:r w:rsidRPr="00F5382B">
              <w:rPr>
                <w:noProof/>
              </w:rPr>
              <w:t>Expectations from stakeholders</w:t>
            </w:r>
          </w:p>
        </w:tc>
        <w:tc>
          <w:tcPr>
            <w:tcW w:w="573" w:type="pct"/>
          </w:tcPr>
          <w:p w14:paraId="683A9720"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noProof/>
              </w:rPr>
            </w:pPr>
            <w:r w:rsidRPr="00F5382B">
              <w:rPr>
                <w:noProof/>
              </w:rPr>
              <w:t>Are the needs met?</w:t>
            </w:r>
          </w:p>
        </w:tc>
        <w:tc>
          <w:tcPr>
            <w:tcW w:w="2402" w:type="pct"/>
          </w:tcPr>
          <w:p w14:paraId="2AC48D47"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noProof/>
              </w:rPr>
            </w:pPr>
            <w:r w:rsidRPr="00F5382B">
              <w:rPr>
                <w:noProof/>
              </w:rPr>
              <w:t>Evidence of needs met/not met</w:t>
            </w:r>
          </w:p>
        </w:tc>
      </w:tr>
      <w:tr w:rsidR="00EE3DF9" w:rsidRPr="00F5382B" w14:paraId="45D7E8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14:paraId="51C7009C" w14:textId="77777777" w:rsidR="00EE3DF9" w:rsidRPr="00F5382B" w:rsidRDefault="00EE3DF9">
            <w:pPr>
              <w:spacing w:after="120"/>
              <w:rPr>
                <w:noProof/>
              </w:rPr>
            </w:pPr>
            <w:r w:rsidRPr="00F5382B">
              <w:rPr>
                <w:noProof/>
              </w:rPr>
              <w:t>All</w:t>
            </w:r>
          </w:p>
        </w:tc>
        <w:tc>
          <w:tcPr>
            <w:tcW w:w="1397" w:type="pct"/>
          </w:tcPr>
          <w:p w14:paraId="5A6F4899"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lang w:val="en-IE"/>
              </w:rPr>
            </w:pPr>
            <w:r w:rsidRPr="00F5382B">
              <w:rPr>
                <w:noProof/>
                <w:lang w:val="en-IE"/>
              </w:rPr>
              <w:t xml:space="preserve">Be a </w:t>
            </w:r>
            <w:r w:rsidRPr="00F5382B">
              <w:rPr>
                <w:b/>
                <w:bCs/>
                <w:noProof/>
                <w:lang w:val="en-IE"/>
              </w:rPr>
              <w:t>centre of expertise on cybersecurity</w:t>
            </w:r>
            <w:r w:rsidRPr="00F5382B">
              <w:rPr>
                <w:noProof/>
                <w:lang w:val="en-IE"/>
              </w:rPr>
              <w:t xml:space="preserve"> </w:t>
            </w:r>
          </w:p>
        </w:tc>
        <w:tc>
          <w:tcPr>
            <w:tcW w:w="573" w:type="pct"/>
          </w:tcPr>
          <w:p w14:paraId="7A40ECF2"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Partially </w:t>
            </w:r>
          </w:p>
        </w:tc>
        <w:tc>
          <w:tcPr>
            <w:tcW w:w="2402" w:type="pct"/>
          </w:tcPr>
          <w:p w14:paraId="27CEF82D"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According to ENISA</w:t>
            </w:r>
            <w:r w:rsidRPr="00F5382B">
              <w:rPr>
                <w:rStyle w:val="FootnoteReference"/>
                <w:noProof/>
              </w:rPr>
              <w:footnoteReference w:id="302"/>
            </w:r>
            <w:r w:rsidRPr="00F5382B">
              <w:rPr>
                <w:noProof/>
              </w:rPr>
              <w:t xml:space="preserve">, 389 reports and studies were produced in 2023, they were mentioned 102 times in media and downloaded 74,761 times. </w:t>
            </w:r>
          </w:p>
          <w:p w14:paraId="4A139E5A"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Despite ENISA’s annual activity report which reads that 88% of stakeholders find significant added value in the results of ENISA’s work and 82% of stakeholders rating the likelihood of taking up the results of ENISA work in support of their tasks in the immediate to medium term, the study on the evaluation of ENISA</w:t>
            </w:r>
            <w:r w:rsidRPr="00F5382B">
              <w:rPr>
                <w:rStyle w:val="FootnoteReference"/>
                <w:noProof/>
              </w:rPr>
              <w:footnoteReference w:id="303"/>
            </w:r>
            <w:r w:rsidRPr="00F5382B">
              <w:rPr>
                <w:noProof/>
              </w:rPr>
              <w:t xml:space="preserve"> states that </w:t>
            </w:r>
            <w:r w:rsidRPr="00F5382B">
              <w:rPr>
                <w:b/>
                <w:bCs/>
                <w:noProof/>
              </w:rPr>
              <w:t>Agency’s reports could be better tailored to the stakeholders’ needs</w:t>
            </w:r>
            <w:r w:rsidRPr="00F5382B">
              <w:rPr>
                <w:noProof/>
              </w:rPr>
              <w:t xml:space="preserve"> (p. 10). Some stakeholders interviewed in the context of the evaluation perceived </w:t>
            </w:r>
            <w:r w:rsidRPr="00F5382B">
              <w:rPr>
                <w:b/>
                <w:bCs/>
                <w:noProof/>
              </w:rPr>
              <w:t xml:space="preserve">ENISA’s publications and guidelines as overly detailed, </w:t>
            </w:r>
            <w:r w:rsidRPr="00F5382B">
              <w:rPr>
                <w:noProof/>
              </w:rPr>
              <w:t xml:space="preserve">highlighting the need for more practical, hands-on guidance (p. 44).  </w:t>
            </w:r>
          </w:p>
          <w:p w14:paraId="6DAED1E3"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rFonts w:eastAsia="Times New Roman"/>
                <w:noProof/>
                <w:lang w:eastAsia="en-GB"/>
              </w:rPr>
              <w:t>ENISA stakeholders believe that better promotion and awareness of ENISA’s materials is needed to ensure that they reach a wider audience</w:t>
            </w:r>
            <w:r w:rsidRPr="00F5382B">
              <w:rPr>
                <w:rStyle w:val="FootnoteReference"/>
                <w:rFonts w:eastAsia="Times New Roman"/>
                <w:noProof/>
                <w:lang w:eastAsia="en-GB"/>
              </w:rPr>
              <w:footnoteReference w:id="304"/>
            </w:r>
            <w:r w:rsidRPr="00F5382B">
              <w:rPr>
                <w:noProof/>
              </w:rPr>
              <w:t xml:space="preserve"> </w:t>
            </w:r>
          </w:p>
          <w:p w14:paraId="66B6E095"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Open-ended contributions to the Public Consultation stated that </w:t>
            </w:r>
            <w:r w:rsidRPr="00F5382B">
              <w:rPr>
                <w:b/>
                <w:bCs/>
                <w:noProof/>
              </w:rPr>
              <w:t>ENISA should be a more proactive and technically authoritative</w:t>
            </w:r>
            <w:r w:rsidRPr="00F5382B">
              <w:rPr>
                <w:noProof/>
              </w:rPr>
              <w:t xml:space="preserve"> Agency that drives innovation, coherence, and resilience across the European cybersecurity landscape.</w:t>
            </w:r>
          </w:p>
          <w:p w14:paraId="10D29C5B"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For example, ENISA should play a more prominent role in the development of open standards, the coordination of cybersecurity exercises, and the creation of a European cybersecurity laboratory infrastructure.</w:t>
            </w:r>
          </w:p>
          <w:p w14:paraId="7AC51BEF"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lang w:val="en-IE"/>
              </w:rPr>
            </w:pPr>
            <w:r w:rsidRPr="00F5382B">
              <w:rPr>
                <w:noProof/>
                <w:lang w:val="en-IE"/>
              </w:rPr>
              <w:t>When asked whether ENISA is performing its technical tasks effectively, overall, 25.39 % of respondents to the Public Consultation answered yes, 27.98 % said no, and 46.63 % had no opinion.</w:t>
            </w:r>
          </w:p>
          <w:p w14:paraId="76CD8799"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lang w:val="en-IE"/>
              </w:rPr>
            </w:pPr>
            <w:r w:rsidRPr="00F5382B">
              <w:rPr>
                <w:noProof/>
                <w:lang w:val="en-IE"/>
              </w:rPr>
              <w:t>ENISA is not able to provide policy support in a satisfying way to its stakeholders</w:t>
            </w:r>
            <w:r w:rsidRPr="00F5382B">
              <w:rPr>
                <w:rStyle w:val="FootnoteReference"/>
                <w:noProof/>
                <w:lang w:val="en-IE"/>
              </w:rPr>
              <w:footnoteReference w:id="305"/>
            </w:r>
            <w:r w:rsidRPr="00F5382B">
              <w:rPr>
                <w:noProof/>
                <w:lang w:val="en-IE"/>
              </w:rPr>
              <w:t>.</w:t>
            </w:r>
          </w:p>
        </w:tc>
      </w:tr>
      <w:tr w:rsidR="00EE3DF9" w:rsidRPr="00F5382B" w14:paraId="33789B45" w14:textId="77777777">
        <w:tc>
          <w:tcPr>
            <w:cnfStyle w:val="001000000000" w:firstRow="0" w:lastRow="0" w:firstColumn="1" w:lastColumn="0" w:oddVBand="0" w:evenVBand="0" w:oddHBand="0" w:evenHBand="0" w:firstRowFirstColumn="0" w:firstRowLastColumn="0" w:lastRowFirstColumn="0" w:lastRowLastColumn="0"/>
            <w:tcW w:w="628" w:type="pct"/>
            <w:vMerge w:val="restart"/>
          </w:tcPr>
          <w:p w14:paraId="06FD64F7" w14:textId="77777777" w:rsidR="00EE3DF9" w:rsidRPr="00F5382B" w:rsidRDefault="00EE3DF9">
            <w:pPr>
              <w:spacing w:after="120"/>
              <w:jc w:val="left"/>
              <w:rPr>
                <w:noProof/>
              </w:rPr>
            </w:pPr>
            <w:r w:rsidRPr="00F5382B">
              <w:rPr>
                <w:noProof/>
              </w:rPr>
              <w:t>National authorities</w:t>
            </w:r>
          </w:p>
        </w:tc>
        <w:tc>
          <w:tcPr>
            <w:tcW w:w="1397" w:type="pct"/>
            <w:shd w:val="clear" w:color="auto" w:fill="auto"/>
          </w:tcPr>
          <w:p w14:paraId="4216FB66"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Assist Member States in</w:t>
            </w:r>
            <w:r w:rsidRPr="00F5382B">
              <w:rPr>
                <w:b/>
                <w:bCs/>
                <w:noProof/>
              </w:rPr>
              <w:t xml:space="preserve"> developing and implementing Union policies</w:t>
            </w:r>
            <w:r w:rsidRPr="00F5382B">
              <w:rPr>
                <w:noProof/>
              </w:rPr>
              <w:t xml:space="preserve"> related to cybersecurity, including </w:t>
            </w:r>
            <w:r w:rsidRPr="00F5382B">
              <w:rPr>
                <w:b/>
                <w:bCs/>
                <w:noProof/>
              </w:rPr>
              <w:t>sectoral</w:t>
            </w:r>
            <w:r w:rsidRPr="00F5382B">
              <w:rPr>
                <w:noProof/>
              </w:rPr>
              <w:t xml:space="preserve"> policies on cybersecurity</w:t>
            </w:r>
          </w:p>
          <w:p w14:paraId="06B73D38"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Support</w:t>
            </w:r>
            <w:r w:rsidRPr="00F5382B">
              <w:rPr>
                <w:b/>
                <w:bCs/>
                <w:noProof/>
              </w:rPr>
              <w:t xml:space="preserve"> capacity-building and preparedness</w:t>
            </w:r>
            <w:r w:rsidRPr="00F5382B">
              <w:rPr>
                <w:noProof/>
              </w:rPr>
              <w:t xml:space="preserve"> across the Union by assisting Member States to increase the protection of their network and information systems, to develop and improve cyber </w:t>
            </w:r>
            <w:r w:rsidRPr="00F5382B">
              <w:rPr>
                <w:b/>
                <w:bCs/>
                <w:noProof/>
              </w:rPr>
              <w:t>resilience</w:t>
            </w:r>
            <w:r w:rsidRPr="00F5382B">
              <w:rPr>
                <w:noProof/>
              </w:rPr>
              <w:t xml:space="preserve"> and </w:t>
            </w:r>
            <w:r w:rsidRPr="00F5382B">
              <w:rPr>
                <w:b/>
                <w:bCs/>
                <w:noProof/>
              </w:rPr>
              <w:t>response</w:t>
            </w:r>
            <w:r w:rsidRPr="00F5382B">
              <w:rPr>
                <w:noProof/>
              </w:rPr>
              <w:t xml:space="preserve"> capacities, and to develop </w:t>
            </w:r>
            <w:r w:rsidRPr="00F5382B">
              <w:rPr>
                <w:b/>
                <w:bCs/>
                <w:noProof/>
              </w:rPr>
              <w:t>skills</w:t>
            </w:r>
            <w:r w:rsidRPr="00F5382B">
              <w:rPr>
                <w:noProof/>
              </w:rPr>
              <w:t xml:space="preserve"> and competencies in the field of cybersecurity.</w:t>
            </w:r>
          </w:p>
          <w:p w14:paraId="3EB4338F"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222AC0DB"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The CRA single reporting platform is being established by ENISA, due to be finalized by mid-2026.</w:t>
            </w:r>
          </w:p>
        </w:tc>
        <w:tc>
          <w:tcPr>
            <w:tcW w:w="573" w:type="pct"/>
            <w:shd w:val="clear" w:color="auto" w:fill="auto"/>
          </w:tcPr>
          <w:p w14:paraId="5D35451C"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Partially </w:t>
            </w:r>
          </w:p>
        </w:tc>
        <w:tc>
          <w:tcPr>
            <w:tcW w:w="2402" w:type="pct"/>
            <w:shd w:val="clear" w:color="auto" w:fill="auto"/>
          </w:tcPr>
          <w:p w14:paraId="5FA91BCF"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Overall satisfaction of Member States is emphasized in the Council conclusions on ENISA</w:t>
            </w:r>
            <w:r w:rsidRPr="00F5382B">
              <w:rPr>
                <w:rStyle w:val="FootnoteReference"/>
                <w:noProof/>
              </w:rPr>
              <w:footnoteReference w:id="306"/>
            </w:r>
            <w:r w:rsidRPr="00F5382B">
              <w:rPr>
                <w:noProof/>
              </w:rPr>
              <w:t xml:space="preserve">: “RECOGNISES that over the past two decades ENISA has proven to be an invaluable entity in the European cybersecurity ecosystem, playing a crucial role in actively supporting Member States and EU institutions, bodies, offices and agencies (EUIBAs) in their implementation and development of cybersecurity policies, in their capacity-building and preparedness, in their cooperation and in their promotion of cybersecurity awareness and certification.  At the same time, the conclusions stress the need to enhance ENISA’s role in a number of areas.  </w:t>
            </w:r>
          </w:p>
          <w:p w14:paraId="759CCFD4"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ENISA published sectoral reports as well as NIS360 Report and NIS Investment report and conducts a mapping of National Strategies</w:t>
            </w:r>
            <w:r w:rsidRPr="00F5382B">
              <w:rPr>
                <w:rStyle w:val="FootnoteReference"/>
                <w:noProof/>
              </w:rPr>
              <w:footnoteReference w:id="307"/>
            </w:r>
          </w:p>
          <w:p w14:paraId="1BDDECFB"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ENISA contributed to major deliverables of the NIS Cooperation Gorup since the adoption of the NIS2 Directive, such as the Recommendations for the implementation of NIS2 Directive Article 28 (Database of domain name registration data), the Compendium on Elections Cybersecurity and Resilience (2024 Updated Version) and the Guidelines on implementing national Coordinated Vulnerability Disclosure (CVD) policies.</w:t>
            </w:r>
            <w:r w:rsidRPr="00F5382B">
              <w:rPr>
                <w:rStyle w:val="FootnoteReference"/>
                <w:noProof/>
              </w:rPr>
              <w:footnoteReference w:id="308"/>
            </w:r>
            <w:r w:rsidRPr="00F5382B">
              <w:rPr>
                <w:noProof/>
              </w:rPr>
              <w:t xml:space="preserve"> </w:t>
            </w:r>
          </w:p>
          <w:p w14:paraId="2BD9217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In 2023, ENISA developed and implemented the </w:t>
            </w:r>
            <w:r w:rsidRPr="00F5382B">
              <w:rPr>
                <w:b/>
                <w:bCs/>
                <w:noProof/>
              </w:rPr>
              <w:t>Cybersecurity Support Action</w:t>
            </w:r>
            <w:r w:rsidRPr="00F5382B">
              <w:rPr>
                <w:noProof/>
              </w:rPr>
              <w:t xml:space="preserve"> to assist Member States in their efforts to improve their capability to respond to cyber threats and incidents. The Council Conclusions on ENISA</w:t>
            </w:r>
            <w:r w:rsidRPr="00F5382B">
              <w:rPr>
                <w:rStyle w:val="FootnoteReference"/>
                <w:noProof/>
              </w:rPr>
              <w:footnoteReference w:id="309"/>
            </w:r>
            <w:r w:rsidRPr="00F5382B">
              <w:rPr>
                <w:noProof/>
              </w:rPr>
              <w:t xml:space="preserve"> recognise the benefits of the Cybersecurity Support Actions and highlights that ENISA should have a central role in the administration and operation of the EU Cybersecurity Reserve, taking its experience in the Support Action.</w:t>
            </w:r>
          </w:p>
          <w:p w14:paraId="43E69D1D"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In 2024, ENISA has organized online </w:t>
            </w:r>
            <w:r w:rsidRPr="00F5382B">
              <w:rPr>
                <w:b/>
                <w:bCs/>
                <w:noProof/>
              </w:rPr>
              <w:t>training</w:t>
            </w:r>
            <w:r w:rsidRPr="00F5382B">
              <w:rPr>
                <w:noProof/>
              </w:rPr>
              <w:t xml:space="preserve"> sessions for 3,800 public authorities participants from the cybersecurity community (impact not evaluated) and 220 individuals form the cyber communities benefitted from train-the-trainer and train-the-planner events</w:t>
            </w:r>
            <w:r w:rsidRPr="00F5382B">
              <w:rPr>
                <w:rStyle w:val="FootnoteReference"/>
                <w:noProof/>
              </w:rPr>
              <w:footnoteReference w:id="310"/>
            </w:r>
            <w:r w:rsidRPr="00F5382B">
              <w:rPr>
                <w:noProof/>
              </w:rPr>
              <w:t>.</w:t>
            </w:r>
          </w:p>
          <w:p w14:paraId="0126402C"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ENISA has conducted </w:t>
            </w:r>
            <w:r w:rsidRPr="00F5382B">
              <w:rPr>
                <w:b/>
                <w:bCs/>
                <w:noProof/>
              </w:rPr>
              <w:t>cybersecurity exercises on a biennial basis,</w:t>
            </w:r>
            <w:r w:rsidRPr="00F5382B">
              <w:rPr>
                <w:noProof/>
              </w:rPr>
              <w:t xml:space="preserve"> with lessons learned drawn and policy recommendations systematically made post exercise</w:t>
            </w:r>
          </w:p>
        </w:tc>
      </w:tr>
      <w:tr w:rsidR="00EE3DF9" w:rsidRPr="00F5382B" w14:paraId="730C25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vMerge/>
          </w:tcPr>
          <w:p w14:paraId="34E98441" w14:textId="77777777" w:rsidR="00EE3DF9" w:rsidRPr="00F5382B" w:rsidRDefault="00EE3DF9">
            <w:pPr>
              <w:spacing w:after="120"/>
              <w:rPr>
                <w:noProof/>
              </w:rPr>
            </w:pPr>
          </w:p>
        </w:tc>
        <w:tc>
          <w:tcPr>
            <w:tcW w:w="1397" w:type="pct"/>
          </w:tcPr>
          <w:p w14:paraId="7D837CF3"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b/>
                <w:bCs/>
                <w:noProof/>
              </w:rPr>
            </w:pPr>
            <w:r w:rsidRPr="00F5382B">
              <w:rPr>
                <w:b/>
                <w:bCs/>
                <w:noProof/>
              </w:rPr>
              <w:t>Effectiveness and efficient use of resources</w:t>
            </w:r>
          </w:p>
        </w:tc>
        <w:tc>
          <w:tcPr>
            <w:tcW w:w="573" w:type="pct"/>
          </w:tcPr>
          <w:p w14:paraId="385D7BD6"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No </w:t>
            </w:r>
          </w:p>
        </w:tc>
        <w:tc>
          <w:tcPr>
            <w:tcW w:w="2402" w:type="pct"/>
          </w:tcPr>
          <w:p w14:paraId="7564A538"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The 2024 Evaluation report highlights that ENISA </w:t>
            </w:r>
            <w:r w:rsidRPr="00F5382B">
              <w:rPr>
                <w:noProof/>
                <w:lang w:eastAsia="en-GB"/>
              </w:rPr>
              <w:t>is not able to implement its mandate efficiently and effectively due to a lack of resources</w:t>
            </w:r>
            <w:r w:rsidRPr="00F5382B">
              <w:rPr>
                <w:rStyle w:val="FootnoteReference"/>
                <w:noProof/>
              </w:rPr>
              <w:t xml:space="preserve"> </w:t>
            </w:r>
            <w:r w:rsidRPr="00F5382B">
              <w:rPr>
                <w:rStyle w:val="FootnoteReference"/>
                <w:noProof/>
              </w:rPr>
              <w:footnoteReference w:id="311"/>
            </w:r>
          </w:p>
          <w:p w14:paraId="31234570"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The Council invites the Commission to enhance “the effectiveness and efficient use of resources”, calling on the Commission to ensure that “ENISA’s mandate to support Member States and EU institutions, bodies, offices and agencies (EUIBAs) is focused and clearly-defined, with concrete strategic objectives and prioritised tasks, in addition to a more precise division of tasks and competences with respect to other actors”</w:t>
            </w:r>
            <w:r w:rsidRPr="00F5382B">
              <w:rPr>
                <w:rStyle w:val="FootnoteReference"/>
                <w:noProof/>
              </w:rPr>
              <w:footnoteReference w:id="312"/>
            </w:r>
          </w:p>
          <w:p w14:paraId="312BA956"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p>
        </w:tc>
      </w:tr>
      <w:tr w:rsidR="00EE3DF9" w:rsidRPr="00F5382B" w14:paraId="7C6D24F6" w14:textId="77777777">
        <w:tc>
          <w:tcPr>
            <w:cnfStyle w:val="001000000000" w:firstRow="0" w:lastRow="0" w:firstColumn="1" w:lastColumn="0" w:oddVBand="0" w:evenVBand="0" w:oddHBand="0" w:evenHBand="0" w:firstRowFirstColumn="0" w:firstRowLastColumn="0" w:lastRowFirstColumn="0" w:lastRowLastColumn="0"/>
            <w:tcW w:w="628" w:type="pct"/>
            <w:vMerge/>
          </w:tcPr>
          <w:p w14:paraId="33FFEBBE" w14:textId="77777777" w:rsidR="00EE3DF9" w:rsidRPr="00F5382B" w:rsidRDefault="00EE3DF9">
            <w:pPr>
              <w:spacing w:after="120"/>
              <w:rPr>
                <w:noProof/>
              </w:rPr>
            </w:pPr>
          </w:p>
        </w:tc>
        <w:tc>
          <w:tcPr>
            <w:tcW w:w="1397" w:type="pct"/>
            <w:shd w:val="clear" w:color="auto" w:fill="auto"/>
          </w:tcPr>
          <w:p w14:paraId="7C0399BB"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Promote </w:t>
            </w:r>
            <w:r w:rsidRPr="00F5382B">
              <w:rPr>
                <w:b/>
                <w:bCs/>
                <w:noProof/>
              </w:rPr>
              <w:t>cooperation</w:t>
            </w:r>
            <w:r w:rsidRPr="00F5382B">
              <w:rPr>
                <w:noProof/>
              </w:rPr>
              <w:t xml:space="preserve">, including </w:t>
            </w:r>
            <w:r w:rsidRPr="00F5382B">
              <w:rPr>
                <w:b/>
                <w:bCs/>
                <w:noProof/>
              </w:rPr>
              <w:t>information sharing and coordination</w:t>
            </w:r>
            <w:r w:rsidRPr="00F5382B">
              <w:rPr>
                <w:noProof/>
              </w:rPr>
              <w:t xml:space="preserve"> at Union level</w:t>
            </w:r>
          </w:p>
          <w:p w14:paraId="312DA69A"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Contribute to increasing </w:t>
            </w:r>
            <w:r w:rsidRPr="00F5382B">
              <w:rPr>
                <w:b/>
                <w:bCs/>
                <w:noProof/>
              </w:rPr>
              <w:t>cybersecurity capabilities</w:t>
            </w:r>
            <w:r w:rsidRPr="00F5382B">
              <w:rPr>
                <w:noProof/>
              </w:rPr>
              <w:t xml:space="preserve"> at Union level in order to support the actions of Member States in preventing and responding to cyber threats, in particular in the event of cross-border incidents.</w:t>
            </w:r>
          </w:p>
        </w:tc>
        <w:tc>
          <w:tcPr>
            <w:tcW w:w="573" w:type="pct"/>
            <w:shd w:val="clear" w:color="auto" w:fill="auto"/>
          </w:tcPr>
          <w:p w14:paraId="3F5D2B9A"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lang w:val="en-IE"/>
              </w:rPr>
            </w:pPr>
            <w:r w:rsidRPr="00F5382B">
              <w:rPr>
                <w:noProof/>
                <w:lang w:val="en-IE"/>
              </w:rPr>
              <w:t>Mostly not</w:t>
            </w:r>
          </w:p>
        </w:tc>
        <w:tc>
          <w:tcPr>
            <w:tcW w:w="2402" w:type="pct"/>
            <w:shd w:val="clear" w:color="auto" w:fill="auto"/>
          </w:tcPr>
          <w:p w14:paraId="745E7B9F"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ENISA provided support to set up or enhance capabilities of CSIRTs through exercises and supporting information sharing as secretariat to the group.</w:t>
            </w:r>
          </w:p>
          <w:p w14:paraId="67B98A4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However, Member States expressed clearly in the Council conclusions on ENISA that their </w:t>
            </w:r>
            <w:r w:rsidRPr="00F5382B">
              <w:rPr>
                <w:b/>
                <w:bCs/>
                <w:noProof/>
              </w:rPr>
              <w:t>cooperation expectations were not met,</w:t>
            </w:r>
            <w:r w:rsidRPr="00F5382B">
              <w:rPr>
                <w:noProof/>
              </w:rPr>
              <w:t xml:space="preserve"> with the Council calling in particular for enhancing common situational awareness and to further build trust with Member States on information sharing. </w:t>
            </w:r>
            <w:r w:rsidRPr="00F5382B">
              <w:rPr>
                <w:rStyle w:val="FootnoteReference"/>
                <w:noProof/>
              </w:rPr>
              <w:footnoteReference w:id="313"/>
            </w:r>
          </w:p>
          <w:p w14:paraId="53FBC2CD"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rFonts w:eastAsia="Times New Roman"/>
                <w:noProof/>
              </w:rPr>
            </w:pPr>
            <w:r w:rsidRPr="00F5382B">
              <w:rPr>
                <w:noProof/>
              </w:rPr>
              <w:t xml:space="preserve">In addition, </w:t>
            </w:r>
            <w:r w:rsidRPr="00F5382B">
              <w:rPr>
                <w:b/>
                <w:bCs/>
                <w:noProof/>
              </w:rPr>
              <w:t>ENISA did not meet the target for 2024</w:t>
            </w:r>
            <w:r w:rsidRPr="00F5382B">
              <w:rPr>
                <w:noProof/>
              </w:rPr>
              <w:t xml:space="preserve"> for the tasks “ENISA is able to provide regular risk monitoring towards specific targets or at the national level, including by leveraging commercial off-the-shelf platforms, and provide specific risk assessments and threat landscapes as requested by MS” (target set on 50%, result for 2024 was 30%)</w:t>
            </w:r>
            <w:r w:rsidRPr="00F5382B">
              <w:rPr>
                <w:rStyle w:val="FootnoteReference"/>
                <w:noProof/>
              </w:rPr>
              <w:footnoteReference w:id="314"/>
            </w:r>
            <w:r w:rsidRPr="00F5382B">
              <w:rPr>
                <w:noProof/>
              </w:rPr>
              <w:t>.</w:t>
            </w:r>
          </w:p>
        </w:tc>
      </w:tr>
      <w:tr w:rsidR="00EE3DF9" w:rsidRPr="00F5382B" w14:paraId="026679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14:paraId="022FE031" w14:textId="77777777" w:rsidR="00EE3DF9" w:rsidRPr="00F5382B" w:rsidRDefault="00EE3DF9">
            <w:pPr>
              <w:spacing w:after="120"/>
              <w:rPr>
                <w:noProof/>
              </w:rPr>
            </w:pPr>
            <w:r w:rsidRPr="00F5382B">
              <w:rPr>
                <w:noProof/>
              </w:rPr>
              <w:t>Companies</w:t>
            </w:r>
          </w:p>
        </w:tc>
        <w:tc>
          <w:tcPr>
            <w:tcW w:w="1397" w:type="pct"/>
          </w:tcPr>
          <w:p w14:paraId="01B85DCB"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lang w:val="en-IE"/>
              </w:rPr>
            </w:pPr>
            <w:r w:rsidRPr="00F5382B">
              <w:rPr>
                <w:noProof/>
              </w:rPr>
              <w:t>S</w:t>
            </w:r>
            <w:r w:rsidRPr="00F5382B">
              <w:rPr>
                <w:noProof/>
                <w:lang w:val="en-IE"/>
              </w:rPr>
              <w:t xml:space="preserve">upport </w:t>
            </w:r>
            <w:r w:rsidRPr="00F5382B">
              <w:rPr>
                <w:b/>
                <w:bCs/>
                <w:noProof/>
                <w:lang w:val="en-IE"/>
              </w:rPr>
              <w:t>capacity-building and preparedness</w:t>
            </w:r>
            <w:r w:rsidRPr="00F5382B">
              <w:rPr>
                <w:noProof/>
                <w:lang w:val="en-IE"/>
              </w:rPr>
              <w:t xml:space="preserve"> across the Union by assisting private stakeholders </w:t>
            </w:r>
          </w:p>
        </w:tc>
        <w:tc>
          <w:tcPr>
            <w:tcW w:w="573" w:type="pct"/>
          </w:tcPr>
          <w:p w14:paraId="18F2EBC0"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Partially</w:t>
            </w:r>
          </w:p>
        </w:tc>
        <w:tc>
          <w:tcPr>
            <w:tcW w:w="2402" w:type="pct"/>
          </w:tcPr>
          <w:p w14:paraId="3A4AD54D"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ENISA has developed cooperation with the private sector in recent years. However, the Council encourages ENISA to work in close cooperation with the Member States and across EU entities to bolster cooperation with the private sector because of its continuous monitoring of the cyber threat landscape which could help to improve </w:t>
            </w:r>
            <w:r w:rsidRPr="00F5382B">
              <w:rPr>
                <w:b/>
                <w:bCs/>
                <w:noProof/>
              </w:rPr>
              <w:t>common situational awareness</w:t>
            </w:r>
            <w:r w:rsidRPr="00F5382B">
              <w:rPr>
                <w:rStyle w:val="FootnoteReference"/>
                <w:noProof/>
              </w:rPr>
              <w:footnoteReference w:id="315"/>
            </w:r>
            <w:r w:rsidRPr="00F5382B">
              <w:rPr>
                <w:noProof/>
              </w:rPr>
              <w:t>.</w:t>
            </w:r>
          </w:p>
          <w:p w14:paraId="63E5B1CC"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rFonts w:eastAsia="Times New Roman"/>
                <w:noProof/>
                <w:lang w:eastAsia="en-GB"/>
              </w:rPr>
              <w:t>Stakeholders perceive ENISA’s operational activities, in particular through the National CSIRTs, as "closed", which requires them to directly engage with the Member States to improve their access to the ENISA’s activities</w:t>
            </w:r>
            <w:r w:rsidRPr="00F5382B">
              <w:rPr>
                <w:rStyle w:val="FootnoteReference"/>
                <w:rFonts w:eastAsia="Times New Roman"/>
                <w:noProof/>
                <w:lang w:eastAsia="en-GB"/>
              </w:rPr>
              <w:footnoteReference w:id="316"/>
            </w:r>
          </w:p>
          <w:p w14:paraId="7DE2CA07"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ENISA did not perform skill-related activity targeting the cybersecurity workforce in support of industry, with the exception of the development of the </w:t>
            </w:r>
            <w:r w:rsidRPr="00F5382B">
              <w:rPr>
                <w:b/>
                <w:bCs/>
                <w:noProof/>
              </w:rPr>
              <w:t>European Cybersecurity Skills Framework</w:t>
            </w:r>
            <w:r w:rsidRPr="00F5382B">
              <w:rPr>
                <w:noProof/>
              </w:rPr>
              <w:t xml:space="preserve"> (2022) and the organisation of the annual </w:t>
            </w:r>
            <w:r w:rsidRPr="00F5382B">
              <w:rPr>
                <w:b/>
                <w:bCs/>
                <w:noProof/>
              </w:rPr>
              <w:t>European Cybersecurity Skills Conferences</w:t>
            </w:r>
            <w:r w:rsidRPr="00F5382B">
              <w:rPr>
                <w:noProof/>
              </w:rPr>
              <w:t xml:space="preserve"> (since 2022)</w:t>
            </w:r>
            <w:r w:rsidRPr="00F5382B">
              <w:rPr>
                <w:rStyle w:val="FootnoteReference"/>
                <w:noProof/>
              </w:rPr>
              <w:footnoteReference w:id="317"/>
            </w:r>
            <w:r w:rsidRPr="00F5382B">
              <w:rPr>
                <w:noProof/>
              </w:rPr>
              <w:t>.</w:t>
            </w:r>
          </w:p>
          <w:p w14:paraId="006D7678"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b/>
                <w:bCs/>
                <w:noProof/>
              </w:rPr>
            </w:pPr>
            <w:r w:rsidRPr="00F5382B">
              <w:rPr>
                <w:noProof/>
              </w:rPr>
              <w:t>Publication of technical guidelines, notably the Technical Implementation Guidance and Mapping for companies subject to Commission Implementing Regulation (EU) 2024/2690, where individuals, private organisations, associations and members of the open source software community that contributed to an open consultation.</w:t>
            </w:r>
          </w:p>
        </w:tc>
      </w:tr>
      <w:tr w:rsidR="00EE3DF9" w:rsidRPr="00F5382B" w14:paraId="57A43C32" w14:textId="77777777">
        <w:trPr>
          <w:trHeight w:val="1408"/>
        </w:trPr>
        <w:tc>
          <w:tcPr>
            <w:cnfStyle w:val="001000000000" w:firstRow="0" w:lastRow="0" w:firstColumn="1" w:lastColumn="0" w:oddVBand="0" w:evenVBand="0" w:oddHBand="0" w:evenHBand="0" w:firstRowFirstColumn="0" w:firstRowLastColumn="0" w:lastRowFirstColumn="0" w:lastRowLastColumn="0"/>
            <w:tcW w:w="628" w:type="pct"/>
          </w:tcPr>
          <w:p w14:paraId="305EDE52" w14:textId="77777777" w:rsidR="00EE3DF9" w:rsidRPr="00F5382B" w:rsidRDefault="00EE3DF9">
            <w:pPr>
              <w:spacing w:after="120"/>
              <w:rPr>
                <w:noProof/>
              </w:rPr>
            </w:pPr>
            <w:r w:rsidRPr="00F5382B">
              <w:rPr>
                <w:noProof/>
              </w:rPr>
              <w:t>European Union institutions, bodies, offices and agencies (EUIBAs)</w:t>
            </w:r>
          </w:p>
        </w:tc>
        <w:tc>
          <w:tcPr>
            <w:tcW w:w="1397" w:type="pct"/>
            <w:shd w:val="clear" w:color="auto" w:fill="auto"/>
          </w:tcPr>
          <w:p w14:paraId="4283C17F"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b/>
                <w:bCs/>
                <w:noProof/>
              </w:rPr>
              <w:t>Assist EUIBAs</w:t>
            </w:r>
            <w:r w:rsidRPr="00F5382B">
              <w:rPr>
                <w:noProof/>
              </w:rPr>
              <w:t xml:space="preserve"> in developing and implementing Union policies related to cybersecurity, including sectoral policies on cybersecurity</w:t>
            </w:r>
          </w:p>
          <w:p w14:paraId="53A2FE30"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lang w:val="en-IE"/>
              </w:rPr>
            </w:pPr>
            <w:r w:rsidRPr="00F5382B">
              <w:rPr>
                <w:noProof/>
                <w:lang w:val="en-IE"/>
              </w:rPr>
              <w:t xml:space="preserve">Support </w:t>
            </w:r>
            <w:r w:rsidRPr="00F5382B">
              <w:rPr>
                <w:b/>
                <w:bCs/>
                <w:noProof/>
                <w:lang w:val="en-IE"/>
              </w:rPr>
              <w:t>capacity-building and preparedness</w:t>
            </w:r>
            <w:r w:rsidRPr="00F5382B">
              <w:rPr>
                <w:noProof/>
                <w:lang w:val="en-IE"/>
              </w:rPr>
              <w:t xml:space="preserve"> across the Union by assisting the Union institutions, bodies, offices and agencies to increase the protection of their network and information systems, to develop and improve cyber resilience and response capacities, and to develop skills and competencies in the field of cybersecurity.</w:t>
            </w:r>
          </w:p>
        </w:tc>
        <w:tc>
          <w:tcPr>
            <w:tcW w:w="573" w:type="pct"/>
            <w:shd w:val="clear" w:color="auto" w:fill="auto"/>
          </w:tcPr>
          <w:p w14:paraId="2EFE5FE4"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lang w:val="en-IE"/>
              </w:rPr>
            </w:pPr>
            <w:r w:rsidRPr="00F5382B">
              <w:rPr>
                <w:noProof/>
                <w:lang w:val="en-IE"/>
              </w:rPr>
              <w:t>Mostly met</w:t>
            </w:r>
          </w:p>
        </w:tc>
        <w:tc>
          <w:tcPr>
            <w:tcW w:w="2402" w:type="pct"/>
            <w:shd w:val="clear" w:color="auto" w:fill="auto"/>
          </w:tcPr>
          <w:p w14:paraId="6FB1693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lang w:val="en-IE"/>
              </w:rPr>
            </w:pPr>
            <w:r w:rsidRPr="00F5382B">
              <w:rPr>
                <w:noProof/>
                <w:lang w:val="en-IE"/>
              </w:rPr>
              <w:t>ENISA has concluded:</w:t>
            </w:r>
          </w:p>
          <w:p w14:paraId="041F714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a service level agreement with EU-LISA which covers support services on the planning, execution and evaluation of exercises</w:t>
            </w:r>
          </w:p>
          <w:p w14:paraId="454A6187"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 a MoU with the European Cybersecurity Competence Centre (ECCC) to help to tackle the skills gap in cybersecurity under the European Cybersecurity Skills Framework, to set up a joint cybersecurity market observatory to help ENISA fulfil its new market related tasks under the CRA </w:t>
            </w:r>
          </w:p>
          <w:p w14:paraId="518C479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 MoUs with the European Railway Agency (ERA), the European Banking Authority (EBA), ESMA and EIOPA (concerning the implementation of incident reporting under DORA and its alignment with other corresponding NIS2 requirements) on incident reporting </w:t>
            </w:r>
          </w:p>
          <w:p w14:paraId="0DA44E7F"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7364064C"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ENISA also established structured cooperation with CERT-EU in 2020, supporting joint situational awareness reports. ENISA and CERT-EU cooperation has been strengthened by joint work on the EUIBA Standard Operating Procedures, which serve as a foundation for coordinated responses to incidents and intelligence sharing with other EU agencies.</w:t>
            </w:r>
          </w:p>
          <w:p w14:paraId="5F52793C"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The agency executed its biennial Cyber Europe flagship exercise in 2024, helping to improve and develop the capabilities of MS and EUIBAs, as well as various sectors, to respond to cyber threats and incidents, raise resilience and increase preparedness across the EU.</w:t>
            </w:r>
          </w:p>
          <w:p w14:paraId="7A01D4BA"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The agency made positive strides to meet the obligations of Regulation (EU, Euratom) 2023/2841 on a high common level of cybersecurity at EUIBAs, including by conducting risk assessments and a horizontal cybersecurity audit that will form the basis for the agency’s long-term cybersecurity strategy and planning.</w:t>
            </w:r>
            <w:r w:rsidRPr="00F5382B">
              <w:rPr>
                <w:rStyle w:val="FootnoteReference"/>
                <w:noProof/>
              </w:rPr>
              <w:footnoteReference w:id="318"/>
            </w:r>
          </w:p>
          <w:p w14:paraId="334ACCEC" w14:textId="77777777" w:rsidR="00EE3DF9" w:rsidRPr="00F5382B" w:rsidRDefault="00EE3DF9">
            <w:pPr>
              <w:pStyle w:val="Body"/>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5382B">
              <w:rPr>
                <w:rFonts w:ascii="Times New Roman" w:hAnsi="Times New Roman"/>
                <w:sz w:val="24"/>
                <w:szCs w:val="24"/>
              </w:rPr>
              <w:t>The ECA report highlighted that ENISA dropped a planned assessment of EUIBAs’ cybersecurity maturity due to lack of resources. Training efforts have primarily targeted Member States, with limited focus on EUIBAs, and minor support was provided to CERT-EU.</w:t>
            </w:r>
            <w:r w:rsidRPr="00F5382B">
              <w:rPr>
                <w:rStyle w:val="FootnoteReference"/>
                <w:rFonts w:ascii="Times New Roman" w:hAnsi="Times New Roman"/>
                <w:sz w:val="24"/>
                <w:szCs w:val="24"/>
              </w:rPr>
              <w:footnoteReference w:id="319"/>
            </w:r>
            <w:r w:rsidRPr="00F5382B">
              <w:rPr>
                <w:rFonts w:ascii="Times New Roman" w:hAnsi="Times New Roman"/>
                <w:sz w:val="24"/>
                <w:szCs w:val="24"/>
              </w:rPr>
              <w:t xml:space="preserve"> Interviewed ENISA staff mentioned that ENISA shifted to a "train the trainers" model, helping communities reach a maturity level where they can organise their own exercises, to save costs and increase ENISA’s effectiveness.</w:t>
            </w:r>
          </w:p>
        </w:tc>
      </w:tr>
      <w:tr w:rsidR="00EE3DF9" w:rsidRPr="00F5382B" w14:paraId="2AF277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8" w:type="pct"/>
          </w:tcPr>
          <w:p w14:paraId="52A6286C" w14:textId="77777777" w:rsidR="00EE3DF9" w:rsidRPr="00F5382B" w:rsidRDefault="00EE3DF9">
            <w:pPr>
              <w:spacing w:after="120"/>
              <w:rPr>
                <w:noProof/>
              </w:rPr>
            </w:pPr>
            <w:r w:rsidRPr="00F5382B">
              <w:rPr>
                <w:noProof/>
              </w:rPr>
              <w:t>Citizens</w:t>
            </w:r>
          </w:p>
        </w:tc>
        <w:tc>
          <w:tcPr>
            <w:tcW w:w="1397" w:type="pct"/>
          </w:tcPr>
          <w:p w14:paraId="4B69A468" w14:textId="77777777" w:rsidR="00EE3DF9" w:rsidRPr="00F5382B" w:rsidRDefault="00EE3DF9">
            <w:pPr>
              <w:spacing w:after="120"/>
              <w:jc w:val="left"/>
              <w:cnfStyle w:val="000000100000" w:firstRow="0" w:lastRow="0" w:firstColumn="0" w:lastColumn="0" w:oddVBand="0" w:evenVBand="0" w:oddHBand="1" w:evenHBand="0" w:firstRowFirstColumn="0" w:firstRowLastColumn="0" w:lastRowFirstColumn="0" w:lastRowLastColumn="0"/>
              <w:rPr>
                <w:noProof/>
              </w:rPr>
            </w:pPr>
            <w:r w:rsidRPr="00F5382B">
              <w:rPr>
                <w:noProof/>
              </w:rPr>
              <w:t>- On awareness: promote a high level of cybersecurity awareness, including cyber-hygiene and cyber-literacy among citizens, organisations and businesses</w:t>
            </w:r>
          </w:p>
          <w:p w14:paraId="2ED4F636"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lang w:val="en-IE"/>
              </w:rPr>
            </w:pPr>
            <w:r w:rsidRPr="00F5382B">
              <w:rPr>
                <w:noProof/>
              </w:rPr>
              <w:t xml:space="preserve">- On skills for professionals: </w:t>
            </w:r>
            <w:r w:rsidRPr="00F5382B">
              <w:rPr>
                <w:noProof/>
                <w:lang w:val="en-IE"/>
              </w:rPr>
              <w:t xml:space="preserve">to develop skills and competencies in the field of cybersecurity </w:t>
            </w:r>
          </w:p>
        </w:tc>
        <w:tc>
          <w:tcPr>
            <w:tcW w:w="573" w:type="pct"/>
          </w:tcPr>
          <w:p w14:paraId="3AF63395"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Partially awareness</w:t>
            </w:r>
          </w:p>
          <w:p w14:paraId="1225BD4A"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p>
          <w:p w14:paraId="4CDB7169"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No for skills for professionals</w:t>
            </w:r>
          </w:p>
        </w:tc>
        <w:tc>
          <w:tcPr>
            <w:tcW w:w="2402" w:type="pct"/>
          </w:tcPr>
          <w:p w14:paraId="199AA575"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rFonts w:eastAsia="Times New Roman"/>
                <w:noProof/>
                <w:lang w:eastAsia="en-IE"/>
              </w:rPr>
            </w:pPr>
            <w:r w:rsidRPr="00F5382B">
              <w:rPr>
                <w:noProof/>
              </w:rPr>
              <w:t xml:space="preserve">Yearly cybersecurity </w:t>
            </w:r>
            <w:r w:rsidRPr="00F5382B">
              <w:rPr>
                <w:b/>
                <w:bCs/>
                <w:noProof/>
              </w:rPr>
              <w:t xml:space="preserve">awareness campaign widely supported by </w:t>
            </w:r>
            <w:r w:rsidRPr="00F5382B">
              <w:rPr>
                <w:rFonts w:eastAsia="Times New Roman"/>
                <w:b/>
                <w:bCs/>
                <w:noProof/>
                <w:lang w:eastAsia="en-IE"/>
              </w:rPr>
              <w:t>78.75 % of respondents to the public consultation</w:t>
            </w:r>
            <w:r w:rsidRPr="00F5382B">
              <w:rPr>
                <w:rFonts w:eastAsia="Times New Roman"/>
                <w:noProof/>
                <w:lang w:eastAsia="en-IE"/>
              </w:rPr>
              <w:t xml:space="preserve"> agreeing or strongly agreeing. </w:t>
            </w:r>
          </w:p>
          <w:p w14:paraId="5CCA4AF3"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rFonts w:eastAsia="Times New Roman"/>
                <w:noProof/>
                <w:lang w:eastAsia="en-IE"/>
              </w:rPr>
              <w:t>Publication of toolkits and course “</w:t>
            </w:r>
            <w:r w:rsidRPr="00F5382B">
              <w:rPr>
                <w:rFonts w:eastAsia="Times New Roman"/>
                <w:b/>
                <w:bCs/>
                <w:noProof/>
                <w:lang w:eastAsia="en-IE"/>
              </w:rPr>
              <w:t>Awareness raising in-a-box</w:t>
            </w:r>
            <w:r w:rsidRPr="00F5382B">
              <w:rPr>
                <w:rFonts w:eastAsia="Times New Roman"/>
                <w:noProof/>
                <w:lang w:eastAsia="en-IE"/>
              </w:rPr>
              <w:t>”: 2 725 visitors, 68 694 pageviews, 4 352 downloads</w:t>
            </w:r>
            <w:r w:rsidRPr="00F5382B">
              <w:rPr>
                <w:rStyle w:val="FootnoteReference"/>
                <w:rFonts w:eastAsia="Times New Roman"/>
                <w:noProof/>
                <w:lang w:eastAsia="en-IE"/>
              </w:rPr>
              <w:footnoteReference w:id="320"/>
            </w:r>
          </w:p>
          <w:p w14:paraId="57AA3720"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Development of </w:t>
            </w:r>
            <w:r w:rsidRPr="00F5382B">
              <w:rPr>
                <w:b/>
                <w:bCs/>
                <w:noProof/>
              </w:rPr>
              <w:t>Cybersecurity Higher Education Database (CyberHEAD)</w:t>
            </w:r>
            <w:r w:rsidRPr="00F5382B">
              <w:rPr>
                <w:rStyle w:val="FootnoteReference"/>
                <w:noProof/>
              </w:rPr>
              <w:footnoteReference w:id="321"/>
            </w:r>
            <w:r w:rsidRPr="00F5382B">
              <w:rPr>
                <w:noProof/>
              </w:rPr>
              <w:t> which enables perspective students to make well-informed decisions about the diverse academic paths available in cybersecurity. However, the database future is uncertain due to funding.</w:t>
            </w:r>
          </w:p>
          <w:p w14:paraId="3811A137"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b/>
                <w:bCs/>
                <w:noProof/>
              </w:rPr>
              <w:t>Cybersecurity skills and workforce development activities have been deprioritized</w:t>
            </w:r>
            <w:r w:rsidRPr="00F5382B">
              <w:rPr>
                <w:noProof/>
              </w:rPr>
              <w:t>, notably training activities and Capture The Flag competitions: “the plan is to gradually transfer knowledge and empower MSs, in particular NCCs, national operational communities and the ECCC, and to organise and financially support CTF training sessions at national and EU level with ENISA maintaining a facilitating role”. ENISA will further “limit the number of targeted exercises and training sessions focusing on empowering the trainers with the intention to enhance the resilience, maturity and preparedness of NIS sectors”</w:t>
            </w:r>
            <w:r w:rsidRPr="00F5382B">
              <w:rPr>
                <w:rStyle w:val="FootnoteReference"/>
                <w:noProof/>
              </w:rPr>
              <w:footnoteReference w:id="322"/>
            </w:r>
          </w:p>
          <w:p w14:paraId="1762859D"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rFonts w:eastAsia="Times New Roman"/>
                <w:noProof/>
                <w:lang w:eastAsia="en-IE"/>
              </w:rPr>
            </w:pPr>
            <w:r w:rsidRPr="00F5382B">
              <w:rPr>
                <w:rFonts w:eastAsia="Times New Roman"/>
                <w:noProof/>
                <w:lang w:eastAsia="en-IE"/>
              </w:rPr>
              <w:t xml:space="preserve">The disengagement of the agency towards cybersecurity professionals marks a </w:t>
            </w:r>
            <w:r w:rsidRPr="00F5382B">
              <w:rPr>
                <w:rFonts w:eastAsia="Times New Roman"/>
                <w:b/>
                <w:bCs/>
                <w:noProof/>
                <w:lang w:eastAsia="en-IE"/>
              </w:rPr>
              <w:t>discrepancy with 69.43% of respondents to the public consultation who indicated that ENISA should lead the development of an attestation scheme for cybersecurity skills</w:t>
            </w:r>
            <w:r w:rsidRPr="00F5382B">
              <w:rPr>
                <w:rStyle w:val="FootnoteReference"/>
                <w:rFonts w:eastAsia="Times New Roman"/>
                <w:b/>
                <w:bCs/>
                <w:noProof/>
                <w:lang w:eastAsia="en-IE"/>
              </w:rPr>
              <w:footnoteReference w:id="323"/>
            </w:r>
            <w:r w:rsidRPr="00F5382B">
              <w:rPr>
                <w:rFonts w:eastAsia="Times New Roman"/>
                <w:b/>
                <w:bCs/>
                <w:noProof/>
                <w:lang w:eastAsia="en-IE"/>
              </w:rPr>
              <w:t>,</w:t>
            </w:r>
            <w:r w:rsidRPr="00F5382B">
              <w:rPr>
                <w:rFonts w:eastAsia="Times New Roman"/>
                <w:noProof/>
                <w:lang w:eastAsia="en-IE"/>
              </w:rPr>
              <w:t xml:space="preserve"> indicating overall support for professional skills development framework.</w:t>
            </w:r>
          </w:p>
          <w:p w14:paraId="39AC8837"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rFonts w:eastAsia="Times New Roman"/>
                <w:noProof/>
                <w:lang w:eastAsia="en-IE"/>
              </w:rPr>
            </w:pPr>
            <w:r w:rsidRPr="00F5382B">
              <w:rPr>
                <w:rFonts w:eastAsia="Times New Roman"/>
                <w:noProof/>
                <w:lang w:eastAsia="en-IE"/>
              </w:rPr>
              <w:t>ENISA does not offer trainings to citizens</w:t>
            </w:r>
            <w:r w:rsidRPr="00F5382B">
              <w:rPr>
                <w:rStyle w:val="FootnoteReference"/>
                <w:rFonts w:eastAsia="Times New Roman"/>
                <w:noProof/>
                <w:lang w:eastAsia="en-IE"/>
              </w:rPr>
              <w:footnoteReference w:id="324"/>
            </w:r>
          </w:p>
        </w:tc>
      </w:tr>
    </w:tbl>
    <w:p w14:paraId="32F09A8B" w14:textId="77777777" w:rsidR="00EE3DF9" w:rsidRPr="00F5382B" w:rsidRDefault="00EE3DF9" w:rsidP="00EE3DF9">
      <w:pPr>
        <w:rPr>
          <w:noProof/>
        </w:rPr>
      </w:pPr>
    </w:p>
    <w:p w14:paraId="5365843C" w14:textId="55A4A443" w:rsidR="00EE3DF9" w:rsidRPr="00F5382B" w:rsidRDefault="00EE3DF9" w:rsidP="00EE3DF9">
      <w:pPr>
        <w:pStyle w:val="Heading5"/>
        <w:rPr>
          <w:noProof/>
        </w:rPr>
      </w:pPr>
      <w:bookmarkStart w:id="659" w:name="_Toc218767824"/>
      <w:r w:rsidRPr="00F5382B">
        <w:rPr>
          <w:noProof/>
        </w:rPr>
        <w:t xml:space="preserve">Table </w:t>
      </w:r>
      <w:r w:rsidR="000475F6">
        <w:rPr>
          <w:noProof/>
        </w:rPr>
        <w:t>31</w:t>
      </w:r>
      <w:r w:rsidRPr="00F5382B">
        <w:rPr>
          <w:noProof/>
        </w:rPr>
        <w:t>: ENISA’s key stakeholders, their expectations and unmet needs in relation to the ECCF</w:t>
      </w:r>
      <w:bookmarkEnd w:id="659"/>
    </w:p>
    <w:tbl>
      <w:tblPr>
        <w:tblStyle w:val="GridTable5Dark-Accent1"/>
        <w:tblW w:w="5000" w:type="pct"/>
        <w:tblLook w:val="04A0" w:firstRow="1" w:lastRow="0" w:firstColumn="1" w:lastColumn="0" w:noHBand="0" w:noVBand="1"/>
      </w:tblPr>
      <w:tblGrid>
        <w:gridCol w:w="2127"/>
        <w:gridCol w:w="3154"/>
        <w:gridCol w:w="2090"/>
        <w:gridCol w:w="5805"/>
      </w:tblGrid>
      <w:tr w:rsidR="00EE3DF9" w:rsidRPr="00F5382B" w14:paraId="53655E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tcPr>
          <w:p w14:paraId="788EE568" w14:textId="77777777" w:rsidR="00EE3DF9" w:rsidRPr="00F5382B" w:rsidRDefault="00EE3DF9">
            <w:pPr>
              <w:spacing w:after="120"/>
              <w:jc w:val="center"/>
              <w:rPr>
                <w:noProof/>
              </w:rPr>
            </w:pPr>
            <w:r w:rsidRPr="00F5382B">
              <w:rPr>
                <w:noProof/>
              </w:rPr>
              <w:t>Key stakeholders</w:t>
            </w:r>
          </w:p>
        </w:tc>
        <w:tc>
          <w:tcPr>
            <w:tcW w:w="1197" w:type="pct"/>
          </w:tcPr>
          <w:p w14:paraId="1D03D167"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i/>
                <w:iCs/>
                <w:noProof/>
              </w:rPr>
            </w:pPr>
            <w:r w:rsidRPr="00F5382B">
              <w:rPr>
                <w:noProof/>
              </w:rPr>
              <w:t>Expectations from stakeholders</w:t>
            </w:r>
          </w:p>
        </w:tc>
        <w:tc>
          <w:tcPr>
            <w:tcW w:w="793" w:type="pct"/>
          </w:tcPr>
          <w:p w14:paraId="36851165"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noProof/>
              </w:rPr>
            </w:pPr>
            <w:r w:rsidRPr="00F5382B">
              <w:rPr>
                <w:noProof/>
              </w:rPr>
              <w:t>Are the needs met?</w:t>
            </w:r>
          </w:p>
        </w:tc>
        <w:tc>
          <w:tcPr>
            <w:tcW w:w="2203" w:type="pct"/>
          </w:tcPr>
          <w:p w14:paraId="29F91347" w14:textId="77777777" w:rsidR="00EE3DF9" w:rsidRPr="00F5382B" w:rsidRDefault="00EE3DF9">
            <w:pPr>
              <w:spacing w:after="120"/>
              <w:jc w:val="center"/>
              <w:cnfStyle w:val="100000000000" w:firstRow="1" w:lastRow="0" w:firstColumn="0" w:lastColumn="0" w:oddVBand="0" w:evenVBand="0" w:oddHBand="0" w:evenHBand="0" w:firstRowFirstColumn="0" w:firstRowLastColumn="0" w:lastRowFirstColumn="0" w:lastRowLastColumn="0"/>
              <w:rPr>
                <w:noProof/>
              </w:rPr>
            </w:pPr>
            <w:r w:rsidRPr="00F5382B">
              <w:rPr>
                <w:noProof/>
              </w:rPr>
              <w:t>Evidence of needs met/not met</w:t>
            </w:r>
          </w:p>
        </w:tc>
      </w:tr>
      <w:tr w:rsidR="00EE3DF9" w:rsidRPr="00F5382B" w14:paraId="212D59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72E6B720" w14:textId="77777777" w:rsidR="00EE3DF9" w:rsidRPr="00F5382B" w:rsidRDefault="00EE3DF9">
            <w:pPr>
              <w:spacing w:after="120"/>
              <w:rPr>
                <w:noProof/>
                <w:lang w:val="en-IE"/>
              </w:rPr>
            </w:pPr>
            <w:r w:rsidRPr="00F5382B">
              <w:rPr>
                <w:noProof/>
                <w:lang w:val="en-IE"/>
              </w:rPr>
              <w:t>National authorities</w:t>
            </w:r>
          </w:p>
        </w:tc>
        <w:tc>
          <w:tcPr>
            <w:tcW w:w="1197" w:type="pct"/>
          </w:tcPr>
          <w:p w14:paraId="180C3F0A"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 xml:space="preserve">Implement the European </w:t>
            </w:r>
            <w:r w:rsidRPr="00F5382B">
              <w:rPr>
                <w:b/>
                <w:bCs/>
                <w:noProof/>
              </w:rPr>
              <w:t>cybersecurity certification framework</w:t>
            </w:r>
            <w:r w:rsidRPr="00F5382B">
              <w:rPr>
                <w:noProof/>
              </w:rPr>
              <w:t xml:space="preserve"> and contribute to the establishment and maintenance of a European cybersecurity certification framework</w:t>
            </w:r>
          </w:p>
          <w:p w14:paraId="28DB1237"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p>
          <w:p w14:paraId="77568891"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p>
        </w:tc>
        <w:tc>
          <w:tcPr>
            <w:tcW w:w="0" w:type="pct"/>
          </w:tcPr>
          <w:p w14:paraId="4DC2128B"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noProof/>
              </w:rPr>
              <w:t>Mostly not</w:t>
            </w:r>
          </w:p>
        </w:tc>
        <w:tc>
          <w:tcPr>
            <w:tcW w:w="0" w:type="pct"/>
          </w:tcPr>
          <w:p w14:paraId="294E3FAE"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b/>
                <w:bCs/>
                <w:noProof/>
              </w:rPr>
              <w:t xml:space="preserve">Member States </w:t>
            </w:r>
            <w:r w:rsidRPr="00F5382B">
              <w:rPr>
                <w:noProof/>
              </w:rPr>
              <w:t xml:space="preserve">are concerned by the lengthy process of selection, elaboration and adoption of cybersecurity certification schemes </w:t>
            </w:r>
            <w:r w:rsidRPr="00F5382B">
              <w:rPr>
                <w:rStyle w:val="FootnoteReference"/>
                <w:noProof/>
              </w:rPr>
              <w:footnoteReference w:id="325"/>
            </w:r>
          </w:p>
          <w:p w14:paraId="39EDC03E"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noProof/>
              </w:rPr>
            </w:pPr>
            <w:r w:rsidRPr="00F5382B">
              <w:rPr>
                <w:rFonts w:eastAsia="Times New Roman"/>
                <w:noProof/>
              </w:rPr>
              <w:t>Meanwhile Member States recognise the importance of the ECCF and have urged the Commission to introduce a leaner, risk-based as well as more transparent and faster approach to the development of EU cybersecurity certification schemes.</w:t>
            </w:r>
            <w:r w:rsidRPr="00F5382B">
              <w:rPr>
                <w:rStyle w:val="FootnoteReference"/>
                <w:noProof/>
              </w:rPr>
              <w:footnoteReference w:id="326"/>
            </w:r>
          </w:p>
          <w:p w14:paraId="70F4CFAE"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rFonts w:eastAsia="Times New Roman"/>
                <w:noProof/>
                <w:lang w:eastAsia="en-IE"/>
              </w:rPr>
            </w:pPr>
            <w:r w:rsidRPr="00F5382B">
              <w:rPr>
                <w:noProof/>
              </w:rPr>
              <w:t xml:space="preserve">The replies to public consultation show </w:t>
            </w:r>
            <w:r w:rsidRPr="00F5382B">
              <w:rPr>
                <w:b/>
                <w:bCs/>
                <w:noProof/>
              </w:rPr>
              <w:t>dissatisfaction of over 70% of the respondents</w:t>
            </w:r>
            <w:r w:rsidRPr="00F5382B">
              <w:rPr>
                <w:noProof/>
              </w:rPr>
              <w:t xml:space="preserve"> with the time required to develop and adopt European cybersecurity certification schemes. Most prominently, it was the public authorities which expressed</w:t>
            </w:r>
            <w:r w:rsidRPr="00F5382B">
              <w:rPr>
                <w:rFonts w:eastAsia="Times New Roman"/>
                <w:noProof/>
                <w:lang w:eastAsia="en-IE"/>
              </w:rPr>
              <w:t xml:space="preserve">, 25.0 % </w:t>
            </w:r>
            <w:r w:rsidRPr="00F5382B">
              <w:rPr>
                <w:noProof/>
              </w:rPr>
              <w:t>dissatisfaction</w:t>
            </w:r>
            <w:r w:rsidRPr="00F5382B">
              <w:rPr>
                <w:rFonts w:eastAsia="Times New Roman"/>
                <w:noProof/>
                <w:lang w:eastAsia="en-IE"/>
              </w:rPr>
              <w:t xml:space="preserve">, and 62.5 % strong </w:t>
            </w:r>
            <w:r w:rsidRPr="00F5382B">
              <w:rPr>
                <w:noProof/>
              </w:rPr>
              <w:t>dissatisfaction</w:t>
            </w:r>
            <w:r w:rsidRPr="00F5382B">
              <w:rPr>
                <w:rFonts w:eastAsia="Times New Roman"/>
                <w:noProof/>
                <w:lang w:eastAsia="en-IE"/>
              </w:rPr>
              <w:t>.</w:t>
            </w:r>
          </w:p>
          <w:p w14:paraId="7AD03926" w14:textId="77777777" w:rsidR="00EE3DF9" w:rsidRPr="00F5382B" w:rsidRDefault="00EE3DF9">
            <w:pPr>
              <w:spacing w:after="120"/>
              <w:cnfStyle w:val="000000100000" w:firstRow="0" w:lastRow="0" w:firstColumn="0" w:lastColumn="0" w:oddVBand="0" w:evenVBand="0" w:oddHBand="1" w:evenHBand="0" w:firstRowFirstColumn="0" w:firstRowLastColumn="0" w:lastRowFirstColumn="0" w:lastRowLastColumn="0"/>
              <w:rPr>
                <w:rFonts w:eastAsia="Times New Roman"/>
                <w:noProof/>
                <w:lang w:eastAsia="en-IE"/>
              </w:rPr>
            </w:pPr>
            <w:r w:rsidRPr="00F5382B">
              <w:rPr>
                <w:rFonts w:eastAsia="Times New Roman"/>
                <w:noProof/>
                <w:lang w:eastAsia="en-IE"/>
              </w:rPr>
              <w:t xml:space="preserve">The 2024 Evaluation Report stresses that Member States see the </w:t>
            </w:r>
            <w:r w:rsidRPr="00F5382B">
              <w:rPr>
                <w:rFonts w:eastAsia="Times New Roman"/>
                <w:b/>
                <w:bCs/>
                <w:noProof/>
                <w:lang w:eastAsia="en-IE"/>
              </w:rPr>
              <w:t>need to increase ENISA’s independence</w:t>
            </w:r>
            <w:r w:rsidRPr="00F5382B">
              <w:rPr>
                <w:rFonts w:eastAsia="Times New Roman"/>
                <w:noProof/>
                <w:lang w:eastAsia="en-IE"/>
              </w:rPr>
              <w:t xml:space="preserve"> in delivering on schemes, and express </w:t>
            </w:r>
            <w:r w:rsidRPr="00F5382B">
              <w:rPr>
                <w:rFonts w:eastAsia="Times New Roman"/>
                <w:b/>
                <w:bCs/>
                <w:noProof/>
                <w:lang w:eastAsia="en-IE"/>
              </w:rPr>
              <w:t>concerns</w:t>
            </w:r>
            <w:r w:rsidRPr="00F5382B">
              <w:rPr>
                <w:rFonts w:eastAsia="Times New Roman"/>
                <w:noProof/>
                <w:lang w:eastAsia="en-IE"/>
              </w:rPr>
              <w:t xml:space="preserve"> related to political interferences in the process. The Study also stresses that the </w:t>
            </w:r>
            <w:r w:rsidRPr="00F5382B">
              <w:rPr>
                <w:rFonts w:eastAsia="Times New Roman"/>
                <w:b/>
                <w:bCs/>
                <w:noProof/>
                <w:lang w:eastAsia="en-IE"/>
              </w:rPr>
              <w:t xml:space="preserve">added value </w:t>
            </w:r>
            <w:r w:rsidRPr="00F5382B">
              <w:rPr>
                <w:rFonts w:eastAsia="Times New Roman"/>
                <w:noProof/>
                <w:lang w:eastAsia="en-IE"/>
              </w:rPr>
              <w:t>of the certification framework has fallen short in its ability to support them in increasing national cybersecurity certification capabilities.</w:t>
            </w:r>
          </w:p>
        </w:tc>
      </w:tr>
      <w:tr w:rsidR="00EE3DF9" w:rsidRPr="00F5382B" w14:paraId="7D444B26" w14:textId="77777777">
        <w:tc>
          <w:tcPr>
            <w:cnfStyle w:val="001000000000" w:firstRow="0" w:lastRow="0" w:firstColumn="1" w:lastColumn="0" w:oddVBand="0" w:evenVBand="0" w:oddHBand="0" w:evenHBand="0" w:firstRowFirstColumn="0" w:firstRowLastColumn="0" w:lastRowFirstColumn="0" w:lastRowLastColumn="0"/>
            <w:tcW w:w="0" w:type="pct"/>
          </w:tcPr>
          <w:p w14:paraId="63C4A144" w14:textId="77777777" w:rsidR="00EE3DF9" w:rsidRPr="00F5382B" w:rsidRDefault="00EE3DF9">
            <w:pPr>
              <w:spacing w:after="120"/>
              <w:rPr>
                <w:noProof/>
              </w:rPr>
            </w:pPr>
            <w:r w:rsidRPr="00F5382B">
              <w:rPr>
                <w:noProof/>
              </w:rPr>
              <w:t>Companies</w:t>
            </w:r>
          </w:p>
        </w:tc>
        <w:tc>
          <w:tcPr>
            <w:tcW w:w="1197" w:type="pct"/>
            <w:shd w:val="clear" w:color="auto" w:fill="auto"/>
          </w:tcPr>
          <w:p w14:paraId="096BAB70"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Implement the European </w:t>
            </w:r>
            <w:r w:rsidRPr="00F5382B">
              <w:rPr>
                <w:b/>
                <w:bCs/>
                <w:noProof/>
              </w:rPr>
              <w:t>cybersecurity certification framework</w:t>
            </w:r>
            <w:r w:rsidRPr="00F5382B">
              <w:rPr>
                <w:noProof/>
              </w:rPr>
              <w:t xml:space="preserve"> in a predictable manner</w:t>
            </w:r>
          </w:p>
          <w:p w14:paraId="029C933A"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4BC8B9A3"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6E868A71"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3A79F4E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73B62D3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2EF29B1C"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2C35571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155BDA7D"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7FD9B6E9"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5E4B101D"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00B611F7"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63DBD3A5"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03535383"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2EB77D1E"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p>
          <w:p w14:paraId="5047A80A"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lang w:val="en-IE"/>
              </w:rPr>
            </w:pPr>
          </w:p>
        </w:tc>
        <w:tc>
          <w:tcPr>
            <w:tcW w:w="0" w:type="pct"/>
            <w:shd w:val="clear" w:color="auto" w:fill="auto"/>
          </w:tcPr>
          <w:p w14:paraId="680664B1"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No</w:t>
            </w:r>
          </w:p>
        </w:tc>
        <w:tc>
          <w:tcPr>
            <w:tcW w:w="0" w:type="pct"/>
            <w:shd w:val="clear" w:color="auto" w:fill="auto"/>
          </w:tcPr>
          <w:p w14:paraId="5851CB11"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Member States and industry are concerned by the lengthy process of selection, elaboration and adoption of cybersecurity certification schemes</w:t>
            </w:r>
            <w:r w:rsidRPr="00F5382B">
              <w:rPr>
                <w:rStyle w:val="FootnoteReference"/>
                <w:noProof/>
              </w:rPr>
              <w:footnoteReference w:id="327"/>
            </w:r>
          </w:p>
          <w:p w14:paraId="54E8332D" w14:textId="77777777" w:rsidR="00EE3DF9" w:rsidRPr="00F5382B" w:rsidRDefault="00EE3DF9">
            <w:pPr>
              <w:spacing w:after="120"/>
              <w:cnfStyle w:val="000000000000" w:firstRow="0" w:lastRow="0" w:firstColumn="0" w:lastColumn="0" w:oddVBand="0" w:evenVBand="0" w:oddHBand="0" w:evenHBand="0" w:firstRowFirstColumn="0" w:firstRowLastColumn="0" w:lastRowFirstColumn="0" w:lastRowLastColumn="0"/>
              <w:rPr>
                <w:noProof/>
              </w:rPr>
            </w:pPr>
            <w:r w:rsidRPr="00F5382B">
              <w:rPr>
                <w:noProof/>
              </w:rPr>
              <w:t xml:space="preserve">The replies to public consultation show dissatisfaction of over 70% of the respondents with the time required to develop and adopt European cybersecurity certification schemes. </w:t>
            </w:r>
            <w:r w:rsidRPr="00F5382B">
              <w:rPr>
                <w:b/>
                <w:noProof/>
              </w:rPr>
              <w:t xml:space="preserve">Companies were particularly critical in this regard, showing alignment between large companies (80%), small companies (78%). </w:t>
            </w:r>
            <w:r w:rsidRPr="00F5382B">
              <w:rPr>
                <w:noProof/>
              </w:rPr>
              <w:t>Without a clear timeline and predictability of the framework the business cannot consider certification a viable business opportunity.</w:t>
            </w:r>
          </w:p>
          <w:p w14:paraId="7F65BE59" w14:textId="67B9F17A" w:rsidR="00EE3DF9" w:rsidRPr="00F5382B" w:rsidRDefault="00EE3DF9" w:rsidP="00E5147D">
            <w:pPr>
              <w:spacing w:after="120"/>
              <w:textAlignment w:val="baseline"/>
              <w:cnfStyle w:val="000000000000" w:firstRow="0" w:lastRow="0" w:firstColumn="0" w:lastColumn="0" w:oddVBand="0" w:evenVBand="0" w:oddHBand="0" w:evenHBand="0" w:firstRowFirstColumn="0" w:firstRowLastColumn="0" w:lastRowFirstColumn="0" w:lastRowLastColumn="0"/>
              <w:rPr>
                <w:b/>
                <w:bCs/>
                <w:noProof/>
              </w:rPr>
            </w:pPr>
            <w:r w:rsidRPr="00F5382B">
              <w:rPr>
                <w:noProof/>
              </w:rPr>
              <w:t xml:space="preserve">However, the replies to public consultation also </w:t>
            </w:r>
            <w:r w:rsidRPr="00F5382B">
              <w:rPr>
                <w:rFonts w:eastAsia="Times New Roman"/>
                <w:noProof/>
                <w:lang w:eastAsia="en-IE"/>
              </w:rPr>
              <w:t xml:space="preserve">reveal a broad and well-substantiated interest in advancing the implementation of the ECCF. Certification is widely perceived as a tool to enhance product and service security, with 41.45 % of respondents strongly agreeing with this view and the vast majority of the rest of the respondents agreeing. Similarly, 47.67 % strongly support its role in ensuring regulatory compliance, and 41.45 % emphasize its importance in facilitating market access through mutual recognition.  Among business associations, 33.33 % strongly agree on the security benefits and 40.74 % on compliance vast majority of the rest of the respondents agreeing. Large companies show a notably high agreement of 62.0% on compliance. Medium and small enterprises demonstrate strong support, with 50.0 % to 55.56 % strongly agreeing on the security dimension, while micro businesses are the most supportive, with 66.67 % strongly agreeing that certification improves security. </w:t>
            </w:r>
          </w:p>
        </w:tc>
      </w:tr>
    </w:tbl>
    <w:p w14:paraId="4003E385" w14:textId="77777777" w:rsidR="00EE3DF9" w:rsidRPr="00F5382B" w:rsidRDefault="00EE3DF9" w:rsidP="00EE3DF9">
      <w:pPr>
        <w:rPr>
          <w:noProof/>
        </w:rPr>
        <w:sectPr w:rsidR="00EE3DF9" w:rsidRPr="00F5382B" w:rsidSect="00EE3DF9">
          <w:headerReference w:type="default" r:id="rId163"/>
          <w:footerReference w:type="default" r:id="rId164"/>
          <w:pgSz w:w="15840" w:h="12240" w:orient="landscape"/>
          <w:pgMar w:top="1440" w:right="1440" w:bottom="1440" w:left="1440" w:header="708" w:footer="708" w:gutter="0"/>
          <w:cols w:space="708"/>
          <w:docGrid w:linePitch="360"/>
        </w:sectPr>
      </w:pPr>
    </w:p>
    <w:p w14:paraId="703C42C0" w14:textId="77777777" w:rsidR="00EE3DF9" w:rsidRPr="00F5382B" w:rsidRDefault="00EE3DF9" w:rsidP="00EE3DF9">
      <w:pPr>
        <w:pStyle w:val="AnnexTitle0"/>
        <w:rPr>
          <w:noProof/>
          <w:lang w:val="en-IE"/>
        </w:rPr>
      </w:pPr>
      <w:bookmarkStart w:id="660" w:name="_Toc218767791"/>
      <w:bookmarkStart w:id="661" w:name="_Toc219039565"/>
      <w:bookmarkStart w:id="662" w:name="_Toc219447468"/>
      <w:r w:rsidRPr="00F5382B">
        <w:rPr>
          <w:noProof/>
        </w:rPr>
        <w:t>Annex 11: Evolution of ENISA’s activities from 2017 until 2024, including resource allocation (budget and FTEs)</w:t>
      </w:r>
      <w:bookmarkEnd w:id="660"/>
      <w:bookmarkEnd w:id="661"/>
      <w:bookmarkEnd w:id="662"/>
    </w:p>
    <w:p w14:paraId="52D9ACFF" w14:textId="77777777" w:rsidR="00EE3DF9" w:rsidRPr="00F5382B" w:rsidRDefault="00EE3DF9" w:rsidP="00EE3DF9">
      <w:pPr>
        <w:rPr>
          <w:noProof/>
          <w:lang w:val="en-IE"/>
        </w:rPr>
      </w:pPr>
      <w:r w:rsidRPr="00F5382B">
        <w:rPr>
          <w:noProof/>
        </w:rPr>
        <w:t>The table below sets out the evolution of ENISA’s activities from 2017 (before the CSA 2019) until 2024, including the resource allocation in terms of actual budget (from 2021) and actual FTEs (from 2017) by activity. The number of FTEs increased from 83.25 in 2017 to 121.04 in 2020. It decreased in the next two years, reaching 97.54 FTEs is 2022. Then it increased again to 110.74 in 2024. The number of main activities carried out by ENISA grew from 5 Activities in 2017 to 13 in 2024.</w:t>
      </w:r>
      <w:r w:rsidRPr="00F5382B">
        <w:rPr>
          <w:noProof/>
          <w:lang w:val="en-IE"/>
        </w:rPr>
        <w:t> </w:t>
      </w:r>
    </w:p>
    <w:p w14:paraId="03CE8630" w14:textId="74E381E2" w:rsidR="00EE3DF9" w:rsidRPr="00F5382B" w:rsidRDefault="00EE3DF9" w:rsidP="00EE3DF9">
      <w:pPr>
        <w:pStyle w:val="Heading5"/>
        <w:rPr>
          <w:noProof/>
        </w:rPr>
      </w:pPr>
      <w:bookmarkStart w:id="663" w:name="_Toc218767825"/>
      <w:r w:rsidRPr="00F5382B">
        <w:rPr>
          <w:noProof/>
        </w:rPr>
        <w:t xml:space="preserve">Table </w:t>
      </w:r>
      <w:r w:rsidR="000475F6">
        <w:rPr>
          <w:noProof/>
        </w:rPr>
        <w:t>32</w:t>
      </w:r>
      <w:r w:rsidRPr="00F5382B">
        <w:rPr>
          <w:noProof/>
        </w:rPr>
        <w:t>: Evolution of ENISA’s activities from 2017 until 2024, including resource allocation (budget and FTEs)</w:t>
      </w:r>
      <w:r w:rsidRPr="00E5147D">
        <w:rPr>
          <w:rStyle w:val="FootnoteReference"/>
          <w:i w:val="0"/>
          <w:noProof/>
          <w:color w:val="auto"/>
          <w:kern w:val="2"/>
          <w:sz w:val="22"/>
          <w:szCs w:val="22"/>
          <w:lang w:val="en-US"/>
        </w:rPr>
        <w:footnoteReference w:id="328"/>
      </w:r>
      <w:bookmarkEnd w:id="663"/>
    </w:p>
    <w:tbl>
      <w:tblPr>
        <w:tblW w:w="86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4271"/>
        <w:gridCol w:w="1755"/>
        <w:gridCol w:w="1875"/>
      </w:tblGrid>
      <w:tr w:rsidR="00EE3DF9" w:rsidRPr="00F5382B" w14:paraId="461BA5CF" w14:textId="77777777">
        <w:trPr>
          <w:trHeight w:val="300"/>
        </w:trPr>
        <w:tc>
          <w:tcPr>
            <w:tcW w:w="701"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24FE80DC" w14:textId="77777777" w:rsidR="00EE3DF9" w:rsidRPr="00F5382B" w:rsidRDefault="00EE3DF9">
            <w:pPr>
              <w:rPr>
                <w:noProof/>
                <w:lang w:val="en-IE"/>
              </w:rPr>
            </w:pPr>
            <w:r w:rsidRPr="00F5382B">
              <w:rPr>
                <w:b/>
                <w:bCs/>
                <w:noProof/>
              </w:rPr>
              <w:t>Year</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52A22BD9" w14:textId="77777777" w:rsidR="00EE3DF9" w:rsidRPr="00F5382B" w:rsidRDefault="00EE3DF9">
            <w:pPr>
              <w:rPr>
                <w:noProof/>
                <w:lang w:val="en-IE"/>
              </w:rPr>
            </w:pPr>
            <w:r w:rsidRPr="00F5382B">
              <w:rPr>
                <w:b/>
                <w:bCs/>
                <w:noProof/>
              </w:rPr>
              <w:t>Activity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3278F8F4" w14:textId="77777777" w:rsidR="00EE3DF9" w:rsidRPr="00F5382B" w:rsidRDefault="00EE3DF9">
            <w:pPr>
              <w:rPr>
                <w:noProof/>
                <w:lang w:val="en-IE"/>
              </w:rPr>
            </w:pPr>
            <w:r w:rsidRPr="00F5382B">
              <w:rPr>
                <w:b/>
                <w:bCs/>
                <w:noProof/>
              </w:rPr>
              <w:t>Actual Budget</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65F3694D" w14:textId="77777777" w:rsidR="00EE3DF9" w:rsidRPr="00F5382B" w:rsidRDefault="00EE3DF9">
            <w:pPr>
              <w:rPr>
                <w:noProof/>
                <w:lang w:val="en-IE"/>
              </w:rPr>
            </w:pPr>
            <w:r w:rsidRPr="00F5382B">
              <w:rPr>
                <w:b/>
                <w:bCs/>
                <w:noProof/>
              </w:rPr>
              <w:t>Actual FTEs</w:t>
            </w:r>
            <w:r w:rsidRPr="00F5382B">
              <w:rPr>
                <w:noProof/>
                <w:lang w:val="en-IE"/>
              </w:rPr>
              <w:t> </w:t>
            </w:r>
          </w:p>
        </w:tc>
      </w:tr>
      <w:tr w:rsidR="00EE3DF9" w:rsidRPr="00F5382B" w14:paraId="3D49825C"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2DB4D330" w14:textId="77777777" w:rsidR="00EE3DF9" w:rsidRPr="00F5382B" w:rsidRDefault="00EE3DF9">
            <w:pPr>
              <w:rPr>
                <w:noProof/>
                <w:lang w:val="en-IE"/>
              </w:rPr>
            </w:pPr>
            <w:r w:rsidRPr="00F5382B">
              <w:rPr>
                <w:noProof/>
              </w:rPr>
              <w:t>2017</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0D169BE0" w14:textId="77777777" w:rsidR="00EE3DF9" w:rsidRPr="00F5382B" w:rsidRDefault="00EE3DF9">
            <w:pPr>
              <w:rPr>
                <w:noProof/>
                <w:lang w:val="en-IE"/>
              </w:rPr>
            </w:pPr>
            <w:r w:rsidRPr="00F5382B">
              <w:rPr>
                <w:noProof/>
              </w:rPr>
              <w:t>Activity 1 - Expertise. </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766A622"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800444F" w14:textId="77777777" w:rsidR="00EE3DF9" w:rsidRPr="00F5382B" w:rsidRDefault="00EE3DF9">
            <w:pPr>
              <w:rPr>
                <w:noProof/>
                <w:lang w:val="en-IE"/>
              </w:rPr>
            </w:pPr>
            <w:r w:rsidRPr="00F5382B">
              <w:rPr>
                <w:noProof/>
              </w:rPr>
              <w:t>                    12.55 </w:t>
            </w:r>
            <w:r w:rsidRPr="00F5382B">
              <w:rPr>
                <w:noProof/>
                <w:lang w:val="en-IE"/>
              </w:rPr>
              <w:t> </w:t>
            </w:r>
          </w:p>
        </w:tc>
      </w:tr>
      <w:tr w:rsidR="00EE3DF9" w:rsidRPr="00F5382B" w14:paraId="758C3CE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81AE068"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4A1FDF94" w14:textId="77777777" w:rsidR="00EE3DF9" w:rsidRPr="00F5382B" w:rsidRDefault="00EE3DF9">
            <w:pPr>
              <w:rPr>
                <w:noProof/>
                <w:lang w:val="en-IE"/>
              </w:rPr>
            </w:pPr>
            <w:r w:rsidRPr="00F5382B">
              <w:rPr>
                <w:noProof/>
              </w:rPr>
              <w:t>Activity 2 - Policy. </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3D11CE3"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84E0E6D" w14:textId="77777777" w:rsidR="00EE3DF9" w:rsidRPr="00F5382B" w:rsidRDefault="00EE3DF9">
            <w:pPr>
              <w:rPr>
                <w:noProof/>
                <w:lang w:val="en-IE"/>
              </w:rPr>
            </w:pPr>
            <w:r w:rsidRPr="00F5382B">
              <w:rPr>
                <w:noProof/>
              </w:rPr>
              <w:t>                    23.83 </w:t>
            </w:r>
            <w:r w:rsidRPr="00F5382B">
              <w:rPr>
                <w:noProof/>
                <w:lang w:val="en-IE"/>
              </w:rPr>
              <w:t> </w:t>
            </w:r>
          </w:p>
        </w:tc>
      </w:tr>
      <w:tr w:rsidR="00EE3DF9" w:rsidRPr="00F5382B" w14:paraId="17CCB25C"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008FA1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136F9A47" w14:textId="77777777" w:rsidR="00EE3DF9" w:rsidRPr="00F5382B" w:rsidRDefault="00EE3DF9">
            <w:pPr>
              <w:rPr>
                <w:noProof/>
                <w:lang w:val="en-IE"/>
              </w:rPr>
            </w:pPr>
            <w:r w:rsidRPr="00F5382B">
              <w:rPr>
                <w:noProof/>
              </w:rPr>
              <w:t>Activity 3 -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B7E5FAC"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A292711" w14:textId="77777777" w:rsidR="00EE3DF9" w:rsidRPr="00F5382B" w:rsidRDefault="00EE3DF9">
            <w:pPr>
              <w:rPr>
                <w:noProof/>
                <w:lang w:val="en-IE"/>
              </w:rPr>
            </w:pPr>
            <w:r w:rsidRPr="00F5382B">
              <w:rPr>
                <w:noProof/>
              </w:rPr>
              <w:t>                      9.97 </w:t>
            </w:r>
            <w:r w:rsidRPr="00F5382B">
              <w:rPr>
                <w:noProof/>
                <w:lang w:val="en-IE"/>
              </w:rPr>
              <w:t> </w:t>
            </w:r>
          </w:p>
        </w:tc>
      </w:tr>
      <w:tr w:rsidR="00EE3DF9" w:rsidRPr="00F5382B" w14:paraId="0EB78A15"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2E33E9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2E46E5D" w14:textId="77777777" w:rsidR="00EE3DF9" w:rsidRPr="00F5382B" w:rsidRDefault="00EE3DF9">
            <w:pPr>
              <w:rPr>
                <w:noProof/>
                <w:lang w:val="en-IE"/>
              </w:rPr>
            </w:pPr>
            <w:r w:rsidRPr="00F5382B">
              <w:rPr>
                <w:noProof/>
              </w:rPr>
              <w:t>Activity 4 - Community.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06A9AEA"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4C5AE2B" w14:textId="77777777" w:rsidR="00EE3DF9" w:rsidRPr="00F5382B" w:rsidRDefault="00EE3DF9">
            <w:pPr>
              <w:rPr>
                <w:noProof/>
                <w:lang w:val="en-IE"/>
              </w:rPr>
            </w:pPr>
            <w:r w:rsidRPr="00F5382B">
              <w:rPr>
                <w:noProof/>
              </w:rPr>
              <w:t>                    10.60 </w:t>
            </w:r>
            <w:r w:rsidRPr="00F5382B">
              <w:rPr>
                <w:noProof/>
                <w:lang w:val="en-IE"/>
              </w:rPr>
              <w:t> </w:t>
            </w:r>
          </w:p>
        </w:tc>
      </w:tr>
      <w:tr w:rsidR="00EE3DF9" w:rsidRPr="00F5382B" w14:paraId="3A75857D"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238EEA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4D28E1F3" w14:textId="77777777" w:rsidR="00EE3DF9" w:rsidRPr="00F5382B" w:rsidRDefault="00EE3DF9">
            <w:pPr>
              <w:rPr>
                <w:noProof/>
                <w:lang w:val="en-IE"/>
              </w:rPr>
            </w:pPr>
            <w:r w:rsidRPr="00F5382B">
              <w:rPr>
                <w:noProof/>
              </w:rPr>
              <w:t>Activity 5 - Enabling.</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470FA39"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D3C3977" w14:textId="77777777" w:rsidR="00EE3DF9" w:rsidRPr="00F5382B" w:rsidRDefault="00EE3DF9">
            <w:pPr>
              <w:rPr>
                <w:noProof/>
                <w:lang w:val="en-IE"/>
              </w:rPr>
            </w:pPr>
            <w:r w:rsidRPr="00F5382B">
              <w:rPr>
                <w:noProof/>
              </w:rPr>
              <w:t>                    26.30 </w:t>
            </w:r>
            <w:r w:rsidRPr="00F5382B">
              <w:rPr>
                <w:noProof/>
                <w:lang w:val="en-IE"/>
              </w:rPr>
              <w:t> </w:t>
            </w:r>
          </w:p>
        </w:tc>
      </w:tr>
      <w:tr w:rsidR="00EE3DF9" w:rsidRPr="00F5382B" w14:paraId="708C394F"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98EDE9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8FEC41E"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0B66447" w14:textId="77777777" w:rsidR="00EE3DF9" w:rsidRPr="00F5382B" w:rsidRDefault="00EE3DF9">
            <w:pPr>
              <w:rPr>
                <w:noProof/>
                <w:lang w:val="en-IE"/>
              </w:rPr>
            </w:pPr>
            <w:r w:rsidRPr="00F5382B">
              <w:rPr>
                <w:noProof/>
              </w:rPr>
              <w:t>10,608,963.75</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031C62B" w14:textId="77777777" w:rsidR="00EE3DF9" w:rsidRPr="00F5382B" w:rsidRDefault="00EE3DF9">
            <w:pPr>
              <w:rPr>
                <w:noProof/>
                <w:lang w:val="en-IE"/>
              </w:rPr>
            </w:pPr>
            <w:r w:rsidRPr="00F5382B">
              <w:rPr>
                <w:noProof/>
              </w:rPr>
              <w:t>                    83.25 </w:t>
            </w:r>
            <w:r w:rsidRPr="00F5382B">
              <w:rPr>
                <w:noProof/>
                <w:lang w:val="en-IE"/>
              </w:rPr>
              <w:t> </w:t>
            </w:r>
          </w:p>
        </w:tc>
      </w:tr>
      <w:tr w:rsidR="00EE3DF9" w:rsidRPr="00F5382B" w14:paraId="7CC74981"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4E7F75CC" w14:textId="77777777" w:rsidR="00EE3DF9" w:rsidRPr="00F5382B" w:rsidRDefault="00EE3DF9">
            <w:pPr>
              <w:rPr>
                <w:noProof/>
                <w:lang w:val="en-IE"/>
              </w:rPr>
            </w:pPr>
            <w:r w:rsidRPr="00F5382B">
              <w:rPr>
                <w:noProof/>
              </w:rPr>
              <w:t>2018</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0AD6F4BF" w14:textId="77777777" w:rsidR="00EE3DF9" w:rsidRPr="00F5382B" w:rsidRDefault="00EE3DF9">
            <w:pPr>
              <w:rPr>
                <w:noProof/>
                <w:lang w:val="en-IE"/>
              </w:rPr>
            </w:pPr>
            <w:r w:rsidRPr="00F5382B">
              <w:rPr>
                <w:noProof/>
              </w:rPr>
              <w:t>Activity 1 — Expertise.</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377EA7F"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A6C034B" w14:textId="77777777" w:rsidR="00EE3DF9" w:rsidRPr="00F5382B" w:rsidRDefault="00EE3DF9">
            <w:pPr>
              <w:rPr>
                <w:noProof/>
                <w:lang w:val="en-IE"/>
              </w:rPr>
            </w:pPr>
            <w:r w:rsidRPr="00F5382B">
              <w:rPr>
                <w:noProof/>
              </w:rPr>
              <w:t>                    12.55 </w:t>
            </w:r>
            <w:r w:rsidRPr="00F5382B">
              <w:rPr>
                <w:noProof/>
                <w:lang w:val="en-IE"/>
              </w:rPr>
              <w:t> </w:t>
            </w:r>
          </w:p>
        </w:tc>
      </w:tr>
      <w:tr w:rsidR="00EE3DF9" w:rsidRPr="00F5382B" w14:paraId="12C16F22"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45BE456"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4535E21" w14:textId="77777777" w:rsidR="00EE3DF9" w:rsidRPr="00F5382B" w:rsidRDefault="00EE3DF9">
            <w:pPr>
              <w:rPr>
                <w:noProof/>
                <w:lang w:val="en-IE"/>
              </w:rPr>
            </w:pPr>
            <w:r w:rsidRPr="00F5382B">
              <w:rPr>
                <w:noProof/>
              </w:rPr>
              <w:t>Activity 2 — Policy.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D4EFC3F"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A2FB1B5" w14:textId="77777777" w:rsidR="00EE3DF9" w:rsidRPr="00F5382B" w:rsidRDefault="00EE3DF9">
            <w:pPr>
              <w:rPr>
                <w:noProof/>
                <w:lang w:val="en-IE"/>
              </w:rPr>
            </w:pPr>
            <w:r w:rsidRPr="00F5382B">
              <w:rPr>
                <w:noProof/>
              </w:rPr>
              <w:t>                    23.83 </w:t>
            </w:r>
            <w:r w:rsidRPr="00F5382B">
              <w:rPr>
                <w:noProof/>
                <w:lang w:val="en-IE"/>
              </w:rPr>
              <w:t> </w:t>
            </w:r>
          </w:p>
        </w:tc>
      </w:tr>
      <w:tr w:rsidR="00EE3DF9" w:rsidRPr="00F5382B" w14:paraId="3D90340E"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1D120ED"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EE8F910" w14:textId="77777777" w:rsidR="00EE3DF9" w:rsidRPr="00F5382B" w:rsidRDefault="00EE3DF9">
            <w:pPr>
              <w:rPr>
                <w:noProof/>
                <w:lang w:val="en-IE"/>
              </w:rPr>
            </w:pPr>
            <w:r w:rsidRPr="00F5382B">
              <w:rPr>
                <w:noProof/>
              </w:rPr>
              <w:t>Activity 3 —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AA7DA43"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46D3B7F" w14:textId="77777777" w:rsidR="00EE3DF9" w:rsidRPr="00F5382B" w:rsidRDefault="00EE3DF9">
            <w:pPr>
              <w:rPr>
                <w:noProof/>
                <w:lang w:val="en-IE"/>
              </w:rPr>
            </w:pPr>
            <w:r w:rsidRPr="00F5382B">
              <w:rPr>
                <w:noProof/>
              </w:rPr>
              <w:t>                      9.97 </w:t>
            </w:r>
            <w:r w:rsidRPr="00F5382B">
              <w:rPr>
                <w:noProof/>
                <w:lang w:val="en-IE"/>
              </w:rPr>
              <w:t> </w:t>
            </w:r>
          </w:p>
        </w:tc>
      </w:tr>
      <w:tr w:rsidR="00EE3DF9" w:rsidRPr="00F5382B" w14:paraId="3129A291"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029CA69"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E47095E" w14:textId="77777777" w:rsidR="00EE3DF9" w:rsidRPr="00F5382B" w:rsidRDefault="00EE3DF9">
            <w:pPr>
              <w:rPr>
                <w:noProof/>
                <w:lang w:val="en-IE"/>
              </w:rPr>
            </w:pPr>
            <w:r w:rsidRPr="00F5382B">
              <w:rPr>
                <w:noProof/>
              </w:rPr>
              <w:t>Activity 4 — Community.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63F3237"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176445F" w14:textId="77777777" w:rsidR="00EE3DF9" w:rsidRPr="00F5382B" w:rsidRDefault="00EE3DF9">
            <w:pPr>
              <w:rPr>
                <w:noProof/>
                <w:lang w:val="en-IE"/>
              </w:rPr>
            </w:pPr>
            <w:r w:rsidRPr="00F5382B">
              <w:rPr>
                <w:noProof/>
              </w:rPr>
              <w:t>                    10.60 </w:t>
            </w:r>
            <w:r w:rsidRPr="00F5382B">
              <w:rPr>
                <w:noProof/>
                <w:lang w:val="en-IE"/>
              </w:rPr>
              <w:t> </w:t>
            </w:r>
          </w:p>
        </w:tc>
      </w:tr>
      <w:tr w:rsidR="00EE3DF9" w:rsidRPr="00F5382B" w14:paraId="02F92212"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54E550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49214719" w14:textId="77777777" w:rsidR="00EE3DF9" w:rsidRPr="00F5382B" w:rsidRDefault="00EE3DF9">
            <w:pPr>
              <w:rPr>
                <w:noProof/>
                <w:lang w:val="en-IE"/>
              </w:rPr>
            </w:pPr>
            <w:r w:rsidRPr="00F5382B">
              <w:rPr>
                <w:noProof/>
              </w:rPr>
              <w:t>Activity 5 — Enabling.</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CB15FD7"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BB67D7E" w14:textId="77777777" w:rsidR="00EE3DF9" w:rsidRPr="00F5382B" w:rsidRDefault="00EE3DF9">
            <w:pPr>
              <w:rPr>
                <w:noProof/>
                <w:lang w:val="en-IE"/>
              </w:rPr>
            </w:pPr>
            <w:r w:rsidRPr="00F5382B">
              <w:rPr>
                <w:noProof/>
              </w:rPr>
              <w:t>                    26.30 </w:t>
            </w:r>
            <w:r w:rsidRPr="00F5382B">
              <w:rPr>
                <w:noProof/>
                <w:lang w:val="en-IE"/>
              </w:rPr>
              <w:t> </w:t>
            </w:r>
          </w:p>
        </w:tc>
      </w:tr>
      <w:tr w:rsidR="00EE3DF9" w:rsidRPr="00F5382B" w14:paraId="75783FF7"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A9CB11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84324DD"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2EA0AC7" w14:textId="77777777" w:rsidR="00EE3DF9" w:rsidRPr="00F5382B" w:rsidRDefault="00EE3DF9">
            <w:pPr>
              <w:rPr>
                <w:noProof/>
                <w:lang w:val="en-IE"/>
              </w:rPr>
            </w:pPr>
            <w:r w:rsidRPr="00F5382B">
              <w:rPr>
                <w:noProof/>
              </w:rPr>
              <w:t>10,785,705.70</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7AC3BA1" w14:textId="77777777" w:rsidR="00EE3DF9" w:rsidRPr="00F5382B" w:rsidRDefault="00EE3DF9">
            <w:pPr>
              <w:rPr>
                <w:noProof/>
                <w:lang w:val="en-IE"/>
              </w:rPr>
            </w:pPr>
            <w:r w:rsidRPr="00F5382B">
              <w:rPr>
                <w:noProof/>
              </w:rPr>
              <w:t>                    83.25 </w:t>
            </w:r>
            <w:r w:rsidRPr="00F5382B">
              <w:rPr>
                <w:noProof/>
                <w:lang w:val="en-IE"/>
              </w:rPr>
              <w:t> </w:t>
            </w:r>
          </w:p>
        </w:tc>
      </w:tr>
      <w:tr w:rsidR="00EE3DF9" w:rsidRPr="00F5382B" w14:paraId="605F83D2"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213AD494" w14:textId="77777777" w:rsidR="00EE3DF9" w:rsidRPr="00F5382B" w:rsidRDefault="00EE3DF9">
            <w:pPr>
              <w:rPr>
                <w:noProof/>
                <w:lang w:val="en-IE"/>
              </w:rPr>
            </w:pPr>
            <w:r w:rsidRPr="00F5382B">
              <w:rPr>
                <w:b/>
                <w:bCs/>
                <w:noProof/>
              </w:rPr>
              <w:t>2019</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68F9F054" w14:textId="77777777" w:rsidR="00EE3DF9" w:rsidRPr="00F5382B" w:rsidRDefault="00EE3DF9">
            <w:pPr>
              <w:rPr>
                <w:noProof/>
                <w:lang w:val="en-IE"/>
              </w:rPr>
            </w:pPr>
            <w:r w:rsidRPr="00F5382B">
              <w:rPr>
                <w:noProof/>
              </w:rPr>
              <w:t>Activity 1 — Expertise.</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785BA0E"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03F885F" w14:textId="77777777" w:rsidR="00EE3DF9" w:rsidRPr="00F5382B" w:rsidRDefault="00EE3DF9">
            <w:pPr>
              <w:rPr>
                <w:noProof/>
                <w:lang w:val="en-IE"/>
              </w:rPr>
            </w:pPr>
            <w:r w:rsidRPr="00F5382B">
              <w:rPr>
                <w:noProof/>
              </w:rPr>
              <w:t>                      9.00 </w:t>
            </w:r>
            <w:r w:rsidRPr="00F5382B">
              <w:rPr>
                <w:noProof/>
                <w:lang w:val="en-IE"/>
              </w:rPr>
              <w:t> </w:t>
            </w:r>
          </w:p>
        </w:tc>
      </w:tr>
      <w:tr w:rsidR="00EE3DF9" w:rsidRPr="00F5382B" w14:paraId="16E5FA5E"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B50EAED"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A51658E" w14:textId="77777777" w:rsidR="00EE3DF9" w:rsidRPr="00F5382B" w:rsidRDefault="00EE3DF9">
            <w:pPr>
              <w:rPr>
                <w:noProof/>
                <w:lang w:val="en-IE"/>
              </w:rPr>
            </w:pPr>
            <w:r w:rsidRPr="00F5382B">
              <w:rPr>
                <w:noProof/>
              </w:rPr>
              <w:t>Activity 2 — policy.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FB1E22A"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63E1631" w14:textId="77777777" w:rsidR="00EE3DF9" w:rsidRPr="00F5382B" w:rsidRDefault="00EE3DF9">
            <w:pPr>
              <w:rPr>
                <w:noProof/>
                <w:lang w:val="en-IE"/>
              </w:rPr>
            </w:pPr>
            <w:r w:rsidRPr="00F5382B">
              <w:rPr>
                <w:noProof/>
              </w:rPr>
              <w:t>                    16.90 </w:t>
            </w:r>
            <w:r w:rsidRPr="00F5382B">
              <w:rPr>
                <w:noProof/>
                <w:lang w:val="en-IE"/>
              </w:rPr>
              <w:t> </w:t>
            </w:r>
          </w:p>
        </w:tc>
      </w:tr>
      <w:tr w:rsidR="00EE3DF9" w:rsidRPr="00F5382B" w14:paraId="0CE6AD5B"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FC2B43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B87F061" w14:textId="77777777" w:rsidR="00EE3DF9" w:rsidRPr="00F5382B" w:rsidRDefault="00EE3DF9">
            <w:pPr>
              <w:rPr>
                <w:noProof/>
                <w:lang w:val="en-IE"/>
              </w:rPr>
            </w:pPr>
            <w:r w:rsidRPr="00F5382B">
              <w:rPr>
                <w:noProof/>
              </w:rPr>
              <w:t>Activity 3 —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91D89A2"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D36083C" w14:textId="77777777" w:rsidR="00EE3DF9" w:rsidRPr="00F5382B" w:rsidRDefault="00EE3DF9">
            <w:pPr>
              <w:rPr>
                <w:noProof/>
                <w:lang w:val="en-IE"/>
              </w:rPr>
            </w:pPr>
            <w:r w:rsidRPr="00F5382B">
              <w:rPr>
                <w:noProof/>
              </w:rPr>
              <w:t>                      7.50 </w:t>
            </w:r>
            <w:r w:rsidRPr="00F5382B">
              <w:rPr>
                <w:noProof/>
                <w:lang w:val="en-IE"/>
              </w:rPr>
              <w:t> </w:t>
            </w:r>
          </w:p>
        </w:tc>
      </w:tr>
      <w:tr w:rsidR="00EE3DF9" w:rsidRPr="00F5382B" w14:paraId="66094DBC"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8954172"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0FC6D88" w14:textId="77777777" w:rsidR="00EE3DF9" w:rsidRPr="00F5382B" w:rsidRDefault="00EE3DF9">
            <w:pPr>
              <w:rPr>
                <w:noProof/>
                <w:lang w:val="en-IE"/>
              </w:rPr>
            </w:pPr>
            <w:r w:rsidRPr="00F5382B">
              <w:rPr>
                <w:noProof/>
              </w:rPr>
              <w:t>Activity 4 — Community.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F02E04F"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3C6411BD" w14:textId="77777777" w:rsidR="00EE3DF9" w:rsidRPr="00F5382B" w:rsidRDefault="00EE3DF9">
            <w:pPr>
              <w:rPr>
                <w:noProof/>
                <w:lang w:val="en-IE"/>
              </w:rPr>
            </w:pPr>
            <w:r w:rsidRPr="00F5382B">
              <w:rPr>
                <w:noProof/>
              </w:rPr>
              <w:t>                    10.60 </w:t>
            </w:r>
            <w:r w:rsidRPr="00F5382B">
              <w:rPr>
                <w:noProof/>
                <w:lang w:val="en-IE"/>
              </w:rPr>
              <w:t> </w:t>
            </w:r>
          </w:p>
        </w:tc>
      </w:tr>
      <w:tr w:rsidR="00EE3DF9" w:rsidRPr="00F5382B" w14:paraId="2009A811"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DF8097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F906189" w14:textId="77777777" w:rsidR="00EE3DF9" w:rsidRPr="00F5382B" w:rsidRDefault="00EE3DF9">
            <w:pPr>
              <w:rPr>
                <w:noProof/>
                <w:lang w:val="en-IE"/>
              </w:rPr>
            </w:pPr>
            <w:r w:rsidRPr="00F5382B">
              <w:rPr>
                <w:noProof/>
              </w:rPr>
              <w:t>Activity 5 — Enabling.</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0FACB44"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054CB58" w14:textId="77777777" w:rsidR="00EE3DF9" w:rsidRPr="00F5382B" w:rsidRDefault="00EE3DF9">
            <w:pPr>
              <w:rPr>
                <w:noProof/>
                <w:lang w:val="en-IE"/>
              </w:rPr>
            </w:pPr>
            <w:r w:rsidRPr="00F5382B">
              <w:rPr>
                <w:noProof/>
              </w:rPr>
              <w:t>                    43.57 </w:t>
            </w:r>
            <w:r w:rsidRPr="00F5382B">
              <w:rPr>
                <w:noProof/>
                <w:lang w:val="en-IE"/>
              </w:rPr>
              <w:t> </w:t>
            </w:r>
          </w:p>
        </w:tc>
      </w:tr>
      <w:tr w:rsidR="00EE3DF9" w:rsidRPr="00F5382B" w14:paraId="2B04AA87"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D815763"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602482E"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097F709" w14:textId="77777777" w:rsidR="00EE3DF9" w:rsidRPr="00F5382B" w:rsidRDefault="00EE3DF9">
            <w:pPr>
              <w:rPr>
                <w:noProof/>
                <w:lang w:val="en-IE"/>
              </w:rPr>
            </w:pPr>
            <w:r w:rsidRPr="00F5382B">
              <w:rPr>
                <w:noProof/>
              </w:rPr>
              <w:t>16,292,952.05</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0ECE471" w14:textId="77777777" w:rsidR="00EE3DF9" w:rsidRPr="00F5382B" w:rsidRDefault="00EE3DF9">
            <w:pPr>
              <w:rPr>
                <w:noProof/>
                <w:lang w:val="en-IE"/>
              </w:rPr>
            </w:pPr>
            <w:r w:rsidRPr="00F5382B">
              <w:rPr>
                <w:noProof/>
              </w:rPr>
              <w:t>                    87.57 </w:t>
            </w:r>
            <w:r w:rsidRPr="00F5382B">
              <w:rPr>
                <w:noProof/>
                <w:lang w:val="en-IE"/>
              </w:rPr>
              <w:t> </w:t>
            </w:r>
          </w:p>
        </w:tc>
      </w:tr>
      <w:tr w:rsidR="00EE3DF9" w:rsidRPr="00F5382B" w14:paraId="01CD7ED2"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6D0ED0F6" w14:textId="77777777" w:rsidR="00EE3DF9" w:rsidRPr="00F5382B" w:rsidRDefault="00EE3DF9">
            <w:pPr>
              <w:rPr>
                <w:noProof/>
                <w:lang w:val="en-IE"/>
              </w:rPr>
            </w:pPr>
            <w:r w:rsidRPr="00F5382B">
              <w:rPr>
                <w:noProof/>
              </w:rPr>
              <w:t>2020</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6C7357FD" w14:textId="77777777" w:rsidR="00EE3DF9" w:rsidRPr="00F5382B" w:rsidRDefault="00EE3DF9">
            <w:pPr>
              <w:rPr>
                <w:noProof/>
                <w:lang w:val="en-IE"/>
              </w:rPr>
            </w:pPr>
            <w:r w:rsidRPr="00F5382B">
              <w:rPr>
                <w:noProof/>
              </w:rPr>
              <w:t>Activity 1 – Expertise.</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0037109"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3F141DF1" w14:textId="77777777" w:rsidR="00EE3DF9" w:rsidRPr="00F5382B" w:rsidRDefault="00EE3DF9">
            <w:pPr>
              <w:rPr>
                <w:noProof/>
                <w:lang w:val="en-IE"/>
              </w:rPr>
            </w:pPr>
            <w:r w:rsidRPr="00F5382B">
              <w:rPr>
                <w:noProof/>
              </w:rPr>
              <w:t>                    13.62 </w:t>
            </w:r>
            <w:r w:rsidRPr="00F5382B">
              <w:rPr>
                <w:noProof/>
                <w:lang w:val="en-IE"/>
              </w:rPr>
              <w:t> </w:t>
            </w:r>
          </w:p>
        </w:tc>
      </w:tr>
      <w:tr w:rsidR="00EE3DF9" w:rsidRPr="00F5382B" w14:paraId="68EAC0FB"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386F0B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ACD7FB1" w14:textId="77777777" w:rsidR="00EE3DF9" w:rsidRPr="00F5382B" w:rsidRDefault="00EE3DF9">
            <w:pPr>
              <w:rPr>
                <w:noProof/>
                <w:lang w:val="en-IE"/>
              </w:rPr>
            </w:pPr>
            <w:r w:rsidRPr="00F5382B">
              <w:rPr>
                <w:noProof/>
              </w:rPr>
              <w:t>Activity 2 – Policy.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8A8604D"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E8329E3" w14:textId="77777777" w:rsidR="00EE3DF9" w:rsidRPr="00F5382B" w:rsidRDefault="00EE3DF9">
            <w:pPr>
              <w:rPr>
                <w:noProof/>
                <w:lang w:val="en-IE"/>
              </w:rPr>
            </w:pPr>
            <w:r w:rsidRPr="00F5382B">
              <w:rPr>
                <w:noProof/>
              </w:rPr>
              <w:t>                    13.45 </w:t>
            </w:r>
            <w:r w:rsidRPr="00F5382B">
              <w:rPr>
                <w:noProof/>
                <w:lang w:val="en-IE"/>
              </w:rPr>
              <w:t> </w:t>
            </w:r>
          </w:p>
        </w:tc>
      </w:tr>
      <w:tr w:rsidR="00EE3DF9" w:rsidRPr="00F5382B" w14:paraId="2EC4D1FD"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10FA3D05"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B03A881" w14:textId="77777777" w:rsidR="00EE3DF9" w:rsidRPr="00F5382B" w:rsidRDefault="00EE3DF9">
            <w:pPr>
              <w:rPr>
                <w:noProof/>
                <w:lang w:val="en-IE"/>
              </w:rPr>
            </w:pPr>
            <w:r w:rsidRPr="00F5382B">
              <w:rPr>
                <w:noProof/>
              </w:rPr>
              <w:t>Activity 3 –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66445D7"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FD80F03" w14:textId="77777777" w:rsidR="00EE3DF9" w:rsidRPr="00F5382B" w:rsidRDefault="00EE3DF9">
            <w:pPr>
              <w:rPr>
                <w:noProof/>
                <w:lang w:val="en-IE"/>
              </w:rPr>
            </w:pPr>
            <w:r w:rsidRPr="00F5382B">
              <w:rPr>
                <w:noProof/>
              </w:rPr>
              <w:t>                    12.19 </w:t>
            </w:r>
            <w:r w:rsidRPr="00F5382B">
              <w:rPr>
                <w:noProof/>
                <w:lang w:val="en-IE"/>
              </w:rPr>
              <w:t> </w:t>
            </w:r>
          </w:p>
        </w:tc>
      </w:tr>
      <w:tr w:rsidR="00EE3DF9" w:rsidRPr="00F5382B" w14:paraId="308048AA"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FB89FF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8DDA463" w14:textId="77777777" w:rsidR="00EE3DF9" w:rsidRPr="00F5382B" w:rsidRDefault="00EE3DF9">
            <w:pPr>
              <w:rPr>
                <w:noProof/>
                <w:lang w:val="en-IE"/>
              </w:rPr>
            </w:pPr>
            <w:r w:rsidRPr="00F5382B">
              <w:rPr>
                <w:noProof/>
              </w:rPr>
              <w:t>Activity 4 – Cooperation.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9F86C1D"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A588201" w14:textId="77777777" w:rsidR="00EE3DF9" w:rsidRPr="00F5382B" w:rsidRDefault="00EE3DF9">
            <w:pPr>
              <w:rPr>
                <w:noProof/>
                <w:lang w:val="en-IE"/>
              </w:rPr>
            </w:pPr>
            <w:r w:rsidRPr="00F5382B">
              <w:rPr>
                <w:noProof/>
              </w:rPr>
              <w:t>                    12.22 </w:t>
            </w:r>
            <w:r w:rsidRPr="00F5382B">
              <w:rPr>
                <w:noProof/>
                <w:lang w:val="en-IE"/>
              </w:rPr>
              <w:t> </w:t>
            </w:r>
          </w:p>
        </w:tc>
      </w:tr>
      <w:tr w:rsidR="00EE3DF9" w:rsidRPr="00F5382B" w14:paraId="47407817"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470759A"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95C789A" w14:textId="77777777" w:rsidR="00EE3DF9" w:rsidRPr="00F5382B" w:rsidRDefault="00EE3DF9">
            <w:pPr>
              <w:rPr>
                <w:noProof/>
                <w:lang w:val="en-IE"/>
              </w:rPr>
            </w:pPr>
            <w:r w:rsidRPr="00F5382B">
              <w:rPr>
                <w:noProof/>
              </w:rPr>
              <w:t>Activity 5 – Develop Cybersecurity Certification schemes for digital products, services and processes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B8B75C0"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0311D5F" w14:textId="77777777" w:rsidR="00EE3DF9" w:rsidRPr="00F5382B" w:rsidRDefault="00EE3DF9">
            <w:pPr>
              <w:rPr>
                <w:noProof/>
                <w:lang w:val="en-IE"/>
              </w:rPr>
            </w:pPr>
            <w:r w:rsidRPr="00F5382B">
              <w:rPr>
                <w:noProof/>
              </w:rPr>
              <w:t>                      7.33 </w:t>
            </w:r>
            <w:r w:rsidRPr="00F5382B">
              <w:rPr>
                <w:noProof/>
                <w:lang w:val="en-IE"/>
              </w:rPr>
              <w:t> </w:t>
            </w:r>
          </w:p>
        </w:tc>
      </w:tr>
      <w:tr w:rsidR="00EE3DF9" w:rsidRPr="00F5382B" w14:paraId="4110A05A"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F4BD523"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B3C5DD4" w14:textId="77777777" w:rsidR="00EE3DF9" w:rsidRPr="00F5382B" w:rsidRDefault="00EE3DF9">
            <w:pPr>
              <w:rPr>
                <w:noProof/>
                <w:lang w:val="en-IE"/>
              </w:rPr>
            </w:pPr>
            <w:r w:rsidRPr="00F5382B">
              <w:rPr>
                <w:noProof/>
              </w:rPr>
              <w:t>Activity 6 - Enabling. Reinforce ENISA’s impact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5E87E1D" w14:textId="77777777" w:rsidR="00EE3DF9" w:rsidRPr="00F5382B" w:rsidRDefault="00EE3DF9">
            <w:pPr>
              <w:rPr>
                <w:noProof/>
                <w:lang w:val="en-IE"/>
              </w:rPr>
            </w:pPr>
            <w:r w:rsidRPr="00F5382B">
              <w:rPr>
                <w:noProof/>
              </w:rPr>
              <w:t>n/a</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33AC7D2" w14:textId="77777777" w:rsidR="00EE3DF9" w:rsidRPr="00F5382B" w:rsidRDefault="00EE3DF9">
            <w:pPr>
              <w:rPr>
                <w:noProof/>
                <w:lang w:val="en-IE"/>
              </w:rPr>
            </w:pPr>
            <w:r w:rsidRPr="00F5382B">
              <w:rPr>
                <w:noProof/>
              </w:rPr>
              <w:t>                    62.23 </w:t>
            </w:r>
            <w:r w:rsidRPr="00F5382B">
              <w:rPr>
                <w:noProof/>
                <w:lang w:val="en-IE"/>
              </w:rPr>
              <w:t> </w:t>
            </w:r>
          </w:p>
        </w:tc>
      </w:tr>
      <w:tr w:rsidR="00EE3DF9" w:rsidRPr="00F5382B" w14:paraId="23BCE58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5E4671A"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16541216"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2468DF7" w14:textId="77777777" w:rsidR="00EE3DF9" w:rsidRPr="00F5382B" w:rsidRDefault="00EE3DF9">
            <w:pPr>
              <w:rPr>
                <w:noProof/>
                <w:lang w:val="en-IE"/>
              </w:rPr>
            </w:pPr>
            <w:r w:rsidRPr="00F5382B">
              <w:rPr>
                <w:noProof/>
              </w:rPr>
              <w:t>21,149,119</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7C10A81" w14:textId="77777777" w:rsidR="00EE3DF9" w:rsidRPr="00F5382B" w:rsidRDefault="00EE3DF9">
            <w:pPr>
              <w:rPr>
                <w:noProof/>
                <w:lang w:val="en-IE"/>
              </w:rPr>
            </w:pPr>
            <w:r w:rsidRPr="00F5382B">
              <w:rPr>
                <w:noProof/>
              </w:rPr>
              <w:t>                 121.04 </w:t>
            </w:r>
            <w:r w:rsidRPr="00F5382B">
              <w:rPr>
                <w:noProof/>
                <w:lang w:val="en-IE"/>
              </w:rPr>
              <w:t> </w:t>
            </w:r>
          </w:p>
        </w:tc>
      </w:tr>
      <w:tr w:rsidR="00EE3DF9" w:rsidRPr="00F5382B" w14:paraId="49D203A3"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20BE771D" w14:textId="77777777" w:rsidR="00EE3DF9" w:rsidRPr="00F5382B" w:rsidRDefault="00EE3DF9">
            <w:pPr>
              <w:rPr>
                <w:noProof/>
                <w:lang w:val="en-IE"/>
              </w:rPr>
            </w:pPr>
            <w:r w:rsidRPr="00F5382B">
              <w:rPr>
                <w:noProof/>
              </w:rPr>
              <w:t>2021</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45EC4BCE" w14:textId="77777777" w:rsidR="00EE3DF9" w:rsidRPr="00F5382B" w:rsidRDefault="00EE3DF9">
            <w:pPr>
              <w:rPr>
                <w:noProof/>
                <w:lang w:val="en-IE"/>
              </w:rPr>
            </w:pPr>
            <w:r w:rsidRPr="00F5382B">
              <w:rPr>
                <w:noProof/>
              </w:rPr>
              <w:t>Activity 1:</w:t>
            </w:r>
            <w:r w:rsidRPr="00F5382B">
              <w:rPr>
                <w:noProof/>
              </w:rPr>
              <w:t> </w:t>
            </w:r>
            <w:r w:rsidRPr="00F5382B">
              <w:rPr>
                <w:noProof/>
              </w:rPr>
              <w:t>Providing assistance in policy development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525077D" w14:textId="77777777" w:rsidR="00EE3DF9" w:rsidRPr="00F5382B" w:rsidRDefault="00EE3DF9">
            <w:pPr>
              <w:rPr>
                <w:noProof/>
                <w:lang w:val="en-IE"/>
              </w:rPr>
            </w:pPr>
            <w:r w:rsidRPr="00F5382B">
              <w:rPr>
                <w:noProof/>
              </w:rPr>
              <w:t>     1,393,794.52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89CFE3B" w14:textId="77777777" w:rsidR="00EE3DF9" w:rsidRPr="00F5382B" w:rsidRDefault="00EE3DF9">
            <w:pPr>
              <w:rPr>
                <w:noProof/>
                <w:lang w:val="en-IE"/>
              </w:rPr>
            </w:pPr>
            <w:r w:rsidRPr="00F5382B">
              <w:rPr>
                <w:noProof/>
              </w:rPr>
              <w:t>                      7.25 </w:t>
            </w:r>
            <w:r w:rsidRPr="00F5382B">
              <w:rPr>
                <w:noProof/>
                <w:lang w:val="en-IE"/>
              </w:rPr>
              <w:t> </w:t>
            </w:r>
          </w:p>
        </w:tc>
      </w:tr>
      <w:tr w:rsidR="00EE3DF9" w:rsidRPr="00F5382B" w14:paraId="67D2685F"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18E254C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DDAA0CB" w14:textId="77777777" w:rsidR="00EE3DF9" w:rsidRPr="00F5382B" w:rsidRDefault="00EE3DF9">
            <w:pPr>
              <w:rPr>
                <w:noProof/>
                <w:lang w:val="en-IE"/>
              </w:rPr>
            </w:pPr>
            <w:r w:rsidRPr="00F5382B">
              <w:rPr>
                <w:noProof/>
              </w:rPr>
              <w:t>Activity 2:</w:t>
            </w:r>
            <w:r w:rsidRPr="00F5382B">
              <w:rPr>
                <w:noProof/>
              </w:rPr>
              <w:t> </w:t>
            </w:r>
            <w:r w:rsidRPr="00F5382B">
              <w:rPr>
                <w:noProof/>
              </w:rPr>
              <w:t>Supporting implementation of Union policy and law</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757716D" w14:textId="77777777" w:rsidR="00EE3DF9" w:rsidRPr="00F5382B" w:rsidRDefault="00EE3DF9">
            <w:pPr>
              <w:rPr>
                <w:noProof/>
                <w:lang w:val="en-IE"/>
              </w:rPr>
            </w:pPr>
            <w:r w:rsidRPr="00F5382B">
              <w:rPr>
                <w:noProof/>
              </w:rPr>
              <w:t>     3,395,688.26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0A728BB" w14:textId="77777777" w:rsidR="00EE3DF9" w:rsidRPr="00F5382B" w:rsidRDefault="00EE3DF9">
            <w:pPr>
              <w:rPr>
                <w:noProof/>
                <w:lang w:val="en-IE"/>
              </w:rPr>
            </w:pPr>
            <w:r w:rsidRPr="00F5382B">
              <w:rPr>
                <w:noProof/>
              </w:rPr>
              <w:t>                    16.62 </w:t>
            </w:r>
            <w:r w:rsidRPr="00F5382B">
              <w:rPr>
                <w:noProof/>
                <w:lang w:val="en-IE"/>
              </w:rPr>
              <w:t> </w:t>
            </w:r>
          </w:p>
        </w:tc>
      </w:tr>
      <w:tr w:rsidR="00EE3DF9" w:rsidRPr="00F5382B" w14:paraId="11218690"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DFAE792"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D928475" w14:textId="77777777" w:rsidR="00EE3DF9" w:rsidRPr="00F5382B" w:rsidRDefault="00EE3DF9">
            <w:pPr>
              <w:rPr>
                <w:noProof/>
                <w:lang w:val="en-IE"/>
              </w:rPr>
            </w:pPr>
            <w:r w:rsidRPr="00F5382B">
              <w:rPr>
                <w:noProof/>
              </w:rPr>
              <w:t>Activity 3:</w:t>
            </w:r>
            <w:r w:rsidRPr="00F5382B">
              <w:rPr>
                <w:noProof/>
              </w:rPr>
              <w:t> </w:t>
            </w:r>
            <w:r w:rsidRPr="00F5382B">
              <w:rPr>
                <w:noProof/>
              </w:rPr>
              <w:t>Building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8F07417" w14:textId="77777777" w:rsidR="00EE3DF9" w:rsidRPr="00F5382B" w:rsidRDefault="00EE3DF9">
            <w:pPr>
              <w:rPr>
                <w:noProof/>
                <w:lang w:val="en-IE"/>
              </w:rPr>
            </w:pPr>
            <w:r w:rsidRPr="00F5382B">
              <w:rPr>
                <w:noProof/>
              </w:rPr>
              <w:t>     3,907,076.25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BA26C4D" w14:textId="77777777" w:rsidR="00EE3DF9" w:rsidRPr="00F5382B" w:rsidRDefault="00EE3DF9">
            <w:pPr>
              <w:rPr>
                <w:noProof/>
                <w:lang w:val="en-IE"/>
              </w:rPr>
            </w:pPr>
            <w:r w:rsidRPr="00F5382B">
              <w:rPr>
                <w:noProof/>
              </w:rPr>
              <w:t>                    16.93 </w:t>
            </w:r>
            <w:r w:rsidRPr="00F5382B">
              <w:rPr>
                <w:noProof/>
                <w:lang w:val="en-IE"/>
              </w:rPr>
              <w:t> </w:t>
            </w:r>
          </w:p>
        </w:tc>
      </w:tr>
      <w:tr w:rsidR="00EE3DF9" w:rsidRPr="00F5382B" w14:paraId="0B9B951A"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E340BD1"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DB63209" w14:textId="77777777" w:rsidR="00EE3DF9" w:rsidRPr="00F5382B" w:rsidRDefault="00EE3DF9">
            <w:pPr>
              <w:rPr>
                <w:noProof/>
                <w:lang w:val="en-IE"/>
              </w:rPr>
            </w:pPr>
            <w:r w:rsidRPr="00F5382B">
              <w:rPr>
                <w:noProof/>
              </w:rPr>
              <w:t>Activity 4:</w:t>
            </w:r>
            <w:r w:rsidRPr="00F5382B">
              <w:rPr>
                <w:noProof/>
              </w:rPr>
              <w:t> </w:t>
            </w:r>
            <w:r w:rsidRPr="00F5382B">
              <w:rPr>
                <w:noProof/>
              </w:rPr>
              <w:t>Enabling operational cooperation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1AA4655" w14:textId="77777777" w:rsidR="00EE3DF9" w:rsidRPr="00F5382B" w:rsidRDefault="00EE3DF9">
            <w:pPr>
              <w:rPr>
                <w:noProof/>
                <w:lang w:val="en-IE"/>
              </w:rPr>
            </w:pPr>
            <w:r w:rsidRPr="00F5382B">
              <w:rPr>
                <w:noProof/>
              </w:rPr>
              <w:t>     2,753,446.25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C58F429" w14:textId="77777777" w:rsidR="00EE3DF9" w:rsidRPr="00F5382B" w:rsidRDefault="00EE3DF9">
            <w:pPr>
              <w:rPr>
                <w:noProof/>
                <w:lang w:val="en-IE"/>
              </w:rPr>
            </w:pPr>
            <w:r w:rsidRPr="00F5382B">
              <w:rPr>
                <w:noProof/>
              </w:rPr>
              <w:t>                    10.97 </w:t>
            </w:r>
            <w:r w:rsidRPr="00F5382B">
              <w:rPr>
                <w:noProof/>
                <w:lang w:val="en-IE"/>
              </w:rPr>
              <w:t> </w:t>
            </w:r>
          </w:p>
        </w:tc>
      </w:tr>
      <w:tr w:rsidR="00EE3DF9" w:rsidRPr="00F5382B" w14:paraId="47081C1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AB3AF81"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A60D663" w14:textId="77777777" w:rsidR="00EE3DF9" w:rsidRPr="00F5382B" w:rsidRDefault="00EE3DF9">
            <w:pPr>
              <w:rPr>
                <w:noProof/>
                <w:lang w:val="en-IE"/>
              </w:rPr>
            </w:pPr>
            <w:r w:rsidRPr="00F5382B">
              <w:rPr>
                <w:noProof/>
              </w:rPr>
              <w:t>Activity 5:</w:t>
            </w:r>
            <w:r w:rsidRPr="00F5382B">
              <w:rPr>
                <w:noProof/>
              </w:rPr>
              <w:t> </w:t>
            </w:r>
            <w:r w:rsidRPr="00F5382B">
              <w:rPr>
                <w:noProof/>
              </w:rPr>
              <w:t>Contribute to cooperative response at Union and Member States level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00D445E" w14:textId="77777777" w:rsidR="00EE3DF9" w:rsidRPr="00F5382B" w:rsidRDefault="00EE3DF9">
            <w:pPr>
              <w:rPr>
                <w:noProof/>
                <w:lang w:val="en-IE"/>
              </w:rPr>
            </w:pPr>
            <w:r w:rsidRPr="00F5382B">
              <w:rPr>
                <w:noProof/>
              </w:rPr>
              <w:t>     2,044,536.29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804B106" w14:textId="77777777" w:rsidR="00EE3DF9" w:rsidRPr="00F5382B" w:rsidRDefault="00EE3DF9">
            <w:pPr>
              <w:rPr>
                <w:noProof/>
                <w:lang w:val="en-IE"/>
              </w:rPr>
            </w:pPr>
            <w:r w:rsidRPr="00F5382B">
              <w:rPr>
                <w:noProof/>
              </w:rPr>
              <w:t>                      6.40 </w:t>
            </w:r>
            <w:r w:rsidRPr="00F5382B">
              <w:rPr>
                <w:noProof/>
                <w:lang w:val="en-IE"/>
              </w:rPr>
              <w:t> </w:t>
            </w:r>
          </w:p>
        </w:tc>
      </w:tr>
      <w:tr w:rsidR="00EE3DF9" w:rsidRPr="00F5382B" w14:paraId="001316B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1D2A107F"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1C79AD2" w14:textId="77777777" w:rsidR="00EE3DF9" w:rsidRPr="00F5382B" w:rsidRDefault="00EE3DF9">
            <w:pPr>
              <w:rPr>
                <w:noProof/>
                <w:lang w:val="en-IE"/>
              </w:rPr>
            </w:pPr>
            <w:r w:rsidRPr="00F5382B">
              <w:rPr>
                <w:noProof/>
              </w:rPr>
              <w:t>Activity 6:</w:t>
            </w:r>
            <w:r w:rsidRPr="00F5382B">
              <w:rPr>
                <w:noProof/>
              </w:rPr>
              <w:t> </w:t>
            </w:r>
            <w:r w:rsidRPr="00F5382B">
              <w:rPr>
                <w:noProof/>
              </w:rPr>
              <w:t>Development and maintenance of EU cybersecurity certification framework</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18B5D75" w14:textId="77777777" w:rsidR="00EE3DF9" w:rsidRPr="00F5382B" w:rsidRDefault="00EE3DF9">
            <w:pPr>
              <w:rPr>
                <w:noProof/>
                <w:lang w:val="en-IE"/>
              </w:rPr>
            </w:pPr>
            <w:r w:rsidRPr="00F5382B">
              <w:rPr>
                <w:noProof/>
              </w:rPr>
              <w:t>     2,147,521.14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A8D0C06" w14:textId="77777777" w:rsidR="00EE3DF9" w:rsidRPr="00F5382B" w:rsidRDefault="00EE3DF9">
            <w:pPr>
              <w:rPr>
                <w:noProof/>
                <w:lang w:val="en-IE"/>
              </w:rPr>
            </w:pPr>
            <w:r w:rsidRPr="00F5382B">
              <w:rPr>
                <w:noProof/>
              </w:rPr>
              <w:t>                    11.00 </w:t>
            </w:r>
            <w:r w:rsidRPr="00F5382B">
              <w:rPr>
                <w:noProof/>
                <w:lang w:val="en-IE"/>
              </w:rPr>
              <w:t> </w:t>
            </w:r>
          </w:p>
        </w:tc>
      </w:tr>
      <w:tr w:rsidR="00EE3DF9" w:rsidRPr="00F5382B" w14:paraId="7648FF07"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75AA6A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BB8DF90" w14:textId="77777777" w:rsidR="00EE3DF9" w:rsidRPr="00F5382B" w:rsidRDefault="00EE3DF9">
            <w:pPr>
              <w:rPr>
                <w:noProof/>
                <w:lang w:val="en-IE"/>
              </w:rPr>
            </w:pPr>
            <w:r w:rsidRPr="00F5382B">
              <w:rPr>
                <w:noProof/>
              </w:rPr>
              <w:t>Activity 7:</w:t>
            </w:r>
            <w:r w:rsidRPr="00F5382B">
              <w:rPr>
                <w:noProof/>
              </w:rPr>
              <w:t> </w:t>
            </w:r>
            <w:r w:rsidRPr="00F5382B">
              <w:rPr>
                <w:noProof/>
              </w:rPr>
              <w:t>Supporting the European cybersecurity market and industry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E657F17" w14:textId="77777777" w:rsidR="00EE3DF9" w:rsidRPr="00F5382B" w:rsidRDefault="00EE3DF9">
            <w:pPr>
              <w:rPr>
                <w:noProof/>
                <w:lang w:val="en-IE"/>
              </w:rPr>
            </w:pPr>
            <w:r w:rsidRPr="00F5382B">
              <w:rPr>
                <w:noProof/>
              </w:rPr>
              <w:t>     2,027,048.34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6C95EDD" w14:textId="77777777" w:rsidR="00EE3DF9" w:rsidRPr="00F5382B" w:rsidRDefault="00EE3DF9">
            <w:pPr>
              <w:rPr>
                <w:noProof/>
                <w:lang w:val="en-IE"/>
              </w:rPr>
            </w:pPr>
            <w:r w:rsidRPr="00F5382B">
              <w:rPr>
                <w:noProof/>
              </w:rPr>
              <w:t>                    10.64 </w:t>
            </w:r>
            <w:r w:rsidRPr="00F5382B">
              <w:rPr>
                <w:noProof/>
                <w:lang w:val="en-IE"/>
              </w:rPr>
              <w:t> </w:t>
            </w:r>
          </w:p>
        </w:tc>
      </w:tr>
      <w:tr w:rsidR="00EE3DF9" w:rsidRPr="00F5382B" w14:paraId="507232A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96C98F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6352B74" w14:textId="77777777" w:rsidR="00EE3DF9" w:rsidRPr="00F5382B" w:rsidRDefault="00EE3DF9">
            <w:pPr>
              <w:rPr>
                <w:noProof/>
                <w:lang w:val="en-IE"/>
              </w:rPr>
            </w:pPr>
            <w:r w:rsidRPr="00F5382B">
              <w:rPr>
                <w:noProof/>
              </w:rPr>
              <w:t>Activity 8: Knowledge on emerging cybersecurity challenges and opportunities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0D0ADF3" w14:textId="77777777" w:rsidR="00EE3DF9" w:rsidRPr="00F5382B" w:rsidRDefault="00EE3DF9">
            <w:pPr>
              <w:rPr>
                <w:noProof/>
                <w:lang w:val="en-IE"/>
              </w:rPr>
            </w:pPr>
            <w:r w:rsidRPr="00F5382B">
              <w:rPr>
                <w:noProof/>
              </w:rPr>
              <w:t>     2,881,670.90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0AE0E95" w14:textId="77777777" w:rsidR="00EE3DF9" w:rsidRPr="00F5382B" w:rsidRDefault="00EE3DF9">
            <w:pPr>
              <w:rPr>
                <w:noProof/>
                <w:lang w:val="en-IE"/>
              </w:rPr>
            </w:pPr>
            <w:r w:rsidRPr="00F5382B">
              <w:rPr>
                <w:noProof/>
              </w:rPr>
              <w:t>                    12.05 </w:t>
            </w:r>
            <w:r w:rsidRPr="00F5382B">
              <w:rPr>
                <w:noProof/>
                <w:lang w:val="en-IE"/>
              </w:rPr>
              <w:t> </w:t>
            </w:r>
          </w:p>
        </w:tc>
      </w:tr>
      <w:tr w:rsidR="00EE3DF9" w:rsidRPr="00F5382B" w14:paraId="1758A237"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80E50A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83875D9" w14:textId="77777777" w:rsidR="00EE3DF9" w:rsidRPr="00F5382B" w:rsidRDefault="00EE3DF9">
            <w:pPr>
              <w:rPr>
                <w:noProof/>
                <w:lang w:val="en-IE"/>
              </w:rPr>
            </w:pPr>
            <w:r w:rsidRPr="00F5382B">
              <w:rPr>
                <w:noProof/>
              </w:rPr>
              <w:t>Activity 9:</w:t>
            </w:r>
            <w:r w:rsidRPr="00F5382B">
              <w:rPr>
                <w:noProof/>
              </w:rPr>
              <w:t> </w:t>
            </w:r>
            <w:r w:rsidRPr="00F5382B">
              <w:rPr>
                <w:noProof/>
              </w:rPr>
              <w:t>Outreach and education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90DF09B" w14:textId="77777777" w:rsidR="00EE3DF9" w:rsidRPr="00F5382B" w:rsidRDefault="00EE3DF9">
            <w:pPr>
              <w:rPr>
                <w:noProof/>
                <w:lang w:val="en-IE"/>
              </w:rPr>
            </w:pPr>
            <w:r w:rsidRPr="00F5382B">
              <w:rPr>
                <w:noProof/>
              </w:rPr>
              <w:t>     2,170,368.01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6D43DEF" w14:textId="77777777" w:rsidR="00EE3DF9" w:rsidRPr="00F5382B" w:rsidRDefault="00EE3DF9">
            <w:pPr>
              <w:rPr>
                <w:noProof/>
                <w:lang w:val="en-IE"/>
              </w:rPr>
            </w:pPr>
            <w:r w:rsidRPr="00F5382B">
              <w:rPr>
                <w:noProof/>
              </w:rPr>
              <w:t>                      8.35 </w:t>
            </w:r>
            <w:r w:rsidRPr="00F5382B">
              <w:rPr>
                <w:noProof/>
                <w:lang w:val="en-IE"/>
              </w:rPr>
              <w:t> </w:t>
            </w:r>
          </w:p>
        </w:tc>
      </w:tr>
      <w:tr w:rsidR="00EE3DF9" w:rsidRPr="00F5382B" w14:paraId="15F0432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E53C7C9"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F243F84"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CA56819" w14:textId="77777777" w:rsidR="00EE3DF9" w:rsidRPr="00F5382B" w:rsidRDefault="00EE3DF9">
            <w:pPr>
              <w:rPr>
                <w:noProof/>
                <w:lang w:val="en-IE"/>
              </w:rPr>
            </w:pPr>
            <w:r w:rsidRPr="00F5382B">
              <w:rPr>
                <w:noProof/>
              </w:rPr>
              <w:t>   22,721,149.95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09742F4" w14:textId="77777777" w:rsidR="00EE3DF9" w:rsidRPr="00F5382B" w:rsidRDefault="00EE3DF9">
            <w:pPr>
              <w:rPr>
                <w:noProof/>
                <w:lang w:val="en-IE"/>
              </w:rPr>
            </w:pPr>
            <w:r w:rsidRPr="00F5382B">
              <w:rPr>
                <w:noProof/>
              </w:rPr>
              <w:t>                 100.20 </w:t>
            </w:r>
            <w:r w:rsidRPr="00F5382B">
              <w:rPr>
                <w:noProof/>
                <w:lang w:val="en-IE"/>
              </w:rPr>
              <w:t> </w:t>
            </w:r>
          </w:p>
        </w:tc>
      </w:tr>
      <w:tr w:rsidR="00EE3DF9" w:rsidRPr="00F5382B" w14:paraId="638B01A8"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3D4C6DE8" w14:textId="77777777" w:rsidR="00EE3DF9" w:rsidRPr="00F5382B" w:rsidRDefault="00EE3DF9">
            <w:pPr>
              <w:rPr>
                <w:noProof/>
                <w:lang w:val="en-IE"/>
              </w:rPr>
            </w:pPr>
            <w:r w:rsidRPr="00F5382B">
              <w:rPr>
                <w:noProof/>
              </w:rPr>
              <w:t>2022</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38212F1B" w14:textId="77777777" w:rsidR="00EE3DF9" w:rsidRPr="00F5382B" w:rsidRDefault="00EE3DF9">
            <w:pPr>
              <w:rPr>
                <w:noProof/>
                <w:lang w:val="en-IE"/>
              </w:rPr>
            </w:pPr>
            <w:r w:rsidRPr="00F5382B">
              <w:rPr>
                <w:noProof/>
              </w:rPr>
              <w:t>Activity 1:</w:t>
            </w:r>
            <w:r w:rsidRPr="00F5382B">
              <w:rPr>
                <w:noProof/>
              </w:rPr>
              <w:t> </w:t>
            </w:r>
            <w:r w:rsidRPr="00F5382B">
              <w:rPr>
                <w:noProof/>
              </w:rPr>
              <w:t>Providing assistance in policy development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C18DFC5" w14:textId="77777777" w:rsidR="00EE3DF9" w:rsidRPr="00F5382B" w:rsidRDefault="00EE3DF9">
            <w:pPr>
              <w:rPr>
                <w:noProof/>
                <w:lang w:val="en-IE"/>
              </w:rPr>
            </w:pPr>
            <w:r w:rsidRPr="00F5382B">
              <w:rPr>
                <w:noProof/>
              </w:rPr>
              <w:t>     1,504,130.01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14D74EA" w14:textId="77777777" w:rsidR="00EE3DF9" w:rsidRPr="00F5382B" w:rsidRDefault="00EE3DF9">
            <w:pPr>
              <w:rPr>
                <w:noProof/>
                <w:lang w:val="en-IE"/>
              </w:rPr>
            </w:pPr>
            <w:r w:rsidRPr="00F5382B">
              <w:rPr>
                <w:noProof/>
              </w:rPr>
              <w:t>                      7.09 </w:t>
            </w:r>
            <w:r w:rsidRPr="00F5382B">
              <w:rPr>
                <w:noProof/>
                <w:lang w:val="en-IE"/>
              </w:rPr>
              <w:t> </w:t>
            </w:r>
          </w:p>
        </w:tc>
      </w:tr>
      <w:tr w:rsidR="00EE3DF9" w:rsidRPr="00F5382B" w14:paraId="0E30105E"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6CB8343"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8779D7F" w14:textId="77777777" w:rsidR="00EE3DF9" w:rsidRPr="00F5382B" w:rsidRDefault="00EE3DF9">
            <w:pPr>
              <w:rPr>
                <w:noProof/>
                <w:lang w:val="en-IE"/>
              </w:rPr>
            </w:pPr>
            <w:r w:rsidRPr="00F5382B">
              <w:rPr>
                <w:noProof/>
              </w:rPr>
              <w:t>Activity 2:</w:t>
            </w:r>
            <w:r w:rsidRPr="00F5382B">
              <w:rPr>
                <w:noProof/>
              </w:rPr>
              <w:t> </w:t>
            </w:r>
            <w:r w:rsidRPr="00F5382B">
              <w:rPr>
                <w:noProof/>
              </w:rPr>
              <w:t>Supporting implementation of Union policy and law</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FE1EA28" w14:textId="77777777" w:rsidR="00EE3DF9" w:rsidRPr="00F5382B" w:rsidRDefault="00EE3DF9">
            <w:pPr>
              <w:rPr>
                <w:noProof/>
                <w:lang w:val="en-IE"/>
              </w:rPr>
            </w:pPr>
            <w:r w:rsidRPr="00F5382B">
              <w:rPr>
                <w:noProof/>
              </w:rPr>
              <w:t>     2,996,538.66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8E0ABEA" w14:textId="77777777" w:rsidR="00EE3DF9" w:rsidRPr="00F5382B" w:rsidRDefault="00EE3DF9">
            <w:pPr>
              <w:rPr>
                <w:noProof/>
                <w:lang w:val="en-IE"/>
              </w:rPr>
            </w:pPr>
            <w:r w:rsidRPr="00F5382B">
              <w:rPr>
                <w:noProof/>
              </w:rPr>
              <w:t>                    13.66 </w:t>
            </w:r>
            <w:r w:rsidRPr="00F5382B">
              <w:rPr>
                <w:noProof/>
                <w:lang w:val="en-IE"/>
              </w:rPr>
              <w:t> </w:t>
            </w:r>
          </w:p>
        </w:tc>
      </w:tr>
      <w:tr w:rsidR="00EE3DF9" w:rsidRPr="00F5382B" w14:paraId="2C4F3743"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4F0B040"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0A679BF" w14:textId="77777777" w:rsidR="00EE3DF9" w:rsidRPr="00F5382B" w:rsidRDefault="00EE3DF9">
            <w:pPr>
              <w:rPr>
                <w:noProof/>
                <w:lang w:val="en-IE"/>
              </w:rPr>
            </w:pPr>
            <w:r w:rsidRPr="00F5382B">
              <w:rPr>
                <w:noProof/>
              </w:rPr>
              <w:t>Activity 3:</w:t>
            </w:r>
            <w:r w:rsidRPr="00F5382B">
              <w:rPr>
                <w:noProof/>
              </w:rPr>
              <w:t> </w:t>
            </w:r>
            <w:r w:rsidRPr="00F5382B">
              <w:rPr>
                <w:noProof/>
              </w:rPr>
              <w:t>Building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D99367C" w14:textId="77777777" w:rsidR="00EE3DF9" w:rsidRPr="00F5382B" w:rsidRDefault="00EE3DF9">
            <w:pPr>
              <w:rPr>
                <w:noProof/>
                <w:lang w:val="en-IE"/>
              </w:rPr>
            </w:pPr>
            <w:r w:rsidRPr="00F5382B">
              <w:rPr>
                <w:noProof/>
              </w:rPr>
              <w:t>     4,273,363.95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9CBD8F6" w14:textId="77777777" w:rsidR="00EE3DF9" w:rsidRPr="00F5382B" w:rsidRDefault="00EE3DF9">
            <w:pPr>
              <w:rPr>
                <w:noProof/>
                <w:lang w:val="en-IE"/>
              </w:rPr>
            </w:pPr>
            <w:r w:rsidRPr="00F5382B">
              <w:rPr>
                <w:noProof/>
              </w:rPr>
              <w:t>                    14.50 </w:t>
            </w:r>
            <w:r w:rsidRPr="00F5382B">
              <w:rPr>
                <w:noProof/>
                <w:lang w:val="en-IE"/>
              </w:rPr>
              <w:t> </w:t>
            </w:r>
          </w:p>
        </w:tc>
      </w:tr>
      <w:tr w:rsidR="00EE3DF9" w:rsidRPr="00F5382B" w14:paraId="6CE38316"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607D80F"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5F8A5AC" w14:textId="77777777" w:rsidR="00EE3DF9" w:rsidRPr="00F5382B" w:rsidRDefault="00EE3DF9">
            <w:pPr>
              <w:rPr>
                <w:noProof/>
                <w:lang w:val="en-IE"/>
              </w:rPr>
            </w:pPr>
            <w:r w:rsidRPr="00F5382B">
              <w:rPr>
                <w:noProof/>
              </w:rPr>
              <w:t>Activity 4:</w:t>
            </w:r>
            <w:r w:rsidRPr="00F5382B">
              <w:rPr>
                <w:noProof/>
              </w:rPr>
              <w:t> </w:t>
            </w:r>
            <w:r w:rsidRPr="00F5382B">
              <w:rPr>
                <w:noProof/>
              </w:rPr>
              <w:t>Enabling operational cooperation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EF87274" w14:textId="77777777" w:rsidR="00EE3DF9" w:rsidRPr="00F5382B" w:rsidRDefault="00EE3DF9">
            <w:pPr>
              <w:rPr>
                <w:noProof/>
                <w:lang w:val="en-IE"/>
              </w:rPr>
            </w:pPr>
            <w:r w:rsidRPr="00F5382B">
              <w:rPr>
                <w:noProof/>
              </w:rPr>
              <w:t>     1,922,081.06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C4BA41C" w14:textId="77777777" w:rsidR="00EE3DF9" w:rsidRPr="00F5382B" w:rsidRDefault="00EE3DF9">
            <w:pPr>
              <w:rPr>
                <w:noProof/>
                <w:lang w:val="en-IE"/>
              </w:rPr>
            </w:pPr>
            <w:r w:rsidRPr="00F5382B">
              <w:rPr>
                <w:noProof/>
              </w:rPr>
              <w:t>                      1.48 </w:t>
            </w:r>
            <w:r w:rsidRPr="00F5382B">
              <w:rPr>
                <w:noProof/>
                <w:lang w:val="en-IE"/>
              </w:rPr>
              <w:t> </w:t>
            </w:r>
          </w:p>
        </w:tc>
      </w:tr>
      <w:tr w:rsidR="00EE3DF9" w:rsidRPr="00F5382B" w14:paraId="1EB8D3CA"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F28D6AE"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CC0BC70" w14:textId="77777777" w:rsidR="00EE3DF9" w:rsidRPr="00F5382B" w:rsidRDefault="00EE3DF9">
            <w:pPr>
              <w:rPr>
                <w:noProof/>
                <w:lang w:val="en-IE"/>
              </w:rPr>
            </w:pPr>
            <w:r w:rsidRPr="00F5382B">
              <w:rPr>
                <w:noProof/>
              </w:rPr>
              <w:t>Activity 5:</w:t>
            </w:r>
            <w:r w:rsidRPr="00F5382B">
              <w:rPr>
                <w:noProof/>
              </w:rPr>
              <w:t> </w:t>
            </w:r>
            <w:r w:rsidRPr="00F5382B">
              <w:rPr>
                <w:noProof/>
              </w:rPr>
              <w:t>Contribute to cooperative response at Union and Member States level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909C577" w14:textId="77777777" w:rsidR="00EE3DF9" w:rsidRPr="00F5382B" w:rsidRDefault="00EE3DF9">
            <w:pPr>
              <w:rPr>
                <w:noProof/>
                <w:lang w:val="en-IE"/>
              </w:rPr>
            </w:pPr>
            <w:r w:rsidRPr="00F5382B">
              <w:rPr>
                <w:noProof/>
              </w:rPr>
              <w:t>   19,130,992.46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6E94995" w14:textId="77777777" w:rsidR="00EE3DF9" w:rsidRPr="00F5382B" w:rsidRDefault="00EE3DF9">
            <w:pPr>
              <w:rPr>
                <w:noProof/>
                <w:lang w:val="en-IE"/>
              </w:rPr>
            </w:pPr>
            <w:r w:rsidRPr="00F5382B">
              <w:rPr>
                <w:noProof/>
              </w:rPr>
              <w:t>                    20.31 </w:t>
            </w:r>
            <w:r w:rsidRPr="00F5382B">
              <w:rPr>
                <w:noProof/>
                <w:lang w:val="en-IE"/>
              </w:rPr>
              <w:t> </w:t>
            </w:r>
          </w:p>
        </w:tc>
      </w:tr>
      <w:tr w:rsidR="00EE3DF9" w:rsidRPr="00F5382B" w14:paraId="6D4E3D9F"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3A1AD1F"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C7B55B4" w14:textId="77777777" w:rsidR="00EE3DF9" w:rsidRPr="00F5382B" w:rsidRDefault="00EE3DF9">
            <w:pPr>
              <w:rPr>
                <w:noProof/>
                <w:lang w:val="en-IE"/>
              </w:rPr>
            </w:pPr>
            <w:r w:rsidRPr="00F5382B">
              <w:rPr>
                <w:noProof/>
              </w:rPr>
              <w:t>Activity 6:</w:t>
            </w:r>
            <w:r w:rsidRPr="00F5382B">
              <w:rPr>
                <w:noProof/>
              </w:rPr>
              <w:t> </w:t>
            </w:r>
            <w:r w:rsidRPr="00F5382B">
              <w:rPr>
                <w:noProof/>
              </w:rPr>
              <w:t>Development and maintenance of EU cybersecurity certification framework</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293B342" w14:textId="77777777" w:rsidR="00EE3DF9" w:rsidRPr="00F5382B" w:rsidRDefault="00EE3DF9">
            <w:pPr>
              <w:rPr>
                <w:noProof/>
                <w:lang w:val="en-IE"/>
              </w:rPr>
            </w:pPr>
            <w:r w:rsidRPr="00F5382B">
              <w:rPr>
                <w:noProof/>
              </w:rPr>
              <w:t>     2,911,478.39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750AEC9" w14:textId="77777777" w:rsidR="00EE3DF9" w:rsidRPr="00F5382B" w:rsidRDefault="00EE3DF9">
            <w:pPr>
              <w:rPr>
                <w:noProof/>
                <w:lang w:val="en-IE"/>
              </w:rPr>
            </w:pPr>
            <w:r w:rsidRPr="00F5382B">
              <w:rPr>
                <w:noProof/>
              </w:rPr>
              <w:t>                    12.04 </w:t>
            </w:r>
            <w:r w:rsidRPr="00F5382B">
              <w:rPr>
                <w:noProof/>
                <w:lang w:val="en-IE"/>
              </w:rPr>
              <w:t> </w:t>
            </w:r>
          </w:p>
        </w:tc>
      </w:tr>
      <w:tr w:rsidR="00EE3DF9" w:rsidRPr="00F5382B" w14:paraId="507651FE"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D9EDD31"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2989851" w14:textId="77777777" w:rsidR="00EE3DF9" w:rsidRPr="00F5382B" w:rsidRDefault="00EE3DF9">
            <w:pPr>
              <w:rPr>
                <w:noProof/>
                <w:lang w:val="en-IE"/>
              </w:rPr>
            </w:pPr>
            <w:r w:rsidRPr="00F5382B">
              <w:rPr>
                <w:noProof/>
              </w:rPr>
              <w:t>Activity 7:</w:t>
            </w:r>
            <w:r w:rsidRPr="00F5382B">
              <w:rPr>
                <w:noProof/>
              </w:rPr>
              <w:t> </w:t>
            </w:r>
            <w:r w:rsidRPr="00F5382B">
              <w:rPr>
                <w:noProof/>
              </w:rPr>
              <w:t>Supporting the European cybersecurity market and industry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318041D" w14:textId="77777777" w:rsidR="00EE3DF9" w:rsidRPr="00F5382B" w:rsidRDefault="00EE3DF9">
            <w:pPr>
              <w:rPr>
                <w:noProof/>
                <w:lang w:val="en-IE"/>
              </w:rPr>
            </w:pPr>
            <w:r w:rsidRPr="00F5382B">
              <w:rPr>
                <w:noProof/>
              </w:rPr>
              <w:t>     1,336,552.76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3B629837" w14:textId="77777777" w:rsidR="00EE3DF9" w:rsidRPr="00F5382B" w:rsidRDefault="00EE3DF9">
            <w:pPr>
              <w:rPr>
                <w:noProof/>
                <w:lang w:val="en-IE"/>
              </w:rPr>
            </w:pPr>
            <w:r w:rsidRPr="00F5382B">
              <w:rPr>
                <w:noProof/>
              </w:rPr>
              <w:t>                      5.98 </w:t>
            </w:r>
            <w:r w:rsidRPr="00F5382B">
              <w:rPr>
                <w:noProof/>
                <w:lang w:val="en-IE"/>
              </w:rPr>
              <w:t> </w:t>
            </w:r>
          </w:p>
        </w:tc>
      </w:tr>
      <w:tr w:rsidR="00EE3DF9" w:rsidRPr="00F5382B" w14:paraId="03D3B22C"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6345935"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14F4197" w14:textId="77777777" w:rsidR="00EE3DF9" w:rsidRPr="00F5382B" w:rsidRDefault="00EE3DF9">
            <w:pPr>
              <w:rPr>
                <w:noProof/>
                <w:lang w:val="en-IE"/>
              </w:rPr>
            </w:pPr>
            <w:r w:rsidRPr="00F5382B">
              <w:rPr>
                <w:noProof/>
              </w:rPr>
              <w:t>Activity 8: Knowledge on emerging cybersecurity challenges and opportunities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893F095" w14:textId="77777777" w:rsidR="00EE3DF9" w:rsidRPr="00F5382B" w:rsidRDefault="00EE3DF9">
            <w:pPr>
              <w:rPr>
                <w:noProof/>
                <w:lang w:val="en-IE"/>
              </w:rPr>
            </w:pPr>
            <w:r w:rsidRPr="00F5382B">
              <w:rPr>
                <w:noProof/>
              </w:rPr>
              <w:t>     3,486,726.99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3E815CD8" w14:textId="77777777" w:rsidR="00EE3DF9" w:rsidRPr="00F5382B" w:rsidRDefault="00EE3DF9">
            <w:pPr>
              <w:rPr>
                <w:noProof/>
                <w:lang w:val="en-IE"/>
              </w:rPr>
            </w:pPr>
            <w:r w:rsidRPr="00F5382B">
              <w:rPr>
                <w:noProof/>
              </w:rPr>
              <w:t>                    15.07 </w:t>
            </w:r>
            <w:r w:rsidRPr="00F5382B">
              <w:rPr>
                <w:noProof/>
                <w:lang w:val="en-IE"/>
              </w:rPr>
              <w:t> </w:t>
            </w:r>
          </w:p>
        </w:tc>
      </w:tr>
      <w:tr w:rsidR="00EE3DF9" w:rsidRPr="00F5382B" w14:paraId="401A439D"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B670472"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A2267AC" w14:textId="77777777" w:rsidR="00EE3DF9" w:rsidRPr="00F5382B" w:rsidRDefault="00EE3DF9">
            <w:pPr>
              <w:rPr>
                <w:noProof/>
                <w:lang w:val="en-IE"/>
              </w:rPr>
            </w:pPr>
            <w:r w:rsidRPr="00F5382B">
              <w:rPr>
                <w:noProof/>
              </w:rPr>
              <w:t>Activity 9:</w:t>
            </w:r>
            <w:r w:rsidRPr="00F5382B">
              <w:rPr>
                <w:noProof/>
              </w:rPr>
              <w:t> </w:t>
            </w:r>
            <w:r w:rsidRPr="00F5382B">
              <w:rPr>
                <w:noProof/>
              </w:rPr>
              <w:t>Outreach and education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4F01ECE" w14:textId="77777777" w:rsidR="00EE3DF9" w:rsidRPr="00F5382B" w:rsidRDefault="00EE3DF9">
            <w:pPr>
              <w:rPr>
                <w:noProof/>
                <w:lang w:val="en-IE"/>
              </w:rPr>
            </w:pPr>
            <w:r w:rsidRPr="00F5382B">
              <w:rPr>
                <w:noProof/>
              </w:rPr>
              <w:t>     1,617,541.66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ADA9F33" w14:textId="77777777" w:rsidR="00EE3DF9" w:rsidRPr="00F5382B" w:rsidRDefault="00EE3DF9">
            <w:pPr>
              <w:rPr>
                <w:noProof/>
                <w:lang w:val="en-IE"/>
              </w:rPr>
            </w:pPr>
            <w:r w:rsidRPr="00F5382B">
              <w:rPr>
                <w:noProof/>
              </w:rPr>
              <w:t>                      7.41 </w:t>
            </w:r>
            <w:r w:rsidRPr="00F5382B">
              <w:rPr>
                <w:noProof/>
                <w:lang w:val="en-IE"/>
              </w:rPr>
              <w:t> </w:t>
            </w:r>
          </w:p>
        </w:tc>
      </w:tr>
      <w:tr w:rsidR="00EE3DF9" w:rsidRPr="00F5382B" w14:paraId="458B583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AA0C0F1"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1416AE67"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52D5885" w14:textId="77777777" w:rsidR="00EE3DF9" w:rsidRPr="00F5382B" w:rsidRDefault="00EE3DF9">
            <w:pPr>
              <w:rPr>
                <w:noProof/>
                <w:lang w:val="en-IE"/>
              </w:rPr>
            </w:pPr>
            <w:r w:rsidRPr="00F5382B">
              <w:rPr>
                <w:noProof/>
              </w:rPr>
              <w:t>   39,179,405.95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7A9BB82" w14:textId="77777777" w:rsidR="00EE3DF9" w:rsidRPr="00F5382B" w:rsidRDefault="00EE3DF9">
            <w:pPr>
              <w:rPr>
                <w:noProof/>
                <w:lang w:val="en-IE"/>
              </w:rPr>
            </w:pPr>
            <w:r w:rsidRPr="00F5382B">
              <w:rPr>
                <w:noProof/>
              </w:rPr>
              <w:t>                    97.54 </w:t>
            </w:r>
            <w:r w:rsidRPr="00F5382B">
              <w:rPr>
                <w:noProof/>
                <w:lang w:val="en-IE"/>
              </w:rPr>
              <w:t> </w:t>
            </w:r>
          </w:p>
        </w:tc>
      </w:tr>
      <w:tr w:rsidR="00EE3DF9" w:rsidRPr="00F5382B" w14:paraId="2D48C294"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0DC44F10" w14:textId="77777777" w:rsidR="00EE3DF9" w:rsidRPr="00F5382B" w:rsidRDefault="00EE3DF9">
            <w:pPr>
              <w:rPr>
                <w:noProof/>
                <w:lang w:val="en-IE"/>
              </w:rPr>
            </w:pPr>
            <w:r w:rsidRPr="00F5382B">
              <w:rPr>
                <w:noProof/>
              </w:rPr>
              <w:t>2023</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3F19CFCF" w14:textId="77777777" w:rsidR="00EE3DF9" w:rsidRPr="00F5382B" w:rsidRDefault="00EE3DF9">
            <w:pPr>
              <w:rPr>
                <w:noProof/>
                <w:lang w:val="en-IE"/>
              </w:rPr>
            </w:pPr>
            <w:r w:rsidRPr="00F5382B">
              <w:rPr>
                <w:noProof/>
              </w:rPr>
              <w:t>Activity 1:</w:t>
            </w:r>
            <w:r w:rsidRPr="00F5382B">
              <w:rPr>
                <w:noProof/>
              </w:rPr>
              <w:t> </w:t>
            </w:r>
            <w:r w:rsidRPr="00F5382B">
              <w:rPr>
                <w:noProof/>
              </w:rPr>
              <w:t>Providing assistance in policy development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C461E7A" w14:textId="77777777" w:rsidR="00EE3DF9" w:rsidRPr="00F5382B" w:rsidRDefault="00EE3DF9">
            <w:pPr>
              <w:rPr>
                <w:noProof/>
                <w:lang w:val="en-IE"/>
              </w:rPr>
            </w:pPr>
            <w:r w:rsidRPr="00F5382B">
              <w:rPr>
                <w:noProof/>
              </w:rPr>
              <w:t>         685,149.03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90C05D7" w14:textId="77777777" w:rsidR="00EE3DF9" w:rsidRPr="00F5382B" w:rsidRDefault="00EE3DF9">
            <w:pPr>
              <w:rPr>
                <w:noProof/>
                <w:lang w:val="en-IE"/>
              </w:rPr>
            </w:pPr>
            <w:r w:rsidRPr="00F5382B">
              <w:rPr>
                <w:noProof/>
              </w:rPr>
              <w:t>                      2.49 </w:t>
            </w:r>
            <w:r w:rsidRPr="00F5382B">
              <w:rPr>
                <w:noProof/>
                <w:lang w:val="en-IE"/>
              </w:rPr>
              <w:t> </w:t>
            </w:r>
          </w:p>
        </w:tc>
      </w:tr>
      <w:tr w:rsidR="00EE3DF9" w:rsidRPr="00F5382B" w14:paraId="566ADF8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5B5D677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956B61E" w14:textId="77777777" w:rsidR="00EE3DF9" w:rsidRPr="00F5382B" w:rsidRDefault="00EE3DF9">
            <w:pPr>
              <w:rPr>
                <w:noProof/>
                <w:lang w:val="en-IE"/>
              </w:rPr>
            </w:pPr>
            <w:r w:rsidRPr="00F5382B">
              <w:rPr>
                <w:noProof/>
              </w:rPr>
              <w:t>Activity 2:</w:t>
            </w:r>
            <w:r w:rsidRPr="00F5382B">
              <w:rPr>
                <w:noProof/>
              </w:rPr>
              <w:t> </w:t>
            </w:r>
            <w:r w:rsidRPr="00F5382B">
              <w:rPr>
                <w:noProof/>
              </w:rPr>
              <w:t>Supporting implementation of Union policy and law</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E9562BA" w14:textId="77777777" w:rsidR="00EE3DF9" w:rsidRPr="00F5382B" w:rsidRDefault="00EE3DF9">
            <w:pPr>
              <w:rPr>
                <w:noProof/>
                <w:lang w:val="en-IE"/>
              </w:rPr>
            </w:pPr>
            <w:r w:rsidRPr="00F5382B">
              <w:rPr>
                <w:noProof/>
              </w:rPr>
              <w:t>     2,184,963.86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3F984DD" w14:textId="77777777" w:rsidR="00EE3DF9" w:rsidRPr="00F5382B" w:rsidRDefault="00EE3DF9">
            <w:pPr>
              <w:rPr>
                <w:noProof/>
                <w:lang w:val="en-IE"/>
              </w:rPr>
            </w:pPr>
            <w:r w:rsidRPr="00F5382B">
              <w:rPr>
                <w:noProof/>
              </w:rPr>
              <w:t>                      9.90 </w:t>
            </w:r>
            <w:r w:rsidRPr="00F5382B">
              <w:rPr>
                <w:noProof/>
                <w:lang w:val="en-IE"/>
              </w:rPr>
              <w:t> </w:t>
            </w:r>
          </w:p>
        </w:tc>
      </w:tr>
      <w:tr w:rsidR="00EE3DF9" w:rsidRPr="00F5382B" w14:paraId="7E64265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5D0E6F06"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DC6145F" w14:textId="77777777" w:rsidR="00EE3DF9" w:rsidRPr="00F5382B" w:rsidRDefault="00EE3DF9">
            <w:pPr>
              <w:rPr>
                <w:noProof/>
                <w:lang w:val="en-IE"/>
              </w:rPr>
            </w:pPr>
            <w:r w:rsidRPr="00F5382B">
              <w:rPr>
                <w:noProof/>
              </w:rPr>
              <w:t>Activity 3:</w:t>
            </w:r>
            <w:r w:rsidRPr="00F5382B">
              <w:rPr>
                <w:noProof/>
              </w:rPr>
              <w:t> </w:t>
            </w:r>
            <w:r w:rsidRPr="00F5382B">
              <w:rPr>
                <w:noProof/>
              </w:rPr>
              <w:t>Building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308362A" w14:textId="77777777" w:rsidR="00EE3DF9" w:rsidRPr="00F5382B" w:rsidRDefault="00EE3DF9">
            <w:pPr>
              <w:rPr>
                <w:noProof/>
                <w:lang w:val="en-IE"/>
              </w:rPr>
            </w:pPr>
            <w:r w:rsidRPr="00F5382B">
              <w:rPr>
                <w:noProof/>
              </w:rPr>
              <w:t>     3,431,079.23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D129ED4" w14:textId="77777777" w:rsidR="00EE3DF9" w:rsidRPr="00F5382B" w:rsidRDefault="00EE3DF9">
            <w:pPr>
              <w:rPr>
                <w:noProof/>
                <w:lang w:val="en-IE"/>
              </w:rPr>
            </w:pPr>
            <w:r w:rsidRPr="00F5382B">
              <w:rPr>
                <w:noProof/>
              </w:rPr>
              <w:t>                    12.03 </w:t>
            </w:r>
            <w:r w:rsidRPr="00F5382B">
              <w:rPr>
                <w:noProof/>
                <w:lang w:val="en-IE"/>
              </w:rPr>
              <w:t> </w:t>
            </w:r>
          </w:p>
        </w:tc>
      </w:tr>
      <w:tr w:rsidR="00EE3DF9" w:rsidRPr="00F5382B" w14:paraId="22BD88C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320147F"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0BF4931" w14:textId="77777777" w:rsidR="00EE3DF9" w:rsidRPr="00F5382B" w:rsidRDefault="00EE3DF9">
            <w:pPr>
              <w:rPr>
                <w:noProof/>
                <w:lang w:val="en-IE"/>
              </w:rPr>
            </w:pPr>
            <w:r w:rsidRPr="00F5382B">
              <w:rPr>
                <w:noProof/>
              </w:rPr>
              <w:t>Activity 4:</w:t>
            </w:r>
            <w:r w:rsidRPr="00F5382B">
              <w:rPr>
                <w:noProof/>
              </w:rPr>
              <w:t> </w:t>
            </w:r>
            <w:r w:rsidRPr="00F5382B">
              <w:rPr>
                <w:noProof/>
              </w:rPr>
              <w:t>Enabling operational cooperation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567BCB6" w14:textId="77777777" w:rsidR="00EE3DF9" w:rsidRPr="00F5382B" w:rsidRDefault="00EE3DF9">
            <w:pPr>
              <w:rPr>
                <w:noProof/>
                <w:lang w:val="en-IE"/>
              </w:rPr>
            </w:pPr>
            <w:r w:rsidRPr="00F5382B">
              <w:rPr>
                <w:noProof/>
              </w:rPr>
              <w:t>     3,148,642.37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7BF58C7" w14:textId="77777777" w:rsidR="00EE3DF9" w:rsidRPr="00F5382B" w:rsidRDefault="00EE3DF9">
            <w:pPr>
              <w:rPr>
                <w:noProof/>
                <w:lang w:val="en-IE"/>
              </w:rPr>
            </w:pPr>
            <w:r w:rsidRPr="00F5382B">
              <w:rPr>
                <w:noProof/>
              </w:rPr>
              <w:t>                      7.73 </w:t>
            </w:r>
            <w:r w:rsidRPr="00F5382B">
              <w:rPr>
                <w:noProof/>
                <w:lang w:val="en-IE"/>
              </w:rPr>
              <w:t> </w:t>
            </w:r>
          </w:p>
        </w:tc>
      </w:tr>
      <w:tr w:rsidR="00EE3DF9" w:rsidRPr="00F5382B" w14:paraId="42C47BA1"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5C354D3A"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3E08B7B" w14:textId="77777777" w:rsidR="00EE3DF9" w:rsidRPr="00F5382B" w:rsidRDefault="00EE3DF9">
            <w:pPr>
              <w:rPr>
                <w:noProof/>
                <w:lang w:val="en-IE"/>
              </w:rPr>
            </w:pPr>
            <w:r w:rsidRPr="00F5382B">
              <w:rPr>
                <w:noProof/>
              </w:rPr>
              <w:t>Activity 5:</w:t>
            </w:r>
            <w:r w:rsidRPr="00F5382B">
              <w:rPr>
                <w:noProof/>
              </w:rPr>
              <w:t> </w:t>
            </w:r>
            <w:r w:rsidRPr="00F5382B">
              <w:rPr>
                <w:noProof/>
              </w:rPr>
              <w:t>Contribute to cooperative response at Union and Member States level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5853A641" w14:textId="77777777" w:rsidR="00EE3DF9" w:rsidRPr="00F5382B" w:rsidRDefault="00EE3DF9">
            <w:pPr>
              <w:rPr>
                <w:noProof/>
                <w:lang w:val="en-IE"/>
              </w:rPr>
            </w:pPr>
            <w:r w:rsidRPr="00F5382B">
              <w:rPr>
                <w:noProof/>
              </w:rPr>
              <w:t>     2,265,238.41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C1DEAC6" w14:textId="77777777" w:rsidR="00EE3DF9" w:rsidRPr="00F5382B" w:rsidRDefault="00EE3DF9">
            <w:pPr>
              <w:rPr>
                <w:noProof/>
                <w:lang w:val="en-IE"/>
              </w:rPr>
            </w:pPr>
            <w:r w:rsidRPr="00F5382B">
              <w:rPr>
                <w:noProof/>
              </w:rPr>
              <w:t>                      9.55 </w:t>
            </w:r>
            <w:r w:rsidRPr="00F5382B">
              <w:rPr>
                <w:noProof/>
                <w:lang w:val="en-IE"/>
              </w:rPr>
              <w:t> </w:t>
            </w:r>
          </w:p>
        </w:tc>
      </w:tr>
      <w:tr w:rsidR="00EE3DF9" w:rsidRPr="00F5382B" w14:paraId="7D31FB8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6C7B731"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6CB9543" w14:textId="77777777" w:rsidR="00EE3DF9" w:rsidRPr="00F5382B" w:rsidRDefault="00EE3DF9">
            <w:pPr>
              <w:rPr>
                <w:noProof/>
                <w:lang w:val="en-IE"/>
              </w:rPr>
            </w:pPr>
            <w:r w:rsidRPr="00F5382B">
              <w:rPr>
                <w:noProof/>
              </w:rPr>
              <w:t>Activity 6:</w:t>
            </w:r>
            <w:r w:rsidRPr="00F5382B">
              <w:rPr>
                <w:noProof/>
              </w:rPr>
              <w:t> </w:t>
            </w:r>
            <w:r w:rsidRPr="00F5382B">
              <w:rPr>
                <w:noProof/>
              </w:rPr>
              <w:t>Development and maintenance of EU cybersecurity certification framework</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B2A099A" w14:textId="77777777" w:rsidR="00EE3DF9" w:rsidRPr="00F5382B" w:rsidRDefault="00EE3DF9">
            <w:pPr>
              <w:rPr>
                <w:noProof/>
                <w:lang w:val="en-IE"/>
              </w:rPr>
            </w:pPr>
            <w:r w:rsidRPr="00F5382B">
              <w:rPr>
                <w:noProof/>
              </w:rPr>
              <w:t>     1,897,832.93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6BF1FC0" w14:textId="77777777" w:rsidR="00EE3DF9" w:rsidRPr="00F5382B" w:rsidRDefault="00EE3DF9">
            <w:pPr>
              <w:rPr>
                <w:noProof/>
                <w:lang w:val="en-IE"/>
              </w:rPr>
            </w:pPr>
            <w:r w:rsidRPr="00F5382B">
              <w:rPr>
                <w:noProof/>
              </w:rPr>
              <w:t>                      7.71 </w:t>
            </w:r>
            <w:r w:rsidRPr="00F5382B">
              <w:rPr>
                <w:noProof/>
                <w:lang w:val="en-IE"/>
              </w:rPr>
              <w:t> </w:t>
            </w:r>
          </w:p>
        </w:tc>
      </w:tr>
      <w:tr w:rsidR="00EE3DF9" w:rsidRPr="00F5382B" w14:paraId="729CC30E"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18BC17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989AE19" w14:textId="77777777" w:rsidR="00EE3DF9" w:rsidRPr="00F5382B" w:rsidRDefault="00EE3DF9">
            <w:pPr>
              <w:rPr>
                <w:noProof/>
                <w:lang w:val="en-IE"/>
              </w:rPr>
            </w:pPr>
            <w:r w:rsidRPr="00F5382B">
              <w:rPr>
                <w:noProof/>
              </w:rPr>
              <w:t>Activity 7:</w:t>
            </w:r>
            <w:r w:rsidRPr="00F5382B">
              <w:rPr>
                <w:noProof/>
              </w:rPr>
              <w:t> </w:t>
            </w:r>
            <w:r w:rsidRPr="00F5382B">
              <w:rPr>
                <w:noProof/>
              </w:rPr>
              <w:t>Supporting the European cybersecurity market and industry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1E8D3F1" w14:textId="77777777" w:rsidR="00EE3DF9" w:rsidRPr="00F5382B" w:rsidRDefault="00EE3DF9">
            <w:pPr>
              <w:rPr>
                <w:noProof/>
                <w:lang w:val="en-IE"/>
              </w:rPr>
            </w:pPr>
            <w:r w:rsidRPr="00F5382B">
              <w:rPr>
                <w:noProof/>
              </w:rPr>
              <w:t>     1,159,070.48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3C17A835" w14:textId="77777777" w:rsidR="00EE3DF9" w:rsidRPr="00F5382B" w:rsidRDefault="00EE3DF9">
            <w:pPr>
              <w:rPr>
                <w:noProof/>
                <w:lang w:val="en-IE"/>
              </w:rPr>
            </w:pPr>
            <w:r w:rsidRPr="00F5382B">
              <w:rPr>
                <w:noProof/>
              </w:rPr>
              <w:t>                      6.08 </w:t>
            </w:r>
            <w:r w:rsidRPr="00F5382B">
              <w:rPr>
                <w:noProof/>
                <w:lang w:val="en-IE"/>
              </w:rPr>
              <w:t> </w:t>
            </w:r>
          </w:p>
        </w:tc>
      </w:tr>
      <w:tr w:rsidR="00EE3DF9" w:rsidRPr="00F5382B" w14:paraId="33D78C8B"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2F3ED12"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2DA7E1D" w14:textId="77777777" w:rsidR="00EE3DF9" w:rsidRPr="00F5382B" w:rsidRDefault="00EE3DF9">
            <w:pPr>
              <w:rPr>
                <w:noProof/>
                <w:lang w:val="en-IE"/>
              </w:rPr>
            </w:pPr>
            <w:r w:rsidRPr="00F5382B">
              <w:rPr>
                <w:noProof/>
              </w:rPr>
              <w:t>Activity 8: Knowledge on emerging cybersecurity challenges and opportunities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3250FAD" w14:textId="77777777" w:rsidR="00EE3DF9" w:rsidRPr="00F5382B" w:rsidRDefault="00EE3DF9">
            <w:pPr>
              <w:rPr>
                <w:noProof/>
                <w:lang w:val="en-IE"/>
              </w:rPr>
            </w:pPr>
            <w:r w:rsidRPr="00F5382B">
              <w:rPr>
                <w:noProof/>
              </w:rPr>
              <w:t>     1,757,071.27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FD75B54" w14:textId="77777777" w:rsidR="00EE3DF9" w:rsidRPr="00F5382B" w:rsidRDefault="00EE3DF9">
            <w:pPr>
              <w:rPr>
                <w:noProof/>
                <w:lang w:val="en-IE"/>
              </w:rPr>
            </w:pPr>
            <w:r w:rsidRPr="00F5382B">
              <w:rPr>
                <w:noProof/>
              </w:rPr>
              <w:t>                      6.84 </w:t>
            </w:r>
            <w:r w:rsidRPr="00F5382B">
              <w:rPr>
                <w:noProof/>
                <w:lang w:val="en-IE"/>
              </w:rPr>
              <w:t> </w:t>
            </w:r>
          </w:p>
        </w:tc>
      </w:tr>
      <w:tr w:rsidR="00EE3DF9" w:rsidRPr="00F5382B" w14:paraId="71B95AEF"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F37810B"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F5E66F3" w14:textId="77777777" w:rsidR="00EE3DF9" w:rsidRPr="00F5382B" w:rsidRDefault="00EE3DF9">
            <w:pPr>
              <w:rPr>
                <w:noProof/>
                <w:lang w:val="en-IE"/>
              </w:rPr>
            </w:pPr>
            <w:r w:rsidRPr="00F5382B">
              <w:rPr>
                <w:noProof/>
              </w:rPr>
              <w:t>Activity 9:</w:t>
            </w:r>
            <w:r w:rsidRPr="00F5382B">
              <w:rPr>
                <w:noProof/>
              </w:rPr>
              <w:t> </w:t>
            </w:r>
            <w:r w:rsidRPr="00F5382B">
              <w:rPr>
                <w:noProof/>
              </w:rPr>
              <w:t>Outreach and education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3A05E1B" w14:textId="77777777" w:rsidR="00EE3DF9" w:rsidRPr="00F5382B" w:rsidRDefault="00EE3DF9">
            <w:pPr>
              <w:rPr>
                <w:noProof/>
                <w:lang w:val="en-IE"/>
              </w:rPr>
            </w:pPr>
            <w:r w:rsidRPr="00F5382B">
              <w:rPr>
                <w:noProof/>
              </w:rPr>
              <w:t>     1,610,449.89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A4705E0" w14:textId="77777777" w:rsidR="00EE3DF9" w:rsidRPr="00F5382B" w:rsidRDefault="00EE3DF9">
            <w:pPr>
              <w:rPr>
                <w:noProof/>
                <w:lang w:val="en-IE"/>
              </w:rPr>
            </w:pPr>
            <w:r w:rsidRPr="00F5382B">
              <w:rPr>
                <w:noProof/>
              </w:rPr>
              <w:t>                      7.93 </w:t>
            </w:r>
            <w:r w:rsidRPr="00F5382B">
              <w:rPr>
                <w:noProof/>
                <w:lang w:val="en-IE"/>
              </w:rPr>
              <w:t> </w:t>
            </w:r>
          </w:p>
        </w:tc>
      </w:tr>
      <w:tr w:rsidR="00EE3DF9" w:rsidRPr="00F5382B" w14:paraId="74838952"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EE266A0"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E88063A" w14:textId="77777777" w:rsidR="00EE3DF9" w:rsidRPr="00F5382B" w:rsidRDefault="00EE3DF9">
            <w:pPr>
              <w:rPr>
                <w:noProof/>
                <w:lang w:val="en-IE"/>
              </w:rPr>
            </w:pPr>
            <w:r w:rsidRPr="00F5382B">
              <w:rPr>
                <w:noProof/>
              </w:rPr>
              <w:t>Activity 10: Advise on research and innovation needs and priorities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363D3E2" w14:textId="77777777" w:rsidR="00EE3DF9" w:rsidRPr="00F5382B" w:rsidRDefault="00EE3DF9">
            <w:pPr>
              <w:rPr>
                <w:noProof/>
                <w:lang w:val="en-IE"/>
              </w:rPr>
            </w:pPr>
            <w:r w:rsidRPr="00F5382B">
              <w:rPr>
                <w:noProof/>
              </w:rPr>
              <w:t>         657,331.70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67C465D5" w14:textId="77777777" w:rsidR="00EE3DF9" w:rsidRPr="00F5382B" w:rsidRDefault="00EE3DF9">
            <w:pPr>
              <w:rPr>
                <w:noProof/>
                <w:lang w:val="en-IE"/>
              </w:rPr>
            </w:pPr>
            <w:r w:rsidRPr="00F5382B">
              <w:rPr>
                <w:noProof/>
              </w:rPr>
              <w:t>                      3.34 </w:t>
            </w:r>
            <w:r w:rsidRPr="00F5382B">
              <w:rPr>
                <w:noProof/>
                <w:lang w:val="en-IE"/>
              </w:rPr>
              <w:t> </w:t>
            </w:r>
          </w:p>
        </w:tc>
      </w:tr>
      <w:tr w:rsidR="00EE3DF9" w:rsidRPr="00F5382B" w14:paraId="6760FD16"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5381309"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33F310A" w14:textId="77777777" w:rsidR="00EE3DF9" w:rsidRPr="00F5382B" w:rsidRDefault="00EE3DF9">
            <w:pPr>
              <w:rPr>
                <w:noProof/>
                <w:lang w:val="en-IE"/>
              </w:rPr>
            </w:pPr>
            <w:r w:rsidRPr="00F5382B">
              <w:rPr>
                <w:noProof/>
              </w:rPr>
              <w:t>Activity 11. Performance and risk management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2A490E59" w14:textId="77777777" w:rsidR="00EE3DF9" w:rsidRPr="00F5382B" w:rsidRDefault="00EE3DF9">
            <w:pPr>
              <w:rPr>
                <w:noProof/>
                <w:lang w:val="en-IE"/>
              </w:rPr>
            </w:pPr>
            <w:r w:rsidRPr="00F5382B">
              <w:rPr>
                <w:noProof/>
              </w:rPr>
              <w:t>     2,758,381.07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FB82B46" w14:textId="77777777" w:rsidR="00EE3DF9" w:rsidRPr="00F5382B" w:rsidRDefault="00EE3DF9">
            <w:pPr>
              <w:rPr>
                <w:noProof/>
                <w:lang w:val="en-IE"/>
              </w:rPr>
            </w:pPr>
            <w:r w:rsidRPr="00F5382B">
              <w:rPr>
                <w:noProof/>
              </w:rPr>
              <w:t>                    16.74 </w:t>
            </w:r>
            <w:r w:rsidRPr="00F5382B">
              <w:rPr>
                <w:noProof/>
                <w:lang w:val="en-IE"/>
              </w:rPr>
              <w:t> </w:t>
            </w:r>
          </w:p>
        </w:tc>
      </w:tr>
      <w:tr w:rsidR="00EE3DF9" w:rsidRPr="00F5382B" w14:paraId="6B3A678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EDA1AF9"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60497E19" w14:textId="77777777" w:rsidR="00EE3DF9" w:rsidRPr="00F5382B" w:rsidRDefault="00EE3DF9">
            <w:pPr>
              <w:rPr>
                <w:noProof/>
                <w:lang w:val="en-IE"/>
              </w:rPr>
            </w:pPr>
            <w:r w:rsidRPr="00F5382B">
              <w:rPr>
                <w:noProof/>
              </w:rPr>
              <w:t>Activity 12. Staff development and working environment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E777565" w14:textId="77777777" w:rsidR="00EE3DF9" w:rsidRPr="00F5382B" w:rsidRDefault="00EE3DF9">
            <w:pPr>
              <w:rPr>
                <w:noProof/>
                <w:lang w:val="en-IE"/>
              </w:rPr>
            </w:pPr>
            <w:r w:rsidRPr="00F5382B">
              <w:rPr>
                <w:noProof/>
              </w:rPr>
              <w:t>     3,627,725.20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47DFAE9C" w14:textId="77777777" w:rsidR="00EE3DF9" w:rsidRPr="00F5382B" w:rsidRDefault="00EE3DF9">
            <w:pPr>
              <w:rPr>
                <w:noProof/>
                <w:lang w:val="en-IE"/>
              </w:rPr>
            </w:pPr>
            <w:r w:rsidRPr="00F5382B">
              <w:rPr>
                <w:noProof/>
              </w:rPr>
              <w:t>                    14.31 </w:t>
            </w:r>
            <w:r w:rsidRPr="00F5382B">
              <w:rPr>
                <w:noProof/>
                <w:lang w:val="en-IE"/>
              </w:rPr>
              <w:t> </w:t>
            </w:r>
          </w:p>
        </w:tc>
      </w:tr>
      <w:tr w:rsidR="00EE3DF9" w:rsidRPr="00F5382B" w14:paraId="5FCF55A8"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AA232C8"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B82F7FF"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A70ED91" w14:textId="77777777" w:rsidR="00EE3DF9" w:rsidRPr="00F5382B" w:rsidRDefault="00EE3DF9">
            <w:pPr>
              <w:rPr>
                <w:noProof/>
                <w:lang w:val="en-IE"/>
              </w:rPr>
            </w:pPr>
            <w:r w:rsidRPr="00F5382B">
              <w:rPr>
                <w:noProof/>
              </w:rPr>
              <w:t>   25,182,935.43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956BE4D" w14:textId="77777777" w:rsidR="00EE3DF9" w:rsidRPr="00F5382B" w:rsidRDefault="00EE3DF9">
            <w:pPr>
              <w:rPr>
                <w:noProof/>
                <w:lang w:val="en-IE"/>
              </w:rPr>
            </w:pPr>
            <w:r w:rsidRPr="00F5382B">
              <w:rPr>
                <w:noProof/>
              </w:rPr>
              <w:t>                 104.64 </w:t>
            </w:r>
            <w:r w:rsidRPr="00F5382B">
              <w:rPr>
                <w:noProof/>
                <w:lang w:val="en-IE"/>
              </w:rPr>
              <w:t> </w:t>
            </w:r>
          </w:p>
        </w:tc>
      </w:tr>
      <w:tr w:rsidR="00EE3DF9" w:rsidRPr="00F5382B" w14:paraId="0A015CBD" w14:textId="77777777">
        <w:trPr>
          <w:trHeight w:val="300"/>
        </w:trPr>
        <w:tc>
          <w:tcPr>
            <w:tcW w:w="701" w:type="dxa"/>
            <w:vMerge w:val="restart"/>
            <w:tcBorders>
              <w:top w:val="single" w:sz="6" w:space="0" w:color="auto"/>
              <w:left w:val="single" w:sz="6" w:space="0" w:color="auto"/>
              <w:bottom w:val="single" w:sz="6" w:space="0" w:color="auto"/>
              <w:right w:val="single" w:sz="6" w:space="0" w:color="auto"/>
            </w:tcBorders>
            <w:vAlign w:val="center"/>
            <w:hideMark/>
          </w:tcPr>
          <w:p w14:paraId="3015E506" w14:textId="77777777" w:rsidR="00EE3DF9" w:rsidRPr="00F5382B" w:rsidRDefault="00EE3DF9">
            <w:pPr>
              <w:rPr>
                <w:noProof/>
                <w:lang w:val="en-IE"/>
              </w:rPr>
            </w:pPr>
            <w:r w:rsidRPr="00F5382B">
              <w:rPr>
                <w:noProof/>
              </w:rPr>
              <w:t>2024</w:t>
            </w:r>
            <w:r w:rsidRPr="00F5382B">
              <w:rPr>
                <w:noProof/>
                <w:lang w:val="en-IE"/>
              </w:rPr>
              <w:t> </w:t>
            </w:r>
          </w:p>
        </w:tc>
        <w:tc>
          <w:tcPr>
            <w:tcW w:w="4271" w:type="dxa"/>
            <w:tcBorders>
              <w:top w:val="single" w:sz="6" w:space="0" w:color="auto"/>
              <w:left w:val="single" w:sz="6" w:space="0" w:color="auto"/>
              <w:bottom w:val="single" w:sz="6" w:space="0" w:color="auto"/>
              <w:right w:val="single" w:sz="6" w:space="0" w:color="auto"/>
            </w:tcBorders>
            <w:vAlign w:val="bottom"/>
            <w:hideMark/>
          </w:tcPr>
          <w:p w14:paraId="52FFEC99" w14:textId="77777777" w:rsidR="00EE3DF9" w:rsidRPr="00F5382B" w:rsidRDefault="00EE3DF9">
            <w:pPr>
              <w:rPr>
                <w:noProof/>
                <w:lang w:val="en-IE"/>
              </w:rPr>
            </w:pPr>
            <w:r w:rsidRPr="00F5382B">
              <w:rPr>
                <w:noProof/>
              </w:rPr>
              <w:t>Activity 1:</w:t>
            </w:r>
            <w:r w:rsidRPr="00F5382B">
              <w:rPr>
                <w:noProof/>
              </w:rPr>
              <w:t> </w:t>
            </w:r>
            <w:r w:rsidRPr="00F5382B">
              <w:rPr>
                <w:noProof/>
              </w:rPr>
              <w:t>Providing assistance in policy development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F24861E" w14:textId="77777777" w:rsidR="00EE3DF9" w:rsidRPr="00F5382B" w:rsidRDefault="00EE3DF9">
            <w:pPr>
              <w:rPr>
                <w:noProof/>
                <w:lang w:val="en-IE"/>
              </w:rPr>
            </w:pPr>
            <w:r w:rsidRPr="00F5382B">
              <w:rPr>
                <w:noProof/>
              </w:rPr>
              <w:t>         840,266.83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73A133F" w14:textId="77777777" w:rsidR="00EE3DF9" w:rsidRPr="00F5382B" w:rsidRDefault="00EE3DF9">
            <w:pPr>
              <w:rPr>
                <w:noProof/>
                <w:lang w:val="en-IE"/>
              </w:rPr>
            </w:pPr>
            <w:r w:rsidRPr="00F5382B">
              <w:rPr>
                <w:noProof/>
              </w:rPr>
              <w:t>                      3.29 </w:t>
            </w:r>
            <w:r w:rsidRPr="00F5382B">
              <w:rPr>
                <w:noProof/>
                <w:lang w:val="en-IE"/>
              </w:rPr>
              <w:t> </w:t>
            </w:r>
          </w:p>
        </w:tc>
      </w:tr>
      <w:tr w:rsidR="00EE3DF9" w:rsidRPr="00F5382B" w14:paraId="63527204"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14F7415"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10253707" w14:textId="77777777" w:rsidR="00EE3DF9" w:rsidRPr="00F5382B" w:rsidRDefault="00EE3DF9">
            <w:pPr>
              <w:rPr>
                <w:noProof/>
                <w:lang w:val="en-IE"/>
              </w:rPr>
            </w:pPr>
            <w:r w:rsidRPr="00F5382B">
              <w:rPr>
                <w:noProof/>
              </w:rPr>
              <w:t>Activity 2:</w:t>
            </w:r>
            <w:r w:rsidRPr="00F5382B">
              <w:rPr>
                <w:noProof/>
              </w:rPr>
              <w:t> </w:t>
            </w:r>
            <w:r w:rsidRPr="00F5382B">
              <w:rPr>
                <w:noProof/>
              </w:rPr>
              <w:t>Supporting implementation of Union policy and law</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EBCC282" w14:textId="77777777" w:rsidR="00EE3DF9" w:rsidRPr="00F5382B" w:rsidRDefault="00EE3DF9">
            <w:pPr>
              <w:rPr>
                <w:noProof/>
                <w:lang w:val="en-IE"/>
              </w:rPr>
            </w:pPr>
            <w:r w:rsidRPr="00F5382B">
              <w:rPr>
                <w:noProof/>
              </w:rPr>
              <w:t>     2,293,362.76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A7EF38F" w14:textId="77777777" w:rsidR="00EE3DF9" w:rsidRPr="00F5382B" w:rsidRDefault="00EE3DF9">
            <w:pPr>
              <w:rPr>
                <w:noProof/>
                <w:lang w:val="en-IE"/>
              </w:rPr>
            </w:pPr>
            <w:r w:rsidRPr="00F5382B">
              <w:rPr>
                <w:noProof/>
              </w:rPr>
              <w:t>                      9.90 </w:t>
            </w:r>
            <w:r w:rsidRPr="00F5382B">
              <w:rPr>
                <w:noProof/>
                <w:lang w:val="en-IE"/>
              </w:rPr>
              <w:t> </w:t>
            </w:r>
          </w:p>
        </w:tc>
      </w:tr>
      <w:tr w:rsidR="00EE3DF9" w:rsidRPr="00F5382B" w14:paraId="1DD48BD5"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CECDEB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628F576" w14:textId="77777777" w:rsidR="00EE3DF9" w:rsidRPr="00F5382B" w:rsidRDefault="00EE3DF9">
            <w:pPr>
              <w:rPr>
                <w:noProof/>
                <w:lang w:val="en-IE"/>
              </w:rPr>
            </w:pPr>
            <w:r w:rsidRPr="00F5382B">
              <w:rPr>
                <w:noProof/>
              </w:rPr>
              <w:t>Activity 3:</w:t>
            </w:r>
            <w:r w:rsidRPr="00F5382B">
              <w:rPr>
                <w:noProof/>
              </w:rPr>
              <w:t> </w:t>
            </w:r>
            <w:r w:rsidRPr="00F5382B">
              <w:rPr>
                <w:noProof/>
              </w:rPr>
              <w:t>Building capacity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7C5D87C1" w14:textId="77777777" w:rsidR="00EE3DF9" w:rsidRPr="00F5382B" w:rsidRDefault="00EE3DF9">
            <w:pPr>
              <w:rPr>
                <w:noProof/>
                <w:lang w:val="en-IE"/>
              </w:rPr>
            </w:pPr>
            <w:r w:rsidRPr="00F5382B">
              <w:rPr>
                <w:noProof/>
              </w:rPr>
              <w:t>     2,944,951.11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B2DF9CA" w14:textId="77777777" w:rsidR="00EE3DF9" w:rsidRPr="00F5382B" w:rsidRDefault="00EE3DF9">
            <w:pPr>
              <w:rPr>
                <w:noProof/>
                <w:lang w:val="en-IE"/>
              </w:rPr>
            </w:pPr>
            <w:r w:rsidRPr="00F5382B">
              <w:rPr>
                <w:noProof/>
              </w:rPr>
              <w:t>                    10.83 </w:t>
            </w:r>
            <w:r w:rsidRPr="00F5382B">
              <w:rPr>
                <w:noProof/>
                <w:lang w:val="en-IE"/>
              </w:rPr>
              <w:t> </w:t>
            </w:r>
          </w:p>
        </w:tc>
      </w:tr>
      <w:tr w:rsidR="00EE3DF9" w:rsidRPr="00F5382B" w14:paraId="114A2E26"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E052EDC"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27E3AEE0" w14:textId="77777777" w:rsidR="00EE3DF9" w:rsidRPr="00F5382B" w:rsidRDefault="00EE3DF9">
            <w:pPr>
              <w:rPr>
                <w:noProof/>
                <w:lang w:val="en-IE"/>
              </w:rPr>
            </w:pPr>
            <w:r w:rsidRPr="00F5382B">
              <w:rPr>
                <w:noProof/>
              </w:rPr>
              <w:t>Activity 4:</w:t>
            </w:r>
            <w:r w:rsidRPr="00F5382B">
              <w:rPr>
                <w:noProof/>
              </w:rPr>
              <w:t> </w:t>
            </w:r>
            <w:r w:rsidRPr="00F5382B">
              <w:rPr>
                <w:noProof/>
              </w:rPr>
              <w:t>Enabling operational cooperation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4B89214" w14:textId="77777777" w:rsidR="00EE3DF9" w:rsidRPr="00F5382B" w:rsidRDefault="00EE3DF9">
            <w:pPr>
              <w:rPr>
                <w:noProof/>
                <w:lang w:val="en-IE"/>
              </w:rPr>
            </w:pPr>
            <w:r w:rsidRPr="00F5382B">
              <w:rPr>
                <w:noProof/>
              </w:rPr>
              <w:t>     3,103,844.35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7C8E6C7" w14:textId="77777777" w:rsidR="00EE3DF9" w:rsidRPr="00F5382B" w:rsidRDefault="00EE3DF9">
            <w:pPr>
              <w:rPr>
                <w:noProof/>
                <w:lang w:val="en-IE"/>
              </w:rPr>
            </w:pPr>
            <w:r w:rsidRPr="00F5382B">
              <w:rPr>
                <w:noProof/>
              </w:rPr>
              <w:t>                      8.81 </w:t>
            </w:r>
            <w:r w:rsidRPr="00F5382B">
              <w:rPr>
                <w:noProof/>
                <w:lang w:val="en-IE"/>
              </w:rPr>
              <w:t> </w:t>
            </w:r>
          </w:p>
        </w:tc>
      </w:tr>
      <w:tr w:rsidR="00EE3DF9" w:rsidRPr="00F5382B" w14:paraId="46F6ED73"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65D910B7"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3631D10" w14:textId="77777777" w:rsidR="00EE3DF9" w:rsidRPr="00F5382B" w:rsidRDefault="00EE3DF9">
            <w:pPr>
              <w:rPr>
                <w:noProof/>
                <w:lang w:val="en-IE"/>
              </w:rPr>
            </w:pPr>
            <w:r w:rsidRPr="00F5382B">
              <w:rPr>
                <w:noProof/>
              </w:rPr>
              <w:t>Activity 5:</w:t>
            </w:r>
            <w:r w:rsidRPr="00F5382B">
              <w:rPr>
                <w:noProof/>
              </w:rPr>
              <w:t> </w:t>
            </w:r>
            <w:r w:rsidRPr="00F5382B">
              <w:rPr>
                <w:noProof/>
              </w:rPr>
              <w:t>Contribute to cooperative response at Union and Member States level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C5ECDD3" w14:textId="77777777" w:rsidR="00EE3DF9" w:rsidRPr="00F5382B" w:rsidRDefault="00EE3DF9">
            <w:pPr>
              <w:rPr>
                <w:noProof/>
                <w:lang w:val="en-IE"/>
              </w:rPr>
            </w:pPr>
            <w:r w:rsidRPr="00F5382B">
              <w:rPr>
                <w:noProof/>
              </w:rPr>
              <w:t>     2,854,659.00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C0AD76A" w14:textId="77777777" w:rsidR="00EE3DF9" w:rsidRPr="00F5382B" w:rsidRDefault="00EE3DF9">
            <w:pPr>
              <w:rPr>
                <w:noProof/>
                <w:lang w:val="en-IE"/>
              </w:rPr>
            </w:pPr>
            <w:r w:rsidRPr="00F5382B">
              <w:rPr>
                <w:noProof/>
              </w:rPr>
              <w:t>                    13.22 </w:t>
            </w:r>
            <w:r w:rsidRPr="00F5382B">
              <w:rPr>
                <w:noProof/>
                <w:lang w:val="en-IE"/>
              </w:rPr>
              <w:t> </w:t>
            </w:r>
          </w:p>
        </w:tc>
      </w:tr>
      <w:tr w:rsidR="00EE3DF9" w:rsidRPr="00F5382B" w14:paraId="489D768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A003D02"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46311C3D" w14:textId="77777777" w:rsidR="00EE3DF9" w:rsidRPr="00F5382B" w:rsidRDefault="00EE3DF9">
            <w:pPr>
              <w:rPr>
                <w:noProof/>
                <w:lang w:val="en-IE"/>
              </w:rPr>
            </w:pPr>
            <w:r w:rsidRPr="00F5382B">
              <w:rPr>
                <w:noProof/>
              </w:rPr>
              <w:t>Activity 6:</w:t>
            </w:r>
            <w:r w:rsidRPr="00F5382B">
              <w:rPr>
                <w:noProof/>
              </w:rPr>
              <w:t> </w:t>
            </w:r>
            <w:r w:rsidRPr="00F5382B">
              <w:rPr>
                <w:noProof/>
              </w:rPr>
              <w:t>Development and maintenance of EU cybersecurity certification framework</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51537EF" w14:textId="77777777" w:rsidR="00EE3DF9" w:rsidRPr="00F5382B" w:rsidRDefault="00EE3DF9">
            <w:pPr>
              <w:rPr>
                <w:noProof/>
                <w:lang w:val="en-IE"/>
              </w:rPr>
            </w:pPr>
            <w:r w:rsidRPr="00F5382B">
              <w:rPr>
                <w:noProof/>
              </w:rPr>
              <w:t>     1,763,664.55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A0FBB9D" w14:textId="77777777" w:rsidR="00EE3DF9" w:rsidRPr="00F5382B" w:rsidRDefault="00EE3DF9">
            <w:pPr>
              <w:rPr>
                <w:noProof/>
                <w:lang w:val="en-IE"/>
              </w:rPr>
            </w:pPr>
            <w:r w:rsidRPr="00F5382B">
              <w:rPr>
                <w:noProof/>
              </w:rPr>
              <w:t>                      8.13 </w:t>
            </w:r>
            <w:r w:rsidRPr="00F5382B">
              <w:rPr>
                <w:noProof/>
                <w:lang w:val="en-IE"/>
              </w:rPr>
              <w:t> </w:t>
            </w:r>
          </w:p>
        </w:tc>
      </w:tr>
      <w:tr w:rsidR="00EE3DF9" w:rsidRPr="00F5382B" w14:paraId="3CA71A7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5BD95363"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B60F334" w14:textId="77777777" w:rsidR="00EE3DF9" w:rsidRPr="00F5382B" w:rsidRDefault="00EE3DF9">
            <w:pPr>
              <w:rPr>
                <w:noProof/>
                <w:lang w:val="en-IE"/>
              </w:rPr>
            </w:pPr>
            <w:r w:rsidRPr="00F5382B">
              <w:rPr>
                <w:noProof/>
              </w:rPr>
              <w:t>Activity 7:</w:t>
            </w:r>
            <w:r w:rsidRPr="00F5382B">
              <w:rPr>
                <w:noProof/>
              </w:rPr>
              <w:t> </w:t>
            </w:r>
            <w:r w:rsidRPr="00F5382B">
              <w:rPr>
                <w:noProof/>
              </w:rPr>
              <w:t>Supporting the European cybersecurity market and industry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115EDD7F" w14:textId="77777777" w:rsidR="00EE3DF9" w:rsidRPr="00F5382B" w:rsidRDefault="00EE3DF9">
            <w:pPr>
              <w:rPr>
                <w:noProof/>
                <w:lang w:val="en-IE"/>
              </w:rPr>
            </w:pPr>
            <w:r w:rsidRPr="00F5382B">
              <w:rPr>
                <w:noProof/>
              </w:rPr>
              <w:t>         998,729.06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F640F2C" w14:textId="77777777" w:rsidR="00EE3DF9" w:rsidRPr="00F5382B" w:rsidRDefault="00EE3DF9">
            <w:pPr>
              <w:rPr>
                <w:noProof/>
                <w:lang w:val="en-IE"/>
              </w:rPr>
            </w:pPr>
            <w:r w:rsidRPr="00F5382B">
              <w:rPr>
                <w:noProof/>
              </w:rPr>
              <w:t>                      5.08 </w:t>
            </w:r>
            <w:r w:rsidRPr="00F5382B">
              <w:rPr>
                <w:noProof/>
                <w:lang w:val="en-IE"/>
              </w:rPr>
              <w:t> </w:t>
            </w:r>
          </w:p>
        </w:tc>
      </w:tr>
      <w:tr w:rsidR="00EE3DF9" w:rsidRPr="00F5382B" w14:paraId="0F866C61"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71AF67CD"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12E0720" w14:textId="77777777" w:rsidR="00EE3DF9" w:rsidRPr="00F5382B" w:rsidRDefault="00EE3DF9">
            <w:pPr>
              <w:rPr>
                <w:noProof/>
                <w:lang w:val="en-IE"/>
              </w:rPr>
            </w:pPr>
            <w:r w:rsidRPr="00F5382B">
              <w:rPr>
                <w:noProof/>
              </w:rPr>
              <w:t>Activity 8: Knowledge on emerging cybersecurity challenges and opportunities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DD446F2" w14:textId="77777777" w:rsidR="00EE3DF9" w:rsidRPr="00F5382B" w:rsidRDefault="00EE3DF9">
            <w:pPr>
              <w:rPr>
                <w:noProof/>
                <w:lang w:val="en-IE"/>
              </w:rPr>
            </w:pPr>
            <w:r w:rsidRPr="00F5382B">
              <w:rPr>
                <w:noProof/>
              </w:rPr>
              <w:t>     1,879,102.03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3B2702E" w14:textId="77777777" w:rsidR="00EE3DF9" w:rsidRPr="00F5382B" w:rsidRDefault="00EE3DF9">
            <w:pPr>
              <w:rPr>
                <w:noProof/>
                <w:lang w:val="en-IE"/>
              </w:rPr>
            </w:pPr>
            <w:r w:rsidRPr="00F5382B">
              <w:rPr>
                <w:noProof/>
              </w:rPr>
              <w:t>                      7.62 </w:t>
            </w:r>
            <w:r w:rsidRPr="00F5382B">
              <w:rPr>
                <w:noProof/>
                <w:lang w:val="en-IE"/>
              </w:rPr>
              <w:t> </w:t>
            </w:r>
          </w:p>
        </w:tc>
      </w:tr>
      <w:tr w:rsidR="00EE3DF9" w:rsidRPr="00F5382B" w14:paraId="33404541"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32F88CA5"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043873C1" w14:textId="77777777" w:rsidR="00EE3DF9" w:rsidRPr="00F5382B" w:rsidRDefault="00EE3DF9">
            <w:pPr>
              <w:rPr>
                <w:noProof/>
                <w:lang w:val="en-IE"/>
              </w:rPr>
            </w:pPr>
            <w:r w:rsidRPr="00F5382B">
              <w:rPr>
                <w:noProof/>
              </w:rPr>
              <w:t>Activity 9:</w:t>
            </w:r>
            <w:r w:rsidRPr="00F5382B">
              <w:rPr>
                <w:noProof/>
              </w:rPr>
              <w:t> </w:t>
            </w:r>
            <w:r w:rsidRPr="00F5382B">
              <w:rPr>
                <w:noProof/>
              </w:rPr>
              <w:t>Outreach and education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4BD767A" w14:textId="77777777" w:rsidR="00EE3DF9" w:rsidRPr="00F5382B" w:rsidRDefault="00EE3DF9">
            <w:pPr>
              <w:rPr>
                <w:noProof/>
                <w:lang w:val="en-IE"/>
              </w:rPr>
            </w:pPr>
            <w:r w:rsidRPr="00F5382B">
              <w:rPr>
                <w:noProof/>
              </w:rPr>
              <w:t>     1,633,620.09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7376E51B" w14:textId="77777777" w:rsidR="00EE3DF9" w:rsidRPr="00F5382B" w:rsidRDefault="00EE3DF9">
            <w:pPr>
              <w:rPr>
                <w:noProof/>
                <w:lang w:val="en-IE"/>
              </w:rPr>
            </w:pPr>
            <w:r w:rsidRPr="00F5382B">
              <w:rPr>
                <w:noProof/>
              </w:rPr>
              <w:t>                      8.34 </w:t>
            </w:r>
            <w:r w:rsidRPr="00F5382B">
              <w:rPr>
                <w:noProof/>
                <w:lang w:val="en-IE"/>
              </w:rPr>
              <w:t> </w:t>
            </w:r>
          </w:p>
        </w:tc>
      </w:tr>
      <w:tr w:rsidR="00EE3DF9" w:rsidRPr="00F5382B" w14:paraId="5A411BBB"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43AD9F9C"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6D10B12" w14:textId="77777777" w:rsidR="00EE3DF9" w:rsidRPr="00F5382B" w:rsidRDefault="00EE3DF9">
            <w:pPr>
              <w:rPr>
                <w:noProof/>
                <w:lang w:val="en-IE"/>
              </w:rPr>
            </w:pPr>
            <w:r w:rsidRPr="00F5382B">
              <w:rPr>
                <w:noProof/>
              </w:rPr>
              <w:t>Activity 10: Research and innovation</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4CA2A4DA" w14:textId="77777777" w:rsidR="00EE3DF9" w:rsidRPr="00F5382B" w:rsidRDefault="00EE3DF9">
            <w:pPr>
              <w:rPr>
                <w:noProof/>
                <w:lang w:val="en-IE"/>
              </w:rPr>
            </w:pPr>
            <w:r w:rsidRPr="00F5382B">
              <w:rPr>
                <w:noProof/>
              </w:rPr>
              <w:t>         455,501.81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169B2E04" w14:textId="77777777" w:rsidR="00EE3DF9" w:rsidRPr="00F5382B" w:rsidRDefault="00EE3DF9">
            <w:pPr>
              <w:rPr>
                <w:noProof/>
                <w:lang w:val="en-IE"/>
              </w:rPr>
            </w:pPr>
            <w:r w:rsidRPr="00F5382B">
              <w:rPr>
                <w:noProof/>
              </w:rPr>
              <w:t>                      2.29 </w:t>
            </w:r>
            <w:r w:rsidRPr="00F5382B">
              <w:rPr>
                <w:noProof/>
                <w:lang w:val="en-IE"/>
              </w:rPr>
              <w:t> </w:t>
            </w:r>
          </w:p>
        </w:tc>
      </w:tr>
      <w:tr w:rsidR="00EE3DF9" w:rsidRPr="00F5382B" w14:paraId="31AEF560"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0ED1AB54"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1CA6798E" w14:textId="77777777" w:rsidR="00EE3DF9" w:rsidRPr="00F5382B" w:rsidRDefault="00EE3DF9">
            <w:pPr>
              <w:rPr>
                <w:noProof/>
                <w:lang w:val="en-IE"/>
              </w:rPr>
            </w:pPr>
            <w:r w:rsidRPr="00F5382B">
              <w:rPr>
                <w:noProof/>
              </w:rPr>
              <w:t>Activity 11. Performance and sustainability</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991ED5D" w14:textId="77777777" w:rsidR="00EE3DF9" w:rsidRPr="00F5382B" w:rsidRDefault="00EE3DF9">
            <w:pPr>
              <w:rPr>
                <w:noProof/>
                <w:lang w:val="en-IE"/>
              </w:rPr>
            </w:pPr>
            <w:r w:rsidRPr="00F5382B">
              <w:rPr>
                <w:noProof/>
              </w:rPr>
              <w:t>     2,360,523.21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2E4BEC24" w14:textId="77777777" w:rsidR="00EE3DF9" w:rsidRPr="00F5382B" w:rsidRDefault="00EE3DF9">
            <w:pPr>
              <w:rPr>
                <w:noProof/>
                <w:lang w:val="en-IE"/>
              </w:rPr>
            </w:pPr>
            <w:r w:rsidRPr="00F5382B">
              <w:rPr>
                <w:noProof/>
              </w:rPr>
              <w:t>                    11.48 </w:t>
            </w:r>
            <w:r w:rsidRPr="00F5382B">
              <w:rPr>
                <w:noProof/>
                <w:lang w:val="en-IE"/>
              </w:rPr>
              <w:t> </w:t>
            </w:r>
          </w:p>
        </w:tc>
      </w:tr>
      <w:tr w:rsidR="00EE3DF9" w:rsidRPr="00F5382B" w14:paraId="25CF3D3B"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2008249E"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73717279" w14:textId="77777777" w:rsidR="00EE3DF9" w:rsidRPr="00F5382B" w:rsidRDefault="00EE3DF9">
            <w:pPr>
              <w:rPr>
                <w:noProof/>
                <w:lang w:val="en-IE"/>
              </w:rPr>
            </w:pPr>
            <w:r w:rsidRPr="00F5382B">
              <w:rPr>
                <w:noProof/>
              </w:rPr>
              <w:t>Activity 12. Reputation and trust</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62418B2F" w14:textId="77777777" w:rsidR="00EE3DF9" w:rsidRPr="00F5382B" w:rsidRDefault="00EE3DF9">
            <w:pPr>
              <w:rPr>
                <w:noProof/>
                <w:lang w:val="en-IE"/>
              </w:rPr>
            </w:pPr>
            <w:r w:rsidRPr="00F5382B">
              <w:rPr>
                <w:noProof/>
              </w:rPr>
              <w:t>         795,811.95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07857467" w14:textId="77777777" w:rsidR="00EE3DF9" w:rsidRPr="00F5382B" w:rsidRDefault="00EE3DF9">
            <w:pPr>
              <w:rPr>
                <w:noProof/>
                <w:lang w:val="en-IE"/>
              </w:rPr>
            </w:pPr>
            <w:r w:rsidRPr="00F5382B">
              <w:rPr>
                <w:noProof/>
              </w:rPr>
              <w:t>                      4.47 </w:t>
            </w:r>
            <w:r w:rsidRPr="00F5382B">
              <w:rPr>
                <w:noProof/>
                <w:lang w:val="en-IE"/>
              </w:rPr>
              <w:t> </w:t>
            </w:r>
          </w:p>
        </w:tc>
      </w:tr>
      <w:tr w:rsidR="00EE3DF9" w:rsidRPr="00F5382B" w14:paraId="6F6F0C13"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1A6CC18D"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5949EBC7" w14:textId="77777777" w:rsidR="00EE3DF9" w:rsidRPr="00F5382B" w:rsidRDefault="00EE3DF9">
            <w:pPr>
              <w:rPr>
                <w:noProof/>
                <w:lang w:val="en-IE"/>
              </w:rPr>
            </w:pPr>
            <w:r w:rsidRPr="00F5382B">
              <w:rPr>
                <w:noProof/>
              </w:rPr>
              <w:t>Activity 13. Effective and efficient corporate services</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03E71BEB" w14:textId="77777777" w:rsidR="00EE3DF9" w:rsidRPr="00F5382B" w:rsidRDefault="00EE3DF9">
            <w:pPr>
              <w:rPr>
                <w:noProof/>
                <w:lang w:val="en-IE"/>
              </w:rPr>
            </w:pPr>
            <w:r w:rsidRPr="00F5382B">
              <w:rPr>
                <w:noProof/>
              </w:rPr>
              <w:t>     4,294,684.64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426CC0E" w14:textId="77777777" w:rsidR="00EE3DF9" w:rsidRPr="00F5382B" w:rsidRDefault="00EE3DF9">
            <w:pPr>
              <w:rPr>
                <w:noProof/>
                <w:lang w:val="en-IE"/>
              </w:rPr>
            </w:pPr>
            <w:r w:rsidRPr="00F5382B">
              <w:rPr>
                <w:noProof/>
              </w:rPr>
              <w:t>                    17.28 </w:t>
            </w:r>
            <w:r w:rsidRPr="00F5382B">
              <w:rPr>
                <w:noProof/>
                <w:lang w:val="en-IE"/>
              </w:rPr>
              <w:t> </w:t>
            </w:r>
          </w:p>
        </w:tc>
      </w:tr>
      <w:tr w:rsidR="00EE3DF9" w:rsidRPr="00F5382B" w14:paraId="290AE3F9" w14:textId="77777777">
        <w:trPr>
          <w:trHeight w:val="300"/>
        </w:trPr>
        <w:tc>
          <w:tcPr>
            <w:tcW w:w="701" w:type="dxa"/>
            <w:vMerge/>
            <w:tcBorders>
              <w:top w:val="single" w:sz="6" w:space="0" w:color="auto"/>
              <w:left w:val="single" w:sz="6" w:space="0" w:color="auto"/>
              <w:bottom w:val="single" w:sz="6" w:space="0" w:color="auto"/>
              <w:right w:val="single" w:sz="6" w:space="0" w:color="auto"/>
            </w:tcBorders>
            <w:vAlign w:val="center"/>
            <w:hideMark/>
          </w:tcPr>
          <w:p w14:paraId="122F30B0" w14:textId="77777777" w:rsidR="00EE3DF9" w:rsidRPr="00F5382B" w:rsidRDefault="00EE3DF9">
            <w:pPr>
              <w:rPr>
                <w:noProof/>
                <w:lang w:val="en-IE"/>
              </w:rPr>
            </w:pPr>
          </w:p>
        </w:tc>
        <w:tc>
          <w:tcPr>
            <w:tcW w:w="4271" w:type="dxa"/>
            <w:tcBorders>
              <w:top w:val="single" w:sz="6" w:space="0" w:color="auto"/>
              <w:left w:val="single" w:sz="6" w:space="0" w:color="auto"/>
              <w:bottom w:val="single" w:sz="6" w:space="0" w:color="auto"/>
              <w:right w:val="single" w:sz="6" w:space="0" w:color="auto"/>
            </w:tcBorders>
            <w:vAlign w:val="bottom"/>
            <w:hideMark/>
          </w:tcPr>
          <w:p w14:paraId="376B861D" w14:textId="77777777" w:rsidR="00EE3DF9" w:rsidRPr="00F5382B" w:rsidRDefault="00EE3DF9">
            <w:pPr>
              <w:rPr>
                <w:noProof/>
                <w:lang w:val="en-IE"/>
              </w:rPr>
            </w:pPr>
            <w:r w:rsidRPr="00F5382B">
              <w:rPr>
                <w:noProof/>
              </w:rPr>
              <w:t>TOTAL</w:t>
            </w:r>
            <w:r w:rsidRPr="00F5382B">
              <w:rPr>
                <w:noProof/>
                <w:lang w:val="en-IE"/>
              </w:rPr>
              <w:t> </w:t>
            </w:r>
          </w:p>
        </w:tc>
        <w:tc>
          <w:tcPr>
            <w:tcW w:w="1755" w:type="dxa"/>
            <w:tcBorders>
              <w:top w:val="single" w:sz="6" w:space="0" w:color="auto"/>
              <w:left w:val="single" w:sz="6" w:space="0" w:color="auto"/>
              <w:bottom w:val="single" w:sz="6" w:space="0" w:color="auto"/>
              <w:right w:val="single" w:sz="6" w:space="0" w:color="auto"/>
            </w:tcBorders>
            <w:vAlign w:val="bottom"/>
            <w:hideMark/>
          </w:tcPr>
          <w:p w14:paraId="3304C686" w14:textId="77777777" w:rsidR="00EE3DF9" w:rsidRPr="00F5382B" w:rsidRDefault="00EE3DF9">
            <w:pPr>
              <w:rPr>
                <w:noProof/>
                <w:lang w:val="en-IE"/>
              </w:rPr>
            </w:pPr>
            <w:r w:rsidRPr="00F5382B">
              <w:rPr>
                <w:noProof/>
              </w:rPr>
              <w:t>   26,218,721.39 </w:t>
            </w:r>
            <w:r w:rsidRPr="00F5382B">
              <w:rPr>
                <w:noProof/>
                <w:lang w:val="en-IE"/>
              </w:rPr>
              <w:t> </w:t>
            </w:r>
          </w:p>
        </w:tc>
        <w:tc>
          <w:tcPr>
            <w:tcW w:w="1875" w:type="dxa"/>
            <w:tcBorders>
              <w:top w:val="single" w:sz="6" w:space="0" w:color="auto"/>
              <w:left w:val="single" w:sz="6" w:space="0" w:color="auto"/>
              <w:bottom w:val="single" w:sz="6" w:space="0" w:color="auto"/>
              <w:right w:val="single" w:sz="6" w:space="0" w:color="auto"/>
            </w:tcBorders>
            <w:vAlign w:val="bottom"/>
            <w:hideMark/>
          </w:tcPr>
          <w:p w14:paraId="5940E12A" w14:textId="77777777" w:rsidR="00EE3DF9" w:rsidRPr="00F5382B" w:rsidRDefault="00EE3DF9">
            <w:pPr>
              <w:rPr>
                <w:noProof/>
                <w:lang w:val="en-IE"/>
              </w:rPr>
            </w:pPr>
            <w:r w:rsidRPr="00F5382B">
              <w:rPr>
                <w:noProof/>
              </w:rPr>
              <w:t>                 110.74 </w:t>
            </w:r>
            <w:r w:rsidRPr="00F5382B">
              <w:rPr>
                <w:noProof/>
                <w:lang w:val="en-IE"/>
              </w:rPr>
              <w:t> </w:t>
            </w:r>
          </w:p>
        </w:tc>
      </w:tr>
    </w:tbl>
    <w:p w14:paraId="21D88786" w14:textId="77777777" w:rsidR="00EE3DF9" w:rsidRPr="00F5382B" w:rsidRDefault="00EE3DF9" w:rsidP="00EE3DF9">
      <w:pPr>
        <w:rPr>
          <w:noProof/>
          <w:lang w:val="en-IE"/>
        </w:rPr>
      </w:pPr>
      <w:r w:rsidRPr="00F5382B">
        <w:rPr>
          <w:noProof/>
          <w:lang w:val="en-IE"/>
        </w:rPr>
        <w:t> </w:t>
      </w:r>
    </w:p>
    <w:p w14:paraId="0AD3DEC6" w14:textId="77777777" w:rsidR="00EE3DF9" w:rsidRPr="00F5382B" w:rsidRDefault="00EE3DF9" w:rsidP="00EE3DF9">
      <w:pPr>
        <w:rPr>
          <w:noProof/>
          <w:lang w:val="en-IE"/>
        </w:rPr>
        <w:sectPr w:rsidR="00EE3DF9" w:rsidRPr="00F5382B" w:rsidSect="00EE3DF9">
          <w:headerReference w:type="even" r:id="rId165"/>
          <w:headerReference w:type="default" r:id="rId166"/>
          <w:footerReference w:type="even" r:id="rId167"/>
          <w:footerReference w:type="default" r:id="rId168"/>
          <w:headerReference w:type="first" r:id="rId169"/>
          <w:footerReference w:type="first" r:id="rId170"/>
          <w:pgSz w:w="11906" w:h="16838"/>
          <w:pgMar w:top="1020" w:right="1701" w:bottom="1020" w:left="1587" w:header="601" w:footer="1077" w:gutter="0"/>
          <w:cols w:space="720"/>
          <w:titlePg/>
        </w:sectPr>
      </w:pPr>
    </w:p>
    <w:p w14:paraId="7D160327" w14:textId="77777777" w:rsidR="00EE3DF9" w:rsidRPr="00F5382B" w:rsidRDefault="00EE3DF9" w:rsidP="00EE3DF9">
      <w:pPr>
        <w:pStyle w:val="AnnexTitle0"/>
        <w:rPr>
          <w:noProof/>
          <w:lang w:val="en-IE"/>
        </w:rPr>
      </w:pPr>
      <w:bookmarkStart w:id="664" w:name="_Toc207027979"/>
      <w:bookmarkStart w:id="665" w:name="_Toc218767792"/>
      <w:bookmarkStart w:id="666" w:name="_Toc219039566"/>
      <w:bookmarkStart w:id="667" w:name="_Toc219447469"/>
      <w:r w:rsidRPr="00F5382B">
        <w:rPr>
          <w:noProof/>
        </w:rPr>
        <w:t>Annex 12: EUROPEAN CYBERSECURITY CERTIFICATION FRAMEWORK</w:t>
      </w:r>
      <w:bookmarkEnd w:id="664"/>
      <w:r w:rsidRPr="00F5382B">
        <w:rPr>
          <w:noProof/>
        </w:rPr>
        <w:t xml:space="preserve"> (ECCF)</w:t>
      </w:r>
      <w:bookmarkEnd w:id="665"/>
      <w:bookmarkEnd w:id="666"/>
      <w:bookmarkEnd w:id="667"/>
      <w:r w:rsidRPr="00F5382B">
        <w:rPr>
          <w:noProof/>
          <w:lang w:val="en-IE"/>
        </w:rPr>
        <w:t> </w:t>
      </w:r>
    </w:p>
    <w:p w14:paraId="5083FC55" w14:textId="77777777" w:rsidR="00EE3DF9" w:rsidRPr="00F5382B" w:rsidRDefault="00EE3DF9" w:rsidP="00EE3DF9">
      <w:pPr>
        <w:spacing w:after="120"/>
        <w:rPr>
          <w:noProof/>
          <w:lang w:val="en-IE"/>
        </w:rPr>
      </w:pPr>
      <w:r w:rsidRPr="00F5382B">
        <w:rPr>
          <w:noProof/>
          <w:lang w:val="en-IE"/>
        </w:rPr>
        <w:t>The CSA established the ECCF to i</w:t>
      </w:r>
      <w:r w:rsidRPr="00F5382B">
        <w:rPr>
          <w:noProof/>
        </w:rPr>
        <w:t xml:space="preserve">ncrease the level of cybersecurity within the Union by enabling </w:t>
      </w:r>
      <w:r w:rsidRPr="00F5382B">
        <w:rPr>
          <w:noProof/>
          <w:lang w:val="en-IE"/>
        </w:rPr>
        <w:t>the development of Union wide cybersecurity certification schemes. These schemes are intended to ensure a consistent level of cybersecurity assurance for information and communication technology (ICT) products, services, processes and managed security services (entities not covered) across the European Union (EU). The procedure for developing such schemes consists of three main phases: the planning, led by the European Commission (EC), the technical preparation of a candidate scheme, coordinated by ENISA, and the adoption of the final scheme through a legislative procedure led by the EC. A visual summary of the full EU cybersecurity certification scheme development process is provided in the figure below and explained in detail thereafter.</w:t>
      </w:r>
    </w:p>
    <w:p w14:paraId="72742ACF" w14:textId="3A05A098" w:rsidR="00EE3DF9" w:rsidRPr="00F5382B" w:rsidRDefault="00EE3DF9" w:rsidP="00EE3DF9">
      <w:pPr>
        <w:pStyle w:val="Caption"/>
        <w:spacing w:after="120"/>
        <w:rPr>
          <w:noProof/>
        </w:rPr>
      </w:pPr>
      <w:r w:rsidRPr="00F5382B">
        <w:rPr>
          <w:noProof/>
        </w:rPr>
        <w:t> </w:t>
      </w:r>
      <w:bookmarkStart w:id="668" w:name="_Toc207127096"/>
      <w:bookmarkStart w:id="669" w:name="_Toc218765312"/>
      <w:bookmarkStart w:id="670" w:name="_Toc219447501"/>
      <w:r w:rsidRPr="00F5382B">
        <w:rPr>
          <w:noProof/>
        </w:rPr>
        <w:t>Figure</w:t>
      </w:r>
      <w:r w:rsidR="00D06E8E">
        <w:rPr>
          <w:noProof/>
        </w:rPr>
        <w:t xml:space="preserve"> 30</w:t>
      </w:r>
      <w:r>
        <w:rPr>
          <w:noProof/>
        </w:rPr>
        <w:fldChar w:fldCharType="begin"/>
      </w:r>
      <w:r>
        <w:rPr>
          <w:noProof/>
        </w:rPr>
        <w:instrText xml:space="preserve"> SEQ Figure \* ARABIC </w:instrText>
      </w:r>
      <w:r>
        <w:rPr>
          <w:noProof/>
        </w:rPr>
        <w:fldChar w:fldCharType="separate"/>
      </w:r>
      <w:r>
        <w:rPr>
          <w:noProof/>
        </w:rPr>
        <w:t>18</w:t>
      </w:r>
      <w:r>
        <w:rPr>
          <w:noProof/>
        </w:rPr>
        <w:fldChar w:fldCharType="end"/>
      </w:r>
      <w:r w:rsidRPr="00F5382B">
        <w:rPr>
          <w:noProof/>
        </w:rPr>
        <w:t xml:space="preserve"> EU Cybersecurity Certification Scheme Development Process</w:t>
      </w:r>
      <w:bookmarkEnd w:id="668"/>
      <w:bookmarkEnd w:id="669"/>
      <w:bookmarkEnd w:id="670"/>
    </w:p>
    <w:p w14:paraId="6D9B308C" w14:textId="77777777" w:rsidR="00EE3DF9" w:rsidRPr="00F5382B" w:rsidRDefault="00EE3DF9" w:rsidP="00EE3DF9">
      <w:pPr>
        <w:spacing w:after="120"/>
        <w:rPr>
          <w:noProof/>
          <w:lang w:val="en-IE"/>
        </w:rPr>
      </w:pPr>
      <w:r w:rsidRPr="00F5382B">
        <w:rPr>
          <w:noProof/>
          <w:lang w:eastAsia="en-GB"/>
        </w:rPr>
        <w:drawing>
          <wp:inline distT="0" distB="0" distL="0" distR="0" wp14:anchorId="6BDC251F" wp14:editId="77891530">
            <wp:extent cx="5467350" cy="2505075"/>
            <wp:effectExtent l="0" t="0" r="0" b="9525"/>
            <wp:docPr id="2081359660"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59660" name="Picture 1" descr="A diagram of a flowchart&#10;&#10;AI-generated content may be incorrect."/>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467350" cy="2505075"/>
                    </a:xfrm>
                    <a:prstGeom prst="rect">
                      <a:avLst/>
                    </a:prstGeom>
                    <a:noFill/>
                    <a:ln>
                      <a:noFill/>
                    </a:ln>
                  </pic:spPr>
                </pic:pic>
              </a:graphicData>
            </a:graphic>
          </wp:inline>
        </w:drawing>
      </w:r>
      <w:r w:rsidRPr="00F5382B">
        <w:rPr>
          <w:noProof/>
          <w:lang w:val="en-IE"/>
        </w:rPr>
        <w:t xml:space="preserve"> The process begins with the identification of a new certification need, usually reflected in the Union Rolling Work Programme (URWP). This programme outlines strategic priorities and reflects a shared vision between the EC and ENISA on emerging certification requirements (CSA, Article 47). In exceptional and duly justified cases, a scheme may be launched even if it was not initially included in the URWP. In such situations, the EC must formally update the URWP to reflect the decision (CSA, Article 48 (2)). </w:t>
      </w:r>
    </w:p>
    <w:p w14:paraId="75A253AE" w14:textId="77777777" w:rsidR="00EE3DF9" w:rsidRPr="00F5382B" w:rsidRDefault="00EE3DF9" w:rsidP="00EE3DF9">
      <w:pPr>
        <w:spacing w:after="120"/>
        <w:rPr>
          <w:noProof/>
          <w:lang w:val="en-IE"/>
        </w:rPr>
      </w:pPr>
      <w:r w:rsidRPr="00F5382B">
        <w:rPr>
          <w:noProof/>
          <w:lang w:val="en-IE"/>
        </w:rPr>
        <w:t>The EC initiates the development process by formally requesting ENISA to prepare a candidate scheme (CSA, Article 48(1))</w:t>
      </w:r>
      <w:r w:rsidRPr="00F5382B" w:rsidDel="00AC59D1">
        <w:rPr>
          <w:noProof/>
          <w:lang w:val="en-IE"/>
        </w:rPr>
        <w:t>.</w:t>
      </w:r>
      <w:r w:rsidRPr="00F5382B">
        <w:rPr>
          <w:noProof/>
          <w:lang w:val="en-IE"/>
        </w:rPr>
        <w:t xml:space="preserve"> The ECCG, composed of representatives from national cybersecurity certification authorities, may also suggest new schemes to ENISA. However, unlike for EC requests, ENISA is not obliged to act upon scheme requests from the ECCG (CSA, Article 48(2))</w:t>
      </w:r>
      <w:r w:rsidRPr="00F5382B" w:rsidDel="00AC59D1">
        <w:rPr>
          <w:noProof/>
          <w:lang w:val="en-IE"/>
        </w:rPr>
        <w:t>.</w:t>
      </w:r>
      <w:r w:rsidRPr="00F5382B">
        <w:rPr>
          <w:noProof/>
          <w:lang w:val="en-IE"/>
        </w:rPr>
        <w:t xml:space="preserve"> The requests provide only a high-level description of the objective that the schemes should be conform with and does not provide any development planning</w:t>
      </w:r>
      <w:r w:rsidRPr="00F5382B">
        <w:rPr>
          <w:rStyle w:val="FootnoteReference"/>
          <w:noProof/>
          <w:lang w:val="en-IE"/>
        </w:rPr>
        <w:footnoteReference w:id="329"/>
      </w:r>
      <w:r w:rsidRPr="00F5382B">
        <w:rPr>
          <w:noProof/>
          <w:lang w:val="en-IE"/>
        </w:rPr>
        <w:t>. Once ENISA accepts a request, it becomes responsible for coordinating the technical drafting process in cooperation with relevant stakeholders and national authorities (CSA, Article 49 (1))</w:t>
      </w:r>
      <w:r w:rsidRPr="00F5382B" w:rsidDel="00AC59D1">
        <w:rPr>
          <w:noProof/>
          <w:lang w:val="en-IE"/>
        </w:rPr>
        <w:t>.</w:t>
      </w:r>
      <w:r w:rsidRPr="00F5382B">
        <w:rPr>
          <w:noProof/>
          <w:lang w:val="en-IE"/>
        </w:rPr>
        <w:t> </w:t>
      </w:r>
    </w:p>
    <w:p w14:paraId="6F713EE8" w14:textId="77777777" w:rsidR="00EE3DF9" w:rsidRPr="00F5382B" w:rsidRDefault="00EE3DF9" w:rsidP="00EE3DF9">
      <w:pPr>
        <w:spacing w:after="120"/>
        <w:rPr>
          <w:noProof/>
          <w:lang w:val="en-IE"/>
        </w:rPr>
      </w:pPr>
      <w:r w:rsidRPr="00F5382B">
        <w:rPr>
          <w:noProof/>
          <w:lang w:val="en-IE"/>
        </w:rPr>
        <w:t>Throughout this process, ENISA must carry out targeted consultations. It works in close collaboration with the ECCG to ensure that the draft scheme reflects the needs and expectations of Member States (CSA, Article 49 (5))</w:t>
      </w:r>
      <w:r w:rsidRPr="00F5382B" w:rsidDel="00AC59D1">
        <w:rPr>
          <w:noProof/>
          <w:lang w:val="en-IE"/>
        </w:rPr>
        <w:t>.</w:t>
      </w:r>
      <w:r w:rsidRPr="00F5382B">
        <w:rPr>
          <w:noProof/>
          <w:lang w:val="en-IE"/>
        </w:rPr>
        <w:t xml:space="preserve"> ENISA may also engage with the Stakeholder Cybersecurity Certification Group (SCCG), a group representing industry and other non-governmental actors (CSA, Article 22 (3))</w:t>
      </w:r>
      <w:r w:rsidRPr="00F5382B" w:rsidDel="00AC59D1">
        <w:rPr>
          <w:noProof/>
          <w:lang w:val="en-IE"/>
        </w:rPr>
        <w:t>.</w:t>
      </w:r>
      <w:r w:rsidRPr="00F5382B">
        <w:rPr>
          <w:noProof/>
          <w:lang w:val="en-IE"/>
        </w:rPr>
        <w:t> </w:t>
      </w:r>
    </w:p>
    <w:p w14:paraId="66873E7E" w14:textId="77777777" w:rsidR="00EE3DF9" w:rsidRPr="00F5382B" w:rsidRDefault="00EE3DF9" w:rsidP="00EE3DF9">
      <w:pPr>
        <w:spacing w:after="120"/>
        <w:rPr>
          <w:noProof/>
          <w:lang w:val="en-IE"/>
        </w:rPr>
      </w:pPr>
      <w:r w:rsidRPr="00F5382B">
        <w:rPr>
          <w:noProof/>
          <w:lang w:val="en-IE"/>
        </w:rPr>
        <w:t>A key component of the technical drafting process is the creation of an Ad Hoc Working Group (AHWG). This group is composed of external experts selected by ENISA on the basis of professional competence and geographical balance. The AHWG supports the technical preparation of the scheme. The involvement of an AHWG is required under Article 48(4) of the CSA and is a central element of the framework. This requirement is further specified in Recital (59) of the CSA, which states that the Executive Director should ensure that the members of ad hoc working groups are selected according to the highest standards of expertise, aiming to ensure gender balance and an appropriate balance, according to the specific issues in question, between the public administrations of the Member States, the Union institutions, bodies, offices and agencies and the private sector, including industry, users, and academic experts in network and information security. </w:t>
      </w:r>
    </w:p>
    <w:p w14:paraId="6D755D7C" w14:textId="77777777" w:rsidR="00EE3DF9" w:rsidRPr="00F5382B" w:rsidRDefault="00EE3DF9" w:rsidP="00EE3DF9">
      <w:pPr>
        <w:spacing w:after="120"/>
        <w:rPr>
          <w:noProof/>
          <w:lang w:val="en-IE"/>
        </w:rPr>
      </w:pPr>
      <w:r w:rsidRPr="00F5382B">
        <w:rPr>
          <w:noProof/>
          <w:lang w:val="en-IE"/>
        </w:rPr>
        <w:t>ENISA drafts the candidate scheme based on inputs from the AHWG, results of stakeholder consultations, and ongoing collaboration with the ECCG (CSA, Article 49 (3)-(6)), and also based on the EC’s request. The draft must include all mandatory components as laid out in Article 54 of the CSA, such as the scope and purpose of the scheme, assurance levels, conformity assessment processes (CSA, Article 56), and references to applicable standards. Additional technical elements may be included to address specific risks or sectoral needs, as appropriate. </w:t>
      </w:r>
    </w:p>
    <w:p w14:paraId="4A904599" w14:textId="77777777" w:rsidR="00EE3DF9" w:rsidRPr="00F5382B" w:rsidRDefault="00EE3DF9" w:rsidP="00EE3DF9">
      <w:pPr>
        <w:spacing w:after="120"/>
        <w:rPr>
          <w:noProof/>
          <w:lang w:val="en-IE"/>
        </w:rPr>
      </w:pPr>
      <w:r w:rsidRPr="00F5382B">
        <w:rPr>
          <w:noProof/>
          <w:lang w:val="en-IE"/>
        </w:rPr>
        <w:t>Once the draft is ready (timeline not specified), ENISA submits it to the ECCG for an opinion (CSA, Article 49 (5)). The ECCG may provide comments, raise concerns, or make suggestions for improvement. ENISA is required to take this opinion into account but retains the discretion to deviate from it if duly justified (CSA, Article 49 (6)). In practice, the opinion is drafted by the Commission based on the comments and put forward to the group for further comments. After this review, ENISA may transmit the final draft to the EC or seek to improve the text and repeat the procedure.</w:t>
      </w:r>
    </w:p>
    <w:p w14:paraId="1BCAD99F" w14:textId="77777777" w:rsidR="00EE3DF9" w:rsidRPr="00F5382B" w:rsidRDefault="00EE3DF9" w:rsidP="00EE3DF9">
      <w:pPr>
        <w:spacing w:after="120"/>
        <w:rPr>
          <w:noProof/>
          <w:lang w:val="en-IE"/>
        </w:rPr>
      </w:pPr>
      <w:r w:rsidRPr="00F5382B">
        <w:rPr>
          <w:noProof/>
          <w:lang w:val="en-IE"/>
        </w:rPr>
        <w:t>The EC is responsible for transforming the draft candidate scheme developed by ENISA into a legally binding instrument at its discretion. The legal drafting on the basis of technical document and adoption process may (or often does) lead to amendments in the draft text. Once finalised, the draft implementing act is published on the EC’s Have Your Say portal for public consultation. This allows stakeholders, including industry, public authorities, and citizens, to comment on the proposed scheme. The feedback received is reviewed and may lead to further revisions. Furthermore, under the TBT Agreement, WTO Members have the obligation to notify, through the WTO Secretariat, draft measures that may have a significant effect on trade of other Members and are not based on relevant international standards. In such a case, the Commission shall also submit a WTO TBT notification. </w:t>
      </w:r>
    </w:p>
    <w:p w14:paraId="500B76D6" w14:textId="77777777" w:rsidR="00EE3DF9" w:rsidRPr="00F5382B" w:rsidRDefault="00EE3DF9" w:rsidP="00EE3DF9">
      <w:pPr>
        <w:spacing w:after="120"/>
        <w:rPr>
          <w:noProof/>
          <w:lang w:val="en-IE"/>
        </w:rPr>
      </w:pPr>
      <w:r w:rsidRPr="00F5382B">
        <w:rPr>
          <w:noProof/>
          <w:lang w:val="en-IE"/>
        </w:rPr>
        <w:t>Next, the EC launches adoption of an implementing act by comitology under the examination procedure (CSA, Article 49 (7) and Article 66 (2)). This is done by submitting the draft implementing act to a committee of Member State representatives. The comitology procedure can be launched prior to the closing of the public consultation, and where applicable, the WTO TBT notification, however no opinion can be delivered by the committee before the closing of such consultation(s). The committee must deliver an opinion. If the opinion is positive, the EC may proceed with adoption. If the opinion is negative or not delivered, the EC may revise the draft or take other appropriate steps. </w:t>
      </w:r>
    </w:p>
    <w:p w14:paraId="62DAD3EB" w14:textId="77777777" w:rsidR="00EE3DF9" w:rsidRPr="00F5382B" w:rsidRDefault="00EE3DF9" w:rsidP="00EE3DF9">
      <w:pPr>
        <w:spacing w:after="120"/>
        <w:rPr>
          <w:noProof/>
          <w:lang w:val="en-IE"/>
        </w:rPr>
      </w:pPr>
      <w:r w:rsidRPr="00F5382B">
        <w:rPr>
          <w:noProof/>
          <w:lang w:val="en-IE"/>
        </w:rPr>
        <w:t>Once the implementing act is adopted, the EU certification scheme has a harmonisation effect across all Member States. The scheme is published in the Official Journal of the European Union and enters into force on the date specified in the act. From that point on, Conformity Assessment Bodies (CABs) and economic operators across the EU may apply the scheme (CSA, Article 56 (1)). The ECCF does not envisage maintenance of the schemes that have been adopted at the moment. Updates of schemes therefore require revision of the implementing act establishing the scheme, preparation and review of the documents is currently (informally) done by a ECCG sub-group of the willing Member States representatives and industry and subject to the ECCG agreement, before the comitology procedure.</w:t>
      </w:r>
    </w:p>
    <w:p w14:paraId="5E854DB2" w14:textId="0B5EA1E0" w:rsidR="002F2874" w:rsidRPr="00F5382B" w:rsidRDefault="00EE3DF9" w:rsidP="00EE3DF9">
      <w:pPr>
        <w:spacing w:after="120"/>
        <w:rPr>
          <w:noProof/>
          <w:lang w:val="en-IE"/>
        </w:rPr>
      </w:pPr>
      <w:r w:rsidRPr="00F5382B">
        <w:rPr>
          <w:noProof/>
          <w:lang w:val="en-IE"/>
        </w:rPr>
        <w:t>Since the entry into force of the CSA, five schemes have been formally requested but only one has been adopted to date. The European Common Criteria-based Cybersecurity Certification Scheme (EUCC)</w:t>
      </w:r>
      <w:r w:rsidR="0025255F">
        <w:rPr>
          <w:noProof/>
          <w:lang w:val="en-IE"/>
        </w:rPr>
        <w:t xml:space="preserve"> was adopted on 31 January 2024 and</w:t>
      </w:r>
      <w:r w:rsidRPr="00F5382B">
        <w:rPr>
          <w:noProof/>
          <w:lang w:val="en-IE"/>
        </w:rPr>
        <w:t xml:space="preserve"> entered into application on 27 February 2025 following several years of technical drafting and interinstitutional procedures. </w:t>
      </w:r>
      <w:r w:rsidR="0025255F">
        <w:rPr>
          <w:noProof/>
          <w:lang w:val="en-IE"/>
        </w:rPr>
        <w:t xml:space="preserve"> The table below summarizes the </w:t>
      </w:r>
      <w:r w:rsidR="002F2874">
        <w:rPr>
          <w:noProof/>
          <w:lang w:val="en-IE"/>
        </w:rPr>
        <w:t xml:space="preserve">state of play </w:t>
      </w:r>
      <w:r w:rsidR="005B2E78">
        <w:rPr>
          <w:noProof/>
          <w:lang w:val="en-IE"/>
        </w:rPr>
        <w:t xml:space="preserve">at the </w:t>
      </w:r>
      <w:r w:rsidR="002F2874">
        <w:rPr>
          <w:noProof/>
          <w:lang w:val="en-IE"/>
        </w:rPr>
        <w:t>end 2024:</w:t>
      </w:r>
    </w:p>
    <w:p w14:paraId="3B8FE8C6" w14:textId="77777777" w:rsidR="00EE3DF9" w:rsidRPr="00F5382B" w:rsidRDefault="00EE3DF9" w:rsidP="00EE3DF9">
      <w:pPr>
        <w:rPr>
          <w:noProof/>
          <w:lang w:val="en-IE"/>
        </w:rPr>
        <w:sectPr w:rsidR="00EE3DF9" w:rsidRPr="00F5382B" w:rsidSect="00EE3DF9">
          <w:headerReference w:type="default" r:id="rId172"/>
          <w:footerReference w:type="default" r:id="rId173"/>
          <w:headerReference w:type="first" r:id="rId174"/>
          <w:footerReference w:type="first" r:id="rId175"/>
          <w:pgSz w:w="11906" w:h="16838"/>
          <w:pgMar w:top="1020" w:right="1701" w:bottom="1020" w:left="1587" w:header="601" w:footer="1077" w:gutter="0"/>
          <w:cols w:space="720"/>
          <w:titlePg/>
        </w:sectPr>
      </w:pPr>
      <w:r w:rsidRPr="00F5382B">
        <w:rPr>
          <w:i/>
          <w:noProof/>
          <w:lang w:eastAsia="en-GB"/>
        </w:rPr>
        <w:drawing>
          <wp:inline distT="0" distB="0" distL="0" distR="0" wp14:anchorId="60FEC740" wp14:editId="292EC2FC">
            <wp:extent cx="5472430" cy="1040386"/>
            <wp:effectExtent l="0" t="0" r="0" b="7620"/>
            <wp:docPr id="226585756" name="Picture 1" descr="A green and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85756" name="Picture 1" descr="A green and white sign with black text&#10;&#10;AI-generated content may be incorrect."/>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472430" cy="1040386"/>
                    </a:xfrm>
                    <a:prstGeom prst="rect">
                      <a:avLst/>
                    </a:prstGeom>
                    <a:noFill/>
                  </pic:spPr>
                </pic:pic>
              </a:graphicData>
            </a:graphic>
          </wp:inline>
        </w:drawing>
      </w:r>
    </w:p>
    <w:p w14:paraId="1AE1CF7F" w14:textId="27AF2603" w:rsidR="00EE3DF9" w:rsidRDefault="000D0DFD" w:rsidP="00EE3DF9">
      <w:pPr>
        <w:pStyle w:val="AnnexTitle0"/>
        <w:rPr>
          <w:noProof/>
        </w:rPr>
      </w:pPr>
      <w:bookmarkStart w:id="671" w:name="_Toc218767793"/>
      <w:bookmarkStart w:id="672" w:name="_Toc219039567"/>
      <w:bookmarkStart w:id="673" w:name="_Toc219447470"/>
      <w:bookmarkStart w:id="674" w:name="_Toc207027980"/>
      <w:r>
        <w:rPr>
          <w:noProof/>
          <w:lang w:eastAsia="en-GB"/>
        </w:rPr>
        <w:drawing>
          <wp:anchor distT="0" distB="0" distL="114300" distR="114300" simplePos="0" relativeHeight="251658241" behindDoc="1" locked="0" layoutInCell="1" allowOverlap="1" wp14:anchorId="63EB5B9C" wp14:editId="3CEA0783">
            <wp:simplePos x="0" y="0"/>
            <wp:positionH relativeFrom="column">
              <wp:posOffset>163231</wp:posOffset>
            </wp:positionH>
            <wp:positionV relativeFrom="paragraph">
              <wp:posOffset>242570</wp:posOffset>
            </wp:positionV>
            <wp:extent cx="9019048" cy="5073291"/>
            <wp:effectExtent l="0" t="0" r="0" b="0"/>
            <wp:wrapNone/>
            <wp:docPr id="12795728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72802" name=""/>
                    <pic:cNvPicPr/>
                  </pic:nvPicPr>
                  <pic:blipFill>
                    <a:blip r:embed="rId177">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78"/>
                        </a:ext>
                      </a:extLst>
                    </a:blip>
                    <a:stretch>
                      <a:fillRect/>
                    </a:stretch>
                  </pic:blipFill>
                  <pic:spPr>
                    <a:xfrm>
                      <a:off x="0" y="0"/>
                      <a:ext cx="9019048" cy="5073291"/>
                    </a:xfrm>
                    <a:prstGeom prst="rect">
                      <a:avLst/>
                    </a:prstGeom>
                  </pic:spPr>
                </pic:pic>
              </a:graphicData>
            </a:graphic>
            <wp14:sizeRelH relativeFrom="page">
              <wp14:pctWidth>0</wp14:pctWidth>
            </wp14:sizeRelH>
            <wp14:sizeRelV relativeFrom="page">
              <wp14:pctHeight>0</wp14:pctHeight>
            </wp14:sizeRelV>
          </wp:anchor>
        </w:drawing>
      </w:r>
      <w:r w:rsidR="00EE3DF9" w:rsidRPr="00F5382B">
        <w:rPr>
          <w:noProof/>
        </w:rPr>
        <w:t>Annex 13: Intervention logic with list of measures per policy options</w:t>
      </w:r>
      <w:bookmarkEnd w:id="671"/>
      <w:bookmarkEnd w:id="672"/>
      <w:bookmarkEnd w:id="673"/>
    </w:p>
    <w:p w14:paraId="3A37AFAD" w14:textId="27955A1F" w:rsidR="00305DD6" w:rsidRPr="00305DD6" w:rsidRDefault="00305DD6" w:rsidP="00305DD6">
      <w:pPr>
        <w:rPr>
          <w:noProof/>
        </w:rPr>
      </w:pPr>
    </w:p>
    <w:p w14:paraId="63E1FB0C" w14:textId="49A02A00" w:rsidR="00EE3DF9" w:rsidRDefault="00EE3DF9" w:rsidP="00EE3DF9">
      <w:pPr>
        <w:jc w:val="center"/>
        <w:rPr>
          <w:noProof/>
        </w:rPr>
      </w:pPr>
    </w:p>
    <w:p w14:paraId="25E59977" w14:textId="5F173532" w:rsidR="000D0DFD" w:rsidRPr="00F5382B" w:rsidRDefault="009C7C49" w:rsidP="00EE3DF9">
      <w:pPr>
        <w:jc w:val="center"/>
        <w:rPr>
          <w:noProof/>
        </w:rPr>
      </w:pPr>
      <w:r>
        <w:rPr>
          <w:noProof/>
          <w:lang w:eastAsia="en-GB"/>
        </w:rPr>
        <w:drawing>
          <wp:inline distT="0" distB="0" distL="0" distR="0" wp14:anchorId="1860A1B3" wp14:editId="1615490D">
            <wp:extent cx="9396730" cy="5285740"/>
            <wp:effectExtent l="0" t="0" r="0" b="0"/>
            <wp:docPr id="1515705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05714" name=""/>
                    <pic:cNvPicPr/>
                  </pic:nvPicPr>
                  <pic:blipFill>
                    <a:blip r:embed="rId179">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80"/>
                        </a:ext>
                      </a:extLst>
                    </a:blip>
                    <a:stretch>
                      <a:fillRect/>
                    </a:stretch>
                  </pic:blipFill>
                  <pic:spPr>
                    <a:xfrm>
                      <a:off x="0" y="0"/>
                      <a:ext cx="9396730" cy="5285740"/>
                    </a:xfrm>
                    <a:prstGeom prst="rect">
                      <a:avLst/>
                    </a:prstGeom>
                  </pic:spPr>
                </pic:pic>
              </a:graphicData>
            </a:graphic>
          </wp:inline>
        </w:drawing>
      </w:r>
    </w:p>
    <w:p w14:paraId="6F68F93D" w14:textId="15C1874B" w:rsidR="00EE3DF9" w:rsidRDefault="001A69CF" w:rsidP="00EE3DF9">
      <w:pPr>
        <w:jc w:val="center"/>
        <w:rPr>
          <w:noProof/>
        </w:rPr>
      </w:pPr>
      <w:r>
        <w:rPr>
          <w:noProof/>
          <w:lang w:eastAsia="en-GB"/>
        </w:rPr>
        <w:drawing>
          <wp:inline distT="0" distB="0" distL="0" distR="0" wp14:anchorId="3C7010C7" wp14:editId="25F88F92">
            <wp:extent cx="9396730" cy="5285740"/>
            <wp:effectExtent l="0" t="0" r="0" b="0"/>
            <wp:docPr id="1016005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00555" name=""/>
                    <pic:cNvPicPr/>
                  </pic:nvPicPr>
                  <pic:blipFill>
                    <a:blip r:embed="rId181">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82"/>
                        </a:ext>
                      </a:extLst>
                    </a:blip>
                    <a:stretch>
                      <a:fillRect/>
                    </a:stretch>
                  </pic:blipFill>
                  <pic:spPr>
                    <a:xfrm>
                      <a:off x="0" y="0"/>
                      <a:ext cx="9396730" cy="5285740"/>
                    </a:xfrm>
                    <a:prstGeom prst="rect">
                      <a:avLst/>
                    </a:prstGeom>
                  </pic:spPr>
                </pic:pic>
              </a:graphicData>
            </a:graphic>
          </wp:inline>
        </w:drawing>
      </w:r>
    </w:p>
    <w:p w14:paraId="0A04C432" w14:textId="17DB924F" w:rsidR="00F0485A" w:rsidRPr="00F5382B" w:rsidRDefault="001A69CF" w:rsidP="00EE3DF9">
      <w:pPr>
        <w:jc w:val="center"/>
        <w:rPr>
          <w:noProof/>
        </w:rPr>
      </w:pPr>
      <w:r>
        <w:rPr>
          <w:noProof/>
          <w:lang w:eastAsia="en-GB"/>
        </w:rPr>
        <w:drawing>
          <wp:inline distT="0" distB="0" distL="0" distR="0" wp14:anchorId="5D888E2E" wp14:editId="55B36132">
            <wp:extent cx="9396730" cy="5285740"/>
            <wp:effectExtent l="0" t="0" r="0" b="0"/>
            <wp:docPr id="16075620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62040" name=""/>
                    <pic:cNvPicPr/>
                  </pic:nvPicPr>
                  <pic:blipFill>
                    <a:blip r:embed="rId183">
                      <a:extLst>
                        <a:ext uri="{96DAC541-7B7A-43D3-8B79-37D633B846F1}">
                          <asvg:svgBlip xmlns:a14="http://schemas.microsoft.com/office/drawing/2010/main" xmlns:c="http://schemas.openxmlformats.org/drawingml/2006/chart" xmlns:a16="http://schemas.microsoft.com/office/drawing/2014/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184"/>
                        </a:ext>
                      </a:extLst>
                    </a:blip>
                    <a:stretch>
                      <a:fillRect/>
                    </a:stretch>
                  </pic:blipFill>
                  <pic:spPr>
                    <a:xfrm>
                      <a:off x="0" y="0"/>
                      <a:ext cx="9396730" cy="5285740"/>
                    </a:xfrm>
                    <a:prstGeom prst="rect">
                      <a:avLst/>
                    </a:prstGeom>
                  </pic:spPr>
                </pic:pic>
              </a:graphicData>
            </a:graphic>
          </wp:inline>
        </w:drawing>
      </w:r>
    </w:p>
    <w:p w14:paraId="292E78FF" w14:textId="5D343CAC" w:rsidR="00EE3DF9" w:rsidRPr="00F5382B" w:rsidRDefault="00EE3DF9" w:rsidP="00EE3DF9">
      <w:pPr>
        <w:jc w:val="center"/>
        <w:rPr>
          <w:noProof/>
        </w:rPr>
        <w:sectPr w:rsidR="00EE3DF9" w:rsidRPr="00F5382B" w:rsidSect="00EE3DF9">
          <w:headerReference w:type="even" r:id="rId185"/>
          <w:headerReference w:type="default" r:id="rId186"/>
          <w:footerReference w:type="even" r:id="rId187"/>
          <w:footerReference w:type="default" r:id="rId188"/>
          <w:headerReference w:type="first" r:id="rId189"/>
          <w:footerReference w:type="first" r:id="rId190"/>
          <w:pgSz w:w="16838" w:h="11906" w:orient="landscape"/>
          <w:pgMar w:top="1587" w:right="1020" w:bottom="1701" w:left="1020" w:header="601" w:footer="1077" w:gutter="0"/>
          <w:cols w:space="720"/>
          <w:titlePg/>
          <w:docGrid w:linePitch="326"/>
        </w:sectPr>
      </w:pPr>
    </w:p>
    <w:p w14:paraId="76E48E66" w14:textId="77777777" w:rsidR="00EE3DF9" w:rsidRPr="00F5382B" w:rsidRDefault="00EE3DF9" w:rsidP="00EE3DF9">
      <w:pPr>
        <w:pStyle w:val="AnnexTitle0"/>
        <w:rPr>
          <w:noProof/>
        </w:rPr>
      </w:pPr>
      <w:bookmarkStart w:id="675" w:name="_Toc218767794"/>
      <w:bookmarkStart w:id="676" w:name="_Toc219039568"/>
      <w:bookmarkStart w:id="677" w:name="_Toc219447471"/>
      <w:r w:rsidRPr="00F5382B">
        <w:rPr>
          <w:noProof/>
        </w:rPr>
        <w:t xml:space="preserve">Annex 14: </w:t>
      </w:r>
      <w:bookmarkEnd w:id="674"/>
      <w:r w:rsidRPr="00F5382B">
        <w:rPr>
          <w:noProof/>
        </w:rPr>
        <w:t>Comparison of the options – criteria efficiency, coherence</w:t>
      </w:r>
      <w:bookmarkEnd w:id="675"/>
      <w:bookmarkEnd w:id="676"/>
      <w:bookmarkEnd w:id="677"/>
    </w:p>
    <w:p w14:paraId="3937CF00" w14:textId="77777777" w:rsidR="00EE3DF9" w:rsidRPr="00F5382B" w:rsidRDefault="00EE3DF9" w:rsidP="00D52AD8">
      <w:pPr>
        <w:numPr>
          <w:ilvl w:val="0"/>
          <w:numId w:val="115"/>
        </w:numPr>
        <w:spacing w:after="120"/>
        <w:textAlignment w:val="baseline"/>
        <w:rPr>
          <w:rFonts w:eastAsia="Times New Roman"/>
          <w:b/>
          <w:smallCaps/>
          <w:noProof/>
          <w:lang w:eastAsia="en-IE"/>
        </w:rPr>
      </w:pPr>
      <w:r w:rsidRPr="00F5382B">
        <w:rPr>
          <w:rFonts w:eastAsia="Times New Roman"/>
          <w:b/>
          <w:smallCaps/>
          <w:noProof/>
          <w:lang w:eastAsia="en-IE"/>
        </w:rPr>
        <w:t>Efficiency</w:t>
      </w:r>
    </w:p>
    <w:p w14:paraId="2D0CF4DD" w14:textId="77777777" w:rsidR="00EE3DF9" w:rsidRPr="00F5382B" w:rsidRDefault="00EE3DF9" w:rsidP="00EE3DF9">
      <w:pPr>
        <w:rPr>
          <w:noProof/>
        </w:rPr>
      </w:pPr>
      <w:r w:rsidRPr="00F5382B">
        <w:rPr>
          <w:noProof/>
        </w:rPr>
        <w:t xml:space="preserve">The table below represents a detailed overview of the net value of policy options, where quantitative data is available, and, where this is not the case, it compares in a qualitative expected costs and benefits presented in sections 6.1 and 6.2. The net values are summarized in the table under </w:t>
      </w:r>
      <w:r w:rsidRPr="00F5382B">
        <w:rPr>
          <w:i/>
          <w:iCs/>
          <w:noProof/>
        </w:rPr>
        <w:t>section 7.3</w:t>
      </w:r>
      <w:r w:rsidRPr="00F5382B">
        <w:rPr>
          <w:noProof/>
        </w:rPr>
        <w:t xml:space="preserve"> of the impact assessment, under the section related to compliance costs and cost savings. </w:t>
      </w:r>
    </w:p>
    <w:p w14:paraId="651A8F29" w14:textId="13207871" w:rsidR="00EE3DF9" w:rsidRPr="00F5382B" w:rsidRDefault="00EE3DF9" w:rsidP="00EE3DF9">
      <w:pPr>
        <w:pStyle w:val="Heading5"/>
        <w:rPr>
          <w:noProof/>
        </w:rPr>
      </w:pPr>
      <w:bookmarkStart w:id="678" w:name="_Toc218767826"/>
      <w:r w:rsidRPr="00F5382B">
        <w:rPr>
          <w:noProof/>
        </w:rPr>
        <w:t>Table 3</w:t>
      </w:r>
      <w:r w:rsidR="000475F6">
        <w:rPr>
          <w:noProof/>
        </w:rPr>
        <w:t>3</w:t>
      </w:r>
      <w:r w:rsidRPr="00F5382B">
        <w:rPr>
          <w:noProof/>
        </w:rPr>
        <w:t>: Overview of the net value of policy options</w:t>
      </w:r>
      <w:bookmarkEnd w:id="678"/>
    </w:p>
    <w:p w14:paraId="46F2FFAC" w14:textId="77777777" w:rsidR="00EE3DF9" w:rsidRDefault="00EE3DF9" w:rsidP="00EE3DF9">
      <w:pPr>
        <w:rPr>
          <w:noProof/>
        </w:rPr>
      </w:pPr>
      <w:r w:rsidRPr="00F5382B">
        <w:rPr>
          <w:noProof/>
        </w:rPr>
        <w:t xml:space="preserve">Legend: * broad estimate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1"/>
        <w:gridCol w:w="1136"/>
        <w:gridCol w:w="1142"/>
        <w:gridCol w:w="1142"/>
        <w:gridCol w:w="1142"/>
        <w:gridCol w:w="1142"/>
        <w:gridCol w:w="1142"/>
        <w:gridCol w:w="1142"/>
        <w:gridCol w:w="1142"/>
        <w:gridCol w:w="1142"/>
        <w:gridCol w:w="1142"/>
        <w:gridCol w:w="1149"/>
        <w:gridCol w:w="1140"/>
      </w:tblGrid>
      <w:tr w:rsidR="00F0485A" w:rsidRPr="00F5382B" w14:paraId="62458E77" w14:textId="77777777" w:rsidTr="00641B35">
        <w:trPr>
          <w:trHeight w:val="300"/>
          <w:tblHeader/>
        </w:trPr>
        <w:tc>
          <w:tcPr>
            <w:tcW w:w="369" w:type="pct"/>
            <w:vMerge w:val="restart"/>
            <w:tcBorders>
              <w:top w:val="single" w:sz="6" w:space="0" w:color="auto"/>
              <w:left w:val="single" w:sz="6" w:space="0" w:color="auto"/>
              <w:bottom w:val="single" w:sz="6" w:space="0" w:color="auto"/>
              <w:right w:val="single" w:sz="6" w:space="0" w:color="auto"/>
            </w:tcBorders>
            <w:shd w:val="clear" w:color="auto" w:fill="E7E6E6"/>
            <w:vAlign w:val="center"/>
            <w:hideMark/>
          </w:tcPr>
          <w:p w14:paraId="6B3161A9"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Benefits/Costs</w:t>
            </w:r>
            <w:r w:rsidRPr="00F5382B">
              <w:rPr>
                <w:rFonts w:eastAsia="Times New Roman"/>
                <w:noProof/>
                <w:sz w:val="18"/>
                <w:szCs w:val="18"/>
                <w:lang w:val="en-IE" w:eastAsia="en-IE"/>
              </w:rPr>
              <w:t> </w:t>
            </w:r>
          </w:p>
          <w:p w14:paraId="607C7B8A"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analysis</w:t>
            </w:r>
          </w:p>
        </w:tc>
        <w:tc>
          <w:tcPr>
            <w:tcW w:w="4631" w:type="pct"/>
            <w:gridSpan w:val="12"/>
            <w:tcBorders>
              <w:top w:val="single" w:sz="6" w:space="0" w:color="auto"/>
              <w:left w:val="single" w:sz="6" w:space="0" w:color="auto"/>
              <w:bottom w:val="single" w:sz="6" w:space="0" w:color="auto"/>
              <w:right w:val="single" w:sz="6" w:space="0" w:color="auto"/>
            </w:tcBorders>
            <w:shd w:val="clear" w:color="auto" w:fill="E7E6E6"/>
            <w:vAlign w:val="center"/>
            <w:hideMark/>
          </w:tcPr>
          <w:p w14:paraId="229C53BF"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b/>
                <w:noProof/>
                <w:sz w:val="18"/>
                <w:szCs w:val="18"/>
                <w:lang w:eastAsia="en-IE"/>
              </w:rPr>
              <w:t>Policy options</w:t>
            </w:r>
            <w:r w:rsidRPr="00F5382B">
              <w:rPr>
                <w:rFonts w:eastAsia="Times New Roman"/>
                <w:noProof/>
                <w:sz w:val="18"/>
                <w:szCs w:val="18"/>
                <w:lang w:val="en-IE" w:eastAsia="en-IE"/>
              </w:rPr>
              <w:t> </w:t>
            </w:r>
          </w:p>
        </w:tc>
      </w:tr>
      <w:tr w:rsidR="00F0485A" w:rsidRPr="00F5382B" w14:paraId="49015332" w14:textId="77777777" w:rsidTr="00641B35">
        <w:trPr>
          <w:trHeight w:val="300"/>
          <w:tblHeader/>
        </w:trPr>
        <w:tc>
          <w:tcPr>
            <w:tcW w:w="369" w:type="pct"/>
            <w:vMerge/>
            <w:tcBorders>
              <w:top w:val="single" w:sz="6" w:space="0" w:color="auto"/>
              <w:left w:val="single" w:sz="6" w:space="0" w:color="auto"/>
              <w:bottom w:val="single" w:sz="6" w:space="0" w:color="auto"/>
              <w:right w:val="single" w:sz="6" w:space="0" w:color="auto"/>
            </w:tcBorders>
            <w:vAlign w:val="center"/>
            <w:hideMark/>
          </w:tcPr>
          <w:p w14:paraId="21776165" w14:textId="77777777" w:rsidR="00F0485A" w:rsidRPr="00F5382B" w:rsidRDefault="00F0485A" w:rsidP="00641B35">
            <w:pPr>
              <w:spacing w:after="0"/>
              <w:jc w:val="left"/>
              <w:rPr>
                <w:rFonts w:eastAsia="Times New Roman"/>
                <w:noProof/>
                <w:sz w:val="18"/>
                <w:szCs w:val="18"/>
                <w:lang w:val="en-IE" w:eastAsia="en-IE"/>
              </w:rPr>
            </w:pPr>
          </w:p>
        </w:tc>
        <w:tc>
          <w:tcPr>
            <w:tcW w:w="1156" w:type="pct"/>
            <w:gridSpan w:val="3"/>
            <w:tcBorders>
              <w:top w:val="single" w:sz="6" w:space="0" w:color="auto"/>
              <w:left w:val="single" w:sz="6" w:space="0" w:color="auto"/>
              <w:bottom w:val="single" w:sz="6" w:space="0" w:color="auto"/>
              <w:right w:val="single" w:sz="12" w:space="0" w:color="auto"/>
            </w:tcBorders>
            <w:shd w:val="clear" w:color="auto" w:fill="E7E6E6"/>
            <w:vAlign w:val="center"/>
            <w:hideMark/>
          </w:tcPr>
          <w:p w14:paraId="7BE02453"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ENISA mandate</w:t>
            </w:r>
            <w:r w:rsidRPr="00F5382B">
              <w:rPr>
                <w:rFonts w:eastAsia="Times New Roman"/>
                <w:noProof/>
                <w:sz w:val="18"/>
                <w:szCs w:val="18"/>
                <w:lang w:val="en-IE" w:eastAsia="en-IE"/>
              </w:rPr>
              <w:t> </w:t>
            </w:r>
          </w:p>
        </w:tc>
        <w:tc>
          <w:tcPr>
            <w:tcW w:w="1157" w:type="pct"/>
            <w:gridSpan w:val="3"/>
            <w:tcBorders>
              <w:top w:val="single" w:sz="6" w:space="0" w:color="auto"/>
              <w:left w:val="single" w:sz="6" w:space="0" w:color="auto"/>
              <w:bottom w:val="single" w:sz="6" w:space="0" w:color="auto"/>
              <w:right w:val="single" w:sz="12" w:space="0" w:color="auto"/>
            </w:tcBorders>
            <w:shd w:val="clear" w:color="auto" w:fill="E7E6E6"/>
            <w:vAlign w:val="center"/>
            <w:hideMark/>
          </w:tcPr>
          <w:p w14:paraId="60DE6CAD"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Certification</w:t>
            </w:r>
            <w:r w:rsidRPr="00F5382B">
              <w:rPr>
                <w:rFonts w:eastAsia="Times New Roman"/>
                <w:noProof/>
                <w:sz w:val="18"/>
                <w:szCs w:val="18"/>
                <w:lang w:val="en-IE" w:eastAsia="en-IE"/>
              </w:rPr>
              <w:t> </w:t>
            </w:r>
          </w:p>
        </w:tc>
        <w:tc>
          <w:tcPr>
            <w:tcW w:w="1157" w:type="pct"/>
            <w:gridSpan w:val="3"/>
            <w:tcBorders>
              <w:top w:val="single" w:sz="6" w:space="0" w:color="auto"/>
              <w:left w:val="single" w:sz="12" w:space="0" w:color="auto"/>
              <w:bottom w:val="single" w:sz="6" w:space="0" w:color="auto"/>
              <w:right w:val="single" w:sz="6" w:space="0" w:color="auto"/>
            </w:tcBorders>
            <w:shd w:val="clear" w:color="auto" w:fill="E7E6E6"/>
            <w:vAlign w:val="center"/>
            <w:hideMark/>
          </w:tcPr>
          <w:p w14:paraId="4FFC11AC"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Simplification</w:t>
            </w:r>
            <w:r w:rsidRPr="00F5382B">
              <w:rPr>
                <w:rFonts w:eastAsia="Times New Roman"/>
                <w:noProof/>
                <w:sz w:val="18"/>
                <w:szCs w:val="18"/>
                <w:lang w:val="en-IE" w:eastAsia="en-IE"/>
              </w:rPr>
              <w:t> </w:t>
            </w:r>
          </w:p>
        </w:tc>
        <w:tc>
          <w:tcPr>
            <w:tcW w:w="1160" w:type="pct"/>
            <w:gridSpan w:val="3"/>
            <w:tcBorders>
              <w:top w:val="single" w:sz="6" w:space="0" w:color="auto"/>
              <w:left w:val="single" w:sz="12" w:space="0" w:color="auto"/>
              <w:bottom w:val="single" w:sz="6" w:space="0" w:color="auto"/>
              <w:right w:val="single" w:sz="6" w:space="0" w:color="auto"/>
            </w:tcBorders>
            <w:shd w:val="clear" w:color="auto" w:fill="E7E6E6"/>
            <w:hideMark/>
          </w:tcPr>
          <w:p w14:paraId="143ED1BF"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Supply chain</w:t>
            </w:r>
            <w:r w:rsidRPr="00F5382B">
              <w:rPr>
                <w:rFonts w:eastAsia="Times New Roman"/>
                <w:noProof/>
                <w:sz w:val="18"/>
                <w:szCs w:val="18"/>
                <w:lang w:val="en-IE" w:eastAsia="en-IE"/>
              </w:rPr>
              <w:t> </w:t>
            </w:r>
          </w:p>
        </w:tc>
      </w:tr>
      <w:tr w:rsidR="00F0485A" w:rsidRPr="00F5382B" w14:paraId="2BCE8938" w14:textId="77777777" w:rsidTr="00641B35">
        <w:trPr>
          <w:trHeight w:val="300"/>
          <w:tblHeader/>
        </w:trPr>
        <w:tc>
          <w:tcPr>
            <w:tcW w:w="369" w:type="pct"/>
            <w:vMerge/>
            <w:tcBorders>
              <w:top w:val="single" w:sz="6" w:space="0" w:color="auto"/>
              <w:left w:val="single" w:sz="6" w:space="0" w:color="auto"/>
              <w:bottom w:val="single" w:sz="6" w:space="0" w:color="auto"/>
              <w:right w:val="single" w:sz="6" w:space="0" w:color="auto"/>
            </w:tcBorders>
            <w:vAlign w:val="center"/>
            <w:hideMark/>
          </w:tcPr>
          <w:p w14:paraId="52E17197" w14:textId="77777777" w:rsidR="00F0485A" w:rsidRPr="00F5382B" w:rsidRDefault="00F0485A" w:rsidP="00641B35">
            <w:pPr>
              <w:spacing w:after="0"/>
              <w:jc w:val="left"/>
              <w:rPr>
                <w:rFonts w:eastAsia="Times New Roman"/>
                <w:noProof/>
                <w:sz w:val="18"/>
                <w:szCs w:val="18"/>
                <w:lang w:val="en-IE" w:eastAsia="en-IE"/>
              </w:rPr>
            </w:pPr>
          </w:p>
        </w:tc>
        <w:tc>
          <w:tcPr>
            <w:tcW w:w="384" w:type="pct"/>
            <w:tcBorders>
              <w:top w:val="single" w:sz="6" w:space="0" w:color="auto"/>
              <w:left w:val="single" w:sz="6" w:space="0" w:color="auto"/>
              <w:bottom w:val="single" w:sz="6" w:space="0" w:color="auto"/>
              <w:right w:val="single" w:sz="6" w:space="0" w:color="auto"/>
            </w:tcBorders>
            <w:shd w:val="clear" w:color="auto" w:fill="E7E6E6"/>
            <w:hideMark/>
          </w:tcPr>
          <w:p w14:paraId="2DCF9230"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A.1</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6" w:space="0" w:color="auto"/>
            </w:tcBorders>
            <w:shd w:val="clear" w:color="auto" w:fill="DAE9F7"/>
            <w:hideMark/>
          </w:tcPr>
          <w:p w14:paraId="0F27F73C"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A.</w:t>
            </w:r>
            <w:r w:rsidRPr="00F5382B">
              <w:rPr>
                <w:rFonts w:eastAsia="Times New Roman"/>
                <w:noProof/>
                <w:sz w:val="18"/>
                <w:szCs w:val="18"/>
                <w:shd w:val="clear" w:color="auto" w:fill="DAE9F7"/>
                <w:lang w:eastAsia="en-IE"/>
              </w:rPr>
              <w:t>2 (preferred option)</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shd w:val="clear" w:color="auto" w:fill="E7E6E6"/>
            <w:hideMark/>
          </w:tcPr>
          <w:p w14:paraId="0B446A54"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A.3</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6" w:space="0" w:color="auto"/>
            </w:tcBorders>
            <w:shd w:val="clear" w:color="auto" w:fill="E7E6E6"/>
            <w:hideMark/>
          </w:tcPr>
          <w:p w14:paraId="5AAFCE76"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B.1</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25907CAE"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B.2 (preferred option)</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shd w:val="clear" w:color="auto" w:fill="E7E6E6"/>
            <w:hideMark/>
          </w:tcPr>
          <w:p w14:paraId="330BE3B2"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B.3</w:t>
            </w:r>
            <w:r w:rsidRPr="00F5382B">
              <w:rPr>
                <w:rFonts w:eastAsia="Times New Roman"/>
                <w:noProof/>
                <w:sz w:val="18"/>
                <w:szCs w:val="18"/>
                <w:lang w:val="en-IE" w:eastAsia="en-IE"/>
              </w:rPr>
              <w:t> </w:t>
            </w:r>
          </w:p>
        </w:tc>
        <w:tc>
          <w:tcPr>
            <w:tcW w:w="386" w:type="pct"/>
            <w:tcBorders>
              <w:top w:val="single" w:sz="6" w:space="0" w:color="auto"/>
              <w:left w:val="single" w:sz="12" w:space="0" w:color="auto"/>
              <w:bottom w:val="single" w:sz="6" w:space="0" w:color="auto"/>
              <w:right w:val="single" w:sz="6" w:space="0" w:color="auto"/>
            </w:tcBorders>
            <w:shd w:val="clear" w:color="auto" w:fill="E7E6E6"/>
            <w:hideMark/>
          </w:tcPr>
          <w:p w14:paraId="6A2AFE40"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C.1</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0E68CE3F" w14:textId="77777777" w:rsidR="00F0485A" w:rsidRPr="00F5382B" w:rsidRDefault="00F0485A" w:rsidP="00641B35">
            <w:pPr>
              <w:shd w:val="clear" w:color="auto" w:fill="DEEAF6"/>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C.2 (preferred option)</w:t>
            </w: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shd w:val="clear" w:color="auto" w:fill="E7E6E6"/>
            <w:hideMark/>
          </w:tcPr>
          <w:p w14:paraId="65BCF710"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C.3</w:t>
            </w:r>
            <w:r w:rsidRPr="00F5382B">
              <w:rPr>
                <w:rFonts w:eastAsia="Times New Roman"/>
                <w:noProof/>
                <w:sz w:val="18"/>
                <w:szCs w:val="18"/>
                <w:lang w:val="en-IE" w:eastAsia="en-IE"/>
              </w:rPr>
              <w:t> </w:t>
            </w:r>
          </w:p>
        </w:tc>
        <w:tc>
          <w:tcPr>
            <w:tcW w:w="386" w:type="pct"/>
            <w:tcBorders>
              <w:top w:val="single" w:sz="6" w:space="0" w:color="auto"/>
              <w:left w:val="single" w:sz="12" w:space="0" w:color="auto"/>
              <w:bottom w:val="single" w:sz="6" w:space="0" w:color="auto"/>
              <w:right w:val="single" w:sz="6" w:space="0" w:color="auto"/>
            </w:tcBorders>
            <w:shd w:val="clear" w:color="auto" w:fill="E7E6E6"/>
            <w:hideMark/>
          </w:tcPr>
          <w:p w14:paraId="1D5F1926"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D.1</w:t>
            </w:r>
            <w:r w:rsidRPr="00F5382B">
              <w:rPr>
                <w:rFonts w:eastAsia="Times New Roman"/>
                <w:noProof/>
                <w:sz w:val="18"/>
                <w:szCs w:val="18"/>
                <w:lang w:val="en-IE" w:eastAsia="en-IE"/>
              </w:rPr>
              <w:t> </w:t>
            </w:r>
          </w:p>
        </w:tc>
        <w:tc>
          <w:tcPr>
            <w:tcW w:w="388" w:type="pct"/>
            <w:tcBorders>
              <w:top w:val="single" w:sz="6" w:space="0" w:color="auto"/>
              <w:left w:val="single" w:sz="6" w:space="0" w:color="auto"/>
              <w:bottom w:val="single" w:sz="6" w:space="0" w:color="auto"/>
              <w:right w:val="single" w:sz="6" w:space="0" w:color="auto"/>
            </w:tcBorders>
            <w:shd w:val="clear" w:color="auto" w:fill="E7E6E6"/>
            <w:hideMark/>
          </w:tcPr>
          <w:p w14:paraId="645495B4"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D.2</w:t>
            </w:r>
            <w:r w:rsidRPr="00F5382B">
              <w:rPr>
                <w:rFonts w:eastAsia="Times New Roman"/>
                <w:noProof/>
                <w:sz w:val="18"/>
                <w:szCs w:val="18"/>
                <w:lang w:val="en-IE" w:eastAsia="en-IE"/>
              </w:rPr>
              <w:t> </w:t>
            </w:r>
          </w:p>
          <w:p w14:paraId="1BFFFE7F"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6D31B63"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D.3 (preferred option)</w:t>
            </w:r>
            <w:r w:rsidRPr="00F5382B">
              <w:rPr>
                <w:rFonts w:eastAsia="Times New Roman"/>
                <w:noProof/>
                <w:sz w:val="18"/>
                <w:szCs w:val="18"/>
                <w:lang w:val="en-IE" w:eastAsia="en-IE"/>
              </w:rPr>
              <w:t> </w:t>
            </w:r>
          </w:p>
        </w:tc>
      </w:tr>
      <w:tr w:rsidR="00F0485A" w:rsidRPr="00F5382B" w14:paraId="3081B16B" w14:textId="77777777" w:rsidTr="00641B35">
        <w:trPr>
          <w:trHeight w:val="300"/>
        </w:trPr>
        <w:tc>
          <w:tcPr>
            <w:tcW w:w="5000" w:type="pct"/>
            <w:gridSpan w:val="13"/>
            <w:tcBorders>
              <w:top w:val="single" w:sz="6" w:space="0" w:color="auto"/>
              <w:left w:val="single" w:sz="6" w:space="0" w:color="auto"/>
              <w:bottom w:val="single" w:sz="6" w:space="0" w:color="auto"/>
              <w:right w:val="single" w:sz="6" w:space="0" w:color="auto"/>
            </w:tcBorders>
            <w:shd w:val="clear" w:color="auto" w:fill="D9F2D0"/>
            <w:vAlign w:val="center"/>
            <w:hideMark/>
          </w:tcPr>
          <w:p w14:paraId="2D730488"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b/>
                <w:bCs/>
                <w:noProof/>
                <w:sz w:val="18"/>
                <w:szCs w:val="18"/>
                <w:lang w:eastAsia="en-IE"/>
              </w:rPr>
              <w:t>Citizens</w:t>
            </w:r>
            <w:r w:rsidRPr="00F5382B">
              <w:rPr>
                <w:rFonts w:eastAsia="Times New Roman"/>
                <w:noProof/>
                <w:sz w:val="18"/>
                <w:szCs w:val="18"/>
                <w:lang w:val="en-IE" w:eastAsia="en-IE"/>
              </w:rPr>
              <w:t> </w:t>
            </w:r>
          </w:p>
        </w:tc>
      </w:tr>
      <w:tr w:rsidR="00F0485A" w:rsidRPr="00F5382B" w14:paraId="43236B6F"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hideMark/>
          </w:tcPr>
          <w:p w14:paraId="7A8031CE"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Costs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hideMark/>
          </w:tcPr>
          <w:p w14:paraId="2303A72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AE9F7"/>
            <w:hideMark/>
          </w:tcPr>
          <w:p w14:paraId="5E30F5DC" w14:textId="77777777" w:rsidR="00F0485A" w:rsidRPr="00F5382B" w:rsidRDefault="00F0485A" w:rsidP="00641B35">
            <w:pPr>
              <w:spacing w:after="0"/>
              <w:jc w:val="center"/>
              <w:textAlignment w:val="baseline"/>
              <w:rPr>
                <w:rFonts w:eastAsia="Times New Roman"/>
                <w:noProof/>
                <w:sz w:val="18"/>
                <w:szCs w:val="18"/>
                <w:lang w:eastAsia="en-IE"/>
              </w:rPr>
            </w:pPr>
            <w:r w:rsidRPr="00F5382B">
              <w:rPr>
                <w:rFonts w:eastAsia="Times New Roman"/>
                <w:noProof/>
                <w:sz w:val="18"/>
                <w:szCs w:val="18"/>
                <w:lang w:eastAsia="en-IE"/>
              </w:rPr>
              <w:t>0/-</w:t>
            </w:r>
          </w:p>
          <w:p w14:paraId="1754DF94"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2E11DE66" w14:textId="77777777" w:rsidR="00F0485A" w:rsidRPr="00F5382B" w:rsidRDefault="00F0485A" w:rsidP="00641B35">
            <w:pPr>
              <w:spacing w:after="0"/>
              <w:jc w:val="center"/>
              <w:textAlignment w:val="baseline"/>
              <w:rPr>
                <w:rFonts w:eastAsia="Times New Roman"/>
                <w:noProof/>
                <w:sz w:val="18"/>
                <w:szCs w:val="18"/>
                <w:lang w:eastAsia="en-IE"/>
              </w:rPr>
            </w:pPr>
            <w:r w:rsidRPr="00F5382B">
              <w:rPr>
                <w:rFonts w:eastAsia="Times New Roman"/>
                <w:noProof/>
                <w:sz w:val="18"/>
                <w:szCs w:val="18"/>
                <w:lang w:eastAsia="en-IE"/>
              </w:rPr>
              <w:t>0/-</w:t>
            </w:r>
          </w:p>
          <w:p w14:paraId="7E8DBA47"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hideMark/>
          </w:tcPr>
          <w:p w14:paraId="1E30441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3CB0B11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p w14:paraId="6185D867"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hideMark/>
          </w:tcPr>
          <w:p w14:paraId="66CBD197" w14:textId="77777777" w:rsidR="00F0485A" w:rsidRPr="00F5382B" w:rsidRDefault="00F0485A" w:rsidP="00641B35">
            <w:pPr>
              <w:spacing w:after="0"/>
              <w:ind w:left="400"/>
              <w:contextualSpacing/>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w:t>
            </w:r>
          </w:p>
        </w:tc>
        <w:tc>
          <w:tcPr>
            <w:tcW w:w="386" w:type="pct"/>
            <w:tcBorders>
              <w:top w:val="single" w:sz="6" w:space="0" w:color="auto"/>
              <w:left w:val="single" w:sz="12" w:space="0" w:color="auto"/>
              <w:bottom w:val="single" w:sz="6" w:space="0" w:color="auto"/>
              <w:right w:val="single" w:sz="6" w:space="0" w:color="auto"/>
            </w:tcBorders>
          </w:tcPr>
          <w:p w14:paraId="3434767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tcPr>
          <w:p w14:paraId="5BB12FDB"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12" w:space="0" w:color="auto"/>
            </w:tcBorders>
          </w:tcPr>
          <w:p w14:paraId="3785DE18"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12" w:space="0" w:color="auto"/>
              <w:bottom w:val="single" w:sz="6" w:space="0" w:color="auto"/>
              <w:right w:val="single" w:sz="6" w:space="0" w:color="auto"/>
            </w:tcBorders>
            <w:hideMark/>
          </w:tcPr>
          <w:p w14:paraId="25A60A0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8" w:type="pct"/>
            <w:tcBorders>
              <w:top w:val="single" w:sz="6" w:space="0" w:color="auto"/>
              <w:left w:val="single" w:sz="6" w:space="0" w:color="auto"/>
              <w:bottom w:val="single" w:sz="6" w:space="0" w:color="auto"/>
              <w:right w:val="single" w:sz="6" w:space="0" w:color="auto"/>
            </w:tcBorders>
            <w:hideMark/>
          </w:tcPr>
          <w:p w14:paraId="6DDB50B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w:t>
            </w:r>
          </w:p>
          <w:p w14:paraId="11B4295E"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 xml:space="preserve"> If transferred </w:t>
            </w:r>
            <w:r>
              <w:rPr>
                <w:rFonts w:eastAsia="Times New Roman"/>
                <w:noProof/>
                <w:sz w:val="18"/>
                <w:szCs w:val="18"/>
                <w:lang w:eastAsia="en-IE"/>
              </w:rPr>
              <w:t>(not expected)</w:t>
            </w:r>
            <w:r w:rsidRPr="00A56079">
              <w:rPr>
                <w:rFonts w:eastAsia="Times New Roman"/>
                <w:noProof/>
                <w:sz w:val="18"/>
                <w:szCs w:val="18"/>
                <w:lang w:eastAsia="en-IE"/>
              </w:rPr>
              <w:t xml:space="preserve"> </w:t>
            </w:r>
            <w:r w:rsidRPr="00F5382B">
              <w:rPr>
                <w:rFonts w:eastAsia="Times New Roman"/>
                <w:noProof/>
                <w:sz w:val="18"/>
                <w:szCs w:val="18"/>
                <w:lang w:eastAsia="en-IE"/>
              </w:rPr>
              <w:t xml:space="preserve">: EUR </w:t>
            </w:r>
            <w:r>
              <w:rPr>
                <w:rFonts w:eastAsia="Aptos"/>
                <w:noProof/>
                <w:kern w:val="2"/>
                <w:sz w:val="18"/>
                <w:szCs w:val="18"/>
              </w:rPr>
              <w:t>6.5</w:t>
            </w:r>
            <w:r w:rsidRPr="00A56079">
              <w:rPr>
                <w:rFonts w:eastAsia="Aptos"/>
                <w:noProof/>
                <w:kern w:val="2"/>
                <w:sz w:val="18"/>
                <w:szCs w:val="18"/>
              </w:rPr>
              <w:t xml:space="preserve"> to </w:t>
            </w:r>
            <w:r>
              <w:rPr>
                <w:rFonts w:eastAsia="Aptos"/>
                <w:noProof/>
                <w:kern w:val="2"/>
                <w:sz w:val="18"/>
                <w:szCs w:val="18"/>
              </w:rPr>
              <w:t>8.3</w:t>
            </w:r>
            <w:r w:rsidRPr="00A56079">
              <w:rPr>
                <w:rFonts w:eastAsia="Aptos"/>
                <w:noProof/>
                <w:kern w:val="2"/>
                <w:sz w:val="18"/>
                <w:szCs w:val="18"/>
              </w:rPr>
              <w:t xml:space="preserve"> </w:t>
            </w:r>
            <w:r w:rsidRPr="00F5382B">
              <w:rPr>
                <w:rFonts w:eastAsia="Times New Roman"/>
                <w:noProof/>
                <w:sz w:val="18"/>
                <w:szCs w:val="18"/>
                <w:lang w:eastAsia="en-IE"/>
              </w:rPr>
              <w:t>per mobile subscriber</w:t>
            </w:r>
            <w:r w:rsidRPr="00F5382B">
              <w:rPr>
                <w:rFonts w:eastAsia="Times New Roman"/>
                <w:noProof/>
                <w:sz w:val="18"/>
                <w:szCs w:val="18"/>
                <w:lang w:val="en-IE" w:eastAsia="en-IE"/>
              </w:rPr>
              <w:t xml:space="preserve">  </w:t>
            </w:r>
            <w:r>
              <w:rPr>
                <w:rFonts w:eastAsia="Times New Roman"/>
                <w:noProof/>
                <w:sz w:val="18"/>
                <w:szCs w:val="18"/>
                <w:lang w:val="en-IE" w:eastAsia="en-IE"/>
              </w:rPr>
              <w:t xml:space="preserve">per year </w:t>
            </w:r>
            <w:r w:rsidRPr="00F5382B">
              <w:rPr>
                <w:rFonts w:eastAsia="Times New Roman"/>
                <w:noProof/>
                <w:sz w:val="18"/>
                <w:szCs w:val="18"/>
                <w:lang w:val="en-IE" w:eastAsia="en-IE"/>
              </w:rPr>
              <w:t xml:space="preserve">for </w:t>
            </w:r>
            <w:r>
              <w:rPr>
                <w:rFonts w:eastAsia="Times New Roman"/>
                <w:noProof/>
                <w:sz w:val="18"/>
                <w:szCs w:val="18"/>
                <w:lang w:val="en-IE" w:eastAsia="en-IE"/>
              </w:rPr>
              <w:t>3</w:t>
            </w:r>
            <w:r w:rsidRPr="00F5382B">
              <w:rPr>
                <w:rFonts w:eastAsia="Times New Roman"/>
                <w:noProof/>
                <w:sz w:val="18"/>
                <w:szCs w:val="18"/>
                <w:lang w:val="en-IE" w:eastAsia="en-IE"/>
              </w:rPr>
              <w:t xml:space="preserve"> years</w:t>
            </w:r>
            <w:r>
              <w:rPr>
                <w:rFonts w:eastAsia="Times New Roman"/>
                <w:noProof/>
                <w:sz w:val="18"/>
                <w:szCs w:val="18"/>
                <w:lang w:val="en-IE" w:eastAsia="en-IE"/>
              </w:rPr>
              <w:t xml:space="preserve">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7A3A722" w14:textId="77777777" w:rsidR="00F0485A" w:rsidRPr="00F5382B" w:rsidRDefault="00F0485A" w:rsidP="00641B35">
            <w:pPr>
              <w:spacing w:after="0"/>
              <w:ind w:left="720"/>
              <w:textAlignment w:val="baseline"/>
              <w:rPr>
                <w:rFonts w:eastAsia="Times New Roman"/>
                <w:noProof/>
                <w:sz w:val="18"/>
                <w:szCs w:val="18"/>
                <w:lang w:val="en-IE" w:eastAsia="en-IE"/>
              </w:rPr>
            </w:pPr>
            <w:r w:rsidRPr="00F5382B">
              <w:rPr>
                <w:rFonts w:eastAsia="Times New Roman"/>
                <w:noProof/>
                <w:sz w:val="18"/>
                <w:szCs w:val="18"/>
                <w:lang w:eastAsia="en-IE"/>
              </w:rPr>
              <w:t>- -</w:t>
            </w:r>
            <w:r w:rsidRPr="00F5382B">
              <w:rPr>
                <w:rFonts w:eastAsia="Times New Roman"/>
                <w:noProof/>
                <w:sz w:val="18"/>
                <w:szCs w:val="18"/>
                <w:lang w:val="en-IE" w:eastAsia="en-IE"/>
              </w:rPr>
              <w:t> </w:t>
            </w:r>
          </w:p>
          <w:p w14:paraId="6C4F8EBA"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 &lt; D2</w:t>
            </w:r>
          </w:p>
        </w:tc>
      </w:tr>
      <w:tr w:rsidR="00F0485A" w:rsidRPr="00F5382B" w14:paraId="7E422D6A"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tcPr>
          <w:p w14:paraId="40DD5086"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Benefits</w:t>
            </w:r>
          </w:p>
        </w:tc>
        <w:tc>
          <w:tcPr>
            <w:tcW w:w="384" w:type="pct"/>
            <w:tcBorders>
              <w:top w:val="single" w:sz="6" w:space="0" w:color="auto"/>
              <w:left w:val="single" w:sz="6" w:space="0" w:color="auto"/>
              <w:bottom w:val="single" w:sz="6" w:space="0" w:color="auto"/>
              <w:right w:val="single" w:sz="6" w:space="0" w:color="auto"/>
            </w:tcBorders>
          </w:tcPr>
          <w:p w14:paraId="0566FE4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AE9F7"/>
          </w:tcPr>
          <w:p w14:paraId="5B36666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tcPr>
          <w:p w14:paraId="510256A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hideMark/>
          </w:tcPr>
          <w:p w14:paraId="61C22B9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710F162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hideMark/>
          </w:tcPr>
          <w:p w14:paraId="6AD2796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12" w:space="0" w:color="auto"/>
              <w:bottom w:val="single" w:sz="6" w:space="0" w:color="auto"/>
              <w:right w:val="single" w:sz="6" w:space="0" w:color="auto"/>
            </w:tcBorders>
            <w:hideMark/>
          </w:tcPr>
          <w:p w14:paraId="2788B2D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241F27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12" w:space="0" w:color="auto"/>
            </w:tcBorders>
            <w:hideMark/>
          </w:tcPr>
          <w:p w14:paraId="7700A66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12" w:space="0" w:color="auto"/>
              <w:bottom w:val="single" w:sz="6" w:space="0" w:color="auto"/>
              <w:right w:val="single" w:sz="6" w:space="0" w:color="auto"/>
            </w:tcBorders>
          </w:tcPr>
          <w:p w14:paraId="6EFDE848"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8" w:type="pct"/>
            <w:tcBorders>
              <w:top w:val="single" w:sz="6" w:space="0" w:color="auto"/>
              <w:left w:val="single" w:sz="6" w:space="0" w:color="auto"/>
              <w:bottom w:val="single" w:sz="6" w:space="0" w:color="auto"/>
              <w:right w:val="single" w:sz="6" w:space="0" w:color="auto"/>
            </w:tcBorders>
          </w:tcPr>
          <w:p w14:paraId="1DC50B0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2B4471D8"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DEEAF6"/>
          </w:tcPr>
          <w:p w14:paraId="7BD039B1"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r>
      <w:tr w:rsidR="00F0485A" w:rsidRPr="00F5382B" w14:paraId="14F76081"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shd w:val="clear" w:color="auto" w:fill="D9F2D0"/>
            <w:hideMark/>
          </w:tcPr>
          <w:p w14:paraId="4BD52DEC"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b/>
                <w:noProof/>
                <w:sz w:val="18"/>
                <w:szCs w:val="18"/>
                <w:lang w:eastAsia="en-IE"/>
              </w:rPr>
              <w:t>Net Value (5 years)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shd w:val="clear" w:color="auto" w:fill="D9F2D0"/>
            <w:hideMark/>
          </w:tcPr>
          <w:p w14:paraId="4C4F9EA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9F2D0"/>
            <w:hideMark/>
          </w:tcPr>
          <w:p w14:paraId="258690C3"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12" w:space="0" w:color="auto"/>
            </w:tcBorders>
            <w:shd w:val="clear" w:color="auto" w:fill="D9F2D0"/>
            <w:hideMark/>
          </w:tcPr>
          <w:p w14:paraId="366C5AB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9F2D0"/>
            <w:hideMark/>
          </w:tcPr>
          <w:p w14:paraId="75E1CC97"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9F2D0"/>
            <w:hideMark/>
          </w:tcPr>
          <w:p w14:paraId="7272A51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D9F2D0"/>
            <w:hideMark/>
          </w:tcPr>
          <w:p w14:paraId="3333E39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12" w:space="0" w:color="auto"/>
              <w:bottom w:val="single" w:sz="6" w:space="0" w:color="auto"/>
              <w:right w:val="single" w:sz="6" w:space="0" w:color="auto"/>
            </w:tcBorders>
            <w:shd w:val="clear" w:color="auto" w:fill="D9F2D0"/>
            <w:hideMark/>
          </w:tcPr>
          <w:p w14:paraId="68AE939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9F2D0"/>
            <w:hideMark/>
          </w:tcPr>
          <w:p w14:paraId="0C60ADC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12" w:space="0" w:color="auto"/>
            </w:tcBorders>
            <w:shd w:val="clear" w:color="auto" w:fill="D9F2D0"/>
            <w:hideMark/>
          </w:tcPr>
          <w:p w14:paraId="73F734F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12" w:space="0" w:color="auto"/>
              <w:bottom w:val="single" w:sz="6" w:space="0" w:color="auto"/>
              <w:right w:val="single" w:sz="6" w:space="0" w:color="auto"/>
            </w:tcBorders>
            <w:shd w:val="clear" w:color="auto" w:fill="D9F2D0"/>
            <w:hideMark/>
          </w:tcPr>
          <w:p w14:paraId="6DB7856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8" w:type="pct"/>
            <w:tcBorders>
              <w:top w:val="single" w:sz="6" w:space="0" w:color="auto"/>
              <w:left w:val="single" w:sz="6" w:space="0" w:color="auto"/>
              <w:bottom w:val="single" w:sz="6" w:space="0" w:color="auto"/>
              <w:right w:val="single" w:sz="6" w:space="0" w:color="auto"/>
            </w:tcBorders>
            <w:shd w:val="clear" w:color="auto" w:fill="D9F2D0"/>
            <w:hideMark/>
          </w:tcPr>
          <w:p w14:paraId="3485979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9F2D0"/>
            <w:hideMark/>
          </w:tcPr>
          <w:p w14:paraId="04142C6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r>
      <w:tr w:rsidR="00F0485A" w:rsidRPr="00F5382B" w14:paraId="7065D37F" w14:textId="77777777" w:rsidTr="00641B35">
        <w:trPr>
          <w:trHeight w:val="300"/>
        </w:trPr>
        <w:tc>
          <w:tcPr>
            <w:tcW w:w="5000" w:type="pct"/>
            <w:gridSpan w:val="13"/>
            <w:tcBorders>
              <w:top w:val="single" w:sz="6" w:space="0" w:color="auto"/>
              <w:left w:val="single" w:sz="6" w:space="0" w:color="auto"/>
              <w:bottom w:val="single" w:sz="6" w:space="0" w:color="auto"/>
              <w:right w:val="single" w:sz="6" w:space="0" w:color="auto"/>
            </w:tcBorders>
            <w:shd w:val="clear" w:color="auto" w:fill="FAE2D5"/>
            <w:hideMark/>
          </w:tcPr>
          <w:p w14:paraId="713DF17A"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b/>
                <w:bCs/>
                <w:noProof/>
                <w:sz w:val="18"/>
                <w:szCs w:val="18"/>
                <w:lang w:eastAsia="en-IE"/>
              </w:rPr>
              <w:t>Businesses</w:t>
            </w:r>
          </w:p>
        </w:tc>
      </w:tr>
      <w:tr w:rsidR="00F0485A" w:rsidRPr="00F5382B" w14:paraId="2B4F6EE0"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hideMark/>
          </w:tcPr>
          <w:p w14:paraId="0D6FAAD9"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Costs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hideMark/>
          </w:tcPr>
          <w:p w14:paraId="0FF9F61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0363819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p w14:paraId="1B703E07"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3C084BCA"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p w14:paraId="25505588"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hideMark/>
          </w:tcPr>
          <w:p w14:paraId="15EE116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691DA14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p w14:paraId="30C24332"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2798936E"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w:t>
            </w:r>
          </w:p>
          <w:p w14:paraId="235CBAA1" w14:textId="77777777" w:rsidR="00F0485A" w:rsidRPr="00F5382B" w:rsidRDefault="00F0485A" w:rsidP="00641B35">
            <w:pPr>
              <w:spacing w:after="0"/>
              <w:jc w:val="center"/>
              <w:textAlignment w:val="baseline"/>
              <w:rPr>
                <w:rFonts w:eastAsia="Times New Roman"/>
                <w:noProof/>
                <w:sz w:val="18"/>
                <w:szCs w:val="18"/>
                <w:lang w:val="en-IE" w:eastAsia="en-IE"/>
              </w:rPr>
            </w:pPr>
          </w:p>
          <w:p w14:paraId="377079E5"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xml:space="preserve">- </w:t>
            </w:r>
            <w:r w:rsidRPr="00F5382B">
              <w:rPr>
                <w:rFonts w:eastAsia="Times New Roman"/>
                <w:noProof/>
                <w:sz w:val="18"/>
                <w:szCs w:val="18"/>
                <w:lang w:val="en-IE" w:eastAsia="en-IE"/>
              </w:rPr>
              <w:t>EUR 501 M (one-off)</w:t>
            </w:r>
          </w:p>
          <w:p w14:paraId="71012400" w14:textId="77777777" w:rsidR="00F0485A" w:rsidRPr="00F5382B" w:rsidRDefault="00F0485A" w:rsidP="00641B35">
            <w:pPr>
              <w:spacing w:after="0"/>
              <w:jc w:val="center"/>
              <w:textAlignment w:val="baseline"/>
              <w:rPr>
                <w:rFonts w:eastAsia="Times New Roman"/>
                <w:b/>
                <w:bCs/>
                <w:noProof/>
                <w:sz w:val="18"/>
                <w:szCs w:val="18"/>
                <w:lang w:val="en-IE" w:eastAsia="en-IE"/>
              </w:rPr>
            </w:pPr>
          </w:p>
        </w:tc>
        <w:tc>
          <w:tcPr>
            <w:tcW w:w="386" w:type="pct"/>
            <w:tcBorders>
              <w:top w:val="single" w:sz="6" w:space="0" w:color="auto"/>
              <w:left w:val="single" w:sz="12" w:space="0" w:color="auto"/>
              <w:bottom w:val="single" w:sz="6" w:space="0" w:color="auto"/>
              <w:right w:val="single" w:sz="6" w:space="0" w:color="auto"/>
            </w:tcBorders>
            <w:hideMark/>
          </w:tcPr>
          <w:p w14:paraId="53CEFDB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6E8876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61A0965F"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68B5ADA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 EUR 5,2n bn</w:t>
            </w:r>
          </w:p>
          <w:p w14:paraId="1CD4A6A8" w14:textId="77777777" w:rsidR="00F0485A" w:rsidRPr="00F5382B" w:rsidRDefault="00F0485A" w:rsidP="00641B35">
            <w:pPr>
              <w:spacing w:after="0"/>
              <w:jc w:val="center"/>
              <w:textAlignment w:val="baseline"/>
              <w:rPr>
                <w:rFonts w:eastAsia="Times New Roman"/>
                <w:noProof/>
                <w:sz w:val="18"/>
                <w:szCs w:val="18"/>
                <w:lang w:val="en-IE" w:eastAsia="en-IE"/>
              </w:rPr>
            </w:pPr>
          </w:p>
          <w:p w14:paraId="250A4896" w14:textId="77777777" w:rsidR="00F0485A" w:rsidRPr="00F5382B" w:rsidRDefault="00F0485A" w:rsidP="00641B35">
            <w:pPr>
              <w:spacing w:after="0"/>
              <w:jc w:val="center"/>
              <w:textAlignment w:val="baseline"/>
              <w:rPr>
                <w:rFonts w:eastAsia="Times New Roman"/>
                <w:noProof/>
                <w:sz w:val="18"/>
                <w:szCs w:val="18"/>
                <w:lang w:val="en-IE" w:eastAsia="en-IE"/>
              </w:rPr>
            </w:pPr>
          </w:p>
          <w:p w14:paraId="168F55E5"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12" w:space="0" w:color="auto"/>
              <w:bottom w:val="single" w:sz="6" w:space="0" w:color="auto"/>
              <w:right w:val="single" w:sz="6" w:space="0" w:color="auto"/>
            </w:tcBorders>
            <w:hideMark/>
          </w:tcPr>
          <w:p w14:paraId="13DEFCE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8" w:type="pct"/>
            <w:tcBorders>
              <w:top w:val="single" w:sz="6" w:space="0" w:color="auto"/>
              <w:left w:val="single" w:sz="6" w:space="0" w:color="auto"/>
              <w:bottom w:val="single" w:sz="6" w:space="0" w:color="auto"/>
              <w:right w:val="single" w:sz="6" w:space="0" w:color="auto"/>
            </w:tcBorders>
            <w:hideMark/>
          </w:tcPr>
          <w:p w14:paraId="6C98BAB3"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 xml:space="preserve"> -</w:t>
            </w:r>
            <w:r>
              <w:rPr>
                <w:rFonts w:eastAsia="Times New Roman"/>
                <w:b/>
                <w:bCs/>
                <w:noProof/>
                <w:sz w:val="18"/>
                <w:szCs w:val="18"/>
                <w:lang w:eastAsia="en-IE"/>
              </w:rPr>
              <w:t>3.4</w:t>
            </w:r>
            <w:r w:rsidRPr="00F5382B">
              <w:rPr>
                <w:rFonts w:eastAsia="Times New Roman"/>
                <w:b/>
                <w:bCs/>
                <w:noProof/>
                <w:sz w:val="18"/>
                <w:szCs w:val="18"/>
                <w:lang w:eastAsia="en-IE"/>
              </w:rPr>
              <w:t xml:space="preserve"> bn  to </w:t>
            </w:r>
            <w:r>
              <w:rPr>
                <w:rFonts w:eastAsia="Times New Roman"/>
                <w:b/>
                <w:bCs/>
                <w:noProof/>
                <w:sz w:val="18"/>
                <w:szCs w:val="18"/>
                <w:lang w:eastAsia="en-IE"/>
              </w:rPr>
              <w:t>4</w:t>
            </w:r>
            <w:r w:rsidRPr="00F5382B">
              <w:rPr>
                <w:rFonts w:eastAsia="Times New Roman"/>
                <w:b/>
                <w:bCs/>
                <w:noProof/>
                <w:sz w:val="18"/>
                <w:szCs w:val="18"/>
                <w:lang w:eastAsia="en-IE"/>
              </w:rPr>
              <w:t>.</w:t>
            </w:r>
            <w:r>
              <w:rPr>
                <w:rFonts w:eastAsia="Times New Roman"/>
                <w:b/>
                <w:bCs/>
                <w:noProof/>
                <w:sz w:val="18"/>
                <w:szCs w:val="18"/>
                <w:lang w:eastAsia="en-IE"/>
              </w:rPr>
              <w:t>3</w:t>
            </w:r>
            <w:r w:rsidRPr="00F5382B">
              <w:rPr>
                <w:rFonts w:eastAsia="Times New Roman"/>
                <w:b/>
                <w:bCs/>
                <w:noProof/>
                <w:sz w:val="18"/>
                <w:szCs w:val="18"/>
                <w:lang w:eastAsia="en-IE"/>
              </w:rPr>
              <w:t xml:space="preserve"> bn EUR per year </w:t>
            </w:r>
            <w:r>
              <w:rPr>
                <w:rFonts w:eastAsia="Times New Roman"/>
                <w:noProof/>
                <w:sz w:val="18"/>
                <w:szCs w:val="18"/>
                <w:lang w:eastAsia="en-IE"/>
              </w:rPr>
              <w:t>for 3 years</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3A3F593E"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&lt; D2</w:t>
            </w:r>
          </w:p>
        </w:tc>
      </w:tr>
      <w:tr w:rsidR="00F0485A" w:rsidRPr="00F5382B" w14:paraId="77D3C97C"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tcPr>
          <w:p w14:paraId="215D4891"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Benefits</w:t>
            </w:r>
          </w:p>
        </w:tc>
        <w:tc>
          <w:tcPr>
            <w:tcW w:w="384" w:type="pct"/>
            <w:tcBorders>
              <w:top w:val="single" w:sz="6" w:space="0" w:color="auto"/>
              <w:left w:val="single" w:sz="6" w:space="0" w:color="auto"/>
              <w:bottom w:val="single" w:sz="6" w:space="0" w:color="auto"/>
              <w:right w:val="single" w:sz="6" w:space="0" w:color="auto"/>
            </w:tcBorders>
          </w:tcPr>
          <w:p w14:paraId="12B5973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EEAF6"/>
          </w:tcPr>
          <w:p w14:paraId="5B766607"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683506F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eastAsia="en-IE"/>
              </w:rPr>
              <w:t>EUR 3.7 to 4.4 bn over five years *</w:t>
            </w:r>
          </w:p>
        </w:tc>
        <w:tc>
          <w:tcPr>
            <w:tcW w:w="386" w:type="pct"/>
            <w:tcBorders>
              <w:top w:val="single" w:sz="6" w:space="0" w:color="auto"/>
              <w:left w:val="single" w:sz="6" w:space="0" w:color="auto"/>
              <w:bottom w:val="single" w:sz="6" w:space="0" w:color="auto"/>
              <w:right w:val="single" w:sz="12" w:space="0" w:color="auto"/>
            </w:tcBorders>
          </w:tcPr>
          <w:p w14:paraId="55590533"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53295CB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eastAsia="en-IE"/>
              </w:rPr>
              <w:t xml:space="preserve">EUR 3.7 to 4.4 bn over five years * </w:t>
            </w:r>
          </w:p>
        </w:tc>
        <w:tc>
          <w:tcPr>
            <w:tcW w:w="386" w:type="pct"/>
            <w:tcBorders>
              <w:top w:val="single" w:sz="6" w:space="0" w:color="auto"/>
              <w:left w:val="single" w:sz="6" w:space="0" w:color="auto"/>
              <w:bottom w:val="single" w:sz="6" w:space="0" w:color="auto"/>
              <w:right w:val="single" w:sz="6" w:space="0" w:color="auto"/>
            </w:tcBorders>
            <w:hideMark/>
          </w:tcPr>
          <w:p w14:paraId="74D643C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p w14:paraId="5AF3E437" w14:textId="77777777" w:rsidR="00F0485A" w:rsidRPr="00F5382B" w:rsidRDefault="00F0485A" w:rsidP="00641B35">
            <w:pPr>
              <w:spacing w:after="0"/>
              <w:jc w:val="left"/>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5986FC9A"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hideMark/>
          </w:tcPr>
          <w:p w14:paraId="2A958BF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46286644" w14:textId="77777777" w:rsidR="00F0485A" w:rsidRPr="00F5382B" w:rsidRDefault="00F0485A" w:rsidP="00641B35">
            <w:pPr>
              <w:spacing w:after="0"/>
              <w:jc w:val="left"/>
              <w:textAlignment w:val="baseline"/>
              <w:rPr>
                <w:rFonts w:eastAsia="Times New Roman"/>
                <w:noProof/>
                <w:sz w:val="18"/>
                <w:szCs w:val="18"/>
                <w:lang w:val="en-IE" w:eastAsia="en-IE"/>
              </w:rPr>
            </w:pPr>
          </w:p>
        </w:tc>
        <w:tc>
          <w:tcPr>
            <w:tcW w:w="386" w:type="pct"/>
            <w:tcBorders>
              <w:top w:val="single" w:sz="6" w:space="0" w:color="auto"/>
              <w:left w:val="single" w:sz="12" w:space="0" w:color="auto"/>
              <w:bottom w:val="single" w:sz="6" w:space="0" w:color="auto"/>
              <w:right w:val="single" w:sz="6" w:space="0" w:color="auto"/>
            </w:tcBorders>
            <w:hideMark/>
          </w:tcPr>
          <w:p w14:paraId="16E8142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6058C5CC" w14:textId="67A0936D" w:rsidR="00F0485A" w:rsidRPr="00F5382B" w:rsidRDefault="00F0485A" w:rsidP="00641B35">
            <w:pPr>
              <w:spacing w:after="0"/>
              <w:jc w:val="center"/>
              <w:textAlignment w:val="baseline"/>
              <w:rPr>
                <w:rFonts w:eastAsia="Times New Roman"/>
                <w:noProof/>
                <w:sz w:val="18"/>
                <w:szCs w:val="18"/>
                <w:lang w:val="en-IE" w:eastAsia="en-IE"/>
              </w:rPr>
            </w:pPr>
            <w:r w:rsidRPr="00EE3DF9">
              <w:rPr>
                <w:rFonts w:eastAsia="Aptos"/>
                <w:noProof/>
                <w:kern w:val="2"/>
                <w:sz w:val="18"/>
                <w:szCs w:val="18"/>
                <w:lang w:val="en-US"/>
              </w:rPr>
              <w:t>EUR 1</w:t>
            </w:r>
            <w:r>
              <w:rPr>
                <w:rFonts w:eastAsia="Aptos"/>
                <w:noProof/>
                <w:kern w:val="2"/>
                <w:sz w:val="18"/>
                <w:szCs w:val="18"/>
                <w:lang w:val="en-US"/>
              </w:rPr>
              <w:t>4</w:t>
            </w:r>
            <w:r w:rsidRPr="00EE3DF9">
              <w:rPr>
                <w:rFonts w:eastAsia="Times New Roman"/>
                <w:noProof/>
                <w:kern w:val="2"/>
                <w:sz w:val="18"/>
                <w:szCs w:val="18"/>
                <w:lang w:val="en-US" w:eastAsia="en-GB"/>
              </w:rPr>
              <w:t>.</w:t>
            </w:r>
            <w:r>
              <w:rPr>
                <w:rFonts w:eastAsia="Aptos"/>
                <w:noProof/>
                <w:kern w:val="2"/>
                <w:sz w:val="18"/>
                <w:szCs w:val="18"/>
                <w:lang w:val="en-US"/>
              </w:rPr>
              <w:t>6</w:t>
            </w:r>
            <w:r>
              <w:rPr>
                <w:rFonts w:eastAsia="Times New Roman"/>
                <w:noProof/>
                <w:kern w:val="2"/>
                <w:sz w:val="18"/>
                <w:szCs w:val="18"/>
                <w:lang w:val="en-US" w:eastAsia="en-GB"/>
              </w:rPr>
              <w:t xml:space="preserve"> </w:t>
            </w:r>
            <w:r w:rsidRPr="00EE3DF9">
              <w:rPr>
                <w:rFonts w:eastAsia="Times New Roman"/>
                <w:noProof/>
                <w:kern w:val="2"/>
                <w:sz w:val="18"/>
                <w:szCs w:val="18"/>
                <w:lang w:val="en-US" w:eastAsia="en-GB"/>
              </w:rPr>
              <w:t>bn</w:t>
            </w:r>
          </w:p>
        </w:tc>
        <w:tc>
          <w:tcPr>
            <w:tcW w:w="386" w:type="pct"/>
            <w:tcBorders>
              <w:top w:val="single" w:sz="6" w:space="0" w:color="auto"/>
              <w:left w:val="single" w:sz="6" w:space="0" w:color="auto"/>
              <w:bottom w:val="single" w:sz="6" w:space="0" w:color="auto"/>
              <w:right w:val="single" w:sz="12" w:space="0" w:color="auto"/>
            </w:tcBorders>
            <w:hideMark/>
          </w:tcPr>
          <w:p w14:paraId="48A90976" w14:textId="77777777" w:rsidR="00F0485A" w:rsidRPr="00EE3DF9" w:rsidRDefault="00F0485A" w:rsidP="00641B35">
            <w:pPr>
              <w:spacing w:after="0"/>
              <w:jc w:val="center"/>
              <w:textAlignment w:val="baseline"/>
              <w:rPr>
                <w:rFonts w:eastAsia="Times New Roman"/>
                <w:noProof/>
                <w:kern w:val="2"/>
                <w:sz w:val="18"/>
                <w:szCs w:val="18"/>
                <w:lang w:val="en-US" w:eastAsia="en-GB"/>
              </w:rPr>
            </w:pPr>
            <w:r w:rsidRPr="00EE3DF9">
              <w:rPr>
                <w:rFonts w:eastAsia="Times New Roman"/>
                <w:noProof/>
                <w:kern w:val="2"/>
                <w:sz w:val="18"/>
                <w:szCs w:val="18"/>
                <w:lang w:val="en-US" w:eastAsia="en-GB"/>
              </w:rPr>
              <w:t>EUR 37.1 bn</w:t>
            </w:r>
          </w:p>
          <w:p w14:paraId="17DCD25B" w14:textId="77777777" w:rsidR="00F0485A" w:rsidRPr="00EE3DF9" w:rsidRDefault="00F0485A" w:rsidP="00641B35">
            <w:pPr>
              <w:spacing w:after="0"/>
              <w:jc w:val="center"/>
              <w:textAlignment w:val="baseline"/>
              <w:rPr>
                <w:rFonts w:eastAsia="Times New Roman"/>
                <w:noProof/>
                <w:kern w:val="2"/>
                <w:sz w:val="18"/>
                <w:szCs w:val="18"/>
                <w:lang w:val="en-US" w:eastAsia="en-GB"/>
              </w:rPr>
            </w:pPr>
          </w:p>
        </w:tc>
        <w:tc>
          <w:tcPr>
            <w:tcW w:w="386" w:type="pct"/>
            <w:tcBorders>
              <w:top w:val="single" w:sz="6" w:space="0" w:color="auto"/>
              <w:left w:val="single" w:sz="12" w:space="0" w:color="auto"/>
              <w:bottom w:val="single" w:sz="6" w:space="0" w:color="auto"/>
              <w:right w:val="single" w:sz="6" w:space="0" w:color="auto"/>
            </w:tcBorders>
            <w:hideMark/>
          </w:tcPr>
          <w:p w14:paraId="0D7EA26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w:t>
            </w:r>
          </w:p>
        </w:tc>
        <w:tc>
          <w:tcPr>
            <w:tcW w:w="388" w:type="pct"/>
            <w:tcBorders>
              <w:top w:val="single" w:sz="6" w:space="0" w:color="auto"/>
              <w:left w:val="single" w:sz="6" w:space="0" w:color="auto"/>
              <w:bottom w:val="single" w:sz="6" w:space="0" w:color="auto"/>
              <w:right w:val="single" w:sz="6" w:space="0" w:color="auto"/>
            </w:tcBorders>
            <w:hideMark/>
          </w:tcPr>
          <w:p w14:paraId="4E295635"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EUR 2bn /year</w:t>
            </w:r>
          </w:p>
          <w:p w14:paraId="22DD14B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eastAsia="en-IE"/>
              </w:rPr>
              <w:t>++</w:t>
            </w:r>
          </w:p>
          <w:p w14:paraId="16703B59"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6AA185C5" w14:textId="77777777" w:rsidR="00F0485A" w:rsidRPr="00F5382B" w:rsidRDefault="00F0485A" w:rsidP="00641B35">
            <w:pPr>
              <w:spacing w:after="0"/>
              <w:jc w:val="center"/>
              <w:textAlignment w:val="baseline"/>
              <w:rPr>
                <w:rFonts w:eastAsia="Times New Roman"/>
                <w:noProof/>
                <w:sz w:val="18"/>
                <w:szCs w:val="18"/>
                <w:lang w:eastAsia="en-IE"/>
              </w:rPr>
            </w:pPr>
            <w:r w:rsidRPr="00F5382B">
              <w:rPr>
                <w:rFonts w:eastAsia="Times New Roman"/>
                <w:noProof/>
                <w:sz w:val="18"/>
                <w:szCs w:val="18"/>
                <w:lang w:eastAsia="en-IE"/>
              </w:rPr>
              <w:t>&gt;D2</w:t>
            </w:r>
          </w:p>
          <w:p w14:paraId="5195B87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eastAsia="en-IE"/>
              </w:rPr>
              <w:t>+++</w:t>
            </w:r>
          </w:p>
        </w:tc>
      </w:tr>
      <w:tr w:rsidR="00F0485A" w:rsidRPr="00F5382B" w14:paraId="0257A796"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shd w:val="clear" w:color="auto" w:fill="FAE2D5"/>
            <w:hideMark/>
          </w:tcPr>
          <w:p w14:paraId="12E582BA"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b/>
                <w:bCs/>
                <w:noProof/>
                <w:sz w:val="18"/>
                <w:szCs w:val="18"/>
                <w:lang w:eastAsia="en-IE"/>
              </w:rPr>
              <w:t>Net Value (5 years)</w:t>
            </w:r>
          </w:p>
        </w:tc>
        <w:tc>
          <w:tcPr>
            <w:tcW w:w="384" w:type="pct"/>
            <w:tcBorders>
              <w:top w:val="single" w:sz="6" w:space="0" w:color="auto"/>
              <w:left w:val="single" w:sz="6" w:space="0" w:color="auto"/>
              <w:bottom w:val="single" w:sz="6" w:space="0" w:color="auto"/>
              <w:right w:val="single" w:sz="6" w:space="0" w:color="auto"/>
            </w:tcBorders>
            <w:shd w:val="clear" w:color="auto" w:fill="FAE2D5"/>
            <w:hideMark/>
          </w:tcPr>
          <w:p w14:paraId="09D4C39C"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FAE2D5"/>
            <w:hideMark/>
          </w:tcPr>
          <w:p w14:paraId="4260E754"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FAE2D5"/>
            <w:hideMark/>
          </w:tcPr>
          <w:p w14:paraId="1A974913"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FAE2D5"/>
            <w:hideMark/>
          </w:tcPr>
          <w:p w14:paraId="38DB2349"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FAE2D5"/>
            <w:hideMark/>
          </w:tcPr>
          <w:p w14:paraId="49E5890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FAE2D5"/>
            <w:hideMark/>
          </w:tcPr>
          <w:p w14:paraId="05C5AAE8"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EUR 501 M (one-off)</w:t>
            </w:r>
          </w:p>
        </w:tc>
        <w:tc>
          <w:tcPr>
            <w:tcW w:w="386" w:type="pct"/>
            <w:tcBorders>
              <w:top w:val="single" w:sz="6" w:space="0" w:color="auto"/>
              <w:left w:val="single" w:sz="12" w:space="0" w:color="auto"/>
              <w:bottom w:val="single" w:sz="6" w:space="0" w:color="auto"/>
              <w:right w:val="single" w:sz="6" w:space="0" w:color="auto"/>
            </w:tcBorders>
            <w:shd w:val="clear" w:color="auto" w:fill="FAE2D5"/>
            <w:hideMark/>
          </w:tcPr>
          <w:p w14:paraId="0B3A3AF6"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FAE2D5"/>
            <w:hideMark/>
          </w:tcPr>
          <w:p w14:paraId="53F49714" w14:textId="04956630" w:rsidR="00F0485A" w:rsidRPr="00EE3DF9" w:rsidRDefault="00F0485A" w:rsidP="00641B35">
            <w:pPr>
              <w:spacing w:after="0"/>
              <w:jc w:val="center"/>
              <w:textAlignment w:val="baseline"/>
              <w:rPr>
                <w:rFonts w:eastAsia="Times New Roman"/>
                <w:b/>
                <w:bCs/>
                <w:noProof/>
                <w:kern w:val="2"/>
                <w:sz w:val="18"/>
                <w:szCs w:val="18"/>
                <w:lang w:val="en-US" w:eastAsia="en-GB"/>
              </w:rPr>
            </w:pPr>
            <w:r w:rsidRPr="00EE3DF9">
              <w:rPr>
                <w:rFonts w:eastAsia="Aptos"/>
                <w:b/>
                <w:bCs/>
                <w:noProof/>
                <w:kern w:val="2"/>
                <w:sz w:val="18"/>
                <w:szCs w:val="18"/>
                <w:lang w:val="en-US"/>
              </w:rPr>
              <w:t>EUR 1</w:t>
            </w:r>
            <w:r>
              <w:rPr>
                <w:rFonts w:eastAsia="Aptos"/>
                <w:b/>
                <w:bCs/>
                <w:noProof/>
                <w:kern w:val="2"/>
                <w:sz w:val="18"/>
                <w:szCs w:val="18"/>
                <w:lang w:val="en-US"/>
              </w:rPr>
              <w:t>4</w:t>
            </w:r>
            <w:r w:rsidRPr="00EE3DF9">
              <w:rPr>
                <w:rFonts w:eastAsia="Times New Roman"/>
                <w:b/>
                <w:bCs/>
                <w:noProof/>
                <w:kern w:val="2"/>
                <w:sz w:val="18"/>
                <w:szCs w:val="18"/>
                <w:lang w:val="en-US" w:eastAsia="en-GB"/>
              </w:rPr>
              <w:t>.</w:t>
            </w:r>
            <w:r>
              <w:rPr>
                <w:rFonts w:eastAsia="Aptos"/>
                <w:b/>
                <w:bCs/>
                <w:noProof/>
                <w:kern w:val="2"/>
                <w:sz w:val="18"/>
                <w:szCs w:val="18"/>
                <w:lang w:val="en-US"/>
              </w:rPr>
              <w:t>6</w:t>
            </w:r>
            <w:r>
              <w:rPr>
                <w:rFonts w:eastAsia="Times New Roman"/>
                <w:b/>
                <w:bCs/>
                <w:noProof/>
                <w:kern w:val="2"/>
                <w:sz w:val="18"/>
                <w:szCs w:val="18"/>
                <w:lang w:val="en-US" w:eastAsia="en-GB"/>
              </w:rPr>
              <w:t xml:space="preserve"> </w:t>
            </w:r>
            <w:r w:rsidRPr="00EE3DF9">
              <w:rPr>
                <w:rFonts w:eastAsia="Times New Roman"/>
                <w:b/>
                <w:bCs/>
                <w:noProof/>
                <w:kern w:val="2"/>
                <w:sz w:val="18"/>
                <w:szCs w:val="18"/>
                <w:lang w:val="en-US" w:eastAsia="en-GB"/>
              </w:rPr>
              <w:t>bn</w:t>
            </w:r>
          </w:p>
          <w:p w14:paraId="6954BE71"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EE3DF9">
              <w:rPr>
                <w:rFonts w:eastAsia="Times New Roman"/>
                <w:b/>
                <w:bCs/>
                <w:noProof/>
                <w:kern w:val="2"/>
                <w:sz w:val="18"/>
                <w:szCs w:val="18"/>
                <w:lang w:val="en-US" w:eastAsia="en-GB"/>
              </w:rPr>
              <w:t>-</w:t>
            </w:r>
          </w:p>
        </w:tc>
        <w:tc>
          <w:tcPr>
            <w:tcW w:w="386" w:type="pct"/>
            <w:tcBorders>
              <w:top w:val="single" w:sz="6" w:space="0" w:color="auto"/>
              <w:left w:val="single" w:sz="6" w:space="0" w:color="auto"/>
              <w:bottom w:val="single" w:sz="6" w:space="0" w:color="auto"/>
              <w:right w:val="single" w:sz="12" w:space="0" w:color="auto"/>
            </w:tcBorders>
            <w:shd w:val="clear" w:color="auto" w:fill="FAE2D5"/>
            <w:hideMark/>
          </w:tcPr>
          <w:p w14:paraId="731AEFA1" w14:textId="2FFEBF44" w:rsidR="00F0485A" w:rsidRPr="00F5382B" w:rsidRDefault="00F0485A" w:rsidP="00641B35">
            <w:pPr>
              <w:spacing w:after="0"/>
              <w:contextualSpacing/>
              <w:jc w:val="left"/>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xml:space="preserve">EUR </w:t>
            </w:r>
            <w:r>
              <w:rPr>
                <w:rFonts w:eastAsia="Times New Roman"/>
                <w:b/>
                <w:bCs/>
                <w:noProof/>
                <w:sz w:val="18"/>
                <w:szCs w:val="18"/>
                <w:lang w:val="en-IE" w:eastAsia="en-IE"/>
              </w:rPr>
              <w:t>31.9</w:t>
            </w:r>
            <w:r w:rsidRPr="00F5382B">
              <w:rPr>
                <w:rFonts w:eastAsia="Times New Roman"/>
                <w:b/>
                <w:bCs/>
                <w:noProof/>
                <w:sz w:val="18"/>
                <w:szCs w:val="18"/>
                <w:lang w:val="en-IE" w:eastAsia="en-IE"/>
              </w:rPr>
              <w:t xml:space="preserve"> bn</w:t>
            </w:r>
          </w:p>
        </w:tc>
        <w:tc>
          <w:tcPr>
            <w:tcW w:w="386" w:type="pct"/>
            <w:tcBorders>
              <w:top w:val="single" w:sz="6" w:space="0" w:color="auto"/>
              <w:left w:val="single" w:sz="12" w:space="0" w:color="auto"/>
              <w:bottom w:val="single" w:sz="6" w:space="0" w:color="auto"/>
              <w:right w:val="single" w:sz="6" w:space="0" w:color="auto"/>
            </w:tcBorders>
            <w:shd w:val="clear" w:color="auto" w:fill="FAE2D5"/>
            <w:hideMark/>
          </w:tcPr>
          <w:p w14:paraId="6B67F9FB"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8" w:type="pct"/>
            <w:tcBorders>
              <w:top w:val="single" w:sz="6" w:space="0" w:color="auto"/>
              <w:left w:val="single" w:sz="6" w:space="0" w:color="auto"/>
              <w:bottom w:val="single" w:sz="6" w:space="0" w:color="auto"/>
              <w:right w:val="single" w:sz="6" w:space="0" w:color="auto"/>
            </w:tcBorders>
            <w:shd w:val="clear" w:color="auto" w:fill="FAE2D5"/>
            <w:hideMark/>
          </w:tcPr>
          <w:p w14:paraId="0EEE1430" w14:textId="77777777" w:rsidR="00F0485A" w:rsidRPr="00040A0D" w:rsidRDefault="00F0485A" w:rsidP="00641B35">
            <w:pPr>
              <w:spacing w:after="0"/>
              <w:jc w:val="center"/>
              <w:textAlignment w:val="baseline"/>
              <w:rPr>
                <w:rFonts w:eastAsia="Times New Roman"/>
                <w:noProof/>
                <w:sz w:val="18"/>
                <w:szCs w:val="18"/>
                <w:lang w:eastAsia="en-IE"/>
              </w:rPr>
            </w:pPr>
            <w:r>
              <w:rPr>
                <w:rFonts w:eastAsia="Times New Roman"/>
                <w:b/>
                <w:bCs/>
                <w:noProof/>
                <w:sz w:val="18"/>
                <w:szCs w:val="18"/>
                <w:lang w:eastAsia="en-IE"/>
              </w:rPr>
              <w:t>-</w:t>
            </w:r>
            <w:r w:rsidRPr="00F5382B">
              <w:rPr>
                <w:rFonts w:eastAsia="Times New Roman"/>
                <w:b/>
                <w:bCs/>
                <w:noProof/>
                <w:sz w:val="18"/>
                <w:szCs w:val="18"/>
                <w:lang w:eastAsia="en-IE"/>
              </w:rPr>
              <w:t xml:space="preserve"> EUR </w:t>
            </w:r>
            <w:r>
              <w:rPr>
                <w:rFonts w:eastAsia="Times New Roman"/>
                <w:b/>
                <w:bCs/>
                <w:noProof/>
                <w:sz w:val="18"/>
                <w:szCs w:val="18"/>
                <w:lang w:eastAsia="en-IE"/>
              </w:rPr>
              <w:t>1.4</w:t>
            </w:r>
            <w:r w:rsidRPr="00F5382B">
              <w:rPr>
                <w:rFonts w:eastAsia="Times New Roman"/>
                <w:b/>
                <w:bCs/>
                <w:noProof/>
                <w:sz w:val="18"/>
                <w:szCs w:val="18"/>
                <w:lang w:eastAsia="en-IE"/>
              </w:rPr>
              <w:t xml:space="preserve"> to </w:t>
            </w:r>
            <w:r>
              <w:rPr>
                <w:rFonts w:eastAsia="Times New Roman"/>
                <w:b/>
                <w:bCs/>
                <w:noProof/>
                <w:sz w:val="18"/>
                <w:szCs w:val="18"/>
                <w:lang w:eastAsia="en-IE"/>
              </w:rPr>
              <w:t>2</w:t>
            </w:r>
            <w:r w:rsidRPr="00F5382B">
              <w:rPr>
                <w:rFonts w:eastAsia="Times New Roman"/>
                <w:b/>
                <w:bCs/>
                <w:noProof/>
                <w:sz w:val="18"/>
                <w:szCs w:val="18"/>
                <w:lang w:eastAsia="en-IE"/>
              </w:rPr>
              <w:t>.</w:t>
            </w:r>
            <w:r>
              <w:rPr>
                <w:rFonts w:eastAsia="Times New Roman"/>
                <w:b/>
                <w:bCs/>
                <w:noProof/>
                <w:sz w:val="18"/>
                <w:szCs w:val="18"/>
                <w:lang w:eastAsia="en-IE"/>
              </w:rPr>
              <w:t>3</w:t>
            </w:r>
            <w:r w:rsidRPr="00F5382B">
              <w:rPr>
                <w:rFonts w:eastAsia="Times New Roman"/>
                <w:b/>
                <w:bCs/>
                <w:noProof/>
                <w:sz w:val="18"/>
                <w:szCs w:val="18"/>
                <w:lang w:eastAsia="en-IE"/>
              </w:rPr>
              <w:t xml:space="preserve"> bn </w:t>
            </w:r>
            <w:r>
              <w:rPr>
                <w:rFonts w:eastAsia="Times New Roman"/>
                <w:noProof/>
                <w:sz w:val="18"/>
                <w:szCs w:val="18"/>
                <w:lang w:eastAsia="en-IE"/>
              </w:rPr>
              <w:t>per year over 3 years</w:t>
            </w:r>
          </w:p>
          <w:p w14:paraId="5E892E9B"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FAE2D5"/>
            <w:hideMark/>
          </w:tcPr>
          <w:p w14:paraId="4FCDE0DA" w14:textId="77777777" w:rsidR="00F0485A" w:rsidRPr="00F5382B" w:rsidRDefault="00F0485A" w:rsidP="00641B35">
            <w:pPr>
              <w:spacing w:after="0"/>
              <w:jc w:val="left"/>
              <w:textAlignment w:val="baseline"/>
              <w:rPr>
                <w:rFonts w:eastAsia="Times New Roman"/>
                <w:b/>
                <w:bCs/>
                <w:noProof/>
                <w:sz w:val="18"/>
                <w:szCs w:val="18"/>
                <w:lang w:eastAsia="en-IE"/>
              </w:rPr>
            </w:pPr>
            <w:r w:rsidRPr="00F5382B">
              <w:rPr>
                <w:rFonts w:eastAsia="Times New Roman"/>
                <w:b/>
                <w:bCs/>
                <w:noProof/>
                <w:sz w:val="18"/>
                <w:szCs w:val="18"/>
                <w:lang w:eastAsia="en-IE"/>
              </w:rPr>
              <w:t>&lt; D2</w:t>
            </w:r>
          </w:p>
          <w:p w14:paraId="2837DE4B" w14:textId="77777777" w:rsidR="00F0485A" w:rsidRPr="00F5382B" w:rsidRDefault="00F0485A" w:rsidP="00641B35">
            <w:pPr>
              <w:spacing w:after="0"/>
              <w:jc w:val="left"/>
              <w:textAlignment w:val="baseline"/>
              <w:rPr>
                <w:rFonts w:eastAsia="Times New Roman"/>
                <w:b/>
                <w:bCs/>
                <w:noProof/>
                <w:sz w:val="18"/>
                <w:szCs w:val="18"/>
                <w:lang w:eastAsia="en-IE"/>
              </w:rPr>
            </w:pPr>
            <w:r w:rsidRPr="00F5382B">
              <w:rPr>
                <w:rFonts w:eastAsia="Times New Roman"/>
                <w:b/>
                <w:bCs/>
                <w:noProof/>
                <w:sz w:val="18"/>
                <w:szCs w:val="18"/>
                <w:lang w:eastAsia="en-IE"/>
              </w:rPr>
              <w:t xml:space="preserve"> +++</w:t>
            </w:r>
          </w:p>
        </w:tc>
      </w:tr>
      <w:tr w:rsidR="00F0485A" w:rsidRPr="00F5382B" w14:paraId="53CA8A87" w14:textId="77777777" w:rsidTr="00641B35">
        <w:trPr>
          <w:trHeight w:val="300"/>
        </w:trPr>
        <w:tc>
          <w:tcPr>
            <w:tcW w:w="5000" w:type="pct"/>
            <w:gridSpan w:val="13"/>
            <w:tcBorders>
              <w:top w:val="single" w:sz="6" w:space="0" w:color="auto"/>
              <w:left w:val="single" w:sz="6" w:space="0" w:color="auto"/>
              <w:bottom w:val="single" w:sz="6" w:space="0" w:color="auto"/>
              <w:right w:val="single" w:sz="6" w:space="0" w:color="auto"/>
            </w:tcBorders>
            <w:shd w:val="clear" w:color="auto" w:fill="F2CEED"/>
            <w:hideMark/>
          </w:tcPr>
          <w:p w14:paraId="77C4CBC7"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b/>
                <w:bCs/>
                <w:noProof/>
                <w:sz w:val="18"/>
                <w:szCs w:val="18"/>
                <w:lang w:eastAsia="en-IE"/>
              </w:rPr>
              <w:t>National authorities</w:t>
            </w:r>
          </w:p>
        </w:tc>
      </w:tr>
      <w:tr w:rsidR="00F0485A" w:rsidRPr="00F5382B" w14:paraId="295DEA89"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hideMark/>
          </w:tcPr>
          <w:p w14:paraId="1C3149EB"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eastAsia="en-IE"/>
              </w:rPr>
              <w:t>Costs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hideMark/>
          </w:tcPr>
          <w:p w14:paraId="29ED6CE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14788E8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EUR 1</w:t>
            </w:r>
            <w:r>
              <w:rPr>
                <w:rFonts w:eastAsia="Times New Roman"/>
                <w:noProof/>
                <w:sz w:val="18"/>
                <w:szCs w:val="18"/>
                <w:lang w:val="en-IE" w:eastAsia="en-IE"/>
              </w:rPr>
              <w:t>1</w:t>
            </w:r>
            <w:r w:rsidRPr="00F5382B">
              <w:rPr>
                <w:rFonts w:eastAsia="Times New Roman"/>
                <w:noProof/>
                <w:sz w:val="18"/>
                <w:szCs w:val="18"/>
                <w:lang w:val="en-IE" w:eastAsia="en-IE"/>
              </w:rPr>
              <w:t>.</w:t>
            </w:r>
            <w:r>
              <w:rPr>
                <w:rFonts w:eastAsia="Times New Roman"/>
                <w:noProof/>
                <w:sz w:val="18"/>
                <w:szCs w:val="18"/>
                <w:lang w:val="en-IE" w:eastAsia="en-IE"/>
              </w:rPr>
              <w:t>3</w:t>
            </w:r>
            <w:r w:rsidRPr="00F5382B">
              <w:rPr>
                <w:rFonts w:eastAsia="Times New Roman"/>
                <w:noProof/>
                <w:sz w:val="18"/>
                <w:szCs w:val="18"/>
                <w:lang w:val="en-IE" w:eastAsia="en-IE"/>
              </w:rPr>
              <w:t xml:space="preserve"> M</w:t>
            </w:r>
          </w:p>
          <w:p w14:paraId="70017184"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026CBAE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EUR 1</w:t>
            </w:r>
            <w:r>
              <w:rPr>
                <w:rFonts w:eastAsia="Times New Roman"/>
                <w:noProof/>
                <w:sz w:val="18"/>
                <w:szCs w:val="18"/>
                <w:lang w:val="en-IE" w:eastAsia="en-IE"/>
              </w:rPr>
              <w:t>2.7</w:t>
            </w:r>
            <w:r w:rsidRPr="00F5382B">
              <w:rPr>
                <w:rFonts w:eastAsia="Times New Roman"/>
                <w:noProof/>
                <w:sz w:val="18"/>
                <w:szCs w:val="18"/>
                <w:lang w:val="en-IE" w:eastAsia="en-IE"/>
              </w:rPr>
              <w:t xml:space="preserve"> M</w:t>
            </w:r>
          </w:p>
        </w:tc>
        <w:tc>
          <w:tcPr>
            <w:tcW w:w="386" w:type="pct"/>
            <w:tcBorders>
              <w:top w:val="single" w:sz="6" w:space="0" w:color="auto"/>
              <w:left w:val="single" w:sz="6" w:space="0" w:color="auto"/>
              <w:bottom w:val="single" w:sz="6" w:space="0" w:color="auto"/>
              <w:right w:val="single" w:sz="6" w:space="0" w:color="auto"/>
            </w:tcBorders>
            <w:hideMark/>
          </w:tcPr>
          <w:p w14:paraId="204C1E8B"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EUR 0-61 M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233C8B6C" w14:textId="77777777" w:rsidR="00F0485A" w:rsidRPr="00F5382B" w:rsidRDefault="00F0485A" w:rsidP="00641B35">
            <w:pPr>
              <w:spacing w:after="0"/>
              <w:jc w:val="left"/>
              <w:textAlignment w:val="baseline"/>
              <w:rPr>
                <w:rFonts w:eastAsia="Times New Roman"/>
                <w:noProof/>
                <w:sz w:val="18"/>
                <w:szCs w:val="18"/>
                <w:lang w:val="en-IE" w:eastAsia="en-IE"/>
              </w:rPr>
            </w:pPr>
            <w:r w:rsidRPr="00EE3DF9">
              <w:rPr>
                <w:rFonts w:eastAsia="Aptos"/>
                <w:noProof/>
                <w:kern w:val="2"/>
                <w:sz w:val="18"/>
                <w:szCs w:val="18"/>
                <w:lang w:val="en-US"/>
              </w:rPr>
              <w:t xml:space="preserve">EUR 13,7 </w:t>
            </w:r>
            <w:r>
              <w:rPr>
                <w:rFonts w:eastAsia="Aptos"/>
                <w:noProof/>
                <w:kern w:val="2"/>
                <w:sz w:val="18"/>
                <w:szCs w:val="18"/>
                <w:lang w:val="en-US"/>
              </w:rPr>
              <w:t>to</w:t>
            </w:r>
            <w:r w:rsidRPr="00EE3DF9">
              <w:rPr>
                <w:rFonts w:eastAsia="Aptos"/>
                <w:noProof/>
                <w:kern w:val="2"/>
                <w:sz w:val="18"/>
                <w:szCs w:val="18"/>
                <w:lang w:val="en-US"/>
              </w:rPr>
              <w:t xml:space="preserve"> 74,7 M</w:t>
            </w:r>
          </w:p>
          <w:p w14:paraId="64BD7F4E"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hideMark/>
          </w:tcPr>
          <w:p w14:paraId="54C9C1B4" w14:textId="77777777" w:rsidR="00F0485A" w:rsidRPr="00F5382B" w:rsidRDefault="00F0485A" w:rsidP="00641B35">
            <w:pPr>
              <w:spacing w:after="0"/>
              <w:jc w:val="left"/>
              <w:textAlignment w:val="baseline"/>
              <w:rPr>
                <w:rFonts w:eastAsia="Times New Roman"/>
                <w:noProof/>
                <w:sz w:val="18"/>
                <w:szCs w:val="18"/>
                <w:lang w:val="en-IE" w:eastAsia="en-IE"/>
              </w:rPr>
            </w:pPr>
            <w:r w:rsidRPr="00EE3DF9">
              <w:rPr>
                <w:rFonts w:eastAsia="Aptos"/>
                <w:noProof/>
                <w:kern w:val="2"/>
                <w:sz w:val="18"/>
                <w:szCs w:val="18"/>
                <w:lang w:val="en-US"/>
              </w:rPr>
              <w:t xml:space="preserve">EUR 22,8 </w:t>
            </w:r>
            <w:r>
              <w:rPr>
                <w:rFonts w:eastAsia="Aptos"/>
                <w:noProof/>
                <w:kern w:val="2"/>
                <w:sz w:val="18"/>
                <w:szCs w:val="18"/>
                <w:lang w:val="en-US"/>
              </w:rPr>
              <w:t>to</w:t>
            </w:r>
            <w:r w:rsidRPr="00EE3DF9">
              <w:rPr>
                <w:rFonts w:eastAsia="Aptos"/>
                <w:noProof/>
                <w:kern w:val="2"/>
                <w:sz w:val="18"/>
                <w:szCs w:val="18"/>
                <w:lang w:val="en-US"/>
              </w:rPr>
              <w:t xml:space="preserve"> 83,9 M</w:t>
            </w:r>
          </w:p>
          <w:p w14:paraId="5B190595"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 </w:t>
            </w:r>
          </w:p>
        </w:tc>
        <w:tc>
          <w:tcPr>
            <w:tcW w:w="386" w:type="pct"/>
            <w:tcBorders>
              <w:top w:val="single" w:sz="6" w:space="0" w:color="auto"/>
              <w:left w:val="single" w:sz="12" w:space="0" w:color="auto"/>
              <w:bottom w:val="single" w:sz="6" w:space="0" w:color="auto"/>
              <w:right w:val="single" w:sz="6" w:space="0" w:color="auto"/>
            </w:tcBorders>
            <w:hideMark/>
          </w:tcPr>
          <w:p w14:paraId="69F8143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6D2D9D0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hideMark/>
          </w:tcPr>
          <w:p w14:paraId="09EE4E8B" w14:textId="77777777" w:rsidR="00F0485A" w:rsidRPr="00F5382B" w:rsidRDefault="00F0485A" w:rsidP="00641B35">
            <w:pPr>
              <w:spacing w:after="0"/>
              <w:jc w:val="center"/>
              <w:textAlignment w:val="baseline"/>
              <w:rPr>
                <w:rFonts w:eastAsia="Times New Roman"/>
                <w:noProof/>
                <w:sz w:val="18"/>
                <w:szCs w:val="18"/>
                <w:lang w:val="en-IE" w:eastAsia="en-IE"/>
              </w:rPr>
            </w:pPr>
            <w:r w:rsidRPr="00EE3DF9">
              <w:rPr>
                <w:rFonts w:eastAsia="Times New Roman"/>
                <w:noProof/>
                <w:kern w:val="2"/>
                <w:sz w:val="18"/>
                <w:szCs w:val="18"/>
                <w:lang w:val="en-US" w:eastAsia="en-GB"/>
              </w:rPr>
              <w:t>- EUR 0,16 M</w:t>
            </w:r>
          </w:p>
        </w:tc>
        <w:tc>
          <w:tcPr>
            <w:tcW w:w="386" w:type="pct"/>
            <w:tcBorders>
              <w:top w:val="single" w:sz="6" w:space="0" w:color="auto"/>
              <w:left w:val="single" w:sz="12" w:space="0" w:color="auto"/>
              <w:bottom w:val="single" w:sz="6" w:space="0" w:color="auto"/>
              <w:right w:val="single" w:sz="6" w:space="0" w:color="auto"/>
            </w:tcBorders>
            <w:hideMark/>
          </w:tcPr>
          <w:p w14:paraId="1647F01B"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8" w:type="pct"/>
            <w:tcBorders>
              <w:top w:val="single" w:sz="6" w:space="0" w:color="auto"/>
              <w:left w:val="single" w:sz="6" w:space="0" w:color="auto"/>
              <w:bottom w:val="single" w:sz="6" w:space="0" w:color="auto"/>
              <w:right w:val="single" w:sz="6" w:space="0" w:color="auto"/>
            </w:tcBorders>
            <w:hideMark/>
          </w:tcPr>
          <w:p w14:paraId="60D30BD5"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 xml:space="preserve">- </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1B79C3E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r>
      <w:tr w:rsidR="00F0485A" w:rsidRPr="00F5382B" w14:paraId="543764C4"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tcPr>
          <w:p w14:paraId="12FB4D48"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Benefits</w:t>
            </w:r>
          </w:p>
          <w:p w14:paraId="4DD08FE2" w14:textId="77777777" w:rsidR="00F0485A" w:rsidRPr="00F5382B" w:rsidRDefault="00F0485A" w:rsidP="00641B35">
            <w:pPr>
              <w:spacing w:after="0"/>
              <w:jc w:val="left"/>
              <w:textAlignment w:val="baseline"/>
              <w:rPr>
                <w:rFonts w:eastAsia="Times New Roman"/>
                <w:noProof/>
                <w:sz w:val="18"/>
                <w:szCs w:val="18"/>
                <w:lang w:val="en-IE" w:eastAsia="en-IE"/>
              </w:rPr>
            </w:pPr>
          </w:p>
        </w:tc>
        <w:tc>
          <w:tcPr>
            <w:tcW w:w="384" w:type="pct"/>
            <w:tcBorders>
              <w:top w:val="single" w:sz="6" w:space="0" w:color="auto"/>
              <w:left w:val="single" w:sz="6" w:space="0" w:color="auto"/>
              <w:bottom w:val="single" w:sz="6" w:space="0" w:color="auto"/>
              <w:right w:val="single" w:sz="6" w:space="0" w:color="auto"/>
            </w:tcBorders>
          </w:tcPr>
          <w:p w14:paraId="552CAAF1"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tcPr>
          <w:p w14:paraId="2DA6B139"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tcPr>
          <w:p w14:paraId="6EE9B118"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hideMark/>
          </w:tcPr>
          <w:p w14:paraId="163BDA4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1132D47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 ++</w:t>
            </w:r>
          </w:p>
        </w:tc>
        <w:tc>
          <w:tcPr>
            <w:tcW w:w="386" w:type="pct"/>
            <w:tcBorders>
              <w:top w:val="single" w:sz="6" w:space="0" w:color="auto"/>
              <w:left w:val="single" w:sz="6" w:space="0" w:color="auto"/>
              <w:bottom w:val="single" w:sz="6" w:space="0" w:color="auto"/>
              <w:right w:val="single" w:sz="12" w:space="0" w:color="auto"/>
            </w:tcBorders>
            <w:hideMark/>
          </w:tcPr>
          <w:p w14:paraId="660D321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 +++</w:t>
            </w:r>
          </w:p>
          <w:p w14:paraId="234889C8" w14:textId="77777777" w:rsidR="00F0485A" w:rsidRPr="00F5382B" w:rsidRDefault="00F0485A" w:rsidP="00641B35">
            <w:pPr>
              <w:spacing w:after="0"/>
              <w:jc w:val="left"/>
              <w:textAlignment w:val="baseline"/>
              <w:rPr>
                <w:rFonts w:eastAsia="Times New Roman"/>
                <w:noProof/>
                <w:sz w:val="18"/>
                <w:szCs w:val="18"/>
                <w:lang w:val="en-IE" w:eastAsia="en-IE"/>
              </w:rPr>
            </w:pPr>
          </w:p>
        </w:tc>
        <w:tc>
          <w:tcPr>
            <w:tcW w:w="386" w:type="pct"/>
            <w:tcBorders>
              <w:top w:val="single" w:sz="6" w:space="0" w:color="auto"/>
              <w:left w:val="single" w:sz="12" w:space="0" w:color="auto"/>
              <w:bottom w:val="single" w:sz="6" w:space="0" w:color="auto"/>
              <w:right w:val="single" w:sz="6" w:space="0" w:color="auto"/>
            </w:tcBorders>
          </w:tcPr>
          <w:p w14:paraId="30DA922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C269DFE" w14:textId="77777777" w:rsidR="00F0485A" w:rsidRPr="00F5382B" w:rsidRDefault="00F0485A" w:rsidP="00641B35">
            <w:pPr>
              <w:spacing w:after="0"/>
              <w:jc w:val="left"/>
              <w:textAlignment w:val="baseline"/>
              <w:rPr>
                <w:rFonts w:eastAsia="Times New Roman"/>
                <w:noProof/>
                <w:sz w:val="18"/>
                <w:szCs w:val="18"/>
                <w:lang w:val="en-IE" w:eastAsia="en-IE"/>
              </w:rPr>
            </w:pPr>
            <w:r w:rsidRPr="00EE3DF9">
              <w:rPr>
                <w:rFonts w:eastAsia="Aptos"/>
                <w:noProof/>
                <w:kern w:val="2"/>
                <w:sz w:val="18"/>
                <w:szCs w:val="18"/>
                <w:lang w:val="en-US"/>
              </w:rPr>
              <w:t>EUR 7,5 M</w:t>
            </w:r>
          </w:p>
        </w:tc>
        <w:tc>
          <w:tcPr>
            <w:tcW w:w="386" w:type="pct"/>
            <w:tcBorders>
              <w:top w:val="single" w:sz="6" w:space="0" w:color="auto"/>
              <w:left w:val="single" w:sz="6" w:space="0" w:color="auto"/>
              <w:bottom w:val="single" w:sz="6" w:space="0" w:color="auto"/>
              <w:right w:val="single" w:sz="12" w:space="0" w:color="auto"/>
            </w:tcBorders>
            <w:hideMark/>
          </w:tcPr>
          <w:p w14:paraId="0087E45B"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EUR 15 M</w:t>
            </w:r>
          </w:p>
        </w:tc>
        <w:tc>
          <w:tcPr>
            <w:tcW w:w="386" w:type="pct"/>
            <w:tcBorders>
              <w:top w:val="single" w:sz="6" w:space="0" w:color="auto"/>
              <w:left w:val="single" w:sz="12" w:space="0" w:color="auto"/>
              <w:bottom w:val="single" w:sz="6" w:space="0" w:color="auto"/>
              <w:right w:val="single" w:sz="6" w:space="0" w:color="auto"/>
            </w:tcBorders>
            <w:hideMark/>
          </w:tcPr>
          <w:p w14:paraId="78502AA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 +</w:t>
            </w:r>
          </w:p>
        </w:tc>
        <w:tc>
          <w:tcPr>
            <w:tcW w:w="388" w:type="pct"/>
            <w:tcBorders>
              <w:top w:val="single" w:sz="6" w:space="0" w:color="auto"/>
              <w:left w:val="single" w:sz="6" w:space="0" w:color="auto"/>
              <w:bottom w:val="single" w:sz="6" w:space="0" w:color="auto"/>
              <w:right w:val="single" w:sz="6" w:space="0" w:color="auto"/>
            </w:tcBorders>
            <w:hideMark/>
          </w:tcPr>
          <w:p w14:paraId="36825B2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41F0F6C3"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r>
      <w:tr w:rsidR="00F0485A" w:rsidRPr="00F5382B" w14:paraId="6BC3EC57"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shd w:val="clear" w:color="auto" w:fill="F2CEED"/>
            <w:hideMark/>
          </w:tcPr>
          <w:p w14:paraId="6C218971"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b/>
                <w:bCs/>
                <w:noProof/>
                <w:sz w:val="18"/>
                <w:szCs w:val="18"/>
                <w:lang w:eastAsia="en-IE"/>
              </w:rPr>
              <w:t>Net Value  (5 years)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shd w:val="clear" w:color="auto" w:fill="F2CEED"/>
            <w:hideMark/>
          </w:tcPr>
          <w:p w14:paraId="5DA2B6E0"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F2CEED"/>
            <w:hideMark/>
          </w:tcPr>
          <w:p w14:paraId="464E8EE9"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EUR 1</w:t>
            </w:r>
            <w:r>
              <w:rPr>
                <w:rFonts w:eastAsia="Times New Roman"/>
                <w:b/>
                <w:bCs/>
                <w:noProof/>
                <w:sz w:val="18"/>
                <w:szCs w:val="18"/>
                <w:lang w:val="en-IE" w:eastAsia="en-IE"/>
              </w:rPr>
              <w:t>1</w:t>
            </w:r>
            <w:r w:rsidRPr="00F5382B">
              <w:rPr>
                <w:rFonts w:eastAsia="Times New Roman"/>
                <w:b/>
                <w:bCs/>
                <w:noProof/>
                <w:sz w:val="18"/>
                <w:szCs w:val="18"/>
                <w:lang w:val="en-IE" w:eastAsia="en-IE"/>
              </w:rPr>
              <w:t>.</w:t>
            </w:r>
            <w:r>
              <w:rPr>
                <w:rFonts w:eastAsia="Times New Roman"/>
                <w:b/>
                <w:bCs/>
                <w:noProof/>
                <w:sz w:val="18"/>
                <w:szCs w:val="18"/>
                <w:lang w:val="en-IE" w:eastAsia="en-IE"/>
              </w:rPr>
              <w:t>3</w:t>
            </w:r>
            <w:r w:rsidRPr="00F5382B">
              <w:rPr>
                <w:rFonts w:eastAsia="Times New Roman"/>
                <w:b/>
                <w:bCs/>
                <w:noProof/>
                <w:sz w:val="18"/>
                <w:szCs w:val="18"/>
                <w:lang w:val="en-IE" w:eastAsia="en-IE"/>
              </w:rPr>
              <w:t xml:space="preserve"> M</w:t>
            </w:r>
          </w:p>
          <w:p w14:paraId="4ECD4AD3"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F2CEED"/>
            <w:hideMark/>
          </w:tcPr>
          <w:p w14:paraId="34BC53C0"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EUR 1</w:t>
            </w:r>
            <w:r>
              <w:rPr>
                <w:rFonts w:eastAsia="Times New Roman"/>
                <w:b/>
                <w:bCs/>
                <w:noProof/>
                <w:sz w:val="18"/>
                <w:szCs w:val="18"/>
                <w:lang w:val="en-IE" w:eastAsia="en-IE"/>
              </w:rPr>
              <w:t>2.7</w:t>
            </w:r>
            <w:r w:rsidRPr="00F5382B">
              <w:rPr>
                <w:rFonts w:eastAsia="Times New Roman"/>
                <w:b/>
                <w:bCs/>
                <w:noProof/>
                <w:sz w:val="18"/>
                <w:szCs w:val="18"/>
                <w:lang w:val="en-IE" w:eastAsia="en-IE"/>
              </w:rPr>
              <w:t xml:space="preserve"> M</w:t>
            </w:r>
          </w:p>
          <w:p w14:paraId="37E5B11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F2CEED"/>
            <w:hideMark/>
          </w:tcPr>
          <w:p w14:paraId="01C765A6"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EUR 0 to 61 M</w:t>
            </w:r>
          </w:p>
          <w:p w14:paraId="59933DD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F2CEED"/>
            <w:hideMark/>
          </w:tcPr>
          <w:p w14:paraId="00B72A5D" w14:textId="77777777" w:rsidR="00F0485A" w:rsidRPr="00EE3DF9" w:rsidRDefault="00F0485A" w:rsidP="00641B35">
            <w:pPr>
              <w:spacing w:after="0"/>
              <w:jc w:val="center"/>
              <w:textAlignment w:val="baseline"/>
              <w:rPr>
                <w:rFonts w:eastAsia="Aptos"/>
                <w:noProof/>
                <w:kern w:val="2"/>
                <w:sz w:val="18"/>
                <w:szCs w:val="18"/>
                <w:lang w:val="en-US"/>
              </w:rPr>
            </w:pPr>
            <w:r w:rsidRPr="00EE3DF9">
              <w:rPr>
                <w:rFonts w:eastAsia="Aptos"/>
                <w:b/>
                <w:bCs/>
                <w:noProof/>
                <w:kern w:val="2"/>
                <w:sz w:val="18"/>
                <w:szCs w:val="18"/>
                <w:lang w:val="en-US"/>
              </w:rPr>
              <w:t>- EUR 13,7 to 74,7</w:t>
            </w:r>
            <w:r w:rsidRPr="00EE3DF9">
              <w:rPr>
                <w:rFonts w:eastAsia="Aptos"/>
                <w:noProof/>
                <w:kern w:val="2"/>
                <w:sz w:val="18"/>
                <w:szCs w:val="18"/>
                <w:lang w:val="en-US"/>
              </w:rPr>
              <w:t xml:space="preserve"> M (D3) </w:t>
            </w:r>
          </w:p>
          <w:p w14:paraId="0DE0D51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F2CEED"/>
            <w:hideMark/>
          </w:tcPr>
          <w:p w14:paraId="055B28F3" w14:textId="77777777" w:rsidR="00F0485A" w:rsidRPr="00EE3DF9" w:rsidRDefault="00F0485A" w:rsidP="00641B35">
            <w:pPr>
              <w:spacing w:after="0"/>
              <w:jc w:val="center"/>
              <w:textAlignment w:val="baseline"/>
              <w:rPr>
                <w:rFonts w:eastAsia="Aptos"/>
                <w:noProof/>
                <w:kern w:val="2"/>
                <w:sz w:val="18"/>
                <w:szCs w:val="18"/>
                <w:lang w:val="en-US"/>
              </w:rPr>
            </w:pPr>
            <w:r w:rsidRPr="00EE3DF9">
              <w:rPr>
                <w:rFonts w:eastAsia="Aptos"/>
                <w:b/>
                <w:bCs/>
                <w:noProof/>
                <w:kern w:val="2"/>
                <w:sz w:val="18"/>
                <w:szCs w:val="18"/>
                <w:lang w:val="en-US"/>
              </w:rPr>
              <w:t xml:space="preserve">- EUR 13,7 </w:t>
            </w:r>
            <w:r>
              <w:rPr>
                <w:rFonts w:eastAsia="Aptos"/>
                <w:b/>
                <w:bCs/>
                <w:noProof/>
                <w:kern w:val="2"/>
                <w:sz w:val="18"/>
                <w:szCs w:val="18"/>
                <w:lang w:val="en-US"/>
              </w:rPr>
              <w:t>to</w:t>
            </w:r>
            <w:r w:rsidRPr="00EE3DF9">
              <w:rPr>
                <w:rFonts w:eastAsia="Aptos"/>
                <w:b/>
                <w:bCs/>
                <w:noProof/>
                <w:kern w:val="2"/>
                <w:sz w:val="18"/>
                <w:szCs w:val="18"/>
                <w:lang w:val="en-US"/>
              </w:rPr>
              <w:t xml:space="preserve"> 74,7</w:t>
            </w:r>
            <w:r w:rsidRPr="00EE3DF9">
              <w:rPr>
                <w:rFonts w:eastAsia="Aptos"/>
                <w:noProof/>
                <w:kern w:val="2"/>
                <w:sz w:val="18"/>
                <w:szCs w:val="18"/>
                <w:lang w:val="en-US"/>
              </w:rPr>
              <w:t xml:space="preserve"> M (D3)</w:t>
            </w:r>
          </w:p>
          <w:p w14:paraId="153EB89A"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12" w:space="0" w:color="auto"/>
              <w:bottom w:val="single" w:sz="6" w:space="0" w:color="auto"/>
              <w:right w:val="single" w:sz="6" w:space="0" w:color="auto"/>
            </w:tcBorders>
            <w:shd w:val="clear" w:color="auto" w:fill="F2CEED"/>
          </w:tcPr>
          <w:p w14:paraId="223C9E43"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F2CEED"/>
            <w:hideMark/>
          </w:tcPr>
          <w:p w14:paraId="0A9035EA"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EE3DF9">
              <w:rPr>
                <w:rFonts w:eastAsia="Aptos"/>
                <w:b/>
                <w:bCs/>
                <w:noProof/>
                <w:kern w:val="2"/>
                <w:sz w:val="18"/>
                <w:szCs w:val="18"/>
                <w:lang w:val="en-US"/>
              </w:rPr>
              <w:t>+ 7.5 M</w:t>
            </w:r>
          </w:p>
        </w:tc>
        <w:tc>
          <w:tcPr>
            <w:tcW w:w="386" w:type="pct"/>
            <w:tcBorders>
              <w:top w:val="single" w:sz="6" w:space="0" w:color="auto"/>
              <w:left w:val="single" w:sz="6" w:space="0" w:color="auto"/>
              <w:bottom w:val="single" w:sz="6" w:space="0" w:color="auto"/>
              <w:right w:val="single" w:sz="12" w:space="0" w:color="auto"/>
            </w:tcBorders>
            <w:shd w:val="clear" w:color="auto" w:fill="F2CEED"/>
            <w:hideMark/>
          </w:tcPr>
          <w:p w14:paraId="59710B5D" w14:textId="77777777" w:rsidR="00F0485A" w:rsidRPr="00F5382B" w:rsidRDefault="00F0485A" w:rsidP="00641B35">
            <w:pPr>
              <w:spacing w:after="0"/>
              <w:jc w:val="left"/>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xml:space="preserve"> + 14,8 M</w:t>
            </w:r>
          </w:p>
        </w:tc>
        <w:tc>
          <w:tcPr>
            <w:tcW w:w="386" w:type="pct"/>
            <w:tcBorders>
              <w:top w:val="single" w:sz="6" w:space="0" w:color="auto"/>
              <w:left w:val="single" w:sz="12" w:space="0" w:color="auto"/>
              <w:bottom w:val="single" w:sz="6" w:space="0" w:color="auto"/>
              <w:right w:val="single" w:sz="6" w:space="0" w:color="auto"/>
            </w:tcBorders>
            <w:shd w:val="clear" w:color="auto" w:fill="F2CEED"/>
            <w:hideMark/>
          </w:tcPr>
          <w:p w14:paraId="60CDDD91"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0/+</w:t>
            </w:r>
          </w:p>
        </w:tc>
        <w:tc>
          <w:tcPr>
            <w:tcW w:w="388" w:type="pct"/>
            <w:tcBorders>
              <w:top w:val="single" w:sz="6" w:space="0" w:color="auto"/>
              <w:left w:val="single" w:sz="6" w:space="0" w:color="auto"/>
              <w:bottom w:val="single" w:sz="6" w:space="0" w:color="auto"/>
              <w:right w:val="single" w:sz="6" w:space="0" w:color="auto"/>
            </w:tcBorders>
            <w:shd w:val="clear" w:color="auto" w:fill="F2CEED"/>
            <w:hideMark/>
          </w:tcPr>
          <w:p w14:paraId="54B9DFB0"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w:t>
            </w:r>
          </w:p>
        </w:tc>
        <w:tc>
          <w:tcPr>
            <w:tcW w:w="386" w:type="pct"/>
            <w:tcBorders>
              <w:top w:val="single" w:sz="6" w:space="0" w:color="auto"/>
              <w:left w:val="single" w:sz="6" w:space="0" w:color="auto"/>
              <w:bottom w:val="single" w:sz="6" w:space="0" w:color="auto"/>
              <w:right w:val="single" w:sz="6" w:space="0" w:color="auto"/>
            </w:tcBorders>
            <w:shd w:val="clear" w:color="auto" w:fill="F2CEED"/>
            <w:hideMark/>
          </w:tcPr>
          <w:p w14:paraId="79C73EDF"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w:t>
            </w:r>
          </w:p>
        </w:tc>
      </w:tr>
      <w:tr w:rsidR="00F0485A" w:rsidRPr="00F5382B" w14:paraId="26F068FC" w14:textId="77777777" w:rsidTr="00641B35">
        <w:trPr>
          <w:trHeight w:val="300"/>
        </w:trPr>
        <w:tc>
          <w:tcPr>
            <w:tcW w:w="5000" w:type="pct"/>
            <w:gridSpan w:val="13"/>
            <w:tcBorders>
              <w:top w:val="single" w:sz="6" w:space="0" w:color="auto"/>
              <w:left w:val="single" w:sz="6" w:space="0" w:color="auto"/>
              <w:bottom w:val="single" w:sz="6" w:space="0" w:color="auto"/>
              <w:right w:val="single" w:sz="6" w:space="0" w:color="auto"/>
            </w:tcBorders>
            <w:shd w:val="clear" w:color="auto" w:fill="EFF9CF"/>
            <w:hideMark/>
          </w:tcPr>
          <w:p w14:paraId="564EC535" w14:textId="77777777" w:rsidR="00F0485A" w:rsidRPr="00F5382B" w:rsidRDefault="00F0485A" w:rsidP="00641B35">
            <w:pPr>
              <w:spacing w:after="0"/>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ENISA </w:t>
            </w:r>
          </w:p>
        </w:tc>
      </w:tr>
      <w:tr w:rsidR="00F0485A" w:rsidRPr="00F5382B" w14:paraId="0261B068" w14:textId="77777777" w:rsidTr="00641B35">
        <w:trPr>
          <w:trHeight w:val="558"/>
        </w:trPr>
        <w:tc>
          <w:tcPr>
            <w:tcW w:w="369" w:type="pct"/>
            <w:tcBorders>
              <w:top w:val="single" w:sz="6" w:space="0" w:color="auto"/>
              <w:left w:val="single" w:sz="6" w:space="0" w:color="auto"/>
              <w:bottom w:val="single" w:sz="6" w:space="0" w:color="auto"/>
              <w:right w:val="single" w:sz="6" w:space="0" w:color="auto"/>
            </w:tcBorders>
            <w:hideMark/>
          </w:tcPr>
          <w:p w14:paraId="6FF84025"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Costs</w:t>
            </w:r>
            <w:r w:rsidRPr="00F5382B">
              <w:rPr>
                <w:rFonts w:eastAsia="Times New Roman"/>
                <w:noProof/>
                <w:sz w:val="18"/>
                <w:szCs w:val="18"/>
                <w:lang w:val="en-IE" w:eastAsia="en-IE"/>
              </w:rPr>
              <w:t> </w:t>
            </w:r>
          </w:p>
        </w:tc>
        <w:tc>
          <w:tcPr>
            <w:tcW w:w="384" w:type="pct"/>
            <w:tcBorders>
              <w:top w:val="single" w:sz="6" w:space="0" w:color="auto"/>
              <w:left w:val="single" w:sz="6" w:space="0" w:color="auto"/>
              <w:bottom w:val="single" w:sz="6" w:space="0" w:color="auto"/>
              <w:right w:val="single" w:sz="6" w:space="0" w:color="auto"/>
            </w:tcBorders>
            <w:hideMark/>
          </w:tcPr>
          <w:p w14:paraId="21C1B8EA"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1FDFAB06"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b/>
                <w:bCs/>
                <w:noProof/>
                <w:sz w:val="18"/>
                <w:szCs w:val="18"/>
                <w:lang w:val="en-IE" w:eastAsia="en-IE"/>
              </w:rPr>
              <w:t>- EUR 1</w:t>
            </w:r>
            <w:r>
              <w:rPr>
                <w:rFonts w:eastAsia="Times New Roman"/>
                <w:b/>
                <w:bCs/>
                <w:noProof/>
                <w:sz w:val="18"/>
                <w:szCs w:val="18"/>
                <w:lang w:val="en-IE" w:eastAsia="en-IE"/>
              </w:rPr>
              <w:t>48</w:t>
            </w:r>
            <w:r w:rsidRPr="00F5382B">
              <w:rPr>
                <w:rFonts w:eastAsia="Times New Roman"/>
                <w:b/>
                <w:bCs/>
                <w:noProof/>
                <w:sz w:val="18"/>
                <w:szCs w:val="18"/>
                <w:lang w:val="en-IE" w:eastAsia="en-IE"/>
              </w:rPr>
              <w:t>.</w:t>
            </w:r>
            <w:r>
              <w:rPr>
                <w:rFonts w:eastAsia="Times New Roman"/>
                <w:b/>
                <w:bCs/>
                <w:noProof/>
                <w:sz w:val="18"/>
                <w:szCs w:val="18"/>
                <w:lang w:val="en-IE" w:eastAsia="en-IE"/>
              </w:rPr>
              <w:t>12</w:t>
            </w:r>
            <w:r w:rsidRPr="00F5382B">
              <w:rPr>
                <w:rFonts w:eastAsia="Times New Roman"/>
                <w:b/>
                <w:bCs/>
                <w:noProof/>
                <w:sz w:val="18"/>
                <w:szCs w:val="18"/>
                <w:lang w:val="en-IE" w:eastAsia="en-IE"/>
              </w:rPr>
              <w:t xml:space="preserve">  M</w:t>
            </w:r>
          </w:p>
        </w:tc>
        <w:tc>
          <w:tcPr>
            <w:tcW w:w="386" w:type="pct"/>
            <w:tcBorders>
              <w:top w:val="single" w:sz="6" w:space="0" w:color="auto"/>
              <w:left w:val="single" w:sz="6" w:space="0" w:color="auto"/>
              <w:bottom w:val="single" w:sz="6" w:space="0" w:color="auto"/>
              <w:right w:val="single" w:sz="12" w:space="0" w:color="auto"/>
            </w:tcBorders>
            <w:hideMark/>
          </w:tcPr>
          <w:p w14:paraId="62B0B9A1"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w:t>
            </w:r>
            <w:r w:rsidRPr="00F5382B">
              <w:rPr>
                <w:b/>
                <w:noProof/>
                <w:sz w:val="18"/>
                <w:szCs w:val="18"/>
                <w:lang w:val="en-IE" w:eastAsia="en-IE"/>
              </w:rPr>
              <w:t xml:space="preserve">EUR </w:t>
            </w:r>
            <w:r>
              <w:rPr>
                <w:b/>
                <w:noProof/>
                <w:sz w:val="18"/>
                <w:szCs w:val="18"/>
                <w:lang w:val="en-IE" w:eastAsia="en-IE"/>
              </w:rPr>
              <w:t>165.3</w:t>
            </w:r>
            <w:r w:rsidRPr="00F5382B">
              <w:rPr>
                <w:b/>
                <w:noProof/>
                <w:sz w:val="18"/>
                <w:szCs w:val="18"/>
                <w:lang w:val="en-IE" w:eastAsia="en-IE"/>
              </w:rPr>
              <w:t xml:space="preserve"> M</w:t>
            </w:r>
          </w:p>
        </w:tc>
        <w:tc>
          <w:tcPr>
            <w:tcW w:w="386" w:type="pct"/>
            <w:tcBorders>
              <w:top w:val="single" w:sz="6" w:space="0" w:color="auto"/>
              <w:left w:val="single" w:sz="6" w:space="0" w:color="auto"/>
              <w:bottom w:val="single" w:sz="6" w:space="0" w:color="auto"/>
              <w:right w:val="single" w:sz="6" w:space="0" w:color="auto"/>
            </w:tcBorders>
            <w:hideMark/>
          </w:tcPr>
          <w:p w14:paraId="30CE3506" w14:textId="77777777" w:rsidR="00F0485A" w:rsidRPr="00F5382B" w:rsidRDefault="00F0485A" w:rsidP="00641B35">
            <w:pPr>
              <w:spacing w:after="160" w:line="259" w:lineRule="auto"/>
              <w:jc w:val="left"/>
              <w:rPr>
                <w:rFonts w:eastAsia="Times New Roman"/>
                <w:noProof/>
                <w:sz w:val="18"/>
                <w:szCs w:val="18"/>
                <w:lang w:val="en-IE" w:eastAsia="en-IE"/>
              </w:rPr>
            </w:pPr>
            <w:r w:rsidRPr="00EE3DF9">
              <w:rPr>
                <w:rFonts w:eastAsia="Aptos"/>
                <w:noProof/>
                <w:kern w:val="2"/>
                <w:sz w:val="18"/>
                <w:szCs w:val="18"/>
                <w:lang w:val="en-US"/>
              </w:rPr>
              <w:t xml:space="preserve">EUR </w:t>
            </w:r>
            <w:r>
              <w:rPr>
                <w:rFonts w:eastAsia="Aptos"/>
                <w:noProof/>
                <w:kern w:val="2"/>
                <w:sz w:val="18"/>
                <w:szCs w:val="18"/>
                <w:lang w:val="en-US"/>
              </w:rPr>
              <w:t>6</w:t>
            </w:r>
            <w:r w:rsidRPr="00EE3DF9">
              <w:rPr>
                <w:rFonts w:eastAsia="Aptos"/>
                <w:noProof/>
                <w:kern w:val="2"/>
                <w:sz w:val="18"/>
                <w:szCs w:val="18"/>
                <w:lang w:val="en-US"/>
              </w:rPr>
              <w:t xml:space="preserve">.8 </w:t>
            </w:r>
            <w:r>
              <w:rPr>
                <w:rFonts w:eastAsia="Aptos"/>
                <w:noProof/>
                <w:kern w:val="2"/>
                <w:sz w:val="18"/>
                <w:szCs w:val="18"/>
                <w:lang w:val="en-US"/>
              </w:rPr>
              <w:t>to</w:t>
            </w:r>
            <w:r w:rsidRPr="00EE3DF9">
              <w:rPr>
                <w:rFonts w:eastAsia="Aptos"/>
                <w:noProof/>
                <w:kern w:val="2"/>
                <w:sz w:val="18"/>
                <w:szCs w:val="18"/>
                <w:lang w:val="en-US"/>
              </w:rPr>
              <w:t xml:space="preserve"> </w:t>
            </w:r>
            <w:r>
              <w:rPr>
                <w:rFonts w:eastAsia="Aptos"/>
                <w:noProof/>
                <w:kern w:val="2"/>
                <w:sz w:val="18"/>
                <w:szCs w:val="18"/>
                <w:lang w:val="en-US"/>
              </w:rPr>
              <w:t>10</w:t>
            </w:r>
            <w:r w:rsidRPr="00EE3DF9">
              <w:rPr>
                <w:rFonts w:eastAsia="Aptos"/>
                <w:noProof/>
                <w:kern w:val="2"/>
                <w:sz w:val="18"/>
                <w:szCs w:val="18"/>
                <w:lang w:val="en-US"/>
              </w:rPr>
              <w:t>.5 M</w:t>
            </w:r>
          </w:p>
          <w:p w14:paraId="71D4F15B" w14:textId="77777777" w:rsidR="00F0485A" w:rsidRPr="00EE3DF9" w:rsidRDefault="00F0485A" w:rsidP="00641B35">
            <w:pPr>
              <w:spacing w:after="160" w:line="259" w:lineRule="auto"/>
              <w:jc w:val="left"/>
              <w:rPr>
                <w:rFonts w:eastAsia="Times New Roman"/>
                <w:noProof/>
                <w:kern w:val="2"/>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113C2985" w14:textId="77777777" w:rsidR="00F0485A" w:rsidRPr="00F5382B" w:rsidRDefault="00F0485A" w:rsidP="00641B35">
            <w:pPr>
              <w:spacing w:after="0"/>
              <w:jc w:val="left"/>
              <w:textAlignment w:val="baseline"/>
              <w:rPr>
                <w:rFonts w:eastAsia="Times New Roman"/>
                <w:noProof/>
                <w:sz w:val="18"/>
                <w:szCs w:val="18"/>
                <w:lang w:val="en-IE" w:eastAsia="en-IE"/>
              </w:rPr>
            </w:pPr>
            <w:r w:rsidRPr="00EE3DF9">
              <w:rPr>
                <w:rFonts w:eastAsia="Aptos"/>
                <w:noProof/>
                <w:kern w:val="2"/>
                <w:sz w:val="18"/>
                <w:szCs w:val="18"/>
                <w:lang w:val="en-US"/>
              </w:rPr>
              <w:t xml:space="preserve">EUR </w:t>
            </w:r>
            <w:r>
              <w:rPr>
                <w:rFonts w:eastAsia="Aptos"/>
                <w:noProof/>
                <w:kern w:val="2"/>
                <w:sz w:val="18"/>
                <w:szCs w:val="18"/>
                <w:lang w:val="en-US"/>
              </w:rPr>
              <w:t>9.</w:t>
            </w:r>
            <w:r w:rsidRPr="00EE3DF9">
              <w:rPr>
                <w:rFonts w:eastAsia="Aptos"/>
                <w:noProof/>
                <w:kern w:val="2"/>
                <w:sz w:val="18"/>
                <w:szCs w:val="18"/>
                <w:lang w:val="en-US"/>
              </w:rPr>
              <w:t xml:space="preserve">5 </w:t>
            </w:r>
            <w:r>
              <w:rPr>
                <w:rFonts w:eastAsia="Aptos"/>
                <w:noProof/>
                <w:kern w:val="2"/>
                <w:sz w:val="18"/>
                <w:szCs w:val="18"/>
                <w:lang w:val="en-US"/>
              </w:rPr>
              <w:t>to</w:t>
            </w:r>
            <w:r w:rsidRPr="00EE3DF9">
              <w:rPr>
                <w:rFonts w:eastAsia="Aptos"/>
                <w:noProof/>
                <w:kern w:val="2"/>
                <w:sz w:val="18"/>
                <w:szCs w:val="18"/>
                <w:lang w:val="en-US"/>
              </w:rPr>
              <w:t xml:space="preserve"> </w:t>
            </w:r>
            <w:r>
              <w:rPr>
                <w:rFonts w:eastAsia="Aptos"/>
                <w:noProof/>
                <w:kern w:val="2"/>
                <w:sz w:val="18"/>
                <w:szCs w:val="18"/>
                <w:lang w:val="en-US"/>
              </w:rPr>
              <w:t>13.1</w:t>
            </w:r>
            <w:r w:rsidRPr="00EE3DF9">
              <w:rPr>
                <w:rFonts w:eastAsia="Aptos"/>
                <w:noProof/>
                <w:kern w:val="2"/>
                <w:sz w:val="18"/>
                <w:szCs w:val="18"/>
                <w:lang w:val="en-US"/>
              </w:rPr>
              <w:t xml:space="preserve"> M</w:t>
            </w:r>
          </w:p>
        </w:tc>
        <w:tc>
          <w:tcPr>
            <w:tcW w:w="386" w:type="pct"/>
            <w:tcBorders>
              <w:top w:val="single" w:sz="6" w:space="0" w:color="auto"/>
              <w:left w:val="single" w:sz="6" w:space="0" w:color="auto"/>
              <w:bottom w:val="single" w:sz="6" w:space="0" w:color="auto"/>
              <w:right w:val="single" w:sz="12" w:space="0" w:color="auto"/>
            </w:tcBorders>
            <w:hideMark/>
          </w:tcPr>
          <w:p w14:paraId="4C1197BA" w14:textId="77777777" w:rsidR="00F0485A" w:rsidRPr="00F5382B" w:rsidRDefault="00F0485A" w:rsidP="00641B35">
            <w:pPr>
              <w:spacing w:after="0"/>
              <w:jc w:val="left"/>
              <w:textAlignment w:val="baseline"/>
              <w:rPr>
                <w:rFonts w:eastAsia="Times New Roman"/>
                <w:noProof/>
                <w:sz w:val="18"/>
                <w:szCs w:val="18"/>
                <w:lang w:val="en-IE" w:eastAsia="en-IE"/>
              </w:rPr>
            </w:pPr>
            <w:r w:rsidRPr="00EE3DF9">
              <w:rPr>
                <w:rFonts w:eastAsia="Aptos"/>
                <w:noProof/>
                <w:kern w:val="2"/>
                <w:sz w:val="18"/>
                <w:szCs w:val="18"/>
                <w:lang w:val="en-US"/>
              </w:rPr>
              <w:t xml:space="preserve">EUR </w:t>
            </w:r>
            <w:r>
              <w:rPr>
                <w:rFonts w:eastAsia="Aptos"/>
                <w:noProof/>
                <w:kern w:val="2"/>
                <w:sz w:val="18"/>
                <w:szCs w:val="18"/>
                <w:lang w:val="en-US"/>
              </w:rPr>
              <w:t>9.</w:t>
            </w:r>
            <w:r w:rsidRPr="00EE3DF9">
              <w:rPr>
                <w:rFonts w:eastAsia="Aptos"/>
                <w:noProof/>
                <w:kern w:val="2"/>
                <w:sz w:val="18"/>
                <w:szCs w:val="18"/>
                <w:lang w:val="en-US"/>
              </w:rPr>
              <w:t>5</w:t>
            </w:r>
            <w:r>
              <w:rPr>
                <w:rFonts w:eastAsia="Aptos"/>
                <w:noProof/>
                <w:kern w:val="2"/>
                <w:sz w:val="18"/>
                <w:szCs w:val="18"/>
                <w:lang w:val="en-US"/>
              </w:rPr>
              <w:t xml:space="preserve"> to</w:t>
            </w:r>
            <w:r w:rsidRPr="00EE3DF9">
              <w:rPr>
                <w:rFonts w:eastAsia="Aptos"/>
                <w:noProof/>
                <w:kern w:val="2"/>
                <w:sz w:val="18"/>
                <w:szCs w:val="18"/>
                <w:lang w:val="en-US"/>
              </w:rPr>
              <w:t xml:space="preserve"> </w:t>
            </w:r>
            <w:r>
              <w:rPr>
                <w:rFonts w:eastAsia="Aptos"/>
                <w:noProof/>
                <w:kern w:val="2"/>
                <w:sz w:val="18"/>
                <w:szCs w:val="18"/>
                <w:lang w:val="en-US"/>
              </w:rPr>
              <w:t>13.1</w:t>
            </w:r>
            <w:r w:rsidRPr="00EE3DF9">
              <w:rPr>
                <w:rFonts w:eastAsia="Aptos"/>
                <w:noProof/>
                <w:kern w:val="2"/>
                <w:sz w:val="18"/>
                <w:szCs w:val="18"/>
                <w:lang w:val="en-US"/>
              </w:rPr>
              <w:t xml:space="preserve"> M</w:t>
            </w:r>
          </w:p>
        </w:tc>
        <w:tc>
          <w:tcPr>
            <w:tcW w:w="386" w:type="pct"/>
            <w:tcBorders>
              <w:top w:val="single" w:sz="6" w:space="0" w:color="auto"/>
              <w:left w:val="single" w:sz="12" w:space="0" w:color="auto"/>
              <w:bottom w:val="single" w:sz="6" w:space="0" w:color="auto"/>
              <w:right w:val="single" w:sz="6" w:space="0" w:color="auto"/>
            </w:tcBorders>
            <w:hideMark/>
          </w:tcPr>
          <w:p w14:paraId="59F68E30"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62B9BC8C"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N.A (A2/3)</w:t>
            </w:r>
          </w:p>
          <w:p w14:paraId="0A834365"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68BD28D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N.A (A2/3)</w:t>
            </w:r>
          </w:p>
        </w:tc>
        <w:tc>
          <w:tcPr>
            <w:tcW w:w="386" w:type="pct"/>
            <w:tcBorders>
              <w:top w:val="single" w:sz="6" w:space="0" w:color="auto"/>
              <w:left w:val="single" w:sz="12" w:space="0" w:color="auto"/>
              <w:bottom w:val="single" w:sz="6" w:space="0" w:color="auto"/>
              <w:right w:val="single" w:sz="6" w:space="0" w:color="auto"/>
            </w:tcBorders>
            <w:hideMark/>
          </w:tcPr>
          <w:p w14:paraId="3BD3E3CB"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c>
          <w:tcPr>
            <w:tcW w:w="388" w:type="pct"/>
            <w:tcBorders>
              <w:top w:val="single" w:sz="6" w:space="0" w:color="auto"/>
              <w:left w:val="single" w:sz="6" w:space="0" w:color="auto"/>
              <w:bottom w:val="single" w:sz="6" w:space="0" w:color="auto"/>
              <w:right w:val="single" w:sz="6" w:space="0" w:color="auto"/>
            </w:tcBorders>
            <w:hideMark/>
          </w:tcPr>
          <w:p w14:paraId="4AD6C4FA"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2C4F89A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r>
      <w:tr w:rsidR="00F0485A" w:rsidRPr="00F5382B" w14:paraId="21456781"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tcPr>
          <w:p w14:paraId="78B9313D"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Benefits</w:t>
            </w:r>
          </w:p>
        </w:tc>
        <w:tc>
          <w:tcPr>
            <w:tcW w:w="384" w:type="pct"/>
            <w:tcBorders>
              <w:top w:val="single" w:sz="6" w:space="0" w:color="auto"/>
              <w:left w:val="single" w:sz="6" w:space="0" w:color="auto"/>
              <w:bottom w:val="single" w:sz="6" w:space="0" w:color="auto"/>
              <w:right w:val="single" w:sz="6" w:space="0" w:color="auto"/>
            </w:tcBorders>
          </w:tcPr>
          <w:p w14:paraId="73A2D87C"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0/+ </w:t>
            </w:r>
          </w:p>
        </w:tc>
        <w:tc>
          <w:tcPr>
            <w:tcW w:w="386" w:type="pct"/>
            <w:tcBorders>
              <w:top w:val="single" w:sz="6" w:space="0" w:color="auto"/>
              <w:left w:val="single" w:sz="6" w:space="0" w:color="auto"/>
              <w:bottom w:val="single" w:sz="6" w:space="0" w:color="auto"/>
              <w:right w:val="single" w:sz="6" w:space="0" w:color="auto"/>
            </w:tcBorders>
            <w:shd w:val="clear" w:color="auto" w:fill="DEEAF6"/>
          </w:tcPr>
          <w:p w14:paraId="49581065"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 + </w:t>
            </w:r>
          </w:p>
        </w:tc>
        <w:tc>
          <w:tcPr>
            <w:tcW w:w="386" w:type="pct"/>
            <w:tcBorders>
              <w:top w:val="single" w:sz="6" w:space="0" w:color="auto"/>
              <w:left w:val="single" w:sz="6" w:space="0" w:color="auto"/>
              <w:bottom w:val="single" w:sz="6" w:space="0" w:color="auto"/>
              <w:right w:val="single" w:sz="12" w:space="0" w:color="auto"/>
            </w:tcBorders>
          </w:tcPr>
          <w:p w14:paraId="5279DC90"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xml:space="preserve">+ </w:t>
            </w:r>
          </w:p>
        </w:tc>
        <w:tc>
          <w:tcPr>
            <w:tcW w:w="386" w:type="pct"/>
            <w:tcBorders>
              <w:top w:val="single" w:sz="6" w:space="0" w:color="auto"/>
              <w:left w:val="single" w:sz="6" w:space="0" w:color="auto"/>
              <w:bottom w:val="single" w:sz="6" w:space="0" w:color="auto"/>
              <w:right w:val="single" w:sz="6" w:space="0" w:color="auto"/>
            </w:tcBorders>
            <w:hideMark/>
          </w:tcPr>
          <w:p w14:paraId="280F7367"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73CB1041"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503B85A6"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p w14:paraId="16830AD9" w14:textId="77777777" w:rsidR="00F0485A" w:rsidRPr="00F5382B" w:rsidRDefault="00F0485A" w:rsidP="00641B35">
            <w:pPr>
              <w:spacing w:after="0"/>
              <w:jc w:val="center"/>
              <w:textAlignment w:val="baseline"/>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12" w:space="0" w:color="auto"/>
            </w:tcBorders>
            <w:hideMark/>
          </w:tcPr>
          <w:p w14:paraId="3C43DCA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12" w:space="0" w:color="auto"/>
              <w:bottom w:val="single" w:sz="6" w:space="0" w:color="auto"/>
              <w:right w:val="single" w:sz="6" w:space="0" w:color="auto"/>
            </w:tcBorders>
            <w:hideMark/>
          </w:tcPr>
          <w:p w14:paraId="1273F65D"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05BF1A84"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6" w:space="0" w:color="auto"/>
              <w:bottom w:val="single" w:sz="6" w:space="0" w:color="auto"/>
              <w:right w:val="single" w:sz="12" w:space="0" w:color="auto"/>
            </w:tcBorders>
            <w:hideMark/>
          </w:tcPr>
          <w:p w14:paraId="0F68ED6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val="en-IE" w:eastAsia="en-IE"/>
              </w:rPr>
              <w:t>0</w:t>
            </w:r>
          </w:p>
        </w:tc>
        <w:tc>
          <w:tcPr>
            <w:tcW w:w="386" w:type="pct"/>
            <w:tcBorders>
              <w:top w:val="single" w:sz="6" w:space="0" w:color="auto"/>
              <w:left w:val="single" w:sz="12" w:space="0" w:color="auto"/>
              <w:bottom w:val="single" w:sz="6" w:space="0" w:color="auto"/>
              <w:right w:val="single" w:sz="6" w:space="0" w:color="auto"/>
            </w:tcBorders>
            <w:hideMark/>
          </w:tcPr>
          <w:p w14:paraId="476966A2"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c>
          <w:tcPr>
            <w:tcW w:w="388" w:type="pct"/>
            <w:tcBorders>
              <w:top w:val="single" w:sz="6" w:space="0" w:color="auto"/>
              <w:left w:val="single" w:sz="6" w:space="0" w:color="auto"/>
              <w:bottom w:val="single" w:sz="6" w:space="0" w:color="auto"/>
              <w:right w:val="single" w:sz="6" w:space="0" w:color="auto"/>
            </w:tcBorders>
            <w:hideMark/>
          </w:tcPr>
          <w:p w14:paraId="31932E3E"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c>
          <w:tcPr>
            <w:tcW w:w="386" w:type="pct"/>
            <w:tcBorders>
              <w:top w:val="single" w:sz="6" w:space="0" w:color="auto"/>
              <w:left w:val="single" w:sz="6" w:space="0" w:color="auto"/>
              <w:bottom w:val="single" w:sz="6" w:space="0" w:color="auto"/>
              <w:right w:val="single" w:sz="6" w:space="0" w:color="auto"/>
            </w:tcBorders>
            <w:shd w:val="clear" w:color="auto" w:fill="DEEAF6"/>
            <w:hideMark/>
          </w:tcPr>
          <w:p w14:paraId="7661CEBF" w14:textId="77777777" w:rsidR="00F0485A" w:rsidRPr="00F5382B" w:rsidRDefault="00F0485A" w:rsidP="00641B35">
            <w:pPr>
              <w:spacing w:after="0"/>
              <w:jc w:val="center"/>
              <w:textAlignment w:val="baseline"/>
              <w:rPr>
                <w:rFonts w:eastAsia="Times New Roman"/>
                <w:noProof/>
                <w:sz w:val="18"/>
                <w:szCs w:val="18"/>
                <w:lang w:val="en-IE" w:eastAsia="en-IE"/>
              </w:rPr>
            </w:pPr>
            <w:r w:rsidRPr="00F5382B">
              <w:rPr>
                <w:rFonts w:eastAsia="Times New Roman"/>
                <w:noProof/>
                <w:sz w:val="18"/>
                <w:szCs w:val="18"/>
                <w:lang w:eastAsia="en-IE"/>
              </w:rPr>
              <w:t>N.A</w:t>
            </w:r>
          </w:p>
        </w:tc>
      </w:tr>
      <w:tr w:rsidR="00F0485A" w:rsidRPr="00F5382B" w14:paraId="448F9E85" w14:textId="77777777" w:rsidTr="00641B35">
        <w:trPr>
          <w:trHeight w:val="300"/>
        </w:trPr>
        <w:tc>
          <w:tcPr>
            <w:tcW w:w="369" w:type="pct"/>
            <w:tcBorders>
              <w:top w:val="single" w:sz="6" w:space="0" w:color="auto"/>
              <w:left w:val="single" w:sz="6" w:space="0" w:color="auto"/>
              <w:bottom w:val="single" w:sz="6" w:space="0" w:color="auto"/>
              <w:right w:val="single" w:sz="6" w:space="0" w:color="auto"/>
            </w:tcBorders>
            <w:shd w:val="clear" w:color="auto" w:fill="EFF9CF"/>
            <w:hideMark/>
          </w:tcPr>
          <w:p w14:paraId="7EA08BE9" w14:textId="77777777" w:rsidR="00F0485A" w:rsidRPr="00F5382B" w:rsidRDefault="00F0485A" w:rsidP="00641B35">
            <w:pPr>
              <w:spacing w:after="0"/>
              <w:textAlignment w:val="baseline"/>
              <w:rPr>
                <w:rFonts w:eastAsia="Times New Roman"/>
                <w:noProof/>
                <w:sz w:val="18"/>
                <w:szCs w:val="18"/>
                <w:lang w:val="fr-BE" w:eastAsia="en-IE"/>
              </w:rPr>
            </w:pPr>
            <w:r w:rsidRPr="00F5382B">
              <w:rPr>
                <w:rFonts w:eastAsia="Times New Roman"/>
                <w:b/>
                <w:bCs/>
                <w:noProof/>
                <w:sz w:val="18"/>
                <w:szCs w:val="18"/>
                <w:lang w:val="fr-BE" w:eastAsia="en-IE"/>
              </w:rPr>
              <w:t>Net Value</w:t>
            </w:r>
          </w:p>
          <w:p w14:paraId="702477DB" w14:textId="77777777" w:rsidR="00F0485A" w:rsidRPr="00F5382B" w:rsidRDefault="00F0485A" w:rsidP="00641B35">
            <w:pPr>
              <w:spacing w:after="0"/>
              <w:textAlignment w:val="baseline"/>
              <w:rPr>
                <w:rFonts w:eastAsia="Times New Roman"/>
                <w:noProof/>
                <w:sz w:val="18"/>
                <w:szCs w:val="18"/>
                <w:lang w:val="fr-BE" w:eastAsia="en-IE"/>
              </w:rPr>
            </w:pPr>
            <w:r w:rsidRPr="00F5382B">
              <w:rPr>
                <w:rFonts w:eastAsia="Times New Roman"/>
                <w:b/>
                <w:bCs/>
                <w:noProof/>
                <w:sz w:val="18"/>
                <w:szCs w:val="18"/>
                <w:lang w:val="fr-BE" w:eastAsia="en-IE"/>
              </w:rPr>
              <w:t>(5 years)</w:t>
            </w:r>
            <w:r w:rsidRPr="00F5382B">
              <w:rPr>
                <w:rFonts w:eastAsia="Times New Roman"/>
                <w:noProof/>
                <w:sz w:val="18"/>
                <w:szCs w:val="18"/>
                <w:lang w:val="fr-BE" w:eastAsia="en-IE"/>
              </w:rPr>
              <w:t> </w:t>
            </w:r>
          </w:p>
        </w:tc>
        <w:tc>
          <w:tcPr>
            <w:tcW w:w="384" w:type="pct"/>
            <w:tcBorders>
              <w:top w:val="single" w:sz="6" w:space="0" w:color="auto"/>
              <w:left w:val="single" w:sz="6" w:space="0" w:color="auto"/>
              <w:bottom w:val="single" w:sz="6" w:space="0" w:color="auto"/>
              <w:right w:val="single" w:sz="6" w:space="0" w:color="auto"/>
            </w:tcBorders>
            <w:shd w:val="clear" w:color="auto" w:fill="EFF9CF"/>
            <w:hideMark/>
          </w:tcPr>
          <w:p w14:paraId="42170378" w14:textId="77777777" w:rsidR="00F0485A" w:rsidRPr="00F5382B" w:rsidRDefault="00F0485A" w:rsidP="00641B35">
            <w:pPr>
              <w:spacing w:after="0"/>
              <w:textAlignment w:val="baseline"/>
              <w:rPr>
                <w:rFonts w:eastAsia="Times New Roman"/>
                <w:b/>
                <w:bCs/>
                <w:noProof/>
                <w:sz w:val="18"/>
                <w:szCs w:val="18"/>
                <w:lang w:val="fr-BE" w:eastAsia="en-IE"/>
              </w:rPr>
            </w:pPr>
            <w:r w:rsidRPr="00F5382B">
              <w:rPr>
                <w:rFonts w:eastAsia="Times New Roman"/>
                <w:noProof/>
                <w:sz w:val="18"/>
                <w:szCs w:val="18"/>
                <w:lang w:val="fr-BE" w:eastAsia="en-IE"/>
              </w:rPr>
              <w:t xml:space="preserve"> 0/+</w:t>
            </w:r>
          </w:p>
        </w:tc>
        <w:tc>
          <w:tcPr>
            <w:tcW w:w="386" w:type="pct"/>
            <w:tcBorders>
              <w:top w:val="single" w:sz="6" w:space="0" w:color="auto"/>
              <w:left w:val="single" w:sz="6" w:space="0" w:color="auto"/>
              <w:bottom w:val="single" w:sz="6" w:space="0" w:color="auto"/>
              <w:right w:val="single" w:sz="6" w:space="0" w:color="auto"/>
            </w:tcBorders>
            <w:shd w:val="clear" w:color="auto" w:fill="EFF9CF"/>
            <w:hideMark/>
          </w:tcPr>
          <w:p w14:paraId="07ECF6A0" w14:textId="77777777" w:rsidR="00F0485A" w:rsidRPr="00F5382B" w:rsidRDefault="00F0485A" w:rsidP="00641B35">
            <w:pPr>
              <w:spacing w:after="0"/>
              <w:textAlignment w:val="baseline"/>
              <w:rPr>
                <w:rFonts w:eastAsia="Times New Roman"/>
                <w:b/>
                <w:bCs/>
                <w:noProof/>
                <w:sz w:val="18"/>
                <w:szCs w:val="18"/>
                <w:lang w:val="fr-BE" w:eastAsia="en-IE"/>
              </w:rPr>
            </w:pPr>
            <w:r w:rsidRPr="00F5382B">
              <w:rPr>
                <w:rFonts w:eastAsia="Times New Roman"/>
                <w:noProof/>
                <w:sz w:val="18"/>
                <w:szCs w:val="18"/>
                <w:lang w:val="en-IE" w:eastAsia="en-IE"/>
              </w:rPr>
              <w:t xml:space="preserve"> </w:t>
            </w:r>
            <w:r w:rsidRPr="00F5382B">
              <w:rPr>
                <w:rFonts w:eastAsia="Times New Roman"/>
                <w:b/>
                <w:bCs/>
                <w:noProof/>
                <w:sz w:val="18"/>
                <w:szCs w:val="18"/>
                <w:lang w:val="en-IE" w:eastAsia="en-IE"/>
              </w:rPr>
              <w:t xml:space="preserve">- EUR </w:t>
            </w:r>
            <w:r>
              <w:rPr>
                <w:rFonts w:eastAsia="Times New Roman"/>
                <w:b/>
                <w:bCs/>
                <w:noProof/>
                <w:sz w:val="18"/>
                <w:szCs w:val="18"/>
                <w:lang w:val="en-IE" w:eastAsia="en-IE"/>
              </w:rPr>
              <w:t>1</w:t>
            </w:r>
            <w:r w:rsidRPr="00F5382B">
              <w:rPr>
                <w:rFonts w:eastAsia="Times New Roman"/>
                <w:b/>
                <w:bCs/>
                <w:noProof/>
                <w:sz w:val="18"/>
                <w:szCs w:val="18"/>
                <w:lang w:val="en-IE" w:eastAsia="en-IE"/>
              </w:rPr>
              <w:t>4</w:t>
            </w:r>
            <w:r>
              <w:rPr>
                <w:rFonts w:eastAsia="Times New Roman"/>
                <w:b/>
                <w:bCs/>
                <w:noProof/>
                <w:sz w:val="18"/>
                <w:szCs w:val="18"/>
                <w:lang w:val="en-IE" w:eastAsia="en-IE"/>
              </w:rPr>
              <w:t>8</w:t>
            </w:r>
            <w:r w:rsidRPr="00F5382B">
              <w:rPr>
                <w:rFonts w:eastAsia="Times New Roman"/>
                <w:b/>
                <w:bCs/>
                <w:noProof/>
                <w:sz w:val="18"/>
                <w:szCs w:val="18"/>
                <w:lang w:val="en-IE" w:eastAsia="en-IE"/>
              </w:rPr>
              <w:t>.</w:t>
            </w:r>
            <w:r>
              <w:rPr>
                <w:rFonts w:eastAsia="Times New Roman"/>
                <w:b/>
                <w:bCs/>
                <w:noProof/>
                <w:sz w:val="18"/>
                <w:szCs w:val="18"/>
                <w:lang w:val="en-IE" w:eastAsia="en-IE"/>
              </w:rPr>
              <w:t>12</w:t>
            </w:r>
            <w:r w:rsidRPr="00F5382B">
              <w:rPr>
                <w:rFonts w:eastAsia="Times New Roman"/>
                <w:b/>
                <w:bCs/>
                <w:noProof/>
                <w:sz w:val="18"/>
                <w:szCs w:val="18"/>
                <w:lang w:val="en-IE" w:eastAsia="en-IE"/>
              </w:rPr>
              <w:t xml:space="preserve"> M</w:t>
            </w:r>
          </w:p>
        </w:tc>
        <w:tc>
          <w:tcPr>
            <w:tcW w:w="386" w:type="pct"/>
            <w:tcBorders>
              <w:top w:val="single" w:sz="6" w:space="0" w:color="auto"/>
              <w:left w:val="single" w:sz="6" w:space="0" w:color="auto"/>
              <w:bottom w:val="single" w:sz="6" w:space="0" w:color="auto"/>
              <w:right w:val="single" w:sz="12" w:space="0" w:color="auto"/>
            </w:tcBorders>
            <w:shd w:val="clear" w:color="auto" w:fill="EFF9CF"/>
            <w:hideMark/>
          </w:tcPr>
          <w:p w14:paraId="28BE1E69" w14:textId="77777777" w:rsidR="00F0485A" w:rsidRPr="00F5382B" w:rsidRDefault="00F0485A" w:rsidP="00641B35">
            <w:pPr>
              <w:spacing w:after="0"/>
              <w:textAlignment w:val="baseline"/>
              <w:rPr>
                <w:rFonts w:eastAsia="Times New Roman"/>
                <w:b/>
                <w:bCs/>
                <w:noProof/>
                <w:sz w:val="18"/>
                <w:szCs w:val="18"/>
                <w:lang w:val="en-IE" w:eastAsia="en-IE"/>
              </w:rPr>
            </w:pPr>
            <w:r w:rsidRPr="00F5382B">
              <w:rPr>
                <w:rFonts w:eastAsia="Times New Roman"/>
                <w:b/>
                <w:bCs/>
                <w:noProof/>
                <w:sz w:val="18"/>
                <w:szCs w:val="18"/>
                <w:lang w:val="en-IE" w:eastAsia="en-IE"/>
              </w:rPr>
              <w:t xml:space="preserve"> </w:t>
            </w:r>
            <w:r w:rsidRPr="00F5382B">
              <w:rPr>
                <w:b/>
                <w:noProof/>
                <w:sz w:val="18"/>
                <w:szCs w:val="18"/>
                <w:lang w:val="en-IE" w:eastAsia="en-IE"/>
              </w:rPr>
              <w:t xml:space="preserve">- EUR </w:t>
            </w:r>
            <w:r>
              <w:rPr>
                <w:b/>
                <w:noProof/>
                <w:sz w:val="18"/>
                <w:szCs w:val="18"/>
                <w:lang w:val="en-IE" w:eastAsia="en-IE"/>
              </w:rPr>
              <w:t>165.3</w:t>
            </w:r>
            <w:r w:rsidRPr="00F5382B">
              <w:rPr>
                <w:b/>
                <w:noProof/>
                <w:sz w:val="18"/>
                <w:szCs w:val="18"/>
                <w:lang w:val="en-IE" w:eastAsia="en-IE"/>
              </w:rPr>
              <w:t xml:space="preserve"> M</w:t>
            </w:r>
          </w:p>
        </w:tc>
        <w:tc>
          <w:tcPr>
            <w:tcW w:w="386" w:type="pct"/>
            <w:tcBorders>
              <w:top w:val="single" w:sz="6" w:space="0" w:color="auto"/>
              <w:left w:val="single" w:sz="6" w:space="0" w:color="auto"/>
              <w:bottom w:val="single" w:sz="6" w:space="0" w:color="auto"/>
              <w:right w:val="single" w:sz="6" w:space="0" w:color="auto"/>
            </w:tcBorders>
            <w:shd w:val="clear" w:color="auto" w:fill="EFF9CF"/>
            <w:hideMark/>
          </w:tcPr>
          <w:p w14:paraId="20A16429" w14:textId="77777777" w:rsidR="00F0485A" w:rsidRDefault="00F0485A" w:rsidP="00641B35">
            <w:pPr>
              <w:spacing w:after="160" w:line="259" w:lineRule="auto"/>
              <w:jc w:val="left"/>
              <w:rPr>
                <w:rFonts w:eastAsia="Aptos"/>
                <w:b/>
                <w:bCs/>
                <w:noProof/>
                <w:kern w:val="2"/>
                <w:sz w:val="18"/>
                <w:szCs w:val="18"/>
                <w:lang w:val="en-US"/>
              </w:rPr>
            </w:pPr>
            <w:r w:rsidRPr="00360BCF">
              <w:rPr>
                <w:rFonts w:eastAsia="Aptos"/>
                <w:b/>
                <w:bCs/>
                <w:noProof/>
                <w:kern w:val="2"/>
                <w:sz w:val="18"/>
                <w:szCs w:val="18"/>
                <w:lang w:val="en-US"/>
              </w:rPr>
              <w:t>EUR 6.8 to 10.5 M</w:t>
            </w:r>
            <w:r>
              <w:rPr>
                <w:rFonts w:eastAsia="Aptos"/>
                <w:noProof/>
                <w:kern w:val="2"/>
                <w:sz w:val="18"/>
                <w:szCs w:val="18"/>
                <w:lang w:val="en-US"/>
              </w:rPr>
              <w:t xml:space="preserve"> </w:t>
            </w:r>
            <w:r w:rsidRPr="00EE3DF9">
              <w:rPr>
                <w:rFonts w:eastAsia="Aptos"/>
                <w:b/>
                <w:bCs/>
                <w:noProof/>
                <w:kern w:val="2"/>
                <w:sz w:val="18"/>
                <w:szCs w:val="18"/>
                <w:lang w:val="en-US"/>
              </w:rPr>
              <w:t>+</w:t>
            </w:r>
          </w:p>
          <w:p w14:paraId="6A8C2D58" w14:textId="77777777" w:rsidR="00F0485A" w:rsidRPr="00360BCF" w:rsidRDefault="00F0485A" w:rsidP="00641B35">
            <w:pPr>
              <w:spacing w:after="160" w:line="259" w:lineRule="auto"/>
              <w:jc w:val="left"/>
              <w:rPr>
                <w:rFonts w:eastAsia="Times New Roman"/>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EFF9CF"/>
            <w:hideMark/>
          </w:tcPr>
          <w:p w14:paraId="1EB46881" w14:textId="77777777" w:rsidR="00F0485A" w:rsidRPr="00EE3DF9" w:rsidRDefault="00F0485A" w:rsidP="00641B35">
            <w:pPr>
              <w:spacing w:after="0"/>
              <w:jc w:val="left"/>
              <w:textAlignment w:val="baseline"/>
              <w:rPr>
                <w:rFonts w:eastAsia="Aptos"/>
                <w:b/>
                <w:bCs/>
                <w:noProof/>
                <w:kern w:val="2"/>
                <w:sz w:val="18"/>
                <w:szCs w:val="18"/>
                <w:lang w:val="en-US"/>
              </w:rPr>
            </w:pPr>
            <w:r w:rsidRPr="00EE3DF9">
              <w:rPr>
                <w:rFonts w:eastAsia="Aptos"/>
                <w:b/>
                <w:bCs/>
                <w:noProof/>
                <w:kern w:val="2"/>
                <w:sz w:val="18"/>
                <w:szCs w:val="18"/>
                <w:lang w:val="en-US"/>
              </w:rPr>
              <w:t xml:space="preserve"> EUR </w:t>
            </w:r>
            <w:r w:rsidRPr="00360BCF">
              <w:rPr>
                <w:rFonts w:eastAsia="Aptos"/>
                <w:b/>
                <w:bCs/>
                <w:noProof/>
                <w:kern w:val="2"/>
                <w:sz w:val="18"/>
                <w:szCs w:val="18"/>
                <w:lang w:val="en-US"/>
              </w:rPr>
              <w:t>9.</w:t>
            </w:r>
            <w:r w:rsidRPr="00EE3DF9">
              <w:rPr>
                <w:rFonts w:eastAsia="Aptos"/>
                <w:b/>
                <w:bCs/>
                <w:noProof/>
                <w:kern w:val="2"/>
                <w:sz w:val="18"/>
                <w:szCs w:val="18"/>
                <w:lang w:val="en-US"/>
              </w:rPr>
              <w:t xml:space="preserve">5 to </w:t>
            </w:r>
            <w:r w:rsidRPr="00360BCF">
              <w:rPr>
                <w:rFonts w:eastAsia="Aptos"/>
                <w:b/>
                <w:bCs/>
                <w:noProof/>
                <w:kern w:val="2"/>
                <w:sz w:val="18"/>
                <w:szCs w:val="18"/>
                <w:lang w:val="en-US"/>
              </w:rPr>
              <w:t>13.1</w:t>
            </w:r>
            <w:r w:rsidRPr="00EE3DF9">
              <w:rPr>
                <w:rFonts w:eastAsia="Aptos"/>
                <w:b/>
                <w:bCs/>
                <w:noProof/>
                <w:kern w:val="2"/>
                <w:sz w:val="18"/>
                <w:szCs w:val="18"/>
                <w:lang w:val="en-US"/>
              </w:rPr>
              <w:t xml:space="preserve"> M</w:t>
            </w:r>
          </w:p>
          <w:p w14:paraId="0A19E70C"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6" w:space="0" w:color="auto"/>
              <w:bottom w:val="single" w:sz="6" w:space="0" w:color="auto"/>
              <w:right w:val="single" w:sz="12" w:space="0" w:color="auto"/>
            </w:tcBorders>
            <w:shd w:val="clear" w:color="auto" w:fill="EFF9CF"/>
            <w:hideMark/>
          </w:tcPr>
          <w:p w14:paraId="1EC16418" w14:textId="77777777" w:rsidR="00F0485A" w:rsidRPr="00360BCF" w:rsidRDefault="00F0485A" w:rsidP="00641B35">
            <w:pPr>
              <w:spacing w:after="0"/>
              <w:jc w:val="left"/>
              <w:textAlignment w:val="baseline"/>
              <w:rPr>
                <w:rFonts w:eastAsia="Aptos"/>
                <w:b/>
                <w:bCs/>
                <w:noProof/>
                <w:kern w:val="2"/>
                <w:sz w:val="18"/>
                <w:szCs w:val="18"/>
                <w:lang w:val="en-US"/>
              </w:rPr>
            </w:pPr>
            <w:r w:rsidRPr="00360BCF">
              <w:rPr>
                <w:rFonts w:eastAsia="Aptos"/>
                <w:b/>
                <w:bCs/>
                <w:noProof/>
                <w:kern w:val="2"/>
                <w:sz w:val="18"/>
                <w:szCs w:val="18"/>
                <w:lang w:val="en-US"/>
              </w:rPr>
              <w:t>EUR 9.5 to 13.1 M</w:t>
            </w:r>
          </w:p>
          <w:p w14:paraId="7C29B10D" w14:textId="77777777" w:rsidR="00F0485A" w:rsidRPr="00F5382B" w:rsidRDefault="00F0485A" w:rsidP="00641B35">
            <w:pPr>
              <w:spacing w:after="0"/>
              <w:jc w:val="left"/>
              <w:textAlignment w:val="baseline"/>
              <w:rPr>
                <w:rFonts w:eastAsia="Times New Roman"/>
                <w:noProof/>
                <w:sz w:val="18"/>
                <w:szCs w:val="18"/>
                <w:lang w:val="en-IE" w:eastAsia="en-IE"/>
              </w:rPr>
            </w:pPr>
            <w:r w:rsidRPr="00F5382B">
              <w:rPr>
                <w:rFonts w:eastAsia="Times New Roman"/>
                <w:noProof/>
                <w:sz w:val="18"/>
                <w:szCs w:val="18"/>
                <w:lang w:val="en-IE" w:eastAsia="en-IE"/>
              </w:rPr>
              <w:t>++</w:t>
            </w:r>
          </w:p>
        </w:tc>
        <w:tc>
          <w:tcPr>
            <w:tcW w:w="386" w:type="pct"/>
            <w:tcBorders>
              <w:top w:val="single" w:sz="6" w:space="0" w:color="auto"/>
              <w:left w:val="single" w:sz="12" w:space="0" w:color="auto"/>
              <w:bottom w:val="single" w:sz="6" w:space="0" w:color="auto"/>
              <w:right w:val="single" w:sz="6" w:space="0" w:color="auto"/>
            </w:tcBorders>
            <w:shd w:val="clear" w:color="auto" w:fill="EFF9CF"/>
            <w:hideMark/>
          </w:tcPr>
          <w:p w14:paraId="667A32BC" w14:textId="77777777" w:rsidR="00F0485A" w:rsidRPr="00F5382B" w:rsidRDefault="00F0485A" w:rsidP="00641B35">
            <w:pPr>
              <w:spacing w:after="0"/>
              <w:jc w:val="left"/>
              <w:textAlignment w:val="baseline"/>
              <w:rPr>
                <w:rFonts w:eastAsia="Times New Roman"/>
                <w:b/>
                <w:bCs/>
                <w:noProof/>
                <w:sz w:val="18"/>
                <w:szCs w:val="18"/>
                <w:lang w:val="en-IE" w:eastAsia="en-IE"/>
              </w:rPr>
            </w:pPr>
          </w:p>
        </w:tc>
        <w:tc>
          <w:tcPr>
            <w:tcW w:w="386" w:type="pct"/>
            <w:tcBorders>
              <w:top w:val="single" w:sz="6" w:space="0" w:color="auto"/>
              <w:left w:val="single" w:sz="6" w:space="0" w:color="auto"/>
              <w:bottom w:val="single" w:sz="6" w:space="0" w:color="auto"/>
              <w:right w:val="single" w:sz="6" w:space="0" w:color="auto"/>
            </w:tcBorders>
            <w:shd w:val="clear" w:color="auto" w:fill="EFF9CF"/>
            <w:hideMark/>
          </w:tcPr>
          <w:p w14:paraId="78F94F9A" w14:textId="77777777" w:rsidR="00F0485A" w:rsidRPr="00F5382B" w:rsidRDefault="00F0485A" w:rsidP="00641B35">
            <w:pPr>
              <w:spacing w:after="0"/>
              <w:jc w:val="left"/>
              <w:textAlignment w:val="baseline"/>
              <w:rPr>
                <w:rFonts w:eastAsia="Times New Roman"/>
                <w:b/>
                <w:bCs/>
                <w:noProof/>
                <w:sz w:val="18"/>
                <w:szCs w:val="18"/>
                <w:lang w:val="en-IE" w:eastAsia="en-IE"/>
              </w:rPr>
            </w:pPr>
            <w:r w:rsidRPr="00F5382B">
              <w:rPr>
                <w:rFonts w:eastAsia="Times New Roman"/>
                <w:noProof/>
                <w:sz w:val="18"/>
                <w:szCs w:val="18"/>
                <w:lang w:val="en-IE" w:eastAsia="en-IE"/>
              </w:rPr>
              <w:t>(A2/3)</w:t>
            </w:r>
          </w:p>
        </w:tc>
        <w:tc>
          <w:tcPr>
            <w:tcW w:w="386" w:type="pct"/>
            <w:tcBorders>
              <w:top w:val="single" w:sz="6" w:space="0" w:color="auto"/>
              <w:left w:val="single" w:sz="6" w:space="0" w:color="auto"/>
              <w:bottom w:val="single" w:sz="6" w:space="0" w:color="auto"/>
              <w:right w:val="single" w:sz="12" w:space="0" w:color="auto"/>
            </w:tcBorders>
            <w:shd w:val="clear" w:color="auto" w:fill="EFF9CF"/>
            <w:hideMark/>
          </w:tcPr>
          <w:p w14:paraId="0F6FCA13" w14:textId="77777777" w:rsidR="00F0485A" w:rsidRPr="00F5382B" w:rsidRDefault="00F0485A" w:rsidP="00641B35">
            <w:pPr>
              <w:spacing w:after="0"/>
              <w:jc w:val="center"/>
              <w:textAlignment w:val="baseline"/>
              <w:rPr>
                <w:rFonts w:eastAsia="Times New Roman"/>
                <w:b/>
                <w:bCs/>
                <w:noProof/>
                <w:sz w:val="18"/>
                <w:szCs w:val="18"/>
                <w:lang w:val="en-IE" w:eastAsia="en-IE"/>
              </w:rPr>
            </w:pPr>
            <w:r w:rsidRPr="00F5382B">
              <w:rPr>
                <w:rFonts w:eastAsia="Times New Roman"/>
                <w:noProof/>
                <w:sz w:val="18"/>
                <w:szCs w:val="18"/>
                <w:lang w:val="en-IE" w:eastAsia="en-IE"/>
              </w:rPr>
              <w:t>(A2/3)</w:t>
            </w:r>
          </w:p>
        </w:tc>
        <w:tc>
          <w:tcPr>
            <w:tcW w:w="386" w:type="pct"/>
            <w:tcBorders>
              <w:top w:val="single" w:sz="6" w:space="0" w:color="auto"/>
              <w:left w:val="single" w:sz="12" w:space="0" w:color="auto"/>
              <w:bottom w:val="single" w:sz="6" w:space="0" w:color="auto"/>
              <w:right w:val="single" w:sz="6" w:space="0" w:color="auto"/>
            </w:tcBorders>
            <w:shd w:val="clear" w:color="auto" w:fill="EFF9CF"/>
            <w:hideMark/>
          </w:tcPr>
          <w:p w14:paraId="4EA7E995"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N.A</w:t>
            </w:r>
          </w:p>
        </w:tc>
        <w:tc>
          <w:tcPr>
            <w:tcW w:w="388" w:type="pct"/>
            <w:tcBorders>
              <w:top w:val="single" w:sz="6" w:space="0" w:color="auto"/>
              <w:left w:val="single" w:sz="6" w:space="0" w:color="auto"/>
              <w:bottom w:val="single" w:sz="6" w:space="0" w:color="auto"/>
              <w:right w:val="single" w:sz="6" w:space="0" w:color="auto"/>
            </w:tcBorders>
            <w:shd w:val="clear" w:color="auto" w:fill="EFF9CF"/>
            <w:hideMark/>
          </w:tcPr>
          <w:p w14:paraId="1AB8D931"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val="en-IE" w:eastAsia="en-IE"/>
              </w:rPr>
              <w:t> </w:t>
            </w:r>
            <w:r w:rsidRPr="00F5382B">
              <w:rPr>
                <w:rFonts w:eastAsia="Times New Roman"/>
                <w:noProof/>
                <w:sz w:val="18"/>
                <w:szCs w:val="18"/>
                <w:lang w:eastAsia="en-IE"/>
              </w:rPr>
              <w:t>N.A</w:t>
            </w:r>
          </w:p>
        </w:tc>
        <w:tc>
          <w:tcPr>
            <w:tcW w:w="386" w:type="pct"/>
            <w:tcBorders>
              <w:top w:val="single" w:sz="6" w:space="0" w:color="auto"/>
              <w:left w:val="single" w:sz="6" w:space="0" w:color="auto"/>
              <w:bottom w:val="single" w:sz="6" w:space="0" w:color="auto"/>
              <w:right w:val="single" w:sz="6" w:space="0" w:color="auto"/>
            </w:tcBorders>
            <w:shd w:val="clear" w:color="auto" w:fill="EFF9CF"/>
            <w:hideMark/>
          </w:tcPr>
          <w:p w14:paraId="4070DB08" w14:textId="77777777" w:rsidR="00F0485A" w:rsidRPr="00F5382B" w:rsidRDefault="00F0485A" w:rsidP="00641B35">
            <w:pPr>
              <w:spacing w:after="0"/>
              <w:textAlignment w:val="baseline"/>
              <w:rPr>
                <w:rFonts w:eastAsia="Times New Roman"/>
                <w:noProof/>
                <w:sz w:val="18"/>
                <w:szCs w:val="18"/>
                <w:lang w:val="en-IE" w:eastAsia="en-IE"/>
              </w:rPr>
            </w:pPr>
            <w:r w:rsidRPr="00F5382B">
              <w:rPr>
                <w:rFonts w:eastAsia="Times New Roman"/>
                <w:noProof/>
                <w:sz w:val="18"/>
                <w:szCs w:val="18"/>
                <w:lang w:eastAsia="en-IE"/>
              </w:rPr>
              <w:t>N.A</w:t>
            </w:r>
          </w:p>
        </w:tc>
      </w:tr>
    </w:tbl>
    <w:p w14:paraId="5ED0420C" w14:textId="5FA51ED4" w:rsidR="00EE3DF9" w:rsidRPr="00F5382B" w:rsidRDefault="004A2030" w:rsidP="00F0485A">
      <w:pPr>
        <w:pStyle w:val="AnnexTitle0"/>
        <w:jc w:val="both"/>
        <w:rPr>
          <w:noProof/>
        </w:rPr>
      </w:pPr>
      <w:r>
        <w:rPr>
          <w:noProof/>
        </w:rPr>
        <w:br w:type="textWrapping" w:clear="all"/>
      </w:r>
      <w:r w:rsidR="00EE3DF9" w:rsidRPr="00F5382B">
        <w:rPr>
          <w:noProof/>
        </w:rPr>
        <w:br w:type="page"/>
      </w:r>
    </w:p>
    <w:p w14:paraId="7682C13D" w14:textId="77777777" w:rsidR="00EE3DF9" w:rsidRPr="00F5382B" w:rsidRDefault="00EE3DF9" w:rsidP="00EE3DF9">
      <w:pPr>
        <w:spacing w:after="200" w:line="276" w:lineRule="auto"/>
        <w:jc w:val="left"/>
        <w:rPr>
          <w:b/>
          <w:bCs/>
          <w:noProof/>
          <w:lang w:val="en-US"/>
        </w:rPr>
        <w:sectPr w:rsidR="00EE3DF9" w:rsidRPr="00F5382B" w:rsidSect="00EE3DF9">
          <w:headerReference w:type="default" r:id="rId191"/>
          <w:footerReference w:type="default" r:id="rId192"/>
          <w:headerReference w:type="first" r:id="rId193"/>
          <w:footerReference w:type="first" r:id="rId194"/>
          <w:pgSz w:w="16838" w:h="11906" w:orient="landscape"/>
          <w:pgMar w:top="1587" w:right="1020" w:bottom="1701" w:left="1020" w:header="601" w:footer="1077" w:gutter="0"/>
          <w:cols w:space="720"/>
          <w:titlePg/>
          <w:docGrid w:linePitch="326"/>
        </w:sectPr>
      </w:pPr>
    </w:p>
    <w:p w14:paraId="113C3D2B" w14:textId="77777777" w:rsidR="00EE3DF9" w:rsidRPr="00F5382B" w:rsidRDefault="00EE3DF9" w:rsidP="00D52AD8">
      <w:pPr>
        <w:numPr>
          <w:ilvl w:val="0"/>
          <w:numId w:val="115"/>
        </w:numPr>
        <w:spacing w:after="120"/>
        <w:textAlignment w:val="baseline"/>
        <w:rPr>
          <w:rFonts w:eastAsia="Times New Roman"/>
          <w:b/>
          <w:bCs/>
          <w:smallCaps/>
          <w:noProof/>
          <w:lang w:eastAsia="en-IE"/>
        </w:rPr>
      </w:pPr>
      <w:r w:rsidRPr="00F5382B">
        <w:rPr>
          <w:rFonts w:eastAsia="Times New Roman"/>
          <w:b/>
          <w:bCs/>
          <w:smallCaps/>
          <w:noProof/>
          <w:lang w:eastAsia="en-IE"/>
        </w:rPr>
        <w:t>coherence</w:t>
      </w:r>
    </w:p>
    <w:p w14:paraId="4F0365C6" w14:textId="77777777" w:rsidR="00EE3DF9" w:rsidRPr="00F5382B" w:rsidRDefault="00EE3DF9" w:rsidP="00EE3DF9">
      <w:pPr>
        <w:spacing w:after="120"/>
        <w:rPr>
          <w:rFonts w:eastAsiaTheme="minorEastAsia"/>
          <w:noProof/>
        </w:rPr>
      </w:pPr>
      <w:r w:rsidRPr="00F5382B">
        <w:rPr>
          <w:rFonts w:eastAsiaTheme="minorEastAsia"/>
          <w:noProof/>
        </w:rPr>
        <w:t>The assessment of coherence focuses on alignment with the EU’s overarching policy framework, including the EU Cybersecurity Strategy and key existing and future legislative instruments. It also considers whether the options are coherent with the international developments, namely:</w:t>
      </w:r>
    </w:p>
    <w:p w14:paraId="50643DE3" w14:textId="505BBB39" w:rsidR="00EE3DF9" w:rsidRPr="00F5382B" w:rsidRDefault="00EE3DF9" w:rsidP="00EE3DF9">
      <w:pPr>
        <w:pStyle w:val="ListParagraph"/>
        <w:numPr>
          <w:ilvl w:val="0"/>
          <w:numId w:val="39"/>
        </w:numPr>
        <w:spacing w:after="120"/>
        <w:ind w:left="425" w:hanging="357"/>
        <w:contextualSpacing w:val="0"/>
        <w:rPr>
          <w:rFonts w:eastAsiaTheme="minorEastAsia"/>
          <w:noProof/>
        </w:rPr>
      </w:pPr>
      <w:r w:rsidRPr="00F5382B">
        <w:rPr>
          <w:rFonts w:eastAsiaTheme="minorEastAsia"/>
          <w:b/>
          <w:bCs/>
          <w:noProof/>
        </w:rPr>
        <w:t>NIS2 Directive:</w:t>
      </w:r>
      <w:r w:rsidRPr="00F5382B">
        <w:rPr>
          <w:rFonts w:eastAsiaTheme="minorEastAsia"/>
          <w:noProof/>
        </w:rPr>
        <w:t xml:space="preserve"> Option A.1, streamlines ENISA’s mandate and continue implementing tasks prescribed by the NIS 2 in particular in the area of support for policy implementation and operational cooperation (medium coherence). Options A.2 further reinforces NIS 2 Directive objectives on cooperation in information exchange to prevent or mitigate incidents, within the CSIRTs network and EU-CyCLONe. It also delivers on the NIS 2 provision on coordinated vulnerability disclosure (high coherence). Option A.3 by going further in the support of operational cooperation is least coherent with the NIS 2 Directive that acknowledges national CSIRTs clear role in the support of the entities in incident response. Options B.2 and B.3 in combination with options C.2 and C.3 are assessed to have high coherence with the NIS 2 by proposing the certification of entities that would demonstrate compliance with the Directive (possibly other relevant Union legal acts, such as GDPR). Option B.1 is assessed to be neutral. Options C provide for targeted amendments of NIS2 Directive to clarify the scope, adjust the coverage of certain categories of entities under the scope, introducing the mid-size cap to narrow the coverage of ex ante supervision, therefore they are assessed to be coherent with the NIS 2 Directive. </w:t>
      </w:r>
      <w:r w:rsidR="00F0485A" w:rsidRPr="00F5382B">
        <w:rPr>
          <w:rFonts w:eastAsiaTheme="minorEastAsia"/>
          <w:noProof/>
        </w:rPr>
        <w:t>Similarly, options D are coherent with the NIS 2 Directive as provide for covering non-technical risks for supply chain, also covered by the Directive, with option D.3 assessed as of high coherence, as providing the best solutions to address non-technical risks</w:t>
      </w:r>
      <w:r w:rsidR="00F0485A">
        <w:rPr>
          <w:rFonts w:eastAsiaTheme="minorEastAsia"/>
          <w:noProof/>
        </w:rPr>
        <w:t>.</w:t>
      </w:r>
    </w:p>
    <w:p w14:paraId="30A708F4" w14:textId="365F9984" w:rsidR="00EE3DF9" w:rsidRPr="00F5382B" w:rsidRDefault="00EE3DF9" w:rsidP="00EE3DF9">
      <w:pPr>
        <w:pStyle w:val="ListParagraph"/>
        <w:numPr>
          <w:ilvl w:val="0"/>
          <w:numId w:val="39"/>
        </w:numPr>
        <w:spacing w:after="120"/>
        <w:ind w:left="425" w:hanging="357"/>
        <w:contextualSpacing w:val="0"/>
        <w:rPr>
          <w:rFonts w:eastAsiaTheme="minorEastAsia"/>
          <w:noProof/>
        </w:rPr>
      </w:pPr>
      <w:r w:rsidRPr="00F5382B">
        <w:rPr>
          <w:rFonts w:eastAsiaTheme="minorEastAsia"/>
          <w:b/>
          <w:bCs/>
          <w:noProof/>
        </w:rPr>
        <w:t xml:space="preserve">CER Directive: </w:t>
      </w:r>
      <w:r w:rsidRPr="00F5382B">
        <w:rPr>
          <w:rFonts w:eastAsiaTheme="minorEastAsia"/>
          <w:noProof/>
        </w:rPr>
        <w:t xml:space="preserve">it requires from Member States to identify the critical entities from the list of sectors, while NIS2 Directive applies to all entities from the list of sectors where these meet a certain threshold. While enhancing the legal clarity to the NIS 2 Directive, options C.1 and C.2 will not affect the CER Directive, making them coherent with the CER. Option C.3 is of low coherence as would repeal cybersecurity measures from the Directive. </w:t>
      </w:r>
      <w:r w:rsidR="00F0485A" w:rsidRPr="00F5382B">
        <w:rPr>
          <w:rFonts w:eastAsiaTheme="minorEastAsia"/>
          <w:noProof/>
        </w:rPr>
        <w:t>Additionally, options D and particular option D.3 will complement the CER Directive insofar as it provides for supply chain aspects as part of resilience measures of critical entities, making this option highly coherent</w:t>
      </w:r>
      <w:r w:rsidR="00F0485A">
        <w:rPr>
          <w:rFonts w:eastAsiaTheme="minorEastAsia"/>
          <w:noProof/>
        </w:rPr>
        <w:t>.</w:t>
      </w:r>
    </w:p>
    <w:p w14:paraId="130F4A2A" w14:textId="7874B02E" w:rsidR="00EE3DF9" w:rsidRDefault="00EE3DF9" w:rsidP="00EE3DF9">
      <w:pPr>
        <w:pStyle w:val="ListParagraph"/>
        <w:numPr>
          <w:ilvl w:val="0"/>
          <w:numId w:val="39"/>
        </w:numPr>
        <w:spacing w:after="120"/>
        <w:ind w:left="425" w:hanging="357"/>
        <w:contextualSpacing w:val="0"/>
        <w:rPr>
          <w:rFonts w:eastAsiaTheme="minorEastAsia"/>
          <w:noProof/>
        </w:rPr>
      </w:pPr>
      <w:r w:rsidRPr="00F5382B">
        <w:rPr>
          <w:rFonts w:eastAsiaTheme="minorEastAsia"/>
          <w:b/>
          <w:bCs/>
          <w:noProof/>
        </w:rPr>
        <w:t>Cyber Resilience Act and the New Legislative Framework (NLF):</w:t>
      </w:r>
      <w:r w:rsidRPr="00F5382B">
        <w:rPr>
          <w:rFonts w:eastAsiaTheme="minorEastAsia"/>
          <w:noProof/>
        </w:rPr>
        <w:t xml:space="preserve"> options B are assessed as coherent with the CRA, as they will support demonstrating compliance with the CRA. Options B.2 and B.3 are assessed as highly coherent as they will also look to align with the NLF. Similarly, options A.2 and A.3 are highly coherent as they strengthen the mandate of ENISA to ensure delivering of tasks prescribed by the CRA. </w:t>
      </w:r>
      <w:r w:rsidR="00F0485A" w:rsidRPr="00F5382B">
        <w:rPr>
          <w:rFonts w:eastAsiaTheme="minorEastAsia"/>
          <w:noProof/>
        </w:rPr>
        <w:t>Options D and in particular option D.3 was assessed as highly coherent as it will complement the market surveillance mechanism foreseen in the CRA that tackles technical risks. Coherence of option D.2 is assessed as medium as it only covers 5G networks</w:t>
      </w:r>
      <w:r w:rsidR="00F0485A">
        <w:rPr>
          <w:rFonts w:eastAsiaTheme="minorEastAsia"/>
          <w:noProof/>
        </w:rPr>
        <w:t>.</w:t>
      </w:r>
    </w:p>
    <w:p w14:paraId="7FB86752" w14:textId="66B346ED" w:rsidR="00F0485A" w:rsidRPr="00F5382B" w:rsidRDefault="00F0485A" w:rsidP="00EE3DF9">
      <w:pPr>
        <w:pStyle w:val="ListParagraph"/>
        <w:numPr>
          <w:ilvl w:val="0"/>
          <w:numId w:val="39"/>
        </w:numPr>
        <w:spacing w:after="120"/>
        <w:ind w:left="425" w:hanging="357"/>
        <w:contextualSpacing w:val="0"/>
        <w:rPr>
          <w:rFonts w:eastAsiaTheme="minorEastAsia"/>
          <w:noProof/>
        </w:rPr>
      </w:pPr>
      <w:r w:rsidRPr="00F5382B">
        <w:rPr>
          <w:rFonts w:eastAsiaTheme="minorEastAsia"/>
          <w:b/>
          <w:bCs/>
          <w:noProof/>
        </w:rPr>
        <w:t>MFF:</w:t>
      </w:r>
      <w:r w:rsidRPr="00F5382B">
        <w:rPr>
          <w:rFonts w:eastAsiaTheme="minorEastAsia"/>
          <w:noProof/>
        </w:rPr>
        <w:t xml:space="preserve"> The proposals for Multiannual Financial Framework (MFF) programmes include a horizontal provision which mandates the exclusion of high-risk suppliers identified under EU law, in order to protect the integrity of the EU budget and ensure that Union expenditure does not contradict essential Union security interest. Option D.3 is highly coherent with this proposal as it will identify high-risk suppliers in the ICT supply chains and option D.2 can be assessed as of medium coherence (as only covers 5G networks)</w:t>
      </w:r>
      <w:r>
        <w:rPr>
          <w:rFonts w:eastAsiaTheme="minorEastAsia"/>
          <w:noProof/>
        </w:rPr>
        <w:t>,</w:t>
      </w:r>
    </w:p>
    <w:p w14:paraId="3CFE3496" w14:textId="77777777" w:rsidR="00EE3DF9" w:rsidRPr="00F5382B" w:rsidRDefault="00EE3DF9" w:rsidP="00EE3DF9">
      <w:pPr>
        <w:spacing w:after="120"/>
        <w:rPr>
          <w:noProof/>
        </w:rPr>
      </w:pPr>
      <w:r w:rsidRPr="00F5382B">
        <w:rPr>
          <w:rFonts w:eastAsiaTheme="minorEastAsia"/>
          <w:noProof/>
        </w:rPr>
        <w:t>Given the international character of cybersecurity, when designing the measures, international developments and solutions were also studied to compare the proposed solutions with trends in other jurisdictions. The proposed measures are therefore also in line with the international developments and in particular:</w:t>
      </w:r>
    </w:p>
    <w:p w14:paraId="7F34297E" w14:textId="77777777" w:rsidR="00EE3DF9" w:rsidRPr="00F5382B" w:rsidRDefault="00EE3DF9" w:rsidP="00EE3DF9">
      <w:pPr>
        <w:pStyle w:val="ListParagraph"/>
        <w:numPr>
          <w:ilvl w:val="0"/>
          <w:numId w:val="38"/>
        </w:numPr>
        <w:spacing w:after="120"/>
        <w:ind w:left="425" w:hanging="357"/>
        <w:contextualSpacing w:val="0"/>
        <w:rPr>
          <w:rFonts w:eastAsiaTheme="minorEastAsia"/>
          <w:noProof/>
        </w:rPr>
      </w:pPr>
      <w:r w:rsidRPr="00F5382B">
        <w:rPr>
          <w:rFonts w:eastAsiaTheme="minorEastAsia"/>
          <w:noProof/>
        </w:rPr>
        <w:t>Options B.2 and B.3 are coherent with the developments in the US, as regards the US Cyber Trust Mark programme, an IoT cybersecurity labelling scheme by the National Institute of Standards and Technology</w:t>
      </w:r>
      <w:r w:rsidRPr="00F5382B">
        <w:rPr>
          <w:rStyle w:val="FootnoteReference"/>
          <w:rFonts w:eastAsiaTheme="minorEastAsia"/>
          <w:noProof/>
        </w:rPr>
        <w:footnoteReference w:id="330"/>
      </w:r>
      <w:r w:rsidRPr="00F5382B">
        <w:rPr>
          <w:rFonts w:eastAsiaTheme="minorEastAsia"/>
          <w:noProof/>
        </w:rPr>
        <w:t>; the US Cybersecurity and Infrastructure Security Agency (CISA) technical recommendations on software security, including security by design</w:t>
      </w:r>
      <w:r w:rsidRPr="00F5382B">
        <w:rPr>
          <w:rStyle w:val="FootnoteReference"/>
          <w:rFonts w:eastAsiaTheme="minorEastAsia"/>
          <w:noProof/>
        </w:rPr>
        <w:footnoteReference w:id="331"/>
      </w:r>
      <w:r w:rsidRPr="00F5382B">
        <w:rPr>
          <w:rFonts w:eastAsiaTheme="minorEastAsia"/>
          <w:noProof/>
        </w:rPr>
        <w:t xml:space="preserve"> and related concepts such as ‘Software Bill Of Materials’ </w:t>
      </w:r>
      <w:r w:rsidRPr="00F5382B">
        <w:rPr>
          <w:rStyle w:val="FootnoteReference"/>
          <w:rFonts w:eastAsiaTheme="minorEastAsia"/>
          <w:noProof/>
        </w:rPr>
        <w:footnoteReference w:id="332"/>
      </w:r>
      <w:r w:rsidRPr="00F5382B">
        <w:rPr>
          <w:rFonts w:eastAsiaTheme="minorEastAsia"/>
          <w:noProof/>
        </w:rPr>
        <w:t xml:space="preserve"> and the US FedRAMP provides a standardized, reusable approach to security assessment and authorization for cloud service offerings</w:t>
      </w:r>
      <w:r w:rsidRPr="00F5382B">
        <w:rPr>
          <w:rStyle w:val="FootnoteReference"/>
          <w:rFonts w:eastAsiaTheme="minorEastAsia"/>
          <w:noProof/>
        </w:rPr>
        <w:footnoteReference w:id="333"/>
      </w:r>
      <w:r w:rsidRPr="00F5382B">
        <w:rPr>
          <w:rFonts w:eastAsiaTheme="minorEastAsia"/>
          <w:noProof/>
        </w:rPr>
        <w:t>.  In Japan, the Cyber STAR (JC-STAR), a cybersecurity labelling scheme for IoT products, was launched in March 2025. Other jurisdictions such as Singapore</w:t>
      </w:r>
      <w:r w:rsidRPr="00F5382B">
        <w:rPr>
          <w:rStyle w:val="FootnoteReference"/>
          <w:rFonts w:eastAsiaTheme="minorEastAsia"/>
          <w:noProof/>
        </w:rPr>
        <w:footnoteReference w:id="334"/>
      </w:r>
      <w:r w:rsidRPr="00F5382B">
        <w:rPr>
          <w:rFonts w:eastAsiaTheme="minorEastAsia"/>
          <w:noProof/>
        </w:rPr>
        <w:t xml:space="preserve"> have taken similar initiatives on cybersecurity certification or labelling schemes for products, mostly of voluntary nature with the exception of the United Kingdom</w:t>
      </w:r>
      <w:r w:rsidRPr="00F5382B">
        <w:rPr>
          <w:rStyle w:val="FootnoteReference"/>
          <w:rFonts w:eastAsiaTheme="minorEastAsia"/>
          <w:noProof/>
        </w:rPr>
        <w:footnoteReference w:id="335"/>
      </w:r>
      <w:r w:rsidRPr="00F5382B">
        <w:rPr>
          <w:rFonts w:eastAsiaTheme="minorEastAsia"/>
          <w:noProof/>
        </w:rPr>
        <w:t xml:space="preserve">. </w:t>
      </w:r>
    </w:p>
    <w:p w14:paraId="0F28C029" w14:textId="77777777" w:rsidR="00EE3DF9" w:rsidRPr="00F0485A" w:rsidRDefault="00EE3DF9" w:rsidP="00EE3DF9">
      <w:pPr>
        <w:pStyle w:val="ListParagraph"/>
        <w:numPr>
          <w:ilvl w:val="0"/>
          <w:numId w:val="38"/>
        </w:numPr>
        <w:spacing w:after="120"/>
        <w:ind w:left="425" w:hanging="357"/>
        <w:contextualSpacing w:val="0"/>
        <w:rPr>
          <w:rFonts w:eastAsiaTheme="minorEastAsia"/>
          <w:noProof/>
          <w:vertAlign w:val="superscript"/>
        </w:rPr>
      </w:pPr>
      <w:r w:rsidRPr="00F5382B">
        <w:rPr>
          <w:rFonts w:eastAsiaTheme="minorEastAsia"/>
          <w:noProof/>
        </w:rPr>
        <w:t>Options C are coherent with the initiatives regarding reporting of the ransomware, such as an international Counter-Ransomware Initiative (CRI)</w:t>
      </w:r>
      <w:r w:rsidRPr="00F5382B">
        <w:rPr>
          <w:rStyle w:val="FootnoteReference"/>
          <w:rFonts w:eastAsiaTheme="minorEastAsia"/>
          <w:noProof/>
        </w:rPr>
        <w:footnoteReference w:id="336"/>
      </w:r>
      <w:r w:rsidRPr="00F5382B">
        <w:rPr>
          <w:rFonts w:eastAsiaTheme="minorEastAsia"/>
          <w:noProof/>
        </w:rPr>
        <w:t>. Other countries are taking further initiatives to gain more insights into ransomware attack, such as the UK</w:t>
      </w:r>
      <w:r w:rsidRPr="00F5382B">
        <w:rPr>
          <w:rStyle w:val="FootnoteReference"/>
          <w:rFonts w:eastAsiaTheme="minorEastAsia"/>
          <w:noProof/>
        </w:rPr>
        <w:footnoteReference w:id="337"/>
      </w:r>
      <w:r w:rsidRPr="00F5382B">
        <w:rPr>
          <w:rFonts w:eastAsiaTheme="minorEastAsia"/>
          <w:noProof/>
        </w:rPr>
        <w:t xml:space="preserve">  and Australia</w:t>
      </w:r>
      <w:r w:rsidRPr="00F5382B">
        <w:rPr>
          <w:rStyle w:val="FootnoteReference"/>
          <w:rFonts w:eastAsiaTheme="minorEastAsia"/>
          <w:noProof/>
        </w:rPr>
        <w:footnoteReference w:id="338"/>
      </w:r>
      <w:r w:rsidRPr="00F5382B">
        <w:rPr>
          <w:rFonts w:eastAsiaTheme="minorEastAsia"/>
          <w:noProof/>
        </w:rPr>
        <w:t xml:space="preserve"> .</w:t>
      </w:r>
    </w:p>
    <w:p w14:paraId="2DDED2A9" w14:textId="5844785B" w:rsidR="00F0485A" w:rsidRPr="00F5382B" w:rsidRDefault="00F0485A" w:rsidP="00EE3DF9">
      <w:pPr>
        <w:pStyle w:val="ListParagraph"/>
        <w:numPr>
          <w:ilvl w:val="0"/>
          <w:numId w:val="38"/>
        </w:numPr>
        <w:spacing w:after="120"/>
        <w:ind w:left="425" w:hanging="357"/>
        <w:contextualSpacing w:val="0"/>
        <w:rPr>
          <w:rStyle w:val="FootnoteReference"/>
          <w:rFonts w:eastAsiaTheme="minorEastAsia"/>
          <w:noProof/>
        </w:rPr>
      </w:pPr>
      <w:r w:rsidRPr="00F5382B">
        <w:rPr>
          <w:rFonts w:eastAsiaTheme="minorEastAsia"/>
          <w:noProof/>
        </w:rPr>
        <w:t>Options D.2 and D.3 are coherent with initiatives in the US</w:t>
      </w:r>
      <w:r w:rsidRPr="00F5382B">
        <w:rPr>
          <w:rStyle w:val="FootnoteReference"/>
          <w:rFonts w:eastAsiaTheme="minorEastAsia"/>
          <w:noProof/>
        </w:rPr>
        <w:footnoteReference w:id="339"/>
      </w:r>
      <w:r w:rsidRPr="00F5382B">
        <w:rPr>
          <w:rFonts w:eastAsiaTheme="minorEastAsia"/>
          <w:noProof/>
        </w:rPr>
        <w:t>, the UK</w:t>
      </w:r>
      <w:r w:rsidRPr="00F5382B">
        <w:rPr>
          <w:rStyle w:val="FootnoteReference"/>
          <w:rFonts w:eastAsiaTheme="minorEastAsia"/>
          <w:noProof/>
        </w:rPr>
        <w:footnoteReference w:id="340"/>
      </w:r>
      <w:r w:rsidRPr="00F5382B">
        <w:rPr>
          <w:rFonts w:eastAsiaTheme="minorEastAsia"/>
          <w:noProof/>
        </w:rPr>
        <w:t>, Australia</w:t>
      </w:r>
      <w:r w:rsidRPr="00F5382B">
        <w:rPr>
          <w:rStyle w:val="FootnoteReference"/>
          <w:rFonts w:eastAsiaTheme="minorEastAsia"/>
          <w:noProof/>
        </w:rPr>
        <w:footnoteReference w:id="341"/>
      </w:r>
      <w:r w:rsidRPr="00F5382B">
        <w:rPr>
          <w:rFonts w:eastAsiaTheme="minorEastAsia"/>
          <w:noProof/>
        </w:rPr>
        <w:t xml:space="preserve"> and Canada</w:t>
      </w:r>
      <w:r w:rsidRPr="00F5382B">
        <w:rPr>
          <w:rStyle w:val="FootnoteReference"/>
          <w:rFonts w:eastAsiaTheme="minorEastAsia"/>
          <w:noProof/>
        </w:rPr>
        <w:footnoteReference w:id="342"/>
      </w:r>
      <w:r w:rsidRPr="00F5382B">
        <w:rPr>
          <w:rFonts w:eastAsiaTheme="minorEastAsia"/>
          <w:noProof/>
        </w:rPr>
        <w:t xml:space="preserve"> with legislation allowing the government to take measures to safeguard from, restrict or control presence of high-risk suppliers in the telecommunication infrastructure. In addition, the US introduced prohibitions as regards the sale of connected vehicles and related hardware and software from China and Russia</w:t>
      </w:r>
      <w:r w:rsidRPr="00F5382B">
        <w:rPr>
          <w:rStyle w:val="FootnoteReference"/>
          <w:rFonts w:eastAsiaTheme="minorEastAsia"/>
          <w:noProof/>
        </w:rPr>
        <w:footnoteReference w:id="343"/>
      </w:r>
      <w:r w:rsidRPr="00F5382B">
        <w:rPr>
          <w:rFonts w:eastAsiaTheme="minorEastAsia"/>
          <w:noProof/>
        </w:rPr>
        <w:t>. Within the G7, member countries are working on the issue of the supply chain security and notably to address non-technical risks in Internet of things</w:t>
      </w:r>
      <w:r w:rsidRPr="00F5382B">
        <w:rPr>
          <w:rStyle w:val="FootnoteReference"/>
          <w:rFonts w:eastAsiaTheme="minorEastAsia"/>
          <w:noProof/>
        </w:rPr>
        <w:footnoteReference w:id="344"/>
      </w:r>
      <w:r w:rsidRPr="00F5382B">
        <w:rPr>
          <w:rFonts w:eastAsiaTheme="minorEastAsia"/>
          <w:noProof/>
        </w:rPr>
        <w:t>.</w:t>
      </w:r>
    </w:p>
    <w:p w14:paraId="7B3DB51C" w14:textId="77777777" w:rsidR="00EE3DF9" w:rsidRPr="00F5382B" w:rsidRDefault="00EE3DF9" w:rsidP="00EE3DF9">
      <w:pPr>
        <w:spacing w:after="120"/>
        <w:rPr>
          <w:rFonts w:eastAsiaTheme="minorEastAsia"/>
          <w:noProof/>
        </w:rPr>
      </w:pPr>
    </w:p>
    <w:p w14:paraId="0959EC09" w14:textId="2639073B" w:rsidR="00EE3DF9" w:rsidRPr="00F5382B" w:rsidRDefault="00EE3DF9" w:rsidP="00EE3DF9">
      <w:pPr>
        <w:spacing w:after="120"/>
        <w:rPr>
          <w:noProof/>
        </w:rPr>
      </w:pPr>
      <w:r w:rsidRPr="00F5382B">
        <w:rPr>
          <w:noProof/>
        </w:rPr>
        <w:t>The result of the assessment of the options shows that options A.2, combination of B.2/B.3 with C.2/C.3 3 are</w:t>
      </w:r>
      <w:r w:rsidR="00F0485A">
        <w:rPr>
          <w:noProof/>
        </w:rPr>
        <w:t xml:space="preserve"> option D.3</w:t>
      </w:r>
      <w:r w:rsidRPr="00F5382B">
        <w:rPr>
          <w:noProof/>
        </w:rPr>
        <w:t xml:space="preserve"> of the highest coherence with other legal instruments and international developments.</w:t>
      </w:r>
    </w:p>
    <w:p w14:paraId="59C0C84B" w14:textId="77777777" w:rsidR="00EE3DF9" w:rsidRPr="00F5382B" w:rsidRDefault="00EE3DF9" w:rsidP="00EE3DF9">
      <w:pPr>
        <w:pStyle w:val="AnnexTitle0"/>
        <w:jc w:val="both"/>
        <w:rPr>
          <w:noProof/>
        </w:rPr>
        <w:sectPr w:rsidR="00EE3DF9" w:rsidRPr="00F5382B" w:rsidSect="00EE3DF9">
          <w:headerReference w:type="even" r:id="rId195"/>
          <w:headerReference w:type="default" r:id="rId196"/>
          <w:footerReference w:type="even" r:id="rId197"/>
          <w:footerReference w:type="default" r:id="rId198"/>
          <w:headerReference w:type="first" r:id="rId199"/>
          <w:footerReference w:type="first" r:id="rId200"/>
          <w:pgSz w:w="11906" w:h="16838"/>
          <w:pgMar w:top="1020" w:right="1701" w:bottom="1020" w:left="1587" w:header="601" w:footer="1077" w:gutter="0"/>
          <w:cols w:space="720"/>
          <w:titlePg/>
        </w:sectPr>
      </w:pPr>
    </w:p>
    <w:p w14:paraId="53D0D9D5" w14:textId="77777777" w:rsidR="00EE3DF9" w:rsidRPr="00F5382B" w:rsidRDefault="00EE3DF9" w:rsidP="00EE3DF9">
      <w:pPr>
        <w:pStyle w:val="AnnexTitle0"/>
        <w:rPr>
          <w:noProof/>
        </w:rPr>
      </w:pPr>
      <w:bookmarkStart w:id="679" w:name="_Toc207027981"/>
      <w:bookmarkStart w:id="680" w:name="_Toc218767795"/>
      <w:bookmarkStart w:id="681" w:name="_Toc219039569"/>
      <w:bookmarkStart w:id="682" w:name="_Toc219447472"/>
      <w:r w:rsidRPr="00F5382B">
        <w:rPr>
          <w:noProof/>
        </w:rPr>
        <w:t>Annex 15: Monitoring and evaluation indicators</w:t>
      </w:r>
      <w:bookmarkEnd w:id="679"/>
      <w:bookmarkEnd w:id="680"/>
      <w:bookmarkEnd w:id="681"/>
      <w:bookmarkEnd w:id="682"/>
    </w:p>
    <w:p w14:paraId="0E41B280" w14:textId="196F265A" w:rsidR="00EE3DF9" w:rsidRPr="00F5382B" w:rsidRDefault="00EE3DF9" w:rsidP="00EE3DF9">
      <w:pPr>
        <w:pStyle w:val="Heading5"/>
        <w:rPr>
          <w:noProof/>
        </w:rPr>
      </w:pPr>
      <w:bookmarkStart w:id="683" w:name="_Toc218767827"/>
      <w:r w:rsidRPr="00F5382B">
        <w:rPr>
          <w:noProof/>
        </w:rPr>
        <w:t>Table 3</w:t>
      </w:r>
      <w:r w:rsidR="000475F6">
        <w:rPr>
          <w:noProof/>
        </w:rPr>
        <w:t>4</w:t>
      </w:r>
      <w:r w:rsidRPr="00F5382B">
        <w:rPr>
          <w:noProof/>
        </w:rPr>
        <w:t>: Monitoring and evaluation indicators per Specific Objective</w:t>
      </w:r>
      <w:bookmarkEnd w:id="683"/>
    </w:p>
    <w:tbl>
      <w:tblPr>
        <w:tblStyle w:val="TableGrid"/>
        <w:tblW w:w="5000" w:type="pct"/>
        <w:tblLook w:val="04A0" w:firstRow="1" w:lastRow="0" w:firstColumn="1" w:lastColumn="0" w:noHBand="0" w:noVBand="1"/>
      </w:tblPr>
      <w:tblGrid>
        <w:gridCol w:w="2016"/>
        <w:gridCol w:w="1723"/>
        <w:gridCol w:w="1070"/>
        <w:gridCol w:w="1283"/>
        <w:gridCol w:w="1591"/>
        <w:gridCol w:w="1603"/>
      </w:tblGrid>
      <w:tr w:rsidR="00EE3DF9" w:rsidRPr="00F5382B" w14:paraId="57BFF715" w14:textId="77777777" w:rsidTr="00720684">
        <w:trPr>
          <w:trHeight w:val="300"/>
        </w:trPr>
        <w:tc>
          <w:tcPr>
            <w:tcW w:w="1086" w:type="pct"/>
            <w:shd w:val="clear" w:color="auto" w:fill="D9D9D9" w:themeFill="background1" w:themeFillShade="D9"/>
            <w:vAlign w:val="center"/>
          </w:tcPr>
          <w:p w14:paraId="09697E1E" w14:textId="77777777" w:rsidR="00EE3DF9" w:rsidRPr="00F5382B" w:rsidRDefault="00EE3DF9">
            <w:pPr>
              <w:jc w:val="center"/>
              <w:rPr>
                <w:b/>
                <w:bCs/>
                <w:i/>
                <w:iCs/>
                <w:noProof/>
              </w:rPr>
            </w:pPr>
            <w:r w:rsidRPr="00F5382B">
              <w:rPr>
                <w:b/>
                <w:bCs/>
                <w:i/>
                <w:iCs/>
                <w:noProof/>
              </w:rPr>
              <w:t>Specific Objective</w:t>
            </w:r>
          </w:p>
        </w:tc>
        <w:tc>
          <w:tcPr>
            <w:tcW w:w="928" w:type="pct"/>
            <w:shd w:val="clear" w:color="auto" w:fill="D9D9D9" w:themeFill="background1" w:themeFillShade="D9"/>
            <w:vAlign w:val="center"/>
          </w:tcPr>
          <w:p w14:paraId="2F17FF6B" w14:textId="77777777" w:rsidR="00EE3DF9" w:rsidRPr="00F5382B" w:rsidRDefault="00EE3DF9">
            <w:pPr>
              <w:jc w:val="center"/>
              <w:rPr>
                <w:b/>
                <w:bCs/>
                <w:i/>
                <w:iCs/>
                <w:noProof/>
              </w:rPr>
            </w:pPr>
            <w:r w:rsidRPr="00F5382B">
              <w:rPr>
                <w:b/>
                <w:bCs/>
                <w:i/>
                <w:iCs/>
                <w:noProof/>
              </w:rPr>
              <w:t>Indicator</w:t>
            </w:r>
          </w:p>
        </w:tc>
        <w:tc>
          <w:tcPr>
            <w:tcW w:w="576" w:type="pct"/>
            <w:shd w:val="clear" w:color="auto" w:fill="D9D9D9" w:themeFill="background1" w:themeFillShade="D9"/>
            <w:vAlign w:val="center"/>
          </w:tcPr>
          <w:p w14:paraId="46AE8064" w14:textId="77777777" w:rsidR="00EE3DF9" w:rsidRPr="00F5382B" w:rsidRDefault="00EE3DF9">
            <w:pPr>
              <w:jc w:val="center"/>
              <w:rPr>
                <w:b/>
                <w:bCs/>
                <w:i/>
                <w:iCs/>
                <w:noProof/>
              </w:rPr>
            </w:pPr>
            <w:r w:rsidRPr="00F5382B">
              <w:rPr>
                <w:b/>
                <w:bCs/>
                <w:i/>
                <w:iCs/>
                <w:noProof/>
              </w:rPr>
              <w:t>Baseline</w:t>
            </w:r>
          </w:p>
        </w:tc>
        <w:tc>
          <w:tcPr>
            <w:tcW w:w="691" w:type="pct"/>
            <w:shd w:val="clear" w:color="auto" w:fill="D9D9D9" w:themeFill="background1" w:themeFillShade="D9"/>
            <w:vAlign w:val="center"/>
          </w:tcPr>
          <w:p w14:paraId="2F8051F9" w14:textId="77777777" w:rsidR="00EE3DF9" w:rsidRPr="00F5382B" w:rsidRDefault="00EE3DF9">
            <w:pPr>
              <w:jc w:val="center"/>
              <w:rPr>
                <w:b/>
                <w:bCs/>
                <w:i/>
                <w:iCs/>
                <w:noProof/>
              </w:rPr>
            </w:pPr>
            <w:r w:rsidRPr="00F5382B">
              <w:rPr>
                <w:b/>
                <w:bCs/>
                <w:i/>
                <w:iCs/>
                <w:noProof/>
              </w:rPr>
              <w:t>Frequency</w:t>
            </w:r>
          </w:p>
        </w:tc>
        <w:tc>
          <w:tcPr>
            <w:tcW w:w="857" w:type="pct"/>
            <w:shd w:val="clear" w:color="auto" w:fill="D9D9D9" w:themeFill="background1" w:themeFillShade="D9"/>
            <w:vAlign w:val="center"/>
          </w:tcPr>
          <w:p w14:paraId="68D58888" w14:textId="77777777" w:rsidR="00EE3DF9" w:rsidRPr="00F5382B" w:rsidRDefault="00EE3DF9">
            <w:pPr>
              <w:jc w:val="center"/>
              <w:rPr>
                <w:b/>
                <w:bCs/>
                <w:i/>
                <w:iCs/>
                <w:noProof/>
              </w:rPr>
            </w:pPr>
            <w:r w:rsidRPr="00F5382B">
              <w:rPr>
                <w:b/>
                <w:bCs/>
                <w:i/>
                <w:iCs/>
                <w:noProof/>
              </w:rPr>
              <w:t>Target</w:t>
            </w:r>
          </w:p>
        </w:tc>
        <w:tc>
          <w:tcPr>
            <w:tcW w:w="863" w:type="pct"/>
            <w:shd w:val="clear" w:color="auto" w:fill="D9D9D9" w:themeFill="background1" w:themeFillShade="D9"/>
            <w:vAlign w:val="center"/>
          </w:tcPr>
          <w:p w14:paraId="62E3C9C2" w14:textId="77777777" w:rsidR="00EE3DF9" w:rsidRPr="00F5382B" w:rsidRDefault="00EE3DF9">
            <w:pPr>
              <w:jc w:val="center"/>
              <w:rPr>
                <w:b/>
                <w:bCs/>
                <w:i/>
                <w:iCs/>
                <w:noProof/>
              </w:rPr>
            </w:pPr>
            <w:r w:rsidRPr="00F5382B">
              <w:rPr>
                <w:b/>
                <w:bCs/>
                <w:i/>
                <w:iCs/>
                <w:noProof/>
              </w:rPr>
              <w:t>Source</w:t>
            </w:r>
          </w:p>
        </w:tc>
      </w:tr>
      <w:tr w:rsidR="00EE3DF9" w:rsidRPr="00F5382B" w14:paraId="21A04225" w14:textId="77777777" w:rsidTr="00720684">
        <w:trPr>
          <w:trHeight w:val="300"/>
        </w:trPr>
        <w:tc>
          <w:tcPr>
            <w:tcW w:w="1086" w:type="pct"/>
            <w:vMerge w:val="restart"/>
            <w:vAlign w:val="center"/>
          </w:tcPr>
          <w:p w14:paraId="7A76D823" w14:textId="44D78F33" w:rsidR="00EE3DF9" w:rsidRPr="00F5382B" w:rsidRDefault="00EE3DF9">
            <w:pPr>
              <w:jc w:val="left"/>
              <w:rPr>
                <w:b/>
                <w:bCs/>
                <w:i/>
                <w:iCs/>
                <w:noProof/>
              </w:rPr>
            </w:pPr>
            <w:r w:rsidRPr="00F5382B">
              <w:rPr>
                <w:noProof/>
              </w:rPr>
              <w:t xml:space="preserve">1. Create the capacity </w:t>
            </w:r>
            <w:r w:rsidR="005509E1">
              <w:rPr>
                <w:noProof/>
              </w:rPr>
              <w:t xml:space="preserve">to </w:t>
            </w:r>
            <w:r w:rsidRPr="00F5382B">
              <w:rPr>
                <w:noProof/>
              </w:rPr>
              <w:t>effective</w:t>
            </w:r>
            <w:r w:rsidR="005509E1">
              <w:rPr>
                <w:noProof/>
              </w:rPr>
              <w:t>ly</w:t>
            </w:r>
            <w:r w:rsidRPr="00F5382B">
              <w:rPr>
                <w:noProof/>
              </w:rPr>
              <w:t xml:space="preserve"> implement</w:t>
            </w:r>
            <w:r w:rsidR="000A70D2">
              <w:rPr>
                <w:noProof/>
              </w:rPr>
              <w:t xml:space="preserve"> </w:t>
            </w:r>
            <w:r w:rsidR="005509E1">
              <w:rPr>
                <w:noProof/>
              </w:rPr>
              <w:t>Union</w:t>
            </w:r>
            <w:r w:rsidRPr="00F5382B">
              <w:rPr>
                <w:noProof/>
              </w:rPr>
              <w:t xml:space="preserve"> cybersecurity policies and regular/continuous operational cooperation  enabling more structured cooperation between Member States.</w:t>
            </w:r>
          </w:p>
        </w:tc>
        <w:tc>
          <w:tcPr>
            <w:tcW w:w="928" w:type="pct"/>
            <w:vAlign w:val="center"/>
          </w:tcPr>
          <w:p w14:paraId="3C4EAC0E" w14:textId="77777777" w:rsidR="00EE3DF9" w:rsidRPr="00F5382B" w:rsidRDefault="00EE3DF9">
            <w:pPr>
              <w:jc w:val="left"/>
              <w:rPr>
                <w:noProof/>
                <w:lang w:val="en-IE"/>
              </w:rPr>
            </w:pPr>
            <w:r w:rsidRPr="00F5382B">
              <w:rPr>
                <w:noProof/>
              </w:rPr>
              <w:t>Number of relevant contributions from ENISA to the implementation of EU and national policies and legislative initiatives</w:t>
            </w:r>
          </w:p>
          <w:p w14:paraId="312B59F2" w14:textId="77777777" w:rsidR="00EE3DF9" w:rsidRPr="00F5382B" w:rsidRDefault="00EE3DF9">
            <w:pPr>
              <w:jc w:val="left"/>
              <w:rPr>
                <w:b/>
                <w:bCs/>
                <w:i/>
                <w:iCs/>
                <w:noProof/>
              </w:rPr>
            </w:pPr>
            <w:r w:rsidRPr="00F5382B">
              <w:rPr>
                <w:noProof/>
              </w:rPr>
              <w:t>Positive feedback by stakeholders regarding the relevant ENISA contributions</w:t>
            </w:r>
          </w:p>
        </w:tc>
        <w:tc>
          <w:tcPr>
            <w:tcW w:w="576" w:type="pct"/>
            <w:vAlign w:val="center"/>
          </w:tcPr>
          <w:p w14:paraId="67266FFB" w14:textId="77777777" w:rsidR="00EE3DF9" w:rsidRPr="00F5382B" w:rsidRDefault="00EE3DF9">
            <w:pPr>
              <w:jc w:val="left"/>
              <w:rPr>
                <w:b/>
                <w:bCs/>
                <w:i/>
                <w:iCs/>
                <w:noProof/>
              </w:rPr>
            </w:pPr>
            <w:r w:rsidRPr="00F5382B">
              <w:rPr>
                <w:noProof/>
              </w:rPr>
              <w:t>2023</w:t>
            </w:r>
          </w:p>
        </w:tc>
        <w:tc>
          <w:tcPr>
            <w:tcW w:w="691" w:type="pct"/>
            <w:vAlign w:val="center"/>
          </w:tcPr>
          <w:p w14:paraId="48A2CC92" w14:textId="77777777" w:rsidR="00EE3DF9" w:rsidRPr="00F5382B" w:rsidRDefault="00EE3DF9">
            <w:pPr>
              <w:jc w:val="left"/>
              <w:rPr>
                <w:b/>
                <w:bCs/>
                <w:i/>
                <w:iCs/>
                <w:noProof/>
              </w:rPr>
            </w:pPr>
            <w:r w:rsidRPr="00F5382B">
              <w:rPr>
                <w:noProof/>
              </w:rPr>
              <w:t>Annual</w:t>
            </w:r>
          </w:p>
        </w:tc>
        <w:tc>
          <w:tcPr>
            <w:tcW w:w="857" w:type="pct"/>
            <w:vAlign w:val="center"/>
          </w:tcPr>
          <w:p w14:paraId="288ED575" w14:textId="77777777" w:rsidR="00EE3DF9" w:rsidRPr="00F5382B" w:rsidRDefault="00EE3DF9">
            <w:pPr>
              <w:jc w:val="left"/>
              <w:rPr>
                <w:b/>
                <w:bCs/>
                <w:i/>
                <w:iCs/>
                <w:noProof/>
              </w:rPr>
            </w:pPr>
            <w:r w:rsidRPr="00F5382B">
              <w:rPr>
                <w:noProof/>
              </w:rPr>
              <w:t>Increase by 25 % compared to 2023 baseline as reported in ENISA Annual Activity Report (for the number of relevant contributions) and as per ENISA’s annual satisfaction survey (for the positive feedback)</w:t>
            </w:r>
          </w:p>
        </w:tc>
        <w:tc>
          <w:tcPr>
            <w:tcW w:w="863" w:type="pct"/>
            <w:vAlign w:val="center"/>
          </w:tcPr>
          <w:p w14:paraId="0A9FA9DF" w14:textId="77777777" w:rsidR="00EE3DF9" w:rsidRPr="00F5382B" w:rsidRDefault="00EE3DF9">
            <w:pPr>
              <w:jc w:val="left"/>
              <w:rPr>
                <w:noProof/>
              </w:rPr>
            </w:pPr>
            <w:r w:rsidRPr="00F5382B">
              <w:rPr>
                <w:noProof/>
              </w:rPr>
              <w:t>ENISA Annual Activity Report</w:t>
            </w:r>
          </w:p>
          <w:p w14:paraId="2A44849D" w14:textId="77777777" w:rsidR="00EE3DF9" w:rsidRPr="00F5382B" w:rsidRDefault="00EE3DF9">
            <w:pPr>
              <w:jc w:val="left"/>
              <w:rPr>
                <w:b/>
                <w:bCs/>
                <w:i/>
                <w:iCs/>
                <w:noProof/>
              </w:rPr>
            </w:pPr>
            <w:r w:rsidRPr="00F5382B">
              <w:rPr>
                <w:noProof/>
              </w:rPr>
              <w:t>ENISA’s annual satisfaction survey</w:t>
            </w:r>
          </w:p>
        </w:tc>
      </w:tr>
      <w:tr w:rsidR="00EE3DF9" w:rsidRPr="00F5382B" w14:paraId="073FCEE6" w14:textId="77777777" w:rsidTr="00720684">
        <w:trPr>
          <w:trHeight w:val="300"/>
        </w:trPr>
        <w:tc>
          <w:tcPr>
            <w:tcW w:w="1086" w:type="pct"/>
            <w:vMerge/>
            <w:vAlign w:val="center"/>
          </w:tcPr>
          <w:p w14:paraId="1C164761" w14:textId="77777777" w:rsidR="00EE3DF9" w:rsidRPr="00F5382B" w:rsidRDefault="00EE3DF9">
            <w:pPr>
              <w:jc w:val="left"/>
              <w:rPr>
                <w:noProof/>
              </w:rPr>
            </w:pPr>
          </w:p>
        </w:tc>
        <w:tc>
          <w:tcPr>
            <w:tcW w:w="928" w:type="pct"/>
            <w:vAlign w:val="center"/>
          </w:tcPr>
          <w:p w14:paraId="1DBD2816" w14:textId="77777777" w:rsidR="00EE3DF9" w:rsidRPr="00F5382B" w:rsidRDefault="00EE3DF9">
            <w:pPr>
              <w:jc w:val="left"/>
              <w:rPr>
                <w:noProof/>
              </w:rPr>
            </w:pPr>
            <w:r w:rsidRPr="00F5382B">
              <w:rPr>
                <w:noProof/>
              </w:rPr>
              <w:t>Usage statistics of EU Vulnerability Database</w:t>
            </w:r>
          </w:p>
        </w:tc>
        <w:tc>
          <w:tcPr>
            <w:tcW w:w="576" w:type="pct"/>
            <w:vAlign w:val="center"/>
          </w:tcPr>
          <w:p w14:paraId="7CB79148" w14:textId="77777777" w:rsidR="00EE3DF9" w:rsidRPr="00F5382B" w:rsidRDefault="00EE3DF9">
            <w:pPr>
              <w:jc w:val="left"/>
              <w:rPr>
                <w:noProof/>
              </w:rPr>
            </w:pPr>
            <w:r w:rsidRPr="00F5382B">
              <w:rPr>
                <w:noProof/>
              </w:rPr>
              <w:t>2025</w:t>
            </w:r>
          </w:p>
        </w:tc>
        <w:tc>
          <w:tcPr>
            <w:tcW w:w="691" w:type="pct"/>
            <w:vAlign w:val="center"/>
          </w:tcPr>
          <w:p w14:paraId="294D6753" w14:textId="77777777" w:rsidR="00EE3DF9" w:rsidRPr="00F5382B" w:rsidRDefault="00EE3DF9">
            <w:pPr>
              <w:jc w:val="left"/>
              <w:rPr>
                <w:noProof/>
              </w:rPr>
            </w:pPr>
            <w:r w:rsidRPr="00F5382B">
              <w:rPr>
                <w:noProof/>
              </w:rPr>
              <w:t>Annual</w:t>
            </w:r>
          </w:p>
        </w:tc>
        <w:tc>
          <w:tcPr>
            <w:tcW w:w="857" w:type="pct"/>
            <w:vAlign w:val="center"/>
          </w:tcPr>
          <w:p w14:paraId="1981B1D9" w14:textId="77777777" w:rsidR="00EE3DF9" w:rsidRPr="00F5382B" w:rsidRDefault="00EE3DF9">
            <w:pPr>
              <w:jc w:val="left"/>
              <w:rPr>
                <w:noProof/>
              </w:rPr>
            </w:pPr>
            <w:r w:rsidRPr="00F5382B">
              <w:rPr>
                <w:noProof/>
              </w:rPr>
              <w:t>Increase by 25 % of number of users compared to 2025</w:t>
            </w:r>
          </w:p>
        </w:tc>
        <w:tc>
          <w:tcPr>
            <w:tcW w:w="863" w:type="pct"/>
            <w:vAlign w:val="center"/>
          </w:tcPr>
          <w:p w14:paraId="1F908B61" w14:textId="77777777" w:rsidR="00EE3DF9" w:rsidRPr="00F5382B" w:rsidRDefault="00EE3DF9">
            <w:pPr>
              <w:jc w:val="left"/>
              <w:rPr>
                <w:noProof/>
              </w:rPr>
            </w:pPr>
            <w:r w:rsidRPr="00F5382B">
              <w:rPr>
                <w:noProof/>
              </w:rPr>
              <w:t>EU Vulnerability Database</w:t>
            </w:r>
          </w:p>
        </w:tc>
      </w:tr>
      <w:tr w:rsidR="00EE3DF9" w:rsidRPr="00F5382B" w14:paraId="17B36B06" w14:textId="77777777" w:rsidTr="00720684">
        <w:trPr>
          <w:trHeight w:val="300"/>
        </w:trPr>
        <w:tc>
          <w:tcPr>
            <w:tcW w:w="1086" w:type="pct"/>
            <w:vMerge/>
            <w:vAlign w:val="center"/>
          </w:tcPr>
          <w:p w14:paraId="35F10C0C" w14:textId="77777777" w:rsidR="00EE3DF9" w:rsidRPr="00F5382B" w:rsidRDefault="00EE3DF9">
            <w:pPr>
              <w:jc w:val="left"/>
              <w:rPr>
                <w:noProof/>
              </w:rPr>
            </w:pPr>
          </w:p>
        </w:tc>
        <w:tc>
          <w:tcPr>
            <w:tcW w:w="928" w:type="pct"/>
            <w:vAlign w:val="center"/>
          </w:tcPr>
          <w:p w14:paraId="7B67EE90" w14:textId="77777777" w:rsidR="00EE3DF9" w:rsidRPr="00F5382B" w:rsidRDefault="00EE3DF9">
            <w:pPr>
              <w:jc w:val="left"/>
              <w:rPr>
                <w:noProof/>
              </w:rPr>
            </w:pPr>
            <w:r w:rsidRPr="00F5382B">
              <w:rPr>
                <w:noProof/>
              </w:rPr>
              <w:t xml:space="preserve"> Number of alerts issued by ENISA to the CSIRTs network</w:t>
            </w:r>
          </w:p>
        </w:tc>
        <w:tc>
          <w:tcPr>
            <w:tcW w:w="576" w:type="pct"/>
            <w:vAlign w:val="center"/>
          </w:tcPr>
          <w:p w14:paraId="5D381215" w14:textId="77777777" w:rsidR="00EE3DF9" w:rsidRPr="00F5382B" w:rsidRDefault="00EE3DF9">
            <w:pPr>
              <w:jc w:val="left"/>
              <w:rPr>
                <w:noProof/>
              </w:rPr>
            </w:pPr>
          </w:p>
          <w:p w14:paraId="4B1A8E90" w14:textId="77777777" w:rsidR="00EE3DF9" w:rsidRPr="00F5382B" w:rsidRDefault="00EE3DF9">
            <w:pPr>
              <w:jc w:val="left"/>
              <w:rPr>
                <w:noProof/>
              </w:rPr>
            </w:pPr>
            <w:r w:rsidRPr="00F5382B">
              <w:rPr>
                <w:noProof/>
              </w:rPr>
              <w:t>2029</w:t>
            </w:r>
          </w:p>
        </w:tc>
        <w:tc>
          <w:tcPr>
            <w:tcW w:w="691" w:type="pct"/>
            <w:vAlign w:val="center"/>
          </w:tcPr>
          <w:p w14:paraId="54DC0978" w14:textId="77777777" w:rsidR="00EE3DF9" w:rsidRPr="00F5382B" w:rsidRDefault="00EE3DF9">
            <w:pPr>
              <w:jc w:val="left"/>
              <w:rPr>
                <w:noProof/>
              </w:rPr>
            </w:pPr>
          </w:p>
          <w:p w14:paraId="186434A9" w14:textId="77777777" w:rsidR="00EE3DF9" w:rsidRPr="00F5382B" w:rsidRDefault="00EE3DF9">
            <w:pPr>
              <w:jc w:val="left"/>
              <w:rPr>
                <w:noProof/>
              </w:rPr>
            </w:pPr>
            <w:r w:rsidRPr="00F5382B">
              <w:rPr>
                <w:noProof/>
              </w:rPr>
              <w:t>Annual</w:t>
            </w:r>
          </w:p>
        </w:tc>
        <w:tc>
          <w:tcPr>
            <w:tcW w:w="857" w:type="pct"/>
            <w:vAlign w:val="center"/>
          </w:tcPr>
          <w:p w14:paraId="5744F8BB" w14:textId="77777777" w:rsidR="00EE3DF9" w:rsidRPr="00F5382B" w:rsidRDefault="00EE3DF9">
            <w:pPr>
              <w:jc w:val="left"/>
              <w:rPr>
                <w:noProof/>
              </w:rPr>
            </w:pPr>
          </w:p>
          <w:p w14:paraId="0C0706C3" w14:textId="77777777" w:rsidR="00EE3DF9" w:rsidRPr="00F5382B" w:rsidRDefault="00EE3DF9">
            <w:pPr>
              <w:jc w:val="left"/>
              <w:rPr>
                <w:noProof/>
              </w:rPr>
            </w:pPr>
            <w:r w:rsidRPr="00F5382B">
              <w:rPr>
                <w:noProof/>
              </w:rPr>
              <w:t>Increase by 25% of alerts compared to baseline of 2029</w:t>
            </w:r>
          </w:p>
        </w:tc>
        <w:tc>
          <w:tcPr>
            <w:tcW w:w="863" w:type="pct"/>
            <w:vAlign w:val="center"/>
          </w:tcPr>
          <w:p w14:paraId="049B1EBE" w14:textId="77777777" w:rsidR="00EE3DF9" w:rsidRPr="00F5382B" w:rsidRDefault="00EE3DF9">
            <w:pPr>
              <w:jc w:val="left"/>
              <w:rPr>
                <w:noProof/>
              </w:rPr>
            </w:pPr>
          </w:p>
          <w:p w14:paraId="4DF6FF78" w14:textId="77777777" w:rsidR="00EE3DF9" w:rsidRPr="00F5382B" w:rsidRDefault="00EE3DF9">
            <w:pPr>
              <w:jc w:val="left"/>
              <w:rPr>
                <w:noProof/>
              </w:rPr>
            </w:pPr>
            <w:r w:rsidRPr="00F5382B">
              <w:rPr>
                <w:noProof/>
              </w:rPr>
              <w:t>ENISA</w:t>
            </w:r>
          </w:p>
        </w:tc>
      </w:tr>
      <w:tr w:rsidR="00EE3DF9" w:rsidRPr="00F5382B" w14:paraId="0A297C6D" w14:textId="77777777" w:rsidTr="00720684">
        <w:trPr>
          <w:trHeight w:val="300"/>
        </w:trPr>
        <w:tc>
          <w:tcPr>
            <w:tcW w:w="1086" w:type="pct"/>
            <w:vAlign w:val="center"/>
          </w:tcPr>
          <w:p w14:paraId="591D8325" w14:textId="02E15065" w:rsidR="00EE3DF9" w:rsidRPr="00F5382B" w:rsidRDefault="00EE3DF9">
            <w:pPr>
              <w:jc w:val="left"/>
              <w:rPr>
                <w:noProof/>
              </w:rPr>
            </w:pPr>
            <w:r w:rsidRPr="00F5382B">
              <w:rPr>
                <w:noProof/>
              </w:rPr>
              <w:t xml:space="preserve">2. </w:t>
            </w:r>
            <w:r w:rsidRPr="00F5382B">
              <w:rPr>
                <w:rFonts w:eastAsiaTheme="majorEastAsia"/>
                <w:noProof/>
              </w:rPr>
              <w:t xml:space="preserve">Develop and </w:t>
            </w:r>
            <w:r w:rsidR="005509E1">
              <w:rPr>
                <w:rFonts w:eastAsiaTheme="majorEastAsia"/>
                <w:noProof/>
              </w:rPr>
              <w:t>implement</w:t>
            </w:r>
            <w:r w:rsidR="005509E1" w:rsidRPr="00F5382B">
              <w:rPr>
                <w:rFonts w:eastAsiaTheme="majorEastAsia"/>
                <w:noProof/>
              </w:rPr>
              <w:t xml:space="preserve"> </w:t>
            </w:r>
            <w:r w:rsidRPr="00F5382B">
              <w:rPr>
                <w:rFonts w:eastAsiaTheme="majorEastAsia"/>
                <w:noProof/>
              </w:rPr>
              <w:t>the means and mechanisms to effectively support and address the needs of Member States, industry and other stakeholders.</w:t>
            </w:r>
          </w:p>
        </w:tc>
        <w:tc>
          <w:tcPr>
            <w:tcW w:w="928" w:type="pct"/>
            <w:vAlign w:val="center"/>
          </w:tcPr>
          <w:p w14:paraId="5C3D0499" w14:textId="77777777" w:rsidR="00EE3DF9" w:rsidRPr="00F5382B" w:rsidRDefault="00EE3DF9">
            <w:pPr>
              <w:jc w:val="left"/>
              <w:rPr>
                <w:noProof/>
              </w:rPr>
            </w:pPr>
            <w:r w:rsidRPr="00F5382B">
              <w:rPr>
                <w:noProof/>
              </w:rPr>
              <w:t>Number of stakeholders supported by ENISA and quality of the provided support</w:t>
            </w:r>
          </w:p>
          <w:p w14:paraId="2BE63979" w14:textId="77777777" w:rsidR="00EE3DF9" w:rsidRPr="00F5382B" w:rsidRDefault="00EE3DF9">
            <w:pPr>
              <w:jc w:val="left"/>
              <w:rPr>
                <w:noProof/>
              </w:rPr>
            </w:pPr>
            <w:r w:rsidRPr="00F5382B">
              <w:rPr>
                <w:noProof/>
              </w:rPr>
              <w:t>Number of measures deployed to support stakeholders</w:t>
            </w:r>
          </w:p>
        </w:tc>
        <w:tc>
          <w:tcPr>
            <w:tcW w:w="576" w:type="pct"/>
            <w:vAlign w:val="center"/>
          </w:tcPr>
          <w:p w14:paraId="3A37B345" w14:textId="77777777" w:rsidR="00EE3DF9" w:rsidRPr="00F5382B" w:rsidRDefault="00EE3DF9">
            <w:pPr>
              <w:jc w:val="left"/>
              <w:rPr>
                <w:noProof/>
              </w:rPr>
            </w:pPr>
            <w:r w:rsidRPr="00F5382B">
              <w:rPr>
                <w:noProof/>
              </w:rPr>
              <w:t>2025</w:t>
            </w:r>
          </w:p>
        </w:tc>
        <w:tc>
          <w:tcPr>
            <w:tcW w:w="691" w:type="pct"/>
            <w:vAlign w:val="center"/>
          </w:tcPr>
          <w:p w14:paraId="05E52F84" w14:textId="77777777" w:rsidR="00EE3DF9" w:rsidRPr="00F5382B" w:rsidRDefault="00EE3DF9">
            <w:pPr>
              <w:jc w:val="left"/>
              <w:rPr>
                <w:noProof/>
              </w:rPr>
            </w:pPr>
            <w:r w:rsidRPr="00F5382B">
              <w:rPr>
                <w:noProof/>
              </w:rPr>
              <w:t>Annual</w:t>
            </w:r>
          </w:p>
        </w:tc>
        <w:tc>
          <w:tcPr>
            <w:tcW w:w="857" w:type="pct"/>
            <w:vAlign w:val="center"/>
          </w:tcPr>
          <w:p w14:paraId="445C9F70" w14:textId="77777777" w:rsidR="00EE3DF9" w:rsidRPr="00F5382B" w:rsidRDefault="00EE3DF9">
            <w:pPr>
              <w:jc w:val="left"/>
              <w:rPr>
                <w:noProof/>
              </w:rPr>
            </w:pPr>
            <w:r w:rsidRPr="00F5382B">
              <w:rPr>
                <w:noProof/>
              </w:rPr>
              <w:t>Increased by 10% number of supported stakeholders and increased by 10% satisfaction level of supported stakeholders</w:t>
            </w:r>
          </w:p>
        </w:tc>
        <w:tc>
          <w:tcPr>
            <w:tcW w:w="863" w:type="pct"/>
            <w:vAlign w:val="center"/>
          </w:tcPr>
          <w:p w14:paraId="305D6647" w14:textId="77777777" w:rsidR="00EE3DF9" w:rsidRPr="00F5382B" w:rsidRDefault="00EE3DF9">
            <w:pPr>
              <w:jc w:val="left"/>
              <w:rPr>
                <w:noProof/>
              </w:rPr>
            </w:pPr>
            <w:r w:rsidRPr="00F5382B">
              <w:rPr>
                <w:noProof/>
              </w:rPr>
              <w:t>European Commission’s stakeholder consultation ENISA’s annual satisfaction survey</w:t>
            </w:r>
          </w:p>
        </w:tc>
      </w:tr>
      <w:tr w:rsidR="00EE3DF9" w:rsidRPr="00F5382B" w14:paraId="4C432F0B" w14:textId="77777777" w:rsidTr="00720684">
        <w:trPr>
          <w:trHeight w:val="300"/>
        </w:trPr>
        <w:tc>
          <w:tcPr>
            <w:tcW w:w="1086" w:type="pct"/>
            <w:vMerge w:val="restart"/>
            <w:vAlign w:val="center"/>
          </w:tcPr>
          <w:p w14:paraId="749711C6" w14:textId="4D07E98B" w:rsidR="00EE3DF9" w:rsidRPr="00F5382B" w:rsidRDefault="00EE3DF9">
            <w:pPr>
              <w:jc w:val="left"/>
              <w:rPr>
                <w:noProof/>
              </w:rPr>
            </w:pPr>
            <w:r w:rsidRPr="00F5382B">
              <w:rPr>
                <w:noProof/>
              </w:rPr>
              <w:t xml:space="preserve">3. Create the prerequisites for faster delivery of cybersecurity certification schemes driven by market needs by broadening the scope of the ECCF, ensuring effective maintenance and agile procedures and </w:t>
            </w:r>
            <w:r w:rsidR="005509E1">
              <w:rPr>
                <w:noProof/>
              </w:rPr>
              <w:t>increasing</w:t>
            </w:r>
            <w:r w:rsidR="005509E1" w:rsidRPr="00F5382B">
              <w:rPr>
                <w:noProof/>
              </w:rPr>
              <w:t xml:space="preserve"> </w:t>
            </w:r>
            <w:r w:rsidRPr="00F5382B">
              <w:rPr>
                <w:noProof/>
              </w:rPr>
              <w:t>transparency.</w:t>
            </w:r>
          </w:p>
        </w:tc>
        <w:tc>
          <w:tcPr>
            <w:tcW w:w="928" w:type="pct"/>
            <w:vAlign w:val="center"/>
          </w:tcPr>
          <w:p w14:paraId="6291D143" w14:textId="77777777" w:rsidR="00EE3DF9" w:rsidRPr="00F5382B" w:rsidRDefault="00EE3DF9">
            <w:pPr>
              <w:jc w:val="left"/>
              <w:rPr>
                <w:noProof/>
              </w:rPr>
            </w:pPr>
            <w:r w:rsidRPr="00F5382B">
              <w:rPr>
                <w:noProof/>
              </w:rPr>
              <w:t>Number of adopted schemes</w:t>
            </w:r>
          </w:p>
        </w:tc>
        <w:tc>
          <w:tcPr>
            <w:tcW w:w="576" w:type="pct"/>
            <w:vAlign w:val="center"/>
          </w:tcPr>
          <w:p w14:paraId="0F15ECC1" w14:textId="77777777" w:rsidR="00EE3DF9" w:rsidRPr="00F5382B" w:rsidRDefault="00EE3DF9">
            <w:pPr>
              <w:jc w:val="left"/>
              <w:rPr>
                <w:noProof/>
              </w:rPr>
            </w:pPr>
            <w:r w:rsidRPr="00F5382B">
              <w:rPr>
                <w:noProof/>
              </w:rPr>
              <w:t>2025</w:t>
            </w:r>
          </w:p>
        </w:tc>
        <w:tc>
          <w:tcPr>
            <w:tcW w:w="691" w:type="pct"/>
            <w:vAlign w:val="center"/>
          </w:tcPr>
          <w:p w14:paraId="572873CA" w14:textId="77777777" w:rsidR="00EE3DF9" w:rsidRPr="00F5382B" w:rsidRDefault="00EE3DF9">
            <w:pPr>
              <w:jc w:val="left"/>
              <w:rPr>
                <w:noProof/>
              </w:rPr>
            </w:pPr>
            <w:r w:rsidRPr="00F5382B">
              <w:rPr>
                <w:noProof/>
              </w:rPr>
              <w:t>Biennial</w:t>
            </w:r>
          </w:p>
        </w:tc>
        <w:tc>
          <w:tcPr>
            <w:tcW w:w="857" w:type="pct"/>
            <w:vAlign w:val="center"/>
          </w:tcPr>
          <w:p w14:paraId="45EEF7C1" w14:textId="77777777" w:rsidR="00EE3DF9" w:rsidRPr="00F5382B" w:rsidRDefault="00EE3DF9">
            <w:pPr>
              <w:jc w:val="left"/>
              <w:rPr>
                <w:noProof/>
              </w:rPr>
            </w:pPr>
            <w:r w:rsidRPr="00F5382B">
              <w:rPr>
                <w:noProof/>
              </w:rPr>
              <w:t>Decreased time to develop a scheme by 50%</w:t>
            </w:r>
          </w:p>
        </w:tc>
        <w:tc>
          <w:tcPr>
            <w:tcW w:w="863" w:type="pct"/>
            <w:vAlign w:val="center"/>
          </w:tcPr>
          <w:p w14:paraId="7BA38C1D" w14:textId="77777777" w:rsidR="00EE3DF9" w:rsidRPr="00F5382B" w:rsidRDefault="00EE3DF9">
            <w:pPr>
              <w:jc w:val="left"/>
              <w:rPr>
                <w:noProof/>
              </w:rPr>
            </w:pPr>
            <w:r w:rsidRPr="00F5382B">
              <w:rPr>
                <w:noProof/>
              </w:rPr>
              <w:t>ENISA</w:t>
            </w:r>
          </w:p>
        </w:tc>
      </w:tr>
      <w:tr w:rsidR="00EE3DF9" w:rsidRPr="00F5382B" w14:paraId="2EA73DE9" w14:textId="77777777" w:rsidTr="00720684">
        <w:trPr>
          <w:trHeight w:val="300"/>
        </w:trPr>
        <w:tc>
          <w:tcPr>
            <w:tcW w:w="1086" w:type="pct"/>
            <w:vMerge/>
            <w:vAlign w:val="center"/>
          </w:tcPr>
          <w:p w14:paraId="4870923C" w14:textId="77777777" w:rsidR="00EE3DF9" w:rsidRPr="00F5382B" w:rsidRDefault="00EE3DF9">
            <w:pPr>
              <w:jc w:val="left"/>
              <w:rPr>
                <w:noProof/>
              </w:rPr>
            </w:pPr>
          </w:p>
        </w:tc>
        <w:tc>
          <w:tcPr>
            <w:tcW w:w="928" w:type="pct"/>
            <w:vAlign w:val="center"/>
          </w:tcPr>
          <w:p w14:paraId="21A6EE73" w14:textId="77777777" w:rsidR="00EE3DF9" w:rsidRPr="00F5382B" w:rsidRDefault="00EE3DF9">
            <w:pPr>
              <w:jc w:val="left"/>
              <w:rPr>
                <w:noProof/>
              </w:rPr>
            </w:pPr>
            <w:r w:rsidRPr="00F5382B">
              <w:rPr>
                <w:noProof/>
              </w:rPr>
              <w:t>Number of valid certificates issued annually</w:t>
            </w:r>
          </w:p>
        </w:tc>
        <w:tc>
          <w:tcPr>
            <w:tcW w:w="576" w:type="pct"/>
            <w:vAlign w:val="center"/>
          </w:tcPr>
          <w:p w14:paraId="1C1685C6" w14:textId="77777777" w:rsidR="00EE3DF9" w:rsidRPr="00F5382B" w:rsidRDefault="00EE3DF9">
            <w:pPr>
              <w:jc w:val="left"/>
              <w:rPr>
                <w:noProof/>
              </w:rPr>
            </w:pPr>
            <w:r w:rsidRPr="00F5382B">
              <w:rPr>
                <w:noProof/>
              </w:rPr>
              <w:t>2025</w:t>
            </w:r>
          </w:p>
        </w:tc>
        <w:tc>
          <w:tcPr>
            <w:tcW w:w="691" w:type="pct"/>
            <w:vAlign w:val="center"/>
          </w:tcPr>
          <w:p w14:paraId="2716C829" w14:textId="77777777" w:rsidR="00EE3DF9" w:rsidRPr="00F5382B" w:rsidRDefault="00EE3DF9">
            <w:pPr>
              <w:jc w:val="left"/>
              <w:rPr>
                <w:noProof/>
              </w:rPr>
            </w:pPr>
            <w:r w:rsidRPr="00F5382B">
              <w:rPr>
                <w:noProof/>
              </w:rPr>
              <w:t>Annual</w:t>
            </w:r>
          </w:p>
        </w:tc>
        <w:tc>
          <w:tcPr>
            <w:tcW w:w="857" w:type="pct"/>
            <w:vAlign w:val="center"/>
          </w:tcPr>
          <w:p w14:paraId="30098E75" w14:textId="77777777" w:rsidR="00EE3DF9" w:rsidRPr="00F5382B" w:rsidRDefault="00EE3DF9">
            <w:pPr>
              <w:jc w:val="left"/>
              <w:rPr>
                <w:noProof/>
              </w:rPr>
            </w:pPr>
            <w:r w:rsidRPr="00F5382B">
              <w:rPr>
                <w:noProof/>
              </w:rPr>
              <w:t>Increase by 25 % over 2025 baseline</w:t>
            </w:r>
          </w:p>
        </w:tc>
        <w:tc>
          <w:tcPr>
            <w:tcW w:w="863" w:type="pct"/>
            <w:vAlign w:val="center"/>
          </w:tcPr>
          <w:p w14:paraId="79AAF5DE" w14:textId="77777777" w:rsidR="00EE3DF9" w:rsidRPr="00F5382B" w:rsidRDefault="00EE3DF9">
            <w:pPr>
              <w:jc w:val="left"/>
              <w:rPr>
                <w:noProof/>
              </w:rPr>
            </w:pPr>
            <w:r w:rsidRPr="00F5382B">
              <w:rPr>
                <w:noProof/>
              </w:rPr>
              <w:t>Annual reporting by NCCAs</w:t>
            </w:r>
          </w:p>
        </w:tc>
      </w:tr>
      <w:tr w:rsidR="00EE3DF9" w:rsidRPr="00F5382B" w14:paraId="09CE5499" w14:textId="77777777" w:rsidTr="00720684">
        <w:trPr>
          <w:trHeight w:val="300"/>
        </w:trPr>
        <w:tc>
          <w:tcPr>
            <w:tcW w:w="1086" w:type="pct"/>
            <w:vMerge/>
            <w:vAlign w:val="center"/>
          </w:tcPr>
          <w:p w14:paraId="60FEDBA6" w14:textId="77777777" w:rsidR="00EE3DF9" w:rsidRPr="00F5382B" w:rsidRDefault="00EE3DF9">
            <w:pPr>
              <w:jc w:val="left"/>
              <w:rPr>
                <w:noProof/>
              </w:rPr>
            </w:pPr>
          </w:p>
        </w:tc>
        <w:tc>
          <w:tcPr>
            <w:tcW w:w="928" w:type="pct"/>
            <w:vAlign w:val="center"/>
          </w:tcPr>
          <w:p w14:paraId="2C3D5E80" w14:textId="77777777" w:rsidR="00EE3DF9" w:rsidRPr="00F5382B" w:rsidRDefault="00EE3DF9">
            <w:pPr>
              <w:jc w:val="left"/>
              <w:rPr>
                <w:noProof/>
              </w:rPr>
            </w:pPr>
            <w:r w:rsidRPr="00F5382B">
              <w:rPr>
                <w:noProof/>
              </w:rPr>
              <w:t>Positive feedback of stakeholders regarding their involvement in scheme development and transparency of the ECCF</w:t>
            </w:r>
          </w:p>
        </w:tc>
        <w:tc>
          <w:tcPr>
            <w:tcW w:w="576" w:type="pct"/>
            <w:vAlign w:val="center"/>
          </w:tcPr>
          <w:p w14:paraId="495F1D41" w14:textId="77777777" w:rsidR="00EE3DF9" w:rsidRPr="00F5382B" w:rsidRDefault="00EE3DF9">
            <w:pPr>
              <w:jc w:val="left"/>
              <w:rPr>
                <w:noProof/>
              </w:rPr>
            </w:pPr>
            <w:r w:rsidRPr="00F5382B">
              <w:rPr>
                <w:noProof/>
              </w:rPr>
              <w:t>2025</w:t>
            </w:r>
          </w:p>
        </w:tc>
        <w:tc>
          <w:tcPr>
            <w:tcW w:w="691" w:type="pct"/>
            <w:vAlign w:val="center"/>
          </w:tcPr>
          <w:p w14:paraId="60F22EC3" w14:textId="77777777" w:rsidR="00EE3DF9" w:rsidRPr="00F5382B" w:rsidRDefault="00EE3DF9">
            <w:pPr>
              <w:jc w:val="left"/>
              <w:rPr>
                <w:noProof/>
              </w:rPr>
            </w:pPr>
            <w:r w:rsidRPr="00F5382B">
              <w:rPr>
                <w:noProof/>
              </w:rPr>
              <w:t>Annual</w:t>
            </w:r>
          </w:p>
        </w:tc>
        <w:tc>
          <w:tcPr>
            <w:tcW w:w="857" w:type="pct"/>
            <w:vAlign w:val="center"/>
          </w:tcPr>
          <w:p w14:paraId="45F8DB1C" w14:textId="77777777" w:rsidR="00EE3DF9" w:rsidRPr="00F5382B" w:rsidRDefault="00EE3DF9">
            <w:pPr>
              <w:jc w:val="left"/>
              <w:rPr>
                <w:noProof/>
              </w:rPr>
            </w:pPr>
            <w:r w:rsidRPr="00F5382B">
              <w:rPr>
                <w:noProof/>
              </w:rPr>
              <w:t>Increase by 25 % over baseline in ENISA’s annual satisfaction survey</w:t>
            </w:r>
          </w:p>
        </w:tc>
        <w:tc>
          <w:tcPr>
            <w:tcW w:w="863" w:type="pct"/>
            <w:vAlign w:val="center"/>
          </w:tcPr>
          <w:p w14:paraId="76FAAD11" w14:textId="77777777" w:rsidR="00EE3DF9" w:rsidRPr="00F5382B" w:rsidRDefault="00EE3DF9">
            <w:pPr>
              <w:jc w:val="left"/>
              <w:rPr>
                <w:noProof/>
              </w:rPr>
            </w:pPr>
            <w:r w:rsidRPr="00F5382B">
              <w:rPr>
                <w:noProof/>
              </w:rPr>
              <w:t>ENISA’s annual satisfaction survey</w:t>
            </w:r>
          </w:p>
        </w:tc>
      </w:tr>
      <w:tr w:rsidR="00EE3DF9" w:rsidRPr="00F5382B" w14:paraId="081382A0" w14:textId="77777777" w:rsidTr="00720684">
        <w:trPr>
          <w:trHeight w:val="4101"/>
        </w:trPr>
        <w:tc>
          <w:tcPr>
            <w:tcW w:w="1086" w:type="pct"/>
            <w:vMerge w:val="restart"/>
            <w:vAlign w:val="center"/>
          </w:tcPr>
          <w:p w14:paraId="4B9028F4" w14:textId="3E10B263" w:rsidR="00EE3DF9" w:rsidRPr="00F5382B" w:rsidRDefault="00EE3DF9">
            <w:pPr>
              <w:jc w:val="left"/>
              <w:rPr>
                <w:rStyle w:val="normaltextrun"/>
                <w:rFonts w:eastAsiaTheme="majorEastAsia"/>
                <w:b/>
                <w:noProof/>
              </w:rPr>
            </w:pPr>
            <w:r w:rsidRPr="00F5382B">
              <w:rPr>
                <w:noProof/>
              </w:rPr>
              <w:t xml:space="preserve">4. </w:t>
            </w:r>
            <w:r w:rsidR="005509E1">
              <w:rPr>
                <w:noProof/>
              </w:rPr>
              <w:t>Create</w:t>
            </w:r>
            <w:r w:rsidR="005509E1" w:rsidRPr="00F5382B">
              <w:rPr>
                <w:noProof/>
              </w:rPr>
              <w:t xml:space="preserve"> </w:t>
            </w:r>
            <w:r w:rsidRPr="00F5382B">
              <w:rPr>
                <w:noProof/>
              </w:rPr>
              <w:t>mechanisms and conditions</w:t>
            </w:r>
            <w:r w:rsidRPr="00F5382B">
              <w:rPr>
                <w:rFonts w:eastAsiaTheme="majorEastAsia"/>
                <w:noProof/>
              </w:rPr>
              <w:t xml:space="preserve"> to </w:t>
            </w:r>
            <w:r w:rsidRPr="00F5382B">
              <w:rPr>
                <w:noProof/>
              </w:rPr>
              <w:t xml:space="preserve">facilitate </w:t>
            </w:r>
            <w:r w:rsidRPr="00F5382B">
              <w:rPr>
                <w:rFonts w:eastAsiaTheme="majorEastAsia"/>
                <w:noProof/>
              </w:rPr>
              <w:t>compliance with cybersecurity requirements</w:t>
            </w:r>
            <w:r w:rsidR="005509E1">
              <w:rPr>
                <w:rFonts w:eastAsiaTheme="majorEastAsia"/>
                <w:noProof/>
              </w:rPr>
              <w:t>, thereby making</w:t>
            </w:r>
            <w:r w:rsidRPr="00F5382B">
              <w:rPr>
                <w:rFonts w:eastAsiaTheme="majorEastAsia"/>
                <w:noProof/>
              </w:rPr>
              <w:t xml:space="preserve"> their implementation more coherent and effective</w:t>
            </w:r>
            <w:r w:rsidRPr="00F5382B">
              <w:rPr>
                <w:rStyle w:val="normaltextrun"/>
                <w:rFonts w:eastAsiaTheme="majorEastAsia"/>
                <w:noProof/>
              </w:rPr>
              <w:t>.</w:t>
            </w:r>
            <w:r w:rsidRPr="00F5382B">
              <w:rPr>
                <w:rStyle w:val="normaltextrun"/>
                <w:rFonts w:eastAsiaTheme="majorEastAsia"/>
                <w:b/>
                <w:bCs/>
                <w:noProof/>
              </w:rPr>
              <w:t xml:space="preserve">  </w:t>
            </w:r>
          </w:p>
          <w:p w14:paraId="747FFB65" w14:textId="77777777" w:rsidR="00EE3DF9" w:rsidRPr="00F5382B" w:rsidRDefault="00EE3DF9">
            <w:pPr>
              <w:jc w:val="left"/>
              <w:rPr>
                <w:noProof/>
              </w:rPr>
            </w:pPr>
            <w:r w:rsidRPr="00F5382B">
              <w:rPr>
                <w:noProof/>
              </w:rPr>
              <w:t xml:space="preserve"> </w:t>
            </w:r>
          </w:p>
        </w:tc>
        <w:tc>
          <w:tcPr>
            <w:tcW w:w="928" w:type="pct"/>
            <w:vAlign w:val="center"/>
          </w:tcPr>
          <w:p w14:paraId="6CDC3AF7" w14:textId="77777777" w:rsidR="00EE3DF9" w:rsidRPr="00F5382B" w:rsidRDefault="00EE3DF9">
            <w:pPr>
              <w:jc w:val="left"/>
              <w:rPr>
                <w:noProof/>
              </w:rPr>
            </w:pPr>
            <w:r w:rsidRPr="00F5382B">
              <w:rPr>
                <w:noProof/>
              </w:rPr>
              <w:t>Percentage of SMEs cost for compliance with NIS2 and cybersecurity rules, as a proportion of all compliance costs</w:t>
            </w:r>
          </w:p>
        </w:tc>
        <w:tc>
          <w:tcPr>
            <w:tcW w:w="576" w:type="pct"/>
            <w:vAlign w:val="center"/>
          </w:tcPr>
          <w:p w14:paraId="57CEF783" w14:textId="77777777" w:rsidR="00EE3DF9" w:rsidRPr="00F5382B" w:rsidRDefault="00EE3DF9">
            <w:pPr>
              <w:jc w:val="left"/>
              <w:rPr>
                <w:noProof/>
              </w:rPr>
            </w:pPr>
            <w:r w:rsidRPr="00F5382B">
              <w:rPr>
                <w:noProof/>
              </w:rPr>
              <w:t>2025</w:t>
            </w:r>
          </w:p>
        </w:tc>
        <w:tc>
          <w:tcPr>
            <w:tcW w:w="691" w:type="pct"/>
            <w:vAlign w:val="center"/>
          </w:tcPr>
          <w:p w14:paraId="39FA3814" w14:textId="77777777" w:rsidR="00EE3DF9" w:rsidRPr="00F5382B" w:rsidRDefault="00EE3DF9">
            <w:pPr>
              <w:jc w:val="left"/>
              <w:rPr>
                <w:noProof/>
              </w:rPr>
            </w:pPr>
            <w:r w:rsidRPr="00F5382B">
              <w:rPr>
                <w:noProof/>
              </w:rPr>
              <w:t>Biennial</w:t>
            </w:r>
          </w:p>
        </w:tc>
        <w:tc>
          <w:tcPr>
            <w:tcW w:w="857" w:type="pct"/>
            <w:vAlign w:val="center"/>
          </w:tcPr>
          <w:p w14:paraId="4F4628C9" w14:textId="77777777" w:rsidR="00EE3DF9" w:rsidRPr="00F5382B" w:rsidRDefault="00EE3DF9">
            <w:pPr>
              <w:jc w:val="left"/>
              <w:rPr>
                <w:noProof/>
              </w:rPr>
            </w:pPr>
            <w:r w:rsidRPr="00F5382B">
              <w:rPr>
                <w:noProof/>
              </w:rPr>
              <w:t>&lt;70 % SMEs reporting reduction in compliance costs for cybersecurity</w:t>
            </w:r>
          </w:p>
        </w:tc>
        <w:tc>
          <w:tcPr>
            <w:tcW w:w="863" w:type="pct"/>
            <w:vAlign w:val="center"/>
          </w:tcPr>
          <w:p w14:paraId="519798D6" w14:textId="77777777" w:rsidR="00EE3DF9" w:rsidRPr="00F5382B" w:rsidRDefault="00EE3DF9">
            <w:pPr>
              <w:jc w:val="left"/>
              <w:rPr>
                <w:noProof/>
              </w:rPr>
            </w:pPr>
            <w:r w:rsidRPr="00F5382B">
              <w:rPr>
                <w:noProof/>
              </w:rPr>
              <w:t>SME Survey,</w:t>
            </w:r>
          </w:p>
          <w:p w14:paraId="3FCF2036" w14:textId="77777777" w:rsidR="00EE3DF9" w:rsidRPr="00F5382B" w:rsidRDefault="00EE3DF9">
            <w:pPr>
              <w:jc w:val="left"/>
              <w:rPr>
                <w:noProof/>
              </w:rPr>
            </w:pPr>
            <w:r w:rsidRPr="00F5382B">
              <w:rPr>
                <w:noProof/>
              </w:rPr>
              <w:t>ENISA Investment Reports</w:t>
            </w:r>
          </w:p>
        </w:tc>
      </w:tr>
      <w:tr w:rsidR="00EE3DF9" w:rsidRPr="00F5382B" w14:paraId="2CD56005" w14:textId="77777777" w:rsidTr="00720684">
        <w:trPr>
          <w:trHeight w:val="300"/>
        </w:trPr>
        <w:tc>
          <w:tcPr>
            <w:tcW w:w="1086" w:type="pct"/>
            <w:vMerge/>
            <w:vAlign w:val="center"/>
          </w:tcPr>
          <w:p w14:paraId="6F86E0C8" w14:textId="77777777" w:rsidR="00EE3DF9" w:rsidRPr="00F5382B" w:rsidRDefault="00EE3DF9">
            <w:pPr>
              <w:jc w:val="left"/>
              <w:rPr>
                <w:noProof/>
              </w:rPr>
            </w:pPr>
          </w:p>
        </w:tc>
        <w:tc>
          <w:tcPr>
            <w:tcW w:w="928" w:type="pct"/>
            <w:vAlign w:val="center"/>
          </w:tcPr>
          <w:p w14:paraId="246A3C63" w14:textId="77777777" w:rsidR="00EE3DF9" w:rsidRPr="00F5382B" w:rsidRDefault="00EE3DF9">
            <w:pPr>
              <w:jc w:val="left"/>
              <w:rPr>
                <w:noProof/>
              </w:rPr>
            </w:pPr>
            <w:r w:rsidRPr="00F5382B">
              <w:rPr>
                <w:noProof/>
              </w:rPr>
              <w:t xml:space="preserve">Number of ransomware attacks and amount of damages in EUR </w:t>
            </w:r>
          </w:p>
          <w:p w14:paraId="1A9B72D1" w14:textId="77777777" w:rsidR="00EE3DF9" w:rsidRPr="00F5382B" w:rsidRDefault="00EE3DF9">
            <w:pPr>
              <w:jc w:val="left"/>
              <w:rPr>
                <w:noProof/>
              </w:rPr>
            </w:pPr>
          </w:p>
        </w:tc>
        <w:tc>
          <w:tcPr>
            <w:tcW w:w="576" w:type="pct"/>
            <w:vAlign w:val="center"/>
          </w:tcPr>
          <w:p w14:paraId="58906F07" w14:textId="77777777" w:rsidR="00EE3DF9" w:rsidRPr="00F5382B" w:rsidRDefault="00EE3DF9">
            <w:pPr>
              <w:jc w:val="left"/>
              <w:rPr>
                <w:noProof/>
              </w:rPr>
            </w:pPr>
            <w:r w:rsidRPr="00F5382B">
              <w:rPr>
                <w:noProof/>
              </w:rPr>
              <w:t>2027</w:t>
            </w:r>
          </w:p>
          <w:p w14:paraId="380034BD" w14:textId="77777777" w:rsidR="00EE3DF9" w:rsidRPr="00F5382B" w:rsidRDefault="00EE3DF9">
            <w:pPr>
              <w:jc w:val="left"/>
              <w:rPr>
                <w:noProof/>
              </w:rPr>
            </w:pPr>
          </w:p>
          <w:p w14:paraId="7AF3FE4A" w14:textId="77777777" w:rsidR="00EE3DF9" w:rsidRPr="00F5382B" w:rsidRDefault="00EE3DF9">
            <w:pPr>
              <w:jc w:val="left"/>
              <w:rPr>
                <w:noProof/>
              </w:rPr>
            </w:pPr>
          </w:p>
          <w:p w14:paraId="7D6F4F98" w14:textId="77777777" w:rsidR="00EE3DF9" w:rsidRPr="00F5382B" w:rsidRDefault="00EE3DF9">
            <w:pPr>
              <w:jc w:val="left"/>
              <w:rPr>
                <w:noProof/>
              </w:rPr>
            </w:pPr>
          </w:p>
        </w:tc>
        <w:tc>
          <w:tcPr>
            <w:tcW w:w="691" w:type="pct"/>
            <w:vAlign w:val="center"/>
          </w:tcPr>
          <w:p w14:paraId="324D7E05" w14:textId="77777777" w:rsidR="00EE3DF9" w:rsidRPr="00F5382B" w:rsidRDefault="00EE3DF9">
            <w:pPr>
              <w:jc w:val="left"/>
              <w:rPr>
                <w:noProof/>
              </w:rPr>
            </w:pPr>
            <w:r w:rsidRPr="00F5382B">
              <w:rPr>
                <w:noProof/>
              </w:rPr>
              <w:t>Annual</w:t>
            </w:r>
          </w:p>
          <w:p w14:paraId="61E84CC6" w14:textId="77777777" w:rsidR="00EE3DF9" w:rsidRPr="00F5382B" w:rsidRDefault="00EE3DF9">
            <w:pPr>
              <w:jc w:val="left"/>
              <w:rPr>
                <w:noProof/>
              </w:rPr>
            </w:pPr>
          </w:p>
          <w:p w14:paraId="27D6224C" w14:textId="77777777" w:rsidR="00EE3DF9" w:rsidRPr="00F5382B" w:rsidRDefault="00EE3DF9">
            <w:pPr>
              <w:jc w:val="left"/>
              <w:rPr>
                <w:noProof/>
              </w:rPr>
            </w:pPr>
          </w:p>
          <w:p w14:paraId="5CEE7355" w14:textId="77777777" w:rsidR="00EE3DF9" w:rsidRPr="00F5382B" w:rsidRDefault="00EE3DF9">
            <w:pPr>
              <w:jc w:val="left"/>
              <w:rPr>
                <w:noProof/>
              </w:rPr>
            </w:pPr>
          </w:p>
        </w:tc>
        <w:tc>
          <w:tcPr>
            <w:tcW w:w="857" w:type="pct"/>
            <w:vAlign w:val="center"/>
          </w:tcPr>
          <w:p w14:paraId="42CB66C9" w14:textId="77777777" w:rsidR="00EE3DF9" w:rsidRPr="00F5382B" w:rsidRDefault="00EE3DF9">
            <w:pPr>
              <w:jc w:val="left"/>
              <w:rPr>
                <w:noProof/>
              </w:rPr>
            </w:pPr>
          </w:p>
          <w:p w14:paraId="1032FDDF" w14:textId="77777777" w:rsidR="00EE3DF9" w:rsidRPr="00F5382B" w:rsidRDefault="00EE3DF9">
            <w:pPr>
              <w:jc w:val="left"/>
              <w:rPr>
                <w:noProof/>
              </w:rPr>
            </w:pPr>
          </w:p>
          <w:p w14:paraId="0F42071E" w14:textId="77777777" w:rsidR="00EE3DF9" w:rsidRPr="00F5382B" w:rsidRDefault="00EE3DF9">
            <w:pPr>
              <w:jc w:val="left"/>
              <w:rPr>
                <w:noProof/>
              </w:rPr>
            </w:pPr>
          </w:p>
          <w:p w14:paraId="562AFCB8" w14:textId="442A22DF" w:rsidR="00EE3DF9" w:rsidRPr="00F5382B" w:rsidRDefault="00EE3DF9">
            <w:pPr>
              <w:jc w:val="left"/>
              <w:rPr>
                <w:noProof/>
              </w:rPr>
            </w:pPr>
            <w:r w:rsidRPr="00F5382B">
              <w:rPr>
                <w:noProof/>
              </w:rPr>
              <w:t xml:space="preserve">Reduce number of ransomware attacks by &gt; 1%  </w:t>
            </w:r>
          </w:p>
        </w:tc>
        <w:tc>
          <w:tcPr>
            <w:tcW w:w="863" w:type="pct"/>
            <w:vAlign w:val="center"/>
          </w:tcPr>
          <w:p w14:paraId="4A2E0CFD" w14:textId="77777777" w:rsidR="00EE3DF9" w:rsidRPr="00F5382B" w:rsidRDefault="00EE3DF9">
            <w:pPr>
              <w:jc w:val="left"/>
              <w:rPr>
                <w:noProof/>
              </w:rPr>
            </w:pPr>
          </w:p>
          <w:p w14:paraId="63B52032" w14:textId="77777777" w:rsidR="00EE3DF9" w:rsidRPr="00F5382B" w:rsidRDefault="00EE3DF9">
            <w:pPr>
              <w:jc w:val="left"/>
              <w:rPr>
                <w:noProof/>
              </w:rPr>
            </w:pPr>
          </w:p>
          <w:p w14:paraId="36A119A6" w14:textId="77777777" w:rsidR="00EE3DF9" w:rsidRPr="00F5382B" w:rsidRDefault="00EE3DF9">
            <w:pPr>
              <w:jc w:val="left"/>
              <w:rPr>
                <w:noProof/>
              </w:rPr>
            </w:pPr>
          </w:p>
          <w:p w14:paraId="51AB1F1C" w14:textId="7B71668B" w:rsidR="00EE3DF9" w:rsidRPr="00F5382B" w:rsidRDefault="00EE3DF9">
            <w:pPr>
              <w:jc w:val="left"/>
              <w:rPr>
                <w:noProof/>
              </w:rPr>
            </w:pPr>
            <w:r w:rsidRPr="00F5382B">
              <w:rPr>
                <w:noProof/>
              </w:rPr>
              <w:t>ENISA NIS2 incident reports</w:t>
            </w:r>
          </w:p>
        </w:tc>
      </w:tr>
      <w:tr w:rsidR="00EE3DF9" w:rsidRPr="00F5382B" w14:paraId="0A46C17F" w14:textId="77777777" w:rsidTr="00720684">
        <w:trPr>
          <w:trHeight w:val="300"/>
        </w:trPr>
        <w:tc>
          <w:tcPr>
            <w:tcW w:w="1086" w:type="pct"/>
            <w:vMerge/>
            <w:vAlign w:val="center"/>
          </w:tcPr>
          <w:p w14:paraId="10D17A68" w14:textId="77777777" w:rsidR="00EE3DF9" w:rsidRPr="00F5382B" w:rsidRDefault="00EE3DF9">
            <w:pPr>
              <w:jc w:val="left"/>
              <w:rPr>
                <w:noProof/>
              </w:rPr>
            </w:pPr>
          </w:p>
        </w:tc>
        <w:tc>
          <w:tcPr>
            <w:tcW w:w="928" w:type="pct"/>
            <w:vAlign w:val="center"/>
          </w:tcPr>
          <w:p w14:paraId="4F51B269" w14:textId="77777777" w:rsidR="00EE3DF9" w:rsidRPr="00F5382B" w:rsidRDefault="00EE3DF9">
            <w:pPr>
              <w:jc w:val="left"/>
              <w:rPr>
                <w:noProof/>
              </w:rPr>
            </w:pPr>
            <w:r w:rsidRPr="00F5382B">
              <w:rPr>
                <w:noProof/>
              </w:rPr>
              <w:t>Percentage of cross-border incidents during or after  which Member States’ authorities used mutual assistance mechanisms</w:t>
            </w:r>
          </w:p>
          <w:p w14:paraId="0C363CB1" w14:textId="77777777" w:rsidR="00EE3DF9" w:rsidRPr="00F5382B" w:rsidRDefault="00EE3DF9">
            <w:pPr>
              <w:jc w:val="left"/>
              <w:rPr>
                <w:noProof/>
              </w:rPr>
            </w:pPr>
          </w:p>
        </w:tc>
        <w:tc>
          <w:tcPr>
            <w:tcW w:w="576" w:type="pct"/>
            <w:vAlign w:val="center"/>
          </w:tcPr>
          <w:p w14:paraId="17C2FDE9" w14:textId="77777777" w:rsidR="00EE3DF9" w:rsidRPr="00F5382B" w:rsidRDefault="00EE3DF9">
            <w:pPr>
              <w:jc w:val="left"/>
              <w:rPr>
                <w:noProof/>
              </w:rPr>
            </w:pPr>
            <w:r w:rsidRPr="00F5382B">
              <w:rPr>
                <w:noProof/>
              </w:rPr>
              <w:t>2025</w:t>
            </w:r>
          </w:p>
        </w:tc>
        <w:tc>
          <w:tcPr>
            <w:tcW w:w="691" w:type="pct"/>
            <w:vAlign w:val="center"/>
          </w:tcPr>
          <w:p w14:paraId="2E93A28C" w14:textId="77777777" w:rsidR="00EE3DF9" w:rsidRPr="00F5382B" w:rsidRDefault="00EE3DF9">
            <w:pPr>
              <w:jc w:val="left"/>
              <w:rPr>
                <w:noProof/>
              </w:rPr>
            </w:pPr>
            <w:r w:rsidRPr="00F5382B">
              <w:rPr>
                <w:noProof/>
              </w:rPr>
              <w:t>Annual</w:t>
            </w:r>
          </w:p>
        </w:tc>
        <w:tc>
          <w:tcPr>
            <w:tcW w:w="857" w:type="pct"/>
            <w:vAlign w:val="center"/>
          </w:tcPr>
          <w:p w14:paraId="70CF9299" w14:textId="77777777" w:rsidR="00EE3DF9" w:rsidRPr="00F5382B" w:rsidRDefault="00EE3DF9">
            <w:pPr>
              <w:jc w:val="left"/>
              <w:rPr>
                <w:noProof/>
              </w:rPr>
            </w:pPr>
            <w:r w:rsidRPr="00F5382B">
              <w:rPr>
                <w:noProof/>
              </w:rPr>
              <w:t>Increase proportion of cases where mutual assistance was used by &gt;20 percentage points</w:t>
            </w:r>
          </w:p>
        </w:tc>
        <w:tc>
          <w:tcPr>
            <w:tcW w:w="863" w:type="pct"/>
            <w:vAlign w:val="center"/>
          </w:tcPr>
          <w:p w14:paraId="6637EB32" w14:textId="77777777" w:rsidR="00EE3DF9" w:rsidRPr="00F5382B" w:rsidRDefault="00EE3DF9">
            <w:pPr>
              <w:jc w:val="left"/>
              <w:rPr>
                <w:noProof/>
              </w:rPr>
            </w:pPr>
            <w:r w:rsidRPr="00F5382B">
              <w:rPr>
                <w:noProof/>
              </w:rPr>
              <w:t>Information made available via NIS Cooperation Group (cf. NIS2 Article 14(4)(j)-(k)), and information directly made available to ENISA</w:t>
            </w:r>
          </w:p>
        </w:tc>
      </w:tr>
      <w:tr w:rsidR="00F0485A" w:rsidRPr="00F5382B" w14:paraId="7C47AAE8" w14:textId="77777777" w:rsidTr="00720684">
        <w:trPr>
          <w:trHeight w:val="300"/>
        </w:trPr>
        <w:tc>
          <w:tcPr>
            <w:tcW w:w="1086" w:type="pct"/>
            <w:vAlign w:val="center"/>
          </w:tcPr>
          <w:p w14:paraId="621FD95A" w14:textId="4745BD99" w:rsidR="00F0485A" w:rsidRPr="00F5382B" w:rsidRDefault="00F0485A" w:rsidP="00F0485A">
            <w:pPr>
              <w:jc w:val="left"/>
              <w:rPr>
                <w:noProof/>
              </w:rPr>
            </w:pPr>
            <w:r w:rsidRPr="00F5382B">
              <w:rPr>
                <w:noProof/>
              </w:rPr>
              <w:t xml:space="preserve">5. </w:t>
            </w:r>
            <w:r w:rsidRPr="00F5382B">
              <w:rPr>
                <w:rFonts w:eastAsia="Yu Gothic Light"/>
                <w:noProof/>
              </w:rPr>
              <w:t xml:space="preserve">De-risk critical ICT supply chains from </w:t>
            </w:r>
            <w:r>
              <w:rPr>
                <w:rFonts w:eastAsia="Yu Gothic Light"/>
                <w:noProof/>
              </w:rPr>
              <w:t xml:space="preserve">entities </w:t>
            </w:r>
            <w:r w:rsidRPr="00DD0D3D">
              <w:rPr>
                <w:rFonts w:eastAsia="Yu Gothic Light"/>
                <w:noProof/>
                <w:lang w:val="en-IE"/>
              </w:rPr>
              <w:t>established in or controlled by entities from third countries</w:t>
            </w:r>
            <w:r w:rsidRPr="00DD0D3D">
              <w:rPr>
                <w:rFonts w:eastAsia="Yu Gothic Light"/>
                <w:noProof/>
              </w:rPr>
              <w:t xml:space="preserve"> posing cybersecurity concerns (high-risk suppliers) </w:t>
            </w:r>
            <w:r w:rsidRPr="00F5382B">
              <w:rPr>
                <w:rFonts w:eastAsia="Yu Gothic Light"/>
                <w:noProof/>
              </w:rPr>
              <w:t xml:space="preserve"> and reduce critical dependencies by developing a coherent and effective framework at EU level to address ICT supply chain security risks</w:t>
            </w:r>
          </w:p>
        </w:tc>
        <w:tc>
          <w:tcPr>
            <w:tcW w:w="928" w:type="pct"/>
            <w:vAlign w:val="center"/>
          </w:tcPr>
          <w:p w14:paraId="598772AB" w14:textId="77777777" w:rsidR="00F0485A" w:rsidRPr="00F5382B" w:rsidRDefault="00F0485A" w:rsidP="00F0485A">
            <w:pPr>
              <w:jc w:val="left"/>
              <w:rPr>
                <w:noProof/>
              </w:rPr>
            </w:pPr>
            <w:r w:rsidRPr="00F5382B">
              <w:rPr>
                <w:noProof/>
              </w:rPr>
              <w:t>Number of measures adopted</w:t>
            </w:r>
          </w:p>
          <w:p w14:paraId="7AE24E13" w14:textId="3C46ED07" w:rsidR="00F0485A" w:rsidRPr="00F5382B" w:rsidRDefault="00F0485A" w:rsidP="00F0485A">
            <w:pPr>
              <w:jc w:val="left"/>
              <w:rPr>
                <w:noProof/>
              </w:rPr>
            </w:pPr>
            <w:r w:rsidRPr="00F5382B">
              <w:rPr>
                <w:noProof/>
              </w:rPr>
              <w:t>Decrease of dependency on high-risk suppliers</w:t>
            </w:r>
          </w:p>
        </w:tc>
        <w:tc>
          <w:tcPr>
            <w:tcW w:w="576" w:type="pct"/>
            <w:vAlign w:val="center"/>
          </w:tcPr>
          <w:p w14:paraId="56DA1CD2" w14:textId="07FFF665" w:rsidR="00F0485A" w:rsidRPr="00F5382B" w:rsidRDefault="00F0485A" w:rsidP="00F0485A">
            <w:pPr>
              <w:jc w:val="left"/>
              <w:rPr>
                <w:noProof/>
              </w:rPr>
            </w:pPr>
            <w:r w:rsidRPr="00F5382B">
              <w:rPr>
                <w:noProof/>
              </w:rPr>
              <w:t>2025</w:t>
            </w:r>
          </w:p>
        </w:tc>
        <w:tc>
          <w:tcPr>
            <w:tcW w:w="691" w:type="pct"/>
            <w:vAlign w:val="center"/>
          </w:tcPr>
          <w:p w14:paraId="0890901D" w14:textId="019C33CC" w:rsidR="00F0485A" w:rsidRPr="00F5382B" w:rsidRDefault="00F0485A" w:rsidP="00F0485A">
            <w:pPr>
              <w:jc w:val="left"/>
              <w:rPr>
                <w:noProof/>
              </w:rPr>
            </w:pPr>
            <w:r w:rsidRPr="00F5382B">
              <w:rPr>
                <w:noProof/>
              </w:rPr>
              <w:t>Biennial</w:t>
            </w:r>
          </w:p>
        </w:tc>
        <w:tc>
          <w:tcPr>
            <w:tcW w:w="857" w:type="pct"/>
            <w:vAlign w:val="center"/>
          </w:tcPr>
          <w:p w14:paraId="607BC7F0" w14:textId="77777777" w:rsidR="00F0485A" w:rsidRPr="00F5382B" w:rsidRDefault="00F0485A" w:rsidP="00F0485A">
            <w:pPr>
              <w:jc w:val="left"/>
              <w:rPr>
                <w:noProof/>
              </w:rPr>
            </w:pPr>
            <w:r w:rsidRPr="00F5382B">
              <w:rPr>
                <w:noProof/>
              </w:rPr>
              <w:t>Increase by 25% of number of measures adopted and key assets identified compared to adoption date + 6 months</w:t>
            </w:r>
          </w:p>
          <w:p w14:paraId="2CF56AA0" w14:textId="07B23030" w:rsidR="00F0485A" w:rsidRPr="00F5382B" w:rsidRDefault="00F0485A" w:rsidP="00F0485A">
            <w:pPr>
              <w:jc w:val="left"/>
              <w:rPr>
                <w:noProof/>
              </w:rPr>
            </w:pPr>
            <w:r w:rsidRPr="00F5382B">
              <w:rPr>
                <w:noProof/>
              </w:rPr>
              <w:t>Decrease of dependencies on high-risk suppliers in key assets by 25%.</w:t>
            </w:r>
          </w:p>
        </w:tc>
        <w:tc>
          <w:tcPr>
            <w:tcW w:w="863" w:type="pct"/>
            <w:vAlign w:val="center"/>
          </w:tcPr>
          <w:p w14:paraId="5E08378B" w14:textId="59EF52E4" w:rsidR="00F0485A" w:rsidRPr="00F5382B" w:rsidRDefault="00F0485A" w:rsidP="00F0485A">
            <w:pPr>
              <w:jc w:val="left"/>
              <w:rPr>
                <w:noProof/>
              </w:rPr>
            </w:pPr>
            <w:r w:rsidRPr="00F5382B">
              <w:rPr>
                <w:noProof/>
              </w:rPr>
              <w:t>European Commission independent reports</w:t>
            </w:r>
          </w:p>
        </w:tc>
      </w:tr>
    </w:tbl>
    <w:p w14:paraId="4B6D3D03" w14:textId="77777777" w:rsidR="00EE3DF9" w:rsidRDefault="00EE3DF9" w:rsidP="00EE3DF9">
      <w:pPr>
        <w:rPr>
          <w:noProof/>
        </w:rPr>
      </w:pPr>
    </w:p>
    <w:p w14:paraId="0D7E35B1" w14:textId="77777777" w:rsidR="006B087E" w:rsidRPr="00F92EAE" w:rsidRDefault="006B087E" w:rsidP="00795DF0">
      <w:pPr>
        <w:spacing w:after="120"/>
        <w:rPr>
          <w:noProof/>
        </w:rPr>
      </w:pPr>
    </w:p>
    <w:sectPr w:rsidR="006B087E" w:rsidRPr="00F92EAE" w:rsidSect="007C6691">
      <w:headerReference w:type="default" r:id="rId201"/>
      <w:footerReference w:type="default" r:id="rId202"/>
      <w:headerReference w:type="first" r:id="rId203"/>
      <w:footerReference w:type="first" r:id="rId204"/>
      <w:pgSz w:w="11906" w:h="16838"/>
      <w:pgMar w:top="1134" w:right="1418" w:bottom="1134" w:left="1418"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15F05" w14:textId="77777777" w:rsidR="00881884" w:rsidRDefault="00881884" w:rsidP="000E3086">
      <w:r>
        <w:separator/>
      </w:r>
    </w:p>
  </w:endnote>
  <w:endnote w:type="continuationSeparator" w:id="0">
    <w:p w14:paraId="71485942" w14:textId="77777777" w:rsidR="00881884" w:rsidRDefault="00881884" w:rsidP="000E3086">
      <w:r>
        <w:continuationSeparator/>
      </w:r>
    </w:p>
  </w:endnote>
  <w:endnote w:type="continuationNotice" w:id="1">
    <w:p w14:paraId="18D101B4" w14:textId="77777777" w:rsidR="00881884" w:rsidRDefault="008818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5873A" w14:textId="3F143C32" w:rsidR="00047E0F" w:rsidRPr="00047E0F" w:rsidRDefault="00047E0F" w:rsidP="00047E0F">
    <w:pPr>
      <w:pStyle w:val="FooterCoverPage"/>
      <w:rPr>
        <w:rFonts w:ascii="Arial" w:hAnsi="Arial" w:cs="Arial"/>
        <w:b/>
        <w:sz w:val="48"/>
      </w:rPr>
    </w:pPr>
    <w:r w:rsidRPr="00047E0F">
      <w:rPr>
        <w:rFonts w:ascii="Arial" w:hAnsi="Arial" w:cs="Arial"/>
        <w:b/>
        <w:sz w:val="48"/>
      </w:rPr>
      <w:t>EN</w:t>
    </w:r>
    <w:r w:rsidRPr="00047E0F">
      <w:rPr>
        <w:rFonts w:ascii="Arial" w:hAnsi="Arial" w:cs="Arial"/>
        <w:b/>
        <w:sz w:val="48"/>
      </w:rPr>
      <w:tab/>
    </w:r>
    <w:r w:rsidRPr="00047E0F">
      <w:rPr>
        <w:rFonts w:ascii="Arial" w:hAnsi="Arial" w:cs="Arial"/>
        <w:b/>
        <w:sz w:val="48"/>
      </w:rPr>
      <w:tab/>
    </w:r>
    <w:r w:rsidRPr="00047E0F">
      <w:tab/>
    </w:r>
    <w:r w:rsidRPr="00047E0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EDEE" w14:textId="29CD374B" w:rsidR="00047E0F" w:rsidRPr="00047E0F" w:rsidRDefault="00047E0F" w:rsidP="00047E0F">
    <w:pPr>
      <w:pStyle w:val="FooterCoverPage"/>
      <w:rPr>
        <w:rFonts w:ascii="Arial" w:hAnsi="Arial" w:cs="Arial"/>
        <w:b/>
        <w:sz w:val="48"/>
      </w:rPr>
    </w:pPr>
    <w:r w:rsidRPr="00047E0F">
      <w:rPr>
        <w:rFonts w:ascii="Arial" w:hAnsi="Arial" w:cs="Arial"/>
        <w:b/>
        <w:sz w:val="48"/>
      </w:rPr>
      <w:t>EN</w:t>
    </w:r>
    <w:r w:rsidRPr="00047E0F">
      <w:rPr>
        <w:rFonts w:ascii="Arial" w:hAnsi="Arial" w:cs="Arial"/>
        <w:b/>
        <w:sz w:val="48"/>
      </w:rPr>
      <w:tab/>
    </w:r>
    <w:r w:rsidRPr="00047E0F">
      <w:rPr>
        <w:rFonts w:ascii="Arial" w:hAnsi="Arial" w:cs="Arial"/>
        <w:b/>
        <w:sz w:val="48"/>
      </w:rPr>
      <w:tab/>
    </w:r>
    <w:r w:rsidRPr="00047E0F">
      <w:tab/>
    </w:r>
    <w:r w:rsidRPr="00047E0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F394" w14:textId="77777777" w:rsidR="00047E0F" w:rsidRPr="00047E0F" w:rsidRDefault="00047E0F" w:rsidP="00047E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20123"/>
      <w:docPartObj>
        <w:docPartGallery w:val="Page Numbers (Bottom of Page)"/>
        <w:docPartUnique/>
      </w:docPartObj>
    </w:sdtPr>
    <w:sdtEndPr>
      <w:rPr>
        <w:noProof/>
      </w:rPr>
    </w:sdtEndPr>
    <w:sdtContent>
      <w:p w14:paraId="37515927" w14:textId="326C0BD3" w:rsidR="00CB14B2" w:rsidRPr="00CD516A" w:rsidRDefault="008F2068" w:rsidP="005D08B2">
        <w:pPr>
          <w:pStyle w:val="Footer"/>
          <w:jc w:val="center"/>
        </w:pPr>
        <w:r>
          <w:fldChar w:fldCharType="begin"/>
        </w:r>
        <w:r>
          <w:instrText xml:space="preserve"> PAGE   \* MERGEFORMAT </w:instrText>
        </w:r>
        <w:r>
          <w:fldChar w:fldCharType="separate"/>
        </w:r>
        <w:r w:rsidR="00047E0F">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686159"/>
      <w:docPartObj>
        <w:docPartGallery w:val="Page Numbers (Bottom of Page)"/>
        <w:docPartUnique/>
      </w:docPartObj>
    </w:sdtPr>
    <w:sdtEndPr>
      <w:rPr>
        <w:noProof/>
      </w:rPr>
    </w:sdtEndPr>
    <w:sdtContent>
      <w:p w14:paraId="6B80BBD0" w14:textId="77777777" w:rsidR="00E26B97" w:rsidRPr="00CD516A" w:rsidRDefault="00E26B97" w:rsidP="005D08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3F4CE" w14:textId="77777777" w:rsidR="00E26B97" w:rsidRDefault="00E26B97" w:rsidP="000E30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873481"/>
      <w:docPartObj>
        <w:docPartGallery w:val="Page Numbers (Bottom of Page)"/>
        <w:docPartUnique/>
      </w:docPartObj>
    </w:sdtPr>
    <w:sdtEndPr>
      <w:rPr>
        <w:noProof/>
      </w:rPr>
    </w:sdtEndPr>
    <w:sdtContent>
      <w:p w14:paraId="7D9E7409" w14:textId="77777777" w:rsidR="00E26B97" w:rsidRPr="00CD516A" w:rsidRDefault="00E26B97" w:rsidP="005D08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F320A" w14:textId="77777777" w:rsidR="00E26B97" w:rsidRDefault="00E26B97" w:rsidP="000E30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C73A4" w14:textId="77777777" w:rsidR="00EE3DF9" w:rsidRDefault="00EE3DF9"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463870"/>
      <w:docPartObj>
        <w:docPartGallery w:val="Page Numbers (Bottom of Page)"/>
        <w:docPartUnique/>
      </w:docPartObj>
    </w:sdtPr>
    <w:sdtEndPr>
      <w:rPr>
        <w:noProof/>
      </w:rPr>
    </w:sdtEndPr>
    <w:sdtContent>
      <w:p w14:paraId="5DFCF4A4" w14:textId="77777777" w:rsidR="00EE3DF9" w:rsidRDefault="00EE3D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422D37" w14:textId="77777777" w:rsidR="00EE3DF9" w:rsidRDefault="00EE3DF9" w:rsidP="00F92EAE">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399700"/>
      <w:docPartObj>
        <w:docPartGallery w:val="Page Numbers (Bottom of Page)"/>
        <w:docPartUnique/>
      </w:docPartObj>
    </w:sdtPr>
    <w:sdtEndPr>
      <w:rPr>
        <w:noProof/>
      </w:rPr>
    </w:sdtEndPr>
    <w:sdtContent>
      <w:p w14:paraId="7D3EB1F3" w14:textId="77777777" w:rsidR="00EE3DF9" w:rsidRDefault="00EE3DF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93D9F5A" w14:textId="77777777" w:rsidR="00EE3DF9" w:rsidRDefault="00EE3DF9"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058820"/>
      <w:docPartObj>
        <w:docPartGallery w:val="Page Numbers (Bottom of Page)"/>
        <w:docPartUnique/>
      </w:docPartObj>
    </w:sdtPr>
    <w:sdtEndPr>
      <w:rPr>
        <w:noProof/>
      </w:rPr>
    </w:sdtEndPr>
    <w:sdtContent>
      <w:p w14:paraId="43A4E114"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5B8A58" w14:textId="77777777" w:rsidR="00E26B97" w:rsidRDefault="00E26B97" w:rsidP="00F92EAE">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201573"/>
      <w:docPartObj>
        <w:docPartGallery w:val="Page Numbers (Bottom of Page)"/>
        <w:docPartUnique/>
      </w:docPartObj>
    </w:sdtPr>
    <w:sdtEndPr>
      <w:rPr>
        <w:noProof/>
      </w:rPr>
    </w:sdtEndPr>
    <w:sdtContent>
      <w:p w14:paraId="38499AC8" w14:textId="77777777" w:rsidR="00E26B97" w:rsidRDefault="00E26B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AC3CADC" w14:textId="77777777" w:rsidR="00E26B97" w:rsidRDefault="00E26B97"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422975"/>
      <w:docPartObj>
        <w:docPartGallery w:val="Page Numbers (Bottom of Page)"/>
        <w:docPartUnique/>
      </w:docPartObj>
    </w:sdtPr>
    <w:sdtEndPr>
      <w:rPr>
        <w:noProof/>
      </w:rPr>
    </w:sdtEndPr>
    <w:sdtContent>
      <w:p w14:paraId="0FF6CFE0"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918A10" w14:textId="77777777" w:rsidR="00E26B97" w:rsidRDefault="00E26B97" w:rsidP="00F92EAE">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093282"/>
      <w:docPartObj>
        <w:docPartGallery w:val="Page Numbers (Bottom of Page)"/>
        <w:docPartUnique/>
      </w:docPartObj>
    </w:sdtPr>
    <w:sdtEndPr>
      <w:rPr>
        <w:noProof/>
      </w:rPr>
    </w:sdtEndPr>
    <w:sdtContent>
      <w:p w14:paraId="5C80F3C2" w14:textId="77777777" w:rsidR="00E26B97" w:rsidRDefault="00E26B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A144EBD" w14:textId="77777777" w:rsidR="00E26B97" w:rsidRDefault="00E26B97"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691721"/>
      <w:docPartObj>
        <w:docPartGallery w:val="Page Numbers (Bottom of Page)"/>
        <w:docPartUnique/>
      </w:docPartObj>
    </w:sdtPr>
    <w:sdtEndPr>
      <w:rPr>
        <w:noProof/>
      </w:rPr>
    </w:sdtEndPr>
    <w:sdtContent>
      <w:p w14:paraId="7866FC70"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EF3A38" w14:textId="77777777" w:rsidR="00E26B97" w:rsidRDefault="00E26B97" w:rsidP="00F92EAE">
    <w:pPr>
      <w:pStyle w:val="Footer"/>
      <w:jc w:val="cen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402635"/>
      <w:docPartObj>
        <w:docPartGallery w:val="Page Numbers (Bottom of Page)"/>
        <w:docPartUnique/>
      </w:docPartObj>
    </w:sdtPr>
    <w:sdtEndPr>
      <w:rPr>
        <w:noProof/>
      </w:rPr>
    </w:sdtEndPr>
    <w:sdtContent>
      <w:p w14:paraId="52552151" w14:textId="77777777" w:rsidR="00E26B97" w:rsidRDefault="00E26B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6EBFBFD" w14:textId="77777777" w:rsidR="00E26B97" w:rsidRDefault="00E26B97" w:rsidP="000E30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440124"/>
      <w:docPartObj>
        <w:docPartGallery w:val="Page Numbers (Bottom of Page)"/>
        <w:docPartUnique/>
      </w:docPartObj>
    </w:sdtPr>
    <w:sdtEndPr>
      <w:rPr>
        <w:noProof/>
      </w:rPr>
    </w:sdtEndPr>
    <w:sdtContent>
      <w:p w14:paraId="2D674F02" w14:textId="77777777" w:rsidR="0087606E" w:rsidRDefault="008760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4ED059" w14:textId="77777777" w:rsidR="0087606E" w:rsidRDefault="0087606E" w:rsidP="00F92EAE">
    <w:pPr>
      <w:pStyle w:val="Footer"/>
      <w:jc w:val="cen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641526"/>
      <w:docPartObj>
        <w:docPartGallery w:val="Page Numbers (Bottom of Page)"/>
        <w:docPartUnique/>
      </w:docPartObj>
    </w:sdtPr>
    <w:sdtEndPr>
      <w:rPr>
        <w:noProof/>
      </w:rPr>
    </w:sdtEndPr>
    <w:sdtContent>
      <w:p w14:paraId="0ADC3496" w14:textId="77777777" w:rsidR="0087606E" w:rsidRDefault="0087606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CDA06F4" w14:textId="77777777" w:rsidR="0087606E" w:rsidRDefault="0087606E" w:rsidP="000E30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320620"/>
      <w:docPartObj>
        <w:docPartGallery w:val="Page Numbers (Bottom of Page)"/>
        <w:docPartUnique/>
      </w:docPartObj>
    </w:sdtPr>
    <w:sdtEndPr>
      <w:rPr>
        <w:noProof/>
      </w:rPr>
    </w:sdtEndPr>
    <w:sdtContent>
      <w:p w14:paraId="0439D699"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EA4E20" w14:textId="77777777" w:rsidR="00E26B97" w:rsidRDefault="00E26B97" w:rsidP="00F92EAE">
    <w:pPr>
      <w:pStyle w:val="Footer"/>
      <w:jc w:val="cen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288502"/>
      <w:docPartObj>
        <w:docPartGallery w:val="Page Numbers (Bottom of Page)"/>
        <w:docPartUnique/>
      </w:docPartObj>
    </w:sdtPr>
    <w:sdtEndPr>
      <w:rPr>
        <w:noProof/>
      </w:rPr>
    </w:sdtEndPr>
    <w:sdtContent>
      <w:p w14:paraId="4469B934" w14:textId="77777777" w:rsidR="00E26B97" w:rsidRDefault="00E26B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6F2C7D3" w14:textId="77777777" w:rsidR="00E26B97" w:rsidRDefault="00E26B97" w:rsidP="000E30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476197"/>
      <w:docPartObj>
        <w:docPartGallery w:val="Page Numbers (Bottom of Page)"/>
        <w:docPartUnique/>
      </w:docPartObj>
    </w:sdtPr>
    <w:sdtEndPr>
      <w:rPr>
        <w:noProof/>
      </w:rPr>
    </w:sdtEndPr>
    <w:sdtContent>
      <w:p w14:paraId="0ECC4574"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913B25" w14:textId="77777777" w:rsidR="00E26B97" w:rsidRDefault="00E26B97" w:rsidP="00F92EAE">
    <w:pPr>
      <w:pStyle w:val="Footer"/>
      <w:jc w:val="cen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889944"/>
      <w:docPartObj>
        <w:docPartGallery w:val="Page Numbers (Bottom of Page)"/>
        <w:docPartUnique/>
      </w:docPartObj>
    </w:sdtPr>
    <w:sdtEndPr>
      <w:rPr>
        <w:noProof/>
      </w:rPr>
    </w:sdtEndPr>
    <w:sdtContent>
      <w:p w14:paraId="7823928F" w14:textId="77777777" w:rsidR="00E26B97" w:rsidRDefault="00E26B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7BA7DC6" w14:textId="77777777" w:rsidR="00E26B97" w:rsidRDefault="00E26B97" w:rsidP="000E308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034742"/>
      <w:docPartObj>
        <w:docPartGallery w:val="Page Numbers (Bottom of Page)"/>
        <w:docPartUnique/>
      </w:docPartObj>
    </w:sdtPr>
    <w:sdtEndPr>
      <w:rPr>
        <w:noProof/>
      </w:rPr>
    </w:sdtEndPr>
    <w:sdtContent>
      <w:p w14:paraId="6B76DA29"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9C3F32" w14:textId="77777777" w:rsidR="00E26B97" w:rsidRDefault="00E26B97" w:rsidP="00F92EAE">
    <w:pPr>
      <w:pStyle w:val="Footer"/>
      <w:jc w:val="cen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950162"/>
      <w:docPartObj>
        <w:docPartGallery w:val="Page Numbers (Bottom of Page)"/>
        <w:docPartUnique/>
      </w:docPartObj>
    </w:sdtPr>
    <w:sdtEndPr>
      <w:rPr>
        <w:noProof/>
      </w:rPr>
    </w:sdtEndPr>
    <w:sdtContent>
      <w:p w14:paraId="661AE83A"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4BD622" w14:textId="77777777" w:rsidR="00E26B97" w:rsidRDefault="00E26B97" w:rsidP="00F92EAE">
    <w:pPr>
      <w:pStyle w:val="Footer"/>
      <w:jc w:val="cen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402552"/>
      <w:docPartObj>
        <w:docPartGallery w:val="Page Numbers (Bottom of Page)"/>
        <w:docPartUnique/>
      </w:docPartObj>
    </w:sdtPr>
    <w:sdtEndPr>
      <w:rPr>
        <w:noProof/>
      </w:rPr>
    </w:sdtEndPr>
    <w:sdtContent>
      <w:p w14:paraId="63321F97"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F2D3E0" w14:textId="77777777" w:rsidR="00E26B97" w:rsidRDefault="00E26B97" w:rsidP="00F92EAE">
    <w:pPr>
      <w:pStyle w:val="Footer"/>
      <w:jc w:val="cen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4D0C" w14:textId="77777777" w:rsidR="00D52AD8" w:rsidRDefault="00D52AD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CC967" w14:textId="77777777" w:rsidR="00D52AD8" w:rsidRDefault="00D52AD8">
    <w:pPr>
      <w:pStyle w:val="Footer"/>
      <w:jc w:val="cen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69109"/>
      <w:docPartObj>
        <w:docPartGallery w:val="Page Numbers (Bottom of Page)"/>
        <w:docPartUnique/>
      </w:docPartObj>
    </w:sdtPr>
    <w:sdtEndPr>
      <w:rPr>
        <w:noProof/>
      </w:rPr>
    </w:sdtEndPr>
    <w:sdtContent>
      <w:p w14:paraId="1EB10C7F" w14:textId="24C0319B" w:rsidR="00D52AD8" w:rsidRDefault="00EA3E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92388" w14:textId="77777777" w:rsidR="00D52AD8" w:rsidRDefault="00D52AD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FFEE1" w14:textId="77777777" w:rsidR="00D52AD8" w:rsidRDefault="00D52AD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F706C" w14:textId="77777777" w:rsidR="00D52AD8" w:rsidRDefault="00D52AD8">
    <w:pPr>
      <w:pStyle w:val="Footer"/>
      <w:jc w:val="center"/>
    </w:pPr>
    <w:r>
      <w:fldChar w:fldCharType="begin"/>
    </w:r>
    <w:r>
      <w:instrText>PAGE</w:instrText>
    </w:r>
    <w:r>
      <w:fldChar w:fldCharType="separate"/>
    </w:r>
    <w:r>
      <w:rPr>
        <w:noProof/>
      </w:rPr>
      <w:t>3</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rPr>
        <w:noProof/>
      </w:rPr>
    </w:sdtEndPr>
    <w:sdtContent>
      <w:p w14:paraId="2B00CAEE" w14:textId="77777777" w:rsidR="00D52AD8" w:rsidRDefault="00D52A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5C9D3" w14:textId="77777777" w:rsidR="00D52AD8" w:rsidRDefault="00D52AD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8DB12" w14:textId="77777777" w:rsidR="00D52AD8" w:rsidRDefault="00D52AD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4578C" w14:textId="77777777" w:rsidR="00D52AD8" w:rsidRDefault="00D52AD8">
    <w:pPr>
      <w:pStyle w:val="Footer"/>
      <w:jc w:val="center"/>
    </w:pPr>
    <w:r>
      <w:fldChar w:fldCharType="begin"/>
    </w:r>
    <w:r>
      <w:instrText>PAGE</w:instrText>
    </w:r>
    <w:r>
      <w:fldChar w:fldCharType="separate"/>
    </w:r>
    <w:r>
      <w:rPr>
        <w:noProof/>
      </w:rPr>
      <w:t>8</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948142"/>
      <w:docPartObj>
        <w:docPartGallery w:val="Page Numbers (Bottom of Page)"/>
        <w:docPartUnique/>
      </w:docPartObj>
    </w:sdtPr>
    <w:sdtEndPr>
      <w:rPr>
        <w:noProof/>
      </w:rPr>
    </w:sdtEndPr>
    <w:sdtContent>
      <w:p w14:paraId="53ECA685" w14:textId="77777777" w:rsidR="00D52AD8" w:rsidRDefault="00D52AD8">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38BD1AA7" w14:textId="77777777" w:rsidR="00D52AD8" w:rsidRDefault="00D52AD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29820" w14:textId="77777777" w:rsidR="00B202FC" w:rsidRPr="00A12133" w:rsidRDefault="00B202FC">
    <w:pPr>
      <w:pStyle w:val="Footer"/>
      <w:jc w:val="center"/>
    </w:pPr>
    <w:r w:rsidRPr="00A12133">
      <w:fldChar w:fldCharType="begin"/>
    </w:r>
    <w:r w:rsidRPr="00A12133">
      <w:instrText>PAGE</w:instrText>
    </w:r>
    <w:r w:rsidRPr="00A12133">
      <w:fldChar w:fldCharType="separate"/>
    </w:r>
    <w:r w:rsidRPr="00A12133">
      <w:t>8</w:t>
    </w:r>
    <w:r w:rsidRPr="00A12133">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339524"/>
      <w:docPartObj>
        <w:docPartGallery w:val="Page Numbers (Bottom of Page)"/>
        <w:docPartUnique/>
      </w:docPartObj>
    </w:sdtPr>
    <w:sdtEndPr/>
    <w:sdtContent>
      <w:p w14:paraId="1BF14E0B" w14:textId="77777777" w:rsidR="00B202FC" w:rsidRPr="00A12133" w:rsidRDefault="00B202FC">
        <w:pPr>
          <w:pStyle w:val="Footer"/>
          <w:jc w:val="center"/>
        </w:pPr>
        <w:r w:rsidRPr="00A12133">
          <w:fldChar w:fldCharType="begin"/>
        </w:r>
        <w:r w:rsidRPr="00A12133">
          <w:instrText xml:space="preserve"> PAGE   \* MERGEFORMAT </w:instrText>
        </w:r>
        <w:r w:rsidRPr="00A12133">
          <w:fldChar w:fldCharType="separate"/>
        </w:r>
        <w:r w:rsidRPr="00A12133">
          <w:t>4</w:t>
        </w:r>
        <w:r w:rsidRPr="00A12133">
          <w:fldChar w:fldCharType="end"/>
        </w:r>
      </w:p>
    </w:sdtContent>
  </w:sdt>
  <w:p w14:paraId="134BA9C8" w14:textId="77777777" w:rsidR="00B202FC" w:rsidRPr="00A12133" w:rsidRDefault="00B202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F77F" w14:textId="77777777" w:rsidR="00D52AD8" w:rsidRDefault="00D52AD8">
    <w:pPr>
      <w:pStyle w:val="Footer"/>
      <w:jc w:val="center"/>
    </w:pPr>
    <w:r>
      <w:fldChar w:fldCharType="begin"/>
    </w:r>
    <w:r>
      <w:instrText>PAGE</w:instrText>
    </w:r>
    <w:r>
      <w:fldChar w:fldCharType="separate"/>
    </w:r>
    <w:r>
      <w:rPr>
        <w:noProof/>
      </w:rPr>
      <w:t>8</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209173"/>
      <w:docPartObj>
        <w:docPartGallery w:val="Page Numbers (Bottom of Page)"/>
        <w:docPartUnique/>
      </w:docPartObj>
    </w:sdtPr>
    <w:sdtEndPr>
      <w:rPr>
        <w:noProof/>
      </w:rPr>
    </w:sdtEndPr>
    <w:sdtContent>
      <w:p w14:paraId="69582F52" w14:textId="77777777" w:rsidR="00D52AD8" w:rsidRDefault="00D52AD8">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71C3C9F" w14:textId="77777777" w:rsidR="00D52AD8" w:rsidRDefault="00D52AD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D4A5" w14:textId="77777777" w:rsidR="00E26B97" w:rsidRDefault="00E26B97">
    <w:pPr>
      <w:pStyle w:val="Footer"/>
      <w:jc w:val="center"/>
    </w:pPr>
    <w:r>
      <w:fldChar w:fldCharType="begin"/>
    </w:r>
    <w:r>
      <w:instrText>PAGE</w:instrText>
    </w:r>
    <w:r>
      <w:fldChar w:fldCharType="separate"/>
    </w:r>
    <w:r>
      <w:rPr>
        <w:noProof/>
      </w:rPr>
      <w:t>8</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A874" w14:textId="77777777" w:rsidR="00EE3DF9" w:rsidRDefault="00EE3DF9" w:rsidP="000E3086">
    <w:pPr>
      <w:pStyle w:val="Footer"/>
    </w:pPr>
  </w:p>
  <w:p w14:paraId="4F6B25C8" w14:textId="77777777" w:rsidR="00EE3DF9" w:rsidRDefault="00EE3DF9"/>
  <w:p w14:paraId="5C9559F9" w14:textId="77777777" w:rsidR="00EE3DF9" w:rsidRDefault="00EE3DF9"/>
  <w:p w14:paraId="68A98A02" w14:textId="77777777" w:rsidR="00EE3DF9" w:rsidRDefault="00EE3DF9"/>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DC1E9" w14:textId="77777777" w:rsidR="00EE3DF9" w:rsidRDefault="00EE3DF9">
    <w:pPr>
      <w:pStyle w:val="Footer"/>
      <w:jc w:val="center"/>
    </w:pPr>
    <w:r>
      <w:fldChar w:fldCharType="begin"/>
    </w:r>
    <w:r>
      <w:instrText>PAGE</w:instrText>
    </w:r>
    <w:r>
      <w:fldChar w:fldCharType="separate"/>
    </w:r>
    <w:r>
      <w:rPr>
        <w:noProof/>
      </w:rPr>
      <w:t>11</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831788014"/>
      <w:docPartObj>
        <w:docPartGallery w:val="Page Numbers (Bottom of Page)"/>
        <w:docPartUnique/>
      </w:docPartObj>
    </w:sdtPr>
    <w:sdtEndPr>
      <w:rPr>
        <w:noProof/>
      </w:rPr>
    </w:sdtEndPr>
    <w:sdtContent>
      <w:p w14:paraId="0EE18CC2" w14:textId="77777777" w:rsidR="00EE3DF9" w:rsidRPr="00EB2923" w:rsidRDefault="00EE3DF9">
        <w:pPr>
          <w:pStyle w:val="Footer"/>
          <w:jc w:val="center"/>
          <w:rPr>
            <w:sz w:val="20"/>
          </w:rPr>
        </w:pPr>
        <w:r w:rsidRPr="009D4C15">
          <w:rPr>
            <w:sz w:val="20"/>
          </w:rPr>
          <w:fldChar w:fldCharType="begin"/>
        </w:r>
        <w:r w:rsidRPr="009D4C15">
          <w:rPr>
            <w:sz w:val="20"/>
          </w:rPr>
          <w:instrText xml:space="preserve"> PAGE   \* MERGEFORMAT </w:instrText>
        </w:r>
        <w:r w:rsidRPr="009D4C15">
          <w:rPr>
            <w:sz w:val="20"/>
          </w:rPr>
          <w:fldChar w:fldCharType="separate"/>
        </w:r>
        <w:r>
          <w:rPr>
            <w:noProof/>
            <w:sz w:val="20"/>
          </w:rPr>
          <w:t>9</w:t>
        </w:r>
        <w:r w:rsidRPr="009D4C15">
          <w:rPr>
            <w:noProof/>
            <w:sz w:val="20"/>
          </w:rPr>
          <w:fldChar w:fldCharType="end"/>
        </w:r>
      </w:p>
    </w:sdtContent>
  </w:sdt>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6F367" w14:textId="77777777" w:rsidR="00E26B97" w:rsidRDefault="00E26B97">
    <w:pPr>
      <w:pStyle w:val="Footer"/>
      <w:jc w:val="center"/>
    </w:pPr>
    <w:r>
      <w:fldChar w:fldCharType="begin"/>
    </w:r>
    <w:r>
      <w:instrText>PAGE</w:instrText>
    </w:r>
    <w:r>
      <w:fldChar w:fldCharType="separate"/>
    </w:r>
    <w:r>
      <w:rPr>
        <w:noProof/>
      </w:rPr>
      <w:t>11</w:t>
    </w:r>
    <w: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991904736"/>
      <w:docPartObj>
        <w:docPartGallery w:val="Page Numbers (Bottom of Page)"/>
        <w:docPartUnique/>
      </w:docPartObj>
    </w:sdtPr>
    <w:sdtEndPr>
      <w:rPr>
        <w:noProof/>
      </w:rPr>
    </w:sdtEndPr>
    <w:sdtContent>
      <w:p w14:paraId="49109A3E" w14:textId="77777777" w:rsidR="00E26B97" w:rsidRPr="00EB2923" w:rsidRDefault="00E26B97">
        <w:pPr>
          <w:pStyle w:val="Footer"/>
          <w:jc w:val="center"/>
          <w:rPr>
            <w:sz w:val="20"/>
          </w:rPr>
        </w:pPr>
        <w:r w:rsidRPr="009D4C15">
          <w:rPr>
            <w:sz w:val="20"/>
          </w:rPr>
          <w:fldChar w:fldCharType="begin"/>
        </w:r>
        <w:r w:rsidRPr="009D4C15">
          <w:rPr>
            <w:sz w:val="20"/>
          </w:rPr>
          <w:instrText xml:space="preserve"> PAGE   \* MERGEFORMAT </w:instrText>
        </w:r>
        <w:r w:rsidRPr="009D4C15">
          <w:rPr>
            <w:sz w:val="20"/>
          </w:rPr>
          <w:fldChar w:fldCharType="separate"/>
        </w:r>
        <w:r>
          <w:rPr>
            <w:noProof/>
            <w:sz w:val="20"/>
          </w:rPr>
          <w:t>9</w:t>
        </w:r>
        <w:r w:rsidRPr="009D4C15">
          <w:rPr>
            <w:noProof/>
            <w:sz w:val="20"/>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50585" w14:textId="77777777" w:rsidR="00EE3DF9" w:rsidRDefault="00EE3DF9" w:rsidP="000E308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231114"/>
      <w:docPartObj>
        <w:docPartGallery w:val="Page Numbers (Bottom of Page)"/>
        <w:docPartUnique/>
      </w:docPartObj>
    </w:sdtPr>
    <w:sdtEndPr>
      <w:rPr>
        <w:noProof/>
      </w:rPr>
    </w:sdtEndPr>
    <w:sdtContent>
      <w:p w14:paraId="5E9A0D34" w14:textId="77777777" w:rsidR="00EE3DF9" w:rsidRDefault="00EE3DF9" w:rsidP="00E514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F96FF0" w14:textId="77777777" w:rsidR="00EE3DF9" w:rsidRPr="00CD516A" w:rsidRDefault="00EE3DF9" w:rsidP="000E308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364516"/>
      <w:docPartObj>
        <w:docPartGallery w:val="Page Numbers (Bottom of Page)"/>
        <w:docPartUnique/>
      </w:docPartObj>
    </w:sdtPr>
    <w:sdtEndPr>
      <w:rPr>
        <w:noProof/>
      </w:rPr>
    </w:sdtEndPr>
    <w:sdtContent>
      <w:p w14:paraId="388044F1" w14:textId="7C45BAAA" w:rsidR="00C16987" w:rsidRDefault="00C169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2C801B" w14:textId="77777777" w:rsidR="00EE3DF9" w:rsidRDefault="00EE3DF9">
    <w:pPr>
      <w:pStyle w:val="Footer"/>
      <w:jc w:val="cen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9134"/>
      <w:docPartObj>
        <w:docPartGallery w:val="Page Numbers (Bottom of Page)"/>
        <w:docPartUnique/>
      </w:docPartObj>
    </w:sdtPr>
    <w:sdtEndPr>
      <w:rPr>
        <w:noProof/>
      </w:rPr>
    </w:sdtEndPr>
    <w:sdtContent>
      <w:p w14:paraId="718DA27E" w14:textId="77777777" w:rsidR="00E26B97" w:rsidRDefault="00E26B97" w:rsidP="00E514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9FC018" w14:textId="77777777" w:rsidR="00E26B97" w:rsidRPr="00CD516A" w:rsidRDefault="00E26B97" w:rsidP="000E308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77268"/>
      <w:docPartObj>
        <w:docPartGallery w:val="Page Numbers (Bottom of Page)"/>
        <w:docPartUnique/>
      </w:docPartObj>
    </w:sdtPr>
    <w:sdtEndPr>
      <w:rPr>
        <w:noProof/>
      </w:rPr>
    </w:sdtEndPr>
    <w:sdtContent>
      <w:p w14:paraId="2D540B04"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3772BF" w14:textId="77777777" w:rsidR="00E26B97" w:rsidRDefault="00E26B97">
    <w:pPr>
      <w:pStyle w:val="Footer"/>
      <w:jc w:val="cen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D20C" w14:textId="77777777" w:rsidR="00EE3DF9" w:rsidRDefault="00EE3DF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890248"/>
      <w:docPartObj>
        <w:docPartGallery w:val="Page Numbers (Bottom of Page)"/>
        <w:docPartUnique/>
      </w:docPartObj>
    </w:sdtPr>
    <w:sdtEndPr>
      <w:rPr>
        <w:noProof/>
      </w:rPr>
    </w:sdtEndPr>
    <w:sdtContent>
      <w:p w14:paraId="4C30F935" w14:textId="1F4C038F" w:rsidR="005D4619" w:rsidRDefault="005D46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ECE8D" w14:textId="77777777" w:rsidR="00EE3DF9" w:rsidRDefault="00EE3DF9" w:rsidP="00F92EAE">
    <w:pPr>
      <w:pStyle w:val="Footer"/>
      <w:jc w:val="cen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2481623"/>
      <w:docPartObj>
        <w:docPartGallery w:val="Page Numbers (Bottom of Page)"/>
        <w:docPartUnique/>
      </w:docPartObj>
    </w:sdtPr>
    <w:sdtEndPr>
      <w:rPr>
        <w:noProof/>
      </w:rPr>
    </w:sdtEndPr>
    <w:sdtContent>
      <w:p w14:paraId="6C768CA9" w14:textId="2E8BB18A" w:rsidR="005D4619" w:rsidRDefault="005D46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D4DDD1" w14:textId="77777777" w:rsidR="00EE3DF9" w:rsidRDefault="00EE3DF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386491"/>
      <w:docPartObj>
        <w:docPartGallery w:val="Page Numbers (Bottom of Page)"/>
        <w:docPartUnique/>
      </w:docPartObj>
    </w:sdtPr>
    <w:sdtEndPr>
      <w:rPr>
        <w:noProof/>
      </w:rPr>
    </w:sdtEndPr>
    <w:sdtContent>
      <w:p w14:paraId="26B010FE"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88B52B" w14:textId="77777777" w:rsidR="00E26B97" w:rsidRDefault="00E26B97" w:rsidP="00F92EAE">
    <w:pPr>
      <w:pStyle w:val="Footer"/>
      <w:jc w:val="cen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947071"/>
      <w:docPartObj>
        <w:docPartGallery w:val="Page Numbers (Bottom of Page)"/>
        <w:docPartUnique/>
      </w:docPartObj>
    </w:sdtPr>
    <w:sdtEndPr>
      <w:rPr>
        <w:noProof/>
      </w:rPr>
    </w:sdtEndPr>
    <w:sdtContent>
      <w:p w14:paraId="7FEC9E14" w14:textId="77777777" w:rsidR="00E26B97" w:rsidRDefault="00E2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7955F5" w14:textId="77777777" w:rsidR="00E26B97" w:rsidRDefault="00E26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F6AF0" w14:textId="77777777" w:rsidR="00881884" w:rsidRDefault="00881884" w:rsidP="000E3086">
      <w:r>
        <w:separator/>
      </w:r>
    </w:p>
  </w:footnote>
  <w:footnote w:type="continuationSeparator" w:id="0">
    <w:p w14:paraId="19D3E1FC" w14:textId="77777777" w:rsidR="00881884" w:rsidRDefault="00881884" w:rsidP="000E3086">
      <w:r>
        <w:continuationSeparator/>
      </w:r>
    </w:p>
  </w:footnote>
  <w:footnote w:type="continuationNotice" w:id="1">
    <w:p w14:paraId="0F4327CF" w14:textId="77777777" w:rsidR="00881884" w:rsidRDefault="00881884">
      <w:pPr>
        <w:spacing w:after="0"/>
      </w:pPr>
    </w:p>
  </w:footnote>
  <w:footnote w:id="2">
    <w:p w14:paraId="0E20F1B8" w14:textId="77777777" w:rsidR="00C3434F" w:rsidRPr="00FA0083" w:rsidRDefault="00C3434F" w:rsidP="00C3434F">
      <w:pPr>
        <w:pStyle w:val="FootnoteText"/>
        <w:rPr>
          <w:lang w:val="en-IE"/>
        </w:rPr>
      </w:pPr>
      <w:r w:rsidRPr="00FA0083">
        <w:rPr>
          <w:rStyle w:val="FootnoteReference"/>
          <w:lang w:val="en-IE"/>
        </w:rPr>
        <w:footnoteRef/>
      </w:r>
      <w:r w:rsidRPr="00FA0083">
        <w:rPr>
          <w:lang w:val="en-IE"/>
        </w:rPr>
        <w:t xml:space="preserve"> JOIN/2025/130 final.</w:t>
      </w:r>
    </w:p>
  </w:footnote>
  <w:footnote w:id="3">
    <w:p w14:paraId="20E5D798" w14:textId="77777777" w:rsidR="00C3434F" w:rsidRPr="00FA0083" w:rsidRDefault="00C3434F" w:rsidP="00C3434F">
      <w:pPr>
        <w:pStyle w:val="FootnoteText"/>
        <w:rPr>
          <w:lang w:val="en-IE"/>
        </w:rPr>
      </w:pPr>
      <w:r w:rsidRPr="00FA0083">
        <w:rPr>
          <w:rStyle w:val="FootnoteReference"/>
          <w:lang w:val="en-IE"/>
        </w:rPr>
        <w:footnoteRef/>
      </w:r>
      <w:r w:rsidRPr="00FA0083">
        <w:rPr>
          <w:lang w:val="en-IE"/>
        </w:rPr>
        <w:t xml:space="preserve"> COM/2025/148 final.</w:t>
      </w:r>
    </w:p>
  </w:footnote>
  <w:footnote w:id="4">
    <w:p w14:paraId="4F702E2E" w14:textId="77777777" w:rsidR="00964863" w:rsidRPr="00FA0083" w:rsidRDefault="00964863" w:rsidP="00964863">
      <w:pPr>
        <w:pStyle w:val="FootnoteText"/>
        <w:rPr>
          <w:lang w:val="en-IE"/>
        </w:rPr>
      </w:pPr>
      <w:r w:rsidRPr="00FA0083">
        <w:rPr>
          <w:rStyle w:val="FootnoteReference"/>
        </w:rPr>
        <w:footnoteRef/>
      </w:r>
      <w:r w:rsidRPr="00FA0083">
        <w:t xml:space="preserve"> </w:t>
      </w:r>
      <w:r w:rsidRPr="00FA0083">
        <w:rPr>
          <w:rFonts w:eastAsia="Times New Roman"/>
        </w:rPr>
        <w:t xml:space="preserve">ENISA, </w:t>
      </w:r>
      <w:r w:rsidRPr="00FA0083">
        <w:rPr>
          <w:rFonts w:eastAsia="Times New Roman"/>
          <w:i/>
        </w:rPr>
        <w:t>ENISA Threat Landscape 2024</w:t>
      </w:r>
      <w:r w:rsidRPr="00FA0083">
        <w:rPr>
          <w:rFonts w:eastAsia="Times New Roman"/>
        </w:rPr>
        <w:t xml:space="preserve">, </w:t>
      </w:r>
      <w:hyperlink r:id="rId1">
        <w:r w:rsidRPr="00FA0083">
          <w:rPr>
            <w:rStyle w:val="Hyperlink"/>
            <w:rFonts w:eastAsia="Times New Roman"/>
          </w:rPr>
          <w:t>https://www.enisa.europa.eu/publications/enisa-threat-landscape-2024</w:t>
        </w:r>
      </w:hyperlink>
    </w:p>
  </w:footnote>
  <w:footnote w:id="5">
    <w:p w14:paraId="29269607" w14:textId="77777777" w:rsidR="00C3434F" w:rsidRPr="00FA0083" w:rsidRDefault="00C3434F" w:rsidP="00C3434F">
      <w:pPr>
        <w:pStyle w:val="FootnoteText"/>
        <w:rPr>
          <w:lang w:val="en-IE"/>
        </w:rPr>
      </w:pPr>
      <w:r w:rsidRPr="00FA0083">
        <w:rPr>
          <w:rStyle w:val="FootnoteReference"/>
          <w:rFonts w:eastAsia="Times New Roman"/>
          <w:lang w:val="en-IE"/>
        </w:rPr>
        <w:footnoteRef/>
      </w:r>
      <w:r w:rsidRPr="00FA0083">
        <w:rPr>
          <w:rFonts w:eastAsia="Times New Roman"/>
          <w:lang w:val="en-IE"/>
        </w:rPr>
        <w:t xml:space="preserve"> JOIN(2020) 18 final.</w:t>
      </w:r>
    </w:p>
  </w:footnote>
  <w:footnote w:id="6">
    <w:p w14:paraId="74A373AB" w14:textId="09A04EBF" w:rsidR="007E6B3C" w:rsidRPr="00FA0083" w:rsidRDefault="007E6B3C">
      <w:pPr>
        <w:pStyle w:val="FootnoteText"/>
        <w:rPr>
          <w:lang w:val="en-IE"/>
        </w:rPr>
      </w:pPr>
      <w:r w:rsidRPr="00FA0083">
        <w:rPr>
          <w:rStyle w:val="FootnoteReference"/>
        </w:rPr>
        <w:footnoteRef/>
      </w:r>
      <w:r w:rsidRPr="00FA0083">
        <w:t xml:space="preserve"> </w:t>
      </w:r>
      <w:r w:rsidRPr="00FA0083">
        <w:rPr>
          <w:rFonts w:eastAsia="Times New Roman"/>
        </w:rPr>
        <w:t xml:space="preserve">Who’s who in Ransomware Report, </w:t>
      </w:r>
      <w:hyperlink r:id="rId2">
        <w:r w:rsidRPr="00FA0083">
          <w:rPr>
            <w:rStyle w:val="Hyperlink"/>
            <w:rFonts w:eastAsia="Times New Roman"/>
          </w:rPr>
          <w:t>q2 2023 Whos Who in Ransomware Report | PDF | Ransomware | Security</w:t>
        </w:r>
      </w:hyperlink>
    </w:p>
  </w:footnote>
  <w:footnote w:id="7">
    <w:p w14:paraId="485647C2" w14:textId="77777777" w:rsidR="00C3434F" w:rsidRPr="00FA0083" w:rsidRDefault="00C3434F" w:rsidP="00C3434F">
      <w:pPr>
        <w:pStyle w:val="FootnoteText"/>
        <w:rPr>
          <w:lang w:val="en-IE"/>
        </w:rPr>
      </w:pPr>
      <w:r w:rsidRPr="00FA0083">
        <w:rPr>
          <w:rStyle w:val="FootnoteReference"/>
          <w:lang w:val="en-IE"/>
        </w:rPr>
        <w:footnoteRef/>
      </w:r>
      <w:r w:rsidRPr="00FA0083">
        <w:rPr>
          <w:lang w:val="en-IE"/>
        </w:rPr>
        <w:t xml:space="preserve"> BBC, </w:t>
      </w:r>
      <w:r w:rsidRPr="00FA0083">
        <w:rPr>
          <w:i/>
          <w:lang w:val="en-IE"/>
        </w:rPr>
        <w:t>EU cyber agency says airport software held to ransom by criminals,</w:t>
      </w:r>
      <w:r w:rsidRPr="00FA0083">
        <w:rPr>
          <w:lang w:val="en-IE"/>
        </w:rPr>
        <w:t xml:space="preserve"> </w:t>
      </w:r>
      <w:hyperlink r:id="rId3" w:history="1">
        <w:r w:rsidRPr="00FA0083">
          <w:rPr>
            <w:rStyle w:val="Hyperlink"/>
            <w:lang w:val="en-IE"/>
          </w:rPr>
          <w:t>https://www.bbc.com/news/articles/cqjeej85452o</w:t>
        </w:r>
      </w:hyperlink>
      <w:r w:rsidRPr="00FA0083">
        <w:rPr>
          <w:lang w:val="en-IE"/>
        </w:rPr>
        <w:t>.</w:t>
      </w:r>
    </w:p>
  </w:footnote>
  <w:footnote w:id="8">
    <w:p w14:paraId="2BD1B596" w14:textId="77777777" w:rsidR="00C3434F" w:rsidRPr="00FA0083" w:rsidRDefault="00C3434F" w:rsidP="00C3434F">
      <w:pPr>
        <w:pStyle w:val="FootnoteText"/>
        <w:rPr>
          <w:lang w:val="en-IE"/>
        </w:rPr>
      </w:pPr>
      <w:r w:rsidRPr="00FA0083">
        <w:rPr>
          <w:rStyle w:val="FootnoteReference"/>
          <w:rFonts w:eastAsia="Times New Roman"/>
        </w:rPr>
        <w:footnoteRef/>
      </w:r>
      <w:r w:rsidRPr="00FA0083">
        <w:rPr>
          <w:rFonts w:eastAsia="Times New Roman"/>
        </w:rPr>
        <w:t xml:space="preserve"> COM/2025/66 final.</w:t>
      </w:r>
    </w:p>
  </w:footnote>
  <w:footnote w:id="9">
    <w:p w14:paraId="4D87C8D9" w14:textId="79206064" w:rsidR="00BC5BA8" w:rsidRPr="00FA0083" w:rsidRDefault="00BC5BA8">
      <w:pPr>
        <w:pStyle w:val="FootnoteText"/>
        <w:rPr>
          <w:lang w:val="en-IE"/>
        </w:rPr>
      </w:pPr>
      <w:r w:rsidRPr="00FA0083">
        <w:rPr>
          <w:rStyle w:val="FootnoteReference"/>
        </w:rPr>
        <w:footnoteRef/>
      </w:r>
      <w:r w:rsidRPr="00FA0083">
        <w:t xml:space="preserve"> </w:t>
      </w:r>
      <w:r w:rsidR="007D22E8" w:rsidRPr="00FA0083">
        <w:t xml:space="preserve">Cybersecurity of 5G networks – EU Toolbox of risk mitigating measures, NIS Cooperation Group, 1/2020, available at: </w:t>
      </w:r>
      <w:hyperlink r:id="rId4" w:history="1">
        <w:r w:rsidR="007D22E8" w:rsidRPr="00FA0083">
          <w:rPr>
            <w:rStyle w:val="Hyperlink"/>
          </w:rPr>
          <w:t>https://digital-strategy.ec.europa.eu/en/library/cybersecurity-5g-networks-eu-toolbox-risk-mitigating-measures</w:t>
        </w:r>
      </w:hyperlink>
      <w:r w:rsidR="007D22E8" w:rsidRPr="00FA0083">
        <w:t>.</w:t>
      </w:r>
      <w:r w:rsidRPr="00FA0083">
        <w:t xml:space="preserve"> </w:t>
      </w:r>
    </w:p>
  </w:footnote>
  <w:footnote w:id="10">
    <w:p w14:paraId="2730140F" w14:textId="77777777" w:rsidR="00C3434F" w:rsidRPr="00FA0083" w:rsidRDefault="00C3434F" w:rsidP="00C3434F">
      <w:pPr>
        <w:pStyle w:val="FootnoteText"/>
        <w:rPr>
          <w:lang w:val="en-IE"/>
        </w:rPr>
      </w:pPr>
      <w:r w:rsidRPr="00FA0083">
        <w:rPr>
          <w:rStyle w:val="FootnoteReference"/>
          <w:rFonts w:eastAsia="Times New Roman"/>
        </w:rPr>
        <w:footnoteRef/>
      </w:r>
      <w:r w:rsidRPr="00FA0083">
        <w:rPr>
          <w:rStyle w:val="FootnoteReference"/>
          <w:rFonts w:eastAsia="Times New Roman"/>
        </w:rPr>
        <w:t xml:space="preserve"> </w:t>
      </w:r>
      <w:r w:rsidRPr="00FA0083">
        <w:rPr>
          <w:rFonts w:eastAsia="Times New Roman"/>
        </w:rPr>
        <w:t>COM(2023) 207 final.</w:t>
      </w:r>
    </w:p>
  </w:footnote>
  <w:footnote w:id="11">
    <w:p w14:paraId="7A7E51BF" w14:textId="77777777" w:rsidR="00C3434F" w:rsidRPr="00FA0083" w:rsidRDefault="00C3434F" w:rsidP="00C3434F">
      <w:pPr>
        <w:pStyle w:val="FootnoteText"/>
      </w:pPr>
      <w:r w:rsidRPr="00FA0083">
        <w:rPr>
          <w:rStyle w:val="FootnoteReference"/>
          <w:rFonts w:eastAsia="Times New Roman"/>
        </w:rPr>
        <w:footnoteRef/>
      </w:r>
      <w:r w:rsidRPr="00FA0083">
        <w:rPr>
          <w:rFonts w:eastAsia="Times New Roman"/>
        </w:rPr>
        <w:t xml:space="preserve"> COM(2025) 10 final.</w:t>
      </w:r>
    </w:p>
  </w:footnote>
  <w:footnote w:id="12">
    <w:p w14:paraId="5B130578" w14:textId="77777777" w:rsidR="00C3434F" w:rsidRPr="00FA0083" w:rsidRDefault="00C3434F" w:rsidP="00C3434F">
      <w:pPr>
        <w:pStyle w:val="FootnoteText"/>
        <w:rPr>
          <w:lang w:val="en-IE"/>
        </w:rPr>
      </w:pPr>
      <w:r w:rsidRPr="00FA0083">
        <w:rPr>
          <w:rStyle w:val="FootnoteReference"/>
        </w:rPr>
        <w:footnoteRef/>
      </w:r>
      <w:r w:rsidRPr="00FA0083">
        <w:rPr>
          <w:lang w:val="en-IE"/>
        </w:rPr>
        <w:t xml:space="preserve"> European Parliament resolution of 11 April 2024 on discharge in respect of the implementation of the budget of the European Union agencies for the financial year 2022: performance, financial management and control</w:t>
      </w:r>
      <w:r w:rsidRPr="00FA0083">
        <w:t xml:space="preserve"> (2023/2182(DEC), point 61</w:t>
      </w:r>
    </w:p>
  </w:footnote>
  <w:footnote w:id="13">
    <w:p w14:paraId="03C5BAD1" w14:textId="77777777" w:rsidR="00C3434F" w:rsidRPr="00FA0083" w:rsidRDefault="00C3434F" w:rsidP="00C3434F">
      <w:pPr>
        <w:pStyle w:val="FootnoteText"/>
        <w:rPr>
          <w:lang w:val="en-IE"/>
        </w:rPr>
      </w:pPr>
      <w:r w:rsidRPr="00FA0083">
        <w:rPr>
          <w:rStyle w:val="FootnoteReference"/>
        </w:rPr>
        <w:footnoteRef/>
      </w:r>
      <w:r w:rsidRPr="00FA0083">
        <w:rPr>
          <w:lang w:val="en-IE"/>
        </w:rPr>
        <w:t xml:space="preserve"> 2025/2007(INI), points 104-109. At the time of writing, the </w:t>
      </w:r>
      <w:hyperlink r:id="rId5" w:history="1">
        <w:r w:rsidRPr="00FA0083">
          <w:rPr>
            <w:rStyle w:val="Hyperlink"/>
          </w:rPr>
          <w:t>REPORT on European technological sovereignty and digital infrastructure | A10-0107/2025 | European Parliament</w:t>
        </w:r>
      </w:hyperlink>
      <w:r w:rsidRPr="00FA0083">
        <w:rPr>
          <w:lang w:val="en-IE"/>
        </w:rPr>
        <w:t xml:space="preserve"> has been voted by the Industry (ITRE) committee of the European Parliament, awaiting vote in Plenary session. </w:t>
      </w:r>
    </w:p>
  </w:footnote>
  <w:footnote w:id="14">
    <w:p w14:paraId="539C9ED2" w14:textId="77777777" w:rsidR="00C3434F" w:rsidRPr="00FA0083" w:rsidRDefault="00C3434F" w:rsidP="00C3434F">
      <w:pPr>
        <w:pStyle w:val="FootnoteText"/>
      </w:pPr>
      <w:r w:rsidRPr="00FA0083">
        <w:rPr>
          <w:rStyle w:val="FootnoteReference"/>
        </w:rPr>
        <w:footnoteRef/>
      </w:r>
      <w:r w:rsidRPr="00FA0083">
        <w:t xml:space="preserve"> Council of the European Union, Council conclusions on ENISA, 6 December 2024, no. 16527/24.</w:t>
      </w:r>
    </w:p>
  </w:footnote>
  <w:footnote w:id="15">
    <w:p w14:paraId="4B37FDFA" w14:textId="77777777" w:rsidR="00731F35" w:rsidRPr="00FA0083" w:rsidRDefault="00731F35" w:rsidP="00731F35">
      <w:pPr>
        <w:pStyle w:val="FootnoteText"/>
      </w:pPr>
      <w:r w:rsidRPr="00FA0083">
        <w:rPr>
          <w:rStyle w:val="FootnoteReference"/>
        </w:rPr>
        <w:footnoteRef/>
      </w:r>
      <w:r w:rsidRPr="00FA0083">
        <w:t xml:space="preserve"> JOIN/2023/20 final.</w:t>
      </w:r>
    </w:p>
  </w:footnote>
  <w:footnote w:id="16">
    <w:p w14:paraId="3E172A00" w14:textId="77777777" w:rsidR="00731F35" w:rsidRPr="00FA0083" w:rsidRDefault="00731F35" w:rsidP="00731F35">
      <w:pPr>
        <w:pStyle w:val="FootnoteText"/>
      </w:pPr>
      <w:r w:rsidRPr="00FA0083">
        <w:rPr>
          <w:rStyle w:val="FootnoteReference"/>
        </w:rPr>
        <w:footnoteRef/>
      </w:r>
      <w:r w:rsidRPr="00FA0083">
        <w:t xml:space="preserve"> JOIN/2025/120 final.</w:t>
      </w:r>
    </w:p>
  </w:footnote>
  <w:footnote w:id="17">
    <w:p w14:paraId="19B31519" w14:textId="77777777" w:rsidR="00731F35" w:rsidRPr="00FA0083" w:rsidRDefault="00731F35" w:rsidP="00731F35">
      <w:pPr>
        <w:pStyle w:val="FootnoteText"/>
        <w:rPr>
          <w:lang w:val="en-US"/>
        </w:rPr>
      </w:pPr>
      <w:r w:rsidRPr="00FA0083">
        <w:rPr>
          <w:rStyle w:val="FootnoteReference"/>
        </w:rPr>
        <w:footnoteRef/>
      </w:r>
      <w:r w:rsidRPr="00FA0083">
        <w:rPr>
          <w:lang w:val="en-US"/>
        </w:rPr>
        <w:t xml:space="preserve"> </w:t>
      </w:r>
      <w:r w:rsidRPr="00FA0083">
        <w:t>European Parliament resolution of 1 June 2023 on foreign interference in all democratic processes in the European Union, including disinformation (2022/2075(INI)</w:t>
      </w:r>
      <w:r w:rsidRPr="00FA0083">
        <w:rPr>
          <w:lang w:val="en-US"/>
        </w:rPr>
        <w:t>, points 62 and 63.</w:t>
      </w:r>
    </w:p>
  </w:footnote>
  <w:footnote w:id="18">
    <w:p w14:paraId="063D246C" w14:textId="77777777" w:rsidR="00731F35" w:rsidRPr="00FA0083" w:rsidRDefault="00731F35" w:rsidP="00731F35">
      <w:pPr>
        <w:pStyle w:val="FootnoteText"/>
        <w:rPr>
          <w:lang w:val="en-US"/>
        </w:rPr>
      </w:pPr>
      <w:r w:rsidRPr="00FA0083">
        <w:rPr>
          <w:rStyle w:val="FootnoteReference"/>
        </w:rPr>
        <w:footnoteRef/>
      </w:r>
      <w:r w:rsidRPr="00FA0083">
        <w:rPr>
          <w:lang w:val="en-US"/>
        </w:rPr>
        <w:t xml:space="preserve"> Euronews, </w:t>
      </w:r>
      <w:r w:rsidRPr="00FA0083">
        <w:rPr>
          <w:i/>
          <w:lang w:val="en-US"/>
        </w:rPr>
        <w:t>Lawmakers call for binding 5G security measures in wake of Huawei scandal</w:t>
      </w:r>
      <w:r w:rsidRPr="00FA0083">
        <w:rPr>
          <w:lang w:val="en-US"/>
        </w:rPr>
        <w:t xml:space="preserve">, </w:t>
      </w:r>
      <w:hyperlink r:id="rId6" w:history="1">
        <w:r w:rsidRPr="00FA0083">
          <w:rPr>
            <w:rStyle w:val="Hyperlink"/>
            <w:lang w:val="en-US"/>
          </w:rPr>
          <w:t>https://www.euronews.com/next/2025/03/19/lawmakers-call-for-binding-5g-security-measures-in-wake-of-huawei-scandal</w:t>
        </w:r>
      </w:hyperlink>
      <w:r w:rsidRPr="00FA0083">
        <w:rPr>
          <w:lang w:val="en-US"/>
        </w:rPr>
        <w:t>.</w:t>
      </w:r>
    </w:p>
  </w:footnote>
  <w:footnote w:id="19">
    <w:p w14:paraId="72AAE985" w14:textId="77777777" w:rsidR="00731F35" w:rsidRPr="00FA0083" w:rsidRDefault="00731F35" w:rsidP="00731F35">
      <w:pPr>
        <w:pStyle w:val="FootnoteText"/>
        <w:rPr>
          <w:lang w:val="en-IE"/>
        </w:rPr>
      </w:pPr>
      <w:r w:rsidRPr="00FA0083">
        <w:rPr>
          <w:rStyle w:val="FootnoteReference"/>
        </w:rPr>
        <w:footnoteRef/>
      </w:r>
      <w:r w:rsidRPr="00FA0083">
        <w:t xml:space="preserve"> </w:t>
      </w:r>
      <w:r w:rsidRPr="00FA0083">
        <w:rPr>
          <w:lang w:val="en-IE"/>
        </w:rPr>
        <w:t xml:space="preserve">2025/2007(INI) </w:t>
      </w:r>
    </w:p>
  </w:footnote>
  <w:footnote w:id="20">
    <w:p w14:paraId="21CD8C8D" w14:textId="77777777" w:rsidR="00731F35" w:rsidRPr="00FA0083" w:rsidRDefault="00731F35" w:rsidP="00731F35">
      <w:pPr>
        <w:pStyle w:val="FootnoteText"/>
      </w:pPr>
      <w:r w:rsidRPr="00FA0083">
        <w:rPr>
          <w:rStyle w:val="FootnoteReference"/>
        </w:rPr>
        <w:footnoteRef/>
      </w:r>
      <w:r w:rsidRPr="00FA0083">
        <w:t xml:space="preserve"> Council of the European Union, Council conclusions on the future of cybersecurity, 21 May 2024, no. 10133/24.</w:t>
      </w:r>
    </w:p>
  </w:footnote>
  <w:footnote w:id="21">
    <w:p w14:paraId="6595D32A" w14:textId="77777777" w:rsidR="00731F35" w:rsidRPr="00FA0083" w:rsidRDefault="00731F35" w:rsidP="00731F35">
      <w:pPr>
        <w:pStyle w:val="FootnoteText"/>
      </w:pPr>
      <w:r w:rsidRPr="00FA0083">
        <w:rPr>
          <w:rStyle w:val="FootnoteReference"/>
        </w:rPr>
        <w:footnoteRef/>
      </w:r>
      <w:r w:rsidRPr="00FA0083">
        <w:t xml:space="preserve"> Council of the European Union, Council conclusions on ICT supply chain security, 17 October 2022, no. 13664/22.</w:t>
      </w:r>
    </w:p>
  </w:footnote>
  <w:footnote w:id="22">
    <w:p w14:paraId="66E8FF3F" w14:textId="77777777" w:rsidR="007F6A4C" w:rsidRPr="00FA0083" w:rsidRDefault="007F6A4C" w:rsidP="007F6A4C">
      <w:pPr>
        <w:pStyle w:val="FootnoteText"/>
        <w:rPr>
          <w:lang w:val="cs-CZ"/>
        </w:rPr>
      </w:pPr>
      <w:r w:rsidRPr="00FA0083">
        <w:rPr>
          <w:rStyle w:val="FootnoteReference"/>
        </w:rPr>
        <w:footnoteRef/>
      </w:r>
      <w:r w:rsidRPr="00FA0083">
        <w:t xml:space="preserve"> European Commission, The future of European Competitiveness, </w:t>
      </w:r>
      <w:hyperlink r:id="rId7" w:history="1">
        <w:r w:rsidRPr="00FA0083">
          <w:rPr>
            <w:rStyle w:val="Hyperlink"/>
          </w:rPr>
          <w:t>https://commission.europa.eu/document/download/97e481fd-2dc3-412d-be4c-f152a8232961_en?filename=The%20future%20of%20European%20competitiveness%20_%20A%20competitiveness%20strategy%20for%20Europe.pdf</w:t>
        </w:r>
      </w:hyperlink>
      <w:r w:rsidRPr="00FA0083">
        <w:t>.</w:t>
      </w:r>
    </w:p>
  </w:footnote>
  <w:footnote w:id="23">
    <w:p w14:paraId="04896225" w14:textId="77777777" w:rsidR="004E300A" w:rsidRPr="00FA0083" w:rsidRDefault="004E300A" w:rsidP="004E300A">
      <w:pPr>
        <w:pStyle w:val="FootnoteText"/>
        <w:rPr>
          <w:lang w:val="fr-BE"/>
        </w:rPr>
      </w:pPr>
      <w:r w:rsidRPr="00FA0083">
        <w:rPr>
          <w:vertAlign w:val="superscript"/>
        </w:rPr>
        <w:footnoteRef/>
      </w:r>
      <w:r w:rsidRPr="00FA0083">
        <w:rPr>
          <w:vertAlign w:val="superscript"/>
          <w:lang w:val="fr-BE"/>
        </w:rPr>
        <w:t xml:space="preserve"> </w:t>
      </w:r>
      <w:r w:rsidRPr="00FA0083">
        <w:rPr>
          <w:lang w:val="fr-BE"/>
        </w:rPr>
        <w:t>In particular Directives 2014/23/EU, 2014/24/EU and 2014/25/EU.</w:t>
      </w:r>
    </w:p>
  </w:footnote>
  <w:footnote w:id="24">
    <w:p w14:paraId="2586CD28" w14:textId="77777777" w:rsidR="004E300A" w:rsidRPr="00FA0083" w:rsidRDefault="004E300A" w:rsidP="004E300A">
      <w:pPr>
        <w:pStyle w:val="FootnoteText"/>
        <w:rPr>
          <w:highlight w:val="yellow"/>
        </w:rPr>
      </w:pPr>
      <w:r w:rsidRPr="00FA0083">
        <w:rPr>
          <w:rStyle w:val="FootnoteReference"/>
        </w:rPr>
        <w:footnoteRef/>
      </w:r>
      <w:r w:rsidRPr="00FA0083">
        <w:t xml:space="preserve"> European Commission, Commission launches call for evidence and public consultation on the evaluation of the Public Procurement Directives,  </w:t>
      </w:r>
      <w:hyperlink r:id="rId8" w:history="1">
        <w:r w:rsidRPr="00FA0083">
          <w:rPr>
            <w:rStyle w:val="Hyperlink"/>
          </w:rPr>
          <w:t>https://single-market-economy.ec.europa.eu/news/commission-launches-call-evidence-and-public-consultation-evaluation-public-procurement-directives-2024-12-13_en</w:t>
        </w:r>
      </w:hyperlink>
      <w:r w:rsidRPr="00FA0083">
        <w:t>.</w:t>
      </w:r>
    </w:p>
  </w:footnote>
  <w:footnote w:id="25">
    <w:p w14:paraId="33AEE928" w14:textId="77777777" w:rsidR="00E14D59" w:rsidRPr="00FA0083" w:rsidRDefault="00E14D59" w:rsidP="00882A65">
      <w:pPr>
        <w:pStyle w:val="FootnoteText"/>
      </w:pPr>
      <w:r w:rsidRPr="00FA0083">
        <w:rPr>
          <w:rStyle w:val="FootnoteReference"/>
        </w:rPr>
        <w:footnoteRef/>
      </w:r>
      <w:r w:rsidRPr="00FA0083">
        <w:t xml:space="preserve"> </w:t>
      </w:r>
      <w:r w:rsidR="00592D5C" w:rsidRPr="00FA0083">
        <w:t xml:space="preserve">ENISA, </w:t>
      </w:r>
      <w:r w:rsidR="00592D5C" w:rsidRPr="00FA0083">
        <w:rPr>
          <w:i/>
        </w:rPr>
        <w:t>ENISA Threat Landscape 2024,</w:t>
      </w:r>
      <w:r w:rsidR="00592D5C" w:rsidRPr="00FA0083">
        <w:t xml:space="preserve"> </w:t>
      </w:r>
      <w:hyperlink r:id="rId9" w:history="1">
        <w:r w:rsidR="00592D5C" w:rsidRPr="00FA0083">
          <w:rPr>
            <w:rStyle w:val="Hyperlink"/>
            <w:rFonts w:eastAsia="Times New Roman"/>
          </w:rPr>
          <w:t>https://www.enisa.europa.eu/publications/enisa-threat-landscape-2024</w:t>
        </w:r>
      </w:hyperlink>
      <w:r w:rsidR="00592D5C" w:rsidRPr="00FA0083">
        <w:rPr>
          <w:rFonts w:eastAsia="Times New Roman"/>
        </w:rPr>
        <w:t>.</w:t>
      </w:r>
    </w:p>
  </w:footnote>
  <w:footnote w:id="26">
    <w:p w14:paraId="53100DF4" w14:textId="6459A161" w:rsidR="001C17B2" w:rsidRPr="00FA0083" w:rsidRDefault="001C17B2" w:rsidP="001C17B2">
      <w:pPr>
        <w:pStyle w:val="FootnoteText"/>
        <w:rPr>
          <w:lang w:val="en-IE"/>
        </w:rPr>
      </w:pPr>
      <w:r w:rsidRPr="00FA0083">
        <w:rPr>
          <w:rStyle w:val="FootnoteReference"/>
        </w:rPr>
        <w:footnoteRef/>
      </w:r>
      <w:r w:rsidRPr="00FA0083">
        <w:t xml:space="preserve"> </w:t>
      </w:r>
      <w:r w:rsidR="000A362D" w:rsidRPr="00FA0083">
        <w:t>2024 Evaluation report.</w:t>
      </w:r>
    </w:p>
  </w:footnote>
  <w:footnote w:id="27">
    <w:p w14:paraId="174311D0" w14:textId="346FCBC7" w:rsidR="003C1730" w:rsidRPr="00FA0083" w:rsidRDefault="003C1730" w:rsidP="003C1730">
      <w:pPr>
        <w:pStyle w:val="FootnoteText"/>
      </w:pPr>
      <w:r w:rsidRPr="00FA0083">
        <w:rPr>
          <w:rStyle w:val="FootnoteReference"/>
        </w:rPr>
        <w:footnoteRef/>
      </w:r>
      <w:r w:rsidRPr="00FA0083">
        <w:t xml:space="preserve"> ENISA</w:t>
      </w:r>
      <w:r w:rsidR="00592D5C" w:rsidRPr="00FA0083">
        <w:t xml:space="preserve">, </w:t>
      </w:r>
      <w:r w:rsidR="00592D5C" w:rsidRPr="00FA0083">
        <w:rPr>
          <w:i/>
        </w:rPr>
        <w:t>2024 Consolidated Annual Activity Report</w:t>
      </w:r>
      <w:r w:rsidR="00592D5C" w:rsidRPr="00FA0083">
        <w:t>,</w:t>
      </w:r>
      <w:r w:rsidRPr="00FA0083">
        <w:t xml:space="preserve"> </w:t>
      </w:r>
      <w:hyperlink r:id="rId10" w:history="1">
        <w:r w:rsidR="00592D5C" w:rsidRPr="00FA0083">
          <w:rPr>
            <w:rStyle w:val="Hyperlink"/>
          </w:rPr>
          <w:t>https://enisa.europa.eu/sites/default/files/2025-07/Consolidated%20Annual%20Activity%20Report%202024.pdf</w:t>
        </w:r>
      </w:hyperlink>
      <w:r w:rsidR="00592D5C" w:rsidRPr="00FA0083">
        <w:t>.</w:t>
      </w:r>
    </w:p>
  </w:footnote>
  <w:footnote w:id="28">
    <w:p w14:paraId="030F114A" w14:textId="77777777" w:rsidR="003C1730" w:rsidRPr="00FA0083" w:rsidRDefault="003C1730" w:rsidP="003C1730">
      <w:pPr>
        <w:spacing w:after="0"/>
        <w:rPr>
          <w:sz w:val="20"/>
          <w:szCs w:val="20"/>
        </w:rPr>
      </w:pPr>
      <w:r w:rsidRPr="00FA0083">
        <w:rPr>
          <w:sz w:val="20"/>
          <w:szCs w:val="20"/>
        </w:rPr>
        <w:footnoteRef/>
      </w:r>
      <w:r w:rsidRPr="00FA0083">
        <w:rPr>
          <w:sz w:val="20"/>
          <w:szCs w:val="20"/>
        </w:rPr>
        <w:t xml:space="preserve"> Specifically, the CSoA requires the Commission to entrust ENISA with the operation and administration of the EU Cybersecurity Reserve (in full or in part), Art. 14(5) CSoA.</w:t>
      </w:r>
    </w:p>
  </w:footnote>
  <w:footnote w:id="29">
    <w:p w14:paraId="7416E440" w14:textId="41FAFFD6" w:rsidR="003C1730" w:rsidRPr="00FA0083" w:rsidRDefault="003C1730" w:rsidP="003C1730">
      <w:pPr>
        <w:pStyle w:val="FootnoteText"/>
      </w:pPr>
      <w:r w:rsidRPr="00FA0083">
        <w:rPr>
          <w:rStyle w:val="FootnoteReference"/>
          <w:rFonts w:eastAsia="Times New Roman"/>
        </w:rPr>
        <w:footnoteRef/>
      </w:r>
      <w:r w:rsidRPr="00FA0083">
        <w:rPr>
          <w:rFonts w:eastAsia="Times New Roman"/>
        </w:rPr>
        <w:t xml:space="preserve">ENISA, </w:t>
      </w:r>
      <w:r w:rsidRPr="00FA0083">
        <w:rPr>
          <w:rFonts w:eastAsia="Times New Roman"/>
          <w:i/>
        </w:rPr>
        <w:t>2024 Report on the State of Cybersecurity in the Union</w:t>
      </w:r>
      <w:r w:rsidRPr="00FA0083">
        <w:rPr>
          <w:rFonts w:eastAsia="Times New Roman"/>
        </w:rPr>
        <w:t xml:space="preserve">, </w:t>
      </w:r>
      <w:hyperlink r:id="rId11" w:history="1">
        <w:r w:rsidRPr="00FA0083">
          <w:rPr>
            <w:rStyle w:val="Hyperlink"/>
          </w:rPr>
          <w:t>https://www.enisa.europa.eu/publications/2024-report-on-the-state-of-the-cybersecurity-in-the-union</w:t>
        </w:r>
      </w:hyperlink>
      <w:r w:rsidRPr="00FA0083">
        <w:rPr>
          <w:rFonts w:eastAsia="Times New Roman"/>
        </w:rPr>
        <w:t>.</w:t>
      </w:r>
    </w:p>
  </w:footnote>
  <w:footnote w:id="30">
    <w:p w14:paraId="051FFE0F" w14:textId="202D2033" w:rsidR="00A76E51" w:rsidRPr="00FA0083" w:rsidRDefault="00A76E51">
      <w:pPr>
        <w:pStyle w:val="FootnoteText"/>
      </w:pPr>
      <w:r w:rsidRPr="00FA0083">
        <w:rPr>
          <w:rStyle w:val="FootnoteReference"/>
        </w:rPr>
        <w:footnoteRef/>
      </w:r>
      <w:r w:rsidRPr="00FA0083">
        <w:t xml:space="preserve"> </w:t>
      </w:r>
      <w:r w:rsidR="00120C54" w:rsidRPr="00FA0083">
        <w:t xml:space="preserve">ST </w:t>
      </w:r>
      <w:r w:rsidR="000201B4" w:rsidRPr="00FA0083">
        <w:t>1</w:t>
      </w:r>
      <w:r w:rsidR="00120C54" w:rsidRPr="00FA0083">
        <w:t>6527/24</w:t>
      </w:r>
      <w:r w:rsidR="000201B4" w:rsidRPr="00FA0083">
        <w:t xml:space="preserve">, point </w:t>
      </w:r>
      <w:r w:rsidR="0010099D" w:rsidRPr="00FA0083">
        <w:t>16</w:t>
      </w:r>
    </w:p>
  </w:footnote>
  <w:footnote w:id="31">
    <w:p w14:paraId="2D3F5713" w14:textId="41D6647D" w:rsidR="003C1730" w:rsidRPr="00FA0083" w:rsidRDefault="003C1730" w:rsidP="003C1730">
      <w:pPr>
        <w:pStyle w:val="FootnoteText"/>
        <w:rPr>
          <w:lang w:val="en-IE"/>
        </w:rPr>
      </w:pPr>
      <w:r w:rsidRPr="00FA0083">
        <w:rPr>
          <w:rStyle w:val="FootnoteReference"/>
        </w:rPr>
        <w:footnoteRef/>
      </w:r>
      <w:r w:rsidRPr="00FA0083">
        <w:t xml:space="preserve"> </w:t>
      </w:r>
      <w:r w:rsidR="00592D5C" w:rsidRPr="00FA0083">
        <w:t xml:space="preserve">ENISA, </w:t>
      </w:r>
      <w:r w:rsidR="00592D5C" w:rsidRPr="00FA0083">
        <w:rPr>
          <w:i/>
        </w:rPr>
        <w:t>2024 Consolidated Annual Activity Report</w:t>
      </w:r>
      <w:r w:rsidR="00592D5C" w:rsidRPr="00FA0083">
        <w:t xml:space="preserve">, </w:t>
      </w:r>
      <w:hyperlink r:id="rId12" w:history="1">
        <w:r w:rsidR="00592D5C" w:rsidRPr="00FA0083">
          <w:rPr>
            <w:rStyle w:val="Hyperlink"/>
          </w:rPr>
          <w:t>https://enisa.europa.eu/sites/default/files/2025-07/Consolidated%20Annual%20Activity%20Report%202024.pdf</w:t>
        </w:r>
      </w:hyperlink>
      <w:r w:rsidR="00592D5C" w:rsidRPr="00FA0083">
        <w:t>.</w:t>
      </w:r>
    </w:p>
  </w:footnote>
  <w:footnote w:id="32">
    <w:p w14:paraId="09402FDD" w14:textId="77777777" w:rsidR="008E3F7C" w:rsidRPr="00FA0083" w:rsidRDefault="008E3F7C">
      <w:pPr>
        <w:pStyle w:val="FootnoteText"/>
        <w:rPr>
          <w:lang w:val="it-IT"/>
        </w:rPr>
      </w:pPr>
      <w:r w:rsidRPr="00FA0083">
        <w:rPr>
          <w:rStyle w:val="FootnoteReference"/>
        </w:rPr>
        <w:footnoteRef/>
      </w:r>
      <w:r w:rsidR="00C62811" w:rsidRPr="00FA0083">
        <w:rPr>
          <w:lang w:val="it-IT"/>
        </w:rPr>
        <w:t xml:space="preserve"> ENISA, </w:t>
      </w:r>
      <w:r w:rsidR="00C62811" w:rsidRPr="00FA0083">
        <w:rPr>
          <w:i/>
          <w:lang w:val="it-IT"/>
        </w:rPr>
        <w:t>ENISA Single Programming Document 2025-2027</w:t>
      </w:r>
      <w:r w:rsidR="00C62811" w:rsidRPr="00FA0083">
        <w:rPr>
          <w:lang w:val="it-IT"/>
        </w:rPr>
        <w:t xml:space="preserve">, </w:t>
      </w:r>
      <w:hyperlink r:id="rId13" w:history="1">
        <w:r w:rsidR="00C62811" w:rsidRPr="00FA0083">
          <w:rPr>
            <w:rStyle w:val="Hyperlink"/>
            <w:lang w:val="it-IT"/>
          </w:rPr>
          <w:t>https://enisa.europa.eu/sites/default/files/2025-02/17_02_2025_ENISA%20Single%20Programming%20Document%202025-2027.pdf</w:t>
        </w:r>
      </w:hyperlink>
      <w:r w:rsidR="00C62811" w:rsidRPr="00FA0083">
        <w:rPr>
          <w:lang w:val="it-IT"/>
        </w:rPr>
        <w:t>.</w:t>
      </w:r>
    </w:p>
  </w:footnote>
  <w:footnote w:id="33">
    <w:p w14:paraId="109BE8E9" w14:textId="77777777" w:rsidR="008225E0" w:rsidRPr="00FA0083" w:rsidRDefault="008225E0" w:rsidP="008225E0">
      <w:pPr>
        <w:pStyle w:val="FootnoteText"/>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4" w:history="1">
        <w:r w:rsidRPr="00FA0083">
          <w:rPr>
            <w:rStyle w:val="Hyperlink"/>
          </w:rPr>
          <w:t>https://digital-skills-jobs.europa.eu/system/files/2024-12/ISC2_Workfoce-Study-Findings-EU.pdf</w:t>
        </w:r>
      </w:hyperlink>
      <w:r w:rsidRPr="00FA0083">
        <w:t>.</w:t>
      </w:r>
    </w:p>
  </w:footnote>
  <w:footnote w:id="34">
    <w:p w14:paraId="607BC4A6" w14:textId="77777777" w:rsidR="0082300F" w:rsidRPr="00FA0083" w:rsidRDefault="0082300F" w:rsidP="0082300F">
      <w:pPr>
        <w:spacing w:after="0"/>
        <w:rPr>
          <w:rFonts w:eastAsia="Times New Roman"/>
          <w:sz w:val="20"/>
          <w:szCs w:val="20"/>
          <w:lang w:val="en-IE"/>
        </w:rPr>
      </w:pPr>
      <w:r w:rsidRPr="00FA0083">
        <w:rPr>
          <w:rStyle w:val="FootnoteReference"/>
          <w:sz w:val="20"/>
          <w:szCs w:val="20"/>
        </w:rPr>
        <w:footnoteRef/>
      </w:r>
      <w:r w:rsidRPr="00FA0083">
        <w:rPr>
          <w:rFonts w:eastAsia="Times New Roman"/>
          <w:sz w:val="20"/>
          <w:szCs w:val="20"/>
          <w:lang w:val="en-IE"/>
        </w:rPr>
        <w:t xml:space="preserve"> Eurochambres, </w:t>
      </w:r>
      <w:r w:rsidRPr="00FA0083">
        <w:rPr>
          <w:rFonts w:eastAsia="Times New Roman"/>
          <w:i/>
          <w:sz w:val="20"/>
          <w:szCs w:val="20"/>
          <w:lang w:val="en-IE"/>
        </w:rPr>
        <w:t>Twin transition survey</w:t>
      </w:r>
      <w:r w:rsidRPr="00FA0083">
        <w:rPr>
          <w:rFonts w:eastAsia="Times New Roman"/>
          <w:sz w:val="20"/>
          <w:szCs w:val="20"/>
          <w:lang w:val="en-IE"/>
        </w:rPr>
        <w:t xml:space="preserve">, </w:t>
      </w:r>
      <w:hyperlink r:id="rId15" w:history="1">
        <w:r w:rsidRPr="00FA0083">
          <w:rPr>
            <w:rStyle w:val="Hyperlink"/>
            <w:rFonts w:eastAsia="Times New Roman"/>
            <w:sz w:val="20"/>
            <w:szCs w:val="20"/>
            <w:lang w:val="en-IE"/>
          </w:rPr>
          <w:t>https://www.eurochambres.eu/wp-content/uploads/2022/09/Eurochambres-Twin-Transition-Survey.pdf</w:t>
        </w:r>
      </w:hyperlink>
      <w:r w:rsidRPr="00FA0083">
        <w:rPr>
          <w:rFonts w:eastAsia="Times New Roman"/>
          <w:sz w:val="20"/>
          <w:szCs w:val="20"/>
          <w:lang w:val="en-IE"/>
        </w:rPr>
        <w:t xml:space="preserve">; </w:t>
      </w:r>
      <w:r w:rsidRPr="00FA0083">
        <w:rPr>
          <w:sz w:val="20"/>
          <w:szCs w:val="20"/>
        </w:rPr>
        <w:t xml:space="preserve">ENISA, </w:t>
      </w:r>
      <w:hyperlink r:id="rId16" w:history="1">
        <w:r w:rsidRPr="00FA0083">
          <w:rPr>
            <w:rStyle w:val="Hyperlink"/>
            <w:sz w:val="20"/>
            <w:szCs w:val="20"/>
          </w:rPr>
          <w:t>Cybersecurity Policy Assessment</w:t>
        </w:r>
      </w:hyperlink>
      <w:r w:rsidRPr="00FA0083">
        <w:rPr>
          <w:sz w:val="20"/>
          <w:szCs w:val="20"/>
        </w:rPr>
        <w:t>.</w:t>
      </w:r>
    </w:p>
  </w:footnote>
  <w:footnote w:id="35">
    <w:p w14:paraId="32CF5D71" w14:textId="77777777" w:rsidR="00162938" w:rsidRPr="00FA0083" w:rsidRDefault="00162938" w:rsidP="00882A65">
      <w:pPr>
        <w:pStyle w:val="FootnoteText"/>
        <w:rPr>
          <w:lang w:val="en-IE"/>
        </w:rPr>
      </w:pPr>
      <w:r w:rsidRPr="00FA0083">
        <w:rPr>
          <w:rStyle w:val="FootnoteReference"/>
        </w:rPr>
        <w:footnoteRef/>
      </w:r>
      <w:r w:rsidRPr="00FA0083">
        <w:t xml:space="preserve"> </w:t>
      </w:r>
      <w:r w:rsidR="00234AC0" w:rsidRPr="00FA0083">
        <w:t>ENISA,</w:t>
      </w:r>
      <w:r w:rsidRPr="00FA0083">
        <w:t xml:space="preserve"> </w:t>
      </w:r>
      <w:r w:rsidRPr="00FA0083">
        <w:rPr>
          <w:i/>
        </w:rPr>
        <w:t>ENISA’s Cybersecurity Higher Education Database (CyberHEAD)</w:t>
      </w:r>
      <w:r w:rsidRPr="00FA0083">
        <w:t xml:space="preserve">, </w:t>
      </w:r>
      <w:hyperlink r:id="rId17" w:history="1">
        <w:r w:rsidR="00234AC0" w:rsidRPr="00FA0083">
          <w:rPr>
            <w:rStyle w:val="Hyperlink"/>
          </w:rPr>
          <w:t>https://www.enisa.europa.eu/tools/cyberhead-cybersecurity-higher-education-database</w:t>
        </w:r>
      </w:hyperlink>
      <w:r w:rsidR="00234AC0" w:rsidRPr="00FA0083">
        <w:t>.</w:t>
      </w:r>
      <w:r w:rsidR="00B702C8" w:rsidRPr="00FA0083">
        <w:t xml:space="preserve"> And</w:t>
      </w:r>
      <w:r w:rsidRPr="00FA0083">
        <w:t xml:space="preserve"> See for illustration the non-exhaustive list of cybersecurity trainings offered across the EU on the Digital Skills and Jobs Platform, </w:t>
      </w:r>
      <w:hyperlink r:id="rId18" w:history="1">
        <w:r w:rsidR="00234AC0" w:rsidRPr="00FA0083">
          <w:rPr>
            <w:rStyle w:val="Hyperlink"/>
          </w:rPr>
          <w:t>https://digital-skills-jobs.europa.eu/en/opportunities/training?f%5B0%5D=digital_technology%3Ahttp%3A//data.europa.eu/uxp/c_04ae3ba8</w:t>
        </w:r>
      </w:hyperlink>
      <w:r w:rsidR="00234AC0" w:rsidRPr="00FA0083">
        <w:t>.</w:t>
      </w:r>
    </w:p>
  </w:footnote>
  <w:footnote w:id="36">
    <w:p w14:paraId="58409184" w14:textId="77777777" w:rsidR="00162938" w:rsidRPr="00FA0083" w:rsidRDefault="00162938" w:rsidP="00882A65">
      <w:pPr>
        <w:pStyle w:val="FootnoteText"/>
      </w:pPr>
      <w:r w:rsidRPr="00FA0083">
        <w:rPr>
          <w:rStyle w:val="FootnoteReference"/>
        </w:rPr>
        <w:footnoteRef/>
      </w:r>
      <w:r w:rsidRPr="00FA0083">
        <w:t xml:space="preserve"> </w:t>
      </w:r>
      <w:r w:rsidR="002E32CE" w:rsidRPr="00FA0083">
        <w:t>Council Recommendation of 16 June 2022 on a European approach to micro-credentials for lifelong learning and employability 2022/C 243/02, ST/9790/2022/INIT.</w:t>
      </w:r>
      <w:r w:rsidR="003422E9" w:rsidRPr="00FA0083">
        <w:t xml:space="preserve"> And STEM education strategic plan, </w:t>
      </w:r>
      <w:hyperlink r:id="rId19" w:history="1">
        <w:r w:rsidR="003422E9" w:rsidRPr="00FA0083">
          <w:rPr>
            <w:rStyle w:val="Hyperlink"/>
          </w:rPr>
          <w:t>https://education.ec.europa.eu/focus-topics/stem</w:t>
        </w:r>
      </w:hyperlink>
      <w:r w:rsidR="003422E9" w:rsidRPr="00FA0083">
        <w:t>.</w:t>
      </w:r>
    </w:p>
  </w:footnote>
  <w:footnote w:id="37">
    <w:p w14:paraId="401B4A26" w14:textId="77777777" w:rsidR="002E25B6" w:rsidRPr="00FA0083" w:rsidRDefault="002E25B6" w:rsidP="00882A65">
      <w:pPr>
        <w:pStyle w:val="FootnoteText"/>
        <w:rPr>
          <w:lang w:val="en-IE"/>
        </w:rPr>
      </w:pPr>
      <w:r w:rsidRPr="00FA0083">
        <w:rPr>
          <w:rStyle w:val="FootnoteReference"/>
          <w:lang w:val="en-IE"/>
        </w:rPr>
        <w:footnoteRef/>
      </w:r>
      <w:r w:rsidRPr="00FA0083">
        <w:rPr>
          <w:lang w:val="en-IE"/>
        </w:rPr>
        <w:t xml:space="preserve"> </w:t>
      </w:r>
      <w:r w:rsidR="00A254EF" w:rsidRPr="00FA0083">
        <w:rPr>
          <w:lang w:val="en-IE"/>
        </w:rPr>
        <w:t xml:space="preserve">Eurobarometer (2024) on Cyberskills, </w:t>
      </w:r>
      <w:hyperlink r:id="rId20" w:history="1">
        <w:r w:rsidR="00A254EF" w:rsidRPr="00FA0083">
          <w:rPr>
            <w:rStyle w:val="Hyperlink"/>
            <w:lang w:val="en-IE"/>
          </w:rPr>
          <w:t>https://europa.eu/eurobarometer/surveys/detail/3176</w:t>
        </w:r>
      </w:hyperlink>
      <w:r w:rsidR="00A254EF" w:rsidRPr="00FA0083">
        <w:rPr>
          <w:lang w:val="en-IE"/>
        </w:rPr>
        <w:t>.</w:t>
      </w:r>
    </w:p>
  </w:footnote>
  <w:footnote w:id="38">
    <w:p w14:paraId="71F85B6F" w14:textId="77777777" w:rsidR="002E25B6" w:rsidRPr="00FA0083" w:rsidRDefault="002E25B6" w:rsidP="00882A65">
      <w:pPr>
        <w:pStyle w:val="FootnoteText"/>
        <w:rPr>
          <w:lang w:val="fr-BE"/>
        </w:rPr>
      </w:pPr>
      <w:r w:rsidRPr="00FA0083">
        <w:rPr>
          <w:rStyle w:val="FootnoteReference"/>
          <w:lang w:val="en-IE"/>
        </w:rPr>
        <w:footnoteRef/>
      </w:r>
      <w:r w:rsidRPr="00FA0083">
        <w:rPr>
          <w:lang w:val="fr-BE"/>
        </w:rPr>
        <w:t xml:space="preserve"> </w:t>
      </w:r>
      <w:r w:rsidR="00786092" w:rsidRPr="00FA0083">
        <w:rPr>
          <w:lang w:val="fr-BE"/>
        </w:rPr>
        <w:t xml:space="preserve">ANSSI, </w:t>
      </w:r>
      <w:r w:rsidR="00786092" w:rsidRPr="00FA0083">
        <w:rPr>
          <w:i/>
          <w:lang w:val="fr-BE"/>
        </w:rPr>
        <w:t>Observatoire des métiers 2025</w:t>
      </w:r>
      <w:r w:rsidR="00786092" w:rsidRPr="00FA0083">
        <w:rPr>
          <w:lang w:val="fr-BE"/>
        </w:rPr>
        <w:t xml:space="preserve">, </w:t>
      </w:r>
      <w:hyperlink r:id="rId21" w:history="1">
        <w:r w:rsidR="00786092" w:rsidRPr="00FA0083">
          <w:rPr>
            <w:rStyle w:val="Hyperlink"/>
            <w:lang w:val="fr-BE"/>
          </w:rPr>
          <w:t>https://cyber.gouv.fr/publications/observatoire-des-metiers-2025</w:t>
        </w:r>
      </w:hyperlink>
      <w:r w:rsidR="00786092" w:rsidRPr="00FA0083">
        <w:rPr>
          <w:lang w:val="fr-BE"/>
        </w:rPr>
        <w:t>.</w:t>
      </w:r>
    </w:p>
  </w:footnote>
  <w:footnote w:id="39">
    <w:p w14:paraId="2CA83131" w14:textId="098EF7B2" w:rsidR="00A336FE" w:rsidRPr="00FA0083" w:rsidRDefault="00A336FE" w:rsidP="007E6B3C">
      <w:pPr>
        <w:spacing w:after="0"/>
        <w:rPr>
          <w:sz w:val="20"/>
          <w:szCs w:val="20"/>
          <w:lang w:val="en-IE"/>
        </w:rPr>
      </w:pPr>
      <w:r w:rsidRPr="00FA0083">
        <w:rPr>
          <w:rStyle w:val="FootnoteReference"/>
          <w:sz w:val="20"/>
          <w:szCs w:val="20"/>
        </w:rPr>
        <w:footnoteRef/>
      </w:r>
      <w:r w:rsidRPr="00FA0083">
        <w:rPr>
          <w:sz w:val="20"/>
          <w:szCs w:val="20"/>
        </w:rPr>
        <w:t xml:space="preserve"> </w:t>
      </w:r>
      <w:r w:rsidRPr="00FA0083">
        <w:rPr>
          <w:rFonts w:eastAsiaTheme="minorEastAsia"/>
          <w:sz w:val="20"/>
          <w:szCs w:val="20"/>
          <w:lang w:val="en-IE"/>
        </w:rPr>
        <w:t>In this way, and whereas certifications rely on a similar rationale of having skills quickly and easily recognised by employers, training providers and other actors, they strongly differ from the concept of a European Digital Skills Certificate (Action 9 of the Digital Education Action Plan (2021-2027), COM/2020/624 final) which aimed at supporting digital skills recognition across Europe. The target audience also differs insofar as certifications target cybersecurity professionals, actual or potential, whereas the EDSC ambitions was to address the population at large (jobseekers and the labour force, but also students, citizens and teachers)</w:t>
      </w:r>
      <w:r w:rsidRPr="00FA0083">
        <w:rPr>
          <w:sz w:val="20"/>
          <w:szCs w:val="20"/>
          <w:lang w:val="en-IE"/>
        </w:rPr>
        <w:t xml:space="preserve">. </w:t>
      </w:r>
      <w:r w:rsidRPr="00FA0083">
        <w:rPr>
          <w:sz w:val="20"/>
          <w:szCs w:val="20"/>
        </w:rPr>
        <w:t xml:space="preserve">CENTENO, C., COSGROVE, J., CACHIA, R., MORA, T., DI LEGGE, A., VIVARELLI, S., BULIAN, G., MOYES PRELLEZO, N., PIÑA DE SANTISTEBAN, P., SCHULZ, C., HÜSING, T., CUARTAS-ACOSTA, A. and TROIA, S., European Digital Skills Certificate (EDSC) Feasibility Study, Publications Office of the European Union, Luxembourg, 2024, doi:10.2760/958195, JRC138344, </w:t>
      </w:r>
      <w:hyperlink r:id="rId22" w:history="1">
        <w:r w:rsidRPr="00FA0083">
          <w:rPr>
            <w:rStyle w:val="Hyperlink"/>
            <w:sz w:val="20"/>
            <w:szCs w:val="20"/>
          </w:rPr>
          <w:t>JRC Publications Repository - European Digital Skills Certificate (EDSC) Feasibility Study</w:t>
        </w:r>
      </w:hyperlink>
      <w:r w:rsidRPr="00FA0083">
        <w:rPr>
          <w:sz w:val="20"/>
          <w:szCs w:val="20"/>
        </w:rPr>
        <w:t>.</w:t>
      </w:r>
    </w:p>
  </w:footnote>
  <w:footnote w:id="40">
    <w:p w14:paraId="31228A8C" w14:textId="1F073A27" w:rsidR="001D6AEA" w:rsidRPr="00FA0083" w:rsidRDefault="001D6AEA" w:rsidP="001D6AEA">
      <w:pPr>
        <w:pStyle w:val="FootnoteText"/>
        <w:rPr>
          <w:lang w:val="en-IE"/>
        </w:rPr>
      </w:pPr>
      <w:r w:rsidRPr="00FA0083">
        <w:rPr>
          <w:rStyle w:val="FootnoteReference"/>
        </w:rPr>
        <w:footnoteRef/>
      </w:r>
      <w:r w:rsidRPr="00FA0083">
        <w:t xml:space="preserve"> </w:t>
      </w:r>
      <w:r w:rsidRPr="00FA0083">
        <w:rPr>
          <w:lang w:val="en-IE"/>
        </w:rPr>
        <w:t xml:space="preserve">Ibid.  </w:t>
      </w:r>
      <w:r w:rsidR="003F3733" w:rsidRPr="00FA0083">
        <w:rPr>
          <w:lang w:val="en-IE"/>
        </w:rPr>
        <w:t>See for example in France where 37% of the cybersecurity workforce holds a certification in cybersecurity whereas 33% holds a cybersecurity diploma.</w:t>
      </w:r>
    </w:p>
  </w:footnote>
  <w:footnote w:id="41">
    <w:p w14:paraId="327BF398" w14:textId="77777777" w:rsidR="00B74E98" w:rsidRPr="00FA0083" w:rsidRDefault="00B74E98" w:rsidP="00B74E98">
      <w:pPr>
        <w:spacing w:after="0"/>
        <w:rPr>
          <w:sz w:val="20"/>
          <w:szCs w:val="20"/>
        </w:rPr>
      </w:pPr>
      <w:r w:rsidRPr="00FA0083">
        <w:rPr>
          <w:rStyle w:val="FootnoteReference"/>
          <w:rFonts w:eastAsiaTheme="minorEastAsia"/>
          <w:sz w:val="20"/>
          <w:szCs w:val="20"/>
        </w:rPr>
        <w:footnoteRef/>
      </w:r>
      <w:r w:rsidRPr="00FA0083">
        <w:rPr>
          <w:rStyle w:val="FootnoteReference"/>
          <w:sz w:val="20"/>
          <w:szCs w:val="20"/>
        </w:rPr>
        <w:t xml:space="preserve"> </w:t>
      </w:r>
      <w:r w:rsidRPr="00FA0083">
        <w:rPr>
          <w:rFonts w:eastAsiaTheme="minorEastAsia"/>
          <w:sz w:val="20"/>
          <w:szCs w:val="20"/>
        </w:rPr>
        <w:t>Ibid</w:t>
      </w:r>
      <w:r w:rsidRPr="00FA0083">
        <w:rPr>
          <w:sz w:val="20"/>
          <w:szCs w:val="20"/>
        </w:rPr>
        <w:t>.</w:t>
      </w:r>
    </w:p>
  </w:footnote>
  <w:footnote w:id="42">
    <w:p w14:paraId="583CDE17" w14:textId="77777777" w:rsidR="00B74E98" w:rsidRPr="00FA0083" w:rsidRDefault="00B74E98" w:rsidP="00B74E98">
      <w:pPr>
        <w:pStyle w:val="FootnoteText"/>
      </w:pPr>
      <w:r w:rsidRPr="00FA0083">
        <w:rPr>
          <w:rStyle w:val="FootnoteReference"/>
        </w:rPr>
        <w:footnoteRef/>
      </w:r>
      <w:r w:rsidRPr="00FA0083">
        <w:t xml:space="preserve"> Council of the European Union, Council conclusions on ENISA, 6 December 2024, no. 16527/24.</w:t>
      </w:r>
    </w:p>
  </w:footnote>
  <w:footnote w:id="43">
    <w:p w14:paraId="32210A53" w14:textId="77777777" w:rsidR="00B74E98" w:rsidRPr="00FA0083" w:rsidRDefault="00B74E98" w:rsidP="00B74E98">
      <w:pPr>
        <w:pStyle w:val="FootnoteText"/>
        <w:rPr>
          <w:lang w:val="en-IE"/>
        </w:rPr>
      </w:pPr>
      <w:r w:rsidRPr="00FA0083">
        <w:rPr>
          <w:rStyle w:val="FootnoteReference"/>
        </w:rPr>
        <w:footnoteRef/>
      </w:r>
      <w:r w:rsidRPr="00FA0083">
        <w:t xml:space="preserve"> CY, DE, IT, NL, ES, SE, PT and SK. </w:t>
      </w:r>
    </w:p>
  </w:footnote>
  <w:footnote w:id="44">
    <w:p w14:paraId="47CB6043" w14:textId="77777777" w:rsidR="00015223" w:rsidRPr="00FA0083" w:rsidRDefault="00015223" w:rsidP="00882A65">
      <w:pPr>
        <w:spacing w:after="0"/>
        <w:rPr>
          <w:sz w:val="20"/>
          <w:szCs w:val="20"/>
          <w:lang w:val="en-IE"/>
        </w:rPr>
      </w:pPr>
      <w:r w:rsidRPr="00FA0083">
        <w:rPr>
          <w:sz w:val="20"/>
          <w:szCs w:val="20"/>
          <w:vertAlign w:val="superscript"/>
          <w:lang w:val="en-IE"/>
        </w:rPr>
        <w:footnoteRef/>
      </w:r>
      <w:r w:rsidRPr="00FA0083">
        <w:rPr>
          <w:sz w:val="20"/>
          <w:szCs w:val="20"/>
          <w:vertAlign w:val="superscript"/>
          <w:lang w:val="en-IE"/>
        </w:rPr>
        <w:t xml:space="preserve"> </w:t>
      </w:r>
      <w:r w:rsidRPr="00FA0083">
        <w:rPr>
          <w:rFonts w:eastAsia="Times New Roman"/>
          <w:sz w:val="20"/>
          <w:szCs w:val="20"/>
          <w:lang w:val="en-IE"/>
        </w:rPr>
        <w:t>COM(2025) 148.</w:t>
      </w:r>
    </w:p>
  </w:footnote>
  <w:footnote w:id="45">
    <w:p w14:paraId="3F670C58" w14:textId="771BA251" w:rsidR="00AE442F" w:rsidRPr="00FA0083" w:rsidRDefault="00AE442F" w:rsidP="00882A65">
      <w:pPr>
        <w:pStyle w:val="FootnoteText"/>
        <w:rPr>
          <w:lang w:val="en-IE"/>
        </w:rPr>
      </w:pPr>
      <w:r w:rsidRPr="00FA0083">
        <w:rPr>
          <w:rStyle w:val="FootnoteReference"/>
          <w:lang w:val="en-IE"/>
        </w:rPr>
        <w:footnoteRef/>
      </w:r>
      <w:r w:rsidR="00454D75" w:rsidRPr="00FA0083">
        <w:rPr>
          <w:lang w:val="en-IE"/>
        </w:rPr>
        <w:t xml:space="preserve"> </w:t>
      </w:r>
      <w:r w:rsidR="0084309D" w:rsidRPr="00FA0083">
        <w:rPr>
          <w:lang w:val="en-IE"/>
        </w:rPr>
        <w:t>Regulation (EU) 2021/887 of the European Parliament and of the Council of 20 May 2021 establishing the European Cybersecurity Industrial, Technology and Research Competence Centre and the Network of National Coordination Centres.</w:t>
      </w:r>
    </w:p>
  </w:footnote>
  <w:footnote w:id="46">
    <w:p w14:paraId="2C92AC48" w14:textId="2D05970D" w:rsidR="001A154F" w:rsidRPr="00FA0083" w:rsidRDefault="001A154F">
      <w:pPr>
        <w:pStyle w:val="FootnoteText"/>
      </w:pPr>
      <w:r w:rsidRPr="00FA0083">
        <w:rPr>
          <w:rStyle w:val="FootnoteReference"/>
        </w:rPr>
        <w:footnoteRef/>
      </w:r>
      <w:r w:rsidRPr="00FA0083">
        <w:t xml:space="preserve"> </w:t>
      </w:r>
      <w:r w:rsidRPr="00FA0083">
        <w:rPr>
          <w:rStyle w:val="normaltextrun"/>
          <w:color w:val="000000" w:themeColor="text1"/>
        </w:rPr>
        <w:t>According to the targeted consultation conducted between July and August 2025 with the Member States experts in the ECCG and interviews of the relevant ENISA personnel.</w:t>
      </w:r>
    </w:p>
  </w:footnote>
  <w:footnote w:id="47">
    <w:p w14:paraId="4EF2EBA3" w14:textId="3998F328" w:rsidR="00251471" w:rsidRPr="00FA0083" w:rsidRDefault="00251471" w:rsidP="00251471">
      <w:pPr>
        <w:pStyle w:val="FootnoteText"/>
        <w:rPr>
          <w:lang w:val="en-IE"/>
        </w:rPr>
      </w:pPr>
      <w:r w:rsidRPr="00FA0083">
        <w:rPr>
          <w:rStyle w:val="FootnoteReference"/>
        </w:rPr>
        <w:footnoteRef/>
      </w:r>
      <w:r w:rsidRPr="00FA0083">
        <w:t xml:space="preserve"> According to </w:t>
      </w:r>
      <w:r w:rsidR="0008398D" w:rsidRPr="00FA0083">
        <w:t xml:space="preserve">Frontier Economics, </w:t>
      </w:r>
      <w:r w:rsidR="0008398D" w:rsidRPr="00FA0083">
        <w:rPr>
          <w:i/>
        </w:rPr>
        <w:t>Assessing the Economic Impact of EU Initiatives on Cybersecurity</w:t>
      </w:r>
      <w:r w:rsidRPr="00FA0083">
        <w:t xml:space="preserve">, direct costs of implementing the NIS 2 Directive across the EU are EUR 31.2 billion per year. The report also mentions the risk that businesses </w:t>
      </w:r>
      <w:r w:rsidRPr="00FA0083">
        <w:rPr>
          <w:i/>
        </w:rPr>
        <w:t>“face unnecessary compliance costs as a result of following multiple different notification and vulnerability assessment processes”</w:t>
      </w:r>
      <w:r w:rsidR="00F509E0" w:rsidRPr="00FA0083">
        <w:t xml:space="preserve">; source: </w:t>
      </w:r>
      <w:hyperlink r:id="rId23" w:history="1">
        <w:r w:rsidR="00F509E0" w:rsidRPr="00FA0083">
          <w:rPr>
            <w:rStyle w:val="Hyperlink"/>
          </w:rPr>
          <w:t>https://www.frontier-economics.com/media/izyk5rgz/assessing-the-economic-cost-of-eu-initiatives-on-cybersecurity.pdf</w:t>
        </w:r>
      </w:hyperlink>
      <w:r w:rsidR="00F509E0" w:rsidRPr="00FA0083">
        <w:t>.</w:t>
      </w:r>
    </w:p>
  </w:footnote>
  <w:footnote w:id="48">
    <w:p w14:paraId="5846B5B6" w14:textId="3B8C2FA8" w:rsidR="00251471" w:rsidRPr="00FA0083" w:rsidRDefault="00251471" w:rsidP="00251471">
      <w:pPr>
        <w:pStyle w:val="FootnoteText"/>
      </w:pPr>
      <w:r w:rsidRPr="00FA0083">
        <w:rPr>
          <w:rStyle w:val="FootnoteReference"/>
        </w:rPr>
        <w:footnoteRef/>
      </w:r>
      <w:r w:rsidRPr="00FA0083">
        <w:t xml:space="preserve"> These legal acts relate to aviation security (EC Regulation 300/2008 and its implementing acts), aviation safety (Part-IS and within the framework of EC Regulation 2018/1139) and the NIS 2 Directive.</w:t>
      </w:r>
    </w:p>
  </w:footnote>
  <w:footnote w:id="49">
    <w:p w14:paraId="12240630" w14:textId="40CAFF88" w:rsidR="00972965" w:rsidRPr="00FA0083" w:rsidRDefault="00972965" w:rsidP="00882A65">
      <w:pPr>
        <w:pStyle w:val="FootnoteText"/>
      </w:pPr>
      <w:r w:rsidRPr="00FA0083">
        <w:rPr>
          <w:rStyle w:val="FootnoteReference"/>
        </w:rPr>
        <w:footnoteRef/>
      </w:r>
      <w:r w:rsidRPr="00FA0083">
        <w:t xml:space="preserve"> </w:t>
      </w:r>
      <w:r w:rsidR="00407D49" w:rsidRPr="00FA0083">
        <w:t xml:space="preserve">ECSO, </w:t>
      </w:r>
      <w:r w:rsidR="00407D49" w:rsidRPr="00FA0083">
        <w:rPr>
          <w:i/>
        </w:rPr>
        <w:t>Streamlining Regulatory Obligations (2025)</w:t>
      </w:r>
      <w:r w:rsidR="00407D49" w:rsidRPr="00FA0083">
        <w:t>,</w:t>
      </w:r>
      <w:r w:rsidR="004153A9" w:rsidRPr="00FA0083">
        <w:t xml:space="preserve"> </w:t>
      </w:r>
      <w:hyperlink r:id="rId24" w:history="1">
        <w:r w:rsidR="004153A9" w:rsidRPr="00FA0083">
          <w:rPr>
            <w:rStyle w:val="Hyperlink"/>
          </w:rPr>
          <w:t>Streamlining-Regulatory-Obligations_Action-Plan_v2.pdf</w:t>
        </w:r>
      </w:hyperlink>
      <w:r w:rsidR="004153A9" w:rsidRPr="00FA0083">
        <w:t>.</w:t>
      </w:r>
    </w:p>
  </w:footnote>
  <w:footnote w:id="50">
    <w:p w14:paraId="508CA6C9" w14:textId="4B69AA46" w:rsidR="0001056F" w:rsidRPr="00FA0083" w:rsidRDefault="0001056F">
      <w:pPr>
        <w:pStyle w:val="FootnoteText"/>
        <w:rPr>
          <w:lang w:val="en-IE"/>
        </w:rPr>
      </w:pPr>
      <w:r w:rsidRPr="00FA0083">
        <w:rPr>
          <w:rStyle w:val="FootnoteReference"/>
        </w:rPr>
        <w:footnoteRef/>
      </w:r>
      <w:r w:rsidRPr="00FA0083">
        <w:t xml:space="preserve"> </w:t>
      </w:r>
      <w:r w:rsidR="00AA364B" w:rsidRPr="00FA0083">
        <w:t>T</w:t>
      </w:r>
      <w:r w:rsidRPr="00FA0083">
        <w:t xml:space="preserve">he Impact Assessment </w:t>
      </w:r>
      <w:r w:rsidR="00D12F6A" w:rsidRPr="00FA0083">
        <w:t>accompanying the proposal for the NIS2 Directive</w:t>
      </w:r>
      <w:r w:rsidR="005C5001" w:rsidRPr="00FA0083">
        <w:t xml:space="preserve"> (SWD</w:t>
      </w:r>
      <w:r w:rsidR="00553CC1" w:rsidRPr="00FA0083">
        <w:t>(2020)345 final, part 1/3)</w:t>
      </w:r>
      <w:r w:rsidR="00D12F6A" w:rsidRPr="00FA0083">
        <w:t xml:space="preserve"> estimated that 110,000 entities would be scope </w:t>
      </w:r>
      <w:r w:rsidR="00AA364B" w:rsidRPr="00FA0083">
        <w:t>(see p. 70).</w:t>
      </w:r>
      <w:r w:rsidR="007F0C0B" w:rsidRPr="00FA0083">
        <w:t xml:space="preserve"> However, based on experience from the implementation of the Directive, as of November</w:t>
      </w:r>
      <w:r w:rsidR="00AE00E6" w:rsidRPr="00FA0083">
        <w:t xml:space="preserve"> 2025</w:t>
      </w:r>
      <w:r w:rsidR="007F0C0B" w:rsidRPr="00FA0083">
        <w:t>, the number of entities in scope is estimated as at least 160,000</w:t>
      </w:r>
      <w:r w:rsidR="005C5001" w:rsidRPr="00FA0083">
        <w:t xml:space="preserve"> (see pp. 62 – 63 of the Staff Working Document accompanying the proposal for a Digital Omnibus</w:t>
      </w:r>
      <w:r w:rsidR="00553CC1" w:rsidRPr="00FA0083">
        <w:t>, SWD(</w:t>
      </w:r>
      <w:r w:rsidR="00235077" w:rsidRPr="00FA0083">
        <w:t>2025)836 final)</w:t>
      </w:r>
      <w:r w:rsidR="005C5001" w:rsidRPr="00FA0083">
        <w:t>)</w:t>
      </w:r>
      <w:r w:rsidR="007F0C0B" w:rsidRPr="00FA0083">
        <w:t xml:space="preserve">. </w:t>
      </w:r>
    </w:p>
  </w:footnote>
  <w:footnote w:id="51">
    <w:p w14:paraId="7DD16FB9" w14:textId="0EF4A1F8" w:rsidR="0006444C" w:rsidRPr="00FA0083" w:rsidRDefault="0006444C">
      <w:pPr>
        <w:pStyle w:val="FootnoteText"/>
      </w:pPr>
      <w:r w:rsidRPr="00FA0083">
        <w:rPr>
          <w:rStyle w:val="FootnoteReference"/>
        </w:rPr>
        <w:footnoteRef/>
      </w:r>
      <w:r w:rsidRPr="00FA0083">
        <w:t xml:space="preserve"> </w:t>
      </w:r>
      <w:r w:rsidR="00A13289" w:rsidRPr="00FA0083">
        <w:t xml:space="preserve">Regardless of their size, DNS service providers are also in scope of the </w:t>
      </w:r>
      <w:r w:rsidR="000429F0" w:rsidRPr="00FA0083">
        <w:t xml:space="preserve">Commission Implementing Regulation (EU) 2024/2690, which sets out more detailed </w:t>
      </w:r>
      <w:r w:rsidR="00291168" w:rsidRPr="00FA0083">
        <w:t xml:space="preserve">provisions regarding cybersecurity incident reporting and </w:t>
      </w:r>
      <w:r w:rsidR="00544D90" w:rsidRPr="00FA0083">
        <w:t>risk-management measures</w:t>
      </w:r>
      <w:r w:rsidR="000429F0" w:rsidRPr="00FA0083">
        <w:t xml:space="preserve"> </w:t>
      </w:r>
      <w:r w:rsidR="00291168" w:rsidRPr="00FA0083">
        <w:t>by further</w:t>
      </w:r>
      <w:r w:rsidR="000429F0" w:rsidRPr="00FA0083">
        <w:t xml:space="preserve"> </w:t>
      </w:r>
      <w:r w:rsidR="00544D90" w:rsidRPr="00FA0083">
        <w:t xml:space="preserve">specifying Article 21(2) and </w:t>
      </w:r>
      <w:r w:rsidR="004E179E" w:rsidRPr="00FA0083">
        <w:t>Article 23(3)</w:t>
      </w:r>
      <w:r w:rsidR="00EB0E0F" w:rsidRPr="00FA0083">
        <w:t xml:space="preserve"> of the NIS 2 Directive</w:t>
      </w:r>
      <w:r w:rsidR="004E179E" w:rsidRPr="00FA0083">
        <w:t xml:space="preserve"> vis-à-vis the relevant types of entities.</w:t>
      </w:r>
    </w:p>
  </w:footnote>
  <w:footnote w:id="52">
    <w:p w14:paraId="6DF6F1E8" w14:textId="77777777" w:rsidR="0064058B" w:rsidRPr="00FA0083" w:rsidRDefault="0064058B" w:rsidP="0064058B">
      <w:pPr>
        <w:pStyle w:val="FootnoteText"/>
      </w:pPr>
      <w:r w:rsidRPr="00FA0083">
        <w:rPr>
          <w:rStyle w:val="FootnoteReference"/>
        </w:rPr>
        <w:footnoteRef/>
      </w:r>
      <w:r w:rsidRPr="00FA0083">
        <w:t xml:space="preserve"> Council of the European Union, Council conclusions on ICT supply chain security, 17 October 2022, no. 13664/22.</w:t>
      </w:r>
    </w:p>
  </w:footnote>
  <w:footnote w:id="53">
    <w:p w14:paraId="35AB4306" w14:textId="77777777" w:rsidR="0064058B" w:rsidRPr="00FA0083" w:rsidRDefault="0064058B" w:rsidP="0064058B">
      <w:pPr>
        <w:pStyle w:val="FootnoteText"/>
        <w:rPr>
          <w:lang w:val="en-IE"/>
        </w:rPr>
      </w:pPr>
      <w:r w:rsidRPr="00FA0083">
        <w:rPr>
          <w:rStyle w:val="FootnoteReference"/>
        </w:rPr>
        <w:footnoteRef/>
      </w:r>
      <w:r w:rsidRPr="00FA0083">
        <w:t xml:space="preserve"> Drawing on the United States’ National Institute of Standards and Technology, </w:t>
      </w:r>
      <w:hyperlink r:id="rId25" w:history="1">
        <w:r w:rsidRPr="00FA0083">
          <w:rPr>
            <w:rStyle w:val="Hyperlink"/>
          </w:rPr>
          <w:t>https://csrc.nist.gov/glossary/term/malicious_cyber_activity</w:t>
        </w:r>
      </w:hyperlink>
      <w:r w:rsidRPr="00FA0083">
        <w:t xml:space="preserve">, malicious cyber activity can, in the European Union context, be defined as activities that seek to compromise or impair the confidentiality, integrity, or availability of computers, information or communications systems, networks, physical or virtual infrastructure controlled by computers or information systems, or information resident thereon. </w:t>
      </w:r>
    </w:p>
  </w:footnote>
  <w:footnote w:id="54">
    <w:p w14:paraId="06370CD5" w14:textId="77777777" w:rsidR="0064058B" w:rsidRPr="00FA0083" w:rsidRDefault="0064058B" w:rsidP="0064058B">
      <w:pPr>
        <w:pStyle w:val="FootnoteText"/>
        <w:rPr>
          <w:lang w:val="en-IE"/>
        </w:rPr>
      </w:pPr>
      <w:r w:rsidRPr="00FA0083">
        <w:rPr>
          <w:rStyle w:val="FootnoteReference"/>
        </w:rPr>
        <w:footnoteRef/>
      </w:r>
      <w:r w:rsidRPr="00FA0083">
        <w:t xml:space="preserve"> </w:t>
      </w:r>
      <w:r w:rsidRPr="00FA0083">
        <w:rPr>
          <w:rFonts w:eastAsia="Times New Roman"/>
        </w:rPr>
        <w:t xml:space="preserve">ENISA, </w:t>
      </w:r>
      <w:r w:rsidRPr="00FA0083">
        <w:rPr>
          <w:rFonts w:eastAsia="Times New Roman"/>
          <w:i/>
        </w:rPr>
        <w:t>ENISA Threat Landscape 2024</w:t>
      </w:r>
      <w:r w:rsidRPr="00FA0083">
        <w:rPr>
          <w:rFonts w:eastAsia="Times New Roman"/>
        </w:rPr>
        <w:t xml:space="preserve">, </w:t>
      </w:r>
      <w:hyperlink r:id="rId26">
        <w:r w:rsidRPr="00FA0083">
          <w:rPr>
            <w:rStyle w:val="Hyperlink"/>
            <w:rFonts w:eastAsia="Times New Roman"/>
          </w:rPr>
          <w:t>https://www.enisa.europa.eu/publications/enisa-threat-landscape-2024</w:t>
        </w:r>
      </w:hyperlink>
      <w:r w:rsidRPr="00FA0083">
        <w:rPr>
          <w:rFonts w:eastAsia="Times New Roman"/>
        </w:rPr>
        <w:t>.</w:t>
      </w:r>
    </w:p>
  </w:footnote>
  <w:footnote w:id="55">
    <w:p w14:paraId="08F3FE15" w14:textId="77777777" w:rsidR="0064058B" w:rsidRPr="00FA0083" w:rsidRDefault="0064058B" w:rsidP="0064058B">
      <w:pPr>
        <w:pStyle w:val="FootnoteText"/>
      </w:pPr>
      <w:r w:rsidRPr="00FA0083">
        <w:rPr>
          <w:rStyle w:val="FootnoteReference"/>
        </w:rPr>
        <w:footnoteRef/>
      </w:r>
      <w:r w:rsidRPr="00FA0083">
        <w:t xml:space="preserve"> ENISA, </w:t>
      </w:r>
      <w:r w:rsidRPr="00FA0083">
        <w:rPr>
          <w:i/>
        </w:rPr>
        <w:t>Good practices for supply chain security</w:t>
      </w:r>
      <w:r w:rsidRPr="00FA0083">
        <w:t xml:space="preserve">, </w:t>
      </w:r>
      <w:hyperlink r:id="rId27" w:history="1">
        <w:r w:rsidRPr="00FA0083">
          <w:rPr>
            <w:rStyle w:val="Hyperlink"/>
          </w:rPr>
          <w:t>https://www.enisa.europa.eu/sites/default/files/publications/Good%20Practices%20for%20Supply%20Chain%20Cybersecurity.pdf</w:t>
        </w:r>
      </w:hyperlink>
      <w:r w:rsidRPr="00FA0083">
        <w:t>.</w:t>
      </w:r>
    </w:p>
  </w:footnote>
  <w:footnote w:id="56">
    <w:p w14:paraId="13670FAC" w14:textId="77777777" w:rsidR="0064058B" w:rsidRPr="00FA0083" w:rsidRDefault="0064058B" w:rsidP="0064058B">
      <w:pPr>
        <w:pStyle w:val="FootnoteText"/>
      </w:pPr>
      <w:r w:rsidRPr="00FA0083">
        <w:rPr>
          <w:rStyle w:val="FootnoteReference"/>
        </w:rPr>
        <w:footnoteRef/>
      </w:r>
      <w:r w:rsidRPr="00FA0083">
        <w:t xml:space="preserve"> WEF, </w:t>
      </w:r>
      <w:r w:rsidRPr="00FA0083">
        <w:rPr>
          <w:i/>
        </w:rPr>
        <w:t>Global Cybersecurity Outlook 2022</w:t>
      </w:r>
      <w:r w:rsidRPr="00FA0083">
        <w:t xml:space="preserve">,  </w:t>
      </w:r>
      <w:hyperlink r:id="rId28" w:history="1">
        <w:r w:rsidRPr="00FA0083">
          <w:rPr>
            <w:rStyle w:val="Hyperlink"/>
          </w:rPr>
          <w:t>https://www.weforum.org/publications/global-cybersecurity-outlook-2022/</w:t>
        </w:r>
      </w:hyperlink>
      <w:r w:rsidRPr="00FA0083">
        <w:t xml:space="preserve"> or Anchore, </w:t>
      </w:r>
      <w:r w:rsidRPr="00FA0083">
        <w:rPr>
          <w:i/>
        </w:rPr>
        <w:t>2022 security trends: Software supply chain survey</w:t>
      </w:r>
      <w:r w:rsidRPr="00FA0083">
        <w:t xml:space="preserve">,  </w:t>
      </w:r>
      <w:hyperlink r:id="rId29" w:history="1">
        <w:r w:rsidRPr="00FA0083">
          <w:rPr>
            <w:rStyle w:val="Hyperlink"/>
          </w:rPr>
          <w:t>https://anchore.com/blog/2022-security-trends-software-supply-chain-survey/</w:t>
        </w:r>
      </w:hyperlink>
      <w:r w:rsidRPr="00FA0083">
        <w:t>.</w:t>
      </w:r>
    </w:p>
  </w:footnote>
  <w:footnote w:id="57">
    <w:p w14:paraId="73D0FB1E" w14:textId="77777777" w:rsidR="0064058B" w:rsidRPr="00FA0083" w:rsidRDefault="0064058B" w:rsidP="0064058B">
      <w:pPr>
        <w:pStyle w:val="FootnoteText"/>
      </w:pPr>
      <w:r w:rsidRPr="00FA0083">
        <w:rPr>
          <w:rStyle w:val="FootnoteReference"/>
        </w:rPr>
        <w:footnoteRef/>
      </w:r>
      <w:r w:rsidRPr="00FA0083">
        <w:t xml:space="preserve"> </w:t>
      </w:r>
      <w:r w:rsidRPr="00FA0083">
        <w:rPr>
          <w:rFonts w:eastAsia="Times New Roman"/>
        </w:rPr>
        <w:t xml:space="preserve">ENISA, </w:t>
      </w:r>
      <w:r w:rsidRPr="00FA0083">
        <w:rPr>
          <w:rFonts w:eastAsia="Times New Roman"/>
          <w:i/>
        </w:rPr>
        <w:t>ENISA Threat Landscape 2024</w:t>
      </w:r>
      <w:r w:rsidRPr="00FA0083">
        <w:rPr>
          <w:rFonts w:eastAsia="Times New Roman"/>
        </w:rPr>
        <w:t xml:space="preserve">,  </w:t>
      </w:r>
      <w:hyperlink r:id="rId30" w:history="1">
        <w:r w:rsidRPr="00FA0083">
          <w:rPr>
            <w:rStyle w:val="Hyperlink"/>
            <w:rFonts w:eastAsia="Times New Roman"/>
          </w:rPr>
          <w:t>https://www.enisa.europa.eu/publications/enisa-threat-landscape-2024</w:t>
        </w:r>
      </w:hyperlink>
      <w:r w:rsidRPr="00FA0083">
        <w:rPr>
          <w:rFonts w:eastAsia="Times New Roman"/>
        </w:rPr>
        <w:t>.</w:t>
      </w:r>
    </w:p>
  </w:footnote>
  <w:footnote w:id="58">
    <w:p w14:paraId="333EB299" w14:textId="77777777" w:rsidR="0064058B" w:rsidRPr="00FA0083" w:rsidRDefault="0064058B" w:rsidP="0064058B">
      <w:pPr>
        <w:pStyle w:val="FootnoteText"/>
        <w:rPr>
          <w:lang w:val="en-IE"/>
        </w:rPr>
      </w:pPr>
      <w:r w:rsidRPr="00FA0083">
        <w:rPr>
          <w:rStyle w:val="FootnoteReference"/>
        </w:rPr>
        <w:footnoteRef/>
      </w:r>
      <w:r w:rsidRPr="00FA0083">
        <w:t xml:space="preserve"> IBM, Cost of a data breach report 2025, </w:t>
      </w:r>
      <w:hyperlink r:id="rId31" w:history="1">
        <w:r w:rsidRPr="00FA0083">
          <w:rPr>
            <w:rStyle w:val="Hyperlink"/>
          </w:rPr>
          <w:t>https://www.ibm.com/reports/data-breach</w:t>
        </w:r>
      </w:hyperlink>
      <w:r w:rsidRPr="00FA0083">
        <w:t>.</w:t>
      </w:r>
    </w:p>
  </w:footnote>
  <w:footnote w:id="59">
    <w:p w14:paraId="07566570" w14:textId="77777777" w:rsidR="0064058B" w:rsidRPr="00FA0083" w:rsidRDefault="0064058B" w:rsidP="0064058B">
      <w:pPr>
        <w:pStyle w:val="FootnoteText"/>
        <w:rPr>
          <w:highlight w:val="yellow"/>
        </w:rPr>
      </w:pPr>
      <w:r w:rsidRPr="00FA0083">
        <w:rPr>
          <w:rStyle w:val="FootnoteReference"/>
        </w:rPr>
        <w:footnoteRef/>
      </w:r>
      <w:r w:rsidRPr="00FA0083">
        <w:t xml:space="preserve"> Black Kite, The True Impact of Cascading and Concentration Risk,  </w:t>
      </w:r>
      <w:hyperlink r:id="rId32" w:history="1">
        <w:r w:rsidRPr="00FA0083">
          <w:rPr>
            <w:rStyle w:val="Hyperlink"/>
          </w:rPr>
          <w:t>https://www.fbcinc.com/source/virtualhall_images/2023_Virtual_Events/DISA_JSP_(July)/Black_Kite/Black_Kite_Concentration_and_Cascading_Risk_EBook.pdf</w:t>
        </w:r>
      </w:hyperlink>
      <w:r w:rsidRPr="00FA0083">
        <w:t>.</w:t>
      </w:r>
    </w:p>
  </w:footnote>
  <w:footnote w:id="60">
    <w:p w14:paraId="187E229A" w14:textId="77777777" w:rsidR="0064058B" w:rsidRPr="00FA0083" w:rsidRDefault="0064058B" w:rsidP="0064058B">
      <w:pPr>
        <w:pStyle w:val="FootnoteText"/>
        <w:rPr>
          <w:lang w:val="en-IE"/>
        </w:rPr>
      </w:pPr>
      <w:r w:rsidRPr="00FA0083">
        <w:rPr>
          <w:rStyle w:val="FootnoteReference"/>
        </w:rPr>
        <w:footnoteRef/>
      </w:r>
      <w:r w:rsidRPr="00FA0083">
        <w:t xml:space="preserve"> IBM, Cost of a data breach report 2025, </w:t>
      </w:r>
      <w:hyperlink r:id="rId33" w:history="1">
        <w:r w:rsidRPr="00FA0083">
          <w:rPr>
            <w:rStyle w:val="Hyperlink"/>
          </w:rPr>
          <w:t>https://www.ibm.com/reports/data-breach</w:t>
        </w:r>
      </w:hyperlink>
      <w:r w:rsidRPr="00FA0083">
        <w:t>.</w:t>
      </w:r>
    </w:p>
  </w:footnote>
  <w:footnote w:id="61">
    <w:p w14:paraId="3A02282A" w14:textId="77777777" w:rsidR="0064058B" w:rsidRPr="00FA0083" w:rsidRDefault="0064058B" w:rsidP="0064058B">
      <w:pPr>
        <w:pStyle w:val="FootnoteText"/>
        <w:rPr>
          <w:lang w:val="en-IE"/>
        </w:rPr>
      </w:pPr>
      <w:r w:rsidRPr="00FA0083">
        <w:rPr>
          <w:rStyle w:val="FootnoteReference"/>
        </w:rPr>
        <w:footnoteRef/>
      </w:r>
      <w:r w:rsidRPr="00FA0083">
        <w:rPr>
          <w:lang w:val="en-IE"/>
        </w:rPr>
        <w:t xml:space="preserve"> Cybersecurity Insiders, </w:t>
      </w:r>
      <w:r w:rsidRPr="00FA0083">
        <w:rPr>
          <w:i/>
          <w:lang w:val="en-IE"/>
        </w:rPr>
        <w:t>The Domino Effect of Cyber Incidents: Understanding the Ripple Impact of Cybersecurity Breaches</w:t>
      </w:r>
      <w:r w:rsidRPr="00FA0083">
        <w:rPr>
          <w:lang w:val="en-IE"/>
        </w:rPr>
        <w:t xml:space="preserve">,  </w:t>
      </w:r>
      <w:hyperlink r:id="rId34" w:history="1">
        <w:r w:rsidRPr="00FA0083">
          <w:rPr>
            <w:rStyle w:val="Hyperlink"/>
            <w:lang w:val="en-IE"/>
          </w:rPr>
          <w:t>https://www.cybersecurity-insiders.com/the-domino-effect-of-cyber-incidents-understanding-the-ripple-impact-of-cybersecurity-breaches/</w:t>
        </w:r>
      </w:hyperlink>
      <w:r w:rsidRPr="00FA0083">
        <w:t>.</w:t>
      </w:r>
    </w:p>
  </w:footnote>
  <w:footnote w:id="62">
    <w:p w14:paraId="7FCBB243" w14:textId="77777777" w:rsidR="0064058B" w:rsidRPr="00F91E8B" w:rsidRDefault="0064058B" w:rsidP="0064058B">
      <w:pPr>
        <w:pStyle w:val="FootnoteText"/>
        <w:rPr>
          <w:lang w:val="en-IE"/>
        </w:rPr>
      </w:pPr>
      <w:r w:rsidRPr="00FA0083">
        <w:rPr>
          <w:rStyle w:val="FootnoteReference"/>
        </w:rPr>
        <w:footnoteRef/>
      </w:r>
      <w:r w:rsidRPr="00F91E8B">
        <w:rPr>
          <w:lang w:val="en-IE"/>
        </w:rPr>
        <w:t xml:space="preserve"> CERT-EU, </w:t>
      </w:r>
      <w:r w:rsidRPr="00F91E8B">
        <w:rPr>
          <w:i/>
          <w:lang w:val="en-IE"/>
        </w:rPr>
        <w:t>Multiple Vulnerabilities in SolarWinds Orion</w:t>
      </w:r>
      <w:r w:rsidRPr="00F91E8B">
        <w:rPr>
          <w:lang w:val="en-IE"/>
        </w:rPr>
        <w:t xml:space="preserve">, </w:t>
      </w:r>
      <w:hyperlink r:id="rId35" w:history="1">
        <w:r w:rsidRPr="00F91E8B">
          <w:rPr>
            <w:rStyle w:val="Hyperlink"/>
            <w:lang w:val="en-IE"/>
          </w:rPr>
          <w:t>https://cert.europa.eu/publications/security-advisories/2020-060/</w:t>
        </w:r>
      </w:hyperlink>
      <w:r w:rsidRPr="00F91E8B">
        <w:rPr>
          <w:lang w:val="en-IE"/>
        </w:rPr>
        <w:t>.</w:t>
      </w:r>
    </w:p>
  </w:footnote>
  <w:footnote w:id="63">
    <w:p w14:paraId="4482C0D5" w14:textId="77777777" w:rsidR="0064058B" w:rsidRPr="00F91E8B" w:rsidRDefault="0064058B" w:rsidP="0064058B">
      <w:pPr>
        <w:pStyle w:val="FootnoteText"/>
        <w:rPr>
          <w:lang w:val="en-IE"/>
        </w:rPr>
      </w:pPr>
      <w:r w:rsidRPr="00FA0083">
        <w:rPr>
          <w:rStyle w:val="FootnoteReference"/>
        </w:rPr>
        <w:footnoteRef/>
      </w:r>
      <w:r w:rsidRPr="00F91E8B">
        <w:rPr>
          <w:lang w:val="en-IE"/>
        </w:rPr>
        <w:t xml:space="preserve"> IronNet, 2021 </w:t>
      </w:r>
      <w:r w:rsidRPr="00F91E8B">
        <w:rPr>
          <w:i/>
          <w:lang w:val="en-IE"/>
        </w:rPr>
        <w:t>Cybersecurity Impact Report</w:t>
      </w:r>
      <w:r w:rsidRPr="00F91E8B">
        <w:rPr>
          <w:lang w:val="en-IE"/>
        </w:rPr>
        <w:t xml:space="preserve">,  </w:t>
      </w:r>
      <w:hyperlink r:id="rId36" w:history="1">
        <w:r w:rsidRPr="00F91E8B">
          <w:rPr>
            <w:rStyle w:val="Hyperlink"/>
            <w:lang w:val="en-IE"/>
          </w:rPr>
          <w:t>https://www.ironnet.com/hubfs/IronNet-2021-Cybersecurity-Impact-Report-June2021.pdf?hsLang=en&amp;submissionGuid=39c8446a-6789-41e5-8652-a7dd61b8af94</w:t>
        </w:r>
      </w:hyperlink>
      <w:r w:rsidRPr="00F91E8B">
        <w:rPr>
          <w:lang w:val="en-IE"/>
        </w:rPr>
        <w:t>.</w:t>
      </w:r>
    </w:p>
  </w:footnote>
  <w:footnote w:id="64">
    <w:p w14:paraId="672C7508" w14:textId="77777777" w:rsidR="0064058B" w:rsidRPr="00FA0083" w:rsidRDefault="0064058B" w:rsidP="0064058B">
      <w:pPr>
        <w:pStyle w:val="FootnoteText"/>
        <w:rPr>
          <w:lang w:val="en-IE"/>
        </w:rPr>
      </w:pPr>
      <w:r w:rsidRPr="00FA0083">
        <w:rPr>
          <w:rStyle w:val="FootnoteReference"/>
        </w:rPr>
        <w:footnoteRef/>
      </w:r>
      <w:r w:rsidRPr="00FA0083">
        <w:t xml:space="preserve"> The Guardian, </w:t>
      </w:r>
      <w:r w:rsidRPr="00FA0083">
        <w:rPr>
          <w:i/>
        </w:rPr>
        <w:t>Jaguar Land Rover extends production shutdown after cyber-attack,</w:t>
      </w:r>
      <w:r w:rsidRPr="00FA0083">
        <w:t xml:space="preserve"> </w:t>
      </w:r>
      <w:hyperlink r:id="rId37" w:history="1">
        <w:r w:rsidRPr="00FA0083">
          <w:rPr>
            <w:rStyle w:val="Hyperlink"/>
          </w:rPr>
          <w:t>https://www.theguardian.com/business/2025/sep/16/jaguar-land-rover-production-shutdown-cyber-attack</w:t>
        </w:r>
      </w:hyperlink>
      <w:r w:rsidRPr="00FA0083">
        <w:t>.</w:t>
      </w:r>
    </w:p>
  </w:footnote>
  <w:footnote w:id="65">
    <w:p w14:paraId="2F92A2F4" w14:textId="77777777" w:rsidR="0064058B" w:rsidRPr="00FA0083" w:rsidRDefault="0064058B" w:rsidP="0064058B">
      <w:pPr>
        <w:pStyle w:val="FootnoteText"/>
        <w:rPr>
          <w:lang w:val="en-IE"/>
        </w:rPr>
      </w:pPr>
      <w:r w:rsidRPr="00FA0083">
        <w:rPr>
          <w:rStyle w:val="FootnoteReference"/>
        </w:rPr>
        <w:footnoteRef/>
      </w:r>
      <w:r w:rsidRPr="00FA0083">
        <w:t xml:space="preserve"> BBC, </w:t>
      </w:r>
      <w:r w:rsidRPr="00FA0083">
        <w:rPr>
          <w:i/>
        </w:rPr>
        <w:t>Government to guarantee £1.5bn JLR loan after cyber shutdown</w:t>
      </w:r>
      <w:r w:rsidRPr="00FA0083">
        <w:t xml:space="preserve">, </w:t>
      </w:r>
      <w:hyperlink r:id="rId38" w:history="1">
        <w:r w:rsidRPr="00FA0083">
          <w:rPr>
            <w:rStyle w:val="Hyperlink"/>
          </w:rPr>
          <w:t>https://www.bbc.com/news/articles/cgl15ykerlro</w:t>
        </w:r>
      </w:hyperlink>
      <w:r w:rsidRPr="00FA0083">
        <w:t>.</w:t>
      </w:r>
    </w:p>
  </w:footnote>
  <w:footnote w:id="66">
    <w:p w14:paraId="27822576" w14:textId="77777777" w:rsidR="0064058B" w:rsidRPr="00FA0083" w:rsidRDefault="0064058B" w:rsidP="0064058B">
      <w:pPr>
        <w:pStyle w:val="FootnoteText"/>
        <w:rPr>
          <w:lang w:val="en-IE"/>
        </w:rPr>
      </w:pPr>
      <w:r w:rsidRPr="00FA0083">
        <w:rPr>
          <w:rStyle w:val="FootnoteReference"/>
        </w:rPr>
        <w:footnoteRef/>
      </w:r>
      <w:r w:rsidRPr="00FA0083">
        <w:t xml:space="preserve"> </w:t>
      </w:r>
      <w:r w:rsidRPr="00FA0083">
        <w:rPr>
          <w:lang w:val="en-IE"/>
        </w:rPr>
        <w:t xml:space="preserve">See in this regard the European Economic Security Strategy, </w:t>
      </w:r>
      <w:r w:rsidRPr="00FA0083">
        <w:t>JOIN/2023/20 final.</w:t>
      </w:r>
    </w:p>
  </w:footnote>
  <w:footnote w:id="67">
    <w:p w14:paraId="46E3E9E5" w14:textId="77777777" w:rsidR="0064058B" w:rsidRPr="00FA0083" w:rsidRDefault="0064058B" w:rsidP="0064058B">
      <w:pPr>
        <w:pStyle w:val="FootnoteText"/>
      </w:pPr>
      <w:r w:rsidRPr="00FA0083">
        <w:rPr>
          <w:rStyle w:val="FootnoteReference"/>
        </w:rPr>
        <w:footnoteRef/>
      </w:r>
      <w:r w:rsidRPr="00FA0083">
        <w:t xml:space="preserve"> G7 Leaders’ Statement on Economic Resilience and Economic Security, 20 May 2023, </w:t>
      </w:r>
      <w:hyperlink r:id="rId39" w:history="1">
        <w:r w:rsidRPr="00FA0083">
          <w:rPr>
            <w:rStyle w:val="Hyperlink"/>
          </w:rPr>
          <w:t>https://www.consilium.europa.eu/media/64501/g7-statement-on-economic-resilience-and-economic-security.pdf</w:t>
        </w:r>
      </w:hyperlink>
      <w:r w:rsidRPr="00FA0083">
        <w:t>.</w:t>
      </w:r>
    </w:p>
  </w:footnote>
  <w:footnote w:id="68">
    <w:p w14:paraId="3090E1B7" w14:textId="77777777" w:rsidR="0064058B" w:rsidRPr="00FA0083" w:rsidRDefault="0064058B" w:rsidP="0064058B">
      <w:pPr>
        <w:pStyle w:val="FootnoteText"/>
      </w:pPr>
      <w:r w:rsidRPr="00FA0083">
        <w:rPr>
          <w:rStyle w:val="FootnoteReference"/>
        </w:rPr>
        <w:footnoteRef/>
      </w:r>
      <w:r w:rsidRPr="00FA0083">
        <w:t xml:space="preserve"> Chairs’ statement on G7 Cybersecurity Working Group meeting (2025),  </w:t>
      </w:r>
      <w:hyperlink r:id="rId40" w:history="1">
        <w:r w:rsidRPr="00FA0083">
          <w:rPr>
            <w:rStyle w:val="Hyperlink"/>
          </w:rPr>
          <w:t>https://www.cyber.gc.ca/en/news-events/chairs-statement-g7-cybersecurity-working-group-meeting</w:t>
        </w:r>
      </w:hyperlink>
      <w:r w:rsidRPr="00FA0083">
        <w:t>.</w:t>
      </w:r>
    </w:p>
  </w:footnote>
  <w:footnote w:id="69">
    <w:p w14:paraId="412FF60F" w14:textId="77777777" w:rsidR="0064058B" w:rsidRPr="00FA0083" w:rsidRDefault="0064058B" w:rsidP="0064058B">
      <w:pPr>
        <w:pStyle w:val="FootnoteText"/>
        <w:rPr>
          <w:lang w:val="en"/>
        </w:rPr>
      </w:pPr>
      <w:r w:rsidRPr="00FA0083">
        <w:rPr>
          <w:rStyle w:val="FootnoteReference"/>
        </w:rPr>
        <w:footnoteRef/>
      </w:r>
      <w:r w:rsidRPr="00FA0083">
        <w:t xml:space="preserve"> Joint Communication to the European Parliament, the European Council and the Council on European Economic Security Strategy, 20 June 2023, </w:t>
      </w:r>
      <w:r w:rsidRPr="00FA0083">
        <w:rPr>
          <w:lang w:val="en"/>
        </w:rPr>
        <w:t>JOIN/2023/20 final.</w:t>
      </w:r>
    </w:p>
  </w:footnote>
  <w:footnote w:id="70">
    <w:p w14:paraId="67FF6959" w14:textId="77777777" w:rsidR="0064058B" w:rsidRPr="00FA0083" w:rsidRDefault="0064058B" w:rsidP="0064058B">
      <w:pPr>
        <w:pStyle w:val="FootnoteText"/>
        <w:rPr>
          <w:lang w:val="cs-CZ"/>
        </w:rPr>
      </w:pPr>
      <w:r w:rsidRPr="00FA0083">
        <w:rPr>
          <w:rStyle w:val="FootnoteReference"/>
        </w:rPr>
        <w:footnoteRef/>
      </w:r>
      <w:r w:rsidRPr="00FA0083">
        <w:t xml:space="preserve"> Crowdstrike, </w:t>
      </w:r>
      <w:r w:rsidRPr="00FA0083">
        <w:rPr>
          <w:i/>
        </w:rPr>
        <w:t>Global threat report</w:t>
      </w:r>
      <w:r w:rsidRPr="00FA0083">
        <w:t xml:space="preserve">,  </w:t>
      </w:r>
      <w:hyperlink r:id="rId41" w:history="1">
        <w:r w:rsidRPr="00FA0083">
          <w:rPr>
            <w:rStyle w:val="Hyperlink"/>
          </w:rPr>
          <w:t>https://go.crowdstrike.com/rs/281-OBQ-266/images/GlobalThreatReport2024.pdf</w:t>
        </w:r>
      </w:hyperlink>
      <w:r w:rsidRPr="00FA0083">
        <w:t>.</w:t>
      </w:r>
    </w:p>
  </w:footnote>
  <w:footnote w:id="71">
    <w:p w14:paraId="4C797B9C" w14:textId="77777777" w:rsidR="0064058B" w:rsidRPr="00FA0083" w:rsidRDefault="0064058B" w:rsidP="0064058B">
      <w:pPr>
        <w:pStyle w:val="FootnoteText"/>
      </w:pPr>
      <w:r w:rsidRPr="00FA0083">
        <w:rPr>
          <w:rStyle w:val="FootnoteReference"/>
        </w:rPr>
        <w:footnoteRef/>
      </w:r>
      <w:r w:rsidRPr="00FA0083">
        <w:t xml:space="preserve"> Mandiant, </w:t>
      </w:r>
      <w:r w:rsidRPr="00FA0083">
        <w:rPr>
          <w:i/>
        </w:rPr>
        <w:t>Active North Korean campaign targeting security researchers</w:t>
      </w:r>
      <w:r w:rsidRPr="00FA0083">
        <w:t xml:space="preserve">,  </w:t>
      </w:r>
      <w:hyperlink r:id="rId42" w:history="1">
        <w:r w:rsidRPr="00FA0083">
          <w:rPr>
            <w:rStyle w:val="Hyperlink"/>
          </w:rPr>
          <w:t>https://blog.google/threat-analysis-group/active-north-korean-campaign-targeting-security-researchers/</w:t>
        </w:r>
      </w:hyperlink>
      <w:r w:rsidRPr="00FA0083">
        <w:t xml:space="preserve"> or  Cisco, </w:t>
      </w:r>
      <w:r w:rsidRPr="00FA0083">
        <w:rPr>
          <w:i/>
        </w:rPr>
        <w:t>ArcaneDoor - New espionage-focused campaign</w:t>
      </w:r>
      <w:r w:rsidRPr="00FA0083">
        <w:t xml:space="preserve">,  </w:t>
      </w:r>
      <w:hyperlink r:id="rId43" w:history="1">
        <w:r w:rsidRPr="00FA0083">
          <w:rPr>
            <w:rStyle w:val="Hyperlink"/>
          </w:rPr>
          <w:t>https://blog.talosintelligence.com/arcanedoor-new-espionage focused-campaign-found-targeting-perimeter-network-devices/</w:t>
        </w:r>
      </w:hyperlink>
      <w:r w:rsidRPr="00FA0083">
        <w:t>.</w:t>
      </w:r>
    </w:p>
  </w:footnote>
  <w:footnote w:id="72">
    <w:p w14:paraId="6B87E84F" w14:textId="77777777" w:rsidR="0064058B" w:rsidRPr="00FA0083" w:rsidRDefault="0064058B" w:rsidP="0064058B">
      <w:pPr>
        <w:pStyle w:val="FootnoteText"/>
        <w:rPr>
          <w:lang w:val="cs-CZ"/>
        </w:rPr>
      </w:pPr>
      <w:r w:rsidRPr="00FA0083">
        <w:rPr>
          <w:rStyle w:val="FootnoteReference"/>
        </w:rPr>
        <w:footnoteRef/>
      </w:r>
      <w:r w:rsidRPr="00FA0083">
        <w:t xml:space="preserve"> Palo Alto, </w:t>
      </w:r>
      <w:r w:rsidRPr="00FA0083">
        <w:rPr>
          <w:i/>
        </w:rPr>
        <w:t>Agonizing Serpens (Aka Agrius) Targeting the Israeli Higher Education and Tech Sectors</w:t>
      </w:r>
      <w:r w:rsidRPr="00FA0083">
        <w:t xml:space="preserve">, </w:t>
      </w:r>
      <w:hyperlink r:id="rId44" w:history="1">
        <w:r w:rsidRPr="00FA0083">
          <w:rPr>
            <w:rStyle w:val="Hyperlink"/>
          </w:rPr>
          <w:t>https://unit42.paloaltonetworks.com/agonizing-serpens-targets-israeli-tech-higher-ed-sectors/</w:t>
        </w:r>
      </w:hyperlink>
      <w:r w:rsidRPr="00FA0083">
        <w:t xml:space="preserve">, Mandiant, </w:t>
      </w:r>
      <w:r w:rsidRPr="00FA0083">
        <w:rPr>
          <w:i/>
        </w:rPr>
        <w:t>The GRU's Disruptive Playbook</w:t>
      </w:r>
      <w:r w:rsidRPr="00FA0083">
        <w:t xml:space="preserve">, </w:t>
      </w:r>
      <w:hyperlink r:id="rId45" w:history="1">
        <w:r w:rsidRPr="00FA0083">
          <w:rPr>
            <w:rStyle w:val="Hyperlink"/>
          </w:rPr>
          <w:t>https://www.mandiant.com/resources/blog/gru-disruptive-playbook</w:t>
        </w:r>
      </w:hyperlink>
      <w:r w:rsidRPr="00FA0083">
        <w:t xml:space="preserve"> or Reuters, </w:t>
      </w:r>
      <w:r w:rsidRPr="00FA0083">
        <w:rPr>
          <w:i/>
        </w:rPr>
        <w:t>North Korea hacking teams hack South Korea defence contractors - police</w:t>
      </w:r>
      <w:r w:rsidRPr="00FA0083">
        <w:t xml:space="preserve"> </w:t>
      </w:r>
      <w:hyperlink r:id="rId46" w:history="1">
        <w:r w:rsidRPr="00FA0083">
          <w:rPr>
            <w:rStyle w:val="Hyperlink"/>
          </w:rPr>
          <w:t>https://www.reuters.com/technology/cybersecurity/north-korea-hacking-teams-hack-south-korea-defence-contractors-police-2024-04-23/</w:t>
        </w:r>
      </w:hyperlink>
      <w:r w:rsidRPr="00FA0083">
        <w:t>.</w:t>
      </w:r>
    </w:p>
  </w:footnote>
  <w:footnote w:id="73">
    <w:p w14:paraId="57E81A54" w14:textId="77777777" w:rsidR="0064058B" w:rsidRPr="00FA0083" w:rsidRDefault="0064058B" w:rsidP="0064058B">
      <w:pPr>
        <w:pStyle w:val="FootnoteText"/>
      </w:pPr>
      <w:r w:rsidRPr="00FA0083">
        <w:rPr>
          <w:rStyle w:val="FootnoteReference"/>
        </w:rPr>
        <w:footnoteRef/>
      </w:r>
      <w:r w:rsidRPr="00FA0083">
        <w:t xml:space="preserve"> Cybersecurity and Infrastructure Security Agency, </w:t>
      </w:r>
      <w:r w:rsidRPr="00FA0083">
        <w:rPr>
          <w:i/>
        </w:rPr>
        <w:t>People's Republic of China State-Sponsored Cyber Actor Living off the Land to Evade Detection</w:t>
      </w:r>
      <w:r w:rsidRPr="00FA0083">
        <w:t xml:space="preserve">,  </w:t>
      </w:r>
      <w:hyperlink r:id="rId47" w:history="1">
        <w:r w:rsidRPr="00FA0083">
          <w:rPr>
            <w:rStyle w:val="Hyperlink"/>
          </w:rPr>
          <w:t>https://www.cisa.gov/news-events/cybersecurity-advisories/aa23-144a</w:t>
        </w:r>
      </w:hyperlink>
      <w:r w:rsidRPr="00FA0083">
        <w:t>.</w:t>
      </w:r>
      <w:r w:rsidRPr="00FA0083" w:rsidDel="00384306">
        <w:t xml:space="preserve"> </w:t>
      </w:r>
      <w:r w:rsidRPr="00FA0083">
        <w:t xml:space="preserve"> </w:t>
      </w:r>
    </w:p>
  </w:footnote>
  <w:footnote w:id="74">
    <w:p w14:paraId="7E46FDA0" w14:textId="77777777" w:rsidR="0064058B" w:rsidRPr="00FA0083" w:rsidRDefault="0064058B" w:rsidP="0064058B">
      <w:pPr>
        <w:pStyle w:val="FootnoteText"/>
      </w:pPr>
      <w:r w:rsidRPr="00FA0083">
        <w:rPr>
          <w:rStyle w:val="FootnoteReference"/>
        </w:rPr>
        <w:footnoteRef/>
      </w:r>
      <w:r w:rsidRPr="00FA0083">
        <w:t xml:space="preserve"> Council on Foreign Relations, </w:t>
      </w:r>
      <w:r w:rsidRPr="00FA0083">
        <w:rPr>
          <w:i/>
        </w:rPr>
        <w:t>China’s approach to global governance</w:t>
      </w:r>
      <w:r w:rsidRPr="00FA0083">
        <w:t xml:space="preserve">,  </w:t>
      </w:r>
      <w:hyperlink r:id="rId48" w:history="1">
        <w:r w:rsidRPr="00FA0083">
          <w:rPr>
            <w:rStyle w:val="Hyperlink"/>
          </w:rPr>
          <w:t>https://www.cfr.org/china-global-governance/</w:t>
        </w:r>
      </w:hyperlink>
      <w:r w:rsidRPr="00FA0083">
        <w:t>.</w:t>
      </w:r>
    </w:p>
  </w:footnote>
  <w:footnote w:id="75">
    <w:p w14:paraId="3DF948C5" w14:textId="13CBBFB9" w:rsidR="00597471" w:rsidRPr="00FA0083" w:rsidRDefault="00597471">
      <w:pPr>
        <w:pStyle w:val="FootnoteText"/>
      </w:pPr>
      <w:r w:rsidRPr="00FA0083">
        <w:rPr>
          <w:rStyle w:val="FootnoteReference"/>
        </w:rPr>
        <w:footnoteRef/>
      </w:r>
      <w:r w:rsidRPr="00FA0083">
        <w:t xml:space="preserve"> </w:t>
      </w:r>
      <w:r w:rsidR="00E90782" w:rsidRPr="00FA0083">
        <w:rPr>
          <w:rFonts w:eastAsia="Times New Roman"/>
        </w:rPr>
        <w:t xml:space="preserve">ENISA, </w:t>
      </w:r>
      <w:r w:rsidR="00E90782" w:rsidRPr="00FA0083">
        <w:rPr>
          <w:rFonts w:eastAsia="Times New Roman"/>
          <w:i/>
        </w:rPr>
        <w:t>ENISA Threat Landscape 2024</w:t>
      </w:r>
      <w:r w:rsidR="00E90782" w:rsidRPr="00FA0083">
        <w:rPr>
          <w:rFonts w:eastAsia="Times New Roman"/>
        </w:rPr>
        <w:t xml:space="preserve">, </w:t>
      </w:r>
      <w:hyperlink r:id="rId49">
        <w:r w:rsidR="00E90782" w:rsidRPr="00FA0083">
          <w:rPr>
            <w:rStyle w:val="Hyperlink"/>
            <w:rFonts w:eastAsia="Times New Roman"/>
          </w:rPr>
          <w:t>https://www.enisa.europa.eu/publications/enisa-threat-landscape-2024</w:t>
        </w:r>
      </w:hyperlink>
      <w:r w:rsidR="00E90782" w:rsidRPr="00FA0083">
        <w:rPr>
          <w:rFonts w:eastAsia="Times New Roman"/>
        </w:rPr>
        <w:t>.</w:t>
      </w:r>
    </w:p>
  </w:footnote>
  <w:footnote w:id="76">
    <w:p w14:paraId="20288D10" w14:textId="0F43C0B5" w:rsidR="00D65A81" w:rsidRPr="00FA0083" w:rsidDel="00220D45" w:rsidRDefault="00D65A81">
      <w:pPr>
        <w:pStyle w:val="FootnoteText"/>
        <w:rPr>
          <w:lang w:val="en-IE"/>
        </w:rPr>
      </w:pPr>
      <w:r w:rsidRPr="00FA0083" w:rsidDel="00220D45">
        <w:rPr>
          <w:rStyle w:val="FootnoteReference"/>
        </w:rPr>
        <w:footnoteRef/>
      </w:r>
      <w:r w:rsidR="00220D45" w:rsidRPr="00FA0083">
        <w:t xml:space="preserve"> </w:t>
      </w:r>
      <w:r w:rsidR="00E90782" w:rsidRPr="00FA0083">
        <w:t xml:space="preserve">ISC2, </w:t>
      </w:r>
      <w:r w:rsidR="00E90782" w:rsidRPr="00FA0083">
        <w:rPr>
          <w:i/>
        </w:rPr>
        <w:t>First Look at the 2024 Cybersecurity Workforce Survey</w:t>
      </w:r>
      <w:r w:rsidR="00E90782" w:rsidRPr="00FA0083">
        <w:t xml:space="preserve">, </w:t>
      </w:r>
      <w:hyperlink r:id="rId50" w:history="1">
        <w:r w:rsidR="00E90782" w:rsidRPr="00FA0083">
          <w:rPr>
            <w:rStyle w:val="Hyperlink"/>
          </w:rPr>
          <w:t>https://digital-skills-jobs.europa.eu/system/files/2024-12/ISC2_Workfoce-Study-Findings-EU.pdf</w:t>
        </w:r>
      </w:hyperlink>
      <w:r w:rsidR="00E90782" w:rsidRPr="00FA0083">
        <w:t>.</w:t>
      </w:r>
    </w:p>
  </w:footnote>
  <w:footnote w:id="77">
    <w:p w14:paraId="4E7ABE7A" w14:textId="7B362D36" w:rsidR="0095296C" w:rsidRPr="00FA0083" w:rsidDel="00220D45" w:rsidRDefault="0095296C" w:rsidP="0095296C">
      <w:pPr>
        <w:pStyle w:val="FootnoteText"/>
        <w:rPr>
          <w:lang w:val="en-IE"/>
        </w:rPr>
      </w:pPr>
      <w:r w:rsidRPr="00FA0083" w:rsidDel="00220D45">
        <w:rPr>
          <w:rStyle w:val="FootnoteReference"/>
        </w:rPr>
        <w:footnoteRef/>
      </w:r>
      <w:r w:rsidR="00220D45" w:rsidRPr="00FA0083">
        <w:t xml:space="preserve"> </w:t>
      </w:r>
      <w:r w:rsidR="00D72D70" w:rsidRPr="00FA0083">
        <w:t xml:space="preserve">WEF, </w:t>
      </w:r>
      <w:r w:rsidR="00D72D70" w:rsidRPr="00FA0083">
        <w:rPr>
          <w:i/>
        </w:rPr>
        <w:t>Global Cybersecurity Outlook 2025</w:t>
      </w:r>
      <w:r w:rsidR="00D72D70" w:rsidRPr="00FA0083">
        <w:t xml:space="preserve">, </w:t>
      </w:r>
      <w:hyperlink r:id="rId51" w:history="1">
        <w:r w:rsidR="00D72D70" w:rsidRPr="00FA0083">
          <w:rPr>
            <w:rStyle w:val="Hyperlink"/>
          </w:rPr>
          <w:t>https://reports.weforum.org/docs/</w:t>
        </w:r>
        <w:r w:rsidR="00220D45" w:rsidRPr="00FA0083">
          <w:rPr>
            <w:rStyle w:val="Hyperlink"/>
          </w:rPr>
          <w:t>WEF_Global_Cybersecurity_Outlook_2025.pdf</w:t>
        </w:r>
      </w:hyperlink>
      <w:r w:rsidR="00D72D70" w:rsidRPr="00FA0083">
        <w:t>.</w:t>
      </w:r>
    </w:p>
  </w:footnote>
  <w:footnote w:id="78">
    <w:p w14:paraId="3319EF3C" w14:textId="4A36E02E" w:rsidR="0047430B" w:rsidRPr="00FA0083" w:rsidRDefault="0047430B">
      <w:pPr>
        <w:pStyle w:val="FootnoteText"/>
        <w:rPr>
          <w:lang w:val="en-IE"/>
        </w:rPr>
      </w:pPr>
      <w:r w:rsidRPr="00FA0083">
        <w:rPr>
          <w:rStyle w:val="FootnoteReference"/>
        </w:rPr>
        <w:footnoteRef/>
      </w:r>
      <w:r w:rsidRPr="00FA0083">
        <w:t xml:space="preserve"> </w:t>
      </w:r>
      <w:r w:rsidRPr="00FA0083">
        <w:rPr>
          <w:rFonts w:eastAsia="Arial"/>
        </w:rPr>
        <w:t>COM(2020)66 final</w:t>
      </w:r>
      <w:r w:rsidR="000A362D" w:rsidRPr="00FA0083">
        <w:rPr>
          <w:rFonts w:eastAsia="Arial"/>
        </w:rPr>
        <w:t>.</w:t>
      </w:r>
    </w:p>
  </w:footnote>
  <w:footnote w:id="79">
    <w:p w14:paraId="34AA8468" w14:textId="3DC50492" w:rsidR="00081B06" w:rsidRPr="00FA0083" w:rsidRDefault="00081B06" w:rsidP="00081B06">
      <w:pPr>
        <w:pStyle w:val="FootnoteText"/>
        <w:rPr>
          <w:lang w:val="en-IE"/>
        </w:rPr>
      </w:pPr>
      <w:r w:rsidRPr="00FA0083">
        <w:rPr>
          <w:rStyle w:val="FootnoteReference"/>
        </w:rPr>
        <w:footnoteRef/>
      </w:r>
      <w:r w:rsidRPr="00FA0083">
        <w:t xml:space="preserve"> </w:t>
      </w:r>
      <w:r w:rsidR="000A362D" w:rsidRPr="00FA0083">
        <w:t>2024 Evaluation report.</w:t>
      </w:r>
    </w:p>
  </w:footnote>
  <w:footnote w:id="80">
    <w:p w14:paraId="433158F3" w14:textId="77777777" w:rsidR="00D10E17" w:rsidRPr="00FA0083" w:rsidRDefault="00D10E17" w:rsidP="00D10E17">
      <w:pPr>
        <w:pStyle w:val="FootnoteText"/>
      </w:pPr>
      <w:r w:rsidRPr="00FA0083">
        <w:rPr>
          <w:rStyle w:val="FootnoteReference"/>
        </w:rPr>
        <w:footnoteRef/>
      </w:r>
      <w:r w:rsidRPr="00FA0083">
        <w:t xml:space="preserve"> Centre on Regulation in Europe (CERRE), </w:t>
      </w:r>
      <w:r w:rsidRPr="00FA0083">
        <w:rPr>
          <w:i/>
          <w:iCs/>
        </w:rPr>
        <w:t>Digital Industrial Policy for Europe</w:t>
      </w:r>
      <w:r w:rsidRPr="00FA0083">
        <w:t xml:space="preserve">, </w:t>
      </w:r>
      <w:hyperlink r:id="rId52" w:history="1">
        <w:r w:rsidRPr="00FA0083">
          <w:rPr>
            <w:rStyle w:val="Hyperlink"/>
          </w:rPr>
          <w:t>https://cerre.eu/publications/digital-industrial-policy-for-europe</w:t>
        </w:r>
      </w:hyperlink>
      <w:r w:rsidRPr="00FA0083">
        <w:t>.</w:t>
      </w:r>
    </w:p>
  </w:footnote>
  <w:footnote w:id="81">
    <w:p w14:paraId="572E3D9D" w14:textId="77777777" w:rsidR="00D10E17" w:rsidRPr="00FA0083" w:rsidRDefault="00D10E17" w:rsidP="00D10E17">
      <w:pPr>
        <w:pStyle w:val="FootnoteText"/>
      </w:pPr>
      <w:r w:rsidRPr="00FA0083">
        <w:rPr>
          <w:rStyle w:val="FootnoteReference"/>
        </w:rPr>
        <w:footnoteRef/>
      </w:r>
      <w:r w:rsidRPr="00FA0083">
        <w:t xml:space="preserve"> Report from the European Submarine Cables Expert Group to be published in September 2025.</w:t>
      </w:r>
    </w:p>
  </w:footnote>
  <w:footnote w:id="82">
    <w:p w14:paraId="23FE99FC" w14:textId="77777777" w:rsidR="00D10E17" w:rsidRPr="00FA0083" w:rsidRDefault="00D10E17" w:rsidP="00D10E17">
      <w:pPr>
        <w:pStyle w:val="FootnoteText"/>
      </w:pPr>
      <w:r w:rsidRPr="00FA0083">
        <w:rPr>
          <w:rStyle w:val="FootnoteReference"/>
        </w:rPr>
        <w:footnoteRef/>
      </w:r>
      <w:r w:rsidRPr="00FA0083">
        <w:t xml:space="preserve"> COM/2025/148 final.</w:t>
      </w:r>
    </w:p>
  </w:footnote>
  <w:footnote w:id="83">
    <w:p w14:paraId="79662C3D" w14:textId="77777777" w:rsidR="00D10E17" w:rsidRPr="00FA0083" w:rsidRDefault="00D10E17" w:rsidP="00D10E17">
      <w:pPr>
        <w:pStyle w:val="FootnoteText"/>
      </w:pPr>
      <w:r w:rsidRPr="00FA0083">
        <w:rPr>
          <w:rStyle w:val="FootnoteReference"/>
        </w:rPr>
        <w:footnoteRef/>
      </w:r>
      <w:r w:rsidRPr="00FA0083">
        <w:t xml:space="preserve"> Strand Consult, </w:t>
      </w:r>
      <w:r w:rsidRPr="00FA0083">
        <w:rPr>
          <w:i/>
        </w:rPr>
        <w:t>The Market for 5G RAN in Europe: Share of Chinese and Non-Chinese Vendors in 31 European Countries,</w:t>
      </w:r>
      <w:r w:rsidRPr="00FA0083">
        <w:t xml:space="preserve"> </w:t>
      </w:r>
      <w:hyperlink r:id="rId53" w:history="1">
        <w:r w:rsidRPr="00FA0083">
          <w:rPr>
            <w:rStyle w:val="Hyperlink"/>
          </w:rPr>
          <w:t>https://strandconsult.dk/the-market-for-5g-ran-in-europe-share-of-chinese-and-non-chinese-vendors-in-31-european-countries/</w:t>
        </w:r>
      </w:hyperlink>
      <w:r w:rsidRPr="00FA0083">
        <w:t>.</w:t>
      </w:r>
    </w:p>
  </w:footnote>
  <w:footnote w:id="84">
    <w:p w14:paraId="5FBC1C3D" w14:textId="77777777" w:rsidR="00D10E17" w:rsidRPr="00FA0083" w:rsidRDefault="00D10E17" w:rsidP="00D10E17">
      <w:pPr>
        <w:pStyle w:val="FootnoteText"/>
      </w:pPr>
      <w:r w:rsidRPr="00FA0083">
        <w:rPr>
          <w:rStyle w:val="FootnoteReference"/>
        </w:rPr>
        <w:footnoteRef/>
      </w:r>
      <w:r w:rsidRPr="00FA0083">
        <w:t xml:space="preserve"> NIS Cooperation Group, </w:t>
      </w:r>
      <w:r w:rsidRPr="00FA0083">
        <w:rPr>
          <w:i/>
          <w:iCs/>
        </w:rPr>
        <w:t>EU cybersecurity risk evaluation and scenarios for the telecommunications and electricity sectors</w:t>
      </w:r>
      <w:r w:rsidRPr="00FA0083">
        <w:t xml:space="preserve">,  </w:t>
      </w:r>
      <w:hyperlink r:id="rId54" w:history="1">
        <w:r w:rsidRPr="00FA0083">
          <w:rPr>
            <w:rStyle w:val="Hyperlink"/>
          </w:rPr>
          <w:t>https://digital-strategy.ec.europa.eu/en/news/risk-assessment-report-cyber-resilience-eus-telecommunications-and-electricity-sectors</w:t>
        </w:r>
      </w:hyperlink>
      <w:r w:rsidRPr="00FA0083">
        <w:t>.</w:t>
      </w:r>
    </w:p>
  </w:footnote>
  <w:footnote w:id="85">
    <w:p w14:paraId="4E944892" w14:textId="77777777" w:rsidR="00D10E17" w:rsidRPr="00FA0083" w:rsidRDefault="00D10E17" w:rsidP="00D10E17">
      <w:pPr>
        <w:pStyle w:val="FootnoteText"/>
        <w:rPr>
          <w:lang w:val="en-IE"/>
        </w:rPr>
      </w:pPr>
      <w:r w:rsidRPr="00FA0083">
        <w:rPr>
          <w:rStyle w:val="FootnoteReference"/>
        </w:rPr>
        <w:footnoteRef/>
      </w:r>
      <w:r w:rsidRPr="00FA0083">
        <w:t xml:space="preserve"> Strand Consult, </w:t>
      </w:r>
      <w:r w:rsidRPr="00FA0083">
        <w:rPr>
          <w:i/>
        </w:rPr>
        <w:t>The Market for 5G RAN in Europe: Share of Chinese and Non-Chinese Vendors in 31 European Countries,</w:t>
      </w:r>
      <w:r w:rsidRPr="00FA0083">
        <w:t xml:space="preserve"> </w:t>
      </w:r>
      <w:hyperlink r:id="rId55" w:history="1">
        <w:r w:rsidRPr="00FA0083">
          <w:rPr>
            <w:rStyle w:val="Hyperlink"/>
          </w:rPr>
          <w:t>https://strandconsult.dk/the-market-for-5g-ran-in-europe-share-of-chinese-and-non-chinese-vendors-in-31-european-countries/</w:t>
        </w:r>
      </w:hyperlink>
      <w:r w:rsidRPr="00FA0083">
        <w:t>.</w:t>
      </w:r>
    </w:p>
  </w:footnote>
  <w:footnote w:id="86">
    <w:p w14:paraId="29B0DEE9" w14:textId="77777777" w:rsidR="00D10E17" w:rsidRPr="00FA0083" w:rsidRDefault="00D10E17" w:rsidP="00D10E17">
      <w:pPr>
        <w:pStyle w:val="FootnoteText"/>
      </w:pPr>
      <w:r w:rsidRPr="00FA0083">
        <w:rPr>
          <w:rStyle w:val="FootnoteReference"/>
        </w:rPr>
        <w:footnoteRef/>
      </w:r>
      <w:r w:rsidRPr="00FA0083">
        <w:t xml:space="preserve"> SolarPower Europe, </w:t>
      </w:r>
      <w:r w:rsidRPr="00FA0083">
        <w:rPr>
          <w:i/>
          <w:iCs/>
        </w:rPr>
        <w:t>Inverters Explained</w:t>
      </w:r>
      <w:r w:rsidRPr="00FA0083">
        <w:t xml:space="preserve">,  </w:t>
      </w:r>
      <w:hyperlink r:id="rId56" w:history="1">
        <w:r w:rsidRPr="00FA0083">
          <w:rPr>
            <w:rStyle w:val="Hyperlink"/>
          </w:rPr>
          <w:t>https://www.solarpowereurope.org/advocacy/position-papers/inverters-explained</w:t>
        </w:r>
      </w:hyperlink>
      <w:r w:rsidRPr="00FA0083">
        <w:t>.</w:t>
      </w:r>
    </w:p>
  </w:footnote>
  <w:footnote w:id="87">
    <w:p w14:paraId="01644A45" w14:textId="77777777" w:rsidR="00D10E17" w:rsidRPr="00FA0083" w:rsidRDefault="00D10E17" w:rsidP="00D10E17">
      <w:pPr>
        <w:pStyle w:val="FootnoteText"/>
      </w:pPr>
      <w:r w:rsidRPr="00FA0083">
        <w:rPr>
          <w:rStyle w:val="FootnoteReference"/>
        </w:rPr>
        <w:footnoteRef/>
      </w:r>
      <w:r w:rsidRPr="00FA0083">
        <w:t xml:space="preserve"> Wood Mackenzie, </w:t>
      </w:r>
      <w:r w:rsidRPr="00FA0083">
        <w:rPr>
          <w:i/>
          <w:iCs/>
        </w:rPr>
        <w:t>Global PV inverter shipments grew by 56% in 2023 to 536 GW</w:t>
      </w:r>
      <w:r w:rsidRPr="00FA0083">
        <w:t xml:space="preserve">, </w:t>
      </w:r>
      <w:hyperlink r:id="rId57" w:history="1">
        <w:r w:rsidRPr="00FA0083">
          <w:rPr>
            <w:rStyle w:val="Hyperlink"/>
          </w:rPr>
          <w:t>https://www.woodmac.com/press-releases/2024-press-releases/global-pv-inverter-shipments-grew-by-56-in-2023-to-536-gwac</w:t>
        </w:r>
      </w:hyperlink>
      <w:r w:rsidRPr="00FA0083">
        <w:t>.</w:t>
      </w:r>
    </w:p>
  </w:footnote>
  <w:footnote w:id="88">
    <w:p w14:paraId="7F81E053" w14:textId="77777777" w:rsidR="00D10E17" w:rsidRPr="00FA0083" w:rsidRDefault="00D10E17" w:rsidP="00D10E17">
      <w:pPr>
        <w:pStyle w:val="FootnoteText"/>
      </w:pPr>
      <w:r w:rsidRPr="00FA0083">
        <w:rPr>
          <w:rStyle w:val="FootnoteReference"/>
        </w:rPr>
        <w:footnoteRef/>
      </w:r>
      <w:r w:rsidRPr="00FA0083">
        <w:t xml:space="preserve"> SolarPower Europe, </w:t>
      </w:r>
      <w:r w:rsidRPr="00FA0083">
        <w:rPr>
          <w:i/>
          <w:iCs/>
        </w:rPr>
        <w:t>Solutions for PV Cyber Risks to Grid Stability</w:t>
      </w:r>
      <w:r w:rsidRPr="00FA0083">
        <w:t xml:space="preserve">, </w:t>
      </w:r>
      <w:hyperlink r:id="rId58" w:history="1">
        <w:r w:rsidRPr="00FA0083">
          <w:rPr>
            <w:rStyle w:val="Hyperlink"/>
          </w:rPr>
          <w:t>https://api.solarpowereurope.org/uploads/SPE_2025_Solutions_for_PV_Cyber_Risks_to_Grid_Stability_032dc2ae5a.pdf?updated_at=2025-04-29T07:11:32.315Z</w:t>
        </w:r>
      </w:hyperlink>
      <w:r w:rsidRPr="00FA0083">
        <w:t>.</w:t>
      </w:r>
    </w:p>
  </w:footnote>
  <w:footnote w:id="89">
    <w:p w14:paraId="3487D740" w14:textId="77777777" w:rsidR="00D10E17" w:rsidRPr="00FA0083" w:rsidRDefault="00D10E17" w:rsidP="00D10E17">
      <w:pPr>
        <w:pStyle w:val="FootnoteText"/>
        <w:rPr>
          <w:lang w:val="cs-CZ"/>
        </w:rPr>
      </w:pPr>
      <w:r w:rsidRPr="00FA0083">
        <w:rPr>
          <w:rStyle w:val="FootnoteReference"/>
        </w:rPr>
        <w:footnoteRef/>
      </w:r>
      <w:r w:rsidRPr="00FA0083">
        <w:t xml:space="preserve"> European Solar Manufacturing Council, </w:t>
      </w:r>
      <w:r w:rsidRPr="00FA0083">
        <w:rPr>
          <w:i/>
          <w:iCs/>
        </w:rPr>
        <w:t>Restrict Remote Access of PV Inverters from High-Risk Vendors</w:t>
      </w:r>
      <w:r w:rsidRPr="00FA0083">
        <w:t xml:space="preserve">, </w:t>
      </w:r>
      <w:hyperlink r:id="rId59" w:history="1">
        <w:r w:rsidRPr="00FA0083">
          <w:rPr>
            <w:rStyle w:val="Hyperlink"/>
          </w:rPr>
          <w:t>https://esmc.solar/restrict-remote-access-of-pv-inverters-from-high-risk-vendors/</w:t>
        </w:r>
      </w:hyperlink>
      <w:r w:rsidRPr="00FA0083">
        <w:t>.</w:t>
      </w:r>
    </w:p>
  </w:footnote>
  <w:footnote w:id="90">
    <w:p w14:paraId="5A598472" w14:textId="77777777" w:rsidR="00D10E17" w:rsidRPr="00FA0083" w:rsidRDefault="00D10E17" w:rsidP="00D10E17">
      <w:pPr>
        <w:pStyle w:val="FootnoteText"/>
        <w:rPr>
          <w:lang w:val="cs-CZ"/>
        </w:rPr>
      </w:pPr>
      <w:r w:rsidRPr="00FA0083">
        <w:rPr>
          <w:rStyle w:val="FootnoteReference"/>
        </w:rPr>
        <w:footnoteRef/>
      </w:r>
      <w:r w:rsidRPr="00FA0083">
        <w:rPr>
          <w:lang w:val="cs-CZ"/>
        </w:rPr>
        <w:t xml:space="preserve"> Reuters, </w:t>
      </w:r>
      <w:r w:rsidRPr="00FA0083">
        <w:rPr>
          <w:i/>
          <w:iCs/>
          <w:lang w:val="cs-CZ"/>
        </w:rPr>
        <w:t>Rogue communication devices found in Chinese solar power inverters</w:t>
      </w:r>
      <w:r w:rsidRPr="00FA0083">
        <w:rPr>
          <w:lang w:val="cs-CZ"/>
        </w:rPr>
        <w:t xml:space="preserve">, </w:t>
      </w:r>
      <w:hyperlink r:id="rId60" w:history="1">
        <w:r w:rsidRPr="00FA0083">
          <w:rPr>
            <w:rStyle w:val="Hyperlink"/>
            <w:lang w:val="cs-CZ"/>
          </w:rPr>
          <w:t>https://www.reuters.com/sustainability/climate-energy/ghost-machine-rogue-communication-devices-found-chinese-inverters-2025-05-14/</w:t>
        </w:r>
      </w:hyperlink>
      <w:r w:rsidRPr="00FA0083">
        <w:rPr>
          <w:lang w:val="cs-CZ"/>
        </w:rPr>
        <w:t>.</w:t>
      </w:r>
    </w:p>
  </w:footnote>
  <w:footnote w:id="91">
    <w:p w14:paraId="373AED38" w14:textId="77777777" w:rsidR="00D10E17" w:rsidRPr="00FA0083" w:rsidRDefault="00D10E17" w:rsidP="00D10E17">
      <w:pPr>
        <w:pStyle w:val="FootnoteText"/>
      </w:pPr>
      <w:r w:rsidRPr="00FA0083">
        <w:rPr>
          <w:rStyle w:val="FootnoteReference"/>
        </w:rPr>
        <w:footnoteRef/>
      </w:r>
      <w:r w:rsidRPr="00FA0083">
        <w:t xml:space="preserve"> Ibid.</w:t>
      </w:r>
    </w:p>
  </w:footnote>
  <w:footnote w:id="92">
    <w:p w14:paraId="6AAB5515" w14:textId="77777777" w:rsidR="00D10E17" w:rsidRPr="00FA0083" w:rsidRDefault="00D10E17" w:rsidP="00D10E17">
      <w:pPr>
        <w:pStyle w:val="FootnoteText"/>
      </w:pPr>
      <w:r w:rsidRPr="00FA0083">
        <w:rPr>
          <w:rStyle w:val="FootnoteReference"/>
        </w:rPr>
        <w:footnoteRef/>
      </w:r>
      <w:r w:rsidRPr="00FA0083">
        <w:t xml:space="preserve"> Homeland Security Today, </w:t>
      </w:r>
      <w:r w:rsidRPr="00FA0083">
        <w:rPr>
          <w:i/>
          <w:iCs/>
        </w:rPr>
        <w:t>China Is Studying How to Hack and Crash Our Power Grids</w:t>
      </w:r>
      <w:r w:rsidRPr="00FA0083">
        <w:t xml:space="preserve">, </w:t>
      </w:r>
      <w:hyperlink r:id="rId61" w:history="1">
        <w:r w:rsidRPr="00FA0083">
          <w:rPr>
            <w:rStyle w:val="Hyperlink"/>
          </w:rPr>
          <w:t>https://www.hstoday.us/subject-matter-areas/cybersecurity/china-is-studying-how-to-hack-and-crash-our-power-grids</w:t>
        </w:r>
      </w:hyperlink>
      <w:r w:rsidRPr="00FA0083">
        <w:t>.</w:t>
      </w:r>
    </w:p>
  </w:footnote>
  <w:footnote w:id="93">
    <w:p w14:paraId="0716EAAE" w14:textId="1E4E9A9D" w:rsidR="009C3958" w:rsidRPr="00FA0083" w:rsidRDefault="009C3958">
      <w:pPr>
        <w:pStyle w:val="FootnoteText"/>
      </w:pPr>
      <w:r w:rsidRPr="00FA0083">
        <w:rPr>
          <w:rStyle w:val="FootnoteReference"/>
        </w:rPr>
        <w:footnoteRef/>
      </w:r>
      <w:r w:rsidRPr="00FA0083">
        <w:t xml:space="preserve"> </w:t>
      </w:r>
      <w:r w:rsidR="000A362D" w:rsidRPr="00FA0083">
        <w:t>2024 Evaluation report.</w:t>
      </w:r>
    </w:p>
  </w:footnote>
  <w:footnote w:id="94">
    <w:p w14:paraId="6BC01E4A" w14:textId="77777777" w:rsidR="00C952AA" w:rsidRPr="00FA0083" w:rsidRDefault="00C952AA" w:rsidP="00C952AA">
      <w:pPr>
        <w:pStyle w:val="FootnoteText"/>
      </w:pPr>
      <w:r w:rsidRPr="00FA0083">
        <w:rPr>
          <w:rStyle w:val="FootnoteReference"/>
        </w:rPr>
        <w:footnoteRef/>
      </w:r>
      <w:r w:rsidRPr="00FA0083">
        <w:t xml:space="preserve"> The current CSA provides that </w:t>
      </w:r>
      <w:r w:rsidRPr="00FA0083">
        <w:rPr>
          <w:lang w:eastAsia="en-GB"/>
        </w:rPr>
        <w:t>one of the objectives of ENISA is “</w:t>
      </w:r>
      <w:r w:rsidRPr="00FA0083">
        <w:rPr>
          <w:i/>
          <w:lang w:eastAsia="en-GB"/>
        </w:rPr>
        <w:t>to assist stakeholders to develop skills and competencies in the field of cybersecurity</w:t>
      </w:r>
      <w:r w:rsidRPr="00FA0083">
        <w:rPr>
          <w:lang w:eastAsia="en-GB"/>
        </w:rPr>
        <w:t>” and refers to trainings that can be delivered to public entities.</w:t>
      </w:r>
    </w:p>
  </w:footnote>
  <w:footnote w:id="95">
    <w:p w14:paraId="4456FAD6" w14:textId="3B5C326B" w:rsidR="00C952AA" w:rsidRPr="00FA0083" w:rsidRDefault="00C952AA" w:rsidP="00C952AA">
      <w:pPr>
        <w:spacing w:after="0"/>
        <w:rPr>
          <w:rFonts w:eastAsia="Times New Roman"/>
          <w:sz w:val="20"/>
          <w:szCs w:val="20"/>
        </w:rPr>
      </w:pPr>
      <w:r w:rsidRPr="00FA0083">
        <w:rPr>
          <w:sz w:val="20"/>
          <w:szCs w:val="20"/>
          <w:vertAlign w:val="superscript"/>
        </w:rPr>
        <w:footnoteRef/>
      </w:r>
      <w:r w:rsidRPr="00FA0083">
        <w:rPr>
          <w:sz w:val="20"/>
          <w:szCs w:val="20"/>
          <w:vertAlign w:val="superscript"/>
        </w:rPr>
        <w:t xml:space="preserve"> </w:t>
      </w:r>
      <w:r w:rsidRPr="00FA0083">
        <w:rPr>
          <w:sz w:val="20"/>
          <w:szCs w:val="20"/>
        </w:rPr>
        <w:t xml:space="preserve">Eurobarometer (2023) Flash Eurobarometer 547 on Cyberskills, </w:t>
      </w:r>
      <w:hyperlink r:id="rId62" w:history="1">
        <w:r w:rsidRPr="00FA0083">
          <w:rPr>
            <w:rStyle w:val="Hyperlink"/>
            <w:rFonts w:eastAsia="Times New Roman"/>
            <w:sz w:val="20"/>
            <w:szCs w:val="20"/>
          </w:rPr>
          <w:t>https://europa.eu/eurobarometer/surveys/detail/3176</w:t>
        </w:r>
      </w:hyperlink>
      <w:r w:rsidR="00C76922" w:rsidRPr="00FA0083">
        <w:rPr>
          <w:sz w:val="20"/>
          <w:szCs w:val="20"/>
        </w:rPr>
        <w:t>.</w:t>
      </w:r>
    </w:p>
  </w:footnote>
  <w:footnote w:id="96">
    <w:p w14:paraId="7341C286" w14:textId="77777777" w:rsidR="003C2547" w:rsidRPr="00FA0083" w:rsidRDefault="003C2547" w:rsidP="003C2547">
      <w:pPr>
        <w:spacing w:after="0"/>
        <w:rPr>
          <w:sz w:val="20"/>
          <w:szCs w:val="20"/>
        </w:rPr>
      </w:pPr>
      <w:r w:rsidRPr="00FA0083">
        <w:rPr>
          <w:rStyle w:val="FootnoteReference"/>
          <w:rFonts w:eastAsiaTheme="minorEastAsia"/>
          <w:sz w:val="20"/>
          <w:szCs w:val="20"/>
        </w:rPr>
        <w:footnoteRef/>
      </w:r>
      <w:r w:rsidRPr="00FA0083">
        <w:rPr>
          <w:rStyle w:val="FootnoteReference"/>
          <w:sz w:val="20"/>
          <w:szCs w:val="20"/>
        </w:rPr>
        <w:t xml:space="preserve"> </w:t>
      </w:r>
      <w:r w:rsidRPr="00FA0083">
        <w:rPr>
          <w:sz w:val="20"/>
          <w:szCs w:val="20"/>
        </w:rPr>
        <w:t xml:space="preserve">See ENISA, </w:t>
      </w:r>
      <w:r w:rsidRPr="00FA0083">
        <w:rPr>
          <w:i/>
          <w:sz w:val="20"/>
          <w:szCs w:val="20"/>
        </w:rPr>
        <w:t>2024 Consolidated Annual Activity Report</w:t>
      </w:r>
      <w:r w:rsidRPr="00FA0083">
        <w:rPr>
          <w:sz w:val="20"/>
          <w:szCs w:val="20"/>
        </w:rPr>
        <w:t xml:space="preserve">, </w:t>
      </w:r>
      <w:hyperlink r:id="rId63" w:history="1">
        <w:r w:rsidRPr="00FA0083">
          <w:rPr>
            <w:rStyle w:val="Hyperlink"/>
            <w:sz w:val="20"/>
            <w:szCs w:val="20"/>
          </w:rPr>
          <w:t>https://enisa.europa.eu/sites/default/files/2025-07/Consolidated%20Annual%20Activity%20Report%202024.pdf</w:t>
        </w:r>
      </w:hyperlink>
      <w:r w:rsidRPr="00FA0083">
        <w:rPr>
          <w:sz w:val="20"/>
          <w:szCs w:val="20"/>
        </w:rPr>
        <w:t xml:space="preserve">, </w:t>
      </w:r>
      <w:r w:rsidRPr="00FA0083">
        <w:rPr>
          <w:rFonts w:eastAsiaTheme="minorEastAsia"/>
          <w:sz w:val="20"/>
          <w:szCs w:val="20"/>
        </w:rPr>
        <w:t>which identifies “leading the process for the attestation of skills” as one of the eleven tasks associated to “Support the implementation and uptake of EU cybersecurity skills framework” while considering it “a high priority task”.</w:t>
      </w:r>
    </w:p>
  </w:footnote>
  <w:footnote w:id="97">
    <w:p w14:paraId="4D0915AF" w14:textId="5722CC2E" w:rsidR="1283F1E4" w:rsidRPr="00FA0083" w:rsidRDefault="1283F1E4" w:rsidP="00882A65">
      <w:pPr>
        <w:spacing w:after="0"/>
        <w:rPr>
          <w:rFonts w:eastAsia="Times New Roman"/>
          <w:sz w:val="20"/>
          <w:szCs w:val="20"/>
        </w:rPr>
      </w:pPr>
      <w:r w:rsidRPr="00FA0083">
        <w:rPr>
          <w:sz w:val="20"/>
          <w:szCs w:val="20"/>
          <w:vertAlign w:val="superscript"/>
        </w:rPr>
        <w:footnoteRef/>
      </w:r>
      <w:r w:rsidRPr="00FA0083">
        <w:rPr>
          <w:sz w:val="20"/>
          <w:szCs w:val="20"/>
          <w:vertAlign w:val="superscript"/>
        </w:rPr>
        <w:t xml:space="preserve"> </w:t>
      </w:r>
      <w:r w:rsidRPr="00FA0083">
        <w:rPr>
          <w:sz w:val="20"/>
          <w:szCs w:val="20"/>
        </w:rPr>
        <w:t>S</w:t>
      </w:r>
      <w:r w:rsidRPr="00FA0083">
        <w:rPr>
          <w:rFonts w:eastAsia="Times New Roman"/>
          <w:color w:val="1F2427"/>
          <w:sz w:val="20"/>
          <w:szCs w:val="20"/>
        </w:rPr>
        <w:t>ee point 3</w:t>
      </w:r>
      <w:r w:rsidR="00C76922" w:rsidRPr="00FA0083">
        <w:rPr>
          <w:rFonts w:eastAsia="Times New Roman"/>
          <w:color w:val="1F2427"/>
          <w:sz w:val="20"/>
          <w:szCs w:val="20"/>
        </w:rPr>
        <w:t>,</w:t>
      </w:r>
      <w:r w:rsidRPr="00FA0083">
        <w:rPr>
          <w:rFonts w:eastAsia="Times New Roman"/>
          <w:color w:val="1F2427"/>
          <w:sz w:val="20"/>
          <w:szCs w:val="20"/>
        </w:rPr>
        <w:t xml:space="preserve"> </w:t>
      </w:r>
      <w:r w:rsidRPr="00FA0083">
        <w:rPr>
          <w:rFonts w:eastAsia="Times New Roman"/>
          <w:i/>
          <w:color w:val="1F2427"/>
          <w:sz w:val="20"/>
          <w:szCs w:val="20"/>
        </w:rPr>
        <w:t>Statement of Revenue 2019 in ENISA’s annual budget 2019</w:t>
      </w:r>
      <w:r w:rsidRPr="00FA0083">
        <w:rPr>
          <w:rFonts w:eastAsia="Times New Roman"/>
          <w:color w:val="1F2427"/>
          <w:sz w:val="20"/>
          <w:szCs w:val="20"/>
        </w:rPr>
        <w:t>,</w:t>
      </w:r>
      <w:r w:rsidRPr="00FA0083" w:rsidDel="00DF401A">
        <w:rPr>
          <w:rFonts w:eastAsia="Times New Roman"/>
          <w:color w:val="1F2427"/>
          <w:sz w:val="20"/>
          <w:szCs w:val="20"/>
        </w:rPr>
        <w:t xml:space="preserve"> </w:t>
      </w:r>
      <w:hyperlink r:id="rId64" w:history="1">
        <w:r w:rsidR="00524833" w:rsidRPr="00FA0083">
          <w:rPr>
            <w:rStyle w:val="Hyperlink"/>
            <w:rFonts w:eastAsia="Times New Roman"/>
            <w:sz w:val="20"/>
            <w:szCs w:val="20"/>
            <w:u w:val="none"/>
          </w:rPr>
          <w:t>https://www.enisa.europa.eu/sites/default/files/all_files/ENISA%202019%20Annual%20Budget.pdf</w:t>
        </w:r>
      </w:hyperlink>
      <w:r w:rsidR="002B15C4" w:rsidRPr="00FA0083">
        <w:rPr>
          <w:sz w:val="20"/>
          <w:szCs w:val="20"/>
        </w:rPr>
        <w:t>.</w:t>
      </w:r>
    </w:p>
  </w:footnote>
  <w:footnote w:id="98">
    <w:p w14:paraId="5664153B" w14:textId="195FC251" w:rsidR="000A362D" w:rsidRPr="00FA0083" w:rsidRDefault="1283F1E4">
      <w:pPr>
        <w:pStyle w:val="FootnoteText"/>
        <w:rPr>
          <w:lang w:val="en-US"/>
        </w:rPr>
      </w:pPr>
      <w:r w:rsidRPr="00FA0083">
        <w:rPr>
          <w:vertAlign w:val="superscript"/>
        </w:rPr>
        <w:footnoteRef/>
      </w:r>
      <w:r w:rsidR="76C3DF1F" w:rsidRPr="00FA0083">
        <w:rPr>
          <w:vertAlign w:val="superscript"/>
        </w:rPr>
        <w:t xml:space="preserve"> </w:t>
      </w:r>
      <w:r w:rsidR="00C76922" w:rsidRPr="00FA0083">
        <w:t>ENISA,</w:t>
      </w:r>
      <w:r w:rsidR="76C3DF1F" w:rsidRPr="00FA0083">
        <w:t xml:space="preserve"> </w:t>
      </w:r>
      <w:r w:rsidR="76C3DF1F" w:rsidRPr="00FA0083">
        <w:rPr>
          <w:i/>
        </w:rPr>
        <w:t>ENISA Annual Report on Budgetary and Financial Management</w:t>
      </w:r>
      <w:r w:rsidR="76C3DF1F" w:rsidRPr="00FA0083">
        <w:t>,</w:t>
      </w:r>
      <w:r w:rsidR="76C3DF1F" w:rsidRPr="00FA0083" w:rsidDel="00DF401A">
        <w:t xml:space="preserve"> </w:t>
      </w:r>
      <w:hyperlink r:id="rId65" w:history="1">
        <w:r w:rsidR="00524833" w:rsidRPr="00FA0083">
          <w:rPr>
            <w:rStyle w:val="Hyperlink"/>
            <w:rFonts w:eastAsia="Times New Roman"/>
          </w:rPr>
          <w:t>https://www.europa</w:t>
        </w:r>
        <w:bookmarkStart w:id="45" w:name="_Hlt210315019"/>
        <w:bookmarkStart w:id="46" w:name="_Hlt210315020"/>
        <w:r w:rsidR="00524833" w:rsidRPr="00FA0083">
          <w:rPr>
            <w:rStyle w:val="Hyperlink"/>
            <w:rFonts w:eastAsia="Times New Roman"/>
          </w:rPr>
          <w:t>r</w:t>
        </w:r>
        <w:bookmarkEnd w:id="45"/>
        <w:bookmarkEnd w:id="46"/>
        <w:r w:rsidR="00524833" w:rsidRPr="00FA0083">
          <w:rPr>
            <w:rStyle w:val="Hyperlink"/>
            <w:rFonts w:eastAsia="Times New Roman"/>
          </w:rPr>
          <w:t>l.europa.eu/cmsdata/294501/ENISA%20RBFM%202024.pdf</w:t>
        </w:r>
      </w:hyperlink>
      <w:r w:rsidR="76C3DF1F" w:rsidRPr="00FA0083">
        <w:rPr>
          <w:lang w:val="en-US"/>
        </w:rPr>
        <w:t>.</w:t>
      </w:r>
    </w:p>
  </w:footnote>
  <w:footnote w:id="99">
    <w:p w14:paraId="2F7850BD" w14:textId="632EA5F0" w:rsidR="00D60F3A" w:rsidRPr="00FA0083" w:rsidRDefault="00D60F3A" w:rsidP="00882A65">
      <w:pPr>
        <w:pStyle w:val="FootnoteText"/>
        <w:rPr>
          <w:lang w:val="en-IE"/>
        </w:rPr>
      </w:pPr>
      <w:r w:rsidRPr="00FA0083">
        <w:rPr>
          <w:rStyle w:val="FootnoteReference"/>
        </w:rPr>
        <w:footnoteRef/>
      </w:r>
      <w:r w:rsidRPr="00FA0083">
        <w:t xml:space="preserve">   </w:t>
      </w:r>
      <w:r w:rsidR="000A362D" w:rsidRPr="00FA0083">
        <w:t>Ibid.</w:t>
      </w:r>
    </w:p>
  </w:footnote>
  <w:footnote w:id="100">
    <w:p w14:paraId="35BE3E86" w14:textId="49A960AC" w:rsidR="00D60F3A" w:rsidRPr="00FA0083" w:rsidRDefault="00D60F3A" w:rsidP="00882A65">
      <w:pPr>
        <w:pStyle w:val="FootnoteText"/>
        <w:rPr>
          <w:lang w:val="cs-CZ"/>
        </w:rPr>
      </w:pPr>
      <w:r w:rsidRPr="00FA0083">
        <w:rPr>
          <w:rStyle w:val="FootnoteReference"/>
        </w:rPr>
        <w:footnoteRef/>
      </w:r>
      <w:r w:rsidRPr="00FA0083">
        <w:tab/>
        <w:t xml:space="preserve">See Single Market Compliance Space, </w:t>
      </w:r>
      <w:hyperlink r:id="rId66">
        <w:r w:rsidR="00161310" w:rsidRPr="00FA0083">
          <w:rPr>
            <w:rStyle w:val="Hyperlink"/>
          </w:rPr>
          <w:t>https://webgate.ec.europa.eu/single-market-compliance-space/notified-bodies/free-search?filter=notificationStatusId:1,notificationLegislationId:164702</w:t>
        </w:r>
      </w:hyperlink>
      <w:r w:rsidRPr="00FA0083">
        <w:t>.</w:t>
      </w:r>
    </w:p>
  </w:footnote>
  <w:footnote w:id="101">
    <w:p w14:paraId="5E7168AE" w14:textId="6A32A29E" w:rsidR="00D60F3A" w:rsidRPr="00FA0083" w:rsidRDefault="00D60F3A" w:rsidP="00882A65">
      <w:pPr>
        <w:pStyle w:val="FootnoteText"/>
        <w:rPr>
          <w:lang w:val="cs-CZ"/>
        </w:rPr>
      </w:pPr>
      <w:r w:rsidRPr="00FA0083">
        <w:rPr>
          <w:rStyle w:val="FootnoteReference"/>
        </w:rPr>
        <w:footnoteRef/>
      </w:r>
      <w:r w:rsidR="002F1DAE" w:rsidRPr="00FA0083">
        <w:rPr>
          <w:lang w:val="cs-CZ"/>
        </w:rPr>
        <w:t xml:space="preserve"> </w:t>
      </w:r>
      <w:r w:rsidR="00161310" w:rsidRPr="00FA0083">
        <w:rPr>
          <w:lang w:val="cs-CZ"/>
        </w:rPr>
        <w:t>ENISA,</w:t>
      </w:r>
      <w:r w:rsidR="0009336E" w:rsidRPr="00FA0083">
        <w:rPr>
          <w:lang w:val="cs-CZ"/>
        </w:rPr>
        <w:t xml:space="preserve"> </w:t>
      </w:r>
      <w:r w:rsidR="002F1DAE" w:rsidRPr="00FA0083">
        <w:rPr>
          <w:lang w:val="cs-CZ"/>
        </w:rPr>
        <w:t>Evaluations &amp; Certifications - State of Play 2018-2022</w:t>
      </w:r>
      <w:r w:rsidR="00161310" w:rsidRPr="00FA0083">
        <w:rPr>
          <w:lang w:val="cs-CZ"/>
        </w:rPr>
        <w:t>,</w:t>
      </w:r>
      <w:r w:rsidR="0009336E" w:rsidRPr="00FA0083">
        <w:rPr>
          <w:lang w:val="cs-CZ"/>
        </w:rPr>
        <w:t xml:space="preserve"> </w:t>
      </w:r>
      <w:hyperlink r:id="rId67" w:history="1">
        <w:r w:rsidR="0009336E" w:rsidRPr="00FA0083">
          <w:rPr>
            <w:rStyle w:val="Hyperlink"/>
            <w:lang w:val="cs-CZ"/>
          </w:rPr>
          <w:t>https://www.enisa.europa.eu/sites/default/files/publications/Cybersecurity%20Certification%20Statistics%20Report.pdf</w:t>
        </w:r>
      </w:hyperlink>
      <w:r w:rsidRPr="00FA0083">
        <w:rPr>
          <w:lang w:val="cs-CZ"/>
        </w:rPr>
        <w:t>.</w:t>
      </w:r>
    </w:p>
  </w:footnote>
  <w:footnote w:id="102">
    <w:p w14:paraId="2811D434" w14:textId="285B3FE7" w:rsidR="00F938E8" w:rsidRPr="00FA0083" w:rsidRDefault="00F938E8" w:rsidP="00882A65">
      <w:pPr>
        <w:pStyle w:val="FootnoteText"/>
        <w:rPr>
          <w:lang w:val="en-IE"/>
        </w:rPr>
      </w:pPr>
      <w:r w:rsidRPr="00FA0083">
        <w:rPr>
          <w:rStyle w:val="FootnoteReference"/>
        </w:rPr>
        <w:footnoteRef/>
      </w:r>
      <w:r w:rsidR="002F1DAE" w:rsidRPr="00FA0083">
        <w:rPr>
          <w:lang w:val="en-IE"/>
        </w:rPr>
        <w:t xml:space="preserve"> SWD(2024) 38 final.</w:t>
      </w:r>
    </w:p>
  </w:footnote>
  <w:footnote w:id="103">
    <w:p w14:paraId="30E02131" w14:textId="02E44642" w:rsidR="00DD5426" w:rsidRPr="00FA0083" w:rsidRDefault="00DD5426">
      <w:pPr>
        <w:pStyle w:val="FootnoteText"/>
        <w:rPr>
          <w:lang w:val="en-IE"/>
        </w:rPr>
      </w:pPr>
      <w:r w:rsidRPr="00FA0083">
        <w:rPr>
          <w:rStyle w:val="FootnoteReference"/>
        </w:rPr>
        <w:footnoteRef/>
      </w:r>
      <w:r w:rsidRPr="00FA0083">
        <w:t xml:space="preserve"> </w:t>
      </w:r>
      <w:r w:rsidRPr="00FA0083">
        <w:rPr>
          <w:lang w:val="en-IE"/>
        </w:rPr>
        <w:t xml:space="preserve">For examples of </w:t>
      </w:r>
      <w:r w:rsidR="00B26A7C" w:rsidRPr="00FA0083">
        <w:rPr>
          <w:lang w:val="en-IE"/>
        </w:rPr>
        <w:t xml:space="preserve">diverging national transpositions of the NIS2 Directive, see European Cybersecurity Organisation </w:t>
      </w:r>
      <w:r w:rsidR="00D04D68" w:rsidRPr="00FA0083">
        <w:rPr>
          <w:lang w:val="en-IE"/>
        </w:rPr>
        <w:t xml:space="preserve">(January 2025) NIS2 Implementation: Challenges and Priorities. Available at </w:t>
      </w:r>
      <w:hyperlink r:id="rId68" w:history="1">
        <w:r w:rsidR="0072217A" w:rsidRPr="00FA0083">
          <w:rPr>
            <w:rStyle w:val="Hyperlink"/>
            <w:lang w:val="en-IE"/>
          </w:rPr>
          <w:t>https://ecs-org.eu/ecso-uploads/2025/01/ECSO-White-Paper-NIS2-Implementation.pdf</w:t>
        </w:r>
      </w:hyperlink>
      <w:r w:rsidR="0072217A" w:rsidRPr="00FA0083">
        <w:rPr>
          <w:lang w:val="en-IE"/>
        </w:rPr>
        <w:t>.</w:t>
      </w:r>
    </w:p>
  </w:footnote>
  <w:footnote w:id="104">
    <w:p w14:paraId="7EACF949" w14:textId="3BC72E6A" w:rsidR="00AF1160" w:rsidRPr="00FA0083" w:rsidRDefault="00AF1160">
      <w:pPr>
        <w:pStyle w:val="FootnoteText"/>
      </w:pPr>
      <w:r w:rsidRPr="00FA0083">
        <w:rPr>
          <w:rStyle w:val="FootnoteReference"/>
        </w:rPr>
        <w:footnoteRef/>
      </w:r>
      <w:r w:rsidRPr="00FA0083">
        <w:t xml:space="preserve"> Assessing whether the entity falls in scope of the NIS2 Directive on account of another type of service that it provides, </w:t>
      </w:r>
      <w:r w:rsidR="00F32497" w:rsidRPr="00FA0083">
        <w:t>or using Article 2(2), points (b)–(e), to identify the entity as falling under NIS2 scope.</w:t>
      </w:r>
    </w:p>
  </w:footnote>
  <w:footnote w:id="105">
    <w:p w14:paraId="2B436166" w14:textId="77777777" w:rsidR="00751ED9" w:rsidRPr="00FA0083" w:rsidRDefault="00751ED9" w:rsidP="00751ED9">
      <w:pPr>
        <w:pStyle w:val="FootnoteText"/>
      </w:pPr>
      <w:r w:rsidRPr="00FA0083">
        <w:rPr>
          <w:rStyle w:val="FootnoteReference"/>
        </w:rPr>
        <w:footnoteRef/>
      </w:r>
      <w:r w:rsidRPr="00FA0083">
        <w:t xml:space="preserve"> As an example of a specific national approach to ransomware, see draft legislation considered in Italy which would prohibit ransom payments and would also provide for a 6-hour deadline for reporting ransomware incidents, which is shorter than the 24-hour deadline set out in the NIS 2 Directive. Privacy Matters, </w:t>
      </w:r>
      <w:r w:rsidRPr="00FA0083">
        <w:rPr>
          <w:i/>
        </w:rPr>
        <w:t>Italy: Ransomware and Crime – A proposal to tackle cyber extortion in Italy</w:t>
      </w:r>
      <w:r w:rsidRPr="00FA0083">
        <w:t xml:space="preserve">, </w:t>
      </w:r>
      <w:hyperlink r:id="rId69" w:history="1">
        <w:r w:rsidRPr="00FA0083">
          <w:rPr>
            <w:rStyle w:val="Hyperlink"/>
          </w:rPr>
          <w:t>https://privacymatters.dlapiper.com/2025/06/italy-ransomware-and-crime-a-proposal-to-tackle-cyber-extortion-in-italy/</w:t>
        </w:r>
      </w:hyperlink>
      <w:r w:rsidRPr="00FA0083">
        <w:t xml:space="preserve">. </w:t>
      </w:r>
    </w:p>
  </w:footnote>
  <w:footnote w:id="106">
    <w:p w14:paraId="2BAB6954" w14:textId="77777777" w:rsidR="00D10E17" w:rsidRPr="00FA0083" w:rsidRDefault="00D10E17" w:rsidP="00D10E17">
      <w:pPr>
        <w:pStyle w:val="FootnoteText"/>
        <w:rPr>
          <w:lang w:val="en-IE"/>
        </w:rPr>
      </w:pPr>
      <w:r w:rsidRPr="00FA0083">
        <w:rPr>
          <w:vertAlign w:val="superscript"/>
        </w:rPr>
        <w:footnoteRef/>
      </w:r>
      <w:r w:rsidRPr="00FA0083">
        <w:t xml:space="preserve"> NIS Cooperation Group, </w:t>
      </w:r>
      <w:r w:rsidRPr="00FA0083">
        <w:rPr>
          <w:i/>
        </w:rPr>
        <w:t>Second report on Member States’ Progress in implementing the EU Toolbox on 5G Cybersecurity</w:t>
      </w:r>
      <w:r w:rsidRPr="00FA0083">
        <w:t xml:space="preserve">, </w:t>
      </w:r>
      <w:hyperlink r:id="rId70" w:history="1">
        <w:r w:rsidRPr="00FA0083">
          <w:rPr>
            <w:rStyle w:val="Hyperlink"/>
          </w:rPr>
          <w:t>https://digital-strategy.ec.europa.eu/en/library/second-report-member-states-progress-implementing-eu-toolbox-5g-cybersecurity</w:t>
        </w:r>
      </w:hyperlink>
      <w:r w:rsidRPr="00FA0083">
        <w:t>.</w:t>
      </w:r>
      <w:r w:rsidRPr="00FA0083">
        <w:rPr>
          <w:lang w:val="en-IE"/>
        </w:rPr>
        <w:t xml:space="preserve"> </w:t>
      </w:r>
    </w:p>
  </w:footnote>
  <w:footnote w:id="107">
    <w:p w14:paraId="69F4870B" w14:textId="77777777" w:rsidR="00D10E17" w:rsidRPr="00FA0083" w:rsidRDefault="00D10E17" w:rsidP="00D10E17">
      <w:pPr>
        <w:pStyle w:val="FootnoteText"/>
        <w:rPr>
          <w:lang w:val="en-IE"/>
        </w:rPr>
      </w:pPr>
      <w:r w:rsidRPr="00FA0083">
        <w:rPr>
          <w:rStyle w:val="FootnoteReference"/>
        </w:rPr>
        <w:footnoteRef/>
      </w:r>
      <w:r w:rsidRPr="00FA0083">
        <w:t xml:space="preserve"> Ibid.</w:t>
      </w:r>
    </w:p>
  </w:footnote>
  <w:footnote w:id="108">
    <w:p w14:paraId="64ED8E6E" w14:textId="77777777" w:rsidR="00D10E17" w:rsidRPr="00FA0083" w:rsidRDefault="00D10E17" w:rsidP="00D10E17">
      <w:pPr>
        <w:pStyle w:val="FootnoteText"/>
      </w:pPr>
      <w:r w:rsidRPr="00FA0083">
        <w:rPr>
          <w:rStyle w:val="FootnoteReference"/>
        </w:rPr>
        <w:footnoteRef/>
      </w:r>
      <w:r w:rsidRPr="00FA0083">
        <w:t xml:space="preserve"> European Court of Auditors, </w:t>
      </w:r>
      <w:r w:rsidRPr="00FA0083">
        <w:rPr>
          <w:i/>
        </w:rPr>
        <w:t>5G roll-out in the EU: delays in deployment of networks with security issues remaining unresolved</w:t>
      </w:r>
      <w:r w:rsidRPr="00FA0083">
        <w:t xml:space="preserve">, </w:t>
      </w:r>
      <w:hyperlink r:id="rId71" w:history="1">
        <w:r w:rsidRPr="00FA0083">
          <w:rPr>
            <w:rStyle w:val="Hyperlink"/>
          </w:rPr>
          <w:t>https://www.eca.europa.eu/en/publications?did=60614</w:t>
        </w:r>
      </w:hyperlink>
      <w:r w:rsidRPr="00FA0083">
        <w:t>.</w:t>
      </w:r>
    </w:p>
  </w:footnote>
  <w:footnote w:id="109">
    <w:p w14:paraId="087DFF36" w14:textId="77777777" w:rsidR="00D10E17" w:rsidRPr="00FA0083" w:rsidRDefault="00D10E17" w:rsidP="00D10E17">
      <w:pPr>
        <w:pStyle w:val="FootnoteText"/>
      </w:pPr>
      <w:r w:rsidRPr="00FA0083">
        <w:rPr>
          <w:rStyle w:val="FootnoteReference"/>
        </w:rPr>
        <w:footnoteRef/>
      </w:r>
      <w:r w:rsidRPr="00FA0083">
        <w:t xml:space="preserve"> Ibid.</w:t>
      </w:r>
    </w:p>
  </w:footnote>
  <w:footnote w:id="110">
    <w:p w14:paraId="64B467A6" w14:textId="77777777" w:rsidR="00D10E17" w:rsidRPr="00FA0083" w:rsidRDefault="00D10E17" w:rsidP="00D10E17">
      <w:pPr>
        <w:pStyle w:val="FootnoteText"/>
      </w:pPr>
      <w:r w:rsidRPr="00FA0083">
        <w:rPr>
          <w:rStyle w:val="FootnoteReference"/>
        </w:rPr>
        <w:footnoteRef/>
      </w:r>
      <w:r w:rsidRPr="00FA0083">
        <w:t xml:space="preserve"> CZ Cybersecurity act (ZÁKON ze dne 11. června 2025 o kybernetické bezpečnosti), </w:t>
      </w:r>
      <w:hyperlink r:id="rId72" w:history="1">
        <w:r w:rsidRPr="00FA0083">
          <w:rPr>
            <w:rStyle w:val="Hyperlink"/>
          </w:rPr>
          <w:t>https://www.e-sbirka.cz/sb/2025/264/2025-11-01?zalozka=text</w:t>
        </w:r>
      </w:hyperlink>
      <w:r w:rsidRPr="00FA0083">
        <w:t>.</w:t>
      </w:r>
    </w:p>
  </w:footnote>
  <w:footnote w:id="111">
    <w:p w14:paraId="77F92B82" w14:textId="77777777" w:rsidR="00D10E17" w:rsidRPr="00FA0083" w:rsidRDefault="00D10E17" w:rsidP="00D10E17">
      <w:pPr>
        <w:pStyle w:val="FootnoteText"/>
      </w:pPr>
      <w:r w:rsidRPr="00FA0083">
        <w:rPr>
          <w:rStyle w:val="FootnoteReference"/>
        </w:rPr>
        <w:footnoteRef/>
      </w:r>
      <w:r w:rsidRPr="00FA0083">
        <w:t xml:space="preserve"> BE Raad van State - Arrest nr. 256.645,  </w:t>
      </w:r>
      <w:hyperlink r:id="rId73" w:history="1">
        <w:r w:rsidRPr="00FA0083">
          <w:rPr>
            <w:rStyle w:val="Hyperlink"/>
          </w:rPr>
          <w:t>https://www.stradalex.co</w:t>
        </w:r>
        <w:bookmarkStart w:id="63" w:name="_Hlt210315386"/>
        <w:bookmarkStart w:id="64" w:name="_Hlt210315387"/>
        <w:r w:rsidRPr="00FA0083">
          <w:rPr>
            <w:rStyle w:val="Hyperlink"/>
          </w:rPr>
          <w:t>m</w:t>
        </w:r>
        <w:bookmarkEnd w:id="63"/>
        <w:bookmarkEnd w:id="64"/>
        <w:r w:rsidRPr="00FA0083">
          <w:rPr>
            <w:rStyle w:val="Hyperlink"/>
          </w:rPr>
          <w:t>/nl/sl_src_publ_jur_be/document/rvst_256.645</w:t>
        </w:r>
      </w:hyperlink>
      <w:r w:rsidRPr="00FA0083">
        <w:t>.</w:t>
      </w:r>
    </w:p>
  </w:footnote>
  <w:footnote w:id="112">
    <w:p w14:paraId="2D07231F" w14:textId="77777777" w:rsidR="00D10E17" w:rsidRPr="00FA0083" w:rsidRDefault="00D10E17" w:rsidP="00D10E17">
      <w:pPr>
        <w:pStyle w:val="FootnoteText"/>
      </w:pPr>
      <w:r w:rsidRPr="00FA0083">
        <w:rPr>
          <w:rStyle w:val="FootnoteReference"/>
        </w:rPr>
        <w:footnoteRef/>
      </w:r>
      <w:r w:rsidRPr="00FA0083">
        <w:t xml:space="preserve"> Commission Implementing Regulation (EU) 2025/1176 of 23 May 2025 specifying the pre-qualification and award criteria for auctions for the deployment of energy from renewable sources.</w:t>
      </w:r>
    </w:p>
  </w:footnote>
  <w:footnote w:id="113">
    <w:p w14:paraId="05DB30B6" w14:textId="77777777" w:rsidR="00D10E17" w:rsidRPr="00FA0083" w:rsidRDefault="00D10E17" w:rsidP="00D10E17">
      <w:pPr>
        <w:pStyle w:val="FootnoteText"/>
      </w:pPr>
      <w:r w:rsidRPr="00FA0083">
        <w:rPr>
          <w:rStyle w:val="FootnoteReference"/>
        </w:rPr>
        <w:footnoteRef/>
      </w:r>
      <w:r w:rsidRPr="00FA0083">
        <w:t xml:space="preserve">  Terms and Conditions (T&amp;Cs) for the second auction for the production of renewable hydrogen (IF24 Auction), via the Innovation Fund. </w:t>
      </w:r>
    </w:p>
  </w:footnote>
  <w:footnote w:id="114">
    <w:p w14:paraId="6D8A2473" w14:textId="3D3614F4" w:rsidR="00F57D9D" w:rsidRPr="00FA0083" w:rsidRDefault="00F57D9D" w:rsidP="00882A65">
      <w:pPr>
        <w:pStyle w:val="FootnoteText"/>
      </w:pPr>
      <w:r w:rsidRPr="00FA0083">
        <w:rPr>
          <w:rStyle w:val="FootnoteReference"/>
          <w:rFonts w:eastAsia="Times New Roman"/>
        </w:rPr>
        <w:footnoteRef/>
      </w:r>
      <w:r w:rsidRPr="00FA0083">
        <w:rPr>
          <w:rFonts w:eastAsia="Times New Roman"/>
        </w:rPr>
        <w:t xml:space="preserve"> </w:t>
      </w:r>
      <w:r w:rsidR="00DF401A" w:rsidRPr="00FA0083">
        <w:rPr>
          <w:rFonts w:eastAsia="Times New Roman"/>
        </w:rPr>
        <w:t xml:space="preserve">ENISA, </w:t>
      </w:r>
      <w:r w:rsidR="00DF401A" w:rsidRPr="00FA0083">
        <w:rPr>
          <w:rFonts w:eastAsia="Times New Roman"/>
          <w:i/>
        </w:rPr>
        <w:t>ENISA Threat Landscape 2024</w:t>
      </w:r>
      <w:r w:rsidR="00DF401A" w:rsidRPr="00FA0083">
        <w:rPr>
          <w:rFonts w:eastAsia="Times New Roman"/>
        </w:rPr>
        <w:t xml:space="preserve">, </w:t>
      </w:r>
      <w:hyperlink r:id="rId74">
        <w:r w:rsidR="00DF401A" w:rsidRPr="00FA0083">
          <w:rPr>
            <w:rStyle w:val="Hyperlink"/>
            <w:rFonts w:eastAsia="Times New Roman"/>
          </w:rPr>
          <w:t>https://www.enisa.europa.eu/publications/enisa-threat-landscape-2024</w:t>
        </w:r>
      </w:hyperlink>
      <w:r w:rsidR="00DF401A" w:rsidRPr="00FA0083">
        <w:rPr>
          <w:rFonts w:eastAsia="Times New Roman"/>
        </w:rPr>
        <w:t>.</w:t>
      </w:r>
    </w:p>
  </w:footnote>
  <w:footnote w:id="115">
    <w:p w14:paraId="67A54FC1" w14:textId="6E119CD8" w:rsidR="00F57D9D" w:rsidRPr="00FA0083" w:rsidRDefault="00F57D9D" w:rsidP="00882A65">
      <w:pPr>
        <w:pStyle w:val="FootnoteText"/>
      </w:pPr>
      <w:r w:rsidRPr="00FA0083">
        <w:rPr>
          <w:rStyle w:val="FootnoteReference"/>
          <w:rFonts w:eastAsia="Times New Roman"/>
        </w:rPr>
        <w:footnoteRef/>
      </w:r>
      <w:r w:rsidRPr="00FA0083">
        <w:rPr>
          <w:rFonts w:eastAsia="Times New Roman"/>
        </w:rPr>
        <w:t xml:space="preserve"> Europol, European Union Serious and Organised Crime Threat Assessment - The changing DNA of serious and organised crime, Publications Office of the European Union, Luxembourg</w:t>
      </w:r>
      <w:r w:rsidR="002B15C4" w:rsidRPr="00FA0083">
        <w:rPr>
          <w:rFonts w:eastAsia="Times New Roman"/>
        </w:rPr>
        <w:t>.</w:t>
      </w:r>
    </w:p>
  </w:footnote>
  <w:footnote w:id="116">
    <w:p w14:paraId="4BF1823E" w14:textId="24C2A619" w:rsidR="00F57D9D" w:rsidRPr="00FA0083" w:rsidRDefault="00F57D9D" w:rsidP="00882A65">
      <w:pPr>
        <w:pStyle w:val="FootnoteText"/>
      </w:pPr>
      <w:r w:rsidRPr="00FA0083">
        <w:rPr>
          <w:rStyle w:val="FootnoteReference"/>
          <w:rFonts w:eastAsia="Times New Roman"/>
        </w:rPr>
        <w:footnoteRef/>
      </w:r>
      <w:r w:rsidRPr="00FA0083">
        <w:rPr>
          <w:rFonts w:eastAsia="Times New Roman"/>
        </w:rPr>
        <w:t xml:space="preserve">   ENISA. </w:t>
      </w:r>
      <w:r w:rsidR="008521A3" w:rsidRPr="00FA0083">
        <w:rPr>
          <w:rFonts w:eastAsia="Times New Roman"/>
          <w:i/>
          <w:iCs/>
        </w:rPr>
        <w:t>Foresight Cybersecurity Threats For 2030 - Update 2024</w:t>
      </w:r>
      <w:r w:rsidRPr="00FA0083">
        <w:rPr>
          <w:rFonts w:eastAsia="Times New Roman"/>
        </w:rPr>
        <w:t xml:space="preserve">, </w:t>
      </w:r>
      <w:hyperlink r:id="rId75" w:history="1">
        <w:r w:rsidR="008521A3" w:rsidRPr="00FA0083">
          <w:rPr>
            <w:rStyle w:val="Hyperlink"/>
            <w:rFonts w:eastAsia="Times New Roman"/>
          </w:rPr>
          <w:t>https://www.enisa.europa.eu/sites/default/files/2024-11/Foresight%20Cybersecurity%20Threats%20For%202030%20Update%202024_0.pdf</w:t>
        </w:r>
      </w:hyperlink>
      <w:r w:rsidRPr="00FA0083">
        <w:rPr>
          <w:rFonts w:eastAsia="Times New Roman"/>
        </w:rPr>
        <w:t>.</w:t>
      </w:r>
    </w:p>
  </w:footnote>
  <w:footnote w:id="117">
    <w:p w14:paraId="709D04FE" w14:textId="07F36007" w:rsidR="00066E30" w:rsidRPr="00FA0083" w:rsidRDefault="00066E30">
      <w:pPr>
        <w:pStyle w:val="FootnoteText"/>
        <w:rPr>
          <w:lang w:val="en-IE"/>
        </w:rPr>
      </w:pPr>
      <w:r w:rsidRPr="00FA0083">
        <w:rPr>
          <w:rStyle w:val="FootnoteReference"/>
        </w:rPr>
        <w:footnoteRef/>
      </w:r>
      <w:r w:rsidRPr="00FA0083">
        <w:t xml:space="preserve"> </w:t>
      </w:r>
      <w:r w:rsidR="000A362D" w:rsidRPr="00FA0083">
        <w:t>2024 Evaluation report.</w:t>
      </w:r>
    </w:p>
  </w:footnote>
  <w:footnote w:id="118">
    <w:p w14:paraId="688C2EAE" w14:textId="7C0941F3" w:rsidR="00C720E1" w:rsidRPr="00FA0083" w:rsidRDefault="00C720E1" w:rsidP="00CE20C5">
      <w:pPr>
        <w:pStyle w:val="FootnoteText"/>
        <w:jc w:val="left"/>
        <w:rPr>
          <w:lang w:val="en-IE"/>
        </w:rPr>
      </w:pPr>
      <w:r w:rsidRPr="00FA0083">
        <w:rPr>
          <w:rStyle w:val="FootnoteReference"/>
        </w:rPr>
        <w:footnoteRef/>
      </w:r>
      <w:r w:rsidRPr="00FA0083">
        <w:t xml:space="preserve"> ENISA, </w:t>
      </w:r>
      <w:r w:rsidR="00B845AC" w:rsidRPr="00FA0083">
        <w:rPr>
          <w:i/>
          <w:iCs/>
        </w:rPr>
        <w:t xml:space="preserve">Cybersecurity assessments, </w:t>
      </w:r>
      <w:r w:rsidR="00B845AC" w:rsidRPr="00FA0083">
        <w:t xml:space="preserve">2024, available at: </w:t>
      </w:r>
      <w:hyperlink r:id="rId76" w:history="1">
        <w:r w:rsidR="004250F7" w:rsidRPr="00FA0083">
          <w:rPr>
            <w:rStyle w:val="Hyperlink"/>
          </w:rPr>
          <w:t>https://www.enisa.europa.eu/publications/cybersecurity-market-assessments</w:t>
        </w:r>
      </w:hyperlink>
      <w:r w:rsidR="004250F7" w:rsidRPr="00FA0083">
        <w:t xml:space="preserve"> </w:t>
      </w:r>
    </w:p>
  </w:footnote>
  <w:footnote w:id="119">
    <w:p w14:paraId="63FED519" w14:textId="77777777" w:rsidR="00D10E17" w:rsidRPr="00FA0083" w:rsidRDefault="00D10E17" w:rsidP="00D10E17">
      <w:pPr>
        <w:pStyle w:val="FootnoteText"/>
      </w:pPr>
      <w:r w:rsidRPr="00FA0083">
        <w:rPr>
          <w:rStyle w:val="FootnoteReference"/>
        </w:rPr>
        <w:footnoteRef/>
      </w:r>
      <w:r w:rsidRPr="00FA0083">
        <w:t xml:space="preserve"> Article 22(5).</w:t>
      </w:r>
    </w:p>
  </w:footnote>
  <w:footnote w:id="120">
    <w:p w14:paraId="42420B4E" w14:textId="77777777" w:rsidR="00D10E17" w:rsidRPr="00FA0083" w:rsidRDefault="00D10E17" w:rsidP="00D10E17">
      <w:pPr>
        <w:pStyle w:val="FootnoteText"/>
      </w:pPr>
      <w:r w:rsidRPr="00FA0083">
        <w:rPr>
          <w:rStyle w:val="FootnoteReference"/>
        </w:rPr>
        <w:footnoteRef/>
      </w:r>
      <w:r w:rsidRPr="00FA0083">
        <w:t xml:space="preserve"> Article 12(5).</w:t>
      </w:r>
    </w:p>
  </w:footnote>
  <w:footnote w:id="121">
    <w:p w14:paraId="218BDE3C" w14:textId="77777777" w:rsidR="009C63AE" w:rsidRPr="00FA0083" w:rsidRDefault="009C63AE" w:rsidP="009C63AE">
      <w:pPr>
        <w:spacing w:after="0"/>
        <w:rPr>
          <w:sz w:val="20"/>
          <w:szCs w:val="20"/>
        </w:rPr>
      </w:pPr>
      <w:r w:rsidRPr="00FA0083">
        <w:rPr>
          <w:sz w:val="20"/>
          <w:szCs w:val="20"/>
          <w:vertAlign w:val="superscript"/>
        </w:rPr>
        <w:footnoteRef/>
      </w:r>
      <w:r w:rsidRPr="00FA0083">
        <w:rPr>
          <w:sz w:val="20"/>
          <w:szCs w:val="20"/>
          <w:vertAlign w:val="superscript"/>
        </w:rPr>
        <w:t xml:space="preserve"> </w:t>
      </w:r>
      <w:r w:rsidRPr="00FA0083">
        <w:rPr>
          <w:sz w:val="20"/>
          <w:szCs w:val="20"/>
        </w:rPr>
        <w:t>These are in particular entities which provide services in more than one Member State, or provide services in one or more Member States and their network and information systems are located in one or more other Member States.</w:t>
      </w:r>
    </w:p>
  </w:footnote>
  <w:footnote w:id="122">
    <w:p w14:paraId="1AB5957D" w14:textId="1026C751" w:rsidR="00B90F59" w:rsidRPr="00FA0083" w:rsidRDefault="00B90F59" w:rsidP="00B90F59">
      <w:pPr>
        <w:pStyle w:val="FootnoteText"/>
      </w:pPr>
      <w:r w:rsidRPr="00FA0083">
        <w:rPr>
          <w:rStyle w:val="FootnoteReference"/>
          <w:rFonts w:eastAsia="Times New Roman"/>
        </w:rPr>
        <w:footnoteRef/>
      </w:r>
      <w:r w:rsidRPr="00FA0083">
        <w:rPr>
          <w:rFonts w:eastAsia="Times New Roman"/>
        </w:rPr>
        <w:t xml:space="preserve"> The current procedure for their possible mandating from the current version of the CSA (Article 56(3)) is retained. Such a possibility is currently reflected in the CRA (Article 8) and NIS 2 Directive (Article 24), and could be further reflected in other Union legal acts in the future. </w:t>
      </w:r>
    </w:p>
  </w:footnote>
  <w:footnote w:id="123">
    <w:p w14:paraId="47A764F7" w14:textId="487C8B7E" w:rsidR="003E684F" w:rsidRPr="00FA0083" w:rsidRDefault="003E684F" w:rsidP="00882A65">
      <w:pPr>
        <w:pStyle w:val="FootnoteText"/>
      </w:pPr>
      <w:r w:rsidRPr="00FA0083">
        <w:rPr>
          <w:rStyle w:val="FootnoteReference"/>
        </w:rPr>
        <w:footnoteRef/>
      </w:r>
      <w:r w:rsidRPr="00FA0083">
        <w:rPr>
          <w:rFonts w:eastAsia="Times New Roman"/>
        </w:rPr>
        <w:t xml:space="preserve"> Updates of technical specifications developed by ENISA to deliver security requirements of the cybersecurity certification schemes and corresponding references in the text of implementing acts establishing the schemes.</w:t>
      </w:r>
    </w:p>
  </w:footnote>
  <w:footnote w:id="124">
    <w:p w14:paraId="1DB3AFD3" w14:textId="77777777" w:rsidR="006A260D" w:rsidRPr="00FA0083" w:rsidRDefault="006A260D" w:rsidP="00882A65">
      <w:pPr>
        <w:pStyle w:val="FootnoteText"/>
      </w:pPr>
      <w:r w:rsidRPr="00FA0083">
        <w:rPr>
          <w:rStyle w:val="FootnoteReference"/>
        </w:rPr>
        <w:footnoteRef/>
      </w:r>
      <w:r w:rsidRPr="00FA0083">
        <w:t xml:space="preserve"> Possibility for certifying the level of cybersecurity risk-management measures taken by an entity.</w:t>
      </w:r>
    </w:p>
  </w:footnote>
  <w:footnote w:id="125">
    <w:p w14:paraId="116D02CE" w14:textId="77777777" w:rsidR="006A260D" w:rsidRPr="00FA0083" w:rsidRDefault="006A260D" w:rsidP="00882A65">
      <w:pPr>
        <w:pStyle w:val="FootnoteText"/>
      </w:pPr>
      <w:r w:rsidRPr="00FA0083">
        <w:rPr>
          <w:rStyle w:val="FootnoteReference"/>
        </w:rPr>
        <w:footnoteRef/>
      </w:r>
      <w:r w:rsidRPr="00FA0083">
        <w:t xml:space="preserve"> The avenues for achieving presumption of compliance have been extensively researched in relation to the CRA, in force since December 2024, establishing product-level security baseline. The CSoA mandates certification of managed security services to become part of the EU Cybersecurity Reserve.</w:t>
      </w:r>
    </w:p>
  </w:footnote>
  <w:footnote w:id="126">
    <w:p w14:paraId="7E6C597E" w14:textId="77777777" w:rsidR="008C75A4" w:rsidRPr="00FA0083" w:rsidRDefault="008C75A4" w:rsidP="00882A65">
      <w:pPr>
        <w:pStyle w:val="FootnoteText"/>
      </w:pPr>
      <w:r w:rsidRPr="00FA0083">
        <w:rPr>
          <w:rStyle w:val="FootnoteReference"/>
        </w:rPr>
        <w:footnoteRef/>
      </w:r>
      <w:r w:rsidRPr="00FA0083">
        <w:rPr>
          <w:rFonts w:eastAsia="Times New Roman"/>
        </w:rPr>
        <w:t xml:space="preserve"> C(2025) 3500 final.</w:t>
      </w:r>
    </w:p>
  </w:footnote>
  <w:footnote w:id="127">
    <w:p w14:paraId="46A10ECD" w14:textId="77777777" w:rsidR="00D10E17" w:rsidRPr="00FA0083" w:rsidRDefault="00D10E17" w:rsidP="00D10E17">
      <w:pPr>
        <w:pStyle w:val="FootnoteText"/>
      </w:pPr>
      <w:r w:rsidRPr="00FA0083">
        <w:rPr>
          <w:rStyle w:val="FootnoteReference"/>
        </w:rPr>
        <w:footnoteRef/>
      </w:r>
      <w:r w:rsidRPr="00FA0083">
        <w:t xml:space="preserve"> NIS Cooperation Group, EU coordinated risk assessment of the cybersecurity of 5G networks, 9 October 2019, </w:t>
      </w:r>
      <w:hyperlink r:id="rId77" w:history="1">
        <w:r w:rsidRPr="00FA0083">
          <w:rPr>
            <w:rStyle w:val="Hyperlink"/>
          </w:rPr>
          <w:t>https://digital-strategy.ec.europa.eu/en/news/eu-wide-coordinated-risk-assessment-5g-networks-security</w:t>
        </w:r>
      </w:hyperlink>
      <w:r w:rsidRPr="00FA0083">
        <w:t>.</w:t>
      </w:r>
    </w:p>
  </w:footnote>
  <w:footnote w:id="128">
    <w:p w14:paraId="2BC1A35E" w14:textId="77777777" w:rsidR="00D10E17" w:rsidRPr="00FA0083" w:rsidRDefault="00D10E17" w:rsidP="00D10E17">
      <w:pPr>
        <w:pStyle w:val="FootnoteText"/>
      </w:pPr>
      <w:r w:rsidRPr="00FA0083">
        <w:rPr>
          <w:rStyle w:val="FootnoteReference"/>
        </w:rPr>
        <w:footnoteRef/>
      </w:r>
      <w:r w:rsidRPr="00FA0083">
        <w:t xml:space="preserve"> NIS Cooperation Group, EU coordinated risk assessment of the cybersecurity of 5G networks, 9 October 2019, </w:t>
      </w:r>
      <w:hyperlink r:id="rId78">
        <w:r w:rsidRPr="00FA0083">
          <w:rPr>
            <w:rStyle w:val="Hyperlink"/>
          </w:rPr>
          <w:t>https://digital-strategy.ec.europa.eu/en/news/eu-wide-coordinated-risk-assessment-5g-networks-security</w:t>
        </w:r>
      </w:hyperlink>
    </w:p>
  </w:footnote>
  <w:footnote w:id="129">
    <w:p w14:paraId="3EA51F45" w14:textId="77777777" w:rsidR="00D10E17" w:rsidRPr="00FA0083" w:rsidRDefault="00D10E17" w:rsidP="00D10E17">
      <w:pPr>
        <w:pStyle w:val="FootnoteText"/>
      </w:pPr>
      <w:r w:rsidRPr="00FA0083">
        <w:rPr>
          <w:rStyle w:val="FootnoteReference"/>
        </w:rPr>
        <w:footnoteRef/>
      </w:r>
      <w:r w:rsidRPr="00FA0083">
        <w:t xml:space="preserve"> See for example a proposal for the European Competitiveness Fund regulation, COM(2025) 555 final.</w:t>
      </w:r>
    </w:p>
  </w:footnote>
  <w:footnote w:id="130">
    <w:p w14:paraId="5FAD76E7" w14:textId="77777777" w:rsidR="00D10E17" w:rsidRPr="00FA0083" w:rsidRDefault="00D10E17" w:rsidP="00D10E17">
      <w:pPr>
        <w:pStyle w:val="FootnoteText"/>
      </w:pPr>
      <w:r w:rsidRPr="00FA0083">
        <w:rPr>
          <w:rStyle w:val="FootnoteReference"/>
        </w:rPr>
        <w:footnoteRef/>
      </w:r>
      <w:r w:rsidRPr="00FA0083">
        <w:t xml:space="preserve"> European Commission, Financial Regulation applicable to the general budget of the Union (recast), September 2024, </w:t>
      </w:r>
      <w:hyperlink r:id="rId79" w:history="1">
        <w:r w:rsidRPr="00FA0083">
          <w:rPr>
            <w:rStyle w:val="Hyperlink"/>
          </w:rPr>
          <w:t>https://op.europa.eu/en/publication-detail/-/publication/990fe2a6-8f52-11ef-a130-01aa75ed71a1/language-en</w:t>
        </w:r>
      </w:hyperlink>
      <w:r w:rsidRPr="00FA0083">
        <w:t>. Article 136 allows, for the protection of security or public order, the authorising officer responsible to set up specific conditions applicable to the award procedures and the legal commitments.</w:t>
      </w:r>
    </w:p>
  </w:footnote>
  <w:footnote w:id="131">
    <w:p w14:paraId="2052F9A6" w14:textId="77777777" w:rsidR="00DB44C9" w:rsidRPr="00FA0083" w:rsidRDefault="00DB44C9" w:rsidP="00DB44C9">
      <w:pPr>
        <w:spacing w:after="0"/>
        <w:rPr>
          <w:sz w:val="20"/>
          <w:szCs w:val="20"/>
        </w:rPr>
      </w:pPr>
      <w:r w:rsidRPr="00FA0083">
        <w:rPr>
          <w:sz w:val="20"/>
          <w:szCs w:val="20"/>
          <w:vertAlign w:val="superscript"/>
        </w:rPr>
        <w:footnoteRef/>
      </w:r>
      <w:r w:rsidRPr="00FA0083">
        <w:rPr>
          <w:sz w:val="20"/>
          <w:szCs w:val="20"/>
          <w:vertAlign w:val="superscript"/>
        </w:rPr>
        <w:t xml:space="preserve"> </w:t>
      </w:r>
      <w:r w:rsidRPr="00FA0083">
        <w:rPr>
          <w:sz w:val="20"/>
          <w:szCs w:val="20"/>
        </w:rPr>
        <w:t>Ibid.</w:t>
      </w:r>
    </w:p>
  </w:footnote>
  <w:footnote w:id="132">
    <w:p w14:paraId="3D7095B7" w14:textId="77777777" w:rsidR="00492FB8" w:rsidRPr="00FA0083" w:rsidRDefault="00492FB8" w:rsidP="00492FB8">
      <w:pPr>
        <w:pStyle w:val="FootnoteText"/>
      </w:pPr>
      <w:r w:rsidRPr="00FA0083">
        <w:rPr>
          <w:rStyle w:val="FootnoteReference"/>
        </w:rPr>
        <w:footnoteRef/>
      </w:r>
      <w:r w:rsidRPr="00FA0083">
        <w:t xml:space="preserve"> </w:t>
      </w:r>
      <w:r w:rsidRPr="00FA0083">
        <w:rPr>
          <w:rFonts w:eastAsia="Times New Roman"/>
        </w:rPr>
        <w:t xml:space="preserve">European Commission (2017). </w:t>
      </w:r>
      <w:r w:rsidRPr="00FA0083">
        <w:rPr>
          <w:rFonts w:eastAsia="Times New Roman"/>
          <w:i/>
        </w:rPr>
        <w:t xml:space="preserve">Final report on the Evaluation of the European Union Agency for Network and Information Security (ENISA), </w:t>
      </w:r>
      <w:hyperlink r:id="rId80" w:history="1">
        <w:r w:rsidRPr="00FA0083">
          <w:rPr>
            <w:rStyle w:val="Hyperlink"/>
            <w:rFonts w:eastAsia="Times New Roman"/>
          </w:rPr>
          <w:t>https://digital-strategy.ec.europa.eu/en/library/final-report-evaluation-european-union-agency-network-and-information-security-enisa</w:t>
        </w:r>
      </w:hyperlink>
      <w:r w:rsidRPr="00FA0083">
        <w:rPr>
          <w:rFonts w:eastAsia="Times New Roman"/>
          <w:i/>
        </w:rPr>
        <w:t>.</w:t>
      </w:r>
    </w:p>
  </w:footnote>
  <w:footnote w:id="133">
    <w:p w14:paraId="43FBE967" w14:textId="54FD44F6" w:rsidR="00BC7F01" w:rsidRPr="00FA0083" w:rsidRDefault="00EC5671" w:rsidP="00EC5671">
      <w:pPr>
        <w:pStyle w:val="FootnoteText"/>
      </w:pPr>
      <w:r w:rsidRPr="00FA0083">
        <w:rPr>
          <w:rStyle w:val="FootnoteReference"/>
        </w:rPr>
        <w:footnoteRef/>
      </w:r>
      <w:r w:rsidR="00BC7F01">
        <w:t xml:space="preserve"> </w:t>
      </w:r>
      <w:r w:rsidRPr="00BC7F01">
        <w:t>ENISA</w:t>
      </w:r>
      <w:r w:rsidR="00BC7F01">
        <w:t xml:space="preserve">, </w:t>
      </w:r>
      <w:r w:rsidRPr="00BC7F01">
        <w:rPr>
          <w:i/>
          <w:iCs/>
        </w:rPr>
        <w:t>FINAL accounts 2024</w:t>
      </w:r>
      <w:r w:rsidR="00BC7F01">
        <w:t xml:space="preserve">, </w:t>
      </w:r>
      <w:hyperlink r:id="rId81" w:history="1">
        <w:r w:rsidR="00BC7F01" w:rsidRPr="000E2143">
          <w:rPr>
            <w:rStyle w:val="Hyperlink"/>
          </w:rPr>
          <w:t>https://www.enisa.europa.eu/sites/default/files/2025-07/ENISA%20Final%20Annual%20Accounts%202024%20%28V1%20-%20e-signed%20%29.pdf</w:t>
        </w:r>
      </w:hyperlink>
      <w:r w:rsidR="00BC7F01">
        <w:t xml:space="preserve"> </w:t>
      </w:r>
    </w:p>
  </w:footnote>
  <w:footnote w:id="134">
    <w:p w14:paraId="26D5D8E4" w14:textId="79C30D9E" w:rsidR="36F4EA69" w:rsidRPr="00FA0083" w:rsidRDefault="36F4EA69" w:rsidP="00882A65">
      <w:pPr>
        <w:pStyle w:val="FootnoteText"/>
      </w:pPr>
      <w:r w:rsidRPr="00FA0083">
        <w:rPr>
          <w:rStyle w:val="FootnoteReference"/>
          <w:rFonts w:eastAsia="Times New Roman"/>
        </w:rPr>
        <w:footnoteRef/>
      </w:r>
      <w:r w:rsidRPr="00FA0083">
        <w:rPr>
          <w:rFonts w:eastAsia="Times New Roman"/>
        </w:rPr>
        <w:t xml:space="preserve"> As outlined in the NIS</w:t>
      </w:r>
      <w:r w:rsidR="00E47D43" w:rsidRPr="00FA0083">
        <w:rPr>
          <w:rFonts w:eastAsia="Times New Roman"/>
        </w:rPr>
        <w:t xml:space="preserve"> </w:t>
      </w:r>
      <w:r w:rsidRPr="00FA0083">
        <w:rPr>
          <w:rFonts w:eastAsia="Times New Roman"/>
        </w:rPr>
        <w:t xml:space="preserve">2 Directive </w:t>
      </w:r>
      <w:r w:rsidR="00BC7F01">
        <w:rPr>
          <w:rFonts w:eastAsia="Times New Roman"/>
        </w:rPr>
        <w:t>i</w:t>
      </w:r>
      <w:r w:rsidRPr="00FA0083">
        <w:rPr>
          <w:rFonts w:eastAsia="Times New Roman"/>
        </w:rPr>
        <w:t>mpact assessment</w:t>
      </w:r>
      <w:r w:rsidR="00BC7F01">
        <w:rPr>
          <w:rFonts w:eastAsia="Times New Roman"/>
        </w:rPr>
        <w:t xml:space="preserve"> report, </w:t>
      </w:r>
      <w:r w:rsidR="00BC7F01" w:rsidRPr="00BC7F01">
        <w:rPr>
          <w:rFonts w:eastAsia="Times New Roman"/>
        </w:rPr>
        <w:t>Brussels, 16.12.2020 SWD(2020) 345 final</w:t>
      </w:r>
    </w:p>
  </w:footnote>
  <w:footnote w:id="135">
    <w:p w14:paraId="2A9BB031" w14:textId="2F270370" w:rsidR="00CA0E35" w:rsidRPr="00FA0083" w:rsidRDefault="00CA0E35" w:rsidP="00882A65">
      <w:pPr>
        <w:pStyle w:val="FootnoteText"/>
      </w:pPr>
      <w:r w:rsidRPr="00FA0083">
        <w:rPr>
          <w:rStyle w:val="FootnoteReference"/>
          <w:rFonts w:eastAsia="Times New Roman"/>
        </w:rPr>
        <w:footnoteRef/>
      </w:r>
      <w:r w:rsidRPr="00FA0083">
        <w:rPr>
          <w:rFonts w:eastAsia="Times New Roman"/>
        </w:rPr>
        <w:t xml:space="preserve"> European Commission (2017). </w:t>
      </w:r>
      <w:r w:rsidRPr="00FA0083">
        <w:rPr>
          <w:rFonts w:eastAsia="Times New Roman"/>
          <w:i/>
        </w:rPr>
        <w:t>Final report on the Evaluation of the European Union Agency for Network and Information Security (ENISA)</w:t>
      </w:r>
      <w:r w:rsidR="008F54DB" w:rsidRPr="00FA0083">
        <w:rPr>
          <w:rFonts w:eastAsia="Times New Roman"/>
        </w:rPr>
        <w:t xml:space="preserve">, </w:t>
      </w:r>
      <w:hyperlink r:id="rId82" w:history="1">
        <w:r w:rsidRPr="00FA0083">
          <w:rPr>
            <w:rStyle w:val="Hyperlink"/>
            <w:rFonts w:eastAsia="Times New Roman"/>
          </w:rPr>
          <w:t>https://digital-strategy.ec.europa.eu/en/library/final-report-evaluation-european-union-agency-network-and-information-security-enisa</w:t>
        </w:r>
      </w:hyperlink>
      <w:r w:rsidR="00F61F37" w:rsidRPr="00FA0083">
        <w:rPr>
          <w:rFonts w:eastAsia="Times New Roman"/>
        </w:rPr>
        <w:t>; European Railway Agency</w:t>
      </w:r>
      <w:r w:rsidR="00A6773E" w:rsidRPr="00FA0083">
        <w:rPr>
          <w:rFonts w:eastAsia="Times New Roman"/>
        </w:rPr>
        <w:t>,</w:t>
      </w:r>
      <w:r w:rsidR="00F61F37" w:rsidRPr="00FA0083">
        <w:rPr>
          <w:rFonts w:eastAsia="Times New Roman"/>
        </w:rPr>
        <w:t xml:space="preserve"> </w:t>
      </w:r>
      <w:r w:rsidR="00F61F37" w:rsidRPr="00FA0083">
        <w:rPr>
          <w:rFonts w:eastAsia="Times New Roman"/>
          <w:i/>
        </w:rPr>
        <w:t>ERA Consolidated Annual Activity Report 2023</w:t>
      </w:r>
      <w:r w:rsidR="00F61F37" w:rsidRPr="00FA0083">
        <w:rPr>
          <w:rFonts w:eastAsia="Times New Roman"/>
        </w:rPr>
        <w:t xml:space="preserve">, </w:t>
      </w:r>
      <w:hyperlink r:id="rId83" w:history="1">
        <w:r w:rsidR="00F61F37" w:rsidRPr="00FA0083">
          <w:rPr>
            <w:rStyle w:val="Hyperlink"/>
            <w:rFonts w:eastAsia="Times New Roman"/>
          </w:rPr>
          <w:t>https://www.era.europa.eu/library/documents-regulations/era-work-programmes-activity-reports</w:t>
        </w:r>
      </w:hyperlink>
      <w:r w:rsidR="00A6773E" w:rsidRPr="00FA0083">
        <w:rPr>
          <w:rFonts w:eastAsia="Times New Roman"/>
        </w:rPr>
        <w:t xml:space="preserve">; and </w:t>
      </w:r>
      <w:r w:rsidR="00F61F37" w:rsidRPr="00FA0083">
        <w:rPr>
          <w:rFonts w:eastAsia="Times New Roman"/>
        </w:rPr>
        <w:t>Cybersecurity Act</w:t>
      </w:r>
      <w:r w:rsidR="00A6773E" w:rsidRPr="00FA0083">
        <w:rPr>
          <w:rFonts w:eastAsia="Times New Roman"/>
        </w:rPr>
        <w:t xml:space="preserve">, </w:t>
      </w:r>
      <w:r w:rsidR="00F61F37" w:rsidRPr="00FA0083">
        <w:rPr>
          <w:rFonts w:eastAsia="Times New Roman"/>
          <w:i/>
        </w:rPr>
        <w:t>Impact Assessment accompanying the document</w:t>
      </w:r>
      <w:r w:rsidR="00F61F37" w:rsidRPr="00FA0083">
        <w:rPr>
          <w:rFonts w:eastAsia="Times New Roman"/>
        </w:rPr>
        <w:t xml:space="preserve">, </w:t>
      </w:r>
      <w:hyperlink r:id="rId84" w:history="1">
        <w:r w:rsidR="00F61F37" w:rsidRPr="00FA0083">
          <w:rPr>
            <w:rStyle w:val="Hyperlink"/>
            <w:rFonts w:eastAsia="Times New Roman"/>
          </w:rPr>
          <w:t>https://eur-lex.europa.eu/legal-content/EN/TXT/?uri=celex:52017SC0500</w:t>
        </w:r>
      </w:hyperlink>
      <w:r w:rsidR="00F61F37" w:rsidRPr="00FA0083">
        <w:rPr>
          <w:rFonts w:eastAsia="Times New Roman"/>
        </w:rPr>
        <w:t>.</w:t>
      </w:r>
    </w:p>
  </w:footnote>
  <w:footnote w:id="136">
    <w:p w14:paraId="0984740F" w14:textId="4C20F3C8" w:rsidR="002163D6" w:rsidRPr="00FA0083" w:rsidRDefault="002163D6">
      <w:pPr>
        <w:pStyle w:val="FootnoteText"/>
      </w:pPr>
      <w:r w:rsidRPr="00FA0083">
        <w:rPr>
          <w:rStyle w:val="FootnoteReference"/>
        </w:rPr>
        <w:footnoteRef/>
      </w:r>
      <w:r w:rsidRPr="00FA0083">
        <w:t xml:space="preserve"> </w:t>
      </w:r>
      <w:r w:rsidRPr="00FA0083">
        <w:rPr>
          <w:rFonts w:eastAsia="Times New Roman"/>
        </w:rPr>
        <w:t>Based on Eurostat data and OECD, the European average salary for ICT roles is approximately EUR 56 500, derived from data adjustments factoring in regional wage disparities and purchasing power variances</w:t>
      </w:r>
      <w:r w:rsidR="00EB3499" w:rsidRPr="00FA0083">
        <w:rPr>
          <w:rFonts w:eastAsia="Times New Roman"/>
        </w:rPr>
        <w:t>.</w:t>
      </w:r>
    </w:p>
  </w:footnote>
  <w:footnote w:id="137">
    <w:p w14:paraId="22BD1D90" w14:textId="555263B0" w:rsidR="490AE425" w:rsidRPr="00FA0083" w:rsidRDefault="490AE425" w:rsidP="00882A65">
      <w:pPr>
        <w:spacing w:after="0"/>
        <w:rPr>
          <w:sz w:val="20"/>
          <w:szCs w:val="20"/>
        </w:rPr>
      </w:pPr>
      <w:r w:rsidRPr="00FA0083">
        <w:rPr>
          <w:rFonts w:eastAsia="Times New Roman"/>
          <w:sz w:val="20"/>
          <w:szCs w:val="20"/>
          <w:vertAlign w:val="superscript"/>
        </w:rPr>
        <w:footnoteRef/>
      </w:r>
      <w:r w:rsidRPr="00FA0083">
        <w:rPr>
          <w:rFonts w:eastAsia="Times New Roman"/>
          <w:sz w:val="20"/>
          <w:szCs w:val="20"/>
        </w:rPr>
        <w:t xml:space="preserve"> The estimate of a number of human resources is based on ENISA’s current resources implementing the Cybersecurity Support Action and the EU Cybersecurity Reserve, currently financed via contribution agreements.</w:t>
      </w:r>
    </w:p>
  </w:footnote>
  <w:footnote w:id="138">
    <w:p w14:paraId="214FD988" w14:textId="3B23F95A" w:rsidR="490AE425" w:rsidRPr="00FA0083" w:rsidRDefault="490AE425" w:rsidP="00882A65">
      <w:pPr>
        <w:spacing w:after="0"/>
        <w:rPr>
          <w:sz w:val="20"/>
          <w:szCs w:val="20"/>
        </w:rPr>
      </w:pPr>
      <w:r w:rsidRPr="00FA0083">
        <w:rPr>
          <w:rFonts w:eastAsia="Times New Roman"/>
          <w:sz w:val="20"/>
          <w:szCs w:val="20"/>
          <w:vertAlign w:val="superscript"/>
        </w:rPr>
        <w:footnoteRef/>
      </w:r>
      <w:r w:rsidRPr="00FA0083">
        <w:rPr>
          <w:rFonts w:eastAsia="Times New Roman"/>
          <w:sz w:val="20"/>
          <w:szCs w:val="20"/>
          <w:vertAlign w:val="superscript"/>
        </w:rPr>
        <w:t xml:space="preserve"> </w:t>
      </w:r>
      <w:r w:rsidRPr="00FA0083">
        <w:rPr>
          <w:rFonts w:eastAsia="Times New Roman"/>
          <w:sz w:val="20"/>
          <w:szCs w:val="20"/>
        </w:rPr>
        <w:t xml:space="preserve">The cost of the procurement of services from trusted </w:t>
      </w:r>
      <w:r w:rsidR="00257C6F" w:rsidRPr="00FA0083">
        <w:rPr>
          <w:rFonts w:eastAsia="Times New Roman"/>
          <w:sz w:val="20"/>
          <w:szCs w:val="20"/>
        </w:rPr>
        <w:t>MSSP</w:t>
      </w:r>
      <w:r w:rsidRPr="00FA0083">
        <w:rPr>
          <w:rFonts w:eastAsia="Times New Roman"/>
          <w:sz w:val="20"/>
          <w:szCs w:val="20"/>
        </w:rPr>
        <w:t xml:space="preserve"> are to be financed from the EU funding programme (currently Digital Europe Programme) via contribution agreement, as provided by the Cyber Solidarity Act.</w:t>
      </w:r>
    </w:p>
  </w:footnote>
  <w:footnote w:id="139">
    <w:p w14:paraId="4C121CD8" w14:textId="437F15B2" w:rsidR="002A1D06" w:rsidRPr="00FA0083" w:rsidRDefault="002A1D06">
      <w:pPr>
        <w:pStyle w:val="FootnoteText"/>
      </w:pPr>
      <w:r w:rsidRPr="00FA0083">
        <w:rPr>
          <w:rStyle w:val="FootnoteReference"/>
        </w:rPr>
        <w:footnoteRef/>
      </w:r>
      <w:r w:rsidRPr="00FA0083">
        <w:t xml:space="preserve"> </w:t>
      </w:r>
      <w:r w:rsidRPr="00FA0083">
        <w:rPr>
          <w:rFonts w:eastAsia="Times New Roman"/>
        </w:rPr>
        <w:t xml:space="preserve">There are 12 ECSF cybersecurity profiles in total which can be divided into subsets. Therefore, there </w:t>
      </w:r>
      <w:r w:rsidR="55340D3A" w:rsidRPr="00FA0083">
        <w:rPr>
          <w:rFonts w:eastAsia="Times New Roman"/>
        </w:rPr>
        <w:t>could</w:t>
      </w:r>
      <w:r w:rsidR="00D95454" w:rsidRPr="00FA0083">
        <w:rPr>
          <w:rFonts w:eastAsia="Times New Roman"/>
        </w:rPr>
        <w:t xml:space="preserve"> be</w:t>
      </w:r>
      <w:r w:rsidRPr="00FA0083">
        <w:rPr>
          <w:rFonts w:eastAsia="Times New Roman"/>
        </w:rPr>
        <w:t xml:space="preserve"> 12 European individual cybersecurity skills attestation schemes</w:t>
      </w:r>
      <w:r w:rsidR="002D22A4" w:rsidRPr="00FA0083">
        <w:rPr>
          <w:rFonts w:eastAsia="Times New Roman"/>
        </w:rPr>
        <w:t xml:space="preserve"> and potentially new ones in the futur</w:t>
      </w:r>
      <w:r w:rsidR="00B22862" w:rsidRPr="00FA0083">
        <w:rPr>
          <w:rFonts w:eastAsia="Times New Roman"/>
        </w:rPr>
        <w:t>e</w:t>
      </w:r>
      <w:r w:rsidRPr="00FA0083">
        <w:rPr>
          <w:rFonts w:eastAsia="Times New Roman"/>
        </w:rPr>
        <w:t>.</w:t>
      </w:r>
    </w:p>
  </w:footnote>
  <w:footnote w:id="140">
    <w:p w14:paraId="02B001EB" w14:textId="51253388" w:rsidR="004C65F5" w:rsidRPr="00FA0083" w:rsidRDefault="004C65F5">
      <w:pPr>
        <w:pStyle w:val="FootnoteText"/>
      </w:pPr>
      <w:r w:rsidRPr="00FA0083">
        <w:rPr>
          <w:rStyle w:val="FootnoteReference"/>
        </w:rPr>
        <w:footnoteRef/>
      </w:r>
      <w:r w:rsidRPr="00FA0083">
        <w:t xml:space="preserve"> </w:t>
      </w:r>
      <w:r w:rsidRPr="00FA0083">
        <w:rPr>
          <w:rFonts w:eastAsia="Times New Roman"/>
        </w:rPr>
        <w:t>Estimation provided by ENISA</w:t>
      </w:r>
      <w:r w:rsidRPr="00FA0083">
        <w:t>.</w:t>
      </w:r>
    </w:p>
  </w:footnote>
  <w:footnote w:id="141">
    <w:p w14:paraId="3907849F" w14:textId="087B063B" w:rsidR="00C87D98" w:rsidRPr="00FA0083" w:rsidRDefault="00C87D98">
      <w:pPr>
        <w:pStyle w:val="FootnoteText"/>
        <w:rPr>
          <w:lang w:val="en-IE"/>
        </w:rPr>
      </w:pPr>
      <w:r w:rsidRPr="00FA0083">
        <w:rPr>
          <w:rStyle w:val="FootnoteReference"/>
        </w:rPr>
        <w:footnoteRef/>
      </w:r>
      <w:r w:rsidR="00BC7F01">
        <w:t xml:space="preserve"> </w:t>
      </w:r>
      <w:r w:rsidRPr="00FA0083">
        <w:rPr>
          <w:rFonts w:eastAsia="Times New Roman"/>
        </w:rPr>
        <w:t>Estimations are provided by analogy based on ENISA’s experience in running pilots on a European individual attestation scheme, implementing the communication on the Cybersecurity Skills Academy.</w:t>
      </w:r>
    </w:p>
  </w:footnote>
  <w:footnote w:id="142">
    <w:p w14:paraId="3D6145B2" w14:textId="428D399F" w:rsidR="003043B5" w:rsidRPr="00FA0083" w:rsidRDefault="003043B5">
      <w:pPr>
        <w:pStyle w:val="FootnoteText"/>
        <w:rPr>
          <w:lang w:val="en-IE"/>
        </w:rPr>
      </w:pPr>
      <w:r w:rsidRPr="00FA0083">
        <w:rPr>
          <w:rStyle w:val="FootnoteReference"/>
        </w:rPr>
        <w:footnoteRef/>
      </w:r>
      <w:r w:rsidRPr="00FA0083">
        <w:t xml:space="preserve"> Slovakia, see </w:t>
      </w:r>
      <w:hyperlink r:id="rId85" w:history="1">
        <w:r w:rsidRPr="00FA0083">
          <w:rPr>
            <w:rStyle w:val="Hyperlink"/>
          </w:rPr>
          <w:t>Decision RR-02: Price list of SNAS services</w:t>
        </w:r>
      </w:hyperlink>
    </w:p>
  </w:footnote>
  <w:footnote w:id="143">
    <w:p w14:paraId="24D75B50" w14:textId="3B3BA0AB" w:rsidR="211C3D34" w:rsidRPr="00FA0083" w:rsidRDefault="211C3D34" w:rsidP="00BC7F01">
      <w:pPr>
        <w:spacing w:after="0"/>
        <w:rPr>
          <w:sz w:val="20"/>
          <w:szCs w:val="20"/>
        </w:rPr>
      </w:pPr>
      <w:r w:rsidRPr="00FA0083">
        <w:rPr>
          <w:sz w:val="20"/>
          <w:szCs w:val="20"/>
        </w:rPr>
        <w:footnoteRef/>
      </w:r>
      <w:r w:rsidRPr="00FA0083">
        <w:rPr>
          <w:sz w:val="20"/>
          <w:szCs w:val="20"/>
        </w:rPr>
        <w:t xml:space="preserve"> See in this regard the mapping of certifications by vendor-neutral providers against the ECSF, e.g. </w:t>
      </w:r>
      <w:hyperlink r:id="rId86" w:history="1">
        <w:r w:rsidRPr="00FA0083">
          <w:rPr>
            <w:rStyle w:val="Hyperlink"/>
            <w:sz w:val="20"/>
            <w:szCs w:val="20"/>
          </w:rPr>
          <w:t>ISC2</w:t>
        </w:r>
      </w:hyperlink>
      <w:r w:rsidRPr="00FA0083">
        <w:rPr>
          <w:sz w:val="20"/>
          <w:szCs w:val="20"/>
        </w:rPr>
        <w:t xml:space="preserve"> and </w:t>
      </w:r>
      <w:hyperlink r:id="rId87" w:history="1">
        <w:r w:rsidRPr="00FA0083">
          <w:rPr>
            <w:rStyle w:val="Hyperlink"/>
            <w:sz w:val="20"/>
            <w:szCs w:val="20"/>
          </w:rPr>
          <w:t>CompTIA</w:t>
        </w:r>
      </w:hyperlink>
      <w:r w:rsidRPr="00FA0083">
        <w:rPr>
          <w:sz w:val="20"/>
          <w:szCs w:val="20"/>
        </w:rPr>
        <w:t xml:space="preserve"> and associated costs of certification exams (</w:t>
      </w:r>
      <w:hyperlink r:id="rId88" w:history="1">
        <w:r w:rsidRPr="00FA0083">
          <w:rPr>
            <w:rStyle w:val="Hyperlink"/>
            <w:rFonts w:eastAsia="Times New Roman"/>
            <w:sz w:val="20"/>
            <w:szCs w:val="20"/>
          </w:rPr>
          <w:t>How Much Do ISC2 Certification Exams Cost?</w:t>
        </w:r>
      </w:hyperlink>
      <w:r w:rsidRPr="00FA0083">
        <w:rPr>
          <w:rFonts w:eastAsia="Times New Roman"/>
          <w:sz w:val="20"/>
          <w:szCs w:val="20"/>
        </w:rPr>
        <w:t xml:space="preserve"> </w:t>
      </w:r>
      <w:r w:rsidRPr="00FA0083">
        <w:rPr>
          <w:sz w:val="20"/>
          <w:szCs w:val="20"/>
        </w:rPr>
        <w:t xml:space="preserve">and </w:t>
      </w:r>
      <w:hyperlink r:id="rId89" w:anchor="cyber" w:history="1">
        <w:r w:rsidRPr="00FA0083">
          <w:rPr>
            <w:rStyle w:val="Hyperlink"/>
            <w:rFonts w:eastAsia="Times New Roman"/>
            <w:sz w:val="20"/>
            <w:szCs w:val="20"/>
          </w:rPr>
          <w:t>IT, AI, and Data Certifications | CompTIA Europe</w:t>
        </w:r>
      </w:hyperlink>
      <w:r w:rsidRPr="00FA0083">
        <w:rPr>
          <w:sz w:val="20"/>
          <w:szCs w:val="20"/>
        </w:rPr>
        <w:t>)</w:t>
      </w:r>
    </w:p>
  </w:footnote>
  <w:footnote w:id="144">
    <w:p w14:paraId="3A969FD4" w14:textId="36FBAA94" w:rsidR="211C3D34" w:rsidRPr="00FA0083" w:rsidRDefault="211C3D34" w:rsidP="211C3D34">
      <w:pPr>
        <w:rPr>
          <w:rFonts w:eastAsia="Times New Roman"/>
          <w:sz w:val="20"/>
          <w:szCs w:val="20"/>
        </w:rPr>
      </w:pPr>
      <w:r w:rsidRPr="00FA0083">
        <w:rPr>
          <w:sz w:val="20"/>
          <w:szCs w:val="20"/>
        </w:rPr>
        <w:footnoteRef/>
      </w:r>
      <w:r w:rsidRPr="00FA0083">
        <w:rPr>
          <w:sz w:val="20"/>
          <w:szCs w:val="20"/>
        </w:rPr>
        <w:t xml:space="preserve"> Experience of private providers of cybersecurity certifications shows that the cost of a certification can vary based on the proficiency level, e.g. a certification for experienced incident handler proves more expensive than a certification for incident handler, see for example GIAC certifications (</w:t>
      </w:r>
      <w:hyperlink r:id="rId90" w:history="1">
        <w:r w:rsidRPr="00FA0083">
          <w:rPr>
            <w:rStyle w:val="Hyperlink"/>
            <w:rFonts w:eastAsia="Times New Roman"/>
            <w:sz w:val="20"/>
            <w:szCs w:val="20"/>
          </w:rPr>
          <w:t>Certification Pricing | GIAC Certifications</w:t>
        </w:r>
      </w:hyperlink>
      <w:r w:rsidRPr="00FA0083">
        <w:rPr>
          <w:rFonts w:eastAsia="Times New Roman"/>
          <w:sz w:val="20"/>
          <w:szCs w:val="20"/>
        </w:rPr>
        <w:t>. This could influence the fees for becoming an authorised provider.</w:t>
      </w:r>
    </w:p>
  </w:footnote>
  <w:footnote w:id="145">
    <w:p w14:paraId="50EB2794" w14:textId="17E55F5F" w:rsidR="00F3041D" w:rsidRPr="00FA0083" w:rsidRDefault="00F3041D" w:rsidP="00F3041D">
      <w:pPr>
        <w:spacing w:after="0"/>
        <w:rPr>
          <w:sz w:val="20"/>
          <w:szCs w:val="20"/>
        </w:rPr>
      </w:pPr>
      <w:r w:rsidRPr="00FA0083">
        <w:rPr>
          <w:sz w:val="20"/>
          <w:szCs w:val="20"/>
          <w:vertAlign w:val="superscript"/>
        </w:rPr>
        <w:footnoteRef/>
      </w:r>
      <w:r w:rsidRPr="00FA0083">
        <w:rPr>
          <w:sz w:val="20"/>
          <w:szCs w:val="20"/>
        </w:rPr>
        <w:t xml:space="preserve"> </w:t>
      </w:r>
      <w:r w:rsidR="00A6773E" w:rsidRPr="00FA0083">
        <w:rPr>
          <w:sz w:val="20"/>
          <w:szCs w:val="20"/>
        </w:rPr>
        <w:t>I</w:t>
      </w:r>
      <w:r w:rsidRPr="00FA0083">
        <w:rPr>
          <w:sz w:val="20"/>
          <w:szCs w:val="20"/>
        </w:rPr>
        <w:t>bid</w:t>
      </w:r>
      <w:r w:rsidR="00A6773E" w:rsidRPr="00FA0083">
        <w:rPr>
          <w:sz w:val="20"/>
          <w:szCs w:val="20"/>
        </w:rPr>
        <w:t>.</w:t>
      </w:r>
    </w:p>
  </w:footnote>
  <w:footnote w:id="146">
    <w:p w14:paraId="5CE2E516" w14:textId="71B4998B" w:rsidR="00F3041D" w:rsidRPr="00FA0083" w:rsidRDefault="00F3041D" w:rsidP="00F3041D">
      <w:pPr>
        <w:pStyle w:val="FootnoteText"/>
      </w:pPr>
      <w:r w:rsidRPr="00FA0083">
        <w:rPr>
          <w:rStyle w:val="FootnoteReference"/>
          <w:rFonts w:eastAsia="Times New Roman"/>
        </w:rPr>
        <w:footnoteRef/>
      </w:r>
      <w:r w:rsidRPr="00FA0083">
        <w:rPr>
          <w:rFonts w:eastAsia="Times New Roman"/>
        </w:rPr>
        <w:t xml:space="preserve"> </w:t>
      </w:r>
      <w:r w:rsidRPr="00FA0083">
        <w:rPr>
          <w:rFonts w:eastAsia="Times New Roman"/>
          <w:color w:val="000000" w:themeColor="text1"/>
        </w:rPr>
        <w:t xml:space="preserve"> Actualised costs estimates based on </w:t>
      </w:r>
      <w:r w:rsidRPr="00FA0083">
        <w:rPr>
          <w:rFonts w:eastAsia="Times New Roman"/>
          <w:i/>
          <w:color w:val="000000" w:themeColor="text1"/>
        </w:rPr>
        <w:t>Final report on the Evaluation of the European Union Agency for Network and Information Security (ENISA)</w:t>
      </w:r>
      <w:r w:rsidRPr="00FA0083">
        <w:rPr>
          <w:rFonts w:eastAsia="Times New Roman"/>
          <w:color w:val="000000" w:themeColor="text1"/>
        </w:rPr>
        <w:t xml:space="preserve">, </w:t>
      </w:r>
      <w:hyperlink r:id="rId91" w:history="1">
        <w:r w:rsidRPr="00FA0083">
          <w:rPr>
            <w:rStyle w:val="Hyperlink"/>
            <w:rFonts w:eastAsia="Times New Roman"/>
          </w:rPr>
          <w:t>https://digital-strategy.ec.europa.eu/en/library/final-report-evaluation-european-union-agency-network-and-information-security-enisa</w:t>
        </w:r>
      </w:hyperlink>
      <w:r w:rsidRPr="00FA0083">
        <w:t>.</w:t>
      </w:r>
    </w:p>
  </w:footnote>
  <w:footnote w:id="147">
    <w:p w14:paraId="5873D249" w14:textId="48E9E7FA" w:rsidR="000E7D75" w:rsidRPr="00FA0083" w:rsidRDefault="000E7D75">
      <w:pPr>
        <w:pStyle w:val="FootnoteText"/>
      </w:pPr>
      <w:r w:rsidRPr="00FA0083">
        <w:rPr>
          <w:rStyle w:val="FootnoteReference"/>
        </w:rPr>
        <w:footnoteRef/>
      </w:r>
      <w:r w:rsidRPr="00FA0083">
        <w:t xml:space="preserve"> ENISA’s FTEs and costs related to the certification are listed under Option B.2 and amount to between </w:t>
      </w:r>
      <w:r w:rsidRPr="00FA0083">
        <w:rPr>
          <w:b/>
          <w:bCs/>
        </w:rPr>
        <w:t>8 (in 2028) and 14 FTEs</w:t>
      </w:r>
      <w:r w:rsidRPr="00FA0083">
        <w:t xml:space="preserve"> (from 2030 onwards). The total number of FTEs could reach between 83 and 89 FTEs by 2030 depending on the combination of policy options (B2/B3 + D2/D3).</w:t>
      </w:r>
    </w:p>
  </w:footnote>
  <w:footnote w:id="148">
    <w:p w14:paraId="07C3CE43" w14:textId="77777777" w:rsidR="0095127E" w:rsidRPr="00FA0083" w:rsidRDefault="0095127E" w:rsidP="0095127E">
      <w:pPr>
        <w:spacing w:after="0"/>
        <w:rPr>
          <w:sz w:val="20"/>
          <w:szCs w:val="20"/>
        </w:rPr>
      </w:pPr>
      <w:r w:rsidRPr="00FA0083">
        <w:rPr>
          <w:rFonts w:eastAsia="Times New Roman"/>
          <w:sz w:val="20"/>
          <w:szCs w:val="20"/>
          <w:vertAlign w:val="superscript"/>
        </w:rPr>
        <w:footnoteRef/>
      </w:r>
      <w:r w:rsidRPr="00FA0083">
        <w:rPr>
          <w:rFonts w:eastAsia="Times New Roman"/>
          <w:sz w:val="20"/>
          <w:szCs w:val="20"/>
          <w:vertAlign w:val="superscript"/>
        </w:rPr>
        <w:t xml:space="preserve"> </w:t>
      </w:r>
      <w:r w:rsidRPr="00FA0083">
        <w:rPr>
          <w:rFonts w:eastAsia="Times New Roman"/>
          <w:sz w:val="20"/>
          <w:szCs w:val="20"/>
        </w:rPr>
        <w:t>Considering that the estimated budget for 2025 for conducting research-related activities is EUR 697 887 (reaching EUR 2.1 million when considering all direct and indirect budget allocations), if such streamlining - using a conservative estimate and focusing only on direct budget allocation - were to amount to 10% of the current effort, this could be dedicated to other activities.</w:t>
      </w:r>
    </w:p>
  </w:footnote>
  <w:footnote w:id="149">
    <w:p w14:paraId="53A30895" w14:textId="77777777" w:rsidR="00F57D9D" w:rsidRPr="00FA0083" w:rsidRDefault="00F57D9D" w:rsidP="00882A65">
      <w:pPr>
        <w:pStyle w:val="FootnoteText"/>
      </w:pPr>
      <w:r w:rsidRPr="00FA0083">
        <w:rPr>
          <w:rStyle w:val="FootnoteReference"/>
          <w:rFonts w:eastAsia="Times New Roman"/>
        </w:rPr>
        <w:footnoteRef/>
      </w:r>
      <w:r w:rsidRPr="00FA0083" w:rsidDel="00211774">
        <w:rPr>
          <w:rFonts w:eastAsia="Times New Roman"/>
        </w:rPr>
        <w:t xml:space="preserve"> </w:t>
      </w:r>
      <w:r w:rsidRPr="00FA0083">
        <w:rPr>
          <w:rFonts w:eastAsia="Times New Roman"/>
        </w:rPr>
        <w:t>ENISA</w:t>
      </w:r>
      <w:r w:rsidR="00113873" w:rsidRPr="00FA0083">
        <w:rPr>
          <w:rFonts w:eastAsia="Times New Roman"/>
        </w:rPr>
        <w:t>,</w:t>
      </w:r>
      <w:r w:rsidRPr="00FA0083">
        <w:rPr>
          <w:rFonts w:eastAsia="Times New Roman"/>
        </w:rPr>
        <w:t xml:space="preserve"> </w:t>
      </w:r>
      <w:r w:rsidRPr="00FA0083">
        <w:rPr>
          <w:rFonts w:eastAsia="Times New Roman"/>
          <w:i/>
        </w:rPr>
        <w:t>2023 Consolidated Annual Activity Report</w:t>
      </w:r>
      <w:r w:rsidR="00257C6F" w:rsidRPr="00FA0083">
        <w:rPr>
          <w:rFonts w:eastAsia="Times New Roman"/>
        </w:rPr>
        <w:t>,</w:t>
      </w:r>
      <w:r w:rsidRPr="00FA0083">
        <w:rPr>
          <w:rFonts w:eastAsia="Times New Roman"/>
        </w:rPr>
        <w:t xml:space="preserve"> </w:t>
      </w:r>
      <w:hyperlink r:id="rId92" w:history="1">
        <w:r w:rsidRPr="00FA0083">
          <w:rPr>
            <w:rStyle w:val="Hyperlink"/>
            <w:rFonts w:eastAsia="Times New Roman"/>
          </w:rPr>
          <w:t>https://www.enisa.europa.eu/publications/corporate-documents/enisa-consolidated-annual-activity-report-2023</w:t>
        </w:r>
      </w:hyperlink>
      <w:r w:rsidR="00257C6F" w:rsidRPr="00FA0083">
        <w:rPr>
          <w:rFonts w:eastAsia="Times New Roman"/>
        </w:rPr>
        <w:t>.</w:t>
      </w:r>
      <w:r w:rsidR="00A17D72" w:rsidRPr="00FA0083">
        <w:rPr>
          <w:rFonts w:eastAsia="Times New Roman"/>
        </w:rPr>
        <w:t xml:space="preserve"> , ENISA was involved in 775 incidents in 2022. </w:t>
      </w:r>
    </w:p>
  </w:footnote>
  <w:footnote w:id="150">
    <w:p w14:paraId="1997BA07" w14:textId="77777777" w:rsidR="001B27B5" w:rsidRPr="00FA0083" w:rsidRDefault="001B27B5" w:rsidP="001B27B5">
      <w:pPr>
        <w:pStyle w:val="FootnoteText"/>
      </w:pPr>
      <w:r w:rsidRPr="00FA0083">
        <w:rPr>
          <w:rStyle w:val="FootnoteReference"/>
          <w:rFonts w:eastAsia="Times New Roman"/>
        </w:rPr>
        <w:footnoteRef/>
      </w:r>
      <w:r w:rsidRPr="00FA0083" w:rsidDel="00211774">
        <w:rPr>
          <w:rFonts w:eastAsia="Times New Roman"/>
        </w:rPr>
        <w:t xml:space="preserve"> </w:t>
      </w:r>
      <w:r w:rsidRPr="00FA0083">
        <w:rPr>
          <w:rFonts w:eastAsia="Times New Roman"/>
        </w:rPr>
        <w:t xml:space="preserve">ENISA 2023 Consolidated Annual Activity Report, </w:t>
      </w:r>
      <w:hyperlink r:id="rId93" w:history="1">
        <w:r w:rsidRPr="00FA0083">
          <w:rPr>
            <w:rStyle w:val="Hyperlink"/>
            <w:rFonts w:eastAsia="Times New Roman"/>
          </w:rPr>
          <w:t>https://www.enisa.europa.eu/publications/corporate-documents/enisa-consolidated-annual-activity-report-2023</w:t>
        </w:r>
      </w:hyperlink>
      <w:r w:rsidRPr="00FA0083">
        <w:rPr>
          <w:rFonts w:eastAsia="Times New Roman"/>
        </w:rPr>
        <w:t>.</w:t>
      </w:r>
    </w:p>
  </w:footnote>
  <w:footnote w:id="151">
    <w:p w14:paraId="3B077C89" w14:textId="185A1831" w:rsidR="000E11ED" w:rsidRPr="00FA0083" w:rsidRDefault="000E11ED" w:rsidP="00F5051E">
      <w:pPr>
        <w:spacing w:after="0"/>
        <w:rPr>
          <w:sz w:val="20"/>
          <w:szCs w:val="20"/>
        </w:rPr>
      </w:pPr>
      <w:r w:rsidRPr="00FA0083">
        <w:rPr>
          <w:rStyle w:val="FootnoteReference"/>
          <w:sz w:val="20"/>
          <w:szCs w:val="20"/>
        </w:rPr>
        <w:footnoteRef/>
      </w:r>
      <w:r w:rsidRPr="00FA0083">
        <w:rPr>
          <w:sz w:val="20"/>
          <w:szCs w:val="20"/>
        </w:rPr>
        <w:t xml:space="preserve"> IBM, Cost of a data breach report 2025, </w:t>
      </w:r>
      <w:hyperlink r:id="rId94">
        <w:r w:rsidRPr="00FA0083">
          <w:rPr>
            <w:rStyle w:val="Hyperlink"/>
            <w:sz w:val="20"/>
            <w:szCs w:val="20"/>
          </w:rPr>
          <w:t>https://www.ibm.com/downloads/documents/us-en/131cf87b20b31c91</w:t>
        </w:r>
      </w:hyperlink>
      <w:r w:rsidRPr="00FA0083">
        <w:rPr>
          <w:sz w:val="20"/>
          <w:szCs w:val="20"/>
        </w:rPr>
        <w:t xml:space="preserve">; IBM, </w:t>
      </w:r>
      <w:r w:rsidRPr="00FA0083">
        <w:rPr>
          <w:i/>
          <w:iCs/>
          <w:sz w:val="20"/>
          <w:szCs w:val="20"/>
        </w:rPr>
        <w:t>Cost of data breach: financial industry 2024</w:t>
      </w:r>
      <w:r w:rsidRPr="00FA0083">
        <w:rPr>
          <w:sz w:val="20"/>
          <w:szCs w:val="20"/>
        </w:rPr>
        <w:t xml:space="preserve">,  </w:t>
      </w:r>
      <w:hyperlink r:id="rId95" w:history="1">
        <w:r w:rsidRPr="00FA0083">
          <w:rPr>
            <w:rStyle w:val="Hyperlink"/>
            <w:sz w:val="20"/>
            <w:szCs w:val="20"/>
          </w:rPr>
          <w:t>https://www.ibm.com/think/insights/cost-of-a-data-breach-2024-financial-industry</w:t>
        </w:r>
      </w:hyperlink>
      <w:r w:rsidRPr="00FA0083">
        <w:rPr>
          <w:sz w:val="20"/>
          <w:szCs w:val="20"/>
        </w:rPr>
        <w:t>.</w:t>
      </w:r>
    </w:p>
  </w:footnote>
  <w:footnote w:id="152">
    <w:p w14:paraId="44A7133C" w14:textId="77777777" w:rsidR="00046A46" w:rsidRPr="00FA0083" w:rsidRDefault="00046A46" w:rsidP="00046A46">
      <w:pPr>
        <w:spacing w:after="0"/>
        <w:rPr>
          <w:sz w:val="20"/>
          <w:szCs w:val="20"/>
        </w:rPr>
      </w:pPr>
      <w:r w:rsidRPr="00FA0083">
        <w:rPr>
          <w:rStyle w:val="FootnoteReference"/>
          <w:sz w:val="20"/>
          <w:szCs w:val="20"/>
        </w:rPr>
        <w:footnoteRef/>
      </w:r>
      <w:r w:rsidRPr="00FA0083">
        <w:rPr>
          <w:sz w:val="20"/>
          <w:szCs w:val="20"/>
        </w:rPr>
        <w:t xml:space="preserve"> </w:t>
      </w:r>
      <w:r w:rsidRPr="00FA0083">
        <w:rPr>
          <w:rFonts w:eastAsia="Times New Roman"/>
          <w:sz w:val="20"/>
          <w:szCs w:val="20"/>
        </w:rPr>
        <w:t>Pearson VUE 2025 Value of Certification Report - Candidate Report</w:t>
      </w:r>
    </w:p>
  </w:footnote>
  <w:footnote w:id="153">
    <w:p w14:paraId="1EEDF0F9" w14:textId="5CBA7FA5" w:rsidR="00046A46" w:rsidRPr="00FA0083" w:rsidRDefault="00046A46" w:rsidP="00046A46">
      <w:pPr>
        <w:spacing w:after="0"/>
        <w:rPr>
          <w:rFonts w:eastAsia="Times New Roman"/>
          <w:sz w:val="20"/>
          <w:szCs w:val="20"/>
          <w:lang w:val="fr-BE"/>
        </w:rPr>
      </w:pPr>
      <w:r w:rsidRPr="00FA0083">
        <w:rPr>
          <w:rStyle w:val="FootnoteReference"/>
          <w:sz w:val="20"/>
          <w:szCs w:val="20"/>
        </w:rPr>
        <w:footnoteRef/>
      </w:r>
      <w:r w:rsidRPr="00FA0083">
        <w:rPr>
          <w:sz w:val="20"/>
          <w:szCs w:val="20"/>
          <w:lang w:val="fr-FR"/>
        </w:rPr>
        <w:t xml:space="preserve"> </w:t>
      </w:r>
      <w:r w:rsidRPr="00FA0083">
        <w:rPr>
          <w:rFonts w:eastAsia="Times New Roman"/>
          <w:sz w:val="20"/>
          <w:szCs w:val="20"/>
          <w:lang w:val="fr-BE"/>
        </w:rPr>
        <w:t>Agence nationale de la sécurité des systèmes d'information (ANSSI) (2025), Etude 2025: Les professionnels de la cybersécurité</w:t>
      </w:r>
      <w:r w:rsidRPr="00FA0083" w:rsidDel="00675D0D">
        <w:rPr>
          <w:rFonts w:eastAsia="Times New Roman"/>
          <w:sz w:val="20"/>
          <w:szCs w:val="20"/>
          <w:lang w:val="fr-BE"/>
        </w:rPr>
        <w:t xml:space="preserve">, </w:t>
      </w:r>
      <w:r w:rsidRPr="00FA0083">
        <w:rPr>
          <w:rFonts w:eastAsia="Times New Roman"/>
          <w:sz w:val="20"/>
          <w:szCs w:val="20"/>
          <w:lang w:val="fr-BE"/>
        </w:rPr>
        <w:t> </w:t>
      </w:r>
      <w:hyperlink r:id="rId96" w:history="1">
        <w:r w:rsidRPr="00FA0083">
          <w:rPr>
            <w:rStyle w:val="Hyperlink"/>
            <w:rFonts w:eastAsia="Times New Roman"/>
            <w:sz w:val="20"/>
            <w:szCs w:val="20"/>
            <w:lang w:val="fr-BE"/>
          </w:rPr>
          <w:t>https://cyber.gouv.fr/sites/default/files/document/Etude_des_professionnels_de_la_cybers%C3%A9curit%C3%A9_VF2.pdf</w:t>
        </w:r>
      </w:hyperlink>
    </w:p>
  </w:footnote>
  <w:footnote w:id="154">
    <w:p w14:paraId="29424505" w14:textId="77777777" w:rsidR="00046A46" w:rsidRPr="00FA0083" w:rsidRDefault="00046A46" w:rsidP="00046A46">
      <w:pPr>
        <w:spacing w:after="0"/>
        <w:rPr>
          <w:sz w:val="20"/>
          <w:szCs w:val="20"/>
        </w:rPr>
      </w:pPr>
      <w:r w:rsidRPr="00FA0083">
        <w:rPr>
          <w:rFonts w:eastAsia="Times New Roman"/>
          <w:sz w:val="20"/>
          <w:szCs w:val="20"/>
          <w:vertAlign w:val="superscript"/>
        </w:rPr>
        <w:footnoteRef/>
      </w:r>
      <w:r w:rsidRPr="00FA0083">
        <w:rPr>
          <w:rFonts w:eastAsia="Times New Roman"/>
          <w:sz w:val="20"/>
          <w:szCs w:val="20"/>
        </w:rPr>
        <w:t xml:space="preserve"> Fortinet. (2023). 2023 Cybersecurity Skills Gap Report, </w:t>
      </w:r>
      <w:hyperlink r:id="rId97" w:history="1">
        <w:r w:rsidRPr="00FA0083">
          <w:rPr>
            <w:rStyle w:val="Hyperlink"/>
            <w:rFonts w:eastAsia="Times New Roman"/>
            <w:color w:val="0000FF"/>
            <w:sz w:val="20"/>
            <w:szCs w:val="20"/>
          </w:rPr>
          <w:t>https://www.fortinet.com/content/dam/fortinet/assets/reports/2023-cybersecurity-skills-gap-report.pdf</w:t>
        </w:r>
      </w:hyperlink>
    </w:p>
  </w:footnote>
  <w:footnote w:id="155">
    <w:p w14:paraId="33A2A9A1" w14:textId="7A1910E0" w:rsidR="00A77FD3" w:rsidRPr="00FA0083" w:rsidRDefault="00A77FD3" w:rsidP="00A77FD3">
      <w:pPr>
        <w:pStyle w:val="FootnoteText"/>
      </w:pPr>
      <w:r w:rsidRPr="00FA0083">
        <w:rPr>
          <w:rStyle w:val="FootnoteReference"/>
        </w:rPr>
        <w:footnoteRef/>
      </w:r>
      <w:r w:rsidRPr="00FA0083">
        <w:t xml:space="preserve"> </w:t>
      </w:r>
      <w:r w:rsidR="00D836CB" w:rsidRPr="00FA0083">
        <w:t>ENISA</w:t>
      </w:r>
      <w:r w:rsidRPr="00FA0083">
        <w:t xml:space="preserve">, </w:t>
      </w:r>
      <w:r w:rsidRPr="00FA0083">
        <w:rPr>
          <w:i/>
        </w:rPr>
        <w:t>CONFORMITY ASSESSMENT OF Qualified Trusted Service Providers - Technical guidelines for conformity assessment of qualified trust service providers</w:t>
      </w:r>
      <w:r w:rsidRPr="00FA0083">
        <w:t>,</w:t>
      </w:r>
      <w:r w:rsidR="00113873" w:rsidRPr="00FA0083">
        <w:t xml:space="preserve"> </w:t>
      </w:r>
      <w:hyperlink r:id="rId98" w:history="1">
        <w:r w:rsidRPr="00FA0083">
          <w:rPr>
            <w:rStyle w:val="Hyperlink"/>
          </w:rPr>
          <w:t>https://www.enisa.europa.eu/sites/default/files/publications/ENISA%20Report%20-%20Conformity%20Assessment%20of%20Qualified%20Trust%20Service%20Providers.pdf</w:t>
        </w:r>
      </w:hyperlink>
      <w:r w:rsidRPr="00FA0083">
        <w:t xml:space="preserve"> </w:t>
      </w:r>
    </w:p>
  </w:footnote>
  <w:footnote w:id="156">
    <w:p w14:paraId="0CC48815" w14:textId="7D3380F9" w:rsidR="00916D27" w:rsidRPr="00FA0083" w:rsidRDefault="00916D27">
      <w:pPr>
        <w:pStyle w:val="FootnoteText"/>
        <w:rPr>
          <w:lang w:val="en-IE"/>
        </w:rPr>
      </w:pPr>
      <w:r w:rsidRPr="00FA0083">
        <w:rPr>
          <w:rStyle w:val="FootnoteReference"/>
        </w:rPr>
        <w:footnoteRef/>
      </w:r>
      <w:r w:rsidRPr="00FA0083">
        <w:t xml:space="preserve"> </w:t>
      </w:r>
      <w:r w:rsidR="00032A6F" w:rsidRPr="00FA0083">
        <w:t xml:space="preserve">SWD(2022) 282 final, </w:t>
      </w:r>
      <w:r w:rsidR="00380712" w:rsidRPr="00FA0083">
        <w:t xml:space="preserve">see in particular page 60. </w:t>
      </w:r>
    </w:p>
  </w:footnote>
  <w:footnote w:id="157">
    <w:p w14:paraId="1758D6B8" w14:textId="77777777" w:rsidR="00970760" w:rsidRPr="00FA0083" w:rsidRDefault="00970760">
      <w:pPr>
        <w:rPr>
          <w:sz w:val="20"/>
          <w:szCs w:val="20"/>
        </w:rPr>
      </w:pPr>
    </w:p>
    <w:p w14:paraId="1F1C3BD7" w14:textId="77777777" w:rsidR="005C67AB" w:rsidRPr="00FA0083" w:rsidRDefault="005C67AB">
      <w:pPr>
        <w:rPr>
          <w:sz w:val="20"/>
          <w:szCs w:val="20"/>
        </w:rPr>
      </w:pPr>
    </w:p>
  </w:footnote>
  <w:footnote w:id="158">
    <w:p w14:paraId="3B4B31AF" w14:textId="07F1875B" w:rsidR="00CE2747" w:rsidRPr="00FA0083" w:rsidRDefault="00CE2747" w:rsidP="00CE2747">
      <w:pPr>
        <w:pStyle w:val="FootnoteText"/>
      </w:pPr>
      <w:r w:rsidRPr="00FA0083">
        <w:rPr>
          <w:rStyle w:val="FootnoteReference"/>
          <w:rFonts w:eastAsia="Times New Roman"/>
        </w:rPr>
        <w:footnoteRef/>
      </w:r>
      <w:r w:rsidRPr="00FA0083">
        <w:rPr>
          <w:rFonts w:eastAsia="Times New Roman"/>
        </w:rPr>
        <w:t xml:space="preserve"> For instance, </w:t>
      </w:r>
      <w:r w:rsidR="00C41DE1" w:rsidRPr="00FA0083">
        <w:rPr>
          <w:rFonts w:eastAsia="Times New Roman"/>
        </w:rPr>
        <w:t>insurances</w:t>
      </w:r>
      <w:r w:rsidRPr="00FA0083">
        <w:rPr>
          <w:rFonts w:eastAsia="Times New Roman"/>
        </w:rPr>
        <w:t xml:space="preserve"> like Embroker</w:t>
      </w:r>
      <w:r w:rsidR="00113873" w:rsidRPr="00FA0083">
        <w:rPr>
          <w:rFonts w:eastAsia="Times New Roman"/>
        </w:rPr>
        <w:t xml:space="preserve">, </w:t>
      </w:r>
      <w:hyperlink r:id="rId99">
        <w:r w:rsidR="00113873" w:rsidRPr="00FA0083">
          <w:rPr>
            <w:rStyle w:val="Hyperlink"/>
            <w:rFonts w:eastAsia="Times New Roman"/>
          </w:rPr>
          <w:t>https://www.embroker.com/blog/cyber-insurance-cost/</w:t>
        </w:r>
      </w:hyperlink>
      <w:r w:rsidR="00113873" w:rsidRPr="00FA0083">
        <w:t>,</w:t>
      </w:r>
      <w:r w:rsidRPr="00FA0083">
        <w:rPr>
          <w:rFonts w:eastAsia="Times New Roman"/>
        </w:rPr>
        <w:t xml:space="preserve"> in the US specify the strength of the security measures as one of the criteria to determine the insurance cost</w:t>
      </w:r>
      <w:r w:rsidR="00113873" w:rsidRPr="00FA0083">
        <w:rPr>
          <w:rFonts w:eastAsia="Times New Roman"/>
        </w:rPr>
        <w:t>.</w:t>
      </w:r>
      <w:r w:rsidRPr="00FA0083">
        <w:rPr>
          <w:rFonts w:eastAsia="Times New Roman"/>
        </w:rPr>
        <w:t xml:space="preserve"> </w:t>
      </w:r>
      <w:r w:rsidR="00113873" w:rsidRPr="00FA0083">
        <w:rPr>
          <w:rFonts w:eastAsia="Times New Roman"/>
        </w:rPr>
        <w:t xml:space="preserve">Other </w:t>
      </w:r>
      <w:r w:rsidRPr="00FA0083">
        <w:rPr>
          <w:rFonts w:eastAsia="Times New Roman"/>
        </w:rPr>
        <w:t>insurers like Marsh,</w:t>
      </w:r>
      <w:r w:rsidR="00113873" w:rsidRPr="00FA0083">
        <w:rPr>
          <w:rFonts w:eastAsia="Times New Roman"/>
        </w:rPr>
        <w:t xml:space="preserve"> </w:t>
      </w:r>
      <w:hyperlink r:id="rId100" w:history="1">
        <w:r w:rsidR="00113873" w:rsidRPr="00FA0083">
          <w:rPr>
            <w:rStyle w:val="Hyperlink"/>
            <w:rFonts w:eastAsia="Times New Roman"/>
          </w:rPr>
          <w:t>https://www.marsh.com/en/services/cyber-risk/expertise/cyber-self-assessment.html</w:t>
        </w:r>
      </w:hyperlink>
      <w:r w:rsidR="00113873" w:rsidRPr="00FA0083">
        <w:rPr>
          <w:rFonts w:eastAsia="Times New Roman"/>
        </w:rPr>
        <w:t>,</w:t>
      </w:r>
      <w:r w:rsidRPr="00FA0083">
        <w:rPr>
          <w:rFonts w:eastAsia="Times New Roman"/>
        </w:rPr>
        <w:t xml:space="preserve"> active in the EU, provide detailed cyber risk assessment procedures and criteria – including organisation security control measures and details - in order to provide cyber insurances and correctly estimate the premium based on cybersecurity maturity compared to peer businesses</w:t>
      </w:r>
      <w:r w:rsidR="00113873" w:rsidRPr="00FA0083">
        <w:rPr>
          <w:rFonts w:eastAsia="Times New Roman"/>
        </w:rPr>
        <w:t>,</w:t>
      </w:r>
      <w:r w:rsidRPr="00FA0083">
        <w:rPr>
          <w:rFonts w:eastAsia="Times New Roman"/>
        </w:rPr>
        <w:t xml:space="preserve"> </w:t>
      </w:r>
      <w:hyperlink r:id="rId101" w:history="1">
        <w:r w:rsidRPr="00FA0083">
          <w:rPr>
            <w:rStyle w:val="Hyperlink"/>
            <w:rFonts w:eastAsia="Times New Roman"/>
          </w:rPr>
          <w:t>https://affinity.marsh.com/cyber-accelerate/application-requirements.html</w:t>
        </w:r>
      </w:hyperlink>
      <w:r w:rsidRPr="00FA0083">
        <w:rPr>
          <w:rFonts w:eastAsia="Times New Roman"/>
        </w:rPr>
        <w:t>.</w:t>
      </w:r>
    </w:p>
  </w:footnote>
  <w:footnote w:id="159">
    <w:p w14:paraId="4EBDD7CC" w14:textId="306893ED" w:rsidR="00CE2747" w:rsidRPr="00FA0083" w:rsidRDefault="00CE2747" w:rsidP="00CE2747">
      <w:pPr>
        <w:pStyle w:val="FootnoteText"/>
      </w:pPr>
      <w:r w:rsidRPr="00FA0083">
        <w:rPr>
          <w:rStyle w:val="FootnoteReference"/>
          <w:rFonts w:eastAsia="Times New Roman"/>
        </w:rPr>
        <w:footnoteRef/>
      </w:r>
      <w:r w:rsidRPr="00FA0083">
        <w:rPr>
          <w:rFonts w:eastAsia="Times New Roman"/>
        </w:rPr>
        <w:t xml:space="preserve"> Howden. </w:t>
      </w:r>
      <w:r w:rsidRPr="00FA0083">
        <w:rPr>
          <w:rFonts w:eastAsia="Times New Roman"/>
          <w:i/>
        </w:rPr>
        <w:t>2024 Cyber insurance - Risk, resilience and relevance</w:t>
      </w:r>
      <w:r w:rsidRPr="00FA0083">
        <w:rPr>
          <w:rFonts w:eastAsia="Times New Roman"/>
        </w:rPr>
        <w:t xml:space="preserve">, </w:t>
      </w:r>
      <w:hyperlink r:id="rId102" w:history="1">
        <w:r w:rsidR="002D00AA" w:rsidRPr="00FA0083">
          <w:rPr>
            <w:rStyle w:val="Hyperlink"/>
            <w:rFonts w:eastAsia="Times New Roman"/>
          </w:rPr>
          <w:t>https://www.howdengroupholdings.com/sites/default/files/2024-06/howden-2024-cyber-report.pdf</w:t>
        </w:r>
      </w:hyperlink>
      <w:r w:rsidR="00113873" w:rsidRPr="00FA0083">
        <w:rPr>
          <w:rFonts w:eastAsia="Times New Roman"/>
        </w:rPr>
        <w:t>.</w:t>
      </w:r>
    </w:p>
  </w:footnote>
  <w:footnote w:id="160">
    <w:p w14:paraId="3B1D98A1" w14:textId="52BF5BF7" w:rsidR="00EF75D0" w:rsidRPr="00FA0083" w:rsidRDefault="00EF75D0">
      <w:pPr>
        <w:pStyle w:val="FootnoteText"/>
      </w:pPr>
      <w:r w:rsidRPr="00FA0083">
        <w:rPr>
          <w:rStyle w:val="FootnoteReference"/>
        </w:rPr>
        <w:footnoteRef/>
      </w:r>
      <w:r w:rsidRPr="00FA0083">
        <w:t xml:space="preserve"> </w:t>
      </w:r>
      <w:r w:rsidR="00522491" w:rsidRPr="00FA0083">
        <w:t xml:space="preserve">As indicated in Annex </w:t>
      </w:r>
      <w:r w:rsidR="00090C54" w:rsidRPr="00FA0083">
        <w:t>4</w:t>
      </w:r>
      <w:r w:rsidR="005A2E61" w:rsidRPr="00FA0083">
        <w:t xml:space="preserve">, the average salary of a cybersecurity specialisation professional in Europe is EUR 56 500. </w:t>
      </w:r>
      <w:r w:rsidR="000550F3" w:rsidRPr="00FA0083">
        <w:t xml:space="preserve">Further explanations related to this calculation are provided in Annex </w:t>
      </w:r>
      <w:r w:rsidR="00BA44F7" w:rsidRPr="00FA0083">
        <w:t>4</w:t>
      </w:r>
      <w:r w:rsidR="000550F3" w:rsidRPr="00FA0083">
        <w:t>.</w:t>
      </w:r>
    </w:p>
  </w:footnote>
  <w:footnote w:id="161">
    <w:p w14:paraId="2C360835" w14:textId="3C1B6A8A" w:rsidR="0096754A" w:rsidRPr="00FA0083" w:rsidRDefault="0096754A">
      <w:pPr>
        <w:pStyle w:val="FootnoteText"/>
        <w:rPr>
          <w:lang w:val="en-US"/>
        </w:rPr>
      </w:pPr>
      <w:r w:rsidRPr="00FA0083">
        <w:rPr>
          <w:rStyle w:val="FootnoteReference"/>
        </w:rPr>
        <w:footnoteRef/>
      </w:r>
      <w:r w:rsidRPr="00FA0083">
        <w:rPr>
          <w:lang w:val="en-US"/>
        </w:rPr>
        <w:t xml:space="preserve"> 1</w:t>
      </w:r>
      <w:r w:rsidR="009E5648" w:rsidRPr="00FA0083">
        <w:rPr>
          <w:lang w:val="en-US"/>
        </w:rPr>
        <w:t>59 7</w:t>
      </w:r>
      <w:r w:rsidRPr="00FA0083">
        <w:rPr>
          <w:lang w:val="en-US"/>
        </w:rPr>
        <w:t xml:space="preserve">00 NIS2 entities </w:t>
      </w:r>
      <w:r w:rsidR="006F6A80" w:rsidRPr="00FA0083">
        <w:rPr>
          <w:lang w:val="en-US"/>
        </w:rPr>
        <w:t>[</w:t>
      </w:r>
      <w:r w:rsidR="00E54FC5" w:rsidRPr="00FA0083">
        <w:rPr>
          <w:lang w:val="en-US"/>
        </w:rPr>
        <w:t>188 000 NIS2 entities</w:t>
      </w:r>
      <w:r w:rsidR="008A7BDD" w:rsidRPr="00FA0083">
        <w:rPr>
          <w:lang w:val="en-US"/>
        </w:rPr>
        <w:t xml:space="preserve"> minus </w:t>
      </w:r>
      <w:r w:rsidR="00D50DB6" w:rsidRPr="00FA0083">
        <w:rPr>
          <w:lang w:val="en-US"/>
        </w:rPr>
        <w:t>28</w:t>
      </w:r>
      <w:r w:rsidR="00113873" w:rsidRPr="00FA0083">
        <w:rPr>
          <w:lang w:val="en-US"/>
        </w:rPr>
        <w:t xml:space="preserve"> </w:t>
      </w:r>
      <w:r w:rsidR="00D50DB6" w:rsidRPr="00FA0083">
        <w:rPr>
          <w:lang w:val="en-US"/>
        </w:rPr>
        <w:t>700 entities following the NIS2 scope clarifications</w:t>
      </w:r>
      <w:r w:rsidR="00961804" w:rsidRPr="00FA0083">
        <w:rPr>
          <w:lang w:val="en-US"/>
        </w:rPr>
        <w:t>]</w:t>
      </w:r>
      <w:r w:rsidR="00D50DB6" w:rsidRPr="00FA0083">
        <w:rPr>
          <w:lang w:val="en-US"/>
        </w:rPr>
        <w:t xml:space="preserve"> and </w:t>
      </w:r>
      <w:r w:rsidRPr="00FA0083">
        <w:rPr>
          <w:lang w:val="en-US"/>
        </w:rPr>
        <w:t>22 000 DORA entities</w:t>
      </w:r>
      <w:r w:rsidR="00113873" w:rsidRPr="00FA0083">
        <w:rPr>
          <w:lang w:val="en-US"/>
        </w:rPr>
        <w:t>, see</w:t>
      </w:r>
      <w:r w:rsidR="00D23FCD" w:rsidRPr="00FA0083">
        <w:rPr>
          <w:lang w:val="en-US"/>
        </w:rPr>
        <w:t xml:space="preserve"> </w:t>
      </w:r>
      <w:hyperlink r:id="rId103" w:history="1">
        <w:r w:rsidR="00D23FCD" w:rsidRPr="00FA0083">
          <w:rPr>
            <w:rStyle w:val="Hyperlink"/>
            <w:lang w:val="en-US"/>
          </w:rPr>
          <w:t>https://www.pwc.com/mt/en/services/pwc-digital-services/cyber-security-and-privacy/cyber-security-services/dora.html</w:t>
        </w:r>
      </w:hyperlink>
      <w:r w:rsidR="00521DBC" w:rsidRPr="00FA0083">
        <w:rPr>
          <w:lang w:val="en-US"/>
        </w:rPr>
        <w:t xml:space="preserve">. </w:t>
      </w:r>
      <w:r w:rsidR="006F6A80" w:rsidRPr="00FA0083">
        <w:rPr>
          <w:lang w:val="en-US"/>
        </w:rPr>
        <w:t xml:space="preserve"> </w:t>
      </w:r>
    </w:p>
  </w:footnote>
  <w:footnote w:id="162">
    <w:p w14:paraId="134FF317" w14:textId="15FD100E" w:rsidR="00190B4A" w:rsidRPr="00FA0083" w:rsidRDefault="00190B4A">
      <w:pPr>
        <w:pStyle w:val="FootnoteText"/>
      </w:pPr>
      <w:r w:rsidRPr="00FA0083">
        <w:rPr>
          <w:rStyle w:val="FootnoteReference"/>
        </w:rPr>
        <w:footnoteRef/>
      </w:r>
      <w:r w:rsidRPr="00FA0083">
        <w:t xml:space="preserve"> The estimation of the number of affected DNS service providers and number of entities affected by clarifying and the definitions and types of entities is based on an extrapolation of the number of essential and important entities that Member States notified the Commission of pursuant to Article 3(5) of the NIS 2 Directive </w:t>
      </w:r>
      <w:r w:rsidR="00682E08" w:rsidRPr="00FA0083">
        <w:t>as of October 2025</w:t>
      </w:r>
      <w:r w:rsidRPr="00FA0083">
        <w:t xml:space="preserve">. </w:t>
      </w:r>
    </w:p>
  </w:footnote>
  <w:footnote w:id="163">
    <w:p w14:paraId="604A8CAA" w14:textId="4FA6E002" w:rsidR="003442BA" w:rsidRPr="00FA0083" w:rsidRDefault="003442BA">
      <w:pPr>
        <w:pStyle w:val="FootnoteText"/>
      </w:pPr>
      <w:r w:rsidRPr="00FA0083">
        <w:rPr>
          <w:rStyle w:val="FootnoteReference"/>
        </w:rPr>
        <w:footnoteRef/>
      </w:r>
      <w:r w:rsidRPr="00FA0083">
        <w:t xml:space="preserve"> Entities that would </w:t>
      </w:r>
      <w:r w:rsidR="004016BF" w:rsidRPr="00FA0083">
        <w:t xml:space="preserve">be important and essential entities that </w:t>
      </w:r>
      <w:r w:rsidR="00731938" w:rsidRPr="00FA0083">
        <w:t>have a strong incentive to certify would be those having cross-border activities and</w:t>
      </w:r>
      <w:r w:rsidR="004016BF" w:rsidRPr="00FA0083">
        <w:t>/or</w:t>
      </w:r>
      <w:r w:rsidR="00731938" w:rsidRPr="00FA0083">
        <w:t xml:space="preserve"> covered by an ex-ante supervision regime under NIS2, hence they are expected to already have strong cybersecurity risk management measures in place. </w:t>
      </w:r>
      <w:r w:rsidR="004016BF" w:rsidRPr="00FA0083">
        <w:t xml:space="preserve">Sectors would include: manufacturing, digital service providers, </w:t>
      </w:r>
      <w:r w:rsidR="00E9472E" w:rsidRPr="00FA0083">
        <w:t xml:space="preserve">transport. </w:t>
      </w:r>
    </w:p>
  </w:footnote>
  <w:footnote w:id="164">
    <w:p w14:paraId="0B1DFEB0" w14:textId="2C0C11E0" w:rsidR="00333430" w:rsidRPr="00FA0083" w:rsidRDefault="00333430">
      <w:pPr>
        <w:pStyle w:val="FootnoteText"/>
      </w:pPr>
      <w:r w:rsidRPr="00FA0083">
        <w:rPr>
          <w:rStyle w:val="FootnoteReference"/>
        </w:rPr>
        <w:footnoteRef/>
      </w:r>
      <w:r w:rsidRPr="00FA0083">
        <w:t xml:space="preserve"> Calculated from 159</w:t>
      </w:r>
      <w:r w:rsidR="00113873" w:rsidRPr="00FA0083">
        <w:t xml:space="preserve"> </w:t>
      </w:r>
      <w:r w:rsidR="00881936" w:rsidRPr="00FA0083">
        <w:t>3</w:t>
      </w:r>
      <w:r w:rsidRPr="00FA0083">
        <w:t>00 NIS2 entities which are 188</w:t>
      </w:r>
      <w:r w:rsidR="00113873" w:rsidRPr="00FA0083">
        <w:t xml:space="preserve"> </w:t>
      </w:r>
      <w:r w:rsidRPr="00FA0083">
        <w:t>000 NIS2 entities minus 28</w:t>
      </w:r>
      <w:r w:rsidR="00113873" w:rsidRPr="00FA0083">
        <w:t xml:space="preserve"> </w:t>
      </w:r>
      <w:r w:rsidRPr="00FA0083">
        <w:t>700 entities following the NIS2 scope clarifications.</w:t>
      </w:r>
    </w:p>
  </w:footnote>
  <w:footnote w:id="165">
    <w:p w14:paraId="200FCD2A" w14:textId="42B21C2E" w:rsidR="00C62115" w:rsidRPr="00FA0083" w:rsidRDefault="00C62115">
      <w:pPr>
        <w:pStyle w:val="FootnoteText"/>
      </w:pPr>
      <w:r w:rsidRPr="00FA0083">
        <w:rPr>
          <w:rStyle w:val="FootnoteReference"/>
        </w:rPr>
        <w:footnoteRef/>
      </w:r>
      <w:r w:rsidRPr="00FA0083">
        <w:t xml:space="preserve"> Average fully loaded FTE cost of 56 500 per year multiplied by two</w:t>
      </w:r>
      <w:r w:rsidR="0013052D" w:rsidRPr="00FA0083">
        <w:t xml:space="preserve"> (for two FTE) by 27 (Member States).</w:t>
      </w:r>
    </w:p>
  </w:footnote>
  <w:footnote w:id="166">
    <w:p w14:paraId="2FACEB7A" w14:textId="77777777" w:rsidR="00DB44C9" w:rsidRPr="00FA0083" w:rsidRDefault="00DB44C9" w:rsidP="00DB44C9">
      <w:pPr>
        <w:pStyle w:val="FootnoteText"/>
      </w:pPr>
      <w:r w:rsidRPr="00FA0083">
        <w:rPr>
          <w:rStyle w:val="FootnoteReference"/>
        </w:rPr>
        <w:footnoteRef/>
      </w:r>
      <w:r w:rsidRPr="00FA0083">
        <w:t xml:space="preserve"> Strand Consult, </w:t>
      </w:r>
      <w:r w:rsidRPr="00FA0083">
        <w:rPr>
          <w:i/>
        </w:rPr>
        <w:t>The Market for 5G RAN in Europe: Share of Chinese and Non-Chinese Vendors in 31 European Countries,</w:t>
      </w:r>
      <w:r w:rsidRPr="00FA0083">
        <w:t xml:space="preserve"> </w:t>
      </w:r>
      <w:hyperlink r:id="rId104" w:history="1">
        <w:r w:rsidRPr="00FA0083">
          <w:rPr>
            <w:rStyle w:val="Hyperlink"/>
          </w:rPr>
          <w:t>https://strandconsult.dk/the-market-for-5g-ran-in-europe-share-of-chinese-and-non-chinese-vendors-in-31-european-countries/</w:t>
        </w:r>
      </w:hyperlink>
      <w:r w:rsidRPr="00FA0083">
        <w:t>.</w:t>
      </w:r>
    </w:p>
  </w:footnote>
  <w:footnote w:id="167">
    <w:p w14:paraId="17D26E5B" w14:textId="77777777" w:rsidR="00DB44C9" w:rsidRPr="00FA0083" w:rsidRDefault="00DB44C9" w:rsidP="00DB44C9">
      <w:pPr>
        <w:pStyle w:val="FootnoteText"/>
      </w:pPr>
      <w:r w:rsidRPr="00FA0083">
        <w:rPr>
          <w:rStyle w:val="FootnoteReference"/>
        </w:rPr>
        <w:footnoteRef/>
      </w:r>
      <w:r w:rsidRPr="00FA0083">
        <w:t xml:space="preserve"> </w:t>
      </w:r>
      <w:hyperlink r:id="rId105" w:history="1">
        <w:r w:rsidRPr="00FA0083">
          <w:rPr>
            <w:rStyle w:val="Hyperlink"/>
            <w:lang w:val="en-IE"/>
          </w:rPr>
          <w:t>https://www.lightreading.com/5g/huawei-has-hardly-been-weakened-in-european-5g-data-shows</w:t>
        </w:r>
      </w:hyperlink>
    </w:p>
  </w:footnote>
  <w:footnote w:id="168">
    <w:p w14:paraId="7EE05406" w14:textId="77777777" w:rsidR="00DB44C9" w:rsidRPr="00FA0083" w:rsidRDefault="00DB44C9" w:rsidP="00DB44C9">
      <w:pPr>
        <w:pStyle w:val="FootnoteText"/>
      </w:pPr>
      <w:r w:rsidRPr="00FA0083">
        <w:rPr>
          <w:rStyle w:val="FootnoteReference"/>
        </w:rPr>
        <w:footnoteRef/>
      </w:r>
      <w:r w:rsidRPr="00FA0083">
        <w:t xml:space="preserve"> Ibid.</w:t>
      </w:r>
    </w:p>
  </w:footnote>
  <w:footnote w:id="169">
    <w:p w14:paraId="7F046881" w14:textId="77777777" w:rsidR="00DB44C9" w:rsidRPr="00FA0083" w:rsidRDefault="00DB44C9" w:rsidP="00DB44C9">
      <w:pPr>
        <w:spacing w:after="0"/>
        <w:rPr>
          <w:sz w:val="20"/>
          <w:szCs w:val="20"/>
        </w:rPr>
      </w:pPr>
      <w:r w:rsidRPr="00FA0083">
        <w:rPr>
          <w:sz w:val="20"/>
          <w:szCs w:val="20"/>
          <w:vertAlign w:val="superscript"/>
        </w:rPr>
        <w:footnoteRef/>
      </w:r>
      <w:r w:rsidRPr="00FA0083">
        <w:rPr>
          <w:sz w:val="20"/>
          <w:szCs w:val="20"/>
        </w:rPr>
        <w:t xml:space="preserve"> C(2023) 4049 final.</w:t>
      </w:r>
    </w:p>
  </w:footnote>
  <w:footnote w:id="170">
    <w:p w14:paraId="672A26A8" w14:textId="77777777" w:rsidR="00DB44C9" w:rsidRPr="00FA0083" w:rsidRDefault="00DB44C9" w:rsidP="00DB44C9">
      <w:pPr>
        <w:pStyle w:val="FootnoteText"/>
      </w:pPr>
      <w:r w:rsidRPr="00FA0083">
        <w:rPr>
          <w:rStyle w:val="FootnoteReference"/>
        </w:rPr>
        <w:footnoteRef/>
      </w:r>
      <w:r w:rsidRPr="00FA0083">
        <w:t xml:space="preserve"> The non-upgradable equipment refers to 5G non-standalone equipment, i.e a 5G radio access network built on top of an existing 4G core network, both coming from the same supplier. Replacing this equipment requires replacing both the 5G RAN and 4G core. </w:t>
      </w:r>
      <w:r w:rsidRPr="00FA0083">
        <w:rPr>
          <w:i/>
        </w:rPr>
        <w:t>A contrario</w:t>
      </w:r>
      <w:r w:rsidRPr="00FA0083">
        <w:t xml:space="preserve">, a 5G standalone network means that both the RAN and the core are 5G equipment coming from the same supplier. According to GSMA, only 1.3% of the 5G coverage in the EU is 5G standalone by Q2 2025, meaning that 98.7% is non-standalone (GSMA, 5G Coverage in Europe: Progress Toward Goals Amid Lingering Disparities, 2025). </w:t>
      </w:r>
    </w:p>
  </w:footnote>
  <w:footnote w:id="171">
    <w:p w14:paraId="5719D65E" w14:textId="77777777" w:rsidR="00DB44C9" w:rsidRPr="00FA0083" w:rsidRDefault="00DB44C9" w:rsidP="00DB44C9">
      <w:pPr>
        <w:pStyle w:val="FootnoteText"/>
        <w:rPr>
          <w:b/>
          <w:bCs/>
        </w:rPr>
      </w:pPr>
      <w:r w:rsidRPr="00FA0083">
        <w:rPr>
          <w:rStyle w:val="FootnoteReference"/>
        </w:rPr>
        <w:footnoteRef/>
      </w:r>
      <w:r w:rsidRPr="00FA0083">
        <w:t xml:space="preserve"> Such a strategy has for instance been discussed in the context of the </w:t>
      </w:r>
      <w:hyperlink r:id="rId106" w:history="1">
        <w:r w:rsidRPr="00FA0083">
          <w:rPr>
            <w:rStyle w:val="Hyperlink"/>
          </w:rPr>
          <w:t>network cost contribution debate</w:t>
        </w:r>
      </w:hyperlink>
      <w:r w:rsidRPr="00FA0083">
        <w:t xml:space="preserve">, see : European Parliamentary Research Service, </w:t>
      </w:r>
      <w:hyperlink r:id="rId107" w:history="1">
        <w:r w:rsidRPr="00FA0083">
          <w:rPr>
            <w:rStyle w:val="Hyperlink"/>
          </w:rPr>
          <w:t>Network cost contribution debate</w:t>
        </w:r>
      </w:hyperlink>
      <w:r w:rsidRPr="00FA0083">
        <w:t>, at a glance, April 2023, available at: https://www.europarl.europa.eu/RegData/etudes/ATAG/2023/745710/EPRS_ATA(2023)745710_EN.pdf</w:t>
      </w:r>
    </w:p>
  </w:footnote>
  <w:footnote w:id="172">
    <w:p w14:paraId="1541BE1A" w14:textId="77777777" w:rsidR="00DB44C9" w:rsidRPr="00FA0083" w:rsidRDefault="00DB44C9" w:rsidP="00DB44C9">
      <w:pPr>
        <w:spacing w:after="0"/>
        <w:rPr>
          <w:sz w:val="20"/>
          <w:szCs w:val="20"/>
        </w:rPr>
      </w:pPr>
      <w:r w:rsidRPr="00FA0083">
        <w:rPr>
          <w:sz w:val="20"/>
          <w:szCs w:val="20"/>
          <w:vertAlign w:val="superscript"/>
        </w:rPr>
        <w:footnoteRef/>
      </w:r>
      <w:r w:rsidRPr="00FA0083">
        <w:rPr>
          <w:sz w:val="20"/>
          <w:szCs w:val="20"/>
          <w:vertAlign w:val="superscript"/>
        </w:rPr>
        <w:t xml:space="preserve"> </w:t>
      </w:r>
      <w:r w:rsidRPr="00FA0083">
        <w:rPr>
          <w:sz w:val="20"/>
          <w:szCs w:val="20"/>
        </w:rPr>
        <w:t xml:space="preserve">Ibid., 85% of the population in Europe (465 million people) subscribed to mobile services in 2019. According to GSMA (GSMA, the mobile economy Europe 2025), there were 520 million mobile subscribers in 2025. </w:t>
      </w:r>
    </w:p>
  </w:footnote>
  <w:footnote w:id="173">
    <w:p w14:paraId="162698C8" w14:textId="77777777" w:rsidR="00DB44C9" w:rsidRPr="00FA0083" w:rsidRDefault="00DB44C9" w:rsidP="00DB44C9">
      <w:pPr>
        <w:pStyle w:val="FootnoteText"/>
      </w:pPr>
      <w:r w:rsidRPr="00FA0083">
        <w:rPr>
          <w:rStyle w:val="FootnoteReference"/>
        </w:rPr>
        <w:footnoteRef/>
      </w:r>
      <w:r w:rsidRPr="00FA0083">
        <w:t xml:space="preserve"> Strand Consult, Ibid. </w:t>
      </w:r>
    </w:p>
  </w:footnote>
  <w:footnote w:id="174">
    <w:p w14:paraId="61BFE002" w14:textId="77777777" w:rsidR="00DB44C9" w:rsidRPr="00FA0083" w:rsidRDefault="00DB44C9" w:rsidP="00DB44C9">
      <w:pPr>
        <w:pStyle w:val="FootnoteText"/>
      </w:pPr>
      <w:r w:rsidRPr="00FA0083">
        <w:rPr>
          <w:rStyle w:val="FootnoteReference"/>
        </w:rPr>
        <w:footnoteRef/>
      </w:r>
      <w:r w:rsidRPr="00FA0083">
        <w:t xml:space="preserve"> Strand Consult, Ibid. </w:t>
      </w:r>
    </w:p>
  </w:footnote>
  <w:footnote w:id="175">
    <w:p w14:paraId="44062EB1" w14:textId="1D7EBE76" w:rsidR="00B10274" w:rsidRPr="00FA0083" w:rsidRDefault="00B10274">
      <w:pPr>
        <w:pStyle w:val="FootnoteText"/>
        <w:rPr>
          <w:lang w:val="en-IE"/>
        </w:rPr>
      </w:pPr>
      <w:r w:rsidRPr="00FA0083">
        <w:rPr>
          <w:rStyle w:val="FootnoteReference"/>
        </w:rPr>
        <w:footnoteRef/>
      </w:r>
      <w:r w:rsidRPr="00FA0083">
        <w:t xml:space="preserve"> </w:t>
      </w:r>
      <w:r w:rsidR="00113873" w:rsidRPr="00FA0083">
        <w:rPr>
          <w:rFonts w:eastAsia="Times New Roman"/>
        </w:rPr>
        <w:t xml:space="preserve">ENISA, </w:t>
      </w:r>
      <w:r w:rsidR="00113873" w:rsidRPr="00FA0083">
        <w:rPr>
          <w:rFonts w:eastAsia="Times New Roman"/>
          <w:i/>
        </w:rPr>
        <w:t>ENISA Threat Landscape 2024</w:t>
      </w:r>
      <w:r w:rsidR="00113873" w:rsidRPr="00FA0083">
        <w:rPr>
          <w:rFonts w:eastAsia="Times New Roman"/>
        </w:rPr>
        <w:t xml:space="preserve">, </w:t>
      </w:r>
      <w:hyperlink r:id="rId108">
        <w:r w:rsidR="00113873" w:rsidRPr="00FA0083">
          <w:rPr>
            <w:rStyle w:val="Hyperlink"/>
            <w:rFonts w:eastAsia="Times New Roman"/>
          </w:rPr>
          <w:t>https://www.enisa.europa.eu/publications/enisa-threat-landscape-2024</w:t>
        </w:r>
      </w:hyperlink>
      <w:r w:rsidR="00113873" w:rsidRPr="00FA0083">
        <w:t>,</w:t>
      </w:r>
      <w:r w:rsidR="005C095D" w:rsidRPr="00FA0083">
        <w:rPr>
          <w:i/>
          <w:iCs/>
        </w:rPr>
        <w:t xml:space="preserve"> </w:t>
      </w:r>
      <w:r w:rsidR="00113873" w:rsidRPr="00FA0083">
        <w:t>s</w:t>
      </w:r>
      <w:r w:rsidRPr="00FA0083">
        <w:t xml:space="preserve">ee example of </w:t>
      </w:r>
      <w:r w:rsidR="005C095D" w:rsidRPr="00FA0083">
        <w:t>Dark Angels ransomware group on page 54</w:t>
      </w:r>
      <w:r w:rsidR="00113873" w:rsidRPr="00FA0083">
        <w:t>.</w:t>
      </w:r>
    </w:p>
  </w:footnote>
  <w:footnote w:id="176">
    <w:p w14:paraId="3C6E37E0" w14:textId="7E0770D8" w:rsidR="007740F0" w:rsidRPr="00FA0083" w:rsidRDefault="007740F0">
      <w:pPr>
        <w:pStyle w:val="FootnoteText"/>
      </w:pPr>
      <w:r w:rsidRPr="00FA0083">
        <w:rPr>
          <w:rStyle w:val="FootnoteReference"/>
        </w:rPr>
        <w:footnoteRef/>
      </w:r>
      <w:r w:rsidRPr="00FA0083">
        <w:t xml:space="preserve"> </w:t>
      </w:r>
      <w:r w:rsidR="0057580C" w:rsidRPr="00FA0083">
        <w:rPr>
          <w:rFonts w:eastAsia="Aptos"/>
          <w:lang w:val="en-US" w:eastAsia="ja-JP"/>
        </w:rPr>
        <w:t xml:space="preserve">JTSEC, </w:t>
      </w:r>
      <w:r w:rsidR="0057580C" w:rsidRPr="00FA0083">
        <w:rPr>
          <w:rFonts w:eastAsia="Aptos"/>
          <w:i/>
          <w:iCs/>
          <w:lang w:val="en-US" w:eastAsia="ja-JP"/>
        </w:rPr>
        <w:t>2022 Common Criteria Statistics Report</w:t>
      </w:r>
      <w:r w:rsidR="0057580C" w:rsidRPr="00FA0083">
        <w:rPr>
          <w:rFonts w:eastAsia="Aptos"/>
          <w:lang w:val="en-US" w:eastAsia="ja-JP"/>
        </w:rPr>
        <w:t xml:space="preserve">, </w:t>
      </w:r>
      <w:hyperlink r:id="rId109" w:history="1">
        <w:r w:rsidR="0057580C" w:rsidRPr="00FA0083">
          <w:rPr>
            <w:rStyle w:val="Hyperlink"/>
            <w:rFonts w:eastAsia="Aptos"/>
            <w:lang w:val="en-US" w:eastAsia="ja-JP"/>
          </w:rPr>
          <w:t>https://www.jtsec.es/files/2022 CC Statistics Report.pdf</w:t>
        </w:r>
      </w:hyperlink>
      <w:r w:rsidR="00113873" w:rsidRPr="00FA0083">
        <w:rPr>
          <w:rFonts w:eastAsia="Aptos"/>
          <w:lang w:eastAsia="ja-JP"/>
        </w:rPr>
        <w:t>.</w:t>
      </w:r>
    </w:p>
  </w:footnote>
  <w:footnote w:id="177">
    <w:p w14:paraId="46ECC772" w14:textId="77777777" w:rsidR="000D0808" w:rsidRPr="00FA0083" w:rsidRDefault="000D0808" w:rsidP="000D0808">
      <w:pPr>
        <w:pStyle w:val="FootnoteText"/>
        <w:rPr>
          <w:lang w:val="en-IE"/>
        </w:rPr>
      </w:pPr>
      <w:r w:rsidRPr="00FA0083">
        <w:rPr>
          <w:rStyle w:val="FootnoteReference"/>
        </w:rPr>
        <w:footnoteRef/>
      </w:r>
      <w:r w:rsidRPr="00FA0083">
        <w:t xml:space="preserve"> Morris Iain, Huawei </w:t>
      </w:r>
      <w:r w:rsidRPr="00FA0083">
        <w:rPr>
          <w:i/>
        </w:rPr>
        <w:t>has hardly been weakened in European 5G, data shows,</w:t>
      </w:r>
      <w:r w:rsidRPr="00FA0083" w:rsidDel="00A00FE9">
        <w:rPr>
          <w:i/>
        </w:rPr>
        <w:t xml:space="preserve"> </w:t>
      </w:r>
      <w:r w:rsidRPr="00FA0083">
        <w:rPr>
          <w:i/>
        </w:rPr>
        <w:t>Light Reading</w:t>
      </w:r>
      <w:r w:rsidRPr="00FA0083">
        <w:t xml:space="preserve">, </w:t>
      </w:r>
      <w:hyperlink r:id="rId110" w:history="1">
        <w:r w:rsidRPr="00FA0083">
          <w:rPr>
            <w:rStyle w:val="Hyperlink"/>
          </w:rPr>
          <w:t>https://www.lightreading.com/5g/huawei-has-hardly-been-weakened-in-european-5g-data-shows</w:t>
        </w:r>
      </w:hyperlink>
      <w:r w:rsidRPr="00FA0083">
        <w:t>.</w:t>
      </w:r>
    </w:p>
  </w:footnote>
  <w:footnote w:id="178">
    <w:p w14:paraId="04AC475F" w14:textId="77777777" w:rsidR="000D0808" w:rsidRPr="00FA0083" w:rsidRDefault="000D0808" w:rsidP="000D0808">
      <w:pPr>
        <w:pStyle w:val="FootnoteText"/>
      </w:pPr>
      <w:r w:rsidRPr="00FA0083">
        <w:rPr>
          <w:rStyle w:val="FootnoteReference"/>
        </w:rPr>
        <w:footnoteRef/>
      </w:r>
      <w:r w:rsidRPr="00FA0083">
        <w:t xml:space="preserve"> JOIN/2023/20 final.</w:t>
      </w:r>
    </w:p>
  </w:footnote>
  <w:footnote w:id="179">
    <w:p w14:paraId="553179C3" w14:textId="6A348141" w:rsidR="00C81F43" w:rsidRPr="00FA0083" w:rsidRDefault="00C81F43">
      <w:pPr>
        <w:pStyle w:val="FootnoteText"/>
        <w:rPr>
          <w:lang w:val="en-IE"/>
        </w:rPr>
      </w:pPr>
      <w:r w:rsidRPr="00FA0083">
        <w:rPr>
          <w:rStyle w:val="FootnoteReference"/>
        </w:rPr>
        <w:footnoteRef/>
      </w:r>
      <w:r w:rsidRPr="00FA0083">
        <w:t xml:space="preserve"> </w:t>
      </w:r>
      <w:r w:rsidR="00C5686D" w:rsidRPr="00FA0083">
        <w:t>Hybrid activities by State and non-state actors aim to destabilise countries by undermining public trust in government institutions and by challenging the core values of societies and deepening social divisions. Hybrid threats range from cyber-attacks disrupting the economy and public critical services to targeted disinformation campaigns and hostile military actions.</w:t>
      </w:r>
    </w:p>
  </w:footnote>
  <w:footnote w:id="180">
    <w:p w14:paraId="4C9F4ECB" w14:textId="3D9FF117" w:rsidR="00F57D9D" w:rsidRPr="00FA0083" w:rsidRDefault="00F57D9D" w:rsidP="00882A65">
      <w:pPr>
        <w:pStyle w:val="FootnoteText"/>
      </w:pPr>
      <w:r w:rsidRPr="00FA0083">
        <w:rPr>
          <w:rStyle w:val="FootnoteReference"/>
          <w:rFonts w:eastAsia="Times New Roman"/>
        </w:rPr>
        <w:footnoteRef/>
      </w:r>
      <w:r w:rsidRPr="00FA0083">
        <w:rPr>
          <w:rFonts w:eastAsia="Times New Roman"/>
        </w:rPr>
        <w:t xml:space="preserve"> </w:t>
      </w:r>
      <w:r w:rsidR="002472A1" w:rsidRPr="00FA0083">
        <w:rPr>
          <w:rFonts w:eastAsia="Times New Roman"/>
        </w:rPr>
        <w:t>COM(2019) 640 final.</w:t>
      </w:r>
    </w:p>
  </w:footnote>
  <w:footnote w:id="181">
    <w:p w14:paraId="186828DD" w14:textId="77777777" w:rsidR="00795F0D" w:rsidRPr="00FA0083" w:rsidRDefault="00795F0D" w:rsidP="00795F0D">
      <w:pPr>
        <w:spacing w:after="0"/>
        <w:rPr>
          <w:rFonts w:eastAsia="Times New Roman"/>
          <w:sz w:val="20"/>
          <w:szCs w:val="20"/>
        </w:rPr>
      </w:pPr>
      <w:r w:rsidRPr="00FA0083">
        <w:rPr>
          <w:rFonts w:eastAsia="Times New Roman"/>
          <w:sz w:val="20"/>
          <w:szCs w:val="20"/>
          <w:vertAlign w:val="superscript"/>
        </w:rPr>
        <w:footnoteRef/>
      </w:r>
      <w:r w:rsidRPr="00FA0083">
        <w:rPr>
          <w:rFonts w:eastAsia="Times New Roman"/>
          <w:sz w:val="20"/>
          <w:szCs w:val="20"/>
          <w:vertAlign w:val="superscript"/>
        </w:rPr>
        <w:t xml:space="preserve"> </w:t>
      </w:r>
      <w:r w:rsidRPr="00FA0083">
        <w:rPr>
          <w:rFonts w:eastAsia="Times New Roman"/>
          <w:color w:val="000000" w:themeColor="text1"/>
          <w:sz w:val="20"/>
          <w:szCs w:val="20"/>
        </w:rPr>
        <w:t xml:space="preserve">Across all respondents, the task most frequently rated as </w:t>
      </w:r>
      <w:r w:rsidRPr="00FA0083">
        <w:rPr>
          <w:rFonts w:eastAsia="Times New Roman"/>
          <w:i/>
          <w:color w:val="000000" w:themeColor="text1"/>
          <w:sz w:val="20"/>
          <w:szCs w:val="20"/>
        </w:rPr>
        <w:t>"Very important"</w:t>
      </w:r>
      <w:r w:rsidRPr="00FA0083">
        <w:rPr>
          <w:rFonts w:eastAsia="Times New Roman"/>
          <w:color w:val="000000" w:themeColor="text1"/>
          <w:sz w:val="20"/>
          <w:szCs w:val="20"/>
        </w:rPr>
        <w:t xml:space="preserve"> was market, cybersecurity certification, and standardisation, selected by 58.6% of participants. This was followed by development and implementation of Union policy and law at 47.2 %, and operational cooperation at Union level at 45.1%. The task least frequently rated as </w:t>
      </w:r>
      <w:r w:rsidRPr="00FA0083">
        <w:rPr>
          <w:rFonts w:eastAsia="Times New Roman"/>
          <w:i/>
          <w:color w:val="000000" w:themeColor="text1"/>
          <w:sz w:val="20"/>
          <w:szCs w:val="20"/>
        </w:rPr>
        <w:t>"Very important"</w:t>
      </w:r>
      <w:r w:rsidRPr="00FA0083">
        <w:rPr>
          <w:rFonts w:eastAsia="Times New Roman"/>
          <w:color w:val="000000" w:themeColor="text1"/>
          <w:sz w:val="20"/>
          <w:szCs w:val="20"/>
        </w:rPr>
        <w:t xml:space="preserve"> was research and innovation, at just 20.2%.</w:t>
      </w:r>
    </w:p>
  </w:footnote>
  <w:footnote w:id="182">
    <w:p w14:paraId="11BC3AAA" w14:textId="77777777" w:rsidR="00EE3DF9" w:rsidRPr="00FA0083" w:rsidRDefault="00EE3DF9" w:rsidP="00EE3DF9">
      <w:pPr>
        <w:pStyle w:val="FootnoteText"/>
        <w:rPr>
          <w:lang w:val="en-IE"/>
        </w:rPr>
      </w:pPr>
      <w:r w:rsidRPr="00FA0083">
        <w:rPr>
          <w:rStyle w:val="FootnoteReference"/>
          <w:rFonts w:eastAsia="Times New Roman"/>
        </w:rPr>
        <w:footnoteRef/>
      </w:r>
      <w:r w:rsidRPr="00FA0083">
        <w:rPr>
          <w:rFonts w:eastAsia="Times New Roman"/>
        </w:rPr>
        <w:t xml:space="preserve"> The 2024 Evaluation report.</w:t>
      </w:r>
    </w:p>
  </w:footnote>
  <w:footnote w:id="183">
    <w:p w14:paraId="7D233710"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b/>
          <w:bCs/>
        </w:rPr>
        <w:t>Disclaimer:</w:t>
      </w:r>
      <w:r w:rsidRPr="00FA0083">
        <w:t xml:space="preserve"> The information and views set out in this document reflect the input received through the public consultation conducted via the European Commission’s ‘Have Your Say’ web portal. These contributions cannot be regarded as stating an official position of the European Commission or its services. They do not bind the Commission in any way. Moreover, the responses received cannot be considered as a statistically representative sample of the EU population.</w:t>
      </w:r>
    </w:p>
  </w:footnote>
  <w:footnote w:id="184">
    <w:p w14:paraId="54B2A566" w14:textId="62A75091" w:rsidR="0078608D" w:rsidRPr="0078608D" w:rsidRDefault="0078608D">
      <w:pPr>
        <w:pStyle w:val="FootnoteText"/>
      </w:pPr>
      <w:r>
        <w:rPr>
          <w:rStyle w:val="FootnoteReference"/>
        </w:rPr>
        <w:footnoteRef/>
      </w:r>
      <w:r>
        <w:t xml:space="preserve">The study is available at: https://data.europa.eu/doi/10.2759/7122638; its final report (summary) at:  https://data.europa.eu/doi/10.2759/7260328; and the annexes to the study at: https://data.europa.eu/doi/10.2759/6529756 </w:t>
      </w:r>
    </w:p>
  </w:footnote>
  <w:footnote w:id="185">
    <w:p w14:paraId="4B046091" w14:textId="77777777" w:rsidR="00EE3DF9" w:rsidRPr="00FA0083" w:rsidRDefault="00EE3DF9" w:rsidP="00EE3DF9">
      <w:pPr>
        <w:pStyle w:val="FootnoteText"/>
      </w:pPr>
      <w:r w:rsidRPr="00FA0083">
        <w:rPr>
          <w:rStyle w:val="FootnoteReference"/>
        </w:rPr>
        <w:footnoteRef/>
      </w:r>
      <w:r w:rsidRPr="00FA0083">
        <w:t xml:space="preserve"> ENISA, </w:t>
      </w:r>
      <w:r w:rsidRPr="00FA0083">
        <w:rPr>
          <w:i/>
          <w:iCs/>
        </w:rPr>
        <w:t>Conformity assessments</w:t>
      </w:r>
      <w:r w:rsidRPr="00FA0083">
        <w:t xml:space="preserve">, </w:t>
      </w:r>
      <w:hyperlink r:id="rId111" w:history="1">
        <w:r w:rsidRPr="00FA0083">
          <w:rPr>
            <w:rStyle w:val="Hyperlink"/>
          </w:rPr>
          <w:t>https://www.enisa.europa.eu/sites/default/files/publications/Cybersecurity%20Certification%20Statistics%20Report.pdf</w:t>
        </w:r>
      </w:hyperlink>
      <w:r w:rsidRPr="00FA0083">
        <w:t>.</w:t>
      </w:r>
    </w:p>
  </w:footnote>
  <w:footnote w:id="186">
    <w:p w14:paraId="01F968FB"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 xml:space="preserve">European Commission (2017). </w:t>
      </w:r>
      <w:r w:rsidRPr="00FA0083">
        <w:rPr>
          <w:rFonts w:eastAsia="Times New Roman"/>
          <w:i/>
        </w:rPr>
        <w:t xml:space="preserve">Final report on the Evaluation of the European Union Agency for Network and Information Security (ENISA), </w:t>
      </w:r>
      <w:hyperlink r:id="rId112" w:history="1">
        <w:r w:rsidRPr="00FA0083">
          <w:rPr>
            <w:rStyle w:val="Hyperlink"/>
            <w:rFonts w:eastAsia="Times New Roman"/>
          </w:rPr>
          <w:t>https://digital-strategy.ec.europa.eu/en/library/final-report-evaluation-european-union-agency-network-and-information-security-enisa</w:t>
        </w:r>
      </w:hyperlink>
      <w:r w:rsidRPr="00FA0083">
        <w:rPr>
          <w:rFonts w:eastAsia="Times New Roman"/>
          <w:i/>
        </w:rPr>
        <w:t>.</w:t>
      </w:r>
    </w:p>
  </w:footnote>
  <w:footnote w:id="187">
    <w:p w14:paraId="583D118A"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 xml:space="preserve">OECD (2024), </w:t>
      </w:r>
      <w:r w:rsidRPr="00FA0083">
        <w:rPr>
          <w:rFonts w:eastAsia="Times New Roman"/>
          <w:i/>
          <w:iCs/>
        </w:rPr>
        <w:t>Building a Skilled Cyber Security Workforce in Europe</w:t>
      </w:r>
      <w:r w:rsidRPr="00FA0083">
        <w:rPr>
          <w:rFonts w:eastAsia="Times New Roman"/>
        </w:rPr>
        <w:t xml:space="preserve">. Last accessed on 23/06/2025 and available at: </w:t>
      </w:r>
      <w:hyperlink r:id="rId113">
        <w:r w:rsidRPr="00FA0083">
          <w:rPr>
            <w:rStyle w:val="Hyperlink"/>
            <w:rFonts w:eastAsia="Times New Roman"/>
            <w:color w:val="0000FF"/>
          </w:rPr>
          <w:t>https://www.oecd.org/content/dam/oecd/en/publications/reports/2024/02/building-a-skilled-cyber-security-workforce-in-europe_6abaf769/3673cd60-en.pdf</w:t>
        </w:r>
      </w:hyperlink>
    </w:p>
  </w:footnote>
  <w:footnote w:id="188">
    <w:p w14:paraId="39D6C95B"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 xml:space="preserve">particular the ‘nama_10_fte’ dataset, which provides average full-time equivalent salaries by country. Last accessed on 23/06/2025 and available at: </w:t>
      </w:r>
      <w:hyperlink r:id="rId114">
        <w:r w:rsidRPr="00FA0083">
          <w:rPr>
            <w:rStyle w:val="Hyperlink"/>
            <w:rFonts w:eastAsia="Times New Roman"/>
            <w:color w:val="0000FF"/>
          </w:rPr>
          <w:t>https://ec.europa.eu/eurostat/databrowser/view/nama_10_fte__custom_13597179/bookmark/table?lang=en&amp;bookmarkId=c29eed24-377e-4763-aaf0-0419906d2ecd</w:t>
        </w:r>
      </w:hyperlink>
    </w:p>
  </w:footnote>
  <w:footnote w:id="189">
    <w:p w14:paraId="7FF779F4" w14:textId="77777777" w:rsidR="00EE3DF9" w:rsidRPr="00FA0083" w:rsidRDefault="00EE3DF9" w:rsidP="00EE3DF9">
      <w:pPr>
        <w:pStyle w:val="FootnoteText"/>
        <w:rPr>
          <w:i/>
          <w:iCs/>
          <w:lang w:val="en-US"/>
        </w:rPr>
      </w:pPr>
      <w:r w:rsidRPr="00FA0083">
        <w:rPr>
          <w:rStyle w:val="FootnoteReference"/>
        </w:rPr>
        <w:footnoteRef/>
      </w:r>
      <w:r w:rsidRPr="00FA0083">
        <w:t xml:space="preserve"> </w:t>
      </w:r>
      <w:r w:rsidRPr="00FA0083">
        <w:rPr>
          <w:i/>
          <w:iCs/>
        </w:rPr>
        <w:t>ENISA Threat Landscape 2024</w:t>
      </w:r>
    </w:p>
  </w:footnote>
  <w:footnote w:id="190">
    <w:p w14:paraId="540E73EF" w14:textId="77777777" w:rsidR="00EE3DF9" w:rsidRPr="00FA0083" w:rsidRDefault="00EE3DF9" w:rsidP="00EE3DF9">
      <w:pPr>
        <w:pStyle w:val="FootnoteText"/>
        <w:rPr>
          <w:lang w:val="en-US"/>
        </w:rPr>
      </w:pPr>
      <w:r w:rsidRPr="00FA0083">
        <w:rPr>
          <w:rStyle w:val="FootnoteReference"/>
        </w:rPr>
        <w:footnoteRef/>
      </w:r>
      <w:r w:rsidRPr="00FA0083">
        <w:t xml:space="preserve"> SWD(2022) 282 final, </w:t>
      </w:r>
      <w:r w:rsidRPr="00FA0083">
        <w:rPr>
          <w:lang w:val="en-US"/>
        </w:rPr>
        <w:t xml:space="preserve">page 53 </w:t>
      </w:r>
    </w:p>
  </w:footnote>
  <w:footnote w:id="191">
    <w:p w14:paraId="4982800D" w14:textId="77777777" w:rsidR="00EE3DF9" w:rsidRPr="00FA0083" w:rsidRDefault="00EE3DF9" w:rsidP="00EE3DF9">
      <w:pPr>
        <w:pStyle w:val="FootnoteText"/>
        <w:rPr>
          <w:lang w:val="en-US"/>
        </w:rPr>
      </w:pPr>
      <w:r w:rsidRPr="00FA0083">
        <w:rPr>
          <w:rStyle w:val="FootnoteReference"/>
        </w:rPr>
        <w:footnoteRef/>
      </w:r>
      <w:r w:rsidRPr="00FA0083">
        <w:t xml:space="preserve"> </w:t>
      </w:r>
      <w:hyperlink r:id="rId115" w:history="1">
        <w:r w:rsidRPr="00FA0083">
          <w:rPr>
            <w:rStyle w:val="Hyperlink"/>
          </w:rPr>
          <w:t>https://ec.europa.eu/eurostat/statistics-explained/SEPDF/cache/9132.pdf</w:t>
        </w:r>
      </w:hyperlink>
      <w:r w:rsidRPr="00FA0083">
        <w:t xml:space="preserve"> </w:t>
      </w:r>
    </w:p>
  </w:footnote>
  <w:footnote w:id="192">
    <w:p w14:paraId="2E773F9A" w14:textId="77777777" w:rsidR="00EE3DF9" w:rsidRPr="00FA0083" w:rsidRDefault="00EE3DF9" w:rsidP="00EE3DF9">
      <w:pPr>
        <w:spacing w:after="0"/>
        <w:rPr>
          <w:sz w:val="20"/>
          <w:szCs w:val="20"/>
        </w:rPr>
      </w:pPr>
      <w:r w:rsidRPr="00FA0083">
        <w:rPr>
          <w:rStyle w:val="FootnoteReference"/>
          <w:sz w:val="20"/>
          <w:szCs w:val="20"/>
        </w:rPr>
        <w:footnoteRef/>
      </w:r>
      <w:r w:rsidRPr="00FA0083">
        <w:rPr>
          <w:sz w:val="20"/>
          <w:szCs w:val="20"/>
        </w:rPr>
        <w:t xml:space="preserve"> </w:t>
      </w:r>
      <w:r w:rsidRPr="00FA0083">
        <w:rPr>
          <w:rFonts w:eastAsia="Times New Roman"/>
          <w:sz w:val="20"/>
          <w:szCs w:val="20"/>
        </w:rPr>
        <w:t>Pearson VUE 2025 Value of Certification Report - Candidate Report</w:t>
      </w:r>
    </w:p>
  </w:footnote>
  <w:footnote w:id="193">
    <w:p w14:paraId="4EE06ADA" w14:textId="2DC99D96" w:rsidR="00EE3DF9" w:rsidRPr="00FA0083" w:rsidRDefault="00EE3DF9" w:rsidP="00EE3DF9">
      <w:pPr>
        <w:spacing w:after="0"/>
        <w:rPr>
          <w:sz w:val="20"/>
          <w:szCs w:val="20"/>
          <w:lang w:val="fr-FR"/>
        </w:rPr>
      </w:pPr>
      <w:r w:rsidRPr="00FA0083">
        <w:rPr>
          <w:rStyle w:val="FootnoteReference"/>
          <w:sz w:val="20"/>
          <w:szCs w:val="20"/>
        </w:rPr>
        <w:footnoteRef/>
      </w:r>
      <w:r w:rsidRPr="00FA0083">
        <w:rPr>
          <w:rFonts w:eastAsia="Times New Roman"/>
          <w:sz w:val="20"/>
          <w:szCs w:val="20"/>
          <w:lang w:val="fr-BE"/>
        </w:rPr>
        <w:t>Agence nationale de la sécurité des systèmes d'information (ANSSI) (2025), Etude 2025: Les professionnels de la cybersécurité</w:t>
      </w:r>
      <w:r w:rsidRPr="00FA0083" w:rsidDel="00675D0D">
        <w:rPr>
          <w:rFonts w:eastAsia="Times New Roman"/>
          <w:sz w:val="20"/>
          <w:szCs w:val="20"/>
          <w:lang w:val="fr-BE"/>
        </w:rPr>
        <w:t xml:space="preserve">, </w:t>
      </w:r>
      <w:r w:rsidRPr="00FA0083">
        <w:rPr>
          <w:rFonts w:eastAsia="Times New Roman"/>
          <w:sz w:val="20"/>
          <w:szCs w:val="20"/>
          <w:lang w:val="fr-BE"/>
        </w:rPr>
        <w:t> </w:t>
      </w:r>
      <w:hyperlink r:id="rId116" w:history="1">
        <w:r w:rsidRPr="00FA0083">
          <w:rPr>
            <w:rStyle w:val="Hyperlink"/>
            <w:rFonts w:eastAsia="Times New Roman"/>
            <w:sz w:val="20"/>
            <w:szCs w:val="20"/>
            <w:lang w:val="fr-BE"/>
          </w:rPr>
          <w:t>https://cyber.gouv.fr/sites/default/files/document/Etude_des_professionnels_de_la_cybers%C3%A9curit%C3%A9_VF2.pdf</w:t>
        </w:r>
      </w:hyperlink>
    </w:p>
  </w:footnote>
  <w:footnote w:id="194">
    <w:p w14:paraId="12700756" w14:textId="77777777" w:rsidR="00EE3DF9" w:rsidRPr="00FA0083" w:rsidRDefault="00EE3DF9" w:rsidP="00EE3DF9">
      <w:pPr>
        <w:spacing w:after="0"/>
        <w:rPr>
          <w:sz w:val="20"/>
          <w:szCs w:val="20"/>
        </w:rPr>
      </w:pPr>
      <w:r w:rsidRPr="00FA0083">
        <w:rPr>
          <w:rFonts w:eastAsia="Times New Roman"/>
          <w:sz w:val="20"/>
          <w:szCs w:val="20"/>
          <w:vertAlign w:val="superscript"/>
        </w:rPr>
        <w:footnoteRef/>
      </w:r>
      <w:r w:rsidRPr="00FA0083">
        <w:rPr>
          <w:rFonts w:eastAsia="Times New Roman"/>
          <w:sz w:val="20"/>
          <w:szCs w:val="20"/>
        </w:rPr>
        <w:t xml:space="preserve"> Fortinet. (2023). 2023 Cybersecurity Skills Gap Report, </w:t>
      </w:r>
      <w:hyperlink r:id="rId117" w:history="1">
        <w:r w:rsidRPr="00FA0083">
          <w:rPr>
            <w:rStyle w:val="Hyperlink"/>
            <w:rFonts w:eastAsia="Times New Roman"/>
            <w:color w:val="0000FF"/>
            <w:sz w:val="20"/>
            <w:szCs w:val="20"/>
          </w:rPr>
          <w:t>https://www.fortinet.com/content/dam/fortinet/assets/reports/2023-cybersecurity-skills-gap-report.pdf</w:t>
        </w:r>
      </w:hyperlink>
    </w:p>
  </w:footnote>
  <w:footnote w:id="195">
    <w:p w14:paraId="6ED6356C" w14:textId="77777777" w:rsidR="00EE3DF9" w:rsidRPr="00FA0083" w:rsidRDefault="00EE3DF9" w:rsidP="00EE3DF9">
      <w:pPr>
        <w:spacing w:after="0"/>
        <w:rPr>
          <w:rFonts w:eastAsia="Times New Roman"/>
          <w:sz w:val="20"/>
          <w:szCs w:val="20"/>
        </w:rPr>
      </w:pPr>
      <w:r w:rsidRPr="00FA0083">
        <w:rPr>
          <w:rFonts w:eastAsia="Times New Roman"/>
          <w:sz w:val="20"/>
          <w:szCs w:val="20"/>
          <w:vertAlign w:val="superscript"/>
        </w:rPr>
        <w:footnoteRef/>
      </w:r>
      <w:r w:rsidRPr="00FA0083">
        <w:rPr>
          <w:rFonts w:eastAsia="Times New Roman"/>
          <w:sz w:val="20"/>
          <w:szCs w:val="20"/>
        </w:rPr>
        <w:t xml:space="preserve"> </w:t>
      </w:r>
      <w:r w:rsidRPr="00FA0083">
        <w:rPr>
          <w:rFonts w:eastAsia="Times New Roman"/>
          <w:color w:val="000000" w:themeColor="text1"/>
          <w:sz w:val="20"/>
          <w:szCs w:val="20"/>
        </w:rPr>
        <w:t xml:space="preserve">According to German law, the cost of a re-certification at EUR 221, which is expected to be slightly higher for first certification of individuals requiring entry-level certifications, therefore the cost of a first certification of this kind was assumed to be around EUR 300, while noting that costs can vary significantly depending on the process Source: Special Fee Regulation of the Federal Ministry of the Interior, for Building and Community for Individually Attributable Public Services within Its Area of Responsibility (Besondere Gebührenverordnung BMI – BMIBGebV), </w:t>
      </w:r>
      <w:hyperlink r:id="rId118" w:history="1">
        <w:r w:rsidRPr="00FA0083">
          <w:rPr>
            <w:rStyle w:val="Hyperlink"/>
            <w:rFonts w:eastAsia="Times New Roman"/>
            <w:sz w:val="20"/>
            <w:szCs w:val="20"/>
          </w:rPr>
          <w:t>https://www.gesetze-im-internet.de/bmibgebv/BJNR135900019.html</w:t>
        </w:r>
      </w:hyperlink>
    </w:p>
  </w:footnote>
  <w:footnote w:id="196">
    <w:p w14:paraId="2ACC5F81" w14:textId="77777777" w:rsidR="00EE3DF9" w:rsidRPr="00F91E8B" w:rsidRDefault="00EE3DF9" w:rsidP="00EE3DF9">
      <w:pPr>
        <w:spacing w:after="0"/>
        <w:rPr>
          <w:rFonts w:eastAsia="Times New Roman"/>
          <w:sz w:val="20"/>
          <w:szCs w:val="20"/>
          <w:lang w:val="fr-FR"/>
        </w:rPr>
      </w:pPr>
      <w:r w:rsidRPr="00FA0083">
        <w:rPr>
          <w:rFonts w:eastAsia="Times New Roman"/>
          <w:sz w:val="20"/>
          <w:szCs w:val="20"/>
          <w:vertAlign w:val="superscript"/>
        </w:rPr>
        <w:footnoteRef/>
      </w:r>
      <w:r w:rsidRPr="00FA0083">
        <w:rPr>
          <w:rFonts w:eastAsia="Times New Roman"/>
          <w:sz w:val="20"/>
          <w:szCs w:val="20"/>
          <w:vertAlign w:val="superscript"/>
        </w:rPr>
        <w:t xml:space="preserve"> </w:t>
      </w:r>
      <w:r w:rsidRPr="00FA0083">
        <w:rPr>
          <w:rFonts w:eastAsia="Times New Roman"/>
          <w:color w:val="000000" w:themeColor="text1"/>
          <w:sz w:val="20"/>
          <w:szCs w:val="20"/>
        </w:rPr>
        <w:t xml:space="preserve">An analysis of professional designations in the UK indicating that and individual is operating at a recognized level of competence in the cyber profession indicate an average cost of GPB 300 for Associate Cyber Security Professional (ACSP) and Practitioner Cyber Security Professional (PraCSP). These are provided through the Cyber Security Professional curricula identified by the UK CSC. </w:t>
      </w:r>
      <w:r w:rsidRPr="00F91E8B">
        <w:rPr>
          <w:rFonts w:eastAsia="Times New Roman"/>
          <w:color w:val="000000" w:themeColor="text1"/>
          <w:sz w:val="20"/>
          <w:szCs w:val="20"/>
          <w:lang w:val="fr-FR"/>
        </w:rPr>
        <w:t xml:space="preserve">Sources: UK CSC, </w:t>
      </w:r>
      <w:hyperlink r:id="rId119" w:history="1">
        <w:r w:rsidRPr="00F91E8B">
          <w:rPr>
            <w:rStyle w:val="Hyperlink"/>
            <w:rFonts w:eastAsia="Times New Roman"/>
            <w:sz w:val="20"/>
            <w:szCs w:val="20"/>
            <w:lang w:val="fr-FR"/>
          </w:rPr>
          <w:t>https://www.ukcybersecuritycouncil.org.uk/professional-registration/</w:t>
        </w:r>
      </w:hyperlink>
      <w:r w:rsidRPr="00F91E8B">
        <w:rPr>
          <w:sz w:val="20"/>
          <w:szCs w:val="20"/>
          <w:lang w:val="fr-FR"/>
        </w:rPr>
        <w:t>.</w:t>
      </w:r>
    </w:p>
  </w:footnote>
  <w:footnote w:id="197">
    <w:p w14:paraId="7D78A7A9" w14:textId="77777777" w:rsidR="00EE3DF9" w:rsidRPr="00FA0083" w:rsidRDefault="00EE3DF9" w:rsidP="00EE3DF9">
      <w:pPr>
        <w:spacing w:after="0"/>
        <w:rPr>
          <w:sz w:val="20"/>
          <w:szCs w:val="20"/>
        </w:rPr>
      </w:pPr>
      <w:r w:rsidRPr="00FA0083">
        <w:rPr>
          <w:rFonts w:eastAsia="Times New Roman"/>
          <w:sz w:val="20"/>
          <w:szCs w:val="20"/>
          <w:vertAlign w:val="superscript"/>
        </w:rPr>
        <w:footnoteRef/>
      </w:r>
      <w:r w:rsidRPr="00FA0083">
        <w:rPr>
          <w:rFonts w:eastAsia="Times New Roman"/>
          <w:sz w:val="20"/>
          <w:szCs w:val="20"/>
        </w:rPr>
        <w:t xml:space="preserve"> This figure is calculated based on the examination fees for certifications provided by ISC2 (CISSP, ISSAP, ISSEP, ISSMP, CSSLP, CGRC, SSCP, and CCSP,</w:t>
      </w:r>
      <w:r w:rsidRPr="00FA0083" w:rsidDel="00132855">
        <w:rPr>
          <w:rFonts w:eastAsia="Times New Roman"/>
          <w:sz w:val="20"/>
          <w:szCs w:val="20"/>
        </w:rPr>
        <w:t xml:space="preserve"> </w:t>
      </w:r>
      <w:hyperlink r:id="rId120" w:history="1">
        <w:r w:rsidRPr="00FA0083">
          <w:rPr>
            <w:rStyle w:val="Hyperlink"/>
            <w:rFonts w:eastAsia="Times New Roman"/>
            <w:sz w:val="20"/>
            <w:szCs w:val="20"/>
          </w:rPr>
          <w:t>https://www.isc2.org/register-for-exam/isc2-exam-pricing), ISACA (Source: https://www.isacaprep.com/how-much-is-the-cism-exam/</w:t>
        </w:r>
      </w:hyperlink>
      <w:r w:rsidRPr="00FA0083">
        <w:rPr>
          <w:rFonts w:eastAsia="Times New Roman"/>
          <w:sz w:val="20"/>
          <w:szCs w:val="20"/>
        </w:rPr>
        <w:t xml:space="preserve">) and SANS-GIAC, </w:t>
      </w:r>
      <w:hyperlink r:id="rId121" w:history="1">
        <w:r w:rsidRPr="00FA0083">
          <w:rPr>
            <w:rStyle w:val="Hyperlink"/>
            <w:rFonts w:eastAsia="Times New Roman"/>
            <w:sz w:val="20"/>
            <w:szCs w:val="20"/>
          </w:rPr>
          <w:t>https://www.giac.org/pricing/</w:t>
        </w:r>
      </w:hyperlink>
      <w:r w:rsidRPr="00FA0083">
        <w:rPr>
          <w:rFonts w:eastAsia="Times New Roman"/>
          <w:sz w:val="20"/>
          <w:szCs w:val="20"/>
        </w:rPr>
        <w:t>, converted from USD to EUR using a 0.94 exchange rate, when needed. This average cost reflects the financial commitment required to achieve a certification in the field of cybersecurity.</w:t>
      </w:r>
    </w:p>
  </w:footnote>
  <w:footnote w:id="198">
    <w:p w14:paraId="18C4E965"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 xml:space="preserve">European Commission (2017). </w:t>
      </w:r>
      <w:r w:rsidRPr="00FA0083">
        <w:rPr>
          <w:rFonts w:eastAsia="Times New Roman"/>
          <w:i/>
        </w:rPr>
        <w:t xml:space="preserve">Final report on the Evaluation of the European Union Agency for Network and Information Security (ENISA), </w:t>
      </w:r>
      <w:hyperlink r:id="rId122" w:history="1">
        <w:r w:rsidRPr="00FA0083">
          <w:rPr>
            <w:rStyle w:val="Hyperlink"/>
            <w:rFonts w:eastAsia="Times New Roman"/>
          </w:rPr>
          <w:t>https://digital-strategy.ec.europa.eu/en/library/final-report-evaluation-european-union-agency-network-and-information-security-enisa</w:t>
        </w:r>
      </w:hyperlink>
      <w:r w:rsidRPr="00FA0083">
        <w:rPr>
          <w:rFonts w:eastAsia="Times New Roman"/>
          <w:i/>
        </w:rPr>
        <w:t>.</w:t>
      </w:r>
    </w:p>
  </w:footnote>
  <w:footnote w:id="199">
    <w:p w14:paraId="553A89DA" w14:textId="77777777" w:rsidR="00EE3DF9" w:rsidRPr="00FA0083" w:rsidRDefault="00EE3DF9" w:rsidP="00EE3DF9">
      <w:pPr>
        <w:spacing w:after="0"/>
        <w:rPr>
          <w:sz w:val="20"/>
          <w:szCs w:val="20"/>
        </w:rPr>
      </w:pPr>
      <w:r w:rsidRPr="00FA0083">
        <w:rPr>
          <w:rStyle w:val="FootnoteReference"/>
          <w:sz w:val="20"/>
          <w:szCs w:val="20"/>
        </w:rPr>
        <w:footnoteRef/>
      </w:r>
      <w:r w:rsidRPr="00FA0083">
        <w:rPr>
          <w:sz w:val="20"/>
          <w:szCs w:val="20"/>
        </w:rPr>
        <w:t xml:space="preserve"> </w:t>
      </w:r>
      <w:r w:rsidRPr="00FA0083">
        <w:rPr>
          <w:rFonts w:eastAsia="Times New Roman"/>
          <w:sz w:val="20"/>
          <w:szCs w:val="20"/>
        </w:rPr>
        <w:t>The cost of the procurement of services from trusted MSSP are to be financed from the EU funding programme (currently Digital Europe Programme) via contribution agreement, as provided by the Cyber Solidarity Act.</w:t>
      </w:r>
    </w:p>
  </w:footnote>
  <w:footnote w:id="200">
    <w:p w14:paraId="41C758F2"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There are 12 ECSF cybersecurity profiles in total which can be divided into subsets. Therefore, there could be 12 European individual cybersecurity skills attestation schemes and potentially new ones in the future.</w:t>
      </w:r>
    </w:p>
  </w:footnote>
  <w:footnote w:id="201">
    <w:p w14:paraId="17AC1335"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Estimations are provided by analogy based on ENISA’s experience in running pilots on a European individual attestation scheme, implementing the communication on the Cybersecurity Skills Academy.</w:t>
      </w:r>
      <w:r w:rsidRPr="00FA0083">
        <w:t xml:space="preserve"> </w:t>
      </w:r>
    </w:p>
  </w:footnote>
  <w:footnote w:id="202">
    <w:p w14:paraId="3F69A32F" w14:textId="77777777" w:rsidR="00EE3DF9" w:rsidRPr="00FA0083" w:rsidRDefault="00EE3DF9" w:rsidP="00EE3DF9">
      <w:pPr>
        <w:pStyle w:val="FootnoteText"/>
        <w:jc w:val="left"/>
      </w:pPr>
      <w:r w:rsidRPr="00FA0083">
        <w:rPr>
          <w:rStyle w:val="FootnoteReference"/>
        </w:rPr>
        <w:footnoteRef/>
      </w:r>
      <w:r w:rsidRPr="00FA0083">
        <w:t xml:space="preserve"> </w:t>
      </w:r>
      <w:r w:rsidRPr="00FA0083">
        <w:rPr>
          <w:i/>
          <w:iCs/>
        </w:rPr>
        <w:t xml:space="preserve">EU funding and Tenders Portal : </w:t>
      </w:r>
      <w:hyperlink r:id="rId123" w:history="1">
        <w:r w:rsidRPr="00FA0083">
          <w:rPr>
            <w:rStyle w:val="Hyperlink"/>
          </w:rPr>
          <w:t>https://ec.europa.eu/info/funding-tenders/opportunities/portal/screen/opportunities/tender-details/46439658-5635-4465-ae7d-0a40e6e8e546-CN?order=DESC&amp;pageNumber=1&amp;pageSize=50&amp;sortBy=startDate&amp;isExactMatch=true&amp;cftPartyLegalEntityId=47352382</w:t>
        </w:r>
      </w:hyperlink>
      <w:r w:rsidRPr="00FA0083">
        <w:t xml:space="preserve">; </w:t>
      </w:r>
      <w:r w:rsidRPr="00FA0083">
        <w:rPr>
          <w:i/>
          <w:iCs/>
        </w:rPr>
        <w:t xml:space="preserve">ENISA website: </w:t>
      </w:r>
      <w:r w:rsidRPr="00FA0083">
        <w:t>https://enisa.europa.eu/procurement/implementation-of-the-single-reporting-platform</w:t>
      </w:r>
    </w:p>
  </w:footnote>
  <w:footnote w:id="203">
    <w:p w14:paraId="52A60E20"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Estimation provided by ENISA</w:t>
      </w:r>
      <w:r w:rsidRPr="00FA0083">
        <w:t>.</w:t>
      </w:r>
    </w:p>
  </w:footnote>
  <w:footnote w:id="204">
    <w:p w14:paraId="4778C97A" w14:textId="77777777" w:rsidR="00EE3DF9" w:rsidRPr="00FA0083" w:rsidRDefault="00EE3DF9" w:rsidP="00EE3DF9">
      <w:pPr>
        <w:pStyle w:val="FootnoteText"/>
      </w:pPr>
      <w:r w:rsidRPr="00FA0083">
        <w:rPr>
          <w:rStyle w:val="FootnoteReference"/>
        </w:rPr>
        <w:footnoteRef/>
      </w:r>
      <w:r w:rsidRPr="00FA0083">
        <w:t xml:space="preserve"> See assumptions above based on OECD figures.</w:t>
      </w:r>
    </w:p>
  </w:footnote>
  <w:footnote w:id="205">
    <w:p w14:paraId="7FD61DB7" w14:textId="77777777" w:rsidR="00EE3DF9" w:rsidRPr="00FA0083" w:rsidRDefault="00EE3DF9" w:rsidP="00EE3DF9">
      <w:pPr>
        <w:pStyle w:val="FootnoteText"/>
        <w:jc w:val="left"/>
      </w:pPr>
      <w:r w:rsidRPr="00FA0083">
        <w:rPr>
          <w:rStyle w:val="FootnoteReference"/>
        </w:rPr>
        <w:footnoteRef/>
      </w:r>
      <w:r w:rsidRPr="00FA0083">
        <w:t xml:space="preserve"> </w:t>
      </w:r>
      <w:hyperlink r:id="rId124" w:history="1">
        <w:r w:rsidRPr="00FA0083">
          <w:rPr>
            <w:rStyle w:val="Hyperlink"/>
          </w:rPr>
          <w:t>Decision RR-02: Price list of SNAS services</w:t>
        </w:r>
      </w:hyperlink>
      <w:r w:rsidRPr="00FA0083">
        <w:t xml:space="preserve"> : </w:t>
      </w:r>
      <w:hyperlink r:id="rId125" w:history="1">
        <w:r w:rsidRPr="00FA0083">
          <w:rPr>
            <w:rStyle w:val="Hyperlink"/>
          </w:rPr>
          <w:t>https://www.snas.sk/storage/app/uploads/public/677/e79/e4c/677e79e4cac62903312474.pdf</w:t>
        </w:r>
      </w:hyperlink>
      <w:r w:rsidRPr="00FA0083">
        <w:t xml:space="preserve">, </w:t>
      </w:r>
    </w:p>
    <w:p w14:paraId="543EF1DC" w14:textId="77777777" w:rsidR="00EE3DF9" w:rsidRPr="00FA0083" w:rsidRDefault="00EE3DF9" w:rsidP="00EE3DF9">
      <w:pPr>
        <w:pStyle w:val="FootnoteText"/>
      </w:pPr>
    </w:p>
  </w:footnote>
  <w:footnote w:id="206">
    <w:p w14:paraId="0DD172D8"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color w:val="000000" w:themeColor="text1"/>
        </w:rPr>
        <w:t xml:space="preserve">European Commission (2017). Final report on the Evaluation of the European Union Agency for Network and Information Security (ENISA), </w:t>
      </w:r>
      <w:hyperlink r:id="rId126" w:history="1">
        <w:r w:rsidRPr="00FA0083">
          <w:rPr>
            <w:rStyle w:val="Hyperlink"/>
            <w:rFonts w:eastAsia="Times New Roman"/>
          </w:rPr>
          <w:t>https://digital-strategy.ec.europa.eu/en/library/final-report-evaluation-european-union-agency-network-and-information-security-enisa</w:t>
        </w:r>
      </w:hyperlink>
    </w:p>
  </w:footnote>
  <w:footnote w:id="207">
    <w:p w14:paraId="372F8DDA" w14:textId="558CCC3A" w:rsidR="00EE3DF9" w:rsidRPr="00FA0083" w:rsidRDefault="00EE3DF9" w:rsidP="00EE3DF9">
      <w:pPr>
        <w:pStyle w:val="FootnoteText"/>
        <w:rPr>
          <w:lang w:val="en-IE"/>
        </w:rPr>
      </w:pPr>
      <w:r w:rsidRPr="00FA0083">
        <w:rPr>
          <w:rStyle w:val="FootnoteReference"/>
        </w:rPr>
        <w:footnoteRef/>
      </w:r>
      <w:r w:rsidRPr="00FA0083">
        <w:t xml:space="preserve"> E</w:t>
      </w:r>
      <w:r w:rsidR="00C62FFE">
        <w:t>NISA</w:t>
      </w:r>
      <w:r w:rsidRPr="00FA0083">
        <w:t xml:space="preserve">, </w:t>
      </w:r>
      <w:r w:rsidRPr="00FA0083">
        <w:rPr>
          <w:i/>
          <w:iCs/>
        </w:rPr>
        <w:t>CONFORMITY ASSESSMENT OF Qualified Trusted Service Providers - Technical guidelines for conformity assessment of qualified trust service providers</w:t>
      </w:r>
      <w:r w:rsidRPr="00FA0083">
        <w:t xml:space="preserve">, March 2020, available at (30.09.2025): </w:t>
      </w:r>
      <w:hyperlink r:id="rId127" w:history="1">
        <w:r w:rsidRPr="00FA0083">
          <w:rPr>
            <w:rStyle w:val="Hyperlink"/>
          </w:rPr>
          <w:t>https://www.enisa.europa.eu/sites/default/files/publications/ENISA%20Report%20-%20Conformity%20Assessment%20of%20Qualified%20Trust%20Service%20Providers.pdf</w:t>
        </w:r>
      </w:hyperlink>
      <w:r w:rsidRPr="00FA0083">
        <w:t xml:space="preserve"> </w:t>
      </w:r>
    </w:p>
  </w:footnote>
  <w:footnote w:id="208">
    <w:p w14:paraId="3661C5AE" w14:textId="77777777" w:rsidR="00EE3DF9" w:rsidRPr="00FA0083" w:rsidRDefault="00EE3DF9" w:rsidP="00EE3DF9">
      <w:pPr>
        <w:pStyle w:val="FootnoteText"/>
      </w:pPr>
      <w:r w:rsidRPr="00FA0083">
        <w:rPr>
          <w:rStyle w:val="FootnoteReference"/>
        </w:rPr>
        <w:footnoteRef/>
      </w:r>
      <w:r w:rsidRPr="00FA0083">
        <w:t xml:space="preserve"> See the following articles: </w:t>
      </w:r>
      <w:hyperlink r:id="rId128" w:history="1">
        <w:r w:rsidRPr="00FA0083">
          <w:rPr>
            <w:rStyle w:val="Hyperlink"/>
          </w:rPr>
          <w:t>https://qualysec.com/it-security-audit-cost/</w:t>
        </w:r>
      </w:hyperlink>
      <w:r w:rsidRPr="00FA0083">
        <w:t xml:space="preserve">; </w:t>
      </w:r>
      <w:hyperlink r:id="rId129" w:anchor="elementor-toc__heading-anchor-21" w:history="1">
        <w:r w:rsidRPr="00FA0083">
          <w:rPr>
            <w:rStyle w:val="Hyperlink"/>
          </w:rPr>
          <w:t>https://atlantsecurity.com/blog/cost-of-cybersecurity-due-diligence/#elementor-toc__heading-anchor-21</w:t>
        </w:r>
      </w:hyperlink>
      <w:r w:rsidRPr="00FA0083">
        <w:t xml:space="preserve">; </w:t>
      </w:r>
      <w:hyperlink r:id="rId130" w:history="1">
        <w:r w:rsidRPr="00FA0083">
          <w:rPr>
            <w:rStyle w:val="Hyperlink"/>
          </w:rPr>
          <w:t>https://cyberupgrade.net/blog/compliance-regulations/iso-27001-cost-understanding-certification-audit-and-implementation-expenses-in-2025</w:t>
        </w:r>
      </w:hyperlink>
      <w:r w:rsidRPr="00FA0083">
        <w:t xml:space="preserve">. </w:t>
      </w:r>
    </w:p>
  </w:footnote>
  <w:footnote w:id="209">
    <w:p w14:paraId="3B2B8F87" w14:textId="77777777" w:rsidR="0087606E" w:rsidRPr="00FA0083" w:rsidRDefault="0087606E" w:rsidP="0087606E">
      <w:pPr>
        <w:pStyle w:val="FootnoteText"/>
      </w:pPr>
      <w:r w:rsidRPr="00FA0083">
        <w:rPr>
          <w:rStyle w:val="FootnoteReference"/>
        </w:rPr>
        <w:footnoteRef/>
      </w:r>
      <w:r w:rsidRPr="00FA0083">
        <w:t xml:space="preserve"> </w:t>
      </w:r>
      <w:r w:rsidRPr="00FA0083">
        <w:tab/>
      </w:r>
      <w:hyperlink r:id="rId131" w:history="1">
        <w:r w:rsidRPr="00FA0083">
          <w:rPr>
            <w:rStyle w:val="Hyperlink"/>
          </w:rPr>
          <w:t>https://digital-strategy.ec.europa.eu/en/policies/5g-observatory</w:t>
        </w:r>
      </w:hyperlink>
      <w:r w:rsidRPr="00FA0083">
        <w:t xml:space="preserve"> ; see in particular </w:t>
      </w:r>
      <w:r w:rsidRPr="00FA0083">
        <w:rPr>
          <w:i/>
          <w:iCs/>
        </w:rPr>
        <w:t>5G Observatory indicators data</w:t>
      </w:r>
      <w:r w:rsidRPr="00FA0083">
        <w:t xml:space="preserve"> – </w:t>
      </w:r>
      <w:r w:rsidRPr="00FA0083">
        <w:rPr>
          <w:i/>
          <w:iCs/>
        </w:rPr>
        <w:t>as of 2024</w:t>
      </w:r>
      <w:r w:rsidRPr="00FA0083">
        <w:t>, available at : https://ec.europa.eu/newsroom/dae/redirection/document/120289</w:t>
      </w:r>
    </w:p>
  </w:footnote>
  <w:footnote w:id="210">
    <w:p w14:paraId="112DF35B" w14:textId="77777777" w:rsidR="0087606E" w:rsidRPr="00FA0083" w:rsidRDefault="0087606E" w:rsidP="0087606E">
      <w:pPr>
        <w:pStyle w:val="FootnoteText"/>
        <w:rPr>
          <w:i/>
          <w:iCs/>
        </w:rPr>
      </w:pPr>
      <w:r w:rsidRPr="00FA0083">
        <w:rPr>
          <w:rStyle w:val="FootnoteReference"/>
        </w:rPr>
        <w:footnoteRef/>
      </w:r>
      <w:r w:rsidRPr="00FA0083">
        <w:t xml:space="preserve"> </w:t>
      </w:r>
      <w:r w:rsidRPr="00FA0083">
        <w:tab/>
      </w:r>
      <w:r w:rsidRPr="00FA0083">
        <w:rPr>
          <w:rFonts w:eastAsia="Times New Roman"/>
          <w:lang w:val="en-IE" w:eastAsia="en-IE"/>
        </w:rPr>
        <w:t xml:space="preserve">EU27 5G RAN Network Investment in 2024, </w:t>
      </w:r>
      <w:r w:rsidRPr="00FA0083">
        <w:rPr>
          <w:rFonts w:eastAsia="Times New Roman"/>
          <w:i/>
          <w:iCs/>
          <w:lang w:val="en-IE" w:eastAsia="en-IE"/>
        </w:rPr>
        <w:t xml:space="preserve">5G Observatory </w:t>
      </w:r>
      <w:r w:rsidRPr="00FA0083">
        <w:rPr>
          <w:i/>
          <w:iCs/>
        </w:rPr>
        <w:t>indicators data</w:t>
      </w:r>
      <w:r w:rsidRPr="00FA0083">
        <w:t xml:space="preserve"> – </w:t>
      </w:r>
      <w:r w:rsidRPr="00FA0083">
        <w:rPr>
          <w:i/>
          <w:iCs/>
        </w:rPr>
        <w:t>as of 2024</w:t>
      </w:r>
    </w:p>
  </w:footnote>
  <w:footnote w:id="211">
    <w:p w14:paraId="2ADD9E36" w14:textId="77777777" w:rsidR="0087606E" w:rsidRPr="00FA0083" w:rsidRDefault="0087606E" w:rsidP="0087606E">
      <w:pPr>
        <w:pStyle w:val="FootnoteText"/>
      </w:pPr>
      <w:r w:rsidRPr="00FA0083">
        <w:rPr>
          <w:rStyle w:val="FootnoteReference"/>
        </w:rPr>
        <w:footnoteRef/>
      </w:r>
      <w:r w:rsidRPr="00FA0083">
        <w:t xml:space="preserve"> </w:t>
      </w:r>
      <w:r w:rsidRPr="00FA0083">
        <w:tab/>
        <w:t xml:space="preserve">EU27 5G Core Network Investment in 2024, Ibid. </w:t>
      </w:r>
    </w:p>
  </w:footnote>
  <w:footnote w:id="212">
    <w:p w14:paraId="130B4148" w14:textId="77777777" w:rsidR="0087606E" w:rsidRPr="00FA0083" w:rsidRDefault="0087606E" w:rsidP="0087606E">
      <w:pPr>
        <w:pStyle w:val="FootnoteText"/>
        <w:rPr>
          <w:lang w:val="en-US"/>
        </w:rPr>
      </w:pPr>
      <w:r w:rsidRPr="00FA0083">
        <w:rPr>
          <w:rStyle w:val="FootnoteReference"/>
        </w:rPr>
        <w:footnoteRef/>
      </w:r>
      <w:r w:rsidRPr="00FA0083">
        <w:t xml:space="preserve"> Strand Consult, The Market for 5G RAN in Europe: Share of Chinese and non-Chinese vendors in 31 European countries, May 2023.</w:t>
      </w:r>
    </w:p>
  </w:footnote>
  <w:footnote w:id="213">
    <w:p w14:paraId="31D41B75" w14:textId="77777777" w:rsidR="0087606E" w:rsidRPr="00FA0083" w:rsidRDefault="0087606E" w:rsidP="0087606E">
      <w:pPr>
        <w:pStyle w:val="FootnoteText"/>
        <w:rPr>
          <w:lang w:val="fr-BE"/>
        </w:rPr>
      </w:pPr>
      <w:r w:rsidRPr="00FA0083">
        <w:rPr>
          <w:rStyle w:val="FootnoteReference"/>
        </w:rPr>
        <w:footnoteRef/>
      </w:r>
      <w:r w:rsidRPr="00FA0083">
        <w:rPr>
          <w:lang w:val="fr-BE"/>
        </w:rPr>
        <w:t xml:space="preserve"> source: </w:t>
      </w:r>
      <w:hyperlink r:id="rId132" w:history="1">
        <w:r w:rsidRPr="00FA0083">
          <w:rPr>
            <w:rStyle w:val="Hyperlink"/>
            <w:lang w:val="fr-BE"/>
          </w:rPr>
          <w:t>https://www.lightreading.com/5g/huawei-has-hardly-been-weakened-in-european-5g-data-shows</w:t>
        </w:r>
      </w:hyperlink>
      <w:r w:rsidRPr="00FA0083">
        <w:rPr>
          <w:lang w:val="fr-BE"/>
        </w:rPr>
        <w:t xml:space="preserve">; </w:t>
      </w:r>
    </w:p>
  </w:footnote>
  <w:footnote w:id="214">
    <w:p w14:paraId="312E291A" w14:textId="77777777" w:rsidR="0087606E" w:rsidRPr="00FA0083" w:rsidRDefault="0087606E" w:rsidP="0087606E">
      <w:pPr>
        <w:pStyle w:val="FootnoteText"/>
        <w:rPr>
          <w:lang w:val="en-IE"/>
        </w:rPr>
      </w:pPr>
      <w:r w:rsidRPr="00FA0083">
        <w:rPr>
          <w:rStyle w:val="FootnoteReference"/>
        </w:rPr>
        <w:footnoteRef/>
      </w:r>
      <w:r w:rsidRPr="00FA0083">
        <w:tab/>
        <w:t>GSMA, the mobile economy Europe 2025.</w:t>
      </w:r>
    </w:p>
  </w:footnote>
  <w:footnote w:id="215">
    <w:p w14:paraId="52EB9CDE" w14:textId="77777777" w:rsidR="0087606E" w:rsidRPr="00FA0083" w:rsidRDefault="0087606E" w:rsidP="0087606E">
      <w:pPr>
        <w:pStyle w:val="FootnoteText"/>
        <w:rPr>
          <w:lang w:val="en-IE"/>
        </w:rPr>
      </w:pPr>
      <w:r w:rsidRPr="00FA0083">
        <w:rPr>
          <w:rStyle w:val="FootnoteReference"/>
        </w:rPr>
        <w:footnoteRef/>
      </w:r>
      <w:r w:rsidRPr="00FA0083">
        <w:rPr>
          <w:lang w:val="en-IE"/>
        </w:rPr>
        <w:t xml:space="preserve"> source: </w:t>
      </w:r>
      <w:hyperlink r:id="rId133" w:history="1">
        <w:r w:rsidRPr="00FA0083">
          <w:rPr>
            <w:rStyle w:val="Hyperlink"/>
            <w:lang w:val="en-IE"/>
          </w:rPr>
          <w:t>https://www.lightreading.com/5g/huawei-has-hardly-been-weakened-in-european-5g-data-shows</w:t>
        </w:r>
      </w:hyperlink>
      <w:r w:rsidRPr="00FA0083">
        <w:rPr>
          <w:lang w:val="en-IE"/>
        </w:rPr>
        <w:t xml:space="preserve">; see also:  </w:t>
      </w:r>
      <w:hyperlink r:id="rId134" w:history="1">
        <w:r w:rsidRPr="00FA0083">
          <w:rPr>
            <w:rStyle w:val="Hyperlink"/>
            <w:lang w:val="en-IE"/>
          </w:rPr>
          <w:t>https://www.lightreading.com/5g/huawei-defies-us-to-grow-market-share-as-ran-decline-ends-omdia</w:t>
        </w:r>
      </w:hyperlink>
      <w:r w:rsidRPr="00FA0083">
        <w:rPr>
          <w:lang w:val="en-IE"/>
        </w:rPr>
        <w:t xml:space="preserve"> </w:t>
      </w:r>
    </w:p>
  </w:footnote>
  <w:footnote w:id="216">
    <w:p w14:paraId="5758714D" w14:textId="77777777" w:rsidR="00EE3DF9" w:rsidRPr="00FA0083" w:rsidRDefault="00EE3DF9" w:rsidP="00EE3DF9">
      <w:pPr>
        <w:pStyle w:val="FootnoteText"/>
        <w:rPr>
          <w:lang w:val="en-IE"/>
        </w:rPr>
      </w:pPr>
      <w:r w:rsidRPr="00FA0083">
        <w:rPr>
          <w:rStyle w:val="FootnoteReference"/>
        </w:rPr>
        <w:footnoteRef/>
      </w:r>
      <w:r w:rsidRPr="00FA0083">
        <w:rPr>
          <w:lang w:val="en-IE"/>
        </w:rPr>
        <w:t xml:space="preserve"> Eurostat, </w:t>
      </w:r>
      <w:r w:rsidRPr="00FA0083">
        <w:rPr>
          <w:i/>
          <w:iCs/>
          <w:lang w:val="en-IE"/>
        </w:rPr>
        <w:t>EU high-tech trade: exports up in 2023</w:t>
      </w:r>
      <w:r w:rsidRPr="00FA0083">
        <w:rPr>
          <w:lang w:val="en-IE"/>
        </w:rPr>
        <w:t xml:space="preserve">, </w:t>
      </w:r>
      <w:hyperlink r:id="rId135" w:history="1">
        <w:r w:rsidRPr="00FA0083">
          <w:rPr>
            <w:rStyle w:val="Hyperlink"/>
            <w:lang w:val="en-IE"/>
          </w:rPr>
          <w:t>https://ec.europa.eu/eurostat/web/products-eurostat-news/w/ddn-20241004-1</w:t>
        </w:r>
      </w:hyperlink>
      <w:r w:rsidRPr="00FA0083">
        <w:rPr>
          <w:lang w:val="en-IE"/>
        </w:rPr>
        <w:t>.</w:t>
      </w:r>
    </w:p>
  </w:footnote>
  <w:footnote w:id="217">
    <w:p w14:paraId="76FF6F76" w14:textId="77777777" w:rsidR="00EE3DF9" w:rsidRPr="00F91E8B" w:rsidRDefault="00EE3DF9" w:rsidP="00EE3DF9">
      <w:pPr>
        <w:pStyle w:val="FootnoteText"/>
        <w:rPr>
          <w:lang w:val="en-IE"/>
        </w:rPr>
      </w:pPr>
      <w:r w:rsidRPr="00FA0083">
        <w:rPr>
          <w:rStyle w:val="FootnoteReference"/>
        </w:rPr>
        <w:footnoteRef/>
      </w:r>
      <w:r w:rsidRPr="00F91E8B">
        <w:rPr>
          <w:lang w:val="en-IE"/>
        </w:rPr>
        <w:t xml:space="preserve"> Eurostat, </w:t>
      </w:r>
      <w:r w:rsidRPr="00F91E8B">
        <w:rPr>
          <w:i/>
          <w:color w:val="000000" w:themeColor="text1"/>
          <w:lang w:val="en-IE"/>
        </w:rPr>
        <w:t>NACE Rev. 2 activity</w:t>
      </w:r>
      <w:r w:rsidRPr="00F91E8B">
        <w:rPr>
          <w:color w:val="000000" w:themeColor="text1"/>
          <w:lang w:val="en-IE"/>
        </w:rPr>
        <w:t>,</w:t>
      </w:r>
      <w:r w:rsidRPr="00F91E8B">
        <w:rPr>
          <w:lang w:val="en-IE"/>
        </w:rPr>
        <w:t xml:space="preserve"> </w:t>
      </w:r>
      <w:hyperlink r:id="rId136" w:history="1">
        <w:r w:rsidRPr="00F91E8B">
          <w:rPr>
            <w:rStyle w:val="Hyperlink"/>
            <w:lang w:val="en-IE"/>
          </w:rPr>
          <w:t>https://ec.europa.eu/eurostat/web/products-manuals-and-guidelines/-/ks-ra-07-015</w:t>
        </w:r>
      </w:hyperlink>
    </w:p>
  </w:footnote>
  <w:footnote w:id="218">
    <w:p w14:paraId="4063EF90" w14:textId="77777777" w:rsidR="00EE3DF9" w:rsidRPr="00FA0083" w:rsidRDefault="00EE3DF9" w:rsidP="00EE3DF9">
      <w:pPr>
        <w:pStyle w:val="FootnoteText"/>
      </w:pPr>
      <w:r w:rsidRPr="00FA0083">
        <w:rPr>
          <w:rStyle w:val="FootnoteReference"/>
        </w:rPr>
        <w:footnoteRef/>
      </w:r>
      <w:r w:rsidRPr="00FA0083">
        <w:t xml:space="preserve"> The costs and benefits data in this annex are consistent with the data in annex 3. The preferred option includes the mitigating measures listed in section 4. </w:t>
      </w:r>
    </w:p>
  </w:footnote>
  <w:footnote w:id="219">
    <w:p w14:paraId="54EA3E27" w14:textId="77777777" w:rsidR="00EE3DF9" w:rsidRPr="00FA0083" w:rsidRDefault="00EE3DF9" w:rsidP="00EE3DF9">
      <w:pPr>
        <w:pStyle w:val="FootnoteText"/>
      </w:pPr>
      <w:r w:rsidRPr="00FA0083">
        <w:rPr>
          <w:rStyle w:val="FootnoteReference"/>
        </w:rPr>
        <w:footnoteRef/>
      </w:r>
      <w:r w:rsidRPr="00FA0083">
        <w:t xml:space="preserve"> The direct benefits for SMEs can also be cost savings.</w:t>
      </w:r>
    </w:p>
  </w:footnote>
  <w:footnote w:id="220">
    <w:p w14:paraId="395F4C03" w14:textId="77777777" w:rsidR="00EE3DF9" w:rsidRPr="00FA0083" w:rsidRDefault="00EE3DF9" w:rsidP="00EE3DF9">
      <w:pPr>
        <w:spacing w:after="0"/>
        <w:rPr>
          <w:rFonts w:eastAsia="Times New Roman"/>
          <w:sz w:val="20"/>
          <w:szCs w:val="20"/>
        </w:rPr>
      </w:pPr>
      <w:r w:rsidRPr="00FA0083">
        <w:rPr>
          <w:sz w:val="20"/>
          <w:szCs w:val="20"/>
          <w:vertAlign w:val="superscript"/>
        </w:rPr>
        <w:footnoteRef/>
      </w:r>
      <w:r w:rsidRPr="00FA0083">
        <w:rPr>
          <w:sz w:val="20"/>
          <w:szCs w:val="20"/>
        </w:rPr>
        <w:t xml:space="preserve"> </w:t>
      </w:r>
      <w:r w:rsidRPr="00FA0083">
        <w:rPr>
          <w:sz w:val="20"/>
          <w:szCs w:val="20"/>
          <w:lang w:val="en-IE"/>
        </w:rPr>
        <w:t xml:space="preserve">Eurobarometer (2024) on Cyberskills, </w:t>
      </w:r>
      <w:hyperlink r:id="rId137" w:history="1">
        <w:r w:rsidRPr="00FA0083">
          <w:rPr>
            <w:rStyle w:val="Hyperlink"/>
            <w:sz w:val="20"/>
            <w:szCs w:val="20"/>
            <w:lang w:val="en-IE"/>
          </w:rPr>
          <w:t>https://europa.eu/eurobarometer/surveys/detail/3176</w:t>
        </w:r>
      </w:hyperlink>
      <w:r w:rsidRPr="00FA0083">
        <w:rPr>
          <w:sz w:val="20"/>
          <w:szCs w:val="20"/>
          <w:lang w:val="en-IE"/>
        </w:rPr>
        <w:t>.</w:t>
      </w:r>
    </w:p>
  </w:footnote>
  <w:footnote w:id="221">
    <w:p w14:paraId="17F3F3DF" w14:textId="77777777" w:rsidR="00EE3DF9" w:rsidRPr="00FA0083" w:rsidRDefault="00EE3DF9" w:rsidP="00EE3DF9">
      <w:pPr>
        <w:pStyle w:val="FootnoteText"/>
      </w:pPr>
      <w:r w:rsidRPr="00FA0083">
        <w:rPr>
          <w:rStyle w:val="FootnoteReference"/>
        </w:rPr>
        <w:footnoteRef/>
      </w:r>
      <w:r w:rsidRPr="00FA0083">
        <w:t xml:space="preserve"> ENISA, </w:t>
      </w:r>
      <w:r w:rsidRPr="00FA0083">
        <w:rPr>
          <w:i/>
        </w:rPr>
        <w:t>ENISA Threat Landscape 2024</w:t>
      </w:r>
      <w:r w:rsidRPr="00FA0083">
        <w:t xml:space="preserve">, </w:t>
      </w:r>
      <w:hyperlink r:id="rId138">
        <w:r w:rsidRPr="00FA0083">
          <w:rPr>
            <w:rStyle w:val="Hyperlink"/>
          </w:rPr>
          <w:t>https://www.enisa.europa.eu/publications/enisa-threat-landscape-2024</w:t>
        </w:r>
      </w:hyperlink>
    </w:p>
  </w:footnote>
  <w:footnote w:id="222">
    <w:p w14:paraId="04DF7141" w14:textId="77777777" w:rsidR="00EE3DF9" w:rsidRPr="00FA0083" w:rsidRDefault="00EE3DF9" w:rsidP="00EE3DF9">
      <w:pPr>
        <w:pStyle w:val="FootnoteText"/>
      </w:pPr>
      <w:r w:rsidRPr="00FA0083">
        <w:rPr>
          <w:rStyle w:val="FootnoteReference"/>
        </w:rPr>
        <w:footnoteRef/>
      </w:r>
      <w:r w:rsidRPr="00FA0083">
        <w:t xml:space="preserve"> Ibid. Ransomware: a type of attack where threat actors take control of a target’s assets and demand a ransom in exchange for the return of the asset’s availability or in exchange for publicly exposing the target’s data. </w:t>
      </w:r>
    </w:p>
  </w:footnote>
  <w:footnote w:id="223">
    <w:p w14:paraId="0B0889C8" w14:textId="77777777" w:rsidR="00EE3DF9" w:rsidRPr="00FA0083" w:rsidRDefault="00EE3DF9" w:rsidP="00EE3DF9">
      <w:pPr>
        <w:pStyle w:val="FootnoteText"/>
      </w:pPr>
      <w:r w:rsidRPr="00FA0083">
        <w:rPr>
          <w:rStyle w:val="FootnoteReference"/>
        </w:rPr>
        <w:footnoteRef/>
      </w:r>
      <w:r w:rsidRPr="00FA0083">
        <w:t xml:space="preserve"> Ibid</w:t>
      </w:r>
      <w:r w:rsidRPr="00FA0083">
        <w:rPr>
          <w:i/>
          <w:iCs/>
        </w:rPr>
        <w:t xml:space="preserve">. </w:t>
      </w:r>
      <w:r w:rsidRPr="00FA0083">
        <w:t xml:space="preserve">The definitions provided by ENISA allow to differentiate between malicious and non-malicious intent. The impact assessment report only refers to data breaches as defined by ENISA: </w:t>
      </w:r>
      <w:r w:rsidRPr="00FA0083">
        <w:rPr>
          <w:b/>
          <w:bCs/>
          <w:i/>
          <w:iCs/>
        </w:rPr>
        <w:t>“Data breach</w:t>
      </w:r>
      <w:r w:rsidRPr="00FA0083">
        <w:rPr>
          <w:i/>
          <w:iCs/>
        </w:rPr>
        <w:t xml:space="preserve">: an intentional cyber-attack executed by a cybercriminal to gain unauthorised access to release sensitive, confidential or protected data. In other words, a data breach is a deliberate and forceful attack against a system or organisation to steal data. </w:t>
      </w:r>
      <w:r w:rsidRPr="00FA0083">
        <w:rPr>
          <w:b/>
          <w:bCs/>
          <w:i/>
          <w:iCs/>
          <w:lang w:val="en-IE"/>
        </w:rPr>
        <w:t>Data leak</w:t>
      </w:r>
      <w:r w:rsidRPr="00FA0083">
        <w:rPr>
          <w:i/>
          <w:iCs/>
          <w:lang w:val="en-IE"/>
        </w:rPr>
        <w:t>:</w:t>
      </w:r>
      <w:r w:rsidRPr="00FA0083">
        <w:rPr>
          <w:i/>
          <w:iCs/>
        </w:rPr>
        <w:t xml:space="preserve"> an event (e.g. due to misconfigurations, vulnerabilities or human errors) that can cause the unintentional loss or exposure of sensitive, confidential or protected data. It does not consider intentional attacks and is sometimes called data exposure.”</w:t>
      </w:r>
    </w:p>
  </w:footnote>
  <w:footnote w:id="224">
    <w:p w14:paraId="619A75DA" w14:textId="77777777" w:rsidR="00EE3DF9" w:rsidRPr="00FA0083" w:rsidRDefault="00EE3DF9" w:rsidP="00EE3DF9">
      <w:pPr>
        <w:pStyle w:val="FootnoteText"/>
      </w:pPr>
      <w:r w:rsidRPr="00FA0083">
        <w:rPr>
          <w:rStyle w:val="FootnoteReference"/>
        </w:rPr>
        <w:footnoteRef/>
      </w:r>
      <w:r w:rsidRPr="00FA0083">
        <w:t xml:space="preserve"> Ibid.</w:t>
      </w:r>
    </w:p>
  </w:footnote>
  <w:footnote w:id="225">
    <w:p w14:paraId="7DA80EDF" w14:textId="77777777" w:rsidR="00EE3DF9" w:rsidRPr="00FA0083" w:rsidRDefault="00EE3DF9" w:rsidP="00EE3DF9">
      <w:pPr>
        <w:pStyle w:val="FootnoteText"/>
      </w:pPr>
      <w:r w:rsidRPr="00FA0083">
        <w:rPr>
          <w:rStyle w:val="FootnoteReference"/>
        </w:rPr>
        <w:footnoteRef/>
      </w:r>
      <w:r w:rsidRPr="00FA0083">
        <w:t xml:space="preserve"> CISA (U.S. Cybersecurity and Infrastructure Security Agency) (2021). Cost of Cyber Incidents Study, </w:t>
      </w:r>
      <w:hyperlink r:id="rId139" w:history="1">
        <w:r w:rsidRPr="00FA0083">
          <w:rPr>
            <w:rStyle w:val="Hyperlink"/>
          </w:rPr>
          <w:t>https://www.cisa.gov/sites/default/files/publications/CISA_OCE_Cost_of_Cyber_Incidents_Study-FINAL_508.pdf</w:t>
        </w:r>
      </w:hyperlink>
      <w:r w:rsidRPr="00FA0083">
        <w:t xml:space="preserve"> Cost of Cyber Incidents Study, </w:t>
      </w:r>
      <w:hyperlink r:id="rId140" w:history="1">
        <w:r w:rsidRPr="00FA0083">
          <w:rPr>
            <w:rStyle w:val="Hyperlink"/>
          </w:rPr>
          <w:t>https://www.cisa.gov/sites/default/files/publications/CISAOCE_Cost_of_Cyber_Incidents_Study-FINAL_508.pdf</w:t>
        </w:r>
      </w:hyperlink>
      <w:r w:rsidRPr="00FA0083">
        <w:t xml:space="preserve"> </w:t>
      </w:r>
    </w:p>
  </w:footnote>
  <w:footnote w:id="226">
    <w:p w14:paraId="334F89AF"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lang w:val="en-IE"/>
        </w:rPr>
        <w:t xml:space="preserve">See for instance the federal Bureau of Investigation’s Internet Crime Complaint Centre (IC3), </w:t>
      </w:r>
      <w:hyperlink r:id="rId141" w:history="1">
        <w:r w:rsidRPr="00FA0083">
          <w:rPr>
            <w:rStyle w:val="Hyperlink"/>
          </w:rPr>
          <w:t>https://www.ic3.gov/</w:t>
        </w:r>
      </w:hyperlink>
      <w:r w:rsidRPr="00FA0083">
        <w:t>.</w:t>
      </w:r>
    </w:p>
  </w:footnote>
  <w:footnote w:id="227">
    <w:p w14:paraId="0D61BE0B" w14:textId="77777777" w:rsidR="00EE3DF9" w:rsidRPr="00FA0083" w:rsidRDefault="00EE3DF9" w:rsidP="00EE3DF9">
      <w:pPr>
        <w:spacing w:after="0"/>
        <w:rPr>
          <w:sz w:val="20"/>
          <w:szCs w:val="20"/>
        </w:rPr>
      </w:pPr>
      <w:r w:rsidRPr="00FA0083">
        <w:rPr>
          <w:rStyle w:val="FootnoteReference"/>
          <w:rFonts w:eastAsia="Times New Roman"/>
          <w:sz w:val="20"/>
          <w:szCs w:val="20"/>
          <w:lang w:eastAsia="en-GB"/>
        </w:rPr>
        <w:footnoteRef/>
      </w:r>
      <w:r w:rsidRPr="00FA0083">
        <w:rPr>
          <w:rStyle w:val="FootnoteReference"/>
          <w:rFonts w:eastAsia="Times New Roman"/>
          <w:sz w:val="20"/>
          <w:szCs w:val="20"/>
          <w:lang w:eastAsia="en-GB"/>
        </w:rPr>
        <w:t xml:space="preserve"> </w:t>
      </w:r>
      <w:r w:rsidRPr="00FA0083">
        <w:rPr>
          <w:sz w:val="20"/>
          <w:szCs w:val="20"/>
        </w:rPr>
        <w:t xml:space="preserve">IBM, Cost of a data breach report 2025, </w:t>
      </w:r>
      <w:hyperlink r:id="rId142">
        <w:r w:rsidRPr="00FA0083">
          <w:rPr>
            <w:rStyle w:val="Hyperlink"/>
            <w:sz w:val="20"/>
            <w:szCs w:val="20"/>
          </w:rPr>
          <w:t>https://www.ibm.com/downloads/documents/us-en/131cf87b20b31c91</w:t>
        </w:r>
      </w:hyperlink>
      <w:r w:rsidRPr="00FA0083">
        <w:rPr>
          <w:sz w:val="20"/>
          <w:szCs w:val="20"/>
        </w:rPr>
        <w:t xml:space="preserve">; IBM, </w:t>
      </w:r>
      <w:r w:rsidRPr="00FA0083">
        <w:rPr>
          <w:i/>
          <w:iCs/>
          <w:sz w:val="20"/>
          <w:szCs w:val="20"/>
        </w:rPr>
        <w:t>Cost of data breach: financial industry 2024</w:t>
      </w:r>
      <w:r w:rsidRPr="00FA0083">
        <w:rPr>
          <w:sz w:val="20"/>
          <w:szCs w:val="20"/>
        </w:rPr>
        <w:t xml:space="preserve">,  </w:t>
      </w:r>
      <w:hyperlink r:id="rId143" w:history="1">
        <w:r w:rsidRPr="00FA0083">
          <w:rPr>
            <w:rStyle w:val="Hyperlink"/>
            <w:sz w:val="20"/>
            <w:szCs w:val="20"/>
          </w:rPr>
          <w:t>https://www.ibm.com/think/insights/cost-of-a-data-breach-2024-financial-industry</w:t>
        </w:r>
      </w:hyperlink>
      <w:r w:rsidRPr="00FA0083">
        <w:rPr>
          <w:sz w:val="20"/>
          <w:szCs w:val="20"/>
        </w:rPr>
        <w:t>.</w:t>
      </w:r>
    </w:p>
  </w:footnote>
  <w:footnote w:id="228">
    <w:p w14:paraId="79C459B3" w14:textId="77777777" w:rsidR="00EE3DF9" w:rsidRPr="00FA0083" w:rsidRDefault="00EE3DF9" w:rsidP="00EE3DF9">
      <w:pPr>
        <w:pStyle w:val="FootnoteText"/>
      </w:pPr>
      <w:r w:rsidRPr="00FA0083">
        <w:rPr>
          <w:rStyle w:val="FootnoteReference"/>
        </w:rPr>
        <w:footnoteRef/>
      </w:r>
      <w:r w:rsidRPr="00FA0083">
        <w:t xml:space="preserve"> IBM, Cost of a data breach report 2025, </w:t>
      </w:r>
      <w:hyperlink r:id="rId144" w:history="1">
        <w:r w:rsidRPr="00FA0083">
          <w:rPr>
            <w:rStyle w:val="Hyperlink"/>
          </w:rPr>
          <w:t>https://www.ibm.com/reports/data-breach</w:t>
        </w:r>
      </w:hyperlink>
      <w:r w:rsidRPr="00FA0083">
        <w:t>.</w:t>
      </w:r>
    </w:p>
  </w:footnote>
  <w:footnote w:id="229">
    <w:p w14:paraId="7CB22095" w14:textId="77777777" w:rsidR="00EE3DF9" w:rsidRPr="00FA0083" w:rsidRDefault="00EE3DF9" w:rsidP="00EE3DF9">
      <w:pPr>
        <w:spacing w:after="0"/>
        <w:rPr>
          <w:sz w:val="20"/>
          <w:szCs w:val="20"/>
          <w:lang w:val="en-IE"/>
        </w:rPr>
      </w:pPr>
      <w:r w:rsidRPr="00FA0083">
        <w:rPr>
          <w:rStyle w:val="FootnoteReference"/>
          <w:rFonts w:eastAsia="Times New Roman"/>
          <w:sz w:val="20"/>
          <w:szCs w:val="20"/>
          <w:lang w:eastAsia="en-GB"/>
        </w:rPr>
        <w:footnoteRef/>
      </w:r>
      <w:r w:rsidRPr="00FA0083">
        <w:rPr>
          <w:rStyle w:val="FootnoteReference"/>
          <w:rFonts w:eastAsia="Times New Roman"/>
          <w:sz w:val="20"/>
          <w:szCs w:val="20"/>
          <w:lang w:val="en-IE" w:eastAsia="en-GB"/>
        </w:rPr>
        <w:t xml:space="preserve"> </w:t>
      </w:r>
      <w:r w:rsidRPr="00FA0083">
        <w:rPr>
          <w:rFonts w:eastAsia="Times New Roman"/>
          <w:sz w:val="20"/>
          <w:szCs w:val="20"/>
          <w:lang w:val="en-IE" w:eastAsia="en-GB"/>
        </w:rPr>
        <w:t xml:space="preserve">Sophos, </w:t>
      </w:r>
      <w:r w:rsidRPr="00FA0083">
        <w:rPr>
          <w:rFonts w:eastAsia="Times New Roman"/>
          <w:i/>
          <w:iCs/>
          <w:sz w:val="20"/>
          <w:szCs w:val="20"/>
          <w:lang w:val="en-IE" w:eastAsia="en-GB"/>
        </w:rPr>
        <w:t>The State of ransomware 2025</w:t>
      </w:r>
      <w:r w:rsidRPr="00FA0083">
        <w:rPr>
          <w:rFonts w:eastAsia="Times New Roman"/>
          <w:sz w:val="20"/>
          <w:szCs w:val="20"/>
          <w:lang w:val="en-IE" w:eastAsia="en-GB"/>
        </w:rPr>
        <w:t xml:space="preserve">, </w:t>
      </w:r>
      <w:hyperlink r:id="rId145" w:history="1">
        <w:r w:rsidRPr="00FA0083">
          <w:rPr>
            <w:rStyle w:val="Hyperlink"/>
            <w:sz w:val="20"/>
            <w:szCs w:val="20"/>
            <w:lang w:val="en-IE"/>
          </w:rPr>
          <w:t>https://assets.sophos.com/X24WTUEQ/at/9brgj5n44hqvgsp5f5bqcps/sophos-state-of-ransomware-2025.pdf</w:t>
        </w:r>
      </w:hyperlink>
      <w:r w:rsidRPr="00FA0083">
        <w:rPr>
          <w:sz w:val="20"/>
          <w:szCs w:val="20"/>
          <w:lang w:val="en-IE"/>
        </w:rPr>
        <w:t xml:space="preserve">; </w:t>
      </w:r>
      <w:r w:rsidRPr="00FA0083">
        <w:rPr>
          <w:rFonts w:eastAsia="Times New Roman"/>
          <w:sz w:val="20"/>
          <w:szCs w:val="20"/>
          <w:lang w:val="en-IE" w:eastAsia="en-GB"/>
        </w:rPr>
        <w:t xml:space="preserve">Sophos, </w:t>
      </w:r>
      <w:r w:rsidRPr="00FA0083">
        <w:rPr>
          <w:rFonts w:eastAsia="Times New Roman"/>
          <w:i/>
          <w:iCs/>
          <w:sz w:val="20"/>
          <w:szCs w:val="20"/>
          <w:lang w:val="en-IE" w:eastAsia="en-GB"/>
        </w:rPr>
        <w:t>State of ransomware – country reports,</w:t>
      </w:r>
      <w:r w:rsidRPr="00FA0083">
        <w:rPr>
          <w:sz w:val="20"/>
          <w:szCs w:val="20"/>
          <w:lang w:val="en-IE"/>
        </w:rPr>
        <w:t xml:space="preserve"> </w:t>
      </w:r>
      <w:hyperlink r:id="rId146" w:anchor="country-reports" w:history="1">
        <w:r w:rsidRPr="00FA0083">
          <w:rPr>
            <w:rStyle w:val="Hyperlink"/>
            <w:sz w:val="20"/>
            <w:szCs w:val="20"/>
            <w:lang w:val="en-IE"/>
          </w:rPr>
          <w:t>https://www.sophos.com/en-us/content/state-of-ransomware#country-reports</w:t>
        </w:r>
      </w:hyperlink>
      <w:r w:rsidRPr="00FA0083">
        <w:rPr>
          <w:sz w:val="20"/>
          <w:szCs w:val="20"/>
          <w:lang w:val="en-IE"/>
        </w:rPr>
        <w:t xml:space="preserve"> </w:t>
      </w:r>
    </w:p>
  </w:footnote>
  <w:footnote w:id="230">
    <w:p w14:paraId="5898FE5F" w14:textId="77777777" w:rsidR="00EE3DF9" w:rsidRPr="00FA0083" w:rsidRDefault="00EE3DF9" w:rsidP="00EE3DF9">
      <w:pPr>
        <w:pStyle w:val="FootnoteText"/>
        <w:rPr>
          <w:lang w:val="en-IE"/>
        </w:rPr>
      </w:pPr>
      <w:r w:rsidRPr="00FA0083">
        <w:rPr>
          <w:rStyle w:val="FootnoteReference"/>
        </w:rPr>
        <w:footnoteRef/>
      </w:r>
      <w:r w:rsidRPr="00FA0083">
        <w:t xml:space="preserve"> ENISA makes a distinction between “Data breach” and “Data leaks”, see section 1 of this Annex.</w:t>
      </w:r>
    </w:p>
  </w:footnote>
  <w:footnote w:id="231">
    <w:p w14:paraId="0063614D"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lang w:val="en-IE"/>
        </w:rPr>
        <w:t xml:space="preserve">Data breach” in ENISA terminology, </w:t>
      </w:r>
      <w:r w:rsidRPr="00FA0083">
        <w:t>see section 1 of this Annex</w:t>
      </w:r>
      <w:r w:rsidRPr="00FA0083">
        <w:rPr>
          <w:lang w:val="en-IE"/>
        </w:rPr>
        <w:t>.</w:t>
      </w:r>
    </w:p>
  </w:footnote>
  <w:footnote w:id="232">
    <w:p w14:paraId="7F9871D4"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lang w:val="en-IE"/>
        </w:rPr>
        <w:t xml:space="preserve">“Data leak” in ENISA terminology, </w:t>
      </w:r>
      <w:r w:rsidRPr="00FA0083">
        <w:t>see section 1 of this Annex</w:t>
      </w:r>
      <w:r w:rsidRPr="00FA0083">
        <w:rPr>
          <w:lang w:val="en-IE"/>
        </w:rPr>
        <w:t>.</w:t>
      </w:r>
    </w:p>
  </w:footnote>
  <w:footnote w:id="233">
    <w:p w14:paraId="1653CE53"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lang w:val="en-IE"/>
        </w:rPr>
        <w:t xml:space="preserve">NIST, </w:t>
      </w:r>
      <w:r w:rsidRPr="00FA0083">
        <w:rPr>
          <w:i/>
          <w:iCs/>
          <w:lang w:val="en-IE"/>
        </w:rPr>
        <w:t>Computer Security Resource Centre Glossary</w:t>
      </w:r>
      <w:r w:rsidRPr="00FA0083">
        <w:rPr>
          <w:lang w:val="en-IE"/>
        </w:rPr>
        <w:t xml:space="preserve">, </w:t>
      </w:r>
      <w:hyperlink r:id="rId147" w:history="1">
        <w:r w:rsidRPr="00FA0083">
          <w:rPr>
            <w:rStyle w:val="Hyperlink"/>
            <w:lang w:val="en-IE"/>
          </w:rPr>
          <w:t>malicious cyber activity - Glossary | CSRC</w:t>
        </w:r>
      </w:hyperlink>
      <w:r w:rsidRPr="00FA0083">
        <w:rPr>
          <w:lang w:val="en-IE"/>
        </w:rPr>
        <w:t>. ENISA does not offer a single, formal definition of "malicious activity" but describes it through threat types and behaviours that compromise cybersecurity and are reflected in the NIST definition.</w:t>
      </w:r>
    </w:p>
  </w:footnote>
  <w:footnote w:id="234">
    <w:p w14:paraId="281F1534" w14:textId="77777777" w:rsidR="00EE3DF9" w:rsidRPr="00FA0083" w:rsidRDefault="00EE3DF9" w:rsidP="00EE3DF9">
      <w:pPr>
        <w:pStyle w:val="FootnoteText"/>
        <w:rPr>
          <w:lang w:val="en-IE"/>
        </w:rPr>
      </w:pPr>
      <w:r w:rsidRPr="00FA0083">
        <w:rPr>
          <w:rStyle w:val="FootnoteReference"/>
        </w:rPr>
        <w:footnoteRef/>
      </w:r>
      <w:r w:rsidRPr="00FA0083">
        <w:t xml:space="preserve"> FEMA, </w:t>
      </w:r>
      <w:r w:rsidRPr="00FA0083">
        <w:rPr>
          <w:i/>
          <w:iCs/>
        </w:rPr>
        <w:t>Planning Considerations for Cyber Incidents</w:t>
      </w:r>
      <w:r w:rsidRPr="00FA0083">
        <w:t xml:space="preserve">,  </w:t>
      </w:r>
      <w:hyperlink r:id="rId148" w:history="1">
        <w:r w:rsidRPr="00FA0083">
          <w:rPr>
            <w:rStyle w:val="Hyperlink"/>
            <w:rFonts w:eastAsia="Times New Roman Bold"/>
            <w:lang w:val="en-IE"/>
          </w:rPr>
          <w:t>https://www.fema.gov/sites/default/files/documents/fema_planning-considerations-cyber-incidents_2023.pdf</w:t>
        </w:r>
      </w:hyperlink>
      <w:r w:rsidRPr="00FA0083">
        <w:rPr>
          <w:rFonts w:eastAsia="Times New Roman Bold"/>
          <w:lang w:val="en-IE"/>
        </w:rPr>
        <w:t>.</w:t>
      </w:r>
    </w:p>
  </w:footnote>
  <w:footnote w:id="235">
    <w:p w14:paraId="4B7D3791"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rFonts w:eastAsia="Times New Roman"/>
          <w:lang w:val="en-IE" w:eastAsia="en-GB"/>
        </w:rPr>
        <w:t xml:space="preserve">Sophos, </w:t>
      </w:r>
      <w:r w:rsidRPr="00FA0083">
        <w:rPr>
          <w:rFonts w:eastAsia="Times New Roman"/>
          <w:i/>
          <w:iCs/>
          <w:lang w:val="en-IE" w:eastAsia="en-GB"/>
        </w:rPr>
        <w:t>The State of ransomware 2025</w:t>
      </w:r>
      <w:r w:rsidRPr="00FA0083">
        <w:rPr>
          <w:rFonts w:eastAsia="Times New Roman"/>
          <w:lang w:val="en-IE" w:eastAsia="en-GB"/>
        </w:rPr>
        <w:t>, and</w:t>
      </w:r>
      <w:r w:rsidRPr="00FA0083">
        <w:t xml:space="preserve"> </w:t>
      </w:r>
      <w:r w:rsidRPr="00FA0083">
        <w:rPr>
          <w:rFonts w:eastAsia="Times New Roman"/>
          <w:lang w:val="en-IE" w:eastAsia="en-GB"/>
        </w:rPr>
        <w:t xml:space="preserve">Sophos, </w:t>
      </w:r>
      <w:r w:rsidRPr="00FA0083">
        <w:rPr>
          <w:rFonts w:eastAsia="Times New Roman"/>
          <w:i/>
          <w:iCs/>
          <w:lang w:val="en-IE" w:eastAsia="en-GB"/>
        </w:rPr>
        <w:t>State of ransomware – country reports (2025)</w:t>
      </w:r>
    </w:p>
  </w:footnote>
  <w:footnote w:id="236">
    <w:p w14:paraId="1DC9A10D" w14:textId="77777777" w:rsidR="00EE3DF9" w:rsidRPr="00FA0083" w:rsidRDefault="00EE3DF9" w:rsidP="00EE3DF9">
      <w:pPr>
        <w:pStyle w:val="FootnoteText"/>
        <w:rPr>
          <w:lang w:val="en-IE"/>
        </w:rPr>
      </w:pPr>
      <w:r w:rsidRPr="00FA0083">
        <w:rPr>
          <w:rStyle w:val="FootnoteReference"/>
        </w:rPr>
        <w:footnoteRef/>
      </w:r>
      <w:r w:rsidRPr="00FA0083">
        <w:rPr>
          <w:lang w:val="en-IE"/>
        </w:rPr>
        <w:t xml:space="preserve"> Estefania Vergara Cobos , Selcen Cakir, </w:t>
      </w:r>
      <w:r w:rsidRPr="00FA0083">
        <w:rPr>
          <w:i/>
          <w:iCs/>
        </w:rPr>
        <w:t>A Review of the Economic Costs of Cyber Incidents</w:t>
      </w:r>
      <w:r w:rsidRPr="00FA0083">
        <w:t xml:space="preserve">, </w:t>
      </w:r>
      <w:hyperlink r:id="rId149" w:anchor=":~:text=This%20paper%20presents%20a%20comprehensive%20review%20of%20the,those%20from%20cascading%20effects%20and%20long-term%20reputational%20damages." w:history="1">
        <w:r w:rsidRPr="00FA0083">
          <w:rPr>
            <w:rStyle w:val="Hyperlink"/>
          </w:rPr>
          <w:t>https://documents1.worldbank.org/curated/en/099092324164536687/pdf/P17876919ffee4079180e81701969ad0a18.pdf</w:t>
        </w:r>
      </w:hyperlink>
      <w:r w:rsidRPr="00FA0083">
        <w:t>.</w:t>
      </w:r>
    </w:p>
  </w:footnote>
  <w:footnote w:id="237">
    <w:p w14:paraId="5B342E5D" w14:textId="77777777" w:rsidR="00EE3DF9" w:rsidRPr="00FA0083" w:rsidRDefault="00EE3DF9" w:rsidP="00EE3DF9">
      <w:pPr>
        <w:pStyle w:val="FootnoteText"/>
        <w:rPr>
          <w:lang w:val="en-IE"/>
        </w:rPr>
      </w:pPr>
      <w:r w:rsidRPr="00FA0083">
        <w:rPr>
          <w:rStyle w:val="FootnoteReference"/>
        </w:rPr>
        <w:footnoteRef/>
      </w:r>
      <w:r w:rsidRPr="00FA0083">
        <w:t xml:space="preserve"> </w:t>
      </w:r>
      <w:r w:rsidRPr="00FA0083">
        <w:rPr>
          <w:rFonts w:eastAsia="Times New Roman"/>
        </w:rPr>
        <w:t xml:space="preserve">ENISA, </w:t>
      </w:r>
      <w:r w:rsidRPr="00FA0083">
        <w:rPr>
          <w:rFonts w:eastAsia="Times New Roman"/>
          <w:i/>
        </w:rPr>
        <w:t>ENISA Threat Landscape 2024</w:t>
      </w:r>
      <w:r w:rsidRPr="00FA0083">
        <w:rPr>
          <w:rFonts w:eastAsia="Times New Roman"/>
        </w:rPr>
        <w:t xml:space="preserve">, </w:t>
      </w:r>
      <w:hyperlink r:id="rId150">
        <w:r w:rsidRPr="00FA0083">
          <w:rPr>
            <w:rStyle w:val="Hyperlink"/>
            <w:rFonts w:eastAsia="Times New Roman"/>
          </w:rPr>
          <w:t>https://www.enisa.europa.eu/publications/enisa-threat-landscape-2024</w:t>
        </w:r>
      </w:hyperlink>
      <w:r w:rsidRPr="00FA0083">
        <w:t>.</w:t>
      </w:r>
    </w:p>
  </w:footnote>
  <w:footnote w:id="238">
    <w:p w14:paraId="7BE379ED" w14:textId="77777777" w:rsidR="00EE3DF9" w:rsidRPr="00FA0083" w:rsidRDefault="00EE3DF9" w:rsidP="00EE3DF9">
      <w:pPr>
        <w:pStyle w:val="FootnoteText"/>
        <w:rPr>
          <w:lang w:val="en-IE"/>
        </w:rPr>
      </w:pPr>
      <w:r w:rsidRPr="00FA0083">
        <w:rPr>
          <w:rStyle w:val="FootnoteReference"/>
        </w:rPr>
        <w:footnoteRef/>
      </w:r>
      <w:r w:rsidRPr="00FA0083">
        <w:rPr>
          <w:lang w:val="en-IE"/>
        </w:rPr>
        <w:t xml:space="preserve"> Astra, </w:t>
      </w:r>
      <w:r w:rsidRPr="00FA0083">
        <w:rPr>
          <w:i/>
          <w:iCs/>
          <w:lang w:val="en-IE"/>
        </w:rPr>
        <w:t xml:space="preserve">100+ Ransomware Attack Statistics 2025: Trends &amp; Cost, </w:t>
      </w:r>
      <w:hyperlink r:id="rId151" w:history="1">
        <w:r w:rsidRPr="00FA0083">
          <w:rPr>
            <w:rStyle w:val="Hyperlink"/>
          </w:rPr>
          <w:t>100+ Ransomware Attack Statistics 2025: Trends &amp; Cost</w:t>
        </w:r>
      </w:hyperlink>
      <w:r w:rsidRPr="00FA0083">
        <w:rPr>
          <w:lang w:val="en-IE"/>
        </w:rPr>
        <w:t>.</w:t>
      </w:r>
    </w:p>
  </w:footnote>
  <w:footnote w:id="239">
    <w:p w14:paraId="60C978A0" w14:textId="77777777" w:rsidR="00EE3DF9" w:rsidRPr="00FA0083" w:rsidRDefault="00EE3DF9" w:rsidP="00EE3DF9">
      <w:pPr>
        <w:pStyle w:val="FootnoteText"/>
        <w:rPr>
          <w:lang w:val="de-DE"/>
        </w:rPr>
      </w:pPr>
      <w:r w:rsidRPr="00FA0083">
        <w:rPr>
          <w:rStyle w:val="FootnoteReference"/>
        </w:rPr>
        <w:footnoteRef/>
      </w:r>
      <w:r w:rsidRPr="00FA0083">
        <w:rPr>
          <w:lang w:val="de-DE"/>
        </w:rPr>
        <w:t xml:space="preserve"> Bitkom, </w:t>
      </w:r>
      <w:r w:rsidRPr="00FA0083">
        <w:rPr>
          <w:i/>
          <w:iCs/>
          <w:lang w:val="de-DE"/>
        </w:rPr>
        <w:t>Vorstellung der Bitkom-Studie „Wirtschaftsschutz 2024</w:t>
      </w:r>
      <w:r w:rsidRPr="00FA0083">
        <w:rPr>
          <w:lang w:val="de-DE"/>
        </w:rPr>
        <w:t>,</w:t>
      </w:r>
      <w:r w:rsidRPr="00FA0083">
        <w:rPr>
          <w:rFonts w:eastAsiaTheme="minorHAnsi"/>
          <w:lang w:val="de-DE"/>
        </w:rPr>
        <w:t xml:space="preserve"> </w:t>
      </w:r>
      <w:hyperlink r:id="rId152" w:history="1">
        <w:r w:rsidRPr="00FA0083">
          <w:rPr>
            <w:rStyle w:val="Hyperlink"/>
            <w:lang w:val="de-DE"/>
          </w:rPr>
          <w:t>Bundesamt für Verfassungsschutz - Bundesamt für Verfassungsschutz - Vorstellung der Bitkom-Studie „Wirtschaftsschutz 2024“.</w:t>
        </w:r>
      </w:hyperlink>
    </w:p>
  </w:footnote>
  <w:footnote w:id="240">
    <w:p w14:paraId="2C2571F6" w14:textId="77777777" w:rsidR="00EE3DF9" w:rsidRPr="00FA0083" w:rsidRDefault="00EE3DF9" w:rsidP="00EE3DF9">
      <w:pPr>
        <w:pStyle w:val="FootnoteText"/>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53" w:history="1">
        <w:r w:rsidRPr="00FA0083">
          <w:rPr>
            <w:rStyle w:val="Hyperlink"/>
          </w:rPr>
          <w:t>https://digital-skills-jobs.europa.eu/system/files/2024-12/ISC2_Workfoce-Study-Findings-EU.pdf</w:t>
        </w:r>
      </w:hyperlink>
      <w:r w:rsidRPr="00FA0083">
        <w:t>.</w:t>
      </w:r>
    </w:p>
  </w:footnote>
  <w:footnote w:id="241">
    <w:p w14:paraId="3391AA0F" w14:textId="77777777" w:rsidR="00EE3DF9" w:rsidRPr="00FA0083" w:rsidRDefault="00EE3DF9" w:rsidP="00EE3DF9">
      <w:pPr>
        <w:pStyle w:val="FootnoteText"/>
        <w:rPr>
          <w:lang w:val="de-DE"/>
        </w:rPr>
      </w:pPr>
      <w:r w:rsidRPr="00FA0083">
        <w:rPr>
          <w:rStyle w:val="FootnoteReference"/>
        </w:rPr>
        <w:footnoteRef/>
      </w:r>
      <w:r w:rsidRPr="00FA0083">
        <w:rPr>
          <w:lang w:val="de-DE"/>
        </w:rPr>
        <w:t xml:space="preserve"> Ibid.</w:t>
      </w:r>
    </w:p>
  </w:footnote>
  <w:footnote w:id="242">
    <w:p w14:paraId="7635C40F" w14:textId="77777777" w:rsidR="00EE3DF9" w:rsidRPr="00FA0083" w:rsidRDefault="00EE3DF9" w:rsidP="00EE3DF9">
      <w:pPr>
        <w:pStyle w:val="FootnoteText"/>
        <w:rPr>
          <w:lang w:val="de-DE"/>
        </w:rPr>
      </w:pPr>
      <w:r w:rsidRPr="00FA0083">
        <w:rPr>
          <w:rStyle w:val="FootnoteReference"/>
        </w:rPr>
        <w:footnoteRef/>
      </w:r>
      <w:r w:rsidRPr="00FA0083">
        <w:rPr>
          <w:lang w:val="de-DE"/>
        </w:rPr>
        <w:t xml:space="preserve"> Bitkom, </w:t>
      </w:r>
      <w:r w:rsidRPr="00FA0083">
        <w:rPr>
          <w:i/>
          <w:iCs/>
          <w:lang w:val="de-DE"/>
        </w:rPr>
        <w:t>Vorstellung der Bitkom-Studie „Wirtschaftsschutz 2024</w:t>
      </w:r>
      <w:r w:rsidRPr="00FA0083">
        <w:rPr>
          <w:lang w:val="de-DE"/>
        </w:rPr>
        <w:t xml:space="preserve">, </w:t>
      </w:r>
      <w:hyperlink r:id="rId154" w:history="1">
        <w:r w:rsidRPr="00FA0083">
          <w:rPr>
            <w:rStyle w:val="Hyperlink"/>
            <w:lang w:val="de-DE"/>
          </w:rPr>
          <w:t>Bundesamt für Verfassungsschutz - Bundesamt für Verfassungsschutz - Vorstellung der Bitkom-Studie „Wirtschaftsschutz 2024“.</w:t>
        </w:r>
      </w:hyperlink>
    </w:p>
  </w:footnote>
  <w:footnote w:id="243">
    <w:p w14:paraId="07AF5FA6" w14:textId="77777777" w:rsidR="00EE3DF9" w:rsidRPr="00FA0083" w:rsidRDefault="00EE3DF9" w:rsidP="00EE3DF9">
      <w:pPr>
        <w:pStyle w:val="FootnoteText"/>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55" w:history="1">
        <w:r w:rsidRPr="00FA0083">
          <w:rPr>
            <w:rStyle w:val="Hyperlink"/>
          </w:rPr>
          <w:t>https://digital-skills-jobs.europa.eu/system/files/2024-12/ISC2_Workfoce-Study-Findings-EU.pdf</w:t>
        </w:r>
      </w:hyperlink>
      <w:r w:rsidRPr="00FA0083">
        <w:t>.</w:t>
      </w:r>
    </w:p>
  </w:footnote>
  <w:footnote w:id="244">
    <w:p w14:paraId="6DF521DE" w14:textId="77777777" w:rsidR="00EE3DF9" w:rsidRPr="00FA0083" w:rsidRDefault="00EE3DF9" w:rsidP="00EE3DF9">
      <w:pPr>
        <w:pStyle w:val="FootnoteText"/>
        <w:rPr>
          <w:lang w:val="cs-CZ"/>
        </w:rPr>
      </w:pPr>
      <w:r w:rsidRPr="00FA0083">
        <w:rPr>
          <w:rStyle w:val="FootnoteReference"/>
        </w:rPr>
        <w:footnoteRef/>
      </w:r>
      <w:r w:rsidRPr="00FA0083">
        <w:t xml:space="preserve"> ENISA, </w:t>
      </w:r>
      <w:r w:rsidRPr="00FA0083">
        <w:rPr>
          <w:i/>
          <w:iCs/>
        </w:rPr>
        <w:t xml:space="preserve">NIS INVESTMENTS 2024, </w:t>
      </w:r>
      <w:hyperlink r:id="rId156" w:history="1">
        <w:r w:rsidRPr="00FA0083">
          <w:rPr>
            <w:rStyle w:val="Hyperlink"/>
          </w:rPr>
          <w:t>https://www.enisa.europa.eu/sites/default/files/2024-11/CSPA%20-%20NIS%20Investments%20-%202024_0.pdf</w:t>
        </w:r>
      </w:hyperlink>
      <w:r w:rsidRPr="00FA0083">
        <w:t>.</w:t>
      </w:r>
    </w:p>
  </w:footnote>
  <w:footnote w:id="245">
    <w:p w14:paraId="7021352F" w14:textId="77777777" w:rsidR="00EE3DF9" w:rsidRPr="00FA0083" w:rsidRDefault="00EE3DF9" w:rsidP="00EE3DF9">
      <w:pPr>
        <w:pStyle w:val="FootnoteText"/>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57" w:history="1">
        <w:r w:rsidRPr="00FA0083">
          <w:rPr>
            <w:rStyle w:val="Hyperlink"/>
          </w:rPr>
          <w:t>https://digital-skills-jobs.europa.eu/system/files/2024-12/ISC2_Workfoce-Study-Findings-EU.pdf</w:t>
        </w:r>
      </w:hyperlink>
      <w:r w:rsidRPr="00FA0083">
        <w:t>.</w:t>
      </w:r>
    </w:p>
  </w:footnote>
  <w:footnote w:id="246">
    <w:p w14:paraId="45024FE0" w14:textId="77777777" w:rsidR="00EE3DF9" w:rsidRPr="00FA0083" w:rsidRDefault="00EE3DF9" w:rsidP="00EE3DF9">
      <w:pPr>
        <w:pStyle w:val="FootnoteText"/>
        <w:rPr>
          <w:lang w:val="fr-BE"/>
        </w:rPr>
      </w:pPr>
      <w:r w:rsidRPr="00FA0083">
        <w:rPr>
          <w:rStyle w:val="FootnoteReference"/>
        </w:rPr>
        <w:footnoteRef/>
      </w:r>
      <w:r w:rsidRPr="00FA0083">
        <w:rPr>
          <w:lang w:val="fr-BE"/>
        </w:rPr>
        <w:t xml:space="preserve"> ANSSI, </w:t>
      </w:r>
      <w:r w:rsidRPr="00FA0083">
        <w:rPr>
          <w:i/>
          <w:iCs/>
          <w:lang w:val="fr-BE"/>
        </w:rPr>
        <w:t>Observatoire des métiers 2025</w:t>
      </w:r>
      <w:r w:rsidRPr="00FA0083">
        <w:rPr>
          <w:lang w:val="fr-BE"/>
        </w:rPr>
        <w:t xml:space="preserve">, </w:t>
      </w:r>
      <w:hyperlink r:id="rId158" w:history="1">
        <w:r w:rsidRPr="00FA0083">
          <w:rPr>
            <w:rStyle w:val="Hyperlink"/>
            <w:lang w:val="fr-BE"/>
          </w:rPr>
          <w:t>https://cyber.gouv.fr/publications/observatoire-des-metiers-2025</w:t>
        </w:r>
      </w:hyperlink>
      <w:r w:rsidRPr="00FA0083">
        <w:rPr>
          <w:lang w:val="fr-BE"/>
        </w:rPr>
        <w:t>.</w:t>
      </w:r>
    </w:p>
  </w:footnote>
  <w:footnote w:id="247">
    <w:p w14:paraId="04BF0B56" w14:textId="77777777" w:rsidR="00EE3DF9" w:rsidRPr="00FA0083" w:rsidRDefault="00EE3DF9" w:rsidP="00EE3DF9">
      <w:pPr>
        <w:pStyle w:val="FootnoteText"/>
        <w:rPr>
          <w:lang w:val="es-ES_tradnl"/>
        </w:rPr>
      </w:pPr>
      <w:r w:rsidRPr="00FA0083">
        <w:rPr>
          <w:rStyle w:val="FootnoteReference"/>
        </w:rPr>
        <w:footnoteRef/>
      </w:r>
      <w:r w:rsidRPr="00FA0083">
        <w:rPr>
          <w:lang w:val="es-ES_tradnl"/>
        </w:rPr>
        <w:t xml:space="preserve"> Axios, </w:t>
      </w:r>
      <w:r w:rsidRPr="00FA0083">
        <w:rPr>
          <w:i/>
          <w:iCs/>
          <w:lang w:val="es-ES_tradnl"/>
        </w:rPr>
        <w:t>Axios AI+,</w:t>
      </w:r>
      <w:r w:rsidRPr="00FA0083">
        <w:rPr>
          <w:lang w:val="es-ES_tradnl"/>
        </w:rPr>
        <w:t xml:space="preserve"> </w:t>
      </w:r>
      <w:hyperlink r:id="rId159" w:history="1">
        <w:r w:rsidRPr="00FA0083">
          <w:rPr>
            <w:rStyle w:val="Hyperlink"/>
            <w:lang w:val="es-ES_tradnl"/>
          </w:rPr>
          <w:t>https://www.axios.com/newsletters/axios-ai-plus-eafb70c7-71fb-4dab-ba52-5006df10529e</w:t>
        </w:r>
      </w:hyperlink>
    </w:p>
  </w:footnote>
  <w:footnote w:id="248">
    <w:p w14:paraId="3022963E" w14:textId="77777777" w:rsidR="00EE3DF9" w:rsidRPr="00FA0083" w:rsidRDefault="00EE3DF9" w:rsidP="00EE3DF9">
      <w:pPr>
        <w:pStyle w:val="FootnoteText"/>
        <w:rPr>
          <w:lang w:val="cs-CZ"/>
        </w:rPr>
      </w:pPr>
      <w:r w:rsidRPr="00FA0083">
        <w:rPr>
          <w:rStyle w:val="FootnoteReference"/>
        </w:rPr>
        <w:footnoteRef/>
      </w:r>
      <w:r w:rsidRPr="00FA0083">
        <w:t xml:space="preserve"> </w:t>
      </w:r>
      <w:r w:rsidRPr="00FA0083">
        <w:rPr>
          <w:lang w:val="cs-CZ"/>
        </w:rPr>
        <w:t>Ibid.</w:t>
      </w:r>
    </w:p>
  </w:footnote>
  <w:footnote w:id="249">
    <w:p w14:paraId="39EAA49C" w14:textId="77777777" w:rsidR="00EE3DF9" w:rsidRPr="00FA0083" w:rsidRDefault="00EE3DF9" w:rsidP="00EE3DF9">
      <w:pPr>
        <w:pStyle w:val="FootnoteText"/>
        <w:rPr>
          <w:lang w:val="cs-CZ"/>
        </w:rPr>
      </w:pPr>
      <w:r w:rsidRPr="00FA0083">
        <w:rPr>
          <w:rStyle w:val="FootnoteReference"/>
        </w:rPr>
        <w:footnoteRef/>
      </w:r>
      <w:r w:rsidRPr="00FA0083">
        <w:t xml:space="preserve"> Comparative analysis of EU-based cybersecurity skills frameworks, </w:t>
      </w:r>
      <w:hyperlink r:id="rId160" w:tgtFrame="_blank" w:tooltip="Persistent link using digital object identifier" w:history="1">
        <w:r w:rsidRPr="00FA0083">
          <w:rPr>
            <w:rStyle w:val="Hyperlink"/>
          </w:rPr>
          <w:t>https://doi.org/10.1016/j.cose.2025.104329</w:t>
        </w:r>
      </w:hyperlink>
      <w:r w:rsidRPr="00FA0083">
        <w:t>.</w:t>
      </w:r>
    </w:p>
  </w:footnote>
  <w:footnote w:id="250">
    <w:p w14:paraId="79B9D793" w14:textId="77777777" w:rsidR="00EE3DF9" w:rsidRPr="00FA0083" w:rsidRDefault="00EE3DF9" w:rsidP="00EE3DF9">
      <w:pPr>
        <w:pStyle w:val="FootnoteText"/>
        <w:rPr>
          <w:lang w:val="cs-CZ"/>
        </w:rPr>
      </w:pPr>
      <w:r w:rsidRPr="00FA0083">
        <w:rPr>
          <w:rStyle w:val="FootnoteReference"/>
        </w:rPr>
        <w:footnoteRef/>
      </w:r>
      <w:r w:rsidRPr="00FA0083">
        <w:t xml:space="preserve"> Ibid.</w:t>
      </w:r>
    </w:p>
  </w:footnote>
  <w:footnote w:id="251">
    <w:p w14:paraId="6990199C" w14:textId="77777777" w:rsidR="00EE3DF9" w:rsidRPr="00FA0083" w:rsidRDefault="00EE3DF9" w:rsidP="00EE3DF9">
      <w:pPr>
        <w:pStyle w:val="FootnoteText"/>
        <w:rPr>
          <w:lang w:val="cs-CZ"/>
        </w:rPr>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61" w:history="1">
        <w:r w:rsidRPr="00FA0083">
          <w:rPr>
            <w:rStyle w:val="Hyperlink"/>
          </w:rPr>
          <w:t>https://digital-skills-jobs.europa.eu/system/files/2024-12/ISC2_Workfoce-Study-Findings-EU.pdf</w:t>
        </w:r>
      </w:hyperlink>
      <w:r w:rsidRPr="00FA0083">
        <w:t>.</w:t>
      </w:r>
    </w:p>
  </w:footnote>
  <w:footnote w:id="252">
    <w:p w14:paraId="58337593" w14:textId="77777777" w:rsidR="00EE3DF9" w:rsidRPr="00FA0083" w:rsidRDefault="00EE3DF9" w:rsidP="00EE3DF9">
      <w:pPr>
        <w:pStyle w:val="FootnoteText"/>
        <w:rPr>
          <w:lang w:val="cs-CZ"/>
        </w:rPr>
      </w:pPr>
      <w:r w:rsidRPr="00FA0083">
        <w:rPr>
          <w:rStyle w:val="FootnoteReference"/>
        </w:rPr>
        <w:footnoteRef/>
      </w:r>
      <w:r w:rsidRPr="00FA0083">
        <w:t xml:space="preserve"> </w:t>
      </w:r>
      <w:r w:rsidRPr="00FA0083">
        <w:rPr>
          <w:lang w:val="en-IE"/>
        </w:rPr>
        <w:t xml:space="preserve">Eurobarometer (2024) on Cyberskills, </w:t>
      </w:r>
      <w:hyperlink r:id="rId162" w:history="1">
        <w:r w:rsidRPr="00FA0083">
          <w:rPr>
            <w:rStyle w:val="Hyperlink"/>
            <w:lang w:val="en-IE"/>
          </w:rPr>
          <w:t>https://europa.eu/eurobarometer/surveys/detail/3176</w:t>
        </w:r>
      </w:hyperlink>
      <w:r w:rsidRPr="00FA0083">
        <w:rPr>
          <w:lang w:val="en-IE"/>
        </w:rPr>
        <w:t>.</w:t>
      </w:r>
    </w:p>
  </w:footnote>
  <w:footnote w:id="253">
    <w:p w14:paraId="49326490" w14:textId="77777777" w:rsidR="00EE3DF9" w:rsidRPr="00FA0083" w:rsidRDefault="00EE3DF9" w:rsidP="00EE3DF9">
      <w:pPr>
        <w:pStyle w:val="FootnoteText"/>
        <w:rPr>
          <w:lang w:val="cs-CZ"/>
        </w:rPr>
      </w:pPr>
      <w:r w:rsidRPr="00FA0083">
        <w:rPr>
          <w:rStyle w:val="FootnoteReference"/>
        </w:rPr>
        <w:footnoteRef/>
      </w:r>
      <w:r w:rsidRPr="00FA0083">
        <w:t xml:space="preserve"> </w:t>
      </w:r>
      <w:r w:rsidRPr="00FA0083">
        <w:rPr>
          <w:lang w:val="en-IE"/>
        </w:rPr>
        <w:t xml:space="preserve">Eurobarometer (2024) on Cyberskills, </w:t>
      </w:r>
      <w:hyperlink r:id="rId163" w:history="1">
        <w:r w:rsidRPr="00FA0083">
          <w:rPr>
            <w:rStyle w:val="Hyperlink"/>
            <w:lang w:val="en-IE"/>
          </w:rPr>
          <w:t>https://europa.eu/eurobarometer/surveys/detail/3176</w:t>
        </w:r>
      </w:hyperlink>
      <w:r w:rsidRPr="00FA0083">
        <w:rPr>
          <w:lang w:val="en-IE"/>
        </w:rPr>
        <w:t>..</w:t>
      </w:r>
    </w:p>
  </w:footnote>
  <w:footnote w:id="254">
    <w:p w14:paraId="2D48D230" w14:textId="77777777" w:rsidR="00EE3DF9" w:rsidRPr="00FA0083" w:rsidRDefault="00EE3DF9" w:rsidP="00EE3DF9">
      <w:pPr>
        <w:pStyle w:val="FootnoteText"/>
        <w:rPr>
          <w:lang w:val="cs-CZ"/>
        </w:rPr>
      </w:pPr>
      <w:r w:rsidRPr="00FA0083">
        <w:rPr>
          <w:rStyle w:val="FootnoteReference"/>
        </w:rPr>
        <w:footnoteRef/>
      </w:r>
      <w:r w:rsidRPr="00FA0083">
        <w:rPr>
          <w:lang w:val="cs-CZ"/>
        </w:rPr>
        <w:t xml:space="preserve"> ENISA, </w:t>
      </w:r>
      <w:r w:rsidRPr="00FA0083">
        <w:rPr>
          <w:i/>
          <w:lang w:val="cs-CZ"/>
        </w:rPr>
        <w:t xml:space="preserve">NIS INVESTMENTS 2024, </w:t>
      </w:r>
      <w:hyperlink r:id="rId164" w:history="1">
        <w:r w:rsidRPr="00FA0083">
          <w:rPr>
            <w:rStyle w:val="Hyperlink"/>
            <w:lang w:val="cs-CZ"/>
          </w:rPr>
          <w:t>https://www.enisa.europa.eu/sites/default/files/2024-11/CSPA%20-%20NIS%20Investments%20-%202024_0.pdf</w:t>
        </w:r>
      </w:hyperlink>
      <w:r w:rsidRPr="00FA0083">
        <w:rPr>
          <w:lang w:val="cs-CZ"/>
        </w:rPr>
        <w:t>.</w:t>
      </w:r>
    </w:p>
  </w:footnote>
  <w:footnote w:id="255">
    <w:p w14:paraId="5DB4482A" w14:textId="77777777" w:rsidR="00EE3DF9" w:rsidRPr="00FA0083" w:rsidRDefault="00EE3DF9" w:rsidP="00EE3DF9">
      <w:pPr>
        <w:pStyle w:val="FootnoteText"/>
        <w:rPr>
          <w:lang w:val="cs-CZ"/>
        </w:rPr>
      </w:pPr>
      <w:r w:rsidRPr="00FA0083">
        <w:rPr>
          <w:rStyle w:val="FootnoteReference"/>
        </w:rPr>
        <w:footnoteRef/>
      </w:r>
      <w:r w:rsidRPr="00FA0083">
        <w:rPr>
          <w:lang w:val="cs-CZ"/>
        </w:rPr>
        <w:t xml:space="preserve"> European Commission, </w:t>
      </w:r>
      <w:r w:rsidRPr="00FA0083">
        <w:rPr>
          <w:i/>
          <w:lang w:val="cs-CZ"/>
        </w:rPr>
        <w:t>The Draghi report on EU competitiveness</w:t>
      </w:r>
      <w:r w:rsidRPr="00FA0083">
        <w:rPr>
          <w:lang w:val="cs-CZ"/>
        </w:rPr>
        <w:t xml:space="preserve">, </w:t>
      </w:r>
      <w:hyperlink r:id="rId165" w:history="1">
        <w:r w:rsidRPr="00FA0083">
          <w:rPr>
            <w:rStyle w:val="Hyperlink"/>
            <w:lang w:val="cs-CZ"/>
          </w:rPr>
          <w:t>https://commission.europa.eu/topics/eu-competitiveness/draghi-report_en</w:t>
        </w:r>
      </w:hyperlink>
      <w:r w:rsidRPr="00FA0083">
        <w:rPr>
          <w:lang w:val="cs-CZ"/>
        </w:rPr>
        <w:t>.</w:t>
      </w:r>
    </w:p>
  </w:footnote>
  <w:footnote w:id="256">
    <w:p w14:paraId="68414D18" w14:textId="77777777" w:rsidR="00EE3DF9" w:rsidRPr="00FA0083" w:rsidRDefault="00EE3DF9" w:rsidP="00EE3DF9">
      <w:pPr>
        <w:pStyle w:val="FootnoteText"/>
      </w:pPr>
      <w:r w:rsidRPr="00FA0083">
        <w:rPr>
          <w:rStyle w:val="FootnoteReference"/>
        </w:rPr>
        <w:footnoteRef/>
      </w:r>
      <w:r w:rsidRPr="00FA0083">
        <w:t xml:space="preserve"> Ibid.</w:t>
      </w:r>
    </w:p>
  </w:footnote>
  <w:footnote w:id="257">
    <w:p w14:paraId="2C3789C1" w14:textId="77777777" w:rsidR="00EE3DF9" w:rsidRPr="00FA0083" w:rsidRDefault="00EE3DF9" w:rsidP="00EE3DF9">
      <w:pPr>
        <w:pStyle w:val="FootnoteText"/>
      </w:pPr>
      <w:r w:rsidRPr="00FA0083">
        <w:rPr>
          <w:rStyle w:val="FootnoteReference"/>
        </w:rPr>
        <w:footnoteRef/>
      </w:r>
      <w:r w:rsidRPr="00FA0083">
        <w:t xml:space="preserve"> ENISA, </w:t>
      </w:r>
      <w:r w:rsidRPr="00FA0083">
        <w:rPr>
          <w:i/>
          <w:iCs/>
        </w:rPr>
        <w:t>Conformity assessments</w:t>
      </w:r>
      <w:r w:rsidRPr="00FA0083">
        <w:t xml:space="preserve">, </w:t>
      </w:r>
      <w:hyperlink r:id="rId166" w:history="1">
        <w:r w:rsidRPr="00FA0083">
          <w:rPr>
            <w:rStyle w:val="Hyperlink"/>
          </w:rPr>
          <w:t>https://www.enisa.europa.eu/sites/default/files/publications/Cybersecurity%20Certification%20Statistics%20Report.pdf</w:t>
        </w:r>
      </w:hyperlink>
      <w:r w:rsidRPr="00FA0083">
        <w:t>.</w:t>
      </w:r>
    </w:p>
  </w:footnote>
  <w:footnote w:id="258">
    <w:p w14:paraId="69AC8A80" w14:textId="77777777" w:rsidR="00EE3DF9" w:rsidRPr="00FA0083" w:rsidRDefault="00EE3DF9" w:rsidP="00EE3DF9">
      <w:pPr>
        <w:pStyle w:val="FootnoteText"/>
      </w:pPr>
      <w:r w:rsidRPr="00FA0083">
        <w:rPr>
          <w:rStyle w:val="FootnoteReference"/>
        </w:rPr>
        <w:footnoteRef/>
      </w:r>
      <w:r w:rsidRPr="00FA0083">
        <w:t xml:space="preserve"> ENISA, </w:t>
      </w:r>
      <w:r w:rsidRPr="00FA0083">
        <w:rPr>
          <w:i/>
          <w:iCs/>
        </w:rPr>
        <w:t>The 2024 Report on the State of the Cybersecurity in the Union</w:t>
      </w:r>
      <w:r w:rsidRPr="00FA0083">
        <w:t xml:space="preserve">, </w:t>
      </w:r>
      <w:hyperlink r:id="rId167" w:history="1">
        <w:r w:rsidRPr="00FA0083">
          <w:rPr>
            <w:rStyle w:val="Hyperlink"/>
          </w:rPr>
          <w:t>https://www.enisa.europa.eu/sites/default/files/2024-11/2024%20Report%20on%20the%20State%20of%20Cybersecurity%20in%20the%20Union%20-%20Condensed%20version.pdf</w:t>
        </w:r>
      </w:hyperlink>
      <w:r w:rsidRPr="00FA0083">
        <w:t>.</w:t>
      </w:r>
    </w:p>
  </w:footnote>
  <w:footnote w:id="259">
    <w:p w14:paraId="1B4A4517" w14:textId="77777777" w:rsidR="00EE3DF9" w:rsidRPr="00FA0083" w:rsidRDefault="00EE3DF9" w:rsidP="00EE3DF9">
      <w:pPr>
        <w:pStyle w:val="FootnoteText"/>
        <w:rPr>
          <w:lang w:val="cs-CZ"/>
        </w:rPr>
      </w:pPr>
      <w:r w:rsidRPr="00FA0083">
        <w:rPr>
          <w:rStyle w:val="FootnoteReference"/>
        </w:rPr>
        <w:footnoteRef/>
      </w:r>
      <w:r w:rsidRPr="00FA0083">
        <w:t xml:space="preserve"> Thales, </w:t>
      </w:r>
      <w:r w:rsidRPr="00FA0083">
        <w:rPr>
          <w:i/>
          <w:iCs/>
        </w:rPr>
        <w:t>2025 Digital Trust Index – Consumer Edition</w:t>
      </w:r>
      <w:r w:rsidRPr="00FA0083">
        <w:t xml:space="preserve">, </w:t>
      </w:r>
      <w:hyperlink r:id="rId168" w:history="1">
        <w:r w:rsidRPr="00FA0083">
          <w:rPr>
            <w:rStyle w:val="Hyperlink"/>
          </w:rPr>
          <w:t>https://cpl.thalesgroup.com/about-us/newsroom/digital-trust-index-2025</w:t>
        </w:r>
      </w:hyperlink>
      <w:r w:rsidRPr="00FA0083">
        <w:t>.</w:t>
      </w:r>
    </w:p>
  </w:footnote>
  <w:footnote w:id="260">
    <w:p w14:paraId="0B494F1D" w14:textId="77777777" w:rsidR="00EE3DF9" w:rsidRPr="00FA0083" w:rsidRDefault="00EE3DF9" w:rsidP="00EE3DF9">
      <w:pPr>
        <w:pStyle w:val="FootnoteText"/>
      </w:pPr>
      <w:r w:rsidRPr="00FA0083">
        <w:rPr>
          <w:rStyle w:val="FootnoteReference"/>
        </w:rPr>
        <w:footnoteRef/>
      </w:r>
      <w:r w:rsidRPr="00FA0083">
        <w:t xml:space="preserve"> See e.g. Euronews, Survey: Most Europeans are worried about their digital privacy - and it’s impacting how they use AI, </w:t>
      </w:r>
      <w:hyperlink r:id="rId169" w:history="1">
        <w:r w:rsidRPr="00FA0083">
          <w:rPr>
            <w:rStyle w:val="Hyperlink"/>
          </w:rPr>
          <w:t>https://www.euronews.com/next/2025/06/12/survey-most-europeans-are-worried-about-their-digital-privacy-and-its-impacting-how-they-u?utm_source=chatgpt.com</w:t>
        </w:r>
      </w:hyperlink>
      <w:r w:rsidRPr="00FA0083">
        <w:t>.</w:t>
      </w:r>
    </w:p>
  </w:footnote>
  <w:footnote w:id="261">
    <w:p w14:paraId="166CB127" w14:textId="77777777" w:rsidR="00EE3DF9" w:rsidRPr="00FA0083" w:rsidRDefault="00EE3DF9" w:rsidP="00EE3DF9">
      <w:pPr>
        <w:pStyle w:val="FootnoteText"/>
        <w:rPr>
          <w:lang w:val="cs-CZ"/>
        </w:rPr>
      </w:pPr>
      <w:r w:rsidRPr="00FA0083">
        <w:rPr>
          <w:rStyle w:val="FootnoteReference"/>
        </w:rPr>
        <w:footnoteRef/>
      </w:r>
      <w:r w:rsidRPr="00FA0083">
        <w:t xml:space="preserve"> G7 Leaders’ Communiqué, </w:t>
      </w:r>
      <w:hyperlink r:id="rId170" w:history="1">
        <w:r w:rsidRPr="00FA0083">
          <w:rPr>
            <w:rStyle w:val="Hyperlink"/>
          </w:rPr>
          <w:t>https://www.g7germany.de/resource/blob/974430/2062292/fbdb2c7e996205aee402386aae057c5e/2022-07-14-leaders-communique-data.pdf?download=1</w:t>
        </w:r>
      </w:hyperlink>
      <w:r w:rsidRPr="00FA0083">
        <w:t>.</w:t>
      </w:r>
    </w:p>
  </w:footnote>
  <w:footnote w:id="262">
    <w:p w14:paraId="62D4DFAF" w14:textId="77777777" w:rsidR="00EE3DF9" w:rsidRPr="00FA0083" w:rsidRDefault="00EE3DF9" w:rsidP="00EE3DF9">
      <w:pPr>
        <w:pStyle w:val="FootnoteText"/>
        <w:rPr>
          <w:lang w:val="cs-CZ"/>
        </w:rPr>
      </w:pPr>
      <w:r w:rsidRPr="00FA0083">
        <w:rPr>
          <w:rStyle w:val="FootnoteReference"/>
        </w:rPr>
        <w:footnoteRef/>
      </w:r>
      <w:r w:rsidRPr="00FA0083">
        <w:t xml:space="preserve"> European Commission, </w:t>
      </w:r>
      <w:r w:rsidRPr="00FA0083">
        <w:rPr>
          <w:i/>
          <w:iCs/>
        </w:rPr>
        <w:t>The Draghi report on EU competitiveness</w:t>
      </w:r>
      <w:r w:rsidRPr="00FA0083">
        <w:t xml:space="preserve">, </w:t>
      </w:r>
      <w:hyperlink r:id="rId171" w:history="1">
        <w:r w:rsidRPr="00FA0083">
          <w:rPr>
            <w:rStyle w:val="Hyperlink"/>
          </w:rPr>
          <w:t>https://commission.europa.eu/topics/eu-competitiveness/draghi-report_en</w:t>
        </w:r>
      </w:hyperlink>
      <w:r w:rsidRPr="00FA0083">
        <w:t>.</w:t>
      </w:r>
    </w:p>
  </w:footnote>
  <w:footnote w:id="263">
    <w:p w14:paraId="1B963776" w14:textId="77777777" w:rsidR="00EE3DF9" w:rsidRPr="00FA0083" w:rsidRDefault="00EE3DF9" w:rsidP="00EE3DF9">
      <w:pPr>
        <w:pStyle w:val="FootnoteText"/>
      </w:pPr>
      <w:r w:rsidRPr="00FA0083">
        <w:rPr>
          <w:rStyle w:val="FootnoteReference"/>
        </w:rPr>
        <w:footnoteRef/>
      </w:r>
      <w:r w:rsidRPr="00FA0083">
        <w:t xml:space="preserve"> European Commission, </w:t>
      </w:r>
      <w:r w:rsidRPr="00FA0083">
        <w:rPr>
          <w:i/>
          <w:iCs/>
        </w:rPr>
        <w:t>Safer Together Strengthening Europe’s Civilian and Military Preparedness and Readiness</w:t>
      </w:r>
      <w:r w:rsidRPr="00FA0083">
        <w:t xml:space="preserve">, </w:t>
      </w:r>
      <w:hyperlink r:id="rId172" w:history="1">
        <w:r w:rsidRPr="00FA0083">
          <w:rPr>
            <w:rStyle w:val="Hyperlink"/>
          </w:rPr>
          <w:t>https://commission.europa.eu/document/download/5bb2881f-9e29-42f2-8b77-8739b19d047c_en?filename=2024_Niinisto-report_Book_VF.pdf</w:t>
        </w:r>
      </w:hyperlink>
      <w:r w:rsidRPr="00FA0083">
        <w:t>.</w:t>
      </w:r>
    </w:p>
  </w:footnote>
  <w:footnote w:id="264">
    <w:p w14:paraId="6CDA5925" w14:textId="77777777" w:rsidR="00EE3DF9" w:rsidRPr="00FA0083" w:rsidRDefault="00EE3DF9" w:rsidP="00EE3DF9">
      <w:pPr>
        <w:pStyle w:val="FootnoteText"/>
        <w:rPr>
          <w:lang w:val="en-US"/>
        </w:rPr>
      </w:pPr>
      <w:r w:rsidRPr="00FA0083">
        <w:rPr>
          <w:rStyle w:val="FootnoteReference"/>
        </w:rPr>
        <w:footnoteRef/>
      </w:r>
      <w:r w:rsidRPr="00FA0083">
        <w:t xml:space="preserve"> Many highlighted the challenges posed by the interplay of various EU regulations. In the implementation Dialogue, there was broad consensus among participants on the importance of simplifying regulatory compliance, reducing the documentation burden. Representatives from all sectors, including SMEs, also emphasised the need for clear, harmonised legislation and consistent implementation, highlighting that the existing framework is often too complex and fragmented.</w:t>
      </w:r>
    </w:p>
  </w:footnote>
  <w:footnote w:id="265">
    <w:p w14:paraId="0F9AD1E3" w14:textId="6BD42C54" w:rsidR="00EE3DF9" w:rsidRPr="00FA0083" w:rsidRDefault="00EE3DF9" w:rsidP="00EE3DF9">
      <w:pPr>
        <w:pStyle w:val="FootnoteText"/>
      </w:pPr>
      <w:r w:rsidRPr="00FA0083">
        <w:rPr>
          <w:rStyle w:val="FootnoteReference"/>
        </w:rPr>
        <w:footnoteRef/>
      </w:r>
      <w:r w:rsidR="004044B1" w:rsidRPr="00FA0083">
        <w:t xml:space="preserve"> </w:t>
      </w:r>
      <w:r w:rsidRPr="00FA0083">
        <w:t xml:space="preserve">See the following articles, Qualysec, </w:t>
      </w:r>
      <w:r w:rsidRPr="00FA0083">
        <w:rPr>
          <w:i/>
          <w:iCs/>
        </w:rPr>
        <w:t>How Much Does an IT Security Audit Cost</w:t>
      </w:r>
      <w:r w:rsidRPr="00FA0083">
        <w:t xml:space="preserve">, </w:t>
      </w:r>
      <w:hyperlink r:id="rId173" w:history="1">
        <w:r w:rsidRPr="00FA0083">
          <w:rPr>
            <w:rStyle w:val="Hyperlink"/>
          </w:rPr>
          <w:t>https://qualysec.com/it-security-audit-cost/</w:t>
        </w:r>
      </w:hyperlink>
      <w:r w:rsidRPr="00FA0083">
        <w:t xml:space="preserve">; Atlant, </w:t>
      </w:r>
      <w:r w:rsidRPr="00FA0083">
        <w:rPr>
          <w:i/>
          <w:iCs/>
        </w:rPr>
        <w:t>The Real Cost of Cybersecurity Due Diligence: What You’re Paying For and Why It Varies So Much,</w:t>
      </w:r>
      <w:r w:rsidRPr="00FA0083">
        <w:t xml:space="preserve"> </w:t>
      </w:r>
      <w:hyperlink r:id="rId174" w:anchor="elementor-toc__heading-anchor-21" w:history="1">
        <w:r w:rsidRPr="00FA0083">
          <w:rPr>
            <w:rStyle w:val="Hyperlink"/>
          </w:rPr>
          <w:t>https://atlantsecurity.com/blog/cost-of-cybersecurity-due-diligence/#elementor-toc__heading-anchor-21</w:t>
        </w:r>
      </w:hyperlink>
      <w:r w:rsidRPr="00FA0083">
        <w:t>.</w:t>
      </w:r>
    </w:p>
  </w:footnote>
  <w:footnote w:id="266">
    <w:p w14:paraId="4172A53E" w14:textId="77777777" w:rsidR="00EE3DF9" w:rsidRPr="00FA0083" w:rsidRDefault="00EE3DF9" w:rsidP="00EE3DF9">
      <w:pPr>
        <w:pStyle w:val="FootnoteText"/>
      </w:pPr>
      <w:r w:rsidRPr="00FA0083">
        <w:rPr>
          <w:rStyle w:val="FootnoteReference"/>
        </w:rPr>
        <w:footnoteRef/>
      </w:r>
      <w:r w:rsidRPr="00FA0083">
        <w:t xml:space="preserve"> Article 21(2) of the NIS 2 Directive requires entities to implement and demonstrate cybersecurity risk-management measures. Organizations typically spend between 1 000 and 4 999 hours per year on proving compliance with these requirements (Source: </w:t>
      </w:r>
      <w:hyperlink r:id="rId175" w:history="1">
        <w:r w:rsidRPr="00FA0083">
          <w:rPr>
            <w:rStyle w:val="Hyperlink"/>
          </w:rPr>
          <w:t>https://drata.com/blog/introducing-2023-compliance-trends-report</w:t>
        </w:r>
      </w:hyperlink>
      <w:r w:rsidRPr="00FA0083">
        <w:t>) . To understand what this means in terms of staffing, this range corresponds to roughly 0.56 to 2.78 full-time equivalent (FTE) employees (assuming 1 800 working hours per FTE per year). Using an average fully loaded FTE cost of EUR 128 277 per year, this equates to an internal compliance demonstration cost ranging from approximately EUR 72 000 to EUR 356 000 annually per organisation. Taking the midpoint - around 3 000 hours or 1.67 FTE - the estimated average cost is about EUR 213 810 per year. A 1% reduction in the time spent proving compliance corresponds to saving about 30 hours or 0.017 FTE per year, corresponding to a cost save of approximately EUR 2 138 per organisation annually. Multiplied across the roughly 160 000 entities in scope of NIS 2, this efficiency gain could result in over EUR 340 million in collective annual savings across the EU.</w:t>
      </w:r>
    </w:p>
  </w:footnote>
  <w:footnote w:id="267">
    <w:p w14:paraId="7A1AFD1D" w14:textId="77777777" w:rsidR="00EE3DF9" w:rsidRPr="00FA0083" w:rsidRDefault="00EE3DF9" w:rsidP="00EE3DF9">
      <w:pPr>
        <w:pStyle w:val="FootnoteText"/>
      </w:pPr>
      <w:r w:rsidRPr="00FA0083">
        <w:rPr>
          <w:rStyle w:val="FootnoteReference"/>
        </w:rPr>
        <w:footnoteRef/>
      </w:r>
      <w:r w:rsidRPr="00FA0083">
        <w:t xml:space="preserve"> Council of the EU, </w:t>
      </w:r>
      <w:r w:rsidRPr="00FA0083">
        <w:rPr>
          <w:i/>
          <w:iCs/>
        </w:rPr>
        <w:t>Russian cyber operations against Ukraine: Declaration by the High Representative on behalf of the European Union</w:t>
      </w:r>
      <w:r w:rsidRPr="00FA0083">
        <w:t xml:space="preserve">, </w:t>
      </w:r>
      <w:hyperlink r:id="rId176" w:history="1">
        <w:r w:rsidRPr="00FA0083">
          <w:rPr>
            <w:rStyle w:val="Hyperlink"/>
          </w:rPr>
          <w:t>https://www.consilium.europa.eu/en/press/press-releases/2022/05/10/russian-cyber-operations-against-ukraine-declaration-by-the-high-representative-on-behalf-of-the-european-union/</w:t>
        </w:r>
      </w:hyperlink>
    </w:p>
  </w:footnote>
  <w:footnote w:id="268">
    <w:p w14:paraId="786D4BED" w14:textId="45B5812F" w:rsidR="00EE3DF9" w:rsidRPr="00F91E8B" w:rsidRDefault="00EE3DF9" w:rsidP="00EE3DF9">
      <w:pPr>
        <w:pStyle w:val="FootnoteText"/>
      </w:pPr>
      <w:r w:rsidRPr="00FA0083">
        <w:rPr>
          <w:rStyle w:val="FootnoteReference"/>
        </w:rPr>
        <w:footnoteRef/>
      </w:r>
      <w:r w:rsidR="00E23AC7" w:rsidRPr="00F91E8B">
        <w:t xml:space="preserve"> </w:t>
      </w:r>
      <w:r w:rsidRPr="00F91E8B">
        <w:t xml:space="preserve">ENISA, </w:t>
      </w:r>
      <w:r w:rsidRPr="00F91E8B">
        <w:rPr>
          <w:i/>
        </w:rPr>
        <w:t>ENISA Threat Landscape 2022</w:t>
      </w:r>
      <w:r w:rsidRPr="00F91E8B">
        <w:t xml:space="preserve">, </w:t>
      </w:r>
      <w:hyperlink r:id="rId177" w:history="1">
        <w:r w:rsidRPr="00F91E8B">
          <w:rPr>
            <w:rStyle w:val="Hyperlink"/>
          </w:rPr>
          <w:t>https://www.enisa.europa.eu/sites/default/files/publications/ENISA%20Threat%20Landscape%202022.pdf</w:t>
        </w:r>
      </w:hyperlink>
      <w:r w:rsidRPr="00F91E8B">
        <w:t xml:space="preserve">; Viasat, </w:t>
      </w:r>
      <w:r w:rsidRPr="00F91E8B">
        <w:rPr>
          <w:i/>
        </w:rPr>
        <w:t>Case Study,</w:t>
      </w:r>
      <w:r w:rsidRPr="00F91E8B">
        <w:t xml:space="preserve"> </w:t>
      </w:r>
      <w:hyperlink r:id="rId178" w:history="1">
        <w:r w:rsidRPr="00F91E8B">
          <w:rPr>
            <w:rStyle w:val="Hyperlink"/>
          </w:rPr>
          <w:t>https://cyberconflicts.cyberpeaceinstitute.org/law-and-policy/cases/viasat</w:t>
        </w:r>
      </w:hyperlink>
      <w:r w:rsidRPr="00F91E8B">
        <w:t xml:space="preserve">; CERT FR, </w:t>
      </w:r>
      <w:r w:rsidRPr="00F91E8B">
        <w:rPr>
          <w:i/>
        </w:rPr>
        <w:t>Panorama de la cybermenace</w:t>
      </w:r>
      <w:r w:rsidRPr="00F91E8B">
        <w:t xml:space="preserve">, </w:t>
      </w:r>
      <w:hyperlink r:id="rId179" w:history="1">
        <w:r w:rsidRPr="00F91E8B">
          <w:rPr>
            <w:rStyle w:val="Hyperlink"/>
          </w:rPr>
          <w:t>https://www.cert.ssi.gouv.fr/uploads/CERTFR-2024-CTI-001.pdf</w:t>
        </w:r>
      </w:hyperlink>
      <w:r w:rsidRPr="00F91E8B">
        <w:t>.</w:t>
      </w:r>
    </w:p>
  </w:footnote>
  <w:footnote w:id="269">
    <w:p w14:paraId="29D2CD0B" w14:textId="07E9E7F2" w:rsidR="00454058" w:rsidRPr="00FA0083" w:rsidRDefault="00454058">
      <w:pPr>
        <w:pStyle w:val="FootnoteText"/>
        <w:rPr>
          <w:lang w:val="en-IE"/>
        </w:rPr>
      </w:pPr>
      <w:r w:rsidRPr="00FA0083">
        <w:rPr>
          <w:rStyle w:val="FootnoteReference"/>
        </w:rPr>
        <w:footnoteRef/>
      </w:r>
      <w:r w:rsidRPr="00FA0083">
        <w:t xml:space="preserve"> </w:t>
      </w:r>
      <w:r w:rsidRPr="00FA0083">
        <w:rPr>
          <w:rFonts w:eastAsia="Times New Roman"/>
          <w:lang w:val="en-IE" w:eastAsia="en-GB"/>
        </w:rPr>
        <w:t xml:space="preserve">Sophos, </w:t>
      </w:r>
      <w:r w:rsidRPr="00FA0083">
        <w:rPr>
          <w:rFonts w:eastAsia="Times New Roman"/>
          <w:i/>
          <w:iCs/>
          <w:lang w:val="en-IE" w:eastAsia="en-GB"/>
        </w:rPr>
        <w:t>State of ransomware – country reports (2025)</w:t>
      </w:r>
    </w:p>
  </w:footnote>
  <w:footnote w:id="270">
    <w:p w14:paraId="2556142C" w14:textId="074C3A0A" w:rsidR="00D52AD8" w:rsidRPr="00FA0083" w:rsidRDefault="00D52AD8" w:rsidP="00D52AD8">
      <w:pPr>
        <w:spacing w:after="0"/>
        <w:rPr>
          <w:sz w:val="20"/>
          <w:szCs w:val="20"/>
          <w:lang w:val="en-IE"/>
        </w:rPr>
      </w:pPr>
      <w:r w:rsidRPr="00FA0083">
        <w:rPr>
          <w:rStyle w:val="FootnoteReference"/>
          <w:sz w:val="20"/>
          <w:szCs w:val="20"/>
        </w:rPr>
        <w:footnoteRef/>
      </w:r>
      <w:r w:rsidR="00B202FC" w:rsidRPr="00FA0083">
        <w:rPr>
          <w:sz w:val="20"/>
          <w:szCs w:val="20"/>
        </w:rPr>
        <w:t xml:space="preserve"> </w:t>
      </w:r>
      <w:r w:rsidR="00B202FC" w:rsidRPr="00FA0083">
        <w:rPr>
          <w:rFonts w:eastAsia="Times New Roman"/>
          <w:sz w:val="20"/>
          <w:szCs w:val="20"/>
        </w:rPr>
        <w:t>Commission Staff Working Document Impact Assessment (2017) accompanying the proposal for a Regulation of the European Parliament and of the Council on ENISA, the ‘EU Cybersecurity Agency’ and repealing Regulation (EU) 526/2013 and on information and communication technology cybersecurity certification (‘Cybersecurity Act’).</w:t>
      </w:r>
    </w:p>
  </w:footnote>
  <w:footnote w:id="271">
    <w:p w14:paraId="7250B406" w14:textId="2772AB7B" w:rsidR="00D52AD8" w:rsidRPr="00FA0083" w:rsidRDefault="00D52AD8" w:rsidP="00D52AD8">
      <w:pPr>
        <w:pStyle w:val="FootnoteText"/>
        <w:ind w:left="142" w:hanging="142"/>
      </w:pPr>
      <w:r w:rsidRPr="00FA0083">
        <w:rPr>
          <w:rStyle w:val="FootnoteReference"/>
        </w:rPr>
        <w:footnoteRef/>
      </w:r>
      <w:r w:rsidRPr="00FA0083">
        <w:t xml:space="preserve"> Regulation (EU) No 526/2013 of the European Parliament and of the Council of 21 May 2013 concerning the European Union Agency for Network and Information Security (ENISA) and repealing Regulation (EC) No 460/2004 </w:t>
      </w:r>
      <w:r w:rsidR="00B202FC" w:rsidRPr="00FA0083">
        <w:t>(</w:t>
      </w:r>
      <w:r w:rsidRPr="00FA0083">
        <w:t>Text with EEA relevance</w:t>
      </w:r>
      <w:r w:rsidR="00B202FC" w:rsidRPr="00FA0083">
        <w:t>)</w:t>
      </w:r>
      <w:r w:rsidRPr="00FA0083">
        <w:t xml:space="preserve"> (</w:t>
      </w:r>
      <w:hyperlink r:id="rId180" w:history="1">
        <w:r w:rsidRPr="00FA0083">
          <w:rPr>
            <w:rStyle w:val="Hyperlink"/>
          </w:rPr>
          <w:t>http://data.europa.eu/eli/reg/2013/526/oj</w:t>
        </w:r>
      </w:hyperlink>
      <w:r w:rsidR="00B202FC" w:rsidRPr="00FA0083">
        <w:t>).</w:t>
      </w:r>
    </w:p>
  </w:footnote>
  <w:footnote w:id="272">
    <w:p w14:paraId="1D17346E" w14:textId="7F2027A2" w:rsidR="00D52AD8" w:rsidRPr="00FA0083" w:rsidRDefault="00D52AD8" w:rsidP="00D52AD8">
      <w:pPr>
        <w:pStyle w:val="FootnoteText"/>
        <w:ind w:left="142" w:hanging="142"/>
      </w:pPr>
      <w:r w:rsidRPr="00FA0083">
        <w:rPr>
          <w:rStyle w:val="FootnoteReference"/>
        </w:rPr>
        <w:footnoteRef/>
      </w:r>
      <w:r w:rsidRPr="00FA0083">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(Text with EEA relevance) (</w:t>
      </w:r>
      <w:hyperlink r:id="rId181" w:tooltip="Gives access to this document through its ELI URI." w:history="1">
        <w:r w:rsidRPr="00FA0083">
          <w:rPr>
            <w:rStyle w:val="Hyperlink"/>
          </w:rPr>
          <w:t>http://data.europa.eu/eli/dir/2022/2555/oj</w:t>
        </w:r>
      </w:hyperlink>
      <w:r w:rsidR="00B202FC" w:rsidRPr="00FA0083">
        <w:t>).</w:t>
      </w:r>
    </w:p>
  </w:footnote>
  <w:footnote w:id="273">
    <w:p w14:paraId="1E432951" w14:textId="77777777" w:rsidR="00B202FC" w:rsidRPr="00FA0083" w:rsidRDefault="00B202FC" w:rsidP="00B202FC">
      <w:pPr>
        <w:pStyle w:val="FootnoteText"/>
        <w:rPr>
          <w:lang w:val="fr-FR"/>
        </w:rPr>
      </w:pPr>
      <w:r w:rsidRPr="00FA0083">
        <w:rPr>
          <w:rStyle w:val="FootnoteReference"/>
        </w:rPr>
        <w:footnoteRef/>
      </w:r>
      <w:r w:rsidRPr="00FA0083">
        <w:rPr>
          <w:lang w:val="fr-FR"/>
        </w:rPr>
        <w:t xml:space="preserve"> </w:t>
      </w:r>
      <w:hyperlink r:id="rId182" w:history="1">
        <w:r w:rsidRPr="00FA0083">
          <w:rPr>
            <w:rStyle w:val="Hyperlink"/>
            <w:lang w:val="fr-FR"/>
          </w:rPr>
          <w:t>EUR-Lex - 52017SC0500 - EN - EUR-Lex</w:t>
        </w:r>
      </w:hyperlink>
    </w:p>
  </w:footnote>
  <w:footnote w:id="274">
    <w:p w14:paraId="1194DB99" w14:textId="3CB4CCC3" w:rsidR="00D52AD8" w:rsidRPr="00FA0083" w:rsidRDefault="00D52AD8" w:rsidP="00D52AD8">
      <w:pPr>
        <w:spacing w:after="0"/>
        <w:rPr>
          <w:rFonts w:eastAsia="Times New Roman"/>
          <w:sz w:val="20"/>
          <w:szCs w:val="20"/>
        </w:rPr>
      </w:pPr>
      <w:r w:rsidRPr="00FA0083">
        <w:rPr>
          <w:sz w:val="20"/>
          <w:szCs w:val="20"/>
          <w:vertAlign w:val="superscript"/>
        </w:rPr>
        <w:footnoteRef/>
      </w:r>
      <w:r w:rsidR="00B202FC" w:rsidRPr="00FA0083">
        <w:rPr>
          <w:sz w:val="20"/>
          <w:szCs w:val="20"/>
        </w:rPr>
        <w:t xml:space="preserve"> </w:t>
      </w:r>
      <w:r w:rsidR="00B202FC" w:rsidRPr="00FA0083">
        <w:rPr>
          <w:rFonts w:eastAsia="Times New Roman"/>
          <w:color w:val="333333"/>
          <w:sz w:val="20"/>
          <w:szCs w:val="20"/>
        </w:rPr>
        <w:t>McAfee &amp; Center for Strategic and International Studies, ‘Net Losses: Estimating the Global Cost of Cybercrime’, 2014</w:t>
      </w:r>
      <w:r w:rsidR="00B202FC" w:rsidRPr="00FA0083">
        <w:rPr>
          <w:rFonts w:eastAsia="Times New Roman"/>
          <w:sz w:val="20"/>
          <w:szCs w:val="20"/>
        </w:rPr>
        <w:t>.</w:t>
      </w:r>
    </w:p>
  </w:footnote>
  <w:footnote w:id="275">
    <w:p w14:paraId="16B947E3" w14:textId="18A10056" w:rsidR="00D52AD8" w:rsidRPr="00FA0083" w:rsidRDefault="00D52AD8" w:rsidP="00D52AD8">
      <w:pPr>
        <w:spacing w:after="0"/>
        <w:rPr>
          <w:rFonts w:eastAsia="Times New Roman"/>
          <w:sz w:val="20"/>
          <w:szCs w:val="20"/>
          <w:lang w:val="en-IE"/>
        </w:rPr>
      </w:pPr>
      <w:r w:rsidRPr="00FA0083">
        <w:rPr>
          <w:sz w:val="20"/>
          <w:szCs w:val="20"/>
          <w:vertAlign w:val="superscript"/>
        </w:rPr>
        <w:footnoteRef/>
      </w:r>
      <w:r w:rsidR="00B202FC" w:rsidRPr="00FA0083">
        <w:rPr>
          <w:sz w:val="20"/>
          <w:szCs w:val="20"/>
        </w:rPr>
        <w:t xml:space="preserve"> As per CSA 2017 IA; </w:t>
      </w:r>
      <w:r w:rsidR="00B202FC" w:rsidRPr="00FA0083">
        <w:rPr>
          <w:rFonts w:eastAsia="Times New Roman"/>
          <w:color w:val="333333"/>
          <w:sz w:val="20"/>
          <w:szCs w:val="20"/>
        </w:rPr>
        <w:t>Source: White House, Factsheet Cybersecurity National Action Plan</w:t>
      </w:r>
      <w:r w:rsidR="00B202FC" w:rsidRPr="00FA0083">
        <w:rPr>
          <w:rFonts w:eastAsia="Times New Roman"/>
          <w:sz w:val="20"/>
          <w:szCs w:val="20"/>
        </w:rPr>
        <w:t>.</w:t>
      </w:r>
    </w:p>
  </w:footnote>
  <w:footnote w:id="276">
    <w:p w14:paraId="5D0797FE" w14:textId="36F00E3B" w:rsidR="00D52AD8" w:rsidRPr="00FA0083" w:rsidRDefault="00D52AD8" w:rsidP="00D52AD8">
      <w:pPr>
        <w:spacing w:after="0"/>
        <w:rPr>
          <w:sz w:val="20"/>
          <w:szCs w:val="20"/>
        </w:rPr>
      </w:pPr>
      <w:r w:rsidRPr="00FA0083">
        <w:rPr>
          <w:sz w:val="20"/>
          <w:szCs w:val="20"/>
          <w:vertAlign w:val="superscript"/>
        </w:rPr>
        <w:footnoteRef/>
      </w:r>
      <w:r w:rsidR="00B202FC" w:rsidRPr="00FA0083">
        <w:rPr>
          <w:sz w:val="20"/>
          <w:szCs w:val="20"/>
        </w:rPr>
        <w:t xml:space="preserve"> CSA 2017 IA</w:t>
      </w:r>
      <w:r w:rsidR="00B202FC" w:rsidRPr="00FA0083">
        <w:rPr>
          <w:rFonts w:eastAsia="Times New Roman"/>
          <w:sz w:val="20"/>
          <w:szCs w:val="20"/>
        </w:rPr>
        <w:t>.</w:t>
      </w:r>
    </w:p>
  </w:footnote>
  <w:footnote w:id="277">
    <w:p w14:paraId="075EE4E3" w14:textId="77777777" w:rsidR="00B202FC" w:rsidRPr="00FA0083" w:rsidRDefault="00B202FC" w:rsidP="00B202FC">
      <w:pPr>
        <w:pStyle w:val="FootnoteText"/>
        <w:ind w:left="142" w:hanging="142"/>
      </w:pPr>
      <w:r w:rsidRPr="00FA0083">
        <w:rPr>
          <w:rStyle w:val="FootnoteReference"/>
        </w:rPr>
        <w:footnoteRef/>
      </w:r>
      <w:r w:rsidRPr="00FA0083">
        <w:t xml:space="preserve"> Contractual Public-Private Partnership on cybersecurity, signed by the European Commission and the European Cyber Security Organisation (ECSO) on 5 July 2016.</w:t>
      </w:r>
    </w:p>
  </w:footnote>
  <w:footnote w:id="278">
    <w:p w14:paraId="5E7F845F" w14:textId="77777777" w:rsidR="00B202FC" w:rsidRPr="00FA0083" w:rsidRDefault="00B202FC" w:rsidP="00B202FC">
      <w:pPr>
        <w:spacing w:after="0"/>
        <w:rPr>
          <w:rFonts w:eastAsia="Times New Roman"/>
          <w:sz w:val="20"/>
          <w:szCs w:val="20"/>
        </w:rPr>
      </w:pPr>
      <w:r w:rsidRPr="00FA0083">
        <w:rPr>
          <w:sz w:val="20"/>
          <w:szCs w:val="20"/>
          <w:vertAlign w:val="superscript"/>
        </w:rPr>
        <w:footnoteRef/>
      </w:r>
      <w:r w:rsidRPr="00FA0083">
        <w:rPr>
          <w:sz w:val="20"/>
          <w:szCs w:val="20"/>
        </w:rPr>
        <w:t xml:space="preserve"> Commission Staff Working Document: Report on the public consultation and other consultation activities of the European Commission for the preparation of the EU Cybersecurity contractual Public-Private Partnership and Accompanying Measures, accompanying the document Commission Decision on the signing of a contractual arrangement on a public-private partnership for cybersecurity industrial research and innovation between the European Union, represented by the Commission, and the stakeholder organisation, </w:t>
      </w:r>
      <w:r w:rsidRPr="00FA0083">
        <w:rPr>
          <w:rFonts w:eastAsia="Times New Roman"/>
          <w:sz w:val="20"/>
          <w:szCs w:val="20"/>
        </w:rPr>
        <w:t>SWD(2016) 215 final.</w:t>
      </w:r>
    </w:p>
  </w:footnote>
  <w:footnote w:id="279">
    <w:p w14:paraId="5D061B48" w14:textId="77777777" w:rsidR="00B202FC" w:rsidRPr="00FA0083" w:rsidRDefault="00B202FC" w:rsidP="00B202FC">
      <w:pPr>
        <w:pStyle w:val="FootnoteText"/>
      </w:pPr>
      <w:r w:rsidRPr="00FA0083">
        <w:rPr>
          <w:rStyle w:val="FootnoteReference"/>
        </w:rPr>
        <w:footnoteRef/>
      </w:r>
      <w:r w:rsidRPr="00FA0083">
        <w:t xml:space="preserve"> In this 2016 public consultation, a section was devoted to the topic of ICT security certification. 240 stakeholders from national public administrations, large businesses, SMEs, microbusinesses and research bodies responded to the section on certification.</w:t>
      </w:r>
    </w:p>
  </w:footnote>
  <w:footnote w:id="280">
    <w:p w14:paraId="4E519324" w14:textId="77777777" w:rsidR="00B202FC" w:rsidRPr="00FA0083" w:rsidRDefault="00B202FC" w:rsidP="00B202FC">
      <w:pPr>
        <w:pStyle w:val="FootnoteText"/>
      </w:pPr>
      <w:r w:rsidRPr="00FA0083">
        <w:rPr>
          <w:rStyle w:val="FootnoteReference"/>
        </w:rPr>
        <w:footnoteRef/>
      </w:r>
      <w:r w:rsidRPr="00FA0083">
        <w:t xml:space="preserve"> JOIN(2020) 18 final.</w:t>
      </w:r>
    </w:p>
  </w:footnote>
  <w:footnote w:id="281">
    <w:p w14:paraId="2A869AD4" w14:textId="77777777" w:rsidR="00D52AD8" w:rsidRPr="00FA0083" w:rsidRDefault="00D52AD8" w:rsidP="00D52AD8">
      <w:pPr>
        <w:pStyle w:val="FootnoteText"/>
      </w:pPr>
      <w:r w:rsidRPr="00FA0083">
        <w:rPr>
          <w:rStyle w:val="FootnoteReference"/>
        </w:rPr>
        <w:footnoteRef/>
      </w:r>
      <w:r w:rsidRPr="00FA0083">
        <w:t xml:space="preserve"> PPMI, Intellera Consulting and PwC (2024): Study to support the evaluation of the European Union Agency for Cybersecurity (ENISA) and the European Cybersecurity Certification Framework – Final Report.</w:t>
      </w:r>
    </w:p>
  </w:footnote>
  <w:footnote w:id="282">
    <w:p w14:paraId="08EE8D30" w14:textId="77777777" w:rsidR="00B202FC" w:rsidRPr="00FA0083" w:rsidRDefault="00B202FC" w:rsidP="00B202FC">
      <w:pPr>
        <w:pStyle w:val="FootnoteText"/>
      </w:pPr>
      <w:r w:rsidRPr="00FA0083">
        <w:rPr>
          <w:rStyle w:val="FootnoteReference"/>
        </w:rPr>
        <w:footnoteRef/>
      </w:r>
      <w:r w:rsidRPr="00FA0083">
        <w:t xml:space="preserve"> NIS Investments Report 2020, https://www.enisa.europa.eu/publications/nis-investments</w:t>
      </w:r>
    </w:p>
  </w:footnote>
  <w:footnote w:id="283">
    <w:p w14:paraId="42AB1991" w14:textId="77777777" w:rsidR="00B202FC" w:rsidRPr="00FA0083" w:rsidRDefault="00B202FC" w:rsidP="00B202FC">
      <w:pPr>
        <w:pStyle w:val="FootnoteText"/>
      </w:pPr>
      <w:r w:rsidRPr="00FA0083">
        <w:rPr>
          <w:rStyle w:val="FootnoteReference"/>
        </w:rPr>
        <w:footnoteRef/>
      </w:r>
      <w:r w:rsidRPr="00FA0083">
        <w:t xml:space="preserve"> ENISA, Annual Activity Report, 2020.</w:t>
      </w:r>
    </w:p>
  </w:footnote>
  <w:footnote w:id="284">
    <w:p w14:paraId="3900B32E" w14:textId="77777777" w:rsidR="00B202FC" w:rsidRPr="00FA0083" w:rsidRDefault="00B202FC" w:rsidP="00B202FC">
      <w:pPr>
        <w:pStyle w:val="FootnoteText"/>
      </w:pPr>
      <w:r w:rsidRPr="00FA0083">
        <w:rPr>
          <w:rStyle w:val="FootnoteReference"/>
        </w:rPr>
        <w:footnoteRef/>
      </w:r>
      <w:r w:rsidRPr="00FA0083">
        <w:t xml:space="preserve"> ENISA, Annual Activity Report, 2023.</w:t>
      </w:r>
    </w:p>
  </w:footnote>
  <w:footnote w:id="285">
    <w:p w14:paraId="7D66311C" w14:textId="77777777" w:rsidR="00B202FC" w:rsidRPr="00FA0083" w:rsidRDefault="00B202FC" w:rsidP="00B202FC">
      <w:pPr>
        <w:pStyle w:val="Footerapproval"/>
        <w:spacing w:after="0" w:line="240" w:lineRule="auto"/>
        <w:contextualSpacing/>
        <w:rPr>
          <w:rFonts w:ascii="Times New Roman" w:hAnsi="Times New Roman"/>
          <w:sz w:val="20"/>
          <w:szCs w:val="20"/>
          <w:lang w:val="en-IE"/>
        </w:rPr>
      </w:pPr>
      <w:r w:rsidRPr="00FA0083">
        <w:rPr>
          <w:rStyle w:val="FootnoteReference"/>
          <w:rFonts w:ascii="Times New Roman" w:hAnsi="Times New Roman"/>
          <w:sz w:val="20"/>
          <w:szCs w:val="20"/>
        </w:rPr>
        <w:footnoteRef/>
      </w:r>
      <w:r w:rsidRPr="00FA0083">
        <w:rPr>
          <w:rFonts w:ascii="Times New Roman" w:hAnsi="Times New Roman"/>
          <w:sz w:val="20"/>
          <w:szCs w:val="20"/>
          <w:lang w:val="en-IE"/>
        </w:rPr>
        <w:t xml:space="preserve"> Other EU and national bodies working on cybersecurity and digital privacy include various Commission directorates, the European External Action Service and other EU bodies and agencies such as BEREC, EUROPOL and CERT-EU, national cybersecurity competent authorities or regulators, national CSIRTs/Computer Emergency Response Teams and more recently the European Cybersecurity Competence Centre (ECCC) and its network of national coordination centres (NCCs).</w:t>
      </w:r>
    </w:p>
  </w:footnote>
  <w:footnote w:id="286">
    <w:p w14:paraId="33777569" w14:textId="77777777" w:rsidR="00B202FC" w:rsidRPr="00FA0083" w:rsidRDefault="00B202FC" w:rsidP="00B202FC">
      <w:pPr>
        <w:pStyle w:val="FootnoteText"/>
      </w:pPr>
      <w:r w:rsidRPr="00FA0083">
        <w:rPr>
          <w:rStyle w:val="FootnoteReference"/>
        </w:rPr>
        <w:footnoteRef/>
      </w:r>
      <w:r w:rsidRPr="00FA0083">
        <w:t xml:space="preserve"> https://www.mitre.org/</w:t>
      </w:r>
    </w:p>
  </w:footnote>
  <w:footnote w:id="287">
    <w:p w14:paraId="08E0157D" w14:textId="571BEDE0" w:rsidR="00B202FC" w:rsidRPr="00FA0083" w:rsidRDefault="00B202FC" w:rsidP="00B202FC">
      <w:pPr>
        <w:pStyle w:val="FootnoteText"/>
      </w:pPr>
      <w:r w:rsidRPr="00FA0083">
        <w:rPr>
          <w:rStyle w:val="FootnoteReference"/>
        </w:rPr>
        <w:footnoteRef/>
      </w:r>
      <w:r w:rsidR="00BC7F01">
        <w:t xml:space="preserve"> </w:t>
      </w:r>
      <w:r w:rsidR="00BC7F01" w:rsidRPr="00BC7F01">
        <w:t>https://nvd.nist.gov/</w:t>
      </w:r>
    </w:p>
  </w:footnote>
  <w:footnote w:id="288">
    <w:p w14:paraId="1406AFD2" w14:textId="77777777" w:rsidR="00EE3DF9" w:rsidRPr="00FA0083" w:rsidRDefault="00EE3DF9" w:rsidP="00EE3DF9">
      <w:pPr>
        <w:pStyle w:val="FootnoteText"/>
        <w:rPr>
          <w:lang w:val="en-IE"/>
        </w:rPr>
      </w:pPr>
      <w:r w:rsidRPr="00FA0083">
        <w:rPr>
          <w:rStyle w:val="FootnoteReference"/>
        </w:rPr>
        <w:footnoteRef/>
      </w:r>
      <w:r w:rsidRPr="00FA0083">
        <w:t xml:space="preserve"> CheckPoint, </w:t>
      </w:r>
      <w:r w:rsidRPr="00FA0083">
        <w:rPr>
          <w:i/>
          <w:iCs/>
        </w:rPr>
        <w:t>What is a supply chain attack?</w:t>
      </w:r>
      <w:r w:rsidRPr="00FA0083">
        <w:t xml:space="preserve">, </w:t>
      </w:r>
      <w:hyperlink r:id="rId183" w:anchor=":~:text=Supply%20Chain%20Attacks%20Are%20Surging,semiconductor%20companies%20increased%20by%20179%25" w:history="1">
        <w:r w:rsidRPr="00FA0083">
          <w:rPr>
            <w:rStyle w:val="Hyperlink"/>
          </w:rPr>
          <w:t>https://www.checkpoint.com/cyber-hub/threat-prevention/what-is-a-supply-chain-attack/#:~:text=Supply%20Chain%20Attacks%20Are%20Surging,semiconductor%20companies%20increased%20by%20179%25</w:t>
        </w:r>
      </w:hyperlink>
      <w:r w:rsidRPr="00FA0083">
        <w:t xml:space="preserve">. </w:t>
      </w:r>
    </w:p>
  </w:footnote>
  <w:footnote w:id="289">
    <w:p w14:paraId="5F93D458" w14:textId="77777777" w:rsidR="00EE3DF9" w:rsidRPr="00FA0083" w:rsidRDefault="00EE3DF9" w:rsidP="00EE3DF9">
      <w:pPr>
        <w:pStyle w:val="FootnoteText"/>
        <w:rPr>
          <w:lang w:val="en-US"/>
        </w:rPr>
      </w:pPr>
      <w:r w:rsidRPr="00FA0083">
        <w:rPr>
          <w:rStyle w:val="FootnoteReference"/>
        </w:rPr>
        <w:footnoteRef/>
      </w:r>
      <w:r w:rsidRPr="00FA0083">
        <w:t xml:space="preserve"> ISC2, </w:t>
      </w:r>
      <w:r w:rsidRPr="00FA0083">
        <w:rPr>
          <w:i/>
        </w:rPr>
        <w:t>First Look at the 2024 Cybersecurity Workforce Survey</w:t>
      </w:r>
      <w:r w:rsidRPr="00FA0083">
        <w:t xml:space="preserve">, </w:t>
      </w:r>
      <w:hyperlink r:id="rId184" w:history="1">
        <w:r w:rsidRPr="00FA0083">
          <w:rPr>
            <w:rStyle w:val="Hyperlink"/>
          </w:rPr>
          <w:t>https://digital-skills-jobs.europa.eu/system/files/2024-12/ISC2_Workfoce-Study-Findings-EU.pdf</w:t>
        </w:r>
      </w:hyperlink>
      <w:r w:rsidRPr="00FA0083">
        <w:t>.</w:t>
      </w:r>
    </w:p>
  </w:footnote>
  <w:footnote w:id="290">
    <w:p w14:paraId="454611A1" w14:textId="77777777" w:rsidR="00EE3DF9" w:rsidRPr="00FA0083" w:rsidRDefault="00EE3DF9" w:rsidP="00EE3DF9">
      <w:pPr>
        <w:pStyle w:val="FootnoteText"/>
        <w:rPr>
          <w:lang w:val="en-US"/>
        </w:rPr>
      </w:pPr>
      <w:r w:rsidRPr="00FA0083">
        <w:rPr>
          <w:rStyle w:val="FootnoteReference"/>
        </w:rPr>
        <w:footnoteRef/>
      </w:r>
      <w:r w:rsidRPr="00FA0083">
        <w:t xml:space="preserve"> </w:t>
      </w:r>
      <w:r w:rsidRPr="00FA0083">
        <w:rPr>
          <w:lang w:val="en-IE"/>
        </w:rPr>
        <w:t xml:space="preserve">Eurobarometer (2024) on Cyberskills, </w:t>
      </w:r>
      <w:hyperlink r:id="rId185" w:history="1">
        <w:r w:rsidRPr="00FA0083">
          <w:rPr>
            <w:rStyle w:val="Hyperlink"/>
            <w:lang w:val="en-IE"/>
          </w:rPr>
          <w:t>https://europa.eu/eurobarometer/surveys/detail/3176</w:t>
        </w:r>
      </w:hyperlink>
      <w:r w:rsidRPr="00FA0083">
        <w:rPr>
          <w:lang w:val="en-IE"/>
        </w:rPr>
        <w:t>.</w:t>
      </w:r>
    </w:p>
  </w:footnote>
  <w:footnote w:id="291">
    <w:p w14:paraId="2C1F2947" w14:textId="77777777" w:rsidR="00EE3DF9" w:rsidRPr="00FA0083" w:rsidRDefault="00EE3DF9" w:rsidP="00EE3DF9">
      <w:pPr>
        <w:pStyle w:val="FootnoteText"/>
        <w:rPr>
          <w:lang w:val="en-US"/>
        </w:rPr>
      </w:pPr>
      <w:r w:rsidRPr="00FA0083">
        <w:rPr>
          <w:rStyle w:val="FootnoteReference"/>
        </w:rPr>
        <w:footnoteRef/>
      </w:r>
      <w:r w:rsidRPr="00FA0083">
        <w:t xml:space="preserve"> Examples include the EU-US Action Plan for Cybersafe products signed in January 2024 and the recent announcement of a mutual recognition agreement on cybersecurity between the EU and US.</w:t>
      </w:r>
    </w:p>
  </w:footnote>
  <w:footnote w:id="292">
    <w:p w14:paraId="427F4FD3" w14:textId="77777777" w:rsidR="00EE3DF9" w:rsidRPr="00FA0083" w:rsidRDefault="00EE3DF9" w:rsidP="00EE3DF9">
      <w:pPr>
        <w:pStyle w:val="FootnoteText"/>
        <w:rPr>
          <w:lang w:val="en-US"/>
        </w:rPr>
      </w:pPr>
      <w:r w:rsidRPr="00FA0083">
        <w:rPr>
          <w:rStyle w:val="FootnoteReference"/>
        </w:rPr>
        <w:footnoteRef/>
      </w:r>
      <w:r w:rsidRPr="00FA0083">
        <w:t xml:space="preserve"> 82 FTE from establishment plan for 2025 + 32 contract agents and 15 seconded national experts = 130.</w:t>
      </w:r>
    </w:p>
  </w:footnote>
  <w:footnote w:id="293">
    <w:p w14:paraId="292632FC" w14:textId="77777777" w:rsidR="00EE3DF9" w:rsidRPr="00FA0083" w:rsidRDefault="00EE3DF9" w:rsidP="00EE3DF9">
      <w:pPr>
        <w:pStyle w:val="FootnoteText"/>
        <w:rPr>
          <w:lang w:val="cs-CZ"/>
        </w:rPr>
      </w:pPr>
      <w:r w:rsidRPr="00FA0083">
        <w:rPr>
          <w:rStyle w:val="FootnoteReference"/>
        </w:rPr>
        <w:footnoteRef/>
      </w:r>
      <w:r w:rsidRPr="00FA0083">
        <w:t xml:space="preserve"> </w:t>
      </w:r>
      <w:r w:rsidRPr="00FA0083">
        <w:rPr>
          <w:lang w:val="en-IE"/>
        </w:rPr>
        <w:t>Such non-technical risks may be linked, but not limited, to the jurisdiction to which the supplier is subject, the characteristics of its corporate ownership and the links of control by a third-country government where it is established, in particular where a third country engages in economic espionage, carries out malicious cyber activities or campaigns against the Union and its Member States, or engages in irresponsible state behaviour in cyberspace, and its legislation allows arbitrary and possibly extraterritorial governmental access to any kind of company operations or data, including commercially sensitive data. Non-technical risks can also be linked to concealed vulnerabilities or backdoors or potential systemic supply disruptions, in particular in the case of technological lock-in or supplier dependency.</w:t>
      </w:r>
    </w:p>
  </w:footnote>
  <w:footnote w:id="294">
    <w:p w14:paraId="4F6C15DF" w14:textId="77777777" w:rsidR="00EE3DF9" w:rsidRPr="00FA0083" w:rsidRDefault="00EE3DF9" w:rsidP="00EE3DF9">
      <w:pPr>
        <w:pStyle w:val="FootnoteText"/>
        <w:rPr>
          <w:lang w:val="en-IE"/>
        </w:rPr>
      </w:pPr>
      <w:r w:rsidRPr="00FA0083">
        <w:rPr>
          <w:rStyle w:val="FootnoteReference"/>
        </w:rPr>
        <w:footnoteRef/>
      </w:r>
      <w:r w:rsidRPr="00FA0083">
        <w:t xml:space="preserve"> See ENISA website, </w:t>
      </w:r>
      <w:hyperlink r:id="rId186" w:anchor="state-of-the-art-documents-for-eucc" w:history="1">
        <w:r w:rsidRPr="00FA0083">
          <w:rPr>
            <w:rStyle w:val="Hyperlink"/>
          </w:rPr>
          <w:t>https://certification.enisa.europa.eu/certification-library/eucc-certification-scheme_en#state-of-the-art-documents-for-eucc</w:t>
        </w:r>
      </w:hyperlink>
      <w:r w:rsidRPr="00FA0083">
        <w:t>.</w:t>
      </w:r>
    </w:p>
  </w:footnote>
  <w:footnote w:id="295">
    <w:p w14:paraId="008FD958" w14:textId="77777777" w:rsidR="00EE3DF9" w:rsidRPr="00FA0083" w:rsidRDefault="00EE3DF9" w:rsidP="00EE3DF9">
      <w:pPr>
        <w:pStyle w:val="FootnoteText"/>
        <w:rPr>
          <w:lang w:val="en-US"/>
        </w:rPr>
      </w:pPr>
      <w:r w:rsidRPr="00FA0083">
        <w:rPr>
          <w:rStyle w:val="FootnoteReference"/>
        </w:rPr>
        <w:footnoteRef/>
      </w:r>
      <w:r w:rsidRPr="00FA0083">
        <w:t xml:space="preserve"> The estimation of the number of affected DNS service providers and number of entities affected by clarifying and the definitions and types of entities is based on an extrapolation of the number of essential and important entities that five Member States notified the Commission of pursuant to Article 3(5) of the NIS 2 Directive.</w:t>
      </w:r>
    </w:p>
  </w:footnote>
  <w:footnote w:id="296">
    <w:p w14:paraId="35345EB2" w14:textId="77777777" w:rsidR="00F0485A" w:rsidRPr="00FA0083" w:rsidRDefault="00F0485A" w:rsidP="00F0485A">
      <w:pPr>
        <w:pStyle w:val="FootnoteText"/>
      </w:pPr>
      <w:r w:rsidRPr="00FA0083">
        <w:rPr>
          <w:vertAlign w:val="superscript"/>
        </w:rPr>
        <w:footnoteRef/>
      </w:r>
      <w:r w:rsidRPr="00FA0083">
        <w:t xml:space="preserve"> NIS Cooperation Group, </w:t>
      </w:r>
      <w:r w:rsidRPr="00FA0083">
        <w:rPr>
          <w:i/>
          <w:iCs/>
        </w:rPr>
        <w:t>Second report on Member States’ Progress in implementing the EU Toolbox on 5G Cybersecurity, June 2023</w:t>
      </w:r>
      <w:r w:rsidRPr="00FA0083">
        <w:t xml:space="preserve">, </w:t>
      </w:r>
      <w:hyperlink r:id="rId187" w:history="1">
        <w:r w:rsidRPr="00FA0083">
          <w:rPr>
            <w:rStyle w:val="Hyperlink"/>
          </w:rPr>
          <w:t>https://digital-strategy.ec.europa.eu/en/library/second-report-member-states-progress-implementing-eu-toolbox-5g-cybersecurity</w:t>
        </w:r>
      </w:hyperlink>
      <w:r w:rsidRPr="00FA0083">
        <w:t>.</w:t>
      </w:r>
    </w:p>
  </w:footnote>
  <w:footnote w:id="297">
    <w:p w14:paraId="3521A60F" w14:textId="77777777" w:rsidR="00F0485A" w:rsidRPr="00FA0083" w:rsidRDefault="00F0485A" w:rsidP="00F0485A">
      <w:pPr>
        <w:pStyle w:val="FootnoteText"/>
      </w:pPr>
      <w:r w:rsidRPr="00FA0083">
        <w:rPr>
          <w:vertAlign w:val="superscript"/>
        </w:rPr>
        <w:footnoteRef/>
      </w:r>
      <w:r w:rsidRPr="00FA0083">
        <w:t xml:space="preserve"> Ibid.</w:t>
      </w:r>
    </w:p>
  </w:footnote>
  <w:footnote w:id="298">
    <w:p w14:paraId="4874C27F" w14:textId="77777777" w:rsidR="00EE3DF9" w:rsidRPr="00FA0083" w:rsidRDefault="00EE3DF9" w:rsidP="00EE3DF9">
      <w:pPr>
        <w:pStyle w:val="FootnoteText"/>
      </w:pPr>
      <w:r w:rsidRPr="00FA0083">
        <w:rPr>
          <w:rStyle w:val="FootnoteReference"/>
        </w:rPr>
        <w:footnoteRef/>
      </w:r>
      <w:r w:rsidRPr="00FA0083">
        <w:t xml:space="preserve"> See Annex 2 to this Impact Assessment.</w:t>
      </w:r>
    </w:p>
  </w:footnote>
  <w:footnote w:id="299">
    <w:p w14:paraId="4256693D" w14:textId="77777777" w:rsidR="00EE3DF9" w:rsidRPr="00FA0083" w:rsidRDefault="00EE3DF9" w:rsidP="00EE3DF9">
      <w:pPr>
        <w:pStyle w:val="FootnoteText"/>
        <w:rPr>
          <w:lang w:val="it-IT"/>
        </w:rPr>
      </w:pPr>
      <w:r w:rsidRPr="00FA0083">
        <w:rPr>
          <w:rStyle w:val="FootnoteReference"/>
        </w:rPr>
        <w:footnoteRef/>
      </w:r>
      <w:r w:rsidRPr="00FA0083">
        <w:rPr>
          <w:lang w:val="it-IT"/>
        </w:rPr>
        <w:t xml:space="preserve"> ENISA, </w:t>
      </w:r>
      <w:r w:rsidRPr="00FA0083">
        <w:rPr>
          <w:i/>
          <w:lang w:val="it-IT"/>
        </w:rPr>
        <w:t>ENISA Single Programming Document 2025-2027</w:t>
      </w:r>
      <w:r w:rsidRPr="00FA0083">
        <w:rPr>
          <w:lang w:val="it-IT"/>
        </w:rPr>
        <w:t xml:space="preserve">, </w:t>
      </w:r>
      <w:hyperlink r:id="rId188" w:history="1">
        <w:r w:rsidRPr="00FA0083">
          <w:rPr>
            <w:rStyle w:val="Hyperlink"/>
            <w:lang w:val="it-IT"/>
          </w:rPr>
          <w:t>https://enisa.europa.eu/sites/default/files/2025-02/17_02_2025_ENISA%20Single%20Programming%20Document%202025-2027.pdf</w:t>
        </w:r>
      </w:hyperlink>
      <w:r w:rsidRPr="00FA0083">
        <w:rPr>
          <w:lang w:val="it-IT"/>
        </w:rPr>
        <w:t>.</w:t>
      </w:r>
    </w:p>
  </w:footnote>
  <w:footnote w:id="300">
    <w:p w14:paraId="0810209B" w14:textId="77777777" w:rsidR="00EE3DF9" w:rsidRPr="00FA0083" w:rsidRDefault="00EE3DF9" w:rsidP="00EE3DF9">
      <w:pPr>
        <w:pStyle w:val="FootnoteText"/>
        <w:rPr>
          <w:lang w:val="en-IE"/>
        </w:rPr>
      </w:pPr>
      <w:r w:rsidRPr="00FA0083">
        <w:rPr>
          <w:rStyle w:val="FootnoteReference"/>
        </w:rPr>
        <w:footnoteRef/>
      </w:r>
      <w:r w:rsidRPr="00FA0083">
        <w:t xml:space="preserve"> ENISA, </w:t>
      </w:r>
      <w:r w:rsidRPr="00FA0083">
        <w:rPr>
          <w:i/>
        </w:rPr>
        <w:t>2024 Consolidated Annual Activity Report</w:t>
      </w:r>
      <w:r w:rsidRPr="00FA0083">
        <w:t xml:space="preserve">, </w:t>
      </w:r>
      <w:hyperlink r:id="rId189" w:history="1">
        <w:r w:rsidRPr="00FA0083">
          <w:rPr>
            <w:rStyle w:val="Hyperlink"/>
          </w:rPr>
          <w:t>https://enisa.europa.eu/sites/default/files/2025-07/Consolidated%20Annual%20Activity%20Report%202024.pdf</w:t>
        </w:r>
      </w:hyperlink>
      <w:r w:rsidRPr="00FA0083">
        <w:t>, presents the results of the Second Stakeholders Satisfaction Survey.</w:t>
      </w:r>
    </w:p>
  </w:footnote>
  <w:footnote w:id="301">
    <w:p w14:paraId="6DBF8CCF"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i/>
          <w:iCs/>
        </w:rPr>
        <w:t>.</w:t>
      </w:r>
    </w:p>
  </w:footnote>
  <w:footnote w:id="302">
    <w:p w14:paraId="6889CB5F" w14:textId="77777777" w:rsidR="00EE3DF9" w:rsidRPr="00FA0083" w:rsidRDefault="00EE3DF9" w:rsidP="00EE3DF9">
      <w:pPr>
        <w:pStyle w:val="FootnoteText"/>
      </w:pPr>
      <w:r w:rsidRPr="00FA0083">
        <w:rPr>
          <w:rStyle w:val="FootnoteReference"/>
        </w:rPr>
        <w:footnoteRef/>
      </w:r>
      <w:r w:rsidRPr="00FA0083">
        <w:t xml:space="preserve"> </w:t>
      </w:r>
      <w:r w:rsidRPr="00FA0083">
        <w:rPr>
          <w:rFonts w:eastAsia="Times New Roman"/>
        </w:rPr>
        <w:t xml:space="preserve">ENISA, </w:t>
      </w:r>
      <w:r w:rsidRPr="00FA0083">
        <w:rPr>
          <w:rFonts w:eastAsia="Times New Roman"/>
          <w:i/>
          <w:iCs/>
        </w:rPr>
        <w:t>ENISA 2023 Consolidated Annual Activity Report</w:t>
      </w:r>
      <w:r w:rsidRPr="00FA0083">
        <w:rPr>
          <w:rFonts w:eastAsia="Times New Roman"/>
        </w:rPr>
        <w:t xml:space="preserve">, </w:t>
      </w:r>
      <w:hyperlink r:id="rId190" w:history="1">
        <w:r w:rsidRPr="00FA0083">
          <w:rPr>
            <w:rStyle w:val="Hyperlink"/>
          </w:rPr>
          <w:t>https://www.enisa.europa.eu/publications/corporate-documents/enisa-consolidated-annual-activity-report-2023</w:t>
        </w:r>
      </w:hyperlink>
      <w:r w:rsidRPr="00FA0083">
        <w:rPr>
          <w:rFonts w:eastAsia="Times New Roman"/>
        </w:rPr>
        <w:t>.</w:t>
      </w:r>
    </w:p>
  </w:footnote>
  <w:footnote w:id="303">
    <w:p w14:paraId="094BE431"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rFonts w:eastAsia="Times New Roman"/>
        </w:rPr>
        <w:t>, p. 10.</w:t>
      </w:r>
    </w:p>
  </w:footnote>
  <w:footnote w:id="304">
    <w:p w14:paraId="3F7DD5C3"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i/>
        </w:rPr>
        <w:t xml:space="preserve">, </w:t>
      </w:r>
      <w:r w:rsidRPr="00FA0083">
        <w:t>p. 65.</w:t>
      </w:r>
    </w:p>
  </w:footnote>
  <w:footnote w:id="305">
    <w:p w14:paraId="597E68E3"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i/>
        </w:rPr>
        <w:t xml:space="preserve">, </w:t>
      </w:r>
      <w:r w:rsidRPr="00FA0083">
        <w:t>p. 43.</w:t>
      </w:r>
    </w:p>
  </w:footnote>
  <w:footnote w:id="306">
    <w:p w14:paraId="618ABE81" w14:textId="77777777" w:rsidR="00EE3DF9" w:rsidRPr="00FA0083" w:rsidRDefault="00EE3DF9" w:rsidP="00EE3DF9">
      <w:pPr>
        <w:pStyle w:val="FootnoteText"/>
      </w:pPr>
      <w:r w:rsidRPr="00FA0083">
        <w:rPr>
          <w:rStyle w:val="FootnoteReference"/>
        </w:rPr>
        <w:footnoteRef/>
      </w:r>
      <w:r w:rsidRPr="00FA0083">
        <w:t xml:space="preserve"> Council of the European Union, Council conclusions on ENISA, 6 December 2024, no. 16527/24.</w:t>
      </w:r>
    </w:p>
  </w:footnote>
  <w:footnote w:id="307">
    <w:p w14:paraId="22BB463D" w14:textId="77777777" w:rsidR="00EE3DF9" w:rsidRPr="00FA0083" w:rsidRDefault="00EE3DF9" w:rsidP="00EE3DF9">
      <w:pPr>
        <w:pStyle w:val="FootnoteText"/>
        <w:rPr>
          <w:lang w:val="en-IE"/>
        </w:rPr>
      </w:pPr>
      <w:r w:rsidRPr="00FA0083">
        <w:rPr>
          <w:rStyle w:val="FootnoteReference"/>
        </w:rPr>
        <w:footnoteRef/>
      </w:r>
      <w:r w:rsidRPr="00FA0083">
        <w:t xml:space="preserve"> ENISA, </w:t>
      </w:r>
      <w:r w:rsidRPr="00FA0083">
        <w:rPr>
          <w:i/>
          <w:iCs/>
          <w:lang w:val="en-IE"/>
        </w:rPr>
        <w:t>National Cyber Security Strategies</w:t>
      </w:r>
      <w:r w:rsidRPr="00FA0083">
        <w:rPr>
          <w:lang w:val="en-IE"/>
        </w:rPr>
        <w:t xml:space="preserve">, </w:t>
      </w:r>
      <w:hyperlink r:id="rId191" w:history="1">
        <w:r w:rsidRPr="00FA0083">
          <w:rPr>
            <w:rStyle w:val="Hyperlink"/>
            <w:lang w:val="en-IE"/>
          </w:rPr>
          <w:t>https://www.enisa.europa.eu/topics/national-cyber-security-strategies/ncss-map/national-cyber-security-strategies-interactive-map</w:t>
        </w:r>
      </w:hyperlink>
      <w:r w:rsidRPr="00FA0083">
        <w:t>.</w:t>
      </w:r>
    </w:p>
  </w:footnote>
  <w:footnote w:id="308">
    <w:p w14:paraId="058250CE" w14:textId="77777777" w:rsidR="00EE3DF9" w:rsidRPr="00FA0083" w:rsidRDefault="00EE3DF9" w:rsidP="00EE3DF9">
      <w:pPr>
        <w:pStyle w:val="FootnoteText"/>
        <w:rPr>
          <w:lang w:val="en-IE"/>
        </w:rPr>
      </w:pPr>
      <w:r w:rsidRPr="00FA0083">
        <w:rPr>
          <w:rStyle w:val="FootnoteReference"/>
        </w:rPr>
        <w:footnoteRef/>
      </w:r>
      <w:r w:rsidRPr="00FA0083">
        <w:rPr>
          <w:lang w:val="en-IE"/>
        </w:rPr>
        <w:t xml:space="preserve"> Documents available at: </w:t>
      </w:r>
      <w:hyperlink r:id="rId192" w:history="1">
        <w:r w:rsidRPr="00FA0083">
          <w:rPr>
            <w:rStyle w:val="Hyperlink"/>
          </w:rPr>
          <w:t>NIS Cooperation Group | Shaping Europe’s digital future</w:t>
        </w:r>
      </w:hyperlink>
    </w:p>
  </w:footnote>
  <w:footnote w:id="309">
    <w:p w14:paraId="73629C9D" w14:textId="77777777" w:rsidR="00EE3DF9" w:rsidRPr="00FA0083" w:rsidRDefault="00EE3DF9" w:rsidP="00EE3DF9">
      <w:pPr>
        <w:pStyle w:val="FootnoteText"/>
      </w:pPr>
      <w:r w:rsidRPr="00FA0083">
        <w:rPr>
          <w:rStyle w:val="FootnoteReference"/>
        </w:rPr>
        <w:footnoteRef/>
      </w:r>
      <w:r w:rsidRPr="00FA0083">
        <w:t xml:space="preserve"> Council of the European Union, Council conclusions on ENISA, 6 December 2024, no. 16527/24.</w:t>
      </w:r>
    </w:p>
  </w:footnote>
  <w:footnote w:id="310">
    <w:p w14:paraId="291F3291" w14:textId="77777777" w:rsidR="00EE3DF9" w:rsidRPr="00FA0083" w:rsidRDefault="00EE3DF9" w:rsidP="00EE3DF9">
      <w:pPr>
        <w:pStyle w:val="FootnoteText"/>
        <w:rPr>
          <w:lang w:val="it-IT"/>
        </w:rPr>
      </w:pPr>
      <w:r w:rsidRPr="00FA0083">
        <w:rPr>
          <w:rStyle w:val="FootnoteReference"/>
        </w:rPr>
        <w:footnoteRef/>
      </w:r>
      <w:r w:rsidRPr="00FA0083">
        <w:rPr>
          <w:lang w:val="it-IT"/>
        </w:rPr>
        <w:t xml:space="preserve"> ENISA, </w:t>
      </w:r>
      <w:r w:rsidRPr="00FA0083">
        <w:rPr>
          <w:i/>
          <w:lang w:val="it-IT"/>
        </w:rPr>
        <w:t>ENISA Single Programming Document 2025-2027</w:t>
      </w:r>
      <w:r w:rsidRPr="00FA0083">
        <w:rPr>
          <w:lang w:val="it-IT"/>
        </w:rPr>
        <w:t xml:space="preserve">, </w:t>
      </w:r>
      <w:hyperlink r:id="rId193" w:history="1">
        <w:r w:rsidRPr="00FA0083">
          <w:rPr>
            <w:rStyle w:val="Hyperlink"/>
            <w:lang w:val="it-IT"/>
          </w:rPr>
          <w:t>https://enisa.europa.eu/sites/default/files/2025-02/17_02_2025_ENISA%20Single%20Programming%20Document%202025-2027.pdf</w:t>
        </w:r>
      </w:hyperlink>
      <w:r w:rsidRPr="00FA0083">
        <w:rPr>
          <w:lang w:val="it-IT"/>
        </w:rPr>
        <w:t>.</w:t>
      </w:r>
    </w:p>
  </w:footnote>
  <w:footnote w:id="311">
    <w:p w14:paraId="2CE39E26"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i/>
          <w:lang w:val="en-IE"/>
        </w:rPr>
        <w:t xml:space="preserve">, </w:t>
      </w:r>
      <w:r w:rsidRPr="00FA0083">
        <w:rPr>
          <w:lang w:val="en-IE"/>
        </w:rPr>
        <w:t>p. 43.</w:t>
      </w:r>
    </w:p>
  </w:footnote>
  <w:footnote w:id="312">
    <w:p w14:paraId="3336D77F" w14:textId="77777777" w:rsidR="00EE3DF9" w:rsidRPr="00FA0083" w:rsidRDefault="00EE3DF9" w:rsidP="00EE3DF9">
      <w:pPr>
        <w:pStyle w:val="FootnoteText"/>
        <w:rPr>
          <w:lang w:val="en-IE"/>
        </w:rPr>
      </w:pPr>
      <w:r w:rsidRPr="00FA0083">
        <w:rPr>
          <w:rStyle w:val="FootnoteReference"/>
        </w:rPr>
        <w:footnoteRef/>
      </w:r>
      <w:r w:rsidRPr="00FA0083">
        <w:t xml:space="preserve"> Council of the European Union, Council conclusions on ENISA, 6 December 2024, no. 16527/24.</w:t>
      </w:r>
    </w:p>
  </w:footnote>
  <w:footnote w:id="313">
    <w:p w14:paraId="59F5E5BF" w14:textId="77777777" w:rsidR="00EE3DF9" w:rsidRPr="00FA0083" w:rsidRDefault="00EE3DF9" w:rsidP="00EE3DF9">
      <w:pPr>
        <w:pStyle w:val="FootnoteText"/>
        <w:rPr>
          <w:lang w:val="en-IE"/>
        </w:rPr>
      </w:pPr>
      <w:r w:rsidRPr="00FA0083">
        <w:rPr>
          <w:rStyle w:val="FootnoteReference"/>
        </w:rPr>
        <w:footnoteRef/>
      </w:r>
      <w:r w:rsidRPr="00FA0083">
        <w:t xml:space="preserve"> Council of the European Union, Council conclusions on ENISA, 6 December 2024, no. 16527/24.</w:t>
      </w:r>
    </w:p>
  </w:footnote>
  <w:footnote w:id="314">
    <w:p w14:paraId="497BBC95" w14:textId="77777777" w:rsidR="00EE3DF9" w:rsidRPr="00FA0083" w:rsidRDefault="00EE3DF9" w:rsidP="00EE3DF9">
      <w:pPr>
        <w:pStyle w:val="FootnoteText"/>
        <w:rPr>
          <w:lang w:val="en-IE"/>
        </w:rPr>
      </w:pPr>
      <w:r w:rsidRPr="00FA0083">
        <w:rPr>
          <w:rStyle w:val="FootnoteReference"/>
        </w:rPr>
        <w:footnoteRef/>
      </w:r>
      <w:r w:rsidRPr="00FA0083">
        <w:t xml:space="preserve"> ENISA, </w:t>
      </w:r>
      <w:r w:rsidRPr="00FA0083">
        <w:rPr>
          <w:i/>
        </w:rPr>
        <w:t>2024 Consolidated Annual Activity Report</w:t>
      </w:r>
      <w:r w:rsidRPr="00FA0083">
        <w:t xml:space="preserve">, </w:t>
      </w:r>
      <w:hyperlink r:id="rId194" w:history="1">
        <w:r w:rsidRPr="00FA0083">
          <w:rPr>
            <w:rStyle w:val="Hyperlink"/>
          </w:rPr>
          <w:t>https://enisa.europa.eu/sites/default/files/2025-07/Consolidated%20Annual%20Activity%20Report%202024.pdf</w:t>
        </w:r>
      </w:hyperlink>
      <w:r w:rsidRPr="00FA0083">
        <w:t>, presents the results of the Second Stakeholders Satisfaction Survey.</w:t>
      </w:r>
    </w:p>
  </w:footnote>
  <w:footnote w:id="315">
    <w:p w14:paraId="2AFE850F" w14:textId="77777777" w:rsidR="00EE3DF9" w:rsidRPr="00FA0083" w:rsidRDefault="00EE3DF9" w:rsidP="00EE3DF9">
      <w:pPr>
        <w:pStyle w:val="FootnoteText"/>
      </w:pPr>
      <w:r w:rsidRPr="00FA0083">
        <w:rPr>
          <w:rStyle w:val="FootnoteReference"/>
        </w:rPr>
        <w:footnoteRef/>
      </w:r>
      <w:r w:rsidRPr="00FA0083">
        <w:t xml:space="preserve"> Council of the European Union, Council conclusions on ENISA, 6 December 2024, no. 16527/24, point 25.</w:t>
      </w:r>
    </w:p>
  </w:footnote>
  <w:footnote w:id="316">
    <w:p w14:paraId="01435DA1" w14:textId="77777777" w:rsidR="00EE3DF9" w:rsidRPr="00FA0083" w:rsidRDefault="00EE3DF9" w:rsidP="00EE3DF9">
      <w:pPr>
        <w:pStyle w:val="FootnoteText"/>
        <w:rPr>
          <w:lang w:val="en-IE"/>
        </w:rPr>
      </w:pPr>
      <w:r w:rsidRPr="00FA0083">
        <w:rPr>
          <w:rStyle w:val="FootnoteReference"/>
        </w:rPr>
        <w:footnoteRef/>
      </w:r>
      <w:r w:rsidRPr="00FA0083">
        <w:t xml:space="preserve"> The 2024 Evaluation report</w:t>
      </w:r>
      <w:r w:rsidRPr="00FA0083">
        <w:rPr>
          <w:i/>
          <w:lang w:val="en-IE"/>
        </w:rPr>
        <w:t xml:space="preserve">, </w:t>
      </w:r>
      <w:r w:rsidRPr="00FA0083">
        <w:rPr>
          <w:lang w:val="en-IE"/>
        </w:rPr>
        <w:t>p. 65.</w:t>
      </w:r>
    </w:p>
  </w:footnote>
  <w:footnote w:id="317">
    <w:p w14:paraId="106BA06A" w14:textId="77777777" w:rsidR="00EE3DF9" w:rsidRPr="00FA0083" w:rsidRDefault="00EE3DF9" w:rsidP="00EE3DF9">
      <w:pPr>
        <w:pStyle w:val="FootnoteText"/>
        <w:rPr>
          <w:b/>
        </w:rPr>
      </w:pPr>
      <w:r w:rsidRPr="00FA0083">
        <w:rPr>
          <w:rStyle w:val="FootnoteReference"/>
        </w:rPr>
        <w:footnoteRef/>
      </w:r>
      <w:r w:rsidRPr="00FA0083">
        <w:t xml:space="preserve"> ENISA, </w:t>
      </w:r>
      <w:r w:rsidRPr="00FA0083">
        <w:rPr>
          <w:i/>
        </w:rPr>
        <w:t>2024 Consolidated Annual Activity Report</w:t>
      </w:r>
      <w:r w:rsidRPr="00FA0083">
        <w:t xml:space="preserve">, </w:t>
      </w:r>
      <w:hyperlink r:id="rId195" w:history="1">
        <w:r w:rsidRPr="00FA0083">
          <w:rPr>
            <w:rStyle w:val="Hyperlink"/>
          </w:rPr>
          <w:t>https://enisa.europa.eu/sites/default/files/2025-07/Consolidated%20Annual%20Activity%20Report%202024.pdf</w:t>
        </w:r>
      </w:hyperlink>
      <w:r w:rsidRPr="00FA0083">
        <w:t>, presents the results of the Second Stakeholders Satisfaction Survey.</w:t>
      </w:r>
    </w:p>
  </w:footnote>
  <w:footnote w:id="318">
    <w:p w14:paraId="0BF5BB75" w14:textId="77777777" w:rsidR="00EE3DF9" w:rsidRPr="00FA0083" w:rsidRDefault="00EE3DF9" w:rsidP="00EE3DF9">
      <w:pPr>
        <w:pStyle w:val="FootnoteText"/>
      </w:pPr>
      <w:r w:rsidRPr="00FA0083">
        <w:rPr>
          <w:rStyle w:val="FootnoteReference"/>
        </w:rPr>
        <w:footnoteRef/>
      </w:r>
      <w:r w:rsidRPr="00FA0083">
        <w:t xml:space="preserve"> ENISA, </w:t>
      </w:r>
      <w:r w:rsidRPr="00FA0083">
        <w:rPr>
          <w:i/>
        </w:rPr>
        <w:t>2024 Consolidated Annual Activity Report</w:t>
      </w:r>
      <w:r w:rsidRPr="00FA0083">
        <w:t xml:space="preserve">, </w:t>
      </w:r>
      <w:hyperlink r:id="rId196" w:history="1">
        <w:r w:rsidRPr="00FA0083">
          <w:rPr>
            <w:rStyle w:val="Hyperlink"/>
          </w:rPr>
          <w:t>https://enisa.europa.eu/sites/default/files/2025-07/Consolidated%20Annual%20Activity%20Report%202024.pdf</w:t>
        </w:r>
      </w:hyperlink>
      <w:r w:rsidRPr="00FA0083">
        <w:t>, presents the results of the Second Stakeholders Satisfaction Survey.</w:t>
      </w:r>
    </w:p>
  </w:footnote>
  <w:footnote w:id="319">
    <w:p w14:paraId="6D253847" w14:textId="77777777" w:rsidR="00EE3DF9" w:rsidRPr="00FA0083" w:rsidRDefault="00EE3DF9" w:rsidP="00EE3DF9">
      <w:pPr>
        <w:pStyle w:val="FootnoteText"/>
        <w:rPr>
          <w:lang w:val="en-US"/>
        </w:rPr>
      </w:pPr>
      <w:r w:rsidRPr="00FA0083">
        <w:rPr>
          <w:rStyle w:val="FootnoteReference"/>
        </w:rPr>
        <w:footnoteRef/>
      </w:r>
      <w:r w:rsidRPr="00FA0083">
        <w:t xml:space="preserve"> </w:t>
      </w:r>
      <w:r w:rsidRPr="00FA0083">
        <w:rPr>
          <w:lang w:val="en-US"/>
        </w:rPr>
        <w:t xml:space="preserve">The European Court of Auditors (2022), </w:t>
      </w:r>
      <w:r w:rsidRPr="00FA0083">
        <w:rPr>
          <w:i/>
          <w:lang w:val="en-US"/>
        </w:rPr>
        <w:t xml:space="preserve">Cybersecurity of EU institutions, bodies and agencies. </w:t>
      </w:r>
      <w:r w:rsidRPr="00FA0083">
        <w:rPr>
          <w:i/>
          <w:iCs/>
          <w:lang w:val="en-US"/>
        </w:rPr>
        <w:t xml:space="preserve">Special report, </w:t>
      </w:r>
      <w:hyperlink r:id="rId197" w:history="1">
        <w:r w:rsidRPr="00FA0083">
          <w:rPr>
            <w:rStyle w:val="Hyperlink"/>
            <w:i/>
            <w:iCs/>
          </w:rPr>
          <w:t>https://www.eca.europa.eu/en/publications/SR22_05</w:t>
        </w:r>
      </w:hyperlink>
      <w:r w:rsidRPr="00FA0083">
        <w:rPr>
          <w:i/>
          <w:iCs/>
          <w:lang w:val="en-US"/>
        </w:rPr>
        <w:t>.</w:t>
      </w:r>
    </w:p>
  </w:footnote>
  <w:footnote w:id="320">
    <w:p w14:paraId="47ECE9E6" w14:textId="77777777" w:rsidR="00EE3DF9" w:rsidRPr="00FA0083" w:rsidRDefault="00EE3DF9" w:rsidP="00EE3DF9">
      <w:pPr>
        <w:pStyle w:val="FootnoteText"/>
        <w:rPr>
          <w:lang w:val="en-IE"/>
        </w:rPr>
      </w:pPr>
      <w:r w:rsidRPr="00FA0083">
        <w:rPr>
          <w:rStyle w:val="FootnoteReference"/>
        </w:rPr>
        <w:footnoteRef/>
      </w:r>
      <w:r w:rsidRPr="00FA0083">
        <w:t xml:space="preserve"> ENISA, </w:t>
      </w:r>
      <w:r w:rsidRPr="00FA0083">
        <w:rPr>
          <w:i/>
        </w:rPr>
        <w:t>2024 Consolidated Annual Activity Report</w:t>
      </w:r>
      <w:r w:rsidRPr="00FA0083">
        <w:t xml:space="preserve">, </w:t>
      </w:r>
      <w:hyperlink r:id="rId198" w:history="1">
        <w:r w:rsidRPr="00FA0083">
          <w:rPr>
            <w:rStyle w:val="Hyperlink"/>
          </w:rPr>
          <w:t>https://enisa.europa.eu/sites/default/files/2025-07/Consolidated%20Annual%20Activity%20Report%202024.pdf</w:t>
        </w:r>
      </w:hyperlink>
      <w:r w:rsidRPr="00FA0083">
        <w:t>, presents the results of the Second Stakeholders Satisfaction Survey.</w:t>
      </w:r>
    </w:p>
  </w:footnote>
  <w:footnote w:id="321">
    <w:p w14:paraId="66D60694" w14:textId="77777777" w:rsidR="00EE3DF9" w:rsidRPr="00FA0083" w:rsidRDefault="00EE3DF9" w:rsidP="00EE3DF9">
      <w:pPr>
        <w:pStyle w:val="FootnoteText"/>
        <w:rPr>
          <w:lang w:val="en-IE"/>
        </w:rPr>
      </w:pPr>
      <w:r w:rsidRPr="00FA0083">
        <w:rPr>
          <w:rStyle w:val="FootnoteReference"/>
        </w:rPr>
        <w:footnoteRef/>
      </w:r>
      <w:r w:rsidRPr="00FA0083">
        <w:t xml:space="preserve"> ENISA, </w:t>
      </w:r>
      <w:r w:rsidRPr="00FA0083">
        <w:rPr>
          <w:lang w:val="en-IE"/>
        </w:rPr>
        <w:t xml:space="preserve">CYBERHEAD - Cybersecurity Higher Education Database, </w:t>
      </w:r>
      <w:hyperlink r:id="rId199" w:history="1">
        <w:r w:rsidRPr="00FA0083">
          <w:rPr>
            <w:rStyle w:val="Hyperlink"/>
          </w:rPr>
          <w:t>https://www.enisa.europa.eu/tools/cyberhead-cybersecurity-higher-education-database</w:t>
        </w:r>
      </w:hyperlink>
      <w:r w:rsidRPr="00FA0083">
        <w:rPr>
          <w:lang w:val="en-IE"/>
        </w:rPr>
        <w:t>.</w:t>
      </w:r>
    </w:p>
  </w:footnote>
  <w:footnote w:id="322">
    <w:p w14:paraId="3BC7366E" w14:textId="77777777" w:rsidR="00EE3DF9" w:rsidRPr="00FA0083" w:rsidRDefault="00EE3DF9" w:rsidP="00EE3DF9">
      <w:pPr>
        <w:pStyle w:val="FootnoteText"/>
        <w:rPr>
          <w:lang w:val="it-IT"/>
        </w:rPr>
      </w:pPr>
      <w:r w:rsidRPr="00FA0083">
        <w:rPr>
          <w:rStyle w:val="FootnoteReference"/>
        </w:rPr>
        <w:footnoteRef/>
      </w:r>
      <w:r w:rsidRPr="00FA0083">
        <w:rPr>
          <w:lang w:val="it-IT"/>
        </w:rPr>
        <w:t xml:space="preserve"> ENISA, </w:t>
      </w:r>
      <w:r w:rsidRPr="00FA0083">
        <w:rPr>
          <w:i/>
          <w:lang w:val="it-IT"/>
        </w:rPr>
        <w:t>ENISA Single Programming Document 2025-2027</w:t>
      </w:r>
      <w:r w:rsidRPr="00FA0083">
        <w:rPr>
          <w:lang w:val="it-IT"/>
        </w:rPr>
        <w:t xml:space="preserve">, </w:t>
      </w:r>
      <w:hyperlink r:id="rId200" w:history="1">
        <w:r w:rsidRPr="00FA0083">
          <w:rPr>
            <w:rStyle w:val="Hyperlink"/>
            <w:lang w:val="it-IT"/>
          </w:rPr>
          <w:t>https://enisa.europa.eu/sites/default/files/2025-02/17_02_2025_ENISA%20Single%20Programming%20Document%202025-2027.pdf</w:t>
        </w:r>
      </w:hyperlink>
      <w:r w:rsidRPr="00FA0083">
        <w:rPr>
          <w:lang w:val="it-IT"/>
        </w:rPr>
        <w:t>.</w:t>
      </w:r>
    </w:p>
  </w:footnote>
  <w:footnote w:id="323">
    <w:p w14:paraId="647FEB8E" w14:textId="77777777" w:rsidR="00EE3DF9" w:rsidRPr="00FA0083" w:rsidRDefault="00EE3DF9" w:rsidP="00EE3DF9">
      <w:pPr>
        <w:pStyle w:val="FootnoteText"/>
        <w:rPr>
          <w:rFonts w:eastAsia="Times New Roman"/>
          <w:lang w:eastAsia="en-IE"/>
        </w:rPr>
      </w:pPr>
      <w:r w:rsidRPr="00FA0083">
        <w:rPr>
          <w:rStyle w:val="FootnoteReference"/>
        </w:rPr>
        <w:footnoteRef/>
      </w:r>
      <w:r w:rsidRPr="00FA0083">
        <w:t xml:space="preserve"> Annex 2 to this Impact Assessment.</w:t>
      </w:r>
    </w:p>
  </w:footnote>
  <w:footnote w:id="324">
    <w:p w14:paraId="1A7C9F5F" w14:textId="77777777" w:rsidR="00EE3DF9" w:rsidRPr="00FA0083" w:rsidRDefault="00EE3DF9" w:rsidP="00EE3DF9">
      <w:pPr>
        <w:pStyle w:val="FootnoteText"/>
        <w:rPr>
          <w:lang w:val="it-IT"/>
        </w:rPr>
      </w:pPr>
      <w:r w:rsidRPr="00FA0083">
        <w:rPr>
          <w:rStyle w:val="FootnoteReference"/>
        </w:rPr>
        <w:footnoteRef/>
      </w:r>
      <w:r w:rsidRPr="00FA0083">
        <w:rPr>
          <w:lang w:val="it-IT"/>
        </w:rPr>
        <w:t xml:space="preserve"> ENISA, </w:t>
      </w:r>
      <w:r w:rsidRPr="00FA0083">
        <w:rPr>
          <w:i/>
          <w:lang w:val="it-IT"/>
        </w:rPr>
        <w:t>ENISA Single Programming Document 2025-2027</w:t>
      </w:r>
      <w:r w:rsidRPr="00FA0083">
        <w:rPr>
          <w:lang w:val="it-IT"/>
        </w:rPr>
        <w:t xml:space="preserve">, </w:t>
      </w:r>
      <w:hyperlink r:id="rId201" w:history="1">
        <w:r w:rsidRPr="00FA0083">
          <w:rPr>
            <w:rStyle w:val="Hyperlink"/>
            <w:lang w:val="it-IT"/>
          </w:rPr>
          <w:t>https://enisa.europa.eu/sites/default/files/2025-02/17_02_2025_ENISA%20Single%20Programming%20Document%202025-2027.pdf</w:t>
        </w:r>
      </w:hyperlink>
      <w:r w:rsidRPr="00FA0083">
        <w:rPr>
          <w:lang w:val="it-IT"/>
        </w:rPr>
        <w:t>.</w:t>
      </w:r>
    </w:p>
  </w:footnote>
  <w:footnote w:id="325">
    <w:p w14:paraId="39FAD1DC" w14:textId="77777777" w:rsidR="00EE3DF9" w:rsidRPr="00FA0083" w:rsidRDefault="00EE3DF9" w:rsidP="00EE3DF9">
      <w:pPr>
        <w:pStyle w:val="FootnoteText"/>
        <w:rPr>
          <w:lang w:val="en-IE"/>
        </w:rPr>
      </w:pPr>
      <w:r w:rsidRPr="00FA0083">
        <w:rPr>
          <w:rStyle w:val="FootnoteReference"/>
        </w:rPr>
        <w:footnoteRef/>
      </w:r>
      <w:r w:rsidRPr="00FA0083">
        <w:t xml:space="preserve"> Council of the European Union, Council conclusions on ENISA, 6 December 2024, no. 16527/24.</w:t>
      </w:r>
    </w:p>
  </w:footnote>
  <w:footnote w:id="326">
    <w:p w14:paraId="6651B04C" w14:textId="77777777" w:rsidR="00EE3DF9" w:rsidRPr="00FA0083" w:rsidRDefault="00EE3DF9" w:rsidP="00EE3DF9">
      <w:pPr>
        <w:pStyle w:val="FootnoteText"/>
        <w:rPr>
          <w:lang w:val="en-IE"/>
        </w:rPr>
      </w:pPr>
      <w:r w:rsidRPr="00FA0083">
        <w:rPr>
          <w:rStyle w:val="FootnoteReference"/>
        </w:rPr>
        <w:footnoteRef/>
      </w:r>
      <w:r w:rsidRPr="00FA0083">
        <w:t xml:space="preserve"> Council of the European Union, Council conclusions on ENISA, 6 December 2024, no. 16527/24, point 7.</w:t>
      </w:r>
    </w:p>
  </w:footnote>
  <w:footnote w:id="327">
    <w:p w14:paraId="66E54978" w14:textId="77777777" w:rsidR="00EE3DF9" w:rsidRPr="00FA0083" w:rsidRDefault="00EE3DF9" w:rsidP="00EE3DF9">
      <w:pPr>
        <w:pStyle w:val="FootnoteText"/>
        <w:rPr>
          <w:lang w:val="en-IE"/>
        </w:rPr>
      </w:pPr>
      <w:r w:rsidRPr="00FA0083">
        <w:rPr>
          <w:rStyle w:val="FootnoteReference"/>
        </w:rPr>
        <w:footnoteRef/>
      </w:r>
      <w:r w:rsidRPr="00FA0083">
        <w:t xml:space="preserve"> Council of the European Union, Council conclusions on ENISA, 6 December 2024, no. 16527/24.</w:t>
      </w:r>
    </w:p>
  </w:footnote>
  <w:footnote w:id="328">
    <w:p w14:paraId="05407616" w14:textId="77777777" w:rsidR="00EE3DF9" w:rsidRPr="00FA0083" w:rsidRDefault="00EE3DF9" w:rsidP="00EE3DF9">
      <w:pPr>
        <w:pStyle w:val="FootnoteText"/>
      </w:pPr>
      <w:r w:rsidRPr="00FA0083">
        <w:rPr>
          <w:rStyle w:val="FootnoteReference"/>
        </w:rPr>
        <w:footnoteRef/>
      </w:r>
      <w:r w:rsidRPr="00FA0083">
        <w:t xml:space="preserve"> ENISA’s Annual Activity Reports from 2017 until 2024.</w:t>
      </w:r>
    </w:p>
  </w:footnote>
  <w:footnote w:id="329">
    <w:p w14:paraId="14FED647" w14:textId="77777777" w:rsidR="00EE3DF9" w:rsidRPr="00FA0083" w:rsidRDefault="00EE3DF9" w:rsidP="00EE3DF9">
      <w:pPr>
        <w:pStyle w:val="FootnoteText"/>
      </w:pPr>
      <w:r w:rsidRPr="00FA0083">
        <w:rPr>
          <w:rStyle w:val="FootnoteReference"/>
        </w:rPr>
        <w:footnoteRef/>
      </w:r>
      <w:r w:rsidRPr="00FA0083">
        <w:t xml:space="preserve"> The request for a candidate EUCS scheme included the following: </w:t>
      </w:r>
      <w:r w:rsidRPr="00FA0083">
        <w:rPr>
          <w:i/>
          <w:iCs/>
        </w:rPr>
        <w:t>“In accordance with Article 48(2) of the Cybersecurity Act, we would like to request ENISA to prepare a candidate European cybersecurity certification scheme for cloud services. The candidate scheme should provide for cybersecurity certification of cloud services and should take into account existing and relevant schemes and standards. The candidate scheme should conform to the requirements of Articles 51, 52 and 54 of the Cybersecurity Act.”</w:t>
      </w:r>
    </w:p>
  </w:footnote>
  <w:footnote w:id="330">
    <w:p w14:paraId="0F6F22AF" w14:textId="77777777" w:rsidR="00EE3DF9" w:rsidRPr="00FA0083" w:rsidRDefault="00EE3DF9" w:rsidP="00EE3DF9">
      <w:pPr>
        <w:spacing w:after="0"/>
        <w:rPr>
          <w:sz w:val="20"/>
          <w:szCs w:val="20"/>
          <w:lang w:val="en-IE"/>
        </w:rPr>
      </w:pPr>
      <w:r w:rsidRPr="00FA0083">
        <w:rPr>
          <w:sz w:val="20"/>
          <w:szCs w:val="20"/>
          <w:vertAlign w:val="superscript"/>
        </w:rPr>
        <w:footnoteRef/>
      </w:r>
      <w:r w:rsidRPr="00FA0083">
        <w:rPr>
          <w:sz w:val="20"/>
          <w:szCs w:val="20"/>
        </w:rPr>
        <w:t xml:space="preserve"> NIST, </w:t>
      </w:r>
      <w:r w:rsidRPr="00FA0083">
        <w:rPr>
          <w:i/>
          <w:iCs/>
          <w:sz w:val="20"/>
          <w:szCs w:val="20"/>
        </w:rPr>
        <w:t>Consumer IoT Cybersecurity</w:t>
      </w:r>
      <w:r w:rsidRPr="00FA0083">
        <w:rPr>
          <w:sz w:val="20"/>
          <w:szCs w:val="20"/>
        </w:rPr>
        <w:t xml:space="preserve">, </w:t>
      </w:r>
      <w:hyperlink r:id="rId202">
        <w:r w:rsidRPr="00FA0083">
          <w:rPr>
            <w:rStyle w:val="Hyperlink"/>
            <w:sz w:val="20"/>
            <w:szCs w:val="20"/>
          </w:rPr>
          <w:t>https://www.nist.gov/itl/applied-cybersecurity/nist-cybersecurity-iot-program/consumer-iot-cybersecurity</w:t>
        </w:r>
      </w:hyperlink>
      <w:r w:rsidRPr="00FA0083">
        <w:rPr>
          <w:sz w:val="20"/>
          <w:szCs w:val="20"/>
        </w:rPr>
        <w:t>.</w:t>
      </w:r>
    </w:p>
  </w:footnote>
  <w:footnote w:id="331">
    <w:p w14:paraId="35925297" w14:textId="77777777" w:rsidR="00EE3DF9" w:rsidRPr="00FA0083" w:rsidRDefault="00EE3DF9" w:rsidP="00EE3DF9">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sz w:val="20"/>
          <w:szCs w:val="20"/>
          <w:lang w:val="en-IE"/>
        </w:rPr>
        <w:t xml:space="preserve">CISA, </w:t>
      </w:r>
      <w:r w:rsidRPr="00FA0083">
        <w:rPr>
          <w:i/>
          <w:iCs/>
          <w:sz w:val="20"/>
          <w:szCs w:val="20"/>
          <w:lang w:val="en-IE"/>
        </w:rPr>
        <w:t>Secure by Design</w:t>
      </w:r>
      <w:r w:rsidRPr="00FA0083">
        <w:rPr>
          <w:sz w:val="20"/>
          <w:szCs w:val="20"/>
          <w:lang w:val="en-IE"/>
        </w:rPr>
        <w:t xml:space="preserve">, </w:t>
      </w:r>
      <w:hyperlink r:id="rId203">
        <w:r w:rsidRPr="00FA0083">
          <w:rPr>
            <w:rStyle w:val="Hyperlink"/>
            <w:sz w:val="20"/>
            <w:szCs w:val="20"/>
            <w:lang w:val="en-IE"/>
          </w:rPr>
          <w:t>https://www.cisa.gov/securebydesign</w:t>
        </w:r>
      </w:hyperlink>
      <w:r w:rsidRPr="00FA0083">
        <w:rPr>
          <w:sz w:val="20"/>
          <w:szCs w:val="20"/>
          <w:lang w:val="en-IE"/>
        </w:rPr>
        <w:t>.</w:t>
      </w:r>
    </w:p>
  </w:footnote>
  <w:footnote w:id="332">
    <w:p w14:paraId="49773B7A" w14:textId="77777777" w:rsidR="00EE3DF9" w:rsidRPr="00FA0083" w:rsidRDefault="00EE3DF9" w:rsidP="00EE3DF9">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sz w:val="20"/>
          <w:szCs w:val="20"/>
          <w:lang w:val="en-IE"/>
        </w:rPr>
        <w:t xml:space="preserve">CISA, </w:t>
      </w:r>
      <w:r w:rsidRPr="00FA0083">
        <w:rPr>
          <w:i/>
          <w:iCs/>
          <w:sz w:val="20"/>
          <w:szCs w:val="20"/>
          <w:lang w:val="en-IE"/>
        </w:rPr>
        <w:t>2025 Minimum Elements for a Software Bill of Materials (SBOM)</w:t>
      </w:r>
      <w:r w:rsidRPr="00FA0083">
        <w:rPr>
          <w:sz w:val="20"/>
          <w:szCs w:val="20"/>
          <w:lang w:val="en-IE"/>
        </w:rPr>
        <w:t xml:space="preserve">, </w:t>
      </w:r>
      <w:hyperlink r:id="rId204">
        <w:r w:rsidRPr="00FA0083">
          <w:rPr>
            <w:rStyle w:val="Hyperlink"/>
            <w:sz w:val="20"/>
            <w:szCs w:val="20"/>
            <w:lang w:val="en-IE"/>
          </w:rPr>
          <w:t>https://www.cisa.gov/resources-tools/resources/2025-minimum-elements-software-bill-materials-sbom</w:t>
        </w:r>
      </w:hyperlink>
      <w:r w:rsidRPr="00FA0083">
        <w:rPr>
          <w:sz w:val="20"/>
          <w:szCs w:val="20"/>
          <w:lang w:val="en-IE"/>
        </w:rPr>
        <w:t>.</w:t>
      </w:r>
    </w:p>
  </w:footnote>
  <w:footnote w:id="333">
    <w:p w14:paraId="7E31A23D" w14:textId="77777777" w:rsidR="00EE3DF9" w:rsidRPr="00FA0083" w:rsidRDefault="00EE3DF9" w:rsidP="00EE3DF9">
      <w:pPr>
        <w:spacing w:after="0"/>
        <w:rPr>
          <w:sz w:val="20"/>
          <w:szCs w:val="20"/>
          <w:lang w:val="cs-CZ"/>
        </w:rPr>
      </w:pPr>
      <w:r w:rsidRPr="00FA0083">
        <w:rPr>
          <w:sz w:val="20"/>
          <w:szCs w:val="20"/>
          <w:vertAlign w:val="superscript"/>
        </w:rPr>
        <w:footnoteRef/>
      </w:r>
      <w:r w:rsidRPr="00FA0083">
        <w:rPr>
          <w:sz w:val="20"/>
          <w:szCs w:val="20"/>
        </w:rPr>
        <w:t xml:space="preserve"> See FedRAMP Marketplace: </w:t>
      </w:r>
      <w:hyperlink r:id="rId205">
        <w:r w:rsidRPr="00FA0083">
          <w:rPr>
            <w:rStyle w:val="Hyperlink"/>
            <w:sz w:val="20"/>
            <w:szCs w:val="20"/>
          </w:rPr>
          <w:t>https://marketplace.fedramp.gov/products?status=authorized</w:t>
        </w:r>
      </w:hyperlink>
      <w:r w:rsidRPr="00FA0083">
        <w:rPr>
          <w:sz w:val="20"/>
          <w:szCs w:val="20"/>
        </w:rPr>
        <w:t>.</w:t>
      </w:r>
    </w:p>
  </w:footnote>
  <w:footnote w:id="334">
    <w:p w14:paraId="512A0614" w14:textId="77777777" w:rsidR="00EE3DF9" w:rsidRPr="00FA0083" w:rsidRDefault="00EE3DF9" w:rsidP="00EE3DF9">
      <w:pPr>
        <w:spacing w:after="0"/>
        <w:rPr>
          <w:sz w:val="20"/>
          <w:szCs w:val="20"/>
          <w:lang w:val="cs-CZ"/>
        </w:rPr>
      </w:pPr>
      <w:r w:rsidRPr="00FA0083">
        <w:rPr>
          <w:sz w:val="20"/>
          <w:szCs w:val="20"/>
          <w:vertAlign w:val="superscript"/>
        </w:rPr>
        <w:footnoteRef/>
      </w:r>
      <w:r w:rsidRPr="00FA0083">
        <w:rPr>
          <w:sz w:val="20"/>
          <w:szCs w:val="20"/>
        </w:rPr>
        <w:t xml:space="preserve"> </w:t>
      </w:r>
      <w:r w:rsidRPr="00FA0083">
        <w:rPr>
          <w:sz w:val="20"/>
          <w:szCs w:val="20"/>
          <w:lang w:val="cs-CZ"/>
        </w:rPr>
        <w:t xml:space="preserve">CSA, </w:t>
      </w:r>
      <w:r w:rsidRPr="00FA0083">
        <w:rPr>
          <w:i/>
          <w:iCs/>
          <w:sz w:val="20"/>
          <w:szCs w:val="20"/>
          <w:lang w:val="cs-CZ"/>
        </w:rPr>
        <w:t>About Cybersecurity Labelling Scheme for IoT - CLS(IoT)</w:t>
      </w:r>
      <w:r w:rsidRPr="00FA0083">
        <w:rPr>
          <w:sz w:val="20"/>
          <w:szCs w:val="20"/>
          <w:lang w:val="cs-CZ"/>
        </w:rPr>
        <w:t xml:space="preserve">, </w:t>
      </w:r>
      <w:hyperlink r:id="rId206">
        <w:r w:rsidRPr="00FA0083">
          <w:rPr>
            <w:rStyle w:val="Hyperlink"/>
            <w:sz w:val="20"/>
            <w:szCs w:val="20"/>
            <w:lang w:val="cs-CZ"/>
          </w:rPr>
          <w:t>https://www.csa.gov.sg/our-programmes/certification-and-labelling-schemes/cybersecurity-labelling-scheme/about</w:t>
        </w:r>
      </w:hyperlink>
      <w:r w:rsidRPr="00FA0083">
        <w:rPr>
          <w:sz w:val="20"/>
          <w:szCs w:val="20"/>
          <w:lang w:val="cs-CZ"/>
        </w:rPr>
        <w:t>.</w:t>
      </w:r>
    </w:p>
  </w:footnote>
  <w:footnote w:id="335">
    <w:p w14:paraId="54381A49" w14:textId="77777777" w:rsidR="00EE3DF9" w:rsidRPr="00FA0083" w:rsidRDefault="00EE3DF9" w:rsidP="00EE3DF9">
      <w:pPr>
        <w:spacing w:after="0"/>
        <w:rPr>
          <w:sz w:val="20"/>
          <w:szCs w:val="20"/>
        </w:rPr>
      </w:pPr>
      <w:r w:rsidRPr="00FA0083">
        <w:rPr>
          <w:sz w:val="20"/>
          <w:szCs w:val="20"/>
          <w:vertAlign w:val="superscript"/>
        </w:rPr>
        <w:footnoteRef/>
      </w:r>
      <w:r w:rsidRPr="00FA0083">
        <w:rPr>
          <w:sz w:val="20"/>
          <w:szCs w:val="20"/>
        </w:rPr>
        <w:t xml:space="preserve"> GOV.UK, </w:t>
      </w:r>
      <w:r w:rsidRPr="00FA0083">
        <w:rPr>
          <w:i/>
          <w:iCs/>
          <w:sz w:val="20"/>
          <w:szCs w:val="20"/>
        </w:rPr>
        <w:t>The UK Product Security and Telecommunications Infrastructure (Product Security) regime</w:t>
      </w:r>
      <w:r w:rsidRPr="00FA0083">
        <w:rPr>
          <w:sz w:val="20"/>
          <w:szCs w:val="20"/>
        </w:rPr>
        <w:t xml:space="preserve">, </w:t>
      </w:r>
      <w:hyperlink r:id="rId207">
        <w:r w:rsidRPr="00FA0083">
          <w:rPr>
            <w:rStyle w:val="Hyperlink"/>
            <w:sz w:val="20"/>
            <w:szCs w:val="20"/>
          </w:rPr>
          <w:t>https://www.gov.uk/government/publications/the-uk-product-security-and-telecommunications-infrastructure-product-security-regime</w:t>
        </w:r>
      </w:hyperlink>
      <w:r w:rsidRPr="00FA0083">
        <w:rPr>
          <w:sz w:val="20"/>
          <w:szCs w:val="20"/>
        </w:rPr>
        <w:t>.</w:t>
      </w:r>
    </w:p>
  </w:footnote>
  <w:footnote w:id="336">
    <w:p w14:paraId="07554760" w14:textId="77777777" w:rsidR="00EE3DF9" w:rsidRPr="00FA0083" w:rsidRDefault="00EE3DF9" w:rsidP="00EE3DF9">
      <w:pPr>
        <w:spacing w:after="0"/>
        <w:rPr>
          <w:sz w:val="20"/>
          <w:szCs w:val="20"/>
          <w:lang w:val="en-IE"/>
        </w:rPr>
      </w:pPr>
      <w:r w:rsidRPr="00FA0083">
        <w:rPr>
          <w:sz w:val="20"/>
          <w:szCs w:val="20"/>
          <w:vertAlign w:val="superscript"/>
        </w:rPr>
        <w:footnoteRef/>
      </w:r>
      <w:r w:rsidRPr="00FA0083">
        <w:rPr>
          <w:sz w:val="20"/>
          <w:szCs w:val="20"/>
        </w:rPr>
        <w:t xml:space="preserve"> Counter Ransomware Initiative (CRI), </w:t>
      </w:r>
      <w:r w:rsidRPr="00FA0083">
        <w:rPr>
          <w:i/>
          <w:iCs/>
          <w:sz w:val="20"/>
          <w:szCs w:val="20"/>
        </w:rPr>
        <w:t>About Us</w:t>
      </w:r>
      <w:r w:rsidRPr="00FA0083">
        <w:rPr>
          <w:sz w:val="20"/>
          <w:szCs w:val="20"/>
        </w:rPr>
        <w:t xml:space="preserve">, </w:t>
      </w:r>
      <w:hyperlink r:id="rId208">
        <w:r w:rsidRPr="00FA0083">
          <w:rPr>
            <w:rStyle w:val="Hyperlink"/>
            <w:sz w:val="20"/>
            <w:szCs w:val="20"/>
          </w:rPr>
          <w:t>https://counter-ransomware.org/aboutus</w:t>
        </w:r>
      </w:hyperlink>
      <w:r w:rsidRPr="00FA0083">
        <w:rPr>
          <w:sz w:val="20"/>
          <w:szCs w:val="20"/>
        </w:rPr>
        <w:t>.</w:t>
      </w:r>
    </w:p>
  </w:footnote>
  <w:footnote w:id="337">
    <w:p w14:paraId="6D9FF415" w14:textId="6470A0DF" w:rsidR="00EE3DF9" w:rsidRPr="00FA0083" w:rsidRDefault="00EE3DF9" w:rsidP="00EE3DF9">
      <w:pPr>
        <w:spacing w:after="0"/>
        <w:rPr>
          <w:sz w:val="20"/>
          <w:szCs w:val="20"/>
          <w:lang w:val="en-IE"/>
        </w:rPr>
      </w:pPr>
      <w:r w:rsidRPr="00FA0083">
        <w:rPr>
          <w:sz w:val="20"/>
          <w:szCs w:val="20"/>
          <w:vertAlign w:val="superscript"/>
        </w:rPr>
        <w:footnoteRef/>
      </w:r>
      <w:r w:rsidRPr="00FA0083">
        <w:rPr>
          <w:sz w:val="20"/>
          <w:szCs w:val="20"/>
        </w:rPr>
        <w:t xml:space="preserve"> GOV.UK, </w:t>
      </w:r>
      <w:r w:rsidRPr="00FA0083">
        <w:rPr>
          <w:i/>
          <w:iCs/>
          <w:sz w:val="20"/>
          <w:szCs w:val="20"/>
        </w:rPr>
        <w:t>Ransomware legislative proposals: reducing payments to cyber criminals and increasing incident reporting</w:t>
      </w:r>
      <w:r w:rsidRPr="00FA0083">
        <w:rPr>
          <w:sz w:val="20"/>
          <w:szCs w:val="20"/>
        </w:rPr>
        <w:t xml:space="preserve">,  </w:t>
      </w:r>
      <w:hyperlink r:id="rId209" w:anchor="proposal-3-a-ransomware-incident-reporting-regime">
        <w:r w:rsidRPr="00FA0083">
          <w:rPr>
            <w:rStyle w:val="Hyperlink"/>
            <w:sz w:val="20"/>
            <w:szCs w:val="20"/>
          </w:rPr>
          <w:t>https://www.gov.uk/government/consultations/ransomware-proposals-to-increase-incident-reporting-and-reduce-payments-to-criminals/ransomware-legislative-proposals-reducing-payments-to-cyber-criminals-and-increasing-incident-reporting-accessible#proposal-3-a-ransomware-incident-reporting-regime</w:t>
        </w:r>
      </w:hyperlink>
      <w:r w:rsidRPr="00FA0083">
        <w:rPr>
          <w:sz w:val="20"/>
          <w:szCs w:val="20"/>
        </w:rPr>
        <w:t>.</w:t>
      </w:r>
    </w:p>
  </w:footnote>
  <w:footnote w:id="338">
    <w:p w14:paraId="2C63AB0A" w14:textId="77777777" w:rsidR="00EE3DF9" w:rsidRPr="00FA0083" w:rsidRDefault="00EE3DF9" w:rsidP="00EE3DF9">
      <w:pPr>
        <w:spacing w:after="0"/>
        <w:rPr>
          <w:sz w:val="20"/>
          <w:szCs w:val="20"/>
        </w:rPr>
      </w:pPr>
      <w:r w:rsidRPr="00FA0083">
        <w:rPr>
          <w:sz w:val="20"/>
          <w:szCs w:val="20"/>
          <w:vertAlign w:val="superscript"/>
        </w:rPr>
        <w:footnoteRef/>
      </w:r>
      <w:r w:rsidRPr="00FA0083">
        <w:rPr>
          <w:sz w:val="20"/>
          <w:szCs w:val="20"/>
        </w:rPr>
        <w:t xml:space="preserve"> Australian Department of Home Affairs, </w:t>
      </w:r>
      <w:r w:rsidRPr="00FA0083">
        <w:rPr>
          <w:i/>
          <w:iCs/>
          <w:sz w:val="20"/>
          <w:szCs w:val="20"/>
        </w:rPr>
        <w:t>Mandatory ransomware and cyber extortion payment reporting is active from 30 May 2025,</w:t>
      </w:r>
      <w:r w:rsidRPr="00FA0083">
        <w:rPr>
          <w:sz w:val="20"/>
          <w:szCs w:val="20"/>
        </w:rPr>
        <w:t xml:space="preserve"> </w:t>
      </w:r>
      <w:hyperlink r:id="rId210">
        <w:r w:rsidRPr="00FA0083">
          <w:rPr>
            <w:rStyle w:val="Hyperlink"/>
            <w:sz w:val="20"/>
            <w:szCs w:val="20"/>
          </w:rPr>
          <w:t>https://www.homeaffairs.gov.au/cyber-security-subsite/files/factsheet-ransomware-payment-reporting.pdf</w:t>
        </w:r>
      </w:hyperlink>
      <w:r w:rsidRPr="00FA0083">
        <w:rPr>
          <w:sz w:val="20"/>
          <w:szCs w:val="20"/>
        </w:rPr>
        <w:t>.</w:t>
      </w:r>
    </w:p>
  </w:footnote>
  <w:footnote w:id="339">
    <w:p w14:paraId="55CA2887" w14:textId="77777777" w:rsidR="00F0485A" w:rsidRPr="00FA0083" w:rsidRDefault="00F0485A" w:rsidP="00F0485A">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color w:val="000000" w:themeColor="text1"/>
          <w:sz w:val="20"/>
          <w:szCs w:val="20"/>
        </w:rPr>
        <w:t xml:space="preserve">The Secure Equipment Act (2021) requires the US Federal Communications Commission (FCC) to issue rules stating that it will no longer review or approve any authorization application for equipment that poses an unacceptable risk to national security.   </w:t>
      </w:r>
    </w:p>
  </w:footnote>
  <w:footnote w:id="340">
    <w:p w14:paraId="4781AB58" w14:textId="77777777" w:rsidR="00F0485A" w:rsidRPr="00FA0083" w:rsidRDefault="00F0485A" w:rsidP="00F0485A">
      <w:pPr>
        <w:spacing w:after="0"/>
        <w:rPr>
          <w:sz w:val="20"/>
          <w:szCs w:val="20"/>
        </w:rPr>
      </w:pPr>
      <w:r w:rsidRPr="00FA0083">
        <w:rPr>
          <w:sz w:val="20"/>
          <w:szCs w:val="20"/>
          <w:vertAlign w:val="superscript"/>
        </w:rPr>
        <w:footnoteRef/>
      </w:r>
      <w:r w:rsidRPr="00FA0083">
        <w:rPr>
          <w:sz w:val="20"/>
          <w:szCs w:val="20"/>
        </w:rPr>
        <w:t xml:space="preserve"> </w:t>
      </w:r>
      <w:r w:rsidRPr="00FA0083">
        <w:rPr>
          <w:color w:val="000000" w:themeColor="text1"/>
          <w:sz w:val="20"/>
          <w:szCs w:val="20"/>
        </w:rPr>
        <w:t>The Telecommunications (Security) Act (2021) Act gives the government powers to control the presence of high-risk vendors in UK public telecoms networks where necessary in the interests of national security.</w:t>
      </w:r>
    </w:p>
  </w:footnote>
  <w:footnote w:id="341">
    <w:p w14:paraId="549722D0" w14:textId="77777777" w:rsidR="00F0485A" w:rsidRPr="00FA0083" w:rsidRDefault="00F0485A" w:rsidP="00F0485A">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color w:val="000000" w:themeColor="text1"/>
          <w:sz w:val="20"/>
          <w:szCs w:val="20"/>
        </w:rPr>
        <w:t>The Security Legislation Amendment (Critical Infrastructure) Bill 2020 allows the government to take measures regarding entities that are likely subject to extrajudicial directions from a foreign government that conflict with Australian law.</w:t>
      </w:r>
    </w:p>
  </w:footnote>
  <w:footnote w:id="342">
    <w:p w14:paraId="451F6938" w14:textId="77777777" w:rsidR="00F0485A" w:rsidRPr="00FA0083" w:rsidRDefault="00F0485A" w:rsidP="00F0485A">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color w:val="000000" w:themeColor="text1"/>
          <w:sz w:val="20"/>
          <w:szCs w:val="20"/>
        </w:rPr>
        <w:t>The proposed law on cybersecurity would allow the government to take measures to safeguard the security of telecommunications infrastructure, including measures related to high-risk suppliers.</w:t>
      </w:r>
    </w:p>
  </w:footnote>
  <w:footnote w:id="343">
    <w:p w14:paraId="61145325" w14:textId="77777777" w:rsidR="00F0485A" w:rsidRPr="00FA0083" w:rsidRDefault="00F0485A" w:rsidP="00F0485A">
      <w:pPr>
        <w:spacing w:after="0"/>
        <w:rPr>
          <w:sz w:val="20"/>
          <w:szCs w:val="20"/>
          <w:lang w:val="en-IE"/>
        </w:rPr>
      </w:pPr>
      <w:r w:rsidRPr="00FA0083">
        <w:rPr>
          <w:sz w:val="20"/>
          <w:szCs w:val="20"/>
          <w:vertAlign w:val="superscript"/>
        </w:rPr>
        <w:footnoteRef/>
      </w:r>
      <w:r w:rsidRPr="00FA0083">
        <w:rPr>
          <w:sz w:val="20"/>
          <w:szCs w:val="20"/>
        </w:rPr>
        <w:t xml:space="preserve"> </w:t>
      </w:r>
      <w:r w:rsidRPr="00FA0083">
        <w:rPr>
          <w:color w:val="000000" w:themeColor="text1"/>
          <w:sz w:val="20"/>
          <w:szCs w:val="20"/>
        </w:rPr>
        <w:t>U.S. Commerce Department final rule implementing Executive Order 13873, effective March 17, 2025, aims to prevent unauthorized access to U.S. vehicle data by entities under the jurisdiction of these foreign governments. This rule bans vehicles with connected vehicle systems (VCS) or automated driving systems (ADS) software and hardware linked to China or Russia.</w:t>
      </w:r>
    </w:p>
  </w:footnote>
  <w:footnote w:id="344">
    <w:p w14:paraId="63C6AF6C" w14:textId="77777777" w:rsidR="00F0485A" w:rsidRPr="00FA0083" w:rsidRDefault="00F0485A" w:rsidP="00F0485A">
      <w:pPr>
        <w:spacing w:after="0"/>
        <w:rPr>
          <w:sz w:val="20"/>
          <w:szCs w:val="20"/>
          <w:lang w:val="en-IE"/>
        </w:rPr>
      </w:pPr>
      <w:r w:rsidRPr="00FA0083">
        <w:rPr>
          <w:sz w:val="20"/>
          <w:szCs w:val="20"/>
          <w:vertAlign w:val="superscript"/>
        </w:rPr>
        <w:footnoteRef/>
      </w:r>
      <w:r w:rsidRPr="00FA0083">
        <w:rPr>
          <w:sz w:val="20"/>
          <w:szCs w:val="20"/>
        </w:rPr>
        <w:t xml:space="preserve"> G7 Cybersecurity Working Group Statement on IoT Security (2025), </w:t>
      </w:r>
      <w:hyperlink r:id="rId211">
        <w:r w:rsidRPr="00FA0083">
          <w:rPr>
            <w:rStyle w:val="Hyperlink"/>
            <w:sz w:val="20"/>
            <w:szCs w:val="20"/>
          </w:rPr>
          <w:t>https://www.nisc.go.jp/pdf/press/G7_Statement_on_IoT_Security.pdf</w:t>
        </w:r>
      </w:hyperlink>
      <w:r w:rsidRPr="00FA0083">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DB8DA" w14:textId="77777777" w:rsidR="00047E0F" w:rsidRPr="00047E0F" w:rsidRDefault="00047E0F" w:rsidP="00047E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7C553" w14:textId="77777777" w:rsidR="00047E0F" w:rsidRPr="00047E0F" w:rsidRDefault="00047E0F" w:rsidP="00047E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77948" w14:textId="77777777" w:rsidR="00047E0F" w:rsidRPr="00047E0F" w:rsidRDefault="00047E0F" w:rsidP="00047E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4ACC" w14:textId="77777777" w:rsidR="00E26B97" w:rsidRDefault="00E26B97"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733A7" w14:textId="77777777" w:rsidR="00E26B97" w:rsidRDefault="00E26B97"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0E6F5" w14:textId="77777777" w:rsidR="00E26B97" w:rsidRDefault="00E26B97"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C0BD5" w14:textId="77777777" w:rsidR="00E26B97" w:rsidRDefault="00E26B97"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B75A" w14:textId="77777777" w:rsidR="00EE3DF9" w:rsidRDefault="00EE3DF9"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0627E" w14:textId="77777777" w:rsidR="00EE3DF9" w:rsidRDefault="00EE3DF9"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0AE52" w14:textId="77777777" w:rsidR="00EE3DF9" w:rsidRDefault="00EE3DF9"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8375B" w14:textId="77777777" w:rsidR="00E26B97" w:rsidRDefault="00E26B97"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F1D7A" w14:textId="77777777" w:rsidR="00E26B97" w:rsidRDefault="00E26B97"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7C8A1" w14:textId="77777777" w:rsidR="00E26B97" w:rsidRDefault="00E26B97"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0124C" w14:textId="77777777" w:rsidR="00E26B97" w:rsidRDefault="00E26B97"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D4225" w14:textId="77777777" w:rsidR="00E26B97" w:rsidRDefault="00E26B97" w:rsidP="000E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0421" w14:textId="77777777" w:rsidR="00E26B97" w:rsidRDefault="00E26B97" w:rsidP="000E30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AC8D9" w14:textId="77777777" w:rsidR="0087606E" w:rsidRDefault="0087606E" w:rsidP="000E308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78C3F" w14:textId="77777777" w:rsidR="0087606E" w:rsidRDefault="0087606E" w:rsidP="000E30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52AC0" w14:textId="77777777" w:rsidR="00E26B97" w:rsidRDefault="00E26B97" w:rsidP="000E30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8798" w14:textId="77777777" w:rsidR="00E26B97" w:rsidRDefault="00E26B97" w:rsidP="000E308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82E01" w14:textId="77777777" w:rsidR="00E26B97" w:rsidRDefault="00E26B97" w:rsidP="000E30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30125" w14:textId="77777777" w:rsidR="00E26B97" w:rsidRDefault="00E26B97" w:rsidP="000E308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64440" w14:textId="77777777" w:rsidR="00E26B97" w:rsidRDefault="00E26B97" w:rsidP="000E308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98668" w14:textId="77777777" w:rsidR="00E26B97" w:rsidRDefault="00E26B97" w:rsidP="000E308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ADADE" w14:textId="77777777" w:rsidR="00E26B97" w:rsidRDefault="00E26B97" w:rsidP="000E308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C9AB6" w14:textId="77777777" w:rsidR="00D52AD8" w:rsidRDefault="00D52AD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80EC4" w14:textId="77777777" w:rsidR="00D52AD8" w:rsidRDefault="00D52AD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57CB3" w14:textId="77777777" w:rsidR="00D52AD8" w:rsidRDefault="00D52AD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5C4C2" w14:textId="77777777" w:rsidR="00D52AD8" w:rsidRDefault="00D52AD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848B" w14:textId="77777777" w:rsidR="00D52AD8" w:rsidRDefault="00D52AD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CF06" w14:textId="77777777" w:rsidR="00D52AD8" w:rsidRDefault="00D52AD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B09E0" w14:textId="77777777" w:rsidR="00D52AD8" w:rsidRDefault="00D52AD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E9E58" w14:textId="77777777" w:rsidR="00D52AD8" w:rsidRDefault="00D52AD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6094A" w14:textId="77777777" w:rsidR="00D52AD8" w:rsidRDefault="00D52AD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25199" w14:textId="77777777" w:rsidR="00B202FC" w:rsidRPr="00A12133" w:rsidRDefault="00B202FC">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F916A" w14:textId="77777777" w:rsidR="00B202FC" w:rsidRPr="00A12133" w:rsidRDefault="00B202F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F4BB9" w14:textId="77777777" w:rsidR="00D52AD8" w:rsidRDefault="00D52AD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FBB6C" w14:textId="77777777" w:rsidR="00D52AD8" w:rsidRDefault="00D52AD8">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0BC18" w14:textId="77777777" w:rsidR="00E26B97" w:rsidRDefault="00E26B9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61A87" w14:textId="77777777" w:rsidR="00EE3DF9" w:rsidRDefault="00EE3DF9" w:rsidP="000E3086">
    <w:pPr>
      <w:pStyle w:val="Header"/>
    </w:pPr>
  </w:p>
  <w:p w14:paraId="6264719A" w14:textId="77777777" w:rsidR="00EE3DF9" w:rsidRDefault="00EE3DF9"/>
  <w:p w14:paraId="42670281" w14:textId="77777777" w:rsidR="00EE3DF9" w:rsidRDefault="00EE3DF9"/>
  <w:p w14:paraId="04D7D560" w14:textId="77777777" w:rsidR="00EE3DF9" w:rsidRDefault="00EE3DF9"/>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C6E6A" w14:textId="77777777" w:rsidR="00EE3DF9" w:rsidRPr="00EB2923" w:rsidRDefault="00EE3DF9">
    <w:pPr>
      <w:rPr>
        <w:lang w:val="cs-CZ"/>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51D83" w14:textId="77777777" w:rsidR="00EE3DF9" w:rsidRPr="00EB2923" w:rsidRDefault="00EE3DF9">
    <w:pPr>
      <w:rPr>
        <w:lang w:val="cs-CZ"/>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17E7E" w14:textId="77777777" w:rsidR="00E26B97" w:rsidRPr="00EB2923" w:rsidRDefault="00E26B97">
    <w:pPr>
      <w:rPr>
        <w:lang w:val="cs-CZ"/>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35799" w14:textId="77777777" w:rsidR="00E26B97" w:rsidRPr="00EB2923" w:rsidRDefault="00E26B97">
    <w:pPr>
      <w:rPr>
        <w:lang w:val="cs-CZ"/>
      </w:rP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C504F" w14:textId="77777777" w:rsidR="00EE3DF9" w:rsidRDefault="00EE3DF9" w:rsidP="000E308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21CA0" w14:textId="77777777" w:rsidR="00EE3DF9" w:rsidRDefault="00EE3DF9" w:rsidP="000E308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B720" w14:textId="77777777" w:rsidR="00EE3DF9" w:rsidRDefault="00EE3DF9" w:rsidP="000E308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9CCA1" w14:textId="77777777" w:rsidR="00E26B97" w:rsidRDefault="00E26B97" w:rsidP="000E308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F6EC2" w14:textId="77777777" w:rsidR="00E26B97" w:rsidRDefault="00E26B97" w:rsidP="000E308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4FA65" w14:textId="77777777" w:rsidR="00EE3DF9" w:rsidRDefault="00EE3DF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18048" w14:textId="77777777" w:rsidR="00EE3DF9" w:rsidRDefault="00EE3DF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AC513" w14:textId="77777777" w:rsidR="00EE3DF9" w:rsidRDefault="00EE3DF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B520A" w14:textId="77777777" w:rsidR="00E26B97" w:rsidRDefault="00E26B97">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466B" w14:textId="77777777" w:rsidR="00E26B97" w:rsidRDefault="00E26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5400B84"/>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DD86125E"/>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9DBEF672"/>
    <w:lvl w:ilvl="0">
      <w:start w:val="1"/>
      <w:numFmt w:val="decimal"/>
      <w:pStyle w:val="ListNumber"/>
      <w:lvlText w:val="%1."/>
      <w:lvlJc w:val="left"/>
      <w:pPr>
        <w:tabs>
          <w:tab w:val="num" w:pos="360"/>
        </w:tabs>
        <w:ind w:left="360" w:hanging="360"/>
      </w:pPr>
    </w:lvl>
  </w:abstractNum>
  <w:abstractNum w:abstractNumId="3" w15:restartNumberingAfterBreak="0">
    <w:nsid w:val="000455C2"/>
    <w:multiLevelType w:val="hybridMultilevel"/>
    <w:tmpl w:val="7DA22C50"/>
    <w:lvl w:ilvl="0" w:tplc="66D6A268">
      <w:start w:val="1"/>
      <w:numFmt w:val="bullet"/>
      <w:lvlText w:val=""/>
      <w:lvlJc w:val="left"/>
      <w:pPr>
        <w:ind w:left="720" w:hanging="360"/>
      </w:pPr>
      <w:rPr>
        <w:rFonts w:ascii="Symbol" w:hAnsi="Symbol" w:hint="default"/>
      </w:rPr>
    </w:lvl>
    <w:lvl w:ilvl="1" w:tplc="F292581A">
      <w:start w:val="1"/>
      <w:numFmt w:val="bullet"/>
      <w:lvlText w:val="o"/>
      <w:lvlJc w:val="left"/>
      <w:pPr>
        <w:ind w:left="1440" w:hanging="360"/>
      </w:pPr>
      <w:rPr>
        <w:rFonts w:ascii="Courier New" w:hAnsi="Courier New" w:hint="default"/>
      </w:rPr>
    </w:lvl>
    <w:lvl w:ilvl="2" w:tplc="597A0BE6" w:tentative="1">
      <w:start w:val="1"/>
      <w:numFmt w:val="bullet"/>
      <w:lvlText w:val=""/>
      <w:lvlJc w:val="left"/>
      <w:pPr>
        <w:ind w:left="2160" w:hanging="360"/>
      </w:pPr>
      <w:rPr>
        <w:rFonts w:ascii="Wingdings" w:hAnsi="Wingdings" w:hint="default"/>
      </w:rPr>
    </w:lvl>
    <w:lvl w:ilvl="3" w:tplc="BCA20EA2" w:tentative="1">
      <w:start w:val="1"/>
      <w:numFmt w:val="bullet"/>
      <w:lvlText w:val=""/>
      <w:lvlJc w:val="left"/>
      <w:pPr>
        <w:ind w:left="2880" w:hanging="360"/>
      </w:pPr>
      <w:rPr>
        <w:rFonts w:ascii="Symbol" w:hAnsi="Symbol" w:hint="default"/>
      </w:rPr>
    </w:lvl>
    <w:lvl w:ilvl="4" w:tplc="B07ADB76" w:tentative="1">
      <w:start w:val="1"/>
      <w:numFmt w:val="bullet"/>
      <w:lvlText w:val="o"/>
      <w:lvlJc w:val="left"/>
      <w:pPr>
        <w:ind w:left="3600" w:hanging="360"/>
      </w:pPr>
      <w:rPr>
        <w:rFonts w:ascii="Courier New" w:hAnsi="Courier New" w:hint="default"/>
      </w:rPr>
    </w:lvl>
    <w:lvl w:ilvl="5" w:tplc="DD58F42A" w:tentative="1">
      <w:start w:val="1"/>
      <w:numFmt w:val="bullet"/>
      <w:lvlText w:val=""/>
      <w:lvlJc w:val="left"/>
      <w:pPr>
        <w:ind w:left="4320" w:hanging="360"/>
      </w:pPr>
      <w:rPr>
        <w:rFonts w:ascii="Wingdings" w:hAnsi="Wingdings" w:hint="default"/>
      </w:rPr>
    </w:lvl>
    <w:lvl w:ilvl="6" w:tplc="8BB29070" w:tentative="1">
      <w:start w:val="1"/>
      <w:numFmt w:val="bullet"/>
      <w:lvlText w:val=""/>
      <w:lvlJc w:val="left"/>
      <w:pPr>
        <w:ind w:left="5040" w:hanging="360"/>
      </w:pPr>
      <w:rPr>
        <w:rFonts w:ascii="Symbol" w:hAnsi="Symbol" w:hint="default"/>
      </w:rPr>
    </w:lvl>
    <w:lvl w:ilvl="7" w:tplc="AEB8672E" w:tentative="1">
      <w:start w:val="1"/>
      <w:numFmt w:val="bullet"/>
      <w:lvlText w:val="o"/>
      <w:lvlJc w:val="left"/>
      <w:pPr>
        <w:ind w:left="5760" w:hanging="360"/>
      </w:pPr>
      <w:rPr>
        <w:rFonts w:ascii="Courier New" w:hAnsi="Courier New" w:hint="default"/>
      </w:rPr>
    </w:lvl>
    <w:lvl w:ilvl="8" w:tplc="F0F0E180" w:tentative="1">
      <w:start w:val="1"/>
      <w:numFmt w:val="bullet"/>
      <w:lvlText w:val=""/>
      <w:lvlJc w:val="left"/>
      <w:pPr>
        <w:ind w:left="6480" w:hanging="360"/>
      </w:pPr>
      <w:rPr>
        <w:rFonts w:ascii="Wingdings" w:hAnsi="Wingdings" w:hint="default"/>
      </w:rPr>
    </w:lvl>
  </w:abstractNum>
  <w:abstractNum w:abstractNumId="4" w15:restartNumberingAfterBreak="0">
    <w:nsid w:val="00DF082A"/>
    <w:multiLevelType w:val="hybridMultilevel"/>
    <w:tmpl w:val="A1A24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0473EB"/>
    <w:multiLevelType w:val="multilevel"/>
    <w:tmpl w:val="C0BA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634DA0"/>
    <w:multiLevelType w:val="hybridMultilevel"/>
    <w:tmpl w:val="9578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614FED"/>
    <w:multiLevelType w:val="hybridMultilevel"/>
    <w:tmpl w:val="FFFFFFFF"/>
    <w:lvl w:ilvl="0" w:tplc="640A6F68">
      <w:start w:val="1"/>
      <w:numFmt w:val="bullet"/>
      <w:lvlText w:val=""/>
      <w:lvlJc w:val="left"/>
      <w:pPr>
        <w:ind w:left="720" w:hanging="360"/>
      </w:pPr>
      <w:rPr>
        <w:rFonts w:ascii="Symbol" w:hAnsi="Symbol" w:hint="default"/>
      </w:rPr>
    </w:lvl>
    <w:lvl w:ilvl="1" w:tplc="7E7266AC">
      <w:start w:val="1"/>
      <w:numFmt w:val="bullet"/>
      <w:lvlText w:val="o"/>
      <w:lvlJc w:val="left"/>
      <w:pPr>
        <w:ind w:left="1440" w:hanging="360"/>
      </w:pPr>
      <w:rPr>
        <w:rFonts w:ascii="Courier New" w:hAnsi="Courier New" w:hint="default"/>
      </w:rPr>
    </w:lvl>
    <w:lvl w:ilvl="2" w:tplc="401839CC">
      <w:start w:val="1"/>
      <w:numFmt w:val="bullet"/>
      <w:lvlText w:val=""/>
      <w:lvlJc w:val="left"/>
      <w:pPr>
        <w:ind w:left="2160" w:hanging="360"/>
      </w:pPr>
      <w:rPr>
        <w:rFonts w:ascii="Wingdings" w:hAnsi="Wingdings" w:hint="default"/>
      </w:rPr>
    </w:lvl>
    <w:lvl w:ilvl="3" w:tplc="9E20D4D2">
      <w:start w:val="1"/>
      <w:numFmt w:val="bullet"/>
      <w:lvlText w:val=""/>
      <w:lvlJc w:val="left"/>
      <w:pPr>
        <w:ind w:left="2880" w:hanging="360"/>
      </w:pPr>
      <w:rPr>
        <w:rFonts w:ascii="Symbol" w:hAnsi="Symbol" w:hint="default"/>
      </w:rPr>
    </w:lvl>
    <w:lvl w:ilvl="4" w:tplc="1EFAAF6C">
      <w:start w:val="1"/>
      <w:numFmt w:val="bullet"/>
      <w:lvlText w:val="o"/>
      <w:lvlJc w:val="left"/>
      <w:pPr>
        <w:ind w:left="3600" w:hanging="360"/>
      </w:pPr>
      <w:rPr>
        <w:rFonts w:ascii="Courier New" w:hAnsi="Courier New" w:hint="default"/>
      </w:rPr>
    </w:lvl>
    <w:lvl w:ilvl="5" w:tplc="441C7A6C">
      <w:start w:val="1"/>
      <w:numFmt w:val="bullet"/>
      <w:lvlText w:val=""/>
      <w:lvlJc w:val="left"/>
      <w:pPr>
        <w:ind w:left="4320" w:hanging="360"/>
      </w:pPr>
      <w:rPr>
        <w:rFonts w:ascii="Wingdings" w:hAnsi="Wingdings" w:hint="default"/>
      </w:rPr>
    </w:lvl>
    <w:lvl w:ilvl="6" w:tplc="25E89DB2">
      <w:start w:val="1"/>
      <w:numFmt w:val="bullet"/>
      <w:lvlText w:val=""/>
      <w:lvlJc w:val="left"/>
      <w:pPr>
        <w:ind w:left="5040" w:hanging="360"/>
      </w:pPr>
      <w:rPr>
        <w:rFonts w:ascii="Symbol" w:hAnsi="Symbol" w:hint="default"/>
      </w:rPr>
    </w:lvl>
    <w:lvl w:ilvl="7" w:tplc="66122C78">
      <w:start w:val="1"/>
      <w:numFmt w:val="bullet"/>
      <w:lvlText w:val="o"/>
      <w:lvlJc w:val="left"/>
      <w:pPr>
        <w:ind w:left="5760" w:hanging="360"/>
      </w:pPr>
      <w:rPr>
        <w:rFonts w:ascii="Courier New" w:hAnsi="Courier New" w:hint="default"/>
      </w:rPr>
    </w:lvl>
    <w:lvl w:ilvl="8" w:tplc="6C9E7316">
      <w:start w:val="1"/>
      <w:numFmt w:val="bullet"/>
      <w:lvlText w:val=""/>
      <w:lvlJc w:val="left"/>
      <w:pPr>
        <w:ind w:left="6480" w:hanging="360"/>
      </w:pPr>
      <w:rPr>
        <w:rFonts w:ascii="Wingdings" w:hAnsi="Wingdings" w:hint="default"/>
      </w:rPr>
    </w:lvl>
  </w:abstractNum>
  <w:abstractNum w:abstractNumId="8" w15:restartNumberingAfterBreak="0">
    <w:nsid w:val="04377138"/>
    <w:multiLevelType w:val="hybridMultilevel"/>
    <w:tmpl w:val="CAEC3FA2"/>
    <w:lvl w:ilvl="0" w:tplc="44CA4E00">
      <w:numFmt w:val="bullet"/>
      <w:lvlText w:val=""/>
      <w:lvlJc w:val="left"/>
      <w:pPr>
        <w:ind w:left="720" w:hanging="360"/>
      </w:pPr>
      <w:rPr>
        <w:rFonts w:ascii="Symbol" w:eastAsia="Aptos"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48347E0"/>
    <w:multiLevelType w:val="hybridMultilevel"/>
    <w:tmpl w:val="7E9EDD1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5B06241"/>
    <w:multiLevelType w:val="multilevel"/>
    <w:tmpl w:val="664E4DAA"/>
    <w:lvl w:ilvl="0">
      <w:start w:val="7"/>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07707F66"/>
    <w:multiLevelType w:val="hybridMultilevel"/>
    <w:tmpl w:val="C6A09DDE"/>
    <w:lvl w:ilvl="0" w:tplc="0248E48A">
      <w:numFmt w:val="bullet"/>
      <w:lvlText w:val="-"/>
      <w:lvlJc w:val="left"/>
      <w:pPr>
        <w:ind w:left="720" w:hanging="360"/>
      </w:pPr>
      <w:rPr>
        <w:rFonts w:ascii="Calibri" w:eastAsiaTheme="minorHAnsi" w:hAnsi="Calibri" w:cs="Calibri"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334FBE"/>
    <w:multiLevelType w:val="multilevel"/>
    <w:tmpl w:val="F478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92910D6"/>
    <w:multiLevelType w:val="hybridMultilevel"/>
    <w:tmpl w:val="0C9E58E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9911E10"/>
    <w:multiLevelType w:val="hybridMultilevel"/>
    <w:tmpl w:val="378E907E"/>
    <w:lvl w:ilvl="0" w:tplc="5AD2AD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A2900F7"/>
    <w:multiLevelType w:val="multilevel"/>
    <w:tmpl w:val="6FF8ED2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0AB62739"/>
    <w:multiLevelType w:val="hybridMultilevel"/>
    <w:tmpl w:val="BE2073B2"/>
    <w:lvl w:ilvl="0" w:tplc="B8B803FA">
      <w:start w:val="1"/>
      <w:numFmt w:val="bullet"/>
      <w:lvlText w:val=""/>
      <w:lvlJc w:val="left"/>
      <w:pPr>
        <w:ind w:left="720" w:hanging="360"/>
      </w:pPr>
      <w:rPr>
        <w:rFonts w:ascii="Symbol" w:hAnsi="Symbol" w:hint="default"/>
      </w:rPr>
    </w:lvl>
    <w:lvl w:ilvl="1" w:tplc="EC228B40" w:tentative="1">
      <w:start w:val="1"/>
      <w:numFmt w:val="bullet"/>
      <w:lvlText w:val="o"/>
      <w:lvlJc w:val="left"/>
      <w:pPr>
        <w:ind w:left="1440" w:hanging="360"/>
      </w:pPr>
      <w:rPr>
        <w:rFonts w:ascii="Courier New" w:hAnsi="Courier New" w:hint="default"/>
      </w:rPr>
    </w:lvl>
    <w:lvl w:ilvl="2" w:tplc="A40027DC" w:tentative="1">
      <w:start w:val="1"/>
      <w:numFmt w:val="bullet"/>
      <w:lvlText w:val=""/>
      <w:lvlJc w:val="left"/>
      <w:pPr>
        <w:ind w:left="2160" w:hanging="360"/>
      </w:pPr>
      <w:rPr>
        <w:rFonts w:ascii="Wingdings" w:hAnsi="Wingdings" w:hint="default"/>
      </w:rPr>
    </w:lvl>
    <w:lvl w:ilvl="3" w:tplc="AA82D210" w:tentative="1">
      <w:start w:val="1"/>
      <w:numFmt w:val="bullet"/>
      <w:lvlText w:val=""/>
      <w:lvlJc w:val="left"/>
      <w:pPr>
        <w:ind w:left="2880" w:hanging="360"/>
      </w:pPr>
      <w:rPr>
        <w:rFonts w:ascii="Symbol" w:hAnsi="Symbol" w:hint="default"/>
      </w:rPr>
    </w:lvl>
    <w:lvl w:ilvl="4" w:tplc="60B22700" w:tentative="1">
      <w:start w:val="1"/>
      <w:numFmt w:val="bullet"/>
      <w:lvlText w:val="o"/>
      <w:lvlJc w:val="left"/>
      <w:pPr>
        <w:ind w:left="3600" w:hanging="360"/>
      </w:pPr>
      <w:rPr>
        <w:rFonts w:ascii="Courier New" w:hAnsi="Courier New" w:hint="default"/>
      </w:rPr>
    </w:lvl>
    <w:lvl w:ilvl="5" w:tplc="90544EE8" w:tentative="1">
      <w:start w:val="1"/>
      <w:numFmt w:val="bullet"/>
      <w:lvlText w:val=""/>
      <w:lvlJc w:val="left"/>
      <w:pPr>
        <w:ind w:left="4320" w:hanging="360"/>
      </w:pPr>
      <w:rPr>
        <w:rFonts w:ascii="Wingdings" w:hAnsi="Wingdings" w:hint="default"/>
      </w:rPr>
    </w:lvl>
    <w:lvl w:ilvl="6" w:tplc="7DA21E92" w:tentative="1">
      <w:start w:val="1"/>
      <w:numFmt w:val="bullet"/>
      <w:lvlText w:val=""/>
      <w:lvlJc w:val="left"/>
      <w:pPr>
        <w:ind w:left="5040" w:hanging="360"/>
      </w:pPr>
      <w:rPr>
        <w:rFonts w:ascii="Symbol" w:hAnsi="Symbol" w:hint="default"/>
      </w:rPr>
    </w:lvl>
    <w:lvl w:ilvl="7" w:tplc="4036D5E6" w:tentative="1">
      <w:start w:val="1"/>
      <w:numFmt w:val="bullet"/>
      <w:lvlText w:val="o"/>
      <w:lvlJc w:val="left"/>
      <w:pPr>
        <w:ind w:left="5760" w:hanging="360"/>
      </w:pPr>
      <w:rPr>
        <w:rFonts w:ascii="Courier New" w:hAnsi="Courier New" w:hint="default"/>
      </w:rPr>
    </w:lvl>
    <w:lvl w:ilvl="8" w:tplc="870A2528" w:tentative="1">
      <w:start w:val="1"/>
      <w:numFmt w:val="bullet"/>
      <w:lvlText w:val=""/>
      <w:lvlJc w:val="left"/>
      <w:pPr>
        <w:ind w:left="6480" w:hanging="360"/>
      </w:pPr>
      <w:rPr>
        <w:rFonts w:ascii="Wingdings" w:hAnsi="Wingdings" w:hint="default"/>
      </w:rPr>
    </w:lvl>
  </w:abstractNum>
  <w:abstractNum w:abstractNumId="17" w15:restartNumberingAfterBreak="0">
    <w:nsid w:val="0B143F51"/>
    <w:multiLevelType w:val="multilevel"/>
    <w:tmpl w:val="ADF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B310C9B"/>
    <w:multiLevelType w:val="hybridMultilevel"/>
    <w:tmpl w:val="95404346"/>
    <w:lvl w:ilvl="0" w:tplc="6DCC86E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B607A27"/>
    <w:multiLevelType w:val="hybridMultilevel"/>
    <w:tmpl w:val="4BDCA6D6"/>
    <w:lvl w:ilvl="0" w:tplc="E89C5C40">
      <w:start w:val="1"/>
      <w:numFmt w:val="bullet"/>
      <w:lvlText w:val=""/>
      <w:lvlJc w:val="left"/>
      <w:pPr>
        <w:ind w:left="360" w:hanging="360"/>
      </w:pPr>
      <w:rPr>
        <w:rFonts w:ascii="Symbol" w:hAnsi="Symbol" w:hint="default"/>
      </w:rPr>
    </w:lvl>
    <w:lvl w:ilvl="1" w:tplc="5D7827F2">
      <w:start w:val="1"/>
      <w:numFmt w:val="bullet"/>
      <w:lvlText w:val="o"/>
      <w:lvlJc w:val="left"/>
      <w:pPr>
        <w:ind w:left="1080" w:hanging="360"/>
      </w:pPr>
      <w:rPr>
        <w:rFonts w:ascii="Courier New" w:hAnsi="Courier New" w:hint="default"/>
      </w:rPr>
    </w:lvl>
    <w:lvl w:ilvl="2" w:tplc="E3CEF44C">
      <w:start w:val="1"/>
      <w:numFmt w:val="bullet"/>
      <w:lvlText w:val=""/>
      <w:lvlJc w:val="left"/>
      <w:pPr>
        <w:ind w:left="1800" w:hanging="360"/>
      </w:pPr>
      <w:rPr>
        <w:rFonts w:ascii="Wingdings" w:hAnsi="Wingdings" w:hint="default"/>
      </w:rPr>
    </w:lvl>
    <w:lvl w:ilvl="3" w:tplc="BF6AFFE8">
      <w:start w:val="1"/>
      <w:numFmt w:val="bullet"/>
      <w:lvlText w:val=""/>
      <w:lvlJc w:val="left"/>
      <w:pPr>
        <w:ind w:left="2520" w:hanging="360"/>
      </w:pPr>
      <w:rPr>
        <w:rFonts w:ascii="Symbol" w:hAnsi="Symbol" w:hint="default"/>
      </w:rPr>
    </w:lvl>
    <w:lvl w:ilvl="4" w:tplc="1CF2B850">
      <w:start w:val="1"/>
      <w:numFmt w:val="bullet"/>
      <w:lvlText w:val="o"/>
      <w:lvlJc w:val="left"/>
      <w:pPr>
        <w:ind w:left="3240" w:hanging="360"/>
      </w:pPr>
      <w:rPr>
        <w:rFonts w:ascii="Courier New" w:hAnsi="Courier New" w:hint="default"/>
      </w:rPr>
    </w:lvl>
    <w:lvl w:ilvl="5" w:tplc="6CFED924">
      <w:start w:val="1"/>
      <w:numFmt w:val="bullet"/>
      <w:lvlText w:val=""/>
      <w:lvlJc w:val="left"/>
      <w:pPr>
        <w:ind w:left="3960" w:hanging="360"/>
      </w:pPr>
      <w:rPr>
        <w:rFonts w:ascii="Wingdings" w:hAnsi="Wingdings" w:hint="default"/>
      </w:rPr>
    </w:lvl>
    <w:lvl w:ilvl="6" w:tplc="D97AA70C">
      <w:start w:val="1"/>
      <w:numFmt w:val="bullet"/>
      <w:lvlText w:val=""/>
      <w:lvlJc w:val="left"/>
      <w:pPr>
        <w:ind w:left="4680" w:hanging="360"/>
      </w:pPr>
      <w:rPr>
        <w:rFonts w:ascii="Symbol" w:hAnsi="Symbol" w:hint="default"/>
      </w:rPr>
    </w:lvl>
    <w:lvl w:ilvl="7" w:tplc="050E2700">
      <w:start w:val="1"/>
      <w:numFmt w:val="bullet"/>
      <w:lvlText w:val="o"/>
      <w:lvlJc w:val="left"/>
      <w:pPr>
        <w:ind w:left="5400" w:hanging="360"/>
      </w:pPr>
      <w:rPr>
        <w:rFonts w:ascii="Courier New" w:hAnsi="Courier New" w:hint="default"/>
      </w:rPr>
    </w:lvl>
    <w:lvl w:ilvl="8" w:tplc="8F22987A">
      <w:start w:val="1"/>
      <w:numFmt w:val="bullet"/>
      <w:lvlText w:val=""/>
      <w:lvlJc w:val="left"/>
      <w:pPr>
        <w:ind w:left="6120" w:hanging="360"/>
      </w:pPr>
      <w:rPr>
        <w:rFonts w:ascii="Wingdings" w:hAnsi="Wingdings" w:hint="default"/>
      </w:rPr>
    </w:lvl>
  </w:abstractNum>
  <w:abstractNum w:abstractNumId="20" w15:restartNumberingAfterBreak="0">
    <w:nsid w:val="0B781DF4"/>
    <w:multiLevelType w:val="hybridMultilevel"/>
    <w:tmpl w:val="0F00DF02"/>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C5B342F"/>
    <w:multiLevelType w:val="hybridMultilevel"/>
    <w:tmpl w:val="27D0B3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D7026B9"/>
    <w:multiLevelType w:val="multilevel"/>
    <w:tmpl w:val="EFA6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995C3F"/>
    <w:multiLevelType w:val="multilevel"/>
    <w:tmpl w:val="5B72B9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CD18D9"/>
    <w:multiLevelType w:val="multilevel"/>
    <w:tmpl w:val="FF38B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E3E1E69"/>
    <w:multiLevelType w:val="hybridMultilevel"/>
    <w:tmpl w:val="A61ADBA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E660627"/>
    <w:multiLevelType w:val="hybridMultilevel"/>
    <w:tmpl w:val="BCF0B440"/>
    <w:lvl w:ilvl="0" w:tplc="240C31E8">
      <w:start w:val="1"/>
      <w:numFmt w:val="bullet"/>
      <w:lvlText w:val=""/>
      <w:lvlJc w:val="left"/>
      <w:pPr>
        <w:ind w:left="360" w:hanging="360"/>
      </w:pPr>
      <w:rPr>
        <w:rFonts w:ascii="Symbol" w:hAnsi="Symbol" w:hint="default"/>
      </w:rPr>
    </w:lvl>
    <w:lvl w:ilvl="1" w:tplc="F0B013AE" w:tentative="1">
      <w:start w:val="1"/>
      <w:numFmt w:val="bullet"/>
      <w:lvlText w:val="o"/>
      <w:lvlJc w:val="left"/>
      <w:pPr>
        <w:ind w:left="1080" w:hanging="360"/>
      </w:pPr>
      <w:rPr>
        <w:rFonts w:ascii="Courier New" w:hAnsi="Courier New" w:hint="default"/>
      </w:rPr>
    </w:lvl>
    <w:lvl w:ilvl="2" w:tplc="75AA5FC6" w:tentative="1">
      <w:start w:val="1"/>
      <w:numFmt w:val="bullet"/>
      <w:lvlText w:val=""/>
      <w:lvlJc w:val="left"/>
      <w:pPr>
        <w:ind w:left="1800" w:hanging="360"/>
      </w:pPr>
      <w:rPr>
        <w:rFonts w:ascii="Wingdings" w:hAnsi="Wingdings" w:hint="default"/>
      </w:rPr>
    </w:lvl>
    <w:lvl w:ilvl="3" w:tplc="A9D84D08" w:tentative="1">
      <w:start w:val="1"/>
      <w:numFmt w:val="bullet"/>
      <w:lvlText w:val=""/>
      <w:lvlJc w:val="left"/>
      <w:pPr>
        <w:ind w:left="2520" w:hanging="360"/>
      </w:pPr>
      <w:rPr>
        <w:rFonts w:ascii="Symbol" w:hAnsi="Symbol" w:hint="default"/>
      </w:rPr>
    </w:lvl>
    <w:lvl w:ilvl="4" w:tplc="A878B408" w:tentative="1">
      <w:start w:val="1"/>
      <w:numFmt w:val="bullet"/>
      <w:lvlText w:val="o"/>
      <w:lvlJc w:val="left"/>
      <w:pPr>
        <w:ind w:left="3240" w:hanging="360"/>
      </w:pPr>
      <w:rPr>
        <w:rFonts w:ascii="Courier New" w:hAnsi="Courier New" w:hint="default"/>
      </w:rPr>
    </w:lvl>
    <w:lvl w:ilvl="5" w:tplc="4872A192" w:tentative="1">
      <w:start w:val="1"/>
      <w:numFmt w:val="bullet"/>
      <w:lvlText w:val=""/>
      <w:lvlJc w:val="left"/>
      <w:pPr>
        <w:ind w:left="3960" w:hanging="360"/>
      </w:pPr>
      <w:rPr>
        <w:rFonts w:ascii="Wingdings" w:hAnsi="Wingdings" w:hint="default"/>
      </w:rPr>
    </w:lvl>
    <w:lvl w:ilvl="6" w:tplc="E894397A" w:tentative="1">
      <w:start w:val="1"/>
      <w:numFmt w:val="bullet"/>
      <w:lvlText w:val=""/>
      <w:lvlJc w:val="left"/>
      <w:pPr>
        <w:ind w:left="4680" w:hanging="360"/>
      </w:pPr>
      <w:rPr>
        <w:rFonts w:ascii="Symbol" w:hAnsi="Symbol" w:hint="default"/>
      </w:rPr>
    </w:lvl>
    <w:lvl w:ilvl="7" w:tplc="76262D2E" w:tentative="1">
      <w:start w:val="1"/>
      <w:numFmt w:val="bullet"/>
      <w:lvlText w:val="o"/>
      <w:lvlJc w:val="left"/>
      <w:pPr>
        <w:ind w:left="5400" w:hanging="360"/>
      </w:pPr>
      <w:rPr>
        <w:rFonts w:ascii="Courier New" w:hAnsi="Courier New" w:hint="default"/>
      </w:rPr>
    </w:lvl>
    <w:lvl w:ilvl="8" w:tplc="C568A750" w:tentative="1">
      <w:start w:val="1"/>
      <w:numFmt w:val="bullet"/>
      <w:lvlText w:val=""/>
      <w:lvlJc w:val="left"/>
      <w:pPr>
        <w:ind w:left="6120" w:hanging="360"/>
      </w:pPr>
      <w:rPr>
        <w:rFonts w:ascii="Wingdings" w:hAnsi="Wingdings" w:hint="default"/>
      </w:rPr>
    </w:lvl>
  </w:abstractNum>
  <w:abstractNum w:abstractNumId="27" w15:restartNumberingAfterBreak="0">
    <w:nsid w:val="0E766524"/>
    <w:multiLevelType w:val="multilevel"/>
    <w:tmpl w:val="EFA6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EFB7115"/>
    <w:multiLevelType w:val="multilevel"/>
    <w:tmpl w:val="6E88BE2C"/>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0F155946"/>
    <w:multiLevelType w:val="multilevel"/>
    <w:tmpl w:val="D1985E0A"/>
    <w:numStyleLink w:val="NumbLstTableBullet"/>
  </w:abstractNum>
  <w:abstractNum w:abstractNumId="30" w15:restartNumberingAfterBreak="0">
    <w:nsid w:val="0F167E9C"/>
    <w:multiLevelType w:val="hybridMultilevel"/>
    <w:tmpl w:val="B2A02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0FE033F0"/>
    <w:multiLevelType w:val="hybridMultilevel"/>
    <w:tmpl w:val="B96268C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0FEB5B96"/>
    <w:multiLevelType w:val="multilevel"/>
    <w:tmpl w:val="C22C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1153D01"/>
    <w:multiLevelType w:val="multilevel"/>
    <w:tmpl w:val="482C3DC8"/>
    <w:name w:val="HeadingNumbering"/>
    <w:lvl w:ilvl="0">
      <w:start w:val="1"/>
      <w:numFmt w:val="decimal"/>
      <w:pStyle w:val="HeadingNumbered1"/>
      <w:lvlText w:val="%1."/>
      <w:lvlJc w:val="left"/>
      <w:pPr>
        <w:ind w:left="1417" w:hanging="1417"/>
      </w:pPr>
      <w:rPr>
        <w:rFonts w:hint="default"/>
      </w:rPr>
    </w:lvl>
    <w:lvl w:ilvl="1">
      <w:start w:val="1"/>
      <w:numFmt w:val="decimal"/>
      <w:pStyle w:val="HeadingNumbered2"/>
      <w:lvlText w:val="%1.%2."/>
      <w:lvlJc w:val="left"/>
      <w:pPr>
        <w:ind w:left="1417" w:hanging="1417"/>
      </w:pPr>
    </w:lvl>
    <w:lvl w:ilvl="2">
      <w:start w:val="1"/>
      <w:numFmt w:val="decimal"/>
      <w:pStyle w:val="HeadingNumbered3"/>
      <w:lvlText w:val="%1.%2.%3."/>
      <w:lvlJc w:val="left"/>
      <w:pPr>
        <w:ind w:left="1418" w:hanging="1418"/>
      </w:pPr>
    </w:lvl>
    <w:lvl w:ilvl="3">
      <w:start w:val="1"/>
      <w:numFmt w:val="decimal"/>
      <w:pStyle w:val="HeadingNumbered4"/>
      <w:lvlText w:val="%1.%2.%3.%4."/>
      <w:lvlJc w:val="left"/>
      <w:pPr>
        <w:ind w:left="1417" w:hanging="1417"/>
      </w:pPr>
      <w:rPr>
        <w:rFonts w:ascii="Arial" w:hAnsi="Arial" w:cs="Arial" w:hint="default"/>
        <w:b w:val="0"/>
        <w:bCs/>
      </w:rPr>
    </w:lvl>
    <w:lvl w:ilvl="4">
      <w:start w:val="1"/>
      <w:numFmt w:val="decimal"/>
      <w:lvlText w:val="%1.%2.%3.%4."/>
      <w:lvlJc w:val="left"/>
      <w:pPr>
        <w:ind w:left="1417" w:hanging="1417"/>
      </w:pPr>
      <w:rPr>
        <w:rFonts w:ascii="Calibri" w:hAnsi="Calibri" w:hint="default"/>
      </w:rPr>
    </w:lvl>
    <w:lvl w:ilvl="5">
      <w:start w:val="1"/>
      <w:numFmt w:val="decimal"/>
      <w:lvlText w:val="%1.%2.%3.%4."/>
      <w:lvlJc w:val="left"/>
      <w:pPr>
        <w:ind w:left="1417" w:hanging="1417"/>
      </w:pPr>
      <w:rPr>
        <w:rFonts w:ascii="Calibri" w:hAnsi="Calibri" w:hint="default"/>
      </w:rPr>
    </w:lvl>
    <w:lvl w:ilvl="6">
      <w:start w:val="1"/>
      <w:numFmt w:val="decimal"/>
      <w:lvlText w:val="%1.%2.%3.%4."/>
      <w:lvlJc w:val="left"/>
      <w:pPr>
        <w:ind w:left="1417" w:hanging="1417"/>
      </w:pPr>
      <w:rPr>
        <w:rFonts w:ascii="Calibri" w:hAnsi="Calibri" w:hint="default"/>
      </w:rPr>
    </w:lvl>
    <w:lvl w:ilvl="7">
      <w:start w:val="1"/>
      <w:numFmt w:val="decimal"/>
      <w:lvlText w:val="%1.%2.%3.%4."/>
      <w:lvlJc w:val="left"/>
      <w:pPr>
        <w:ind w:left="1417" w:hanging="1417"/>
      </w:pPr>
      <w:rPr>
        <w:rFonts w:ascii="Calibri" w:hAnsi="Calibri" w:hint="default"/>
      </w:rPr>
    </w:lvl>
    <w:lvl w:ilvl="8">
      <w:start w:val="1"/>
      <w:numFmt w:val="decimal"/>
      <w:lvlText w:val="%1.%2.%3.%4."/>
      <w:lvlJc w:val="left"/>
      <w:pPr>
        <w:ind w:left="1417" w:hanging="1417"/>
      </w:pPr>
      <w:rPr>
        <w:rFonts w:ascii="Calibri" w:hAnsi="Calibri" w:hint="default"/>
      </w:rPr>
    </w:lvl>
  </w:abstractNum>
  <w:abstractNum w:abstractNumId="34" w15:restartNumberingAfterBreak="0">
    <w:nsid w:val="1262685D"/>
    <w:multiLevelType w:val="multilevel"/>
    <w:tmpl w:val="E15E819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139D1CFC"/>
    <w:multiLevelType w:val="multilevel"/>
    <w:tmpl w:val="23665A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42B5DD6"/>
    <w:multiLevelType w:val="hybridMultilevel"/>
    <w:tmpl w:val="8B8C0E9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43D0A16"/>
    <w:multiLevelType w:val="multilevel"/>
    <w:tmpl w:val="2070ABDC"/>
    <w:name w:val="ListBullet3Numbering"/>
    <w:lvl w:ilvl="0">
      <w:start w:val="1"/>
      <w:numFmt w:val="bullet"/>
      <w:pStyle w:val="ListBullet3"/>
      <w:lvlText w:val=""/>
      <w:lvlJc w:val="left"/>
      <w:pPr>
        <w:tabs>
          <w:tab w:val="num" w:pos="2200"/>
        </w:tabs>
        <w:ind w:left="2200" w:hanging="284"/>
      </w:pPr>
      <w:rPr>
        <w:rFonts w:ascii="Symbol" w:hAnsi="Symbol" w:hint="default"/>
      </w:rPr>
    </w:lvl>
    <w:lvl w:ilvl="1">
      <w:start w:val="1"/>
      <w:numFmt w:val="bullet"/>
      <w:pStyle w:val="ListBullet3Level2"/>
      <w:lvlText w:val=""/>
      <w:lvlJc w:val="left"/>
      <w:pPr>
        <w:tabs>
          <w:tab w:val="num" w:pos="2483"/>
        </w:tabs>
        <w:ind w:left="2483" w:hanging="283"/>
      </w:pPr>
      <w:rPr>
        <w:rFonts w:ascii="Symbol" w:hAnsi="Symbol" w:hint="default"/>
      </w:rPr>
    </w:lvl>
    <w:lvl w:ilvl="2">
      <w:start w:val="1"/>
      <w:numFmt w:val="bullet"/>
      <w:pStyle w:val="ListBullet3Level3"/>
      <w:lvlText w:val=""/>
      <w:lvlJc w:val="left"/>
      <w:pPr>
        <w:tabs>
          <w:tab w:val="num" w:pos="2767"/>
        </w:tabs>
        <w:ind w:left="2767" w:hanging="284"/>
      </w:pPr>
      <w:rPr>
        <w:rFonts w:ascii="Symbol" w:hAnsi="Symbol" w:hint="default"/>
      </w:rPr>
    </w:lvl>
    <w:lvl w:ilvl="3">
      <w:start w:val="1"/>
      <w:numFmt w:val="bullet"/>
      <w:pStyle w:val="ListBullet3Level4"/>
      <w:lvlText w:val=""/>
      <w:lvlJc w:val="left"/>
      <w:pPr>
        <w:tabs>
          <w:tab w:val="num" w:pos="3050"/>
        </w:tabs>
        <w:ind w:left="3050"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5650B15"/>
    <w:multiLevelType w:val="hybridMultilevel"/>
    <w:tmpl w:val="85209E9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16D069BF"/>
    <w:multiLevelType w:val="hybridMultilevel"/>
    <w:tmpl w:val="FC0E6AF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70C64BB"/>
    <w:multiLevelType w:val="hybridMultilevel"/>
    <w:tmpl w:val="A23A13D0"/>
    <w:lvl w:ilvl="0" w:tplc="6D94593A">
      <w:start w:val="1"/>
      <w:numFmt w:val="bullet"/>
      <w:lvlText w:val=""/>
      <w:lvlJc w:val="left"/>
      <w:pPr>
        <w:ind w:left="720" w:hanging="360"/>
      </w:pPr>
      <w:rPr>
        <w:rFonts w:ascii="Symbol" w:hAnsi="Symbol" w:hint="default"/>
      </w:rPr>
    </w:lvl>
    <w:lvl w:ilvl="1" w:tplc="7C043860">
      <w:start w:val="1"/>
      <w:numFmt w:val="bullet"/>
      <w:lvlText w:val="o"/>
      <w:lvlJc w:val="left"/>
      <w:pPr>
        <w:ind w:left="1440" w:hanging="360"/>
      </w:pPr>
      <w:rPr>
        <w:rFonts w:ascii="Courier New" w:hAnsi="Courier New" w:hint="default"/>
      </w:rPr>
    </w:lvl>
    <w:lvl w:ilvl="2" w:tplc="42C27A06">
      <w:start w:val="1"/>
      <w:numFmt w:val="bullet"/>
      <w:lvlText w:val=""/>
      <w:lvlJc w:val="left"/>
      <w:pPr>
        <w:ind w:left="2160" w:hanging="360"/>
      </w:pPr>
      <w:rPr>
        <w:rFonts w:ascii="Wingdings" w:hAnsi="Wingdings" w:hint="default"/>
      </w:rPr>
    </w:lvl>
    <w:lvl w:ilvl="3" w:tplc="A978EE58">
      <w:start w:val="1"/>
      <w:numFmt w:val="bullet"/>
      <w:lvlText w:val=""/>
      <w:lvlJc w:val="left"/>
      <w:pPr>
        <w:ind w:left="2880" w:hanging="360"/>
      </w:pPr>
      <w:rPr>
        <w:rFonts w:ascii="Symbol" w:hAnsi="Symbol" w:hint="default"/>
      </w:rPr>
    </w:lvl>
    <w:lvl w:ilvl="4" w:tplc="459A71DC">
      <w:start w:val="1"/>
      <w:numFmt w:val="bullet"/>
      <w:lvlText w:val="o"/>
      <w:lvlJc w:val="left"/>
      <w:pPr>
        <w:ind w:left="3600" w:hanging="360"/>
      </w:pPr>
      <w:rPr>
        <w:rFonts w:ascii="Courier New" w:hAnsi="Courier New" w:hint="default"/>
      </w:rPr>
    </w:lvl>
    <w:lvl w:ilvl="5" w:tplc="863C5616">
      <w:start w:val="1"/>
      <w:numFmt w:val="bullet"/>
      <w:lvlText w:val=""/>
      <w:lvlJc w:val="left"/>
      <w:pPr>
        <w:ind w:left="4320" w:hanging="360"/>
      </w:pPr>
      <w:rPr>
        <w:rFonts w:ascii="Wingdings" w:hAnsi="Wingdings" w:hint="default"/>
      </w:rPr>
    </w:lvl>
    <w:lvl w:ilvl="6" w:tplc="0A4C4A62">
      <w:start w:val="1"/>
      <w:numFmt w:val="bullet"/>
      <w:lvlText w:val=""/>
      <w:lvlJc w:val="left"/>
      <w:pPr>
        <w:ind w:left="5040" w:hanging="360"/>
      </w:pPr>
      <w:rPr>
        <w:rFonts w:ascii="Symbol" w:hAnsi="Symbol" w:hint="default"/>
      </w:rPr>
    </w:lvl>
    <w:lvl w:ilvl="7" w:tplc="F9E4279A">
      <w:start w:val="1"/>
      <w:numFmt w:val="bullet"/>
      <w:lvlText w:val="o"/>
      <w:lvlJc w:val="left"/>
      <w:pPr>
        <w:ind w:left="5760" w:hanging="360"/>
      </w:pPr>
      <w:rPr>
        <w:rFonts w:ascii="Courier New" w:hAnsi="Courier New" w:hint="default"/>
      </w:rPr>
    </w:lvl>
    <w:lvl w:ilvl="8" w:tplc="A39621FC">
      <w:start w:val="1"/>
      <w:numFmt w:val="bullet"/>
      <w:lvlText w:val=""/>
      <w:lvlJc w:val="left"/>
      <w:pPr>
        <w:ind w:left="6480" w:hanging="360"/>
      </w:pPr>
      <w:rPr>
        <w:rFonts w:ascii="Wingdings" w:hAnsi="Wingdings" w:hint="default"/>
      </w:rPr>
    </w:lvl>
  </w:abstractNum>
  <w:abstractNum w:abstractNumId="41" w15:restartNumberingAfterBreak="0">
    <w:nsid w:val="172F0AC5"/>
    <w:multiLevelType w:val="multilevel"/>
    <w:tmpl w:val="19067B1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74B59CC"/>
    <w:multiLevelType w:val="hybridMultilevel"/>
    <w:tmpl w:val="9DD0DFF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177A56D8"/>
    <w:multiLevelType w:val="hybridMultilevel"/>
    <w:tmpl w:val="7E2E3D4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17D6187E"/>
    <w:multiLevelType w:val="hybridMultilevel"/>
    <w:tmpl w:val="331621C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86A43B0"/>
    <w:multiLevelType w:val="hybridMultilevel"/>
    <w:tmpl w:val="359872F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186B7C8E"/>
    <w:multiLevelType w:val="hybridMultilevel"/>
    <w:tmpl w:val="4F501C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1A6E16FD"/>
    <w:multiLevelType w:val="multilevel"/>
    <w:tmpl w:val="1A6A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A9C14C7"/>
    <w:multiLevelType w:val="hybridMultilevel"/>
    <w:tmpl w:val="2E4A3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1B3C78B8"/>
    <w:multiLevelType w:val="multilevel"/>
    <w:tmpl w:val="7626F286"/>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0" w15:restartNumberingAfterBreak="0">
    <w:nsid w:val="1C1806D0"/>
    <w:multiLevelType w:val="multilevel"/>
    <w:tmpl w:val="F894FDD6"/>
    <w:lvl w:ilvl="0">
      <w:start w:val="4"/>
      <w:numFmt w:val="decimal"/>
      <w:lvlText w:val="%1"/>
      <w:lvlJc w:val="left"/>
      <w:pPr>
        <w:ind w:left="420" w:hanging="420"/>
      </w:pPr>
      <w:rPr>
        <w:rFonts w:hint="default"/>
      </w:rPr>
    </w:lvl>
    <w:lvl w:ilvl="1">
      <w:start w:val="7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1C7B624F"/>
    <w:multiLevelType w:val="multilevel"/>
    <w:tmpl w:val="F24A9DC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2" w15:restartNumberingAfterBreak="0">
    <w:nsid w:val="1D3E7A42"/>
    <w:multiLevelType w:val="hybridMultilevel"/>
    <w:tmpl w:val="F808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D587215"/>
    <w:multiLevelType w:val="multilevel"/>
    <w:tmpl w:val="EFA6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E7B1A16"/>
    <w:multiLevelType w:val="multilevel"/>
    <w:tmpl w:val="0DC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1F734306"/>
    <w:multiLevelType w:val="multilevel"/>
    <w:tmpl w:val="730E437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rPr>
        <w:i w:val="0"/>
        <w:iCs/>
      </w:rPr>
    </w:lvl>
    <w:lvl w:ilvl="3">
      <w:start w:val="1"/>
      <w:numFmt w:val="decimal"/>
      <w:pStyle w:val="Heading4"/>
      <w:lvlText w:val="%1.%2.%3.%4."/>
      <w:lvlJc w:val="left"/>
      <w:pPr>
        <w:tabs>
          <w:tab w:val="num" w:pos="2137"/>
        </w:tabs>
        <w:ind w:left="2137"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21E45BBD"/>
    <w:multiLevelType w:val="multilevel"/>
    <w:tmpl w:val="4FCE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221075B"/>
    <w:multiLevelType w:val="multilevel"/>
    <w:tmpl w:val="BD26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39C5F0F"/>
    <w:multiLevelType w:val="multilevel"/>
    <w:tmpl w:val="0198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40110AC"/>
    <w:multiLevelType w:val="hybridMultilevel"/>
    <w:tmpl w:val="7AA0B9A0"/>
    <w:lvl w:ilvl="0" w:tplc="96DCFFF6">
      <w:start w:val="1"/>
      <w:numFmt w:val="bullet"/>
      <w:lvlText w:val=""/>
      <w:lvlJc w:val="left"/>
      <w:pPr>
        <w:ind w:left="720" w:hanging="360"/>
      </w:pPr>
      <w:rPr>
        <w:rFonts w:ascii="Symbol" w:hAnsi="Symbol" w:hint="default"/>
      </w:rPr>
    </w:lvl>
    <w:lvl w:ilvl="1" w:tplc="3BDE37DE">
      <w:start w:val="1"/>
      <w:numFmt w:val="bullet"/>
      <w:lvlText w:val="o"/>
      <w:lvlJc w:val="left"/>
      <w:pPr>
        <w:ind w:left="1440" w:hanging="360"/>
      </w:pPr>
      <w:rPr>
        <w:rFonts w:ascii="Courier New" w:hAnsi="Courier New" w:hint="default"/>
      </w:rPr>
    </w:lvl>
    <w:lvl w:ilvl="2" w:tplc="A4A02A58">
      <w:start w:val="1"/>
      <w:numFmt w:val="bullet"/>
      <w:lvlText w:val=""/>
      <w:lvlJc w:val="left"/>
      <w:pPr>
        <w:ind w:left="2160" w:hanging="360"/>
      </w:pPr>
      <w:rPr>
        <w:rFonts w:ascii="Wingdings" w:hAnsi="Wingdings" w:hint="default"/>
      </w:rPr>
    </w:lvl>
    <w:lvl w:ilvl="3" w:tplc="F2622C40">
      <w:start w:val="1"/>
      <w:numFmt w:val="bullet"/>
      <w:lvlText w:val=""/>
      <w:lvlJc w:val="left"/>
      <w:pPr>
        <w:ind w:left="2880" w:hanging="360"/>
      </w:pPr>
      <w:rPr>
        <w:rFonts w:ascii="Symbol" w:hAnsi="Symbol" w:hint="default"/>
      </w:rPr>
    </w:lvl>
    <w:lvl w:ilvl="4" w:tplc="DBA4D070">
      <w:start w:val="1"/>
      <w:numFmt w:val="bullet"/>
      <w:lvlText w:val="o"/>
      <w:lvlJc w:val="left"/>
      <w:pPr>
        <w:ind w:left="3600" w:hanging="360"/>
      </w:pPr>
      <w:rPr>
        <w:rFonts w:ascii="Courier New" w:hAnsi="Courier New" w:hint="default"/>
      </w:rPr>
    </w:lvl>
    <w:lvl w:ilvl="5" w:tplc="F768DB7A">
      <w:start w:val="1"/>
      <w:numFmt w:val="bullet"/>
      <w:lvlText w:val=""/>
      <w:lvlJc w:val="left"/>
      <w:pPr>
        <w:ind w:left="4320" w:hanging="360"/>
      </w:pPr>
      <w:rPr>
        <w:rFonts w:ascii="Wingdings" w:hAnsi="Wingdings" w:hint="default"/>
      </w:rPr>
    </w:lvl>
    <w:lvl w:ilvl="6" w:tplc="7952D38A">
      <w:start w:val="1"/>
      <w:numFmt w:val="bullet"/>
      <w:lvlText w:val=""/>
      <w:lvlJc w:val="left"/>
      <w:pPr>
        <w:ind w:left="5040" w:hanging="360"/>
      </w:pPr>
      <w:rPr>
        <w:rFonts w:ascii="Symbol" w:hAnsi="Symbol" w:hint="default"/>
      </w:rPr>
    </w:lvl>
    <w:lvl w:ilvl="7" w:tplc="1274532A">
      <w:start w:val="1"/>
      <w:numFmt w:val="bullet"/>
      <w:lvlText w:val="o"/>
      <w:lvlJc w:val="left"/>
      <w:pPr>
        <w:ind w:left="5760" w:hanging="360"/>
      </w:pPr>
      <w:rPr>
        <w:rFonts w:ascii="Courier New" w:hAnsi="Courier New" w:hint="default"/>
      </w:rPr>
    </w:lvl>
    <w:lvl w:ilvl="8" w:tplc="FD8807D8">
      <w:start w:val="1"/>
      <w:numFmt w:val="bullet"/>
      <w:lvlText w:val=""/>
      <w:lvlJc w:val="left"/>
      <w:pPr>
        <w:ind w:left="6480" w:hanging="360"/>
      </w:pPr>
      <w:rPr>
        <w:rFonts w:ascii="Wingdings" w:hAnsi="Wingdings" w:hint="default"/>
      </w:rPr>
    </w:lvl>
  </w:abstractNum>
  <w:abstractNum w:abstractNumId="61" w15:restartNumberingAfterBreak="0">
    <w:nsid w:val="250017CE"/>
    <w:multiLevelType w:val="multilevel"/>
    <w:tmpl w:val="EFA632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6565C7A"/>
    <w:multiLevelType w:val="multilevel"/>
    <w:tmpl w:val="EBE2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67E57EC"/>
    <w:multiLevelType w:val="multilevel"/>
    <w:tmpl w:val="6972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7D70AFA"/>
    <w:multiLevelType w:val="hybridMultilevel"/>
    <w:tmpl w:val="8DF0D29A"/>
    <w:lvl w:ilvl="0" w:tplc="583EBDB0">
      <w:start w:val="1"/>
      <w:numFmt w:val="bullet"/>
      <w:lvlText w:val=""/>
      <w:lvlJc w:val="left"/>
      <w:pPr>
        <w:ind w:left="720" w:hanging="360"/>
      </w:pPr>
      <w:rPr>
        <w:rFonts w:ascii="Symbol" w:hAnsi="Symbol" w:hint="default"/>
      </w:rPr>
    </w:lvl>
    <w:lvl w:ilvl="1" w:tplc="B240B85C" w:tentative="1">
      <w:start w:val="1"/>
      <w:numFmt w:val="bullet"/>
      <w:lvlText w:val="o"/>
      <w:lvlJc w:val="left"/>
      <w:pPr>
        <w:ind w:left="1440" w:hanging="360"/>
      </w:pPr>
      <w:rPr>
        <w:rFonts w:ascii="Courier New" w:hAnsi="Courier New" w:hint="default"/>
      </w:rPr>
    </w:lvl>
    <w:lvl w:ilvl="2" w:tplc="55E832AA" w:tentative="1">
      <w:start w:val="1"/>
      <w:numFmt w:val="bullet"/>
      <w:lvlText w:val=""/>
      <w:lvlJc w:val="left"/>
      <w:pPr>
        <w:ind w:left="2160" w:hanging="360"/>
      </w:pPr>
      <w:rPr>
        <w:rFonts w:ascii="Wingdings" w:hAnsi="Wingdings" w:hint="default"/>
      </w:rPr>
    </w:lvl>
    <w:lvl w:ilvl="3" w:tplc="115679C0" w:tentative="1">
      <w:start w:val="1"/>
      <w:numFmt w:val="bullet"/>
      <w:lvlText w:val=""/>
      <w:lvlJc w:val="left"/>
      <w:pPr>
        <w:ind w:left="2880" w:hanging="360"/>
      </w:pPr>
      <w:rPr>
        <w:rFonts w:ascii="Symbol" w:hAnsi="Symbol" w:hint="default"/>
      </w:rPr>
    </w:lvl>
    <w:lvl w:ilvl="4" w:tplc="5D4CAF5A" w:tentative="1">
      <w:start w:val="1"/>
      <w:numFmt w:val="bullet"/>
      <w:lvlText w:val="o"/>
      <w:lvlJc w:val="left"/>
      <w:pPr>
        <w:ind w:left="3600" w:hanging="360"/>
      </w:pPr>
      <w:rPr>
        <w:rFonts w:ascii="Courier New" w:hAnsi="Courier New" w:hint="default"/>
      </w:rPr>
    </w:lvl>
    <w:lvl w:ilvl="5" w:tplc="AD30856C" w:tentative="1">
      <w:start w:val="1"/>
      <w:numFmt w:val="bullet"/>
      <w:lvlText w:val=""/>
      <w:lvlJc w:val="left"/>
      <w:pPr>
        <w:ind w:left="4320" w:hanging="360"/>
      </w:pPr>
      <w:rPr>
        <w:rFonts w:ascii="Wingdings" w:hAnsi="Wingdings" w:hint="default"/>
      </w:rPr>
    </w:lvl>
    <w:lvl w:ilvl="6" w:tplc="0262AD3C" w:tentative="1">
      <w:start w:val="1"/>
      <w:numFmt w:val="bullet"/>
      <w:lvlText w:val=""/>
      <w:lvlJc w:val="left"/>
      <w:pPr>
        <w:ind w:left="5040" w:hanging="360"/>
      </w:pPr>
      <w:rPr>
        <w:rFonts w:ascii="Symbol" w:hAnsi="Symbol" w:hint="default"/>
      </w:rPr>
    </w:lvl>
    <w:lvl w:ilvl="7" w:tplc="5750FF40" w:tentative="1">
      <w:start w:val="1"/>
      <w:numFmt w:val="bullet"/>
      <w:lvlText w:val="o"/>
      <w:lvlJc w:val="left"/>
      <w:pPr>
        <w:ind w:left="5760" w:hanging="360"/>
      </w:pPr>
      <w:rPr>
        <w:rFonts w:ascii="Courier New" w:hAnsi="Courier New" w:hint="default"/>
      </w:rPr>
    </w:lvl>
    <w:lvl w:ilvl="8" w:tplc="F29CCDCA" w:tentative="1">
      <w:start w:val="1"/>
      <w:numFmt w:val="bullet"/>
      <w:lvlText w:val=""/>
      <w:lvlJc w:val="left"/>
      <w:pPr>
        <w:ind w:left="6480" w:hanging="360"/>
      </w:pPr>
      <w:rPr>
        <w:rFonts w:ascii="Wingdings" w:hAnsi="Wingdings" w:hint="default"/>
      </w:rPr>
    </w:lvl>
  </w:abstractNum>
  <w:abstractNum w:abstractNumId="65" w15:restartNumberingAfterBreak="0">
    <w:nsid w:val="292A7B9C"/>
    <w:multiLevelType w:val="hybridMultilevel"/>
    <w:tmpl w:val="90CC63A4"/>
    <w:lvl w:ilvl="0" w:tplc="18090017">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2B371BF9"/>
    <w:multiLevelType w:val="hybridMultilevel"/>
    <w:tmpl w:val="9C422B5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C2F3069"/>
    <w:multiLevelType w:val="hybridMultilevel"/>
    <w:tmpl w:val="DB4CA8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8" w15:restartNumberingAfterBreak="0">
    <w:nsid w:val="2C8DFDF8"/>
    <w:multiLevelType w:val="multilevel"/>
    <w:tmpl w:val="A120B8B2"/>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9" w15:restartNumberingAfterBreak="0">
    <w:nsid w:val="2D293CE3"/>
    <w:multiLevelType w:val="multilevel"/>
    <w:tmpl w:val="2E9EBAA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0" w15:restartNumberingAfterBreak="0">
    <w:nsid w:val="2D293CF4"/>
    <w:multiLevelType w:val="multilevel"/>
    <w:tmpl w:val="CC161D9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1" w15:restartNumberingAfterBreak="0">
    <w:nsid w:val="2D6A07BD"/>
    <w:multiLevelType w:val="multilevel"/>
    <w:tmpl w:val="153E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E924972"/>
    <w:multiLevelType w:val="hybridMultilevel"/>
    <w:tmpl w:val="98383B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2EBB7FED"/>
    <w:multiLevelType w:val="hybridMultilevel"/>
    <w:tmpl w:val="1960B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31483599"/>
    <w:multiLevelType w:val="hybridMultilevel"/>
    <w:tmpl w:val="A4A02906"/>
    <w:lvl w:ilvl="0" w:tplc="1554B4B0">
      <w:start w:val="1"/>
      <w:numFmt w:val="bullet"/>
      <w:lvlText w:val=""/>
      <w:lvlJc w:val="left"/>
      <w:pPr>
        <w:ind w:left="720" w:hanging="360"/>
      </w:pPr>
      <w:rPr>
        <w:rFonts w:ascii="Symbol" w:hAnsi="Symbol" w:hint="default"/>
      </w:rPr>
    </w:lvl>
    <w:lvl w:ilvl="1" w:tplc="58CA8E7C">
      <w:start w:val="1"/>
      <w:numFmt w:val="bullet"/>
      <w:lvlText w:val="o"/>
      <w:lvlJc w:val="left"/>
      <w:pPr>
        <w:ind w:left="1440" w:hanging="360"/>
      </w:pPr>
      <w:rPr>
        <w:rFonts w:ascii="Courier New" w:hAnsi="Courier New" w:hint="default"/>
      </w:rPr>
    </w:lvl>
    <w:lvl w:ilvl="2" w:tplc="AE928CEA">
      <w:start w:val="1"/>
      <w:numFmt w:val="bullet"/>
      <w:lvlText w:val=""/>
      <w:lvlJc w:val="left"/>
      <w:pPr>
        <w:ind w:left="2160" w:hanging="360"/>
      </w:pPr>
      <w:rPr>
        <w:rFonts w:ascii="Wingdings" w:hAnsi="Wingdings" w:hint="default"/>
      </w:rPr>
    </w:lvl>
    <w:lvl w:ilvl="3" w:tplc="7E5E5FBE">
      <w:start w:val="1"/>
      <w:numFmt w:val="bullet"/>
      <w:lvlText w:val=""/>
      <w:lvlJc w:val="left"/>
      <w:pPr>
        <w:ind w:left="2880" w:hanging="360"/>
      </w:pPr>
      <w:rPr>
        <w:rFonts w:ascii="Symbol" w:hAnsi="Symbol" w:hint="default"/>
      </w:rPr>
    </w:lvl>
    <w:lvl w:ilvl="4" w:tplc="76A661A2">
      <w:start w:val="1"/>
      <w:numFmt w:val="bullet"/>
      <w:lvlText w:val="o"/>
      <w:lvlJc w:val="left"/>
      <w:pPr>
        <w:ind w:left="3600" w:hanging="360"/>
      </w:pPr>
      <w:rPr>
        <w:rFonts w:ascii="Courier New" w:hAnsi="Courier New" w:hint="default"/>
      </w:rPr>
    </w:lvl>
    <w:lvl w:ilvl="5" w:tplc="E61EC79E">
      <w:start w:val="1"/>
      <w:numFmt w:val="bullet"/>
      <w:lvlText w:val=""/>
      <w:lvlJc w:val="left"/>
      <w:pPr>
        <w:ind w:left="4320" w:hanging="360"/>
      </w:pPr>
      <w:rPr>
        <w:rFonts w:ascii="Wingdings" w:hAnsi="Wingdings" w:hint="default"/>
      </w:rPr>
    </w:lvl>
    <w:lvl w:ilvl="6" w:tplc="9DF682E6">
      <w:start w:val="1"/>
      <w:numFmt w:val="bullet"/>
      <w:lvlText w:val=""/>
      <w:lvlJc w:val="left"/>
      <w:pPr>
        <w:ind w:left="5040" w:hanging="360"/>
      </w:pPr>
      <w:rPr>
        <w:rFonts w:ascii="Symbol" w:hAnsi="Symbol" w:hint="default"/>
      </w:rPr>
    </w:lvl>
    <w:lvl w:ilvl="7" w:tplc="36F0EC40">
      <w:start w:val="1"/>
      <w:numFmt w:val="bullet"/>
      <w:lvlText w:val="o"/>
      <w:lvlJc w:val="left"/>
      <w:pPr>
        <w:ind w:left="5760" w:hanging="360"/>
      </w:pPr>
      <w:rPr>
        <w:rFonts w:ascii="Courier New" w:hAnsi="Courier New" w:hint="default"/>
      </w:rPr>
    </w:lvl>
    <w:lvl w:ilvl="8" w:tplc="0D5E2EF8">
      <w:start w:val="1"/>
      <w:numFmt w:val="bullet"/>
      <w:lvlText w:val=""/>
      <w:lvlJc w:val="left"/>
      <w:pPr>
        <w:ind w:left="6480" w:hanging="360"/>
      </w:pPr>
      <w:rPr>
        <w:rFonts w:ascii="Wingdings" w:hAnsi="Wingdings" w:hint="default"/>
      </w:rPr>
    </w:lvl>
  </w:abstractNum>
  <w:abstractNum w:abstractNumId="75" w15:restartNumberingAfterBreak="0">
    <w:nsid w:val="314E3E0C"/>
    <w:multiLevelType w:val="hybridMultilevel"/>
    <w:tmpl w:val="461E835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31AB2EB8"/>
    <w:multiLevelType w:val="multilevel"/>
    <w:tmpl w:val="14821CD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1AE18F9"/>
    <w:multiLevelType w:val="multilevel"/>
    <w:tmpl w:val="79C02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323E2574"/>
    <w:multiLevelType w:val="hybridMultilevel"/>
    <w:tmpl w:val="522CF88A"/>
    <w:lvl w:ilvl="0" w:tplc="87F2F4C4">
      <w:start w:val="1"/>
      <w:numFmt w:val="decimal"/>
      <w:lvlText w:val="%1)"/>
      <w:lvlJc w:val="left"/>
      <w:pPr>
        <w:ind w:left="720" w:hanging="360"/>
      </w:pPr>
      <w:rPr>
        <w:u w:val="non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9" w15:restartNumberingAfterBreak="0">
    <w:nsid w:val="334E7F5F"/>
    <w:multiLevelType w:val="hybridMultilevel"/>
    <w:tmpl w:val="FFFFFFFF"/>
    <w:lvl w:ilvl="0" w:tplc="F7203308">
      <w:start w:val="1"/>
      <w:numFmt w:val="decimal"/>
      <w:lvlText w:val="(%1)"/>
      <w:lvlJc w:val="left"/>
      <w:pPr>
        <w:ind w:left="1080" w:hanging="360"/>
      </w:pPr>
    </w:lvl>
    <w:lvl w:ilvl="1" w:tplc="2F3C68F0">
      <w:start w:val="1"/>
      <w:numFmt w:val="bullet"/>
      <w:lvlText w:val=""/>
      <w:lvlJc w:val="left"/>
      <w:pPr>
        <w:ind w:left="1800" w:hanging="360"/>
      </w:pPr>
      <w:rPr>
        <w:rFonts w:ascii="Symbol" w:hAnsi="Symbol" w:hint="default"/>
      </w:rPr>
    </w:lvl>
    <w:lvl w:ilvl="2" w:tplc="37CC1612">
      <w:start w:val="1"/>
      <w:numFmt w:val="bullet"/>
      <w:lvlText w:val="o"/>
      <w:lvlJc w:val="left"/>
      <w:pPr>
        <w:ind w:left="2520" w:hanging="180"/>
      </w:pPr>
      <w:rPr>
        <w:rFonts w:ascii="Courier New" w:hAnsi="Courier New" w:hint="default"/>
      </w:rPr>
    </w:lvl>
    <w:lvl w:ilvl="3" w:tplc="14BA8376">
      <w:start w:val="1"/>
      <w:numFmt w:val="bullet"/>
      <w:lvlText w:val=""/>
      <w:lvlJc w:val="left"/>
      <w:pPr>
        <w:ind w:left="3240" w:hanging="360"/>
      </w:pPr>
      <w:rPr>
        <w:rFonts w:ascii="Symbol" w:hAnsi="Symbol" w:hint="default"/>
      </w:rPr>
    </w:lvl>
    <w:lvl w:ilvl="4" w:tplc="CAB4E73A">
      <w:start w:val="1"/>
      <w:numFmt w:val="lowerLetter"/>
      <w:lvlText w:val="%5."/>
      <w:lvlJc w:val="left"/>
      <w:pPr>
        <w:ind w:left="3960" w:hanging="360"/>
      </w:pPr>
    </w:lvl>
    <w:lvl w:ilvl="5" w:tplc="605AC9C8">
      <w:start w:val="1"/>
      <w:numFmt w:val="lowerRoman"/>
      <w:lvlText w:val="%6."/>
      <w:lvlJc w:val="right"/>
      <w:pPr>
        <w:ind w:left="4680" w:hanging="180"/>
      </w:pPr>
    </w:lvl>
    <w:lvl w:ilvl="6" w:tplc="A5DC9166">
      <w:start w:val="1"/>
      <w:numFmt w:val="decimal"/>
      <w:lvlText w:val="%7."/>
      <w:lvlJc w:val="left"/>
      <w:pPr>
        <w:ind w:left="5400" w:hanging="360"/>
      </w:pPr>
    </w:lvl>
    <w:lvl w:ilvl="7" w:tplc="9F7A9D42">
      <w:start w:val="1"/>
      <w:numFmt w:val="lowerLetter"/>
      <w:lvlText w:val="%8."/>
      <w:lvlJc w:val="left"/>
      <w:pPr>
        <w:ind w:left="6120" w:hanging="360"/>
      </w:pPr>
    </w:lvl>
    <w:lvl w:ilvl="8" w:tplc="96888406">
      <w:start w:val="1"/>
      <w:numFmt w:val="lowerRoman"/>
      <w:lvlText w:val="%9."/>
      <w:lvlJc w:val="right"/>
      <w:pPr>
        <w:ind w:left="6840" w:hanging="180"/>
      </w:pPr>
    </w:lvl>
  </w:abstractNum>
  <w:abstractNum w:abstractNumId="80" w15:restartNumberingAfterBreak="0">
    <w:nsid w:val="361D47D3"/>
    <w:multiLevelType w:val="hybridMultilevel"/>
    <w:tmpl w:val="5B96FDC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36324F1E"/>
    <w:multiLevelType w:val="multilevel"/>
    <w:tmpl w:val="1C1A864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2" w15:restartNumberingAfterBreak="0">
    <w:nsid w:val="36384E35"/>
    <w:multiLevelType w:val="hybridMultilevel"/>
    <w:tmpl w:val="276841E6"/>
    <w:lvl w:ilvl="0" w:tplc="AB08CB22">
      <w:start w:val="1"/>
      <w:numFmt w:val="bullet"/>
      <w:lvlText w:val=""/>
      <w:lvlJc w:val="left"/>
      <w:pPr>
        <w:ind w:left="360" w:hanging="360"/>
      </w:pPr>
      <w:rPr>
        <w:rFonts w:ascii="Symbol" w:hAnsi="Symbol" w:hint="default"/>
      </w:rPr>
    </w:lvl>
    <w:lvl w:ilvl="1" w:tplc="7B0CF62A" w:tentative="1">
      <w:start w:val="1"/>
      <w:numFmt w:val="bullet"/>
      <w:lvlText w:val="o"/>
      <w:lvlJc w:val="left"/>
      <w:pPr>
        <w:ind w:left="1080" w:hanging="360"/>
      </w:pPr>
      <w:rPr>
        <w:rFonts w:ascii="Courier New" w:hAnsi="Courier New" w:hint="default"/>
      </w:rPr>
    </w:lvl>
    <w:lvl w:ilvl="2" w:tplc="736A3640" w:tentative="1">
      <w:start w:val="1"/>
      <w:numFmt w:val="bullet"/>
      <w:lvlText w:val=""/>
      <w:lvlJc w:val="left"/>
      <w:pPr>
        <w:ind w:left="1800" w:hanging="360"/>
      </w:pPr>
      <w:rPr>
        <w:rFonts w:ascii="Wingdings" w:hAnsi="Wingdings" w:hint="default"/>
      </w:rPr>
    </w:lvl>
    <w:lvl w:ilvl="3" w:tplc="C786F5C4" w:tentative="1">
      <w:start w:val="1"/>
      <w:numFmt w:val="bullet"/>
      <w:lvlText w:val=""/>
      <w:lvlJc w:val="left"/>
      <w:pPr>
        <w:ind w:left="2520" w:hanging="360"/>
      </w:pPr>
      <w:rPr>
        <w:rFonts w:ascii="Symbol" w:hAnsi="Symbol" w:hint="default"/>
      </w:rPr>
    </w:lvl>
    <w:lvl w:ilvl="4" w:tplc="1F4E5F54" w:tentative="1">
      <w:start w:val="1"/>
      <w:numFmt w:val="bullet"/>
      <w:lvlText w:val="o"/>
      <w:lvlJc w:val="left"/>
      <w:pPr>
        <w:ind w:left="3240" w:hanging="360"/>
      </w:pPr>
      <w:rPr>
        <w:rFonts w:ascii="Courier New" w:hAnsi="Courier New" w:hint="default"/>
      </w:rPr>
    </w:lvl>
    <w:lvl w:ilvl="5" w:tplc="86FAA3F0" w:tentative="1">
      <w:start w:val="1"/>
      <w:numFmt w:val="bullet"/>
      <w:lvlText w:val=""/>
      <w:lvlJc w:val="left"/>
      <w:pPr>
        <w:ind w:left="3960" w:hanging="360"/>
      </w:pPr>
      <w:rPr>
        <w:rFonts w:ascii="Wingdings" w:hAnsi="Wingdings" w:hint="default"/>
      </w:rPr>
    </w:lvl>
    <w:lvl w:ilvl="6" w:tplc="9968D526" w:tentative="1">
      <w:start w:val="1"/>
      <w:numFmt w:val="bullet"/>
      <w:lvlText w:val=""/>
      <w:lvlJc w:val="left"/>
      <w:pPr>
        <w:ind w:left="4680" w:hanging="360"/>
      </w:pPr>
      <w:rPr>
        <w:rFonts w:ascii="Symbol" w:hAnsi="Symbol" w:hint="default"/>
      </w:rPr>
    </w:lvl>
    <w:lvl w:ilvl="7" w:tplc="D54EA2E4" w:tentative="1">
      <w:start w:val="1"/>
      <w:numFmt w:val="bullet"/>
      <w:lvlText w:val="o"/>
      <w:lvlJc w:val="left"/>
      <w:pPr>
        <w:ind w:left="5400" w:hanging="360"/>
      </w:pPr>
      <w:rPr>
        <w:rFonts w:ascii="Courier New" w:hAnsi="Courier New" w:hint="default"/>
      </w:rPr>
    </w:lvl>
    <w:lvl w:ilvl="8" w:tplc="A0161BC4" w:tentative="1">
      <w:start w:val="1"/>
      <w:numFmt w:val="bullet"/>
      <w:lvlText w:val=""/>
      <w:lvlJc w:val="left"/>
      <w:pPr>
        <w:ind w:left="6120" w:hanging="360"/>
      </w:pPr>
      <w:rPr>
        <w:rFonts w:ascii="Wingdings" w:hAnsi="Wingdings" w:hint="default"/>
      </w:rPr>
    </w:lvl>
  </w:abstractNum>
  <w:abstractNum w:abstractNumId="83" w15:restartNumberingAfterBreak="0">
    <w:nsid w:val="368D7AB3"/>
    <w:multiLevelType w:val="hybridMultilevel"/>
    <w:tmpl w:val="F7AAEBD2"/>
    <w:lvl w:ilvl="0" w:tplc="9D08DBA6">
      <w:start w:val="1"/>
      <w:numFmt w:val="decimal"/>
      <w:lvlText w:val="(%1)"/>
      <w:lvlJc w:val="left"/>
      <w:pPr>
        <w:ind w:left="720" w:hanging="360"/>
      </w:pPr>
      <w:rPr>
        <w:b w:val="0"/>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387D630D"/>
    <w:multiLevelType w:val="hybridMultilevel"/>
    <w:tmpl w:val="83AA9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177436"/>
    <w:multiLevelType w:val="hybridMultilevel"/>
    <w:tmpl w:val="8C761F6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9525077"/>
    <w:multiLevelType w:val="multilevel"/>
    <w:tmpl w:val="5E3C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A7730C4"/>
    <w:multiLevelType w:val="multilevel"/>
    <w:tmpl w:val="3EA6F38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8" w15:restartNumberingAfterBreak="0">
    <w:nsid w:val="3AC83BEF"/>
    <w:multiLevelType w:val="hybridMultilevel"/>
    <w:tmpl w:val="8B12D2C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B502BAE"/>
    <w:multiLevelType w:val="hybridMultilevel"/>
    <w:tmpl w:val="05BAF056"/>
    <w:lvl w:ilvl="0" w:tplc="352C2E1A">
      <w:start w:val="1"/>
      <w:numFmt w:val="bullet"/>
      <w:lvlText w:val=""/>
      <w:lvlJc w:val="left"/>
      <w:pPr>
        <w:ind w:left="720" w:hanging="360"/>
      </w:pPr>
      <w:rPr>
        <w:rFonts w:ascii="Symbol" w:hAnsi="Symbol" w:hint="default"/>
      </w:rPr>
    </w:lvl>
    <w:lvl w:ilvl="1" w:tplc="E03010F6" w:tentative="1">
      <w:start w:val="1"/>
      <w:numFmt w:val="bullet"/>
      <w:lvlText w:val="o"/>
      <w:lvlJc w:val="left"/>
      <w:pPr>
        <w:ind w:left="1440" w:hanging="360"/>
      </w:pPr>
      <w:rPr>
        <w:rFonts w:ascii="Courier New" w:hAnsi="Courier New" w:hint="default"/>
      </w:rPr>
    </w:lvl>
    <w:lvl w:ilvl="2" w:tplc="05AE45A4" w:tentative="1">
      <w:start w:val="1"/>
      <w:numFmt w:val="bullet"/>
      <w:lvlText w:val=""/>
      <w:lvlJc w:val="left"/>
      <w:pPr>
        <w:ind w:left="2160" w:hanging="360"/>
      </w:pPr>
      <w:rPr>
        <w:rFonts w:ascii="Wingdings" w:hAnsi="Wingdings" w:hint="default"/>
      </w:rPr>
    </w:lvl>
    <w:lvl w:ilvl="3" w:tplc="27C0577E" w:tentative="1">
      <w:start w:val="1"/>
      <w:numFmt w:val="bullet"/>
      <w:lvlText w:val=""/>
      <w:lvlJc w:val="left"/>
      <w:pPr>
        <w:ind w:left="2880" w:hanging="360"/>
      </w:pPr>
      <w:rPr>
        <w:rFonts w:ascii="Symbol" w:hAnsi="Symbol" w:hint="default"/>
      </w:rPr>
    </w:lvl>
    <w:lvl w:ilvl="4" w:tplc="F90A9CDA" w:tentative="1">
      <w:start w:val="1"/>
      <w:numFmt w:val="bullet"/>
      <w:lvlText w:val="o"/>
      <w:lvlJc w:val="left"/>
      <w:pPr>
        <w:ind w:left="3600" w:hanging="360"/>
      </w:pPr>
      <w:rPr>
        <w:rFonts w:ascii="Courier New" w:hAnsi="Courier New" w:hint="default"/>
      </w:rPr>
    </w:lvl>
    <w:lvl w:ilvl="5" w:tplc="DA86F0CA" w:tentative="1">
      <w:start w:val="1"/>
      <w:numFmt w:val="bullet"/>
      <w:lvlText w:val=""/>
      <w:lvlJc w:val="left"/>
      <w:pPr>
        <w:ind w:left="4320" w:hanging="360"/>
      </w:pPr>
      <w:rPr>
        <w:rFonts w:ascii="Wingdings" w:hAnsi="Wingdings" w:hint="default"/>
      </w:rPr>
    </w:lvl>
    <w:lvl w:ilvl="6" w:tplc="0E680506" w:tentative="1">
      <w:start w:val="1"/>
      <w:numFmt w:val="bullet"/>
      <w:lvlText w:val=""/>
      <w:lvlJc w:val="left"/>
      <w:pPr>
        <w:ind w:left="5040" w:hanging="360"/>
      </w:pPr>
      <w:rPr>
        <w:rFonts w:ascii="Symbol" w:hAnsi="Symbol" w:hint="default"/>
      </w:rPr>
    </w:lvl>
    <w:lvl w:ilvl="7" w:tplc="2858282A" w:tentative="1">
      <w:start w:val="1"/>
      <w:numFmt w:val="bullet"/>
      <w:lvlText w:val="o"/>
      <w:lvlJc w:val="left"/>
      <w:pPr>
        <w:ind w:left="5760" w:hanging="360"/>
      </w:pPr>
      <w:rPr>
        <w:rFonts w:ascii="Courier New" w:hAnsi="Courier New" w:hint="default"/>
      </w:rPr>
    </w:lvl>
    <w:lvl w:ilvl="8" w:tplc="288A7F6C" w:tentative="1">
      <w:start w:val="1"/>
      <w:numFmt w:val="bullet"/>
      <w:lvlText w:val=""/>
      <w:lvlJc w:val="left"/>
      <w:pPr>
        <w:ind w:left="6480" w:hanging="360"/>
      </w:pPr>
      <w:rPr>
        <w:rFonts w:ascii="Wingdings" w:hAnsi="Wingdings" w:hint="default"/>
      </w:rPr>
    </w:lvl>
  </w:abstractNum>
  <w:abstractNum w:abstractNumId="9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hint="default"/>
      </w:rPr>
    </w:lvl>
  </w:abstractNum>
  <w:abstractNum w:abstractNumId="91"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2" w15:restartNumberingAfterBreak="0">
    <w:nsid w:val="3D8B3448"/>
    <w:multiLevelType w:val="hybridMultilevel"/>
    <w:tmpl w:val="F210F7E2"/>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3DEC380A"/>
    <w:multiLevelType w:val="hybridMultilevel"/>
    <w:tmpl w:val="9CCA9B64"/>
    <w:lvl w:ilvl="0" w:tplc="48E2743C">
      <w:start w:val="1"/>
      <w:numFmt w:val="bullet"/>
      <w:lvlText w:val=""/>
      <w:lvlJc w:val="left"/>
      <w:pPr>
        <w:ind w:left="720" w:hanging="360"/>
      </w:pPr>
      <w:rPr>
        <w:rFonts w:ascii="Symbol" w:hAnsi="Symbol" w:hint="default"/>
      </w:rPr>
    </w:lvl>
    <w:lvl w:ilvl="1" w:tplc="8C20287C">
      <w:start w:val="1"/>
      <w:numFmt w:val="bullet"/>
      <w:lvlText w:val="o"/>
      <w:lvlJc w:val="left"/>
      <w:pPr>
        <w:ind w:left="1440" w:hanging="360"/>
      </w:pPr>
      <w:rPr>
        <w:rFonts w:ascii="Courier New" w:hAnsi="Courier New" w:hint="default"/>
      </w:rPr>
    </w:lvl>
    <w:lvl w:ilvl="2" w:tplc="AB8ED260">
      <w:start w:val="1"/>
      <w:numFmt w:val="bullet"/>
      <w:lvlText w:val=""/>
      <w:lvlJc w:val="left"/>
      <w:pPr>
        <w:ind w:left="2160" w:hanging="360"/>
      </w:pPr>
      <w:rPr>
        <w:rFonts w:ascii="Wingdings" w:hAnsi="Wingdings" w:hint="default"/>
      </w:rPr>
    </w:lvl>
    <w:lvl w:ilvl="3" w:tplc="46189A48">
      <w:start w:val="1"/>
      <w:numFmt w:val="bullet"/>
      <w:lvlText w:val=""/>
      <w:lvlJc w:val="left"/>
      <w:pPr>
        <w:ind w:left="2880" w:hanging="360"/>
      </w:pPr>
      <w:rPr>
        <w:rFonts w:ascii="Symbol" w:hAnsi="Symbol" w:hint="default"/>
      </w:rPr>
    </w:lvl>
    <w:lvl w:ilvl="4" w:tplc="303A919C">
      <w:start w:val="1"/>
      <w:numFmt w:val="bullet"/>
      <w:lvlText w:val="o"/>
      <w:lvlJc w:val="left"/>
      <w:pPr>
        <w:ind w:left="3600" w:hanging="360"/>
      </w:pPr>
      <w:rPr>
        <w:rFonts w:ascii="Courier New" w:hAnsi="Courier New" w:hint="default"/>
      </w:rPr>
    </w:lvl>
    <w:lvl w:ilvl="5" w:tplc="B344BD2E">
      <w:start w:val="1"/>
      <w:numFmt w:val="bullet"/>
      <w:lvlText w:val=""/>
      <w:lvlJc w:val="left"/>
      <w:pPr>
        <w:ind w:left="4320" w:hanging="360"/>
      </w:pPr>
      <w:rPr>
        <w:rFonts w:ascii="Wingdings" w:hAnsi="Wingdings" w:hint="default"/>
      </w:rPr>
    </w:lvl>
    <w:lvl w:ilvl="6" w:tplc="423EB690">
      <w:start w:val="1"/>
      <w:numFmt w:val="bullet"/>
      <w:lvlText w:val=""/>
      <w:lvlJc w:val="left"/>
      <w:pPr>
        <w:ind w:left="5040" w:hanging="360"/>
      </w:pPr>
      <w:rPr>
        <w:rFonts w:ascii="Symbol" w:hAnsi="Symbol" w:hint="default"/>
      </w:rPr>
    </w:lvl>
    <w:lvl w:ilvl="7" w:tplc="2098BB14">
      <w:start w:val="1"/>
      <w:numFmt w:val="bullet"/>
      <w:lvlText w:val="o"/>
      <w:lvlJc w:val="left"/>
      <w:pPr>
        <w:ind w:left="5760" w:hanging="360"/>
      </w:pPr>
      <w:rPr>
        <w:rFonts w:ascii="Courier New" w:hAnsi="Courier New" w:hint="default"/>
      </w:rPr>
    </w:lvl>
    <w:lvl w:ilvl="8" w:tplc="88F21494">
      <w:start w:val="1"/>
      <w:numFmt w:val="bullet"/>
      <w:lvlText w:val=""/>
      <w:lvlJc w:val="left"/>
      <w:pPr>
        <w:ind w:left="6480" w:hanging="360"/>
      </w:pPr>
      <w:rPr>
        <w:rFonts w:ascii="Wingdings" w:hAnsi="Wingdings" w:hint="default"/>
      </w:rPr>
    </w:lvl>
  </w:abstractNum>
  <w:abstractNum w:abstractNumId="94" w15:restartNumberingAfterBreak="0">
    <w:nsid w:val="3E5AC4D8"/>
    <w:multiLevelType w:val="hybridMultilevel"/>
    <w:tmpl w:val="C8EA76B2"/>
    <w:lvl w:ilvl="0" w:tplc="FF04074A">
      <w:start w:val="1"/>
      <w:numFmt w:val="bullet"/>
      <w:lvlText w:val="o"/>
      <w:lvlJc w:val="left"/>
      <w:pPr>
        <w:ind w:left="1080" w:hanging="360"/>
      </w:pPr>
      <w:rPr>
        <w:rFonts w:ascii="Courier New" w:hAnsi="Courier New" w:hint="default"/>
      </w:rPr>
    </w:lvl>
    <w:lvl w:ilvl="1" w:tplc="DAC42198">
      <w:start w:val="1"/>
      <w:numFmt w:val="bullet"/>
      <w:lvlText w:val="o"/>
      <w:lvlJc w:val="left"/>
      <w:pPr>
        <w:ind w:left="1800" w:hanging="360"/>
      </w:pPr>
      <w:rPr>
        <w:rFonts w:ascii="Courier New" w:hAnsi="Courier New" w:hint="default"/>
      </w:rPr>
    </w:lvl>
    <w:lvl w:ilvl="2" w:tplc="50CE6EF8">
      <w:start w:val="1"/>
      <w:numFmt w:val="bullet"/>
      <w:lvlText w:val=""/>
      <w:lvlJc w:val="left"/>
      <w:pPr>
        <w:ind w:left="2520" w:hanging="360"/>
      </w:pPr>
      <w:rPr>
        <w:rFonts w:ascii="Wingdings" w:hAnsi="Wingdings" w:hint="default"/>
      </w:rPr>
    </w:lvl>
    <w:lvl w:ilvl="3" w:tplc="8A4E57C2">
      <w:start w:val="1"/>
      <w:numFmt w:val="bullet"/>
      <w:lvlText w:val=""/>
      <w:lvlJc w:val="left"/>
      <w:pPr>
        <w:ind w:left="3240" w:hanging="360"/>
      </w:pPr>
      <w:rPr>
        <w:rFonts w:ascii="Symbol" w:hAnsi="Symbol" w:hint="default"/>
      </w:rPr>
    </w:lvl>
    <w:lvl w:ilvl="4" w:tplc="187EE45C">
      <w:start w:val="1"/>
      <w:numFmt w:val="bullet"/>
      <w:lvlText w:val="o"/>
      <w:lvlJc w:val="left"/>
      <w:pPr>
        <w:ind w:left="3960" w:hanging="360"/>
      </w:pPr>
      <w:rPr>
        <w:rFonts w:ascii="Courier New" w:hAnsi="Courier New" w:hint="default"/>
      </w:rPr>
    </w:lvl>
    <w:lvl w:ilvl="5" w:tplc="1F242922">
      <w:start w:val="1"/>
      <w:numFmt w:val="bullet"/>
      <w:lvlText w:val=""/>
      <w:lvlJc w:val="left"/>
      <w:pPr>
        <w:ind w:left="4680" w:hanging="360"/>
      </w:pPr>
      <w:rPr>
        <w:rFonts w:ascii="Wingdings" w:hAnsi="Wingdings" w:hint="default"/>
      </w:rPr>
    </w:lvl>
    <w:lvl w:ilvl="6" w:tplc="6E648F10">
      <w:start w:val="1"/>
      <w:numFmt w:val="bullet"/>
      <w:lvlText w:val=""/>
      <w:lvlJc w:val="left"/>
      <w:pPr>
        <w:ind w:left="5400" w:hanging="360"/>
      </w:pPr>
      <w:rPr>
        <w:rFonts w:ascii="Symbol" w:hAnsi="Symbol" w:hint="default"/>
      </w:rPr>
    </w:lvl>
    <w:lvl w:ilvl="7" w:tplc="F05ECA80">
      <w:start w:val="1"/>
      <w:numFmt w:val="bullet"/>
      <w:lvlText w:val="o"/>
      <w:lvlJc w:val="left"/>
      <w:pPr>
        <w:ind w:left="6120" w:hanging="360"/>
      </w:pPr>
      <w:rPr>
        <w:rFonts w:ascii="Courier New" w:hAnsi="Courier New" w:hint="default"/>
      </w:rPr>
    </w:lvl>
    <w:lvl w:ilvl="8" w:tplc="32ECD93E">
      <w:start w:val="1"/>
      <w:numFmt w:val="bullet"/>
      <w:lvlText w:val=""/>
      <w:lvlJc w:val="left"/>
      <w:pPr>
        <w:ind w:left="6840" w:hanging="360"/>
      </w:pPr>
      <w:rPr>
        <w:rFonts w:ascii="Wingdings" w:hAnsi="Wingdings" w:hint="default"/>
      </w:rPr>
    </w:lvl>
  </w:abstractNum>
  <w:abstractNum w:abstractNumId="95" w15:restartNumberingAfterBreak="0">
    <w:nsid w:val="3F8C0CBC"/>
    <w:multiLevelType w:val="multilevel"/>
    <w:tmpl w:val="6F78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1837AFC"/>
    <w:multiLevelType w:val="multilevel"/>
    <w:tmpl w:val="D1F2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29E662A"/>
    <w:multiLevelType w:val="multilevel"/>
    <w:tmpl w:val="CC0A46B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8" w15:restartNumberingAfterBreak="0">
    <w:nsid w:val="43176DF4"/>
    <w:multiLevelType w:val="hybridMultilevel"/>
    <w:tmpl w:val="FFFFFFFF"/>
    <w:lvl w:ilvl="0" w:tplc="075221EA">
      <w:start w:val="1"/>
      <w:numFmt w:val="bullet"/>
      <w:lvlText w:val="·"/>
      <w:lvlJc w:val="left"/>
      <w:pPr>
        <w:ind w:left="720" w:hanging="360"/>
      </w:pPr>
      <w:rPr>
        <w:rFonts w:ascii="Symbol" w:hAnsi="Symbol" w:hint="default"/>
      </w:rPr>
    </w:lvl>
    <w:lvl w:ilvl="1" w:tplc="6C9ACE70">
      <w:start w:val="1"/>
      <w:numFmt w:val="bullet"/>
      <w:lvlText w:val="o"/>
      <w:lvlJc w:val="left"/>
      <w:pPr>
        <w:ind w:left="1440" w:hanging="360"/>
      </w:pPr>
      <w:rPr>
        <w:rFonts w:ascii="Courier New" w:hAnsi="Courier New" w:hint="default"/>
      </w:rPr>
    </w:lvl>
    <w:lvl w:ilvl="2" w:tplc="49D49F5E">
      <w:start w:val="1"/>
      <w:numFmt w:val="bullet"/>
      <w:lvlText w:val=""/>
      <w:lvlJc w:val="left"/>
      <w:pPr>
        <w:ind w:left="2160" w:hanging="360"/>
      </w:pPr>
      <w:rPr>
        <w:rFonts w:ascii="Wingdings" w:hAnsi="Wingdings" w:hint="default"/>
      </w:rPr>
    </w:lvl>
    <w:lvl w:ilvl="3" w:tplc="543837C4">
      <w:start w:val="1"/>
      <w:numFmt w:val="bullet"/>
      <w:lvlText w:val=""/>
      <w:lvlJc w:val="left"/>
      <w:pPr>
        <w:ind w:left="2880" w:hanging="360"/>
      </w:pPr>
      <w:rPr>
        <w:rFonts w:ascii="Symbol" w:hAnsi="Symbol" w:hint="default"/>
      </w:rPr>
    </w:lvl>
    <w:lvl w:ilvl="4" w:tplc="D018BCF2">
      <w:start w:val="1"/>
      <w:numFmt w:val="bullet"/>
      <w:lvlText w:val="o"/>
      <w:lvlJc w:val="left"/>
      <w:pPr>
        <w:ind w:left="3600" w:hanging="360"/>
      </w:pPr>
      <w:rPr>
        <w:rFonts w:ascii="Courier New" w:hAnsi="Courier New" w:hint="default"/>
      </w:rPr>
    </w:lvl>
    <w:lvl w:ilvl="5" w:tplc="2F04F29A">
      <w:start w:val="1"/>
      <w:numFmt w:val="bullet"/>
      <w:lvlText w:val=""/>
      <w:lvlJc w:val="left"/>
      <w:pPr>
        <w:ind w:left="4320" w:hanging="360"/>
      </w:pPr>
      <w:rPr>
        <w:rFonts w:ascii="Wingdings" w:hAnsi="Wingdings" w:hint="default"/>
      </w:rPr>
    </w:lvl>
    <w:lvl w:ilvl="6" w:tplc="93EC3544">
      <w:start w:val="1"/>
      <w:numFmt w:val="bullet"/>
      <w:lvlText w:val=""/>
      <w:lvlJc w:val="left"/>
      <w:pPr>
        <w:ind w:left="5040" w:hanging="360"/>
      </w:pPr>
      <w:rPr>
        <w:rFonts w:ascii="Symbol" w:hAnsi="Symbol" w:hint="default"/>
      </w:rPr>
    </w:lvl>
    <w:lvl w:ilvl="7" w:tplc="F53ED9FC">
      <w:start w:val="1"/>
      <w:numFmt w:val="bullet"/>
      <w:lvlText w:val="o"/>
      <w:lvlJc w:val="left"/>
      <w:pPr>
        <w:ind w:left="5760" w:hanging="360"/>
      </w:pPr>
      <w:rPr>
        <w:rFonts w:ascii="Courier New" w:hAnsi="Courier New" w:hint="default"/>
      </w:rPr>
    </w:lvl>
    <w:lvl w:ilvl="8" w:tplc="298647B4">
      <w:start w:val="1"/>
      <w:numFmt w:val="bullet"/>
      <w:lvlText w:val=""/>
      <w:lvlJc w:val="left"/>
      <w:pPr>
        <w:ind w:left="6480" w:hanging="360"/>
      </w:pPr>
      <w:rPr>
        <w:rFonts w:ascii="Wingdings" w:hAnsi="Wingdings" w:hint="default"/>
      </w:rPr>
    </w:lvl>
  </w:abstractNum>
  <w:abstractNum w:abstractNumId="99" w15:restartNumberingAfterBreak="0">
    <w:nsid w:val="441F22EC"/>
    <w:multiLevelType w:val="multilevel"/>
    <w:tmpl w:val="EFA6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56A433C"/>
    <w:multiLevelType w:val="multilevel"/>
    <w:tmpl w:val="147C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6C82854"/>
    <w:multiLevelType w:val="multilevel"/>
    <w:tmpl w:val="9D8C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6F26565"/>
    <w:multiLevelType w:val="multilevel"/>
    <w:tmpl w:val="3F14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7000B90"/>
    <w:multiLevelType w:val="hybridMultilevel"/>
    <w:tmpl w:val="765AF4C6"/>
    <w:lvl w:ilvl="0" w:tplc="6BD065AE">
      <w:start w:val="1"/>
      <w:numFmt w:val="bullet"/>
      <w:lvlText w:val=""/>
      <w:lvlJc w:val="left"/>
      <w:pPr>
        <w:ind w:left="720" w:hanging="360"/>
      </w:pPr>
      <w:rPr>
        <w:rFonts w:ascii="Symbol" w:hAnsi="Symbol" w:hint="default"/>
      </w:rPr>
    </w:lvl>
    <w:lvl w:ilvl="1" w:tplc="3C0CE11E" w:tentative="1">
      <w:start w:val="1"/>
      <w:numFmt w:val="bullet"/>
      <w:lvlText w:val="o"/>
      <w:lvlJc w:val="left"/>
      <w:pPr>
        <w:ind w:left="1440" w:hanging="360"/>
      </w:pPr>
      <w:rPr>
        <w:rFonts w:ascii="Courier New" w:hAnsi="Courier New" w:hint="default"/>
      </w:rPr>
    </w:lvl>
    <w:lvl w:ilvl="2" w:tplc="F1FE5464" w:tentative="1">
      <w:start w:val="1"/>
      <w:numFmt w:val="bullet"/>
      <w:lvlText w:val=""/>
      <w:lvlJc w:val="left"/>
      <w:pPr>
        <w:ind w:left="2160" w:hanging="360"/>
      </w:pPr>
      <w:rPr>
        <w:rFonts w:ascii="Wingdings" w:hAnsi="Wingdings" w:hint="default"/>
      </w:rPr>
    </w:lvl>
    <w:lvl w:ilvl="3" w:tplc="DB38723C" w:tentative="1">
      <w:start w:val="1"/>
      <w:numFmt w:val="bullet"/>
      <w:lvlText w:val=""/>
      <w:lvlJc w:val="left"/>
      <w:pPr>
        <w:ind w:left="2880" w:hanging="360"/>
      </w:pPr>
      <w:rPr>
        <w:rFonts w:ascii="Symbol" w:hAnsi="Symbol" w:hint="default"/>
      </w:rPr>
    </w:lvl>
    <w:lvl w:ilvl="4" w:tplc="EBA4802E" w:tentative="1">
      <w:start w:val="1"/>
      <w:numFmt w:val="bullet"/>
      <w:lvlText w:val="o"/>
      <w:lvlJc w:val="left"/>
      <w:pPr>
        <w:ind w:left="3600" w:hanging="360"/>
      </w:pPr>
      <w:rPr>
        <w:rFonts w:ascii="Courier New" w:hAnsi="Courier New" w:hint="default"/>
      </w:rPr>
    </w:lvl>
    <w:lvl w:ilvl="5" w:tplc="D5802714" w:tentative="1">
      <w:start w:val="1"/>
      <w:numFmt w:val="bullet"/>
      <w:lvlText w:val=""/>
      <w:lvlJc w:val="left"/>
      <w:pPr>
        <w:ind w:left="4320" w:hanging="360"/>
      </w:pPr>
      <w:rPr>
        <w:rFonts w:ascii="Wingdings" w:hAnsi="Wingdings" w:hint="default"/>
      </w:rPr>
    </w:lvl>
    <w:lvl w:ilvl="6" w:tplc="9962B14C" w:tentative="1">
      <w:start w:val="1"/>
      <w:numFmt w:val="bullet"/>
      <w:lvlText w:val=""/>
      <w:lvlJc w:val="left"/>
      <w:pPr>
        <w:ind w:left="5040" w:hanging="360"/>
      </w:pPr>
      <w:rPr>
        <w:rFonts w:ascii="Symbol" w:hAnsi="Symbol" w:hint="default"/>
      </w:rPr>
    </w:lvl>
    <w:lvl w:ilvl="7" w:tplc="25B01F46" w:tentative="1">
      <w:start w:val="1"/>
      <w:numFmt w:val="bullet"/>
      <w:lvlText w:val="o"/>
      <w:lvlJc w:val="left"/>
      <w:pPr>
        <w:ind w:left="5760" w:hanging="360"/>
      </w:pPr>
      <w:rPr>
        <w:rFonts w:ascii="Courier New" w:hAnsi="Courier New" w:hint="default"/>
      </w:rPr>
    </w:lvl>
    <w:lvl w:ilvl="8" w:tplc="0F0A342A" w:tentative="1">
      <w:start w:val="1"/>
      <w:numFmt w:val="bullet"/>
      <w:lvlText w:val=""/>
      <w:lvlJc w:val="left"/>
      <w:pPr>
        <w:ind w:left="6480" w:hanging="360"/>
      </w:pPr>
      <w:rPr>
        <w:rFonts w:ascii="Wingdings" w:hAnsi="Wingdings" w:hint="default"/>
      </w:rPr>
    </w:lvl>
  </w:abstractNum>
  <w:abstractNum w:abstractNumId="104" w15:restartNumberingAfterBreak="0">
    <w:nsid w:val="473C1B3B"/>
    <w:multiLevelType w:val="multilevel"/>
    <w:tmpl w:val="A5E6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82C0178"/>
    <w:multiLevelType w:val="hybridMultilevel"/>
    <w:tmpl w:val="0BDE8132"/>
    <w:lvl w:ilvl="0" w:tplc="B6042488">
      <w:start w:val="1"/>
      <w:numFmt w:val="bullet"/>
      <w:lvlText w:val=""/>
      <w:lvlJc w:val="left"/>
      <w:pPr>
        <w:ind w:left="720" w:hanging="360"/>
      </w:pPr>
      <w:rPr>
        <w:rFonts w:ascii="Symbol" w:hAnsi="Symbol" w:hint="default"/>
      </w:rPr>
    </w:lvl>
    <w:lvl w:ilvl="1" w:tplc="BFD85D50" w:tentative="1">
      <w:start w:val="1"/>
      <w:numFmt w:val="bullet"/>
      <w:lvlText w:val="o"/>
      <w:lvlJc w:val="left"/>
      <w:pPr>
        <w:ind w:left="1440" w:hanging="360"/>
      </w:pPr>
      <w:rPr>
        <w:rFonts w:ascii="Courier New" w:hAnsi="Courier New" w:hint="default"/>
      </w:rPr>
    </w:lvl>
    <w:lvl w:ilvl="2" w:tplc="56F09FBE" w:tentative="1">
      <w:start w:val="1"/>
      <w:numFmt w:val="bullet"/>
      <w:lvlText w:val=""/>
      <w:lvlJc w:val="left"/>
      <w:pPr>
        <w:ind w:left="2160" w:hanging="360"/>
      </w:pPr>
      <w:rPr>
        <w:rFonts w:ascii="Wingdings" w:hAnsi="Wingdings" w:hint="default"/>
      </w:rPr>
    </w:lvl>
    <w:lvl w:ilvl="3" w:tplc="E2C2C234" w:tentative="1">
      <w:start w:val="1"/>
      <w:numFmt w:val="bullet"/>
      <w:lvlText w:val=""/>
      <w:lvlJc w:val="left"/>
      <w:pPr>
        <w:ind w:left="2880" w:hanging="360"/>
      </w:pPr>
      <w:rPr>
        <w:rFonts w:ascii="Symbol" w:hAnsi="Symbol" w:hint="default"/>
      </w:rPr>
    </w:lvl>
    <w:lvl w:ilvl="4" w:tplc="C0F87510" w:tentative="1">
      <w:start w:val="1"/>
      <w:numFmt w:val="bullet"/>
      <w:lvlText w:val="o"/>
      <w:lvlJc w:val="left"/>
      <w:pPr>
        <w:ind w:left="3600" w:hanging="360"/>
      </w:pPr>
      <w:rPr>
        <w:rFonts w:ascii="Courier New" w:hAnsi="Courier New" w:hint="default"/>
      </w:rPr>
    </w:lvl>
    <w:lvl w:ilvl="5" w:tplc="53A8EB7E" w:tentative="1">
      <w:start w:val="1"/>
      <w:numFmt w:val="bullet"/>
      <w:lvlText w:val=""/>
      <w:lvlJc w:val="left"/>
      <w:pPr>
        <w:ind w:left="4320" w:hanging="360"/>
      </w:pPr>
      <w:rPr>
        <w:rFonts w:ascii="Wingdings" w:hAnsi="Wingdings" w:hint="default"/>
      </w:rPr>
    </w:lvl>
    <w:lvl w:ilvl="6" w:tplc="069A83A0" w:tentative="1">
      <w:start w:val="1"/>
      <w:numFmt w:val="bullet"/>
      <w:lvlText w:val=""/>
      <w:lvlJc w:val="left"/>
      <w:pPr>
        <w:ind w:left="5040" w:hanging="360"/>
      </w:pPr>
      <w:rPr>
        <w:rFonts w:ascii="Symbol" w:hAnsi="Symbol" w:hint="default"/>
      </w:rPr>
    </w:lvl>
    <w:lvl w:ilvl="7" w:tplc="37C03C64" w:tentative="1">
      <w:start w:val="1"/>
      <w:numFmt w:val="bullet"/>
      <w:lvlText w:val="o"/>
      <w:lvlJc w:val="left"/>
      <w:pPr>
        <w:ind w:left="5760" w:hanging="360"/>
      </w:pPr>
      <w:rPr>
        <w:rFonts w:ascii="Courier New" w:hAnsi="Courier New" w:hint="default"/>
      </w:rPr>
    </w:lvl>
    <w:lvl w:ilvl="8" w:tplc="4B5C8552" w:tentative="1">
      <w:start w:val="1"/>
      <w:numFmt w:val="bullet"/>
      <w:lvlText w:val=""/>
      <w:lvlJc w:val="left"/>
      <w:pPr>
        <w:ind w:left="6480" w:hanging="360"/>
      </w:pPr>
      <w:rPr>
        <w:rFonts w:ascii="Wingdings" w:hAnsi="Wingdings" w:hint="default"/>
      </w:rPr>
    </w:lvl>
  </w:abstractNum>
  <w:abstractNum w:abstractNumId="106" w15:restartNumberingAfterBreak="0">
    <w:nsid w:val="49785351"/>
    <w:multiLevelType w:val="multilevel"/>
    <w:tmpl w:val="1ED0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97A0D61"/>
    <w:multiLevelType w:val="hybridMultilevel"/>
    <w:tmpl w:val="D638DB1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497C5E09"/>
    <w:multiLevelType w:val="hybridMultilevel"/>
    <w:tmpl w:val="D1985E0A"/>
    <w:styleLink w:val="NumbLstTableBullet"/>
    <w:lvl w:ilvl="0" w:tplc="8E1436FA">
      <w:start w:val="1"/>
      <w:numFmt w:val="decimal"/>
      <w:lvlText w:val="(%1)."/>
      <w:lvlJc w:val="left"/>
      <w:pPr>
        <w:ind w:left="1494" w:hanging="360"/>
      </w:pPr>
      <w:rPr>
        <w:rFonts w:hint="default"/>
        <w:b w:val="0"/>
        <w:i w:val="0"/>
        <w:sz w:val="24"/>
      </w:rPr>
    </w:lvl>
    <w:lvl w:ilvl="1" w:tplc="27DC6C72">
      <w:start w:val="1"/>
      <w:numFmt w:val="lowerRoman"/>
      <w:lvlText w:val="(%2)"/>
      <w:lvlJc w:val="left"/>
      <w:pPr>
        <w:ind w:left="1800" w:hanging="720"/>
      </w:pPr>
      <w:rPr>
        <w:rFonts w:hint="default"/>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D47F39"/>
    <w:multiLevelType w:val="multilevel"/>
    <w:tmpl w:val="FC02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A420110"/>
    <w:multiLevelType w:val="hybridMultilevel"/>
    <w:tmpl w:val="EC007972"/>
    <w:lvl w:ilvl="0" w:tplc="00FC359E">
      <w:start w:val="18"/>
      <w:numFmt w:val="bullet"/>
      <w:lvlText w:val="-"/>
      <w:lvlJc w:val="left"/>
      <w:pPr>
        <w:ind w:left="720" w:hanging="360"/>
      </w:pPr>
      <w:rPr>
        <w:rFonts w:ascii="Aptos" w:eastAsiaTheme="minorEastAsia"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1" w15:restartNumberingAfterBreak="0">
    <w:nsid w:val="4B9276EB"/>
    <w:multiLevelType w:val="hybridMultilevel"/>
    <w:tmpl w:val="1BE0C52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4BB52F7B"/>
    <w:multiLevelType w:val="hybridMultilevel"/>
    <w:tmpl w:val="5B787FB4"/>
    <w:lvl w:ilvl="0" w:tplc="787CC6D2">
      <w:start w:val="1"/>
      <w:numFmt w:val="bullet"/>
      <w:lvlText w:val=""/>
      <w:lvlJc w:val="left"/>
      <w:pPr>
        <w:ind w:left="360" w:hanging="360"/>
      </w:pPr>
      <w:rPr>
        <w:rFonts w:ascii="Symbol" w:hAnsi="Symbol" w:hint="default"/>
      </w:rPr>
    </w:lvl>
    <w:lvl w:ilvl="1" w:tplc="01DC9AE6" w:tentative="1">
      <w:start w:val="1"/>
      <w:numFmt w:val="bullet"/>
      <w:lvlText w:val="o"/>
      <w:lvlJc w:val="left"/>
      <w:pPr>
        <w:ind w:left="1080" w:hanging="360"/>
      </w:pPr>
      <w:rPr>
        <w:rFonts w:ascii="Courier New" w:hAnsi="Courier New" w:hint="default"/>
      </w:rPr>
    </w:lvl>
    <w:lvl w:ilvl="2" w:tplc="01BE10A4" w:tentative="1">
      <w:start w:val="1"/>
      <w:numFmt w:val="bullet"/>
      <w:lvlText w:val=""/>
      <w:lvlJc w:val="left"/>
      <w:pPr>
        <w:ind w:left="1800" w:hanging="360"/>
      </w:pPr>
      <w:rPr>
        <w:rFonts w:ascii="Wingdings" w:hAnsi="Wingdings" w:hint="default"/>
      </w:rPr>
    </w:lvl>
    <w:lvl w:ilvl="3" w:tplc="CE3687E4" w:tentative="1">
      <w:start w:val="1"/>
      <w:numFmt w:val="bullet"/>
      <w:lvlText w:val=""/>
      <w:lvlJc w:val="left"/>
      <w:pPr>
        <w:ind w:left="2520" w:hanging="360"/>
      </w:pPr>
      <w:rPr>
        <w:rFonts w:ascii="Symbol" w:hAnsi="Symbol" w:hint="default"/>
      </w:rPr>
    </w:lvl>
    <w:lvl w:ilvl="4" w:tplc="B3CC102E" w:tentative="1">
      <w:start w:val="1"/>
      <w:numFmt w:val="bullet"/>
      <w:lvlText w:val="o"/>
      <w:lvlJc w:val="left"/>
      <w:pPr>
        <w:ind w:left="3240" w:hanging="360"/>
      </w:pPr>
      <w:rPr>
        <w:rFonts w:ascii="Courier New" w:hAnsi="Courier New" w:hint="default"/>
      </w:rPr>
    </w:lvl>
    <w:lvl w:ilvl="5" w:tplc="F2206444" w:tentative="1">
      <w:start w:val="1"/>
      <w:numFmt w:val="bullet"/>
      <w:lvlText w:val=""/>
      <w:lvlJc w:val="left"/>
      <w:pPr>
        <w:ind w:left="3960" w:hanging="360"/>
      </w:pPr>
      <w:rPr>
        <w:rFonts w:ascii="Wingdings" w:hAnsi="Wingdings" w:hint="default"/>
      </w:rPr>
    </w:lvl>
    <w:lvl w:ilvl="6" w:tplc="E0BE8C02" w:tentative="1">
      <w:start w:val="1"/>
      <w:numFmt w:val="bullet"/>
      <w:lvlText w:val=""/>
      <w:lvlJc w:val="left"/>
      <w:pPr>
        <w:ind w:left="4680" w:hanging="360"/>
      </w:pPr>
      <w:rPr>
        <w:rFonts w:ascii="Symbol" w:hAnsi="Symbol" w:hint="default"/>
      </w:rPr>
    </w:lvl>
    <w:lvl w:ilvl="7" w:tplc="B4C44784" w:tentative="1">
      <w:start w:val="1"/>
      <w:numFmt w:val="bullet"/>
      <w:lvlText w:val="o"/>
      <w:lvlJc w:val="left"/>
      <w:pPr>
        <w:ind w:left="5400" w:hanging="360"/>
      </w:pPr>
      <w:rPr>
        <w:rFonts w:ascii="Courier New" w:hAnsi="Courier New" w:hint="default"/>
      </w:rPr>
    </w:lvl>
    <w:lvl w:ilvl="8" w:tplc="E81E5162" w:tentative="1">
      <w:start w:val="1"/>
      <w:numFmt w:val="bullet"/>
      <w:lvlText w:val=""/>
      <w:lvlJc w:val="left"/>
      <w:pPr>
        <w:ind w:left="6120" w:hanging="360"/>
      </w:pPr>
      <w:rPr>
        <w:rFonts w:ascii="Wingdings" w:hAnsi="Wingdings" w:hint="default"/>
      </w:rPr>
    </w:lvl>
  </w:abstractNum>
  <w:abstractNum w:abstractNumId="113" w15:restartNumberingAfterBreak="0">
    <w:nsid w:val="4DEB7DF7"/>
    <w:multiLevelType w:val="multilevel"/>
    <w:tmpl w:val="6FC8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E683004"/>
    <w:multiLevelType w:val="hybridMultilevel"/>
    <w:tmpl w:val="C53C468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4FC32C44"/>
    <w:multiLevelType w:val="multilevel"/>
    <w:tmpl w:val="CC30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FCA3596"/>
    <w:multiLevelType w:val="multilevel"/>
    <w:tmpl w:val="D54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0325131"/>
    <w:multiLevelType w:val="hybridMultilevel"/>
    <w:tmpl w:val="DBD6452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5072619B"/>
    <w:multiLevelType w:val="multilevel"/>
    <w:tmpl w:val="80AE0CD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9" w15:restartNumberingAfterBreak="0">
    <w:nsid w:val="507E3710"/>
    <w:multiLevelType w:val="multilevel"/>
    <w:tmpl w:val="1F50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0AB0922"/>
    <w:multiLevelType w:val="hybridMultilevel"/>
    <w:tmpl w:val="E8C67AA4"/>
    <w:lvl w:ilvl="0" w:tplc="1809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10A37FF"/>
    <w:multiLevelType w:val="hybridMultilevel"/>
    <w:tmpl w:val="8D36CEE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51236BD5"/>
    <w:multiLevelType w:val="hybridMultilevel"/>
    <w:tmpl w:val="0BD2E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1531669"/>
    <w:multiLevelType w:val="multilevel"/>
    <w:tmpl w:val="DA44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5398308F"/>
    <w:multiLevelType w:val="hybridMultilevel"/>
    <w:tmpl w:val="E8221FFC"/>
    <w:lvl w:ilvl="0" w:tplc="D438F9C2">
      <w:start w:val="1"/>
      <w:numFmt w:val="bullet"/>
      <w:lvlText w:val=""/>
      <w:lvlJc w:val="left"/>
      <w:pPr>
        <w:ind w:left="720" w:hanging="360"/>
      </w:pPr>
      <w:rPr>
        <w:rFonts w:ascii="Symbol" w:hAnsi="Symbol" w:hint="default"/>
      </w:rPr>
    </w:lvl>
    <w:lvl w:ilvl="1" w:tplc="0EFAE73C" w:tentative="1">
      <w:start w:val="1"/>
      <w:numFmt w:val="bullet"/>
      <w:lvlText w:val="o"/>
      <w:lvlJc w:val="left"/>
      <w:pPr>
        <w:ind w:left="1440" w:hanging="360"/>
      </w:pPr>
      <w:rPr>
        <w:rFonts w:ascii="Courier New" w:hAnsi="Courier New" w:hint="default"/>
      </w:rPr>
    </w:lvl>
    <w:lvl w:ilvl="2" w:tplc="B0BA84B8" w:tentative="1">
      <w:start w:val="1"/>
      <w:numFmt w:val="bullet"/>
      <w:lvlText w:val=""/>
      <w:lvlJc w:val="left"/>
      <w:pPr>
        <w:ind w:left="2160" w:hanging="360"/>
      </w:pPr>
      <w:rPr>
        <w:rFonts w:ascii="Wingdings" w:hAnsi="Wingdings" w:hint="default"/>
      </w:rPr>
    </w:lvl>
    <w:lvl w:ilvl="3" w:tplc="F2BCD3F2" w:tentative="1">
      <w:start w:val="1"/>
      <w:numFmt w:val="bullet"/>
      <w:lvlText w:val=""/>
      <w:lvlJc w:val="left"/>
      <w:pPr>
        <w:ind w:left="2880" w:hanging="360"/>
      </w:pPr>
      <w:rPr>
        <w:rFonts w:ascii="Symbol" w:hAnsi="Symbol" w:hint="default"/>
      </w:rPr>
    </w:lvl>
    <w:lvl w:ilvl="4" w:tplc="7DE89D48" w:tentative="1">
      <w:start w:val="1"/>
      <w:numFmt w:val="bullet"/>
      <w:lvlText w:val="o"/>
      <w:lvlJc w:val="left"/>
      <w:pPr>
        <w:ind w:left="3600" w:hanging="360"/>
      </w:pPr>
      <w:rPr>
        <w:rFonts w:ascii="Courier New" w:hAnsi="Courier New" w:hint="default"/>
      </w:rPr>
    </w:lvl>
    <w:lvl w:ilvl="5" w:tplc="54221B80" w:tentative="1">
      <w:start w:val="1"/>
      <w:numFmt w:val="bullet"/>
      <w:lvlText w:val=""/>
      <w:lvlJc w:val="left"/>
      <w:pPr>
        <w:ind w:left="4320" w:hanging="360"/>
      </w:pPr>
      <w:rPr>
        <w:rFonts w:ascii="Wingdings" w:hAnsi="Wingdings" w:hint="default"/>
      </w:rPr>
    </w:lvl>
    <w:lvl w:ilvl="6" w:tplc="5C4C407C" w:tentative="1">
      <w:start w:val="1"/>
      <w:numFmt w:val="bullet"/>
      <w:lvlText w:val=""/>
      <w:lvlJc w:val="left"/>
      <w:pPr>
        <w:ind w:left="5040" w:hanging="360"/>
      </w:pPr>
      <w:rPr>
        <w:rFonts w:ascii="Symbol" w:hAnsi="Symbol" w:hint="default"/>
      </w:rPr>
    </w:lvl>
    <w:lvl w:ilvl="7" w:tplc="4AE8FA5C" w:tentative="1">
      <w:start w:val="1"/>
      <w:numFmt w:val="bullet"/>
      <w:lvlText w:val="o"/>
      <w:lvlJc w:val="left"/>
      <w:pPr>
        <w:ind w:left="5760" w:hanging="360"/>
      </w:pPr>
      <w:rPr>
        <w:rFonts w:ascii="Courier New" w:hAnsi="Courier New" w:hint="default"/>
      </w:rPr>
    </w:lvl>
    <w:lvl w:ilvl="8" w:tplc="25325BDA" w:tentative="1">
      <w:start w:val="1"/>
      <w:numFmt w:val="bullet"/>
      <w:lvlText w:val=""/>
      <w:lvlJc w:val="left"/>
      <w:pPr>
        <w:ind w:left="6480" w:hanging="360"/>
      </w:pPr>
      <w:rPr>
        <w:rFonts w:ascii="Wingdings" w:hAnsi="Wingdings" w:hint="default"/>
      </w:rPr>
    </w:lvl>
  </w:abstractNum>
  <w:abstractNum w:abstractNumId="125" w15:restartNumberingAfterBreak="0">
    <w:nsid w:val="549B1051"/>
    <w:multiLevelType w:val="multilevel"/>
    <w:tmpl w:val="5AB0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63E5F69"/>
    <w:multiLevelType w:val="hybridMultilevel"/>
    <w:tmpl w:val="8BEE947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56FF48E2"/>
    <w:multiLevelType w:val="multilevel"/>
    <w:tmpl w:val="7914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7452862"/>
    <w:multiLevelType w:val="hybridMultilevel"/>
    <w:tmpl w:val="E88282E2"/>
    <w:lvl w:ilvl="0" w:tplc="FAA4163A">
      <w:start w:val="1"/>
      <w:numFmt w:val="bullet"/>
      <w:lvlText w:val=""/>
      <w:lvlJc w:val="left"/>
      <w:pPr>
        <w:ind w:left="720" w:hanging="360"/>
      </w:pPr>
      <w:rPr>
        <w:rFonts w:ascii="Symbol" w:hAnsi="Symbol" w:hint="default"/>
      </w:rPr>
    </w:lvl>
    <w:lvl w:ilvl="1" w:tplc="29C49F4C">
      <w:start w:val="1"/>
      <w:numFmt w:val="bullet"/>
      <w:lvlText w:val="o"/>
      <w:lvlJc w:val="left"/>
      <w:pPr>
        <w:ind w:left="1440" w:hanging="360"/>
      </w:pPr>
      <w:rPr>
        <w:rFonts w:ascii="Courier New" w:hAnsi="Courier New" w:hint="default"/>
      </w:rPr>
    </w:lvl>
    <w:lvl w:ilvl="2" w:tplc="ACA013F8">
      <w:start w:val="1"/>
      <w:numFmt w:val="bullet"/>
      <w:lvlText w:val=""/>
      <w:lvlJc w:val="left"/>
      <w:pPr>
        <w:ind w:left="2160" w:hanging="360"/>
      </w:pPr>
      <w:rPr>
        <w:rFonts w:ascii="Wingdings" w:hAnsi="Wingdings" w:hint="default"/>
      </w:rPr>
    </w:lvl>
    <w:lvl w:ilvl="3" w:tplc="5FFA5190">
      <w:start w:val="1"/>
      <w:numFmt w:val="bullet"/>
      <w:lvlText w:val=""/>
      <w:lvlJc w:val="left"/>
      <w:pPr>
        <w:ind w:left="2880" w:hanging="360"/>
      </w:pPr>
      <w:rPr>
        <w:rFonts w:ascii="Symbol" w:hAnsi="Symbol" w:hint="default"/>
      </w:rPr>
    </w:lvl>
    <w:lvl w:ilvl="4" w:tplc="840A1378">
      <w:start w:val="1"/>
      <w:numFmt w:val="bullet"/>
      <w:lvlText w:val="o"/>
      <w:lvlJc w:val="left"/>
      <w:pPr>
        <w:ind w:left="3600" w:hanging="360"/>
      </w:pPr>
      <w:rPr>
        <w:rFonts w:ascii="Courier New" w:hAnsi="Courier New" w:hint="default"/>
      </w:rPr>
    </w:lvl>
    <w:lvl w:ilvl="5" w:tplc="39166814">
      <w:start w:val="1"/>
      <w:numFmt w:val="bullet"/>
      <w:lvlText w:val=""/>
      <w:lvlJc w:val="left"/>
      <w:pPr>
        <w:ind w:left="4320" w:hanging="360"/>
      </w:pPr>
      <w:rPr>
        <w:rFonts w:ascii="Wingdings" w:hAnsi="Wingdings" w:hint="default"/>
      </w:rPr>
    </w:lvl>
    <w:lvl w:ilvl="6" w:tplc="4CB6620A">
      <w:start w:val="1"/>
      <w:numFmt w:val="bullet"/>
      <w:lvlText w:val=""/>
      <w:lvlJc w:val="left"/>
      <w:pPr>
        <w:ind w:left="5040" w:hanging="360"/>
      </w:pPr>
      <w:rPr>
        <w:rFonts w:ascii="Symbol" w:hAnsi="Symbol" w:hint="default"/>
      </w:rPr>
    </w:lvl>
    <w:lvl w:ilvl="7" w:tplc="9BF8EFDE">
      <w:start w:val="1"/>
      <w:numFmt w:val="bullet"/>
      <w:lvlText w:val="o"/>
      <w:lvlJc w:val="left"/>
      <w:pPr>
        <w:ind w:left="5760" w:hanging="360"/>
      </w:pPr>
      <w:rPr>
        <w:rFonts w:ascii="Courier New" w:hAnsi="Courier New" w:hint="default"/>
      </w:rPr>
    </w:lvl>
    <w:lvl w:ilvl="8" w:tplc="DF2C2B66">
      <w:start w:val="1"/>
      <w:numFmt w:val="bullet"/>
      <w:lvlText w:val=""/>
      <w:lvlJc w:val="left"/>
      <w:pPr>
        <w:ind w:left="6480" w:hanging="360"/>
      </w:pPr>
      <w:rPr>
        <w:rFonts w:ascii="Wingdings" w:hAnsi="Wingdings" w:hint="default"/>
      </w:rPr>
    </w:lvl>
  </w:abstractNum>
  <w:abstractNum w:abstractNumId="129" w15:restartNumberingAfterBreak="0">
    <w:nsid w:val="58D11E7E"/>
    <w:multiLevelType w:val="hybridMultilevel"/>
    <w:tmpl w:val="029ED2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0" w15:restartNumberingAfterBreak="0">
    <w:nsid w:val="59B06B66"/>
    <w:multiLevelType w:val="hybridMultilevel"/>
    <w:tmpl w:val="C414A81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59B361CE"/>
    <w:multiLevelType w:val="hybridMultilevel"/>
    <w:tmpl w:val="D6726404"/>
    <w:lvl w:ilvl="0" w:tplc="6936DCB6">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A8747FD"/>
    <w:multiLevelType w:val="hybridMultilevel"/>
    <w:tmpl w:val="D35AD8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3" w15:restartNumberingAfterBreak="0">
    <w:nsid w:val="5B1631E0"/>
    <w:multiLevelType w:val="hybridMultilevel"/>
    <w:tmpl w:val="2F3C7620"/>
    <w:lvl w:ilvl="0" w:tplc="1C0AF1F2">
      <w:start w:val="1"/>
      <w:numFmt w:val="bullet"/>
      <w:lvlText w:val=""/>
      <w:lvlJc w:val="left"/>
      <w:pPr>
        <w:ind w:left="720" w:hanging="360"/>
      </w:pPr>
      <w:rPr>
        <w:rFonts w:ascii="Symbol" w:hAnsi="Symbol" w:hint="default"/>
      </w:rPr>
    </w:lvl>
    <w:lvl w:ilvl="1" w:tplc="61E4E14C">
      <w:start w:val="1"/>
      <w:numFmt w:val="bullet"/>
      <w:lvlText w:val="o"/>
      <w:lvlJc w:val="left"/>
      <w:pPr>
        <w:ind w:left="1440" w:hanging="360"/>
      </w:pPr>
      <w:rPr>
        <w:rFonts w:ascii="Courier New" w:hAnsi="Courier New" w:hint="default"/>
      </w:rPr>
    </w:lvl>
    <w:lvl w:ilvl="2" w:tplc="D8BAD50C">
      <w:start w:val="1"/>
      <w:numFmt w:val="bullet"/>
      <w:lvlText w:val=""/>
      <w:lvlJc w:val="left"/>
      <w:pPr>
        <w:ind w:left="2160" w:hanging="360"/>
      </w:pPr>
      <w:rPr>
        <w:rFonts w:ascii="Wingdings" w:hAnsi="Wingdings" w:hint="default"/>
      </w:rPr>
    </w:lvl>
    <w:lvl w:ilvl="3" w:tplc="B9488126">
      <w:start w:val="1"/>
      <w:numFmt w:val="bullet"/>
      <w:lvlText w:val=""/>
      <w:lvlJc w:val="left"/>
      <w:pPr>
        <w:ind w:left="2880" w:hanging="360"/>
      </w:pPr>
      <w:rPr>
        <w:rFonts w:ascii="Symbol" w:hAnsi="Symbol" w:hint="default"/>
      </w:rPr>
    </w:lvl>
    <w:lvl w:ilvl="4" w:tplc="2C3ED09A" w:tentative="1">
      <w:start w:val="1"/>
      <w:numFmt w:val="bullet"/>
      <w:lvlText w:val="o"/>
      <w:lvlJc w:val="left"/>
      <w:pPr>
        <w:ind w:left="3600" w:hanging="360"/>
      </w:pPr>
      <w:rPr>
        <w:rFonts w:ascii="Courier New" w:hAnsi="Courier New" w:hint="default"/>
      </w:rPr>
    </w:lvl>
    <w:lvl w:ilvl="5" w:tplc="38B01EC4" w:tentative="1">
      <w:start w:val="1"/>
      <w:numFmt w:val="bullet"/>
      <w:lvlText w:val=""/>
      <w:lvlJc w:val="left"/>
      <w:pPr>
        <w:ind w:left="4320" w:hanging="360"/>
      </w:pPr>
      <w:rPr>
        <w:rFonts w:ascii="Wingdings" w:hAnsi="Wingdings" w:hint="default"/>
      </w:rPr>
    </w:lvl>
    <w:lvl w:ilvl="6" w:tplc="B966F226" w:tentative="1">
      <w:start w:val="1"/>
      <w:numFmt w:val="bullet"/>
      <w:lvlText w:val=""/>
      <w:lvlJc w:val="left"/>
      <w:pPr>
        <w:ind w:left="5040" w:hanging="360"/>
      </w:pPr>
      <w:rPr>
        <w:rFonts w:ascii="Symbol" w:hAnsi="Symbol" w:hint="default"/>
      </w:rPr>
    </w:lvl>
    <w:lvl w:ilvl="7" w:tplc="58BA685C" w:tentative="1">
      <w:start w:val="1"/>
      <w:numFmt w:val="bullet"/>
      <w:lvlText w:val="o"/>
      <w:lvlJc w:val="left"/>
      <w:pPr>
        <w:ind w:left="5760" w:hanging="360"/>
      </w:pPr>
      <w:rPr>
        <w:rFonts w:ascii="Courier New" w:hAnsi="Courier New" w:hint="default"/>
      </w:rPr>
    </w:lvl>
    <w:lvl w:ilvl="8" w:tplc="F364DB08" w:tentative="1">
      <w:start w:val="1"/>
      <w:numFmt w:val="bullet"/>
      <w:lvlText w:val=""/>
      <w:lvlJc w:val="left"/>
      <w:pPr>
        <w:ind w:left="6480" w:hanging="360"/>
      </w:pPr>
      <w:rPr>
        <w:rFonts w:ascii="Wingdings" w:hAnsi="Wingdings" w:hint="default"/>
      </w:rPr>
    </w:lvl>
  </w:abstractNum>
  <w:abstractNum w:abstractNumId="134" w15:restartNumberingAfterBreak="0">
    <w:nsid w:val="5B2203ED"/>
    <w:multiLevelType w:val="multilevel"/>
    <w:tmpl w:val="B0BA62DC"/>
    <w:lvl w:ilvl="0">
      <w:start w:val="1"/>
      <w:numFmt w:val="decimal"/>
      <w:lvlText w:val="%1."/>
      <w:lvlJc w:val="left"/>
      <w:pPr>
        <w:ind w:left="1080" w:hanging="360"/>
      </w:pPr>
      <w:rPr>
        <w:b/>
        <w:bCs/>
      </w:r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bullet"/>
      <w:lvlText w:val="·"/>
      <w:lvlJc w:val="left"/>
      <w:pPr>
        <w:ind w:left="3240" w:hanging="360"/>
      </w:pPr>
      <w:rPr>
        <w:rFonts w:ascii="Symbol" w:hAnsi="Symbol" w:hint="default"/>
        <w:color w:val="000000" w:themeColor="text1"/>
      </w:rPr>
    </w:lvl>
    <w:lvl w:ilvl="4" w:tentative="1">
      <w:start w:val="1"/>
      <w:numFmt w:val="decimal"/>
      <w:lvlText w:val="%1.%2.%3.%4.%5."/>
      <w:lvlJc w:val="left"/>
      <w:pPr>
        <w:ind w:left="3960" w:hanging="360"/>
      </w:pPr>
    </w:lvl>
    <w:lvl w:ilvl="5" w:tentative="1">
      <w:start w:val="1"/>
      <w:numFmt w:val="decimal"/>
      <w:lvlText w:val="%1.%2.%3.%4.%5.%6."/>
      <w:lvlJc w:val="left"/>
      <w:pPr>
        <w:ind w:left="4680" w:hanging="180"/>
      </w:pPr>
    </w:lvl>
    <w:lvl w:ilvl="6" w:tentative="1">
      <w:start w:val="1"/>
      <w:numFmt w:val="decimal"/>
      <w:lvlText w:val="%1.%2.%3.%4.%5.%6.%7."/>
      <w:lvlJc w:val="left"/>
      <w:pPr>
        <w:ind w:left="5400" w:hanging="360"/>
      </w:pPr>
    </w:lvl>
    <w:lvl w:ilvl="7" w:tentative="1">
      <w:start w:val="1"/>
      <w:numFmt w:val="decimal"/>
      <w:lvlText w:val="%1.%2.%3.%4.%5.%6.%7.%8."/>
      <w:lvlJc w:val="left"/>
      <w:pPr>
        <w:ind w:left="6120" w:hanging="360"/>
      </w:pPr>
    </w:lvl>
    <w:lvl w:ilvl="8" w:tentative="1">
      <w:start w:val="1"/>
      <w:numFmt w:val="decimal"/>
      <w:lvlText w:val="%1.%2.%3.%4.%5.%6.%7.%8.%9."/>
      <w:lvlJc w:val="left"/>
      <w:pPr>
        <w:ind w:left="6840" w:hanging="180"/>
      </w:pPr>
    </w:lvl>
  </w:abstractNum>
  <w:abstractNum w:abstractNumId="135" w15:restartNumberingAfterBreak="0">
    <w:nsid w:val="5BB905F0"/>
    <w:multiLevelType w:val="hybridMultilevel"/>
    <w:tmpl w:val="8C4CCE7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5BDD8206"/>
    <w:multiLevelType w:val="hybridMultilevel"/>
    <w:tmpl w:val="FFFFFFFF"/>
    <w:lvl w:ilvl="0" w:tplc="3F0C3890">
      <w:start w:val="1"/>
      <w:numFmt w:val="bullet"/>
      <w:lvlText w:val="·"/>
      <w:lvlJc w:val="left"/>
      <w:pPr>
        <w:ind w:left="720" w:hanging="360"/>
      </w:pPr>
      <w:rPr>
        <w:rFonts w:ascii="Symbol" w:hAnsi="Symbol" w:hint="default"/>
      </w:rPr>
    </w:lvl>
    <w:lvl w:ilvl="1" w:tplc="7F9E6E5E">
      <w:start w:val="1"/>
      <w:numFmt w:val="bullet"/>
      <w:lvlText w:val="o"/>
      <w:lvlJc w:val="left"/>
      <w:pPr>
        <w:ind w:left="1440" w:hanging="360"/>
      </w:pPr>
      <w:rPr>
        <w:rFonts w:ascii="Courier New" w:hAnsi="Courier New" w:hint="default"/>
      </w:rPr>
    </w:lvl>
    <w:lvl w:ilvl="2" w:tplc="910CE7A6">
      <w:start w:val="1"/>
      <w:numFmt w:val="bullet"/>
      <w:lvlText w:val=""/>
      <w:lvlJc w:val="left"/>
      <w:pPr>
        <w:ind w:left="2160" w:hanging="360"/>
      </w:pPr>
      <w:rPr>
        <w:rFonts w:ascii="Wingdings" w:hAnsi="Wingdings" w:hint="default"/>
      </w:rPr>
    </w:lvl>
    <w:lvl w:ilvl="3" w:tplc="7B004678">
      <w:start w:val="1"/>
      <w:numFmt w:val="bullet"/>
      <w:lvlText w:val=""/>
      <w:lvlJc w:val="left"/>
      <w:pPr>
        <w:ind w:left="2880" w:hanging="360"/>
      </w:pPr>
      <w:rPr>
        <w:rFonts w:ascii="Symbol" w:hAnsi="Symbol" w:hint="default"/>
      </w:rPr>
    </w:lvl>
    <w:lvl w:ilvl="4" w:tplc="BEDEE6EC">
      <w:start w:val="1"/>
      <w:numFmt w:val="bullet"/>
      <w:lvlText w:val="o"/>
      <w:lvlJc w:val="left"/>
      <w:pPr>
        <w:ind w:left="3600" w:hanging="360"/>
      </w:pPr>
      <w:rPr>
        <w:rFonts w:ascii="Courier New" w:hAnsi="Courier New" w:hint="default"/>
      </w:rPr>
    </w:lvl>
    <w:lvl w:ilvl="5" w:tplc="A5A2D412">
      <w:start w:val="1"/>
      <w:numFmt w:val="bullet"/>
      <w:lvlText w:val=""/>
      <w:lvlJc w:val="left"/>
      <w:pPr>
        <w:ind w:left="4320" w:hanging="360"/>
      </w:pPr>
      <w:rPr>
        <w:rFonts w:ascii="Wingdings" w:hAnsi="Wingdings" w:hint="default"/>
      </w:rPr>
    </w:lvl>
    <w:lvl w:ilvl="6" w:tplc="6B30A8D4">
      <w:start w:val="1"/>
      <w:numFmt w:val="bullet"/>
      <w:lvlText w:val=""/>
      <w:lvlJc w:val="left"/>
      <w:pPr>
        <w:ind w:left="5040" w:hanging="360"/>
      </w:pPr>
      <w:rPr>
        <w:rFonts w:ascii="Symbol" w:hAnsi="Symbol" w:hint="default"/>
      </w:rPr>
    </w:lvl>
    <w:lvl w:ilvl="7" w:tplc="6B08AA0E">
      <w:start w:val="1"/>
      <w:numFmt w:val="bullet"/>
      <w:lvlText w:val="o"/>
      <w:lvlJc w:val="left"/>
      <w:pPr>
        <w:ind w:left="5760" w:hanging="360"/>
      </w:pPr>
      <w:rPr>
        <w:rFonts w:ascii="Courier New" w:hAnsi="Courier New" w:hint="default"/>
      </w:rPr>
    </w:lvl>
    <w:lvl w:ilvl="8" w:tplc="76562516">
      <w:start w:val="1"/>
      <w:numFmt w:val="bullet"/>
      <w:lvlText w:val=""/>
      <w:lvlJc w:val="left"/>
      <w:pPr>
        <w:ind w:left="6480" w:hanging="360"/>
      </w:pPr>
      <w:rPr>
        <w:rFonts w:ascii="Wingdings" w:hAnsi="Wingdings" w:hint="default"/>
      </w:rPr>
    </w:lvl>
  </w:abstractNum>
  <w:abstractNum w:abstractNumId="137" w15:restartNumberingAfterBreak="0">
    <w:nsid w:val="5D41638E"/>
    <w:multiLevelType w:val="hybridMultilevel"/>
    <w:tmpl w:val="9CB076F8"/>
    <w:lvl w:ilvl="0" w:tplc="067620FC">
      <w:numFmt w:val="bullet"/>
      <w:lvlText w:val="-"/>
      <w:lvlJc w:val="left"/>
      <w:pPr>
        <w:ind w:left="720" w:hanging="360"/>
      </w:pPr>
      <w:rPr>
        <w:rFonts w:ascii="Calibri" w:hAnsi="Calibri" w:hint="default"/>
      </w:rPr>
    </w:lvl>
    <w:lvl w:ilvl="1" w:tplc="D61C6E8C">
      <w:start w:val="1"/>
      <w:numFmt w:val="bullet"/>
      <w:lvlText w:val="o"/>
      <w:lvlJc w:val="left"/>
      <w:pPr>
        <w:ind w:left="1440" w:hanging="360"/>
      </w:pPr>
      <w:rPr>
        <w:rFonts w:ascii="Courier New" w:hAnsi="Courier New" w:hint="default"/>
      </w:rPr>
    </w:lvl>
    <w:lvl w:ilvl="2" w:tplc="681A073A" w:tentative="1">
      <w:start w:val="1"/>
      <w:numFmt w:val="bullet"/>
      <w:lvlText w:val=""/>
      <w:lvlJc w:val="left"/>
      <w:pPr>
        <w:ind w:left="2160" w:hanging="360"/>
      </w:pPr>
      <w:rPr>
        <w:rFonts w:ascii="Wingdings" w:hAnsi="Wingdings" w:hint="default"/>
      </w:rPr>
    </w:lvl>
    <w:lvl w:ilvl="3" w:tplc="958EDDB0" w:tentative="1">
      <w:start w:val="1"/>
      <w:numFmt w:val="bullet"/>
      <w:lvlText w:val=""/>
      <w:lvlJc w:val="left"/>
      <w:pPr>
        <w:ind w:left="2880" w:hanging="360"/>
      </w:pPr>
      <w:rPr>
        <w:rFonts w:ascii="Symbol" w:hAnsi="Symbol" w:hint="default"/>
      </w:rPr>
    </w:lvl>
    <w:lvl w:ilvl="4" w:tplc="25105894" w:tentative="1">
      <w:start w:val="1"/>
      <w:numFmt w:val="bullet"/>
      <w:lvlText w:val="o"/>
      <w:lvlJc w:val="left"/>
      <w:pPr>
        <w:ind w:left="3600" w:hanging="360"/>
      </w:pPr>
      <w:rPr>
        <w:rFonts w:ascii="Courier New" w:hAnsi="Courier New" w:hint="default"/>
      </w:rPr>
    </w:lvl>
    <w:lvl w:ilvl="5" w:tplc="C0BEC1E4" w:tentative="1">
      <w:start w:val="1"/>
      <w:numFmt w:val="bullet"/>
      <w:lvlText w:val=""/>
      <w:lvlJc w:val="left"/>
      <w:pPr>
        <w:ind w:left="4320" w:hanging="360"/>
      </w:pPr>
      <w:rPr>
        <w:rFonts w:ascii="Wingdings" w:hAnsi="Wingdings" w:hint="default"/>
      </w:rPr>
    </w:lvl>
    <w:lvl w:ilvl="6" w:tplc="E386523C" w:tentative="1">
      <w:start w:val="1"/>
      <w:numFmt w:val="bullet"/>
      <w:lvlText w:val=""/>
      <w:lvlJc w:val="left"/>
      <w:pPr>
        <w:ind w:left="5040" w:hanging="360"/>
      </w:pPr>
      <w:rPr>
        <w:rFonts w:ascii="Symbol" w:hAnsi="Symbol" w:hint="default"/>
      </w:rPr>
    </w:lvl>
    <w:lvl w:ilvl="7" w:tplc="42925754" w:tentative="1">
      <w:start w:val="1"/>
      <w:numFmt w:val="bullet"/>
      <w:lvlText w:val="o"/>
      <w:lvlJc w:val="left"/>
      <w:pPr>
        <w:ind w:left="5760" w:hanging="360"/>
      </w:pPr>
      <w:rPr>
        <w:rFonts w:ascii="Courier New" w:hAnsi="Courier New" w:hint="default"/>
      </w:rPr>
    </w:lvl>
    <w:lvl w:ilvl="8" w:tplc="90AA4A78" w:tentative="1">
      <w:start w:val="1"/>
      <w:numFmt w:val="bullet"/>
      <w:lvlText w:val=""/>
      <w:lvlJc w:val="left"/>
      <w:pPr>
        <w:ind w:left="6480" w:hanging="360"/>
      </w:pPr>
      <w:rPr>
        <w:rFonts w:ascii="Wingdings" w:hAnsi="Wingdings" w:hint="default"/>
      </w:rPr>
    </w:lvl>
  </w:abstractNum>
  <w:abstractNum w:abstractNumId="138" w15:restartNumberingAfterBreak="0">
    <w:nsid w:val="5D537AE2"/>
    <w:multiLevelType w:val="multilevel"/>
    <w:tmpl w:val="EFA632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E75769B"/>
    <w:multiLevelType w:val="hybridMultilevel"/>
    <w:tmpl w:val="E50CA5EA"/>
    <w:lvl w:ilvl="0" w:tplc="032869FA">
      <w:start w:val="1"/>
      <w:numFmt w:val="bullet"/>
      <w:lvlText w:val=""/>
      <w:lvlJc w:val="left"/>
      <w:pPr>
        <w:ind w:left="720" w:hanging="360"/>
      </w:pPr>
      <w:rPr>
        <w:rFonts w:ascii="Symbol" w:hAnsi="Symbol" w:hint="default"/>
      </w:rPr>
    </w:lvl>
    <w:lvl w:ilvl="1" w:tplc="21BA4696" w:tentative="1">
      <w:start w:val="1"/>
      <w:numFmt w:val="bullet"/>
      <w:lvlText w:val="o"/>
      <w:lvlJc w:val="left"/>
      <w:pPr>
        <w:ind w:left="1440" w:hanging="360"/>
      </w:pPr>
      <w:rPr>
        <w:rFonts w:ascii="Courier New" w:hAnsi="Courier New" w:hint="default"/>
      </w:rPr>
    </w:lvl>
    <w:lvl w:ilvl="2" w:tplc="7A7A1CB6" w:tentative="1">
      <w:start w:val="1"/>
      <w:numFmt w:val="bullet"/>
      <w:lvlText w:val=""/>
      <w:lvlJc w:val="left"/>
      <w:pPr>
        <w:ind w:left="2160" w:hanging="360"/>
      </w:pPr>
      <w:rPr>
        <w:rFonts w:ascii="Wingdings" w:hAnsi="Wingdings" w:hint="default"/>
      </w:rPr>
    </w:lvl>
    <w:lvl w:ilvl="3" w:tplc="F718F7A2" w:tentative="1">
      <w:start w:val="1"/>
      <w:numFmt w:val="bullet"/>
      <w:lvlText w:val=""/>
      <w:lvlJc w:val="left"/>
      <w:pPr>
        <w:ind w:left="2880" w:hanging="360"/>
      </w:pPr>
      <w:rPr>
        <w:rFonts w:ascii="Symbol" w:hAnsi="Symbol" w:hint="default"/>
      </w:rPr>
    </w:lvl>
    <w:lvl w:ilvl="4" w:tplc="C750E1BC" w:tentative="1">
      <w:start w:val="1"/>
      <w:numFmt w:val="bullet"/>
      <w:lvlText w:val="o"/>
      <w:lvlJc w:val="left"/>
      <w:pPr>
        <w:ind w:left="3600" w:hanging="360"/>
      </w:pPr>
      <w:rPr>
        <w:rFonts w:ascii="Courier New" w:hAnsi="Courier New" w:hint="default"/>
      </w:rPr>
    </w:lvl>
    <w:lvl w:ilvl="5" w:tplc="87AA0446" w:tentative="1">
      <w:start w:val="1"/>
      <w:numFmt w:val="bullet"/>
      <w:lvlText w:val=""/>
      <w:lvlJc w:val="left"/>
      <w:pPr>
        <w:ind w:left="4320" w:hanging="360"/>
      </w:pPr>
      <w:rPr>
        <w:rFonts w:ascii="Wingdings" w:hAnsi="Wingdings" w:hint="default"/>
      </w:rPr>
    </w:lvl>
    <w:lvl w:ilvl="6" w:tplc="70ACE926" w:tentative="1">
      <w:start w:val="1"/>
      <w:numFmt w:val="bullet"/>
      <w:lvlText w:val=""/>
      <w:lvlJc w:val="left"/>
      <w:pPr>
        <w:ind w:left="5040" w:hanging="360"/>
      </w:pPr>
      <w:rPr>
        <w:rFonts w:ascii="Symbol" w:hAnsi="Symbol" w:hint="default"/>
      </w:rPr>
    </w:lvl>
    <w:lvl w:ilvl="7" w:tplc="E1D8CE52" w:tentative="1">
      <w:start w:val="1"/>
      <w:numFmt w:val="bullet"/>
      <w:lvlText w:val="o"/>
      <w:lvlJc w:val="left"/>
      <w:pPr>
        <w:ind w:left="5760" w:hanging="360"/>
      </w:pPr>
      <w:rPr>
        <w:rFonts w:ascii="Courier New" w:hAnsi="Courier New" w:hint="default"/>
      </w:rPr>
    </w:lvl>
    <w:lvl w:ilvl="8" w:tplc="DEE0D424" w:tentative="1">
      <w:start w:val="1"/>
      <w:numFmt w:val="bullet"/>
      <w:lvlText w:val=""/>
      <w:lvlJc w:val="left"/>
      <w:pPr>
        <w:ind w:left="6480" w:hanging="360"/>
      </w:pPr>
      <w:rPr>
        <w:rFonts w:ascii="Wingdings" w:hAnsi="Wingdings" w:hint="default"/>
      </w:rPr>
    </w:lvl>
  </w:abstractNum>
  <w:abstractNum w:abstractNumId="140" w15:restartNumberingAfterBreak="0">
    <w:nsid w:val="5E9132B6"/>
    <w:multiLevelType w:val="hybridMultilevel"/>
    <w:tmpl w:val="BA0AB76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 w15:restartNumberingAfterBreak="0">
    <w:nsid w:val="5F09232D"/>
    <w:multiLevelType w:val="hybridMultilevel"/>
    <w:tmpl w:val="B50412CE"/>
    <w:lvl w:ilvl="0" w:tplc="A3DA7CFC">
      <w:start w:val="2"/>
      <w:numFmt w:val="bullet"/>
      <w:lvlText w:val=""/>
      <w:lvlJc w:val="left"/>
      <w:pPr>
        <w:ind w:left="720" w:hanging="360"/>
      </w:pPr>
      <w:rPr>
        <w:rFonts w:ascii="Symbol" w:hAnsi="Symbol" w:hint="default"/>
      </w:rPr>
    </w:lvl>
    <w:lvl w:ilvl="1" w:tplc="72F8227E" w:tentative="1">
      <w:start w:val="1"/>
      <w:numFmt w:val="bullet"/>
      <w:lvlText w:val="o"/>
      <w:lvlJc w:val="left"/>
      <w:pPr>
        <w:ind w:left="1440" w:hanging="360"/>
      </w:pPr>
      <w:rPr>
        <w:rFonts w:ascii="Courier New" w:hAnsi="Courier New" w:hint="default"/>
      </w:rPr>
    </w:lvl>
    <w:lvl w:ilvl="2" w:tplc="9A146B36" w:tentative="1">
      <w:start w:val="1"/>
      <w:numFmt w:val="bullet"/>
      <w:lvlText w:val=""/>
      <w:lvlJc w:val="left"/>
      <w:pPr>
        <w:ind w:left="2160" w:hanging="360"/>
      </w:pPr>
      <w:rPr>
        <w:rFonts w:ascii="Wingdings" w:hAnsi="Wingdings" w:hint="default"/>
      </w:rPr>
    </w:lvl>
    <w:lvl w:ilvl="3" w:tplc="5BE02D72" w:tentative="1">
      <w:start w:val="1"/>
      <w:numFmt w:val="bullet"/>
      <w:lvlText w:val=""/>
      <w:lvlJc w:val="left"/>
      <w:pPr>
        <w:ind w:left="2880" w:hanging="360"/>
      </w:pPr>
      <w:rPr>
        <w:rFonts w:ascii="Symbol" w:hAnsi="Symbol" w:hint="default"/>
      </w:rPr>
    </w:lvl>
    <w:lvl w:ilvl="4" w:tplc="E1C851C4" w:tentative="1">
      <w:start w:val="1"/>
      <w:numFmt w:val="bullet"/>
      <w:lvlText w:val="o"/>
      <w:lvlJc w:val="left"/>
      <w:pPr>
        <w:ind w:left="3600" w:hanging="360"/>
      </w:pPr>
      <w:rPr>
        <w:rFonts w:ascii="Courier New" w:hAnsi="Courier New" w:hint="default"/>
      </w:rPr>
    </w:lvl>
    <w:lvl w:ilvl="5" w:tplc="53D6C1F4" w:tentative="1">
      <w:start w:val="1"/>
      <w:numFmt w:val="bullet"/>
      <w:lvlText w:val=""/>
      <w:lvlJc w:val="left"/>
      <w:pPr>
        <w:ind w:left="4320" w:hanging="360"/>
      </w:pPr>
      <w:rPr>
        <w:rFonts w:ascii="Wingdings" w:hAnsi="Wingdings" w:hint="default"/>
      </w:rPr>
    </w:lvl>
    <w:lvl w:ilvl="6" w:tplc="6A7692A0" w:tentative="1">
      <w:start w:val="1"/>
      <w:numFmt w:val="bullet"/>
      <w:lvlText w:val=""/>
      <w:lvlJc w:val="left"/>
      <w:pPr>
        <w:ind w:left="5040" w:hanging="360"/>
      </w:pPr>
      <w:rPr>
        <w:rFonts w:ascii="Symbol" w:hAnsi="Symbol" w:hint="default"/>
      </w:rPr>
    </w:lvl>
    <w:lvl w:ilvl="7" w:tplc="78F02284" w:tentative="1">
      <w:start w:val="1"/>
      <w:numFmt w:val="bullet"/>
      <w:lvlText w:val="o"/>
      <w:lvlJc w:val="left"/>
      <w:pPr>
        <w:ind w:left="5760" w:hanging="360"/>
      </w:pPr>
      <w:rPr>
        <w:rFonts w:ascii="Courier New" w:hAnsi="Courier New" w:hint="default"/>
      </w:rPr>
    </w:lvl>
    <w:lvl w:ilvl="8" w:tplc="A106FC90" w:tentative="1">
      <w:start w:val="1"/>
      <w:numFmt w:val="bullet"/>
      <w:lvlText w:val=""/>
      <w:lvlJc w:val="left"/>
      <w:pPr>
        <w:ind w:left="6480" w:hanging="360"/>
      </w:pPr>
      <w:rPr>
        <w:rFonts w:ascii="Wingdings" w:hAnsi="Wingdings" w:hint="default"/>
      </w:rPr>
    </w:lvl>
  </w:abstractNum>
  <w:abstractNum w:abstractNumId="142" w15:restartNumberingAfterBreak="0">
    <w:nsid w:val="60113108"/>
    <w:multiLevelType w:val="hybridMultilevel"/>
    <w:tmpl w:val="84D0B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02BAEC7"/>
    <w:multiLevelType w:val="hybridMultilevel"/>
    <w:tmpl w:val="FFFFFFFF"/>
    <w:lvl w:ilvl="0" w:tplc="B22CB534">
      <w:start w:val="1"/>
      <w:numFmt w:val="bullet"/>
      <w:lvlText w:val=""/>
      <w:lvlJc w:val="left"/>
      <w:pPr>
        <w:ind w:left="720" w:hanging="360"/>
      </w:pPr>
      <w:rPr>
        <w:rFonts w:ascii="Symbol" w:hAnsi="Symbol" w:hint="default"/>
      </w:rPr>
    </w:lvl>
    <w:lvl w:ilvl="1" w:tplc="286AEB34">
      <w:start w:val="1"/>
      <w:numFmt w:val="bullet"/>
      <w:lvlText w:val="o"/>
      <w:lvlJc w:val="left"/>
      <w:pPr>
        <w:ind w:left="1440" w:hanging="360"/>
      </w:pPr>
      <w:rPr>
        <w:rFonts w:ascii="Courier New" w:hAnsi="Courier New" w:hint="default"/>
      </w:rPr>
    </w:lvl>
    <w:lvl w:ilvl="2" w:tplc="CA5491C4">
      <w:start w:val="1"/>
      <w:numFmt w:val="bullet"/>
      <w:lvlText w:val=""/>
      <w:lvlJc w:val="left"/>
      <w:pPr>
        <w:ind w:left="2160" w:hanging="360"/>
      </w:pPr>
      <w:rPr>
        <w:rFonts w:ascii="Wingdings" w:hAnsi="Wingdings" w:hint="default"/>
      </w:rPr>
    </w:lvl>
    <w:lvl w:ilvl="3" w:tplc="84507584">
      <w:start w:val="1"/>
      <w:numFmt w:val="bullet"/>
      <w:lvlText w:val=""/>
      <w:lvlJc w:val="left"/>
      <w:pPr>
        <w:ind w:left="2880" w:hanging="360"/>
      </w:pPr>
      <w:rPr>
        <w:rFonts w:ascii="Symbol" w:hAnsi="Symbol" w:hint="default"/>
      </w:rPr>
    </w:lvl>
    <w:lvl w:ilvl="4" w:tplc="CEE6D4F2">
      <w:start w:val="1"/>
      <w:numFmt w:val="bullet"/>
      <w:lvlText w:val="o"/>
      <w:lvlJc w:val="left"/>
      <w:pPr>
        <w:ind w:left="3600" w:hanging="360"/>
      </w:pPr>
      <w:rPr>
        <w:rFonts w:ascii="Courier New" w:hAnsi="Courier New" w:hint="default"/>
      </w:rPr>
    </w:lvl>
    <w:lvl w:ilvl="5" w:tplc="C9BCAE9A">
      <w:start w:val="1"/>
      <w:numFmt w:val="bullet"/>
      <w:lvlText w:val=""/>
      <w:lvlJc w:val="left"/>
      <w:pPr>
        <w:ind w:left="4320" w:hanging="360"/>
      </w:pPr>
      <w:rPr>
        <w:rFonts w:ascii="Wingdings" w:hAnsi="Wingdings" w:hint="default"/>
      </w:rPr>
    </w:lvl>
    <w:lvl w:ilvl="6" w:tplc="E2F69A20">
      <w:start w:val="1"/>
      <w:numFmt w:val="bullet"/>
      <w:lvlText w:val=""/>
      <w:lvlJc w:val="left"/>
      <w:pPr>
        <w:ind w:left="5040" w:hanging="360"/>
      </w:pPr>
      <w:rPr>
        <w:rFonts w:ascii="Symbol" w:hAnsi="Symbol" w:hint="default"/>
      </w:rPr>
    </w:lvl>
    <w:lvl w:ilvl="7" w:tplc="2AB84330">
      <w:start w:val="1"/>
      <w:numFmt w:val="bullet"/>
      <w:lvlText w:val="o"/>
      <w:lvlJc w:val="left"/>
      <w:pPr>
        <w:ind w:left="5760" w:hanging="360"/>
      </w:pPr>
      <w:rPr>
        <w:rFonts w:ascii="Courier New" w:hAnsi="Courier New" w:hint="default"/>
      </w:rPr>
    </w:lvl>
    <w:lvl w:ilvl="8" w:tplc="105C18F0">
      <w:start w:val="1"/>
      <w:numFmt w:val="bullet"/>
      <w:lvlText w:val=""/>
      <w:lvlJc w:val="left"/>
      <w:pPr>
        <w:ind w:left="6480" w:hanging="360"/>
      </w:pPr>
      <w:rPr>
        <w:rFonts w:ascii="Wingdings" w:hAnsi="Wingdings" w:hint="default"/>
      </w:rPr>
    </w:lvl>
  </w:abstractNum>
  <w:abstractNum w:abstractNumId="14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hint="default"/>
      </w:rPr>
    </w:lvl>
  </w:abstractNum>
  <w:abstractNum w:abstractNumId="145" w15:restartNumberingAfterBreak="0">
    <w:nsid w:val="60C95C52"/>
    <w:multiLevelType w:val="hybridMultilevel"/>
    <w:tmpl w:val="ABF0C522"/>
    <w:lvl w:ilvl="0" w:tplc="A7749C18">
      <w:start w:val="1"/>
      <w:numFmt w:val="bullet"/>
      <w:lvlText w:val=""/>
      <w:lvlJc w:val="left"/>
      <w:pPr>
        <w:ind w:left="360" w:hanging="360"/>
      </w:pPr>
      <w:rPr>
        <w:rFonts w:ascii="Symbol" w:hAnsi="Symbol" w:hint="default"/>
      </w:rPr>
    </w:lvl>
    <w:lvl w:ilvl="1" w:tplc="B99ABEC6" w:tentative="1">
      <w:start w:val="1"/>
      <w:numFmt w:val="bullet"/>
      <w:lvlText w:val="o"/>
      <w:lvlJc w:val="left"/>
      <w:pPr>
        <w:ind w:left="1080" w:hanging="360"/>
      </w:pPr>
      <w:rPr>
        <w:rFonts w:ascii="Courier New" w:hAnsi="Courier New" w:hint="default"/>
      </w:rPr>
    </w:lvl>
    <w:lvl w:ilvl="2" w:tplc="614E7534" w:tentative="1">
      <w:start w:val="1"/>
      <w:numFmt w:val="bullet"/>
      <w:lvlText w:val=""/>
      <w:lvlJc w:val="left"/>
      <w:pPr>
        <w:ind w:left="1800" w:hanging="360"/>
      </w:pPr>
      <w:rPr>
        <w:rFonts w:ascii="Wingdings" w:hAnsi="Wingdings" w:hint="default"/>
      </w:rPr>
    </w:lvl>
    <w:lvl w:ilvl="3" w:tplc="ED3E2456" w:tentative="1">
      <w:start w:val="1"/>
      <w:numFmt w:val="bullet"/>
      <w:lvlText w:val=""/>
      <w:lvlJc w:val="left"/>
      <w:pPr>
        <w:ind w:left="2520" w:hanging="360"/>
      </w:pPr>
      <w:rPr>
        <w:rFonts w:ascii="Symbol" w:hAnsi="Symbol" w:hint="default"/>
      </w:rPr>
    </w:lvl>
    <w:lvl w:ilvl="4" w:tplc="7C4292BA" w:tentative="1">
      <w:start w:val="1"/>
      <w:numFmt w:val="bullet"/>
      <w:lvlText w:val="o"/>
      <w:lvlJc w:val="left"/>
      <w:pPr>
        <w:ind w:left="3240" w:hanging="360"/>
      </w:pPr>
      <w:rPr>
        <w:rFonts w:ascii="Courier New" w:hAnsi="Courier New" w:hint="default"/>
      </w:rPr>
    </w:lvl>
    <w:lvl w:ilvl="5" w:tplc="8A4E4F2E" w:tentative="1">
      <w:start w:val="1"/>
      <w:numFmt w:val="bullet"/>
      <w:lvlText w:val=""/>
      <w:lvlJc w:val="left"/>
      <w:pPr>
        <w:ind w:left="3960" w:hanging="360"/>
      </w:pPr>
      <w:rPr>
        <w:rFonts w:ascii="Wingdings" w:hAnsi="Wingdings" w:hint="default"/>
      </w:rPr>
    </w:lvl>
    <w:lvl w:ilvl="6" w:tplc="26E8F61A" w:tentative="1">
      <w:start w:val="1"/>
      <w:numFmt w:val="bullet"/>
      <w:lvlText w:val=""/>
      <w:lvlJc w:val="left"/>
      <w:pPr>
        <w:ind w:left="4680" w:hanging="360"/>
      </w:pPr>
      <w:rPr>
        <w:rFonts w:ascii="Symbol" w:hAnsi="Symbol" w:hint="default"/>
      </w:rPr>
    </w:lvl>
    <w:lvl w:ilvl="7" w:tplc="DFDC9D50" w:tentative="1">
      <w:start w:val="1"/>
      <w:numFmt w:val="bullet"/>
      <w:lvlText w:val="o"/>
      <w:lvlJc w:val="left"/>
      <w:pPr>
        <w:ind w:left="5400" w:hanging="360"/>
      </w:pPr>
      <w:rPr>
        <w:rFonts w:ascii="Courier New" w:hAnsi="Courier New" w:hint="default"/>
      </w:rPr>
    </w:lvl>
    <w:lvl w:ilvl="8" w:tplc="9F4E2516" w:tentative="1">
      <w:start w:val="1"/>
      <w:numFmt w:val="bullet"/>
      <w:lvlText w:val=""/>
      <w:lvlJc w:val="left"/>
      <w:pPr>
        <w:ind w:left="6120" w:hanging="360"/>
      </w:pPr>
      <w:rPr>
        <w:rFonts w:ascii="Wingdings" w:hAnsi="Wingdings" w:hint="default"/>
      </w:rPr>
    </w:lvl>
  </w:abstractNum>
  <w:abstractNum w:abstractNumId="146" w15:restartNumberingAfterBreak="0">
    <w:nsid w:val="6447341F"/>
    <w:multiLevelType w:val="hybridMultilevel"/>
    <w:tmpl w:val="7032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4749732"/>
    <w:multiLevelType w:val="multilevel"/>
    <w:tmpl w:val="4932818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540081F"/>
    <w:multiLevelType w:val="hybridMultilevel"/>
    <w:tmpl w:val="5EFC70CE"/>
    <w:lvl w:ilvl="0" w:tplc="07860708">
      <w:start w:val="1"/>
      <w:numFmt w:val="bullet"/>
      <w:lvlText w:val=""/>
      <w:lvlJc w:val="left"/>
      <w:pPr>
        <w:ind w:left="360" w:hanging="360"/>
      </w:pPr>
      <w:rPr>
        <w:rFonts w:ascii="Symbol" w:hAnsi="Symbol" w:hint="default"/>
      </w:rPr>
    </w:lvl>
    <w:lvl w:ilvl="1" w:tplc="FD8A5B12" w:tentative="1">
      <w:start w:val="1"/>
      <w:numFmt w:val="bullet"/>
      <w:lvlText w:val="o"/>
      <w:lvlJc w:val="left"/>
      <w:pPr>
        <w:ind w:left="1080" w:hanging="360"/>
      </w:pPr>
      <w:rPr>
        <w:rFonts w:ascii="Courier New" w:hAnsi="Courier New" w:hint="default"/>
      </w:rPr>
    </w:lvl>
    <w:lvl w:ilvl="2" w:tplc="4120BCA0" w:tentative="1">
      <w:start w:val="1"/>
      <w:numFmt w:val="bullet"/>
      <w:lvlText w:val=""/>
      <w:lvlJc w:val="left"/>
      <w:pPr>
        <w:ind w:left="1800" w:hanging="360"/>
      </w:pPr>
      <w:rPr>
        <w:rFonts w:ascii="Wingdings" w:hAnsi="Wingdings" w:hint="default"/>
      </w:rPr>
    </w:lvl>
    <w:lvl w:ilvl="3" w:tplc="DA72028E" w:tentative="1">
      <w:start w:val="1"/>
      <w:numFmt w:val="bullet"/>
      <w:lvlText w:val=""/>
      <w:lvlJc w:val="left"/>
      <w:pPr>
        <w:ind w:left="2520" w:hanging="360"/>
      </w:pPr>
      <w:rPr>
        <w:rFonts w:ascii="Symbol" w:hAnsi="Symbol" w:hint="default"/>
      </w:rPr>
    </w:lvl>
    <w:lvl w:ilvl="4" w:tplc="7A2AFB1A" w:tentative="1">
      <w:start w:val="1"/>
      <w:numFmt w:val="bullet"/>
      <w:lvlText w:val="o"/>
      <w:lvlJc w:val="left"/>
      <w:pPr>
        <w:ind w:left="3240" w:hanging="360"/>
      </w:pPr>
      <w:rPr>
        <w:rFonts w:ascii="Courier New" w:hAnsi="Courier New" w:hint="default"/>
      </w:rPr>
    </w:lvl>
    <w:lvl w:ilvl="5" w:tplc="CED8EA8C" w:tentative="1">
      <w:start w:val="1"/>
      <w:numFmt w:val="bullet"/>
      <w:lvlText w:val=""/>
      <w:lvlJc w:val="left"/>
      <w:pPr>
        <w:ind w:left="3960" w:hanging="360"/>
      </w:pPr>
      <w:rPr>
        <w:rFonts w:ascii="Wingdings" w:hAnsi="Wingdings" w:hint="default"/>
      </w:rPr>
    </w:lvl>
    <w:lvl w:ilvl="6" w:tplc="C1402E10" w:tentative="1">
      <w:start w:val="1"/>
      <w:numFmt w:val="bullet"/>
      <w:lvlText w:val=""/>
      <w:lvlJc w:val="left"/>
      <w:pPr>
        <w:ind w:left="4680" w:hanging="360"/>
      </w:pPr>
      <w:rPr>
        <w:rFonts w:ascii="Symbol" w:hAnsi="Symbol" w:hint="default"/>
      </w:rPr>
    </w:lvl>
    <w:lvl w:ilvl="7" w:tplc="AB183344" w:tentative="1">
      <w:start w:val="1"/>
      <w:numFmt w:val="bullet"/>
      <w:lvlText w:val="o"/>
      <w:lvlJc w:val="left"/>
      <w:pPr>
        <w:ind w:left="5400" w:hanging="360"/>
      </w:pPr>
      <w:rPr>
        <w:rFonts w:ascii="Courier New" w:hAnsi="Courier New" w:hint="default"/>
      </w:rPr>
    </w:lvl>
    <w:lvl w:ilvl="8" w:tplc="35D8184E" w:tentative="1">
      <w:start w:val="1"/>
      <w:numFmt w:val="bullet"/>
      <w:lvlText w:val=""/>
      <w:lvlJc w:val="left"/>
      <w:pPr>
        <w:ind w:left="6120" w:hanging="360"/>
      </w:pPr>
      <w:rPr>
        <w:rFonts w:ascii="Wingdings" w:hAnsi="Wingdings" w:hint="default"/>
      </w:rPr>
    </w:lvl>
  </w:abstractNum>
  <w:abstractNum w:abstractNumId="149" w15:restartNumberingAfterBreak="0">
    <w:nsid w:val="657A3543"/>
    <w:multiLevelType w:val="hybridMultilevel"/>
    <w:tmpl w:val="8930982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6584424D"/>
    <w:multiLevelType w:val="hybridMultilevel"/>
    <w:tmpl w:val="819EFAF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67D104BD"/>
    <w:multiLevelType w:val="hybridMultilevel"/>
    <w:tmpl w:val="E3A4C3AE"/>
    <w:lvl w:ilvl="0" w:tplc="F5344F06">
      <w:start w:val="1"/>
      <w:numFmt w:val="bullet"/>
      <w:lvlText w:val=""/>
      <w:lvlJc w:val="left"/>
      <w:pPr>
        <w:ind w:left="360" w:hanging="360"/>
      </w:pPr>
      <w:rPr>
        <w:rFonts w:ascii="Symbol" w:hAnsi="Symbol" w:hint="default"/>
      </w:rPr>
    </w:lvl>
    <w:lvl w:ilvl="1" w:tplc="1A162364" w:tentative="1">
      <w:start w:val="1"/>
      <w:numFmt w:val="bullet"/>
      <w:lvlText w:val="o"/>
      <w:lvlJc w:val="left"/>
      <w:pPr>
        <w:ind w:left="1080" w:hanging="360"/>
      </w:pPr>
      <w:rPr>
        <w:rFonts w:ascii="Courier New" w:hAnsi="Courier New" w:hint="default"/>
      </w:rPr>
    </w:lvl>
    <w:lvl w:ilvl="2" w:tplc="1AD0F648" w:tentative="1">
      <w:start w:val="1"/>
      <w:numFmt w:val="bullet"/>
      <w:lvlText w:val=""/>
      <w:lvlJc w:val="left"/>
      <w:pPr>
        <w:ind w:left="1800" w:hanging="360"/>
      </w:pPr>
      <w:rPr>
        <w:rFonts w:ascii="Wingdings" w:hAnsi="Wingdings" w:hint="default"/>
      </w:rPr>
    </w:lvl>
    <w:lvl w:ilvl="3" w:tplc="B02AABAA" w:tentative="1">
      <w:start w:val="1"/>
      <w:numFmt w:val="bullet"/>
      <w:lvlText w:val=""/>
      <w:lvlJc w:val="left"/>
      <w:pPr>
        <w:ind w:left="2520" w:hanging="360"/>
      </w:pPr>
      <w:rPr>
        <w:rFonts w:ascii="Symbol" w:hAnsi="Symbol" w:hint="default"/>
      </w:rPr>
    </w:lvl>
    <w:lvl w:ilvl="4" w:tplc="1904FEC2" w:tentative="1">
      <w:start w:val="1"/>
      <w:numFmt w:val="bullet"/>
      <w:lvlText w:val="o"/>
      <w:lvlJc w:val="left"/>
      <w:pPr>
        <w:ind w:left="3240" w:hanging="360"/>
      </w:pPr>
      <w:rPr>
        <w:rFonts w:ascii="Courier New" w:hAnsi="Courier New" w:hint="default"/>
      </w:rPr>
    </w:lvl>
    <w:lvl w:ilvl="5" w:tplc="DB5A99D2" w:tentative="1">
      <w:start w:val="1"/>
      <w:numFmt w:val="bullet"/>
      <w:lvlText w:val=""/>
      <w:lvlJc w:val="left"/>
      <w:pPr>
        <w:ind w:left="3960" w:hanging="360"/>
      </w:pPr>
      <w:rPr>
        <w:rFonts w:ascii="Wingdings" w:hAnsi="Wingdings" w:hint="default"/>
      </w:rPr>
    </w:lvl>
    <w:lvl w:ilvl="6" w:tplc="9BBE3E4A" w:tentative="1">
      <w:start w:val="1"/>
      <w:numFmt w:val="bullet"/>
      <w:lvlText w:val=""/>
      <w:lvlJc w:val="left"/>
      <w:pPr>
        <w:ind w:left="4680" w:hanging="360"/>
      </w:pPr>
      <w:rPr>
        <w:rFonts w:ascii="Symbol" w:hAnsi="Symbol" w:hint="default"/>
      </w:rPr>
    </w:lvl>
    <w:lvl w:ilvl="7" w:tplc="F0C682A8" w:tentative="1">
      <w:start w:val="1"/>
      <w:numFmt w:val="bullet"/>
      <w:lvlText w:val="o"/>
      <w:lvlJc w:val="left"/>
      <w:pPr>
        <w:ind w:left="5400" w:hanging="360"/>
      </w:pPr>
      <w:rPr>
        <w:rFonts w:ascii="Courier New" w:hAnsi="Courier New" w:hint="default"/>
      </w:rPr>
    </w:lvl>
    <w:lvl w:ilvl="8" w:tplc="F236B46A" w:tentative="1">
      <w:start w:val="1"/>
      <w:numFmt w:val="bullet"/>
      <w:lvlText w:val=""/>
      <w:lvlJc w:val="left"/>
      <w:pPr>
        <w:ind w:left="6120" w:hanging="360"/>
      </w:pPr>
      <w:rPr>
        <w:rFonts w:ascii="Wingdings" w:hAnsi="Wingdings" w:hint="default"/>
      </w:rPr>
    </w:lvl>
  </w:abstractNum>
  <w:abstractNum w:abstractNumId="152" w15:restartNumberingAfterBreak="0">
    <w:nsid w:val="695B2446"/>
    <w:multiLevelType w:val="hybridMultilevel"/>
    <w:tmpl w:val="EC1C7A48"/>
    <w:lvl w:ilvl="0" w:tplc="F37A0FC2">
      <w:start w:val="1"/>
      <w:numFmt w:val="bullet"/>
      <w:lvlText w:val=""/>
      <w:lvlJc w:val="left"/>
      <w:pPr>
        <w:ind w:left="360" w:hanging="360"/>
      </w:pPr>
      <w:rPr>
        <w:rFonts w:ascii="Symbol" w:hAnsi="Symbol" w:hint="default"/>
      </w:rPr>
    </w:lvl>
    <w:lvl w:ilvl="1" w:tplc="E55EECB4" w:tentative="1">
      <w:start w:val="1"/>
      <w:numFmt w:val="bullet"/>
      <w:lvlText w:val="o"/>
      <w:lvlJc w:val="left"/>
      <w:pPr>
        <w:ind w:left="1080" w:hanging="360"/>
      </w:pPr>
      <w:rPr>
        <w:rFonts w:ascii="Courier New" w:hAnsi="Courier New" w:hint="default"/>
      </w:rPr>
    </w:lvl>
    <w:lvl w:ilvl="2" w:tplc="4BE61496" w:tentative="1">
      <w:start w:val="1"/>
      <w:numFmt w:val="bullet"/>
      <w:lvlText w:val=""/>
      <w:lvlJc w:val="left"/>
      <w:pPr>
        <w:ind w:left="1800" w:hanging="360"/>
      </w:pPr>
      <w:rPr>
        <w:rFonts w:ascii="Wingdings" w:hAnsi="Wingdings" w:hint="default"/>
      </w:rPr>
    </w:lvl>
    <w:lvl w:ilvl="3" w:tplc="3C24AF62" w:tentative="1">
      <w:start w:val="1"/>
      <w:numFmt w:val="bullet"/>
      <w:lvlText w:val=""/>
      <w:lvlJc w:val="left"/>
      <w:pPr>
        <w:ind w:left="2520" w:hanging="360"/>
      </w:pPr>
      <w:rPr>
        <w:rFonts w:ascii="Symbol" w:hAnsi="Symbol" w:hint="default"/>
      </w:rPr>
    </w:lvl>
    <w:lvl w:ilvl="4" w:tplc="E7D0D032" w:tentative="1">
      <w:start w:val="1"/>
      <w:numFmt w:val="bullet"/>
      <w:lvlText w:val="o"/>
      <w:lvlJc w:val="left"/>
      <w:pPr>
        <w:ind w:left="3240" w:hanging="360"/>
      </w:pPr>
      <w:rPr>
        <w:rFonts w:ascii="Courier New" w:hAnsi="Courier New" w:hint="default"/>
      </w:rPr>
    </w:lvl>
    <w:lvl w:ilvl="5" w:tplc="B178E260" w:tentative="1">
      <w:start w:val="1"/>
      <w:numFmt w:val="bullet"/>
      <w:lvlText w:val=""/>
      <w:lvlJc w:val="left"/>
      <w:pPr>
        <w:ind w:left="3960" w:hanging="360"/>
      </w:pPr>
      <w:rPr>
        <w:rFonts w:ascii="Wingdings" w:hAnsi="Wingdings" w:hint="default"/>
      </w:rPr>
    </w:lvl>
    <w:lvl w:ilvl="6" w:tplc="F8A0A408" w:tentative="1">
      <w:start w:val="1"/>
      <w:numFmt w:val="bullet"/>
      <w:lvlText w:val=""/>
      <w:lvlJc w:val="left"/>
      <w:pPr>
        <w:ind w:left="4680" w:hanging="360"/>
      </w:pPr>
      <w:rPr>
        <w:rFonts w:ascii="Symbol" w:hAnsi="Symbol" w:hint="default"/>
      </w:rPr>
    </w:lvl>
    <w:lvl w:ilvl="7" w:tplc="73E44FA8" w:tentative="1">
      <w:start w:val="1"/>
      <w:numFmt w:val="bullet"/>
      <w:lvlText w:val="o"/>
      <w:lvlJc w:val="left"/>
      <w:pPr>
        <w:ind w:left="5400" w:hanging="360"/>
      </w:pPr>
      <w:rPr>
        <w:rFonts w:ascii="Courier New" w:hAnsi="Courier New" w:hint="default"/>
      </w:rPr>
    </w:lvl>
    <w:lvl w:ilvl="8" w:tplc="3C5E607A" w:tentative="1">
      <w:start w:val="1"/>
      <w:numFmt w:val="bullet"/>
      <w:lvlText w:val=""/>
      <w:lvlJc w:val="left"/>
      <w:pPr>
        <w:ind w:left="6120" w:hanging="360"/>
      </w:pPr>
      <w:rPr>
        <w:rFonts w:ascii="Wingdings" w:hAnsi="Wingdings" w:hint="default"/>
      </w:rPr>
    </w:lvl>
  </w:abstractNum>
  <w:abstractNum w:abstractNumId="153" w15:restartNumberingAfterBreak="0">
    <w:nsid w:val="6977472E"/>
    <w:multiLevelType w:val="multilevel"/>
    <w:tmpl w:val="E22EC03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4" w15:restartNumberingAfterBreak="0">
    <w:nsid w:val="699412C9"/>
    <w:multiLevelType w:val="hybridMultilevel"/>
    <w:tmpl w:val="C326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6ABD2548"/>
    <w:multiLevelType w:val="hybridMultilevel"/>
    <w:tmpl w:val="EE689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6" w15:restartNumberingAfterBreak="0">
    <w:nsid w:val="6ABE46A4"/>
    <w:multiLevelType w:val="hybridMultilevel"/>
    <w:tmpl w:val="7DA0C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B6E2742"/>
    <w:multiLevelType w:val="hybridMultilevel"/>
    <w:tmpl w:val="BAEC781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6BD0531A"/>
    <w:multiLevelType w:val="multilevel"/>
    <w:tmpl w:val="C336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6D1805CB"/>
    <w:multiLevelType w:val="hybridMultilevel"/>
    <w:tmpl w:val="DD98A6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0" w15:restartNumberingAfterBreak="0">
    <w:nsid w:val="6D4F49BD"/>
    <w:multiLevelType w:val="hybridMultilevel"/>
    <w:tmpl w:val="CDBC1DC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6D93747B"/>
    <w:multiLevelType w:val="hybridMultilevel"/>
    <w:tmpl w:val="FA4238C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6FC35C48"/>
    <w:multiLevelType w:val="hybridMultilevel"/>
    <w:tmpl w:val="162E34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3" w15:restartNumberingAfterBreak="0">
    <w:nsid w:val="6FF2562C"/>
    <w:multiLevelType w:val="hybridMultilevel"/>
    <w:tmpl w:val="233C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080329D"/>
    <w:multiLevelType w:val="hybridMultilevel"/>
    <w:tmpl w:val="F2540CEC"/>
    <w:lvl w:ilvl="0" w:tplc="1E76D61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5" w15:restartNumberingAfterBreak="0">
    <w:nsid w:val="728A7257"/>
    <w:multiLevelType w:val="hybridMultilevel"/>
    <w:tmpl w:val="295CF386"/>
    <w:lvl w:ilvl="0" w:tplc="B4245B0E">
      <w:numFmt w:val="bullet"/>
      <w:lvlText w:val="-"/>
      <w:lvlJc w:val="left"/>
      <w:pPr>
        <w:ind w:left="360" w:hanging="360"/>
      </w:pPr>
      <w:rPr>
        <w:rFonts w:ascii="Calibri" w:hAnsi="Calibri" w:hint="default"/>
      </w:rPr>
    </w:lvl>
    <w:lvl w:ilvl="1" w:tplc="A1B2CA56" w:tentative="1">
      <w:start w:val="1"/>
      <w:numFmt w:val="bullet"/>
      <w:lvlText w:val="o"/>
      <w:lvlJc w:val="left"/>
      <w:pPr>
        <w:ind w:left="1080" w:hanging="360"/>
      </w:pPr>
      <w:rPr>
        <w:rFonts w:ascii="Courier New" w:hAnsi="Courier New" w:hint="default"/>
      </w:rPr>
    </w:lvl>
    <w:lvl w:ilvl="2" w:tplc="EF8EBFA6" w:tentative="1">
      <w:start w:val="1"/>
      <w:numFmt w:val="bullet"/>
      <w:lvlText w:val=""/>
      <w:lvlJc w:val="left"/>
      <w:pPr>
        <w:ind w:left="1800" w:hanging="360"/>
      </w:pPr>
      <w:rPr>
        <w:rFonts w:ascii="Wingdings" w:hAnsi="Wingdings" w:hint="default"/>
      </w:rPr>
    </w:lvl>
    <w:lvl w:ilvl="3" w:tplc="DE005224" w:tentative="1">
      <w:start w:val="1"/>
      <w:numFmt w:val="bullet"/>
      <w:lvlText w:val=""/>
      <w:lvlJc w:val="left"/>
      <w:pPr>
        <w:ind w:left="2520" w:hanging="360"/>
      </w:pPr>
      <w:rPr>
        <w:rFonts w:ascii="Symbol" w:hAnsi="Symbol" w:hint="default"/>
      </w:rPr>
    </w:lvl>
    <w:lvl w:ilvl="4" w:tplc="B518F97C" w:tentative="1">
      <w:start w:val="1"/>
      <w:numFmt w:val="bullet"/>
      <w:lvlText w:val="o"/>
      <w:lvlJc w:val="left"/>
      <w:pPr>
        <w:ind w:left="3240" w:hanging="360"/>
      </w:pPr>
      <w:rPr>
        <w:rFonts w:ascii="Courier New" w:hAnsi="Courier New" w:hint="default"/>
      </w:rPr>
    </w:lvl>
    <w:lvl w:ilvl="5" w:tplc="B580732E" w:tentative="1">
      <w:start w:val="1"/>
      <w:numFmt w:val="bullet"/>
      <w:lvlText w:val=""/>
      <w:lvlJc w:val="left"/>
      <w:pPr>
        <w:ind w:left="3960" w:hanging="360"/>
      </w:pPr>
      <w:rPr>
        <w:rFonts w:ascii="Wingdings" w:hAnsi="Wingdings" w:hint="default"/>
      </w:rPr>
    </w:lvl>
    <w:lvl w:ilvl="6" w:tplc="2A1A8BD0" w:tentative="1">
      <w:start w:val="1"/>
      <w:numFmt w:val="bullet"/>
      <w:lvlText w:val=""/>
      <w:lvlJc w:val="left"/>
      <w:pPr>
        <w:ind w:left="4680" w:hanging="360"/>
      </w:pPr>
      <w:rPr>
        <w:rFonts w:ascii="Symbol" w:hAnsi="Symbol" w:hint="default"/>
      </w:rPr>
    </w:lvl>
    <w:lvl w:ilvl="7" w:tplc="45589DB6" w:tentative="1">
      <w:start w:val="1"/>
      <w:numFmt w:val="bullet"/>
      <w:lvlText w:val="o"/>
      <w:lvlJc w:val="left"/>
      <w:pPr>
        <w:ind w:left="5400" w:hanging="360"/>
      </w:pPr>
      <w:rPr>
        <w:rFonts w:ascii="Courier New" w:hAnsi="Courier New" w:hint="default"/>
      </w:rPr>
    </w:lvl>
    <w:lvl w:ilvl="8" w:tplc="CF64D278" w:tentative="1">
      <w:start w:val="1"/>
      <w:numFmt w:val="bullet"/>
      <w:lvlText w:val=""/>
      <w:lvlJc w:val="left"/>
      <w:pPr>
        <w:ind w:left="6120" w:hanging="360"/>
      </w:pPr>
      <w:rPr>
        <w:rFonts w:ascii="Wingdings" w:hAnsi="Wingdings" w:hint="default"/>
      </w:rPr>
    </w:lvl>
  </w:abstractNum>
  <w:abstractNum w:abstractNumId="166" w15:restartNumberingAfterBreak="0">
    <w:nsid w:val="736A0B80"/>
    <w:multiLevelType w:val="hybridMultilevel"/>
    <w:tmpl w:val="C1CC3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7" w15:restartNumberingAfterBreak="0">
    <w:nsid w:val="74303917"/>
    <w:multiLevelType w:val="multilevel"/>
    <w:tmpl w:val="EFA6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5800EC0"/>
    <w:multiLevelType w:val="hybridMultilevel"/>
    <w:tmpl w:val="DF44D31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9" w15:restartNumberingAfterBreak="0">
    <w:nsid w:val="759C2F3F"/>
    <w:multiLevelType w:val="hybridMultilevel"/>
    <w:tmpl w:val="7D64FE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0" w15:restartNumberingAfterBreak="0">
    <w:nsid w:val="75B911D6"/>
    <w:multiLevelType w:val="multilevel"/>
    <w:tmpl w:val="EAA0B99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1" w15:restartNumberingAfterBreak="0">
    <w:nsid w:val="75CA2684"/>
    <w:multiLevelType w:val="hybridMultilevel"/>
    <w:tmpl w:val="FC422D2C"/>
    <w:lvl w:ilvl="0" w:tplc="258820C8">
      <w:start w:val="1"/>
      <w:numFmt w:val="bullet"/>
      <w:lvlText w:val=""/>
      <w:lvlJc w:val="left"/>
      <w:pPr>
        <w:ind w:left="720" w:hanging="360"/>
      </w:pPr>
      <w:rPr>
        <w:rFonts w:ascii="Symbol" w:hAnsi="Symbol" w:hint="default"/>
      </w:rPr>
    </w:lvl>
    <w:lvl w:ilvl="1" w:tplc="F68C0F7A">
      <w:start w:val="1"/>
      <w:numFmt w:val="bullet"/>
      <w:lvlText w:val="o"/>
      <w:lvlJc w:val="left"/>
      <w:pPr>
        <w:ind w:left="1440" w:hanging="360"/>
      </w:pPr>
      <w:rPr>
        <w:rFonts w:ascii="Courier New" w:hAnsi="Courier New" w:hint="default"/>
      </w:rPr>
    </w:lvl>
    <w:lvl w:ilvl="2" w:tplc="3C6C6552" w:tentative="1">
      <w:start w:val="1"/>
      <w:numFmt w:val="bullet"/>
      <w:lvlText w:val=""/>
      <w:lvlJc w:val="left"/>
      <w:pPr>
        <w:ind w:left="2160" w:hanging="360"/>
      </w:pPr>
      <w:rPr>
        <w:rFonts w:ascii="Wingdings" w:hAnsi="Wingdings" w:hint="default"/>
      </w:rPr>
    </w:lvl>
    <w:lvl w:ilvl="3" w:tplc="9B64F9CE" w:tentative="1">
      <w:start w:val="1"/>
      <w:numFmt w:val="bullet"/>
      <w:lvlText w:val=""/>
      <w:lvlJc w:val="left"/>
      <w:pPr>
        <w:ind w:left="2880" w:hanging="360"/>
      </w:pPr>
      <w:rPr>
        <w:rFonts w:ascii="Symbol" w:hAnsi="Symbol" w:hint="default"/>
      </w:rPr>
    </w:lvl>
    <w:lvl w:ilvl="4" w:tplc="F4526D72" w:tentative="1">
      <w:start w:val="1"/>
      <w:numFmt w:val="bullet"/>
      <w:lvlText w:val="o"/>
      <w:lvlJc w:val="left"/>
      <w:pPr>
        <w:ind w:left="3600" w:hanging="360"/>
      </w:pPr>
      <w:rPr>
        <w:rFonts w:ascii="Courier New" w:hAnsi="Courier New" w:hint="default"/>
      </w:rPr>
    </w:lvl>
    <w:lvl w:ilvl="5" w:tplc="37622DA8" w:tentative="1">
      <w:start w:val="1"/>
      <w:numFmt w:val="bullet"/>
      <w:lvlText w:val=""/>
      <w:lvlJc w:val="left"/>
      <w:pPr>
        <w:ind w:left="4320" w:hanging="360"/>
      </w:pPr>
      <w:rPr>
        <w:rFonts w:ascii="Wingdings" w:hAnsi="Wingdings" w:hint="default"/>
      </w:rPr>
    </w:lvl>
    <w:lvl w:ilvl="6" w:tplc="CF42D39C" w:tentative="1">
      <w:start w:val="1"/>
      <w:numFmt w:val="bullet"/>
      <w:lvlText w:val=""/>
      <w:lvlJc w:val="left"/>
      <w:pPr>
        <w:ind w:left="5040" w:hanging="360"/>
      </w:pPr>
      <w:rPr>
        <w:rFonts w:ascii="Symbol" w:hAnsi="Symbol" w:hint="default"/>
      </w:rPr>
    </w:lvl>
    <w:lvl w:ilvl="7" w:tplc="9226612C" w:tentative="1">
      <w:start w:val="1"/>
      <w:numFmt w:val="bullet"/>
      <w:lvlText w:val="o"/>
      <w:lvlJc w:val="left"/>
      <w:pPr>
        <w:ind w:left="5760" w:hanging="360"/>
      </w:pPr>
      <w:rPr>
        <w:rFonts w:ascii="Courier New" w:hAnsi="Courier New" w:hint="default"/>
      </w:rPr>
    </w:lvl>
    <w:lvl w:ilvl="8" w:tplc="4D18F7F6" w:tentative="1">
      <w:start w:val="1"/>
      <w:numFmt w:val="bullet"/>
      <w:lvlText w:val=""/>
      <w:lvlJc w:val="left"/>
      <w:pPr>
        <w:ind w:left="6480" w:hanging="360"/>
      </w:pPr>
      <w:rPr>
        <w:rFonts w:ascii="Wingdings" w:hAnsi="Wingdings" w:hint="default"/>
      </w:rPr>
    </w:lvl>
  </w:abstractNum>
  <w:abstractNum w:abstractNumId="172" w15:restartNumberingAfterBreak="0">
    <w:nsid w:val="75ED5B55"/>
    <w:multiLevelType w:val="hybridMultilevel"/>
    <w:tmpl w:val="FFFFFFFF"/>
    <w:lvl w:ilvl="0" w:tplc="C0BA2CF6">
      <w:start w:val="1"/>
      <w:numFmt w:val="decimal"/>
      <w:lvlText w:val="(%1)"/>
      <w:lvlJc w:val="left"/>
      <w:pPr>
        <w:ind w:left="1080" w:hanging="360"/>
      </w:pPr>
    </w:lvl>
    <w:lvl w:ilvl="1" w:tplc="FFFFFFFF">
      <w:start w:val="1"/>
      <w:numFmt w:val="bullet"/>
      <w:lvlText w:val=""/>
      <w:lvlJc w:val="left"/>
      <w:pPr>
        <w:ind w:left="1800" w:hanging="360"/>
      </w:pPr>
      <w:rPr>
        <w:rFonts w:ascii="Symbol" w:hAnsi="Symbol" w:hint="default"/>
      </w:rPr>
    </w:lvl>
    <w:lvl w:ilvl="2" w:tplc="FFFFFFFF">
      <w:start w:val="1"/>
      <w:numFmt w:val="bullet"/>
      <w:lvlText w:val="o"/>
      <w:lvlJc w:val="left"/>
      <w:pPr>
        <w:ind w:left="2520" w:hanging="180"/>
      </w:pPr>
      <w:rPr>
        <w:rFonts w:ascii="Courier New" w:hAnsi="Courier New" w:hint="default"/>
      </w:rPr>
    </w:lvl>
    <w:lvl w:ilvl="3" w:tplc="FFFFFFFF">
      <w:start w:val="1"/>
      <w:numFmt w:val="bullet"/>
      <w:lvlText w:val=""/>
      <w:lvlJc w:val="left"/>
      <w:pPr>
        <w:ind w:left="3240" w:hanging="360"/>
      </w:pPr>
      <w:rPr>
        <w:rFonts w:ascii="Symbol" w:hAnsi="Symbol" w:hint="default"/>
      </w:rPr>
    </w:lvl>
    <w:lvl w:ilvl="4" w:tplc="953E155E">
      <w:start w:val="1"/>
      <w:numFmt w:val="lowerLetter"/>
      <w:lvlText w:val="%5."/>
      <w:lvlJc w:val="left"/>
      <w:pPr>
        <w:ind w:left="3960" w:hanging="360"/>
      </w:pPr>
    </w:lvl>
    <w:lvl w:ilvl="5" w:tplc="3FA6472A">
      <w:start w:val="1"/>
      <w:numFmt w:val="lowerRoman"/>
      <w:lvlText w:val="%6."/>
      <w:lvlJc w:val="right"/>
      <w:pPr>
        <w:ind w:left="4680" w:hanging="180"/>
      </w:pPr>
    </w:lvl>
    <w:lvl w:ilvl="6" w:tplc="890ACA9E">
      <w:start w:val="1"/>
      <w:numFmt w:val="decimal"/>
      <w:lvlText w:val="%7."/>
      <w:lvlJc w:val="left"/>
      <w:pPr>
        <w:ind w:left="5400" w:hanging="360"/>
      </w:pPr>
    </w:lvl>
    <w:lvl w:ilvl="7" w:tplc="CC86E538">
      <w:start w:val="1"/>
      <w:numFmt w:val="lowerLetter"/>
      <w:lvlText w:val="%8."/>
      <w:lvlJc w:val="left"/>
      <w:pPr>
        <w:ind w:left="6120" w:hanging="360"/>
      </w:pPr>
    </w:lvl>
    <w:lvl w:ilvl="8" w:tplc="5C8CE706">
      <w:start w:val="1"/>
      <w:numFmt w:val="lowerRoman"/>
      <w:lvlText w:val="%9."/>
      <w:lvlJc w:val="right"/>
      <w:pPr>
        <w:ind w:left="6840" w:hanging="180"/>
      </w:pPr>
    </w:lvl>
  </w:abstractNum>
  <w:abstractNum w:abstractNumId="173" w15:restartNumberingAfterBreak="0">
    <w:nsid w:val="76584E73"/>
    <w:multiLevelType w:val="multilevel"/>
    <w:tmpl w:val="EFA63274"/>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76D768DA"/>
    <w:multiLevelType w:val="hybridMultilevel"/>
    <w:tmpl w:val="9B1875FA"/>
    <w:lvl w:ilvl="0" w:tplc="B50C1D12">
      <w:start w:val="1"/>
      <w:numFmt w:val="bullet"/>
      <w:lvlText w:val=""/>
      <w:lvlJc w:val="left"/>
      <w:pPr>
        <w:ind w:left="720" w:hanging="360"/>
      </w:pPr>
      <w:rPr>
        <w:rFonts w:ascii="Symbol" w:hAnsi="Symbol" w:hint="default"/>
      </w:rPr>
    </w:lvl>
    <w:lvl w:ilvl="1" w:tplc="C1243762" w:tentative="1">
      <w:start w:val="1"/>
      <w:numFmt w:val="bullet"/>
      <w:lvlText w:val="o"/>
      <w:lvlJc w:val="left"/>
      <w:pPr>
        <w:ind w:left="1440" w:hanging="360"/>
      </w:pPr>
      <w:rPr>
        <w:rFonts w:ascii="Courier New" w:hAnsi="Courier New" w:hint="default"/>
      </w:rPr>
    </w:lvl>
    <w:lvl w:ilvl="2" w:tplc="126ACFC6" w:tentative="1">
      <w:start w:val="1"/>
      <w:numFmt w:val="bullet"/>
      <w:lvlText w:val=""/>
      <w:lvlJc w:val="left"/>
      <w:pPr>
        <w:ind w:left="2160" w:hanging="360"/>
      </w:pPr>
      <w:rPr>
        <w:rFonts w:ascii="Wingdings" w:hAnsi="Wingdings" w:hint="default"/>
      </w:rPr>
    </w:lvl>
    <w:lvl w:ilvl="3" w:tplc="8550B2CE" w:tentative="1">
      <w:start w:val="1"/>
      <w:numFmt w:val="bullet"/>
      <w:lvlText w:val=""/>
      <w:lvlJc w:val="left"/>
      <w:pPr>
        <w:ind w:left="2880" w:hanging="360"/>
      </w:pPr>
      <w:rPr>
        <w:rFonts w:ascii="Symbol" w:hAnsi="Symbol" w:hint="default"/>
      </w:rPr>
    </w:lvl>
    <w:lvl w:ilvl="4" w:tplc="401E2FAC" w:tentative="1">
      <w:start w:val="1"/>
      <w:numFmt w:val="bullet"/>
      <w:lvlText w:val="o"/>
      <w:lvlJc w:val="left"/>
      <w:pPr>
        <w:ind w:left="3600" w:hanging="360"/>
      </w:pPr>
      <w:rPr>
        <w:rFonts w:ascii="Courier New" w:hAnsi="Courier New" w:hint="default"/>
      </w:rPr>
    </w:lvl>
    <w:lvl w:ilvl="5" w:tplc="4FACF82E" w:tentative="1">
      <w:start w:val="1"/>
      <w:numFmt w:val="bullet"/>
      <w:lvlText w:val=""/>
      <w:lvlJc w:val="left"/>
      <w:pPr>
        <w:ind w:left="4320" w:hanging="360"/>
      </w:pPr>
      <w:rPr>
        <w:rFonts w:ascii="Wingdings" w:hAnsi="Wingdings" w:hint="default"/>
      </w:rPr>
    </w:lvl>
    <w:lvl w:ilvl="6" w:tplc="93DE4030" w:tentative="1">
      <w:start w:val="1"/>
      <w:numFmt w:val="bullet"/>
      <w:lvlText w:val=""/>
      <w:lvlJc w:val="left"/>
      <w:pPr>
        <w:ind w:left="5040" w:hanging="360"/>
      </w:pPr>
      <w:rPr>
        <w:rFonts w:ascii="Symbol" w:hAnsi="Symbol" w:hint="default"/>
      </w:rPr>
    </w:lvl>
    <w:lvl w:ilvl="7" w:tplc="E6B698EE" w:tentative="1">
      <w:start w:val="1"/>
      <w:numFmt w:val="bullet"/>
      <w:lvlText w:val="o"/>
      <w:lvlJc w:val="left"/>
      <w:pPr>
        <w:ind w:left="5760" w:hanging="360"/>
      </w:pPr>
      <w:rPr>
        <w:rFonts w:ascii="Courier New" w:hAnsi="Courier New" w:hint="default"/>
      </w:rPr>
    </w:lvl>
    <w:lvl w:ilvl="8" w:tplc="6F326016" w:tentative="1">
      <w:start w:val="1"/>
      <w:numFmt w:val="bullet"/>
      <w:lvlText w:val=""/>
      <w:lvlJc w:val="left"/>
      <w:pPr>
        <w:ind w:left="6480" w:hanging="360"/>
      </w:pPr>
      <w:rPr>
        <w:rFonts w:ascii="Wingdings" w:hAnsi="Wingdings" w:hint="default"/>
      </w:rPr>
    </w:lvl>
  </w:abstractNum>
  <w:abstractNum w:abstractNumId="175" w15:restartNumberingAfterBreak="0">
    <w:nsid w:val="76DB715A"/>
    <w:multiLevelType w:val="multilevel"/>
    <w:tmpl w:val="9E2E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7B110F2"/>
    <w:multiLevelType w:val="hybridMultilevel"/>
    <w:tmpl w:val="97B44984"/>
    <w:lvl w:ilvl="0" w:tplc="9F7A8BDA">
      <w:start w:val="1"/>
      <w:numFmt w:val="bullet"/>
      <w:lvlText w:val=""/>
      <w:lvlJc w:val="left"/>
      <w:pPr>
        <w:ind w:left="360" w:hanging="360"/>
      </w:pPr>
      <w:rPr>
        <w:rFonts w:ascii="Symbol" w:hAnsi="Symbol" w:hint="default"/>
      </w:rPr>
    </w:lvl>
    <w:lvl w:ilvl="1" w:tplc="B372D3C6" w:tentative="1">
      <w:start w:val="1"/>
      <w:numFmt w:val="bullet"/>
      <w:lvlText w:val="o"/>
      <w:lvlJc w:val="left"/>
      <w:pPr>
        <w:ind w:left="1080" w:hanging="360"/>
      </w:pPr>
      <w:rPr>
        <w:rFonts w:ascii="Courier New" w:hAnsi="Courier New" w:hint="default"/>
      </w:rPr>
    </w:lvl>
    <w:lvl w:ilvl="2" w:tplc="DA7EB82C" w:tentative="1">
      <w:start w:val="1"/>
      <w:numFmt w:val="bullet"/>
      <w:lvlText w:val=""/>
      <w:lvlJc w:val="left"/>
      <w:pPr>
        <w:ind w:left="1800" w:hanging="360"/>
      </w:pPr>
      <w:rPr>
        <w:rFonts w:ascii="Wingdings" w:hAnsi="Wingdings" w:hint="default"/>
      </w:rPr>
    </w:lvl>
    <w:lvl w:ilvl="3" w:tplc="F6E66732" w:tentative="1">
      <w:start w:val="1"/>
      <w:numFmt w:val="bullet"/>
      <w:lvlText w:val=""/>
      <w:lvlJc w:val="left"/>
      <w:pPr>
        <w:ind w:left="2520" w:hanging="360"/>
      </w:pPr>
      <w:rPr>
        <w:rFonts w:ascii="Symbol" w:hAnsi="Symbol" w:hint="default"/>
      </w:rPr>
    </w:lvl>
    <w:lvl w:ilvl="4" w:tplc="87729C26" w:tentative="1">
      <w:start w:val="1"/>
      <w:numFmt w:val="bullet"/>
      <w:lvlText w:val="o"/>
      <w:lvlJc w:val="left"/>
      <w:pPr>
        <w:ind w:left="3240" w:hanging="360"/>
      </w:pPr>
      <w:rPr>
        <w:rFonts w:ascii="Courier New" w:hAnsi="Courier New" w:hint="default"/>
      </w:rPr>
    </w:lvl>
    <w:lvl w:ilvl="5" w:tplc="D8DCEA54" w:tentative="1">
      <w:start w:val="1"/>
      <w:numFmt w:val="bullet"/>
      <w:lvlText w:val=""/>
      <w:lvlJc w:val="left"/>
      <w:pPr>
        <w:ind w:left="3960" w:hanging="360"/>
      </w:pPr>
      <w:rPr>
        <w:rFonts w:ascii="Wingdings" w:hAnsi="Wingdings" w:hint="default"/>
      </w:rPr>
    </w:lvl>
    <w:lvl w:ilvl="6" w:tplc="2A08D588" w:tentative="1">
      <w:start w:val="1"/>
      <w:numFmt w:val="bullet"/>
      <w:lvlText w:val=""/>
      <w:lvlJc w:val="left"/>
      <w:pPr>
        <w:ind w:left="4680" w:hanging="360"/>
      </w:pPr>
      <w:rPr>
        <w:rFonts w:ascii="Symbol" w:hAnsi="Symbol" w:hint="default"/>
      </w:rPr>
    </w:lvl>
    <w:lvl w:ilvl="7" w:tplc="5B1CB4D0" w:tentative="1">
      <w:start w:val="1"/>
      <w:numFmt w:val="bullet"/>
      <w:lvlText w:val="o"/>
      <w:lvlJc w:val="left"/>
      <w:pPr>
        <w:ind w:left="5400" w:hanging="360"/>
      </w:pPr>
      <w:rPr>
        <w:rFonts w:ascii="Courier New" w:hAnsi="Courier New" w:hint="default"/>
      </w:rPr>
    </w:lvl>
    <w:lvl w:ilvl="8" w:tplc="17882100" w:tentative="1">
      <w:start w:val="1"/>
      <w:numFmt w:val="bullet"/>
      <w:lvlText w:val=""/>
      <w:lvlJc w:val="left"/>
      <w:pPr>
        <w:ind w:left="6120" w:hanging="360"/>
      </w:pPr>
      <w:rPr>
        <w:rFonts w:ascii="Wingdings" w:hAnsi="Wingdings" w:hint="default"/>
      </w:rPr>
    </w:lvl>
  </w:abstractNum>
  <w:abstractNum w:abstractNumId="177" w15:restartNumberingAfterBreak="0">
    <w:nsid w:val="78BC1028"/>
    <w:multiLevelType w:val="multilevel"/>
    <w:tmpl w:val="117C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9A514C8"/>
    <w:multiLevelType w:val="hybridMultilevel"/>
    <w:tmpl w:val="D4C8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9FC0C58"/>
    <w:multiLevelType w:val="hybridMultilevel"/>
    <w:tmpl w:val="A2BA24D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7ACC3F6A"/>
    <w:multiLevelType w:val="hybridMultilevel"/>
    <w:tmpl w:val="2C9A8CE4"/>
    <w:lvl w:ilvl="0" w:tplc="942CF27C">
      <w:start w:val="1"/>
      <w:numFmt w:val="bullet"/>
      <w:lvlText w:val=""/>
      <w:lvlJc w:val="left"/>
      <w:pPr>
        <w:ind w:left="360" w:hanging="360"/>
      </w:pPr>
      <w:rPr>
        <w:rFonts w:ascii="Symbol" w:hAnsi="Symbol" w:hint="default"/>
      </w:rPr>
    </w:lvl>
    <w:lvl w:ilvl="1" w:tplc="156AFDF6" w:tentative="1">
      <w:start w:val="1"/>
      <w:numFmt w:val="bullet"/>
      <w:lvlText w:val="o"/>
      <w:lvlJc w:val="left"/>
      <w:pPr>
        <w:ind w:left="1080" w:hanging="360"/>
      </w:pPr>
      <w:rPr>
        <w:rFonts w:ascii="Courier New" w:hAnsi="Courier New" w:hint="default"/>
      </w:rPr>
    </w:lvl>
    <w:lvl w:ilvl="2" w:tplc="6E80BF72" w:tentative="1">
      <w:start w:val="1"/>
      <w:numFmt w:val="bullet"/>
      <w:lvlText w:val=""/>
      <w:lvlJc w:val="left"/>
      <w:pPr>
        <w:ind w:left="1800" w:hanging="360"/>
      </w:pPr>
      <w:rPr>
        <w:rFonts w:ascii="Wingdings" w:hAnsi="Wingdings" w:hint="default"/>
      </w:rPr>
    </w:lvl>
    <w:lvl w:ilvl="3" w:tplc="157C9DEE" w:tentative="1">
      <w:start w:val="1"/>
      <w:numFmt w:val="bullet"/>
      <w:lvlText w:val=""/>
      <w:lvlJc w:val="left"/>
      <w:pPr>
        <w:ind w:left="2520" w:hanging="360"/>
      </w:pPr>
      <w:rPr>
        <w:rFonts w:ascii="Symbol" w:hAnsi="Symbol" w:hint="default"/>
      </w:rPr>
    </w:lvl>
    <w:lvl w:ilvl="4" w:tplc="3640BF64" w:tentative="1">
      <w:start w:val="1"/>
      <w:numFmt w:val="bullet"/>
      <w:lvlText w:val="o"/>
      <w:lvlJc w:val="left"/>
      <w:pPr>
        <w:ind w:left="3240" w:hanging="360"/>
      </w:pPr>
      <w:rPr>
        <w:rFonts w:ascii="Courier New" w:hAnsi="Courier New" w:hint="default"/>
      </w:rPr>
    </w:lvl>
    <w:lvl w:ilvl="5" w:tplc="F394F4C2" w:tentative="1">
      <w:start w:val="1"/>
      <w:numFmt w:val="bullet"/>
      <w:lvlText w:val=""/>
      <w:lvlJc w:val="left"/>
      <w:pPr>
        <w:ind w:left="3960" w:hanging="360"/>
      </w:pPr>
      <w:rPr>
        <w:rFonts w:ascii="Wingdings" w:hAnsi="Wingdings" w:hint="default"/>
      </w:rPr>
    </w:lvl>
    <w:lvl w:ilvl="6" w:tplc="67C8F048" w:tentative="1">
      <w:start w:val="1"/>
      <w:numFmt w:val="bullet"/>
      <w:lvlText w:val=""/>
      <w:lvlJc w:val="left"/>
      <w:pPr>
        <w:ind w:left="4680" w:hanging="360"/>
      </w:pPr>
      <w:rPr>
        <w:rFonts w:ascii="Symbol" w:hAnsi="Symbol" w:hint="default"/>
      </w:rPr>
    </w:lvl>
    <w:lvl w:ilvl="7" w:tplc="7AB6312A" w:tentative="1">
      <w:start w:val="1"/>
      <w:numFmt w:val="bullet"/>
      <w:lvlText w:val="o"/>
      <w:lvlJc w:val="left"/>
      <w:pPr>
        <w:ind w:left="5400" w:hanging="360"/>
      </w:pPr>
      <w:rPr>
        <w:rFonts w:ascii="Courier New" w:hAnsi="Courier New" w:hint="default"/>
      </w:rPr>
    </w:lvl>
    <w:lvl w:ilvl="8" w:tplc="9D1CECD4" w:tentative="1">
      <w:start w:val="1"/>
      <w:numFmt w:val="bullet"/>
      <w:lvlText w:val=""/>
      <w:lvlJc w:val="left"/>
      <w:pPr>
        <w:ind w:left="6120" w:hanging="360"/>
      </w:pPr>
      <w:rPr>
        <w:rFonts w:ascii="Wingdings" w:hAnsi="Wingdings" w:hint="default"/>
      </w:rPr>
    </w:lvl>
  </w:abstractNum>
  <w:abstractNum w:abstractNumId="18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182" w15:restartNumberingAfterBreak="0">
    <w:nsid w:val="7D3E0C41"/>
    <w:multiLevelType w:val="hybridMultilevel"/>
    <w:tmpl w:val="ADFAC756"/>
    <w:lvl w:ilvl="0" w:tplc="F2B4910C">
      <w:start w:val="1"/>
      <w:numFmt w:val="bullet"/>
      <w:lvlText w:val=""/>
      <w:lvlJc w:val="left"/>
      <w:pPr>
        <w:ind w:left="360" w:hanging="360"/>
      </w:pPr>
      <w:rPr>
        <w:rFonts w:ascii="Symbol" w:hAnsi="Symbol" w:hint="default"/>
      </w:rPr>
    </w:lvl>
    <w:lvl w:ilvl="1" w:tplc="003AFB78" w:tentative="1">
      <w:start w:val="1"/>
      <w:numFmt w:val="bullet"/>
      <w:lvlText w:val="o"/>
      <w:lvlJc w:val="left"/>
      <w:pPr>
        <w:ind w:left="1080" w:hanging="360"/>
      </w:pPr>
      <w:rPr>
        <w:rFonts w:ascii="Courier New" w:hAnsi="Courier New" w:hint="default"/>
      </w:rPr>
    </w:lvl>
    <w:lvl w:ilvl="2" w:tplc="C5B2D9CA" w:tentative="1">
      <w:start w:val="1"/>
      <w:numFmt w:val="bullet"/>
      <w:lvlText w:val=""/>
      <w:lvlJc w:val="left"/>
      <w:pPr>
        <w:ind w:left="1800" w:hanging="360"/>
      </w:pPr>
      <w:rPr>
        <w:rFonts w:ascii="Wingdings" w:hAnsi="Wingdings" w:hint="default"/>
      </w:rPr>
    </w:lvl>
    <w:lvl w:ilvl="3" w:tplc="99E2F138" w:tentative="1">
      <w:start w:val="1"/>
      <w:numFmt w:val="bullet"/>
      <w:lvlText w:val=""/>
      <w:lvlJc w:val="left"/>
      <w:pPr>
        <w:ind w:left="2520" w:hanging="360"/>
      </w:pPr>
      <w:rPr>
        <w:rFonts w:ascii="Symbol" w:hAnsi="Symbol" w:hint="default"/>
      </w:rPr>
    </w:lvl>
    <w:lvl w:ilvl="4" w:tplc="A5647458" w:tentative="1">
      <w:start w:val="1"/>
      <w:numFmt w:val="bullet"/>
      <w:lvlText w:val="o"/>
      <w:lvlJc w:val="left"/>
      <w:pPr>
        <w:ind w:left="3240" w:hanging="360"/>
      </w:pPr>
      <w:rPr>
        <w:rFonts w:ascii="Courier New" w:hAnsi="Courier New" w:hint="default"/>
      </w:rPr>
    </w:lvl>
    <w:lvl w:ilvl="5" w:tplc="E21CF540" w:tentative="1">
      <w:start w:val="1"/>
      <w:numFmt w:val="bullet"/>
      <w:lvlText w:val=""/>
      <w:lvlJc w:val="left"/>
      <w:pPr>
        <w:ind w:left="3960" w:hanging="360"/>
      </w:pPr>
      <w:rPr>
        <w:rFonts w:ascii="Wingdings" w:hAnsi="Wingdings" w:hint="default"/>
      </w:rPr>
    </w:lvl>
    <w:lvl w:ilvl="6" w:tplc="3A88CC86" w:tentative="1">
      <w:start w:val="1"/>
      <w:numFmt w:val="bullet"/>
      <w:lvlText w:val=""/>
      <w:lvlJc w:val="left"/>
      <w:pPr>
        <w:ind w:left="4680" w:hanging="360"/>
      </w:pPr>
      <w:rPr>
        <w:rFonts w:ascii="Symbol" w:hAnsi="Symbol" w:hint="default"/>
      </w:rPr>
    </w:lvl>
    <w:lvl w:ilvl="7" w:tplc="C43CCF6C" w:tentative="1">
      <w:start w:val="1"/>
      <w:numFmt w:val="bullet"/>
      <w:lvlText w:val="o"/>
      <w:lvlJc w:val="left"/>
      <w:pPr>
        <w:ind w:left="5400" w:hanging="360"/>
      </w:pPr>
      <w:rPr>
        <w:rFonts w:ascii="Courier New" w:hAnsi="Courier New" w:hint="default"/>
      </w:rPr>
    </w:lvl>
    <w:lvl w:ilvl="8" w:tplc="FC4A5B6E" w:tentative="1">
      <w:start w:val="1"/>
      <w:numFmt w:val="bullet"/>
      <w:lvlText w:val=""/>
      <w:lvlJc w:val="left"/>
      <w:pPr>
        <w:ind w:left="6120" w:hanging="360"/>
      </w:pPr>
      <w:rPr>
        <w:rFonts w:ascii="Wingdings" w:hAnsi="Wingdings" w:hint="default"/>
      </w:rPr>
    </w:lvl>
  </w:abstractNum>
  <w:abstractNum w:abstractNumId="183" w15:restartNumberingAfterBreak="0">
    <w:nsid w:val="7DDC3291"/>
    <w:multiLevelType w:val="hybridMultilevel"/>
    <w:tmpl w:val="235CEF66"/>
    <w:lvl w:ilvl="0" w:tplc="AB86CE4E">
      <w:start w:val="1"/>
      <w:numFmt w:val="bullet"/>
      <w:lvlText w:val=""/>
      <w:lvlJc w:val="left"/>
      <w:pPr>
        <w:ind w:left="720" w:hanging="360"/>
      </w:pPr>
      <w:rPr>
        <w:rFonts w:ascii="Symbol" w:hAnsi="Symbol" w:hint="default"/>
      </w:rPr>
    </w:lvl>
    <w:lvl w:ilvl="1" w:tplc="3108517E" w:tentative="1">
      <w:start w:val="1"/>
      <w:numFmt w:val="bullet"/>
      <w:lvlText w:val="o"/>
      <w:lvlJc w:val="left"/>
      <w:pPr>
        <w:ind w:left="1440" w:hanging="360"/>
      </w:pPr>
      <w:rPr>
        <w:rFonts w:ascii="Courier New" w:hAnsi="Courier New" w:hint="default"/>
      </w:rPr>
    </w:lvl>
    <w:lvl w:ilvl="2" w:tplc="B41632C0" w:tentative="1">
      <w:start w:val="1"/>
      <w:numFmt w:val="bullet"/>
      <w:lvlText w:val=""/>
      <w:lvlJc w:val="left"/>
      <w:pPr>
        <w:ind w:left="2160" w:hanging="360"/>
      </w:pPr>
      <w:rPr>
        <w:rFonts w:ascii="Wingdings" w:hAnsi="Wingdings" w:hint="default"/>
      </w:rPr>
    </w:lvl>
    <w:lvl w:ilvl="3" w:tplc="650AB18E" w:tentative="1">
      <w:start w:val="1"/>
      <w:numFmt w:val="bullet"/>
      <w:lvlText w:val=""/>
      <w:lvlJc w:val="left"/>
      <w:pPr>
        <w:ind w:left="2880" w:hanging="360"/>
      </w:pPr>
      <w:rPr>
        <w:rFonts w:ascii="Symbol" w:hAnsi="Symbol" w:hint="default"/>
      </w:rPr>
    </w:lvl>
    <w:lvl w:ilvl="4" w:tplc="13EC8324" w:tentative="1">
      <w:start w:val="1"/>
      <w:numFmt w:val="bullet"/>
      <w:lvlText w:val="o"/>
      <w:lvlJc w:val="left"/>
      <w:pPr>
        <w:ind w:left="3600" w:hanging="360"/>
      </w:pPr>
      <w:rPr>
        <w:rFonts w:ascii="Courier New" w:hAnsi="Courier New" w:hint="default"/>
      </w:rPr>
    </w:lvl>
    <w:lvl w:ilvl="5" w:tplc="5DFAA75E" w:tentative="1">
      <w:start w:val="1"/>
      <w:numFmt w:val="bullet"/>
      <w:lvlText w:val=""/>
      <w:lvlJc w:val="left"/>
      <w:pPr>
        <w:ind w:left="4320" w:hanging="360"/>
      </w:pPr>
      <w:rPr>
        <w:rFonts w:ascii="Wingdings" w:hAnsi="Wingdings" w:hint="default"/>
      </w:rPr>
    </w:lvl>
    <w:lvl w:ilvl="6" w:tplc="3FCE2A4A" w:tentative="1">
      <w:start w:val="1"/>
      <w:numFmt w:val="bullet"/>
      <w:lvlText w:val=""/>
      <w:lvlJc w:val="left"/>
      <w:pPr>
        <w:ind w:left="5040" w:hanging="360"/>
      </w:pPr>
      <w:rPr>
        <w:rFonts w:ascii="Symbol" w:hAnsi="Symbol" w:hint="default"/>
      </w:rPr>
    </w:lvl>
    <w:lvl w:ilvl="7" w:tplc="A4F85A1A" w:tentative="1">
      <w:start w:val="1"/>
      <w:numFmt w:val="bullet"/>
      <w:lvlText w:val="o"/>
      <w:lvlJc w:val="left"/>
      <w:pPr>
        <w:ind w:left="5760" w:hanging="360"/>
      </w:pPr>
      <w:rPr>
        <w:rFonts w:ascii="Courier New" w:hAnsi="Courier New" w:hint="default"/>
      </w:rPr>
    </w:lvl>
    <w:lvl w:ilvl="8" w:tplc="2D06A1F0" w:tentative="1">
      <w:start w:val="1"/>
      <w:numFmt w:val="bullet"/>
      <w:lvlText w:val=""/>
      <w:lvlJc w:val="left"/>
      <w:pPr>
        <w:ind w:left="6480" w:hanging="360"/>
      </w:pPr>
      <w:rPr>
        <w:rFonts w:ascii="Wingdings" w:hAnsi="Wingdings" w:hint="default"/>
      </w:rPr>
    </w:lvl>
  </w:abstractNum>
  <w:abstractNum w:abstractNumId="184" w15:restartNumberingAfterBreak="0">
    <w:nsid w:val="7E1D034B"/>
    <w:multiLevelType w:val="hybridMultilevel"/>
    <w:tmpl w:val="6D70FDD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15:restartNumberingAfterBreak="0">
    <w:nsid w:val="7E8F0E90"/>
    <w:multiLevelType w:val="multilevel"/>
    <w:tmpl w:val="BED6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0"/>
  </w:num>
  <w:num w:numId="2">
    <w:abstractNumId w:val="144"/>
  </w:num>
  <w:num w:numId="3">
    <w:abstractNumId w:val="56"/>
  </w:num>
  <w:num w:numId="4">
    <w:abstractNumId w:val="133"/>
  </w:num>
  <w:num w:numId="5">
    <w:abstractNumId w:val="60"/>
  </w:num>
  <w:num w:numId="6">
    <w:abstractNumId w:val="171"/>
  </w:num>
  <w:num w:numId="7">
    <w:abstractNumId w:val="174"/>
  </w:num>
  <w:num w:numId="8">
    <w:abstractNumId w:val="124"/>
  </w:num>
  <w:num w:numId="9">
    <w:abstractNumId w:val="16"/>
  </w:num>
  <w:num w:numId="10">
    <w:abstractNumId w:val="56"/>
  </w:num>
  <w:num w:numId="11">
    <w:abstractNumId w:val="183"/>
  </w:num>
  <w:num w:numId="12">
    <w:abstractNumId w:val="41"/>
  </w:num>
  <w:num w:numId="13">
    <w:abstractNumId w:val="37"/>
  </w:num>
  <w:num w:numId="14">
    <w:abstractNumId w:val="79"/>
  </w:num>
  <w:num w:numId="15">
    <w:abstractNumId w:val="136"/>
  </w:num>
  <w:num w:numId="16">
    <w:abstractNumId w:val="89"/>
  </w:num>
  <w:num w:numId="17">
    <w:abstractNumId w:val="105"/>
  </w:num>
  <w:num w:numId="18">
    <w:abstractNumId w:val="59"/>
  </w:num>
  <w:num w:numId="19">
    <w:abstractNumId w:val="56"/>
  </w:num>
  <w:num w:numId="20">
    <w:abstractNumId w:val="141"/>
  </w:num>
  <w:num w:numId="21">
    <w:abstractNumId w:val="103"/>
  </w:num>
  <w:num w:numId="22">
    <w:abstractNumId w:val="112"/>
  </w:num>
  <w:num w:numId="23">
    <w:abstractNumId w:val="64"/>
  </w:num>
  <w:num w:numId="24">
    <w:abstractNumId w:val="139"/>
  </w:num>
  <w:num w:numId="25">
    <w:abstractNumId w:val="3"/>
  </w:num>
  <w:num w:numId="26">
    <w:abstractNumId w:val="151"/>
  </w:num>
  <w:num w:numId="27">
    <w:abstractNumId w:val="182"/>
  </w:num>
  <w:num w:numId="28">
    <w:abstractNumId w:val="26"/>
  </w:num>
  <w:num w:numId="29">
    <w:abstractNumId w:val="145"/>
  </w:num>
  <w:num w:numId="30">
    <w:abstractNumId w:val="137"/>
  </w:num>
  <w:num w:numId="31">
    <w:abstractNumId w:val="128"/>
  </w:num>
  <w:num w:numId="32">
    <w:abstractNumId w:val="93"/>
  </w:num>
  <w:num w:numId="33">
    <w:abstractNumId w:val="165"/>
  </w:num>
  <w:num w:numId="34">
    <w:abstractNumId w:val="152"/>
  </w:num>
  <w:num w:numId="35">
    <w:abstractNumId w:val="10"/>
  </w:num>
  <w:num w:numId="36">
    <w:abstractNumId w:val="82"/>
  </w:num>
  <w:num w:numId="37">
    <w:abstractNumId w:val="148"/>
  </w:num>
  <w:num w:numId="38">
    <w:abstractNumId w:val="74"/>
  </w:num>
  <w:num w:numId="39">
    <w:abstractNumId w:val="40"/>
  </w:num>
  <w:num w:numId="40">
    <w:abstractNumId w:val="172"/>
  </w:num>
  <w:num w:numId="41">
    <w:abstractNumId w:val="129"/>
  </w:num>
  <w:num w:numId="42">
    <w:abstractNumId w:val="73"/>
  </w:num>
  <w:num w:numId="43">
    <w:abstractNumId w:val="169"/>
  </w:num>
  <w:num w:numId="44">
    <w:abstractNumId w:val="56"/>
  </w:num>
  <w:num w:numId="45">
    <w:abstractNumId w:val="65"/>
  </w:num>
  <w:num w:numId="46">
    <w:abstractNumId w:val="46"/>
  </w:num>
  <w:num w:numId="47">
    <w:abstractNumId w:val="55"/>
  </w:num>
  <w:num w:numId="48">
    <w:abstractNumId w:val="61"/>
  </w:num>
  <w:num w:numId="49">
    <w:abstractNumId w:val="158"/>
  </w:num>
  <w:num w:numId="50">
    <w:abstractNumId w:val="113"/>
  </w:num>
  <w:num w:numId="51">
    <w:abstractNumId w:val="47"/>
  </w:num>
  <w:num w:numId="52">
    <w:abstractNumId w:val="12"/>
  </w:num>
  <w:num w:numId="53">
    <w:abstractNumId w:val="22"/>
  </w:num>
  <w:num w:numId="54">
    <w:abstractNumId w:val="109"/>
  </w:num>
  <w:num w:numId="55">
    <w:abstractNumId w:val="96"/>
  </w:num>
  <w:num w:numId="56">
    <w:abstractNumId w:val="106"/>
  </w:num>
  <w:num w:numId="57">
    <w:abstractNumId w:val="63"/>
  </w:num>
  <w:num w:numId="58">
    <w:abstractNumId w:val="138"/>
  </w:num>
  <w:num w:numId="59">
    <w:abstractNumId w:val="95"/>
  </w:num>
  <w:num w:numId="60">
    <w:abstractNumId w:val="32"/>
  </w:num>
  <w:num w:numId="61">
    <w:abstractNumId w:val="86"/>
  </w:num>
  <w:num w:numId="62">
    <w:abstractNumId w:val="5"/>
  </w:num>
  <w:num w:numId="63">
    <w:abstractNumId w:val="116"/>
  </w:num>
  <w:num w:numId="64">
    <w:abstractNumId w:val="177"/>
  </w:num>
  <w:num w:numId="65">
    <w:abstractNumId w:val="175"/>
  </w:num>
  <w:num w:numId="66">
    <w:abstractNumId w:val="101"/>
  </w:num>
  <w:num w:numId="67">
    <w:abstractNumId w:val="125"/>
  </w:num>
  <w:num w:numId="68">
    <w:abstractNumId w:val="123"/>
  </w:num>
  <w:num w:numId="69">
    <w:abstractNumId w:val="58"/>
  </w:num>
  <w:num w:numId="70">
    <w:abstractNumId w:val="115"/>
  </w:num>
  <w:num w:numId="71">
    <w:abstractNumId w:val="100"/>
  </w:num>
  <w:num w:numId="72">
    <w:abstractNumId w:val="57"/>
  </w:num>
  <w:num w:numId="73">
    <w:abstractNumId w:val="71"/>
  </w:num>
  <w:num w:numId="74">
    <w:abstractNumId w:val="185"/>
  </w:num>
  <w:num w:numId="75">
    <w:abstractNumId w:val="76"/>
  </w:num>
  <w:num w:numId="76">
    <w:abstractNumId w:val="24"/>
  </w:num>
  <w:num w:numId="77">
    <w:abstractNumId w:val="127"/>
  </w:num>
  <w:num w:numId="78">
    <w:abstractNumId w:val="54"/>
  </w:num>
  <w:num w:numId="79">
    <w:abstractNumId w:val="104"/>
  </w:num>
  <w:num w:numId="80">
    <w:abstractNumId w:val="17"/>
  </w:num>
  <w:num w:numId="81">
    <w:abstractNumId w:val="23"/>
  </w:num>
  <w:num w:numId="82">
    <w:abstractNumId w:val="15"/>
  </w:num>
  <w:num w:numId="83">
    <w:abstractNumId w:val="81"/>
  </w:num>
  <w:num w:numId="84">
    <w:abstractNumId w:val="51"/>
  </w:num>
  <w:num w:numId="85">
    <w:abstractNumId w:val="118"/>
  </w:num>
  <w:num w:numId="86">
    <w:abstractNumId w:val="153"/>
  </w:num>
  <w:num w:numId="87">
    <w:abstractNumId w:val="28"/>
  </w:num>
  <w:num w:numId="88">
    <w:abstractNumId w:val="97"/>
  </w:num>
  <w:num w:numId="89">
    <w:abstractNumId w:val="34"/>
  </w:num>
  <w:num w:numId="90">
    <w:abstractNumId w:val="68"/>
  </w:num>
  <w:num w:numId="91">
    <w:abstractNumId w:val="87"/>
  </w:num>
  <w:num w:numId="92">
    <w:abstractNumId w:val="69"/>
  </w:num>
  <w:num w:numId="93">
    <w:abstractNumId w:val="70"/>
  </w:num>
  <w:num w:numId="94">
    <w:abstractNumId w:val="181"/>
  </w:num>
  <w:num w:numId="95">
    <w:abstractNumId w:val="108"/>
  </w:num>
  <w:num w:numId="96">
    <w:abstractNumId w:val="29"/>
  </w:num>
  <w:num w:numId="97">
    <w:abstractNumId w:val="49"/>
  </w:num>
  <w:num w:numId="98">
    <w:abstractNumId w:val="119"/>
  </w:num>
  <w:num w:numId="99">
    <w:abstractNumId w:val="102"/>
  </w:num>
  <w:num w:numId="100">
    <w:abstractNumId w:val="35"/>
  </w:num>
  <w:num w:numId="101">
    <w:abstractNumId w:val="2"/>
  </w:num>
  <w:num w:numId="102">
    <w:abstractNumId w:val="134"/>
  </w:num>
  <w:num w:numId="103">
    <w:abstractNumId w:val="143"/>
  </w:num>
  <w:num w:numId="104">
    <w:abstractNumId w:val="7"/>
  </w:num>
  <w:num w:numId="105">
    <w:abstractNumId w:val="94"/>
  </w:num>
  <w:num w:numId="106">
    <w:abstractNumId w:val="83"/>
  </w:num>
  <w:num w:numId="107">
    <w:abstractNumId w:val="98"/>
  </w:num>
  <w:num w:numId="108">
    <w:abstractNumId w:val="170"/>
  </w:num>
  <w:num w:numId="109">
    <w:abstractNumId w:val="53"/>
  </w:num>
  <w:num w:numId="110">
    <w:abstractNumId w:val="173"/>
  </w:num>
  <w:num w:numId="111">
    <w:abstractNumId w:val="99"/>
  </w:num>
  <w:num w:numId="112">
    <w:abstractNumId w:val="167"/>
  </w:num>
  <w:num w:numId="113">
    <w:abstractNumId w:val="77"/>
  </w:num>
  <w:num w:numId="114">
    <w:abstractNumId w:val="50"/>
  </w:num>
  <w:num w:numId="115">
    <w:abstractNumId w:val="27"/>
  </w:num>
  <w:num w:numId="116">
    <w:abstractNumId w:val="162"/>
  </w:num>
  <w:num w:numId="117">
    <w:abstractNumId w:val="14"/>
  </w:num>
  <w:num w:numId="118">
    <w:abstractNumId w:val="176"/>
  </w:num>
  <w:num w:numId="119">
    <w:abstractNumId w:val="180"/>
  </w:num>
  <w:num w:numId="120">
    <w:abstractNumId w:val="30"/>
  </w:num>
  <w:num w:numId="121">
    <w:abstractNumId w:val="72"/>
  </w:num>
  <w:num w:numId="122">
    <w:abstractNumId w:val="21"/>
  </w:num>
  <w:num w:numId="123">
    <w:abstractNumId w:val="132"/>
  </w:num>
  <w:num w:numId="124">
    <w:abstractNumId w:val="121"/>
  </w:num>
  <w:num w:numId="125">
    <w:abstractNumId w:val="18"/>
  </w:num>
  <w:num w:numId="126">
    <w:abstractNumId w:val="131"/>
  </w:num>
  <w:num w:numId="127">
    <w:abstractNumId w:val="62"/>
  </w:num>
  <w:num w:numId="128">
    <w:abstractNumId w:val="159"/>
  </w:num>
  <w:num w:numId="129">
    <w:abstractNumId w:val="67"/>
  </w:num>
  <w:num w:numId="130">
    <w:abstractNumId w:val="48"/>
  </w:num>
  <w:num w:numId="131">
    <w:abstractNumId w:val="11"/>
  </w:num>
  <w:num w:numId="132">
    <w:abstractNumId w:val="120"/>
  </w:num>
  <w:num w:numId="133">
    <w:abstractNumId w:val="110"/>
  </w:num>
  <w:num w:numId="13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55"/>
  </w:num>
  <w:num w:numId="137">
    <w:abstractNumId w:val="166"/>
  </w:num>
  <w:num w:numId="138">
    <w:abstractNumId w:val="19"/>
  </w:num>
  <w:num w:numId="139">
    <w:abstractNumId w:val="91"/>
  </w:num>
  <w:num w:numId="140">
    <w:abstractNumId w:val="52"/>
  </w:num>
  <w:num w:numId="141">
    <w:abstractNumId w:val="84"/>
  </w:num>
  <w:num w:numId="142">
    <w:abstractNumId w:val="156"/>
  </w:num>
  <w:num w:numId="143">
    <w:abstractNumId w:val="154"/>
  </w:num>
  <w:num w:numId="144">
    <w:abstractNumId w:val="146"/>
  </w:num>
  <w:num w:numId="145">
    <w:abstractNumId w:val="4"/>
  </w:num>
  <w:num w:numId="146">
    <w:abstractNumId w:val="178"/>
  </w:num>
  <w:num w:numId="147">
    <w:abstractNumId w:val="33"/>
  </w:num>
  <w:num w:numId="148">
    <w:abstractNumId w:val="45"/>
  </w:num>
  <w:num w:numId="149">
    <w:abstractNumId w:val="135"/>
  </w:num>
  <w:num w:numId="150">
    <w:abstractNumId w:val="80"/>
  </w:num>
  <w:num w:numId="151">
    <w:abstractNumId w:val="114"/>
  </w:num>
  <w:num w:numId="152">
    <w:abstractNumId w:val="184"/>
  </w:num>
  <w:num w:numId="153">
    <w:abstractNumId w:val="31"/>
  </w:num>
  <w:num w:numId="154">
    <w:abstractNumId w:val="117"/>
  </w:num>
  <w:num w:numId="155">
    <w:abstractNumId w:val="111"/>
  </w:num>
  <w:num w:numId="156">
    <w:abstractNumId w:val="150"/>
  </w:num>
  <w:num w:numId="157">
    <w:abstractNumId w:val="160"/>
  </w:num>
  <w:num w:numId="158">
    <w:abstractNumId w:val="179"/>
  </w:num>
  <w:num w:numId="159">
    <w:abstractNumId w:val="168"/>
  </w:num>
  <w:num w:numId="160">
    <w:abstractNumId w:val="43"/>
  </w:num>
  <w:num w:numId="161">
    <w:abstractNumId w:val="44"/>
  </w:num>
  <w:num w:numId="162">
    <w:abstractNumId w:val="126"/>
  </w:num>
  <w:num w:numId="163">
    <w:abstractNumId w:val="161"/>
  </w:num>
  <w:num w:numId="164">
    <w:abstractNumId w:val="9"/>
  </w:num>
  <w:num w:numId="165">
    <w:abstractNumId w:val="107"/>
  </w:num>
  <w:num w:numId="166">
    <w:abstractNumId w:val="157"/>
  </w:num>
  <w:num w:numId="167">
    <w:abstractNumId w:val="130"/>
  </w:num>
  <w:num w:numId="168">
    <w:abstractNumId w:val="88"/>
  </w:num>
  <w:num w:numId="169">
    <w:abstractNumId w:val="13"/>
  </w:num>
  <w:num w:numId="170">
    <w:abstractNumId w:val="25"/>
  </w:num>
  <w:num w:numId="171">
    <w:abstractNumId w:val="85"/>
  </w:num>
  <w:num w:numId="172">
    <w:abstractNumId w:val="36"/>
  </w:num>
  <w:num w:numId="173">
    <w:abstractNumId w:val="20"/>
  </w:num>
  <w:num w:numId="174">
    <w:abstractNumId w:val="42"/>
  </w:num>
  <w:num w:numId="175">
    <w:abstractNumId w:val="38"/>
  </w:num>
  <w:num w:numId="176">
    <w:abstractNumId w:val="75"/>
  </w:num>
  <w:num w:numId="177">
    <w:abstractNumId w:val="39"/>
  </w:num>
  <w:num w:numId="178">
    <w:abstractNumId w:val="92"/>
  </w:num>
  <w:num w:numId="179">
    <w:abstractNumId w:val="140"/>
  </w:num>
  <w:num w:numId="180">
    <w:abstractNumId w:val="66"/>
  </w:num>
  <w:num w:numId="181">
    <w:abstractNumId w:val="149"/>
  </w:num>
  <w:num w:numId="182">
    <w:abstractNumId w:val="122"/>
  </w:num>
  <w:num w:numId="183">
    <w:abstractNumId w:val="163"/>
  </w:num>
  <w:num w:numId="184">
    <w:abstractNumId w:val="6"/>
  </w:num>
  <w:num w:numId="18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47"/>
  </w:num>
  <w:num w:numId="187">
    <w:abstractNumId w:val="164"/>
  </w:num>
  <w:num w:numId="188">
    <w:abstractNumId w:val="142"/>
  </w:num>
  <w:num w:numId="18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
  </w:num>
  <w:num w:numId="191">
    <w:abstractNumId w:val="0"/>
  </w:num>
  <w:num w:numId="192">
    <w:abstractNumId w:val="0"/>
  </w:num>
  <w:num w:numId="193">
    <w:abstractNumId w:val="56"/>
    <w:lvlOverride w:ilvl="0">
      <w:startOverride w:val="6"/>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s"/>
    <w:docVar w:name="LW_CORRIGENDUM" w:val="&lt;UNUSED&gt;"/>
    <w:docVar w:name="LW_COVERPAGE_EXISTS" w:val="True"/>
    <w:docVar w:name="LW_COVERPAGE_GUID" w:val="D8655CF2-EEB3-48DD-92D4-EA9F701F25C7"/>
    <w:docVar w:name="LW_COVERPAGE_TYPE" w:val="1"/>
    <w:docVar w:name="LW_CROSSREFERENCE" w:val="{COM(2026) 11 final} - {SEC(2026) 11 final} - {SWD(2026) 12 final}"/>
    <w:docVar w:name="LW_DocType" w:val="NORMAL"/>
    <w:docVar w:name="LW_EMISSION" w:val="20.1.2026"/>
    <w:docVar w:name="LW_EMISSION_ISODATE" w:val="2026-01-20"/>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And_x000d__x000d__x000d__x000d__x000d__x000d__x000d__x000d__x000d__x000d__x000d__x000d__x000d__x000d__x000d__x000d__x000d__x000b__x000d__x000d__x000d__x000d__x000d__x000d__x000d__x000d__x000d__x000d__x000d__x000d__x000d__x000d__x000d__x000b_Proposal for a Directive of the European Parliament and of the Council amending Directive (EU) 2022/2555 as regards simplification measures and alignment with the [Proposal for the Cybersecurity Act 2]_x000d__x000d__x000d__x000d__x000b_"/>
    <w:docVar w:name="LW_PART_NBR" w:val="1"/>
    <w:docVar w:name="LW_PART_NBR_TOTAL" w:val="1"/>
    <w:docVar w:name="LW_REF.INST.NEW" w:val="SWD"/>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Regulation of the European Parliament and of the Council on the European Union Agency for Cybersecurity (ENISA), European cybersecurity certification framework, and ICT supply chain security and repealing Regulation (EU) 2019/881 (The Cybersecurity Act 2)"/>
    <w:docVar w:name="LwApiVersions" w:val="LW4CoDe 1.24.5.0; LW 9.2, Build 20251112"/>
  </w:docVars>
  <w:rsids>
    <w:rsidRoot w:val="006B087E"/>
    <w:rsid w:val="00000001"/>
    <w:rsid w:val="0000004F"/>
    <w:rsid w:val="0000007A"/>
    <w:rsid w:val="000000CB"/>
    <w:rsid w:val="00000205"/>
    <w:rsid w:val="00000213"/>
    <w:rsid w:val="00000227"/>
    <w:rsid w:val="0000031C"/>
    <w:rsid w:val="0000039F"/>
    <w:rsid w:val="000003D0"/>
    <w:rsid w:val="000003D6"/>
    <w:rsid w:val="00000451"/>
    <w:rsid w:val="00000470"/>
    <w:rsid w:val="000004C9"/>
    <w:rsid w:val="000004DD"/>
    <w:rsid w:val="000004FB"/>
    <w:rsid w:val="000005BD"/>
    <w:rsid w:val="000005F0"/>
    <w:rsid w:val="000007B2"/>
    <w:rsid w:val="000007D0"/>
    <w:rsid w:val="00000827"/>
    <w:rsid w:val="00000850"/>
    <w:rsid w:val="00000863"/>
    <w:rsid w:val="0000086A"/>
    <w:rsid w:val="000008C8"/>
    <w:rsid w:val="00000951"/>
    <w:rsid w:val="000009D8"/>
    <w:rsid w:val="00000B39"/>
    <w:rsid w:val="00000B7E"/>
    <w:rsid w:val="00000BEE"/>
    <w:rsid w:val="00000C29"/>
    <w:rsid w:val="00000C70"/>
    <w:rsid w:val="00000CCE"/>
    <w:rsid w:val="00000CF7"/>
    <w:rsid w:val="00000D87"/>
    <w:rsid w:val="00000D96"/>
    <w:rsid w:val="00000DC5"/>
    <w:rsid w:val="00000DD8"/>
    <w:rsid w:val="00000E41"/>
    <w:rsid w:val="00000E61"/>
    <w:rsid w:val="00000F02"/>
    <w:rsid w:val="00000F37"/>
    <w:rsid w:val="00000FB6"/>
    <w:rsid w:val="00000FBE"/>
    <w:rsid w:val="00000FFB"/>
    <w:rsid w:val="0000100F"/>
    <w:rsid w:val="00001080"/>
    <w:rsid w:val="000010A7"/>
    <w:rsid w:val="00001104"/>
    <w:rsid w:val="0000110D"/>
    <w:rsid w:val="00001160"/>
    <w:rsid w:val="000011B2"/>
    <w:rsid w:val="000011C6"/>
    <w:rsid w:val="00001211"/>
    <w:rsid w:val="00001268"/>
    <w:rsid w:val="0000126F"/>
    <w:rsid w:val="00001307"/>
    <w:rsid w:val="00001330"/>
    <w:rsid w:val="000013EC"/>
    <w:rsid w:val="00001411"/>
    <w:rsid w:val="0000143C"/>
    <w:rsid w:val="0000149B"/>
    <w:rsid w:val="000014D2"/>
    <w:rsid w:val="000015A2"/>
    <w:rsid w:val="00001651"/>
    <w:rsid w:val="000016B7"/>
    <w:rsid w:val="0000180E"/>
    <w:rsid w:val="00001886"/>
    <w:rsid w:val="000018FB"/>
    <w:rsid w:val="00001916"/>
    <w:rsid w:val="00001921"/>
    <w:rsid w:val="000019E0"/>
    <w:rsid w:val="00001A48"/>
    <w:rsid w:val="00001A61"/>
    <w:rsid w:val="00001AD7"/>
    <w:rsid w:val="00001B86"/>
    <w:rsid w:val="00001BBF"/>
    <w:rsid w:val="00001C03"/>
    <w:rsid w:val="00001C2D"/>
    <w:rsid w:val="00001C55"/>
    <w:rsid w:val="00001CBB"/>
    <w:rsid w:val="00001CBC"/>
    <w:rsid w:val="00001D85"/>
    <w:rsid w:val="00001DE7"/>
    <w:rsid w:val="00001E65"/>
    <w:rsid w:val="00001E8E"/>
    <w:rsid w:val="00001F00"/>
    <w:rsid w:val="00001F9B"/>
    <w:rsid w:val="00001FDD"/>
    <w:rsid w:val="00001FF3"/>
    <w:rsid w:val="00001FF8"/>
    <w:rsid w:val="00002036"/>
    <w:rsid w:val="0000206E"/>
    <w:rsid w:val="000020BC"/>
    <w:rsid w:val="00002157"/>
    <w:rsid w:val="00002180"/>
    <w:rsid w:val="00002185"/>
    <w:rsid w:val="0000218B"/>
    <w:rsid w:val="000021AA"/>
    <w:rsid w:val="000021BB"/>
    <w:rsid w:val="000021C5"/>
    <w:rsid w:val="00002219"/>
    <w:rsid w:val="000022AC"/>
    <w:rsid w:val="000022E0"/>
    <w:rsid w:val="00002310"/>
    <w:rsid w:val="00002338"/>
    <w:rsid w:val="00002428"/>
    <w:rsid w:val="000024AD"/>
    <w:rsid w:val="000024AE"/>
    <w:rsid w:val="000024FF"/>
    <w:rsid w:val="00002503"/>
    <w:rsid w:val="0000252C"/>
    <w:rsid w:val="00002569"/>
    <w:rsid w:val="00002598"/>
    <w:rsid w:val="000025D2"/>
    <w:rsid w:val="000025F4"/>
    <w:rsid w:val="00002613"/>
    <w:rsid w:val="000026C4"/>
    <w:rsid w:val="000026D4"/>
    <w:rsid w:val="000026DA"/>
    <w:rsid w:val="0000270C"/>
    <w:rsid w:val="00002728"/>
    <w:rsid w:val="000027C3"/>
    <w:rsid w:val="00002832"/>
    <w:rsid w:val="0000284B"/>
    <w:rsid w:val="00002898"/>
    <w:rsid w:val="000028E8"/>
    <w:rsid w:val="00002924"/>
    <w:rsid w:val="00002943"/>
    <w:rsid w:val="0000296F"/>
    <w:rsid w:val="0000297E"/>
    <w:rsid w:val="000029B6"/>
    <w:rsid w:val="00002A49"/>
    <w:rsid w:val="00002A76"/>
    <w:rsid w:val="00002AD1"/>
    <w:rsid w:val="00002AEF"/>
    <w:rsid w:val="00002B39"/>
    <w:rsid w:val="00002C10"/>
    <w:rsid w:val="00002C15"/>
    <w:rsid w:val="00002C43"/>
    <w:rsid w:val="00002C72"/>
    <w:rsid w:val="00002CFA"/>
    <w:rsid w:val="00002D21"/>
    <w:rsid w:val="00002D24"/>
    <w:rsid w:val="00002D2C"/>
    <w:rsid w:val="00002E41"/>
    <w:rsid w:val="00002EAA"/>
    <w:rsid w:val="00002F01"/>
    <w:rsid w:val="00002F07"/>
    <w:rsid w:val="00002F17"/>
    <w:rsid w:val="00003035"/>
    <w:rsid w:val="0000303F"/>
    <w:rsid w:val="0000317B"/>
    <w:rsid w:val="000031CD"/>
    <w:rsid w:val="00003252"/>
    <w:rsid w:val="0000328D"/>
    <w:rsid w:val="000032DC"/>
    <w:rsid w:val="00003309"/>
    <w:rsid w:val="00003326"/>
    <w:rsid w:val="0000337A"/>
    <w:rsid w:val="00003390"/>
    <w:rsid w:val="00003394"/>
    <w:rsid w:val="0000354C"/>
    <w:rsid w:val="000035A3"/>
    <w:rsid w:val="000035F0"/>
    <w:rsid w:val="000035F1"/>
    <w:rsid w:val="00003657"/>
    <w:rsid w:val="000036AA"/>
    <w:rsid w:val="000036CB"/>
    <w:rsid w:val="00003726"/>
    <w:rsid w:val="000037CB"/>
    <w:rsid w:val="000037ED"/>
    <w:rsid w:val="00003839"/>
    <w:rsid w:val="00003878"/>
    <w:rsid w:val="000038F9"/>
    <w:rsid w:val="0000391F"/>
    <w:rsid w:val="0000395C"/>
    <w:rsid w:val="000039CD"/>
    <w:rsid w:val="000039F0"/>
    <w:rsid w:val="00003A0D"/>
    <w:rsid w:val="00003B19"/>
    <w:rsid w:val="00003BD7"/>
    <w:rsid w:val="00003C02"/>
    <w:rsid w:val="00003DA8"/>
    <w:rsid w:val="00003E40"/>
    <w:rsid w:val="00003E6F"/>
    <w:rsid w:val="00003F30"/>
    <w:rsid w:val="00003F38"/>
    <w:rsid w:val="0000400F"/>
    <w:rsid w:val="00004028"/>
    <w:rsid w:val="000040B5"/>
    <w:rsid w:val="0000410A"/>
    <w:rsid w:val="00004148"/>
    <w:rsid w:val="00004197"/>
    <w:rsid w:val="00004199"/>
    <w:rsid w:val="00004307"/>
    <w:rsid w:val="00004397"/>
    <w:rsid w:val="0000439E"/>
    <w:rsid w:val="00004488"/>
    <w:rsid w:val="000044C9"/>
    <w:rsid w:val="0000457D"/>
    <w:rsid w:val="000045D6"/>
    <w:rsid w:val="00004669"/>
    <w:rsid w:val="00004693"/>
    <w:rsid w:val="000046AE"/>
    <w:rsid w:val="000046FF"/>
    <w:rsid w:val="00004736"/>
    <w:rsid w:val="0000476F"/>
    <w:rsid w:val="00004831"/>
    <w:rsid w:val="00004854"/>
    <w:rsid w:val="0000489E"/>
    <w:rsid w:val="000048DB"/>
    <w:rsid w:val="00004965"/>
    <w:rsid w:val="00004984"/>
    <w:rsid w:val="00004A0A"/>
    <w:rsid w:val="00004BEB"/>
    <w:rsid w:val="00004BF5"/>
    <w:rsid w:val="00004C12"/>
    <w:rsid w:val="00004D0E"/>
    <w:rsid w:val="00004D5A"/>
    <w:rsid w:val="00004D96"/>
    <w:rsid w:val="00004DD3"/>
    <w:rsid w:val="00004E03"/>
    <w:rsid w:val="00004E36"/>
    <w:rsid w:val="00004E3A"/>
    <w:rsid w:val="00004E59"/>
    <w:rsid w:val="00004E68"/>
    <w:rsid w:val="00004EAD"/>
    <w:rsid w:val="00004EC7"/>
    <w:rsid w:val="00004ED0"/>
    <w:rsid w:val="00004F01"/>
    <w:rsid w:val="00004F43"/>
    <w:rsid w:val="00004FB0"/>
    <w:rsid w:val="00005029"/>
    <w:rsid w:val="0000502B"/>
    <w:rsid w:val="00005046"/>
    <w:rsid w:val="00005134"/>
    <w:rsid w:val="000051CD"/>
    <w:rsid w:val="000052CB"/>
    <w:rsid w:val="00005356"/>
    <w:rsid w:val="00005362"/>
    <w:rsid w:val="000053F2"/>
    <w:rsid w:val="000053F6"/>
    <w:rsid w:val="00005497"/>
    <w:rsid w:val="000054CC"/>
    <w:rsid w:val="0000556A"/>
    <w:rsid w:val="00005605"/>
    <w:rsid w:val="00005687"/>
    <w:rsid w:val="000057CC"/>
    <w:rsid w:val="000057CF"/>
    <w:rsid w:val="0000582A"/>
    <w:rsid w:val="000058EB"/>
    <w:rsid w:val="0000590D"/>
    <w:rsid w:val="0000595D"/>
    <w:rsid w:val="00005A02"/>
    <w:rsid w:val="00005AD6"/>
    <w:rsid w:val="00005AF7"/>
    <w:rsid w:val="00005B00"/>
    <w:rsid w:val="00005B8F"/>
    <w:rsid w:val="00005B9E"/>
    <w:rsid w:val="00005BE6"/>
    <w:rsid w:val="00005C69"/>
    <w:rsid w:val="00005C86"/>
    <w:rsid w:val="00005CA9"/>
    <w:rsid w:val="00005CF5"/>
    <w:rsid w:val="00005DD4"/>
    <w:rsid w:val="00005E49"/>
    <w:rsid w:val="00005E60"/>
    <w:rsid w:val="00005E7C"/>
    <w:rsid w:val="00005E8A"/>
    <w:rsid w:val="00005ECE"/>
    <w:rsid w:val="00005EE1"/>
    <w:rsid w:val="00005F0C"/>
    <w:rsid w:val="00005FCF"/>
    <w:rsid w:val="00005FF1"/>
    <w:rsid w:val="0000601A"/>
    <w:rsid w:val="0000604B"/>
    <w:rsid w:val="000060E6"/>
    <w:rsid w:val="000060EC"/>
    <w:rsid w:val="00006114"/>
    <w:rsid w:val="00006134"/>
    <w:rsid w:val="0000613B"/>
    <w:rsid w:val="0000615A"/>
    <w:rsid w:val="0000620C"/>
    <w:rsid w:val="0000623F"/>
    <w:rsid w:val="0000626D"/>
    <w:rsid w:val="00006275"/>
    <w:rsid w:val="000062A4"/>
    <w:rsid w:val="000062B5"/>
    <w:rsid w:val="000062E8"/>
    <w:rsid w:val="00006326"/>
    <w:rsid w:val="0000632E"/>
    <w:rsid w:val="0000637B"/>
    <w:rsid w:val="0000637E"/>
    <w:rsid w:val="0000638E"/>
    <w:rsid w:val="000063E1"/>
    <w:rsid w:val="00006429"/>
    <w:rsid w:val="00006460"/>
    <w:rsid w:val="00006490"/>
    <w:rsid w:val="000064E0"/>
    <w:rsid w:val="00006501"/>
    <w:rsid w:val="0000661D"/>
    <w:rsid w:val="00006791"/>
    <w:rsid w:val="0000689B"/>
    <w:rsid w:val="000068B3"/>
    <w:rsid w:val="00006925"/>
    <w:rsid w:val="000069FC"/>
    <w:rsid w:val="00006A1A"/>
    <w:rsid w:val="00006AE9"/>
    <w:rsid w:val="00006BC8"/>
    <w:rsid w:val="00006BD4"/>
    <w:rsid w:val="00006CE0"/>
    <w:rsid w:val="00006D90"/>
    <w:rsid w:val="00006DFA"/>
    <w:rsid w:val="00006E0C"/>
    <w:rsid w:val="00006E46"/>
    <w:rsid w:val="00006E69"/>
    <w:rsid w:val="00006ECA"/>
    <w:rsid w:val="00006F69"/>
    <w:rsid w:val="0000706D"/>
    <w:rsid w:val="000070C4"/>
    <w:rsid w:val="000070C7"/>
    <w:rsid w:val="000070E3"/>
    <w:rsid w:val="0000710E"/>
    <w:rsid w:val="0000712B"/>
    <w:rsid w:val="000071B6"/>
    <w:rsid w:val="0000728B"/>
    <w:rsid w:val="000072A9"/>
    <w:rsid w:val="00007374"/>
    <w:rsid w:val="00007390"/>
    <w:rsid w:val="000073FC"/>
    <w:rsid w:val="0000742F"/>
    <w:rsid w:val="0000745F"/>
    <w:rsid w:val="00007506"/>
    <w:rsid w:val="0000760A"/>
    <w:rsid w:val="00007639"/>
    <w:rsid w:val="00007724"/>
    <w:rsid w:val="00007744"/>
    <w:rsid w:val="0000774E"/>
    <w:rsid w:val="00007874"/>
    <w:rsid w:val="000078BE"/>
    <w:rsid w:val="000078D9"/>
    <w:rsid w:val="000078DE"/>
    <w:rsid w:val="00007923"/>
    <w:rsid w:val="0000794E"/>
    <w:rsid w:val="000079D2"/>
    <w:rsid w:val="00007A43"/>
    <w:rsid w:val="00007A87"/>
    <w:rsid w:val="00007AD4"/>
    <w:rsid w:val="00007BB3"/>
    <w:rsid w:val="00007CCF"/>
    <w:rsid w:val="00007CF7"/>
    <w:rsid w:val="00007D19"/>
    <w:rsid w:val="00007D73"/>
    <w:rsid w:val="00007D95"/>
    <w:rsid w:val="00007E58"/>
    <w:rsid w:val="00007E9B"/>
    <w:rsid w:val="00007F33"/>
    <w:rsid w:val="00007F9E"/>
    <w:rsid w:val="00010004"/>
    <w:rsid w:val="000100D4"/>
    <w:rsid w:val="000101A1"/>
    <w:rsid w:val="000101D5"/>
    <w:rsid w:val="0001021A"/>
    <w:rsid w:val="0001024E"/>
    <w:rsid w:val="000102D4"/>
    <w:rsid w:val="0001031D"/>
    <w:rsid w:val="00010337"/>
    <w:rsid w:val="0001036E"/>
    <w:rsid w:val="000103C3"/>
    <w:rsid w:val="00010501"/>
    <w:rsid w:val="0001056F"/>
    <w:rsid w:val="000105CE"/>
    <w:rsid w:val="0001065C"/>
    <w:rsid w:val="0001066D"/>
    <w:rsid w:val="000106F8"/>
    <w:rsid w:val="00010781"/>
    <w:rsid w:val="000107DE"/>
    <w:rsid w:val="0001086A"/>
    <w:rsid w:val="000109B0"/>
    <w:rsid w:val="00010A7C"/>
    <w:rsid w:val="00010AF9"/>
    <w:rsid w:val="00010B1B"/>
    <w:rsid w:val="00010B4E"/>
    <w:rsid w:val="00010B7A"/>
    <w:rsid w:val="00010BB3"/>
    <w:rsid w:val="00010BF3"/>
    <w:rsid w:val="00010C49"/>
    <w:rsid w:val="00010CE3"/>
    <w:rsid w:val="00010D0E"/>
    <w:rsid w:val="00010D11"/>
    <w:rsid w:val="00010D47"/>
    <w:rsid w:val="00010D48"/>
    <w:rsid w:val="00010D63"/>
    <w:rsid w:val="00010D69"/>
    <w:rsid w:val="00010E47"/>
    <w:rsid w:val="00010E4C"/>
    <w:rsid w:val="00010ED1"/>
    <w:rsid w:val="00010F94"/>
    <w:rsid w:val="00011053"/>
    <w:rsid w:val="0001106A"/>
    <w:rsid w:val="00011081"/>
    <w:rsid w:val="000110BC"/>
    <w:rsid w:val="000110C1"/>
    <w:rsid w:val="000110DD"/>
    <w:rsid w:val="000110EB"/>
    <w:rsid w:val="000110F5"/>
    <w:rsid w:val="0001110E"/>
    <w:rsid w:val="00011136"/>
    <w:rsid w:val="00011190"/>
    <w:rsid w:val="000111AF"/>
    <w:rsid w:val="000111B6"/>
    <w:rsid w:val="000111CF"/>
    <w:rsid w:val="0001129F"/>
    <w:rsid w:val="00011300"/>
    <w:rsid w:val="0001130F"/>
    <w:rsid w:val="0001142A"/>
    <w:rsid w:val="0001148D"/>
    <w:rsid w:val="000114E9"/>
    <w:rsid w:val="0001153F"/>
    <w:rsid w:val="00011582"/>
    <w:rsid w:val="000115FD"/>
    <w:rsid w:val="0001167C"/>
    <w:rsid w:val="000116ED"/>
    <w:rsid w:val="00011778"/>
    <w:rsid w:val="000117A6"/>
    <w:rsid w:val="000117A7"/>
    <w:rsid w:val="00011862"/>
    <w:rsid w:val="00011872"/>
    <w:rsid w:val="0001187E"/>
    <w:rsid w:val="00011969"/>
    <w:rsid w:val="00011993"/>
    <w:rsid w:val="00011994"/>
    <w:rsid w:val="000119F6"/>
    <w:rsid w:val="00011A10"/>
    <w:rsid w:val="00011A47"/>
    <w:rsid w:val="00011A93"/>
    <w:rsid w:val="00011B99"/>
    <w:rsid w:val="00011BD7"/>
    <w:rsid w:val="00011C8E"/>
    <w:rsid w:val="00011CE1"/>
    <w:rsid w:val="00011D2C"/>
    <w:rsid w:val="00011D72"/>
    <w:rsid w:val="00011DF7"/>
    <w:rsid w:val="00011E13"/>
    <w:rsid w:val="00011E98"/>
    <w:rsid w:val="00011F34"/>
    <w:rsid w:val="00011F35"/>
    <w:rsid w:val="00011FC6"/>
    <w:rsid w:val="0001200C"/>
    <w:rsid w:val="000120AB"/>
    <w:rsid w:val="000120B6"/>
    <w:rsid w:val="000120D9"/>
    <w:rsid w:val="00012136"/>
    <w:rsid w:val="0001216E"/>
    <w:rsid w:val="00012175"/>
    <w:rsid w:val="0001221A"/>
    <w:rsid w:val="00012256"/>
    <w:rsid w:val="0001225B"/>
    <w:rsid w:val="000123BD"/>
    <w:rsid w:val="0001246B"/>
    <w:rsid w:val="00012474"/>
    <w:rsid w:val="0001252A"/>
    <w:rsid w:val="0001255F"/>
    <w:rsid w:val="000125CE"/>
    <w:rsid w:val="0001261D"/>
    <w:rsid w:val="000126D8"/>
    <w:rsid w:val="000126F6"/>
    <w:rsid w:val="00012758"/>
    <w:rsid w:val="000127B9"/>
    <w:rsid w:val="000127C4"/>
    <w:rsid w:val="000128EB"/>
    <w:rsid w:val="00012927"/>
    <w:rsid w:val="00012964"/>
    <w:rsid w:val="000129D0"/>
    <w:rsid w:val="00012A99"/>
    <w:rsid w:val="00012ABF"/>
    <w:rsid w:val="00012AC5"/>
    <w:rsid w:val="00012BC3"/>
    <w:rsid w:val="00012C44"/>
    <w:rsid w:val="00012CD5"/>
    <w:rsid w:val="00012D04"/>
    <w:rsid w:val="00012D29"/>
    <w:rsid w:val="00012D3C"/>
    <w:rsid w:val="00012D4E"/>
    <w:rsid w:val="00012D98"/>
    <w:rsid w:val="00012E5A"/>
    <w:rsid w:val="00012F19"/>
    <w:rsid w:val="00012F29"/>
    <w:rsid w:val="00012FA4"/>
    <w:rsid w:val="00012FCB"/>
    <w:rsid w:val="00012FD2"/>
    <w:rsid w:val="00012FE4"/>
    <w:rsid w:val="00013085"/>
    <w:rsid w:val="000130DF"/>
    <w:rsid w:val="00013150"/>
    <w:rsid w:val="0001315B"/>
    <w:rsid w:val="0001316A"/>
    <w:rsid w:val="0001319F"/>
    <w:rsid w:val="000131B3"/>
    <w:rsid w:val="000131F2"/>
    <w:rsid w:val="00013247"/>
    <w:rsid w:val="0001326F"/>
    <w:rsid w:val="000132D2"/>
    <w:rsid w:val="000132DB"/>
    <w:rsid w:val="00013325"/>
    <w:rsid w:val="00013327"/>
    <w:rsid w:val="00013363"/>
    <w:rsid w:val="00013370"/>
    <w:rsid w:val="00013389"/>
    <w:rsid w:val="000133AE"/>
    <w:rsid w:val="000133B9"/>
    <w:rsid w:val="000133F6"/>
    <w:rsid w:val="00013487"/>
    <w:rsid w:val="000134B2"/>
    <w:rsid w:val="000134B8"/>
    <w:rsid w:val="000134F9"/>
    <w:rsid w:val="00013535"/>
    <w:rsid w:val="0001354A"/>
    <w:rsid w:val="00013553"/>
    <w:rsid w:val="00013562"/>
    <w:rsid w:val="00013566"/>
    <w:rsid w:val="00013570"/>
    <w:rsid w:val="000135B2"/>
    <w:rsid w:val="000135E2"/>
    <w:rsid w:val="00013690"/>
    <w:rsid w:val="0001381E"/>
    <w:rsid w:val="000138D4"/>
    <w:rsid w:val="00013919"/>
    <w:rsid w:val="0001394D"/>
    <w:rsid w:val="000139DA"/>
    <w:rsid w:val="000139E7"/>
    <w:rsid w:val="00013A9A"/>
    <w:rsid w:val="00013A9F"/>
    <w:rsid w:val="00013B5A"/>
    <w:rsid w:val="00013B83"/>
    <w:rsid w:val="00013BF2"/>
    <w:rsid w:val="00013C59"/>
    <w:rsid w:val="00013CDA"/>
    <w:rsid w:val="00013CF5"/>
    <w:rsid w:val="00013D06"/>
    <w:rsid w:val="00013D4C"/>
    <w:rsid w:val="00013DE0"/>
    <w:rsid w:val="00013EA0"/>
    <w:rsid w:val="00013F21"/>
    <w:rsid w:val="00013F29"/>
    <w:rsid w:val="00013F34"/>
    <w:rsid w:val="00013F7C"/>
    <w:rsid w:val="00013FF0"/>
    <w:rsid w:val="00014030"/>
    <w:rsid w:val="00014038"/>
    <w:rsid w:val="00014093"/>
    <w:rsid w:val="000140B4"/>
    <w:rsid w:val="000140BC"/>
    <w:rsid w:val="00014110"/>
    <w:rsid w:val="00014124"/>
    <w:rsid w:val="00014191"/>
    <w:rsid w:val="000142D8"/>
    <w:rsid w:val="0001431B"/>
    <w:rsid w:val="00014323"/>
    <w:rsid w:val="000143BB"/>
    <w:rsid w:val="000143CA"/>
    <w:rsid w:val="000143CE"/>
    <w:rsid w:val="0001458C"/>
    <w:rsid w:val="000145D3"/>
    <w:rsid w:val="00014677"/>
    <w:rsid w:val="000146F8"/>
    <w:rsid w:val="00014700"/>
    <w:rsid w:val="00014741"/>
    <w:rsid w:val="00014747"/>
    <w:rsid w:val="0001479C"/>
    <w:rsid w:val="00014806"/>
    <w:rsid w:val="00014848"/>
    <w:rsid w:val="00014881"/>
    <w:rsid w:val="0001490D"/>
    <w:rsid w:val="000149AC"/>
    <w:rsid w:val="000149CF"/>
    <w:rsid w:val="00014A2F"/>
    <w:rsid w:val="00014A84"/>
    <w:rsid w:val="00014AAC"/>
    <w:rsid w:val="00014ACD"/>
    <w:rsid w:val="00014AFD"/>
    <w:rsid w:val="00014B69"/>
    <w:rsid w:val="00014C1D"/>
    <w:rsid w:val="00014C4E"/>
    <w:rsid w:val="00014C77"/>
    <w:rsid w:val="00014CCE"/>
    <w:rsid w:val="00014D77"/>
    <w:rsid w:val="00014DFB"/>
    <w:rsid w:val="00014E19"/>
    <w:rsid w:val="00014E42"/>
    <w:rsid w:val="00014E9B"/>
    <w:rsid w:val="00014EAA"/>
    <w:rsid w:val="00014EC2"/>
    <w:rsid w:val="00014ED3"/>
    <w:rsid w:val="00014F0B"/>
    <w:rsid w:val="00014F8E"/>
    <w:rsid w:val="00014FDF"/>
    <w:rsid w:val="00014FF7"/>
    <w:rsid w:val="00015023"/>
    <w:rsid w:val="0001503A"/>
    <w:rsid w:val="000150A0"/>
    <w:rsid w:val="000150C8"/>
    <w:rsid w:val="00015134"/>
    <w:rsid w:val="0001513D"/>
    <w:rsid w:val="000151D0"/>
    <w:rsid w:val="00015223"/>
    <w:rsid w:val="00015233"/>
    <w:rsid w:val="0001523F"/>
    <w:rsid w:val="00015323"/>
    <w:rsid w:val="0001532B"/>
    <w:rsid w:val="0001534B"/>
    <w:rsid w:val="00015351"/>
    <w:rsid w:val="0001540E"/>
    <w:rsid w:val="0001542A"/>
    <w:rsid w:val="00015455"/>
    <w:rsid w:val="00015485"/>
    <w:rsid w:val="00015533"/>
    <w:rsid w:val="000155A4"/>
    <w:rsid w:val="000155BE"/>
    <w:rsid w:val="000155F0"/>
    <w:rsid w:val="000155FE"/>
    <w:rsid w:val="000156B8"/>
    <w:rsid w:val="00015726"/>
    <w:rsid w:val="0001572E"/>
    <w:rsid w:val="00015736"/>
    <w:rsid w:val="0001581A"/>
    <w:rsid w:val="00015843"/>
    <w:rsid w:val="000158BA"/>
    <w:rsid w:val="0001590C"/>
    <w:rsid w:val="00015918"/>
    <w:rsid w:val="00015958"/>
    <w:rsid w:val="000159FE"/>
    <w:rsid w:val="00015A33"/>
    <w:rsid w:val="00015A45"/>
    <w:rsid w:val="00015B2B"/>
    <w:rsid w:val="00015B4F"/>
    <w:rsid w:val="00015BB6"/>
    <w:rsid w:val="00015BC1"/>
    <w:rsid w:val="00015C54"/>
    <w:rsid w:val="00015CD8"/>
    <w:rsid w:val="00015CF5"/>
    <w:rsid w:val="00015CF9"/>
    <w:rsid w:val="00015DCA"/>
    <w:rsid w:val="00015E0E"/>
    <w:rsid w:val="00015E2E"/>
    <w:rsid w:val="00015E64"/>
    <w:rsid w:val="00015EBA"/>
    <w:rsid w:val="00015ED7"/>
    <w:rsid w:val="00015F41"/>
    <w:rsid w:val="00015F4B"/>
    <w:rsid w:val="00015FB9"/>
    <w:rsid w:val="000160CB"/>
    <w:rsid w:val="000161DD"/>
    <w:rsid w:val="00016265"/>
    <w:rsid w:val="000162F7"/>
    <w:rsid w:val="00016303"/>
    <w:rsid w:val="00016315"/>
    <w:rsid w:val="0001635A"/>
    <w:rsid w:val="00016402"/>
    <w:rsid w:val="00016483"/>
    <w:rsid w:val="00016507"/>
    <w:rsid w:val="00016565"/>
    <w:rsid w:val="000166AC"/>
    <w:rsid w:val="0001674C"/>
    <w:rsid w:val="00016794"/>
    <w:rsid w:val="000167A4"/>
    <w:rsid w:val="000167BF"/>
    <w:rsid w:val="000167E9"/>
    <w:rsid w:val="00016807"/>
    <w:rsid w:val="00016819"/>
    <w:rsid w:val="000168E3"/>
    <w:rsid w:val="00016A0B"/>
    <w:rsid w:val="00016A1B"/>
    <w:rsid w:val="00016ACB"/>
    <w:rsid w:val="00016AF4"/>
    <w:rsid w:val="00016B3C"/>
    <w:rsid w:val="00016B4D"/>
    <w:rsid w:val="00016B50"/>
    <w:rsid w:val="00016B6C"/>
    <w:rsid w:val="00016BB3"/>
    <w:rsid w:val="00016C43"/>
    <w:rsid w:val="00016C93"/>
    <w:rsid w:val="00016CC6"/>
    <w:rsid w:val="00016DAE"/>
    <w:rsid w:val="00016DB3"/>
    <w:rsid w:val="00016DEE"/>
    <w:rsid w:val="00016E43"/>
    <w:rsid w:val="00016E81"/>
    <w:rsid w:val="00016F34"/>
    <w:rsid w:val="00016F81"/>
    <w:rsid w:val="0001700B"/>
    <w:rsid w:val="00017013"/>
    <w:rsid w:val="0001706F"/>
    <w:rsid w:val="00017086"/>
    <w:rsid w:val="00017138"/>
    <w:rsid w:val="0001716C"/>
    <w:rsid w:val="00017192"/>
    <w:rsid w:val="000171E0"/>
    <w:rsid w:val="00017219"/>
    <w:rsid w:val="000172D7"/>
    <w:rsid w:val="0001735E"/>
    <w:rsid w:val="0001736A"/>
    <w:rsid w:val="000173FE"/>
    <w:rsid w:val="0001746A"/>
    <w:rsid w:val="000174D2"/>
    <w:rsid w:val="000174DD"/>
    <w:rsid w:val="000175E7"/>
    <w:rsid w:val="0001761D"/>
    <w:rsid w:val="00017688"/>
    <w:rsid w:val="000176DE"/>
    <w:rsid w:val="00017751"/>
    <w:rsid w:val="0001792E"/>
    <w:rsid w:val="0001793E"/>
    <w:rsid w:val="000179C2"/>
    <w:rsid w:val="000179EA"/>
    <w:rsid w:val="00017BC1"/>
    <w:rsid w:val="00017CCE"/>
    <w:rsid w:val="00017D23"/>
    <w:rsid w:val="00017D43"/>
    <w:rsid w:val="00017D71"/>
    <w:rsid w:val="00017D9B"/>
    <w:rsid w:val="00017DF6"/>
    <w:rsid w:val="00017E16"/>
    <w:rsid w:val="00017E45"/>
    <w:rsid w:val="00017E65"/>
    <w:rsid w:val="00017F50"/>
    <w:rsid w:val="00020020"/>
    <w:rsid w:val="000200FE"/>
    <w:rsid w:val="00020159"/>
    <w:rsid w:val="00020190"/>
    <w:rsid w:val="000201B4"/>
    <w:rsid w:val="00020260"/>
    <w:rsid w:val="00020266"/>
    <w:rsid w:val="0002033D"/>
    <w:rsid w:val="0002038A"/>
    <w:rsid w:val="000203C4"/>
    <w:rsid w:val="00020426"/>
    <w:rsid w:val="000204C0"/>
    <w:rsid w:val="0002050B"/>
    <w:rsid w:val="00020596"/>
    <w:rsid w:val="000205B7"/>
    <w:rsid w:val="000205DD"/>
    <w:rsid w:val="00020603"/>
    <w:rsid w:val="0002060A"/>
    <w:rsid w:val="00020630"/>
    <w:rsid w:val="0002063D"/>
    <w:rsid w:val="0002064A"/>
    <w:rsid w:val="0002064B"/>
    <w:rsid w:val="00020676"/>
    <w:rsid w:val="000206AF"/>
    <w:rsid w:val="000206D3"/>
    <w:rsid w:val="00020767"/>
    <w:rsid w:val="000207A3"/>
    <w:rsid w:val="000207AA"/>
    <w:rsid w:val="00020804"/>
    <w:rsid w:val="000208E9"/>
    <w:rsid w:val="00020954"/>
    <w:rsid w:val="0002095E"/>
    <w:rsid w:val="000209BD"/>
    <w:rsid w:val="00020A96"/>
    <w:rsid w:val="00020ADC"/>
    <w:rsid w:val="00020B47"/>
    <w:rsid w:val="00020B56"/>
    <w:rsid w:val="00020BC0"/>
    <w:rsid w:val="00020BE9"/>
    <w:rsid w:val="00020C19"/>
    <w:rsid w:val="00020C1A"/>
    <w:rsid w:val="00020C8E"/>
    <w:rsid w:val="00020C9E"/>
    <w:rsid w:val="00020CC1"/>
    <w:rsid w:val="00020CCC"/>
    <w:rsid w:val="00020CD5"/>
    <w:rsid w:val="00020DB4"/>
    <w:rsid w:val="00020E6F"/>
    <w:rsid w:val="00020E99"/>
    <w:rsid w:val="00020EBB"/>
    <w:rsid w:val="00020EF6"/>
    <w:rsid w:val="00020F8E"/>
    <w:rsid w:val="00020FB8"/>
    <w:rsid w:val="00020FC5"/>
    <w:rsid w:val="00021050"/>
    <w:rsid w:val="00021099"/>
    <w:rsid w:val="00021129"/>
    <w:rsid w:val="00021130"/>
    <w:rsid w:val="00021138"/>
    <w:rsid w:val="00021161"/>
    <w:rsid w:val="0002124C"/>
    <w:rsid w:val="000212ED"/>
    <w:rsid w:val="000213C3"/>
    <w:rsid w:val="00021580"/>
    <w:rsid w:val="000215AB"/>
    <w:rsid w:val="000216E9"/>
    <w:rsid w:val="000216F5"/>
    <w:rsid w:val="000216FE"/>
    <w:rsid w:val="000217A9"/>
    <w:rsid w:val="000218B7"/>
    <w:rsid w:val="0002198D"/>
    <w:rsid w:val="00021A36"/>
    <w:rsid w:val="00021AD1"/>
    <w:rsid w:val="00021B0E"/>
    <w:rsid w:val="00021B44"/>
    <w:rsid w:val="00021BAC"/>
    <w:rsid w:val="00021BBA"/>
    <w:rsid w:val="00021C0C"/>
    <w:rsid w:val="00021C2C"/>
    <w:rsid w:val="00021C51"/>
    <w:rsid w:val="00021C9F"/>
    <w:rsid w:val="00021D3A"/>
    <w:rsid w:val="00021D47"/>
    <w:rsid w:val="00021D4C"/>
    <w:rsid w:val="00021EC1"/>
    <w:rsid w:val="00021EDE"/>
    <w:rsid w:val="00022045"/>
    <w:rsid w:val="0002205B"/>
    <w:rsid w:val="00022079"/>
    <w:rsid w:val="000220A8"/>
    <w:rsid w:val="0002215F"/>
    <w:rsid w:val="00022196"/>
    <w:rsid w:val="0002238E"/>
    <w:rsid w:val="000223CD"/>
    <w:rsid w:val="000223E2"/>
    <w:rsid w:val="0002240B"/>
    <w:rsid w:val="0002244B"/>
    <w:rsid w:val="00022480"/>
    <w:rsid w:val="000224D2"/>
    <w:rsid w:val="000224E4"/>
    <w:rsid w:val="00022512"/>
    <w:rsid w:val="00022622"/>
    <w:rsid w:val="00022627"/>
    <w:rsid w:val="00022652"/>
    <w:rsid w:val="000226C5"/>
    <w:rsid w:val="0002274B"/>
    <w:rsid w:val="0002276A"/>
    <w:rsid w:val="000227C2"/>
    <w:rsid w:val="000227EE"/>
    <w:rsid w:val="000227F1"/>
    <w:rsid w:val="00022877"/>
    <w:rsid w:val="000228ED"/>
    <w:rsid w:val="000228F0"/>
    <w:rsid w:val="00022968"/>
    <w:rsid w:val="00022A54"/>
    <w:rsid w:val="00022A8E"/>
    <w:rsid w:val="00022AB7"/>
    <w:rsid w:val="00022AEA"/>
    <w:rsid w:val="00022BCF"/>
    <w:rsid w:val="00022BF8"/>
    <w:rsid w:val="00022C3F"/>
    <w:rsid w:val="00022C48"/>
    <w:rsid w:val="00022C9C"/>
    <w:rsid w:val="00022CB8"/>
    <w:rsid w:val="00022CF7"/>
    <w:rsid w:val="00022D44"/>
    <w:rsid w:val="00022D4E"/>
    <w:rsid w:val="00022D55"/>
    <w:rsid w:val="00022D73"/>
    <w:rsid w:val="00022D74"/>
    <w:rsid w:val="00022E38"/>
    <w:rsid w:val="00022E3E"/>
    <w:rsid w:val="00022E48"/>
    <w:rsid w:val="00022F6C"/>
    <w:rsid w:val="00023010"/>
    <w:rsid w:val="00023019"/>
    <w:rsid w:val="0002305B"/>
    <w:rsid w:val="00023145"/>
    <w:rsid w:val="00023153"/>
    <w:rsid w:val="00023162"/>
    <w:rsid w:val="000231F4"/>
    <w:rsid w:val="00023398"/>
    <w:rsid w:val="000233D1"/>
    <w:rsid w:val="000233DF"/>
    <w:rsid w:val="000234F8"/>
    <w:rsid w:val="00023546"/>
    <w:rsid w:val="00023572"/>
    <w:rsid w:val="0002362B"/>
    <w:rsid w:val="00023636"/>
    <w:rsid w:val="0002363C"/>
    <w:rsid w:val="00023656"/>
    <w:rsid w:val="0002366D"/>
    <w:rsid w:val="0002367B"/>
    <w:rsid w:val="000236D5"/>
    <w:rsid w:val="0002378D"/>
    <w:rsid w:val="000237A2"/>
    <w:rsid w:val="000237EC"/>
    <w:rsid w:val="00023801"/>
    <w:rsid w:val="00023809"/>
    <w:rsid w:val="0002384A"/>
    <w:rsid w:val="000238B1"/>
    <w:rsid w:val="00023941"/>
    <w:rsid w:val="0002399F"/>
    <w:rsid w:val="000239A3"/>
    <w:rsid w:val="000239D6"/>
    <w:rsid w:val="00023A0A"/>
    <w:rsid w:val="00023ADF"/>
    <w:rsid w:val="00023B66"/>
    <w:rsid w:val="00023BE8"/>
    <w:rsid w:val="00023BEC"/>
    <w:rsid w:val="00023C31"/>
    <w:rsid w:val="00023C3E"/>
    <w:rsid w:val="00023C5C"/>
    <w:rsid w:val="00023D5B"/>
    <w:rsid w:val="00023DC4"/>
    <w:rsid w:val="00023E52"/>
    <w:rsid w:val="00023EA0"/>
    <w:rsid w:val="00023EA1"/>
    <w:rsid w:val="00023F9E"/>
    <w:rsid w:val="00024044"/>
    <w:rsid w:val="00024047"/>
    <w:rsid w:val="0002408F"/>
    <w:rsid w:val="00024103"/>
    <w:rsid w:val="00024106"/>
    <w:rsid w:val="0002416A"/>
    <w:rsid w:val="00024171"/>
    <w:rsid w:val="0002420F"/>
    <w:rsid w:val="00024262"/>
    <w:rsid w:val="000242A2"/>
    <w:rsid w:val="000242BB"/>
    <w:rsid w:val="000242EE"/>
    <w:rsid w:val="00024344"/>
    <w:rsid w:val="000243F5"/>
    <w:rsid w:val="000243F7"/>
    <w:rsid w:val="000243FE"/>
    <w:rsid w:val="00024405"/>
    <w:rsid w:val="00024475"/>
    <w:rsid w:val="0002453B"/>
    <w:rsid w:val="000245B4"/>
    <w:rsid w:val="000245C5"/>
    <w:rsid w:val="00024651"/>
    <w:rsid w:val="0002465A"/>
    <w:rsid w:val="00024740"/>
    <w:rsid w:val="00024794"/>
    <w:rsid w:val="0002480B"/>
    <w:rsid w:val="00024913"/>
    <w:rsid w:val="0002492B"/>
    <w:rsid w:val="00024943"/>
    <w:rsid w:val="00024949"/>
    <w:rsid w:val="000249A1"/>
    <w:rsid w:val="00024A19"/>
    <w:rsid w:val="00024AA5"/>
    <w:rsid w:val="00024AF4"/>
    <w:rsid w:val="00024AFB"/>
    <w:rsid w:val="00024B27"/>
    <w:rsid w:val="00024B55"/>
    <w:rsid w:val="00024C18"/>
    <w:rsid w:val="00024C4B"/>
    <w:rsid w:val="00024C9F"/>
    <w:rsid w:val="00024D59"/>
    <w:rsid w:val="00024E28"/>
    <w:rsid w:val="00024E40"/>
    <w:rsid w:val="00024F5A"/>
    <w:rsid w:val="00024F6E"/>
    <w:rsid w:val="00024F93"/>
    <w:rsid w:val="00024FF8"/>
    <w:rsid w:val="00025061"/>
    <w:rsid w:val="0002508D"/>
    <w:rsid w:val="000250C5"/>
    <w:rsid w:val="0002512F"/>
    <w:rsid w:val="00025132"/>
    <w:rsid w:val="00025222"/>
    <w:rsid w:val="00025274"/>
    <w:rsid w:val="000252C4"/>
    <w:rsid w:val="00025306"/>
    <w:rsid w:val="00025309"/>
    <w:rsid w:val="0002534F"/>
    <w:rsid w:val="0002536F"/>
    <w:rsid w:val="00025378"/>
    <w:rsid w:val="000253E6"/>
    <w:rsid w:val="00025431"/>
    <w:rsid w:val="00025474"/>
    <w:rsid w:val="000254D8"/>
    <w:rsid w:val="0002552D"/>
    <w:rsid w:val="000256B1"/>
    <w:rsid w:val="000256D9"/>
    <w:rsid w:val="000256F9"/>
    <w:rsid w:val="00025744"/>
    <w:rsid w:val="0002579E"/>
    <w:rsid w:val="000257CD"/>
    <w:rsid w:val="000257F1"/>
    <w:rsid w:val="00025840"/>
    <w:rsid w:val="0002593C"/>
    <w:rsid w:val="0002597F"/>
    <w:rsid w:val="0002599E"/>
    <w:rsid w:val="000259BE"/>
    <w:rsid w:val="000259C0"/>
    <w:rsid w:val="000259E8"/>
    <w:rsid w:val="000259F4"/>
    <w:rsid w:val="00025A20"/>
    <w:rsid w:val="00025A47"/>
    <w:rsid w:val="00025A66"/>
    <w:rsid w:val="00025BC0"/>
    <w:rsid w:val="00025C04"/>
    <w:rsid w:val="00025C16"/>
    <w:rsid w:val="00025D8A"/>
    <w:rsid w:val="00025DDD"/>
    <w:rsid w:val="00025DEF"/>
    <w:rsid w:val="00025E13"/>
    <w:rsid w:val="00025E97"/>
    <w:rsid w:val="00025E98"/>
    <w:rsid w:val="00025EB2"/>
    <w:rsid w:val="00025EDE"/>
    <w:rsid w:val="00025F3E"/>
    <w:rsid w:val="00025FB1"/>
    <w:rsid w:val="00025FE9"/>
    <w:rsid w:val="00025FEC"/>
    <w:rsid w:val="00026098"/>
    <w:rsid w:val="000260A6"/>
    <w:rsid w:val="000261FE"/>
    <w:rsid w:val="0002622B"/>
    <w:rsid w:val="00026235"/>
    <w:rsid w:val="000262CF"/>
    <w:rsid w:val="0002632D"/>
    <w:rsid w:val="00026334"/>
    <w:rsid w:val="00026396"/>
    <w:rsid w:val="000263AC"/>
    <w:rsid w:val="00026412"/>
    <w:rsid w:val="00026427"/>
    <w:rsid w:val="0002644A"/>
    <w:rsid w:val="000264F0"/>
    <w:rsid w:val="00026524"/>
    <w:rsid w:val="0002658D"/>
    <w:rsid w:val="000265B1"/>
    <w:rsid w:val="00026633"/>
    <w:rsid w:val="000266A6"/>
    <w:rsid w:val="00026716"/>
    <w:rsid w:val="00026746"/>
    <w:rsid w:val="000267EA"/>
    <w:rsid w:val="0002686E"/>
    <w:rsid w:val="0002697D"/>
    <w:rsid w:val="00026A23"/>
    <w:rsid w:val="00026B0A"/>
    <w:rsid w:val="00026B12"/>
    <w:rsid w:val="00026B69"/>
    <w:rsid w:val="00026B8D"/>
    <w:rsid w:val="00026BF7"/>
    <w:rsid w:val="00026C39"/>
    <w:rsid w:val="00026D51"/>
    <w:rsid w:val="00026D8C"/>
    <w:rsid w:val="00026DA5"/>
    <w:rsid w:val="00026DB2"/>
    <w:rsid w:val="00026E3A"/>
    <w:rsid w:val="00026EA5"/>
    <w:rsid w:val="00026F00"/>
    <w:rsid w:val="00026F3E"/>
    <w:rsid w:val="00026FA0"/>
    <w:rsid w:val="000270A7"/>
    <w:rsid w:val="000270FD"/>
    <w:rsid w:val="00027169"/>
    <w:rsid w:val="00027235"/>
    <w:rsid w:val="00027280"/>
    <w:rsid w:val="000272A6"/>
    <w:rsid w:val="000272C7"/>
    <w:rsid w:val="000272F2"/>
    <w:rsid w:val="00027300"/>
    <w:rsid w:val="000273AA"/>
    <w:rsid w:val="000274A8"/>
    <w:rsid w:val="000274D1"/>
    <w:rsid w:val="000275A6"/>
    <w:rsid w:val="000275FF"/>
    <w:rsid w:val="00027615"/>
    <w:rsid w:val="00027765"/>
    <w:rsid w:val="00027796"/>
    <w:rsid w:val="0002781B"/>
    <w:rsid w:val="000278D9"/>
    <w:rsid w:val="00027940"/>
    <w:rsid w:val="0002797A"/>
    <w:rsid w:val="000279CD"/>
    <w:rsid w:val="00027A2E"/>
    <w:rsid w:val="00027A6B"/>
    <w:rsid w:val="00027A89"/>
    <w:rsid w:val="00027A9A"/>
    <w:rsid w:val="00027AB4"/>
    <w:rsid w:val="00027ADC"/>
    <w:rsid w:val="00027BF6"/>
    <w:rsid w:val="00027C08"/>
    <w:rsid w:val="00027C9D"/>
    <w:rsid w:val="00027CBF"/>
    <w:rsid w:val="00027D3D"/>
    <w:rsid w:val="00027D77"/>
    <w:rsid w:val="00027DCB"/>
    <w:rsid w:val="00027E28"/>
    <w:rsid w:val="00027E2E"/>
    <w:rsid w:val="00027E38"/>
    <w:rsid w:val="00027F5C"/>
    <w:rsid w:val="00027FD5"/>
    <w:rsid w:val="000300FE"/>
    <w:rsid w:val="00030144"/>
    <w:rsid w:val="00030166"/>
    <w:rsid w:val="000301AF"/>
    <w:rsid w:val="00030220"/>
    <w:rsid w:val="00030277"/>
    <w:rsid w:val="00030293"/>
    <w:rsid w:val="000302A5"/>
    <w:rsid w:val="00030433"/>
    <w:rsid w:val="000304A7"/>
    <w:rsid w:val="000304C7"/>
    <w:rsid w:val="00030544"/>
    <w:rsid w:val="00030565"/>
    <w:rsid w:val="0003061C"/>
    <w:rsid w:val="0003062B"/>
    <w:rsid w:val="000306B8"/>
    <w:rsid w:val="000306D6"/>
    <w:rsid w:val="0003076A"/>
    <w:rsid w:val="00030830"/>
    <w:rsid w:val="00030859"/>
    <w:rsid w:val="00030869"/>
    <w:rsid w:val="000308ED"/>
    <w:rsid w:val="000309AA"/>
    <w:rsid w:val="00030A78"/>
    <w:rsid w:val="00030B66"/>
    <w:rsid w:val="00030B68"/>
    <w:rsid w:val="00030B78"/>
    <w:rsid w:val="00030B9F"/>
    <w:rsid w:val="00030BAF"/>
    <w:rsid w:val="00030BE4"/>
    <w:rsid w:val="00030C1C"/>
    <w:rsid w:val="00030D13"/>
    <w:rsid w:val="00030D96"/>
    <w:rsid w:val="00030DA6"/>
    <w:rsid w:val="00030E24"/>
    <w:rsid w:val="00030E25"/>
    <w:rsid w:val="00030E41"/>
    <w:rsid w:val="00030E44"/>
    <w:rsid w:val="00030EF1"/>
    <w:rsid w:val="00031003"/>
    <w:rsid w:val="00031025"/>
    <w:rsid w:val="00031112"/>
    <w:rsid w:val="00031120"/>
    <w:rsid w:val="0003120F"/>
    <w:rsid w:val="000312A8"/>
    <w:rsid w:val="000312BC"/>
    <w:rsid w:val="00031327"/>
    <w:rsid w:val="0003132D"/>
    <w:rsid w:val="00031337"/>
    <w:rsid w:val="00031352"/>
    <w:rsid w:val="00031359"/>
    <w:rsid w:val="0003137F"/>
    <w:rsid w:val="000313F8"/>
    <w:rsid w:val="00031410"/>
    <w:rsid w:val="0003142B"/>
    <w:rsid w:val="0003146F"/>
    <w:rsid w:val="00031481"/>
    <w:rsid w:val="00031511"/>
    <w:rsid w:val="0003159F"/>
    <w:rsid w:val="000315A1"/>
    <w:rsid w:val="000315A9"/>
    <w:rsid w:val="00031652"/>
    <w:rsid w:val="0003165B"/>
    <w:rsid w:val="000316F3"/>
    <w:rsid w:val="00031734"/>
    <w:rsid w:val="00031755"/>
    <w:rsid w:val="0003193D"/>
    <w:rsid w:val="000319B2"/>
    <w:rsid w:val="00031A26"/>
    <w:rsid w:val="00031AD3"/>
    <w:rsid w:val="00031B88"/>
    <w:rsid w:val="00031BAA"/>
    <w:rsid w:val="00031C13"/>
    <w:rsid w:val="00031C2A"/>
    <w:rsid w:val="00031C40"/>
    <w:rsid w:val="00031C74"/>
    <w:rsid w:val="00031C8F"/>
    <w:rsid w:val="00031CC6"/>
    <w:rsid w:val="00031D2C"/>
    <w:rsid w:val="00031D71"/>
    <w:rsid w:val="00031D7F"/>
    <w:rsid w:val="00031D88"/>
    <w:rsid w:val="00031D9E"/>
    <w:rsid w:val="00031DF2"/>
    <w:rsid w:val="00031E6D"/>
    <w:rsid w:val="00031F16"/>
    <w:rsid w:val="00031F36"/>
    <w:rsid w:val="00031F41"/>
    <w:rsid w:val="00031F4A"/>
    <w:rsid w:val="00032015"/>
    <w:rsid w:val="00032040"/>
    <w:rsid w:val="0003205F"/>
    <w:rsid w:val="00032071"/>
    <w:rsid w:val="00032077"/>
    <w:rsid w:val="0003212E"/>
    <w:rsid w:val="00032194"/>
    <w:rsid w:val="00032197"/>
    <w:rsid w:val="000322AE"/>
    <w:rsid w:val="000322E2"/>
    <w:rsid w:val="000323C4"/>
    <w:rsid w:val="00032459"/>
    <w:rsid w:val="00032517"/>
    <w:rsid w:val="00032520"/>
    <w:rsid w:val="00032541"/>
    <w:rsid w:val="00032584"/>
    <w:rsid w:val="00032665"/>
    <w:rsid w:val="0003267B"/>
    <w:rsid w:val="000326A3"/>
    <w:rsid w:val="000326B2"/>
    <w:rsid w:val="000326DD"/>
    <w:rsid w:val="00032772"/>
    <w:rsid w:val="000327F2"/>
    <w:rsid w:val="000327FE"/>
    <w:rsid w:val="00032812"/>
    <w:rsid w:val="000328C0"/>
    <w:rsid w:val="0003293A"/>
    <w:rsid w:val="0003295B"/>
    <w:rsid w:val="00032A23"/>
    <w:rsid w:val="00032A6F"/>
    <w:rsid w:val="00032A75"/>
    <w:rsid w:val="00032AC4"/>
    <w:rsid w:val="00032AE4"/>
    <w:rsid w:val="00032B1B"/>
    <w:rsid w:val="00032BE8"/>
    <w:rsid w:val="00032C0E"/>
    <w:rsid w:val="00032C14"/>
    <w:rsid w:val="00032CAF"/>
    <w:rsid w:val="00032D53"/>
    <w:rsid w:val="00032D5B"/>
    <w:rsid w:val="00032E0F"/>
    <w:rsid w:val="00032F1C"/>
    <w:rsid w:val="00032F32"/>
    <w:rsid w:val="00032FE6"/>
    <w:rsid w:val="0003300C"/>
    <w:rsid w:val="0003309B"/>
    <w:rsid w:val="000330C7"/>
    <w:rsid w:val="00033151"/>
    <w:rsid w:val="00033153"/>
    <w:rsid w:val="0003321D"/>
    <w:rsid w:val="00033228"/>
    <w:rsid w:val="000332BD"/>
    <w:rsid w:val="0003331C"/>
    <w:rsid w:val="00033376"/>
    <w:rsid w:val="000333B2"/>
    <w:rsid w:val="000333FF"/>
    <w:rsid w:val="00033432"/>
    <w:rsid w:val="0003348E"/>
    <w:rsid w:val="00033530"/>
    <w:rsid w:val="00033545"/>
    <w:rsid w:val="0003357C"/>
    <w:rsid w:val="000335A5"/>
    <w:rsid w:val="000335C4"/>
    <w:rsid w:val="000335EA"/>
    <w:rsid w:val="00033764"/>
    <w:rsid w:val="000337EA"/>
    <w:rsid w:val="00033807"/>
    <w:rsid w:val="0003394B"/>
    <w:rsid w:val="000339A1"/>
    <w:rsid w:val="000339B9"/>
    <w:rsid w:val="00033A3A"/>
    <w:rsid w:val="00033A3E"/>
    <w:rsid w:val="00033AB5"/>
    <w:rsid w:val="00033ADF"/>
    <w:rsid w:val="00033BFE"/>
    <w:rsid w:val="00033C97"/>
    <w:rsid w:val="00033CF8"/>
    <w:rsid w:val="00033D36"/>
    <w:rsid w:val="00033D55"/>
    <w:rsid w:val="00033D70"/>
    <w:rsid w:val="00033D8E"/>
    <w:rsid w:val="00033DA3"/>
    <w:rsid w:val="00033DA8"/>
    <w:rsid w:val="00033DDF"/>
    <w:rsid w:val="00033E1B"/>
    <w:rsid w:val="00033E45"/>
    <w:rsid w:val="00033E60"/>
    <w:rsid w:val="00033EA0"/>
    <w:rsid w:val="00033F7A"/>
    <w:rsid w:val="00033FDB"/>
    <w:rsid w:val="00033FF3"/>
    <w:rsid w:val="0003403E"/>
    <w:rsid w:val="00034055"/>
    <w:rsid w:val="00034057"/>
    <w:rsid w:val="0003405B"/>
    <w:rsid w:val="0003409E"/>
    <w:rsid w:val="0003414C"/>
    <w:rsid w:val="00034209"/>
    <w:rsid w:val="0003425F"/>
    <w:rsid w:val="00034267"/>
    <w:rsid w:val="00034280"/>
    <w:rsid w:val="000342EB"/>
    <w:rsid w:val="000342EE"/>
    <w:rsid w:val="0003430E"/>
    <w:rsid w:val="0003438F"/>
    <w:rsid w:val="000343DA"/>
    <w:rsid w:val="0003442F"/>
    <w:rsid w:val="00034447"/>
    <w:rsid w:val="0003445B"/>
    <w:rsid w:val="00034496"/>
    <w:rsid w:val="000344B5"/>
    <w:rsid w:val="000344BA"/>
    <w:rsid w:val="000344C0"/>
    <w:rsid w:val="000344C8"/>
    <w:rsid w:val="000344F1"/>
    <w:rsid w:val="0003454B"/>
    <w:rsid w:val="00034568"/>
    <w:rsid w:val="0003458B"/>
    <w:rsid w:val="0003459A"/>
    <w:rsid w:val="0003459E"/>
    <w:rsid w:val="000345C6"/>
    <w:rsid w:val="0003465D"/>
    <w:rsid w:val="00034660"/>
    <w:rsid w:val="000346B3"/>
    <w:rsid w:val="000346D8"/>
    <w:rsid w:val="00034766"/>
    <w:rsid w:val="000347A6"/>
    <w:rsid w:val="000347BE"/>
    <w:rsid w:val="00034872"/>
    <w:rsid w:val="0003495A"/>
    <w:rsid w:val="00034A95"/>
    <w:rsid w:val="00034AA6"/>
    <w:rsid w:val="00034AB7"/>
    <w:rsid w:val="00034B3E"/>
    <w:rsid w:val="00034B3F"/>
    <w:rsid w:val="00034BC8"/>
    <w:rsid w:val="00034C98"/>
    <w:rsid w:val="00034CA1"/>
    <w:rsid w:val="00034CBF"/>
    <w:rsid w:val="00034CCE"/>
    <w:rsid w:val="00034CF7"/>
    <w:rsid w:val="00034D22"/>
    <w:rsid w:val="00034D47"/>
    <w:rsid w:val="00034D8A"/>
    <w:rsid w:val="00034EC8"/>
    <w:rsid w:val="00034ED6"/>
    <w:rsid w:val="00034FA4"/>
    <w:rsid w:val="0003500D"/>
    <w:rsid w:val="0003501A"/>
    <w:rsid w:val="00035038"/>
    <w:rsid w:val="0003505B"/>
    <w:rsid w:val="0003509F"/>
    <w:rsid w:val="000350A0"/>
    <w:rsid w:val="000350E4"/>
    <w:rsid w:val="00035113"/>
    <w:rsid w:val="00035133"/>
    <w:rsid w:val="0003516E"/>
    <w:rsid w:val="00035197"/>
    <w:rsid w:val="000351A1"/>
    <w:rsid w:val="0003521B"/>
    <w:rsid w:val="00035300"/>
    <w:rsid w:val="00035304"/>
    <w:rsid w:val="00035312"/>
    <w:rsid w:val="0003531F"/>
    <w:rsid w:val="00035379"/>
    <w:rsid w:val="0003548F"/>
    <w:rsid w:val="00035490"/>
    <w:rsid w:val="000354F5"/>
    <w:rsid w:val="0003553C"/>
    <w:rsid w:val="00035573"/>
    <w:rsid w:val="0003557D"/>
    <w:rsid w:val="000355A4"/>
    <w:rsid w:val="000355A5"/>
    <w:rsid w:val="00035626"/>
    <w:rsid w:val="00035630"/>
    <w:rsid w:val="0003567F"/>
    <w:rsid w:val="000356F9"/>
    <w:rsid w:val="0003576C"/>
    <w:rsid w:val="000358D0"/>
    <w:rsid w:val="0003595A"/>
    <w:rsid w:val="0003596F"/>
    <w:rsid w:val="000359EB"/>
    <w:rsid w:val="00035A08"/>
    <w:rsid w:val="00035C1E"/>
    <w:rsid w:val="00035CA9"/>
    <w:rsid w:val="00035CDE"/>
    <w:rsid w:val="00035CDF"/>
    <w:rsid w:val="00035CE9"/>
    <w:rsid w:val="00035D36"/>
    <w:rsid w:val="00035D39"/>
    <w:rsid w:val="00035D49"/>
    <w:rsid w:val="00035D8F"/>
    <w:rsid w:val="00035E4F"/>
    <w:rsid w:val="00035EBD"/>
    <w:rsid w:val="00035F5E"/>
    <w:rsid w:val="00035F63"/>
    <w:rsid w:val="00035FBA"/>
    <w:rsid w:val="00035FFB"/>
    <w:rsid w:val="0003609E"/>
    <w:rsid w:val="000360E8"/>
    <w:rsid w:val="000361B8"/>
    <w:rsid w:val="00036210"/>
    <w:rsid w:val="000362A6"/>
    <w:rsid w:val="0003637B"/>
    <w:rsid w:val="000363D1"/>
    <w:rsid w:val="00036413"/>
    <w:rsid w:val="0003641D"/>
    <w:rsid w:val="00036436"/>
    <w:rsid w:val="0003643B"/>
    <w:rsid w:val="0003647B"/>
    <w:rsid w:val="000364D0"/>
    <w:rsid w:val="00036517"/>
    <w:rsid w:val="00036548"/>
    <w:rsid w:val="00036562"/>
    <w:rsid w:val="0003657B"/>
    <w:rsid w:val="000365A2"/>
    <w:rsid w:val="000365A7"/>
    <w:rsid w:val="000365DF"/>
    <w:rsid w:val="00036604"/>
    <w:rsid w:val="00036610"/>
    <w:rsid w:val="000366FB"/>
    <w:rsid w:val="0003673B"/>
    <w:rsid w:val="00036776"/>
    <w:rsid w:val="0003677F"/>
    <w:rsid w:val="00036781"/>
    <w:rsid w:val="000367F8"/>
    <w:rsid w:val="0003680F"/>
    <w:rsid w:val="00036814"/>
    <w:rsid w:val="000368EB"/>
    <w:rsid w:val="0003692D"/>
    <w:rsid w:val="00036954"/>
    <w:rsid w:val="00036A87"/>
    <w:rsid w:val="00036B60"/>
    <w:rsid w:val="00036B80"/>
    <w:rsid w:val="00036BC6"/>
    <w:rsid w:val="00036C01"/>
    <w:rsid w:val="00036C0A"/>
    <w:rsid w:val="00036C9F"/>
    <w:rsid w:val="00036CC2"/>
    <w:rsid w:val="00036D82"/>
    <w:rsid w:val="00036DEF"/>
    <w:rsid w:val="00036E3B"/>
    <w:rsid w:val="00036E98"/>
    <w:rsid w:val="00036F4B"/>
    <w:rsid w:val="00036FC5"/>
    <w:rsid w:val="00037216"/>
    <w:rsid w:val="00037282"/>
    <w:rsid w:val="00037305"/>
    <w:rsid w:val="0003738B"/>
    <w:rsid w:val="000373B5"/>
    <w:rsid w:val="0003750A"/>
    <w:rsid w:val="00037520"/>
    <w:rsid w:val="00037640"/>
    <w:rsid w:val="00037661"/>
    <w:rsid w:val="000376D5"/>
    <w:rsid w:val="0003778A"/>
    <w:rsid w:val="000378B2"/>
    <w:rsid w:val="000378E6"/>
    <w:rsid w:val="00037902"/>
    <w:rsid w:val="00037996"/>
    <w:rsid w:val="000379CE"/>
    <w:rsid w:val="000379D2"/>
    <w:rsid w:val="00037A32"/>
    <w:rsid w:val="00037A3E"/>
    <w:rsid w:val="00037A86"/>
    <w:rsid w:val="00037AD5"/>
    <w:rsid w:val="00037AF3"/>
    <w:rsid w:val="00037AFF"/>
    <w:rsid w:val="00037B3B"/>
    <w:rsid w:val="00037B3D"/>
    <w:rsid w:val="00037C0B"/>
    <w:rsid w:val="00037C12"/>
    <w:rsid w:val="00037C28"/>
    <w:rsid w:val="00037C46"/>
    <w:rsid w:val="00037C81"/>
    <w:rsid w:val="00037D23"/>
    <w:rsid w:val="00037F5F"/>
    <w:rsid w:val="00037F6C"/>
    <w:rsid w:val="00037FD4"/>
    <w:rsid w:val="00037FDE"/>
    <w:rsid w:val="000400B7"/>
    <w:rsid w:val="000400BF"/>
    <w:rsid w:val="00040155"/>
    <w:rsid w:val="000401C2"/>
    <w:rsid w:val="00040422"/>
    <w:rsid w:val="000404D8"/>
    <w:rsid w:val="00040643"/>
    <w:rsid w:val="0004064C"/>
    <w:rsid w:val="00040736"/>
    <w:rsid w:val="000407F0"/>
    <w:rsid w:val="0004086F"/>
    <w:rsid w:val="000408B2"/>
    <w:rsid w:val="00040979"/>
    <w:rsid w:val="00040997"/>
    <w:rsid w:val="00040A0D"/>
    <w:rsid w:val="00040A1A"/>
    <w:rsid w:val="00040ACA"/>
    <w:rsid w:val="00040AFB"/>
    <w:rsid w:val="00040BE4"/>
    <w:rsid w:val="00040BF0"/>
    <w:rsid w:val="00040C56"/>
    <w:rsid w:val="00040D23"/>
    <w:rsid w:val="00040D2D"/>
    <w:rsid w:val="00040D66"/>
    <w:rsid w:val="00040DD8"/>
    <w:rsid w:val="00040E00"/>
    <w:rsid w:val="00040E49"/>
    <w:rsid w:val="00040E7F"/>
    <w:rsid w:val="00040EE6"/>
    <w:rsid w:val="00040F00"/>
    <w:rsid w:val="00040F13"/>
    <w:rsid w:val="00040F1A"/>
    <w:rsid w:val="00040F57"/>
    <w:rsid w:val="00040F7E"/>
    <w:rsid w:val="00040F95"/>
    <w:rsid w:val="00040FD6"/>
    <w:rsid w:val="00041001"/>
    <w:rsid w:val="00041064"/>
    <w:rsid w:val="000410CE"/>
    <w:rsid w:val="000410FD"/>
    <w:rsid w:val="0004113F"/>
    <w:rsid w:val="0004121D"/>
    <w:rsid w:val="00041250"/>
    <w:rsid w:val="00041256"/>
    <w:rsid w:val="00041299"/>
    <w:rsid w:val="0004133D"/>
    <w:rsid w:val="000413C0"/>
    <w:rsid w:val="000413EE"/>
    <w:rsid w:val="0004140F"/>
    <w:rsid w:val="00041419"/>
    <w:rsid w:val="00041458"/>
    <w:rsid w:val="0004150D"/>
    <w:rsid w:val="00041569"/>
    <w:rsid w:val="00041570"/>
    <w:rsid w:val="00041594"/>
    <w:rsid w:val="00041609"/>
    <w:rsid w:val="0004162B"/>
    <w:rsid w:val="00041721"/>
    <w:rsid w:val="0004172F"/>
    <w:rsid w:val="0004174F"/>
    <w:rsid w:val="0004177A"/>
    <w:rsid w:val="000417B1"/>
    <w:rsid w:val="00041806"/>
    <w:rsid w:val="00041814"/>
    <w:rsid w:val="00041887"/>
    <w:rsid w:val="000418BD"/>
    <w:rsid w:val="000418F0"/>
    <w:rsid w:val="000418FA"/>
    <w:rsid w:val="00041916"/>
    <w:rsid w:val="00041959"/>
    <w:rsid w:val="000419A6"/>
    <w:rsid w:val="000419D2"/>
    <w:rsid w:val="00041A7E"/>
    <w:rsid w:val="00041A82"/>
    <w:rsid w:val="00041AA2"/>
    <w:rsid w:val="00041B20"/>
    <w:rsid w:val="00041B2D"/>
    <w:rsid w:val="00041B4C"/>
    <w:rsid w:val="00041B67"/>
    <w:rsid w:val="00041C7F"/>
    <w:rsid w:val="00041D14"/>
    <w:rsid w:val="00041D49"/>
    <w:rsid w:val="00041D7B"/>
    <w:rsid w:val="00041DFB"/>
    <w:rsid w:val="00041DFF"/>
    <w:rsid w:val="00041E12"/>
    <w:rsid w:val="00041E15"/>
    <w:rsid w:val="00041E54"/>
    <w:rsid w:val="00041E91"/>
    <w:rsid w:val="00041ECE"/>
    <w:rsid w:val="00041F3C"/>
    <w:rsid w:val="00041F7F"/>
    <w:rsid w:val="00041F8F"/>
    <w:rsid w:val="000420FE"/>
    <w:rsid w:val="000420FF"/>
    <w:rsid w:val="0004215D"/>
    <w:rsid w:val="000421C4"/>
    <w:rsid w:val="000421F8"/>
    <w:rsid w:val="00042215"/>
    <w:rsid w:val="00042229"/>
    <w:rsid w:val="0004222A"/>
    <w:rsid w:val="000422DA"/>
    <w:rsid w:val="0004232A"/>
    <w:rsid w:val="000423C4"/>
    <w:rsid w:val="0004241E"/>
    <w:rsid w:val="00042424"/>
    <w:rsid w:val="00042450"/>
    <w:rsid w:val="000424AA"/>
    <w:rsid w:val="000424C1"/>
    <w:rsid w:val="0004254A"/>
    <w:rsid w:val="00042577"/>
    <w:rsid w:val="000425C4"/>
    <w:rsid w:val="000425DC"/>
    <w:rsid w:val="000425F0"/>
    <w:rsid w:val="0004262E"/>
    <w:rsid w:val="00042675"/>
    <w:rsid w:val="00042685"/>
    <w:rsid w:val="00042761"/>
    <w:rsid w:val="00042786"/>
    <w:rsid w:val="000427AB"/>
    <w:rsid w:val="000427BB"/>
    <w:rsid w:val="00042825"/>
    <w:rsid w:val="0004286A"/>
    <w:rsid w:val="000428C9"/>
    <w:rsid w:val="000429E2"/>
    <w:rsid w:val="000429F0"/>
    <w:rsid w:val="00042A1C"/>
    <w:rsid w:val="00042ABB"/>
    <w:rsid w:val="00042B2A"/>
    <w:rsid w:val="00042B48"/>
    <w:rsid w:val="00042BBA"/>
    <w:rsid w:val="00042BD1"/>
    <w:rsid w:val="00042BDD"/>
    <w:rsid w:val="00042C7C"/>
    <w:rsid w:val="00042D59"/>
    <w:rsid w:val="00042DC7"/>
    <w:rsid w:val="00042DEF"/>
    <w:rsid w:val="00042E58"/>
    <w:rsid w:val="00042E7E"/>
    <w:rsid w:val="00042E9F"/>
    <w:rsid w:val="00042F40"/>
    <w:rsid w:val="00042FB7"/>
    <w:rsid w:val="00042FDA"/>
    <w:rsid w:val="00042FF1"/>
    <w:rsid w:val="00043071"/>
    <w:rsid w:val="000430E4"/>
    <w:rsid w:val="000430E9"/>
    <w:rsid w:val="000430EB"/>
    <w:rsid w:val="000430FE"/>
    <w:rsid w:val="0004310B"/>
    <w:rsid w:val="0004313F"/>
    <w:rsid w:val="000431B3"/>
    <w:rsid w:val="0004322C"/>
    <w:rsid w:val="00043232"/>
    <w:rsid w:val="00043268"/>
    <w:rsid w:val="00043275"/>
    <w:rsid w:val="000432B0"/>
    <w:rsid w:val="000432CF"/>
    <w:rsid w:val="000432FC"/>
    <w:rsid w:val="00043302"/>
    <w:rsid w:val="00043307"/>
    <w:rsid w:val="0004332B"/>
    <w:rsid w:val="000435BA"/>
    <w:rsid w:val="000435D2"/>
    <w:rsid w:val="000435EC"/>
    <w:rsid w:val="00043604"/>
    <w:rsid w:val="00043631"/>
    <w:rsid w:val="0004368F"/>
    <w:rsid w:val="000436BD"/>
    <w:rsid w:val="00043774"/>
    <w:rsid w:val="0004379A"/>
    <w:rsid w:val="000437A0"/>
    <w:rsid w:val="000438CC"/>
    <w:rsid w:val="00043901"/>
    <w:rsid w:val="00043915"/>
    <w:rsid w:val="00043978"/>
    <w:rsid w:val="0004398F"/>
    <w:rsid w:val="000439E2"/>
    <w:rsid w:val="00043A27"/>
    <w:rsid w:val="00043ABD"/>
    <w:rsid w:val="00043B09"/>
    <w:rsid w:val="00043B19"/>
    <w:rsid w:val="00043B77"/>
    <w:rsid w:val="00043BD2"/>
    <w:rsid w:val="00043BE1"/>
    <w:rsid w:val="00043C22"/>
    <w:rsid w:val="00043C34"/>
    <w:rsid w:val="00043CAA"/>
    <w:rsid w:val="00043CDC"/>
    <w:rsid w:val="00043CE6"/>
    <w:rsid w:val="00043D01"/>
    <w:rsid w:val="00043D66"/>
    <w:rsid w:val="00043DD1"/>
    <w:rsid w:val="00043E02"/>
    <w:rsid w:val="00043E18"/>
    <w:rsid w:val="00043E19"/>
    <w:rsid w:val="00043E80"/>
    <w:rsid w:val="00043ECD"/>
    <w:rsid w:val="00043ECE"/>
    <w:rsid w:val="00043F62"/>
    <w:rsid w:val="0004406F"/>
    <w:rsid w:val="000440C6"/>
    <w:rsid w:val="0004410A"/>
    <w:rsid w:val="000441BE"/>
    <w:rsid w:val="00044237"/>
    <w:rsid w:val="0004435D"/>
    <w:rsid w:val="000443AE"/>
    <w:rsid w:val="000443FC"/>
    <w:rsid w:val="000444A1"/>
    <w:rsid w:val="000444D5"/>
    <w:rsid w:val="00044535"/>
    <w:rsid w:val="0004459F"/>
    <w:rsid w:val="00044638"/>
    <w:rsid w:val="00044758"/>
    <w:rsid w:val="0004487E"/>
    <w:rsid w:val="0004488A"/>
    <w:rsid w:val="00044970"/>
    <w:rsid w:val="00044A33"/>
    <w:rsid w:val="00044A44"/>
    <w:rsid w:val="00044A4A"/>
    <w:rsid w:val="00044A52"/>
    <w:rsid w:val="00044A99"/>
    <w:rsid w:val="00044AA0"/>
    <w:rsid w:val="00044AA3"/>
    <w:rsid w:val="00044B1D"/>
    <w:rsid w:val="00044B21"/>
    <w:rsid w:val="00044C3B"/>
    <w:rsid w:val="00044D7B"/>
    <w:rsid w:val="00044F3E"/>
    <w:rsid w:val="00044F79"/>
    <w:rsid w:val="00045011"/>
    <w:rsid w:val="00045034"/>
    <w:rsid w:val="000450C5"/>
    <w:rsid w:val="00045184"/>
    <w:rsid w:val="000451CC"/>
    <w:rsid w:val="000451E2"/>
    <w:rsid w:val="00045208"/>
    <w:rsid w:val="0004520E"/>
    <w:rsid w:val="0004525D"/>
    <w:rsid w:val="00045283"/>
    <w:rsid w:val="00045303"/>
    <w:rsid w:val="0004535B"/>
    <w:rsid w:val="000453D4"/>
    <w:rsid w:val="00045473"/>
    <w:rsid w:val="0004549B"/>
    <w:rsid w:val="000454C8"/>
    <w:rsid w:val="000454DE"/>
    <w:rsid w:val="00045502"/>
    <w:rsid w:val="00045626"/>
    <w:rsid w:val="00045760"/>
    <w:rsid w:val="000457DF"/>
    <w:rsid w:val="0004583D"/>
    <w:rsid w:val="000458B8"/>
    <w:rsid w:val="00045932"/>
    <w:rsid w:val="00045950"/>
    <w:rsid w:val="00045962"/>
    <w:rsid w:val="000459B6"/>
    <w:rsid w:val="00045A2B"/>
    <w:rsid w:val="00045B0B"/>
    <w:rsid w:val="00045B39"/>
    <w:rsid w:val="00045B83"/>
    <w:rsid w:val="00045BB5"/>
    <w:rsid w:val="00045BE7"/>
    <w:rsid w:val="00045BEE"/>
    <w:rsid w:val="00045C3A"/>
    <w:rsid w:val="00045C4F"/>
    <w:rsid w:val="00045D0A"/>
    <w:rsid w:val="00045D9E"/>
    <w:rsid w:val="00045DEC"/>
    <w:rsid w:val="00045E43"/>
    <w:rsid w:val="00045EA9"/>
    <w:rsid w:val="00045F8E"/>
    <w:rsid w:val="00045FE4"/>
    <w:rsid w:val="00045FF1"/>
    <w:rsid w:val="00045FFE"/>
    <w:rsid w:val="00046068"/>
    <w:rsid w:val="000460A8"/>
    <w:rsid w:val="0004611B"/>
    <w:rsid w:val="00046125"/>
    <w:rsid w:val="000461DC"/>
    <w:rsid w:val="00046269"/>
    <w:rsid w:val="0004634D"/>
    <w:rsid w:val="000463C0"/>
    <w:rsid w:val="0004642A"/>
    <w:rsid w:val="000464E2"/>
    <w:rsid w:val="00046526"/>
    <w:rsid w:val="000465AA"/>
    <w:rsid w:val="00046608"/>
    <w:rsid w:val="00046631"/>
    <w:rsid w:val="0004664C"/>
    <w:rsid w:val="00046666"/>
    <w:rsid w:val="0004668B"/>
    <w:rsid w:val="000466DD"/>
    <w:rsid w:val="00046701"/>
    <w:rsid w:val="00046735"/>
    <w:rsid w:val="000467AB"/>
    <w:rsid w:val="000467DC"/>
    <w:rsid w:val="000467F2"/>
    <w:rsid w:val="000467FC"/>
    <w:rsid w:val="000468F4"/>
    <w:rsid w:val="0004694F"/>
    <w:rsid w:val="0004698B"/>
    <w:rsid w:val="000469D3"/>
    <w:rsid w:val="00046A46"/>
    <w:rsid w:val="00046B4C"/>
    <w:rsid w:val="00046BB8"/>
    <w:rsid w:val="00046C14"/>
    <w:rsid w:val="00046C9C"/>
    <w:rsid w:val="00046D46"/>
    <w:rsid w:val="00046D5B"/>
    <w:rsid w:val="00046D70"/>
    <w:rsid w:val="00046DC1"/>
    <w:rsid w:val="00046E60"/>
    <w:rsid w:val="00046EC1"/>
    <w:rsid w:val="00046EE4"/>
    <w:rsid w:val="00046F23"/>
    <w:rsid w:val="00046FE6"/>
    <w:rsid w:val="00047012"/>
    <w:rsid w:val="00047079"/>
    <w:rsid w:val="00047081"/>
    <w:rsid w:val="00047100"/>
    <w:rsid w:val="0004711B"/>
    <w:rsid w:val="00047136"/>
    <w:rsid w:val="00047148"/>
    <w:rsid w:val="00047178"/>
    <w:rsid w:val="000471A5"/>
    <w:rsid w:val="000471B4"/>
    <w:rsid w:val="000471BC"/>
    <w:rsid w:val="000471D0"/>
    <w:rsid w:val="000471E3"/>
    <w:rsid w:val="00047202"/>
    <w:rsid w:val="00047242"/>
    <w:rsid w:val="000472DC"/>
    <w:rsid w:val="000472E5"/>
    <w:rsid w:val="00047582"/>
    <w:rsid w:val="00047587"/>
    <w:rsid w:val="000475F3"/>
    <w:rsid w:val="000475F6"/>
    <w:rsid w:val="0004767C"/>
    <w:rsid w:val="0004778E"/>
    <w:rsid w:val="00047809"/>
    <w:rsid w:val="00047850"/>
    <w:rsid w:val="00047860"/>
    <w:rsid w:val="00047863"/>
    <w:rsid w:val="00047968"/>
    <w:rsid w:val="000479DB"/>
    <w:rsid w:val="00047A04"/>
    <w:rsid w:val="00047A0E"/>
    <w:rsid w:val="00047ABB"/>
    <w:rsid w:val="00047AD6"/>
    <w:rsid w:val="00047B14"/>
    <w:rsid w:val="00047BF1"/>
    <w:rsid w:val="00047BF3"/>
    <w:rsid w:val="00047C3F"/>
    <w:rsid w:val="00047DEC"/>
    <w:rsid w:val="00047E0F"/>
    <w:rsid w:val="00047E34"/>
    <w:rsid w:val="00047ECC"/>
    <w:rsid w:val="00047EFA"/>
    <w:rsid w:val="00047F27"/>
    <w:rsid w:val="00047F87"/>
    <w:rsid w:val="00047FA1"/>
    <w:rsid w:val="00047FFE"/>
    <w:rsid w:val="00050033"/>
    <w:rsid w:val="0005005B"/>
    <w:rsid w:val="000500D0"/>
    <w:rsid w:val="000500D2"/>
    <w:rsid w:val="000500F5"/>
    <w:rsid w:val="000500FD"/>
    <w:rsid w:val="00050112"/>
    <w:rsid w:val="000501D8"/>
    <w:rsid w:val="00050222"/>
    <w:rsid w:val="000502AC"/>
    <w:rsid w:val="000502F4"/>
    <w:rsid w:val="00050416"/>
    <w:rsid w:val="00050433"/>
    <w:rsid w:val="000504AE"/>
    <w:rsid w:val="00050590"/>
    <w:rsid w:val="0005064F"/>
    <w:rsid w:val="000507AB"/>
    <w:rsid w:val="000507AE"/>
    <w:rsid w:val="00050852"/>
    <w:rsid w:val="00050878"/>
    <w:rsid w:val="00050894"/>
    <w:rsid w:val="000508D1"/>
    <w:rsid w:val="00050922"/>
    <w:rsid w:val="00050976"/>
    <w:rsid w:val="000509CB"/>
    <w:rsid w:val="00050A26"/>
    <w:rsid w:val="00050B62"/>
    <w:rsid w:val="00050B6A"/>
    <w:rsid w:val="00050BB0"/>
    <w:rsid w:val="00050C27"/>
    <w:rsid w:val="00050CC3"/>
    <w:rsid w:val="00050CFA"/>
    <w:rsid w:val="00050CFC"/>
    <w:rsid w:val="00050D93"/>
    <w:rsid w:val="00050E75"/>
    <w:rsid w:val="00050EF4"/>
    <w:rsid w:val="00050F0E"/>
    <w:rsid w:val="0005101E"/>
    <w:rsid w:val="00051069"/>
    <w:rsid w:val="000510B4"/>
    <w:rsid w:val="000511CF"/>
    <w:rsid w:val="00051210"/>
    <w:rsid w:val="00051293"/>
    <w:rsid w:val="00051313"/>
    <w:rsid w:val="000513F1"/>
    <w:rsid w:val="00051443"/>
    <w:rsid w:val="000514C6"/>
    <w:rsid w:val="000514D3"/>
    <w:rsid w:val="00051550"/>
    <w:rsid w:val="00051580"/>
    <w:rsid w:val="000515D8"/>
    <w:rsid w:val="000516C2"/>
    <w:rsid w:val="000516E8"/>
    <w:rsid w:val="000517DE"/>
    <w:rsid w:val="000517E9"/>
    <w:rsid w:val="000518A8"/>
    <w:rsid w:val="0005191C"/>
    <w:rsid w:val="00051A03"/>
    <w:rsid w:val="00051A68"/>
    <w:rsid w:val="00051A71"/>
    <w:rsid w:val="00051A9C"/>
    <w:rsid w:val="00051AB0"/>
    <w:rsid w:val="00051ABF"/>
    <w:rsid w:val="00051AED"/>
    <w:rsid w:val="00051AEF"/>
    <w:rsid w:val="00051B97"/>
    <w:rsid w:val="00051BA3"/>
    <w:rsid w:val="00051BBC"/>
    <w:rsid w:val="00051C10"/>
    <w:rsid w:val="00051C41"/>
    <w:rsid w:val="00051C67"/>
    <w:rsid w:val="00051CD5"/>
    <w:rsid w:val="00051D83"/>
    <w:rsid w:val="00051DF1"/>
    <w:rsid w:val="00051E17"/>
    <w:rsid w:val="00051E56"/>
    <w:rsid w:val="00051F49"/>
    <w:rsid w:val="0005200D"/>
    <w:rsid w:val="00052132"/>
    <w:rsid w:val="000521FD"/>
    <w:rsid w:val="00052241"/>
    <w:rsid w:val="000522E6"/>
    <w:rsid w:val="000522F6"/>
    <w:rsid w:val="00052311"/>
    <w:rsid w:val="00052323"/>
    <w:rsid w:val="0005232E"/>
    <w:rsid w:val="000523AA"/>
    <w:rsid w:val="000523C7"/>
    <w:rsid w:val="0005248C"/>
    <w:rsid w:val="0005248F"/>
    <w:rsid w:val="0005249E"/>
    <w:rsid w:val="000524CB"/>
    <w:rsid w:val="0005259A"/>
    <w:rsid w:val="0005260D"/>
    <w:rsid w:val="000526CA"/>
    <w:rsid w:val="00052780"/>
    <w:rsid w:val="000527E9"/>
    <w:rsid w:val="00052838"/>
    <w:rsid w:val="000528ED"/>
    <w:rsid w:val="00052948"/>
    <w:rsid w:val="00052956"/>
    <w:rsid w:val="0005296A"/>
    <w:rsid w:val="000529AB"/>
    <w:rsid w:val="000529AF"/>
    <w:rsid w:val="00052A00"/>
    <w:rsid w:val="00052A18"/>
    <w:rsid w:val="00052B44"/>
    <w:rsid w:val="00052B7A"/>
    <w:rsid w:val="00052B86"/>
    <w:rsid w:val="00052BF9"/>
    <w:rsid w:val="00052C23"/>
    <w:rsid w:val="00052C57"/>
    <w:rsid w:val="00052CC9"/>
    <w:rsid w:val="00052CCC"/>
    <w:rsid w:val="00052D12"/>
    <w:rsid w:val="00052D62"/>
    <w:rsid w:val="00052D6B"/>
    <w:rsid w:val="00052D9E"/>
    <w:rsid w:val="00052DC6"/>
    <w:rsid w:val="00052E06"/>
    <w:rsid w:val="00052EE7"/>
    <w:rsid w:val="00052FBE"/>
    <w:rsid w:val="00052FD1"/>
    <w:rsid w:val="00052FF3"/>
    <w:rsid w:val="00053011"/>
    <w:rsid w:val="00053062"/>
    <w:rsid w:val="000530C3"/>
    <w:rsid w:val="000530FE"/>
    <w:rsid w:val="00053169"/>
    <w:rsid w:val="00053170"/>
    <w:rsid w:val="00053182"/>
    <w:rsid w:val="000531B8"/>
    <w:rsid w:val="000531CC"/>
    <w:rsid w:val="00053228"/>
    <w:rsid w:val="00053244"/>
    <w:rsid w:val="0005324C"/>
    <w:rsid w:val="00053256"/>
    <w:rsid w:val="00053258"/>
    <w:rsid w:val="0005325E"/>
    <w:rsid w:val="00053322"/>
    <w:rsid w:val="00053377"/>
    <w:rsid w:val="0005342A"/>
    <w:rsid w:val="00053437"/>
    <w:rsid w:val="000534C0"/>
    <w:rsid w:val="000534D7"/>
    <w:rsid w:val="000534E4"/>
    <w:rsid w:val="00053527"/>
    <w:rsid w:val="00053533"/>
    <w:rsid w:val="000535EC"/>
    <w:rsid w:val="000536A6"/>
    <w:rsid w:val="000536F5"/>
    <w:rsid w:val="00053710"/>
    <w:rsid w:val="00053725"/>
    <w:rsid w:val="0005377E"/>
    <w:rsid w:val="000537A5"/>
    <w:rsid w:val="000537B8"/>
    <w:rsid w:val="00053834"/>
    <w:rsid w:val="000538A0"/>
    <w:rsid w:val="000538D4"/>
    <w:rsid w:val="0005394D"/>
    <w:rsid w:val="00053A49"/>
    <w:rsid w:val="00053B0E"/>
    <w:rsid w:val="00053B53"/>
    <w:rsid w:val="00053CD1"/>
    <w:rsid w:val="00053D38"/>
    <w:rsid w:val="00053D64"/>
    <w:rsid w:val="00053D91"/>
    <w:rsid w:val="00053DCF"/>
    <w:rsid w:val="00053DEB"/>
    <w:rsid w:val="00053E8B"/>
    <w:rsid w:val="00053EA0"/>
    <w:rsid w:val="00053EA3"/>
    <w:rsid w:val="00053EB7"/>
    <w:rsid w:val="00053ECC"/>
    <w:rsid w:val="00053EE4"/>
    <w:rsid w:val="00053F0E"/>
    <w:rsid w:val="00054104"/>
    <w:rsid w:val="00054184"/>
    <w:rsid w:val="00054199"/>
    <w:rsid w:val="000541C3"/>
    <w:rsid w:val="000541C5"/>
    <w:rsid w:val="000541D2"/>
    <w:rsid w:val="00054209"/>
    <w:rsid w:val="00054260"/>
    <w:rsid w:val="00054271"/>
    <w:rsid w:val="00054274"/>
    <w:rsid w:val="00054276"/>
    <w:rsid w:val="0005428C"/>
    <w:rsid w:val="000542C4"/>
    <w:rsid w:val="00054334"/>
    <w:rsid w:val="00054356"/>
    <w:rsid w:val="000543BE"/>
    <w:rsid w:val="00054419"/>
    <w:rsid w:val="0005441C"/>
    <w:rsid w:val="0005441F"/>
    <w:rsid w:val="00054422"/>
    <w:rsid w:val="00054432"/>
    <w:rsid w:val="000544B8"/>
    <w:rsid w:val="000544D1"/>
    <w:rsid w:val="000544DD"/>
    <w:rsid w:val="000544E0"/>
    <w:rsid w:val="0005455E"/>
    <w:rsid w:val="00054575"/>
    <w:rsid w:val="000545DA"/>
    <w:rsid w:val="00054613"/>
    <w:rsid w:val="00054620"/>
    <w:rsid w:val="0005463F"/>
    <w:rsid w:val="0005464A"/>
    <w:rsid w:val="0005468F"/>
    <w:rsid w:val="000546F4"/>
    <w:rsid w:val="000546FE"/>
    <w:rsid w:val="000547A7"/>
    <w:rsid w:val="000547AA"/>
    <w:rsid w:val="0005482E"/>
    <w:rsid w:val="0005483B"/>
    <w:rsid w:val="000548C4"/>
    <w:rsid w:val="0005495F"/>
    <w:rsid w:val="00054969"/>
    <w:rsid w:val="000549C4"/>
    <w:rsid w:val="00054A69"/>
    <w:rsid w:val="00054A6E"/>
    <w:rsid w:val="00054AA6"/>
    <w:rsid w:val="00054B31"/>
    <w:rsid w:val="00054B5F"/>
    <w:rsid w:val="00054B69"/>
    <w:rsid w:val="00054B71"/>
    <w:rsid w:val="00054BEC"/>
    <w:rsid w:val="00054BED"/>
    <w:rsid w:val="00054C16"/>
    <w:rsid w:val="00054CA7"/>
    <w:rsid w:val="00054CC3"/>
    <w:rsid w:val="00054CCB"/>
    <w:rsid w:val="00054D55"/>
    <w:rsid w:val="00054D8E"/>
    <w:rsid w:val="00054DBB"/>
    <w:rsid w:val="00054E01"/>
    <w:rsid w:val="00054E9A"/>
    <w:rsid w:val="00054EC8"/>
    <w:rsid w:val="00054EEC"/>
    <w:rsid w:val="00054F49"/>
    <w:rsid w:val="00054F71"/>
    <w:rsid w:val="00054FB2"/>
    <w:rsid w:val="00054FEC"/>
    <w:rsid w:val="0005500D"/>
    <w:rsid w:val="00055013"/>
    <w:rsid w:val="0005501C"/>
    <w:rsid w:val="00055058"/>
    <w:rsid w:val="00055089"/>
    <w:rsid w:val="000550D9"/>
    <w:rsid w:val="000550F3"/>
    <w:rsid w:val="00055131"/>
    <w:rsid w:val="00055177"/>
    <w:rsid w:val="000551A6"/>
    <w:rsid w:val="000551E3"/>
    <w:rsid w:val="00055227"/>
    <w:rsid w:val="00055258"/>
    <w:rsid w:val="000553F3"/>
    <w:rsid w:val="00055431"/>
    <w:rsid w:val="00055436"/>
    <w:rsid w:val="00055493"/>
    <w:rsid w:val="000554A6"/>
    <w:rsid w:val="00055514"/>
    <w:rsid w:val="0005552C"/>
    <w:rsid w:val="0005561A"/>
    <w:rsid w:val="000556D4"/>
    <w:rsid w:val="000556EC"/>
    <w:rsid w:val="00055702"/>
    <w:rsid w:val="000557E7"/>
    <w:rsid w:val="000557F0"/>
    <w:rsid w:val="00055819"/>
    <w:rsid w:val="0005583D"/>
    <w:rsid w:val="0005584C"/>
    <w:rsid w:val="00055889"/>
    <w:rsid w:val="00055892"/>
    <w:rsid w:val="000558A5"/>
    <w:rsid w:val="0005591E"/>
    <w:rsid w:val="000559C9"/>
    <w:rsid w:val="000559E7"/>
    <w:rsid w:val="00055A51"/>
    <w:rsid w:val="00055A6D"/>
    <w:rsid w:val="00055A7B"/>
    <w:rsid w:val="00055AC9"/>
    <w:rsid w:val="00055B85"/>
    <w:rsid w:val="00055BC2"/>
    <w:rsid w:val="00055C29"/>
    <w:rsid w:val="00055C4C"/>
    <w:rsid w:val="00055C86"/>
    <w:rsid w:val="00055CF0"/>
    <w:rsid w:val="00055D00"/>
    <w:rsid w:val="00055D29"/>
    <w:rsid w:val="00055D60"/>
    <w:rsid w:val="00055DB0"/>
    <w:rsid w:val="00055E29"/>
    <w:rsid w:val="00055ED7"/>
    <w:rsid w:val="00055ED8"/>
    <w:rsid w:val="00055EFA"/>
    <w:rsid w:val="00055EFF"/>
    <w:rsid w:val="00055F3E"/>
    <w:rsid w:val="00055F97"/>
    <w:rsid w:val="00055FAF"/>
    <w:rsid w:val="00055FB3"/>
    <w:rsid w:val="00055FD5"/>
    <w:rsid w:val="00056097"/>
    <w:rsid w:val="00056167"/>
    <w:rsid w:val="000561D8"/>
    <w:rsid w:val="000561DD"/>
    <w:rsid w:val="00056215"/>
    <w:rsid w:val="00056227"/>
    <w:rsid w:val="0005627D"/>
    <w:rsid w:val="0005628B"/>
    <w:rsid w:val="0005628F"/>
    <w:rsid w:val="000562B4"/>
    <w:rsid w:val="000562EA"/>
    <w:rsid w:val="000562F4"/>
    <w:rsid w:val="0005642C"/>
    <w:rsid w:val="000564C5"/>
    <w:rsid w:val="000564FA"/>
    <w:rsid w:val="00056555"/>
    <w:rsid w:val="0005660D"/>
    <w:rsid w:val="0005664A"/>
    <w:rsid w:val="000566C2"/>
    <w:rsid w:val="0005688A"/>
    <w:rsid w:val="00056918"/>
    <w:rsid w:val="00056948"/>
    <w:rsid w:val="0005696E"/>
    <w:rsid w:val="000569FC"/>
    <w:rsid w:val="00056AE1"/>
    <w:rsid w:val="00056B00"/>
    <w:rsid w:val="00056C36"/>
    <w:rsid w:val="00056C7A"/>
    <w:rsid w:val="00056CFB"/>
    <w:rsid w:val="00056D6B"/>
    <w:rsid w:val="00056D76"/>
    <w:rsid w:val="00056DA0"/>
    <w:rsid w:val="00056DC8"/>
    <w:rsid w:val="00056E0A"/>
    <w:rsid w:val="00056E1D"/>
    <w:rsid w:val="00056E3C"/>
    <w:rsid w:val="00056E46"/>
    <w:rsid w:val="00056E57"/>
    <w:rsid w:val="00056E59"/>
    <w:rsid w:val="00056E86"/>
    <w:rsid w:val="00056F36"/>
    <w:rsid w:val="0005705A"/>
    <w:rsid w:val="00057086"/>
    <w:rsid w:val="0005709F"/>
    <w:rsid w:val="000571B3"/>
    <w:rsid w:val="00057236"/>
    <w:rsid w:val="0005725C"/>
    <w:rsid w:val="00057272"/>
    <w:rsid w:val="0005729F"/>
    <w:rsid w:val="00057339"/>
    <w:rsid w:val="0005736E"/>
    <w:rsid w:val="00057371"/>
    <w:rsid w:val="000573A0"/>
    <w:rsid w:val="0005743F"/>
    <w:rsid w:val="000574CC"/>
    <w:rsid w:val="00057537"/>
    <w:rsid w:val="00057566"/>
    <w:rsid w:val="00057601"/>
    <w:rsid w:val="00057652"/>
    <w:rsid w:val="0005765C"/>
    <w:rsid w:val="0005766B"/>
    <w:rsid w:val="0005769D"/>
    <w:rsid w:val="0005774A"/>
    <w:rsid w:val="0005782A"/>
    <w:rsid w:val="000578DE"/>
    <w:rsid w:val="00057951"/>
    <w:rsid w:val="000579A1"/>
    <w:rsid w:val="000579E0"/>
    <w:rsid w:val="000579E8"/>
    <w:rsid w:val="00057A47"/>
    <w:rsid w:val="00057A69"/>
    <w:rsid w:val="00057AD6"/>
    <w:rsid w:val="00057AF0"/>
    <w:rsid w:val="00057B03"/>
    <w:rsid w:val="00057B04"/>
    <w:rsid w:val="00057B17"/>
    <w:rsid w:val="00057B24"/>
    <w:rsid w:val="00057B60"/>
    <w:rsid w:val="00057C6F"/>
    <w:rsid w:val="00057D08"/>
    <w:rsid w:val="00057D0F"/>
    <w:rsid w:val="00057D2D"/>
    <w:rsid w:val="00057D55"/>
    <w:rsid w:val="00057DD0"/>
    <w:rsid w:val="00057DDD"/>
    <w:rsid w:val="00057DE8"/>
    <w:rsid w:val="00057F0D"/>
    <w:rsid w:val="00057F1E"/>
    <w:rsid w:val="00057F7A"/>
    <w:rsid w:val="00057F9D"/>
    <w:rsid w:val="000600A6"/>
    <w:rsid w:val="00060146"/>
    <w:rsid w:val="0006016F"/>
    <w:rsid w:val="00060170"/>
    <w:rsid w:val="000601A9"/>
    <w:rsid w:val="000601CE"/>
    <w:rsid w:val="000601D9"/>
    <w:rsid w:val="000601E5"/>
    <w:rsid w:val="00060380"/>
    <w:rsid w:val="0006038C"/>
    <w:rsid w:val="000603A1"/>
    <w:rsid w:val="000603F0"/>
    <w:rsid w:val="000603FF"/>
    <w:rsid w:val="00060433"/>
    <w:rsid w:val="00060444"/>
    <w:rsid w:val="000604AF"/>
    <w:rsid w:val="000604BF"/>
    <w:rsid w:val="000604E7"/>
    <w:rsid w:val="00060535"/>
    <w:rsid w:val="0006059E"/>
    <w:rsid w:val="000605B3"/>
    <w:rsid w:val="000605BC"/>
    <w:rsid w:val="0006063E"/>
    <w:rsid w:val="00060676"/>
    <w:rsid w:val="000606E3"/>
    <w:rsid w:val="000606FF"/>
    <w:rsid w:val="0006070A"/>
    <w:rsid w:val="00060794"/>
    <w:rsid w:val="000607B9"/>
    <w:rsid w:val="000607D7"/>
    <w:rsid w:val="0006088B"/>
    <w:rsid w:val="000608D4"/>
    <w:rsid w:val="000608F0"/>
    <w:rsid w:val="0006092F"/>
    <w:rsid w:val="00060959"/>
    <w:rsid w:val="000609A8"/>
    <w:rsid w:val="000609B3"/>
    <w:rsid w:val="000609B7"/>
    <w:rsid w:val="000609C9"/>
    <w:rsid w:val="00060A4C"/>
    <w:rsid w:val="00060A9B"/>
    <w:rsid w:val="00060AA0"/>
    <w:rsid w:val="00060AAD"/>
    <w:rsid w:val="00060AB5"/>
    <w:rsid w:val="00060ADD"/>
    <w:rsid w:val="00060AF7"/>
    <w:rsid w:val="00060B23"/>
    <w:rsid w:val="00060B92"/>
    <w:rsid w:val="00060CFB"/>
    <w:rsid w:val="00060D79"/>
    <w:rsid w:val="00060D7C"/>
    <w:rsid w:val="00060DE9"/>
    <w:rsid w:val="00060E4E"/>
    <w:rsid w:val="00060EBF"/>
    <w:rsid w:val="00060F30"/>
    <w:rsid w:val="00060F44"/>
    <w:rsid w:val="00060FAD"/>
    <w:rsid w:val="00060FCC"/>
    <w:rsid w:val="00060FF1"/>
    <w:rsid w:val="00061021"/>
    <w:rsid w:val="00061072"/>
    <w:rsid w:val="00061089"/>
    <w:rsid w:val="00061091"/>
    <w:rsid w:val="000610F5"/>
    <w:rsid w:val="00061119"/>
    <w:rsid w:val="000611EE"/>
    <w:rsid w:val="00061246"/>
    <w:rsid w:val="00061276"/>
    <w:rsid w:val="000612EA"/>
    <w:rsid w:val="00061312"/>
    <w:rsid w:val="0006136A"/>
    <w:rsid w:val="000613BB"/>
    <w:rsid w:val="000613DA"/>
    <w:rsid w:val="00061402"/>
    <w:rsid w:val="0006140B"/>
    <w:rsid w:val="0006142E"/>
    <w:rsid w:val="0006148E"/>
    <w:rsid w:val="000614DB"/>
    <w:rsid w:val="00061512"/>
    <w:rsid w:val="00061545"/>
    <w:rsid w:val="000615F7"/>
    <w:rsid w:val="00061651"/>
    <w:rsid w:val="000616EE"/>
    <w:rsid w:val="000616F3"/>
    <w:rsid w:val="00061785"/>
    <w:rsid w:val="000617B6"/>
    <w:rsid w:val="000619EA"/>
    <w:rsid w:val="00061A17"/>
    <w:rsid w:val="00061A58"/>
    <w:rsid w:val="00061A6E"/>
    <w:rsid w:val="00061ADF"/>
    <w:rsid w:val="00061AEE"/>
    <w:rsid w:val="00061B18"/>
    <w:rsid w:val="00061B34"/>
    <w:rsid w:val="00061B42"/>
    <w:rsid w:val="00061BA8"/>
    <w:rsid w:val="00061CCB"/>
    <w:rsid w:val="00061D49"/>
    <w:rsid w:val="00061E3C"/>
    <w:rsid w:val="00061E58"/>
    <w:rsid w:val="00061F7C"/>
    <w:rsid w:val="00061F88"/>
    <w:rsid w:val="00061FB0"/>
    <w:rsid w:val="0006202C"/>
    <w:rsid w:val="000620A1"/>
    <w:rsid w:val="000620C7"/>
    <w:rsid w:val="0006216C"/>
    <w:rsid w:val="00062174"/>
    <w:rsid w:val="000621BA"/>
    <w:rsid w:val="000621D8"/>
    <w:rsid w:val="000621EF"/>
    <w:rsid w:val="0006233F"/>
    <w:rsid w:val="000623F4"/>
    <w:rsid w:val="00062401"/>
    <w:rsid w:val="00062419"/>
    <w:rsid w:val="0006243D"/>
    <w:rsid w:val="00062499"/>
    <w:rsid w:val="000624AD"/>
    <w:rsid w:val="00062521"/>
    <w:rsid w:val="00062647"/>
    <w:rsid w:val="000626A6"/>
    <w:rsid w:val="00062706"/>
    <w:rsid w:val="00062720"/>
    <w:rsid w:val="00062781"/>
    <w:rsid w:val="000627B3"/>
    <w:rsid w:val="00062845"/>
    <w:rsid w:val="0006287B"/>
    <w:rsid w:val="000628A2"/>
    <w:rsid w:val="000629BD"/>
    <w:rsid w:val="000629CB"/>
    <w:rsid w:val="000629FE"/>
    <w:rsid w:val="00062A15"/>
    <w:rsid w:val="00062A78"/>
    <w:rsid w:val="00062AB7"/>
    <w:rsid w:val="00062AD1"/>
    <w:rsid w:val="00062AE4"/>
    <w:rsid w:val="00062B84"/>
    <w:rsid w:val="00062BAA"/>
    <w:rsid w:val="00062BD3"/>
    <w:rsid w:val="00062BF5"/>
    <w:rsid w:val="00062CB2"/>
    <w:rsid w:val="00062DD6"/>
    <w:rsid w:val="00062DEA"/>
    <w:rsid w:val="00062DEB"/>
    <w:rsid w:val="00062E2B"/>
    <w:rsid w:val="00062E38"/>
    <w:rsid w:val="00062E56"/>
    <w:rsid w:val="00062EAD"/>
    <w:rsid w:val="00062F1B"/>
    <w:rsid w:val="00062F8C"/>
    <w:rsid w:val="00062FAF"/>
    <w:rsid w:val="00063046"/>
    <w:rsid w:val="000630A2"/>
    <w:rsid w:val="000631E2"/>
    <w:rsid w:val="000631E9"/>
    <w:rsid w:val="0006320C"/>
    <w:rsid w:val="00063224"/>
    <w:rsid w:val="00063246"/>
    <w:rsid w:val="00063257"/>
    <w:rsid w:val="000632D4"/>
    <w:rsid w:val="0006335B"/>
    <w:rsid w:val="00063390"/>
    <w:rsid w:val="000633F5"/>
    <w:rsid w:val="000635A7"/>
    <w:rsid w:val="000635CA"/>
    <w:rsid w:val="000635E4"/>
    <w:rsid w:val="00063613"/>
    <w:rsid w:val="00063721"/>
    <w:rsid w:val="000637EB"/>
    <w:rsid w:val="000638A3"/>
    <w:rsid w:val="000638BB"/>
    <w:rsid w:val="0006390D"/>
    <w:rsid w:val="00063990"/>
    <w:rsid w:val="000639A5"/>
    <w:rsid w:val="000639AB"/>
    <w:rsid w:val="000639D7"/>
    <w:rsid w:val="00063A76"/>
    <w:rsid w:val="00063AF0"/>
    <w:rsid w:val="00063B4E"/>
    <w:rsid w:val="00063BC2"/>
    <w:rsid w:val="00063C82"/>
    <w:rsid w:val="00063C86"/>
    <w:rsid w:val="00063CDE"/>
    <w:rsid w:val="00063CF5"/>
    <w:rsid w:val="00063D3A"/>
    <w:rsid w:val="00063D79"/>
    <w:rsid w:val="00063D7C"/>
    <w:rsid w:val="00063DCA"/>
    <w:rsid w:val="00063E0A"/>
    <w:rsid w:val="00063E39"/>
    <w:rsid w:val="00063FBA"/>
    <w:rsid w:val="00064016"/>
    <w:rsid w:val="00064072"/>
    <w:rsid w:val="00064187"/>
    <w:rsid w:val="00064201"/>
    <w:rsid w:val="00064209"/>
    <w:rsid w:val="00064220"/>
    <w:rsid w:val="00064261"/>
    <w:rsid w:val="0006426E"/>
    <w:rsid w:val="000642D8"/>
    <w:rsid w:val="000642E1"/>
    <w:rsid w:val="0006435B"/>
    <w:rsid w:val="0006436B"/>
    <w:rsid w:val="00064381"/>
    <w:rsid w:val="000643AC"/>
    <w:rsid w:val="0006443E"/>
    <w:rsid w:val="00064446"/>
    <w:rsid w:val="0006444C"/>
    <w:rsid w:val="000644F0"/>
    <w:rsid w:val="0006452B"/>
    <w:rsid w:val="00064578"/>
    <w:rsid w:val="00064587"/>
    <w:rsid w:val="00064592"/>
    <w:rsid w:val="000645B7"/>
    <w:rsid w:val="00064645"/>
    <w:rsid w:val="00064655"/>
    <w:rsid w:val="000646A4"/>
    <w:rsid w:val="000646F2"/>
    <w:rsid w:val="0006477A"/>
    <w:rsid w:val="00064780"/>
    <w:rsid w:val="000647F1"/>
    <w:rsid w:val="000648A6"/>
    <w:rsid w:val="000648BE"/>
    <w:rsid w:val="0006491A"/>
    <w:rsid w:val="00064955"/>
    <w:rsid w:val="000649B3"/>
    <w:rsid w:val="000649E7"/>
    <w:rsid w:val="000649FE"/>
    <w:rsid w:val="00064A43"/>
    <w:rsid w:val="00064A5A"/>
    <w:rsid w:val="00064A7F"/>
    <w:rsid w:val="00064AE5"/>
    <w:rsid w:val="00064B33"/>
    <w:rsid w:val="00064B47"/>
    <w:rsid w:val="00064B79"/>
    <w:rsid w:val="00064BB7"/>
    <w:rsid w:val="00064C62"/>
    <w:rsid w:val="00064C69"/>
    <w:rsid w:val="00064CF3"/>
    <w:rsid w:val="00064D19"/>
    <w:rsid w:val="00064D1F"/>
    <w:rsid w:val="00064D2C"/>
    <w:rsid w:val="00064D51"/>
    <w:rsid w:val="00064D54"/>
    <w:rsid w:val="00064E19"/>
    <w:rsid w:val="00064E41"/>
    <w:rsid w:val="00064E5A"/>
    <w:rsid w:val="00064F14"/>
    <w:rsid w:val="00064F72"/>
    <w:rsid w:val="00064F9D"/>
    <w:rsid w:val="00064FCC"/>
    <w:rsid w:val="0006506D"/>
    <w:rsid w:val="000650A2"/>
    <w:rsid w:val="00065125"/>
    <w:rsid w:val="0006515E"/>
    <w:rsid w:val="00065178"/>
    <w:rsid w:val="000651AE"/>
    <w:rsid w:val="000652C2"/>
    <w:rsid w:val="000652D3"/>
    <w:rsid w:val="000653C0"/>
    <w:rsid w:val="000653CA"/>
    <w:rsid w:val="000653F6"/>
    <w:rsid w:val="00065498"/>
    <w:rsid w:val="000654ED"/>
    <w:rsid w:val="000655DC"/>
    <w:rsid w:val="000655F6"/>
    <w:rsid w:val="00065647"/>
    <w:rsid w:val="000656A1"/>
    <w:rsid w:val="000656D6"/>
    <w:rsid w:val="000656E4"/>
    <w:rsid w:val="0006578B"/>
    <w:rsid w:val="000657DC"/>
    <w:rsid w:val="00065815"/>
    <w:rsid w:val="0006593C"/>
    <w:rsid w:val="00065948"/>
    <w:rsid w:val="00065966"/>
    <w:rsid w:val="000659E0"/>
    <w:rsid w:val="000659E7"/>
    <w:rsid w:val="000659EF"/>
    <w:rsid w:val="00065A11"/>
    <w:rsid w:val="00065A4A"/>
    <w:rsid w:val="00065A5D"/>
    <w:rsid w:val="00065A72"/>
    <w:rsid w:val="00065B64"/>
    <w:rsid w:val="00065B76"/>
    <w:rsid w:val="00065BE0"/>
    <w:rsid w:val="00065CC4"/>
    <w:rsid w:val="00065D01"/>
    <w:rsid w:val="00065D25"/>
    <w:rsid w:val="00065D3C"/>
    <w:rsid w:val="00065D6F"/>
    <w:rsid w:val="00065D9A"/>
    <w:rsid w:val="00065DC8"/>
    <w:rsid w:val="00065DD0"/>
    <w:rsid w:val="00065DE4"/>
    <w:rsid w:val="00065E12"/>
    <w:rsid w:val="00065E47"/>
    <w:rsid w:val="00065EC3"/>
    <w:rsid w:val="00065F3B"/>
    <w:rsid w:val="00065F95"/>
    <w:rsid w:val="00065FA4"/>
    <w:rsid w:val="0006601E"/>
    <w:rsid w:val="00066151"/>
    <w:rsid w:val="00066159"/>
    <w:rsid w:val="00066163"/>
    <w:rsid w:val="00066235"/>
    <w:rsid w:val="0006627B"/>
    <w:rsid w:val="000662D6"/>
    <w:rsid w:val="00066302"/>
    <w:rsid w:val="00066322"/>
    <w:rsid w:val="0006632C"/>
    <w:rsid w:val="0006637E"/>
    <w:rsid w:val="000663AF"/>
    <w:rsid w:val="00066486"/>
    <w:rsid w:val="00066515"/>
    <w:rsid w:val="0006657B"/>
    <w:rsid w:val="000665E8"/>
    <w:rsid w:val="0006661B"/>
    <w:rsid w:val="00066674"/>
    <w:rsid w:val="0006667E"/>
    <w:rsid w:val="00066695"/>
    <w:rsid w:val="000666A2"/>
    <w:rsid w:val="00066743"/>
    <w:rsid w:val="0006675E"/>
    <w:rsid w:val="00066792"/>
    <w:rsid w:val="00066796"/>
    <w:rsid w:val="000667CF"/>
    <w:rsid w:val="000667D0"/>
    <w:rsid w:val="00066819"/>
    <w:rsid w:val="00066850"/>
    <w:rsid w:val="00066884"/>
    <w:rsid w:val="000668A1"/>
    <w:rsid w:val="000668DB"/>
    <w:rsid w:val="0006697B"/>
    <w:rsid w:val="0006698E"/>
    <w:rsid w:val="00066AA5"/>
    <w:rsid w:val="00066AB4"/>
    <w:rsid w:val="00066AFA"/>
    <w:rsid w:val="00066B2B"/>
    <w:rsid w:val="00066B2F"/>
    <w:rsid w:val="00066B72"/>
    <w:rsid w:val="00066BE5"/>
    <w:rsid w:val="00066C1A"/>
    <w:rsid w:val="00066C63"/>
    <w:rsid w:val="00066C8D"/>
    <w:rsid w:val="00066CFE"/>
    <w:rsid w:val="00066D21"/>
    <w:rsid w:val="00066D23"/>
    <w:rsid w:val="00066DFE"/>
    <w:rsid w:val="00066E07"/>
    <w:rsid w:val="00066E30"/>
    <w:rsid w:val="00066E63"/>
    <w:rsid w:val="00066E6C"/>
    <w:rsid w:val="00066E7C"/>
    <w:rsid w:val="00066E98"/>
    <w:rsid w:val="00066ED0"/>
    <w:rsid w:val="00066F8B"/>
    <w:rsid w:val="00066FDC"/>
    <w:rsid w:val="00066FF5"/>
    <w:rsid w:val="00067026"/>
    <w:rsid w:val="000670BB"/>
    <w:rsid w:val="0006715A"/>
    <w:rsid w:val="00067233"/>
    <w:rsid w:val="00067275"/>
    <w:rsid w:val="0006727B"/>
    <w:rsid w:val="00067290"/>
    <w:rsid w:val="000672D5"/>
    <w:rsid w:val="00067341"/>
    <w:rsid w:val="00067373"/>
    <w:rsid w:val="00067374"/>
    <w:rsid w:val="000674BB"/>
    <w:rsid w:val="000674DD"/>
    <w:rsid w:val="000674E7"/>
    <w:rsid w:val="000675A5"/>
    <w:rsid w:val="00067608"/>
    <w:rsid w:val="00067611"/>
    <w:rsid w:val="000676B5"/>
    <w:rsid w:val="000676D4"/>
    <w:rsid w:val="00067760"/>
    <w:rsid w:val="00067768"/>
    <w:rsid w:val="00067778"/>
    <w:rsid w:val="000677E7"/>
    <w:rsid w:val="0006780B"/>
    <w:rsid w:val="00067861"/>
    <w:rsid w:val="00067878"/>
    <w:rsid w:val="0006789B"/>
    <w:rsid w:val="00067A3F"/>
    <w:rsid w:val="00067A8F"/>
    <w:rsid w:val="00067AB2"/>
    <w:rsid w:val="00067ADD"/>
    <w:rsid w:val="00067B41"/>
    <w:rsid w:val="00067BDC"/>
    <w:rsid w:val="00067BE2"/>
    <w:rsid w:val="00067C84"/>
    <w:rsid w:val="00067CA0"/>
    <w:rsid w:val="00067CF5"/>
    <w:rsid w:val="00067D4F"/>
    <w:rsid w:val="00067D55"/>
    <w:rsid w:val="00067D82"/>
    <w:rsid w:val="00067D9C"/>
    <w:rsid w:val="00067DCA"/>
    <w:rsid w:val="00067E8C"/>
    <w:rsid w:val="00067F1B"/>
    <w:rsid w:val="00067F9A"/>
    <w:rsid w:val="00067FAA"/>
    <w:rsid w:val="00070178"/>
    <w:rsid w:val="000701A6"/>
    <w:rsid w:val="00070206"/>
    <w:rsid w:val="00070223"/>
    <w:rsid w:val="000702D4"/>
    <w:rsid w:val="00070320"/>
    <w:rsid w:val="00070355"/>
    <w:rsid w:val="0007037F"/>
    <w:rsid w:val="000703FB"/>
    <w:rsid w:val="00070403"/>
    <w:rsid w:val="00070434"/>
    <w:rsid w:val="00070452"/>
    <w:rsid w:val="0007045C"/>
    <w:rsid w:val="000704B0"/>
    <w:rsid w:val="000704E8"/>
    <w:rsid w:val="000704F8"/>
    <w:rsid w:val="000704FD"/>
    <w:rsid w:val="0007053C"/>
    <w:rsid w:val="000705A1"/>
    <w:rsid w:val="000705E0"/>
    <w:rsid w:val="00070607"/>
    <w:rsid w:val="00070681"/>
    <w:rsid w:val="000706CD"/>
    <w:rsid w:val="00070742"/>
    <w:rsid w:val="0007074D"/>
    <w:rsid w:val="00070765"/>
    <w:rsid w:val="00070767"/>
    <w:rsid w:val="00070814"/>
    <w:rsid w:val="0007083F"/>
    <w:rsid w:val="0007086E"/>
    <w:rsid w:val="00070877"/>
    <w:rsid w:val="000708E7"/>
    <w:rsid w:val="000708FA"/>
    <w:rsid w:val="00070974"/>
    <w:rsid w:val="000709B2"/>
    <w:rsid w:val="000709F2"/>
    <w:rsid w:val="00070A69"/>
    <w:rsid w:val="00070A98"/>
    <w:rsid w:val="00070AA1"/>
    <w:rsid w:val="00070AA7"/>
    <w:rsid w:val="00070AB8"/>
    <w:rsid w:val="00070B04"/>
    <w:rsid w:val="00070B5D"/>
    <w:rsid w:val="00070B6C"/>
    <w:rsid w:val="00070B75"/>
    <w:rsid w:val="00070C23"/>
    <w:rsid w:val="00070C5A"/>
    <w:rsid w:val="00070C93"/>
    <w:rsid w:val="00070C96"/>
    <w:rsid w:val="00070CDA"/>
    <w:rsid w:val="00070D77"/>
    <w:rsid w:val="00070E4E"/>
    <w:rsid w:val="00070EEE"/>
    <w:rsid w:val="00070F05"/>
    <w:rsid w:val="00070F75"/>
    <w:rsid w:val="00070F9D"/>
    <w:rsid w:val="0007101A"/>
    <w:rsid w:val="0007103A"/>
    <w:rsid w:val="0007103D"/>
    <w:rsid w:val="00071095"/>
    <w:rsid w:val="000710A7"/>
    <w:rsid w:val="000711C5"/>
    <w:rsid w:val="0007125E"/>
    <w:rsid w:val="000712DF"/>
    <w:rsid w:val="00071357"/>
    <w:rsid w:val="000713C9"/>
    <w:rsid w:val="0007145F"/>
    <w:rsid w:val="00071486"/>
    <w:rsid w:val="000715C3"/>
    <w:rsid w:val="000715F7"/>
    <w:rsid w:val="000716EA"/>
    <w:rsid w:val="00071703"/>
    <w:rsid w:val="000717A7"/>
    <w:rsid w:val="000717B7"/>
    <w:rsid w:val="000717EA"/>
    <w:rsid w:val="000717F3"/>
    <w:rsid w:val="0007186A"/>
    <w:rsid w:val="00071870"/>
    <w:rsid w:val="00071896"/>
    <w:rsid w:val="000718AF"/>
    <w:rsid w:val="000718D3"/>
    <w:rsid w:val="000718E8"/>
    <w:rsid w:val="0007199F"/>
    <w:rsid w:val="000719DE"/>
    <w:rsid w:val="000719E1"/>
    <w:rsid w:val="00071A2F"/>
    <w:rsid w:val="00071A4D"/>
    <w:rsid w:val="00071AE3"/>
    <w:rsid w:val="00071C7F"/>
    <w:rsid w:val="00071CAA"/>
    <w:rsid w:val="00071CBE"/>
    <w:rsid w:val="00071D2B"/>
    <w:rsid w:val="00071D7F"/>
    <w:rsid w:val="00071D93"/>
    <w:rsid w:val="00071E7D"/>
    <w:rsid w:val="00071E8F"/>
    <w:rsid w:val="00071EE4"/>
    <w:rsid w:val="00071F0C"/>
    <w:rsid w:val="00071FF3"/>
    <w:rsid w:val="00072007"/>
    <w:rsid w:val="00072010"/>
    <w:rsid w:val="000720EC"/>
    <w:rsid w:val="0007211E"/>
    <w:rsid w:val="00072142"/>
    <w:rsid w:val="0007215B"/>
    <w:rsid w:val="0007223C"/>
    <w:rsid w:val="00072259"/>
    <w:rsid w:val="00072274"/>
    <w:rsid w:val="000722CC"/>
    <w:rsid w:val="000722D2"/>
    <w:rsid w:val="0007245E"/>
    <w:rsid w:val="00072472"/>
    <w:rsid w:val="000724FD"/>
    <w:rsid w:val="0007251C"/>
    <w:rsid w:val="0007251D"/>
    <w:rsid w:val="0007254B"/>
    <w:rsid w:val="000725F6"/>
    <w:rsid w:val="00072628"/>
    <w:rsid w:val="000726F1"/>
    <w:rsid w:val="0007271C"/>
    <w:rsid w:val="00072743"/>
    <w:rsid w:val="00072788"/>
    <w:rsid w:val="000727BF"/>
    <w:rsid w:val="00072822"/>
    <w:rsid w:val="00072831"/>
    <w:rsid w:val="0007288E"/>
    <w:rsid w:val="000728E3"/>
    <w:rsid w:val="00072929"/>
    <w:rsid w:val="0007294B"/>
    <w:rsid w:val="000729C1"/>
    <w:rsid w:val="00072A26"/>
    <w:rsid w:val="00072A4D"/>
    <w:rsid w:val="00072A8B"/>
    <w:rsid w:val="00072AA4"/>
    <w:rsid w:val="00072AF6"/>
    <w:rsid w:val="00072BB0"/>
    <w:rsid w:val="00072BFA"/>
    <w:rsid w:val="00072C3A"/>
    <w:rsid w:val="00072C44"/>
    <w:rsid w:val="00072CBE"/>
    <w:rsid w:val="00072CC5"/>
    <w:rsid w:val="00072CCC"/>
    <w:rsid w:val="00072CE9"/>
    <w:rsid w:val="00072CFF"/>
    <w:rsid w:val="00072D27"/>
    <w:rsid w:val="00072D2F"/>
    <w:rsid w:val="00072D61"/>
    <w:rsid w:val="00072D6F"/>
    <w:rsid w:val="00072DB9"/>
    <w:rsid w:val="00072E23"/>
    <w:rsid w:val="00072E5B"/>
    <w:rsid w:val="00072EC2"/>
    <w:rsid w:val="00072F4D"/>
    <w:rsid w:val="00072F67"/>
    <w:rsid w:val="00072F83"/>
    <w:rsid w:val="00072F8E"/>
    <w:rsid w:val="00072FDC"/>
    <w:rsid w:val="00072FE9"/>
    <w:rsid w:val="0007300F"/>
    <w:rsid w:val="00073039"/>
    <w:rsid w:val="00073098"/>
    <w:rsid w:val="000730D3"/>
    <w:rsid w:val="000730E6"/>
    <w:rsid w:val="00073107"/>
    <w:rsid w:val="00073171"/>
    <w:rsid w:val="000731AB"/>
    <w:rsid w:val="000731AE"/>
    <w:rsid w:val="000731C5"/>
    <w:rsid w:val="000732BB"/>
    <w:rsid w:val="00073373"/>
    <w:rsid w:val="00073412"/>
    <w:rsid w:val="0007343A"/>
    <w:rsid w:val="000734D4"/>
    <w:rsid w:val="000734ED"/>
    <w:rsid w:val="00073500"/>
    <w:rsid w:val="000735AB"/>
    <w:rsid w:val="000735DD"/>
    <w:rsid w:val="000735EB"/>
    <w:rsid w:val="0007361F"/>
    <w:rsid w:val="00073699"/>
    <w:rsid w:val="000736A4"/>
    <w:rsid w:val="000737F5"/>
    <w:rsid w:val="00073859"/>
    <w:rsid w:val="000738D1"/>
    <w:rsid w:val="00073915"/>
    <w:rsid w:val="00073933"/>
    <w:rsid w:val="0007396A"/>
    <w:rsid w:val="000739B1"/>
    <w:rsid w:val="000739D6"/>
    <w:rsid w:val="00073A05"/>
    <w:rsid w:val="00073A1A"/>
    <w:rsid w:val="00073ABD"/>
    <w:rsid w:val="00073AE1"/>
    <w:rsid w:val="00073B01"/>
    <w:rsid w:val="00073B21"/>
    <w:rsid w:val="00073B95"/>
    <w:rsid w:val="00073BBA"/>
    <w:rsid w:val="00073D0C"/>
    <w:rsid w:val="00073D0D"/>
    <w:rsid w:val="00073DCC"/>
    <w:rsid w:val="00073E39"/>
    <w:rsid w:val="00073E85"/>
    <w:rsid w:val="00073EA5"/>
    <w:rsid w:val="00073F0D"/>
    <w:rsid w:val="00073F1E"/>
    <w:rsid w:val="00073F5F"/>
    <w:rsid w:val="00073FAF"/>
    <w:rsid w:val="00073FE8"/>
    <w:rsid w:val="0007407E"/>
    <w:rsid w:val="00074087"/>
    <w:rsid w:val="000740C4"/>
    <w:rsid w:val="00074166"/>
    <w:rsid w:val="0007418A"/>
    <w:rsid w:val="000741B8"/>
    <w:rsid w:val="000741C9"/>
    <w:rsid w:val="000742A4"/>
    <w:rsid w:val="000742CF"/>
    <w:rsid w:val="00074304"/>
    <w:rsid w:val="0007436E"/>
    <w:rsid w:val="000743D5"/>
    <w:rsid w:val="00074402"/>
    <w:rsid w:val="00074433"/>
    <w:rsid w:val="00074457"/>
    <w:rsid w:val="00074460"/>
    <w:rsid w:val="00074468"/>
    <w:rsid w:val="00074571"/>
    <w:rsid w:val="0007458F"/>
    <w:rsid w:val="00074597"/>
    <w:rsid w:val="00074699"/>
    <w:rsid w:val="000746F5"/>
    <w:rsid w:val="0007473A"/>
    <w:rsid w:val="00074777"/>
    <w:rsid w:val="000747DF"/>
    <w:rsid w:val="00074878"/>
    <w:rsid w:val="000748B1"/>
    <w:rsid w:val="000748BB"/>
    <w:rsid w:val="000748EB"/>
    <w:rsid w:val="000748EC"/>
    <w:rsid w:val="000749A5"/>
    <w:rsid w:val="000749E8"/>
    <w:rsid w:val="000749FA"/>
    <w:rsid w:val="00074A01"/>
    <w:rsid w:val="00074A82"/>
    <w:rsid w:val="00074A8B"/>
    <w:rsid w:val="00074ABE"/>
    <w:rsid w:val="00074B13"/>
    <w:rsid w:val="00074B69"/>
    <w:rsid w:val="00074B9E"/>
    <w:rsid w:val="00074C0E"/>
    <w:rsid w:val="00074C2D"/>
    <w:rsid w:val="00074CD6"/>
    <w:rsid w:val="00074CEF"/>
    <w:rsid w:val="00074D6A"/>
    <w:rsid w:val="00074D97"/>
    <w:rsid w:val="00074E11"/>
    <w:rsid w:val="00074E28"/>
    <w:rsid w:val="00074E36"/>
    <w:rsid w:val="00074E41"/>
    <w:rsid w:val="00074F4C"/>
    <w:rsid w:val="00074F8D"/>
    <w:rsid w:val="00074F99"/>
    <w:rsid w:val="00074FE6"/>
    <w:rsid w:val="0007502D"/>
    <w:rsid w:val="00075080"/>
    <w:rsid w:val="0007508D"/>
    <w:rsid w:val="000750DE"/>
    <w:rsid w:val="0007511D"/>
    <w:rsid w:val="00075137"/>
    <w:rsid w:val="000751AD"/>
    <w:rsid w:val="000751D2"/>
    <w:rsid w:val="0007521B"/>
    <w:rsid w:val="00075260"/>
    <w:rsid w:val="00075298"/>
    <w:rsid w:val="00075351"/>
    <w:rsid w:val="0007536F"/>
    <w:rsid w:val="000753CB"/>
    <w:rsid w:val="000753CE"/>
    <w:rsid w:val="000753DF"/>
    <w:rsid w:val="0007542E"/>
    <w:rsid w:val="0007544B"/>
    <w:rsid w:val="00075465"/>
    <w:rsid w:val="000754F4"/>
    <w:rsid w:val="00075553"/>
    <w:rsid w:val="000755A3"/>
    <w:rsid w:val="000755A4"/>
    <w:rsid w:val="000755B7"/>
    <w:rsid w:val="0007561C"/>
    <w:rsid w:val="00075647"/>
    <w:rsid w:val="00075680"/>
    <w:rsid w:val="0007570C"/>
    <w:rsid w:val="00075748"/>
    <w:rsid w:val="000757BB"/>
    <w:rsid w:val="00075829"/>
    <w:rsid w:val="0007587F"/>
    <w:rsid w:val="00075920"/>
    <w:rsid w:val="0007595D"/>
    <w:rsid w:val="00075A2F"/>
    <w:rsid w:val="00075A65"/>
    <w:rsid w:val="00075A79"/>
    <w:rsid w:val="00075AE1"/>
    <w:rsid w:val="00075BC1"/>
    <w:rsid w:val="00075BE8"/>
    <w:rsid w:val="00075C43"/>
    <w:rsid w:val="00075CEC"/>
    <w:rsid w:val="00075D5A"/>
    <w:rsid w:val="00075DDC"/>
    <w:rsid w:val="00075EAE"/>
    <w:rsid w:val="00075EB8"/>
    <w:rsid w:val="00075EC8"/>
    <w:rsid w:val="00075F00"/>
    <w:rsid w:val="00075F3D"/>
    <w:rsid w:val="0007600E"/>
    <w:rsid w:val="00076085"/>
    <w:rsid w:val="00076092"/>
    <w:rsid w:val="000760B2"/>
    <w:rsid w:val="00076123"/>
    <w:rsid w:val="00076130"/>
    <w:rsid w:val="00076132"/>
    <w:rsid w:val="0007613D"/>
    <w:rsid w:val="00076153"/>
    <w:rsid w:val="000761DC"/>
    <w:rsid w:val="000761E4"/>
    <w:rsid w:val="00076244"/>
    <w:rsid w:val="0007626B"/>
    <w:rsid w:val="00076297"/>
    <w:rsid w:val="000762AB"/>
    <w:rsid w:val="00076366"/>
    <w:rsid w:val="0007637B"/>
    <w:rsid w:val="00076388"/>
    <w:rsid w:val="000763AD"/>
    <w:rsid w:val="000763E5"/>
    <w:rsid w:val="000764C5"/>
    <w:rsid w:val="000764CC"/>
    <w:rsid w:val="000764F8"/>
    <w:rsid w:val="00076536"/>
    <w:rsid w:val="00076543"/>
    <w:rsid w:val="00076582"/>
    <w:rsid w:val="00076590"/>
    <w:rsid w:val="000765CE"/>
    <w:rsid w:val="000765F2"/>
    <w:rsid w:val="00076632"/>
    <w:rsid w:val="0007667F"/>
    <w:rsid w:val="000766F8"/>
    <w:rsid w:val="00076774"/>
    <w:rsid w:val="000767CF"/>
    <w:rsid w:val="0007682D"/>
    <w:rsid w:val="0007693B"/>
    <w:rsid w:val="00076991"/>
    <w:rsid w:val="00076995"/>
    <w:rsid w:val="00076A2E"/>
    <w:rsid w:val="00076A67"/>
    <w:rsid w:val="00076A75"/>
    <w:rsid w:val="00076ABE"/>
    <w:rsid w:val="00076AE4"/>
    <w:rsid w:val="00076B2F"/>
    <w:rsid w:val="00076B5B"/>
    <w:rsid w:val="00076B85"/>
    <w:rsid w:val="00076BAE"/>
    <w:rsid w:val="00076BE5"/>
    <w:rsid w:val="00076BED"/>
    <w:rsid w:val="00076CCB"/>
    <w:rsid w:val="00076E3A"/>
    <w:rsid w:val="00076E95"/>
    <w:rsid w:val="00076F15"/>
    <w:rsid w:val="00076F71"/>
    <w:rsid w:val="00076FF4"/>
    <w:rsid w:val="00077070"/>
    <w:rsid w:val="000770ED"/>
    <w:rsid w:val="0007710C"/>
    <w:rsid w:val="0007719F"/>
    <w:rsid w:val="00077207"/>
    <w:rsid w:val="00077212"/>
    <w:rsid w:val="0007727A"/>
    <w:rsid w:val="000772B6"/>
    <w:rsid w:val="000772D6"/>
    <w:rsid w:val="000772E9"/>
    <w:rsid w:val="0007734E"/>
    <w:rsid w:val="00077378"/>
    <w:rsid w:val="0007739B"/>
    <w:rsid w:val="000773BA"/>
    <w:rsid w:val="000773D9"/>
    <w:rsid w:val="00077422"/>
    <w:rsid w:val="00077423"/>
    <w:rsid w:val="0007742F"/>
    <w:rsid w:val="00077494"/>
    <w:rsid w:val="000774BF"/>
    <w:rsid w:val="000774F0"/>
    <w:rsid w:val="0007750A"/>
    <w:rsid w:val="0007754B"/>
    <w:rsid w:val="0007762D"/>
    <w:rsid w:val="0007765A"/>
    <w:rsid w:val="0007776C"/>
    <w:rsid w:val="000777C7"/>
    <w:rsid w:val="000777D5"/>
    <w:rsid w:val="000777DA"/>
    <w:rsid w:val="00077811"/>
    <w:rsid w:val="0007789A"/>
    <w:rsid w:val="000778B0"/>
    <w:rsid w:val="000778B5"/>
    <w:rsid w:val="00077902"/>
    <w:rsid w:val="0007791D"/>
    <w:rsid w:val="0007792B"/>
    <w:rsid w:val="00077938"/>
    <w:rsid w:val="00077991"/>
    <w:rsid w:val="000779A0"/>
    <w:rsid w:val="000779B9"/>
    <w:rsid w:val="000779F5"/>
    <w:rsid w:val="00077A01"/>
    <w:rsid w:val="00077A22"/>
    <w:rsid w:val="00077A98"/>
    <w:rsid w:val="00077ADF"/>
    <w:rsid w:val="00077B03"/>
    <w:rsid w:val="00077B5E"/>
    <w:rsid w:val="00077BB7"/>
    <w:rsid w:val="00077BC3"/>
    <w:rsid w:val="00077C1E"/>
    <w:rsid w:val="00077C71"/>
    <w:rsid w:val="00077C72"/>
    <w:rsid w:val="00077C8C"/>
    <w:rsid w:val="00077D0D"/>
    <w:rsid w:val="00077DBC"/>
    <w:rsid w:val="00077DDB"/>
    <w:rsid w:val="00077E0B"/>
    <w:rsid w:val="00077E1E"/>
    <w:rsid w:val="00077EFE"/>
    <w:rsid w:val="00077F5F"/>
    <w:rsid w:val="00077FFC"/>
    <w:rsid w:val="0008002F"/>
    <w:rsid w:val="0008006D"/>
    <w:rsid w:val="00080140"/>
    <w:rsid w:val="00080173"/>
    <w:rsid w:val="000801F3"/>
    <w:rsid w:val="0008022E"/>
    <w:rsid w:val="00080284"/>
    <w:rsid w:val="00080285"/>
    <w:rsid w:val="000802D6"/>
    <w:rsid w:val="00080316"/>
    <w:rsid w:val="00080344"/>
    <w:rsid w:val="0008034B"/>
    <w:rsid w:val="00080397"/>
    <w:rsid w:val="000804A3"/>
    <w:rsid w:val="000804EA"/>
    <w:rsid w:val="000805F3"/>
    <w:rsid w:val="00080608"/>
    <w:rsid w:val="0008070B"/>
    <w:rsid w:val="00080752"/>
    <w:rsid w:val="00080768"/>
    <w:rsid w:val="00080848"/>
    <w:rsid w:val="0008086B"/>
    <w:rsid w:val="000809F8"/>
    <w:rsid w:val="00080A1D"/>
    <w:rsid w:val="00080A4E"/>
    <w:rsid w:val="00080AB6"/>
    <w:rsid w:val="00080AC1"/>
    <w:rsid w:val="00080AF6"/>
    <w:rsid w:val="00080B3E"/>
    <w:rsid w:val="00080B66"/>
    <w:rsid w:val="00080BD4"/>
    <w:rsid w:val="00080BD5"/>
    <w:rsid w:val="00080BF0"/>
    <w:rsid w:val="00080CAD"/>
    <w:rsid w:val="00080DDD"/>
    <w:rsid w:val="00080DEF"/>
    <w:rsid w:val="00080E67"/>
    <w:rsid w:val="00080EC4"/>
    <w:rsid w:val="00080ED7"/>
    <w:rsid w:val="00080F4A"/>
    <w:rsid w:val="00080F77"/>
    <w:rsid w:val="00080F9E"/>
    <w:rsid w:val="00080FA8"/>
    <w:rsid w:val="0008102E"/>
    <w:rsid w:val="00081063"/>
    <w:rsid w:val="00081074"/>
    <w:rsid w:val="000810B8"/>
    <w:rsid w:val="0008111C"/>
    <w:rsid w:val="0008111F"/>
    <w:rsid w:val="000811E6"/>
    <w:rsid w:val="000811F3"/>
    <w:rsid w:val="000811F8"/>
    <w:rsid w:val="0008124B"/>
    <w:rsid w:val="00081371"/>
    <w:rsid w:val="00081372"/>
    <w:rsid w:val="0008142A"/>
    <w:rsid w:val="0008144B"/>
    <w:rsid w:val="00081579"/>
    <w:rsid w:val="000815B9"/>
    <w:rsid w:val="00081638"/>
    <w:rsid w:val="00081695"/>
    <w:rsid w:val="000817A5"/>
    <w:rsid w:val="0008185E"/>
    <w:rsid w:val="00081879"/>
    <w:rsid w:val="0008195C"/>
    <w:rsid w:val="00081961"/>
    <w:rsid w:val="000819D2"/>
    <w:rsid w:val="000819FB"/>
    <w:rsid w:val="00081B06"/>
    <w:rsid w:val="00081B5C"/>
    <w:rsid w:val="00081B6D"/>
    <w:rsid w:val="00081B74"/>
    <w:rsid w:val="00081C10"/>
    <w:rsid w:val="00081C3D"/>
    <w:rsid w:val="00081CC4"/>
    <w:rsid w:val="00081CC6"/>
    <w:rsid w:val="00081D02"/>
    <w:rsid w:val="00081D12"/>
    <w:rsid w:val="00081D22"/>
    <w:rsid w:val="00081D42"/>
    <w:rsid w:val="00081DC7"/>
    <w:rsid w:val="00081E3F"/>
    <w:rsid w:val="00081E45"/>
    <w:rsid w:val="00081E81"/>
    <w:rsid w:val="00081EA6"/>
    <w:rsid w:val="00081F37"/>
    <w:rsid w:val="00081F95"/>
    <w:rsid w:val="00082001"/>
    <w:rsid w:val="00082043"/>
    <w:rsid w:val="0008211D"/>
    <w:rsid w:val="0008212A"/>
    <w:rsid w:val="000821AD"/>
    <w:rsid w:val="000821F8"/>
    <w:rsid w:val="0008221A"/>
    <w:rsid w:val="0008221C"/>
    <w:rsid w:val="000822AF"/>
    <w:rsid w:val="000822FF"/>
    <w:rsid w:val="0008231D"/>
    <w:rsid w:val="00082324"/>
    <w:rsid w:val="00082387"/>
    <w:rsid w:val="000823BB"/>
    <w:rsid w:val="000823D1"/>
    <w:rsid w:val="0008245C"/>
    <w:rsid w:val="0008246A"/>
    <w:rsid w:val="0008248B"/>
    <w:rsid w:val="0008248C"/>
    <w:rsid w:val="00082532"/>
    <w:rsid w:val="000825C6"/>
    <w:rsid w:val="000825DE"/>
    <w:rsid w:val="000825FC"/>
    <w:rsid w:val="0008260B"/>
    <w:rsid w:val="00082657"/>
    <w:rsid w:val="0008269F"/>
    <w:rsid w:val="000826B4"/>
    <w:rsid w:val="000826B5"/>
    <w:rsid w:val="0008276B"/>
    <w:rsid w:val="00082800"/>
    <w:rsid w:val="0008282F"/>
    <w:rsid w:val="00082849"/>
    <w:rsid w:val="0008285C"/>
    <w:rsid w:val="00082863"/>
    <w:rsid w:val="00082872"/>
    <w:rsid w:val="000828A3"/>
    <w:rsid w:val="0008299F"/>
    <w:rsid w:val="000829E7"/>
    <w:rsid w:val="00082A0F"/>
    <w:rsid w:val="00082A3C"/>
    <w:rsid w:val="00082A84"/>
    <w:rsid w:val="00082AA6"/>
    <w:rsid w:val="00082AB3"/>
    <w:rsid w:val="00082B48"/>
    <w:rsid w:val="00082B5B"/>
    <w:rsid w:val="00082B8A"/>
    <w:rsid w:val="00082B8B"/>
    <w:rsid w:val="00082C8E"/>
    <w:rsid w:val="00082D1B"/>
    <w:rsid w:val="00082D2D"/>
    <w:rsid w:val="00082D59"/>
    <w:rsid w:val="00082D6B"/>
    <w:rsid w:val="00082D8F"/>
    <w:rsid w:val="00082D9D"/>
    <w:rsid w:val="00082DF0"/>
    <w:rsid w:val="00082DF3"/>
    <w:rsid w:val="00082F80"/>
    <w:rsid w:val="00082F91"/>
    <w:rsid w:val="00082FA4"/>
    <w:rsid w:val="00083035"/>
    <w:rsid w:val="000830E4"/>
    <w:rsid w:val="000830E8"/>
    <w:rsid w:val="000830F4"/>
    <w:rsid w:val="0008310B"/>
    <w:rsid w:val="00083171"/>
    <w:rsid w:val="00083330"/>
    <w:rsid w:val="00083413"/>
    <w:rsid w:val="00083457"/>
    <w:rsid w:val="0008353F"/>
    <w:rsid w:val="00083612"/>
    <w:rsid w:val="0008366B"/>
    <w:rsid w:val="00083697"/>
    <w:rsid w:val="000836A5"/>
    <w:rsid w:val="000836AD"/>
    <w:rsid w:val="00083714"/>
    <w:rsid w:val="00083729"/>
    <w:rsid w:val="0008372C"/>
    <w:rsid w:val="000837E6"/>
    <w:rsid w:val="00083815"/>
    <w:rsid w:val="00083831"/>
    <w:rsid w:val="00083872"/>
    <w:rsid w:val="0008392A"/>
    <w:rsid w:val="0008392D"/>
    <w:rsid w:val="0008393D"/>
    <w:rsid w:val="00083971"/>
    <w:rsid w:val="0008398D"/>
    <w:rsid w:val="000839DE"/>
    <w:rsid w:val="00083AD9"/>
    <w:rsid w:val="00083ADC"/>
    <w:rsid w:val="00083B45"/>
    <w:rsid w:val="00083B5A"/>
    <w:rsid w:val="00083B98"/>
    <w:rsid w:val="00083BBF"/>
    <w:rsid w:val="00083BEE"/>
    <w:rsid w:val="00083CBE"/>
    <w:rsid w:val="00083CDA"/>
    <w:rsid w:val="00083DF3"/>
    <w:rsid w:val="00083E03"/>
    <w:rsid w:val="00083E08"/>
    <w:rsid w:val="00083E4E"/>
    <w:rsid w:val="00083EAF"/>
    <w:rsid w:val="00083EB8"/>
    <w:rsid w:val="0008406B"/>
    <w:rsid w:val="0008407D"/>
    <w:rsid w:val="000840C8"/>
    <w:rsid w:val="000840E2"/>
    <w:rsid w:val="00084133"/>
    <w:rsid w:val="0008419C"/>
    <w:rsid w:val="00084240"/>
    <w:rsid w:val="0008425E"/>
    <w:rsid w:val="00084260"/>
    <w:rsid w:val="00084284"/>
    <w:rsid w:val="000842B2"/>
    <w:rsid w:val="00084321"/>
    <w:rsid w:val="0008435B"/>
    <w:rsid w:val="00084376"/>
    <w:rsid w:val="000844AA"/>
    <w:rsid w:val="000844BD"/>
    <w:rsid w:val="00084578"/>
    <w:rsid w:val="00084595"/>
    <w:rsid w:val="000845E1"/>
    <w:rsid w:val="000845E8"/>
    <w:rsid w:val="00084615"/>
    <w:rsid w:val="00084672"/>
    <w:rsid w:val="0008467A"/>
    <w:rsid w:val="00084764"/>
    <w:rsid w:val="000847F6"/>
    <w:rsid w:val="00084873"/>
    <w:rsid w:val="0008487A"/>
    <w:rsid w:val="000848C8"/>
    <w:rsid w:val="0008493C"/>
    <w:rsid w:val="00084994"/>
    <w:rsid w:val="000849C9"/>
    <w:rsid w:val="00084B0D"/>
    <w:rsid w:val="00084BB1"/>
    <w:rsid w:val="00084BEF"/>
    <w:rsid w:val="00084CC9"/>
    <w:rsid w:val="00084CE8"/>
    <w:rsid w:val="00084D0A"/>
    <w:rsid w:val="00084D8B"/>
    <w:rsid w:val="00084DEF"/>
    <w:rsid w:val="00084E7C"/>
    <w:rsid w:val="00084EB3"/>
    <w:rsid w:val="00084EC6"/>
    <w:rsid w:val="00084F3D"/>
    <w:rsid w:val="00085030"/>
    <w:rsid w:val="0008503D"/>
    <w:rsid w:val="000850BC"/>
    <w:rsid w:val="000850E5"/>
    <w:rsid w:val="0008510E"/>
    <w:rsid w:val="0008511B"/>
    <w:rsid w:val="00085157"/>
    <w:rsid w:val="00085165"/>
    <w:rsid w:val="00085166"/>
    <w:rsid w:val="0008516B"/>
    <w:rsid w:val="0008517A"/>
    <w:rsid w:val="00085293"/>
    <w:rsid w:val="00085376"/>
    <w:rsid w:val="0008538C"/>
    <w:rsid w:val="000854EB"/>
    <w:rsid w:val="0008552B"/>
    <w:rsid w:val="0008554E"/>
    <w:rsid w:val="00085557"/>
    <w:rsid w:val="0008555F"/>
    <w:rsid w:val="00085574"/>
    <w:rsid w:val="00085581"/>
    <w:rsid w:val="000855D2"/>
    <w:rsid w:val="000856BE"/>
    <w:rsid w:val="00085776"/>
    <w:rsid w:val="0008588D"/>
    <w:rsid w:val="000858BB"/>
    <w:rsid w:val="00085A1F"/>
    <w:rsid w:val="00085B0A"/>
    <w:rsid w:val="00085B11"/>
    <w:rsid w:val="00085BFB"/>
    <w:rsid w:val="00085C9D"/>
    <w:rsid w:val="00085D41"/>
    <w:rsid w:val="00085D68"/>
    <w:rsid w:val="00085D81"/>
    <w:rsid w:val="00085D94"/>
    <w:rsid w:val="00085D9E"/>
    <w:rsid w:val="00085E22"/>
    <w:rsid w:val="00085E7B"/>
    <w:rsid w:val="00085E7C"/>
    <w:rsid w:val="00085ED2"/>
    <w:rsid w:val="00085F05"/>
    <w:rsid w:val="00085F28"/>
    <w:rsid w:val="00085F53"/>
    <w:rsid w:val="00085F79"/>
    <w:rsid w:val="00086036"/>
    <w:rsid w:val="00086146"/>
    <w:rsid w:val="0008616D"/>
    <w:rsid w:val="00086183"/>
    <w:rsid w:val="000861D7"/>
    <w:rsid w:val="000861E8"/>
    <w:rsid w:val="00086208"/>
    <w:rsid w:val="0008620A"/>
    <w:rsid w:val="00086217"/>
    <w:rsid w:val="0008623E"/>
    <w:rsid w:val="00086337"/>
    <w:rsid w:val="00086477"/>
    <w:rsid w:val="000864AB"/>
    <w:rsid w:val="00086578"/>
    <w:rsid w:val="00086663"/>
    <w:rsid w:val="000866BE"/>
    <w:rsid w:val="000866FD"/>
    <w:rsid w:val="000867C4"/>
    <w:rsid w:val="000867D7"/>
    <w:rsid w:val="00086821"/>
    <w:rsid w:val="000868C5"/>
    <w:rsid w:val="0008692C"/>
    <w:rsid w:val="0008696B"/>
    <w:rsid w:val="00086A0C"/>
    <w:rsid w:val="00086B00"/>
    <w:rsid w:val="00086B85"/>
    <w:rsid w:val="00086C08"/>
    <w:rsid w:val="00086C2E"/>
    <w:rsid w:val="00086CC7"/>
    <w:rsid w:val="00086D4C"/>
    <w:rsid w:val="00086D88"/>
    <w:rsid w:val="00086DA7"/>
    <w:rsid w:val="00086E0E"/>
    <w:rsid w:val="00086E86"/>
    <w:rsid w:val="00086F1C"/>
    <w:rsid w:val="00086F28"/>
    <w:rsid w:val="00086F3B"/>
    <w:rsid w:val="00086FF3"/>
    <w:rsid w:val="0008705C"/>
    <w:rsid w:val="00087105"/>
    <w:rsid w:val="00087168"/>
    <w:rsid w:val="000871D1"/>
    <w:rsid w:val="000871E2"/>
    <w:rsid w:val="0008720B"/>
    <w:rsid w:val="0008728C"/>
    <w:rsid w:val="00087300"/>
    <w:rsid w:val="00087327"/>
    <w:rsid w:val="00087368"/>
    <w:rsid w:val="00087392"/>
    <w:rsid w:val="000873EE"/>
    <w:rsid w:val="00087405"/>
    <w:rsid w:val="00087418"/>
    <w:rsid w:val="00087465"/>
    <w:rsid w:val="00087492"/>
    <w:rsid w:val="00087498"/>
    <w:rsid w:val="00087500"/>
    <w:rsid w:val="00087538"/>
    <w:rsid w:val="0008755E"/>
    <w:rsid w:val="0008756C"/>
    <w:rsid w:val="000875C8"/>
    <w:rsid w:val="000875DB"/>
    <w:rsid w:val="000876A0"/>
    <w:rsid w:val="000876D5"/>
    <w:rsid w:val="000876DF"/>
    <w:rsid w:val="00087745"/>
    <w:rsid w:val="000877BE"/>
    <w:rsid w:val="000877DC"/>
    <w:rsid w:val="000877E4"/>
    <w:rsid w:val="00087821"/>
    <w:rsid w:val="00087855"/>
    <w:rsid w:val="000878C8"/>
    <w:rsid w:val="000878CA"/>
    <w:rsid w:val="000879F5"/>
    <w:rsid w:val="00087A13"/>
    <w:rsid w:val="00087AAF"/>
    <w:rsid w:val="00087C6F"/>
    <w:rsid w:val="00087C88"/>
    <w:rsid w:val="00087C8E"/>
    <w:rsid w:val="00087CDD"/>
    <w:rsid w:val="00087D88"/>
    <w:rsid w:val="00087DCC"/>
    <w:rsid w:val="00087E1E"/>
    <w:rsid w:val="00087E4A"/>
    <w:rsid w:val="00087E8E"/>
    <w:rsid w:val="00087EC5"/>
    <w:rsid w:val="00087FBB"/>
    <w:rsid w:val="00090002"/>
    <w:rsid w:val="00090005"/>
    <w:rsid w:val="00090013"/>
    <w:rsid w:val="000900FA"/>
    <w:rsid w:val="0009011D"/>
    <w:rsid w:val="000901C8"/>
    <w:rsid w:val="00090217"/>
    <w:rsid w:val="000902F2"/>
    <w:rsid w:val="000902FC"/>
    <w:rsid w:val="0009033E"/>
    <w:rsid w:val="00090342"/>
    <w:rsid w:val="000903A1"/>
    <w:rsid w:val="000903C4"/>
    <w:rsid w:val="00090413"/>
    <w:rsid w:val="0009041E"/>
    <w:rsid w:val="00090461"/>
    <w:rsid w:val="0009046D"/>
    <w:rsid w:val="00090558"/>
    <w:rsid w:val="00090583"/>
    <w:rsid w:val="000905CB"/>
    <w:rsid w:val="000905CF"/>
    <w:rsid w:val="0009073E"/>
    <w:rsid w:val="00090812"/>
    <w:rsid w:val="00090843"/>
    <w:rsid w:val="00090909"/>
    <w:rsid w:val="000909A4"/>
    <w:rsid w:val="000909E3"/>
    <w:rsid w:val="00090A04"/>
    <w:rsid w:val="00090ABD"/>
    <w:rsid w:val="00090AEB"/>
    <w:rsid w:val="00090B11"/>
    <w:rsid w:val="00090B2D"/>
    <w:rsid w:val="00090B90"/>
    <w:rsid w:val="00090BF5"/>
    <w:rsid w:val="00090C07"/>
    <w:rsid w:val="00090C54"/>
    <w:rsid w:val="00090CB1"/>
    <w:rsid w:val="00090CB7"/>
    <w:rsid w:val="00090D07"/>
    <w:rsid w:val="00090D19"/>
    <w:rsid w:val="00090D22"/>
    <w:rsid w:val="00090D7C"/>
    <w:rsid w:val="00090D7E"/>
    <w:rsid w:val="00090D8B"/>
    <w:rsid w:val="00090DD2"/>
    <w:rsid w:val="00090DE4"/>
    <w:rsid w:val="00090DE6"/>
    <w:rsid w:val="00090E50"/>
    <w:rsid w:val="00090ECF"/>
    <w:rsid w:val="00090EFA"/>
    <w:rsid w:val="00090FA5"/>
    <w:rsid w:val="0009106C"/>
    <w:rsid w:val="00091176"/>
    <w:rsid w:val="0009130F"/>
    <w:rsid w:val="0009131B"/>
    <w:rsid w:val="00091323"/>
    <w:rsid w:val="00091329"/>
    <w:rsid w:val="00091381"/>
    <w:rsid w:val="000913A1"/>
    <w:rsid w:val="000913C2"/>
    <w:rsid w:val="000913EC"/>
    <w:rsid w:val="00091490"/>
    <w:rsid w:val="000915AB"/>
    <w:rsid w:val="000915D1"/>
    <w:rsid w:val="00091722"/>
    <w:rsid w:val="00091734"/>
    <w:rsid w:val="00091745"/>
    <w:rsid w:val="00091752"/>
    <w:rsid w:val="00091786"/>
    <w:rsid w:val="0009183F"/>
    <w:rsid w:val="00091844"/>
    <w:rsid w:val="0009184E"/>
    <w:rsid w:val="0009186E"/>
    <w:rsid w:val="0009188D"/>
    <w:rsid w:val="000918A7"/>
    <w:rsid w:val="000918C7"/>
    <w:rsid w:val="000918D0"/>
    <w:rsid w:val="000918DB"/>
    <w:rsid w:val="00091AA3"/>
    <w:rsid w:val="00091B0E"/>
    <w:rsid w:val="00091B20"/>
    <w:rsid w:val="00091B60"/>
    <w:rsid w:val="00091BD7"/>
    <w:rsid w:val="00091C89"/>
    <w:rsid w:val="00091CD1"/>
    <w:rsid w:val="00091D27"/>
    <w:rsid w:val="00091DE4"/>
    <w:rsid w:val="00091E30"/>
    <w:rsid w:val="00091E4D"/>
    <w:rsid w:val="00091E66"/>
    <w:rsid w:val="00091EB7"/>
    <w:rsid w:val="00091ED2"/>
    <w:rsid w:val="00091EE7"/>
    <w:rsid w:val="00091FA5"/>
    <w:rsid w:val="00091FC2"/>
    <w:rsid w:val="000920A7"/>
    <w:rsid w:val="000920B9"/>
    <w:rsid w:val="00092117"/>
    <w:rsid w:val="0009211B"/>
    <w:rsid w:val="00092195"/>
    <w:rsid w:val="000921AC"/>
    <w:rsid w:val="00092256"/>
    <w:rsid w:val="00092258"/>
    <w:rsid w:val="000922A2"/>
    <w:rsid w:val="000922AA"/>
    <w:rsid w:val="000922D5"/>
    <w:rsid w:val="000922EC"/>
    <w:rsid w:val="000922FB"/>
    <w:rsid w:val="00092318"/>
    <w:rsid w:val="00092330"/>
    <w:rsid w:val="00092376"/>
    <w:rsid w:val="0009237B"/>
    <w:rsid w:val="0009238E"/>
    <w:rsid w:val="00092489"/>
    <w:rsid w:val="000924C9"/>
    <w:rsid w:val="00092534"/>
    <w:rsid w:val="0009257F"/>
    <w:rsid w:val="000925F8"/>
    <w:rsid w:val="00092622"/>
    <w:rsid w:val="00092651"/>
    <w:rsid w:val="000926A2"/>
    <w:rsid w:val="00092730"/>
    <w:rsid w:val="00092734"/>
    <w:rsid w:val="000927A6"/>
    <w:rsid w:val="000927D8"/>
    <w:rsid w:val="00092807"/>
    <w:rsid w:val="000928AF"/>
    <w:rsid w:val="0009299D"/>
    <w:rsid w:val="00092A39"/>
    <w:rsid w:val="00092ABA"/>
    <w:rsid w:val="00092AF0"/>
    <w:rsid w:val="00092B0C"/>
    <w:rsid w:val="00092B64"/>
    <w:rsid w:val="00092BC4"/>
    <w:rsid w:val="00092BC8"/>
    <w:rsid w:val="00092BDB"/>
    <w:rsid w:val="00092BE5"/>
    <w:rsid w:val="00092CF2"/>
    <w:rsid w:val="00092DA4"/>
    <w:rsid w:val="00092DC4"/>
    <w:rsid w:val="00092DDB"/>
    <w:rsid w:val="00092E34"/>
    <w:rsid w:val="00092E8A"/>
    <w:rsid w:val="00092EE1"/>
    <w:rsid w:val="00092F27"/>
    <w:rsid w:val="00093018"/>
    <w:rsid w:val="00093101"/>
    <w:rsid w:val="00093108"/>
    <w:rsid w:val="00093110"/>
    <w:rsid w:val="00093194"/>
    <w:rsid w:val="00093209"/>
    <w:rsid w:val="0009320C"/>
    <w:rsid w:val="00093259"/>
    <w:rsid w:val="0009329D"/>
    <w:rsid w:val="0009336E"/>
    <w:rsid w:val="000933B5"/>
    <w:rsid w:val="000933E7"/>
    <w:rsid w:val="00093415"/>
    <w:rsid w:val="000934CD"/>
    <w:rsid w:val="0009352F"/>
    <w:rsid w:val="0009354C"/>
    <w:rsid w:val="0009355E"/>
    <w:rsid w:val="000935BE"/>
    <w:rsid w:val="00093605"/>
    <w:rsid w:val="00093640"/>
    <w:rsid w:val="00093664"/>
    <w:rsid w:val="000936A4"/>
    <w:rsid w:val="000936B8"/>
    <w:rsid w:val="000936E8"/>
    <w:rsid w:val="000936EB"/>
    <w:rsid w:val="000936EC"/>
    <w:rsid w:val="00093720"/>
    <w:rsid w:val="000937C5"/>
    <w:rsid w:val="00093812"/>
    <w:rsid w:val="0009381E"/>
    <w:rsid w:val="000938A8"/>
    <w:rsid w:val="000938DA"/>
    <w:rsid w:val="00093967"/>
    <w:rsid w:val="000939EA"/>
    <w:rsid w:val="000939EE"/>
    <w:rsid w:val="00093A87"/>
    <w:rsid w:val="00093AEB"/>
    <w:rsid w:val="00093BFC"/>
    <w:rsid w:val="00093CAF"/>
    <w:rsid w:val="00093CB0"/>
    <w:rsid w:val="00093D19"/>
    <w:rsid w:val="00093D83"/>
    <w:rsid w:val="00093DE2"/>
    <w:rsid w:val="00093E53"/>
    <w:rsid w:val="00093EAB"/>
    <w:rsid w:val="00093EE7"/>
    <w:rsid w:val="00093F11"/>
    <w:rsid w:val="00093FB2"/>
    <w:rsid w:val="00094007"/>
    <w:rsid w:val="0009401B"/>
    <w:rsid w:val="0009409E"/>
    <w:rsid w:val="0009413E"/>
    <w:rsid w:val="000941E1"/>
    <w:rsid w:val="00094237"/>
    <w:rsid w:val="0009424B"/>
    <w:rsid w:val="00094259"/>
    <w:rsid w:val="000942B3"/>
    <w:rsid w:val="000942C6"/>
    <w:rsid w:val="0009439F"/>
    <w:rsid w:val="000943A7"/>
    <w:rsid w:val="000943CE"/>
    <w:rsid w:val="000943F8"/>
    <w:rsid w:val="00094415"/>
    <w:rsid w:val="000944B1"/>
    <w:rsid w:val="00094577"/>
    <w:rsid w:val="0009465C"/>
    <w:rsid w:val="000946CC"/>
    <w:rsid w:val="0009473E"/>
    <w:rsid w:val="000947BE"/>
    <w:rsid w:val="00094955"/>
    <w:rsid w:val="00094A4C"/>
    <w:rsid w:val="00094A50"/>
    <w:rsid w:val="00094A57"/>
    <w:rsid w:val="00094A97"/>
    <w:rsid w:val="00094AE4"/>
    <w:rsid w:val="00094AE5"/>
    <w:rsid w:val="00094C73"/>
    <w:rsid w:val="00094CE3"/>
    <w:rsid w:val="00094CE5"/>
    <w:rsid w:val="00094D48"/>
    <w:rsid w:val="00094DCE"/>
    <w:rsid w:val="00094E39"/>
    <w:rsid w:val="00094E56"/>
    <w:rsid w:val="00094E78"/>
    <w:rsid w:val="00094E7F"/>
    <w:rsid w:val="00094F71"/>
    <w:rsid w:val="00094F84"/>
    <w:rsid w:val="00094F98"/>
    <w:rsid w:val="00094FA3"/>
    <w:rsid w:val="00094FAF"/>
    <w:rsid w:val="0009500C"/>
    <w:rsid w:val="00095018"/>
    <w:rsid w:val="00095026"/>
    <w:rsid w:val="00095068"/>
    <w:rsid w:val="000950CE"/>
    <w:rsid w:val="00095143"/>
    <w:rsid w:val="00095199"/>
    <w:rsid w:val="000951AD"/>
    <w:rsid w:val="000951E2"/>
    <w:rsid w:val="000951E6"/>
    <w:rsid w:val="000951F8"/>
    <w:rsid w:val="00095298"/>
    <w:rsid w:val="0009529B"/>
    <w:rsid w:val="000952C3"/>
    <w:rsid w:val="000952CF"/>
    <w:rsid w:val="000952FE"/>
    <w:rsid w:val="00095309"/>
    <w:rsid w:val="0009530F"/>
    <w:rsid w:val="00095351"/>
    <w:rsid w:val="0009539F"/>
    <w:rsid w:val="000953D1"/>
    <w:rsid w:val="000953F8"/>
    <w:rsid w:val="00095493"/>
    <w:rsid w:val="000954E0"/>
    <w:rsid w:val="00095501"/>
    <w:rsid w:val="0009553C"/>
    <w:rsid w:val="0009559F"/>
    <w:rsid w:val="000955AB"/>
    <w:rsid w:val="000955B3"/>
    <w:rsid w:val="000955B9"/>
    <w:rsid w:val="0009562F"/>
    <w:rsid w:val="0009565B"/>
    <w:rsid w:val="00095734"/>
    <w:rsid w:val="000957C6"/>
    <w:rsid w:val="000957E9"/>
    <w:rsid w:val="000958B3"/>
    <w:rsid w:val="000958C8"/>
    <w:rsid w:val="00095956"/>
    <w:rsid w:val="0009598C"/>
    <w:rsid w:val="00095A04"/>
    <w:rsid w:val="00095A35"/>
    <w:rsid w:val="00095AB2"/>
    <w:rsid w:val="00095AFD"/>
    <w:rsid w:val="00095B14"/>
    <w:rsid w:val="00095B46"/>
    <w:rsid w:val="00095B48"/>
    <w:rsid w:val="00095B6A"/>
    <w:rsid w:val="00095BBC"/>
    <w:rsid w:val="00095D1F"/>
    <w:rsid w:val="00095D27"/>
    <w:rsid w:val="00095D32"/>
    <w:rsid w:val="00095D3A"/>
    <w:rsid w:val="00095DE8"/>
    <w:rsid w:val="00095DF1"/>
    <w:rsid w:val="00095E31"/>
    <w:rsid w:val="00095E70"/>
    <w:rsid w:val="00095F6A"/>
    <w:rsid w:val="00095F7B"/>
    <w:rsid w:val="00095F8B"/>
    <w:rsid w:val="00095FDD"/>
    <w:rsid w:val="000960EA"/>
    <w:rsid w:val="00096188"/>
    <w:rsid w:val="0009618E"/>
    <w:rsid w:val="00096191"/>
    <w:rsid w:val="0009619A"/>
    <w:rsid w:val="000961A0"/>
    <w:rsid w:val="000961A4"/>
    <w:rsid w:val="00096203"/>
    <w:rsid w:val="00096225"/>
    <w:rsid w:val="00096279"/>
    <w:rsid w:val="000962FF"/>
    <w:rsid w:val="00096304"/>
    <w:rsid w:val="00096396"/>
    <w:rsid w:val="0009639E"/>
    <w:rsid w:val="00096492"/>
    <w:rsid w:val="000964DC"/>
    <w:rsid w:val="00096536"/>
    <w:rsid w:val="00096567"/>
    <w:rsid w:val="00096702"/>
    <w:rsid w:val="00096864"/>
    <w:rsid w:val="0009687B"/>
    <w:rsid w:val="000968DE"/>
    <w:rsid w:val="000968E1"/>
    <w:rsid w:val="00096941"/>
    <w:rsid w:val="0009694C"/>
    <w:rsid w:val="00096961"/>
    <w:rsid w:val="00096989"/>
    <w:rsid w:val="00096A86"/>
    <w:rsid w:val="00096AE7"/>
    <w:rsid w:val="00096B7A"/>
    <w:rsid w:val="00096BC6"/>
    <w:rsid w:val="00096BC7"/>
    <w:rsid w:val="00096BD6"/>
    <w:rsid w:val="00096BD7"/>
    <w:rsid w:val="00096C2D"/>
    <w:rsid w:val="00096C3A"/>
    <w:rsid w:val="00096C40"/>
    <w:rsid w:val="00096D53"/>
    <w:rsid w:val="00096D61"/>
    <w:rsid w:val="00096D76"/>
    <w:rsid w:val="00096DBE"/>
    <w:rsid w:val="00096DD4"/>
    <w:rsid w:val="00096EED"/>
    <w:rsid w:val="00096EF8"/>
    <w:rsid w:val="00096F72"/>
    <w:rsid w:val="00096F7E"/>
    <w:rsid w:val="00096F84"/>
    <w:rsid w:val="0009711A"/>
    <w:rsid w:val="0009715A"/>
    <w:rsid w:val="00097174"/>
    <w:rsid w:val="00097177"/>
    <w:rsid w:val="000971DB"/>
    <w:rsid w:val="0009729B"/>
    <w:rsid w:val="000972E7"/>
    <w:rsid w:val="0009740C"/>
    <w:rsid w:val="00097435"/>
    <w:rsid w:val="0009743F"/>
    <w:rsid w:val="00097465"/>
    <w:rsid w:val="00097489"/>
    <w:rsid w:val="000974F1"/>
    <w:rsid w:val="00097524"/>
    <w:rsid w:val="00097540"/>
    <w:rsid w:val="000975A6"/>
    <w:rsid w:val="000976AB"/>
    <w:rsid w:val="000976B1"/>
    <w:rsid w:val="000976EE"/>
    <w:rsid w:val="00097716"/>
    <w:rsid w:val="00097764"/>
    <w:rsid w:val="00097778"/>
    <w:rsid w:val="0009781A"/>
    <w:rsid w:val="000978F8"/>
    <w:rsid w:val="000978FD"/>
    <w:rsid w:val="00097919"/>
    <w:rsid w:val="0009794C"/>
    <w:rsid w:val="00097A3A"/>
    <w:rsid w:val="00097A42"/>
    <w:rsid w:val="00097A98"/>
    <w:rsid w:val="00097AC4"/>
    <w:rsid w:val="00097B47"/>
    <w:rsid w:val="00097BB4"/>
    <w:rsid w:val="00097BB9"/>
    <w:rsid w:val="00097BBE"/>
    <w:rsid w:val="00097C3A"/>
    <w:rsid w:val="00097CD1"/>
    <w:rsid w:val="00097CEC"/>
    <w:rsid w:val="00097CFB"/>
    <w:rsid w:val="00097D1B"/>
    <w:rsid w:val="00097D9C"/>
    <w:rsid w:val="00097DE8"/>
    <w:rsid w:val="00097E06"/>
    <w:rsid w:val="00097E96"/>
    <w:rsid w:val="00097ECD"/>
    <w:rsid w:val="00097F14"/>
    <w:rsid w:val="00097F1F"/>
    <w:rsid w:val="00097F34"/>
    <w:rsid w:val="00097F3F"/>
    <w:rsid w:val="00097F9F"/>
    <w:rsid w:val="00097FBC"/>
    <w:rsid w:val="00097FD1"/>
    <w:rsid w:val="000A0023"/>
    <w:rsid w:val="000A0024"/>
    <w:rsid w:val="000A0061"/>
    <w:rsid w:val="000A00BE"/>
    <w:rsid w:val="000A00E5"/>
    <w:rsid w:val="000A00E6"/>
    <w:rsid w:val="000A0127"/>
    <w:rsid w:val="000A017A"/>
    <w:rsid w:val="000A01C6"/>
    <w:rsid w:val="000A029C"/>
    <w:rsid w:val="000A029D"/>
    <w:rsid w:val="000A02E6"/>
    <w:rsid w:val="000A032C"/>
    <w:rsid w:val="000A03A1"/>
    <w:rsid w:val="000A03D3"/>
    <w:rsid w:val="000A04B7"/>
    <w:rsid w:val="000A0564"/>
    <w:rsid w:val="000A0583"/>
    <w:rsid w:val="000A0601"/>
    <w:rsid w:val="000A066F"/>
    <w:rsid w:val="000A073B"/>
    <w:rsid w:val="000A07D2"/>
    <w:rsid w:val="000A087A"/>
    <w:rsid w:val="000A08CF"/>
    <w:rsid w:val="000A08EE"/>
    <w:rsid w:val="000A0925"/>
    <w:rsid w:val="000A093B"/>
    <w:rsid w:val="000A0A4E"/>
    <w:rsid w:val="000A0A5A"/>
    <w:rsid w:val="000A0A7C"/>
    <w:rsid w:val="000A0B15"/>
    <w:rsid w:val="000A0B6E"/>
    <w:rsid w:val="000A0BC7"/>
    <w:rsid w:val="000A0BCB"/>
    <w:rsid w:val="000A0BDD"/>
    <w:rsid w:val="000A0C12"/>
    <w:rsid w:val="000A0C86"/>
    <w:rsid w:val="000A0E36"/>
    <w:rsid w:val="000A0E4E"/>
    <w:rsid w:val="000A0E5B"/>
    <w:rsid w:val="000A0E7F"/>
    <w:rsid w:val="000A0E89"/>
    <w:rsid w:val="000A0EBB"/>
    <w:rsid w:val="000A0F87"/>
    <w:rsid w:val="000A0FD4"/>
    <w:rsid w:val="000A0FEE"/>
    <w:rsid w:val="000A115C"/>
    <w:rsid w:val="000A1165"/>
    <w:rsid w:val="000A11FB"/>
    <w:rsid w:val="000A12A2"/>
    <w:rsid w:val="000A12CB"/>
    <w:rsid w:val="000A1422"/>
    <w:rsid w:val="000A1486"/>
    <w:rsid w:val="000A14B9"/>
    <w:rsid w:val="000A15EE"/>
    <w:rsid w:val="000A1621"/>
    <w:rsid w:val="000A1630"/>
    <w:rsid w:val="000A1695"/>
    <w:rsid w:val="000A172E"/>
    <w:rsid w:val="000A179B"/>
    <w:rsid w:val="000A18C1"/>
    <w:rsid w:val="000A18E0"/>
    <w:rsid w:val="000A191F"/>
    <w:rsid w:val="000A1952"/>
    <w:rsid w:val="000A1978"/>
    <w:rsid w:val="000A1A00"/>
    <w:rsid w:val="000A1A0B"/>
    <w:rsid w:val="000A1A6F"/>
    <w:rsid w:val="000A1B1B"/>
    <w:rsid w:val="000A1B1F"/>
    <w:rsid w:val="000A1B25"/>
    <w:rsid w:val="000A1B55"/>
    <w:rsid w:val="000A1BAE"/>
    <w:rsid w:val="000A1CF6"/>
    <w:rsid w:val="000A1D29"/>
    <w:rsid w:val="000A1DBA"/>
    <w:rsid w:val="000A1DC9"/>
    <w:rsid w:val="000A1DCB"/>
    <w:rsid w:val="000A1DEC"/>
    <w:rsid w:val="000A1DF7"/>
    <w:rsid w:val="000A1EB6"/>
    <w:rsid w:val="000A1F2D"/>
    <w:rsid w:val="000A2009"/>
    <w:rsid w:val="000A203E"/>
    <w:rsid w:val="000A2096"/>
    <w:rsid w:val="000A211E"/>
    <w:rsid w:val="000A2154"/>
    <w:rsid w:val="000A217B"/>
    <w:rsid w:val="000A219E"/>
    <w:rsid w:val="000A2258"/>
    <w:rsid w:val="000A227B"/>
    <w:rsid w:val="000A22AD"/>
    <w:rsid w:val="000A22B1"/>
    <w:rsid w:val="000A22E7"/>
    <w:rsid w:val="000A2307"/>
    <w:rsid w:val="000A2308"/>
    <w:rsid w:val="000A2454"/>
    <w:rsid w:val="000A2470"/>
    <w:rsid w:val="000A2555"/>
    <w:rsid w:val="000A25C0"/>
    <w:rsid w:val="000A2629"/>
    <w:rsid w:val="000A264C"/>
    <w:rsid w:val="000A26F4"/>
    <w:rsid w:val="000A26F6"/>
    <w:rsid w:val="000A2790"/>
    <w:rsid w:val="000A27A0"/>
    <w:rsid w:val="000A28D6"/>
    <w:rsid w:val="000A293C"/>
    <w:rsid w:val="000A2964"/>
    <w:rsid w:val="000A2978"/>
    <w:rsid w:val="000A297D"/>
    <w:rsid w:val="000A29C0"/>
    <w:rsid w:val="000A2A6D"/>
    <w:rsid w:val="000A2B40"/>
    <w:rsid w:val="000A2B9D"/>
    <w:rsid w:val="000A2C31"/>
    <w:rsid w:val="000A2C78"/>
    <w:rsid w:val="000A2CDF"/>
    <w:rsid w:val="000A2D65"/>
    <w:rsid w:val="000A2DB7"/>
    <w:rsid w:val="000A2E52"/>
    <w:rsid w:val="000A2E56"/>
    <w:rsid w:val="000A2EA5"/>
    <w:rsid w:val="000A3015"/>
    <w:rsid w:val="000A30D1"/>
    <w:rsid w:val="000A3124"/>
    <w:rsid w:val="000A3141"/>
    <w:rsid w:val="000A3213"/>
    <w:rsid w:val="000A3223"/>
    <w:rsid w:val="000A323F"/>
    <w:rsid w:val="000A324B"/>
    <w:rsid w:val="000A3266"/>
    <w:rsid w:val="000A3273"/>
    <w:rsid w:val="000A32AF"/>
    <w:rsid w:val="000A32CB"/>
    <w:rsid w:val="000A3365"/>
    <w:rsid w:val="000A337E"/>
    <w:rsid w:val="000A338D"/>
    <w:rsid w:val="000A338E"/>
    <w:rsid w:val="000A33D3"/>
    <w:rsid w:val="000A3404"/>
    <w:rsid w:val="000A3455"/>
    <w:rsid w:val="000A34C0"/>
    <w:rsid w:val="000A34F0"/>
    <w:rsid w:val="000A34F4"/>
    <w:rsid w:val="000A351B"/>
    <w:rsid w:val="000A3584"/>
    <w:rsid w:val="000A3594"/>
    <w:rsid w:val="000A35AD"/>
    <w:rsid w:val="000A362D"/>
    <w:rsid w:val="000A365A"/>
    <w:rsid w:val="000A3667"/>
    <w:rsid w:val="000A3688"/>
    <w:rsid w:val="000A368E"/>
    <w:rsid w:val="000A3783"/>
    <w:rsid w:val="000A37B5"/>
    <w:rsid w:val="000A3804"/>
    <w:rsid w:val="000A380E"/>
    <w:rsid w:val="000A3921"/>
    <w:rsid w:val="000A39A0"/>
    <w:rsid w:val="000A39D2"/>
    <w:rsid w:val="000A3A33"/>
    <w:rsid w:val="000A3A5F"/>
    <w:rsid w:val="000A3A66"/>
    <w:rsid w:val="000A3AAB"/>
    <w:rsid w:val="000A3B11"/>
    <w:rsid w:val="000A3B35"/>
    <w:rsid w:val="000A3B53"/>
    <w:rsid w:val="000A3B89"/>
    <w:rsid w:val="000A3B9B"/>
    <w:rsid w:val="000A3C82"/>
    <w:rsid w:val="000A3C9D"/>
    <w:rsid w:val="000A3C9F"/>
    <w:rsid w:val="000A3CB5"/>
    <w:rsid w:val="000A3D6A"/>
    <w:rsid w:val="000A3DA7"/>
    <w:rsid w:val="000A3DB6"/>
    <w:rsid w:val="000A3DDB"/>
    <w:rsid w:val="000A3DE7"/>
    <w:rsid w:val="000A3E74"/>
    <w:rsid w:val="000A3E8F"/>
    <w:rsid w:val="000A3EBC"/>
    <w:rsid w:val="000A3F0E"/>
    <w:rsid w:val="000A404E"/>
    <w:rsid w:val="000A40EF"/>
    <w:rsid w:val="000A40FD"/>
    <w:rsid w:val="000A4165"/>
    <w:rsid w:val="000A41B2"/>
    <w:rsid w:val="000A41E2"/>
    <w:rsid w:val="000A41FB"/>
    <w:rsid w:val="000A422C"/>
    <w:rsid w:val="000A4261"/>
    <w:rsid w:val="000A426E"/>
    <w:rsid w:val="000A42C3"/>
    <w:rsid w:val="000A42E3"/>
    <w:rsid w:val="000A42E9"/>
    <w:rsid w:val="000A42F0"/>
    <w:rsid w:val="000A42F9"/>
    <w:rsid w:val="000A43BB"/>
    <w:rsid w:val="000A43C2"/>
    <w:rsid w:val="000A45AE"/>
    <w:rsid w:val="000A45E7"/>
    <w:rsid w:val="000A45ED"/>
    <w:rsid w:val="000A4675"/>
    <w:rsid w:val="000A4679"/>
    <w:rsid w:val="000A46E9"/>
    <w:rsid w:val="000A4760"/>
    <w:rsid w:val="000A47D5"/>
    <w:rsid w:val="000A4830"/>
    <w:rsid w:val="000A48B7"/>
    <w:rsid w:val="000A4941"/>
    <w:rsid w:val="000A494D"/>
    <w:rsid w:val="000A49EA"/>
    <w:rsid w:val="000A4A0E"/>
    <w:rsid w:val="000A4A23"/>
    <w:rsid w:val="000A4A3A"/>
    <w:rsid w:val="000A4A7E"/>
    <w:rsid w:val="000A4A87"/>
    <w:rsid w:val="000A4B08"/>
    <w:rsid w:val="000A4BEA"/>
    <w:rsid w:val="000A4C07"/>
    <w:rsid w:val="000A4CE0"/>
    <w:rsid w:val="000A4CF9"/>
    <w:rsid w:val="000A4D54"/>
    <w:rsid w:val="000A4E52"/>
    <w:rsid w:val="000A4E90"/>
    <w:rsid w:val="000A4ED5"/>
    <w:rsid w:val="000A4F35"/>
    <w:rsid w:val="000A4F8E"/>
    <w:rsid w:val="000A501D"/>
    <w:rsid w:val="000A5086"/>
    <w:rsid w:val="000A50C5"/>
    <w:rsid w:val="000A512F"/>
    <w:rsid w:val="000A5141"/>
    <w:rsid w:val="000A5175"/>
    <w:rsid w:val="000A522F"/>
    <w:rsid w:val="000A524D"/>
    <w:rsid w:val="000A52E7"/>
    <w:rsid w:val="000A5319"/>
    <w:rsid w:val="000A5346"/>
    <w:rsid w:val="000A5412"/>
    <w:rsid w:val="000A5488"/>
    <w:rsid w:val="000A54CC"/>
    <w:rsid w:val="000A5575"/>
    <w:rsid w:val="000A559A"/>
    <w:rsid w:val="000A55B5"/>
    <w:rsid w:val="000A5693"/>
    <w:rsid w:val="000A56C1"/>
    <w:rsid w:val="000A578D"/>
    <w:rsid w:val="000A58A4"/>
    <w:rsid w:val="000A58ED"/>
    <w:rsid w:val="000A58F2"/>
    <w:rsid w:val="000A58FA"/>
    <w:rsid w:val="000A599E"/>
    <w:rsid w:val="000A59EE"/>
    <w:rsid w:val="000A5A0A"/>
    <w:rsid w:val="000A5A2F"/>
    <w:rsid w:val="000A5A5C"/>
    <w:rsid w:val="000A5AB5"/>
    <w:rsid w:val="000A5AF9"/>
    <w:rsid w:val="000A5BBE"/>
    <w:rsid w:val="000A5BE7"/>
    <w:rsid w:val="000A5C3B"/>
    <w:rsid w:val="000A5C4D"/>
    <w:rsid w:val="000A5C85"/>
    <w:rsid w:val="000A5D3D"/>
    <w:rsid w:val="000A5D50"/>
    <w:rsid w:val="000A5E37"/>
    <w:rsid w:val="000A5EFF"/>
    <w:rsid w:val="000A5F81"/>
    <w:rsid w:val="000A5FB6"/>
    <w:rsid w:val="000A6015"/>
    <w:rsid w:val="000A602F"/>
    <w:rsid w:val="000A60F7"/>
    <w:rsid w:val="000A60F8"/>
    <w:rsid w:val="000A613A"/>
    <w:rsid w:val="000A614D"/>
    <w:rsid w:val="000A61C9"/>
    <w:rsid w:val="000A61E2"/>
    <w:rsid w:val="000A622F"/>
    <w:rsid w:val="000A6288"/>
    <w:rsid w:val="000A6301"/>
    <w:rsid w:val="000A63A6"/>
    <w:rsid w:val="000A645B"/>
    <w:rsid w:val="000A6495"/>
    <w:rsid w:val="000A6499"/>
    <w:rsid w:val="000A64DC"/>
    <w:rsid w:val="000A6535"/>
    <w:rsid w:val="000A653D"/>
    <w:rsid w:val="000A653F"/>
    <w:rsid w:val="000A65A9"/>
    <w:rsid w:val="000A660B"/>
    <w:rsid w:val="000A660D"/>
    <w:rsid w:val="000A6697"/>
    <w:rsid w:val="000A66F2"/>
    <w:rsid w:val="000A66F7"/>
    <w:rsid w:val="000A6759"/>
    <w:rsid w:val="000A6775"/>
    <w:rsid w:val="000A6790"/>
    <w:rsid w:val="000A6826"/>
    <w:rsid w:val="000A6839"/>
    <w:rsid w:val="000A69EB"/>
    <w:rsid w:val="000A6A2F"/>
    <w:rsid w:val="000A6B05"/>
    <w:rsid w:val="000A6B62"/>
    <w:rsid w:val="000A6C01"/>
    <w:rsid w:val="000A6C60"/>
    <w:rsid w:val="000A6C72"/>
    <w:rsid w:val="000A6CA3"/>
    <w:rsid w:val="000A6D3A"/>
    <w:rsid w:val="000A6D65"/>
    <w:rsid w:val="000A6DF6"/>
    <w:rsid w:val="000A6E86"/>
    <w:rsid w:val="000A6E95"/>
    <w:rsid w:val="000A6ED1"/>
    <w:rsid w:val="000A6FD8"/>
    <w:rsid w:val="000A7026"/>
    <w:rsid w:val="000A7099"/>
    <w:rsid w:val="000A70C7"/>
    <w:rsid w:val="000A70D2"/>
    <w:rsid w:val="000A70EE"/>
    <w:rsid w:val="000A70FB"/>
    <w:rsid w:val="000A7102"/>
    <w:rsid w:val="000A7106"/>
    <w:rsid w:val="000A7153"/>
    <w:rsid w:val="000A7171"/>
    <w:rsid w:val="000A7214"/>
    <w:rsid w:val="000A721E"/>
    <w:rsid w:val="000A727A"/>
    <w:rsid w:val="000A72EF"/>
    <w:rsid w:val="000A735E"/>
    <w:rsid w:val="000A7391"/>
    <w:rsid w:val="000A73E7"/>
    <w:rsid w:val="000A7429"/>
    <w:rsid w:val="000A74CD"/>
    <w:rsid w:val="000A7540"/>
    <w:rsid w:val="000A7559"/>
    <w:rsid w:val="000A763A"/>
    <w:rsid w:val="000A7672"/>
    <w:rsid w:val="000A76B7"/>
    <w:rsid w:val="000A76C1"/>
    <w:rsid w:val="000A76D5"/>
    <w:rsid w:val="000A774A"/>
    <w:rsid w:val="000A777C"/>
    <w:rsid w:val="000A7781"/>
    <w:rsid w:val="000A787C"/>
    <w:rsid w:val="000A7885"/>
    <w:rsid w:val="000A79A7"/>
    <w:rsid w:val="000A7A2C"/>
    <w:rsid w:val="000A7B13"/>
    <w:rsid w:val="000A7B3D"/>
    <w:rsid w:val="000A7C3B"/>
    <w:rsid w:val="000A7C53"/>
    <w:rsid w:val="000A7C7A"/>
    <w:rsid w:val="000A7D0D"/>
    <w:rsid w:val="000A7D74"/>
    <w:rsid w:val="000A7E09"/>
    <w:rsid w:val="000A7E67"/>
    <w:rsid w:val="000A7F53"/>
    <w:rsid w:val="000A7F73"/>
    <w:rsid w:val="000A7F9C"/>
    <w:rsid w:val="000A7FB1"/>
    <w:rsid w:val="000A7FC8"/>
    <w:rsid w:val="000A7FF8"/>
    <w:rsid w:val="000B0099"/>
    <w:rsid w:val="000B00AB"/>
    <w:rsid w:val="000B00D3"/>
    <w:rsid w:val="000B02FB"/>
    <w:rsid w:val="000B0386"/>
    <w:rsid w:val="000B039D"/>
    <w:rsid w:val="000B03C4"/>
    <w:rsid w:val="000B0417"/>
    <w:rsid w:val="000B0483"/>
    <w:rsid w:val="000B04F0"/>
    <w:rsid w:val="000B0509"/>
    <w:rsid w:val="000B05DA"/>
    <w:rsid w:val="000B05FF"/>
    <w:rsid w:val="000B064D"/>
    <w:rsid w:val="000B0674"/>
    <w:rsid w:val="000B06E5"/>
    <w:rsid w:val="000B0764"/>
    <w:rsid w:val="000B07A1"/>
    <w:rsid w:val="000B07DD"/>
    <w:rsid w:val="000B0840"/>
    <w:rsid w:val="000B0863"/>
    <w:rsid w:val="000B0882"/>
    <w:rsid w:val="000B09BC"/>
    <w:rsid w:val="000B09D6"/>
    <w:rsid w:val="000B0A3D"/>
    <w:rsid w:val="000B0AAA"/>
    <w:rsid w:val="000B0AE6"/>
    <w:rsid w:val="000B0AF4"/>
    <w:rsid w:val="000B0B1E"/>
    <w:rsid w:val="000B0BE1"/>
    <w:rsid w:val="000B0CAE"/>
    <w:rsid w:val="000B0CDD"/>
    <w:rsid w:val="000B0CE5"/>
    <w:rsid w:val="000B0D2A"/>
    <w:rsid w:val="000B0D34"/>
    <w:rsid w:val="000B0D60"/>
    <w:rsid w:val="000B0D7F"/>
    <w:rsid w:val="000B0DE0"/>
    <w:rsid w:val="000B0DF5"/>
    <w:rsid w:val="000B0E49"/>
    <w:rsid w:val="000B0E84"/>
    <w:rsid w:val="000B0EDC"/>
    <w:rsid w:val="000B0F18"/>
    <w:rsid w:val="000B0F31"/>
    <w:rsid w:val="000B0FF1"/>
    <w:rsid w:val="000B102F"/>
    <w:rsid w:val="000B1055"/>
    <w:rsid w:val="000B10A7"/>
    <w:rsid w:val="000B10BC"/>
    <w:rsid w:val="000B1241"/>
    <w:rsid w:val="000B124A"/>
    <w:rsid w:val="000B12B0"/>
    <w:rsid w:val="000B1318"/>
    <w:rsid w:val="000B1372"/>
    <w:rsid w:val="000B137A"/>
    <w:rsid w:val="000B13A9"/>
    <w:rsid w:val="000B13D9"/>
    <w:rsid w:val="000B1505"/>
    <w:rsid w:val="000B151E"/>
    <w:rsid w:val="000B1550"/>
    <w:rsid w:val="000B1582"/>
    <w:rsid w:val="000B1584"/>
    <w:rsid w:val="000B15CE"/>
    <w:rsid w:val="000B15DF"/>
    <w:rsid w:val="000B161C"/>
    <w:rsid w:val="000B1634"/>
    <w:rsid w:val="000B169C"/>
    <w:rsid w:val="000B16A6"/>
    <w:rsid w:val="000B16FD"/>
    <w:rsid w:val="000B173D"/>
    <w:rsid w:val="000B1758"/>
    <w:rsid w:val="000B1932"/>
    <w:rsid w:val="000B194B"/>
    <w:rsid w:val="000B19B4"/>
    <w:rsid w:val="000B19DF"/>
    <w:rsid w:val="000B1A27"/>
    <w:rsid w:val="000B1AE9"/>
    <w:rsid w:val="000B1B17"/>
    <w:rsid w:val="000B1B55"/>
    <w:rsid w:val="000B1BCB"/>
    <w:rsid w:val="000B1C56"/>
    <w:rsid w:val="000B1CB3"/>
    <w:rsid w:val="000B1CB7"/>
    <w:rsid w:val="000B1CDC"/>
    <w:rsid w:val="000B1CFD"/>
    <w:rsid w:val="000B1D67"/>
    <w:rsid w:val="000B1D9C"/>
    <w:rsid w:val="000B1DBF"/>
    <w:rsid w:val="000B1DD3"/>
    <w:rsid w:val="000B1E0D"/>
    <w:rsid w:val="000B1E87"/>
    <w:rsid w:val="000B1EC0"/>
    <w:rsid w:val="000B1EE9"/>
    <w:rsid w:val="000B1F3C"/>
    <w:rsid w:val="000B1F87"/>
    <w:rsid w:val="000B1FAF"/>
    <w:rsid w:val="000B1FBD"/>
    <w:rsid w:val="000B200D"/>
    <w:rsid w:val="000B2032"/>
    <w:rsid w:val="000B2046"/>
    <w:rsid w:val="000B2059"/>
    <w:rsid w:val="000B210F"/>
    <w:rsid w:val="000B2167"/>
    <w:rsid w:val="000B2229"/>
    <w:rsid w:val="000B2363"/>
    <w:rsid w:val="000B238E"/>
    <w:rsid w:val="000B241D"/>
    <w:rsid w:val="000B244A"/>
    <w:rsid w:val="000B24E9"/>
    <w:rsid w:val="000B2530"/>
    <w:rsid w:val="000B2589"/>
    <w:rsid w:val="000B259A"/>
    <w:rsid w:val="000B25AF"/>
    <w:rsid w:val="000B25DA"/>
    <w:rsid w:val="000B2790"/>
    <w:rsid w:val="000B2845"/>
    <w:rsid w:val="000B2885"/>
    <w:rsid w:val="000B28B8"/>
    <w:rsid w:val="000B296F"/>
    <w:rsid w:val="000B29A5"/>
    <w:rsid w:val="000B2ADE"/>
    <w:rsid w:val="000B2AE5"/>
    <w:rsid w:val="000B2B64"/>
    <w:rsid w:val="000B2B9A"/>
    <w:rsid w:val="000B2D3A"/>
    <w:rsid w:val="000B2E48"/>
    <w:rsid w:val="000B2E8C"/>
    <w:rsid w:val="000B2F8D"/>
    <w:rsid w:val="000B2F9B"/>
    <w:rsid w:val="000B3096"/>
    <w:rsid w:val="000B30A2"/>
    <w:rsid w:val="000B30AA"/>
    <w:rsid w:val="000B30C8"/>
    <w:rsid w:val="000B312E"/>
    <w:rsid w:val="000B3172"/>
    <w:rsid w:val="000B3186"/>
    <w:rsid w:val="000B31C1"/>
    <w:rsid w:val="000B32D7"/>
    <w:rsid w:val="000B3330"/>
    <w:rsid w:val="000B345B"/>
    <w:rsid w:val="000B3496"/>
    <w:rsid w:val="000B3534"/>
    <w:rsid w:val="000B35A5"/>
    <w:rsid w:val="000B35D8"/>
    <w:rsid w:val="000B35F0"/>
    <w:rsid w:val="000B35F3"/>
    <w:rsid w:val="000B3656"/>
    <w:rsid w:val="000B3671"/>
    <w:rsid w:val="000B36A3"/>
    <w:rsid w:val="000B3710"/>
    <w:rsid w:val="000B37D0"/>
    <w:rsid w:val="000B37D2"/>
    <w:rsid w:val="000B3816"/>
    <w:rsid w:val="000B384E"/>
    <w:rsid w:val="000B385E"/>
    <w:rsid w:val="000B3883"/>
    <w:rsid w:val="000B38D3"/>
    <w:rsid w:val="000B38EF"/>
    <w:rsid w:val="000B3942"/>
    <w:rsid w:val="000B3958"/>
    <w:rsid w:val="000B3992"/>
    <w:rsid w:val="000B3A1E"/>
    <w:rsid w:val="000B3A31"/>
    <w:rsid w:val="000B3A67"/>
    <w:rsid w:val="000B3AA5"/>
    <w:rsid w:val="000B3ABE"/>
    <w:rsid w:val="000B3B60"/>
    <w:rsid w:val="000B3B7E"/>
    <w:rsid w:val="000B3B97"/>
    <w:rsid w:val="000B3BCC"/>
    <w:rsid w:val="000B3C39"/>
    <w:rsid w:val="000B3D93"/>
    <w:rsid w:val="000B3E62"/>
    <w:rsid w:val="000B3E97"/>
    <w:rsid w:val="000B3EEF"/>
    <w:rsid w:val="000B3F93"/>
    <w:rsid w:val="000B4017"/>
    <w:rsid w:val="000B401A"/>
    <w:rsid w:val="000B4050"/>
    <w:rsid w:val="000B40A0"/>
    <w:rsid w:val="000B40FE"/>
    <w:rsid w:val="000B4149"/>
    <w:rsid w:val="000B417E"/>
    <w:rsid w:val="000B41A6"/>
    <w:rsid w:val="000B41E8"/>
    <w:rsid w:val="000B41F3"/>
    <w:rsid w:val="000B421A"/>
    <w:rsid w:val="000B423B"/>
    <w:rsid w:val="000B427B"/>
    <w:rsid w:val="000B42AB"/>
    <w:rsid w:val="000B42E7"/>
    <w:rsid w:val="000B433B"/>
    <w:rsid w:val="000B4390"/>
    <w:rsid w:val="000B44D8"/>
    <w:rsid w:val="000B44EC"/>
    <w:rsid w:val="000B4518"/>
    <w:rsid w:val="000B4538"/>
    <w:rsid w:val="000B4563"/>
    <w:rsid w:val="000B45C4"/>
    <w:rsid w:val="000B4614"/>
    <w:rsid w:val="000B464C"/>
    <w:rsid w:val="000B4673"/>
    <w:rsid w:val="000B4687"/>
    <w:rsid w:val="000B4691"/>
    <w:rsid w:val="000B4711"/>
    <w:rsid w:val="000B4791"/>
    <w:rsid w:val="000B47F7"/>
    <w:rsid w:val="000B48AE"/>
    <w:rsid w:val="000B48B2"/>
    <w:rsid w:val="000B48F8"/>
    <w:rsid w:val="000B4926"/>
    <w:rsid w:val="000B492D"/>
    <w:rsid w:val="000B4958"/>
    <w:rsid w:val="000B495F"/>
    <w:rsid w:val="000B49B8"/>
    <w:rsid w:val="000B49BB"/>
    <w:rsid w:val="000B4A07"/>
    <w:rsid w:val="000B4A14"/>
    <w:rsid w:val="000B4A31"/>
    <w:rsid w:val="000B4A45"/>
    <w:rsid w:val="000B4A95"/>
    <w:rsid w:val="000B4AB5"/>
    <w:rsid w:val="000B4AC1"/>
    <w:rsid w:val="000B4AD8"/>
    <w:rsid w:val="000B4BB9"/>
    <w:rsid w:val="000B4BC3"/>
    <w:rsid w:val="000B4C16"/>
    <w:rsid w:val="000B4C17"/>
    <w:rsid w:val="000B4D5A"/>
    <w:rsid w:val="000B4D5E"/>
    <w:rsid w:val="000B4D77"/>
    <w:rsid w:val="000B4E48"/>
    <w:rsid w:val="000B4EDA"/>
    <w:rsid w:val="000B4F35"/>
    <w:rsid w:val="000B4FA0"/>
    <w:rsid w:val="000B4FC9"/>
    <w:rsid w:val="000B5002"/>
    <w:rsid w:val="000B5019"/>
    <w:rsid w:val="000B5049"/>
    <w:rsid w:val="000B504E"/>
    <w:rsid w:val="000B50A7"/>
    <w:rsid w:val="000B50DB"/>
    <w:rsid w:val="000B50E2"/>
    <w:rsid w:val="000B5151"/>
    <w:rsid w:val="000B51FE"/>
    <w:rsid w:val="000B5258"/>
    <w:rsid w:val="000B5292"/>
    <w:rsid w:val="000B52BD"/>
    <w:rsid w:val="000B52F0"/>
    <w:rsid w:val="000B5303"/>
    <w:rsid w:val="000B536D"/>
    <w:rsid w:val="000B539F"/>
    <w:rsid w:val="000B53D0"/>
    <w:rsid w:val="000B54AE"/>
    <w:rsid w:val="000B5520"/>
    <w:rsid w:val="000B5525"/>
    <w:rsid w:val="000B5546"/>
    <w:rsid w:val="000B554B"/>
    <w:rsid w:val="000B5560"/>
    <w:rsid w:val="000B55D9"/>
    <w:rsid w:val="000B5677"/>
    <w:rsid w:val="000B56E7"/>
    <w:rsid w:val="000B5756"/>
    <w:rsid w:val="000B57D6"/>
    <w:rsid w:val="000B57FC"/>
    <w:rsid w:val="000B5836"/>
    <w:rsid w:val="000B585B"/>
    <w:rsid w:val="000B58CD"/>
    <w:rsid w:val="000B5917"/>
    <w:rsid w:val="000B5A3F"/>
    <w:rsid w:val="000B5ABE"/>
    <w:rsid w:val="000B5AEB"/>
    <w:rsid w:val="000B5B6C"/>
    <w:rsid w:val="000B5CA8"/>
    <w:rsid w:val="000B5CD1"/>
    <w:rsid w:val="000B5CEC"/>
    <w:rsid w:val="000B5D2F"/>
    <w:rsid w:val="000B5D79"/>
    <w:rsid w:val="000B5DC7"/>
    <w:rsid w:val="000B5E2D"/>
    <w:rsid w:val="000B5E58"/>
    <w:rsid w:val="000B5EA8"/>
    <w:rsid w:val="000B5EEA"/>
    <w:rsid w:val="000B5FA1"/>
    <w:rsid w:val="000B601B"/>
    <w:rsid w:val="000B607C"/>
    <w:rsid w:val="000B60FC"/>
    <w:rsid w:val="000B61CF"/>
    <w:rsid w:val="000B61D6"/>
    <w:rsid w:val="000B624C"/>
    <w:rsid w:val="000B625F"/>
    <w:rsid w:val="000B626C"/>
    <w:rsid w:val="000B629F"/>
    <w:rsid w:val="000B62D6"/>
    <w:rsid w:val="000B639E"/>
    <w:rsid w:val="000B63BE"/>
    <w:rsid w:val="000B63D0"/>
    <w:rsid w:val="000B648A"/>
    <w:rsid w:val="000B64B2"/>
    <w:rsid w:val="000B64B5"/>
    <w:rsid w:val="000B64D9"/>
    <w:rsid w:val="000B6503"/>
    <w:rsid w:val="000B6597"/>
    <w:rsid w:val="000B6607"/>
    <w:rsid w:val="000B6644"/>
    <w:rsid w:val="000B6699"/>
    <w:rsid w:val="000B669A"/>
    <w:rsid w:val="000B6781"/>
    <w:rsid w:val="000B67A1"/>
    <w:rsid w:val="000B67BA"/>
    <w:rsid w:val="000B682A"/>
    <w:rsid w:val="000B683A"/>
    <w:rsid w:val="000B6891"/>
    <w:rsid w:val="000B69FB"/>
    <w:rsid w:val="000B69FC"/>
    <w:rsid w:val="000B6A11"/>
    <w:rsid w:val="000B6A3E"/>
    <w:rsid w:val="000B6A44"/>
    <w:rsid w:val="000B6A79"/>
    <w:rsid w:val="000B6AB6"/>
    <w:rsid w:val="000B6AD4"/>
    <w:rsid w:val="000B6B14"/>
    <w:rsid w:val="000B6BDA"/>
    <w:rsid w:val="000B6BFA"/>
    <w:rsid w:val="000B6C20"/>
    <w:rsid w:val="000B6C22"/>
    <w:rsid w:val="000B6CD9"/>
    <w:rsid w:val="000B6D8A"/>
    <w:rsid w:val="000B6DE5"/>
    <w:rsid w:val="000B6E78"/>
    <w:rsid w:val="000B6EAD"/>
    <w:rsid w:val="000B6F7E"/>
    <w:rsid w:val="000B6FC4"/>
    <w:rsid w:val="000B700C"/>
    <w:rsid w:val="000B7089"/>
    <w:rsid w:val="000B7104"/>
    <w:rsid w:val="000B7127"/>
    <w:rsid w:val="000B715F"/>
    <w:rsid w:val="000B71F6"/>
    <w:rsid w:val="000B720A"/>
    <w:rsid w:val="000B720D"/>
    <w:rsid w:val="000B723C"/>
    <w:rsid w:val="000B72F5"/>
    <w:rsid w:val="000B73A2"/>
    <w:rsid w:val="000B73D2"/>
    <w:rsid w:val="000B7457"/>
    <w:rsid w:val="000B746F"/>
    <w:rsid w:val="000B74AE"/>
    <w:rsid w:val="000B74E4"/>
    <w:rsid w:val="000B75A4"/>
    <w:rsid w:val="000B766B"/>
    <w:rsid w:val="000B7695"/>
    <w:rsid w:val="000B76B9"/>
    <w:rsid w:val="000B76F2"/>
    <w:rsid w:val="000B770A"/>
    <w:rsid w:val="000B77CD"/>
    <w:rsid w:val="000B7832"/>
    <w:rsid w:val="000B783C"/>
    <w:rsid w:val="000B79DB"/>
    <w:rsid w:val="000B79F5"/>
    <w:rsid w:val="000B7AEE"/>
    <w:rsid w:val="000B7B23"/>
    <w:rsid w:val="000B7B2E"/>
    <w:rsid w:val="000B7B59"/>
    <w:rsid w:val="000B7BA3"/>
    <w:rsid w:val="000B7BEF"/>
    <w:rsid w:val="000B7C4A"/>
    <w:rsid w:val="000B7C86"/>
    <w:rsid w:val="000B7D1E"/>
    <w:rsid w:val="000B7D27"/>
    <w:rsid w:val="000B7D82"/>
    <w:rsid w:val="000B7DC2"/>
    <w:rsid w:val="000B7E12"/>
    <w:rsid w:val="000B7E4E"/>
    <w:rsid w:val="000B7E70"/>
    <w:rsid w:val="000B7EC3"/>
    <w:rsid w:val="000B7EC7"/>
    <w:rsid w:val="000B7EE4"/>
    <w:rsid w:val="000B7F0A"/>
    <w:rsid w:val="000B7F32"/>
    <w:rsid w:val="000C0052"/>
    <w:rsid w:val="000C00A3"/>
    <w:rsid w:val="000C011B"/>
    <w:rsid w:val="000C0127"/>
    <w:rsid w:val="000C0178"/>
    <w:rsid w:val="000C01EA"/>
    <w:rsid w:val="000C022D"/>
    <w:rsid w:val="000C02B7"/>
    <w:rsid w:val="000C02D2"/>
    <w:rsid w:val="000C0330"/>
    <w:rsid w:val="000C033C"/>
    <w:rsid w:val="000C03B4"/>
    <w:rsid w:val="000C03FB"/>
    <w:rsid w:val="000C04E2"/>
    <w:rsid w:val="000C056D"/>
    <w:rsid w:val="000C0583"/>
    <w:rsid w:val="000C05FF"/>
    <w:rsid w:val="000C06A6"/>
    <w:rsid w:val="000C06AA"/>
    <w:rsid w:val="000C06CA"/>
    <w:rsid w:val="000C06FB"/>
    <w:rsid w:val="000C070A"/>
    <w:rsid w:val="000C0714"/>
    <w:rsid w:val="000C071D"/>
    <w:rsid w:val="000C0738"/>
    <w:rsid w:val="000C074A"/>
    <w:rsid w:val="000C0750"/>
    <w:rsid w:val="000C0797"/>
    <w:rsid w:val="000C0798"/>
    <w:rsid w:val="000C0799"/>
    <w:rsid w:val="000C0817"/>
    <w:rsid w:val="000C0892"/>
    <w:rsid w:val="000C089D"/>
    <w:rsid w:val="000C08B6"/>
    <w:rsid w:val="000C08BF"/>
    <w:rsid w:val="000C097F"/>
    <w:rsid w:val="000C098C"/>
    <w:rsid w:val="000C0995"/>
    <w:rsid w:val="000C09DC"/>
    <w:rsid w:val="000C09E3"/>
    <w:rsid w:val="000C0A0A"/>
    <w:rsid w:val="000C0A2E"/>
    <w:rsid w:val="000C0A6E"/>
    <w:rsid w:val="000C0AB2"/>
    <w:rsid w:val="000C0B0A"/>
    <w:rsid w:val="000C0B48"/>
    <w:rsid w:val="000C0B55"/>
    <w:rsid w:val="000C0B69"/>
    <w:rsid w:val="000C0C44"/>
    <w:rsid w:val="000C0C81"/>
    <w:rsid w:val="000C0CC3"/>
    <w:rsid w:val="000C0CD0"/>
    <w:rsid w:val="000C0CF3"/>
    <w:rsid w:val="000C0D22"/>
    <w:rsid w:val="000C0D3D"/>
    <w:rsid w:val="000C0FA0"/>
    <w:rsid w:val="000C0FAC"/>
    <w:rsid w:val="000C101F"/>
    <w:rsid w:val="000C10A0"/>
    <w:rsid w:val="000C10B6"/>
    <w:rsid w:val="000C11FB"/>
    <w:rsid w:val="000C12AC"/>
    <w:rsid w:val="000C1301"/>
    <w:rsid w:val="000C134C"/>
    <w:rsid w:val="000C13E9"/>
    <w:rsid w:val="000C1419"/>
    <w:rsid w:val="000C143F"/>
    <w:rsid w:val="000C147B"/>
    <w:rsid w:val="000C14FA"/>
    <w:rsid w:val="000C1508"/>
    <w:rsid w:val="000C1651"/>
    <w:rsid w:val="000C16EB"/>
    <w:rsid w:val="000C1754"/>
    <w:rsid w:val="000C1769"/>
    <w:rsid w:val="000C17B2"/>
    <w:rsid w:val="000C1926"/>
    <w:rsid w:val="000C19DB"/>
    <w:rsid w:val="000C19FA"/>
    <w:rsid w:val="000C1C58"/>
    <w:rsid w:val="000C1CF8"/>
    <w:rsid w:val="000C1DAD"/>
    <w:rsid w:val="000C1DC4"/>
    <w:rsid w:val="000C1E2F"/>
    <w:rsid w:val="000C1E6F"/>
    <w:rsid w:val="000C1E98"/>
    <w:rsid w:val="000C1EBC"/>
    <w:rsid w:val="000C1EBE"/>
    <w:rsid w:val="000C1F55"/>
    <w:rsid w:val="000C1F5C"/>
    <w:rsid w:val="000C1F6C"/>
    <w:rsid w:val="000C1F97"/>
    <w:rsid w:val="000C1FDA"/>
    <w:rsid w:val="000C200C"/>
    <w:rsid w:val="000C2014"/>
    <w:rsid w:val="000C206C"/>
    <w:rsid w:val="000C20BF"/>
    <w:rsid w:val="000C20DC"/>
    <w:rsid w:val="000C21F7"/>
    <w:rsid w:val="000C223C"/>
    <w:rsid w:val="000C2258"/>
    <w:rsid w:val="000C2281"/>
    <w:rsid w:val="000C22B3"/>
    <w:rsid w:val="000C2316"/>
    <w:rsid w:val="000C2340"/>
    <w:rsid w:val="000C2351"/>
    <w:rsid w:val="000C23B5"/>
    <w:rsid w:val="000C2464"/>
    <w:rsid w:val="000C24AA"/>
    <w:rsid w:val="000C24CF"/>
    <w:rsid w:val="000C24D1"/>
    <w:rsid w:val="000C2536"/>
    <w:rsid w:val="000C255C"/>
    <w:rsid w:val="000C259D"/>
    <w:rsid w:val="000C2792"/>
    <w:rsid w:val="000C2793"/>
    <w:rsid w:val="000C2794"/>
    <w:rsid w:val="000C2878"/>
    <w:rsid w:val="000C28A9"/>
    <w:rsid w:val="000C2910"/>
    <w:rsid w:val="000C295C"/>
    <w:rsid w:val="000C2976"/>
    <w:rsid w:val="000C29CC"/>
    <w:rsid w:val="000C2AB7"/>
    <w:rsid w:val="000C2AFE"/>
    <w:rsid w:val="000C2B9D"/>
    <w:rsid w:val="000C2BFD"/>
    <w:rsid w:val="000C2C06"/>
    <w:rsid w:val="000C2C3A"/>
    <w:rsid w:val="000C2C4E"/>
    <w:rsid w:val="000C2C7B"/>
    <w:rsid w:val="000C2CA4"/>
    <w:rsid w:val="000C2CD7"/>
    <w:rsid w:val="000C2CF4"/>
    <w:rsid w:val="000C2CFB"/>
    <w:rsid w:val="000C2D27"/>
    <w:rsid w:val="000C2D39"/>
    <w:rsid w:val="000C2D75"/>
    <w:rsid w:val="000C2E44"/>
    <w:rsid w:val="000C2E63"/>
    <w:rsid w:val="000C2F05"/>
    <w:rsid w:val="000C2F1B"/>
    <w:rsid w:val="000C2F5F"/>
    <w:rsid w:val="000C2F92"/>
    <w:rsid w:val="000C30A9"/>
    <w:rsid w:val="000C311C"/>
    <w:rsid w:val="000C321A"/>
    <w:rsid w:val="000C329F"/>
    <w:rsid w:val="000C32A4"/>
    <w:rsid w:val="000C32BE"/>
    <w:rsid w:val="000C3351"/>
    <w:rsid w:val="000C335E"/>
    <w:rsid w:val="000C3378"/>
    <w:rsid w:val="000C338E"/>
    <w:rsid w:val="000C34D5"/>
    <w:rsid w:val="000C35B3"/>
    <w:rsid w:val="000C35FB"/>
    <w:rsid w:val="000C369E"/>
    <w:rsid w:val="000C36CF"/>
    <w:rsid w:val="000C36ED"/>
    <w:rsid w:val="000C3706"/>
    <w:rsid w:val="000C37E6"/>
    <w:rsid w:val="000C3814"/>
    <w:rsid w:val="000C381C"/>
    <w:rsid w:val="000C38A0"/>
    <w:rsid w:val="000C3983"/>
    <w:rsid w:val="000C398F"/>
    <w:rsid w:val="000C39B1"/>
    <w:rsid w:val="000C3A2F"/>
    <w:rsid w:val="000C3BC2"/>
    <w:rsid w:val="000C3BD5"/>
    <w:rsid w:val="000C3C0B"/>
    <w:rsid w:val="000C3C78"/>
    <w:rsid w:val="000C3CB8"/>
    <w:rsid w:val="000C3D43"/>
    <w:rsid w:val="000C3D61"/>
    <w:rsid w:val="000C3DA2"/>
    <w:rsid w:val="000C3DBE"/>
    <w:rsid w:val="000C3DC7"/>
    <w:rsid w:val="000C3DF5"/>
    <w:rsid w:val="000C3E5C"/>
    <w:rsid w:val="000C3E9E"/>
    <w:rsid w:val="000C3EF0"/>
    <w:rsid w:val="000C3F35"/>
    <w:rsid w:val="000C3F83"/>
    <w:rsid w:val="000C3F9A"/>
    <w:rsid w:val="000C3F9D"/>
    <w:rsid w:val="000C3FD2"/>
    <w:rsid w:val="000C40A8"/>
    <w:rsid w:val="000C41E6"/>
    <w:rsid w:val="000C41F9"/>
    <w:rsid w:val="000C42E7"/>
    <w:rsid w:val="000C43A1"/>
    <w:rsid w:val="000C43A2"/>
    <w:rsid w:val="000C43E5"/>
    <w:rsid w:val="000C4420"/>
    <w:rsid w:val="000C442C"/>
    <w:rsid w:val="000C455E"/>
    <w:rsid w:val="000C45A7"/>
    <w:rsid w:val="000C45DC"/>
    <w:rsid w:val="000C4630"/>
    <w:rsid w:val="000C46E6"/>
    <w:rsid w:val="000C4764"/>
    <w:rsid w:val="000C479E"/>
    <w:rsid w:val="000C47C0"/>
    <w:rsid w:val="000C47F2"/>
    <w:rsid w:val="000C4856"/>
    <w:rsid w:val="000C48B1"/>
    <w:rsid w:val="000C49C9"/>
    <w:rsid w:val="000C4A49"/>
    <w:rsid w:val="000C4A86"/>
    <w:rsid w:val="000C4B04"/>
    <w:rsid w:val="000C4B6B"/>
    <w:rsid w:val="000C4C98"/>
    <w:rsid w:val="000C4CDD"/>
    <w:rsid w:val="000C4D60"/>
    <w:rsid w:val="000C4E18"/>
    <w:rsid w:val="000C4EA3"/>
    <w:rsid w:val="000C4EB1"/>
    <w:rsid w:val="000C4F03"/>
    <w:rsid w:val="000C4F11"/>
    <w:rsid w:val="000C4F1E"/>
    <w:rsid w:val="000C4F38"/>
    <w:rsid w:val="000C4FD9"/>
    <w:rsid w:val="000C5195"/>
    <w:rsid w:val="000C51A7"/>
    <w:rsid w:val="000C51C7"/>
    <w:rsid w:val="000C51DC"/>
    <w:rsid w:val="000C5215"/>
    <w:rsid w:val="000C5217"/>
    <w:rsid w:val="000C5252"/>
    <w:rsid w:val="000C5288"/>
    <w:rsid w:val="000C5321"/>
    <w:rsid w:val="000C53B8"/>
    <w:rsid w:val="000C53E2"/>
    <w:rsid w:val="000C53F9"/>
    <w:rsid w:val="000C53FB"/>
    <w:rsid w:val="000C5499"/>
    <w:rsid w:val="000C54C1"/>
    <w:rsid w:val="000C559F"/>
    <w:rsid w:val="000C564B"/>
    <w:rsid w:val="000C568D"/>
    <w:rsid w:val="000C5695"/>
    <w:rsid w:val="000C56A1"/>
    <w:rsid w:val="000C56AB"/>
    <w:rsid w:val="000C5725"/>
    <w:rsid w:val="000C577A"/>
    <w:rsid w:val="000C57A5"/>
    <w:rsid w:val="000C57D2"/>
    <w:rsid w:val="000C57F9"/>
    <w:rsid w:val="000C5839"/>
    <w:rsid w:val="000C584C"/>
    <w:rsid w:val="000C5893"/>
    <w:rsid w:val="000C58C5"/>
    <w:rsid w:val="000C594E"/>
    <w:rsid w:val="000C5973"/>
    <w:rsid w:val="000C5995"/>
    <w:rsid w:val="000C59E0"/>
    <w:rsid w:val="000C5A16"/>
    <w:rsid w:val="000C5A2E"/>
    <w:rsid w:val="000C5C35"/>
    <w:rsid w:val="000C5D50"/>
    <w:rsid w:val="000C5D5E"/>
    <w:rsid w:val="000C5DB3"/>
    <w:rsid w:val="000C5EAE"/>
    <w:rsid w:val="000C5F42"/>
    <w:rsid w:val="000C5F82"/>
    <w:rsid w:val="000C5FD4"/>
    <w:rsid w:val="000C5FFB"/>
    <w:rsid w:val="000C6016"/>
    <w:rsid w:val="000C602A"/>
    <w:rsid w:val="000C6045"/>
    <w:rsid w:val="000C608F"/>
    <w:rsid w:val="000C60B3"/>
    <w:rsid w:val="000C60B7"/>
    <w:rsid w:val="000C6231"/>
    <w:rsid w:val="000C6263"/>
    <w:rsid w:val="000C6264"/>
    <w:rsid w:val="000C62C1"/>
    <w:rsid w:val="000C638F"/>
    <w:rsid w:val="000C63A9"/>
    <w:rsid w:val="000C63DE"/>
    <w:rsid w:val="000C6458"/>
    <w:rsid w:val="000C64B3"/>
    <w:rsid w:val="000C64BB"/>
    <w:rsid w:val="000C64C1"/>
    <w:rsid w:val="000C64E1"/>
    <w:rsid w:val="000C653F"/>
    <w:rsid w:val="000C655B"/>
    <w:rsid w:val="000C656E"/>
    <w:rsid w:val="000C6581"/>
    <w:rsid w:val="000C65DB"/>
    <w:rsid w:val="000C6671"/>
    <w:rsid w:val="000C66C7"/>
    <w:rsid w:val="000C66EB"/>
    <w:rsid w:val="000C6731"/>
    <w:rsid w:val="000C67CC"/>
    <w:rsid w:val="000C682B"/>
    <w:rsid w:val="000C686D"/>
    <w:rsid w:val="000C6887"/>
    <w:rsid w:val="000C694F"/>
    <w:rsid w:val="000C6979"/>
    <w:rsid w:val="000C69AB"/>
    <w:rsid w:val="000C69CF"/>
    <w:rsid w:val="000C6A4D"/>
    <w:rsid w:val="000C6A5E"/>
    <w:rsid w:val="000C6A6B"/>
    <w:rsid w:val="000C6BA7"/>
    <w:rsid w:val="000C6C2F"/>
    <w:rsid w:val="000C6CF0"/>
    <w:rsid w:val="000C6D25"/>
    <w:rsid w:val="000C6DA8"/>
    <w:rsid w:val="000C6DFC"/>
    <w:rsid w:val="000C6E46"/>
    <w:rsid w:val="000C6E6F"/>
    <w:rsid w:val="000C6E91"/>
    <w:rsid w:val="000C7042"/>
    <w:rsid w:val="000C70BE"/>
    <w:rsid w:val="000C7196"/>
    <w:rsid w:val="000C71A0"/>
    <w:rsid w:val="000C71A1"/>
    <w:rsid w:val="000C71D2"/>
    <w:rsid w:val="000C71DE"/>
    <w:rsid w:val="000C722C"/>
    <w:rsid w:val="000C72D6"/>
    <w:rsid w:val="000C72ED"/>
    <w:rsid w:val="000C73CC"/>
    <w:rsid w:val="000C73EA"/>
    <w:rsid w:val="000C73EC"/>
    <w:rsid w:val="000C749F"/>
    <w:rsid w:val="000C74A9"/>
    <w:rsid w:val="000C7518"/>
    <w:rsid w:val="000C756B"/>
    <w:rsid w:val="000C758B"/>
    <w:rsid w:val="000C75C0"/>
    <w:rsid w:val="000C764A"/>
    <w:rsid w:val="000C7670"/>
    <w:rsid w:val="000C768F"/>
    <w:rsid w:val="000C7734"/>
    <w:rsid w:val="000C7777"/>
    <w:rsid w:val="000C77F1"/>
    <w:rsid w:val="000C77F5"/>
    <w:rsid w:val="000C786E"/>
    <w:rsid w:val="000C788B"/>
    <w:rsid w:val="000C788D"/>
    <w:rsid w:val="000C792E"/>
    <w:rsid w:val="000C797E"/>
    <w:rsid w:val="000C7AAC"/>
    <w:rsid w:val="000C7AE7"/>
    <w:rsid w:val="000C7AF5"/>
    <w:rsid w:val="000C7AF6"/>
    <w:rsid w:val="000C7C31"/>
    <w:rsid w:val="000C7CA6"/>
    <w:rsid w:val="000C7D9A"/>
    <w:rsid w:val="000C7DE0"/>
    <w:rsid w:val="000C7DF3"/>
    <w:rsid w:val="000C7E31"/>
    <w:rsid w:val="000C7E34"/>
    <w:rsid w:val="000C7E59"/>
    <w:rsid w:val="000C7E9F"/>
    <w:rsid w:val="000C7ECE"/>
    <w:rsid w:val="000C7F45"/>
    <w:rsid w:val="000C7FBF"/>
    <w:rsid w:val="000C7FCD"/>
    <w:rsid w:val="000C7FD8"/>
    <w:rsid w:val="000D008A"/>
    <w:rsid w:val="000D0090"/>
    <w:rsid w:val="000D009F"/>
    <w:rsid w:val="000D00E7"/>
    <w:rsid w:val="000D0100"/>
    <w:rsid w:val="000D0167"/>
    <w:rsid w:val="000D01D9"/>
    <w:rsid w:val="000D01F4"/>
    <w:rsid w:val="000D0261"/>
    <w:rsid w:val="000D030C"/>
    <w:rsid w:val="000D0312"/>
    <w:rsid w:val="000D032A"/>
    <w:rsid w:val="000D035D"/>
    <w:rsid w:val="000D0375"/>
    <w:rsid w:val="000D03B3"/>
    <w:rsid w:val="000D0446"/>
    <w:rsid w:val="000D0471"/>
    <w:rsid w:val="000D04BA"/>
    <w:rsid w:val="000D0534"/>
    <w:rsid w:val="000D0536"/>
    <w:rsid w:val="000D0589"/>
    <w:rsid w:val="000D058A"/>
    <w:rsid w:val="000D0656"/>
    <w:rsid w:val="000D067B"/>
    <w:rsid w:val="000D0691"/>
    <w:rsid w:val="000D06A5"/>
    <w:rsid w:val="000D06A6"/>
    <w:rsid w:val="000D06B6"/>
    <w:rsid w:val="000D06D3"/>
    <w:rsid w:val="000D0747"/>
    <w:rsid w:val="000D07FC"/>
    <w:rsid w:val="000D0808"/>
    <w:rsid w:val="000D0895"/>
    <w:rsid w:val="000D0943"/>
    <w:rsid w:val="000D09E5"/>
    <w:rsid w:val="000D0A71"/>
    <w:rsid w:val="000D0B30"/>
    <w:rsid w:val="000D0B8A"/>
    <w:rsid w:val="000D0BAA"/>
    <w:rsid w:val="000D0BB0"/>
    <w:rsid w:val="000D0BBC"/>
    <w:rsid w:val="000D0BC1"/>
    <w:rsid w:val="000D0BF7"/>
    <w:rsid w:val="000D0C0E"/>
    <w:rsid w:val="000D0C31"/>
    <w:rsid w:val="000D0C78"/>
    <w:rsid w:val="000D0D33"/>
    <w:rsid w:val="000D0D65"/>
    <w:rsid w:val="000D0D9C"/>
    <w:rsid w:val="000D0DAC"/>
    <w:rsid w:val="000D0DE1"/>
    <w:rsid w:val="000D0DED"/>
    <w:rsid w:val="000D0DFD"/>
    <w:rsid w:val="000D0E6B"/>
    <w:rsid w:val="000D0EF2"/>
    <w:rsid w:val="000D0F39"/>
    <w:rsid w:val="000D0F5B"/>
    <w:rsid w:val="000D0F9E"/>
    <w:rsid w:val="000D0FB7"/>
    <w:rsid w:val="000D1073"/>
    <w:rsid w:val="000D1081"/>
    <w:rsid w:val="000D1085"/>
    <w:rsid w:val="000D10A2"/>
    <w:rsid w:val="000D112F"/>
    <w:rsid w:val="000D1143"/>
    <w:rsid w:val="000D1250"/>
    <w:rsid w:val="000D125C"/>
    <w:rsid w:val="000D1271"/>
    <w:rsid w:val="000D12A8"/>
    <w:rsid w:val="000D12F2"/>
    <w:rsid w:val="000D135E"/>
    <w:rsid w:val="000D13D1"/>
    <w:rsid w:val="000D1407"/>
    <w:rsid w:val="000D140A"/>
    <w:rsid w:val="000D146A"/>
    <w:rsid w:val="000D1491"/>
    <w:rsid w:val="000D14AE"/>
    <w:rsid w:val="000D1502"/>
    <w:rsid w:val="000D151C"/>
    <w:rsid w:val="000D155C"/>
    <w:rsid w:val="000D1619"/>
    <w:rsid w:val="000D1630"/>
    <w:rsid w:val="000D1680"/>
    <w:rsid w:val="000D16A9"/>
    <w:rsid w:val="000D16DF"/>
    <w:rsid w:val="000D1784"/>
    <w:rsid w:val="000D17CE"/>
    <w:rsid w:val="000D17F3"/>
    <w:rsid w:val="000D1866"/>
    <w:rsid w:val="000D18D5"/>
    <w:rsid w:val="000D1907"/>
    <w:rsid w:val="000D1918"/>
    <w:rsid w:val="000D1924"/>
    <w:rsid w:val="000D19A1"/>
    <w:rsid w:val="000D19C0"/>
    <w:rsid w:val="000D1A45"/>
    <w:rsid w:val="000D1A7F"/>
    <w:rsid w:val="000D1A9A"/>
    <w:rsid w:val="000D1AAD"/>
    <w:rsid w:val="000D1AD4"/>
    <w:rsid w:val="000D1B64"/>
    <w:rsid w:val="000D1C75"/>
    <w:rsid w:val="000D1C79"/>
    <w:rsid w:val="000D1CDF"/>
    <w:rsid w:val="000D1D1F"/>
    <w:rsid w:val="000D1DDA"/>
    <w:rsid w:val="000D1DE6"/>
    <w:rsid w:val="000D1DE9"/>
    <w:rsid w:val="000D1E44"/>
    <w:rsid w:val="000D1E4B"/>
    <w:rsid w:val="000D1E9C"/>
    <w:rsid w:val="000D1EBE"/>
    <w:rsid w:val="000D1EFE"/>
    <w:rsid w:val="000D1F57"/>
    <w:rsid w:val="000D1F59"/>
    <w:rsid w:val="000D1F6F"/>
    <w:rsid w:val="000D20E3"/>
    <w:rsid w:val="000D210D"/>
    <w:rsid w:val="000D2147"/>
    <w:rsid w:val="000D216E"/>
    <w:rsid w:val="000D21C9"/>
    <w:rsid w:val="000D21D7"/>
    <w:rsid w:val="000D224D"/>
    <w:rsid w:val="000D2252"/>
    <w:rsid w:val="000D237C"/>
    <w:rsid w:val="000D2393"/>
    <w:rsid w:val="000D23A6"/>
    <w:rsid w:val="000D23F1"/>
    <w:rsid w:val="000D2464"/>
    <w:rsid w:val="000D2468"/>
    <w:rsid w:val="000D24FB"/>
    <w:rsid w:val="000D24FD"/>
    <w:rsid w:val="000D25A5"/>
    <w:rsid w:val="000D25C1"/>
    <w:rsid w:val="000D2669"/>
    <w:rsid w:val="000D2679"/>
    <w:rsid w:val="000D26CF"/>
    <w:rsid w:val="000D2706"/>
    <w:rsid w:val="000D271E"/>
    <w:rsid w:val="000D277C"/>
    <w:rsid w:val="000D283C"/>
    <w:rsid w:val="000D2875"/>
    <w:rsid w:val="000D28A5"/>
    <w:rsid w:val="000D290C"/>
    <w:rsid w:val="000D294D"/>
    <w:rsid w:val="000D295A"/>
    <w:rsid w:val="000D2AAE"/>
    <w:rsid w:val="000D2B63"/>
    <w:rsid w:val="000D2B7B"/>
    <w:rsid w:val="000D2BAC"/>
    <w:rsid w:val="000D2BED"/>
    <w:rsid w:val="000D2C3C"/>
    <w:rsid w:val="000D2C71"/>
    <w:rsid w:val="000D2C92"/>
    <w:rsid w:val="000D2CAA"/>
    <w:rsid w:val="000D2CCD"/>
    <w:rsid w:val="000D2CEC"/>
    <w:rsid w:val="000D2D10"/>
    <w:rsid w:val="000D2DE7"/>
    <w:rsid w:val="000D2DE8"/>
    <w:rsid w:val="000D2DF6"/>
    <w:rsid w:val="000D2EAA"/>
    <w:rsid w:val="000D2EC1"/>
    <w:rsid w:val="000D2EC3"/>
    <w:rsid w:val="000D2F0A"/>
    <w:rsid w:val="000D2F31"/>
    <w:rsid w:val="000D2F36"/>
    <w:rsid w:val="000D2F57"/>
    <w:rsid w:val="000D2F67"/>
    <w:rsid w:val="000D2F78"/>
    <w:rsid w:val="000D2F7C"/>
    <w:rsid w:val="000D2FA7"/>
    <w:rsid w:val="000D2FC2"/>
    <w:rsid w:val="000D2FED"/>
    <w:rsid w:val="000D3171"/>
    <w:rsid w:val="000D3180"/>
    <w:rsid w:val="000D318D"/>
    <w:rsid w:val="000D31B0"/>
    <w:rsid w:val="000D31C2"/>
    <w:rsid w:val="000D326A"/>
    <w:rsid w:val="000D32F3"/>
    <w:rsid w:val="000D3360"/>
    <w:rsid w:val="000D33BA"/>
    <w:rsid w:val="000D33FC"/>
    <w:rsid w:val="000D3416"/>
    <w:rsid w:val="000D3468"/>
    <w:rsid w:val="000D3486"/>
    <w:rsid w:val="000D34B7"/>
    <w:rsid w:val="000D34C5"/>
    <w:rsid w:val="000D354F"/>
    <w:rsid w:val="000D3552"/>
    <w:rsid w:val="000D3607"/>
    <w:rsid w:val="000D3609"/>
    <w:rsid w:val="000D360B"/>
    <w:rsid w:val="000D3694"/>
    <w:rsid w:val="000D374F"/>
    <w:rsid w:val="000D37BC"/>
    <w:rsid w:val="000D38B4"/>
    <w:rsid w:val="000D395F"/>
    <w:rsid w:val="000D396D"/>
    <w:rsid w:val="000D39A4"/>
    <w:rsid w:val="000D3B13"/>
    <w:rsid w:val="000D3B16"/>
    <w:rsid w:val="000D3B8E"/>
    <w:rsid w:val="000D3C5E"/>
    <w:rsid w:val="000D3C6D"/>
    <w:rsid w:val="000D3CBE"/>
    <w:rsid w:val="000D3D21"/>
    <w:rsid w:val="000D3D3A"/>
    <w:rsid w:val="000D3D90"/>
    <w:rsid w:val="000D3DAA"/>
    <w:rsid w:val="000D3DC1"/>
    <w:rsid w:val="000D3DC4"/>
    <w:rsid w:val="000D3E2B"/>
    <w:rsid w:val="000D3E50"/>
    <w:rsid w:val="000D3E9C"/>
    <w:rsid w:val="000D3FA5"/>
    <w:rsid w:val="000D3FB5"/>
    <w:rsid w:val="000D40E4"/>
    <w:rsid w:val="000D410C"/>
    <w:rsid w:val="000D4134"/>
    <w:rsid w:val="000D414F"/>
    <w:rsid w:val="000D41A6"/>
    <w:rsid w:val="000D4258"/>
    <w:rsid w:val="000D4290"/>
    <w:rsid w:val="000D439C"/>
    <w:rsid w:val="000D43E9"/>
    <w:rsid w:val="000D443F"/>
    <w:rsid w:val="000D44F5"/>
    <w:rsid w:val="000D4532"/>
    <w:rsid w:val="000D4570"/>
    <w:rsid w:val="000D45A2"/>
    <w:rsid w:val="000D45FB"/>
    <w:rsid w:val="000D4663"/>
    <w:rsid w:val="000D46DC"/>
    <w:rsid w:val="000D47B1"/>
    <w:rsid w:val="000D47B3"/>
    <w:rsid w:val="000D47C0"/>
    <w:rsid w:val="000D47DD"/>
    <w:rsid w:val="000D47F0"/>
    <w:rsid w:val="000D482E"/>
    <w:rsid w:val="000D487D"/>
    <w:rsid w:val="000D48FE"/>
    <w:rsid w:val="000D4905"/>
    <w:rsid w:val="000D4933"/>
    <w:rsid w:val="000D4A1A"/>
    <w:rsid w:val="000D4A32"/>
    <w:rsid w:val="000D4A3E"/>
    <w:rsid w:val="000D4A64"/>
    <w:rsid w:val="000D4A6F"/>
    <w:rsid w:val="000D4B10"/>
    <w:rsid w:val="000D4BFE"/>
    <w:rsid w:val="000D4C36"/>
    <w:rsid w:val="000D4CE8"/>
    <w:rsid w:val="000D4D1E"/>
    <w:rsid w:val="000D4D20"/>
    <w:rsid w:val="000D4D21"/>
    <w:rsid w:val="000D4D65"/>
    <w:rsid w:val="000D4D6B"/>
    <w:rsid w:val="000D4D88"/>
    <w:rsid w:val="000D4D8A"/>
    <w:rsid w:val="000D4E95"/>
    <w:rsid w:val="000D4ED4"/>
    <w:rsid w:val="000D4EDB"/>
    <w:rsid w:val="000D4EF9"/>
    <w:rsid w:val="000D4F5C"/>
    <w:rsid w:val="000D4F68"/>
    <w:rsid w:val="000D4FD8"/>
    <w:rsid w:val="000D507A"/>
    <w:rsid w:val="000D50A9"/>
    <w:rsid w:val="000D50CF"/>
    <w:rsid w:val="000D5178"/>
    <w:rsid w:val="000D51BB"/>
    <w:rsid w:val="000D526F"/>
    <w:rsid w:val="000D53AE"/>
    <w:rsid w:val="000D5442"/>
    <w:rsid w:val="000D5464"/>
    <w:rsid w:val="000D54CA"/>
    <w:rsid w:val="000D54E1"/>
    <w:rsid w:val="000D5503"/>
    <w:rsid w:val="000D550D"/>
    <w:rsid w:val="000D551F"/>
    <w:rsid w:val="000D5705"/>
    <w:rsid w:val="000D576C"/>
    <w:rsid w:val="000D577F"/>
    <w:rsid w:val="000D5791"/>
    <w:rsid w:val="000D579E"/>
    <w:rsid w:val="000D57F8"/>
    <w:rsid w:val="000D5838"/>
    <w:rsid w:val="000D58F6"/>
    <w:rsid w:val="000D5955"/>
    <w:rsid w:val="000D59B6"/>
    <w:rsid w:val="000D59DC"/>
    <w:rsid w:val="000D5A0C"/>
    <w:rsid w:val="000D5A6B"/>
    <w:rsid w:val="000D5B18"/>
    <w:rsid w:val="000D5B56"/>
    <w:rsid w:val="000D5B7F"/>
    <w:rsid w:val="000D5BCC"/>
    <w:rsid w:val="000D5C14"/>
    <w:rsid w:val="000D5C3E"/>
    <w:rsid w:val="000D5C9A"/>
    <w:rsid w:val="000D5CDC"/>
    <w:rsid w:val="000D5D45"/>
    <w:rsid w:val="000D5D98"/>
    <w:rsid w:val="000D5DA5"/>
    <w:rsid w:val="000D5E1B"/>
    <w:rsid w:val="000D5E30"/>
    <w:rsid w:val="000D5E38"/>
    <w:rsid w:val="000D5E41"/>
    <w:rsid w:val="000D5E95"/>
    <w:rsid w:val="000D5EB1"/>
    <w:rsid w:val="000D5ECC"/>
    <w:rsid w:val="000D5F16"/>
    <w:rsid w:val="000D5FAA"/>
    <w:rsid w:val="000D5FAB"/>
    <w:rsid w:val="000D5FED"/>
    <w:rsid w:val="000D5FF2"/>
    <w:rsid w:val="000D611E"/>
    <w:rsid w:val="000D6153"/>
    <w:rsid w:val="000D631E"/>
    <w:rsid w:val="000D6336"/>
    <w:rsid w:val="000D641D"/>
    <w:rsid w:val="000D64CF"/>
    <w:rsid w:val="000D65D3"/>
    <w:rsid w:val="000D65D8"/>
    <w:rsid w:val="000D65DF"/>
    <w:rsid w:val="000D6639"/>
    <w:rsid w:val="000D664F"/>
    <w:rsid w:val="000D66B8"/>
    <w:rsid w:val="000D66EE"/>
    <w:rsid w:val="000D6774"/>
    <w:rsid w:val="000D67F9"/>
    <w:rsid w:val="000D689A"/>
    <w:rsid w:val="000D6961"/>
    <w:rsid w:val="000D69CE"/>
    <w:rsid w:val="000D6A1F"/>
    <w:rsid w:val="000D6A44"/>
    <w:rsid w:val="000D6A49"/>
    <w:rsid w:val="000D6A65"/>
    <w:rsid w:val="000D6A84"/>
    <w:rsid w:val="000D6A90"/>
    <w:rsid w:val="000D6ABC"/>
    <w:rsid w:val="000D6AFA"/>
    <w:rsid w:val="000D6B03"/>
    <w:rsid w:val="000D6B1B"/>
    <w:rsid w:val="000D6C09"/>
    <w:rsid w:val="000D6C39"/>
    <w:rsid w:val="000D6CD1"/>
    <w:rsid w:val="000D6CD7"/>
    <w:rsid w:val="000D6D83"/>
    <w:rsid w:val="000D6DA9"/>
    <w:rsid w:val="000D6DF7"/>
    <w:rsid w:val="000D6E83"/>
    <w:rsid w:val="000D6E84"/>
    <w:rsid w:val="000D6EB4"/>
    <w:rsid w:val="000D6F14"/>
    <w:rsid w:val="000D6FC9"/>
    <w:rsid w:val="000D6FDC"/>
    <w:rsid w:val="000D704F"/>
    <w:rsid w:val="000D705F"/>
    <w:rsid w:val="000D71A4"/>
    <w:rsid w:val="000D71BC"/>
    <w:rsid w:val="000D7279"/>
    <w:rsid w:val="000D7369"/>
    <w:rsid w:val="000D7414"/>
    <w:rsid w:val="000D7498"/>
    <w:rsid w:val="000D74A7"/>
    <w:rsid w:val="000D7558"/>
    <w:rsid w:val="000D75F1"/>
    <w:rsid w:val="000D75FE"/>
    <w:rsid w:val="000D7612"/>
    <w:rsid w:val="000D7667"/>
    <w:rsid w:val="000D7684"/>
    <w:rsid w:val="000D7751"/>
    <w:rsid w:val="000D77B1"/>
    <w:rsid w:val="000D77B4"/>
    <w:rsid w:val="000D77F5"/>
    <w:rsid w:val="000D782C"/>
    <w:rsid w:val="000D785C"/>
    <w:rsid w:val="000D789F"/>
    <w:rsid w:val="000D78C1"/>
    <w:rsid w:val="000D791D"/>
    <w:rsid w:val="000D793B"/>
    <w:rsid w:val="000D79BA"/>
    <w:rsid w:val="000D79F0"/>
    <w:rsid w:val="000D79FF"/>
    <w:rsid w:val="000D7A07"/>
    <w:rsid w:val="000D7A49"/>
    <w:rsid w:val="000D7AE8"/>
    <w:rsid w:val="000D7B52"/>
    <w:rsid w:val="000D7BDE"/>
    <w:rsid w:val="000D7C3B"/>
    <w:rsid w:val="000D7C3F"/>
    <w:rsid w:val="000D7C66"/>
    <w:rsid w:val="000D7C7E"/>
    <w:rsid w:val="000D7CAE"/>
    <w:rsid w:val="000D7CD4"/>
    <w:rsid w:val="000D7CEF"/>
    <w:rsid w:val="000D7D15"/>
    <w:rsid w:val="000D7EBB"/>
    <w:rsid w:val="000D7F09"/>
    <w:rsid w:val="000D7F69"/>
    <w:rsid w:val="000D7FA6"/>
    <w:rsid w:val="000D7FB7"/>
    <w:rsid w:val="000E00C1"/>
    <w:rsid w:val="000E00FE"/>
    <w:rsid w:val="000E010A"/>
    <w:rsid w:val="000E023A"/>
    <w:rsid w:val="000E027D"/>
    <w:rsid w:val="000E02D5"/>
    <w:rsid w:val="000E02D8"/>
    <w:rsid w:val="000E0341"/>
    <w:rsid w:val="000E0353"/>
    <w:rsid w:val="000E03F5"/>
    <w:rsid w:val="000E0440"/>
    <w:rsid w:val="000E0442"/>
    <w:rsid w:val="000E048F"/>
    <w:rsid w:val="000E04A1"/>
    <w:rsid w:val="000E04C1"/>
    <w:rsid w:val="000E0538"/>
    <w:rsid w:val="000E054D"/>
    <w:rsid w:val="000E0585"/>
    <w:rsid w:val="000E0588"/>
    <w:rsid w:val="000E05BA"/>
    <w:rsid w:val="000E05FA"/>
    <w:rsid w:val="000E0624"/>
    <w:rsid w:val="000E0669"/>
    <w:rsid w:val="000E067B"/>
    <w:rsid w:val="000E0689"/>
    <w:rsid w:val="000E06A0"/>
    <w:rsid w:val="000E0785"/>
    <w:rsid w:val="000E0803"/>
    <w:rsid w:val="000E0881"/>
    <w:rsid w:val="000E0888"/>
    <w:rsid w:val="000E095B"/>
    <w:rsid w:val="000E09B7"/>
    <w:rsid w:val="000E09E7"/>
    <w:rsid w:val="000E0A0F"/>
    <w:rsid w:val="000E0B14"/>
    <w:rsid w:val="000E0B58"/>
    <w:rsid w:val="000E0B70"/>
    <w:rsid w:val="000E0B85"/>
    <w:rsid w:val="000E0B87"/>
    <w:rsid w:val="000E0BE2"/>
    <w:rsid w:val="000E0C47"/>
    <w:rsid w:val="000E0D55"/>
    <w:rsid w:val="000E0D8F"/>
    <w:rsid w:val="000E0DBD"/>
    <w:rsid w:val="000E0DBE"/>
    <w:rsid w:val="000E0E07"/>
    <w:rsid w:val="000E0E17"/>
    <w:rsid w:val="000E0EAF"/>
    <w:rsid w:val="000E0F5C"/>
    <w:rsid w:val="000E0FCD"/>
    <w:rsid w:val="000E0FD6"/>
    <w:rsid w:val="000E103D"/>
    <w:rsid w:val="000E104D"/>
    <w:rsid w:val="000E106B"/>
    <w:rsid w:val="000E1133"/>
    <w:rsid w:val="000E1180"/>
    <w:rsid w:val="000E11ED"/>
    <w:rsid w:val="000E1273"/>
    <w:rsid w:val="000E1288"/>
    <w:rsid w:val="000E12F9"/>
    <w:rsid w:val="000E1364"/>
    <w:rsid w:val="000E1369"/>
    <w:rsid w:val="000E142E"/>
    <w:rsid w:val="000E15BB"/>
    <w:rsid w:val="000E15EF"/>
    <w:rsid w:val="000E15F6"/>
    <w:rsid w:val="000E161C"/>
    <w:rsid w:val="000E1668"/>
    <w:rsid w:val="000E1697"/>
    <w:rsid w:val="000E16A2"/>
    <w:rsid w:val="000E172E"/>
    <w:rsid w:val="000E17F2"/>
    <w:rsid w:val="000E180A"/>
    <w:rsid w:val="000E1867"/>
    <w:rsid w:val="000E18DC"/>
    <w:rsid w:val="000E18FE"/>
    <w:rsid w:val="000E190A"/>
    <w:rsid w:val="000E190C"/>
    <w:rsid w:val="000E1972"/>
    <w:rsid w:val="000E1983"/>
    <w:rsid w:val="000E199D"/>
    <w:rsid w:val="000E19AD"/>
    <w:rsid w:val="000E1A08"/>
    <w:rsid w:val="000E1A57"/>
    <w:rsid w:val="000E1A69"/>
    <w:rsid w:val="000E1AD0"/>
    <w:rsid w:val="000E1B8A"/>
    <w:rsid w:val="000E1BC3"/>
    <w:rsid w:val="000E1BFC"/>
    <w:rsid w:val="000E1C05"/>
    <w:rsid w:val="000E1C20"/>
    <w:rsid w:val="000E1C4D"/>
    <w:rsid w:val="000E1CC8"/>
    <w:rsid w:val="000E1CE4"/>
    <w:rsid w:val="000E1D02"/>
    <w:rsid w:val="000E1D90"/>
    <w:rsid w:val="000E1DBF"/>
    <w:rsid w:val="000E1DE9"/>
    <w:rsid w:val="000E1E03"/>
    <w:rsid w:val="000E1E3D"/>
    <w:rsid w:val="000E1E5E"/>
    <w:rsid w:val="000E1E6E"/>
    <w:rsid w:val="000E1EE0"/>
    <w:rsid w:val="000E1F40"/>
    <w:rsid w:val="000E1FFA"/>
    <w:rsid w:val="000E1FFD"/>
    <w:rsid w:val="000E20A8"/>
    <w:rsid w:val="000E20D5"/>
    <w:rsid w:val="000E2131"/>
    <w:rsid w:val="000E213B"/>
    <w:rsid w:val="000E2192"/>
    <w:rsid w:val="000E21AE"/>
    <w:rsid w:val="000E21DC"/>
    <w:rsid w:val="000E220C"/>
    <w:rsid w:val="000E2215"/>
    <w:rsid w:val="000E223D"/>
    <w:rsid w:val="000E2240"/>
    <w:rsid w:val="000E225E"/>
    <w:rsid w:val="000E22CE"/>
    <w:rsid w:val="000E2336"/>
    <w:rsid w:val="000E2352"/>
    <w:rsid w:val="000E2356"/>
    <w:rsid w:val="000E23DB"/>
    <w:rsid w:val="000E241B"/>
    <w:rsid w:val="000E24A9"/>
    <w:rsid w:val="000E24CF"/>
    <w:rsid w:val="000E24EA"/>
    <w:rsid w:val="000E24F5"/>
    <w:rsid w:val="000E2502"/>
    <w:rsid w:val="000E2567"/>
    <w:rsid w:val="000E258B"/>
    <w:rsid w:val="000E25D4"/>
    <w:rsid w:val="000E2623"/>
    <w:rsid w:val="000E2665"/>
    <w:rsid w:val="000E26AE"/>
    <w:rsid w:val="000E2758"/>
    <w:rsid w:val="000E27C2"/>
    <w:rsid w:val="000E2842"/>
    <w:rsid w:val="000E28D3"/>
    <w:rsid w:val="000E28FE"/>
    <w:rsid w:val="000E2973"/>
    <w:rsid w:val="000E29E9"/>
    <w:rsid w:val="000E29F8"/>
    <w:rsid w:val="000E2A09"/>
    <w:rsid w:val="000E2A18"/>
    <w:rsid w:val="000E2A89"/>
    <w:rsid w:val="000E2AB8"/>
    <w:rsid w:val="000E2AF4"/>
    <w:rsid w:val="000E2B87"/>
    <w:rsid w:val="000E2B8F"/>
    <w:rsid w:val="000E2B90"/>
    <w:rsid w:val="000E2C4A"/>
    <w:rsid w:val="000E2C55"/>
    <w:rsid w:val="000E2C72"/>
    <w:rsid w:val="000E2CA1"/>
    <w:rsid w:val="000E2CDF"/>
    <w:rsid w:val="000E2CEA"/>
    <w:rsid w:val="000E2D17"/>
    <w:rsid w:val="000E2DA7"/>
    <w:rsid w:val="000E2F2B"/>
    <w:rsid w:val="000E2F9E"/>
    <w:rsid w:val="000E2FCA"/>
    <w:rsid w:val="000E301D"/>
    <w:rsid w:val="000E3029"/>
    <w:rsid w:val="000E3086"/>
    <w:rsid w:val="000E3088"/>
    <w:rsid w:val="000E3113"/>
    <w:rsid w:val="000E3115"/>
    <w:rsid w:val="000E322E"/>
    <w:rsid w:val="000E32AC"/>
    <w:rsid w:val="000E3378"/>
    <w:rsid w:val="000E33BC"/>
    <w:rsid w:val="000E345B"/>
    <w:rsid w:val="000E3502"/>
    <w:rsid w:val="000E3521"/>
    <w:rsid w:val="000E3545"/>
    <w:rsid w:val="000E3569"/>
    <w:rsid w:val="000E356F"/>
    <w:rsid w:val="000E3581"/>
    <w:rsid w:val="000E3624"/>
    <w:rsid w:val="000E364A"/>
    <w:rsid w:val="000E3696"/>
    <w:rsid w:val="000E3733"/>
    <w:rsid w:val="000E3744"/>
    <w:rsid w:val="000E3763"/>
    <w:rsid w:val="000E379D"/>
    <w:rsid w:val="000E37A7"/>
    <w:rsid w:val="000E385B"/>
    <w:rsid w:val="000E3902"/>
    <w:rsid w:val="000E3932"/>
    <w:rsid w:val="000E39D6"/>
    <w:rsid w:val="000E39DC"/>
    <w:rsid w:val="000E3A81"/>
    <w:rsid w:val="000E3AD5"/>
    <w:rsid w:val="000E3AED"/>
    <w:rsid w:val="000E3AFB"/>
    <w:rsid w:val="000E3B4D"/>
    <w:rsid w:val="000E3C92"/>
    <w:rsid w:val="000E3CB9"/>
    <w:rsid w:val="000E3D0E"/>
    <w:rsid w:val="000E3DDE"/>
    <w:rsid w:val="000E3E35"/>
    <w:rsid w:val="000E3E44"/>
    <w:rsid w:val="000E3E45"/>
    <w:rsid w:val="000E3E51"/>
    <w:rsid w:val="000E3EEF"/>
    <w:rsid w:val="000E3F0D"/>
    <w:rsid w:val="000E3F4F"/>
    <w:rsid w:val="000E3FE6"/>
    <w:rsid w:val="000E4094"/>
    <w:rsid w:val="000E40F8"/>
    <w:rsid w:val="000E416C"/>
    <w:rsid w:val="000E41D1"/>
    <w:rsid w:val="000E4284"/>
    <w:rsid w:val="000E42DE"/>
    <w:rsid w:val="000E42E9"/>
    <w:rsid w:val="000E42F1"/>
    <w:rsid w:val="000E4330"/>
    <w:rsid w:val="000E4341"/>
    <w:rsid w:val="000E435F"/>
    <w:rsid w:val="000E43EB"/>
    <w:rsid w:val="000E4477"/>
    <w:rsid w:val="000E447B"/>
    <w:rsid w:val="000E44B4"/>
    <w:rsid w:val="000E44DA"/>
    <w:rsid w:val="000E4546"/>
    <w:rsid w:val="000E4649"/>
    <w:rsid w:val="000E4665"/>
    <w:rsid w:val="000E466F"/>
    <w:rsid w:val="000E46E7"/>
    <w:rsid w:val="000E46FF"/>
    <w:rsid w:val="000E47D6"/>
    <w:rsid w:val="000E489B"/>
    <w:rsid w:val="000E489F"/>
    <w:rsid w:val="000E48C6"/>
    <w:rsid w:val="000E48FD"/>
    <w:rsid w:val="000E49D0"/>
    <w:rsid w:val="000E49E8"/>
    <w:rsid w:val="000E49FC"/>
    <w:rsid w:val="000E4A19"/>
    <w:rsid w:val="000E4AF6"/>
    <w:rsid w:val="000E4BD7"/>
    <w:rsid w:val="000E4BE0"/>
    <w:rsid w:val="000E4C62"/>
    <w:rsid w:val="000E4C63"/>
    <w:rsid w:val="000E4C9D"/>
    <w:rsid w:val="000E4CAE"/>
    <w:rsid w:val="000E4D97"/>
    <w:rsid w:val="000E4D9E"/>
    <w:rsid w:val="000E4DEB"/>
    <w:rsid w:val="000E4E25"/>
    <w:rsid w:val="000E4E46"/>
    <w:rsid w:val="000E4E96"/>
    <w:rsid w:val="000E4E98"/>
    <w:rsid w:val="000E4EC9"/>
    <w:rsid w:val="000E4F2A"/>
    <w:rsid w:val="000E4F2E"/>
    <w:rsid w:val="000E4FA7"/>
    <w:rsid w:val="000E4FDA"/>
    <w:rsid w:val="000E510E"/>
    <w:rsid w:val="000E5237"/>
    <w:rsid w:val="000E5243"/>
    <w:rsid w:val="000E524B"/>
    <w:rsid w:val="000E5266"/>
    <w:rsid w:val="000E533F"/>
    <w:rsid w:val="000E53DB"/>
    <w:rsid w:val="000E5477"/>
    <w:rsid w:val="000E547C"/>
    <w:rsid w:val="000E54D9"/>
    <w:rsid w:val="000E550D"/>
    <w:rsid w:val="000E5529"/>
    <w:rsid w:val="000E5564"/>
    <w:rsid w:val="000E5720"/>
    <w:rsid w:val="000E5792"/>
    <w:rsid w:val="000E57BD"/>
    <w:rsid w:val="000E57C9"/>
    <w:rsid w:val="000E5821"/>
    <w:rsid w:val="000E5869"/>
    <w:rsid w:val="000E586A"/>
    <w:rsid w:val="000E5883"/>
    <w:rsid w:val="000E5941"/>
    <w:rsid w:val="000E5A11"/>
    <w:rsid w:val="000E5ACB"/>
    <w:rsid w:val="000E5B9B"/>
    <w:rsid w:val="000E5C46"/>
    <w:rsid w:val="000E5DA5"/>
    <w:rsid w:val="000E5DEA"/>
    <w:rsid w:val="000E5E2A"/>
    <w:rsid w:val="000E5E86"/>
    <w:rsid w:val="000E5E8B"/>
    <w:rsid w:val="000E5F48"/>
    <w:rsid w:val="000E5F49"/>
    <w:rsid w:val="000E5F54"/>
    <w:rsid w:val="000E6013"/>
    <w:rsid w:val="000E6054"/>
    <w:rsid w:val="000E60AF"/>
    <w:rsid w:val="000E60CA"/>
    <w:rsid w:val="000E613F"/>
    <w:rsid w:val="000E614F"/>
    <w:rsid w:val="000E61A9"/>
    <w:rsid w:val="000E61F1"/>
    <w:rsid w:val="000E620E"/>
    <w:rsid w:val="000E623B"/>
    <w:rsid w:val="000E624B"/>
    <w:rsid w:val="000E62FD"/>
    <w:rsid w:val="000E6302"/>
    <w:rsid w:val="000E6317"/>
    <w:rsid w:val="000E632F"/>
    <w:rsid w:val="000E63C6"/>
    <w:rsid w:val="000E63EB"/>
    <w:rsid w:val="000E6438"/>
    <w:rsid w:val="000E6556"/>
    <w:rsid w:val="000E6571"/>
    <w:rsid w:val="000E6592"/>
    <w:rsid w:val="000E65C6"/>
    <w:rsid w:val="000E65FC"/>
    <w:rsid w:val="000E6603"/>
    <w:rsid w:val="000E66F6"/>
    <w:rsid w:val="000E670B"/>
    <w:rsid w:val="000E670E"/>
    <w:rsid w:val="000E6715"/>
    <w:rsid w:val="000E67AF"/>
    <w:rsid w:val="000E6804"/>
    <w:rsid w:val="000E6819"/>
    <w:rsid w:val="000E68B0"/>
    <w:rsid w:val="000E68BB"/>
    <w:rsid w:val="000E68DF"/>
    <w:rsid w:val="000E693A"/>
    <w:rsid w:val="000E6957"/>
    <w:rsid w:val="000E6981"/>
    <w:rsid w:val="000E69A9"/>
    <w:rsid w:val="000E6A91"/>
    <w:rsid w:val="000E6AB0"/>
    <w:rsid w:val="000E6B30"/>
    <w:rsid w:val="000E6B4C"/>
    <w:rsid w:val="000E6BC9"/>
    <w:rsid w:val="000E6BD4"/>
    <w:rsid w:val="000E6BFE"/>
    <w:rsid w:val="000E6C94"/>
    <w:rsid w:val="000E6C9B"/>
    <w:rsid w:val="000E6D8B"/>
    <w:rsid w:val="000E6DB8"/>
    <w:rsid w:val="000E6E48"/>
    <w:rsid w:val="000E6F3B"/>
    <w:rsid w:val="000E6F65"/>
    <w:rsid w:val="000E6FA5"/>
    <w:rsid w:val="000E7006"/>
    <w:rsid w:val="000E7064"/>
    <w:rsid w:val="000E708D"/>
    <w:rsid w:val="000E7120"/>
    <w:rsid w:val="000E7174"/>
    <w:rsid w:val="000E7182"/>
    <w:rsid w:val="000E71D4"/>
    <w:rsid w:val="000E721B"/>
    <w:rsid w:val="000E7256"/>
    <w:rsid w:val="000E72C1"/>
    <w:rsid w:val="000E7324"/>
    <w:rsid w:val="000E7344"/>
    <w:rsid w:val="000E735B"/>
    <w:rsid w:val="000E7370"/>
    <w:rsid w:val="000E73C0"/>
    <w:rsid w:val="000E74CE"/>
    <w:rsid w:val="000E74E5"/>
    <w:rsid w:val="000E74F5"/>
    <w:rsid w:val="000E7535"/>
    <w:rsid w:val="000E7594"/>
    <w:rsid w:val="000E75A5"/>
    <w:rsid w:val="000E76CE"/>
    <w:rsid w:val="000E76E2"/>
    <w:rsid w:val="000E76F2"/>
    <w:rsid w:val="000E771D"/>
    <w:rsid w:val="000E77C7"/>
    <w:rsid w:val="000E78D4"/>
    <w:rsid w:val="000E78D6"/>
    <w:rsid w:val="000E7CF3"/>
    <w:rsid w:val="000E7D75"/>
    <w:rsid w:val="000E7DCB"/>
    <w:rsid w:val="000E7E07"/>
    <w:rsid w:val="000E7E1A"/>
    <w:rsid w:val="000E7E65"/>
    <w:rsid w:val="000E7E8F"/>
    <w:rsid w:val="000E7EA6"/>
    <w:rsid w:val="000E7F00"/>
    <w:rsid w:val="000E7F29"/>
    <w:rsid w:val="000E7FD4"/>
    <w:rsid w:val="000E7FF8"/>
    <w:rsid w:val="000F0004"/>
    <w:rsid w:val="000F019E"/>
    <w:rsid w:val="000F029C"/>
    <w:rsid w:val="000F02AD"/>
    <w:rsid w:val="000F02C7"/>
    <w:rsid w:val="000F0347"/>
    <w:rsid w:val="000F0365"/>
    <w:rsid w:val="000F0372"/>
    <w:rsid w:val="000F03D0"/>
    <w:rsid w:val="000F03EE"/>
    <w:rsid w:val="000F040D"/>
    <w:rsid w:val="000F041C"/>
    <w:rsid w:val="000F0460"/>
    <w:rsid w:val="000F04A6"/>
    <w:rsid w:val="000F04AF"/>
    <w:rsid w:val="000F04F3"/>
    <w:rsid w:val="000F04F6"/>
    <w:rsid w:val="000F055A"/>
    <w:rsid w:val="000F055B"/>
    <w:rsid w:val="000F05D8"/>
    <w:rsid w:val="000F0639"/>
    <w:rsid w:val="000F068E"/>
    <w:rsid w:val="000F06FB"/>
    <w:rsid w:val="000F0756"/>
    <w:rsid w:val="000F078D"/>
    <w:rsid w:val="000F0818"/>
    <w:rsid w:val="000F0891"/>
    <w:rsid w:val="000F08AD"/>
    <w:rsid w:val="000F092A"/>
    <w:rsid w:val="000F0A01"/>
    <w:rsid w:val="000F0A58"/>
    <w:rsid w:val="000F0A63"/>
    <w:rsid w:val="000F0A99"/>
    <w:rsid w:val="000F0AA0"/>
    <w:rsid w:val="000F0AA4"/>
    <w:rsid w:val="000F0AAF"/>
    <w:rsid w:val="000F0B1A"/>
    <w:rsid w:val="000F0C3B"/>
    <w:rsid w:val="000F0C61"/>
    <w:rsid w:val="000F0CBF"/>
    <w:rsid w:val="000F0CDB"/>
    <w:rsid w:val="000F0D94"/>
    <w:rsid w:val="000F0DA1"/>
    <w:rsid w:val="000F0E59"/>
    <w:rsid w:val="000F0F06"/>
    <w:rsid w:val="000F1011"/>
    <w:rsid w:val="000F101B"/>
    <w:rsid w:val="000F10C9"/>
    <w:rsid w:val="000F10D0"/>
    <w:rsid w:val="000F10E7"/>
    <w:rsid w:val="000F11E7"/>
    <w:rsid w:val="000F1301"/>
    <w:rsid w:val="000F13CF"/>
    <w:rsid w:val="000F1409"/>
    <w:rsid w:val="000F1478"/>
    <w:rsid w:val="000F1490"/>
    <w:rsid w:val="000F14BE"/>
    <w:rsid w:val="000F1625"/>
    <w:rsid w:val="000F1642"/>
    <w:rsid w:val="000F1648"/>
    <w:rsid w:val="000F16D4"/>
    <w:rsid w:val="000F1830"/>
    <w:rsid w:val="000F18BD"/>
    <w:rsid w:val="000F18D3"/>
    <w:rsid w:val="000F1940"/>
    <w:rsid w:val="000F1A9D"/>
    <w:rsid w:val="000F1ADB"/>
    <w:rsid w:val="000F1AF3"/>
    <w:rsid w:val="000F1B3D"/>
    <w:rsid w:val="000F1C22"/>
    <w:rsid w:val="000F1CA6"/>
    <w:rsid w:val="000F1CCE"/>
    <w:rsid w:val="000F1D9B"/>
    <w:rsid w:val="000F1EDA"/>
    <w:rsid w:val="000F1F35"/>
    <w:rsid w:val="000F1F92"/>
    <w:rsid w:val="000F2076"/>
    <w:rsid w:val="000F20F6"/>
    <w:rsid w:val="000F211A"/>
    <w:rsid w:val="000F2212"/>
    <w:rsid w:val="000F230C"/>
    <w:rsid w:val="000F23D7"/>
    <w:rsid w:val="000F23EC"/>
    <w:rsid w:val="000F24C7"/>
    <w:rsid w:val="000F254C"/>
    <w:rsid w:val="000F2632"/>
    <w:rsid w:val="000F2775"/>
    <w:rsid w:val="000F27A7"/>
    <w:rsid w:val="000F27BB"/>
    <w:rsid w:val="000F2815"/>
    <w:rsid w:val="000F28D1"/>
    <w:rsid w:val="000F293A"/>
    <w:rsid w:val="000F2968"/>
    <w:rsid w:val="000F29FC"/>
    <w:rsid w:val="000F2A57"/>
    <w:rsid w:val="000F2A6B"/>
    <w:rsid w:val="000F2AAE"/>
    <w:rsid w:val="000F2AFF"/>
    <w:rsid w:val="000F2C03"/>
    <w:rsid w:val="000F2C44"/>
    <w:rsid w:val="000F2C81"/>
    <w:rsid w:val="000F2CBD"/>
    <w:rsid w:val="000F2D39"/>
    <w:rsid w:val="000F2D6A"/>
    <w:rsid w:val="000F2DDF"/>
    <w:rsid w:val="000F2DED"/>
    <w:rsid w:val="000F2E01"/>
    <w:rsid w:val="000F2E08"/>
    <w:rsid w:val="000F2E5B"/>
    <w:rsid w:val="000F2EAC"/>
    <w:rsid w:val="000F2F18"/>
    <w:rsid w:val="000F2F53"/>
    <w:rsid w:val="000F2F7E"/>
    <w:rsid w:val="000F2FA7"/>
    <w:rsid w:val="000F2FC6"/>
    <w:rsid w:val="000F3040"/>
    <w:rsid w:val="000F30B8"/>
    <w:rsid w:val="000F3116"/>
    <w:rsid w:val="000F3173"/>
    <w:rsid w:val="000F3181"/>
    <w:rsid w:val="000F31C1"/>
    <w:rsid w:val="000F31DC"/>
    <w:rsid w:val="000F31E3"/>
    <w:rsid w:val="000F32FC"/>
    <w:rsid w:val="000F3301"/>
    <w:rsid w:val="000F3395"/>
    <w:rsid w:val="000F33CF"/>
    <w:rsid w:val="000F3410"/>
    <w:rsid w:val="000F3444"/>
    <w:rsid w:val="000F345B"/>
    <w:rsid w:val="000F348E"/>
    <w:rsid w:val="000F35E8"/>
    <w:rsid w:val="000F3623"/>
    <w:rsid w:val="000F362E"/>
    <w:rsid w:val="000F3700"/>
    <w:rsid w:val="000F3770"/>
    <w:rsid w:val="000F37F3"/>
    <w:rsid w:val="000F38B3"/>
    <w:rsid w:val="000F38CF"/>
    <w:rsid w:val="000F38F0"/>
    <w:rsid w:val="000F3906"/>
    <w:rsid w:val="000F3970"/>
    <w:rsid w:val="000F3A20"/>
    <w:rsid w:val="000F3A79"/>
    <w:rsid w:val="000F3AC1"/>
    <w:rsid w:val="000F3B85"/>
    <w:rsid w:val="000F3BBF"/>
    <w:rsid w:val="000F3C11"/>
    <w:rsid w:val="000F3C21"/>
    <w:rsid w:val="000F3C7C"/>
    <w:rsid w:val="000F3D2C"/>
    <w:rsid w:val="000F3D32"/>
    <w:rsid w:val="000F3DE6"/>
    <w:rsid w:val="000F3E68"/>
    <w:rsid w:val="000F3EA3"/>
    <w:rsid w:val="000F3EB8"/>
    <w:rsid w:val="000F3F22"/>
    <w:rsid w:val="000F3F35"/>
    <w:rsid w:val="000F3F70"/>
    <w:rsid w:val="000F3FAA"/>
    <w:rsid w:val="000F405E"/>
    <w:rsid w:val="000F407A"/>
    <w:rsid w:val="000F4128"/>
    <w:rsid w:val="000F417F"/>
    <w:rsid w:val="000F41D9"/>
    <w:rsid w:val="000F4213"/>
    <w:rsid w:val="000F4218"/>
    <w:rsid w:val="000F427D"/>
    <w:rsid w:val="000F429A"/>
    <w:rsid w:val="000F4333"/>
    <w:rsid w:val="000F4349"/>
    <w:rsid w:val="000F43CD"/>
    <w:rsid w:val="000F4451"/>
    <w:rsid w:val="000F44E3"/>
    <w:rsid w:val="000F456B"/>
    <w:rsid w:val="000F4576"/>
    <w:rsid w:val="000F4601"/>
    <w:rsid w:val="000F4619"/>
    <w:rsid w:val="000F462E"/>
    <w:rsid w:val="000F470E"/>
    <w:rsid w:val="000F482C"/>
    <w:rsid w:val="000F4846"/>
    <w:rsid w:val="000F4979"/>
    <w:rsid w:val="000F49AC"/>
    <w:rsid w:val="000F4A77"/>
    <w:rsid w:val="000F4B07"/>
    <w:rsid w:val="000F4B0D"/>
    <w:rsid w:val="000F4C26"/>
    <w:rsid w:val="000F4CA6"/>
    <w:rsid w:val="000F4DA8"/>
    <w:rsid w:val="000F4DB0"/>
    <w:rsid w:val="000F4DF2"/>
    <w:rsid w:val="000F4DFC"/>
    <w:rsid w:val="000F4E97"/>
    <w:rsid w:val="000F4FC3"/>
    <w:rsid w:val="000F506D"/>
    <w:rsid w:val="000F5115"/>
    <w:rsid w:val="000F5155"/>
    <w:rsid w:val="000F5166"/>
    <w:rsid w:val="000F5174"/>
    <w:rsid w:val="000F5244"/>
    <w:rsid w:val="000F528C"/>
    <w:rsid w:val="000F5360"/>
    <w:rsid w:val="000F5414"/>
    <w:rsid w:val="000F560D"/>
    <w:rsid w:val="000F561B"/>
    <w:rsid w:val="000F5630"/>
    <w:rsid w:val="000F56D9"/>
    <w:rsid w:val="000F5716"/>
    <w:rsid w:val="000F575B"/>
    <w:rsid w:val="000F577F"/>
    <w:rsid w:val="000F5794"/>
    <w:rsid w:val="000F57DA"/>
    <w:rsid w:val="000F5853"/>
    <w:rsid w:val="000F58B9"/>
    <w:rsid w:val="000F58DF"/>
    <w:rsid w:val="000F594D"/>
    <w:rsid w:val="000F59A5"/>
    <w:rsid w:val="000F59B6"/>
    <w:rsid w:val="000F59BB"/>
    <w:rsid w:val="000F5A3F"/>
    <w:rsid w:val="000F5ABC"/>
    <w:rsid w:val="000F5B94"/>
    <w:rsid w:val="000F5B9E"/>
    <w:rsid w:val="000F5C18"/>
    <w:rsid w:val="000F5C43"/>
    <w:rsid w:val="000F5C75"/>
    <w:rsid w:val="000F5CAA"/>
    <w:rsid w:val="000F5CC5"/>
    <w:rsid w:val="000F5D0C"/>
    <w:rsid w:val="000F5D19"/>
    <w:rsid w:val="000F5DB8"/>
    <w:rsid w:val="000F5E1F"/>
    <w:rsid w:val="000F5EF4"/>
    <w:rsid w:val="000F5EF6"/>
    <w:rsid w:val="000F5F25"/>
    <w:rsid w:val="000F5F2B"/>
    <w:rsid w:val="000F5F46"/>
    <w:rsid w:val="000F5F73"/>
    <w:rsid w:val="000F5F7C"/>
    <w:rsid w:val="000F5FCE"/>
    <w:rsid w:val="000F5FF6"/>
    <w:rsid w:val="000F6013"/>
    <w:rsid w:val="000F6024"/>
    <w:rsid w:val="000F60F1"/>
    <w:rsid w:val="000F611C"/>
    <w:rsid w:val="000F62EB"/>
    <w:rsid w:val="000F6335"/>
    <w:rsid w:val="000F6365"/>
    <w:rsid w:val="000F6383"/>
    <w:rsid w:val="000F643E"/>
    <w:rsid w:val="000F6483"/>
    <w:rsid w:val="000F64B2"/>
    <w:rsid w:val="000F6547"/>
    <w:rsid w:val="000F6591"/>
    <w:rsid w:val="000F65E9"/>
    <w:rsid w:val="000F65F1"/>
    <w:rsid w:val="000F6666"/>
    <w:rsid w:val="000F6680"/>
    <w:rsid w:val="000F66EA"/>
    <w:rsid w:val="000F6764"/>
    <w:rsid w:val="000F6841"/>
    <w:rsid w:val="000F685D"/>
    <w:rsid w:val="000F6880"/>
    <w:rsid w:val="000F68AC"/>
    <w:rsid w:val="000F6914"/>
    <w:rsid w:val="000F6939"/>
    <w:rsid w:val="000F69A7"/>
    <w:rsid w:val="000F69B8"/>
    <w:rsid w:val="000F69F7"/>
    <w:rsid w:val="000F6A4E"/>
    <w:rsid w:val="000F6A5E"/>
    <w:rsid w:val="000F6AAE"/>
    <w:rsid w:val="000F6AC1"/>
    <w:rsid w:val="000F6B47"/>
    <w:rsid w:val="000F6BE3"/>
    <w:rsid w:val="000F6BF5"/>
    <w:rsid w:val="000F6C01"/>
    <w:rsid w:val="000F6C0C"/>
    <w:rsid w:val="000F6CFE"/>
    <w:rsid w:val="000F6D96"/>
    <w:rsid w:val="000F6DCD"/>
    <w:rsid w:val="000F6DD6"/>
    <w:rsid w:val="000F6E23"/>
    <w:rsid w:val="000F6EA1"/>
    <w:rsid w:val="000F6F1A"/>
    <w:rsid w:val="000F6F21"/>
    <w:rsid w:val="000F6F23"/>
    <w:rsid w:val="000F6F59"/>
    <w:rsid w:val="000F6F7D"/>
    <w:rsid w:val="000F6FC2"/>
    <w:rsid w:val="000F6FD3"/>
    <w:rsid w:val="000F71B0"/>
    <w:rsid w:val="000F71D2"/>
    <w:rsid w:val="000F720C"/>
    <w:rsid w:val="000F7258"/>
    <w:rsid w:val="000F72FF"/>
    <w:rsid w:val="000F7367"/>
    <w:rsid w:val="000F7385"/>
    <w:rsid w:val="000F738E"/>
    <w:rsid w:val="000F73AD"/>
    <w:rsid w:val="000F73FD"/>
    <w:rsid w:val="000F7489"/>
    <w:rsid w:val="000F74D5"/>
    <w:rsid w:val="000F7586"/>
    <w:rsid w:val="000F75AD"/>
    <w:rsid w:val="000F75BB"/>
    <w:rsid w:val="000F7641"/>
    <w:rsid w:val="000F76FE"/>
    <w:rsid w:val="000F7728"/>
    <w:rsid w:val="000F77DB"/>
    <w:rsid w:val="000F77DF"/>
    <w:rsid w:val="000F7803"/>
    <w:rsid w:val="000F7874"/>
    <w:rsid w:val="000F7897"/>
    <w:rsid w:val="000F7899"/>
    <w:rsid w:val="000F78A6"/>
    <w:rsid w:val="000F7987"/>
    <w:rsid w:val="000F7999"/>
    <w:rsid w:val="000F79A5"/>
    <w:rsid w:val="000F7A12"/>
    <w:rsid w:val="000F7A3C"/>
    <w:rsid w:val="000F7A8D"/>
    <w:rsid w:val="000F7AB6"/>
    <w:rsid w:val="000F7B8B"/>
    <w:rsid w:val="000F7C32"/>
    <w:rsid w:val="000F7C9C"/>
    <w:rsid w:val="000F7CBF"/>
    <w:rsid w:val="000F7CF0"/>
    <w:rsid w:val="000F7D44"/>
    <w:rsid w:val="000F7EAE"/>
    <w:rsid w:val="000F7EED"/>
    <w:rsid w:val="000F7FDF"/>
    <w:rsid w:val="00100051"/>
    <w:rsid w:val="0010009F"/>
    <w:rsid w:val="001000E8"/>
    <w:rsid w:val="001001C8"/>
    <w:rsid w:val="001001DE"/>
    <w:rsid w:val="00100228"/>
    <w:rsid w:val="00100252"/>
    <w:rsid w:val="0010027B"/>
    <w:rsid w:val="001002F9"/>
    <w:rsid w:val="00100329"/>
    <w:rsid w:val="0010036F"/>
    <w:rsid w:val="00100377"/>
    <w:rsid w:val="001004A6"/>
    <w:rsid w:val="001004DC"/>
    <w:rsid w:val="001004F6"/>
    <w:rsid w:val="00100518"/>
    <w:rsid w:val="00100618"/>
    <w:rsid w:val="00100634"/>
    <w:rsid w:val="001006E7"/>
    <w:rsid w:val="0010079F"/>
    <w:rsid w:val="001007CE"/>
    <w:rsid w:val="001007D5"/>
    <w:rsid w:val="001007FB"/>
    <w:rsid w:val="0010081A"/>
    <w:rsid w:val="00100866"/>
    <w:rsid w:val="001008C2"/>
    <w:rsid w:val="0010094F"/>
    <w:rsid w:val="0010099D"/>
    <w:rsid w:val="001009A2"/>
    <w:rsid w:val="001009EC"/>
    <w:rsid w:val="00100BBE"/>
    <w:rsid w:val="00100C7F"/>
    <w:rsid w:val="00100CE4"/>
    <w:rsid w:val="00100D20"/>
    <w:rsid w:val="00100D64"/>
    <w:rsid w:val="00100D6E"/>
    <w:rsid w:val="00100D87"/>
    <w:rsid w:val="00100D97"/>
    <w:rsid w:val="00100D9C"/>
    <w:rsid w:val="00100E28"/>
    <w:rsid w:val="00100E3F"/>
    <w:rsid w:val="00100E61"/>
    <w:rsid w:val="00100E7B"/>
    <w:rsid w:val="00100EB7"/>
    <w:rsid w:val="00100F53"/>
    <w:rsid w:val="00100F62"/>
    <w:rsid w:val="00100FAB"/>
    <w:rsid w:val="00101016"/>
    <w:rsid w:val="00101035"/>
    <w:rsid w:val="0010103E"/>
    <w:rsid w:val="00101151"/>
    <w:rsid w:val="00101166"/>
    <w:rsid w:val="00101296"/>
    <w:rsid w:val="001012E6"/>
    <w:rsid w:val="001012F4"/>
    <w:rsid w:val="001012F8"/>
    <w:rsid w:val="00101390"/>
    <w:rsid w:val="001013D2"/>
    <w:rsid w:val="001013F7"/>
    <w:rsid w:val="0010148F"/>
    <w:rsid w:val="0010157F"/>
    <w:rsid w:val="001015E1"/>
    <w:rsid w:val="00101752"/>
    <w:rsid w:val="0010185B"/>
    <w:rsid w:val="00101895"/>
    <w:rsid w:val="001018D8"/>
    <w:rsid w:val="0010199F"/>
    <w:rsid w:val="001019D8"/>
    <w:rsid w:val="001019DF"/>
    <w:rsid w:val="001019F4"/>
    <w:rsid w:val="00101AD7"/>
    <w:rsid w:val="00101B16"/>
    <w:rsid w:val="00101B4E"/>
    <w:rsid w:val="00101B5D"/>
    <w:rsid w:val="00101C04"/>
    <w:rsid w:val="00101C41"/>
    <w:rsid w:val="00101CC6"/>
    <w:rsid w:val="00101CE2"/>
    <w:rsid w:val="00101CF3"/>
    <w:rsid w:val="00101D04"/>
    <w:rsid w:val="00101D14"/>
    <w:rsid w:val="00101D75"/>
    <w:rsid w:val="00101DA7"/>
    <w:rsid w:val="00101DED"/>
    <w:rsid w:val="00101E0E"/>
    <w:rsid w:val="00101E11"/>
    <w:rsid w:val="00101E3B"/>
    <w:rsid w:val="00101EB7"/>
    <w:rsid w:val="00101F2F"/>
    <w:rsid w:val="00101FFD"/>
    <w:rsid w:val="00102032"/>
    <w:rsid w:val="00102066"/>
    <w:rsid w:val="001020C7"/>
    <w:rsid w:val="001020DD"/>
    <w:rsid w:val="00102118"/>
    <w:rsid w:val="00102164"/>
    <w:rsid w:val="00102176"/>
    <w:rsid w:val="0010223B"/>
    <w:rsid w:val="001022B9"/>
    <w:rsid w:val="00102389"/>
    <w:rsid w:val="00102415"/>
    <w:rsid w:val="00102431"/>
    <w:rsid w:val="00102449"/>
    <w:rsid w:val="00102549"/>
    <w:rsid w:val="00102570"/>
    <w:rsid w:val="001025A3"/>
    <w:rsid w:val="00102676"/>
    <w:rsid w:val="001026FA"/>
    <w:rsid w:val="001026FD"/>
    <w:rsid w:val="001026FE"/>
    <w:rsid w:val="0010273E"/>
    <w:rsid w:val="0010275E"/>
    <w:rsid w:val="001027C2"/>
    <w:rsid w:val="001027E2"/>
    <w:rsid w:val="00102806"/>
    <w:rsid w:val="0010281B"/>
    <w:rsid w:val="0010282D"/>
    <w:rsid w:val="001028DD"/>
    <w:rsid w:val="001028DE"/>
    <w:rsid w:val="0010297A"/>
    <w:rsid w:val="00102A42"/>
    <w:rsid w:val="00102ABB"/>
    <w:rsid w:val="00102AC3"/>
    <w:rsid w:val="00102AD2"/>
    <w:rsid w:val="00102B36"/>
    <w:rsid w:val="00102B8F"/>
    <w:rsid w:val="00102B98"/>
    <w:rsid w:val="00102C26"/>
    <w:rsid w:val="00102C68"/>
    <w:rsid w:val="00102D26"/>
    <w:rsid w:val="00102D3B"/>
    <w:rsid w:val="00102D63"/>
    <w:rsid w:val="00102D72"/>
    <w:rsid w:val="00102D7E"/>
    <w:rsid w:val="00102DA4"/>
    <w:rsid w:val="00102DD2"/>
    <w:rsid w:val="00102E7B"/>
    <w:rsid w:val="00102F13"/>
    <w:rsid w:val="00102F46"/>
    <w:rsid w:val="00102FEF"/>
    <w:rsid w:val="0010311B"/>
    <w:rsid w:val="00103136"/>
    <w:rsid w:val="00103188"/>
    <w:rsid w:val="001031D4"/>
    <w:rsid w:val="001031F2"/>
    <w:rsid w:val="001032E3"/>
    <w:rsid w:val="00103328"/>
    <w:rsid w:val="00103406"/>
    <w:rsid w:val="00103510"/>
    <w:rsid w:val="00103543"/>
    <w:rsid w:val="00103544"/>
    <w:rsid w:val="0010355F"/>
    <w:rsid w:val="00103597"/>
    <w:rsid w:val="001035C1"/>
    <w:rsid w:val="001035D6"/>
    <w:rsid w:val="00103609"/>
    <w:rsid w:val="00103660"/>
    <w:rsid w:val="0010366F"/>
    <w:rsid w:val="00103679"/>
    <w:rsid w:val="001036B4"/>
    <w:rsid w:val="00103757"/>
    <w:rsid w:val="001037BE"/>
    <w:rsid w:val="0010381A"/>
    <w:rsid w:val="0010381E"/>
    <w:rsid w:val="00103822"/>
    <w:rsid w:val="001038A3"/>
    <w:rsid w:val="001038E1"/>
    <w:rsid w:val="00103981"/>
    <w:rsid w:val="001039BD"/>
    <w:rsid w:val="00103A0D"/>
    <w:rsid w:val="00103A12"/>
    <w:rsid w:val="00103BAC"/>
    <w:rsid w:val="00103BF8"/>
    <w:rsid w:val="00103C49"/>
    <w:rsid w:val="00103CD4"/>
    <w:rsid w:val="00103D1F"/>
    <w:rsid w:val="00103D2D"/>
    <w:rsid w:val="00103E1E"/>
    <w:rsid w:val="00103E46"/>
    <w:rsid w:val="00103F65"/>
    <w:rsid w:val="00103FE5"/>
    <w:rsid w:val="0010402B"/>
    <w:rsid w:val="00104030"/>
    <w:rsid w:val="0010409D"/>
    <w:rsid w:val="00104125"/>
    <w:rsid w:val="001041FF"/>
    <w:rsid w:val="0010437E"/>
    <w:rsid w:val="00104389"/>
    <w:rsid w:val="00104403"/>
    <w:rsid w:val="0010440B"/>
    <w:rsid w:val="0010446D"/>
    <w:rsid w:val="001044BA"/>
    <w:rsid w:val="0010458D"/>
    <w:rsid w:val="001045E9"/>
    <w:rsid w:val="001045FB"/>
    <w:rsid w:val="001045FE"/>
    <w:rsid w:val="001046A4"/>
    <w:rsid w:val="001046D3"/>
    <w:rsid w:val="00104722"/>
    <w:rsid w:val="00104759"/>
    <w:rsid w:val="00104799"/>
    <w:rsid w:val="0010485B"/>
    <w:rsid w:val="001048FE"/>
    <w:rsid w:val="00104905"/>
    <w:rsid w:val="00104906"/>
    <w:rsid w:val="00104B37"/>
    <w:rsid w:val="00104BC1"/>
    <w:rsid w:val="00104BD6"/>
    <w:rsid w:val="00104BE0"/>
    <w:rsid w:val="00104C51"/>
    <w:rsid w:val="00104D53"/>
    <w:rsid w:val="00104E60"/>
    <w:rsid w:val="00104E75"/>
    <w:rsid w:val="00104E8A"/>
    <w:rsid w:val="00104F0B"/>
    <w:rsid w:val="00104F28"/>
    <w:rsid w:val="00104F3B"/>
    <w:rsid w:val="00104F57"/>
    <w:rsid w:val="00105045"/>
    <w:rsid w:val="00105068"/>
    <w:rsid w:val="0010507E"/>
    <w:rsid w:val="00105092"/>
    <w:rsid w:val="001050C1"/>
    <w:rsid w:val="001050F3"/>
    <w:rsid w:val="00105114"/>
    <w:rsid w:val="0010512F"/>
    <w:rsid w:val="0010518E"/>
    <w:rsid w:val="001051FB"/>
    <w:rsid w:val="0010525C"/>
    <w:rsid w:val="0010528C"/>
    <w:rsid w:val="00105299"/>
    <w:rsid w:val="001052D9"/>
    <w:rsid w:val="001052F3"/>
    <w:rsid w:val="00105350"/>
    <w:rsid w:val="0010535A"/>
    <w:rsid w:val="0010535D"/>
    <w:rsid w:val="001053C3"/>
    <w:rsid w:val="00105467"/>
    <w:rsid w:val="00105482"/>
    <w:rsid w:val="001054E4"/>
    <w:rsid w:val="0010552A"/>
    <w:rsid w:val="001056EC"/>
    <w:rsid w:val="001056FB"/>
    <w:rsid w:val="0010572C"/>
    <w:rsid w:val="00105731"/>
    <w:rsid w:val="0010573A"/>
    <w:rsid w:val="00105785"/>
    <w:rsid w:val="001057C1"/>
    <w:rsid w:val="001057DF"/>
    <w:rsid w:val="0010584A"/>
    <w:rsid w:val="001058C0"/>
    <w:rsid w:val="001058CC"/>
    <w:rsid w:val="001058D3"/>
    <w:rsid w:val="00105962"/>
    <w:rsid w:val="00105A1D"/>
    <w:rsid w:val="00105A5D"/>
    <w:rsid w:val="00105A80"/>
    <w:rsid w:val="00105AF6"/>
    <w:rsid w:val="00105B3C"/>
    <w:rsid w:val="00105C44"/>
    <w:rsid w:val="00105C55"/>
    <w:rsid w:val="00105C60"/>
    <w:rsid w:val="00105C8C"/>
    <w:rsid w:val="00105CCA"/>
    <w:rsid w:val="00105CD1"/>
    <w:rsid w:val="00105D51"/>
    <w:rsid w:val="00105D52"/>
    <w:rsid w:val="00105D61"/>
    <w:rsid w:val="00105D66"/>
    <w:rsid w:val="00105D7C"/>
    <w:rsid w:val="00105D8E"/>
    <w:rsid w:val="00105DC1"/>
    <w:rsid w:val="00105E4A"/>
    <w:rsid w:val="00105E92"/>
    <w:rsid w:val="00105EA8"/>
    <w:rsid w:val="00105EC5"/>
    <w:rsid w:val="00105EF8"/>
    <w:rsid w:val="00105F17"/>
    <w:rsid w:val="00105F7A"/>
    <w:rsid w:val="00105F9F"/>
    <w:rsid w:val="00105FB6"/>
    <w:rsid w:val="00105FC0"/>
    <w:rsid w:val="00106005"/>
    <w:rsid w:val="00106090"/>
    <w:rsid w:val="001060F3"/>
    <w:rsid w:val="001060F7"/>
    <w:rsid w:val="0010614C"/>
    <w:rsid w:val="001061A7"/>
    <w:rsid w:val="00106204"/>
    <w:rsid w:val="001062D5"/>
    <w:rsid w:val="00106313"/>
    <w:rsid w:val="00106385"/>
    <w:rsid w:val="001063B3"/>
    <w:rsid w:val="001063ED"/>
    <w:rsid w:val="0010652B"/>
    <w:rsid w:val="0010658C"/>
    <w:rsid w:val="0010661D"/>
    <w:rsid w:val="001066DC"/>
    <w:rsid w:val="001068B0"/>
    <w:rsid w:val="00106910"/>
    <w:rsid w:val="0010693A"/>
    <w:rsid w:val="001069D7"/>
    <w:rsid w:val="001069F5"/>
    <w:rsid w:val="00106A0A"/>
    <w:rsid w:val="00106A83"/>
    <w:rsid w:val="00106AC8"/>
    <w:rsid w:val="00106AEC"/>
    <w:rsid w:val="00106B09"/>
    <w:rsid w:val="00106C2C"/>
    <w:rsid w:val="00106C30"/>
    <w:rsid w:val="00106C86"/>
    <w:rsid w:val="00106CCC"/>
    <w:rsid w:val="00106CF6"/>
    <w:rsid w:val="00106D76"/>
    <w:rsid w:val="00106E11"/>
    <w:rsid w:val="00106E43"/>
    <w:rsid w:val="00106E55"/>
    <w:rsid w:val="00106E61"/>
    <w:rsid w:val="00106E8C"/>
    <w:rsid w:val="00106ED2"/>
    <w:rsid w:val="00106EE8"/>
    <w:rsid w:val="00106EEA"/>
    <w:rsid w:val="00106F22"/>
    <w:rsid w:val="00106FA7"/>
    <w:rsid w:val="00106FEB"/>
    <w:rsid w:val="0010706A"/>
    <w:rsid w:val="001070A0"/>
    <w:rsid w:val="001070AC"/>
    <w:rsid w:val="001070BA"/>
    <w:rsid w:val="001070F8"/>
    <w:rsid w:val="00107134"/>
    <w:rsid w:val="00107200"/>
    <w:rsid w:val="00107264"/>
    <w:rsid w:val="0010733A"/>
    <w:rsid w:val="00107356"/>
    <w:rsid w:val="0010736A"/>
    <w:rsid w:val="00107375"/>
    <w:rsid w:val="001073DA"/>
    <w:rsid w:val="00107403"/>
    <w:rsid w:val="0010740A"/>
    <w:rsid w:val="00107485"/>
    <w:rsid w:val="00107577"/>
    <w:rsid w:val="00107582"/>
    <w:rsid w:val="001075DB"/>
    <w:rsid w:val="00107613"/>
    <w:rsid w:val="0010764F"/>
    <w:rsid w:val="00107684"/>
    <w:rsid w:val="00107690"/>
    <w:rsid w:val="001076CB"/>
    <w:rsid w:val="00107709"/>
    <w:rsid w:val="00107733"/>
    <w:rsid w:val="001077CB"/>
    <w:rsid w:val="001077CD"/>
    <w:rsid w:val="00107818"/>
    <w:rsid w:val="0010782D"/>
    <w:rsid w:val="00107838"/>
    <w:rsid w:val="0010789C"/>
    <w:rsid w:val="0010794F"/>
    <w:rsid w:val="00107958"/>
    <w:rsid w:val="001079CA"/>
    <w:rsid w:val="00107B8F"/>
    <w:rsid w:val="00107BD1"/>
    <w:rsid w:val="00107C5D"/>
    <w:rsid w:val="00107C87"/>
    <w:rsid w:val="00107C95"/>
    <w:rsid w:val="00107CE8"/>
    <w:rsid w:val="00107D03"/>
    <w:rsid w:val="00107D3E"/>
    <w:rsid w:val="00107D43"/>
    <w:rsid w:val="00107D4A"/>
    <w:rsid w:val="00107D5B"/>
    <w:rsid w:val="00107E46"/>
    <w:rsid w:val="00107E88"/>
    <w:rsid w:val="00107EA5"/>
    <w:rsid w:val="00107EC0"/>
    <w:rsid w:val="00107ED4"/>
    <w:rsid w:val="00107F37"/>
    <w:rsid w:val="00107F3D"/>
    <w:rsid w:val="00110115"/>
    <w:rsid w:val="00110143"/>
    <w:rsid w:val="00110150"/>
    <w:rsid w:val="00110192"/>
    <w:rsid w:val="0011019A"/>
    <w:rsid w:val="001101E1"/>
    <w:rsid w:val="001101F5"/>
    <w:rsid w:val="001102AE"/>
    <w:rsid w:val="001102FC"/>
    <w:rsid w:val="00110301"/>
    <w:rsid w:val="001103B7"/>
    <w:rsid w:val="0011042F"/>
    <w:rsid w:val="00110432"/>
    <w:rsid w:val="0011052E"/>
    <w:rsid w:val="0011058B"/>
    <w:rsid w:val="001105E4"/>
    <w:rsid w:val="001106F4"/>
    <w:rsid w:val="001106FA"/>
    <w:rsid w:val="00110794"/>
    <w:rsid w:val="00110807"/>
    <w:rsid w:val="0011087D"/>
    <w:rsid w:val="0011088A"/>
    <w:rsid w:val="001108B1"/>
    <w:rsid w:val="001109A9"/>
    <w:rsid w:val="001109C3"/>
    <w:rsid w:val="00110AAA"/>
    <w:rsid w:val="00110AF8"/>
    <w:rsid w:val="00110B12"/>
    <w:rsid w:val="00110B90"/>
    <w:rsid w:val="00110C1B"/>
    <w:rsid w:val="00110CA0"/>
    <w:rsid w:val="00110CAB"/>
    <w:rsid w:val="00110CBD"/>
    <w:rsid w:val="00110CD4"/>
    <w:rsid w:val="00110CFF"/>
    <w:rsid w:val="00110D0F"/>
    <w:rsid w:val="00110D46"/>
    <w:rsid w:val="00110EB4"/>
    <w:rsid w:val="00110ED7"/>
    <w:rsid w:val="00110FC2"/>
    <w:rsid w:val="00111015"/>
    <w:rsid w:val="00111023"/>
    <w:rsid w:val="001110A2"/>
    <w:rsid w:val="001110FC"/>
    <w:rsid w:val="0011116A"/>
    <w:rsid w:val="0011122D"/>
    <w:rsid w:val="00111231"/>
    <w:rsid w:val="00111272"/>
    <w:rsid w:val="00111278"/>
    <w:rsid w:val="001112AF"/>
    <w:rsid w:val="001112DE"/>
    <w:rsid w:val="00111378"/>
    <w:rsid w:val="00111391"/>
    <w:rsid w:val="00111438"/>
    <w:rsid w:val="0011146F"/>
    <w:rsid w:val="0011148D"/>
    <w:rsid w:val="00111517"/>
    <w:rsid w:val="001115CC"/>
    <w:rsid w:val="0011160E"/>
    <w:rsid w:val="0011161E"/>
    <w:rsid w:val="00111634"/>
    <w:rsid w:val="0011166C"/>
    <w:rsid w:val="001116B2"/>
    <w:rsid w:val="001116F3"/>
    <w:rsid w:val="00111704"/>
    <w:rsid w:val="00111708"/>
    <w:rsid w:val="00111752"/>
    <w:rsid w:val="00111756"/>
    <w:rsid w:val="001117A1"/>
    <w:rsid w:val="001117BF"/>
    <w:rsid w:val="00111865"/>
    <w:rsid w:val="001118C8"/>
    <w:rsid w:val="0011191B"/>
    <w:rsid w:val="00111930"/>
    <w:rsid w:val="00111966"/>
    <w:rsid w:val="001119C4"/>
    <w:rsid w:val="00111A74"/>
    <w:rsid w:val="00111B0E"/>
    <w:rsid w:val="00111B27"/>
    <w:rsid w:val="00111BB5"/>
    <w:rsid w:val="00111BD6"/>
    <w:rsid w:val="00111BE8"/>
    <w:rsid w:val="00111C49"/>
    <w:rsid w:val="00111CFE"/>
    <w:rsid w:val="00111DDA"/>
    <w:rsid w:val="00111F82"/>
    <w:rsid w:val="00111FB9"/>
    <w:rsid w:val="00111FF6"/>
    <w:rsid w:val="00112058"/>
    <w:rsid w:val="00112071"/>
    <w:rsid w:val="00112087"/>
    <w:rsid w:val="0011209B"/>
    <w:rsid w:val="00112150"/>
    <w:rsid w:val="00112165"/>
    <w:rsid w:val="0011227D"/>
    <w:rsid w:val="001122EE"/>
    <w:rsid w:val="0011239E"/>
    <w:rsid w:val="001123D2"/>
    <w:rsid w:val="00112402"/>
    <w:rsid w:val="00112412"/>
    <w:rsid w:val="00112448"/>
    <w:rsid w:val="00112498"/>
    <w:rsid w:val="00112514"/>
    <w:rsid w:val="00112552"/>
    <w:rsid w:val="0011256E"/>
    <w:rsid w:val="0011260C"/>
    <w:rsid w:val="00112688"/>
    <w:rsid w:val="00112723"/>
    <w:rsid w:val="00112743"/>
    <w:rsid w:val="001127B6"/>
    <w:rsid w:val="00112827"/>
    <w:rsid w:val="00112840"/>
    <w:rsid w:val="00112852"/>
    <w:rsid w:val="001128DD"/>
    <w:rsid w:val="00112922"/>
    <w:rsid w:val="00112943"/>
    <w:rsid w:val="001129CC"/>
    <w:rsid w:val="00112B21"/>
    <w:rsid w:val="00112BA2"/>
    <w:rsid w:val="00112CA4"/>
    <w:rsid w:val="00112CCC"/>
    <w:rsid w:val="00112CDF"/>
    <w:rsid w:val="00112D34"/>
    <w:rsid w:val="00112D4A"/>
    <w:rsid w:val="00112D72"/>
    <w:rsid w:val="00112DE8"/>
    <w:rsid w:val="00112DF2"/>
    <w:rsid w:val="00112E6B"/>
    <w:rsid w:val="00112EA1"/>
    <w:rsid w:val="00112EBF"/>
    <w:rsid w:val="00112ECD"/>
    <w:rsid w:val="00112F86"/>
    <w:rsid w:val="00112F8C"/>
    <w:rsid w:val="00113050"/>
    <w:rsid w:val="00113060"/>
    <w:rsid w:val="00113061"/>
    <w:rsid w:val="00113100"/>
    <w:rsid w:val="00113147"/>
    <w:rsid w:val="0011314F"/>
    <w:rsid w:val="0011322E"/>
    <w:rsid w:val="00113257"/>
    <w:rsid w:val="001132BE"/>
    <w:rsid w:val="001132D4"/>
    <w:rsid w:val="00113318"/>
    <w:rsid w:val="0011338D"/>
    <w:rsid w:val="001133C7"/>
    <w:rsid w:val="001133EE"/>
    <w:rsid w:val="0011342E"/>
    <w:rsid w:val="00113497"/>
    <w:rsid w:val="001134E8"/>
    <w:rsid w:val="00113517"/>
    <w:rsid w:val="0011355C"/>
    <w:rsid w:val="0011359B"/>
    <w:rsid w:val="00113652"/>
    <w:rsid w:val="00113734"/>
    <w:rsid w:val="00113754"/>
    <w:rsid w:val="00113811"/>
    <w:rsid w:val="00113854"/>
    <w:rsid w:val="00113869"/>
    <w:rsid w:val="00113873"/>
    <w:rsid w:val="00113918"/>
    <w:rsid w:val="0011392C"/>
    <w:rsid w:val="00113932"/>
    <w:rsid w:val="00113972"/>
    <w:rsid w:val="0011397F"/>
    <w:rsid w:val="001139C8"/>
    <w:rsid w:val="00113B5A"/>
    <w:rsid w:val="00113B93"/>
    <w:rsid w:val="00113CD5"/>
    <w:rsid w:val="00113D33"/>
    <w:rsid w:val="00113F28"/>
    <w:rsid w:val="00113FDE"/>
    <w:rsid w:val="00114049"/>
    <w:rsid w:val="00114075"/>
    <w:rsid w:val="001140B2"/>
    <w:rsid w:val="001140DC"/>
    <w:rsid w:val="001140EE"/>
    <w:rsid w:val="00114171"/>
    <w:rsid w:val="0011423F"/>
    <w:rsid w:val="001142D8"/>
    <w:rsid w:val="00114301"/>
    <w:rsid w:val="00114309"/>
    <w:rsid w:val="0011430A"/>
    <w:rsid w:val="00114384"/>
    <w:rsid w:val="001143C7"/>
    <w:rsid w:val="0011446B"/>
    <w:rsid w:val="001144BE"/>
    <w:rsid w:val="001144F6"/>
    <w:rsid w:val="001145E3"/>
    <w:rsid w:val="0011460A"/>
    <w:rsid w:val="00114610"/>
    <w:rsid w:val="00114639"/>
    <w:rsid w:val="001146D7"/>
    <w:rsid w:val="00114706"/>
    <w:rsid w:val="00114710"/>
    <w:rsid w:val="00114725"/>
    <w:rsid w:val="001147AC"/>
    <w:rsid w:val="001147C9"/>
    <w:rsid w:val="001148D3"/>
    <w:rsid w:val="00114A2F"/>
    <w:rsid w:val="00114A42"/>
    <w:rsid w:val="00114A61"/>
    <w:rsid w:val="00114BE5"/>
    <w:rsid w:val="00114C0C"/>
    <w:rsid w:val="00114C2C"/>
    <w:rsid w:val="00114C48"/>
    <w:rsid w:val="00114C9C"/>
    <w:rsid w:val="00114D03"/>
    <w:rsid w:val="00114DC6"/>
    <w:rsid w:val="00114DDB"/>
    <w:rsid w:val="00114E60"/>
    <w:rsid w:val="00114E72"/>
    <w:rsid w:val="00114E74"/>
    <w:rsid w:val="00114EE0"/>
    <w:rsid w:val="00114F56"/>
    <w:rsid w:val="00114F9F"/>
    <w:rsid w:val="00114FB8"/>
    <w:rsid w:val="00115059"/>
    <w:rsid w:val="00115064"/>
    <w:rsid w:val="00115096"/>
    <w:rsid w:val="00115285"/>
    <w:rsid w:val="0011533C"/>
    <w:rsid w:val="00115354"/>
    <w:rsid w:val="00115430"/>
    <w:rsid w:val="00115432"/>
    <w:rsid w:val="0011545E"/>
    <w:rsid w:val="00115516"/>
    <w:rsid w:val="0011562D"/>
    <w:rsid w:val="00115689"/>
    <w:rsid w:val="001156EE"/>
    <w:rsid w:val="00115851"/>
    <w:rsid w:val="001158E0"/>
    <w:rsid w:val="001159E0"/>
    <w:rsid w:val="001159E2"/>
    <w:rsid w:val="00115A1E"/>
    <w:rsid w:val="00115A4B"/>
    <w:rsid w:val="00115AB9"/>
    <w:rsid w:val="00115AC1"/>
    <w:rsid w:val="00115AE6"/>
    <w:rsid w:val="00115AF6"/>
    <w:rsid w:val="00115B42"/>
    <w:rsid w:val="00115B80"/>
    <w:rsid w:val="00115C79"/>
    <w:rsid w:val="00115CD0"/>
    <w:rsid w:val="00115D45"/>
    <w:rsid w:val="00115D5A"/>
    <w:rsid w:val="00115D75"/>
    <w:rsid w:val="00115DF3"/>
    <w:rsid w:val="00115E09"/>
    <w:rsid w:val="00115E0E"/>
    <w:rsid w:val="00115E5A"/>
    <w:rsid w:val="00115E61"/>
    <w:rsid w:val="00115EE0"/>
    <w:rsid w:val="00115FA4"/>
    <w:rsid w:val="00115FB2"/>
    <w:rsid w:val="00116000"/>
    <w:rsid w:val="00116075"/>
    <w:rsid w:val="001160DE"/>
    <w:rsid w:val="00116141"/>
    <w:rsid w:val="00116183"/>
    <w:rsid w:val="001162E3"/>
    <w:rsid w:val="00116355"/>
    <w:rsid w:val="00116393"/>
    <w:rsid w:val="00116398"/>
    <w:rsid w:val="001163C9"/>
    <w:rsid w:val="00116449"/>
    <w:rsid w:val="00116468"/>
    <w:rsid w:val="0011646F"/>
    <w:rsid w:val="00116518"/>
    <w:rsid w:val="00116591"/>
    <w:rsid w:val="001166A6"/>
    <w:rsid w:val="001166B1"/>
    <w:rsid w:val="001166D6"/>
    <w:rsid w:val="00116727"/>
    <w:rsid w:val="0011676B"/>
    <w:rsid w:val="0011681E"/>
    <w:rsid w:val="0011685D"/>
    <w:rsid w:val="0011688D"/>
    <w:rsid w:val="001168AD"/>
    <w:rsid w:val="001168C0"/>
    <w:rsid w:val="001168E0"/>
    <w:rsid w:val="00116943"/>
    <w:rsid w:val="001169BD"/>
    <w:rsid w:val="001169C0"/>
    <w:rsid w:val="00116A63"/>
    <w:rsid w:val="00116B48"/>
    <w:rsid w:val="00116B54"/>
    <w:rsid w:val="00116B7B"/>
    <w:rsid w:val="00116BA4"/>
    <w:rsid w:val="00116C8B"/>
    <w:rsid w:val="00116C9E"/>
    <w:rsid w:val="00116D13"/>
    <w:rsid w:val="00116D32"/>
    <w:rsid w:val="00116DBC"/>
    <w:rsid w:val="00116DD2"/>
    <w:rsid w:val="00116DDC"/>
    <w:rsid w:val="00116E8E"/>
    <w:rsid w:val="00116EA8"/>
    <w:rsid w:val="00116ECE"/>
    <w:rsid w:val="00116FCA"/>
    <w:rsid w:val="00117024"/>
    <w:rsid w:val="0011704C"/>
    <w:rsid w:val="00117075"/>
    <w:rsid w:val="0011711E"/>
    <w:rsid w:val="0011712D"/>
    <w:rsid w:val="001171A3"/>
    <w:rsid w:val="001171EB"/>
    <w:rsid w:val="0011724D"/>
    <w:rsid w:val="00117280"/>
    <w:rsid w:val="0011728B"/>
    <w:rsid w:val="001172DA"/>
    <w:rsid w:val="0011733E"/>
    <w:rsid w:val="0011739D"/>
    <w:rsid w:val="001173B9"/>
    <w:rsid w:val="001173F0"/>
    <w:rsid w:val="00117418"/>
    <w:rsid w:val="00117443"/>
    <w:rsid w:val="001174F0"/>
    <w:rsid w:val="00117560"/>
    <w:rsid w:val="001175D2"/>
    <w:rsid w:val="00117613"/>
    <w:rsid w:val="00117627"/>
    <w:rsid w:val="0011764A"/>
    <w:rsid w:val="0011768B"/>
    <w:rsid w:val="001176A5"/>
    <w:rsid w:val="001176B4"/>
    <w:rsid w:val="001176D5"/>
    <w:rsid w:val="0011775C"/>
    <w:rsid w:val="00117807"/>
    <w:rsid w:val="00117838"/>
    <w:rsid w:val="00117846"/>
    <w:rsid w:val="00117855"/>
    <w:rsid w:val="0011786D"/>
    <w:rsid w:val="0011786E"/>
    <w:rsid w:val="0011787D"/>
    <w:rsid w:val="001178AE"/>
    <w:rsid w:val="00117931"/>
    <w:rsid w:val="0011794B"/>
    <w:rsid w:val="001179FD"/>
    <w:rsid w:val="00117A54"/>
    <w:rsid w:val="00117A6C"/>
    <w:rsid w:val="00117B43"/>
    <w:rsid w:val="00117B6F"/>
    <w:rsid w:val="00117BB5"/>
    <w:rsid w:val="00117BBE"/>
    <w:rsid w:val="00117BED"/>
    <w:rsid w:val="00117C31"/>
    <w:rsid w:val="00117C36"/>
    <w:rsid w:val="00117D55"/>
    <w:rsid w:val="00117DD1"/>
    <w:rsid w:val="00117E17"/>
    <w:rsid w:val="00117E62"/>
    <w:rsid w:val="00117EAB"/>
    <w:rsid w:val="00117EFB"/>
    <w:rsid w:val="00117F13"/>
    <w:rsid w:val="00117F19"/>
    <w:rsid w:val="00117FD7"/>
    <w:rsid w:val="00120060"/>
    <w:rsid w:val="001200CB"/>
    <w:rsid w:val="001200E0"/>
    <w:rsid w:val="001200F0"/>
    <w:rsid w:val="0012013F"/>
    <w:rsid w:val="001202C5"/>
    <w:rsid w:val="00120363"/>
    <w:rsid w:val="001203D1"/>
    <w:rsid w:val="001204F4"/>
    <w:rsid w:val="00120523"/>
    <w:rsid w:val="0012056D"/>
    <w:rsid w:val="00120572"/>
    <w:rsid w:val="001205D9"/>
    <w:rsid w:val="0012060B"/>
    <w:rsid w:val="0012061E"/>
    <w:rsid w:val="0012061F"/>
    <w:rsid w:val="00120629"/>
    <w:rsid w:val="00120635"/>
    <w:rsid w:val="00120685"/>
    <w:rsid w:val="00120691"/>
    <w:rsid w:val="001206F6"/>
    <w:rsid w:val="00120706"/>
    <w:rsid w:val="00120709"/>
    <w:rsid w:val="00120724"/>
    <w:rsid w:val="00120766"/>
    <w:rsid w:val="001207A5"/>
    <w:rsid w:val="00120812"/>
    <w:rsid w:val="00120917"/>
    <w:rsid w:val="00120A0E"/>
    <w:rsid w:val="00120A6B"/>
    <w:rsid w:val="00120A97"/>
    <w:rsid w:val="00120A9A"/>
    <w:rsid w:val="00120AAC"/>
    <w:rsid w:val="00120AB2"/>
    <w:rsid w:val="00120B1A"/>
    <w:rsid w:val="00120BA4"/>
    <w:rsid w:val="00120BB8"/>
    <w:rsid w:val="00120C54"/>
    <w:rsid w:val="00120C9B"/>
    <w:rsid w:val="00120CA8"/>
    <w:rsid w:val="00120D18"/>
    <w:rsid w:val="00120D1C"/>
    <w:rsid w:val="00120E0B"/>
    <w:rsid w:val="00120E20"/>
    <w:rsid w:val="00120E82"/>
    <w:rsid w:val="00120F26"/>
    <w:rsid w:val="00120FFD"/>
    <w:rsid w:val="0012102C"/>
    <w:rsid w:val="001210FE"/>
    <w:rsid w:val="00121194"/>
    <w:rsid w:val="001211D7"/>
    <w:rsid w:val="001211E7"/>
    <w:rsid w:val="00121257"/>
    <w:rsid w:val="00121382"/>
    <w:rsid w:val="0012141A"/>
    <w:rsid w:val="00121483"/>
    <w:rsid w:val="001215F3"/>
    <w:rsid w:val="001215FF"/>
    <w:rsid w:val="00121649"/>
    <w:rsid w:val="00121664"/>
    <w:rsid w:val="00121705"/>
    <w:rsid w:val="00121709"/>
    <w:rsid w:val="00121733"/>
    <w:rsid w:val="00121796"/>
    <w:rsid w:val="001217E1"/>
    <w:rsid w:val="00121853"/>
    <w:rsid w:val="001218B6"/>
    <w:rsid w:val="0012190C"/>
    <w:rsid w:val="00121943"/>
    <w:rsid w:val="00121993"/>
    <w:rsid w:val="001219D1"/>
    <w:rsid w:val="00121A1B"/>
    <w:rsid w:val="00121A2B"/>
    <w:rsid w:val="00121A5A"/>
    <w:rsid w:val="00121B14"/>
    <w:rsid w:val="00121B3A"/>
    <w:rsid w:val="00121B86"/>
    <w:rsid w:val="00121C7B"/>
    <w:rsid w:val="00121CAF"/>
    <w:rsid w:val="00121D0E"/>
    <w:rsid w:val="00121DE1"/>
    <w:rsid w:val="00121E38"/>
    <w:rsid w:val="00121E46"/>
    <w:rsid w:val="00121E81"/>
    <w:rsid w:val="00121F1C"/>
    <w:rsid w:val="00121F2B"/>
    <w:rsid w:val="00121FC2"/>
    <w:rsid w:val="00121FDC"/>
    <w:rsid w:val="00122049"/>
    <w:rsid w:val="0012207E"/>
    <w:rsid w:val="001220E5"/>
    <w:rsid w:val="001221BC"/>
    <w:rsid w:val="001221CB"/>
    <w:rsid w:val="001221EF"/>
    <w:rsid w:val="001221F0"/>
    <w:rsid w:val="00122224"/>
    <w:rsid w:val="00122345"/>
    <w:rsid w:val="0012236C"/>
    <w:rsid w:val="00122378"/>
    <w:rsid w:val="001223D6"/>
    <w:rsid w:val="0012242D"/>
    <w:rsid w:val="00122478"/>
    <w:rsid w:val="001224D2"/>
    <w:rsid w:val="001225C6"/>
    <w:rsid w:val="00122604"/>
    <w:rsid w:val="00122611"/>
    <w:rsid w:val="0012269D"/>
    <w:rsid w:val="00122753"/>
    <w:rsid w:val="00122764"/>
    <w:rsid w:val="001227F9"/>
    <w:rsid w:val="00122817"/>
    <w:rsid w:val="00122861"/>
    <w:rsid w:val="0012286D"/>
    <w:rsid w:val="00122877"/>
    <w:rsid w:val="001228D3"/>
    <w:rsid w:val="001229B9"/>
    <w:rsid w:val="001229C0"/>
    <w:rsid w:val="00122B79"/>
    <w:rsid w:val="00122B93"/>
    <w:rsid w:val="00122BB8"/>
    <w:rsid w:val="00122C0A"/>
    <w:rsid w:val="00122C25"/>
    <w:rsid w:val="00122C36"/>
    <w:rsid w:val="00122CB9"/>
    <w:rsid w:val="00122CE5"/>
    <w:rsid w:val="00122D4E"/>
    <w:rsid w:val="00122DEB"/>
    <w:rsid w:val="00122E4C"/>
    <w:rsid w:val="00122E57"/>
    <w:rsid w:val="00122E5E"/>
    <w:rsid w:val="00122EC7"/>
    <w:rsid w:val="0012300F"/>
    <w:rsid w:val="0012302C"/>
    <w:rsid w:val="00123096"/>
    <w:rsid w:val="001230A6"/>
    <w:rsid w:val="001230BC"/>
    <w:rsid w:val="0012318A"/>
    <w:rsid w:val="001231C1"/>
    <w:rsid w:val="0012326B"/>
    <w:rsid w:val="0012326F"/>
    <w:rsid w:val="001232BC"/>
    <w:rsid w:val="001232D6"/>
    <w:rsid w:val="001232E4"/>
    <w:rsid w:val="0012333D"/>
    <w:rsid w:val="00123348"/>
    <w:rsid w:val="00123359"/>
    <w:rsid w:val="001233FF"/>
    <w:rsid w:val="00123408"/>
    <w:rsid w:val="00123426"/>
    <w:rsid w:val="00123428"/>
    <w:rsid w:val="00123472"/>
    <w:rsid w:val="001234E1"/>
    <w:rsid w:val="001234ED"/>
    <w:rsid w:val="0012352D"/>
    <w:rsid w:val="0012359F"/>
    <w:rsid w:val="001235C7"/>
    <w:rsid w:val="00123627"/>
    <w:rsid w:val="001237B1"/>
    <w:rsid w:val="001237ED"/>
    <w:rsid w:val="001237FD"/>
    <w:rsid w:val="001238B6"/>
    <w:rsid w:val="00123934"/>
    <w:rsid w:val="00123975"/>
    <w:rsid w:val="001239DA"/>
    <w:rsid w:val="001239F4"/>
    <w:rsid w:val="001239F8"/>
    <w:rsid w:val="00123B84"/>
    <w:rsid w:val="00123BCF"/>
    <w:rsid w:val="00123BE6"/>
    <w:rsid w:val="00123BF8"/>
    <w:rsid w:val="00123C3B"/>
    <w:rsid w:val="00123C73"/>
    <w:rsid w:val="00123C79"/>
    <w:rsid w:val="00123C7C"/>
    <w:rsid w:val="00123C8F"/>
    <w:rsid w:val="00123CD9"/>
    <w:rsid w:val="00123DBC"/>
    <w:rsid w:val="00123E6E"/>
    <w:rsid w:val="00123EA4"/>
    <w:rsid w:val="00123F95"/>
    <w:rsid w:val="00123F9E"/>
    <w:rsid w:val="00123FAC"/>
    <w:rsid w:val="00123FEB"/>
    <w:rsid w:val="00124053"/>
    <w:rsid w:val="001240B0"/>
    <w:rsid w:val="00124125"/>
    <w:rsid w:val="00124168"/>
    <w:rsid w:val="00124205"/>
    <w:rsid w:val="00124282"/>
    <w:rsid w:val="00124291"/>
    <w:rsid w:val="001242A0"/>
    <w:rsid w:val="0012435A"/>
    <w:rsid w:val="00124365"/>
    <w:rsid w:val="00124390"/>
    <w:rsid w:val="0012442A"/>
    <w:rsid w:val="00124465"/>
    <w:rsid w:val="0012448B"/>
    <w:rsid w:val="001244C5"/>
    <w:rsid w:val="001244DA"/>
    <w:rsid w:val="00124519"/>
    <w:rsid w:val="00124526"/>
    <w:rsid w:val="0012452C"/>
    <w:rsid w:val="001245C2"/>
    <w:rsid w:val="0012461A"/>
    <w:rsid w:val="00124652"/>
    <w:rsid w:val="0012471B"/>
    <w:rsid w:val="00124761"/>
    <w:rsid w:val="00124773"/>
    <w:rsid w:val="0012477E"/>
    <w:rsid w:val="001247B5"/>
    <w:rsid w:val="0012484F"/>
    <w:rsid w:val="00124908"/>
    <w:rsid w:val="0012490C"/>
    <w:rsid w:val="0012494D"/>
    <w:rsid w:val="00124976"/>
    <w:rsid w:val="0012497E"/>
    <w:rsid w:val="00124985"/>
    <w:rsid w:val="0012498A"/>
    <w:rsid w:val="00124993"/>
    <w:rsid w:val="001249C1"/>
    <w:rsid w:val="001249D8"/>
    <w:rsid w:val="001249F0"/>
    <w:rsid w:val="001249F3"/>
    <w:rsid w:val="00124A72"/>
    <w:rsid w:val="00124AC4"/>
    <w:rsid w:val="00124B13"/>
    <w:rsid w:val="00124B89"/>
    <w:rsid w:val="00124BAB"/>
    <w:rsid w:val="00124BD8"/>
    <w:rsid w:val="00124BF3"/>
    <w:rsid w:val="00124C34"/>
    <w:rsid w:val="00124C7A"/>
    <w:rsid w:val="00124C8B"/>
    <w:rsid w:val="00124CE8"/>
    <w:rsid w:val="00124D39"/>
    <w:rsid w:val="00124D6A"/>
    <w:rsid w:val="00124D94"/>
    <w:rsid w:val="00124DC9"/>
    <w:rsid w:val="00124E17"/>
    <w:rsid w:val="00124E49"/>
    <w:rsid w:val="00124EB3"/>
    <w:rsid w:val="00124EC9"/>
    <w:rsid w:val="00124EFF"/>
    <w:rsid w:val="00124FF8"/>
    <w:rsid w:val="00125055"/>
    <w:rsid w:val="001250E1"/>
    <w:rsid w:val="00125100"/>
    <w:rsid w:val="00125153"/>
    <w:rsid w:val="001251BF"/>
    <w:rsid w:val="0012525D"/>
    <w:rsid w:val="00125295"/>
    <w:rsid w:val="001252BF"/>
    <w:rsid w:val="001252C4"/>
    <w:rsid w:val="001252F9"/>
    <w:rsid w:val="0012549B"/>
    <w:rsid w:val="0012553F"/>
    <w:rsid w:val="0012556D"/>
    <w:rsid w:val="0012557E"/>
    <w:rsid w:val="00125624"/>
    <w:rsid w:val="001256F4"/>
    <w:rsid w:val="00125712"/>
    <w:rsid w:val="0012577F"/>
    <w:rsid w:val="00125819"/>
    <w:rsid w:val="00125837"/>
    <w:rsid w:val="00125850"/>
    <w:rsid w:val="001258AF"/>
    <w:rsid w:val="001258B0"/>
    <w:rsid w:val="00125910"/>
    <w:rsid w:val="00125924"/>
    <w:rsid w:val="00125940"/>
    <w:rsid w:val="0012597B"/>
    <w:rsid w:val="00125A7A"/>
    <w:rsid w:val="00125B49"/>
    <w:rsid w:val="00125B6F"/>
    <w:rsid w:val="00125BAF"/>
    <w:rsid w:val="00125BF0"/>
    <w:rsid w:val="00125C55"/>
    <w:rsid w:val="00125CED"/>
    <w:rsid w:val="00125D36"/>
    <w:rsid w:val="00125D6C"/>
    <w:rsid w:val="00125D9A"/>
    <w:rsid w:val="00125DD2"/>
    <w:rsid w:val="00125DE9"/>
    <w:rsid w:val="00125E30"/>
    <w:rsid w:val="00125E34"/>
    <w:rsid w:val="00125E5C"/>
    <w:rsid w:val="00125ECA"/>
    <w:rsid w:val="00125EE3"/>
    <w:rsid w:val="0012606A"/>
    <w:rsid w:val="001260A6"/>
    <w:rsid w:val="001260BB"/>
    <w:rsid w:val="001260D4"/>
    <w:rsid w:val="001260F5"/>
    <w:rsid w:val="001261F5"/>
    <w:rsid w:val="0012623A"/>
    <w:rsid w:val="00126253"/>
    <w:rsid w:val="00126342"/>
    <w:rsid w:val="00126348"/>
    <w:rsid w:val="00126388"/>
    <w:rsid w:val="001263EB"/>
    <w:rsid w:val="0012642A"/>
    <w:rsid w:val="0012648E"/>
    <w:rsid w:val="0012656C"/>
    <w:rsid w:val="00126580"/>
    <w:rsid w:val="001265A7"/>
    <w:rsid w:val="001265F2"/>
    <w:rsid w:val="0012667E"/>
    <w:rsid w:val="00126738"/>
    <w:rsid w:val="00126759"/>
    <w:rsid w:val="0012679E"/>
    <w:rsid w:val="001267B1"/>
    <w:rsid w:val="001267EB"/>
    <w:rsid w:val="00126813"/>
    <w:rsid w:val="0012685D"/>
    <w:rsid w:val="0012686C"/>
    <w:rsid w:val="00126891"/>
    <w:rsid w:val="00126903"/>
    <w:rsid w:val="0012694F"/>
    <w:rsid w:val="00126966"/>
    <w:rsid w:val="0012697A"/>
    <w:rsid w:val="001269AE"/>
    <w:rsid w:val="001269DE"/>
    <w:rsid w:val="00126A1E"/>
    <w:rsid w:val="00126A81"/>
    <w:rsid w:val="00126AD4"/>
    <w:rsid w:val="00126AE0"/>
    <w:rsid w:val="00126B10"/>
    <w:rsid w:val="00126B7B"/>
    <w:rsid w:val="00126BD6"/>
    <w:rsid w:val="00126C81"/>
    <w:rsid w:val="00126CFB"/>
    <w:rsid w:val="00126D4A"/>
    <w:rsid w:val="00126DAE"/>
    <w:rsid w:val="00126E58"/>
    <w:rsid w:val="00126EDD"/>
    <w:rsid w:val="00126F67"/>
    <w:rsid w:val="00126FF0"/>
    <w:rsid w:val="0012705D"/>
    <w:rsid w:val="001270C4"/>
    <w:rsid w:val="001270D8"/>
    <w:rsid w:val="00127122"/>
    <w:rsid w:val="00127156"/>
    <w:rsid w:val="00127162"/>
    <w:rsid w:val="00127171"/>
    <w:rsid w:val="00127205"/>
    <w:rsid w:val="0012720F"/>
    <w:rsid w:val="00127245"/>
    <w:rsid w:val="00127263"/>
    <w:rsid w:val="001272A4"/>
    <w:rsid w:val="001272B7"/>
    <w:rsid w:val="00127430"/>
    <w:rsid w:val="00127477"/>
    <w:rsid w:val="001274A3"/>
    <w:rsid w:val="0012752E"/>
    <w:rsid w:val="001275C1"/>
    <w:rsid w:val="0012760A"/>
    <w:rsid w:val="001276CE"/>
    <w:rsid w:val="001276F0"/>
    <w:rsid w:val="00127743"/>
    <w:rsid w:val="0012776B"/>
    <w:rsid w:val="00127784"/>
    <w:rsid w:val="001277AC"/>
    <w:rsid w:val="001277CE"/>
    <w:rsid w:val="001277D0"/>
    <w:rsid w:val="0012782A"/>
    <w:rsid w:val="00127842"/>
    <w:rsid w:val="00127887"/>
    <w:rsid w:val="0012791F"/>
    <w:rsid w:val="001279BE"/>
    <w:rsid w:val="00127B27"/>
    <w:rsid w:val="00127B93"/>
    <w:rsid w:val="00127BB5"/>
    <w:rsid w:val="00127BCF"/>
    <w:rsid w:val="00127C07"/>
    <w:rsid w:val="00127C77"/>
    <w:rsid w:val="00127CA6"/>
    <w:rsid w:val="00127D21"/>
    <w:rsid w:val="00127D32"/>
    <w:rsid w:val="00127D40"/>
    <w:rsid w:val="00127DBC"/>
    <w:rsid w:val="00127DCD"/>
    <w:rsid w:val="00127DE8"/>
    <w:rsid w:val="00127E02"/>
    <w:rsid w:val="00127E23"/>
    <w:rsid w:val="00127E5F"/>
    <w:rsid w:val="00127E71"/>
    <w:rsid w:val="00127F3F"/>
    <w:rsid w:val="00130031"/>
    <w:rsid w:val="00130082"/>
    <w:rsid w:val="001300C4"/>
    <w:rsid w:val="00130109"/>
    <w:rsid w:val="00130194"/>
    <w:rsid w:val="0013019A"/>
    <w:rsid w:val="001301B4"/>
    <w:rsid w:val="001301FE"/>
    <w:rsid w:val="0013021E"/>
    <w:rsid w:val="00130232"/>
    <w:rsid w:val="0013025D"/>
    <w:rsid w:val="001302AB"/>
    <w:rsid w:val="001302E2"/>
    <w:rsid w:val="0013032C"/>
    <w:rsid w:val="0013032F"/>
    <w:rsid w:val="00130335"/>
    <w:rsid w:val="001303A7"/>
    <w:rsid w:val="001303C2"/>
    <w:rsid w:val="001303DE"/>
    <w:rsid w:val="0013041E"/>
    <w:rsid w:val="00130437"/>
    <w:rsid w:val="00130498"/>
    <w:rsid w:val="001304AA"/>
    <w:rsid w:val="0013052D"/>
    <w:rsid w:val="00130561"/>
    <w:rsid w:val="001305A5"/>
    <w:rsid w:val="00130604"/>
    <w:rsid w:val="00130614"/>
    <w:rsid w:val="00130639"/>
    <w:rsid w:val="0013066A"/>
    <w:rsid w:val="001306ED"/>
    <w:rsid w:val="00130728"/>
    <w:rsid w:val="00130732"/>
    <w:rsid w:val="0013076A"/>
    <w:rsid w:val="00130780"/>
    <w:rsid w:val="00130881"/>
    <w:rsid w:val="0013088F"/>
    <w:rsid w:val="00130892"/>
    <w:rsid w:val="0013089D"/>
    <w:rsid w:val="001309A9"/>
    <w:rsid w:val="001309BE"/>
    <w:rsid w:val="00130A5C"/>
    <w:rsid w:val="00130A80"/>
    <w:rsid w:val="00130BD8"/>
    <w:rsid w:val="00130BF2"/>
    <w:rsid w:val="00130C2E"/>
    <w:rsid w:val="00130C89"/>
    <w:rsid w:val="00130D7C"/>
    <w:rsid w:val="00130DBA"/>
    <w:rsid w:val="00130DC2"/>
    <w:rsid w:val="00130E2B"/>
    <w:rsid w:val="00130E39"/>
    <w:rsid w:val="00130E8F"/>
    <w:rsid w:val="00130EE7"/>
    <w:rsid w:val="00130EF8"/>
    <w:rsid w:val="00130F59"/>
    <w:rsid w:val="00130F5D"/>
    <w:rsid w:val="00130F90"/>
    <w:rsid w:val="00130F9D"/>
    <w:rsid w:val="00130FA8"/>
    <w:rsid w:val="00130FFC"/>
    <w:rsid w:val="00131020"/>
    <w:rsid w:val="00131050"/>
    <w:rsid w:val="0013105E"/>
    <w:rsid w:val="00131081"/>
    <w:rsid w:val="001311A9"/>
    <w:rsid w:val="001311DC"/>
    <w:rsid w:val="00131250"/>
    <w:rsid w:val="001312BC"/>
    <w:rsid w:val="001312D0"/>
    <w:rsid w:val="001312EE"/>
    <w:rsid w:val="00131358"/>
    <w:rsid w:val="00131381"/>
    <w:rsid w:val="0013142C"/>
    <w:rsid w:val="00131435"/>
    <w:rsid w:val="0013147F"/>
    <w:rsid w:val="0013149E"/>
    <w:rsid w:val="0013154F"/>
    <w:rsid w:val="00131567"/>
    <w:rsid w:val="0013158E"/>
    <w:rsid w:val="0013159C"/>
    <w:rsid w:val="00131607"/>
    <w:rsid w:val="00131638"/>
    <w:rsid w:val="00131676"/>
    <w:rsid w:val="00131680"/>
    <w:rsid w:val="001316BD"/>
    <w:rsid w:val="001316CF"/>
    <w:rsid w:val="001316F0"/>
    <w:rsid w:val="001317AB"/>
    <w:rsid w:val="001317EF"/>
    <w:rsid w:val="0013183C"/>
    <w:rsid w:val="00131861"/>
    <w:rsid w:val="00131877"/>
    <w:rsid w:val="0013188D"/>
    <w:rsid w:val="001318FB"/>
    <w:rsid w:val="00131924"/>
    <w:rsid w:val="00131993"/>
    <w:rsid w:val="0013199E"/>
    <w:rsid w:val="00131A4B"/>
    <w:rsid w:val="00131A69"/>
    <w:rsid w:val="00131AFA"/>
    <w:rsid w:val="00131B14"/>
    <w:rsid w:val="00131B6E"/>
    <w:rsid w:val="00131B83"/>
    <w:rsid w:val="00131B8C"/>
    <w:rsid w:val="00131B9B"/>
    <w:rsid w:val="00131C39"/>
    <w:rsid w:val="00131C52"/>
    <w:rsid w:val="00131CA7"/>
    <w:rsid w:val="00131CC3"/>
    <w:rsid w:val="00131D1C"/>
    <w:rsid w:val="00131E1C"/>
    <w:rsid w:val="00131E53"/>
    <w:rsid w:val="00131E96"/>
    <w:rsid w:val="00131EBC"/>
    <w:rsid w:val="00131EBD"/>
    <w:rsid w:val="00131EE8"/>
    <w:rsid w:val="00131EFE"/>
    <w:rsid w:val="00131F3F"/>
    <w:rsid w:val="00131F90"/>
    <w:rsid w:val="00131FC9"/>
    <w:rsid w:val="0013202D"/>
    <w:rsid w:val="00132061"/>
    <w:rsid w:val="00132111"/>
    <w:rsid w:val="00132138"/>
    <w:rsid w:val="001321FF"/>
    <w:rsid w:val="001322D4"/>
    <w:rsid w:val="001323B7"/>
    <w:rsid w:val="0013244B"/>
    <w:rsid w:val="00132454"/>
    <w:rsid w:val="0013246C"/>
    <w:rsid w:val="001324B0"/>
    <w:rsid w:val="0013255D"/>
    <w:rsid w:val="0013256F"/>
    <w:rsid w:val="0013257F"/>
    <w:rsid w:val="0013262C"/>
    <w:rsid w:val="00132654"/>
    <w:rsid w:val="0013269E"/>
    <w:rsid w:val="00132852"/>
    <w:rsid w:val="00132855"/>
    <w:rsid w:val="00132864"/>
    <w:rsid w:val="0013297E"/>
    <w:rsid w:val="00132AEE"/>
    <w:rsid w:val="00132B3E"/>
    <w:rsid w:val="00132BE8"/>
    <w:rsid w:val="00132C1A"/>
    <w:rsid w:val="00132C37"/>
    <w:rsid w:val="00132C50"/>
    <w:rsid w:val="00132CB3"/>
    <w:rsid w:val="00132CD2"/>
    <w:rsid w:val="00132CF9"/>
    <w:rsid w:val="00132D43"/>
    <w:rsid w:val="00132D58"/>
    <w:rsid w:val="00132DDF"/>
    <w:rsid w:val="00132E0A"/>
    <w:rsid w:val="00132E63"/>
    <w:rsid w:val="00132E74"/>
    <w:rsid w:val="00132E80"/>
    <w:rsid w:val="00132EC8"/>
    <w:rsid w:val="00132EEE"/>
    <w:rsid w:val="00132F35"/>
    <w:rsid w:val="00132F58"/>
    <w:rsid w:val="00133096"/>
    <w:rsid w:val="001330A3"/>
    <w:rsid w:val="001330B2"/>
    <w:rsid w:val="0013311D"/>
    <w:rsid w:val="0013314C"/>
    <w:rsid w:val="0013318B"/>
    <w:rsid w:val="0013319A"/>
    <w:rsid w:val="001331A4"/>
    <w:rsid w:val="001331C9"/>
    <w:rsid w:val="0013322B"/>
    <w:rsid w:val="0013323A"/>
    <w:rsid w:val="00133292"/>
    <w:rsid w:val="001332D9"/>
    <w:rsid w:val="001333ED"/>
    <w:rsid w:val="001333FB"/>
    <w:rsid w:val="00133400"/>
    <w:rsid w:val="0013362B"/>
    <w:rsid w:val="00133633"/>
    <w:rsid w:val="00133657"/>
    <w:rsid w:val="0013365B"/>
    <w:rsid w:val="00133688"/>
    <w:rsid w:val="001336D0"/>
    <w:rsid w:val="001337C7"/>
    <w:rsid w:val="001337D4"/>
    <w:rsid w:val="001337D6"/>
    <w:rsid w:val="00133874"/>
    <w:rsid w:val="00133935"/>
    <w:rsid w:val="00133940"/>
    <w:rsid w:val="0013398C"/>
    <w:rsid w:val="001339F6"/>
    <w:rsid w:val="00133AEC"/>
    <w:rsid w:val="00133AF9"/>
    <w:rsid w:val="00133AFC"/>
    <w:rsid w:val="00133B05"/>
    <w:rsid w:val="00133B5A"/>
    <w:rsid w:val="00133B8C"/>
    <w:rsid w:val="00133BA0"/>
    <w:rsid w:val="00133BA1"/>
    <w:rsid w:val="00133BE9"/>
    <w:rsid w:val="00133C3B"/>
    <w:rsid w:val="00133C7C"/>
    <w:rsid w:val="00133D39"/>
    <w:rsid w:val="00133D62"/>
    <w:rsid w:val="00133DF3"/>
    <w:rsid w:val="00133E46"/>
    <w:rsid w:val="00133F05"/>
    <w:rsid w:val="00133FC6"/>
    <w:rsid w:val="0013404F"/>
    <w:rsid w:val="0013405C"/>
    <w:rsid w:val="00134086"/>
    <w:rsid w:val="0013408B"/>
    <w:rsid w:val="00134133"/>
    <w:rsid w:val="0013417D"/>
    <w:rsid w:val="00134330"/>
    <w:rsid w:val="0013436B"/>
    <w:rsid w:val="001343CB"/>
    <w:rsid w:val="0013445B"/>
    <w:rsid w:val="0013446E"/>
    <w:rsid w:val="0013448B"/>
    <w:rsid w:val="001344AE"/>
    <w:rsid w:val="001344CF"/>
    <w:rsid w:val="001344D4"/>
    <w:rsid w:val="0013450A"/>
    <w:rsid w:val="00134592"/>
    <w:rsid w:val="001345A0"/>
    <w:rsid w:val="001345F1"/>
    <w:rsid w:val="00134620"/>
    <w:rsid w:val="001346DB"/>
    <w:rsid w:val="001346ED"/>
    <w:rsid w:val="00134721"/>
    <w:rsid w:val="00134728"/>
    <w:rsid w:val="001347C7"/>
    <w:rsid w:val="00134831"/>
    <w:rsid w:val="00134859"/>
    <w:rsid w:val="0013487F"/>
    <w:rsid w:val="0013489D"/>
    <w:rsid w:val="00134951"/>
    <w:rsid w:val="001349F3"/>
    <w:rsid w:val="00134A16"/>
    <w:rsid w:val="00134AE9"/>
    <w:rsid w:val="00134AF3"/>
    <w:rsid w:val="00134B0D"/>
    <w:rsid w:val="00134B34"/>
    <w:rsid w:val="00134B35"/>
    <w:rsid w:val="00134BBB"/>
    <w:rsid w:val="00134C11"/>
    <w:rsid w:val="00134DBF"/>
    <w:rsid w:val="00134E11"/>
    <w:rsid w:val="00134E73"/>
    <w:rsid w:val="00134E76"/>
    <w:rsid w:val="00134ED0"/>
    <w:rsid w:val="00134F8B"/>
    <w:rsid w:val="00134F95"/>
    <w:rsid w:val="00134F9B"/>
    <w:rsid w:val="0013502B"/>
    <w:rsid w:val="00135118"/>
    <w:rsid w:val="0013512C"/>
    <w:rsid w:val="0013516A"/>
    <w:rsid w:val="0013524E"/>
    <w:rsid w:val="00135284"/>
    <w:rsid w:val="001352A1"/>
    <w:rsid w:val="001352FB"/>
    <w:rsid w:val="00135341"/>
    <w:rsid w:val="0013535E"/>
    <w:rsid w:val="001353BB"/>
    <w:rsid w:val="00135468"/>
    <w:rsid w:val="001354A0"/>
    <w:rsid w:val="00135544"/>
    <w:rsid w:val="00135617"/>
    <w:rsid w:val="00135643"/>
    <w:rsid w:val="001356A2"/>
    <w:rsid w:val="001356A3"/>
    <w:rsid w:val="001356F4"/>
    <w:rsid w:val="00135709"/>
    <w:rsid w:val="0013581C"/>
    <w:rsid w:val="00135824"/>
    <w:rsid w:val="001358B8"/>
    <w:rsid w:val="001358BC"/>
    <w:rsid w:val="00135968"/>
    <w:rsid w:val="001359A1"/>
    <w:rsid w:val="001359D9"/>
    <w:rsid w:val="00135A48"/>
    <w:rsid w:val="00135A91"/>
    <w:rsid w:val="00135AE1"/>
    <w:rsid w:val="00135AE4"/>
    <w:rsid w:val="00135B0E"/>
    <w:rsid w:val="00135B3C"/>
    <w:rsid w:val="00135B7F"/>
    <w:rsid w:val="00135B89"/>
    <w:rsid w:val="00135BD4"/>
    <w:rsid w:val="00135C9D"/>
    <w:rsid w:val="00135CE4"/>
    <w:rsid w:val="00135D27"/>
    <w:rsid w:val="00135D84"/>
    <w:rsid w:val="00135DA1"/>
    <w:rsid w:val="00135DBC"/>
    <w:rsid w:val="00135DF9"/>
    <w:rsid w:val="00135E5E"/>
    <w:rsid w:val="00135EA9"/>
    <w:rsid w:val="00135ED6"/>
    <w:rsid w:val="00135F28"/>
    <w:rsid w:val="0013607A"/>
    <w:rsid w:val="001360A4"/>
    <w:rsid w:val="001360F5"/>
    <w:rsid w:val="00136141"/>
    <w:rsid w:val="00136199"/>
    <w:rsid w:val="001361AD"/>
    <w:rsid w:val="001362E2"/>
    <w:rsid w:val="00136393"/>
    <w:rsid w:val="001363C9"/>
    <w:rsid w:val="0013644D"/>
    <w:rsid w:val="00136459"/>
    <w:rsid w:val="001364C4"/>
    <w:rsid w:val="001364E6"/>
    <w:rsid w:val="00136798"/>
    <w:rsid w:val="00136859"/>
    <w:rsid w:val="00136982"/>
    <w:rsid w:val="001369A0"/>
    <w:rsid w:val="001369C0"/>
    <w:rsid w:val="001369C2"/>
    <w:rsid w:val="001369E7"/>
    <w:rsid w:val="00136AFB"/>
    <w:rsid w:val="00136B03"/>
    <w:rsid w:val="00136B44"/>
    <w:rsid w:val="00136B8F"/>
    <w:rsid w:val="00136BCE"/>
    <w:rsid w:val="00136BD8"/>
    <w:rsid w:val="00136C00"/>
    <w:rsid w:val="00136C41"/>
    <w:rsid w:val="00136C44"/>
    <w:rsid w:val="00136CE6"/>
    <w:rsid w:val="00136CFF"/>
    <w:rsid w:val="00136D19"/>
    <w:rsid w:val="00136D1A"/>
    <w:rsid w:val="00136D33"/>
    <w:rsid w:val="00136D36"/>
    <w:rsid w:val="00136D81"/>
    <w:rsid w:val="00136DEE"/>
    <w:rsid w:val="00136F80"/>
    <w:rsid w:val="00136F83"/>
    <w:rsid w:val="0013704C"/>
    <w:rsid w:val="0013705D"/>
    <w:rsid w:val="001371BC"/>
    <w:rsid w:val="001371F7"/>
    <w:rsid w:val="0013721C"/>
    <w:rsid w:val="001373B4"/>
    <w:rsid w:val="00137432"/>
    <w:rsid w:val="00137442"/>
    <w:rsid w:val="00137471"/>
    <w:rsid w:val="0013749F"/>
    <w:rsid w:val="001374A9"/>
    <w:rsid w:val="001374F0"/>
    <w:rsid w:val="00137518"/>
    <w:rsid w:val="00137520"/>
    <w:rsid w:val="0013759B"/>
    <w:rsid w:val="0013760C"/>
    <w:rsid w:val="00137642"/>
    <w:rsid w:val="0013768A"/>
    <w:rsid w:val="001376C1"/>
    <w:rsid w:val="001376E4"/>
    <w:rsid w:val="00137708"/>
    <w:rsid w:val="00137735"/>
    <w:rsid w:val="00137780"/>
    <w:rsid w:val="00137784"/>
    <w:rsid w:val="00137793"/>
    <w:rsid w:val="0013783D"/>
    <w:rsid w:val="00137869"/>
    <w:rsid w:val="001378A4"/>
    <w:rsid w:val="0013792B"/>
    <w:rsid w:val="00137976"/>
    <w:rsid w:val="001379E3"/>
    <w:rsid w:val="00137B9C"/>
    <w:rsid w:val="00137BC5"/>
    <w:rsid w:val="00137C67"/>
    <w:rsid w:val="00137C9A"/>
    <w:rsid w:val="00137D8E"/>
    <w:rsid w:val="00137DA2"/>
    <w:rsid w:val="00137E88"/>
    <w:rsid w:val="00137E89"/>
    <w:rsid w:val="00137EF2"/>
    <w:rsid w:val="00137FB3"/>
    <w:rsid w:val="00140012"/>
    <w:rsid w:val="00140015"/>
    <w:rsid w:val="0014001B"/>
    <w:rsid w:val="00140026"/>
    <w:rsid w:val="001400B6"/>
    <w:rsid w:val="001400BF"/>
    <w:rsid w:val="00140104"/>
    <w:rsid w:val="001401AA"/>
    <w:rsid w:val="001401F8"/>
    <w:rsid w:val="0014020D"/>
    <w:rsid w:val="00140244"/>
    <w:rsid w:val="00140299"/>
    <w:rsid w:val="001402AD"/>
    <w:rsid w:val="001402BF"/>
    <w:rsid w:val="0014030C"/>
    <w:rsid w:val="00140388"/>
    <w:rsid w:val="001403B4"/>
    <w:rsid w:val="00140453"/>
    <w:rsid w:val="00140581"/>
    <w:rsid w:val="0014059A"/>
    <w:rsid w:val="001405BD"/>
    <w:rsid w:val="001405DA"/>
    <w:rsid w:val="00140625"/>
    <w:rsid w:val="001406E1"/>
    <w:rsid w:val="001407A8"/>
    <w:rsid w:val="001407B3"/>
    <w:rsid w:val="00140833"/>
    <w:rsid w:val="0014084E"/>
    <w:rsid w:val="001408CC"/>
    <w:rsid w:val="00140900"/>
    <w:rsid w:val="0014091B"/>
    <w:rsid w:val="00140942"/>
    <w:rsid w:val="001409EC"/>
    <w:rsid w:val="00140C4E"/>
    <w:rsid w:val="00140CA0"/>
    <w:rsid w:val="00140D14"/>
    <w:rsid w:val="00140D1E"/>
    <w:rsid w:val="00140D42"/>
    <w:rsid w:val="00140E08"/>
    <w:rsid w:val="00140E5D"/>
    <w:rsid w:val="00140E6A"/>
    <w:rsid w:val="00140ED1"/>
    <w:rsid w:val="00140FB0"/>
    <w:rsid w:val="00140FB5"/>
    <w:rsid w:val="0014102B"/>
    <w:rsid w:val="001410BA"/>
    <w:rsid w:val="001410ED"/>
    <w:rsid w:val="00141192"/>
    <w:rsid w:val="001411DA"/>
    <w:rsid w:val="0014120E"/>
    <w:rsid w:val="00141211"/>
    <w:rsid w:val="00141248"/>
    <w:rsid w:val="00141283"/>
    <w:rsid w:val="001412B2"/>
    <w:rsid w:val="00141312"/>
    <w:rsid w:val="00141349"/>
    <w:rsid w:val="0014135A"/>
    <w:rsid w:val="00141387"/>
    <w:rsid w:val="001413EB"/>
    <w:rsid w:val="001413F5"/>
    <w:rsid w:val="00141417"/>
    <w:rsid w:val="00141418"/>
    <w:rsid w:val="001414C2"/>
    <w:rsid w:val="00141563"/>
    <w:rsid w:val="00141604"/>
    <w:rsid w:val="0014166F"/>
    <w:rsid w:val="00141676"/>
    <w:rsid w:val="001416CE"/>
    <w:rsid w:val="0014173E"/>
    <w:rsid w:val="0014180B"/>
    <w:rsid w:val="00141833"/>
    <w:rsid w:val="00141852"/>
    <w:rsid w:val="00141870"/>
    <w:rsid w:val="001418FB"/>
    <w:rsid w:val="00141908"/>
    <w:rsid w:val="00141A29"/>
    <w:rsid w:val="00141A36"/>
    <w:rsid w:val="00141A76"/>
    <w:rsid w:val="00141AC2"/>
    <w:rsid w:val="00141ACB"/>
    <w:rsid w:val="00141B5F"/>
    <w:rsid w:val="00141BCD"/>
    <w:rsid w:val="00141C44"/>
    <w:rsid w:val="00141C93"/>
    <w:rsid w:val="00141CCE"/>
    <w:rsid w:val="00141CE1"/>
    <w:rsid w:val="00141D2D"/>
    <w:rsid w:val="00141DB2"/>
    <w:rsid w:val="00141DF4"/>
    <w:rsid w:val="00141E97"/>
    <w:rsid w:val="00141ECE"/>
    <w:rsid w:val="00141EED"/>
    <w:rsid w:val="00141EF7"/>
    <w:rsid w:val="00141F50"/>
    <w:rsid w:val="00141FB1"/>
    <w:rsid w:val="00142029"/>
    <w:rsid w:val="001420ED"/>
    <w:rsid w:val="0014215D"/>
    <w:rsid w:val="001421BA"/>
    <w:rsid w:val="001421EF"/>
    <w:rsid w:val="001421F4"/>
    <w:rsid w:val="0014222F"/>
    <w:rsid w:val="0014223C"/>
    <w:rsid w:val="00142251"/>
    <w:rsid w:val="001422B6"/>
    <w:rsid w:val="001422F7"/>
    <w:rsid w:val="0014235B"/>
    <w:rsid w:val="001423DD"/>
    <w:rsid w:val="00142470"/>
    <w:rsid w:val="001424C0"/>
    <w:rsid w:val="001424DB"/>
    <w:rsid w:val="001424E9"/>
    <w:rsid w:val="00142518"/>
    <w:rsid w:val="00142530"/>
    <w:rsid w:val="00142544"/>
    <w:rsid w:val="0014256C"/>
    <w:rsid w:val="0014257C"/>
    <w:rsid w:val="0014259E"/>
    <w:rsid w:val="001425B7"/>
    <w:rsid w:val="00142655"/>
    <w:rsid w:val="001426AB"/>
    <w:rsid w:val="001426B9"/>
    <w:rsid w:val="001426C5"/>
    <w:rsid w:val="001426D6"/>
    <w:rsid w:val="0014277B"/>
    <w:rsid w:val="001427AB"/>
    <w:rsid w:val="001427E0"/>
    <w:rsid w:val="001427FA"/>
    <w:rsid w:val="0014281D"/>
    <w:rsid w:val="00142927"/>
    <w:rsid w:val="00142944"/>
    <w:rsid w:val="0014295E"/>
    <w:rsid w:val="00142966"/>
    <w:rsid w:val="001429AC"/>
    <w:rsid w:val="001429D8"/>
    <w:rsid w:val="001429DB"/>
    <w:rsid w:val="001429E8"/>
    <w:rsid w:val="00142AB1"/>
    <w:rsid w:val="00142AC5"/>
    <w:rsid w:val="00142B51"/>
    <w:rsid w:val="00142BDE"/>
    <w:rsid w:val="00142C03"/>
    <w:rsid w:val="00142C10"/>
    <w:rsid w:val="00142C16"/>
    <w:rsid w:val="00142C1E"/>
    <w:rsid w:val="00142CE7"/>
    <w:rsid w:val="00142E45"/>
    <w:rsid w:val="00142E4A"/>
    <w:rsid w:val="00142E50"/>
    <w:rsid w:val="00142E87"/>
    <w:rsid w:val="00142EF0"/>
    <w:rsid w:val="00142F6B"/>
    <w:rsid w:val="00142F7A"/>
    <w:rsid w:val="0014300E"/>
    <w:rsid w:val="00143048"/>
    <w:rsid w:val="001430A4"/>
    <w:rsid w:val="001430F6"/>
    <w:rsid w:val="00143134"/>
    <w:rsid w:val="0014314E"/>
    <w:rsid w:val="0014316C"/>
    <w:rsid w:val="001431AC"/>
    <w:rsid w:val="001431E8"/>
    <w:rsid w:val="00143217"/>
    <w:rsid w:val="00143259"/>
    <w:rsid w:val="001432E6"/>
    <w:rsid w:val="0014330D"/>
    <w:rsid w:val="00143380"/>
    <w:rsid w:val="001433E5"/>
    <w:rsid w:val="0014342D"/>
    <w:rsid w:val="0014347E"/>
    <w:rsid w:val="001434C5"/>
    <w:rsid w:val="001434E8"/>
    <w:rsid w:val="0014351D"/>
    <w:rsid w:val="001435F5"/>
    <w:rsid w:val="0014360F"/>
    <w:rsid w:val="00143655"/>
    <w:rsid w:val="001437AE"/>
    <w:rsid w:val="0014380B"/>
    <w:rsid w:val="00143834"/>
    <w:rsid w:val="00143880"/>
    <w:rsid w:val="001438FB"/>
    <w:rsid w:val="0014390E"/>
    <w:rsid w:val="00143919"/>
    <w:rsid w:val="0014394F"/>
    <w:rsid w:val="001439BB"/>
    <w:rsid w:val="001439DB"/>
    <w:rsid w:val="00143A0F"/>
    <w:rsid w:val="00143A29"/>
    <w:rsid w:val="00143A83"/>
    <w:rsid w:val="00143A84"/>
    <w:rsid w:val="00143AF2"/>
    <w:rsid w:val="00143AF8"/>
    <w:rsid w:val="00143B7E"/>
    <w:rsid w:val="00143CA6"/>
    <w:rsid w:val="00143CB9"/>
    <w:rsid w:val="00143D27"/>
    <w:rsid w:val="00143D88"/>
    <w:rsid w:val="00143D90"/>
    <w:rsid w:val="00143DBC"/>
    <w:rsid w:val="00143E1B"/>
    <w:rsid w:val="00143E33"/>
    <w:rsid w:val="00143F0B"/>
    <w:rsid w:val="00143F0F"/>
    <w:rsid w:val="00143F5F"/>
    <w:rsid w:val="00143F99"/>
    <w:rsid w:val="00143FA5"/>
    <w:rsid w:val="00143FB9"/>
    <w:rsid w:val="00144007"/>
    <w:rsid w:val="00144062"/>
    <w:rsid w:val="0014407D"/>
    <w:rsid w:val="001440CA"/>
    <w:rsid w:val="00144172"/>
    <w:rsid w:val="001441D2"/>
    <w:rsid w:val="001441E1"/>
    <w:rsid w:val="0014420D"/>
    <w:rsid w:val="00144293"/>
    <w:rsid w:val="00144322"/>
    <w:rsid w:val="00144363"/>
    <w:rsid w:val="0014449E"/>
    <w:rsid w:val="0014455E"/>
    <w:rsid w:val="00144688"/>
    <w:rsid w:val="0014469D"/>
    <w:rsid w:val="001446EC"/>
    <w:rsid w:val="0014479D"/>
    <w:rsid w:val="001447D2"/>
    <w:rsid w:val="001447E4"/>
    <w:rsid w:val="0014482A"/>
    <w:rsid w:val="00144835"/>
    <w:rsid w:val="00144843"/>
    <w:rsid w:val="0014489F"/>
    <w:rsid w:val="001448A0"/>
    <w:rsid w:val="0014492D"/>
    <w:rsid w:val="0014499E"/>
    <w:rsid w:val="00144A51"/>
    <w:rsid w:val="00144AB7"/>
    <w:rsid w:val="00144AF1"/>
    <w:rsid w:val="00144B10"/>
    <w:rsid w:val="00144B39"/>
    <w:rsid w:val="00144B72"/>
    <w:rsid w:val="00144BDE"/>
    <w:rsid w:val="00144BF9"/>
    <w:rsid w:val="00144C0F"/>
    <w:rsid w:val="00144D75"/>
    <w:rsid w:val="00144D86"/>
    <w:rsid w:val="00144D87"/>
    <w:rsid w:val="00144D89"/>
    <w:rsid w:val="00144EDE"/>
    <w:rsid w:val="00144EE8"/>
    <w:rsid w:val="00144F14"/>
    <w:rsid w:val="00144F39"/>
    <w:rsid w:val="00144F60"/>
    <w:rsid w:val="00144F72"/>
    <w:rsid w:val="00144F92"/>
    <w:rsid w:val="00145094"/>
    <w:rsid w:val="001450CE"/>
    <w:rsid w:val="001451DE"/>
    <w:rsid w:val="00145264"/>
    <w:rsid w:val="00145345"/>
    <w:rsid w:val="00145394"/>
    <w:rsid w:val="001453B2"/>
    <w:rsid w:val="001453FB"/>
    <w:rsid w:val="00145471"/>
    <w:rsid w:val="001454CD"/>
    <w:rsid w:val="00145504"/>
    <w:rsid w:val="00145532"/>
    <w:rsid w:val="0014555C"/>
    <w:rsid w:val="0014556B"/>
    <w:rsid w:val="001455D9"/>
    <w:rsid w:val="0014571A"/>
    <w:rsid w:val="00145753"/>
    <w:rsid w:val="00145760"/>
    <w:rsid w:val="001457B9"/>
    <w:rsid w:val="001459F8"/>
    <w:rsid w:val="00145A7F"/>
    <w:rsid w:val="00145ACF"/>
    <w:rsid w:val="00145B6E"/>
    <w:rsid w:val="00145C0E"/>
    <w:rsid w:val="00145C45"/>
    <w:rsid w:val="00145D0A"/>
    <w:rsid w:val="00145D92"/>
    <w:rsid w:val="00145DDF"/>
    <w:rsid w:val="00145E2A"/>
    <w:rsid w:val="00145E59"/>
    <w:rsid w:val="00145E78"/>
    <w:rsid w:val="00145E7D"/>
    <w:rsid w:val="00145E95"/>
    <w:rsid w:val="00145E97"/>
    <w:rsid w:val="00145ECC"/>
    <w:rsid w:val="00145EF4"/>
    <w:rsid w:val="00145F66"/>
    <w:rsid w:val="00145F6A"/>
    <w:rsid w:val="00145FBA"/>
    <w:rsid w:val="00146018"/>
    <w:rsid w:val="00146022"/>
    <w:rsid w:val="00146084"/>
    <w:rsid w:val="001460D6"/>
    <w:rsid w:val="0014610A"/>
    <w:rsid w:val="0014611A"/>
    <w:rsid w:val="0014615A"/>
    <w:rsid w:val="0014616C"/>
    <w:rsid w:val="0014620C"/>
    <w:rsid w:val="0014622F"/>
    <w:rsid w:val="00146259"/>
    <w:rsid w:val="00146385"/>
    <w:rsid w:val="001463CC"/>
    <w:rsid w:val="001463F1"/>
    <w:rsid w:val="001463FB"/>
    <w:rsid w:val="00146413"/>
    <w:rsid w:val="00146424"/>
    <w:rsid w:val="001464B9"/>
    <w:rsid w:val="001464D5"/>
    <w:rsid w:val="001464EC"/>
    <w:rsid w:val="001464F7"/>
    <w:rsid w:val="00146509"/>
    <w:rsid w:val="00146513"/>
    <w:rsid w:val="00146598"/>
    <w:rsid w:val="001465C5"/>
    <w:rsid w:val="00146693"/>
    <w:rsid w:val="001466A7"/>
    <w:rsid w:val="001466B4"/>
    <w:rsid w:val="001466B5"/>
    <w:rsid w:val="001466DD"/>
    <w:rsid w:val="00146721"/>
    <w:rsid w:val="00146776"/>
    <w:rsid w:val="0014679B"/>
    <w:rsid w:val="001467BB"/>
    <w:rsid w:val="0014684F"/>
    <w:rsid w:val="00146865"/>
    <w:rsid w:val="0014688A"/>
    <w:rsid w:val="001468A1"/>
    <w:rsid w:val="001468AE"/>
    <w:rsid w:val="001468E7"/>
    <w:rsid w:val="001469BB"/>
    <w:rsid w:val="00146A6B"/>
    <w:rsid w:val="00146A9E"/>
    <w:rsid w:val="00146AFD"/>
    <w:rsid w:val="00146BB5"/>
    <w:rsid w:val="00146CB9"/>
    <w:rsid w:val="00146CE0"/>
    <w:rsid w:val="00146CFF"/>
    <w:rsid w:val="00146D1A"/>
    <w:rsid w:val="00146D2A"/>
    <w:rsid w:val="00146D33"/>
    <w:rsid w:val="00146DB4"/>
    <w:rsid w:val="00146E12"/>
    <w:rsid w:val="00146ECF"/>
    <w:rsid w:val="00146F08"/>
    <w:rsid w:val="00146F17"/>
    <w:rsid w:val="00146F72"/>
    <w:rsid w:val="00146F7A"/>
    <w:rsid w:val="00146F93"/>
    <w:rsid w:val="00146FB2"/>
    <w:rsid w:val="00146FB3"/>
    <w:rsid w:val="00146FB5"/>
    <w:rsid w:val="00146FC7"/>
    <w:rsid w:val="0014706C"/>
    <w:rsid w:val="0014707D"/>
    <w:rsid w:val="001470A7"/>
    <w:rsid w:val="001470B1"/>
    <w:rsid w:val="00147250"/>
    <w:rsid w:val="00147259"/>
    <w:rsid w:val="0014727B"/>
    <w:rsid w:val="00147286"/>
    <w:rsid w:val="0014729E"/>
    <w:rsid w:val="001472B6"/>
    <w:rsid w:val="001472F8"/>
    <w:rsid w:val="00147349"/>
    <w:rsid w:val="00147399"/>
    <w:rsid w:val="00147420"/>
    <w:rsid w:val="0014742E"/>
    <w:rsid w:val="00147435"/>
    <w:rsid w:val="00147462"/>
    <w:rsid w:val="001474CC"/>
    <w:rsid w:val="0014756B"/>
    <w:rsid w:val="00147621"/>
    <w:rsid w:val="001476D1"/>
    <w:rsid w:val="0014770E"/>
    <w:rsid w:val="00147791"/>
    <w:rsid w:val="001477F9"/>
    <w:rsid w:val="00147826"/>
    <w:rsid w:val="00147843"/>
    <w:rsid w:val="00147916"/>
    <w:rsid w:val="00147923"/>
    <w:rsid w:val="001479FF"/>
    <w:rsid w:val="00147A0D"/>
    <w:rsid w:val="00147A76"/>
    <w:rsid w:val="00147A9D"/>
    <w:rsid w:val="00147AA0"/>
    <w:rsid w:val="00147AB6"/>
    <w:rsid w:val="00147AD2"/>
    <w:rsid w:val="00147B01"/>
    <w:rsid w:val="00147B1D"/>
    <w:rsid w:val="00147B32"/>
    <w:rsid w:val="00147B84"/>
    <w:rsid w:val="00147BCF"/>
    <w:rsid w:val="00147BED"/>
    <w:rsid w:val="00147BF9"/>
    <w:rsid w:val="00147C45"/>
    <w:rsid w:val="00147C53"/>
    <w:rsid w:val="00147C7B"/>
    <w:rsid w:val="00147C80"/>
    <w:rsid w:val="00147D6A"/>
    <w:rsid w:val="00147DB1"/>
    <w:rsid w:val="00147DE1"/>
    <w:rsid w:val="00147F31"/>
    <w:rsid w:val="00147FE0"/>
    <w:rsid w:val="00147FF6"/>
    <w:rsid w:val="00150034"/>
    <w:rsid w:val="00150058"/>
    <w:rsid w:val="00150070"/>
    <w:rsid w:val="00150098"/>
    <w:rsid w:val="001500AC"/>
    <w:rsid w:val="001500FE"/>
    <w:rsid w:val="0015022A"/>
    <w:rsid w:val="00150248"/>
    <w:rsid w:val="0015025C"/>
    <w:rsid w:val="00150346"/>
    <w:rsid w:val="0015043D"/>
    <w:rsid w:val="00150486"/>
    <w:rsid w:val="001504B4"/>
    <w:rsid w:val="001504BB"/>
    <w:rsid w:val="001504BE"/>
    <w:rsid w:val="001504D4"/>
    <w:rsid w:val="00150504"/>
    <w:rsid w:val="0015051B"/>
    <w:rsid w:val="00150525"/>
    <w:rsid w:val="00150557"/>
    <w:rsid w:val="001505A5"/>
    <w:rsid w:val="001505AF"/>
    <w:rsid w:val="00150609"/>
    <w:rsid w:val="00150611"/>
    <w:rsid w:val="00150613"/>
    <w:rsid w:val="00150665"/>
    <w:rsid w:val="0015070B"/>
    <w:rsid w:val="0015071C"/>
    <w:rsid w:val="00150769"/>
    <w:rsid w:val="001507A3"/>
    <w:rsid w:val="00150997"/>
    <w:rsid w:val="00150A40"/>
    <w:rsid w:val="00150A7B"/>
    <w:rsid w:val="00150ACD"/>
    <w:rsid w:val="00150AE3"/>
    <w:rsid w:val="00150AFA"/>
    <w:rsid w:val="00150B80"/>
    <w:rsid w:val="00150BCC"/>
    <w:rsid w:val="00150BEC"/>
    <w:rsid w:val="00150C0B"/>
    <w:rsid w:val="00150C9C"/>
    <w:rsid w:val="00150D6B"/>
    <w:rsid w:val="00150ED6"/>
    <w:rsid w:val="00150ED7"/>
    <w:rsid w:val="00150F56"/>
    <w:rsid w:val="00150F7F"/>
    <w:rsid w:val="0015100C"/>
    <w:rsid w:val="0015101C"/>
    <w:rsid w:val="0015103F"/>
    <w:rsid w:val="00151051"/>
    <w:rsid w:val="001510FB"/>
    <w:rsid w:val="00151197"/>
    <w:rsid w:val="001511B8"/>
    <w:rsid w:val="001511D3"/>
    <w:rsid w:val="00151275"/>
    <w:rsid w:val="001512B1"/>
    <w:rsid w:val="001512B2"/>
    <w:rsid w:val="001512F1"/>
    <w:rsid w:val="0015132B"/>
    <w:rsid w:val="001513A2"/>
    <w:rsid w:val="0015144E"/>
    <w:rsid w:val="00151455"/>
    <w:rsid w:val="00151466"/>
    <w:rsid w:val="001514C3"/>
    <w:rsid w:val="00151557"/>
    <w:rsid w:val="00151567"/>
    <w:rsid w:val="0015158B"/>
    <w:rsid w:val="0015162D"/>
    <w:rsid w:val="0015162E"/>
    <w:rsid w:val="0015165F"/>
    <w:rsid w:val="00151681"/>
    <w:rsid w:val="001516B9"/>
    <w:rsid w:val="0015173A"/>
    <w:rsid w:val="001517A3"/>
    <w:rsid w:val="0015191C"/>
    <w:rsid w:val="0015199B"/>
    <w:rsid w:val="00151A6A"/>
    <w:rsid w:val="00151A7E"/>
    <w:rsid w:val="00151AA8"/>
    <w:rsid w:val="00151B5D"/>
    <w:rsid w:val="00151C16"/>
    <w:rsid w:val="00151C20"/>
    <w:rsid w:val="00151D08"/>
    <w:rsid w:val="00151D10"/>
    <w:rsid w:val="00151D22"/>
    <w:rsid w:val="00151D29"/>
    <w:rsid w:val="00151D58"/>
    <w:rsid w:val="00151D68"/>
    <w:rsid w:val="00151D76"/>
    <w:rsid w:val="00151E09"/>
    <w:rsid w:val="00151E22"/>
    <w:rsid w:val="00151E30"/>
    <w:rsid w:val="00151ECA"/>
    <w:rsid w:val="00151F5B"/>
    <w:rsid w:val="00151FE2"/>
    <w:rsid w:val="00151FFC"/>
    <w:rsid w:val="00152038"/>
    <w:rsid w:val="001520AC"/>
    <w:rsid w:val="001520B5"/>
    <w:rsid w:val="001520D6"/>
    <w:rsid w:val="0015217E"/>
    <w:rsid w:val="001521C5"/>
    <w:rsid w:val="001521FF"/>
    <w:rsid w:val="00152280"/>
    <w:rsid w:val="0015228C"/>
    <w:rsid w:val="001522B1"/>
    <w:rsid w:val="001522CB"/>
    <w:rsid w:val="001523DA"/>
    <w:rsid w:val="0015248C"/>
    <w:rsid w:val="00152564"/>
    <w:rsid w:val="001525DF"/>
    <w:rsid w:val="00152681"/>
    <w:rsid w:val="001526A7"/>
    <w:rsid w:val="001526B4"/>
    <w:rsid w:val="00152773"/>
    <w:rsid w:val="00152842"/>
    <w:rsid w:val="00152854"/>
    <w:rsid w:val="001528CF"/>
    <w:rsid w:val="0015291B"/>
    <w:rsid w:val="001529F5"/>
    <w:rsid w:val="00152A0C"/>
    <w:rsid w:val="00152A15"/>
    <w:rsid w:val="00152A29"/>
    <w:rsid w:val="00152A89"/>
    <w:rsid w:val="00152AD0"/>
    <w:rsid w:val="00152B11"/>
    <w:rsid w:val="00152B48"/>
    <w:rsid w:val="00152B55"/>
    <w:rsid w:val="00152B7B"/>
    <w:rsid w:val="00152B96"/>
    <w:rsid w:val="00152C0F"/>
    <w:rsid w:val="00152C18"/>
    <w:rsid w:val="00152C33"/>
    <w:rsid w:val="00152C75"/>
    <w:rsid w:val="00152C90"/>
    <w:rsid w:val="00152D13"/>
    <w:rsid w:val="00152D39"/>
    <w:rsid w:val="00152D6F"/>
    <w:rsid w:val="00152DF6"/>
    <w:rsid w:val="00152E1C"/>
    <w:rsid w:val="00152E71"/>
    <w:rsid w:val="00152EB5"/>
    <w:rsid w:val="00152EBC"/>
    <w:rsid w:val="00152F64"/>
    <w:rsid w:val="00152F73"/>
    <w:rsid w:val="00152F82"/>
    <w:rsid w:val="00152FF0"/>
    <w:rsid w:val="00153044"/>
    <w:rsid w:val="00153059"/>
    <w:rsid w:val="00153071"/>
    <w:rsid w:val="001530FB"/>
    <w:rsid w:val="00153161"/>
    <w:rsid w:val="001531A8"/>
    <w:rsid w:val="001531AB"/>
    <w:rsid w:val="0015321D"/>
    <w:rsid w:val="0015329E"/>
    <w:rsid w:val="00153304"/>
    <w:rsid w:val="0015338C"/>
    <w:rsid w:val="001533A3"/>
    <w:rsid w:val="001533F2"/>
    <w:rsid w:val="001533F8"/>
    <w:rsid w:val="001533F9"/>
    <w:rsid w:val="0015340A"/>
    <w:rsid w:val="00153451"/>
    <w:rsid w:val="00153468"/>
    <w:rsid w:val="0015350A"/>
    <w:rsid w:val="00153598"/>
    <w:rsid w:val="0015359B"/>
    <w:rsid w:val="00153600"/>
    <w:rsid w:val="001536B1"/>
    <w:rsid w:val="0015393A"/>
    <w:rsid w:val="001539C9"/>
    <w:rsid w:val="00153A00"/>
    <w:rsid w:val="00153A18"/>
    <w:rsid w:val="00153A1E"/>
    <w:rsid w:val="00153A22"/>
    <w:rsid w:val="00153A6E"/>
    <w:rsid w:val="00153AE9"/>
    <w:rsid w:val="00153AF0"/>
    <w:rsid w:val="00153B1C"/>
    <w:rsid w:val="00153B26"/>
    <w:rsid w:val="00153B71"/>
    <w:rsid w:val="00153B8F"/>
    <w:rsid w:val="00153BB7"/>
    <w:rsid w:val="00153BB9"/>
    <w:rsid w:val="00153BCB"/>
    <w:rsid w:val="00153C71"/>
    <w:rsid w:val="00153D0B"/>
    <w:rsid w:val="00153EDE"/>
    <w:rsid w:val="00153EEE"/>
    <w:rsid w:val="00153F0E"/>
    <w:rsid w:val="00153F7F"/>
    <w:rsid w:val="00154054"/>
    <w:rsid w:val="00154096"/>
    <w:rsid w:val="001540D9"/>
    <w:rsid w:val="00154114"/>
    <w:rsid w:val="00154166"/>
    <w:rsid w:val="00154176"/>
    <w:rsid w:val="001541B2"/>
    <w:rsid w:val="001541BE"/>
    <w:rsid w:val="001541CE"/>
    <w:rsid w:val="001541E5"/>
    <w:rsid w:val="00154268"/>
    <w:rsid w:val="00154291"/>
    <w:rsid w:val="001542B6"/>
    <w:rsid w:val="0015430A"/>
    <w:rsid w:val="00154378"/>
    <w:rsid w:val="001543AB"/>
    <w:rsid w:val="00154441"/>
    <w:rsid w:val="0015449A"/>
    <w:rsid w:val="001544D4"/>
    <w:rsid w:val="001544EC"/>
    <w:rsid w:val="001544F3"/>
    <w:rsid w:val="00154526"/>
    <w:rsid w:val="00154584"/>
    <w:rsid w:val="001545D9"/>
    <w:rsid w:val="001545FA"/>
    <w:rsid w:val="00154613"/>
    <w:rsid w:val="00154621"/>
    <w:rsid w:val="0015465C"/>
    <w:rsid w:val="001546DD"/>
    <w:rsid w:val="001547C0"/>
    <w:rsid w:val="001547E1"/>
    <w:rsid w:val="0015482C"/>
    <w:rsid w:val="001548B7"/>
    <w:rsid w:val="001548D2"/>
    <w:rsid w:val="00154939"/>
    <w:rsid w:val="0015493A"/>
    <w:rsid w:val="00154946"/>
    <w:rsid w:val="0015494C"/>
    <w:rsid w:val="00154973"/>
    <w:rsid w:val="0015497F"/>
    <w:rsid w:val="00154A08"/>
    <w:rsid w:val="00154ADE"/>
    <w:rsid w:val="00154BA0"/>
    <w:rsid w:val="00154BF1"/>
    <w:rsid w:val="00154C18"/>
    <w:rsid w:val="00154C30"/>
    <w:rsid w:val="00154C61"/>
    <w:rsid w:val="00154C6D"/>
    <w:rsid w:val="00154CA8"/>
    <w:rsid w:val="00154CB5"/>
    <w:rsid w:val="00154D44"/>
    <w:rsid w:val="00154D5A"/>
    <w:rsid w:val="00154DCA"/>
    <w:rsid w:val="00154EAB"/>
    <w:rsid w:val="00154F3F"/>
    <w:rsid w:val="00154F6F"/>
    <w:rsid w:val="00154FB7"/>
    <w:rsid w:val="001550A0"/>
    <w:rsid w:val="001550A7"/>
    <w:rsid w:val="001550D8"/>
    <w:rsid w:val="0015520F"/>
    <w:rsid w:val="00155211"/>
    <w:rsid w:val="00155216"/>
    <w:rsid w:val="001552A6"/>
    <w:rsid w:val="001552B9"/>
    <w:rsid w:val="001552D5"/>
    <w:rsid w:val="001552FF"/>
    <w:rsid w:val="00155379"/>
    <w:rsid w:val="001553AB"/>
    <w:rsid w:val="001553BE"/>
    <w:rsid w:val="00155442"/>
    <w:rsid w:val="00155444"/>
    <w:rsid w:val="001554E0"/>
    <w:rsid w:val="0015553C"/>
    <w:rsid w:val="00155548"/>
    <w:rsid w:val="001555A4"/>
    <w:rsid w:val="00155749"/>
    <w:rsid w:val="00155766"/>
    <w:rsid w:val="00155778"/>
    <w:rsid w:val="0015579E"/>
    <w:rsid w:val="00155830"/>
    <w:rsid w:val="00155836"/>
    <w:rsid w:val="00155863"/>
    <w:rsid w:val="00155894"/>
    <w:rsid w:val="001558D9"/>
    <w:rsid w:val="0015596C"/>
    <w:rsid w:val="00155A34"/>
    <w:rsid w:val="00155A36"/>
    <w:rsid w:val="00155A62"/>
    <w:rsid w:val="00155A8B"/>
    <w:rsid w:val="00155AC7"/>
    <w:rsid w:val="00155B4E"/>
    <w:rsid w:val="00155B7B"/>
    <w:rsid w:val="00155B96"/>
    <w:rsid w:val="00155BCC"/>
    <w:rsid w:val="00155BE6"/>
    <w:rsid w:val="00155C27"/>
    <w:rsid w:val="00155CA0"/>
    <w:rsid w:val="00155CF0"/>
    <w:rsid w:val="00155CF3"/>
    <w:rsid w:val="00155D07"/>
    <w:rsid w:val="00155D1D"/>
    <w:rsid w:val="00155DD7"/>
    <w:rsid w:val="00155E69"/>
    <w:rsid w:val="00155E93"/>
    <w:rsid w:val="00155EDC"/>
    <w:rsid w:val="00155EE7"/>
    <w:rsid w:val="00155EED"/>
    <w:rsid w:val="00155EFE"/>
    <w:rsid w:val="0015600C"/>
    <w:rsid w:val="00156092"/>
    <w:rsid w:val="001560F8"/>
    <w:rsid w:val="00156129"/>
    <w:rsid w:val="0015616B"/>
    <w:rsid w:val="001561CD"/>
    <w:rsid w:val="00156289"/>
    <w:rsid w:val="0015631D"/>
    <w:rsid w:val="0015635B"/>
    <w:rsid w:val="001563DE"/>
    <w:rsid w:val="00156406"/>
    <w:rsid w:val="0015640D"/>
    <w:rsid w:val="001564AF"/>
    <w:rsid w:val="00156552"/>
    <w:rsid w:val="00156574"/>
    <w:rsid w:val="00156584"/>
    <w:rsid w:val="001565B0"/>
    <w:rsid w:val="001565B4"/>
    <w:rsid w:val="00156791"/>
    <w:rsid w:val="00156919"/>
    <w:rsid w:val="001569BE"/>
    <w:rsid w:val="00156A94"/>
    <w:rsid w:val="00156AA3"/>
    <w:rsid w:val="00156B72"/>
    <w:rsid w:val="00156B91"/>
    <w:rsid w:val="00156BE8"/>
    <w:rsid w:val="00156C21"/>
    <w:rsid w:val="00156C68"/>
    <w:rsid w:val="00156C81"/>
    <w:rsid w:val="00156C94"/>
    <w:rsid w:val="00156D41"/>
    <w:rsid w:val="00156D5D"/>
    <w:rsid w:val="00156DFD"/>
    <w:rsid w:val="00156E68"/>
    <w:rsid w:val="00156EC9"/>
    <w:rsid w:val="00156F07"/>
    <w:rsid w:val="0015705F"/>
    <w:rsid w:val="0015706B"/>
    <w:rsid w:val="00157073"/>
    <w:rsid w:val="0015709C"/>
    <w:rsid w:val="001570CE"/>
    <w:rsid w:val="00157116"/>
    <w:rsid w:val="001571AC"/>
    <w:rsid w:val="00157307"/>
    <w:rsid w:val="00157385"/>
    <w:rsid w:val="0015742E"/>
    <w:rsid w:val="00157463"/>
    <w:rsid w:val="0015755E"/>
    <w:rsid w:val="001575B8"/>
    <w:rsid w:val="001575E4"/>
    <w:rsid w:val="001575FA"/>
    <w:rsid w:val="00157641"/>
    <w:rsid w:val="00157645"/>
    <w:rsid w:val="00157666"/>
    <w:rsid w:val="00157774"/>
    <w:rsid w:val="00157782"/>
    <w:rsid w:val="00157811"/>
    <w:rsid w:val="001578D4"/>
    <w:rsid w:val="0015794E"/>
    <w:rsid w:val="0015797A"/>
    <w:rsid w:val="00157A01"/>
    <w:rsid w:val="00157A14"/>
    <w:rsid w:val="00157A98"/>
    <w:rsid w:val="00157A9A"/>
    <w:rsid w:val="00157AC7"/>
    <w:rsid w:val="00157B23"/>
    <w:rsid w:val="00157B6A"/>
    <w:rsid w:val="00157BA1"/>
    <w:rsid w:val="00157C38"/>
    <w:rsid w:val="00157C4A"/>
    <w:rsid w:val="00157CD2"/>
    <w:rsid w:val="00157D85"/>
    <w:rsid w:val="00157DBC"/>
    <w:rsid w:val="00157E5E"/>
    <w:rsid w:val="00157F07"/>
    <w:rsid w:val="00157F6E"/>
    <w:rsid w:val="00160000"/>
    <w:rsid w:val="00160006"/>
    <w:rsid w:val="0016004F"/>
    <w:rsid w:val="00160091"/>
    <w:rsid w:val="001600BB"/>
    <w:rsid w:val="0016015E"/>
    <w:rsid w:val="00160175"/>
    <w:rsid w:val="00160360"/>
    <w:rsid w:val="00160374"/>
    <w:rsid w:val="0016037F"/>
    <w:rsid w:val="00160435"/>
    <w:rsid w:val="0016043B"/>
    <w:rsid w:val="001604E6"/>
    <w:rsid w:val="00160597"/>
    <w:rsid w:val="00160668"/>
    <w:rsid w:val="001606EB"/>
    <w:rsid w:val="0016074D"/>
    <w:rsid w:val="00160755"/>
    <w:rsid w:val="00160964"/>
    <w:rsid w:val="001609B9"/>
    <w:rsid w:val="00160A63"/>
    <w:rsid w:val="00160A92"/>
    <w:rsid w:val="00160AEB"/>
    <w:rsid w:val="00160B23"/>
    <w:rsid w:val="00160B7F"/>
    <w:rsid w:val="00160CAB"/>
    <w:rsid w:val="00160CD0"/>
    <w:rsid w:val="00160CDB"/>
    <w:rsid w:val="00160D76"/>
    <w:rsid w:val="00160D77"/>
    <w:rsid w:val="00160D7F"/>
    <w:rsid w:val="00160D9C"/>
    <w:rsid w:val="00160DCE"/>
    <w:rsid w:val="00160E32"/>
    <w:rsid w:val="00160E36"/>
    <w:rsid w:val="00160E3B"/>
    <w:rsid w:val="00160E5B"/>
    <w:rsid w:val="00160EC3"/>
    <w:rsid w:val="00160ED0"/>
    <w:rsid w:val="00160F3B"/>
    <w:rsid w:val="00160F56"/>
    <w:rsid w:val="00160F64"/>
    <w:rsid w:val="00160FD2"/>
    <w:rsid w:val="00161000"/>
    <w:rsid w:val="00161024"/>
    <w:rsid w:val="0016109E"/>
    <w:rsid w:val="001610D8"/>
    <w:rsid w:val="00161133"/>
    <w:rsid w:val="00161134"/>
    <w:rsid w:val="00161193"/>
    <w:rsid w:val="001611AD"/>
    <w:rsid w:val="00161218"/>
    <w:rsid w:val="00161298"/>
    <w:rsid w:val="001612D4"/>
    <w:rsid w:val="00161310"/>
    <w:rsid w:val="001613C7"/>
    <w:rsid w:val="001613FA"/>
    <w:rsid w:val="0016143E"/>
    <w:rsid w:val="0016145E"/>
    <w:rsid w:val="00161503"/>
    <w:rsid w:val="00161542"/>
    <w:rsid w:val="00161578"/>
    <w:rsid w:val="001615D2"/>
    <w:rsid w:val="00161623"/>
    <w:rsid w:val="0016162B"/>
    <w:rsid w:val="00161646"/>
    <w:rsid w:val="0016165F"/>
    <w:rsid w:val="00161760"/>
    <w:rsid w:val="001617CA"/>
    <w:rsid w:val="001617D0"/>
    <w:rsid w:val="001617F9"/>
    <w:rsid w:val="001617FB"/>
    <w:rsid w:val="00161811"/>
    <w:rsid w:val="00161839"/>
    <w:rsid w:val="0016192D"/>
    <w:rsid w:val="001619C1"/>
    <w:rsid w:val="00161A23"/>
    <w:rsid w:val="00161A58"/>
    <w:rsid w:val="00161A6D"/>
    <w:rsid w:val="00161A93"/>
    <w:rsid w:val="00161A9A"/>
    <w:rsid w:val="00161AB7"/>
    <w:rsid w:val="00161ACB"/>
    <w:rsid w:val="00161AF4"/>
    <w:rsid w:val="00161B78"/>
    <w:rsid w:val="00161B83"/>
    <w:rsid w:val="00161B87"/>
    <w:rsid w:val="00161C1D"/>
    <w:rsid w:val="00161C5A"/>
    <w:rsid w:val="00161CE9"/>
    <w:rsid w:val="00161D4E"/>
    <w:rsid w:val="00161D68"/>
    <w:rsid w:val="00161D7A"/>
    <w:rsid w:val="00161D95"/>
    <w:rsid w:val="00161D9F"/>
    <w:rsid w:val="00161DCD"/>
    <w:rsid w:val="00161E3A"/>
    <w:rsid w:val="00161E4B"/>
    <w:rsid w:val="00161FB1"/>
    <w:rsid w:val="00161FF2"/>
    <w:rsid w:val="00161FF8"/>
    <w:rsid w:val="00161FFA"/>
    <w:rsid w:val="00162057"/>
    <w:rsid w:val="001620A4"/>
    <w:rsid w:val="0016223C"/>
    <w:rsid w:val="0016227B"/>
    <w:rsid w:val="00162295"/>
    <w:rsid w:val="001623A1"/>
    <w:rsid w:val="00162419"/>
    <w:rsid w:val="0016243E"/>
    <w:rsid w:val="0016250B"/>
    <w:rsid w:val="00162562"/>
    <w:rsid w:val="0016259C"/>
    <w:rsid w:val="001625A2"/>
    <w:rsid w:val="00162687"/>
    <w:rsid w:val="00162768"/>
    <w:rsid w:val="001627AE"/>
    <w:rsid w:val="001627EF"/>
    <w:rsid w:val="00162869"/>
    <w:rsid w:val="001628DD"/>
    <w:rsid w:val="001628EA"/>
    <w:rsid w:val="00162938"/>
    <w:rsid w:val="00162986"/>
    <w:rsid w:val="0016299D"/>
    <w:rsid w:val="00162A32"/>
    <w:rsid w:val="00162B31"/>
    <w:rsid w:val="00162B4D"/>
    <w:rsid w:val="00162B6A"/>
    <w:rsid w:val="00162BA7"/>
    <w:rsid w:val="00162BBE"/>
    <w:rsid w:val="00162C2E"/>
    <w:rsid w:val="00162D5B"/>
    <w:rsid w:val="00162D73"/>
    <w:rsid w:val="00162D89"/>
    <w:rsid w:val="00162DB1"/>
    <w:rsid w:val="00162DD2"/>
    <w:rsid w:val="00162E38"/>
    <w:rsid w:val="00162E4F"/>
    <w:rsid w:val="00162F60"/>
    <w:rsid w:val="00162FD1"/>
    <w:rsid w:val="0016303A"/>
    <w:rsid w:val="00163058"/>
    <w:rsid w:val="00163087"/>
    <w:rsid w:val="0016316D"/>
    <w:rsid w:val="0016317E"/>
    <w:rsid w:val="001631C4"/>
    <w:rsid w:val="001631F8"/>
    <w:rsid w:val="00163218"/>
    <w:rsid w:val="00163219"/>
    <w:rsid w:val="00163232"/>
    <w:rsid w:val="00163267"/>
    <w:rsid w:val="00163275"/>
    <w:rsid w:val="00163284"/>
    <w:rsid w:val="001632D7"/>
    <w:rsid w:val="00163320"/>
    <w:rsid w:val="0016332C"/>
    <w:rsid w:val="001633A2"/>
    <w:rsid w:val="001633F1"/>
    <w:rsid w:val="0016340A"/>
    <w:rsid w:val="001634D2"/>
    <w:rsid w:val="001634E2"/>
    <w:rsid w:val="00163506"/>
    <w:rsid w:val="0016350D"/>
    <w:rsid w:val="00163534"/>
    <w:rsid w:val="0016354E"/>
    <w:rsid w:val="00163577"/>
    <w:rsid w:val="001635CC"/>
    <w:rsid w:val="0016360B"/>
    <w:rsid w:val="00163616"/>
    <w:rsid w:val="0016364D"/>
    <w:rsid w:val="001636EB"/>
    <w:rsid w:val="00163732"/>
    <w:rsid w:val="0016375A"/>
    <w:rsid w:val="00163791"/>
    <w:rsid w:val="001637E1"/>
    <w:rsid w:val="001637E6"/>
    <w:rsid w:val="001638BB"/>
    <w:rsid w:val="00163941"/>
    <w:rsid w:val="00163944"/>
    <w:rsid w:val="001639B1"/>
    <w:rsid w:val="001639E6"/>
    <w:rsid w:val="00163A28"/>
    <w:rsid w:val="00163A29"/>
    <w:rsid w:val="00163A6C"/>
    <w:rsid w:val="00163A79"/>
    <w:rsid w:val="00163AA9"/>
    <w:rsid w:val="00163AB7"/>
    <w:rsid w:val="00163B0F"/>
    <w:rsid w:val="00163B10"/>
    <w:rsid w:val="00163B9F"/>
    <w:rsid w:val="00163BC8"/>
    <w:rsid w:val="00163C32"/>
    <w:rsid w:val="00163D3B"/>
    <w:rsid w:val="00163DDA"/>
    <w:rsid w:val="00163E19"/>
    <w:rsid w:val="00163EC6"/>
    <w:rsid w:val="00163F16"/>
    <w:rsid w:val="00163F73"/>
    <w:rsid w:val="001640BE"/>
    <w:rsid w:val="0016411F"/>
    <w:rsid w:val="001641E2"/>
    <w:rsid w:val="00164200"/>
    <w:rsid w:val="0016427D"/>
    <w:rsid w:val="001642D8"/>
    <w:rsid w:val="001642DE"/>
    <w:rsid w:val="001642DF"/>
    <w:rsid w:val="001642F7"/>
    <w:rsid w:val="0016430D"/>
    <w:rsid w:val="0016432D"/>
    <w:rsid w:val="0016435A"/>
    <w:rsid w:val="001643CC"/>
    <w:rsid w:val="001643F3"/>
    <w:rsid w:val="00164445"/>
    <w:rsid w:val="00164472"/>
    <w:rsid w:val="001644B3"/>
    <w:rsid w:val="00164513"/>
    <w:rsid w:val="00164523"/>
    <w:rsid w:val="0016456F"/>
    <w:rsid w:val="0016457C"/>
    <w:rsid w:val="001645BE"/>
    <w:rsid w:val="0016460D"/>
    <w:rsid w:val="00164665"/>
    <w:rsid w:val="0016469E"/>
    <w:rsid w:val="001646E5"/>
    <w:rsid w:val="0016477F"/>
    <w:rsid w:val="00164795"/>
    <w:rsid w:val="001647BF"/>
    <w:rsid w:val="001647F5"/>
    <w:rsid w:val="00164814"/>
    <w:rsid w:val="0016481F"/>
    <w:rsid w:val="001648D2"/>
    <w:rsid w:val="001648FC"/>
    <w:rsid w:val="0016492E"/>
    <w:rsid w:val="0016494F"/>
    <w:rsid w:val="001649AD"/>
    <w:rsid w:val="001649CA"/>
    <w:rsid w:val="00164A0E"/>
    <w:rsid w:val="00164AA8"/>
    <w:rsid w:val="00164AAE"/>
    <w:rsid w:val="00164B2C"/>
    <w:rsid w:val="00164B3D"/>
    <w:rsid w:val="00164D0D"/>
    <w:rsid w:val="00164D18"/>
    <w:rsid w:val="00164D69"/>
    <w:rsid w:val="00164D7E"/>
    <w:rsid w:val="00164E02"/>
    <w:rsid w:val="00164E67"/>
    <w:rsid w:val="00164E94"/>
    <w:rsid w:val="00164EAC"/>
    <w:rsid w:val="00164F14"/>
    <w:rsid w:val="00164F32"/>
    <w:rsid w:val="00164F34"/>
    <w:rsid w:val="0016507F"/>
    <w:rsid w:val="001650A6"/>
    <w:rsid w:val="00165105"/>
    <w:rsid w:val="0016510A"/>
    <w:rsid w:val="00165136"/>
    <w:rsid w:val="0016513B"/>
    <w:rsid w:val="00165174"/>
    <w:rsid w:val="001651D3"/>
    <w:rsid w:val="00165208"/>
    <w:rsid w:val="00165281"/>
    <w:rsid w:val="001652DE"/>
    <w:rsid w:val="00165303"/>
    <w:rsid w:val="00165305"/>
    <w:rsid w:val="0016541B"/>
    <w:rsid w:val="0016548C"/>
    <w:rsid w:val="0016549C"/>
    <w:rsid w:val="001654BA"/>
    <w:rsid w:val="0016551B"/>
    <w:rsid w:val="0016552C"/>
    <w:rsid w:val="0016554F"/>
    <w:rsid w:val="00165571"/>
    <w:rsid w:val="001655B4"/>
    <w:rsid w:val="00165643"/>
    <w:rsid w:val="0016568A"/>
    <w:rsid w:val="001656A7"/>
    <w:rsid w:val="00165726"/>
    <w:rsid w:val="001657C5"/>
    <w:rsid w:val="00165822"/>
    <w:rsid w:val="0016584D"/>
    <w:rsid w:val="001658BB"/>
    <w:rsid w:val="001658CA"/>
    <w:rsid w:val="00165914"/>
    <w:rsid w:val="00165952"/>
    <w:rsid w:val="00165971"/>
    <w:rsid w:val="00165974"/>
    <w:rsid w:val="00165A40"/>
    <w:rsid w:val="00165AE4"/>
    <w:rsid w:val="00165B19"/>
    <w:rsid w:val="00165B85"/>
    <w:rsid w:val="00165BC5"/>
    <w:rsid w:val="00165BD8"/>
    <w:rsid w:val="00165BEB"/>
    <w:rsid w:val="00165C6F"/>
    <w:rsid w:val="00165CAB"/>
    <w:rsid w:val="00165D17"/>
    <w:rsid w:val="00165DC2"/>
    <w:rsid w:val="00165E58"/>
    <w:rsid w:val="00165E85"/>
    <w:rsid w:val="00165E9F"/>
    <w:rsid w:val="00165F2C"/>
    <w:rsid w:val="00165F40"/>
    <w:rsid w:val="00165FAB"/>
    <w:rsid w:val="00165FAD"/>
    <w:rsid w:val="00165FC1"/>
    <w:rsid w:val="00165FF5"/>
    <w:rsid w:val="00165FF8"/>
    <w:rsid w:val="00165FFF"/>
    <w:rsid w:val="0016604D"/>
    <w:rsid w:val="001660B6"/>
    <w:rsid w:val="00166170"/>
    <w:rsid w:val="00166178"/>
    <w:rsid w:val="001661A4"/>
    <w:rsid w:val="001661EB"/>
    <w:rsid w:val="00166207"/>
    <w:rsid w:val="0016621C"/>
    <w:rsid w:val="00166223"/>
    <w:rsid w:val="0016626C"/>
    <w:rsid w:val="0016627C"/>
    <w:rsid w:val="001662A1"/>
    <w:rsid w:val="001662DE"/>
    <w:rsid w:val="0016630C"/>
    <w:rsid w:val="00166322"/>
    <w:rsid w:val="001663C3"/>
    <w:rsid w:val="001663ED"/>
    <w:rsid w:val="0016647D"/>
    <w:rsid w:val="001664F7"/>
    <w:rsid w:val="001665F9"/>
    <w:rsid w:val="00166606"/>
    <w:rsid w:val="001666AD"/>
    <w:rsid w:val="00166772"/>
    <w:rsid w:val="001667D6"/>
    <w:rsid w:val="001667D9"/>
    <w:rsid w:val="00166829"/>
    <w:rsid w:val="0016683F"/>
    <w:rsid w:val="001669DD"/>
    <w:rsid w:val="00166A04"/>
    <w:rsid w:val="00166A07"/>
    <w:rsid w:val="00166A19"/>
    <w:rsid w:val="00166B97"/>
    <w:rsid w:val="00166BF8"/>
    <w:rsid w:val="00166C12"/>
    <w:rsid w:val="00166D2D"/>
    <w:rsid w:val="00166DB7"/>
    <w:rsid w:val="00166DBE"/>
    <w:rsid w:val="00166DD1"/>
    <w:rsid w:val="00166DF8"/>
    <w:rsid w:val="00166E8C"/>
    <w:rsid w:val="00167014"/>
    <w:rsid w:val="0016702B"/>
    <w:rsid w:val="0016702E"/>
    <w:rsid w:val="001670AD"/>
    <w:rsid w:val="00167108"/>
    <w:rsid w:val="00167141"/>
    <w:rsid w:val="001671D1"/>
    <w:rsid w:val="00167297"/>
    <w:rsid w:val="001672AE"/>
    <w:rsid w:val="001672BB"/>
    <w:rsid w:val="001672BD"/>
    <w:rsid w:val="00167310"/>
    <w:rsid w:val="00167339"/>
    <w:rsid w:val="001673BC"/>
    <w:rsid w:val="001673DE"/>
    <w:rsid w:val="00167519"/>
    <w:rsid w:val="00167636"/>
    <w:rsid w:val="00167683"/>
    <w:rsid w:val="00167688"/>
    <w:rsid w:val="001676E0"/>
    <w:rsid w:val="001677A2"/>
    <w:rsid w:val="001677E7"/>
    <w:rsid w:val="001677FD"/>
    <w:rsid w:val="00167820"/>
    <w:rsid w:val="0016786C"/>
    <w:rsid w:val="00167888"/>
    <w:rsid w:val="001678A1"/>
    <w:rsid w:val="00167909"/>
    <w:rsid w:val="00167959"/>
    <w:rsid w:val="001679AC"/>
    <w:rsid w:val="001679E6"/>
    <w:rsid w:val="00167A90"/>
    <w:rsid w:val="00167BB4"/>
    <w:rsid w:val="00167BD4"/>
    <w:rsid w:val="00167C0D"/>
    <w:rsid w:val="00167C14"/>
    <w:rsid w:val="00167C17"/>
    <w:rsid w:val="00167C55"/>
    <w:rsid w:val="00167C62"/>
    <w:rsid w:val="00167CA3"/>
    <w:rsid w:val="00167CC5"/>
    <w:rsid w:val="00167D10"/>
    <w:rsid w:val="00167D71"/>
    <w:rsid w:val="00167E1B"/>
    <w:rsid w:val="00167E1D"/>
    <w:rsid w:val="00167E38"/>
    <w:rsid w:val="00167F39"/>
    <w:rsid w:val="00167F75"/>
    <w:rsid w:val="00167FC7"/>
    <w:rsid w:val="00167FE1"/>
    <w:rsid w:val="00167FEB"/>
    <w:rsid w:val="00167FEF"/>
    <w:rsid w:val="00170043"/>
    <w:rsid w:val="0017007B"/>
    <w:rsid w:val="001700DE"/>
    <w:rsid w:val="00170235"/>
    <w:rsid w:val="00170278"/>
    <w:rsid w:val="0017028C"/>
    <w:rsid w:val="00170338"/>
    <w:rsid w:val="0017041A"/>
    <w:rsid w:val="00170420"/>
    <w:rsid w:val="00170455"/>
    <w:rsid w:val="0017046E"/>
    <w:rsid w:val="00170494"/>
    <w:rsid w:val="001704A0"/>
    <w:rsid w:val="001705CD"/>
    <w:rsid w:val="001705CE"/>
    <w:rsid w:val="001705D5"/>
    <w:rsid w:val="0017069D"/>
    <w:rsid w:val="001706AA"/>
    <w:rsid w:val="001706C5"/>
    <w:rsid w:val="001706E0"/>
    <w:rsid w:val="001707F9"/>
    <w:rsid w:val="0017089B"/>
    <w:rsid w:val="001708AA"/>
    <w:rsid w:val="001708DD"/>
    <w:rsid w:val="00170904"/>
    <w:rsid w:val="00170959"/>
    <w:rsid w:val="00170980"/>
    <w:rsid w:val="00170A82"/>
    <w:rsid w:val="00170ACF"/>
    <w:rsid w:val="00170B39"/>
    <w:rsid w:val="00170B3C"/>
    <w:rsid w:val="00170BA4"/>
    <w:rsid w:val="00170C7E"/>
    <w:rsid w:val="00170CC2"/>
    <w:rsid w:val="00170D7C"/>
    <w:rsid w:val="00170DCD"/>
    <w:rsid w:val="00170E80"/>
    <w:rsid w:val="00170ED2"/>
    <w:rsid w:val="00170EE7"/>
    <w:rsid w:val="00170EF1"/>
    <w:rsid w:val="00170F41"/>
    <w:rsid w:val="00170F84"/>
    <w:rsid w:val="00170FF8"/>
    <w:rsid w:val="00171024"/>
    <w:rsid w:val="001710F4"/>
    <w:rsid w:val="00171133"/>
    <w:rsid w:val="00171220"/>
    <w:rsid w:val="00171233"/>
    <w:rsid w:val="00171277"/>
    <w:rsid w:val="001712FB"/>
    <w:rsid w:val="001712FD"/>
    <w:rsid w:val="0017131F"/>
    <w:rsid w:val="00171327"/>
    <w:rsid w:val="0017134E"/>
    <w:rsid w:val="00171364"/>
    <w:rsid w:val="0017145E"/>
    <w:rsid w:val="0017148B"/>
    <w:rsid w:val="001714CA"/>
    <w:rsid w:val="001714F1"/>
    <w:rsid w:val="00171504"/>
    <w:rsid w:val="0017159D"/>
    <w:rsid w:val="0017165F"/>
    <w:rsid w:val="00171675"/>
    <w:rsid w:val="001716BE"/>
    <w:rsid w:val="00171748"/>
    <w:rsid w:val="001717CE"/>
    <w:rsid w:val="001717DC"/>
    <w:rsid w:val="001717F9"/>
    <w:rsid w:val="0017180D"/>
    <w:rsid w:val="001718E0"/>
    <w:rsid w:val="001718E8"/>
    <w:rsid w:val="001718F0"/>
    <w:rsid w:val="00171902"/>
    <w:rsid w:val="0017198C"/>
    <w:rsid w:val="00171ACF"/>
    <w:rsid w:val="00171AD5"/>
    <w:rsid w:val="00171B1F"/>
    <w:rsid w:val="00171B20"/>
    <w:rsid w:val="00171BFA"/>
    <w:rsid w:val="00171C7F"/>
    <w:rsid w:val="00171C84"/>
    <w:rsid w:val="00171D1E"/>
    <w:rsid w:val="00171D3A"/>
    <w:rsid w:val="00171D4D"/>
    <w:rsid w:val="00171D7A"/>
    <w:rsid w:val="00171E37"/>
    <w:rsid w:val="00171E8F"/>
    <w:rsid w:val="00171EA0"/>
    <w:rsid w:val="00171F4E"/>
    <w:rsid w:val="00171FF6"/>
    <w:rsid w:val="00172020"/>
    <w:rsid w:val="00172081"/>
    <w:rsid w:val="00172130"/>
    <w:rsid w:val="0017216C"/>
    <w:rsid w:val="001721B3"/>
    <w:rsid w:val="001721EB"/>
    <w:rsid w:val="00172222"/>
    <w:rsid w:val="0017224F"/>
    <w:rsid w:val="00172254"/>
    <w:rsid w:val="001722E7"/>
    <w:rsid w:val="001722EE"/>
    <w:rsid w:val="00172316"/>
    <w:rsid w:val="00172328"/>
    <w:rsid w:val="001723D1"/>
    <w:rsid w:val="001723E5"/>
    <w:rsid w:val="001723FC"/>
    <w:rsid w:val="001724A6"/>
    <w:rsid w:val="0017254A"/>
    <w:rsid w:val="00172578"/>
    <w:rsid w:val="00172585"/>
    <w:rsid w:val="00172659"/>
    <w:rsid w:val="00172690"/>
    <w:rsid w:val="001726DD"/>
    <w:rsid w:val="001726F8"/>
    <w:rsid w:val="0017278F"/>
    <w:rsid w:val="00172813"/>
    <w:rsid w:val="00172878"/>
    <w:rsid w:val="00172986"/>
    <w:rsid w:val="00172A2D"/>
    <w:rsid w:val="00172A43"/>
    <w:rsid w:val="00172A53"/>
    <w:rsid w:val="00172B0A"/>
    <w:rsid w:val="00172B4B"/>
    <w:rsid w:val="00172B71"/>
    <w:rsid w:val="00172B76"/>
    <w:rsid w:val="00172BD6"/>
    <w:rsid w:val="00172C72"/>
    <w:rsid w:val="00172CE8"/>
    <w:rsid w:val="00172DD5"/>
    <w:rsid w:val="00172E06"/>
    <w:rsid w:val="00172E0B"/>
    <w:rsid w:val="00172E8C"/>
    <w:rsid w:val="00172E93"/>
    <w:rsid w:val="00172E9A"/>
    <w:rsid w:val="00172EAB"/>
    <w:rsid w:val="00172F67"/>
    <w:rsid w:val="00172FBF"/>
    <w:rsid w:val="00173005"/>
    <w:rsid w:val="0017300B"/>
    <w:rsid w:val="001730BD"/>
    <w:rsid w:val="0017312D"/>
    <w:rsid w:val="00173138"/>
    <w:rsid w:val="00173141"/>
    <w:rsid w:val="00173171"/>
    <w:rsid w:val="0017317B"/>
    <w:rsid w:val="001731E7"/>
    <w:rsid w:val="001732A1"/>
    <w:rsid w:val="001732A4"/>
    <w:rsid w:val="001732BB"/>
    <w:rsid w:val="001732CD"/>
    <w:rsid w:val="001734CE"/>
    <w:rsid w:val="00173513"/>
    <w:rsid w:val="00173527"/>
    <w:rsid w:val="0017352C"/>
    <w:rsid w:val="0017358D"/>
    <w:rsid w:val="00173642"/>
    <w:rsid w:val="00173665"/>
    <w:rsid w:val="00173695"/>
    <w:rsid w:val="00173699"/>
    <w:rsid w:val="0017369E"/>
    <w:rsid w:val="001737C6"/>
    <w:rsid w:val="001737E6"/>
    <w:rsid w:val="00173841"/>
    <w:rsid w:val="00173871"/>
    <w:rsid w:val="0017391C"/>
    <w:rsid w:val="0017391D"/>
    <w:rsid w:val="001739DE"/>
    <w:rsid w:val="00173A84"/>
    <w:rsid w:val="00173A9F"/>
    <w:rsid w:val="00173AD4"/>
    <w:rsid w:val="00173B80"/>
    <w:rsid w:val="00173BAE"/>
    <w:rsid w:val="00173BB5"/>
    <w:rsid w:val="00173C76"/>
    <w:rsid w:val="00173D27"/>
    <w:rsid w:val="00173D38"/>
    <w:rsid w:val="00173D71"/>
    <w:rsid w:val="00173E71"/>
    <w:rsid w:val="00173ED1"/>
    <w:rsid w:val="00173EE3"/>
    <w:rsid w:val="00173EE6"/>
    <w:rsid w:val="00173F25"/>
    <w:rsid w:val="00173FB1"/>
    <w:rsid w:val="00173FB6"/>
    <w:rsid w:val="0017400B"/>
    <w:rsid w:val="00174053"/>
    <w:rsid w:val="00174061"/>
    <w:rsid w:val="0017416E"/>
    <w:rsid w:val="00174181"/>
    <w:rsid w:val="001741C4"/>
    <w:rsid w:val="001741CA"/>
    <w:rsid w:val="0017423D"/>
    <w:rsid w:val="00174243"/>
    <w:rsid w:val="00174275"/>
    <w:rsid w:val="001742B4"/>
    <w:rsid w:val="00174309"/>
    <w:rsid w:val="001743D4"/>
    <w:rsid w:val="001744A7"/>
    <w:rsid w:val="00174586"/>
    <w:rsid w:val="001745A5"/>
    <w:rsid w:val="001745EC"/>
    <w:rsid w:val="00174637"/>
    <w:rsid w:val="0017463C"/>
    <w:rsid w:val="001746D8"/>
    <w:rsid w:val="00174705"/>
    <w:rsid w:val="00174716"/>
    <w:rsid w:val="0017476C"/>
    <w:rsid w:val="00174781"/>
    <w:rsid w:val="0017478D"/>
    <w:rsid w:val="00174796"/>
    <w:rsid w:val="001747F1"/>
    <w:rsid w:val="001748BA"/>
    <w:rsid w:val="001748BE"/>
    <w:rsid w:val="00174A5F"/>
    <w:rsid w:val="00174AC4"/>
    <w:rsid w:val="00174ACF"/>
    <w:rsid w:val="00174AD6"/>
    <w:rsid w:val="00174B08"/>
    <w:rsid w:val="00174B13"/>
    <w:rsid w:val="00174BE8"/>
    <w:rsid w:val="00174C2C"/>
    <w:rsid w:val="00174CBA"/>
    <w:rsid w:val="00174CD4"/>
    <w:rsid w:val="00174D0E"/>
    <w:rsid w:val="00174D5E"/>
    <w:rsid w:val="00174E43"/>
    <w:rsid w:val="00174FA8"/>
    <w:rsid w:val="00174FE7"/>
    <w:rsid w:val="00174FFD"/>
    <w:rsid w:val="001750A6"/>
    <w:rsid w:val="001750EE"/>
    <w:rsid w:val="001752AA"/>
    <w:rsid w:val="001752D4"/>
    <w:rsid w:val="001752D5"/>
    <w:rsid w:val="001753A8"/>
    <w:rsid w:val="001753D3"/>
    <w:rsid w:val="001753E6"/>
    <w:rsid w:val="00175400"/>
    <w:rsid w:val="00175406"/>
    <w:rsid w:val="00175459"/>
    <w:rsid w:val="00175467"/>
    <w:rsid w:val="0017546D"/>
    <w:rsid w:val="001754B4"/>
    <w:rsid w:val="00175567"/>
    <w:rsid w:val="0017561B"/>
    <w:rsid w:val="00175636"/>
    <w:rsid w:val="0017569D"/>
    <w:rsid w:val="00175715"/>
    <w:rsid w:val="0017573A"/>
    <w:rsid w:val="001757D7"/>
    <w:rsid w:val="0017583D"/>
    <w:rsid w:val="0017585D"/>
    <w:rsid w:val="001758A2"/>
    <w:rsid w:val="001758A7"/>
    <w:rsid w:val="0017592A"/>
    <w:rsid w:val="0017597E"/>
    <w:rsid w:val="00175A07"/>
    <w:rsid w:val="00175A49"/>
    <w:rsid w:val="00175A4D"/>
    <w:rsid w:val="00175BA2"/>
    <w:rsid w:val="00175BB5"/>
    <w:rsid w:val="00175BB6"/>
    <w:rsid w:val="00175CCD"/>
    <w:rsid w:val="00175D18"/>
    <w:rsid w:val="00175D83"/>
    <w:rsid w:val="00175E47"/>
    <w:rsid w:val="00175EA9"/>
    <w:rsid w:val="00175F0A"/>
    <w:rsid w:val="00175F18"/>
    <w:rsid w:val="00175F59"/>
    <w:rsid w:val="00175FC1"/>
    <w:rsid w:val="00175FE6"/>
    <w:rsid w:val="00175FF8"/>
    <w:rsid w:val="00176018"/>
    <w:rsid w:val="00176075"/>
    <w:rsid w:val="00176096"/>
    <w:rsid w:val="0017614F"/>
    <w:rsid w:val="001761A9"/>
    <w:rsid w:val="0017627E"/>
    <w:rsid w:val="00176287"/>
    <w:rsid w:val="001762D2"/>
    <w:rsid w:val="001762EE"/>
    <w:rsid w:val="00176366"/>
    <w:rsid w:val="001763AB"/>
    <w:rsid w:val="00176403"/>
    <w:rsid w:val="001764C8"/>
    <w:rsid w:val="00176507"/>
    <w:rsid w:val="00176517"/>
    <w:rsid w:val="00176538"/>
    <w:rsid w:val="00176555"/>
    <w:rsid w:val="001765E5"/>
    <w:rsid w:val="0017663B"/>
    <w:rsid w:val="00176690"/>
    <w:rsid w:val="00176691"/>
    <w:rsid w:val="001766A1"/>
    <w:rsid w:val="001766AD"/>
    <w:rsid w:val="00176728"/>
    <w:rsid w:val="0017677D"/>
    <w:rsid w:val="001767E0"/>
    <w:rsid w:val="00176808"/>
    <w:rsid w:val="00176834"/>
    <w:rsid w:val="0017685A"/>
    <w:rsid w:val="00176860"/>
    <w:rsid w:val="001768A8"/>
    <w:rsid w:val="0017690E"/>
    <w:rsid w:val="001769BE"/>
    <w:rsid w:val="00176A1E"/>
    <w:rsid w:val="00176A35"/>
    <w:rsid w:val="00176A7E"/>
    <w:rsid w:val="00176AC9"/>
    <w:rsid w:val="00176BCA"/>
    <w:rsid w:val="00176C0A"/>
    <w:rsid w:val="00176C10"/>
    <w:rsid w:val="00176CC0"/>
    <w:rsid w:val="00176D13"/>
    <w:rsid w:val="00176D96"/>
    <w:rsid w:val="00176D99"/>
    <w:rsid w:val="00176DFC"/>
    <w:rsid w:val="00176DFD"/>
    <w:rsid w:val="00176E71"/>
    <w:rsid w:val="00176E8D"/>
    <w:rsid w:val="00176EB2"/>
    <w:rsid w:val="00176F2E"/>
    <w:rsid w:val="00176F88"/>
    <w:rsid w:val="00176FB6"/>
    <w:rsid w:val="001770AA"/>
    <w:rsid w:val="001770DA"/>
    <w:rsid w:val="0017712B"/>
    <w:rsid w:val="00177134"/>
    <w:rsid w:val="00177154"/>
    <w:rsid w:val="00177180"/>
    <w:rsid w:val="00177216"/>
    <w:rsid w:val="00177227"/>
    <w:rsid w:val="00177294"/>
    <w:rsid w:val="00177338"/>
    <w:rsid w:val="00177377"/>
    <w:rsid w:val="0017739D"/>
    <w:rsid w:val="00177410"/>
    <w:rsid w:val="00177431"/>
    <w:rsid w:val="00177462"/>
    <w:rsid w:val="0017753E"/>
    <w:rsid w:val="00177560"/>
    <w:rsid w:val="00177667"/>
    <w:rsid w:val="0017768A"/>
    <w:rsid w:val="0017769B"/>
    <w:rsid w:val="001776C7"/>
    <w:rsid w:val="00177728"/>
    <w:rsid w:val="00177730"/>
    <w:rsid w:val="0017777D"/>
    <w:rsid w:val="001777A8"/>
    <w:rsid w:val="001777EC"/>
    <w:rsid w:val="00177807"/>
    <w:rsid w:val="0017780A"/>
    <w:rsid w:val="00177852"/>
    <w:rsid w:val="00177896"/>
    <w:rsid w:val="001778EC"/>
    <w:rsid w:val="0017799F"/>
    <w:rsid w:val="001779D2"/>
    <w:rsid w:val="00177A41"/>
    <w:rsid w:val="00177A9A"/>
    <w:rsid w:val="00177AAA"/>
    <w:rsid w:val="00177AAE"/>
    <w:rsid w:val="00177AD8"/>
    <w:rsid w:val="00177B69"/>
    <w:rsid w:val="00177BB3"/>
    <w:rsid w:val="00177C9E"/>
    <w:rsid w:val="00177CBE"/>
    <w:rsid w:val="00177D3D"/>
    <w:rsid w:val="00177DB2"/>
    <w:rsid w:val="00177DF0"/>
    <w:rsid w:val="00177EB4"/>
    <w:rsid w:val="00177F29"/>
    <w:rsid w:val="00180025"/>
    <w:rsid w:val="00180074"/>
    <w:rsid w:val="0018015A"/>
    <w:rsid w:val="00180253"/>
    <w:rsid w:val="001802C1"/>
    <w:rsid w:val="00180411"/>
    <w:rsid w:val="00180443"/>
    <w:rsid w:val="00180457"/>
    <w:rsid w:val="0018049E"/>
    <w:rsid w:val="001804B0"/>
    <w:rsid w:val="0018054D"/>
    <w:rsid w:val="00180559"/>
    <w:rsid w:val="00180583"/>
    <w:rsid w:val="001805A9"/>
    <w:rsid w:val="001805B8"/>
    <w:rsid w:val="001805DD"/>
    <w:rsid w:val="001805EE"/>
    <w:rsid w:val="0018063C"/>
    <w:rsid w:val="00180688"/>
    <w:rsid w:val="001806A6"/>
    <w:rsid w:val="001806CB"/>
    <w:rsid w:val="001806FD"/>
    <w:rsid w:val="00180888"/>
    <w:rsid w:val="00180893"/>
    <w:rsid w:val="001808B2"/>
    <w:rsid w:val="00180901"/>
    <w:rsid w:val="00180970"/>
    <w:rsid w:val="001809EA"/>
    <w:rsid w:val="001809FE"/>
    <w:rsid w:val="00180A17"/>
    <w:rsid w:val="00180A38"/>
    <w:rsid w:val="00180A4E"/>
    <w:rsid w:val="00180AB6"/>
    <w:rsid w:val="00180B68"/>
    <w:rsid w:val="00180B9C"/>
    <w:rsid w:val="00180BD6"/>
    <w:rsid w:val="00180BF1"/>
    <w:rsid w:val="00180CAD"/>
    <w:rsid w:val="00180CF9"/>
    <w:rsid w:val="00180D96"/>
    <w:rsid w:val="00180E87"/>
    <w:rsid w:val="00180E8E"/>
    <w:rsid w:val="00180EE0"/>
    <w:rsid w:val="00180F66"/>
    <w:rsid w:val="00180FF8"/>
    <w:rsid w:val="001810D4"/>
    <w:rsid w:val="00181202"/>
    <w:rsid w:val="00181263"/>
    <w:rsid w:val="0018129B"/>
    <w:rsid w:val="001812CA"/>
    <w:rsid w:val="001813B1"/>
    <w:rsid w:val="0018148E"/>
    <w:rsid w:val="0018149D"/>
    <w:rsid w:val="001814A1"/>
    <w:rsid w:val="001814B8"/>
    <w:rsid w:val="001814EA"/>
    <w:rsid w:val="001815C2"/>
    <w:rsid w:val="00181680"/>
    <w:rsid w:val="001816F3"/>
    <w:rsid w:val="00181701"/>
    <w:rsid w:val="0018173C"/>
    <w:rsid w:val="00181746"/>
    <w:rsid w:val="00181783"/>
    <w:rsid w:val="001817CF"/>
    <w:rsid w:val="001817DA"/>
    <w:rsid w:val="00181870"/>
    <w:rsid w:val="0018193B"/>
    <w:rsid w:val="0018197D"/>
    <w:rsid w:val="001819C7"/>
    <w:rsid w:val="001819F0"/>
    <w:rsid w:val="00181A0F"/>
    <w:rsid w:val="00181A68"/>
    <w:rsid w:val="00181A7A"/>
    <w:rsid w:val="00181B3C"/>
    <w:rsid w:val="00181B63"/>
    <w:rsid w:val="00181BCB"/>
    <w:rsid w:val="00181BD6"/>
    <w:rsid w:val="00181BD8"/>
    <w:rsid w:val="00181CCC"/>
    <w:rsid w:val="00181CE4"/>
    <w:rsid w:val="00181D25"/>
    <w:rsid w:val="00181D49"/>
    <w:rsid w:val="00181D96"/>
    <w:rsid w:val="00181DF6"/>
    <w:rsid w:val="00181E0A"/>
    <w:rsid w:val="00181E93"/>
    <w:rsid w:val="00181E95"/>
    <w:rsid w:val="00181EAC"/>
    <w:rsid w:val="00181ECD"/>
    <w:rsid w:val="00181EE4"/>
    <w:rsid w:val="00181EE5"/>
    <w:rsid w:val="00181F52"/>
    <w:rsid w:val="00181F9B"/>
    <w:rsid w:val="00181FC1"/>
    <w:rsid w:val="00182005"/>
    <w:rsid w:val="00182130"/>
    <w:rsid w:val="00182140"/>
    <w:rsid w:val="00182167"/>
    <w:rsid w:val="001821AD"/>
    <w:rsid w:val="0018223B"/>
    <w:rsid w:val="00182254"/>
    <w:rsid w:val="00182269"/>
    <w:rsid w:val="001822DF"/>
    <w:rsid w:val="001822EC"/>
    <w:rsid w:val="001822FE"/>
    <w:rsid w:val="00182320"/>
    <w:rsid w:val="0018232A"/>
    <w:rsid w:val="00182350"/>
    <w:rsid w:val="00182394"/>
    <w:rsid w:val="001823CA"/>
    <w:rsid w:val="00182427"/>
    <w:rsid w:val="0018246B"/>
    <w:rsid w:val="00182478"/>
    <w:rsid w:val="00182493"/>
    <w:rsid w:val="001824FF"/>
    <w:rsid w:val="00182585"/>
    <w:rsid w:val="0018264B"/>
    <w:rsid w:val="001826A3"/>
    <w:rsid w:val="001826DF"/>
    <w:rsid w:val="001826EF"/>
    <w:rsid w:val="0018270A"/>
    <w:rsid w:val="0018271F"/>
    <w:rsid w:val="00182787"/>
    <w:rsid w:val="0018278E"/>
    <w:rsid w:val="001827BF"/>
    <w:rsid w:val="00182804"/>
    <w:rsid w:val="001828E5"/>
    <w:rsid w:val="00182928"/>
    <w:rsid w:val="0018293E"/>
    <w:rsid w:val="00182944"/>
    <w:rsid w:val="0018295E"/>
    <w:rsid w:val="00182981"/>
    <w:rsid w:val="00182A09"/>
    <w:rsid w:val="00182A63"/>
    <w:rsid w:val="00182A6D"/>
    <w:rsid w:val="00182AAF"/>
    <w:rsid w:val="00182AE7"/>
    <w:rsid w:val="00182AEA"/>
    <w:rsid w:val="00182B14"/>
    <w:rsid w:val="00182B4B"/>
    <w:rsid w:val="00182B5D"/>
    <w:rsid w:val="00182BC8"/>
    <w:rsid w:val="00182BD1"/>
    <w:rsid w:val="00182BEE"/>
    <w:rsid w:val="00182BFB"/>
    <w:rsid w:val="00182C09"/>
    <w:rsid w:val="00182C2F"/>
    <w:rsid w:val="00182D04"/>
    <w:rsid w:val="00182E0C"/>
    <w:rsid w:val="00182E2B"/>
    <w:rsid w:val="00182E6B"/>
    <w:rsid w:val="00182F3B"/>
    <w:rsid w:val="00182F92"/>
    <w:rsid w:val="001830CE"/>
    <w:rsid w:val="00183104"/>
    <w:rsid w:val="00183196"/>
    <w:rsid w:val="0018319A"/>
    <w:rsid w:val="0018327B"/>
    <w:rsid w:val="00183288"/>
    <w:rsid w:val="001832C3"/>
    <w:rsid w:val="001832C8"/>
    <w:rsid w:val="001832DA"/>
    <w:rsid w:val="0018335D"/>
    <w:rsid w:val="00183395"/>
    <w:rsid w:val="00183469"/>
    <w:rsid w:val="0018346C"/>
    <w:rsid w:val="001834F5"/>
    <w:rsid w:val="001834FA"/>
    <w:rsid w:val="00183510"/>
    <w:rsid w:val="00183580"/>
    <w:rsid w:val="0018358C"/>
    <w:rsid w:val="0018358E"/>
    <w:rsid w:val="00183647"/>
    <w:rsid w:val="001836F4"/>
    <w:rsid w:val="0018373C"/>
    <w:rsid w:val="0018374A"/>
    <w:rsid w:val="00183764"/>
    <w:rsid w:val="0018376B"/>
    <w:rsid w:val="001837E5"/>
    <w:rsid w:val="001838C2"/>
    <w:rsid w:val="001838EB"/>
    <w:rsid w:val="0018396B"/>
    <w:rsid w:val="0018396C"/>
    <w:rsid w:val="0018396F"/>
    <w:rsid w:val="0018399D"/>
    <w:rsid w:val="001839A1"/>
    <w:rsid w:val="001839F9"/>
    <w:rsid w:val="00183A2C"/>
    <w:rsid w:val="00183A44"/>
    <w:rsid w:val="00183AB2"/>
    <w:rsid w:val="00183AEB"/>
    <w:rsid w:val="00183BE9"/>
    <w:rsid w:val="00183C27"/>
    <w:rsid w:val="00183C77"/>
    <w:rsid w:val="00183C82"/>
    <w:rsid w:val="00183DC5"/>
    <w:rsid w:val="00183EAB"/>
    <w:rsid w:val="00183EF5"/>
    <w:rsid w:val="00183F2D"/>
    <w:rsid w:val="00183F93"/>
    <w:rsid w:val="00183F94"/>
    <w:rsid w:val="00183FB8"/>
    <w:rsid w:val="0018401D"/>
    <w:rsid w:val="0018409A"/>
    <w:rsid w:val="001841CA"/>
    <w:rsid w:val="00184237"/>
    <w:rsid w:val="0018426C"/>
    <w:rsid w:val="00184285"/>
    <w:rsid w:val="001842CE"/>
    <w:rsid w:val="00184329"/>
    <w:rsid w:val="0018434C"/>
    <w:rsid w:val="0018443D"/>
    <w:rsid w:val="00184452"/>
    <w:rsid w:val="00184474"/>
    <w:rsid w:val="001845CC"/>
    <w:rsid w:val="00184622"/>
    <w:rsid w:val="00184638"/>
    <w:rsid w:val="001846A2"/>
    <w:rsid w:val="00184750"/>
    <w:rsid w:val="00184775"/>
    <w:rsid w:val="001847F2"/>
    <w:rsid w:val="00184819"/>
    <w:rsid w:val="00184823"/>
    <w:rsid w:val="0018483F"/>
    <w:rsid w:val="001848A0"/>
    <w:rsid w:val="001848CA"/>
    <w:rsid w:val="00184931"/>
    <w:rsid w:val="00184958"/>
    <w:rsid w:val="0018495D"/>
    <w:rsid w:val="00184970"/>
    <w:rsid w:val="00184A54"/>
    <w:rsid w:val="00184B87"/>
    <w:rsid w:val="00184BA2"/>
    <w:rsid w:val="00184BE2"/>
    <w:rsid w:val="00184CAE"/>
    <w:rsid w:val="00184CE6"/>
    <w:rsid w:val="00184DFC"/>
    <w:rsid w:val="00184E0C"/>
    <w:rsid w:val="00184E83"/>
    <w:rsid w:val="00184EAE"/>
    <w:rsid w:val="00184EB6"/>
    <w:rsid w:val="00184ED2"/>
    <w:rsid w:val="00184EED"/>
    <w:rsid w:val="00184F03"/>
    <w:rsid w:val="00184F46"/>
    <w:rsid w:val="00184F6F"/>
    <w:rsid w:val="00184FB8"/>
    <w:rsid w:val="00184FC6"/>
    <w:rsid w:val="00184FE9"/>
    <w:rsid w:val="0018503B"/>
    <w:rsid w:val="00185043"/>
    <w:rsid w:val="0018505B"/>
    <w:rsid w:val="0018507C"/>
    <w:rsid w:val="0018508A"/>
    <w:rsid w:val="00185139"/>
    <w:rsid w:val="0018521F"/>
    <w:rsid w:val="00185273"/>
    <w:rsid w:val="0018529F"/>
    <w:rsid w:val="001852A4"/>
    <w:rsid w:val="00185303"/>
    <w:rsid w:val="00185372"/>
    <w:rsid w:val="00185376"/>
    <w:rsid w:val="0018538C"/>
    <w:rsid w:val="001853CE"/>
    <w:rsid w:val="001853D0"/>
    <w:rsid w:val="001853D3"/>
    <w:rsid w:val="001854B8"/>
    <w:rsid w:val="00185585"/>
    <w:rsid w:val="0018565C"/>
    <w:rsid w:val="00185674"/>
    <w:rsid w:val="001856AB"/>
    <w:rsid w:val="00185725"/>
    <w:rsid w:val="00185789"/>
    <w:rsid w:val="001857CF"/>
    <w:rsid w:val="0018586B"/>
    <w:rsid w:val="00185918"/>
    <w:rsid w:val="00185936"/>
    <w:rsid w:val="001859B3"/>
    <w:rsid w:val="001859BE"/>
    <w:rsid w:val="001859E9"/>
    <w:rsid w:val="00185A73"/>
    <w:rsid w:val="00185B10"/>
    <w:rsid w:val="00185B21"/>
    <w:rsid w:val="00185BD3"/>
    <w:rsid w:val="00185D37"/>
    <w:rsid w:val="00185D8D"/>
    <w:rsid w:val="00185DBE"/>
    <w:rsid w:val="00185DE8"/>
    <w:rsid w:val="00185E69"/>
    <w:rsid w:val="00185F10"/>
    <w:rsid w:val="00185F4C"/>
    <w:rsid w:val="00185FDA"/>
    <w:rsid w:val="0018601A"/>
    <w:rsid w:val="0018606A"/>
    <w:rsid w:val="00186070"/>
    <w:rsid w:val="001860E3"/>
    <w:rsid w:val="001860E4"/>
    <w:rsid w:val="00186133"/>
    <w:rsid w:val="00186146"/>
    <w:rsid w:val="001861AE"/>
    <w:rsid w:val="001861BF"/>
    <w:rsid w:val="0018628F"/>
    <w:rsid w:val="001862B5"/>
    <w:rsid w:val="001862B7"/>
    <w:rsid w:val="001863F3"/>
    <w:rsid w:val="001864B4"/>
    <w:rsid w:val="00186514"/>
    <w:rsid w:val="0018651B"/>
    <w:rsid w:val="0018662D"/>
    <w:rsid w:val="00186642"/>
    <w:rsid w:val="0018664F"/>
    <w:rsid w:val="001866AC"/>
    <w:rsid w:val="001866EB"/>
    <w:rsid w:val="001866FF"/>
    <w:rsid w:val="001867D9"/>
    <w:rsid w:val="0018685B"/>
    <w:rsid w:val="00186873"/>
    <w:rsid w:val="00186888"/>
    <w:rsid w:val="001868B3"/>
    <w:rsid w:val="001868CA"/>
    <w:rsid w:val="0018691B"/>
    <w:rsid w:val="00186920"/>
    <w:rsid w:val="0018694B"/>
    <w:rsid w:val="001869F8"/>
    <w:rsid w:val="00186A22"/>
    <w:rsid w:val="00186A92"/>
    <w:rsid w:val="00186B0C"/>
    <w:rsid w:val="00186B72"/>
    <w:rsid w:val="00186C14"/>
    <w:rsid w:val="00186D3D"/>
    <w:rsid w:val="00186D98"/>
    <w:rsid w:val="00186DC7"/>
    <w:rsid w:val="00186E12"/>
    <w:rsid w:val="00186E1E"/>
    <w:rsid w:val="00186ECB"/>
    <w:rsid w:val="00186EF7"/>
    <w:rsid w:val="00186F07"/>
    <w:rsid w:val="00186F0C"/>
    <w:rsid w:val="00186F4E"/>
    <w:rsid w:val="00186F81"/>
    <w:rsid w:val="00186F8B"/>
    <w:rsid w:val="0018704E"/>
    <w:rsid w:val="0018707C"/>
    <w:rsid w:val="001870A2"/>
    <w:rsid w:val="001870B6"/>
    <w:rsid w:val="00187132"/>
    <w:rsid w:val="0018714A"/>
    <w:rsid w:val="00187191"/>
    <w:rsid w:val="001871F0"/>
    <w:rsid w:val="0018724A"/>
    <w:rsid w:val="0018724B"/>
    <w:rsid w:val="0018724E"/>
    <w:rsid w:val="0018725E"/>
    <w:rsid w:val="001872CF"/>
    <w:rsid w:val="001872F2"/>
    <w:rsid w:val="00187320"/>
    <w:rsid w:val="001873B0"/>
    <w:rsid w:val="001873D4"/>
    <w:rsid w:val="001873EC"/>
    <w:rsid w:val="00187536"/>
    <w:rsid w:val="0018753B"/>
    <w:rsid w:val="001875B2"/>
    <w:rsid w:val="001875C5"/>
    <w:rsid w:val="0018761F"/>
    <w:rsid w:val="00187666"/>
    <w:rsid w:val="00187671"/>
    <w:rsid w:val="00187709"/>
    <w:rsid w:val="0018773B"/>
    <w:rsid w:val="0018773D"/>
    <w:rsid w:val="00187776"/>
    <w:rsid w:val="00187846"/>
    <w:rsid w:val="00187873"/>
    <w:rsid w:val="001878B4"/>
    <w:rsid w:val="001878B8"/>
    <w:rsid w:val="001878FF"/>
    <w:rsid w:val="00187930"/>
    <w:rsid w:val="00187942"/>
    <w:rsid w:val="001879AE"/>
    <w:rsid w:val="00187A8B"/>
    <w:rsid w:val="00187A92"/>
    <w:rsid w:val="00187ABD"/>
    <w:rsid w:val="00187AE4"/>
    <w:rsid w:val="00187AF0"/>
    <w:rsid w:val="00187B23"/>
    <w:rsid w:val="00187B5F"/>
    <w:rsid w:val="00187B8D"/>
    <w:rsid w:val="00187C32"/>
    <w:rsid w:val="00187D81"/>
    <w:rsid w:val="00187E87"/>
    <w:rsid w:val="00187ECC"/>
    <w:rsid w:val="00187ED5"/>
    <w:rsid w:val="00187EF3"/>
    <w:rsid w:val="00187F40"/>
    <w:rsid w:val="00187F8E"/>
    <w:rsid w:val="00187F9F"/>
    <w:rsid w:val="00187FDC"/>
    <w:rsid w:val="00190003"/>
    <w:rsid w:val="00190010"/>
    <w:rsid w:val="0019002F"/>
    <w:rsid w:val="00190065"/>
    <w:rsid w:val="0019019F"/>
    <w:rsid w:val="001901BD"/>
    <w:rsid w:val="00190202"/>
    <w:rsid w:val="0019026A"/>
    <w:rsid w:val="00190290"/>
    <w:rsid w:val="001902AC"/>
    <w:rsid w:val="00190320"/>
    <w:rsid w:val="0019036B"/>
    <w:rsid w:val="00190393"/>
    <w:rsid w:val="00190459"/>
    <w:rsid w:val="001904BC"/>
    <w:rsid w:val="0019052D"/>
    <w:rsid w:val="00190541"/>
    <w:rsid w:val="00190558"/>
    <w:rsid w:val="001906B4"/>
    <w:rsid w:val="0019079A"/>
    <w:rsid w:val="0019088A"/>
    <w:rsid w:val="00190907"/>
    <w:rsid w:val="001909CA"/>
    <w:rsid w:val="001909D5"/>
    <w:rsid w:val="00190A28"/>
    <w:rsid w:val="00190A48"/>
    <w:rsid w:val="00190A5B"/>
    <w:rsid w:val="00190AC0"/>
    <w:rsid w:val="00190B2C"/>
    <w:rsid w:val="00190B4A"/>
    <w:rsid w:val="00190BCF"/>
    <w:rsid w:val="00190C26"/>
    <w:rsid w:val="00190C55"/>
    <w:rsid w:val="00190C82"/>
    <w:rsid w:val="00190CCB"/>
    <w:rsid w:val="00190D2A"/>
    <w:rsid w:val="00190DFF"/>
    <w:rsid w:val="00190E02"/>
    <w:rsid w:val="00190E56"/>
    <w:rsid w:val="00190E74"/>
    <w:rsid w:val="00190FE6"/>
    <w:rsid w:val="0019105C"/>
    <w:rsid w:val="001910B8"/>
    <w:rsid w:val="001910F9"/>
    <w:rsid w:val="00191183"/>
    <w:rsid w:val="0019118D"/>
    <w:rsid w:val="00191231"/>
    <w:rsid w:val="001912CD"/>
    <w:rsid w:val="0019130D"/>
    <w:rsid w:val="00191318"/>
    <w:rsid w:val="0019131D"/>
    <w:rsid w:val="00191477"/>
    <w:rsid w:val="00191568"/>
    <w:rsid w:val="00191596"/>
    <w:rsid w:val="001915D9"/>
    <w:rsid w:val="00191661"/>
    <w:rsid w:val="00191687"/>
    <w:rsid w:val="00191717"/>
    <w:rsid w:val="0019185E"/>
    <w:rsid w:val="00191878"/>
    <w:rsid w:val="0019187E"/>
    <w:rsid w:val="00191883"/>
    <w:rsid w:val="00191948"/>
    <w:rsid w:val="00191969"/>
    <w:rsid w:val="0019197F"/>
    <w:rsid w:val="001919AC"/>
    <w:rsid w:val="001919E3"/>
    <w:rsid w:val="001919F1"/>
    <w:rsid w:val="00191A4F"/>
    <w:rsid w:val="00191A6D"/>
    <w:rsid w:val="00191A9B"/>
    <w:rsid w:val="00191B1C"/>
    <w:rsid w:val="00191B62"/>
    <w:rsid w:val="00191BE2"/>
    <w:rsid w:val="00191D22"/>
    <w:rsid w:val="00191D81"/>
    <w:rsid w:val="00191DDE"/>
    <w:rsid w:val="00191E90"/>
    <w:rsid w:val="00191EC4"/>
    <w:rsid w:val="00191F5D"/>
    <w:rsid w:val="00191F80"/>
    <w:rsid w:val="00191F8F"/>
    <w:rsid w:val="00191FA6"/>
    <w:rsid w:val="00191FBC"/>
    <w:rsid w:val="001920DE"/>
    <w:rsid w:val="001921EE"/>
    <w:rsid w:val="00192224"/>
    <w:rsid w:val="0019236C"/>
    <w:rsid w:val="0019237D"/>
    <w:rsid w:val="001923FB"/>
    <w:rsid w:val="00192405"/>
    <w:rsid w:val="00192448"/>
    <w:rsid w:val="00192484"/>
    <w:rsid w:val="001924E8"/>
    <w:rsid w:val="0019252E"/>
    <w:rsid w:val="001925D5"/>
    <w:rsid w:val="0019266B"/>
    <w:rsid w:val="001926D8"/>
    <w:rsid w:val="0019270B"/>
    <w:rsid w:val="0019273B"/>
    <w:rsid w:val="00192746"/>
    <w:rsid w:val="00192769"/>
    <w:rsid w:val="00192770"/>
    <w:rsid w:val="0019278E"/>
    <w:rsid w:val="001927A0"/>
    <w:rsid w:val="001927AB"/>
    <w:rsid w:val="001927D2"/>
    <w:rsid w:val="00192830"/>
    <w:rsid w:val="001928A4"/>
    <w:rsid w:val="001928F5"/>
    <w:rsid w:val="00192909"/>
    <w:rsid w:val="00192977"/>
    <w:rsid w:val="00192A50"/>
    <w:rsid w:val="00192AC8"/>
    <w:rsid w:val="00192AD6"/>
    <w:rsid w:val="00192AF4"/>
    <w:rsid w:val="00192B27"/>
    <w:rsid w:val="00192B39"/>
    <w:rsid w:val="00192BD0"/>
    <w:rsid w:val="00192C4F"/>
    <w:rsid w:val="00192C5F"/>
    <w:rsid w:val="00192CAE"/>
    <w:rsid w:val="00192CCE"/>
    <w:rsid w:val="00192CD2"/>
    <w:rsid w:val="00192CFE"/>
    <w:rsid w:val="00192D02"/>
    <w:rsid w:val="00192DD8"/>
    <w:rsid w:val="00192E50"/>
    <w:rsid w:val="001930CB"/>
    <w:rsid w:val="001930D7"/>
    <w:rsid w:val="0019313A"/>
    <w:rsid w:val="001931D0"/>
    <w:rsid w:val="001931E6"/>
    <w:rsid w:val="0019324B"/>
    <w:rsid w:val="001933A5"/>
    <w:rsid w:val="001933D1"/>
    <w:rsid w:val="001934B6"/>
    <w:rsid w:val="00193527"/>
    <w:rsid w:val="00193539"/>
    <w:rsid w:val="001935A6"/>
    <w:rsid w:val="001935FA"/>
    <w:rsid w:val="0019366A"/>
    <w:rsid w:val="001936E2"/>
    <w:rsid w:val="00193700"/>
    <w:rsid w:val="00193706"/>
    <w:rsid w:val="00193749"/>
    <w:rsid w:val="00193766"/>
    <w:rsid w:val="00193787"/>
    <w:rsid w:val="001937DE"/>
    <w:rsid w:val="001938AB"/>
    <w:rsid w:val="001938D0"/>
    <w:rsid w:val="001938FC"/>
    <w:rsid w:val="00193904"/>
    <w:rsid w:val="0019392F"/>
    <w:rsid w:val="00193962"/>
    <w:rsid w:val="00193AB9"/>
    <w:rsid w:val="00193B46"/>
    <w:rsid w:val="00193B4A"/>
    <w:rsid w:val="00193B53"/>
    <w:rsid w:val="00193B58"/>
    <w:rsid w:val="00193B61"/>
    <w:rsid w:val="00193B97"/>
    <w:rsid w:val="00193BBC"/>
    <w:rsid w:val="00193C42"/>
    <w:rsid w:val="00193C53"/>
    <w:rsid w:val="00193C57"/>
    <w:rsid w:val="00193C60"/>
    <w:rsid w:val="00193CD2"/>
    <w:rsid w:val="00193DBB"/>
    <w:rsid w:val="00193DD1"/>
    <w:rsid w:val="00193DF2"/>
    <w:rsid w:val="00193E01"/>
    <w:rsid w:val="00193E19"/>
    <w:rsid w:val="00193E76"/>
    <w:rsid w:val="00193EFE"/>
    <w:rsid w:val="00193F17"/>
    <w:rsid w:val="00193F4B"/>
    <w:rsid w:val="00193F84"/>
    <w:rsid w:val="00193FCB"/>
    <w:rsid w:val="00194028"/>
    <w:rsid w:val="0019406C"/>
    <w:rsid w:val="001940C0"/>
    <w:rsid w:val="001940C3"/>
    <w:rsid w:val="001940EA"/>
    <w:rsid w:val="00194135"/>
    <w:rsid w:val="001941C5"/>
    <w:rsid w:val="001941C7"/>
    <w:rsid w:val="00194235"/>
    <w:rsid w:val="00194258"/>
    <w:rsid w:val="001942C9"/>
    <w:rsid w:val="001942E5"/>
    <w:rsid w:val="00194381"/>
    <w:rsid w:val="0019439F"/>
    <w:rsid w:val="001943EF"/>
    <w:rsid w:val="00194452"/>
    <w:rsid w:val="00194498"/>
    <w:rsid w:val="00194518"/>
    <w:rsid w:val="001945D1"/>
    <w:rsid w:val="001945E4"/>
    <w:rsid w:val="001946E5"/>
    <w:rsid w:val="00194737"/>
    <w:rsid w:val="00194753"/>
    <w:rsid w:val="00194758"/>
    <w:rsid w:val="00194789"/>
    <w:rsid w:val="00194836"/>
    <w:rsid w:val="00194839"/>
    <w:rsid w:val="00194850"/>
    <w:rsid w:val="001948B6"/>
    <w:rsid w:val="001949C2"/>
    <w:rsid w:val="00194ABB"/>
    <w:rsid w:val="00194AC3"/>
    <w:rsid w:val="00194AD5"/>
    <w:rsid w:val="00194B92"/>
    <w:rsid w:val="00194C04"/>
    <w:rsid w:val="00194D81"/>
    <w:rsid w:val="00194DD2"/>
    <w:rsid w:val="00194E44"/>
    <w:rsid w:val="00194E5B"/>
    <w:rsid w:val="00194EAC"/>
    <w:rsid w:val="00194EB1"/>
    <w:rsid w:val="00194ED7"/>
    <w:rsid w:val="00194EE6"/>
    <w:rsid w:val="00194F02"/>
    <w:rsid w:val="00194F13"/>
    <w:rsid w:val="00194FA7"/>
    <w:rsid w:val="00194FBD"/>
    <w:rsid w:val="00194FFB"/>
    <w:rsid w:val="00195105"/>
    <w:rsid w:val="0019513C"/>
    <w:rsid w:val="00195144"/>
    <w:rsid w:val="00195153"/>
    <w:rsid w:val="001951CB"/>
    <w:rsid w:val="001951E8"/>
    <w:rsid w:val="00195215"/>
    <w:rsid w:val="0019525B"/>
    <w:rsid w:val="00195271"/>
    <w:rsid w:val="001952F5"/>
    <w:rsid w:val="00195362"/>
    <w:rsid w:val="001953AC"/>
    <w:rsid w:val="001953DA"/>
    <w:rsid w:val="00195535"/>
    <w:rsid w:val="00195577"/>
    <w:rsid w:val="0019569F"/>
    <w:rsid w:val="001956A2"/>
    <w:rsid w:val="001956A7"/>
    <w:rsid w:val="00195719"/>
    <w:rsid w:val="00195788"/>
    <w:rsid w:val="0019578B"/>
    <w:rsid w:val="001957B8"/>
    <w:rsid w:val="001957CF"/>
    <w:rsid w:val="001957D8"/>
    <w:rsid w:val="00195830"/>
    <w:rsid w:val="0019588B"/>
    <w:rsid w:val="0019590D"/>
    <w:rsid w:val="00195973"/>
    <w:rsid w:val="001959BE"/>
    <w:rsid w:val="001959F3"/>
    <w:rsid w:val="00195A31"/>
    <w:rsid w:val="00195A5A"/>
    <w:rsid w:val="00195A66"/>
    <w:rsid w:val="00195AC8"/>
    <w:rsid w:val="00195B13"/>
    <w:rsid w:val="00195B16"/>
    <w:rsid w:val="00195B32"/>
    <w:rsid w:val="00195BFB"/>
    <w:rsid w:val="00195CC7"/>
    <w:rsid w:val="00195CFF"/>
    <w:rsid w:val="00195E01"/>
    <w:rsid w:val="00195E4E"/>
    <w:rsid w:val="00195E94"/>
    <w:rsid w:val="00195EA2"/>
    <w:rsid w:val="00195F14"/>
    <w:rsid w:val="00195F79"/>
    <w:rsid w:val="00195F8A"/>
    <w:rsid w:val="00195FF7"/>
    <w:rsid w:val="00196016"/>
    <w:rsid w:val="00196049"/>
    <w:rsid w:val="00196079"/>
    <w:rsid w:val="0019610E"/>
    <w:rsid w:val="00196130"/>
    <w:rsid w:val="00196149"/>
    <w:rsid w:val="001961E8"/>
    <w:rsid w:val="00196249"/>
    <w:rsid w:val="00196322"/>
    <w:rsid w:val="00196430"/>
    <w:rsid w:val="00196477"/>
    <w:rsid w:val="001964D7"/>
    <w:rsid w:val="001964D9"/>
    <w:rsid w:val="001964FD"/>
    <w:rsid w:val="0019653A"/>
    <w:rsid w:val="0019660F"/>
    <w:rsid w:val="00196610"/>
    <w:rsid w:val="00196665"/>
    <w:rsid w:val="0019671D"/>
    <w:rsid w:val="0019674F"/>
    <w:rsid w:val="0019675B"/>
    <w:rsid w:val="001967DB"/>
    <w:rsid w:val="0019682F"/>
    <w:rsid w:val="00196862"/>
    <w:rsid w:val="00196899"/>
    <w:rsid w:val="0019689A"/>
    <w:rsid w:val="001968B3"/>
    <w:rsid w:val="00196909"/>
    <w:rsid w:val="0019690A"/>
    <w:rsid w:val="0019694C"/>
    <w:rsid w:val="0019699D"/>
    <w:rsid w:val="001969AF"/>
    <w:rsid w:val="00196A1F"/>
    <w:rsid w:val="00196AE1"/>
    <w:rsid w:val="00196AF9"/>
    <w:rsid w:val="00196B59"/>
    <w:rsid w:val="00196BEA"/>
    <w:rsid w:val="00196C67"/>
    <w:rsid w:val="00196C76"/>
    <w:rsid w:val="00196CCF"/>
    <w:rsid w:val="00196D2B"/>
    <w:rsid w:val="00196D9B"/>
    <w:rsid w:val="00196DE1"/>
    <w:rsid w:val="00196E15"/>
    <w:rsid w:val="00196E74"/>
    <w:rsid w:val="00196E9B"/>
    <w:rsid w:val="00196EC4"/>
    <w:rsid w:val="00196F4B"/>
    <w:rsid w:val="00196F6D"/>
    <w:rsid w:val="00196F91"/>
    <w:rsid w:val="0019700E"/>
    <w:rsid w:val="0019702F"/>
    <w:rsid w:val="00197040"/>
    <w:rsid w:val="001970D7"/>
    <w:rsid w:val="001971BB"/>
    <w:rsid w:val="001971DF"/>
    <w:rsid w:val="0019729B"/>
    <w:rsid w:val="00197304"/>
    <w:rsid w:val="00197334"/>
    <w:rsid w:val="00197356"/>
    <w:rsid w:val="00197428"/>
    <w:rsid w:val="00197434"/>
    <w:rsid w:val="0019743F"/>
    <w:rsid w:val="0019746E"/>
    <w:rsid w:val="00197495"/>
    <w:rsid w:val="001974D8"/>
    <w:rsid w:val="001974E0"/>
    <w:rsid w:val="0019751B"/>
    <w:rsid w:val="00197577"/>
    <w:rsid w:val="00197652"/>
    <w:rsid w:val="00197740"/>
    <w:rsid w:val="0019777F"/>
    <w:rsid w:val="001977B5"/>
    <w:rsid w:val="0019780A"/>
    <w:rsid w:val="0019787F"/>
    <w:rsid w:val="00197891"/>
    <w:rsid w:val="001978D9"/>
    <w:rsid w:val="001978E2"/>
    <w:rsid w:val="00197901"/>
    <w:rsid w:val="001979A5"/>
    <w:rsid w:val="00197A43"/>
    <w:rsid w:val="00197A84"/>
    <w:rsid w:val="00197A9E"/>
    <w:rsid w:val="00197AAB"/>
    <w:rsid w:val="00197AC1"/>
    <w:rsid w:val="00197ACA"/>
    <w:rsid w:val="00197B1B"/>
    <w:rsid w:val="00197B6A"/>
    <w:rsid w:val="00197C24"/>
    <w:rsid w:val="00197C78"/>
    <w:rsid w:val="00197D34"/>
    <w:rsid w:val="00197D57"/>
    <w:rsid w:val="00197DD8"/>
    <w:rsid w:val="00197E2A"/>
    <w:rsid w:val="00197E2B"/>
    <w:rsid w:val="00197E94"/>
    <w:rsid w:val="00197EB9"/>
    <w:rsid w:val="00197F78"/>
    <w:rsid w:val="001A0082"/>
    <w:rsid w:val="001A0105"/>
    <w:rsid w:val="001A0182"/>
    <w:rsid w:val="001A019D"/>
    <w:rsid w:val="001A0259"/>
    <w:rsid w:val="001A027C"/>
    <w:rsid w:val="001A02B9"/>
    <w:rsid w:val="001A035E"/>
    <w:rsid w:val="001A045D"/>
    <w:rsid w:val="001A04ED"/>
    <w:rsid w:val="001A053D"/>
    <w:rsid w:val="001A05C0"/>
    <w:rsid w:val="001A0649"/>
    <w:rsid w:val="001A0671"/>
    <w:rsid w:val="001A069E"/>
    <w:rsid w:val="001A0735"/>
    <w:rsid w:val="001A0758"/>
    <w:rsid w:val="001A07AA"/>
    <w:rsid w:val="001A080D"/>
    <w:rsid w:val="001A0825"/>
    <w:rsid w:val="001A087B"/>
    <w:rsid w:val="001A0927"/>
    <w:rsid w:val="001A0966"/>
    <w:rsid w:val="001A0980"/>
    <w:rsid w:val="001A0988"/>
    <w:rsid w:val="001A09D0"/>
    <w:rsid w:val="001A0A50"/>
    <w:rsid w:val="001A0A96"/>
    <w:rsid w:val="001A0A9E"/>
    <w:rsid w:val="001A0ACA"/>
    <w:rsid w:val="001A0C1B"/>
    <w:rsid w:val="001A0C1C"/>
    <w:rsid w:val="001A0C55"/>
    <w:rsid w:val="001A0CC1"/>
    <w:rsid w:val="001A0CC3"/>
    <w:rsid w:val="001A0D4D"/>
    <w:rsid w:val="001A0E03"/>
    <w:rsid w:val="001A0E50"/>
    <w:rsid w:val="001A0E63"/>
    <w:rsid w:val="001A0EE5"/>
    <w:rsid w:val="001A0F1E"/>
    <w:rsid w:val="001A0F47"/>
    <w:rsid w:val="001A0F6B"/>
    <w:rsid w:val="001A0FA9"/>
    <w:rsid w:val="001A0FF3"/>
    <w:rsid w:val="001A10E3"/>
    <w:rsid w:val="001A1120"/>
    <w:rsid w:val="001A124A"/>
    <w:rsid w:val="001A12D5"/>
    <w:rsid w:val="001A1309"/>
    <w:rsid w:val="001A130D"/>
    <w:rsid w:val="001A1344"/>
    <w:rsid w:val="001A135C"/>
    <w:rsid w:val="001A137C"/>
    <w:rsid w:val="001A13A5"/>
    <w:rsid w:val="001A13AC"/>
    <w:rsid w:val="001A13DC"/>
    <w:rsid w:val="001A13EF"/>
    <w:rsid w:val="001A1429"/>
    <w:rsid w:val="001A143D"/>
    <w:rsid w:val="001A14DC"/>
    <w:rsid w:val="001A14E4"/>
    <w:rsid w:val="001A154F"/>
    <w:rsid w:val="001A1585"/>
    <w:rsid w:val="001A15D7"/>
    <w:rsid w:val="001A15F7"/>
    <w:rsid w:val="001A16CE"/>
    <w:rsid w:val="001A16EE"/>
    <w:rsid w:val="001A178D"/>
    <w:rsid w:val="001A1827"/>
    <w:rsid w:val="001A185E"/>
    <w:rsid w:val="001A18A4"/>
    <w:rsid w:val="001A18D2"/>
    <w:rsid w:val="001A18EB"/>
    <w:rsid w:val="001A1925"/>
    <w:rsid w:val="001A1984"/>
    <w:rsid w:val="001A1986"/>
    <w:rsid w:val="001A19A3"/>
    <w:rsid w:val="001A1A1E"/>
    <w:rsid w:val="001A1A97"/>
    <w:rsid w:val="001A1AE9"/>
    <w:rsid w:val="001A1BA2"/>
    <w:rsid w:val="001A1BD4"/>
    <w:rsid w:val="001A1C41"/>
    <w:rsid w:val="001A1C73"/>
    <w:rsid w:val="001A1C7F"/>
    <w:rsid w:val="001A1C9A"/>
    <w:rsid w:val="001A1DB3"/>
    <w:rsid w:val="001A1E31"/>
    <w:rsid w:val="001A1E86"/>
    <w:rsid w:val="001A1ECF"/>
    <w:rsid w:val="001A1EE2"/>
    <w:rsid w:val="001A1F81"/>
    <w:rsid w:val="001A1FAC"/>
    <w:rsid w:val="001A1FF1"/>
    <w:rsid w:val="001A2016"/>
    <w:rsid w:val="001A20F3"/>
    <w:rsid w:val="001A2198"/>
    <w:rsid w:val="001A21B5"/>
    <w:rsid w:val="001A228B"/>
    <w:rsid w:val="001A2342"/>
    <w:rsid w:val="001A2354"/>
    <w:rsid w:val="001A23F4"/>
    <w:rsid w:val="001A2453"/>
    <w:rsid w:val="001A248F"/>
    <w:rsid w:val="001A24C1"/>
    <w:rsid w:val="001A25AD"/>
    <w:rsid w:val="001A25D4"/>
    <w:rsid w:val="001A25E7"/>
    <w:rsid w:val="001A2659"/>
    <w:rsid w:val="001A265F"/>
    <w:rsid w:val="001A26B3"/>
    <w:rsid w:val="001A2763"/>
    <w:rsid w:val="001A281C"/>
    <w:rsid w:val="001A2828"/>
    <w:rsid w:val="001A2878"/>
    <w:rsid w:val="001A289A"/>
    <w:rsid w:val="001A28FE"/>
    <w:rsid w:val="001A2987"/>
    <w:rsid w:val="001A29BE"/>
    <w:rsid w:val="001A2A58"/>
    <w:rsid w:val="001A2B13"/>
    <w:rsid w:val="001A2B29"/>
    <w:rsid w:val="001A2B31"/>
    <w:rsid w:val="001A2BE9"/>
    <w:rsid w:val="001A2C61"/>
    <w:rsid w:val="001A2CB8"/>
    <w:rsid w:val="001A2D0A"/>
    <w:rsid w:val="001A2D20"/>
    <w:rsid w:val="001A2DD8"/>
    <w:rsid w:val="001A2E12"/>
    <w:rsid w:val="001A2F18"/>
    <w:rsid w:val="001A2F9B"/>
    <w:rsid w:val="001A300A"/>
    <w:rsid w:val="001A300B"/>
    <w:rsid w:val="001A30DB"/>
    <w:rsid w:val="001A30EC"/>
    <w:rsid w:val="001A30ED"/>
    <w:rsid w:val="001A3185"/>
    <w:rsid w:val="001A3186"/>
    <w:rsid w:val="001A3210"/>
    <w:rsid w:val="001A3213"/>
    <w:rsid w:val="001A3230"/>
    <w:rsid w:val="001A3276"/>
    <w:rsid w:val="001A32A5"/>
    <w:rsid w:val="001A32DE"/>
    <w:rsid w:val="001A32E2"/>
    <w:rsid w:val="001A32F1"/>
    <w:rsid w:val="001A3375"/>
    <w:rsid w:val="001A339E"/>
    <w:rsid w:val="001A33DC"/>
    <w:rsid w:val="001A3402"/>
    <w:rsid w:val="001A349D"/>
    <w:rsid w:val="001A34AE"/>
    <w:rsid w:val="001A34D9"/>
    <w:rsid w:val="001A3522"/>
    <w:rsid w:val="001A355A"/>
    <w:rsid w:val="001A3598"/>
    <w:rsid w:val="001A360B"/>
    <w:rsid w:val="001A3674"/>
    <w:rsid w:val="001A36B6"/>
    <w:rsid w:val="001A36F0"/>
    <w:rsid w:val="001A36FD"/>
    <w:rsid w:val="001A387B"/>
    <w:rsid w:val="001A3916"/>
    <w:rsid w:val="001A3933"/>
    <w:rsid w:val="001A3939"/>
    <w:rsid w:val="001A3996"/>
    <w:rsid w:val="001A3A38"/>
    <w:rsid w:val="001A3AB1"/>
    <w:rsid w:val="001A3AD7"/>
    <w:rsid w:val="001A3B16"/>
    <w:rsid w:val="001A3B57"/>
    <w:rsid w:val="001A3B6A"/>
    <w:rsid w:val="001A3BA8"/>
    <w:rsid w:val="001A3BD9"/>
    <w:rsid w:val="001A3C04"/>
    <w:rsid w:val="001A3C6E"/>
    <w:rsid w:val="001A3C8E"/>
    <w:rsid w:val="001A3C93"/>
    <w:rsid w:val="001A3C94"/>
    <w:rsid w:val="001A3CD5"/>
    <w:rsid w:val="001A3CE7"/>
    <w:rsid w:val="001A3D29"/>
    <w:rsid w:val="001A3D2C"/>
    <w:rsid w:val="001A3D77"/>
    <w:rsid w:val="001A3DFB"/>
    <w:rsid w:val="001A3E12"/>
    <w:rsid w:val="001A3EE6"/>
    <w:rsid w:val="001A3F5E"/>
    <w:rsid w:val="001A401B"/>
    <w:rsid w:val="001A4044"/>
    <w:rsid w:val="001A4064"/>
    <w:rsid w:val="001A4082"/>
    <w:rsid w:val="001A409E"/>
    <w:rsid w:val="001A40FA"/>
    <w:rsid w:val="001A4100"/>
    <w:rsid w:val="001A4149"/>
    <w:rsid w:val="001A419B"/>
    <w:rsid w:val="001A41C3"/>
    <w:rsid w:val="001A427C"/>
    <w:rsid w:val="001A434E"/>
    <w:rsid w:val="001A43AF"/>
    <w:rsid w:val="001A43CA"/>
    <w:rsid w:val="001A43D5"/>
    <w:rsid w:val="001A449F"/>
    <w:rsid w:val="001A44F6"/>
    <w:rsid w:val="001A451F"/>
    <w:rsid w:val="001A45C9"/>
    <w:rsid w:val="001A45EE"/>
    <w:rsid w:val="001A4640"/>
    <w:rsid w:val="001A4669"/>
    <w:rsid w:val="001A4769"/>
    <w:rsid w:val="001A47D0"/>
    <w:rsid w:val="001A47E4"/>
    <w:rsid w:val="001A480D"/>
    <w:rsid w:val="001A485E"/>
    <w:rsid w:val="001A489B"/>
    <w:rsid w:val="001A48EA"/>
    <w:rsid w:val="001A4971"/>
    <w:rsid w:val="001A49D2"/>
    <w:rsid w:val="001A4A24"/>
    <w:rsid w:val="001A4A48"/>
    <w:rsid w:val="001A4B06"/>
    <w:rsid w:val="001A4B07"/>
    <w:rsid w:val="001A4B70"/>
    <w:rsid w:val="001A4B8E"/>
    <w:rsid w:val="001A4C01"/>
    <w:rsid w:val="001A4D04"/>
    <w:rsid w:val="001A4DAC"/>
    <w:rsid w:val="001A4E88"/>
    <w:rsid w:val="001A4E8B"/>
    <w:rsid w:val="001A4EE7"/>
    <w:rsid w:val="001A4F8F"/>
    <w:rsid w:val="001A4FBE"/>
    <w:rsid w:val="001A4FD5"/>
    <w:rsid w:val="001A4FEF"/>
    <w:rsid w:val="001A5001"/>
    <w:rsid w:val="001A5016"/>
    <w:rsid w:val="001A505F"/>
    <w:rsid w:val="001A5068"/>
    <w:rsid w:val="001A5136"/>
    <w:rsid w:val="001A5233"/>
    <w:rsid w:val="001A523F"/>
    <w:rsid w:val="001A5244"/>
    <w:rsid w:val="001A528C"/>
    <w:rsid w:val="001A529D"/>
    <w:rsid w:val="001A52C5"/>
    <w:rsid w:val="001A5374"/>
    <w:rsid w:val="001A53E6"/>
    <w:rsid w:val="001A54A0"/>
    <w:rsid w:val="001A54AB"/>
    <w:rsid w:val="001A5549"/>
    <w:rsid w:val="001A558E"/>
    <w:rsid w:val="001A5596"/>
    <w:rsid w:val="001A55AB"/>
    <w:rsid w:val="001A562F"/>
    <w:rsid w:val="001A5651"/>
    <w:rsid w:val="001A5656"/>
    <w:rsid w:val="001A5673"/>
    <w:rsid w:val="001A567E"/>
    <w:rsid w:val="001A568B"/>
    <w:rsid w:val="001A56E4"/>
    <w:rsid w:val="001A56FE"/>
    <w:rsid w:val="001A5739"/>
    <w:rsid w:val="001A57B6"/>
    <w:rsid w:val="001A57B7"/>
    <w:rsid w:val="001A57E8"/>
    <w:rsid w:val="001A5889"/>
    <w:rsid w:val="001A58AF"/>
    <w:rsid w:val="001A58F3"/>
    <w:rsid w:val="001A5905"/>
    <w:rsid w:val="001A590C"/>
    <w:rsid w:val="001A5AF1"/>
    <w:rsid w:val="001A5B0E"/>
    <w:rsid w:val="001A5B47"/>
    <w:rsid w:val="001A5B87"/>
    <w:rsid w:val="001A5B8F"/>
    <w:rsid w:val="001A5BF7"/>
    <w:rsid w:val="001A5C07"/>
    <w:rsid w:val="001A5C1C"/>
    <w:rsid w:val="001A5C70"/>
    <w:rsid w:val="001A5CCD"/>
    <w:rsid w:val="001A5CE1"/>
    <w:rsid w:val="001A5CEA"/>
    <w:rsid w:val="001A5DBE"/>
    <w:rsid w:val="001A5E27"/>
    <w:rsid w:val="001A603B"/>
    <w:rsid w:val="001A604E"/>
    <w:rsid w:val="001A612B"/>
    <w:rsid w:val="001A61AC"/>
    <w:rsid w:val="001A62E9"/>
    <w:rsid w:val="001A638A"/>
    <w:rsid w:val="001A63B8"/>
    <w:rsid w:val="001A6417"/>
    <w:rsid w:val="001A6456"/>
    <w:rsid w:val="001A648B"/>
    <w:rsid w:val="001A649B"/>
    <w:rsid w:val="001A6592"/>
    <w:rsid w:val="001A6688"/>
    <w:rsid w:val="001A6695"/>
    <w:rsid w:val="001A66A1"/>
    <w:rsid w:val="001A66E2"/>
    <w:rsid w:val="001A672F"/>
    <w:rsid w:val="001A67F0"/>
    <w:rsid w:val="001A680C"/>
    <w:rsid w:val="001A680D"/>
    <w:rsid w:val="001A6826"/>
    <w:rsid w:val="001A686F"/>
    <w:rsid w:val="001A68E6"/>
    <w:rsid w:val="001A690C"/>
    <w:rsid w:val="001A69CF"/>
    <w:rsid w:val="001A6A2A"/>
    <w:rsid w:val="001A6A43"/>
    <w:rsid w:val="001A6A53"/>
    <w:rsid w:val="001A6A82"/>
    <w:rsid w:val="001A6AE4"/>
    <w:rsid w:val="001A6B81"/>
    <w:rsid w:val="001A6BA9"/>
    <w:rsid w:val="001A6BB4"/>
    <w:rsid w:val="001A6BFB"/>
    <w:rsid w:val="001A6C0F"/>
    <w:rsid w:val="001A6CB3"/>
    <w:rsid w:val="001A6CB5"/>
    <w:rsid w:val="001A6D00"/>
    <w:rsid w:val="001A6D29"/>
    <w:rsid w:val="001A6D33"/>
    <w:rsid w:val="001A6D63"/>
    <w:rsid w:val="001A6D8B"/>
    <w:rsid w:val="001A6E8C"/>
    <w:rsid w:val="001A6EEB"/>
    <w:rsid w:val="001A7019"/>
    <w:rsid w:val="001A7086"/>
    <w:rsid w:val="001A70C1"/>
    <w:rsid w:val="001A70E3"/>
    <w:rsid w:val="001A71B6"/>
    <w:rsid w:val="001A72A3"/>
    <w:rsid w:val="001A7399"/>
    <w:rsid w:val="001A73FD"/>
    <w:rsid w:val="001A7472"/>
    <w:rsid w:val="001A7526"/>
    <w:rsid w:val="001A7535"/>
    <w:rsid w:val="001A754F"/>
    <w:rsid w:val="001A7585"/>
    <w:rsid w:val="001A7664"/>
    <w:rsid w:val="001A7739"/>
    <w:rsid w:val="001A7751"/>
    <w:rsid w:val="001A7768"/>
    <w:rsid w:val="001A77FA"/>
    <w:rsid w:val="001A7852"/>
    <w:rsid w:val="001A7861"/>
    <w:rsid w:val="001A78F2"/>
    <w:rsid w:val="001A7929"/>
    <w:rsid w:val="001A7966"/>
    <w:rsid w:val="001A7970"/>
    <w:rsid w:val="001A79A3"/>
    <w:rsid w:val="001A7A31"/>
    <w:rsid w:val="001A7ACF"/>
    <w:rsid w:val="001A7AE5"/>
    <w:rsid w:val="001A7AED"/>
    <w:rsid w:val="001A7B0C"/>
    <w:rsid w:val="001A7BEF"/>
    <w:rsid w:val="001A7C4A"/>
    <w:rsid w:val="001A7C6E"/>
    <w:rsid w:val="001A7D06"/>
    <w:rsid w:val="001A7D0A"/>
    <w:rsid w:val="001A7D13"/>
    <w:rsid w:val="001A7D59"/>
    <w:rsid w:val="001A7E0D"/>
    <w:rsid w:val="001A7E36"/>
    <w:rsid w:val="001A7F10"/>
    <w:rsid w:val="001A7F74"/>
    <w:rsid w:val="001A7FB5"/>
    <w:rsid w:val="001B0026"/>
    <w:rsid w:val="001B00AA"/>
    <w:rsid w:val="001B00EC"/>
    <w:rsid w:val="001B00F9"/>
    <w:rsid w:val="001B0102"/>
    <w:rsid w:val="001B0151"/>
    <w:rsid w:val="001B0156"/>
    <w:rsid w:val="001B0161"/>
    <w:rsid w:val="001B0164"/>
    <w:rsid w:val="001B01A8"/>
    <w:rsid w:val="001B01AE"/>
    <w:rsid w:val="001B0284"/>
    <w:rsid w:val="001B028F"/>
    <w:rsid w:val="001B037B"/>
    <w:rsid w:val="001B039E"/>
    <w:rsid w:val="001B03C4"/>
    <w:rsid w:val="001B03E0"/>
    <w:rsid w:val="001B0579"/>
    <w:rsid w:val="001B058A"/>
    <w:rsid w:val="001B0675"/>
    <w:rsid w:val="001B06A7"/>
    <w:rsid w:val="001B06E2"/>
    <w:rsid w:val="001B0730"/>
    <w:rsid w:val="001B084C"/>
    <w:rsid w:val="001B086E"/>
    <w:rsid w:val="001B0871"/>
    <w:rsid w:val="001B0956"/>
    <w:rsid w:val="001B0A9F"/>
    <w:rsid w:val="001B0AB3"/>
    <w:rsid w:val="001B0AE1"/>
    <w:rsid w:val="001B0B47"/>
    <w:rsid w:val="001B0B4D"/>
    <w:rsid w:val="001B0C11"/>
    <w:rsid w:val="001B0CAF"/>
    <w:rsid w:val="001B0CEE"/>
    <w:rsid w:val="001B0D46"/>
    <w:rsid w:val="001B0D69"/>
    <w:rsid w:val="001B0D6A"/>
    <w:rsid w:val="001B0DCA"/>
    <w:rsid w:val="001B0E68"/>
    <w:rsid w:val="001B0E8D"/>
    <w:rsid w:val="001B0F4D"/>
    <w:rsid w:val="001B1009"/>
    <w:rsid w:val="001B1030"/>
    <w:rsid w:val="001B1076"/>
    <w:rsid w:val="001B110D"/>
    <w:rsid w:val="001B111B"/>
    <w:rsid w:val="001B1124"/>
    <w:rsid w:val="001B1129"/>
    <w:rsid w:val="001B123A"/>
    <w:rsid w:val="001B1344"/>
    <w:rsid w:val="001B1491"/>
    <w:rsid w:val="001B14D8"/>
    <w:rsid w:val="001B14DE"/>
    <w:rsid w:val="001B1502"/>
    <w:rsid w:val="001B1575"/>
    <w:rsid w:val="001B1618"/>
    <w:rsid w:val="001B1619"/>
    <w:rsid w:val="001B165B"/>
    <w:rsid w:val="001B16A4"/>
    <w:rsid w:val="001B16B1"/>
    <w:rsid w:val="001B16B5"/>
    <w:rsid w:val="001B178A"/>
    <w:rsid w:val="001B17BF"/>
    <w:rsid w:val="001B17F5"/>
    <w:rsid w:val="001B1801"/>
    <w:rsid w:val="001B1861"/>
    <w:rsid w:val="001B18C2"/>
    <w:rsid w:val="001B18CC"/>
    <w:rsid w:val="001B1A30"/>
    <w:rsid w:val="001B1ADD"/>
    <w:rsid w:val="001B1BF1"/>
    <w:rsid w:val="001B1CAC"/>
    <w:rsid w:val="001B1D4E"/>
    <w:rsid w:val="001B1DDF"/>
    <w:rsid w:val="001B1DFD"/>
    <w:rsid w:val="001B1E33"/>
    <w:rsid w:val="001B1EAE"/>
    <w:rsid w:val="001B1EC8"/>
    <w:rsid w:val="001B204B"/>
    <w:rsid w:val="001B205E"/>
    <w:rsid w:val="001B20E3"/>
    <w:rsid w:val="001B22BA"/>
    <w:rsid w:val="001B234F"/>
    <w:rsid w:val="001B2389"/>
    <w:rsid w:val="001B23E6"/>
    <w:rsid w:val="001B240D"/>
    <w:rsid w:val="001B2448"/>
    <w:rsid w:val="001B2464"/>
    <w:rsid w:val="001B2485"/>
    <w:rsid w:val="001B2491"/>
    <w:rsid w:val="001B2506"/>
    <w:rsid w:val="001B2517"/>
    <w:rsid w:val="001B2523"/>
    <w:rsid w:val="001B2528"/>
    <w:rsid w:val="001B2593"/>
    <w:rsid w:val="001B25C1"/>
    <w:rsid w:val="001B25C2"/>
    <w:rsid w:val="001B25D8"/>
    <w:rsid w:val="001B26FB"/>
    <w:rsid w:val="001B270C"/>
    <w:rsid w:val="001B2745"/>
    <w:rsid w:val="001B27B5"/>
    <w:rsid w:val="001B27B9"/>
    <w:rsid w:val="001B28C1"/>
    <w:rsid w:val="001B28DD"/>
    <w:rsid w:val="001B28E1"/>
    <w:rsid w:val="001B2915"/>
    <w:rsid w:val="001B2949"/>
    <w:rsid w:val="001B298F"/>
    <w:rsid w:val="001B2991"/>
    <w:rsid w:val="001B29AF"/>
    <w:rsid w:val="001B29BC"/>
    <w:rsid w:val="001B29DB"/>
    <w:rsid w:val="001B2A4D"/>
    <w:rsid w:val="001B2AAE"/>
    <w:rsid w:val="001B2B07"/>
    <w:rsid w:val="001B2BA5"/>
    <w:rsid w:val="001B2C12"/>
    <w:rsid w:val="001B2C28"/>
    <w:rsid w:val="001B2C33"/>
    <w:rsid w:val="001B2D6A"/>
    <w:rsid w:val="001B2E42"/>
    <w:rsid w:val="001B2EC0"/>
    <w:rsid w:val="001B2F5C"/>
    <w:rsid w:val="001B304A"/>
    <w:rsid w:val="001B3059"/>
    <w:rsid w:val="001B313B"/>
    <w:rsid w:val="001B3171"/>
    <w:rsid w:val="001B3196"/>
    <w:rsid w:val="001B31E1"/>
    <w:rsid w:val="001B31E9"/>
    <w:rsid w:val="001B32F5"/>
    <w:rsid w:val="001B3356"/>
    <w:rsid w:val="001B33F2"/>
    <w:rsid w:val="001B345B"/>
    <w:rsid w:val="001B3525"/>
    <w:rsid w:val="001B357B"/>
    <w:rsid w:val="001B3584"/>
    <w:rsid w:val="001B358B"/>
    <w:rsid w:val="001B35DF"/>
    <w:rsid w:val="001B35F5"/>
    <w:rsid w:val="001B36ED"/>
    <w:rsid w:val="001B3708"/>
    <w:rsid w:val="001B3729"/>
    <w:rsid w:val="001B3778"/>
    <w:rsid w:val="001B3790"/>
    <w:rsid w:val="001B37D0"/>
    <w:rsid w:val="001B388A"/>
    <w:rsid w:val="001B3915"/>
    <w:rsid w:val="001B3922"/>
    <w:rsid w:val="001B3A42"/>
    <w:rsid w:val="001B3A67"/>
    <w:rsid w:val="001B3A9D"/>
    <w:rsid w:val="001B3C0C"/>
    <w:rsid w:val="001B3CA3"/>
    <w:rsid w:val="001B3D2E"/>
    <w:rsid w:val="001B3D6F"/>
    <w:rsid w:val="001B3DDD"/>
    <w:rsid w:val="001B3E41"/>
    <w:rsid w:val="001B3E46"/>
    <w:rsid w:val="001B3EC4"/>
    <w:rsid w:val="001B3EF1"/>
    <w:rsid w:val="001B3EFD"/>
    <w:rsid w:val="001B3F0E"/>
    <w:rsid w:val="001B3FB4"/>
    <w:rsid w:val="001B3FD9"/>
    <w:rsid w:val="001B4046"/>
    <w:rsid w:val="001B406D"/>
    <w:rsid w:val="001B4093"/>
    <w:rsid w:val="001B41AE"/>
    <w:rsid w:val="001B41B5"/>
    <w:rsid w:val="001B41C1"/>
    <w:rsid w:val="001B41C9"/>
    <w:rsid w:val="001B41D7"/>
    <w:rsid w:val="001B41F3"/>
    <w:rsid w:val="001B433C"/>
    <w:rsid w:val="001B438A"/>
    <w:rsid w:val="001B43D2"/>
    <w:rsid w:val="001B43E2"/>
    <w:rsid w:val="001B43FB"/>
    <w:rsid w:val="001B4423"/>
    <w:rsid w:val="001B448C"/>
    <w:rsid w:val="001B44B9"/>
    <w:rsid w:val="001B44FC"/>
    <w:rsid w:val="001B4567"/>
    <w:rsid w:val="001B4572"/>
    <w:rsid w:val="001B45FB"/>
    <w:rsid w:val="001B4646"/>
    <w:rsid w:val="001B46DD"/>
    <w:rsid w:val="001B4746"/>
    <w:rsid w:val="001B474A"/>
    <w:rsid w:val="001B4752"/>
    <w:rsid w:val="001B47C1"/>
    <w:rsid w:val="001B47CF"/>
    <w:rsid w:val="001B4860"/>
    <w:rsid w:val="001B487B"/>
    <w:rsid w:val="001B48B4"/>
    <w:rsid w:val="001B4923"/>
    <w:rsid w:val="001B49EC"/>
    <w:rsid w:val="001B4A18"/>
    <w:rsid w:val="001B4A96"/>
    <w:rsid w:val="001B4B2D"/>
    <w:rsid w:val="001B4BDB"/>
    <w:rsid w:val="001B4C11"/>
    <w:rsid w:val="001B4C44"/>
    <w:rsid w:val="001B4C65"/>
    <w:rsid w:val="001B4C8D"/>
    <w:rsid w:val="001B4C9D"/>
    <w:rsid w:val="001B4CA6"/>
    <w:rsid w:val="001B4CBC"/>
    <w:rsid w:val="001B4CE2"/>
    <w:rsid w:val="001B4D1D"/>
    <w:rsid w:val="001B4D3F"/>
    <w:rsid w:val="001B4D51"/>
    <w:rsid w:val="001B4D59"/>
    <w:rsid w:val="001B4D71"/>
    <w:rsid w:val="001B4D96"/>
    <w:rsid w:val="001B4DC1"/>
    <w:rsid w:val="001B4EDD"/>
    <w:rsid w:val="001B4F62"/>
    <w:rsid w:val="001B4FC9"/>
    <w:rsid w:val="001B5001"/>
    <w:rsid w:val="001B5080"/>
    <w:rsid w:val="001B50FF"/>
    <w:rsid w:val="001B5124"/>
    <w:rsid w:val="001B516A"/>
    <w:rsid w:val="001B5199"/>
    <w:rsid w:val="001B51DC"/>
    <w:rsid w:val="001B51E8"/>
    <w:rsid w:val="001B5247"/>
    <w:rsid w:val="001B5264"/>
    <w:rsid w:val="001B5284"/>
    <w:rsid w:val="001B52B9"/>
    <w:rsid w:val="001B5310"/>
    <w:rsid w:val="001B532B"/>
    <w:rsid w:val="001B53AF"/>
    <w:rsid w:val="001B5440"/>
    <w:rsid w:val="001B5499"/>
    <w:rsid w:val="001B5513"/>
    <w:rsid w:val="001B557F"/>
    <w:rsid w:val="001B560A"/>
    <w:rsid w:val="001B561A"/>
    <w:rsid w:val="001B56CF"/>
    <w:rsid w:val="001B5708"/>
    <w:rsid w:val="001B5736"/>
    <w:rsid w:val="001B576C"/>
    <w:rsid w:val="001B5774"/>
    <w:rsid w:val="001B579A"/>
    <w:rsid w:val="001B57E4"/>
    <w:rsid w:val="001B581A"/>
    <w:rsid w:val="001B58CB"/>
    <w:rsid w:val="001B58CD"/>
    <w:rsid w:val="001B58F3"/>
    <w:rsid w:val="001B5921"/>
    <w:rsid w:val="001B592C"/>
    <w:rsid w:val="001B5944"/>
    <w:rsid w:val="001B5988"/>
    <w:rsid w:val="001B5A8A"/>
    <w:rsid w:val="001B5A94"/>
    <w:rsid w:val="001B5BC5"/>
    <w:rsid w:val="001B5BFE"/>
    <w:rsid w:val="001B5CCF"/>
    <w:rsid w:val="001B5DEC"/>
    <w:rsid w:val="001B5DF0"/>
    <w:rsid w:val="001B5E30"/>
    <w:rsid w:val="001B5E48"/>
    <w:rsid w:val="001B5E5A"/>
    <w:rsid w:val="001B5EA7"/>
    <w:rsid w:val="001B5EF6"/>
    <w:rsid w:val="001B5F86"/>
    <w:rsid w:val="001B5FA4"/>
    <w:rsid w:val="001B5FC5"/>
    <w:rsid w:val="001B5FF2"/>
    <w:rsid w:val="001B6012"/>
    <w:rsid w:val="001B6095"/>
    <w:rsid w:val="001B609A"/>
    <w:rsid w:val="001B6246"/>
    <w:rsid w:val="001B6279"/>
    <w:rsid w:val="001B62E5"/>
    <w:rsid w:val="001B631B"/>
    <w:rsid w:val="001B63D0"/>
    <w:rsid w:val="001B643A"/>
    <w:rsid w:val="001B645C"/>
    <w:rsid w:val="001B64BF"/>
    <w:rsid w:val="001B650E"/>
    <w:rsid w:val="001B662F"/>
    <w:rsid w:val="001B678F"/>
    <w:rsid w:val="001B67AE"/>
    <w:rsid w:val="001B67F6"/>
    <w:rsid w:val="001B6838"/>
    <w:rsid w:val="001B6856"/>
    <w:rsid w:val="001B6860"/>
    <w:rsid w:val="001B68A9"/>
    <w:rsid w:val="001B68EF"/>
    <w:rsid w:val="001B6987"/>
    <w:rsid w:val="001B6A30"/>
    <w:rsid w:val="001B6A9F"/>
    <w:rsid w:val="001B6ABF"/>
    <w:rsid w:val="001B6B80"/>
    <w:rsid w:val="001B6BB2"/>
    <w:rsid w:val="001B6C00"/>
    <w:rsid w:val="001B6C44"/>
    <w:rsid w:val="001B6C81"/>
    <w:rsid w:val="001B6DE6"/>
    <w:rsid w:val="001B6E22"/>
    <w:rsid w:val="001B6E5E"/>
    <w:rsid w:val="001B6E6B"/>
    <w:rsid w:val="001B6F37"/>
    <w:rsid w:val="001B6F49"/>
    <w:rsid w:val="001B6F62"/>
    <w:rsid w:val="001B6F64"/>
    <w:rsid w:val="001B6F80"/>
    <w:rsid w:val="001B6FBD"/>
    <w:rsid w:val="001B7042"/>
    <w:rsid w:val="001B70CD"/>
    <w:rsid w:val="001B70E2"/>
    <w:rsid w:val="001B7151"/>
    <w:rsid w:val="001B715D"/>
    <w:rsid w:val="001B7211"/>
    <w:rsid w:val="001B72B5"/>
    <w:rsid w:val="001B72BA"/>
    <w:rsid w:val="001B7314"/>
    <w:rsid w:val="001B7381"/>
    <w:rsid w:val="001B7393"/>
    <w:rsid w:val="001B73F8"/>
    <w:rsid w:val="001B74E2"/>
    <w:rsid w:val="001B74E3"/>
    <w:rsid w:val="001B75B9"/>
    <w:rsid w:val="001B75EB"/>
    <w:rsid w:val="001B7640"/>
    <w:rsid w:val="001B764F"/>
    <w:rsid w:val="001B76CB"/>
    <w:rsid w:val="001B76D6"/>
    <w:rsid w:val="001B76F1"/>
    <w:rsid w:val="001B77BD"/>
    <w:rsid w:val="001B7815"/>
    <w:rsid w:val="001B7847"/>
    <w:rsid w:val="001B7867"/>
    <w:rsid w:val="001B78C8"/>
    <w:rsid w:val="001B793D"/>
    <w:rsid w:val="001B794A"/>
    <w:rsid w:val="001B797B"/>
    <w:rsid w:val="001B798C"/>
    <w:rsid w:val="001B799E"/>
    <w:rsid w:val="001B79D6"/>
    <w:rsid w:val="001B7A37"/>
    <w:rsid w:val="001B7A95"/>
    <w:rsid w:val="001B7AB6"/>
    <w:rsid w:val="001B7BB4"/>
    <w:rsid w:val="001B7C04"/>
    <w:rsid w:val="001B7E0F"/>
    <w:rsid w:val="001B7E25"/>
    <w:rsid w:val="001B7ED3"/>
    <w:rsid w:val="001B7F10"/>
    <w:rsid w:val="001B7F35"/>
    <w:rsid w:val="001B7F64"/>
    <w:rsid w:val="001B7F6F"/>
    <w:rsid w:val="001B7FE9"/>
    <w:rsid w:val="001B7FFC"/>
    <w:rsid w:val="001C001F"/>
    <w:rsid w:val="001C009E"/>
    <w:rsid w:val="001C0182"/>
    <w:rsid w:val="001C0190"/>
    <w:rsid w:val="001C01C6"/>
    <w:rsid w:val="001C0284"/>
    <w:rsid w:val="001C02DB"/>
    <w:rsid w:val="001C0322"/>
    <w:rsid w:val="001C03A2"/>
    <w:rsid w:val="001C03D5"/>
    <w:rsid w:val="001C0499"/>
    <w:rsid w:val="001C04F9"/>
    <w:rsid w:val="001C051C"/>
    <w:rsid w:val="001C0556"/>
    <w:rsid w:val="001C0570"/>
    <w:rsid w:val="001C059E"/>
    <w:rsid w:val="001C0654"/>
    <w:rsid w:val="001C06A8"/>
    <w:rsid w:val="001C06B0"/>
    <w:rsid w:val="001C06CD"/>
    <w:rsid w:val="001C06D8"/>
    <w:rsid w:val="001C071F"/>
    <w:rsid w:val="001C0765"/>
    <w:rsid w:val="001C0798"/>
    <w:rsid w:val="001C07EC"/>
    <w:rsid w:val="001C082D"/>
    <w:rsid w:val="001C0861"/>
    <w:rsid w:val="001C08A6"/>
    <w:rsid w:val="001C08B7"/>
    <w:rsid w:val="001C08C4"/>
    <w:rsid w:val="001C095F"/>
    <w:rsid w:val="001C09A3"/>
    <w:rsid w:val="001C09D7"/>
    <w:rsid w:val="001C0A7F"/>
    <w:rsid w:val="001C0B57"/>
    <w:rsid w:val="001C0BA7"/>
    <w:rsid w:val="001C0BE5"/>
    <w:rsid w:val="001C0C4A"/>
    <w:rsid w:val="001C0CD5"/>
    <w:rsid w:val="001C0D9C"/>
    <w:rsid w:val="001C0DC3"/>
    <w:rsid w:val="001C0DED"/>
    <w:rsid w:val="001C0DFC"/>
    <w:rsid w:val="001C0E5C"/>
    <w:rsid w:val="001C0EB7"/>
    <w:rsid w:val="001C0ED0"/>
    <w:rsid w:val="001C0F06"/>
    <w:rsid w:val="001C0F50"/>
    <w:rsid w:val="001C0FA8"/>
    <w:rsid w:val="001C0FF3"/>
    <w:rsid w:val="001C1026"/>
    <w:rsid w:val="001C107D"/>
    <w:rsid w:val="001C10CF"/>
    <w:rsid w:val="001C1151"/>
    <w:rsid w:val="001C123E"/>
    <w:rsid w:val="001C128D"/>
    <w:rsid w:val="001C1296"/>
    <w:rsid w:val="001C1386"/>
    <w:rsid w:val="001C13D3"/>
    <w:rsid w:val="001C145B"/>
    <w:rsid w:val="001C1579"/>
    <w:rsid w:val="001C15FC"/>
    <w:rsid w:val="001C1668"/>
    <w:rsid w:val="001C17B2"/>
    <w:rsid w:val="001C181F"/>
    <w:rsid w:val="001C1836"/>
    <w:rsid w:val="001C18C7"/>
    <w:rsid w:val="001C199C"/>
    <w:rsid w:val="001C19D6"/>
    <w:rsid w:val="001C19EE"/>
    <w:rsid w:val="001C1B15"/>
    <w:rsid w:val="001C1CEF"/>
    <w:rsid w:val="001C1D50"/>
    <w:rsid w:val="001C1D8A"/>
    <w:rsid w:val="001C1D8D"/>
    <w:rsid w:val="001C1E79"/>
    <w:rsid w:val="001C1E84"/>
    <w:rsid w:val="001C1EC9"/>
    <w:rsid w:val="001C1F3A"/>
    <w:rsid w:val="001C1FC3"/>
    <w:rsid w:val="001C1FE4"/>
    <w:rsid w:val="001C2010"/>
    <w:rsid w:val="001C205C"/>
    <w:rsid w:val="001C2159"/>
    <w:rsid w:val="001C21FA"/>
    <w:rsid w:val="001C2200"/>
    <w:rsid w:val="001C2329"/>
    <w:rsid w:val="001C23B2"/>
    <w:rsid w:val="001C23FE"/>
    <w:rsid w:val="001C243C"/>
    <w:rsid w:val="001C24EE"/>
    <w:rsid w:val="001C2501"/>
    <w:rsid w:val="001C25DA"/>
    <w:rsid w:val="001C25E1"/>
    <w:rsid w:val="001C25E7"/>
    <w:rsid w:val="001C2618"/>
    <w:rsid w:val="001C269C"/>
    <w:rsid w:val="001C26CF"/>
    <w:rsid w:val="001C2734"/>
    <w:rsid w:val="001C2741"/>
    <w:rsid w:val="001C2743"/>
    <w:rsid w:val="001C27A9"/>
    <w:rsid w:val="001C2809"/>
    <w:rsid w:val="001C2851"/>
    <w:rsid w:val="001C2867"/>
    <w:rsid w:val="001C288A"/>
    <w:rsid w:val="001C288C"/>
    <w:rsid w:val="001C28B3"/>
    <w:rsid w:val="001C28FB"/>
    <w:rsid w:val="001C2A08"/>
    <w:rsid w:val="001C2A39"/>
    <w:rsid w:val="001C2A5A"/>
    <w:rsid w:val="001C2A8B"/>
    <w:rsid w:val="001C2AC3"/>
    <w:rsid w:val="001C2B88"/>
    <w:rsid w:val="001C2B8D"/>
    <w:rsid w:val="001C2BD8"/>
    <w:rsid w:val="001C2BDB"/>
    <w:rsid w:val="001C2C61"/>
    <w:rsid w:val="001C2CC3"/>
    <w:rsid w:val="001C2D22"/>
    <w:rsid w:val="001C2D29"/>
    <w:rsid w:val="001C2D64"/>
    <w:rsid w:val="001C2D92"/>
    <w:rsid w:val="001C2DD6"/>
    <w:rsid w:val="001C2DE0"/>
    <w:rsid w:val="001C2DF0"/>
    <w:rsid w:val="001C2DFB"/>
    <w:rsid w:val="001C2E3D"/>
    <w:rsid w:val="001C2EC8"/>
    <w:rsid w:val="001C2ECF"/>
    <w:rsid w:val="001C2F3E"/>
    <w:rsid w:val="001C2FE5"/>
    <w:rsid w:val="001C300E"/>
    <w:rsid w:val="001C301E"/>
    <w:rsid w:val="001C3050"/>
    <w:rsid w:val="001C3086"/>
    <w:rsid w:val="001C30BD"/>
    <w:rsid w:val="001C31B8"/>
    <w:rsid w:val="001C31F8"/>
    <w:rsid w:val="001C320F"/>
    <w:rsid w:val="001C3299"/>
    <w:rsid w:val="001C32D6"/>
    <w:rsid w:val="001C33EA"/>
    <w:rsid w:val="001C33EF"/>
    <w:rsid w:val="001C3417"/>
    <w:rsid w:val="001C3514"/>
    <w:rsid w:val="001C351D"/>
    <w:rsid w:val="001C35B7"/>
    <w:rsid w:val="001C3604"/>
    <w:rsid w:val="001C36DC"/>
    <w:rsid w:val="001C38E5"/>
    <w:rsid w:val="001C392D"/>
    <w:rsid w:val="001C396B"/>
    <w:rsid w:val="001C398A"/>
    <w:rsid w:val="001C398C"/>
    <w:rsid w:val="001C3A32"/>
    <w:rsid w:val="001C3A3F"/>
    <w:rsid w:val="001C3B07"/>
    <w:rsid w:val="001C3B3A"/>
    <w:rsid w:val="001C3B87"/>
    <w:rsid w:val="001C3C1C"/>
    <w:rsid w:val="001C3CC4"/>
    <w:rsid w:val="001C3CEE"/>
    <w:rsid w:val="001C3D03"/>
    <w:rsid w:val="001C3D16"/>
    <w:rsid w:val="001C3D4A"/>
    <w:rsid w:val="001C3DF4"/>
    <w:rsid w:val="001C3E5C"/>
    <w:rsid w:val="001C3E6D"/>
    <w:rsid w:val="001C3EA4"/>
    <w:rsid w:val="001C3EA8"/>
    <w:rsid w:val="001C3EAD"/>
    <w:rsid w:val="001C3ECF"/>
    <w:rsid w:val="001C3F2D"/>
    <w:rsid w:val="001C3F65"/>
    <w:rsid w:val="001C40F6"/>
    <w:rsid w:val="001C4122"/>
    <w:rsid w:val="001C414F"/>
    <w:rsid w:val="001C4234"/>
    <w:rsid w:val="001C42BA"/>
    <w:rsid w:val="001C42BB"/>
    <w:rsid w:val="001C438D"/>
    <w:rsid w:val="001C43BE"/>
    <w:rsid w:val="001C4421"/>
    <w:rsid w:val="001C4434"/>
    <w:rsid w:val="001C4441"/>
    <w:rsid w:val="001C4455"/>
    <w:rsid w:val="001C448C"/>
    <w:rsid w:val="001C4490"/>
    <w:rsid w:val="001C45E2"/>
    <w:rsid w:val="001C45E3"/>
    <w:rsid w:val="001C45EE"/>
    <w:rsid w:val="001C461C"/>
    <w:rsid w:val="001C4620"/>
    <w:rsid w:val="001C462B"/>
    <w:rsid w:val="001C465C"/>
    <w:rsid w:val="001C4696"/>
    <w:rsid w:val="001C46A2"/>
    <w:rsid w:val="001C46AD"/>
    <w:rsid w:val="001C46D4"/>
    <w:rsid w:val="001C46DC"/>
    <w:rsid w:val="001C46F6"/>
    <w:rsid w:val="001C47AE"/>
    <w:rsid w:val="001C47E4"/>
    <w:rsid w:val="001C47EC"/>
    <w:rsid w:val="001C48CF"/>
    <w:rsid w:val="001C49CF"/>
    <w:rsid w:val="001C4A2F"/>
    <w:rsid w:val="001C4A6B"/>
    <w:rsid w:val="001C4A8C"/>
    <w:rsid w:val="001C4AB8"/>
    <w:rsid w:val="001C4AFB"/>
    <w:rsid w:val="001C4BB7"/>
    <w:rsid w:val="001C4C52"/>
    <w:rsid w:val="001C4C84"/>
    <w:rsid w:val="001C4D07"/>
    <w:rsid w:val="001C4D31"/>
    <w:rsid w:val="001C4D3F"/>
    <w:rsid w:val="001C4D57"/>
    <w:rsid w:val="001C4E4F"/>
    <w:rsid w:val="001C4E50"/>
    <w:rsid w:val="001C4F00"/>
    <w:rsid w:val="001C4FA9"/>
    <w:rsid w:val="001C4FEA"/>
    <w:rsid w:val="001C5023"/>
    <w:rsid w:val="001C5043"/>
    <w:rsid w:val="001C504B"/>
    <w:rsid w:val="001C506B"/>
    <w:rsid w:val="001C50F8"/>
    <w:rsid w:val="001C5124"/>
    <w:rsid w:val="001C5152"/>
    <w:rsid w:val="001C51DF"/>
    <w:rsid w:val="001C522F"/>
    <w:rsid w:val="001C5389"/>
    <w:rsid w:val="001C53AC"/>
    <w:rsid w:val="001C54F6"/>
    <w:rsid w:val="001C54FB"/>
    <w:rsid w:val="001C55C4"/>
    <w:rsid w:val="001C56AF"/>
    <w:rsid w:val="001C56D6"/>
    <w:rsid w:val="001C572A"/>
    <w:rsid w:val="001C5738"/>
    <w:rsid w:val="001C586A"/>
    <w:rsid w:val="001C58D3"/>
    <w:rsid w:val="001C5920"/>
    <w:rsid w:val="001C5970"/>
    <w:rsid w:val="001C5993"/>
    <w:rsid w:val="001C5A64"/>
    <w:rsid w:val="001C5B8E"/>
    <w:rsid w:val="001C5BD8"/>
    <w:rsid w:val="001C5BFF"/>
    <w:rsid w:val="001C5C46"/>
    <w:rsid w:val="001C5D0B"/>
    <w:rsid w:val="001C5D12"/>
    <w:rsid w:val="001C5D69"/>
    <w:rsid w:val="001C5D81"/>
    <w:rsid w:val="001C5DA1"/>
    <w:rsid w:val="001C5DCF"/>
    <w:rsid w:val="001C5E12"/>
    <w:rsid w:val="001C5E7A"/>
    <w:rsid w:val="001C5F13"/>
    <w:rsid w:val="001C5FBA"/>
    <w:rsid w:val="001C602E"/>
    <w:rsid w:val="001C6083"/>
    <w:rsid w:val="001C60A7"/>
    <w:rsid w:val="001C60B2"/>
    <w:rsid w:val="001C60B9"/>
    <w:rsid w:val="001C6105"/>
    <w:rsid w:val="001C6194"/>
    <w:rsid w:val="001C6351"/>
    <w:rsid w:val="001C63A9"/>
    <w:rsid w:val="001C63B9"/>
    <w:rsid w:val="001C63CB"/>
    <w:rsid w:val="001C64A5"/>
    <w:rsid w:val="001C654F"/>
    <w:rsid w:val="001C657D"/>
    <w:rsid w:val="001C65A1"/>
    <w:rsid w:val="001C65FA"/>
    <w:rsid w:val="001C666B"/>
    <w:rsid w:val="001C66D7"/>
    <w:rsid w:val="001C66DC"/>
    <w:rsid w:val="001C670A"/>
    <w:rsid w:val="001C674A"/>
    <w:rsid w:val="001C676B"/>
    <w:rsid w:val="001C679B"/>
    <w:rsid w:val="001C67E8"/>
    <w:rsid w:val="001C6811"/>
    <w:rsid w:val="001C681E"/>
    <w:rsid w:val="001C68FD"/>
    <w:rsid w:val="001C695F"/>
    <w:rsid w:val="001C6973"/>
    <w:rsid w:val="001C6985"/>
    <w:rsid w:val="001C698A"/>
    <w:rsid w:val="001C6A84"/>
    <w:rsid w:val="001C6A90"/>
    <w:rsid w:val="001C6A98"/>
    <w:rsid w:val="001C6BDF"/>
    <w:rsid w:val="001C6CB3"/>
    <w:rsid w:val="001C6CDD"/>
    <w:rsid w:val="001C6E37"/>
    <w:rsid w:val="001C6EDB"/>
    <w:rsid w:val="001C6F71"/>
    <w:rsid w:val="001C6FF0"/>
    <w:rsid w:val="001C70FD"/>
    <w:rsid w:val="001C711E"/>
    <w:rsid w:val="001C7155"/>
    <w:rsid w:val="001C71B3"/>
    <w:rsid w:val="001C71E0"/>
    <w:rsid w:val="001C7208"/>
    <w:rsid w:val="001C721E"/>
    <w:rsid w:val="001C728C"/>
    <w:rsid w:val="001C7369"/>
    <w:rsid w:val="001C7482"/>
    <w:rsid w:val="001C7498"/>
    <w:rsid w:val="001C750B"/>
    <w:rsid w:val="001C7556"/>
    <w:rsid w:val="001C758D"/>
    <w:rsid w:val="001C75B0"/>
    <w:rsid w:val="001C75C6"/>
    <w:rsid w:val="001C761B"/>
    <w:rsid w:val="001C7653"/>
    <w:rsid w:val="001C7724"/>
    <w:rsid w:val="001C7767"/>
    <w:rsid w:val="001C7789"/>
    <w:rsid w:val="001C77AE"/>
    <w:rsid w:val="001C77E1"/>
    <w:rsid w:val="001C77F2"/>
    <w:rsid w:val="001C7802"/>
    <w:rsid w:val="001C783B"/>
    <w:rsid w:val="001C783F"/>
    <w:rsid w:val="001C787D"/>
    <w:rsid w:val="001C7934"/>
    <w:rsid w:val="001C798B"/>
    <w:rsid w:val="001C7BF2"/>
    <w:rsid w:val="001C7C42"/>
    <w:rsid w:val="001C7C5A"/>
    <w:rsid w:val="001C7CA7"/>
    <w:rsid w:val="001C7D2D"/>
    <w:rsid w:val="001C7DA9"/>
    <w:rsid w:val="001C7DD7"/>
    <w:rsid w:val="001C7DF9"/>
    <w:rsid w:val="001C7E0C"/>
    <w:rsid w:val="001C7F3B"/>
    <w:rsid w:val="001C7F4A"/>
    <w:rsid w:val="001C7F69"/>
    <w:rsid w:val="001C7F71"/>
    <w:rsid w:val="001C7FA9"/>
    <w:rsid w:val="001C7FBD"/>
    <w:rsid w:val="001D0049"/>
    <w:rsid w:val="001D00C9"/>
    <w:rsid w:val="001D0114"/>
    <w:rsid w:val="001D0206"/>
    <w:rsid w:val="001D026A"/>
    <w:rsid w:val="001D0298"/>
    <w:rsid w:val="001D0303"/>
    <w:rsid w:val="001D0369"/>
    <w:rsid w:val="001D0376"/>
    <w:rsid w:val="001D0397"/>
    <w:rsid w:val="001D042B"/>
    <w:rsid w:val="001D043E"/>
    <w:rsid w:val="001D0451"/>
    <w:rsid w:val="001D0462"/>
    <w:rsid w:val="001D0471"/>
    <w:rsid w:val="001D05C8"/>
    <w:rsid w:val="001D070C"/>
    <w:rsid w:val="001D0757"/>
    <w:rsid w:val="001D0784"/>
    <w:rsid w:val="001D078A"/>
    <w:rsid w:val="001D07CA"/>
    <w:rsid w:val="001D0836"/>
    <w:rsid w:val="001D092C"/>
    <w:rsid w:val="001D097C"/>
    <w:rsid w:val="001D0983"/>
    <w:rsid w:val="001D09BA"/>
    <w:rsid w:val="001D0A44"/>
    <w:rsid w:val="001D0A82"/>
    <w:rsid w:val="001D0A99"/>
    <w:rsid w:val="001D0AE9"/>
    <w:rsid w:val="001D0B3A"/>
    <w:rsid w:val="001D0B6D"/>
    <w:rsid w:val="001D0BA7"/>
    <w:rsid w:val="001D0BE4"/>
    <w:rsid w:val="001D0BF5"/>
    <w:rsid w:val="001D0C20"/>
    <w:rsid w:val="001D0C61"/>
    <w:rsid w:val="001D0CFA"/>
    <w:rsid w:val="001D0D2E"/>
    <w:rsid w:val="001D0DBE"/>
    <w:rsid w:val="001D0E1A"/>
    <w:rsid w:val="001D0E39"/>
    <w:rsid w:val="001D0F0F"/>
    <w:rsid w:val="001D0F4A"/>
    <w:rsid w:val="001D0F52"/>
    <w:rsid w:val="001D0F64"/>
    <w:rsid w:val="001D1029"/>
    <w:rsid w:val="001D104E"/>
    <w:rsid w:val="001D1065"/>
    <w:rsid w:val="001D1077"/>
    <w:rsid w:val="001D1089"/>
    <w:rsid w:val="001D10A7"/>
    <w:rsid w:val="001D10F3"/>
    <w:rsid w:val="001D111B"/>
    <w:rsid w:val="001D121A"/>
    <w:rsid w:val="001D132D"/>
    <w:rsid w:val="001D1361"/>
    <w:rsid w:val="001D137B"/>
    <w:rsid w:val="001D13CE"/>
    <w:rsid w:val="001D13FD"/>
    <w:rsid w:val="001D13FF"/>
    <w:rsid w:val="001D143A"/>
    <w:rsid w:val="001D1454"/>
    <w:rsid w:val="001D15ED"/>
    <w:rsid w:val="001D1648"/>
    <w:rsid w:val="001D16B7"/>
    <w:rsid w:val="001D1739"/>
    <w:rsid w:val="001D1764"/>
    <w:rsid w:val="001D1770"/>
    <w:rsid w:val="001D1823"/>
    <w:rsid w:val="001D186D"/>
    <w:rsid w:val="001D18DB"/>
    <w:rsid w:val="001D1939"/>
    <w:rsid w:val="001D1988"/>
    <w:rsid w:val="001D1A45"/>
    <w:rsid w:val="001D1A74"/>
    <w:rsid w:val="001D1A76"/>
    <w:rsid w:val="001D1B60"/>
    <w:rsid w:val="001D1B82"/>
    <w:rsid w:val="001D1CEA"/>
    <w:rsid w:val="001D1D59"/>
    <w:rsid w:val="001D1D80"/>
    <w:rsid w:val="001D1DE5"/>
    <w:rsid w:val="001D1DE8"/>
    <w:rsid w:val="001D1E58"/>
    <w:rsid w:val="001D1E8D"/>
    <w:rsid w:val="001D1F06"/>
    <w:rsid w:val="001D1F36"/>
    <w:rsid w:val="001D1F65"/>
    <w:rsid w:val="001D1FD5"/>
    <w:rsid w:val="001D1FE9"/>
    <w:rsid w:val="001D1FF3"/>
    <w:rsid w:val="001D20D1"/>
    <w:rsid w:val="001D2303"/>
    <w:rsid w:val="001D2384"/>
    <w:rsid w:val="001D23EE"/>
    <w:rsid w:val="001D2417"/>
    <w:rsid w:val="001D242D"/>
    <w:rsid w:val="001D2448"/>
    <w:rsid w:val="001D246C"/>
    <w:rsid w:val="001D248A"/>
    <w:rsid w:val="001D24DA"/>
    <w:rsid w:val="001D254A"/>
    <w:rsid w:val="001D25DC"/>
    <w:rsid w:val="001D2673"/>
    <w:rsid w:val="001D270B"/>
    <w:rsid w:val="001D273C"/>
    <w:rsid w:val="001D277E"/>
    <w:rsid w:val="001D27AE"/>
    <w:rsid w:val="001D27AF"/>
    <w:rsid w:val="001D27F5"/>
    <w:rsid w:val="001D2845"/>
    <w:rsid w:val="001D28A7"/>
    <w:rsid w:val="001D28A9"/>
    <w:rsid w:val="001D28AF"/>
    <w:rsid w:val="001D2938"/>
    <w:rsid w:val="001D2A65"/>
    <w:rsid w:val="001D2B34"/>
    <w:rsid w:val="001D2B48"/>
    <w:rsid w:val="001D2BA6"/>
    <w:rsid w:val="001D2BD3"/>
    <w:rsid w:val="001D2BED"/>
    <w:rsid w:val="001D2BF1"/>
    <w:rsid w:val="001D2C50"/>
    <w:rsid w:val="001D2C61"/>
    <w:rsid w:val="001D2CEE"/>
    <w:rsid w:val="001D2D8A"/>
    <w:rsid w:val="001D2DD5"/>
    <w:rsid w:val="001D2DED"/>
    <w:rsid w:val="001D2E0F"/>
    <w:rsid w:val="001D2E7A"/>
    <w:rsid w:val="001D2F5E"/>
    <w:rsid w:val="001D2F7A"/>
    <w:rsid w:val="001D2FE1"/>
    <w:rsid w:val="001D2FE7"/>
    <w:rsid w:val="001D3009"/>
    <w:rsid w:val="001D3011"/>
    <w:rsid w:val="001D302F"/>
    <w:rsid w:val="001D30C2"/>
    <w:rsid w:val="001D30C3"/>
    <w:rsid w:val="001D3144"/>
    <w:rsid w:val="001D3170"/>
    <w:rsid w:val="001D31F3"/>
    <w:rsid w:val="001D3260"/>
    <w:rsid w:val="001D328D"/>
    <w:rsid w:val="001D32E9"/>
    <w:rsid w:val="001D3358"/>
    <w:rsid w:val="001D3396"/>
    <w:rsid w:val="001D33FE"/>
    <w:rsid w:val="001D3405"/>
    <w:rsid w:val="001D3420"/>
    <w:rsid w:val="001D3468"/>
    <w:rsid w:val="001D34EB"/>
    <w:rsid w:val="001D3518"/>
    <w:rsid w:val="001D3530"/>
    <w:rsid w:val="001D3556"/>
    <w:rsid w:val="001D35A4"/>
    <w:rsid w:val="001D36F7"/>
    <w:rsid w:val="001D373A"/>
    <w:rsid w:val="001D374F"/>
    <w:rsid w:val="001D375C"/>
    <w:rsid w:val="001D37DB"/>
    <w:rsid w:val="001D382A"/>
    <w:rsid w:val="001D382D"/>
    <w:rsid w:val="001D38BE"/>
    <w:rsid w:val="001D3906"/>
    <w:rsid w:val="001D3A05"/>
    <w:rsid w:val="001D3A6D"/>
    <w:rsid w:val="001D3A74"/>
    <w:rsid w:val="001D3B1B"/>
    <w:rsid w:val="001D3B52"/>
    <w:rsid w:val="001D3B67"/>
    <w:rsid w:val="001D3BBD"/>
    <w:rsid w:val="001D3BDF"/>
    <w:rsid w:val="001D3C86"/>
    <w:rsid w:val="001D3C90"/>
    <w:rsid w:val="001D3C92"/>
    <w:rsid w:val="001D3CE1"/>
    <w:rsid w:val="001D3D01"/>
    <w:rsid w:val="001D3D24"/>
    <w:rsid w:val="001D3D35"/>
    <w:rsid w:val="001D3DB7"/>
    <w:rsid w:val="001D3DE3"/>
    <w:rsid w:val="001D3E3C"/>
    <w:rsid w:val="001D3F9A"/>
    <w:rsid w:val="001D4041"/>
    <w:rsid w:val="001D408D"/>
    <w:rsid w:val="001D409A"/>
    <w:rsid w:val="001D40AA"/>
    <w:rsid w:val="001D40C7"/>
    <w:rsid w:val="001D4119"/>
    <w:rsid w:val="001D414E"/>
    <w:rsid w:val="001D4198"/>
    <w:rsid w:val="001D41A6"/>
    <w:rsid w:val="001D41AF"/>
    <w:rsid w:val="001D41B8"/>
    <w:rsid w:val="001D4225"/>
    <w:rsid w:val="001D426B"/>
    <w:rsid w:val="001D4338"/>
    <w:rsid w:val="001D4394"/>
    <w:rsid w:val="001D439D"/>
    <w:rsid w:val="001D43D8"/>
    <w:rsid w:val="001D4438"/>
    <w:rsid w:val="001D4507"/>
    <w:rsid w:val="001D451B"/>
    <w:rsid w:val="001D4562"/>
    <w:rsid w:val="001D4573"/>
    <w:rsid w:val="001D460F"/>
    <w:rsid w:val="001D4654"/>
    <w:rsid w:val="001D4659"/>
    <w:rsid w:val="001D469D"/>
    <w:rsid w:val="001D46FE"/>
    <w:rsid w:val="001D4753"/>
    <w:rsid w:val="001D475C"/>
    <w:rsid w:val="001D4803"/>
    <w:rsid w:val="001D487A"/>
    <w:rsid w:val="001D489F"/>
    <w:rsid w:val="001D48A7"/>
    <w:rsid w:val="001D4903"/>
    <w:rsid w:val="001D4A25"/>
    <w:rsid w:val="001D4A9E"/>
    <w:rsid w:val="001D4B8D"/>
    <w:rsid w:val="001D4BD8"/>
    <w:rsid w:val="001D4C89"/>
    <w:rsid w:val="001D4D9B"/>
    <w:rsid w:val="001D4DB7"/>
    <w:rsid w:val="001D4DBB"/>
    <w:rsid w:val="001D4DC1"/>
    <w:rsid w:val="001D4DE8"/>
    <w:rsid w:val="001D4E5C"/>
    <w:rsid w:val="001D4F23"/>
    <w:rsid w:val="001D4F4C"/>
    <w:rsid w:val="001D4FE8"/>
    <w:rsid w:val="001D502C"/>
    <w:rsid w:val="001D5082"/>
    <w:rsid w:val="001D50A5"/>
    <w:rsid w:val="001D50A9"/>
    <w:rsid w:val="001D511C"/>
    <w:rsid w:val="001D5196"/>
    <w:rsid w:val="001D51A7"/>
    <w:rsid w:val="001D51DE"/>
    <w:rsid w:val="001D52AD"/>
    <w:rsid w:val="001D52C1"/>
    <w:rsid w:val="001D52C2"/>
    <w:rsid w:val="001D52D4"/>
    <w:rsid w:val="001D52DC"/>
    <w:rsid w:val="001D533E"/>
    <w:rsid w:val="001D5358"/>
    <w:rsid w:val="001D53B0"/>
    <w:rsid w:val="001D53F5"/>
    <w:rsid w:val="001D53F7"/>
    <w:rsid w:val="001D5441"/>
    <w:rsid w:val="001D544C"/>
    <w:rsid w:val="001D5465"/>
    <w:rsid w:val="001D562A"/>
    <w:rsid w:val="001D564D"/>
    <w:rsid w:val="001D5658"/>
    <w:rsid w:val="001D572E"/>
    <w:rsid w:val="001D5730"/>
    <w:rsid w:val="001D578C"/>
    <w:rsid w:val="001D57C8"/>
    <w:rsid w:val="001D5809"/>
    <w:rsid w:val="001D58DD"/>
    <w:rsid w:val="001D5907"/>
    <w:rsid w:val="001D5926"/>
    <w:rsid w:val="001D5A32"/>
    <w:rsid w:val="001D5A59"/>
    <w:rsid w:val="001D5A78"/>
    <w:rsid w:val="001D5AB1"/>
    <w:rsid w:val="001D5B20"/>
    <w:rsid w:val="001D5B6C"/>
    <w:rsid w:val="001D5BFA"/>
    <w:rsid w:val="001D5CAE"/>
    <w:rsid w:val="001D5D59"/>
    <w:rsid w:val="001D5DFA"/>
    <w:rsid w:val="001D5E1D"/>
    <w:rsid w:val="001D5E82"/>
    <w:rsid w:val="001D5F01"/>
    <w:rsid w:val="001D5F53"/>
    <w:rsid w:val="001D5FA8"/>
    <w:rsid w:val="001D5FAC"/>
    <w:rsid w:val="001D6018"/>
    <w:rsid w:val="001D6026"/>
    <w:rsid w:val="001D6038"/>
    <w:rsid w:val="001D612D"/>
    <w:rsid w:val="001D612F"/>
    <w:rsid w:val="001D6132"/>
    <w:rsid w:val="001D6134"/>
    <w:rsid w:val="001D619F"/>
    <w:rsid w:val="001D61E2"/>
    <w:rsid w:val="001D62A5"/>
    <w:rsid w:val="001D632B"/>
    <w:rsid w:val="001D6336"/>
    <w:rsid w:val="001D635E"/>
    <w:rsid w:val="001D6399"/>
    <w:rsid w:val="001D63CD"/>
    <w:rsid w:val="001D6460"/>
    <w:rsid w:val="001D64D2"/>
    <w:rsid w:val="001D64DB"/>
    <w:rsid w:val="001D6596"/>
    <w:rsid w:val="001D6642"/>
    <w:rsid w:val="001D664C"/>
    <w:rsid w:val="001D66BE"/>
    <w:rsid w:val="001D66E2"/>
    <w:rsid w:val="001D671F"/>
    <w:rsid w:val="001D677A"/>
    <w:rsid w:val="001D67D5"/>
    <w:rsid w:val="001D67F7"/>
    <w:rsid w:val="001D6843"/>
    <w:rsid w:val="001D6868"/>
    <w:rsid w:val="001D688F"/>
    <w:rsid w:val="001D6902"/>
    <w:rsid w:val="001D69F0"/>
    <w:rsid w:val="001D6A3E"/>
    <w:rsid w:val="001D6AC2"/>
    <w:rsid w:val="001D6AD6"/>
    <w:rsid w:val="001D6AEA"/>
    <w:rsid w:val="001D6B45"/>
    <w:rsid w:val="001D6B67"/>
    <w:rsid w:val="001D6BA5"/>
    <w:rsid w:val="001D6C37"/>
    <w:rsid w:val="001D6C38"/>
    <w:rsid w:val="001D6C4D"/>
    <w:rsid w:val="001D6CD1"/>
    <w:rsid w:val="001D6CE8"/>
    <w:rsid w:val="001D6D89"/>
    <w:rsid w:val="001D6D8B"/>
    <w:rsid w:val="001D6E21"/>
    <w:rsid w:val="001D6E39"/>
    <w:rsid w:val="001D6F02"/>
    <w:rsid w:val="001D7023"/>
    <w:rsid w:val="001D7110"/>
    <w:rsid w:val="001D714E"/>
    <w:rsid w:val="001D71BD"/>
    <w:rsid w:val="001D71CB"/>
    <w:rsid w:val="001D72DB"/>
    <w:rsid w:val="001D7331"/>
    <w:rsid w:val="001D73AB"/>
    <w:rsid w:val="001D73B9"/>
    <w:rsid w:val="001D73C3"/>
    <w:rsid w:val="001D73FF"/>
    <w:rsid w:val="001D7406"/>
    <w:rsid w:val="001D7423"/>
    <w:rsid w:val="001D7434"/>
    <w:rsid w:val="001D745B"/>
    <w:rsid w:val="001D74BB"/>
    <w:rsid w:val="001D74F9"/>
    <w:rsid w:val="001D7518"/>
    <w:rsid w:val="001D756B"/>
    <w:rsid w:val="001D764F"/>
    <w:rsid w:val="001D767F"/>
    <w:rsid w:val="001D7747"/>
    <w:rsid w:val="001D7759"/>
    <w:rsid w:val="001D781F"/>
    <w:rsid w:val="001D783C"/>
    <w:rsid w:val="001D7847"/>
    <w:rsid w:val="001D7857"/>
    <w:rsid w:val="001D787A"/>
    <w:rsid w:val="001D78CD"/>
    <w:rsid w:val="001D791A"/>
    <w:rsid w:val="001D7966"/>
    <w:rsid w:val="001D7978"/>
    <w:rsid w:val="001D798B"/>
    <w:rsid w:val="001D7A38"/>
    <w:rsid w:val="001D7A7F"/>
    <w:rsid w:val="001D7C48"/>
    <w:rsid w:val="001D7D02"/>
    <w:rsid w:val="001D7DA3"/>
    <w:rsid w:val="001D7DB9"/>
    <w:rsid w:val="001D7E0A"/>
    <w:rsid w:val="001D7E78"/>
    <w:rsid w:val="001D7E89"/>
    <w:rsid w:val="001D7E8E"/>
    <w:rsid w:val="001D7EA6"/>
    <w:rsid w:val="001D7F8B"/>
    <w:rsid w:val="001E005A"/>
    <w:rsid w:val="001E0062"/>
    <w:rsid w:val="001E006D"/>
    <w:rsid w:val="001E007A"/>
    <w:rsid w:val="001E00B2"/>
    <w:rsid w:val="001E00BA"/>
    <w:rsid w:val="001E00C6"/>
    <w:rsid w:val="001E0192"/>
    <w:rsid w:val="001E01A8"/>
    <w:rsid w:val="001E0291"/>
    <w:rsid w:val="001E02A3"/>
    <w:rsid w:val="001E0332"/>
    <w:rsid w:val="001E03DD"/>
    <w:rsid w:val="001E03DE"/>
    <w:rsid w:val="001E0411"/>
    <w:rsid w:val="001E045B"/>
    <w:rsid w:val="001E0482"/>
    <w:rsid w:val="001E04B3"/>
    <w:rsid w:val="001E04C1"/>
    <w:rsid w:val="001E04EB"/>
    <w:rsid w:val="001E0510"/>
    <w:rsid w:val="001E0561"/>
    <w:rsid w:val="001E05A3"/>
    <w:rsid w:val="001E05B2"/>
    <w:rsid w:val="001E060F"/>
    <w:rsid w:val="001E061D"/>
    <w:rsid w:val="001E06B6"/>
    <w:rsid w:val="001E0790"/>
    <w:rsid w:val="001E0794"/>
    <w:rsid w:val="001E07DC"/>
    <w:rsid w:val="001E0835"/>
    <w:rsid w:val="001E0843"/>
    <w:rsid w:val="001E0856"/>
    <w:rsid w:val="001E08AD"/>
    <w:rsid w:val="001E08FE"/>
    <w:rsid w:val="001E090F"/>
    <w:rsid w:val="001E0A34"/>
    <w:rsid w:val="001E0A41"/>
    <w:rsid w:val="001E0A44"/>
    <w:rsid w:val="001E0AA9"/>
    <w:rsid w:val="001E0ABB"/>
    <w:rsid w:val="001E0AC0"/>
    <w:rsid w:val="001E0B72"/>
    <w:rsid w:val="001E0B8D"/>
    <w:rsid w:val="001E0BD1"/>
    <w:rsid w:val="001E0BE6"/>
    <w:rsid w:val="001E0BF6"/>
    <w:rsid w:val="001E0BFD"/>
    <w:rsid w:val="001E0C01"/>
    <w:rsid w:val="001E0C19"/>
    <w:rsid w:val="001E0CAE"/>
    <w:rsid w:val="001E0CC6"/>
    <w:rsid w:val="001E0CEB"/>
    <w:rsid w:val="001E0D10"/>
    <w:rsid w:val="001E0D7E"/>
    <w:rsid w:val="001E0DBE"/>
    <w:rsid w:val="001E0DE5"/>
    <w:rsid w:val="001E0E2D"/>
    <w:rsid w:val="001E0E43"/>
    <w:rsid w:val="001E0E78"/>
    <w:rsid w:val="001E0E7C"/>
    <w:rsid w:val="001E0EEC"/>
    <w:rsid w:val="001E0F44"/>
    <w:rsid w:val="001E0F49"/>
    <w:rsid w:val="001E0F4B"/>
    <w:rsid w:val="001E0F91"/>
    <w:rsid w:val="001E0FA9"/>
    <w:rsid w:val="001E100A"/>
    <w:rsid w:val="001E1026"/>
    <w:rsid w:val="001E10C0"/>
    <w:rsid w:val="001E10EF"/>
    <w:rsid w:val="001E11AA"/>
    <w:rsid w:val="001E129B"/>
    <w:rsid w:val="001E12B0"/>
    <w:rsid w:val="001E1322"/>
    <w:rsid w:val="001E13CC"/>
    <w:rsid w:val="001E13D4"/>
    <w:rsid w:val="001E13D6"/>
    <w:rsid w:val="001E13F2"/>
    <w:rsid w:val="001E13F7"/>
    <w:rsid w:val="001E1438"/>
    <w:rsid w:val="001E1445"/>
    <w:rsid w:val="001E1473"/>
    <w:rsid w:val="001E14CA"/>
    <w:rsid w:val="001E151D"/>
    <w:rsid w:val="001E1597"/>
    <w:rsid w:val="001E15AD"/>
    <w:rsid w:val="001E15AF"/>
    <w:rsid w:val="001E15E8"/>
    <w:rsid w:val="001E1621"/>
    <w:rsid w:val="001E165C"/>
    <w:rsid w:val="001E16F3"/>
    <w:rsid w:val="001E1742"/>
    <w:rsid w:val="001E179E"/>
    <w:rsid w:val="001E1817"/>
    <w:rsid w:val="001E1849"/>
    <w:rsid w:val="001E185A"/>
    <w:rsid w:val="001E1878"/>
    <w:rsid w:val="001E18BD"/>
    <w:rsid w:val="001E1925"/>
    <w:rsid w:val="001E1982"/>
    <w:rsid w:val="001E199F"/>
    <w:rsid w:val="001E19C2"/>
    <w:rsid w:val="001E19D8"/>
    <w:rsid w:val="001E19E8"/>
    <w:rsid w:val="001E1A0D"/>
    <w:rsid w:val="001E1A2D"/>
    <w:rsid w:val="001E1A48"/>
    <w:rsid w:val="001E1A5B"/>
    <w:rsid w:val="001E1A7E"/>
    <w:rsid w:val="001E1A9C"/>
    <w:rsid w:val="001E1AB5"/>
    <w:rsid w:val="001E1AB9"/>
    <w:rsid w:val="001E1AF2"/>
    <w:rsid w:val="001E1B19"/>
    <w:rsid w:val="001E1B56"/>
    <w:rsid w:val="001E1BB7"/>
    <w:rsid w:val="001E1BD0"/>
    <w:rsid w:val="001E1BFD"/>
    <w:rsid w:val="001E1C65"/>
    <w:rsid w:val="001E1C6A"/>
    <w:rsid w:val="001E1D4D"/>
    <w:rsid w:val="001E1E3E"/>
    <w:rsid w:val="001E1E71"/>
    <w:rsid w:val="001E1EB9"/>
    <w:rsid w:val="001E1EC7"/>
    <w:rsid w:val="001E1F16"/>
    <w:rsid w:val="001E1F85"/>
    <w:rsid w:val="001E1FEC"/>
    <w:rsid w:val="001E1FF2"/>
    <w:rsid w:val="001E2042"/>
    <w:rsid w:val="001E2055"/>
    <w:rsid w:val="001E20A5"/>
    <w:rsid w:val="001E2129"/>
    <w:rsid w:val="001E212D"/>
    <w:rsid w:val="001E2142"/>
    <w:rsid w:val="001E21C5"/>
    <w:rsid w:val="001E21DD"/>
    <w:rsid w:val="001E2203"/>
    <w:rsid w:val="001E223E"/>
    <w:rsid w:val="001E22D3"/>
    <w:rsid w:val="001E2320"/>
    <w:rsid w:val="001E2352"/>
    <w:rsid w:val="001E2381"/>
    <w:rsid w:val="001E23CB"/>
    <w:rsid w:val="001E23EA"/>
    <w:rsid w:val="001E2425"/>
    <w:rsid w:val="001E2462"/>
    <w:rsid w:val="001E2515"/>
    <w:rsid w:val="001E259B"/>
    <w:rsid w:val="001E25ED"/>
    <w:rsid w:val="001E2614"/>
    <w:rsid w:val="001E2679"/>
    <w:rsid w:val="001E26A4"/>
    <w:rsid w:val="001E26FB"/>
    <w:rsid w:val="001E2719"/>
    <w:rsid w:val="001E272B"/>
    <w:rsid w:val="001E27E0"/>
    <w:rsid w:val="001E27E4"/>
    <w:rsid w:val="001E27E9"/>
    <w:rsid w:val="001E27F9"/>
    <w:rsid w:val="001E27FD"/>
    <w:rsid w:val="001E281D"/>
    <w:rsid w:val="001E287D"/>
    <w:rsid w:val="001E290F"/>
    <w:rsid w:val="001E2932"/>
    <w:rsid w:val="001E2998"/>
    <w:rsid w:val="001E2A06"/>
    <w:rsid w:val="001E2A3D"/>
    <w:rsid w:val="001E2A47"/>
    <w:rsid w:val="001E2A78"/>
    <w:rsid w:val="001E2A82"/>
    <w:rsid w:val="001E2AC8"/>
    <w:rsid w:val="001E2AD4"/>
    <w:rsid w:val="001E2B68"/>
    <w:rsid w:val="001E2C09"/>
    <w:rsid w:val="001E2C0C"/>
    <w:rsid w:val="001E2C34"/>
    <w:rsid w:val="001E2C4A"/>
    <w:rsid w:val="001E2D1F"/>
    <w:rsid w:val="001E2D79"/>
    <w:rsid w:val="001E2D82"/>
    <w:rsid w:val="001E2E38"/>
    <w:rsid w:val="001E2E43"/>
    <w:rsid w:val="001E2E76"/>
    <w:rsid w:val="001E2EFA"/>
    <w:rsid w:val="001E2F94"/>
    <w:rsid w:val="001E3057"/>
    <w:rsid w:val="001E30F4"/>
    <w:rsid w:val="001E315A"/>
    <w:rsid w:val="001E3283"/>
    <w:rsid w:val="001E3302"/>
    <w:rsid w:val="001E3316"/>
    <w:rsid w:val="001E3354"/>
    <w:rsid w:val="001E3360"/>
    <w:rsid w:val="001E33BB"/>
    <w:rsid w:val="001E33C1"/>
    <w:rsid w:val="001E33E0"/>
    <w:rsid w:val="001E33FF"/>
    <w:rsid w:val="001E341A"/>
    <w:rsid w:val="001E345C"/>
    <w:rsid w:val="001E3462"/>
    <w:rsid w:val="001E3477"/>
    <w:rsid w:val="001E34A0"/>
    <w:rsid w:val="001E34C2"/>
    <w:rsid w:val="001E34C8"/>
    <w:rsid w:val="001E3500"/>
    <w:rsid w:val="001E3533"/>
    <w:rsid w:val="001E355B"/>
    <w:rsid w:val="001E355D"/>
    <w:rsid w:val="001E3565"/>
    <w:rsid w:val="001E3573"/>
    <w:rsid w:val="001E3596"/>
    <w:rsid w:val="001E359E"/>
    <w:rsid w:val="001E35EE"/>
    <w:rsid w:val="001E361A"/>
    <w:rsid w:val="001E361C"/>
    <w:rsid w:val="001E3630"/>
    <w:rsid w:val="001E369A"/>
    <w:rsid w:val="001E36C3"/>
    <w:rsid w:val="001E36FE"/>
    <w:rsid w:val="001E3773"/>
    <w:rsid w:val="001E37A4"/>
    <w:rsid w:val="001E37C7"/>
    <w:rsid w:val="001E37CF"/>
    <w:rsid w:val="001E37F6"/>
    <w:rsid w:val="001E388B"/>
    <w:rsid w:val="001E389E"/>
    <w:rsid w:val="001E38BB"/>
    <w:rsid w:val="001E3925"/>
    <w:rsid w:val="001E39C7"/>
    <w:rsid w:val="001E3A02"/>
    <w:rsid w:val="001E3A54"/>
    <w:rsid w:val="001E3A9E"/>
    <w:rsid w:val="001E3B55"/>
    <w:rsid w:val="001E3C06"/>
    <w:rsid w:val="001E3C21"/>
    <w:rsid w:val="001E3C53"/>
    <w:rsid w:val="001E3C78"/>
    <w:rsid w:val="001E3CA1"/>
    <w:rsid w:val="001E3D0E"/>
    <w:rsid w:val="001E3D64"/>
    <w:rsid w:val="001E3DAC"/>
    <w:rsid w:val="001E3E04"/>
    <w:rsid w:val="001E3E07"/>
    <w:rsid w:val="001E3E89"/>
    <w:rsid w:val="001E3E9B"/>
    <w:rsid w:val="001E3F0C"/>
    <w:rsid w:val="001E3F57"/>
    <w:rsid w:val="001E3F6E"/>
    <w:rsid w:val="001E4125"/>
    <w:rsid w:val="001E4152"/>
    <w:rsid w:val="001E4242"/>
    <w:rsid w:val="001E434D"/>
    <w:rsid w:val="001E439C"/>
    <w:rsid w:val="001E43AA"/>
    <w:rsid w:val="001E43AF"/>
    <w:rsid w:val="001E441D"/>
    <w:rsid w:val="001E449B"/>
    <w:rsid w:val="001E44D2"/>
    <w:rsid w:val="001E44E4"/>
    <w:rsid w:val="001E4511"/>
    <w:rsid w:val="001E455B"/>
    <w:rsid w:val="001E456F"/>
    <w:rsid w:val="001E45A7"/>
    <w:rsid w:val="001E4678"/>
    <w:rsid w:val="001E4681"/>
    <w:rsid w:val="001E470C"/>
    <w:rsid w:val="001E4750"/>
    <w:rsid w:val="001E4754"/>
    <w:rsid w:val="001E4883"/>
    <w:rsid w:val="001E48C8"/>
    <w:rsid w:val="001E491E"/>
    <w:rsid w:val="001E4A48"/>
    <w:rsid w:val="001E4A98"/>
    <w:rsid w:val="001E4BBC"/>
    <w:rsid w:val="001E4C0B"/>
    <w:rsid w:val="001E4C42"/>
    <w:rsid w:val="001E4CCF"/>
    <w:rsid w:val="001E4CF8"/>
    <w:rsid w:val="001E4D22"/>
    <w:rsid w:val="001E4D9E"/>
    <w:rsid w:val="001E4DCD"/>
    <w:rsid w:val="001E4DFB"/>
    <w:rsid w:val="001E4E65"/>
    <w:rsid w:val="001E4E98"/>
    <w:rsid w:val="001E4F09"/>
    <w:rsid w:val="001E4FB7"/>
    <w:rsid w:val="001E503A"/>
    <w:rsid w:val="001E50E7"/>
    <w:rsid w:val="001E5107"/>
    <w:rsid w:val="001E517A"/>
    <w:rsid w:val="001E51CA"/>
    <w:rsid w:val="001E51E9"/>
    <w:rsid w:val="001E52A7"/>
    <w:rsid w:val="001E52B3"/>
    <w:rsid w:val="001E5311"/>
    <w:rsid w:val="001E533E"/>
    <w:rsid w:val="001E53FE"/>
    <w:rsid w:val="001E5421"/>
    <w:rsid w:val="001E543C"/>
    <w:rsid w:val="001E5444"/>
    <w:rsid w:val="001E549C"/>
    <w:rsid w:val="001E56B2"/>
    <w:rsid w:val="001E56F7"/>
    <w:rsid w:val="001E5704"/>
    <w:rsid w:val="001E571C"/>
    <w:rsid w:val="001E5752"/>
    <w:rsid w:val="001E5799"/>
    <w:rsid w:val="001E57FA"/>
    <w:rsid w:val="001E5855"/>
    <w:rsid w:val="001E58C4"/>
    <w:rsid w:val="001E590F"/>
    <w:rsid w:val="001E591F"/>
    <w:rsid w:val="001E5920"/>
    <w:rsid w:val="001E598E"/>
    <w:rsid w:val="001E599B"/>
    <w:rsid w:val="001E5A09"/>
    <w:rsid w:val="001E5A47"/>
    <w:rsid w:val="001E5A75"/>
    <w:rsid w:val="001E5AE5"/>
    <w:rsid w:val="001E5B5B"/>
    <w:rsid w:val="001E5B80"/>
    <w:rsid w:val="001E5BC2"/>
    <w:rsid w:val="001E5C69"/>
    <w:rsid w:val="001E5C78"/>
    <w:rsid w:val="001E5D32"/>
    <w:rsid w:val="001E5D9B"/>
    <w:rsid w:val="001E5D9D"/>
    <w:rsid w:val="001E5DEC"/>
    <w:rsid w:val="001E5E3A"/>
    <w:rsid w:val="001E5F21"/>
    <w:rsid w:val="001E5F9A"/>
    <w:rsid w:val="001E5FC7"/>
    <w:rsid w:val="001E600C"/>
    <w:rsid w:val="001E607D"/>
    <w:rsid w:val="001E60DA"/>
    <w:rsid w:val="001E60FB"/>
    <w:rsid w:val="001E61C5"/>
    <w:rsid w:val="001E621B"/>
    <w:rsid w:val="001E625E"/>
    <w:rsid w:val="001E6389"/>
    <w:rsid w:val="001E63C3"/>
    <w:rsid w:val="001E6420"/>
    <w:rsid w:val="001E6433"/>
    <w:rsid w:val="001E64B0"/>
    <w:rsid w:val="001E657D"/>
    <w:rsid w:val="001E6583"/>
    <w:rsid w:val="001E6599"/>
    <w:rsid w:val="001E65CE"/>
    <w:rsid w:val="001E66C5"/>
    <w:rsid w:val="001E66E7"/>
    <w:rsid w:val="001E6744"/>
    <w:rsid w:val="001E675B"/>
    <w:rsid w:val="001E6773"/>
    <w:rsid w:val="001E67E5"/>
    <w:rsid w:val="001E6812"/>
    <w:rsid w:val="001E681B"/>
    <w:rsid w:val="001E6888"/>
    <w:rsid w:val="001E68D8"/>
    <w:rsid w:val="001E6950"/>
    <w:rsid w:val="001E697D"/>
    <w:rsid w:val="001E6981"/>
    <w:rsid w:val="001E6999"/>
    <w:rsid w:val="001E69BA"/>
    <w:rsid w:val="001E6A58"/>
    <w:rsid w:val="001E6B03"/>
    <w:rsid w:val="001E6B1B"/>
    <w:rsid w:val="001E6B5B"/>
    <w:rsid w:val="001E6B99"/>
    <w:rsid w:val="001E6BD7"/>
    <w:rsid w:val="001E6BE7"/>
    <w:rsid w:val="001E6C5F"/>
    <w:rsid w:val="001E6CB8"/>
    <w:rsid w:val="001E6D08"/>
    <w:rsid w:val="001E6D16"/>
    <w:rsid w:val="001E6EAE"/>
    <w:rsid w:val="001E6F30"/>
    <w:rsid w:val="001E6F31"/>
    <w:rsid w:val="001E6F58"/>
    <w:rsid w:val="001E6F7B"/>
    <w:rsid w:val="001E6F89"/>
    <w:rsid w:val="001E6FC3"/>
    <w:rsid w:val="001E6FFC"/>
    <w:rsid w:val="001E70AC"/>
    <w:rsid w:val="001E7170"/>
    <w:rsid w:val="001E71AA"/>
    <w:rsid w:val="001E71C8"/>
    <w:rsid w:val="001E71F8"/>
    <w:rsid w:val="001E7224"/>
    <w:rsid w:val="001E7264"/>
    <w:rsid w:val="001E7277"/>
    <w:rsid w:val="001E7283"/>
    <w:rsid w:val="001E731B"/>
    <w:rsid w:val="001E7335"/>
    <w:rsid w:val="001E73C5"/>
    <w:rsid w:val="001E7408"/>
    <w:rsid w:val="001E74EB"/>
    <w:rsid w:val="001E75EE"/>
    <w:rsid w:val="001E7608"/>
    <w:rsid w:val="001E7614"/>
    <w:rsid w:val="001E7648"/>
    <w:rsid w:val="001E7653"/>
    <w:rsid w:val="001E76BB"/>
    <w:rsid w:val="001E7700"/>
    <w:rsid w:val="001E775C"/>
    <w:rsid w:val="001E7861"/>
    <w:rsid w:val="001E7898"/>
    <w:rsid w:val="001E789A"/>
    <w:rsid w:val="001E7999"/>
    <w:rsid w:val="001E79B3"/>
    <w:rsid w:val="001E7AE4"/>
    <w:rsid w:val="001E7AE5"/>
    <w:rsid w:val="001E7AEE"/>
    <w:rsid w:val="001E7B0F"/>
    <w:rsid w:val="001E7B15"/>
    <w:rsid w:val="001E7B68"/>
    <w:rsid w:val="001E7B88"/>
    <w:rsid w:val="001E7CA3"/>
    <w:rsid w:val="001E7CCB"/>
    <w:rsid w:val="001E7DE5"/>
    <w:rsid w:val="001E7E4B"/>
    <w:rsid w:val="001E7F4D"/>
    <w:rsid w:val="001E7FD2"/>
    <w:rsid w:val="001E7FDF"/>
    <w:rsid w:val="001E7FE6"/>
    <w:rsid w:val="001E7FEC"/>
    <w:rsid w:val="001F00AB"/>
    <w:rsid w:val="001F00BC"/>
    <w:rsid w:val="001F011C"/>
    <w:rsid w:val="001F0134"/>
    <w:rsid w:val="001F0176"/>
    <w:rsid w:val="001F01C3"/>
    <w:rsid w:val="001F01F4"/>
    <w:rsid w:val="001F0278"/>
    <w:rsid w:val="001F0290"/>
    <w:rsid w:val="001F02CF"/>
    <w:rsid w:val="001F0327"/>
    <w:rsid w:val="001F04BA"/>
    <w:rsid w:val="001F04CB"/>
    <w:rsid w:val="001F04D1"/>
    <w:rsid w:val="001F04DB"/>
    <w:rsid w:val="001F04E3"/>
    <w:rsid w:val="001F0591"/>
    <w:rsid w:val="001F05D7"/>
    <w:rsid w:val="001F06B3"/>
    <w:rsid w:val="001F0727"/>
    <w:rsid w:val="001F0750"/>
    <w:rsid w:val="001F0794"/>
    <w:rsid w:val="001F07BC"/>
    <w:rsid w:val="001F0880"/>
    <w:rsid w:val="001F08B2"/>
    <w:rsid w:val="001F08BF"/>
    <w:rsid w:val="001F091E"/>
    <w:rsid w:val="001F0941"/>
    <w:rsid w:val="001F0959"/>
    <w:rsid w:val="001F0960"/>
    <w:rsid w:val="001F096E"/>
    <w:rsid w:val="001F09BA"/>
    <w:rsid w:val="001F09FA"/>
    <w:rsid w:val="001F0A39"/>
    <w:rsid w:val="001F0B5D"/>
    <w:rsid w:val="001F0B5F"/>
    <w:rsid w:val="001F0B6B"/>
    <w:rsid w:val="001F0B75"/>
    <w:rsid w:val="001F0BCF"/>
    <w:rsid w:val="001F0C00"/>
    <w:rsid w:val="001F0D12"/>
    <w:rsid w:val="001F0D83"/>
    <w:rsid w:val="001F0DA7"/>
    <w:rsid w:val="001F0DD2"/>
    <w:rsid w:val="001F0E4D"/>
    <w:rsid w:val="001F0E68"/>
    <w:rsid w:val="001F0EB5"/>
    <w:rsid w:val="001F0ED2"/>
    <w:rsid w:val="001F0F5B"/>
    <w:rsid w:val="001F0F89"/>
    <w:rsid w:val="001F0F8B"/>
    <w:rsid w:val="001F0FF7"/>
    <w:rsid w:val="001F1002"/>
    <w:rsid w:val="001F1011"/>
    <w:rsid w:val="001F106D"/>
    <w:rsid w:val="001F10AE"/>
    <w:rsid w:val="001F10C9"/>
    <w:rsid w:val="001F10F2"/>
    <w:rsid w:val="001F1103"/>
    <w:rsid w:val="001F1175"/>
    <w:rsid w:val="001F1212"/>
    <w:rsid w:val="001F1257"/>
    <w:rsid w:val="001F129A"/>
    <w:rsid w:val="001F12A4"/>
    <w:rsid w:val="001F1335"/>
    <w:rsid w:val="001F13D3"/>
    <w:rsid w:val="001F1410"/>
    <w:rsid w:val="001F148F"/>
    <w:rsid w:val="001F1502"/>
    <w:rsid w:val="001F1538"/>
    <w:rsid w:val="001F159E"/>
    <w:rsid w:val="001F15B3"/>
    <w:rsid w:val="001F15F2"/>
    <w:rsid w:val="001F1650"/>
    <w:rsid w:val="001F16A9"/>
    <w:rsid w:val="001F1747"/>
    <w:rsid w:val="001F1762"/>
    <w:rsid w:val="001F1778"/>
    <w:rsid w:val="001F17FE"/>
    <w:rsid w:val="001F190A"/>
    <w:rsid w:val="001F191D"/>
    <w:rsid w:val="001F1921"/>
    <w:rsid w:val="001F1A71"/>
    <w:rsid w:val="001F1AB6"/>
    <w:rsid w:val="001F1AFE"/>
    <w:rsid w:val="001F1BE0"/>
    <w:rsid w:val="001F1BEA"/>
    <w:rsid w:val="001F1C6D"/>
    <w:rsid w:val="001F1C6F"/>
    <w:rsid w:val="001F1C85"/>
    <w:rsid w:val="001F1CC2"/>
    <w:rsid w:val="001F1E24"/>
    <w:rsid w:val="001F1F9D"/>
    <w:rsid w:val="001F200E"/>
    <w:rsid w:val="001F2061"/>
    <w:rsid w:val="001F209E"/>
    <w:rsid w:val="001F20CA"/>
    <w:rsid w:val="001F21D2"/>
    <w:rsid w:val="001F222F"/>
    <w:rsid w:val="001F2359"/>
    <w:rsid w:val="001F23BB"/>
    <w:rsid w:val="001F242D"/>
    <w:rsid w:val="001F248F"/>
    <w:rsid w:val="001F2546"/>
    <w:rsid w:val="001F2565"/>
    <w:rsid w:val="001F2599"/>
    <w:rsid w:val="001F25DF"/>
    <w:rsid w:val="001F25F6"/>
    <w:rsid w:val="001F2600"/>
    <w:rsid w:val="001F264D"/>
    <w:rsid w:val="001F2689"/>
    <w:rsid w:val="001F2690"/>
    <w:rsid w:val="001F269B"/>
    <w:rsid w:val="001F2721"/>
    <w:rsid w:val="001F2759"/>
    <w:rsid w:val="001F288C"/>
    <w:rsid w:val="001F294E"/>
    <w:rsid w:val="001F2B01"/>
    <w:rsid w:val="001F2B7D"/>
    <w:rsid w:val="001F2B84"/>
    <w:rsid w:val="001F2BC0"/>
    <w:rsid w:val="001F2C1D"/>
    <w:rsid w:val="001F2C2E"/>
    <w:rsid w:val="001F2C64"/>
    <w:rsid w:val="001F2C94"/>
    <w:rsid w:val="001F2D49"/>
    <w:rsid w:val="001F2D6B"/>
    <w:rsid w:val="001F2D6E"/>
    <w:rsid w:val="001F2D8B"/>
    <w:rsid w:val="001F2DC1"/>
    <w:rsid w:val="001F2E18"/>
    <w:rsid w:val="001F2ECA"/>
    <w:rsid w:val="001F2ED8"/>
    <w:rsid w:val="001F2F56"/>
    <w:rsid w:val="001F2F80"/>
    <w:rsid w:val="001F2FA0"/>
    <w:rsid w:val="001F2FD3"/>
    <w:rsid w:val="001F3030"/>
    <w:rsid w:val="001F3049"/>
    <w:rsid w:val="001F304C"/>
    <w:rsid w:val="001F3058"/>
    <w:rsid w:val="001F3083"/>
    <w:rsid w:val="001F3097"/>
    <w:rsid w:val="001F309B"/>
    <w:rsid w:val="001F30A0"/>
    <w:rsid w:val="001F30BF"/>
    <w:rsid w:val="001F31C8"/>
    <w:rsid w:val="001F329E"/>
    <w:rsid w:val="001F32B0"/>
    <w:rsid w:val="001F32C6"/>
    <w:rsid w:val="001F32D1"/>
    <w:rsid w:val="001F3306"/>
    <w:rsid w:val="001F3424"/>
    <w:rsid w:val="001F3426"/>
    <w:rsid w:val="001F3450"/>
    <w:rsid w:val="001F347D"/>
    <w:rsid w:val="001F35B5"/>
    <w:rsid w:val="001F35F7"/>
    <w:rsid w:val="001F35FE"/>
    <w:rsid w:val="001F36E7"/>
    <w:rsid w:val="001F370B"/>
    <w:rsid w:val="001F37B6"/>
    <w:rsid w:val="001F3813"/>
    <w:rsid w:val="001F382B"/>
    <w:rsid w:val="001F3979"/>
    <w:rsid w:val="001F39FD"/>
    <w:rsid w:val="001F3A43"/>
    <w:rsid w:val="001F3B0A"/>
    <w:rsid w:val="001F3B3F"/>
    <w:rsid w:val="001F3B70"/>
    <w:rsid w:val="001F3BAF"/>
    <w:rsid w:val="001F3C03"/>
    <w:rsid w:val="001F3CDF"/>
    <w:rsid w:val="001F3D00"/>
    <w:rsid w:val="001F3D12"/>
    <w:rsid w:val="001F3D42"/>
    <w:rsid w:val="001F3D53"/>
    <w:rsid w:val="001F3D7E"/>
    <w:rsid w:val="001F3E4B"/>
    <w:rsid w:val="001F3EA9"/>
    <w:rsid w:val="001F3F12"/>
    <w:rsid w:val="001F3FAE"/>
    <w:rsid w:val="001F3FE6"/>
    <w:rsid w:val="001F401F"/>
    <w:rsid w:val="001F402B"/>
    <w:rsid w:val="001F40D4"/>
    <w:rsid w:val="001F40E7"/>
    <w:rsid w:val="001F412B"/>
    <w:rsid w:val="001F4179"/>
    <w:rsid w:val="001F418A"/>
    <w:rsid w:val="001F423E"/>
    <w:rsid w:val="001F427B"/>
    <w:rsid w:val="001F42BF"/>
    <w:rsid w:val="001F42D5"/>
    <w:rsid w:val="001F4304"/>
    <w:rsid w:val="001F431D"/>
    <w:rsid w:val="001F43C9"/>
    <w:rsid w:val="001F4495"/>
    <w:rsid w:val="001F449E"/>
    <w:rsid w:val="001F4530"/>
    <w:rsid w:val="001F453C"/>
    <w:rsid w:val="001F458E"/>
    <w:rsid w:val="001F45BB"/>
    <w:rsid w:val="001F45C3"/>
    <w:rsid w:val="001F4600"/>
    <w:rsid w:val="001F460B"/>
    <w:rsid w:val="001F46A4"/>
    <w:rsid w:val="001F472A"/>
    <w:rsid w:val="001F4733"/>
    <w:rsid w:val="001F4835"/>
    <w:rsid w:val="001F4846"/>
    <w:rsid w:val="001F4872"/>
    <w:rsid w:val="001F49DE"/>
    <w:rsid w:val="001F4A2E"/>
    <w:rsid w:val="001F4A58"/>
    <w:rsid w:val="001F4A62"/>
    <w:rsid w:val="001F4A69"/>
    <w:rsid w:val="001F4B2B"/>
    <w:rsid w:val="001F4B39"/>
    <w:rsid w:val="001F4B3A"/>
    <w:rsid w:val="001F4BBF"/>
    <w:rsid w:val="001F4BEA"/>
    <w:rsid w:val="001F4C3E"/>
    <w:rsid w:val="001F4C54"/>
    <w:rsid w:val="001F4D9A"/>
    <w:rsid w:val="001F4E60"/>
    <w:rsid w:val="001F4FEB"/>
    <w:rsid w:val="001F50F8"/>
    <w:rsid w:val="001F516B"/>
    <w:rsid w:val="001F51E7"/>
    <w:rsid w:val="001F520F"/>
    <w:rsid w:val="001F5293"/>
    <w:rsid w:val="001F52D0"/>
    <w:rsid w:val="001F5302"/>
    <w:rsid w:val="001F5308"/>
    <w:rsid w:val="001F5349"/>
    <w:rsid w:val="001F5399"/>
    <w:rsid w:val="001F5413"/>
    <w:rsid w:val="001F5445"/>
    <w:rsid w:val="001F545C"/>
    <w:rsid w:val="001F547C"/>
    <w:rsid w:val="001F54B7"/>
    <w:rsid w:val="001F5548"/>
    <w:rsid w:val="001F5551"/>
    <w:rsid w:val="001F5578"/>
    <w:rsid w:val="001F559E"/>
    <w:rsid w:val="001F562E"/>
    <w:rsid w:val="001F565B"/>
    <w:rsid w:val="001F56D0"/>
    <w:rsid w:val="001F5707"/>
    <w:rsid w:val="001F5723"/>
    <w:rsid w:val="001F5757"/>
    <w:rsid w:val="001F57D3"/>
    <w:rsid w:val="001F580B"/>
    <w:rsid w:val="001F581E"/>
    <w:rsid w:val="001F587C"/>
    <w:rsid w:val="001F5920"/>
    <w:rsid w:val="001F595E"/>
    <w:rsid w:val="001F5977"/>
    <w:rsid w:val="001F5998"/>
    <w:rsid w:val="001F59B5"/>
    <w:rsid w:val="001F59B9"/>
    <w:rsid w:val="001F59EF"/>
    <w:rsid w:val="001F5A53"/>
    <w:rsid w:val="001F5A55"/>
    <w:rsid w:val="001F5AA9"/>
    <w:rsid w:val="001F5AD7"/>
    <w:rsid w:val="001F5B24"/>
    <w:rsid w:val="001F5BC1"/>
    <w:rsid w:val="001F5CB5"/>
    <w:rsid w:val="001F5CEF"/>
    <w:rsid w:val="001F5D70"/>
    <w:rsid w:val="001F5DF9"/>
    <w:rsid w:val="001F5E9E"/>
    <w:rsid w:val="001F5EC0"/>
    <w:rsid w:val="001F5F5A"/>
    <w:rsid w:val="001F5FA0"/>
    <w:rsid w:val="001F6133"/>
    <w:rsid w:val="001F61BF"/>
    <w:rsid w:val="001F625A"/>
    <w:rsid w:val="001F62FA"/>
    <w:rsid w:val="001F63BE"/>
    <w:rsid w:val="001F63D6"/>
    <w:rsid w:val="001F6401"/>
    <w:rsid w:val="001F640F"/>
    <w:rsid w:val="001F6443"/>
    <w:rsid w:val="001F64CE"/>
    <w:rsid w:val="001F657F"/>
    <w:rsid w:val="001F65F5"/>
    <w:rsid w:val="001F6603"/>
    <w:rsid w:val="001F6630"/>
    <w:rsid w:val="001F66EA"/>
    <w:rsid w:val="001F66ED"/>
    <w:rsid w:val="001F6774"/>
    <w:rsid w:val="001F678D"/>
    <w:rsid w:val="001F6832"/>
    <w:rsid w:val="001F688D"/>
    <w:rsid w:val="001F68B2"/>
    <w:rsid w:val="001F692C"/>
    <w:rsid w:val="001F692F"/>
    <w:rsid w:val="001F6949"/>
    <w:rsid w:val="001F69C4"/>
    <w:rsid w:val="001F6A95"/>
    <w:rsid w:val="001F6AA0"/>
    <w:rsid w:val="001F6AC3"/>
    <w:rsid w:val="001F6B77"/>
    <w:rsid w:val="001F6BA9"/>
    <w:rsid w:val="001F6BF0"/>
    <w:rsid w:val="001F6CF9"/>
    <w:rsid w:val="001F6D79"/>
    <w:rsid w:val="001F6D86"/>
    <w:rsid w:val="001F6DDB"/>
    <w:rsid w:val="001F6E2A"/>
    <w:rsid w:val="001F6E9F"/>
    <w:rsid w:val="001F6EB4"/>
    <w:rsid w:val="001F6EB8"/>
    <w:rsid w:val="001F6ECE"/>
    <w:rsid w:val="001F6F60"/>
    <w:rsid w:val="001F7017"/>
    <w:rsid w:val="001F707A"/>
    <w:rsid w:val="001F70E8"/>
    <w:rsid w:val="001F711D"/>
    <w:rsid w:val="001F713A"/>
    <w:rsid w:val="001F719C"/>
    <w:rsid w:val="001F72A3"/>
    <w:rsid w:val="001F7398"/>
    <w:rsid w:val="001F7447"/>
    <w:rsid w:val="001F746A"/>
    <w:rsid w:val="001F74C1"/>
    <w:rsid w:val="001F7624"/>
    <w:rsid w:val="001F7689"/>
    <w:rsid w:val="001F775E"/>
    <w:rsid w:val="001F77B9"/>
    <w:rsid w:val="001F7850"/>
    <w:rsid w:val="001F7997"/>
    <w:rsid w:val="001F7A31"/>
    <w:rsid w:val="001F7A73"/>
    <w:rsid w:val="001F7B00"/>
    <w:rsid w:val="001F7B5F"/>
    <w:rsid w:val="001F7C03"/>
    <w:rsid w:val="001F7C1E"/>
    <w:rsid w:val="001F7C5B"/>
    <w:rsid w:val="001F7C91"/>
    <w:rsid w:val="001F7D54"/>
    <w:rsid w:val="001F7D68"/>
    <w:rsid w:val="001F7D71"/>
    <w:rsid w:val="001F7DED"/>
    <w:rsid w:val="001F7E5A"/>
    <w:rsid w:val="001F7EA3"/>
    <w:rsid w:val="001F7ED4"/>
    <w:rsid w:val="001F7F55"/>
    <w:rsid w:val="00200044"/>
    <w:rsid w:val="00200063"/>
    <w:rsid w:val="0020008F"/>
    <w:rsid w:val="002000D6"/>
    <w:rsid w:val="002000E2"/>
    <w:rsid w:val="0020018B"/>
    <w:rsid w:val="002001A5"/>
    <w:rsid w:val="002001E8"/>
    <w:rsid w:val="0020020F"/>
    <w:rsid w:val="0020031D"/>
    <w:rsid w:val="00200425"/>
    <w:rsid w:val="00200431"/>
    <w:rsid w:val="0020044D"/>
    <w:rsid w:val="002004D0"/>
    <w:rsid w:val="00200501"/>
    <w:rsid w:val="00200529"/>
    <w:rsid w:val="00200545"/>
    <w:rsid w:val="00200590"/>
    <w:rsid w:val="002005CF"/>
    <w:rsid w:val="00200645"/>
    <w:rsid w:val="0020065B"/>
    <w:rsid w:val="0020067C"/>
    <w:rsid w:val="00200682"/>
    <w:rsid w:val="00200690"/>
    <w:rsid w:val="0020069F"/>
    <w:rsid w:val="002006BD"/>
    <w:rsid w:val="002007C4"/>
    <w:rsid w:val="00200902"/>
    <w:rsid w:val="00200920"/>
    <w:rsid w:val="00200954"/>
    <w:rsid w:val="00200991"/>
    <w:rsid w:val="00200A54"/>
    <w:rsid w:val="00200AD6"/>
    <w:rsid w:val="00200B52"/>
    <w:rsid w:val="00200BEE"/>
    <w:rsid w:val="00200BFC"/>
    <w:rsid w:val="00200C15"/>
    <w:rsid w:val="00200CB8"/>
    <w:rsid w:val="00200D34"/>
    <w:rsid w:val="00200EE8"/>
    <w:rsid w:val="00200EEA"/>
    <w:rsid w:val="00200EF2"/>
    <w:rsid w:val="0020103F"/>
    <w:rsid w:val="00201073"/>
    <w:rsid w:val="0020109C"/>
    <w:rsid w:val="002010AF"/>
    <w:rsid w:val="00201199"/>
    <w:rsid w:val="002011C7"/>
    <w:rsid w:val="002011ED"/>
    <w:rsid w:val="00201203"/>
    <w:rsid w:val="0020121C"/>
    <w:rsid w:val="002012DA"/>
    <w:rsid w:val="002012F2"/>
    <w:rsid w:val="00201341"/>
    <w:rsid w:val="002013C1"/>
    <w:rsid w:val="002013EA"/>
    <w:rsid w:val="002013F7"/>
    <w:rsid w:val="00201429"/>
    <w:rsid w:val="00201449"/>
    <w:rsid w:val="00201490"/>
    <w:rsid w:val="002014B0"/>
    <w:rsid w:val="00201517"/>
    <w:rsid w:val="0020156D"/>
    <w:rsid w:val="002015B1"/>
    <w:rsid w:val="00201609"/>
    <w:rsid w:val="00201637"/>
    <w:rsid w:val="002016AF"/>
    <w:rsid w:val="00201710"/>
    <w:rsid w:val="00201776"/>
    <w:rsid w:val="002017AE"/>
    <w:rsid w:val="00201819"/>
    <w:rsid w:val="0020186D"/>
    <w:rsid w:val="0020192C"/>
    <w:rsid w:val="00201981"/>
    <w:rsid w:val="002019D5"/>
    <w:rsid w:val="002019FB"/>
    <w:rsid w:val="002019FD"/>
    <w:rsid w:val="002019FE"/>
    <w:rsid w:val="00201A6E"/>
    <w:rsid w:val="00201AE9"/>
    <w:rsid w:val="00201B1F"/>
    <w:rsid w:val="00201C26"/>
    <w:rsid w:val="00201C68"/>
    <w:rsid w:val="00201C69"/>
    <w:rsid w:val="00201CED"/>
    <w:rsid w:val="00201D3F"/>
    <w:rsid w:val="00201D7E"/>
    <w:rsid w:val="00201DA8"/>
    <w:rsid w:val="00201E1B"/>
    <w:rsid w:val="00201E8A"/>
    <w:rsid w:val="00201EA5"/>
    <w:rsid w:val="00201FC7"/>
    <w:rsid w:val="00201FDD"/>
    <w:rsid w:val="00202037"/>
    <w:rsid w:val="002020A0"/>
    <w:rsid w:val="002020A6"/>
    <w:rsid w:val="0020213F"/>
    <w:rsid w:val="002022EE"/>
    <w:rsid w:val="00202348"/>
    <w:rsid w:val="002024BD"/>
    <w:rsid w:val="002024DB"/>
    <w:rsid w:val="0020254C"/>
    <w:rsid w:val="00202583"/>
    <w:rsid w:val="002025A2"/>
    <w:rsid w:val="002025CF"/>
    <w:rsid w:val="00202637"/>
    <w:rsid w:val="002026E0"/>
    <w:rsid w:val="0020277B"/>
    <w:rsid w:val="00202800"/>
    <w:rsid w:val="00202814"/>
    <w:rsid w:val="00202823"/>
    <w:rsid w:val="0020283D"/>
    <w:rsid w:val="0020287B"/>
    <w:rsid w:val="00202953"/>
    <w:rsid w:val="002029D0"/>
    <w:rsid w:val="00202A0B"/>
    <w:rsid w:val="00202A1A"/>
    <w:rsid w:val="00202A21"/>
    <w:rsid w:val="00202A5E"/>
    <w:rsid w:val="00202A8D"/>
    <w:rsid w:val="00202AF5"/>
    <w:rsid w:val="00202B3E"/>
    <w:rsid w:val="00202B46"/>
    <w:rsid w:val="00202B99"/>
    <w:rsid w:val="00202BB7"/>
    <w:rsid w:val="00202BF9"/>
    <w:rsid w:val="00202CF7"/>
    <w:rsid w:val="00202D12"/>
    <w:rsid w:val="00202E4D"/>
    <w:rsid w:val="00202E76"/>
    <w:rsid w:val="00202F1B"/>
    <w:rsid w:val="00202F26"/>
    <w:rsid w:val="00202FAB"/>
    <w:rsid w:val="00202FDA"/>
    <w:rsid w:val="00202FE7"/>
    <w:rsid w:val="00203020"/>
    <w:rsid w:val="00203024"/>
    <w:rsid w:val="002030FD"/>
    <w:rsid w:val="0020314A"/>
    <w:rsid w:val="00203155"/>
    <w:rsid w:val="00203175"/>
    <w:rsid w:val="002031A6"/>
    <w:rsid w:val="002031E3"/>
    <w:rsid w:val="0020320D"/>
    <w:rsid w:val="002032AF"/>
    <w:rsid w:val="00203328"/>
    <w:rsid w:val="0020338C"/>
    <w:rsid w:val="002033A9"/>
    <w:rsid w:val="002033E1"/>
    <w:rsid w:val="0020342F"/>
    <w:rsid w:val="00203552"/>
    <w:rsid w:val="002035D4"/>
    <w:rsid w:val="00203604"/>
    <w:rsid w:val="0020363E"/>
    <w:rsid w:val="0020363F"/>
    <w:rsid w:val="002036D8"/>
    <w:rsid w:val="00203752"/>
    <w:rsid w:val="00203817"/>
    <w:rsid w:val="002038CB"/>
    <w:rsid w:val="0020396A"/>
    <w:rsid w:val="00203A51"/>
    <w:rsid w:val="00203A81"/>
    <w:rsid w:val="00203BE8"/>
    <w:rsid w:val="00203C0D"/>
    <w:rsid w:val="00203C24"/>
    <w:rsid w:val="00203C97"/>
    <w:rsid w:val="00203CD5"/>
    <w:rsid w:val="00203CF8"/>
    <w:rsid w:val="00203D17"/>
    <w:rsid w:val="00203D36"/>
    <w:rsid w:val="00203E2A"/>
    <w:rsid w:val="00203E6C"/>
    <w:rsid w:val="00203EAE"/>
    <w:rsid w:val="00203ECF"/>
    <w:rsid w:val="00203F53"/>
    <w:rsid w:val="00203FBC"/>
    <w:rsid w:val="00203FFA"/>
    <w:rsid w:val="00204048"/>
    <w:rsid w:val="002040F9"/>
    <w:rsid w:val="0020411B"/>
    <w:rsid w:val="00204152"/>
    <w:rsid w:val="0020431E"/>
    <w:rsid w:val="0020433D"/>
    <w:rsid w:val="0020435F"/>
    <w:rsid w:val="00204374"/>
    <w:rsid w:val="002043F0"/>
    <w:rsid w:val="00204459"/>
    <w:rsid w:val="00204461"/>
    <w:rsid w:val="00204494"/>
    <w:rsid w:val="002045A0"/>
    <w:rsid w:val="00204602"/>
    <w:rsid w:val="00204675"/>
    <w:rsid w:val="0020467C"/>
    <w:rsid w:val="002047FB"/>
    <w:rsid w:val="00204902"/>
    <w:rsid w:val="0020499F"/>
    <w:rsid w:val="002049E6"/>
    <w:rsid w:val="00204A90"/>
    <w:rsid w:val="00204B35"/>
    <w:rsid w:val="00204B43"/>
    <w:rsid w:val="00204B6F"/>
    <w:rsid w:val="00204C9B"/>
    <w:rsid w:val="00204DBD"/>
    <w:rsid w:val="00204DC0"/>
    <w:rsid w:val="00204DD7"/>
    <w:rsid w:val="00204E2D"/>
    <w:rsid w:val="00204EC9"/>
    <w:rsid w:val="00204F03"/>
    <w:rsid w:val="00204F4B"/>
    <w:rsid w:val="00204F7F"/>
    <w:rsid w:val="00204FC5"/>
    <w:rsid w:val="00204FEA"/>
    <w:rsid w:val="0020502C"/>
    <w:rsid w:val="0020504F"/>
    <w:rsid w:val="0020509C"/>
    <w:rsid w:val="002050A8"/>
    <w:rsid w:val="002050A9"/>
    <w:rsid w:val="002050D0"/>
    <w:rsid w:val="002051E4"/>
    <w:rsid w:val="00205240"/>
    <w:rsid w:val="0020525A"/>
    <w:rsid w:val="0020536D"/>
    <w:rsid w:val="0020544D"/>
    <w:rsid w:val="002054A0"/>
    <w:rsid w:val="002054AD"/>
    <w:rsid w:val="002054C3"/>
    <w:rsid w:val="002054FE"/>
    <w:rsid w:val="002055D2"/>
    <w:rsid w:val="00205648"/>
    <w:rsid w:val="0020567B"/>
    <w:rsid w:val="00205693"/>
    <w:rsid w:val="002056F3"/>
    <w:rsid w:val="0020570F"/>
    <w:rsid w:val="00205821"/>
    <w:rsid w:val="002058AB"/>
    <w:rsid w:val="00205904"/>
    <w:rsid w:val="00205993"/>
    <w:rsid w:val="00205AA1"/>
    <w:rsid w:val="00205B56"/>
    <w:rsid w:val="00205BAB"/>
    <w:rsid w:val="00205BAC"/>
    <w:rsid w:val="00205BD0"/>
    <w:rsid w:val="00205BF7"/>
    <w:rsid w:val="00205C29"/>
    <w:rsid w:val="00205C46"/>
    <w:rsid w:val="00205CAE"/>
    <w:rsid w:val="00205D34"/>
    <w:rsid w:val="00205D66"/>
    <w:rsid w:val="00205D98"/>
    <w:rsid w:val="00205DC0"/>
    <w:rsid w:val="00205DE1"/>
    <w:rsid w:val="00205E0B"/>
    <w:rsid w:val="00205E40"/>
    <w:rsid w:val="00205EC7"/>
    <w:rsid w:val="00205F87"/>
    <w:rsid w:val="00205FC5"/>
    <w:rsid w:val="00206063"/>
    <w:rsid w:val="00206094"/>
    <w:rsid w:val="0020609D"/>
    <w:rsid w:val="00206127"/>
    <w:rsid w:val="002061AE"/>
    <w:rsid w:val="002061C9"/>
    <w:rsid w:val="002061ED"/>
    <w:rsid w:val="0020622A"/>
    <w:rsid w:val="0020635E"/>
    <w:rsid w:val="00206361"/>
    <w:rsid w:val="0020651D"/>
    <w:rsid w:val="00206581"/>
    <w:rsid w:val="002065AE"/>
    <w:rsid w:val="0020660F"/>
    <w:rsid w:val="002066D8"/>
    <w:rsid w:val="00206713"/>
    <w:rsid w:val="00206720"/>
    <w:rsid w:val="00206725"/>
    <w:rsid w:val="00206796"/>
    <w:rsid w:val="0020679F"/>
    <w:rsid w:val="002067A9"/>
    <w:rsid w:val="002068D9"/>
    <w:rsid w:val="002068E8"/>
    <w:rsid w:val="002068EB"/>
    <w:rsid w:val="00206962"/>
    <w:rsid w:val="002069A8"/>
    <w:rsid w:val="00206AEA"/>
    <w:rsid w:val="00206BB5"/>
    <w:rsid w:val="00206BF3"/>
    <w:rsid w:val="00206C43"/>
    <w:rsid w:val="00206C8F"/>
    <w:rsid w:val="00206C97"/>
    <w:rsid w:val="00206CD5"/>
    <w:rsid w:val="00206D02"/>
    <w:rsid w:val="00206D1F"/>
    <w:rsid w:val="00206D33"/>
    <w:rsid w:val="00206D6B"/>
    <w:rsid w:val="00206D9A"/>
    <w:rsid w:val="00206D9D"/>
    <w:rsid w:val="00206DBC"/>
    <w:rsid w:val="00206DC3"/>
    <w:rsid w:val="00206E0E"/>
    <w:rsid w:val="00206EA6"/>
    <w:rsid w:val="00206F00"/>
    <w:rsid w:val="00206F23"/>
    <w:rsid w:val="00206F6C"/>
    <w:rsid w:val="00206FC4"/>
    <w:rsid w:val="00206FD6"/>
    <w:rsid w:val="00206FDF"/>
    <w:rsid w:val="00207002"/>
    <w:rsid w:val="0020703F"/>
    <w:rsid w:val="00207075"/>
    <w:rsid w:val="002070F9"/>
    <w:rsid w:val="002071EA"/>
    <w:rsid w:val="002071F0"/>
    <w:rsid w:val="00207234"/>
    <w:rsid w:val="00207345"/>
    <w:rsid w:val="00207482"/>
    <w:rsid w:val="002074D6"/>
    <w:rsid w:val="002074EC"/>
    <w:rsid w:val="002074FA"/>
    <w:rsid w:val="00207511"/>
    <w:rsid w:val="00207531"/>
    <w:rsid w:val="00207558"/>
    <w:rsid w:val="002075C8"/>
    <w:rsid w:val="002076AD"/>
    <w:rsid w:val="002076CE"/>
    <w:rsid w:val="002076D6"/>
    <w:rsid w:val="00207701"/>
    <w:rsid w:val="002077F0"/>
    <w:rsid w:val="00207837"/>
    <w:rsid w:val="00207852"/>
    <w:rsid w:val="002078BA"/>
    <w:rsid w:val="0020791F"/>
    <w:rsid w:val="002079C8"/>
    <w:rsid w:val="00207AC9"/>
    <w:rsid w:val="00207AD5"/>
    <w:rsid w:val="00207B14"/>
    <w:rsid w:val="00207B25"/>
    <w:rsid w:val="00207B82"/>
    <w:rsid w:val="00207C74"/>
    <w:rsid w:val="00207C83"/>
    <w:rsid w:val="00207D09"/>
    <w:rsid w:val="00207D40"/>
    <w:rsid w:val="00207D51"/>
    <w:rsid w:val="00207D61"/>
    <w:rsid w:val="00207E43"/>
    <w:rsid w:val="00207E46"/>
    <w:rsid w:val="00207EBB"/>
    <w:rsid w:val="00207F13"/>
    <w:rsid w:val="00207F31"/>
    <w:rsid w:val="00207F62"/>
    <w:rsid w:val="00207F92"/>
    <w:rsid w:val="00210002"/>
    <w:rsid w:val="00210026"/>
    <w:rsid w:val="0021004F"/>
    <w:rsid w:val="00210074"/>
    <w:rsid w:val="0021007D"/>
    <w:rsid w:val="002100D4"/>
    <w:rsid w:val="00210138"/>
    <w:rsid w:val="0021013A"/>
    <w:rsid w:val="0021013D"/>
    <w:rsid w:val="00210154"/>
    <w:rsid w:val="00210157"/>
    <w:rsid w:val="0021017A"/>
    <w:rsid w:val="0021027E"/>
    <w:rsid w:val="00210282"/>
    <w:rsid w:val="002102A7"/>
    <w:rsid w:val="0021037F"/>
    <w:rsid w:val="002103A2"/>
    <w:rsid w:val="002103C0"/>
    <w:rsid w:val="002103C4"/>
    <w:rsid w:val="0021042F"/>
    <w:rsid w:val="0021045C"/>
    <w:rsid w:val="00210460"/>
    <w:rsid w:val="002104D5"/>
    <w:rsid w:val="002105DE"/>
    <w:rsid w:val="002106F1"/>
    <w:rsid w:val="002106F9"/>
    <w:rsid w:val="00210728"/>
    <w:rsid w:val="00210818"/>
    <w:rsid w:val="00210836"/>
    <w:rsid w:val="00210863"/>
    <w:rsid w:val="002108F7"/>
    <w:rsid w:val="00210950"/>
    <w:rsid w:val="00210957"/>
    <w:rsid w:val="0021097E"/>
    <w:rsid w:val="0021099B"/>
    <w:rsid w:val="00210A4B"/>
    <w:rsid w:val="00210BCF"/>
    <w:rsid w:val="00210C1D"/>
    <w:rsid w:val="00210D1F"/>
    <w:rsid w:val="00210D5D"/>
    <w:rsid w:val="00210D90"/>
    <w:rsid w:val="00210DA0"/>
    <w:rsid w:val="00210E0E"/>
    <w:rsid w:val="00210E18"/>
    <w:rsid w:val="00210E91"/>
    <w:rsid w:val="00210F03"/>
    <w:rsid w:val="00210F8A"/>
    <w:rsid w:val="00210F8B"/>
    <w:rsid w:val="00210F97"/>
    <w:rsid w:val="00210FA6"/>
    <w:rsid w:val="00210FED"/>
    <w:rsid w:val="00211013"/>
    <w:rsid w:val="0021101B"/>
    <w:rsid w:val="0021108F"/>
    <w:rsid w:val="002110CD"/>
    <w:rsid w:val="0021111A"/>
    <w:rsid w:val="00211176"/>
    <w:rsid w:val="00211198"/>
    <w:rsid w:val="002111A5"/>
    <w:rsid w:val="002111C1"/>
    <w:rsid w:val="00211233"/>
    <w:rsid w:val="00211280"/>
    <w:rsid w:val="0021130C"/>
    <w:rsid w:val="00211335"/>
    <w:rsid w:val="0021135F"/>
    <w:rsid w:val="002113CE"/>
    <w:rsid w:val="002113DE"/>
    <w:rsid w:val="002113E1"/>
    <w:rsid w:val="00211415"/>
    <w:rsid w:val="00211498"/>
    <w:rsid w:val="00211555"/>
    <w:rsid w:val="002115B0"/>
    <w:rsid w:val="002115D4"/>
    <w:rsid w:val="00211616"/>
    <w:rsid w:val="00211691"/>
    <w:rsid w:val="00211699"/>
    <w:rsid w:val="002116CB"/>
    <w:rsid w:val="00211724"/>
    <w:rsid w:val="00211760"/>
    <w:rsid w:val="00211774"/>
    <w:rsid w:val="002117AC"/>
    <w:rsid w:val="002117B2"/>
    <w:rsid w:val="002117D4"/>
    <w:rsid w:val="002118E4"/>
    <w:rsid w:val="00211968"/>
    <w:rsid w:val="00211994"/>
    <w:rsid w:val="002119AE"/>
    <w:rsid w:val="00211A6F"/>
    <w:rsid w:val="00211B89"/>
    <w:rsid w:val="00211BA2"/>
    <w:rsid w:val="00211C60"/>
    <w:rsid w:val="00211C7F"/>
    <w:rsid w:val="00211CC7"/>
    <w:rsid w:val="00211D25"/>
    <w:rsid w:val="00211D34"/>
    <w:rsid w:val="00211E02"/>
    <w:rsid w:val="00211E11"/>
    <w:rsid w:val="00211ECD"/>
    <w:rsid w:val="00211ECF"/>
    <w:rsid w:val="00211F46"/>
    <w:rsid w:val="0021202C"/>
    <w:rsid w:val="00212087"/>
    <w:rsid w:val="002120B3"/>
    <w:rsid w:val="002120D6"/>
    <w:rsid w:val="002120FB"/>
    <w:rsid w:val="00212132"/>
    <w:rsid w:val="00212172"/>
    <w:rsid w:val="00212213"/>
    <w:rsid w:val="00212299"/>
    <w:rsid w:val="00212354"/>
    <w:rsid w:val="002123D9"/>
    <w:rsid w:val="00212429"/>
    <w:rsid w:val="00212435"/>
    <w:rsid w:val="00212502"/>
    <w:rsid w:val="002125B9"/>
    <w:rsid w:val="002125D8"/>
    <w:rsid w:val="002125E0"/>
    <w:rsid w:val="00212681"/>
    <w:rsid w:val="00212768"/>
    <w:rsid w:val="00212780"/>
    <w:rsid w:val="00212825"/>
    <w:rsid w:val="0021282E"/>
    <w:rsid w:val="00212843"/>
    <w:rsid w:val="002128B4"/>
    <w:rsid w:val="002128BD"/>
    <w:rsid w:val="002128E5"/>
    <w:rsid w:val="00212929"/>
    <w:rsid w:val="00212949"/>
    <w:rsid w:val="002129B3"/>
    <w:rsid w:val="00212A26"/>
    <w:rsid w:val="00212A5E"/>
    <w:rsid w:val="00212B23"/>
    <w:rsid w:val="00212B97"/>
    <w:rsid w:val="00212C37"/>
    <w:rsid w:val="00212C8E"/>
    <w:rsid w:val="00212CF8"/>
    <w:rsid w:val="00212D0E"/>
    <w:rsid w:val="00212E46"/>
    <w:rsid w:val="00212E91"/>
    <w:rsid w:val="00212EB5"/>
    <w:rsid w:val="00212ED5"/>
    <w:rsid w:val="00212F16"/>
    <w:rsid w:val="00212F8F"/>
    <w:rsid w:val="00212FE4"/>
    <w:rsid w:val="0021300C"/>
    <w:rsid w:val="002130A0"/>
    <w:rsid w:val="00213112"/>
    <w:rsid w:val="00213117"/>
    <w:rsid w:val="00213163"/>
    <w:rsid w:val="0021316E"/>
    <w:rsid w:val="00213199"/>
    <w:rsid w:val="002131ED"/>
    <w:rsid w:val="002131F7"/>
    <w:rsid w:val="00213220"/>
    <w:rsid w:val="0021322E"/>
    <w:rsid w:val="00213232"/>
    <w:rsid w:val="00213251"/>
    <w:rsid w:val="002132D9"/>
    <w:rsid w:val="0021333B"/>
    <w:rsid w:val="0021339B"/>
    <w:rsid w:val="002133E7"/>
    <w:rsid w:val="002133FF"/>
    <w:rsid w:val="0021342C"/>
    <w:rsid w:val="00213492"/>
    <w:rsid w:val="002134DC"/>
    <w:rsid w:val="00213569"/>
    <w:rsid w:val="0021356D"/>
    <w:rsid w:val="00213589"/>
    <w:rsid w:val="0021368D"/>
    <w:rsid w:val="002136B7"/>
    <w:rsid w:val="002136C0"/>
    <w:rsid w:val="00213817"/>
    <w:rsid w:val="00213869"/>
    <w:rsid w:val="0021388F"/>
    <w:rsid w:val="002138A3"/>
    <w:rsid w:val="002138EF"/>
    <w:rsid w:val="002138FB"/>
    <w:rsid w:val="00213986"/>
    <w:rsid w:val="00213A44"/>
    <w:rsid w:val="00213A54"/>
    <w:rsid w:val="00213A65"/>
    <w:rsid w:val="00213BE8"/>
    <w:rsid w:val="00213BF6"/>
    <w:rsid w:val="00213C47"/>
    <w:rsid w:val="00213C6F"/>
    <w:rsid w:val="00213C8D"/>
    <w:rsid w:val="00213D6A"/>
    <w:rsid w:val="00213DF1"/>
    <w:rsid w:val="00213E1A"/>
    <w:rsid w:val="00213E5A"/>
    <w:rsid w:val="00213E8F"/>
    <w:rsid w:val="00213EC1"/>
    <w:rsid w:val="0021409C"/>
    <w:rsid w:val="002140CB"/>
    <w:rsid w:val="002141D4"/>
    <w:rsid w:val="002141FA"/>
    <w:rsid w:val="00214248"/>
    <w:rsid w:val="00214259"/>
    <w:rsid w:val="0021427D"/>
    <w:rsid w:val="002142B9"/>
    <w:rsid w:val="002142D9"/>
    <w:rsid w:val="0021430A"/>
    <w:rsid w:val="0021431E"/>
    <w:rsid w:val="002143DC"/>
    <w:rsid w:val="0021440F"/>
    <w:rsid w:val="00214472"/>
    <w:rsid w:val="002144A1"/>
    <w:rsid w:val="002144BE"/>
    <w:rsid w:val="00214510"/>
    <w:rsid w:val="00214552"/>
    <w:rsid w:val="002145B3"/>
    <w:rsid w:val="00214642"/>
    <w:rsid w:val="0021469C"/>
    <w:rsid w:val="002146CC"/>
    <w:rsid w:val="002147B5"/>
    <w:rsid w:val="00214878"/>
    <w:rsid w:val="00214990"/>
    <w:rsid w:val="0021499C"/>
    <w:rsid w:val="002149A1"/>
    <w:rsid w:val="002149A9"/>
    <w:rsid w:val="002149BA"/>
    <w:rsid w:val="002149DD"/>
    <w:rsid w:val="00214A35"/>
    <w:rsid w:val="00214A38"/>
    <w:rsid w:val="00214A95"/>
    <w:rsid w:val="00214B21"/>
    <w:rsid w:val="00214B6E"/>
    <w:rsid w:val="00214C24"/>
    <w:rsid w:val="00214C30"/>
    <w:rsid w:val="00214C3F"/>
    <w:rsid w:val="00214D2E"/>
    <w:rsid w:val="00214D42"/>
    <w:rsid w:val="00214D78"/>
    <w:rsid w:val="00214D8B"/>
    <w:rsid w:val="00214DD6"/>
    <w:rsid w:val="00214ECD"/>
    <w:rsid w:val="00214ED4"/>
    <w:rsid w:val="00214F84"/>
    <w:rsid w:val="00215022"/>
    <w:rsid w:val="00215043"/>
    <w:rsid w:val="0021506D"/>
    <w:rsid w:val="002150D3"/>
    <w:rsid w:val="0021514C"/>
    <w:rsid w:val="00215152"/>
    <w:rsid w:val="00215224"/>
    <w:rsid w:val="00215251"/>
    <w:rsid w:val="00215265"/>
    <w:rsid w:val="002152D7"/>
    <w:rsid w:val="0021532F"/>
    <w:rsid w:val="0021536C"/>
    <w:rsid w:val="00215382"/>
    <w:rsid w:val="002153B1"/>
    <w:rsid w:val="00215444"/>
    <w:rsid w:val="0021544D"/>
    <w:rsid w:val="00215451"/>
    <w:rsid w:val="00215535"/>
    <w:rsid w:val="0021554A"/>
    <w:rsid w:val="0021564D"/>
    <w:rsid w:val="00215654"/>
    <w:rsid w:val="002156DD"/>
    <w:rsid w:val="00215727"/>
    <w:rsid w:val="0021578F"/>
    <w:rsid w:val="00215885"/>
    <w:rsid w:val="002158C9"/>
    <w:rsid w:val="00215907"/>
    <w:rsid w:val="00215949"/>
    <w:rsid w:val="00215AF3"/>
    <w:rsid w:val="00215B40"/>
    <w:rsid w:val="00215B5B"/>
    <w:rsid w:val="00215B9F"/>
    <w:rsid w:val="00215BF2"/>
    <w:rsid w:val="00215C3A"/>
    <w:rsid w:val="00215C7B"/>
    <w:rsid w:val="00215C7F"/>
    <w:rsid w:val="00215D5D"/>
    <w:rsid w:val="00215D89"/>
    <w:rsid w:val="00215E52"/>
    <w:rsid w:val="00215E6C"/>
    <w:rsid w:val="00215EA6"/>
    <w:rsid w:val="00215EB0"/>
    <w:rsid w:val="00215F74"/>
    <w:rsid w:val="00215F8A"/>
    <w:rsid w:val="00215FB7"/>
    <w:rsid w:val="00215FC9"/>
    <w:rsid w:val="002160D8"/>
    <w:rsid w:val="0021614F"/>
    <w:rsid w:val="002161F2"/>
    <w:rsid w:val="00216206"/>
    <w:rsid w:val="0021620E"/>
    <w:rsid w:val="0021622D"/>
    <w:rsid w:val="00216264"/>
    <w:rsid w:val="00216299"/>
    <w:rsid w:val="002162A8"/>
    <w:rsid w:val="002162EB"/>
    <w:rsid w:val="0021634E"/>
    <w:rsid w:val="00216385"/>
    <w:rsid w:val="002163D6"/>
    <w:rsid w:val="002163E8"/>
    <w:rsid w:val="0021641B"/>
    <w:rsid w:val="00216436"/>
    <w:rsid w:val="0021643F"/>
    <w:rsid w:val="0021656E"/>
    <w:rsid w:val="002165AB"/>
    <w:rsid w:val="002165F7"/>
    <w:rsid w:val="00216721"/>
    <w:rsid w:val="002167B4"/>
    <w:rsid w:val="002167F4"/>
    <w:rsid w:val="00216878"/>
    <w:rsid w:val="002168F6"/>
    <w:rsid w:val="0021691A"/>
    <w:rsid w:val="002169C2"/>
    <w:rsid w:val="00216A2C"/>
    <w:rsid w:val="00216A7D"/>
    <w:rsid w:val="00216B3F"/>
    <w:rsid w:val="00216B50"/>
    <w:rsid w:val="00216B6D"/>
    <w:rsid w:val="00216C35"/>
    <w:rsid w:val="00216C5F"/>
    <w:rsid w:val="00216C77"/>
    <w:rsid w:val="00216CB4"/>
    <w:rsid w:val="00216DD9"/>
    <w:rsid w:val="00216EB1"/>
    <w:rsid w:val="00217066"/>
    <w:rsid w:val="002170C1"/>
    <w:rsid w:val="0021711A"/>
    <w:rsid w:val="0021712B"/>
    <w:rsid w:val="0021714E"/>
    <w:rsid w:val="002172C5"/>
    <w:rsid w:val="002172E8"/>
    <w:rsid w:val="0021733F"/>
    <w:rsid w:val="002173D5"/>
    <w:rsid w:val="002173DE"/>
    <w:rsid w:val="00217405"/>
    <w:rsid w:val="0021747E"/>
    <w:rsid w:val="0021748D"/>
    <w:rsid w:val="002174DF"/>
    <w:rsid w:val="00217528"/>
    <w:rsid w:val="00217535"/>
    <w:rsid w:val="002175DF"/>
    <w:rsid w:val="002175F5"/>
    <w:rsid w:val="00217683"/>
    <w:rsid w:val="00217726"/>
    <w:rsid w:val="00217751"/>
    <w:rsid w:val="002177DE"/>
    <w:rsid w:val="002177E4"/>
    <w:rsid w:val="0021780A"/>
    <w:rsid w:val="0021784C"/>
    <w:rsid w:val="00217879"/>
    <w:rsid w:val="00217885"/>
    <w:rsid w:val="002178B1"/>
    <w:rsid w:val="002178FD"/>
    <w:rsid w:val="002179DA"/>
    <w:rsid w:val="00217A35"/>
    <w:rsid w:val="00217AD1"/>
    <w:rsid w:val="00217B14"/>
    <w:rsid w:val="00217B6C"/>
    <w:rsid w:val="00217C52"/>
    <w:rsid w:val="00217C5A"/>
    <w:rsid w:val="00217CD0"/>
    <w:rsid w:val="00217CE4"/>
    <w:rsid w:val="00217DFC"/>
    <w:rsid w:val="00217E1B"/>
    <w:rsid w:val="00217E71"/>
    <w:rsid w:val="0022003B"/>
    <w:rsid w:val="00220084"/>
    <w:rsid w:val="00220096"/>
    <w:rsid w:val="0022014C"/>
    <w:rsid w:val="0022019F"/>
    <w:rsid w:val="002202A9"/>
    <w:rsid w:val="00220336"/>
    <w:rsid w:val="00220500"/>
    <w:rsid w:val="00220552"/>
    <w:rsid w:val="00220566"/>
    <w:rsid w:val="00220592"/>
    <w:rsid w:val="002206E3"/>
    <w:rsid w:val="00220789"/>
    <w:rsid w:val="002207C1"/>
    <w:rsid w:val="002207D5"/>
    <w:rsid w:val="00220809"/>
    <w:rsid w:val="00220853"/>
    <w:rsid w:val="00220874"/>
    <w:rsid w:val="002208FA"/>
    <w:rsid w:val="00220919"/>
    <w:rsid w:val="002209BC"/>
    <w:rsid w:val="002209EC"/>
    <w:rsid w:val="002209FF"/>
    <w:rsid w:val="00220A34"/>
    <w:rsid w:val="00220B14"/>
    <w:rsid w:val="00220C4F"/>
    <w:rsid w:val="00220C53"/>
    <w:rsid w:val="00220C84"/>
    <w:rsid w:val="00220CE5"/>
    <w:rsid w:val="00220D05"/>
    <w:rsid w:val="00220D45"/>
    <w:rsid w:val="00220D6D"/>
    <w:rsid w:val="00220D92"/>
    <w:rsid w:val="00220DC1"/>
    <w:rsid w:val="00220E1D"/>
    <w:rsid w:val="00220E44"/>
    <w:rsid w:val="00220EA6"/>
    <w:rsid w:val="00220F22"/>
    <w:rsid w:val="00220F30"/>
    <w:rsid w:val="00220F7F"/>
    <w:rsid w:val="00220F80"/>
    <w:rsid w:val="00221007"/>
    <w:rsid w:val="002210D1"/>
    <w:rsid w:val="00221120"/>
    <w:rsid w:val="002211C1"/>
    <w:rsid w:val="00221211"/>
    <w:rsid w:val="00221229"/>
    <w:rsid w:val="00221255"/>
    <w:rsid w:val="0022125D"/>
    <w:rsid w:val="00221261"/>
    <w:rsid w:val="0022126B"/>
    <w:rsid w:val="00221283"/>
    <w:rsid w:val="002212BE"/>
    <w:rsid w:val="002213F4"/>
    <w:rsid w:val="00221409"/>
    <w:rsid w:val="002214EB"/>
    <w:rsid w:val="00221547"/>
    <w:rsid w:val="00221587"/>
    <w:rsid w:val="002215C2"/>
    <w:rsid w:val="002215CA"/>
    <w:rsid w:val="002216FE"/>
    <w:rsid w:val="0022174A"/>
    <w:rsid w:val="00221763"/>
    <w:rsid w:val="00221788"/>
    <w:rsid w:val="002217A1"/>
    <w:rsid w:val="00221815"/>
    <w:rsid w:val="0022188B"/>
    <w:rsid w:val="002218B8"/>
    <w:rsid w:val="002218E6"/>
    <w:rsid w:val="0022195A"/>
    <w:rsid w:val="0022195B"/>
    <w:rsid w:val="0022195F"/>
    <w:rsid w:val="00221969"/>
    <w:rsid w:val="00221985"/>
    <w:rsid w:val="00221AC4"/>
    <w:rsid w:val="00221B03"/>
    <w:rsid w:val="00221B24"/>
    <w:rsid w:val="00221B26"/>
    <w:rsid w:val="00221C34"/>
    <w:rsid w:val="00221C98"/>
    <w:rsid w:val="00221CD2"/>
    <w:rsid w:val="00221D18"/>
    <w:rsid w:val="00221D3D"/>
    <w:rsid w:val="00221D51"/>
    <w:rsid w:val="00221D5A"/>
    <w:rsid w:val="00221E5F"/>
    <w:rsid w:val="00221F19"/>
    <w:rsid w:val="00221F5D"/>
    <w:rsid w:val="00221F69"/>
    <w:rsid w:val="00221FD9"/>
    <w:rsid w:val="002220DA"/>
    <w:rsid w:val="0022231F"/>
    <w:rsid w:val="0022236C"/>
    <w:rsid w:val="00222383"/>
    <w:rsid w:val="002223B2"/>
    <w:rsid w:val="0022256E"/>
    <w:rsid w:val="002225C0"/>
    <w:rsid w:val="002225D5"/>
    <w:rsid w:val="0022262C"/>
    <w:rsid w:val="0022263C"/>
    <w:rsid w:val="0022266B"/>
    <w:rsid w:val="002226B5"/>
    <w:rsid w:val="002227EB"/>
    <w:rsid w:val="00222823"/>
    <w:rsid w:val="0022286C"/>
    <w:rsid w:val="0022289B"/>
    <w:rsid w:val="002228C5"/>
    <w:rsid w:val="002228EC"/>
    <w:rsid w:val="00222904"/>
    <w:rsid w:val="0022293E"/>
    <w:rsid w:val="00222987"/>
    <w:rsid w:val="002229F4"/>
    <w:rsid w:val="00222AE8"/>
    <w:rsid w:val="00222B4C"/>
    <w:rsid w:val="00222BEE"/>
    <w:rsid w:val="00222CB4"/>
    <w:rsid w:val="00222CE2"/>
    <w:rsid w:val="00222D2B"/>
    <w:rsid w:val="00222D57"/>
    <w:rsid w:val="00222DB2"/>
    <w:rsid w:val="00222E04"/>
    <w:rsid w:val="00222EA2"/>
    <w:rsid w:val="00222EB9"/>
    <w:rsid w:val="00222EDB"/>
    <w:rsid w:val="00222EE5"/>
    <w:rsid w:val="00222EF6"/>
    <w:rsid w:val="00222F61"/>
    <w:rsid w:val="002230CB"/>
    <w:rsid w:val="00223115"/>
    <w:rsid w:val="0022313F"/>
    <w:rsid w:val="00223141"/>
    <w:rsid w:val="0022315C"/>
    <w:rsid w:val="00223200"/>
    <w:rsid w:val="0022328A"/>
    <w:rsid w:val="00223296"/>
    <w:rsid w:val="00223339"/>
    <w:rsid w:val="002233A0"/>
    <w:rsid w:val="00223431"/>
    <w:rsid w:val="00223433"/>
    <w:rsid w:val="00223484"/>
    <w:rsid w:val="002234EA"/>
    <w:rsid w:val="0022359C"/>
    <w:rsid w:val="002235AC"/>
    <w:rsid w:val="002235D7"/>
    <w:rsid w:val="002235E7"/>
    <w:rsid w:val="0022368C"/>
    <w:rsid w:val="002236FA"/>
    <w:rsid w:val="002237A4"/>
    <w:rsid w:val="002237A7"/>
    <w:rsid w:val="0022387B"/>
    <w:rsid w:val="00223886"/>
    <w:rsid w:val="002238A4"/>
    <w:rsid w:val="002238AF"/>
    <w:rsid w:val="002238BB"/>
    <w:rsid w:val="00223957"/>
    <w:rsid w:val="0022395B"/>
    <w:rsid w:val="002239A4"/>
    <w:rsid w:val="00223A8C"/>
    <w:rsid w:val="00223AD7"/>
    <w:rsid w:val="00223AE2"/>
    <w:rsid w:val="00223B52"/>
    <w:rsid w:val="00223BD8"/>
    <w:rsid w:val="00223C64"/>
    <w:rsid w:val="00223CA7"/>
    <w:rsid w:val="00223CDE"/>
    <w:rsid w:val="00223CFE"/>
    <w:rsid w:val="00223D43"/>
    <w:rsid w:val="00223D65"/>
    <w:rsid w:val="00223D74"/>
    <w:rsid w:val="00223E0C"/>
    <w:rsid w:val="00223E19"/>
    <w:rsid w:val="00223E23"/>
    <w:rsid w:val="00223E2D"/>
    <w:rsid w:val="00223E72"/>
    <w:rsid w:val="00223E91"/>
    <w:rsid w:val="00223E97"/>
    <w:rsid w:val="00223F08"/>
    <w:rsid w:val="00223FCC"/>
    <w:rsid w:val="00223FD2"/>
    <w:rsid w:val="00223FEF"/>
    <w:rsid w:val="00223FF9"/>
    <w:rsid w:val="00224009"/>
    <w:rsid w:val="00224028"/>
    <w:rsid w:val="002240A5"/>
    <w:rsid w:val="002240B6"/>
    <w:rsid w:val="00224167"/>
    <w:rsid w:val="002241DA"/>
    <w:rsid w:val="00224227"/>
    <w:rsid w:val="0022435F"/>
    <w:rsid w:val="00224367"/>
    <w:rsid w:val="0022439D"/>
    <w:rsid w:val="002243BA"/>
    <w:rsid w:val="00224409"/>
    <w:rsid w:val="00224483"/>
    <w:rsid w:val="002244F5"/>
    <w:rsid w:val="00224551"/>
    <w:rsid w:val="00224558"/>
    <w:rsid w:val="002245BE"/>
    <w:rsid w:val="002245E1"/>
    <w:rsid w:val="00224618"/>
    <w:rsid w:val="0022462B"/>
    <w:rsid w:val="002246EA"/>
    <w:rsid w:val="0022475C"/>
    <w:rsid w:val="002248E2"/>
    <w:rsid w:val="00224938"/>
    <w:rsid w:val="002249A0"/>
    <w:rsid w:val="002249E3"/>
    <w:rsid w:val="00224A06"/>
    <w:rsid w:val="00224A34"/>
    <w:rsid w:val="00224B1B"/>
    <w:rsid w:val="00224B6D"/>
    <w:rsid w:val="00224BF7"/>
    <w:rsid w:val="00224C4B"/>
    <w:rsid w:val="00224CFC"/>
    <w:rsid w:val="00224D33"/>
    <w:rsid w:val="00224D7C"/>
    <w:rsid w:val="00224E68"/>
    <w:rsid w:val="00224EA8"/>
    <w:rsid w:val="00224F9C"/>
    <w:rsid w:val="0022500B"/>
    <w:rsid w:val="0022503B"/>
    <w:rsid w:val="00225088"/>
    <w:rsid w:val="00225134"/>
    <w:rsid w:val="0022514D"/>
    <w:rsid w:val="0022520B"/>
    <w:rsid w:val="0022520F"/>
    <w:rsid w:val="00225221"/>
    <w:rsid w:val="00225279"/>
    <w:rsid w:val="002252BF"/>
    <w:rsid w:val="002252CF"/>
    <w:rsid w:val="002252D1"/>
    <w:rsid w:val="002252E4"/>
    <w:rsid w:val="0022535B"/>
    <w:rsid w:val="002253C8"/>
    <w:rsid w:val="002253E8"/>
    <w:rsid w:val="00225437"/>
    <w:rsid w:val="00225480"/>
    <w:rsid w:val="002254B9"/>
    <w:rsid w:val="00225591"/>
    <w:rsid w:val="00225608"/>
    <w:rsid w:val="00225686"/>
    <w:rsid w:val="00225690"/>
    <w:rsid w:val="0022582A"/>
    <w:rsid w:val="0022591B"/>
    <w:rsid w:val="002259C3"/>
    <w:rsid w:val="002259CA"/>
    <w:rsid w:val="002259FA"/>
    <w:rsid w:val="00225A12"/>
    <w:rsid w:val="00225A13"/>
    <w:rsid w:val="00225A31"/>
    <w:rsid w:val="00225A54"/>
    <w:rsid w:val="00225A6E"/>
    <w:rsid w:val="00225A8A"/>
    <w:rsid w:val="00225ACB"/>
    <w:rsid w:val="00225B16"/>
    <w:rsid w:val="00225B70"/>
    <w:rsid w:val="00225BE6"/>
    <w:rsid w:val="00225C62"/>
    <w:rsid w:val="00225D1D"/>
    <w:rsid w:val="00225D6C"/>
    <w:rsid w:val="00225DEC"/>
    <w:rsid w:val="00225E2C"/>
    <w:rsid w:val="00225EBA"/>
    <w:rsid w:val="00225F09"/>
    <w:rsid w:val="00225FB2"/>
    <w:rsid w:val="00226063"/>
    <w:rsid w:val="00226074"/>
    <w:rsid w:val="00226111"/>
    <w:rsid w:val="00226122"/>
    <w:rsid w:val="00226138"/>
    <w:rsid w:val="00226145"/>
    <w:rsid w:val="0022614E"/>
    <w:rsid w:val="00226161"/>
    <w:rsid w:val="00226175"/>
    <w:rsid w:val="00226221"/>
    <w:rsid w:val="00226222"/>
    <w:rsid w:val="0022622A"/>
    <w:rsid w:val="002262CF"/>
    <w:rsid w:val="002262F6"/>
    <w:rsid w:val="00226329"/>
    <w:rsid w:val="00226342"/>
    <w:rsid w:val="0022640A"/>
    <w:rsid w:val="0022652B"/>
    <w:rsid w:val="00226554"/>
    <w:rsid w:val="002265BD"/>
    <w:rsid w:val="002265D7"/>
    <w:rsid w:val="00226609"/>
    <w:rsid w:val="002266C8"/>
    <w:rsid w:val="002267DE"/>
    <w:rsid w:val="0022686C"/>
    <w:rsid w:val="002268C8"/>
    <w:rsid w:val="0022690B"/>
    <w:rsid w:val="00226940"/>
    <w:rsid w:val="00226969"/>
    <w:rsid w:val="00226989"/>
    <w:rsid w:val="002269CE"/>
    <w:rsid w:val="00226A43"/>
    <w:rsid w:val="00226A60"/>
    <w:rsid w:val="00226A98"/>
    <w:rsid w:val="00226AD3"/>
    <w:rsid w:val="00226AF9"/>
    <w:rsid w:val="00226C04"/>
    <w:rsid w:val="00226C67"/>
    <w:rsid w:val="00226D16"/>
    <w:rsid w:val="00226D1C"/>
    <w:rsid w:val="00226DE1"/>
    <w:rsid w:val="00226E3E"/>
    <w:rsid w:val="00226E4D"/>
    <w:rsid w:val="00226E64"/>
    <w:rsid w:val="00226E6A"/>
    <w:rsid w:val="00226EB4"/>
    <w:rsid w:val="00226EF6"/>
    <w:rsid w:val="00226F7A"/>
    <w:rsid w:val="0022703E"/>
    <w:rsid w:val="00227075"/>
    <w:rsid w:val="002270DF"/>
    <w:rsid w:val="0022715E"/>
    <w:rsid w:val="0022719B"/>
    <w:rsid w:val="002271A2"/>
    <w:rsid w:val="002272B9"/>
    <w:rsid w:val="002272F3"/>
    <w:rsid w:val="00227304"/>
    <w:rsid w:val="002273B8"/>
    <w:rsid w:val="002273C0"/>
    <w:rsid w:val="002273D3"/>
    <w:rsid w:val="0022742B"/>
    <w:rsid w:val="0022757B"/>
    <w:rsid w:val="00227674"/>
    <w:rsid w:val="002276EA"/>
    <w:rsid w:val="002277B0"/>
    <w:rsid w:val="0022785A"/>
    <w:rsid w:val="0022791D"/>
    <w:rsid w:val="0022796D"/>
    <w:rsid w:val="00227A35"/>
    <w:rsid w:val="00227AC5"/>
    <w:rsid w:val="00227AEB"/>
    <w:rsid w:val="00227B5A"/>
    <w:rsid w:val="00227C02"/>
    <w:rsid w:val="00227C0F"/>
    <w:rsid w:val="00227C13"/>
    <w:rsid w:val="00227CC3"/>
    <w:rsid w:val="00227DAE"/>
    <w:rsid w:val="00227DF9"/>
    <w:rsid w:val="00227E7D"/>
    <w:rsid w:val="00227EB0"/>
    <w:rsid w:val="00227F5C"/>
    <w:rsid w:val="00227F9D"/>
    <w:rsid w:val="00227FC4"/>
    <w:rsid w:val="00230011"/>
    <w:rsid w:val="002300B7"/>
    <w:rsid w:val="0023011E"/>
    <w:rsid w:val="0023014F"/>
    <w:rsid w:val="002302E7"/>
    <w:rsid w:val="0023033F"/>
    <w:rsid w:val="0023034B"/>
    <w:rsid w:val="00230378"/>
    <w:rsid w:val="00230388"/>
    <w:rsid w:val="002303A4"/>
    <w:rsid w:val="002303BB"/>
    <w:rsid w:val="00230438"/>
    <w:rsid w:val="00230440"/>
    <w:rsid w:val="00230474"/>
    <w:rsid w:val="002304BF"/>
    <w:rsid w:val="002304D3"/>
    <w:rsid w:val="00230505"/>
    <w:rsid w:val="00230529"/>
    <w:rsid w:val="0023053B"/>
    <w:rsid w:val="00230579"/>
    <w:rsid w:val="002305ED"/>
    <w:rsid w:val="00230685"/>
    <w:rsid w:val="0023069C"/>
    <w:rsid w:val="002306B7"/>
    <w:rsid w:val="002307CA"/>
    <w:rsid w:val="002307CE"/>
    <w:rsid w:val="002308C4"/>
    <w:rsid w:val="00230924"/>
    <w:rsid w:val="00230947"/>
    <w:rsid w:val="002309B2"/>
    <w:rsid w:val="002309B4"/>
    <w:rsid w:val="00230A84"/>
    <w:rsid w:val="00230AD8"/>
    <w:rsid w:val="00230AF7"/>
    <w:rsid w:val="00230B64"/>
    <w:rsid w:val="00230BC5"/>
    <w:rsid w:val="00230C19"/>
    <w:rsid w:val="00230C1F"/>
    <w:rsid w:val="00230C3A"/>
    <w:rsid w:val="00230C4B"/>
    <w:rsid w:val="00230C5C"/>
    <w:rsid w:val="00230C8C"/>
    <w:rsid w:val="00230C9D"/>
    <w:rsid w:val="00230CC6"/>
    <w:rsid w:val="00230CCC"/>
    <w:rsid w:val="00230CDE"/>
    <w:rsid w:val="00230E34"/>
    <w:rsid w:val="00230ED9"/>
    <w:rsid w:val="00230EED"/>
    <w:rsid w:val="00230EEE"/>
    <w:rsid w:val="00230EFE"/>
    <w:rsid w:val="00230F12"/>
    <w:rsid w:val="00230F43"/>
    <w:rsid w:val="00230F49"/>
    <w:rsid w:val="00230F69"/>
    <w:rsid w:val="002310E6"/>
    <w:rsid w:val="00231100"/>
    <w:rsid w:val="00231101"/>
    <w:rsid w:val="00231127"/>
    <w:rsid w:val="00231314"/>
    <w:rsid w:val="0023132C"/>
    <w:rsid w:val="0023138C"/>
    <w:rsid w:val="002313E3"/>
    <w:rsid w:val="002313FA"/>
    <w:rsid w:val="0023140D"/>
    <w:rsid w:val="0023144A"/>
    <w:rsid w:val="00231480"/>
    <w:rsid w:val="0023154F"/>
    <w:rsid w:val="00231569"/>
    <w:rsid w:val="002315BD"/>
    <w:rsid w:val="002315C9"/>
    <w:rsid w:val="002315FF"/>
    <w:rsid w:val="00231648"/>
    <w:rsid w:val="0023169E"/>
    <w:rsid w:val="002316A3"/>
    <w:rsid w:val="002316AF"/>
    <w:rsid w:val="002316ED"/>
    <w:rsid w:val="002316F2"/>
    <w:rsid w:val="00231759"/>
    <w:rsid w:val="0023182A"/>
    <w:rsid w:val="00231837"/>
    <w:rsid w:val="00231845"/>
    <w:rsid w:val="0023186E"/>
    <w:rsid w:val="0023189D"/>
    <w:rsid w:val="00231931"/>
    <w:rsid w:val="00231944"/>
    <w:rsid w:val="0023196C"/>
    <w:rsid w:val="002319CA"/>
    <w:rsid w:val="00231A31"/>
    <w:rsid w:val="00231A85"/>
    <w:rsid w:val="00231B6F"/>
    <w:rsid w:val="00231B79"/>
    <w:rsid w:val="00231B95"/>
    <w:rsid w:val="00231C26"/>
    <w:rsid w:val="00231C92"/>
    <w:rsid w:val="00231CC9"/>
    <w:rsid w:val="00231CD9"/>
    <w:rsid w:val="00231D16"/>
    <w:rsid w:val="00231D34"/>
    <w:rsid w:val="00231D77"/>
    <w:rsid w:val="00231DD7"/>
    <w:rsid w:val="00231DDB"/>
    <w:rsid w:val="00231E2D"/>
    <w:rsid w:val="00231EFA"/>
    <w:rsid w:val="00232088"/>
    <w:rsid w:val="00232240"/>
    <w:rsid w:val="0023228F"/>
    <w:rsid w:val="002322B8"/>
    <w:rsid w:val="002323C5"/>
    <w:rsid w:val="00232469"/>
    <w:rsid w:val="00232476"/>
    <w:rsid w:val="00232489"/>
    <w:rsid w:val="002324C8"/>
    <w:rsid w:val="002324CF"/>
    <w:rsid w:val="002324DE"/>
    <w:rsid w:val="002325BC"/>
    <w:rsid w:val="002325E6"/>
    <w:rsid w:val="0023265D"/>
    <w:rsid w:val="0023269C"/>
    <w:rsid w:val="002326B0"/>
    <w:rsid w:val="002326D7"/>
    <w:rsid w:val="002327B8"/>
    <w:rsid w:val="002327BA"/>
    <w:rsid w:val="0023289B"/>
    <w:rsid w:val="00232949"/>
    <w:rsid w:val="00232952"/>
    <w:rsid w:val="002329C4"/>
    <w:rsid w:val="00232A94"/>
    <w:rsid w:val="00232A95"/>
    <w:rsid w:val="00232ADE"/>
    <w:rsid w:val="00232AF6"/>
    <w:rsid w:val="00232B13"/>
    <w:rsid w:val="00232B7D"/>
    <w:rsid w:val="00232BB5"/>
    <w:rsid w:val="00232C2C"/>
    <w:rsid w:val="00232EB4"/>
    <w:rsid w:val="00232F0F"/>
    <w:rsid w:val="00232F75"/>
    <w:rsid w:val="00232F8F"/>
    <w:rsid w:val="00232FF3"/>
    <w:rsid w:val="00232FF9"/>
    <w:rsid w:val="0023305C"/>
    <w:rsid w:val="00233096"/>
    <w:rsid w:val="002330B4"/>
    <w:rsid w:val="002330D6"/>
    <w:rsid w:val="00233166"/>
    <w:rsid w:val="002331E6"/>
    <w:rsid w:val="00233308"/>
    <w:rsid w:val="002333A9"/>
    <w:rsid w:val="00233420"/>
    <w:rsid w:val="00233444"/>
    <w:rsid w:val="00233497"/>
    <w:rsid w:val="00233499"/>
    <w:rsid w:val="002334D2"/>
    <w:rsid w:val="002334D3"/>
    <w:rsid w:val="00233576"/>
    <w:rsid w:val="0023359D"/>
    <w:rsid w:val="00233608"/>
    <w:rsid w:val="0023364F"/>
    <w:rsid w:val="00233672"/>
    <w:rsid w:val="002336C9"/>
    <w:rsid w:val="002336D3"/>
    <w:rsid w:val="00233761"/>
    <w:rsid w:val="00233787"/>
    <w:rsid w:val="0023378D"/>
    <w:rsid w:val="002337EB"/>
    <w:rsid w:val="0023380A"/>
    <w:rsid w:val="0023388C"/>
    <w:rsid w:val="00233894"/>
    <w:rsid w:val="002338AC"/>
    <w:rsid w:val="00233909"/>
    <w:rsid w:val="00233A70"/>
    <w:rsid w:val="00233AFD"/>
    <w:rsid w:val="00233B19"/>
    <w:rsid w:val="00233B28"/>
    <w:rsid w:val="00233B2B"/>
    <w:rsid w:val="00233B9F"/>
    <w:rsid w:val="00233BC4"/>
    <w:rsid w:val="00233C1C"/>
    <w:rsid w:val="00233CCC"/>
    <w:rsid w:val="00233CD6"/>
    <w:rsid w:val="00233D55"/>
    <w:rsid w:val="00233E00"/>
    <w:rsid w:val="00233EC7"/>
    <w:rsid w:val="00233F52"/>
    <w:rsid w:val="00233F5D"/>
    <w:rsid w:val="00233F83"/>
    <w:rsid w:val="00233FA5"/>
    <w:rsid w:val="00233FAA"/>
    <w:rsid w:val="00234121"/>
    <w:rsid w:val="002341C8"/>
    <w:rsid w:val="002342B8"/>
    <w:rsid w:val="002342C1"/>
    <w:rsid w:val="002342F6"/>
    <w:rsid w:val="00234337"/>
    <w:rsid w:val="0023442F"/>
    <w:rsid w:val="002344AF"/>
    <w:rsid w:val="002344BD"/>
    <w:rsid w:val="00234572"/>
    <w:rsid w:val="002345AB"/>
    <w:rsid w:val="002346A6"/>
    <w:rsid w:val="002346C0"/>
    <w:rsid w:val="002346D7"/>
    <w:rsid w:val="00234806"/>
    <w:rsid w:val="00234817"/>
    <w:rsid w:val="002348FE"/>
    <w:rsid w:val="0023492C"/>
    <w:rsid w:val="00234990"/>
    <w:rsid w:val="002349F8"/>
    <w:rsid w:val="00234A17"/>
    <w:rsid w:val="00234A78"/>
    <w:rsid w:val="00234AAB"/>
    <w:rsid w:val="00234AC0"/>
    <w:rsid w:val="00234B23"/>
    <w:rsid w:val="00234C10"/>
    <w:rsid w:val="00234C2A"/>
    <w:rsid w:val="00234C3B"/>
    <w:rsid w:val="00234C90"/>
    <w:rsid w:val="00234CDC"/>
    <w:rsid w:val="00234D1F"/>
    <w:rsid w:val="00234D21"/>
    <w:rsid w:val="00234D3F"/>
    <w:rsid w:val="00234E02"/>
    <w:rsid w:val="00234E27"/>
    <w:rsid w:val="00234E73"/>
    <w:rsid w:val="00234E97"/>
    <w:rsid w:val="00234E9E"/>
    <w:rsid w:val="00234EF2"/>
    <w:rsid w:val="00234F4C"/>
    <w:rsid w:val="00234FBF"/>
    <w:rsid w:val="00235062"/>
    <w:rsid w:val="00235077"/>
    <w:rsid w:val="00235079"/>
    <w:rsid w:val="00235122"/>
    <w:rsid w:val="00235266"/>
    <w:rsid w:val="0023528B"/>
    <w:rsid w:val="002352B0"/>
    <w:rsid w:val="002352D4"/>
    <w:rsid w:val="0023532F"/>
    <w:rsid w:val="0023535D"/>
    <w:rsid w:val="002353B5"/>
    <w:rsid w:val="002353EA"/>
    <w:rsid w:val="00235438"/>
    <w:rsid w:val="002354F5"/>
    <w:rsid w:val="00235546"/>
    <w:rsid w:val="0023555F"/>
    <w:rsid w:val="00235586"/>
    <w:rsid w:val="002355EB"/>
    <w:rsid w:val="002355EE"/>
    <w:rsid w:val="00235618"/>
    <w:rsid w:val="0023569D"/>
    <w:rsid w:val="002356B7"/>
    <w:rsid w:val="00235766"/>
    <w:rsid w:val="00235869"/>
    <w:rsid w:val="0023587D"/>
    <w:rsid w:val="002358E9"/>
    <w:rsid w:val="00235957"/>
    <w:rsid w:val="002359D4"/>
    <w:rsid w:val="002359EB"/>
    <w:rsid w:val="00235A26"/>
    <w:rsid w:val="00235A7A"/>
    <w:rsid w:val="00235AAB"/>
    <w:rsid w:val="00235AFB"/>
    <w:rsid w:val="00235B17"/>
    <w:rsid w:val="00235C1D"/>
    <w:rsid w:val="00235C22"/>
    <w:rsid w:val="00235C7F"/>
    <w:rsid w:val="00235C83"/>
    <w:rsid w:val="00235D3B"/>
    <w:rsid w:val="00235D70"/>
    <w:rsid w:val="00235D9E"/>
    <w:rsid w:val="00235DDC"/>
    <w:rsid w:val="00235DFF"/>
    <w:rsid w:val="00235E1D"/>
    <w:rsid w:val="00235E59"/>
    <w:rsid w:val="00235ECD"/>
    <w:rsid w:val="00235F03"/>
    <w:rsid w:val="00235F16"/>
    <w:rsid w:val="00235F3F"/>
    <w:rsid w:val="00235F68"/>
    <w:rsid w:val="00235F6B"/>
    <w:rsid w:val="00235F6D"/>
    <w:rsid w:val="00235F9B"/>
    <w:rsid w:val="00235FC0"/>
    <w:rsid w:val="00236007"/>
    <w:rsid w:val="0023602B"/>
    <w:rsid w:val="00236043"/>
    <w:rsid w:val="0023612E"/>
    <w:rsid w:val="0023613B"/>
    <w:rsid w:val="00236143"/>
    <w:rsid w:val="00236238"/>
    <w:rsid w:val="00236319"/>
    <w:rsid w:val="002363EC"/>
    <w:rsid w:val="0023642C"/>
    <w:rsid w:val="002364D7"/>
    <w:rsid w:val="002364F5"/>
    <w:rsid w:val="00236500"/>
    <w:rsid w:val="00236581"/>
    <w:rsid w:val="0023658D"/>
    <w:rsid w:val="0023659D"/>
    <w:rsid w:val="002366A9"/>
    <w:rsid w:val="0023672C"/>
    <w:rsid w:val="00236770"/>
    <w:rsid w:val="002367BF"/>
    <w:rsid w:val="002367E5"/>
    <w:rsid w:val="002367F2"/>
    <w:rsid w:val="00236816"/>
    <w:rsid w:val="00236850"/>
    <w:rsid w:val="00236853"/>
    <w:rsid w:val="0023688B"/>
    <w:rsid w:val="002368C9"/>
    <w:rsid w:val="0023696F"/>
    <w:rsid w:val="00236977"/>
    <w:rsid w:val="00236AB5"/>
    <w:rsid w:val="00236AE8"/>
    <w:rsid w:val="00236B0D"/>
    <w:rsid w:val="00236B22"/>
    <w:rsid w:val="00236B3C"/>
    <w:rsid w:val="00236B9F"/>
    <w:rsid w:val="00236C30"/>
    <w:rsid w:val="00236C9F"/>
    <w:rsid w:val="00236CAE"/>
    <w:rsid w:val="00236CEC"/>
    <w:rsid w:val="00236D2E"/>
    <w:rsid w:val="00236E7B"/>
    <w:rsid w:val="00236EC2"/>
    <w:rsid w:val="00236ED9"/>
    <w:rsid w:val="00236EE8"/>
    <w:rsid w:val="00236F00"/>
    <w:rsid w:val="00236F74"/>
    <w:rsid w:val="00236FB5"/>
    <w:rsid w:val="00236FE1"/>
    <w:rsid w:val="00236FF2"/>
    <w:rsid w:val="00237064"/>
    <w:rsid w:val="0023706C"/>
    <w:rsid w:val="002370C1"/>
    <w:rsid w:val="002370D7"/>
    <w:rsid w:val="002370E0"/>
    <w:rsid w:val="0023711A"/>
    <w:rsid w:val="002371CA"/>
    <w:rsid w:val="0023724A"/>
    <w:rsid w:val="00237289"/>
    <w:rsid w:val="002372A8"/>
    <w:rsid w:val="002372AE"/>
    <w:rsid w:val="00237388"/>
    <w:rsid w:val="002373C7"/>
    <w:rsid w:val="0023745B"/>
    <w:rsid w:val="00237569"/>
    <w:rsid w:val="0023758D"/>
    <w:rsid w:val="002375B8"/>
    <w:rsid w:val="002375D0"/>
    <w:rsid w:val="002376AF"/>
    <w:rsid w:val="002376EB"/>
    <w:rsid w:val="00237773"/>
    <w:rsid w:val="002377EC"/>
    <w:rsid w:val="00237805"/>
    <w:rsid w:val="00237816"/>
    <w:rsid w:val="00237825"/>
    <w:rsid w:val="00237831"/>
    <w:rsid w:val="0023786E"/>
    <w:rsid w:val="0023788A"/>
    <w:rsid w:val="0023788B"/>
    <w:rsid w:val="00237908"/>
    <w:rsid w:val="00237949"/>
    <w:rsid w:val="00237A02"/>
    <w:rsid w:val="00237A19"/>
    <w:rsid w:val="00237A5E"/>
    <w:rsid w:val="00237AC5"/>
    <w:rsid w:val="00237B3A"/>
    <w:rsid w:val="00237B64"/>
    <w:rsid w:val="00237BC4"/>
    <w:rsid w:val="00237C4A"/>
    <w:rsid w:val="00237C94"/>
    <w:rsid w:val="00237CA0"/>
    <w:rsid w:val="00237CCD"/>
    <w:rsid w:val="00237D4F"/>
    <w:rsid w:val="00237D60"/>
    <w:rsid w:val="00237D64"/>
    <w:rsid w:val="00237DB9"/>
    <w:rsid w:val="00237E24"/>
    <w:rsid w:val="00237F30"/>
    <w:rsid w:val="0024000A"/>
    <w:rsid w:val="0024005F"/>
    <w:rsid w:val="00240120"/>
    <w:rsid w:val="0024014D"/>
    <w:rsid w:val="00240171"/>
    <w:rsid w:val="002402E0"/>
    <w:rsid w:val="00240357"/>
    <w:rsid w:val="00240375"/>
    <w:rsid w:val="002403E0"/>
    <w:rsid w:val="00240560"/>
    <w:rsid w:val="00240577"/>
    <w:rsid w:val="0024058C"/>
    <w:rsid w:val="00240643"/>
    <w:rsid w:val="002407A5"/>
    <w:rsid w:val="002407A9"/>
    <w:rsid w:val="002407DF"/>
    <w:rsid w:val="00240800"/>
    <w:rsid w:val="0024082B"/>
    <w:rsid w:val="00240901"/>
    <w:rsid w:val="0024092F"/>
    <w:rsid w:val="00240945"/>
    <w:rsid w:val="00240954"/>
    <w:rsid w:val="0024099C"/>
    <w:rsid w:val="002409E6"/>
    <w:rsid w:val="00240A45"/>
    <w:rsid w:val="00240AC1"/>
    <w:rsid w:val="00240ADA"/>
    <w:rsid w:val="00240B66"/>
    <w:rsid w:val="00240B77"/>
    <w:rsid w:val="00240C6A"/>
    <w:rsid w:val="00240C92"/>
    <w:rsid w:val="00240CAB"/>
    <w:rsid w:val="00240D68"/>
    <w:rsid w:val="00240ED0"/>
    <w:rsid w:val="00240EF4"/>
    <w:rsid w:val="00240EFB"/>
    <w:rsid w:val="00240F40"/>
    <w:rsid w:val="0024103D"/>
    <w:rsid w:val="0024107C"/>
    <w:rsid w:val="002410A2"/>
    <w:rsid w:val="002410AD"/>
    <w:rsid w:val="00241112"/>
    <w:rsid w:val="00241155"/>
    <w:rsid w:val="0024117B"/>
    <w:rsid w:val="0024117F"/>
    <w:rsid w:val="0024119E"/>
    <w:rsid w:val="002411E3"/>
    <w:rsid w:val="0024121C"/>
    <w:rsid w:val="00241233"/>
    <w:rsid w:val="0024125A"/>
    <w:rsid w:val="0024125F"/>
    <w:rsid w:val="002412C7"/>
    <w:rsid w:val="00241329"/>
    <w:rsid w:val="002413D9"/>
    <w:rsid w:val="0024140E"/>
    <w:rsid w:val="00241432"/>
    <w:rsid w:val="0024144A"/>
    <w:rsid w:val="002414D9"/>
    <w:rsid w:val="00241512"/>
    <w:rsid w:val="00241527"/>
    <w:rsid w:val="002415A0"/>
    <w:rsid w:val="002415BC"/>
    <w:rsid w:val="002416DB"/>
    <w:rsid w:val="00241700"/>
    <w:rsid w:val="0024180D"/>
    <w:rsid w:val="0024180E"/>
    <w:rsid w:val="002419E3"/>
    <w:rsid w:val="00241AEC"/>
    <w:rsid w:val="00241B1F"/>
    <w:rsid w:val="00241B71"/>
    <w:rsid w:val="00241BB7"/>
    <w:rsid w:val="00241C01"/>
    <w:rsid w:val="00241C72"/>
    <w:rsid w:val="00241C8F"/>
    <w:rsid w:val="00241C9B"/>
    <w:rsid w:val="00241CC9"/>
    <w:rsid w:val="00241CE9"/>
    <w:rsid w:val="00241D87"/>
    <w:rsid w:val="00241E74"/>
    <w:rsid w:val="00241EF9"/>
    <w:rsid w:val="00241FFB"/>
    <w:rsid w:val="0024205F"/>
    <w:rsid w:val="002420C5"/>
    <w:rsid w:val="0024213A"/>
    <w:rsid w:val="00242152"/>
    <w:rsid w:val="00242177"/>
    <w:rsid w:val="002421AE"/>
    <w:rsid w:val="002421B0"/>
    <w:rsid w:val="002421C3"/>
    <w:rsid w:val="00242203"/>
    <w:rsid w:val="0024220D"/>
    <w:rsid w:val="0024226A"/>
    <w:rsid w:val="0024228B"/>
    <w:rsid w:val="002422BA"/>
    <w:rsid w:val="002422FD"/>
    <w:rsid w:val="0024230B"/>
    <w:rsid w:val="0024235D"/>
    <w:rsid w:val="002424D6"/>
    <w:rsid w:val="002425DE"/>
    <w:rsid w:val="00242734"/>
    <w:rsid w:val="00242748"/>
    <w:rsid w:val="002427A4"/>
    <w:rsid w:val="00242807"/>
    <w:rsid w:val="00242A7B"/>
    <w:rsid w:val="00242AE7"/>
    <w:rsid w:val="00242AE9"/>
    <w:rsid w:val="00242AFC"/>
    <w:rsid w:val="00242C23"/>
    <w:rsid w:val="00242D2E"/>
    <w:rsid w:val="00242D45"/>
    <w:rsid w:val="00242D6C"/>
    <w:rsid w:val="00242DD8"/>
    <w:rsid w:val="00242DF1"/>
    <w:rsid w:val="00242EA5"/>
    <w:rsid w:val="00242F35"/>
    <w:rsid w:val="00242F41"/>
    <w:rsid w:val="00242F4D"/>
    <w:rsid w:val="00242F80"/>
    <w:rsid w:val="00242FC1"/>
    <w:rsid w:val="00243020"/>
    <w:rsid w:val="0024310E"/>
    <w:rsid w:val="00243124"/>
    <w:rsid w:val="002431C3"/>
    <w:rsid w:val="00243202"/>
    <w:rsid w:val="00243275"/>
    <w:rsid w:val="002432DE"/>
    <w:rsid w:val="00243357"/>
    <w:rsid w:val="00243398"/>
    <w:rsid w:val="002433B5"/>
    <w:rsid w:val="002433DD"/>
    <w:rsid w:val="002433E9"/>
    <w:rsid w:val="00243412"/>
    <w:rsid w:val="002434CB"/>
    <w:rsid w:val="0024353D"/>
    <w:rsid w:val="0024362D"/>
    <w:rsid w:val="00243675"/>
    <w:rsid w:val="00243687"/>
    <w:rsid w:val="002436BA"/>
    <w:rsid w:val="002436D0"/>
    <w:rsid w:val="002436DE"/>
    <w:rsid w:val="002436ED"/>
    <w:rsid w:val="002436FE"/>
    <w:rsid w:val="0024371B"/>
    <w:rsid w:val="00243751"/>
    <w:rsid w:val="0024380C"/>
    <w:rsid w:val="0024380D"/>
    <w:rsid w:val="00243827"/>
    <w:rsid w:val="0024384B"/>
    <w:rsid w:val="00243947"/>
    <w:rsid w:val="0024399C"/>
    <w:rsid w:val="002439FF"/>
    <w:rsid w:val="00243A2A"/>
    <w:rsid w:val="00243A90"/>
    <w:rsid w:val="00243AF3"/>
    <w:rsid w:val="00243B35"/>
    <w:rsid w:val="00243B5B"/>
    <w:rsid w:val="00243BB1"/>
    <w:rsid w:val="00243BEC"/>
    <w:rsid w:val="00243C18"/>
    <w:rsid w:val="00243D24"/>
    <w:rsid w:val="00243D6A"/>
    <w:rsid w:val="00243D92"/>
    <w:rsid w:val="00243DFA"/>
    <w:rsid w:val="00243E19"/>
    <w:rsid w:val="00243E2D"/>
    <w:rsid w:val="0024409E"/>
    <w:rsid w:val="002440F0"/>
    <w:rsid w:val="0024415E"/>
    <w:rsid w:val="00244176"/>
    <w:rsid w:val="002441D3"/>
    <w:rsid w:val="00244284"/>
    <w:rsid w:val="002442F1"/>
    <w:rsid w:val="002443C8"/>
    <w:rsid w:val="002443F7"/>
    <w:rsid w:val="0024446C"/>
    <w:rsid w:val="00244473"/>
    <w:rsid w:val="002444B1"/>
    <w:rsid w:val="002444BB"/>
    <w:rsid w:val="00244504"/>
    <w:rsid w:val="00244555"/>
    <w:rsid w:val="002445D4"/>
    <w:rsid w:val="002445FF"/>
    <w:rsid w:val="002446BD"/>
    <w:rsid w:val="002446D1"/>
    <w:rsid w:val="002446F7"/>
    <w:rsid w:val="002446FC"/>
    <w:rsid w:val="0024475C"/>
    <w:rsid w:val="00244771"/>
    <w:rsid w:val="002447B2"/>
    <w:rsid w:val="002447F3"/>
    <w:rsid w:val="0024484F"/>
    <w:rsid w:val="00244881"/>
    <w:rsid w:val="0024492A"/>
    <w:rsid w:val="002449B9"/>
    <w:rsid w:val="00244A91"/>
    <w:rsid w:val="00244A9B"/>
    <w:rsid w:val="00244ADF"/>
    <w:rsid w:val="00244B57"/>
    <w:rsid w:val="00244B6F"/>
    <w:rsid w:val="00244C20"/>
    <w:rsid w:val="00244C81"/>
    <w:rsid w:val="00244CD8"/>
    <w:rsid w:val="00244D67"/>
    <w:rsid w:val="00244D7F"/>
    <w:rsid w:val="00244E9D"/>
    <w:rsid w:val="00244EA6"/>
    <w:rsid w:val="00244EDE"/>
    <w:rsid w:val="00244EF6"/>
    <w:rsid w:val="00244F91"/>
    <w:rsid w:val="00244FBE"/>
    <w:rsid w:val="00245045"/>
    <w:rsid w:val="002450F7"/>
    <w:rsid w:val="0024516F"/>
    <w:rsid w:val="002451AF"/>
    <w:rsid w:val="00245246"/>
    <w:rsid w:val="0024535A"/>
    <w:rsid w:val="002453D3"/>
    <w:rsid w:val="00245466"/>
    <w:rsid w:val="002454A6"/>
    <w:rsid w:val="0024553B"/>
    <w:rsid w:val="002455B3"/>
    <w:rsid w:val="002455EF"/>
    <w:rsid w:val="0024561D"/>
    <w:rsid w:val="0024561F"/>
    <w:rsid w:val="00245691"/>
    <w:rsid w:val="00245708"/>
    <w:rsid w:val="0024574B"/>
    <w:rsid w:val="00245759"/>
    <w:rsid w:val="002457D6"/>
    <w:rsid w:val="002457DA"/>
    <w:rsid w:val="0024588F"/>
    <w:rsid w:val="00245933"/>
    <w:rsid w:val="002459BA"/>
    <w:rsid w:val="002459E8"/>
    <w:rsid w:val="00245A1A"/>
    <w:rsid w:val="00245A26"/>
    <w:rsid w:val="00245A28"/>
    <w:rsid w:val="00245AF6"/>
    <w:rsid w:val="00245B18"/>
    <w:rsid w:val="00245C9E"/>
    <w:rsid w:val="00245D3E"/>
    <w:rsid w:val="00245D58"/>
    <w:rsid w:val="00245D82"/>
    <w:rsid w:val="00245DC5"/>
    <w:rsid w:val="00245DC8"/>
    <w:rsid w:val="00245EE5"/>
    <w:rsid w:val="00245F96"/>
    <w:rsid w:val="002461A6"/>
    <w:rsid w:val="00246228"/>
    <w:rsid w:val="00246294"/>
    <w:rsid w:val="002462BE"/>
    <w:rsid w:val="00246315"/>
    <w:rsid w:val="00246324"/>
    <w:rsid w:val="00246366"/>
    <w:rsid w:val="002463A6"/>
    <w:rsid w:val="00246552"/>
    <w:rsid w:val="00246571"/>
    <w:rsid w:val="0024661C"/>
    <w:rsid w:val="0024663B"/>
    <w:rsid w:val="002466A4"/>
    <w:rsid w:val="00246702"/>
    <w:rsid w:val="00246708"/>
    <w:rsid w:val="0024679E"/>
    <w:rsid w:val="002467C5"/>
    <w:rsid w:val="00246805"/>
    <w:rsid w:val="0024686B"/>
    <w:rsid w:val="002468E6"/>
    <w:rsid w:val="002469C4"/>
    <w:rsid w:val="00246AA6"/>
    <w:rsid w:val="00246AEB"/>
    <w:rsid w:val="00246B02"/>
    <w:rsid w:val="00246B12"/>
    <w:rsid w:val="00246B6F"/>
    <w:rsid w:val="00246C5B"/>
    <w:rsid w:val="00246C98"/>
    <w:rsid w:val="00246CCC"/>
    <w:rsid w:val="00246DB3"/>
    <w:rsid w:val="00246DE8"/>
    <w:rsid w:val="00246E0F"/>
    <w:rsid w:val="00246E48"/>
    <w:rsid w:val="00246F4D"/>
    <w:rsid w:val="00246F83"/>
    <w:rsid w:val="00246F90"/>
    <w:rsid w:val="002470B0"/>
    <w:rsid w:val="002470EA"/>
    <w:rsid w:val="00247148"/>
    <w:rsid w:val="0024716E"/>
    <w:rsid w:val="00247175"/>
    <w:rsid w:val="002471C8"/>
    <w:rsid w:val="00247227"/>
    <w:rsid w:val="0024724E"/>
    <w:rsid w:val="00247262"/>
    <w:rsid w:val="002472A1"/>
    <w:rsid w:val="002472D6"/>
    <w:rsid w:val="00247309"/>
    <w:rsid w:val="00247326"/>
    <w:rsid w:val="00247339"/>
    <w:rsid w:val="002473F5"/>
    <w:rsid w:val="0024740F"/>
    <w:rsid w:val="0024744B"/>
    <w:rsid w:val="0024746F"/>
    <w:rsid w:val="00247485"/>
    <w:rsid w:val="002474A9"/>
    <w:rsid w:val="002474EB"/>
    <w:rsid w:val="0024753F"/>
    <w:rsid w:val="002475CB"/>
    <w:rsid w:val="00247649"/>
    <w:rsid w:val="00247658"/>
    <w:rsid w:val="00247675"/>
    <w:rsid w:val="0024768A"/>
    <w:rsid w:val="002476B9"/>
    <w:rsid w:val="0024770F"/>
    <w:rsid w:val="00247773"/>
    <w:rsid w:val="002477C3"/>
    <w:rsid w:val="00247847"/>
    <w:rsid w:val="0024786D"/>
    <w:rsid w:val="002478D9"/>
    <w:rsid w:val="002478F3"/>
    <w:rsid w:val="0024793C"/>
    <w:rsid w:val="0024795A"/>
    <w:rsid w:val="002479AD"/>
    <w:rsid w:val="002479B5"/>
    <w:rsid w:val="00247A63"/>
    <w:rsid w:val="00247B39"/>
    <w:rsid w:val="00247B58"/>
    <w:rsid w:val="00247B82"/>
    <w:rsid w:val="00247C59"/>
    <w:rsid w:val="00247CC1"/>
    <w:rsid w:val="00247CC2"/>
    <w:rsid w:val="00247D22"/>
    <w:rsid w:val="00247D35"/>
    <w:rsid w:val="00247D60"/>
    <w:rsid w:val="00247D84"/>
    <w:rsid w:val="00247D8C"/>
    <w:rsid w:val="00247D95"/>
    <w:rsid w:val="00247DAA"/>
    <w:rsid w:val="00247DCD"/>
    <w:rsid w:val="00247DE4"/>
    <w:rsid w:val="00247E1A"/>
    <w:rsid w:val="00247E50"/>
    <w:rsid w:val="00247E66"/>
    <w:rsid w:val="00247E7C"/>
    <w:rsid w:val="00247EB0"/>
    <w:rsid w:val="00247FAF"/>
    <w:rsid w:val="00250068"/>
    <w:rsid w:val="002500D3"/>
    <w:rsid w:val="0025010F"/>
    <w:rsid w:val="0025022D"/>
    <w:rsid w:val="00250299"/>
    <w:rsid w:val="002502C3"/>
    <w:rsid w:val="00250335"/>
    <w:rsid w:val="00250358"/>
    <w:rsid w:val="0025045C"/>
    <w:rsid w:val="00250490"/>
    <w:rsid w:val="0025050D"/>
    <w:rsid w:val="0025055F"/>
    <w:rsid w:val="002505C3"/>
    <w:rsid w:val="002505CF"/>
    <w:rsid w:val="002505EB"/>
    <w:rsid w:val="0025064B"/>
    <w:rsid w:val="00250660"/>
    <w:rsid w:val="002506B2"/>
    <w:rsid w:val="0025072F"/>
    <w:rsid w:val="0025073B"/>
    <w:rsid w:val="00250794"/>
    <w:rsid w:val="00250824"/>
    <w:rsid w:val="0025083D"/>
    <w:rsid w:val="0025087E"/>
    <w:rsid w:val="0025090D"/>
    <w:rsid w:val="00250953"/>
    <w:rsid w:val="00250A46"/>
    <w:rsid w:val="00250A47"/>
    <w:rsid w:val="00250A6E"/>
    <w:rsid w:val="00250AD5"/>
    <w:rsid w:val="00250AE6"/>
    <w:rsid w:val="00250AEB"/>
    <w:rsid w:val="00250B0C"/>
    <w:rsid w:val="00250BAF"/>
    <w:rsid w:val="00250C00"/>
    <w:rsid w:val="00250C12"/>
    <w:rsid w:val="00250C3A"/>
    <w:rsid w:val="00250C95"/>
    <w:rsid w:val="00250D4E"/>
    <w:rsid w:val="00250D7B"/>
    <w:rsid w:val="00250E39"/>
    <w:rsid w:val="00250E3A"/>
    <w:rsid w:val="00250E3F"/>
    <w:rsid w:val="00250F91"/>
    <w:rsid w:val="00250FD0"/>
    <w:rsid w:val="00251048"/>
    <w:rsid w:val="0025106A"/>
    <w:rsid w:val="0025109C"/>
    <w:rsid w:val="0025112B"/>
    <w:rsid w:val="002511C5"/>
    <w:rsid w:val="002511CD"/>
    <w:rsid w:val="002511FC"/>
    <w:rsid w:val="00251309"/>
    <w:rsid w:val="0025137B"/>
    <w:rsid w:val="00251392"/>
    <w:rsid w:val="0025139B"/>
    <w:rsid w:val="002513FE"/>
    <w:rsid w:val="00251437"/>
    <w:rsid w:val="00251471"/>
    <w:rsid w:val="002514B8"/>
    <w:rsid w:val="0025150A"/>
    <w:rsid w:val="00251548"/>
    <w:rsid w:val="00251574"/>
    <w:rsid w:val="002515A9"/>
    <w:rsid w:val="002515BE"/>
    <w:rsid w:val="002515C2"/>
    <w:rsid w:val="002515F1"/>
    <w:rsid w:val="00251633"/>
    <w:rsid w:val="00251655"/>
    <w:rsid w:val="002516EC"/>
    <w:rsid w:val="00251751"/>
    <w:rsid w:val="00251768"/>
    <w:rsid w:val="002517DD"/>
    <w:rsid w:val="002517EE"/>
    <w:rsid w:val="0025180F"/>
    <w:rsid w:val="00251821"/>
    <w:rsid w:val="00251842"/>
    <w:rsid w:val="002518A6"/>
    <w:rsid w:val="002518D0"/>
    <w:rsid w:val="002518F2"/>
    <w:rsid w:val="00251A1D"/>
    <w:rsid w:val="00251A2F"/>
    <w:rsid w:val="00251A7D"/>
    <w:rsid w:val="00251AD6"/>
    <w:rsid w:val="00251AE6"/>
    <w:rsid w:val="00251B3F"/>
    <w:rsid w:val="00251B5F"/>
    <w:rsid w:val="00251BA2"/>
    <w:rsid w:val="00251BC3"/>
    <w:rsid w:val="00251CF1"/>
    <w:rsid w:val="00251D06"/>
    <w:rsid w:val="00251D97"/>
    <w:rsid w:val="00251D99"/>
    <w:rsid w:val="00251DDD"/>
    <w:rsid w:val="00251E6A"/>
    <w:rsid w:val="00251E6E"/>
    <w:rsid w:val="00251E8D"/>
    <w:rsid w:val="00251ECC"/>
    <w:rsid w:val="00251EFE"/>
    <w:rsid w:val="00251F83"/>
    <w:rsid w:val="00251F92"/>
    <w:rsid w:val="00251FB9"/>
    <w:rsid w:val="00251FEF"/>
    <w:rsid w:val="0025200D"/>
    <w:rsid w:val="002520AB"/>
    <w:rsid w:val="002520D4"/>
    <w:rsid w:val="002520EF"/>
    <w:rsid w:val="0025215F"/>
    <w:rsid w:val="0025218F"/>
    <w:rsid w:val="002521C8"/>
    <w:rsid w:val="002521EC"/>
    <w:rsid w:val="002521F6"/>
    <w:rsid w:val="00252221"/>
    <w:rsid w:val="0025225C"/>
    <w:rsid w:val="00252287"/>
    <w:rsid w:val="002522AB"/>
    <w:rsid w:val="0025234C"/>
    <w:rsid w:val="0025239A"/>
    <w:rsid w:val="002523D5"/>
    <w:rsid w:val="00252483"/>
    <w:rsid w:val="00252489"/>
    <w:rsid w:val="002524C0"/>
    <w:rsid w:val="002524DB"/>
    <w:rsid w:val="0025255F"/>
    <w:rsid w:val="0025267D"/>
    <w:rsid w:val="002526A6"/>
    <w:rsid w:val="002526AC"/>
    <w:rsid w:val="002526E6"/>
    <w:rsid w:val="002527BC"/>
    <w:rsid w:val="002527DC"/>
    <w:rsid w:val="0025284C"/>
    <w:rsid w:val="002528BD"/>
    <w:rsid w:val="00252901"/>
    <w:rsid w:val="00252922"/>
    <w:rsid w:val="0025294A"/>
    <w:rsid w:val="002529F6"/>
    <w:rsid w:val="00252A0E"/>
    <w:rsid w:val="00252ADA"/>
    <w:rsid w:val="00252B1A"/>
    <w:rsid w:val="00252BFF"/>
    <w:rsid w:val="00252C1D"/>
    <w:rsid w:val="00252C45"/>
    <w:rsid w:val="00252C48"/>
    <w:rsid w:val="00252C74"/>
    <w:rsid w:val="00252CBD"/>
    <w:rsid w:val="00252CCA"/>
    <w:rsid w:val="00252CE4"/>
    <w:rsid w:val="00252CF3"/>
    <w:rsid w:val="00252D96"/>
    <w:rsid w:val="00252DAE"/>
    <w:rsid w:val="00252DC9"/>
    <w:rsid w:val="00252DFF"/>
    <w:rsid w:val="00252E47"/>
    <w:rsid w:val="00252E8D"/>
    <w:rsid w:val="00252F4F"/>
    <w:rsid w:val="00252F77"/>
    <w:rsid w:val="00252F99"/>
    <w:rsid w:val="00252FA7"/>
    <w:rsid w:val="00252FB4"/>
    <w:rsid w:val="0025309A"/>
    <w:rsid w:val="002530EB"/>
    <w:rsid w:val="002530F6"/>
    <w:rsid w:val="00253107"/>
    <w:rsid w:val="0025313F"/>
    <w:rsid w:val="00253161"/>
    <w:rsid w:val="002531A6"/>
    <w:rsid w:val="002532D5"/>
    <w:rsid w:val="00253300"/>
    <w:rsid w:val="00253328"/>
    <w:rsid w:val="00253371"/>
    <w:rsid w:val="0025340C"/>
    <w:rsid w:val="0025345C"/>
    <w:rsid w:val="0025347A"/>
    <w:rsid w:val="002534C9"/>
    <w:rsid w:val="002534EE"/>
    <w:rsid w:val="00253571"/>
    <w:rsid w:val="00253597"/>
    <w:rsid w:val="00253602"/>
    <w:rsid w:val="0025364C"/>
    <w:rsid w:val="00253673"/>
    <w:rsid w:val="00253698"/>
    <w:rsid w:val="002536D4"/>
    <w:rsid w:val="00253700"/>
    <w:rsid w:val="0025370E"/>
    <w:rsid w:val="00253714"/>
    <w:rsid w:val="002537B2"/>
    <w:rsid w:val="00253898"/>
    <w:rsid w:val="002538F3"/>
    <w:rsid w:val="0025390D"/>
    <w:rsid w:val="0025390E"/>
    <w:rsid w:val="00253965"/>
    <w:rsid w:val="002539B5"/>
    <w:rsid w:val="002539C5"/>
    <w:rsid w:val="00253A8F"/>
    <w:rsid w:val="00253AAE"/>
    <w:rsid w:val="00253BAA"/>
    <w:rsid w:val="00253D46"/>
    <w:rsid w:val="00253DF7"/>
    <w:rsid w:val="00253E08"/>
    <w:rsid w:val="00253FE8"/>
    <w:rsid w:val="00254026"/>
    <w:rsid w:val="00254070"/>
    <w:rsid w:val="002540FF"/>
    <w:rsid w:val="002542AC"/>
    <w:rsid w:val="002542DE"/>
    <w:rsid w:val="002542EF"/>
    <w:rsid w:val="002542F1"/>
    <w:rsid w:val="00254343"/>
    <w:rsid w:val="0025435E"/>
    <w:rsid w:val="0025437B"/>
    <w:rsid w:val="0025448C"/>
    <w:rsid w:val="002544AF"/>
    <w:rsid w:val="00254523"/>
    <w:rsid w:val="0025456B"/>
    <w:rsid w:val="00254592"/>
    <w:rsid w:val="002545B1"/>
    <w:rsid w:val="002546DF"/>
    <w:rsid w:val="00254728"/>
    <w:rsid w:val="0025483C"/>
    <w:rsid w:val="0025488E"/>
    <w:rsid w:val="00254905"/>
    <w:rsid w:val="00254976"/>
    <w:rsid w:val="00254A8A"/>
    <w:rsid w:val="00254A8E"/>
    <w:rsid w:val="00254AAE"/>
    <w:rsid w:val="00254AE1"/>
    <w:rsid w:val="00254AF2"/>
    <w:rsid w:val="00254BE6"/>
    <w:rsid w:val="00254C0A"/>
    <w:rsid w:val="00254C11"/>
    <w:rsid w:val="00254C73"/>
    <w:rsid w:val="00254CB6"/>
    <w:rsid w:val="00254CE0"/>
    <w:rsid w:val="00254D49"/>
    <w:rsid w:val="00254D86"/>
    <w:rsid w:val="00254DC3"/>
    <w:rsid w:val="00254DE5"/>
    <w:rsid w:val="00254E27"/>
    <w:rsid w:val="00254EA9"/>
    <w:rsid w:val="00254EB2"/>
    <w:rsid w:val="00254F2D"/>
    <w:rsid w:val="00254F9D"/>
    <w:rsid w:val="0025506B"/>
    <w:rsid w:val="002551A8"/>
    <w:rsid w:val="0025524A"/>
    <w:rsid w:val="00255314"/>
    <w:rsid w:val="0025532D"/>
    <w:rsid w:val="00255351"/>
    <w:rsid w:val="002553F7"/>
    <w:rsid w:val="002554F3"/>
    <w:rsid w:val="00255519"/>
    <w:rsid w:val="00255531"/>
    <w:rsid w:val="00255611"/>
    <w:rsid w:val="0025561E"/>
    <w:rsid w:val="00255633"/>
    <w:rsid w:val="00255636"/>
    <w:rsid w:val="00255663"/>
    <w:rsid w:val="00255698"/>
    <w:rsid w:val="00255761"/>
    <w:rsid w:val="00255799"/>
    <w:rsid w:val="0025580A"/>
    <w:rsid w:val="0025598B"/>
    <w:rsid w:val="00255A0F"/>
    <w:rsid w:val="00255A28"/>
    <w:rsid w:val="00255ACA"/>
    <w:rsid w:val="00255B50"/>
    <w:rsid w:val="00255B52"/>
    <w:rsid w:val="00255C48"/>
    <w:rsid w:val="00255CCE"/>
    <w:rsid w:val="00255CE8"/>
    <w:rsid w:val="00255D21"/>
    <w:rsid w:val="00255DA3"/>
    <w:rsid w:val="00255DAE"/>
    <w:rsid w:val="00255E1F"/>
    <w:rsid w:val="00255E2E"/>
    <w:rsid w:val="00255E40"/>
    <w:rsid w:val="00255E50"/>
    <w:rsid w:val="00255E8B"/>
    <w:rsid w:val="00255EED"/>
    <w:rsid w:val="00255EF0"/>
    <w:rsid w:val="00255F02"/>
    <w:rsid w:val="00255F2B"/>
    <w:rsid w:val="00255F46"/>
    <w:rsid w:val="002560DB"/>
    <w:rsid w:val="002560DD"/>
    <w:rsid w:val="00256201"/>
    <w:rsid w:val="00256227"/>
    <w:rsid w:val="00256259"/>
    <w:rsid w:val="00256263"/>
    <w:rsid w:val="002562BF"/>
    <w:rsid w:val="00256303"/>
    <w:rsid w:val="0025632E"/>
    <w:rsid w:val="0025634F"/>
    <w:rsid w:val="00256395"/>
    <w:rsid w:val="002563A9"/>
    <w:rsid w:val="00256407"/>
    <w:rsid w:val="0025641E"/>
    <w:rsid w:val="00256443"/>
    <w:rsid w:val="002564DE"/>
    <w:rsid w:val="002565CA"/>
    <w:rsid w:val="002565F2"/>
    <w:rsid w:val="00256632"/>
    <w:rsid w:val="00256639"/>
    <w:rsid w:val="00256676"/>
    <w:rsid w:val="00256686"/>
    <w:rsid w:val="002566E9"/>
    <w:rsid w:val="00256746"/>
    <w:rsid w:val="00256753"/>
    <w:rsid w:val="0025676B"/>
    <w:rsid w:val="00256827"/>
    <w:rsid w:val="0025684A"/>
    <w:rsid w:val="00256860"/>
    <w:rsid w:val="002568ED"/>
    <w:rsid w:val="00256977"/>
    <w:rsid w:val="0025698F"/>
    <w:rsid w:val="00256A3A"/>
    <w:rsid w:val="00256A65"/>
    <w:rsid w:val="00256A89"/>
    <w:rsid w:val="00256B5B"/>
    <w:rsid w:val="00256B84"/>
    <w:rsid w:val="00256C0A"/>
    <w:rsid w:val="00256C73"/>
    <w:rsid w:val="00256CB0"/>
    <w:rsid w:val="00256CD6"/>
    <w:rsid w:val="00256CE3"/>
    <w:rsid w:val="00256DC3"/>
    <w:rsid w:val="00256E0F"/>
    <w:rsid w:val="00256ECD"/>
    <w:rsid w:val="00256F09"/>
    <w:rsid w:val="00256F19"/>
    <w:rsid w:val="00256F24"/>
    <w:rsid w:val="00256F3A"/>
    <w:rsid w:val="00256F75"/>
    <w:rsid w:val="00256FC1"/>
    <w:rsid w:val="0025709E"/>
    <w:rsid w:val="0025725D"/>
    <w:rsid w:val="00257281"/>
    <w:rsid w:val="002572EF"/>
    <w:rsid w:val="00257370"/>
    <w:rsid w:val="002573B7"/>
    <w:rsid w:val="002573E9"/>
    <w:rsid w:val="00257468"/>
    <w:rsid w:val="00257498"/>
    <w:rsid w:val="0025749D"/>
    <w:rsid w:val="00257531"/>
    <w:rsid w:val="0025753E"/>
    <w:rsid w:val="002575E3"/>
    <w:rsid w:val="002576EF"/>
    <w:rsid w:val="0025770C"/>
    <w:rsid w:val="002577EB"/>
    <w:rsid w:val="002577EC"/>
    <w:rsid w:val="00257807"/>
    <w:rsid w:val="00257877"/>
    <w:rsid w:val="002578F7"/>
    <w:rsid w:val="002578FA"/>
    <w:rsid w:val="0025790E"/>
    <w:rsid w:val="00257920"/>
    <w:rsid w:val="00257935"/>
    <w:rsid w:val="00257988"/>
    <w:rsid w:val="00257A0B"/>
    <w:rsid w:val="00257A0F"/>
    <w:rsid w:val="00257A15"/>
    <w:rsid w:val="00257A6E"/>
    <w:rsid w:val="00257BF8"/>
    <w:rsid w:val="00257C64"/>
    <w:rsid w:val="00257C6F"/>
    <w:rsid w:val="00257DFC"/>
    <w:rsid w:val="00257EB6"/>
    <w:rsid w:val="00257EC2"/>
    <w:rsid w:val="00257EC3"/>
    <w:rsid w:val="00257F3B"/>
    <w:rsid w:val="00257FA1"/>
    <w:rsid w:val="002600AE"/>
    <w:rsid w:val="00260115"/>
    <w:rsid w:val="00260273"/>
    <w:rsid w:val="0026034D"/>
    <w:rsid w:val="00260391"/>
    <w:rsid w:val="002603A2"/>
    <w:rsid w:val="002603C0"/>
    <w:rsid w:val="00260490"/>
    <w:rsid w:val="0026049C"/>
    <w:rsid w:val="00260500"/>
    <w:rsid w:val="0026058F"/>
    <w:rsid w:val="00260592"/>
    <w:rsid w:val="002605A2"/>
    <w:rsid w:val="0026064D"/>
    <w:rsid w:val="002606B9"/>
    <w:rsid w:val="00260767"/>
    <w:rsid w:val="002607DE"/>
    <w:rsid w:val="0026085F"/>
    <w:rsid w:val="002608FE"/>
    <w:rsid w:val="0026099E"/>
    <w:rsid w:val="002609D8"/>
    <w:rsid w:val="00260A6F"/>
    <w:rsid w:val="00260B8E"/>
    <w:rsid w:val="00260B9F"/>
    <w:rsid w:val="00260BAD"/>
    <w:rsid w:val="00260C35"/>
    <w:rsid w:val="00260C6E"/>
    <w:rsid w:val="00260D13"/>
    <w:rsid w:val="00260D5C"/>
    <w:rsid w:val="00260D9E"/>
    <w:rsid w:val="00260DB4"/>
    <w:rsid w:val="00260EDE"/>
    <w:rsid w:val="00260EDF"/>
    <w:rsid w:val="00260F90"/>
    <w:rsid w:val="0026100E"/>
    <w:rsid w:val="00261075"/>
    <w:rsid w:val="00261158"/>
    <w:rsid w:val="0026115F"/>
    <w:rsid w:val="002611A8"/>
    <w:rsid w:val="002611AB"/>
    <w:rsid w:val="00261211"/>
    <w:rsid w:val="00261378"/>
    <w:rsid w:val="002613A2"/>
    <w:rsid w:val="002613AA"/>
    <w:rsid w:val="0026141F"/>
    <w:rsid w:val="00261583"/>
    <w:rsid w:val="002615D1"/>
    <w:rsid w:val="002615EF"/>
    <w:rsid w:val="002617B8"/>
    <w:rsid w:val="00261817"/>
    <w:rsid w:val="00261831"/>
    <w:rsid w:val="0026185B"/>
    <w:rsid w:val="0026189F"/>
    <w:rsid w:val="002618BE"/>
    <w:rsid w:val="002618EF"/>
    <w:rsid w:val="00261958"/>
    <w:rsid w:val="00261967"/>
    <w:rsid w:val="002619B1"/>
    <w:rsid w:val="002619CA"/>
    <w:rsid w:val="002619D1"/>
    <w:rsid w:val="00261A51"/>
    <w:rsid w:val="00261A8F"/>
    <w:rsid w:val="00261A93"/>
    <w:rsid w:val="00261A9C"/>
    <w:rsid w:val="00261AAE"/>
    <w:rsid w:val="00261ACC"/>
    <w:rsid w:val="00261BD9"/>
    <w:rsid w:val="00261C2B"/>
    <w:rsid w:val="00261C4E"/>
    <w:rsid w:val="00261C7C"/>
    <w:rsid w:val="00261CE1"/>
    <w:rsid w:val="00261DE2"/>
    <w:rsid w:val="00261E30"/>
    <w:rsid w:val="00261EDF"/>
    <w:rsid w:val="00261EE3"/>
    <w:rsid w:val="00261F40"/>
    <w:rsid w:val="00261FB4"/>
    <w:rsid w:val="00261FCF"/>
    <w:rsid w:val="0026204D"/>
    <w:rsid w:val="00262080"/>
    <w:rsid w:val="002620EA"/>
    <w:rsid w:val="002621A2"/>
    <w:rsid w:val="002621A7"/>
    <w:rsid w:val="00262221"/>
    <w:rsid w:val="0026226E"/>
    <w:rsid w:val="0026231E"/>
    <w:rsid w:val="00262345"/>
    <w:rsid w:val="00262360"/>
    <w:rsid w:val="0026239C"/>
    <w:rsid w:val="002623A2"/>
    <w:rsid w:val="00262404"/>
    <w:rsid w:val="00262433"/>
    <w:rsid w:val="00262465"/>
    <w:rsid w:val="0026246D"/>
    <w:rsid w:val="002624A6"/>
    <w:rsid w:val="002624FD"/>
    <w:rsid w:val="0026251D"/>
    <w:rsid w:val="0026252C"/>
    <w:rsid w:val="00262535"/>
    <w:rsid w:val="0026256A"/>
    <w:rsid w:val="00262575"/>
    <w:rsid w:val="002625B6"/>
    <w:rsid w:val="002625CF"/>
    <w:rsid w:val="002625F7"/>
    <w:rsid w:val="00262654"/>
    <w:rsid w:val="0026266F"/>
    <w:rsid w:val="00262679"/>
    <w:rsid w:val="002626EF"/>
    <w:rsid w:val="0026273C"/>
    <w:rsid w:val="00262779"/>
    <w:rsid w:val="002627A3"/>
    <w:rsid w:val="002627F0"/>
    <w:rsid w:val="00262840"/>
    <w:rsid w:val="002628B6"/>
    <w:rsid w:val="00262904"/>
    <w:rsid w:val="00262948"/>
    <w:rsid w:val="0026294C"/>
    <w:rsid w:val="00262998"/>
    <w:rsid w:val="002629BB"/>
    <w:rsid w:val="002629C2"/>
    <w:rsid w:val="00262A9E"/>
    <w:rsid w:val="00262AFF"/>
    <w:rsid w:val="00262C09"/>
    <w:rsid w:val="00262C95"/>
    <w:rsid w:val="00262D36"/>
    <w:rsid w:val="00262D83"/>
    <w:rsid w:val="00262D90"/>
    <w:rsid w:val="00262DE0"/>
    <w:rsid w:val="00262E35"/>
    <w:rsid w:val="00262E9D"/>
    <w:rsid w:val="00262EB7"/>
    <w:rsid w:val="00262ED8"/>
    <w:rsid w:val="00262F15"/>
    <w:rsid w:val="00262F57"/>
    <w:rsid w:val="00262FA2"/>
    <w:rsid w:val="00262FC6"/>
    <w:rsid w:val="00262FE3"/>
    <w:rsid w:val="00263050"/>
    <w:rsid w:val="00263082"/>
    <w:rsid w:val="0026309B"/>
    <w:rsid w:val="0026309E"/>
    <w:rsid w:val="002630F1"/>
    <w:rsid w:val="00263106"/>
    <w:rsid w:val="00263142"/>
    <w:rsid w:val="00263160"/>
    <w:rsid w:val="0026320C"/>
    <w:rsid w:val="00263258"/>
    <w:rsid w:val="002633D9"/>
    <w:rsid w:val="002633F8"/>
    <w:rsid w:val="0026340D"/>
    <w:rsid w:val="00263451"/>
    <w:rsid w:val="00263487"/>
    <w:rsid w:val="00263546"/>
    <w:rsid w:val="002635BB"/>
    <w:rsid w:val="0026365F"/>
    <w:rsid w:val="002636E2"/>
    <w:rsid w:val="00263709"/>
    <w:rsid w:val="00263759"/>
    <w:rsid w:val="00263775"/>
    <w:rsid w:val="00263789"/>
    <w:rsid w:val="00263800"/>
    <w:rsid w:val="00263840"/>
    <w:rsid w:val="00263861"/>
    <w:rsid w:val="002638E0"/>
    <w:rsid w:val="0026395F"/>
    <w:rsid w:val="00263964"/>
    <w:rsid w:val="002639AD"/>
    <w:rsid w:val="00263A12"/>
    <w:rsid w:val="00263AA5"/>
    <w:rsid w:val="00263AB4"/>
    <w:rsid w:val="00263ABA"/>
    <w:rsid w:val="00263AF5"/>
    <w:rsid w:val="00263B1A"/>
    <w:rsid w:val="00263C03"/>
    <w:rsid w:val="00263C14"/>
    <w:rsid w:val="00263C9D"/>
    <w:rsid w:val="00263D4F"/>
    <w:rsid w:val="00263E56"/>
    <w:rsid w:val="00263E83"/>
    <w:rsid w:val="00263F10"/>
    <w:rsid w:val="0026404D"/>
    <w:rsid w:val="0026405F"/>
    <w:rsid w:val="0026414A"/>
    <w:rsid w:val="00264246"/>
    <w:rsid w:val="0026424A"/>
    <w:rsid w:val="00264273"/>
    <w:rsid w:val="0026428C"/>
    <w:rsid w:val="002642D9"/>
    <w:rsid w:val="00264313"/>
    <w:rsid w:val="002643A1"/>
    <w:rsid w:val="00264402"/>
    <w:rsid w:val="00264418"/>
    <w:rsid w:val="00264425"/>
    <w:rsid w:val="00264453"/>
    <w:rsid w:val="002644A3"/>
    <w:rsid w:val="00264556"/>
    <w:rsid w:val="002645F3"/>
    <w:rsid w:val="00264647"/>
    <w:rsid w:val="00264653"/>
    <w:rsid w:val="00264655"/>
    <w:rsid w:val="00264681"/>
    <w:rsid w:val="002646EA"/>
    <w:rsid w:val="0026474C"/>
    <w:rsid w:val="00264785"/>
    <w:rsid w:val="002647F5"/>
    <w:rsid w:val="00264851"/>
    <w:rsid w:val="00264883"/>
    <w:rsid w:val="002648A2"/>
    <w:rsid w:val="002648B4"/>
    <w:rsid w:val="002648B8"/>
    <w:rsid w:val="00264926"/>
    <w:rsid w:val="00264955"/>
    <w:rsid w:val="002649AD"/>
    <w:rsid w:val="002649B0"/>
    <w:rsid w:val="002649D6"/>
    <w:rsid w:val="002649FF"/>
    <w:rsid w:val="00264A23"/>
    <w:rsid w:val="00264A57"/>
    <w:rsid w:val="00264A62"/>
    <w:rsid w:val="00264B16"/>
    <w:rsid w:val="00264B9D"/>
    <w:rsid w:val="00264BA4"/>
    <w:rsid w:val="00264C04"/>
    <w:rsid w:val="00264C22"/>
    <w:rsid w:val="00264C60"/>
    <w:rsid w:val="00264C89"/>
    <w:rsid w:val="00264D2C"/>
    <w:rsid w:val="00264D41"/>
    <w:rsid w:val="00264D73"/>
    <w:rsid w:val="00264E3C"/>
    <w:rsid w:val="00264E4F"/>
    <w:rsid w:val="00264E6F"/>
    <w:rsid w:val="00264EB7"/>
    <w:rsid w:val="00264F10"/>
    <w:rsid w:val="00264F51"/>
    <w:rsid w:val="0026505D"/>
    <w:rsid w:val="0026509C"/>
    <w:rsid w:val="002650CB"/>
    <w:rsid w:val="002650EA"/>
    <w:rsid w:val="00265166"/>
    <w:rsid w:val="002651F3"/>
    <w:rsid w:val="00265292"/>
    <w:rsid w:val="0026529A"/>
    <w:rsid w:val="002653E6"/>
    <w:rsid w:val="002654C7"/>
    <w:rsid w:val="00265548"/>
    <w:rsid w:val="00265556"/>
    <w:rsid w:val="002655A2"/>
    <w:rsid w:val="002655D9"/>
    <w:rsid w:val="00265670"/>
    <w:rsid w:val="00265677"/>
    <w:rsid w:val="0026567D"/>
    <w:rsid w:val="002656D5"/>
    <w:rsid w:val="0026575B"/>
    <w:rsid w:val="002657CC"/>
    <w:rsid w:val="002657EB"/>
    <w:rsid w:val="00265862"/>
    <w:rsid w:val="00265866"/>
    <w:rsid w:val="0026598D"/>
    <w:rsid w:val="00265A4E"/>
    <w:rsid w:val="00265A67"/>
    <w:rsid w:val="00265A84"/>
    <w:rsid w:val="00265AF6"/>
    <w:rsid w:val="00265B11"/>
    <w:rsid w:val="00265B12"/>
    <w:rsid w:val="00265B96"/>
    <w:rsid w:val="00265BBA"/>
    <w:rsid w:val="00265C0D"/>
    <w:rsid w:val="00265C8C"/>
    <w:rsid w:val="00265D09"/>
    <w:rsid w:val="00265D0F"/>
    <w:rsid w:val="00265DED"/>
    <w:rsid w:val="00265E19"/>
    <w:rsid w:val="00265E6E"/>
    <w:rsid w:val="00265EF6"/>
    <w:rsid w:val="00265EFE"/>
    <w:rsid w:val="00265F4C"/>
    <w:rsid w:val="00265FB4"/>
    <w:rsid w:val="0026603A"/>
    <w:rsid w:val="00266044"/>
    <w:rsid w:val="00266061"/>
    <w:rsid w:val="00266093"/>
    <w:rsid w:val="002660D7"/>
    <w:rsid w:val="0026610C"/>
    <w:rsid w:val="00266120"/>
    <w:rsid w:val="00266151"/>
    <w:rsid w:val="00266164"/>
    <w:rsid w:val="002661A3"/>
    <w:rsid w:val="0026622B"/>
    <w:rsid w:val="002663C2"/>
    <w:rsid w:val="002663E7"/>
    <w:rsid w:val="002663F0"/>
    <w:rsid w:val="00266463"/>
    <w:rsid w:val="00266477"/>
    <w:rsid w:val="00266565"/>
    <w:rsid w:val="00266582"/>
    <w:rsid w:val="00266587"/>
    <w:rsid w:val="0026660D"/>
    <w:rsid w:val="00266634"/>
    <w:rsid w:val="0026664A"/>
    <w:rsid w:val="002666B4"/>
    <w:rsid w:val="002666C9"/>
    <w:rsid w:val="002666EA"/>
    <w:rsid w:val="00266717"/>
    <w:rsid w:val="0026673A"/>
    <w:rsid w:val="002667CF"/>
    <w:rsid w:val="002667F5"/>
    <w:rsid w:val="00266882"/>
    <w:rsid w:val="002668B8"/>
    <w:rsid w:val="0026691F"/>
    <w:rsid w:val="002669AD"/>
    <w:rsid w:val="002669F1"/>
    <w:rsid w:val="00266A31"/>
    <w:rsid w:val="00266A4B"/>
    <w:rsid w:val="00266A80"/>
    <w:rsid w:val="00266B4D"/>
    <w:rsid w:val="00266BDB"/>
    <w:rsid w:val="00266BF9"/>
    <w:rsid w:val="00266C39"/>
    <w:rsid w:val="00266CCF"/>
    <w:rsid w:val="00266CDE"/>
    <w:rsid w:val="00266D2A"/>
    <w:rsid w:val="00266D3D"/>
    <w:rsid w:val="00266D52"/>
    <w:rsid w:val="00266D62"/>
    <w:rsid w:val="00266DF5"/>
    <w:rsid w:val="00266E09"/>
    <w:rsid w:val="00266E84"/>
    <w:rsid w:val="00266ED2"/>
    <w:rsid w:val="00266F07"/>
    <w:rsid w:val="00267062"/>
    <w:rsid w:val="002670EE"/>
    <w:rsid w:val="002670FA"/>
    <w:rsid w:val="00267141"/>
    <w:rsid w:val="0026716D"/>
    <w:rsid w:val="00267193"/>
    <w:rsid w:val="002671F8"/>
    <w:rsid w:val="002671FB"/>
    <w:rsid w:val="002672B0"/>
    <w:rsid w:val="002672B6"/>
    <w:rsid w:val="002672EA"/>
    <w:rsid w:val="002672F0"/>
    <w:rsid w:val="00267345"/>
    <w:rsid w:val="00267358"/>
    <w:rsid w:val="002673FF"/>
    <w:rsid w:val="002674FD"/>
    <w:rsid w:val="0026753E"/>
    <w:rsid w:val="0026757D"/>
    <w:rsid w:val="0026759B"/>
    <w:rsid w:val="002675A3"/>
    <w:rsid w:val="002676FE"/>
    <w:rsid w:val="00267704"/>
    <w:rsid w:val="00267715"/>
    <w:rsid w:val="0026779E"/>
    <w:rsid w:val="002677D2"/>
    <w:rsid w:val="002677F6"/>
    <w:rsid w:val="00267833"/>
    <w:rsid w:val="002678B9"/>
    <w:rsid w:val="0026796E"/>
    <w:rsid w:val="0026797F"/>
    <w:rsid w:val="002679FA"/>
    <w:rsid w:val="00267A11"/>
    <w:rsid w:val="00267A44"/>
    <w:rsid w:val="00267A84"/>
    <w:rsid w:val="00267AB3"/>
    <w:rsid w:val="00267ACC"/>
    <w:rsid w:val="00267AD2"/>
    <w:rsid w:val="00267B65"/>
    <w:rsid w:val="00267C8B"/>
    <w:rsid w:val="00267CAB"/>
    <w:rsid w:val="00267D2A"/>
    <w:rsid w:val="00267DA2"/>
    <w:rsid w:val="00267E81"/>
    <w:rsid w:val="00267EA3"/>
    <w:rsid w:val="00267F35"/>
    <w:rsid w:val="00267F88"/>
    <w:rsid w:val="00267FC7"/>
    <w:rsid w:val="00267FD4"/>
    <w:rsid w:val="0026EDA3"/>
    <w:rsid w:val="0027004B"/>
    <w:rsid w:val="0027008B"/>
    <w:rsid w:val="002700D8"/>
    <w:rsid w:val="002701E4"/>
    <w:rsid w:val="00270242"/>
    <w:rsid w:val="00270267"/>
    <w:rsid w:val="002702B0"/>
    <w:rsid w:val="00270351"/>
    <w:rsid w:val="0027035B"/>
    <w:rsid w:val="00270375"/>
    <w:rsid w:val="00270384"/>
    <w:rsid w:val="00270408"/>
    <w:rsid w:val="0027048F"/>
    <w:rsid w:val="002704DA"/>
    <w:rsid w:val="0027051C"/>
    <w:rsid w:val="00270530"/>
    <w:rsid w:val="00270549"/>
    <w:rsid w:val="002705C4"/>
    <w:rsid w:val="00270668"/>
    <w:rsid w:val="00270706"/>
    <w:rsid w:val="00270741"/>
    <w:rsid w:val="002707BC"/>
    <w:rsid w:val="002707ED"/>
    <w:rsid w:val="002707F2"/>
    <w:rsid w:val="00270809"/>
    <w:rsid w:val="0027081F"/>
    <w:rsid w:val="00270828"/>
    <w:rsid w:val="0027082D"/>
    <w:rsid w:val="00270873"/>
    <w:rsid w:val="002708AB"/>
    <w:rsid w:val="002708C4"/>
    <w:rsid w:val="0027097A"/>
    <w:rsid w:val="00270996"/>
    <w:rsid w:val="002709BD"/>
    <w:rsid w:val="002709C4"/>
    <w:rsid w:val="00270A2B"/>
    <w:rsid w:val="00270A48"/>
    <w:rsid w:val="00270A5B"/>
    <w:rsid w:val="00270AC1"/>
    <w:rsid w:val="00270B05"/>
    <w:rsid w:val="00270B29"/>
    <w:rsid w:val="00270B76"/>
    <w:rsid w:val="00270B7A"/>
    <w:rsid w:val="00270C0C"/>
    <w:rsid w:val="00270C7B"/>
    <w:rsid w:val="00270CA5"/>
    <w:rsid w:val="00270D0A"/>
    <w:rsid w:val="00270D50"/>
    <w:rsid w:val="00270DF5"/>
    <w:rsid w:val="00270E4D"/>
    <w:rsid w:val="00270E5D"/>
    <w:rsid w:val="00270EAB"/>
    <w:rsid w:val="00270F1D"/>
    <w:rsid w:val="00270F55"/>
    <w:rsid w:val="00270F88"/>
    <w:rsid w:val="0027100E"/>
    <w:rsid w:val="0027104A"/>
    <w:rsid w:val="0027108D"/>
    <w:rsid w:val="00271179"/>
    <w:rsid w:val="002711C4"/>
    <w:rsid w:val="0027136F"/>
    <w:rsid w:val="0027138C"/>
    <w:rsid w:val="002713C0"/>
    <w:rsid w:val="00271490"/>
    <w:rsid w:val="002714A9"/>
    <w:rsid w:val="002714B1"/>
    <w:rsid w:val="002714CF"/>
    <w:rsid w:val="0027154F"/>
    <w:rsid w:val="00271574"/>
    <w:rsid w:val="0027158D"/>
    <w:rsid w:val="002715B2"/>
    <w:rsid w:val="002715CA"/>
    <w:rsid w:val="00271643"/>
    <w:rsid w:val="00271656"/>
    <w:rsid w:val="002716E4"/>
    <w:rsid w:val="002716E5"/>
    <w:rsid w:val="0027171D"/>
    <w:rsid w:val="0027177D"/>
    <w:rsid w:val="002717D3"/>
    <w:rsid w:val="00271987"/>
    <w:rsid w:val="002719A1"/>
    <w:rsid w:val="00271A50"/>
    <w:rsid w:val="00271AB6"/>
    <w:rsid w:val="00271AD4"/>
    <w:rsid w:val="00271BAD"/>
    <w:rsid w:val="00271BBC"/>
    <w:rsid w:val="00271BC1"/>
    <w:rsid w:val="00271BC2"/>
    <w:rsid w:val="00271BE1"/>
    <w:rsid w:val="00271C30"/>
    <w:rsid w:val="00271C3A"/>
    <w:rsid w:val="00271DCF"/>
    <w:rsid w:val="00271DD7"/>
    <w:rsid w:val="00271EA3"/>
    <w:rsid w:val="00271F33"/>
    <w:rsid w:val="00271F62"/>
    <w:rsid w:val="0027201D"/>
    <w:rsid w:val="00272067"/>
    <w:rsid w:val="0027211E"/>
    <w:rsid w:val="00272183"/>
    <w:rsid w:val="002721F6"/>
    <w:rsid w:val="0027220D"/>
    <w:rsid w:val="00272215"/>
    <w:rsid w:val="00272270"/>
    <w:rsid w:val="0027229F"/>
    <w:rsid w:val="002722E6"/>
    <w:rsid w:val="00272304"/>
    <w:rsid w:val="00272348"/>
    <w:rsid w:val="0027235E"/>
    <w:rsid w:val="00272365"/>
    <w:rsid w:val="00272370"/>
    <w:rsid w:val="0027240E"/>
    <w:rsid w:val="0027244C"/>
    <w:rsid w:val="0027248A"/>
    <w:rsid w:val="0027248F"/>
    <w:rsid w:val="00272538"/>
    <w:rsid w:val="0027258A"/>
    <w:rsid w:val="00272594"/>
    <w:rsid w:val="002726FD"/>
    <w:rsid w:val="0027271F"/>
    <w:rsid w:val="00272784"/>
    <w:rsid w:val="002727A5"/>
    <w:rsid w:val="002728B0"/>
    <w:rsid w:val="002728E3"/>
    <w:rsid w:val="00272935"/>
    <w:rsid w:val="0027295D"/>
    <w:rsid w:val="00272A2A"/>
    <w:rsid w:val="00272A99"/>
    <w:rsid w:val="00272ABA"/>
    <w:rsid w:val="00272AE5"/>
    <w:rsid w:val="00272B24"/>
    <w:rsid w:val="00272B8F"/>
    <w:rsid w:val="00272C72"/>
    <w:rsid w:val="00272C9D"/>
    <w:rsid w:val="00272D47"/>
    <w:rsid w:val="00272DFC"/>
    <w:rsid w:val="00272E11"/>
    <w:rsid w:val="00272E89"/>
    <w:rsid w:val="00272E97"/>
    <w:rsid w:val="00272EBE"/>
    <w:rsid w:val="00272F3C"/>
    <w:rsid w:val="00272FA3"/>
    <w:rsid w:val="00273016"/>
    <w:rsid w:val="0027301F"/>
    <w:rsid w:val="00273044"/>
    <w:rsid w:val="002730BA"/>
    <w:rsid w:val="002730BD"/>
    <w:rsid w:val="002730C4"/>
    <w:rsid w:val="002730E3"/>
    <w:rsid w:val="00273140"/>
    <w:rsid w:val="0027318F"/>
    <w:rsid w:val="0027319F"/>
    <w:rsid w:val="002731C4"/>
    <w:rsid w:val="002731F0"/>
    <w:rsid w:val="0027322F"/>
    <w:rsid w:val="0027325B"/>
    <w:rsid w:val="00273288"/>
    <w:rsid w:val="00273308"/>
    <w:rsid w:val="00273368"/>
    <w:rsid w:val="00273371"/>
    <w:rsid w:val="00273374"/>
    <w:rsid w:val="00273464"/>
    <w:rsid w:val="002734C0"/>
    <w:rsid w:val="00273503"/>
    <w:rsid w:val="00273505"/>
    <w:rsid w:val="00273589"/>
    <w:rsid w:val="002735D2"/>
    <w:rsid w:val="002735D5"/>
    <w:rsid w:val="0027360F"/>
    <w:rsid w:val="00273631"/>
    <w:rsid w:val="002736F6"/>
    <w:rsid w:val="00273722"/>
    <w:rsid w:val="00273731"/>
    <w:rsid w:val="00273749"/>
    <w:rsid w:val="00273755"/>
    <w:rsid w:val="00273774"/>
    <w:rsid w:val="00273821"/>
    <w:rsid w:val="00273871"/>
    <w:rsid w:val="002738AA"/>
    <w:rsid w:val="002738DC"/>
    <w:rsid w:val="002738F2"/>
    <w:rsid w:val="0027390B"/>
    <w:rsid w:val="00273955"/>
    <w:rsid w:val="00273982"/>
    <w:rsid w:val="002739A8"/>
    <w:rsid w:val="00273A62"/>
    <w:rsid w:val="00273B26"/>
    <w:rsid w:val="00273B46"/>
    <w:rsid w:val="00273B73"/>
    <w:rsid w:val="00273B8D"/>
    <w:rsid w:val="00273C72"/>
    <w:rsid w:val="00273D0E"/>
    <w:rsid w:val="00273D1F"/>
    <w:rsid w:val="00273D5B"/>
    <w:rsid w:val="00273DDF"/>
    <w:rsid w:val="00273E94"/>
    <w:rsid w:val="00273EB0"/>
    <w:rsid w:val="00273EC9"/>
    <w:rsid w:val="00273ECC"/>
    <w:rsid w:val="00273EFC"/>
    <w:rsid w:val="00273F3A"/>
    <w:rsid w:val="00273F67"/>
    <w:rsid w:val="00273FAA"/>
    <w:rsid w:val="00273FE3"/>
    <w:rsid w:val="00274044"/>
    <w:rsid w:val="00274068"/>
    <w:rsid w:val="002740D2"/>
    <w:rsid w:val="00274177"/>
    <w:rsid w:val="002741AA"/>
    <w:rsid w:val="00274277"/>
    <w:rsid w:val="002742A1"/>
    <w:rsid w:val="002742E7"/>
    <w:rsid w:val="0027430D"/>
    <w:rsid w:val="002744B6"/>
    <w:rsid w:val="0027451F"/>
    <w:rsid w:val="00274521"/>
    <w:rsid w:val="002745D4"/>
    <w:rsid w:val="002745DD"/>
    <w:rsid w:val="00274615"/>
    <w:rsid w:val="002746F2"/>
    <w:rsid w:val="00274774"/>
    <w:rsid w:val="00274779"/>
    <w:rsid w:val="002747D7"/>
    <w:rsid w:val="002748BF"/>
    <w:rsid w:val="00274917"/>
    <w:rsid w:val="002749BA"/>
    <w:rsid w:val="00274A78"/>
    <w:rsid w:val="00274AF7"/>
    <w:rsid w:val="00274B2D"/>
    <w:rsid w:val="00274BDA"/>
    <w:rsid w:val="00274BEA"/>
    <w:rsid w:val="00274BFC"/>
    <w:rsid w:val="00274EFF"/>
    <w:rsid w:val="00274F23"/>
    <w:rsid w:val="002750C3"/>
    <w:rsid w:val="00275141"/>
    <w:rsid w:val="00275168"/>
    <w:rsid w:val="00275178"/>
    <w:rsid w:val="002751CA"/>
    <w:rsid w:val="002751D3"/>
    <w:rsid w:val="002751ED"/>
    <w:rsid w:val="00275213"/>
    <w:rsid w:val="002752B1"/>
    <w:rsid w:val="0027533A"/>
    <w:rsid w:val="0027539A"/>
    <w:rsid w:val="00275405"/>
    <w:rsid w:val="00275429"/>
    <w:rsid w:val="0027550E"/>
    <w:rsid w:val="00275523"/>
    <w:rsid w:val="0027563A"/>
    <w:rsid w:val="00275690"/>
    <w:rsid w:val="002756C6"/>
    <w:rsid w:val="00275705"/>
    <w:rsid w:val="0027570C"/>
    <w:rsid w:val="0027575C"/>
    <w:rsid w:val="00275788"/>
    <w:rsid w:val="00275825"/>
    <w:rsid w:val="002758A7"/>
    <w:rsid w:val="002758C1"/>
    <w:rsid w:val="002758CC"/>
    <w:rsid w:val="00275946"/>
    <w:rsid w:val="00275965"/>
    <w:rsid w:val="00275992"/>
    <w:rsid w:val="002759A2"/>
    <w:rsid w:val="002759D6"/>
    <w:rsid w:val="00275A58"/>
    <w:rsid w:val="00275A9B"/>
    <w:rsid w:val="00275ADB"/>
    <w:rsid w:val="00275B2B"/>
    <w:rsid w:val="00275B30"/>
    <w:rsid w:val="00275B5F"/>
    <w:rsid w:val="00275BB8"/>
    <w:rsid w:val="00275BE4"/>
    <w:rsid w:val="00275C6A"/>
    <w:rsid w:val="00275CA2"/>
    <w:rsid w:val="00275CA5"/>
    <w:rsid w:val="00275D15"/>
    <w:rsid w:val="00275DF8"/>
    <w:rsid w:val="00275E2F"/>
    <w:rsid w:val="00275E4F"/>
    <w:rsid w:val="00275E9B"/>
    <w:rsid w:val="00275EA7"/>
    <w:rsid w:val="00275EB4"/>
    <w:rsid w:val="00275F04"/>
    <w:rsid w:val="00275F1A"/>
    <w:rsid w:val="00275F7B"/>
    <w:rsid w:val="00276046"/>
    <w:rsid w:val="00276066"/>
    <w:rsid w:val="00276150"/>
    <w:rsid w:val="00276151"/>
    <w:rsid w:val="0027615C"/>
    <w:rsid w:val="0027617F"/>
    <w:rsid w:val="0027618E"/>
    <w:rsid w:val="002761E6"/>
    <w:rsid w:val="002761FF"/>
    <w:rsid w:val="0027625D"/>
    <w:rsid w:val="002762B3"/>
    <w:rsid w:val="0027632A"/>
    <w:rsid w:val="00276358"/>
    <w:rsid w:val="0027646F"/>
    <w:rsid w:val="00276483"/>
    <w:rsid w:val="002764A7"/>
    <w:rsid w:val="002764B5"/>
    <w:rsid w:val="002764D6"/>
    <w:rsid w:val="00276500"/>
    <w:rsid w:val="00276518"/>
    <w:rsid w:val="0027654B"/>
    <w:rsid w:val="002765DD"/>
    <w:rsid w:val="00276659"/>
    <w:rsid w:val="0027671A"/>
    <w:rsid w:val="002767B2"/>
    <w:rsid w:val="002767B4"/>
    <w:rsid w:val="0027681C"/>
    <w:rsid w:val="002768C4"/>
    <w:rsid w:val="0027690F"/>
    <w:rsid w:val="0027693F"/>
    <w:rsid w:val="00276974"/>
    <w:rsid w:val="00276976"/>
    <w:rsid w:val="0027699C"/>
    <w:rsid w:val="00276A1C"/>
    <w:rsid w:val="00276AAE"/>
    <w:rsid w:val="00276AC1"/>
    <w:rsid w:val="00276B6F"/>
    <w:rsid w:val="00276B8C"/>
    <w:rsid w:val="00276BCE"/>
    <w:rsid w:val="00276C10"/>
    <w:rsid w:val="00276C1F"/>
    <w:rsid w:val="00276C36"/>
    <w:rsid w:val="00276C7C"/>
    <w:rsid w:val="00276CAD"/>
    <w:rsid w:val="00276D99"/>
    <w:rsid w:val="00276E15"/>
    <w:rsid w:val="00276E3D"/>
    <w:rsid w:val="00276EC5"/>
    <w:rsid w:val="00276EE6"/>
    <w:rsid w:val="00276EF1"/>
    <w:rsid w:val="00276EFC"/>
    <w:rsid w:val="00276F12"/>
    <w:rsid w:val="00276F1E"/>
    <w:rsid w:val="00276F2B"/>
    <w:rsid w:val="00276FED"/>
    <w:rsid w:val="00277003"/>
    <w:rsid w:val="0027707D"/>
    <w:rsid w:val="0027709C"/>
    <w:rsid w:val="00277123"/>
    <w:rsid w:val="0027716C"/>
    <w:rsid w:val="00277175"/>
    <w:rsid w:val="0027717C"/>
    <w:rsid w:val="0027717E"/>
    <w:rsid w:val="002771B8"/>
    <w:rsid w:val="00277238"/>
    <w:rsid w:val="0027726F"/>
    <w:rsid w:val="002773AF"/>
    <w:rsid w:val="0027749C"/>
    <w:rsid w:val="002774C6"/>
    <w:rsid w:val="002774E8"/>
    <w:rsid w:val="0027756C"/>
    <w:rsid w:val="00277588"/>
    <w:rsid w:val="002775E0"/>
    <w:rsid w:val="00277601"/>
    <w:rsid w:val="00277685"/>
    <w:rsid w:val="002776E4"/>
    <w:rsid w:val="0027776F"/>
    <w:rsid w:val="00277961"/>
    <w:rsid w:val="00277A7D"/>
    <w:rsid w:val="00277B12"/>
    <w:rsid w:val="00277B34"/>
    <w:rsid w:val="00277C25"/>
    <w:rsid w:val="00277C81"/>
    <w:rsid w:val="00277C96"/>
    <w:rsid w:val="00277C9E"/>
    <w:rsid w:val="00277CEA"/>
    <w:rsid w:val="00277D20"/>
    <w:rsid w:val="00277DC2"/>
    <w:rsid w:val="00277DCC"/>
    <w:rsid w:val="00277E19"/>
    <w:rsid w:val="00277E5F"/>
    <w:rsid w:val="00277F09"/>
    <w:rsid w:val="00277F31"/>
    <w:rsid w:val="00277F52"/>
    <w:rsid w:val="00277F88"/>
    <w:rsid w:val="00277FD9"/>
    <w:rsid w:val="00277FE7"/>
    <w:rsid w:val="00277FF3"/>
    <w:rsid w:val="0028004F"/>
    <w:rsid w:val="002800F9"/>
    <w:rsid w:val="0028015E"/>
    <w:rsid w:val="002802FB"/>
    <w:rsid w:val="00280322"/>
    <w:rsid w:val="00280346"/>
    <w:rsid w:val="0028035B"/>
    <w:rsid w:val="00280399"/>
    <w:rsid w:val="002803AF"/>
    <w:rsid w:val="002803C0"/>
    <w:rsid w:val="002803F5"/>
    <w:rsid w:val="002803F6"/>
    <w:rsid w:val="00280404"/>
    <w:rsid w:val="00280411"/>
    <w:rsid w:val="00280414"/>
    <w:rsid w:val="00280610"/>
    <w:rsid w:val="00280623"/>
    <w:rsid w:val="0028067E"/>
    <w:rsid w:val="00280693"/>
    <w:rsid w:val="002806AC"/>
    <w:rsid w:val="002806E7"/>
    <w:rsid w:val="00280760"/>
    <w:rsid w:val="00280830"/>
    <w:rsid w:val="00280831"/>
    <w:rsid w:val="00280844"/>
    <w:rsid w:val="00280874"/>
    <w:rsid w:val="002809B2"/>
    <w:rsid w:val="002809BD"/>
    <w:rsid w:val="002809E9"/>
    <w:rsid w:val="00280A20"/>
    <w:rsid w:val="00280B15"/>
    <w:rsid w:val="00280C73"/>
    <w:rsid w:val="00280CDE"/>
    <w:rsid w:val="00280D8D"/>
    <w:rsid w:val="00280DC2"/>
    <w:rsid w:val="00280E0A"/>
    <w:rsid w:val="00280E18"/>
    <w:rsid w:val="00280E19"/>
    <w:rsid w:val="00280E99"/>
    <w:rsid w:val="00280EB1"/>
    <w:rsid w:val="00280EE5"/>
    <w:rsid w:val="00280F18"/>
    <w:rsid w:val="00280F35"/>
    <w:rsid w:val="00280F53"/>
    <w:rsid w:val="00280FD1"/>
    <w:rsid w:val="00280FD8"/>
    <w:rsid w:val="00280FDC"/>
    <w:rsid w:val="0028100D"/>
    <w:rsid w:val="00281025"/>
    <w:rsid w:val="0028102B"/>
    <w:rsid w:val="00281074"/>
    <w:rsid w:val="0028111A"/>
    <w:rsid w:val="00281126"/>
    <w:rsid w:val="00281141"/>
    <w:rsid w:val="0028115F"/>
    <w:rsid w:val="002811A2"/>
    <w:rsid w:val="002811D6"/>
    <w:rsid w:val="0028127E"/>
    <w:rsid w:val="00281313"/>
    <w:rsid w:val="0028137D"/>
    <w:rsid w:val="002813BF"/>
    <w:rsid w:val="00281425"/>
    <w:rsid w:val="00281481"/>
    <w:rsid w:val="00281490"/>
    <w:rsid w:val="002814D9"/>
    <w:rsid w:val="0028150A"/>
    <w:rsid w:val="00281542"/>
    <w:rsid w:val="00281573"/>
    <w:rsid w:val="0028159E"/>
    <w:rsid w:val="002815DD"/>
    <w:rsid w:val="002815ED"/>
    <w:rsid w:val="00281664"/>
    <w:rsid w:val="00281698"/>
    <w:rsid w:val="002816B3"/>
    <w:rsid w:val="002817DF"/>
    <w:rsid w:val="002817E6"/>
    <w:rsid w:val="002817F5"/>
    <w:rsid w:val="002817F9"/>
    <w:rsid w:val="00281845"/>
    <w:rsid w:val="0028184B"/>
    <w:rsid w:val="00281858"/>
    <w:rsid w:val="002818AA"/>
    <w:rsid w:val="0028194D"/>
    <w:rsid w:val="00281A1C"/>
    <w:rsid w:val="00281AD7"/>
    <w:rsid w:val="00281B35"/>
    <w:rsid w:val="00281B4A"/>
    <w:rsid w:val="00281B6F"/>
    <w:rsid w:val="00281B97"/>
    <w:rsid w:val="00281CF7"/>
    <w:rsid w:val="00281D31"/>
    <w:rsid w:val="00281D4D"/>
    <w:rsid w:val="00281DDE"/>
    <w:rsid w:val="00281E13"/>
    <w:rsid w:val="00281E2E"/>
    <w:rsid w:val="00281E78"/>
    <w:rsid w:val="00281E88"/>
    <w:rsid w:val="00281EB5"/>
    <w:rsid w:val="00281F18"/>
    <w:rsid w:val="00281F47"/>
    <w:rsid w:val="00281F85"/>
    <w:rsid w:val="00281F99"/>
    <w:rsid w:val="0028201E"/>
    <w:rsid w:val="00282053"/>
    <w:rsid w:val="00282081"/>
    <w:rsid w:val="00282132"/>
    <w:rsid w:val="00282154"/>
    <w:rsid w:val="0028230E"/>
    <w:rsid w:val="0028231E"/>
    <w:rsid w:val="00282323"/>
    <w:rsid w:val="0028233A"/>
    <w:rsid w:val="0028234D"/>
    <w:rsid w:val="00282354"/>
    <w:rsid w:val="002823E8"/>
    <w:rsid w:val="002823F4"/>
    <w:rsid w:val="00282426"/>
    <w:rsid w:val="00282456"/>
    <w:rsid w:val="0028247D"/>
    <w:rsid w:val="00282503"/>
    <w:rsid w:val="00282505"/>
    <w:rsid w:val="0028252A"/>
    <w:rsid w:val="00282620"/>
    <w:rsid w:val="00282624"/>
    <w:rsid w:val="00282625"/>
    <w:rsid w:val="00282659"/>
    <w:rsid w:val="0028266A"/>
    <w:rsid w:val="00282762"/>
    <w:rsid w:val="002827CA"/>
    <w:rsid w:val="00282821"/>
    <w:rsid w:val="00282849"/>
    <w:rsid w:val="0028293A"/>
    <w:rsid w:val="00282964"/>
    <w:rsid w:val="002829F0"/>
    <w:rsid w:val="00282A5F"/>
    <w:rsid w:val="00282A62"/>
    <w:rsid w:val="00282A81"/>
    <w:rsid w:val="00282A88"/>
    <w:rsid w:val="00282B2E"/>
    <w:rsid w:val="00282C63"/>
    <w:rsid w:val="00282D10"/>
    <w:rsid w:val="00282D1C"/>
    <w:rsid w:val="00282D34"/>
    <w:rsid w:val="00282DFB"/>
    <w:rsid w:val="00282E17"/>
    <w:rsid w:val="00282E36"/>
    <w:rsid w:val="00282E3C"/>
    <w:rsid w:val="00282E3E"/>
    <w:rsid w:val="00282E48"/>
    <w:rsid w:val="00282E8A"/>
    <w:rsid w:val="00282EEE"/>
    <w:rsid w:val="00282F1E"/>
    <w:rsid w:val="00282FA6"/>
    <w:rsid w:val="00282FED"/>
    <w:rsid w:val="00282FF3"/>
    <w:rsid w:val="00283044"/>
    <w:rsid w:val="002830B0"/>
    <w:rsid w:val="002830DA"/>
    <w:rsid w:val="002830FE"/>
    <w:rsid w:val="0028316F"/>
    <w:rsid w:val="00283193"/>
    <w:rsid w:val="002831AC"/>
    <w:rsid w:val="002831B7"/>
    <w:rsid w:val="00283232"/>
    <w:rsid w:val="0028324A"/>
    <w:rsid w:val="002832C7"/>
    <w:rsid w:val="002832EF"/>
    <w:rsid w:val="00283312"/>
    <w:rsid w:val="002833E1"/>
    <w:rsid w:val="00283427"/>
    <w:rsid w:val="0028343E"/>
    <w:rsid w:val="00283455"/>
    <w:rsid w:val="002834AF"/>
    <w:rsid w:val="002834ED"/>
    <w:rsid w:val="00283543"/>
    <w:rsid w:val="0028355B"/>
    <w:rsid w:val="00283563"/>
    <w:rsid w:val="0028356C"/>
    <w:rsid w:val="002835A5"/>
    <w:rsid w:val="002835C1"/>
    <w:rsid w:val="002835C2"/>
    <w:rsid w:val="0028360F"/>
    <w:rsid w:val="00283656"/>
    <w:rsid w:val="00283760"/>
    <w:rsid w:val="00283762"/>
    <w:rsid w:val="002837E2"/>
    <w:rsid w:val="00283805"/>
    <w:rsid w:val="0028381B"/>
    <w:rsid w:val="00283822"/>
    <w:rsid w:val="00283845"/>
    <w:rsid w:val="00283889"/>
    <w:rsid w:val="002838BD"/>
    <w:rsid w:val="002838C2"/>
    <w:rsid w:val="00283910"/>
    <w:rsid w:val="0028395B"/>
    <w:rsid w:val="002839C0"/>
    <w:rsid w:val="00283A5A"/>
    <w:rsid w:val="00283A5F"/>
    <w:rsid w:val="00283B60"/>
    <w:rsid w:val="00283B85"/>
    <w:rsid w:val="00283C8B"/>
    <w:rsid w:val="00283CBA"/>
    <w:rsid w:val="00283D42"/>
    <w:rsid w:val="00283D50"/>
    <w:rsid w:val="00283D8D"/>
    <w:rsid w:val="00283E34"/>
    <w:rsid w:val="00283E5D"/>
    <w:rsid w:val="00283ED3"/>
    <w:rsid w:val="00283F1C"/>
    <w:rsid w:val="00283F63"/>
    <w:rsid w:val="00284055"/>
    <w:rsid w:val="002840CF"/>
    <w:rsid w:val="002840EF"/>
    <w:rsid w:val="00284108"/>
    <w:rsid w:val="00284176"/>
    <w:rsid w:val="002841F6"/>
    <w:rsid w:val="002842EE"/>
    <w:rsid w:val="002842FD"/>
    <w:rsid w:val="0028444C"/>
    <w:rsid w:val="00284459"/>
    <w:rsid w:val="002844AE"/>
    <w:rsid w:val="002844E2"/>
    <w:rsid w:val="002844EE"/>
    <w:rsid w:val="002844F4"/>
    <w:rsid w:val="0028454B"/>
    <w:rsid w:val="002845A2"/>
    <w:rsid w:val="002845B0"/>
    <w:rsid w:val="00284733"/>
    <w:rsid w:val="00284742"/>
    <w:rsid w:val="00284754"/>
    <w:rsid w:val="0028477B"/>
    <w:rsid w:val="002847A2"/>
    <w:rsid w:val="00284818"/>
    <w:rsid w:val="00284822"/>
    <w:rsid w:val="00284823"/>
    <w:rsid w:val="0028486A"/>
    <w:rsid w:val="002848A1"/>
    <w:rsid w:val="00284910"/>
    <w:rsid w:val="002849A6"/>
    <w:rsid w:val="002849E5"/>
    <w:rsid w:val="002849EF"/>
    <w:rsid w:val="00284B35"/>
    <w:rsid w:val="00284B5C"/>
    <w:rsid w:val="00284C19"/>
    <w:rsid w:val="00284D02"/>
    <w:rsid w:val="00284D04"/>
    <w:rsid w:val="00284D0C"/>
    <w:rsid w:val="00284D46"/>
    <w:rsid w:val="00284D5B"/>
    <w:rsid w:val="00284D5C"/>
    <w:rsid w:val="00284F15"/>
    <w:rsid w:val="00284F68"/>
    <w:rsid w:val="00284F7F"/>
    <w:rsid w:val="00284F87"/>
    <w:rsid w:val="00284FBB"/>
    <w:rsid w:val="00284FFD"/>
    <w:rsid w:val="00285000"/>
    <w:rsid w:val="00285014"/>
    <w:rsid w:val="00285077"/>
    <w:rsid w:val="0028509E"/>
    <w:rsid w:val="002850AB"/>
    <w:rsid w:val="002850DB"/>
    <w:rsid w:val="00285192"/>
    <w:rsid w:val="00285212"/>
    <w:rsid w:val="00285287"/>
    <w:rsid w:val="002852ED"/>
    <w:rsid w:val="002852F5"/>
    <w:rsid w:val="00285372"/>
    <w:rsid w:val="0028538F"/>
    <w:rsid w:val="002853B7"/>
    <w:rsid w:val="002853EE"/>
    <w:rsid w:val="002853F2"/>
    <w:rsid w:val="0028543A"/>
    <w:rsid w:val="002854B7"/>
    <w:rsid w:val="00285562"/>
    <w:rsid w:val="0028559A"/>
    <w:rsid w:val="002855BE"/>
    <w:rsid w:val="002855D9"/>
    <w:rsid w:val="00285656"/>
    <w:rsid w:val="002856A5"/>
    <w:rsid w:val="0028572B"/>
    <w:rsid w:val="0028572C"/>
    <w:rsid w:val="00285735"/>
    <w:rsid w:val="00285774"/>
    <w:rsid w:val="002857C5"/>
    <w:rsid w:val="002857D9"/>
    <w:rsid w:val="0028580C"/>
    <w:rsid w:val="00285830"/>
    <w:rsid w:val="00285834"/>
    <w:rsid w:val="00285885"/>
    <w:rsid w:val="00285940"/>
    <w:rsid w:val="00285A9F"/>
    <w:rsid w:val="00285B0A"/>
    <w:rsid w:val="00285B14"/>
    <w:rsid w:val="00285B2F"/>
    <w:rsid w:val="00285B53"/>
    <w:rsid w:val="00285B56"/>
    <w:rsid w:val="00285B60"/>
    <w:rsid w:val="00285B8C"/>
    <w:rsid w:val="00285C32"/>
    <w:rsid w:val="00285C50"/>
    <w:rsid w:val="00285C71"/>
    <w:rsid w:val="00285C9B"/>
    <w:rsid w:val="00285CBF"/>
    <w:rsid w:val="00285CC6"/>
    <w:rsid w:val="00285D6B"/>
    <w:rsid w:val="00285DFB"/>
    <w:rsid w:val="00285F48"/>
    <w:rsid w:val="00286103"/>
    <w:rsid w:val="002861D4"/>
    <w:rsid w:val="0028623E"/>
    <w:rsid w:val="0028624E"/>
    <w:rsid w:val="0028626F"/>
    <w:rsid w:val="002862D0"/>
    <w:rsid w:val="0028635D"/>
    <w:rsid w:val="002863CB"/>
    <w:rsid w:val="0028640C"/>
    <w:rsid w:val="002864E0"/>
    <w:rsid w:val="0028652C"/>
    <w:rsid w:val="0028655C"/>
    <w:rsid w:val="0028655E"/>
    <w:rsid w:val="0028656A"/>
    <w:rsid w:val="0028658A"/>
    <w:rsid w:val="002865CC"/>
    <w:rsid w:val="0028662E"/>
    <w:rsid w:val="00286651"/>
    <w:rsid w:val="0028667F"/>
    <w:rsid w:val="002866B7"/>
    <w:rsid w:val="002866C6"/>
    <w:rsid w:val="0028671F"/>
    <w:rsid w:val="00286784"/>
    <w:rsid w:val="00286806"/>
    <w:rsid w:val="00286853"/>
    <w:rsid w:val="002868A2"/>
    <w:rsid w:val="002868EC"/>
    <w:rsid w:val="002869B3"/>
    <w:rsid w:val="00286A70"/>
    <w:rsid w:val="00286A9B"/>
    <w:rsid w:val="00286AA5"/>
    <w:rsid w:val="00286B34"/>
    <w:rsid w:val="00286C13"/>
    <w:rsid w:val="00286C48"/>
    <w:rsid w:val="00286CD3"/>
    <w:rsid w:val="00286CF6"/>
    <w:rsid w:val="00286D5A"/>
    <w:rsid w:val="00286DC7"/>
    <w:rsid w:val="00286E41"/>
    <w:rsid w:val="00286E57"/>
    <w:rsid w:val="00286EFD"/>
    <w:rsid w:val="00286F29"/>
    <w:rsid w:val="00286F6D"/>
    <w:rsid w:val="00286F94"/>
    <w:rsid w:val="00286F95"/>
    <w:rsid w:val="00286FA5"/>
    <w:rsid w:val="00287065"/>
    <w:rsid w:val="00287089"/>
    <w:rsid w:val="002870A6"/>
    <w:rsid w:val="002870AC"/>
    <w:rsid w:val="002870D3"/>
    <w:rsid w:val="0028712D"/>
    <w:rsid w:val="0028713C"/>
    <w:rsid w:val="00287177"/>
    <w:rsid w:val="002871F4"/>
    <w:rsid w:val="00287207"/>
    <w:rsid w:val="00287278"/>
    <w:rsid w:val="00287284"/>
    <w:rsid w:val="0028728A"/>
    <w:rsid w:val="00287294"/>
    <w:rsid w:val="00287298"/>
    <w:rsid w:val="0028738F"/>
    <w:rsid w:val="0028739C"/>
    <w:rsid w:val="002873EA"/>
    <w:rsid w:val="00287474"/>
    <w:rsid w:val="0028752B"/>
    <w:rsid w:val="002875A3"/>
    <w:rsid w:val="00287644"/>
    <w:rsid w:val="00287699"/>
    <w:rsid w:val="002876C9"/>
    <w:rsid w:val="00287744"/>
    <w:rsid w:val="00287750"/>
    <w:rsid w:val="00287755"/>
    <w:rsid w:val="0028775A"/>
    <w:rsid w:val="002877C2"/>
    <w:rsid w:val="002877CA"/>
    <w:rsid w:val="002878B5"/>
    <w:rsid w:val="002878F9"/>
    <w:rsid w:val="00287916"/>
    <w:rsid w:val="0028791C"/>
    <w:rsid w:val="0028793A"/>
    <w:rsid w:val="00287A7C"/>
    <w:rsid w:val="00287AC2"/>
    <w:rsid w:val="00287AE7"/>
    <w:rsid w:val="00287B0D"/>
    <w:rsid w:val="00287B53"/>
    <w:rsid w:val="00287B7D"/>
    <w:rsid w:val="00287BDF"/>
    <w:rsid w:val="00287C56"/>
    <w:rsid w:val="00287CD4"/>
    <w:rsid w:val="00287D4A"/>
    <w:rsid w:val="00287D63"/>
    <w:rsid w:val="00287DEA"/>
    <w:rsid w:val="00287EB5"/>
    <w:rsid w:val="00287F08"/>
    <w:rsid w:val="00287F3D"/>
    <w:rsid w:val="00287FCF"/>
    <w:rsid w:val="00287FD4"/>
    <w:rsid w:val="0029004B"/>
    <w:rsid w:val="00290050"/>
    <w:rsid w:val="00290061"/>
    <w:rsid w:val="0029008F"/>
    <w:rsid w:val="002900F7"/>
    <w:rsid w:val="00290115"/>
    <w:rsid w:val="00290248"/>
    <w:rsid w:val="00290265"/>
    <w:rsid w:val="0029027F"/>
    <w:rsid w:val="00290308"/>
    <w:rsid w:val="002903DD"/>
    <w:rsid w:val="00290491"/>
    <w:rsid w:val="002904E2"/>
    <w:rsid w:val="002904F8"/>
    <w:rsid w:val="002905B7"/>
    <w:rsid w:val="002905FF"/>
    <w:rsid w:val="00290635"/>
    <w:rsid w:val="00290708"/>
    <w:rsid w:val="0029070A"/>
    <w:rsid w:val="0029074A"/>
    <w:rsid w:val="002907E7"/>
    <w:rsid w:val="002908F8"/>
    <w:rsid w:val="00290915"/>
    <w:rsid w:val="002909BD"/>
    <w:rsid w:val="00290A71"/>
    <w:rsid w:val="00290AF9"/>
    <w:rsid w:val="00290C26"/>
    <w:rsid w:val="00290C56"/>
    <w:rsid w:val="00290D4E"/>
    <w:rsid w:val="00290DC2"/>
    <w:rsid w:val="00290FDB"/>
    <w:rsid w:val="00291031"/>
    <w:rsid w:val="0029104C"/>
    <w:rsid w:val="00291084"/>
    <w:rsid w:val="0029110A"/>
    <w:rsid w:val="00291168"/>
    <w:rsid w:val="002911C5"/>
    <w:rsid w:val="002911DE"/>
    <w:rsid w:val="002911FE"/>
    <w:rsid w:val="00291222"/>
    <w:rsid w:val="00291234"/>
    <w:rsid w:val="0029124F"/>
    <w:rsid w:val="0029128B"/>
    <w:rsid w:val="002912B1"/>
    <w:rsid w:val="0029130D"/>
    <w:rsid w:val="00291356"/>
    <w:rsid w:val="00291393"/>
    <w:rsid w:val="002913A5"/>
    <w:rsid w:val="002913E1"/>
    <w:rsid w:val="002914BE"/>
    <w:rsid w:val="002914DD"/>
    <w:rsid w:val="00291507"/>
    <w:rsid w:val="00291527"/>
    <w:rsid w:val="0029154C"/>
    <w:rsid w:val="00291577"/>
    <w:rsid w:val="002915AF"/>
    <w:rsid w:val="00291631"/>
    <w:rsid w:val="00291650"/>
    <w:rsid w:val="002916CE"/>
    <w:rsid w:val="00291715"/>
    <w:rsid w:val="00291723"/>
    <w:rsid w:val="002917B3"/>
    <w:rsid w:val="00291873"/>
    <w:rsid w:val="0029191A"/>
    <w:rsid w:val="00291994"/>
    <w:rsid w:val="0029199A"/>
    <w:rsid w:val="002919AC"/>
    <w:rsid w:val="00291A71"/>
    <w:rsid w:val="00291AD2"/>
    <w:rsid w:val="00291B34"/>
    <w:rsid w:val="00291BBB"/>
    <w:rsid w:val="00291BF6"/>
    <w:rsid w:val="00291CAF"/>
    <w:rsid w:val="00291D39"/>
    <w:rsid w:val="00291D96"/>
    <w:rsid w:val="00291DD3"/>
    <w:rsid w:val="00291E8E"/>
    <w:rsid w:val="00291E9A"/>
    <w:rsid w:val="00291F2F"/>
    <w:rsid w:val="00291F7B"/>
    <w:rsid w:val="00291FB0"/>
    <w:rsid w:val="0029209C"/>
    <w:rsid w:val="002920AA"/>
    <w:rsid w:val="002920D3"/>
    <w:rsid w:val="00292183"/>
    <w:rsid w:val="00292229"/>
    <w:rsid w:val="002922D1"/>
    <w:rsid w:val="002923B5"/>
    <w:rsid w:val="0029242D"/>
    <w:rsid w:val="00292461"/>
    <w:rsid w:val="002924AA"/>
    <w:rsid w:val="002924F7"/>
    <w:rsid w:val="00292566"/>
    <w:rsid w:val="0029258F"/>
    <w:rsid w:val="002925CA"/>
    <w:rsid w:val="002925E9"/>
    <w:rsid w:val="00292648"/>
    <w:rsid w:val="00292658"/>
    <w:rsid w:val="0029266C"/>
    <w:rsid w:val="00292685"/>
    <w:rsid w:val="0029269F"/>
    <w:rsid w:val="00292705"/>
    <w:rsid w:val="00292748"/>
    <w:rsid w:val="00292875"/>
    <w:rsid w:val="0029287F"/>
    <w:rsid w:val="0029291E"/>
    <w:rsid w:val="00292A74"/>
    <w:rsid w:val="00292AA2"/>
    <w:rsid w:val="00292BF8"/>
    <w:rsid w:val="00292C0A"/>
    <w:rsid w:val="00292C3D"/>
    <w:rsid w:val="00292C49"/>
    <w:rsid w:val="00292C8F"/>
    <w:rsid w:val="00292CAD"/>
    <w:rsid w:val="00292CD9"/>
    <w:rsid w:val="00292CDA"/>
    <w:rsid w:val="00292CEC"/>
    <w:rsid w:val="00292DB1"/>
    <w:rsid w:val="00292E2A"/>
    <w:rsid w:val="00292E7B"/>
    <w:rsid w:val="00292EAC"/>
    <w:rsid w:val="00292EEA"/>
    <w:rsid w:val="00292F20"/>
    <w:rsid w:val="00292F33"/>
    <w:rsid w:val="00292F81"/>
    <w:rsid w:val="00292F91"/>
    <w:rsid w:val="0029300F"/>
    <w:rsid w:val="0029303D"/>
    <w:rsid w:val="002931B5"/>
    <w:rsid w:val="0029328A"/>
    <w:rsid w:val="00293355"/>
    <w:rsid w:val="0029335A"/>
    <w:rsid w:val="0029339E"/>
    <w:rsid w:val="002933B3"/>
    <w:rsid w:val="002933BD"/>
    <w:rsid w:val="00293436"/>
    <w:rsid w:val="00293465"/>
    <w:rsid w:val="00293500"/>
    <w:rsid w:val="002935F8"/>
    <w:rsid w:val="0029377E"/>
    <w:rsid w:val="002937C3"/>
    <w:rsid w:val="0029386B"/>
    <w:rsid w:val="002938B3"/>
    <w:rsid w:val="002938CA"/>
    <w:rsid w:val="00293A30"/>
    <w:rsid w:val="00293AA7"/>
    <w:rsid w:val="00293B1D"/>
    <w:rsid w:val="00293BB4"/>
    <w:rsid w:val="00293C4D"/>
    <w:rsid w:val="00293CEF"/>
    <w:rsid w:val="00293D51"/>
    <w:rsid w:val="00293D5D"/>
    <w:rsid w:val="00293E05"/>
    <w:rsid w:val="00293E21"/>
    <w:rsid w:val="00293E95"/>
    <w:rsid w:val="00293E9C"/>
    <w:rsid w:val="00293EE3"/>
    <w:rsid w:val="00293F0E"/>
    <w:rsid w:val="00293F67"/>
    <w:rsid w:val="00293FA6"/>
    <w:rsid w:val="00293FD9"/>
    <w:rsid w:val="0029403D"/>
    <w:rsid w:val="00294048"/>
    <w:rsid w:val="002940E7"/>
    <w:rsid w:val="002940E9"/>
    <w:rsid w:val="002940F8"/>
    <w:rsid w:val="00294120"/>
    <w:rsid w:val="002941A3"/>
    <w:rsid w:val="00294252"/>
    <w:rsid w:val="00294343"/>
    <w:rsid w:val="002943C8"/>
    <w:rsid w:val="00294480"/>
    <w:rsid w:val="00294491"/>
    <w:rsid w:val="002944E3"/>
    <w:rsid w:val="0029452B"/>
    <w:rsid w:val="00294597"/>
    <w:rsid w:val="0029459D"/>
    <w:rsid w:val="002945EA"/>
    <w:rsid w:val="00294623"/>
    <w:rsid w:val="00294637"/>
    <w:rsid w:val="0029465A"/>
    <w:rsid w:val="00294678"/>
    <w:rsid w:val="002946E6"/>
    <w:rsid w:val="00294703"/>
    <w:rsid w:val="0029486A"/>
    <w:rsid w:val="002948E0"/>
    <w:rsid w:val="0029493E"/>
    <w:rsid w:val="00294963"/>
    <w:rsid w:val="0029498F"/>
    <w:rsid w:val="002949AE"/>
    <w:rsid w:val="00294A50"/>
    <w:rsid w:val="00294A8D"/>
    <w:rsid w:val="00294B78"/>
    <w:rsid w:val="00294BBB"/>
    <w:rsid w:val="00294C12"/>
    <w:rsid w:val="00294C25"/>
    <w:rsid w:val="00294C8A"/>
    <w:rsid w:val="00294CBA"/>
    <w:rsid w:val="00294CCF"/>
    <w:rsid w:val="00294DA9"/>
    <w:rsid w:val="00294DBB"/>
    <w:rsid w:val="00294E54"/>
    <w:rsid w:val="00294E79"/>
    <w:rsid w:val="00294ED2"/>
    <w:rsid w:val="00294EF3"/>
    <w:rsid w:val="00294EF9"/>
    <w:rsid w:val="00295020"/>
    <w:rsid w:val="00295118"/>
    <w:rsid w:val="0029516F"/>
    <w:rsid w:val="002951C6"/>
    <w:rsid w:val="0029520E"/>
    <w:rsid w:val="00295221"/>
    <w:rsid w:val="002953A5"/>
    <w:rsid w:val="00295524"/>
    <w:rsid w:val="00295582"/>
    <w:rsid w:val="002955E0"/>
    <w:rsid w:val="002956B1"/>
    <w:rsid w:val="002956F2"/>
    <w:rsid w:val="0029578C"/>
    <w:rsid w:val="002957B2"/>
    <w:rsid w:val="002957B5"/>
    <w:rsid w:val="002957D2"/>
    <w:rsid w:val="002957E2"/>
    <w:rsid w:val="002957E7"/>
    <w:rsid w:val="0029585B"/>
    <w:rsid w:val="00295860"/>
    <w:rsid w:val="00295921"/>
    <w:rsid w:val="002959A2"/>
    <w:rsid w:val="002959BD"/>
    <w:rsid w:val="002959E7"/>
    <w:rsid w:val="002959FA"/>
    <w:rsid w:val="002959FE"/>
    <w:rsid w:val="00295ABF"/>
    <w:rsid w:val="00295BC9"/>
    <w:rsid w:val="00295BDE"/>
    <w:rsid w:val="00295CD0"/>
    <w:rsid w:val="00295E20"/>
    <w:rsid w:val="00295E34"/>
    <w:rsid w:val="00295E9B"/>
    <w:rsid w:val="0029605A"/>
    <w:rsid w:val="0029608E"/>
    <w:rsid w:val="00296116"/>
    <w:rsid w:val="002961AE"/>
    <w:rsid w:val="00296222"/>
    <w:rsid w:val="00296228"/>
    <w:rsid w:val="0029624A"/>
    <w:rsid w:val="0029624B"/>
    <w:rsid w:val="002964AA"/>
    <w:rsid w:val="002964CB"/>
    <w:rsid w:val="00296549"/>
    <w:rsid w:val="00296607"/>
    <w:rsid w:val="002966AD"/>
    <w:rsid w:val="002966B2"/>
    <w:rsid w:val="002966CC"/>
    <w:rsid w:val="00296711"/>
    <w:rsid w:val="00296776"/>
    <w:rsid w:val="0029677A"/>
    <w:rsid w:val="0029678E"/>
    <w:rsid w:val="00296853"/>
    <w:rsid w:val="00296872"/>
    <w:rsid w:val="002968D6"/>
    <w:rsid w:val="0029693C"/>
    <w:rsid w:val="00296994"/>
    <w:rsid w:val="00296AC8"/>
    <w:rsid w:val="00296ACE"/>
    <w:rsid w:val="00296B0C"/>
    <w:rsid w:val="00296BE1"/>
    <w:rsid w:val="00296C7D"/>
    <w:rsid w:val="00296C8D"/>
    <w:rsid w:val="00296DBF"/>
    <w:rsid w:val="00296DF1"/>
    <w:rsid w:val="00296E8A"/>
    <w:rsid w:val="00296EA0"/>
    <w:rsid w:val="00296EF6"/>
    <w:rsid w:val="00296FCF"/>
    <w:rsid w:val="002970D5"/>
    <w:rsid w:val="002970F2"/>
    <w:rsid w:val="0029715D"/>
    <w:rsid w:val="0029717A"/>
    <w:rsid w:val="002971BA"/>
    <w:rsid w:val="00297246"/>
    <w:rsid w:val="00297255"/>
    <w:rsid w:val="002972DA"/>
    <w:rsid w:val="00297329"/>
    <w:rsid w:val="00297389"/>
    <w:rsid w:val="002973A1"/>
    <w:rsid w:val="002973C0"/>
    <w:rsid w:val="00297493"/>
    <w:rsid w:val="002974D5"/>
    <w:rsid w:val="00297536"/>
    <w:rsid w:val="00297550"/>
    <w:rsid w:val="002975A3"/>
    <w:rsid w:val="002975E6"/>
    <w:rsid w:val="002975EC"/>
    <w:rsid w:val="00297616"/>
    <w:rsid w:val="0029761F"/>
    <w:rsid w:val="00297646"/>
    <w:rsid w:val="00297701"/>
    <w:rsid w:val="0029773C"/>
    <w:rsid w:val="002977E8"/>
    <w:rsid w:val="00297804"/>
    <w:rsid w:val="0029784A"/>
    <w:rsid w:val="002978DE"/>
    <w:rsid w:val="00297913"/>
    <w:rsid w:val="00297964"/>
    <w:rsid w:val="002979DE"/>
    <w:rsid w:val="00297A93"/>
    <w:rsid w:val="00297AEA"/>
    <w:rsid w:val="00297B3F"/>
    <w:rsid w:val="00297B43"/>
    <w:rsid w:val="00297BA1"/>
    <w:rsid w:val="00297BD5"/>
    <w:rsid w:val="00297C11"/>
    <w:rsid w:val="00297C28"/>
    <w:rsid w:val="00297C35"/>
    <w:rsid w:val="00297D22"/>
    <w:rsid w:val="00297D2E"/>
    <w:rsid w:val="00297D34"/>
    <w:rsid w:val="00297DBC"/>
    <w:rsid w:val="00297DCD"/>
    <w:rsid w:val="00297E55"/>
    <w:rsid w:val="00297E9C"/>
    <w:rsid w:val="00297EF7"/>
    <w:rsid w:val="00297F0F"/>
    <w:rsid w:val="00297F17"/>
    <w:rsid w:val="00297F4A"/>
    <w:rsid w:val="00297F8F"/>
    <w:rsid w:val="00297FE7"/>
    <w:rsid w:val="00297FEE"/>
    <w:rsid w:val="002A0012"/>
    <w:rsid w:val="002A002F"/>
    <w:rsid w:val="002A0033"/>
    <w:rsid w:val="002A005B"/>
    <w:rsid w:val="002A0068"/>
    <w:rsid w:val="002A00AA"/>
    <w:rsid w:val="002A00BD"/>
    <w:rsid w:val="002A00F2"/>
    <w:rsid w:val="002A0124"/>
    <w:rsid w:val="002A01D5"/>
    <w:rsid w:val="002A01F3"/>
    <w:rsid w:val="002A022B"/>
    <w:rsid w:val="002A0249"/>
    <w:rsid w:val="002A0262"/>
    <w:rsid w:val="002A0269"/>
    <w:rsid w:val="002A0293"/>
    <w:rsid w:val="002A02BE"/>
    <w:rsid w:val="002A02DC"/>
    <w:rsid w:val="002A02F0"/>
    <w:rsid w:val="002A0319"/>
    <w:rsid w:val="002A033F"/>
    <w:rsid w:val="002A040A"/>
    <w:rsid w:val="002A0463"/>
    <w:rsid w:val="002A0483"/>
    <w:rsid w:val="002A04B8"/>
    <w:rsid w:val="002A050E"/>
    <w:rsid w:val="002A0662"/>
    <w:rsid w:val="002A0663"/>
    <w:rsid w:val="002A08AB"/>
    <w:rsid w:val="002A08D4"/>
    <w:rsid w:val="002A0A44"/>
    <w:rsid w:val="002A0AF2"/>
    <w:rsid w:val="002A0B88"/>
    <w:rsid w:val="002A0B89"/>
    <w:rsid w:val="002A0C17"/>
    <w:rsid w:val="002A0C79"/>
    <w:rsid w:val="002A0CC1"/>
    <w:rsid w:val="002A0D65"/>
    <w:rsid w:val="002A0DF6"/>
    <w:rsid w:val="002A1015"/>
    <w:rsid w:val="002A1084"/>
    <w:rsid w:val="002A112F"/>
    <w:rsid w:val="002A1174"/>
    <w:rsid w:val="002A127E"/>
    <w:rsid w:val="002A12EB"/>
    <w:rsid w:val="002A12F4"/>
    <w:rsid w:val="002A134C"/>
    <w:rsid w:val="002A1370"/>
    <w:rsid w:val="002A1409"/>
    <w:rsid w:val="002A141E"/>
    <w:rsid w:val="002A14A4"/>
    <w:rsid w:val="002A14B9"/>
    <w:rsid w:val="002A14EF"/>
    <w:rsid w:val="002A1526"/>
    <w:rsid w:val="002A1580"/>
    <w:rsid w:val="002A166C"/>
    <w:rsid w:val="002A17E9"/>
    <w:rsid w:val="002A17EE"/>
    <w:rsid w:val="002A1845"/>
    <w:rsid w:val="002A1940"/>
    <w:rsid w:val="002A1993"/>
    <w:rsid w:val="002A19DC"/>
    <w:rsid w:val="002A19E8"/>
    <w:rsid w:val="002A1AB4"/>
    <w:rsid w:val="002A1AE4"/>
    <w:rsid w:val="002A1AF7"/>
    <w:rsid w:val="002A1B6A"/>
    <w:rsid w:val="002A1B9B"/>
    <w:rsid w:val="002A1C98"/>
    <w:rsid w:val="002A1CB5"/>
    <w:rsid w:val="002A1D06"/>
    <w:rsid w:val="002A1E5E"/>
    <w:rsid w:val="002A1E6E"/>
    <w:rsid w:val="002A1ED1"/>
    <w:rsid w:val="002A1ED2"/>
    <w:rsid w:val="002A1F13"/>
    <w:rsid w:val="002A1FAE"/>
    <w:rsid w:val="002A1FCF"/>
    <w:rsid w:val="002A1FFC"/>
    <w:rsid w:val="002A2018"/>
    <w:rsid w:val="002A206A"/>
    <w:rsid w:val="002A20E8"/>
    <w:rsid w:val="002A2122"/>
    <w:rsid w:val="002A2170"/>
    <w:rsid w:val="002A21D2"/>
    <w:rsid w:val="002A21EF"/>
    <w:rsid w:val="002A220D"/>
    <w:rsid w:val="002A224A"/>
    <w:rsid w:val="002A2282"/>
    <w:rsid w:val="002A22CF"/>
    <w:rsid w:val="002A23CA"/>
    <w:rsid w:val="002A23E8"/>
    <w:rsid w:val="002A2429"/>
    <w:rsid w:val="002A248D"/>
    <w:rsid w:val="002A24AE"/>
    <w:rsid w:val="002A24D3"/>
    <w:rsid w:val="002A24E2"/>
    <w:rsid w:val="002A24EC"/>
    <w:rsid w:val="002A254B"/>
    <w:rsid w:val="002A254F"/>
    <w:rsid w:val="002A257A"/>
    <w:rsid w:val="002A2592"/>
    <w:rsid w:val="002A25D4"/>
    <w:rsid w:val="002A261E"/>
    <w:rsid w:val="002A269C"/>
    <w:rsid w:val="002A26CF"/>
    <w:rsid w:val="002A27A4"/>
    <w:rsid w:val="002A27B9"/>
    <w:rsid w:val="002A27EA"/>
    <w:rsid w:val="002A2896"/>
    <w:rsid w:val="002A28B3"/>
    <w:rsid w:val="002A29C7"/>
    <w:rsid w:val="002A2A25"/>
    <w:rsid w:val="002A2A37"/>
    <w:rsid w:val="002A2AA2"/>
    <w:rsid w:val="002A2AD2"/>
    <w:rsid w:val="002A2AEB"/>
    <w:rsid w:val="002A2B3A"/>
    <w:rsid w:val="002A2BB9"/>
    <w:rsid w:val="002A2CDB"/>
    <w:rsid w:val="002A2D9D"/>
    <w:rsid w:val="002A2D9E"/>
    <w:rsid w:val="002A2E47"/>
    <w:rsid w:val="002A2E48"/>
    <w:rsid w:val="002A2E69"/>
    <w:rsid w:val="002A2EA2"/>
    <w:rsid w:val="002A2F17"/>
    <w:rsid w:val="002A2F3D"/>
    <w:rsid w:val="002A3064"/>
    <w:rsid w:val="002A312F"/>
    <w:rsid w:val="002A3184"/>
    <w:rsid w:val="002A3196"/>
    <w:rsid w:val="002A31A9"/>
    <w:rsid w:val="002A32D5"/>
    <w:rsid w:val="002A33DD"/>
    <w:rsid w:val="002A34D6"/>
    <w:rsid w:val="002A34EC"/>
    <w:rsid w:val="002A3587"/>
    <w:rsid w:val="002A35C0"/>
    <w:rsid w:val="002A368C"/>
    <w:rsid w:val="002A36E3"/>
    <w:rsid w:val="002A36F0"/>
    <w:rsid w:val="002A36FB"/>
    <w:rsid w:val="002A3738"/>
    <w:rsid w:val="002A3813"/>
    <w:rsid w:val="002A3843"/>
    <w:rsid w:val="002A38B3"/>
    <w:rsid w:val="002A396F"/>
    <w:rsid w:val="002A398A"/>
    <w:rsid w:val="002A39DC"/>
    <w:rsid w:val="002A39F6"/>
    <w:rsid w:val="002A3A6D"/>
    <w:rsid w:val="002A3B3D"/>
    <w:rsid w:val="002A3B49"/>
    <w:rsid w:val="002A3BF7"/>
    <w:rsid w:val="002A3CAB"/>
    <w:rsid w:val="002A3D64"/>
    <w:rsid w:val="002A3D71"/>
    <w:rsid w:val="002A3DD2"/>
    <w:rsid w:val="002A3DEC"/>
    <w:rsid w:val="002A3DED"/>
    <w:rsid w:val="002A3E48"/>
    <w:rsid w:val="002A3EA5"/>
    <w:rsid w:val="002A3EE3"/>
    <w:rsid w:val="002A3F04"/>
    <w:rsid w:val="002A3F0F"/>
    <w:rsid w:val="002A3F57"/>
    <w:rsid w:val="002A3F64"/>
    <w:rsid w:val="002A3F6C"/>
    <w:rsid w:val="002A3FEB"/>
    <w:rsid w:val="002A3FF1"/>
    <w:rsid w:val="002A4042"/>
    <w:rsid w:val="002A4050"/>
    <w:rsid w:val="002A406B"/>
    <w:rsid w:val="002A4173"/>
    <w:rsid w:val="002A4221"/>
    <w:rsid w:val="002A4299"/>
    <w:rsid w:val="002A42B4"/>
    <w:rsid w:val="002A42C3"/>
    <w:rsid w:val="002A4303"/>
    <w:rsid w:val="002A43DF"/>
    <w:rsid w:val="002A4420"/>
    <w:rsid w:val="002A4432"/>
    <w:rsid w:val="002A4592"/>
    <w:rsid w:val="002A45F6"/>
    <w:rsid w:val="002A4658"/>
    <w:rsid w:val="002A4667"/>
    <w:rsid w:val="002A4669"/>
    <w:rsid w:val="002A4685"/>
    <w:rsid w:val="002A46C3"/>
    <w:rsid w:val="002A46EA"/>
    <w:rsid w:val="002A476B"/>
    <w:rsid w:val="002A4847"/>
    <w:rsid w:val="002A4882"/>
    <w:rsid w:val="002A4890"/>
    <w:rsid w:val="002A489C"/>
    <w:rsid w:val="002A4937"/>
    <w:rsid w:val="002A4957"/>
    <w:rsid w:val="002A4AD7"/>
    <w:rsid w:val="002A4AFA"/>
    <w:rsid w:val="002A4B5F"/>
    <w:rsid w:val="002A4B89"/>
    <w:rsid w:val="002A4B95"/>
    <w:rsid w:val="002A4BEA"/>
    <w:rsid w:val="002A4C17"/>
    <w:rsid w:val="002A4C18"/>
    <w:rsid w:val="002A4C4F"/>
    <w:rsid w:val="002A4C8A"/>
    <w:rsid w:val="002A4CB3"/>
    <w:rsid w:val="002A4CFB"/>
    <w:rsid w:val="002A4D0E"/>
    <w:rsid w:val="002A4D85"/>
    <w:rsid w:val="002A4D8B"/>
    <w:rsid w:val="002A4D97"/>
    <w:rsid w:val="002A4D9F"/>
    <w:rsid w:val="002A4DB1"/>
    <w:rsid w:val="002A4DD2"/>
    <w:rsid w:val="002A4DD5"/>
    <w:rsid w:val="002A4E30"/>
    <w:rsid w:val="002A4E34"/>
    <w:rsid w:val="002A4EB1"/>
    <w:rsid w:val="002A4ED4"/>
    <w:rsid w:val="002A4F1F"/>
    <w:rsid w:val="002A4F23"/>
    <w:rsid w:val="002A4F49"/>
    <w:rsid w:val="002A4F53"/>
    <w:rsid w:val="002A4F84"/>
    <w:rsid w:val="002A4FE0"/>
    <w:rsid w:val="002A5020"/>
    <w:rsid w:val="002A5073"/>
    <w:rsid w:val="002A5092"/>
    <w:rsid w:val="002A50BF"/>
    <w:rsid w:val="002A5155"/>
    <w:rsid w:val="002A516C"/>
    <w:rsid w:val="002A51CD"/>
    <w:rsid w:val="002A51E5"/>
    <w:rsid w:val="002A5324"/>
    <w:rsid w:val="002A534B"/>
    <w:rsid w:val="002A535A"/>
    <w:rsid w:val="002A5394"/>
    <w:rsid w:val="002A53FB"/>
    <w:rsid w:val="002A5441"/>
    <w:rsid w:val="002A5461"/>
    <w:rsid w:val="002A54F3"/>
    <w:rsid w:val="002A54F5"/>
    <w:rsid w:val="002A553B"/>
    <w:rsid w:val="002A558B"/>
    <w:rsid w:val="002A55C9"/>
    <w:rsid w:val="002A55EF"/>
    <w:rsid w:val="002A561F"/>
    <w:rsid w:val="002A5636"/>
    <w:rsid w:val="002A563B"/>
    <w:rsid w:val="002A56A4"/>
    <w:rsid w:val="002A571C"/>
    <w:rsid w:val="002A571D"/>
    <w:rsid w:val="002A5743"/>
    <w:rsid w:val="002A5785"/>
    <w:rsid w:val="002A582F"/>
    <w:rsid w:val="002A588C"/>
    <w:rsid w:val="002A58B1"/>
    <w:rsid w:val="002A58C2"/>
    <w:rsid w:val="002A58DA"/>
    <w:rsid w:val="002A58DE"/>
    <w:rsid w:val="002A5990"/>
    <w:rsid w:val="002A5A00"/>
    <w:rsid w:val="002A5A2A"/>
    <w:rsid w:val="002A5A68"/>
    <w:rsid w:val="002A5A6F"/>
    <w:rsid w:val="002A5AF2"/>
    <w:rsid w:val="002A5AFE"/>
    <w:rsid w:val="002A5C61"/>
    <w:rsid w:val="002A5CCF"/>
    <w:rsid w:val="002A5D42"/>
    <w:rsid w:val="002A5D4C"/>
    <w:rsid w:val="002A5D64"/>
    <w:rsid w:val="002A5D85"/>
    <w:rsid w:val="002A5D9F"/>
    <w:rsid w:val="002A5E3A"/>
    <w:rsid w:val="002A5EF1"/>
    <w:rsid w:val="002A5F75"/>
    <w:rsid w:val="002A5F7B"/>
    <w:rsid w:val="002A5F95"/>
    <w:rsid w:val="002A604C"/>
    <w:rsid w:val="002A60EC"/>
    <w:rsid w:val="002A6128"/>
    <w:rsid w:val="002A6199"/>
    <w:rsid w:val="002A61F3"/>
    <w:rsid w:val="002A61FA"/>
    <w:rsid w:val="002A620D"/>
    <w:rsid w:val="002A6272"/>
    <w:rsid w:val="002A6315"/>
    <w:rsid w:val="002A634C"/>
    <w:rsid w:val="002A6391"/>
    <w:rsid w:val="002A6392"/>
    <w:rsid w:val="002A6573"/>
    <w:rsid w:val="002A6594"/>
    <w:rsid w:val="002A65A7"/>
    <w:rsid w:val="002A668F"/>
    <w:rsid w:val="002A66BA"/>
    <w:rsid w:val="002A6710"/>
    <w:rsid w:val="002A6785"/>
    <w:rsid w:val="002A680B"/>
    <w:rsid w:val="002A68F0"/>
    <w:rsid w:val="002A692A"/>
    <w:rsid w:val="002A6970"/>
    <w:rsid w:val="002A69AD"/>
    <w:rsid w:val="002A69E3"/>
    <w:rsid w:val="002A6B20"/>
    <w:rsid w:val="002A6B24"/>
    <w:rsid w:val="002A6B26"/>
    <w:rsid w:val="002A6B4C"/>
    <w:rsid w:val="002A6BDD"/>
    <w:rsid w:val="002A6BE1"/>
    <w:rsid w:val="002A6BE6"/>
    <w:rsid w:val="002A6BF9"/>
    <w:rsid w:val="002A6CA3"/>
    <w:rsid w:val="002A6D01"/>
    <w:rsid w:val="002A6D26"/>
    <w:rsid w:val="002A6DCC"/>
    <w:rsid w:val="002A6E06"/>
    <w:rsid w:val="002A6E53"/>
    <w:rsid w:val="002A6E5D"/>
    <w:rsid w:val="002A6ED3"/>
    <w:rsid w:val="002A6F76"/>
    <w:rsid w:val="002A6FA2"/>
    <w:rsid w:val="002A700D"/>
    <w:rsid w:val="002A7032"/>
    <w:rsid w:val="002A70F5"/>
    <w:rsid w:val="002A7121"/>
    <w:rsid w:val="002A71CD"/>
    <w:rsid w:val="002A71E6"/>
    <w:rsid w:val="002A7217"/>
    <w:rsid w:val="002A72C3"/>
    <w:rsid w:val="002A72C4"/>
    <w:rsid w:val="002A72E8"/>
    <w:rsid w:val="002A7367"/>
    <w:rsid w:val="002A737C"/>
    <w:rsid w:val="002A7453"/>
    <w:rsid w:val="002A7486"/>
    <w:rsid w:val="002A7488"/>
    <w:rsid w:val="002A74D9"/>
    <w:rsid w:val="002A74ED"/>
    <w:rsid w:val="002A75B4"/>
    <w:rsid w:val="002A75BB"/>
    <w:rsid w:val="002A76CF"/>
    <w:rsid w:val="002A776C"/>
    <w:rsid w:val="002A77F7"/>
    <w:rsid w:val="002A782F"/>
    <w:rsid w:val="002A7842"/>
    <w:rsid w:val="002A7882"/>
    <w:rsid w:val="002A78D1"/>
    <w:rsid w:val="002A7939"/>
    <w:rsid w:val="002A796D"/>
    <w:rsid w:val="002A7987"/>
    <w:rsid w:val="002A7997"/>
    <w:rsid w:val="002A79DB"/>
    <w:rsid w:val="002A7A93"/>
    <w:rsid w:val="002A7C59"/>
    <w:rsid w:val="002A7C63"/>
    <w:rsid w:val="002A7C67"/>
    <w:rsid w:val="002A7CD4"/>
    <w:rsid w:val="002A7D41"/>
    <w:rsid w:val="002A7D48"/>
    <w:rsid w:val="002A7D8B"/>
    <w:rsid w:val="002A7DE9"/>
    <w:rsid w:val="002A7E98"/>
    <w:rsid w:val="002A7EDE"/>
    <w:rsid w:val="002A7FAF"/>
    <w:rsid w:val="002A7FB5"/>
    <w:rsid w:val="002A7FCB"/>
    <w:rsid w:val="002B0023"/>
    <w:rsid w:val="002B005C"/>
    <w:rsid w:val="002B007D"/>
    <w:rsid w:val="002B0084"/>
    <w:rsid w:val="002B008E"/>
    <w:rsid w:val="002B00AF"/>
    <w:rsid w:val="002B00C4"/>
    <w:rsid w:val="002B01CF"/>
    <w:rsid w:val="002B01DE"/>
    <w:rsid w:val="002B01F9"/>
    <w:rsid w:val="002B02EA"/>
    <w:rsid w:val="002B0305"/>
    <w:rsid w:val="002B0314"/>
    <w:rsid w:val="002B031F"/>
    <w:rsid w:val="002B0335"/>
    <w:rsid w:val="002B0352"/>
    <w:rsid w:val="002B035D"/>
    <w:rsid w:val="002B0387"/>
    <w:rsid w:val="002B03F1"/>
    <w:rsid w:val="002B0432"/>
    <w:rsid w:val="002B0465"/>
    <w:rsid w:val="002B04AC"/>
    <w:rsid w:val="002B04F3"/>
    <w:rsid w:val="002B0529"/>
    <w:rsid w:val="002B0578"/>
    <w:rsid w:val="002B058D"/>
    <w:rsid w:val="002B05B5"/>
    <w:rsid w:val="002B062F"/>
    <w:rsid w:val="002B063E"/>
    <w:rsid w:val="002B0663"/>
    <w:rsid w:val="002B06A7"/>
    <w:rsid w:val="002B073D"/>
    <w:rsid w:val="002B0769"/>
    <w:rsid w:val="002B07D1"/>
    <w:rsid w:val="002B088A"/>
    <w:rsid w:val="002B092E"/>
    <w:rsid w:val="002B0953"/>
    <w:rsid w:val="002B09AC"/>
    <w:rsid w:val="002B0A19"/>
    <w:rsid w:val="002B0A3F"/>
    <w:rsid w:val="002B0A49"/>
    <w:rsid w:val="002B0A4A"/>
    <w:rsid w:val="002B0A6F"/>
    <w:rsid w:val="002B0AFB"/>
    <w:rsid w:val="002B0B21"/>
    <w:rsid w:val="002B0BBB"/>
    <w:rsid w:val="002B0C7B"/>
    <w:rsid w:val="002B0C87"/>
    <w:rsid w:val="002B0C8F"/>
    <w:rsid w:val="002B0D91"/>
    <w:rsid w:val="002B0DF8"/>
    <w:rsid w:val="002B0E3C"/>
    <w:rsid w:val="002B0E96"/>
    <w:rsid w:val="002B0EA6"/>
    <w:rsid w:val="002B0EDD"/>
    <w:rsid w:val="002B0F3C"/>
    <w:rsid w:val="002B0F6C"/>
    <w:rsid w:val="002B0FCA"/>
    <w:rsid w:val="002B10A7"/>
    <w:rsid w:val="002B10B6"/>
    <w:rsid w:val="002B10C2"/>
    <w:rsid w:val="002B10C6"/>
    <w:rsid w:val="002B10D3"/>
    <w:rsid w:val="002B110E"/>
    <w:rsid w:val="002B1145"/>
    <w:rsid w:val="002B12A4"/>
    <w:rsid w:val="002B12AC"/>
    <w:rsid w:val="002B12C7"/>
    <w:rsid w:val="002B136E"/>
    <w:rsid w:val="002B13DE"/>
    <w:rsid w:val="002B14DB"/>
    <w:rsid w:val="002B1582"/>
    <w:rsid w:val="002B159B"/>
    <w:rsid w:val="002B15C4"/>
    <w:rsid w:val="002B1604"/>
    <w:rsid w:val="002B160A"/>
    <w:rsid w:val="002B163C"/>
    <w:rsid w:val="002B16D2"/>
    <w:rsid w:val="002B16E5"/>
    <w:rsid w:val="002B17B4"/>
    <w:rsid w:val="002B17C1"/>
    <w:rsid w:val="002B17D8"/>
    <w:rsid w:val="002B1805"/>
    <w:rsid w:val="002B181D"/>
    <w:rsid w:val="002B1826"/>
    <w:rsid w:val="002B18C4"/>
    <w:rsid w:val="002B18E4"/>
    <w:rsid w:val="002B1989"/>
    <w:rsid w:val="002B1A2A"/>
    <w:rsid w:val="002B1A3A"/>
    <w:rsid w:val="002B1A62"/>
    <w:rsid w:val="002B1ACF"/>
    <w:rsid w:val="002B1AD1"/>
    <w:rsid w:val="002B1B2A"/>
    <w:rsid w:val="002B1BB6"/>
    <w:rsid w:val="002B1D18"/>
    <w:rsid w:val="002B1D77"/>
    <w:rsid w:val="002B1D8D"/>
    <w:rsid w:val="002B1DBC"/>
    <w:rsid w:val="002B1DFE"/>
    <w:rsid w:val="002B1E0C"/>
    <w:rsid w:val="002B1FA4"/>
    <w:rsid w:val="002B1FDC"/>
    <w:rsid w:val="002B20CE"/>
    <w:rsid w:val="002B2133"/>
    <w:rsid w:val="002B216B"/>
    <w:rsid w:val="002B2194"/>
    <w:rsid w:val="002B2399"/>
    <w:rsid w:val="002B23B5"/>
    <w:rsid w:val="002B23E1"/>
    <w:rsid w:val="002B2442"/>
    <w:rsid w:val="002B2496"/>
    <w:rsid w:val="002B24C7"/>
    <w:rsid w:val="002B2515"/>
    <w:rsid w:val="002B2516"/>
    <w:rsid w:val="002B259E"/>
    <w:rsid w:val="002B25DE"/>
    <w:rsid w:val="002B25E3"/>
    <w:rsid w:val="002B265D"/>
    <w:rsid w:val="002B26A8"/>
    <w:rsid w:val="002B26BD"/>
    <w:rsid w:val="002B2805"/>
    <w:rsid w:val="002B2830"/>
    <w:rsid w:val="002B285B"/>
    <w:rsid w:val="002B2906"/>
    <w:rsid w:val="002B293B"/>
    <w:rsid w:val="002B293F"/>
    <w:rsid w:val="002B29F7"/>
    <w:rsid w:val="002B29FD"/>
    <w:rsid w:val="002B2A01"/>
    <w:rsid w:val="002B2AB4"/>
    <w:rsid w:val="002B2ABA"/>
    <w:rsid w:val="002B2BA1"/>
    <w:rsid w:val="002B2BC8"/>
    <w:rsid w:val="002B2C07"/>
    <w:rsid w:val="002B2C32"/>
    <w:rsid w:val="002B2C47"/>
    <w:rsid w:val="002B2C5A"/>
    <w:rsid w:val="002B2C8C"/>
    <w:rsid w:val="002B2CB8"/>
    <w:rsid w:val="002B2CF2"/>
    <w:rsid w:val="002B2D20"/>
    <w:rsid w:val="002B2E49"/>
    <w:rsid w:val="002B2E79"/>
    <w:rsid w:val="002B2E85"/>
    <w:rsid w:val="002B2E8E"/>
    <w:rsid w:val="002B2FB0"/>
    <w:rsid w:val="002B308A"/>
    <w:rsid w:val="002B308E"/>
    <w:rsid w:val="002B30A6"/>
    <w:rsid w:val="002B3176"/>
    <w:rsid w:val="002B3185"/>
    <w:rsid w:val="002B31A4"/>
    <w:rsid w:val="002B320D"/>
    <w:rsid w:val="002B326C"/>
    <w:rsid w:val="002B326F"/>
    <w:rsid w:val="002B3310"/>
    <w:rsid w:val="002B3396"/>
    <w:rsid w:val="002B3471"/>
    <w:rsid w:val="002B3573"/>
    <w:rsid w:val="002B3589"/>
    <w:rsid w:val="002B35F1"/>
    <w:rsid w:val="002B35F9"/>
    <w:rsid w:val="002B3608"/>
    <w:rsid w:val="002B360E"/>
    <w:rsid w:val="002B3611"/>
    <w:rsid w:val="002B3666"/>
    <w:rsid w:val="002B366F"/>
    <w:rsid w:val="002B3685"/>
    <w:rsid w:val="002B36C7"/>
    <w:rsid w:val="002B36F3"/>
    <w:rsid w:val="002B370A"/>
    <w:rsid w:val="002B3786"/>
    <w:rsid w:val="002B3816"/>
    <w:rsid w:val="002B38B1"/>
    <w:rsid w:val="002B3960"/>
    <w:rsid w:val="002B396B"/>
    <w:rsid w:val="002B398D"/>
    <w:rsid w:val="002B3B8C"/>
    <w:rsid w:val="002B3BA5"/>
    <w:rsid w:val="002B3BD4"/>
    <w:rsid w:val="002B3BE8"/>
    <w:rsid w:val="002B3C0B"/>
    <w:rsid w:val="002B3C56"/>
    <w:rsid w:val="002B3C68"/>
    <w:rsid w:val="002B3CEC"/>
    <w:rsid w:val="002B3CED"/>
    <w:rsid w:val="002B3D0D"/>
    <w:rsid w:val="002B3D11"/>
    <w:rsid w:val="002B3D5D"/>
    <w:rsid w:val="002B3D77"/>
    <w:rsid w:val="002B3E66"/>
    <w:rsid w:val="002B3FB9"/>
    <w:rsid w:val="002B3FC1"/>
    <w:rsid w:val="002B3FE4"/>
    <w:rsid w:val="002B3FE6"/>
    <w:rsid w:val="002B402D"/>
    <w:rsid w:val="002B4031"/>
    <w:rsid w:val="002B40CD"/>
    <w:rsid w:val="002B41C7"/>
    <w:rsid w:val="002B41F1"/>
    <w:rsid w:val="002B420B"/>
    <w:rsid w:val="002B422F"/>
    <w:rsid w:val="002B4236"/>
    <w:rsid w:val="002B42E5"/>
    <w:rsid w:val="002B43D2"/>
    <w:rsid w:val="002B457F"/>
    <w:rsid w:val="002B4604"/>
    <w:rsid w:val="002B471E"/>
    <w:rsid w:val="002B473B"/>
    <w:rsid w:val="002B474F"/>
    <w:rsid w:val="002B4796"/>
    <w:rsid w:val="002B47B0"/>
    <w:rsid w:val="002B47DA"/>
    <w:rsid w:val="002B47FF"/>
    <w:rsid w:val="002B4885"/>
    <w:rsid w:val="002B48CD"/>
    <w:rsid w:val="002B4995"/>
    <w:rsid w:val="002B49AE"/>
    <w:rsid w:val="002B4A00"/>
    <w:rsid w:val="002B4A22"/>
    <w:rsid w:val="002B4A5E"/>
    <w:rsid w:val="002B4AE6"/>
    <w:rsid w:val="002B4B22"/>
    <w:rsid w:val="002B4B7B"/>
    <w:rsid w:val="002B4C29"/>
    <w:rsid w:val="002B4C2E"/>
    <w:rsid w:val="002B4CA0"/>
    <w:rsid w:val="002B4CB4"/>
    <w:rsid w:val="002B4CF5"/>
    <w:rsid w:val="002B4CFB"/>
    <w:rsid w:val="002B4D0D"/>
    <w:rsid w:val="002B4D80"/>
    <w:rsid w:val="002B4D92"/>
    <w:rsid w:val="002B4DCC"/>
    <w:rsid w:val="002B4EF9"/>
    <w:rsid w:val="002B4F5C"/>
    <w:rsid w:val="002B4FE9"/>
    <w:rsid w:val="002B4FFC"/>
    <w:rsid w:val="002B5069"/>
    <w:rsid w:val="002B5072"/>
    <w:rsid w:val="002B50E3"/>
    <w:rsid w:val="002B514D"/>
    <w:rsid w:val="002B5163"/>
    <w:rsid w:val="002B5189"/>
    <w:rsid w:val="002B5197"/>
    <w:rsid w:val="002B5269"/>
    <w:rsid w:val="002B5278"/>
    <w:rsid w:val="002B5364"/>
    <w:rsid w:val="002B537E"/>
    <w:rsid w:val="002B53B0"/>
    <w:rsid w:val="002B53F6"/>
    <w:rsid w:val="002B5457"/>
    <w:rsid w:val="002B5644"/>
    <w:rsid w:val="002B5662"/>
    <w:rsid w:val="002B56DA"/>
    <w:rsid w:val="002B577B"/>
    <w:rsid w:val="002B57A3"/>
    <w:rsid w:val="002B57B9"/>
    <w:rsid w:val="002B5822"/>
    <w:rsid w:val="002B588A"/>
    <w:rsid w:val="002B588C"/>
    <w:rsid w:val="002B588D"/>
    <w:rsid w:val="002B5904"/>
    <w:rsid w:val="002B5908"/>
    <w:rsid w:val="002B5942"/>
    <w:rsid w:val="002B5956"/>
    <w:rsid w:val="002B5A25"/>
    <w:rsid w:val="002B5A86"/>
    <w:rsid w:val="002B5AEA"/>
    <w:rsid w:val="002B5B8D"/>
    <w:rsid w:val="002B5B96"/>
    <w:rsid w:val="002B5C39"/>
    <w:rsid w:val="002B5C9A"/>
    <w:rsid w:val="002B5CB9"/>
    <w:rsid w:val="002B5DDD"/>
    <w:rsid w:val="002B5E22"/>
    <w:rsid w:val="002B5E47"/>
    <w:rsid w:val="002B5ED1"/>
    <w:rsid w:val="002B5EF0"/>
    <w:rsid w:val="002B5EF2"/>
    <w:rsid w:val="002B5F05"/>
    <w:rsid w:val="002B5FB7"/>
    <w:rsid w:val="002B6070"/>
    <w:rsid w:val="002B609D"/>
    <w:rsid w:val="002B60B5"/>
    <w:rsid w:val="002B60DA"/>
    <w:rsid w:val="002B619A"/>
    <w:rsid w:val="002B61A0"/>
    <w:rsid w:val="002B61A5"/>
    <w:rsid w:val="002B6209"/>
    <w:rsid w:val="002B6243"/>
    <w:rsid w:val="002B6249"/>
    <w:rsid w:val="002B624F"/>
    <w:rsid w:val="002B625D"/>
    <w:rsid w:val="002B62AA"/>
    <w:rsid w:val="002B6390"/>
    <w:rsid w:val="002B6392"/>
    <w:rsid w:val="002B6428"/>
    <w:rsid w:val="002B6493"/>
    <w:rsid w:val="002B64D7"/>
    <w:rsid w:val="002B651B"/>
    <w:rsid w:val="002B65C0"/>
    <w:rsid w:val="002B65C5"/>
    <w:rsid w:val="002B65DE"/>
    <w:rsid w:val="002B65FB"/>
    <w:rsid w:val="002B662E"/>
    <w:rsid w:val="002B6643"/>
    <w:rsid w:val="002B66B3"/>
    <w:rsid w:val="002B670F"/>
    <w:rsid w:val="002B67B0"/>
    <w:rsid w:val="002B67C7"/>
    <w:rsid w:val="002B6837"/>
    <w:rsid w:val="002B684B"/>
    <w:rsid w:val="002B6879"/>
    <w:rsid w:val="002B68B5"/>
    <w:rsid w:val="002B68CF"/>
    <w:rsid w:val="002B68E5"/>
    <w:rsid w:val="002B696A"/>
    <w:rsid w:val="002B6976"/>
    <w:rsid w:val="002B6984"/>
    <w:rsid w:val="002B6B32"/>
    <w:rsid w:val="002B6B36"/>
    <w:rsid w:val="002B6B80"/>
    <w:rsid w:val="002B6BAB"/>
    <w:rsid w:val="002B6BF7"/>
    <w:rsid w:val="002B6BFA"/>
    <w:rsid w:val="002B6CE5"/>
    <w:rsid w:val="002B6CEF"/>
    <w:rsid w:val="002B6CF5"/>
    <w:rsid w:val="002B6D1A"/>
    <w:rsid w:val="002B6D81"/>
    <w:rsid w:val="002B6DD1"/>
    <w:rsid w:val="002B6DF1"/>
    <w:rsid w:val="002B6E69"/>
    <w:rsid w:val="002B6F69"/>
    <w:rsid w:val="002B6F8B"/>
    <w:rsid w:val="002B6FB9"/>
    <w:rsid w:val="002B7098"/>
    <w:rsid w:val="002B70B5"/>
    <w:rsid w:val="002B710E"/>
    <w:rsid w:val="002B714D"/>
    <w:rsid w:val="002B7231"/>
    <w:rsid w:val="002B7248"/>
    <w:rsid w:val="002B7249"/>
    <w:rsid w:val="002B72F2"/>
    <w:rsid w:val="002B741B"/>
    <w:rsid w:val="002B74E5"/>
    <w:rsid w:val="002B753A"/>
    <w:rsid w:val="002B7549"/>
    <w:rsid w:val="002B758F"/>
    <w:rsid w:val="002B75F2"/>
    <w:rsid w:val="002B765D"/>
    <w:rsid w:val="002B7733"/>
    <w:rsid w:val="002B7742"/>
    <w:rsid w:val="002B779B"/>
    <w:rsid w:val="002B78C4"/>
    <w:rsid w:val="002B78EF"/>
    <w:rsid w:val="002B7903"/>
    <w:rsid w:val="002B7909"/>
    <w:rsid w:val="002B79D4"/>
    <w:rsid w:val="002B7AA0"/>
    <w:rsid w:val="002B7AAC"/>
    <w:rsid w:val="002B7B40"/>
    <w:rsid w:val="002B7B77"/>
    <w:rsid w:val="002B7B88"/>
    <w:rsid w:val="002B7BBF"/>
    <w:rsid w:val="002B7BFC"/>
    <w:rsid w:val="002B7CB5"/>
    <w:rsid w:val="002B7D76"/>
    <w:rsid w:val="002B7E6C"/>
    <w:rsid w:val="002B7E8C"/>
    <w:rsid w:val="002B7ECB"/>
    <w:rsid w:val="002B7EF2"/>
    <w:rsid w:val="002B7F9B"/>
    <w:rsid w:val="002B7FE6"/>
    <w:rsid w:val="002C0063"/>
    <w:rsid w:val="002C0112"/>
    <w:rsid w:val="002C0165"/>
    <w:rsid w:val="002C019C"/>
    <w:rsid w:val="002C01B3"/>
    <w:rsid w:val="002C01BB"/>
    <w:rsid w:val="002C01DD"/>
    <w:rsid w:val="002C01E9"/>
    <w:rsid w:val="002C0235"/>
    <w:rsid w:val="002C0241"/>
    <w:rsid w:val="002C02EA"/>
    <w:rsid w:val="002C02FE"/>
    <w:rsid w:val="002C0332"/>
    <w:rsid w:val="002C0367"/>
    <w:rsid w:val="002C0409"/>
    <w:rsid w:val="002C0449"/>
    <w:rsid w:val="002C0484"/>
    <w:rsid w:val="002C04F2"/>
    <w:rsid w:val="002C055F"/>
    <w:rsid w:val="002C059F"/>
    <w:rsid w:val="002C05D7"/>
    <w:rsid w:val="002C05E5"/>
    <w:rsid w:val="002C0611"/>
    <w:rsid w:val="002C0627"/>
    <w:rsid w:val="002C0658"/>
    <w:rsid w:val="002C06FB"/>
    <w:rsid w:val="002C0701"/>
    <w:rsid w:val="002C0702"/>
    <w:rsid w:val="002C0810"/>
    <w:rsid w:val="002C0813"/>
    <w:rsid w:val="002C081A"/>
    <w:rsid w:val="002C0835"/>
    <w:rsid w:val="002C093A"/>
    <w:rsid w:val="002C099C"/>
    <w:rsid w:val="002C09A0"/>
    <w:rsid w:val="002C0A07"/>
    <w:rsid w:val="002C0A51"/>
    <w:rsid w:val="002C0A62"/>
    <w:rsid w:val="002C0AE8"/>
    <w:rsid w:val="002C0B40"/>
    <w:rsid w:val="002C0B61"/>
    <w:rsid w:val="002C0B96"/>
    <w:rsid w:val="002C0BED"/>
    <w:rsid w:val="002C0C29"/>
    <w:rsid w:val="002C0C4D"/>
    <w:rsid w:val="002C0CA6"/>
    <w:rsid w:val="002C0CEC"/>
    <w:rsid w:val="002C0D51"/>
    <w:rsid w:val="002C0DA8"/>
    <w:rsid w:val="002C0E2C"/>
    <w:rsid w:val="002C0E72"/>
    <w:rsid w:val="002C0F71"/>
    <w:rsid w:val="002C0FBD"/>
    <w:rsid w:val="002C0FDC"/>
    <w:rsid w:val="002C0FF5"/>
    <w:rsid w:val="002C1013"/>
    <w:rsid w:val="002C103C"/>
    <w:rsid w:val="002C104C"/>
    <w:rsid w:val="002C10B3"/>
    <w:rsid w:val="002C10E7"/>
    <w:rsid w:val="002C1115"/>
    <w:rsid w:val="002C1120"/>
    <w:rsid w:val="002C1196"/>
    <w:rsid w:val="002C11AB"/>
    <w:rsid w:val="002C1214"/>
    <w:rsid w:val="002C1230"/>
    <w:rsid w:val="002C12B1"/>
    <w:rsid w:val="002C12F1"/>
    <w:rsid w:val="002C1329"/>
    <w:rsid w:val="002C135A"/>
    <w:rsid w:val="002C1394"/>
    <w:rsid w:val="002C13F3"/>
    <w:rsid w:val="002C14A4"/>
    <w:rsid w:val="002C14AB"/>
    <w:rsid w:val="002C14B7"/>
    <w:rsid w:val="002C152E"/>
    <w:rsid w:val="002C155E"/>
    <w:rsid w:val="002C1582"/>
    <w:rsid w:val="002C15C8"/>
    <w:rsid w:val="002C163C"/>
    <w:rsid w:val="002C1665"/>
    <w:rsid w:val="002C166F"/>
    <w:rsid w:val="002C16AA"/>
    <w:rsid w:val="002C16BB"/>
    <w:rsid w:val="002C1755"/>
    <w:rsid w:val="002C1834"/>
    <w:rsid w:val="002C184F"/>
    <w:rsid w:val="002C18B1"/>
    <w:rsid w:val="002C194B"/>
    <w:rsid w:val="002C196F"/>
    <w:rsid w:val="002C197F"/>
    <w:rsid w:val="002C1A0B"/>
    <w:rsid w:val="002C1A6E"/>
    <w:rsid w:val="002C1AF6"/>
    <w:rsid w:val="002C1B80"/>
    <w:rsid w:val="002C1BA5"/>
    <w:rsid w:val="002C1BAF"/>
    <w:rsid w:val="002C1BD4"/>
    <w:rsid w:val="002C1C23"/>
    <w:rsid w:val="002C1C25"/>
    <w:rsid w:val="002C1C46"/>
    <w:rsid w:val="002C1C84"/>
    <w:rsid w:val="002C1CAF"/>
    <w:rsid w:val="002C1CC2"/>
    <w:rsid w:val="002C1D62"/>
    <w:rsid w:val="002C1D98"/>
    <w:rsid w:val="002C1DA1"/>
    <w:rsid w:val="002C1DD0"/>
    <w:rsid w:val="002C1DD8"/>
    <w:rsid w:val="002C1EB7"/>
    <w:rsid w:val="002C1EB8"/>
    <w:rsid w:val="002C1ECD"/>
    <w:rsid w:val="002C1EE7"/>
    <w:rsid w:val="002C1F1E"/>
    <w:rsid w:val="002C1F33"/>
    <w:rsid w:val="002C1F3C"/>
    <w:rsid w:val="002C1F89"/>
    <w:rsid w:val="002C207F"/>
    <w:rsid w:val="002C20B9"/>
    <w:rsid w:val="002C20BD"/>
    <w:rsid w:val="002C20F3"/>
    <w:rsid w:val="002C218D"/>
    <w:rsid w:val="002C21C0"/>
    <w:rsid w:val="002C21D3"/>
    <w:rsid w:val="002C21F0"/>
    <w:rsid w:val="002C225B"/>
    <w:rsid w:val="002C2268"/>
    <w:rsid w:val="002C2307"/>
    <w:rsid w:val="002C2340"/>
    <w:rsid w:val="002C2357"/>
    <w:rsid w:val="002C23B2"/>
    <w:rsid w:val="002C23D8"/>
    <w:rsid w:val="002C2439"/>
    <w:rsid w:val="002C24D3"/>
    <w:rsid w:val="002C2562"/>
    <w:rsid w:val="002C26B2"/>
    <w:rsid w:val="002C26D8"/>
    <w:rsid w:val="002C285E"/>
    <w:rsid w:val="002C2863"/>
    <w:rsid w:val="002C286C"/>
    <w:rsid w:val="002C2900"/>
    <w:rsid w:val="002C2905"/>
    <w:rsid w:val="002C2912"/>
    <w:rsid w:val="002C293E"/>
    <w:rsid w:val="002C2962"/>
    <w:rsid w:val="002C2A0A"/>
    <w:rsid w:val="002C2A5C"/>
    <w:rsid w:val="002C2A9D"/>
    <w:rsid w:val="002C2AD8"/>
    <w:rsid w:val="002C2AEB"/>
    <w:rsid w:val="002C2AF0"/>
    <w:rsid w:val="002C2D27"/>
    <w:rsid w:val="002C2DAB"/>
    <w:rsid w:val="002C2E13"/>
    <w:rsid w:val="002C2ED0"/>
    <w:rsid w:val="002C2EE7"/>
    <w:rsid w:val="002C2F04"/>
    <w:rsid w:val="002C2F3C"/>
    <w:rsid w:val="002C2F7D"/>
    <w:rsid w:val="002C3063"/>
    <w:rsid w:val="002C3080"/>
    <w:rsid w:val="002C30DE"/>
    <w:rsid w:val="002C311F"/>
    <w:rsid w:val="002C312B"/>
    <w:rsid w:val="002C320B"/>
    <w:rsid w:val="002C3240"/>
    <w:rsid w:val="002C3245"/>
    <w:rsid w:val="002C32D6"/>
    <w:rsid w:val="002C330B"/>
    <w:rsid w:val="002C331A"/>
    <w:rsid w:val="002C3328"/>
    <w:rsid w:val="002C334C"/>
    <w:rsid w:val="002C340B"/>
    <w:rsid w:val="002C340C"/>
    <w:rsid w:val="002C341E"/>
    <w:rsid w:val="002C34EC"/>
    <w:rsid w:val="002C35B5"/>
    <w:rsid w:val="002C35D3"/>
    <w:rsid w:val="002C370F"/>
    <w:rsid w:val="002C38DD"/>
    <w:rsid w:val="002C3901"/>
    <w:rsid w:val="002C3913"/>
    <w:rsid w:val="002C3943"/>
    <w:rsid w:val="002C3991"/>
    <w:rsid w:val="002C399E"/>
    <w:rsid w:val="002C39A2"/>
    <w:rsid w:val="002C39C9"/>
    <w:rsid w:val="002C39CC"/>
    <w:rsid w:val="002C39EC"/>
    <w:rsid w:val="002C3AB5"/>
    <w:rsid w:val="002C3B12"/>
    <w:rsid w:val="002C3B28"/>
    <w:rsid w:val="002C3B68"/>
    <w:rsid w:val="002C3BB0"/>
    <w:rsid w:val="002C3BE6"/>
    <w:rsid w:val="002C3C84"/>
    <w:rsid w:val="002C3CA3"/>
    <w:rsid w:val="002C3CC6"/>
    <w:rsid w:val="002C3D0B"/>
    <w:rsid w:val="002C3D24"/>
    <w:rsid w:val="002C3D27"/>
    <w:rsid w:val="002C3DCF"/>
    <w:rsid w:val="002C3DEB"/>
    <w:rsid w:val="002C3E29"/>
    <w:rsid w:val="002C3E4D"/>
    <w:rsid w:val="002C3E55"/>
    <w:rsid w:val="002C3EE7"/>
    <w:rsid w:val="002C3EF4"/>
    <w:rsid w:val="002C3F09"/>
    <w:rsid w:val="002C4026"/>
    <w:rsid w:val="002C402D"/>
    <w:rsid w:val="002C4038"/>
    <w:rsid w:val="002C404D"/>
    <w:rsid w:val="002C40BC"/>
    <w:rsid w:val="002C4161"/>
    <w:rsid w:val="002C41AF"/>
    <w:rsid w:val="002C41B0"/>
    <w:rsid w:val="002C41B2"/>
    <w:rsid w:val="002C41D1"/>
    <w:rsid w:val="002C41E6"/>
    <w:rsid w:val="002C4220"/>
    <w:rsid w:val="002C42BF"/>
    <w:rsid w:val="002C4312"/>
    <w:rsid w:val="002C43B6"/>
    <w:rsid w:val="002C4437"/>
    <w:rsid w:val="002C4444"/>
    <w:rsid w:val="002C4492"/>
    <w:rsid w:val="002C4593"/>
    <w:rsid w:val="002C45BD"/>
    <w:rsid w:val="002C4695"/>
    <w:rsid w:val="002C46C0"/>
    <w:rsid w:val="002C46F8"/>
    <w:rsid w:val="002C478A"/>
    <w:rsid w:val="002C48A0"/>
    <w:rsid w:val="002C48AB"/>
    <w:rsid w:val="002C48C6"/>
    <w:rsid w:val="002C4914"/>
    <w:rsid w:val="002C4AA8"/>
    <w:rsid w:val="002C4AAC"/>
    <w:rsid w:val="002C4AD7"/>
    <w:rsid w:val="002C4B29"/>
    <w:rsid w:val="002C4B2E"/>
    <w:rsid w:val="002C4B7F"/>
    <w:rsid w:val="002C4B88"/>
    <w:rsid w:val="002C4BDE"/>
    <w:rsid w:val="002C4C39"/>
    <w:rsid w:val="002C4C4D"/>
    <w:rsid w:val="002C4C63"/>
    <w:rsid w:val="002C4CB9"/>
    <w:rsid w:val="002C4D0F"/>
    <w:rsid w:val="002C4D54"/>
    <w:rsid w:val="002C4D60"/>
    <w:rsid w:val="002C4DB4"/>
    <w:rsid w:val="002C4DD7"/>
    <w:rsid w:val="002C4E2D"/>
    <w:rsid w:val="002C4F80"/>
    <w:rsid w:val="002C4F9B"/>
    <w:rsid w:val="002C4FC6"/>
    <w:rsid w:val="002C5056"/>
    <w:rsid w:val="002C505D"/>
    <w:rsid w:val="002C50A6"/>
    <w:rsid w:val="002C51EE"/>
    <w:rsid w:val="002C5238"/>
    <w:rsid w:val="002C5252"/>
    <w:rsid w:val="002C525E"/>
    <w:rsid w:val="002C5330"/>
    <w:rsid w:val="002C53D9"/>
    <w:rsid w:val="002C541F"/>
    <w:rsid w:val="002C544E"/>
    <w:rsid w:val="002C5450"/>
    <w:rsid w:val="002C545C"/>
    <w:rsid w:val="002C545D"/>
    <w:rsid w:val="002C54D4"/>
    <w:rsid w:val="002C55FF"/>
    <w:rsid w:val="002C5603"/>
    <w:rsid w:val="002C5607"/>
    <w:rsid w:val="002C5629"/>
    <w:rsid w:val="002C567F"/>
    <w:rsid w:val="002C56D2"/>
    <w:rsid w:val="002C5701"/>
    <w:rsid w:val="002C571C"/>
    <w:rsid w:val="002C581E"/>
    <w:rsid w:val="002C5876"/>
    <w:rsid w:val="002C5885"/>
    <w:rsid w:val="002C5917"/>
    <w:rsid w:val="002C5970"/>
    <w:rsid w:val="002C59BC"/>
    <w:rsid w:val="002C5A11"/>
    <w:rsid w:val="002C5ACD"/>
    <w:rsid w:val="002C5AE1"/>
    <w:rsid w:val="002C5AED"/>
    <w:rsid w:val="002C5B28"/>
    <w:rsid w:val="002C5B32"/>
    <w:rsid w:val="002C5B36"/>
    <w:rsid w:val="002C5B62"/>
    <w:rsid w:val="002C5B7D"/>
    <w:rsid w:val="002C5B8A"/>
    <w:rsid w:val="002C5BBD"/>
    <w:rsid w:val="002C5C10"/>
    <w:rsid w:val="002C5C40"/>
    <w:rsid w:val="002C5CB3"/>
    <w:rsid w:val="002C5CED"/>
    <w:rsid w:val="002C5D12"/>
    <w:rsid w:val="002C5D13"/>
    <w:rsid w:val="002C5D1C"/>
    <w:rsid w:val="002C5D20"/>
    <w:rsid w:val="002C5D2A"/>
    <w:rsid w:val="002C5D81"/>
    <w:rsid w:val="002C5E55"/>
    <w:rsid w:val="002C5EEC"/>
    <w:rsid w:val="002C5F38"/>
    <w:rsid w:val="002C5F47"/>
    <w:rsid w:val="002C5F72"/>
    <w:rsid w:val="002C5FAC"/>
    <w:rsid w:val="002C61FC"/>
    <w:rsid w:val="002C6216"/>
    <w:rsid w:val="002C6233"/>
    <w:rsid w:val="002C63B6"/>
    <w:rsid w:val="002C63C9"/>
    <w:rsid w:val="002C6493"/>
    <w:rsid w:val="002C64C6"/>
    <w:rsid w:val="002C64CC"/>
    <w:rsid w:val="002C6508"/>
    <w:rsid w:val="002C6540"/>
    <w:rsid w:val="002C659C"/>
    <w:rsid w:val="002C65A2"/>
    <w:rsid w:val="002C65A7"/>
    <w:rsid w:val="002C660B"/>
    <w:rsid w:val="002C662E"/>
    <w:rsid w:val="002C668E"/>
    <w:rsid w:val="002C6693"/>
    <w:rsid w:val="002C66C0"/>
    <w:rsid w:val="002C66C6"/>
    <w:rsid w:val="002C6766"/>
    <w:rsid w:val="002C677B"/>
    <w:rsid w:val="002C67E1"/>
    <w:rsid w:val="002C6806"/>
    <w:rsid w:val="002C68B9"/>
    <w:rsid w:val="002C6A8B"/>
    <w:rsid w:val="002C6B13"/>
    <w:rsid w:val="002C6B9B"/>
    <w:rsid w:val="002C6BA9"/>
    <w:rsid w:val="002C6BB9"/>
    <w:rsid w:val="002C6BF1"/>
    <w:rsid w:val="002C6BFC"/>
    <w:rsid w:val="002C6C1C"/>
    <w:rsid w:val="002C6C8F"/>
    <w:rsid w:val="002C6CE7"/>
    <w:rsid w:val="002C6D3D"/>
    <w:rsid w:val="002C6D3E"/>
    <w:rsid w:val="002C6DE7"/>
    <w:rsid w:val="002C6DF3"/>
    <w:rsid w:val="002C6E1A"/>
    <w:rsid w:val="002C6E70"/>
    <w:rsid w:val="002C6E7C"/>
    <w:rsid w:val="002C6EA8"/>
    <w:rsid w:val="002C6EDD"/>
    <w:rsid w:val="002C6F00"/>
    <w:rsid w:val="002C6F5D"/>
    <w:rsid w:val="002C701E"/>
    <w:rsid w:val="002C702C"/>
    <w:rsid w:val="002C7054"/>
    <w:rsid w:val="002C7095"/>
    <w:rsid w:val="002C70D0"/>
    <w:rsid w:val="002C70F3"/>
    <w:rsid w:val="002C716C"/>
    <w:rsid w:val="002C7172"/>
    <w:rsid w:val="002C720E"/>
    <w:rsid w:val="002C7218"/>
    <w:rsid w:val="002C7252"/>
    <w:rsid w:val="002C726D"/>
    <w:rsid w:val="002C7380"/>
    <w:rsid w:val="002C73A8"/>
    <w:rsid w:val="002C73D3"/>
    <w:rsid w:val="002C74B5"/>
    <w:rsid w:val="002C74BD"/>
    <w:rsid w:val="002C7524"/>
    <w:rsid w:val="002C758C"/>
    <w:rsid w:val="002C75BF"/>
    <w:rsid w:val="002C75CD"/>
    <w:rsid w:val="002C76B9"/>
    <w:rsid w:val="002C76CA"/>
    <w:rsid w:val="002C76D3"/>
    <w:rsid w:val="002C7729"/>
    <w:rsid w:val="002C7756"/>
    <w:rsid w:val="002C7762"/>
    <w:rsid w:val="002C7771"/>
    <w:rsid w:val="002C7786"/>
    <w:rsid w:val="002C77AC"/>
    <w:rsid w:val="002C77E4"/>
    <w:rsid w:val="002C7809"/>
    <w:rsid w:val="002C7826"/>
    <w:rsid w:val="002C789D"/>
    <w:rsid w:val="002C7915"/>
    <w:rsid w:val="002C79AA"/>
    <w:rsid w:val="002C7A68"/>
    <w:rsid w:val="002C7A71"/>
    <w:rsid w:val="002C7A87"/>
    <w:rsid w:val="002C7A9D"/>
    <w:rsid w:val="002C7B6E"/>
    <w:rsid w:val="002C7B9E"/>
    <w:rsid w:val="002C7BC3"/>
    <w:rsid w:val="002C7BF9"/>
    <w:rsid w:val="002C7C46"/>
    <w:rsid w:val="002C7CFC"/>
    <w:rsid w:val="002C7D46"/>
    <w:rsid w:val="002C7D7D"/>
    <w:rsid w:val="002C7DA0"/>
    <w:rsid w:val="002C7DEC"/>
    <w:rsid w:val="002C7E05"/>
    <w:rsid w:val="002C7EEB"/>
    <w:rsid w:val="002C7F04"/>
    <w:rsid w:val="002C7F75"/>
    <w:rsid w:val="002C7F7B"/>
    <w:rsid w:val="002C7F7F"/>
    <w:rsid w:val="002C7FA2"/>
    <w:rsid w:val="002CADA7"/>
    <w:rsid w:val="002D000C"/>
    <w:rsid w:val="002D0010"/>
    <w:rsid w:val="002D003A"/>
    <w:rsid w:val="002D003E"/>
    <w:rsid w:val="002D004F"/>
    <w:rsid w:val="002D00AA"/>
    <w:rsid w:val="002D00D4"/>
    <w:rsid w:val="002D00FA"/>
    <w:rsid w:val="002D00FB"/>
    <w:rsid w:val="002D00FC"/>
    <w:rsid w:val="002D00FE"/>
    <w:rsid w:val="002D013C"/>
    <w:rsid w:val="002D015B"/>
    <w:rsid w:val="002D015C"/>
    <w:rsid w:val="002D0179"/>
    <w:rsid w:val="002D01B5"/>
    <w:rsid w:val="002D01CF"/>
    <w:rsid w:val="002D01DC"/>
    <w:rsid w:val="002D0291"/>
    <w:rsid w:val="002D02F4"/>
    <w:rsid w:val="002D02FC"/>
    <w:rsid w:val="002D0343"/>
    <w:rsid w:val="002D037A"/>
    <w:rsid w:val="002D03CD"/>
    <w:rsid w:val="002D041F"/>
    <w:rsid w:val="002D0461"/>
    <w:rsid w:val="002D047A"/>
    <w:rsid w:val="002D051C"/>
    <w:rsid w:val="002D0532"/>
    <w:rsid w:val="002D05F2"/>
    <w:rsid w:val="002D0607"/>
    <w:rsid w:val="002D0616"/>
    <w:rsid w:val="002D07B7"/>
    <w:rsid w:val="002D07D3"/>
    <w:rsid w:val="002D07E7"/>
    <w:rsid w:val="002D0819"/>
    <w:rsid w:val="002D083B"/>
    <w:rsid w:val="002D085B"/>
    <w:rsid w:val="002D09C6"/>
    <w:rsid w:val="002D09D9"/>
    <w:rsid w:val="002D09ED"/>
    <w:rsid w:val="002D09F2"/>
    <w:rsid w:val="002D09FF"/>
    <w:rsid w:val="002D0A08"/>
    <w:rsid w:val="002D0AD2"/>
    <w:rsid w:val="002D0AEC"/>
    <w:rsid w:val="002D0AF9"/>
    <w:rsid w:val="002D0B55"/>
    <w:rsid w:val="002D0B66"/>
    <w:rsid w:val="002D0BB1"/>
    <w:rsid w:val="002D0C18"/>
    <w:rsid w:val="002D0C24"/>
    <w:rsid w:val="002D0C4A"/>
    <w:rsid w:val="002D0CCD"/>
    <w:rsid w:val="002D0CD3"/>
    <w:rsid w:val="002D0CDA"/>
    <w:rsid w:val="002D0D63"/>
    <w:rsid w:val="002D0DE8"/>
    <w:rsid w:val="002D0DFE"/>
    <w:rsid w:val="002D0E1B"/>
    <w:rsid w:val="002D0E58"/>
    <w:rsid w:val="002D0EF2"/>
    <w:rsid w:val="002D0F96"/>
    <w:rsid w:val="002D1006"/>
    <w:rsid w:val="002D1066"/>
    <w:rsid w:val="002D10A4"/>
    <w:rsid w:val="002D10A7"/>
    <w:rsid w:val="002D10C9"/>
    <w:rsid w:val="002D10CF"/>
    <w:rsid w:val="002D1136"/>
    <w:rsid w:val="002D1161"/>
    <w:rsid w:val="002D11F2"/>
    <w:rsid w:val="002D11F8"/>
    <w:rsid w:val="002D12A4"/>
    <w:rsid w:val="002D12F9"/>
    <w:rsid w:val="002D130D"/>
    <w:rsid w:val="002D13A9"/>
    <w:rsid w:val="002D13F3"/>
    <w:rsid w:val="002D14AD"/>
    <w:rsid w:val="002D14DD"/>
    <w:rsid w:val="002D153E"/>
    <w:rsid w:val="002D1569"/>
    <w:rsid w:val="002D1599"/>
    <w:rsid w:val="002D159C"/>
    <w:rsid w:val="002D15B5"/>
    <w:rsid w:val="002D15F6"/>
    <w:rsid w:val="002D165C"/>
    <w:rsid w:val="002D165E"/>
    <w:rsid w:val="002D16B7"/>
    <w:rsid w:val="002D16C1"/>
    <w:rsid w:val="002D178E"/>
    <w:rsid w:val="002D17A9"/>
    <w:rsid w:val="002D181A"/>
    <w:rsid w:val="002D18DE"/>
    <w:rsid w:val="002D1974"/>
    <w:rsid w:val="002D19FD"/>
    <w:rsid w:val="002D1C19"/>
    <w:rsid w:val="002D1CD9"/>
    <w:rsid w:val="002D1CE8"/>
    <w:rsid w:val="002D1D0A"/>
    <w:rsid w:val="002D1D5F"/>
    <w:rsid w:val="002D1D8A"/>
    <w:rsid w:val="002D1DBF"/>
    <w:rsid w:val="002D1E21"/>
    <w:rsid w:val="002D1F1D"/>
    <w:rsid w:val="002D1F87"/>
    <w:rsid w:val="002D1FB2"/>
    <w:rsid w:val="002D1FBA"/>
    <w:rsid w:val="002D200F"/>
    <w:rsid w:val="002D201F"/>
    <w:rsid w:val="002D20B4"/>
    <w:rsid w:val="002D20C9"/>
    <w:rsid w:val="002D20D0"/>
    <w:rsid w:val="002D212F"/>
    <w:rsid w:val="002D213F"/>
    <w:rsid w:val="002D2151"/>
    <w:rsid w:val="002D2176"/>
    <w:rsid w:val="002D217C"/>
    <w:rsid w:val="002D222C"/>
    <w:rsid w:val="002D2287"/>
    <w:rsid w:val="002D22A4"/>
    <w:rsid w:val="002D22A9"/>
    <w:rsid w:val="002D2385"/>
    <w:rsid w:val="002D2403"/>
    <w:rsid w:val="002D2494"/>
    <w:rsid w:val="002D2614"/>
    <w:rsid w:val="002D265C"/>
    <w:rsid w:val="002D2676"/>
    <w:rsid w:val="002D26D8"/>
    <w:rsid w:val="002D271E"/>
    <w:rsid w:val="002D275B"/>
    <w:rsid w:val="002D27A0"/>
    <w:rsid w:val="002D27DF"/>
    <w:rsid w:val="002D2847"/>
    <w:rsid w:val="002D2996"/>
    <w:rsid w:val="002D29C6"/>
    <w:rsid w:val="002D29E0"/>
    <w:rsid w:val="002D29F4"/>
    <w:rsid w:val="002D2A50"/>
    <w:rsid w:val="002D2A56"/>
    <w:rsid w:val="002D2ABA"/>
    <w:rsid w:val="002D2B00"/>
    <w:rsid w:val="002D2B03"/>
    <w:rsid w:val="002D2BD4"/>
    <w:rsid w:val="002D2C6C"/>
    <w:rsid w:val="002D2C75"/>
    <w:rsid w:val="002D2C82"/>
    <w:rsid w:val="002D2CA8"/>
    <w:rsid w:val="002D2CAE"/>
    <w:rsid w:val="002D2CF1"/>
    <w:rsid w:val="002D2D20"/>
    <w:rsid w:val="002D2D62"/>
    <w:rsid w:val="002D2D9D"/>
    <w:rsid w:val="002D2F5D"/>
    <w:rsid w:val="002D2F75"/>
    <w:rsid w:val="002D2F8B"/>
    <w:rsid w:val="002D2FBD"/>
    <w:rsid w:val="002D30B4"/>
    <w:rsid w:val="002D3146"/>
    <w:rsid w:val="002D31A6"/>
    <w:rsid w:val="002D31D8"/>
    <w:rsid w:val="002D320D"/>
    <w:rsid w:val="002D3226"/>
    <w:rsid w:val="002D3291"/>
    <w:rsid w:val="002D32DE"/>
    <w:rsid w:val="002D32F2"/>
    <w:rsid w:val="002D330D"/>
    <w:rsid w:val="002D3312"/>
    <w:rsid w:val="002D331F"/>
    <w:rsid w:val="002D333D"/>
    <w:rsid w:val="002D335D"/>
    <w:rsid w:val="002D336D"/>
    <w:rsid w:val="002D33EA"/>
    <w:rsid w:val="002D341F"/>
    <w:rsid w:val="002D34DB"/>
    <w:rsid w:val="002D34F0"/>
    <w:rsid w:val="002D350D"/>
    <w:rsid w:val="002D35B9"/>
    <w:rsid w:val="002D3633"/>
    <w:rsid w:val="002D3703"/>
    <w:rsid w:val="002D372D"/>
    <w:rsid w:val="002D3740"/>
    <w:rsid w:val="002D3750"/>
    <w:rsid w:val="002D384D"/>
    <w:rsid w:val="002D3898"/>
    <w:rsid w:val="002D38F7"/>
    <w:rsid w:val="002D3907"/>
    <w:rsid w:val="002D394B"/>
    <w:rsid w:val="002D3963"/>
    <w:rsid w:val="002D39BD"/>
    <w:rsid w:val="002D3A14"/>
    <w:rsid w:val="002D3A15"/>
    <w:rsid w:val="002D3B01"/>
    <w:rsid w:val="002D3B09"/>
    <w:rsid w:val="002D3B5C"/>
    <w:rsid w:val="002D3B83"/>
    <w:rsid w:val="002D3BCA"/>
    <w:rsid w:val="002D3C8F"/>
    <w:rsid w:val="002D3D01"/>
    <w:rsid w:val="002D3D19"/>
    <w:rsid w:val="002D3D35"/>
    <w:rsid w:val="002D3D81"/>
    <w:rsid w:val="002D3D86"/>
    <w:rsid w:val="002D3D9E"/>
    <w:rsid w:val="002D3DA2"/>
    <w:rsid w:val="002D3DCF"/>
    <w:rsid w:val="002D3DEA"/>
    <w:rsid w:val="002D3E2D"/>
    <w:rsid w:val="002D3E84"/>
    <w:rsid w:val="002D3EBF"/>
    <w:rsid w:val="002D3ECD"/>
    <w:rsid w:val="002D3EE6"/>
    <w:rsid w:val="002D3EFA"/>
    <w:rsid w:val="002D3F07"/>
    <w:rsid w:val="002D3F7C"/>
    <w:rsid w:val="002D3FB4"/>
    <w:rsid w:val="002D3FBC"/>
    <w:rsid w:val="002D4059"/>
    <w:rsid w:val="002D4070"/>
    <w:rsid w:val="002D407A"/>
    <w:rsid w:val="002D40BB"/>
    <w:rsid w:val="002D40E0"/>
    <w:rsid w:val="002D419C"/>
    <w:rsid w:val="002D41B7"/>
    <w:rsid w:val="002D423A"/>
    <w:rsid w:val="002D42DC"/>
    <w:rsid w:val="002D42FF"/>
    <w:rsid w:val="002D434D"/>
    <w:rsid w:val="002D4371"/>
    <w:rsid w:val="002D43BA"/>
    <w:rsid w:val="002D43CC"/>
    <w:rsid w:val="002D43D8"/>
    <w:rsid w:val="002D442B"/>
    <w:rsid w:val="002D4476"/>
    <w:rsid w:val="002D44ED"/>
    <w:rsid w:val="002D4509"/>
    <w:rsid w:val="002D451B"/>
    <w:rsid w:val="002D458F"/>
    <w:rsid w:val="002D45C5"/>
    <w:rsid w:val="002D45D5"/>
    <w:rsid w:val="002D45FC"/>
    <w:rsid w:val="002D466E"/>
    <w:rsid w:val="002D4677"/>
    <w:rsid w:val="002D4717"/>
    <w:rsid w:val="002D478C"/>
    <w:rsid w:val="002D47BC"/>
    <w:rsid w:val="002D47BE"/>
    <w:rsid w:val="002D4839"/>
    <w:rsid w:val="002D4844"/>
    <w:rsid w:val="002D498A"/>
    <w:rsid w:val="002D49AD"/>
    <w:rsid w:val="002D49BE"/>
    <w:rsid w:val="002D49E8"/>
    <w:rsid w:val="002D49EF"/>
    <w:rsid w:val="002D49F7"/>
    <w:rsid w:val="002D4A03"/>
    <w:rsid w:val="002D4A31"/>
    <w:rsid w:val="002D4A45"/>
    <w:rsid w:val="002D4A51"/>
    <w:rsid w:val="002D4B69"/>
    <w:rsid w:val="002D4BC1"/>
    <w:rsid w:val="002D4D5F"/>
    <w:rsid w:val="002D4D92"/>
    <w:rsid w:val="002D4DDC"/>
    <w:rsid w:val="002D4E17"/>
    <w:rsid w:val="002D4E19"/>
    <w:rsid w:val="002D4E3E"/>
    <w:rsid w:val="002D4EAE"/>
    <w:rsid w:val="002D4EC3"/>
    <w:rsid w:val="002D4EE4"/>
    <w:rsid w:val="002D4F08"/>
    <w:rsid w:val="002D4F26"/>
    <w:rsid w:val="002D4FC2"/>
    <w:rsid w:val="002D5098"/>
    <w:rsid w:val="002D509F"/>
    <w:rsid w:val="002D5126"/>
    <w:rsid w:val="002D5157"/>
    <w:rsid w:val="002D515A"/>
    <w:rsid w:val="002D5163"/>
    <w:rsid w:val="002D51DC"/>
    <w:rsid w:val="002D5249"/>
    <w:rsid w:val="002D5269"/>
    <w:rsid w:val="002D52F3"/>
    <w:rsid w:val="002D5384"/>
    <w:rsid w:val="002D5387"/>
    <w:rsid w:val="002D53D9"/>
    <w:rsid w:val="002D5400"/>
    <w:rsid w:val="002D5407"/>
    <w:rsid w:val="002D5442"/>
    <w:rsid w:val="002D54A5"/>
    <w:rsid w:val="002D54B8"/>
    <w:rsid w:val="002D54E6"/>
    <w:rsid w:val="002D54E9"/>
    <w:rsid w:val="002D5523"/>
    <w:rsid w:val="002D5603"/>
    <w:rsid w:val="002D5637"/>
    <w:rsid w:val="002D5689"/>
    <w:rsid w:val="002D56DF"/>
    <w:rsid w:val="002D574B"/>
    <w:rsid w:val="002D577F"/>
    <w:rsid w:val="002D579E"/>
    <w:rsid w:val="002D57B9"/>
    <w:rsid w:val="002D57D6"/>
    <w:rsid w:val="002D5847"/>
    <w:rsid w:val="002D5890"/>
    <w:rsid w:val="002D58B0"/>
    <w:rsid w:val="002D58E5"/>
    <w:rsid w:val="002D5938"/>
    <w:rsid w:val="002D5948"/>
    <w:rsid w:val="002D595D"/>
    <w:rsid w:val="002D59B0"/>
    <w:rsid w:val="002D5A60"/>
    <w:rsid w:val="002D5AAA"/>
    <w:rsid w:val="002D5AC7"/>
    <w:rsid w:val="002D5C8A"/>
    <w:rsid w:val="002D5CCA"/>
    <w:rsid w:val="002D5CF4"/>
    <w:rsid w:val="002D5DCD"/>
    <w:rsid w:val="002D5E43"/>
    <w:rsid w:val="002D5E91"/>
    <w:rsid w:val="002D5E92"/>
    <w:rsid w:val="002D5EB1"/>
    <w:rsid w:val="002D5EE1"/>
    <w:rsid w:val="002D5EF9"/>
    <w:rsid w:val="002D5FB0"/>
    <w:rsid w:val="002D601D"/>
    <w:rsid w:val="002D6047"/>
    <w:rsid w:val="002D6068"/>
    <w:rsid w:val="002D6189"/>
    <w:rsid w:val="002D61B9"/>
    <w:rsid w:val="002D61D5"/>
    <w:rsid w:val="002D620F"/>
    <w:rsid w:val="002D6246"/>
    <w:rsid w:val="002D626A"/>
    <w:rsid w:val="002D62E8"/>
    <w:rsid w:val="002D6388"/>
    <w:rsid w:val="002D645D"/>
    <w:rsid w:val="002D648D"/>
    <w:rsid w:val="002D64DF"/>
    <w:rsid w:val="002D64EF"/>
    <w:rsid w:val="002D64F7"/>
    <w:rsid w:val="002D6550"/>
    <w:rsid w:val="002D6570"/>
    <w:rsid w:val="002D65B6"/>
    <w:rsid w:val="002D65F1"/>
    <w:rsid w:val="002D65F6"/>
    <w:rsid w:val="002D6669"/>
    <w:rsid w:val="002D666C"/>
    <w:rsid w:val="002D66C8"/>
    <w:rsid w:val="002D670D"/>
    <w:rsid w:val="002D671C"/>
    <w:rsid w:val="002D6782"/>
    <w:rsid w:val="002D6788"/>
    <w:rsid w:val="002D67EF"/>
    <w:rsid w:val="002D6875"/>
    <w:rsid w:val="002D68D7"/>
    <w:rsid w:val="002D69E1"/>
    <w:rsid w:val="002D6BA5"/>
    <w:rsid w:val="002D6BC5"/>
    <w:rsid w:val="002D6CBE"/>
    <w:rsid w:val="002D6CCF"/>
    <w:rsid w:val="002D6D3A"/>
    <w:rsid w:val="002D6D5A"/>
    <w:rsid w:val="002D6E38"/>
    <w:rsid w:val="002D6EB3"/>
    <w:rsid w:val="002D6EC1"/>
    <w:rsid w:val="002D6ED2"/>
    <w:rsid w:val="002D6F60"/>
    <w:rsid w:val="002D6FA4"/>
    <w:rsid w:val="002D6FBD"/>
    <w:rsid w:val="002D6FD6"/>
    <w:rsid w:val="002D7001"/>
    <w:rsid w:val="002D7111"/>
    <w:rsid w:val="002D7164"/>
    <w:rsid w:val="002D71CE"/>
    <w:rsid w:val="002D7292"/>
    <w:rsid w:val="002D72D8"/>
    <w:rsid w:val="002D72E5"/>
    <w:rsid w:val="002D733A"/>
    <w:rsid w:val="002D7388"/>
    <w:rsid w:val="002D73C3"/>
    <w:rsid w:val="002D73F9"/>
    <w:rsid w:val="002D743C"/>
    <w:rsid w:val="002D7529"/>
    <w:rsid w:val="002D756A"/>
    <w:rsid w:val="002D761A"/>
    <w:rsid w:val="002D7635"/>
    <w:rsid w:val="002D763D"/>
    <w:rsid w:val="002D7651"/>
    <w:rsid w:val="002D7705"/>
    <w:rsid w:val="002D7749"/>
    <w:rsid w:val="002D7767"/>
    <w:rsid w:val="002D77E1"/>
    <w:rsid w:val="002D780D"/>
    <w:rsid w:val="002D783E"/>
    <w:rsid w:val="002D7844"/>
    <w:rsid w:val="002D7865"/>
    <w:rsid w:val="002D7885"/>
    <w:rsid w:val="002D78B1"/>
    <w:rsid w:val="002D78CE"/>
    <w:rsid w:val="002D78E7"/>
    <w:rsid w:val="002D796E"/>
    <w:rsid w:val="002D798B"/>
    <w:rsid w:val="002D7996"/>
    <w:rsid w:val="002D79DD"/>
    <w:rsid w:val="002D7A22"/>
    <w:rsid w:val="002D7A27"/>
    <w:rsid w:val="002D7A47"/>
    <w:rsid w:val="002D7A66"/>
    <w:rsid w:val="002D7A70"/>
    <w:rsid w:val="002D7A9D"/>
    <w:rsid w:val="002D7AFC"/>
    <w:rsid w:val="002D7B56"/>
    <w:rsid w:val="002D7BAF"/>
    <w:rsid w:val="002D7BBC"/>
    <w:rsid w:val="002D7C5A"/>
    <w:rsid w:val="002D7CA5"/>
    <w:rsid w:val="002D7D91"/>
    <w:rsid w:val="002D7DC9"/>
    <w:rsid w:val="002D7E31"/>
    <w:rsid w:val="002D7E3B"/>
    <w:rsid w:val="002D7E65"/>
    <w:rsid w:val="002D7F0B"/>
    <w:rsid w:val="002D7F2B"/>
    <w:rsid w:val="002E0060"/>
    <w:rsid w:val="002E009F"/>
    <w:rsid w:val="002E015F"/>
    <w:rsid w:val="002E0169"/>
    <w:rsid w:val="002E01CB"/>
    <w:rsid w:val="002E0221"/>
    <w:rsid w:val="002E02DF"/>
    <w:rsid w:val="002E0328"/>
    <w:rsid w:val="002E0355"/>
    <w:rsid w:val="002E038C"/>
    <w:rsid w:val="002E0395"/>
    <w:rsid w:val="002E03A1"/>
    <w:rsid w:val="002E03E4"/>
    <w:rsid w:val="002E047B"/>
    <w:rsid w:val="002E049B"/>
    <w:rsid w:val="002E04BE"/>
    <w:rsid w:val="002E04D8"/>
    <w:rsid w:val="002E0572"/>
    <w:rsid w:val="002E0613"/>
    <w:rsid w:val="002E06EB"/>
    <w:rsid w:val="002E06EC"/>
    <w:rsid w:val="002E072F"/>
    <w:rsid w:val="002E07A8"/>
    <w:rsid w:val="002E07C8"/>
    <w:rsid w:val="002E07D1"/>
    <w:rsid w:val="002E0813"/>
    <w:rsid w:val="002E082F"/>
    <w:rsid w:val="002E0841"/>
    <w:rsid w:val="002E092C"/>
    <w:rsid w:val="002E0977"/>
    <w:rsid w:val="002E09A3"/>
    <w:rsid w:val="002E0A2C"/>
    <w:rsid w:val="002E0AB9"/>
    <w:rsid w:val="002E0AC1"/>
    <w:rsid w:val="002E0AC3"/>
    <w:rsid w:val="002E0B2F"/>
    <w:rsid w:val="002E0BD8"/>
    <w:rsid w:val="002E0C8D"/>
    <w:rsid w:val="002E0D15"/>
    <w:rsid w:val="002E0DE4"/>
    <w:rsid w:val="002E0E71"/>
    <w:rsid w:val="002E0EAE"/>
    <w:rsid w:val="002E0F01"/>
    <w:rsid w:val="002E0F0D"/>
    <w:rsid w:val="002E0F13"/>
    <w:rsid w:val="002E0F97"/>
    <w:rsid w:val="002E1001"/>
    <w:rsid w:val="002E1030"/>
    <w:rsid w:val="002E1144"/>
    <w:rsid w:val="002E1220"/>
    <w:rsid w:val="002E124F"/>
    <w:rsid w:val="002E126E"/>
    <w:rsid w:val="002E12DC"/>
    <w:rsid w:val="002E1304"/>
    <w:rsid w:val="002E1339"/>
    <w:rsid w:val="002E136D"/>
    <w:rsid w:val="002E138C"/>
    <w:rsid w:val="002E13CE"/>
    <w:rsid w:val="002E13E9"/>
    <w:rsid w:val="002E14CC"/>
    <w:rsid w:val="002E14CD"/>
    <w:rsid w:val="002E151B"/>
    <w:rsid w:val="002E1520"/>
    <w:rsid w:val="002E15D1"/>
    <w:rsid w:val="002E1646"/>
    <w:rsid w:val="002E1657"/>
    <w:rsid w:val="002E1757"/>
    <w:rsid w:val="002E1797"/>
    <w:rsid w:val="002E17A8"/>
    <w:rsid w:val="002E17D2"/>
    <w:rsid w:val="002E17DA"/>
    <w:rsid w:val="002E180D"/>
    <w:rsid w:val="002E18C6"/>
    <w:rsid w:val="002E1913"/>
    <w:rsid w:val="002E1937"/>
    <w:rsid w:val="002E193E"/>
    <w:rsid w:val="002E195F"/>
    <w:rsid w:val="002E1974"/>
    <w:rsid w:val="002E198B"/>
    <w:rsid w:val="002E1A30"/>
    <w:rsid w:val="002E1A87"/>
    <w:rsid w:val="002E1AB6"/>
    <w:rsid w:val="002E1BA6"/>
    <w:rsid w:val="002E1BCE"/>
    <w:rsid w:val="002E1BD0"/>
    <w:rsid w:val="002E1C31"/>
    <w:rsid w:val="002E1CF6"/>
    <w:rsid w:val="002E1D22"/>
    <w:rsid w:val="002E1D54"/>
    <w:rsid w:val="002E1E39"/>
    <w:rsid w:val="002E1ECB"/>
    <w:rsid w:val="002E1F31"/>
    <w:rsid w:val="002E1F9E"/>
    <w:rsid w:val="002E1FCA"/>
    <w:rsid w:val="002E1FEA"/>
    <w:rsid w:val="002E1FFB"/>
    <w:rsid w:val="002E2020"/>
    <w:rsid w:val="002E20F9"/>
    <w:rsid w:val="002E217A"/>
    <w:rsid w:val="002E2207"/>
    <w:rsid w:val="002E22D1"/>
    <w:rsid w:val="002E2357"/>
    <w:rsid w:val="002E235B"/>
    <w:rsid w:val="002E23CC"/>
    <w:rsid w:val="002E2409"/>
    <w:rsid w:val="002E242B"/>
    <w:rsid w:val="002E2452"/>
    <w:rsid w:val="002E24A0"/>
    <w:rsid w:val="002E2552"/>
    <w:rsid w:val="002E25B6"/>
    <w:rsid w:val="002E266B"/>
    <w:rsid w:val="002E27CC"/>
    <w:rsid w:val="002E2847"/>
    <w:rsid w:val="002E285C"/>
    <w:rsid w:val="002E28D0"/>
    <w:rsid w:val="002E28E6"/>
    <w:rsid w:val="002E28F5"/>
    <w:rsid w:val="002E28FC"/>
    <w:rsid w:val="002E297C"/>
    <w:rsid w:val="002E29AE"/>
    <w:rsid w:val="002E2A45"/>
    <w:rsid w:val="002E2A5F"/>
    <w:rsid w:val="002E2C36"/>
    <w:rsid w:val="002E2C50"/>
    <w:rsid w:val="002E2C70"/>
    <w:rsid w:val="002E2CBA"/>
    <w:rsid w:val="002E2D01"/>
    <w:rsid w:val="002E2D16"/>
    <w:rsid w:val="002E2D2E"/>
    <w:rsid w:val="002E2DBB"/>
    <w:rsid w:val="002E2DCA"/>
    <w:rsid w:val="002E2DD8"/>
    <w:rsid w:val="002E2ECD"/>
    <w:rsid w:val="002E2F28"/>
    <w:rsid w:val="002E2F2B"/>
    <w:rsid w:val="002E2FB4"/>
    <w:rsid w:val="002E2FEF"/>
    <w:rsid w:val="002E303F"/>
    <w:rsid w:val="002E3060"/>
    <w:rsid w:val="002E310C"/>
    <w:rsid w:val="002E313A"/>
    <w:rsid w:val="002E317C"/>
    <w:rsid w:val="002E319B"/>
    <w:rsid w:val="002E31BD"/>
    <w:rsid w:val="002E323F"/>
    <w:rsid w:val="002E3262"/>
    <w:rsid w:val="002E32A5"/>
    <w:rsid w:val="002E32CE"/>
    <w:rsid w:val="002E3373"/>
    <w:rsid w:val="002E33A9"/>
    <w:rsid w:val="002E3484"/>
    <w:rsid w:val="002E34ED"/>
    <w:rsid w:val="002E35AE"/>
    <w:rsid w:val="002E35B5"/>
    <w:rsid w:val="002E3648"/>
    <w:rsid w:val="002E3661"/>
    <w:rsid w:val="002E3726"/>
    <w:rsid w:val="002E3755"/>
    <w:rsid w:val="002E376F"/>
    <w:rsid w:val="002E37A9"/>
    <w:rsid w:val="002E37C4"/>
    <w:rsid w:val="002E3843"/>
    <w:rsid w:val="002E384F"/>
    <w:rsid w:val="002E38A2"/>
    <w:rsid w:val="002E390E"/>
    <w:rsid w:val="002E394A"/>
    <w:rsid w:val="002E3952"/>
    <w:rsid w:val="002E397E"/>
    <w:rsid w:val="002E39DA"/>
    <w:rsid w:val="002E39E0"/>
    <w:rsid w:val="002E3AE2"/>
    <w:rsid w:val="002E3B66"/>
    <w:rsid w:val="002E3BB5"/>
    <w:rsid w:val="002E3BC0"/>
    <w:rsid w:val="002E3BD7"/>
    <w:rsid w:val="002E3C02"/>
    <w:rsid w:val="002E3C2C"/>
    <w:rsid w:val="002E3C72"/>
    <w:rsid w:val="002E3CA3"/>
    <w:rsid w:val="002E3CBA"/>
    <w:rsid w:val="002E3DB8"/>
    <w:rsid w:val="002E3DCF"/>
    <w:rsid w:val="002E3E90"/>
    <w:rsid w:val="002E3EA0"/>
    <w:rsid w:val="002E3F25"/>
    <w:rsid w:val="002E3F64"/>
    <w:rsid w:val="002E3FD2"/>
    <w:rsid w:val="002E4023"/>
    <w:rsid w:val="002E4030"/>
    <w:rsid w:val="002E408D"/>
    <w:rsid w:val="002E4094"/>
    <w:rsid w:val="002E4140"/>
    <w:rsid w:val="002E41F4"/>
    <w:rsid w:val="002E4253"/>
    <w:rsid w:val="002E439C"/>
    <w:rsid w:val="002E44AE"/>
    <w:rsid w:val="002E4515"/>
    <w:rsid w:val="002E456E"/>
    <w:rsid w:val="002E45AB"/>
    <w:rsid w:val="002E45DB"/>
    <w:rsid w:val="002E4648"/>
    <w:rsid w:val="002E4742"/>
    <w:rsid w:val="002E479E"/>
    <w:rsid w:val="002E47EF"/>
    <w:rsid w:val="002E47F9"/>
    <w:rsid w:val="002E4812"/>
    <w:rsid w:val="002E48AE"/>
    <w:rsid w:val="002E492E"/>
    <w:rsid w:val="002E4A90"/>
    <w:rsid w:val="002E4AEE"/>
    <w:rsid w:val="002E4B07"/>
    <w:rsid w:val="002E4B11"/>
    <w:rsid w:val="002E4B1B"/>
    <w:rsid w:val="002E4B53"/>
    <w:rsid w:val="002E4B6A"/>
    <w:rsid w:val="002E4B70"/>
    <w:rsid w:val="002E4BDD"/>
    <w:rsid w:val="002E4C39"/>
    <w:rsid w:val="002E4DA0"/>
    <w:rsid w:val="002E4F0B"/>
    <w:rsid w:val="002E4F6B"/>
    <w:rsid w:val="002E4FBA"/>
    <w:rsid w:val="002E503C"/>
    <w:rsid w:val="002E508D"/>
    <w:rsid w:val="002E50AA"/>
    <w:rsid w:val="002E50C2"/>
    <w:rsid w:val="002E50EA"/>
    <w:rsid w:val="002E50FC"/>
    <w:rsid w:val="002E510A"/>
    <w:rsid w:val="002E5174"/>
    <w:rsid w:val="002E5177"/>
    <w:rsid w:val="002E5232"/>
    <w:rsid w:val="002E52F9"/>
    <w:rsid w:val="002E530B"/>
    <w:rsid w:val="002E538B"/>
    <w:rsid w:val="002E53A2"/>
    <w:rsid w:val="002E53B9"/>
    <w:rsid w:val="002E544E"/>
    <w:rsid w:val="002E54A7"/>
    <w:rsid w:val="002E54DF"/>
    <w:rsid w:val="002E5649"/>
    <w:rsid w:val="002E565C"/>
    <w:rsid w:val="002E5687"/>
    <w:rsid w:val="002E5697"/>
    <w:rsid w:val="002E569B"/>
    <w:rsid w:val="002E56D1"/>
    <w:rsid w:val="002E5729"/>
    <w:rsid w:val="002E57A8"/>
    <w:rsid w:val="002E5861"/>
    <w:rsid w:val="002E587E"/>
    <w:rsid w:val="002E5897"/>
    <w:rsid w:val="002E58A3"/>
    <w:rsid w:val="002E593E"/>
    <w:rsid w:val="002E59A2"/>
    <w:rsid w:val="002E59B9"/>
    <w:rsid w:val="002E59CD"/>
    <w:rsid w:val="002E5A37"/>
    <w:rsid w:val="002E5A69"/>
    <w:rsid w:val="002E5AB2"/>
    <w:rsid w:val="002E5ADF"/>
    <w:rsid w:val="002E5B12"/>
    <w:rsid w:val="002E5B17"/>
    <w:rsid w:val="002E5B42"/>
    <w:rsid w:val="002E5BC2"/>
    <w:rsid w:val="002E5C69"/>
    <w:rsid w:val="002E5C80"/>
    <w:rsid w:val="002E5CAF"/>
    <w:rsid w:val="002E5E9F"/>
    <w:rsid w:val="002E5EA2"/>
    <w:rsid w:val="002E5FA0"/>
    <w:rsid w:val="002E5FFE"/>
    <w:rsid w:val="002E6076"/>
    <w:rsid w:val="002E607A"/>
    <w:rsid w:val="002E60DA"/>
    <w:rsid w:val="002E612A"/>
    <w:rsid w:val="002E61F1"/>
    <w:rsid w:val="002E620F"/>
    <w:rsid w:val="002E6284"/>
    <w:rsid w:val="002E6285"/>
    <w:rsid w:val="002E6345"/>
    <w:rsid w:val="002E634F"/>
    <w:rsid w:val="002E638F"/>
    <w:rsid w:val="002E6414"/>
    <w:rsid w:val="002E6444"/>
    <w:rsid w:val="002E647F"/>
    <w:rsid w:val="002E649B"/>
    <w:rsid w:val="002E64D3"/>
    <w:rsid w:val="002E6519"/>
    <w:rsid w:val="002E6566"/>
    <w:rsid w:val="002E6597"/>
    <w:rsid w:val="002E6610"/>
    <w:rsid w:val="002E6620"/>
    <w:rsid w:val="002E6687"/>
    <w:rsid w:val="002E6689"/>
    <w:rsid w:val="002E66E6"/>
    <w:rsid w:val="002E671F"/>
    <w:rsid w:val="002E6779"/>
    <w:rsid w:val="002E67E6"/>
    <w:rsid w:val="002E6838"/>
    <w:rsid w:val="002E684C"/>
    <w:rsid w:val="002E686D"/>
    <w:rsid w:val="002E6892"/>
    <w:rsid w:val="002E6898"/>
    <w:rsid w:val="002E68AE"/>
    <w:rsid w:val="002E68C6"/>
    <w:rsid w:val="002E68D1"/>
    <w:rsid w:val="002E6956"/>
    <w:rsid w:val="002E6992"/>
    <w:rsid w:val="002E6A4B"/>
    <w:rsid w:val="002E6A9C"/>
    <w:rsid w:val="002E6B42"/>
    <w:rsid w:val="002E6B4C"/>
    <w:rsid w:val="002E6B69"/>
    <w:rsid w:val="002E6B77"/>
    <w:rsid w:val="002E6C05"/>
    <w:rsid w:val="002E6C35"/>
    <w:rsid w:val="002E6C5D"/>
    <w:rsid w:val="002E6CE6"/>
    <w:rsid w:val="002E6D1A"/>
    <w:rsid w:val="002E6D51"/>
    <w:rsid w:val="002E6E69"/>
    <w:rsid w:val="002E6EE0"/>
    <w:rsid w:val="002E7010"/>
    <w:rsid w:val="002E7039"/>
    <w:rsid w:val="002E705A"/>
    <w:rsid w:val="002E7084"/>
    <w:rsid w:val="002E70CD"/>
    <w:rsid w:val="002E7102"/>
    <w:rsid w:val="002E7166"/>
    <w:rsid w:val="002E720B"/>
    <w:rsid w:val="002E7216"/>
    <w:rsid w:val="002E72E5"/>
    <w:rsid w:val="002E740B"/>
    <w:rsid w:val="002E7418"/>
    <w:rsid w:val="002E7496"/>
    <w:rsid w:val="002E74A9"/>
    <w:rsid w:val="002E7560"/>
    <w:rsid w:val="002E7586"/>
    <w:rsid w:val="002E7620"/>
    <w:rsid w:val="002E762D"/>
    <w:rsid w:val="002E767D"/>
    <w:rsid w:val="002E769F"/>
    <w:rsid w:val="002E76C8"/>
    <w:rsid w:val="002E76F5"/>
    <w:rsid w:val="002E779A"/>
    <w:rsid w:val="002E77C5"/>
    <w:rsid w:val="002E783F"/>
    <w:rsid w:val="002E7A28"/>
    <w:rsid w:val="002E7AAB"/>
    <w:rsid w:val="002E7AE8"/>
    <w:rsid w:val="002E7BAB"/>
    <w:rsid w:val="002E7C42"/>
    <w:rsid w:val="002E7CEF"/>
    <w:rsid w:val="002E7CF3"/>
    <w:rsid w:val="002E7D4B"/>
    <w:rsid w:val="002E7D7B"/>
    <w:rsid w:val="002E7E15"/>
    <w:rsid w:val="002E7E5A"/>
    <w:rsid w:val="002E7EAD"/>
    <w:rsid w:val="002E7EF7"/>
    <w:rsid w:val="002E7F73"/>
    <w:rsid w:val="002F0053"/>
    <w:rsid w:val="002F00D6"/>
    <w:rsid w:val="002F00E0"/>
    <w:rsid w:val="002F0202"/>
    <w:rsid w:val="002F0235"/>
    <w:rsid w:val="002F0283"/>
    <w:rsid w:val="002F02AD"/>
    <w:rsid w:val="002F02C9"/>
    <w:rsid w:val="002F02F4"/>
    <w:rsid w:val="002F0325"/>
    <w:rsid w:val="002F0451"/>
    <w:rsid w:val="002F0464"/>
    <w:rsid w:val="002F048B"/>
    <w:rsid w:val="002F04CE"/>
    <w:rsid w:val="002F04D9"/>
    <w:rsid w:val="002F04E7"/>
    <w:rsid w:val="002F0552"/>
    <w:rsid w:val="002F0560"/>
    <w:rsid w:val="002F0566"/>
    <w:rsid w:val="002F0606"/>
    <w:rsid w:val="002F0633"/>
    <w:rsid w:val="002F066C"/>
    <w:rsid w:val="002F070C"/>
    <w:rsid w:val="002F0796"/>
    <w:rsid w:val="002F07AD"/>
    <w:rsid w:val="002F07E7"/>
    <w:rsid w:val="002F0839"/>
    <w:rsid w:val="002F0845"/>
    <w:rsid w:val="002F084C"/>
    <w:rsid w:val="002F088D"/>
    <w:rsid w:val="002F089B"/>
    <w:rsid w:val="002F08AA"/>
    <w:rsid w:val="002F090C"/>
    <w:rsid w:val="002F0912"/>
    <w:rsid w:val="002F097F"/>
    <w:rsid w:val="002F0988"/>
    <w:rsid w:val="002F0989"/>
    <w:rsid w:val="002F0A0C"/>
    <w:rsid w:val="002F0A2F"/>
    <w:rsid w:val="002F0A6C"/>
    <w:rsid w:val="002F0BBF"/>
    <w:rsid w:val="002F0BCB"/>
    <w:rsid w:val="002F0D3F"/>
    <w:rsid w:val="002F0DA0"/>
    <w:rsid w:val="002F0DB6"/>
    <w:rsid w:val="002F0DC3"/>
    <w:rsid w:val="002F0DDA"/>
    <w:rsid w:val="002F0E52"/>
    <w:rsid w:val="002F0E62"/>
    <w:rsid w:val="002F0E9B"/>
    <w:rsid w:val="002F0EE3"/>
    <w:rsid w:val="002F1069"/>
    <w:rsid w:val="002F1223"/>
    <w:rsid w:val="002F123A"/>
    <w:rsid w:val="002F1277"/>
    <w:rsid w:val="002F1278"/>
    <w:rsid w:val="002F12A1"/>
    <w:rsid w:val="002F12DE"/>
    <w:rsid w:val="002F13CD"/>
    <w:rsid w:val="002F1468"/>
    <w:rsid w:val="002F14A4"/>
    <w:rsid w:val="002F14F1"/>
    <w:rsid w:val="002F1629"/>
    <w:rsid w:val="002F1781"/>
    <w:rsid w:val="002F17E3"/>
    <w:rsid w:val="002F17FD"/>
    <w:rsid w:val="002F180B"/>
    <w:rsid w:val="002F1813"/>
    <w:rsid w:val="002F1824"/>
    <w:rsid w:val="002F18A3"/>
    <w:rsid w:val="002F18CD"/>
    <w:rsid w:val="002F196C"/>
    <w:rsid w:val="002F1A1E"/>
    <w:rsid w:val="002F1B66"/>
    <w:rsid w:val="002F1B7C"/>
    <w:rsid w:val="002F1BA0"/>
    <w:rsid w:val="002F1BC0"/>
    <w:rsid w:val="002F1BDC"/>
    <w:rsid w:val="002F1BF7"/>
    <w:rsid w:val="002F1BF9"/>
    <w:rsid w:val="002F1CCF"/>
    <w:rsid w:val="002F1D4C"/>
    <w:rsid w:val="002F1DAA"/>
    <w:rsid w:val="002F1DAE"/>
    <w:rsid w:val="002F1DF9"/>
    <w:rsid w:val="002F1ED8"/>
    <w:rsid w:val="002F1F42"/>
    <w:rsid w:val="002F1FC2"/>
    <w:rsid w:val="002F20B5"/>
    <w:rsid w:val="002F2104"/>
    <w:rsid w:val="002F2180"/>
    <w:rsid w:val="002F2192"/>
    <w:rsid w:val="002F219C"/>
    <w:rsid w:val="002F21CB"/>
    <w:rsid w:val="002F2261"/>
    <w:rsid w:val="002F230A"/>
    <w:rsid w:val="002F230E"/>
    <w:rsid w:val="002F2388"/>
    <w:rsid w:val="002F23C0"/>
    <w:rsid w:val="002F23E8"/>
    <w:rsid w:val="002F2482"/>
    <w:rsid w:val="002F24BE"/>
    <w:rsid w:val="002F2524"/>
    <w:rsid w:val="002F25B1"/>
    <w:rsid w:val="002F25C8"/>
    <w:rsid w:val="002F25D1"/>
    <w:rsid w:val="002F25F4"/>
    <w:rsid w:val="002F265F"/>
    <w:rsid w:val="002F2660"/>
    <w:rsid w:val="002F267C"/>
    <w:rsid w:val="002F2696"/>
    <w:rsid w:val="002F26A4"/>
    <w:rsid w:val="002F26B5"/>
    <w:rsid w:val="002F2722"/>
    <w:rsid w:val="002F278D"/>
    <w:rsid w:val="002F2790"/>
    <w:rsid w:val="002F27CC"/>
    <w:rsid w:val="002F281E"/>
    <w:rsid w:val="002F2874"/>
    <w:rsid w:val="002F289F"/>
    <w:rsid w:val="002F2931"/>
    <w:rsid w:val="002F29A2"/>
    <w:rsid w:val="002F2AAE"/>
    <w:rsid w:val="002F2AB5"/>
    <w:rsid w:val="002F2B13"/>
    <w:rsid w:val="002F2C3A"/>
    <w:rsid w:val="002F2CD9"/>
    <w:rsid w:val="002F2D29"/>
    <w:rsid w:val="002F2D56"/>
    <w:rsid w:val="002F2D62"/>
    <w:rsid w:val="002F2D89"/>
    <w:rsid w:val="002F2DCA"/>
    <w:rsid w:val="002F2E13"/>
    <w:rsid w:val="002F2E86"/>
    <w:rsid w:val="002F2ED9"/>
    <w:rsid w:val="002F2FAC"/>
    <w:rsid w:val="002F2FE3"/>
    <w:rsid w:val="002F3032"/>
    <w:rsid w:val="002F3061"/>
    <w:rsid w:val="002F306F"/>
    <w:rsid w:val="002F309A"/>
    <w:rsid w:val="002F326D"/>
    <w:rsid w:val="002F32D8"/>
    <w:rsid w:val="002F3329"/>
    <w:rsid w:val="002F3338"/>
    <w:rsid w:val="002F337D"/>
    <w:rsid w:val="002F3409"/>
    <w:rsid w:val="002F3472"/>
    <w:rsid w:val="002F34DF"/>
    <w:rsid w:val="002F34E4"/>
    <w:rsid w:val="002F3619"/>
    <w:rsid w:val="002F3659"/>
    <w:rsid w:val="002F36A8"/>
    <w:rsid w:val="002F36BC"/>
    <w:rsid w:val="002F3744"/>
    <w:rsid w:val="002F3782"/>
    <w:rsid w:val="002F37D0"/>
    <w:rsid w:val="002F3886"/>
    <w:rsid w:val="002F38B5"/>
    <w:rsid w:val="002F38D0"/>
    <w:rsid w:val="002F3921"/>
    <w:rsid w:val="002F3998"/>
    <w:rsid w:val="002F39AD"/>
    <w:rsid w:val="002F39BD"/>
    <w:rsid w:val="002F39FC"/>
    <w:rsid w:val="002F3A44"/>
    <w:rsid w:val="002F3ACC"/>
    <w:rsid w:val="002F3B72"/>
    <w:rsid w:val="002F3C4C"/>
    <w:rsid w:val="002F3D0C"/>
    <w:rsid w:val="002F3D75"/>
    <w:rsid w:val="002F3D95"/>
    <w:rsid w:val="002F3E20"/>
    <w:rsid w:val="002F3E24"/>
    <w:rsid w:val="002F3E25"/>
    <w:rsid w:val="002F3EA2"/>
    <w:rsid w:val="002F3F30"/>
    <w:rsid w:val="002F3F90"/>
    <w:rsid w:val="002F3FD5"/>
    <w:rsid w:val="002F40ED"/>
    <w:rsid w:val="002F40F1"/>
    <w:rsid w:val="002F418F"/>
    <w:rsid w:val="002F4190"/>
    <w:rsid w:val="002F41A1"/>
    <w:rsid w:val="002F4206"/>
    <w:rsid w:val="002F424F"/>
    <w:rsid w:val="002F4293"/>
    <w:rsid w:val="002F42C8"/>
    <w:rsid w:val="002F42C9"/>
    <w:rsid w:val="002F435E"/>
    <w:rsid w:val="002F4385"/>
    <w:rsid w:val="002F43B3"/>
    <w:rsid w:val="002F43CB"/>
    <w:rsid w:val="002F43F2"/>
    <w:rsid w:val="002F4441"/>
    <w:rsid w:val="002F44F3"/>
    <w:rsid w:val="002F4562"/>
    <w:rsid w:val="002F4571"/>
    <w:rsid w:val="002F4592"/>
    <w:rsid w:val="002F45FC"/>
    <w:rsid w:val="002F4629"/>
    <w:rsid w:val="002F462B"/>
    <w:rsid w:val="002F4637"/>
    <w:rsid w:val="002F464D"/>
    <w:rsid w:val="002F4670"/>
    <w:rsid w:val="002F468A"/>
    <w:rsid w:val="002F4743"/>
    <w:rsid w:val="002F481A"/>
    <w:rsid w:val="002F4844"/>
    <w:rsid w:val="002F48D9"/>
    <w:rsid w:val="002F490F"/>
    <w:rsid w:val="002F493A"/>
    <w:rsid w:val="002F494D"/>
    <w:rsid w:val="002F4952"/>
    <w:rsid w:val="002F49DF"/>
    <w:rsid w:val="002F4A85"/>
    <w:rsid w:val="002F4AC4"/>
    <w:rsid w:val="002F4B4F"/>
    <w:rsid w:val="002F4B7A"/>
    <w:rsid w:val="002F4BB9"/>
    <w:rsid w:val="002F4BEE"/>
    <w:rsid w:val="002F4C35"/>
    <w:rsid w:val="002F4CF4"/>
    <w:rsid w:val="002F4D5B"/>
    <w:rsid w:val="002F4D81"/>
    <w:rsid w:val="002F4DC4"/>
    <w:rsid w:val="002F4E1F"/>
    <w:rsid w:val="002F4F37"/>
    <w:rsid w:val="002F4FBB"/>
    <w:rsid w:val="002F5037"/>
    <w:rsid w:val="002F503F"/>
    <w:rsid w:val="002F50A9"/>
    <w:rsid w:val="002F5140"/>
    <w:rsid w:val="002F51AE"/>
    <w:rsid w:val="002F5239"/>
    <w:rsid w:val="002F5270"/>
    <w:rsid w:val="002F52EA"/>
    <w:rsid w:val="002F5302"/>
    <w:rsid w:val="002F53B2"/>
    <w:rsid w:val="002F547F"/>
    <w:rsid w:val="002F548C"/>
    <w:rsid w:val="002F54F2"/>
    <w:rsid w:val="002F5516"/>
    <w:rsid w:val="002F552F"/>
    <w:rsid w:val="002F5534"/>
    <w:rsid w:val="002F5579"/>
    <w:rsid w:val="002F559C"/>
    <w:rsid w:val="002F55D5"/>
    <w:rsid w:val="002F560F"/>
    <w:rsid w:val="002F5616"/>
    <w:rsid w:val="002F5695"/>
    <w:rsid w:val="002F56F4"/>
    <w:rsid w:val="002F574B"/>
    <w:rsid w:val="002F578E"/>
    <w:rsid w:val="002F57EB"/>
    <w:rsid w:val="002F5818"/>
    <w:rsid w:val="002F5839"/>
    <w:rsid w:val="002F5853"/>
    <w:rsid w:val="002F586E"/>
    <w:rsid w:val="002F594D"/>
    <w:rsid w:val="002F5989"/>
    <w:rsid w:val="002F5A1C"/>
    <w:rsid w:val="002F5A72"/>
    <w:rsid w:val="002F5A7D"/>
    <w:rsid w:val="002F5A82"/>
    <w:rsid w:val="002F5ACE"/>
    <w:rsid w:val="002F5AEF"/>
    <w:rsid w:val="002F5B9E"/>
    <w:rsid w:val="002F5BC4"/>
    <w:rsid w:val="002F5BFC"/>
    <w:rsid w:val="002F5C2F"/>
    <w:rsid w:val="002F5C62"/>
    <w:rsid w:val="002F5CC0"/>
    <w:rsid w:val="002F5CEB"/>
    <w:rsid w:val="002F5CF2"/>
    <w:rsid w:val="002F5D25"/>
    <w:rsid w:val="002F5D82"/>
    <w:rsid w:val="002F5DA5"/>
    <w:rsid w:val="002F5DB0"/>
    <w:rsid w:val="002F5DD5"/>
    <w:rsid w:val="002F5DD9"/>
    <w:rsid w:val="002F5E08"/>
    <w:rsid w:val="002F5E76"/>
    <w:rsid w:val="002F5FB0"/>
    <w:rsid w:val="002F5FC2"/>
    <w:rsid w:val="002F5FF5"/>
    <w:rsid w:val="002F604E"/>
    <w:rsid w:val="002F6052"/>
    <w:rsid w:val="002F60B8"/>
    <w:rsid w:val="002F60C3"/>
    <w:rsid w:val="002F60FA"/>
    <w:rsid w:val="002F611B"/>
    <w:rsid w:val="002F61FF"/>
    <w:rsid w:val="002F6204"/>
    <w:rsid w:val="002F63D3"/>
    <w:rsid w:val="002F642A"/>
    <w:rsid w:val="002F649F"/>
    <w:rsid w:val="002F64AD"/>
    <w:rsid w:val="002F655C"/>
    <w:rsid w:val="002F659E"/>
    <w:rsid w:val="002F65A2"/>
    <w:rsid w:val="002F65B4"/>
    <w:rsid w:val="002F65B8"/>
    <w:rsid w:val="002F65FD"/>
    <w:rsid w:val="002F6616"/>
    <w:rsid w:val="002F6711"/>
    <w:rsid w:val="002F6787"/>
    <w:rsid w:val="002F67DA"/>
    <w:rsid w:val="002F6900"/>
    <w:rsid w:val="002F6909"/>
    <w:rsid w:val="002F6949"/>
    <w:rsid w:val="002F69B1"/>
    <w:rsid w:val="002F69DD"/>
    <w:rsid w:val="002F6ACA"/>
    <w:rsid w:val="002F6B91"/>
    <w:rsid w:val="002F6C29"/>
    <w:rsid w:val="002F6C80"/>
    <w:rsid w:val="002F6CB0"/>
    <w:rsid w:val="002F6CF6"/>
    <w:rsid w:val="002F6D14"/>
    <w:rsid w:val="002F6D43"/>
    <w:rsid w:val="002F6DC9"/>
    <w:rsid w:val="002F6E12"/>
    <w:rsid w:val="002F6E15"/>
    <w:rsid w:val="002F6E8F"/>
    <w:rsid w:val="002F6EB5"/>
    <w:rsid w:val="002F6F13"/>
    <w:rsid w:val="002F6F73"/>
    <w:rsid w:val="002F6F80"/>
    <w:rsid w:val="002F6FCE"/>
    <w:rsid w:val="002F7002"/>
    <w:rsid w:val="002F7003"/>
    <w:rsid w:val="002F70DD"/>
    <w:rsid w:val="002F7106"/>
    <w:rsid w:val="002F7129"/>
    <w:rsid w:val="002F714A"/>
    <w:rsid w:val="002F7164"/>
    <w:rsid w:val="002F7166"/>
    <w:rsid w:val="002F71D3"/>
    <w:rsid w:val="002F7267"/>
    <w:rsid w:val="002F728E"/>
    <w:rsid w:val="002F72A9"/>
    <w:rsid w:val="002F7346"/>
    <w:rsid w:val="002F7357"/>
    <w:rsid w:val="002F735B"/>
    <w:rsid w:val="002F741D"/>
    <w:rsid w:val="002F746A"/>
    <w:rsid w:val="002F7520"/>
    <w:rsid w:val="002F754C"/>
    <w:rsid w:val="002F762E"/>
    <w:rsid w:val="002F7658"/>
    <w:rsid w:val="002F7659"/>
    <w:rsid w:val="002F76D8"/>
    <w:rsid w:val="002F7734"/>
    <w:rsid w:val="002F777D"/>
    <w:rsid w:val="002F7785"/>
    <w:rsid w:val="002F7786"/>
    <w:rsid w:val="002F77E1"/>
    <w:rsid w:val="002F77E3"/>
    <w:rsid w:val="002F789E"/>
    <w:rsid w:val="002F7912"/>
    <w:rsid w:val="002F793F"/>
    <w:rsid w:val="002F7946"/>
    <w:rsid w:val="002F795E"/>
    <w:rsid w:val="002F7A5E"/>
    <w:rsid w:val="002F7AF5"/>
    <w:rsid w:val="002F7AFD"/>
    <w:rsid w:val="002F7B1B"/>
    <w:rsid w:val="002F7B2D"/>
    <w:rsid w:val="002F7B50"/>
    <w:rsid w:val="002F7B6F"/>
    <w:rsid w:val="002F7C4C"/>
    <w:rsid w:val="002F7C7D"/>
    <w:rsid w:val="002F7D00"/>
    <w:rsid w:val="002F7D2C"/>
    <w:rsid w:val="002F7D8A"/>
    <w:rsid w:val="002F7EBA"/>
    <w:rsid w:val="002F7F20"/>
    <w:rsid w:val="002F7F22"/>
    <w:rsid w:val="002F7F5C"/>
    <w:rsid w:val="002F7F77"/>
    <w:rsid w:val="002F7F97"/>
    <w:rsid w:val="002F7FD1"/>
    <w:rsid w:val="002F7FFD"/>
    <w:rsid w:val="003000E4"/>
    <w:rsid w:val="00300112"/>
    <w:rsid w:val="00300186"/>
    <w:rsid w:val="00300194"/>
    <w:rsid w:val="003001F4"/>
    <w:rsid w:val="003001F7"/>
    <w:rsid w:val="00300264"/>
    <w:rsid w:val="00300279"/>
    <w:rsid w:val="003002AF"/>
    <w:rsid w:val="0030031A"/>
    <w:rsid w:val="003003B3"/>
    <w:rsid w:val="003003FB"/>
    <w:rsid w:val="00300402"/>
    <w:rsid w:val="00300442"/>
    <w:rsid w:val="0030047A"/>
    <w:rsid w:val="0030049F"/>
    <w:rsid w:val="003004A1"/>
    <w:rsid w:val="0030051D"/>
    <w:rsid w:val="0030051E"/>
    <w:rsid w:val="0030053A"/>
    <w:rsid w:val="0030059C"/>
    <w:rsid w:val="003005A3"/>
    <w:rsid w:val="003005B1"/>
    <w:rsid w:val="003005EE"/>
    <w:rsid w:val="00300628"/>
    <w:rsid w:val="0030064C"/>
    <w:rsid w:val="00300685"/>
    <w:rsid w:val="00300696"/>
    <w:rsid w:val="00300697"/>
    <w:rsid w:val="0030069F"/>
    <w:rsid w:val="0030072F"/>
    <w:rsid w:val="003007B2"/>
    <w:rsid w:val="003007B4"/>
    <w:rsid w:val="003007F7"/>
    <w:rsid w:val="00300817"/>
    <w:rsid w:val="0030084D"/>
    <w:rsid w:val="00300909"/>
    <w:rsid w:val="0030091C"/>
    <w:rsid w:val="0030096C"/>
    <w:rsid w:val="0030098B"/>
    <w:rsid w:val="003009B7"/>
    <w:rsid w:val="003009D5"/>
    <w:rsid w:val="003009DA"/>
    <w:rsid w:val="00300A0D"/>
    <w:rsid w:val="00300A44"/>
    <w:rsid w:val="00300A4F"/>
    <w:rsid w:val="00300A7B"/>
    <w:rsid w:val="00300A9A"/>
    <w:rsid w:val="00300AD5"/>
    <w:rsid w:val="00300B52"/>
    <w:rsid w:val="00300BA5"/>
    <w:rsid w:val="00300C1B"/>
    <w:rsid w:val="00300C30"/>
    <w:rsid w:val="00300C3B"/>
    <w:rsid w:val="00300C75"/>
    <w:rsid w:val="00300CA1"/>
    <w:rsid w:val="00300D4A"/>
    <w:rsid w:val="00300DC0"/>
    <w:rsid w:val="00300DF3"/>
    <w:rsid w:val="00300DFD"/>
    <w:rsid w:val="00300DFF"/>
    <w:rsid w:val="00300E07"/>
    <w:rsid w:val="00300E58"/>
    <w:rsid w:val="00300FEC"/>
    <w:rsid w:val="00301043"/>
    <w:rsid w:val="00301054"/>
    <w:rsid w:val="00301140"/>
    <w:rsid w:val="00301170"/>
    <w:rsid w:val="003011D7"/>
    <w:rsid w:val="003011EF"/>
    <w:rsid w:val="003011F8"/>
    <w:rsid w:val="003011FD"/>
    <w:rsid w:val="003012AC"/>
    <w:rsid w:val="003012AF"/>
    <w:rsid w:val="00301334"/>
    <w:rsid w:val="00301351"/>
    <w:rsid w:val="003013D9"/>
    <w:rsid w:val="0030141C"/>
    <w:rsid w:val="00301458"/>
    <w:rsid w:val="003014D4"/>
    <w:rsid w:val="0030155D"/>
    <w:rsid w:val="003015AE"/>
    <w:rsid w:val="003015D4"/>
    <w:rsid w:val="003015ED"/>
    <w:rsid w:val="0030163F"/>
    <w:rsid w:val="00301680"/>
    <w:rsid w:val="0030172C"/>
    <w:rsid w:val="00301744"/>
    <w:rsid w:val="00301751"/>
    <w:rsid w:val="0030177C"/>
    <w:rsid w:val="00301781"/>
    <w:rsid w:val="00301811"/>
    <w:rsid w:val="00301842"/>
    <w:rsid w:val="00301866"/>
    <w:rsid w:val="0030188B"/>
    <w:rsid w:val="003018C0"/>
    <w:rsid w:val="003018F5"/>
    <w:rsid w:val="00301923"/>
    <w:rsid w:val="0030193D"/>
    <w:rsid w:val="0030199B"/>
    <w:rsid w:val="003019C3"/>
    <w:rsid w:val="003019FA"/>
    <w:rsid w:val="00301A10"/>
    <w:rsid w:val="00301A57"/>
    <w:rsid w:val="00301A69"/>
    <w:rsid w:val="00301B3B"/>
    <w:rsid w:val="00301B65"/>
    <w:rsid w:val="00301BE3"/>
    <w:rsid w:val="00301C1E"/>
    <w:rsid w:val="00301C3F"/>
    <w:rsid w:val="00301C87"/>
    <w:rsid w:val="00301CB2"/>
    <w:rsid w:val="00301CB8"/>
    <w:rsid w:val="00301CCC"/>
    <w:rsid w:val="00301CF4"/>
    <w:rsid w:val="00301D82"/>
    <w:rsid w:val="00301D99"/>
    <w:rsid w:val="00301E6C"/>
    <w:rsid w:val="00301E8F"/>
    <w:rsid w:val="00301F04"/>
    <w:rsid w:val="00301FAE"/>
    <w:rsid w:val="00301FC0"/>
    <w:rsid w:val="00301FF3"/>
    <w:rsid w:val="00302081"/>
    <w:rsid w:val="0030214E"/>
    <w:rsid w:val="00302194"/>
    <w:rsid w:val="003021B0"/>
    <w:rsid w:val="003021CF"/>
    <w:rsid w:val="0030223C"/>
    <w:rsid w:val="00302296"/>
    <w:rsid w:val="003022A4"/>
    <w:rsid w:val="0030234B"/>
    <w:rsid w:val="0030234D"/>
    <w:rsid w:val="0030238F"/>
    <w:rsid w:val="00302455"/>
    <w:rsid w:val="003024A2"/>
    <w:rsid w:val="003024C2"/>
    <w:rsid w:val="003025C2"/>
    <w:rsid w:val="00302627"/>
    <w:rsid w:val="00302639"/>
    <w:rsid w:val="0030265A"/>
    <w:rsid w:val="003026B4"/>
    <w:rsid w:val="003026E3"/>
    <w:rsid w:val="003026FB"/>
    <w:rsid w:val="00302755"/>
    <w:rsid w:val="0030275C"/>
    <w:rsid w:val="003027B8"/>
    <w:rsid w:val="003027FC"/>
    <w:rsid w:val="00302963"/>
    <w:rsid w:val="00302969"/>
    <w:rsid w:val="003029F6"/>
    <w:rsid w:val="00302A1F"/>
    <w:rsid w:val="00302A25"/>
    <w:rsid w:val="00302A47"/>
    <w:rsid w:val="00302B12"/>
    <w:rsid w:val="00302BCA"/>
    <w:rsid w:val="00302C7B"/>
    <w:rsid w:val="00302C7C"/>
    <w:rsid w:val="00302C97"/>
    <w:rsid w:val="00302D1A"/>
    <w:rsid w:val="00302D4E"/>
    <w:rsid w:val="00302E19"/>
    <w:rsid w:val="00302E99"/>
    <w:rsid w:val="00302F1C"/>
    <w:rsid w:val="00302F68"/>
    <w:rsid w:val="00302F6A"/>
    <w:rsid w:val="00302F7D"/>
    <w:rsid w:val="00302F9B"/>
    <w:rsid w:val="00302FBC"/>
    <w:rsid w:val="00303042"/>
    <w:rsid w:val="00303192"/>
    <w:rsid w:val="003032AA"/>
    <w:rsid w:val="003032C0"/>
    <w:rsid w:val="003032C1"/>
    <w:rsid w:val="00303304"/>
    <w:rsid w:val="00303325"/>
    <w:rsid w:val="00303350"/>
    <w:rsid w:val="00303387"/>
    <w:rsid w:val="003033B5"/>
    <w:rsid w:val="00303418"/>
    <w:rsid w:val="003034A1"/>
    <w:rsid w:val="003035D0"/>
    <w:rsid w:val="003035EA"/>
    <w:rsid w:val="00303658"/>
    <w:rsid w:val="0030370A"/>
    <w:rsid w:val="0030374B"/>
    <w:rsid w:val="00303754"/>
    <w:rsid w:val="003037B5"/>
    <w:rsid w:val="003037C5"/>
    <w:rsid w:val="003037C6"/>
    <w:rsid w:val="00303861"/>
    <w:rsid w:val="0030387F"/>
    <w:rsid w:val="0030394D"/>
    <w:rsid w:val="00303954"/>
    <w:rsid w:val="00303996"/>
    <w:rsid w:val="0030399D"/>
    <w:rsid w:val="003039B8"/>
    <w:rsid w:val="003039DE"/>
    <w:rsid w:val="00303A9A"/>
    <w:rsid w:val="00303B3D"/>
    <w:rsid w:val="00303B81"/>
    <w:rsid w:val="00303B8A"/>
    <w:rsid w:val="00303BAE"/>
    <w:rsid w:val="00303C3E"/>
    <w:rsid w:val="00303C9D"/>
    <w:rsid w:val="00303D32"/>
    <w:rsid w:val="00303DDF"/>
    <w:rsid w:val="00303DED"/>
    <w:rsid w:val="00303E70"/>
    <w:rsid w:val="00303ECE"/>
    <w:rsid w:val="00303F1E"/>
    <w:rsid w:val="00303F51"/>
    <w:rsid w:val="00303F80"/>
    <w:rsid w:val="00304006"/>
    <w:rsid w:val="0030401F"/>
    <w:rsid w:val="00304021"/>
    <w:rsid w:val="00304048"/>
    <w:rsid w:val="00304059"/>
    <w:rsid w:val="0030412A"/>
    <w:rsid w:val="00304165"/>
    <w:rsid w:val="003041AE"/>
    <w:rsid w:val="003041BE"/>
    <w:rsid w:val="00304203"/>
    <w:rsid w:val="0030429A"/>
    <w:rsid w:val="003043B5"/>
    <w:rsid w:val="00304412"/>
    <w:rsid w:val="00304436"/>
    <w:rsid w:val="003044E6"/>
    <w:rsid w:val="00304546"/>
    <w:rsid w:val="003045E9"/>
    <w:rsid w:val="003045F8"/>
    <w:rsid w:val="00304668"/>
    <w:rsid w:val="003046B6"/>
    <w:rsid w:val="003046DB"/>
    <w:rsid w:val="003047C7"/>
    <w:rsid w:val="003047D4"/>
    <w:rsid w:val="00304832"/>
    <w:rsid w:val="003048DB"/>
    <w:rsid w:val="00304992"/>
    <w:rsid w:val="003049E5"/>
    <w:rsid w:val="00304A43"/>
    <w:rsid w:val="00304A61"/>
    <w:rsid w:val="00304AA5"/>
    <w:rsid w:val="00304AE4"/>
    <w:rsid w:val="00304AF3"/>
    <w:rsid w:val="00304AFF"/>
    <w:rsid w:val="00304B50"/>
    <w:rsid w:val="00304B9D"/>
    <w:rsid w:val="00304C2B"/>
    <w:rsid w:val="00304C4A"/>
    <w:rsid w:val="00304D5F"/>
    <w:rsid w:val="00304D6D"/>
    <w:rsid w:val="00304DEE"/>
    <w:rsid w:val="00304E84"/>
    <w:rsid w:val="00304EBD"/>
    <w:rsid w:val="00304EE1"/>
    <w:rsid w:val="00304FB9"/>
    <w:rsid w:val="00304FDD"/>
    <w:rsid w:val="00304FEC"/>
    <w:rsid w:val="0030501C"/>
    <w:rsid w:val="003050AB"/>
    <w:rsid w:val="003050D3"/>
    <w:rsid w:val="003050D8"/>
    <w:rsid w:val="003050EB"/>
    <w:rsid w:val="0030519B"/>
    <w:rsid w:val="003051C0"/>
    <w:rsid w:val="003051DB"/>
    <w:rsid w:val="00305202"/>
    <w:rsid w:val="0030522A"/>
    <w:rsid w:val="0030524F"/>
    <w:rsid w:val="003052A1"/>
    <w:rsid w:val="0030530A"/>
    <w:rsid w:val="00305368"/>
    <w:rsid w:val="0030536C"/>
    <w:rsid w:val="003053AD"/>
    <w:rsid w:val="003053C2"/>
    <w:rsid w:val="003053CF"/>
    <w:rsid w:val="003053F2"/>
    <w:rsid w:val="00305428"/>
    <w:rsid w:val="00305568"/>
    <w:rsid w:val="00305571"/>
    <w:rsid w:val="0030559E"/>
    <w:rsid w:val="0030573E"/>
    <w:rsid w:val="0030578C"/>
    <w:rsid w:val="00305799"/>
    <w:rsid w:val="003057E7"/>
    <w:rsid w:val="0030585D"/>
    <w:rsid w:val="0030588F"/>
    <w:rsid w:val="003058B2"/>
    <w:rsid w:val="0030595C"/>
    <w:rsid w:val="00305985"/>
    <w:rsid w:val="00305A08"/>
    <w:rsid w:val="00305A39"/>
    <w:rsid w:val="00305A6E"/>
    <w:rsid w:val="00305A9F"/>
    <w:rsid w:val="00305AFF"/>
    <w:rsid w:val="00305B88"/>
    <w:rsid w:val="00305BB3"/>
    <w:rsid w:val="00305BF2"/>
    <w:rsid w:val="00305C1B"/>
    <w:rsid w:val="00305C52"/>
    <w:rsid w:val="00305D20"/>
    <w:rsid w:val="00305D21"/>
    <w:rsid w:val="00305DB3"/>
    <w:rsid w:val="00305DD6"/>
    <w:rsid w:val="00305E06"/>
    <w:rsid w:val="00305E6B"/>
    <w:rsid w:val="00305E76"/>
    <w:rsid w:val="00305E89"/>
    <w:rsid w:val="00305EEF"/>
    <w:rsid w:val="00305F51"/>
    <w:rsid w:val="00305FAF"/>
    <w:rsid w:val="003060EB"/>
    <w:rsid w:val="00306191"/>
    <w:rsid w:val="003061E5"/>
    <w:rsid w:val="00306216"/>
    <w:rsid w:val="00306222"/>
    <w:rsid w:val="0030626A"/>
    <w:rsid w:val="00306295"/>
    <w:rsid w:val="003062AE"/>
    <w:rsid w:val="003062F6"/>
    <w:rsid w:val="0030639B"/>
    <w:rsid w:val="003063D5"/>
    <w:rsid w:val="003064A1"/>
    <w:rsid w:val="00306506"/>
    <w:rsid w:val="0030657B"/>
    <w:rsid w:val="003065BE"/>
    <w:rsid w:val="003065DF"/>
    <w:rsid w:val="00306615"/>
    <w:rsid w:val="00306650"/>
    <w:rsid w:val="00306698"/>
    <w:rsid w:val="0030669A"/>
    <w:rsid w:val="0030681A"/>
    <w:rsid w:val="00306868"/>
    <w:rsid w:val="003068AC"/>
    <w:rsid w:val="003068D3"/>
    <w:rsid w:val="00306941"/>
    <w:rsid w:val="003069B2"/>
    <w:rsid w:val="00306AD6"/>
    <w:rsid w:val="00306BEF"/>
    <w:rsid w:val="00306BFB"/>
    <w:rsid w:val="00306C01"/>
    <w:rsid w:val="00306C37"/>
    <w:rsid w:val="00306C3F"/>
    <w:rsid w:val="00306C9C"/>
    <w:rsid w:val="00306D0B"/>
    <w:rsid w:val="00306D1E"/>
    <w:rsid w:val="00306DB2"/>
    <w:rsid w:val="00306DE4"/>
    <w:rsid w:val="00306ED3"/>
    <w:rsid w:val="00306F19"/>
    <w:rsid w:val="00306F4F"/>
    <w:rsid w:val="00306F90"/>
    <w:rsid w:val="00307071"/>
    <w:rsid w:val="003070D6"/>
    <w:rsid w:val="003071B7"/>
    <w:rsid w:val="003071D0"/>
    <w:rsid w:val="003071EF"/>
    <w:rsid w:val="00307258"/>
    <w:rsid w:val="00307266"/>
    <w:rsid w:val="00307267"/>
    <w:rsid w:val="003072B8"/>
    <w:rsid w:val="003073BD"/>
    <w:rsid w:val="003073C1"/>
    <w:rsid w:val="0030748C"/>
    <w:rsid w:val="00307497"/>
    <w:rsid w:val="003074EE"/>
    <w:rsid w:val="003074F8"/>
    <w:rsid w:val="003074FA"/>
    <w:rsid w:val="00307559"/>
    <w:rsid w:val="00307560"/>
    <w:rsid w:val="00307612"/>
    <w:rsid w:val="0030769D"/>
    <w:rsid w:val="003076A0"/>
    <w:rsid w:val="0030770A"/>
    <w:rsid w:val="003078EB"/>
    <w:rsid w:val="0030793E"/>
    <w:rsid w:val="00307993"/>
    <w:rsid w:val="00307A06"/>
    <w:rsid w:val="00307A3E"/>
    <w:rsid w:val="00307AD0"/>
    <w:rsid w:val="00307BCF"/>
    <w:rsid w:val="00307C32"/>
    <w:rsid w:val="00307C38"/>
    <w:rsid w:val="00307C6E"/>
    <w:rsid w:val="00307CD6"/>
    <w:rsid w:val="00307CE6"/>
    <w:rsid w:val="00307D4C"/>
    <w:rsid w:val="00307D51"/>
    <w:rsid w:val="00307DB9"/>
    <w:rsid w:val="00307DF6"/>
    <w:rsid w:val="00307ED2"/>
    <w:rsid w:val="00307EDB"/>
    <w:rsid w:val="00307F1C"/>
    <w:rsid w:val="00307F39"/>
    <w:rsid w:val="00307FA8"/>
    <w:rsid w:val="0031003E"/>
    <w:rsid w:val="0031012C"/>
    <w:rsid w:val="0031014E"/>
    <w:rsid w:val="00310174"/>
    <w:rsid w:val="003101EE"/>
    <w:rsid w:val="00310261"/>
    <w:rsid w:val="00310276"/>
    <w:rsid w:val="003102CF"/>
    <w:rsid w:val="003102DF"/>
    <w:rsid w:val="0031030C"/>
    <w:rsid w:val="00310321"/>
    <w:rsid w:val="00310376"/>
    <w:rsid w:val="0031037F"/>
    <w:rsid w:val="003103BC"/>
    <w:rsid w:val="003103C3"/>
    <w:rsid w:val="003103D6"/>
    <w:rsid w:val="0031044A"/>
    <w:rsid w:val="00310496"/>
    <w:rsid w:val="0031057F"/>
    <w:rsid w:val="00310597"/>
    <w:rsid w:val="00310675"/>
    <w:rsid w:val="0031071E"/>
    <w:rsid w:val="00310733"/>
    <w:rsid w:val="0031074A"/>
    <w:rsid w:val="00310759"/>
    <w:rsid w:val="0031075D"/>
    <w:rsid w:val="00310768"/>
    <w:rsid w:val="0031076B"/>
    <w:rsid w:val="0031077D"/>
    <w:rsid w:val="003107A1"/>
    <w:rsid w:val="003107B0"/>
    <w:rsid w:val="00310836"/>
    <w:rsid w:val="00310922"/>
    <w:rsid w:val="0031093C"/>
    <w:rsid w:val="00310948"/>
    <w:rsid w:val="00310ABC"/>
    <w:rsid w:val="00310ABF"/>
    <w:rsid w:val="00310ACD"/>
    <w:rsid w:val="00310AD3"/>
    <w:rsid w:val="00310BD7"/>
    <w:rsid w:val="00310C30"/>
    <w:rsid w:val="00310C5E"/>
    <w:rsid w:val="00310C61"/>
    <w:rsid w:val="00310C92"/>
    <w:rsid w:val="00310CB0"/>
    <w:rsid w:val="00310D89"/>
    <w:rsid w:val="00310E64"/>
    <w:rsid w:val="00310F35"/>
    <w:rsid w:val="00310F88"/>
    <w:rsid w:val="00310F9C"/>
    <w:rsid w:val="00310FCB"/>
    <w:rsid w:val="00311027"/>
    <w:rsid w:val="0031104A"/>
    <w:rsid w:val="00311061"/>
    <w:rsid w:val="00311096"/>
    <w:rsid w:val="003110B1"/>
    <w:rsid w:val="003110BE"/>
    <w:rsid w:val="0031112D"/>
    <w:rsid w:val="0031117C"/>
    <w:rsid w:val="00311182"/>
    <w:rsid w:val="0031119F"/>
    <w:rsid w:val="003111CE"/>
    <w:rsid w:val="0031123C"/>
    <w:rsid w:val="0031127D"/>
    <w:rsid w:val="003112C1"/>
    <w:rsid w:val="003112F0"/>
    <w:rsid w:val="003112F6"/>
    <w:rsid w:val="00311410"/>
    <w:rsid w:val="0031144E"/>
    <w:rsid w:val="003114A0"/>
    <w:rsid w:val="00311580"/>
    <w:rsid w:val="00311635"/>
    <w:rsid w:val="003116A8"/>
    <w:rsid w:val="00311739"/>
    <w:rsid w:val="00311767"/>
    <w:rsid w:val="003117E6"/>
    <w:rsid w:val="00311835"/>
    <w:rsid w:val="00311849"/>
    <w:rsid w:val="003118B2"/>
    <w:rsid w:val="00311966"/>
    <w:rsid w:val="00311A22"/>
    <w:rsid w:val="00311A62"/>
    <w:rsid w:val="00311B47"/>
    <w:rsid w:val="00311BE9"/>
    <w:rsid w:val="00311C2C"/>
    <w:rsid w:val="00311D97"/>
    <w:rsid w:val="00311DDC"/>
    <w:rsid w:val="00311E61"/>
    <w:rsid w:val="00311EF1"/>
    <w:rsid w:val="00311F4C"/>
    <w:rsid w:val="00311FA0"/>
    <w:rsid w:val="00311FCA"/>
    <w:rsid w:val="00311FD3"/>
    <w:rsid w:val="00311FEC"/>
    <w:rsid w:val="00312001"/>
    <w:rsid w:val="00312066"/>
    <w:rsid w:val="00312067"/>
    <w:rsid w:val="003120A0"/>
    <w:rsid w:val="003120BC"/>
    <w:rsid w:val="00312104"/>
    <w:rsid w:val="00312157"/>
    <w:rsid w:val="00312172"/>
    <w:rsid w:val="00312190"/>
    <w:rsid w:val="003121EB"/>
    <w:rsid w:val="003121FB"/>
    <w:rsid w:val="0031221B"/>
    <w:rsid w:val="00312241"/>
    <w:rsid w:val="0031227D"/>
    <w:rsid w:val="00312298"/>
    <w:rsid w:val="003122BF"/>
    <w:rsid w:val="00312346"/>
    <w:rsid w:val="00312361"/>
    <w:rsid w:val="00312397"/>
    <w:rsid w:val="0031239A"/>
    <w:rsid w:val="003123A6"/>
    <w:rsid w:val="003123FA"/>
    <w:rsid w:val="00312412"/>
    <w:rsid w:val="00312428"/>
    <w:rsid w:val="0031246F"/>
    <w:rsid w:val="00312482"/>
    <w:rsid w:val="00312507"/>
    <w:rsid w:val="00312562"/>
    <w:rsid w:val="0031262B"/>
    <w:rsid w:val="0031262E"/>
    <w:rsid w:val="00312683"/>
    <w:rsid w:val="003126B4"/>
    <w:rsid w:val="00312724"/>
    <w:rsid w:val="00312769"/>
    <w:rsid w:val="0031285F"/>
    <w:rsid w:val="00312870"/>
    <w:rsid w:val="003128C7"/>
    <w:rsid w:val="0031292C"/>
    <w:rsid w:val="0031298E"/>
    <w:rsid w:val="00312999"/>
    <w:rsid w:val="003129AD"/>
    <w:rsid w:val="00312A2E"/>
    <w:rsid w:val="00312ABE"/>
    <w:rsid w:val="00312AC5"/>
    <w:rsid w:val="00312AF0"/>
    <w:rsid w:val="00312C46"/>
    <w:rsid w:val="00312C7A"/>
    <w:rsid w:val="00312CF2"/>
    <w:rsid w:val="00312CFD"/>
    <w:rsid w:val="00312F17"/>
    <w:rsid w:val="00312F64"/>
    <w:rsid w:val="00312FAF"/>
    <w:rsid w:val="0031329A"/>
    <w:rsid w:val="003132CE"/>
    <w:rsid w:val="00313323"/>
    <w:rsid w:val="003133AC"/>
    <w:rsid w:val="003133C7"/>
    <w:rsid w:val="003133E9"/>
    <w:rsid w:val="003133FD"/>
    <w:rsid w:val="003134A7"/>
    <w:rsid w:val="003134A9"/>
    <w:rsid w:val="003134D7"/>
    <w:rsid w:val="0031355C"/>
    <w:rsid w:val="00313651"/>
    <w:rsid w:val="00313745"/>
    <w:rsid w:val="003137A2"/>
    <w:rsid w:val="003137D8"/>
    <w:rsid w:val="00313802"/>
    <w:rsid w:val="0031380D"/>
    <w:rsid w:val="00313846"/>
    <w:rsid w:val="003138B1"/>
    <w:rsid w:val="00313903"/>
    <w:rsid w:val="0031390D"/>
    <w:rsid w:val="00313957"/>
    <w:rsid w:val="00313983"/>
    <w:rsid w:val="00313997"/>
    <w:rsid w:val="00313A5A"/>
    <w:rsid w:val="00313A8B"/>
    <w:rsid w:val="00313AB2"/>
    <w:rsid w:val="00313AE2"/>
    <w:rsid w:val="00313B79"/>
    <w:rsid w:val="00313D9B"/>
    <w:rsid w:val="00313E57"/>
    <w:rsid w:val="00313E8E"/>
    <w:rsid w:val="00313EAF"/>
    <w:rsid w:val="00313F3B"/>
    <w:rsid w:val="00313F3F"/>
    <w:rsid w:val="00313F7A"/>
    <w:rsid w:val="00313F95"/>
    <w:rsid w:val="00313FD9"/>
    <w:rsid w:val="003140F0"/>
    <w:rsid w:val="00314188"/>
    <w:rsid w:val="003141B0"/>
    <w:rsid w:val="0031428A"/>
    <w:rsid w:val="00314386"/>
    <w:rsid w:val="003143C0"/>
    <w:rsid w:val="003143C5"/>
    <w:rsid w:val="0031443A"/>
    <w:rsid w:val="0031453F"/>
    <w:rsid w:val="0031456D"/>
    <w:rsid w:val="00314584"/>
    <w:rsid w:val="003145B5"/>
    <w:rsid w:val="003145F7"/>
    <w:rsid w:val="00314623"/>
    <w:rsid w:val="00314658"/>
    <w:rsid w:val="003146B8"/>
    <w:rsid w:val="003146E4"/>
    <w:rsid w:val="003147B3"/>
    <w:rsid w:val="003147FD"/>
    <w:rsid w:val="00314846"/>
    <w:rsid w:val="003148C0"/>
    <w:rsid w:val="00314954"/>
    <w:rsid w:val="003149A9"/>
    <w:rsid w:val="003149AD"/>
    <w:rsid w:val="003149F2"/>
    <w:rsid w:val="00314AB4"/>
    <w:rsid w:val="00314AC9"/>
    <w:rsid w:val="00314AD2"/>
    <w:rsid w:val="00314B79"/>
    <w:rsid w:val="00314C05"/>
    <w:rsid w:val="00314C1B"/>
    <w:rsid w:val="00314C22"/>
    <w:rsid w:val="00314CA8"/>
    <w:rsid w:val="00314CE0"/>
    <w:rsid w:val="00314CFE"/>
    <w:rsid w:val="00314D42"/>
    <w:rsid w:val="00314D57"/>
    <w:rsid w:val="00314DA6"/>
    <w:rsid w:val="00314E07"/>
    <w:rsid w:val="00314EBC"/>
    <w:rsid w:val="00314FAE"/>
    <w:rsid w:val="00314FB2"/>
    <w:rsid w:val="003150BB"/>
    <w:rsid w:val="003150C5"/>
    <w:rsid w:val="003150EC"/>
    <w:rsid w:val="003150FC"/>
    <w:rsid w:val="00315147"/>
    <w:rsid w:val="0031518D"/>
    <w:rsid w:val="003151ED"/>
    <w:rsid w:val="003152C8"/>
    <w:rsid w:val="0031545E"/>
    <w:rsid w:val="0031547B"/>
    <w:rsid w:val="003154B1"/>
    <w:rsid w:val="00315557"/>
    <w:rsid w:val="003155BE"/>
    <w:rsid w:val="003155FD"/>
    <w:rsid w:val="0031560A"/>
    <w:rsid w:val="00315676"/>
    <w:rsid w:val="003156BB"/>
    <w:rsid w:val="003156BE"/>
    <w:rsid w:val="003156E6"/>
    <w:rsid w:val="0031571C"/>
    <w:rsid w:val="00315735"/>
    <w:rsid w:val="00315785"/>
    <w:rsid w:val="00315875"/>
    <w:rsid w:val="003158DC"/>
    <w:rsid w:val="0031591F"/>
    <w:rsid w:val="003159A5"/>
    <w:rsid w:val="00315A3C"/>
    <w:rsid w:val="00315A43"/>
    <w:rsid w:val="00315B30"/>
    <w:rsid w:val="00315B43"/>
    <w:rsid w:val="00315BB8"/>
    <w:rsid w:val="00315BF0"/>
    <w:rsid w:val="00315BFC"/>
    <w:rsid w:val="00315CAF"/>
    <w:rsid w:val="00315CD2"/>
    <w:rsid w:val="00315D05"/>
    <w:rsid w:val="00315DC9"/>
    <w:rsid w:val="00315DD1"/>
    <w:rsid w:val="00315DFE"/>
    <w:rsid w:val="00315E05"/>
    <w:rsid w:val="00315E32"/>
    <w:rsid w:val="00315E35"/>
    <w:rsid w:val="00315E61"/>
    <w:rsid w:val="00315EA6"/>
    <w:rsid w:val="00315ED2"/>
    <w:rsid w:val="00315F19"/>
    <w:rsid w:val="00315F94"/>
    <w:rsid w:val="00315F99"/>
    <w:rsid w:val="00316014"/>
    <w:rsid w:val="00316030"/>
    <w:rsid w:val="00316061"/>
    <w:rsid w:val="00316158"/>
    <w:rsid w:val="00316159"/>
    <w:rsid w:val="0031617E"/>
    <w:rsid w:val="0031618D"/>
    <w:rsid w:val="0031620A"/>
    <w:rsid w:val="00316229"/>
    <w:rsid w:val="0031622F"/>
    <w:rsid w:val="0031625D"/>
    <w:rsid w:val="00316281"/>
    <w:rsid w:val="003162AD"/>
    <w:rsid w:val="003162B1"/>
    <w:rsid w:val="003162D3"/>
    <w:rsid w:val="0031635D"/>
    <w:rsid w:val="003163DA"/>
    <w:rsid w:val="00316446"/>
    <w:rsid w:val="0031653E"/>
    <w:rsid w:val="00316569"/>
    <w:rsid w:val="0031657F"/>
    <w:rsid w:val="003165E7"/>
    <w:rsid w:val="00316621"/>
    <w:rsid w:val="003166BC"/>
    <w:rsid w:val="00316725"/>
    <w:rsid w:val="0031676D"/>
    <w:rsid w:val="00316779"/>
    <w:rsid w:val="00316814"/>
    <w:rsid w:val="0031682D"/>
    <w:rsid w:val="00316852"/>
    <w:rsid w:val="00316880"/>
    <w:rsid w:val="003168A0"/>
    <w:rsid w:val="0031693D"/>
    <w:rsid w:val="00316967"/>
    <w:rsid w:val="0031699F"/>
    <w:rsid w:val="003169BA"/>
    <w:rsid w:val="00316ABC"/>
    <w:rsid w:val="00316AF4"/>
    <w:rsid w:val="00316B09"/>
    <w:rsid w:val="00316BA6"/>
    <w:rsid w:val="00316BDE"/>
    <w:rsid w:val="00316BF5"/>
    <w:rsid w:val="00316C64"/>
    <w:rsid w:val="00316C95"/>
    <w:rsid w:val="00316D8D"/>
    <w:rsid w:val="00316DCF"/>
    <w:rsid w:val="00316DD7"/>
    <w:rsid w:val="00316E49"/>
    <w:rsid w:val="00316E5D"/>
    <w:rsid w:val="00316EBB"/>
    <w:rsid w:val="00316EC6"/>
    <w:rsid w:val="00316F34"/>
    <w:rsid w:val="00316F7B"/>
    <w:rsid w:val="00316F9E"/>
    <w:rsid w:val="00316FAE"/>
    <w:rsid w:val="0031701F"/>
    <w:rsid w:val="0031704D"/>
    <w:rsid w:val="003170A4"/>
    <w:rsid w:val="003170DD"/>
    <w:rsid w:val="00317117"/>
    <w:rsid w:val="0031716F"/>
    <w:rsid w:val="0031727B"/>
    <w:rsid w:val="0031729F"/>
    <w:rsid w:val="003172CD"/>
    <w:rsid w:val="003172EA"/>
    <w:rsid w:val="0031733C"/>
    <w:rsid w:val="0031738D"/>
    <w:rsid w:val="003173F7"/>
    <w:rsid w:val="00317447"/>
    <w:rsid w:val="00317459"/>
    <w:rsid w:val="0031749A"/>
    <w:rsid w:val="0031757D"/>
    <w:rsid w:val="00317584"/>
    <w:rsid w:val="00317607"/>
    <w:rsid w:val="0031760A"/>
    <w:rsid w:val="003176E4"/>
    <w:rsid w:val="00317703"/>
    <w:rsid w:val="00317731"/>
    <w:rsid w:val="00317794"/>
    <w:rsid w:val="0031780D"/>
    <w:rsid w:val="00317888"/>
    <w:rsid w:val="003178A8"/>
    <w:rsid w:val="003178D1"/>
    <w:rsid w:val="003178F7"/>
    <w:rsid w:val="00317921"/>
    <w:rsid w:val="0031798B"/>
    <w:rsid w:val="003179CF"/>
    <w:rsid w:val="003179E8"/>
    <w:rsid w:val="003179F1"/>
    <w:rsid w:val="00317A5C"/>
    <w:rsid w:val="00317B20"/>
    <w:rsid w:val="00317B61"/>
    <w:rsid w:val="00317C5A"/>
    <w:rsid w:val="00317C80"/>
    <w:rsid w:val="00317CD8"/>
    <w:rsid w:val="00317CFC"/>
    <w:rsid w:val="00317D53"/>
    <w:rsid w:val="00317DB2"/>
    <w:rsid w:val="00317DD4"/>
    <w:rsid w:val="00317DF2"/>
    <w:rsid w:val="00317E05"/>
    <w:rsid w:val="00317E29"/>
    <w:rsid w:val="00317E39"/>
    <w:rsid w:val="00317EC8"/>
    <w:rsid w:val="00317F44"/>
    <w:rsid w:val="00317F88"/>
    <w:rsid w:val="00317FD5"/>
    <w:rsid w:val="00320095"/>
    <w:rsid w:val="00320098"/>
    <w:rsid w:val="00320109"/>
    <w:rsid w:val="00320119"/>
    <w:rsid w:val="00320143"/>
    <w:rsid w:val="00320235"/>
    <w:rsid w:val="00320298"/>
    <w:rsid w:val="00320307"/>
    <w:rsid w:val="00320311"/>
    <w:rsid w:val="00320323"/>
    <w:rsid w:val="0032037C"/>
    <w:rsid w:val="0032039F"/>
    <w:rsid w:val="0032042E"/>
    <w:rsid w:val="003204AA"/>
    <w:rsid w:val="003204BE"/>
    <w:rsid w:val="003204CD"/>
    <w:rsid w:val="003205BC"/>
    <w:rsid w:val="003205EF"/>
    <w:rsid w:val="0032065D"/>
    <w:rsid w:val="003206C5"/>
    <w:rsid w:val="0032073C"/>
    <w:rsid w:val="0032074E"/>
    <w:rsid w:val="00320751"/>
    <w:rsid w:val="0032076C"/>
    <w:rsid w:val="003207B2"/>
    <w:rsid w:val="0032080C"/>
    <w:rsid w:val="003208BC"/>
    <w:rsid w:val="0032091B"/>
    <w:rsid w:val="00320932"/>
    <w:rsid w:val="0032093C"/>
    <w:rsid w:val="00320966"/>
    <w:rsid w:val="00320AD0"/>
    <w:rsid w:val="00320AF2"/>
    <w:rsid w:val="00320B09"/>
    <w:rsid w:val="00320BD8"/>
    <w:rsid w:val="00320C7B"/>
    <w:rsid w:val="00320D5E"/>
    <w:rsid w:val="00320E11"/>
    <w:rsid w:val="00320E1E"/>
    <w:rsid w:val="00320E64"/>
    <w:rsid w:val="00320EA3"/>
    <w:rsid w:val="00320F10"/>
    <w:rsid w:val="00320F35"/>
    <w:rsid w:val="00320F3A"/>
    <w:rsid w:val="00320FAE"/>
    <w:rsid w:val="003210B8"/>
    <w:rsid w:val="00321120"/>
    <w:rsid w:val="00321203"/>
    <w:rsid w:val="0032120A"/>
    <w:rsid w:val="0032122C"/>
    <w:rsid w:val="00321283"/>
    <w:rsid w:val="003213E9"/>
    <w:rsid w:val="003213FD"/>
    <w:rsid w:val="00321420"/>
    <w:rsid w:val="003214A5"/>
    <w:rsid w:val="003214AC"/>
    <w:rsid w:val="0032158E"/>
    <w:rsid w:val="003215C9"/>
    <w:rsid w:val="00321618"/>
    <w:rsid w:val="003216B2"/>
    <w:rsid w:val="00321752"/>
    <w:rsid w:val="00321879"/>
    <w:rsid w:val="00321930"/>
    <w:rsid w:val="00321977"/>
    <w:rsid w:val="00321980"/>
    <w:rsid w:val="003219A7"/>
    <w:rsid w:val="003219B8"/>
    <w:rsid w:val="003219F9"/>
    <w:rsid w:val="00321A09"/>
    <w:rsid w:val="00321A37"/>
    <w:rsid w:val="00321A92"/>
    <w:rsid w:val="00321AB5"/>
    <w:rsid w:val="00321AD7"/>
    <w:rsid w:val="00321B0A"/>
    <w:rsid w:val="00321B35"/>
    <w:rsid w:val="00321B46"/>
    <w:rsid w:val="00321B84"/>
    <w:rsid w:val="00321B9C"/>
    <w:rsid w:val="00321BB1"/>
    <w:rsid w:val="00321BB9"/>
    <w:rsid w:val="00321C47"/>
    <w:rsid w:val="00321CD5"/>
    <w:rsid w:val="00321D05"/>
    <w:rsid w:val="00321DA8"/>
    <w:rsid w:val="00321DB7"/>
    <w:rsid w:val="00321DD2"/>
    <w:rsid w:val="00321E7D"/>
    <w:rsid w:val="00321F1D"/>
    <w:rsid w:val="00321FA5"/>
    <w:rsid w:val="00321FEC"/>
    <w:rsid w:val="00322067"/>
    <w:rsid w:val="00322094"/>
    <w:rsid w:val="0032210C"/>
    <w:rsid w:val="003221C5"/>
    <w:rsid w:val="003221FB"/>
    <w:rsid w:val="0032221E"/>
    <w:rsid w:val="0032223D"/>
    <w:rsid w:val="0032225F"/>
    <w:rsid w:val="003222CF"/>
    <w:rsid w:val="0032233F"/>
    <w:rsid w:val="00322410"/>
    <w:rsid w:val="0032243C"/>
    <w:rsid w:val="0032249F"/>
    <w:rsid w:val="003224BE"/>
    <w:rsid w:val="0032255D"/>
    <w:rsid w:val="003225A6"/>
    <w:rsid w:val="0032268C"/>
    <w:rsid w:val="0032274A"/>
    <w:rsid w:val="00322799"/>
    <w:rsid w:val="0032279A"/>
    <w:rsid w:val="003227B4"/>
    <w:rsid w:val="003227F7"/>
    <w:rsid w:val="00322848"/>
    <w:rsid w:val="00322867"/>
    <w:rsid w:val="003228CB"/>
    <w:rsid w:val="003228FB"/>
    <w:rsid w:val="003229F4"/>
    <w:rsid w:val="00322AAB"/>
    <w:rsid w:val="00322AD5"/>
    <w:rsid w:val="00322B25"/>
    <w:rsid w:val="00322BBB"/>
    <w:rsid w:val="00322BBC"/>
    <w:rsid w:val="00322C14"/>
    <w:rsid w:val="00322CE3"/>
    <w:rsid w:val="00322D60"/>
    <w:rsid w:val="00322DFA"/>
    <w:rsid w:val="00322E13"/>
    <w:rsid w:val="00322FBE"/>
    <w:rsid w:val="00323018"/>
    <w:rsid w:val="003230B4"/>
    <w:rsid w:val="003230E7"/>
    <w:rsid w:val="00323138"/>
    <w:rsid w:val="0032322A"/>
    <w:rsid w:val="00323360"/>
    <w:rsid w:val="003234D8"/>
    <w:rsid w:val="00323519"/>
    <w:rsid w:val="0032351D"/>
    <w:rsid w:val="0032369A"/>
    <w:rsid w:val="003237DF"/>
    <w:rsid w:val="003238F1"/>
    <w:rsid w:val="0032390A"/>
    <w:rsid w:val="00323936"/>
    <w:rsid w:val="00323939"/>
    <w:rsid w:val="00323944"/>
    <w:rsid w:val="00323945"/>
    <w:rsid w:val="00323A7A"/>
    <w:rsid w:val="00323AA0"/>
    <w:rsid w:val="00323AA5"/>
    <w:rsid w:val="00323B6A"/>
    <w:rsid w:val="00323BA0"/>
    <w:rsid w:val="00323C01"/>
    <w:rsid w:val="00323C0D"/>
    <w:rsid w:val="00323C49"/>
    <w:rsid w:val="00323CD7"/>
    <w:rsid w:val="00323CE8"/>
    <w:rsid w:val="00323CF0"/>
    <w:rsid w:val="00323D22"/>
    <w:rsid w:val="00323E25"/>
    <w:rsid w:val="00323E35"/>
    <w:rsid w:val="00323E52"/>
    <w:rsid w:val="00323EA3"/>
    <w:rsid w:val="00323F1F"/>
    <w:rsid w:val="00323F52"/>
    <w:rsid w:val="00323FD3"/>
    <w:rsid w:val="00324046"/>
    <w:rsid w:val="003240E8"/>
    <w:rsid w:val="003240F0"/>
    <w:rsid w:val="00324225"/>
    <w:rsid w:val="00324241"/>
    <w:rsid w:val="00324274"/>
    <w:rsid w:val="003242DA"/>
    <w:rsid w:val="003242ED"/>
    <w:rsid w:val="0032430B"/>
    <w:rsid w:val="00324323"/>
    <w:rsid w:val="003243E9"/>
    <w:rsid w:val="0032444B"/>
    <w:rsid w:val="003246C3"/>
    <w:rsid w:val="00324702"/>
    <w:rsid w:val="00324752"/>
    <w:rsid w:val="003248B8"/>
    <w:rsid w:val="00324ADA"/>
    <w:rsid w:val="00324AE3"/>
    <w:rsid w:val="00324AEE"/>
    <w:rsid w:val="00324B9D"/>
    <w:rsid w:val="00324C25"/>
    <w:rsid w:val="00324C44"/>
    <w:rsid w:val="00324C82"/>
    <w:rsid w:val="00324C8D"/>
    <w:rsid w:val="00324C97"/>
    <w:rsid w:val="00324CCE"/>
    <w:rsid w:val="00324DA2"/>
    <w:rsid w:val="00324DB2"/>
    <w:rsid w:val="00324DD4"/>
    <w:rsid w:val="00324EE8"/>
    <w:rsid w:val="00324EF8"/>
    <w:rsid w:val="00324F47"/>
    <w:rsid w:val="00324F68"/>
    <w:rsid w:val="00324FAC"/>
    <w:rsid w:val="00324FED"/>
    <w:rsid w:val="00325138"/>
    <w:rsid w:val="00325188"/>
    <w:rsid w:val="0032518F"/>
    <w:rsid w:val="003251ED"/>
    <w:rsid w:val="0032527B"/>
    <w:rsid w:val="003252A3"/>
    <w:rsid w:val="003253AA"/>
    <w:rsid w:val="00325443"/>
    <w:rsid w:val="00325450"/>
    <w:rsid w:val="0032548E"/>
    <w:rsid w:val="003254AB"/>
    <w:rsid w:val="0032550B"/>
    <w:rsid w:val="00325565"/>
    <w:rsid w:val="003255BD"/>
    <w:rsid w:val="0032560A"/>
    <w:rsid w:val="00325643"/>
    <w:rsid w:val="0032564F"/>
    <w:rsid w:val="003256B0"/>
    <w:rsid w:val="003256C3"/>
    <w:rsid w:val="0032572A"/>
    <w:rsid w:val="00325739"/>
    <w:rsid w:val="0032577E"/>
    <w:rsid w:val="0032578A"/>
    <w:rsid w:val="0032579A"/>
    <w:rsid w:val="003257C5"/>
    <w:rsid w:val="00325824"/>
    <w:rsid w:val="00325894"/>
    <w:rsid w:val="003258DC"/>
    <w:rsid w:val="00325972"/>
    <w:rsid w:val="003259BA"/>
    <w:rsid w:val="003259C8"/>
    <w:rsid w:val="003259CF"/>
    <w:rsid w:val="00325A02"/>
    <w:rsid w:val="00325A15"/>
    <w:rsid w:val="00325A1B"/>
    <w:rsid w:val="00325A70"/>
    <w:rsid w:val="00325B07"/>
    <w:rsid w:val="00325B28"/>
    <w:rsid w:val="00325B74"/>
    <w:rsid w:val="00325B90"/>
    <w:rsid w:val="00325BB5"/>
    <w:rsid w:val="00325BD5"/>
    <w:rsid w:val="00325C01"/>
    <w:rsid w:val="00325C29"/>
    <w:rsid w:val="00325C2C"/>
    <w:rsid w:val="00325CBA"/>
    <w:rsid w:val="00325D2C"/>
    <w:rsid w:val="00325D41"/>
    <w:rsid w:val="00325D4F"/>
    <w:rsid w:val="00325D85"/>
    <w:rsid w:val="00325D96"/>
    <w:rsid w:val="00325E5A"/>
    <w:rsid w:val="00325E8C"/>
    <w:rsid w:val="00325EA4"/>
    <w:rsid w:val="00325EED"/>
    <w:rsid w:val="00325F10"/>
    <w:rsid w:val="00325F25"/>
    <w:rsid w:val="00325F7E"/>
    <w:rsid w:val="00325FB8"/>
    <w:rsid w:val="00325FCD"/>
    <w:rsid w:val="00325FFF"/>
    <w:rsid w:val="0032609D"/>
    <w:rsid w:val="003260CB"/>
    <w:rsid w:val="00326146"/>
    <w:rsid w:val="003261FE"/>
    <w:rsid w:val="0032621B"/>
    <w:rsid w:val="00326326"/>
    <w:rsid w:val="0032633A"/>
    <w:rsid w:val="00326378"/>
    <w:rsid w:val="003263E6"/>
    <w:rsid w:val="00326493"/>
    <w:rsid w:val="00326496"/>
    <w:rsid w:val="003264FB"/>
    <w:rsid w:val="003264FD"/>
    <w:rsid w:val="00326576"/>
    <w:rsid w:val="0032660D"/>
    <w:rsid w:val="003267C2"/>
    <w:rsid w:val="003267ED"/>
    <w:rsid w:val="00326824"/>
    <w:rsid w:val="003268A7"/>
    <w:rsid w:val="003268B7"/>
    <w:rsid w:val="003268DE"/>
    <w:rsid w:val="003268E8"/>
    <w:rsid w:val="00326940"/>
    <w:rsid w:val="00326987"/>
    <w:rsid w:val="00326A2C"/>
    <w:rsid w:val="00326A62"/>
    <w:rsid w:val="00326AF7"/>
    <w:rsid w:val="00326B7B"/>
    <w:rsid w:val="00326BB6"/>
    <w:rsid w:val="00326BE9"/>
    <w:rsid w:val="00326C09"/>
    <w:rsid w:val="00326C10"/>
    <w:rsid w:val="00326C9C"/>
    <w:rsid w:val="00326D2E"/>
    <w:rsid w:val="00326D98"/>
    <w:rsid w:val="00326DB6"/>
    <w:rsid w:val="00326DEA"/>
    <w:rsid w:val="00326F21"/>
    <w:rsid w:val="00326F22"/>
    <w:rsid w:val="00326F30"/>
    <w:rsid w:val="00326FEE"/>
    <w:rsid w:val="00327066"/>
    <w:rsid w:val="00327068"/>
    <w:rsid w:val="0032706F"/>
    <w:rsid w:val="00327090"/>
    <w:rsid w:val="00327121"/>
    <w:rsid w:val="0032716C"/>
    <w:rsid w:val="003271AE"/>
    <w:rsid w:val="003271B1"/>
    <w:rsid w:val="003271C8"/>
    <w:rsid w:val="003271CE"/>
    <w:rsid w:val="0032723A"/>
    <w:rsid w:val="00327242"/>
    <w:rsid w:val="0032731D"/>
    <w:rsid w:val="0032741A"/>
    <w:rsid w:val="00327480"/>
    <w:rsid w:val="00327538"/>
    <w:rsid w:val="003275C2"/>
    <w:rsid w:val="00327655"/>
    <w:rsid w:val="00327692"/>
    <w:rsid w:val="003276FE"/>
    <w:rsid w:val="003277C9"/>
    <w:rsid w:val="003277DA"/>
    <w:rsid w:val="00327A4F"/>
    <w:rsid w:val="00327C1B"/>
    <w:rsid w:val="00327C24"/>
    <w:rsid w:val="00327C40"/>
    <w:rsid w:val="00327C5F"/>
    <w:rsid w:val="00327CCB"/>
    <w:rsid w:val="00327CD8"/>
    <w:rsid w:val="00327D99"/>
    <w:rsid w:val="00327EB9"/>
    <w:rsid w:val="00327EBB"/>
    <w:rsid w:val="00327EE1"/>
    <w:rsid w:val="00327F19"/>
    <w:rsid w:val="00327FCF"/>
    <w:rsid w:val="00330091"/>
    <w:rsid w:val="003300B3"/>
    <w:rsid w:val="003300CB"/>
    <w:rsid w:val="00330121"/>
    <w:rsid w:val="003302AF"/>
    <w:rsid w:val="00330308"/>
    <w:rsid w:val="00330313"/>
    <w:rsid w:val="003303B1"/>
    <w:rsid w:val="00330496"/>
    <w:rsid w:val="00330507"/>
    <w:rsid w:val="0033054C"/>
    <w:rsid w:val="003305BB"/>
    <w:rsid w:val="003305DC"/>
    <w:rsid w:val="003306AD"/>
    <w:rsid w:val="00330729"/>
    <w:rsid w:val="0033077A"/>
    <w:rsid w:val="003307BF"/>
    <w:rsid w:val="003307CD"/>
    <w:rsid w:val="00330843"/>
    <w:rsid w:val="0033097B"/>
    <w:rsid w:val="003309C9"/>
    <w:rsid w:val="00330A25"/>
    <w:rsid w:val="00330A37"/>
    <w:rsid w:val="00330A45"/>
    <w:rsid w:val="00330AA9"/>
    <w:rsid w:val="00330AB3"/>
    <w:rsid w:val="00330AEE"/>
    <w:rsid w:val="00330B1C"/>
    <w:rsid w:val="00330B2B"/>
    <w:rsid w:val="00330B9D"/>
    <w:rsid w:val="00330BC9"/>
    <w:rsid w:val="00330BEC"/>
    <w:rsid w:val="00330C36"/>
    <w:rsid w:val="00330C4B"/>
    <w:rsid w:val="00330C6C"/>
    <w:rsid w:val="00330C70"/>
    <w:rsid w:val="00330CA1"/>
    <w:rsid w:val="00330CE3"/>
    <w:rsid w:val="00330D33"/>
    <w:rsid w:val="00330E82"/>
    <w:rsid w:val="00330F13"/>
    <w:rsid w:val="00330F53"/>
    <w:rsid w:val="00330F96"/>
    <w:rsid w:val="00331086"/>
    <w:rsid w:val="00331087"/>
    <w:rsid w:val="003310B6"/>
    <w:rsid w:val="0033111D"/>
    <w:rsid w:val="0033117A"/>
    <w:rsid w:val="003311F1"/>
    <w:rsid w:val="00331249"/>
    <w:rsid w:val="0033126B"/>
    <w:rsid w:val="00331270"/>
    <w:rsid w:val="0033127A"/>
    <w:rsid w:val="0033128C"/>
    <w:rsid w:val="003312A3"/>
    <w:rsid w:val="003312ED"/>
    <w:rsid w:val="00331314"/>
    <w:rsid w:val="0033133B"/>
    <w:rsid w:val="00331343"/>
    <w:rsid w:val="00331390"/>
    <w:rsid w:val="003313B4"/>
    <w:rsid w:val="003313CA"/>
    <w:rsid w:val="00331439"/>
    <w:rsid w:val="0033151E"/>
    <w:rsid w:val="0033153C"/>
    <w:rsid w:val="00331581"/>
    <w:rsid w:val="003315BE"/>
    <w:rsid w:val="00331618"/>
    <w:rsid w:val="00331684"/>
    <w:rsid w:val="003316C9"/>
    <w:rsid w:val="0033172E"/>
    <w:rsid w:val="003317E7"/>
    <w:rsid w:val="00331850"/>
    <w:rsid w:val="00331856"/>
    <w:rsid w:val="0033188A"/>
    <w:rsid w:val="00331896"/>
    <w:rsid w:val="003319A2"/>
    <w:rsid w:val="00331A6D"/>
    <w:rsid w:val="00331A7A"/>
    <w:rsid w:val="00331A92"/>
    <w:rsid w:val="00331AAA"/>
    <w:rsid w:val="00331AD3"/>
    <w:rsid w:val="00331B9A"/>
    <w:rsid w:val="00331C39"/>
    <w:rsid w:val="00331C48"/>
    <w:rsid w:val="00331C5C"/>
    <w:rsid w:val="00331C67"/>
    <w:rsid w:val="00331CA4"/>
    <w:rsid w:val="00331CF6"/>
    <w:rsid w:val="00331DBF"/>
    <w:rsid w:val="00331E12"/>
    <w:rsid w:val="00331EC7"/>
    <w:rsid w:val="00331F3E"/>
    <w:rsid w:val="00331F6B"/>
    <w:rsid w:val="00331F8F"/>
    <w:rsid w:val="00331FB3"/>
    <w:rsid w:val="00332006"/>
    <w:rsid w:val="003320AE"/>
    <w:rsid w:val="003321E3"/>
    <w:rsid w:val="0033221F"/>
    <w:rsid w:val="00332288"/>
    <w:rsid w:val="003322DA"/>
    <w:rsid w:val="0033232F"/>
    <w:rsid w:val="00332375"/>
    <w:rsid w:val="003323E9"/>
    <w:rsid w:val="00332464"/>
    <w:rsid w:val="003324A8"/>
    <w:rsid w:val="003324F4"/>
    <w:rsid w:val="00332587"/>
    <w:rsid w:val="003325FF"/>
    <w:rsid w:val="00332613"/>
    <w:rsid w:val="00332698"/>
    <w:rsid w:val="003326EC"/>
    <w:rsid w:val="003326F5"/>
    <w:rsid w:val="0033270B"/>
    <w:rsid w:val="003327B4"/>
    <w:rsid w:val="003327D8"/>
    <w:rsid w:val="0033291D"/>
    <w:rsid w:val="00332948"/>
    <w:rsid w:val="003329AA"/>
    <w:rsid w:val="00332A05"/>
    <w:rsid w:val="00332A3C"/>
    <w:rsid w:val="00332B22"/>
    <w:rsid w:val="00332BBB"/>
    <w:rsid w:val="00332C0B"/>
    <w:rsid w:val="00332C21"/>
    <w:rsid w:val="00332C6A"/>
    <w:rsid w:val="00332CEF"/>
    <w:rsid w:val="00332D16"/>
    <w:rsid w:val="00332D9D"/>
    <w:rsid w:val="00332E50"/>
    <w:rsid w:val="00332E6F"/>
    <w:rsid w:val="00332EA2"/>
    <w:rsid w:val="00332F84"/>
    <w:rsid w:val="00332FA4"/>
    <w:rsid w:val="00333047"/>
    <w:rsid w:val="00333055"/>
    <w:rsid w:val="00333078"/>
    <w:rsid w:val="0033309C"/>
    <w:rsid w:val="003330C8"/>
    <w:rsid w:val="0033312A"/>
    <w:rsid w:val="003331CD"/>
    <w:rsid w:val="0033321D"/>
    <w:rsid w:val="00333223"/>
    <w:rsid w:val="0033336B"/>
    <w:rsid w:val="003333C4"/>
    <w:rsid w:val="003333DF"/>
    <w:rsid w:val="003333F2"/>
    <w:rsid w:val="00333410"/>
    <w:rsid w:val="00333416"/>
    <w:rsid w:val="00333430"/>
    <w:rsid w:val="003334E5"/>
    <w:rsid w:val="00333547"/>
    <w:rsid w:val="0033355C"/>
    <w:rsid w:val="0033360F"/>
    <w:rsid w:val="00333657"/>
    <w:rsid w:val="00333707"/>
    <w:rsid w:val="0033381F"/>
    <w:rsid w:val="00333925"/>
    <w:rsid w:val="00333940"/>
    <w:rsid w:val="00333A29"/>
    <w:rsid w:val="00333AB2"/>
    <w:rsid w:val="00333AF1"/>
    <w:rsid w:val="00333AF4"/>
    <w:rsid w:val="00333B5E"/>
    <w:rsid w:val="00333B83"/>
    <w:rsid w:val="00333B96"/>
    <w:rsid w:val="00333BFA"/>
    <w:rsid w:val="00333C17"/>
    <w:rsid w:val="00333C20"/>
    <w:rsid w:val="00333CB2"/>
    <w:rsid w:val="00333D42"/>
    <w:rsid w:val="00333D8B"/>
    <w:rsid w:val="00333D94"/>
    <w:rsid w:val="00333DD1"/>
    <w:rsid w:val="00333F7C"/>
    <w:rsid w:val="0033402B"/>
    <w:rsid w:val="00334068"/>
    <w:rsid w:val="00334073"/>
    <w:rsid w:val="003340C1"/>
    <w:rsid w:val="00334148"/>
    <w:rsid w:val="00334149"/>
    <w:rsid w:val="00334152"/>
    <w:rsid w:val="00334179"/>
    <w:rsid w:val="0033423E"/>
    <w:rsid w:val="00334249"/>
    <w:rsid w:val="00334288"/>
    <w:rsid w:val="0033428C"/>
    <w:rsid w:val="00334302"/>
    <w:rsid w:val="003343BF"/>
    <w:rsid w:val="003343FD"/>
    <w:rsid w:val="00334405"/>
    <w:rsid w:val="00334490"/>
    <w:rsid w:val="00334570"/>
    <w:rsid w:val="003346AF"/>
    <w:rsid w:val="00334748"/>
    <w:rsid w:val="00334818"/>
    <w:rsid w:val="00334882"/>
    <w:rsid w:val="00334974"/>
    <w:rsid w:val="003349DF"/>
    <w:rsid w:val="00334A1C"/>
    <w:rsid w:val="00334A2E"/>
    <w:rsid w:val="00334A90"/>
    <w:rsid w:val="00334AA3"/>
    <w:rsid w:val="00334B2E"/>
    <w:rsid w:val="00334B51"/>
    <w:rsid w:val="00334B52"/>
    <w:rsid w:val="00334C17"/>
    <w:rsid w:val="00334C65"/>
    <w:rsid w:val="00334C76"/>
    <w:rsid w:val="00334CF6"/>
    <w:rsid w:val="00334D88"/>
    <w:rsid w:val="00334DD1"/>
    <w:rsid w:val="00334E76"/>
    <w:rsid w:val="00334F4D"/>
    <w:rsid w:val="00334FA1"/>
    <w:rsid w:val="00334FE3"/>
    <w:rsid w:val="00334FFB"/>
    <w:rsid w:val="0033501D"/>
    <w:rsid w:val="003350E8"/>
    <w:rsid w:val="003350F0"/>
    <w:rsid w:val="00335109"/>
    <w:rsid w:val="00335126"/>
    <w:rsid w:val="0033513B"/>
    <w:rsid w:val="0033518B"/>
    <w:rsid w:val="003351A7"/>
    <w:rsid w:val="00335202"/>
    <w:rsid w:val="0033520F"/>
    <w:rsid w:val="0033522F"/>
    <w:rsid w:val="00335239"/>
    <w:rsid w:val="0033524E"/>
    <w:rsid w:val="003352A9"/>
    <w:rsid w:val="003352F0"/>
    <w:rsid w:val="00335314"/>
    <w:rsid w:val="00335339"/>
    <w:rsid w:val="00335349"/>
    <w:rsid w:val="003353A0"/>
    <w:rsid w:val="00335414"/>
    <w:rsid w:val="0033541A"/>
    <w:rsid w:val="00335444"/>
    <w:rsid w:val="003354BC"/>
    <w:rsid w:val="0033551A"/>
    <w:rsid w:val="003355A9"/>
    <w:rsid w:val="003355C9"/>
    <w:rsid w:val="0033561E"/>
    <w:rsid w:val="003356A3"/>
    <w:rsid w:val="003356F1"/>
    <w:rsid w:val="003356F9"/>
    <w:rsid w:val="00335775"/>
    <w:rsid w:val="0033587D"/>
    <w:rsid w:val="0033588C"/>
    <w:rsid w:val="003358BC"/>
    <w:rsid w:val="0033591E"/>
    <w:rsid w:val="00335938"/>
    <w:rsid w:val="0033598C"/>
    <w:rsid w:val="003359D5"/>
    <w:rsid w:val="00335A4C"/>
    <w:rsid w:val="00335AB9"/>
    <w:rsid w:val="00335AC1"/>
    <w:rsid w:val="00335AD0"/>
    <w:rsid w:val="00335B33"/>
    <w:rsid w:val="00335BA1"/>
    <w:rsid w:val="00335BAF"/>
    <w:rsid w:val="00335BBC"/>
    <w:rsid w:val="00335C0B"/>
    <w:rsid w:val="00335C10"/>
    <w:rsid w:val="00335C6A"/>
    <w:rsid w:val="00335D61"/>
    <w:rsid w:val="00335D9E"/>
    <w:rsid w:val="00335DD3"/>
    <w:rsid w:val="00335DD9"/>
    <w:rsid w:val="00335E3E"/>
    <w:rsid w:val="00335EB6"/>
    <w:rsid w:val="00335FA7"/>
    <w:rsid w:val="00336195"/>
    <w:rsid w:val="00336199"/>
    <w:rsid w:val="00336218"/>
    <w:rsid w:val="0033633C"/>
    <w:rsid w:val="0033640C"/>
    <w:rsid w:val="00336453"/>
    <w:rsid w:val="003364EF"/>
    <w:rsid w:val="00336558"/>
    <w:rsid w:val="0033656B"/>
    <w:rsid w:val="0033659F"/>
    <w:rsid w:val="003365AB"/>
    <w:rsid w:val="003365B8"/>
    <w:rsid w:val="003365C9"/>
    <w:rsid w:val="0033663B"/>
    <w:rsid w:val="0033665E"/>
    <w:rsid w:val="00336682"/>
    <w:rsid w:val="0033668E"/>
    <w:rsid w:val="003367FA"/>
    <w:rsid w:val="0033681B"/>
    <w:rsid w:val="00336916"/>
    <w:rsid w:val="00336993"/>
    <w:rsid w:val="003369C7"/>
    <w:rsid w:val="00336B7D"/>
    <w:rsid w:val="00336C13"/>
    <w:rsid w:val="00336C18"/>
    <w:rsid w:val="00336C2A"/>
    <w:rsid w:val="00336C6D"/>
    <w:rsid w:val="00336CD3"/>
    <w:rsid w:val="00336DAF"/>
    <w:rsid w:val="00336DCE"/>
    <w:rsid w:val="00336E1B"/>
    <w:rsid w:val="00336E35"/>
    <w:rsid w:val="00336FB8"/>
    <w:rsid w:val="00336FEE"/>
    <w:rsid w:val="003370ED"/>
    <w:rsid w:val="003370F8"/>
    <w:rsid w:val="00337160"/>
    <w:rsid w:val="0033716D"/>
    <w:rsid w:val="003371A5"/>
    <w:rsid w:val="003371D1"/>
    <w:rsid w:val="003371D9"/>
    <w:rsid w:val="003371F1"/>
    <w:rsid w:val="00337212"/>
    <w:rsid w:val="00337221"/>
    <w:rsid w:val="00337247"/>
    <w:rsid w:val="003372C4"/>
    <w:rsid w:val="0033737C"/>
    <w:rsid w:val="0033740F"/>
    <w:rsid w:val="00337429"/>
    <w:rsid w:val="00337441"/>
    <w:rsid w:val="0033757F"/>
    <w:rsid w:val="00337587"/>
    <w:rsid w:val="00337622"/>
    <w:rsid w:val="00337626"/>
    <w:rsid w:val="00337733"/>
    <w:rsid w:val="00337751"/>
    <w:rsid w:val="0033777E"/>
    <w:rsid w:val="003377CC"/>
    <w:rsid w:val="003377CF"/>
    <w:rsid w:val="0033784F"/>
    <w:rsid w:val="003379C0"/>
    <w:rsid w:val="003379CD"/>
    <w:rsid w:val="00337A1E"/>
    <w:rsid w:val="00337A33"/>
    <w:rsid w:val="00337A87"/>
    <w:rsid w:val="00337AC6"/>
    <w:rsid w:val="00337ADF"/>
    <w:rsid w:val="00337AFA"/>
    <w:rsid w:val="00337B4A"/>
    <w:rsid w:val="00337B72"/>
    <w:rsid w:val="00337C2A"/>
    <w:rsid w:val="00337CB4"/>
    <w:rsid w:val="00337CE6"/>
    <w:rsid w:val="00337F6B"/>
    <w:rsid w:val="00340041"/>
    <w:rsid w:val="00340046"/>
    <w:rsid w:val="00340069"/>
    <w:rsid w:val="003400C8"/>
    <w:rsid w:val="003400D9"/>
    <w:rsid w:val="00340126"/>
    <w:rsid w:val="003402C5"/>
    <w:rsid w:val="003402E1"/>
    <w:rsid w:val="003403BA"/>
    <w:rsid w:val="003403D9"/>
    <w:rsid w:val="0034049F"/>
    <w:rsid w:val="003404BC"/>
    <w:rsid w:val="003404CA"/>
    <w:rsid w:val="0034054A"/>
    <w:rsid w:val="003405BF"/>
    <w:rsid w:val="003405DB"/>
    <w:rsid w:val="003405EC"/>
    <w:rsid w:val="00340642"/>
    <w:rsid w:val="0034066E"/>
    <w:rsid w:val="003406A4"/>
    <w:rsid w:val="003406AA"/>
    <w:rsid w:val="003406C3"/>
    <w:rsid w:val="003406EF"/>
    <w:rsid w:val="00340758"/>
    <w:rsid w:val="003407B1"/>
    <w:rsid w:val="00340838"/>
    <w:rsid w:val="0034085D"/>
    <w:rsid w:val="00340895"/>
    <w:rsid w:val="0034091B"/>
    <w:rsid w:val="003409A0"/>
    <w:rsid w:val="003409C1"/>
    <w:rsid w:val="00340A6F"/>
    <w:rsid w:val="00340A9B"/>
    <w:rsid w:val="00340B10"/>
    <w:rsid w:val="00340B40"/>
    <w:rsid w:val="00340B60"/>
    <w:rsid w:val="00340B64"/>
    <w:rsid w:val="00340C1A"/>
    <w:rsid w:val="00340C26"/>
    <w:rsid w:val="00340C55"/>
    <w:rsid w:val="00340C7A"/>
    <w:rsid w:val="00340CF0"/>
    <w:rsid w:val="00340D75"/>
    <w:rsid w:val="00340DAD"/>
    <w:rsid w:val="00340E9D"/>
    <w:rsid w:val="00340EDD"/>
    <w:rsid w:val="00340F4A"/>
    <w:rsid w:val="00340FBF"/>
    <w:rsid w:val="00340FDC"/>
    <w:rsid w:val="003410D2"/>
    <w:rsid w:val="0034110C"/>
    <w:rsid w:val="00341141"/>
    <w:rsid w:val="00341180"/>
    <w:rsid w:val="003411D7"/>
    <w:rsid w:val="00341231"/>
    <w:rsid w:val="00341320"/>
    <w:rsid w:val="0034135B"/>
    <w:rsid w:val="0034135E"/>
    <w:rsid w:val="00341364"/>
    <w:rsid w:val="003413AF"/>
    <w:rsid w:val="00341421"/>
    <w:rsid w:val="00341427"/>
    <w:rsid w:val="0034145C"/>
    <w:rsid w:val="003415EC"/>
    <w:rsid w:val="003415F6"/>
    <w:rsid w:val="003416C1"/>
    <w:rsid w:val="0034173E"/>
    <w:rsid w:val="003417A0"/>
    <w:rsid w:val="003417F8"/>
    <w:rsid w:val="0034184E"/>
    <w:rsid w:val="0034188A"/>
    <w:rsid w:val="003418CD"/>
    <w:rsid w:val="00341906"/>
    <w:rsid w:val="00341945"/>
    <w:rsid w:val="00341950"/>
    <w:rsid w:val="00341A32"/>
    <w:rsid w:val="00341AC1"/>
    <w:rsid w:val="00341AF9"/>
    <w:rsid w:val="00341B6F"/>
    <w:rsid w:val="00341B93"/>
    <w:rsid w:val="00341BDC"/>
    <w:rsid w:val="00341C3E"/>
    <w:rsid w:val="00341CAC"/>
    <w:rsid w:val="00341CCB"/>
    <w:rsid w:val="00341CDA"/>
    <w:rsid w:val="00341CE4"/>
    <w:rsid w:val="00341D23"/>
    <w:rsid w:val="00341D34"/>
    <w:rsid w:val="00341DB7"/>
    <w:rsid w:val="00341DC9"/>
    <w:rsid w:val="00341E71"/>
    <w:rsid w:val="00341E83"/>
    <w:rsid w:val="00341EA2"/>
    <w:rsid w:val="00341EDD"/>
    <w:rsid w:val="00341EF2"/>
    <w:rsid w:val="00341F76"/>
    <w:rsid w:val="0034201A"/>
    <w:rsid w:val="00342039"/>
    <w:rsid w:val="00342066"/>
    <w:rsid w:val="00342074"/>
    <w:rsid w:val="0034208F"/>
    <w:rsid w:val="003420CA"/>
    <w:rsid w:val="003420F6"/>
    <w:rsid w:val="0034211F"/>
    <w:rsid w:val="0034213E"/>
    <w:rsid w:val="003421ED"/>
    <w:rsid w:val="00342228"/>
    <w:rsid w:val="00342229"/>
    <w:rsid w:val="0034227D"/>
    <w:rsid w:val="003422E9"/>
    <w:rsid w:val="003423B6"/>
    <w:rsid w:val="003423EA"/>
    <w:rsid w:val="003423EB"/>
    <w:rsid w:val="003423F8"/>
    <w:rsid w:val="003424D3"/>
    <w:rsid w:val="00342515"/>
    <w:rsid w:val="003425AD"/>
    <w:rsid w:val="003425FC"/>
    <w:rsid w:val="00342610"/>
    <w:rsid w:val="00342699"/>
    <w:rsid w:val="0034272D"/>
    <w:rsid w:val="003427D4"/>
    <w:rsid w:val="00342819"/>
    <w:rsid w:val="00342827"/>
    <w:rsid w:val="0034285D"/>
    <w:rsid w:val="00342895"/>
    <w:rsid w:val="003428FA"/>
    <w:rsid w:val="00342913"/>
    <w:rsid w:val="00342915"/>
    <w:rsid w:val="00342972"/>
    <w:rsid w:val="003429BB"/>
    <w:rsid w:val="00342A89"/>
    <w:rsid w:val="00342AD5"/>
    <w:rsid w:val="00342B87"/>
    <w:rsid w:val="00342B8A"/>
    <w:rsid w:val="00342CF2"/>
    <w:rsid w:val="00342CF4"/>
    <w:rsid w:val="00342D62"/>
    <w:rsid w:val="00342D8D"/>
    <w:rsid w:val="00342E20"/>
    <w:rsid w:val="00342EAD"/>
    <w:rsid w:val="00342EB6"/>
    <w:rsid w:val="00342F0D"/>
    <w:rsid w:val="00342FB9"/>
    <w:rsid w:val="00342FBF"/>
    <w:rsid w:val="00342FC1"/>
    <w:rsid w:val="00342FC6"/>
    <w:rsid w:val="00343032"/>
    <w:rsid w:val="003430AA"/>
    <w:rsid w:val="003430C0"/>
    <w:rsid w:val="0034313D"/>
    <w:rsid w:val="0034313F"/>
    <w:rsid w:val="0034316D"/>
    <w:rsid w:val="00343201"/>
    <w:rsid w:val="00343248"/>
    <w:rsid w:val="00343277"/>
    <w:rsid w:val="003432A5"/>
    <w:rsid w:val="003432A7"/>
    <w:rsid w:val="003432B9"/>
    <w:rsid w:val="003432F8"/>
    <w:rsid w:val="00343314"/>
    <w:rsid w:val="0034334B"/>
    <w:rsid w:val="0034334E"/>
    <w:rsid w:val="003433CC"/>
    <w:rsid w:val="003433D4"/>
    <w:rsid w:val="003433FC"/>
    <w:rsid w:val="0034350F"/>
    <w:rsid w:val="00343527"/>
    <w:rsid w:val="00343534"/>
    <w:rsid w:val="0034359A"/>
    <w:rsid w:val="0034365D"/>
    <w:rsid w:val="00343663"/>
    <w:rsid w:val="00343711"/>
    <w:rsid w:val="0034371A"/>
    <w:rsid w:val="003437FA"/>
    <w:rsid w:val="0034381F"/>
    <w:rsid w:val="0034385C"/>
    <w:rsid w:val="003438A4"/>
    <w:rsid w:val="003438EF"/>
    <w:rsid w:val="00343947"/>
    <w:rsid w:val="00343989"/>
    <w:rsid w:val="00343A4D"/>
    <w:rsid w:val="00343A58"/>
    <w:rsid w:val="00343B3B"/>
    <w:rsid w:val="00343BA1"/>
    <w:rsid w:val="00343BB4"/>
    <w:rsid w:val="00343BB8"/>
    <w:rsid w:val="00343BCD"/>
    <w:rsid w:val="00343BFB"/>
    <w:rsid w:val="00343D66"/>
    <w:rsid w:val="00343D9A"/>
    <w:rsid w:val="00343DCF"/>
    <w:rsid w:val="00343DEB"/>
    <w:rsid w:val="00343E2B"/>
    <w:rsid w:val="00343EAF"/>
    <w:rsid w:val="00343F22"/>
    <w:rsid w:val="00343F7B"/>
    <w:rsid w:val="00343F87"/>
    <w:rsid w:val="00343F9D"/>
    <w:rsid w:val="00344013"/>
    <w:rsid w:val="0034405C"/>
    <w:rsid w:val="00344148"/>
    <w:rsid w:val="00344165"/>
    <w:rsid w:val="003441A4"/>
    <w:rsid w:val="003441B0"/>
    <w:rsid w:val="003441D2"/>
    <w:rsid w:val="003441EB"/>
    <w:rsid w:val="003442BA"/>
    <w:rsid w:val="00344394"/>
    <w:rsid w:val="003443B2"/>
    <w:rsid w:val="003443C0"/>
    <w:rsid w:val="00344416"/>
    <w:rsid w:val="00344423"/>
    <w:rsid w:val="003444FA"/>
    <w:rsid w:val="00344570"/>
    <w:rsid w:val="003445AF"/>
    <w:rsid w:val="00344604"/>
    <w:rsid w:val="00344791"/>
    <w:rsid w:val="003447BB"/>
    <w:rsid w:val="0034480D"/>
    <w:rsid w:val="0034485A"/>
    <w:rsid w:val="00344877"/>
    <w:rsid w:val="003448A0"/>
    <w:rsid w:val="003448B3"/>
    <w:rsid w:val="00344951"/>
    <w:rsid w:val="003449C5"/>
    <w:rsid w:val="003449E0"/>
    <w:rsid w:val="00344A48"/>
    <w:rsid w:val="00344A90"/>
    <w:rsid w:val="00344B22"/>
    <w:rsid w:val="00344B26"/>
    <w:rsid w:val="00344B29"/>
    <w:rsid w:val="00344B5B"/>
    <w:rsid w:val="00344B6D"/>
    <w:rsid w:val="00344B7C"/>
    <w:rsid w:val="00344B9F"/>
    <w:rsid w:val="00344BAC"/>
    <w:rsid w:val="00344BB6"/>
    <w:rsid w:val="00344BBD"/>
    <w:rsid w:val="00344BD5"/>
    <w:rsid w:val="00344C3D"/>
    <w:rsid w:val="00344CA0"/>
    <w:rsid w:val="00344D15"/>
    <w:rsid w:val="00344D56"/>
    <w:rsid w:val="00344DD0"/>
    <w:rsid w:val="00344EEC"/>
    <w:rsid w:val="00344EF5"/>
    <w:rsid w:val="00344F3C"/>
    <w:rsid w:val="00345007"/>
    <w:rsid w:val="00345081"/>
    <w:rsid w:val="00345133"/>
    <w:rsid w:val="003451BA"/>
    <w:rsid w:val="003451C6"/>
    <w:rsid w:val="003451E3"/>
    <w:rsid w:val="0034527A"/>
    <w:rsid w:val="003452AE"/>
    <w:rsid w:val="003452D4"/>
    <w:rsid w:val="00345341"/>
    <w:rsid w:val="003453AC"/>
    <w:rsid w:val="003453DD"/>
    <w:rsid w:val="003453F1"/>
    <w:rsid w:val="00345409"/>
    <w:rsid w:val="00345450"/>
    <w:rsid w:val="0034558B"/>
    <w:rsid w:val="003455C3"/>
    <w:rsid w:val="00345601"/>
    <w:rsid w:val="00345649"/>
    <w:rsid w:val="0034569B"/>
    <w:rsid w:val="003456CE"/>
    <w:rsid w:val="003456EC"/>
    <w:rsid w:val="00345724"/>
    <w:rsid w:val="003457A2"/>
    <w:rsid w:val="003457A6"/>
    <w:rsid w:val="003457AD"/>
    <w:rsid w:val="003457DE"/>
    <w:rsid w:val="00345841"/>
    <w:rsid w:val="003458D1"/>
    <w:rsid w:val="003458E6"/>
    <w:rsid w:val="00345936"/>
    <w:rsid w:val="0034595E"/>
    <w:rsid w:val="003459AF"/>
    <w:rsid w:val="00345A5D"/>
    <w:rsid w:val="00345A86"/>
    <w:rsid w:val="00345AC0"/>
    <w:rsid w:val="00345AE1"/>
    <w:rsid w:val="00345BA1"/>
    <w:rsid w:val="00345BCB"/>
    <w:rsid w:val="00345C6D"/>
    <w:rsid w:val="00345D9A"/>
    <w:rsid w:val="00345DC6"/>
    <w:rsid w:val="00345DCA"/>
    <w:rsid w:val="00345EB0"/>
    <w:rsid w:val="00345ED0"/>
    <w:rsid w:val="00345F34"/>
    <w:rsid w:val="00345F60"/>
    <w:rsid w:val="00345F94"/>
    <w:rsid w:val="00345FD8"/>
    <w:rsid w:val="00346054"/>
    <w:rsid w:val="003460BD"/>
    <w:rsid w:val="00346108"/>
    <w:rsid w:val="003461F5"/>
    <w:rsid w:val="00346214"/>
    <w:rsid w:val="0034624C"/>
    <w:rsid w:val="00346316"/>
    <w:rsid w:val="00346410"/>
    <w:rsid w:val="00346445"/>
    <w:rsid w:val="0034645D"/>
    <w:rsid w:val="003464FD"/>
    <w:rsid w:val="00346564"/>
    <w:rsid w:val="00346571"/>
    <w:rsid w:val="003465EB"/>
    <w:rsid w:val="00346611"/>
    <w:rsid w:val="0034662A"/>
    <w:rsid w:val="00346632"/>
    <w:rsid w:val="00346694"/>
    <w:rsid w:val="0034684F"/>
    <w:rsid w:val="00346877"/>
    <w:rsid w:val="003468CD"/>
    <w:rsid w:val="003469D2"/>
    <w:rsid w:val="00346B38"/>
    <w:rsid w:val="00346B4E"/>
    <w:rsid w:val="00346BBB"/>
    <w:rsid w:val="00346C58"/>
    <w:rsid w:val="00346CB4"/>
    <w:rsid w:val="00346D15"/>
    <w:rsid w:val="00346D19"/>
    <w:rsid w:val="00346D82"/>
    <w:rsid w:val="00346DF2"/>
    <w:rsid w:val="00346E07"/>
    <w:rsid w:val="00346E30"/>
    <w:rsid w:val="00346EFA"/>
    <w:rsid w:val="00346F38"/>
    <w:rsid w:val="00346F7D"/>
    <w:rsid w:val="00346F96"/>
    <w:rsid w:val="00346FEA"/>
    <w:rsid w:val="00347019"/>
    <w:rsid w:val="0034702F"/>
    <w:rsid w:val="003470FE"/>
    <w:rsid w:val="00347223"/>
    <w:rsid w:val="003472C3"/>
    <w:rsid w:val="0034731C"/>
    <w:rsid w:val="0034733B"/>
    <w:rsid w:val="00347345"/>
    <w:rsid w:val="0034738A"/>
    <w:rsid w:val="00347392"/>
    <w:rsid w:val="00347406"/>
    <w:rsid w:val="0034742C"/>
    <w:rsid w:val="00347474"/>
    <w:rsid w:val="0034749A"/>
    <w:rsid w:val="0034754C"/>
    <w:rsid w:val="003475DB"/>
    <w:rsid w:val="00347617"/>
    <w:rsid w:val="003476FE"/>
    <w:rsid w:val="003477F9"/>
    <w:rsid w:val="00347813"/>
    <w:rsid w:val="00347818"/>
    <w:rsid w:val="00347824"/>
    <w:rsid w:val="00347862"/>
    <w:rsid w:val="00347865"/>
    <w:rsid w:val="00347883"/>
    <w:rsid w:val="0034792E"/>
    <w:rsid w:val="00347982"/>
    <w:rsid w:val="00347A29"/>
    <w:rsid w:val="00347AE4"/>
    <w:rsid w:val="00347AF1"/>
    <w:rsid w:val="00347B0B"/>
    <w:rsid w:val="00347B7A"/>
    <w:rsid w:val="00347BCA"/>
    <w:rsid w:val="00347BD4"/>
    <w:rsid w:val="00347C00"/>
    <w:rsid w:val="00347C17"/>
    <w:rsid w:val="00347C26"/>
    <w:rsid w:val="00347C5E"/>
    <w:rsid w:val="00347D0F"/>
    <w:rsid w:val="00347D38"/>
    <w:rsid w:val="00347DAB"/>
    <w:rsid w:val="00347DBE"/>
    <w:rsid w:val="00347DCA"/>
    <w:rsid w:val="00347DF9"/>
    <w:rsid w:val="00347EC0"/>
    <w:rsid w:val="00347ECA"/>
    <w:rsid w:val="00347F4B"/>
    <w:rsid w:val="00347F4E"/>
    <w:rsid w:val="00350039"/>
    <w:rsid w:val="0035006A"/>
    <w:rsid w:val="003500AD"/>
    <w:rsid w:val="003500E1"/>
    <w:rsid w:val="003500EA"/>
    <w:rsid w:val="00350188"/>
    <w:rsid w:val="003501AA"/>
    <w:rsid w:val="003501EE"/>
    <w:rsid w:val="003502E9"/>
    <w:rsid w:val="0035033E"/>
    <w:rsid w:val="00350446"/>
    <w:rsid w:val="0035044A"/>
    <w:rsid w:val="003504BD"/>
    <w:rsid w:val="0035051A"/>
    <w:rsid w:val="00350573"/>
    <w:rsid w:val="00350582"/>
    <w:rsid w:val="003505A5"/>
    <w:rsid w:val="0035060E"/>
    <w:rsid w:val="0035062F"/>
    <w:rsid w:val="00350686"/>
    <w:rsid w:val="0035068E"/>
    <w:rsid w:val="003506A0"/>
    <w:rsid w:val="003506A2"/>
    <w:rsid w:val="00350710"/>
    <w:rsid w:val="003507CB"/>
    <w:rsid w:val="003507DE"/>
    <w:rsid w:val="003507E6"/>
    <w:rsid w:val="00350842"/>
    <w:rsid w:val="00350874"/>
    <w:rsid w:val="00350910"/>
    <w:rsid w:val="0035094D"/>
    <w:rsid w:val="003509BC"/>
    <w:rsid w:val="00350A9F"/>
    <w:rsid w:val="00350AAE"/>
    <w:rsid w:val="00350AC6"/>
    <w:rsid w:val="00350AF9"/>
    <w:rsid w:val="00350B0F"/>
    <w:rsid w:val="00350B42"/>
    <w:rsid w:val="00350BDE"/>
    <w:rsid w:val="00350BFD"/>
    <w:rsid w:val="00350CA7"/>
    <w:rsid w:val="00350D3D"/>
    <w:rsid w:val="00350D52"/>
    <w:rsid w:val="00350D67"/>
    <w:rsid w:val="00350DAF"/>
    <w:rsid w:val="00350E41"/>
    <w:rsid w:val="00350E44"/>
    <w:rsid w:val="00350EE4"/>
    <w:rsid w:val="00350FE0"/>
    <w:rsid w:val="00351028"/>
    <w:rsid w:val="0035106C"/>
    <w:rsid w:val="003510FE"/>
    <w:rsid w:val="003511D2"/>
    <w:rsid w:val="00351217"/>
    <w:rsid w:val="003512BE"/>
    <w:rsid w:val="00351353"/>
    <w:rsid w:val="00351370"/>
    <w:rsid w:val="0035140C"/>
    <w:rsid w:val="00351470"/>
    <w:rsid w:val="00351476"/>
    <w:rsid w:val="0035151F"/>
    <w:rsid w:val="00351523"/>
    <w:rsid w:val="0035153C"/>
    <w:rsid w:val="0035154E"/>
    <w:rsid w:val="00351558"/>
    <w:rsid w:val="00351576"/>
    <w:rsid w:val="00351589"/>
    <w:rsid w:val="00351698"/>
    <w:rsid w:val="00351746"/>
    <w:rsid w:val="00351761"/>
    <w:rsid w:val="00351785"/>
    <w:rsid w:val="003517DC"/>
    <w:rsid w:val="00351857"/>
    <w:rsid w:val="0035187E"/>
    <w:rsid w:val="003518A3"/>
    <w:rsid w:val="003518B1"/>
    <w:rsid w:val="003518E2"/>
    <w:rsid w:val="00351907"/>
    <w:rsid w:val="00351966"/>
    <w:rsid w:val="0035197B"/>
    <w:rsid w:val="003519CC"/>
    <w:rsid w:val="00351A8E"/>
    <w:rsid w:val="00351AC8"/>
    <w:rsid w:val="00351C0A"/>
    <w:rsid w:val="00351C0F"/>
    <w:rsid w:val="00351C92"/>
    <w:rsid w:val="00351C9A"/>
    <w:rsid w:val="00351CD1"/>
    <w:rsid w:val="00351D00"/>
    <w:rsid w:val="00351E07"/>
    <w:rsid w:val="00351ED9"/>
    <w:rsid w:val="00351EEB"/>
    <w:rsid w:val="00351F34"/>
    <w:rsid w:val="00351FE6"/>
    <w:rsid w:val="00352002"/>
    <w:rsid w:val="0035201C"/>
    <w:rsid w:val="00352049"/>
    <w:rsid w:val="00352081"/>
    <w:rsid w:val="003520A2"/>
    <w:rsid w:val="003520C3"/>
    <w:rsid w:val="003520F8"/>
    <w:rsid w:val="0035215D"/>
    <w:rsid w:val="0035217B"/>
    <w:rsid w:val="003521C3"/>
    <w:rsid w:val="00352200"/>
    <w:rsid w:val="00352256"/>
    <w:rsid w:val="00352328"/>
    <w:rsid w:val="00352335"/>
    <w:rsid w:val="00352350"/>
    <w:rsid w:val="003523D0"/>
    <w:rsid w:val="0035242B"/>
    <w:rsid w:val="00352467"/>
    <w:rsid w:val="00352511"/>
    <w:rsid w:val="00352688"/>
    <w:rsid w:val="00352703"/>
    <w:rsid w:val="00352710"/>
    <w:rsid w:val="00352717"/>
    <w:rsid w:val="00352822"/>
    <w:rsid w:val="00352844"/>
    <w:rsid w:val="00352869"/>
    <w:rsid w:val="003528C4"/>
    <w:rsid w:val="00352956"/>
    <w:rsid w:val="00352982"/>
    <w:rsid w:val="003529CA"/>
    <w:rsid w:val="003529EA"/>
    <w:rsid w:val="003529EC"/>
    <w:rsid w:val="003529F8"/>
    <w:rsid w:val="00352A2F"/>
    <w:rsid w:val="00352A98"/>
    <w:rsid w:val="00352AA0"/>
    <w:rsid w:val="00352AEA"/>
    <w:rsid w:val="00352AF5"/>
    <w:rsid w:val="00352B6F"/>
    <w:rsid w:val="00352D8F"/>
    <w:rsid w:val="00352E7F"/>
    <w:rsid w:val="00352EC4"/>
    <w:rsid w:val="00352F53"/>
    <w:rsid w:val="00352F73"/>
    <w:rsid w:val="00352FA9"/>
    <w:rsid w:val="00352FB4"/>
    <w:rsid w:val="00353038"/>
    <w:rsid w:val="0035306A"/>
    <w:rsid w:val="00353093"/>
    <w:rsid w:val="003530A5"/>
    <w:rsid w:val="0035310A"/>
    <w:rsid w:val="00353197"/>
    <w:rsid w:val="003531A5"/>
    <w:rsid w:val="003531AA"/>
    <w:rsid w:val="003531BD"/>
    <w:rsid w:val="003531F5"/>
    <w:rsid w:val="003531F9"/>
    <w:rsid w:val="00353250"/>
    <w:rsid w:val="0035326E"/>
    <w:rsid w:val="0035328B"/>
    <w:rsid w:val="0035328D"/>
    <w:rsid w:val="00353300"/>
    <w:rsid w:val="00353352"/>
    <w:rsid w:val="00353360"/>
    <w:rsid w:val="0035338E"/>
    <w:rsid w:val="003533C8"/>
    <w:rsid w:val="003533F0"/>
    <w:rsid w:val="003534B5"/>
    <w:rsid w:val="00353540"/>
    <w:rsid w:val="00353543"/>
    <w:rsid w:val="003535B2"/>
    <w:rsid w:val="0035366D"/>
    <w:rsid w:val="00353700"/>
    <w:rsid w:val="00353728"/>
    <w:rsid w:val="00353729"/>
    <w:rsid w:val="00353764"/>
    <w:rsid w:val="00353785"/>
    <w:rsid w:val="003537B0"/>
    <w:rsid w:val="003537B3"/>
    <w:rsid w:val="003537B7"/>
    <w:rsid w:val="00353892"/>
    <w:rsid w:val="003538AF"/>
    <w:rsid w:val="00353957"/>
    <w:rsid w:val="00353961"/>
    <w:rsid w:val="00353975"/>
    <w:rsid w:val="00353996"/>
    <w:rsid w:val="003539E9"/>
    <w:rsid w:val="003539F0"/>
    <w:rsid w:val="00353A3D"/>
    <w:rsid w:val="00353A75"/>
    <w:rsid w:val="00353A99"/>
    <w:rsid w:val="00353AB1"/>
    <w:rsid w:val="00353B12"/>
    <w:rsid w:val="00353B53"/>
    <w:rsid w:val="00353BD2"/>
    <w:rsid w:val="00353C2B"/>
    <w:rsid w:val="00353CA7"/>
    <w:rsid w:val="00353CDC"/>
    <w:rsid w:val="00353CDD"/>
    <w:rsid w:val="00353D49"/>
    <w:rsid w:val="00353D72"/>
    <w:rsid w:val="00353E61"/>
    <w:rsid w:val="00353EED"/>
    <w:rsid w:val="00353F19"/>
    <w:rsid w:val="00353F5A"/>
    <w:rsid w:val="00353F8C"/>
    <w:rsid w:val="00353FA7"/>
    <w:rsid w:val="0035401A"/>
    <w:rsid w:val="0035403D"/>
    <w:rsid w:val="00354045"/>
    <w:rsid w:val="003540B0"/>
    <w:rsid w:val="00354135"/>
    <w:rsid w:val="0035415C"/>
    <w:rsid w:val="00354168"/>
    <w:rsid w:val="003541F5"/>
    <w:rsid w:val="00354205"/>
    <w:rsid w:val="00354334"/>
    <w:rsid w:val="003543C2"/>
    <w:rsid w:val="003543FE"/>
    <w:rsid w:val="00354410"/>
    <w:rsid w:val="00354455"/>
    <w:rsid w:val="003544D4"/>
    <w:rsid w:val="00354541"/>
    <w:rsid w:val="00354618"/>
    <w:rsid w:val="0035467A"/>
    <w:rsid w:val="003546A5"/>
    <w:rsid w:val="00354725"/>
    <w:rsid w:val="00354764"/>
    <w:rsid w:val="003547E8"/>
    <w:rsid w:val="003547E9"/>
    <w:rsid w:val="00354899"/>
    <w:rsid w:val="003548EF"/>
    <w:rsid w:val="00354907"/>
    <w:rsid w:val="00354911"/>
    <w:rsid w:val="0035495E"/>
    <w:rsid w:val="00354987"/>
    <w:rsid w:val="003549A1"/>
    <w:rsid w:val="003549C2"/>
    <w:rsid w:val="00354A06"/>
    <w:rsid w:val="00354AA9"/>
    <w:rsid w:val="00354AEA"/>
    <w:rsid w:val="00354B7C"/>
    <w:rsid w:val="00354B95"/>
    <w:rsid w:val="00354BBD"/>
    <w:rsid w:val="00354BCA"/>
    <w:rsid w:val="00354C86"/>
    <w:rsid w:val="00354CDC"/>
    <w:rsid w:val="00354CF9"/>
    <w:rsid w:val="00354D0E"/>
    <w:rsid w:val="00354E04"/>
    <w:rsid w:val="00354E08"/>
    <w:rsid w:val="00354E60"/>
    <w:rsid w:val="00354F4F"/>
    <w:rsid w:val="00354F79"/>
    <w:rsid w:val="00355069"/>
    <w:rsid w:val="003550E1"/>
    <w:rsid w:val="00355130"/>
    <w:rsid w:val="00355158"/>
    <w:rsid w:val="00355196"/>
    <w:rsid w:val="0035519B"/>
    <w:rsid w:val="003551B3"/>
    <w:rsid w:val="003551C4"/>
    <w:rsid w:val="00355263"/>
    <w:rsid w:val="003552E6"/>
    <w:rsid w:val="003552F6"/>
    <w:rsid w:val="003552F8"/>
    <w:rsid w:val="0035530F"/>
    <w:rsid w:val="00355337"/>
    <w:rsid w:val="00355342"/>
    <w:rsid w:val="003553A9"/>
    <w:rsid w:val="003553CE"/>
    <w:rsid w:val="00355401"/>
    <w:rsid w:val="0035542F"/>
    <w:rsid w:val="00355540"/>
    <w:rsid w:val="00355571"/>
    <w:rsid w:val="003555A2"/>
    <w:rsid w:val="003555FD"/>
    <w:rsid w:val="00355624"/>
    <w:rsid w:val="003556A4"/>
    <w:rsid w:val="0035579C"/>
    <w:rsid w:val="003557AC"/>
    <w:rsid w:val="003557D3"/>
    <w:rsid w:val="003557E3"/>
    <w:rsid w:val="003557EB"/>
    <w:rsid w:val="003558BF"/>
    <w:rsid w:val="0035592F"/>
    <w:rsid w:val="0035593B"/>
    <w:rsid w:val="0035597A"/>
    <w:rsid w:val="0035599E"/>
    <w:rsid w:val="00355A25"/>
    <w:rsid w:val="00355A7F"/>
    <w:rsid w:val="00355AC9"/>
    <w:rsid w:val="00355B1C"/>
    <w:rsid w:val="00355B3E"/>
    <w:rsid w:val="00355BFE"/>
    <w:rsid w:val="00355C99"/>
    <w:rsid w:val="00355CAF"/>
    <w:rsid w:val="00355CF2"/>
    <w:rsid w:val="00355D49"/>
    <w:rsid w:val="00355D63"/>
    <w:rsid w:val="00355D99"/>
    <w:rsid w:val="00355DB0"/>
    <w:rsid w:val="00355DCB"/>
    <w:rsid w:val="00355DDF"/>
    <w:rsid w:val="00355DE5"/>
    <w:rsid w:val="00355E09"/>
    <w:rsid w:val="00355E15"/>
    <w:rsid w:val="00355E54"/>
    <w:rsid w:val="00355E77"/>
    <w:rsid w:val="00355EC1"/>
    <w:rsid w:val="00355EE6"/>
    <w:rsid w:val="00355FC9"/>
    <w:rsid w:val="00355FE8"/>
    <w:rsid w:val="00356022"/>
    <w:rsid w:val="003560B9"/>
    <w:rsid w:val="00356158"/>
    <w:rsid w:val="003561D0"/>
    <w:rsid w:val="0035625D"/>
    <w:rsid w:val="0035639C"/>
    <w:rsid w:val="003563DB"/>
    <w:rsid w:val="00356498"/>
    <w:rsid w:val="003564E3"/>
    <w:rsid w:val="003564F2"/>
    <w:rsid w:val="0035655E"/>
    <w:rsid w:val="0035660D"/>
    <w:rsid w:val="0035668F"/>
    <w:rsid w:val="003566C1"/>
    <w:rsid w:val="00356730"/>
    <w:rsid w:val="0035674D"/>
    <w:rsid w:val="003567C5"/>
    <w:rsid w:val="00356844"/>
    <w:rsid w:val="003568B1"/>
    <w:rsid w:val="003568E7"/>
    <w:rsid w:val="003568F7"/>
    <w:rsid w:val="00356906"/>
    <w:rsid w:val="00356A05"/>
    <w:rsid w:val="00356A23"/>
    <w:rsid w:val="00356A47"/>
    <w:rsid w:val="00356A65"/>
    <w:rsid w:val="00356A9A"/>
    <w:rsid w:val="00356AA5"/>
    <w:rsid w:val="00356AE6"/>
    <w:rsid w:val="00356C19"/>
    <w:rsid w:val="00356C83"/>
    <w:rsid w:val="00356D10"/>
    <w:rsid w:val="00356D1E"/>
    <w:rsid w:val="00356DAC"/>
    <w:rsid w:val="00356E01"/>
    <w:rsid w:val="00356E50"/>
    <w:rsid w:val="00356E91"/>
    <w:rsid w:val="00356EB7"/>
    <w:rsid w:val="00356EBD"/>
    <w:rsid w:val="00356EEB"/>
    <w:rsid w:val="00357081"/>
    <w:rsid w:val="00357145"/>
    <w:rsid w:val="00357222"/>
    <w:rsid w:val="0035728D"/>
    <w:rsid w:val="00357297"/>
    <w:rsid w:val="003572E1"/>
    <w:rsid w:val="0035735B"/>
    <w:rsid w:val="00357419"/>
    <w:rsid w:val="00357530"/>
    <w:rsid w:val="0035753A"/>
    <w:rsid w:val="00357576"/>
    <w:rsid w:val="003575C9"/>
    <w:rsid w:val="003575E2"/>
    <w:rsid w:val="003575FC"/>
    <w:rsid w:val="00357602"/>
    <w:rsid w:val="00357611"/>
    <w:rsid w:val="00357653"/>
    <w:rsid w:val="003576F6"/>
    <w:rsid w:val="00357714"/>
    <w:rsid w:val="0035775C"/>
    <w:rsid w:val="003577A8"/>
    <w:rsid w:val="0035781C"/>
    <w:rsid w:val="0035788E"/>
    <w:rsid w:val="00357890"/>
    <w:rsid w:val="00357930"/>
    <w:rsid w:val="00357931"/>
    <w:rsid w:val="00357986"/>
    <w:rsid w:val="003579E0"/>
    <w:rsid w:val="00357A5E"/>
    <w:rsid w:val="00357AD4"/>
    <w:rsid w:val="00357B05"/>
    <w:rsid w:val="00357B25"/>
    <w:rsid w:val="00357B32"/>
    <w:rsid w:val="00357BE7"/>
    <w:rsid w:val="00357C12"/>
    <w:rsid w:val="00357C50"/>
    <w:rsid w:val="00357C6B"/>
    <w:rsid w:val="00357C72"/>
    <w:rsid w:val="00357C96"/>
    <w:rsid w:val="00357C9C"/>
    <w:rsid w:val="00357D1B"/>
    <w:rsid w:val="00357D80"/>
    <w:rsid w:val="00357E91"/>
    <w:rsid w:val="00357E97"/>
    <w:rsid w:val="00357EAC"/>
    <w:rsid w:val="00357ECE"/>
    <w:rsid w:val="00357F5D"/>
    <w:rsid w:val="00357F5F"/>
    <w:rsid w:val="00357F6B"/>
    <w:rsid w:val="00357F8D"/>
    <w:rsid w:val="00357FBC"/>
    <w:rsid w:val="00360046"/>
    <w:rsid w:val="003600D4"/>
    <w:rsid w:val="00360128"/>
    <w:rsid w:val="003602C9"/>
    <w:rsid w:val="00360337"/>
    <w:rsid w:val="00360380"/>
    <w:rsid w:val="00360400"/>
    <w:rsid w:val="0036040F"/>
    <w:rsid w:val="00360428"/>
    <w:rsid w:val="00360450"/>
    <w:rsid w:val="003604C6"/>
    <w:rsid w:val="00360517"/>
    <w:rsid w:val="00360564"/>
    <w:rsid w:val="0036056D"/>
    <w:rsid w:val="00360604"/>
    <w:rsid w:val="0036061E"/>
    <w:rsid w:val="0036063C"/>
    <w:rsid w:val="00360665"/>
    <w:rsid w:val="00360678"/>
    <w:rsid w:val="003606BD"/>
    <w:rsid w:val="00360703"/>
    <w:rsid w:val="00360710"/>
    <w:rsid w:val="0036074E"/>
    <w:rsid w:val="003607E9"/>
    <w:rsid w:val="003608C0"/>
    <w:rsid w:val="003608D4"/>
    <w:rsid w:val="00360915"/>
    <w:rsid w:val="0036091C"/>
    <w:rsid w:val="00360934"/>
    <w:rsid w:val="00360953"/>
    <w:rsid w:val="003609DB"/>
    <w:rsid w:val="00360A31"/>
    <w:rsid w:val="00360A38"/>
    <w:rsid w:val="00360A56"/>
    <w:rsid w:val="00360A6D"/>
    <w:rsid w:val="00360AE5"/>
    <w:rsid w:val="00360AE8"/>
    <w:rsid w:val="00360B29"/>
    <w:rsid w:val="00360B59"/>
    <w:rsid w:val="00360B6A"/>
    <w:rsid w:val="00360BCF"/>
    <w:rsid w:val="00360C69"/>
    <w:rsid w:val="00360CA2"/>
    <w:rsid w:val="00360CE0"/>
    <w:rsid w:val="00360D22"/>
    <w:rsid w:val="00360D64"/>
    <w:rsid w:val="00360DBC"/>
    <w:rsid w:val="00360DC8"/>
    <w:rsid w:val="00360E53"/>
    <w:rsid w:val="00360F5F"/>
    <w:rsid w:val="00360FE1"/>
    <w:rsid w:val="00360FE4"/>
    <w:rsid w:val="00360FF7"/>
    <w:rsid w:val="0036101B"/>
    <w:rsid w:val="003610D5"/>
    <w:rsid w:val="003610DC"/>
    <w:rsid w:val="003611A5"/>
    <w:rsid w:val="003611CE"/>
    <w:rsid w:val="003611D2"/>
    <w:rsid w:val="0036124C"/>
    <w:rsid w:val="0036124F"/>
    <w:rsid w:val="0036129C"/>
    <w:rsid w:val="003612FD"/>
    <w:rsid w:val="00361323"/>
    <w:rsid w:val="00361330"/>
    <w:rsid w:val="00361341"/>
    <w:rsid w:val="00361342"/>
    <w:rsid w:val="0036139E"/>
    <w:rsid w:val="003613C0"/>
    <w:rsid w:val="003614D4"/>
    <w:rsid w:val="00361544"/>
    <w:rsid w:val="00361574"/>
    <w:rsid w:val="003615BC"/>
    <w:rsid w:val="003615CF"/>
    <w:rsid w:val="00361665"/>
    <w:rsid w:val="003616AC"/>
    <w:rsid w:val="003616B3"/>
    <w:rsid w:val="003616C6"/>
    <w:rsid w:val="003616C8"/>
    <w:rsid w:val="003616CB"/>
    <w:rsid w:val="00361845"/>
    <w:rsid w:val="00361866"/>
    <w:rsid w:val="00361915"/>
    <w:rsid w:val="00361949"/>
    <w:rsid w:val="0036196C"/>
    <w:rsid w:val="003619A0"/>
    <w:rsid w:val="003619A4"/>
    <w:rsid w:val="003619E2"/>
    <w:rsid w:val="00361A0B"/>
    <w:rsid w:val="00361BA4"/>
    <w:rsid w:val="00361C29"/>
    <w:rsid w:val="00361C2C"/>
    <w:rsid w:val="00361C77"/>
    <w:rsid w:val="00361C81"/>
    <w:rsid w:val="00361DB4"/>
    <w:rsid w:val="00361DF6"/>
    <w:rsid w:val="00361EEB"/>
    <w:rsid w:val="00361F54"/>
    <w:rsid w:val="00362048"/>
    <w:rsid w:val="00362081"/>
    <w:rsid w:val="003620A2"/>
    <w:rsid w:val="00362111"/>
    <w:rsid w:val="0036218D"/>
    <w:rsid w:val="0036224D"/>
    <w:rsid w:val="00362253"/>
    <w:rsid w:val="0036233D"/>
    <w:rsid w:val="00362359"/>
    <w:rsid w:val="00362362"/>
    <w:rsid w:val="00362388"/>
    <w:rsid w:val="003623BC"/>
    <w:rsid w:val="003623F2"/>
    <w:rsid w:val="00362430"/>
    <w:rsid w:val="0036246D"/>
    <w:rsid w:val="00362471"/>
    <w:rsid w:val="00362521"/>
    <w:rsid w:val="00362531"/>
    <w:rsid w:val="00362539"/>
    <w:rsid w:val="0036253B"/>
    <w:rsid w:val="0036253D"/>
    <w:rsid w:val="00362554"/>
    <w:rsid w:val="0036257A"/>
    <w:rsid w:val="003625A0"/>
    <w:rsid w:val="003625F6"/>
    <w:rsid w:val="00362667"/>
    <w:rsid w:val="0036268A"/>
    <w:rsid w:val="00362712"/>
    <w:rsid w:val="00362720"/>
    <w:rsid w:val="003627CB"/>
    <w:rsid w:val="003627D6"/>
    <w:rsid w:val="003627FB"/>
    <w:rsid w:val="00362808"/>
    <w:rsid w:val="003628F4"/>
    <w:rsid w:val="003628F5"/>
    <w:rsid w:val="00362911"/>
    <w:rsid w:val="00362973"/>
    <w:rsid w:val="00362A51"/>
    <w:rsid w:val="00362A8C"/>
    <w:rsid w:val="00362ADA"/>
    <w:rsid w:val="00362AFA"/>
    <w:rsid w:val="00362B44"/>
    <w:rsid w:val="00362B8C"/>
    <w:rsid w:val="00362C1B"/>
    <w:rsid w:val="00362C79"/>
    <w:rsid w:val="00362CB0"/>
    <w:rsid w:val="00362D1A"/>
    <w:rsid w:val="00362D7F"/>
    <w:rsid w:val="00362D97"/>
    <w:rsid w:val="00362DEA"/>
    <w:rsid w:val="00362E46"/>
    <w:rsid w:val="00362E55"/>
    <w:rsid w:val="00362EAA"/>
    <w:rsid w:val="00362EDC"/>
    <w:rsid w:val="00362F27"/>
    <w:rsid w:val="00362F64"/>
    <w:rsid w:val="00362F6B"/>
    <w:rsid w:val="00362F82"/>
    <w:rsid w:val="003630AA"/>
    <w:rsid w:val="003630EE"/>
    <w:rsid w:val="00363116"/>
    <w:rsid w:val="0036311B"/>
    <w:rsid w:val="00363195"/>
    <w:rsid w:val="003632A7"/>
    <w:rsid w:val="003632E2"/>
    <w:rsid w:val="00363305"/>
    <w:rsid w:val="00363306"/>
    <w:rsid w:val="00363323"/>
    <w:rsid w:val="00363422"/>
    <w:rsid w:val="0036342B"/>
    <w:rsid w:val="0036349A"/>
    <w:rsid w:val="003634D6"/>
    <w:rsid w:val="003635A9"/>
    <w:rsid w:val="00363608"/>
    <w:rsid w:val="00363631"/>
    <w:rsid w:val="0036363D"/>
    <w:rsid w:val="003636A9"/>
    <w:rsid w:val="003636EF"/>
    <w:rsid w:val="00363748"/>
    <w:rsid w:val="0036382A"/>
    <w:rsid w:val="00363842"/>
    <w:rsid w:val="0036384E"/>
    <w:rsid w:val="003638B5"/>
    <w:rsid w:val="003638E9"/>
    <w:rsid w:val="00363947"/>
    <w:rsid w:val="00363A15"/>
    <w:rsid w:val="00363A27"/>
    <w:rsid w:val="00363A6D"/>
    <w:rsid w:val="00363A93"/>
    <w:rsid w:val="00363ADD"/>
    <w:rsid w:val="00363B9E"/>
    <w:rsid w:val="00363BAE"/>
    <w:rsid w:val="00363BBB"/>
    <w:rsid w:val="00363C4C"/>
    <w:rsid w:val="00363C4F"/>
    <w:rsid w:val="00363CD9"/>
    <w:rsid w:val="00363D03"/>
    <w:rsid w:val="00363DCE"/>
    <w:rsid w:val="00363F61"/>
    <w:rsid w:val="00363FD5"/>
    <w:rsid w:val="00363FD9"/>
    <w:rsid w:val="00363FFA"/>
    <w:rsid w:val="0036403D"/>
    <w:rsid w:val="00364053"/>
    <w:rsid w:val="0036406A"/>
    <w:rsid w:val="003640A3"/>
    <w:rsid w:val="003640E4"/>
    <w:rsid w:val="00364121"/>
    <w:rsid w:val="00364127"/>
    <w:rsid w:val="0036413E"/>
    <w:rsid w:val="00364246"/>
    <w:rsid w:val="00364274"/>
    <w:rsid w:val="003642F0"/>
    <w:rsid w:val="003642FD"/>
    <w:rsid w:val="0036437B"/>
    <w:rsid w:val="00364433"/>
    <w:rsid w:val="003644A7"/>
    <w:rsid w:val="003644E2"/>
    <w:rsid w:val="00364609"/>
    <w:rsid w:val="00364644"/>
    <w:rsid w:val="0036473E"/>
    <w:rsid w:val="00364758"/>
    <w:rsid w:val="00364768"/>
    <w:rsid w:val="00364798"/>
    <w:rsid w:val="003647BE"/>
    <w:rsid w:val="003647E8"/>
    <w:rsid w:val="003648B5"/>
    <w:rsid w:val="0036494D"/>
    <w:rsid w:val="003649C3"/>
    <w:rsid w:val="00364A6F"/>
    <w:rsid w:val="00364AB1"/>
    <w:rsid w:val="00364B48"/>
    <w:rsid w:val="00364B61"/>
    <w:rsid w:val="00364B72"/>
    <w:rsid w:val="00364BC2"/>
    <w:rsid w:val="00364C07"/>
    <w:rsid w:val="00364C1E"/>
    <w:rsid w:val="00364C20"/>
    <w:rsid w:val="00364C39"/>
    <w:rsid w:val="00364CC6"/>
    <w:rsid w:val="00364D1A"/>
    <w:rsid w:val="00364D84"/>
    <w:rsid w:val="00364E04"/>
    <w:rsid w:val="00364E15"/>
    <w:rsid w:val="00364E44"/>
    <w:rsid w:val="00364E57"/>
    <w:rsid w:val="00364E8F"/>
    <w:rsid w:val="00364EA7"/>
    <w:rsid w:val="00364F7D"/>
    <w:rsid w:val="0036500A"/>
    <w:rsid w:val="00365054"/>
    <w:rsid w:val="00365065"/>
    <w:rsid w:val="00365104"/>
    <w:rsid w:val="0036513D"/>
    <w:rsid w:val="00365155"/>
    <w:rsid w:val="00365191"/>
    <w:rsid w:val="00365210"/>
    <w:rsid w:val="0036523C"/>
    <w:rsid w:val="00365330"/>
    <w:rsid w:val="003653B0"/>
    <w:rsid w:val="00365424"/>
    <w:rsid w:val="0036545C"/>
    <w:rsid w:val="0036546A"/>
    <w:rsid w:val="00365537"/>
    <w:rsid w:val="0036554A"/>
    <w:rsid w:val="0036554C"/>
    <w:rsid w:val="0036557C"/>
    <w:rsid w:val="003655DE"/>
    <w:rsid w:val="00365640"/>
    <w:rsid w:val="00365671"/>
    <w:rsid w:val="00365683"/>
    <w:rsid w:val="00365687"/>
    <w:rsid w:val="0036572E"/>
    <w:rsid w:val="003657B3"/>
    <w:rsid w:val="003657D1"/>
    <w:rsid w:val="003657FA"/>
    <w:rsid w:val="00365832"/>
    <w:rsid w:val="0036585C"/>
    <w:rsid w:val="00365908"/>
    <w:rsid w:val="00365911"/>
    <w:rsid w:val="0036593C"/>
    <w:rsid w:val="00365A1D"/>
    <w:rsid w:val="00365A29"/>
    <w:rsid w:val="00365A3B"/>
    <w:rsid w:val="00365A5F"/>
    <w:rsid w:val="00365AA8"/>
    <w:rsid w:val="00365ABC"/>
    <w:rsid w:val="00365ACC"/>
    <w:rsid w:val="00365B19"/>
    <w:rsid w:val="00365B49"/>
    <w:rsid w:val="00365B75"/>
    <w:rsid w:val="00365BB1"/>
    <w:rsid w:val="00365BD1"/>
    <w:rsid w:val="00365C7E"/>
    <w:rsid w:val="00365D2F"/>
    <w:rsid w:val="00365D4F"/>
    <w:rsid w:val="00365D72"/>
    <w:rsid w:val="00365D89"/>
    <w:rsid w:val="00365E2C"/>
    <w:rsid w:val="00365E60"/>
    <w:rsid w:val="00366096"/>
    <w:rsid w:val="003660C2"/>
    <w:rsid w:val="003660C4"/>
    <w:rsid w:val="003660CB"/>
    <w:rsid w:val="0036612B"/>
    <w:rsid w:val="0036615C"/>
    <w:rsid w:val="003661E9"/>
    <w:rsid w:val="00366280"/>
    <w:rsid w:val="0036631E"/>
    <w:rsid w:val="00366334"/>
    <w:rsid w:val="00366350"/>
    <w:rsid w:val="00366379"/>
    <w:rsid w:val="00366380"/>
    <w:rsid w:val="00366387"/>
    <w:rsid w:val="003663BE"/>
    <w:rsid w:val="00366418"/>
    <w:rsid w:val="0036642A"/>
    <w:rsid w:val="00366436"/>
    <w:rsid w:val="00366506"/>
    <w:rsid w:val="00366529"/>
    <w:rsid w:val="0036659F"/>
    <w:rsid w:val="003665D9"/>
    <w:rsid w:val="0036661F"/>
    <w:rsid w:val="0036664A"/>
    <w:rsid w:val="0036665F"/>
    <w:rsid w:val="00366709"/>
    <w:rsid w:val="0036679E"/>
    <w:rsid w:val="003667AD"/>
    <w:rsid w:val="003667CF"/>
    <w:rsid w:val="00366822"/>
    <w:rsid w:val="0036682C"/>
    <w:rsid w:val="00366856"/>
    <w:rsid w:val="0036689C"/>
    <w:rsid w:val="00366918"/>
    <w:rsid w:val="0036695F"/>
    <w:rsid w:val="00366970"/>
    <w:rsid w:val="003669C8"/>
    <w:rsid w:val="00366A29"/>
    <w:rsid w:val="00366A7A"/>
    <w:rsid w:val="00366A7B"/>
    <w:rsid w:val="00366AD9"/>
    <w:rsid w:val="00366AFA"/>
    <w:rsid w:val="00366BE0"/>
    <w:rsid w:val="00366C10"/>
    <w:rsid w:val="00366C4C"/>
    <w:rsid w:val="00366C6A"/>
    <w:rsid w:val="00366C74"/>
    <w:rsid w:val="00366CC7"/>
    <w:rsid w:val="00366CCD"/>
    <w:rsid w:val="00366D0A"/>
    <w:rsid w:val="00366DEA"/>
    <w:rsid w:val="00366E6F"/>
    <w:rsid w:val="00366E71"/>
    <w:rsid w:val="00366E79"/>
    <w:rsid w:val="00366EE6"/>
    <w:rsid w:val="00366F4A"/>
    <w:rsid w:val="00366FB2"/>
    <w:rsid w:val="00366FE8"/>
    <w:rsid w:val="0036701A"/>
    <w:rsid w:val="0036707F"/>
    <w:rsid w:val="003670AB"/>
    <w:rsid w:val="003670EF"/>
    <w:rsid w:val="0036710E"/>
    <w:rsid w:val="00367180"/>
    <w:rsid w:val="0036719E"/>
    <w:rsid w:val="003671C7"/>
    <w:rsid w:val="003671D9"/>
    <w:rsid w:val="003671F9"/>
    <w:rsid w:val="0036727C"/>
    <w:rsid w:val="00367285"/>
    <w:rsid w:val="003672AF"/>
    <w:rsid w:val="0036732E"/>
    <w:rsid w:val="0036733A"/>
    <w:rsid w:val="00367360"/>
    <w:rsid w:val="003673C9"/>
    <w:rsid w:val="003675B1"/>
    <w:rsid w:val="003675FB"/>
    <w:rsid w:val="0036769C"/>
    <w:rsid w:val="003676A7"/>
    <w:rsid w:val="00367761"/>
    <w:rsid w:val="003679B1"/>
    <w:rsid w:val="003679F3"/>
    <w:rsid w:val="00367A0D"/>
    <w:rsid w:val="00367A98"/>
    <w:rsid w:val="00367AD7"/>
    <w:rsid w:val="00367ADE"/>
    <w:rsid w:val="00367AF7"/>
    <w:rsid w:val="00367B24"/>
    <w:rsid w:val="00367B44"/>
    <w:rsid w:val="00367B59"/>
    <w:rsid w:val="00367B5C"/>
    <w:rsid w:val="00367B88"/>
    <w:rsid w:val="00367C90"/>
    <w:rsid w:val="00367CB4"/>
    <w:rsid w:val="00367DC1"/>
    <w:rsid w:val="00367E28"/>
    <w:rsid w:val="00367E29"/>
    <w:rsid w:val="00367E2B"/>
    <w:rsid w:val="00367E4E"/>
    <w:rsid w:val="00367E8E"/>
    <w:rsid w:val="00367EA0"/>
    <w:rsid w:val="00367EAE"/>
    <w:rsid w:val="00367ECD"/>
    <w:rsid w:val="00367EDA"/>
    <w:rsid w:val="00367EF5"/>
    <w:rsid w:val="00367F27"/>
    <w:rsid w:val="00367F4A"/>
    <w:rsid w:val="00367F7C"/>
    <w:rsid w:val="00367F89"/>
    <w:rsid w:val="00367FB4"/>
    <w:rsid w:val="00367FEF"/>
    <w:rsid w:val="00370047"/>
    <w:rsid w:val="0037008D"/>
    <w:rsid w:val="003700E2"/>
    <w:rsid w:val="0037010A"/>
    <w:rsid w:val="00370156"/>
    <w:rsid w:val="003701E2"/>
    <w:rsid w:val="003701EF"/>
    <w:rsid w:val="00370208"/>
    <w:rsid w:val="00370247"/>
    <w:rsid w:val="00370250"/>
    <w:rsid w:val="003702D4"/>
    <w:rsid w:val="00370372"/>
    <w:rsid w:val="0037041A"/>
    <w:rsid w:val="00370495"/>
    <w:rsid w:val="00370516"/>
    <w:rsid w:val="0037052A"/>
    <w:rsid w:val="00370541"/>
    <w:rsid w:val="00370548"/>
    <w:rsid w:val="0037058D"/>
    <w:rsid w:val="003705D0"/>
    <w:rsid w:val="0037063A"/>
    <w:rsid w:val="00370656"/>
    <w:rsid w:val="0037067A"/>
    <w:rsid w:val="003706F7"/>
    <w:rsid w:val="00370710"/>
    <w:rsid w:val="00370712"/>
    <w:rsid w:val="00370727"/>
    <w:rsid w:val="0037097C"/>
    <w:rsid w:val="0037099A"/>
    <w:rsid w:val="003709B2"/>
    <w:rsid w:val="00370A08"/>
    <w:rsid w:val="00370A69"/>
    <w:rsid w:val="00370A88"/>
    <w:rsid w:val="00370CC3"/>
    <w:rsid w:val="00370D00"/>
    <w:rsid w:val="00370D02"/>
    <w:rsid w:val="00370D09"/>
    <w:rsid w:val="00370DAF"/>
    <w:rsid w:val="00370DBE"/>
    <w:rsid w:val="00370E27"/>
    <w:rsid w:val="00370E9A"/>
    <w:rsid w:val="00370EAD"/>
    <w:rsid w:val="00370EB4"/>
    <w:rsid w:val="00370EF6"/>
    <w:rsid w:val="00370EFC"/>
    <w:rsid w:val="00370F43"/>
    <w:rsid w:val="00370F6F"/>
    <w:rsid w:val="00370F70"/>
    <w:rsid w:val="00370FCB"/>
    <w:rsid w:val="00371179"/>
    <w:rsid w:val="003711D3"/>
    <w:rsid w:val="0037136B"/>
    <w:rsid w:val="003713A2"/>
    <w:rsid w:val="003713AF"/>
    <w:rsid w:val="003714C4"/>
    <w:rsid w:val="003715CE"/>
    <w:rsid w:val="0037162F"/>
    <w:rsid w:val="00371630"/>
    <w:rsid w:val="003716B6"/>
    <w:rsid w:val="003716FD"/>
    <w:rsid w:val="0037177C"/>
    <w:rsid w:val="0037179E"/>
    <w:rsid w:val="003717D9"/>
    <w:rsid w:val="00371964"/>
    <w:rsid w:val="00371A4D"/>
    <w:rsid w:val="00371AE3"/>
    <w:rsid w:val="00371B10"/>
    <w:rsid w:val="00371BA8"/>
    <w:rsid w:val="00371C34"/>
    <w:rsid w:val="00371CA1"/>
    <w:rsid w:val="00371CAF"/>
    <w:rsid w:val="00371D70"/>
    <w:rsid w:val="00371E38"/>
    <w:rsid w:val="00371EBA"/>
    <w:rsid w:val="00371F12"/>
    <w:rsid w:val="00371FA8"/>
    <w:rsid w:val="00371FCF"/>
    <w:rsid w:val="00372011"/>
    <w:rsid w:val="00372043"/>
    <w:rsid w:val="0037205A"/>
    <w:rsid w:val="00372096"/>
    <w:rsid w:val="0037217A"/>
    <w:rsid w:val="003721C6"/>
    <w:rsid w:val="003721EA"/>
    <w:rsid w:val="00372284"/>
    <w:rsid w:val="003722D1"/>
    <w:rsid w:val="003723EC"/>
    <w:rsid w:val="00372414"/>
    <w:rsid w:val="0037241A"/>
    <w:rsid w:val="00372453"/>
    <w:rsid w:val="003724CD"/>
    <w:rsid w:val="003725D2"/>
    <w:rsid w:val="0037264F"/>
    <w:rsid w:val="00372656"/>
    <w:rsid w:val="0037266E"/>
    <w:rsid w:val="0037272F"/>
    <w:rsid w:val="00372752"/>
    <w:rsid w:val="003727D5"/>
    <w:rsid w:val="003727EE"/>
    <w:rsid w:val="00372823"/>
    <w:rsid w:val="003728DF"/>
    <w:rsid w:val="00372903"/>
    <w:rsid w:val="00372A5D"/>
    <w:rsid w:val="00372AD0"/>
    <w:rsid w:val="00372B30"/>
    <w:rsid w:val="00372B3D"/>
    <w:rsid w:val="00372B64"/>
    <w:rsid w:val="00372BEB"/>
    <w:rsid w:val="00372C10"/>
    <w:rsid w:val="00372C87"/>
    <w:rsid w:val="00372CC9"/>
    <w:rsid w:val="00372CEE"/>
    <w:rsid w:val="00372D6C"/>
    <w:rsid w:val="00372E0C"/>
    <w:rsid w:val="00372EC4"/>
    <w:rsid w:val="00372EF1"/>
    <w:rsid w:val="00372FBB"/>
    <w:rsid w:val="00372FC8"/>
    <w:rsid w:val="00372FEA"/>
    <w:rsid w:val="00373014"/>
    <w:rsid w:val="0037303B"/>
    <w:rsid w:val="00373092"/>
    <w:rsid w:val="003730DA"/>
    <w:rsid w:val="00373105"/>
    <w:rsid w:val="00373179"/>
    <w:rsid w:val="00373182"/>
    <w:rsid w:val="00373186"/>
    <w:rsid w:val="003731BD"/>
    <w:rsid w:val="003733AC"/>
    <w:rsid w:val="003733B8"/>
    <w:rsid w:val="00373459"/>
    <w:rsid w:val="003734F9"/>
    <w:rsid w:val="00373514"/>
    <w:rsid w:val="0037358E"/>
    <w:rsid w:val="003735CD"/>
    <w:rsid w:val="00373652"/>
    <w:rsid w:val="00373773"/>
    <w:rsid w:val="00373781"/>
    <w:rsid w:val="003737B3"/>
    <w:rsid w:val="003737EA"/>
    <w:rsid w:val="00373848"/>
    <w:rsid w:val="003738A6"/>
    <w:rsid w:val="003738AC"/>
    <w:rsid w:val="003738C4"/>
    <w:rsid w:val="00373905"/>
    <w:rsid w:val="0037399B"/>
    <w:rsid w:val="003739AE"/>
    <w:rsid w:val="003739AF"/>
    <w:rsid w:val="003739D1"/>
    <w:rsid w:val="00373A29"/>
    <w:rsid w:val="00373A46"/>
    <w:rsid w:val="00373A6E"/>
    <w:rsid w:val="00373AA6"/>
    <w:rsid w:val="00373AA7"/>
    <w:rsid w:val="00373AC1"/>
    <w:rsid w:val="00373ADA"/>
    <w:rsid w:val="00373AEC"/>
    <w:rsid w:val="00373B20"/>
    <w:rsid w:val="00373B72"/>
    <w:rsid w:val="00373B86"/>
    <w:rsid w:val="00373CB6"/>
    <w:rsid w:val="00373D5A"/>
    <w:rsid w:val="00373D99"/>
    <w:rsid w:val="00373E54"/>
    <w:rsid w:val="00373F10"/>
    <w:rsid w:val="00373F35"/>
    <w:rsid w:val="00373F4D"/>
    <w:rsid w:val="00373F6C"/>
    <w:rsid w:val="00373F7C"/>
    <w:rsid w:val="00374022"/>
    <w:rsid w:val="0037404E"/>
    <w:rsid w:val="00374073"/>
    <w:rsid w:val="00374092"/>
    <w:rsid w:val="003740BB"/>
    <w:rsid w:val="003740E5"/>
    <w:rsid w:val="00374149"/>
    <w:rsid w:val="00374196"/>
    <w:rsid w:val="003741B2"/>
    <w:rsid w:val="003741E2"/>
    <w:rsid w:val="003741EA"/>
    <w:rsid w:val="003742D3"/>
    <w:rsid w:val="0037436D"/>
    <w:rsid w:val="00374433"/>
    <w:rsid w:val="00374539"/>
    <w:rsid w:val="0037454C"/>
    <w:rsid w:val="0037454E"/>
    <w:rsid w:val="0037456F"/>
    <w:rsid w:val="0037461B"/>
    <w:rsid w:val="003746B6"/>
    <w:rsid w:val="003746EC"/>
    <w:rsid w:val="00374708"/>
    <w:rsid w:val="00374744"/>
    <w:rsid w:val="003747BA"/>
    <w:rsid w:val="003748D0"/>
    <w:rsid w:val="003748F9"/>
    <w:rsid w:val="0037494A"/>
    <w:rsid w:val="003749B3"/>
    <w:rsid w:val="003749C3"/>
    <w:rsid w:val="003749E1"/>
    <w:rsid w:val="00374A01"/>
    <w:rsid w:val="00374A64"/>
    <w:rsid w:val="00374A8B"/>
    <w:rsid w:val="00374AAB"/>
    <w:rsid w:val="00374ABA"/>
    <w:rsid w:val="00374B0C"/>
    <w:rsid w:val="00374B3C"/>
    <w:rsid w:val="00374B52"/>
    <w:rsid w:val="00374BD4"/>
    <w:rsid w:val="00374BE3"/>
    <w:rsid w:val="00374C6D"/>
    <w:rsid w:val="00374CED"/>
    <w:rsid w:val="00374D28"/>
    <w:rsid w:val="00374D43"/>
    <w:rsid w:val="00374E01"/>
    <w:rsid w:val="00374E10"/>
    <w:rsid w:val="00374E2B"/>
    <w:rsid w:val="00374EA3"/>
    <w:rsid w:val="00374F0E"/>
    <w:rsid w:val="00374F1B"/>
    <w:rsid w:val="00374F9B"/>
    <w:rsid w:val="0037502E"/>
    <w:rsid w:val="003750CA"/>
    <w:rsid w:val="003750E4"/>
    <w:rsid w:val="003750EC"/>
    <w:rsid w:val="00375132"/>
    <w:rsid w:val="003751C5"/>
    <w:rsid w:val="00375209"/>
    <w:rsid w:val="00375216"/>
    <w:rsid w:val="0037525F"/>
    <w:rsid w:val="00375336"/>
    <w:rsid w:val="0037534B"/>
    <w:rsid w:val="003753CE"/>
    <w:rsid w:val="003753D1"/>
    <w:rsid w:val="00375454"/>
    <w:rsid w:val="003755E9"/>
    <w:rsid w:val="003755ED"/>
    <w:rsid w:val="00375633"/>
    <w:rsid w:val="00375663"/>
    <w:rsid w:val="003756C5"/>
    <w:rsid w:val="0037570D"/>
    <w:rsid w:val="0037571F"/>
    <w:rsid w:val="00375781"/>
    <w:rsid w:val="00375799"/>
    <w:rsid w:val="00375814"/>
    <w:rsid w:val="003758AD"/>
    <w:rsid w:val="00375963"/>
    <w:rsid w:val="00375964"/>
    <w:rsid w:val="0037597D"/>
    <w:rsid w:val="003759B4"/>
    <w:rsid w:val="003759B6"/>
    <w:rsid w:val="00375A2B"/>
    <w:rsid w:val="00375A4F"/>
    <w:rsid w:val="00375A81"/>
    <w:rsid w:val="00375A96"/>
    <w:rsid w:val="00375AE0"/>
    <w:rsid w:val="00375AFC"/>
    <w:rsid w:val="00375B00"/>
    <w:rsid w:val="00375B96"/>
    <w:rsid w:val="00375CD9"/>
    <w:rsid w:val="00375CEA"/>
    <w:rsid w:val="00375D05"/>
    <w:rsid w:val="00375D2F"/>
    <w:rsid w:val="00375D62"/>
    <w:rsid w:val="00375D6F"/>
    <w:rsid w:val="00375D9C"/>
    <w:rsid w:val="00375E2F"/>
    <w:rsid w:val="00375E5B"/>
    <w:rsid w:val="00375EB2"/>
    <w:rsid w:val="00375ECC"/>
    <w:rsid w:val="00375EF2"/>
    <w:rsid w:val="00375FCB"/>
    <w:rsid w:val="00375FD6"/>
    <w:rsid w:val="0037608A"/>
    <w:rsid w:val="0037608B"/>
    <w:rsid w:val="0037609D"/>
    <w:rsid w:val="003760A4"/>
    <w:rsid w:val="003760BF"/>
    <w:rsid w:val="003760E0"/>
    <w:rsid w:val="003760F3"/>
    <w:rsid w:val="00376119"/>
    <w:rsid w:val="00376209"/>
    <w:rsid w:val="0037628E"/>
    <w:rsid w:val="003763D0"/>
    <w:rsid w:val="003763E3"/>
    <w:rsid w:val="0037640C"/>
    <w:rsid w:val="00376413"/>
    <w:rsid w:val="0037647A"/>
    <w:rsid w:val="003764B5"/>
    <w:rsid w:val="003764F5"/>
    <w:rsid w:val="00376507"/>
    <w:rsid w:val="003765CC"/>
    <w:rsid w:val="003765D0"/>
    <w:rsid w:val="00376628"/>
    <w:rsid w:val="00376631"/>
    <w:rsid w:val="0037664E"/>
    <w:rsid w:val="00376650"/>
    <w:rsid w:val="003766A3"/>
    <w:rsid w:val="003766F8"/>
    <w:rsid w:val="00376738"/>
    <w:rsid w:val="003767F4"/>
    <w:rsid w:val="003767FC"/>
    <w:rsid w:val="00376814"/>
    <w:rsid w:val="00376831"/>
    <w:rsid w:val="00376859"/>
    <w:rsid w:val="0037685F"/>
    <w:rsid w:val="00376904"/>
    <w:rsid w:val="0037692D"/>
    <w:rsid w:val="0037693F"/>
    <w:rsid w:val="00376953"/>
    <w:rsid w:val="00376A14"/>
    <w:rsid w:val="00376A53"/>
    <w:rsid w:val="00376A6A"/>
    <w:rsid w:val="00376B1F"/>
    <w:rsid w:val="00376B49"/>
    <w:rsid w:val="00376B5F"/>
    <w:rsid w:val="00376B69"/>
    <w:rsid w:val="00376B76"/>
    <w:rsid w:val="00376BA3"/>
    <w:rsid w:val="00376C39"/>
    <w:rsid w:val="00376D38"/>
    <w:rsid w:val="00376DFA"/>
    <w:rsid w:val="00376EBF"/>
    <w:rsid w:val="00376F0E"/>
    <w:rsid w:val="00376F5F"/>
    <w:rsid w:val="00376F62"/>
    <w:rsid w:val="00376F66"/>
    <w:rsid w:val="00376F9A"/>
    <w:rsid w:val="003770CB"/>
    <w:rsid w:val="0037715F"/>
    <w:rsid w:val="00377195"/>
    <w:rsid w:val="00377231"/>
    <w:rsid w:val="00377248"/>
    <w:rsid w:val="0037728E"/>
    <w:rsid w:val="003772E1"/>
    <w:rsid w:val="003772E8"/>
    <w:rsid w:val="003772ED"/>
    <w:rsid w:val="00377305"/>
    <w:rsid w:val="003773FB"/>
    <w:rsid w:val="00377416"/>
    <w:rsid w:val="00377449"/>
    <w:rsid w:val="00377471"/>
    <w:rsid w:val="00377493"/>
    <w:rsid w:val="003774C0"/>
    <w:rsid w:val="003774E3"/>
    <w:rsid w:val="003774F9"/>
    <w:rsid w:val="00377586"/>
    <w:rsid w:val="00377587"/>
    <w:rsid w:val="003775C0"/>
    <w:rsid w:val="00377613"/>
    <w:rsid w:val="003776AE"/>
    <w:rsid w:val="003776C0"/>
    <w:rsid w:val="003776C6"/>
    <w:rsid w:val="00377754"/>
    <w:rsid w:val="003777AF"/>
    <w:rsid w:val="003777B3"/>
    <w:rsid w:val="00377895"/>
    <w:rsid w:val="003778E2"/>
    <w:rsid w:val="0037795C"/>
    <w:rsid w:val="00377963"/>
    <w:rsid w:val="00377986"/>
    <w:rsid w:val="003779D2"/>
    <w:rsid w:val="00377ACD"/>
    <w:rsid w:val="00377AD6"/>
    <w:rsid w:val="00377AEC"/>
    <w:rsid w:val="00377BAA"/>
    <w:rsid w:val="00377C7D"/>
    <w:rsid w:val="00377C8A"/>
    <w:rsid w:val="00377CF6"/>
    <w:rsid w:val="00377D0D"/>
    <w:rsid w:val="00377D33"/>
    <w:rsid w:val="00377D5E"/>
    <w:rsid w:val="00377D8B"/>
    <w:rsid w:val="00377DB3"/>
    <w:rsid w:val="00377E30"/>
    <w:rsid w:val="00377E5F"/>
    <w:rsid w:val="00377E81"/>
    <w:rsid w:val="00377EC8"/>
    <w:rsid w:val="00377FB8"/>
    <w:rsid w:val="00380199"/>
    <w:rsid w:val="00380261"/>
    <w:rsid w:val="003802B6"/>
    <w:rsid w:val="003802DF"/>
    <w:rsid w:val="00380364"/>
    <w:rsid w:val="003803FD"/>
    <w:rsid w:val="00380453"/>
    <w:rsid w:val="00380495"/>
    <w:rsid w:val="003804F2"/>
    <w:rsid w:val="00380547"/>
    <w:rsid w:val="003805A1"/>
    <w:rsid w:val="003805B3"/>
    <w:rsid w:val="00380657"/>
    <w:rsid w:val="003806F1"/>
    <w:rsid w:val="00380710"/>
    <w:rsid w:val="00380712"/>
    <w:rsid w:val="00380752"/>
    <w:rsid w:val="00380754"/>
    <w:rsid w:val="00380860"/>
    <w:rsid w:val="00380909"/>
    <w:rsid w:val="00380917"/>
    <w:rsid w:val="00380974"/>
    <w:rsid w:val="003809A3"/>
    <w:rsid w:val="00380B12"/>
    <w:rsid w:val="00380B35"/>
    <w:rsid w:val="00380BA7"/>
    <w:rsid w:val="00380C0C"/>
    <w:rsid w:val="00380C54"/>
    <w:rsid w:val="00380C77"/>
    <w:rsid w:val="00380C8B"/>
    <w:rsid w:val="00380CA4"/>
    <w:rsid w:val="00380CC8"/>
    <w:rsid w:val="00380DDA"/>
    <w:rsid w:val="00380DE5"/>
    <w:rsid w:val="00380E41"/>
    <w:rsid w:val="00380E7F"/>
    <w:rsid w:val="00380EB8"/>
    <w:rsid w:val="00380EC4"/>
    <w:rsid w:val="00380F2E"/>
    <w:rsid w:val="00380F34"/>
    <w:rsid w:val="00380F41"/>
    <w:rsid w:val="00380F7B"/>
    <w:rsid w:val="00380F91"/>
    <w:rsid w:val="00380F95"/>
    <w:rsid w:val="00380FA5"/>
    <w:rsid w:val="0038103A"/>
    <w:rsid w:val="00381111"/>
    <w:rsid w:val="00381126"/>
    <w:rsid w:val="0038112F"/>
    <w:rsid w:val="00381177"/>
    <w:rsid w:val="003811A9"/>
    <w:rsid w:val="003811C1"/>
    <w:rsid w:val="00381200"/>
    <w:rsid w:val="00381208"/>
    <w:rsid w:val="00381211"/>
    <w:rsid w:val="00381215"/>
    <w:rsid w:val="00381235"/>
    <w:rsid w:val="003812B9"/>
    <w:rsid w:val="00381310"/>
    <w:rsid w:val="00381396"/>
    <w:rsid w:val="003813D7"/>
    <w:rsid w:val="00381431"/>
    <w:rsid w:val="0038159F"/>
    <w:rsid w:val="00381627"/>
    <w:rsid w:val="00381650"/>
    <w:rsid w:val="00381796"/>
    <w:rsid w:val="00381797"/>
    <w:rsid w:val="003817F2"/>
    <w:rsid w:val="003817FF"/>
    <w:rsid w:val="003818DD"/>
    <w:rsid w:val="00381992"/>
    <w:rsid w:val="00381999"/>
    <w:rsid w:val="003819C1"/>
    <w:rsid w:val="003819D8"/>
    <w:rsid w:val="003819DB"/>
    <w:rsid w:val="00381ACC"/>
    <w:rsid w:val="00381C0E"/>
    <w:rsid w:val="00381C38"/>
    <w:rsid w:val="00381C46"/>
    <w:rsid w:val="00381C73"/>
    <w:rsid w:val="00381C8D"/>
    <w:rsid w:val="00381C95"/>
    <w:rsid w:val="00381DC8"/>
    <w:rsid w:val="00381DD2"/>
    <w:rsid w:val="00381DD8"/>
    <w:rsid w:val="00381E4F"/>
    <w:rsid w:val="00381E58"/>
    <w:rsid w:val="00381E9D"/>
    <w:rsid w:val="00381EDA"/>
    <w:rsid w:val="00381F02"/>
    <w:rsid w:val="00381F0D"/>
    <w:rsid w:val="00381F73"/>
    <w:rsid w:val="00381F80"/>
    <w:rsid w:val="0038213F"/>
    <w:rsid w:val="00382158"/>
    <w:rsid w:val="003821C0"/>
    <w:rsid w:val="003821C5"/>
    <w:rsid w:val="0038224C"/>
    <w:rsid w:val="00382269"/>
    <w:rsid w:val="0038226D"/>
    <w:rsid w:val="003822E5"/>
    <w:rsid w:val="003823C4"/>
    <w:rsid w:val="003823C9"/>
    <w:rsid w:val="003823CB"/>
    <w:rsid w:val="00382423"/>
    <w:rsid w:val="00382479"/>
    <w:rsid w:val="00382487"/>
    <w:rsid w:val="00382538"/>
    <w:rsid w:val="00382544"/>
    <w:rsid w:val="00382570"/>
    <w:rsid w:val="0038257F"/>
    <w:rsid w:val="003825BB"/>
    <w:rsid w:val="003825BE"/>
    <w:rsid w:val="0038269D"/>
    <w:rsid w:val="00382784"/>
    <w:rsid w:val="0038278B"/>
    <w:rsid w:val="003827F4"/>
    <w:rsid w:val="003829FF"/>
    <w:rsid w:val="00382A32"/>
    <w:rsid w:val="00382A96"/>
    <w:rsid w:val="00382B3F"/>
    <w:rsid w:val="00382B78"/>
    <w:rsid w:val="00382B79"/>
    <w:rsid w:val="00382BA0"/>
    <w:rsid w:val="00382BC1"/>
    <w:rsid w:val="00382BD8"/>
    <w:rsid w:val="00382C08"/>
    <w:rsid w:val="00382C10"/>
    <w:rsid w:val="00382C7E"/>
    <w:rsid w:val="00382CE9"/>
    <w:rsid w:val="00382D51"/>
    <w:rsid w:val="00382D9E"/>
    <w:rsid w:val="00382E00"/>
    <w:rsid w:val="00382E0F"/>
    <w:rsid w:val="00382EF1"/>
    <w:rsid w:val="00382F46"/>
    <w:rsid w:val="00382F88"/>
    <w:rsid w:val="0038304C"/>
    <w:rsid w:val="00383114"/>
    <w:rsid w:val="00383135"/>
    <w:rsid w:val="00383179"/>
    <w:rsid w:val="0038324C"/>
    <w:rsid w:val="0038325F"/>
    <w:rsid w:val="00383300"/>
    <w:rsid w:val="00383433"/>
    <w:rsid w:val="00383536"/>
    <w:rsid w:val="003835C7"/>
    <w:rsid w:val="00383675"/>
    <w:rsid w:val="00383690"/>
    <w:rsid w:val="003836A1"/>
    <w:rsid w:val="00383707"/>
    <w:rsid w:val="0038389B"/>
    <w:rsid w:val="003838BF"/>
    <w:rsid w:val="003838E6"/>
    <w:rsid w:val="00383914"/>
    <w:rsid w:val="00383967"/>
    <w:rsid w:val="00383983"/>
    <w:rsid w:val="00383998"/>
    <w:rsid w:val="003839BB"/>
    <w:rsid w:val="003839EA"/>
    <w:rsid w:val="00383A88"/>
    <w:rsid w:val="00383AD4"/>
    <w:rsid w:val="00383AFE"/>
    <w:rsid w:val="00383B4B"/>
    <w:rsid w:val="00383BD3"/>
    <w:rsid w:val="00383C26"/>
    <w:rsid w:val="00383C2C"/>
    <w:rsid w:val="00383D15"/>
    <w:rsid w:val="00383D33"/>
    <w:rsid w:val="00383D6A"/>
    <w:rsid w:val="00383D72"/>
    <w:rsid w:val="00383E70"/>
    <w:rsid w:val="00383EA1"/>
    <w:rsid w:val="00383F06"/>
    <w:rsid w:val="00383F98"/>
    <w:rsid w:val="00384007"/>
    <w:rsid w:val="003840FD"/>
    <w:rsid w:val="00384119"/>
    <w:rsid w:val="00384141"/>
    <w:rsid w:val="003841EE"/>
    <w:rsid w:val="003841F5"/>
    <w:rsid w:val="00384252"/>
    <w:rsid w:val="003843D3"/>
    <w:rsid w:val="00384498"/>
    <w:rsid w:val="0038449D"/>
    <w:rsid w:val="003844C9"/>
    <w:rsid w:val="00384577"/>
    <w:rsid w:val="0038472A"/>
    <w:rsid w:val="00384770"/>
    <w:rsid w:val="00384806"/>
    <w:rsid w:val="00384830"/>
    <w:rsid w:val="00384845"/>
    <w:rsid w:val="00384886"/>
    <w:rsid w:val="003848E0"/>
    <w:rsid w:val="003848E4"/>
    <w:rsid w:val="003848F3"/>
    <w:rsid w:val="00384971"/>
    <w:rsid w:val="003849A9"/>
    <w:rsid w:val="003849B7"/>
    <w:rsid w:val="00384A0A"/>
    <w:rsid w:val="00384A16"/>
    <w:rsid w:val="00384AE4"/>
    <w:rsid w:val="00384B49"/>
    <w:rsid w:val="00384BD5"/>
    <w:rsid w:val="00384BD6"/>
    <w:rsid w:val="00384C35"/>
    <w:rsid w:val="00384C38"/>
    <w:rsid w:val="00384C70"/>
    <w:rsid w:val="00384C79"/>
    <w:rsid w:val="00384C80"/>
    <w:rsid w:val="00384CFF"/>
    <w:rsid w:val="00384D6D"/>
    <w:rsid w:val="00384D75"/>
    <w:rsid w:val="00384E2E"/>
    <w:rsid w:val="00384E39"/>
    <w:rsid w:val="00384F05"/>
    <w:rsid w:val="00384F49"/>
    <w:rsid w:val="00384F5D"/>
    <w:rsid w:val="00384F90"/>
    <w:rsid w:val="00385062"/>
    <w:rsid w:val="00385069"/>
    <w:rsid w:val="00385139"/>
    <w:rsid w:val="003851AA"/>
    <w:rsid w:val="003851BD"/>
    <w:rsid w:val="003851CD"/>
    <w:rsid w:val="00385375"/>
    <w:rsid w:val="0038538D"/>
    <w:rsid w:val="003853BF"/>
    <w:rsid w:val="0038540D"/>
    <w:rsid w:val="00385454"/>
    <w:rsid w:val="0038549A"/>
    <w:rsid w:val="003854C0"/>
    <w:rsid w:val="003854D1"/>
    <w:rsid w:val="00385506"/>
    <w:rsid w:val="0038554F"/>
    <w:rsid w:val="00385562"/>
    <w:rsid w:val="00385568"/>
    <w:rsid w:val="003855C2"/>
    <w:rsid w:val="00385655"/>
    <w:rsid w:val="0038568A"/>
    <w:rsid w:val="00385694"/>
    <w:rsid w:val="0038569C"/>
    <w:rsid w:val="0038569D"/>
    <w:rsid w:val="003856D5"/>
    <w:rsid w:val="003856DB"/>
    <w:rsid w:val="00385714"/>
    <w:rsid w:val="00385721"/>
    <w:rsid w:val="00385774"/>
    <w:rsid w:val="0038579B"/>
    <w:rsid w:val="0038586C"/>
    <w:rsid w:val="0038587B"/>
    <w:rsid w:val="00385902"/>
    <w:rsid w:val="00385940"/>
    <w:rsid w:val="00385971"/>
    <w:rsid w:val="00385978"/>
    <w:rsid w:val="00385A20"/>
    <w:rsid w:val="00385B38"/>
    <w:rsid w:val="00385B4A"/>
    <w:rsid w:val="00385B65"/>
    <w:rsid w:val="00385BE3"/>
    <w:rsid w:val="00385C4B"/>
    <w:rsid w:val="00385C96"/>
    <w:rsid w:val="00385D1E"/>
    <w:rsid w:val="00385D26"/>
    <w:rsid w:val="00385D8A"/>
    <w:rsid w:val="00385D8E"/>
    <w:rsid w:val="00385E3A"/>
    <w:rsid w:val="00385E4B"/>
    <w:rsid w:val="00385E4C"/>
    <w:rsid w:val="00385F05"/>
    <w:rsid w:val="00385F06"/>
    <w:rsid w:val="00385F14"/>
    <w:rsid w:val="00385F21"/>
    <w:rsid w:val="00385F36"/>
    <w:rsid w:val="00385F3E"/>
    <w:rsid w:val="00385F54"/>
    <w:rsid w:val="00385F88"/>
    <w:rsid w:val="00386058"/>
    <w:rsid w:val="003860B8"/>
    <w:rsid w:val="003860EC"/>
    <w:rsid w:val="003860FC"/>
    <w:rsid w:val="00386138"/>
    <w:rsid w:val="0038616B"/>
    <w:rsid w:val="003861DE"/>
    <w:rsid w:val="0038621F"/>
    <w:rsid w:val="00386226"/>
    <w:rsid w:val="003862C0"/>
    <w:rsid w:val="003862DC"/>
    <w:rsid w:val="003862EC"/>
    <w:rsid w:val="0038635D"/>
    <w:rsid w:val="00386379"/>
    <w:rsid w:val="003863EE"/>
    <w:rsid w:val="003863F2"/>
    <w:rsid w:val="00386408"/>
    <w:rsid w:val="00386414"/>
    <w:rsid w:val="0038647D"/>
    <w:rsid w:val="003864AE"/>
    <w:rsid w:val="003865C3"/>
    <w:rsid w:val="00386629"/>
    <w:rsid w:val="00386640"/>
    <w:rsid w:val="00386642"/>
    <w:rsid w:val="00386686"/>
    <w:rsid w:val="0038669D"/>
    <w:rsid w:val="003866C2"/>
    <w:rsid w:val="00386706"/>
    <w:rsid w:val="0038677D"/>
    <w:rsid w:val="003867A0"/>
    <w:rsid w:val="0038687C"/>
    <w:rsid w:val="003869A1"/>
    <w:rsid w:val="00386A83"/>
    <w:rsid w:val="00386AFB"/>
    <w:rsid w:val="00386B29"/>
    <w:rsid w:val="00386B75"/>
    <w:rsid w:val="00386C46"/>
    <w:rsid w:val="00386CD8"/>
    <w:rsid w:val="00386CE6"/>
    <w:rsid w:val="00386DCB"/>
    <w:rsid w:val="00386E50"/>
    <w:rsid w:val="00386E81"/>
    <w:rsid w:val="00386EF7"/>
    <w:rsid w:val="00386FD7"/>
    <w:rsid w:val="00386FD9"/>
    <w:rsid w:val="00387055"/>
    <w:rsid w:val="00387092"/>
    <w:rsid w:val="0038709E"/>
    <w:rsid w:val="003870B1"/>
    <w:rsid w:val="003870B5"/>
    <w:rsid w:val="003870DD"/>
    <w:rsid w:val="003870EA"/>
    <w:rsid w:val="003871BC"/>
    <w:rsid w:val="0038728D"/>
    <w:rsid w:val="003872C4"/>
    <w:rsid w:val="003873B7"/>
    <w:rsid w:val="00387416"/>
    <w:rsid w:val="00387453"/>
    <w:rsid w:val="003874AA"/>
    <w:rsid w:val="003874E6"/>
    <w:rsid w:val="0038758D"/>
    <w:rsid w:val="003875A0"/>
    <w:rsid w:val="003875E1"/>
    <w:rsid w:val="003875E8"/>
    <w:rsid w:val="00387618"/>
    <w:rsid w:val="00387620"/>
    <w:rsid w:val="003876D4"/>
    <w:rsid w:val="00387705"/>
    <w:rsid w:val="00387707"/>
    <w:rsid w:val="0038770F"/>
    <w:rsid w:val="00387754"/>
    <w:rsid w:val="0038777C"/>
    <w:rsid w:val="003877F8"/>
    <w:rsid w:val="0038789C"/>
    <w:rsid w:val="00387998"/>
    <w:rsid w:val="00387A12"/>
    <w:rsid w:val="00387A2D"/>
    <w:rsid w:val="00387A72"/>
    <w:rsid w:val="00387AF3"/>
    <w:rsid w:val="00387B0E"/>
    <w:rsid w:val="00387B4C"/>
    <w:rsid w:val="00387B99"/>
    <w:rsid w:val="00387BA0"/>
    <w:rsid w:val="00387BBA"/>
    <w:rsid w:val="00387C99"/>
    <w:rsid w:val="00387CCD"/>
    <w:rsid w:val="00387CD5"/>
    <w:rsid w:val="00387CEF"/>
    <w:rsid w:val="00387D1C"/>
    <w:rsid w:val="00387D56"/>
    <w:rsid w:val="00387DD9"/>
    <w:rsid w:val="00387E5E"/>
    <w:rsid w:val="00387FD9"/>
    <w:rsid w:val="0039007B"/>
    <w:rsid w:val="00390096"/>
    <w:rsid w:val="003900D3"/>
    <w:rsid w:val="003900FB"/>
    <w:rsid w:val="00390110"/>
    <w:rsid w:val="00390117"/>
    <w:rsid w:val="00390136"/>
    <w:rsid w:val="0039023E"/>
    <w:rsid w:val="003902A1"/>
    <w:rsid w:val="003902A8"/>
    <w:rsid w:val="003902B2"/>
    <w:rsid w:val="003902B3"/>
    <w:rsid w:val="003902CB"/>
    <w:rsid w:val="003903A9"/>
    <w:rsid w:val="00390456"/>
    <w:rsid w:val="003904A9"/>
    <w:rsid w:val="003904AD"/>
    <w:rsid w:val="003904D6"/>
    <w:rsid w:val="003904DF"/>
    <w:rsid w:val="003904ED"/>
    <w:rsid w:val="00390507"/>
    <w:rsid w:val="0039055A"/>
    <w:rsid w:val="0039057C"/>
    <w:rsid w:val="00390611"/>
    <w:rsid w:val="0039066B"/>
    <w:rsid w:val="00390675"/>
    <w:rsid w:val="003906F7"/>
    <w:rsid w:val="00390705"/>
    <w:rsid w:val="0039072B"/>
    <w:rsid w:val="003907A7"/>
    <w:rsid w:val="003907D1"/>
    <w:rsid w:val="00390801"/>
    <w:rsid w:val="0039080C"/>
    <w:rsid w:val="00390831"/>
    <w:rsid w:val="0039088F"/>
    <w:rsid w:val="0039098D"/>
    <w:rsid w:val="003909E6"/>
    <w:rsid w:val="00390A2B"/>
    <w:rsid w:val="00390A8A"/>
    <w:rsid w:val="00390AA7"/>
    <w:rsid w:val="00390ACB"/>
    <w:rsid w:val="00390B0C"/>
    <w:rsid w:val="00390B1F"/>
    <w:rsid w:val="00390C0B"/>
    <w:rsid w:val="00390CBD"/>
    <w:rsid w:val="00390D1E"/>
    <w:rsid w:val="00390D2B"/>
    <w:rsid w:val="00390D5D"/>
    <w:rsid w:val="00390D67"/>
    <w:rsid w:val="00390DB0"/>
    <w:rsid w:val="00390E00"/>
    <w:rsid w:val="00390F55"/>
    <w:rsid w:val="00390FF2"/>
    <w:rsid w:val="0039104F"/>
    <w:rsid w:val="00391077"/>
    <w:rsid w:val="003910A2"/>
    <w:rsid w:val="00391182"/>
    <w:rsid w:val="00391191"/>
    <w:rsid w:val="003911A2"/>
    <w:rsid w:val="003912A4"/>
    <w:rsid w:val="003912A7"/>
    <w:rsid w:val="003912EA"/>
    <w:rsid w:val="003912F3"/>
    <w:rsid w:val="003913B6"/>
    <w:rsid w:val="0039140B"/>
    <w:rsid w:val="0039143F"/>
    <w:rsid w:val="00391463"/>
    <w:rsid w:val="00391551"/>
    <w:rsid w:val="00391574"/>
    <w:rsid w:val="003915D4"/>
    <w:rsid w:val="00391615"/>
    <w:rsid w:val="0039161D"/>
    <w:rsid w:val="00391642"/>
    <w:rsid w:val="0039164D"/>
    <w:rsid w:val="00391670"/>
    <w:rsid w:val="003916FB"/>
    <w:rsid w:val="00391733"/>
    <w:rsid w:val="00391754"/>
    <w:rsid w:val="0039186A"/>
    <w:rsid w:val="003918B7"/>
    <w:rsid w:val="0039193F"/>
    <w:rsid w:val="0039197E"/>
    <w:rsid w:val="0039198B"/>
    <w:rsid w:val="0039199C"/>
    <w:rsid w:val="003919F6"/>
    <w:rsid w:val="00391A4B"/>
    <w:rsid w:val="00391A9A"/>
    <w:rsid w:val="00391ACA"/>
    <w:rsid w:val="00391B81"/>
    <w:rsid w:val="00391B90"/>
    <w:rsid w:val="00391BB8"/>
    <w:rsid w:val="00391BF6"/>
    <w:rsid w:val="00391C5B"/>
    <w:rsid w:val="00391CFB"/>
    <w:rsid w:val="00391D91"/>
    <w:rsid w:val="00391DAF"/>
    <w:rsid w:val="00391E0A"/>
    <w:rsid w:val="00391E0B"/>
    <w:rsid w:val="00391E1E"/>
    <w:rsid w:val="00391E45"/>
    <w:rsid w:val="00391E85"/>
    <w:rsid w:val="00391EFC"/>
    <w:rsid w:val="00391FD1"/>
    <w:rsid w:val="00391FDD"/>
    <w:rsid w:val="00391FE4"/>
    <w:rsid w:val="0039206F"/>
    <w:rsid w:val="00392072"/>
    <w:rsid w:val="00392096"/>
    <w:rsid w:val="003920E9"/>
    <w:rsid w:val="003921BD"/>
    <w:rsid w:val="0039221D"/>
    <w:rsid w:val="0039223F"/>
    <w:rsid w:val="00392244"/>
    <w:rsid w:val="003922FA"/>
    <w:rsid w:val="00392337"/>
    <w:rsid w:val="00392347"/>
    <w:rsid w:val="0039237D"/>
    <w:rsid w:val="003923AC"/>
    <w:rsid w:val="00392415"/>
    <w:rsid w:val="00392437"/>
    <w:rsid w:val="00392510"/>
    <w:rsid w:val="00392553"/>
    <w:rsid w:val="00392559"/>
    <w:rsid w:val="00392575"/>
    <w:rsid w:val="00392644"/>
    <w:rsid w:val="00392669"/>
    <w:rsid w:val="0039268C"/>
    <w:rsid w:val="0039273B"/>
    <w:rsid w:val="00392740"/>
    <w:rsid w:val="0039278E"/>
    <w:rsid w:val="00392801"/>
    <w:rsid w:val="003928B8"/>
    <w:rsid w:val="003928BF"/>
    <w:rsid w:val="003928E7"/>
    <w:rsid w:val="00392964"/>
    <w:rsid w:val="003929C3"/>
    <w:rsid w:val="003929E8"/>
    <w:rsid w:val="00392A0C"/>
    <w:rsid w:val="00392A3F"/>
    <w:rsid w:val="00392AAC"/>
    <w:rsid w:val="00392ACB"/>
    <w:rsid w:val="00392BAB"/>
    <w:rsid w:val="00392BDE"/>
    <w:rsid w:val="00392C09"/>
    <w:rsid w:val="00392C19"/>
    <w:rsid w:val="00392C66"/>
    <w:rsid w:val="00392D4A"/>
    <w:rsid w:val="00392D57"/>
    <w:rsid w:val="00392E11"/>
    <w:rsid w:val="00392E2C"/>
    <w:rsid w:val="00392F5E"/>
    <w:rsid w:val="00392F64"/>
    <w:rsid w:val="00392F73"/>
    <w:rsid w:val="00392F8F"/>
    <w:rsid w:val="00392F97"/>
    <w:rsid w:val="00392FBD"/>
    <w:rsid w:val="00393012"/>
    <w:rsid w:val="00393056"/>
    <w:rsid w:val="00393144"/>
    <w:rsid w:val="00393192"/>
    <w:rsid w:val="0039319A"/>
    <w:rsid w:val="003931AE"/>
    <w:rsid w:val="003931B3"/>
    <w:rsid w:val="00393240"/>
    <w:rsid w:val="0039326C"/>
    <w:rsid w:val="003932B4"/>
    <w:rsid w:val="003933CA"/>
    <w:rsid w:val="0039348A"/>
    <w:rsid w:val="00393496"/>
    <w:rsid w:val="0039362A"/>
    <w:rsid w:val="00393692"/>
    <w:rsid w:val="003937FB"/>
    <w:rsid w:val="003938D0"/>
    <w:rsid w:val="003938E7"/>
    <w:rsid w:val="00393959"/>
    <w:rsid w:val="0039398F"/>
    <w:rsid w:val="00393996"/>
    <w:rsid w:val="003939B6"/>
    <w:rsid w:val="00393A1F"/>
    <w:rsid w:val="00393A34"/>
    <w:rsid w:val="00393ABC"/>
    <w:rsid w:val="00393AF9"/>
    <w:rsid w:val="00393B1D"/>
    <w:rsid w:val="00393B22"/>
    <w:rsid w:val="00393B6F"/>
    <w:rsid w:val="00393CCB"/>
    <w:rsid w:val="00393DA3"/>
    <w:rsid w:val="00393DC8"/>
    <w:rsid w:val="00393E22"/>
    <w:rsid w:val="00393F3B"/>
    <w:rsid w:val="00393F68"/>
    <w:rsid w:val="00393FAF"/>
    <w:rsid w:val="00393FCF"/>
    <w:rsid w:val="003940EB"/>
    <w:rsid w:val="00394168"/>
    <w:rsid w:val="003941C0"/>
    <w:rsid w:val="00394217"/>
    <w:rsid w:val="0039429A"/>
    <w:rsid w:val="0039431D"/>
    <w:rsid w:val="003943D9"/>
    <w:rsid w:val="00394407"/>
    <w:rsid w:val="00394416"/>
    <w:rsid w:val="00394485"/>
    <w:rsid w:val="00394513"/>
    <w:rsid w:val="00394544"/>
    <w:rsid w:val="00394551"/>
    <w:rsid w:val="0039468E"/>
    <w:rsid w:val="0039470D"/>
    <w:rsid w:val="0039471A"/>
    <w:rsid w:val="003947AC"/>
    <w:rsid w:val="003947B0"/>
    <w:rsid w:val="003947CD"/>
    <w:rsid w:val="003947D6"/>
    <w:rsid w:val="0039481F"/>
    <w:rsid w:val="00394852"/>
    <w:rsid w:val="0039486A"/>
    <w:rsid w:val="0039486F"/>
    <w:rsid w:val="00394936"/>
    <w:rsid w:val="0039493A"/>
    <w:rsid w:val="00394967"/>
    <w:rsid w:val="0039499D"/>
    <w:rsid w:val="003949C0"/>
    <w:rsid w:val="00394A26"/>
    <w:rsid w:val="00394A8E"/>
    <w:rsid w:val="00394AD2"/>
    <w:rsid w:val="00394B30"/>
    <w:rsid w:val="00394B90"/>
    <w:rsid w:val="00394BAD"/>
    <w:rsid w:val="00394BE2"/>
    <w:rsid w:val="00394BE5"/>
    <w:rsid w:val="00394C58"/>
    <w:rsid w:val="00394C6A"/>
    <w:rsid w:val="00394C96"/>
    <w:rsid w:val="00394D1C"/>
    <w:rsid w:val="00394D1D"/>
    <w:rsid w:val="00394D34"/>
    <w:rsid w:val="00394D70"/>
    <w:rsid w:val="00394E09"/>
    <w:rsid w:val="00394E29"/>
    <w:rsid w:val="00394E50"/>
    <w:rsid w:val="00394E75"/>
    <w:rsid w:val="00394F18"/>
    <w:rsid w:val="003950B0"/>
    <w:rsid w:val="003950C4"/>
    <w:rsid w:val="003950C6"/>
    <w:rsid w:val="003950E8"/>
    <w:rsid w:val="0039513A"/>
    <w:rsid w:val="00395179"/>
    <w:rsid w:val="00395185"/>
    <w:rsid w:val="003951CD"/>
    <w:rsid w:val="00395273"/>
    <w:rsid w:val="003952C0"/>
    <w:rsid w:val="003952EA"/>
    <w:rsid w:val="0039534F"/>
    <w:rsid w:val="0039535F"/>
    <w:rsid w:val="00395420"/>
    <w:rsid w:val="003954C7"/>
    <w:rsid w:val="00395518"/>
    <w:rsid w:val="00395522"/>
    <w:rsid w:val="003955D2"/>
    <w:rsid w:val="0039564A"/>
    <w:rsid w:val="003956B2"/>
    <w:rsid w:val="003956C0"/>
    <w:rsid w:val="003957F4"/>
    <w:rsid w:val="00395822"/>
    <w:rsid w:val="003958C4"/>
    <w:rsid w:val="00395907"/>
    <w:rsid w:val="00395957"/>
    <w:rsid w:val="003959B2"/>
    <w:rsid w:val="003959B7"/>
    <w:rsid w:val="00395A11"/>
    <w:rsid w:val="00395A27"/>
    <w:rsid w:val="00395A28"/>
    <w:rsid w:val="00395A2E"/>
    <w:rsid w:val="00395C3F"/>
    <w:rsid w:val="00395C79"/>
    <w:rsid w:val="00395D12"/>
    <w:rsid w:val="00395D66"/>
    <w:rsid w:val="00395DD1"/>
    <w:rsid w:val="00395E39"/>
    <w:rsid w:val="00395EC5"/>
    <w:rsid w:val="00395EEE"/>
    <w:rsid w:val="00395F10"/>
    <w:rsid w:val="00395F13"/>
    <w:rsid w:val="00395F77"/>
    <w:rsid w:val="00395FBA"/>
    <w:rsid w:val="0039602B"/>
    <w:rsid w:val="00396035"/>
    <w:rsid w:val="0039603A"/>
    <w:rsid w:val="0039614F"/>
    <w:rsid w:val="003961DF"/>
    <w:rsid w:val="00396249"/>
    <w:rsid w:val="00396264"/>
    <w:rsid w:val="00396332"/>
    <w:rsid w:val="0039637E"/>
    <w:rsid w:val="0039637F"/>
    <w:rsid w:val="003964B4"/>
    <w:rsid w:val="003964BC"/>
    <w:rsid w:val="003964E3"/>
    <w:rsid w:val="003965B1"/>
    <w:rsid w:val="003965E8"/>
    <w:rsid w:val="00396601"/>
    <w:rsid w:val="00396611"/>
    <w:rsid w:val="0039661C"/>
    <w:rsid w:val="00396626"/>
    <w:rsid w:val="00396666"/>
    <w:rsid w:val="003966F0"/>
    <w:rsid w:val="0039672D"/>
    <w:rsid w:val="00396754"/>
    <w:rsid w:val="0039675A"/>
    <w:rsid w:val="00396764"/>
    <w:rsid w:val="0039676E"/>
    <w:rsid w:val="00396795"/>
    <w:rsid w:val="003967DC"/>
    <w:rsid w:val="003967FE"/>
    <w:rsid w:val="00396834"/>
    <w:rsid w:val="00396864"/>
    <w:rsid w:val="00396910"/>
    <w:rsid w:val="003969CE"/>
    <w:rsid w:val="003969E2"/>
    <w:rsid w:val="00396A4E"/>
    <w:rsid w:val="00396A7A"/>
    <w:rsid w:val="00396AAB"/>
    <w:rsid w:val="00396ACE"/>
    <w:rsid w:val="00396B3D"/>
    <w:rsid w:val="00396B9A"/>
    <w:rsid w:val="00396BAE"/>
    <w:rsid w:val="00396C75"/>
    <w:rsid w:val="00396CB7"/>
    <w:rsid w:val="00396D9D"/>
    <w:rsid w:val="00396EA4"/>
    <w:rsid w:val="00396EE3"/>
    <w:rsid w:val="00396F06"/>
    <w:rsid w:val="003970AB"/>
    <w:rsid w:val="003970C0"/>
    <w:rsid w:val="003970DA"/>
    <w:rsid w:val="003970E9"/>
    <w:rsid w:val="0039712A"/>
    <w:rsid w:val="00397205"/>
    <w:rsid w:val="0039722A"/>
    <w:rsid w:val="003972A8"/>
    <w:rsid w:val="003972EE"/>
    <w:rsid w:val="003973D1"/>
    <w:rsid w:val="003973D4"/>
    <w:rsid w:val="003973E3"/>
    <w:rsid w:val="00397430"/>
    <w:rsid w:val="003974F4"/>
    <w:rsid w:val="0039756D"/>
    <w:rsid w:val="00397588"/>
    <w:rsid w:val="0039763F"/>
    <w:rsid w:val="003976A2"/>
    <w:rsid w:val="003976F4"/>
    <w:rsid w:val="00397730"/>
    <w:rsid w:val="00397749"/>
    <w:rsid w:val="00397789"/>
    <w:rsid w:val="003977EB"/>
    <w:rsid w:val="0039780D"/>
    <w:rsid w:val="00397838"/>
    <w:rsid w:val="00397867"/>
    <w:rsid w:val="003978D9"/>
    <w:rsid w:val="00397986"/>
    <w:rsid w:val="003979A4"/>
    <w:rsid w:val="00397A49"/>
    <w:rsid w:val="00397A5F"/>
    <w:rsid w:val="00397C08"/>
    <w:rsid w:val="00397C0A"/>
    <w:rsid w:val="00397C20"/>
    <w:rsid w:val="00397C44"/>
    <w:rsid w:val="00397D76"/>
    <w:rsid w:val="00397DB5"/>
    <w:rsid w:val="00397E0C"/>
    <w:rsid w:val="00397EB4"/>
    <w:rsid w:val="00397FF2"/>
    <w:rsid w:val="003A0038"/>
    <w:rsid w:val="003A0046"/>
    <w:rsid w:val="003A009E"/>
    <w:rsid w:val="003A017D"/>
    <w:rsid w:val="003A018B"/>
    <w:rsid w:val="003A01F0"/>
    <w:rsid w:val="003A023C"/>
    <w:rsid w:val="003A024C"/>
    <w:rsid w:val="003A0286"/>
    <w:rsid w:val="003A02F9"/>
    <w:rsid w:val="003A031F"/>
    <w:rsid w:val="003A03F4"/>
    <w:rsid w:val="003A03F8"/>
    <w:rsid w:val="003A042F"/>
    <w:rsid w:val="003A048E"/>
    <w:rsid w:val="003A04A7"/>
    <w:rsid w:val="003A04F9"/>
    <w:rsid w:val="003A054E"/>
    <w:rsid w:val="003A0562"/>
    <w:rsid w:val="003A0658"/>
    <w:rsid w:val="003A0664"/>
    <w:rsid w:val="003A0718"/>
    <w:rsid w:val="003A0739"/>
    <w:rsid w:val="003A075D"/>
    <w:rsid w:val="003A082C"/>
    <w:rsid w:val="003A085B"/>
    <w:rsid w:val="003A08D9"/>
    <w:rsid w:val="003A0912"/>
    <w:rsid w:val="003A0965"/>
    <w:rsid w:val="003A096D"/>
    <w:rsid w:val="003A0976"/>
    <w:rsid w:val="003A09CB"/>
    <w:rsid w:val="003A09EE"/>
    <w:rsid w:val="003A0A05"/>
    <w:rsid w:val="003A0A93"/>
    <w:rsid w:val="003A0AD6"/>
    <w:rsid w:val="003A0AE2"/>
    <w:rsid w:val="003A0B20"/>
    <w:rsid w:val="003A0B26"/>
    <w:rsid w:val="003A0B40"/>
    <w:rsid w:val="003A0BEF"/>
    <w:rsid w:val="003A0BF7"/>
    <w:rsid w:val="003A0C6B"/>
    <w:rsid w:val="003A0C71"/>
    <w:rsid w:val="003A0CB1"/>
    <w:rsid w:val="003A0CB9"/>
    <w:rsid w:val="003A0CFB"/>
    <w:rsid w:val="003A0D9E"/>
    <w:rsid w:val="003A0DCC"/>
    <w:rsid w:val="003A0DF7"/>
    <w:rsid w:val="003A0FCA"/>
    <w:rsid w:val="003A101B"/>
    <w:rsid w:val="003A102C"/>
    <w:rsid w:val="003A11C2"/>
    <w:rsid w:val="003A11F6"/>
    <w:rsid w:val="003A1228"/>
    <w:rsid w:val="003A1267"/>
    <w:rsid w:val="003A1343"/>
    <w:rsid w:val="003A1382"/>
    <w:rsid w:val="003A13BE"/>
    <w:rsid w:val="003A1434"/>
    <w:rsid w:val="003A14B3"/>
    <w:rsid w:val="003A1533"/>
    <w:rsid w:val="003A15A7"/>
    <w:rsid w:val="003A1644"/>
    <w:rsid w:val="003A16A1"/>
    <w:rsid w:val="003A16C7"/>
    <w:rsid w:val="003A16D5"/>
    <w:rsid w:val="003A1734"/>
    <w:rsid w:val="003A1738"/>
    <w:rsid w:val="003A173B"/>
    <w:rsid w:val="003A1757"/>
    <w:rsid w:val="003A1791"/>
    <w:rsid w:val="003A17B9"/>
    <w:rsid w:val="003A17FC"/>
    <w:rsid w:val="003A1817"/>
    <w:rsid w:val="003A1875"/>
    <w:rsid w:val="003A1911"/>
    <w:rsid w:val="003A1961"/>
    <w:rsid w:val="003A199D"/>
    <w:rsid w:val="003A19A4"/>
    <w:rsid w:val="003A1A36"/>
    <w:rsid w:val="003A1A62"/>
    <w:rsid w:val="003A1AAF"/>
    <w:rsid w:val="003A1AE5"/>
    <w:rsid w:val="003A1B2C"/>
    <w:rsid w:val="003A1B5E"/>
    <w:rsid w:val="003A1BED"/>
    <w:rsid w:val="003A1C72"/>
    <w:rsid w:val="003A1E31"/>
    <w:rsid w:val="003A1E64"/>
    <w:rsid w:val="003A1ED0"/>
    <w:rsid w:val="003A1F43"/>
    <w:rsid w:val="003A209E"/>
    <w:rsid w:val="003A2106"/>
    <w:rsid w:val="003A21BB"/>
    <w:rsid w:val="003A21C6"/>
    <w:rsid w:val="003A2241"/>
    <w:rsid w:val="003A2260"/>
    <w:rsid w:val="003A2263"/>
    <w:rsid w:val="003A229E"/>
    <w:rsid w:val="003A22EB"/>
    <w:rsid w:val="003A22F8"/>
    <w:rsid w:val="003A2342"/>
    <w:rsid w:val="003A2375"/>
    <w:rsid w:val="003A2393"/>
    <w:rsid w:val="003A23EF"/>
    <w:rsid w:val="003A2435"/>
    <w:rsid w:val="003A244B"/>
    <w:rsid w:val="003A248D"/>
    <w:rsid w:val="003A24B4"/>
    <w:rsid w:val="003A2531"/>
    <w:rsid w:val="003A25CC"/>
    <w:rsid w:val="003A25F3"/>
    <w:rsid w:val="003A264A"/>
    <w:rsid w:val="003A2666"/>
    <w:rsid w:val="003A26D8"/>
    <w:rsid w:val="003A26E5"/>
    <w:rsid w:val="003A2731"/>
    <w:rsid w:val="003A27E3"/>
    <w:rsid w:val="003A28EB"/>
    <w:rsid w:val="003A28FF"/>
    <w:rsid w:val="003A294B"/>
    <w:rsid w:val="003A2990"/>
    <w:rsid w:val="003A2A06"/>
    <w:rsid w:val="003A2A2A"/>
    <w:rsid w:val="003A2AC2"/>
    <w:rsid w:val="003A2B45"/>
    <w:rsid w:val="003A2B64"/>
    <w:rsid w:val="003A2BD1"/>
    <w:rsid w:val="003A2C7E"/>
    <w:rsid w:val="003A2D12"/>
    <w:rsid w:val="003A2DA1"/>
    <w:rsid w:val="003A2DAD"/>
    <w:rsid w:val="003A2E2F"/>
    <w:rsid w:val="003A2E40"/>
    <w:rsid w:val="003A2F1B"/>
    <w:rsid w:val="003A305B"/>
    <w:rsid w:val="003A312D"/>
    <w:rsid w:val="003A3138"/>
    <w:rsid w:val="003A31BB"/>
    <w:rsid w:val="003A31CB"/>
    <w:rsid w:val="003A31D3"/>
    <w:rsid w:val="003A31D4"/>
    <w:rsid w:val="003A32A4"/>
    <w:rsid w:val="003A32A8"/>
    <w:rsid w:val="003A32F7"/>
    <w:rsid w:val="003A3363"/>
    <w:rsid w:val="003A3382"/>
    <w:rsid w:val="003A33A2"/>
    <w:rsid w:val="003A33D8"/>
    <w:rsid w:val="003A342A"/>
    <w:rsid w:val="003A348A"/>
    <w:rsid w:val="003A34FF"/>
    <w:rsid w:val="003A3543"/>
    <w:rsid w:val="003A3557"/>
    <w:rsid w:val="003A363C"/>
    <w:rsid w:val="003A3662"/>
    <w:rsid w:val="003A3664"/>
    <w:rsid w:val="003A36D7"/>
    <w:rsid w:val="003A3709"/>
    <w:rsid w:val="003A3746"/>
    <w:rsid w:val="003A3762"/>
    <w:rsid w:val="003A380B"/>
    <w:rsid w:val="003A3827"/>
    <w:rsid w:val="003A3840"/>
    <w:rsid w:val="003A3843"/>
    <w:rsid w:val="003A3879"/>
    <w:rsid w:val="003A38CD"/>
    <w:rsid w:val="003A3975"/>
    <w:rsid w:val="003A398C"/>
    <w:rsid w:val="003A39D3"/>
    <w:rsid w:val="003A3A1F"/>
    <w:rsid w:val="003A3AA9"/>
    <w:rsid w:val="003A3AC6"/>
    <w:rsid w:val="003A3AD0"/>
    <w:rsid w:val="003A3AEC"/>
    <w:rsid w:val="003A3B94"/>
    <w:rsid w:val="003A3BC7"/>
    <w:rsid w:val="003A3BF0"/>
    <w:rsid w:val="003A3CC6"/>
    <w:rsid w:val="003A3CE6"/>
    <w:rsid w:val="003A3CFB"/>
    <w:rsid w:val="003A3DB2"/>
    <w:rsid w:val="003A3DD3"/>
    <w:rsid w:val="003A3DE0"/>
    <w:rsid w:val="003A3E1A"/>
    <w:rsid w:val="003A3E20"/>
    <w:rsid w:val="003A3E2D"/>
    <w:rsid w:val="003A3EE3"/>
    <w:rsid w:val="003A3F0F"/>
    <w:rsid w:val="003A3F2A"/>
    <w:rsid w:val="003A3F36"/>
    <w:rsid w:val="003A3FB2"/>
    <w:rsid w:val="003A4016"/>
    <w:rsid w:val="003A4041"/>
    <w:rsid w:val="003A4091"/>
    <w:rsid w:val="003A4109"/>
    <w:rsid w:val="003A41A2"/>
    <w:rsid w:val="003A41AE"/>
    <w:rsid w:val="003A41D3"/>
    <w:rsid w:val="003A426A"/>
    <w:rsid w:val="003A42B2"/>
    <w:rsid w:val="003A43E7"/>
    <w:rsid w:val="003A441E"/>
    <w:rsid w:val="003A448B"/>
    <w:rsid w:val="003A44B9"/>
    <w:rsid w:val="003A44D1"/>
    <w:rsid w:val="003A4505"/>
    <w:rsid w:val="003A45AE"/>
    <w:rsid w:val="003A4660"/>
    <w:rsid w:val="003A467E"/>
    <w:rsid w:val="003A4767"/>
    <w:rsid w:val="003A47B8"/>
    <w:rsid w:val="003A4802"/>
    <w:rsid w:val="003A487E"/>
    <w:rsid w:val="003A498C"/>
    <w:rsid w:val="003A4A1C"/>
    <w:rsid w:val="003A4A23"/>
    <w:rsid w:val="003A4A25"/>
    <w:rsid w:val="003A4AEE"/>
    <w:rsid w:val="003A4B4E"/>
    <w:rsid w:val="003A4B93"/>
    <w:rsid w:val="003A4BF1"/>
    <w:rsid w:val="003A4C09"/>
    <w:rsid w:val="003A4C41"/>
    <w:rsid w:val="003A4C4C"/>
    <w:rsid w:val="003A4C6A"/>
    <w:rsid w:val="003A4C94"/>
    <w:rsid w:val="003A4CC9"/>
    <w:rsid w:val="003A4CCB"/>
    <w:rsid w:val="003A4CD0"/>
    <w:rsid w:val="003A4D11"/>
    <w:rsid w:val="003A4D81"/>
    <w:rsid w:val="003A4DB6"/>
    <w:rsid w:val="003A4DC2"/>
    <w:rsid w:val="003A4E2D"/>
    <w:rsid w:val="003A4ECB"/>
    <w:rsid w:val="003A4F57"/>
    <w:rsid w:val="003A4F74"/>
    <w:rsid w:val="003A5012"/>
    <w:rsid w:val="003A5045"/>
    <w:rsid w:val="003A50F2"/>
    <w:rsid w:val="003A50F6"/>
    <w:rsid w:val="003A5145"/>
    <w:rsid w:val="003A5165"/>
    <w:rsid w:val="003A518C"/>
    <w:rsid w:val="003A5192"/>
    <w:rsid w:val="003A51CD"/>
    <w:rsid w:val="003A51D1"/>
    <w:rsid w:val="003A51EE"/>
    <w:rsid w:val="003A536A"/>
    <w:rsid w:val="003A537E"/>
    <w:rsid w:val="003A541F"/>
    <w:rsid w:val="003A5421"/>
    <w:rsid w:val="003A54F7"/>
    <w:rsid w:val="003A54FF"/>
    <w:rsid w:val="003A5593"/>
    <w:rsid w:val="003A55BE"/>
    <w:rsid w:val="003A5609"/>
    <w:rsid w:val="003A5611"/>
    <w:rsid w:val="003A561E"/>
    <w:rsid w:val="003A5633"/>
    <w:rsid w:val="003A566A"/>
    <w:rsid w:val="003A571B"/>
    <w:rsid w:val="003A5800"/>
    <w:rsid w:val="003A5824"/>
    <w:rsid w:val="003A5848"/>
    <w:rsid w:val="003A5852"/>
    <w:rsid w:val="003A586E"/>
    <w:rsid w:val="003A5897"/>
    <w:rsid w:val="003A5906"/>
    <w:rsid w:val="003A5922"/>
    <w:rsid w:val="003A5924"/>
    <w:rsid w:val="003A5928"/>
    <w:rsid w:val="003A5973"/>
    <w:rsid w:val="003A5998"/>
    <w:rsid w:val="003A59C4"/>
    <w:rsid w:val="003A59F5"/>
    <w:rsid w:val="003A5A21"/>
    <w:rsid w:val="003A5A51"/>
    <w:rsid w:val="003A5A92"/>
    <w:rsid w:val="003A5AA2"/>
    <w:rsid w:val="003A5AE9"/>
    <w:rsid w:val="003A5AEA"/>
    <w:rsid w:val="003A5B05"/>
    <w:rsid w:val="003A5B09"/>
    <w:rsid w:val="003A5B69"/>
    <w:rsid w:val="003A5B9E"/>
    <w:rsid w:val="003A5BE0"/>
    <w:rsid w:val="003A5C05"/>
    <w:rsid w:val="003A5C69"/>
    <w:rsid w:val="003A5CA7"/>
    <w:rsid w:val="003A5CCD"/>
    <w:rsid w:val="003A5CD8"/>
    <w:rsid w:val="003A5D0E"/>
    <w:rsid w:val="003A5D75"/>
    <w:rsid w:val="003A5D79"/>
    <w:rsid w:val="003A5DBB"/>
    <w:rsid w:val="003A5ECE"/>
    <w:rsid w:val="003A5ED6"/>
    <w:rsid w:val="003A5F5B"/>
    <w:rsid w:val="003A5FD0"/>
    <w:rsid w:val="003A6089"/>
    <w:rsid w:val="003A613C"/>
    <w:rsid w:val="003A61D5"/>
    <w:rsid w:val="003A61DD"/>
    <w:rsid w:val="003A6302"/>
    <w:rsid w:val="003A63C1"/>
    <w:rsid w:val="003A6401"/>
    <w:rsid w:val="003A6411"/>
    <w:rsid w:val="003A64A6"/>
    <w:rsid w:val="003A651C"/>
    <w:rsid w:val="003A657C"/>
    <w:rsid w:val="003A65AD"/>
    <w:rsid w:val="003A65E1"/>
    <w:rsid w:val="003A667C"/>
    <w:rsid w:val="003A66A7"/>
    <w:rsid w:val="003A66AC"/>
    <w:rsid w:val="003A66F8"/>
    <w:rsid w:val="003A66FB"/>
    <w:rsid w:val="003A6742"/>
    <w:rsid w:val="003A6752"/>
    <w:rsid w:val="003A6787"/>
    <w:rsid w:val="003A67B9"/>
    <w:rsid w:val="003A67E2"/>
    <w:rsid w:val="003A6827"/>
    <w:rsid w:val="003A6862"/>
    <w:rsid w:val="003A6892"/>
    <w:rsid w:val="003A6906"/>
    <w:rsid w:val="003A696C"/>
    <w:rsid w:val="003A6981"/>
    <w:rsid w:val="003A69E9"/>
    <w:rsid w:val="003A6A1D"/>
    <w:rsid w:val="003A6A27"/>
    <w:rsid w:val="003A6AE8"/>
    <w:rsid w:val="003A6B8C"/>
    <w:rsid w:val="003A6BC5"/>
    <w:rsid w:val="003A6C28"/>
    <w:rsid w:val="003A6D3D"/>
    <w:rsid w:val="003A6D7F"/>
    <w:rsid w:val="003A6D81"/>
    <w:rsid w:val="003A6D9E"/>
    <w:rsid w:val="003A6E36"/>
    <w:rsid w:val="003A6E88"/>
    <w:rsid w:val="003A6F1B"/>
    <w:rsid w:val="003A6F27"/>
    <w:rsid w:val="003A6F2B"/>
    <w:rsid w:val="003A6F5E"/>
    <w:rsid w:val="003A7011"/>
    <w:rsid w:val="003A7027"/>
    <w:rsid w:val="003A703C"/>
    <w:rsid w:val="003A70C8"/>
    <w:rsid w:val="003A715E"/>
    <w:rsid w:val="003A718E"/>
    <w:rsid w:val="003A7279"/>
    <w:rsid w:val="003A72DC"/>
    <w:rsid w:val="003A72EB"/>
    <w:rsid w:val="003A732E"/>
    <w:rsid w:val="003A73A3"/>
    <w:rsid w:val="003A73C5"/>
    <w:rsid w:val="003A741A"/>
    <w:rsid w:val="003A74B9"/>
    <w:rsid w:val="003A751D"/>
    <w:rsid w:val="003A7605"/>
    <w:rsid w:val="003A76CC"/>
    <w:rsid w:val="003A7716"/>
    <w:rsid w:val="003A772B"/>
    <w:rsid w:val="003A7737"/>
    <w:rsid w:val="003A7754"/>
    <w:rsid w:val="003A777A"/>
    <w:rsid w:val="003A77D2"/>
    <w:rsid w:val="003A7835"/>
    <w:rsid w:val="003A784D"/>
    <w:rsid w:val="003A78F9"/>
    <w:rsid w:val="003A7924"/>
    <w:rsid w:val="003A7956"/>
    <w:rsid w:val="003A7A23"/>
    <w:rsid w:val="003A7AFE"/>
    <w:rsid w:val="003A7B05"/>
    <w:rsid w:val="003A7B45"/>
    <w:rsid w:val="003A7B52"/>
    <w:rsid w:val="003A7B65"/>
    <w:rsid w:val="003A7BC1"/>
    <w:rsid w:val="003A7CDE"/>
    <w:rsid w:val="003A7CEA"/>
    <w:rsid w:val="003A7D4B"/>
    <w:rsid w:val="003A7D6D"/>
    <w:rsid w:val="003A7DBB"/>
    <w:rsid w:val="003A7E2D"/>
    <w:rsid w:val="003A7FBD"/>
    <w:rsid w:val="003A7FF2"/>
    <w:rsid w:val="003B005C"/>
    <w:rsid w:val="003B015C"/>
    <w:rsid w:val="003B02A2"/>
    <w:rsid w:val="003B02D4"/>
    <w:rsid w:val="003B02D9"/>
    <w:rsid w:val="003B032D"/>
    <w:rsid w:val="003B04B7"/>
    <w:rsid w:val="003B04D4"/>
    <w:rsid w:val="003B0592"/>
    <w:rsid w:val="003B05E5"/>
    <w:rsid w:val="003B061B"/>
    <w:rsid w:val="003B068B"/>
    <w:rsid w:val="003B0791"/>
    <w:rsid w:val="003B0799"/>
    <w:rsid w:val="003B07F0"/>
    <w:rsid w:val="003B080F"/>
    <w:rsid w:val="003B08FD"/>
    <w:rsid w:val="003B098A"/>
    <w:rsid w:val="003B0A57"/>
    <w:rsid w:val="003B0AB8"/>
    <w:rsid w:val="003B0B23"/>
    <w:rsid w:val="003B0BB1"/>
    <w:rsid w:val="003B0BDA"/>
    <w:rsid w:val="003B0C24"/>
    <w:rsid w:val="003B0C2D"/>
    <w:rsid w:val="003B0C76"/>
    <w:rsid w:val="003B0CB8"/>
    <w:rsid w:val="003B0CF9"/>
    <w:rsid w:val="003B0D2B"/>
    <w:rsid w:val="003B0D67"/>
    <w:rsid w:val="003B0DD3"/>
    <w:rsid w:val="003B0E80"/>
    <w:rsid w:val="003B0E8B"/>
    <w:rsid w:val="003B0E9F"/>
    <w:rsid w:val="003B0F19"/>
    <w:rsid w:val="003B0F69"/>
    <w:rsid w:val="003B0F6F"/>
    <w:rsid w:val="003B1018"/>
    <w:rsid w:val="003B10A6"/>
    <w:rsid w:val="003B10C3"/>
    <w:rsid w:val="003B1154"/>
    <w:rsid w:val="003B121E"/>
    <w:rsid w:val="003B134A"/>
    <w:rsid w:val="003B13C2"/>
    <w:rsid w:val="003B144C"/>
    <w:rsid w:val="003B1549"/>
    <w:rsid w:val="003B15A3"/>
    <w:rsid w:val="003B15B5"/>
    <w:rsid w:val="003B15DF"/>
    <w:rsid w:val="003B1671"/>
    <w:rsid w:val="003B1681"/>
    <w:rsid w:val="003B16B2"/>
    <w:rsid w:val="003B16F1"/>
    <w:rsid w:val="003B16F4"/>
    <w:rsid w:val="003B180F"/>
    <w:rsid w:val="003B181E"/>
    <w:rsid w:val="003B1841"/>
    <w:rsid w:val="003B1848"/>
    <w:rsid w:val="003B1860"/>
    <w:rsid w:val="003B1889"/>
    <w:rsid w:val="003B18C2"/>
    <w:rsid w:val="003B1931"/>
    <w:rsid w:val="003B1A23"/>
    <w:rsid w:val="003B1A31"/>
    <w:rsid w:val="003B1A6A"/>
    <w:rsid w:val="003B1A90"/>
    <w:rsid w:val="003B1BC8"/>
    <w:rsid w:val="003B1BF3"/>
    <w:rsid w:val="003B1BFA"/>
    <w:rsid w:val="003B1C0D"/>
    <w:rsid w:val="003B1C1D"/>
    <w:rsid w:val="003B1C89"/>
    <w:rsid w:val="003B1D4C"/>
    <w:rsid w:val="003B1D72"/>
    <w:rsid w:val="003B1DC5"/>
    <w:rsid w:val="003B1DCA"/>
    <w:rsid w:val="003B1E16"/>
    <w:rsid w:val="003B1E4B"/>
    <w:rsid w:val="003B1EF3"/>
    <w:rsid w:val="003B1FCB"/>
    <w:rsid w:val="003B2002"/>
    <w:rsid w:val="003B2033"/>
    <w:rsid w:val="003B20E3"/>
    <w:rsid w:val="003B20ED"/>
    <w:rsid w:val="003B20F0"/>
    <w:rsid w:val="003B2113"/>
    <w:rsid w:val="003B21AB"/>
    <w:rsid w:val="003B21CC"/>
    <w:rsid w:val="003B2214"/>
    <w:rsid w:val="003B2254"/>
    <w:rsid w:val="003B231D"/>
    <w:rsid w:val="003B2397"/>
    <w:rsid w:val="003B24D9"/>
    <w:rsid w:val="003B26EA"/>
    <w:rsid w:val="003B272C"/>
    <w:rsid w:val="003B2743"/>
    <w:rsid w:val="003B2767"/>
    <w:rsid w:val="003B279F"/>
    <w:rsid w:val="003B27D3"/>
    <w:rsid w:val="003B27E9"/>
    <w:rsid w:val="003B28CB"/>
    <w:rsid w:val="003B28EB"/>
    <w:rsid w:val="003B2909"/>
    <w:rsid w:val="003B2977"/>
    <w:rsid w:val="003B2991"/>
    <w:rsid w:val="003B2A04"/>
    <w:rsid w:val="003B2A45"/>
    <w:rsid w:val="003B2A5D"/>
    <w:rsid w:val="003B2A94"/>
    <w:rsid w:val="003B2AD5"/>
    <w:rsid w:val="003B2B5E"/>
    <w:rsid w:val="003B2B6E"/>
    <w:rsid w:val="003B2C0E"/>
    <w:rsid w:val="003B2C5C"/>
    <w:rsid w:val="003B2C72"/>
    <w:rsid w:val="003B2D3B"/>
    <w:rsid w:val="003B2D49"/>
    <w:rsid w:val="003B2D8B"/>
    <w:rsid w:val="003B2D9B"/>
    <w:rsid w:val="003B2DD7"/>
    <w:rsid w:val="003B2E0C"/>
    <w:rsid w:val="003B2EA6"/>
    <w:rsid w:val="003B2F23"/>
    <w:rsid w:val="003B2F31"/>
    <w:rsid w:val="003B2F6F"/>
    <w:rsid w:val="003B2F84"/>
    <w:rsid w:val="003B2F8D"/>
    <w:rsid w:val="003B2FDB"/>
    <w:rsid w:val="003B2FEF"/>
    <w:rsid w:val="003B2FF7"/>
    <w:rsid w:val="003B3012"/>
    <w:rsid w:val="003B3040"/>
    <w:rsid w:val="003B30C5"/>
    <w:rsid w:val="003B30F9"/>
    <w:rsid w:val="003B3122"/>
    <w:rsid w:val="003B3140"/>
    <w:rsid w:val="003B31A9"/>
    <w:rsid w:val="003B3206"/>
    <w:rsid w:val="003B321C"/>
    <w:rsid w:val="003B3244"/>
    <w:rsid w:val="003B3255"/>
    <w:rsid w:val="003B32FE"/>
    <w:rsid w:val="003B332A"/>
    <w:rsid w:val="003B335A"/>
    <w:rsid w:val="003B3368"/>
    <w:rsid w:val="003B345B"/>
    <w:rsid w:val="003B349E"/>
    <w:rsid w:val="003B34AC"/>
    <w:rsid w:val="003B34D0"/>
    <w:rsid w:val="003B353B"/>
    <w:rsid w:val="003B353C"/>
    <w:rsid w:val="003B356C"/>
    <w:rsid w:val="003B3582"/>
    <w:rsid w:val="003B35F1"/>
    <w:rsid w:val="003B3602"/>
    <w:rsid w:val="003B360D"/>
    <w:rsid w:val="003B361F"/>
    <w:rsid w:val="003B3707"/>
    <w:rsid w:val="003B377D"/>
    <w:rsid w:val="003B37F1"/>
    <w:rsid w:val="003B3904"/>
    <w:rsid w:val="003B3981"/>
    <w:rsid w:val="003B39FC"/>
    <w:rsid w:val="003B3A37"/>
    <w:rsid w:val="003B3A4F"/>
    <w:rsid w:val="003B3A52"/>
    <w:rsid w:val="003B3AE1"/>
    <w:rsid w:val="003B3B4A"/>
    <w:rsid w:val="003B3BE2"/>
    <w:rsid w:val="003B3CA2"/>
    <w:rsid w:val="003B3CB2"/>
    <w:rsid w:val="003B3CFB"/>
    <w:rsid w:val="003B3D24"/>
    <w:rsid w:val="003B3D5C"/>
    <w:rsid w:val="003B3DA7"/>
    <w:rsid w:val="003B3DD7"/>
    <w:rsid w:val="003B3F4F"/>
    <w:rsid w:val="003B3F74"/>
    <w:rsid w:val="003B3FA1"/>
    <w:rsid w:val="003B3FB2"/>
    <w:rsid w:val="003B3FB4"/>
    <w:rsid w:val="003B3FD7"/>
    <w:rsid w:val="003B406F"/>
    <w:rsid w:val="003B4097"/>
    <w:rsid w:val="003B40B4"/>
    <w:rsid w:val="003B411B"/>
    <w:rsid w:val="003B4152"/>
    <w:rsid w:val="003B4173"/>
    <w:rsid w:val="003B4184"/>
    <w:rsid w:val="003B41C1"/>
    <w:rsid w:val="003B41C4"/>
    <w:rsid w:val="003B41E4"/>
    <w:rsid w:val="003B41E5"/>
    <w:rsid w:val="003B41E8"/>
    <w:rsid w:val="003B41FF"/>
    <w:rsid w:val="003B4200"/>
    <w:rsid w:val="003B4263"/>
    <w:rsid w:val="003B4287"/>
    <w:rsid w:val="003B42AE"/>
    <w:rsid w:val="003B42D9"/>
    <w:rsid w:val="003B42DE"/>
    <w:rsid w:val="003B434B"/>
    <w:rsid w:val="003B437C"/>
    <w:rsid w:val="003B4389"/>
    <w:rsid w:val="003B43C1"/>
    <w:rsid w:val="003B44E5"/>
    <w:rsid w:val="003B461A"/>
    <w:rsid w:val="003B46DE"/>
    <w:rsid w:val="003B4722"/>
    <w:rsid w:val="003B47D6"/>
    <w:rsid w:val="003B480B"/>
    <w:rsid w:val="003B4862"/>
    <w:rsid w:val="003B489C"/>
    <w:rsid w:val="003B4975"/>
    <w:rsid w:val="003B499F"/>
    <w:rsid w:val="003B4AB2"/>
    <w:rsid w:val="003B4ADF"/>
    <w:rsid w:val="003B4B72"/>
    <w:rsid w:val="003B4B8F"/>
    <w:rsid w:val="003B4BE0"/>
    <w:rsid w:val="003B4C0C"/>
    <w:rsid w:val="003B4C63"/>
    <w:rsid w:val="003B4CF9"/>
    <w:rsid w:val="003B4D36"/>
    <w:rsid w:val="003B4DA3"/>
    <w:rsid w:val="003B4E55"/>
    <w:rsid w:val="003B4E96"/>
    <w:rsid w:val="003B4EFB"/>
    <w:rsid w:val="003B4FD4"/>
    <w:rsid w:val="003B4FFF"/>
    <w:rsid w:val="003B5061"/>
    <w:rsid w:val="003B5064"/>
    <w:rsid w:val="003B5099"/>
    <w:rsid w:val="003B50E2"/>
    <w:rsid w:val="003B517F"/>
    <w:rsid w:val="003B51A2"/>
    <w:rsid w:val="003B51FF"/>
    <w:rsid w:val="003B5244"/>
    <w:rsid w:val="003B5292"/>
    <w:rsid w:val="003B52CE"/>
    <w:rsid w:val="003B52E2"/>
    <w:rsid w:val="003B5300"/>
    <w:rsid w:val="003B5324"/>
    <w:rsid w:val="003B5330"/>
    <w:rsid w:val="003B5384"/>
    <w:rsid w:val="003B5416"/>
    <w:rsid w:val="003B5454"/>
    <w:rsid w:val="003B545A"/>
    <w:rsid w:val="003B54B2"/>
    <w:rsid w:val="003B54C0"/>
    <w:rsid w:val="003B54FB"/>
    <w:rsid w:val="003B5504"/>
    <w:rsid w:val="003B553A"/>
    <w:rsid w:val="003B5590"/>
    <w:rsid w:val="003B55A1"/>
    <w:rsid w:val="003B5645"/>
    <w:rsid w:val="003B574E"/>
    <w:rsid w:val="003B57C6"/>
    <w:rsid w:val="003B5819"/>
    <w:rsid w:val="003B5893"/>
    <w:rsid w:val="003B58C2"/>
    <w:rsid w:val="003B595B"/>
    <w:rsid w:val="003B596F"/>
    <w:rsid w:val="003B59BB"/>
    <w:rsid w:val="003B59EE"/>
    <w:rsid w:val="003B59FC"/>
    <w:rsid w:val="003B5A42"/>
    <w:rsid w:val="003B5A46"/>
    <w:rsid w:val="003B5AB6"/>
    <w:rsid w:val="003B5B5E"/>
    <w:rsid w:val="003B5B96"/>
    <w:rsid w:val="003B5BAD"/>
    <w:rsid w:val="003B5BBD"/>
    <w:rsid w:val="003B5BE2"/>
    <w:rsid w:val="003B5C69"/>
    <w:rsid w:val="003B5CD4"/>
    <w:rsid w:val="003B5D49"/>
    <w:rsid w:val="003B5DC4"/>
    <w:rsid w:val="003B5E1D"/>
    <w:rsid w:val="003B5E68"/>
    <w:rsid w:val="003B5F46"/>
    <w:rsid w:val="003B5F64"/>
    <w:rsid w:val="003B6031"/>
    <w:rsid w:val="003B604C"/>
    <w:rsid w:val="003B6067"/>
    <w:rsid w:val="003B608C"/>
    <w:rsid w:val="003B60BD"/>
    <w:rsid w:val="003B60EE"/>
    <w:rsid w:val="003B617B"/>
    <w:rsid w:val="003B61A9"/>
    <w:rsid w:val="003B61B6"/>
    <w:rsid w:val="003B6234"/>
    <w:rsid w:val="003B625E"/>
    <w:rsid w:val="003B62B2"/>
    <w:rsid w:val="003B62FE"/>
    <w:rsid w:val="003B638A"/>
    <w:rsid w:val="003B639A"/>
    <w:rsid w:val="003B6410"/>
    <w:rsid w:val="003B646C"/>
    <w:rsid w:val="003B651B"/>
    <w:rsid w:val="003B6566"/>
    <w:rsid w:val="003B65BE"/>
    <w:rsid w:val="003B6651"/>
    <w:rsid w:val="003B6682"/>
    <w:rsid w:val="003B668F"/>
    <w:rsid w:val="003B6700"/>
    <w:rsid w:val="003B676A"/>
    <w:rsid w:val="003B679C"/>
    <w:rsid w:val="003B67BF"/>
    <w:rsid w:val="003B6803"/>
    <w:rsid w:val="003B6852"/>
    <w:rsid w:val="003B699F"/>
    <w:rsid w:val="003B69C0"/>
    <w:rsid w:val="003B6A1F"/>
    <w:rsid w:val="003B6AEC"/>
    <w:rsid w:val="003B6B0F"/>
    <w:rsid w:val="003B6BB6"/>
    <w:rsid w:val="003B6C23"/>
    <w:rsid w:val="003B6C52"/>
    <w:rsid w:val="003B6CE9"/>
    <w:rsid w:val="003B6D7F"/>
    <w:rsid w:val="003B6DA3"/>
    <w:rsid w:val="003B6E3C"/>
    <w:rsid w:val="003B6EC2"/>
    <w:rsid w:val="003B6EC9"/>
    <w:rsid w:val="003B6F12"/>
    <w:rsid w:val="003B6F6A"/>
    <w:rsid w:val="003B6F84"/>
    <w:rsid w:val="003B6F89"/>
    <w:rsid w:val="003B6F8E"/>
    <w:rsid w:val="003B6FD3"/>
    <w:rsid w:val="003B703F"/>
    <w:rsid w:val="003B706E"/>
    <w:rsid w:val="003B70DD"/>
    <w:rsid w:val="003B7163"/>
    <w:rsid w:val="003B71A4"/>
    <w:rsid w:val="003B71E4"/>
    <w:rsid w:val="003B722C"/>
    <w:rsid w:val="003B7337"/>
    <w:rsid w:val="003B73C3"/>
    <w:rsid w:val="003B751B"/>
    <w:rsid w:val="003B7524"/>
    <w:rsid w:val="003B7562"/>
    <w:rsid w:val="003B75E7"/>
    <w:rsid w:val="003B765E"/>
    <w:rsid w:val="003B7680"/>
    <w:rsid w:val="003B771E"/>
    <w:rsid w:val="003B772C"/>
    <w:rsid w:val="003B778C"/>
    <w:rsid w:val="003B77F9"/>
    <w:rsid w:val="003B7849"/>
    <w:rsid w:val="003B7861"/>
    <w:rsid w:val="003B78C3"/>
    <w:rsid w:val="003B790B"/>
    <w:rsid w:val="003B7919"/>
    <w:rsid w:val="003B7920"/>
    <w:rsid w:val="003B7985"/>
    <w:rsid w:val="003B7A86"/>
    <w:rsid w:val="003B7AFB"/>
    <w:rsid w:val="003B7B82"/>
    <w:rsid w:val="003B7B83"/>
    <w:rsid w:val="003B7C3F"/>
    <w:rsid w:val="003B7C9D"/>
    <w:rsid w:val="003B7CF3"/>
    <w:rsid w:val="003B7D20"/>
    <w:rsid w:val="003B7D99"/>
    <w:rsid w:val="003B7DCF"/>
    <w:rsid w:val="003B7DFD"/>
    <w:rsid w:val="003B7E4E"/>
    <w:rsid w:val="003B7E86"/>
    <w:rsid w:val="003B7E98"/>
    <w:rsid w:val="003B7EEC"/>
    <w:rsid w:val="003B7F5D"/>
    <w:rsid w:val="003B7F69"/>
    <w:rsid w:val="003B7FC5"/>
    <w:rsid w:val="003B7FCB"/>
    <w:rsid w:val="003B7FE8"/>
    <w:rsid w:val="003B7FE9"/>
    <w:rsid w:val="003C0031"/>
    <w:rsid w:val="003C0100"/>
    <w:rsid w:val="003C0349"/>
    <w:rsid w:val="003C0360"/>
    <w:rsid w:val="003C0401"/>
    <w:rsid w:val="003C0471"/>
    <w:rsid w:val="003C04BF"/>
    <w:rsid w:val="003C0575"/>
    <w:rsid w:val="003C05B1"/>
    <w:rsid w:val="003C05C6"/>
    <w:rsid w:val="003C0648"/>
    <w:rsid w:val="003C06E9"/>
    <w:rsid w:val="003C0845"/>
    <w:rsid w:val="003C0899"/>
    <w:rsid w:val="003C0902"/>
    <w:rsid w:val="003C0909"/>
    <w:rsid w:val="003C0922"/>
    <w:rsid w:val="003C0996"/>
    <w:rsid w:val="003C099B"/>
    <w:rsid w:val="003C09D0"/>
    <w:rsid w:val="003C09E0"/>
    <w:rsid w:val="003C0A80"/>
    <w:rsid w:val="003C0B10"/>
    <w:rsid w:val="003C0B24"/>
    <w:rsid w:val="003C0B29"/>
    <w:rsid w:val="003C0B85"/>
    <w:rsid w:val="003C0BAF"/>
    <w:rsid w:val="003C0C05"/>
    <w:rsid w:val="003C0CEB"/>
    <w:rsid w:val="003C0D40"/>
    <w:rsid w:val="003C0D76"/>
    <w:rsid w:val="003C0D99"/>
    <w:rsid w:val="003C0E20"/>
    <w:rsid w:val="003C0E46"/>
    <w:rsid w:val="003C0F4D"/>
    <w:rsid w:val="003C0F5F"/>
    <w:rsid w:val="003C1069"/>
    <w:rsid w:val="003C1107"/>
    <w:rsid w:val="003C1111"/>
    <w:rsid w:val="003C1267"/>
    <w:rsid w:val="003C12A0"/>
    <w:rsid w:val="003C12A7"/>
    <w:rsid w:val="003C132E"/>
    <w:rsid w:val="003C1369"/>
    <w:rsid w:val="003C142E"/>
    <w:rsid w:val="003C1490"/>
    <w:rsid w:val="003C14AB"/>
    <w:rsid w:val="003C14C8"/>
    <w:rsid w:val="003C15A3"/>
    <w:rsid w:val="003C1619"/>
    <w:rsid w:val="003C1631"/>
    <w:rsid w:val="003C1730"/>
    <w:rsid w:val="003C1742"/>
    <w:rsid w:val="003C1743"/>
    <w:rsid w:val="003C17B2"/>
    <w:rsid w:val="003C17FA"/>
    <w:rsid w:val="003C193E"/>
    <w:rsid w:val="003C1995"/>
    <w:rsid w:val="003C19FD"/>
    <w:rsid w:val="003C1ACB"/>
    <w:rsid w:val="003C1B4E"/>
    <w:rsid w:val="003C1B74"/>
    <w:rsid w:val="003C1BEA"/>
    <w:rsid w:val="003C1C8B"/>
    <w:rsid w:val="003C1CC3"/>
    <w:rsid w:val="003C1D31"/>
    <w:rsid w:val="003C1DE1"/>
    <w:rsid w:val="003C1E48"/>
    <w:rsid w:val="003C1E6B"/>
    <w:rsid w:val="003C1EA0"/>
    <w:rsid w:val="003C1FA2"/>
    <w:rsid w:val="003C2003"/>
    <w:rsid w:val="003C2012"/>
    <w:rsid w:val="003C202F"/>
    <w:rsid w:val="003C203C"/>
    <w:rsid w:val="003C2089"/>
    <w:rsid w:val="003C208D"/>
    <w:rsid w:val="003C20D0"/>
    <w:rsid w:val="003C20E2"/>
    <w:rsid w:val="003C2157"/>
    <w:rsid w:val="003C2166"/>
    <w:rsid w:val="003C218E"/>
    <w:rsid w:val="003C2194"/>
    <w:rsid w:val="003C2240"/>
    <w:rsid w:val="003C2244"/>
    <w:rsid w:val="003C229B"/>
    <w:rsid w:val="003C22B4"/>
    <w:rsid w:val="003C2312"/>
    <w:rsid w:val="003C23C7"/>
    <w:rsid w:val="003C23DA"/>
    <w:rsid w:val="003C2409"/>
    <w:rsid w:val="003C249D"/>
    <w:rsid w:val="003C253A"/>
    <w:rsid w:val="003C2547"/>
    <w:rsid w:val="003C254D"/>
    <w:rsid w:val="003C25D5"/>
    <w:rsid w:val="003C25ED"/>
    <w:rsid w:val="003C26A1"/>
    <w:rsid w:val="003C26C8"/>
    <w:rsid w:val="003C26CC"/>
    <w:rsid w:val="003C2794"/>
    <w:rsid w:val="003C294F"/>
    <w:rsid w:val="003C295C"/>
    <w:rsid w:val="003C29E6"/>
    <w:rsid w:val="003C2B4A"/>
    <w:rsid w:val="003C2B4B"/>
    <w:rsid w:val="003C2B84"/>
    <w:rsid w:val="003C2B89"/>
    <w:rsid w:val="003C2BDA"/>
    <w:rsid w:val="003C2BFC"/>
    <w:rsid w:val="003C2BFE"/>
    <w:rsid w:val="003C2C64"/>
    <w:rsid w:val="003C2D79"/>
    <w:rsid w:val="003C2D83"/>
    <w:rsid w:val="003C2DB7"/>
    <w:rsid w:val="003C2DC8"/>
    <w:rsid w:val="003C2E5F"/>
    <w:rsid w:val="003C2F83"/>
    <w:rsid w:val="003C2FF6"/>
    <w:rsid w:val="003C3000"/>
    <w:rsid w:val="003C3031"/>
    <w:rsid w:val="003C3090"/>
    <w:rsid w:val="003C3119"/>
    <w:rsid w:val="003C3133"/>
    <w:rsid w:val="003C3182"/>
    <w:rsid w:val="003C3214"/>
    <w:rsid w:val="003C32EA"/>
    <w:rsid w:val="003C3306"/>
    <w:rsid w:val="003C3309"/>
    <w:rsid w:val="003C333B"/>
    <w:rsid w:val="003C33DC"/>
    <w:rsid w:val="003C3447"/>
    <w:rsid w:val="003C345E"/>
    <w:rsid w:val="003C34F3"/>
    <w:rsid w:val="003C3536"/>
    <w:rsid w:val="003C3545"/>
    <w:rsid w:val="003C35C0"/>
    <w:rsid w:val="003C3604"/>
    <w:rsid w:val="003C366F"/>
    <w:rsid w:val="003C36D5"/>
    <w:rsid w:val="003C3706"/>
    <w:rsid w:val="003C3821"/>
    <w:rsid w:val="003C3834"/>
    <w:rsid w:val="003C38F8"/>
    <w:rsid w:val="003C3944"/>
    <w:rsid w:val="003C3969"/>
    <w:rsid w:val="003C3985"/>
    <w:rsid w:val="003C3992"/>
    <w:rsid w:val="003C3996"/>
    <w:rsid w:val="003C3A95"/>
    <w:rsid w:val="003C3A9F"/>
    <w:rsid w:val="003C3B0D"/>
    <w:rsid w:val="003C3B14"/>
    <w:rsid w:val="003C3B55"/>
    <w:rsid w:val="003C3C05"/>
    <w:rsid w:val="003C3C12"/>
    <w:rsid w:val="003C3C68"/>
    <w:rsid w:val="003C3C71"/>
    <w:rsid w:val="003C3C8E"/>
    <w:rsid w:val="003C3D8C"/>
    <w:rsid w:val="003C3E18"/>
    <w:rsid w:val="003C3EAD"/>
    <w:rsid w:val="003C3F2B"/>
    <w:rsid w:val="003C3F8F"/>
    <w:rsid w:val="003C3F98"/>
    <w:rsid w:val="003C3FA0"/>
    <w:rsid w:val="003C3FCA"/>
    <w:rsid w:val="003C3FF2"/>
    <w:rsid w:val="003C3FFB"/>
    <w:rsid w:val="003C4017"/>
    <w:rsid w:val="003C4058"/>
    <w:rsid w:val="003C407D"/>
    <w:rsid w:val="003C40EF"/>
    <w:rsid w:val="003C415F"/>
    <w:rsid w:val="003C416E"/>
    <w:rsid w:val="003C419B"/>
    <w:rsid w:val="003C41A9"/>
    <w:rsid w:val="003C4204"/>
    <w:rsid w:val="003C423A"/>
    <w:rsid w:val="003C4257"/>
    <w:rsid w:val="003C4293"/>
    <w:rsid w:val="003C42BF"/>
    <w:rsid w:val="003C4385"/>
    <w:rsid w:val="003C4425"/>
    <w:rsid w:val="003C447B"/>
    <w:rsid w:val="003C44BC"/>
    <w:rsid w:val="003C4517"/>
    <w:rsid w:val="003C455C"/>
    <w:rsid w:val="003C4668"/>
    <w:rsid w:val="003C466C"/>
    <w:rsid w:val="003C46E6"/>
    <w:rsid w:val="003C471B"/>
    <w:rsid w:val="003C4721"/>
    <w:rsid w:val="003C4757"/>
    <w:rsid w:val="003C477A"/>
    <w:rsid w:val="003C47E6"/>
    <w:rsid w:val="003C47EE"/>
    <w:rsid w:val="003C485B"/>
    <w:rsid w:val="003C48F4"/>
    <w:rsid w:val="003C4957"/>
    <w:rsid w:val="003C49A7"/>
    <w:rsid w:val="003C4A21"/>
    <w:rsid w:val="003C4A62"/>
    <w:rsid w:val="003C4A67"/>
    <w:rsid w:val="003C4A78"/>
    <w:rsid w:val="003C4AE2"/>
    <w:rsid w:val="003C4B1B"/>
    <w:rsid w:val="003C4B4E"/>
    <w:rsid w:val="003C4B55"/>
    <w:rsid w:val="003C4B6F"/>
    <w:rsid w:val="003C4BB7"/>
    <w:rsid w:val="003C4BEF"/>
    <w:rsid w:val="003C4C45"/>
    <w:rsid w:val="003C4C8E"/>
    <w:rsid w:val="003C4D33"/>
    <w:rsid w:val="003C4D8B"/>
    <w:rsid w:val="003C4D99"/>
    <w:rsid w:val="003C4DC3"/>
    <w:rsid w:val="003C4E15"/>
    <w:rsid w:val="003C4E17"/>
    <w:rsid w:val="003C4E23"/>
    <w:rsid w:val="003C4E5B"/>
    <w:rsid w:val="003C4E89"/>
    <w:rsid w:val="003C4EBE"/>
    <w:rsid w:val="003C4ECB"/>
    <w:rsid w:val="003C4F58"/>
    <w:rsid w:val="003C4F86"/>
    <w:rsid w:val="003C4F8B"/>
    <w:rsid w:val="003C4FCF"/>
    <w:rsid w:val="003C5007"/>
    <w:rsid w:val="003C501E"/>
    <w:rsid w:val="003C506E"/>
    <w:rsid w:val="003C511B"/>
    <w:rsid w:val="003C5142"/>
    <w:rsid w:val="003C5244"/>
    <w:rsid w:val="003C52DD"/>
    <w:rsid w:val="003C534A"/>
    <w:rsid w:val="003C5362"/>
    <w:rsid w:val="003C5389"/>
    <w:rsid w:val="003C54F3"/>
    <w:rsid w:val="003C5518"/>
    <w:rsid w:val="003C553F"/>
    <w:rsid w:val="003C556A"/>
    <w:rsid w:val="003C557C"/>
    <w:rsid w:val="003C5652"/>
    <w:rsid w:val="003C5655"/>
    <w:rsid w:val="003C5686"/>
    <w:rsid w:val="003C5702"/>
    <w:rsid w:val="003C577F"/>
    <w:rsid w:val="003C5788"/>
    <w:rsid w:val="003C578F"/>
    <w:rsid w:val="003C5793"/>
    <w:rsid w:val="003C57D5"/>
    <w:rsid w:val="003C57FF"/>
    <w:rsid w:val="003C585B"/>
    <w:rsid w:val="003C58DA"/>
    <w:rsid w:val="003C58FA"/>
    <w:rsid w:val="003C590C"/>
    <w:rsid w:val="003C59EB"/>
    <w:rsid w:val="003C5A68"/>
    <w:rsid w:val="003C5B69"/>
    <w:rsid w:val="003C5CEB"/>
    <w:rsid w:val="003C5CFC"/>
    <w:rsid w:val="003C5D27"/>
    <w:rsid w:val="003C5D47"/>
    <w:rsid w:val="003C5DA1"/>
    <w:rsid w:val="003C5DC3"/>
    <w:rsid w:val="003C5DE0"/>
    <w:rsid w:val="003C5DF8"/>
    <w:rsid w:val="003C5E94"/>
    <w:rsid w:val="003C5E96"/>
    <w:rsid w:val="003C5EC2"/>
    <w:rsid w:val="003C5F68"/>
    <w:rsid w:val="003C5F89"/>
    <w:rsid w:val="003C5F97"/>
    <w:rsid w:val="003C5FEB"/>
    <w:rsid w:val="003C605D"/>
    <w:rsid w:val="003C60BE"/>
    <w:rsid w:val="003C60FC"/>
    <w:rsid w:val="003C6242"/>
    <w:rsid w:val="003C6283"/>
    <w:rsid w:val="003C62D9"/>
    <w:rsid w:val="003C631C"/>
    <w:rsid w:val="003C636D"/>
    <w:rsid w:val="003C63EF"/>
    <w:rsid w:val="003C63FF"/>
    <w:rsid w:val="003C640D"/>
    <w:rsid w:val="003C641A"/>
    <w:rsid w:val="003C644F"/>
    <w:rsid w:val="003C6453"/>
    <w:rsid w:val="003C64D4"/>
    <w:rsid w:val="003C65AD"/>
    <w:rsid w:val="003C65EF"/>
    <w:rsid w:val="003C65FB"/>
    <w:rsid w:val="003C6615"/>
    <w:rsid w:val="003C661F"/>
    <w:rsid w:val="003C6644"/>
    <w:rsid w:val="003C66C1"/>
    <w:rsid w:val="003C66FB"/>
    <w:rsid w:val="003C671D"/>
    <w:rsid w:val="003C6758"/>
    <w:rsid w:val="003C677D"/>
    <w:rsid w:val="003C67ED"/>
    <w:rsid w:val="003C6826"/>
    <w:rsid w:val="003C688F"/>
    <w:rsid w:val="003C6890"/>
    <w:rsid w:val="003C68DF"/>
    <w:rsid w:val="003C699C"/>
    <w:rsid w:val="003C6A43"/>
    <w:rsid w:val="003C6A48"/>
    <w:rsid w:val="003C6A4B"/>
    <w:rsid w:val="003C6A51"/>
    <w:rsid w:val="003C6B12"/>
    <w:rsid w:val="003C6B19"/>
    <w:rsid w:val="003C6B1D"/>
    <w:rsid w:val="003C6B27"/>
    <w:rsid w:val="003C6B69"/>
    <w:rsid w:val="003C6BE0"/>
    <w:rsid w:val="003C6C98"/>
    <w:rsid w:val="003C6CF9"/>
    <w:rsid w:val="003C6D02"/>
    <w:rsid w:val="003C6D1A"/>
    <w:rsid w:val="003C6D3D"/>
    <w:rsid w:val="003C6DA4"/>
    <w:rsid w:val="003C6DC0"/>
    <w:rsid w:val="003C6E11"/>
    <w:rsid w:val="003C6E2C"/>
    <w:rsid w:val="003C6E84"/>
    <w:rsid w:val="003C6EB5"/>
    <w:rsid w:val="003C6ECC"/>
    <w:rsid w:val="003C6F18"/>
    <w:rsid w:val="003C6F21"/>
    <w:rsid w:val="003C6F34"/>
    <w:rsid w:val="003C6F49"/>
    <w:rsid w:val="003C6F83"/>
    <w:rsid w:val="003C7063"/>
    <w:rsid w:val="003C7075"/>
    <w:rsid w:val="003C70B5"/>
    <w:rsid w:val="003C70C3"/>
    <w:rsid w:val="003C70CE"/>
    <w:rsid w:val="003C70D2"/>
    <w:rsid w:val="003C7109"/>
    <w:rsid w:val="003C711C"/>
    <w:rsid w:val="003C7144"/>
    <w:rsid w:val="003C7150"/>
    <w:rsid w:val="003C717C"/>
    <w:rsid w:val="003C71AF"/>
    <w:rsid w:val="003C71B7"/>
    <w:rsid w:val="003C71B8"/>
    <w:rsid w:val="003C71C0"/>
    <w:rsid w:val="003C71EA"/>
    <w:rsid w:val="003C7223"/>
    <w:rsid w:val="003C7262"/>
    <w:rsid w:val="003C7271"/>
    <w:rsid w:val="003C7291"/>
    <w:rsid w:val="003C72F3"/>
    <w:rsid w:val="003C730F"/>
    <w:rsid w:val="003C739A"/>
    <w:rsid w:val="003C7423"/>
    <w:rsid w:val="003C743E"/>
    <w:rsid w:val="003C74D0"/>
    <w:rsid w:val="003C7530"/>
    <w:rsid w:val="003C75A6"/>
    <w:rsid w:val="003C7603"/>
    <w:rsid w:val="003C7639"/>
    <w:rsid w:val="003C7642"/>
    <w:rsid w:val="003C7670"/>
    <w:rsid w:val="003C76A8"/>
    <w:rsid w:val="003C7732"/>
    <w:rsid w:val="003C773C"/>
    <w:rsid w:val="003C78D0"/>
    <w:rsid w:val="003C7963"/>
    <w:rsid w:val="003C79E7"/>
    <w:rsid w:val="003C7A00"/>
    <w:rsid w:val="003C7A03"/>
    <w:rsid w:val="003C7A26"/>
    <w:rsid w:val="003C7A3F"/>
    <w:rsid w:val="003C7AA8"/>
    <w:rsid w:val="003C7AD7"/>
    <w:rsid w:val="003C7B3A"/>
    <w:rsid w:val="003C7B44"/>
    <w:rsid w:val="003C7BA2"/>
    <w:rsid w:val="003C7BB3"/>
    <w:rsid w:val="003C7C5A"/>
    <w:rsid w:val="003C7CD0"/>
    <w:rsid w:val="003C7D0D"/>
    <w:rsid w:val="003C7D6D"/>
    <w:rsid w:val="003C7DAB"/>
    <w:rsid w:val="003C7E0D"/>
    <w:rsid w:val="003C7E35"/>
    <w:rsid w:val="003C7E5B"/>
    <w:rsid w:val="003C7E77"/>
    <w:rsid w:val="003C7F13"/>
    <w:rsid w:val="003C7F84"/>
    <w:rsid w:val="003C7FB2"/>
    <w:rsid w:val="003D0002"/>
    <w:rsid w:val="003D0036"/>
    <w:rsid w:val="003D0079"/>
    <w:rsid w:val="003D00F1"/>
    <w:rsid w:val="003D018D"/>
    <w:rsid w:val="003D01B6"/>
    <w:rsid w:val="003D01DD"/>
    <w:rsid w:val="003D0218"/>
    <w:rsid w:val="003D025C"/>
    <w:rsid w:val="003D0376"/>
    <w:rsid w:val="003D0396"/>
    <w:rsid w:val="003D0523"/>
    <w:rsid w:val="003D05BE"/>
    <w:rsid w:val="003D0613"/>
    <w:rsid w:val="003D07E3"/>
    <w:rsid w:val="003D089C"/>
    <w:rsid w:val="003D08D8"/>
    <w:rsid w:val="003D08FD"/>
    <w:rsid w:val="003D0913"/>
    <w:rsid w:val="003D0918"/>
    <w:rsid w:val="003D0926"/>
    <w:rsid w:val="003D09D8"/>
    <w:rsid w:val="003D09F3"/>
    <w:rsid w:val="003D0ABB"/>
    <w:rsid w:val="003D0ACE"/>
    <w:rsid w:val="003D0AD7"/>
    <w:rsid w:val="003D0BB4"/>
    <w:rsid w:val="003D0C00"/>
    <w:rsid w:val="003D0C12"/>
    <w:rsid w:val="003D0C27"/>
    <w:rsid w:val="003D0C87"/>
    <w:rsid w:val="003D0C9F"/>
    <w:rsid w:val="003D0CB9"/>
    <w:rsid w:val="003D0D4F"/>
    <w:rsid w:val="003D0E95"/>
    <w:rsid w:val="003D0EB9"/>
    <w:rsid w:val="003D0F10"/>
    <w:rsid w:val="003D0F36"/>
    <w:rsid w:val="003D0F82"/>
    <w:rsid w:val="003D0FAC"/>
    <w:rsid w:val="003D0FB8"/>
    <w:rsid w:val="003D0FEB"/>
    <w:rsid w:val="003D0FEC"/>
    <w:rsid w:val="003D0FFC"/>
    <w:rsid w:val="003D10C6"/>
    <w:rsid w:val="003D11C4"/>
    <w:rsid w:val="003D11D3"/>
    <w:rsid w:val="003D12DC"/>
    <w:rsid w:val="003D12F0"/>
    <w:rsid w:val="003D131F"/>
    <w:rsid w:val="003D134F"/>
    <w:rsid w:val="003D1389"/>
    <w:rsid w:val="003D1391"/>
    <w:rsid w:val="003D13E8"/>
    <w:rsid w:val="003D1440"/>
    <w:rsid w:val="003D150F"/>
    <w:rsid w:val="003D1527"/>
    <w:rsid w:val="003D1535"/>
    <w:rsid w:val="003D1554"/>
    <w:rsid w:val="003D1579"/>
    <w:rsid w:val="003D157D"/>
    <w:rsid w:val="003D15C4"/>
    <w:rsid w:val="003D1607"/>
    <w:rsid w:val="003D165F"/>
    <w:rsid w:val="003D16B6"/>
    <w:rsid w:val="003D16F7"/>
    <w:rsid w:val="003D17D1"/>
    <w:rsid w:val="003D180B"/>
    <w:rsid w:val="003D1819"/>
    <w:rsid w:val="003D182A"/>
    <w:rsid w:val="003D186E"/>
    <w:rsid w:val="003D1873"/>
    <w:rsid w:val="003D18B3"/>
    <w:rsid w:val="003D1922"/>
    <w:rsid w:val="003D19A7"/>
    <w:rsid w:val="003D1A0A"/>
    <w:rsid w:val="003D1A40"/>
    <w:rsid w:val="003D1AD4"/>
    <w:rsid w:val="003D1AFE"/>
    <w:rsid w:val="003D1B2B"/>
    <w:rsid w:val="003D1B44"/>
    <w:rsid w:val="003D1C75"/>
    <w:rsid w:val="003D1CC6"/>
    <w:rsid w:val="003D1CEA"/>
    <w:rsid w:val="003D1D8D"/>
    <w:rsid w:val="003D1DC6"/>
    <w:rsid w:val="003D1DD8"/>
    <w:rsid w:val="003D1E1B"/>
    <w:rsid w:val="003D1E6C"/>
    <w:rsid w:val="003D1EA3"/>
    <w:rsid w:val="003D1ECA"/>
    <w:rsid w:val="003D1F11"/>
    <w:rsid w:val="003D1F26"/>
    <w:rsid w:val="003D1F68"/>
    <w:rsid w:val="003D1F6C"/>
    <w:rsid w:val="003D1F80"/>
    <w:rsid w:val="003D1F90"/>
    <w:rsid w:val="003D2004"/>
    <w:rsid w:val="003D2038"/>
    <w:rsid w:val="003D20A7"/>
    <w:rsid w:val="003D2122"/>
    <w:rsid w:val="003D2193"/>
    <w:rsid w:val="003D21C4"/>
    <w:rsid w:val="003D21EB"/>
    <w:rsid w:val="003D220A"/>
    <w:rsid w:val="003D226F"/>
    <w:rsid w:val="003D22E7"/>
    <w:rsid w:val="003D22EE"/>
    <w:rsid w:val="003D234D"/>
    <w:rsid w:val="003D23B1"/>
    <w:rsid w:val="003D23B2"/>
    <w:rsid w:val="003D2419"/>
    <w:rsid w:val="003D2477"/>
    <w:rsid w:val="003D24A8"/>
    <w:rsid w:val="003D2543"/>
    <w:rsid w:val="003D2570"/>
    <w:rsid w:val="003D25BE"/>
    <w:rsid w:val="003D25C2"/>
    <w:rsid w:val="003D2601"/>
    <w:rsid w:val="003D2607"/>
    <w:rsid w:val="003D265C"/>
    <w:rsid w:val="003D266B"/>
    <w:rsid w:val="003D2689"/>
    <w:rsid w:val="003D2703"/>
    <w:rsid w:val="003D2749"/>
    <w:rsid w:val="003D277C"/>
    <w:rsid w:val="003D287E"/>
    <w:rsid w:val="003D2906"/>
    <w:rsid w:val="003D295B"/>
    <w:rsid w:val="003D2A23"/>
    <w:rsid w:val="003D2A24"/>
    <w:rsid w:val="003D2A4A"/>
    <w:rsid w:val="003D2A54"/>
    <w:rsid w:val="003D2A76"/>
    <w:rsid w:val="003D2AA8"/>
    <w:rsid w:val="003D2AE8"/>
    <w:rsid w:val="003D2AEC"/>
    <w:rsid w:val="003D2B11"/>
    <w:rsid w:val="003D2BF6"/>
    <w:rsid w:val="003D2C05"/>
    <w:rsid w:val="003D2C30"/>
    <w:rsid w:val="003D2C7E"/>
    <w:rsid w:val="003D2CA9"/>
    <w:rsid w:val="003D2CC6"/>
    <w:rsid w:val="003D2D0D"/>
    <w:rsid w:val="003D2DA4"/>
    <w:rsid w:val="003D2DFC"/>
    <w:rsid w:val="003D2E8B"/>
    <w:rsid w:val="003D2ECB"/>
    <w:rsid w:val="003D2ECD"/>
    <w:rsid w:val="003D2F31"/>
    <w:rsid w:val="003D2F36"/>
    <w:rsid w:val="003D2F7D"/>
    <w:rsid w:val="003D3078"/>
    <w:rsid w:val="003D3157"/>
    <w:rsid w:val="003D31BD"/>
    <w:rsid w:val="003D3265"/>
    <w:rsid w:val="003D326F"/>
    <w:rsid w:val="003D3394"/>
    <w:rsid w:val="003D33DA"/>
    <w:rsid w:val="003D33DF"/>
    <w:rsid w:val="003D3412"/>
    <w:rsid w:val="003D3468"/>
    <w:rsid w:val="003D3490"/>
    <w:rsid w:val="003D3594"/>
    <w:rsid w:val="003D35D1"/>
    <w:rsid w:val="003D363E"/>
    <w:rsid w:val="003D36D1"/>
    <w:rsid w:val="003D372F"/>
    <w:rsid w:val="003D37E4"/>
    <w:rsid w:val="003D37FD"/>
    <w:rsid w:val="003D383F"/>
    <w:rsid w:val="003D38D8"/>
    <w:rsid w:val="003D38ED"/>
    <w:rsid w:val="003D38EE"/>
    <w:rsid w:val="003D3AFE"/>
    <w:rsid w:val="003D3B5C"/>
    <w:rsid w:val="003D3B84"/>
    <w:rsid w:val="003D3BB3"/>
    <w:rsid w:val="003D3BC5"/>
    <w:rsid w:val="003D3C9E"/>
    <w:rsid w:val="003D3D07"/>
    <w:rsid w:val="003D3D1E"/>
    <w:rsid w:val="003D3D2E"/>
    <w:rsid w:val="003D3DAC"/>
    <w:rsid w:val="003D3E11"/>
    <w:rsid w:val="003D3E12"/>
    <w:rsid w:val="003D3E6B"/>
    <w:rsid w:val="003D3EB1"/>
    <w:rsid w:val="003D3EB7"/>
    <w:rsid w:val="003D3F13"/>
    <w:rsid w:val="003D3F7C"/>
    <w:rsid w:val="003D3FB7"/>
    <w:rsid w:val="003D3FDC"/>
    <w:rsid w:val="003D4045"/>
    <w:rsid w:val="003D40A1"/>
    <w:rsid w:val="003D41C7"/>
    <w:rsid w:val="003D41DE"/>
    <w:rsid w:val="003D41F1"/>
    <w:rsid w:val="003D4281"/>
    <w:rsid w:val="003D4288"/>
    <w:rsid w:val="003D42AD"/>
    <w:rsid w:val="003D434B"/>
    <w:rsid w:val="003D435E"/>
    <w:rsid w:val="003D43A6"/>
    <w:rsid w:val="003D446C"/>
    <w:rsid w:val="003D455E"/>
    <w:rsid w:val="003D45E6"/>
    <w:rsid w:val="003D4622"/>
    <w:rsid w:val="003D46B6"/>
    <w:rsid w:val="003D46BF"/>
    <w:rsid w:val="003D46DF"/>
    <w:rsid w:val="003D46F9"/>
    <w:rsid w:val="003D474D"/>
    <w:rsid w:val="003D47BB"/>
    <w:rsid w:val="003D4884"/>
    <w:rsid w:val="003D48E2"/>
    <w:rsid w:val="003D4A8D"/>
    <w:rsid w:val="003D4ADC"/>
    <w:rsid w:val="003D4AF4"/>
    <w:rsid w:val="003D4B95"/>
    <w:rsid w:val="003D4BAF"/>
    <w:rsid w:val="003D4C60"/>
    <w:rsid w:val="003D4D6C"/>
    <w:rsid w:val="003D4DD0"/>
    <w:rsid w:val="003D4DEA"/>
    <w:rsid w:val="003D4E13"/>
    <w:rsid w:val="003D4E23"/>
    <w:rsid w:val="003D4EC4"/>
    <w:rsid w:val="003D4ED4"/>
    <w:rsid w:val="003D4ED9"/>
    <w:rsid w:val="003D4F0B"/>
    <w:rsid w:val="003D4F14"/>
    <w:rsid w:val="003D4F83"/>
    <w:rsid w:val="003D4F9A"/>
    <w:rsid w:val="003D4FDB"/>
    <w:rsid w:val="003D5039"/>
    <w:rsid w:val="003D50A4"/>
    <w:rsid w:val="003D50C8"/>
    <w:rsid w:val="003D5180"/>
    <w:rsid w:val="003D528F"/>
    <w:rsid w:val="003D52BB"/>
    <w:rsid w:val="003D52C7"/>
    <w:rsid w:val="003D52E6"/>
    <w:rsid w:val="003D52FF"/>
    <w:rsid w:val="003D5336"/>
    <w:rsid w:val="003D53A9"/>
    <w:rsid w:val="003D53F6"/>
    <w:rsid w:val="003D546B"/>
    <w:rsid w:val="003D54C0"/>
    <w:rsid w:val="003D54C7"/>
    <w:rsid w:val="003D551B"/>
    <w:rsid w:val="003D557F"/>
    <w:rsid w:val="003D55FF"/>
    <w:rsid w:val="003D5607"/>
    <w:rsid w:val="003D5651"/>
    <w:rsid w:val="003D5679"/>
    <w:rsid w:val="003D5784"/>
    <w:rsid w:val="003D57CF"/>
    <w:rsid w:val="003D5820"/>
    <w:rsid w:val="003D5841"/>
    <w:rsid w:val="003D58BD"/>
    <w:rsid w:val="003D5996"/>
    <w:rsid w:val="003D59E7"/>
    <w:rsid w:val="003D5B00"/>
    <w:rsid w:val="003D5B08"/>
    <w:rsid w:val="003D5BE3"/>
    <w:rsid w:val="003D5C10"/>
    <w:rsid w:val="003D5C5E"/>
    <w:rsid w:val="003D5CFD"/>
    <w:rsid w:val="003D5D54"/>
    <w:rsid w:val="003D5D80"/>
    <w:rsid w:val="003D5DAB"/>
    <w:rsid w:val="003D5DC6"/>
    <w:rsid w:val="003D5E53"/>
    <w:rsid w:val="003D5E69"/>
    <w:rsid w:val="003D5EF7"/>
    <w:rsid w:val="003D5F54"/>
    <w:rsid w:val="003D5FA3"/>
    <w:rsid w:val="003D5FEF"/>
    <w:rsid w:val="003D601F"/>
    <w:rsid w:val="003D6071"/>
    <w:rsid w:val="003D61A0"/>
    <w:rsid w:val="003D61D4"/>
    <w:rsid w:val="003D61E9"/>
    <w:rsid w:val="003D6211"/>
    <w:rsid w:val="003D627B"/>
    <w:rsid w:val="003D6285"/>
    <w:rsid w:val="003D63F1"/>
    <w:rsid w:val="003D643A"/>
    <w:rsid w:val="003D6464"/>
    <w:rsid w:val="003D6476"/>
    <w:rsid w:val="003D6520"/>
    <w:rsid w:val="003D6564"/>
    <w:rsid w:val="003D6658"/>
    <w:rsid w:val="003D66A9"/>
    <w:rsid w:val="003D6729"/>
    <w:rsid w:val="003D6758"/>
    <w:rsid w:val="003D67F3"/>
    <w:rsid w:val="003D6815"/>
    <w:rsid w:val="003D6850"/>
    <w:rsid w:val="003D6854"/>
    <w:rsid w:val="003D6923"/>
    <w:rsid w:val="003D692B"/>
    <w:rsid w:val="003D6936"/>
    <w:rsid w:val="003D6967"/>
    <w:rsid w:val="003D6976"/>
    <w:rsid w:val="003D69E0"/>
    <w:rsid w:val="003D6A13"/>
    <w:rsid w:val="003D6A25"/>
    <w:rsid w:val="003D6A29"/>
    <w:rsid w:val="003D6A4C"/>
    <w:rsid w:val="003D6B43"/>
    <w:rsid w:val="003D6BAC"/>
    <w:rsid w:val="003D6C16"/>
    <w:rsid w:val="003D6CEE"/>
    <w:rsid w:val="003D6D99"/>
    <w:rsid w:val="003D6E34"/>
    <w:rsid w:val="003D6E59"/>
    <w:rsid w:val="003D6E5A"/>
    <w:rsid w:val="003D6E83"/>
    <w:rsid w:val="003D6EA6"/>
    <w:rsid w:val="003D6F2F"/>
    <w:rsid w:val="003D7002"/>
    <w:rsid w:val="003D7041"/>
    <w:rsid w:val="003D7048"/>
    <w:rsid w:val="003D705F"/>
    <w:rsid w:val="003D706F"/>
    <w:rsid w:val="003D70EF"/>
    <w:rsid w:val="003D70FA"/>
    <w:rsid w:val="003D7150"/>
    <w:rsid w:val="003D716D"/>
    <w:rsid w:val="003D7208"/>
    <w:rsid w:val="003D721B"/>
    <w:rsid w:val="003D721F"/>
    <w:rsid w:val="003D72DB"/>
    <w:rsid w:val="003D72F9"/>
    <w:rsid w:val="003D72FF"/>
    <w:rsid w:val="003D734A"/>
    <w:rsid w:val="003D7372"/>
    <w:rsid w:val="003D7396"/>
    <w:rsid w:val="003D73F9"/>
    <w:rsid w:val="003D7453"/>
    <w:rsid w:val="003D74CB"/>
    <w:rsid w:val="003D74F3"/>
    <w:rsid w:val="003D7502"/>
    <w:rsid w:val="003D758F"/>
    <w:rsid w:val="003D75D2"/>
    <w:rsid w:val="003D75EC"/>
    <w:rsid w:val="003D770F"/>
    <w:rsid w:val="003D777E"/>
    <w:rsid w:val="003D77D5"/>
    <w:rsid w:val="003D781D"/>
    <w:rsid w:val="003D7821"/>
    <w:rsid w:val="003D787D"/>
    <w:rsid w:val="003D79A8"/>
    <w:rsid w:val="003D79D8"/>
    <w:rsid w:val="003D7A9D"/>
    <w:rsid w:val="003D7B14"/>
    <w:rsid w:val="003D7BF1"/>
    <w:rsid w:val="003D7C55"/>
    <w:rsid w:val="003D7CAB"/>
    <w:rsid w:val="003D7D1C"/>
    <w:rsid w:val="003D7D52"/>
    <w:rsid w:val="003D7D54"/>
    <w:rsid w:val="003D7E5C"/>
    <w:rsid w:val="003D7E87"/>
    <w:rsid w:val="003E0077"/>
    <w:rsid w:val="003E0097"/>
    <w:rsid w:val="003E00B4"/>
    <w:rsid w:val="003E00EA"/>
    <w:rsid w:val="003E00EF"/>
    <w:rsid w:val="003E0100"/>
    <w:rsid w:val="003E0125"/>
    <w:rsid w:val="003E01B5"/>
    <w:rsid w:val="003E0200"/>
    <w:rsid w:val="003E026A"/>
    <w:rsid w:val="003E0291"/>
    <w:rsid w:val="003E02CA"/>
    <w:rsid w:val="003E0359"/>
    <w:rsid w:val="003E03A6"/>
    <w:rsid w:val="003E03CB"/>
    <w:rsid w:val="003E0436"/>
    <w:rsid w:val="003E0438"/>
    <w:rsid w:val="003E04E2"/>
    <w:rsid w:val="003E05E7"/>
    <w:rsid w:val="003E066D"/>
    <w:rsid w:val="003E0690"/>
    <w:rsid w:val="003E06DB"/>
    <w:rsid w:val="003E06F7"/>
    <w:rsid w:val="003E0707"/>
    <w:rsid w:val="003E072C"/>
    <w:rsid w:val="003E072E"/>
    <w:rsid w:val="003E0772"/>
    <w:rsid w:val="003E0775"/>
    <w:rsid w:val="003E07B9"/>
    <w:rsid w:val="003E07BD"/>
    <w:rsid w:val="003E080A"/>
    <w:rsid w:val="003E08B4"/>
    <w:rsid w:val="003E08C7"/>
    <w:rsid w:val="003E08D5"/>
    <w:rsid w:val="003E08DE"/>
    <w:rsid w:val="003E08EA"/>
    <w:rsid w:val="003E08ED"/>
    <w:rsid w:val="003E098C"/>
    <w:rsid w:val="003E0998"/>
    <w:rsid w:val="003E099A"/>
    <w:rsid w:val="003E09D1"/>
    <w:rsid w:val="003E0AD1"/>
    <w:rsid w:val="003E0AD2"/>
    <w:rsid w:val="003E0B0B"/>
    <w:rsid w:val="003E0BAA"/>
    <w:rsid w:val="003E0C1C"/>
    <w:rsid w:val="003E0EF8"/>
    <w:rsid w:val="003E0F05"/>
    <w:rsid w:val="003E0F06"/>
    <w:rsid w:val="003E0F16"/>
    <w:rsid w:val="003E0F52"/>
    <w:rsid w:val="003E0F68"/>
    <w:rsid w:val="003E0F9D"/>
    <w:rsid w:val="003E1089"/>
    <w:rsid w:val="003E1098"/>
    <w:rsid w:val="003E10C4"/>
    <w:rsid w:val="003E10DA"/>
    <w:rsid w:val="003E110A"/>
    <w:rsid w:val="003E110E"/>
    <w:rsid w:val="003E11B3"/>
    <w:rsid w:val="003E12E6"/>
    <w:rsid w:val="003E12EF"/>
    <w:rsid w:val="003E13EC"/>
    <w:rsid w:val="003E1413"/>
    <w:rsid w:val="003E1420"/>
    <w:rsid w:val="003E1490"/>
    <w:rsid w:val="003E1502"/>
    <w:rsid w:val="003E159F"/>
    <w:rsid w:val="003E1620"/>
    <w:rsid w:val="003E1630"/>
    <w:rsid w:val="003E16EA"/>
    <w:rsid w:val="003E1740"/>
    <w:rsid w:val="003E1780"/>
    <w:rsid w:val="003E17D3"/>
    <w:rsid w:val="003E181A"/>
    <w:rsid w:val="003E183C"/>
    <w:rsid w:val="003E1844"/>
    <w:rsid w:val="003E18E0"/>
    <w:rsid w:val="003E18FE"/>
    <w:rsid w:val="003E197B"/>
    <w:rsid w:val="003E1A1F"/>
    <w:rsid w:val="003E1A4C"/>
    <w:rsid w:val="003E1A5C"/>
    <w:rsid w:val="003E1AA4"/>
    <w:rsid w:val="003E1AE2"/>
    <w:rsid w:val="003E1B91"/>
    <w:rsid w:val="003E1C90"/>
    <w:rsid w:val="003E1CB4"/>
    <w:rsid w:val="003E1D24"/>
    <w:rsid w:val="003E1D58"/>
    <w:rsid w:val="003E1DAF"/>
    <w:rsid w:val="003E1DEC"/>
    <w:rsid w:val="003E1E47"/>
    <w:rsid w:val="003E1E8B"/>
    <w:rsid w:val="003E1EA6"/>
    <w:rsid w:val="003E1EBB"/>
    <w:rsid w:val="003E1EE5"/>
    <w:rsid w:val="003E1EEA"/>
    <w:rsid w:val="003E1F06"/>
    <w:rsid w:val="003E2027"/>
    <w:rsid w:val="003E204B"/>
    <w:rsid w:val="003E2050"/>
    <w:rsid w:val="003E2065"/>
    <w:rsid w:val="003E208E"/>
    <w:rsid w:val="003E214F"/>
    <w:rsid w:val="003E215A"/>
    <w:rsid w:val="003E21A2"/>
    <w:rsid w:val="003E21CF"/>
    <w:rsid w:val="003E227D"/>
    <w:rsid w:val="003E2376"/>
    <w:rsid w:val="003E24F4"/>
    <w:rsid w:val="003E254A"/>
    <w:rsid w:val="003E257C"/>
    <w:rsid w:val="003E25EF"/>
    <w:rsid w:val="003E2629"/>
    <w:rsid w:val="003E2691"/>
    <w:rsid w:val="003E26FB"/>
    <w:rsid w:val="003E271F"/>
    <w:rsid w:val="003E2735"/>
    <w:rsid w:val="003E278D"/>
    <w:rsid w:val="003E27A6"/>
    <w:rsid w:val="003E27C8"/>
    <w:rsid w:val="003E2807"/>
    <w:rsid w:val="003E2830"/>
    <w:rsid w:val="003E2838"/>
    <w:rsid w:val="003E28BD"/>
    <w:rsid w:val="003E291B"/>
    <w:rsid w:val="003E296B"/>
    <w:rsid w:val="003E29BE"/>
    <w:rsid w:val="003E2A1B"/>
    <w:rsid w:val="003E2AFE"/>
    <w:rsid w:val="003E2B6E"/>
    <w:rsid w:val="003E2B96"/>
    <w:rsid w:val="003E2BC6"/>
    <w:rsid w:val="003E2C01"/>
    <w:rsid w:val="003E2C22"/>
    <w:rsid w:val="003E2D86"/>
    <w:rsid w:val="003E2E7E"/>
    <w:rsid w:val="003E2EA1"/>
    <w:rsid w:val="003E2EC6"/>
    <w:rsid w:val="003E2ED9"/>
    <w:rsid w:val="003E2F4B"/>
    <w:rsid w:val="003E3044"/>
    <w:rsid w:val="003E3081"/>
    <w:rsid w:val="003E31AA"/>
    <w:rsid w:val="003E31B4"/>
    <w:rsid w:val="003E31FB"/>
    <w:rsid w:val="003E3260"/>
    <w:rsid w:val="003E32A4"/>
    <w:rsid w:val="003E32B4"/>
    <w:rsid w:val="003E32C1"/>
    <w:rsid w:val="003E3392"/>
    <w:rsid w:val="003E33A7"/>
    <w:rsid w:val="003E3404"/>
    <w:rsid w:val="003E3687"/>
    <w:rsid w:val="003E36CE"/>
    <w:rsid w:val="003E378F"/>
    <w:rsid w:val="003E37C6"/>
    <w:rsid w:val="003E3826"/>
    <w:rsid w:val="003E385C"/>
    <w:rsid w:val="003E38DF"/>
    <w:rsid w:val="003E3913"/>
    <w:rsid w:val="003E3914"/>
    <w:rsid w:val="003E394B"/>
    <w:rsid w:val="003E396A"/>
    <w:rsid w:val="003E399A"/>
    <w:rsid w:val="003E39E6"/>
    <w:rsid w:val="003E3A18"/>
    <w:rsid w:val="003E3A1C"/>
    <w:rsid w:val="003E3A9A"/>
    <w:rsid w:val="003E3B5C"/>
    <w:rsid w:val="003E3BC5"/>
    <w:rsid w:val="003E3BFB"/>
    <w:rsid w:val="003E3CD3"/>
    <w:rsid w:val="003E3D17"/>
    <w:rsid w:val="003E3D4F"/>
    <w:rsid w:val="003E3DE3"/>
    <w:rsid w:val="003E3E4E"/>
    <w:rsid w:val="003E3E61"/>
    <w:rsid w:val="003E3EDA"/>
    <w:rsid w:val="003E3F06"/>
    <w:rsid w:val="003E3F6C"/>
    <w:rsid w:val="003E3FF2"/>
    <w:rsid w:val="003E4086"/>
    <w:rsid w:val="003E40BD"/>
    <w:rsid w:val="003E4156"/>
    <w:rsid w:val="003E41A9"/>
    <w:rsid w:val="003E41EE"/>
    <w:rsid w:val="003E4273"/>
    <w:rsid w:val="003E42C4"/>
    <w:rsid w:val="003E4311"/>
    <w:rsid w:val="003E43A0"/>
    <w:rsid w:val="003E43A7"/>
    <w:rsid w:val="003E43AD"/>
    <w:rsid w:val="003E43B2"/>
    <w:rsid w:val="003E43B9"/>
    <w:rsid w:val="003E4410"/>
    <w:rsid w:val="003E44D9"/>
    <w:rsid w:val="003E44EF"/>
    <w:rsid w:val="003E4502"/>
    <w:rsid w:val="003E4529"/>
    <w:rsid w:val="003E4586"/>
    <w:rsid w:val="003E464A"/>
    <w:rsid w:val="003E46A0"/>
    <w:rsid w:val="003E46D7"/>
    <w:rsid w:val="003E4773"/>
    <w:rsid w:val="003E4779"/>
    <w:rsid w:val="003E47EB"/>
    <w:rsid w:val="003E47F6"/>
    <w:rsid w:val="003E483A"/>
    <w:rsid w:val="003E484B"/>
    <w:rsid w:val="003E485D"/>
    <w:rsid w:val="003E48C3"/>
    <w:rsid w:val="003E48FF"/>
    <w:rsid w:val="003E4908"/>
    <w:rsid w:val="003E492C"/>
    <w:rsid w:val="003E4964"/>
    <w:rsid w:val="003E497B"/>
    <w:rsid w:val="003E49F5"/>
    <w:rsid w:val="003E49FB"/>
    <w:rsid w:val="003E49FE"/>
    <w:rsid w:val="003E4A24"/>
    <w:rsid w:val="003E4A37"/>
    <w:rsid w:val="003E4AA3"/>
    <w:rsid w:val="003E4B5C"/>
    <w:rsid w:val="003E4C4E"/>
    <w:rsid w:val="003E4C55"/>
    <w:rsid w:val="003E4CCF"/>
    <w:rsid w:val="003E4DBB"/>
    <w:rsid w:val="003E4E10"/>
    <w:rsid w:val="003E4E33"/>
    <w:rsid w:val="003E4EBD"/>
    <w:rsid w:val="003E4EEB"/>
    <w:rsid w:val="003E4EF3"/>
    <w:rsid w:val="003E4FC1"/>
    <w:rsid w:val="003E5064"/>
    <w:rsid w:val="003E50A8"/>
    <w:rsid w:val="003E50C7"/>
    <w:rsid w:val="003E5120"/>
    <w:rsid w:val="003E5126"/>
    <w:rsid w:val="003E5149"/>
    <w:rsid w:val="003E51D8"/>
    <w:rsid w:val="003E5258"/>
    <w:rsid w:val="003E526D"/>
    <w:rsid w:val="003E5366"/>
    <w:rsid w:val="003E53BA"/>
    <w:rsid w:val="003E53D6"/>
    <w:rsid w:val="003E53F2"/>
    <w:rsid w:val="003E5420"/>
    <w:rsid w:val="003E5433"/>
    <w:rsid w:val="003E543D"/>
    <w:rsid w:val="003E5481"/>
    <w:rsid w:val="003E5486"/>
    <w:rsid w:val="003E54F6"/>
    <w:rsid w:val="003E559D"/>
    <w:rsid w:val="003E55BB"/>
    <w:rsid w:val="003E5638"/>
    <w:rsid w:val="003E565E"/>
    <w:rsid w:val="003E5671"/>
    <w:rsid w:val="003E5692"/>
    <w:rsid w:val="003E569B"/>
    <w:rsid w:val="003E573F"/>
    <w:rsid w:val="003E5800"/>
    <w:rsid w:val="003E5820"/>
    <w:rsid w:val="003E5833"/>
    <w:rsid w:val="003E585C"/>
    <w:rsid w:val="003E5870"/>
    <w:rsid w:val="003E5875"/>
    <w:rsid w:val="003E58CB"/>
    <w:rsid w:val="003E597C"/>
    <w:rsid w:val="003E5996"/>
    <w:rsid w:val="003E59BF"/>
    <w:rsid w:val="003E59C6"/>
    <w:rsid w:val="003E59C8"/>
    <w:rsid w:val="003E59CE"/>
    <w:rsid w:val="003E5B16"/>
    <w:rsid w:val="003E5B4D"/>
    <w:rsid w:val="003E5BF7"/>
    <w:rsid w:val="003E5BFB"/>
    <w:rsid w:val="003E5C02"/>
    <w:rsid w:val="003E5C4E"/>
    <w:rsid w:val="003E5C8D"/>
    <w:rsid w:val="003E5CE7"/>
    <w:rsid w:val="003E5DE5"/>
    <w:rsid w:val="003E5DFD"/>
    <w:rsid w:val="003E5EA0"/>
    <w:rsid w:val="003E5EBF"/>
    <w:rsid w:val="003E5EC1"/>
    <w:rsid w:val="003E5F5B"/>
    <w:rsid w:val="003E5F6E"/>
    <w:rsid w:val="003E5FCC"/>
    <w:rsid w:val="003E6043"/>
    <w:rsid w:val="003E6047"/>
    <w:rsid w:val="003E605D"/>
    <w:rsid w:val="003E6065"/>
    <w:rsid w:val="003E60AD"/>
    <w:rsid w:val="003E6142"/>
    <w:rsid w:val="003E6170"/>
    <w:rsid w:val="003E61DE"/>
    <w:rsid w:val="003E624E"/>
    <w:rsid w:val="003E625E"/>
    <w:rsid w:val="003E6360"/>
    <w:rsid w:val="003E6423"/>
    <w:rsid w:val="003E6441"/>
    <w:rsid w:val="003E6511"/>
    <w:rsid w:val="003E6573"/>
    <w:rsid w:val="003E65CB"/>
    <w:rsid w:val="003E65EE"/>
    <w:rsid w:val="003E666C"/>
    <w:rsid w:val="003E66B9"/>
    <w:rsid w:val="003E6763"/>
    <w:rsid w:val="003E677F"/>
    <w:rsid w:val="003E67F3"/>
    <w:rsid w:val="003E67F7"/>
    <w:rsid w:val="003E6825"/>
    <w:rsid w:val="003E6828"/>
    <w:rsid w:val="003E684F"/>
    <w:rsid w:val="003E690D"/>
    <w:rsid w:val="003E696B"/>
    <w:rsid w:val="003E69A2"/>
    <w:rsid w:val="003E69CF"/>
    <w:rsid w:val="003E6A14"/>
    <w:rsid w:val="003E6A24"/>
    <w:rsid w:val="003E6A3E"/>
    <w:rsid w:val="003E6A4E"/>
    <w:rsid w:val="003E6B3F"/>
    <w:rsid w:val="003E6C33"/>
    <w:rsid w:val="003E6C46"/>
    <w:rsid w:val="003E6CA8"/>
    <w:rsid w:val="003E6CB4"/>
    <w:rsid w:val="003E6D39"/>
    <w:rsid w:val="003E6D3E"/>
    <w:rsid w:val="003E6D63"/>
    <w:rsid w:val="003E6D88"/>
    <w:rsid w:val="003E6DE1"/>
    <w:rsid w:val="003E6EA0"/>
    <w:rsid w:val="003E6ECB"/>
    <w:rsid w:val="003E6F5F"/>
    <w:rsid w:val="003E6F70"/>
    <w:rsid w:val="003E6FF0"/>
    <w:rsid w:val="003E701D"/>
    <w:rsid w:val="003E7114"/>
    <w:rsid w:val="003E7221"/>
    <w:rsid w:val="003E7277"/>
    <w:rsid w:val="003E727D"/>
    <w:rsid w:val="003E7298"/>
    <w:rsid w:val="003E729D"/>
    <w:rsid w:val="003E7365"/>
    <w:rsid w:val="003E73F4"/>
    <w:rsid w:val="003E7408"/>
    <w:rsid w:val="003E7451"/>
    <w:rsid w:val="003E748B"/>
    <w:rsid w:val="003E7550"/>
    <w:rsid w:val="003E75EB"/>
    <w:rsid w:val="003E7605"/>
    <w:rsid w:val="003E767D"/>
    <w:rsid w:val="003E76A4"/>
    <w:rsid w:val="003E774B"/>
    <w:rsid w:val="003E7763"/>
    <w:rsid w:val="003E77B1"/>
    <w:rsid w:val="003E77E6"/>
    <w:rsid w:val="003E7898"/>
    <w:rsid w:val="003E789F"/>
    <w:rsid w:val="003E78E3"/>
    <w:rsid w:val="003E78ED"/>
    <w:rsid w:val="003E7934"/>
    <w:rsid w:val="003E7968"/>
    <w:rsid w:val="003E7969"/>
    <w:rsid w:val="003E7A9B"/>
    <w:rsid w:val="003E7A9F"/>
    <w:rsid w:val="003E7AE6"/>
    <w:rsid w:val="003E7BDF"/>
    <w:rsid w:val="003E7C04"/>
    <w:rsid w:val="003E7C9D"/>
    <w:rsid w:val="003E7CCE"/>
    <w:rsid w:val="003E7CE1"/>
    <w:rsid w:val="003E7D98"/>
    <w:rsid w:val="003E7E18"/>
    <w:rsid w:val="003E7EE2"/>
    <w:rsid w:val="003F0001"/>
    <w:rsid w:val="003F007F"/>
    <w:rsid w:val="003F00C0"/>
    <w:rsid w:val="003F00C9"/>
    <w:rsid w:val="003F0125"/>
    <w:rsid w:val="003F0173"/>
    <w:rsid w:val="003F01C1"/>
    <w:rsid w:val="003F0283"/>
    <w:rsid w:val="003F0284"/>
    <w:rsid w:val="003F02C4"/>
    <w:rsid w:val="003F034C"/>
    <w:rsid w:val="003F0354"/>
    <w:rsid w:val="003F03DF"/>
    <w:rsid w:val="003F0430"/>
    <w:rsid w:val="003F0489"/>
    <w:rsid w:val="003F0500"/>
    <w:rsid w:val="003F0564"/>
    <w:rsid w:val="003F0664"/>
    <w:rsid w:val="003F0679"/>
    <w:rsid w:val="003F06E8"/>
    <w:rsid w:val="003F0714"/>
    <w:rsid w:val="003F0930"/>
    <w:rsid w:val="003F0932"/>
    <w:rsid w:val="003F096B"/>
    <w:rsid w:val="003F096D"/>
    <w:rsid w:val="003F0970"/>
    <w:rsid w:val="003F0A0A"/>
    <w:rsid w:val="003F0A40"/>
    <w:rsid w:val="003F0AE4"/>
    <w:rsid w:val="003F0C31"/>
    <w:rsid w:val="003F0C38"/>
    <w:rsid w:val="003F0C74"/>
    <w:rsid w:val="003F0CA4"/>
    <w:rsid w:val="003F0D12"/>
    <w:rsid w:val="003F0DA2"/>
    <w:rsid w:val="003F0ED8"/>
    <w:rsid w:val="003F0F05"/>
    <w:rsid w:val="003F0F81"/>
    <w:rsid w:val="003F0F94"/>
    <w:rsid w:val="003F0FCD"/>
    <w:rsid w:val="003F0FCE"/>
    <w:rsid w:val="003F0FF6"/>
    <w:rsid w:val="003F10E0"/>
    <w:rsid w:val="003F10F4"/>
    <w:rsid w:val="003F1103"/>
    <w:rsid w:val="003F117E"/>
    <w:rsid w:val="003F1199"/>
    <w:rsid w:val="003F11AD"/>
    <w:rsid w:val="003F11BE"/>
    <w:rsid w:val="003F11CB"/>
    <w:rsid w:val="003F13D0"/>
    <w:rsid w:val="003F1425"/>
    <w:rsid w:val="003F148C"/>
    <w:rsid w:val="003F149C"/>
    <w:rsid w:val="003F1510"/>
    <w:rsid w:val="003F1517"/>
    <w:rsid w:val="003F153D"/>
    <w:rsid w:val="003F15CE"/>
    <w:rsid w:val="003F1624"/>
    <w:rsid w:val="003F167A"/>
    <w:rsid w:val="003F168C"/>
    <w:rsid w:val="003F169C"/>
    <w:rsid w:val="003F16BC"/>
    <w:rsid w:val="003F16BF"/>
    <w:rsid w:val="003F16F0"/>
    <w:rsid w:val="003F171B"/>
    <w:rsid w:val="003F173C"/>
    <w:rsid w:val="003F17E7"/>
    <w:rsid w:val="003F1815"/>
    <w:rsid w:val="003F189D"/>
    <w:rsid w:val="003F1A1B"/>
    <w:rsid w:val="003F1A1D"/>
    <w:rsid w:val="003F1A74"/>
    <w:rsid w:val="003F1A8D"/>
    <w:rsid w:val="003F1AD4"/>
    <w:rsid w:val="003F1B28"/>
    <w:rsid w:val="003F1B39"/>
    <w:rsid w:val="003F1BCB"/>
    <w:rsid w:val="003F1C82"/>
    <w:rsid w:val="003F1CD0"/>
    <w:rsid w:val="003F1D25"/>
    <w:rsid w:val="003F1D7F"/>
    <w:rsid w:val="003F1D90"/>
    <w:rsid w:val="003F1DBE"/>
    <w:rsid w:val="003F1EF1"/>
    <w:rsid w:val="003F1FCC"/>
    <w:rsid w:val="003F2019"/>
    <w:rsid w:val="003F20B6"/>
    <w:rsid w:val="003F20BF"/>
    <w:rsid w:val="003F2175"/>
    <w:rsid w:val="003F218F"/>
    <w:rsid w:val="003F21AA"/>
    <w:rsid w:val="003F21FA"/>
    <w:rsid w:val="003F2215"/>
    <w:rsid w:val="003F2220"/>
    <w:rsid w:val="003F2286"/>
    <w:rsid w:val="003F23AD"/>
    <w:rsid w:val="003F23EA"/>
    <w:rsid w:val="003F2403"/>
    <w:rsid w:val="003F2481"/>
    <w:rsid w:val="003F24B5"/>
    <w:rsid w:val="003F24DF"/>
    <w:rsid w:val="003F24FE"/>
    <w:rsid w:val="003F253D"/>
    <w:rsid w:val="003F2549"/>
    <w:rsid w:val="003F258A"/>
    <w:rsid w:val="003F25E3"/>
    <w:rsid w:val="003F2634"/>
    <w:rsid w:val="003F26A5"/>
    <w:rsid w:val="003F2749"/>
    <w:rsid w:val="003F2767"/>
    <w:rsid w:val="003F27C6"/>
    <w:rsid w:val="003F2800"/>
    <w:rsid w:val="003F282D"/>
    <w:rsid w:val="003F28AA"/>
    <w:rsid w:val="003F2963"/>
    <w:rsid w:val="003F2974"/>
    <w:rsid w:val="003F2989"/>
    <w:rsid w:val="003F29B3"/>
    <w:rsid w:val="003F2AB0"/>
    <w:rsid w:val="003F2AD3"/>
    <w:rsid w:val="003F2ADD"/>
    <w:rsid w:val="003F2B57"/>
    <w:rsid w:val="003F2D84"/>
    <w:rsid w:val="003F2DD9"/>
    <w:rsid w:val="003F2E09"/>
    <w:rsid w:val="003F2E6A"/>
    <w:rsid w:val="003F2E87"/>
    <w:rsid w:val="003F2F01"/>
    <w:rsid w:val="003F2F18"/>
    <w:rsid w:val="003F2F1D"/>
    <w:rsid w:val="003F2F4B"/>
    <w:rsid w:val="003F3073"/>
    <w:rsid w:val="003F3153"/>
    <w:rsid w:val="003F3236"/>
    <w:rsid w:val="003F3301"/>
    <w:rsid w:val="003F3324"/>
    <w:rsid w:val="003F333D"/>
    <w:rsid w:val="003F3349"/>
    <w:rsid w:val="003F3382"/>
    <w:rsid w:val="003F343E"/>
    <w:rsid w:val="003F34EE"/>
    <w:rsid w:val="003F3526"/>
    <w:rsid w:val="003F3554"/>
    <w:rsid w:val="003F357E"/>
    <w:rsid w:val="003F3586"/>
    <w:rsid w:val="003F3590"/>
    <w:rsid w:val="003F3641"/>
    <w:rsid w:val="003F365E"/>
    <w:rsid w:val="003F3680"/>
    <w:rsid w:val="003F36A2"/>
    <w:rsid w:val="003F3733"/>
    <w:rsid w:val="003F37DE"/>
    <w:rsid w:val="003F383C"/>
    <w:rsid w:val="003F393B"/>
    <w:rsid w:val="003F3970"/>
    <w:rsid w:val="003F39FF"/>
    <w:rsid w:val="003F3B28"/>
    <w:rsid w:val="003F3B58"/>
    <w:rsid w:val="003F3B94"/>
    <w:rsid w:val="003F3BD4"/>
    <w:rsid w:val="003F3BFC"/>
    <w:rsid w:val="003F3C08"/>
    <w:rsid w:val="003F3C0E"/>
    <w:rsid w:val="003F3C59"/>
    <w:rsid w:val="003F3CA1"/>
    <w:rsid w:val="003F3D1C"/>
    <w:rsid w:val="003F3D90"/>
    <w:rsid w:val="003F3D96"/>
    <w:rsid w:val="003F3DE0"/>
    <w:rsid w:val="003F3DEF"/>
    <w:rsid w:val="003F3E07"/>
    <w:rsid w:val="003F3E3D"/>
    <w:rsid w:val="003F3E51"/>
    <w:rsid w:val="003F3F19"/>
    <w:rsid w:val="003F3F90"/>
    <w:rsid w:val="003F3F94"/>
    <w:rsid w:val="003F3FAB"/>
    <w:rsid w:val="003F3FAC"/>
    <w:rsid w:val="003F401D"/>
    <w:rsid w:val="003F401F"/>
    <w:rsid w:val="003F4100"/>
    <w:rsid w:val="003F4109"/>
    <w:rsid w:val="003F41C5"/>
    <w:rsid w:val="003F41EE"/>
    <w:rsid w:val="003F4203"/>
    <w:rsid w:val="003F420E"/>
    <w:rsid w:val="003F42CB"/>
    <w:rsid w:val="003F42F2"/>
    <w:rsid w:val="003F4326"/>
    <w:rsid w:val="003F4399"/>
    <w:rsid w:val="003F439B"/>
    <w:rsid w:val="003F43CB"/>
    <w:rsid w:val="003F43E1"/>
    <w:rsid w:val="003F44AF"/>
    <w:rsid w:val="003F44B4"/>
    <w:rsid w:val="003F44D0"/>
    <w:rsid w:val="003F44D7"/>
    <w:rsid w:val="003F44DF"/>
    <w:rsid w:val="003F452A"/>
    <w:rsid w:val="003F459D"/>
    <w:rsid w:val="003F45CC"/>
    <w:rsid w:val="003F4646"/>
    <w:rsid w:val="003F46D6"/>
    <w:rsid w:val="003F4750"/>
    <w:rsid w:val="003F47D1"/>
    <w:rsid w:val="003F47EE"/>
    <w:rsid w:val="003F4867"/>
    <w:rsid w:val="003F4879"/>
    <w:rsid w:val="003F493C"/>
    <w:rsid w:val="003F494A"/>
    <w:rsid w:val="003F4977"/>
    <w:rsid w:val="003F4A4D"/>
    <w:rsid w:val="003F4A4F"/>
    <w:rsid w:val="003F4B44"/>
    <w:rsid w:val="003F4B67"/>
    <w:rsid w:val="003F4BAA"/>
    <w:rsid w:val="003F4BB5"/>
    <w:rsid w:val="003F4BDB"/>
    <w:rsid w:val="003F4BF4"/>
    <w:rsid w:val="003F4C02"/>
    <w:rsid w:val="003F4C64"/>
    <w:rsid w:val="003F4CEC"/>
    <w:rsid w:val="003F4D56"/>
    <w:rsid w:val="003F4E3A"/>
    <w:rsid w:val="003F4EAB"/>
    <w:rsid w:val="003F4EE4"/>
    <w:rsid w:val="003F4F20"/>
    <w:rsid w:val="003F4F3C"/>
    <w:rsid w:val="003F4F3D"/>
    <w:rsid w:val="003F4FBC"/>
    <w:rsid w:val="003F5020"/>
    <w:rsid w:val="003F5047"/>
    <w:rsid w:val="003F510D"/>
    <w:rsid w:val="003F5191"/>
    <w:rsid w:val="003F51A3"/>
    <w:rsid w:val="003F51C9"/>
    <w:rsid w:val="003F51F7"/>
    <w:rsid w:val="003F525E"/>
    <w:rsid w:val="003F5297"/>
    <w:rsid w:val="003F52EB"/>
    <w:rsid w:val="003F530E"/>
    <w:rsid w:val="003F53D0"/>
    <w:rsid w:val="003F545C"/>
    <w:rsid w:val="003F54EA"/>
    <w:rsid w:val="003F54FD"/>
    <w:rsid w:val="003F5501"/>
    <w:rsid w:val="003F5514"/>
    <w:rsid w:val="003F5516"/>
    <w:rsid w:val="003F5562"/>
    <w:rsid w:val="003F5603"/>
    <w:rsid w:val="003F5626"/>
    <w:rsid w:val="003F563D"/>
    <w:rsid w:val="003F5697"/>
    <w:rsid w:val="003F5779"/>
    <w:rsid w:val="003F57E8"/>
    <w:rsid w:val="003F57F3"/>
    <w:rsid w:val="003F5800"/>
    <w:rsid w:val="003F581B"/>
    <w:rsid w:val="003F585D"/>
    <w:rsid w:val="003F58EC"/>
    <w:rsid w:val="003F591F"/>
    <w:rsid w:val="003F599B"/>
    <w:rsid w:val="003F59F1"/>
    <w:rsid w:val="003F5A29"/>
    <w:rsid w:val="003F5A37"/>
    <w:rsid w:val="003F5A94"/>
    <w:rsid w:val="003F5AA7"/>
    <w:rsid w:val="003F5AB5"/>
    <w:rsid w:val="003F5AE5"/>
    <w:rsid w:val="003F5BB1"/>
    <w:rsid w:val="003F5C1C"/>
    <w:rsid w:val="003F5D0E"/>
    <w:rsid w:val="003F5D32"/>
    <w:rsid w:val="003F5D58"/>
    <w:rsid w:val="003F5D71"/>
    <w:rsid w:val="003F5D89"/>
    <w:rsid w:val="003F5D91"/>
    <w:rsid w:val="003F5D95"/>
    <w:rsid w:val="003F5DB6"/>
    <w:rsid w:val="003F5DE1"/>
    <w:rsid w:val="003F5F2F"/>
    <w:rsid w:val="003F5F31"/>
    <w:rsid w:val="003F5FA1"/>
    <w:rsid w:val="003F60E4"/>
    <w:rsid w:val="003F613B"/>
    <w:rsid w:val="003F6176"/>
    <w:rsid w:val="003F625C"/>
    <w:rsid w:val="003F62E0"/>
    <w:rsid w:val="003F6320"/>
    <w:rsid w:val="003F634C"/>
    <w:rsid w:val="003F635E"/>
    <w:rsid w:val="003F638B"/>
    <w:rsid w:val="003F63C2"/>
    <w:rsid w:val="003F63C3"/>
    <w:rsid w:val="003F6424"/>
    <w:rsid w:val="003F64A1"/>
    <w:rsid w:val="003F654E"/>
    <w:rsid w:val="003F6563"/>
    <w:rsid w:val="003F6598"/>
    <w:rsid w:val="003F6601"/>
    <w:rsid w:val="003F66CA"/>
    <w:rsid w:val="003F6782"/>
    <w:rsid w:val="003F67BB"/>
    <w:rsid w:val="003F67E5"/>
    <w:rsid w:val="003F686D"/>
    <w:rsid w:val="003F693B"/>
    <w:rsid w:val="003F6980"/>
    <w:rsid w:val="003F6998"/>
    <w:rsid w:val="003F69D2"/>
    <w:rsid w:val="003F6A5C"/>
    <w:rsid w:val="003F6AAB"/>
    <w:rsid w:val="003F6BD1"/>
    <w:rsid w:val="003F6C9E"/>
    <w:rsid w:val="003F6D31"/>
    <w:rsid w:val="003F6DF3"/>
    <w:rsid w:val="003F6E54"/>
    <w:rsid w:val="003F6E58"/>
    <w:rsid w:val="003F6F2A"/>
    <w:rsid w:val="003F6F3C"/>
    <w:rsid w:val="003F6F76"/>
    <w:rsid w:val="003F6F87"/>
    <w:rsid w:val="003F6FB4"/>
    <w:rsid w:val="003F701B"/>
    <w:rsid w:val="003F7070"/>
    <w:rsid w:val="003F709B"/>
    <w:rsid w:val="003F716E"/>
    <w:rsid w:val="003F7181"/>
    <w:rsid w:val="003F7184"/>
    <w:rsid w:val="003F7196"/>
    <w:rsid w:val="003F71A8"/>
    <w:rsid w:val="003F727A"/>
    <w:rsid w:val="003F72B3"/>
    <w:rsid w:val="003F72B8"/>
    <w:rsid w:val="003F72CD"/>
    <w:rsid w:val="003F73AA"/>
    <w:rsid w:val="003F73C8"/>
    <w:rsid w:val="003F7642"/>
    <w:rsid w:val="003F7672"/>
    <w:rsid w:val="003F7678"/>
    <w:rsid w:val="003F7704"/>
    <w:rsid w:val="003F7740"/>
    <w:rsid w:val="003F77FA"/>
    <w:rsid w:val="003F77FF"/>
    <w:rsid w:val="003F78B6"/>
    <w:rsid w:val="003F78D7"/>
    <w:rsid w:val="003F796F"/>
    <w:rsid w:val="003F7A4D"/>
    <w:rsid w:val="003F7A70"/>
    <w:rsid w:val="003F7ACE"/>
    <w:rsid w:val="003F7AD7"/>
    <w:rsid w:val="003F7B30"/>
    <w:rsid w:val="003F7B3B"/>
    <w:rsid w:val="003F7B3D"/>
    <w:rsid w:val="003F7BE1"/>
    <w:rsid w:val="003F7C7B"/>
    <w:rsid w:val="003F7CC0"/>
    <w:rsid w:val="003F7D39"/>
    <w:rsid w:val="003F7E0B"/>
    <w:rsid w:val="003F7E72"/>
    <w:rsid w:val="003F7ECD"/>
    <w:rsid w:val="003F7F42"/>
    <w:rsid w:val="003F7F98"/>
    <w:rsid w:val="003F7F9C"/>
    <w:rsid w:val="00400006"/>
    <w:rsid w:val="00400023"/>
    <w:rsid w:val="00400066"/>
    <w:rsid w:val="0040006D"/>
    <w:rsid w:val="00400100"/>
    <w:rsid w:val="00400129"/>
    <w:rsid w:val="0040017D"/>
    <w:rsid w:val="00400185"/>
    <w:rsid w:val="00400268"/>
    <w:rsid w:val="00400321"/>
    <w:rsid w:val="00400348"/>
    <w:rsid w:val="0040035A"/>
    <w:rsid w:val="0040036A"/>
    <w:rsid w:val="00400425"/>
    <w:rsid w:val="0040042A"/>
    <w:rsid w:val="00400447"/>
    <w:rsid w:val="0040049B"/>
    <w:rsid w:val="0040052A"/>
    <w:rsid w:val="0040054A"/>
    <w:rsid w:val="004005A1"/>
    <w:rsid w:val="00400605"/>
    <w:rsid w:val="00400663"/>
    <w:rsid w:val="0040067C"/>
    <w:rsid w:val="004006A7"/>
    <w:rsid w:val="004007B6"/>
    <w:rsid w:val="004007E1"/>
    <w:rsid w:val="0040080F"/>
    <w:rsid w:val="00400848"/>
    <w:rsid w:val="0040088E"/>
    <w:rsid w:val="004008AF"/>
    <w:rsid w:val="00400934"/>
    <w:rsid w:val="004009E0"/>
    <w:rsid w:val="00400A13"/>
    <w:rsid w:val="00400AB2"/>
    <w:rsid w:val="00400ABC"/>
    <w:rsid w:val="00400B04"/>
    <w:rsid w:val="00400B37"/>
    <w:rsid w:val="00400C20"/>
    <w:rsid w:val="00400C59"/>
    <w:rsid w:val="00400D02"/>
    <w:rsid w:val="00400D7C"/>
    <w:rsid w:val="00400DED"/>
    <w:rsid w:val="00400E2F"/>
    <w:rsid w:val="00400E38"/>
    <w:rsid w:val="00400E3B"/>
    <w:rsid w:val="00400F19"/>
    <w:rsid w:val="00400F71"/>
    <w:rsid w:val="00400FC7"/>
    <w:rsid w:val="00400FC8"/>
    <w:rsid w:val="00400FF1"/>
    <w:rsid w:val="004010B3"/>
    <w:rsid w:val="00401119"/>
    <w:rsid w:val="00401141"/>
    <w:rsid w:val="00401156"/>
    <w:rsid w:val="00401166"/>
    <w:rsid w:val="00401221"/>
    <w:rsid w:val="0040122D"/>
    <w:rsid w:val="00401248"/>
    <w:rsid w:val="0040124D"/>
    <w:rsid w:val="004012AB"/>
    <w:rsid w:val="004012B6"/>
    <w:rsid w:val="004012F7"/>
    <w:rsid w:val="00401314"/>
    <w:rsid w:val="00401345"/>
    <w:rsid w:val="00401395"/>
    <w:rsid w:val="004013B6"/>
    <w:rsid w:val="004013E5"/>
    <w:rsid w:val="00401499"/>
    <w:rsid w:val="004014ED"/>
    <w:rsid w:val="00401519"/>
    <w:rsid w:val="00401586"/>
    <w:rsid w:val="00401592"/>
    <w:rsid w:val="0040163F"/>
    <w:rsid w:val="00401647"/>
    <w:rsid w:val="004016BF"/>
    <w:rsid w:val="0040173F"/>
    <w:rsid w:val="00401782"/>
    <w:rsid w:val="00401788"/>
    <w:rsid w:val="004017BD"/>
    <w:rsid w:val="00401807"/>
    <w:rsid w:val="004019D8"/>
    <w:rsid w:val="00401A1A"/>
    <w:rsid w:val="00401B2E"/>
    <w:rsid w:val="00401B8B"/>
    <w:rsid w:val="00401BEA"/>
    <w:rsid w:val="00401C04"/>
    <w:rsid w:val="00401C4F"/>
    <w:rsid w:val="00401C9E"/>
    <w:rsid w:val="00401D6A"/>
    <w:rsid w:val="00401E9F"/>
    <w:rsid w:val="00401EA3"/>
    <w:rsid w:val="00401EBD"/>
    <w:rsid w:val="00401F9E"/>
    <w:rsid w:val="00402077"/>
    <w:rsid w:val="004020AD"/>
    <w:rsid w:val="0040210A"/>
    <w:rsid w:val="00402147"/>
    <w:rsid w:val="00402178"/>
    <w:rsid w:val="0040221A"/>
    <w:rsid w:val="004022AC"/>
    <w:rsid w:val="004022C7"/>
    <w:rsid w:val="004022D5"/>
    <w:rsid w:val="0040236A"/>
    <w:rsid w:val="00402430"/>
    <w:rsid w:val="0040244E"/>
    <w:rsid w:val="004024C1"/>
    <w:rsid w:val="004024C9"/>
    <w:rsid w:val="00402525"/>
    <w:rsid w:val="00402532"/>
    <w:rsid w:val="00402553"/>
    <w:rsid w:val="00402596"/>
    <w:rsid w:val="004025DE"/>
    <w:rsid w:val="00402699"/>
    <w:rsid w:val="004026BA"/>
    <w:rsid w:val="00402871"/>
    <w:rsid w:val="004028CB"/>
    <w:rsid w:val="004028F8"/>
    <w:rsid w:val="00402913"/>
    <w:rsid w:val="00402947"/>
    <w:rsid w:val="0040297B"/>
    <w:rsid w:val="004029C3"/>
    <w:rsid w:val="00402A4A"/>
    <w:rsid w:val="00402AD3"/>
    <w:rsid w:val="00402B1F"/>
    <w:rsid w:val="00402BB6"/>
    <w:rsid w:val="00402BCA"/>
    <w:rsid w:val="00402C1F"/>
    <w:rsid w:val="00402C77"/>
    <w:rsid w:val="00402C79"/>
    <w:rsid w:val="00402DC4"/>
    <w:rsid w:val="00402DCF"/>
    <w:rsid w:val="00402E34"/>
    <w:rsid w:val="00402E7F"/>
    <w:rsid w:val="00402E86"/>
    <w:rsid w:val="00402FE3"/>
    <w:rsid w:val="00403006"/>
    <w:rsid w:val="00403048"/>
    <w:rsid w:val="00403082"/>
    <w:rsid w:val="004030A5"/>
    <w:rsid w:val="004030F4"/>
    <w:rsid w:val="00403177"/>
    <w:rsid w:val="004031E3"/>
    <w:rsid w:val="00403201"/>
    <w:rsid w:val="0040324D"/>
    <w:rsid w:val="00403251"/>
    <w:rsid w:val="004032CF"/>
    <w:rsid w:val="004032D9"/>
    <w:rsid w:val="004032E9"/>
    <w:rsid w:val="0040339B"/>
    <w:rsid w:val="004033AD"/>
    <w:rsid w:val="00403420"/>
    <w:rsid w:val="00403427"/>
    <w:rsid w:val="00403455"/>
    <w:rsid w:val="0040347F"/>
    <w:rsid w:val="00403495"/>
    <w:rsid w:val="0040349D"/>
    <w:rsid w:val="004034FF"/>
    <w:rsid w:val="00403503"/>
    <w:rsid w:val="00403576"/>
    <w:rsid w:val="004035A3"/>
    <w:rsid w:val="004035E8"/>
    <w:rsid w:val="00403663"/>
    <w:rsid w:val="00403666"/>
    <w:rsid w:val="004036FA"/>
    <w:rsid w:val="00403766"/>
    <w:rsid w:val="0040376B"/>
    <w:rsid w:val="004037C0"/>
    <w:rsid w:val="004037DC"/>
    <w:rsid w:val="0040380B"/>
    <w:rsid w:val="0040387E"/>
    <w:rsid w:val="00403880"/>
    <w:rsid w:val="0040388D"/>
    <w:rsid w:val="0040389C"/>
    <w:rsid w:val="004038AE"/>
    <w:rsid w:val="0040391F"/>
    <w:rsid w:val="00403979"/>
    <w:rsid w:val="0040399B"/>
    <w:rsid w:val="004039B0"/>
    <w:rsid w:val="004039D9"/>
    <w:rsid w:val="00403A2E"/>
    <w:rsid w:val="00403A7C"/>
    <w:rsid w:val="00403A80"/>
    <w:rsid w:val="00403A87"/>
    <w:rsid w:val="00403C1B"/>
    <w:rsid w:val="00403CAA"/>
    <w:rsid w:val="00403D7E"/>
    <w:rsid w:val="00403DB9"/>
    <w:rsid w:val="00403E48"/>
    <w:rsid w:val="00403E86"/>
    <w:rsid w:val="00403EF5"/>
    <w:rsid w:val="00403F05"/>
    <w:rsid w:val="00403F7F"/>
    <w:rsid w:val="00404046"/>
    <w:rsid w:val="004040A8"/>
    <w:rsid w:val="004040DA"/>
    <w:rsid w:val="0040410E"/>
    <w:rsid w:val="00404114"/>
    <w:rsid w:val="0040411A"/>
    <w:rsid w:val="00404125"/>
    <w:rsid w:val="004041A8"/>
    <w:rsid w:val="004041C7"/>
    <w:rsid w:val="004041EE"/>
    <w:rsid w:val="00404219"/>
    <w:rsid w:val="00404282"/>
    <w:rsid w:val="004042BE"/>
    <w:rsid w:val="004042D5"/>
    <w:rsid w:val="004042E8"/>
    <w:rsid w:val="004042EB"/>
    <w:rsid w:val="00404398"/>
    <w:rsid w:val="004043D5"/>
    <w:rsid w:val="004043D6"/>
    <w:rsid w:val="004043DB"/>
    <w:rsid w:val="00404443"/>
    <w:rsid w:val="00404453"/>
    <w:rsid w:val="004044AE"/>
    <w:rsid w:val="004044B1"/>
    <w:rsid w:val="004044C2"/>
    <w:rsid w:val="0040453E"/>
    <w:rsid w:val="00404573"/>
    <w:rsid w:val="0040457E"/>
    <w:rsid w:val="00404586"/>
    <w:rsid w:val="004045B7"/>
    <w:rsid w:val="0040474A"/>
    <w:rsid w:val="00404852"/>
    <w:rsid w:val="00404944"/>
    <w:rsid w:val="0040497A"/>
    <w:rsid w:val="00404A14"/>
    <w:rsid w:val="00404AC5"/>
    <w:rsid w:val="00404B27"/>
    <w:rsid w:val="00404B69"/>
    <w:rsid w:val="00404BA0"/>
    <w:rsid w:val="00404BAA"/>
    <w:rsid w:val="00404D51"/>
    <w:rsid w:val="00404D59"/>
    <w:rsid w:val="00404D6E"/>
    <w:rsid w:val="00404D6F"/>
    <w:rsid w:val="00404D73"/>
    <w:rsid w:val="00404DB1"/>
    <w:rsid w:val="00404DB6"/>
    <w:rsid w:val="00404DE0"/>
    <w:rsid w:val="00404DE7"/>
    <w:rsid w:val="00404E1F"/>
    <w:rsid w:val="00404E86"/>
    <w:rsid w:val="00404F45"/>
    <w:rsid w:val="00404F51"/>
    <w:rsid w:val="00404F6B"/>
    <w:rsid w:val="00404F7E"/>
    <w:rsid w:val="00404FBC"/>
    <w:rsid w:val="00404FDE"/>
    <w:rsid w:val="00405087"/>
    <w:rsid w:val="00405207"/>
    <w:rsid w:val="0040527C"/>
    <w:rsid w:val="004052CC"/>
    <w:rsid w:val="004052D9"/>
    <w:rsid w:val="0040530F"/>
    <w:rsid w:val="004053D6"/>
    <w:rsid w:val="004053FF"/>
    <w:rsid w:val="0040540C"/>
    <w:rsid w:val="00405447"/>
    <w:rsid w:val="00405460"/>
    <w:rsid w:val="0040548A"/>
    <w:rsid w:val="00405494"/>
    <w:rsid w:val="00405496"/>
    <w:rsid w:val="00405542"/>
    <w:rsid w:val="0040555B"/>
    <w:rsid w:val="00405564"/>
    <w:rsid w:val="00405572"/>
    <w:rsid w:val="0040561B"/>
    <w:rsid w:val="00405657"/>
    <w:rsid w:val="004056CB"/>
    <w:rsid w:val="0040572B"/>
    <w:rsid w:val="0040574C"/>
    <w:rsid w:val="00405768"/>
    <w:rsid w:val="004057DE"/>
    <w:rsid w:val="00405830"/>
    <w:rsid w:val="0040583B"/>
    <w:rsid w:val="004058A6"/>
    <w:rsid w:val="004058B1"/>
    <w:rsid w:val="004058CB"/>
    <w:rsid w:val="00405911"/>
    <w:rsid w:val="00405956"/>
    <w:rsid w:val="00405971"/>
    <w:rsid w:val="004059AE"/>
    <w:rsid w:val="00405A71"/>
    <w:rsid w:val="00405A76"/>
    <w:rsid w:val="00405AFA"/>
    <w:rsid w:val="00405B39"/>
    <w:rsid w:val="00405B7C"/>
    <w:rsid w:val="00405B92"/>
    <w:rsid w:val="00405BC0"/>
    <w:rsid w:val="00405C2E"/>
    <w:rsid w:val="00405C6E"/>
    <w:rsid w:val="00405CA0"/>
    <w:rsid w:val="00405CC6"/>
    <w:rsid w:val="00405D3F"/>
    <w:rsid w:val="00405DAE"/>
    <w:rsid w:val="00405DED"/>
    <w:rsid w:val="00405ED3"/>
    <w:rsid w:val="00405EE4"/>
    <w:rsid w:val="00405EFF"/>
    <w:rsid w:val="00405F15"/>
    <w:rsid w:val="00405F46"/>
    <w:rsid w:val="00405FB5"/>
    <w:rsid w:val="00405FD5"/>
    <w:rsid w:val="00406024"/>
    <w:rsid w:val="0040603B"/>
    <w:rsid w:val="00406083"/>
    <w:rsid w:val="0040610A"/>
    <w:rsid w:val="004061B9"/>
    <w:rsid w:val="00406277"/>
    <w:rsid w:val="004062D9"/>
    <w:rsid w:val="0040634F"/>
    <w:rsid w:val="00406379"/>
    <w:rsid w:val="004063C5"/>
    <w:rsid w:val="004063FA"/>
    <w:rsid w:val="0040646A"/>
    <w:rsid w:val="00406539"/>
    <w:rsid w:val="00406553"/>
    <w:rsid w:val="004065BB"/>
    <w:rsid w:val="00406631"/>
    <w:rsid w:val="00406708"/>
    <w:rsid w:val="0040675B"/>
    <w:rsid w:val="004067D5"/>
    <w:rsid w:val="004067DD"/>
    <w:rsid w:val="00406806"/>
    <w:rsid w:val="0040687B"/>
    <w:rsid w:val="004068AE"/>
    <w:rsid w:val="0040695E"/>
    <w:rsid w:val="0040697B"/>
    <w:rsid w:val="004069A4"/>
    <w:rsid w:val="004069AD"/>
    <w:rsid w:val="004069E6"/>
    <w:rsid w:val="00406B02"/>
    <w:rsid w:val="00406B18"/>
    <w:rsid w:val="00406B3C"/>
    <w:rsid w:val="00406B82"/>
    <w:rsid w:val="00406BB4"/>
    <w:rsid w:val="00406C04"/>
    <w:rsid w:val="00406C91"/>
    <w:rsid w:val="00406D51"/>
    <w:rsid w:val="00406DAD"/>
    <w:rsid w:val="00406E49"/>
    <w:rsid w:val="00406E5C"/>
    <w:rsid w:val="00406EA8"/>
    <w:rsid w:val="00406F12"/>
    <w:rsid w:val="00406F82"/>
    <w:rsid w:val="00406FC1"/>
    <w:rsid w:val="00407039"/>
    <w:rsid w:val="00407046"/>
    <w:rsid w:val="00407135"/>
    <w:rsid w:val="00407229"/>
    <w:rsid w:val="00407333"/>
    <w:rsid w:val="00407384"/>
    <w:rsid w:val="00407514"/>
    <w:rsid w:val="00407557"/>
    <w:rsid w:val="00407573"/>
    <w:rsid w:val="004075D5"/>
    <w:rsid w:val="0040764E"/>
    <w:rsid w:val="00407684"/>
    <w:rsid w:val="00407706"/>
    <w:rsid w:val="0040771F"/>
    <w:rsid w:val="0040775C"/>
    <w:rsid w:val="00407790"/>
    <w:rsid w:val="00407933"/>
    <w:rsid w:val="004079CD"/>
    <w:rsid w:val="00407A58"/>
    <w:rsid w:val="00407A8F"/>
    <w:rsid w:val="00407B0C"/>
    <w:rsid w:val="00407B6E"/>
    <w:rsid w:val="00407B99"/>
    <w:rsid w:val="00407C7B"/>
    <w:rsid w:val="00407CDC"/>
    <w:rsid w:val="00407CFD"/>
    <w:rsid w:val="00407D17"/>
    <w:rsid w:val="00407D49"/>
    <w:rsid w:val="00407D62"/>
    <w:rsid w:val="00407DFF"/>
    <w:rsid w:val="00407E53"/>
    <w:rsid w:val="00407E9E"/>
    <w:rsid w:val="00407EE4"/>
    <w:rsid w:val="00407EFB"/>
    <w:rsid w:val="00407F07"/>
    <w:rsid w:val="00407F29"/>
    <w:rsid w:val="00407F4B"/>
    <w:rsid w:val="00407F67"/>
    <w:rsid w:val="00407F79"/>
    <w:rsid w:val="00407FD1"/>
    <w:rsid w:val="00410076"/>
    <w:rsid w:val="004100A8"/>
    <w:rsid w:val="0041017B"/>
    <w:rsid w:val="004102B9"/>
    <w:rsid w:val="0041032F"/>
    <w:rsid w:val="004103FB"/>
    <w:rsid w:val="004104CD"/>
    <w:rsid w:val="00410547"/>
    <w:rsid w:val="00410670"/>
    <w:rsid w:val="004106AA"/>
    <w:rsid w:val="004106C6"/>
    <w:rsid w:val="004106F1"/>
    <w:rsid w:val="004107BD"/>
    <w:rsid w:val="004107C1"/>
    <w:rsid w:val="00410829"/>
    <w:rsid w:val="0041089C"/>
    <w:rsid w:val="004108B2"/>
    <w:rsid w:val="0041092D"/>
    <w:rsid w:val="00410961"/>
    <w:rsid w:val="004109EB"/>
    <w:rsid w:val="00410A65"/>
    <w:rsid w:val="00410A7D"/>
    <w:rsid w:val="00410AE0"/>
    <w:rsid w:val="00410AEE"/>
    <w:rsid w:val="00410B9F"/>
    <w:rsid w:val="00410BB9"/>
    <w:rsid w:val="00410BC5"/>
    <w:rsid w:val="00410C02"/>
    <w:rsid w:val="00410C12"/>
    <w:rsid w:val="00410C54"/>
    <w:rsid w:val="00410CBA"/>
    <w:rsid w:val="00410D0A"/>
    <w:rsid w:val="00410E0D"/>
    <w:rsid w:val="00410E18"/>
    <w:rsid w:val="00410E5A"/>
    <w:rsid w:val="00410E87"/>
    <w:rsid w:val="00410EC3"/>
    <w:rsid w:val="00410F28"/>
    <w:rsid w:val="00410F6E"/>
    <w:rsid w:val="00410FB4"/>
    <w:rsid w:val="00410FF0"/>
    <w:rsid w:val="00411031"/>
    <w:rsid w:val="00411076"/>
    <w:rsid w:val="004110C9"/>
    <w:rsid w:val="004110DF"/>
    <w:rsid w:val="00411156"/>
    <w:rsid w:val="00411172"/>
    <w:rsid w:val="00411236"/>
    <w:rsid w:val="00411262"/>
    <w:rsid w:val="0041128D"/>
    <w:rsid w:val="004112E7"/>
    <w:rsid w:val="00411350"/>
    <w:rsid w:val="004113C7"/>
    <w:rsid w:val="004113F5"/>
    <w:rsid w:val="0041142D"/>
    <w:rsid w:val="00411444"/>
    <w:rsid w:val="00411503"/>
    <w:rsid w:val="00411527"/>
    <w:rsid w:val="0041160B"/>
    <w:rsid w:val="00411643"/>
    <w:rsid w:val="0041164A"/>
    <w:rsid w:val="004116E2"/>
    <w:rsid w:val="0041175F"/>
    <w:rsid w:val="00411768"/>
    <w:rsid w:val="0041177A"/>
    <w:rsid w:val="00411798"/>
    <w:rsid w:val="0041179D"/>
    <w:rsid w:val="004117CA"/>
    <w:rsid w:val="00411866"/>
    <w:rsid w:val="00411905"/>
    <w:rsid w:val="00411924"/>
    <w:rsid w:val="00411945"/>
    <w:rsid w:val="0041194A"/>
    <w:rsid w:val="00411967"/>
    <w:rsid w:val="00411971"/>
    <w:rsid w:val="004119AA"/>
    <w:rsid w:val="004119B3"/>
    <w:rsid w:val="004119CC"/>
    <w:rsid w:val="00411A0B"/>
    <w:rsid w:val="00411A2A"/>
    <w:rsid w:val="00411A37"/>
    <w:rsid w:val="00411A60"/>
    <w:rsid w:val="00411B1E"/>
    <w:rsid w:val="00411B58"/>
    <w:rsid w:val="00411BCA"/>
    <w:rsid w:val="00411BD7"/>
    <w:rsid w:val="00411BFB"/>
    <w:rsid w:val="00411C3F"/>
    <w:rsid w:val="00411D7E"/>
    <w:rsid w:val="00411E8F"/>
    <w:rsid w:val="00411ECD"/>
    <w:rsid w:val="00411EE6"/>
    <w:rsid w:val="00411F82"/>
    <w:rsid w:val="00411F83"/>
    <w:rsid w:val="00411F8D"/>
    <w:rsid w:val="0041200D"/>
    <w:rsid w:val="0041201E"/>
    <w:rsid w:val="004120A4"/>
    <w:rsid w:val="004120F1"/>
    <w:rsid w:val="00412177"/>
    <w:rsid w:val="004121D9"/>
    <w:rsid w:val="00412222"/>
    <w:rsid w:val="00412251"/>
    <w:rsid w:val="004122A0"/>
    <w:rsid w:val="004122C4"/>
    <w:rsid w:val="00412302"/>
    <w:rsid w:val="00412342"/>
    <w:rsid w:val="0041235F"/>
    <w:rsid w:val="00412383"/>
    <w:rsid w:val="004123BB"/>
    <w:rsid w:val="004123E0"/>
    <w:rsid w:val="004123F3"/>
    <w:rsid w:val="00412524"/>
    <w:rsid w:val="00412609"/>
    <w:rsid w:val="00412658"/>
    <w:rsid w:val="004126FA"/>
    <w:rsid w:val="00412787"/>
    <w:rsid w:val="00412839"/>
    <w:rsid w:val="004128F1"/>
    <w:rsid w:val="0041291A"/>
    <w:rsid w:val="0041293C"/>
    <w:rsid w:val="00412A20"/>
    <w:rsid w:val="00412B1B"/>
    <w:rsid w:val="00412BAD"/>
    <w:rsid w:val="00412C31"/>
    <w:rsid w:val="00412C58"/>
    <w:rsid w:val="00412D29"/>
    <w:rsid w:val="00412D59"/>
    <w:rsid w:val="00412D5F"/>
    <w:rsid w:val="00412D7F"/>
    <w:rsid w:val="00412D97"/>
    <w:rsid w:val="00412DAC"/>
    <w:rsid w:val="00412DFF"/>
    <w:rsid w:val="00412EC2"/>
    <w:rsid w:val="00412ECE"/>
    <w:rsid w:val="00412F3B"/>
    <w:rsid w:val="00412F9C"/>
    <w:rsid w:val="00412FA2"/>
    <w:rsid w:val="0041302C"/>
    <w:rsid w:val="00413054"/>
    <w:rsid w:val="00413069"/>
    <w:rsid w:val="00413135"/>
    <w:rsid w:val="00413202"/>
    <w:rsid w:val="00413356"/>
    <w:rsid w:val="0041337C"/>
    <w:rsid w:val="004133BC"/>
    <w:rsid w:val="004133DC"/>
    <w:rsid w:val="004133DF"/>
    <w:rsid w:val="0041342E"/>
    <w:rsid w:val="0041343B"/>
    <w:rsid w:val="00413471"/>
    <w:rsid w:val="00413480"/>
    <w:rsid w:val="00413577"/>
    <w:rsid w:val="0041359A"/>
    <w:rsid w:val="004135FD"/>
    <w:rsid w:val="004136A5"/>
    <w:rsid w:val="004136AD"/>
    <w:rsid w:val="004136B9"/>
    <w:rsid w:val="004136E0"/>
    <w:rsid w:val="004136E3"/>
    <w:rsid w:val="0041374E"/>
    <w:rsid w:val="0041375F"/>
    <w:rsid w:val="0041376B"/>
    <w:rsid w:val="00413791"/>
    <w:rsid w:val="004137DC"/>
    <w:rsid w:val="004138DE"/>
    <w:rsid w:val="0041390B"/>
    <w:rsid w:val="00413935"/>
    <w:rsid w:val="00413944"/>
    <w:rsid w:val="00413A68"/>
    <w:rsid w:val="00413A76"/>
    <w:rsid w:val="00413B15"/>
    <w:rsid w:val="00413B3F"/>
    <w:rsid w:val="00413BFF"/>
    <w:rsid w:val="00413C06"/>
    <w:rsid w:val="00413C87"/>
    <w:rsid w:val="00413C99"/>
    <w:rsid w:val="00413D51"/>
    <w:rsid w:val="00413DD5"/>
    <w:rsid w:val="00413E23"/>
    <w:rsid w:val="00413E99"/>
    <w:rsid w:val="00413F7B"/>
    <w:rsid w:val="00413FD0"/>
    <w:rsid w:val="00414104"/>
    <w:rsid w:val="00414114"/>
    <w:rsid w:val="00414138"/>
    <w:rsid w:val="00414179"/>
    <w:rsid w:val="0041418D"/>
    <w:rsid w:val="004141CC"/>
    <w:rsid w:val="00414216"/>
    <w:rsid w:val="00414236"/>
    <w:rsid w:val="00414263"/>
    <w:rsid w:val="00414288"/>
    <w:rsid w:val="00414293"/>
    <w:rsid w:val="004142A7"/>
    <w:rsid w:val="004142B5"/>
    <w:rsid w:val="004142BB"/>
    <w:rsid w:val="004142CA"/>
    <w:rsid w:val="00414379"/>
    <w:rsid w:val="0041437C"/>
    <w:rsid w:val="004143D1"/>
    <w:rsid w:val="00414416"/>
    <w:rsid w:val="00414467"/>
    <w:rsid w:val="00414494"/>
    <w:rsid w:val="00414495"/>
    <w:rsid w:val="004145AE"/>
    <w:rsid w:val="00414670"/>
    <w:rsid w:val="0041467F"/>
    <w:rsid w:val="004147D6"/>
    <w:rsid w:val="00414830"/>
    <w:rsid w:val="004148AA"/>
    <w:rsid w:val="0041494A"/>
    <w:rsid w:val="0041498B"/>
    <w:rsid w:val="00414991"/>
    <w:rsid w:val="004149EB"/>
    <w:rsid w:val="00414A73"/>
    <w:rsid w:val="00414A79"/>
    <w:rsid w:val="00414A95"/>
    <w:rsid w:val="00414ABA"/>
    <w:rsid w:val="00414AF2"/>
    <w:rsid w:val="00414B26"/>
    <w:rsid w:val="00414B29"/>
    <w:rsid w:val="00414B68"/>
    <w:rsid w:val="00414BA8"/>
    <w:rsid w:val="00414C6B"/>
    <w:rsid w:val="00414C8A"/>
    <w:rsid w:val="00414D25"/>
    <w:rsid w:val="00414D4D"/>
    <w:rsid w:val="00414E51"/>
    <w:rsid w:val="00414E6F"/>
    <w:rsid w:val="00414EDD"/>
    <w:rsid w:val="00414F55"/>
    <w:rsid w:val="00414FF8"/>
    <w:rsid w:val="00415011"/>
    <w:rsid w:val="004150AA"/>
    <w:rsid w:val="004150B0"/>
    <w:rsid w:val="004150E1"/>
    <w:rsid w:val="00415121"/>
    <w:rsid w:val="00415122"/>
    <w:rsid w:val="0041520F"/>
    <w:rsid w:val="00415217"/>
    <w:rsid w:val="004152C2"/>
    <w:rsid w:val="00415348"/>
    <w:rsid w:val="00415388"/>
    <w:rsid w:val="004153A9"/>
    <w:rsid w:val="004154C7"/>
    <w:rsid w:val="00415570"/>
    <w:rsid w:val="0041563D"/>
    <w:rsid w:val="00415654"/>
    <w:rsid w:val="004156DA"/>
    <w:rsid w:val="00415783"/>
    <w:rsid w:val="004157B4"/>
    <w:rsid w:val="0041580C"/>
    <w:rsid w:val="00415859"/>
    <w:rsid w:val="0041585A"/>
    <w:rsid w:val="00415908"/>
    <w:rsid w:val="004159EB"/>
    <w:rsid w:val="004159EE"/>
    <w:rsid w:val="00415A3A"/>
    <w:rsid w:val="00415B5D"/>
    <w:rsid w:val="00415B83"/>
    <w:rsid w:val="00415B9D"/>
    <w:rsid w:val="00415C0E"/>
    <w:rsid w:val="00415C93"/>
    <w:rsid w:val="00415CD2"/>
    <w:rsid w:val="00415CE9"/>
    <w:rsid w:val="00415D28"/>
    <w:rsid w:val="00415E05"/>
    <w:rsid w:val="00415E20"/>
    <w:rsid w:val="00415E46"/>
    <w:rsid w:val="00415E55"/>
    <w:rsid w:val="00415E59"/>
    <w:rsid w:val="00415E5A"/>
    <w:rsid w:val="00415E64"/>
    <w:rsid w:val="00415E90"/>
    <w:rsid w:val="00415F0B"/>
    <w:rsid w:val="00415F3E"/>
    <w:rsid w:val="00415F48"/>
    <w:rsid w:val="00415F7E"/>
    <w:rsid w:val="00415F8E"/>
    <w:rsid w:val="0041611E"/>
    <w:rsid w:val="004161DE"/>
    <w:rsid w:val="004162D8"/>
    <w:rsid w:val="0041639C"/>
    <w:rsid w:val="00416464"/>
    <w:rsid w:val="004164D7"/>
    <w:rsid w:val="004164FA"/>
    <w:rsid w:val="004165AF"/>
    <w:rsid w:val="0041665B"/>
    <w:rsid w:val="00416674"/>
    <w:rsid w:val="004166A8"/>
    <w:rsid w:val="0041675C"/>
    <w:rsid w:val="0041681A"/>
    <w:rsid w:val="00416844"/>
    <w:rsid w:val="0041684E"/>
    <w:rsid w:val="0041685E"/>
    <w:rsid w:val="00416879"/>
    <w:rsid w:val="00416949"/>
    <w:rsid w:val="00416996"/>
    <w:rsid w:val="004169C8"/>
    <w:rsid w:val="00416A8A"/>
    <w:rsid w:val="00416A9D"/>
    <w:rsid w:val="00416AB3"/>
    <w:rsid w:val="00416AF7"/>
    <w:rsid w:val="00416B07"/>
    <w:rsid w:val="00416BBB"/>
    <w:rsid w:val="00416C74"/>
    <w:rsid w:val="00416CFD"/>
    <w:rsid w:val="00416D10"/>
    <w:rsid w:val="00416D61"/>
    <w:rsid w:val="00416D7C"/>
    <w:rsid w:val="00416D87"/>
    <w:rsid w:val="00416D96"/>
    <w:rsid w:val="00416DE9"/>
    <w:rsid w:val="00416E1E"/>
    <w:rsid w:val="00416E9F"/>
    <w:rsid w:val="00416EDC"/>
    <w:rsid w:val="00416F5D"/>
    <w:rsid w:val="004170EC"/>
    <w:rsid w:val="00417193"/>
    <w:rsid w:val="004171C2"/>
    <w:rsid w:val="004171C6"/>
    <w:rsid w:val="004171D2"/>
    <w:rsid w:val="00417211"/>
    <w:rsid w:val="00417278"/>
    <w:rsid w:val="004172E8"/>
    <w:rsid w:val="004172EE"/>
    <w:rsid w:val="0041730E"/>
    <w:rsid w:val="00417354"/>
    <w:rsid w:val="004173E7"/>
    <w:rsid w:val="00417447"/>
    <w:rsid w:val="004174CA"/>
    <w:rsid w:val="00417571"/>
    <w:rsid w:val="00417595"/>
    <w:rsid w:val="004175AE"/>
    <w:rsid w:val="004175B8"/>
    <w:rsid w:val="004175E3"/>
    <w:rsid w:val="004175E6"/>
    <w:rsid w:val="004175FC"/>
    <w:rsid w:val="00417620"/>
    <w:rsid w:val="0041774B"/>
    <w:rsid w:val="004177A7"/>
    <w:rsid w:val="00417827"/>
    <w:rsid w:val="00417864"/>
    <w:rsid w:val="004178B7"/>
    <w:rsid w:val="00417A1A"/>
    <w:rsid w:val="00417BCB"/>
    <w:rsid w:val="00417BE7"/>
    <w:rsid w:val="00417C52"/>
    <w:rsid w:val="00417C58"/>
    <w:rsid w:val="00417D29"/>
    <w:rsid w:val="00417D73"/>
    <w:rsid w:val="00417DAF"/>
    <w:rsid w:val="00417DE3"/>
    <w:rsid w:val="00417DED"/>
    <w:rsid w:val="00417E86"/>
    <w:rsid w:val="00417FE5"/>
    <w:rsid w:val="00417FE8"/>
    <w:rsid w:val="0042005D"/>
    <w:rsid w:val="004200B9"/>
    <w:rsid w:val="004200CA"/>
    <w:rsid w:val="004200DD"/>
    <w:rsid w:val="004200E3"/>
    <w:rsid w:val="004200F8"/>
    <w:rsid w:val="0042019A"/>
    <w:rsid w:val="0042021F"/>
    <w:rsid w:val="00420262"/>
    <w:rsid w:val="0042028E"/>
    <w:rsid w:val="0042029F"/>
    <w:rsid w:val="004202A9"/>
    <w:rsid w:val="004202CF"/>
    <w:rsid w:val="00420312"/>
    <w:rsid w:val="00420345"/>
    <w:rsid w:val="004203DC"/>
    <w:rsid w:val="0042054C"/>
    <w:rsid w:val="004205A8"/>
    <w:rsid w:val="00420638"/>
    <w:rsid w:val="00420645"/>
    <w:rsid w:val="004206E8"/>
    <w:rsid w:val="004206F3"/>
    <w:rsid w:val="00420777"/>
    <w:rsid w:val="00420784"/>
    <w:rsid w:val="00420869"/>
    <w:rsid w:val="0042089C"/>
    <w:rsid w:val="004208EA"/>
    <w:rsid w:val="004209A7"/>
    <w:rsid w:val="004209AB"/>
    <w:rsid w:val="004209DF"/>
    <w:rsid w:val="00420A21"/>
    <w:rsid w:val="00420AF6"/>
    <w:rsid w:val="00420B2F"/>
    <w:rsid w:val="00420B59"/>
    <w:rsid w:val="00420B71"/>
    <w:rsid w:val="00420B7A"/>
    <w:rsid w:val="00420B8C"/>
    <w:rsid w:val="00420BD4"/>
    <w:rsid w:val="00420C72"/>
    <w:rsid w:val="00420C7E"/>
    <w:rsid w:val="00420CD6"/>
    <w:rsid w:val="00420D0C"/>
    <w:rsid w:val="00420D2D"/>
    <w:rsid w:val="00420DE5"/>
    <w:rsid w:val="00420E09"/>
    <w:rsid w:val="00420E67"/>
    <w:rsid w:val="00420E71"/>
    <w:rsid w:val="00420E84"/>
    <w:rsid w:val="00420E8C"/>
    <w:rsid w:val="00420E94"/>
    <w:rsid w:val="00420F17"/>
    <w:rsid w:val="00420F79"/>
    <w:rsid w:val="00420F86"/>
    <w:rsid w:val="00420FF5"/>
    <w:rsid w:val="00420FF7"/>
    <w:rsid w:val="00421084"/>
    <w:rsid w:val="004210E1"/>
    <w:rsid w:val="00421237"/>
    <w:rsid w:val="004212B1"/>
    <w:rsid w:val="004212D8"/>
    <w:rsid w:val="004212E6"/>
    <w:rsid w:val="0042134F"/>
    <w:rsid w:val="0042135A"/>
    <w:rsid w:val="00421362"/>
    <w:rsid w:val="0042137D"/>
    <w:rsid w:val="0042139B"/>
    <w:rsid w:val="004213A4"/>
    <w:rsid w:val="00421410"/>
    <w:rsid w:val="00421438"/>
    <w:rsid w:val="00421468"/>
    <w:rsid w:val="00421476"/>
    <w:rsid w:val="0042148E"/>
    <w:rsid w:val="00421642"/>
    <w:rsid w:val="00421649"/>
    <w:rsid w:val="004216BD"/>
    <w:rsid w:val="004216C3"/>
    <w:rsid w:val="004216CC"/>
    <w:rsid w:val="004216E5"/>
    <w:rsid w:val="004217DC"/>
    <w:rsid w:val="00421858"/>
    <w:rsid w:val="00421939"/>
    <w:rsid w:val="0042194D"/>
    <w:rsid w:val="00421953"/>
    <w:rsid w:val="004219BB"/>
    <w:rsid w:val="004219E5"/>
    <w:rsid w:val="00421A41"/>
    <w:rsid w:val="00421A9A"/>
    <w:rsid w:val="00421AED"/>
    <w:rsid w:val="00421B6A"/>
    <w:rsid w:val="00421BEB"/>
    <w:rsid w:val="00421CF3"/>
    <w:rsid w:val="00421D01"/>
    <w:rsid w:val="00421D1E"/>
    <w:rsid w:val="00421E1D"/>
    <w:rsid w:val="00421E2E"/>
    <w:rsid w:val="00421E88"/>
    <w:rsid w:val="00421EEC"/>
    <w:rsid w:val="00421EF8"/>
    <w:rsid w:val="00421F38"/>
    <w:rsid w:val="00422040"/>
    <w:rsid w:val="0042205D"/>
    <w:rsid w:val="00422062"/>
    <w:rsid w:val="0042206D"/>
    <w:rsid w:val="004221EB"/>
    <w:rsid w:val="004222DB"/>
    <w:rsid w:val="004222E9"/>
    <w:rsid w:val="004222F2"/>
    <w:rsid w:val="00422325"/>
    <w:rsid w:val="00422336"/>
    <w:rsid w:val="00422344"/>
    <w:rsid w:val="0042235A"/>
    <w:rsid w:val="00422383"/>
    <w:rsid w:val="00422427"/>
    <w:rsid w:val="00422458"/>
    <w:rsid w:val="00422497"/>
    <w:rsid w:val="004224DF"/>
    <w:rsid w:val="00422519"/>
    <w:rsid w:val="00422532"/>
    <w:rsid w:val="00422572"/>
    <w:rsid w:val="004225AB"/>
    <w:rsid w:val="00422763"/>
    <w:rsid w:val="004227D1"/>
    <w:rsid w:val="004227EC"/>
    <w:rsid w:val="00422829"/>
    <w:rsid w:val="004228C2"/>
    <w:rsid w:val="0042294B"/>
    <w:rsid w:val="00422A3C"/>
    <w:rsid w:val="00422A4D"/>
    <w:rsid w:val="00422B1E"/>
    <w:rsid w:val="00422B69"/>
    <w:rsid w:val="00422B80"/>
    <w:rsid w:val="00422BF1"/>
    <w:rsid w:val="00422C9A"/>
    <w:rsid w:val="00422D2D"/>
    <w:rsid w:val="00422E5F"/>
    <w:rsid w:val="00422EC3"/>
    <w:rsid w:val="00422FB6"/>
    <w:rsid w:val="00422FE1"/>
    <w:rsid w:val="0042302A"/>
    <w:rsid w:val="004231B9"/>
    <w:rsid w:val="004231DE"/>
    <w:rsid w:val="004231ED"/>
    <w:rsid w:val="004231FC"/>
    <w:rsid w:val="0042327A"/>
    <w:rsid w:val="0042328A"/>
    <w:rsid w:val="004232E6"/>
    <w:rsid w:val="004232F5"/>
    <w:rsid w:val="00423334"/>
    <w:rsid w:val="00423339"/>
    <w:rsid w:val="004233CB"/>
    <w:rsid w:val="004233D1"/>
    <w:rsid w:val="0042345D"/>
    <w:rsid w:val="00423489"/>
    <w:rsid w:val="0042356A"/>
    <w:rsid w:val="00423574"/>
    <w:rsid w:val="0042359F"/>
    <w:rsid w:val="004236EA"/>
    <w:rsid w:val="00423794"/>
    <w:rsid w:val="004237DD"/>
    <w:rsid w:val="00423838"/>
    <w:rsid w:val="0042387A"/>
    <w:rsid w:val="0042388F"/>
    <w:rsid w:val="00423893"/>
    <w:rsid w:val="004238D8"/>
    <w:rsid w:val="00423998"/>
    <w:rsid w:val="00423A15"/>
    <w:rsid w:val="00423A31"/>
    <w:rsid w:val="00423B25"/>
    <w:rsid w:val="00423BD3"/>
    <w:rsid w:val="00423CD6"/>
    <w:rsid w:val="00423D8C"/>
    <w:rsid w:val="00423DA0"/>
    <w:rsid w:val="00423DBB"/>
    <w:rsid w:val="00423DEB"/>
    <w:rsid w:val="00423E9B"/>
    <w:rsid w:val="00423EDF"/>
    <w:rsid w:val="00423F29"/>
    <w:rsid w:val="00423FE5"/>
    <w:rsid w:val="00424022"/>
    <w:rsid w:val="004240E4"/>
    <w:rsid w:val="0042413D"/>
    <w:rsid w:val="004241EE"/>
    <w:rsid w:val="00424265"/>
    <w:rsid w:val="0042426C"/>
    <w:rsid w:val="004242A8"/>
    <w:rsid w:val="004242EB"/>
    <w:rsid w:val="0042440C"/>
    <w:rsid w:val="00424439"/>
    <w:rsid w:val="004244A3"/>
    <w:rsid w:val="004244A4"/>
    <w:rsid w:val="004244B7"/>
    <w:rsid w:val="004244C7"/>
    <w:rsid w:val="004244C8"/>
    <w:rsid w:val="004245B6"/>
    <w:rsid w:val="0042468E"/>
    <w:rsid w:val="00424693"/>
    <w:rsid w:val="0042469C"/>
    <w:rsid w:val="004246F2"/>
    <w:rsid w:val="0042473D"/>
    <w:rsid w:val="0042475B"/>
    <w:rsid w:val="0042482B"/>
    <w:rsid w:val="0042483C"/>
    <w:rsid w:val="0042483E"/>
    <w:rsid w:val="0042485C"/>
    <w:rsid w:val="0042498D"/>
    <w:rsid w:val="004249E0"/>
    <w:rsid w:val="00424A96"/>
    <w:rsid w:val="00424AC0"/>
    <w:rsid w:val="00424ACF"/>
    <w:rsid w:val="00424B2F"/>
    <w:rsid w:val="00424BDC"/>
    <w:rsid w:val="00424BF9"/>
    <w:rsid w:val="00424C01"/>
    <w:rsid w:val="00424C1B"/>
    <w:rsid w:val="00424C43"/>
    <w:rsid w:val="00424C63"/>
    <w:rsid w:val="00424CA0"/>
    <w:rsid w:val="00424D7C"/>
    <w:rsid w:val="00424DCB"/>
    <w:rsid w:val="00424E49"/>
    <w:rsid w:val="00424E9A"/>
    <w:rsid w:val="00424EA5"/>
    <w:rsid w:val="00424F28"/>
    <w:rsid w:val="0042502C"/>
    <w:rsid w:val="00425037"/>
    <w:rsid w:val="00425043"/>
    <w:rsid w:val="004250F7"/>
    <w:rsid w:val="0042519A"/>
    <w:rsid w:val="004251B1"/>
    <w:rsid w:val="004251DB"/>
    <w:rsid w:val="00425275"/>
    <w:rsid w:val="0042528D"/>
    <w:rsid w:val="004252CD"/>
    <w:rsid w:val="00425357"/>
    <w:rsid w:val="00425364"/>
    <w:rsid w:val="0042537F"/>
    <w:rsid w:val="004253BD"/>
    <w:rsid w:val="004253E2"/>
    <w:rsid w:val="00425446"/>
    <w:rsid w:val="00425457"/>
    <w:rsid w:val="00425550"/>
    <w:rsid w:val="00425557"/>
    <w:rsid w:val="004255EC"/>
    <w:rsid w:val="0042562D"/>
    <w:rsid w:val="00425631"/>
    <w:rsid w:val="004256CD"/>
    <w:rsid w:val="004256EA"/>
    <w:rsid w:val="00425732"/>
    <w:rsid w:val="00425736"/>
    <w:rsid w:val="004257A0"/>
    <w:rsid w:val="0042582D"/>
    <w:rsid w:val="00425894"/>
    <w:rsid w:val="004258BC"/>
    <w:rsid w:val="004258FA"/>
    <w:rsid w:val="00425964"/>
    <w:rsid w:val="00425A5F"/>
    <w:rsid w:val="00425A6F"/>
    <w:rsid w:val="00425AA7"/>
    <w:rsid w:val="00425ADD"/>
    <w:rsid w:val="00425B06"/>
    <w:rsid w:val="00425B66"/>
    <w:rsid w:val="00425B72"/>
    <w:rsid w:val="00425BCA"/>
    <w:rsid w:val="00425BE7"/>
    <w:rsid w:val="00425C86"/>
    <w:rsid w:val="00425C92"/>
    <w:rsid w:val="00425C9D"/>
    <w:rsid w:val="00425CCD"/>
    <w:rsid w:val="00425CCE"/>
    <w:rsid w:val="00425CE5"/>
    <w:rsid w:val="00425CFA"/>
    <w:rsid w:val="00425D14"/>
    <w:rsid w:val="00425D33"/>
    <w:rsid w:val="00425D49"/>
    <w:rsid w:val="00425DB6"/>
    <w:rsid w:val="00425DE0"/>
    <w:rsid w:val="00425DF0"/>
    <w:rsid w:val="00425E45"/>
    <w:rsid w:val="00425E68"/>
    <w:rsid w:val="00425FDC"/>
    <w:rsid w:val="00426000"/>
    <w:rsid w:val="0042608D"/>
    <w:rsid w:val="0042610A"/>
    <w:rsid w:val="0042610E"/>
    <w:rsid w:val="00426115"/>
    <w:rsid w:val="00426168"/>
    <w:rsid w:val="004261EF"/>
    <w:rsid w:val="004261F0"/>
    <w:rsid w:val="00426215"/>
    <w:rsid w:val="0042624D"/>
    <w:rsid w:val="00426259"/>
    <w:rsid w:val="004262B2"/>
    <w:rsid w:val="00426313"/>
    <w:rsid w:val="00426330"/>
    <w:rsid w:val="004263BC"/>
    <w:rsid w:val="004263F1"/>
    <w:rsid w:val="004263FE"/>
    <w:rsid w:val="00426455"/>
    <w:rsid w:val="004264C2"/>
    <w:rsid w:val="0042658C"/>
    <w:rsid w:val="004265C6"/>
    <w:rsid w:val="004265E8"/>
    <w:rsid w:val="0042669D"/>
    <w:rsid w:val="0042669F"/>
    <w:rsid w:val="0042673A"/>
    <w:rsid w:val="00426750"/>
    <w:rsid w:val="0042684E"/>
    <w:rsid w:val="0042689F"/>
    <w:rsid w:val="004268B3"/>
    <w:rsid w:val="004268FB"/>
    <w:rsid w:val="0042691F"/>
    <w:rsid w:val="00426946"/>
    <w:rsid w:val="0042695E"/>
    <w:rsid w:val="004269B3"/>
    <w:rsid w:val="00426A11"/>
    <w:rsid w:val="00426A4A"/>
    <w:rsid w:val="00426A77"/>
    <w:rsid w:val="00426AE9"/>
    <w:rsid w:val="00426B28"/>
    <w:rsid w:val="00426B2D"/>
    <w:rsid w:val="00426B52"/>
    <w:rsid w:val="00426B6B"/>
    <w:rsid w:val="00426BDF"/>
    <w:rsid w:val="00426BEE"/>
    <w:rsid w:val="00426C41"/>
    <w:rsid w:val="00426D0C"/>
    <w:rsid w:val="00426D19"/>
    <w:rsid w:val="00426D48"/>
    <w:rsid w:val="00426D8C"/>
    <w:rsid w:val="00426D9A"/>
    <w:rsid w:val="00426DEA"/>
    <w:rsid w:val="00426DF6"/>
    <w:rsid w:val="00426E51"/>
    <w:rsid w:val="00426E98"/>
    <w:rsid w:val="00426ECB"/>
    <w:rsid w:val="00426F5A"/>
    <w:rsid w:val="00426F86"/>
    <w:rsid w:val="00426FAE"/>
    <w:rsid w:val="00426FB8"/>
    <w:rsid w:val="00427027"/>
    <w:rsid w:val="00427080"/>
    <w:rsid w:val="004270D0"/>
    <w:rsid w:val="0042715D"/>
    <w:rsid w:val="004271A5"/>
    <w:rsid w:val="004271AF"/>
    <w:rsid w:val="004271B7"/>
    <w:rsid w:val="004271F9"/>
    <w:rsid w:val="00427254"/>
    <w:rsid w:val="00427256"/>
    <w:rsid w:val="00427333"/>
    <w:rsid w:val="00427493"/>
    <w:rsid w:val="004274A4"/>
    <w:rsid w:val="004274A7"/>
    <w:rsid w:val="0042754E"/>
    <w:rsid w:val="004275E0"/>
    <w:rsid w:val="00427667"/>
    <w:rsid w:val="004276B4"/>
    <w:rsid w:val="004276D5"/>
    <w:rsid w:val="004276FC"/>
    <w:rsid w:val="0042771B"/>
    <w:rsid w:val="0042777E"/>
    <w:rsid w:val="004277F4"/>
    <w:rsid w:val="00427800"/>
    <w:rsid w:val="004278B0"/>
    <w:rsid w:val="004278B2"/>
    <w:rsid w:val="004279AA"/>
    <w:rsid w:val="004279B1"/>
    <w:rsid w:val="004279D9"/>
    <w:rsid w:val="00427A0A"/>
    <w:rsid w:val="00427A4C"/>
    <w:rsid w:val="00427A80"/>
    <w:rsid w:val="00427B1B"/>
    <w:rsid w:val="00427C2B"/>
    <w:rsid w:val="00427C33"/>
    <w:rsid w:val="00427C45"/>
    <w:rsid w:val="00427C6F"/>
    <w:rsid w:val="00427C81"/>
    <w:rsid w:val="00427CB7"/>
    <w:rsid w:val="00427CD1"/>
    <w:rsid w:val="00427D1E"/>
    <w:rsid w:val="00427D6A"/>
    <w:rsid w:val="00427D74"/>
    <w:rsid w:val="00427D7C"/>
    <w:rsid w:val="00427DCB"/>
    <w:rsid w:val="00427DE5"/>
    <w:rsid w:val="00427E23"/>
    <w:rsid w:val="00427E29"/>
    <w:rsid w:val="00427E31"/>
    <w:rsid w:val="00427E5E"/>
    <w:rsid w:val="00427ECA"/>
    <w:rsid w:val="00427F06"/>
    <w:rsid w:val="00427F75"/>
    <w:rsid w:val="00430045"/>
    <w:rsid w:val="004300AD"/>
    <w:rsid w:val="004300CE"/>
    <w:rsid w:val="004301CA"/>
    <w:rsid w:val="004301CD"/>
    <w:rsid w:val="004301D2"/>
    <w:rsid w:val="004301F2"/>
    <w:rsid w:val="0043022E"/>
    <w:rsid w:val="00430285"/>
    <w:rsid w:val="004302B0"/>
    <w:rsid w:val="00430328"/>
    <w:rsid w:val="0043032E"/>
    <w:rsid w:val="00430349"/>
    <w:rsid w:val="00430403"/>
    <w:rsid w:val="0043040E"/>
    <w:rsid w:val="00430435"/>
    <w:rsid w:val="00430449"/>
    <w:rsid w:val="00430465"/>
    <w:rsid w:val="004304EE"/>
    <w:rsid w:val="004304F5"/>
    <w:rsid w:val="00430517"/>
    <w:rsid w:val="0043056B"/>
    <w:rsid w:val="0043056D"/>
    <w:rsid w:val="00430593"/>
    <w:rsid w:val="004305AD"/>
    <w:rsid w:val="004306C1"/>
    <w:rsid w:val="0043070C"/>
    <w:rsid w:val="004307F5"/>
    <w:rsid w:val="0043084C"/>
    <w:rsid w:val="004308D9"/>
    <w:rsid w:val="00430917"/>
    <w:rsid w:val="00430920"/>
    <w:rsid w:val="00430A10"/>
    <w:rsid w:val="00430BDC"/>
    <w:rsid w:val="00430C1F"/>
    <w:rsid w:val="00430C4D"/>
    <w:rsid w:val="00430CE1"/>
    <w:rsid w:val="00430D31"/>
    <w:rsid w:val="00430D8C"/>
    <w:rsid w:val="00430F50"/>
    <w:rsid w:val="00430F9C"/>
    <w:rsid w:val="00430FC9"/>
    <w:rsid w:val="00430FFF"/>
    <w:rsid w:val="0043100C"/>
    <w:rsid w:val="00431023"/>
    <w:rsid w:val="00431033"/>
    <w:rsid w:val="00431066"/>
    <w:rsid w:val="0043106B"/>
    <w:rsid w:val="00431084"/>
    <w:rsid w:val="0043109F"/>
    <w:rsid w:val="004310AC"/>
    <w:rsid w:val="0043115A"/>
    <w:rsid w:val="00431161"/>
    <w:rsid w:val="004311BC"/>
    <w:rsid w:val="0043121B"/>
    <w:rsid w:val="0043136E"/>
    <w:rsid w:val="004313BD"/>
    <w:rsid w:val="004313C6"/>
    <w:rsid w:val="004313DB"/>
    <w:rsid w:val="00431427"/>
    <w:rsid w:val="00431478"/>
    <w:rsid w:val="0043149A"/>
    <w:rsid w:val="004314BA"/>
    <w:rsid w:val="00431512"/>
    <w:rsid w:val="00431517"/>
    <w:rsid w:val="00431565"/>
    <w:rsid w:val="00431567"/>
    <w:rsid w:val="00431569"/>
    <w:rsid w:val="004315C4"/>
    <w:rsid w:val="0043161A"/>
    <w:rsid w:val="00431627"/>
    <w:rsid w:val="00431645"/>
    <w:rsid w:val="00431685"/>
    <w:rsid w:val="0043168F"/>
    <w:rsid w:val="004316E5"/>
    <w:rsid w:val="00431712"/>
    <w:rsid w:val="004317AC"/>
    <w:rsid w:val="004317F1"/>
    <w:rsid w:val="00431854"/>
    <w:rsid w:val="0043185D"/>
    <w:rsid w:val="004318C2"/>
    <w:rsid w:val="00431944"/>
    <w:rsid w:val="0043195D"/>
    <w:rsid w:val="004319C1"/>
    <w:rsid w:val="004319EF"/>
    <w:rsid w:val="00431B87"/>
    <w:rsid w:val="00431BF2"/>
    <w:rsid w:val="00431C22"/>
    <w:rsid w:val="00431C68"/>
    <w:rsid w:val="00431CDC"/>
    <w:rsid w:val="00431D43"/>
    <w:rsid w:val="00431D73"/>
    <w:rsid w:val="00431DB0"/>
    <w:rsid w:val="00431DBD"/>
    <w:rsid w:val="00431DCF"/>
    <w:rsid w:val="00431E72"/>
    <w:rsid w:val="00431F34"/>
    <w:rsid w:val="00431F3A"/>
    <w:rsid w:val="00431F3F"/>
    <w:rsid w:val="00431F54"/>
    <w:rsid w:val="00431F5A"/>
    <w:rsid w:val="00431F5B"/>
    <w:rsid w:val="00431F77"/>
    <w:rsid w:val="00431F90"/>
    <w:rsid w:val="0043205B"/>
    <w:rsid w:val="004320B4"/>
    <w:rsid w:val="004320B5"/>
    <w:rsid w:val="0043211C"/>
    <w:rsid w:val="00432168"/>
    <w:rsid w:val="00432194"/>
    <w:rsid w:val="00432278"/>
    <w:rsid w:val="004322D2"/>
    <w:rsid w:val="004322DD"/>
    <w:rsid w:val="004323D8"/>
    <w:rsid w:val="0043241B"/>
    <w:rsid w:val="00432491"/>
    <w:rsid w:val="004324A1"/>
    <w:rsid w:val="004324FB"/>
    <w:rsid w:val="0043268B"/>
    <w:rsid w:val="0043273E"/>
    <w:rsid w:val="004327A6"/>
    <w:rsid w:val="004327C2"/>
    <w:rsid w:val="00432830"/>
    <w:rsid w:val="00432840"/>
    <w:rsid w:val="00432863"/>
    <w:rsid w:val="004328A1"/>
    <w:rsid w:val="004328F5"/>
    <w:rsid w:val="0043293F"/>
    <w:rsid w:val="00432967"/>
    <w:rsid w:val="004329C0"/>
    <w:rsid w:val="00432A8A"/>
    <w:rsid w:val="00432AAB"/>
    <w:rsid w:val="00432AC8"/>
    <w:rsid w:val="00432AE0"/>
    <w:rsid w:val="00432BB1"/>
    <w:rsid w:val="00432C10"/>
    <w:rsid w:val="00432C42"/>
    <w:rsid w:val="00432C94"/>
    <w:rsid w:val="00432C9C"/>
    <w:rsid w:val="00432D74"/>
    <w:rsid w:val="00432DA5"/>
    <w:rsid w:val="00432DDE"/>
    <w:rsid w:val="00432DE6"/>
    <w:rsid w:val="00432E08"/>
    <w:rsid w:val="00432E94"/>
    <w:rsid w:val="00432EE2"/>
    <w:rsid w:val="00432EFE"/>
    <w:rsid w:val="00432F1F"/>
    <w:rsid w:val="00432F9C"/>
    <w:rsid w:val="00432FA9"/>
    <w:rsid w:val="00432FED"/>
    <w:rsid w:val="00433093"/>
    <w:rsid w:val="004330CB"/>
    <w:rsid w:val="0043314A"/>
    <w:rsid w:val="004331AA"/>
    <w:rsid w:val="004331B1"/>
    <w:rsid w:val="00433236"/>
    <w:rsid w:val="00433283"/>
    <w:rsid w:val="004332C6"/>
    <w:rsid w:val="004332E9"/>
    <w:rsid w:val="00433354"/>
    <w:rsid w:val="0043335E"/>
    <w:rsid w:val="004333FD"/>
    <w:rsid w:val="0043348A"/>
    <w:rsid w:val="004334FB"/>
    <w:rsid w:val="00433527"/>
    <w:rsid w:val="00433579"/>
    <w:rsid w:val="0043359D"/>
    <w:rsid w:val="004335DE"/>
    <w:rsid w:val="0043368F"/>
    <w:rsid w:val="004336E6"/>
    <w:rsid w:val="00433712"/>
    <w:rsid w:val="004338A4"/>
    <w:rsid w:val="004338F3"/>
    <w:rsid w:val="00433905"/>
    <w:rsid w:val="004339F8"/>
    <w:rsid w:val="00433A29"/>
    <w:rsid w:val="00433B1D"/>
    <w:rsid w:val="00433B69"/>
    <w:rsid w:val="00433B79"/>
    <w:rsid w:val="00433B7F"/>
    <w:rsid w:val="00433BE7"/>
    <w:rsid w:val="00433C7F"/>
    <w:rsid w:val="00433C8C"/>
    <w:rsid w:val="00433C93"/>
    <w:rsid w:val="00433CCB"/>
    <w:rsid w:val="00433D39"/>
    <w:rsid w:val="00433E10"/>
    <w:rsid w:val="00433E14"/>
    <w:rsid w:val="00433E81"/>
    <w:rsid w:val="00433F13"/>
    <w:rsid w:val="00433F15"/>
    <w:rsid w:val="00433F4C"/>
    <w:rsid w:val="00433F6E"/>
    <w:rsid w:val="00433FC4"/>
    <w:rsid w:val="004340B7"/>
    <w:rsid w:val="0043411D"/>
    <w:rsid w:val="00434129"/>
    <w:rsid w:val="00434158"/>
    <w:rsid w:val="00434159"/>
    <w:rsid w:val="00434202"/>
    <w:rsid w:val="0043426F"/>
    <w:rsid w:val="00434319"/>
    <w:rsid w:val="0043431A"/>
    <w:rsid w:val="00434321"/>
    <w:rsid w:val="004343F7"/>
    <w:rsid w:val="004344E7"/>
    <w:rsid w:val="0043451B"/>
    <w:rsid w:val="0043457A"/>
    <w:rsid w:val="00434619"/>
    <w:rsid w:val="00434648"/>
    <w:rsid w:val="0043464A"/>
    <w:rsid w:val="00434682"/>
    <w:rsid w:val="004346EF"/>
    <w:rsid w:val="00434724"/>
    <w:rsid w:val="0043476B"/>
    <w:rsid w:val="004347A1"/>
    <w:rsid w:val="004348D9"/>
    <w:rsid w:val="004348FD"/>
    <w:rsid w:val="00434959"/>
    <w:rsid w:val="004349B4"/>
    <w:rsid w:val="004349D4"/>
    <w:rsid w:val="00434A03"/>
    <w:rsid w:val="00434A4E"/>
    <w:rsid w:val="00434A71"/>
    <w:rsid w:val="00434B10"/>
    <w:rsid w:val="00434BA7"/>
    <w:rsid w:val="00434BAC"/>
    <w:rsid w:val="00434C6D"/>
    <w:rsid w:val="00434C80"/>
    <w:rsid w:val="00434C96"/>
    <w:rsid w:val="00434E15"/>
    <w:rsid w:val="00434E94"/>
    <w:rsid w:val="00434EF2"/>
    <w:rsid w:val="00434F1E"/>
    <w:rsid w:val="00434F28"/>
    <w:rsid w:val="00434F3E"/>
    <w:rsid w:val="00434F6D"/>
    <w:rsid w:val="00435034"/>
    <w:rsid w:val="00435039"/>
    <w:rsid w:val="00435074"/>
    <w:rsid w:val="00435084"/>
    <w:rsid w:val="00435095"/>
    <w:rsid w:val="004351F5"/>
    <w:rsid w:val="00435233"/>
    <w:rsid w:val="0043527E"/>
    <w:rsid w:val="00435294"/>
    <w:rsid w:val="0043529F"/>
    <w:rsid w:val="004352BD"/>
    <w:rsid w:val="00435315"/>
    <w:rsid w:val="00435323"/>
    <w:rsid w:val="00435398"/>
    <w:rsid w:val="004353FB"/>
    <w:rsid w:val="00435436"/>
    <w:rsid w:val="00435464"/>
    <w:rsid w:val="0043553F"/>
    <w:rsid w:val="00435573"/>
    <w:rsid w:val="00435637"/>
    <w:rsid w:val="00435656"/>
    <w:rsid w:val="0043566A"/>
    <w:rsid w:val="004356C3"/>
    <w:rsid w:val="0043570A"/>
    <w:rsid w:val="00435745"/>
    <w:rsid w:val="00435783"/>
    <w:rsid w:val="0043585D"/>
    <w:rsid w:val="00435876"/>
    <w:rsid w:val="00435879"/>
    <w:rsid w:val="00435894"/>
    <w:rsid w:val="00435897"/>
    <w:rsid w:val="00435937"/>
    <w:rsid w:val="004359A6"/>
    <w:rsid w:val="00435A76"/>
    <w:rsid w:val="00435A80"/>
    <w:rsid w:val="00435B54"/>
    <w:rsid w:val="00435BB1"/>
    <w:rsid w:val="00435BDA"/>
    <w:rsid w:val="00435C7C"/>
    <w:rsid w:val="00435C93"/>
    <w:rsid w:val="00435CC4"/>
    <w:rsid w:val="00435CF0"/>
    <w:rsid w:val="00435CF3"/>
    <w:rsid w:val="00435D7A"/>
    <w:rsid w:val="00435E42"/>
    <w:rsid w:val="00435EB8"/>
    <w:rsid w:val="00435EC1"/>
    <w:rsid w:val="00435F65"/>
    <w:rsid w:val="00435F9F"/>
    <w:rsid w:val="00436034"/>
    <w:rsid w:val="00436066"/>
    <w:rsid w:val="004360D1"/>
    <w:rsid w:val="00436100"/>
    <w:rsid w:val="00436138"/>
    <w:rsid w:val="004361E3"/>
    <w:rsid w:val="00436244"/>
    <w:rsid w:val="00436250"/>
    <w:rsid w:val="0043629A"/>
    <w:rsid w:val="00436379"/>
    <w:rsid w:val="0043637F"/>
    <w:rsid w:val="0043639F"/>
    <w:rsid w:val="004364BB"/>
    <w:rsid w:val="00436516"/>
    <w:rsid w:val="00436552"/>
    <w:rsid w:val="004365B5"/>
    <w:rsid w:val="004365BC"/>
    <w:rsid w:val="004365D2"/>
    <w:rsid w:val="00436731"/>
    <w:rsid w:val="004367D6"/>
    <w:rsid w:val="004367D7"/>
    <w:rsid w:val="00436856"/>
    <w:rsid w:val="004368C0"/>
    <w:rsid w:val="0043697C"/>
    <w:rsid w:val="004369DE"/>
    <w:rsid w:val="00436A89"/>
    <w:rsid w:val="00436A9D"/>
    <w:rsid w:val="00436AB5"/>
    <w:rsid w:val="00436BB8"/>
    <w:rsid w:val="00436C56"/>
    <w:rsid w:val="00436C73"/>
    <w:rsid w:val="00436CCD"/>
    <w:rsid w:val="00436D06"/>
    <w:rsid w:val="00436D1F"/>
    <w:rsid w:val="00436D28"/>
    <w:rsid w:val="00436D7A"/>
    <w:rsid w:val="00436DD6"/>
    <w:rsid w:val="00436E24"/>
    <w:rsid w:val="00436EF5"/>
    <w:rsid w:val="00436F2B"/>
    <w:rsid w:val="00436F43"/>
    <w:rsid w:val="00436FC6"/>
    <w:rsid w:val="0043703C"/>
    <w:rsid w:val="00437075"/>
    <w:rsid w:val="00437098"/>
    <w:rsid w:val="004370BE"/>
    <w:rsid w:val="004370EF"/>
    <w:rsid w:val="0043718E"/>
    <w:rsid w:val="0043720F"/>
    <w:rsid w:val="004372E5"/>
    <w:rsid w:val="004372EB"/>
    <w:rsid w:val="00437340"/>
    <w:rsid w:val="004373A5"/>
    <w:rsid w:val="004373C0"/>
    <w:rsid w:val="004373C6"/>
    <w:rsid w:val="00437433"/>
    <w:rsid w:val="0043744D"/>
    <w:rsid w:val="0043746F"/>
    <w:rsid w:val="004374F1"/>
    <w:rsid w:val="00437506"/>
    <w:rsid w:val="004375AF"/>
    <w:rsid w:val="00437624"/>
    <w:rsid w:val="00437676"/>
    <w:rsid w:val="00437695"/>
    <w:rsid w:val="004376A1"/>
    <w:rsid w:val="004376F8"/>
    <w:rsid w:val="0043770C"/>
    <w:rsid w:val="00437796"/>
    <w:rsid w:val="0043781F"/>
    <w:rsid w:val="0043784A"/>
    <w:rsid w:val="00437852"/>
    <w:rsid w:val="0043788F"/>
    <w:rsid w:val="004378A3"/>
    <w:rsid w:val="004378A4"/>
    <w:rsid w:val="004378A5"/>
    <w:rsid w:val="004378D0"/>
    <w:rsid w:val="0043793F"/>
    <w:rsid w:val="00437942"/>
    <w:rsid w:val="004379E8"/>
    <w:rsid w:val="00437A22"/>
    <w:rsid w:val="00437A48"/>
    <w:rsid w:val="00437A4D"/>
    <w:rsid w:val="00437A79"/>
    <w:rsid w:val="00437ACD"/>
    <w:rsid w:val="00437B06"/>
    <w:rsid w:val="00437B2D"/>
    <w:rsid w:val="00437B7B"/>
    <w:rsid w:val="00437BB7"/>
    <w:rsid w:val="00437BBF"/>
    <w:rsid w:val="00437BDD"/>
    <w:rsid w:val="00437C26"/>
    <w:rsid w:val="00437C38"/>
    <w:rsid w:val="00437C76"/>
    <w:rsid w:val="00437CF8"/>
    <w:rsid w:val="00437D51"/>
    <w:rsid w:val="00437D61"/>
    <w:rsid w:val="00437D74"/>
    <w:rsid w:val="00437D8E"/>
    <w:rsid w:val="00437D9A"/>
    <w:rsid w:val="00437E13"/>
    <w:rsid w:val="00437E17"/>
    <w:rsid w:val="00437E19"/>
    <w:rsid w:val="00437E22"/>
    <w:rsid w:val="00437E53"/>
    <w:rsid w:val="00437F3B"/>
    <w:rsid w:val="00437F60"/>
    <w:rsid w:val="0044001F"/>
    <w:rsid w:val="004400C8"/>
    <w:rsid w:val="00440173"/>
    <w:rsid w:val="004401AF"/>
    <w:rsid w:val="004401B1"/>
    <w:rsid w:val="004401F5"/>
    <w:rsid w:val="004402A9"/>
    <w:rsid w:val="0044034F"/>
    <w:rsid w:val="0044035E"/>
    <w:rsid w:val="0044036F"/>
    <w:rsid w:val="004403E7"/>
    <w:rsid w:val="0044040E"/>
    <w:rsid w:val="00440436"/>
    <w:rsid w:val="00440469"/>
    <w:rsid w:val="004404B4"/>
    <w:rsid w:val="004404BF"/>
    <w:rsid w:val="00440609"/>
    <w:rsid w:val="004406BD"/>
    <w:rsid w:val="0044070C"/>
    <w:rsid w:val="00440710"/>
    <w:rsid w:val="004407AA"/>
    <w:rsid w:val="004407CD"/>
    <w:rsid w:val="00440897"/>
    <w:rsid w:val="0044096D"/>
    <w:rsid w:val="004409DC"/>
    <w:rsid w:val="00440B03"/>
    <w:rsid w:val="00440B11"/>
    <w:rsid w:val="00440B46"/>
    <w:rsid w:val="00440BE9"/>
    <w:rsid w:val="00440BFC"/>
    <w:rsid w:val="00440C05"/>
    <w:rsid w:val="00440C21"/>
    <w:rsid w:val="00440C46"/>
    <w:rsid w:val="00440C4C"/>
    <w:rsid w:val="00440C6B"/>
    <w:rsid w:val="00440CCA"/>
    <w:rsid w:val="00440D58"/>
    <w:rsid w:val="00440E4B"/>
    <w:rsid w:val="00440E89"/>
    <w:rsid w:val="00440F11"/>
    <w:rsid w:val="00440FC9"/>
    <w:rsid w:val="00440FCE"/>
    <w:rsid w:val="0044100F"/>
    <w:rsid w:val="0044109F"/>
    <w:rsid w:val="004410AF"/>
    <w:rsid w:val="004410B9"/>
    <w:rsid w:val="004410F5"/>
    <w:rsid w:val="0044111C"/>
    <w:rsid w:val="00441151"/>
    <w:rsid w:val="0044116E"/>
    <w:rsid w:val="0044117D"/>
    <w:rsid w:val="00441186"/>
    <w:rsid w:val="004411CB"/>
    <w:rsid w:val="004412AD"/>
    <w:rsid w:val="00441314"/>
    <w:rsid w:val="00441368"/>
    <w:rsid w:val="004413ED"/>
    <w:rsid w:val="00441408"/>
    <w:rsid w:val="004414A4"/>
    <w:rsid w:val="004414AE"/>
    <w:rsid w:val="004414FC"/>
    <w:rsid w:val="00441530"/>
    <w:rsid w:val="0044153C"/>
    <w:rsid w:val="00441547"/>
    <w:rsid w:val="00441559"/>
    <w:rsid w:val="004415BD"/>
    <w:rsid w:val="004415EA"/>
    <w:rsid w:val="00441649"/>
    <w:rsid w:val="0044168E"/>
    <w:rsid w:val="004416AF"/>
    <w:rsid w:val="004416CF"/>
    <w:rsid w:val="00441799"/>
    <w:rsid w:val="004417C0"/>
    <w:rsid w:val="004417EE"/>
    <w:rsid w:val="00441857"/>
    <w:rsid w:val="004418A7"/>
    <w:rsid w:val="004418A8"/>
    <w:rsid w:val="004418CC"/>
    <w:rsid w:val="004418DF"/>
    <w:rsid w:val="004418EB"/>
    <w:rsid w:val="004418F5"/>
    <w:rsid w:val="00441A10"/>
    <w:rsid w:val="00441A6A"/>
    <w:rsid w:val="00441AE1"/>
    <w:rsid w:val="00441BF0"/>
    <w:rsid w:val="00441CE7"/>
    <w:rsid w:val="00441D8B"/>
    <w:rsid w:val="00441D8F"/>
    <w:rsid w:val="00441D92"/>
    <w:rsid w:val="00441D99"/>
    <w:rsid w:val="00441E28"/>
    <w:rsid w:val="00441EAD"/>
    <w:rsid w:val="00441F1F"/>
    <w:rsid w:val="00441F31"/>
    <w:rsid w:val="00441F60"/>
    <w:rsid w:val="00441F6E"/>
    <w:rsid w:val="00441F8C"/>
    <w:rsid w:val="00441FAC"/>
    <w:rsid w:val="00441FF5"/>
    <w:rsid w:val="00442064"/>
    <w:rsid w:val="0044209F"/>
    <w:rsid w:val="00442155"/>
    <w:rsid w:val="0044222E"/>
    <w:rsid w:val="0044222F"/>
    <w:rsid w:val="00442270"/>
    <w:rsid w:val="00442279"/>
    <w:rsid w:val="00442290"/>
    <w:rsid w:val="0044231C"/>
    <w:rsid w:val="00442377"/>
    <w:rsid w:val="00442386"/>
    <w:rsid w:val="0044246E"/>
    <w:rsid w:val="004424C0"/>
    <w:rsid w:val="004424EC"/>
    <w:rsid w:val="00442541"/>
    <w:rsid w:val="0044262F"/>
    <w:rsid w:val="00442656"/>
    <w:rsid w:val="0044266C"/>
    <w:rsid w:val="00442673"/>
    <w:rsid w:val="00442694"/>
    <w:rsid w:val="004426A8"/>
    <w:rsid w:val="004426AD"/>
    <w:rsid w:val="004426DA"/>
    <w:rsid w:val="0044272A"/>
    <w:rsid w:val="004427AB"/>
    <w:rsid w:val="004427BE"/>
    <w:rsid w:val="00442808"/>
    <w:rsid w:val="00442855"/>
    <w:rsid w:val="0044285D"/>
    <w:rsid w:val="00442878"/>
    <w:rsid w:val="004428A5"/>
    <w:rsid w:val="0044290D"/>
    <w:rsid w:val="0044291C"/>
    <w:rsid w:val="00442920"/>
    <w:rsid w:val="00442957"/>
    <w:rsid w:val="0044298E"/>
    <w:rsid w:val="004429C1"/>
    <w:rsid w:val="00442A7E"/>
    <w:rsid w:val="00442A86"/>
    <w:rsid w:val="00442A88"/>
    <w:rsid w:val="00442A89"/>
    <w:rsid w:val="00442AAF"/>
    <w:rsid w:val="00442AC4"/>
    <w:rsid w:val="00442AC8"/>
    <w:rsid w:val="00442AFE"/>
    <w:rsid w:val="00442B29"/>
    <w:rsid w:val="00442BA7"/>
    <w:rsid w:val="00442BFC"/>
    <w:rsid w:val="00442C5A"/>
    <w:rsid w:val="00442C9D"/>
    <w:rsid w:val="00442CB5"/>
    <w:rsid w:val="00442CFA"/>
    <w:rsid w:val="00442D23"/>
    <w:rsid w:val="00442D78"/>
    <w:rsid w:val="00442DDD"/>
    <w:rsid w:val="00442DDE"/>
    <w:rsid w:val="00442DFC"/>
    <w:rsid w:val="00442E4B"/>
    <w:rsid w:val="00442F68"/>
    <w:rsid w:val="00442F89"/>
    <w:rsid w:val="00442FC1"/>
    <w:rsid w:val="0044314A"/>
    <w:rsid w:val="00443236"/>
    <w:rsid w:val="004432BE"/>
    <w:rsid w:val="004432FF"/>
    <w:rsid w:val="00443348"/>
    <w:rsid w:val="00443386"/>
    <w:rsid w:val="004433DE"/>
    <w:rsid w:val="00443409"/>
    <w:rsid w:val="004434B1"/>
    <w:rsid w:val="00443507"/>
    <w:rsid w:val="0044352A"/>
    <w:rsid w:val="00443530"/>
    <w:rsid w:val="00443582"/>
    <w:rsid w:val="004435D6"/>
    <w:rsid w:val="0044362D"/>
    <w:rsid w:val="00443717"/>
    <w:rsid w:val="00443718"/>
    <w:rsid w:val="00443770"/>
    <w:rsid w:val="0044380F"/>
    <w:rsid w:val="00443824"/>
    <w:rsid w:val="004438BD"/>
    <w:rsid w:val="00443924"/>
    <w:rsid w:val="0044395D"/>
    <w:rsid w:val="00443979"/>
    <w:rsid w:val="0044398E"/>
    <w:rsid w:val="0044398F"/>
    <w:rsid w:val="004439C2"/>
    <w:rsid w:val="00443A2E"/>
    <w:rsid w:val="00443AE7"/>
    <w:rsid w:val="00443B21"/>
    <w:rsid w:val="00443B59"/>
    <w:rsid w:val="00443BE1"/>
    <w:rsid w:val="00443C08"/>
    <w:rsid w:val="00443CBE"/>
    <w:rsid w:val="00443D1D"/>
    <w:rsid w:val="00443D2B"/>
    <w:rsid w:val="00443DBF"/>
    <w:rsid w:val="00443E3F"/>
    <w:rsid w:val="00443ED7"/>
    <w:rsid w:val="00443EF1"/>
    <w:rsid w:val="00443F61"/>
    <w:rsid w:val="00443F82"/>
    <w:rsid w:val="00443FC1"/>
    <w:rsid w:val="00443FD4"/>
    <w:rsid w:val="00443FE9"/>
    <w:rsid w:val="00443FEE"/>
    <w:rsid w:val="0044404E"/>
    <w:rsid w:val="0044406E"/>
    <w:rsid w:val="00444097"/>
    <w:rsid w:val="004440A6"/>
    <w:rsid w:val="00444176"/>
    <w:rsid w:val="004441C3"/>
    <w:rsid w:val="0044443F"/>
    <w:rsid w:val="00444491"/>
    <w:rsid w:val="004444CE"/>
    <w:rsid w:val="004444EF"/>
    <w:rsid w:val="004444FA"/>
    <w:rsid w:val="0044452D"/>
    <w:rsid w:val="00444541"/>
    <w:rsid w:val="00444580"/>
    <w:rsid w:val="004445B6"/>
    <w:rsid w:val="004445C9"/>
    <w:rsid w:val="004445D9"/>
    <w:rsid w:val="004445DC"/>
    <w:rsid w:val="00444644"/>
    <w:rsid w:val="0044465B"/>
    <w:rsid w:val="004446C2"/>
    <w:rsid w:val="00444783"/>
    <w:rsid w:val="00444885"/>
    <w:rsid w:val="0044496F"/>
    <w:rsid w:val="00444976"/>
    <w:rsid w:val="0044497C"/>
    <w:rsid w:val="004449C0"/>
    <w:rsid w:val="00444A09"/>
    <w:rsid w:val="00444A1D"/>
    <w:rsid w:val="00444A71"/>
    <w:rsid w:val="00444AE5"/>
    <w:rsid w:val="00444B63"/>
    <w:rsid w:val="00444BE7"/>
    <w:rsid w:val="00444CCE"/>
    <w:rsid w:val="00444D31"/>
    <w:rsid w:val="00444D80"/>
    <w:rsid w:val="00444DBE"/>
    <w:rsid w:val="00444DDF"/>
    <w:rsid w:val="00444E3F"/>
    <w:rsid w:val="00444E8B"/>
    <w:rsid w:val="00444EA7"/>
    <w:rsid w:val="00444EC0"/>
    <w:rsid w:val="00444F20"/>
    <w:rsid w:val="00444FB9"/>
    <w:rsid w:val="0044506E"/>
    <w:rsid w:val="00445078"/>
    <w:rsid w:val="00445098"/>
    <w:rsid w:val="00445196"/>
    <w:rsid w:val="0044531D"/>
    <w:rsid w:val="0044548E"/>
    <w:rsid w:val="0044550F"/>
    <w:rsid w:val="00445522"/>
    <w:rsid w:val="004455A5"/>
    <w:rsid w:val="004455D8"/>
    <w:rsid w:val="0044564A"/>
    <w:rsid w:val="004456AC"/>
    <w:rsid w:val="004456D2"/>
    <w:rsid w:val="0044574A"/>
    <w:rsid w:val="004457F7"/>
    <w:rsid w:val="00445848"/>
    <w:rsid w:val="0044586D"/>
    <w:rsid w:val="00445886"/>
    <w:rsid w:val="0044589C"/>
    <w:rsid w:val="004458BD"/>
    <w:rsid w:val="004458D2"/>
    <w:rsid w:val="004458F1"/>
    <w:rsid w:val="00445945"/>
    <w:rsid w:val="004459DC"/>
    <w:rsid w:val="00445A0B"/>
    <w:rsid w:val="00445A28"/>
    <w:rsid w:val="00445A58"/>
    <w:rsid w:val="00445AB2"/>
    <w:rsid w:val="00445ABC"/>
    <w:rsid w:val="00445AC7"/>
    <w:rsid w:val="00445ACB"/>
    <w:rsid w:val="00445B11"/>
    <w:rsid w:val="00445B78"/>
    <w:rsid w:val="00445B95"/>
    <w:rsid w:val="00445BF3"/>
    <w:rsid w:val="00445C88"/>
    <w:rsid w:val="00445CDC"/>
    <w:rsid w:val="00445DF4"/>
    <w:rsid w:val="00445E3D"/>
    <w:rsid w:val="00445E4A"/>
    <w:rsid w:val="00445E7D"/>
    <w:rsid w:val="00445E9F"/>
    <w:rsid w:val="00445ED2"/>
    <w:rsid w:val="00445F42"/>
    <w:rsid w:val="00446080"/>
    <w:rsid w:val="00446083"/>
    <w:rsid w:val="00446088"/>
    <w:rsid w:val="004460A1"/>
    <w:rsid w:val="004460AA"/>
    <w:rsid w:val="00446143"/>
    <w:rsid w:val="004461AB"/>
    <w:rsid w:val="00446232"/>
    <w:rsid w:val="0044626D"/>
    <w:rsid w:val="00446298"/>
    <w:rsid w:val="00446324"/>
    <w:rsid w:val="00446325"/>
    <w:rsid w:val="0044638D"/>
    <w:rsid w:val="004463C3"/>
    <w:rsid w:val="004463E0"/>
    <w:rsid w:val="004464DF"/>
    <w:rsid w:val="00446577"/>
    <w:rsid w:val="00446614"/>
    <w:rsid w:val="004466B4"/>
    <w:rsid w:val="004466D8"/>
    <w:rsid w:val="004466FC"/>
    <w:rsid w:val="0044670A"/>
    <w:rsid w:val="0044672D"/>
    <w:rsid w:val="00446752"/>
    <w:rsid w:val="00446767"/>
    <w:rsid w:val="00446774"/>
    <w:rsid w:val="00446777"/>
    <w:rsid w:val="004467D9"/>
    <w:rsid w:val="00446825"/>
    <w:rsid w:val="004468A2"/>
    <w:rsid w:val="004468DB"/>
    <w:rsid w:val="00446924"/>
    <w:rsid w:val="00446954"/>
    <w:rsid w:val="00446A8F"/>
    <w:rsid w:val="00446B02"/>
    <w:rsid w:val="00446BD3"/>
    <w:rsid w:val="00446C05"/>
    <w:rsid w:val="00446CEE"/>
    <w:rsid w:val="00446CF7"/>
    <w:rsid w:val="00446D09"/>
    <w:rsid w:val="00446D1A"/>
    <w:rsid w:val="00446D2E"/>
    <w:rsid w:val="00446D6A"/>
    <w:rsid w:val="00446DE8"/>
    <w:rsid w:val="00446E57"/>
    <w:rsid w:val="00446E6F"/>
    <w:rsid w:val="00446F04"/>
    <w:rsid w:val="00446F84"/>
    <w:rsid w:val="00446F96"/>
    <w:rsid w:val="00446FF4"/>
    <w:rsid w:val="00447083"/>
    <w:rsid w:val="004470B2"/>
    <w:rsid w:val="004470B7"/>
    <w:rsid w:val="004470EB"/>
    <w:rsid w:val="004471A1"/>
    <w:rsid w:val="004471A7"/>
    <w:rsid w:val="0044723B"/>
    <w:rsid w:val="00447254"/>
    <w:rsid w:val="004472D7"/>
    <w:rsid w:val="004472FF"/>
    <w:rsid w:val="0044732B"/>
    <w:rsid w:val="0044732D"/>
    <w:rsid w:val="00447367"/>
    <w:rsid w:val="00447368"/>
    <w:rsid w:val="00447434"/>
    <w:rsid w:val="0044749D"/>
    <w:rsid w:val="00447500"/>
    <w:rsid w:val="00447520"/>
    <w:rsid w:val="0044754D"/>
    <w:rsid w:val="0044758B"/>
    <w:rsid w:val="004475C9"/>
    <w:rsid w:val="00447617"/>
    <w:rsid w:val="0044761D"/>
    <w:rsid w:val="0044767D"/>
    <w:rsid w:val="00447769"/>
    <w:rsid w:val="004477D8"/>
    <w:rsid w:val="00447870"/>
    <w:rsid w:val="0044789F"/>
    <w:rsid w:val="00447951"/>
    <w:rsid w:val="0044796B"/>
    <w:rsid w:val="004479BB"/>
    <w:rsid w:val="00447A83"/>
    <w:rsid w:val="00447B69"/>
    <w:rsid w:val="00447B7D"/>
    <w:rsid w:val="00447B9A"/>
    <w:rsid w:val="00447BE2"/>
    <w:rsid w:val="00447C08"/>
    <w:rsid w:val="00447C55"/>
    <w:rsid w:val="00447C64"/>
    <w:rsid w:val="00447CCF"/>
    <w:rsid w:val="00447CD3"/>
    <w:rsid w:val="00447E8A"/>
    <w:rsid w:val="00447EC2"/>
    <w:rsid w:val="00447ED6"/>
    <w:rsid w:val="00447F44"/>
    <w:rsid w:val="00447F50"/>
    <w:rsid w:val="00447F53"/>
    <w:rsid w:val="00447FE9"/>
    <w:rsid w:val="00447FEE"/>
    <w:rsid w:val="00447FF4"/>
    <w:rsid w:val="0045005D"/>
    <w:rsid w:val="0045009A"/>
    <w:rsid w:val="004500E0"/>
    <w:rsid w:val="00450149"/>
    <w:rsid w:val="004501E2"/>
    <w:rsid w:val="004501F9"/>
    <w:rsid w:val="00450200"/>
    <w:rsid w:val="0045020C"/>
    <w:rsid w:val="0045020D"/>
    <w:rsid w:val="0045031C"/>
    <w:rsid w:val="00450353"/>
    <w:rsid w:val="004503A9"/>
    <w:rsid w:val="004504C2"/>
    <w:rsid w:val="004504F6"/>
    <w:rsid w:val="0045051B"/>
    <w:rsid w:val="004505E9"/>
    <w:rsid w:val="00450686"/>
    <w:rsid w:val="004506D2"/>
    <w:rsid w:val="00450721"/>
    <w:rsid w:val="0045072A"/>
    <w:rsid w:val="0045076D"/>
    <w:rsid w:val="004507B6"/>
    <w:rsid w:val="004508A5"/>
    <w:rsid w:val="00450922"/>
    <w:rsid w:val="00450977"/>
    <w:rsid w:val="004509A6"/>
    <w:rsid w:val="004509D6"/>
    <w:rsid w:val="004509FD"/>
    <w:rsid w:val="00450A29"/>
    <w:rsid w:val="00450A6A"/>
    <w:rsid w:val="00450AA2"/>
    <w:rsid w:val="00450AA9"/>
    <w:rsid w:val="00450B40"/>
    <w:rsid w:val="00450BD0"/>
    <w:rsid w:val="00450BD1"/>
    <w:rsid w:val="00450BD6"/>
    <w:rsid w:val="00450BE7"/>
    <w:rsid w:val="00450BFD"/>
    <w:rsid w:val="00450C26"/>
    <w:rsid w:val="00450CC2"/>
    <w:rsid w:val="00450CF2"/>
    <w:rsid w:val="00450CFF"/>
    <w:rsid w:val="00450D74"/>
    <w:rsid w:val="00450D83"/>
    <w:rsid w:val="00450E32"/>
    <w:rsid w:val="00450E51"/>
    <w:rsid w:val="00450F77"/>
    <w:rsid w:val="00450FC2"/>
    <w:rsid w:val="00450FE1"/>
    <w:rsid w:val="00451083"/>
    <w:rsid w:val="00451108"/>
    <w:rsid w:val="0045115F"/>
    <w:rsid w:val="00451179"/>
    <w:rsid w:val="0045119A"/>
    <w:rsid w:val="004511B9"/>
    <w:rsid w:val="004511D1"/>
    <w:rsid w:val="004511E6"/>
    <w:rsid w:val="004511FD"/>
    <w:rsid w:val="0045124A"/>
    <w:rsid w:val="0045125C"/>
    <w:rsid w:val="0045126A"/>
    <w:rsid w:val="004512C1"/>
    <w:rsid w:val="004512D8"/>
    <w:rsid w:val="00451398"/>
    <w:rsid w:val="004513DB"/>
    <w:rsid w:val="004513DC"/>
    <w:rsid w:val="0045143E"/>
    <w:rsid w:val="00451456"/>
    <w:rsid w:val="0045146D"/>
    <w:rsid w:val="004514B2"/>
    <w:rsid w:val="004514B6"/>
    <w:rsid w:val="004514E4"/>
    <w:rsid w:val="004514EA"/>
    <w:rsid w:val="0045153C"/>
    <w:rsid w:val="00451595"/>
    <w:rsid w:val="004515D0"/>
    <w:rsid w:val="0045172C"/>
    <w:rsid w:val="004517AE"/>
    <w:rsid w:val="004517C4"/>
    <w:rsid w:val="004517D3"/>
    <w:rsid w:val="004517D5"/>
    <w:rsid w:val="004517FC"/>
    <w:rsid w:val="00451904"/>
    <w:rsid w:val="0045193C"/>
    <w:rsid w:val="00451965"/>
    <w:rsid w:val="004519D2"/>
    <w:rsid w:val="004519D9"/>
    <w:rsid w:val="00451A08"/>
    <w:rsid w:val="00451A94"/>
    <w:rsid w:val="00451B81"/>
    <w:rsid w:val="00451BB4"/>
    <w:rsid w:val="00451C01"/>
    <w:rsid w:val="00451C21"/>
    <w:rsid w:val="00451CF2"/>
    <w:rsid w:val="00451D14"/>
    <w:rsid w:val="00451D65"/>
    <w:rsid w:val="00451D7F"/>
    <w:rsid w:val="00451DA6"/>
    <w:rsid w:val="00451E0D"/>
    <w:rsid w:val="00451E62"/>
    <w:rsid w:val="00451E81"/>
    <w:rsid w:val="00451F4E"/>
    <w:rsid w:val="00451FD3"/>
    <w:rsid w:val="00452018"/>
    <w:rsid w:val="00452055"/>
    <w:rsid w:val="0045206A"/>
    <w:rsid w:val="0045221E"/>
    <w:rsid w:val="004522B7"/>
    <w:rsid w:val="004522C0"/>
    <w:rsid w:val="00452312"/>
    <w:rsid w:val="004523DB"/>
    <w:rsid w:val="0045241D"/>
    <w:rsid w:val="004524E5"/>
    <w:rsid w:val="00452547"/>
    <w:rsid w:val="0045255D"/>
    <w:rsid w:val="004525E0"/>
    <w:rsid w:val="00452675"/>
    <w:rsid w:val="00452688"/>
    <w:rsid w:val="004526C5"/>
    <w:rsid w:val="00452725"/>
    <w:rsid w:val="004527F3"/>
    <w:rsid w:val="004527FE"/>
    <w:rsid w:val="00452848"/>
    <w:rsid w:val="004528A7"/>
    <w:rsid w:val="00452956"/>
    <w:rsid w:val="00452961"/>
    <w:rsid w:val="00452A42"/>
    <w:rsid w:val="00452A5A"/>
    <w:rsid w:val="00452A78"/>
    <w:rsid w:val="00452A9F"/>
    <w:rsid w:val="00452AC8"/>
    <w:rsid w:val="00452B68"/>
    <w:rsid w:val="00452BAE"/>
    <w:rsid w:val="00452C21"/>
    <w:rsid w:val="00452C44"/>
    <w:rsid w:val="00452C7A"/>
    <w:rsid w:val="00452C9F"/>
    <w:rsid w:val="00452CA9"/>
    <w:rsid w:val="00452CFF"/>
    <w:rsid w:val="00452D22"/>
    <w:rsid w:val="00452D3C"/>
    <w:rsid w:val="00452D7F"/>
    <w:rsid w:val="00452D80"/>
    <w:rsid w:val="00452D8F"/>
    <w:rsid w:val="00452DE0"/>
    <w:rsid w:val="00452E75"/>
    <w:rsid w:val="00452EBB"/>
    <w:rsid w:val="00453026"/>
    <w:rsid w:val="00453041"/>
    <w:rsid w:val="004530F3"/>
    <w:rsid w:val="00453148"/>
    <w:rsid w:val="00453187"/>
    <w:rsid w:val="00453214"/>
    <w:rsid w:val="00453324"/>
    <w:rsid w:val="00453390"/>
    <w:rsid w:val="004533CE"/>
    <w:rsid w:val="0045342D"/>
    <w:rsid w:val="00453498"/>
    <w:rsid w:val="004534EF"/>
    <w:rsid w:val="00453546"/>
    <w:rsid w:val="0045355E"/>
    <w:rsid w:val="004535BB"/>
    <w:rsid w:val="0045362A"/>
    <w:rsid w:val="00453633"/>
    <w:rsid w:val="0045365C"/>
    <w:rsid w:val="004536C9"/>
    <w:rsid w:val="004536EF"/>
    <w:rsid w:val="00453714"/>
    <w:rsid w:val="0045379B"/>
    <w:rsid w:val="004537D3"/>
    <w:rsid w:val="004537FD"/>
    <w:rsid w:val="0045386F"/>
    <w:rsid w:val="004538C6"/>
    <w:rsid w:val="004538EC"/>
    <w:rsid w:val="00453919"/>
    <w:rsid w:val="0045393E"/>
    <w:rsid w:val="00453AA3"/>
    <w:rsid w:val="00453B66"/>
    <w:rsid w:val="00453BE6"/>
    <w:rsid w:val="00453C07"/>
    <w:rsid w:val="00453C30"/>
    <w:rsid w:val="00453C36"/>
    <w:rsid w:val="00453C3F"/>
    <w:rsid w:val="00453C97"/>
    <w:rsid w:val="00453CB7"/>
    <w:rsid w:val="00453D1B"/>
    <w:rsid w:val="00453D71"/>
    <w:rsid w:val="00453DC6"/>
    <w:rsid w:val="00453E3A"/>
    <w:rsid w:val="00453E3C"/>
    <w:rsid w:val="00453EB0"/>
    <w:rsid w:val="00453F0F"/>
    <w:rsid w:val="00453F37"/>
    <w:rsid w:val="00453F62"/>
    <w:rsid w:val="00453F75"/>
    <w:rsid w:val="00453F97"/>
    <w:rsid w:val="00453F9C"/>
    <w:rsid w:val="00454058"/>
    <w:rsid w:val="00454062"/>
    <w:rsid w:val="0045410B"/>
    <w:rsid w:val="0045412A"/>
    <w:rsid w:val="00454132"/>
    <w:rsid w:val="00454210"/>
    <w:rsid w:val="0045425A"/>
    <w:rsid w:val="004542C0"/>
    <w:rsid w:val="004542C1"/>
    <w:rsid w:val="0045435F"/>
    <w:rsid w:val="00454392"/>
    <w:rsid w:val="00454423"/>
    <w:rsid w:val="00454468"/>
    <w:rsid w:val="0045449F"/>
    <w:rsid w:val="004544C7"/>
    <w:rsid w:val="0045450A"/>
    <w:rsid w:val="0045450E"/>
    <w:rsid w:val="00454532"/>
    <w:rsid w:val="00454578"/>
    <w:rsid w:val="004545CB"/>
    <w:rsid w:val="0045463C"/>
    <w:rsid w:val="00454691"/>
    <w:rsid w:val="004546C0"/>
    <w:rsid w:val="004546C2"/>
    <w:rsid w:val="004546E4"/>
    <w:rsid w:val="00454727"/>
    <w:rsid w:val="00454778"/>
    <w:rsid w:val="0045480A"/>
    <w:rsid w:val="00454868"/>
    <w:rsid w:val="00454975"/>
    <w:rsid w:val="00454997"/>
    <w:rsid w:val="004549E1"/>
    <w:rsid w:val="00454A61"/>
    <w:rsid w:val="00454A6B"/>
    <w:rsid w:val="00454AB2"/>
    <w:rsid w:val="00454AE0"/>
    <w:rsid w:val="00454C5A"/>
    <w:rsid w:val="00454CB2"/>
    <w:rsid w:val="00454CD8"/>
    <w:rsid w:val="00454D25"/>
    <w:rsid w:val="00454D75"/>
    <w:rsid w:val="00454D7B"/>
    <w:rsid w:val="00454DB0"/>
    <w:rsid w:val="00454E0C"/>
    <w:rsid w:val="00454E31"/>
    <w:rsid w:val="00454E60"/>
    <w:rsid w:val="00454E68"/>
    <w:rsid w:val="00454E74"/>
    <w:rsid w:val="00454EA4"/>
    <w:rsid w:val="00454F83"/>
    <w:rsid w:val="00455063"/>
    <w:rsid w:val="004550B9"/>
    <w:rsid w:val="004550FF"/>
    <w:rsid w:val="00455130"/>
    <w:rsid w:val="0045515E"/>
    <w:rsid w:val="00455194"/>
    <w:rsid w:val="004551D9"/>
    <w:rsid w:val="0045521E"/>
    <w:rsid w:val="00455239"/>
    <w:rsid w:val="0045524D"/>
    <w:rsid w:val="00455297"/>
    <w:rsid w:val="004552AA"/>
    <w:rsid w:val="00455320"/>
    <w:rsid w:val="0045532B"/>
    <w:rsid w:val="0045532D"/>
    <w:rsid w:val="0045534C"/>
    <w:rsid w:val="004553B0"/>
    <w:rsid w:val="004553C5"/>
    <w:rsid w:val="00455422"/>
    <w:rsid w:val="0045545B"/>
    <w:rsid w:val="00455481"/>
    <w:rsid w:val="00455518"/>
    <w:rsid w:val="0045564F"/>
    <w:rsid w:val="00455669"/>
    <w:rsid w:val="0045572A"/>
    <w:rsid w:val="0045575E"/>
    <w:rsid w:val="00455796"/>
    <w:rsid w:val="004557F3"/>
    <w:rsid w:val="004558AC"/>
    <w:rsid w:val="004558EF"/>
    <w:rsid w:val="00455917"/>
    <w:rsid w:val="0045592A"/>
    <w:rsid w:val="00455986"/>
    <w:rsid w:val="004559DB"/>
    <w:rsid w:val="004559FD"/>
    <w:rsid w:val="00455A35"/>
    <w:rsid w:val="00455A53"/>
    <w:rsid w:val="00455AB2"/>
    <w:rsid w:val="00455AE6"/>
    <w:rsid w:val="00455B46"/>
    <w:rsid w:val="00455B75"/>
    <w:rsid w:val="00455BE9"/>
    <w:rsid w:val="00455BFA"/>
    <w:rsid w:val="00455CA4"/>
    <w:rsid w:val="00455D81"/>
    <w:rsid w:val="00455D92"/>
    <w:rsid w:val="00455D9D"/>
    <w:rsid w:val="00455DB1"/>
    <w:rsid w:val="00455DBB"/>
    <w:rsid w:val="00455DC5"/>
    <w:rsid w:val="00455EBC"/>
    <w:rsid w:val="00455ED6"/>
    <w:rsid w:val="00455F70"/>
    <w:rsid w:val="00456010"/>
    <w:rsid w:val="0045603E"/>
    <w:rsid w:val="004560D6"/>
    <w:rsid w:val="0045617A"/>
    <w:rsid w:val="004561E0"/>
    <w:rsid w:val="004561EB"/>
    <w:rsid w:val="00456205"/>
    <w:rsid w:val="00456236"/>
    <w:rsid w:val="0045624D"/>
    <w:rsid w:val="0045624F"/>
    <w:rsid w:val="0045626F"/>
    <w:rsid w:val="004562D4"/>
    <w:rsid w:val="00456307"/>
    <w:rsid w:val="00456317"/>
    <w:rsid w:val="00456426"/>
    <w:rsid w:val="00456632"/>
    <w:rsid w:val="00456681"/>
    <w:rsid w:val="004566CC"/>
    <w:rsid w:val="00456771"/>
    <w:rsid w:val="004567AF"/>
    <w:rsid w:val="004567DF"/>
    <w:rsid w:val="00456836"/>
    <w:rsid w:val="00456869"/>
    <w:rsid w:val="00456904"/>
    <w:rsid w:val="00456A4C"/>
    <w:rsid w:val="00456A95"/>
    <w:rsid w:val="00456AB9"/>
    <w:rsid w:val="00456AF9"/>
    <w:rsid w:val="00456B24"/>
    <w:rsid w:val="00456BB7"/>
    <w:rsid w:val="00456BC5"/>
    <w:rsid w:val="00456C28"/>
    <w:rsid w:val="00456CB3"/>
    <w:rsid w:val="00456CFF"/>
    <w:rsid w:val="00456E0A"/>
    <w:rsid w:val="00456E55"/>
    <w:rsid w:val="00456EB8"/>
    <w:rsid w:val="00457085"/>
    <w:rsid w:val="004570AA"/>
    <w:rsid w:val="004570B0"/>
    <w:rsid w:val="004570BA"/>
    <w:rsid w:val="004570E2"/>
    <w:rsid w:val="004570E3"/>
    <w:rsid w:val="0045719F"/>
    <w:rsid w:val="004571F4"/>
    <w:rsid w:val="00457237"/>
    <w:rsid w:val="004572D0"/>
    <w:rsid w:val="00457306"/>
    <w:rsid w:val="00457367"/>
    <w:rsid w:val="0045739A"/>
    <w:rsid w:val="004573B2"/>
    <w:rsid w:val="004573EE"/>
    <w:rsid w:val="0045747C"/>
    <w:rsid w:val="00457490"/>
    <w:rsid w:val="004574A9"/>
    <w:rsid w:val="00457526"/>
    <w:rsid w:val="00457555"/>
    <w:rsid w:val="0045760D"/>
    <w:rsid w:val="0045766D"/>
    <w:rsid w:val="004576FF"/>
    <w:rsid w:val="0045770F"/>
    <w:rsid w:val="00457850"/>
    <w:rsid w:val="00457857"/>
    <w:rsid w:val="0045785A"/>
    <w:rsid w:val="00457867"/>
    <w:rsid w:val="00457872"/>
    <w:rsid w:val="0045787F"/>
    <w:rsid w:val="004578AC"/>
    <w:rsid w:val="004578EE"/>
    <w:rsid w:val="004579B2"/>
    <w:rsid w:val="004579C3"/>
    <w:rsid w:val="004579D9"/>
    <w:rsid w:val="00457A20"/>
    <w:rsid w:val="00457AED"/>
    <w:rsid w:val="00457B7C"/>
    <w:rsid w:val="00457B89"/>
    <w:rsid w:val="00457BA5"/>
    <w:rsid w:val="00457BB8"/>
    <w:rsid w:val="00457CE0"/>
    <w:rsid w:val="00457D36"/>
    <w:rsid w:val="00457D9A"/>
    <w:rsid w:val="00457EA7"/>
    <w:rsid w:val="00457F25"/>
    <w:rsid w:val="00457FB9"/>
    <w:rsid w:val="00457FDF"/>
    <w:rsid w:val="00457FE7"/>
    <w:rsid w:val="0046002C"/>
    <w:rsid w:val="0046008D"/>
    <w:rsid w:val="0046009F"/>
    <w:rsid w:val="004600C2"/>
    <w:rsid w:val="004600E1"/>
    <w:rsid w:val="004600E9"/>
    <w:rsid w:val="004600F1"/>
    <w:rsid w:val="0046013F"/>
    <w:rsid w:val="00460144"/>
    <w:rsid w:val="0046018D"/>
    <w:rsid w:val="004601AB"/>
    <w:rsid w:val="00460208"/>
    <w:rsid w:val="00460276"/>
    <w:rsid w:val="004602A9"/>
    <w:rsid w:val="004602AA"/>
    <w:rsid w:val="0046031D"/>
    <w:rsid w:val="0046033C"/>
    <w:rsid w:val="0046034E"/>
    <w:rsid w:val="00460355"/>
    <w:rsid w:val="00460358"/>
    <w:rsid w:val="00460371"/>
    <w:rsid w:val="0046054B"/>
    <w:rsid w:val="0046054E"/>
    <w:rsid w:val="00460590"/>
    <w:rsid w:val="004605C9"/>
    <w:rsid w:val="00460668"/>
    <w:rsid w:val="0046073E"/>
    <w:rsid w:val="0046074E"/>
    <w:rsid w:val="00460754"/>
    <w:rsid w:val="004607BC"/>
    <w:rsid w:val="004607DE"/>
    <w:rsid w:val="0046085E"/>
    <w:rsid w:val="0046086A"/>
    <w:rsid w:val="004609E8"/>
    <w:rsid w:val="00460A1B"/>
    <w:rsid w:val="00460A8B"/>
    <w:rsid w:val="00460A91"/>
    <w:rsid w:val="00460AE6"/>
    <w:rsid w:val="00460B29"/>
    <w:rsid w:val="00460B7F"/>
    <w:rsid w:val="00460C98"/>
    <w:rsid w:val="00460CFC"/>
    <w:rsid w:val="00460DB9"/>
    <w:rsid w:val="00460DCD"/>
    <w:rsid w:val="00460DD2"/>
    <w:rsid w:val="00460E4B"/>
    <w:rsid w:val="00460E4E"/>
    <w:rsid w:val="00460F24"/>
    <w:rsid w:val="00460F74"/>
    <w:rsid w:val="00460F9A"/>
    <w:rsid w:val="00461029"/>
    <w:rsid w:val="004611B2"/>
    <w:rsid w:val="004611C6"/>
    <w:rsid w:val="00461201"/>
    <w:rsid w:val="00461292"/>
    <w:rsid w:val="004612DA"/>
    <w:rsid w:val="0046130E"/>
    <w:rsid w:val="004613B2"/>
    <w:rsid w:val="004613D8"/>
    <w:rsid w:val="004613F6"/>
    <w:rsid w:val="0046141C"/>
    <w:rsid w:val="0046143E"/>
    <w:rsid w:val="00461460"/>
    <w:rsid w:val="004614C1"/>
    <w:rsid w:val="0046151F"/>
    <w:rsid w:val="0046159E"/>
    <w:rsid w:val="004615FF"/>
    <w:rsid w:val="00461651"/>
    <w:rsid w:val="004616BA"/>
    <w:rsid w:val="004617D9"/>
    <w:rsid w:val="004618B3"/>
    <w:rsid w:val="004618C2"/>
    <w:rsid w:val="0046191F"/>
    <w:rsid w:val="00461928"/>
    <w:rsid w:val="00461933"/>
    <w:rsid w:val="0046194D"/>
    <w:rsid w:val="00461977"/>
    <w:rsid w:val="00461988"/>
    <w:rsid w:val="0046198C"/>
    <w:rsid w:val="004619B0"/>
    <w:rsid w:val="00461A27"/>
    <w:rsid w:val="00461A43"/>
    <w:rsid w:val="00461AA4"/>
    <w:rsid w:val="00461B25"/>
    <w:rsid w:val="00461BB9"/>
    <w:rsid w:val="00461BCC"/>
    <w:rsid w:val="00461BFE"/>
    <w:rsid w:val="00461C14"/>
    <w:rsid w:val="00461C3C"/>
    <w:rsid w:val="00461C42"/>
    <w:rsid w:val="00461CFA"/>
    <w:rsid w:val="00461D2D"/>
    <w:rsid w:val="00461D98"/>
    <w:rsid w:val="00461DD2"/>
    <w:rsid w:val="00461E07"/>
    <w:rsid w:val="00461E22"/>
    <w:rsid w:val="00461E52"/>
    <w:rsid w:val="00461F03"/>
    <w:rsid w:val="00461F0B"/>
    <w:rsid w:val="00461F24"/>
    <w:rsid w:val="00461F80"/>
    <w:rsid w:val="00461F9C"/>
    <w:rsid w:val="00462005"/>
    <w:rsid w:val="00462047"/>
    <w:rsid w:val="004620B3"/>
    <w:rsid w:val="0046219F"/>
    <w:rsid w:val="004621AA"/>
    <w:rsid w:val="00462336"/>
    <w:rsid w:val="00462340"/>
    <w:rsid w:val="00462396"/>
    <w:rsid w:val="004624C0"/>
    <w:rsid w:val="00462535"/>
    <w:rsid w:val="004625B9"/>
    <w:rsid w:val="00462605"/>
    <w:rsid w:val="00462645"/>
    <w:rsid w:val="004626C2"/>
    <w:rsid w:val="00462745"/>
    <w:rsid w:val="0046277F"/>
    <w:rsid w:val="004627F7"/>
    <w:rsid w:val="00462856"/>
    <w:rsid w:val="0046287F"/>
    <w:rsid w:val="004629C7"/>
    <w:rsid w:val="004629D4"/>
    <w:rsid w:val="004629F7"/>
    <w:rsid w:val="00462A7D"/>
    <w:rsid w:val="00462AAB"/>
    <w:rsid w:val="00462AEF"/>
    <w:rsid w:val="00462B93"/>
    <w:rsid w:val="00462BD5"/>
    <w:rsid w:val="00462BE5"/>
    <w:rsid w:val="00462CF5"/>
    <w:rsid w:val="00462D0A"/>
    <w:rsid w:val="00462D6B"/>
    <w:rsid w:val="00462D7D"/>
    <w:rsid w:val="00462DE2"/>
    <w:rsid w:val="00462DF0"/>
    <w:rsid w:val="00462DF9"/>
    <w:rsid w:val="00462E65"/>
    <w:rsid w:val="00462E66"/>
    <w:rsid w:val="00462EA4"/>
    <w:rsid w:val="00462EAE"/>
    <w:rsid w:val="00462ED6"/>
    <w:rsid w:val="00462F57"/>
    <w:rsid w:val="00462FAA"/>
    <w:rsid w:val="00462FC5"/>
    <w:rsid w:val="00462FC8"/>
    <w:rsid w:val="00462FE3"/>
    <w:rsid w:val="00462FFC"/>
    <w:rsid w:val="004630D2"/>
    <w:rsid w:val="004630DD"/>
    <w:rsid w:val="004630E0"/>
    <w:rsid w:val="004630FA"/>
    <w:rsid w:val="00463118"/>
    <w:rsid w:val="0046317C"/>
    <w:rsid w:val="0046318A"/>
    <w:rsid w:val="004631A9"/>
    <w:rsid w:val="00463219"/>
    <w:rsid w:val="00463249"/>
    <w:rsid w:val="004632A1"/>
    <w:rsid w:val="004632BA"/>
    <w:rsid w:val="004633DA"/>
    <w:rsid w:val="00463429"/>
    <w:rsid w:val="0046342E"/>
    <w:rsid w:val="00463434"/>
    <w:rsid w:val="00463473"/>
    <w:rsid w:val="004634CA"/>
    <w:rsid w:val="004634DE"/>
    <w:rsid w:val="00463500"/>
    <w:rsid w:val="00463523"/>
    <w:rsid w:val="004635FB"/>
    <w:rsid w:val="004636B4"/>
    <w:rsid w:val="004636F3"/>
    <w:rsid w:val="00463719"/>
    <w:rsid w:val="004637CD"/>
    <w:rsid w:val="00463868"/>
    <w:rsid w:val="00463883"/>
    <w:rsid w:val="00463894"/>
    <w:rsid w:val="00463895"/>
    <w:rsid w:val="00463898"/>
    <w:rsid w:val="0046389C"/>
    <w:rsid w:val="004638AC"/>
    <w:rsid w:val="004638B5"/>
    <w:rsid w:val="004639CC"/>
    <w:rsid w:val="004639CF"/>
    <w:rsid w:val="004639DB"/>
    <w:rsid w:val="00463A85"/>
    <w:rsid w:val="00463AA3"/>
    <w:rsid w:val="00463B18"/>
    <w:rsid w:val="00463B5C"/>
    <w:rsid w:val="00463B77"/>
    <w:rsid w:val="00463B7C"/>
    <w:rsid w:val="00463BA6"/>
    <w:rsid w:val="00463C52"/>
    <w:rsid w:val="00463CA8"/>
    <w:rsid w:val="00463CDB"/>
    <w:rsid w:val="00463D64"/>
    <w:rsid w:val="00463EBB"/>
    <w:rsid w:val="00463EC4"/>
    <w:rsid w:val="00463F35"/>
    <w:rsid w:val="00464035"/>
    <w:rsid w:val="00464051"/>
    <w:rsid w:val="0046408C"/>
    <w:rsid w:val="00464150"/>
    <w:rsid w:val="00464217"/>
    <w:rsid w:val="00464229"/>
    <w:rsid w:val="004642A1"/>
    <w:rsid w:val="004642CD"/>
    <w:rsid w:val="004643A2"/>
    <w:rsid w:val="004643FB"/>
    <w:rsid w:val="004644EC"/>
    <w:rsid w:val="004644EF"/>
    <w:rsid w:val="00464530"/>
    <w:rsid w:val="00464576"/>
    <w:rsid w:val="004645A9"/>
    <w:rsid w:val="0046466F"/>
    <w:rsid w:val="00464864"/>
    <w:rsid w:val="004648AD"/>
    <w:rsid w:val="004648C9"/>
    <w:rsid w:val="0046495F"/>
    <w:rsid w:val="00464A27"/>
    <w:rsid w:val="00464A28"/>
    <w:rsid w:val="00464A55"/>
    <w:rsid w:val="00464A86"/>
    <w:rsid w:val="00464A9A"/>
    <w:rsid w:val="00464AA7"/>
    <w:rsid w:val="00464AFC"/>
    <w:rsid w:val="00464B20"/>
    <w:rsid w:val="00464B41"/>
    <w:rsid w:val="00464B57"/>
    <w:rsid w:val="00464BBC"/>
    <w:rsid w:val="00464CB5"/>
    <w:rsid w:val="00464D42"/>
    <w:rsid w:val="00464D4E"/>
    <w:rsid w:val="00464DAC"/>
    <w:rsid w:val="00464DD3"/>
    <w:rsid w:val="00464DE1"/>
    <w:rsid w:val="00464E35"/>
    <w:rsid w:val="00464E37"/>
    <w:rsid w:val="00464EB0"/>
    <w:rsid w:val="00464EB5"/>
    <w:rsid w:val="00464ED4"/>
    <w:rsid w:val="00464F4E"/>
    <w:rsid w:val="00464FC3"/>
    <w:rsid w:val="00464FD2"/>
    <w:rsid w:val="00464FDE"/>
    <w:rsid w:val="00464FDF"/>
    <w:rsid w:val="00465008"/>
    <w:rsid w:val="00465022"/>
    <w:rsid w:val="00465084"/>
    <w:rsid w:val="0046509E"/>
    <w:rsid w:val="004650D1"/>
    <w:rsid w:val="004650F5"/>
    <w:rsid w:val="00465114"/>
    <w:rsid w:val="004651FA"/>
    <w:rsid w:val="0046534F"/>
    <w:rsid w:val="004653FB"/>
    <w:rsid w:val="00465423"/>
    <w:rsid w:val="0046545B"/>
    <w:rsid w:val="00465482"/>
    <w:rsid w:val="004655A6"/>
    <w:rsid w:val="004655C1"/>
    <w:rsid w:val="00465630"/>
    <w:rsid w:val="00465665"/>
    <w:rsid w:val="00465688"/>
    <w:rsid w:val="00465699"/>
    <w:rsid w:val="00465796"/>
    <w:rsid w:val="0046581C"/>
    <w:rsid w:val="0046589C"/>
    <w:rsid w:val="0046591F"/>
    <w:rsid w:val="0046594A"/>
    <w:rsid w:val="00465967"/>
    <w:rsid w:val="00465974"/>
    <w:rsid w:val="00465998"/>
    <w:rsid w:val="004659CC"/>
    <w:rsid w:val="004659CF"/>
    <w:rsid w:val="004659E9"/>
    <w:rsid w:val="00465A2C"/>
    <w:rsid w:val="00465A8E"/>
    <w:rsid w:val="00465B45"/>
    <w:rsid w:val="00465B7F"/>
    <w:rsid w:val="00465C59"/>
    <w:rsid w:val="00465C91"/>
    <w:rsid w:val="00465C93"/>
    <w:rsid w:val="00465CEA"/>
    <w:rsid w:val="00465CFE"/>
    <w:rsid w:val="00465DD9"/>
    <w:rsid w:val="00465E3D"/>
    <w:rsid w:val="00465E46"/>
    <w:rsid w:val="00465EE5"/>
    <w:rsid w:val="00465F20"/>
    <w:rsid w:val="00465F38"/>
    <w:rsid w:val="00465F59"/>
    <w:rsid w:val="00466030"/>
    <w:rsid w:val="00466051"/>
    <w:rsid w:val="004660B5"/>
    <w:rsid w:val="0046611F"/>
    <w:rsid w:val="0046615C"/>
    <w:rsid w:val="0046616D"/>
    <w:rsid w:val="004661A4"/>
    <w:rsid w:val="004661CC"/>
    <w:rsid w:val="004661F7"/>
    <w:rsid w:val="00466264"/>
    <w:rsid w:val="0046626F"/>
    <w:rsid w:val="00466373"/>
    <w:rsid w:val="00466398"/>
    <w:rsid w:val="004663D4"/>
    <w:rsid w:val="00466443"/>
    <w:rsid w:val="00466444"/>
    <w:rsid w:val="0046646C"/>
    <w:rsid w:val="004664CD"/>
    <w:rsid w:val="004664D1"/>
    <w:rsid w:val="0046650F"/>
    <w:rsid w:val="00466532"/>
    <w:rsid w:val="0046653E"/>
    <w:rsid w:val="00466546"/>
    <w:rsid w:val="00466608"/>
    <w:rsid w:val="00466631"/>
    <w:rsid w:val="0046666D"/>
    <w:rsid w:val="0046669A"/>
    <w:rsid w:val="004666A9"/>
    <w:rsid w:val="0046670F"/>
    <w:rsid w:val="00466762"/>
    <w:rsid w:val="0046679C"/>
    <w:rsid w:val="0046683B"/>
    <w:rsid w:val="00466844"/>
    <w:rsid w:val="004668B6"/>
    <w:rsid w:val="0046695F"/>
    <w:rsid w:val="00466968"/>
    <w:rsid w:val="004669FA"/>
    <w:rsid w:val="00466A22"/>
    <w:rsid w:val="00466A67"/>
    <w:rsid w:val="00466AF4"/>
    <w:rsid w:val="00466B0E"/>
    <w:rsid w:val="00466B31"/>
    <w:rsid w:val="00466B96"/>
    <w:rsid w:val="00466C5F"/>
    <w:rsid w:val="00466CA3"/>
    <w:rsid w:val="00466CB8"/>
    <w:rsid w:val="00466D0A"/>
    <w:rsid w:val="00466D43"/>
    <w:rsid w:val="00466DA7"/>
    <w:rsid w:val="00466DAD"/>
    <w:rsid w:val="00466DD3"/>
    <w:rsid w:val="00466EA8"/>
    <w:rsid w:val="00466EB1"/>
    <w:rsid w:val="00466F66"/>
    <w:rsid w:val="00466F85"/>
    <w:rsid w:val="0046707B"/>
    <w:rsid w:val="004670DB"/>
    <w:rsid w:val="00467140"/>
    <w:rsid w:val="00467176"/>
    <w:rsid w:val="004671BA"/>
    <w:rsid w:val="004671F1"/>
    <w:rsid w:val="00467220"/>
    <w:rsid w:val="0046726F"/>
    <w:rsid w:val="00467325"/>
    <w:rsid w:val="0046733A"/>
    <w:rsid w:val="00467342"/>
    <w:rsid w:val="004673BE"/>
    <w:rsid w:val="0046740E"/>
    <w:rsid w:val="00467443"/>
    <w:rsid w:val="00467486"/>
    <w:rsid w:val="00467513"/>
    <w:rsid w:val="00467537"/>
    <w:rsid w:val="0046756E"/>
    <w:rsid w:val="0046762C"/>
    <w:rsid w:val="004676C5"/>
    <w:rsid w:val="004676F3"/>
    <w:rsid w:val="00467775"/>
    <w:rsid w:val="004677AE"/>
    <w:rsid w:val="004677BF"/>
    <w:rsid w:val="00467806"/>
    <w:rsid w:val="00467888"/>
    <w:rsid w:val="004678C0"/>
    <w:rsid w:val="00467913"/>
    <w:rsid w:val="00467965"/>
    <w:rsid w:val="004679A6"/>
    <w:rsid w:val="004679B8"/>
    <w:rsid w:val="004679ED"/>
    <w:rsid w:val="00467A08"/>
    <w:rsid w:val="00467A0E"/>
    <w:rsid w:val="00467A96"/>
    <w:rsid w:val="00467AA7"/>
    <w:rsid w:val="00467CB3"/>
    <w:rsid w:val="00467CE7"/>
    <w:rsid w:val="00467D43"/>
    <w:rsid w:val="00467DAF"/>
    <w:rsid w:val="00467F78"/>
    <w:rsid w:val="00467FB8"/>
    <w:rsid w:val="00470074"/>
    <w:rsid w:val="004700B4"/>
    <w:rsid w:val="004700B7"/>
    <w:rsid w:val="0047012D"/>
    <w:rsid w:val="00470157"/>
    <w:rsid w:val="0047016F"/>
    <w:rsid w:val="004701D7"/>
    <w:rsid w:val="004701E1"/>
    <w:rsid w:val="00470209"/>
    <w:rsid w:val="00470276"/>
    <w:rsid w:val="0047028C"/>
    <w:rsid w:val="00470335"/>
    <w:rsid w:val="00470456"/>
    <w:rsid w:val="00470504"/>
    <w:rsid w:val="0047054D"/>
    <w:rsid w:val="0047054F"/>
    <w:rsid w:val="004705A2"/>
    <w:rsid w:val="004705B7"/>
    <w:rsid w:val="0047060C"/>
    <w:rsid w:val="00470628"/>
    <w:rsid w:val="004706D6"/>
    <w:rsid w:val="004706ED"/>
    <w:rsid w:val="00470712"/>
    <w:rsid w:val="00470767"/>
    <w:rsid w:val="0047076A"/>
    <w:rsid w:val="00470810"/>
    <w:rsid w:val="004708EE"/>
    <w:rsid w:val="0047095B"/>
    <w:rsid w:val="004709EE"/>
    <w:rsid w:val="00470AA4"/>
    <w:rsid w:val="00470AAC"/>
    <w:rsid w:val="00470ADA"/>
    <w:rsid w:val="00470BC8"/>
    <w:rsid w:val="00470C46"/>
    <w:rsid w:val="00470C83"/>
    <w:rsid w:val="00470CCD"/>
    <w:rsid w:val="00470CDF"/>
    <w:rsid w:val="00470D15"/>
    <w:rsid w:val="00470D47"/>
    <w:rsid w:val="00470DF9"/>
    <w:rsid w:val="00470E23"/>
    <w:rsid w:val="00470E51"/>
    <w:rsid w:val="00470E72"/>
    <w:rsid w:val="00470E7C"/>
    <w:rsid w:val="00470F67"/>
    <w:rsid w:val="00470F91"/>
    <w:rsid w:val="004710E5"/>
    <w:rsid w:val="004711EE"/>
    <w:rsid w:val="0047120A"/>
    <w:rsid w:val="0047122F"/>
    <w:rsid w:val="00471295"/>
    <w:rsid w:val="004712B6"/>
    <w:rsid w:val="004712F3"/>
    <w:rsid w:val="00471355"/>
    <w:rsid w:val="00471387"/>
    <w:rsid w:val="004713D1"/>
    <w:rsid w:val="00471405"/>
    <w:rsid w:val="00471427"/>
    <w:rsid w:val="00471436"/>
    <w:rsid w:val="0047143B"/>
    <w:rsid w:val="00471466"/>
    <w:rsid w:val="004714AC"/>
    <w:rsid w:val="004714E7"/>
    <w:rsid w:val="0047151A"/>
    <w:rsid w:val="00471572"/>
    <w:rsid w:val="004716AC"/>
    <w:rsid w:val="004716DD"/>
    <w:rsid w:val="00471720"/>
    <w:rsid w:val="0047175C"/>
    <w:rsid w:val="0047178A"/>
    <w:rsid w:val="004717A9"/>
    <w:rsid w:val="004717B0"/>
    <w:rsid w:val="004717E6"/>
    <w:rsid w:val="00471831"/>
    <w:rsid w:val="00471850"/>
    <w:rsid w:val="0047187B"/>
    <w:rsid w:val="00471933"/>
    <w:rsid w:val="00471989"/>
    <w:rsid w:val="004719CD"/>
    <w:rsid w:val="004719F8"/>
    <w:rsid w:val="00471A4A"/>
    <w:rsid w:val="00471BA3"/>
    <w:rsid w:val="00471BC7"/>
    <w:rsid w:val="00471BE0"/>
    <w:rsid w:val="00471BEC"/>
    <w:rsid w:val="00471C42"/>
    <w:rsid w:val="00471CB1"/>
    <w:rsid w:val="00471D5D"/>
    <w:rsid w:val="00471D88"/>
    <w:rsid w:val="00471E12"/>
    <w:rsid w:val="00471E7D"/>
    <w:rsid w:val="00471EC7"/>
    <w:rsid w:val="00471F41"/>
    <w:rsid w:val="00472000"/>
    <w:rsid w:val="00472024"/>
    <w:rsid w:val="0047209C"/>
    <w:rsid w:val="004720D0"/>
    <w:rsid w:val="004720F1"/>
    <w:rsid w:val="004721A7"/>
    <w:rsid w:val="004721B2"/>
    <w:rsid w:val="004721CF"/>
    <w:rsid w:val="004721F4"/>
    <w:rsid w:val="0047229A"/>
    <w:rsid w:val="00472356"/>
    <w:rsid w:val="0047237D"/>
    <w:rsid w:val="004723B2"/>
    <w:rsid w:val="004723C6"/>
    <w:rsid w:val="00472401"/>
    <w:rsid w:val="00472471"/>
    <w:rsid w:val="004724A9"/>
    <w:rsid w:val="004724EE"/>
    <w:rsid w:val="004724F0"/>
    <w:rsid w:val="00472531"/>
    <w:rsid w:val="00472555"/>
    <w:rsid w:val="00472574"/>
    <w:rsid w:val="004725B7"/>
    <w:rsid w:val="004725C9"/>
    <w:rsid w:val="004725D0"/>
    <w:rsid w:val="00472607"/>
    <w:rsid w:val="0047264E"/>
    <w:rsid w:val="00472715"/>
    <w:rsid w:val="00472728"/>
    <w:rsid w:val="0047284B"/>
    <w:rsid w:val="00472898"/>
    <w:rsid w:val="004728C8"/>
    <w:rsid w:val="004728E4"/>
    <w:rsid w:val="0047296D"/>
    <w:rsid w:val="004729C0"/>
    <w:rsid w:val="004729C5"/>
    <w:rsid w:val="00472B53"/>
    <w:rsid w:val="00472BB6"/>
    <w:rsid w:val="00472C4C"/>
    <w:rsid w:val="00472CB4"/>
    <w:rsid w:val="00472CD6"/>
    <w:rsid w:val="00472D5F"/>
    <w:rsid w:val="00472D66"/>
    <w:rsid w:val="00472D8B"/>
    <w:rsid w:val="00472E22"/>
    <w:rsid w:val="00472E33"/>
    <w:rsid w:val="00472E6D"/>
    <w:rsid w:val="00472ED7"/>
    <w:rsid w:val="00472FB1"/>
    <w:rsid w:val="0047305A"/>
    <w:rsid w:val="00473074"/>
    <w:rsid w:val="004730B9"/>
    <w:rsid w:val="00473105"/>
    <w:rsid w:val="00473221"/>
    <w:rsid w:val="0047329B"/>
    <w:rsid w:val="004732E5"/>
    <w:rsid w:val="00473308"/>
    <w:rsid w:val="0047335F"/>
    <w:rsid w:val="0047342A"/>
    <w:rsid w:val="00473488"/>
    <w:rsid w:val="004734E1"/>
    <w:rsid w:val="0047351E"/>
    <w:rsid w:val="00473526"/>
    <w:rsid w:val="0047353B"/>
    <w:rsid w:val="00473552"/>
    <w:rsid w:val="0047357B"/>
    <w:rsid w:val="004735DC"/>
    <w:rsid w:val="0047368C"/>
    <w:rsid w:val="004736CB"/>
    <w:rsid w:val="00473704"/>
    <w:rsid w:val="0047378B"/>
    <w:rsid w:val="004737C9"/>
    <w:rsid w:val="004737E2"/>
    <w:rsid w:val="00473833"/>
    <w:rsid w:val="004738FA"/>
    <w:rsid w:val="00473988"/>
    <w:rsid w:val="004739AD"/>
    <w:rsid w:val="004739F4"/>
    <w:rsid w:val="00473A06"/>
    <w:rsid w:val="00473A20"/>
    <w:rsid w:val="00473A26"/>
    <w:rsid w:val="00473A32"/>
    <w:rsid w:val="00473A4B"/>
    <w:rsid w:val="00473B05"/>
    <w:rsid w:val="00473B1A"/>
    <w:rsid w:val="00473B56"/>
    <w:rsid w:val="00473BE7"/>
    <w:rsid w:val="00473BE8"/>
    <w:rsid w:val="00473C0C"/>
    <w:rsid w:val="00473C60"/>
    <w:rsid w:val="00473C72"/>
    <w:rsid w:val="00473C81"/>
    <w:rsid w:val="00473CD9"/>
    <w:rsid w:val="00473D0D"/>
    <w:rsid w:val="00473D70"/>
    <w:rsid w:val="00473DE6"/>
    <w:rsid w:val="00473E44"/>
    <w:rsid w:val="00473E6D"/>
    <w:rsid w:val="00473F1F"/>
    <w:rsid w:val="00473F49"/>
    <w:rsid w:val="00473F4D"/>
    <w:rsid w:val="00473F60"/>
    <w:rsid w:val="00473F95"/>
    <w:rsid w:val="00473FCB"/>
    <w:rsid w:val="00474019"/>
    <w:rsid w:val="0047404A"/>
    <w:rsid w:val="0047421B"/>
    <w:rsid w:val="0047428E"/>
    <w:rsid w:val="0047430B"/>
    <w:rsid w:val="0047431E"/>
    <w:rsid w:val="0047433F"/>
    <w:rsid w:val="0047437F"/>
    <w:rsid w:val="0047439F"/>
    <w:rsid w:val="004743DB"/>
    <w:rsid w:val="004743E8"/>
    <w:rsid w:val="00474436"/>
    <w:rsid w:val="0047449A"/>
    <w:rsid w:val="004744A3"/>
    <w:rsid w:val="0047457F"/>
    <w:rsid w:val="00474586"/>
    <w:rsid w:val="004745A5"/>
    <w:rsid w:val="004745E4"/>
    <w:rsid w:val="00474653"/>
    <w:rsid w:val="00474662"/>
    <w:rsid w:val="00474707"/>
    <w:rsid w:val="0047471F"/>
    <w:rsid w:val="0047473C"/>
    <w:rsid w:val="00474765"/>
    <w:rsid w:val="00474781"/>
    <w:rsid w:val="004747A9"/>
    <w:rsid w:val="004747BF"/>
    <w:rsid w:val="004747E9"/>
    <w:rsid w:val="00474866"/>
    <w:rsid w:val="004748C8"/>
    <w:rsid w:val="00474910"/>
    <w:rsid w:val="0047492A"/>
    <w:rsid w:val="00474953"/>
    <w:rsid w:val="004749BE"/>
    <w:rsid w:val="004749D4"/>
    <w:rsid w:val="004749EF"/>
    <w:rsid w:val="00474A7F"/>
    <w:rsid w:val="00474AC1"/>
    <w:rsid w:val="00474AF5"/>
    <w:rsid w:val="00474B3E"/>
    <w:rsid w:val="00474B6B"/>
    <w:rsid w:val="00474B92"/>
    <w:rsid w:val="00474BB8"/>
    <w:rsid w:val="00474BC5"/>
    <w:rsid w:val="00474D07"/>
    <w:rsid w:val="00474D3F"/>
    <w:rsid w:val="00474D58"/>
    <w:rsid w:val="00474D61"/>
    <w:rsid w:val="00474DDF"/>
    <w:rsid w:val="00474E21"/>
    <w:rsid w:val="00474E6F"/>
    <w:rsid w:val="00474E78"/>
    <w:rsid w:val="00474F62"/>
    <w:rsid w:val="00474F72"/>
    <w:rsid w:val="00474FDD"/>
    <w:rsid w:val="0047508B"/>
    <w:rsid w:val="00475171"/>
    <w:rsid w:val="004751B5"/>
    <w:rsid w:val="004751D6"/>
    <w:rsid w:val="0047522B"/>
    <w:rsid w:val="00475230"/>
    <w:rsid w:val="0047528F"/>
    <w:rsid w:val="0047531B"/>
    <w:rsid w:val="00475374"/>
    <w:rsid w:val="004753A4"/>
    <w:rsid w:val="004753BF"/>
    <w:rsid w:val="004753E1"/>
    <w:rsid w:val="00475484"/>
    <w:rsid w:val="004754C0"/>
    <w:rsid w:val="004754F5"/>
    <w:rsid w:val="00475526"/>
    <w:rsid w:val="00475566"/>
    <w:rsid w:val="0047558D"/>
    <w:rsid w:val="004755C9"/>
    <w:rsid w:val="004755F8"/>
    <w:rsid w:val="0047560C"/>
    <w:rsid w:val="0047567F"/>
    <w:rsid w:val="0047569C"/>
    <w:rsid w:val="004756E3"/>
    <w:rsid w:val="00475711"/>
    <w:rsid w:val="004757A0"/>
    <w:rsid w:val="0047586F"/>
    <w:rsid w:val="004758AD"/>
    <w:rsid w:val="004758FF"/>
    <w:rsid w:val="00475907"/>
    <w:rsid w:val="00475938"/>
    <w:rsid w:val="00475944"/>
    <w:rsid w:val="00475959"/>
    <w:rsid w:val="00475967"/>
    <w:rsid w:val="004759B0"/>
    <w:rsid w:val="00475A6D"/>
    <w:rsid w:val="00475A7B"/>
    <w:rsid w:val="00475ABC"/>
    <w:rsid w:val="00475AD4"/>
    <w:rsid w:val="00475AE1"/>
    <w:rsid w:val="00475B05"/>
    <w:rsid w:val="00475BA8"/>
    <w:rsid w:val="00475BEA"/>
    <w:rsid w:val="00475C07"/>
    <w:rsid w:val="00475C33"/>
    <w:rsid w:val="00475C8C"/>
    <w:rsid w:val="00475D1A"/>
    <w:rsid w:val="00475D9E"/>
    <w:rsid w:val="00475E7A"/>
    <w:rsid w:val="00475EB5"/>
    <w:rsid w:val="00475EE8"/>
    <w:rsid w:val="00475EF9"/>
    <w:rsid w:val="00475F62"/>
    <w:rsid w:val="00475FAF"/>
    <w:rsid w:val="00475FB3"/>
    <w:rsid w:val="00475FBD"/>
    <w:rsid w:val="00475FDC"/>
    <w:rsid w:val="00475FFA"/>
    <w:rsid w:val="00475FFF"/>
    <w:rsid w:val="00476064"/>
    <w:rsid w:val="004760DF"/>
    <w:rsid w:val="004761A7"/>
    <w:rsid w:val="004761B1"/>
    <w:rsid w:val="00476251"/>
    <w:rsid w:val="00476270"/>
    <w:rsid w:val="004762CD"/>
    <w:rsid w:val="00476385"/>
    <w:rsid w:val="004763C5"/>
    <w:rsid w:val="00476424"/>
    <w:rsid w:val="00476447"/>
    <w:rsid w:val="0047645C"/>
    <w:rsid w:val="00476492"/>
    <w:rsid w:val="004764B5"/>
    <w:rsid w:val="004764E4"/>
    <w:rsid w:val="004764FE"/>
    <w:rsid w:val="00476588"/>
    <w:rsid w:val="004765DE"/>
    <w:rsid w:val="004765EC"/>
    <w:rsid w:val="0047661E"/>
    <w:rsid w:val="00476637"/>
    <w:rsid w:val="004766BB"/>
    <w:rsid w:val="004767FE"/>
    <w:rsid w:val="00476822"/>
    <w:rsid w:val="00476858"/>
    <w:rsid w:val="0047691F"/>
    <w:rsid w:val="00476954"/>
    <w:rsid w:val="004769B3"/>
    <w:rsid w:val="004769C2"/>
    <w:rsid w:val="004769D8"/>
    <w:rsid w:val="004769FA"/>
    <w:rsid w:val="00476A66"/>
    <w:rsid w:val="00476A7E"/>
    <w:rsid w:val="00476AA1"/>
    <w:rsid w:val="00476AC2"/>
    <w:rsid w:val="00476B38"/>
    <w:rsid w:val="00476B78"/>
    <w:rsid w:val="00476B98"/>
    <w:rsid w:val="00476BEC"/>
    <w:rsid w:val="00476C06"/>
    <w:rsid w:val="00476C36"/>
    <w:rsid w:val="00476CA1"/>
    <w:rsid w:val="00476D8D"/>
    <w:rsid w:val="00476DB0"/>
    <w:rsid w:val="00476E19"/>
    <w:rsid w:val="00476E61"/>
    <w:rsid w:val="00476F74"/>
    <w:rsid w:val="00476FF4"/>
    <w:rsid w:val="0047700E"/>
    <w:rsid w:val="00477044"/>
    <w:rsid w:val="00477089"/>
    <w:rsid w:val="00477093"/>
    <w:rsid w:val="0047709B"/>
    <w:rsid w:val="004770E3"/>
    <w:rsid w:val="00477149"/>
    <w:rsid w:val="004771B2"/>
    <w:rsid w:val="004771E0"/>
    <w:rsid w:val="004771E9"/>
    <w:rsid w:val="00477211"/>
    <w:rsid w:val="004772AE"/>
    <w:rsid w:val="004772D6"/>
    <w:rsid w:val="00477307"/>
    <w:rsid w:val="00477315"/>
    <w:rsid w:val="00477347"/>
    <w:rsid w:val="00477388"/>
    <w:rsid w:val="00477393"/>
    <w:rsid w:val="004773CC"/>
    <w:rsid w:val="00477412"/>
    <w:rsid w:val="0047749E"/>
    <w:rsid w:val="004774B1"/>
    <w:rsid w:val="00477521"/>
    <w:rsid w:val="0047755C"/>
    <w:rsid w:val="0047756C"/>
    <w:rsid w:val="00477586"/>
    <w:rsid w:val="00477610"/>
    <w:rsid w:val="004776EF"/>
    <w:rsid w:val="004777B9"/>
    <w:rsid w:val="00477883"/>
    <w:rsid w:val="0047796A"/>
    <w:rsid w:val="004779C2"/>
    <w:rsid w:val="00477A07"/>
    <w:rsid w:val="00477A0E"/>
    <w:rsid w:val="00477A45"/>
    <w:rsid w:val="00477A8B"/>
    <w:rsid w:val="00477AAC"/>
    <w:rsid w:val="00477ABF"/>
    <w:rsid w:val="00477AC4"/>
    <w:rsid w:val="00477B2D"/>
    <w:rsid w:val="00477B3D"/>
    <w:rsid w:val="00477BCA"/>
    <w:rsid w:val="00477CE9"/>
    <w:rsid w:val="00477CF1"/>
    <w:rsid w:val="00477DC9"/>
    <w:rsid w:val="00477E31"/>
    <w:rsid w:val="00477E8E"/>
    <w:rsid w:val="00477EF0"/>
    <w:rsid w:val="00477FB9"/>
    <w:rsid w:val="0048002B"/>
    <w:rsid w:val="004801BA"/>
    <w:rsid w:val="004801CB"/>
    <w:rsid w:val="004801DE"/>
    <w:rsid w:val="00480233"/>
    <w:rsid w:val="0048023C"/>
    <w:rsid w:val="00480289"/>
    <w:rsid w:val="004802E0"/>
    <w:rsid w:val="0048043B"/>
    <w:rsid w:val="0048051D"/>
    <w:rsid w:val="0048058C"/>
    <w:rsid w:val="0048058D"/>
    <w:rsid w:val="0048063B"/>
    <w:rsid w:val="004806B8"/>
    <w:rsid w:val="004806D7"/>
    <w:rsid w:val="004806E4"/>
    <w:rsid w:val="00480725"/>
    <w:rsid w:val="00480762"/>
    <w:rsid w:val="004807C3"/>
    <w:rsid w:val="004807C6"/>
    <w:rsid w:val="004807CE"/>
    <w:rsid w:val="004807D0"/>
    <w:rsid w:val="004807DC"/>
    <w:rsid w:val="004808F0"/>
    <w:rsid w:val="0048093A"/>
    <w:rsid w:val="00480948"/>
    <w:rsid w:val="00480A06"/>
    <w:rsid w:val="00480B2A"/>
    <w:rsid w:val="00480B84"/>
    <w:rsid w:val="00480B93"/>
    <w:rsid w:val="00480BA0"/>
    <w:rsid w:val="00480C2F"/>
    <w:rsid w:val="00480C72"/>
    <w:rsid w:val="00480C8B"/>
    <w:rsid w:val="00480D7C"/>
    <w:rsid w:val="00480E59"/>
    <w:rsid w:val="00480E9A"/>
    <w:rsid w:val="00480F16"/>
    <w:rsid w:val="00480F69"/>
    <w:rsid w:val="00480F90"/>
    <w:rsid w:val="00481006"/>
    <w:rsid w:val="0048109B"/>
    <w:rsid w:val="0048109C"/>
    <w:rsid w:val="004810A9"/>
    <w:rsid w:val="004810D4"/>
    <w:rsid w:val="00481182"/>
    <w:rsid w:val="004811AB"/>
    <w:rsid w:val="004811B1"/>
    <w:rsid w:val="004811DC"/>
    <w:rsid w:val="0048122E"/>
    <w:rsid w:val="00481264"/>
    <w:rsid w:val="004812CB"/>
    <w:rsid w:val="0048134C"/>
    <w:rsid w:val="004813DD"/>
    <w:rsid w:val="00481450"/>
    <w:rsid w:val="0048147B"/>
    <w:rsid w:val="0048151E"/>
    <w:rsid w:val="00481532"/>
    <w:rsid w:val="00481660"/>
    <w:rsid w:val="00481690"/>
    <w:rsid w:val="004816C4"/>
    <w:rsid w:val="00481738"/>
    <w:rsid w:val="00481743"/>
    <w:rsid w:val="0048179D"/>
    <w:rsid w:val="004817CF"/>
    <w:rsid w:val="00481839"/>
    <w:rsid w:val="00481868"/>
    <w:rsid w:val="004818A8"/>
    <w:rsid w:val="004818DB"/>
    <w:rsid w:val="0048196A"/>
    <w:rsid w:val="00481A07"/>
    <w:rsid w:val="00481B4E"/>
    <w:rsid w:val="00481B5F"/>
    <w:rsid w:val="00481BBB"/>
    <w:rsid w:val="00481BDA"/>
    <w:rsid w:val="00481BE6"/>
    <w:rsid w:val="00481C41"/>
    <w:rsid w:val="00481C95"/>
    <w:rsid w:val="00481D30"/>
    <w:rsid w:val="00481D81"/>
    <w:rsid w:val="00481E3E"/>
    <w:rsid w:val="00481EE9"/>
    <w:rsid w:val="00481FB2"/>
    <w:rsid w:val="00481FDF"/>
    <w:rsid w:val="00482018"/>
    <w:rsid w:val="0048205B"/>
    <w:rsid w:val="004820A6"/>
    <w:rsid w:val="004820BB"/>
    <w:rsid w:val="004820C7"/>
    <w:rsid w:val="00482138"/>
    <w:rsid w:val="00482179"/>
    <w:rsid w:val="0048217E"/>
    <w:rsid w:val="00482200"/>
    <w:rsid w:val="0048221C"/>
    <w:rsid w:val="00482223"/>
    <w:rsid w:val="004822FD"/>
    <w:rsid w:val="004824DB"/>
    <w:rsid w:val="00482517"/>
    <w:rsid w:val="0048253F"/>
    <w:rsid w:val="00482650"/>
    <w:rsid w:val="00482652"/>
    <w:rsid w:val="00482669"/>
    <w:rsid w:val="0048266C"/>
    <w:rsid w:val="00482708"/>
    <w:rsid w:val="0048280A"/>
    <w:rsid w:val="00482830"/>
    <w:rsid w:val="00482873"/>
    <w:rsid w:val="00482896"/>
    <w:rsid w:val="00482990"/>
    <w:rsid w:val="00482A1D"/>
    <w:rsid w:val="00482A23"/>
    <w:rsid w:val="00482A34"/>
    <w:rsid w:val="00482A3C"/>
    <w:rsid w:val="00482A55"/>
    <w:rsid w:val="00482AA5"/>
    <w:rsid w:val="00482AC7"/>
    <w:rsid w:val="00482B65"/>
    <w:rsid w:val="00482B82"/>
    <w:rsid w:val="00482B8F"/>
    <w:rsid w:val="00482B9C"/>
    <w:rsid w:val="00482BA8"/>
    <w:rsid w:val="00482C2D"/>
    <w:rsid w:val="00482C41"/>
    <w:rsid w:val="00482C55"/>
    <w:rsid w:val="00482C83"/>
    <w:rsid w:val="00482CE6"/>
    <w:rsid w:val="00482CF8"/>
    <w:rsid w:val="00482DB7"/>
    <w:rsid w:val="00482DF8"/>
    <w:rsid w:val="00482E64"/>
    <w:rsid w:val="00482E8E"/>
    <w:rsid w:val="00482EE3"/>
    <w:rsid w:val="00482F74"/>
    <w:rsid w:val="00482FE1"/>
    <w:rsid w:val="004830A0"/>
    <w:rsid w:val="004830A4"/>
    <w:rsid w:val="004830E0"/>
    <w:rsid w:val="00483156"/>
    <w:rsid w:val="00483268"/>
    <w:rsid w:val="0048332E"/>
    <w:rsid w:val="00483335"/>
    <w:rsid w:val="0048334F"/>
    <w:rsid w:val="0048336F"/>
    <w:rsid w:val="0048341A"/>
    <w:rsid w:val="00483489"/>
    <w:rsid w:val="00483524"/>
    <w:rsid w:val="0048353C"/>
    <w:rsid w:val="00483545"/>
    <w:rsid w:val="0048372E"/>
    <w:rsid w:val="00483732"/>
    <w:rsid w:val="00483769"/>
    <w:rsid w:val="00483789"/>
    <w:rsid w:val="004837E7"/>
    <w:rsid w:val="00483824"/>
    <w:rsid w:val="00483886"/>
    <w:rsid w:val="004839B4"/>
    <w:rsid w:val="00483A72"/>
    <w:rsid w:val="00483A9C"/>
    <w:rsid w:val="00483AF2"/>
    <w:rsid w:val="00483B7B"/>
    <w:rsid w:val="00483C81"/>
    <w:rsid w:val="00483C8B"/>
    <w:rsid w:val="00483C8D"/>
    <w:rsid w:val="00483CD9"/>
    <w:rsid w:val="00483D1C"/>
    <w:rsid w:val="00483D2F"/>
    <w:rsid w:val="00483D84"/>
    <w:rsid w:val="00483DA5"/>
    <w:rsid w:val="00483DAC"/>
    <w:rsid w:val="00483DFA"/>
    <w:rsid w:val="00483E1B"/>
    <w:rsid w:val="00483E8E"/>
    <w:rsid w:val="00483F1F"/>
    <w:rsid w:val="00483F29"/>
    <w:rsid w:val="00483F33"/>
    <w:rsid w:val="00483F3B"/>
    <w:rsid w:val="00484005"/>
    <w:rsid w:val="00484028"/>
    <w:rsid w:val="0048403C"/>
    <w:rsid w:val="0048403F"/>
    <w:rsid w:val="00484047"/>
    <w:rsid w:val="00484059"/>
    <w:rsid w:val="004840F6"/>
    <w:rsid w:val="0048412B"/>
    <w:rsid w:val="0048412E"/>
    <w:rsid w:val="00484130"/>
    <w:rsid w:val="0048413E"/>
    <w:rsid w:val="004842C7"/>
    <w:rsid w:val="0048431D"/>
    <w:rsid w:val="0048438D"/>
    <w:rsid w:val="00484399"/>
    <w:rsid w:val="0048440B"/>
    <w:rsid w:val="00484428"/>
    <w:rsid w:val="00484430"/>
    <w:rsid w:val="0048443D"/>
    <w:rsid w:val="00484465"/>
    <w:rsid w:val="004844A8"/>
    <w:rsid w:val="004844D4"/>
    <w:rsid w:val="0048456A"/>
    <w:rsid w:val="004845C2"/>
    <w:rsid w:val="004845C8"/>
    <w:rsid w:val="00484621"/>
    <w:rsid w:val="004846CE"/>
    <w:rsid w:val="00484793"/>
    <w:rsid w:val="004847CC"/>
    <w:rsid w:val="00484808"/>
    <w:rsid w:val="00484812"/>
    <w:rsid w:val="0048481C"/>
    <w:rsid w:val="00484823"/>
    <w:rsid w:val="0048486E"/>
    <w:rsid w:val="004848BC"/>
    <w:rsid w:val="004848CE"/>
    <w:rsid w:val="0048495C"/>
    <w:rsid w:val="0048498D"/>
    <w:rsid w:val="004849A5"/>
    <w:rsid w:val="004849BB"/>
    <w:rsid w:val="004849CC"/>
    <w:rsid w:val="004849F2"/>
    <w:rsid w:val="00484A6B"/>
    <w:rsid w:val="00484A93"/>
    <w:rsid w:val="00484AAC"/>
    <w:rsid w:val="00484ADD"/>
    <w:rsid w:val="00484B1E"/>
    <w:rsid w:val="00484BD5"/>
    <w:rsid w:val="00484BFF"/>
    <w:rsid w:val="00484C4D"/>
    <w:rsid w:val="00484C52"/>
    <w:rsid w:val="00484CB1"/>
    <w:rsid w:val="00484D73"/>
    <w:rsid w:val="00484D86"/>
    <w:rsid w:val="00484E97"/>
    <w:rsid w:val="00484E98"/>
    <w:rsid w:val="00484EC3"/>
    <w:rsid w:val="00484F1B"/>
    <w:rsid w:val="00484FB4"/>
    <w:rsid w:val="00484FE2"/>
    <w:rsid w:val="00485044"/>
    <w:rsid w:val="004850B8"/>
    <w:rsid w:val="00485160"/>
    <w:rsid w:val="00485161"/>
    <w:rsid w:val="00485194"/>
    <w:rsid w:val="004852E4"/>
    <w:rsid w:val="004852F6"/>
    <w:rsid w:val="00485329"/>
    <w:rsid w:val="00485347"/>
    <w:rsid w:val="0048536F"/>
    <w:rsid w:val="004853EC"/>
    <w:rsid w:val="00485444"/>
    <w:rsid w:val="00485453"/>
    <w:rsid w:val="0048545A"/>
    <w:rsid w:val="004854D7"/>
    <w:rsid w:val="004854D9"/>
    <w:rsid w:val="004855A8"/>
    <w:rsid w:val="004856E1"/>
    <w:rsid w:val="004857E2"/>
    <w:rsid w:val="004857FF"/>
    <w:rsid w:val="0048582C"/>
    <w:rsid w:val="00485838"/>
    <w:rsid w:val="00485853"/>
    <w:rsid w:val="0048586D"/>
    <w:rsid w:val="0048588F"/>
    <w:rsid w:val="004858BB"/>
    <w:rsid w:val="00485952"/>
    <w:rsid w:val="0048598E"/>
    <w:rsid w:val="00485991"/>
    <w:rsid w:val="004859FC"/>
    <w:rsid w:val="004859FD"/>
    <w:rsid w:val="00485A65"/>
    <w:rsid w:val="00485B05"/>
    <w:rsid w:val="00485BFA"/>
    <w:rsid w:val="00485C50"/>
    <w:rsid w:val="00485C7C"/>
    <w:rsid w:val="00485D07"/>
    <w:rsid w:val="00485D39"/>
    <w:rsid w:val="00485D43"/>
    <w:rsid w:val="00485D4A"/>
    <w:rsid w:val="00485ECF"/>
    <w:rsid w:val="00485ED0"/>
    <w:rsid w:val="00486072"/>
    <w:rsid w:val="004860D7"/>
    <w:rsid w:val="0048613B"/>
    <w:rsid w:val="0048619E"/>
    <w:rsid w:val="0048623B"/>
    <w:rsid w:val="0048623F"/>
    <w:rsid w:val="00486244"/>
    <w:rsid w:val="00486280"/>
    <w:rsid w:val="004862F0"/>
    <w:rsid w:val="004862F7"/>
    <w:rsid w:val="00486351"/>
    <w:rsid w:val="00486358"/>
    <w:rsid w:val="00486374"/>
    <w:rsid w:val="004863EE"/>
    <w:rsid w:val="0048644B"/>
    <w:rsid w:val="004864E8"/>
    <w:rsid w:val="004865BD"/>
    <w:rsid w:val="00486694"/>
    <w:rsid w:val="004866BF"/>
    <w:rsid w:val="004866E0"/>
    <w:rsid w:val="00486744"/>
    <w:rsid w:val="004867B5"/>
    <w:rsid w:val="0048694C"/>
    <w:rsid w:val="0048698C"/>
    <w:rsid w:val="004869FF"/>
    <w:rsid w:val="00486AD1"/>
    <w:rsid w:val="00486AE4"/>
    <w:rsid w:val="00486B0E"/>
    <w:rsid w:val="00486B4B"/>
    <w:rsid w:val="00486B67"/>
    <w:rsid w:val="00486BB1"/>
    <w:rsid w:val="00486D33"/>
    <w:rsid w:val="00486D45"/>
    <w:rsid w:val="00486D91"/>
    <w:rsid w:val="00486DAD"/>
    <w:rsid w:val="00486DE0"/>
    <w:rsid w:val="00486DFB"/>
    <w:rsid w:val="00486E35"/>
    <w:rsid w:val="00486E74"/>
    <w:rsid w:val="00486E91"/>
    <w:rsid w:val="00486EC1"/>
    <w:rsid w:val="00486F72"/>
    <w:rsid w:val="00486FB0"/>
    <w:rsid w:val="00486FC0"/>
    <w:rsid w:val="00487038"/>
    <w:rsid w:val="0048706F"/>
    <w:rsid w:val="004870F4"/>
    <w:rsid w:val="004870F6"/>
    <w:rsid w:val="00487172"/>
    <w:rsid w:val="00487174"/>
    <w:rsid w:val="004871AC"/>
    <w:rsid w:val="004871AF"/>
    <w:rsid w:val="004871E3"/>
    <w:rsid w:val="0048727F"/>
    <w:rsid w:val="004872F0"/>
    <w:rsid w:val="0048730B"/>
    <w:rsid w:val="004873B7"/>
    <w:rsid w:val="004873CC"/>
    <w:rsid w:val="0048740F"/>
    <w:rsid w:val="00487458"/>
    <w:rsid w:val="00487461"/>
    <w:rsid w:val="00487520"/>
    <w:rsid w:val="00487563"/>
    <w:rsid w:val="0048760C"/>
    <w:rsid w:val="004876E0"/>
    <w:rsid w:val="004876EF"/>
    <w:rsid w:val="00487711"/>
    <w:rsid w:val="00487757"/>
    <w:rsid w:val="004877C6"/>
    <w:rsid w:val="004877FC"/>
    <w:rsid w:val="0048780C"/>
    <w:rsid w:val="0048785C"/>
    <w:rsid w:val="00487884"/>
    <w:rsid w:val="0048788E"/>
    <w:rsid w:val="004878F5"/>
    <w:rsid w:val="00487928"/>
    <w:rsid w:val="0048796E"/>
    <w:rsid w:val="00487A2A"/>
    <w:rsid w:val="00487A9B"/>
    <w:rsid w:val="00487AE6"/>
    <w:rsid w:val="00487B1D"/>
    <w:rsid w:val="00487B83"/>
    <w:rsid w:val="00487BB2"/>
    <w:rsid w:val="00487BDB"/>
    <w:rsid w:val="00487C78"/>
    <w:rsid w:val="00487C86"/>
    <w:rsid w:val="00487DAD"/>
    <w:rsid w:val="00487DEA"/>
    <w:rsid w:val="00487E2B"/>
    <w:rsid w:val="00487E8D"/>
    <w:rsid w:val="00487E95"/>
    <w:rsid w:val="00487ED1"/>
    <w:rsid w:val="00487F1D"/>
    <w:rsid w:val="00487FB3"/>
    <w:rsid w:val="00487FD3"/>
    <w:rsid w:val="0049001B"/>
    <w:rsid w:val="00490038"/>
    <w:rsid w:val="0049010D"/>
    <w:rsid w:val="0049011A"/>
    <w:rsid w:val="00490192"/>
    <w:rsid w:val="004901E5"/>
    <w:rsid w:val="0049026B"/>
    <w:rsid w:val="0049026D"/>
    <w:rsid w:val="00490281"/>
    <w:rsid w:val="00490382"/>
    <w:rsid w:val="004903E6"/>
    <w:rsid w:val="004903F9"/>
    <w:rsid w:val="0049040A"/>
    <w:rsid w:val="0049047B"/>
    <w:rsid w:val="004904E0"/>
    <w:rsid w:val="0049050B"/>
    <w:rsid w:val="00490545"/>
    <w:rsid w:val="0049054E"/>
    <w:rsid w:val="00490563"/>
    <w:rsid w:val="00490566"/>
    <w:rsid w:val="0049057C"/>
    <w:rsid w:val="004905F7"/>
    <w:rsid w:val="00490655"/>
    <w:rsid w:val="0049067D"/>
    <w:rsid w:val="00490745"/>
    <w:rsid w:val="004907A1"/>
    <w:rsid w:val="004907F5"/>
    <w:rsid w:val="00490849"/>
    <w:rsid w:val="0049086A"/>
    <w:rsid w:val="00490870"/>
    <w:rsid w:val="00490896"/>
    <w:rsid w:val="004908A5"/>
    <w:rsid w:val="004908E3"/>
    <w:rsid w:val="00490906"/>
    <w:rsid w:val="00490947"/>
    <w:rsid w:val="0049098D"/>
    <w:rsid w:val="004909DA"/>
    <w:rsid w:val="004909DC"/>
    <w:rsid w:val="00490A08"/>
    <w:rsid w:val="00490BCD"/>
    <w:rsid w:val="00490C5B"/>
    <w:rsid w:val="00490D56"/>
    <w:rsid w:val="00490E47"/>
    <w:rsid w:val="00490EDE"/>
    <w:rsid w:val="00490EF1"/>
    <w:rsid w:val="00490F14"/>
    <w:rsid w:val="00490F81"/>
    <w:rsid w:val="00491087"/>
    <w:rsid w:val="004910D3"/>
    <w:rsid w:val="00491109"/>
    <w:rsid w:val="0049112C"/>
    <w:rsid w:val="004911A9"/>
    <w:rsid w:val="0049122B"/>
    <w:rsid w:val="004912E2"/>
    <w:rsid w:val="00491366"/>
    <w:rsid w:val="0049138A"/>
    <w:rsid w:val="00491412"/>
    <w:rsid w:val="00491433"/>
    <w:rsid w:val="0049143B"/>
    <w:rsid w:val="0049146D"/>
    <w:rsid w:val="00491528"/>
    <w:rsid w:val="004915F9"/>
    <w:rsid w:val="004915FC"/>
    <w:rsid w:val="00491613"/>
    <w:rsid w:val="0049167B"/>
    <w:rsid w:val="004916C5"/>
    <w:rsid w:val="004916E7"/>
    <w:rsid w:val="00491787"/>
    <w:rsid w:val="004917B8"/>
    <w:rsid w:val="00491897"/>
    <w:rsid w:val="004918FA"/>
    <w:rsid w:val="0049190F"/>
    <w:rsid w:val="00491934"/>
    <w:rsid w:val="00491952"/>
    <w:rsid w:val="00491966"/>
    <w:rsid w:val="004919DD"/>
    <w:rsid w:val="00491A5B"/>
    <w:rsid w:val="00491A70"/>
    <w:rsid w:val="00491AE3"/>
    <w:rsid w:val="00491B02"/>
    <w:rsid w:val="00491B0B"/>
    <w:rsid w:val="00491B35"/>
    <w:rsid w:val="00491B67"/>
    <w:rsid w:val="00491BCE"/>
    <w:rsid w:val="00491C01"/>
    <w:rsid w:val="00491C1F"/>
    <w:rsid w:val="00491C76"/>
    <w:rsid w:val="00491C7C"/>
    <w:rsid w:val="00491C80"/>
    <w:rsid w:val="00491CDC"/>
    <w:rsid w:val="00491CF5"/>
    <w:rsid w:val="00491CF9"/>
    <w:rsid w:val="00491D23"/>
    <w:rsid w:val="00491D7E"/>
    <w:rsid w:val="00491DD3"/>
    <w:rsid w:val="00491E3F"/>
    <w:rsid w:val="00491E53"/>
    <w:rsid w:val="00491EF6"/>
    <w:rsid w:val="00491F02"/>
    <w:rsid w:val="00491F1D"/>
    <w:rsid w:val="00491F2C"/>
    <w:rsid w:val="00491F85"/>
    <w:rsid w:val="00491FAC"/>
    <w:rsid w:val="00491FE5"/>
    <w:rsid w:val="00491FE8"/>
    <w:rsid w:val="004920C3"/>
    <w:rsid w:val="004920CD"/>
    <w:rsid w:val="0049212B"/>
    <w:rsid w:val="004921EA"/>
    <w:rsid w:val="0049227F"/>
    <w:rsid w:val="00492286"/>
    <w:rsid w:val="00492293"/>
    <w:rsid w:val="004922A5"/>
    <w:rsid w:val="004922AE"/>
    <w:rsid w:val="004922B3"/>
    <w:rsid w:val="004922B4"/>
    <w:rsid w:val="004922C5"/>
    <w:rsid w:val="004922D2"/>
    <w:rsid w:val="0049239C"/>
    <w:rsid w:val="004923DC"/>
    <w:rsid w:val="00492422"/>
    <w:rsid w:val="0049242E"/>
    <w:rsid w:val="00492455"/>
    <w:rsid w:val="004924A7"/>
    <w:rsid w:val="004924D3"/>
    <w:rsid w:val="004924E1"/>
    <w:rsid w:val="00492576"/>
    <w:rsid w:val="00492580"/>
    <w:rsid w:val="004925F8"/>
    <w:rsid w:val="004926AF"/>
    <w:rsid w:val="004926BF"/>
    <w:rsid w:val="004926DA"/>
    <w:rsid w:val="0049275D"/>
    <w:rsid w:val="004927D6"/>
    <w:rsid w:val="00492800"/>
    <w:rsid w:val="00492935"/>
    <w:rsid w:val="0049293E"/>
    <w:rsid w:val="00492963"/>
    <w:rsid w:val="00492A35"/>
    <w:rsid w:val="00492A4F"/>
    <w:rsid w:val="00492A88"/>
    <w:rsid w:val="00492B28"/>
    <w:rsid w:val="00492B30"/>
    <w:rsid w:val="00492BBD"/>
    <w:rsid w:val="00492C14"/>
    <w:rsid w:val="00492C64"/>
    <w:rsid w:val="00492CA1"/>
    <w:rsid w:val="00492CC0"/>
    <w:rsid w:val="00492CDE"/>
    <w:rsid w:val="00492D41"/>
    <w:rsid w:val="00492D68"/>
    <w:rsid w:val="00492DC4"/>
    <w:rsid w:val="00492E93"/>
    <w:rsid w:val="00492E9C"/>
    <w:rsid w:val="00492EB9"/>
    <w:rsid w:val="00492EE0"/>
    <w:rsid w:val="00492F70"/>
    <w:rsid w:val="00492F8B"/>
    <w:rsid w:val="00492F8F"/>
    <w:rsid w:val="00492FB8"/>
    <w:rsid w:val="00492FCD"/>
    <w:rsid w:val="00492FD2"/>
    <w:rsid w:val="00493156"/>
    <w:rsid w:val="00493192"/>
    <w:rsid w:val="00493205"/>
    <w:rsid w:val="0049322A"/>
    <w:rsid w:val="00493236"/>
    <w:rsid w:val="00493353"/>
    <w:rsid w:val="004933C8"/>
    <w:rsid w:val="00493457"/>
    <w:rsid w:val="00493460"/>
    <w:rsid w:val="004934E9"/>
    <w:rsid w:val="00493546"/>
    <w:rsid w:val="004936F9"/>
    <w:rsid w:val="004936FD"/>
    <w:rsid w:val="00493914"/>
    <w:rsid w:val="00493955"/>
    <w:rsid w:val="004939C7"/>
    <w:rsid w:val="004939D2"/>
    <w:rsid w:val="00493A33"/>
    <w:rsid w:val="00493A9F"/>
    <w:rsid w:val="00493AC2"/>
    <w:rsid w:val="00493B5C"/>
    <w:rsid w:val="00493B8C"/>
    <w:rsid w:val="00493C99"/>
    <w:rsid w:val="00493C9F"/>
    <w:rsid w:val="00493CEF"/>
    <w:rsid w:val="00493D0F"/>
    <w:rsid w:val="00493EB2"/>
    <w:rsid w:val="00493F13"/>
    <w:rsid w:val="00493F1E"/>
    <w:rsid w:val="00493F2C"/>
    <w:rsid w:val="00493FA2"/>
    <w:rsid w:val="00493FA8"/>
    <w:rsid w:val="00493FAF"/>
    <w:rsid w:val="00494021"/>
    <w:rsid w:val="00494029"/>
    <w:rsid w:val="004940FB"/>
    <w:rsid w:val="00494121"/>
    <w:rsid w:val="00494151"/>
    <w:rsid w:val="00494161"/>
    <w:rsid w:val="0049419D"/>
    <w:rsid w:val="00494218"/>
    <w:rsid w:val="0049429C"/>
    <w:rsid w:val="004942D5"/>
    <w:rsid w:val="00494386"/>
    <w:rsid w:val="004943B8"/>
    <w:rsid w:val="004943D2"/>
    <w:rsid w:val="004943EA"/>
    <w:rsid w:val="004943FB"/>
    <w:rsid w:val="00494431"/>
    <w:rsid w:val="00494456"/>
    <w:rsid w:val="00494475"/>
    <w:rsid w:val="004944D7"/>
    <w:rsid w:val="00494531"/>
    <w:rsid w:val="0049457F"/>
    <w:rsid w:val="0049458A"/>
    <w:rsid w:val="004945A4"/>
    <w:rsid w:val="004945F9"/>
    <w:rsid w:val="0049466E"/>
    <w:rsid w:val="00494692"/>
    <w:rsid w:val="004946EE"/>
    <w:rsid w:val="00494725"/>
    <w:rsid w:val="0049472C"/>
    <w:rsid w:val="0049475D"/>
    <w:rsid w:val="004947F4"/>
    <w:rsid w:val="0049481E"/>
    <w:rsid w:val="0049484C"/>
    <w:rsid w:val="004948BC"/>
    <w:rsid w:val="004948CC"/>
    <w:rsid w:val="0049490D"/>
    <w:rsid w:val="00494928"/>
    <w:rsid w:val="0049499E"/>
    <w:rsid w:val="004949BD"/>
    <w:rsid w:val="004949CC"/>
    <w:rsid w:val="004949F1"/>
    <w:rsid w:val="00494A5A"/>
    <w:rsid w:val="00494A7E"/>
    <w:rsid w:val="00494ADC"/>
    <w:rsid w:val="00494B62"/>
    <w:rsid w:val="00494BC1"/>
    <w:rsid w:val="00494C8E"/>
    <w:rsid w:val="00494CB7"/>
    <w:rsid w:val="00494CB8"/>
    <w:rsid w:val="00494CCD"/>
    <w:rsid w:val="00494CE9"/>
    <w:rsid w:val="00494D2D"/>
    <w:rsid w:val="00494D68"/>
    <w:rsid w:val="00494E36"/>
    <w:rsid w:val="00494EE3"/>
    <w:rsid w:val="00494EF1"/>
    <w:rsid w:val="00494F09"/>
    <w:rsid w:val="00494F35"/>
    <w:rsid w:val="00494F54"/>
    <w:rsid w:val="00494F71"/>
    <w:rsid w:val="00494FC1"/>
    <w:rsid w:val="00495010"/>
    <w:rsid w:val="00495046"/>
    <w:rsid w:val="00495063"/>
    <w:rsid w:val="00495099"/>
    <w:rsid w:val="004950F6"/>
    <w:rsid w:val="0049525C"/>
    <w:rsid w:val="00495264"/>
    <w:rsid w:val="00495279"/>
    <w:rsid w:val="004952A2"/>
    <w:rsid w:val="004952C0"/>
    <w:rsid w:val="00495315"/>
    <w:rsid w:val="004953E5"/>
    <w:rsid w:val="00495437"/>
    <w:rsid w:val="00495489"/>
    <w:rsid w:val="00495498"/>
    <w:rsid w:val="00495507"/>
    <w:rsid w:val="00495532"/>
    <w:rsid w:val="00495556"/>
    <w:rsid w:val="004955C2"/>
    <w:rsid w:val="004955C7"/>
    <w:rsid w:val="004955D0"/>
    <w:rsid w:val="00495653"/>
    <w:rsid w:val="00495679"/>
    <w:rsid w:val="0049567D"/>
    <w:rsid w:val="004956B2"/>
    <w:rsid w:val="004956C7"/>
    <w:rsid w:val="0049576F"/>
    <w:rsid w:val="004957E8"/>
    <w:rsid w:val="004957F5"/>
    <w:rsid w:val="0049581F"/>
    <w:rsid w:val="004958A1"/>
    <w:rsid w:val="00495965"/>
    <w:rsid w:val="0049596F"/>
    <w:rsid w:val="004959BA"/>
    <w:rsid w:val="004959CA"/>
    <w:rsid w:val="004959EA"/>
    <w:rsid w:val="00495A5A"/>
    <w:rsid w:val="00495AE4"/>
    <w:rsid w:val="00495B02"/>
    <w:rsid w:val="00495B82"/>
    <w:rsid w:val="00495BDC"/>
    <w:rsid w:val="00495C40"/>
    <w:rsid w:val="00495C7C"/>
    <w:rsid w:val="00495CC8"/>
    <w:rsid w:val="00495CE6"/>
    <w:rsid w:val="00495D23"/>
    <w:rsid w:val="00495D89"/>
    <w:rsid w:val="00495DCE"/>
    <w:rsid w:val="00495DE9"/>
    <w:rsid w:val="00495F23"/>
    <w:rsid w:val="00495F4D"/>
    <w:rsid w:val="0049605B"/>
    <w:rsid w:val="0049608E"/>
    <w:rsid w:val="004960F2"/>
    <w:rsid w:val="00496195"/>
    <w:rsid w:val="004961BE"/>
    <w:rsid w:val="004961E5"/>
    <w:rsid w:val="00496277"/>
    <w:rsid w:val="00496404"/>
    <w:rsid w:val="00496597"/>
    <w:rsid w:val="004965B1"/>
    <w:rsid w:val="004965FE"/>
    <w:rsid w:val="00496605"/>
    <w:rsid w:val="0049660D"/>
    <w:rsid w:val="0049661D"/>
    <w:rsid w:val="004966DA"/>
    <w:rsid w:val="004967D1"/>
    <w:rsid w:val="00496803"/>
    <w:rsid w:val="00496821"/>
    <w:rsid w:val="00496844"/>
    <w:rsid w:val="004968BD"/>
    <w:rsid w:val="004968D2"/>
    <w:rsid w:val="0049695E"/>
    <w:rsid w:val="0049697C"/>
    <w:rsid w:val="00496A1B"/>
    <w:rsid w:val="00496A26"/>
    <w:rsid w:val="00496A48"/>
    <w:rsid w:val="00496B10"/>
    <w:rsid w:val="00496C91"/>
    <w:rsid w:val="00496CE0"/>
    <w:rsid w:val="00496D17"/>
    <w:rsid w:val="00496D34"/>
    <w:rsid w:val="00496D8D"/>
    <w:rsid w:val="00496DCD"/>
    <w:rsid w:val="00496DF2"/>
    <w:rsid w:val="00496E32"/>
    <w:rsid w:val="00496E56"/>
    <w:rsid w:val="00496E8B"/>
    <w:rsid w:val="00496EB3"/>
    <w:rsid w:val="00496EF5"/>
    <w:rsid w:val="00496F45"/>
    <w:rsid w:val="00496FA0"/>
    <w:rsid w:val="00497061"/>
    <w:rsid w:val="0049708C"/>
    <w:rsid w:val="004970ED"/>
    <w:rsid w:val="00497159"/>
    <w:rsid w:val="004971F9"/>
    <w:rsid w:val="0049726B"/>
    <w:rsid w:val="004972DE"/>
    <w:rsid w:val="0049742D"/>
    <w:rsid w:val="004974A5"/>
    <w:rsid w:val="004974B5"/>
    <w:rsid w:val="0049751D"/>
    <w:rsid w:val="0049752A"/>
    <w:rsid w:val="004975E3"/>
    <w:rsid w:val="00497620"/>
    <w:rsid w:val="004976D5"/>
    <w:rsid w:val="004976F7"/>
    <w:rsid w:val="00497717"/>
    <w:rsid w:val="00497731"/>
    <w:rsid w:val="0049776A"/>
    <w:rsid w:val="004977B4"/>
    <w:rsid w:val="004977FA"/>
    <w:rsid w:val="004977FE"/>
    <w:rsid w:val="00497853"/>
    <w:rsid w:val="00497871"/>
    <w:rsid w:val="00497928"/>
    <w:rsid w:val="00497934"/>
    <w:rsid w:val="0049793C"/>
    <w:rsid w:val="00497943"/>
    <w:rsid w:val="00497999"/>
    <w:rsid w:val="00497A5B"/>
    <w:rsid w:val="00497AAC"/>
    <w:rsid w:val="00497B46"/>
    <w:rsid w:val="00497B5B"/>
    <w:rsid w:val="00497BA7"/>
    <w:rsid w:val="00497BD3"/>
    <w:rsid w:val="00497C67"/>
    <w:rsid w:val="00497C75"/>
    <w:rsid w:val="00497CBE"/>
    <w:rsid w:val="00497CFA"/>
    <w:rsid w:val="00497D11"/>
    <w:rsid w:val="00497D40"/>
    <w:rsid w:val="00497D4B"/>
    <w:rsid w:val="00497D4E"/>
    <w:rsid w:val="00497D6C"/>
    <w:rsid w:val="00497DD2"/>
    <w:rsid w:val="00497E23"/>
    <w:rsid w:val="00497E4C"/>
    <w:rsid w:val="00497E93"/>
    <w:rsid w:val="00497E9C"/>
    <w:rsid w:val="00497F03"/>
    <w:rsid w:val="00497F32"/>
    <w:rsid w:val="00497F60"/>
    <w:rsid w:val="00497FA6"/>
    <w:rsid w:val="004A00CC"/>
    <w:rsid w:val="004A0118"/>
    <w:rsid w:val="004A0139"/>
    <w:rsid w:val="004A01A9"/>
    <w:rsid w:val="004A01C8"/>
    <w:rsid w:val="004A0253"/>
    <w:rsid w:val="004A02F1"/>
    <w:rsid w:val="004A0309"/>
    <w:rsid w:val="004A0337"/>
    <w:rsid w:val="004A0465"/>
    <w:rsid w:val="004A04C2"/>
    <w:rsid w:val="004A04DD"/>
    <w:rsid w:val="004A0509"/>
    <w:rsid w:val="004A05C2"/>
    <w:rsid w:val="004A05D0"/>
    <w:rsid w:val="004A0601"/>
    <w:rsid w:val="004A0618"/>
    <w:rsid w:val="004A0728"/>
    <w:rsid w:val="004A078B"/>
    <w:rsid w:val="004A0813"/>
    <w:rsid w:val="004A0869"/>
    <w:rsid w:val="004A08AD"/>
    <w:rsid w:val="004A093B"/>
    <w:rsid w:val="004A0977"/>
    <w:rsid w:val="004A09AA"/>
    <w:rsid w:val="004A09B4"/>
    <w:rsid w:val="004A09CE"/>
    <w:rsid w:val="004A0A3F"/>
    <w:rsid w:val="004A0A4D"/>
    <w:rsid w:val="004A0AFA"/>
    <w:rsid w:val="004A0B58"/>
    <w:rsid w:val="004A0C28"/>
    <w:rsid w:val="004A0E38"/>
    <w:rsid w:val="004A0E69"/>
    <w:rsid w:val="004A0ECC"/>
    <w:rsid w:val="004A0F0A"/>
    <w:rsid w:val="004A0F21"/>
    <w:rsid w:val="004A0F27"/>
    <w:rsid w:val="004A0FD3"/>
    <w:rsid w:val="004A0FEE"/>
    <w:rsid w:val="004A1038"/>
    <w:rsid w:val="004A1186"/>
    <w:rsid w:val="004A11A3"/>
    <w:rsid w:val="004A123C"/>
    <w:rsid w:val="004A12BD"/>
    <w:rsid w:val="004A12F3"/>
    <w:rsid w:val="004A135D"/>
    <w:rsid w:val="004A1371"/>
    <w:rsid w:val="004A1378"/>
    <w:rsid w:val="004A1386"/>
    <w:rsid w:val="004A13A8"/>
    <w:rsid w:val="004A13F0"/>
    <w:rsid w:val="004A14AD"/>
    <w:rsid w:val="004A14BC"/>
    <w:rsid w:val="004A14FF"/>
    <w:rsid w:val="004A155B"/>
    <w:rsid w:val="004A1621"/>
    <w:rsid w:val="004A16D8"/>
    <w:rsid w:val="004A1783"/>
    <w:rsid w:val="004A17E4"/>
    <w:rsid w:val="004A180D"/>
    <w:rsid w:val="004A1849"/>
    <w:rsid w:val="004A1891"/>
    <w:rsid w:val="004A18B2"/>
    <w:rsid w:val="004A18ED"/>
    <w:rsid w:val="004A1920"/>
    <w:rsid w:val="004A1985"/>
    <w:rsid w:val="004A1BF4"/>
    <w:rsid w:val="004A1C6A"/>
    <w:rsid w:val="004A1CAA"/>
    <w:rsid w:val="004A1D27"/>
    <w:rsid w:val="004A1D34"/>
    <w:rsid w:val="004A1DC5"/>
    <w:rsid w:val="004A1DF4"/>
    <w:rsid w:val="004A1DF7"/>
    <w:rsid w:val="004A1E66"/>
    <w:rsid w:val="004A1E80"/>
    <w:rsid w:val="004A1EE8"/>
    <w:rsid w:val="004A1F32"/>
    <w:rsid w:val="004A1F48"/>
    <w:rsid w:val="004A1F69"/>
    <w:rsid w:val="004A1FD2"/>
    <w:rsid w:val="004A2030"/>
    <w:rsid w:val="004A204E"/>
    <w:rsid w:val="004A20B3"/>
    <w:rsid w:val="004A2113"/>
    <w:rsid w:val="004A2192"/>
    <w:rsid w:val="004A220F"/>
    <w:rsid w:val="004A2218"/>
    <w:rsid w:val="004A222A"/>
    <w:rsid w:val="004A2259"/>
    <w:rsid w:val="004A2260"/>
    <w:rsid w:val="004A22C1"/>
    <w:rsid w:val="004A2418"/>
    <w:rsid w:val="004A2440"/>
    <w:rsid w:val="004A244C"/>
    <w:rsid w:val="004A2465"/>
    <w:rsid w:val="004A247E"/>
    <w:rsid w:val="004A24AD"/>
    <w:rsid w:val="004A2540"/>
    <w:rsid w:val="004A2569"/>
    <w:rsid w:val="004A257D"/>
    <w:rsid w:val="004A26D1"/>
    <w:rsid w:val="004A2748"/>
    <w:rsid w:val="004A2818"/>
    <w:rsid w:val="004A2848"/>
    <w:rsid w:val="004A28BB"/>
    <w:rsid w:val="004A28E5"/>
    <w:rsid w:val="004A2977"/>
    <w:rsid w:val="004A29B3"/>
    <w:rsid w:val="004A2A20"/>
    <w:rsid w:val="004A2A35"/>
    <w:rsid w:val="004A2A64"/>
    <w:rsid w:val="004A2AEE"/>
    <w:rsid w:val="004A2B10"/>
    <w:rsid w:val="004A2BA6"/>
    <w:rsid w:val="004A2C01"/>
    <w:rsid w:val="004A2C40"/>
    <w:rsid w:val="004A2C52"/>
    <w:rsid w:val="004A2CAD"/>
    <w:rsid w:val="004A2CF1"/>
    <w:rsid w:val="004A2D36"/>
    <w:rsid w:val="004A2D6E"/>
    <w:rsid w:val="004A2DC4"/>
    <w:rsid w:val="004A2E0E"/>
    <w:rsid w:val="004A2E59"/>
    <w:rsid w:val="004A2EA6"/>
    <w:rsid w:val="004A2F83"/>
    <w:rsid w:val="004A2F97"/>
    <w:rsid w:val="004A309C"/>
    <w:rsid w:val="004A30DC"/>
    <w:rsid w:val="004A3126"/>
    <w:rsid w:val="004A3179"/>
    <w:rsid w:val="004A318F"/>
    <w:rsid w:val="004A31B4"/>
    <w:rsid w:val="004A321F"/>
    <w:rsid w:val="004A32B7"/>
    <w:rsid w:val="004A3393"/>
    <w:rsid w:val="004A340E"/>
    <w:rsid w:val="004A349B"/>
    <w:rsid w:val="004A3513"/>
    <w:rsid w:val="004A3572"/>
    <w:rsid w:val="004A3593"/>
    <w:rsid w:val="004A35A0"/>
    <w:rsid w:val="004A3665"/>
    <w:rsid w:val="004A369A"/>
    <w:rsid w:val="004A36D5"/>
    <w:rsid w:val="004A3762"/>
    <w:rsid w:val="004A379D"/>
    <w:rsid w:val="004A3825"/>
    <w:rsid w:val="004A3907"/>
    <w:rsid w:val="004A394B"/>
    <w:rsid w:val="004A3959"/>
    <w:rsid w:val="004A3992"/>
    <w:rsid w:val="004A39A6"/>
    <w:rsid w:val="004A3A77"/>
    <w:rsid w:val="004A3A96"/>
    <w:rsid w:val="004A3B3B"/>
    <w:rsid w:val="004A3B44"/>
    <w:rsid w:val="004A3B87"/>
    <w:rsid w:val="004A3BBC"/>
    <w:rsid w:val="004A3C2B"/>
    <w:rsid w:val="004A3C54"/>
    <w:rsid w:val="004A3CC6"/>
    <w:rsid w:val="004A3DBB"/>
    <w:rsid w:val="004A3E07"/>
    <w:rsid w:val="004A3E16"/>
    <w:rsid w:val="004A3E6F"/>
    <w:rsid w:val="004A3EB5"/>
    <w:rsid w:val="004A3F0A"/>
    <w:rsid w:val="004A4003"/>
    <w:rsid w:val="004A4036"/>
    <w:rsid w:val="004A4093"/>
    <w:rsid w:val="004A40A6"/>
    <w:rsid w:val="004A40DD"/>
    <w:rsid w:val="004A40F5"/>
    <w:rsid w:val="004A412C"/>
    <w:rsid w:val="004A415C"/>
    <w:rsid w:val="004A4161"/>
    <w:rsid w:val="004A4224"/>
    <w:rsid w:val="004A42B4"/>
    <w:rsid w:val="004A4309"/>
    <w:rsid w:val="004A4402"/>
    <w:rsid w:val="004A4448"/>
    <w:rsid w:val="004A4469"/>
    <w:rsid w:val="004A4502"/>
    <w:rsid w:val="004A454E"/>
    <w:rsid w:val="004A4621"/>
    <w:rsid w:val="004A4757"/>
    <w:rsid w:val="004A4776"/>
    <w:rsid w:val="004A47FB"/>
    <w:rsid w:val="004A4812"/>
    <w:rsid w:val="004A484A"/>
    <w:rsid w:val="004A487E"/>
    <w:rsid w:val="004A4886"/>
    <w:rsid w:val="004A4891"/>
    <w:rsid w:val="004A48AA"/>
    <w:rsid w:val="004A4924"/>
    <w:rsid w:val="004A495E"/>
    <w:rsid w:val="004A496C"/>
    <w:rsid w:val="004A4981"/>
    <w:rsid w:val="004A49CD"/>
    <w:rsid w:val="004A4A52"/>
    <w:rsid w:val="004A4ABF"/>
    <w:rsid w:val="004A4ACC"/>
    <w:rsid w:val="004A4AEA"/>
    <w:rsid w:val="004A4B54"/>
    <w:rsid w:val="004A4B76"/>
    <w:rsid w:val="004A4C07"/>
    <w:rsid w:val="004A4C19"/>
    <w:rsid w:val="004A4C76"/>
    <w:rsid w:val="004A4CAD"/>
    <w:rsid w:val="004A4D17"/>
    <w:rsid w:val="004A4DD6"/>
    <w:rsid w:val="004A4DF3"/>
    <w:rsid w:val="004A4E31"/>
    <w:rsid w:val="004A4EA8"/>
    <w:rsid w:val="004A4ED3"/>
    <w:rsid w:val="004A4F4F"/>
    <w:rsid w:val="004A4F5E"/>
    <w:rsid w:val="004A4FB6"/>
    <w:rsid w:val="004A4FE8"/>
    <w:rsid w:val="004A507C"/>
    <w:rsid w:val="004A509E"/>
    <w:rsid w:val="004A51F9"/>
    <w:rsid w:val="004A51FD"/>
    <w:rsid w:val="004A5234"/>
    <w:rsid w:val="004A5291"/>
    <w:rsid w:val="004A52A2"/>
    <w:rsid w:val="004A5303"/>
    <w:rsid w:val="004A53AD"/>
    <w:rsid w:val="004A53C7"/>
    <w:rsid w:val="004A53DE"/>
    <w:rsid w:val="004A53FC"/>
    <w:rsid w:val="004A5446"/>
    <w:rsid w:val="004A5459"/>
    <w:rsid w:val="004A5520"/>
    <w:rsid w:val="004A5547"/>
    <w:rsid w:val="004A555C"/>
    <w:rsid w:val="004A55FC"/>
    <w:rsid w:val="004A5686"/>
    <w:rsid w:val="004A56F6"/>
    <w:rsid w:val="004A5723"/>
    <w:rsid w:val="004A572B"/>
    <w:rsid w:val="004A5755"/>
    <w:rsid w:val="004A5791"/>
    <w:rsid w:val="004A57D3"/>
    <w:rsid w:val="004A57F9"/>
    <w:rsid w:val="004A5818"/>
    <w:rsid w:val="004A582A"/>
    <w:rsid w:val="004A587D"/>
    <w:rsid w:val="004A5895"/>
    <w:rsid w:val="004A58E3"/>
    <w:rsid w:val="004A58E9"/>
    <w:rsid w:val="004A58F8"/>
    <w:rsid w:val="004A5904"/>
    <w:rsid w:val="004A59D4"/>
    <w:rsid w:val="004A59FC"/>
    <w:rsid w:val="004A5A5F"/>
    <w:rsid w:val="004A5A7A"/>
    <w:rsid w:val="004A5A93"/>
    <w:rsid w:val="004A5AA4"/>
    <w:rsid w:val="004A5AE2"/>
    <w:rsid w:val="004A5C03"/>
    <w:rsid w:val="004A5C53"/>
    <w:rsid w:val="004A5D09"/>
    <w:rsid w:val="004A5D31"/>
    <w:rsid w:val="004A5D57"/>
    <w:rsid w:val="004A5E28"/>
    <w:rsid w:val="004A5E97"/>
    <w:rsid w:val="004A5FFA"/>
    <w:rsid w:val="004A601F"/>
    <w:rsid w:val="004A606D"/>
    <w:rsid w:val="004A60A6"/>
    <w:rsid w:val="004A60AA"/>
    <w:rsid w:val="004A60CE"/>
    <w:rsid w:val="004A60E7"/>
    <w:rsid w:val="004A61A0"/>
    <w:rsid w:val="004A61F1"/>
    <w:rsid w:val="004A620C"/>
    <w:rsid w:val="004A6249"/>
    <w:rsid w:val="004A6325"/>
    <w:rsid w:val="004A633F"/>
    <w:rsid w:val="004A6346"/>
    <w:rsid w:val="004A639A"/>
    <w:rsid w:val="004A6410"/>
    <w:rsid w:val="004A6427"/>
    <w:rsid w:val="004A643A"/>
    <w:rsid w:val="004A6569"/>
    <w:rsid w:val="004A65B2"/>
    <w:rsid w:val="004A6610"/>
    <w:rsid w:val="004A6678"/>
    <w:rsid w:val="004A66ED"/>
    <w:rsid w:val="004A66F8"/>
    <w:rsid w:val="004A672C"/>
    <w:rsid w:val="004A675D"/>
    <w:rsid w:val="004A67B2"/>
    <w:rsid w:val="004A67F5"/>
    <w:rsid w:val="004A683D"/>
    <w:rsid w:val="004A6847"/>
    <w:rsid w:val="004A68FC"/>
    <w:rsid w:val="004A6904"/>
    <w:rsid w:val="004A6976"/>
    <w:rsid w:val="004A6AC7"/>
    <w:rsid w:val="004A6B33"/>
    <w:rsid w:val="004A6B70"/>
    <w:rsid w:val="004A6C35"/>
    <w:rsid w:val="004A6C5A"/>
    <w:rsid w:val="004A6C85"/>
    <w:rsid w:val="004A6CBE"/>
    <w:rsid w:val="004A6CDD"/>
    <w:rsid w:val="004A6D03"/>
    <w:rsid w:val="004A6D3D"/>
    <w:rsid w:val="004A6D97"/>
    <w:rsid w:val="004A6DC2"/>
    <w:rsid w:val="004A6E24"/>
    <w:rsid w:val="004A6E6F"/>
    <w:rsid w:val="004A6E95"/>
    <w:rsid w:val="004A6F03"/>
    <w:rsid w:val="004A6F71"/>
    <w:rsid w:val="004A6FA5"/>
    <w:rsid w:val="004A6FE6"/>
    <w:rsid w:val="004A70BB"/>
    <w:rsid w:val="004A7126"/>
    <w:rsid w:val="004A71F4"/>
    <w:rsid w:val="004A7218"/>
    <w:rsid w:val="004A7237"/>
    <w:rsid w:val="004A730E"/>
    <w:rsid w:val="004A7362"/>
    <w:rsid w:val="004A737D"/>
    <w:rsid w:val="004A73C4"/>
    <w:rsid w:val="004A7406"/>
    <w:rsid w:val="004A7475"/>
    <w:rsid w:val="004A749A"/>
    <w:rsid w:val="004A74A4"/>
    <w:rsid w:val="004A753A"/>
    <w:rsid w:val="004A75A5"/>
    <w:rsid w:val="004A769D"/>
    <w:rsid w:val="004A76A0"/>
    <w:rsid w:val="004A7713"/>
    <w:rsid w:val="004A772B"/>
    <w:rsid w:val="004A778A"/>
    <w:rsid w:val="004A77A0"/>
    <w:rsid w:val="004A77CD"/>
    <w:rsid w:val="004A7800"/>
    <w:rsid w:val="004A78FC"/>
    <w:rsid w:val="004A7946"/>
    <w:rsid w:val="004A79A0"/>
    <w:rsid w:val="004A7A11"/>
    <w:rsid w:val="004A7A57"/>
    <w:rsid w:val="004A7A5C"/>
    <w:rsid w:val="004A7AEF"/>
    <w:rsid w:val="004A7B05"/>
    <w:rsid w:val="004A7B1A"/>
    <w:rsid w:val="004A7B1C"/>
    <w:rsid w:val="004A7B61"/>
    <w:rsid w:val="004A7B6E"/>
    <w:rsid w:val="004A7B91"/>
    <w:rsid w:val="004A7BC3"/>
    <w:rsid w:val="004A7C1A"/>
    <w:rsid w:val="004A7C46"/>
    <w:rsid w:val="004A7C72"/>
    <w:rsid w:val="004A7C86"/>
    <w:rsid w:val="004A7C88"/>
    <w:rsid w:val="004A7CAC"/>
    <w:rsid w:val="004A7CC1"/>
    <w:rsid w:val="004A7D27"/>
    <w:rsid w:val="004A7D4D"/>
    <w:rsid w:val="004A7D66"/>
    <w:rsid w:val="004A7E47"/>
    <w:rsid w:val="004A7E4B"/>
    <w:rsid w:val="004A7F46"/>
    <w:rsid w:val="004A7F6A"/>
    <w:rsid w:val="004A7F70"/>
    <w:rsid w:val="004A7F8B"/>
    <w:rsid w:val="004A7FB2"/>
    <w:rsid w:val="004A7FC5"/>
    <w:rsid w:val="004B009E"/>
    <w:rsid w:val="004B00E6"/>
    <w:rsid w:val="004B00FF"/>
    <w:rsid w:val="004B0166"/>
    <w:rsid w:val="004B0249"/>
    <w:rsid w:val="004B02B3"/>
    <w:rsid w:val="004B0318"/>
    <w:rsid w:val="004B031B"/>
    <w:rsid w:val="004B0358"/>
    <w:rsid w:val="004B0371"/>
    <w:rsid w:val="004B03DD"/>
    <w:rsid w:val="004B0453"/>
    <w:rsid w:val="004B0495"/>
    <w:rsid w:val="004B0505"/>
    <w:rsid w:val="004B0509"/>
    <w:rsid w:val="004B054A"/>
    <w:rsid w:val="004B054D"/>
    <w:rsid w:val="004B059C"/>
    <w:rsid w:val="004B0633"/>
    <w:rsid w:val="004B0644"/>
    <w:rsid w:val="004B0708"/>
    <w:rsid w:val="004B0713"/>
    <w:rsid w:val="004B0716"/>
    <w:rsid w:val="004B071E"/>
    <w:rsid w:val="004B07AF"/>
    <w:rsid w:val="004B07F7"/>
    <w:rsid w:val="004B083E"/>
    <w:rsid w:val="004B0931"/>
    <w:rsid w:val="004B0A15"/>
    <w:rsid w:val="004B0A16"/>
    <w:rsid w:val="004B0AE3"/>
    <w:rsid w:val="004B0B93"/>
    <w:rsid w:val="004B0BA9"/>
    <w:rsid w:val="004B0BC4"/>
    <w:rsid w:val="004B0BD8"/>
    <w:rsid w:val="004B0C3C"/>
    <w:rsid w:val="004B0CB7"/>
    <w:rsid w:val="004B0CD7"/>
    <w:rsid w:val="004B0CE9"/>
    <w:rsid w:val="004B0CFA"/>
    <w:rsid w:val="004B0D4D"/>
    <w:rsid w:val="004B0D57"/>
    <w:rsid w:val="004B0D72"/>
    <w:rsid w:val="004B0DAA"/>
    <w:rsid w:val="004B0DDE"/>
    <w:rsid w:val="004B0E49"/>
    <w:rsid w:val="004B0E72"/>
    <w:rsid w:val="004B0E7D"/>
    <w:rsid w:val="004B0EEB"/>
    <w:rsid w:val="004B0EEF"/>
    <w:rsid w:val="004B0F2A"/>
    <w:rsid w:val="004B0F9A"/>
    <w:rsid w:val="004B0FAC"/>
    <w:rsid w:val="004B0FD9"/>
    <w:rsid w:val="004B0FDD"/>
    <w:rsid w:val="004B1000"/>
    <w:rsid w:val="004B1098"/>
    <w:rsid w:val="004B10C5"/>
    <w:rsid w:val="004B1194"/>
    <w:rsid w:val="004B1199"/>
    <w:rsid w:val="004B11C6"/>
    <w:rsid w:val="004B127B"/>
    <w:rsid w:val="004B1396"/>
    <w:rsid w:val="004B13AA"/>
    <w:rsid w:val="004B13B1"/>
    <w:rsid w:val="004B13BC"/>
    <w:rsid w:val="004B13C0"/>
    <w:rsid w:val="004B1401"/>
    <w:rsid w:val="004B1463"/>
    <w:rsid w:val="004B1482"/>
    <w:rsid w:val="004B1539"/>
    <w:rsid w:val="004B156D"/>
    <w:rsid w:val="004B159E"/>
    <w:rsid w:val="004B1615"/>
    <w:rsid w:val="004B168C"/>
    <w:rsid w:val="004B16F2"/>
    <w:rsid w:val="004B1758"/>
    <w:rsid w:val="004B176E"/>
    <w:rsid w:val="004B17C3"/>
    <w:rsid w:val="004B17ED"/>
    <w:rsid w:val="004B1850"/>
    <w:rsid w:val="004B1857"/>
    <w:rsid w:val="004B1879"/>
    <w:rsid w:val="004B199F"/>
    <w:rsid w:val="004B1A09"/>
    <w:rsid w:val="004B1A64"/>
    <w:rsid w:val="004B1A70"/>
    <w:rsid w:val="004B1B0E"/>
    <w:rsid w:val="004B1B18"/>
    <w:rsid w:val="004B1B6F"/>
    <w:rsid w:val="004B1BC0"/>
    <w:rsid w:val="004B1BEA"/>
    <w:rsid w:val="004B1BF4"/>
    <w:rsid w:val="004B1C16"/>
    <w:rsid w:val="004B1C1B"/>
    <w:rsid w:val="004B1C60"/>
    <w:rsid w:val="004B1C9D"/>
    <w:rsid w:val="004B1CD7"/>
    <w:rsid w:val="004B1CED"/>
    <w:rsid w:val="004B1D4F"/>
    <w:rsid w:val="004B1ED3"/>
    <w:rsid w:val="004B1F1C"/>
    <w:rsid w:val="004B1F7C"/>
    <w:rsid w:val="004B1F7D"/>
    <w:rsid w:val="004B1FFE"/>
    <w:rsid w:val="004B202B"/>
    <w:rsid w:val="004B205F"/>
    <w:rsid w:val="004B2095"/>
    <w:rsid w:val="004B20B5"/>
    <w:rsid w:val="004B2127"/>
    <w:rsid w:val="004B213C"/>
    <w:rsid w:val="004B217F"/>
    <w:rsid w:val="004B21D3"/>
    <w:rsid w:val="004B2237"/>
    <w:rsid w:val="004B2243"/>
    <w:rsid w:val="004B2254"/>
    <w:rsid w:val="004B228E"/>
    <w:rsid w:val="004B234E"/>
    <w:rsid w:val="004B2355"/>
    <w:rsid w:val="004B2369"/>
    <w:rsid w:val="004B2413"/>
    <w:rsid w:val="004B247F"/>
    <w:rsid w:val="004B2484"/>
    <w:rsid w:val="004B25C8"/>
    <w:rsid w:val="004B25E4"/>
    <w:rsid w:val="004B2604"/>
    <w:rsid w:val="004B26A7"/>
    <w:rsid w:val="004B271E"/>
    <w:rsid w:val="004B2751"/>
    <w:rsid w:val="004B283F"/>
    <w:rsid w:val="004B285A"/>
    <w:rsid w:val="004B2870"/>
    <w:rsid w:val="004B28A4"/>
    <w:rsid w:val="004B29D0"/>
    <w:rsid w:val="004B2A5D"/>
    <w:rsid w:val="004B2AEE"/>
    <w:rsid w:val="004B2B35"/>
    <w:rsid w:val="004B2B45"/>
    <w:rsid w:val="004B2B67"/>
    <w:rsid w:val="004B2BBE"/>
    <w:rsid w:val="004B2BE0"/>
    <w:rsid w:val="004B2D56"/>
    <w:rsid w:val="004B2D7A"/>
    <w:rsid w:val="004B2DC3"/>
    <w:rsid w:val="004B2DED"/>
    <w:rsid w:val="004B2E96"/>
    <w:rsid w:val="004B2EEE"/>
    <w:rsid w:val="004B2EEF"/>
    <w:rsid w:val="004B2F11"/>
    <w:rsid w:val="004B2F1F"/>
    <w:rsid w:val="004B2F9C"/>
    <w:rsid w:val="004B2FCA"/>
    <w:rsid w:val="004B3078"/>
    <w:rsid w:val="004B308F"/>
    <w:rsid w:val="004B3094"/>
    <w:rsid w:val="004B31F0"/>
    <w:rsid w:val="004B334F"/>
    <w:rsid w:val="004B3370"/>
    <w:rsid w:val="004B33A2"/>
    <w:rsid w:val="004B3438"/>
    <w:rsid w:val="004B3492"/>
    <w:rsid w:val="004B349B"/>
    <w:rsid w:val="004B34F4"/>
    <w:rsid w:val="004B3584"/>
    <w:rsid w:val="004B3680"/>
    <w:rsid w:val="004B37D8"/>
    <w:rsid w:val="004B37DB"/>
    <w:rsid w:val="004B382D"/>
    <w:rsid w:val="004B38D5"/>
    <w:rsid w:val="004B39E8"/>
    <w:rsid w:val="004B3A59"/>
    <w:rsid w:val="004B3A78"/>
    <w:rsid w:val="004B3AAD"/>
    <w:rsid w:val="004B3B83"/>
    <w:rsid w:val="004B3BD0"/>
    <w:rsid w:val="004B3C2E"/>
    <w:rsid w:val="004B3C4F"/>
    <w:rsid w:val="004B3CD0"/>
    <w:rsid w:val="004B3D22"/>
    <w:rsid w:val="004B3DBD"/>
    <w:rsid w:val="004B3E18"/>
    <w:rsid w:val="004B3E1B"/>
    <w:rsid w:val="004B3EE8"/>
    <w:rsid w:val="004B3F1A"/>
    <w:rsid w:val="004B3F3F"/>
    <w:rsid w:val="004B3F4F"/>
    <w:rsid w:val="004B3F64"/>
    <w:rsid w:val="004B4019"/>
    <w:rsid w:val="004B4045"/>
    <w:rsid w:val="004B40B5"/>
    <w:rsid w:val="004B40CA"/>
    <w:rsid w:val="004B40E7"/>
    <w:rsid w:val="004B416A"/>
    <w:rsid w:val="004B4203"/>
    <w:rsid w:val="004B42B1"/>
    <w:rsid w:val="004B42D0"/>
    <w:rsid w:val="004B4329"/>
    <w:rsid w:val="004B4354"/>
    <w:rsid w:val="004B439A"/>
    <w:rsid w:val="004B4408"/>
    <w:rsid w:val="004B4417"/>
    <w:rsid w:val="004B4421"/>
    <w:rsid w:val="004B4427"/>
    <w:rsid w:val="004B44BC"/>
    <w:rsid w:val="004B4598"/>
    <w:rsid w:val="004B459A"/>
    <w:rsid w:val="004B45BC"/>
    <w:rsid w:val="004B45CC"/>
    <w:rsid w:val="004B45D3"/>
    <w:rsid w:val="004B45D4"/>
    <w:rsid w:val="004B45DB"/>
    <w:rsid w:val="004B467B"/>
    <w:rsid w:val="004B46CE"/>
    <w:rsid w:val="004B470C"/>
    <w:rsid w:val="004B4799"/>
    <w:rsid w:val="004B47C9"/>
    <w:rsid w:val="004B4845"/>
    <w:rsid w:val="004B484B"/>
    <w:rsid w:val="004B4852"/>
    <w:rsid w:val="004B4878"/>
    <w:rsid w:val="004B48D4"/>
    <w:rsid w:val="004B48D5"/>
    <w:rsid w:val="004B4983"/>
    <w:rsid w:val="004B49CB"/>
    <w:rsid w:val="004B49CC"/>
    <w:rsid w:val="004B4A76"/>
    <w:rsid w:val="004B4A79"/>
    <w:rsid w:val="004B4A7F"/>
    <w:rsid w:val="004B4AB0"/>
    <w:rsid w:val="004B4B4C"/>
    <w:rsid w:val="004B4BF1"/>
    <w:rsid w:val="004B4C7E"/>
    <w:rsid w:val="004B4CD1"/>
    <w:rsid w:val="004B4CE3"/>
    <w:rsid w:val="004B4CEA"/>
    <w:rsid w:val="004B4D16"/>
    <w:rsid w:val="004B4D3D"/>
    <w:rsid w:val="004B4E71"/>
    <w:rsid w:val="004B4E78"/>
    <w:rsid w:val="004B4E9D"/>
    <w:rsid w:val="004B4F14"/>
    <w:rsid w:val="004B4F3A"/>
    <w:rsid w:val="004B4F40"/>
    <w:rsid w:val="004B5005"/>
    <w:rsid w:val="004B506D"/>
    <w:rsid w:val="004B509F"/>
    <w:rsid w:val="004B50A5"/>
    <w:rsid w:val="004B50D9"/>
    <w:rsid w:val="004B510E"/>
    <w:rsid w:val="004B5142"/>
    <w:rsid w:val="004B5169"/>
    <w:rsid w:val="004B516B"/>
    <w:rsid w:val="004B518E"/>
    <w:rsid w:val="004B51BE"/>
    <w:rsid w:val="004B5207"/>
    <w:rsid w:val="004B520F"/>
    <w:rsid w:val="004B5303"/>
    <w:rsid w:val="004B5308"/>
    <w:rsid w:val="004B53A5"/>
    <w:rsid w:val="004B53BF"/>
    <w:rsid w:val="004B53C8"/>
    <w:rsid w:val="004B53D4"/>
    <w:rsid w:val="004B552C"/>
    <w:rsid w:val="004B5576"/>
    <w:rsid w:val="004B559F"/>
    <w:rsid w:val="004B55CC"/>
    <w:rsid w:val="004B5695"/>
    <w:rsid w:val="004B56A4"/>
    <w:rsid w:val="004B5711"/>
    <w:rsid w:val="004B5740"/>
    <w:rsid w:val="004B578F"/>
    <w:rsid w:val="004B57DD"/>
    <w:rsid w:val="004B589A"/>
    <w:rsid w:val="004B5943"/>
    <w:rsid w:val="004B596E"/>
    <w:rsid w:val="004B5978"/>
    <w:rsid w:val="004B59A8"/>
    <w:rsid w:val="004B59F9"/>
    <w:rsid w:val="004B5A23"/>
    <w:rsid w:val="004B5A2B"/>
    <w:rsid w:val="004B5A66"/>
    <w:rsid w:val="004B5A9E"/>
    <w:rsid w:val="004B5B7F"/>
    <w:rsid w:val="004B5BAB"/>
    <w:rsid w:val="004B5BE0"/>
    <w:rsid w:val="004B5BE2"/>
    <w:rsid w:val="004B5BF5"/>
    <w:rsid w:val="004B5BF6"/>
    <w:rsid w:val="004B5D00"/>
    <w:rsid w:val="004B5D16"/>
    <w:rsid w:val="004B5D1D"/>
    <w:rsid w:val="004B5D34"/>
    <w:rsid w:val="004B5D54"/>
    <w:rsid w:val="004B5D57"/>
    <w:rsid w:val="004B5D59"/>
    <w:rsid w:val="004B5D7D"/>
    <w:rsid w:val="004B5E3C"/>
    <w:rsid w:val="004B5FCC"/>
    <w:rsid w:val="004B6002"/>
    <w:rsid w:val="004B6152"/>
    <w:rsid w:val="004B6185"/>
    <w:rsid w:val="004B6196"/>
    <w:rsid w:val="004B61BE"/>
    <w:rsid w:val="004B61F5"/>
    <w:rsid w:val="004B6202"/>
    <w:rsid w:val="004B6238"/>
    <w:rsid w:val="004B625B"/>
    <w:rsid w:val="004B62DB"/>
    <w:rsid w:val="004B6323"/>
    <w:rsid w:val="004B633C"/>
    <w:rsid w:val="004B639D"/>
    <w:rsid w:val="004B6422"/>
    <w:rsid w:val="004B6507"/>
    <w:rsid w:val="004B657E"/>
    <w:rsid w:val="004B65BA"/>
    <w:rsid w:val="004B65BF"/>
    <w:rsid w:val="004B6673"/>
    <w:rsid w:val="004B6676"/>
    <w:rsid w:val="004B66EE"/>
    <w:rsid w:val="004B66F0"/>
    <w:rsid w:val="004B678D"/>
    <w:rsid w:val="004B67C5"/>
    <w:rsid w:val="004B6811"/>
    <w:rsid w:val="004B6891"/>
    <w:rsid w:val="004B68B9"/>
    <w:rsid w:val="004B6983"/>
    <w:rsid w:val="004B69A0"/>
    <w:rsid w:val="004B69F7"/>
    <w:rsid w:val="004B6A0F"/>
    <w:rsid w:val="004B6A43"/>
    <w:rsid w:val="004B6A6B"/>
    <w:rsid w:val="004B6ADC"/>
    <w:rsid w:val="004B6B07"/>
    <w:rsid w:val="004B6B23"/>
    <w:rsid w:val="004B6B65"/>
    <w:rsid w:val="004B6C11"/>
    <w:rsid w:val="004B6C30"/>
    <w:rsid w:val="004B6C9E"/>
    <w:rsid w:val="004B6D50"/>
    <w:rsid w:val="004B6E24"/>
    <w:rsid w:val="004B6E50"/>
    <w:rsid w:val="004B6E7F"/>
    <w:rsid w:val="004B6EBE"/>
    <w:rsid w:val="004B6F6D"/>
    <w:rsid w:val="004B7040"/>
    <w:rsid w:val="004B706B"/>
    <w:rsid w:val="004B707B"/>
    <w:rsid w:val="004B70A1"/>
    <w:rsid w:val="004B718B"/>
    <w:rsid w:val="004B718D"/>
    <w:rsid w:val="004B719C"/>
    <w:rsid w:val="004B7309"/>
    <w:rsid w:val="004B7335"/>
    <w:rsid w:val="004B737B"/>
    <w:rsid w:val="004B737E"/>
    <w:rsid w:val="004B7383"/>
    <w:rsid w:val="004B73E9"/>
    <w:rsid w:val="004B7565"/>
    <w:rsid w:val="004B75AB"/>
    <w:rsid w:val="004B75D5"/>
    <w:rsid w:val="004B7688"/>
    <w:rsid w:val="004B7704"/>
    <w:rsid w:val="004B771D"/>
    <w:rsid w:val="004B77E1"/>
    <w:rsid w:val="004B7805"/>
    <w:rsid w:val="004B780F"/>
    <w:rsid w:val="004B787A"/>
    <w:rsid w:val="004B7896"/>
    <w:rsid w:val="004B7912"/>
    <w:rsid w:val="004B791B"/>
    <w:rsid w:val="004B794A"/>
    <w:rsid w:val="004B79C7"/>
    <w:rsid w:val="004B79D6"/>
    <w:rsid w:val="004B7A0C"/>
    <w:rsid w:val="004B7A21"/>
    <w:rsid w:val="004B7A3C"/>
    <w:rsid w:val="004B7A40"/>
    <w:rsid w:val="004B7A50"/>
    <w:rsid w:val="004B7A52"/>
    <w:rsid w:val="004B7B4A"/>
    <w:rsid w:val="004B7B60"/>
    <w:rsid w:val="004B7B95"/>
    <w:rsid w:val="004B7BA3"/>
    <w:rsid w:val="004B7BD2"/>
    <w:rsid w:val="004B7BFF"/>
    <w:rsid w:val="004B7C33"/>
    <w:rsid w:val="004B7C64"/>
    <w:rsid w:val="004B7C92"/>
    <w:rsid w:val="004B7E05"/>
    <w:rsid w:val="004B7FC7"/>
    <w:rsid w:val="004C0027"/>
    <w:rsid w:val="004C004F"/>
    <w:rsid w:val="004C01B3"/>
    <w:rsid w:val="004C01DA"/>
    <w:rsid w:val="004C022F"/>
    <w:rsid w:val="004C0231"/>
    <w:rsid w:val="004C02A4"/>
    <w:rsid w:val="004C0302"/>
    <w:rsid w:val="004C032F"/>
    <w:rsid w:val="004C0370"/>
    <w:rsid w:val="004C039D"/>
    <w:rsid w:val="004C04A4"/>
    <w:rsid w:val="004C053E"/>
    <w:rsid w:val="004C0542"/>
    <w:rsid w:val="004C061D"/>
    <w:rsid w:val="004C0622"/>
    <w:rsid w:val="004C0687"/>
    <w:rsid w:val="004C06E4"/>
    <w:rsid w:val="004C06E8"/>
    <w:rsid w:val="004C072E"/>
    <w:rsid w:val="004C0765"/>
    <w:rsid w:val="004C0798"/>
    <w:rsid w:val="004C0914"/>
    <w:rsid w:val="004C0932"/>
    <w:rsid w:val="004C095D"/>
    <w:rsid w:val="004C0960"/>
    <w:rsid w:val="004C0965"/>
    <w:rsid w:val="004C0A06"/>
    <w:rsid w:val="004C0A15"/>
    <w:rsid w:val="004C0A6A"/>
    <w:rsid w:val="004C0AA9"/>
    <w:rsid w:val="004C0ABB"/>
    <w:rsid w:val="004C0B29"/>
    <w:rsid w:val="004C0BA0"/>
    <w:rsid w:val="004C0C73"/>
    <w:rsid w:val="004C0CC0"/>
    <w:rsid w:val="004C0D00"/>
    <w:rsid w:val="004C0D0B"/>
    <w:rsid w:val="004C0D12"/>
    <w:rsid w:val="004C0D23"/>
    <w:rsid w:val="004C0DBF"/>
    <w:rsid w:val="004C0DEB"/>
    <w:rsid w:val="004C0E10"/>
    <w:rsid w:val="004C0E2E"/>
    <w:rsid w:val="004C0EC8"/>
    <w:rsid w:val="004C1013"/>
    <w:rsid w:val="004C102F"/>
    <w:rsid w:val="004C1083"/>
    <w:rsid w:val="004C1093"/>
    <w:rsid w:val="004C10BE"/>
    <w:rsid w:val="004C10CC"/>
    <w:rsid w:val="004C11C6"/>
    <w:rsid w:val="004C12B3"/>
    <w:rsid w:val="004C12ED"/>
    <w:rsid w:val="004C131A"/>
    <w:rsid w:val="004C1366"/>
    <w:rsid w:val="004C13B5"/>
    <w:rsid w:val="004C147A"/>
    <w:rsid w:val="004C1605"/>
    <w:rsid w:val="004C1652"/>
    <w:rsid w:val="004C1678"/>
    <w:rsid w:val="004C169B"/>
    <w:rsid w:val="004C16E2"/>
    <w:rsid w:val="004C17D7"/>
    <w:rsid w:val="004C1830"/>
    <w:rsid w:val="004C1864"/>
    <w:rsid w:val="004C18BB"/>
    <w:rsid w:val="004C1957"/>
    <w:rsid w:val="004C19A2"/>
    <w:rsid w:val="004C1A08"/>
    <w:rsid w:val="004C1ACC"/>
    <w:rsid w:val="004C1B07"/>
    <w:rsid w:val="004C1B7C"/>
    <w:rsid w:val="004C1B8F"/>
    <w:rsid w:val="004C1BB1"/>
    <w:rsid w:val="004C1C11"/>
    <w:rsid w:val="004C1C40"/>
    <w:rsid w:val="004C1C53"/>
    <w:rsid w:val="004C1CA1"/>
    <w:rsid w:val="004C1CC5"/>
    <w:rsid w:val="004C1E96"/>
    <w:rsid w:val="004C1EC3"/>
    <w:rsid w:val="004C1EC6"/>
    <w:rsid w:val="004C1EE6"/>
    <w:rsid w:val="004C1F33"/>
    <w:rsid w:val="004C1F57"/>
    <w:rsid w:val="004C1F70"/>
    <w:rsid w:val="004C1FA1"/>
    <w:rsid w:val="004C201D"/>
    <w:rsid w:val="004C2035"/>
    <w:rsid w:val="004C207E"/>
    <w:rsid w:val="004C2086"/>
    <w:rsid w:val="004C2091"/>
    <w:rsid w:val="004C2098"/>
    <w:rsid w:val="004C20D3"/>
    <w:rsid w:val="004C2102"/>
    <w:rsid w:val="004C2138"/>
    <w:rsid w:val="004C214B"/>
    <w:rsid w:val="004C2162"/>
    <w:rsid w:val="004C2172"/>
    <w:rsid w:val="004C2198"/>
    <w:rsid w:val="004C21A2"/>
    <w:rsid w:val="004C21BD"/>
    <w:rsid w:val="004C224B"/>
    <w:rsid w:val="004C226A"/>
    <w:rsid w:val="004C228B"/>
    <w:rsid w:val="004C2375"/>
    <w:rsid w:val="004C238E"/>
    <w:rsid w:val="004C2421"/>
    <w:rsid w:val="004C244D"/>
    <w:rsid w:val="004C2494"/>
    <w:rsid w:val="004C24D6"/>
    <w:rsid w:val="004C2562"/>
    <w:rsid w:val="004C2684"/>
    <w:rsid w:val="004C2723"/>
    <w:rsid w:val="004C274E"/>
    <w:rsid w:val="004C2844"/>
    <w:rsid w:val="004C28CF"/>
    <w:rsid w:val="004C2979"/>
    <w:rsid w:val="004C2984"/>
    <w:rsid w:val="004C2AB6"/>
    <w:rsid w:val="004C2AD9"/>
    <w:rsid w:val="004C2B79"/>
    <w:rsid w:val="004C2C8D"/>
    <w:rsid w:val="004C2CB4"/>
    <w:rsid w:val="004C2D46"/>
    <w:rsid w:val="004C2D5B"/>
    <w:rsid w:val="004C2D88"/>
    <w:rsid w:val="004C2DB6"/>
    <w:rsid w:val="004C2FF9"/>
    <w:rsid w:val="004C30AD"/>
    <w:rsid w:val="004C317D"/>
    <w:rsid w:val="004C31A3"/>
    <w:rsid w:val="004C322B"/>
    <w:rsid w:val="004C32B3"/>
    <w:rsid w:val="004C3368"/>
    <w:rsid w:val="004C3380"/>
    <w:rsid w:val="004C338D"/>
    <w:rsid w:val="004C33AC"/>
    <w:rsid w:val="004C33F5"/>
    <w:rsid w:val="004C33F9"/>
    <w:rsid w:val="004C34C5"/>
    <w:rsid w:val="004C3507"/>
    <w:rsid w:val="004C355F"/>
    <w:rsid w:val="004C357C"/>
    <w:rsid w:val="004C3585"/>
    <w:rsid w:val="004C35A4"/>
    <w:rsid w:val="004C361C"/>
    <w:rsid w:val="004C3625"/>
    <w:rsid w:val="004C3681"/>
    <w:rsid w:val="004C3728"/>
    <w:rsid w:val="004C3746"/>
    <w:rsid w:val="004C375B"/>
    <w:rsid w:val="004C378C"/>
    <w:rsid w:val="004C3860"/>
    <w:rsid w:val="004C3865"/>
    <w:rsid w:val="004C3899"/>
    <w:rsid w:val="004C38E0"/>
    <w:rsid w:val="004C391F"/>
    <w:rsid w:val="004C3957"/>
    <w:rsid w:val="004C39C8"/>
    <w:rsid w:val="004C3A06"/>
    <w:rsid w:val="004C3A45"/>
    <w:rsid w:val="004C3A87"/>
    <w:rsid w:val="004C3B89"/>
    <w:rsid w:val="004C3BB7"/>
    <w:rsid w:val="004C3BBF"/>
    <w:rsid w:val="004C3BC9"/>
    <w:rsid w:val="004C3BDA"/>
    <w:rsid w:val="004C3BFA"/>
    <w:rsid w:val="004C3C10"/>
    <w:rsid w:val="004C3C4E"/>
    <w:rsid w:val="004C3CDB"/>
    <w:rsid w:val="004C3E1D"/>
    <w:rsid w:val="004C3EE5"/>
    <w:rsid w:val="004C3F46"/>
    <w:rsid w:val="004C3FAB"/>
    <w:rsid w:val="004C3FDA"/>
    <w:rsid w:val="004C4005"/>
    <w:rsid w:val="004C4020"/>
    <w:rsid w:val="004C40B0"/>
    <w:rsid w:val="004C40E6"/>
    <w:rsid w:val="004C4117"/>
    <w:rsid w:val="004C412C"/>
    <w:rsid w:val="004C4137"/>
    <w:rsid w:val="004C41C7"/>
    <w:rsid w:val="004C41DE"/>
    <w:rsid w:val="004C421A"/>
    <w:rsid w:val="004C4271"/>
    <w:rsid w:val="004C4285"/>
    <w:rsid w:val="004C4286"/>
    <w:rsid w:val="004C42A7"/>
    <w:rsid w:val="004C42D1"/>
    <w:rsid w:val="004C45A9"/>
    <w:rsid w:val="004C45B7"/>
    <w:rsid w:val="004C465A"/>
    <w:rsid w:val="004C46D6"/>
    <w:rsid w:val="004C473B"/>
    <w:rsid w:val="004C4778"/>
    <w:rsid w:val="004C477D"/>
    <w:rsid w:val="004C47BD"/>
    <w:rsid w:val="004C483C"/>
    <w:rsid w:val="004C4864"/>
    <w:rsid w:val="004C489E"/>
    <w:rsid w:val="004C48E6"/>
    <w:rsid w:val="004C492B"/>
    <w:rsid w:val="004C49C5"/>
    <w:rsid w:val="004C49D0"/>
    <w:rsid w:val="004C49E6"/>
    <w:rsid w:val="004C4AD3"/>
    <w:rsid w:val="004C4B52"/>
    <w:rsid w:val="004C4CD5"/>
    <w:rsid w:val="004C4D5E"/>
    <w:rsid w:val="004C4DA6"/>
    <w:rsid w:val="004C4E6D"/>
    <w:rsid w:val="004C4EE6"/>
    <w:rsid w:val="004C4F1A"/>
    <w:rsid w:val="004C504A"/>
    <w:rsid w:val="004C50BC"/>
    <w:rsid w:val="004C5125"/>
    <w:rsid w:val="004C5137"/>
    <w:rsid w:val="004C51A4"/>
    <w:rsid w:val="004C521A"/>
    <w:rsid w:val="004C5226"/>
    <w:rsid w:val="004C5258"/>
    <w:rsid w:val="004C529F"/>
    <w:rsid w:val="004C52B0"/>
    <w:rsid w:val="004C52D7"/>
    <w:rsid w:val="004C5300"/>
    <w:rsid w:val="004C538C"/>
    <w:rsid w:val="004C540C"/>
    <w:rsid w:val="004C5448"/>
    <w:rsid w:val="004C552B"/>
    <w:rsid w:val="004C559C"/>
    <w:rsid w:val="004C55C3"/>
    <w:rsid w:val="004C56BC"/>
    <w:rsid w:val="004C56CE"/>
    <w:rsid w:val="004C5728"/>
    <w:rsid w:val="004C574C"/>
    <w:rsid w:val="004C57C5"/>
    <w:rsid w:val="004C5806"/>
    <w:rsid w:val="004C584A"/>
    <w:rsid w:val="004C586F"/>
    <w:rsid w:val="004C58E8"/>
    <w:rsid w:val="004C5942"/>
    <w:rsid w:val="004C596C"/>
    <w:rsid w:val="004C5973"/>
    <w:rsid w:val="004C597C"/>
    <w:rsid w:val="004C5A07"/>
    <w:rsid w:val="004C5A6F"/>
    <w:rsid w:val="004C5AAA"/>
    <w:rsid w:val="004C5ACE"/>
    <w:rsid w:val="004C5BC5"/>
    <w:rsid w:val="004C5C17"/>
    <w:rsid w:val="004C5C54"/>
    <w:rsid w:val="004C5C92"/>
    <w:rsid w:val="004C5C99"/>
    <w:rsid w:val="004C5C9C"/>
    <w:rsid w:val="004C5CB7"/>
    <w:rsid w:val="004C5CBC"/>
    <w:rsid w:val="004C5CF4"/>
    <w:rsid w:val="004C5D2F"/>
    <w:rsid w:val="004C5D86"/>
    <w:rsid w:val="004C5DA4"/>
    <w:rsid w:val="004C5DC8"/>
    <w:rsid w:val="004C5E27"/>
    <w:rsid w:val="004C5E3D"/>
    <w:rsid w:val="004C5ECD"/>
    <w:rsid w:val="004C5ED7"/>
    <w:rsid w:val="004C5F59"/>
    <w:rsid w:val="004C5FAD"/>
    <w:rsid w:val="004C5FC4"/>
    <w:rsid w:val="004C6027"/>
    <w:rsid w:val="004C6197"/>
    <w:rsid w:val="004C62D5"/>
    <w:rsid w:val="004C6304"/>
    <w:rsid w:val="004C6424"/>
    <w:rsid w:val="004C65F5"/>
    <w:rsid w:val="004C66AF"/>
    <w:rsid w:val="004C66E2"/>
    <w:rsid w:val="004C67A9"/>
    <w:rsid w:val="004C67B1"/>
    <w:rsid w:val="004C6839"/>
    <w:rsid w:val="004C6874"/>
    <w:rsid w:val="004C6883"/>
    <w:rsid w:val="004C68D6"/>
    <w:rsid w:val="004C68E8"/>
    <w:rsid w:val="004C69AC"/>
    <w:rsid w:val="004C69BE"/>
    <w:rsid w:val="004C69DB"/>
    <w:rsid w:val="004C69F7"/>
    <w:rsid w:val="004C69FB"/>
    <w:rsid w:val="004C6AF5"/>
    <w:rsid w:val="004C6B36"/>
    <w:rsid w:val="004C6B42"/>
    <w:rsid w:val="004C6C47"/>
    <w:rsid w:val="004C6C53"/>
    <w:rsid w:val="004C6CDF"/>
    <w:rsid w:val="004C6CF3"/>
    <w:rsid w:val="004C6CF7"/>
    <w:rsid w:val="004C6D01"/>
    <w:rsid w:val="004C6D1F"/>
    <w:rsid w:val="004C6D29"/>
    <w:rsid w:val="004C6E69"/>
    <w:rsid w:val="004C6E73"/>
    <w:rsid w:val="004C6EC3"/>
    <w:rsid w:val="004C7039"/>
    <w:rsid w:val="004C70E2"/>
    <w:rsid w:val="004C7123"/>
    <w:rsid w:val="004C717D"/>
    <w:rsid w:val="004C71D7"/>
    <w:rsid w:val="004C71D8"/>
    <w:rsid w:val="004C71DE"/>
    <w:rsid w:val="004C71F3"/>
    <w:rsid w:val="004C720F"/>
    <w:rsid w:val="004C7229"/>
    <w:rsid w:val="004C725C"/>
    <w:rsid w:val="004C72CE"/>
    <w:rsid w:val="004C72EE"/>
    <w:rsid w:val="004C7306"/>
    <w:rsid w:val="004C73C0"/>
    <w:rsid w:val="004C7420"/>
    <w:rsid w:val="004C743F"/>
    <w:rsid w:val="004C7448"/>
    <w:rsid w:val="004C748D"/>
    <w:rsid w:val="004C74CA"/>
    <w:rsid w:val="004C752C"/>
    <w:rsid w:val="004C7551"/>
    <w:rsid w:val="004C7650"/>
    <w:rsid w:val="004C765B"/>
    <w:rsid w:val="004C7686"/>
    <w:rsid w:val="004C76BB"/>
    <w:rsid w:val="004C773C"/>
    <w:rsid w:val="004C778E"/>
    <w:rsid w:val="004C7844"/>
    <w:rsid w:val="004C7873"/>
    <w:rsid w:val="004C78E2"/>
    <w:rsid w:val="004C7912"/>
    <w:rsid w:val="004C799A"/>
    <w:rsid w:val="004C79EB"/>
    <w:rsid w:val="004C7A3D"/>
    <w:rsid w:val="004C7A50"/>
    <w:rsid w:val="004C7AB8"/>
    <w:rsid w:val="004C7B24"/>
    <w:rsid w:val="004C7B99"/>
    <w:rsid w:val="004C7BB5"/>
    <w:rsid w:val="004C7BF7"/>
    <w:rsid w:val="004C7C01"/>
    <w:rsid w:val="004C7C12"/>
    <w:rsid w:val="004C7C45"/>
    <w:rsid w:val="004C7C7F"/>
    <w:rsid w:val="004C7C99"/>
    <w:rsid w:val="004C7CAA"/>
    <w:rsid w:val="004C7D26"/>
    <w:rsid w:val="004C7DF2"/>
    <w:rsid w:val="004C7E25"/>
    <w:rsid w:val="004C7E4D"/>
    <w:rsid w:val="004C7E75"/>
    <w:rsid w:val="004C7F06"/>
    <w:rsid w:val="004C7F26"/>
    <w:rsid w:val="004C7F84"/>
    <w:rsid w:val="004C7FDD"/>
    <w:rsid w:val="004D0056"/>
    <w:rsid w:val="004D005B"/>
    <w:rsid w:val="004D00EC"/>
    <w:rsid w:val="004D0139"/>
    <w:rsid w:val="004D0141"/>
    <w:rsid w:val="004D0153"/>
    <w:rsid w:val="004D01AF"/>
    <w:rsid w:val="004D01D4"/>
    <w:rsid w:val="004D022D"/>
    <w:rsid w:val="004D0234"/>
    <w:rsid w:val="004D02AC"/>
    <w:rsid w:val="004D02B8"/>
    <w:rsid w:val="004D02C2"/>
    <w:rsid w:val="004D02E4"/>
    <w:rsid w:val="004D02F2"/>
    <w:rsid w:val="004D02FD"/>
    <w:rsid w:val="004D030F"/>
    <w:rsid w:val="004D035B"/>
    <w:rsid w:val="004D043F"/>
    <w:rsid w:val="004D04A5"/>
    <w:rsid w:val="004D04AB"/>
    <w:rsid w:val="004D04C0"/>
    <w:rsid w:val="004D05B2"/>
    <w:rsid w:val="004D05D2"/>
    <w:rsid w:val="004D0629"/>
    <w:rsid w:val="004D062E"/>
    <w:rsid w:val="004D065E"/>
    <w:rsid w:val="004D07D5"/>
    <w:rsid w:val="004D0834"/>
    <w:rsid w:val="004D08BD"/>
    <w:rsid w:val="004D0964"/>
    <w:rsid w:val="004D096C"/>
    <w:rsid w:val="004D09E1"/>
    <w:rsid w:val="004D0A42"/>
    <w:rsid w:val="004D0AE5"/>
    <w:rsid w:val="004D0C39"/>
    <w:rsid w:val="004D0C69"/>
    <w:rsid w:val="004D0C7B"/>
    <w:rsid w:val="004D0CE6"/>
    <w:rsid w:val="004D0D4E"/>
    <w:rsid w:val="004D0D69"/>
    <w:rsid w:val="004D0DA7"/>
    <w:rsid w:val="004D0E13"/>
    <w:rsid w:val="004D0E96"/>
    <w:rsid w:val="004D0EA4"/>
    <w:rsid w:val="004D0EBE"/>
    <w:rsid w:val="004D0ECE"/>
    <w:rsid w:val="004D0EFD"/>
    <w:rsid w:val="004D1038"/>
    <w:rsid w:val="004D10A1"/>
    <w:rsid w:val="004D10CB"/>
    <w:rsid w:val="004D10FC"/>
    <w:rsid w:val="004D1158"/>
    <w:rsid w:val="004D126B"/>
    <w:rsid w:val="004D12B2"/>
    <w:rsid w:val="004D12C3"/>
    <w:rsid w:val="004D12DE"/>
    <w:rsid w:val="004D12E1"/>
    <w:rsid w:val="004D12F1"/>
    <w:rsid w:val="004D12FE"/>
    <w:rsid w:val="004D1317"/>
    <w:rsid w:val="004D1416"/>
    <w:rsid w:val="004D1454"/>
    <w:rsid w:val="004D1482"/>
    <w:rsid w:val="004D1662"/>
    <w:rsid w:val="004D167A"/>
    <w:rsid w:val="004D1692"/>
    <w:rsid w:val="004D16D3"/>
    <w:rsid w:val="004D1753"/>
    <w:rsid w:val="004D1770"/>
    <w:rsid w:val="004D1793"/>
    <w:rsid w:val="004D17B9"/>
    <w:rsid w:val="004D17DF"/>
    <w:rsid w:val="004D1986"/>
    <w:rsid w:val="004D198D"/>
    <w:rsid w:val="004D1A4E"/>
    <w:rsid w:val="004D1A9F"/>
    <w:rsid w:val="004D1AAD"/>
    <w:rsid w:val="004D1AE0"/>
    <w:rsid w:val="004D1B1B"/>
    <w:rsid w:val="004D1B2B"/>
    <w:rsid w:val="004D1B7A"/>
    <w:rsid w:val="004D1B83"/>
    <w:rsid w:val="004D1B90"/>
    <w:rsid w:val="004D1BCE"/>
    <w:rsid w:val="004D1C01"/>
    <w:rsid w:val="004D1C09"/>
    <w:rsid w:val="004D1C19"/>
    <w:rsid w:val="004D1C22"/>
    <w:rsid w:val="004D1C24"/>
    <w:rsid w:val="004D1C84"/>
    <w:rsid w:val="004D1C86"/>
    <w:rsid w:val="004D1D9F"/>
    <w:rsid w:val="004D1DB7"/>
    <w:rsid w:val="004D1E08"/>
    <w:rsid w:val="004D1EB8"/>
    <w:rsid w:val="004D1F42"/>
    <w:rsid w:val="004D1F7C"/>
    <w:rsid w:val="004D1F7E"/>
    <w:rsid w:val="004D1FDE"/>
    <w:rsid w:val="004D2008"/>
    <w:rsid w:val="004D2013"/>
    <w:rsid w:val="004D20A2"/>
    <w:rsid w:val="004D20DD"/>
    <w:rsid w:val="004D20E5"/>
    <w:rsid w:val="004D21A8"/>
    <w:rsid w:val="004D21E1"/>
    <w:rsid w:val="004D21F9"/>
    <w:rsid w:val="004D2263"/>
    <w:rsid w:val="004D2272"/>
    <w:rsid w:val="004D227A"/>
    <w:rsid w:val="004D229B"/>
    <w:rsid w:val="004D2300"/>
    <w:rsid w:val="004D2303"/>
    <w:rsid w:val="004D2334"/>
    <w:rsid w:val="004D2399"/>
    <w:rsid w:val="004D2422"/>
    <w:rsid w:val="004D2441"/>
    <w:rsid w:val="004D24D3"/>
    <w:rsid w:val="004D24DD"/>
    <w:rsid w:val="004D262E"/>
    <w:rsid w:val="004D2670"/>
    <w:rsid w:val="004D267A"/>
    <w:rsid w:val="004D268B"/>
    <w:rsid w:val="004D26A6"/>
    <w:rsid w:val="004D26FA"/>
    <w:rsid w:val="004D2700"/>
    <w:rsid w:val="004D2730"/>
    <w:rsid w:val="004D274A"/>
    <w:rsid w:val="004D27CA"/>
    <w:rsid w:val="004D280A"/>
    <w:rsid w:val="004D285F"/>
    <w:rsid w:val="004D2895"/>
    <w:rsid w:val="004D28AB"/>
    <w:rsid w:val="004D292F"/>
    <w:rsid w:val="004D2976"/>
    <w:rsid w:val="004D2977"/>
    <w:rsid w:val="004D29E4"/>
    <w:rsid w:val="004D29F9"/>
    <w:rsid w:val="004D2A8D"/>
    <w:rsid w:val="004D2AA6"/>
    <w:rsid w:val="004D2B6D"/>
    <w:rsid w:val="004D2C41"/>
    <w:rsid w:val="004D2C7B"/>
    <w:rsid w:val="004D2CD0"/>
    <w:rsid w:val="004D2D7E"/>
    <w:rsid w:val="004D2DF7"/>
    <w:rsid w:val="004D2E1A"/>
    <w:rsid w:val="004D2E74"/>
    <w:rsid w:val="004D2EF6"/>
    <w:rsid w:val="004D2F31"/>
    <w:rsid w:val="004D2F78"/>
    <w:rsid w:val="004D2FE0"/>
    <w:rsid w:val="004D3009"/>
    <w:rsid w:val="004D3056"/>
    <w:rsid w:val="004D307F"/>
    <w:rsid w:val="004D30B8"/>
    <w:rsid w:val="004D315F"/>
    <w:rsid w:val="004D320C"/>
    <w:rsid w:val="004D3223"/>
    <w:rsid w:val="004D3258"/>
    <w:rsid w:val="004D32BF"/>
    <w:rsid w:val="004D32DA"/>
    <w:rsid w:val="004D32EE"/>
    <w:rsid w:val="004D3334"/>
    <w:rsid w:val="004D3360"/>
    <w:rsid w:val="004D3367"/>
    <w:rsid w:val="004D3371"/>
    <w:rsid w:val="004D3386"/>
    <w:rsid w:val="004D33A7"/>
    <w:rsid w:val="004D340A"/>
    <w:rsid w:val="004D3437"/>
    <w:rsid w:val="004D3505"/>
    <w:rsid w:val="004D355F"/>
    <w:rsid w:val="004D3581"/>
    <w:rsid w:val="004D358D"/>
    <w:rsid w:val="004D359F"/>
    <w:rsid w:val="004D3659"/>
    <w:rsid w:val="004D36A7"/>
    <w:rsid w:val="004D36BD"/>
    <w:rsid w:val="004D36EE"/>
    <w:rsid w:val="004D36F3"/>
    <w:rsid w:val="004D3709"/>
    <w:rsid w:val="004D3712"/>
    <w:rsid w:val="004D37BC"/>
    <w:rsid w:val="004D37C0"/>
    <w:rsid w:val="004D37E8"/>
    <w:rsid w:val="004D385C"/>
    <w:rsid w:val="004D3870"/>
    <w:rsid w:val="004D38F8"/>
    <w:rsid w:val="004D38FC"/>
    <w:rsid w:val="004D3947"/>
    <w:rsid w:val="004D3969"/>
    <w:rsid w:val="004D39B6"/>
    <w:rsid w:val="004D39C0"/>
    <w:rsid w:val="004D3A86"/>
    <w:rsid w:val="004D3AC3"/>
    <w:rsid w:val="004D3B19"/>
    <w:rsid w:val="004D3BC9"/>
    <w:rsid w:val="004D3C90"/>
    <w:rsid w:val="004D3CD5"/>
    <w:rsid w:val="004D3D66"/>
    <w:rsid w:val="004D3DBA"/>
    <w:rsid w:val="004D3DD6"/>
    <w:rsid w:val="004D3DE6"/>
    <w:rsid w:val="004D3E35"/>
    <w:rsid w:val="004D3E6B"/>
    <w:rsid w:val="004D3ED3"/>
    <w:rsid w:val="004D3EE3"/>
    <w:rsid w:val="004D3F64"/>
    <w:rsid w:val="004D402D"/>
    <w:rsid w:val="004D4088"/>
    <w:rsid w:val="004D40A2"/>
    <w:rsid w:val="004D40D1"/>
    <w:rsid w:val="004D40D7"/>
    <w:rsid w:val="004D40F2"/>
    <w:rsid w:val="004D416E"/>
    <w:rsid w:val="004D41A2"/>
    <w:rsid w:val="004D4257"/>
    <w:rsid w:val="004D43EF"/>
    <w:rsid w:val="004D444B"/>
    <w:rsid w:val="004D446D"/>
    <w:rsid w:val="004D44CD"/>
    <w:rsid w:val="004D4554"/>
    <w:rsid w:val="004D4588"/>
    <w:rsid w:val="004D45CA"/>
    <w:rsid w:val="004D45FF"/>
    <w:rsid w:val="004D461E"/>
    <w:rsid w:val="004D469E"/>
    <w:rsid w:val="004D46C5"/>
    <w:rsid w:val="004D46C6"/>
    <w:rsid w:val="004D4721"/>
    <w:rsid w:val="004D4808"/>
    <w:rsid w:val="004D48DA"/>
    <w:rsid w:val="004D497E"/>
    <w:rsid w:val="004D4991"/>
    <w:rsid w:val="004D499D"/>
    <w:rsid w:val="004D4A51"/>
    <w:rsid w:val="004D4A8B"/>
    <w:rsid w:val="004D4AA3"/>
    <w:rsid w:val="004D4AE0"/>
    <w:rsid w:val="004D4B39"/>
    <w:rsid w:val="004D4B5D"/>
    <w:rsid w:val="004D4B95"/>
    <w:rsid w:val="004D4C6E"/>
    <w:rsid w:val="004D4CB9"/>
    <w:rsid w:val="004D4CD3"/>
    <w:rsid w:val="004D4D47"/>
    <w:rsid w:val="004D4D8B"/>
    <w:rsid w:val="004D4DC5"/>
    <w:rsid w:val="004D4DD8"/>
    <w:rsid w:val="004D4E2A"/>
    <w:rsid w:val="004D4ECF"/>
    <w:rsid w:val="004D4EE5"/>
    <w:rsid w:val="004D4EEA"/>
    <w:rsid w:val="004D4F7C"/>
    <w:rsid w:val="004D4F9D"/>
    <w:rsid w:val="004D4FE2"/>
    <w:rsid w:val="004D4FF8"/>
    <w:rsid w:val="004D4FFA"/>
    <w:rsid w:val="004D5076"/>
    <w:rsid w:val="004D50EF"/>
    <w:rsid w:val="004D5126"/>
    <w:rsid w:val="004D515A"/>
    <w:rsid w:val="004D519B"/>
    <w:rsid w:val="004D52F4"/>
    <w:rsid w:val="004D541E"/>
    <w:rsid w:val="004D5519"/>
    <w:rsid w:val="004D5582"/>
    <w:rsid w:val="004D559B"/>
    <w:rsid w:val="004D55EA"/>
    <w:rsid w:val="004D566D"/>
    <w:rsid w:val="004D567E"/>
    <w:rsid w:val="004D56EC"/>
    <w:rsid w:val="004D5776"/>
    <w:rsid w:val="004D579F"/>
    <w:rsid w:val="004D57F9"/>
    <w:rsid w:val="004D583C"/>
    <w:rsid w:val="004D584E"/>
    <w:rsid w:val="004D5904"/>
    <w:rsid w:val="004D5921"/>
    <w:rsid w:val="004D59C1"/>
    <w:rsid w:val="004D5A35"/>
    <w:rsid w:val="004D5AFC"/>
    <w:rsid w:val="004D5B55"/>
    <w:rsid w:val="004D5B7E"/>
    <w:rsid w:val="004D5BD4"/>
    <w:rsid w:val="004D5C74"/>
    <w:rsid w:val="004D5CA5"/>
    <w:rsid w:val="004D5D59"/>
    <w:rsid w:val="004D5DA4"/>
    <w:rsid w:val="004D5DBA"/>
    <w:rsid w:val="004D5E1F"/>
    <w:rsid w:val="004D5E2B"/>
    <w:rsid w:val="004D5E54"/>
    <w:rsid w:val="004D5E62"/>
    <w:rsid w:val="004D5F90"/>
    <w:rsid w:val="004D600B"/>
    <w:rsid w:val="004D60AA"/>
    <w:rsid w:val="004D60C5"/>
    <w:rsid w:val="004D618B"/>
    <w:rsid w:val="004D61A0"/>
    <w:rsid w:val="004D61AD"/>
    <w:rsid w:val="004D61F6"/>
    <w:rsid w:val="004D6234"/>
    <w:rsid w:val="004D62A2"/>
    <w:rsid w:val="004D62CD"/>
    <w:rsid w:val="004D635E"/>
    <w:rsid w:val="004D63CD"/>
    <w:rsid w:val="004D63D1"/>
    <w:rsid w:val="004D6438"/>
    <w:rsid w:val="004D6461"/>
    <w:rsid w:val="004D64D9"/>
    <w:rsid w:val="004D650E"/>
    <w:rsid w:val="004D6568"/>
    <w:rsid w:val="004D65A7"/>
    <w:rsid w:val="004D6612"/>
    <w:rsid w:val="004D66B4"/>
    <w:rsid w:val="004D66DF"/>
    <w:rsid w:val="004D673B"/>
    <w:rsid w:val="004D6748"/>
    <w:rsid w:val="004D678A"/>
    <w:rsid w:val="004D67F8"/>
    <w:rsid w:val="004D6819"/>
    <w:rsid w:val="004D6889"/>
    <w:rsid w:val="004D68BF"/>
    <w:rsid w:val="004D68D1"/>
    <w:rsid w:val="004D6972"/>
    <w:rsid w:val="004D69DE"/>
    <w:rsid w:val="004D6A12"/>
    <w:rsid w:val="004D6A5D"/>
    <w:rsid w:val="004D6A69"/>
    <w:rsid w:val="004D6B1C"/>
    <w:rsid w:val="004D6B81"/>
    <w:rsid w:val="004D6C69"/>
    <w:rsid w:val="004D6C84"/>
    <w:rsid w:val="004D6D41"/>
    <w:rsid w:val="004D6D7E"/>
    <w:rsid w:val="004D6EA3"/>
    <w:rsid w:val="004D6EA4"/>
    <w:rsid w:val="004D6EBF"/>
    <w:rsid w:val="004D6EC0"/>
    <w:rsid w:val="004D6F64"/>
    <w:rsid w:val="004D6F6E"/>
    <w:rsid w:val="004D6FB6"/>
    <w:rsid w:val="004D6FD9"/>
    <w:rsid w:val="004D7090"/>
    <w:rsid w:val="004D70B0"/>
    <w:rsid w:val="004D70D0"/>
    <w:rsid w:val="004D7132"/>
    <w:rsid w:val="004D715D"/>
    <w:rsid w:val="004D7188"/>
    <w:rsid w:val="004D71B6"/>
    <w:rsid w:val="004D7241"/>
    <w:rsid w:val="004D72BA"/>
    <w:rsid w:val="004D72D0"/>
    <w:rsid w:val="004D735E"/>
    <w:rsid w:val="004D73D2"/>
    <w:rsid w:val="004D753E"/>
    <w:rsid w:val="004D757F"/>
    <w:rsid w:val="004D7602"/>
    <w:rsid w:val="004D7651"/>
    <w:rsid w:val="004D7696"/>
    <w:rsid w:val="004D76BB"/>
    <w:rsid w:val="004D76FA"/>
    <w:rsid w:val="004D7711"/>
    <w:rsid w:val="004D77C2"/>
    <w:rsid w:val="004D7821"/>
    <w:rsid w:val="004D793C"/>
    <w:rsid w:val="004D7958"/>
    <w:rsid w:val="004D795E"/>
    <w:rsid w:val="004D796C"/>
    <w:rsid w:val="004D799E"/>
    <w:rsid w:val="004D7A51"/>
    <w:rsid w:val="004D7AE1"/>
    <w:rsid w:val="004D7B50"/>
    <w:rsid w:val="004D7BE2"/>
    <w:rsid w:val="004D7C08"/>
    <w:rsid w:val="004D7C54"/>
    <w:rsid w:val="004D7CE7"/>
    <w:rsid w:val="004D7CF4"/>
    <w:rsid w:val="004D7D39"/>
    <w:rsid w:val="004D7D4C"/>
    <w:rsid w:val="004D7D6E"/>
    <w:rsid w:val="004D7D71"/>
    <w:rsid w:val="004D7DAB"/>
    <w:rsid w:val="004D7DB1"/>
    <w:rsid w:val="004D7DE1"/>
    <w:rsid w:val="004D7E59"/>
    <w:rsid w:val="004D7EB9"/>
    <w:rsid w:val="004D7F02"/>
    <w:rsid w:val="004D7F09"/>
    <w:rsid w:val="004D7F14"/>
    <w:rsid w:val="004D7F3F"/>
    <w:rsid w:val="004D7F56"/>
    <w:rsid w:val="004D7F84"/>
    <w:rsid w:val="004E0048"/>
    <w:rsid w:val="004E005F"/>
    <w:rsid w:val="004E0088"/>
    <w:rsid w:val="004E00AB"/>
    <w:rsid w:val="004E00FD"/>
    <w:rsid w:val="004E0108"/>
    <w:rsid w:val="004E0150"/>
    <w:rsid w:val="004E01A0"/>
    <w:rsid w:val="004E01B5"/>
    <w:rsid w:val="004E0287"/>
    <w:rsid w:val="004E02B2"/>
    <w:rsid w:val="004E034A"/>
    <w:rsid w:val="004E0354"/>
    <w:rsid w:val="004E038F"/>
    <w:rsid w:val="004E03EE"/>
    <w:rsid w:val="004E03F1"/>
    <w:rsid w:val="004E04DA"/>
    <w:rsid w:val="004E04E6"/>
    <w:rsid w:val="004E0560"/>
    <w:rsid w:val="004E057A"/>
    <w:rsid w:val="004E05BA"/>
    <w:rsid w:val="004E0622"/>
    <w:rsid w:val="004E066E"/>
    <w:rsid w:val="004E0677"/>
    <w:rsid w:val="004E06B3"/>
    <w:rsid w:val="004E06CA"/>
    <w:rsid w:val="004E06D1"/>
    <w:rsid w:val="004E06FF"/>
    <w:rsid w:val="004E073B"/>
    <w:rsid w:val="004E0883"/>
    <w:rsid w:val="004E08AA"/>
    <w:rsid w:val="004E096D"/>
    <w:rsid w:val="004E09EC"/>
    <w:rsid w:val="004E0BD5"/>
    <w:rsid w:val="004E0C25"/>
    <w:rsid w:val="004E0C3B"/>
    <w:rsid w:val="004E0C3F"/>
    <w:rsid w:val="004E0CD6"/>
    <w:rsid w:val="004E0CFF"/>
    <w:rsid w:val="004E0D2B"/>
    <w:rsid w:val="004E0D3C"/>
    <w:rsid w:val="004E0D8A"/>
    <w:rsid w:val="004E0D90"/>
    <w:rsid w:val="004E0D9E"/>
    <w:rsid w:val="004E0DDD"/>
    <w:rsid w:val="004E0E1C"/>
    <w:rsid w:val="004E0EA0"/>
    <w:rsid w:val="004E0EF1"/>
    <w:rsid w:val="004E0FF5"/>
    <w:rsid w:val="004E1044"/>
    <w:rsid w:val="004E1050"/>
    <w:rsid w:val="004E10C0"/>
    <w:rsid w:val="004E115F"/>
    <w:rsid w:val="004E11FB"/>
    <w:rsid w:val="004E1205"/>
    <w:rsid w:val="004E128A"/>
    <w:rsid w:val="004E12D0"/>
    <w:rsid w:val="004E135B"/>
    <w:rsid w:val="004E138D"/>
    <w:rsid w:val="004E1459"/>
    <w:rsid w:val="004E147E"/>
    <w:rsid w:val="004E1480"/>
    <w:rsid w:val="004E148C"/>
    <w:rsid w:val="004E159E"/>
    <w:rsid w:val="004E15B4"/>
    <w:rsid w:val="004E15E6"/>
    <w:rsid w:val="004E15EB"/>
    <w:rsid w:val="004E15F3"/>
    <w:rsid w:val="004E1604"/>
    <w:rsid w:val="004E1606"/>
    <w:rsid w:val="004E1681"/>
    <w:rsid w:val="004E1687"/>
    <w:rsid w:val="004E1689"/>
    <w:rsid w:val="004E1699"/>
    <w:rsid w:val="004E179E"/>
    <w:rsid w:val="004E17AB"/>
    <w:rsid w:val="004E1824"/>
    <w:rsid w:val="004E183A"/>
    <w:rsid w:val="004E1890"/>
    <w:rsid w:val="004E18F5"/>
    <w:rsid w:val="004E190C"/>
    <w:rsid w:val="004E1924"/>
    <w:rsid w:val="004E19DE"/>
    <w:rsid w:val="004E1ACC"/>
    <w:rsid w:val="004E1B43"/>
    <w:rsid w:val="004E1BCF"/>
    <w:rsid w:val="004E1BF1"/>
    <w:rsid w:val="004E1C33"/>
    <w:rsid w:val="004E1C3B"/>
    <w:rsid w:val="004E1CB7"/>
    <w:rsid w:val="004E1CC6"/>
    <w:rsid w:val="004E1D41"/>
    <w:rsid w:val="004E1DAF"/>
    <w:rsid w:val="004E1DBC"/>
    <w:rsid w:val="004E1EB6"/>
    <w:rsid w:val="004E1ED2"/>
    <w:rsid w:val="004E1EF2"/>
    <w:rsid w:val="004E1FB0"/>
    <w:rsid w:val="004E203B"/>
    <w:rsid w:val="004E20F0"/>
    <w:rsid w:val="004E2109"/>
    <w:rsid w:val="004E2122"/>
    <w:rsid w:val="004E2162"/>
    <w:rsid w:val="004E21D1"/>
    <w:rsid w:val="004E224E"/>
    <w:rsid w:val="004E2269"/>
    <w:rsid w:val="004E2279"/>
    <w:rsid w:val="004E22B8"/>
    <w:rsid w:val="004E22E5"/>
    <w:rsid w:val="004E22E6"/>
    <w:rsid w:val="004E23CF"/>
    <w:rsid w:val="004E23E4"/>
    <w:rsid w:val="004E2403"/>
    <w:rsid w:val="004E2459"/>
    <w:rsid w:val="004E249C"/>
    <w:rsid w:val="004E24BB"/>
    <w:rsid w:val="004E24F8"/>
    <w:rsid w:val="004E25E2"/>
    <w:rsid w:val="004E25F6"/>
    <w:rsid w:val="004E260A"/>
    <w:rsid w:val="004E2655"/>
    <w:rsid w:val="004E26A2"/>
    <w:rsid w:val="004E26C5"/>
    <w:rsid w:val="004E271F"/>
    <w:rsid w:val="004E2759"/>
    <w:rsid w:val="004E283A"/>
    <w:rsid w:val="004E28DF"/>
    <w:rsid w:val="004E2917"/>
    <w:rsid w:val="004E29D5"/>
    <w:rsid w:val="004E2A04"/>
    <w:rsid w:val="004E2AF1"/>
    <w:rsid w:val="004E2B71"/>
    <w:rsid w:val="004E2BB3"/>
    <w:rsid w:val="004E2BFD"/>
    <w:rsid w:val="004E2C2E"/>
    <w:rsid w:val="004E2CBB"/>
    <w:rsid w:val="004E2CE0"/>
    <w:rsid w:val="004E2D36"/>
    <w:rsid w:val="004E2D5D"/>
    <w:rsid w:val="004E2E4C"/>
    <w:rsid w:val="004E300A"/>
    <w:rsid w:val="004E3021"/>
    <w:rsid w:val="004E306D"/>
    <w:rsid w:val="004E3091"/>
    <w:rsid w:val="004E312C"/>
    <w:rsid w:val="004E31A0"/>
    <w:rsid w:val="004E3282"/>
    <w:rsid w:val="004E33B2"/>
    <w:rsid w:val="004E33FF"/>
    <w:rsid w:val="004E341C"/>
    <w:rsid w:val="004E342B"/>
    <w:rsid w:val="004E3460"/>
    <w:rsid w:val="004E35B0"/>
    <w:rsid w:val="004E35BC"/>
    <w:rsid w:val="004E360A"/>
    <w:rsid w:val="004E368F"/>
    <w:rsid w:val="004E373F"/>
    <w:rsid w:val="004E37B0"/>
    <w:rsid w:val="004E3863"/>
    <w:rsid w:val="004E389C"/>
    <w:rsid w:val="004E3A1E"/>
    <w:rsid w:val="004E3ACF"/>
    <w:rsid w:val="004E3B35"/>
    <w:rsid w:val="004E3B9E"/>
    <w:rsid w:val="004E3BBC"/>
    <w:rsid w:val="004E3BCB"/>
    <w:rsid w:val="004E3C10"/>
    <w:rsid w:val="004E3C72"/>
    <w:rsid w:val="004E3C9F"/>
    <w:rsid w:val="004E3D37"/>
    <w:rsid w:val="004E3DE3"/>
    <w:rsid w:val="004E3E31"/>
    <w:rsid w:val="004E3E49"/>
    <w:rsid w:val="004E3E5B"/>
    <w:rsid w:val="004E3E69"/>
    <w:rsid w:val="004E3EEF"/>
    <w:rsid w:val="004E3F7D"/>
    <w:rsid w:val="004E3F9A"/>
    <w:rsid w:val="004E3FB4"/>
    <w:rsid w:val="004E3FBC"/>
    <w:rsid w:val="004E3FEA"/>
    <w:rsid w:val="004E3FF7"/>
    <w:rsid w:val="004E3FFD"/>
    <w:rsid w:val="004E4010"/>
    <w:rsid w:val="004E4167"/>
    <w:rsid w:val="004E41F4"/>
    <w:rsid w:val="004E4286"/>
    <w:rsid w:val="004E429E"/>
    <w:rsid w:val="004E42AD"/>
    <w:rsid w:val="004E42CA"/>
    <w:rsid w:val="004E42FF"/>
    <w:rsid w:val="004E4300"/>
    <w:rsid w:val="004E4387"/>
    <w:rsid w:val="004E439E"/>
    <w:rsid w:val="004E43BD"/>
    <w:rsid w:val="004E4478"/>
    <w:rsid w:val="004E4488"/>
    <w:rsid w:val="004E44C2"/>
    <w:rsid w:val="004E451F"/>
    <w:rsid w:val="004E4590"/>
    <w:rsid w:val="004E45BF"/>
    <w:rsid w:val="004E45DA"/>
    <w:rsid w:val="004E46A6"/>
    <w:rsid w:val="004E4705"/>
    <w:rsid w:val="004E470A"/>
    <w:rsid w:val="004E4787"/>
    <w:rsid w:val="004E47B5"/>
    <w:rsid w:val="004E4812"/>
    <w:rsid w:val="004E4815"/>
    <w:rsid w:val="004E4820"/>
    <w:rsid w:val="004E4866"/>
    <w:rsid w:val="004E48A1"/>
    <w:rsid w:val="004E48F3"/>
    <w:rsid w:val="004E4906"/>
    <w:rsid w:val="004E492F"/>
    <w:rsid w:val="004E49C8"/>
    <w:rsid w:val="004E49E4"/>
    <w:rsid w:val="004E49FB"/>
    <w:rsid w:val="004E4AA1"/>
    <w:rsid w:val="004E4B65"/>
    <w:rsid w:val="004E4C01"/>
    <w:rsid w:val="004E4CC8"/>
    <w:rsid w:val="004E4D1A"/>
    <w:rsid w:val="004E4D28"/>
    <w:rsid w:val="004E4DB8"/>
    <w:rsid w:val="004E4DE9"/>
    <w:rsid w:val="004E4E38"/>
    <w:rsid w:val="004E4E4F"/>
    <w:rsid w:val="004E4E76"/>
    <w:rsid w:val="004E4E95"/>
    <w:rsid w:val="004E4ECE"/>
    <w:rsid w:val="004E4F5E"/>
    <w:rsid w:val="004E4FD1"/>
    <w:rsid w:val="004E4FD5"/>
    <w:rsid w:val="004E4FE1"/>
    <w:rsid w:val="004E4FF4"/>
    <w:rsid w:val="004E500C"/>
    <w:rsid w:val="004E50E4"/>
    <w:rsid w:val="004E5109"/>
    <w:rsid w:val="004E513B"/>
    <w:rsid w:val="004E523D"/>
    <w:rsid w:val="004E5295"/>
    <w:rsid w:val="004E52B3"/>
    <w:rsid w:val="004E52C6"/>
    <w:rsid w:val="004E52D5"/>
    <w:rsid w:val="004E5386"/>
    <w:rsid w:val="004E5452"/>
    <w:rsid w:val="004E547F"/>
    <w:rsid w:val="004E5490"/>
    <w:rsid w:val="004E54B5"/>
    <w:rsid w:val="004E54B7"/>
    <w:rsid w:val="004E54D2"/>
    <w:rsid w:val="004E54E2"/>
    <w:rsid w:val="004E54F8"/>
    <w:rsid w:val="004E554A"/>
    <w:rsid w:val="004E561E"/>
    <w:rsid w:val="004E563B"/>
    <w:rsid w:val="004E56FF"/>
    <w:rsid w:val="004E5707"/>
    <w:rsid w:val="004E5728"/>
    <w:rsid w:val="004E574E"/>
    <w:rsid w:val="004E5769"/>
    <w:rsid w:val="004E57C8"/>
    <w:rsid w:val="004E5849"/>
    <w:rsid w:val="004E58D6"/>
    <w:rsid w:val="004E5902"/>
    <w:rsid w:val="004E594E"/>
    <w:rsid w:val="004E59DC"/>
    <w:rsid w:val="004E59EA"/>
    <w:rsid w:val="004E5A1C"/>
    <w:rsid w:val="004E5A68"/>
    <w:rsid w:val="004E5A83"/>
    <w:rsid w:val="004E5B0B"/>
    <w:rsid w:val="004E5B5D"/>
    <w:rsid w:val="004E5DB6"/>
    <w:rsid w:val="004E5E22"/>
    <w:rsid w:val="004E5E2D"/>
    <w:rsid w:val="004E5E36"/>
    <w:rsid w:val="004E5E5E"/>
    <w:rsid w:val="004E5EC1"/>
    <w:rsid w:val="004E5EC7"/>
    <w:rsid w:val="004E5EEA"/>
    <w:rsid w:val="004E5F4F"/>
    <w:rsid w:val="004E5F60"/>
    <w:rsid w:val="004E5F73"/>
    <w:rsid w:val="004E5F76"/>
    <w:rsid w:val="004E6068"/>
    <w:rsid w:val="004E606D"/>
    <w:rsid w:val="004E6160"/>
    <w:rsid w:val="004E6207"/>
    <w:rsid w:val="004E6227"/>
    <w:rsid w:val="004E62DD"/>
    <w:rsid w:val="004E631A"/>
    <w:rsid w:val="004E637E"/>
    <w:rsid w:val="004E63BB"/>
    <w:rsid w:val="004E64EB"/>
    <w:rsid w:val="004E64FF"/>
    <w:rsid w:val="004E657D"/>
    <w:rsid w:val="004E661E"/>
    <w:rsid w:val="004E671E"/>
    <w:rsid w:val="004E6791"/>
    <w:rsid w:val="004E67D5"/>
    <w:rsid w:val="004E6817"/>
    <w:rsid w:val="004E68D5"/>
    <w:rsid w:val="004E6953"/>
    <w:rsid w:val="004E6954"/>
    <w:rsid w:val="004E6959"/>
    <w:rsid w:val="004E69B1"/>
    <w:rsid w:val="004E6A16"/>
    <w:rsid w:val="004E6A50"/>
    <w:rsid w:val="004E6A71"/>
    <w:rsid w:val="004E6B03"/>
    <w:rsid w:val="004E6B32"/>
    <w:rsid w:val="004E6B75"/>
    <w:rsid w:val="004E6BEA"/>
    <w:rsid w:val="004E6C31"/>
    <w:rsid w:val="004E6D6C"/>
    <w:rsid w:val="004E6D71"/>
    <w:rsid w:val="004E6DA3"/>
    <w:rsid w:val="004E6DD8"/>
    <w:rsid w:val="004E6DE8"/>
    <w:rsid w:val="004E6E12"/>
    <w:rsid w:val="004E6E13"/>
    <w:rsid w:val="004E6E5A"/>
    <w:rsid w:val="004E6EAC"/>
    <w:rsid w:val="004E6ED4"/>
    <w:rsid w:val="004E6F34"/>
    <w:rsid w:val="004E6FCD"/>
    <w:rsid w:val="004E7084"/>
    <w:rsid w:val="004E70AA"/>
    <w:rsid w:val="004E70D6"/>
    <w:rsid w:val="004E7190"/>
    <w:rsid w:val="004E72A5"/>
    <w:rsid w:val="004E72D4"/>
    <w:rsid w:val="004E7366"/>
    <w:rsid w:val="004E7435"/>
    <w:rsid w:val="004E744F"/>
    <w:rsid w:val="004E7490"/>
    <w:rsid w:val="004E74D9"/>
    <w:rsid w:val="004E7515"/>
    <w:rsid w:val="004E7533"/>
    <w:rsid w:val="004E757F"/>
    <w:rsid w:val="004E75A9"/>
    <w:rsid w:val="004E7618"/>
    <w:rsid w:val="004E7623"/>
    <w:rsid w:val="004E7680"/>
    <w:rsid w:val="004E76C5"/>
    <w:rsid w:val="004E76C9"/>
    <w:rsid w:val="004E7746"/>
    <w:rsid w:val="004E777E"/>
    <w:rsid w:val="004E77A1"/>
    <w:rsid w:val="004E77B3"/>
    <w:rsid w:val="004E782F"/>
    <w:rsid w:val="004E783F"/>
    <w:rsid w:val="004E78D0"/>
    <w:rsid w:val="004E78F8"/>
    <w:rsid w:val="004E792F"/>
    <w:rsid w:val="004E7A16"/>
    <w:rsid w:val="004E7A2A"/>
    <w:rsid w:val="004E7A61"/>
    <w:rsid w:val="004E7AA0"/>
    <w:rsid w:val="004E7AF5"/>
    <w:rsid w:val="004E7B79"/>
    <w:rsid w:val="004E7BCF"/>
    <w:rsid w:val="004E7C18"/>
    <w:rsid w:val="004E7C93"/>
    <w:rsid w:val="004E7D09"/>
    <w:rsid w:val="004E7D49"/>
    <w:rsid w:val="004E7D55"/>
    <w:rsid w:val="004E7D5D"/>
    <w:rsid w:val="004E7D98"/>
    <w:rsid w:val="004E7DD4"/>
    <w:rsid w:val="004E7DF4"/>
    <w:rsid w:val="004E7E18"/>
    <w:rsid w:val="004E7E1B"/>
    <w:rsid w:val="004E7F23"/>
    <w:rsid w:val="004E7F56"/>
    <w:rsid w:val="004E7F66"/>
    <w:rsid w:val="004E7FDD"/>
    <w:rsid w:val="004F0001"/>
    <w:rsid w:val="004F0094"/>
    <w:rsid w:val="004F00A9"/>
    <w:rsid w:val="004F00AF"/>
    <w:rsid w:val="004F0188"/>
    <w:rsid w:val="004F01BA"/>
    <w:rsid w:val="004F01EA"/>
    <w:rsid w:val="004F02D8"/>
    <w:rsid w:val="004F02E1"/>
    <w:rsid w:val="004F032A"/>
    <w:rsid w:val="004F038D"/>
    <w:rsid w:val="004F03C8"/>
    <w:rsid w:val="004F03E3"/>
    <w:rsid w:val="004F0477"/>
    <w:rsid w:val="004F0496"/>
    <w:rsid w:val="004F049D"/>
    <w:rsid w:val="004F04A2"/>
    <w:rsid w:val="004F04AF"/>
    <w:rsid w:val="004F0554"/>
    <w:rsid w:val="004F0567"/>
    <w:rsid w:val="004F05D1"/>
    <w:rsid w:val="004F061F"/>
    <w:rsid w:val="004F069E"/>
    <w:rsid w:val="004F06B1"/>
    <w:rsid w:val="004F06F0"/>
    <w:rsid w:val="004F0706"/>
    <w:rsid w:val="004F070A"/>
    <w:rsid w:val="004F078A"/>
    <w:rsid w:val="004F07A5"/>
    <w:rsid w:val="004F0828"/>
    <w:rsid w:val="004F0931"/>
    <w:rsid w:val="004F093A"/>
    <w:rsid w:val="004F09BA"/>
    <w:rsid w:val="004F09C2"/>
    <w:rsid w:val="004F0ADC"/>
    <w:rsid w:val="004F0B10"/>
    <w:rsid w:val="004F0B2E"/>
    <w:rsid w:val="004F0B5E"/>
    <w:rsid w:val="004F0BAB"/>
    <w:rsid w:val="004F0BFA"/>
    <w:rsid w:val="004F0C20"/>
    <w:rsid w:val="004F0C28"/>
    <w:rsid w:val="004F0C35"/>
    <w:rsid w:val="004F0CB0"/>
    <w:rsid w:val="004F0CBC"/>
    <w:rsid w:val="004F0CD2"/>
    <w:rsid w:val="004F0CF1"/>
    <w:rsid w:val="004F0D71"/>
    <w:rsid w:val="004F0DBD"/>
    <w:rsid w:val="004F0E1D"/>
    <w:rsid w:val="004F0E25"/>
    <w:rsid w:val="004F0E34"/>
    <w:rsid w:val="004F0E4E"/>
    <w:rsid w:val="004F0E70"/>
    <w:rsid w:val="004F0E80"/>
    <w:rsid w:val="004F0EFC"/>
    <w:rsid w:val="004F0F29"/>
    <w:rsid w:val="004F0F6F"/>
    <w:rsid w:val="004F0FB9"/>
    <w:rsid w:val="004F10A3"/>
    <w:rsid w:val="004F1224"/>
    <w:rsid w:val="004F122F"/>
    <w:rsid w:val="004F12C9"/>
    <w:rsid w:val="004F12D7"/>
    <w:rsid w:val="004F1347"/>
    <w:rsid w:val="004F13A1"/>
    <w:rsid w:val="004F13BB"/>
    <w:rsid w:val="004F142B"/>
    <w:rsid w:val="004F1480"/>
    <w:rsid w:val="004F1497"/>
    <w:rsid w:val="004F151A"/>
    <w:rsid w:val="004F15BB"/>
    <w:rsid w:val="004F15EF"/>
    <w:rsid w:val="004F16AF"/>
    <w:rsid w:val="004F16B2"/>
    <w:rsid w:val="004F174F"/>
    <w:rsid w:val="004F17D1"/>
    <w:rsid w:val="004F183B"/>
    <w:rsid w:val="004F18A6"/>
    <w:rsid w:val="004F1913"/>
    <w:rsid w:val="004F194A"/>
    <w:rsid w:val="004F1965"/>
    <w:rsid w:val="004F1972"/>
    <w:rsid w:val="004F1981"/>
    <w:rsid w:val="004F19D6"/>
    <w:rsid w:val="004F19DB"/>
    <w:rsid w:val="004F1A12"/>
    <w:rsid w:val="004F1A3E"/>
    <w:rsid w:val="004F1A49"/>
    <w:rsid w:val="004F1A56"/>
    <w:rsid w:val="004F1A68"/>
    <w:rsid w:val="004F1ACD"/>
    <w:rsid w:val="004F1BA2"/>
    <w:rsid w:val="004F1BDB"/>
    <w:rsid w:val="004F1C35"/>
    <w:rsid w:val="004F1C36"/>
    <w:rsid w:val="004F1C64"/>
    <w:rsid w:val="004F1C6A"/>
    <w:rsid w:val="004F1C86"/>
    <w:rsid w:val="004F1CF4"/>
    <w:rsid w:val="004F1E14"/>
    <w:rsid w:val="004F1EAF"/>
    <w:rsid w:val="004F1FE3"/>
    <w:rsid w:val="004F2039"/>
    <w:rsid w:val="004F2176"/>
    <w:rsid w:val="004F217E"/>
    <w:rsid w:val="004F21CC"/>
    <w:rsid w:val="004F222D"/>
    <w:rsid w:val="004F227E"/>
    <w:rsid w:val="004F2296"/>
    <w:rsid w:val="004F22BC"/>
    <w:rsid w:val="004F22C5"/>
    <w:rsid w:val="004F22C9"/>
    <w:rsid w:val="004F23D5"/>
    <w:rsid w:val="004F23DD"/>
    <w:rsid w:val="004F2474"/>
    <w:rsid w:val="004F247B"/>
    <w:rsid w:val="004F24EB"/>
    <w:rsid w:val="004F251A"/>
    <w:rsid w:val="004F262C"/>
    <w:rsid w:val="004F2641"/>
    <w:rsid w:val="004F2662"/>
    <w:rsid w:val="004F2777"/>
    <w:rsid w:val="004F2813"/>
    <w:rsid w:val="004F282E"/>
    <w:rsid w:val="004F28AD"/>
    <w:rsid w:val="004F29CA"/>
    <w:rsid w:val="004F2A25"/>
    <w:rsid w:val="004F2A7B"/>
    <w:rsid w:val="004F2AC1"/>
    <w:rsid w:val="004F2ADB"/>
    <w:rsid w:val="004F2B42"/>
    <w:rsid w:val="004F2C03"/>
    <w:rsid w:val="004F2C75"/>
    <w:rsid w:val="004F2D0F"/>
    <w:rsid w:val="004F2D2D"/>
    <w:rsid w:val="004F2D84"/>
    <w:rsid w:val="004F2E1D"/>
    <w:rsid w:val="004F2E22"/>
    <w:rsid w:val="004F2E69"/>
    <w:rsid w:val="004F2E82"/>
    <w:rsid w:val="004F2E8A"/>
    <w:rsid w:val="004F2EDD"/>
    <w:rsid w:val="004F2F75"/>
    <w:rsid w:val="004F2FDD"/>
    <w:rsid w:val="004F302E"/>
    <w:rsid w:val="004F3032"/>
    <w:rsid w:val="004F312A"/>
    <w:rsid w:val="004F3145"/>
    <w:rsid w:val="004F314E"/>
    <w:rsid w:val="004F3167"/>
    <w:rsid w:val="004F316E"/>
    <w:rsid w:val="004F3174"/>
    <w:rsid w:val="004F31D9"/>
    <w:rsid w:val="004F31F6"/>
    <w:rsid w:val="004F3221"/>
    <w:rsid w:val="004F3273"/>
    <w:rsid w:val="004F3282"/>
    <w:rsid w:val="004F32E7"/>
    <w:rsid w:val="004F32F8"/>
    <w:rsid w:val="004F3306"/>
    <w:rsid w:val="004F33A0"/>
    <w:rsid w:val="004F34AB"/>
    <w:rsid w:val="004F3572"/>
    <w:rsid w:val="004F3605"/>
    <w:rsid w:val="004F3676"/>
    <w:rsid w:val="004F3751"/>
    <w:rsid w:val="004F3771"/>
    <w:rsid w:val="004F3786"/>
    <w:rsid w:val="004F3810"/>
    <w:rsid w:val="004F3836"/>
    <w:rsid w:val="004F387C"/>
    <w:rsid w:val="004F389C"/>
    <w:rsid w:val="004F38A6"/>
    <w:rsid w:val="004F3934"/>
    <w:rsid w:val="004F39E6"/>
    <w:rsid w:val="004F3A72"/>
    <w:rsid w:val="004F3AA2"/>
    <w:rsid w:val="004F3AE0"/>
    <w:rsid w:val="004F3C57"/>
    <w:rsid w:val="004F3C99"/>
    <w:rsid w:val="004F3D3D"/>
    <w:rsid w:val="004F3EC9"/>
    <w:rsid w:val="004F3F14"/>
    <w:rsid w:val="004F3F2E"/>
    <w:rsid w:val="004F3F35"/>
    <w:rsid w:val="004F3F60"/>
    <w:rsid w:val="004F3FBF"/>
    <w:rsid w:val="004F3FC6"/>
    <w:rsid w:val="004F40D2"/>
    <w:rsid w:val="004F419B"/>
    <w:rsid w:val="004F41F7"/>
    <w:rsid w:val="004F4201"/>
    <w:rsid w:val="004F4220"/>
    <w:rsid w:val="004F4272"/>
    <w:rsid w:val="004F429B"/>
    <w:rsid w:val="004F42C3"/>
    <w:rsid w:val="004F4364"/>
    <w:rsid w:val="004F43FB"/>
    <w:rsid w:val="004F442D"/>
    <w:rsid w:val="004F4438"/>
    <w:rsid w:val="004F448F"/>
    <w:rsid w:val="004F4519"/>
    <w:rsid w:val="004F451D"/>
    <w:rsid w:val="004F4546"/>
    <w:rsid w:val="004F454D"/>
    <w:rsid w:val="004F454E"/>
    <w:rsid w:val="004F45CB"/>
    <w:rsid w:val="004F45EB"/>
    <w:rsid w:val="004F46C5"/>
    <w:rsid w:val="004F46CA"/>
    <w:rsid w:val="004F4733"/>
    <w:rsid w:val="004F47D1"/>
    <w:rsid w:val="004F488A"/>
    <w:rsid w:val="004F48B3"/>
    <w:rsid w:val="004F48EE"/>
    <w:rsid w:val="004F492E"/>
    <w:rsid w:val="004F494B"/>
    <w:rsid w:val="004F49FD"/>
    <w:rsid w:val="004F4A27"/>
    <w:rsid w:val="004F4A4D"/>
    <w:rsid w:val="004F4A73"/>
    <w:rsid w:val="004F4A95"/>
    <w:rsid w:val="004F4AF7"/>
    <w:rsid w:val="004F4B36"/>
    <w:rsid w:val="004F4B7C"/>
    <w:rsid w:val="004F4C00"/>
    <w:rsid w:val="004F4C30"/>
    <w:rsid w:val="004F4C3B"/>
    <w:rsid w:val="004F4D2C"/>
    <w:rsid w:val="004F4DD0"/>
    <w:rsid w:val="004F4E15"/>
    <w:rsid w:val="004F4E59"/>
    <w:rsid w:val="004F4E7B"/>
    <w:rsid w:val="004F4E87"/>
    <w:rsid w:val="004F4F48"/>
    <w:rsid w:val="004F4FF0"/>
    <w:rsid w:val="004F5010"/>
    <w:rsid w:val="004F50D1"/>
    <w:rsid w:val="004F510A"/>
    <w:rsid w:val="004F52C6"/>
    <w:rsid w:val="004F52C7"/>
    <w:rsid w:val="004F5332"/>
    <w:rsid w:val="004F5355"/>
    <w:rsid w:val="004F5376"/>
    <w:rsid w:val="004F537F"/>
    <w:rsid w:val="004F53F9"/>
    <w:rsid w:val="004F54EC"/>
    <w:rsid w:val="004F54ED"/>
    <w:rsid w:val="004F5545"/>
    <w:rsid w:val="004F557A"/>
    <w:rsid w:val="004F55A9"/>
    <w:rsid w:val="004F561B"/>
    <w:rsid w:val="004F56A5"/>
    <w:rsid w:val="004F56E4"/>
    <w:rsid w:val="004F56E9"/>
    <w:rsid w:val="004F572F"/>
    <w:rsid w:val="004F5868"/>
    <w:rsid w:val="004F5898"/>
    <w:rsid w:val="004F58C2"/>
    <w:rsid w:val="004F58D0"/>
    <w:rsid w:val="004F5909"/>
    <w:rsid w:val="004F5918"/>
    <w:rsid w:val="004F594C"/>
    <w:rsid w:val="004F59CA"/>
    <w:rsid w:val="004F59E4"/>
    <w:rsid w:val="004F5A90"/>
    <w:rsid w:val="004F5AED"/>
    <w:rsid w:val="004F5B0F"/>
    <w:rsid w:val="004F5B41"/>
    <w:rsid w:val="004F5B4B"/>
    <w:rsid w:val="004F5BA4"/>
    <w:rsid w:val="004F5BEB"/>
    <w:rsid w:val="004F5C71"/>
    <w:rsid w:val="004F5D75"/>
    <w:rsid w:val="004F5DF8"/>
    <w:rsid w:val="004F5E19"/>
    <w:rsid w:val="004F5E60"/>
    <w:rsid w:val="004F5E7A"/>
    <w:rsid w:val="004F5E95"/>
    <w:rsid w:val="004F5F6F"/>
    <w:rsid w:val="004F5F86"/>
    <w:rsid w:val="004F5F99"/>
    <w:rsid w:val="004F5FFE"/>
    <w:rsid w:val="004F6030"/>
    <w:rsid w:val="004F6105"/>
    <w:rsid w:val="004F611F"/>
    <w:rsid w:val="004F6158"/>
    <w:rsid w:val="004F6186"/>
    <w:rsid w:val="004F6190"/>
    <w:rsid w:val="004F6260"/>
    <w:rsid w:val="004F62AB"/>
    <w:rsid w:val="004F62E1"/>
    <w:rsid w:val="004F62E5"/>
    <w:rsid w:val="004F634E"/>
    <w:rsid w:val="004F63AC"/>
    <w:rsid w:val="004F64E1"/>
    <w:rsid w:val="004F653F"/>
    <w:rsid w:val="004F655A"/>
    <w:rsid w:val="004F6577"/>
    <w:rsid w:val="004F65B5"/>
    <w:rsid w:val="004F663E"/>
    <w:rsid w:val="004F6655"/>
    <w:rsid w:val="004F668D"/>
    <w:rsid w:val="004F66C0"/>
    <w:rsid w:val="004F678D"/>
    <w:rsid w:val="004F6798"/>
    <w:rsid w:val="004F67A2"/>
    <w:rsid w:val="004F6872"/>
    <w:rsid w:val="004F6881"/>
    <w:rsid w:val="004F68AE"/>
    <w:rsid w:val="004F68E6"/>
    <w:rsid w:val="004F68FB"/>
    <w:rsid w:val="004F6926"/>
    <w:rsid w:val="004F6997"/>
    <w:rsid w:val="004F69AF"/>
    <w:rsid w:val="004F69C6"/>
    <w:rsid w:val="004F6A13"/>
    <w:rsid w:val="004F6A47"/>
    <w:rsid w:val="004F6ACB"/>
    <w:rsid w:val="004F6B04"/>
    <w:rsid w:val="004F6B48"/>
    <w:rsid w:val="004F6B4C"/>
    <w:rsid w:val="004F6C3F"/>
    <w:rsid w:val="004F6CED"/>
    <w:rsid w:val="004F6D2C"/>
    <w:rsid w:val="004F6D35"/>
    <w:rsid w:val="004F6D5C"/>
    <w:rsid w:val="004F6D7C"/>
    <w:rsid w:val="004F6DB4"/>
    <w:rsid w:val="004F6E33"/>
    <w:rsid w:val="004F6F34"/>
    <w:rsid w:val="004F6F99"/>
    <w:rsid w:val="004F714A"/>
    <w:rsid w:val="004F7185"/>
    <w:rsid w:val="004F71C7"/>
    <w:rsid w:val="004F71D8"/>
    <w:rsid w:val="004F7229"/>
    <w:rsid w:val="004F72A9"/>
    <w:rsid w:val="004F72B2"/>
    <w:rsid w:val="004F72C2"/>
    <w:rsid w:val="004F72C7"/>
    <w:rsid w:val="004F72CD"/>
    <w:rsid w:val="004F73B0"/>
    <w:rsid w:val="004F73D1"/>
    <w:rsid w:val="004F745A"/>
    <w:rsid w:val="004F7492"/>
    <w:rsid w:val="004F74A9"/>
    <w:rsid w:val="004F74D1"/>
    <w:rsid w:val="004F74D6"/>
    <w:rsid w:val="004F758D"/>
    <w:rsid w:val="004F75B4"/>
    <w:rsid w:val="004F75CA"/>
    <w:rsid w:val="004F75E6"/>
    <w:rsid w:val="004F7602"/>
    <w:rsid w:val="004F7635"/>
    <w:rsid w:val="004F7657"/>
    <w:rsid w:val="004F7658"/>
    <w:rsid w:val="004F7698"/>
    <w:rsid w:val="004F76BE"/>
    <w:rsid w:val="004F76C1"/>
    <w:rsid w:val="004F76EC"/>
    <w:rsid w:val="004F7767"/>
    <w:rsid w:val="004F7823"/>
    <w:rsid w:val="004F7828"/>
    <w:rsid w:val="004F78EE"/>
    <w:rsid w:val="004F7953"/>
    <w:rsid w:val="004F7994"/>
    <w:rsid w:val="004F79B2"/>
    <w:rsid w:val="004F79DB"/>
    <w:rsid w:val="004F7A08"/>
    <w:rsid w:val="004F7A46"/>
    <w:rsid w:val="004F7AE9"/>
    <w:rsid w:val="004F7B2F"/>
    <w:rsid w:val="004F7B81"/>
    <w:rsid w:val="004F7B83"/>
    <w:rsid w:val="004F7C19"/>
    <w:rsid w:val="004F7C3D"/>
    <w:rsid w:val="004F7CA9"/>
    <w:rsid w:val="004F7CC1"/>
    <w:rsid w:val="004F7CC5"/>
    <w:rsid w:val="004F7CD3"/>
    <w:rsid w:val="004F7CD4"/>
    <w:rsid w:val="004F7CE9"/>
    <w:rsid w:val="004F7D38"/>
    <w:rsid w:val="004F7E32"/>
    <w:rsid w:val="004F7E3D"/>
    <w:rsid w:val="004F7EA5"/>
    <w:rsid w:val="004F7EC4"/>
    <w:rsid w:val="004F7F08"/>
    <w:rsid w:val="004F7F0E"/>
    <w:rsid w:val="004F7F60"/>
    <w:rsid w:val="004F7F86"/>
    <w:rsid w:val="00500015"/>
    <w:rsid w:val="005000CD"/>
    <w:rsid w:val="00500138"/>
    <w:rsid w:val="00500155"/>
    <w:rsid w:val="0050018D"/>
    <w:rsid w:val="00500252"/>
    <w:rsid w:val="005002A0"/>
    <w:rsid w:val="005002E8"/>
    <w:rsid w:val="005002EC"/>
    <w:rsid w:val="0050036E"/>
    <w:rsid w:val="00500453"/>
    <w:rsid w:val="0050046A"/>
    <w:rsid w:val="00500473"/>
    <w:rsid w:val="00500555"/>
    <w:rsid w:val="00500572"/>
    <w:rsid w:val="005005E5"/>
    <w:rsid w:val="0050060E"/>
    <w:rsid w:val="0050069A"/>
    <w:rsid w:val="005006A4"/>
    <w:rsid w:val="005006BA"/>
    <w:rsid w:val="00500702"/>
    <w:rsid w:val="00500715"/>
    <w:rsid w:val="00500797"/>
    <w:rsid w:val="00500848"/>
    <w:rsid w:val="00500861"/>
    <w:rsid w:val="0050088C"/>
    <w:rsid w:val="005008AE"/>
    <w:rsid w:val="005008D7"/>
    <w:rsid w:val="005008DA"/>
    <w:rsid w:val="0050094F"/>
    <w:rsid w:val="00500977"/>
    <w:rsid w:val="005009E1"/>
    <w:rsid w:val="00500AD7"/>
    <w:rsid w:val="00500AE6"/>
    <w:rsid w:val="00500B94"/>
    <w:rsid w:val="00500C7E"/>
    <w:rsid w:val="00500CD4"/>
    <w:rsid w:val="00500D14"/>
    <w:rsid w:val="00500D46"/>
    <w:rsid w:val="00500D4C"/>
    <w:rsid w:val="00500D9A"/>
    <w:rsid w:val="00500DC8"/>
    <w:rsid w:val="00500DFA"/>
    <w:rsid w:val="00500E34"/>
    <w:rsid w:val="00500E65"/>
    <w:rsid w:val="00500E94"/>
    <w:rsid w:val="00500EF5"/>
    <w:rsid w:val="00500F04"/>
    <w:rsid w:val="00500FC7"/>
    <w:rsid w:val="00500FDD"/>
    <w:rsid w:val="00501069"/>
    <w:rsid w:val="005010F2"/>
    <w:rsid w:val="00501178"/>
    <w:rsid w:val="005011D4"/>
    <w:rsid w:val="005011F6"/>
    <w:rsid w:val="00501225"/>
    <w:rsid w:val="00501231"/>
    <w:rsid w:val="005012C2"/>
    <w:rsid w:val="005012C3"/>
    <w:rsid w:val="005012F4"/>
    <w:rsid w:val="00501395"/>
    <w:rsid w:val="005013F3"/>
    <w:rsid w:val="00501425"/>
    <w:rsid w:val="0050149D"/>
    <w:rsid w:val="0050157C"/>
    <w:rsid w:val="0050162D"/>
    <w:rsid w:val="0050166A"/>
    <w:rsid w:val="0050168A"/>
    <w:rsid w:val="005016AF"/>
    <w:rsid w:val="00501729"/>
    <w:rsid w:val="0050178B"/>
    <w:rsid w:val="00501806"/>
    <w:rsid w:val="00501916"/>
    <w:rsid w:val="00501924"/>
    <w:rsid w:val="0050193B"/>
    <w:rsid w:val="00501976"/>
    <w:rsid w:val="00501A75"/>
    <w:rsid w:val="00501B8E"/>
    <w:rsid w:val="00501C99"/>
    <w:rsid w:val="00501D0E"/>
    <w:rsid w:val="00501D87"/>
    <w:rsid w:val="00501D8E"/>
    <w:rsid w:val="00501D93"/>
    <w:rsid w:val="00501D9C"/>
    <w:rsid w:val="00501E01"/>
    <w:rsid w:val="00501E2F"/>
    <w:rsid w:val="00501ED4"/>
    <w:rsid w:val="00501F65"/>
    <w:rsid w:val="00501F89"/>
    <w:rsid w:val="00501FD5"/>
    <w:rsid w:val="005021E4"/>
    <w:rsid w:val="00502260"/>
    <w:rsid w:val="0050236B"/>
    <w:rsid w:val="005023AE"/>
    <w:rsid w:val="005023D9"/>
    <w:rsid w:val="005023EC"/>
    <w:rsid w:val="00502451"/>
    <w:rsid w:val="005024C4"/>
    <w:rsid w:val="005024EA"/>
    <w:rsid w:val="005025C3"/>
    <w:rsid w:val="005025D1"/>
    <w:rsid w:val="0050260D"/>
    <w:rsid w:val="00502697"/>
    <w:rsid w:val="005026CF"/>
    <w:rsid w:val="00502712"/>
    <w:rsid w:val="00502803"/>
    <w:rsid w:val="00502815"/>
    <w:rsid w:val="00502862"/>
    <w:rsid w:val="005028AA"/>
    <w:rsid w:val="005028CF"/>
    <w:rsid w:val="0050291F"/>
    <w:rsid w:val="00502921"/>
    <w:rsid w:val="0050292F"/>
    <w:rsid w:val="00502938"/>
    <w:rsid w:val="0050293E"/>
    <w:rsid w:val="0050294B"/>
    <w:rsid w:val="0050297C"/>
    <w:rsid w:val="00502988"/>
    <w:rsid w:val="00502A1F"/>
    <w:rsid w:val="00502A6D"/>
    <w:rsid w:val="00502A8D"/>
    <w:rsid w:val="00502AF5"/>
    <w:rsid w:val="00502B58"/>
    <w:rsid w:val="00502BB0"/>
    <w:rsid w:val="00502C30"/>
    <w:rsid w:val="00502CDE"/>
    <w:rsid w:val="00502D92"/>
    <w:rsid w:val="00502D9B"/>
    <w:rsid w:val="00502DCB"/>
    <w:rsid w:val="00502DED"/>
    <w:rsid w:val="00502DFF"/>
    <w:rsid w:val="00502EBE"/>
    <w:rsid w:val="00502EF1"/>
    <w:rsid w:val="00502F07"/>
    <w:rsid w:val="00502F34"/>
    <w:rsid w:val="00502F45"/>
    <w:rsid w:val="00502FE5"/>
    <w:rsid w:val="00503020"/>
    <w:rsid w:val="00503051"/>
    <w:rsid w:val="0050306D"/>
    <w:rsid w:val="00503086"/>
    <w:rsid w:val="005030C8"/>
    <w:rsid w:val="00503160"/>
    <w:rsid w:val="00503178"/>
    <w:rsid w:val="005031F7"/>
    <w:rsid w:val="00503288"/>
    <w:rsid w:val="00503297"/>
    <w:rsid w:val="0050329A"/>
    <w:rsid w:val="005032C9"/>
    <w:rsid w:val="005032E9"/>
    <w:rsid w:val="0050331E"/>
    <w:rsid w:val="005033D5"/>
    <w:rsid w:val="0050345A"/>
    <w:rsid w:val="0050347C"/>
    <w:rsid w:val="005034AD"/>
    <w:rsid w:val="005034AE"/>
    <w:rsid w:val="005034EE"/>
    <w:rsid w:val="00503565"/>
    <w:rsid w:val="005035A3"/>
    <w:rsid w:val="0050361C"/>
    <w:rsid w:val="005036B1"/>
    <w:rsid w:val="00503795"/>
    <w:rsid w:val="005037C8"/>
    <w:rsid w:val="005037E4"/>
    <w:rsid w:val="0050385E"/>
    <w:rsid w:val="00503889"/>
    <w:rsid w:val="0050389C"/>
    <w:rsid w:val="005038A2"/>
    <w:rsid w:val="005038FF"/>
    <w:rsid w:val="00503907"/>
    <w:rsid w:val="00503981"/>
    <w:rsid w:val="00503996"/>
    <w:rsid w:val="0050399E"/>
    <w:rsid w:val="005039E1"/>
    <w:rsid w:val="00503A12"/>
    <w:rsid w:val="00503A21"/>
    <w:rsid w:val="00503AE4"/>
    <w:rsid w:val="00503B65"/>
    <w:rsid w:val="00503C20"/>
    <w:rsid w:val="00503C24"/>
    <w:rsid w:val="00503C65"/>
    <w:rsid w:val="00503C9B"/>
    <w:rsid w:val="00503D15"/>
    <w:rsid w:val="00503D5F"/>
    <w:rsid w:val="00503D81"/>
    <w:rsid w:val="00503DFC"/>
    <w:rsid w:val="00503F54"/>
    <w:rsid w:val="00503F69"/>
    <w:rsid w:val="00503FD3"/>
    <w:rsid w:val="00504015"/>
    <w:rsid w:val="0050406D"/>
    <w:rsid w:val="005040C1"/>
    <w:rsid w:val="005040D2"/>
    <w:rsid w:val="005040F0"/>
    <w:rsid w:val="00504125"/>
    <w:rsid w:val="00504126"/>
    <w:rsid w:val="005042BB"/>
    <w:rsid w:val="005042CE"/>
    <w:rsid w:val="005042D2"/>
    <w:rsid w:val="00504304"/>
    <w:rsid w:val="00504312"/>
    <w:rsid w:val="0050447A"/>
    <w:rsid w:val="005044C1"/>
    <w:rsid w:val="00504531"/>
    <w:rsid w:val="00504576"/>
    <w:rsid w:val="00504686"/>
    <w:rsid w:val="005046F0"/>
    <w:rsid w:val="00504775"/>
    <w:rsid w:val="00504784"/>
    <w:rsid w:val="005047D6"/>
    <w:rsid w:val="005047F3"/>
    <w:rsid w:val="00504817"/>
    <w:rsid w:val="00504837"/>
    <w:rsid w:val="00504884"/>
    <w:rsid w:val="005048B3"/>
    <w:rsid w:val="0050495F"/>
    <w:rsid w:val="005049C0"/>
    <w:rsid w:val="00504BB8"/>
    <w:rsid w:val="00504BC7"/>
    <w:rsid w:val="00504BEA"/>
    <w:rsid w:val="00504C5D"/>
    <w:rsid w:val="00504C70"/>
    <w:rsid w:val="00504C7F"/>
    <w:rsid w:val="00504D3B"/>
    <w:rsid w:val="00504EA7"/>
    <w:rsid w:val="00504EAC"/>
    <w:rsid w:val="00504EC5"/>
    <w:rsid w:val="00504F37"/>
    <w:rsid w:val="00504F54"/>
    <w:rsid w:val="00504F7E"/>
    <w:rsid w:val="00504FA9"/>
    <w:rsid w:val="00504FFB"/>
    <w:rsid w:val="00505029"/>
    <w:rsid w:val="00505056"/>
    <w:rsid w:val="005050EF"/>
    <w:rsid w:val="00505157"/>
    <w:rsid w:val="005051C9"/>
    <w:rsid w:val="005051DB"/>
    <w:rsid w:val="005051FA"/>
    <w:rsid w:val="00505230"/>
    <w:rsid w:val="00505327"/>
    <w:rsid w:val="00505431"/>
    <w:rsid w:val="0050547D"/>
    <w:rsid w:val="00505501"/>
    <w:rsid w:val="00505551"/>
    <w:rsid w:val="005055B2"/>
    <w:rsid w:val="005055C3"/>
    <w:rsid w:val="005055FF"/>
    <w:rsid w:val="00505622"/>
    <w:rsid w:val="0050574B"/>
    <w:rsid w:val="00505765"/>
    <w:rsid w:val="00505798"/>
    <w:rsid w:val="005057A4"/>
    <w:rsid w:val="005057A5"/>
    <w:rsid w:val="00505870"/>
    <w:rsid w:val="00505A0F"/>
    <w:rsid w:val="00505A37"/>
    <w:rsid w:val="00505A52"/>
    <w:rsid w:val="00505AA8"/>
    <w:rsid w:val="00505AC2"/>
    <w:rsid w:val="00505B32"/>
    <w:rsid w:val="00505B8D"/>
    <w:rsid w:val="00505C3F"/>
    <w:rsid w:val="00505CA0"/>
    <w:rsid w:val="00505CB6"/>
    <w:rsid w:val="00505DDE"/>
    <w:rsid w:val="00505E36"/>
    <w:rsid w:val="00505E97"/>
    <w:rsid w:val="00505F9A"/>
    <w:rsid w:val="005060B9"/>
    <w:rsid w:val="00506158"/>
    <w:rsid w:val="0050615E"/>
    <w:rsid w:val="0050618F"/>
    <w:rsid w:val="005061FD"/>
    <w:rsid w:val="00506233"/>
    <w:rsid w:val="00506248"/>
    <w:rsid w:val="00506254"/>
    <w:rsid w:val="005062C9"/>
    <w:rsid w:val="005062D0"/>
    <w:rsid w:val="00506372"/>
    <w:rsid w:val="0050637F"/>
    <w:rsid w:val="00506396"/>
    <w:rsid w:val="00506453"/>
    <w:rsid w:val="005064CF"/>
    <w:rsid w:val="00506625"/>
    <w:rsid w:val="00506672"/>
    <w:rsid w:val="0050674C"/>
    <w:rsid w:val="0050677F"/>
    <w:rsid w:val="005067A5"/>
    <w:rsid w:val="00506807"/>
    <w:rsid w:val="0050689F"/>
    <w:rsid w:val="005068C4"/>
    <w:rsid w:val="00506907"/>
    <w:rsid w:val="00506909"/>
    <w:rsid w:val="0050690F"/>
    <w:rsid w:val="005069C4"/>
    <w:rsid w:val="00506A09"/>
    <w:rsid w:val="00506A1B"/>
    <w:rsid w:val="00506B5D"/>
    <w:rsid w:val="00506B6E"/>
    <w:rsid w:val="00506BAA"/>
    <w:rsid w:val="00506BEB"/>
    <w:rsid w:val="00506C56"/>
    <w:rsid w:val="00506C9F"/>
    <w:rsid w:val="00506D0F"/>
    <w:rsid w:val="00506D83"/>
    <w:rsid w:val="00506DC7"/>
    <w:rsid w:val="00506E65"/>
    <w:rsid w:val="00506F2C"/>
    <w:rsid w:val="00506F43"/>
    <w:rsid w:val="00506F53"/>
    <w:rsid w:val="00506F76"/>
    <w:rsid w:val="00506F85"/>
    <w:rsid w:val="00507022"/>
    <w:rsid w:val="00507096"/>
    <w:rsid w:val="0050710A"/>
    <w:rsid w:val="00507118"/>
    <w:rsid w:val="0050715B"/>
    <w:rsid w:val="0050720D"/>
    <w:rsid w:val="0050726A"/>
    <w:rsid w:val="005072A3"/>
    <w:rsid w:val="0050730C"/>
    <w:rsid w:val="00507319"/>
    <w:rsid w:val="00507342"/>
    <w:rsid w:val="005073A4"/>
    <w:rsid w:val="0050745F"/>
    <w:rsid w:val="00507486"/>
    <w:rsid w:val="005074FA"/>
    <w:rsid w:val="005074FC"/>
    <w:rsid w:val="00507572"/>
    <w:rsid w:val="0050760E"/>
    <w:rsid w:val="0050761C"/>
    <w:rsid w:val="005076AB"/>
    <w:rsid w:val="005076D1"/>
    <w:rsid w:val="0050775A"/>
    <w:rsid w:val="00507787"/>
    <w:rsid w:val="005077F4"/>
    <w:rsid w:val="00507849"/>
    <w:rsid w:val="0050789D"/>
    <w:rsid w:val="00507914"/>
    <w:rsid w:val="005079B3"/>
    <w:rsid w:val="00507A58"/>
    <w:rsid w:val="00507A65"/>
    <w:rsid w:val="00507A82"/>
    <w:rsid w:val="00507A85"/>
    <w:rsid w:val="00507AC2"/>
    <w:rsid w:val="00507B42"/>
    <w:rsid w:val="00507B49"/>
    <w:rsid w:val="00507B4A"/>
    <w:rsid w:val="00507CC7"/>
    <w:rsid w:val="00507CF8"/>
    <w:rsid w:val="00507D03"/>
    <w:rsid w:val="00507D10"/>
    <w:rsid w:val="00507D8C"/>
    <w:rsid w:val="00507DF2"/>
    <w:rsid w:val="00507E28"/>
    <w:rsid w:val="00507F47"/>
    <w:rsid w:val="00507F4F"/>
    <w:rsid w:val="00507F8D"/>
    <w:rsid w:val="00507FAC"/>
    <w:rsid w:val="00510037"/>
    <w:rsid w:val="005100AD"/>
    <w:rsid w:val="005100C3"/>
    <w:rsid w:val="0051011C"/>
    <w:rsid w:val="005101DB"/>
    <w:rsid w:val="005101DE"/>
    <w:rsid w:val="00510262"/>
    <w:rsid w:val="005102DF"/>
    <w:rsid w:val="005102EE"/>
    <w:rsid w:val="00510309"/>
    <w:rsid w:val="0051037B"/>
    <w:rsid w:val="00510467"/>
    <w:rsid w:val="005104A9"/>
    <w:rsid w:val="005104C4"/>
    <w:rsid w:val="00510502"/>
    <w:rsid w:val="0051057E"/>
    <w:rsid w:val="00510598"/>
    <w:rsid w:val="005105B1"/>
    <w:rsid w:val="005105EA"/>
    <w:rsid w:val="00510617"/>
    <w:rsid w:val="00510679"/>
    <w:rsid w:val="0051067F"/>
    <w:rsid w:val="005106A1"/>
    <w:rsid w:val="0051070A"/>
    <w:rsid w:val="005107CD"/>
    <w:rsid w:val="005107EC"/>
    <w:rsid w:val="00510805"/>
    <w:rsid w:val="0051084B"/>
    <w:rsid w:val="0051085E"/>
    <w:rsid w:val="00510899"/>
    <w:rsid w:val="005108A2"/>
    <w:rsid w:val="00510976"/>
    <w:rsid w:val="00510978"/>
    <w:rsid w:val="0051098A"/>
    <w:rsid w:val="00510A0D"/>
    <w:rsid w:val="00510A0F"/>
    <w:rsid w:val="00510A5D"/>
    <w:rsid w:val="00510A5E"/>
    <w:rsid w:val="00510A9C"/>
    <w:rsid w:val="00510BAD"/>
    <w:rsid w:val="00510C33"/>
    <w:rsid w:val="00510C87"/>
    <w:rsid w:val="00510C91"/>
    <w:rsid w:val="00510CDD"/>
    <w:rsid w:val="00510D40"/>
    <w:rsid w:val="00510D43"/>
    <w:rsid w:val="00510DC3"/>
    <w:rsid w:val="00510DEF"/>
    <w:rsid w:val="00510E08"/>
    <w:rsid w:val="00510E0C"/>
    <w:rsid w:val="00510E51"/>
    <w:rsid w:val="00510EF0"/>
    <w:rsid w:val="00510F67"/>
    <w:rsid w:val="00511047"/>
    <w:rsid w:val="00511078"/>
    <w:rsid w:val="00511087"/>
    <w:rsid w:val="00511095"/>
    <w:rsid w:val="005110D1"/>
    <w:rsid w:val="005110D6"/>
    <w:rsid w:val="00511105"/>
    <w:rsid w:val="0051120F"/>
    <w:rsid w:val="0051122B"/>
    <w:rsid w:val="00511347"/>
    <w:rsid w:val="00511388"/>
    <w:rsid w:val="005113C7"/>
    <w:rsid w:val="005113DF"/>
    <w:rsid w:val="0051140F"/>
    <w:rsid w:val="005115B8"/>
    <w:rsid w:val="00511699"/>
    <w:rsid w:val="005116B7"/>
    <w:rsid w:val="0051184B"/>
    <w:rsid w:val="00511888"/>
    <w:rsid w:val="00511933"/>
    <w:rsid w:val="00511960"/>
    <w:rsid w:val="00511965"/>
    <w:rsid w:val="005119FB"/>
    <w:rsid w:val="00511AC3"/>
    <w:rsid w:val="00511B07"/>
    <w:rsid w:val="00511B2C"/>
    <w:rsid w:val="00511B7F"/>
    <w:rsid w:val="00511BF6"/>
    <w:rsid w:val="00511C2D"/>
    <w:rsid w:val="00511C5A"/>
    <w:rsid w:val="00511DA3"/>
    <w:rsid w:val="00511DB4"/>
    <w:rsid w:val="00511EB8"/>
    <w:rsid w:val="00511EF2"/>
    <w:rsid w:val="00511F23"/>
    <w:rsid w:val="00511FCB"/>
    <w:rsid w:val="00511FF1"/>
    <w:rsid w:val="00512074"/>
    <w:rsid w:val="00512076"/>
    <w:rsid w:val="00512089"/>
    <w:rsid w:val="005120AB"/>
    <w:rsid w:val="0051213F"/>
    <w:rsid w:val="00512195"/>
    <w:rsid w:val="00512199"/>
    <w:rsid w:val="005121CB"/>
    <w:rsid w:val="00512255"/>
    <w:rsid w:val="00512276"/>
    <w:rsid w:val="00512281"/>
    <w:rsid w:val="005122D0"/>
    <w:rsid w:val="005122DC"/>
    <w:rsid w:val="00512302"/>
    <w:rsid w:val="0051236C"/>
    <w:rsid w:val="00512458"/>
    <w:rsid w:val="00512463"/>
    <w:rsid w:val="0051250A"/>
    <w:rsid w:val="00512568"/>
    <w:rsid w:val="0051256F"/>
    <w:rsid w:val="0051257F"/>
    <w:rsid w:val="00512587"/>
    <w:rsid w:val="00512619"/>
    <w:rsid w:val="0051261A"/>
    <w:rsid w:val="0051264F"/>
    <w:rsid w:val="005126B8"/>
    <w:rsid w:val="005126E6"/>
    <w:rsid w:val="00512736"/>
    <w:rsid w:val="00512773"/>
    <w:rsid w:val="005127E0"/>
    <w:rsid w:val="00512898"/>
    <w:rsid w:val="005128E9"/>
    <w:rsid w:val="00512920"/>
    <w:rsid w:val="00512A23"/>
    <w:rsid w:val="00512A7C"/>
    <w:rsid w:val="00512AF8"/>
    <w:rsid w:val="00512AFE"/>
    <w:rsid w:val="00512B1D"/>
    <w:rsid w:val="00512B27"/>
    <w:rsid w:val="00512B2B"/>
    <w:rsid w:val="00512B38"/>
    <w:rsid w:val="00512B3F"/>
    <w:rsid w:val="00512BE5"/>
    <w:rsid w:val="00512C0A"/>
    <w:rsid w:val="00512C2F"/>
    <w:rsid w:val="00512C57"/>
    <w:rsid w:val="00512C92"/>
    <w:rsid w:val="00512D17"/>
    <w:rsid w:val="00512D50"/>
    <w:rsid w:val="00512E14"/>
    <w:rsid w:val="00512E65"/>
    <w:rsid w:val="00512E97"/>
    <w:rsid w:val="00512EB3"/>
    <w:rsid w:val="00512EEC"/>
    <w:rsid w:val="00512F59"/>
    <w:rsid w:val="00513039"/>
    <w:rsid w:val="0051304C"/>
    <w:rsid w:val="00513115"/>
    <w:rsid w:val="0051312D"/>
    <w:rsid w:val="00513136"/>
    <w:rsid w:val="00513207"/>
    <w:rsid w:val="00513288"/>
    <w:rsid w:val="00513358"/>
    <w:rsid w:val="005133C0"/>
    <w:rsid w:val="005133DC"/>
    <w:rsid w:val="00513417"/>
    <w:rsid w:val="0051341C"/>
    <w:rsid w:val="005134D2"/>
    <w:rsid w:val="005134E3"/>
    <w:rsid w:val="005134F7"/>
    <w:rsid w:val="005134FC"/>
    <w:rsid w:val="0051354D"/>
    <w:rsid w:val="00513561"/>
    <w:rsid w:val="0051356E"/>
    <w:rsid w:val="005135B2"/>
    <w:rsid w:val="00513627"/>
    <w:rsid w:val="0051368A"/>
    <w:rsid w:val="0051372C"/>
    <w:rsid w:val="00513734"/>
    <w:rsid w:val="0051384E"/>
    <w:rsid w:val="005138C1"/>
    <w:rsid w:val="00513961"/>
    <w:rsid w:val="00513A37"/>
    <w:rsid w:val="00513AA9"/>
    <w:rsid w:val="00513AF5"/>
    <w:rsid w:val="00513B79"/>
    <w:rsid w:val="00513C03"/>
    <w:rsid w:val="00513C11"/>
    <w:rsid w:val="00513C54"/>
    <w:rsid w:val="00513CD2"/>
    <w:rsid w:val="00513D41"/>
    <w:rsid w:val="00513E32"/>
    <w:rsid w:val="00513EAE"/>
    <w:rsid w:val="00513EB6"/>
    <w:rsid w:val="00513EC7"/>
    <w:rsid w:val="00513F20"/>
    <w:rsid w:val="00513F30"/>
    <w:rsid w:val="00513F85"/>
    <w:rsid w:val="00513FA1"/>
    <w:rsid w:val="00513FA4"/>
    <w:rsid w:val="00513FBD"/>
    <w:rsid w:val="00513FDF"/>
    <w:rsid w:val="00514082"/>
    <w:rsid w:val="005140AA"/>
    <w:rsid w:val="005140AC"/>
    <w:rsid w:val="005140E4"/>
    <w:rsid w:val="00514133"/>
    <w:rsid w:val="00514163"/>
    <w:rsid w:val="005141D9"/>
    <w:rsid w:val="00514212"/>
    <w:rsid w:val="00514294"/>
    <w:rsid w:val="00514297"/>
    <w:rsid w:val="0051429F"/>
    <w:rsid w:val="005142E5"/>
    <w:rsid w:val="005142EA"/>
    <w:rsid w:val="00514339"/>
    <w:rsid w:val="00514369"/>
    <w:rsid w:val="005143A3"/>
    <w:rsid w:val="005143B3"/>
    <w:rsid w:val="005143BC"/>
    <w:rsid w:val="005143D3"/>
    <w:rsid w:val="005143D7"/>
    <w:rsid w:val="00514403"/>
    <w:rsid w:val="0051441A"/>
    <w:rsid w:val="005144CA"/>
    <w:rsid w:val="005144E7"/>
    <w:rsid w:val="00514520"/>
    <w:rsid w:val="00514526"/>
    <w:rsid w:val="00514563"/>
    <w:rsid w:val="005145D6"/>
    <w:rsid w:val="005146F5"/>
    <w:rsid w:val="00514798"/>
    <w:rsid w:val="005147F2"/>
    <w:rsid w:val="00514818"/>
    <w:rsid w:val="00514988"/>
    <w:rsid w:val="005149CA"/>
    <w:rsid w:val="005149F3"/>
    <w:rsid w:val="00514A11"/>
    <w:rsid w:val="00514A2D"/>
    <w:rsid w:val="00514A3A"/>
    <w:rsid w:val="00514A7D"/>
    <w:rsid w:val="00514AA1"/>
    <w:rsid w:val="00514B23"/>
    <w:rsid w:val="00514B29"/>
    <w:rsid w:val="00514B3E"/>
    <w:rsid w:val="00514BFB"/>
    <w:rsid w:val="00514C00"/>
    <w:rsid w:val="00514C3D"/>
    <w:rsid w:val="00514C47"/>
    <w:rsid w:val="00514C67"/>
    <w:rsid w:val="00514CCE"/>
    <w:rsid w:val="00514CDF"/>
    <w:rsid w:val="00514E4C"/>
    <w:rsid w:val="00514ED6"/>
    <w:rsid w:val="00514EEE"/>
    <w:rsid w:val="00514EFF"/>
    <w:rsid w:val="00514F59"/>
    <w:rsid w:val="00514FAC"/>
    <w:rsid w:val="00515022"/>
    <w:rsid w:val="0051503B"/>
    <w:rsid w:val="005150C7"/>
    <w:rsid w:val="00515136"/>
    <w:rsid w:val="005151B9"/>
    <w:rsid w:val="005151E1"/>
    <w:rsid w:val="005151F7"/>
    <w:rsid w:val="00515242"/>
    <w:rsid w:val="005152E3"/>
    <w:rsid w:val="00515383"/>
    <w:rsid w:val="00515394"/>
    <w:rsid w:val="00515397"/>
    <w:rsid w:val="005153A6"/>
    <w:rsid w:val="005153B7"/>
    <w:rsid w:val="005153E8"/>
    <w:rsid w:val="005154B2"/>
    <w:rsid w:val="005154DA"/>
    <w:rsid w:val="005155B1"/>
    <w:rsid w:val="005155FF"/>
    <w:rsid w:val="00515771"/>
    <w:rsid w:val="0051578C"/>
    <w:rsid w:val="005157A7"/>
    <w:rsid w:val="0051580F"/>
    <w:rsid w:val="00515836"/>
    <w:rsid w:val="00515879"/>
    <w:rsid w:val="00515898"/>
    <w:rsid w:val="005158F9"/>
    <w:rsid w:val="00515985"/>
    <w:rsid w:val="00515993"/>
    <w:rsid w:val="0051599C"/>
    <w:rsid w:val="00515A41"/>
    <w:rsid w:val="00515A5E"/>
    <w:rsid w:val="00515A90"/>
    <w:rsid w:val="00515AAD"/>
    <w:rsid w:val="00515AB5"/>
    <w:rsid w:val="00515ADB"/>
    <w:rsid w:val="00515B0F"/>
    <w:rsid w:val="00515B52"/>
    <w:rsid w:val="00515C17"/>
    <w:rsid w:val="00515CC4"/>
    <w:rsid w:val="00515D73"/>
    <w:rsid w:val="00515E2F"/>
    <w:rsid w:val="00515E34"/>
    <w:rsid w:val="00515E4E"/>
    <w:rsid w:val="00515EAB"/>
    <w:rsid w:val="00515F43"/>
    <w:rsid w:val="00516078"/>
    <w:rsid w:val="005160A5"/>
    <w:rsid w:val="005160B8"/>
    <w:rsid w:val="005160DD"/>
    <w:rsid w:val="0051611E"/>
    <w:rsid w:val="0051614C"/>
    <w:rsid w:val="00516195"/>
    <w:rsid w:val="005161FF"/>
    <w:rsid w:val="00516236"/>
    <w:rsid w:val="00516293"/>
    <w:rsid w:val="005162A2"/>
    <w:rsid w:val="0051630F"/>
    <w:rsid w:val="00516322"/>
    <w:rsid w:val="00516327"/>
    <w:rsid w:val="0051632F"/>
    <w:rsid w:val="0051641A"/>
    <w:rsid w:val="005164A6"/>
    <w:rsid w:val="005164F8"/>
    <w:rsid w:val="00516507"/>
    <w:rsid w:val="00516520"/>
    <w:rsid w:val="00516572"/>
    <w:rsid w:val="00516583"/>
    <w:rsid w:val="00516586"/>
    <w:rsid w:val="0051659B"/>
    <w:rsid w:val="00516612"/>
    <w:rsid w:val="0051663D"/>
    <w:rsid w:val="005166DF"/>
    <w:rsid w:val="0051673D"/>
    <w:rsid w:val="00516740"/>
    <w:rsid w:val="00516780"/>
    <w:rsid w:val="005167B8"/>
    <w:rsid w:val="005167D3"/>
    <w:rsid w:val="005167E6"/>
    <w:rsid w:val="0051680B"/>
    <w:rsid w:val="005168B4"/>
    <w:rsid w:val="005168E0"/>
    <w:rsid w:val="005168E7"/>
    <w:rsid w:val="00516947"/>
    <w:rsid w:val="00516981"/>
    <w:rsid w:val="005169B9"/>
    <w:rsid w:val="00516A4F"/>
    <w:rsid w:val="00516A50"/>
    <w:rsid w:val="00516A55"/>
    <w:rsid w:val="00516A5C"/>
    <w:rsid w:val="00516AEC"/>
    <w:rsid w:val="00516B0D"/>
    <w:rsid w:val="00516BA8"/>
    <w:rsid w:val="00516C2C"/>
    <w:rsid w:val="00516D9A"/>
    <w:rsid w:val="00516DA7"/>
    <w:rsid w:val="00516DD9"/>
    <w:rsid w:val="00516EB1"/>
    <w:rsid w:val="00516EE4"/>
    <w:rsid w:val="00516F4D"/>
    <w:rsid w:val="00516FC7"/>
    <w:rsid w:val="00516FD9"/>
    <w:rsid w:val="00517019"/>
    <w:rsid w:val="0051715E"/>
    <w:rsid w:val="005171C8"/>
    <w:rsid w:val="005171FE"/>
    <w:rsid w:val="00517215"/>
    <w:rsid w:val="0051723D"/>
    <w:rsid w:val="0051724B"/>
    <w:rsid w:val="0051725A"/>
    <w:rsid w:val="0051728E"/>
    <w:rsid w:val="0051729B"/>
    <w:rsid w:val="005172B5"/>
    <w:rsid w:val="00517312"/>
    <w:rsid w:val="0051731F"/>
    <w:rsid w:val="0051741A"/>
    <w:rsid w:val="0051745C"/>
    <w:rsid w:val="005174D6"/>
    <w:rsid w:val="005174F7"/>
    <w:rsid w:val="00517520"/>
    <w:rsid w:val="00517564"/>
    <w:rsid w:val="0051757D"/>
    <w:rsid w:val="0051758A"/>
    <w:rsid w:val="005175CC"/>
    <w:rsid w:val="00517654"/>
    <w:rsid w:val="00517658"/>
    <w:rsid w:val="00517665"/>
    <w:rsid w:val="0051770D"/>
    <w:rsid w:val="005177AA"/>
    <w:rsid w:val="00517802"/>
    <w:rsid w:val="0051785B"/>
    <w:rsid w:val="0051788A"/>
    <w:rsid w:val="005178EF"/>
    <w:rsid w:val="005179B7"/>
    <w:rsid w:val="005179C7"/>
    <w:rsid w:val="005179CC"/>
    <w:rsid w:val="00517A09"/>
    <w:rsid w:val="00517B7A"/>
    <w:rsid w:val="00517B7F"/>
    <w:rsid w:val="00517C0C"/>
    <w:rsid w:val="00517C7B"/>
    <w:rsid w:val="00517DD1"/>
    <w:rsid w:val="00517F2C"/>
    <w:rsid w:val="00517FF3"/>
    <w:rsid w:val="00517FFA"/>
    <w:rsid w:val="00520075"/>
    <w:rsid w:val="0052007A"/>
    <w:rsid w:val="00520084"/>
    <w:rsid w:val="00520097"/>
    <w:rsid w:val="005200F7"/>
    <w:rsid w:val="005201A7"/>
    <w:rsid w:val="00520201"/>
    <w:rsid w:val="00520224"/>
    <w:rsid w:val="00520226"/>
    <w:rsid w:val="00520243"/>
    <w:rsid w:val="00520248"/>
    <w:rsid w:val="0052028D"/>
    <w:rsid w:val="0052028F"/>
    <w:rsid w:val="005202BB"/>
    <w:rsid w:val="005202EF"/>
    <w:rsid w:val="005203AA"/>
    <w:rsid w:val="00520415"/>
    <w:rsid w:val="00520436"/>
    <w:rsid w:val="00520482"/>
    <w:rsid w:val="005204DC"/>
    <w:rsid w:val="005204ED"/>
    <w:rsid w:val="005204F1"/>
    <w:rsid w:val="0052051B"/>
    <w:rsid w:val="005205F0"/>
    <w:rsid w:val="0052061B"/>
    <w:rsid w:val="00520662"/>
    <w:rsid w:val="005206E9"/>
    <w:rsid w:val="005206F3"/>
    <w:rsid w:val="00520730"/>
    <w:rsid w:val="00520748"/>
    <w:rsid w:val="0052083D"/>
    <w:rsid w:val="00520876"/>
    <w:rsid w:val="0052097E"/>
    <w:rsid w:val="005209C6"/>
    <w:rsid w:val="005209D6"/>
    <w:rsid w:val="00520AC2"/>
    <w:rsid w:val="00520B03"/>
    <w:rsid w:val="00520B1D"/>
    <w:rsid w:val="00520B5E"/>
    <w:rsid w:val="00520B8C"/>
    <w:rsid w:val="00520BB5"/>
    <w:rsid w:val="00520C40"/>
    <w:rsid w:val="00520C83"/>
    <w:rsid w:val="00520CCC"/>
    <w:rsid w:val="00520E58"/>
    <w:rsid w:val="00520E5D"/>
    <w:rsid w:val="005210C0"/>
    <w:rsid w:val="005210D9"/>
    <w:rsid w:val="00521144"/>
    <w:rsid w:val="00521165"/>
    <w:rsid w:val="0052116F"/>
    <w:rsid w:val="005211BE"/>
    <w:rsid w:val="005211E5"/>
    <w:rsid w:val="0052124E"/>
    <w:rsid w:val="00521354"/>
    <w:rsid w:val="0052135E"/>
    <w:rsid w:val="00521453"/>
    <w:rsid w:val="005214C8"/>
    <w:rsid w:val="005214CE"/>
    <w:rsid w:val="005214E9"/>
    <w:rsid w:val="00521589"/>
    <w:rsid w:val="005215C6"/>
    <w:rsid w:val="005215D6"/>
    <w:rsid w:val="005215DF"/>
    <w:rsid w:val="005215EE"/>
    <w:rsid w:val="00521616"/>
    <w:rsid w:val="00521636"/>
    <w:rsid w:val="005216D6"/>
    <w:rsid w:val="00521700"/>
    <w:rsid w:val="00521728"/>
    <w:rsid w:val="00521745"/>
    <w:rsid w:val="005217D9"/>
    <w:rsid w:val="0052181F"/>
    <w:rsid w:val="0052184A"/>
    <w:rsid w:val="00521885"/>
    <w:rsid w:val="00521886"/>
    <w:rsid w:val="005218D2"/>
    <w:rsid w:val="005218DB"/>
    <w:rsid w:val="005218F2"/>
    <w:rsid w:val="0052192A"/>
    <w:rsid w:val="00521937"/>
    <w:rsid w:val="00521960"/>
    <w:rsid w:val="00521986"/>
    <w:rsid w:val="0052199B"/>
    <w:rsid w:val="00521A3B"/>
    <w:rsid w:val="00521A5B"/>
    <w:rsid w:val="00521AA8"/>
    <w:rsid w:val="00521B0E"/>
    <w:rsid w:val="00521B10"/>
    <w:rsid w:val="00521B50"/>
    <w:rsid w:val="00521C00"/>
    <w:rsid w:val="00521C10"/>
    <w:rsid w:val="00521C16"/>
    <w:rsid w:val="00521C33"/>
    <w:rsid w:val="00521CFF"/>
    <w:rsid w:val="00521D93"/>
    <w:rsid w:val="00521DBC"/>
    <w:rsid w:val="00521E56"/>
    <w:rsid w:val="00521E61"/>
    <w:rsid w:val="00521EB1"/>
    <w:rsid w:val="00521F41"/>
    <w:rsid w:val="00521F62"/>
    <w:rsid w:val="00521FC8"/>
    <w:rsid w:val="00521FE5"/>
    <w:rsid w:val="00521FEA"/>
    <w:rsid w:val="00521FF3"/>
    <w:rsid w:val="00522067"/>
    <w:rsid w:val="00522084"/>
    <w:rsid w:val="005220A2"/>
    <w:rsid w:val="005220F4"/>
    <w:rsid w:val="0052212E"/>
    <w:rsid w:val="0052216F"/>
    <w:rsid w:val="00522188"/>
    <w:rsid w:val="005221E5"/>
    <w:rsid w:val="005221EE"/>
    <w:rsid w:val="00522259"/>
    <w:rsid w:val="0052228F"/>
    <w:rsid w:val="00522290"/>
    <w:rsid w:val="005222AF"/>
    <w:rsid w:val="005222FD"/>
    <w:rsid w:val="00522307"/>
    <w:rsid w:val="005223D8"/>
    <w:rsid w:val="00522491"/>
    <w:rsid w:val="00522556"/>
    <w:rsid w:val="0052267B"/>
    <w:rsid w:val="00522681"/>
    <w:rsid w:val="00522697"/>
    <w:rsid w:val="0052270A"/>
    <w:rsid w:val="005227E3"/>
    <w:rsid w:val="0052282D"/>
    <w:rsid w:val="00522868"/>
    <w:rsid w:val="0052295D"/>
    <w:rsid w:val="00522970"/>
    <w:rsid w:val="0052298F"/>
    <w:rsid w:val="005229FB"/>
    <w:rsid w:val="00522A6C"/>
    <w:rsid w:val="00522AAC"/>
    <w:rsid w:val="00522AE8"/>
    <w:rsid w:val="00522B0C"/>
    <w:rsid w:val="00522B6A"/>
    <w:rsid w:val="00522BB0"/>
    <w:rsid w:val="00522BC8"/>
    <w:rsid w:val="00522C4B"/>
    <w:rsid w:val="00522CA3"/>
    <w:rsid w:val="00522CC8"/>
    <w:rsid w:val="00522CEB"/>
    <w:rsid w:val="00522DC7"/>
    <w:rsid w:val="00522EB1"/>
    <w:rsid w:val="00522EF2"/>
    <w:rsid w:val="00523015"/>
    <w:rsid w:val="005230B5"/>
    <w:rsid w:val="005230C8"/>
    <w:rsid w:val="00523152"/>
    <w:rsid w:val="00523169"/>
    <w:rsid w:val="005231E3"/>
    <w:rsid w:val="0052323C"/>
    <w:rsid w:val="00523258"/>
    <w:rsid w:val="00523366"/>
    <w:rsid w:val="005233D8"/>
    <w:rsid w:val="00523492"/>
    <w:rsid w:val="005234A2"/>
    <w:rsid w:val="005234A7"/>
    <w:rsid w:val="0052351A"/>
    <w:rsid w:val="0052355B"/>
    <w:rsid w:val="005235B6"/>
    <w:rsid w:val="005235FE"/>
    <w:rsid w:val="00523676"/>
    <w:rsid w:val="00523686"/>
    <w:rsid w:val="005236DE"/>
    <w:rsid w:val="00523762"/>
    <w:rsid w:val="00523766"/>
    <w:rsid w:val="0052383F"/>
    <w:rsid w:val="00523860"/>
    <w:rsid w:val="005238BC"/>
    <w:rsid w:val="005238D5"/>
    <w:rsid w:val="00523903"/>
    <w:rsid w:val="00523A59"/>
    <w:rsid w:val="00523B05"/>
    <w:rsid w:val="00523C49"/>
    <w:rsid w:val="00523C53"/>
    <w:rsid w:val="00523CB7"/>
    <w:rsid w:val="00523D51"/>
    <w:rsid w:val="00523D82"/>
    <w:rsid w:val="00523DEF"/>
    <w:rsid w:val="00523E26"/>
    <w:rsid w:val="00523E72"/>
    <w:rsid w:val="00523ED1"/>
    <w:rsid w:val="00523FBD"/>
    <w:rsid w:val="00524013"/>
    <w:rsid w:val="00524071"/>
    <w:rsid w:val="00524072"/>
    <w:rsid w:val="005241E0"/>
    <w:rsid w:val="00524220"/>
    <w:rsid w:val="005242E6"/>
    <w:rsid w:val="00524322"/>
    <w:rsid w:val="005243AA"/>
    <w:rsid w:val="005243C4"/>
    <w:rsid w:val="00524502"/>
    <w:rsid w:val="00524512"/>
    <w:rsid w:val="0052459B"/>
    <w:rsid w:val="005245B3"/>
    <w:rsid w:val="00524603"/>
    <w:rsid w:val="00524644"/>
    <w:rsid w:val="0052465C"/>
    <w:rsid w:val="00524664"/>
    <w:rsid w:val="005246F7"/>
    <w:rsid w:val="0052473C"/>
    <w:rsid w:val="0052480B"/>
    <w:rsid w:val="00524833"/>
    <w:rsid w:val="005248B1"/>
    <w:rsid w:val="005248F7"/>
    <w:rsid w:val="005248FD"/>
    <w:rsid w:val="0052493C"/>
    <w:rsid w:val="00524986"/>
    <w:rsid w:val="005249C1"/>
    <w:rsid w:val="00524A4C"/>
    <w:rsid w:val="00524AA1"/>
    <w:rsid w:val="00524AAD"/>
    <w:rsid w:val="00524B14"/>
    <w:rsid w:val="00524B28"/>
    <w:rsid w:val="00524B2D"/>
    <w:rsid w:val="00524BFA"/>
    <w:rsid w:val="00524C86"/>
    <w:rsid w:val="00524C91"/>
    <w:rsid w:val="00524C92"/>
    <w:rsid w:val="00524CD2"/>
    <w:rsid w:val="00524D57"/>
    <w:rsid w:val="00524D6F"/>
    <w:rsid w:val="00524D80"/>
    <w:rsid w:val="00524E15"/>
    <w:rsid w:val="00524E5A"/>
    <w:rsid w:val="00524ECA"/>
    <w:rsid w:val="0052501C"/>
    <w:rsid w:val="0052503A"/>
    <w:rsid w:val="00525116"/>
    <w:rsid w:val="00525132"/>
    <w:rsid w:val="005251B7"/>
    <w:rsid w:val="00525316"/>
    <w:rsid w:val="0052538E"/>
    <w:rsid w:val="005253D2"/>
    <w:rsid w:val="0052544E"/>
    <w:rsid w:val="00525495"/>
    <w:rsid w:val="005254A1"/>
    <w:rsid w:val="005254C1"/>
    <w:rsid w:val="0052550D"/>
    <w:rsid w:val="005255A0"/>
    <w:rsid w:val="005255E2"/>
    <w:rsid w:val="00525685"/>
    <w:rsid w:val="00525717"/>
    <w:rsid w:val="00525752"/>
    <w:rsid w:val="00525756"/>
    <w:rsid w:val="005257A7"/>
    <w:rsid w:val="0052580F"/>
    <w:rsid w:val="00525811"/>
    <w:rsid w:val="0052584D"/>
    <w:rsid w:val="00525897"/>
    <w:rsid w:val="005258A9"/>
    <w:rsid w:val="005259C3"/>
    <w:rsid w:val="005259D1"/>
    <w:rsid w:val="005259FD"/>
    <w:rsid w:val="00525A21"/>
    <w:rsid w:val="00525ACC"/>
    <w:rsid w:val="00525B8C"/>
    <w:rsid w:val="00525B8D"/>
    <w:rsid w:val="00525BAE"/>
    <w:rsid w:val="00525C92"/>
    <w:rsid w:val="00525C99"/>
    <w:rsid w:val="00525CF5"/>
    <w:rsid w:val="00525DDC"/>
    <w:rsid w:val="00525E9C"/>
    <w:rsid w:val="00525F1F"/>
    <w:rsid w:val="00525F33"/>
    <w:rsid w:val="00525F95"/>
    <w:rsid w:val="00526093"/>
    <w:rsid w:val="00526099"/>
    <w:rsid w:val="00526109"/>
    <w:rsid w:val="00526117"/>
    <w:rsid w:val="005261CD"/>
    <w:rsid w:val="005261D6"/>
    <w:rsid w:val="005261E1"/>
    <w:rsid w:val="00526243"/>
    <w:rsid w:val="00526248"/>
    <w:rsid w:val="00526273"/>
    <w:rsid w:val="00526277"/>
    <w:rsid w:val="0052628A"/>
    <w:rsid w:val="0052628E"/>
    <w:rsid w:val="00526290"/>
    <w:rsid w:val="005262C6"/>
    <w:rsid w:val="005262D4"/>
    <w:rsid w:val="00526374"/>
    <w:rsid w:val="0052638E"/>
    <w:rsid w:val="005263B0"/>
    <w:rsid w:val="00526436"/>
    <w:rsid w:val="00526438"/>
    <w:rsid w:val="00526445"/>
    <w:rsid w:val="00526456"/>
    <w:rsid w:val="005264F5"/>
    <w:rsid w:val="0052651B"/>
    <w:rsid w:val="0052657B"/>
    <w:rsid w:val="005265CB"/>
    <w:rsid w:val="00526690"/>
    <w:rsid w:val="005266DF"/>
    <w:rsid w:val="005266FF"/>
    <w:rsid w:val="00526719"/>
    <w:rsid w:val="00526750"/>
    <w:rsid w:val="0052676E"/>
    <w:rsid w:val="005267F8"/>
    <w:rsid w:val="00526842"/>
    <w:rsid w:val="005268C1"/>
    <w:rsid w:val="0052690C"/>
    <w:rsid w:val="0052695A"/>
    <w:rsid w:val="005269DE"/>
    <w:rsid w:val="00526A64"/>
    <w:rsid w:val="00526ADA"/>
    <w:rsid w:val="00526AE2"/>
    <w:rsid w:val="00526BBC"/>
    <w:rsid w:val="00526C41"/>
    <w:rsid w:val="00526C5B"/>
    <w:rsid w:val="00526C87"/>
    <w:rsid w:val="00526D4C"/>
    <w:rsid w:val="00526D7F"/>
    <w:rsid w:val="00526DD5"/>
    <w:rsid w:val="00526E8C"/>
    <w:rsid w:val="00526E9E"/>
    <w:rsid w:val="00526ED7"/>
    <w:rsid w:val="00526FEF"/>
    <w:rsid w:val="00527020"/>
    <w:rsid w:val="0052707B"/>
    <w:rsid w:val="005270FC"/>
    <w:rsid w:val="0052715D"/>
    <w:rsid w:val="005271DD"/>
    <w:rsid w:val="005271E2"/>
    <w:rsid w:val="00527224"/>
    <w:rsid w:val="005272EA"/>
    <w:rsid w:val="00527344"/>
    <w:rsid w:val="0052734B"/>
    <w:rsid w:val="0052740C"/>
    <w:rsid w:val="0052744F"/>
    <w:rsid w:val="005274B2"/>
    <w:rsid w:val="00527571"/>
    <w:rsid w:val="00527582"/>
    <w:rsid w:val="005275A0"/>
    <w:rsid w:val="00527638"/>
    <w:rsid w:val="0052769D"/>
    <w:rsid w:val="0052776A"/>
    <w:rsid w:val="00527842"/>
    <w:rsid w:val="00527844"/>
    <w:rsid w:val="00527890"/>
    <w:rsid w:val="0052794F"/>
    <w:rsid w:val="0052796D"/>
    <w:rsid w:val="00527AA4"/>
    <w:rsid w:val="00527BE6"/>
    <w:rsid w:val="00527C03"/>
    <w:rsid w:val="00527C31"/>
    <w:rsid w:val="00527C77"/>
    <w:rsid w:val="00527CCA"/>
    <w:rsid w:val="00527D1C"/>
    <w:rsid w:val="00527DE9"/>
    <w:rsid w:val="00527DED"/>
    <w:rsid w:val="00527DF7"/>
    <w:rsid w:val="00527E67"/>
    <w:rsid w:val="00527ED7"/>
    <w:rsid w:val="00527F47"/>
    <w:rsid w:val="00527F72"/>
    <w:rsid w:val="00527F81"/>
    <w:rsid w:val="00527FAB"/>
    <w:rsid w:val="00527FC7"/>
    <w:rsid w:val="00527FDE"/>
    <w:rsid w:val="0053002D"/>
    <w:rsid w:val="0053005B"/>
    <w:rsid w:val="00530067"/>
    <w:rsid w:val="005300A5"/>
    <w:rsid w:val="00530198"/>
    <w:rsid w:val="00530255"/>
    <w:rsid w:val="00530297"/>
    <w:rsid w:val="00530356"/>
    <w:rsid w:val="005303F7"/>
    <w:rsid w:val="00530429"/>
    <w:rsid w:val="00530449"/>
    <w:rsid w:val="00530462"/>
    <w:rsid w:val="005304EA"/>
    <w:rsid w:val="00530570"/>
    <w:rsid w:val="00530632"/>
    <w:rsid w:val="00530763"/>
    <w:rsid w:val="00530790"/>
    <w:rsid w:val="005307B0"/>
    <w:rsid w:val="00530828"/>
    <w:rsid w:val="005308A7"/>
    <w:rsid w:val="005308D7"/>
    <w:rsid w:val="005308EB"/>
    <w:rsid w:val="0053094E"/>
    <w:rsid w:val="00530969"/>
    <w:rsid w:val="0053098A"/>
    <w:rsid w:val="00530A00"/>
    <w:rsid w:val="00530A22"/>
    <w:rsid w:val="00530A90"/>
    <w:rsid w:val="00530BB1"/>
    <w:rsid w:val="00530C01"/>
    <w:rsid w:val="00530C37"/>
    <w:rsid w:val="00530C67"/>
    <w:rsid w:val="00530CAA"/>
    <w:rsid w:val="00530CAF"/>
    <w:rsid w:val="00530CBF"/>
    <w:rsid w:val="00530CC9"/>
    <w:rsid w:val="00530CE8"/>
    <w:rsid w:val="00530D1B"/>
    <w:rsid w:val="00530E42"/>
    <w:rsid w:val="00530E7C"/>
    <w:rsid w:val="00530F38"/>
    <w:rsid w:val="00530F55"/>
    <w:rsid w:val="00530F8A"/>
    <w:rsid w:val="00530FA8"/>
    <w:rsid w:val="00530FCE"/>
    <w:rsid w:val="0053114A"/>
    <w:rsid w:val="0053116C"/>
    <w:rsid w:val="0053119D"/>
    <w:rsid w:val="005311E2"/>
    <w:rsid w:val="00531209"/>
    <w:rsid w:val="0053126B"/>
    <w:rsid w:val="005312EB"/>
    <w:rsid w:val="00531342"/>
    <w:rsid w:val="0053134A"/>
    <w:rsid w:val="00531367"/>
    <w:rsid w:val="005313BD"/>
    <w:rsid w:val="005313CA"/>
    <w:rsid w:val="005314BF"/>
    <w:rsid w:val="00531576"/>
    <w:rsid w:val="005315A6"/>
    <w:rsid w:val="005315B7"/>
    <w:rsid w:val="005315E3"/>
    <w:rsid w:val="005315F7"/>
    <w:rsid w:val="00531675"/>
    <w:rsid w:val="005316CA"/>
    <w:rsid w:val="0053170D"/>
    <w:rsid w:val="00531714"/>
    <w:rsid w:val="0053178C"/>
    <w:rsid w:val="005317CF"/>
    <w:rsid w:val="005317D1"/>
    <w:rsid w:val="005317F9"/>
    <w:rsid w:val="00531827"/>
    <w:rsid w:val="0053185B"/>
    <w:rsid w:val="0053188A"/>
    <w:rsid w:val="00531917"/>
    <w:rsid w:val="0053194B"/>
    <w:rsid w:val="0053196B"/>
    <w:rsid w:val="00531A28"/>
    <w:rsid w:val="00531A31"/>
    <w:rsid w:val="00531A40"/>
    <w:rsid w:val="00531A4C"/>
    <w:rsid w:val="00531AC1"/>
    <w:rsid w:val="00531AC9"/>
    <w:rsid w:val="00531B29"/>
    <w:rsid w:val="00531B98"/>
    <w:rsid w:val="00531B9B"/>
    <w:rsid w:val="00531BF3"/>
    <w:rsid w:val="00531C3C"/>
    <w:rsid w:val="00531D99"/>
    <w:rsid w:val="00531E64"/>
    <w:rsid w:val="00531F28"/>
    <w:rsid w:val="00531FC7"/>
    <w:rsid w:val="0053208A"/>
    <w:rsid w:val="005320B2"/>
    <w:rsid w:val="0053223D"/>
    <w:rsid w:val="0053229D"/>
    <w:rsid w:val="00532316"/>
    <w:rsid w:val="00532326"/>
    <w:rsid w:val="005323F5"/>
    <w:rsid w:val="00532412"/>
    <w:rsid w:val="00532474"/>
    <w:rsid w:val="005324C5"/>
    <w:rsid w:val="0053258A"/>
    <w:rsid w:val="005325A8"/>
    <w:rsid w:val="0053261B"/>
    <w:rsid w:val="0053268D"/>
    <w:rsid w:val="00532695"/>
    <w:rsid w:val="005326BE"/>
    <w:rsid w:val="005327A7"/>
    <w:rsid w:val="005327EC"/>
    <w:rsid w:val="00532A00"/>
    <w:rsid w:val="00532A34"/>
    <w:rsid w:val="00532B64"/>
    <w:rsid w:val="00532B65"/>
    <w:rsid w:val="00532B68"/>
    <w:rsid w:val="00532B99"/>
    <w:rsid w:val="00532BDA"/>
    <w:rsid w:val="00532C31"/>
    <w:rsid w:val="00532CB3"/>
    <w:rsid w:val="00532CF6"/>
    <w:rsid w:val="00532D05"/>
    <w:rsid w:val="00532D9E"/>
    <w:rsid w:val="00532DC8"/>
    <w:rsid w:val="00532EC9"/>
    <w:rsid w:val="00532F03"/>
    <w:rsid w:val="00532F43"/>
    <w:rsid w:val="00532FC8"/>
    <w:rsid w:val="0053304B"/>
    <w:rsid w:val="00533054"/>
    <w:rsid w:val="00533068"/>
    <w:rsid w:val="00533080"/>
    <w:rsid w:val="005330F5"/>
    <w:rsid w:val="0053316B"/>
    <w:rsid w:val="0053317C"/>
    <w:rsid w:val="005331B6"/>
    <w:rsid w:val="005331B8"/>
    <w:rsid w:val="00533230"/>
    <w:rsid w:val="00533321"/>
    <w:rsid w:val="005333EC"/>
    <w:rsid w:val="00533422"/>
    <w:rsid w:val="00533463"/>
    <w:rsid w:val="00533489"/>
    <w:rsid w:val="005334C5"/>
    <w:rsid w:val="005334DE"/>
    <w:rsid w:val="0053354F"/>
    <w:rsid w:val="0053358A"/>
    <w:rsid w:val="00533650"/>
    <w:rsid w:val="005336AE"/>
    <w:rsid w:val="005336B8"/>
    <w:rsid w:val="005336D9"/>
    <w:rsid w:val="00533748"/>
    <w:rsid w:val="00533757"/>
    <w:rsid w:val="005337A6"/>
    <w:rsid w:val="005337F3"/>
    <w:rsid w:val="005337FB"/>
    <w:rsid w:val="005338F2"/>
    <w:rsid w:val="00533A21"/>
    <w:rsid w:val="00533A6F"/>
    <w:rsid w:val="00533A88"/>
    <w:rsid w:val="00533B9A"/>
    <w:rsid w:val="00533BF9"/>
    <w:rsid w:val="00533CEE"/>
    <w:rsid w:val="00533D55"/>
    <w:rsid w:val="00533D67"/>
    <w:rsid w:val="00533DF6"/>
    <w:rsid w:val="00533E0F"/>
    <w:rsid w:val="00533E65"/>
    <w:rsid w:val="00533E72"/>
    <w:rsid w:val="00533FD6"/>
    <w:rsid w:val="00533FFD"/>
    <w:rsid w:val="0053407B"/>
    <w:rsid w:val="00534087"/>
    <w:rsid w:val="00534105"/>
    <w:rsid w:val="005341C6"/>
    <w:rsid w:val="005341D6"/>
    <w:rsid w:val="005342B6"/>
    <w:rsid w:val="005342BF"/>
    <w:rsid w:val="005343A1"/>
    <w:rsid w:val="005343D4"/>
    <w:rsid w:val="005343D7"/>
    <w:rsid w:val="005343D8"/>
    <w:rsid w:val="00534415"/>
    <w:rsid w:val="00534469"/>
    <w:rsid w:val="005344EF"/>
    <w:rsid w:val="00534517"/>
    <w:rsid w:val="00534571"/>
    <w:rsid w:val="005345BE"/>
    <w:rsid w:val="005345BF"/>
    <w:rsid w:val="005345F6"/>
    <w:rsid w:val="00534671"/>
    <w:rsid w:val="00534685"/>
    <w:rsid w:val="005346A9"/>
    <w:rsid w:val="005346D4"/>
    <w:rsid w:val="00534842"/>
    <w:rsid w:val="0053486E"/>
    <w:rsid w:val="0053487A"/>
    <w:rsid w:val="005348B6"/>
    <w:rsid w:val="0053498E"/>
    <w:rsid w:val="005349F1"/>
    <w:rsid w:val="00534A4E"/>
    <w:rsid w:val="00534AA5"/>
    <w:rsid w:val="00534AC8"/>
    <w:rsid w:val="00534B34"/>
    <w:rsid w:val="00534B8C"/>
    <w:rsid w:val="00534BA9"/>
    <w:rsid w:val="00534BBA"/>
    <w:rsid w:val="00534C1F"/>
    <w:rsid w:val="00534CD1"/>
    <w:rsid w:val="00534CEF"/>
    <w:rsid w:val="00534D9C"/>
    <w:rsid w:val="00534DC3"/>
    <w:rsid w:val="00534DE7"/>
    <w:rsid w:val="00534EE8"/>
    <w:rsid w:val="00534F31"/>
    <w:rsid w:val="00534FA5"/>
    <w:rsid w:val="00534FCC"/>
    <w:rsid w:val="00535002"/>
    <w:rsid w:val="0053509F"/>
    <w:rsid w:val="005350CA"/>
    <w:rsid w:val="005350F8"/>
    <w:rsid w:val="00535116"/>
    <w:rsid w:val="00535133"/>
    <w:rsid w:val="0053516C"/>
    <w:rsid w:val="00535179"/>
    <w:rsid w:val="00535210"/>
    <w:rsid w:val="005352AC"/>
    <w:rsid w:val="005353B8"/>
    <w:rsid w:val="005353D7"/>
    <w:rsid w:val="005353E8"/>
    <w:rsid w:val="00535491"/>
    <w:rsid w:val="00535531"/>
    <w:rsid w:val="0053553C"/>
    <w:rsid w:val="00535578"/>
    <w:rsid w:val="00535580"/>
    <w:rsid w:val="005355B0"/>
    <w:rsid w:val="00535648"/>
    <w:rsid w:val="0053568D"/>
    <w:rsid w:val="0053579C"/>
    <w:rsid w:val="005357D6"/>
    <w:rsid w:val="0053588C"/>
    <w:rsid w:val="0053595F"/>
    <w:rsid w:val="0053596F"/>
    <w:rsid w:val="0053598D"/>
    <w:rsid w:val="005359AD"/>
    <w:rsid w:val="00535A23"/>
    <w:rsid w:val="00535A2B"/>
    <w:rsid w:val="00535B65"/>
    <w:rsid w:val="00535B6E"/>
    <w:rsid w:val="00535BA4"/>
    <w:rsid w:val="00535BA6"/>
    <w:rsid w:val="00535BF5"/>
    <w:rsid w:val="00535D19"/>
    <w:rsid w:val="00535D4E"/>
    <w:rsid w:val="00535DD5"/>
    <w:rsid w:val="00535DEC"/>
    <w:rsid w:val="00535E6A"/>
    <w:rsid w:val="00535ECE"/>
    <w:rsid w:val="00535F1A"/>
    <w:rsid w:val="00535F48"/>
    <w:rsid w:val="00535F53"/>
    <w:rsid w:val="00535FE0"/>
    <w:rsid w:val="00536026"/>
    <w:rsid w:val="005360F7"/>
    <w:rsid w:val="00536112"/>
    <w:rsid w:val="00536113"/>
    <w:rsid w:val="0053611F"/>
    <w:rsid w:val="00536141"/>
    <w:rsid w:val="00536195"/>
    <w:rsid w:val="0053619D"/>
    <w:rsid w:val="00536202"/>
    <w:rsid w:val="0053621B"/>
    <w:rsid w:val="0053629B"/>
    <w:rsid w:val="005362DB"/>
    <w:rsid w:val="00536386"/>
    <w:rsid w:val="005363BA"/>
    <w:rsid w:val="00536420"/>
    <w:rsid w:val="00536472"/>
    <w:rsid w:val="00536538"/>
    <w:rsid w:val="005365ED"/>
    <w:rsid w:val="00536621"/>
    <w:rsid w:val="00536637"/>
    <w:rsid w:val="00536658"/>
    <w:rsid w:val="005366CD"/>
    <w:rsid w:val="0053675B"/>
    <w:rsid w:val="0053677C"/>
    <w:rsid w:val="005367B4"/>
    <w:rsid w:val="0053686C"/>
    <w:rsid w:val="0053687C"/>
    <w:rsid w:val="005368D4"/>
    <w:rsid w:val="00536971"/>
    <w:rsid w:val="00536A2F"/>
    <w:rsid w:val="00536B6C"/>
    <w:rsid w:val="00536B90"/>
    <w:rsid w:val="00536BA8"/>
    <w:rsid w:val="00536BB9"/>
    <w:rsid w:val="00536BBF"/>
    <w:rsid w:val="00536BF1"/>
    <w:rsid w:val="00536C59"/>
    <w:rsid w:val="00536C6B"/>
    <w:rsid w:val="00536E18"/>
    <w:rsid w:val="00536E7E"/>
    <w:rsid w:val="00536F76"/>
    <w:rsid w:val="0053706A"/>
    <w:rsid w:val="005370D7"/>
    <w:rsid w:val="0053710A"/>
    <w:rsid w:val="0053713D"/>
    <w:rsid w:val="00537143"/>
    <w:rsid w:val="00537144"/>
    <w:rsid w:val="0053715F"/>
    <w:rsid w:val="005371F4"/>
    <w:rsid w:val="00537202"/>
    <w:rsid w:val="0053721B"/>
    <w:rsid w:val="00537279"/>
    <w:rsid w:val="005372AF"/>
    <w:rsid w:val="005372BE"/>
    <w:rsid w:val="005372DB"/>
    <w:rsid w:val="005372FD"/>
    <w:rsid w:val="00537355"/>
    <w:rsid w:val="0053735B"/>
    <w:rsid w:val="00537395"/>
    <w:rsid w:val="005373FE"/>
    <w:rsid w:val="005374F0"/>
    <w:rsid w:val="00537539"/>
    <w:rsid w:val="005376CB"/>
    <w:rsid w:val="005376D8"/>
    <w:rsid w:val="005376E4"/>
    <w:rsid w:val="0053771A"/>
    <w:rsid w:val="0053778A"/>
    <w:rsid w:val="005377B9"/>
    <w:rsid w:val="005377E8"/>
    <w:rsid w:val="00537805"/>
    <w:rsid w:val="0053781D"/>
    <w:rsid w:val="00537859"/>
    <w:rsid w:val="00537897"/>
    <w:rsid w:val="005378A7"/>
    <w:rsid w:val="005378AC"/>
    <w:rsid w:val="005378B9"/>
    <w:rsid w:val="005378BA"/>
    <w:rsid w:val="005378C7"/>
    <w:rsid w:val="0053791D"/>
    <w:rsid w:val="00537A67"/>
    <w:rsid w:val="00537A81"/>
    <w:rsid w:val="00537A90"/>
    <w:rsid w:val="00537AB0"/>
    <w:rsid w:val="00537AE9"/>
    <w:rsid w:val="00537B07"/>
    <w:rsid w:val="00537B9E"/>
    <w:rsid w:val="00537C0E"/>
    <w:rsid w:val="00537C3B"/>
    <w:rsid w:val="00537C40"/>
    <w:rsid w:val="00537C6C"/>
    <w:rsid w:val="00537C6F"/>
    <w:rsid w:val="00537CC8"/>
    <w:rsid w:val="00537D0F"/>
    <w:rsid w:val="00537D45"/>
    <w:rsid w:val="00537D71"/>
    <w:rsid w:val="00537E27"/>
    <w:rsid w:val="00537E71"/>
    <w:rsid w:val="00537ECF"/>
    <w:rsid w:val="00537EFC"/>
    <w:rsid w:val="00537F84"/>
    <w:rsid w:val="0053A7E0"/>
    <w:rsid w:val="005400C3"/>
    <w:rsid w:val="005400EB"/>
    <w:rsid w:val="0054014D"/>
    <w:rsid w:val="00540185"/>
    <w:rsid w:val="00540189"/>
    <w:rsid w:val="00540244"/>
    <w:rsid w:val="0054025A"/>
    <w:rsid w:val="005402EF"/>
    <w:rsid w:val="00540346"/>
    <w:rsid w:val="0054038F"/>
    <w:rsid w:val="005403C6"/>
    <w:rsid w:val="005403E4"/>
    <w:rsid w:val="00540431"/>
    <w:rsid w:val="00540453"/>
    <w:rsid w:val="0054049C"/>
    <w:rsid w:val="00540521"/>
    <w:rsid w:val="00540559"/>
    <w:rsid w:val="005405B7"/>
    <w:rsid w:val="00540635"/>
    <w:rsid w:val="00540695"/>
    <w:rsid w:val="005406BE"/>
    <w:rsid w:val="005406C0"/>
    <w:rsid w:val="005406DC"/>
    <w:rsid w:val="0054071A"/>
    <w:rsid w:val="00540773"/>
    <w:rsid w:val="00540802"/>
    <w:rsid w:val="005408D8"/>
    <w:rsid w:val="00540940"/>
    <w:rsid w:val="0054098E"/>
    <w:rsid w:val="005409BA"/>
    <w:rsid w:val="005409C1"/>
    <w:rsid w:val="005409C8"/>
    <w:rsid w:val="00540A5E"/>
    <w:rsid w:val="00540A76"/>
    <w:rsid w:val="00540A7B"/>
    <w:rsid w:val="00540B03"/>
    <w:rsid w:val="00540B2A"/>
    <w:rsid w:val="00540BE5"/>
    <w:rsid w:val="00540C5C"/>
    <w:rsid w:val="00540CBE"/>
    <w:rsid w:val="00540DB8"/>
    <w:rsid w:val="00540DF0"/>
    <w:rsid w:val="00540E05"/>
    <w:rsid w:val="00540E7C"/>
    <w:rsid w:val="00540E93"/>
    <w:rsid w:val="00540ED1"/>
    <w:rsid w:val="00540EED"/>
    <w:rsid w:val="00540F6B"/>
    <w:rsid w:val="00540F6C"/>
    <w:rsid w:val="00540FA8"/>
    <w:rsid w:val="00540FD5"/>
    <w:rsid w:val="00541037"/>
    <w:rsid w:val="005410B1"/>
    <w:rsid w:val="005410DC"/>
    <w:rsid w:val="00541126"/>
    <w:rsid w:val="0054114A"/>
    <w:rsid w:val="00541186"/>
    <w:rsid w:val="005411CD"/>
    <w:rsid w:val="00541205"/>
    <w:rsid w:val="00541238"/>
    <w:rsid w:val="00541304"/>
    <w:rsid w:val="00541323"/>
    <w:rsid w:val="00541371"/>
    <w:rsid w:val="0054137F"/>
    <w:rsid w:val="005413D6"/>
    <w:rsid w:val="0054148A"/>
    <w:rsid w:val="005414DF"/>
    <w:rsid w:val="00541578"/>
    <w:rsid w:val="005415E3"/>
    <w:rsid w:val="0054160F"/>
    <w:rsid w:val="00541636"/>
    <w:rsid w:val="00541659"/>
    <w:rsid w:val="0054166A"/>
    <w:rsid w:val="00541700"/>
    <w:rsid w:val="00541747"/>
    <w:rsid w:val="00541781"/>
    <w:rsid w:val="0054178C"/>
    <w:rsid w:val="00541841"/>
    <w:rsid w:val="0054184F"/>
    <w:rsid w:val="005418B5"/>
    <w:rsid w:val="00541952"/>
    <w:rsid w:val="00541958"/>
    <w:rsid w:val="0054197D"/>
    <w:rsid w:val="005419B9"/>
    <w:rsid w:val="005419C5"/>
    <w:rsid w:val="00541A2D"/>
    <w:rsid w:val="00541A37"/>
    <w:rsid w:val="00541B9D"/>
    <w:rsid w:val="00541BE1"/>
    <w:rsid w:val="00541BFD"/>
    <w:rsid w:val="00541C27"/>
    <w:rsid w:val="00541D4C"/>
    <w:rsid w:val="00541D66"/>
    <w:rsid w:val="00541DCE"/>
    <w:rsid w:val="00541E11"/>
    <w:rsid w:val="00541E14"/>
    <w:rsid w:val="00541EC5"/>
    <w:rsid w:val="00541FEA"/>
    <w:rsid w:val="00542079"/>
    <w:rsid w:val="005421A9"/>
    <w:rsid w:val="005421AC"/>
    <w:rsid w:val="00542204"/>
    <w:rsid w:val="00542209"/>
    <w:rsid w:val="00542224"/>
    <w:rsid w:val="00542251"/>
    <w:rsid w:val="00542253"/>
    <w:rsid w:val="0054226F"/>
    <w:rsid w:val="00542295"/>
    <w:rsid w:val="005422F8"/>
    <w:rsid w:val="00542344"/>
    <w:rsid w:val="0054235B"/>
    <w:rsid w:val="00542387"/>
    <w:rsid w:val="00542395"/>
    <w:rsid w:val="005423F2"/>
    <w:rsid w:val="0054242C"/>
    <w:rsid w:val="0054245E"/>
    <w:rsid w:val="005424FD"/>
    <w:rsid w:val="00542510"/>
    <w:rsid w:val="0054255F"/>
    <w:rsid w:val="005425AD"/>
    <w:rsid w:val="00542618"/>
    <w:rsid w:val="00542630"/>
    <w:rsid w:val="00542669"/>
    <w:rsid w:val="0054269E"/>
    <w:rsid w:val="0054269F"/>
    <w:rsid w:val="005426A6"/>
    <w:rsid w:val="005427B8"/>
    <w:rsid w:val="005427F6"/>
    <w:rsid w:val="0054282D"/>
    <w:rsid w:val="00542940"/>
    <w:rsid w:val="0054298F"/>
    <w:rsid w:val="00542A95"/>
    <w:rsid w:val="00542AB5"/>
    <w:rsid w:val="00542B2F"/>
    <w:rsid w:val="00542B54"/>
    <w:rsid w:val="00542BB1"/>
    <w:rsid w:val="00542C1A"/>
    <w:rsid w:val="00542CE2"/>
    <w:rsid w:val="00542D1B"/>
    <w:rsid w:val="00542DAD"/>
    <w:rsid w:val="00542DBF"/>
    <w:rsid w:val="00542DCA"/>
    <w:rsid w:val="00542DED"/>
    <w:rsid w:val="00542E88"/>
    <w:rsid w:val="00542EA2"/>
    <w:rsid w:val="00542ECE"/>
    <w:rsid w:val="00542F53"/>
    <w:rsid w:val="00542FF0"/>
    <w:rsid w:val="005430FC"/>
    <w:rsid w:val="00543129"/>
    <w:rsid w:val="0054316A"/>
    <w:rsid w:val="005431D9"/>
    <w:rsid w:val="00543251"/>
    <w:rsid w:val="005432AB"/>
    <w:rsid w:val="005432CE"/>
    <w:rsid w:val="0054336D"/>
    <w:rsid w:val="005433E2"/>
    <w:rsid w:val="005433E4"/>
    <w:rsid w:val="0054341D"/>
    <w:rsid w:val="005434A1"/>
    <w:rsid w:val="005434C1"/>
    <w:rsid w:val="005434ED"/>
    <w:rsid w:val="00543536"/>
    <w:rsid w:val="0054358F"/>
    <w:rsid w:val="00543592"/>
    <w:rsid w:val="0054359F"/>
    <w:rsid w:val="005435F1"/>
    <w:rsid w:val="0054360D"/>
    <w:rsid w:val="0054363D"/>
    <w:rsid w:val="0054367C"/>
    <w:rsid w:val="005436CD"/>
    <w:rsid w:val="005436D8"/>
    <w:rsid w:val="005436DC"/>
    <w:rsid w:val="005436E3"/>
    <w:rsid w:val="005436F8"/>
    <w:rsid w:val="00543701"/>
    <w:rsid w:val="005437B3"/>
    <w:rsid w:val="005437B5"/>
    <w:rsid w:val="00543805"/>
    <w:rsid w:val="0054394D"/>
    <w:rsid w:val="0054397F"/>
    <w:rsid w:val="005439FC"/>
    <w:rsid w:val="00543B07"/>
    <w:rsid w:val="00543B3E"/>
    <w:rsid w:val="00543B64"/>
    <w:rsid w:val="00543B6A"/>
    <w:rsid w:val="00543BC6"/>
    <w:rsid w:val="00543C37"/>
    <w:rsid w:val="00543C58"/>
    <w:rsid w:val="00543C61"/>
    <w:rsid w:val="00543CFA"/>
    <w:rsid w:val="00543D85"/>
    <w:rsid w:val="00543DFA"/>
    <w:rsid w:val="00543E41"/>
    <w:rsid w:val="00543E86"/>
    <w:rsid w:val="00543EC5"/>
    <w:rsid w:val="00543F04"/>
    <w:rsid w:val="00543F7C"/>
    <w:rsid w:val="00544001"/>
    <w:rsid w:val="0054405F"/>
    <w:rsid w:val="00544068"/>
    <w:rsid w:val="005440FD"/>
    <w:rsid w:val="0054413F"/>
    <w:rsid w:val="00544142"/>
    <w:rsid w:val="00544179"/>
    <w:rsid w:val="0054421F"/>
    <w:rsid w:val="00544324"/>
    <w:rsid w:val="00544383"/>
    <w:rsid w:val="005443AD"/>
    <w:rsid w:val="005443F6"/>
    <w:rsid w:val="0054440F"/>
    <w:rsid w:val="0054443D"/>
    <w:rsid w:val="00544456"/>
    <w:rsid w:val="00544458"/>
    <w:rsid w:val="005444A7"/>
    <w:rsid w:val="00544538"/>
    <w:rsid w:val="00544644"/>
    <w:rsid w:val="005446F7"/>
    <w:rsid w:val="0054471E"/>
    <w:rsid w:val="00544793"/>
    <w:rsid w:val="005447B0"/>
    <w:rsid w:val="005447B9"/>
    <w:rsid w:val="005447E9"/>
    <w:rsid w:val="00544822"/>
    <w:rsid w:val="0054492B"/>
    <w:rsid w:val="0054492E"/>
    <w:rsid w:val="00544991"/>
    <w:rsid w:val="005449A1"/>
    <w:rsid w:val="005449D0"/>
    <w:rsid w:val="005449D1"/>
    <w:rsid w:val="00544A41"/>
    <w:rsid w:val="00544AA7"/>
    <w:rsid w:val="00544AE0"/>
    <w:rsid w:val="00544B3F"/>
    <w:rsid w:val="00544B4A"/>
    <w:rsid w:val="00544C45"/>
    <w:rsid w:val="00544C6C"/>
    <w:rsid w:val="00544CEE"/>
    <w:rsid w:val="00544D32"/>
    <w:rsid w:val="00544D6A"/>
    <w:rsid w:val="00544D90"/>
    <w:rsid w:val="00544DC8"/>
    <w:rsid w:val="00544DE4"/>
    <w:rsid w:val="00544E09"/>
    <w:rsid w:val="00544E5E"/>
    <w:rsid w:val="00544F4B"/>
    <w:rsid w:val="00544F74"/>
    <w:rsid w:val="00544FA9"/>
    <w:rsid w:val="00545035"/>
    <w:rsid w:val="0054504D"/>
    <w:rsid w:val="00545081"/>
    <w:rsid w:val="005450A9"/>
    <w:rsid w:val="005450CB"/>
    <w:rsid w:val="0054510F"/>
    <w:rsid w:val="00545120"/>
    <w:rsid w:val="00545158"/>
    <w:rsid w:val="005452EF"/>
    <w:rsid w:val="00545340"/>
    <w:rsid w:val="00545344"/>
    <w:rsid w:val="0054534F"/>
    <w:rsid w:val="005454C2"/>
    <w:rsid w:val="0054561F"/>
    <w:rsid w:val="005456DE"/>
    <w:rsid w:val="005456FF"/>
    <w:rsid w:val="0054572A"/>
    <w:rsid w:val="005457AF"/>
    <w:rsid w:val="005457E1"/>
    <w:rsid w:val="005457FA"/>
    <w:rsid w:val="00545841"/>
    <w:rsid w:val="005458E1"/>
    <w:rsid w:val="005458EF"/>
    <w:rsid w:val="00545999"/>
    <w:rsid w:val="0054599F"/>
    <w:rsid w:val="005459E8"/>
    <w:rsid w:val="00545A2B"/>
    <w:rsid w:val="00545A8D"/>
    <w:rsid w:val="00545A93"/>
    <w:rsid w:val="00545AAA"/>
    <w:rsid w:val="00545BBF"/>
    <w:rsid w:val="00545BFA"/>
    <w:rsid w:val="00545C1B"/>
    <w:rsid w:val="00545CD7"/>
    <w:rsid w:val="00545CFA"/>
    <w:rsid w:val="00545D32"/>
    <w:rsid w:val="00545D74"/>
    <w:rsid w:val="00545DF7"/>
    <w:rsid w:val="00545F94"/>
    <w:rsid w:val="00545FBB"/>
    <w:rsid w:val="0054602B"/>
    <w:rsid w:val="005460CD"/>
    <w:rsid w:val="0054616E"/>
    <w:rsid w:val="00546180"/>
    <w:rsid w:val="005461B0"/>
    <w:rsid w:val="005461F7"/>
    <w:rsid w:val="0054627F"/>
    <w:rsid w:val="0054629C"/>
    <w:rsid w:val="005462B4"/>
    <w:rsid w:val="00546412"/>
    <w:rsid w:val="00546413"/>
    <w:rsid w:val="005464AA"/>
    <w:rsid w:val="005464EA"/>
    <w:rsid w:val="005464ED"/>
    <w:rsid w:val="00546768"/>
    <w:rsid w:val="005467A9"/>
    <w:rsid w:val="005467C9"/>
    <w:rsid w:val="005467F4"/>
    <w:rsid w:val="00546808"/>
    <w:rsid w:val="005468D2"/>
    <w:rsid w:val="005468EA"/>
    <w:rsid w:val="00546918"/>
    <w:rsid w:val="00546963"/>
    <w:rsid w:val="0054696E"/>
    <w:rsid w:val="00546A0B"/>
    <w:rsid w:val="00546A13"/>
    <w:rsid w:val="00546A9A"/>
    <w:rsid w:val="00546AFF"/>
    <w:rsid w:val="00546B18"/>
    <w:rsid w:val="00546C55"/>
    <w:rsid w:val="00546D30"/>
    <w:rsid w:val="00546D81"/>
    <w:rsid w:val="00546E21"/>
    <w:rsid w:val="00546EFA"/>
    <w:rsid w:val="00546F08"/>
    <w:rsid w:val="00546F0D"/>
    <w:rsid w:val="00546FE4"/>
    <w:rsid w:val="00547105"/>
    <w:rsid w:val="00547155"/>
    <w:rsid w:val="00547166"/>
    <w:rsid w:val="00547193"/>
    <w:rsid w:val="00547248"/>
    <w:rsid w:val="00547272"/>
    <w:rsid w:val="00547276"/>
    <w:rsid w:val="005473EE"/>
    <w:rsid w:val="005473F3"/>
    <w:rsid w:val="005473FE"/>
    <w:rsid w:val="00547427"/>
    <w:rsid w:val="0054745E"/>
    <w:rsid w:val="005474E3"/>
    <w:rsid w:val="00547518"/>
    <w:rsid w:val="00547532"/>
    <w:rsid w:val="0054767A"/>
    <w:rsid w:val="0054770F"/>
    <w:rsid w:val="0054778B"/>
    <w:rsid w:val="005477A8"/>
    <w:rsid w:val="0054785A"/>
    <w:rsid w:val="00547876"/>
    <w:rsid w:val="00547CB7"/>
    <w:rsid w:val="00547CFC"/>
    <w:rsid w:val="00547D66"/>
    <w:rsid w:val="00547D95"/>
    <w:rsid w:val="00547DF8"/>
    <w:rsid w:val="00547EFE"/>
    <w:rsid w:val="00550018"/>
    <w:rsid w:val="00550049"/>
    <w:rsid w:val="00550062"/>
    <w:rsid w:val="005500CF"/>
    <w:rsid w:val="0055010F"/>
    <w:rsid w:val="0055014C"/>
    <w:rsid w:val="005501EF"/>
    <w:rsid w:val="005502AE"/>
    <w:rsid w:val="005502D3"/>
    <w:rsid w:val="00550368"/>
    <w:rsid w:val="00550412"/>
    <w:rsid w:val="00550452"/>
    <w:rsid w:val="00550589"/>
    <w:rsid w:val="005505DE"/>
    <w:rsid w:val="00550644"/>
    <w:rsid w:val="00550648"/>
    <w:rsid w:val="0055064F"/>
    <w:rsid w:val="005506EA"/>
    <w:rsid w:val="005506F6"/>
    <w:rsid w:val="00550700"/>
    <w:rsid w:val="0055083C"/>
    <w:rsid w:val="005508AE"/>
    <w:rsid w:val="005508C8"/>
    <w:rsid w:val="005508DF"/>
    <w:rsid w:val="005508F9"/>
    <w:rsid w:val="00550913"/>
    <w:rsid w:val="005509E1"/>
    <w:rsid w:val="00550A1D"/>
    <w:rsid w:val="00550AE0"/>
    <w:rsid w:val="00550B72"/>
    <w:rsid w:val="00550B8D"/>
    <w:rsid w:val="00550BB2"/>
    <w:rsid w:val="00550C10"/>
    <w:rsid w:val="00550C28"/>
    <w:rsid w:val="00550C9F"/>
    <w:rsid w:val="00550CEC"/>
    <w:rsid w:val="00550DA2"/>
    <w:rsid w:val="00550DC9"/>
    <w:rsid w:val="00550DDE"/>
    <w:rsid w:val="00550E20"/>
    <w:rsid w:val="00550E53"/>
    <w:rsid w:val="00550EE7"/>
    <w:rsid w:val="00550FA3"/>
    <w:rsid w:val="00550FDE"/>
    <w:rsid w:val="00551085"/>
    <w:rsid w:val="00551122"/>
    <w:rsid w:val="00551131"/>
    <w:rsid w:val="00551156"/>
    <w:rsid w:val="00551272"/>
    <w:rsid w:val="0055128E"/>
    <w:rsid w:val="005512B9"/>
    <w:rsid w:val="0055131A"/>
    <w:rsid w:val="00551353"/>
    <w:rsid w:val="00551382"/>
    <w:rsid w:val="005514A8"/>
    <w:rsid w:val="005514B7"/>
    <w:rsid w:val="005514C9"/>
    <w:rsid w:val="0055151F"/>
    <w:rsid w:val="00551577"/>
    <w:rsid w:val="00551578"/>
    <w:rsid w:val="00551686"/>
    <w:rsid w:val="005516DB"/>
    <w:rsid w:val="005516FE"/>
    <w:rsid w:val="00551723"/>
    <w:rsid w:val="00551757"/>
    <w:rsid w:val="005517DF"/>
    <w:rsid w:val="0055181A"/>
    <w:rsid w:val="0055184D"/>
    <w:rsid w:val="00551856"/>
    <w:rsid w:val="00551861"/>
    <w:rsid w:val="00551885"/>
    <w:rsid w:val="005518A1"/>
    <w:rsid w:val="005518B0"/>
    <w:rsid w:val="005519E8"/>
    <w:rsid w:val="00551A68"/>
    <w:rsid w:val="00551A7F"/>
    <w:rsid w:val="00551B2B"/>
    <w:rsid w:val="00551BBC"/>
    <w:rsid w:val="00551BD7"/>
    <w:rsid w:val="00551C7C"/>
    <w:rsid w:val="00551CA7"/>
    <w:rsid w:val="00551CE2"/>
    <w:rsid w:val="00551D29"/>
    <w:rsid w:val="00551D6A"/>
    <w:rsid w:val="00551E27"/>
    <w:rsid w:val="00551E66"/>
    <w:rsid w:val="00551E6B"/>
    <w:rsid w:val="00551EAD"/>
    <w:rsid w:val="00551F76"/>
    <w:rsid w:val="00551FB6"/>
    <w:rsid w:val="0055202B"/>
    <w:rsid w:val="00552096"/>
    <w:rsid w:val="0055212E"/>
    <w:rsid w:val="0055213E"/>
    <w:rsid w:val="00552146"/>
    <w:rsid w:val="00552174"/>
    <w:rsid w:val="00552175"/>
    <w:rsid w:val="00552189"/>
    <w:rsid w:val="005521D1"/>
    <w:rsid w:val="00552227"/>
    <w:rsid w:val="0055225C"/>
    <w:rsid w:val="00552264"/>
    <w:rsid w:val="005522B1"/>
    <w:rsid w:val="00552302"/>
    <w:rsid w:val="00552319"/>
    <w:rsid w:val="005523A5"/>
    <w:rsid w:val="005523DE"/>
    <w:rsid w:val="0055242F"/>
    <w:rsid w:val="00552447"/>
    <w:rsid w:val="00552452"/>
    <w:rsid w:val="00552460"/>
    <w:rsid w:val="0055248A"/>
    <w:rsid w:val="00552544"/>
    <w:rsid w:val="0055259C"/>
    <w:rsid w:val="005525FA"/>
    <w:rsid w:val="00552682"/>
    <w:rsid w:val="005526D2"/>
    <w:rsid w:val="0055284B"/>
    <w:rsid w:val="005528C3"/>
    <w:rsid w:val="00552AA0"/>
    <w:rsid w:val="00552AE7"/>
    <w:rsid w:val="00552B56"/>
    <w:rsid w:val="00552B87"/>
    <w:rsid w:val="00552BA3"/>
    <w:rsid w:val="00552BBD"/>
    <w:rsid w:val="00552C14"/>
    <w:rsid w:val="00552C19"/>
    <w:rsid w:val="00552C2B"/>
    <w:rsid w:val="00552C69"/>
    <w:rsid w:val="00552CBB"/>
    <w:rsid w:val="00552D3F"/>
    <w:rsid w:val="00552D64"/>
    <w:rsid w:val="00552D90"/>
    <w:rsid w:val="00552DCF"/>
    <w:rsid w:val="00552E48"/>
    <w:rsid w:val="00552E5A"/>
    <w:rsid w:val="00552EE3"/>
    <w:rsid w:val="00552FA0"/>
    <w:rsid w:val="00552FA5"/>
    <w:rsid w:val="00552FB8"/>
    <w:rsid w:val="00553009"/>
    <w:rsid w:val="005530B2"/>
    <w:rsid w:val="005530B4"/>
    <w:rsid w:val="005530D5"/>
    <w:rsid w:val="00553127"/>
    <w:rsid w:val="00553148"/>
    <w:rsid w:val="00553169"/>
    <w:rsid w:val="0055318F"/>
    <w:rsid w:val="005531D0"/>
    <w:rsid w:val="00553244"/>
    <w:rsid w:val="0055335F"/>
    <w:rsid w:val="005533AA"/>
    <w:rsid w:val="005533C7"/>
    <w:rsid w:val="005533F5"/>
    <w:rsid w:val="00553428"/>
    <w:rsid w:val="00553442"/>
    <w:rsid w:val="0055345C"/>
    <w:rsid w:val="005534CA"/>
    <w:rsid w:val="0055359E"/>
    <w:rsid w:val="00553650"/>
    <w:rsid w:val="00553706"/>
    <w:rsid w:val="0055370E"/>
    <w:rsid w:val="0055375C"/>
    <w:rsid w:val="00553859"/>
    <w:rsid w:val="00553879"/>
    <w:rsid w:val="00553882"/>
    <w:rsid w:val="005538ED"/>
    <w:rsid w:val="0055390A"/>
    <w:rsid w:val="00553917"/>
    <w:rsid w:val="0055398C"/>
    <w:rsid w:val="005539C5"/>
    <w:rsid w:val="00553A6F"/>
    <w:rsid w:val="00553A74"/>
    <w:rsid w:val="00553AD8"/>
    <w:rsid w:val="00553B04"/>
    <w:rsid w:val="00553B26"/>
    <w:rsid w:val="00553BBD"/>
    <w:rsid w:val="00553C2D"/>
    <w:rsid w:val="00553CC1"/>
    <w:rsid w:val="00553CD0"/>
    <w:rsid w:val="00553D74"/>
    <w:rsid w:val="00553DF3"/>
    <w:rsid w:val="00553E4E"/>
    <w:rsid w:val="00553E65"/>
    <w:rsid w:val="00553E84"/>
    <w:rsid w:val="00553E8A"/>
    <w:rsid w:val="00553ECC"/>
    <w:rsid w:val="00553ECE"/>
    <w:rsid w:val="00553ED9"/>
    <w:rsid w:val="0055403B"/>
    <w:rsid w:val="00554041"/>
    <w:rsid w:val="0055406C"/>
    <w:rsid w:val="005540BD"/>
    <w:rsid w:val="00554183"/>
    <w:rsid w:val="00554193"/>
    <w:rsid w:val="005542F9"/>
    <w:rsid w:val="00554317"/>
    <w:rsid w:val="0055432D"/>
    <w:rsid w:val="00554387"/>
    <w:rsid w:val="005543DC"/>
    <w:rsid w:val="00554420"/>
    <w:rsid w:val="0055451A"/>
    <w:rsid w:val="0055452E"/>
    <w:rsid w:val="00554540"/>
    <w:rsid w:val="00554603"/>
    <w:rsid w:val="00554647"/>
    <w:rsid w:val="00554649"/>
    <w:rsid w:val="00554659"/>
    <w:rsid w:val="00554694"/>
    <w:rsid w:val="00554709"/>
    <w:rsid w:val="0055473D"/>
    <w:rsid w:val="00554777"/>
    <w:rsid w:val="005547D4"/>
    <w:rsid w:val="005547E3"/>
    <w:rsid w:val="0055480F"/>
    <w:rsid w:val="0055483D"/>
    <w:rsid w:val="00554919"/>
    <w:rsid w:val="00554956"/>
    <w:rsid w:val="00554998"/>
    <w:rsid w:val="005549C6"/>
    <w:rsid w:val="00554B11"/>
    <w:rsid w:val="00554B5D"/>
    <w:rsid w:val="00554B6B"/>
    <w:rsid w:val="00554B6D"/>
    <w:rsid w:val="00554B93"/>
    <w:rsid w:val="00554BB6"/>
    <w:rsid w:val="00554BC4"/>
    <w:rsid w:val="00554C88"/>
    <w:rsid w:val="00554D2C"/>
    <w:rsid w:val="00554D38"/>
    <w:rsid w:val="00554D8E"/>
    <w:rsid w:val="00554D9D"/>
    <w:rsid w:val="00554DE3"/>
    <w:rsid w:val="00554E2B"/>
    <w:rsid w:val="00554E58"/>
    <w:rsid w:val="00554EA4"/>
    <w:rsid w:val="00554F74"/>
    <w:rsid w:val="00554FD9"/>
    <w:rsid w:val="00555043"/>
    <w:rsid w:val="00555086"/>
    <w:rsid w:val="00555132"/>
    <w:rsid w:val="0055522A"/>
    <w:rsid w:val="00555255"/>
    <w:rsid w:val="00555356"/>
    <w:rsid w:val="00555359"/>
    <w:rsid w:val="005553A3"/>
    <w:rsid w:val="00555405"/>
    <w:rsid w:val="0055543A"/>
    <w:rsid w:val="00555447"/>
    <w:rsid w:val="0055546A"/>
    <w:rsid w:val="0055549E"/>
    <w:rsid w:val="005554A9"/>
    <w:rsid w:val="00555557"/>
    <w:rsid w:val="00555618"/>
    <w:rsid w:val="0055569E"/>
    <w:rsid w:val="005557CE"/>
    <w:rsid w:val="005557DF"/>
    <w:rsid w:val="005557FB"/>
    <w:rsid w:val="0055582D"/>
    <w:rsid w:val="00555839"/>
    <w:rsid w:val="00555874"/>
    <w:rsid w:val="00555978"/>
    <w:rsid w:val="005559CD"/>
    <w:rsid w:val="005559F5"/>
    <w:rsid w:val="00555A0B"/>
    <w:rsid w:val="00555A5A"/>
    <w:rsid w:val="00555AA2"/>
    <w:rsid w:val="00555AAD"/>
    <w:rsid w:val="00555B05"/>
    <w:rsid w:val="00555B56"/>
    <w:rsid w:val="00555BA7"/>
    <w:rsid w:val="00555C40"/>
    <w:rsid w:val="00555C48"/>
    <w:rsid w:val="00555D52"/>
    <w:rsid w:val="00555D7C"/>
    <w:rsid w:val="00555D84"/>
    <w:rsid w:val="00555DA3"/>
    <w:rsid w:val="00555DAE"/>
    <w:rsid w:val="00555F3C"/>
    <w:rsid w:val="00555F6C"/>
    <w:rsid w:val="00556034"/>
    <w:rsid w:val="00556085"/>
    <w:rsid w:val="00556116"/>
    <w:rsid w:val="00556133"/>
    <w:rsid w:val="00556184"/>
    <w:rsid w:val="005561C1"/>
    <w:rsid w:val="005561E3"/>
    <w:rsid w:val="00556294"/>
    <w:rsid w:val="005562A3"/>
    <w:rsid w:val="005563BD"/>
    <w:rsid w:val="0055641B"/>
    <w:rsid w:val="00556498"/>
    <w:rsid w:val="0055649E"/>
    <w:rsid w:val="00556518"/>
    <w:rsid w:val="0055653F"/>
    <w:rsid w:val="00556596"/>
    <w:rsid w:val="005565F0"/>
    <w:rsid w:val="00556649"/>
    <w:rsid w:val="00556694"/>
    <w:rsid w:val="005566D0"/>
    <w:rsid w:val="00556713"/>
    <w:rsid w:val="00556732"/>
    <w:rsid w:val="00556862"/>
    <w:rsid w:val="0055686A"/>
    <w:rsid w:val="0055688B"/>
    <w:rsid w:val="00556893"/>
    <w:rsid w:val="00556952"/>
    <w:rsid w:val="0055698E"/>
    <w:rsid w:val="00556AEE"/>
    <w:rsid w:val="00556B50"/>
    <w:rsid w:val="00556B54"/>
    <w:rsid w:val="00556BAB"/>
    <w:rsid w:val="00556CC0"/>
    <w:rsid w:val="00556D42"/>
    <w:rsid w:val="00556D6F"/>
    <w:rsid w:val="00556DFB"/>
    <w:rsid w:val="00556E50"/>
    <w:rsid w:val="00556E9D"/>
    <w:rsid w:val="00556EC0"/>
    <w:rsid w:val="00556F80"/>
    <w:rsid w:val="00556FCB"/>
    <w:rsid w:val="00556FF9"/>
    <w:rsid w:val="00557122"/>
    <w:rsid w:val="00557147"/>
    <w:rsid w:val="005571FD"/>
    <w:rsid w:val="00557205"/>
    <w:rsid w:val="0055722A"/>
    <w:rsid w:val="0055727C"/>
    <w:rsid w:val="0055739C"/>
    <w:rsid w:val="0055742C"/>
    <w:rsid w:val="00557436"/>
    <w:rsid w:val="0055744E"/>
    <w:rsid w:val="00557467"/>
    <w:rsid w:val="00557469"/>
    <w:rsid w:val="005574C2"/>
    <w:rsid w:val="005574F4"/>
    <w:rsid w:val="00557502"/>
    <w:rsid w:val="0055751D"/>
    <w:rsid w:val="00557531"/>
    <w:rsid w:val="0055760B"/>
    <w:rsid w:val="0055761D"/>
    <w:rsid w:val="0055768D"/>
    <w:rsid w:val="0055768F"/>
    <w:rsid w:val="005576D0"/>
    <w:rsid w:val="0055771A"/>
    <w:rsid w:val="00557748"/>
    <w:rsid w:val="00557795"/>
    <w:rsid w:val="005577E9"/>
    <w:rsid w:val="00557855"/>
    <w:rsid w:val="005578A7"/>
    <w:rsid w:val="0055794E"/>
    <w:rsid w:val="0055797B"/>
    <w:rsid w:val="005579C9"/>
    <w:rsid w:val="005579F9"/>
    <w:rsid w:val="00557A64"/>
    <w:rsid w:val="00557AD1"/>
    <w:rsid w:val="00557BAF"/>
    <w:rsid w:val="00557C90"/>
    <w:rsid w:val="00557CDB"/>
    <w:rsid w:val="00557D43"/>
    <w:rsid w:val="00557D64"/>
    <w:rsid w:val="00557D81"/>
    <w:rsid w:val="00557DE7"/>
    <w:rsid w:val="00557DF9"/>
    <w:rsid w:val="00557EA2"/>
    <w:rsid w:val="00557EC7"/>
    <w:rsid w:val="00557F05"/>
    <w:rsid w:val="00557FA8"/>
    <w:rsid w:val="0056001C"/>
    <w:rsid w:val="00560056"/>
    <w:rsid w:val="005600F2"/>
    <w:rsid w:val="005601A0"/>
    <w:rsid w:val="005601CC"/>
    <w:rsid w:val="005601EC"/>
    <w:rsid w:val="0056022C"/>
    <w:rsid w:val="00560238"/>
    <w:rsid w:val="0056025B"/>
    <w:rsid w:val="005602C1"/>
    <w:rsid w:val="005602C7"/>
    <w:rsid w:val="005602EE"/>
    <w:rsid w:val="0056030F"/>
    <w:rsid w:val="00560336"/>
    <w:rsid w:val="00560357"/>
    <w:rsid w:val="0056039D"/>
    <w:rsid w:val="005603A3"/>
    <w:rsid w:val="005603AF"/>
    <w:rsid w:val="00560421"/>
    <w:rsid w:val="0056044F"/>
    <w:rsid w:val="00560495"/>
    <w:rsid w:val="005604FF"/>
    <w:rsid w:val="0056058B"/>
    <w:rsid w:val="0056059B"/>
    <w:rsid w:val="0056069B"/>
    <w:rsid w:val="00560717"/>
    <w:rsid w:val="00560758"/>
    <w:rsid w:val="0056075B"/>
    <w:rsid w:val="00560764"/>
    <w:rsid w:val="005607B4"/>
    <w:rsid w:val="0056080F"/>
    <w:rsid w:val="00560816"/>
    <w:rsid w:val="0056084D"/>
    <w:rsid w:val="0056087A"/>
    <w:rsid w:val="0056097A"/>
    <w:rsid w:val="00560A42"/>
    <w:rsid w:val="00560A99"/>
    <w:rsid w:val="00560AA1"/>
    <w:rsid w:val="00560AB8"/>
    <w:rsid w:val="00560ABA"/>
    <w:rsid w:val="00560B5A"/>
    <w:rsid w:val="00560C4B"/>
    <w:rsid w:val="00560C6F"/>
    <w:rsid w:val="00560CEB"/>
    <w:rsid w:val="00560D9A"/>
    <w:rsid w:val="00560DAC"/>
    <w:rsid w:val="00560DAF"/>
    <w:rsid w:val="00560DC5"/>
    <w:rsid w:val="00560E0B"/>
    <w:rsid w:val="00560E30"/>
    <w:rsid w:val="00560E63"/>
    <w:rsid w:val="00560E65"/>
    <w:rsid w:val="00560EB9"/>
    <w:rsid w:val="00560FD8"/>
    <w:rsid w:val="00561033"/>
    <w:rsid w:val="005610DD"/>
    <w:rsid w:val="00561133"/>
    <w:rsid w:val="0056116C"/>
    <w:rsid w:val="00561176"/>
    <w:rsid w:val="0056118B"/>
    <w:rsid w:val="005611E9"/>
    <w:rsid w:val="00561283"/>
    <w:rsid w:val="00561289"/>
    <w:rsid w:val="005612D4"/>
    <w:rsid w:val="005612DD"/>
    <w:rsid w:val="0056133F"/>
    <w:rsid w:val="0056134C"/>
    <w:rsid w:val="00561353"/>
    <w:rsid w:val="005613FB"/>
    <w:rsid w:val="0056143D"/>
    <w:rsid w:val="0056147B"/>
    <w:rsid w:val="005614A0"/>
    <w:rsid w:val="00561512"/>
    <w:rsid w:val="00561538"/>
    <w:rsid w:val="0056157E"/>
    <w:rsid w:val="005615BE"/>
    <w:rsid w:val="00561717"/>
    <w:rsid w:val="00561749"/>
    <w:rsid w:val="0056177A"/>
    <w:rsid w:val="005617B9"/>
    <w:rsid w:val="0056187D"/>
    <w:rsid w:val="005618D2"/>
    <w:rsid w:val="00561A67"/>
    <w:rsid w:val="00561A8A"/>
    <w:rsid w:val="00561ADF"/>
    <w:rsid w:val="00561B0C"/>
    <w:rsid w:val="00561B1F"/>
    <w:rsid w:val="00561B2C"/>
    <w:rsid w:val="00561B72"/>
    <w:rsid w:val="00561BA1"/>
    <w:rsid w:val="00561C24"/>
    <w:rsid w:val="00561C8A"/>
    <w:rsid w:val="00561CED"/>
    <w:rsid w:val="00561DCC"/>
    <w:rsid w:val="00561E83"/>
    <w:rsid w:val="00561E8E"/>
    <w:rsid w:val="00561E96"/>
    <w:rsid w:val="00561F26"/>
    <w:rsid w:val="00561F94"/>
    <w:rsid w:val="00561F9A"/>
    <w:rsid w:val="00562006"/>
    <w:rsid w:val="005620C3"/>
    <w:rsid w:val="005620CC"/>
    <w:rsid w:val="00562160"/>
    <w:rsid w:val="0056239D"/>
    <w:rsid w:val="005623BE"/>
    <w:rsid w:val="0056242F"/>
    <w:rsid w:val="005624C7"/>
    <w:rsid w:val="00562515"/>
    <w:rsid w:val="00562526"/>
    <w:rsid w:val="005625AE"/>
    <w:rsid w:val="005626BB"/>
    <w:rsid w:val="00562714"/>
    <w:rsid w:val="00562730"/>
    <w:rsid w:val="0056273A"/>
    <w:rsid w:val="0056273F"/>
    <w:rsid w:val="0056274F"/>
    <w:rsid w:val="00562759"/>
    <w:rsid w:val="005628A0"/>
    <w:rsid w:val="0056290F"/>
    <w:rsid w:val="0056297E"/>
    <w:rsid w:val="0056299F"/>
    <w:rsid w:val="00562B9A"/>
    <w:rsid w:val="00562BAD"/>
    <w:rsid w:val="00562BC2"/>
    <w:rsid w:val="00562BCF"/>
    <w:rsid w:val="00562BE4"/>
    <w:rsid w:val="00562BF9"/>
    <w:rsid w:val="00562C04"/>
    <w:rsid w:val="00562C1D"/>
    <w:rsid w:val="00562C94"/>
    <w:rsid w:val="00562CB2"/>
    <w:rsid w:val="00562CF4"/>
    <w:rsid w:val="00562DDA"/>
    <w:rsid w:val="00562DE8"/>
    <w:rsid w:val="00562E56"/>
    <w:rsid w:val="00562FE3"/>
    <w:rsid w:val="00562FEF"/>
    <w:rsid w:val="00563031"/>
    <w:rsid w:val="00563178"/>
    <w:rsid w:val="00563197"/>
    <w:rsid w:val="005631C8"/>
    <w:rsid w:val="005631F4"/>
    <w:rsid w:val="00563255"/>
    <w:rsid w:val="00563292"/>
    <w:rsid w:val="0056331C"/>
    <w:rsid w:val="00563332"/>
    <w:rsid w:val="00563367"/>
    <w:rsid w:val="00563384"/>
    <w:rsid w:val="005633B1"/>
    <w:rsid w:val="005633E8"/>
    <w:rsid w:val="0056344D"/>
    <w:rsid w:val="00563488"/>
    <w:rsid w:val="0056349A"/>
    <w:rsid w:val="005634A4"/>
    <w:rsid w:val="005635E7"/>
    <w:rsid w:val="00563603"/>
    <w:rsid w:val="0056361F"/>
    <w:rsid w:val="005636BF"/>
    <w:rsid w:val="005636E9"/>
    <w:rsid w:val="0056370C"/>
    <w:rsid w:val="005638BE"/>
    <w:rsid w:val="0056394C"/>
    <w:rsid w:val="00563A5C"/>
    <w:rsid w:val="00563B5D"/>
    <w:rsid w:val="00563BB5"/>
    <w:rsid w:val="00563BF1"/>
    <w:rsid w:val="00563C25"/>
    <w:rsid w:val="00563CD4"/>
    <w:rsid w:val="00563D21"/>
    <w:rsid w:val="00563D69"/>
    <w:rsid w:val="00563E43"/>
    <w:rsid w:val="00563E46"/>
    <w:rsid w:val="00563E78"/>
    <w:rsid w:val="00563EC7"/>
    <w:rsid w:val="00563F6E"/>
    <w:rsid w:val="0056401E"/>
    <w:rsid w:val="00564031"/>
    <w:rsid w:val="00564098"/>
    <w:rsid w:val="005640D7"/>
    <w:rsid w:val="00564115"/>
    <w:rsid w:val="00564150"/>
    <w:rsid w:val="005641DE"/>
    <w:rsid w:val="0056430D"/>
    <w:rsid w:val="00564320"/>
    <w:rsid w:val="005643D9"/>
    <w:rsid w:val="005643E0"/>
    <w:rsid w:val="00564421"/>
    <w:rsid w:val="00564423"/>
    <w:rsid w:val="00564498"/>
    <w:rsid w:val="005644B0"/>
    <w:rsid w:val="00564512"/>
    <w:rsid w:val="00564519"/>
    <w:rsid w:val="00564577"/>
    <w:rsid w:val="005645C9"/>
    <w:rsid w:val="00564602"/>
    <w:rsid w:val="00564796"/>
    <w:rsid w:val="005647C9"/>
    <w:rsid w:val="005647EC"/>
    <w:rsid w:val="0056483C"/>
    <w:rsid w:val="00564874"/>
    <w:rsid w:val="00564893"/>
    <w:rsid w:val="005648F6"/>
    <w:rsid w:val="0056490C"/>
    <w:rsid w:val="0056499F"/>
    <w:rsid w:val="005649AB"/>
    <w:rsid w:val="00564A4F"/>
    <w:rsid w:val="00564ABD"/>
    <w:rsid w:val="00564B31"/>
    <w:rsid w:val="00564B3C"/>
    <w:rsid w:val="00564BD0"/>
    <w:rsid w:val="00564C65"/>
    <w:rsid w:val="00564C8F"/>
    <w:rsid w:val="00564C9B"/>
    <w:rsid w:val="00564CCB"/>
    <w:rsid w:val="00564D0E"/>
    <w:rsid w:val="00564D31"/>
    <w:rsid w:val="00564D50"/>
    <w:rsid w:val="00564D95"/>
    <w:rsid w:val="00564DB5"/>
    <w:rsid w:val="00564E1F"/>
    <w:rsid w:val="00564F67"/>
    <w:rsid w:val="00564FFA"/>
    <w:rsid w:val="005650CA"/>
    <w:rsid w:val="005650F1"/>
    <w:rsid w:val="00565118"/>
    <w:rsid w:val="00565139"/>
    <w:rsid w:val="00565163"/>
    <w:rsid w:val="0056522F"/>
    <w:rsid w:val="0056524C"/>
    <w:rsid w:val="005652C8"/>
    <w:rsid w:val="0056533A"/>
    <w:rsid w:val="0056539A"/>
    <w:rsid w:val="005653E2"/>
    <w:rsid w:val="00565420"/>
    <w:rsid w:val="00565481"/>
    <w:rsid w:val="005654AC"/>
    <w:rsid w:val="005654C5"/>
    <w:rsid w:val="005654E9"/>
    <w:rsid w:val="00565560"/>
    <w:rsid w:val="005655DB"/>
    <w:rsid w:val="0056564E"/>
    <w:rsid w:val="005656B7"/>
    <w:rsid w:val="005656F7"/>
    <w:rsid w:val="0056571D"/>
    <w:rsid w:val="00565741"/>
    <w:rsid w:val="005657F7"/>
    <w:rsid w:val="005657FA"/>
    <w:rsid w:val="00565818"/>
    <w:rsid w:val="0056583B"/>
    <w:rsid w:val="00565847"/>
    <w:rsid w:val="0056590A"/>
    <w:rsid w:val="00565937"/>
    <w:rsid w:val="00565946"/>
    <w:rsid w:val="005659AB"/>
    <w:rsid w:val="005659B2"/>
    <w:rsid w:val="00565A45"/>
    <w:rsid w:val="00565AB5"/>
    <w:rsid w:val="00565B20"/>
    <w:rsid w:val="00565B6E"/>
    <w:rsid w:val="00565B6F"/>
    <w:rsid w:val="00565BF1"/>
    <w:rsid w:val="00565C21"/>
    <w:rsid w:val="00565C4E"/>
    <w:rsid w:val="00565C83"/>
    <w:rsid w:val="00565C90"/>
    <w:rsid w:val="00565CCB"/>
    <w:rsid w:val="00565D63"/>
    <w:rsid w:val="00565D70"/>
    <w:rsid w:val="00565D81"/>
    <w:rsid w:val="00565DF7"/>
    <w:rsid w:val="00565E07"/>
    <w:rsid w:val="00565E10"/>
    <w:rsid w:val="00565E62"/>
    <w:rsid w:val="00565EBC"/>
    <w:rsid w:val="00565EC0"/>
    <w:rsid w:val="00565EC9"/>
    <w:rsid w:val="00566034"/>
    <w:rsid w:val="0056607C"/>
    <w:rsid w:val="005660BB"/>
    <w:rsid w:val="005660BF"/>
    <w:rsid w:val="005660D6"/>
    <w:rsid w:val="0056614C"/>
    <w:rsid w:val="0056617C"/>
    <w:rsid w:val="005661A2"/>
    <w:rsid w:val="005661C3"/>
    <w:rsid w:val="005661CA"/>
    <w:rsid w:val="00566253"/>
    <w:rsid w:val="00566283"/>
    <w:rsid w:val="00566311"/>
    <w:rsid w:val="00566348"/>
    <w:rsid w:val="0056635C"/>
    <w:rsid w:val="005663A1"/>
    <w:rsid w:val="005663AD"/>
    <w:rsid w:val="005663DC"/>
    <w:rsid w:val="0056643E"/>
    <w:rsid w:val="0056648E"/>
    <w:rsid w:val="00566504"/>
    <w:rsid w:val="0056650A"/>
    <w:rsid w:val="00566536"/>
    <w:rsid w:val="0056655A"/>
    <w:rsid w:val="00566588"/>
    <w:rsid w:val="005665C6"/>
    <w:rsid w:val="00566694"/>
    <w:rsid w:val="00566755"/>
    <w:rsid w:val="0056677E"/>
    <w:rsid w:val="00566869"/>
    <w:rsid w:val="0056693F"/>
    <w:rsid w:val="00566949"/>
    <w:rsid w:val="00566952"/>
    <w:rsid w:val="00566961"/>
    <w:rsid w:val="0056697A"/>
    <w:rsid w:val="005669C9"/>
    <w:rsid w:val="005669E4"/>
    <w:rsid w:val="00566B60"/>
    <w:rsid w:val="00566C4A"/>
    <w:rsid w:val="00566C78"/>
    <w:rsid w:val="00566C7B"/>
    <w:rsid w:val="00566C7E"/>
    <w:rsid w:val="00566C90"/>
    <w:rsid w:val="00566C98"/>
    <w:rsid w:val="00566D41"/>
    <w:rsid w:val="00566D49"/>
    <w:rsid w:val="00566D6D"/>
    <w:rsid w:val="00566D9F"/>
    <w:rsid w:val="00566DD1"/>
    <w:rsid w:val="00566E34"/>
    <w:rsid w:val="00566E9E"/>
    <w:rsid w:val="00566F04"/>
    <w:rsid w:val="0056717E"/>
    <w:rsid w:val="00567186"/>
    <w:rsid w:val="005671E8"/>
    <w:rsid w:val="005671FD"/>
    <w:rsid w:val="00567264"/>
    <w:rsid w:val="005672A9"/>
    <w:rsid w:val="005672C5"/>
    <w:rsid w:val="00567358"/>
    <w:rsid w:val="00567369"/>
    <w:rsid w:val="005673D0"/>
    <w:rsid w:val="005673FA"/>
    <w:rsid w:val="00567445"/>
    <w:rsid w:val="005674F2"/>
    <w:rsid w:val="0056756B"/>
    <w:rsid w:val="0056758A"/>
    <w:rsid w:val="005675F2"/>
    <w:rsid w:val="00567670"/>
    <w:rsid w:val="005676AF"/>
    <w:rsid w:val="005676CA"/>
    <w:rsid w:val="00567719"/>
    <w:rsid w:val="00567794"/>
    <w:rsid w:val="005677E1"/>
    <w:rsid w:val="005678DE"/>
    <w:rsid w:val="005678FF"/>
    <w:rsid w:val="00567A77"/>
    <w:rsid w:val="00567AAB"/>
    <w:rsid w:val="00567AAC"/>
    <w:rsid w:val="00567AAF"/>
    <w:rsid w:val="00567AFA"/>
    <w:rsid w:val="00567C16"/>
    <w:rsid w:val="00567C8C"/>
    <w:rsid w:val="00567D06"/>
    <w:rsid w:val="00567D0B"/>
    <w:rsid w:val="00567D1A"/>
    <w:rsid w:val="00567E14"/>
    <w:rsid w:val="00567E6A"/>
    <w:rsid w:val="00567ED8"/>
    <w:rsid w:val="00567F3E"/>
    <w:rsid w:val="00570044"/>
    <w:rsid w:val="00570079"/>
    <w:rsid w:val="00570093"/>
    <w:rsid w:val="0057009D"/>
    <w:rsid w:val="005700B3"/>
    <w:rsid w:val="00570133"/>
    <w:rsid w:val="00570169"/>
    <w:rsid w:val="00570182"/>
    <w:rsid w:val="0057018D"/>
    <w:rsid w:val="00570296"/>
    <w:rsid w:val="0057029B"/>
    <w:rsid w:val="00570319"/>
    <w:rsid w:val="00570369"/>
    <w:rsid w:val="005703DE"/>
    <w:rsid w:val="005703E1"/>
    <w:rsid w:val="005703EA"/>
    <w:rsid w:val="005703FA"/>
    <w:rsid w:val="005704C4"/>
    <w:rsid w:val="005704CC"/>
    <w:rsid w:val="005705F1"/>
    <w:rsid w:val="0057060D"/>
    <w:rsid w:val="0057067A"/>
    <w:rsid w:val="0057069E"/>
    <w:rsid w:val="00570816"/>
    <w:rsid w:val="0057088C"/>
    <w:rsid w:val="005708A2"/>
    <w:rsid w:val="00570951"/>
    <w:rsid w:val="005709B9"/>
    <w:rsid w:val="005709F5"/>
    <w:rsid w:val="00570AB6"/>
    <w:rsid w:val="00570B86"/>
    <w:rsid w:val="00570B95"/>
    <w:rsid w:val="00570C32"/>
    <w:rsid w:val="00570CA2"/>
    <w:rsid w:val="00570CB5"/>
    <w:rsid w:val="00570D03"/>
    <w:rsid w:val="00570D1F"/>
    <w:rsid w:val="00570D46"/>
    <w:rsid w:val="00570D5E"/>
    <w:rsid w:val="00570E0E"/>
    <w:rsid w:val="00570E1D"/>
    <w:rsid w:val="00570F81"/>
    <w:rsid w:val="00571105"/>
    <w:rsid w:val="005711C8"/>
    <w:rsid w:val="0057123B"/>
    <w:rsid w:val="0057129D"/>
    <w:rsid w:val="005712BD"/>
    <w:rsid w:val="005712F2"/>
    <w:rsid w:val="00571380"/>
    <w:rsid w:val="00571468"/>
    <w:rsid w:val="00571493"/>
    <w:rsid w:val="005714B3"/>
    <w:rsid w:val="005714DE"/>
    <w:rsid w:val="005714E0"/>
    <w:rsid w:val="005714E6"/>
    <w:rsid w:val="005715CC"/>
    <w:rsid w:val="005715F0"/>
    <w:rsid w:val="00571646"/>
    <w:rsid w:val="00571699"/>
    <w:rsid w:val="005716AC"/>
    <w:rsid w:val="005716D7"/>
    <w:rsid w:val="0057174E"/>
    <w:rsid w:val="00571804"/>
    <w:rsid w:val="0057186A"/>
    <w:rsid w:val="00571921"/>
    <w:rsid w:val="00571956"/>
    <w:rsid w:val="00571989"/>
    <w:rsid w:val="005719A7"/>
    <w:rsid w:val="00571A0C"/>
    <w:rsid w:val="00571A71"/>
    <w:rsid w:val="00571A90"/>
    <w:rsid w:val="00571B46"/>
    <w:rsid w:val="00571BCD"/>
    <w:rsid w:val="00571BD1"/>
    <w:rsid w:val="00571BDA"/>
    <w:rsid w:val="00571C57"/>
    <w:rsid w:val="00571C7D"/>
    <w:rsid w:val="00571C99"/>
    <w:rsid w:val="00571C9C"/>
    <w:rsid w:val="00571CC4"/>
    <w:rsid w:val="00571D35"/>
    <w:rsid w:val="00571D94"/>
    <w:rsid w:val="00571DA4"/>
    <w:rsid w:val="00571DA8"/>
    <w:rsid w:val="00571F0A"/>
    <w:rsid w:val="00571F31"/>
    <w:rsid w:val="00571FE4"/>
    <w:rsid w:val="0057200E"/>
    <w:rsid w:val="00572022"/>
    <w:rsid w:val="00572052"/>
    <w:rsid w:val="00572071"/>
    <w:rsid w:val="00572099"/>
    <w:rsid w:val="005720C6"/>
    <w:rsid w:val="005720DA"/>
    <w:rsid w:val="005720DF"/>
    <w:rsid w:val="0057214F"/>
    <w:rsid w:val="00572180"/>
    <w:rsid w:val="0057221F"/>
    <w:rsid w:val="00572238"/>
    <w:rsid w:val="00572284"/>
    <w:rsid w:val="0057229E"/>
    <w:rsid w:val="005722BC"/>
    <w:rsid w:val="00572312"/>
    <w:rsid w:val="005723ED"/>
    <w:rsid w:val="005723EF"/>
    <w:rsid w:val="0057242E"/>
    <w:rsid w:val="00572458"/>
    <w:rsid w:val="005724B5"/>
    <w:rsid w:val="00572559"/>
    <w:rsid w:val="005725BD"/>
    <w:rsid w:val="00572691"/>
    <w:rsid w:val="005726C4"/>
    <w:rsid w:val="0057271E"/>
    <w:rsid w:val="005727A3"/>
    <w:rsid w:val="00572855"/>
    <w:rsid w:val="00572890"/>
    <w:rsid w:val="00572897"/>
    <w:rsid w:val="005728C0"/>
    <w:rsid w:val="00572903"/>
    <w:rsid w:val="00572943"/>
    <w:rsid w:val="005729CE"/>
    <w:rsid w:val="00572A19"/>
    <w:rsid w:val="00572B1C"/>
    <w:rsid w:val="00572B67"/>
    <w:rsid w:val="00572C94"/>
    <w:rsid w:val="00572CA3"/>
    <w:rsid w:val="00572D48"/>
    <w:rsid w:val="00572EBF"/>
    <w:rsid w:val="00572EDE"/>
    <w:rsid w:val="00572EF1"/>
    <w:rsid w:val="00572F21"/>
    <w:rsid w:val="00572F70"/>
    <w:rsid w:val="00572F7D"/>
    <w:rsid w:val="00573052"/>
    <w:rsid w:val="0057308D"/>
    <w:rsid w:val="005730DA"/>
    <w:rsid w:val="005730F2"/>
    <w:rsid w:val="00573108"/>
    <w:rsid w:val="0057314E"/>
    <w:rsid w:val="0057315D"/>
    <w:rsid w:val="005731A2"/>
    <w:rsid w:val="0057328D"/>
    <w:rsid w:val="00573306"/>
    <w:rsid w:val="0057330A"/>
    <w:rsid w:val="00573312"/>
    <w:rsid w:val="0057335B"/>
    <w:rsid w:val="005733AA"/>
    <w:rsid w:val="005733B7"/>
    <w:rsid w:val="005733D7"/>
    <w:rsid w:val="0057341D"/>
    <w:rsid w:val="0057342F"/>
    <w:rsid w:val="00573460"/>
    <w:rsid w:val="00573546"/>
    <w:rsid w:val="0057356C"/>
    <w:rsid w:val="0057356D"/>
    <w:rsid w:val="00573603"/>
    <w:rsid w:val="00573614"/>
    <w:rsid w:val="005736A3"/>
    <w:rsid w:val="005736BA"/>
    <w:rsid w:val="00573769"/>
    <w:rsid w:val="0057376B"/>
    <w:rsid w:val="005737DB"/>
    <w:rsid w:val="00573875"/>
    <w:rsid w:val="0057392D"/>
    <w:rsid w:val="00573978"/>
    <w:rsid w:val="005739EC"/>
    <w:rsid w:val="00573A93"/>
    <w:rsid w:val="00573AAD"/>
    <w:rsid w:val="00573AC7"/>
    <w:rsid w:val="00573ADF"/>
    <w:rsid w:val="00573AF6"/>
    <w:rsid w:val="00573B78"/>
    <w:rsid w:val="00573BF9"/>
    <w:rsid w:val="00573C4D"/>
    <w:rsid w:val="00573C7E"/>
    <w:rsid w:val="00573CA3"/>
    <w:rsid w:val="00573CEA"/>
    <w:rsid w:val="00573CFB"/>
    <w:rsid w:val="00573D8A"/>
    <w:rsid w:val="00573D8E"/>
    <w:rsid w:val="00573DFA"/>
    <w:rsid w:val="00573EC0"/>
    <w:rsid w:val="0057401B"/>
    <w:rsid w:val="0057407F"/>
    <w:rsid w:val="005740B8"/>
    <w:rsid w:val="00574154"/>
    <w:rsid w:val="0057415D"/>
    <w:rsid w:val="00574203"/>
    <w:rsid w:val="00574239"/>
    <w:rsid w:val="0057424B"/>
    <w:rsid w:val="00574263"/>
    <w:rsid w:val="0057426D"/>
    <w:rsid w:val="005742E2"/>
    <w:rsid w:val="005742FF"/>
    <w:rsid w:val="00574317"/>
    <w:rsid w:val="0057432F"/>
    <w:rsid w:val="0057439F"/>
    <w:rsid w:val="005743FA"/>
    <w:rsid w:val="0057443A"/>
    <w:rsid w:val="00574521"/>
    <w:rsid w:val="00574542"/>
    <w:rsid w:val="00574548"/>
    <w:rsid w:val="005745F3"/>
    <w:rsid w:val="00574638"/>
    <w:rsid w:val="0057469E"/>
    <w:rsid w:val="005746DB"/>
    <w:rsid w:val="0057482E"/>
    <w:rsid w:val="0057484B"/>
    <w:rsid w:val="005748AB"/>
    <w:rsid w:val="005748C9"/>
    <w:rsid w:val="005748F4"/>
    <w:rsid w:val="00574957"/>
    <w:rsid w:val="005749BA"/>
    <w:rsid w:val="00574A6B"/>
    <w:rsid w:val="00574AAA"/>
    <w:rsid w:val="00574AB8"/>
    <w:rsid w:val="00574ADC"/>
    <w:rsid w:val="00574AF0"/>
    <w:rsid w:val="00574C27"/>
    <w:rsid w:val="00574C83"/>
    <w:rsid w:val="00574CA4"/>
    <w:rsid w:val="00574CC1"/>
    <w:rsid w:val="00574D45"/>
    <w:rsid w:val="00574D93"/>
    <w:rsid w:val="00574D98"/>
    <w:rsid w:val="00574DA6"/>
    <w:rsid w:val="00574E09"/>
    <w:rsid w:val="00574E22"/>
    <w:rsid w:val="00574F1F"/>
    <w:rsid w:val="00574F5C"/>
    <w:rsid w:val="00574FFC"/>
    <w:rsid w:val="0057501B"/>
    <w:rsid w:val="0057501F"/>
    <w:rsid w:val="0057504A"/>
    <w:rsid w:val="00575057"/>
    <w:rsid w:val="005750AD"/>
    <w:rsid w:val="005750E8"/>
    <w:rsid w:val="0057519E"/>
    <w:rsid w:val="005751AE"/>
    <w:rsid w:val="005751FF"/>
    <w:rsid w:val="00575285"/>
    <w:rsid w:val="0057537D"/>
    <w:rsid w:val="005753AD"/>
    <w:rsid w:val="005753CD"/>
    <w:rsid w:val="0057547C"/>
    <w:rsid w:val="00575511"/>
    <w:rsid w:val="0057556A"/>
    <w:rsid w:val="0057556C"/>
    <w:rsid w:val="00575595"/>
    <w:rsid w:val="005755B5"/>
    <w:rsid w:val="00575659"/>
    <w:rsid w:val="00575695"/>
    <w:rsid w:val="00575783"/>
    <w:rsid w:val="005757DE"/>
    <w:rsid w:val="0057580C"/>
    <w:rsid w:val="005758BD"/>
    <w:rsid w:val="00575908"/>
    <w:rsid w:val="00575976"/>
    <w:rsid w:val="005759C6"/>
    <w:rsid w:val="005759EF"/>
    <w:rsid w:val="00575A0D"/>
    <w:rsid w:val="00575A15"/>
    <w:rsid w:val="00575A4F"/>
    <w:rsid w:val="00575A76"/>
    <w:rsid w:val="00575ADD"/>
    <w:rsid w:val="00575B27"/>
    <w:rsid w:val="00575B44"/>
    <w:rsid w:val="00575BC1"/>
    <w:rsid w:val="00575BEC"/>
    <w:rsid w:val="00575CD4"/>
    <w:rsid w:val="00575D40"/>
    <w:rsid w:val="00575D6D"/>
    <w:rsid w:val="00575D6E"/>
    <w:rsid w:val="00575E36"/>
    <w:rsid w:val="00575EE9"/>
    <w:rsid w:val="00575EEB"/>
    <w:rsid w:val="00575EF7"/>
    <w:rsid w:val="00575FF2"/>
    <w:rsid w:val="00575FFA"/>
    <w:rsid w:val="00576046"/>
    <w:rsid w:val="0057604E"/>
    <w:rsid w:val="00576064"/>
    <w:rsid w:val="00576077"/>
    <w:rsid w:val="005760FE"/>
    <w:rsid w:val="00576144"/>
    <w:rsid w:val="005761C6"/>
    <w:rsid w:val="005761CF"/>
    <w:rsid w:val="00576201"/>
    <w:rsid w:val="0057621C"/>
    <w:rsid w:val="00576231"/>
    <w:rsid w:val="00576236"/>
    <w:rsid w:val="00576379"/>
    <w:rsid w:val="00576390"/>
    <w:rsid w:val="0057641B"/>
    <w:rsid w:val="0057645C"/>
    <w:rsid w:val="0057646D"/>
    <w:rsid w:val="00576480"/>
    <w:rsid w:val="005764A5"/>
    <w:rsid w:val="005764CE"/>
    <w:rsid w:val="005764D7"/>
    <w:rsid w:val="0057656F"/>
    <w:rsid w:val="005765D1"/>
    <w:rsid w:val="00576665"/>
    <w:rsid w:val="00576711"/>
    <w:rsid w:val="00576754"/>
    <w:rsid w:val="00576756"/>
    <w:rsid w:val="005768C9"/>
    <w:rsid w:val="00576928"/>
    <w:rsid w:val="005769DC"/>
    <w:rsid w:val="005769EC"/>
    <w:rsid w:val="005769FF"/>
    <w:rsid w:val="00576A0C"/>
    <w:rsid w:val="00576A16"/>
    <w:rsid w:val="00576A59"/>
    <w:rsid w:val="00576A7A"/>
    <w:rsid w:val="00576ACD"/>
    <w:rsid w:val="00576BAB"/>
    <w:rsid w:val="00576BDB"/>
    <w:rsid w:val="00576C17"/>
    <w:rsid w:val="00576C34"/>
    <w:rsid w:val="00576C38"/>
    <w:rsid w:val="00576CD9"/>
    <w:rsid w:val="00576D63"/>
    <w:rsid w:val="00576D78"/>
    <w:rsid w:val="00576DBB"/>
    <w:rsid w:val="00576EA1"/>
    <w:rsid w:val="00576F07"/>
    <w:rsid w:val="00576F80"/>
    <w:rsid w:val="00577035"/>
    <w:rsid w:val="005770C5"/>
    <w:rsid w:val="005770C8"/>
    <w:rsid w:val="005771C0"/>
    <w:rsid w:val="005771D5"/>
    <w:rsid w:val="0057726B"/>
    <w:rsid w:val="005772B8"/>
    <w:rsid w:val="00577366"/>
    <w:rsid w:val="005773E8"/>
    <w:rsid w:val="0057746F"/>
    <w:rsid w:val="005774F0"/>
    <w:rsid w:val="00577566"/>
    <w:rsid w:val="00577691"/>
    <w:rsid w:val="00577704"/>
    <w:rsid w:val="0057773B"/>
    <w:rsid w:val="005777B7"/>
    <w:rsid w:val="005777D5"/>
    <w:rsid w:val="00577822"/>
    <w:rsid w:val="005778A8"/>
    <w:rsid w:val="005778AE"/>
    <w:rsid w:val="005778D2"/>
    <w:rsid w:val="0057799E"/>
    <w:rsid w:val="005779C4"/>
    <w:rsid w:val="00577A68"/>
    <w:rsid w:val="00577A6B"/>
    <w:rsid w:val="00577AD4"/>
    <w:rsid w:val="00577B30"/>
    <w:rsid w:val="00577B42"/>
    <w:rsid w:val="00577B44"/>
    <w:rsid w:val="00577B45"/>
    <w:rsid w:val="00577CA3"/>
    <w:rsid w:val="00577D07"/>
    <w:rsid w:val="00577D17"/>
    <w:rsid w:val="00577D42"/>
    <w:rsid w:val="00577D64"/>
    <w:rsid w:val="00577E27"/>
    <w:rsid w:val="00577EF0"/>
    <w:rsid w:val="00577F7A"/>
    <w:rsid w:val="00577FC4"/>
    <w:rsid w:val="0058004B"/>
    <w:rsid w:val="0058007F"/>
    <w:rsid w:val="005800B8"/>
    <w:rsid w:val="005800E4"/>
    <w:rsid w:val="005800EC"/>
    <w:rsid w:val="0058023B"/>
    <w:rsid w:val="00580240"/>
    <w:rsid w:val="00580285"/>
    <w:rsid w:val="005802C6"/>
    <w:rsid w:val="005802DF"/>
    <w:rsid w:val="005802FA"/>
    <w:rsid w:val="00580322"/>
    <w:rsid w:val="00580371"/>
    <w:rsid w:val="0058042E"/>
    <w:rsid w:val="0058043A"/>
    <w:rsid w:val="0058049B"/>
    <w:rsid w:val="005804A9"/>
    <w:rsid w:val="005804B8"/>
    <w:rsid w:val="005804F6"/>
    <w:rsid w:val="0058050D"/>
    <w:rsid w:val="00580515"/>
    <w:rsid w:val="00580518"/>
    <w:rsid w:val="00580541"/>
    <w:rsid w:val="0058054E"/>
    <w:rsid w:val="005805D3"/>
    <w:rsid w:val="005805DA"/>
    <w:rsid w:val="00580607"/>
    <w:rsid w:val="0058060B"/>
    <w:rsid w:val="00580630"/>
    <w:rsid w:val="00580693"/>
    <w:rsid w:val="005806C4"/>
    <w:rsid w:val="00580702"/>
    <w:rsid w:val="0058075D"/>
    <w:rsid w:val="00580765"/>
    <w:rsid w:val="0058076C"/>
    <w:rsid w:val="00580776"/>
    <w:rsid w:val="005807E6"/>
    <w:rsid w:val="005807F1"/>
    <w:rsid w:val="00580829"/>
    <w:rsid w:val="005808E3"/>
    <w:rsid w:val="00580963"/>
    <w:rsid w:val="00580AC1"/>
    <w:rsid w:val="00580ACC"/>
    <w:rsid w:val="00580AFD"/>
    <w:rsid w:val="00580B2E"/>
    <w:rsid w:val="00580B6C"/>
    <w:rsid w:val="00580B81"/>
    <w:rsid w:val="00580B97"/>
    <w:rsid w:val="00580BFA"/>
    <w:rsid w:val="00580C04"/>
    <w:rsid w:val="00580C2A"/>
    <w:rsid w:val="00580CFB"/>
    <w:rsid w:val="00580D0D"/>
    <w:rsid w:val="00580D10"/>
    <w:rsid w:val="00580D29"/>
    <w:rsid w:val="00580D3C"/>
    <w:rsid w:val="00580D41"/>
    <w:rsid w:val="00580D4E"/>
    <w:rsid w:val="00580D8D"/>
    <w:rsid w:val="00580F29"/>
    <w:rsid w:val="00580F65"/>
    <w:rsid w:val="00580F75"/>
    <w:rsid w:val="00580FEC"/>
    <w:rsid w:val="005810F1"/>
    <w:rsid w:val="005810F5"/>
    <w:rsid w:val="00581115"/>
    <w:rsid w:val="00581153"/>
    <w:rsid w:val="0058127F"/>
    <w:rsid w:val="005812A2"/>
    <w:rsid w:val="005812E0"/>
    <w:rsid w:val="00581372"/>
    <w:rsid w:val="0058137F"/>
    <w:rsid w:val="00581385"/>
    <w:rsid w:val="00581386"/>
    <w:rsid w:val="005813C4"/>
    <w:rsid w:val="005813CA"/>
    <w:rsid w:val="00581418"/>
    <w:rsid w:val="00581568"/>
    <w:rsid w:val="00581579"/>
    <w:rsid w:val="005815B7"/>
    <w:rsid w:val="005815FB"/>
    <w:rsid w:val="005815FF"/>
    <w:rsid w:val="00581603"/>
    <w:rsid w:val="0058168E"/>
    <w:rsid w:val="00581713"/>
    <w:rsid w:val="0058174E"/>
    <w:rsid w:val="0058175A"/>
    <w:rsid w:val="0058176F"/>
    <w:rsid w:val="00581841"/>
    <w:rsid w:val="00581854"/>
    <w:rsid w:val="00581870"/>
    <w:rsid w:val="0058187B"/>
    <w:rsid w:val="005818F8"/>
    <w:rsid w:val="0058196B"/>
    <w:rsid w:val="00581977"/>
    <w:rsid w:val="00581979"/>
    <w:rsid w:val="0058199B"/>
    <w:rsid w:val="005819E6"/>
    <w:rsid w:val="00581AE2"/>
    <w:rsid w:val="00581B5E"/>
    <w:rsid w:val="00581B62"/>
    <w:rsid w:val="00581C60"/>
    <w:rsid w:val="00581CCA"/>
    <w:rsid w:val="00581D2B"/>
    <w:rsid w:val="00581D73"/>
    <w:rsid w:val="00581DDB"/>
    <w:rsid w:val="00581E20"/>
    <w:rsid w:val="00581ED7"/>
    <w:rsid w:val="00581F67"/>
    <w:rsid w:val="00581F85"/>
    <w:rsid w:val="00581FFB"/>
    <w:rsid w:val="005820CF"/>
    <w:rsid w:val="005820F7"/>
    <w:rsid w:val="0058210B"/>
    <w:rsid w:val="0058214F"/>
    <w:rsid w:val="00582168"/>
    <w:rsid w:val="005822BD"/>
    <w:rsid w:val="00582305"/>
    <w:rsid w:val="00582309"/>
    <w:rsid w:val="0058230C"/>
    <w:rsid w:val="00582339"/>
    <w:rsid w:val="00582377"/>
    <w:rsid w:val="005823E2"/>
    <w:rsid w:val="00582414"/>
    <w:rsid w:val="00582492"/>
    <w:rsid w:val="00582525"/>
    <w:rsid w:val="00582552"/>
    <w:rsid w:val="005825D7"/>
    <w:rsid w:val="00582643"/>
    <w:rsid w:val="005826C0"/>
    <w:rsid w:val="00582746"/>
    <w:rsid w:val="0058277E"/>
    <w:rsid w:val="005827BA"/>
    <w:rsid w:val="0058281C"/>
    <w:rsid w:val="00582824"/>
    <w:rsid w:val="00582841"/>
    <w:rsid w:val="00582853"/>
    <w:rsid w:val="005829BC"/>
    <w:rsid w:val="00582A1F"/>
    <w:rsid w:val="00582A87"/>
    <w:rsid w:val="00582AAE"/>
    <w:rsid w:val="00582AB1"/>
    <w:rsid w:val="00582AE1"/>
    <w:rsid w:val="00582B81"/>
    <w:rsid w:val="00582BDA"/>
    <w:rsid w:val="00582C90"/>
    <w:rsid w:val="00582CC3"/>
    <w:rsid w:val="00582CCE"/>
    <w:rsid w:val="00582D75"/>
    <w:rsid w:val="00582D94"/>
    <w:rsid w:val="00582F1E"/>
    <w:rsid w:val="00582F44"/>
    <w:rsid w:val="00582FB9"/>
    <w:rsid w:val="00583037"/>
    <w:rsid w:val="00583103"/>
    <w:rsid w:val="0058310C"/>
    <w:rsid w:val="005831BA"/>
    <w:rsid w:val="00583260"/>
    <w:rsid w:val="00583279"/>
    <w:rsid w:val="0058328A"/>
    <w:rsid w:val="0058329F"/>
    <w:rsid w:val="005832A3"/>
    <w:rsid w:val="005832BA"/>
    <w:rsid w:val="005832C6"/>
    <w:rsid w:val="005832F4"/>
    <w:rsid w:val="005832F7"/>
    <w:rsid w:val="00583341"/>
    <w:rsid w:val="00583425"/>
    <w:rsid w:val="005835B6"/>
    <w:rsid w:val="005835BC"/>
    <w:rsid w:val="005835F1"/>
    <w:rsid w:val="00583606"/>
    <w:rsid w:val="00583740"/>
    <w:rsid w:val="0058376B"/>
    <w:rsid w:val="005837A5"/>
    <w:rsid w:val="005837EB"/>
    <w:rsid w:val="00583843"/>
    <w:rsid w:val="00583881"/>
    <w:rsid w:val="0058389E"/>
    <w:rsid w:val="005838A5"/>
    <w:rsid w:val="005838DF"/>
    <w:rsid w:val="0058393E"/>
    <w:rsid w:val="0058394E"/>
    <w:rsid w:val="00583975"/>
    <w:rsid w:val="005839B6"/>
    <w:rsid w:val="005839D9"/>
    <w:rsid w:val="00583B1A"/>
    <w:rsid w:val="00583B82"/>
    <w:rsid w:val="00583D79"/>
    <w:rsid w:val="00583DC5"/>
    <w:rsid w:val="00583DFF"/>
    <w:rsid w:val="00583E2D"/>
    <w:rsid w:val="00583EAC"/>
    <w:rsid w:val="00583FE0"/>
    <w:rsid w:val="00583FE9"/>
    <w:rsid w:val="00584093"/>
    <w:rsid w:val="005840A7"/>
    <w:rsid w:val="0058413D"/>
    <w:rsid w:val="00584199"/>
    <w:rsid w:val="005841AA"/>
    <w:rsid w:val="005842A3"/>
    <w:rsid w:val="005842FE"/>
    <w:rsid w:val="00584326"/>
    <w:rsid w:val="00584331"/>
    <w:rsid w:val="00584352"/>
    <w:rsid w:val="00584371"/>
    <w:rsid w:val="005843C3"/>
    <w:rsid w:val="00584459"/>
    <w:rsid w:val="005844FE"/>
    <w:rsid w:val="00584523"/>
    <w:rsid w:val="005845C5"/>
    <w:rsid w:val="005845C6"/>
    <w:rsid w:val="00584670"/>
    <w:rsid w:val="005846DA"/>
    <w:rsid w:val="005846E8"/>
    <w:rsid w:val="0058470C"/>
    <w:rsid w:val="005847EE"/>
    <w:rsid w:val="0058481C"/>
    <w:rsid w:val="0058487E"/>
    <w:rsid w:val="00584890"/>
    <w:rsid w:val="005848A3"/>
    <w:rsid w:val="005848BE"/>
    <w:rsid w:val="005848DE"/>
    <w:rsid w:val="005848E3"/>
    <w:rsid w:val="005848E4"/>
    <w:rsid w:val="0058492F"/>
    <w:rsid w:val="0058498E"/>
    <w:rsid w:val="005849A5"/>
    <w:rsid w:val="005849D4"/>
    <w:rsid w:val="005849E4"/>
    <w:rsid w:val="00584A61"/>
    <w:rsid w:val="00584A84"/>
    <w:rsid w:val="00584B4A"/>
    <w:rsid w:val="00584B6A"/>
    <w:rsid w:val="00584B72"/>
    <w:rsid w:val="00584C50"/>
    <w:rsid w:val="00584D09"/>
    <w:rsid w:val="00584DAC"/>
    <w:rsid w:val="00584DE5"/>
    <w:rsid w:val="00584DFC"/>
    <w:rsid w:val="00584F46"/>
    <w:rsid w:val="00584F82"/>
    <w:rsid w:val="00584F9A"/>
    <w:rsid w:val="00585021"/>
    <w:rsid w:val="005850B5"/>
    <w:rsid w:val="005850BA"/>
    <w:rsid w:val="005850D7"/>
    <w:rsid w:val="005850ED"/>
    <w:rsid w:val="005850F1"/>
    <w:rsid w:val="00585126"/>
    <w:rsid w:val="00585137"/>
    <w:rsid w:val="00585180"/>
    <w:rsid w:val="005851B9"/>
    <w:rsid w:val="005851C8"/>
    <w:rsid w:val="00585242"/>
    <w:rsid w:val="00585275"/>
    <w:rsid w:val="005852B6"/>
    <w:rsid w:val="005853A8"/>
    <w:rsid w:val="005853B0"/>
    <w:rsid w:val="005853F1"/>
    <w:rsid w:val="00585481"/>
    <w:rsid w:val="00585490"/>
    <w:rsid w:val="005854F6"/>
    <w:rsid w:val="00585500"/>
    <w:rsid w:val="00585514"/>
    <w:rsid w:val="0058551B"/>
    <w:rsid w:val="005855EC"/>
    <w:rsid w:val="0058560E"/>
    <w:rsid w:val="00585641"/>
    <w:rsid w:val="0058564B"/>
    <w:rsid w:val="0058567E"/>
    <w:rsid w:val="005856A9"/>
    <w:rsid w:val="005856B9"/>
    <w:rsid w:val="0058574A"/>
    <w:rsid w:val="005857A8"/>
    <w:rsid w:val="005857C0"/>
    <w:rsid w:val="00585831"/>
    <w:rsid w:val="0058585E"/>
    <w:rsid w:val="0058586D"/>
    <w:rsid w:val="005858F8"/>
    <w:rsid w:val="0058593D"/>
    <w:rsid w:val="00585947"/>
    <w:rsid w:val="00585985"/>
    <w:rsid w:val="005859A2"/>
    <w:rsid w:val="005859A7"/>
    <w:rsid w:val="005859E1"/>
    <w:rsid w:val="00585A11"/>
    <w:rsid w:val="00585A16"/>
    <w:rsid w:val="00585A74"/>
    <w:rsid w:val="00585AF9"/>
    <w:rsid w:val="00585B66"/>
    <w:rsid w:val="00585B6E"/>
    <w:rsid w:val="00585B92"/>
    <w:rsid w:val="00585B9C"/>
    <w:rsid w:val="00585BE7"/>
    <w:rsid w:val="00585C9E"/>
    <w:rsid w:val="00585CAF"/>
    <w:rsid w:val="00585D26"/>
    <w:rsid w:val="00585D50"/>
    <w:rsid w:val="00585DDE"/>
    <w:rsid w:val="00585E9A"/>
    <w:rsid w:val="00585EB0"/>
    <w:rsid w:val="00585ED0"/>
    <w:rsid w:val="00585F00"/>
    <w:rsid w:val="00585F4E"/>
    <w:rsid w:val="00585FD7"/>
    <w:rsid w:val="00585FDE"/>
    <w:rsid w:val="0058609E"/>
    <w:rsid w:val="0058609F"/>
    <w:rsid w:val="00586114"/>
    <w:rsid w:val="0058616F"/>
    <w:rsid w:val="00586171"/>
    <w:rsid w:val="005862A9"/>
    <w:rsid w:val="00586320"/>
    <w:rsid w:val="00586392"/>
    <w:rsid w:val="0058639B"/>
    <w:rsid w:val="00586401"/>
    <w:rsid w:val="0058640D"/>
    <w:rsid w:val="0058644F"/>
    <w:rsid w:val="005864A6"/>
    <w:rsid w:val="005864B6"/>
    <w:rsid w:val="005864BD"/>
    <w:rsid w:val="005864FB"/>
    <w:rsid w:val="005865A1"/>
    <w:rsid w:val="005865C5"/>
    <w:rsid w:val="005865DC"/>
    <w:rsid w:val="005865DE"/>
    <w:rsid w:val="0058669D"/>
    <w:rsid w:val="0058683C"/>
    <w:rsid w:val="0058688A"/>
    <w:rsid w:val="005868B2"/>
    <w:rsid w:val="005868E0"/>
    <w:rsid w:val="00586951"/>
    <w:rsid w:val="0058698D"/>
    <w:rsid w:val="00586A0B"/>
    <w:rsid w:val="00586A34"/>
    <w:rsid w:val="00586A56"/>
    <w:rsid w:val="00586AA2"/>
    <w:rsid w:val="00586AAC"/>
    <w:rsid w:val="00586AB8"/>
    <w:rsid w:val="00586BA5"/>
    <w:rsid w:val="00586C25"/>
    <w:rsid w:val="00586C4A"/>
    <w:rsid w:val="00586C7A"/>
    <w:rsid w:val="00586D2B"/>
    <w:rsid w:val="00586D4B"/>
    <w:rsid w:val="00586D50"/>
    <w:rsid w:val="00586D6C"/>
    <w:rsid w:val="00586D7D"/>
    <w:rsid w:val="00586E5A"/>
    <w:rsid w:val="00586E7E"/>
    <w:rsid w:val="00586F4B"/>
    <w:rsid w:val="00586F85"/>
    <w:rsid w:val="00586FA0"/>
    <w:rsid w:val="00586FA6"/>
    <w:rsid w:val="00586FC7"/>
    <w:rsid w:val="00587051"/>
    <w:rsid w:val="005870C5"/>
    <w:rsid w:val="0058713F"/>
    <w:rsid w:val="00587245"/>
    <w:rsid w:val="0058728C"/>
    <w:rsid w:val="005872C7"/>
    <w:rsid w:val="005872E8"/>
    <w:rsid w:val="005872FE"/>
    <w:rsid w:val="0058732E"/>
    <w:rsid w:val="0058741C"/>
    <w:rsid w:val="00587421"/>
    <w:rsid w:val="0058742B"/>
    <w:rsid w:val="00587467"/>
    <w:rsid w:val="005874E1"/>
    <w:rsid w:val="00587576"/>
    <w:rsid w:val="005875EC"/>
    <w:rsid w:val="0058771D"/>
    <w:rsid w:val="00587768"/>
    <w:rsid w:val="00587778"/>
    <w:rsid w:val="00587781"/>
    <w:rsid w:val="0058789A"/>
    <w:rsid w:val="005878AB"/>
    <w:rsid w:val="005878DC"/>
    <w:rsid w:val="00587946"/>
    <w:rsid w:val="00587961"/>
    <w:rsid w:val="005879D4"/>
    <w:rsid w:val="005879E3"/>
    <w:rsid w:val="005879FC"/>
    <w:rsid w:val="00587A92"/>
    <w:rsid w:val="00587B25"/>
    <w:rsid w:val="00587B2F"/>
    <w:rsid w:val="00587B82"/>
    <w:rsid w:val="00587B86"/>
    <w:rsid w:val="00587BE1"/>
    <w:rsid w:val="00587C06"/>
    <w:rsid w:val="00587C07"/>
    <w:rsid w:val="00587CA7"/>
    <w:rsid w:val="00587CBB"/>
    <w:rsid w:val="00587CD5"/>
    <w:rsid w:val="00587D82"/>
    <w:rsid w:val="00587DB7"/>
    <w:rsid w:val="00587DFC"/>
    <w:rsid w:val="00587E02"/>
    <w:rsid w:val="00587EDC"/>
    <w:rsid w:val="00587F33"/>
    <w:rsid w:val="00587F52"/>
    <w:rsid w:val="00587F60"/>
    <w:rsid w:val="00587FD8"/>
    <w:rsid w:val="005900ED"/>
    <w:rsid w:val="00590159"/>
    <w:rsid w:val="0059015D"/>
    <w:rsid w:val="0059016A"/>
    <w:rsid w:val="0059017C"/>
    <w:rsid w:val="00590213"/>
    <w:rsid w:val="0059022E"/>
    <w:rsid w:val="0059024A"/>
    <w:rsid w:val="00590269"/>
    <w:rsid w:val="00590351"/>
    <w:rsid w:val="00590371"/>
    <w:rsid w:val="0059038A"/>
    <w:rsid w:val="00590496"/>
    <w:rsid w:val="005904E0"/>
    <w:rsid w:val="00590519"/>
    <w:rsid w:val="0059052D"/>
    <w:rsid w:val="00590536"/>
    <w:rsid w:val="005905F5"/>
    <w:rsid w:val="00590645"/>
    <w:rsid w:val="00590650"/>
    <w:rsid w:val="0059067B"/>
    <w:rsid w:val="005906BE"/>
    <w:rsid w:val="00590740"/>
    <w:rsid w:val="00590820"/>
    <w:rsid w:val="0059082A"/>
    <w:rsid w:val="0059088A"/>
    <w:rsid w:val="005908B3"/>
    <w:rsid w:val="005908EE"/>
    <w:rsid w:val="005909F4"/>
    <w:rsid w:val="00590AD1"/>
    <w:rsid w:val="00590B29"/>
    <w:rsid w:val="00590B72"/>
    <w:rsid w:val="00590B93"/>
    <w:rsid w:val="00590BCC"/>
    <w:rsid w:val="00590C15"/>
    <w:rsid w:val="00590C1E"/>
    <w:rsid w:val="00590CD3"/>
    <w:rsid w:val="00590D2E"/>
    <w:rsid w:val="00590D37"/>
    <w:rsid w:val="00590D71"/>
    <w:rsid w:val="00590DC5"/>
    <w:rsid w:val="00590E14"/>
    <w:rsid w:val="00590E7B"/>
    <w:rsid w:val="00590E7F"/>
    <w:rsid w:val="00591011"/>
    <w:rsid w:val="0059101A"/>
    <w:rsid w:val="00591022"/>
    <w:rsid w:val="00591068"/>
    <w:rsid w:val="0059107D"/>
    <w:rsid w:val="005910DE"/>
    <w:rsid w:val="00591106"/>
    <w:rsid w:val="00591124"/>
    <w:rsid w:val="00591135"/>
    <w:rsid w:val="0059118D"/>
    <w:rsid w:val="005911D4"/>
    <w:rsid w:val="00591228"/>
    <w:rsid w:val="00591265"/>
    <w:rsid w:val="005912D9"/>
    <w:rsid w:val="0059134E"/>
    <w:rsid w:val="005913B6"/>
    <w:rsid w:val="00591409"/>
    <w:rsid w:val="00591448"/>
    <w:rsid w:val="0059144E"/>
    <w:rsid w:val="005914B2"/>
    <w:rsid w:val="005914C4"/>
    <w:rsid w:val="00591501"/>
    <w:rsid w:val="00591555"/>
    <w:rsid w:val="0059156F"/>
    <w:rsid w:val="00591571"/>
    <w:rsid w:val="005916B5"/>
    <w:rsid w:val="00591764"/>
    <w:rsid w:val="005917F6"/>
    <w:rsid w:val="00591821"/>
    <w:rsid w:val="0059190B"/>
    <w:rsid w:val="0059194B"/>
    <w:rsid w:val="00591961"/>
    <w:rsid w:val="0059196C"/>
    <w:rsid w:val="00591986"/>
    <w:rsid w:val="00591A8B"/>
    <w:rsid w:val="00591A91"/>
    <w:rsid w:val="00591AEC"/>
    <w:rsid w:val="00591B5B"/>
    <w:rsid w:val="00591CE7"/>
    <w:rsid w:val="00591CFE"/>
    <w:rsid w:val="00591D0C"/>
    <w:rsid w:val="00591D1F"/>
    <w:rsid w:val="00591DBD"/>
    <w:rsid w:val="00591E8B"/>
    <w:rsid w:val="00591E9A"/>
    <w:rsid w:val="00591F39"/>
    <w:rsid w:val="00591FC3"/>
    <w:rsid w:val="0059207A"/>
    <w:rsid w:val="0059214E"/>
    <w:rsid w:val="005921D2"/>
    <w:rsid w:val="005921DA"/>
    <w:rsid w:val="00592253"/>
    <w:rsid w:val="005922B3"/>
    <w:rsid w:val="0059247A"/>
    <w:rsid w:val="005924E7"/>
    <w:rsid w:val="005925ED"/>
    <w:rsid w:val="00592617"/>
    <w:rsid w:val="005926D3"/>
    <w:rsid w:val="00592700"/>
    <w:rsid w:val="00592727"/>
    <w:rsid w:val="0059274C"/>
    <w:rsid w:val="00592757"/>
    <w:rsid w:val="00592839"/>
    <w:rsid w:val="00592896"/>
    <w:rsid w:val="005928B3"/>
    <w:rsid w:val="005928C2"/>
    <w:rsid w:val="005928E9"/>
    <w:rsid w:val="005928FB"/>
    <w:rsid w:val="0059290E"/>
    <w:rsid w:val="00592922"/>
    <w:rsid w:val="00592968"/>
    <w:rsid w:val="005929F5"/>
    <w:rsid w:val="00592A1E"/>
    <w:rsid w:val="00592A2A"/>
    <w:rsid w:val="00592AE4"/>
    <w:rsid w:val="00592B47"/>
    <w:rsid w:val="00592B8C"/>
    <w:rsid w:val="00592B8E"/>
    <w:rsid w:val="00592B9A"/>
    <w:rsid w:val="00592BB2"/>
    <w:rsid w:val="00592BCC"/>
    <w:rsid w:val="00592C07"/>
    <w:rsid w:val="00592C09"/>
    <w:rsid w:val="00592C6B"/>
    <w:rsid w:val="00592D3F"/>
    <w:rsid w:val="00592D59"/>
    <w:rsid w:val="00592D5C"/>
    <w:rsid w:val="00592DAC"/>
    <w:rsid w:val="00592DAE"/>
    <w:rsid w:val="00592DC8"/>
    <w:rsid w:val="00592DE8"/>
    <w:rsid w:val="00592E4B"/>
    <w:rsid w:val="00592EBE"/>
    <w:rsid w:val="00592EF4"/>
    <w:rsid w:val="00592F13"/>
    <w:rsid w:val="00592FA6"/>
    <w:rsid w:val="00592FE1"/>
    <w:rsid w:val="005930AE"/>
    <w:rsid w:val="005930C0"/>
    <w:rsid w:val="005930C6"/>
    <w:rsid w:val="005930DE"/>
    <w:rsid w:val="00593118"/>
    <w:rsid w:val="00593326"/>
    <w:rsid w:val="005933A2"/>
    <w:rsid w:val="00593461"/>
    <w:rsid w:val="00593479"/>
    <w:rsid w:val="005934C0"/>
    <w:rsid w:val="0059353D"/>
    <w:rsid w:val="00593550"/>
    <w:rsid w:val="00593591"/>
    <w:rsid w:val="00593617"/>
    <w:rsid w:val="0059381C"/>
    <w:rsid w:val="00593869"/>
    <w:rsid w:val="00593895"/>
    <w:rsid w:val="00593944"/>
    <w:rsid w:val="00593B03"/>
    <w:rsid w:val="00593BA2"/>
    <w:rsid w:val="00593C13"/>
    <w:rsid w:val="00593CEB"/>
    <w:rsid w:val="00593CF7"/>
    <w:rsid w:val="00593D0A"/>
    <w:rsid w:val="00593D34"/>
    <w:rsid w:val="00593DD9"/>
    <w:rsid w:val="00593DFE"/>
    <w:rsid w:val="00593E4E"/>
    <w:rsid w:val="00593E86"/>
    <w:rsid w:val="00593E8D"/>
    <w:rsid w:val="00593ED4"/>
    <w:rsid w:val="00593EE5"/>
    <w:rsid w:val="00593F0E"/>
    <w:rsid w:val="00593F1A"/>
    <w:rsid w:val="00594090"/>
    <w:rsid w:val="00594093"/>
    <w:rsid w:val="005940CC"/>
    <w:rsid w:val="005940F2"/>
    <w:rsid w:val="0059410A"/>
    <w:rsid w:val="00594123"/>
    <w:rsid w:val="005941E5"/>
    <w:rsid w:val="0059420F"/>
    <w:rsid w:val="00594267"/>
    <w:rsid w:val="0059429D"/>
    <w:rsid w:val="005942A7"/>
    <w:rsid w:val="005942C7"/>
    <w:rsid w:val="005942C9"/>
    <w:rsid w:val="005943BA"/>
    <w:rsid w:val="005943BF"/>
    <w:rsid w:val="00594465"/>
    <w:rsid w:val="00594487"/>
    <w:rsid w:val="005944BA"/>
    <w:rsid w:val="0059450B"/>
    <w:rsid w:val="00594549"/>
    <w:rsid w:val="00594558"/>
    <w:rsid w:val="00594588"/>
    <w:rsid w:val="0059467E"/>
    <w:rsid w:val="00594681"/>
    <w:rsid w:val="0059469D"/>
    <w:rsid w:val="005946F2"/>
    <w:rsid w:val="0059478B"/>
    <w:rsid w:val="005947B0"/>
    <w:rsid w:val="00594812"/>
    <w:rsid w:val="0059488C"/>
    <w:rsid w:val="00594892"/>
    <w:rsid w:val="0059495F"/>
    <w:rsid w:val="00594968"/>
    <w:rsid w:val="00594996"/>
    <w:rsid w:val="005949A2"/>
    <w:rsid w:val="005949BC"/>
    <w:rsid w:val="00594A6C"/>
    <w:rsid w:val="00594AE6"/>
    <w:rsid w:val="00594B1C"/>
    <w:rsid w:val="00594B6B"/>
    <w:rsid w:val="00594B87"/>
    <w:rsid w:val="00594BB2"/>
    <w:rsid w:val="00594BB3"/>
    <w:rsid w:val="00594BF6"/>
    <w:rsid w:val="00594C7E"/>
    <w:rsid w:val="00594D55"/>
    <w:rsid w:val="00594DD2"/>
    <w:rsid w:val="00594E04"/>
    <w:rsid w:val="00594E58"/>
    <w:rsid w:val="00594EA4"/>
    <w:rsid w:val="00594EC3"/>
    <w:rsid w:val="00594F91"/>
    <w:rsid w:val="00594FA0"/>
    <w:rsid w:val="00594FD1"/>
    <w:rsid w:val="005950C1"/>
    <w:rsid w:val="005951B0"/>
    <w:rsid w:val="00595276"/>
    <w:rsid w:val="00595280"/>
    <w:rsid w:val="005952A9"/>
    <w:rsid w:val="00595301"/>
    <w:rsid w:val="0059539B"/>
    <w:rsid w:val="0059547C"/>
    <w:rsid w:val="00595506"/>
    <w:rsid w:val="00595528"/>
    <w:rsid w:val="00595578"/>
    <w:rsid w:val="0059562F"/>
    <w:rsid w:val="005956A2"/>
    <w:rsid w:val="005956FC"/>
    <w:rsid w:val="00595703"/>
    <w:rsid w:val="0059575B"/>
    <w:rsid w:val="00595760"/>
    <w:rsid w:val="005957AC"/>
    <w:rsid w:val="005957CB"/>
    <w:rsid w:val="00595829"/>
    <w:rsid w:val="00595831"/>
    <w:rsid w:val="00595863"/>
    <w:rsid w:val="00595868"/>
    <w:rsid w:val="005958D6"/>
    <w:rsid w:val="00595992"/>
    <w:rsid w:val="005959D5"/>
    <w:rsid w:val="005959E5"/>
    <w:rsid w:val="005959E6"/>
    <w:rsid w:val="00595A41"/>
    <w:rsid w:val="00595A76"/>
    <w:rsid w:val="00595AB0"/>
    <w:rsid w:val="00595BA5"/>
    <w:rsid w:val="00595BB0"/>
    <w:rsid w:val="00595BEC"/>
    <w:rsid w:val="00595C5A"/>
    <w:rsid w:val="00595C6E"/>
    <w:rsid w:val="00595D7C"/>
    <w:rsid w:val="00595D9C"/>
    <w:rsid w:val="00595D9D"/>
    <w:rsid w:val="00595DCE"/>
    <w:rsid w:val="00595DD2"/>
    <w:rsid w:val="00595E01"/>
    <w:rsid w:val="00595E0F"/>
    <w:rsid w:val="00595E4E"/>
    <w:rsid w:val="00595EEC"/>
    <w:rsid w:val="00595F1B"/>
    <w:rsid w:val="00595F20"/>
    <w:rsid w:val="00595F6B"/>
    <w:rsid w:val="00595F9E"/>
    <w:rsid w:val="00596097"/>
    <w:rsid w:val="005960CE"/>
    <w:rsid w:val="00596112"/>
    <w:rsid w:val="00596126"/>
    <w:rsid w:val="00596147"/>
    <w:rsid w:val="0059620E"/>
    <w:rsid w:val="0059621B"/>
    <w:rsid w:val="00596246"/>
    <w:rsid w:val="005962E9"/>
    <w:rsid w:val="0059630C"/>
    <w:rsid w:val="00596375"/>
    <w:rsid w:val="0059638F"/>
    <w:rsid w:val="005963C3"/>
    <w:rsid w:val="005963D8"/>
    <w:rsid w:val="005963E2"/>
    <w:rsid w:val="00596443"/>
    <w:rsid w:val="00596465"/>
    <w:rsid w:val="00596472"/>
    <w:rsid w:val="005964A3"/>
    <w:rsid w:val="005964B0"/>
    <w:rsid w:val="0059650D"/>
    <w:rsid w:val="00596705"/>
    <w:rsid w:val="00596766"/>
    <w:rsid w:val="005967D4"/>
    <w:rsid w:val="0059684A"/>
    <w:rsid w:val="00596853"/>
    <w:rsid w:val="005968AE"/>
    <w:rsid w:val="005968C5"/>
    <w:rsid w:val="005968E5"/>
    <w:rsid w:val="005968FF"/>
    <w:rsid w:val="0059692A"/>
    <w:rsid w:val="0059693E"/>
    <w:rsid w:val="005969F8"/>
    <w:rsid w:val="00596A47"/>
    <w:rsid w:val="00596A54"/>
    <w:rsid w:val="00596ACE"/>
    <w:rsid w:val="00596B95"/>
    <w:rsid w:val="00596C1A"/>
    <w:rsid w:val="00596C3C"/>
    <w:rsid w:val="00596CA9"/>
    <w:rsid w:val="00596DE0"/>
    <w:rsid w:val="00596E08"/>
    <w:rsid w:val="00596E66"/>
    <w:rsid w:val="00596E8C"/>
    <w:rsid w:val="00596E9E"/>
    <w:rsid w:val="00596EAF"/>
    <w:rsid w:val="00596F02"/>
    <w:rsid w:val="00596F28"/>
    <w:rsid w:val="00596F2B"/>
    <w:rsid w:val="00596F2E"/>
    <w:rsid w:val="00596FAA"/>
    <w:rsid w:val="00596FBD"/>
    <w:rsid w:val="0059703F"/>
    <w:rsid w:val="0059705C"/>
    <w:rsid w:val="005970C0"/>
    <w:rsid w:val="005970F1"/>
    <w:rsid w:val="005971D1"/>
    <w:rsid w:val="005971D7"/>
    <w:rsid w:val="005971FC"/>
    <w:rsid w:val="00597231"/>
    <w:rsid w:val="00597298"/>
    <w:rsid w:val="00597333"/>
    <w:rsid w:val="00597461"/>
    <w:rsid w:val="00597466"/>
    <w:rsid w:val="00597471"/>
    <w:rsid w:val="0059747A"/>
    <w:rsid w:val="005974DD"/>
    <w:rsid w:val="0059759E"/>
    <w:rsid w:val="005975AA"/>
    <w:rsid w:val="005975B8"/>
    <w:rsid w:val="005975E6"/>
    <w:rsid w:val="005975F9"/>
    <w:rsid w:val="00597607"/>
    <w:rsid w:val="00597667"/>
    <w:rsid w:val="00597781"/>
    <w:rsid w:val="0059779E"/>
    <w:rsid w:val="005977A4"/>
    <w:rsid w:val="00597814"/>
    <w:rsid w:val="00597878"/>
    <w:rsid w:val="00597884"/>
    <w:rsid w:val="005978C4"/>
    <w:rsid w:val="00597946"/>
    <w:rsid w:val="0059797B"/>
    <w:rsid w:val="005979AB"/>
    <w:rsid w:val="00597ABE"/>
    <w:rsid w:val="00597AD9"/>
    <w:rsid w:val="00597AEF"/>
    <w:rsid w:val="00597B6F"/>
    <w:rsid w:val="00597C29"/>
    <w:rsid w:val="00597D2B"/>
    <w:rsid w:val="00597D97"/>
    <w:rsid w:val="00597DB5"/>
    <w:rsid w:val="00597DE9"/>
    <w:rsid w:val="00597E0F"/>
    <w:rsid w:val="00597E32"/>
    <w:rsid w:val="00597E7C"/>
    <w:rsid w:val="00597F38"/>
    <w:rsid w:val="005A0036"/>
    <w:rsid w:val="005A0057"/>
    <w:rsid w:val="005A0079"/>
    <w:rsid w:val="005A0109"/>
    <w:rsid w:val="005A018C"/>
    <w:rsid w:val="005A018D"/>
    <w:rsid w:val="005A01B6"/>
    <w:rsid w:val="005A01DA"/>
    <w:rsid w:val="005A01F1"/>
    <w:rsid w:val="005A0214"/>
    <w:rsid w:val="005A0266"/>
    <w:rsid w:val="005A0297"/>
    <w:rsid w:val="005A02CF"/>
    <w:rsid w:val="005A033D"/>
    <w:rsid w:val="005A03C3"/>
    <w:rsid w:val="005A03CA"/>
    <w:rsid w:val="005A0420"/>
    <w:rsid w:val="005A04B3"/>
    <w:rsid w:val="005A0572"/>
    <w:rsid w:val="005A061D"/>
    <w:rsid w:val="005A0633"/>
    <w:rsid w:val="005A0640"/>
    <w:rsid w:val="005A064D"/>
    <w:rsid w:val="005A06CE"/>
    <w:rsid w:val="005A0709"/>
    <w:rsid w:val="005A070C"/>
    <w:rsid w:val="005A0717"/>
    <w:rsid w:val="005A07F2"/>
    <w:rsid w:val="005A07F5"/>
    <w:rsid w:val="005A0821"/>
    <w:rsid w:val="005A0845"/>
    <w:rsid w:val="005A0898"/>
    <w:rsid w:val="005A0919"/>
    <w:rsid w:val="005A0953"/>
    <w:rsid w:val="005A0995"/>
    <w:rsid w:val="005A09D6"/>
    <w:rsid w:val="005A09FB"/>
    <w:rsid w:val="005A0AC4"/>
    <w:rsid w:val="005A0C0A"/>
    <w:rsid w:val="005A0C17"/>
    <w:rsid w:val="005A0C83"/>
    <w:rsid w:val="005A0CAD"/>
    <w:rsid w:val="005A0D18"/>
    <w:rsid w:val="005A0D32"/>
    <w:rsid w:val="005A0D44"/>
    <w:rsid w:val="005A0D4E"/>
    <w:rsid w:val="005A0DDD"/>
    <w:rsid w:val="005A0E5E"/>
    <w:rsid w:val="005A0EA9"/>
    <w:rsid w:val="005A0EEA"/>
    <w:rsid w:val="005A0EF7"/>
    <w:rsid w:val="005A0F5C"/>
    <w:rsid w:val="005A0F93"/>
    <w:rsid w:val="005A0FB2"/>
    <w:rsid w:val="005A10E9"/>
    <w:rsid w:val="005A10FA"/>
    <w:rsid w:val="005A1163"/>
    <w:rsid w:val="005A119B"/>
    <w:rsid w:val="005A11F4"/>
    <w:rsid w:val="005A123B"/>
    <w:rsid w:val="005A1245"/>
    <w:rsid w:val="005A12B2"/>
    <w:rsid w:val="005A12FC"/>
    <w:rsid w:val="005A1376"/>
    <w:rsid w:val="005A138D"/>
    <w:rsid w:val="005A13DD"/>
    <w:rsid w:val="005A1416"/>
    <w:rsid w:val="005A1443"/>
    <w:rsid w:val="005A14B7"/>
    <w:rsid w:val="005A14E7"/>
    <w:rsid w:val="005A1562"/>
    <w:rsid w:val="005A163F"/>
    <w:rsid w:val="005A1722"/>
    <w:rsid w:val="005A177E"/>
    <w:rsid w:val="005A17D3"/>
    <w:rsid w:val="005A19A7"/>
    <w:rsid w:val="005A1A25"/>
    <w:rsid w:val="005A1A85"/>
    <w:rsid w:val="005A1AA1"/>
    <w:rsid w:val="005A1AAF"/>
    <w:rsid w:val="005A1B00"/>
    <w:rsid w:val="005A1B06"/>
    <w:rsid w:val="005A1BCF"/>
    <w:rsid w:val="005A1C23"/>
    <w:rsid w:val="005A1C2F"/>
    <w:rsid w:val="005A1C89"/>
    <w:rsid w:val="005A1D24"/>
    <w:rsid w:val="005A1D25"/>
    <w:rsid w:val="005A1D68"/>
    <w:rsid w:val="005A1E11"/>
    <w:rsid w:val="005A1E5B"/>
    <w:rsid w:val="005A1EF6"/>
    <w:rsid w:val="005A1F3D"/>
    <w:rsid w:val="005A1F57"/>
    <w:rsid w:val="005A2027"/>
    <w:rsid w:val="005A2042"/>
    <w:rsid w:val="005A20F4"/>
    <w:rsid w:val="005A2135"/>
    <w:rsid w:val="005A219A"/>
    <w:rsid w:val="005A2207"/>
    <w:rsid w:val="005A2220"/>
    <w:rsid w:val="005A2276"/>
    <w:rsid w:val="005A22CE"/>
    <w:rsid w:val="005A237D"/>
    <w:rsid w:val="005A23DD"/>
    <w:rsid w:val="005A24FD"/>
    <w:rsid w:val="005A24FF"/>
    <w:rsid w:val="005A2507"/>
    <w:rsid w:val="005A2508"/>
    <w:rsid w:val="005A2549"/>
    <w:rsid w:val="005A2557"/>
    <w:rsid w:val="005A2562"/>
    <w:rsid w:val="005A257C"/>
    <w:rsid w:val="005A2589"/>
    <w:rsid w:val="005A25E7"/>
    <w:rsid w:val="005A2613"/>
    <w:rsid w:val="005A2627"/>
    <w:rsid w:val="005A2686"/>
    <w:rsid w:val="005A26C6"/>
    <w:rsid w:val="005A26D4"/>
    <w:rsid w:val="005A26DD"/>
    <w:rsid w:val="005A277B"/>
    <w:rsid w:val="005A27AC"/>
    <w:rsid w:val="005A27B3"/>
    <w:rsid w:val="005A280F"/>
    <w:rsid w:val="005A2860"/>
    <w:rsid w:val="005A2862"/>
    <w:rsid w:val="005A28B8"/>
    <w:rsid w:val="005A28C5"/>
    <w:rsid w:val="005A28EE"/>
    <w:rsid w:val="005A2924"/>
    <w:rsid w:val="005A2945"/>
    <w:rsid w:val="005A297B"/>
    <w:rsid w:val="005A2993"/>
    <w:rsid w:val="005A29DC"/>
    <w:rsid w:val="005A2AC0"/>
    <w:rsid w:val="005A2B9D"/>
    <w:rsid w:val="005A2BA5"/>
    <w:rsid w:val="005A2BE4"/>
    <w:rsid w:val="005A2C1E"/>
    <w:rsid w:val="005A2C62"/>
    <w:rsid w:val="005A2CFE"/>
    <w:rsid w:val="005A2D30"/>
    <w:rsid w:val="005A2D61"/>
    <w:rsid w:val="005A2DB3"/>
    <w:rsid w:val="005A2DDA"/>
    <w:rsid w:val="005A2DE9"/>
    <w:rsid w:val="005A2E61"/>
    <w:rsid w:val="005A2F11"/>
    <w:rsid w:val="005A2F31"/>
    <w:rsid w:val="005A2F67"/>
    <w:rsid w:val="005A2F94"/>
    <w:rsid w:val="005A2FD0"/>
    <w:rsid w:val="005A3013"/>
    <w:rsid w:val="005A3031"/>
    <w:rsid w:val="005A30DB"/>
    <w:rsid w:val="005A3107"/>
    <w:rsid w:val="005A31AA"/>
    <w:rsid w:val="005A31BB"/>
    <w:rsid w:val="005A31C4"/>
    <w:rsid w:val="005A3259"/>
    <w:rsid w:val="005A329B"/>
    <w:rsid w:val="005A32DD"/>
    <w:rsid w:val="005A32E4"/>
    <w:rsid w:val="005A3374"/>
    <w:rsid w:val="005A337E"/>
    <w:rsid w:val="005A3410"/>
    <w:rsid w:val="005A348A"/>
    <w:rsid w:val="005A352B"/>
    <w:rsid w:val="005A3558"/>
    <w:rsid w:val="005A360C"/>
    <w:rsid w:val="005A36AE"/>
    <w:rsid w:val="005A374B"/>
    <w:rsid w:val="005A377B"/>
    <w:rsid w:val="005A37B2"/>
    <w:rsid w:val="005A37D8"/>
    <w:rsid w:val="005A37E2"/>
    <w:rsid w:val="005A383A"/>
    <w:rsid w:val="005A3863"/>
    <w:rsid w:val="005A395A"/>
    <w:rsid w:val="005A3975"/>
    <w:rsid w:val="005A3990"/>
    <w:rsid w:val="005A399F"/>
    <w:rsid w:val="005A39A5"/>
    <w:rsid w:val="005A39C8"/>
    <w:rsid w:val="005A39E0"/>
    <w:rsid w:val="005A3A06"/>
    <w:rsid w:val="005A3A1A"/>
    <w:rsid w:val="005A3A7E"/>
    <w:rsid w:val="005A3A9C"/>
    <w:rsid w:val="005A3B07"/>
    <w:rsid w:val="005A3B61"/>
    <w:rsid w:val="005A3BC8"/>
    <w:rsid w:val="005A3C0B"/>
    <w:rsid w:val="005A3C2D"/>
    <w:rsid w:val="005A3C7A"/>
    <w:rsid w:val="005A3CA3"/>
    <w:rsid w:val="005A3CBB"/>
    <w:rsid w:val="005A3CD2"/>
    <w:rsid w:val="005A3D2B"/>
    <w:rsid w:val="005A3D2D"/>
    <w:rsid w:val="005A3D3D"/>
    <w:rsid w:val="005A3D55"/>
    <w:rsid w:val="005A3E09"/>
    <w:rsid w:val="005A3E34"/>
    <w:rsid w:val="005A3E83"/>
    <w:rsid w:val="005A40A6"/>
    <w:rsid w:val="005A40BA"/>
    <w:rsid w:val="005A40D2"/>
    <w:rsid w:val="005A4128"/>
    <w:rsid w:val="005A41BA"/>
    <w:rsid w:val="005A4224"/>
    <w:rsid w:val="005A4233"/>
    <w:rsid w:val="005A4333"/>
    <w:rsid w:val="005A4336"/>
    <w:rsid w:val="005A436A"/>
    <w:rsid w:val="005A43B2"/>
    <w:rsid w:val="005A444F"/>
    <w:rsid w:val="005A4551"/>
    <w:rsid w:val="005A45AD"/>
    <w:rsid w:val="005A46D1"/>
    <w:rsid w:val="005A46D6"/>
    <w:rsid w:val="005A4776"/>
    <w:rsid w:val="005A47A0"/>
    <w:rsid w:val="005A47B8"/>
    <w:rsid w:val="005A47EF"/>
    <w:rsid w:val="005A48A2"/>
    <w:rsid w:val="005A48E1"/>
    <w:rsid w:val="005A491B"/>
    <w:rsid w:val="005A4933"/>
    <w:rsid w:val="005A4937"/>
    <w:rsid w:val="005A4954"/>
    <w:rsid w:val="005A4972"/>
    <w:rsid w:val="005A4976"/>
    <w:rsid w:val="005A4997"/>
    <w:rsid w:val="005A4AF7"/>
    <w:rsid w:val="005A4B19"/>
    <w:rsid w:val="005A4B56"/>
    <w:rsid w:val="005A4B8E"/>
    <w:rsid w:val="005A4BCF"/>
    <w:rsid w:val="005A4C34"/>
    <w:rsid w:val="005A4C80"/>
    <w:rsid w:val="005A4C9C"/>
    <w:rsid w:val="005A4D45"/>
    <w:rsid w:val="005A4D4B"/>
    <w:rsid w:val="005A4D6E"/>
    <w:rsid w:val="005A4D88"/>
    <w:rsid w:val="005A4E03"/>
    <w:rsid w:val="005A4E3F"/>
    <w:rsid w:val="005A4E69"/>
    <w:rsid w:val="005A4E91"/>
    <w:rsid w:val="005A4F20"/>
    <w:rsid w:val="005A4F7F"/>
    <w:rsid w:val="005A5098"/>
    <w:rsid w:val="005A50A9"/>
    <w:rsid w:val="005A5226"/>
    <w:rsid w:val="005A5232"/>
    <w:rsid w:val="005A524C"/>
    <w:rsid w:val="005A532E"/>
    <w:rsid w:val="005A5375"/>
    <w:rsid w:val="005A5409"/>
    <w:rsid w:val="005A5480"/>
    <w:rsid w:val="005A549F"/>
    <w:rsid w:val="005A54A7"/>
    <w:rsid w:val="005A54B9"/>
    <w:rsid w:val="005A54EB"/>
    <w:rsid w:val="005A556F"/>
    <w:rsid w:val="005A56A5"/>
    <w:rsid w:val="005A56CF"/>
    <w:rsid w:val="005A5721"/>
    <w:rsid w:val="005A5730"/>
    <w:rsid w:val="005A5736"/>
    <w:rsid w:val="005A580B"/>
    <w:rsid w:val="005A5824"/>
    <w:rsid w:val="005A5843"/>
    <w:rsid w:val="005A588F"/>
    <w:rsid w:val="005A5952"/>
    <w:rsid w:val="005A597F"/>
    <w:rsid w:val="005A5981"/>
    <w:rsid w:val="005A5994"/>
    <w:rsid w:val="005A5BC1"/>
    <w:rsid w:val="005A5BCD"/>
    <w:rsid w:val="005A5CAE"/>
    <w:rsid w:val="005A5D7B"/>
    <w:rsid w:val="005A5D90"/>
    <w:rsid w:val="005A5D96"/>
    <w:rsid w:val="005A5F22"/>
    <w:rsid w:val="005A5F89"/>
    <w:rsid w:val="005A6028"/>
    <w:rsid w:val="005A6091"/>
    <w:rsid w:val="005A60B0"/>
    <w:rsid w:val="005A6228"/>
    <w:rsid w:val="005A6238"/>
    <w:rsid w:val="005A6361"/>
    <w:rsid w:val="005A636F"/>
    <w:rsid w:val="005A638D"/>
    <w:rsid w:val="005A6391"/>
    <w:rsid w:val="005A63B1"/>
    <w:rsid w:val="005A6435"/>
    <w:rsid w:val="005A646E"/>
    <w:rsid w:val="005A6490"/>
    <w:rsid w:val="005A6562"/>
    <w:rsid w:val="005A65B6"/>
    <w:rsid w:val="005A6636"/>
    <w:rsid w:val="005A6641"/>
    <w:rsid w:val="005A6674"/>
    <w:rsid w:val="005A668A"/>
    <w:rsid w:val="005A66A7"/>
    <w:rsid w:val="005A66B2"/>
    <w:rsid w:val="005A66E3"/>
    <w:rsid w:val="005A66E8"/>
    <w:rsid w:val="005A66FD"/>
    <w:rsid w:val="005A680B"/>
    <w:rsid w:val="005A680F"/>
    <w:rsid w:val="005A6824"/>
    <w:rsid w:val="005A68A6"/>
    <w:rsid w:val="005A68F9"/>
    <w:rsid w:val="005A6A27"/>
    <w:rsid w:val="005A6A9D"/>
    <w:rsid w:val="005A6AFB"/>
    <w:rsid w:val="005A6B61"/>
    <w:rsid w:val="005A6B68"/>
    <w:rsid w:val="005A6B6B"/>
    <w:rsid w:val="005A6BA5"/>
    <w:rsid w:val="005A6CBD"/>
    <w:rsid w:val="005A6D1F"/>
    <w:rsid w:val="005A6D2F"/>
    <w:rsid w:val="005A6D7F"/>
    <w:rsid w:val="005A6D84"/>
    <w:rsid w:val="005A6DCD"/>
    <w:rsid w:val="005A6DE1"/>
    <w:rsid w:val="005A6E23"/>
    <w:rsid w:val="005A6F4D"/>
    <w:rsid w:val="005A6F7C"/>
    <w:rsid w:val="005A6FB0"/>
    <w:rsid w:val="005A701C"/>
    <w:rsid w:val="005A7037"/>
    <w:rsid w:val="005A7079"/>
    <w:rsid w:val="005A70A7"/>
    <w:rsid w:val="005A7136"/>
    <w:rsid w:val="005A7210"/>
    <w:rsid w:val="005A7240"/>
    <w:rsid w:val="005A7299"/>
    <w:rsid w:val="005A72A6"/>
    <w:rsid w:val="005A72AF"/>
    <w:rsid w:val="005A72E9"/>
    <w:rsid w:val="005A7313"/>
    <w:rsid w:val="005A731C"/>
    <w:rsid w:val="005A7422"/>
    <w:rsid w:val="005A755D"/>
    <w:rsid w:val="005A75B8"/>
    <w:rsid w:val="005A75C9"/>
    <w:rsid w:val="005A7632"/>
    <w:rsid w:val="005A76A1"/>
    <w:rsid w:val="005A76C4"/>
    <w:rsid w:val="005A7729"/>
    <w:rsid w:val="005A7732"/>
    <w:rsid w:val="005A7748"/>
    <w:rsid w:val="005A7755"/>
    <w:rsid w:val="005A7756"/>
    <w:rsid w:val="005A78DD"/>
    <w:rsid w:val="005A79E3"/>
    <w:rsid w:val="005A79FD"/>
    <w:rsid w:val="005A7A3C"/>
    <w:rsid w:val="005A7A7A"/>
    <w:rsid w:val="005A7B91"/>
    <w:rsid w:val="005A7BA8"/>
    <w:rsid w:val="005A7BEA"/>
    <w:rsid w:val="005A7C23"/>
    <w:rsid w:val="005A7C5C"/>
    <w:rsid w:val="005A7C86"/>
    <w:rsid w:val="005A7C9F"/>
    <w:rsid w:val="005A7D16"/>
    <w:rsid w:val="005A7D98"/>
    <w:rsid w:val="005A7DB3"/>
    <w:rsid w:val="005A7DCD"/>
    <w:rsid w:val="005A7DF0"/>
    <w:rsid w:val="005A7E64"/>
    <w:rsid w:val="005A7F91"/>
    <w:rsid w:val="005A7FA0"/>
    <w:rsid w:val="005A7FD8"/>
    <w:rsid w:val="005B0007"/>
    <w:rsid w:val="005B0037"/>
    <w:rsid w:val="005B006F"/>
    <w:rsid w:val="005B00BD"/>
    <w:rsid w:val="005B010F"/>
    <w:rsid w:val="005B0119"/>
    <w:rsid w:val="005B016D"/>
    <w:rsid w:val="005B018E"/>
    <w:rsid w:val="005B01D1"/>
    <w:rsid w:val="005B0273"/>
    <w:rsid w:val="005B02A7"/>
    <w:rsid w:val="005B0361"/>
    <w:rsid w:val="005B0370"/>
    <w:rsid w:val="005B03B2"/>
    <w:rsid w:val="005B03B4"/>
    <w:rsid w:val="005B04C0"/>
    <w:rsid w:val="005B04F9"/>
    <w:rsid w:val="005B0559"/>
    <w:rsid w:val="005B057E"/>
    <w:rsid w:val="005B05D7"/>
    <w:rsid w:val="005B0602"/>
    <w:rsid w:val="005B060F"/>
    <w:rsid w:val="005B06C7"/>
    <w:rsid w:val="005B0721"/>
    <w:rsid w:val="005B0785"/>
    <w:rsid w:val="005B094F"/>
    <w:rsid w:val="005B09CD"/>
    <w:rsid w:val="005B09CF"/>
    <w:rsid w:val="005B0B56"/>
    <w:rsid w:val="005B0C54"/>
    <w:rsid w:val="005B0C61"/>
    <w:rsid w:val="005B0C6C"/>
    <w:rsid w:val="005B0C9F"/>
    <w:rsid w:val="005B0D74"/>
    <w:rsid w:val="005B0DB9"/>
    <w:rsid w:val="005B0DC1"/>
    <w:rsid w:val="005B0DE1"/>
    <w:rsid w:val="005B0ED9"/>
    <w:rsid w:val="005B0F20"/>
    <w:rsid w:val="005B0FC8"/>
    <w:rsid w:val="005B0FD1"/>
    <w:rsid w:val="005B0FD7"/>
    <w:rsid w:val="005B101B"/>
    <w:rsid w:val="005B1032"/>
    <w:rsid w:val="005B103C"/>
    <w:rsid w:val="005B108E"/>
    <w:rsid w:val="005B1194"/>
    <w:rsid w:val="005B11D8"/>
    <w:rsid w:val="005B11D9"/>
    <w:rsid w:val="005B123D"/>
    <w:rsid w:val="005B1257"/>
    <w:rsid w:val="005B1279"/>
    <w:rsid w:val="005B13AB"/>
    <w:rsid w:val="005B1438"/>
    <w:rsid w:val="005B1495"/>
    <w:rsid w:val="005B14FF"/>
    <w:rsid w:val="005B155C"/>
    <w:rsid w:val="005B1583"/>
    <w:rsid w:val="005B1588"/>
    <w:rsid w:val="005B1631"/>
    <w:rsid w:val="005B1635"/>
    <w:rsid w:val="005B1679"/>
    <w:rsid w:val="005B168C"/>
    <w:rsid w:val="005B16EC"/>
    <w:rsid w:val="005B1700"/>
    <w:rsid w:val="005B178E"/>
    <w:rsid w:val="005B1955"/>
    <w:rsid w:val="005B1A07"/>
    <w:rsid w:val="005B1A3D"/>
    <w:rsid w:val="005B1BAD"/>
    <w:rsid w:val="005B1C7C"/>
    <w:rsid w:val="005B1D62"/>
    <w:rsid w:val="005B1DB7"/>
    <w:rsid w:val="005B1DDD"/>
    <w:rsid w:val="005B1DE5"/>
    <w:rsid w:val="005B1E16"/>
    <w:rsid w:val="005B1E4E"/>
    <w:rsid w:val="005B1EF4"/>
    <w:rsid w:val="005B1F25"/>
    <w:rsid w:val="005B1F5B"/>
    <w:rsid w:val="005B200D"/>
    <w:rsid w:val="005B2036"/>
    <w:rsid w:val="005B20A2"/>
    <w:rsid w:val="005B2111"/>
    <w:rsid w:val="005B2166"/>
    <w:rsid w:val="005B2181"/>
    <w:rsid w:val="005B21E3"/>
    <w:rsid w:val="005B223F"/>
    <w:rsid w:val="005B2290"/>
    <w:rsid w:val="005B230E"/>
    <w:rsid w:val="005B2365"/>
    <w:rsid w:val="005B23A4"/>
    <w:rsid w:val="005B23B7"/>
    <w:rsid w:val="005B23EC"/>
    <w:rsid w:val="005B2416"/>
    <w:rsid w:val="005B2418"/>
    <w:rsid w:val="005B25C3"/>
    <w:rsid w:val="005B2626"/>
    <w:rsid w:val="005B262E"/>
    <w:rsid w:val="005B2691"/>
    <w:rsid w:val="005B26DF"/>
    <w:rsid w:val="005B279D"/>
    <w:rsid w:val="005B281E"/>
    <w:rsid w:val="005B2840"/>
    <w:rsid w:val="005B2855"/>
    <w:rsid w:val="005B2893"/>
    <w:rsid w:val="005B2977"/>
    <w:rsid w:val="005B29EE"/>
    <w:rsid w:val="005B2A10"/>
    <w:rsid w:val="005B2A84"/>
    <w:rsid w:val="005B2B18"/>
    <w:rsid w:val="005B2B54"/>
    <w:rsid w:val="005B2B71"/>
    <w:rsid w:val="005B2B9A"/>
    <w:rsid w:val="005B2C29"/>
    <w:rsid w:val="005B2C7A"/>
    <w:rsid w:val="005B2C88"/>
    <w:rsid w:val="005B2DCD"/>
    <w:rsid w:val="005B2DEA"/>
    <w:rsid w:val="005B2DEE"/>
    <w:rsid w:val="005B2E06"/>
    <w:rsid w:val="005B2E78"/>
    <w:rsid w:val="005B2EB5"/>
    <w:rsid w:val="005B2EF6"/>
    <w:rsid w:val="005B2F56"/>
    <w:rsid w:val="005B2FCD"/>
    <w:rsid w:val="005B2FE0"/>
    <w:rsid w:val="005B304D"/>
    <w:rsid w:val="005B3082"/>
    <w:rsid w:val="005B3098"/>
    <w:rsid w:val="005B3116"/>
    <w:rsid w:val="005B3145"/>
    <w:rsid w:val="005B31BA"/>
    <w:rsid w:val="005B3298"/>
    <w:rsid w:val="005B3385"/>
    <w:rsid w:val="005B33B6"/>
    <w:rsid w:val="005B33BE"/>
    <w:rsid w:val="005B33EA"/>
    <w:rsid w:val="005B345A"/>
    <w:rsid w:val="005B3562"/>
    <w:rsid w:val="005B3571"/>
    <w:rsid w:val="005B35EC"/>
    <w:rsid w:val="005B361B"/>
    <w:rsid w:val="005B3646"/>
    <w:rsid w:val="005B3649"/>
    <w:rsid w:val="005B36DF"/>
    <w:rsid w:val="005B36F1"/>
    <w:rsid w:val="005B3701"/>
    <w:rsid w:val="005B3707"/>
    <w:rsid w:val="005B370D"/>
    <w:rsid w:val="005B3728"/>
    <w:rsid w:val="005B37B0"/>
    <w:rsid w:val="005B3848"/>
    <w:rsid w:val="005B38BC"/>
    <w:rsid w:val="005B3936"/>
    <w:rsid w:val="005B3963"/>
    <w:rsid w:val="005B398D"/>
    <w:rsid w:val="005B39C1"/>
    <w:rsid w:val="005B39D1"/>
    <w:rsid w:val="005B39DA"/>
    <w:rsid w:val="005B39DF"/>
    <w:rsid w:val="005B3A84"/>
    <w:rsid w:val="005B3A9B"/>
    <w:rsid w:val="005B3AB6"/>
    <w:rsid w:val="005B3ABB"/>
    <w:rsid w:val="005B3B26"/>
    <w:rsid w:val="005B3BB9"/>
    <w:rsid w:val="005B3C52"/>
    <w:rsid w:val="005B3C75"/>
    <w:rsid w:val="005B3D4E"/>
    <w:rsid w:val="005B3DCA"/>
    <w:rsid w:val="005B3DE3"/>
    <w:rsid w:val="005B3E62"/>
    <w:rsid w:val="005B3EE5"/>
    <w:rsid w:val="005B3F9E"/>
    <w:rsid w:val="005B4031"/>
    <w:rsid w:val="005B4049"/>
    <w:rsid w:val="005B4068"/>
    <w:rsid w:val="005B408F"/>
    <w:rsid w:val="005B4095"/>
    <w:rsid w:val="005B40CB"/>
    <w:rsid w:val="005B40DE"/>
    <w:rsid w:val="005B4135"/>
    <w:rsid w:val="005B41AF"/>
    <w:rsid w:val="005B41B3"/>
    <w:rsid w:val="005B42D3"/>
    <w:rsid w:val="005B4307"/>
    <w:rsid w:val="005B43C8"/>
    <w:rsid w:val="005B43F1"/>
    <w:rsid w:val="005B43F6"/>
    <w:rsid w:val="005B44BB"/>
    <w:rsid w:val="005B44F6"/>
    <w:rsid w:val="005B454E"/>
    <w:rsid w:val="005B462C"/>
    <w:rsid w:val="005B4637"/>
    <w:rsid w:val="005B464D"/>
    <w:rsid w:val="005B4720"/>
    <w:rsid w:val="005B4855"/>
    <w:rsid w:val="005B4897"/>
    <w:rsid w:val="005B489E"/>
    <w:rsid w:val="005B4987"/>
    <w:rsid w:val="005B49CD"/>
    <w:rsid w:val="005B4A80"/>
    <w:rsid w:val="005B4AD3"/>
    <w:rsid w:val="005B4ADB"/>
    <w:rsid w:val="005B4ADF"/>
    <w:rsid w:val="005B4B6F"/>
    <w:rsid w:val="005B4BAD"/>
    <w:rsid w:val="005B4BAE"/>
    <w:rsid w:val="005B4BE5"/>
    <w:rsid w:val="005B4C01"/>
    <w:rsid w:val="005B4C6F"/>
    <w:rsid w:val="005B4CBA"/>
    <w:rsid w:val="005B4CDD"/>
    <w:rsid w:val="005B4CFA"/>
    <w:rsid w:val="005B4D32"/>
    <w:rsid w:val="005B4D3D"/>
    <w:rsid w:val="005B4DD0"/>
    <w:rsid w:val="005B4DD3"/>
    <w:rsid w:val="005B4DF9"/>
    <w:rsid w:val="005B4ECE"/>
    <w:rsid w:val="005B4F28"/>
    <w:rsid w:val="005B4FB2"/>
    <w:rsid w:val="005B4FD3"/>
    <w:rsid w:val="005B508D"/>
    <w:rsid w:val="005B50AE"/>
    <w:rsid w:val="005B50C3"/>
    <w:rsid w:val="005B50C6"/>
    <w:rsid w:val="005B5138"/>
    <w:rsid w:val="005B5196"/>
    <w:rsid w:val="005B5238"/>
    <w:rsid w:val="005B529E"/>
    <w:rsid w:val="005B5335"/>
    <w:rsid w:val="005B5395"/>
    <w:rsid w:val="005B5424"/>
    <w:rsid w:val="005B549B"/>
    <w:rsid w:val="005B562B"/>
    <w:rsid w:val="005B5641"/>
    <w:rsid w:val="005B56D5"/>
    <w:rsid w:val="005B57D4"/>
    <w:rsid w:val="005B5817"/>
    <w:rsid w:val="005B582B"/>
    <w:rsid w:val="005B5864"/>
    <w:rsid w:val="005B5874"/>
    <w:rsid w:val="005B589C"/>
    <w:rsid w:val="005B58DA"/>
    <w:rsid w:val="005B58F1"/>
    <w:rsid w:val="005B5974"/>
    <w:rsid w:val="005B5999"/>
    <w:rsid w:val="005B59A5"/>
    <w:rsid w:val="005B59F6"/>
    <w:rsid w:val="005B5A16"/>
    <w:rsid w:val="005B5A3B"/>
    <w:rsid w:val="005B5AB5"/>
    <w:rsid w:val="005B5AB6"/>
    <w:rsid w:val="005B5B08"/>
    <w:rsid w:val="005B5B2A"/>
    <w:rsid w:val="005B5C79"/>
    <w:rsid w:val="005B5CF7"/>
    <w:rsid w:val="005B5D99"/>
    <w:rsid w:val="005B5DB3"/>
    <w:rsid w:val="005B5E23"/>
    <w:rsid w:val="005B5EA2"/>
    <w:rsid w:val="005B5EC7"/>
    <w:rsid w:val="005B5F33"/>
    <w:rsid w:val="005B5F4A"/>
    <w:rsid w:val="005B5FA6"/>
    <w:rsid w:val="005B5FEB"/>
    <w:rsid w:val="005B6025"/>
    <w:rsid w:val="005B6028"/>
    <w:rsid w:val="005B6077"/>
    <w:rsid w:val="005B60BB"/>
    <w:rsid w:val="005B60C0"/>
    <w:rsid w:val="005B613E"/>
    <w:rsid w:val="005B6160"/>
    <w:rsid w:val="005B61FC"/>
    <w:rsid w:val="005B6251"/>
    <w:rsid w:val="005B6266"/>
    <w:rsid w:val="005B62F5"/>
    <w:rsid w:val="005B63B9"/>
    <w:rsid w:val="005B63C4"/>
    <w:rsid w:val="005B643F"/>
    <w:rsid w:val="005B6460"/>
    <w:rsid w:val="005B6481"/>
    <w:rsid w:val="005B6485"/>
    <w:rsid w:val="005B64BE"/>
    <w:rsid w:val="005B6555"/>
    <w:rsid w:val="005B6576"/>
    <w:rsid w:val="005B65D0"/>
    <w:rsid w:val="005B663A"/>
    <w:rsid w:val="005B6677"/>
    <w:rsid w:val="005B6736"/>
    <w:rsid w:val="005B6754"/>
    <w:rsid w:val="005B6768"/>
    <w:rsid w:val="005B679C"/>
    <w:rsid w:val="005B67B8"/>
    <w:rsid w:val="005B6827"/>
    <w:rsid w:val="005B6890"/>
    <w:rsid w:val="005B68FF"/>
    <w:rsid w:val="005B6A5C"/>
    <w:rsid w:val="005B6A6C"/>
    <w:rsid w:val="005B6AB9"/>
    <w:rsid w:val="005B6B1A"/>
    <w:rsid w:val="005B6B2F"/>
    <w:rsid w:val="005B6BDE"/>
    <w:rsid w:val="005B6C1A"/>
    <w:rsid w:val="005B6C44"/>
    <w:rsid w:val="005B6C4C"/>
    <w:rsid w:val="005B6CBD"/>
    <w:rsid w:val="005B6CC3"/>
    <w:rsid w:val="005B6D41"/>
    <w:rsid w:val="005B6DF5"/>
    <w:rsid w:val="005B6E7B"/>
    <w:rsid w:val="005B6EA2"/>
    <w:rsid w:val="005B6EAE"/>
    <w:rsid w:val="005B6ED5"/>
    <w:rsid w:val="005B6FFF"/>
    <w:rsid w:val="005B704F"/>
    <w:rsid w:val="005B707B"/>
    <w:rsid w:val="005B70AE"/>
    <w:rsid w:val="005B711E"/>
    <w:rsid w:val="005B711F"/>
    <w:rsid w:val="005B72B7"/>
    <w:rsid w:val="005B731F"/>
    <w:rsid w:val="005B736E"/>
    <w:rsid w:val="005B7380"/>
    <w:rsid w:val="005B73E4"/>
    <w:rsid w:val="005B743D"/>
    <w:rsid w:val="005B744B"/>
    <w:rsid w:val="005B747D"/>
    <w:rsid w:val="005B74D4"/>
    <w:rsid w:val="005B750F"/>
    <w:rsid w:val="005B75ED"/>
    <w:rsid w:val="005B7610"/>
    <w:rsid w:val="005B7769"/>
    <w:rsid w:val="005B776D"/>
    <w:rsid w:val="005B7772"/>
    <w:rsid w:val="005B77AE"/>
    <w:rsid w:val="005B783A"/>
    <w:rsid w:val="005B78C7"/>
    <w:rsid w:val="005B7928"/>
    <w:rsid w:val="005B7971"/>
    <w:rsid w:val="005B7A44"/>
    <w:rsid w:val="005B7AB3"/>
    <w:rsid w:val="005B7B3F"/>
    <w:rsid w:val="005B7B70"/>
    <w:rsid w:val="005B7C1A"/>
    <w:rsid w:val="005B7C65"/>
    <w:rsid w:val="005B7C8B"/>
    <w:rsid w:val="005B7CF8"/>
    <w:rsid w:val="005B7D05"/>
    <w:rsid w:val="005B7D45"/>
    <w:rsid w:val="005B7E07"/>
    <w:rsid w:val="005B7E83"/>
    <w:rsid w:val="005B7F23"/>
    <w:rsid w:val="005B7FF8"/>
    <w:rsid w:val="005C0005"/>
    <w:rsid w:val="005C00FA"/>
    <w:rsid w:val="005C0106"/>
    <w:rsid w:val="005C0206"/>
    <w:rsid w:val="005C0266"/>
    <w:rsid w:val="005C0294"/>
    <w:rsid w:val="005C02BD"/>
    <w:rsid w:val="005C033C"/>
    <w:rsid w:val="005C0357"/>
    <w:rsid w:val="005C035E"/>
    <w:rsid w:val="005C0382"/>
    <w:rsid w:val="005C03AC"/>
    <w:rsid w:val="005C0442"/>
    <w:rsid w:val="005C045C"/>
    <w:rsid w:val="005C0463"/>
    <w:rsid w:val="005C0487"/>
    <w:rsid w:val="005C04D6"/>
    <w:rsid w:val="005C0579"/>
    <w:rsid w:val="005C059E"/>
    <w:rsid w:val="005C05F8"/>
    <w:rsid w:val="005C062A"/>
    <w:rsid w:val="005C0668"/>
    <w:rsid w:val="005C0682"/>
    <w:rsid w:val="005C0685"/>
    <w:rsid w:val="005C06EC"/>
    <w:rsid w:val="005C0774"/>
    <w:rsid w:val="005C07A8"/>
    <w:rsid w:val="005C07AC"/>
    <w:rsid w:val="005C07E4"/>
    <w:rsid w:val="005C08C6"/>
    <w:rsid w:val="005C08EE"/>
    <w:rsid w:val="005C08FC"/>
    <w:rsid w:val="005C090E"/>
    <w:rsid w:val="005C095D"/>
    <w:rsid w:val="005C0973"/>
    <w:rsid w:val="005C0983"/>
    <w:rsid w:val="005C09C5"/>
    <w:rsid w:val="005C09FA"/>
    <w:rsid w:val="005C0A56"/>
    <w:rsid w:val="005C0AA0"/>
    <w:rsid w:val="005C0ABE"/>
    <w:rsid w:val="005C0AFE"/>
    <w:rsid w:val="005C0B5B"/>
    <w:rsid w:val="005C0B71"/>
    <w:rsid w:val="005C0BAC"/>
    <w:rsid w:val="005C0BB3"/>
    <w:rsid w:val="005C0C1C"/>
    <w:rsid w:val="005C0C3C"/>
    <w:rsid w:val="005C0C46"/>
    <w:rsid w:val="005C0CDE"/>
    <w:rsid w:val="005C0D2C"/>
    <w:rsid w:val="005C0DA8"/>
    <w:rsid w:val="005C0E77"/>
    <w:rsid w:val="005C0F58"/>
    <w:rsid w:val="005C0FA5"/>
    <w:rsid w:val="005C10C2"/>
    <w:rsid w:val="005C10D7"/>
    <w:rsid w:val="005C10D8"/>
    <w:rsid w:val="005C1162"/>
    <w:rsid w:val="005C11B4"/>
    <w:rsid w:val="005C1236"/>
    <w:rsid w:val="005C124C"/>
    <w:rsid w:val="005C128B"/>
    <w:rsid w:val="005C12A1"/>
    <w:rsid w:val="005C12DC"/>
    <w:rsid w:val="005C1344"/>
    <w:rsid w:val="005C134C"/>
    <w:rsid w:val="005C141A"/>
    <w:rsid w:val="005C1480"/>
    <w:rsid w:val="005C1499"/>
    <w:rsid w:val="005C14F8"/>
    <w:rsid w:val="005C14F9"/>
    <w:rsid w:val="005C155D"/>
    <w:rsid w:val="005C1573"/>
    <w:rsid w:val="005C1613"/>
    <w:rsid w:val="005C1691"/>
    <w:rsid w:val="005C16A4"/>
    <w:rsid w:val="005C16F0"/>
    <w:rsid w:val="005C171A"/>
    <w:rsid w:val="005C173C"/>
    <w:rsid w:val="005C1830"/>
    <w:rsid w:val="005C1843"/>
    <w:rsid w:val="005C194B"/>
    <w:rsid w:val="005C1968"/>
    <w:rsid w:val="005C19B1"/>
    <w:rsid w:val="005C19BA"/>
    <w:rsid w:val="005C19C4"/>
    <w:rsid w:val="005C1A00"/>
    <w:rsid w:val="005C1A23"/>
    <w:rsid w:val="005C1AFC"/>
    <w:rsid w:val="005C1B26"/>
    <w:rsid w:val="005C1B3A"/>
    <w:rsid w:val="005C1B90"/>
    <w:rsid w:val="005C1B96"/>
    <w:rsid w:val="005C1BBF"/>
    <w:rsid w:val="005C1CA0"/>
    <w:rsid w:val="005C1D05"/>
    <w:rsid w:val="005C1D11"/>
    <w:rsid w:val="005C1D28"/>
    <w:rsid w:val="005C1D50"/>
    <w:rsid w:val="005C1D64"/>
    <w:rsid w:val="005C1E05"/>
    <w:rsid w:val="005C1E34"/>
    <w:rsid w:val="005C1E82"/>
    <w:rsid w:val="005C1FB3"/>
    <w:rsid w:val="005C2000"/>
    <w:rsid w:val="005C2070"/>
    <w:rsid w:val="005C20C8"/>
    <w:rsid w:val="005C2106"/>
    <w:rsid w:val="005C21C4"/>
    <w:rsid w:val="005C21FC"/>
    <w:rsid w:val="005C2296"/>
    <w:rsid w:val="005C22A3"/>
    <w:rsid w:val="005C231B"/>
    <w:rsid w:val="005C2345"/>
    <w:rsid w:val="005C2408"/>
    <w:rsid w:val="005C2422"/>
    <w:rsid w:val="005C24DB"/>
    <w:rsid w:val="005C2501"/>
    <w:rsid w:val="005C252F"/>
    <w:rsid w:val="005C25BF"/>
    <w:rsid w:val="005C262B"/>
    <w:rsid w:val="005C2638"/>
    <w:rsid w:val="005C2650"/>
    <w:rsid w:val="005C26EE"/>
    <w:rsid w:val="005C2744"/>
    <w:rsid w:val="005C2762"/>
    <w:rsid w:val="005C2871"/>
    <w:rsid w:val="005C28D1"/>
    <w:rsid w:val="005C2989"/>
    <w:rsid w:val="005C299D"/>
    <w:rsid w:val="005C29C7"/>
    <w:rsid w:val="005C29F2"/>
    <w:rsid w:val="005C2A88"/>
    <w:rsid w:val="005C2B1F"/>
    <w:rsid w:val="005C2C3F"/>
    <w:rsid w:val="005C2C9B"/>
    <w:rsid w:val="005C2CF0"/>
    <w:rsid w:val="005C2D7E"/>
    <w:rsid w:val="005C2D85"/>
    <w:rsid w:val="005C2DAC"/>
    <w:rsid w:val="005C2DF4"/>
    <w:rsid w:val="005C2E04"/>
    <w:rsid w:val="005C2EB4"/>
    <w:rsid w:val="005C2EB8"/>
    <w:rsid w:val="005C2EC4"/>
    <w:rsid w:val="005C2EDD"/>
    <w:rsid w:val="005C2F0F"/>
    <w:rsid w:val="005C2F56"/>
    <w:rsid w:val="005C2F60"/>
    <w:rsid w:val="005C2F73"/>
    <w:rsid w:val="005C2FE1"/>
    <w:rsid w:val="005C2FF8"/>
    <w:rsid w:val="005C3150"/>
    <w:rsid w:val="005C31B4"/>
    <w:rsid w:val="005C326F"/>
    <w:rsid w:val="005C3275"/>
    <w:rsid w:val="005C328C"/>
    <w:rsid w:val="005C32D1"/>
    <w:rsid w:val="005C3392"/>
    <w:rsid w:val="005C33CD"/>
    <w:rsid w:val="005C3496"/>
    <w:rsid w:val="005C351D"/>
    <w:rsid w:val="005C352F"/>
    <w:rsid w:val="005C3585"/>
    <w:rsid w:val="005C35E3"/>
    <w:rsid w:val="005C3625"/>
    <w:rsid w:val="005C36ED"/>
    <w:rsid w:val="005C375E"/>
    <w:rsid w:val="005C3773"/>
    <w:rsid w:val="005C37C6"/>
    <w:rsid w:val="005C3823"/>
    <w:rsid w:val="005C3867"/>
    <w:rsid w:val="005C3912"/>
    <w:rsid w:val="005C3916"/>
    <w:rsid w:val="005C3924"/>
    <w:rsid w:val="005C39B0"/>
    <w:rsid w:val="005C3A02"/>
    <w:rsid w:val="005C3AB3"/>
    <w:rsid w:val="005C3B2A"/>
    <w:rsid w:val="005C3BAA"/>
    <w:rsid w:val="005C3BDE"/>
    <w:rsid w:val="005C3C67"/>
    <w:rsid w:val="005C3C6F"/>
    <w:rsid w:val="005C3C80"/>
    <w:rsid w:val="005C3D8C"/>
    <w:rsid w:val="005C3DF0"/>
    <w:rsid w:val="005C3E5C"/>
    <w:rsid w:val="005C3E99"/>
    <w:rsid w:val="005C3EAF"/>
    <w:rsid w:val="005C3F92"/>
    <w:rsid w:val="005C3FA1"/>
    <w:rsid w:val="005C3FFB"/>
    <w:rsid w:val="005C4024"/>
    <w:rsid w:val="005C4081"/>
    <w:rsid w:val="005C40B2"/>
    <w:rsid w:val="005C40BC"/>
    <w:rsid w:val="005C40E0"/>
    <w:rsid w:val="005C41A1"/>
    <w:rsid w:val="005C41C1"/>
    <w:rsid w:val="005C4227"/>
    <w:rsid w:val="005C4244"/>
    <w:rsid w:val="005C4266"/>
    <w:rsid w:val="005C42A0"/>
    <w:rsid w:val="005C42C7"/>
    <w:rsid w:val="005C4384"/>
    <w:rsid w:val="005C4392"/>
    <w:rsid w:val="005C43FD"/>
    <w:rsid w:val="005C4456"/>
    <w:rsid w:val="005C44AF"/>
    <w:rsid w:val="005C44DA"/>
    <w:rsid w:val="005C44DF"/>
    <w:rsid w:val="005C44F9"/>
    <w:rsid w:val="005C44FC"/>
    <w:rsid w:val="005C4545"/>
    <w:rsid w:val="005C45B3"/>
    <w:rsid w:val="005C45DA"/>
    <w:rsid w:val="005C45EE"/>
    <w:rsid w:val="005C4648"/>
    <w:rsid w:val="005C4673"/>
    <w:rsid w:val="005C467D"/>
    <w:rsid w:val="005C4684"/>
    <w:rsid w:val="005C46B4"/>
    <w:rsid w:val="005C46CB"/>
    <w:rsid w:val="005C46D0"/>
    <w:rsid w:val="005C46D8"/>
    <w:rsid w:val="005C46FE"/>
    <w:rsid w:val="005C4709"/>
    <w:rsid w:val="005C4717"/>
    <w:rsid w:val="005C478A"/>
    <w:rsid w:val="005C47C6"/>
    <w:rsid w:val="005C484D"/>
    <w:rsid w:val="005C48A8"/>
    <w:rsid w:val="005C4936"/>
    <w:rsid w:val="005C4957"/>
    <w:rsid w:val="005C49A1"/>
    <w:rsid w:val="005C49C2"/>
    <w:rsid w:val="005C4A1B"/>
    <w:rsid w:val="005C4A74"/>
    <w:rsid w:val="005C4AC3"/>
    <w:rsid w:val="005C4B2C"/>
    <w:rsid w:val="005C4B2E"/>
    <w:rsid w:val="005C4B64"/>
    <w:rsid w:val="005C4B76"/>
    <w:rsid w:val="005C4B77"/>
    <w:rsid w:val="005C4BAA"/>
    <w:rsid w:val="005C4BB3"/>
    <w:rsid w:val="005C4C16"/>
    <w:rsid w:val="005C4C55"/>
    <w:rsid w:val="005C4C6F"/>
    <w:rsid w:val="005C4CF6"/>
    <w:rsid w:val="005C4DC8"/>
    <w:rsid w:val="005C4E26"/>
    <w:rsid w:val="005C4E3A"/>
    <w:rsid w:val="005C4EAC"/>
    <w:rsid w:val="005C4F47"/>
    <w:rsid w:val="005C4F9E"/>
    <w:rsid w:val="005C4FCF"/>
    <w:rsid w:val="005C5001"/>
    <w:rsid w:val="005C5027"/>
    <w:rsid w:val="005C504F"/>
    <w:rsid w:val="005C510B"/>
    <w:rsid w:val="005C5120"/>
    <w:rsid w:val="005C51AF"/>
    <w:rsid w:val="005C51C3"/>
    <w:rsid w:val="005C52AC"/>
    <w:rsid w:val="005C53BC"/>
    <w:rsid w:val="005C53E5"/>
    <w:rsid w:val="005C53E9"/>
    <w:rsid w:val="005C5447"/>
    <w:rsid w:val="005C546F"/>
    <w:rsid w:val="005C554C"/>
    <w:rsid w:val="005C556D"/>
    <w:rsid w:val="005C5575"/>
    <w:rsid w:val="005C5593"/>
    <w:rsid w:val="005C55C5"/>
    <w:rsid w:val="005C55D7"/>
    <w:rsid w:val="005C55FD"/>
    <w:rsid w:val="005C5723"/>
    <w:rsid w:val="005C584E"/>
    <w:rsid w:val="005C5866"/>
    <w:rsid w:val="005C588B"/>
    <w:rsid w:val="005C5953"/>
    <w:rsid w:val="005C5A0E"/>
    <w:rsid w:val="005C5A38"/>
    <w:rsid w:val="005C5A47"/>
    <w:rsid w:val="005C5A4D"/>
    <w:rsid w:val="005C5AC5"/>
    <w:rsid w:val="005C5ACB"/>
    <w:rsid w:val="005C5AFA"/>
    <w:rsid w:val="005C5B64"/>
    <w:rsid w:val="005C5B9F"/>
    <w:rsid w:val="005C5BA7"/>
    <w:rsid w:val="005C5D80"/>
    <w:rsid w:val="005C5DAF"/>
    <w:rsid w:val="005C5DF7"/>
    <w:rsid w:val="005C5E71"/>
    <w:rsid w:val="005C5EBF"/>
    <w:rsid w:val="005C5FB5"/>
    <w:rsid w:val="005C6003"/>
    <w:rsid w:val="005C6020"/>
    <w:rsid w:val="005C614B"/>
    <w:rsid w:val="005C625F"/>
    <w:rsid w:val="005C6260"/>
    <w:rsid w:val="005C62AD"/>
    <w:rsid w:val="005C62BA"/>
    <w:rsid w:val="005C62E9"/>
    <w:rsid w:val="005C6344"/>
    <w:rsid w:val="005C636C"/>
    <w:rsid w:val="005C6469"/>
    <w:rsid w:val="005C64BC"/>
    <w:rsid w:val="005C64E3"/>
    <w:rsid w:val="005C64E9"/>
    <w:rsid w:val="005C650E"/>
    <w:rsid w:val="005C6662"/>
    <w:rsid w:val="005C670F"/>
    <w:rsid w:val="005C6732"/>
    <w:rsid w:val="005C67AB"/>
    <w:rsid w:val="005C6822"/>
    <w:rsid w:val="005C682A"/>
    <w:rsid w:val="005C6849"/>
    <w:rsid w:val="005C6861"/>
    <w:rsid w:val="005C689C"/>
    <w:rsid w:val="005C68DA"/>
    <w:rsid w:val="005C691C"/>
    <w:rsid w:val="005C6988"/>
    <w:rsid w:val="005C69AE"/>
    <w:rsid w:val="005C69F4"/>
    <w:rsid w:val="005C6A12"/>
    <w:rsid w:val="005C6A75"/>
    <w:rsid w:val="005C6A83"/>
    <w:rsid w:val="005C6ABB"/>
    <w:rsid w:val="005C6BED"/>
    <w:rsid w:val="005C6C3B"/>
    <w:rsid w:val="005C6C62"/>
    <w:rsid w:val="005C6C82"/>
    <w:rsid w:val="005C6D25"/>
    <w:rsid w:val="005C6D63"/>
    <w:rsid w:val="005C6D66"/>
    <w:rsid w:val="005C6DB4"/>
    <w:rsid w:val="005C6E4E"/>
    <w:rsid w:val="005C6E62"/>
    <w:rsid w:val="005C6E77"/>
    <w:rsid w:val="005C6ECE"/>
    <w:rsid w:val="005C6F73"/>
    <w:rsid w:val="005C6FC7"/>
    <w:rsid w:val="005C705F"/>
    <w:rsid w:val="005C70DD"/>
    <w:rsid w:val="005C70FE"/>
    <w:rsid w:val="005C711B"/>
    <w:rsid w:val="005C712C"/>
    <w:rsid w:val="005C716D"/>
    <w:rsid w:val="005C716F"/>
    <w:rsid w:val="005C7178"/>
    <w:rsid w:val="005C7216"/>
    <w:rsid w:val="005C731D"/>
    <w:rsid w:val="005C738D"/>
    <w:rsid w:val="005C738E"/>
    <w:rsid w:val="005C73AA"/>
    <w:rsid w:val="005C73D7"/>
    <w:rsid w:val="005C7432"/>
    <w:rsid w:val="005C746B"/>
    <w:rsid w:val="005C747E"/>
    <w:rsid w:val="005C74CC"/>
    <w:rsid w:val="005C74F3"/>
    <w:rsid w:val="005C74F8"/>
    <w:rsid w:val="005C7611"/>
    <w:rsid w:val="005C7614"/>
    <w:rsid w:val="005C761A"/>
    <w:rsid w:val="005C764A"/>
    <w:rsid w:val="005C764B"/>
    <w:rsid w:val="005C7663"/>
    <w:rsid w:val="005C778A"/>
    <w:rsid w:val="005C77CF"/>
    <w:rsid w:val="005C78E2"/>
    <w:rsid w:val="005C79A8"/>
    <w:rsid w:val="005C7B32"/>
    <w:rsid w:val="005C7BB6"/>
    <w:rsid w:val="005C7BBF"/>
    <w:rsid w:val="005C7C9E"/>
    <w:rsid w:val="005C7CD5"/>
    <w:rsid w:val="005C7CDE"/>
    <w:rsid w:val="005C7CE2"/>
    <w:rsid w:val="005C7DC4"/>
    <w:rsid w:val="005C7E07"/>
    <w:rsid w:val="005C7E5C"/>
    <w:rsid w:val="005C7E65"/>
    <w:rsid w:val="005C7EA4"/>
    <w:rsid w:val="005C7EB0"/>
    <w:rsid w:val="005C7EE4"/>
    <w:rsid w:val="005C7F06"/>
    <w:rsid w:val="005C7F0E"/>
    <w:rsid w:val="005C7F4A"/>
    <w:rsid w:val="005C7FA6"/>
    <w:rsid w:val="005D0001"/>
    <w:rsid w:val="005D0081"/>
    <w:rsid w:val="005D0093"/>
    <w:rsid w:val="005D0097"/>
    <w:rsid w:val="005D00CA"/>
    <w:rsid w:val="005D00FE"/>
    <w:rsid w:val="005D01D0"/>
    <w:rsid w:val="005D0262"/>
    <w:rsid w:val="005D027A"/>
    <w:rsid w:val="005D029E"/>
    <w:rsid w:val="005D02A5"/>
    <w:rsid w:val="005D02FF"/>
    <w:rsid w:val="005D0312"/>
    <w:rsid w:val="005D037E"/>
    <w:rsid w:val="005D03D1"/>
    <w:rsid w:val="005D03F4"/>
    <w:rsid w:val="005D0401"/>
    <w:rsid w:val="005D049F"/>
    <w:rsid w:val="005D04FD"/>
    <w:rsid w:val="005D053C"/>
    <w:rsid w:val="005D0565"/>
    <w:rsid w:val="005D056D"/>
    <w:rsid w:val="005D0580"/>
    <w:rsid w:val="005D0596"/>
    <w:rsid w:val="005D059C"/>
    <w:rsid w:val="005D05C2"/>
    <w:rsid w:val="005D06A1"/>
    <w:rsid w:val="005D06CC"/>
    <w:rsid w:val="005D073C"/>
    <w:rsid w:val="005D07B8"/>
    <w:rsid w:val="005D07FC"/>
    <w:rsid w:val="005D0843"/>
    <w:rsid w:val="005D0848"/>
    <w:rsid w:val="005D088D"/>
    <w:rsid w:val="005D08B2"/>
    <w:rsid w:val="005D08C9"/>
    <w:rsid w:val="005D08FF"/>
    <w:rsid w:val="005D0929"/>
    <w:rsid w:val="005D092F"/>
    <w:rsid w:val="005D096C"/>
    <w:rsid w:val="005D097A"/>
    <w:rsid w:val="005D09C8"/>
    <w:rsid w:val="005D0A2E"/>
    <w:rsid w:val="005D0A83"/>
    <w:rsid w:val="005D0BDF"/>
    <w:rsid w:val="005D0BF0"/>
    <w:rsid w:val="005D0C07"/>
    <w:rsid w:val="005D0C25"/>
    <w:rsid w:val="005D0C9B"/>
    <w:rsid w:val="005D0CA0"/>
    <w:rsid w:val="005D0CA6"/>
    <w:rsid w:val="005D0CC1"/>
    <w:rsid w:val="005D0CC4"/>
    <w:rsid w:val="005D0D28"/>
    <w:rsid w:val="005D0D8F"/>
    <w:rsid w:val="005D0DC9"/>
    <w:rsid w:val="005D0DDD"/>
    <w:rsid w:val="005D0E27"/>
    <w:rsid w:val="005D0E44"/>
    <w:rsid w:val="005D0F14"/>
    <w:rsid w:val="005D0F1E"/>
    <w:rsid w:val="005D0F3C"/>
    <w:rsid w:val="005D0F6E"/>
    <w:rsid w:val="005D0FD5"/>
    <w:rsid w:val="005D101D"/>
    <w:rsid w:val="005D1091"/>
    <w:rsid w:val="005D109A"/>
    <w:rsid w:val="005D10EB"/>
    <w:rsid w:val="005D1132"/>
    <w:rsid w:val="005D11B4"/>
    <w:rsid w:val="005D11E9"/>
    <w:rsid w:val="005D121B"/>
    <w:rsid w:val="005D12D2"/>
    <w:rsid w:val="005D130D"/>
    <w:rsid w:val="005D1326"/>
    <w:rsid w:val="005D1396"/>
    <w:rsid w:val="005D139E"/>
    <w:rsid w:val="005D13C9"/>
    <w:rsid w:val="005D13F3"/>
    <w:rsid w:val="005D15D8"/>
    <w:rsid w:val="005D15DF"/>
    <w:rsid w:val="005D1619"/>
    <w:rsid w:val="005D16D5"/>
    <w:rsid w:val="005D17EA"/>
    <w:rsid w:val="005D181C"/>
    <w:rsid w:val="005D185E"/>
    <w:rsid w:val="005D1900"/>
    <w:rsid w:val="005D1996"/>
    <w:rsid w:val="005D1A28"/>
    <w:rsid w:val="005D1AFD"/>
    <w:rsid w:val="005D1B0F"/>
    <w:rsid w:val="005D1B6C"/>
    <w:rsid w:val="005D1BE3"/>
    <w:rsid w:val="005D1C12"/>
    <w:rsid w:val="005D1C42"/>
    <w:rsid w:val="005D1C46"/>
    <w:rsid w:val="005D1C5B"/>
    <w:rsid w:val="005D1C64"/>
    <w:rsid w:val="005D1CB5"/>
    <w:rsid w:val="005D1CD2"/>
    <w:rsid w:val="005D1CE4"/>
    <w:rsid w:val="005D1DA1"/>
    <w:rsid w:val="005D1E3F"/>
    <w:rsid w:val="005D1E49"/>
    <w:rsid w:val="005D1E63"/>
    <w:rsid w:val="005D20A7"/>
    <w:rsid w:val="005D20D4"/>
    <w:rsid w:val="005D20E8"/>
    <w:rsid w:val="005D210C"/>
    <w:rsid w:val="005D2118"/>
    <w:rsid w:val="005D2133"/>
    <w:rsid w:val="005D21EE"/>
    <w:rsid w:val="005D2241"/>
    <w:rsid w:val="005D22B8"/>
    <w:rsid w:val="005D2313"/>
    <w:rsid w:val="005D2354"/>
    <w:rsid w:val="005D23DE"/>
    <w:rsid w:val="005D243F"/>
    <w:rsid w:val="005D2485"/>
    <w:rsid w:val="005D2586"/>
    <w:rsid w:val="005D2624"/>
    <w:rsid w:val="005D26FE"/>
    <w:rsid w:val="005D26FF"/>
    <w:rsid w:val="005D2704"/>
    <w:rsid w:val="005D2900"/>
    <w:rsid w:val="005D29CE"/>
    <w:rsid w:val="005D2A1D"/>
    <w:rsid w:val="005D2A79"/>
    <w:rsid w:val="005D2A9A"/>
    <w:rsid w:val="005D2B50"/>
    <w:rsid w:val="005D2B82"/>
    <w:rsid w:val="005D2BBF"/>
    <w:rsid w:val="005D2BE3"/>
    <w:rsid w:val="005D2C91"/>
    <w:rsid w:val="005D2CAF"/>
    <w:rsid w:val="005D2CF1"/>
    <w:rsid w:val="005D2D3D"/>
    <w:rsid w:val="005D2D73"/>
    <w:rsid w:val="005D2DC3"/>
    <w:rsid w:val="005D2DDC"/>
    <w:rsid w:val="005D2E75"/>
    <w:rsid w:val="005D2E7A"/>
    <w:rsid w:val="005D2EC6"/>
    <w:rsid w:val="005D2ECF"/>
    <w:rsid w:val="005D2EDB"/>
    <w:rsid w:val="005D2F36"/>
    <w:rsid w:val="005D2FDB"/>
    <w:rsid w:val="005D2FFB"/>
    <w:rsid w:val="005D303F"/>
    <w:rsid w:val="005D3108"/>
    <w:rsid w:val="005D310C"/>
    <w:rsid w:val="005D31AE"/>
    <w:rsid w:val="005D31C5"/>
    <w:rsid w:val="005D3226"/>
    <w:rsid w:val="005D324D"/>
    <w:rsid w:val="005D328F"/>
    <w:rsid w:val="005D32B5"/>
    <w:rsid w:val="005D32D3"/>
    <w:rsid w:val="005D32DC"/>
    <w:rsid w:val="005D3305"/>
    <w:rsid w:val="005D330E"/>
    <w:rsid w:val="005D332B"/>
    <w:rsid w:val="005D3357"/>
    <w:rsid w:val="005D3372"/>
    <w:rsid w:val="005D3443"/>
    <w:rsid w:val="005D346C"/>
    <w:rsid w:val="005D34BE"/>
    <w:rsid w:val="005D34EB"/>
    <w:rsid w:val="005D361C"/>
    <w:rsid w:val="005D362A"/>
    <w:rsid w:val="005D362D"/>
    <w:rsid w:val="005D3673"/>
    <w:rsid w:val="005D367D"/>
    <w:rsid w:val="005D3737"/>
    <w:rsid w:val="005D3808"/>
    <w:rsid w:val="005D3815"/>
    <w:rsid w:val="005D3984"/>
    <w:rsid w:val="005D39CD"/>
    <w:rsid w:val="005D39E6"/>
    <w:rsid w:val="005D3A79"/>
    <w:rsid w:val="005D3AB9"/>
    <w:rsid w:val="005D3AF1"/>
    <w:rsid w:val="005D3B6E"/>
    <w:rsid w:val="005D3BB8"/>
    <w:rsid w:val="005D3C97"/>
    <w:rsid w:val="005D3D0F"/>
    <w:rsid w:val="005D3D4B"/>
    <w:rsid w:val="005D3D73"/>
    <w:rsid w:val="005D3E7E"/>
    <w:rsid w:val="005D3E99"/>
    <w:rsid w:val="005D3F14"/>
    <w:rsid w:val="005D3F15"/>
    <w:rsid w:val="005D3FD2"/>
    <w:rsid w:val="005D4012"/>
    <w:rsid w:val="005D4028"/>
    <w:rsid w:val="005D402D"/>
    <w:rsid w:val="005D4051"/>
    <w:rsid w:val="005D4061"/>
    <w:rsid w:val="005D4090"/>
    <w:rsid w:val="005D410C"/>
    <w:rsid w:val="005D417D"/>
    <w:rsid w:val="005D41AE"/>
    <w:rsid w:val="005D41C6"/>
    <w:rsid w:val="005D4205"/>
    <w:rsid w:val="005D4221"/>
    <w:rsid w:val="005D4239"/>
    <w:rsid w:val="005D42B0"/>
    <w:rsid w:val="005D4386"/>
    <w:rsid w:val="005D4483"/>
    <w:rsid w:val="005D454A"/>
    <w:rsid w:val="005D4565"/>
    <w:rsid w:val="005D45D2"/>
    <w:rsid w:val="005D4619"/>
    <w:rsid w:val="005D464D"/>
    <w:rsid w:val="005D4665"/>
    <w:rsid w:val="005D46C1"/>
    <w:rsid w:val="005D473F"/>
    <w:rsid w:val="005D4799"/>
    <w:rsid w:val="005D479E"/>
    <w:rsid w:val="005D4911"/>
    <w:rsid w:val="005D4921"/>
    <w:rsid w:val="005D4928"/>
    <w:rsid w:val="005D492C"/>
    <w:rsid w:val="005D4B04"/>
    <w:rsid w:val="005D4BEC"/>
    <w:rsid w:val="005D4C03"/>
    <w:rsid w:val="005D4C04"/>
    <w:rsid w:val="005D4D5F"/>
    <w:rsid w:val="005D4DED"/>
    <w:rsid w:val="005D4E1E"/>
    <w:rsid w:val="005D4E3F"/>
    <w:rsid w:val="005D4EE2"/>
    <w:rsid w:val="005D4EED"/>
    <w:rsid w:val="005D4F64"/>
    <w:rsid w:val="005D4F83"/>
    <w:rsid w:val="005D4F85"/>
    <w:rsid w:val="005D4FE1"/>
    <w:rsid w:val="005D5067"/>
    <w:rsid w:val="005D50D5"/>
    <w:rsid w:val="005D5154"/>
    <w:rsid w:val="005D5215"/>
    <w:rsid w:val="005D5303"/>
    <w:rsid w:val="005D535B"/>
    <w:rsid w:val="005D53F8"/>
    <w:rsid w:val="005D5408"/>
    <w:rsid w:val="005D54CF"/>
    <w:rsid w:val="005D54E1"/>
    <w:rsid w:val="005D554C"/>
    <w:rsid w:val="005D5557"/>
    <w:rsid w:val="005D55F5"/>
    <w:rsid w:val="005D5633"/>
    <w:rsid w:val="005D5676"/>
    <w:rsid w:val="005D569C"/>
    <w:rsid w:val="005D5798"/>
    <w:rsid w:val="005D57CF"/>
    <w:rsid w:val="005D57D2"/>
    <w:rsid w:val="005D591C"/>
    <w:rsid w:val="005D5959"/>
    <w:rsid w:val="005D597A"/>
    <w:rsid w:val="005D59B5"/>
    <w:rsid w:val="005D5C19"/>
    <w:rsid w:val="005D5C3E"/>
    <w:rsid w:val="005D5C94"/>
    <w:rsid w:val="005D5CA8"/>
    <w:rsid w:val="005D5CF8"/>
    <w:rsid w:val="005D5D1B"/>
    <w:rsid w:val="005D5D5F"/>
    <w:rsid w:val="005D5E0A"/>
    <w:rsid w:val="005D5E88"/>
    <w:rsid w:val="005D5E99"/>
    <w:rsid w:val="005D5F02"/>
    <w:rsid w:val="005D5F0D"/>
    <w:rsid w:val="005D5F1F"/>
    <w:rsid w:val="005D5F33"/>
    <w:rsid w:val="005D5F8E"/>
    <w:rsid w:val="005D5FAB"/>
    <w:rsid w:val="005D6023"/>
    <w:rsid w:val="005D6032"/>
    <w:rsid w:val="005D6037"/>
    <w:rsid w:val="005D60D7"/>
    <w:rsid w:val="005D612D"/>
    <w:rsid w:val="005D61CD"/>
    <w:rsid w:val="005D61EF"/>
    <w:rsid w:val="005D621A"/>
    <w:rsid w:val="005D62F2"/>
    <w:rsid w:val="005D6332"/>
    <w:rsid w:val="005D6368"/>
    <w:rsid w:val="005D637B"/>
    <w:rsid w:val="005D63C8"/>
    <w:rsid w:val="005D63CD"/>
    <w:rsid w:val="005D63F0"/>
    <w:rsid w:val="005D6404"/>
    <w:rsid w:val="005D64C8"/>
    <w:rsid w:val="005D6525"/>
    <w:rsid w:val="005D65B5"/>
    <w:rsid w:val="005D65B8"/>
    <w:rsid w:val="005D65E4"/>
    <w:rsid w:val="005D65F1"/>
    <w:rsid w:val="005D668E"/>
    <w:rsid w:val="005D6692"/>
    <w:rsid w:val="005D66D2"/>
    <w:rsid w:val="005D672A"/>
    <w:rsid w:val="005D676C"/>
    <w:rsid w:val="005D6773"/>
    <w:rsid w:val="005D6843"/>
    <w:rsid w:val="005D68F4"/>
    <w:rsid w:val="005D6950"/>
    <w:rsid w:val="005D6999"/>
    <w:rsid w:val="005D69D3"/>
    <w:rsid w:val="005D69F1"/>
    <w:rsid w:val="005D6AA9"/>
    <w:rsid w:val="005D6ABF"/>
    <w:rsid w:val="005D6B9F"/>
    <w:rsid w:val="005D6C09"/>
    <w:rsid w:val="005D6C24"/>
    <w:rsid w:val="005D6C40"/>
    <w:rsid w:val="005D6C60"/>
    <w:rsid w:val="005D6C8D"/>
    <w:rsid w:val="005D6CC3"/>
    <w:rsid w:val="005D6D12"/>
    <w:rsid w:val="005D6D26"/>
    <w:rsid w:val="005D6D2C"/>
    <w:rsid w:val="005D6D68"/>
    <w:rsid w:val="005D6DB7"/>
    <w:rsid w:val="005D6DEA"/>
    <w:rsid w:val="005D6E88"/>
    <w:rsid w:val="005D6EE6"/>
    <w:rsid w:val="005D6F5B"/>
    <w:rsid w:val="005D6FBF"/>
    <w:rsid w:val="005D706A"/>
    <w:rsid w:val="005D70A5"/>
    <w:rsid w:val="005D70DE"/>
    <w:rsid w:val="005D70F0"/>
    <w:rsid w:val="005D70F4"/>
    <w:rsid w:val="005D7192"/>
    <w:rsid w:val="005D71AB"/>
    <w:rsid w:val="005D71E2"/>
    <w:rsid w:val="005D72A5"/>
    <w:rsid w:val="005D734D"/>
    <w:rsid w:val="005D7356"/>
    <w:rsid w:val="005D73F6"/>
    <w:rsid w:val="005D7437"/>
    <w:rsid w:val="005D7484"/>
    <w:rsid w:val="005D749B"/>
    <w:rsid w:val="005D749D"/>
    <w:rsid w:val="005D74EC"/>
    <w:rsid w:val="005D755F"/>
    <w:rsid w:val="005D7583"/>
    <w:rsid w:val="005D758F"/>
    <w:rsid w:val="005D7616"/>
    <w:rsid w:val="005D7698"/>
    <w:rsid w:val="005D7715"/>
    <w:rsid w:val="005D77B0"/>
    <w:rsid w:val="005D7809"/>
    <w:rsid w:val="005D7878"/>
    <w:rsid w:val="005D7891"/>
    <w:rsid w:val="005D789B"/>
    <w:rsid w:val="005D78F1"/>
    <w:rsid w:val="005D7939"/>
    <w:rsid w:val="005D799E"/>
    <w:rsid w:val="005D79E0"/>
    <w:rsid w:val="005D79F6"/>
    <w:rsid w:val="005D7A48"/>
    <w:rsid w:val="005D7AD8"/>
    <w:rsid w:val="005D7B69"/>
    <w:rsid w:val="005D7B74"/>
    <w:rsid w:val="005D7C53"/>
    <w:rsid w:val="005D7C55"/>
    <w:rsid w:val="005D7CDB"/>
    <w:rsid w:val="005D7D42"/>
    <w:rsid w:val="005D7D96"/>
    <w:rsid w:val="005D7D9C"/>
    <w:rsid w:val="005D7E51"/>
    <w:rsid w:val="005D7FDC"/>
    <w:rsid w:val="005E0033"/>
    <w:rsid w:val="005E0079"/>
    <w:rsid w:val="005E00A4"/>
    <w:rsid w:val="005E00B6"/>
    <w:rsid w:val="005E00DB"/>
    <w:rsid w:val="005E0297"/>
    <w:rsid w:val="005E0357"/>
    <w:rsid w:val="005E046A"/>
    <w:rsid w:val="005E0553"/>
    <w:rsid w:val="005E05FC"/>
    <w:rsid w:val="005E063B"/>
    <w:rsid w:val="005E064C"/>
    <w:rsid w:val="005E065F"/>
    <w:rsid w:val="005E0744"/>
    <w:rsid w:val="005E0795"/>
    <w:rsid w:val="005E07AE"/>
    <w:rsid w:val="005E07C0"/>
    <w:rsid w:val="005E0815"/>
    <w:rsid w:val="005E086F"/>
    <w:rsid w:val="005E08F6"/>
    <w:rsid w:val="005E0913"/>
    <w:rsid w:val="005E091B"/>
    <w:rsid w:val="005E0964"/>
    <w:rsid w:val="005E0969"/>
    <w:rsid w:val="005E096F"/>
    <w:rsid w:val="005E09F6"/>
    <w:rsid w:val="005E0A01"/>
    <w:rsid w:val="005E0A66"/>
    <w:rsid w:val="005E0ABC"/>
    <w:rsid w:val="005E0ABF"/>
    <w:rsid w:val="005E0B07"/>
    <w:rsid w:val="005E0C09"/>
    <w:rsid w:val="005E0C15"/>
    <w:rsid w:val="005E0D17"/>
    <w:rsid w:val="005E0D6E"/>
    <w:rsid w:val="005E0DD6"/>
    <w:rsid w:val="005E0DD7"/>
    <w:rsid w:val="005E0DDB"/>
    <w:rsid w:val="005E0E16"/>
    <w:rsid w:val="005E0F08"/>
    <w:rsid w:val="005E0FC3"/>
    <w:rsid w:val="005E1005"/>
    <w:rsid w:val="005E1008"/>
    <w:rsid w:val="005E1073"/>
    <w:rsid w:val="005E10BE"/>
    <w:rsid w:val="005E10FD"/>
    <w:rsid w:val="005E110F"/>
    <w:rsid w:val="005E1196"/>
    <w:rsid w:val="005E11C1"/>
    <w:rsid w:val="005E1202"/>
    <w:rsid w:val="005E1218"/>
    <w:rsid w:val="005E1258"/>
    <w:rsid w:val="005E1286"/>
    <w:rsid w:val="005E128A"/>
    <w:rsid w:val="005E1299"/>
    <w:rsid w:val="005E12AD"/>
    <w:rsid w:val="005E130A"/>
    <w:rsid w:val="005E1362"/>
    <w:rsid w:val="005E136E"/>
    <w:rsid w:val="005E1379"/>
    <w:rsid w:val="005E1419"/>
    <w:rsid w:val="005E142A"/>
    <w:rsid w:val="005E14AC"/>
    <w:rsid w:val="005E14C3"/>
    <w:rsid w:val="005E1540"/>
    <w:rsid w:val="005E157B"/>
    <w:rsid w:val="005E15BD"/>
    <w:rsid w:val="005E1693"/>
    <w:rsid w:val="005E16C9"/>
    <w:rsid w:val="005E1721"/>
    <w:rsid w:val="005E1736"/>
    <w:rsid w:val="005E17BA"/>
    <w:rsid w:val="005E17CC"/>
    <w:rsid w:val="005E181F"/>
    <w:rsid w:val="005E1823"/>
    <w:rsid w:val="005E1838"/>
    <w:rsid w:val="005E183C"/>
    <w:rsid w:val="005E18B2"/>
    <w:rsid w:val="005E199C"/>
    <w:rsid w:val="005E19A4"/>
    <w:rsid w:val="005E19D2"/>
    <w:rsid w:val="005E19DA"/>
    <w:rsid w:val="005E1A17"/>
    <w:rsid w:val="005E1A18"/>
    <w:rsid w:val="005E1A4A"/>
    <w:rsid w:val="005E1A96"/>
    <w:rsid w:val="005E1B58"/>
    <w:rsid w:val="005E1BA3"/>
    <w:rsid w:val="005E1C0C"/>
    <w:rsid w:val="005E1D3A"/>
    <w:rsid w:val="005E1E0C"/>
    <w:rsid w:val="005E1E33"/>
    <w:rsid w:val="005E1E96"/>
    <w:rsid w:val="005E1EFF"/>
    <w:rsid w:val="005E1F5B"/>
    <w:rsid w:val="005E1FA6"/>
    <w:rsid w:val="005E203C"/>
    <w:rsid w:val="005E2041"/>
    <w:rsid w:val="005E2049"/>
    <w:rsid w:val="005E2053"/>
    <w:rsid w:val="005E206C"/>
    <w:rsid w:val="005E2106"/>
    <w:rsid w:val="005E213F"/>
    <w:rsid w:val="005E2143"/>
    <w:rsid w:val="005E2150"/>
    <w:rsid w:val="005E215B"/>
    <w:rsid w:val="005E2166"/>
    <w:rsid w:val="005E2174"/>
    <w:rsid w:val="005E2199"/>
    <w:rsid w:val="005E21A7"/>
    <w:rsid w:val="005E21AF"/>
    <w:rsid w:val="005E21B1"/>
    <w:rsid w:val="005E21BA"/>
    <w:rsid w:val="005E2219"/>
    <w:rsid w:val="005E223B"/>
    <w:rsid w:val="005E224A"/>
    <w:rsid w:val="005E2278"/>
    <w:rsid w:val="005E22AC"/>
    <w:rsid w:val="005E22BD"/>
    <w:rsid w:val="005E22C7"/>
    <w:rsid w:val="005E2345"/>
    <w:rsid w:val="005E2402"/>
    <w:rsid w:val="005E242B"/>
    <w:rsid w:val="005E242C"/>
    <w:rsid w:val="005E242F"/>
    <w:rsid w:val="005E24C1"/>
    <w:rsid w:val="005E24DF"/>
    <w:rsid w:val="005E2523"/>
    <w:rsid w:val="005E26A0"/>
    <w:rsid w:val="005E26B2"/>
    <w:rsid w:val="005E26BE"/>
    <w:rsid w:val="005E26CD"/>
    <w:rsid w:val="005E270B"/>
    <w:rsid w:val="005E278A"/>
    <w:rsid w:val="005E28DB"/>
    <w:rsid w:val="005E29F0"/>
    <w:rsid w:val="005E29F4"/>
    <w:rsid w:val="005E2A2E"/>
    <w:rsid w:val="005E2A6A"/>
    <w:rsid w:val="005E2ADB"/>
    <w:rsid w:val="005E2B02"/>
    <w:rsid w:val="005E2B1C"/>
    <w:rsid w:val="005E2B1E"/>
    <w:rsid w:val="005E2B53"/>
    <w:rsid w:val="005E2C31"/>
    <w:rsid w:val="005E2C62"/>
    <w:rsid w:val="005E2D01"/>
    <w:rsid w:val="005E2D14"/>
    <w:rsid w:val="005E2D1C"/>
    <w:rsid w:val="005E2D25"/>
    <w:rsid w:val="005E2D62"/>
    <w:rsid w:val="005E2D8D"/>
    <w:rsid w:val="005E2EF0"/>
    <w:rsid w:val="005E2F52"/>
    <w:rsid w:val="005E2FBD"/>
    <w:rsid w:val="005E301D"/>
    <w:rsid w:val="005E302B"/>
    <w:rsid w:val="005E3038"/>
    <w:rsid w:val="005E30B2"/>
    <w:rsid w:val="005E30FA"/>
    <w:rsid w:val="005E3131"/>
    <w:rsid w:val="005E3132"/>
    <w:rsid w:val="005E3151"/>
    <w:rsid w:val="005E31B4"/>
    <w:rsid w:val="005E31E7"/>
    <w:rsid w:val="005E3280"/>
    <w:rsid w:val="005E32EB"/>
    <w:rsid w:val="005E3330"/>
    <w:rsid w:val="005E3357"/>
    <w:rsid w:val="005E344F"/>
    <w:rsid w:val="005E3498"/>
    <w:rsid w:val="005E349F"/>
    <w:rsid w:val="005E34DA"/>
    <w:rsid w:val="005E354C"/>
    <w:rsid w:val="005E3843"/>
    <w:rsid w:val="005E395B"/>
    <w:rsid w:val="005E39C1"/>
    <w:rsid w:val="005E3A3B"/>
    <w:rsid w:val="005E3A92"/>
    <w:rsid w:val="005E3A94"/>
    <w:rsid w:val="005E3AEF"/>
    <w:rsid w:val="005E3AFA"/>
    <w:rsid w:val="005E3D1D"/>
    <w:rsid w:val="005E3D5A"/>
    <w:rsid w:val="005E3E04"/>
    <w:rsid w:val="005E3EED"/>
    <w:rsid w:val="005E3FCD"/>
    <w:rsid w:val="005E4019"/>
    <w:rsid w:val="005E40B2"/>
    <w:rsid w:val="005E416B"/>
    <w:rsid w:val="005E4185"/>
    <w:rsid w:val="005E41AA"/>
    <w:rsid w:val="005E41CA"/>
    <w:rsid w:val="005E41DC"/>
    <w:rsid w:val="005E41EF"/>
    <w:rsid w:val="005E4238"/>
    <w:rsid w:val="005E4248"/>
    <w:rsid w:val="005E42B0"/>
    <w:rsid w:val="005E4304"/>
    <w:rsid w:val="005E430B"/>
    <w:rsid w:val="005E435D"/>
    <w:rsid w:val="005E437B"/>
    <w:rsid w:val="005E4394"/>
    <w:rsid w:val="005E4423"/>
    <w:rsid w:val="005E44D2"/>
    <w:rsid w:val="005E44DF"/>
    <w:rsid w:val="005E44EF"/>
    <w:rsid w:val="005E450A"/>
    <w:rsid w:val="005E450E"/>
    <w:rsid w:val="005E4574"/>
    <w:rsid w:val="005E457F"/>
    <w:rsid w:val="005E45A9"/>
    <w:rsid w:val="005E45B9"/>
    <w:rsid w:val="005E462E"/>
    <w:rsid w:val="005E4641"/>
    <w:rsid w:val="005E466E"/>
    <w:rsid w:val="005E4686"/>
    <w:rsid w:val="005E46FD"/>
    <w:rsid w:val="005E4724"/>
    <w:rsid w:val="005E472D"/>
    <w:rsid w:val="005E4746"/>
    <w:rsid w:val="005E476D"/>
    <w:rsid w:val="005E476F"/>
    <w:rsid w:val="005E47CC"/>
    <w:rsid w:val="005E483B"/>
    <w:rsid w:val="005E4844"/>
    <w:rsid w:val="005E485D"/>
    <w:rsid w:val="005E4861"/>
    <w:rsid w:val="005E486B"/>
    <w:rsid w:val="005E488C"/>
    <w:rsid w:val="005E48B4"/>
    <w:rsid w:val="005E48C0"/>
    <w:rsid w:val="005E4933"/>
    <w:rsid w:val="005E49F0"/>
    <w:rsid w:val="005E49F9"/>
    <w:rsid w:val="005E4A15"/>
    <w:rsid w:val="005E4AA4"/>
    <w:rsid w:val="005E4AE8"/>
    <w:rsid w:val="005E4B47"/>
    <w:rsid w:val="005E4B9E"/>
    <w:rsid w:val="005E4C61"/>
    <w:rsid w:val="005E4CE7"/>
    <w:rsid w:val="005E4D30"/>
    <w:rsid w:val="005E4D4E"/>
    <w:rsid w:val="005E4D84"/>
    <w:rsid w:val="005E4D87"/>
    <w:rsid w:val="005E4DA3"/>
    <w:rsid w:val="005E4E0E"/>
    <w:rsid w:val="005E4E96"/>
    <w:rsid w:val="005E4FC9"/>
    <w:rsid w:val="005E50F9"/>
    <w:rsid w:val="005E5101"/>
    <w:rsid w:val="005E5107"/>
    <w:rsid w:val="005E5172"/>
    <w:rsid w:val="005E5186"/>
    <w:rsid w:val="005E51D8"/>
    <w:rsid w:val="005E520C"/>
    <w:rsid w:val="005E5222"/>
    <w:rsid w:val="005E522D"/>
    <w:rsid w:val="005E527C"/>
    <w:rsid w:val="005E5297"/>
    <w:rsid w:val="005E529A"/>
    <w:rsid w:val="005E52F0"/>
    <w:rsid w:val="005E54F7"/>
    <w:rsid w:val="005E5566"/>
    <w:rsid w:val="005E55B5"/>
    <w:rsid w:val="005E55F0"/>
    <w:rsid w:val="005E560C"/>
    <w:rsid w:val="005E565A"/>
    <w:rsid w:val="005E5678"/>
    <w:rsid w:val="005E56CB"/>
    <w:rsid w:val="005E5721"/>
    <w:rsid w:val="005E5744"/>
    <w:rsid w:val="005E57A6"/>
    <w:rsid w:val="005E57C4"/>
    <w:rsid w:val="005E5805"/>
    <w:rsid w:val="005E5813"/>
    <w:rsid w:val="005E5949"/>
    <w:rsid w:val="005E597F"/>
    <w:rsid w:val="005E5999"/>
    <w:rsid w:val="005E59C6"/>
    <w:rsid w:val="005E59D5"/>
    <w:rsid w:val="005E5A19"/>
    <w:rsid w:val="005E5A6D"/>
    <w:rsid w:val="005E5A70"/>
    <w:rsid w:val="005E5B0D"/>
    <w:rsid w:val="005E5B86"/>
    <w:rsid w:val="005E5C12"/>
    <w:rsid w:val="005E5C3B"/>
    <w:rsid w:val="005E5C9E"/>
    <w:rsid w:val="005E5CDD"/>
    <w:rsid w:val="005E5D62"/>
    <w:rsid w:val="005E5D65"/>
    <w:rsid w:val="005E5D88"/>
    <w:rsid w:val="005E5DD0"/>
    <w:rsid w:val="005E5DE5"/>
    <w:rsid w:val="005E5E37"/>
    <w:rsid w:val="005E5E5B"/>
    <w:rsid w:val="005E5E63"/>
    <w:rsid w:val="005E5E7C"/>
    <w:rsid w:val="005E5EF3"/>
    <w:rsid w:val="005E6004"/>
    <w:rsid w:val="005E6026"/>
    <w:rsid w:val="005E6063"/>
    <w:rsid w:val="005E6150"/>
    <w:rsid w:val="005E61B5"/>
    <w:rsid w:val="005E620D"/>
    <w:rsid w:val="005E624D"/>
    <w:rsid w:val="005E625F"/>
    <w:rsid w:val="005E6298"/>
    <w:rsid w:val="005E62F9"/>
    <w:rsid w:val="005E633A"/>
    <w:rsid w:val="005E6365"/>
    <w:rsid w:val="005E63A4"/>
    <w:rsid w:val="005E642E"/>
    <w:rsid w:val="005E64BF"/>
    <w:rsid w:val="005E6512"/>
    <w:rsid w:val="005E657C"/>
    <w:rsid w:val="005E6643"/>
    <w:rsid w:val="005E66F7"/>
    <w:rsid w:val="005E6700"/>
    <w:rsid w:val="005E6772"/>
    <w:rsid w:val="005E67D9"/>
    <w:rsid w:val="005E6851"/>
    <w:rsid w:val="005E6879"/>
    <w:rsid w:val="005E687C"/>
    <w:rsid w:val="005E68F5"/>
    <w:rsid w:val="005E6905"/>
    <w:rsid w:val="005E6990"/>
    <w:rsid w:val="005E69A2"/>
    <w:rsid w:val="005E69CD"/>
    <w:rsid w:val="005E6A52"/>
    <w:rsid w:val="005E6AD7"/>
    <w:rsid w:val="005E6B29"/>
    <w:rsid w:val="005E6B6B"/>
    <w:rsid w:val="005E6BD8"/>
    <w:rsid w:val="005E6C7E"/>
    <w:rsid w:val="005E6C9C"/>
    <w:rsid w:val="005E6D54"/>
    <w:rsid w:val="005E6DF0"/>
    <w:rsid w:val="005E6E07"/>
    <w:rsid w:val="005E6E49"/>
    <w:rsid w:val="005E6EB0"/>
    <w:rsid w:val="005E6F42"/>
    <w:rsid w:val="005E6F7A"/>
    <w:rsid w:val="005E6F84"/>
    <w:rsid w:val="005E700A"/>
    <w:rsid w:val="005E70EF"/>
    <w:rsid w:val="005E70F1"/>
    <w:rsid w:val="005E7173"/>
    <w:rsid w:val="005E7234"/>
    <w:rsid w:val="005E726D"/>
    <w:rsid w:val="005E734C"/>
    <w:rsid w:val="005E736C"/>
    <w:rsid w:val="005E73BB"/>
    <w:rsid w:val="005E7417"/>
    <w:rsid w:val="005E7460"/>
    <w:rsid w:val="005E74AC"/>
    <w:rsid w:val="005E74AE"/>
    <w:rsid w:val="005E74B6"/>
    <w:rsid w:val="005E74C2"/>
    <w:rsid w:val="005E7512"/>
    <w:rsid w:val="005E754E"/>
    <w:rsid w:val="005E75B5"/>
    <w:rsid w:val="005E75CF"/>
    <w:rsid w:val="005E75ED"/>
    <w:rsid w:val="005E7605"/>
    <w:rsid w:val="005E7612"/>
    <w:rsid w:val="005E76C4"/>
    <w:rsid w:val="005E76F4"/>
    <w:rsid w:val="005E76F8"/>
    <w:rsid w:val="005E770B"/>
    <w:rsid w:val="005E7763"/>
    <w:rsid w:val="005E7827"/>
    <w:rsid w:val="005E7849"/>
    <w:rsid w:val="005E78E4"/>
    <w:rsid w:val="005E794C"/>
    <w:rsid w:val="005E79FF"/>
    <w:rsid w:val="005E7A7A"/>
    <w:rsid w:val="005E7AAF"/>
    <w:rsid w:val="005E7ABA"/>
    <w:rsid w:val="005E7AE9"/>
    <w:rsid w:val="005E7AFB"/>
    <w:rsid w:val="005E7AFC"/>
    <w:rsid w:val="005E7B10"/>
    <w:rsid w:val="005E7B47"/>
    <w:rsid w:val="005E7B6A"/>
    <w:rsid w:val="005E7B82"/>
    <w:rsid w:val="005E7B8B"/>
    <w:rsid w:val="005E7D02"/>
    <w:rsid w:val="005E7D41"/>
    <w:rsid w:val="005E7D51"/>
    <w:rsid w:val="005E7D52"/>
    <w:rsid w:val="005E7E5F"/>
    <w:rsid w:val="005E7EC2"/>
    <w:rsid w:val="005E7FAB"/>
    <w:rsid w:val="005F0047"/>
    <w:rsid w:val="005F01B0"/>
    <w:rsid w:val="005F023A"/>
    <w:rsid w:val="005F0251"/>
    <w:rsid w:val="005F025B"/>
    <w:rsid w:val="005F0271"/>
    <w:rsid w:val="005F0285"/>
    <w:rsid w:val="005F028A"/>
    <w:rsid w:val="005F0324"/>
    <w:rsid w:val="005F0348"/>
    <w:rsid w:val="005F0378"/>
    <w:rsid w:val="005F03B0"/>
    <w:rsid w:val="005F04EE"/>
    <w:rsid w:val="005F060D"/>
    <w:rsid w:val="005F0625"/>
    <w:rsid w:val="005F06A8"/>
    <w:rsid w:val="005F06D9"/>
    <w:rsid w:val="005F0729"/>
    <w:rsid w:val="005F0749"/>
    <w:rsid w:val="005F0933"/>
    <w:rsid w:val="005F093E"/>
    <w:rsid w:val="005F0961"/>
    <w:rsid w:val="005F09C9"/>
    <w:rsid w:val="005F09E5"/>
    <w:rsid w:val="005F0A0F"/>
    <w:rsid w:val="005F0A19"/>
    <w:rsid w:val="005F0A71"/>
    <w:rsid w:val="005F0AA3"/>
    <w:rsid w:val="005F0AAD"/>
    <w:rsid w:val="005F0AAE"/>
    <w:rsid w:val="005F0ADA"/>
    <w:rsid w:val="005F0C0A"/>
    <w:rsid w:val="005F0C8A"/>
    <w:rsid w:val="005F0D50"/>
    <w:rsid w:val="005F0D67"/>
    <w:rsid w:val="005F0D97"/>
    <w:rsid w:val="005F0E1A"/>
    <w:rsid w:val="005F0E51"/>
    <w:rsid w:val="005F0E6D"/>
    <w:rsid w:val="005F0F43"/>
    <w:rsid w:val="005F0F57"/>
    <w:rsid w:val="005F0F86"/>
    <w:rsid w:val="005F0FC2"/>
    <w:rsid w:val="005F102E"/>
    <w:rsid w:val="005F1052"/>
    <w:rsid w:val="005F1064"/>
    <w:rsid w:val="005F110E"/>
    <w:rsid w:val="005F1114"/>
    <w:rsid w:val="005F11D0"/>
    <w:rsid w:val="005F131B"/>
    <w:rsid w:val="005F1357"/>
    <w:rsid w:val="005F1373"/>
    <w:rsid w:val="005F1385"/>
    <w:rsid w:val="005F1428"/>
    <w:rsid w:val="005F1528"/>
    <w:rsid w:val="005F1534"/>
    <w:rsid w:val="005F1540"/>
    <w:rsid w:val="005F1546"/>
    <w:rsid w:val="005F15D3"/>
    <w:rsid w:val="005F160F"/>
    <w:rsid w:val="005F1663"/>
    <w:rsid w:val="005F16D0"/>
    <w:rsid w:val="005F16D2"/>
    <w:rsid w:val="005F1706"/>
    <w:rsid w:val="005F1726"/>
    <w:rsid w:val="005F1727"/>
    <w:rsid w:val="005F17F7"/>
    <w:rsid w:val="005F1844"/>
    <w:rsid w:val="005F189A"/>
    <w:rsid w:val="005F18E4"/>
    <w:rsid w:val="005F192C"/>
    <w:rsid w:val="005F1931"/>
    <w:rsid w:val="005F1974"/>
    <w:rsid w:val="005F19D8"/>
    <w:rsid w:val="005F1AA0"/>
    <w:rsid w:val="005F1ABF"/>
    <w:rsid w:val="005F1AD4"/>
    <w:rsid w:val="005F1B72"/>
    <w:rsid w:val="005F1B73"/>
    <w:rsid w:val="005F1C9A"/>
    <w:rsid w:val="005F1D4F"/>
    <w:rsid w:val="005F1DD3"/>
    <w:rsid w:val="005F1DD7"/>
    <w:rsid w:val="005F1E66"/>
    <w:rsid w:val="005F1E95"/>
    <w:rsid w:val="005F1EE3"/>
    <w:rsid w:val="005F1F02"/>
    <w:rsid w:val="005F1F3A"/>
    <w:rsid w:val="005F1FD1"/>
    <w:rsid w:val="005F2030"/>
    <w:rsid w:val="005F206A"/>
    <w:rsid w:val="005F209B"/>
    <w:rsid w:val="005F20B2"/>
    <w:rsid w:val="005F20E5"/>
    <w:rsid w:val="005F2127"/>
    <w:rsid w:val="005F2149"/>
    <w:rsid w:val="005F215A"/>
    <w:rsid w:val="005F21D2"/>
    <w:rsid w:val="005F21F8"/>
    <w:rsid w:val="005F2204"/>
    <w:rsid w:val="005F221A"/>
    <w:rsid w:val="005F2241"/>
    <w:rsid w:val="005F2258"/>
    <w:rsid w:val="005F2353"/>
    <w:rsid w:val="005F2357"/>
    <w:rsid w:val="005F2367"/>
    <w:rsid w:val="005F2383"/>
    <w:rsid w:val="005F253B"/>
    <w:rsid w:val="005F2561"/>
    <w:rsid w:val="005F2565"/>
    <w:rsid w:val="005F2584"/>
    <w:rsid w:val="005F2617"/>
    <w:rsid w:val="005F268F"/>
    <w:rsid w:val="005F2697"/>
    <w:rsid w:val="005F281A"/>
    <w:rsid w:val="005F2820"/>
    <w:rsid w:val="005F283B"/>
    <w:rsid w:val="005F2898"/>
    <w:rsid w:val="005F289F"/>
    <w:rsid w:val="005F28B4"/>
    <w:rsid w:val="005F2965"/>
    <w:rsid w:val="005F298B"/>
    <w:rsid w:val="005F29BD"/>
    <w:rsid w:val="005F2A08"/>
    <w:rsid w:val="005F2A26"/>
    <w:rsid w:val="005F2AD2"/>
    <w:rsid w:val="005F2AD7"/>
    <w:rsid w:val="005F2B08"/>
    <w:rsid w:val="005F2B62"/>
    <w:rsid w:val="005F2BE0"/>
    <w:rsid w:val="005F2BF1"/>
    <w:rsid w:val="005F2C02"/>
    <w:rsid w:val="005F2C78"/>
    <w:rsid w:val="005F2CBF"/>
    <w:rsid w:val="005F2D54"/>
    <w:rsid w:val="005F2EB9"/>
    <w:rsid w:val="005F2ED7"/>
    <w:rsid w:val="005F2EE9"/>
    <w:rsid w:val="005F2F85"/>
    <w:rsid w:val="005F2F8B"/>
    <w:rsid w:val="005F2FFB"/>
    <w:rsid w:val="005F3002"/>
    <w:rsid w:val="005F3022"/>
    <w:rsid w:val="005F30A7"/>
    <w:rsid w:val="005F30C4"/>
    <w:rsid w:val="005F30D0"/>
    <w:rsid w:val="005F30F2"/>
    <w:rsid w:val="005F3128"/>
    <w:rsid w:val="005F313B"/>
    <w:rsid w:val="005F31B6"/>
    <w:rsid w:val="005F3244"/>
    <w:rsid w:val="005F3257"/>
    <w:rsid w:val="005F32D1"/>
    <w:rsid w:val="005F3314"/>
    <w:rsid w:val="005F3459"/>
    <w:rsid w:val="005F3483"/>
    <w:rsid w:val="005F34AB"/>
    <w:rsid w:val="005F34AE"/>
    <w:rsid w:val="005F34DE"/>
    <w:rsid w:val="005F34E6"/>
    <w:rsid w:val="005F35FB"/>
    <w:rsid w:val="005F3617"/>
    <w:rsid w:val="005F3619"/>
    <w:rsid w:val="005F3698"/>
    <w:rsid w:val="005F3799"/>
    <w:rsid w:val="005F3840"/>
    <w:rsid w:val="005F386E"/>
    <w:rsid w:val="005F38E9"/>
    <w:rsid w:val="005F38F8"/>
    <w:rsid w:val="005F3975"/>
    <w:rsid w:val="005F39ED"/>
    <w:rsid w:val="005F39F9"/>
    <w:rsid w:val="005F3A4F"/>
    <w:rsid w:val="005F3AC9"/>
    <w:rsid w:val="005F3AF0"/>
    <w:rsid w:val="005F3B3B"/>
    <w:rsid w:val="005F3B87"/>
    <w:rsid w:val="005F3C1F"/>
    <w:rsid w:val="005F3C48"/>
    <w:rsid w:val="005F3C80"/>
    <w:rsid w:val="005F3CCC"/>
    <w:rsid w:val="005F3D3C"/>
    <w:rsid w:val="005F3D91"/>
    <w:rsid w:val="005F3DD3"/>
    <w:rsid w:val="005F3EDA"/>
    <w:rsid w:val="005F3EE2"/>
    <w:rsid w:val="005F3F1C"/>
    <w:rsid w:val="005F3F5A"/>
    <w:rsid w:val="005F3FAB"/>
    <w:rsid w:val="005F3FB5"/>
    <w:rsid w:val="005F4058"/>
    <w:rsid w:val="005F40A4"/>
    <w:rsid w:val="005F40B4"/>
    <w:rsid w:val="005F40BB"/>
    <w:rsid w:val="005F415C"/>
    <w:rsid w:val="005F41F6"/>
    <w:rsid w:val="005F41FC"/>
    <w:rsid w:val="005F41FF"/>
    <w:rsid w:val="005F4212"/>
    <w:rsid w:val="005F4234"/>
    <w:rsid w:val="005F42E0"/>
    <w:rsid w:val="005F4330"/>
    <w:rsid w:val="005F438F"/>
    <w:rsid w:val="005F43A2"/>
    <w:rsid w:val="005F440B"/>
    <w:rsid w:val="005F4453"/>
    <w:rsid w:val="005F44BA"/>
    <w:rsid w:val="005F44BD"/>
    <w:rsid w:val="005F453C"/>
    <w:rsid w:val="005F45C6"/>
    <w:rsid w:val="005F467F"/>
    <w:rsid w:val="005F4716"/>
    <w:rsid w:val="005F479A"/>
    <w:rsid w:val="005F47C5"/>
    <w:rsid w:val="005F47FF"/>
    <w:rsid w:val="005F4858"/>
    <w:rsid w:val="005F4872"/>
    <w:rsid w:val="005F48B6"/>
    <w:rsid w:val="005F48BB"/>
    <w:rsid w:val="005F48CE"/>
    <w:rsid w:val="005F48D6"/>
    <w:rsid w:val="005F4906"/>
    <w:rsid w:val="005F499A"/>
    <w:rsid w:val="005F49AD"/>
    <w:rsid w:val="005F4A2C"/>
    <w:rsid w:val="005F4A9A"/>
    <w:rsid w:val="005F4ABB"/>
    <w:rsid w:val="005F4AD7"/>
    <w:rsid w:val="005F4AF1"/>
    <w:rsid w:val="005F4B40"/>
    <w:rsid w:val="005F4B5D"/>
    <w:rsid w:val="005F4BE5"/>
    <w:rsid w:val="005F4CA4"/>
    <w:rsid w:val="005F4CB5"/>
    <w:rsid w:val="005F4CCB"/>
    <w:rsid w:val="005F4D0F"/>
    <w:rsid w:val="005F4D23"/>
    <w:rsid w:val="005F4D91"/>
    <w:rsid w:val="005F4DBF"/>
    <w:rsid w:val="005F4E01"/>
    <w:rsid w:val="005F4EA5"/>
    <w:rsid w:val="005F4EFC"/>
    <w:rsid w:val="005F4F47"/>
    <w:rsid w:val="005F4FCE"/>
    <w:rsid w:val="005F4FE5"/>
    <w:rsid w:val="005F5015"/>
    <w:rsid w:val="005F5063"/>
    <w:rsid w:val="005F5070"/>
    <w:rsid w:val="005F5104"/>
    <w:rsid w:val="005F5169"/>
    <w:rsid w:val="005F5192"/>
    <w:rsid w:val="005F51BC"/>
    <w:rsid w:val="005F51CD"/>
    <w:rsid w:val="005F5226"/>
    <w:rsid w:val="005F5262"/>
    <w:rsid w:val="005F532B"/>
    <w:rsid w:val="005F5353"/>
    <w:rsid w:val="005F5380"/>
    <w:rsid w:val="005F5388"/>
    <w:rsid w:val="005F53E2"/>
    <w:rsid w:val="005F53F2"/>
    <w:rsid w:val="005F544F"/>
    <w:rsid w:val="005F548C"/>
    <w:rsid w:val="005F54CF"/>
    <w:rsid w:val="005F54F2"/>
    <w:rsid w:val="005F5518"/>
    <w:rsid w:val="005F55DF"/>
    <w:rsid w:val="005F569E"/>
    <w:rsid w:val="005F56AD"/>
    <w:rsid w:val="005F56CF"/>
    <w:rsid w:val="005F56EA"/>
    <w:rsid w:val="005F56F7"/>
    <w:rsid w:val="005F5760"/>
    <w:rsid w:val="005F576D"/>
    <w:rsid w:val="005F5796"/>
    <w:rsid w:val="005F5805"/>
    <w:rsid w:val="005F581B"/>
    <w:rsid w:val="005F58D3"/>
    <w:rsid w:val="005F5912"/>
    <w:rsid w:val="005F591D"/>
    <w:rsid w:val="005F593B"/>
    <w:rsid w:val="005F5968"/>
    <w:rsid w:val="005F5A29"/>
    <w:rsid w:val="005F5A4C"/>
    <w:rsid w:val="005F5A78"/>
    <w:rsid w:val="005F5AD0"/>
    <w:rsid w:val="005F5B4A"/>
    <w:rsid w:val="005F5B54"/>
    <w:rsid w:val="005F5C59"/>
    <w:rsid w:val="005F5CC2"/>
    <w:rsid w:val="005F5D01"/>
    <w:rsid w:val="005F5D08"/>
    <w:rsid w:val="005F5D56"/>
    <w:rsid w:val="005F5D5B"/>
    <w:rsid w:val="005F5D9F"/>
    <w:rsid w:val="005F5DE6"/>
    <w:rsid w:val="005F5F2D"/>
    <w:rsid w:val="005F5F32"/>
    <w:rsid w:val="005F6045"/>
    <w:rsid w:val="005F6063"/>
    <w:rsid w:val="005F6087"/>
    <w:rsid w:val="005F60F9"/>
    <w:rsid w:val="005F61B2"/>
    <w:rsid w:val="005F61EE"/>
    <w:rsid w:val="005F6220"/>
    <w:rsid w:val="005F6226"/>
    <w:rsid w:val="005F622A"/>
    <w:rsid w:val="005F62F2"/>
    <w:rsid w:val="005F6347"/>
    <w:rsid w:val="005F638A"/>
    <w:rsid w:val="005F639C"/>
    <w:rsid w:val="005F63C9"/>
    <w:rsid w:val="005F64A8"/>
    <w:rsid w:val="005F64AA"/>
    <w:rsid w:val="005F6570"/>
    <w:rsid w:val="005F65E7"/>
    <w:rsid w:val="005F6620"/>
    <w:rsid w:val="005F664C"/>
    <w:rsid w:val="005F671A"/>
    <w:rsid w:val="005F677F"/>
    <w:rsid w:val="005F67BA"/>
    <w:rsid w:val="005F67FC"/>
    <w:rsid w:val="005F6832"/>
    <w:rsid w:val="005F6856"/>
    <w:rsid w:val="005F68C8"/>
    <w:rsid w:val="005F68E0"/>
    <w:rsid w:val="005F6975"/>
    <w:rsid w:val="005F698B"/>
    <w:rsid w:val="005F69AF"/>
    <w:rsid w:val="005F69D7"/>
    <w:rsid w:val="005F69FE"/>
    <w:rsid w:val="005F6A88"/>
    <w:rsid w:val="005F6B01"/>
    <w:rsid w:val="005F6BAB"/>
    <w:rsid w:val="005F6BB3"/>
    <w:rsid w:val="005F6C04"/>
    <w:rsid w:val="005F6C7D"/>
    <w:rsid w:val="005F6DB7"/>
    <w:rsid w:val="005F6DC2"/>
    <w:rsid w:val="005F6DC7"/>
    <w:rsid w:val="005F6DCE"/>
    <w:rsid w:val="005F6DE3"/>
    <w:rsid w:val="005F6E62"/>
    <w:rsid w:val="005F6EED"/>
    <w:rsid w:val="005F6F91"/>
    <w:rsid w:val="005F704F"/>
    <w:rsid w:val="005F7055"/>
    <w:rsid w:val="005F7230"/>
    <w:rsid w:val="005F7252"/>
    <w:rsid w:val="005F7291"/>
    <w:rsid w:val="005F72B6"/>
    <w:rsid w:val="005F72EC"/>
    <w:rsid w:val="005F7338"/>
    <w:rsid w:val="005F7365"/>
    <w:rsid w:val="005F74A7"/>
    <w:rsid w:val="005F7528"/>
    <w:rsid w:val="005F7550"/>
    <w:rsid w:val="005F7592"/>
    <w:rsid w:val="005F767B"/>
    <w:rsid w:val="005F770D"/>
    <w:rsid w:val="005F77A3"/>
    <w:rsid w:val="005F77C7"/>
    <w:rsid w:val="005F7888"/>
    <w:rsid w:val="005F78DE"/>
    <w:rsid w:val="005F7978"/>
    <w:rsid w:val="005F7A05"/>
    <w:rsid w:val="005F7AEB"/>
    <w:rsid w:val="005F7AFC"/>
    <w:rsid w:val="005F7C5D"/>
    <w:rsid w:val="005F7C83"/>
    <w:rsid w:val="005F7C98"/>
    <w:rsid w:val="005F7C9C"/>
    <w:rsid w:val="005F7CB6"/>
    <w:rsid w:val="005F7CFE"/>
    <w:rsid w:val="005F7D86"/>
    <w:rsid w:val="005F7DD2"/>
    <w:rsid w:val="005F7E37"/>
    <w:rsid w:val="005F7E66"/>
    <w:rsid w:val="005F7F33"/>
    <w:rsid w:val="00600006"/>
    <w:rsid w:val="00600041"/>
    <w:rsid w:val="00600042"/>
    <w:rsid w:val="00600171"/>
    <w:rsid w:val="00600259"/>
    <w:rsid w:val="006002C6"/>
    <w:rsid w:val="006003ED"/>
    <w:rsid w:val="00600480"/>
    <w:rsid w:val="006004BC"/>
    <w:rsid w:val="00600520"/>
    <w:rsid w:val="0060054C"/>
    <w:rsid w:val="0060057F"/>
    <w:rsid w:val="006005DF"/>
    <w:rsid w:val="00600620"/>
    <w:rsid w:val="0060062D"/>
    <w:rsid w:val="00600668"/>
    <w:rsid w:val="0060068E"/>
    <w:rsid w:val="006006D2"/>
    <w:rsid w:val="00600750"/>
    <w:rsid w:val="00600770"/>
    <w:rsid w:val="0060078D"/>
    <w:rsid w:val="00600803"/>
    <w:rsid w:val="0060088E"/>
    <w:rsid w:val="0060088F"/>
    <w:rsid w:val="0060091B"/>
    <w:rsid w:val="00600A00"/>
    <w:rsid w:val="00600ADA"/>
    <w:rsid w:val="00600B01"/>
    <w:rsid w:val="00600B04"/>
    <w:rsid w:val="00600BB0"/>
    <w:rsid w:val="00600BC6"/>
    <w:rsid w:val="00600BDC"/>
    <w:rsid w:val="00600C3D"/>
    <w:rsid w:val="00600CCF"/>
    <w:rsid w:val="00600CFC"/>
    <w:rsid w:val="00600D61"/>
    <w:rsid w:val="00600D67"/>
    <w:rsid w:val="00600D6A"/>
    <w:rsid w:val="00600DA8"/>
    <w:rsid w:val="00600DC7"/>
    <w:rsid w:val="00600DF8"/>
    <w:rsid w:val="00600E17"/>
    <w:rsid w:val="00600E19"/>
    <w:rsid w:val="00600E21"/>
    <w:rsid w:val="00600E33"/>
    <w:rsid w:val="00600E49"/>
    <w:rsid w:val="00600E4D"/>
    <w:rsid w:val="00600EAD"/>
    <w:rsid w:val="006010D3"/>
    <w:rsid w:val="006010E3"/>
    <w:rsid w:val="00601102"/>
    <w:rsid w:val="0060117D"/>
    <w:rsid w:val="006011A3"/>
    <w:rsid w:val="006011A5"/>
    <w:rsid w:val="006011B3"/>
    <w:rsid w:val="006011D5"/>
    <w:rsid w:val="00601207"/>
    <w:rsid w:val="00601216"/>
    <w:rsid w:val="0060125D"/>
    <w:rsid w:val="0060129A"/>
    <w:rsid w:val="00601315"/>
    <w:rsid w:val="0060133E"/>
    <w:rsid w:val="00601363"/>
    <w:rsid w:val="006013E6"/>
    <w:rsid w:val="006013F5"/>
    <w:rsid w:val="00601403"/>
    <w:rsid w:val="0060145A"/>
    <w:rsid w:val="00601480"/>
    <w:rsid w:val="006014A3"/>
    <w:rsid w:val="006014C2"/>
    <w:rsid w:val="00601543"/>
    <w:rsid w:val="00601579"/>
    <w:rsid w:val="006015C8"/>
    <w:rsid w:val="00601734"/>
    <w:rsid w:val="0060175B"/>
    <w:rsid w:val="006017A9"/>
    <w:rsid w:val="00601806"/>
    <w:rsid w:val="00601849"/>
    <w:rsid w:val="0060184B"/>
    <w:rsid w:val="00601949"/>
    <w:rsid w:val="00601A2D"/>
    <w:rsid w:val="00601A34"/>
    <w:rsid w:val="00601A35"/>
    <w:rsid w:val="00601A5D"/>
    <w:rsid w:val="00601A6E"/>
    <w:rsid w:val="00601A71"/>
    <w:rsid w:val="00601ADB"/>
    <w:rsid w:val="00601AE5"/>
    <w:rsid w:val="00601AED"/>
    <w:rsid w:val="00601B1F"/>
    <w:rsid w:val="00601B6C"/>
    <w:rsid w:val="00601BC2"/>
    <w:rsid w:val="00601CD3"/>
    <w:rsid w:val="00601D44"/>
    <w:rsid w:val="00601D57"/>
    <w:rsid w:val="00601DD4"/>
    <w:rsid w:val="00601DD7"/>
    <w:rsid w:val="00601E17"/>
    <w:rsid w:val="00601E53"/>
    <w:rsid w:val="00601EC6"/>
    <w:rsid w:val="00601EF8"/>
    <w:rsid w:val="00601FBD"/>
    <w:rsid w:val="006020AC"/>
    <w:rsid w:val="006021E1"/>
    <w:rsid w:val="00602237"/>
    <w:rsid w:val="0060225A"/>
    <w:rsid w:val="00602266"/>
    <w:rsid w:val="0060227E"/>
    <w:rsid w:val="006022AC"/>
    <w:rsid w:val="006023D1"/>
    <w:rsid w:val="006023DD"/>
    <w:rsid w:val="00602410"/>
    <w:rsid w:val="00602437"/>
    <w:rsid w:val="006024B6"/>
    <w:rsid w:val="006024E6"/>
    <w:rsid w:val="00602561"/>
    <w:rsid w:val="0060259F"/>
    <w:rsid w:val="006025DA"/>
    <w:rsid w:val="00602620"/>
    <w:rsid w:val="0060265B"/>
    <w:rsid w:val="006026C1"/>
    <w:rsid w:val="006026DA"/>
    <w:rsid w:val="006026DD"/>
    <w:rsid w:val="006026E5"/>
    <w:rsid w:val="00602703"/>
    <w:rsid w:val="006027B7"/>
    <w:rsid w:val="006027C8"/>
    <w:rsid w:val="006027EB"/>
    <w:rsid w:val="006028D3"/>
    <w:rsid w:val="0060297C"/>
    <w:rsid w:val="006029AD"/>
    <w:rsid w:val="006029D5"/>
    <w:rsid w:val="00602A13"/>
    <w:rsid w:val="00602A5A"/>
    <w:rsid w:val="00602B1F"/>
    <w:rsid w:val="00602B51"/>
    <w:rsid w:val="00602B6F"/>
    <w:rsid w:val="00602BA6"/>
    <w:rsid w:val="00602BDF"/>
    <w:rsid w:val="00602C4F"/>
    <w:rsid w:val="00602C9C"/>
    <w:rsid w:val="00602CB1"/>
    <w:rsid w:val="00602D72"/>
    <w:rsid w:val="00602D92"/>
    <w:rsid w:val="00602EAB"/>
    <w:rsid w:val="00602EC1"/>
    <w:rsid w:val="00602EE5"/>
    <w:rsid w:val="00602EFB"/>
    <w:rsid w:val="00602F34"/>
    <w:rsid w:val="00602F6E"/>
    <w:rsid w:val="00602FF3"/>
    <w:rsid w:val="00603053"/>
    <w:rsid w:val="006030A3"/>
    <w:rsid w:val="006030D3"/>
    <w:rsid w:val="006030D8"/>
    <w:rsid w:val="00603170"/>
    <w:rsid w:val="00603223"/>
    <w:rsid w:val="00603232"/>
    <w:rsid w:val="0060326C"/>
    <w:rsid w:val="0060337D"/>
    <w:rsid w:val="00603381"/>
    <w:rsid w:val="0060343B"/>
    <w:rsid w:val="00603483"/>
    <w:rsid w:val="006034CE"/>
    <w:rsid w:val="00603600"/>
    <w:rsid w:val="006036E3"/>
    <w:rsid w:val="006037BA"/>
    <w:rsid w:val="006038B7"/>
    <w:rsid w:val="006038EE"/>
    <w:rsid w:val="006038FD"/>
    <w:rsid w:val="0060393B"/>
    <w:rsid w:val="006039BD"/>
    <w:rsid w:val="00603A01"/>
    <w:rsid w:val="00603A25"/>
    <w:rsid w:val="00603A51"/>
    <w:rsid w:val="00603A59"/>
    <w:rsid w:val="00603A6C"/>
    <w:rsid w:val="00603A9E"/>
    <w:rsid w:val="00603BCD"/>
    <w:rsid w:val="00603C5B"/>
    <w:rsid w:val="00603C86"/>
    <w:rsid w:val="00603CDF"/>
    <w:rsid w:val="00603D0D"/>
    <w:rsid w:val="00603D60"/>
    <w:rsid w:val="00603D6A"/>
    <w:rsid w:val="00603D89"/>
    <w:rsid w:val="00603E26"/>
    <w:rsid w:val="00603E94"/>
    <w:rsid w:val="00603EAA"/>
    <w:rsid w:val="00603EFD"/>
    <w:rsid w:val="00603F71"/>
    <w:rsid w:val="00603FB5"/>
    <w:rsid w:val="00603FBA"/>
    <w:rsid w:val="00603FDF"/>
    <w:rsid w:val="00604062"/>
    <w:rsid w:val="006040D7"/>
    <w:rsid w:val="00604281"/>
    <w:rsid w:val="0060430A"/>
    <w:rsid w:val="006043E6"/>
    <w:rsid w:val="0060441F"/>
    <w:rsid w:val="0060442C"/>
    <w:rsid w:val="00604493"/>
    <w:rsid w:val="00604558"/>
    <w:rsid w:val="0060455A"/>
    <w:rsid w:val="00604561"/>
    <w:rsid w:val="0060458E"/>
    <w:rsid w:val="00604634"/>
    <w:rsid w:val="0060463F"/>
    <w:rsid w:val="00604689"/>
    <w:rsid w:val="00604691"/>
    <w:rsid w:val="00604777"/>
    <w:rsid w:val="00604893"/>
    <w:rsid w:val="0060495A"/>
    <w:rsid w:val="006049C8"/>
    <w:rsid w:val="00604A5C"/>
    <w:rsid w:val="00604A7E"/>
    <w:rsid w:val="00604B69"/>
    <w:rsid w:val="00604B6F"/>
    <w:rsid w:val="00604BA7"/>
    <w:rsid w:val="00604C3A"/>
    <w:rsid w:val="00604C6D"/>
    <w:rsid w:val="00604CE6"/>
    <w:rsid w:val="00604D9E"/>
    <w:rsid w:val="00604E04"/>
    <w:rsid w:val="00604EB7"/>
    <w:rsid w:val="00604F25"/>
    <w:rsid w:val="00604F4B"/>
    <w:rsid w:val="00604F51"/>
    <w:rsid w:val="00604F54"/>
    <w:rsid w:val="0060500C"/>
    <w:rsid w:val="00605011"/>
    <w:rsid w:val="0060501E"/>
    <w:rsid w:val="00605099"/>
    <w:rsid w:val="006050A8"/>
    <w:rsid w:val="006050C1"/>
    <w:rsid w:val="0060513C"/>
    <w:rsid w:val="00605153"/>
    <w:rsid w:val="0060522A"/>
    <w:rsid w:val="0060525E"/>
    <w:rsid w:val="00605289"/>
    <w:rsid w:val="0060528E"/>
    <w:rsid w:val="006052D1"/>
    <w:rsid w:val="006052D2"/>
    <w:rsid w:val="00605308"/>
    <w:rsid w:val="0060530E"/>
    <w:rsid w:val="0060540E"/>
    <w:rsid w:val="00605444"/>
    <w:rsid w:val="00605614"/>
    <w:rsid w:val="0060562E"/>
    <w:rsid w:val="00605656"/>
    <w:rsid w:val="006056A1"/>
    <w:rsid w:val="006056B1"/>
    <w:rsid w:val="006056CC"/>
    <w:rsid w:val="006058AA"/>
    <w:rsid w:val="0060595D"/>
    <w:rsid w:val="00605A98"/>
    <w:rsid w:val="00605A9E"/>
    <w:rsid w:val="00605AB8"/>
    <w:rsid w:val="00605B2C"/>
    <w:rsid w:val="00605C28"/>
    <w:rsid w:val="00605C30"/>
    <w:rsid w:val="00605C96"/>
    <w:rsid w:val="00605D2D"/>
    <w:rsid w:val="00605D71"/>
    <w:rsid w:val="00605D7B"/>
    <w:rsid w:val="00605D7D"/>
    <w:rsid w:val="00605E4D"/>
    <w:rsid w:val="00605E9D"/>
    <w:rsid w:val="00605EEF"/>
    <w:rsid w:val="00605F00"/>
    <w:rsid w:val="00605FE1"/>
    <w:rsid w:val="00606080"/>
    <w:rsid w:val="00606099"/>
    <w:rsid w:val="00606129"/>
    <w:rsid w:val="0060612F"/>
    <w:rsid w:val="0060614A"/>
    <w:rsid w:val="006061E2"/>
    <w:rsid w:val="00606337"/>
    <w:rsid w:val="0060635D"/>
    <w:rsid w:val="00606378"/>
    <w:rsid w:val="006063DA"/>
    <w:rsid w:val="00606493"/>
    <w:rsid w:val="0060651C"/>
    <w:rsid w:val="00606549"/>
    <w:rsid w:val="00606585"/>
    <w:rsid w:val="0060658A"/>
    <w:rsid w:val="0060658E"/>
    <w:rsid w:val="006065D3"/>
    <w:rsid w:val="0060664B"/>
    <w:rsid w:val="006067C5"/>
    <w:rsid w:val="0060684C"/>
    <w:rsid w:val="0060689A"/>
    <w:rsid w:val="006068A2"/>
    <w:rsid w:val="006068AC"/>
    <w:rsid w:val="006068BB"/>
    <w:rsid w:val="006068BC"/>
    <w:rsid w:val="006068CC"/>
    <w:rsid w:val="006068CD"/>
    <w:rsid w:val="00606A25"/>
    <w:rsid w:val="00606A3A"/>
    <w:rsid w:val="00606B09"/>
    <w:rsid w:val="00606B0E"/>
    <w:rsid w:val="00606B46"/>
    <w:rsid w:val="00606BA8"/>
    <w:rsid w:val="00606BB2"/>
    <w:rsid w:val="00606BBC"/>
    <w:rsid w:val="00606BC0"/>
    <w:rsid w:val="00606BD2"/>
    <w:rsid w:val="00606BD8"/>
    <w:rsid w:val="00606BDB"/>
    <w:rsid w:val="00606C6D"/>
    <w:rsid w:val="00606C8C"/>
    <w:rsid w:val="00606CC3"/>
    <w:rsid w:val="00606D05"/>
    <w:rsid w:val="00606D19"/>
    <w:rsid w:val="00606D8C"/>
    <w:rsid w:val="00606E45"/>
    <w:rsid w:val="00606E9D"/>
    <w:rsid w:val="00606ED0"/>
    <w:rsid w:val="00606EE0"/>
    <w:rsid w:val="00606EE1"/>
    <w:rsid w:val="00606F0B"/>
    <w:rsid w:val="00606F78"/>
    <w:rsid w:val="00606F95"/>
    <w:rsid w:val="00606FAF"/>
    <w:rsid w:val="00606FDF"/>
    <w:rsid w:val="00607088"/>
    <w:rsid w:val="006070ED"/>
    <w:rsid w:val="00607101"/>
    <w:rsid w:val="00607129"/>
    <w:rsid w:val="0060712E"/>
    <w:rsid w:val="00607229"/>
    <w:rsid w:val="0060728A"/>
    <w:rsid w:val="00607374"/>
    <w:rsid w:val="0060739D"/>
    <w:rsid w:val="006073B7"/>
    <w:rsid w:val="006073FF"/>
    <w:rsid w:val="00607440"/>
    <w:rsid w:val="006074E5"/>
    <w:rsid w:val="00607553"/>
    <w:rsid w:val="00607573"/>
    <w:rsid w:val="006075A6"/>
    <w:rsid w:val="00607698"/>
    <w:rsid w:val="00607699"/>
    <w:rsid w:val="006076E4"/>
    <w:rsid w:val="006076F1"/>
    <w:rsid w:val="00607704"/>
    <w:rsid w:val="00607725"/>
    <w:rsid w:val="0060778C"/>
    <w:rsid w:val="006077B2"/>
    <w:rsid w:val="006077D2"/>
    <w:rsid w:val="00607852"/>
    <w:rsid w:val="006078E0"/>
    <w:rsid w:val="0060795C"/>
    <w:rsid w:val="00607A11"/>
    <w:rsid w:val="00607A3C"/>
    <w:rsid w:val="00607AA4"/>
    <w:rsid w:val="00607AD4"/>
    <w:rsid w:val="00607B55"/>
    <w:rsid w:val="00607B72"/>
    <w:rsid w:val="00607C51"/>
    <w:rsid w:val="00607C8C"/>
    <w:rsid w:val="00607CAE"/>
    <w:rsid w:val="00607CB5"/>
    <w:rsid w:val="00607D0F"/>
    <w:rsid w:val="00607D21"/>
    <w:rsid w:val="00607D7D"/>
    <w:rsid w:val="00607DCA"/>
    <w:rsid w:val="00607E4C"/>
    <w:rsid w:val="00607E8B"/>
    <w:rsid w:val="00607EC2"/>
    <w:rsid w:val="00607F83"/>
    <w:rsid w:val="00607FED"/>
    <w:rsid w:val="0060F498"/>
    <w:rsid w:val="00610037"/>
    <w:rsid w:val="006100E8"/>
    <w:rsid w:val="006100EB"/>
    <w:rsid w:val="006101F5"/>
    <w:rsid w:val="0061024C"/>
    <w:rsid w:val="006102AB"/>
    <w:rsid w:val="006102BA"/>
    <w:rsid w:val="006102C0"/>
    <w:rsid w:val="006102C1"/>
    <w:rsid w:val="006103C5"/>
    <w:rsid w:val="00610421"/>
    <w:rsid w:val="00610485"/>
    <w:rsid w:val="0061049B"/>
    <w:rsid w:val="00610514"/>
    <w:rsid w:val="006105B6"/>
    <w:rsid w:val="006105C7"/>
    <w:rsid w:val="006105DA"/>
    <w:rsid w:val="006106DC"/>
    <w:rsid w:val="006107FC"/>
    <w:rsid w:val="0061080C"/>
    <w:rsid w:val="00610856"/>
    <w:rsid w:val="0061085A"/>
    <w:rsid w:val="0061089F"/>
    <w:rsid w:val="006108D1"/>
    <w:rsid w:val="006109CE"/>
    <w:rsid w:val="00610B0D"/>
    <w:rsid w:val="00610C20"/>
    <w:rsid w:val="00610C8D"/>
    <w:rsid w:val="00610CF8"/>
    <w:rsid w:val="00610D18"/>
    <w:rsid w:val="00610D66"/>
    <w:rsid w:val="00610D85"/>
    <w:rsid w:val="00610D9D"/>
    <w:rsid w:val="00610E6D"/>
    <w:rsid w:val="00610F68"/>
    <w:rsid w:val="00610F93"/>
    <w:rsid w:val="00611092"/>
    <w:rsid w:val="00611149"/>
    <w:rsid w:val="0061119E"/>
    <w:rsid w:val="006111AB"/>
    <w:rsid w:val="006111D6"/>
    <w:rsid w:val="00611337"/>
    <w:rsid w:val="00611340"/>
    <w:rsid w:val="0061136D"/>
    <w:rsid w:val="006113E9"/>
    <w:rsid w:val="006113EF"/>
    <w:rsid w:val="00611478"/>
    <w:rsid w:val="006114A7"/>
    <w:rsid w:val="006114DF"/>
    <w:rsid w:val="00611503"/>
    <w:rsid w:val="006115BC"/>
    <w:rsid w:val="00611722"/>
    <w:rsid w:val="0061173D"/>
    <w:rsid w:val="0061176B"/>
    <w:rsid w:val="0061186F"/>
    <w:rsid w:val="0061187C"/>
    <w:rsid w:val="006118DB"/>
    <w:rsid w:val="00611906"/>
    <w:rsid w:val="00611917"/>
    <w:rsid w:val="00611963"/>
    <w:rsid w:val="00611971"/>
    <w:rsid w:val="0061197E"/>
    <w:rsid w:val="006119A5"/>
    <w:rsid w:val="006119D6"/>
    <w:rsid w:val="006119E3"/>
    <w:rsid w:val="00611A56"/>
    <w:rsid w:val="00611AB7"/>
    <w:rsid w:val="00611AD6"/>
    <w:rsid w:val="00611AF7"/>
    <w:rsid w:val="00611AFA"/>
    <w:rsid w:val="00611B3F"/>
    <w:rsid w:val="00611BB5"/>
    <w:rsid w:val="00611C00"/>
    <w:rsid w:val="00611C09"/>
    <w:rsid w:val="00611C21"/>
    <w:rsid w:val="00611CC0"/>
    <w:rsid w:val="00611CC2"/>
    <w:rsid w:val="00611D11"/>
    <w:rsid w:val="00611D15"/>
    <w:rsid w:val="00611D71"/>
    <w:rsid w:val="00611E6D"/>
    <w:rsid w:val="00611ECC"/>
    <w:rsid w:val="00611F58"/>
    <w:rsid w:val="00611FE9"/>
    <w:rsid w:val="0061207D"/>
    <w:rsid w:val="006120CE"/>
    <w:rsid w:val="00612106"/>
    <w:rsid w:val="0061210B"/>
    <w:rsid w:val="0061211C"/>
    <w:rsid w:val="0061219F"/>
    <w:rsid w:val="006121D7"/>
    <w:rsid w:val="0061223F"/>
    <w:rsid w:val="0061235D"/>
    <w:rsid w:val="00612360"/>
    <w:rsid w:val="006123B9"/>
    <w:rsid w:val="006123DA"/>
    <w:rsid w:val="006123DD"/>
    <w:rsid w:val="00612449"/>
    <w:rsid w:val="0061244A"/>
    <w:rsid w:val="006124C8"/>
    <w:rsid w:val="006124D8"/>
    <w:rsid w:val="006124E1"/>
    <w:rsid w:val="0061252E"/>
    <w:rsid w:val="00612543"/>
    <w:rsid w:val="006127B3"/>
    <w:rsid w:val="006127C7"/>
    <w:rsid w:val="006127EE"/>
    <w:rsid w:val="00612894"/>
    <w:rsid w:val="0061290C"/>
    <w:rsid w:val="00612970"/>
    <w:rsid w:val="0061298B"/>
    <w:rsid w:val="0061298D"/>
    <w:rsid w:val="006129A6"/>
    <w:rsid w:val="00612A80"/>
    <w:rsid w:val="00612AFA"/>
    <w:rsid w:val="00612B2E"/>
    <w:rsid w:val="00612B72"/>
    <w:rsid w:val="00612C51"/>
    <w:rsid w:val="00612C7F"/>
    <w:rsid w:val="00612C92"/>
    <w:rsid w:val="00612D4C"/>
    <w:rsid w:val="00612DD3"/>
    <w:rsid w:val="00612E5B"/>
    <w:rsid w:val="00612E99"/>
    <w:rsid w:val="00612EB3"/>
    <w:rsid w:val="00612EC7"/>
    <w:rsid w:val="00612EF2"/>
    <w:rsid w:val="00612F17"/>
    <w:rsid w:val="00612F2C"/>
    <w:rsid w:val="00612F53"/>
    <w:rsid w:val="00612F7C"/>
    <w:rsid w:val="00612FB7"/>
    <w:rsid w:val="0061306E"/>
    <w:rsid w:val="006130C3"/>
    <w:rsid w:val="006130CA"/>
    <w:rsid w:val="00613132"/>
    <w:rsid w:val="0061321C"/>
    <w:rsid w:val="0061323F"/>
    <w:rsid w:val="0061326C"/>
    <w:rsid w:val="0061331A"/>
    <w:rsid w:val="00613428"/>
    <w:rsid w:val="00613443"/>
    <w:rsid w:val="006134BE"/>
    <w:rsid w:val="006134F8"/>
    <w:rsid w:val="006135AD"/>
    <w:rsid w:val="006135C2"/>
    <w:rsid w:val="0061364A"/>
    <w:rsid w:val="00613796"/>
    <w:rsid w:val="006137B6"/>
    <w:rsid w:val="006137D7"/>
    <w:rsid w:val="0061383B"/>
    <w:rsid w:val="0061391E"/>
    <w:rsid w:val="0061392E"/>
    <w:rsid w:val="006139A9"/>
    <w:rsid w:val="006139AF"/>
    <w:rsid w:val="006139BB"/>
    <w:rsid w:val="00613A1F"/>
    <w:rsid w:val="00613A6D"/>
    <w:rsid w:val="00613A7F"/>
    <w:rsid w:val="00613B89"/>
    <w:rsid w:val="00613BB3"/>
    <w:rsid w:val="00613BBD"/>
    <w:rsid w:val="00613C6C"/>
    <w:rsid w:val="00613CC2"/>
    <w:rsid w:val="00613D7D"/>
    <w:rsid w:val="00613DB9"/>
    <w:rsid w:val="00613E0A"/>
    <w:rsid w:val="00613E2F"/>
    <w:rsid w:val="00613E77"/>
    <w:rsid w:val="00613FD7"/>
    <w:rsid w:val="00613FDC"/>
    <w:rsid w:val="006140D2"/>
    <w:rsid w:val="006140D7"/>
    <w:rsid w:val="00614138"/>
    <w:rsid w:val="00614226"/>
    <w:rsid w:val="0061424F"/>
    <w:rsid w:val="00614293"/>
    <w:rsid w:val="0061436E"/>
    <w:rsid w:val="006143D1"/>
    <w:rsid w:val="006143FA"/>
    <w:rsid w:val="00614404"/>
    <w:rsid w:val="00614447"/>
    <w:rsid w:val="006144A4"/>
    <w:rsid w:val="006144DC"/>
    <w:rsid w:val="006144F3"/>
    <w:rsid w:val="00614522"/>
    <w:rsid w:val="0061452E"/>
    <w:rsid w:val="0061459E"/>
    <w:rsid w:val="006145CD"/>
    <w:rsid w:val="006148D4"/>
    <w:rsid w:val="006148E6"/>
    <w:rsid w:val="00614955"/>
    <w:rsid w:val="0061499B"/>
    <w:rsid w:val="006149A8"/>
    <w:rsid w:val="006149C2"/>
    <w:rsid w:val="00614A94"/>
    <w:rsid w:val="00614AB9"/>
    <w:rsid w:val="00614ADF"/>
    <w:rsid w:val="00614B0F"/>
    <w:rsid w:val="00614BD8"/>
    <w:rsid w:val="00614BE5"/>
    <w:rsid w:val="00614C09"/>
    <w:rsid w:val="00614C44"/>
    <w:rsid w:val="00614CCB"/>
    <w:rsid w:val="00614CF3"/>
    <w:rsid w:val="00614CFD"/>
    <w:rsid w:val="00614D2B"/>
    <w:rsid w:val="00614D47"/>
    <w:rsid w:val="00614D6F"/>
    <w:rsid w:val="00614D85"/>
    <w:rsid w:val="00614E0E"/>
    <w:rsid w:val="00614E64"/>
    <w:rsid w:val="00614EF5"/>
    <w:rsid w:val="00614F42"/>
    <w:rsid w:val="00614F8C"/>
    <w:rsid w:val="00614FD7"/>
    <w:rsid w:val="00615041"/>
    <w:rsid w:val="00615055"/>
    <w:rsid w:val="0061514D"/>
    <w:rsid w:val="0061514E"/>
    <w:rsid w:val="006151AF"/>
    <w:rsid w:val="006151DC"/>
    <w:rsid w:val="006151E5"/>
    <w:rsid w:val="006151EA"/>
    <w:rsid w:val="00615215"/>
    <w:rsid w:val="00615258"/>
    <w:rsid w:val="0061525B"/>
    <w:rsid w:val="006152C2"/>
    <w:rsid w:val="0061534F"/>
    <w:rsid w:val="00615362"/>
    <w:rsid w:val="0061555E"/>
    <w:rsid w:val="00615561"/>
    <w:rsid w:val="0061558B"/>
    <w:rsid w:val="0061562D"/>
    <w:rsid w:val="00615641"/>
    <w:rsid w:val="006156D3"/>
    <w:rsid w:val="0061574F"/>
    <w:rsid w:val="00615752"/>
    <w:rsid w:val="0061577C"/>
    <w:rsid w:val="00615809"/>
    <w:rsid w:val="006158E3"/>
    <w:rsid w:val="00615915"/>
    <w:rsid w:val="0061592A"/>
    <w:rsid w:val="00615987"/>
    <w:rsid w:val="00615AD3"/>
    <w:rsid w:val="00615ADE"/>
    <w:rsid w:val="00615B45"/>
    <w:rsid w:val="00615B46"/>
    <w:rsid w:val="00615BE6"/>
    <w:rsid w:val="00615C84"/>
    <w:rsid w:val="00615D31"/>
    <w:rsid w:val="00615D72"/>
    <w:rsid w:val="00615EAA"/>
    <w:rsid w:val="00615ECE"/>
    <w:rsid w:val="00615F76"/>
    <w:rsid w:val="006160C9"/>
    <w:rsid w:val="006160CE"/>
    <w:rsid w:val="006160D7"/>
    <w:rsid w:val="0061611D"/>
    <w:rsid w:val="0061611E"/>
    <w:rsid w:val="00616121"/>
    <w:rsid w:val="006161C0"/>
    <w:rsid w:val="006161C1"/>
    <w:rsid w:val="0061622F"/>
    <w:rsid w:val="0061623E"/>
    <w:rsid w:val="0061626A"/>
    <w:rsid w:val="00616273"/>
    <w:rsid w:val="0061629B"/>
    <w:rsid w:val="006162E1"/>
    <w:rsid w:val="00616356"/>
    <w:rsid w:val="00616416"/>
    <w:rsid w:val="00616488"/>
    <w:rsid w:val="006164B9"/>
    <w:rsid w:val="006164FC"/>
    <w:rsid w:val="00616506"/>
    <w:rsid w:val="0061653C"/>
    <w:rsid w:val="006165AA"/>
    <w:rsid w:val="006165AC"/>
    <w:rsid w:val="006165B5"/>
    <w:rsid w:val="006165DE"/>
    <w:rsid w:val="00616626"/>
    <w:rsid w:val="0061662D"/>
    <w:rsid w:val="0061669D"/>
    <w:rsid w:val="0061669E"/>
    <w:rsid w:val="006166A9"/>
    <w:rsid w:val="0061677E"/>
    <w:rsid w:val="006168F7"/>
    <w:rsid w:val="00616930"/>
    <w:rsid w:val="00616972"/>
    <w:rsid w:val="0061698A"/>
    <w:rsid w:val="006169F6"/>
    <w:rsid w:val="00616A27"/>
    <w:rsid w:val="00616ACA"/>
    <w:rsid w:val="00616ADE"/>
    <w:rsid w:val="00616AEE"/>
    <w:rsid w:val="00616B28"/>
    <w:rsid w:val="00616B3B"/>
    <w:rsid w:val="00616B53"/>
    <w:rsid w:val="00616B61"/>
    <w:rsid w:val="00616B87"/>
    <w:rsid w:val="00616B97"/>
    <w:rsid w:val="00616BF1"/>
    <w:rsid w:val="00616C20"/>
    <w:rsid w:val="00616C24"/>
    <w:rsid w:val="00616C42"/>
    <w:rsid w:val="00616CA5"/>
    <w:rsid w:val="00616CF2"/>
    <w:rsid w:val="00616DF8"/>
    <w:rsid w:val="00616E48"/>
    <w:rsid w:val="00616F7B"/>
    <w:rsid w:val="00616FB4"/>
    <w:rsid w:val="00616FC3"/>
    <w:rsid w:val="0061708D"/>
    <w:rsid w:val="0061708F"/>
    <w:rsid w:val="006170EB"/>
    <w:rsid w:val="006170EE"/>
    <w:rsid w:val="00617141"/>
    <w:rsid w:val="00617196"/>
    <w:rsid w:val="006171A2"/>
    <w:rsid w:val="006171D7"/>
    <w:rsid w:val="006171FC"/>
    <w:rsid w:val="00617246"/>
    <w:rsid w:val="00617263"/>
    <w:rsid w:val="006172D0"/>
    <w:rsid w:val="006172D4"/>
    <w:rsid w:val="006172FF"/>
    <w:rsid w:val="0061731F"/>
    <w:rsid w:val="00617362"/>
    <w:rsid w:val="0061736D"/>
    <w:rsid w:val="006173A9"/>
    <w:rsid w:val="006173C4"/>
    <w:rsid w:val="00617435"/>
    <w:rsid w:val="00617438"/>
    <w:rsid w:val="0061744C"/>
    <w:rsid w:val="0061747D"/>
    <w:rsid w:val="00617511"/>
    <w:rsid w:val="00617615"/>
    <w:rsid w:val="00617657"/>
    <w:rsid w:val="00617668"/>
    <w:rsid w:val="0061774F"/>
    <w:rsid w:val="00617783"/>
    <w:rsid w:val="006177C1"/>
    <w:rsid w:val="00617819"/>
    <w:rsid w:val="00617831"/>
    <w:rsid w:val="0061785E"/>
    <w:rsid w:val="0061786E"/>
    <w:rsid w:val="00617899"/>
    <w:rsid w:val="006178AD"/>
    <w:rsid w:val="00617969"/>
    <w:rsid w:val="00617A19"/>
    <w:rsid w:val="00617A4C"/>
    <w:rsid w:val="00617B7C"/>
    <w:rsid w:val="00617BCA"/>
    <w:rsid w:val="00617BE0"/>
    <w:rsid w:val="00617C15"/>
    <w:rsid w:val="00617C63"/>
    <w:rsid w:val="00617C86"/>
    <w:rsid w:val="00617D79"/>
    <w:rsid w:val="00617D9C"/>
    <w:rsid w:val="00617E22"/>
    <w:rsid w:val="00617ED7"/>
    <w:rsid w:val="00617F0D"/>
    <w:rsid w:val="00617FB7"/>
    <w:rsid w:val="00617FC4"/>
    <w:rsid w:val="00620020"/>
    <w:rsid w:val="0062014D"/>
    <w:rsid w:val="006201AF"/>
    <w:rsid w:val="006201BF"/>
    <w:rsid w:val="0062020B"/>
    <w:rsid w:val="0062020F"/>
    <w:rsid w:val="00620283"/>
    <w:rsid w:val="00620298"/>
    <w:rsid w:val="0062029E"/>
    <w:rsid w:val="006202AD"/>
    <w:rsid w:val="00620348"/>
    <w:rsid w:val="0062034B"/>
    <w:rsid w:val="0062038B"/>
    <w:rsid w:val="00620396"/>
    <w:rsid w:val="006203FC"/>
    <w:rsid w:val="0062058B"/>
    <w:rsid w:val="0062059E"/>
    <w:rsid w:val="006205FE"/>
    <w:rsid w:val="0062062E"/>
    <w:rsid w:val="0062066C"/>
    <w:rsid w:val="0062074C"/>
    <w:rsid w:val="0062081E"/>
    <w:rsid w:val="006208BA"/>
    <w:rsid w:val="006208E2"/>
    <w:rsid w:val="006209A3"/>
    <w:rsid w:val="00620A05"/>
    <w:rsid w:val="00620A19"/>
    <w:rsid w:val="00620A1B"/>
    <w:rsid w:val="00620A35"/>
    <w:rsid w:val="00620A51"/>
    <w:rsid w:val="00620A53"/>
    <w:rsid w:val="00620A71"/>
    <w:rsid w:val="00620A9C"/>
    <w:rsid w:val="00620AD0"/>
    <w:rsid w:val="00620B0A"/>
    <w:rsid w:val="00620B27"/>
    <w:rsid w:val="00620B3B"/>
    <w:rsid w:val="00620C29"/>
    <w:rsid w:val="00620C4F"/>
    <w:rsid w:val="00620CCE"/>
    <w:rsid w:val="00620CFC"/>
    <w:rsid w:val="00620D48"/>
    <w:rsid w:val="00620DA1"/>
    <w:rsid w:val="00620DDF"/>
    <w:rsid w:val="00620E11"/>
    <w:rsid w:val="00620F95"/>
    <w:rsid w:val="00621026"/>
    <w:rsid w:val="0062105C"/>
    <w:rsid w:val="00621076"/>
    <w:rsid w:val="006210C0"/>
    <w:rsid w:val="0062121D"/>
    <w:rsid w:val="006212BA"/>
    <w:rsid w:val="00621328"/>
    <w:rsid w:val="0062137C"/>
    <w:rsid w:val="00621395"/>
    <w:rsid w:val="006213B3"/>
    <w:rsid w:val="00621458"/>
    <w:rsid w:val="006214D7"/>
    <w:rsid w:val="006214E6"/>
    <w:rsid w:val="006214F4"/>
    <w:rsid w:val="00621540"/>
    <w:rsid w:val="00621623"/>
    <w:rsid w:val="0062168E"/>
    <w:rsid w:val="006216C6"/>
    <w:rsid w:val="0062174C"/>
    <w:rsid w:val="006217C0"/>
    <w:rsid w:val="006217C7"/>
    <w:rsid w:val="006217C8"/>
    <w:rsid w:val="006217D4"/>
    <w:rsid w:val="00621823"/>
    <w:rsid w:val="00621850"/>
    <w:rsid w:val="00621988"/>
    <w:rsid w:val="006219C4"/>
    <w:rsid w:val="00621A8F"/>
    <w:rsid w:val="00621AFA"/>
    <w:rsid w:val="00621B48"/>
    <w:rsid w:val="00621B64"/>
    <w:rsid w:val="00621BFA"/>
    <w:rsid w:val="00621C49"/>
    <w:rsid w:val="00621C4B"/>
    <w:rsid w:val="00621C6E"/>
    <w:rsid w:val="00621C95"/>
    <w:rsid w:val="00621CC5"/>
    <w:rsid w:val="00621D42"/>
    <w:rsid w:val="00621DA9"/>
    <w:rsid w:val="00621DCC"/>
    <w:rsid w:val="00621DCD"/>
    <w:rsid w:val="00621E92"/>
    <w:rsid w:val="00621F61"/>
    <w:rsid w:val="00621F8D"/>
    <w:rsid w:val="00621FAF"/>
    <w:rsid w:val="006220A6"/>
    <w:rsid w:val="0062222E"/>
    <w:rsid w:val="0062225E"/>
    <w:rsid w:val="0062233D"/>
    <w:rsid w:val="00622340"/>
    <w:rsid w:val="00622367"/>
    <w:rsid w:val="006223C1"/>
    <w:rsid w:val="0062244D"/>
    <w:rsid w:val="0062249B"/>
    <w:rsid w:val="006224B7"/>
    <w:rsid w:val="006224C6"/>
    <w:rsid w:val="00622506"/>
    <w:rsid w:val="0062262C"/>
    <w:rsid w:val="00622664"/>
    <w:rsid w:val="00622693"/>
    <w:rsid w:val="006227A7"/>
    <w:rsid w:val="006227F5"/>
    <w:rsid w:val="00622860"/>
    <w:rsid w:val="00622897"/>
    <w:rsid w:val="006228EC"/>
    <w:rsid w:val="00622903"/>
    <w:rsid w:val="00622972"/>
    <w:rsid w:val="006229EE"/>
    <w:rsid w:val="00622A2F"/>
    <w:rsid w:val="00622A5E"/>
    <w:rsid w:val="00622A98"/>
    <w:rsid w:val="00622AFA"/>
    <w:rsid w:val="00622B75"/>
    <w:rsid w:val="00622BD4"/>
    <w:rsid w:val="00622BF9"/>
    <w:rsid w:val="00622C7D"/>
    <w:rsid w:val="00622C92"/>
    <w:rsid w:val="00622CA1"/>
    <w:rsid w:val="00622CE4"/>
    <w:rsid w:val="00622D25"/>
    <w:rsid w:val="00622D68"/>
    <w:rsid w:val="00622DAD"/>
    <w:rsid w:val="00622DD2"/>
    <w:rsid w:val="00622DFD"/>
    <w:rsid w:val="00622E9F"/>
    <w:rsid w:val="00622EE9"/>
    <w:rsid w:val="00622F0F"/>
    <w:rsid w:val="00622F7A"/>
    <w:rsid w:val="00622FDA"/>
    <w:rsid w:val="00623008"/>
    <w:rsid w:val="00623019"/>
    <w:rsid w:val="0062301D"/>
    <w:rsid w:val="0062304D"/>
    <w:rsid w:val="006230DF"/>
    <w:rsid w:val="00623244"/>
    <w:rsid w:val="006232A7"/>
    <w:rsid w:val="00623364"/>
    <w:rsid w:val="00623391"/>
    <w:rsid w:val="0062341B"/>
    <w:rsid w:val="0062342F"/>
    <w:rsid w:val="0062343E"/>
    <w:rsid w:val="0062344B"/>
    <w:rsid w:val="006234B6"/>
    <w:rsid w:val="00623510"/>
    <w:rsid w:val="0062354B"/>
    <w:rsid w:val="0062364B"/>
    <w:rsid w:val="0062368D"/>
    <w:rsid w:val="006236A0"/>
    <w:rsid w:val="006236A8"/>
    <w:rsid w:val="0062375B"/>
    <w:rsid w:val="00623834"/>
    <w:rsid w:val="0062383A"/>
    <w:rsid w:val="0062388F"/>
    <w:rsid w:val="006238BE"/>
    <w:rsid w:val="006238D2"/>
    <w:rsid w:val="006238E4"/>
    <w:rsid w:val="00623979"/>
    <w:rsid w:val="00623982"/>
    <w:rsid w:val="00623998"/>
    <w:rsid w:val="006239C5"/>
    <w:rsid w:val="006239D2"/>
    <w:rsid w:val="006239D7"/>
    <w:rsid w:val="006239E1"/>
    <w:rsid w:val="00623A25"/>
    <w:rsid w:val="00623A46"/>
    <w:rsid w:val="00623A55"/>
    <w:rsid w:val="00623A9F"/>
    <w:rsid w:val="00623AF1"/>
    <w:rsid w:val="00623B0A"/>
    <w:rsid w:val="00623B11"/>
    <w:rsid w:val="00623B23"/>
    <w:rsid w:val="00623B7B"/>
    <w:rsid w:val="00623BD7"/>
    <w:rsid w:val="00623C06"/>
    <w:rsid w:val="00623C34"/>
    <w:rsid w:val="00623C4D"/>
    <w:rsid w:val="00623C86"/>
    <w:rsid w:val="00623D79"/>
    <w:rsid w:val="00623D9C"/>
    <w:rsid w:val="00623F42"/>
    <w:rsid w:val="00624045"/>
    <w:rsid w:val="006240B2"/>
    <w:rsid w:val="00624127"/>
    <w:rsid w:val="0062413B"/>
    <w:rsid w:val="0062417D"/>
    <w:rsid w:val="006241E1"/>
    <w:rsid w:val="0062420F"/>
    <w:rsid w:val="0062432A"/>
    <w:rsid w:val="0062436C"/>
    <w:rsid w:val="00624387"/>
    <w:rsid w:val="006243A8"/>
    <w:rsid w:val="006243AC"/>
    <w:rsid w:val="0062441A"/>
    <w:rsid w:val="0062444B"/>
    <w:rsid w:val="00624467"/>
    <w:rsid w:val="00624495"/>
    <w:rsid w:val="006244CF"/>
    <w:rsid w:val="0062451C"/>
    <w:rsid w:val="00624567"/>
    <w:rsid w:val="00624584"/>
    <w:rsid w:val="0062460D"/>
    <w:rsid w:val="00624647"/>
    <w:rsid w:val="0062466B"/>
    <w:rsid w:val="006246C6"/>
    <w:rsid w:val="00624704"/>
    <w:rsid w:val="0062471E"/>
    <w:rsid w:val="00624753"/>
    <w:rsid w:val="00624774"/>
    <w:rsid w:val="006247A6"/>
    <w:rsid w:val="006247CA"/>
    <w:rsid w:val="0062483E"/>
    <w:rsid w:val="00624A51"/>
    <w:rsid w:val="00624A81"/>
    <w:rsid w:val="00624A9E"/>
    <w:rsid w:val="00624AAA"/>
    <w:rsid w:val="00624AE0"/>
    <w:rsid w:val="00624AF8"/>
    <w:rsid w:val="00624B04"/>
    <w:rsid w:val="00624B1C"/>
    <w:rsid w:val="00624B1F"/>
    <w:rsid w:val="00624BF4"/>
    <w:rsid w:val="00624C3A"/>
    <w:rsid w:val="00624CC4"/>
    <w:rsid w:val="00624D5E"/>
    <w:rsid w:val="00624D9F"/>
    <w:rsid w:val="00624DA2"/>
    <w:rsid w:val="00624DB9"/>
    <w:rsid w:val="00624DCB"/>
    <w:rsid w:val="00624E22"/>
    <w:rsid w:val="00624E57"/>
    <w:rsid w:val="00624EF6"/>
    <w:rsid w:val="00624F22"/>
    <w:rsid w:val="00624F60"/>
    <w:rsid w:val="00625006"/>
    <w:rsid w:val="00625017"/>
    <w:rsid w:val="006250D0"/>
    <w:rsid w:val="006250E7"/>
    <w:rsid w:val="006250E8"/>
    <w:rsid w:val="00625127"/>
    <w:rsid w:val="0062516D"/>
    <w:rsid w:val="0062518C"/>
    <w:rsid w:val="006251C0"/>
    <w:rsid w:val="00625215"/>
    <w:rsid w:val="0062531A"/>
    <w:rsid w:val="00625332"/>
    <w:rsid w:val="00625344"/>
    <w:rsid w:val="0062537A"/>
    <w:rsid w:val="006253FE"/>
    <w:rsid w:val="006254D8"/>
    <w:rsid w:val="006254DA"/>
    <w:rsid w:val="00625527"/>
    <w:rsid w:val="0062553B"/>
    <w:rsid w:val="00625664"/>
    <w:rsid w:val="00625687"/>
    <w:rsid w:val="006256D8"/>
    <w:rsid w:val="00625763"/>
    <w:rsid w:val="00625779"/>
    <w:rsid w:val="00625787"/>
    <w:rsid w:val="006257B1"/>
    <w:rsid w:val="0062586A"/>
    <w:rsid w:val="00625874"/>
    <w:rsid w:val="0062589A"/>
    <w:rsid w:val="0062589D"/>
    <w:rsid w:val="006258C3"/>
    <w:rsid w:val="006258D9"/>
    <w:rsid w:val="00625954"/>
    <w:rsid w:val="00625A50"/>
    <w:rsid w:val="00625A53"/>
    <w:rsid w:val="00625A67"/>
    <w:rsid w:val="00625AF2"/>
    <w:rsid w:val="00625AFD"/>
    <w:rsid w:val="00625B09"/>
    <w:rsid w:val="00625B18"/>
    <w:rsid w:val="00625B2F"/>
    <w:rsid w:val="00625BDE"/>
    <w:rsid w:val="00625C30"/>
    <w:rsid w:val="00625CE8"/>
    <w:rsid w:val="00625D29"/>
    <w:rsid w:val="00625DD2"/>
    <w:rsid w:val="00625E5D"/>
    <w:rsid w:val="00625E62"/>
    <w:rsid w:val="00625F50"/>
    <w:rsid w:val="00626009"/>
    <w:rsid w:val="006260B1"/>
    <w:rsid w:val="006260E1"/>
    <w:rsid w:val="00626162"/>
    <w:rsid w:val="006261F9"/>
    <w:rsid w:val="00626225"/>
    <w:rsid w:val="0062629F"/>
    <w:rsid w:val="006262ED"/>
    <w:rsid w:val="0062633F"/>
    <w:rsid w:val="00626379"/>
    <w:rsid w:val="0062639A"/>
    <w:rsid w:val="006263F3"/>
    <w:rsid w:val="0062647B"/>
    <w:rsid w:val="00626481"/>
    <w:rsid w:val="006264BC"/>
    <w:rsid w:val="006264ED"/>
    <w:rsid w:val="006265CC"/>
    <w:rsid w:val="006265D9"/>
    <w:rsid w:val="0062660A"/>
    <w:rsid w:val="00626692"/>
    <w:rsid w:val="006266C5"/>
    <w:rsid w:val="0062674C"/>
    <w:rsid w:val="00626787"/>
    <w:rsid w:val="00626788"/>
    <w:rsid w:val="006267B3"/>
    <w:rsid w:val="006267BF"/>
    <w:rsid w:val="006267C3"/>
    <w:rsid w:val="006267CC"/>
    <w:rsid w:val="006267EF"/>
    <w:rsid w:val="00626936"/>
    <w:rsid w:val="00626945"/>
    <w:rsid w:val="00626958"/>
    <w:rsid w:val="00626A1D"/>
    <w:rsid w:val="00626A30"/>
    <w:rsid w:val="00626A3A"/>
    <w:rsid w:val="00626A79"/>
    <w:rsid w:val="00626AAD"/>
    <w:rsid w:val="00626C32"/>
    <w:rsid w:val="00626C4B"/>
    <w:rsid w:val="00626C7C"/>
    <w:rsid w:val="00626C8C"/>
    <w:rsid w:val="00626C9D"/>
    <w:rsid w:val="00626CE2"/>
    <w:rsid w:val="00626CE3"/>
    <w:rsid w:val="00626D84"/>
    <w:rsid w:val="00626ECF"/>
    <w:rsid w:val="00626EED"/>
    <w:rsid w:val="00626F92"/>
    <w:rsid w:val="00626FAC"/>
    <w:rsid w:val="00626FBF"/>
    <w:rsid w:val="00627051"/>
    <w:rsid w:val="00627161"/>
    <w:rsid w:val="0062716E"/>
    <w:rsid w:val="00627182"/>
    <w:rsid w:val="00627187"/>
    <w:rsid w:val="006271E4"/>
    <w:rsid w:val="00627205"/>
    <w:rsid w:val="006272E6"/>
    <w:rsid w:val="0062730D"/>
    <w:rsid w:val="00627315"/>
    <w:rsid w:val="0062731B"/>
    <w:rsid w:val="006273D5"/>
    <w:rsid w:val="00627487"/>
    <w:rsid w:val="0062755F"/>
    <w:rsid w:val="00627740"/>
    <w:rsid w:val="0062774B"/>
    <w:rsid w:val="006277F8"/>
    <w:rsid w:val="0062784C"/>
    <w:rsid w:val="0062791E"/>
    <w:rsid w:val="0062794F"/>
    <w:rsid w:val="0062796C"/>
    <w:rsid w:val="006279CA"/>
    <w:rsid w:val="006279E0"/>
    <w:rsid w:val="006279F0"/>
    <w:rsid w:val="00627AAE"/>
    <w:rsid w:val="00627AFD"/>
    <w:rsid w:val="00627B07"/>
    <w:rsid w:val="00627B0A"/>
    <w:rsid w:val="00627BA0"/>
    <w:rsid w:val="00627C22"/>
    <w:rsid w:val="00627C54"/>
    <w:rsid w:val="00627D26"/>
    <w:rsid w:val="00627DA8"/>
    <w:rsid w:val="00627DBD"/>
    <w:rsid w:val="00627DEB"/>
    <w:rsid w:val="00627E4F"/>
    <w:rsid w:val="00627E73"/>
    <w:rsid w:val="00627E96"/>
    <w:rsid w:val="00627F24"/>
    <w:rsid w:val="00627FEB"/>
    <w:rsid w:val="00630030"/>
    <w:rsid w:val="00630088"/>
    <w:rsid w:val="00630097"/>
    <w:rsid w:val="006300B5"/>
    <w:rsid w:val="006300B7"/>
    <w:rsid w:val="006300FE"/>
    <w:rsid w:val="00630128"/>
    <w:rsid w:val="006301A5"/>
    <w:rsid w:val="006301EF"/>
    <w:rsid w:val="00630320"/>
    <w:rsid w:val="006303B1"/>
    <w:rsid w:val="00630428"/>
    <w:rsid w:val="0063048B"/>
    <w:rsid w:val="006304A0"/>
    <w:rsid w:val="006304D4"/>
    <w:rsid w:val="006304E7"/>
    <w:rsid w:val="00630522"/>
    <w:rsid w:val="00630532"/>
    <w:rsid w:val="00630548"/>
    <w:rsid w:val="006305A6"/>
    <w:rsid w:val="006305B6"/>
    <w:rsid w:val="006305BA"/>
    <w:rsid w:val="006305D6"/>
    <w:rsid w:val="006306B6"/>
    <w:rsid w:val="006306EB"/>
    <w:rsid w:val="0063074E"/>
    <w:rsid w:val="00630773"/>
    <w:rsid w:val="00630780"/>
    <w:rsid w:val="006307C2"/>
    <w:rsid w:val="0063086D"/>
    <w:rsid w:val="00630873"/>
    <w:rsid w:val="0063087D"/>
    <w:rsid w:val="00630927"/>
    <w:rsid w:val="0063093D"/>
    <w:rsid w:val="0063099F"/>
    <w:rsid w:val="00630AA8"/>
    <w:rsid w:val="00630B40"/>
    <w:rsid w:val="00630BAE"/>
    <w:rsid w:val="00630C63"/>
    <w:rsid w:val="00630C68"/>
    <w:rsid w:val="00630D06"/>
    <w:rsid w:val="00630E17"/>
    <w:rsid w:val="00630E71"/>
    <w:rsid w:val="00630EB3"/>
    <w:rsid w:val="00630F70"/>
    <w:rsid w:val="00630F84"/>
    <w:rsid w:val="00631037"/>
    <w:rsid w:val="00631055"/>
    <w:rsid w:val="0063108B"/>
    <w:rsid w:val="0063108D"/>
    <w:rsid w:val="006310FE"/>
    <w:rsid w:val="00631173"/>
    <w:rsid w:val="00631189"/>
    <w:rsid w:val="006311EA"/>
    <w:rsid w:val="0063127B"/>
    <w:rsid w:val="00631299"/>
    <w:rsid w:val="006312F3"/>
    <w:rsid w:val="00631367"/>
    <w:rsid w:val="00631398"/>
    <w:rsid w:val="006313E8"/>
    <w:rsid w:val="006313F2"/>
    <w:rsid w:val="00631489"/>
    <w:rsid w:val="006314B9"/>
    <w:rsid w:val="006314CE"/>
    <w:rsid w:val="00631550"/>
    <w:rsid w:val="00631568"/>
    <w:rsid w:val="00631698"/>
    <w:rsid w:val="006316B6"/>
    <w:rsid w:val="006316C2"/>
    <w:rsid w:val="00631723"/>
    <w:rsid w:val="00631748"/>
    <w:rsid w:val="00631761"/>
    <w:rsid w:val="0063178A"/>
    <w:rsid w:val="006317AA"/>
    <w:rsid w:val="006317F2"/>
    <w:rsid w:val="00631807"/>
    <w:rsid w:val="00631832"/>
    <w:rsid w:val="006318A7"/>
    <w:rsid w:val="006318A8"/>
    <w:rsid w:val="006318B7"/>
    <w:rsid w:val="00631A31"/>
    <w:rsid w:val="00631A48"/>
    <w:rsid w:val="00631A79"/>
    <w:rsid w:val="00631A82"/>
    <w:rsid w:val="00631B30"/>
    <w:rsid w:val="00631B32"/>
    <w:rsid w:val="00631B4D"/>
    <w:rsid w:val="00631BC5"/>
    <w:rsid w:val="00631BCD"/>
    <w:rsid w:val="00631BD7"/>
    <w:rsid w:val="00631BE2"/>
    <w:rsid w:val="00631C37"/>
    <w:rsid w:val="00631CA1"/>
    <w:rsid w:val="00631CC2"/>
    <w:rsid w:val="00631D23"/>
    <w:rsid w:val="00631DA3"/>
    <w:rsid w:val="00631E3C"/>
    <w:rsid w:val="00631F22"/>
    <w:rsid w:val="00631FAB"/>
    <w:rsid w:val="00631FBE"/>
    <w:rsid w:val="00632058"/>
    <w:rsid w:val="00632162"/>
    <w:rsid w:val="00632177"/>
    <w:rsid w:val="006322C1"/>
    <w:rsid w:val="006322D7"/>
    <w:rsid w:val="00632387"/>
    <w:rsid w:val="00632398"/>
    <w:rsid w:val="006323AA"/>
    <w:rsid w:val="006323D2"/>
    <w:rsid w:val="006323EA"/>
    <w:rsid w:val="006323EF"/>
    <w:rsid w:val="00632501"/>
    <w:rsid w:val="00632509"/>
    <w:rsid w:val="00632530"/>
    <w:rsid w:val="0063257C"/>
    <w:rsid w:val="00632595"/>
    <w:rsid w:val="0063270D"/>
    <w:rsid w:val="0063277C"/>
    <w:rsid w:val="0063281F"/>
    <w:rsid w:val="00632854"/>
    <w:rsid w:val="00632899"/>
    <w:rsid w:val="00632A00"/>
    <w:rsid w:val="00632A85"/>
    <w:rsid w:val="00632AA7"/>
    <w:rsid w:val="00632AAD"/>
    <w:rsid w:val="00632AF4"/>
    <w:rsid w:val="00632C2A"/>
    <w:rsid w:val="00632C53"/>
    <w:rsid w:val="00632CC9"/>
    <w:rsid w:val="00632D21"/>
    <w:rsid w:val="00632D28"/>
    <w:rsid w:val="00632D63"/>
    <w:rsid w:val="00632D8E"/>
    <w:rsid w:val="00632DDE"/>
    <w:rsid w:val="00632DF9"/>
    <w:rsid w:val="00632DFC"/>
    <w:rsid w:val="00632E0E"/>
    <w:rsid w:val="00632E37"/>
    <w:rsid w:val="00632EAB"/>
    <w:rsid w:val="00632EAD"/>
    <w:rsid w:val="00632EC2"/>
    <w:rsid w:val="00632EFC"/>
    <w:rsid w:val="00632F0F"/>
    <w:rsid w:val="00632F53"/>
    <w:rsid w:val="0063305E"/>
    <w:rsid w:val="006330C1"/>
    <w:rsid w:val="006330CF"/>
    <w:rsid w:val="00633132"/>
    <w:rsid w:val="00633148"/>
    <w:rsid w:val="00633155"/>
    <w:rsid w:val="00633192"/>
    <w:rsid w:val="006331CB"/>
    <w:rsid w:val="00633226"/>
    <w:rsid w:val="00633254"/>
    <w:rsid w:val="006332FE"/>
    <w:rsid w:val="0063331D"/>
    <w:rsid w:val="0063334D"/>
    <w:rsid w:val="00633379"/>
    <w:rsid w:val="00633382"/>
    <w:rsid w:val="006333A7"/>
    <w:rsid w:val="006333DD"/>
    <w:rsid w:val="006333FE"/>
    <w:rsid w:val="00633422"/>
    <w:rsid w:val="0063345A"/>
    <w:rsid w:val="0063354C"/>
    <w:rsid w:val="00633584"/>
    <w:rsid w:val="006335B1"/>
    <w:rsid w:val="00633608"/>
    <w:rsid w:val="00633671"/>
    <w:rsid w:val="006336FA"/>
    <w:rsid w:val="006337FC"/>
    <w:rsid w:val="00633850"/>
    <w:rsid w:val="006338BD"/>
    <w:rsid w:val="006339AF"/>
    <w:rsid w:val="006339C2"/>
    <w:rsid w:val="00633A9E"/>
    <w:rsid w:val="00633AE8"/>
    <w:rsid w:val="00633B89"/>
    <w:rsid w:val="00633BAE"/>
    <w:rsid w:val="00633BDD"/>
    <w:rsid w:val="00633BED"/>
    <w:rsid w:val="00633C18"/>
    <w:rsid w:val="00633CF1"/>
    <w:rsid w:val="00633D35"/>
    <w:rsid w:val="00633D68"/>
    <w:rsid w:val="00633D9A"/>
    <w:rsid w:val="00633DC7"/>
    <w:rsid w:val="00633DC9"/>
    <w:rsid w:val="00633DEC"/>
    <w:rsid w:val="00633DFC"/>
    <w:rsid w:val="00633E12"/>
    <w:rsid w:val="00633E61"/>
    <w:rsid w:val="00633E9B"/>
    <w:rsid w:val="00633EF5"/>
    <w:rsid w:val="00633F79"/>
    <w:rsid w:val="00633FDB"/>
    <w:rsid w:val="0063403E"/>
    <w:rsid w:val="006340FA"/>
    <w:rsid w:val="00634167"/>
    <w:rsid w:val="00634188"/>
    <w:rsid w:val="0063421F"/>
    <w:rsid w:val="0063422D"/>
    <w:rsid w:val="00634233"/>
    <w:rsid w:val="00634244"/>
    <w:rsid w:val="0063427E"/>
    <w:rsid w:val="00634357"/>
    <w:rsid w:val="0063439D"/>
    <w:rsid w:val="006343DD"/>
    <w:rsid w:val="00634474"/>
    <w:rsid w:val="0063448B"/>
    <w:rsid w:val="00634493"/>
    <w:rsid w:val="006344C6"/>
    <w:rsid w:val="006344D1"/>
    <w:rsid w:val="006344D5"/>
    <w:rsid w:val="00634583"/>
    <w:rsid w:val="006346AB"/>
    <w:rsid w:val="006346C9"/>
    <w:rsid w:val="006346D3"/>
    <w:rsid w:val="00634780"/>
    <w:rsid w:val="006347AB"/>
    <w:rsid w:val="006347D4"/>
    <w:rsid w:val="006347F9"/>
    <w:rsid w:val="0063485C"/>
    <w:rsid w:val="0063486F"/>
    <w:rsid w:val="006348A1"/>
    <w:rsid w:val="00634937"/>
    <w:rsid w:val="00634AF4"/>
    <w:rsid w:val="00634B31"/>
    <w:rsid w:val="00634B89"/>
    <w:rsid w:val="00634CA3"/>
    <w:rsid w:val="00634CB0"/>
    <w:rsid w:val="00634CF0"/>
    <w:rsid w:val="00634CFE"/>
    <w:rsid w:val="00634D4E"/>
    <w:rsid w:val="00634D93"/>
    <w:rsid w:val="00634E00"/>
    <w:rsid w:val="00634EA1"/>
    <w:rsid w:val="00634EEC"/>
    <w:rsid w:val="00634F86"/>
    <w:rsid w:val="00634FA0"/>
    <w:rsid w:val="00635052"/>
    <w:rsid w:val="006350C6"/>
    <w:rsid w:val="00635108"/>
    <w:rsid w:val="0063516B"/>
    <w:rsid w:val="006351A5"/>
    <w:rsid w:val="0063520B"/>
    <w:rsid w:val="006352BF"/>
    <w:rsid w:val="006352C0"/>
    <w:rsid w:val="006352D5"/>
    <w:rsid w:val="006352EE"/>
    <w:rsid w:val="006352FB"/>
    <w:rsid w:val="006352FD"/>
    <w:rsid w:val="00635376"/>
    <w:rsid w:val="0063538E"/>
    <w:rsid w:val="00635403"/>
    <w:rsid w:val="0063540C"/>
    <w:rsid w:val="00635472"/>
    <w:rsid w:val="006354CE"/>
    <w:rsid w:val="006355A7"/>
    <w:rsid w:val="006355BF"/>
    <w:rsid w:val="006355E4"/>
    <w:rsid w:val="0063562D"/>
    <w:rsid w:val="00635630"/>
    <w:rsid w:val="0063569F"/>
    <w:rsid w:val="0063571A"/>
    <w:rsid w:val="00635755"/>
    <w:rsid w:val="006357BB"/>
    <w:rsid w:val="006357E5"/>
    <w:rsid w:val="00635868"/>
    <w:rsid w:val="006358E2"/>
    <w:rsid w:val="006359D3"/>
    <w:rsid w:val="006359E9"/>
    <w:rsid w:val="00635A46"/>
    <w:rsid w:val="00635A64"/>
    <w:rsid w:val="00635AF7"/>
    <w:rsid w:val="00635D08"/>
    <w:rsid w:val="00635D3C"/>
    <w:rsid w:val="00635E28"/>
    <w:rsid w:val="00635F02"/>
    <w:rsid w:val="00635F52"/>
    <w:rsid w:val="00635FA0"/>
    <w:rsid w:val="00636091"/>
    <w:rsid w:val="006360E8"/>
    <w:rsid w:val="00636148"/>
    <w:rsid w:val="00636159"/>
    <w:rsid w:val="00636187"/>
    <w:rsid w:val="0063623D"/>
    <w:rsid w:val="0063626D"/>
    <w:rsid w:val="0063631D"/>
    <w:rsid w:val="00636384"/>
    <w:rsid w:val="006363CE"/>
    <w:rsid w:val="006363D6"/>
    <w:rsid w:val="0063640E"/>
    <w:rsid w:val="00636424"/>
    <w:rsid w:val="0063644F"/>
    <w:rsid w:val="00636465"/>
    <w:rsid w:val="0063648A"/>
    <w:rsid w:val="00636540"/>
    <w:rsid w:val="0063658F"/>
    <w:rsid w:val="006365A1"/>
    <w:rsid w:val="00636620"/>
    <w:rsid w:val="00636623"/>
    <w:rsid w:val="006366B9"/>
    <w:rsid w:val="0063672B"/>
    <w:rsid w:val="0063672D"/>
    <w:rsid w:val="00636803"/>
    <w:rsid w:val="00636910"/>
    <w:rsid w:val="00636A01"/>
    <w:rsid w:val="00636A8B"/>
    <w:rsid w:val="00636A8F"/>
    <w:rsid w:val="00636AD1"/>
    <w:rsid w:val="00636B21"/>
    <w:rsid w:val="00636B4A"/>
    <w:rsid w:val="00636B51"/>
    <w:rsid w:val="00636BF0"/>
    <w:rsid w:val="00636C8F"/>
    <w:rsid w:val="00636D06"/>
    <w:rsid w:val="00636D35"/>
    <w:rsid w:val="00636D5A"/>
    <w:rsid w:val="00636D87"/>
    <w:rsid w:val="00636DB9"/>
    <w:rsid w:val="00636EF1"/>
    <w:rsid w:val="00636EF4"/>
    <w:rsid w:val="00636F68"/>
    <w:rsid w:val="00636F6E"/>
    <w:rsid w:val="00636F98"/>
    <w:rsid w:val="0063708B"/>
    <w:rsid w:val="006370F8"/>
    <w:rsid w:val="00637120"/>
    <w:rsid w:val="00637151"/>
    <w:rsid w:val="00637208"/>
    <w:rsid w:val="00637227"/>
    <w:rsid w:val="00637229"/>
    <w:rsid w:val="0063722E"/>
    <w:rsid w:val="0063725C"/>
    <w:rsid w:val="00637319"/>
    <w:rsid w:val="006373CE"/>
    <w:rsid w:val="006373DB"/>
    <w:rsid w:val="00637422"/>
    <w:rsid w:val="0063746D"/>
    <w:rsid w:val="0063746E"/>
    <w:rsid w:val="006374BB"/>
    <w:rsid w:val="006374C4"/>
    <w:rsid w:val="00637521"/>
    <w:rsid w:val="00637594"/>
    <w:rsid w:val="006375F5"/>
    <w:rsid w:val="006376A2"/>
    <w:rsid w:val="0063774E"/>
    <w:rsid w:val="00637788"/>
    <w:rsid w:val="0063779A"/>
    <w:rsid w:val="00637892"/>
    <w:rsid w:val="006378B9"/>
    <w:rsid w:val="006378CA"/>
    <w:rsid w:val="00637974"/>
    <w:rsid w:val="006379AF"/>
    <w:rsid w:val="00637A1A"/>
    <w:rsid w:val="00637A81"/>
    <w:rsid w:val="00637B41"/>
    <w:rsid w:val="00637BF3"/>
    <w:rsid w:val="00637C16"/>
    <w:rsid w:val="00637CBF"/>
    <w:rsid w:val="00637D04"/>
    <w:rsid w:val="00637D15"/>
    <w:rsid w:val="00637D72"/>
    <w:rsid w:val="00637E1C"/>
    <w:rsid w:val="00637E4C"/>
    <w:rsid w:val="00637E85"/>
    <w:rsid w:val="00637EB4"/>
    <w:rsid w:val="00637F70"/>
    <w:rsid w:val="00640043"/>
    <w:rsid w:val="00640183"/>
    <w:rsid w:val="00640188"/>
    <w:rsid w:val="006401E6"/>
    <w:rsid w:val="006401FF"/>
    <w:rsid w:val="00640205"/>
    <w:rsid w:val="0064021B"/>
    <w:rsid w:val="0064023C"/>
    <w:rsid w:val="006402E3"/>
    <w:rsid w:val="0064033C"/>
    <w:rsid w:val="00640371"/>
    <w:rsid w:val="00640377"/>
    <w:rsid w:val="006403F3"/>
    <w:rsid w:val="00640434"/>
    <w:rsid w:val="00640440"/>
    <w:rsid w:val="006404E6"/>
    <w:rsid w:val="00640500"/>
    <w:rsid w:val="0064057F"/>
    <w:rsid w:val="0064058B"/>
    <w:rsid w:val="00640590"/>
    <w:rsid w:val="0064065E"/>
    <w:rsid w:val="00640682"/>
    <w:rsid w:val="006406AC"/>
    <w:rsid w:val="0064077B"/>
    <w:rsid w:val="00640810"/>
    <w:rsid w:val="006408D9"/>
    <w:rsid w:val="00640909"/>
    <w:rsid w:val="0064093F"/>
    <w:rsid w:val="006409E9"/>
    <w:rsid w:val="006409F7"/>
    <w:rsid w:val="00640A1B"/>
    <w:rsid w:val="00640A49"/>
    <w:rsid w:val="00640B00"/>
    <w:rsid w:val="00640B62"/>
    <w:rsid w:val="00640B79"/>
    <w:rsid w:val="00640BA7"/>
    <w:rsid w:val="00640BA8"/>
    <w:rsid w:val="00640BB8"/>
    <w:rsid w:val="00640BC2"/>
    <w:rsid w:val="00640BE1"/>
    <w:rsid w:val="00640BED"/>
    <w:rsid w:val="00640BF8"/>
    <w:rsid w:val="00640C31"/>
    <w:rsid w:val="00640C34"/>
    <w:rsid w:val="00640CD7"/>
    <w:rsid w:val="00640CE2"/>
    <w:rsid w:val="00640D49"/>
    <w:rsid w:val="00640D95"/>
    <w:rsid w:val="00640DA5"/>
    <w:rsid w:val="00640E69"/>
    <w:rsid w:val="00640E84"/>
    <w:rsid w:val="00640E9A"/>
    <w:rsid w:val="00640F23"/>
    <w:rsid w:val="00640F9F"/>
    <w:rsid w:val="00641013"/>
    <w:rsid w:val="00641074"/>
    <w:rsid w:val="0064110D"/>
    <w:rsid w:val="0064114F"/>
    <w:rsid w:val="00641163"/>
    <w:rsid w:val="006411C7"/>
    <w:rsid w:val="006411E7"/>
    <w:rsid w:val="00641250"/>
    <w:rsid w:val="006412A2"/>
    <w:rsid w:val="0064134C"/>
    <w:rsid w:val="0064143C"/>
    <w:rsid w:val="0064145C"/>
    <w:rsid w:val="00641460"/>
    <w:rsid w:val="00641465"/>
    <w:rsid w:val="006414AE"/>
    <w:rsid w:val="006414B8"/>
    <w:rsid w:val="006414EB"/>
    <w:rsid w:val="006414EC"/>
    <w:rsid w:val="0064156D"/>
    <w:rsid w:val="00641577"/>
    <w:rsid w:val="00641580"/>
    <w:rsid w:val="006415DB"/>
    <w:rsid w:val="006415E7"/>
    <w:rsid w:val="00641707"/>
    <w:rsid w:val="006417F3"/>
    <w:rsid w:val="00641813"/>
    <w:rsid w:val="0064189F"/>
    <w:rsid w:val="006418C3"/>
    <w:rsid w:val="006418C9"/>
    <w:rsid w:val="006418E2"/>
    <w:rsid w:val="0064190F"/>
    <w:rsid w:val="00641927"/>
    <w:rsid w:val="0064197B"/>
    <w:rsid w:val="00641985"/>
    <w:rsid w:val="00641A5D"/>
    <w:rsid w:val="00641A84"/>
    <w:rsid w:val="00641AA9"/>
    <w:rsid w:val="00641ACB"/>
    <w:rsid w:val="00641AF4"/>
    <w:rsid w:val="00641B35"/>
    <w:rsid w:val="00641B52"/>
    <w:rsid w:val="00641B65"/>
    <w:rsid w:val="00641B7F"/>
    <w:rsid w:val="00641C20"/>
    <w:rsid w:val="00641C3D"/>
    <w:rsid w:val="00641C48"/>
    <w:rsid w:val="00641C6C"/>
    <w:rsid w:val="00641CD3"/>
    <w:rsid w:val="00641D42"/>
    <w:rsid w:val="00641D4A"/>
    <w:rsid w:val="00641DA7"/>
    <w:rsid w:val="00641DB4"/>
    <w:rsid w:val="00641DB5"/>
    <w:rsid w:val="00641DF0"/>
    <w:rsid w:val="00641E2F"/>
    <w:rsid w:val="00641F22"/>
    <w:rsid w:val="00641F48"/>
    <w:rsid w:val="00641F4F"/>
    <w:rsid w:val="00641F51"/>
    <w:rsid w:val="00641F76"/>
    <w:rsid w:val="00641F9A"/>
    <w:rsid w:val="00641FBA"/>
    <w:rsid w:val="0064204C"/>
    <w:rsid w:val="006420B3"/>
    <w:rsid w:val="006420C4"/>
    <w:rsid w:val="00642144"/>
    <w:rsid w:val="00642184"/>
    <w:rsid w:val="0064218F"/>
    <w:rsid w:val="006421F5"/>
    <w:rsid w:val="00642259"/>
    <w:rsid w:val="00642272"/>
    <w:rsid w:val="0064227E"/>
    <w:rsid w:val="006422A4"/>
    <w:rsid w:val="006422D3"/>
    <w:rsid w:val="006422D8"/>
    <w:rsid w:val="006422EC"/>
    <w:rsid w:val="006422F0"/>
    <w:rsid w:val="006423B1"/>
    <w:rsid w:val="00642442"/>
    <w:rsid w:val="00642475"/>
    <w:rsid w:val="0064251F"/>
    <w:rsid w:val="00642540"/>
    <w:rsid w:val="0064254D"/>
    <w:rsid w:val="0064257E"/>
    <w:rsid w:val="006425A4"/>
    <w:rsid w:val="006425D8"/>
    <w:rsid w:val="0064267D"/>
    <w:rsid w:val="006426A9"/>
    <w:rsid w:val="00642782"/>
    <w:rsid w:val="00642797"/>
    <w:rsid w:val="006427C8"/>
    <w:rsid w:val="00642800"/>
    <w:rsid w:val="00642804"/>
    <w:rsid w:val="00642903"/>
    <w:rsid w:val="00642950"/>
    <w:rsid w:val="006429B4"/>
    <w:rsid w:val="006429BE"/>
    <w:rsid w:val="006429DD"/>
    <w:rsid w:val="00642B1C"/>
    <w:rsid w:val="00642B81"/>
    <w:rsid w:val="00642B96"/>
    <w:rsid w:val="00642C23"/>
    <w:rsid w:val="00642C31"/>
    <w:rsid w:val="00642C32"/>
    <w:rsid w:val="00642C4D"/>
    <w:rsid w:val="00642C82"/>
    <w:rsid w:val="00642CA7"/>
    <w:rsid w:val="00642CB3"/>
    <w:rsid w:val="00642CDF"/>
    <w:rsid w:val="00642D4C"/>
    <w:rsid w:val="00642D5A"/>
    <w:rsid w:val="00642D7F"/>
    <w:rsid w:val="00642D94"/>
    <w:rsid w:val="00642EA2"/>
    <w:rsid w:val="00642EE9"/>
    <w:rsid w:val="00642F9B"/>
    <w:rsid w:val="00642FB5"/>
    <w:rsid w:val="00643017"/>
    <w:rsid w:val="00643036"/>
    <w:rsid w:val="00643045"/>
    <w:rsid w:val="00643053"/>
    <w:rsid w:val="00643073"/>
    <w:rsid w:val="006430E7"/>
    <w:rsid w:val="006430E9"/>
    <w:rsid w:val="006430F8"/>
    <w:rsid w:val="00643146"/>
    <w:rsid w:val="00643203"/>
    <w:rsid w:val="0064323D"/>
    <w:rsid w:val="0064323E"/>
    <w:rsid w:val="006432AC"/>
    <w:rsid w:val="006432E7"/>
    <w:rsid w:val="006433C6"/>
    <w:rsid w:val="0064346B"/>
    <w:rsid w:val="0064350E"/>
    <w:rsid w:val="0064355A"/>
    <w:rsid w:val="006435AA"/>
    <w:rsid w:val="006435BC"/>
    <w:rsid w:val="006435E4"/>
    <w:rsid w:val="00643675"/>
    <w:rsid w:val="006436E3"/>
    <w:rsid w:val="0064373E"/>
    <w:rsid w:val="006437E6"/>
    <w:rsid w:val="006438BE"/>
    <w:rsid w:val="0064399C"/>
    <w:rsid w:val="006439F5"/>
    <w:rsid w:val="00643A18"/>
    <w:rsid w:val="00643A32"/>
    <w:rsid w:val="00643AB3"/>
    <w:rsid w:val="00643AEE"/>
    <w:rsid w:val="00643B66"/>
    <w:rsid w:val="00643B8E"/>
    <w:rsid w:val="00643BB3"/>
    <w:rsid w:val="00643BF0"/>
    <w:rsid w:val="00643C64"/>
    <w:rsid w:val="00643CDF"/>
    <w:rsid w:val="00643E1D"/>
    <w:rsid w:val="00643E20"/>
    <w:rsid w:val="00643EBD"/>
    <w:rsid w:val="00643EC1"/>
    <w:rsid w:val="00643EC7"/>
    <w:rsid w:val="00643EE2"/>
    <w:rsid w:val="00643EF3"/>
    <w:rsid w:val="00643F22"/>
    <w:rsid w:val="00643F78"/>
    <w:rsid w:val="00643F9A"/>
    <w:rsid w:val="00644034"/>
    <w:rsid w:val="00644082"/>
    <w:rsid w:val="006440CC"/>
    <w:rsid w:val="0064413C"/>
    <w:rsid w:val="00644166"/>
    <w:rsid w:val="0064418B"/>
    <w:rsid w:val="006441D5"/>
    <w:rsid w:val="006441F1"/>
    <w:rsid w:val="00644225"/>
    <w:rsid w:val="00644262"/>
    <w:rsid w:val="00644267"/>
    <w:rsid w:val="006442A1"/>
    <w:rsid w:val="0064443E"/>
    <w:rsid w:val="00644454"/>
    <w:rsid w:val="00644465"/>
    <w:rsid w:val="006444AB"/>
    <w:rsid w:val="006444F8"/>
    <w:rsid w:val="00644508"/>
    <w:rsid w:val="0064455E"/>
    <w:rsid w:val="00644570"/>
    <w:rsid w:val="00644584"/>
    <w:rsid w:val="006445C5"/>
    <w:rsid w:val="006446AC"/>
    <w:rsid w:val="006446C0"/>
    <w:rsid w:val="006446ED"/>
    <w:rsid w:val="00644700"/>
    <w:rsid w:val="00644706"/>
    <w:rsid w:val="00644716"/>
    <w:rsid w:val="0064471B"/>
    <w:rsid w:val="0064477C"/>
    <w:rsid w:val="00644805"/>
    <w:rsid w:val="00644870"/>
    <w:rsid w:val="00644877"/>
    <w:rsid w:val="00644885"/>
    <w:rsid w:val="006448D0"/>
    <w:rsid w:val="006448EE"/>
    <w:rsid w:val="00644908"/>
    <w:rsid w:val="0064490F"/>
    <w:rsid w:val="00644940"/>
    <w:rsid w:val="00644957"/>
    <w:rsid w:val="0064495E"/>
    <w:rsid w:val="0064499F"/>
    <w:rsid w:val="006449C6"/>
    <w:rsid w:val="006449E4"/>
    <w:rsid w:val="00644A07"/>
    <w:rsid w:val="00644A60"/>
    <w:rsid w:val="00644B12"/>
    <w:rsid w:val="00644B67"/>
    <w:rsid w:val="00644B87"/>
    <w:rsid w:val="00644B99"/>
    <w:rsid w:val="00644BD5"/>
    <w:rsid w:val="00644BFD"/>
    <w:rsid w:val="00644C12"/>
    <w:rsid w:val="00644C2A"/>
    <w:rsid w:val="00644C53"/>
    <w:rsid w:val="00644D04"/>
    <w:rsid w:val="00644DAD"/>
    <w:rsid w:val="00644DDD"/>
    <w:rsid w:val="00644DF1"/>
    <w:rsid w:val="00644DF8"/>
    <w:rsid w:val="00644E48"/>
    <w:rsid w:val="00644ED0"/>
    <w:rsid w:val="00644F4D"/>
    <w:rsid w:val="00644FA2"/>
    <w:rsid w:val="00644FC2"/>
    <w:rsid w:val="00644FCC"/>
    <w:rsid w:val="00645001"/>
    <w:rsid w:val="00645014"/>
    <w:rsid w:val="0064501A"/>
    <w:rsid w:val="00645032"/>
    <w:rsid w:val="00645075"/>
    <w:rsid w:val="00645077"/>
    <w:rsid w:val="0064510B"/>
    <w:rsid w:val="00645121"/>
    <w:rsid w:val="006451FA"/>
    <w:rsid w:val="0064522E"/>
    <w:rsid w:val="0064525F"/>
    <w:rsid w:val="0064529C"/>
    <w:rsid w:val="006453D6"/>
    <w:rsid w:val="00645433"/>
    <w:rsid w:val="0064549C"/>
    <w:rsid w:val="006454BA"/>
    <w:rsid w:val="006454D4"/>
    <w:rsid w:val="0064551D"/>
    <w:rsid w:val="0064552E"/>
    <w:rsid w:val="0064556E"/>
    <w:rsid w:val="00645570"/>
    <w:rsid w:val="00645601"/>
    <w:rsid w:val="0064562A"/>
    <w:rsid w:val="00645641"/>
    <w:rsid w:val="00645651"/>
    <w:rsid w:val="00645663"/>
    <w:rsid w:val="00645741"/>
    <w:rsid w:val="0064575F"/>
    <w:rsid w:val="00645772"/>
    <w:rsid w:val="00645782"/>
    <w:rsid w:val="00645789"/>
    <w:rsid w:val="00645879"/>
    <w:rsid w:val="0064588C"/>
    <w:rsid w:val="006459B0"/>
    <w:rsid w:val="00645A1A"/>
    <w:rsid w:val="00645A4A"/>
    <w:rsid w:val="00645AC3"/>
    <w:rsid w:val="00645B1F"/>
    <w:rsid w:val="00645B49"/>
    <w:rsid w:val="00645B98"/>
    <w:rsid w:val="00645BE3"/>
    <w:rsid w:val="00645BF7"/>
    <w:rsid w:val="00645CB1"/>
    <w:rsid w:val="00645CD1"/>
    <w:rsid w:val="00645D23"/>
    <w:rsid w:val="00645DCF"/>
    <w:rsid w:val="00645DEE"/>
    <w:rsid w:val="00645E3B"/>
    <w:rsid w:val="00645EFF"/>
    <w:rsid w:val="00645FA8"/>
    <w:rsid w:val="00646039"/>
    <w:rsid w:val="00646142"/>
    <w:rsid w:val="006461A3"/>
    <w:rsid w:val="006461D1"/>
    <w:rsid w:val="00646208"/>
    <w:rsid w:val="00646214"/>
    <w:rsid w:val="00646226"/>
    <w:rsid w:val="0064628E"/>
    <w:rsid w:val="00646315"/>
    <w:rsid w:val="00646323"/>
    <w:rsid w:val="0064636D"/>
    <w:rsid w:val="0064637F"/>
    <w:rsid w:val="00646392"/>
    <w:rsid w:val="006463B1"/>
    <w:rsid w:val="006463EC"/>
    <w:rsid w:val="0064642E"/>
    <w:rsid w:val="006464F1"/>
    <w:rsid w:val="0064657E"/>
    <w:rsid w:val="00646587"/>
    <w:rsid w:val="0064658D"/>
    <w:rsid w:val="0064660D"/>
    <w:rsid w:val="00646656"/>
    <w:rsid w:val="0064665F"/>
    <w:rsid w:val="00646679"/>
    <w:rsid w:val="0064667A"/>
    <w:rsid w:val="006466A3"/>
    <w:rsid w:val="00646755"/>
    <w:rsid w:val="0064677F"/>
    <w:rsid w:val="00646840"/>
    <w:rsid w:val="00646858"/>
    <w:rsid w:val="00646872"/>
    <w:rsid w:val="00646896"/>
    <w:rsid w:val="006468CE"/>
    <w:rsid w:val="00646908"/>
    <w:rsid w:val="006469CC"/>
    <w:rsid w:val="006469D4"/>
    <w:rsid w:val="006469F0"/>
    <w:rsid w:val="00646A06"/>
    <w:rsid w:val="00646A13"/>
    <w:rsid w:val="00646A66"/>
    <w:rsid w:val="00646B69"/>
    <w:rsid w:val="00646C30"/>
    <w:rsid w:val="00646C48"/>
    <w:rsid w:val="00646D33"/>
    <w:rsid w:val="00646D39"/>
    <w:rsid w:val="00646D94"/>
    <w:rsid w:val="00646D9D"/>
    <w:rsid w:val="00646DC0"/>
    <w:rsid w:val="00646DC7"/>
    <w:rsid w:val="00646DD5"/>
    <w:rsid w:val="00646E32"/>
    <w:rsid w:val="00646E7E"/>
    <w:rsid w:val="00646E9D"/>
    <w:rsid w:val="00646F48"/>
    <w:rsid w:val="00646F8C"/>
    <w:rsid w:val="00646FCB"/>
    <w:rsid w:val="00646FEF"/>
    <w:rsid w:val="00647003"/>
    <w:rsid w:val="00647006"/>
    <w:rsid w:val="006470DD"/>
    <w:rsid w:val="00647110"/>
    <w:rsid w:val="0064714A"/>
    <w:rsid w:val="006471FC"/>
    <w:rsid w:val="0064720F"/>
    <w:rsid w:val="00647234"/>
    <w:rsid w:val="0064729A"/>
    <w:rsid w:val="0064729E"/>
    <w:rsid w:val="006472E1"/>
    <w:rsid w:val="006472E6"/>
    <w:rsid w:val="0064730D"/>
    <w:rsid w:val="006473D6"/>
    <w:rsid w:val="0064740C"/>
    <w:rsid w:val="006474FE"/>
    <w:rsid w:val="00647517"/>
    <w:rsid w:val="0064757F"/>
    <w:rsid w:val="00647736"/>
    <w:rsid w:val="006477BF"/>
    <w:rsid w:val="006477E6"/>
    <w:rsid w:val="00647812"/>
    <w:rsid w:val="0064788A"/>
    <w:rsid w:val="0064788F"/>
    <w:rsid w:val="006478C9"/>
    <w:rsid w:val="006478DF"/>
    <w:rsid w:val="006478F6"/>
    <w:rsid w:val="006478F9"/>
    <w:rsid w:val="006479EC"/>
    <w:rsid w:val="00647A50"/>
    <w:rsid w:val="00647A52"/>
    <w:rsid w:val="00647A7B"/>
    <w:rsid w:val="00647A90"/>
    <w:rsid w:val="00647AB7"/>
    <w:rsid w:val="00647B25"/>
    <w:rsid w:val="00647B6D"/>
    <w:rsid w:val="00647BBC"/>
    <w:rsid w:val="00647BE3"/>
    <w:rsid w:val="00647BF5"/>
    <w:rsid w:val="00647C72"/>
    <w:rsid w:val="00647CA4"/>
    <w:rsid w:val="00647CD1"/>
    <w:rsid w:val="00647D0F"/>
    <w:rsid w:val="00647D4F"/>
    <w:rsid w:val="00647D87"/>
    <w:rsid w:val="00647DB9"/>
    <w:rsid w:val="00647DF9"/>
    <w:rsid w:val="00647E14"/>
    <w:rsid w:val="00647E6C"/>
    <w:rsid w:val="00647EA1"/>
    <w:rsid w:val="00647F5B"/>
    <w:rsid w:val="00647FA9"/>
    <w:rsid w:val="00650058"/>
    <w:rsid w:val="00650075"/>
    <w:rsid w:val="00650097"/>
    <w:rsid w:val="00650106"/>
    <w:rsid w:val="0065022F"/>
    <w:rsid w:val="00650230"/>
    <w:rsid w:val="00650249"/>
    <w:rsid w:val="006502CA"/>
    <w:rsid w:val="0065032C"/>
    <w:rsid w:val="00650392"/>
    <w:rsid w:val="0065042A"/>
    <w:rsid w:val="00650453"/>
    <w:rsid w:val="00650466"/>
    <w:rsid w:val="00650495"/>
    <w:rsid w:val="006504A5"/>
    <w:rsid w:val="006504D9"/>
    <w:rsid w:val="006504E5"/>
    <w:rsid w:val="00650548"/>
    <w:rsid w:val="006505AE"/>
    <w:rsid w:val="006505B3"/>
    <w:rsid w:val="006505C5"/>
    <w:rsid w:val="006505D5"/>
    <w:rsid w:val="006505E9"/>
    <w:rsid w:val="0065069D"/>
    <w:rsid w:val="006506B7"/>
    <w:rsid w:val="0065087C"/>
    <w:rsid w:val="00650920"/>
    <w:rsid w:val="006509D2"/>
    <w:rsid w:val="006509E9"/>
    <w:rsid w:val="006509FC"/>
    <w:rsid w:val="00650A5F"/>
    <w:rsid w:val="00650B00"/>
    <w:rsid w:val="00650C77"/>
    <w:rsid w:val="00650C8B"/>
    <w:rsid w:val="00650C96"/>
    <w:rsid w:val="00650CD2"/>
    <w:rsid w:val="00650D17"/>
    <w:rsid w:val="00650DB9"/>
    <w:rsid w:val="00650DEE"/>
    <w:rsid w:val="00650DF5"/>
    <w:rsid w:val="00650E00"/>
    <w:rsid w:val="00650E46"/>
    <w:rsid w:val="00650EFE"/>
    <w:rsid w:val="00651094"/>
    <w:rsid w:val="006510C2"/>
    <w:rsid w:val="006510FE"/>
    <w:rsid w:val="00651163"/>
    <w:rsid w:val="00651196"/>
    <w:rsid w:val="006511E3"/>
    <w:rsid w:val="00651290"/>
    <w:rsid w:val="00651292"/>
    <w:rsid w:val="006512CA"/>
    <w:rsid w:val="006512CC"/>
    <w:rsid w:val="0065133E"/>
    <w:rsid w:val="0065138A"/>
    <w:rsid w:val="006513B8"/>
    <w:rsid w:val="00651409"/>
    <w:rsid w:val="0065147B"/>
    <w:rsid w:val="0065151F"/>
    <w:rsid w:val="00651534"/>
    <w:rsid w:val="00651555"/>
    <w:rsid w:val="006515A3"/>
    <w:rsid w:val="006515B6"/>
    <w:rsid w:val="006515CE"/>
    <w:rsid w:val="00651615"/>
    <w:rsid w:val="006516DB"/>
    <w:rsid w:val="006516F3"/>
    <w:rsid w:val="00651776"/>
    <w:rsid w:val="006517C3"/>
    <w:rsid w:val="00651800"/>
    <w:rsid w:val="0065182C"/>
    <w:rsid w:val="0065184A"/>
    <w:rsid w:val="00651853"/>
    <w:rsid w:val="00651854"/>
    <w:rsid w:val="0065185A"/>
    <w:rsid w:val="006518BE"/>
    <w:rsid w:val="00651920"/>
    <w:rsid w:val="0065192E"/>
    <w:rsid w:val="00651A6C"/>
    <w:rsid w:val="00651AB0"/>
    <w:rsid w:val="00651B34"/>
    <w:rsid w:val="00651B56"/>
    <w:rsid w:val="00651B85"/>
    <w:rsid w:val="00651BB1"/>
    <w:rsid w:val="00651D0D"/>
    <w:rsid w:val="00651DE4"/>
    <w:rsid w:val="00651DF8"/>
    <w:rsid w:val="00651E9D"/>
    <w:rsid w:val="00651EA8"/>
    <w:rsid w:val="00651F0D"/>
    <w:rsid w:val="00651F35"/>
    <w:rsid w:val="00651FC0"/>
    <w:rsid w:val="0065205C"/>
    <w:rsid w:val="006520AF"/>
    <w:rsid w:val="006520B3"/>
    <w:rsid w:val="006520BD"/>
    <w:rsid w:val="00652117"/>
    <w:rsid w:val="00652185"/>
    <w:rsid w:val="00652193"/>
    <w:rsid w:val="0065222C"/>
    <w:rsid w:val="00652252"/>
    <w:rsid w:val="006522CD"/>
    <w:rsid w:val="00652310"/>
    <w:rsid w:val="00652316"/>
    <w:rsid w:val="00652360"/>
    <w:rsid w:val="006523AD"/>
    <w:rsid w:val="006523AE"/>
    <w:rsid w:val="006523E7"/>
    <w:rsid w:val="0065240B"/>
    <w:rsid w:val="00652442"/>
    <w:rsid w:val="00652483"/>
    <w:rsid w:val="006524B3"/>
    <w:rsid w:val="00652617"/>
    <w:rsid w:val="00652650"/>
    <w:rsid w:val="00652715"/>
    <w:rsid w:val="00652813"/>
    <w:rsid w:val="00652837"/>
    <w:rsid w:val="0065283D"/>
    <w:rsid w:val="0065289B"/>
    <w:rsid w:val="00652917"/>
    <w:rsid w:val="006529BE"/>
    <w:rsid w:val="006529E5"/>
    <w:rsid w:val="00652A17"/>
    <w:rsid w:val="00652A4B"/>
    <w:rsid w:val="00652AB1"/>
    <w:rsid w:val="00652B8A"/>
    <w:rsid w:val="00652B8F"/>
    <w:rsid w:val="00652C1F"/>
    <w:rsid w:val="00652C7F"/>
    <w:rsid w:val="00652C80"/>
    <w:rsid w:val="00652C92"/>
    <w:rsid w:val="00652C9B"/>
    <w:rsid w:val="00652CC9"/>
    <w:rsid w:val="00652CCA"/>
    <w:rsid w:val="00652CD1"/>
    <w:rsid w:val="00652CED"/>
    <w:rsid w:val="00652D22"/>
    <w:rsid w:val="00652D85"/>
    <w:rsid w:val="00652DA7"/>
    <w:rsid w:val="00652DBE"/>
    <w:rsid w:val="00652E17"/>
    <w:rsid w:val="00652E35"/>
    <w:rsid w:val="00652E8A"/>
    <w:rsid w:val="00652ED7"/>
    <w:rsid w:val="00652F83"/>
    <w:rsid w:val="00652FCF"/>
    <w:rsid w:val="00653050"/>
    <w:rsid w:val="00653051"/>
    <w:rsid w:val="00653056"/>
    <w:rsid w:val="006531C4"/>
    <w:rsid w:val="00653225"/>
    <w:rsid w:val="00653235"/>
    <w:rsid w:val="00653282"/>
    <w:rsid w:val="006533AF"/>
    <w:rsid w:val="006533C4"/>
    <w:rsid w:val="006533E8"/>
    <w:rsid w:val="00653402"/>
    <w:rsid w:val="0065349F"/>
    <w:rsid w:val="00653508"/>
    <w:rsid w:val="00653569"/>
    <w:rsid w:val="006535A9"/>
    <w:rsid w:val="006535B4"/>
    <w:rsid w:val="006535DF"/>
    <w:rsid w:val="006535F6"/>
    <w:rsid w:val="0065364A"/>
    <w:rsid w:val="00653748"/>
    <w:rsid w:val="00653755"/>
    <w:rsid w:val="0065381E"/>
    <w:rsid w:val="0065382A"/>
    <w:rsid w:val="00653876"/>
    <w:rsid w:val="006538DF"/>
    <w:rsid w:val="006538E2"/>
    <w:rsid w:val="006538F3"/>
    <w:rsid w:val="006539B7"/>
    <w:rsid w:val="00653A07"/>
    <w:rsid w:val="00653A13"/>
    <w:rsid w:val="00653A35"/>
    <w:rsid w:val="00653AC4"/>
    <w:rsid w:val="00653C0C"/>
    <w:rsid w:val="00653C0E"/>
    <w:rsid w:val="00653C40"/>
    <w:rsid w:val="00653CDF"/>
    <w:rsid w:val="00653CE0"/>
    <w:rsid w:val="00653DEC"/>
    <w:rsid w:val="00653DFA"/>
    <w:rsid w:val="00653E26"/>
    <w:rsid w:val="00653E29"/>
    <w:rsid w:val="00653E4C"/>
    <w:rsid w:val="00653E9D"/>
    <w:rsid w:val="00653F48"/>
    <w:rsid w:val="00653F6D"/>
    <w:rsid w:val="00653FA9"/>
    <w:rsid w:val="00653FD3"/>
    <w:rsid w:val="0065407F"/>
    <w:rsid w:val="00654096"/>
    <w:rsid w:val="006540A1"/>
    <w:rsid w:val="006540CE"/>
    <w:rsid w:val="006540D5"/>
    <w:rsid w:val="00654184"/>
    <w:rsid w:val="006542CA"/>
    <w:rsid w:val="00654303"/>
    <w:rsid w:val="00654354"/>
    <w:rsid w:val="00654371"/>
    <w:rsid w:val="00654443"/>
    <w:rsid w:val="00654474"/>
    <w:rsid w:val="00654486"/>
    <w:rsid w:val="0065449A"/>
    <w:rsid w:val="00654632"/>
    <w:rsid w:val="00654690"/>
    <w:rsid w:val="00654716"/>
    <w:rsid w:val="00654796"/>
    <w:rsid w:val="006547ED"/>
    <w:rsid w:val="0065484D"/>
    <w:rsid w:val="00654865"/>
    <w:rsid w:val="00654894"/>
    <w:rsid w:val="006548D9"/>
    <w:rsid w:val="006548F2"/>
    <w:rsid w:val="006549E7"/>
    <w:rsid w:val="00654A12"/>
    <w:rsid w:val="00654ACF"/>
    <w:rsid w:val="00654B68"/>
    <w:rsid w:val="00654B8B"/>
    <w:rsid w:val="00654BAF"/>
    <w:rsid w:val="00654BB5"/>
    <w:rsid w:val="00654BF0"/>
    <w:rsid w:val="00654BFE"/>
    <w:rsid w:val="00654C17"/>
    <w:rsid w:val="00654C8A"/>
    <w:rsid w:val="00654D0C"/>
    <w:rsid w:val="00654D4E"/>
    <w:rsid w:val="00654DB2"/>
    <w:rsid w:val="00654DCA"/>
    <w:rsid w:val="00654E59"/>
    <w:rsid w:val="00654E6A"/>
    <w:rsid w:val="00654E87"/>
    <w:rsid w:val="00654E9E"/>
    <w:rsid w:val="00654FA3"/>
    <w:rsid w:val="00654FCA"/>
    <w:rsid w:val="00654FD0"/>
    <w:rsid w:val="00655000"/>
    <w:rsid w:val="00655062"/>
    <w:rsid w:val="00655065"/>
    <w:rsid w:val="006550D0"/>
    <w:rsid w:val="006550DB"/>
    <w:rsid w:val="006550E4"/>
    <w:rsid w:val="006550FD"/>
    <w:rsid w:val="00655105"/>
    <w:rsid w:val="0065511B"/>
    <w:rsid w:val="00655138"/>
    <w:rsid w:val="00655231"/>
    <w:rsid w:val="00655280"/>
    <w:rsid w:val="006552CC"/>
    <w:rsid w:val="0065536E"/>
    <w:rsid w:val="00655397"/>
    <w:rsid w:val="006553B4"/>
    <w:rsid w:val="006553E1"/>
    <w:rsid w:val="006553E7"/>
    <w:rsid w:val="006554D8"/>
    <w:rsid w:val="00655502"/>
    <w:rsid w:val="0065555A"/>
    <w:rsid w:val="006555E3"/>
    <w:rsid w:val="006556E6"/>
    <w:rsid w:val="00655721"/>
    <w:rsid w:val="006557BB"/>
    <w:rsid w:val="006557FA"/>
    <w:rsid w:val="00655808"/>
    <w:rsid w:val="0065583A"/>
    <w:rsid w:val="00655861"/>
    <w:rsid w:val="00655911"/>
    <w:rsid w:val="00655954"/>
    <w:rsid w:val="00655976"/>
    <w:rsid w:val="006559D6"/>
    <w:rsid w:val="00655A20"/>
    <w:rsid w:val="00655B21"/>
    <w:rsid w:val="00655B49"/>
    <w:rsid w:val="00655B68"/>
    <w:rsid w:val="00655C4E"/>
    <w:rsid w:val="00655CAA"/>
    <w:rsid w:val="00655D2B"/>
    <w:rsid w:val="00655D8F"/>
    <w:rsid w:val="00655E54"/>
    <w:rsid w:val="00655E59"/>
    <w:rsid w:val="00655FB4"/>
    <w:rsid w:val="00655FFB"/>
    <w:rsid w:val="00656024"/>
    <w:rsid w:val="00656054"/>
    <w:rsid w:val="006560A0"/>
    <w:rsid w:val="006560F9"/>
    <w:rsid w:val="00656174"/>
    <w:rsid w:val="0065619A"/>
    <w:rsid w:val="006561E4"/>
    <w:rsid w:val="006562B9"/>
    <w:rsid w:val="0065644F"/>
    <w:rsid w:val="0065648B"/>
    <w:rsid w:val="006564F0"/>
    <w:rsid w:val="006564F8"/>
    <w:rsid w:val="00656583"/>
    <w:rsid w:val="00656648"/>
    <w:rsid w:val="00656664"/>
    <w:rsid w:val="006566E8"/>
    <w:rsid w:val="0065670A"/>
    <w:rsid w:val="0065670D"/>
    <w:rsid w:val="00656827"/>
    <w:rsid w:val="00656835"/>
    <w:rsid w:val="0065683A"/>
    <w:rsid w:val="00656849"/>
    <w:rsid w:val="00656876"/>
    <w:rsid w:val="00656885"/>
    <w:rsid w:val="006568D3"/>
    <w:rsid w:val="00656962"/>
    <w:rsid w:val="00656983"/>
    <w:rsid w:val="006569E4"/>
    <w:rsid w:val="00656A13"/>
    <w:rsid w:val="00656A1E"/>
    <w:rsid w:val="00656A2B"/>
    <w:rsid w:val="00656A3D"/>
    <w:rsid w:val="00656A91"/>
    <w:rsid w:val="00656B40"/>
    <w:rsid w:val="00656B58"/>
    <w:rsid w:val="00656BC2"/>
    <w:rsid w:val="00656C37"/>
    <w:rsid w:val="00656CA7"/>
    <w:rsid w:val="00656CEF"/>
    <w:rsid w:val="00656D3F"/>
    <w:rsid w:val="00656DDA"/>
    <w:rsid w:val="00656F43"/>
    <w:rsid w:val="00656F58"/>
    <w:rsid w:val="0065705A"/>
    <w:rsid w:val="00657080"/>
    <w:rsid w:val="0065712D"/>
    <w:rsid w:val="006571B8"/>
    <w:rsid w:val="00657260"/>
    <w:rsid w:val="0065726D"/>
    <w:rsid w:val="00657281"/>
    <w:rsid w:val="00657302"/>
    <w:rsid w:val="00657309"/>
    <w:rsid w:val="00657349"/>
    <w:rsid w:val="00657358"/>
    <w:rsid w:val="0065739B"/>
    <w:rsid w:val="006573AD"/>
    <w:rsid w:val="006573D0"/>
    <w:rsid w:val="006573DF"/>
    <w:rsid w:val="006574E1"/>
    <w:rsid w:val="0065751E"/>
    <w:rsid w:val="00657565"/>
    <w:rsid w:val="00657599"/>
    <w:rsid w:val="006575F2"/>
    <w:rsid w:val="0065764F"/>
    <w:rsid w:val="0065766B"/>
    <w:rsid w:val="006576BD"/>
    <w:rsid w:val="0065773A"/>
    <w:rsid w:val="00657789"/>
    <w:rsid w:val="0065778C"/>
    <w:rsid w:val="00657794"/>
    <w:rsid w:val="00657807"/>
    <w:rsid w:val="0065780E"/>
    <w:rsid w:val="00657820"/>
    <w:rsid w:val="0065783F"/>
    <w:rsid w:val="006578A3"/>
    <w:rsid w:val="006578CD"/>
    <w:rsid w:val="00657909"/>
    <w:rsid w:val="00657924"/>
    <w:rsid w:val="00657956"/>
    <w:rsid w:val="00657964"/>
    <w:rsid w:val="006579CC"/>
    <w:rsid w:val="006579FF"/>
    <w:rsid w:val="00657A15"/>
    <w:rsid w:val="00657A49"/>
    <w:rsid w:val="00657A82"/>
    <w:rsid w:val="00657C27"/>
    <w:rsid w:val="00657C3D"/>
    <w:rsid w:val="00657C7B"/>
    <w:rsid w:val="00657C7D"/>
    <w:rsid w:val="00657D3B"/>
    <w:rsid w:val="00657DA4"/>
    <w:rsid w:val="00657DDD"/>
    <w:rsid w:val="00657E00"/>
    <w:rsid w:val="00657EBE"/>
    <w:rsid w:val="00657F1D"/>
    <w:rsid w:val="00657F4D"/>
    <w:rsid w:val="00657F70"/>
    <w:rsid w:val="00657F80"/>
    <w:rsid w:val="00660097"/>
    <w:rsid w:val="006600B8"/>
    <w:rsid w:val="006600E6"/>
    <w:rsid w:val="00660222"/>
    <w:rsid w:val="00660229"/>
    <w:rsid w:val="00660296"/>
    <w:rsid w:val="00660353"/>
    <w:rsid w:val="00660356"/>
    <w:rsid w:val="006603A7"/>
    <w:rsid w:val="00660415"/>
    <w:rsid w:val="0066042D"/>
    <w:rsid w:val="00660439"/>
    <w:rsid w:val="006604A3"/>
    <w:rsid w:val="006604EA"/>
    <w:rsid w:val="006604F8"/>
    <w:rsid w:val="00660532"/>
    <w:rsid w:val="00660546"/>
    <w:rsid w:val="00660553"/>
    <w:rsid w:val="00660585"/>
    <w:rsid w:val="0066058A"/>
    <w:rsid w:val="0066058F"/>
    <w:rsid w:val="006605C0"/>
    <w:rsid w:val="00660609"/>
    <w:rsid w:val="00660621"/>
    <w:rsid w:val="00660623"/>
    <w:rsid w:val="00660672"/>
    <w:rsid w:val="00660677"/>
    <w:rsid w:val="006606AC"/>
    <w:rsid w:val="006606E9"/>
    <w:rsid w:val="0066078D"/>
    <w:rsid w:val="006607AA"/>
    <w:rsid w:val="006607AD"/>
    <w:rsid w:val="00660852"/>
    <w:rsid w:val="0066099E"/>
    <w:rsid w:val="006609A2"/>
    <w:rsid w:val="00660A0F"/>
    <w:rsid w:val="00660B28"/>
    <w:rsid w:val="00660B39"/>
    <w:rsid w:val="00660B3D"/>
    <w:rsid w:val="00660B50"/>
    <w:rsid w:val="00660BBD"/>
    <w:rsid w:val="00660BFB"/>
    <w:rsid w:val="00660C29"/>
    <w:rsid w:val="00660C55"/>
    <w:rsid w:val="00660C65"/>
    <w:rsid w:val="00660D03"/>
    <w:rsid w:val="00660D25"/>
    <w:rsid w:val="00660D57"/>
    <w:rsid w:val="00660D67"/>
    <w:rsid w:val="00660D8E"/>
    <w:rsid w:val="00660D96"/>
    <w:rsid w:val="00660DAE"/>
    <w:rsid w:val="00660DC2"/>
    <w:rsid w:val="00660E12"/>
    <w:rsid w:val="00660E80"/>
    <w:rsid w:val="00660EF4"/>
    <w:rsid w:val="00660F4E"/>
    <w:rsid w:val="00660F4F"/>
    <w:rsid w:val="00660FAC"/>
    <w:rsid w:val="00660FBD"/>
    <w:rsid w:val="00660FDC"/>
    <w:rsid w:val="0066107D"/>
    <w:rsid w:val="00661137"/>
    <w:rsid w:val="0066113D"/>
    <w:rsid w:val="0066116C"/>
    <w:rsid w:val="0066117E"/>
    <w:rsid w:val="006611FF"/>
    <w:rsid w:val="006612C2"/>
    <w:rsid w:val="00661303"/>
    <w:rsid w:val="0066133D"/>
    <w:rsid w:val="00661392"/>
    <w:rsid w:val="006613E2"/>
    <w:rsid w:val="0066158B"/>
    <w:rsid w:val="006615B1"/>
    <w:rsid w:val="006615EB"/>
    <w:rsid w:val="006616DF"/>
    <w:rsid w:val="00661789"/>
    <w:rsid w:val="00661805"/>
    <w:rsid w:val="00661842"/>
    <w:rsid w:val="006618BC"/>
    <w:rsid w:val="006618D5"/>
    <w:rsid w:val="006618E1"/>
    <w:rsid w:val="006619A5"/>
    <w:rsid w:val="006619BF"/>
    <w:rsid w:val="00661A34"/>
    <w:rsid w:val="00661A5D"/>
    <w:rsid w:val="00661AED"/>
    <w:rsid w:val="00661B25"/>
    <w:rsid w:val="00661C1E"/>
    <w:rsid w:val="00661C4F"/>
    <w:rsid w:val="00661D16"/>
    <w:rsid w:val="00661D2D"/>
    <w:rsid w:val="00661D78"/>
    <w:rsid w:val="00661DF1"/>
    <w:rsid w:val="00661E10"/>
    <w:rsid w:val="00661E2F"/>
    <w:rsid w:val="00661E5E"/>
    <w:rsid w:val="00661F31"/>
    <w:rsid w:val="00661F35"/>
    <w:rsid w:val="00661F8E"/>
    <w:rsid w:val="006620DA"/>
    <w:rsid w:val="006620FB"/>
    <w:rsid w:val="006620FE"/>
    <w:rsid w:val="00662135"/>
    <w:rsid w:val="00662155"/>
    <w:rsid w:val="0066217E"/>
    <w:rsid w:val="00662202"/>
    <w:rsid w:val="00662293"/>
    <w:rsid w:val="00662300"/>
    <w:rsid w:val="006623D7"/>
    <w:rsid w:val="00662483"/>
    <w:rsid w:val="00662491"/>
    <w:rsid w:val="006624A3"/>
    <w:rsid w:val="006625B0"/>
    <w:rsid w:val="006625B7"/>
    <w:rsid w:val="006625F4"/>
    <w:rsid w:val="00662614"/>
    <w:rsid w:val="006626B1"/>
    <w:rsid w:val="006626EC"/>
    <w:rsid w:val="00662713"/>
    <w:rsid w:val="0066275C"/>
    <w:rsid w:val="00662798"/>
    <w:rsid w:val="006627AB"/>
    <w:rsid w:val="00662840"/>
    <w:rsid w:val="006628C7"/>
    <w:rsid w:val="00662902"/>
    <w:rsid w:val="00662A17"/>
    <w:rsid w:val="00662A18"/>
    <w:rsid w:val="00662A23"/>
    <w:rsid w:val="00662A63"/>
    <w:rsid w:val="00662AA3"/>
    <w:rsid w:val="00662AA6"/>
    <w:rsid w:val="00662B3A"/>
    <w:rsid w:val="00662B62"/>
    <w:rsid w:val="00662BA9"/>
    <w:rsid w:val="00662BF3"/>
    <w:rsid w:val="00662BF7"/>
    <w:rsid w:val="00662C72"/>
    <w:rsid w:val="00662CC1"/>
    <w:rsid w:val="00662D6E"/>
    <w:rsid w:val="00662DAF"/>
    <w:rsid w:val="00662DB4"/>
    <w:rsid w:val="00662E72"/>
    <w:rsid w:val="00662EC9"/>
    <w:rsid w:val="00662F55"/>
    <w:rsid w:val="00662FBC"/>
    <w:rsid w:val="00662FD8"/>
    <w:rsid w:val="00662FDA"/>
    <w:rsid w:val="00662FEA"/>
    <w:rsid w:val="00663033"/>
    <w:rsid w:val="006630B3"/>
    <w:rsid w:val="00663133"/>
    <w:rsid w:val="00663143"/>
    <w:rsid w:val="00663190"/>
    <w:rsid w:val="006631AF"/>
    <w:rsid w:val="00663201"/>
    <w:rsid w:val="0066323A"/>
    <w:rsid w:val="00663269"/>
    <w:rsid w:val="006632BA"/>
    <w:rsid w:val="0066330E"/>
    <w:rsid w:val="00663312"/>
    <w:rsid w:val="00663349"/>
    <w:rsid w:val="00663357"/>
    <w:rsid w:val="006633C5"/>
    <w:rsid w:val="0066345D"/>
    <w:rsid w:val="00663491"/>
    <w:rsid w:val="006634B7"/>
    <w:rsid w:val="006634C2"/>
    <w:rsid w:val="006634C8"/>
    <w:rsid w:val="00663604"/>
    <w:rsid w:val="00663681"/>
    <w:rsid w:val="006636A0"/>
    <w:rsid w:val="006636A6"/>
    <w:rsid w:val="006636CA"/>
    <w:rsid w:val="0066371E"/>
    <w:rsid w:val="0066372D"/>
    <w:rsid w:val="0066376D"/>
    <w:rsid w:val="006637A6"/>
    <w:rsid w:val="006637D2"/>
    <w:rsid w:val="00663849"/>
    <w:rsid w:val="00663880"/>
    <w:rsid w:val="0066392F"/>
    <w:rsid w:val="006639A2"/>
    <w:rsid w:val="00663A15"/>
    <w:rsid w:val="00663A9F"/>
    <w:rsid w:val="00663ACE"/>
    <w:rsid w:val="00663B18"/>
    <w:rsid w:val="00663B59"/>
    <w:rsid w:val="00663B6C"/>
    <w:rsid w:val="00663BC7"/>
    <w:rsid w:val="00663C2F"/>
    <w:rsid w:val="00663CA7"/>
    <w:rsid w:val="00663CCB"/>
    <w:rsid w:val="00663D00"/>
    <w:rsid w:val="00663D0A"/>
    <w:rsid w:val="00663D33"/>
    <w:rsid w:val="00663D5F"/>
    <w:rsid w:val="00663DF7"/>
    <w:rsid w:val="00663ECD"/>
    <w:rsid w:val="00663EFA"/>
    <w:rsid w:val="00663F02"/>
    <w:rsid w:val="00663F19"/>
    <w:rsid w:val="00663F1D"/>
    <w:rsid w:val="00663F5A"/>
    <w:rsid w:val="00663FE7"/>
    <w:rsid w:val="00663FF2"/>
    <w:rsid w:val="00664091"/>
    <w:rsid w:val="0066418C"/>
    <w:rsid w:val="006641D3"/>
    <w:rsid w:val="006641FA"/>
    <w:rsid w:val="0066421A"/>
    <w:rsid w:val="0066421F"/>
    <w:rsid w:val="0066424A"/>
    <w:rsid w:val="0066427B"/>
    <w:rsid w:val="00664299"/>
    <w:rsid w:val="006642A7"/>
    <w:rsid w:val="006642B5"/>
    <w:rsid w:val="00664317"/>
    <w:rsid w:val="006643D8"/>
    <w:rsid w:val="00664458"/>
    <w:rsid w:val="006644A5"/>
    <w:rsid w:val="006644DE"/>
    <w:rsid w:val="0066453E"/>
    <w:rsid w:val="00664620"/>
    <w:rsid w:val="0066464D"/>
    <w:rsid w:val="00664669"/>
    <w:rsid w:val="0066466B"/>
    <w:rsid w:val="00664690"/>
    <w:rsid w:val="006646DA"/>
    <w:rsid w:val="00664783"/>
    <w:rsid w:val="006647AD"/>
    <w:rsid w:val="006648E9"/>
    <w:rsid w:val="00664921"/>
    <w:rsid w:val="0066499E"/>
    <w:rsid w:val="006649AF"/>
    <w:rsid w:val="006649FD"/>
    <w:rsid w:val="00664A4D"/>
    <w:rsid w:val="00664AE9"/>
    <w:rsid w:val="00664B55"/>
    <w:rsid w:val="00664B86"/>
    <w:rsid w:val="00664B99"/>
    <w:rsid w:val="00664BB9"/>
    <w:rsid w:val="00664C44"/>
    <w:rsid w:val="00664CE1"/>
    <w:rsid w:val="00664D77"/>
    <w:rsid w:val="00664DB9"/>
    <w:rsid w:val="00664EBC"/>
    <w:rsid w:val="00664ED7"/>
    <w:rsid w:val="00664EEB"/>
    <w:rsid w:val="00664F44"/>
    <w:rsid w:val="00664F58"/>
    <w:rsid w:val="00664F5C"/>
    <w:rsid w:val="00664FB8"/>
    <w:rsid w:val="00665013"/>
    <w:rsid w:val="00665052"/>
    <w:rsid w:val="0066506D"/>
    <w:rsid w:val="0066508E"/>
    <w:rsid w:val="00665109"/>
    <w:rsid w:val="00665195"/>
    <w:rsid w:val="00665221"/>
    <w:rsid w:val="00665257"/>
    <w:rsid w:val="006652B7"/>
    <w:rsid w:val="006652D7"/>
    <w:rsid w:val="006652DC"/>
    <w:rsid w:val="0066531A"/>
    <w:rsid w:val="00665334"/>
    <w:rsid w:val="0066544C"/>
    <w:rsid w:val="00665455"/>
    <w:rsid w:val="0066549D"/>
    <w:rsid w:val="006654A7"/>
    <w:rsid w:val="006654D3"/>
    <w:rsid w:val="006654D4"/>
    <w:rsid w:val="00665509"/>
    <w:rsid w:val="00665579"/>
    <w:rsid w:val="0066559C"/>
    <w:rsid w:val="006655A7"/>
    <w:rsid w:val="00665620"/>
    <w:rsid w:val="006656DB"/>
    <w:rsid w:val="0066576A"/>
    <w:rsid w:val="00665793"/>
    <w:rsid w:val="00665895"/>
    <w:rsid w:val="006658E5"/>
    <w:rsid w:val="00665973"/>
    <w:rsid w:val="006659DD"/>
    <w:rsid w:val="00665A02"/>
    <w:rsid w:val="00665A96"/>
    <w:rsid w:val="00665ABE"/>
    <w:rsid w:val="00665AC6"/>
    <w:rsid w:val="00665AF8"/>
    <w:rsid w:val="00665B31"/>
    <w:rsid w:val="00665C22"/>
    <w:rsid w:val="00665C60"/>
    <w:rsid w:val="00665D79"/>
    <w:rsid w:val="00665E08"/>
    <w:rsid w:val="00665F1B"/>
    <w:rsid w:val="00665F3B"/>
    <w:rsid w:val="00665F4C"/>
    <w:rsid w:val="00665FDB"/>
    <w:rsid w:val="006660D2"/>
    <w:rsid w:val="00666138"/>
    <w:rsid w:val="0066619D"/>
    <w:rsid w:val="006661B2"/>
    <w:rsid w:val="00666247"/>
    <w:rsid w:val="00666290"/>
    <w:rsid w:val="00666293"/>
    <w:rsid w:val="006662D9"/>
    <w:rsid w:val="006662DE"/>
    <w:rsid w:val="006662E5"/>
    <w:rsid w:val="006662EF"/>
    <w:rsid w:val="006662FE"/>
    <w:rsid w:val="0066633C"/>
    <w:rsid w:val="00666429"/>
    <w:rsid w:val="006664C3"/>
    <w:rsid w:val="006664C6"/>
    <w:rsid w:val="006664DB"/>
    <w:rsid w:val="006664E8"/>
    <w:rsid w:val="0066660F"/>
    <w:rsid w:val="00666672"/>
    <w:rsid w:val="00666692"/>
    <w:rsid w:val="006666C9"/>
    <w:rsid w:val="006666DC"/>
    <w:rsid w:val="00666791"/>
    <w:rsid w:val="0066686D"/>
    <w:rsid w:val="00666926"/>
    <w:rsid w:val="0066696A"/>
    <w:rsid w:val="0066697C"/>
    <w:rsid w:val="006669F5"/>
    <w:rsid w:val="00666A3C"/>
    <w:rsid w:val="00666A7A"/>
    <w:rsid w:val="00666B49"/>
    <w:rsid w:val="00666B81"/>
    <w:rsid w:val="00666BBB"/>
    <w:rsid w:val="00666BE3"/>
    <w:rsid w:val="00666C87"/>
    <w:rsid w:val="00666D14"/>
    <w:rsid w:val="00666D15"/>
    <w:rsid w:val="00666D72"/>
    <w:rsid w:val="00666D8F"/>
    <w:rsid w:val="00666DD1"/>
    <w:rsid w:val="00666E26"/>
    <w:rsid w:val="00666E38"/>
    <w:rsid w:val="00666E76"/>
    <w:rsid w:val="00666EC6"/>
    <w:rsid w:val="00666F9B"/>
    <w:rsid w:val="00666FA5"/>
    <w:rsid w:val="00666FFA"/>
    <w:rsid w:val="00667052"/>
    <w:rsid w:val="006670C3"/>
    <w:rsid w:val="006670DE"/>
    <w:rsid w:val="006670E5"/>
    <w:rsid w:val="006670FD"/>
    <w:rsid w:val="00667114"/>
    <w:rsid w:val="0066711B"/>
    <w:rsid w:val="00667148"/>
    <w:rsid w:val="0066716C"/>
    <w:rsid w:val="006671D8"/>
    <w:rsid w:val="00667299"/>
    <w:rsid w:val="00667340"/>
    <w:rsid w:val="00667459"/>
    <w:rsid w:val="006675D4"/>
    <w:rsid w:val="00667602"/>
    <w:rsid w:val="00667612"/>
    <w:rsid w:val="00667656"/>
    <w:rsid w:val="0066766B"/>
    <w:rsid w:val="0066767C"/>
    <w:rsid w:val="006676F2"/>
    <w:rsid w:val="0066771A"/>
    <w:rsid w:val="00667794"/>
    <w:rsid w:val="006677FA"/>
    <w:rsid w:val="00667854"/>
    <w:rsid w:val="00667870"/>
    <w:rsid w:val="006678E5"/>
    <w:rsid w:val="006678FD"/>
    <w:rsid w:val="0066792F"/>
    <w:rsid w:val="00667994"/>
    <w:rsid w:val="006679EA"/>
    <w:rsid w:val="006679F6"/>
    <w:rsid w:val="006679F8"/>
    <w:rsid w:val="00667A26"/>
    <w:rsid w:val="00667A6B"/>
    <w:rsid w:val="00667AAC"/>
    <w:rsid w:val="00667AE1"/>
    <w:rsid w:val="00667AFE"/>
    <w:rsid w:val="00667B3E"/>
    <w:rsid w:val="00667B4D"/>
    <w:rsid w:val="00667B9F"/>
    <w:rsid w:val="00667BBC"/>
    <w:rsid w:val="00667BC4"/>
    <w:rsid w:val="00667C36"/>
    <w:rsid w:val="00667C57"/>
    <w:rsid w:val="00667C81"/>
    <w:rsid w:val="00667CF3"/>
    <w:rsid w:val="00667D6A"/>
    <w:rsid w:val="00667F08"/>
    <w:rsid w:val="00667F27"/>
    <w:rsid w:val="00667F3A"/>
    <w:rsid w:val="00667F4C"/>
    <w:rsid w:val="00670012"/>
    <w:rsid w:val="00670014"/>
    <w:rsid w:val="0067004E"/>
    <w:rsid w:val="006700C1"/>
    <w:rsid w:val="006700FB"/>
    <w:rsid w:val="00670122"/>
    <w:rsid w:val="00670129"/>
    <w:rsid w:val="00670139"/>
    <w:rsid w:val="0067015E"/>
    <w:rsid w:val="006701A4"/>
    <w:rsid w:val="006701A7"/>
    <w:rsid w:val="006701CC"/>
    <w:rsid w:val="006701E1"/>
    <w:rsid w:val="006702A2"/>
    <w:rsid w:val="006702FB"/>
    <w:rsid w:val="00670354"/>
    <w:rsid w:val="00670355"/>
    <w:rsid w:val="0067036E"/>
    <w:rsid w:val="006703C9"/>
    <w:rsid w:val="006704B0"/>
    <w:rsid w:val="00670666"/>
    <w:rsid w:val="00670693"/>
    <w:rsid w:val="006706B7"/>
    <w:rsid w:val="006706E4"/>
    <w:rsid w:val="006707D2"/>
    <w:rsid w:val="0067081C"/>
    <w:rsid w:val="00670834"/>
    <w:rsid w:val="00670875"/>
    <w:rsid w:val="006708A7"/>
    <w:rsid w:val="0067091E"/>
    <w:rsid w:val="00670963"/>
    <w:rsid w:val="0067099D"/>
    <w:rsid w:val="006709ED"/>
    <w:rsid w:val="00670A10"/>
    <w:rsid w:val="00670A14"/>
    <w:rsid w:val="00670A51"/>
    <w:rsid w:val="00670A66"/>
    <w:rsid w:val="00670B6E"/>
    <w:rsid w:val="00670B9A"/>
    <w:rsid w:val="00670BA3"/>
    <w:rsid w:val="00670BE4"/>
    <w:rsid w:val="00670C47"/>
    <w:rsid w:val="00670CC5"/>
    <w:rsid w:val="00670CEB"/>
    <w:rsid w:val="00670D15"/>
    <w:rsid w:val="00670D16"/>
    <w:rsid w:val="00670D4C"/>
    <w:rsid w:val="00670D88"/>
    <w:rsid w:val="00670DF6"/>
    <w:rsid w:val="00670EAF"/>
    <w:rsid w:val="00670EF2"/>
    <w:rsid w:val="00670EF9"/>
    <w:rsid w:val="00670F12"/>
    <w:rsid w:val="00670F2A"/>
    <w:rsid w:val="00670F73"/>
    <w:rsid w:val="00670F8E"/>
    <w:rsid w:val="00670F98"/>
    <w:rsid w:val="00670FB8"/>
    <w:rsid w:val="00670FBC"/>
    <w:rsid w:val="00670FDE"/>
    <w:rsid w:val="006710C9"/>
    <w:rsid w:val="006710CB"/>
    <w:rsid w:val="006710F9"/>
    <w:rsid w:val="00671155"/>
    <w:rsid w:val="006711E1"/>
    <w:rsid w:val="006711E2"/>
    <w:rsid w:val="0067122A"/>
    <w:rsid w:val="0067124C"/>
    <w:rsid w:val="00671292"/>
    <w:rsid w:val="00671334"/>
    <w:rsid w:val="0067136D"/>
    <w:rsid w:val="006713A8"/>
    <w:rsid w:val="0067140F"/>
    <w:rsid w:val="0067141E"/>
    <w:rsid w:val="00671436"/>
    <w:rsid w:val="00671456"/>
    <w:rsid w:val="00671468"/>
    <w:rsid w:val="00671568"/>
    <w:rsid w:val="00671611"/>
    <w:rsid w:val="006716EC"/>
    <w:rsid w:val="00671768"/>
    <w:rsid w:val="00671817"/>
    <w:rsid w:val="00671854"/>
    <w:rsid w:val="006718CE"/>
    <w:rsid w:val="00671952"/>
    <w:rsid w:val="006719A7"/>
    <w:rsid w:val="00671AAF"/>
    <w:rsid w:val="00671B28"/>
    <w:rsid w:val="00671B6B"/>
    <w:rsid w:val="00671B77"/>
    <w:rsid w:val="00671CC8"/>
    <w:rsid w:val="00671DB8"/>
    <w:rsid w:val="00671DDF"/>
    <w:rsid w:val="00671DE2"/>
    <w:rsid w:val="00671E1A"/>
    <w:rsid w:val="00671E46"/>
    <w:rsid w:val="00671F86"/>
    <w:rsid w:val="00671FEC"/>
    <w:rsid w:val="00672043"/>
    <w:rsid w:val="006720AF"/>
    <w:rsid w:val="006720BF"/>
    <w:rsid w:val="006720C2"/>
    <w:rsid w:val="00672135"/>
    <w:rsid w:val="0067214A"/>
    <w:rsid w:val="00672174"/>
    <w:rsid w:val="006721A0"/>
    <w:rsid w:val="006721AD"/>
    <w:rsid w:val="00672295"/>
    <w:rsid w:val="0067231D"/>
    <w:rsid w:val="00672337"/>
    <w:rsid w:val="0067235B"/>
    <w:rsid w:val="006723DC"/>
    <w:rsid w:val="00672486"/>
    <w:rsid w:val="006724A7"/>
    <w:rsid w:val="006724CB"/>
    <w:rsid w:val="006724F7"/>
    <w:rsid w:val="0067254E"/>
    <w:rsid w:val="006725BB"/>
    <w:rsid w:val="006726D9"/>
    <w:rsid w:val="00672756"/>
    <w:rsid w:val="006727A0"/>
    <w:rsid w:val="006727E5"/>
    <w:rsid w:val="0067284E"/>
    <w:rsid w:val="00672913"/>
    <w:rsid w:val="00672976"/>
    <w:rsid w:val="0067299F"/>
    <w:rsid w:val="00672ADE"/>
    <w:rsid w:val="00672AEA"/>
    <w:rsid w:val="00672AF1"/>
    <w:rsid w:val="00672B10"/>
    <w:rsid w:val="00672B26"/>
    <w:rsid w:val="00672B5D"/>
    <w:rsid w:val="00672CB4"/>
    <w:rsid w:val="00672CD9"/>
    <w:rsid w:val="00672D2A"/>
    <w:rsid w:val="00672D51"/>
    <w:rsid w:val="00672D75"/>
    <w:rsid w:val="00672DC3"/>
    <w:rsid w:val="00672E32"/>
    <w:rsid w:val="00672E72"/>
    <w:rsid w:val="00672F66"/>
    <w:rsid w:val="00672FE0"/>
    <w:rsid w:val="00673052"/>
    <w:rsid w:val="006730A7"/>
    <w:rsid w:val="006730AF"/>
    <w:rsid w:val="006730CD"/>
    <w:rsid w:val="006730DA"/>
    <w:rsid w:val="0067317C"/>
    <w:rsid w:val="006731B1"/>
    <w:rsid w:val="006731C3"/>
    <w:rsid w:val="00673232"/>
    <w:rsid w:val="00673291"/>
    <w:rsid w:val="0067331D"/>
    <w:rsid w:val="00673402"/>
    <w:rsid w:val="00673416"/>
    <w:rsid w:val="00673427"/>
    <w:rsid w:val="006734D2"/>
    <w:rsid w:val="00673579"/>
    <w:rsid w:val="006736AB"/>
    <w:rsid w:val="006736F8"/>
    <w:rsid w:val="00673701"/>
    <w:rsid w:val="0067376D"/>
    <w:rsid w:val="00673791"/>
    <w:rsid w:val="0067383A"/>
    <w:rsid w:val="00673853"/>
    <w:rsid w:val="006738C8"/>
    <w:rsid w:val="00673904"/>
    <w:rsid w:val="0067395F"/>
    <w:rsid w:val="00673979"/>
    <w:rsid w:val="006739A5"/>
    <w:rsid w:val="00673A45"/>
    <w:rsid w:val="00673A78"/>
    <w:rsid w:val="00673AA7"/>
    <w:rsid w:val="00673AC8"/>
    <w:rsid w:val="00673AE8"/>
    <w:rsid w:val="00673B2D"/>
    <w:rsid w:val="00673BF8"/>
    <w:rsid w:val="00673C52"/>
    <w:rsid w:val="00673C94"/>
    <w:rsid w:val="00673CE4"/>
    <w:rsid w:val="00673CF3"/>
    <w:rsid w:val="00673CF7"/>
    <w:rsid w:val="00673CFB"/>
    <w:rsid w:val="00673EA7"/>
    <w:rsid w:val="00673F64"/>
    <w:rsid w:val="00673F68"/>
    <w:rsid w:val="00673F6A"/>
    <w:rsid w:val="00673FE8"/>
    <w:rsid w:val="00674020"/>
    <w:rsid w:val="006740D5"/>
    <w:rsid w:val="00674112"/>
    <w:rsid w:val="00674145"/>
    <w:rsid w:val="0067414A"/>
    <w:rsid w:val="00674193"/>
    <w:rsid w:val="006741B2"/>
    <w:rsid w:val="006741BD"/>
    <w:rsid w:val="006741E7"/>
    <w:rsid w:val="006741E9"/>
    <w:rsid w:val="00674205"/>
    <w:rsid w:val="00674216"/>
    <w:rsid w:val="006742A6"/>
    <w:rsid w:val="00674348"/>
    <w:rsid w:val="00674382"/>
    <w:rsid w:val="006743DE"/>
    <w:rsid w:val="0067441D"/>
    <w:rsid w:val="00674424"/>
    <w:rsid w:val="006744F5"/>
    <w:rsid w:val="00674545"/>
    <w:rsid w:val="00674562"/>
    <w:rsid w:val="00674565"/>
    <w:rsid w:val="00674608"/>
    <w:rsid w:val="0067460A"/>
    <w:rsid w:val="0067465F"/>
    <w:rsid w:val="0067468E"/>
    <w:rsid w:val="006746CA"/>
    <w:rsid w:val="00674792"/>
    <w:rsid w:val="006747B9"/>
    <w:rsid w:val="006748DF"/>
    <w:rsid w:val="006748ED"/>
    <w:rsid w:val="00674949"/>
    <w:rsid w:val="00674960"/>
    <w:rsid w:val="00674961"/>
    <w:rsid w:val="00674972"/>
    <w:rsid w:val="006749D4"/>
    <w:rsid w:val="00674AA1"/>
    <w:rsid w:val="00674AB6"/>
    <w:rsid w:val="00674ABB"/>
    <w:rsid w:val="00674AC2"/>
    <w:rsid w:val="00674AC5"/>
    <w:rsid w:val="00674AED"/>
    <w:rsid w:val="00674AEF"/>
    <w:rsid w:val="00674B41"/>
    <w:rsid w:val="00674B90"/>
    <w:rsid w:val="00674EBE"/>
    <w:rsid w:val="00674F55"/>
    <w:rsid w:val="00675013"/>
    <w:rsid w:val="00675067"/>
    <w:rsid w:val="00675116"/>
    <w:rsid w:val="0067513F"/>
    <w:rsid w:val="00675213"/>
    <w:rsid w:val="00675247"/>
    <w:rsid w:val="00675253"/>
    <w:rsid w:val="00675278"/>
    <w:rsid w:val="0067527B"/>
    <w:rsid w:val="00675289"/>
    <w:rsid w:val="0067528C"/>
    <w:rsid w:val="006753B3"/>
    <w:rsid w:val="006753FB"/>
    <w:rsid w:val="006753FD"/>
    <w:rsid w:val="0067542A"/>
    <w:rsid w:val="0067545A"/>
    <w:rsid w:val="00675467"/>
    <w:rsid w:val="0067546B"/>
    <w:rsid w:val="0067563D"/>
    <w:rsid w:val="00675695"/>
    <w:rsid w:val="006756BF"/>
    <w:rsid w:val="006756D7"/>
    <w:rsid w:val="00675733"/>
    <w:rsid w:val="006757B8"/>
    <w:rsid w:val="006757B9"/>
    <w:rsid w:val="0067580F"/>
    <w:rsid w:val="0067587D"/>
    <w:rsid w:val="006758F7"/>
    <w:rsid w:val="00675A1B"/>
    <w:rsid w:val="00675B59"/>
    <w:rsid w:val="00675BA2"/>
    <w:rsid w:val="00675BCA"/>
    <w:rsid w:val="00675C8D"/>
    <w:rsid w:val="00675D0D"/>
    <w:rsid w:val="00675D3F"/>
    <w:rsid w:val="00675DCC"/>
    <w:rsid w:val="00675DE0"/>
    <w:rsid w:val="00675E4C"/>
    <w:rsid w:val="00675E55"/>
    <w:rsid w:val="00675E63"/>
    <w:rsid w:val="00675EB0"/>
    <w:rsid w:val="00675EC3"/>
    <w:rsid w:val="00675F77"/>
    <w:rsid w:val="00675FA3"/>
    <w:rsid w:val="00675FE7"/>
    <w:rsid w:val="00676024"/>
    <w:rsid w:val="006760E9"/>
    <w:rsid w:val="006760F6"/>
    <w:rsid w:val="00676127"/>
    <w:rsid w:val="00676185"/>
    <w:rsid w:val="006762D8"/>
    <w:rsid w:val="006763FB"/>
    <w:rsid w:val="00676430"/>
    <w:rsid w:val="0067647A"/>
    <w:rsid w:val="00676507"/>
    <w:rsid w:val="00676570"/>
    <w:rsid w:val="0067658F"/>
    <w:rsid w:val="006765A2"/>
    <w:rsid w:val="0067660B"/>
    <w:rsid w:val="0067662C"/>
    <w:rsid w:val="00676644"/>
    <w:rsid w:val="006766CD"/>
    <w:rsid w:val="006766E8"/>
    <w:rsid w:val="00676803"/>
    <w:rsid w:val="0067685E"/>
    <w:rsid w:val="006768C7"/>
    <w:rsid w:val="006768DB"/>
    <w:rsid w:val="00676943"/>
    <w:rsid w:val="0067694C"/>
    <w:rsid w:val="00676976"/>
    <w:rsid w:val="006769BA"/>
    <w:rsid w:val="00676A1F"/>
    <w:rsid w:val="00676BDF"/>
    <w:rsid w:val="00676C2B"/>
    <w:rsid w:val="00676C55"/>
    <w:rsid w:val="00676C7F"/>
    <w:rsid w:val="00676C94"/>
    <w:rsid w:val="00676F24"/>
    <w:rsid w:val="00676F77"/>
    <w:rsid w:val="00677013"/>
    <w:rsid w:val="00677028"/>
    <w:rsid w:val="006770B4"/>
    <w:rsid w:val="006770B6"/>
    <w:rsid w:val="006770C2"/>
    <w:rsid w:val="006770E6"/>
    <w:rsid w:val="006771B0"/>
    <w:rsid w:val="006771DE"/>
    <w:rsid w:val="00677225"/>
    <w:rsid w:val="0067722B"/>
    <w:rsid w:val="00677246"/>
    <w:rsid w:val="00677299"/>
    <w:rsid w:val="0067729C"/>
    <w:rsid w:val="00677319"/>
    <w:rsid w:val="00677340"/>
    <w:rsid w:val="006773B0"/>
    <w:rsid w:val="006773B5"/>
    <w:rsid w:val="006773F9"/>
    <w:rsid w:val="00677437"/>
    <w:rsid w:val="00677469"/>
    <w:rsid w:val="0067747C"/>
    <w:rsid w:val="00677531"/>
    <w:rsid w:val="00677550"/>
    <w:rsid w:val="00677558"/>
    <w:rsid w:val="0067757B"/>
    <w:rsid w:val="00677655"/>
    <w:rsid w:val="00677690"/>
    <w:rsid w:val="006776E6"/>
    <w:rsid w:val="0067771E"/>
    <w:rsid w:val="00677723"/>
    <w:rsid w:val="0067781B"/>
    <w:rsid w:val="00677877"/>
    <w:rsid w:val="006779D8"/>
    <w:rsid w:val="006779E4"/>
    <w:rsid w:val="00677B10"/>
    <w:rsid w:val="00677B2B"/>
    <w:rsid w:val="00677B4B"/>
    <w:rsid w:val="00677B6D"/>
    <w:rsid w:val="00677C6A"/>
    <w:rsid w:val="00677CD7"/>
    <w:rsid w:val="00677D13"/>
    <w:rsid w:val="00677D26"/>
    <w:rsid w:val="00677E01"/>
    <w:rsid w:val="00677E05"/>
    <w:rsid w:val="00677E3F"/>
    <w:rsid w:val="00677EBB"/>
    <w:rsid w:val="00677F17"/>
    <w:rsid w:val="00677FD1"/>
    <w:rsid w:val="00680060"/>
    <w:rsid w:val="00680081"/>
    <w:rsid w:val="006800C9"/>
    <w:rsid w:val="00680145"/>
    <w:rsid w:val="006801A9"/>
    <w:rsid w:val="006801C9"/>
    <w:rsid w:val="00680233"/>
    <w:rsid w:val="0068024D"/>
    <w:rsid w:val="00680317"/>
    <w:rsid w:val="00680343"/>
    <w:rsid w:val="00680350"/>
    <w:rsid w:val="00680352"/>
    <w:rsid w:val="00680356"/>
    <w:rsid w:val="00680427"/>
    <w:rsid w:val="00680593"/>
    <w:rsid w:val="00680629"/>
    <w:rsid w:val="0068063A"/>
    <w:rsid w:val="006806D7"/>
    <w:rsid w:val="006807A4"/>
    <w:rsid w:val="006807B1"/>
    <w:rsid w:val="006807B5"/>
    <w:rsid w:val="006807D0"/>
    <w:rsid w:val="006807D3"/>
    <w:rsid w:val="006807E6"/>
    <w:rsid w:val="006807F2"/>
    <w:rsid w:val="006808E8"/>
    <w:rsid w:val="00680979"/>
    <w:rsid w:val="006809BA"/>
    <w:rsid w:val="006809F5"/>
    <w:rsid w:val="00680ABB"/>
    <w:rsid w:val="00680ACE"/>
    <w:rsid w:val="00680B7E"/>
    <w:rsid w:val="00680BD2"/>
    <w:rsid w:val="00680C52"/>
    <w:rsid w:val="00680D78"/>
    <w:rsid w:val="00680DE8"/>
    <w:rsid w:val="00680E10"/>
    <w:rsid w:val="00680E1B"/>
    <w:rsid w:val="00680EB7"/>
    <w:rsid w:val="00680ED8"/>
    <w:rsid w:val="00680EF2"/>
    <w:rsid w:val="00680F05"/>
    <w:rsid w:val="00680FA2"/>
    <w:rsid w:val="00681004"/>
    <w:rsid w:val="0068105C"/>
    <w:rsid w:val="0068105E"/>
    <w:rsid w:val="00681089"/>
    <w:rsid w:val="0068116C"/>
    <w:rsid w:val="0068126B"/>
    <w:rsid w:val="006812ED"/>
    <w:rsid w:val="006812F3"/>
    <w:rsid w:val="006813EF"/>
    <w:rsid w:val="00681466"/>
    <w:rsid w:val="006814DB"/>
    <w:rsid w:val="00681515"/>
    <w:rsid w:val="0068154B"/>
    <w:rsid w:val="006815A1"/>
    <w:rsid w:val="006815B1"/>
    <w:rsid w:val="006815D1"/>
    <w:rsid w:val="006815F0"/>
    <w:rsid w:val="0068161F"/>
    <w:rsid w:val="00681644"/>
    <w:rsid w:val="006816C2"/>
    <w:rsid w:val="0068173B"/>
    <w:rsid w:val="0068176A"/>
    <w:rsid w:val="0068176D"/>
    <w:rsid w:val="00681770"/>
    <w:rsid w:val="006817DB"/>
    <w:rsid w:val="006817F3"/>
    <w:rsid w:val="00681870"/>
    <w:rsid w:val="00681884"/>
    <w:rsid w:val="0068198E"/>
    <w:rsid w:val="00681A2A"/>
    <w:rsid w:val="00681A31"/>
    <w:rsid w:val="00681A35"/>
    <w:rsid w:val="00681A90"/>
    <w:rsid w:val="00681A98"/>
    <w:rsid w:val="00681B05"/>
    <w:rsid w:val="00681B25"/>
    <w:rsid w:val="00681C14"/>
    <w:rsid w:val="00681C19"/>
    <w:rsid w:val="00681C76"/>
    <w:rsid w:val="00681C79"/>
    <w:rsid w:val="00681CF8"/>
    <w:rsid w:val="00681D08"/>
    <w:rsid w:val="00681D89"/>
    <w:rsid w:val="00681DC8"/>
    <w:rsid w:val="00681E2B"/>
    <w:rsid w:val="00681E4C"/>
    <w:rsid w:val="00681FCA"/>
    <w:rsid w:val="00681FDF"/>
    <w:rsid w:val="0068200A"/>
    <w:rsid w:val="0068202A"/>
    <w:rsid w:val="0068205B"/>
    <w:rsid w:val="00682124"/>
    <w:rsid w:val="00682161"/>
    <w:rsid w:val="00682181"/>
    <w:rsid w:val="006821A7"/>
    <w:rsid w:val="006821F3"/>
    <w:rsid w:val="0068222F"/>
    <w:rsid w:val="006822E0"/>
    <w:rsid w:val="006823BE"/>
    <w:rsid w:val="0068252C"/>
    <w:rsid w:val="0068259C"/>
    <w:rsid w:val="006825CD"/>
    <w:rsid w:val="00682635"/>
    <w:rsid w:val="006826C5"/>
    <w:rsid w:val="00682707"/>
    <w:rsid w:val="00682737"/>
    <w:rsid w:val="00682858"/>
    <w:rsid w:val="00682893"/>
    <w:rsid w:val="006828D9"/>
    <w:rsid w:val="00682987"/>
    <w:rsid w:val="006829E2"/>
    <w:rsid w:val="00682A25"/>
    <w:rsid w:val="00682A54"/>
    <w:rsid w:val="00682AA5"/>
    <w:rsid w:val="00682B1D"/>
    <w:rsid w:val="00682BA7"/>
    <w:rsid w:val="00682C07"/>
    <w:rsid w:val="00682C7F"/>
    <w:rsid w:val="00682CB5"/>
    <w:rsid w:val="00682D0D"/>
    <w:rsid w:val="00682D62"/>
    <w:rsid w:val="00682DF0"/>
    <w:rsid w:val="00682E08"/>
    <w:rsid w:val="00682E5A"/>
    <w:rsid w:val="00682F0B"/>
    <w:rsid w:val="00682F15"/>
    <w:rsid w:val="00682FCB"/>
    <w:rsid w:val="00682FE9"/>
    <w:rsid w:val="0068302A"/>
    <w:rsid w:val="0068308E"/>
    <w:rsid w:val="006830B9"/>
    <w:rsid w:val="006830BB"/>
    <w:rsid w:val="006831A3"/>
    <w:rsid w:val="006831AA"/>
    <w:rsid w:val="006831EE"/>
    <w:rsid w:val="00683224"/>
    <w:rsid w:val="0068322B"/>
    <w:rsid w:val="00683299"/>
    <w:rsid w:val="006832E0"/>
    <w:rsid w:val="0068334A"/>
    <w:rsid w:val="00683382"/>
    <w:rsid w:val="00683386"/>
    <w:rsid w:val="0068342A"/>
    <w:rsid w:val="006834F4"/>
    <w:rsid w:val="00683564"/>
    <w:rsid w:val="00683684"/>
    <w:rsid w:val="00683686"/>
    <w:rsid w:val="006836C7"/>
    <w:rsid w:val="00683729"/>
    <w:rsid w:val="0068377F"/>
    <w:rsid w:val="00683794"/>
    <w:rsid w:val="006837A4"/>
    <w:rsid w:val="00683801"/>
    <w:rsid w:val="006838C0"/>
    <w:rsid w:val="00683900"/>
    <w:rsid w:val="00683912"/>
    <w:rsid w:val="006839BA"/>
    <w:rsid w:val="006839DF"/>
    <w:rsid w:val="00683AC7"/>
    <w:rsid w:val="00683AD9"/>
    <w:rsid w:val="00683B0F"/>
    <w:rsid w:val="00683B14"/>
    <w:rsid w:val="00683B46"/>
    <w:rsid w:val="00683BF6"/>
    <w:rsid w:val="00683D09"/>
    <w:rsid w:val="00683D70"/>
    <w:rsid w:val="00683D9C"/>
    <w:rsid w:val="00683E5A"/>
    <w:rsid w:val="00683E72"/>
    <w:rsid w:val="00683F96"/>
    <w:rsid w:val="00684030"/>
    <w:rsid w:val="0068406F"/>
    <w:rsid w:val="006840BA"/>
    <w:rsid w:val="006840F7"/>
    <w:rsid w:val="0068414E"/>
    <w:rsid w:val="00684290"/>
    <w:rsid w:val="006842AE"/>
    <w:rsid w:val="006842DE"/>
    <w:rsid w:val="00684302"/>
    <w:rsid w:val="00684347"/>
    <w:rsid w:val="00684426"/>
    <w:rsid w:val="00684457"/>
    <w:rsid w:val="0068447E"/>
    <w:rsid w:val="00684494"/>
    <w:rsid w:val="00684573"/>
    <w:rsid w:val="0068457E"/>
    <w:rsid w:val="006845A9"/>
    <w:rsid w:val="0068466A"/>
    <w:rsid w:val="00684673"/>
    <w:rsid w:val="00684690"/>
    <w:rsid w:val="0068480B"/>
    <w:rsid w:val="00684883"/>
    <w:rsid w:val="00684947"/>
    <w:rsid w:val="006849C7"/>
    <w:rsid w:val="00684A70"/>
    <w:rsid w:val="00684AFD"/>
    <w:rsid w:val="00684C13"/>
    <w:rsid w:val="00684C8C"/>
    <w:rsid w:val="00684CC8"/>
    <w:rsid w:val="00684D20"/>
    <w:rsid w:val="00684D2A"/>
    <w:rsid w:val="00684DD3"/>
    <w:rsid w:val="00684E2D"/>
    <w:rsid w:val="00684EC4"/>
    <w:rsid w:val="00684EDA"/>
    <w:rsid w:val="00684F38"/>
    <w:rsid w:val="00684F4C"/>
    <w:rsid w:val="00684F90"/>
    <w:rsid w:val="00684FAF"/>
    <w:rsid w:val="00684FB3"/>
    <w:rsid w:val="00685005"/>
    <w:rsid w:val="0068504F"/>
    <w:rsid w:val="0068508C"/>
    <w:rsid w:val="006850CC"/>
    <w:rsid w:val="006850CD"/>
    <w:rsid w:val="006851CB"/>
    <w:rsid w:val="006851FC"/>
    <w:rsid w:val="00685437"/>
    <w:rsid w:val="00685510"/>
    <w:rsid w:val="00685516"/>
    <w:rsid w:val="0068554E"/>
    <w:rsid w:val="006856A9"/>
    <w:rsid w:val="00685734"/>
    <w:rsid w:val="00685791"/>
    <w:rsid w:val="00685799"/>
    <w:rsid w:val="006857BF"/>
    <w:rsid w:val="006857F9"/>
    <w:rsid w:val="00685804"/>
    <w:rsid w:val="0068580F"/>
    <w:rsid w:val="006858BB"/>
    <w:rsid w:val="006858BF"/>
    <w:rsid w:val="006859C9"/>
    <w:rsid w:val="00685A18"/>
    <w:rsid w:val="00685A3E"/>
    <w:rsid w:val="00685AB5"/>
    <w:rsid w:val="00685AC6"/>
    <w:rsid w:val="00685AEA"/>
    <w:rsid w:val="00685AEF"/>
    <w:rsid w:val="00685B0E"/>
    <w:rsid w:val="00685B2A"/>
    <w:rsid w:val="00685B3A"/>
    <w:rsid w:val="00685B40"/>
    <w:rsid w:val="00685B44"/>
    <w:rsid w:val="00685C31"/>
    <w:rsid w:val="00685C3E"/>
    <w:rsid w:val="00685C4A"/>
    <w:rsid w:val="00685C4F"/>
    <w:rsid w:val="00685D21"/>
    <w:rsid w:val="00685D71"/>
    <w:rsid w:val="00685D7E"/>
    <w:rsid w:val="00685DBE"/>
    <w:rsid w:val="00685DED"/>
    <w:rsid w:val="00685E46"/>
    <w:rsid w:val="00685E4F"/>
    <w:rsid w:val="00685E53"/>
    <w:rsid w:val="00685EAC"/>
    <w:rsid w:val="00685F7C"/>
    <w:rsid w:val="00685FB2"/>
    <w:rsid w:val="00685FB7"/>
    <w:rsid w:val="00686000"/>
    <w:rsid w:val="00686079"/>
    <w:rsid w:val="006860E8"/>
    <w:rsid w:val="0068615E"/>
    <w:rsid w:val="00686160"/>
    <w:rsid w:val="0068621B"/>
    <w:rsid w:val="0068622A"/>
    <w:rsid w:val="0068623E"/>
    <w:rsid w:val="00686265"/>
    <w:rsid w:val="006862AD"/>
    <w:rsid w:val="006862E7"/>
    <w:rsid w:val="006863EB"/>
    <w:rsid w:val="006863F0"/>
    <w:rsid w:val="006864E2"/>
    <w:rsid w:val="0068650B"/>
    <w:rsid w:val="00686510"/>
    <w:rsid w:val="0068651B"/>
    <w:rsid w:val="0068652E"/>
    <w:rsid w:val="0068660A"/>
    <w:rsid w:val="0068660F"/>
    <w:rsid w:val="00686648"/>
    <w:rsid w:val="006866CC"/>
    <w:rsid w:val="006866EF"/>
    <w:rsid w:val="006867BA"/>
    <w:rsid w:val="00686857"/>
    <w:rsid w:val="00686858"/>
    <w:rsid w:val="0068698B"/>
    <w:rsid w:val="006869C9"/>
    <w:rsid w:val="00686A14"/>
    <w:rsid w:val="00686AFF"/>
    <w:rsid w:val="00686B19"/>
    <w:rsid w:val="00686B48"/>
    <w:rsid w:val="00686BAE"/>
    <w:rsid w:val="00686C1A"/>
    <w:rsid w:val="00686CA3"/>
    <w:rsid w:val="00686CE5"/>
    <w:rsid w:val="00686D11"/>
    <w:rsid w:val="00686D42"/>
    <w:rsid w:val="00686DA8"/>
    <w:rsid w:val="00686DC3"/>
    <w:rsid w:val="00686E1E"/>
    <w:rsid w:val="00686E54"/>
    <w:rsid w:val="00686E80"/>
    <w:rsid w:val="00686EB4"/>
    <w:rsid w:val="00686F38"/>
    <w:rsid w:val="00686F62"/>
    <w:rsid w:val="00686FCE"/>
    <w:rsid w:val="0068701B"/>
    <w:rsid w:val="00687050"/>
    <w:rsid w:val="00687063"/>
    <w:rsid w:val="006870DA"/>
    <w:rsid w:val="00687148"/>
    <w:rsid w:val="006871A0"/>
    <w:rsid w:val="006871A5"/>
    <w:rsid w:val="006871AF"/>
    <w:rsid w:val="00687212"/>
    <w:rsid w:val="0068724A"/>
    <w:rsid w:val="00687270"/>
    <w:rsid w:val="00687324"/>
    <w:rsid w:val="0068732E"/>
    <w:rsid w:val="006873DE"/>
    <w:rsid w:val="006873E9"/>
    <w:rsid w:val="0068745F"/>
    <w:rsid w:val="006874E2"/>
    <w:rsid w:val="00687505"/>
    <w:rsid w:val="006875BB"/>
    <w:rsid w:val="006875C8"/>
    <w:rsid w:val="0068762A"/>
    <w:rsid w:val="00687634"/>
    <w:rsid w:val="0068763B"/>
    <w:rsid w:val="00687715"/>
    <w:rsid w:val="00687738"/>
    <w:rsid w:val="0068774E"/>
    <w:rsid w:val="006877A0"/>
    <w:rsid w:val="006877A1"/>
    <w:rsid w:val="006877C2"/>
    <w:rsid w:val="006877C6"/>
    <w:rsid w:val="00687892"/>
    <w:rsid w:val="006878D1"/>
    <w:rsid w:val="00687964"/>
    <w:rsid w:val="006879E2"/>
    <w:rsid w:val="00687A73"/>
    <w:rsid w:val="00687A7B"/>
    <w:rsid w:val="00687B14"/>
    <w:rsid w:val="00687B4A"/>
    <w:rsid w:val="00687B5E"/>
    <w:rsid w:val="00687B63"/>
    <w:rsid w:val="00687BB0"/>
    <w:rsid w:val="00687BE8"/>
    <w:rsid w:val="00687C0B"/>
    <w:rsid w:val="00687C21"/>
    <w:rsid w:val="00687C62"/>
    <w:rsid w:val="00687C63"/>
    <w:rsid w:val="00687D62"/>
    <w:rsid w:val="00687D75"/>
    <w:rsid w:val="00687D8C"/>
    <w:rsid w:val="00687D98"/>
    <w:rsid w:val="00687DAA"/>
    <w:rsid w:val="00687E0D"/>
    <w:rsid w:val="00687E47"/>
    <w:rsid w:val="00687EE3"/>
    <w:rsid w:val="00687F26"/>
    <w:rsid w:val="00687FF5"/>
    <w:rsid w:val="0068D4D8"/>
    <w:rsid w:val="00690014"/>
    <w:rsid w:val="0069003E"/>
    <w:rsid w:val="00690217"/>
    <w:rsid w:val="00690231"/>
    <w:rsid w:val="0069040F"/>
    <w:rsid w:val="0069044B"/>
    <w:rsid w:val="00690451"/>
    <w:rsid w:val="00690454"/>
    <w:rsid w:val="00690461"/>
    <w:rsid w:val="00690478"/>
    <w:rsid w:val="006904C2"/>
    <w:rsid w:val="006904F0"/>
    <w:rsid w:val="0069053C"/>
    <w:rsid w:val="0069057D"/>
    <w:rsid w:val="0069058C"/>
    <w:rsid w:val="0069059E"/>
    <w:rsid w:val="006905F6"/>
    <w:rsid w:val="00690614"/>
    <w:rsid w:val="00690683"/>
    <w:rsid w:val="006906E7"/>
    <w:rsid w:val="006906F6"/>
    <w:rsid w:val="00690702"/>
    <w:rsid w:val="0069077E"/>
    <w:rsid w:val="00690834"/>
    <w:rsid w:val="00690856"/>
    <w:rsid w:val="006908B3"/>
    <w:rsid w:val="006908B9"/>
    <w:rsid w:val="00690988"/>
    <w:rsid w:val="0069099F"/>
    <w:rsid w:val="006909A8"/>
    <w:rsid w:val="006909EB"/>
    <w:rsid w:val="00690A12"/>
    <w:rsid w:val="00690A16"/>
    <w:rsid w:val="00690A24"/>
    <w:rsid w:val="00690A6B"/>
    <w:rsid w:val="00690A7A"/>
    <w:rsid w:val="00690AC9"/>
    <w:rsid w:val="00690B62"/>
    <w:rsid w:val="00690B7E"/>
    <w:rsid w:val="00690C64"/>
    <w:rsid w:val="00690C7A"/>
    <w:rsid w:val="00690C88"/>
    <w:rsid w:val="00690CFA"/>
    <w:rsid w:val="00690D1C"/>
    <w:rsid w:val="00690D35"/>
    <w:rsid w:val="00690DD9"/>
    <w:rsid w:val="00690E09"/>
    <w:rsid w:val="00690E11"/>
    <w:rsid w:val="00690E18"/>
    <w:rsid w:val="00690E1A"/>
    <w:rsid w:val="00690ECA"/>
    <w:rsid w:val="00690ED4"/>
    <w:rsid w:val="00690EEE"/>
    <w:rsid w:val="00690F5D"/>
    <w:rsid w:val="00690F97"/>
    <w:rsid w:val="00690FF8"/>
    <w:rsid w:val="00691049"/>
    <w:rsid w:val="0069104B"/>
    <w:rsid w:val="00691057"/>
    <w:rsid w:val="0069106D"/>
    <w:rsid w:val="006910A8"/>
    <w:rsid w:val="006910E8"/>
    <w:rsid w:val="00691150"/>
    <w:rsid w:val="006911CD"/>
    <w:rsid w:val="00691274"/>
    <w:rsid w:val="0069129F"/>
    <w:rsid w:val="00691325"/>
    <w:rsid w:val="006913A7"/>
    <w:rsid w:val="00691431"/>
    <w:rsid w:val="0069144A"/>
    <w:rsid w:val="0069145B"/>
    <w:rsid w:val="006914A5"/>
    <w:rsid w:val="00691547"/>
    <w:rsid w:val="0069155F"/>
    <w:rsid w:val="00691560"/>
    <w:rsid w:val="00691705"/>
    <w:rsid w:val="0069171C"/>
    <w:rsid w:val="00691747"/>
    <w:rsid w:val="0069175A"/>
    <w:rsid w:val="006917B6"/>
    <w:rsid w:val="006917D0"/>
    <w:rsid w:val="006918E7"/>
    <w:rsid w:val="00691926"/>
    <w:rsid w:val="00691A11"/>
    <w:rsid w:val="00691A5B"/>
    <w:rsid w:val="00691A68"/>
    <w:rsid w:val="00691A87"/>
    <w:rsid w:val="00691BA4"/>
    <w:rsid w:val="00691BCB"/>
    <w:rsid w:val="00691C06"/>
    <w:rsid w:val="00691C8E"/>
    <w:rsid w:val="00691C98"/>
    <w:rsid w:val="00691C9A"/>
    <w:rsid w:val="00691CDE"/>
    <w:rsid w:val="00691D2B"/>
    <w:rsid w:val="00691D62"/>
    <w:rsid w:val="00691E8B"/>
    <w:rsid w:val="00691EB0"/>
    <w:rsid w:val="00691ED2"/>
    <w:rsid w:val="00691EFF"/>
    <w:rsid w:val="00691F0A"/>
    <w:rsid w:val="00691F86"/>
    <w:rsid w:val="00691FAB"/>
    <w:rsid w:val="0069205F"/>
    <w:rsid w:val="00692094"/>
    <w:rsid w:val="006920BE"/>
    <w:rsid w:val="006920EB"/>
    <w:rsid w:val="00692123"/>
    <w:rsid w:val="006921D5"/>
    <w:rsid w:val="00692290"/>
    <w:rsid w:val="006922A6"/>
    <w:rsid w:val="006922E2"/>
    <w:rsid w:val="00692324"/>
    <w:rsid w:val="00692374"/>
    <w:rsid w:val="006923B3"/>
    <w:rsid w:val="006923E0"/>
    <w:rsid w:val="0069249C"/>
    <w:rsid w:val="006924C1"/>
    <w:rsid w:val="00692513"/>
    <w:rsid w:val="00692514"/>
    <w:rsid w:val="0069251A"/>
    <w:rsid w:val="0069256D"/>
    <w:rsid w:val="006925A7"/>
    <w:rsid w:val="00692698"/>
    <w:rsid w:val="006926AA"/>
    <w:rsid w:val="006927F8"/>
    <w:rsid w:val="006927FD"/>
    <w:rsid w:val="006928FD"/>
    <w:rsid w:val="0069292E"/>
    <w:rsid w:val="0069297F"/>
    <w:rsid w:val="00692A18"/>
    <w:rsid w:val="00692A6A"/>
    <w:rsid w:val="00692A9B"/>
    <w:rsid w:val="00692AEC"/>
    <w:rsid w:val="00692B27"/>
    <w:rsid w:val="00692B67"/>
    <w:rsid w:val="00692BB2"/>
    <w:rsid w:val="00692BD6"/>
    <w:rsid w:val="00692C54"/>
    <w:rsid w:val="00692C75"/>
    <w:rsid w:val="00692CD4"/>
    <w:rsid w:val="00692D87"/>
    <w:rsid w:val="00692DBB"/>
    <w:rsid w:val="00692E12"/>
    <w:rsid w:val="00692EA7"/>
    <w:rsid w:val="00692EBF"/>
    <w:rsid w:val="00692ED9"/>
    <w:rsid w:val="00692F0B"/>
    <w:rsid w:val="00692F43"/>
    <w:rsid w:val="00692F70"/>
    <w:rsid w:val="00692FBB"/>
    <w:rsid w:val="00693009"/>
    <w:rsid w:val="00693246"/>
    <w:rsid w:val="006932AF"/>
    <w:rsid w:val="0069337D"/>
    <w:rsid w:val="00693467"/>
    <w:rsid w:val="006934CF"/>
    <w:rsid w:val="006934E9"/>
    <w:rsid w:val="0069358D"/>
    <w:rsid w:val="006935E1"/>
    <w:rsid w:val="00693697"/>
    <w:rsid w:val="00693708"/>
    <w:rsid w:val="0069370B"/>
    <w:rsid w:val="00693783"/>
    <w:rsid w:val="006937C8"/>
    <w:rsid w:val="006937E2"/>
    <w:rsid w:val="00693810"/>
    <w:rsid w:val="00693864"/>
    <w:rsid w:val="006938A0"/>
    <w:rsid w:val="006938C9"/>
    <w:rsid w:val="00693913"/>
    <w:rsid w:val="00693914"/>
    <w:rsid w:val="00693927"/>
    <w:rsid w:val="00693981"/>
    <w:rsid w:val="00693994"/>
    <w:rsid w:val="006939CE"/>
    <w:rsid w:val="006939EB"/>
    <w:rsid w:val="00693A07"/>
    <w:rsid w:val="00693A0C"/>
    <w:rsid w:val="00693A39"/>
    <w:rsid w:val="00693A52"/>
    <w:rsid w:val="00693B26"/>
    <w:rsid w:val="00693B27"/>
    <w:rsid w:val="00693CC9"/>
    <w:rsid w:val="00693CED"/>
    <w:rsid w:val="00693D40"/>
    <w:rsid w:val="00693D6A"/>
    <w:rsid w:val="00693DD8"/>
    <w:rsid w:val="00693DF6"/>
    <w:rsid w:val="00693E7E"/>
    <w:rsid w:val="00693EEE"/>
    <w:rsid w:val="00693F29"/>
    <w:rsid w:val="00693F78"/>
    <w:rsid w:val="00693F82"/>
    <w:rsid w:val="00693F8A"/>
    <w:rsid w:val="00693F94"/>
    <w:rsid w:val="00693FB2"/>
    <w:rsid w:val="006940AA"/>
    <w:rsid w:val="00694178"/>
    <w:rsid w:val="0069419F"/>
    <w:rsid w:val="006941A5"/>
    <w:rsid w:val="006941BC"/>
    <w:rsid w:val="0069424C"/>
    <w:rsid w:val="00694297"/>
    <w:rsid w:val="006942D3"/>
    <w:rsid w:val="00694397"/>
    <w:rsid w:val="006943F2"/>
    <w:rsid w:val="006943F8"/>
    <w:rsid w:val="00694416"/>
    <w:rsid w:val="006944BF"/>
    <w:rsid w:val="006944D1"/>
    <w:rsid w:val="00694501"/>
    <w:rsid w:val="00694585"/>
    <w:rsid w:val="0069466A"/>
    <w:rsid w:val="00694687"/>
    <w:rsid w:val="006946B8"/>
    <w:rsid w:val="00694788"/>
    <w:rsid w:val="006947EA"/>
    <w:rsid w:val="006948AB"/>
    <w:rsid w:val="006948D4"/>
    <w:rsid w:val="006948EC"/>
    <w:rsid w:val="00694921"/>
    <w:rsid w:val="0069496C"/>
    <w:rsid w:val="006949C8"/>
    <w:rsid w:val="00694A02"/>
    <w:rsid w:val="00694A8A"/>
    <w:rsid w:val="00694A9D"/>
    <w:rsid w:val="00694B22"/>
    <w:rsid w:val="00694B32"/>
    <w:rsid w:val="00694B35"/>
    <w:rsid w:val="00694B3A"/>
    <w:rsid w:val="00694BD1"/>
    <w:rsid w:val="00694C04"/>
    <w:rsid w:val="00694C70"/>
    <w:rsid w:val="00694CA2"/>
    <w:rsid w:val="00694CF7"/>
    <w:rsid w:val="00694FC9"/>
    <w:rsid w:val="0069504D"/>
    <w:rsid w:val="00695062"/>
    <w:rsid w:val="00695073"/>
    <w:rsid w:val="006950BF"/>
    <w:rsid w:val="006950E2"/>
    <w:rsid w:val="006950EE"/>
    <w:rsid w:val="0069511F"/>
    <w:rsid w:val="0069518B"/>
    <w:rsid w:val="00695206"/>
    <w:rsid w:val="00695247"/>
    <w:rsid w:val="00695248"/>
    <w:rsid w:val="006952D9"/>
    <w:rsid w:val="006952E1"/>
    <w:rsid w:val="006952F9"/>
    <w:rsid w:val="0069538F"/>
    <w:rsid w:val="006953C6"/>
    <w:rsid w:val="0069545D"/>
    <w:rsid w:val="006954AA"/>
    <w:rsid w:val="006954D7"/>
    <w:rsid w:val="00695541"/>
    <w:rsid w:val="00695548"/>
    <w:rsid w:val="0069555E"/>
    <w:rsid w:val="006955AB"/>
    <w:rsid w:val="006955BF"/>
    <w:rsid w:val="006955EE"/>
    <w:rsid w:val="006955F6"/>
    <w:rsid w:val="006957C4"/>
    <w:rsid w:val="0069580E"/>
    <w:rsid w:val="00695847"/>
    <w:rsid w:val="0069587E"/>
    <w:rsid w:val="00695904"/>
    <w:rsid w:val="00695958"/>
    <w:rsid w:val="00695967"/>
    <w:rsid w:val="0069598F"/>
    <w:rsid w:val="00695992"/>
    <w:rsid w:val="006959E8"/>
    <w:rsid w:val="00695AD2"/>
    <w:rsid w:val="00695AD7"/>
    <w:rsid w:val="00695AFE"/>
    <w:rsid w:val="00695B25"/>
    <w:rsid w:val="00695B94"/>
    <w:rsid w:val="00695BBF"/>
    <w:rsid w:val="00695C50"/>
    <w:rsid w:val="00695D2F"/>
    <w:rsid w:val="00695D37"/>
    <w:rsid w:val="00695D5C"/>
    <w:rsid w:val="00695DCA"/>
    <w:rsid w:val="00695DFF"/>
    <w:rsid w:val="00695E48"/>
    <w:rsid w:val="00695E57"/>
    <w:rsid w:val="00695ED6"/>
    <w:rsid w:val="00695EF6"/>
    <w:rsid w:val="00695F27"/>
    <w:rsid w:val="00695F2C"/>
    <w:rsid w:val="00695F6C"/>
    <w:rsid w:val="00695FAE"/>
    <w:rsid w:val="00695FD2"/>
    <w:rsid w:val="00696008"/>
    <w:rsid w:val="00696070"/>
    <w:rsid w:val="006960A8"/>
    <w:rsid w:val="006960B8"/>
    <w:rsid w:val="006960B9"/>
    <w:rsid w:val="00696139"/>
    <w:rsid w:val="00696148"/>
    <w:rsid w:val="006961E4"/>
    <w:rsid w:val="006961ED"/>
    <w:rsid w:val="00696205"/>
    <w:rsid w:val="0069620B"/>
    <w:rsid w:val="00696311"/>
    <w:rsid w:val="00696342"/>
    <w:rsid w:val="00696384"/>
    <w:rsid w:val="006963B5"/>
    <w:rsid w:val="00696406"/>
    <w:rsid w:val="006964DD"/>
    <w:rsid w:val="00696520"/>
    <w:rsid w:val="006965A2"/>
    <w:rsid w:val="00696632"/>
    <w:rsid w:val="0069667F"/>
    <w:rsid w:val="0069674F"/>
    <w:rsid w:val="00696775"/>
    <w:rsid w:val="00696878"/>
    <w:rsid w:val="00696918"/>
    <w:rsid w:val="00696938"/>
    <w:rsid w:val="0069693C"/>
    <w:rsid w:val="0069694F"/>
    <w:rsid w:val="00696975"/>
    <w:rsid w:val="00696978"/>
    <w:rsid w:val="006969A4"/>
    <w:rsid w:val="00696A07"/>
    <w:rsid w:val="00696A46"/>
    <w:rsid w:val="00696A64"/>
    <w:rsid w:val="00696AE3"/>
    <w:rsid w:val="00696B98"/>
    <w:rsid w:val="00696BE9"/>
    <w:rsid w:val="00696C79"/>
    <w:rsid w:val="00696C87"/>
    <w:rsid w:val="00696C9D"/>
    <w:rsid w:val="00696CD1"/>
    <w:rsid w:val="00696D51"/>
    <w:rsid w:val="00696D7C"/>
    <w:rsid w:val="00696D7F"/>
    <w:rsid w:val="00696DA6"/>
    <w:rsid w:val="00696E95"/>
    <w:rsid w:val="00696F2C"/>
    <w:rsid w:val="00696F71"/>
    <w:rsid w:val="00696FBF"/>
    <w:rsid w:val="00696FFB"/>
    <w:rsid w:val="00697099"/>
    <w:rsid w:val="006970D3"/>
    <w:rsid w:val="006971E1"/>
    <w:rsid w:val="006971E8"/>
    <w:rsid w:val="0069725D"/>
    <w:rsid w:val="006972DD"/>
    <w:rsid w:val="00697512"/>
    <w:rsid w:val="0069753A"/>
    <w:rsid w:val="0069758A"/>
    <w:rsid w:val="006975E5"/>
    <w:rsid w:val="006975EA"/>
    <w:rsid w:val="006975F2"/>
    <w:rsid w:val="0069760C"/>
    <w:rsid w:val="0069772D"/>
    <w:rsid w:val="0069773B"/>
    <w:rsid w:val="0069777C"/>
    <w:rsid w:val="006977BA"/>
    <w:rsid w:val="006977D6"/>
    <w:rsid w:val="006977E3"/>
    <w:rsid w:val="00697895"/>
    <w:rsid w:val="006978D1"/>
    <w:rsid w:val="006978ED"/>
    <w:rsid w:val="00697905"/>
    <w:rsid w:val="00697B6A"/>
    <w:rsid w:val="00697BA6"/>
    <w:rsid w:val="00697BAC"/>
    <w:rsid w:val="00697BCC"/>
    <w:rsid w:val="00697BF3"/>
    <w:rsid w:val="00697BFE"/>
    <w:rsid w:val="00697C83"/>
    <w:rsid w:val="00697C8B"/>
    <w:rsid w:val="00697CFB"/>
    <w:rsid w:val="00697D2C"/>
    <w:rsid w:val="00697D2E"/>
    <w:rsid w:val="00697D3F"/>
    <w:rsid w:val="00697D5F"/>
    <w:rsid w:val="00697D6F"/>
    <w:rsid w:val="00697DA1"/>
    <w:rsid w:val="00697DB4"/>
    <w:rsid w:val="00697DCF"/>
    <w:rsid w:val="00697E53"/>
    <w:rsid w:val="00697E8B"/>
    <w:rsid w:val="00697F19"/>
    <w:rsid w:val="00697FAA"/>
    <w:rsid w:val="006A000C"/>
    <w:rsid w:val="006A0074"/>
    <w:rsid w:val="006A012E"/>
    <w:rsid w:val="006A01B8"/>
    <w:rsid w:val="006A01E4"/>
    <w:rsid w:val="006A0206"/>
    <w:rsid w:val="006A0217"/>
    <w:rsid w:val="006A023E"/>
    <w:rsid w:val="006A0286"/>
    <w:rsid w:val="006A02C5"/>
    <w:rsid w:val="006A02F9"/>
    <w:rsid w:val="006A0382"/>
    <w:rsid w:val="006A0395"/>
    <w:rsid w:val="006A0460"/>
    <w:rsid w:val="006A0461"/>
    <w:rsid w:val="006A046F"/>
    <w:rsid w:val="006A0488"/>
    <w:rsid w:val="006A04FE"/>
    <w:rsid w:val="006A056E"/>
    <w:rsid w:val="006A0592"/>
    <w:rsid w:val="006A05DA"/>
    <w:rsid w:val="006A0660"/>
    <w:rsid w:val="006A067F"/>
    <w:rsid w:val="006A06B4"/>
    <w:rsid w:val="006A074B"/>
    <w:rsid w:val="006A0789"/>
    <w:rsid w:val="006A0841"/>
    <w:rsid w:val="006A0A51"/>
    <w:rsid w:val="006A0ABE"/>
    <w:rsid w:val="006A0B8A"/>
    <w:rsid w:val="006A0BFA"/>
    <w:rsid w:val="006A0C32"/>
    <w:rsid w:val="006A0C68"/>
    <w:rsid w:val="006A0C9D"/>
    <w:rsid w:val="006A0CB2"/>
    <w:rsid w:val="006A0CDB"/>
    <w:rsid w:val="006A0CDC"/>
    <w:rsid w:val="006A0D3A"/>
    <w:rsid w:val="006A0D75"/>
    <w:rsid w:val="006A0DB2"/>
    <w:rsid w:val="006A0DFA"/>
    <w:rsid w:val="006A0E13"/>
    <w:rsid w:val="006A0E15"/>
    <w:rsid w:val="006A0F4B"/>
    <w:rsid w:val="006A0FFB"/>
    <w:rsid w:val="006A0FFC"/>
    <w:rsid w:val="006A102F"/>
    <w:rsid w:val="006A1033"/>
    <w:rsid w:val="006A1101"/>
    <w:rsid w:val="006A1109"/>
    <w:rsid w:val="006A111D"/>
    <w:rsid w:val="006A115F"/>
    <w:rsid w:val="006A1173"/>
    <w:rsid w:val="006A11F4"/>
    <w:rsid w:val="006A1265"/>
    <w:rsid w:val="006A1353"/>
    <w:rsid w:val="006A1376"/>
    <w:rsid w:val="006A13DE"/>
    <w:rsid w:val="006A145C"/>
    <w:rsid w:val="006A14A4"/>
    <w:rsid w:val="006A1595"/>
    <w:rsid w:val="006A15B5"/>
    <w:rsid w:val="006A15FB"/>
    <w:rsid w:val="006A16BC"/>
    <w:rsid w:val="006A16D9"/>
    <w:rsid w:val="006A16DB"/>
    <w:rsid w:val="006A1711"/>
    <w:rsid w:val="006A1737"/>
    <w:rsid w:val="006A17D3"/>
    <w:rsid w:val="006A182F"/>
    <w:rsid w:val="006A18BF"/>
    <w:rsid w:val="006A18E1"/>
    <w:rsid w:val="006A1937"/>
    <w:rsid w:val="006A19E9"/>
    <w:rsid w:val="006A1AAA"/>
    <w:rsid w:val="006A1ADB"/>
    <w:rsid w:val="006A1B39"/>
    <w:rsid w:val="006A1B4D"/>
    <w:rsid w:val="006A1B9B"/>
    <w:rsid w:val="006A1C19"/>
    <w:rsid w:val="006A1C7F"/>
    <w:rsid w:val="006A1C8A"/>
    <w:rsid w:val="006A1CB6"/>
    <w:rsid w:val="006A1D4D"/>
    <w:rsid w:val="006A1D66"/>
    <w:rsid w:val="006A1DB8"/>
    <w:rsid w:val="006A1E3B"/>
    <w:rsid w:val="006A1E77"/>
    <w:rsid w:val="006A1EAE"/>
    <w:rsid w:val="006A1F33"/>
    <w:rsid w:val="006A1F60"/>
    <w:rsid w:val="006A2027"/>
    <w:rsid w:val="006A205B"/>
    <w:rsid w:val="006A205D"/>
    <w:rsid w:val="006A2135"/>
    <w:rsid w:val="006A215B"/>
    <w:rsid w:val="006A21A7"/>
    <w:rsid w:val="006A21E5"/>
    <w:rsid w:val="006A223F"/>
    <w:rsid w:val="006A2245"/>
    <w:rsid w:val="006A22F8"/>
    <w:rsid w:val="006A23AE"/>
    <w:rsid w:val="006A2424"/>
    <w:rsid w:val="006A242E"/>
    <w:rsid w:val="006A2465"/>
    <w:rsid w:val="006A24DD"/>
    <w:rsid w:val="006A255A"/>
    <w:rsid w:val="006A25C9"/>
    <w:rsid w:val="006A25DF"/>
    <w:rsid w:val="006A25F5"/>
    <w:rsid w:val="006A25FF"/>
    <w:rsid w:val="006A260D"/>
    <w:rsid w:val="006A2696"/>
    <w:rsid w:val="006A271C"/>
    <w:rsid w:val="006A2782"/>
    <w:rsid w:val="006A27AA"/>
    <w:rsid w:val="006A27E9"/>
    <w:rsid w:val="006A2844"/>
    <w:rsid w:val="006A28B5"/>
    <w:rsid w:val="006A28CB"/>
    <w:rsid w:val="006A291E"/>
    <w:rsid w:val="006A2963"/>
    <w:rsid w:val="006A297F"/>
    <w:rsid w:val="006A29A5"/>
    <w:rsid w:val="006A29BE"/>
    <w:rsid w:val="006A29EA"/>
    <w:rsid w:val="006A2A06"/>
    <w:rsid w:val="006A2A12"/>
    <w:rsid w:val="006A2A1A"/>
    <w:rsid w:val="006A2B45"/>
    <w:rsid w:val="006A2B9D"/>
    <w:rsid w:val="006A2CE0"/>
    <w:rsid w:val="006A2D02"/>
    <w:rsid w:val="006A2D5A"/>
    <w:rsid w:val="006A2DB3"/>
    <w:rsid w:val="006A2DBB"/>
    <w:rsid w:val="006A2DE2"/>
    <w:rsid w:val="006A2E86"/>
    <w:rsid w:val="006A2EAB"/>
    <w:rsid w:val="006A2EB4"/>
    <w:rsid w:val="006A2EC9"/>
    <w:rsid w:val="006A2ECB"/>
    <w:rsid w:val="006A2F1F"/>
    <w:rsid w:val="006A2F34"/>
    <w:rsid w:val="006A2F61"/>
    <w:rsid w:val="006A2F6D"/>
    <w:rsid w:val="006A2FD6"/>
    <w:rsid w:val="006A2FDE"/>
    <w:rsid w:val="006A3052"/>
    <w:rsid w:val="006A30DA"/>
    <w:rsid w:val="006A311E"/>
    <w:rsid w:val="006A31B5"/>
    <w:rsid w:val="006A31E9"/>
    <w:rsid w:val="006A31F4"/>
    <w:rsid w:val="006A31F7"/>
    <w:rsid w:val="006A3254"/>
    <w:rsid w:val="006A3285"/>
    <w:rsid w:val="006A32BE"/>
    <w:rsid w:val="006A32EB"/>
    <w:rsid w:val="006A332C"/>
    <w:rsid w:val="006A3353"/>
    <w:rsid w:val="006A340E"/>
    <w:rsid w:val="006A3431"/>
    <w:rsid w:val="006A348D"/>
    <w:rsid w:val="006A349B"/>
    <w:rsid w:val="006A35CA"/>
    <w:rsid w:val="006A3603"/>
    <w:rsid w:val="006A3659"/>
    <w:rsid w:val="006A36FC"/>
    <w:rsid w:val="006A3728"/>
    <w:rsid w:val="006A37A6"/>
    <w:rsid w:val="006A37E2"/>
    <w:rsid w:val="006A380C"/>
    <w:rsid w:val="006A386E"/>
    <w:rsid w:val="006A388F"/>
    <w:rsid w:val="006A397F"/>
    <w:rsid w:val="006A3997"/>
    <w:rsid w:val="006A39E9"/>
    <w:rsid w:val="006A3A23"/>
    <w:rsid w:val="006A3A53"/>
    <w:rsid w:val="006A3AA1"/>
    <w:rsid w:val="006A3AC6"/>
    <w:rsid w:val="006A3B01"/>
    <w:rsid w:val="006A3BB9"/>
    <w:rsid w:val="006A3BBB"/>
    <w:rsid w:val="006A3C01"/>
    <w:rsid w:val="006A3C21"/>
    <w:rsid w:val="006A3C37"/>
    <w:rsid w:val="006A3C3C"/>
    <w:rsid w:val="006A3C45"/>
    <w:rsid w:val="006A3C4D"/>
    <w:rsid w:val="006A3C66"/>
    <w:rsid w:val="006A3CF0"/>
    <w:rsid w:val="006A3CF9"/>
    <w:rsid w:val="006A3D41"/>
    <w:rsid w:val="006A3DCD"/>
    <w:rsid w:val="006A3DEC"/>
    <w:rsid w:val="006A3E40"/>
    <w:rsid w:val="006A3E4B"/>
    <w:rsid w:val="006A3E63"/>
    <w:rsid w:val="006A3ECB"/>
    <w:rsid w:val="006A3EF5"/>
    <w:rsid w:val="006A3F69"/>
    <w:rsid w:val="006A4035"/>
    <w:rsid w:val="006A409C"/>
    <w:rsid w:val="006A40B4"/>
    <w:rsid w:val="006A40CE"/>
    <w:rsid w:val="006A414C"/>
    <w:rsid w:val="006A41B2"/>
    <w:rsid w:val="006A41D2"/>
    <w:rsid w:val="006A421A"/>
    <w:rsid w:val="006A421F"/>
    <w:rsid w:val="006A4232"/>
    <w:rsid w:val="006A42F2"/>
    <w:rsid w:val="006A4304"/>
    <w:rsid w:val="006A436F"/>
    <w:rsid w:val="006A43A2"/>
    <w:rsid w:val="006A440D"/>
    <w:rsid w:val="006A4427"/>
    <w:rsid w:val="006A443B"/>
    <w:rsid w:val="006A443D"/>
    <w:rsid w:val="006A447A"/>
    <w:rsid w:val="006A44DA"/>
    <w:rsid w:val="006A45D9"/>
    <w:rsid w:val="006A45E0"/>
    <w:rsid w:val="006A4601"/>
    <w:rsid w:val="006A4633"/>
    <w:rsid w:val="006A469B"/>
    <w:rsid w:val="006A46E1"/>
    <w:rsid w:val="006A4704"/>
    <w:rsid w:val="006A4750"/>
    <w:rsid w:val="006A4836"/>
    <w:rsid w:val="006A4840"/>
    <w:rsid w:val="006A4883"/>
    <w:rsid w:val="006A48B4"/>
    <w:rsid w:val="006A48B9"/>
    <w:rsid w:val="006A48DB"/>
    <w:rsid w:val="006A4936"/>
    <w:rsid w:val="006A49E9"/>
    <w:rsid w:val="006A49EB"/>
    <w:rsid w:val="006A49F2"/>
    <w:rsid w:val="006A4A75"/>
    <w:rsid w:val="006A4ABB"/>
    <w:rsid w:val="006A4AD6"/>
    <w:rsid w:val="006A4B20"/>
    <w:rsid w:val="006A4B22"/>
    <w:rsid w:val="006A4B3E"/>
    <w:rsid w:val="006A4B80"/>
    <w:rsid w:val="006A4BC7"/>
    <w:rsid w:val="006A4CD6"/>
    <w:rsid w:val="006A4CFA"/>
    <w:rsid w:val="006A4D42"/>
    <w:rsid w:val="006A4D4D"/>
    <w:rsid w:val="006A4D5A"/>
    <w:rsid w:val="006A4DD4"/>
    <w:rsid w:val="006A4E4D"/>
    <w:rsid w:val="006A4EEC"/>
    <w:rsid w:val="006A4F37"/>
    <w:rsid w:val="006A4F86"/>
    <w:rsid w:val="006A4FCC"/>
    <w:rsid w:val="006A500B"/>
    <w:rsid w:val="006A5083"/>
    <w:rsid w:val="006A5230"/>
    <w:rsid w:val="006A52CA"/>
    <w:rsid w:val="006A5338"/>
    <w:rsid w:val="006A536D"/>
    <w:rsid w:val="006A538C"/>
    <w:rsid w:val="006A5394"/>
    <w:rsid w:val="006A53EC"/>
    <w:rsid w:val="006A53FC"/>
    <w:rsid w:val="006A54D1"/>
    <w:rsid w:val="006A5596"/>
    <w:rsid w:val="006A5601"/>
    <w:rsid w:val="006A56E1"/>
    <w:rsid w:val="006A5836"/>
    <w:rsid w:val="006A58F3"/>
    <w:rsid w:val="006A5928"/>
    <w:rsid w:val="006A594A"/>
    <w:rsid w:val="006A5959"/>
    <w:rsid w:val="006A59F3"/>
    <w:rsid w:val="006A5A52"/>
    <w:rsid w:val="006A5A66"/>
    <w:rsid w:val="006A5B17"/>
    <w:rsid w:val="006A5B7C"/>
    <w:rsid w:val="006A5BA1"/>
    <w:rsid w:val="006A5C11"/>
    <w:rsid w:val="006A5C16"/>
    <w:rsid w:val="006A5C65"/>
    <w:rsid w:val="006A5C7C"/>
    <w:rsid w:val="006A5C7D"/>
    <w:rsid w:val="006A5CCF"/>
    <w:rsid w:val="006A5CEA"/>
    <w:rsid w:val="006A5CF1"/>
    <w:rsid w:val="006A5CF9"/>
    <w:rsid w:val="006A5D7F"/>
    <w:rsid w:val="006A5DC3"/>
    <w:rsid w:val="006A5E32"/>
    <w:rsid w:val="006A5E58"/>
    <w:rsid w:val="006A5EBD"/>
    <w:rsid w:val="006A5EDD"/>
    <w:rsid w:val="006A5FA7"/>
    <w:rsid w:val="006A5FDC"/>
    <w:rsid w:val="006A5FEA"/>
    <w:rsid w:val="006A6011"/>
    <w:rsid w:val="006A6028"/>
    <w:rsid w:val="006A6030"/>
    <w:rsid w:val="006A6036"/>
    <w:rsid w:val="006A604E"/>
    <w:rsid w:val="006A6074"/>
    <w:rsid w:val="006A6108"/>
    <w:rsid w:val="006A614F"/>
    <w:rsid w:val="006A61EA"/>
    <w:rsid w:val="006A623F"/>
    <w:rsid w:val="006A6305"/>
    <w:rsid w:val="006A638B"/>
    <w:rsid w:val="006A639A"/>
    <w:rsid w:val="006A63AF"/>
    <w:rsid w:val="006A63F2"/>
    <w:rsid w:val="006A651B"/>
    <w:rsid w:val="006A657B"/>
    <w:rsid w:val="006A65D2"/>
    <w:rsid w:val="006A65EE"/>
    <w:rsid w:val="006A6655"/>
    <w:rsid w:val="006A6682"/>
    <w:rsid w:val="006A66F4"/>
    <w:rsid w:val="006A6759"/>
    <w:rsid w:val="006A6766"/>
    <w:rsid w:val="006A6821"/>
    <w:rsid w:val="006A68AD"/>
    <w:rsid w:val="006A6916"/>
    <w:rsid w:val="006A6959"/>
    <w:rsid w:val="006A696B"/>
    <w:rsid w:val="006A6971"/>
    <w:rsid w:val="006A6977"/>
    <w:rsid w:val="006A698F"/>
    <w:rsid w:val="006A69E8"/>
    <w:rsid w:val="006A6A36"/>
    <w:rsid w:val="006A6A65"/>
    <w:rsid w:val="006A6A74"/>
    <w:rsid w:val="006A6A7F"/>
    <w:rsid w:val="006A6ADC"/>
    <w:rsid w:val="006A6BA7"/>
    <w:rsid w:val="006A6C0A"/>
    <w:rsid w:val="006A6C0D"/>
    <w:rsid w:val="006A6CCE"/>
    <w:rsid w:val="006A6CD0"/>
    <w:rsid w:val="006A6DDB"/>
    <w:rsid w:val="006A6E7E"/>
    <w:rsid w:val="006A6EA3"/>
    <w:rsid w:val="006A6EF7"/>
    <w:rsid w:val="006A6FE6"/>
    <w:rsid w:val="006A6FFB"/>
    <w:rsid w:val="006A7012"/>
    <w:rsid w:val="006A7018"/>
    <w:rsid w:val="006A7067"/>
    <w:rsid w:val="006A7079"/>
    <w:rsid w:val="006A70F3"/>
    <w:rsid w:val="006A70F4"/>
    <w:rsid w:val="006A7111"/>
    <w:rsid w:val="006A71A6"/>
    <w:rsid w:val="006A71E9"/>
    <w:rsid w:val="006A724B"/>
    <w:rsid w:val="006A725A"/>
    <w:rsid w:val="006A7279"/>
    <w:rsid w:val="006A7323"/>
    <w:rsid w:val="006A73A0"/>
    <w:rsid w:val="006A73C2"/>
    <w:rsid w:val="006A7520"/>
    <w:rsid w:val="006A7527"/>
    <w:rsid w:val="006A760D"/>
    <w:rsid w:val="006A7668"/>
    <w:rsid w:val="006A769C"/>
    <w:rsid w:val="006A7719"/>
    <w:rsid w:val="006A775E"/>
    <w:rsid w:val="006A77C0"/>
    <w:rsid w:val="006A7808"/>
    <w:rsid w:val="006A780E"/>
    <w:rsid w:val="006A7820"/>
    <w:rsid w:val="006A79D7"/>
    <w:rsid w:val="006A7A9F"/>
    <w:rsid w:val="006A7AC4"/>
    <w:rsid w:val="006A7AD3"/>
    <w:rsid w:val="006A7AFD"/>
    <w:rsid w:val="006A7C38"/>
    <w:rsid w:val="006A7CA7"/>
    <w:rsid w:val="006A7CC8"/>
    <w:rsid w:val="006A7CDA"/>
    <w:rsid w:val="006A7D82"/>
    <w:rsid w:val="006A7D9B"/>
    <w:rsid w:val="006A7DE5"/>
    <w:rsid w:val="006A7EE3"/>
    <w:rsid w:val="006A7F20"/>
    <w:rsid w:val="006A7F38"/>
    <w:rsid w:val="006A7F39"/>
    <w:rsid w:val="006A7FA2"/>
    <w:rsid w:val="006B005B"/>
    <w:rsid w:val="006B007D"/>
    <w:rsid w:val="006B007F"/>
    <w:rsid w:val="006B00AF"/>
    <w:rsid w:val="006B00D6"/>
    <w:rsid w:val="006B0151"/>
    <w:rsid w:val="006B01D2"/>
    <w:rsid w:val="006B01E4"/>
    <w:rsid w:val="006B01EE"/>
    <w:rsid w:val="006B0250"/>
    <w:rsid w:val="006B0280"/>
    <w:rsid w:val="006B02CB"/>
    <w:rsid w:val="006B02D7"/>
    <w:rsid w:val="006B02DC"/>
    <w:rsid w:val="006B02DE"/>
    <w:rsid w:val="006B02F2"/>
    <w:rsid w:val="006B02FF"/>
    <w:rsid w:val="006B030A"/>
    <w:rsid w:val="006B0336"/>
    <w:rsid w:val="006B03BE"/>
    <w:rsid w:val="006B0502"/>
    <w:rsid w:val="006B056F"/>
    <w:rsid w:val="006B05B4"/>
    <w:rsid w:val="006B05B6"/>
    <w:rsid w:val="006B05BA"/>
    <w:rsid w:val="006B05F7"/>
    <w:rsid w:val="006B0647"/>
    <w:rsid w:val="006B065C"/>
    <w:rsid w:val="006B06B5"/>
    <w:rsid w:val="006B06EE"/>
    <w:rsid w:val="006B0798"/>
    <w:rsid w:val="006B07AB"/>
    <w:rsid w:val="006B07E8"/>
    <w:rsid w:val="006B082F"/>
    <w:rsid w:val="006B084B"/>
    <w:rsid w:val="006B087E"/>
    <w:rsid w:val="006B087F"/>
    <w:rsid w:val="006B08C5"/>
    <w:rsid w:val="006B08EC"/>
    <w:rsid w:val="006B090B"/>
    <w:rsid w:val="006B090D"/>
    <w:rsid w:val="006B091B"/>
    <w:rsid w:val="006B0932"/>
    <w:rsid w:val="006B094C"/>
    <w:rsid w:val="006B096A"/>
    <w:rsid w:val="006B0A21"/>
    <w:rsid w:val="006B0A22"/>
    <w:rsid w:val="006B0ABB"/>
    <w:rsid w:val="006B0AE8"/>
    <w:rsid w:val="006B0AF1"/>
    <w:rsid w:val="006B0B23"/>
    <w:rsid w:val="006B0B2E"/>
    <w:rsid w:val="006B0B37"/>
    <w:rsid w:val="006B0B4F"/>
    <w:rsid w:val="006B0B58"/>
    <w:rsid w:val="006B0B6A"/>
    <w:rsid w:val="006B0BA5"/>
    <w:rsid w:val="006B0BFB"/>
    <w:rsid w:val="006B0C47"/>
    <w:rsid w:val="006B0D58"/>
    <w:rsid w:val="006B0D76"/>
    <w:rsid w:val="006B0DBB"/>
    <w:rsid w:val="006B0E0B"/>
    <w:rsid w:val="006B0E27"/>
    <w:rsid w:val="006B0E6D"/>
    <w:rsid w:val="006B0E88"/>
    <w:rsid w:val="006B0F87"/>
    <w:rsid w:val="006B0FE5"/>
    <w:rsid w:val="006B1063"/>
    <w:rsid w:val="006B1074"/>
    <w:rsid w:val="006B107C"/>
    <w:rsid w:val="006B1093"/>
    <w:rsid w:val="006B1170"/>
    <w:rsid w:val="006B118A"/>
    <w:rsid w:val="006B1211"/>
    <w:rsid w:val="006B1236"/>
    <w:rsid w:val="006B127D"/>
    <w:rsid w:val="006B12BA"/>
    <w:rsid w:val="006B12CD"/>
    <w:rsid w:val="006B1466"/>
    <w:rsid w:val="006B1476"/>
    <w:rsid w:val="006B148B"/>
    <w:rsid w:val="006B148F"/>
    <w:rsid w:val="006B1558"/>
    <w:rsid w:val="006B1598"/>
    <w:rsid w:val="006B159C"/>
    <w:rsid w:val="006B1684"/>
    <w:rsid w:val="006B16B5"/>
    <w:rsid w:val="006B1700"/>
    <w:rsid w:val="006B1743"/>
    <w:rsid w:val="006B1787"/>
    <w:rsid w:val="006B17B2"/>
    <w:rsid w:val="006B17E6"/>
    <w:rsid w:val="006B17E9"/>
    <w:rsid w:val="006B1822"/>
    <w:rsid w:val="006B18F7"/>
    <w:rsid w:val="006B191B"/>
    <w:rsid w:val="006B194D"/>
    <w:rsid w:val="006B19CD"/>
    <w:rsid w:val="006B1A2B"/>
    <w:rsid w:val="006B1A6F"/>
    <w:rsid w:val="006B1A8D"/>
    <w:rsid w:val="006B1A93"/>
    <w:rsid w:val="006B1AE4"/>
    <w:rsid w:val="006B1AFC"/>
    <w:rsid w:val="006B1B3F"/>
    <w:rsid w:val="006B1BB3"/>
    <w:rsid w:val="006B1BD6"/>
    <w:rsid w:val="006B1C09"/>
    <w:rsid w:val="006B1C20"/>
    <w:rsid w:val="006B1C74"/>
    <w:rsid w:val="006B1C82"/>
    <w:rsid w:val="006B1C9D"/>
    <w:rsid w:val="006B1CC0"/>
    <w:rsid w:val="006B1D02"/>
    <w:rsid w:val="006B1D73"/>
    <w:rsid w:val="006B1D8D"/>
    <w:rsid w:val="006B1E01"/>
    <w:rsid w:val="006B1E1C"/>
    <w:rsid w:val="006B1E97"/>
    <w:rsid w:val="006B1EAA"/>
    <w:rsid w:val="006B1F05"/>
    <w:rsid w:val="006B1F64"/>
    <w:rsid w:val="006B1F69"/>
    <w:rsid w:val="006B1F77"/>
    <w:rsid w:val="006B1FD4"/>
    <w:rsid w:val="006B2058"/>
    <w:rsid w:val="006B207F"/>
    <w:rsid w:val="006B2094"/>
    <w:rsid w:val="006B20AC"/>
    <w:rsid w:val="006B2174"/>
    <w:rsid w:val="006B218C"/>
    <w:rsid w:val="006B2193"/>
    <w:rsid w:val="006B2197"/>
    <w:rsid w:val="006B21B1"/>
    <w:rsid w:val="006B21C1"/>
    <w:rsid w:val="006B228B"/>
    <w:rsid w:val="006B22F5"/>
    <w:rsid w:val="006B22F9"/>
    <w:rsid w:val="006B2341"/>
    <w:rsid w:val="006B2383"/>
    <w:rsid w:val="006B23AF"/>
    <w:rsid w:val="006B23D8"/>
    <w:rsid w:val="006B2440"/>
    <w:rsid w:val="006B2458"/>
    <w:rsid w:val="006B246B"/>
    <w:rsid w:val="006B24A1"/>
    <w:rsid w:val="006B24FA"/>
    <w:rsid w:val="006B24FC"/>
    <w:rsid w:val="006B2534"/>
    <w:rsid w:val="006B254D"/>
    <w:rsid w:val="006B25E6"/>
    <w:rsid w:val="006B2692"/>
    <w:rsid w:val="006B26C7"/>
    <w:rsid w:val="006B26FA"/>
    <w:rsid w:val="006B27D6"/>
    <w:rsid w:val="006B282C"/>
    <w:rsid w:val="006B284C"/>
    <w:rsid w:val="006B286F"/>
    <w:rsid w:val="006B28B2"/>
    <w:rsid w:val="006B28F9"/>
    <w:rsid w:val="006B29CC"/>
    <w:rsid w:val="006B2A4F"/>
    <w:rsid w:val="006B2A53"/>
    <w:rsid w:val="006B2A6B"/>
    <w:rsid w:val="006B2A9F"/>
    <w:rsid w:val="006B2AAA"/>
    <w:rsid w:val="006B2AB2"/>
    <w:rsid w:val="006B2ADB"/>
    <w:rsid w:val="006B2AF5"/>
    <w:rsid w:val="006B2B03"/>
    <w:rsid w:val="006B2B50"/>
    <w:rsid w:val="006B2B67"/>
    <w:rsid w:val="006B2B72"/>
    <w:rsid w:val="006B2BBA"/>
    <w:rsid w:val="006B2CF7"/>
    <w:rsid w:val="006B2DDE"/>
    <w:rsid w:val="006B2DF6"/>
    <w:rsid w:val="006B2EE8"/>
    <w:rsid w:val="006B2F63"/>
    <w:rsid w:val="006B2F9F"/>
    <w:rsid w:val="006B2FBA"/>
    <w:rsid w:val="006B3082"/>
    <w:rsid w:val="006B30BB"/>
    <w:rsid w:val="006B3105"/>
    <w:rsid w:val="006B3123"/>
    <w:rsid w:val="006B3206"/>
    <w:rsid w:val="006B3209"/>
    <w:rsid w:val="006B3231"/>
    <w:rsid w:val="006B323B"/>
    <w:rsid w:val="006B323E"/>
    <w:rsid w:val="006B324B"/>
    <w:rsid w:val="006B3309"/>
    <w:rsid w:val="006B331D"/>
    <w:rsid w:val="006B3374"/>
    <w:rsid w:val="006B33AF"/>
    <w:rsid w:val="006B33D4"/>
    <w:rsid w:val="006B33F0"/>
    <w:rsid w:val="006B3498"/>
    <w:rsid w:val="006B34BE"/>
    <w:rsid w:val="006B34CF"/>
    <w:rsid w:val="006B371C"/>
    <w:rsid w:val="006B3763"/>
    <w:rsid w:val="006B38A4"/>
    <w:rsid w:val="006B3950"/>
    <w:rsid w:val="006B3993"/>
    <w:rsid w:val="006B39AD"/>
    <w:rsid w:val="006B39C4"/>
    <w:rsid w:val="006B39F7"/>
    <w:rsid w:val="006B3A56"/>
    <w:rsid w:val="006B3AA9"/>
    <w:rsid w:val="006B3AD6"/>
    <w:rsid w:val="006B3B82"/>
    <w:rsid w:val="006B3CB4"/>
    <w:rsid w:val="006B3CB5"/>
    <w:rsid w:val="006B3D0F"/>
    <w:rsid w:val="006B3D4B"/>
    <w:rsid w:val="006B3DB3"/>
    <w:rsid w:val="006B3DDE"/>
    <w:rsid w:val="006B3E45"/>
    <w:rsid w:val="006B3E47"/>
    <w:rsid w:val="006B3E4D"/>
    <w:rsid w:val="006B3E65"/>
    <w:rsid w:val="006B3F16"/>
    <w:rsid w:val="006B3F65"/>
    <w:rsid w:val="006B3FC3"/>
    <w:rsid w:val="006B3FDF"/>
    <w:rsid w:val="006B404E"/>
    <w:rsid w:val="006B407C"/>
    <w:rsid w:val="006B4103"/>
    <w:rsid w:val="006B418B"/>
    <w:rsid w:val="006B41A9"/>
    <w:rsid w:val="006B4207"/>
    <w:rsid w:val="006B4257"/>
    <w:rsid w:val="006B425F"/>
    <w:rsid w:val="006B42B2"/>
    <w:rsid w:val="006B42F2"/>
    <w:rsid w:val="006B432E"/>
    <w:rsid w:val="006B435F"/>
    <w:rsid w:val="006B43C1"/>
    <w:rsid w:val="006B43C9"/>
    <w:rsid w:val="006B43D7"/>
    <w:rsid w:val="006B43F6"/>
    <w:rsid w:val="006B4488"/>
    <w:rsid w:val="006B4520"/>
    <w:rsid w:val="006B456D"/>
    <w:rsid w:val="006B457A"/>
    <w:rsid w:val="006B45CE"/>
    <w:rsid w:val="006B46E3"/>
    <w:rsid w:val="006B4721"/>
    <w:rsid w:val="006B4745"/>
    <w:rsid w:val="006B4812"/>
    <w:rsid w:val="006B4834"/>
    <w:rsid w:val="006B4866"/>
    <w:rsid w:val="006B4883"/>
    <w:rsid w:val="006B48D0"/>
    <w:rsid w:val="006B4958"/>
    <w:rsid w:val="006B49DD"/>
    <w:rsid w:val="006B4A3E"/>
    <w:rsid w:val="006B4AB4"/>
    <w:rsid w:val="006B4AF4"/>
    <w:rsid w:val="006B4AFB"/>
    <w:rsid w:val="006B4B42"/>
    <w:rsid w:val="006B4B90"/>
    <w:rsid w:val="006B4BC6"/>
    <w:rsid w:val="006B4BCF"/>
    <w:rsid w:val="006B4C5A"/>
    <w:rsid w:val="006B4CB2"/>
    <w:rsid w:val="006B4D60"/>
    <w:rsid w:val="006B4DD1"/>
    <w:rsid w:val="006B4E13"/>
    <w:rsid w:val="006B4E39"/>
    <w:rsid w:val="006B4E3F"/>
    <w:rsid w:val="006B4E95"/>
    <w:rsid w:val="006B4EB1"/>
    <w:rsid w:val="006B4F3B"/>
    <w:rsid w:val="006B5038"/>
    <w:rsid w:val="006B509C"/>
    <w:rsid w:val="006B50A6"/>
    <w:rsid w:val="006B518D"/>
    <w:rsid w:val="006B523E"/>
    <w:rsid w:val="006B52B6"/>
    <w:rsid w:val="006B53D0"/>
    <w:rsid w:val="006B5463"/>
    <w:rsid w:val="006B54DC"/>
    <w:rsid w:val="006B5523"/>
    <w:rsid w:val="006B553B"/>
    <w:rsid w:val="006B562E"/>
    <w:rsid w:val="006B573F"/>
    <w:rsid w:val="006B578A"/>
    <w:rsid w:val="006B578C"/>
    <w:rsid w:val="006B57A9"/>
    <w:rsid w:val="006B5862"/>
    <w:rsid w:val="006B58BE"/>
    <w:rsid w:val="006B58C0"/>
    <w:rsid w:val="006B595B"/>
    <w:rsid w:val="006B5961"/>
    <w:rsid w:val="006B5962"/>
    <w:rsid w:val="006B59E0"/>
    <w:rsid w:val="006B5B1B"/>
    <w:rsid w:val="006B5B1D"/>
    <w:rsid w:val="006B5B67"/>
    <w:rsid w:val="006B5C12"/>
    <w:rsid w:val="006B5C21"/>
    <w:rsid w:val="006B5C9A"/>
    <w:rsid w:val="006B5CB2"/>
    <w:rsid w:val="006B5CE5"/>
    <w:rsid w:val="006B5E66"/>
    <w:rsid w:val="006B5F67"/>
    <w:rsid w:val="006B5FB5"/>
    <w:rsid w:val="006B5FD9"/>
    <w:rsid w:val="006B6008"/>
    <w:rsid w:val="006B6011"/>
    <w:rsid w:val="006B6055"/>
    <w:rsid w:val="006B6102"/>
    <w:rsid w:val="006B61E7"/>
    <w:rsid w:val="006B6245"/>
    <w:rsid w:val="006B6290"/>
    <w:rsid w:val="006B6311"/>
    <w:rsid w:val="006B6351"/>
    <w:rsid w:val="006B639F"/>
    <w:rsid w:val="006B643A"/>
    <w:rsid w:val="006B64FE"/>
    <w:rsid w:val="006B661E"/>
    <w:rsid w:val="006B6633"/>
    <w:rsid w:val="006B667A"/>
    <w:rsid w:val="006B6697"/>
    <w:rsid w:val="006B66A1"/>
    <w:rsid w:val="006B66A6"/>
    <w:rsid w:val="006B66E2"/>
    <w:rsid w:val="006B6791"/>
    <w:rsid w:val="006B6800"/>
    <w:rsid w:val="006B6814"/>
    <w:rsid w:val="006B68E7"/>
    <w:rsid w:val="006B68EA"/>
    <w:rsid w:val="006B691B"/>
    <w:rsid w:val="006B6974"/>
    <w:rsid w:val="006B69FA"/>
    <w:rsid w:val="006B6B0B"/>
    <w:rsid w:val="006B6B4A"/>
    <w:rsid w:val="006B6B93"/>
    <w:rsid w:val="006B6B96"/>
    <w:rsid w:val="006B6BE6"/>
    <w:rsid w:val="006B6C3F"/>
    <w:rsid w:val="006B6C40"/>
    <w:rsid w:val="006B6CCD"/>
    <w:rsid w:val="006B6D09"/>
    <w:rsid w:val="006B6D97"/>
    <w:rsid w:val="006B6D99"/>
    <w:rsid w:val="006B6DEA"/>
    <w:rsid w:val="006B6DEB"/>
    <w:rsid w:val="006B6FA6"/>
    <w:rsid w:val="006B6FAB"/>
    <w:rsid w:val="006B6FEB"/>
    <w:rsid w:val="006B709E"/>
    <w:rsid w:val="006B70BB"/>
    <w:rsid w:val="006B71A1"/>
    <w:rsid w:val="006B71EB"/>
    <w:rsid w:val="006B7201"/>
    <w:rsid w:val="006B720F"/>
    <w:rsid w:val="006B7222"/>
    <w:rsid w:val="006B7267"/>
    <w:rsid w:val="006B7280"/>
    <w:rsid w:val="006B7298"/>
    <w:rsid w:val="006B72E5"/>
    <w:rsid w:val="006B731F"/>
    <w:rsid w:val="006B736B"/>
    <w:rsid w:val="006B736F"/>
    <w:rsid w:val="006B73E7"/>
    <w:rsid w:val="006B7415"/>
    <w:rsid w:val="006B74CD"/>
    <w:rsid w:val="006B7524"/>
    <w:rsid w:val="006B752D"/>
    <w:rsid w:val="006B7611"/>
    <w:rsid w:val="006B7727"/>
    <w:rsid w:val="006B778D"/>
    <w:rsid w:val="006B7793"/>
    <w:rsid w:val="006B77B1"/>
    <w:rsid w:val="006B77DF"/>
    <w:rsid w:val="006B77E9"/>
    <w:rsid w:val="006B79DB"/>
    <w:rsid w:val="006B79DD"/>
    <w:rsid w:val="006B7A2C"/>
    <w:rsid w:val="006B7A52"/>
    <w:rsid w:val="006B7A6C"/>
    <w:rsid w:val="006B7AE7"/>
    <w:rsid w:val="006B7AEC"/>
    <w:rsid w:val="006B7AEE"/>
    <w:rsid w:val="006B7B26"/>
    <w:rsid w:val="006B7BC4"/>
    <w:rsid w:val="006B7BF3"/>
    <w:rsid w:val="006B7D3E"/>
    <w:rsid w:val="006B7D67"/>
    <w:rsid w:val="006B7D9C"/>
    <w:rsid w:val="006B7DEC"/>
    <w:rsid w:val="006B7EA0"/>
    <w:rsid w:val="006B7EB5"/>
    <w:rsid w:val="006B7EC0"/>
    <w:rsid w:val="006B7F3E"/>
    <w:rsid w:val="006B7F7F"/>
    <w:rsid w:val="006B7FE4"/>
    <w:rsid w:val="006B7FFA"/>
    <w:rsid w:val="006C008D"/>
    <w:rsid w:val="006C00C7"/>
    <w:rsid w:val="006C00FE"/>
    <w:rsid w:val="006C01BB"/>
    <w:rsid w:val="006C01E6"/>
    <w:rsid w:val="006C0268"/>
    <w:rsid w:val="006C0316"/>
    <w:rsid w:val="006C032C"/>
    <w:rsid w:val="006C036E"/>
    <w:rsid w:val="006C037E"/>
    <w:rsid w:val="006C03C4"/>
    <w:rsid w:val="006C0407"/>
    <w:rsid w:val="006C0416"/>
    <w:rsid w:val="006C042E"/>
    <w:rsid w:val="006C046A"/>
    <w:rsid w:val="006C0473"/>
    <w:rsid w:val="006C048C"/>
    <w:rsid w:val="006C04F4"/>
    <w:rsid w:val="006C0539"/>
    <w:rsid w:val="006C062E"/>
    <w:rsid w:val="006C0651"/>
    <w:rsid w:val="006C06B2"/>
    <w:rsid w:val="006C06B8"/>
    <w:rsid w:val="006C078E"/>
    <w:rsid w:val="006C07DC"/>
    <w:rsid w:val="006C07E0"/>
    <w:rsid w:val="006C083F"/>
    <w:rsid w:val="006C0853"/>
    <w:rsid w:val="006C091C"/>
    <w:rsid w:val="006C09B9"/>
    <w:rsid w:val="006C09F9"/>
    <w:rsid w:val="006C0A73"/>
    <w:rsid w:val="006C0B35"/>
    <w:rsid w:val="006C0B68"/>
    <w:rsid w:val="006C0B9F"/>
    <w:rsid w:val="006C0BBB"/>
    <w:rsid w:val="006C0C33"/>
    <w:rsid w:val="006C0C86"/>
    <w:rsid w:val="006C0CB0"/>
    <w:rsid w:val="006C0CDA"/>
    <w:rsid w:val="006C0D7C"/>
    <w:rsid w:val="006C0DE6"/>
    <w:rsid w:val="006C0E34"/>
    <w:rsid w:val="006C0E5F"/>
    <w:rsid w:val="006C0F0D"/>
    <w:rsid w:val="006C0F3B"/>
    <w:rsid w:val="006C0F7C"/>
    <w:rsid w:val="006C1037"/>
    <w:rsid w:val="006C103A"/>
    <w:rsid w:val="006C117D"/>
    <w:rsid w:val="006C11C2"/>
    <w:rsid w:val="006C11DE"/>
    <w:rsid w:val="006C124F"/>
    <w:rsid w:val="006C128D"/>
    <w:rsid w:val="006C1290"/>
    <w:rsid w:val="006C12B3"/>
    <w:rsid w:val="006C1310"/>
    <w:rsid w:val="006C1313"/>
    <w:rsid w:val="006C1333"/>
    <w:rsid w:val="006C135A"/>
    <w:rsid w:val="006C13D9"/>
    <w:rsid w:val="006C13DB"/>
    <w:rsid w:val="006C13EB"/>
    <w:rsid w:val="006C142E"/>
    <w:rsid w:val="006C148B"/>
    <w:rsid w:val="006C154D"/>
    <w:rsid w:val="006C158D"/>
    <w:rsid w:val="006C15CE"/>
    <w:rsid w:val="006C161C"/>
    <w:rsid w:val="006C1639"/>
    <w:rsid w:val="006C16BA"/>
    <w:rsid w:val="006C16D6"/>
    <w:rsid w:val="006C170A"/>
    <w:rsid w:val="006C17C6"/>
    <w:rsid w:val="006C1873"/>
    <w:rsid w:val="006C1956"/>
    <w:rsid w:val="006C19DC"/>
    <w:rsid w:val="006C1A68"/>
    <w:rsid w:val="006C1A7C"/>
    <w:rsid w:val="006C1A97"/>
    <w:rsid w:val="006C1AE3"/>
    <w:rsid w:val="006C1B45"/>
    <w:rsid w:val="006C1B65"/>
    <w:rsid w:val="006C1CA4"/>
    <w:rsid w:val="006C1CAA"/>
    <w:rsid w:val="006C1D24"/>
    <w:rsid w:val="006C1D81"/>
    <w:rsid w:val="006C1DF3"/>
    <w:rsid w:val="006C1E16"/>
    <w:rsid w:val="006C1E3C"/>
    <w:rsid w:val="006C1EBD"/>
    <w:rsid w:val="006C1EBF"/>
    <w:rsid w:val="006C1ED7"/>
    <w:rsid w:val="006C1EDB"/>
    <w:rsid w:val="006C1FB1"/>
    <w:rsid w:val="006C1FE0"/>
    <w:rsid w:val="006C2008"/>
    <w:rsid w:val="006C2009"/>
    <w:rsid w:val="006C2094"/>
    <w:rsid w:val="006C215C"/>
    <w:rsid w:val="006C2180"/>
    <w:rsid w:val="006C21F1"/>
    <w:rsid w:val="006C223A"/>
    <w:rsid w:val="006C2253"/>
    <w:rsid w:val="006C234F"/>
    <w:rsid w:val="006C23DB"/>
    <w:rsid w:val="006C24AB"/>
    <w:rsid w:val="006C24C7"/>
    <w:rsid w:val="006C2547"/>
    <w:rsid w:val="006C2552"/>
    <w:rsid w:val="006C25A6"/>
    <w:rsid w:val="006C2601"/>
    <w:rsid w:val="006C2651"/>
    <w:rsid w:val="006C267C"/>
    <w:rsid w:val="006C2773"/>
    <w:rsid w:val="006C279C"/>
    <w:rsid w:val="006C283D"/>
    <w:rsid w:val="006C2884"/>
    <w:rsid w:val="006C28F7"/>
    <w:rsid w:val="006C2951"/>
    <w:rsid w:val="006C2973"/>
    <w:rsid w:val="006C297E"/>
    <w:rsid w:val="006C29C1"/>
    <w:rsid w:val="006C29C8"/>
    <w:rsid w:val="006C29FA"/>
    <w:rsid w:val="006C2A3C"/>
    <w:rsid w:val="006C2A4F"/>
    <w:rsid w:val="006C2A95"/>
    <w:rsid w:val="006C2B33"/>
    <w:rsid w:val="006C2B61"/>
    <w:rsid w:val="006C2B83"/>
    <w:rsid w:val="006C2BAA"/>
    <w:rsid w:val="006C2BB6"/>
    <w:rsid w:val="006C2C64"/>
    <w:rsid w:val="006C2C82"/>
    <w:rsid w:val="006C2C86"/>
    <w:rsid w:val="006C2CD7"/>
    <w:rsid w:val="006C2D04"/>
    <w:rsid w:val="006C2D08"/>
    <w:rsid w:val="006C2D60"/>
    <w:rsid w:val="006C2E0E"/>
    <w:rsid w:val="006C2E17"/>
    <w:rsid w:val="006C2EEA"/>
    <w:rsid w:val="006C2F04"/>
    <w:rsid w:val="006C2FF4"/>
    <w:rsid w:val="006C3050"/>
    <w:rsid w:val="006C314E"/>
    <w:rsid w:val="006C31CA"/>
    <w:rsid w:val="006C31DF"/>
    <w:rsid w:val="006C31EB"/>
    <w:rsid w:val="006C3292"/>
    <w:rsid w:val="006C32A9"/>
    <w:rsid w:val="006C32D5"/>
    <w:rsid w:val="006C33C5"/>
    <w:rsid w:val="006C33E3"/>
    <w:rsid w:val="006C33EA"/>
    <w:rsid w:val="006C344B"/>
    <w:rsid w:val="006C3459"/>
    <w:rsid w:val="006C3490"/>
    <w:rsid w:val="006C34D9"/>
    <w:rsid w:val="006C3585"/>
    <w:rsid w:val="006C3611"/>
    <w:rsid w:val="006C363D"/>
    <w:rsid w:val="006C3765"/>
    <w:rsid w:val="006C3770"/>
    <w:rsid w:val="006C37B9"/>
    <w:rsid w:val="006C37E6"/>
    <w:rsid w:val="006C3802"/>
    <w:rsid w:val="006C382F"/>
    <w:rsid w:val="006C383B"/>
    <w:rsid w:val="006C3847"/>
    <w:rsid w:val="006C3868"/>
    <w:rsid w:val="006C38C4"/>
    <w:rsid w:val="006C38CC"/>
    <w:rsid w:val="006C3A4C"/>
    <w:rsid w:val="006C3A75"/>
    <w:rsid w:val="006C3AB1"/>
    <w:rsid w:val="006C3AB4"/>
    <w:rsid w:val="006C3B5F"/>
    <w:rsid w:val="006C3BFD"/>
    <w:rsid w:val="006C3C1A"/>
    <w:rsid w:val="006C3C40"/>
    <w:rsid w:val="006C3F5F"/>
    <w:rsid w:val="006C3F85"/>
    <w:rsid w:val="006C400B"/>
    <w:rsid w:val="006C4061"/>
    <w:rsid w:val="006C4064"/>
    <w:rsid w:val="006C4098"/>
    <w:rsid w:val="006C40ED"/>
    <w:rsid w:val="006C40EE"/>
    <w:rsid w:val="006C4121"/>
    <w:rsid w:val="006C417B"/>
    <w:rsid w:val="006C425F"/>
    <w:rsid w:val="006C4268"/>
    <w:rsid w:val="006C4286"/>
    <w:rsid w:val="006C42DF"/>
    <w:rsid w:val="006C42F7"/>
    <w:rsid w:val="006C4362"/>
    <w:rsid w:val="006C44A5"/>
    <w:rsid w:val="006C4553"/>
    <w:rsid w:val="006C463A"/>
    <w:rsid w:val="006C4658"/>
    <w:rsid w:val="006C474B"/>
    <w:rsid w:val="006C4788"/>
    <w:rsid w:val="006C4895"/>
    <w:rsid w:val="006C490A"/>
    <w:rsid w:val="006C4950"/>
    <w:rsid w:val="006C49F4"/>
    <w:rsid w:val="006C4A7D"/>
    <w:rsid w:val="006C4A87"/>
    <w:rsid w:val="006C4AF1"/>
    <w:rsid w:val="006C4B17"/>
    <w:rsid w:val="006C4B3A"/>
    <w:rsid w:val="006C4B94"/>
    <w:rsid w:val="006C4BC9"/>
    <w:rsid w:val="006C4BCD"/>
    <w:rsid w:val="006C4BE3"/>
    <w:rsid w:val="006C4C52"/>
    <w:rsid w:val="006C4C65"/>
    <w:rsid w:val="006C4CAD"/>
    <w:rsid w:val="006C4CD0"/>
    <w:rsid w:val="006C4D19"/>
    <w:rsid w:val="006C4D4E"/>
    <w:rsid w:val="006C4D61"/>
    <w:rsid w:val="006C4DC3"/>
    <w:rsid w:val="006C4DF5"/>
    <w:rsid w:val="006C4E0F"/>
    <w:rsid w:val="006C4E66"/>
    <w:rsid w:val="006C4E9E"/>
    <w:rsid w:val="006C4F2B"/>
    <w:rsid w:val="006C4F85"/>
    <w:rsid w:val="006C4F9D"/>
    <w:rsid w:val="006C4FA1"/>
    <w:rsid w:val="006C4FC8"/>
    <w:rsid w:val="006C4FF1"/>
    <w:rsid w:val="006C501B"/>
    <w:rsid w:val="006C505A"/>
    <w:rsid w:val="006C51F7"/>
    <w:rsid w:val="006C5245"/>
    <w:rsid w:val="006C5260"/>
    <w:rsid w:val="006C5295"/>
    <w:rsid w:val="006C52C8"/>
    <w:rsid w:val="006C5382"/>
    <w:rsid w:val="006C5392"/>
    <w:rsid w:val="006C5452"/>
    <w:rsid w:val="006C551B"/>
    <w:rsid w:val="006C5578"/>
    <w:rsid w:val="006C55A7"/>
    <w:rsid w:val="006C55D2"/>
    <w:rsid w:val="006C560D"/>
    <w:rsid w:val="006C5719"/>
    <w:rsid w:val="006C5741"/>
    <w:rsid w:val="006C577E"/>
    <w:rsid w:val="006C5843"/>
    <w:rsid w:val="006C5863"/>
    <w:rsid w:val="006C5909"/>
    <w:rsid w:val="006C5954"/>
    <w:rsid w:val="006C596A"/>
    <w:rsid w:val="006C598B"/>
    <w:rsid w:val="006C59A4"/>
    <w:rsid w:val="006C5A00"/>
    <w:rsid w:val="006C5AA4"/>
    <w:rsid w:val="006C5B38"/>
    <w:rsid w:val="006C5B83"/>
    <w:rsid w:val="006C5BCF"/>
    <w:rsid w:val="006C5C2D"/>
    <w:rsid w:val="006C5C8E"/>
    <w:rsid w:val="006C5E59"/>
    <w:rsid w:val="006C5EDB"/>
    <w:rsid w:val="006C5EE7"/>
    <w:rsid w:val="006C5EE9"/>
    <w:rsid w:val="006C5F47"/>
    <w:rsid w:val="006C5F6C"/>
    <w:rsid w:val="006C5FAF"/>
    <w:rsid w:val="006C5FB4"/>
    <w:rsid w:val="006C6075"/>
    <w:rsid w:val="006C60A3"/>
    <w:rsid w:val="006C60C6"/>
    <w:rsid w:val="006C6163"/>
    <w:rsid w:val="006C6174"/>
    <w:rsid w:val="006C6187"/>
    <w:rsid w:val="006C61A8"/>
    <w:rsid w:val="006C61EF"/>
    <w:rsid w:val="006C6237"/>
    <w:rsid w:val="006C6245"/>
    <w:rsid w:val="006C6256"/>
    <w:rsid w:val="006C6260"/>
    <w:rsid w:val="006C62CF"/>
    <w:rsid w:val="006C6328"/>
    <w:rsid w:val="006C63A8"/>
    <w:rsid w:val="006C63B8"/>
    <w:rsid w:val="006C63CA"/>
    <w:rsid w:val="006C6401"/>
    <w:rsid w:val="006C6418"/>
    <w:rsid w:val="006C641B"/>
    <w:rsid w:val="006C642F"/>
    <w:rsid w:val="006C6432"/>
    <w:rsid w:val="006C6455"/>
    <w:rsid w:val="006C6472"/>
    <w:rsid w:val="006C64C2"/>
    <w:rsid w:val="006C64DC"/>
    <w:rsid w:val="006C6519"/>
    <w:rsid w:val="006C6535"/>
    <w:rsid w:val="006C65D3"/>
    <w:rsid w:val="006C65D5"/>
    <w:rsid w:val="006C65DC"/>
    <w:rsid w:val="006C661F"/>
    <w:rsid w:val="006C669E"/>
    <w:rsid w:val="006C67A1"/>
    <w:rsid w:val="006C67E1"/>
    <w:rsid w:val="006C686C"/>
    <w:rsid w:val="006C6891"/>
    <w:rsid w:val="006C68DD"/>
    <w:rsid w:val="006C6906"/>
    <w:rsid w:val="006C6907"/>
    <w:rsid w:val="006C6921"/>
    <w:rsid w:val="006C69C1"/>
    <w:rsid w:val="006C69E7"/>
    <w:rsid w:val="006C6A17"/>
    <w:rsid w:val="006C6A7E"/>
    <w:rsid w:val="006C6AB0"/>
    <w:rsid w:val="006C6B30"/>
    <w:rsid w:val="006C6C25"/>
    <w:rsid w:val="006C6C6B"/>
    <w:rsid w:val="006C6D46"/>
    <w:rsid w:val="006C6D8B"/>
    <w:rsid w:val="006C6E16"/>
    <w:rsid w:val="006C6E5C"/>
    <w:rsid w:val="006C6F24"/>
    <w:rsid w:val="006C6F55"/>
    <w:rsid w:val="006C6FAD"/>
    <w:rsid w:val="006C6FE6"/>
    <w:rsid w:val="006C6FF6"/>
    <w:rsid w:val="006C706C"/>
    <w:rsid w:val="006C7077"/>
    <w:rsid w:val="006C7196"/>
    <w:rsid w:val="006C7212"/>
    <w:rsid w:val="006C7213"/>
    <w:rsid w:val="006C729B"/>
    <w:rsid w:val="006C72D0"/>
    <w:rsid w:val="006C73ED"/>
    <w:rsid w:val="006C7484"/>
    <w:rsid w:val="006C74C3"/>
    <w:rsid w:val="006C7706"/>
    <w:rsid w:val="006C772C"/>
    <w:rsid w:val="006C7804"/>
    <w:rsid w:val="006C7964"/>
    <w:rsid w:val="006C799E"/>
    <w:rsid w:val="006C7AD4"/>
    <w:rsid w:val="006C7BBE"/>
    <w:rsid w:val="006C7C30"/>
    <w:rsid w:val="006C7C50"/>
    <w:rsid w:val="006C7C75"/>
    <w:rsid w:val="006C7D53"/>
    <w:rsid w:val="006C7DC2"/>
    <w:rsid w:val="006C7DC5"/>
    <w:rsid w:val="006C7E87"/>
    <w:rsid w:val="006C7F27"/>
    <w:rsid w:val="006C7FDF"/>
    <w:rsid w:val="006C7FF9"/>
    <w:rsid w:val="006C7FFC"/>
    <w:rsid w:val="006D0008"/>
    <w:rsid w:val="006D0047"/>
    <w:rsid w:val="006D007C"/>
    <w:rsid w:val="006D007D"/>
    <w:rsid w:val="006D0093"/>
    <w:rsid w:val="006D00D6"/>
    <w:rsid w:val="006D00F5"/>
    <w:rsid w:val="006D0144"/>
    <w:rsid w:val="006D0163"/>
    <w:rsid w:val="006D0169"/>
    <w:rsid w:val="006D0185"/>
    <w:rsid w:val="006D0193"/>
    <w:rsid w:val="006D01A3"/>
    <w:rsid w:val="006D0211"/>
    <w:rsid w:val="006D0226"/>
    <w:rsid w:val="006D024C"/>
    <w:rsid w:val="006D02EB"/>
    <w:rsid w:val="006D0365"/>
    <w:rsid w:val="006D0374"/>
    <w:rsid w:val="006D03B3"/>
    <w:rsid w:val="006D03F0"/>
    <w:rsid w:val="006D0440"/>
    <w:rsid w:val="006D05AB"/>
    <w:rsid w:val="006D0605"/>
    <w:rsid w:val="006D069D"/>
    <w:rsid w:val="006D06EE"/>
    <w:rsid w:val="006D07B8"/>
    <w:rsid w:val="006D080C"/>
    <w:rsid w:val="006D081B"/>
    <w:rsid w:val="006D085E"/>
    <w:rsid w:val="006D088A"/>
    <w:rsid w:val="006D08E5"/>
    <w:rsid w:val="006D0969"/>
    <w:rsid w:val="006D099E"/>
    <w:rsid w:val="006D09A7"/>
    <w:rsid w:val="006D0A75"/>
    <w:rsid w:val="006D0AA0"/>
    <w:rsid w:val="006D0AA7"/>
    <w:rsid w:val="006D0ACF"/>
    <w:rsid w:val="006D0B1A"/>
    <w:rsid w:val="006D0C58"/>
    <w:rsid w:val="006D0C86"/>
    <w:rsid w:val="006D0C9F"/>
    <w:rsid w:val="006D0CE9"/>
    <w:rsid w:val="006D0D1E"/>
    <w:rsid w:val="006D0D3C"/>
    <w:rsid w:val="006D0D62"/>
    <w:rsid w:val="006D0D7D"/>
    <w:rsid w:val="006D0E1A"/>
    <w:rsid w:val="006D0EB3"/>
    <w:rsid w:val="006D0EB4"/>
    <w:rsid w:val="006D0F53"/>
    <w:rsid w:val="006D0F5F"/>
    <w:rsid w:val="006D0FFF"/>
    <w:rsid w:val="006D1251"/>
    <w:rsid w:val="006D135C"/>
    <w:rsid w:val="006D1379"/>
    <w:rsid w:val="006D139B"/>
    <w:rsid w:val="006D13A2"/>
    <w:rsid w:val="006D13CB"/>
    <w:rsid w:val="006D149B"/>
    <w:rsid w:val="006D151C"/>
    <w:rsid w:val="006D1596"/>
    <w:rsid w:val="006D159F"/>
    <w:rsid w:val="006D16C2"/>
    <w:rsid w:val="006D1761"/>
    <w:rsid w:val="006D178C"/>
    <w:rsid w:val="006D1791"/>
    <w:rsid w:val="006D179F"/>
    <w:rsid w:val="006D17C9"/>
    <w:rsid w:val="006D181C"/>
    <w:rsid w:val="006D18AE"/>
    <w:rsid w:val="006D18C8"/>
    <w:rsid w:val="006D18D2"/>
    <w:rsid w:val="006D192E"/>
    <w:rsid w:val="006D196A"/>
    <w:rsid w:val="006D1989"/>
    <w:rsid w:val="006D199B"/>
    <w:rsid w:val="006D19A9"/>
    <w:rsid w:val="006D1A77"/>
    <w:rsid w:val="006D1AF8"/>
    <w:rsid w:val="006D1B03"/>
    <w:rsid w:val="006D1B9B"/>
    <w:rsid w:val="006D1BAE"/>
    <w:rsid w:val="006D1C04"/>
    <w:rsid w:val="006D1C40"/>
    <w:rsid w:val="006D1C42"/>
    <w:rsid w:val="006D1C48"/>
    <w:rsid w:val="006D1CA0"/>
    <w:rsid w:val="006D1CE2"/>
    <w:rsid w:val="006D1D0D"/>
    <w:rsid w:val="006D1D36"/>
    <w:rsid w:val="006D1D61"/>
    <w:rsid w:val="006D1D8F"/>
    <w:rsid w:val="006D1DC3"/>
    <w:rsid w:val="006D1DC4"/>
    <w:rsid w:val="006D1DF7"/>
    <w:rsid w:val="006D1E1E"/>
    <w:rsid w:val="006D1E21"/>
    <w:rsid w:val="006D1E90"/>
    <w:rsid w:val="006D1EA0"/>
    <w:rsid w:val="006D1EAB"/>
    <w:rsid w:val="006D2048"/>
    <w:rsid w:val="006D20B6"/>
    <w:rsid w:val="006D20D5"/>
    <w:rsid w:val="006D20E0"/>
    <w:rsid w:val="006D20FC"/>
    <w:rsid w:val="006D217F"/>
    <w:rsid w:val="006D2199"/>
    <w:rsid w:val="006D2222"/>
    <w:rsid w:val="006D22BF"/>
    <w:rsid w:val="006D2304"/>
    <w:rsid w:val="006D231E"/>
    <w:rsid w:val="006D2328"/>
    <w:rsid w:val="006D233F"/>
    <w:rsid w:val="006D235F"/>
    <w:rsid w:val="006D23E9"/>
    <w:rsid w:val="006D244A"/>
    <w:rsid w:val="006D2469"/>
    <w:rsid w:val="006D2622"/>
    <w:rsid w:val="006D263C"/>
    <w:rsid w:val="006D2700"/>
    <w:rsid w:val="006D27CF"/>
    <w:rsid w:val="006D2805"/>
    <w:rsid w:val="006D2914"/>
    <w:rsid w:val="006D2921"/>
    <w:rsid w:val="006D295D"/>
    <w:rsid w:val="006D2960"/>
    <w:rsid w:val="006D297A"/>
    <w:rsid w:val="006D2982"/>
    <w:rsid w:val="006D29DA"/>
    <w:rsid w:val="006D29EA"/>
    <w:rsid w:val="006D2A0F"/>
    <w:rsid w:val="006D2A1F"/>
    <w:rsid w:val="006D2A6E"/>
    <w:rsid w:val="006D2A73"/>
    <w:rsid w:val="006D2AC3"/>
    <w:rsid w:val="006D2B4A"/>
    <w:rsid w:val="006D2B4B"/>
    <w:rsid w:val="006D2B83"/>
    <w:rsid w:val="006D2B98"/>
    <w:rsid w:val="006D2BA4"/>
    <w:rsid w:val="006D2BCF"/>
    <w:rsid w:val="006D2C03"/>
    <w:rsid w:val="006D2D45"/>
    <w:rsid w:val="006D2D66"/>
    <w:rsid w:val="006D2E94"/>
    <w:rsid w:val="006D2F61"/>
    <w:rsid w:val="006D2F64"/>
    <w:rsid w:val="006D2FF1"/>
    <w:rsid w:val="006D30D2"/>
    <w:rsid w:val="006D30F2"/>
    <w:rsid w:val="006D3234"/>
    <w:rsid w:val="006D3253"/>
    <w:rsid w:val="006D32BB"/>
    <w:rsid w:val="006D32CC"/>
    <w:rsid w:val="006D33D8"/>
    <w:rsid w:val="006D3432"/>
    <w:rsid w:val="006D3442"/>
    <w:rsid w:val="006D344F"/>
    <w:rsid w:val="006D3528"/>
    <w:rsid w:val="006D356D"/>
    <w:rsid w:val="006D357C"/>
    <w:rsid w:val="006D35D2"/>
    <w:rsid w:val="006D35D4"/>
    <w:rsid w:val="006D368C"/>
    <w:rsid w:val="006D36B3"/>
    <w:rsid w:val="006D37B9"/>
    <w:rsid w:val="006D383A"/>
    <w:rsid w:val="006D385B"/>
    <w:rsid w:val="006D3865"/>
    <w:rsid w:val="006D3874"/>
    <w:rsid w:val="006D3898"/>
    <w:rsid w:val="006D38C6"/>
    <w:rsid w:val="006D3942"/>
    <w:rsid w:val="006D397E"/>
    <w:rsid w:val="006D3999"/>
    <w:rsid w:val="006D399E"/>
    <w:rsid w:val="006D39A9"/>
    <w:rsid w:val="006D3A20"/>
    <w:rsid w:val="006D3A28"/>
    <w:rsid w:val="006D3A48"/>
    <w:rsid w:val="006D3A9B"/>
    <w:rsid w:val="006D3A9C"/>
    <w:rsid w:val="006D3AB2"/>
    <w:rsid w:val="006D3AD5"/>
    <w:rsid w:val="006D3CF8"/>
    <w:rsid w:val="006D3D12"/>
    <w:rsid w:val="006D3D47"/>
    <w:rsid w:val="006D3D6B"/>
    <w:rsid w:val="006D3E86"/>
    <w:rsid w:val="006D3F7D"/>
    <w:rsid w:val="006D4060"/>
    <w:rsid w:val="006D406B"/>
    <w:rsid w:val="006D4097"/>
    <w:rsid w:val="006D40C7"/>
    <w:rsid w:val="006D4170"/>
    <w:rsid w:val="006D423E"/>
    <w:rsid w:val="006D43DF"/>
    <w:rsid w:val="006D440C"/>
    <w:rsid w:val="006D44DC"/>
    <w:rsid w:val="006D451E"/>
    <w:rsid w:val="006D45E0"/>
    <w:rsid w:val="006D4602"/>
    <w:rsid w:val="006D4629"/>
    <w:rsid w:val="006D4651"/>
    <w:rsid w:val="006D46A0"/>
    <w:rsid w:val="006D46DC"/>
    <w:rsid w:val="006D474E"/>
    <w:rsid w:val="006D4753"/>
    <w:rsid w:val="006D4792"/>
    <w:rsid w:val="006D4795"/>
    <w:rsid w:val="006D47BC"/>
    <w:rsid w:val="006D4813"/>
    <w:rsid w:val="006D49A6"/>
    <w:rsid w:val="006D4A22"/>
    <w:rsid w:val="006D4A40"/>
    <w:rsid w:val="006D4A70"/>
    <w:rsid w:val="006D4B3A"/>
    <w:rsid w:val="006D4B7D"/>
    <w:rsid w:val="006D4BC6"/>
    <w:rsid w:val="006D4CC5"/>
    <w:rsid w:val="006D4D3D"/>
    <w:rsid w:val="006D4D69"/>
    <w:rsid w:val="006D4E74"/>
    <w:rsid w:val="006D4F15"/>
    <w:rsid w:val="006D4F33"/>
    <w:rsid w:val="006D4FAA"/>
    <w:rsid w:val="006D4FBA"/>
    <w:rsid w:val="006D5009"/>
    <w:rsid w:val="006D5071"/>
    <w:rsid w:val="006D519F"/>
    <w:rsid w:val="006D51B9"/>
    <w:rsid w:val="006D522D"/>
    <w:rsid w:val="006D52BE"/>
    <w:rsid w:val="006D5326"/>
    <w:rsid w:val="006D5354"/>
    <w:rsid w:val="006D5373"/>
    <w:rsid w:val="006D539A"/>
    <w:rsid w:val="006D539B"/>
    <w:rsid w:val="006D5497"/>
    <w:rsid w:val="006D54B3"/>
    <w:rsid w:val="006D54CD"/>
    <w:rsid w:val="006D55C1"/>
    <w:rsid w:val="006D55D8"/>
    <w:rsid w:val="006D55F4"/>
    <w:rsid w:val="006D560C"/>
    <w:rsid w:val="006D56AE"/>
    <w:rsid w:val="006D56B5"/>
    <w:rsid w:val="006D56D7"/>
    <w:rsid w:val="006D56DA"/>
    <w:rsid w:val="006D574F"/>
    <w:rsid w:val="006D57A5"/>
    <w:rsid w:val="006D57DE"/>
    <w:rsid w:val="006D5822"/>
    <w:rsid w:val="006D5897"/>
    <w:rsid w:val="006D58FD"/>
    <w:rsid w:val="006D5A68"/>
    <w:rsid w:val="006D5A88"/>
    <w:rsid w:val="006D5A9D"/>
    <w:rsid w:val="006D5AAF"/>
    <w:rsid w:val="006D5AC5"/>
    <w:rsid w:val="006D5AFC"/>
    <w:rsid w:val="006D5C12"/>
    <w:rsid w:val="006D5C2C"/>
    <w:rsid w:val="006D5C36"/>
    <w:rsid w:val="006D5C3B"/>
    <w:rsid w:val="006D5C59"/>
    <w:rsid w:val="006D5C6E"/>
    <w:rsid w:val="006D5C7D"/>
    <w:rsid w:val="006D5CAC"/>
    <w:rsid w:val="006D5CDA"/>
    <w:rsid w:val="006D5D5C"/>
    <w:rsid w:val="006D5E4C"/>
    <w:rsid w:val="006D5E64"/>
    <w:rsid w:val="006D5E65"/>
    <w:rsid w:val="006D5E7A"/>
    <w:rsid w:val="006D5EB7"/>
    <w:rsid w:val="006D5F1A"/>
    <w:rsid w:val="006D5F1D"/>
    <w:rsid w:val="006D5F4F"/>
    <w:rsid w:val="006D5F8C"/>
    <w:rsid w:val="006D5FBE"/>
    <w:rsid w:val="006D614C"/>
    <w:rsid w:val="006D616D"/>
    <w:rsid w:val="006D6195"/>
    <w:rsid w:val="006D61DC"/>
    <w:rsid w:val="006D61E6"/>
    <w:rsid w:val="006D6340"/>
    <w:rsid w:val="006D635A"/>
    <w:rsid w:val="006D6372"/>
    <w:rsid w:val="006D6388"/>
    <w:rsid w:val="006D63D2"/>
    <w:rsid w:val="006D6423"/>
    <w:rsid w:val="006D64DB"/>
    <w:rsid w:val="006D6501"/>
    <w:rsid w:val="006D6517"/>
    <w:rsid w:val="006D657C"/>
    <w:rsid w:val="006D657D"/>
    <w:rsid w:val="006D666E"/>
    <w:rsid w:val="006D66EB"/>
    <w:rsid w:val="006D66F3"/>
    <w:rsid w:val="006D6758"/>
    <w:rsid w:val="006D67FE"/>
    <w:rsid w:val="006D6872"/>
    <w:rsid w:val="006D6876"/>
    <w:rsid w:val="006D68A6"/>
    <w:rsid w:val="006D68A9"/>
    <w:rsid w:val="006D68AC"/>
    <w:rsid w:val="006D68B7"/>
    <w:rsid w:val="006D6915"/>
    <w:rsid w:val="006D6A68"/>
    <w:rsid w:val="006D6AAF"/>
    <w:rsid w:val="006D6AD9"/>
    <w:rsid w:val="006D6B0E"/>
    <w:rsid w:val="006D6C95"/>
    <w:rsid w:val="006D6D84"/>
    <w:rsid w:val="006D6D87"/>
    <w:rsid w:val="006D6E1F"/>
    <w:rsid w:val="006D6EAC"/>
    <w:rsid w:val="006D6EC5"/>
    <w:rsid w:val="006D6EFC"/>
    <w:rsid w:val="006D6F9E"/>
    <w:rsid w:val="006D7036"/>
    <w:rsid w:val="006D703F"/>
    <w:rsid w:val="006D70F1"/>
    <w:rsid w:val="006D713D"/>
    <w:rsid w:val="006D7171"/>
    <w:rsid w:val="006D719C"/>
    <w:rsid w:val="006D7250"/>
    <w:rsid w:val="006D72E2"/>
    <w:rsid w:val="006D730B"/>
    <w:rsid w:val="006D73B2"/>
    <w:rsid w:val="006D73CE"/>
    <w:rsid w:val="006D74BE"/>
    <w:rsid w:val="006D74F0"/>
    <w:rsid w:val="006D75BB"/>
    <w:rsid w:val="006D75F0"/>
    <w:rsid w:val="006D7665"/>
    <w:rsid w:val="006D767D"/>
    <w:rsid w:val="006D76F1"/>
    <w:rsid w:val="006D76F5"/>
    <w:rsid w:val="006D7763"/>
    <w:rsid w:val="006D7771"/>
    <w:rsid w:val="006D777C"/>
    <w:rsid w:val="006D77AE"/>
    <w:rsid w:val="006D77D5"/>
    <w:rsid w:val="006D788E"/>
    <w:rsid w:val="006D78E1"/>
    <w:rsid w:val="006D7922"/>
    <w:rsid w:val="006D7A73"/>
    <w:rsid w:val="006D7A77"/>
    <w:rsid w:val="006D7A87"/>
    <w:rsid w:val="006D7A89"/>
    <w:rsid w:val="006D7A99"/>
    <w:rsid w:val="006D7C13"/>
    <w:rsid w:val="006D7C6B"/>
    <w:rsid w:val="006D7D35"/>
    <w:rsid w:val="006D7EF6"/>
    <w:rsid w:val="006D7F57"/>
    <w:rsid w:val="006D7F5A"/>
    <w:rsid w:val="006D7F67"/>
    <w:rsid w:val="006D7FFC"/>
    <w:rsid w:val="006E0038"/>
    <w:rsid w:val="006E012B"/>
    <w:rsid w:val="006E017F"/>
    <w:rsid w:val="006E01F6"/>
    <w:rsid w:val="006E02C1"/>
    <w:rsid w:val="006E02E0"/>
    <w:rsid w:val="006E0306"/>
    <w:rsid w:val="006E0379"/>
    <w:rsid w:val="006E0395"/>
    <w:rsid w:val="006E03A0"/>
    <w:rsid w:val="006E03D8"/>
    <w:rsid w:val="006E042D"/>
    <w:rsid w:val="006E044A"/>
    <w:rsid w:val="006E047C"/>
    <w:rsid w:val="006E04B9"/>
    <w:rsid w:val="006E04C6"/>
    <w:rsid w:val="006E05A4"/>
    <w:rsid w:val="006E06B1"/>
    <w:rsid w:val="006E06DF"/>
    <w:rsid w:val="006E06E9"/>
    <w:rsid w:val="006E07A1"/>
    <w:rsid w:val="006E07A5"/>
    <w:rsid w:val="006E083D"/>
    <w:rsid w:val="006E0842"/>
    <w:rsid w:val="006E0843"/>
    <w:rsid w:val="006E0864"/>
    <w:rsid w:val="006E08F1"/>
    <w:rsid w:val="006E094D"/>
    <w:rsid w:val="006E095F"/>
    <w:rsid w:val="006E09DF"/>
    <w:rsid w:val="006E09E7"/>
    <w:rsid w:val="006E0A01"/>
    <w:rsid w:val="006E0A3E"/>
    <w:rsid w:val="006E0A99"/>
    <w:rsid w:val="006E0ACE"/>
    <w:rsid w:val="006E0AE9"/>
    <w:rsid w:val="006E0B09"/>
    <w:rsid w:val="006E0CAC"/>
    <w:rsid w:val="006E0D31"/>
    <w:rsid w:val="006E0D9E"/>
    <w:rsid w:val="006E0E1F"/>
    <w:rsid w:val="006E0E25"/>
    <w:rsid w:val="006E0E36"/>
    <w:rsid w:val="006E0E93"/>
    <w:rsid w:val="006E0F02"/>
    <w:rsid w:val="006E0F11"/>
    <w:rsid w:val="006E0F14"/>
    <w:rsid w:val="006E0F24"/>
    <w:rsid w:val="006E0F34"/>
    <w:rsid w:val="006E0F72"/>
    <w:rsid w:val="006E0FB9"/>
    <w:rsid w:val="006E0FD0"/>
    <w:rsid w:val="006E1026"/>
    <w:rsid w:val="006E1032"/>
    <w:rsid w:val="006E1083"/>
    <w:rsid w:val="006E10B4"/>
    <w:rsid w:val="006E110A"/>
    <w:rsid w:val="006E1114"/>
    <w:rsid w:val="006E1155"/>
    <w:rsid w:val="006E1197"/>
    <w:rsid w:val="006E11C3"/>
    <w:rsid w:val="006E11C7"/>
    <w:rsid w:val="006E121D"/>
    <w:rsid w:val="006E1226"/>
    <w:rsid w:val="006E1292"/>
    <w:rsid w:val="006E12AF"/>
    <w:rsid w:val="006E12C0"/>
    <w:rsid w:val="006E12EA"/>
    <w:rsid w:val="006E13C1"/>
    <w:rsid w:val="006E147C"/>
    <w:rsid w:val="006E1489"/>
    <w:rsid w:val="006E14EF"/>
    <w:rsid w:val="006E14FE"/>
    <w:rsid w:val="006E151B"/>
    <w:rsid w:val="006E1571"/>
    <w:rsid w:val="006E157F"/>
    <w:rsid w:val="006E16C5"/>
    <w:rsid w:val="006E16D6"/>
    <w:rsid w:val="006E1705"/>
    <w:rsid w:val="006E1791"/>
    <w:rsid w:val="006E17BC"/>
    <w:rsid w:val="006E17C5"/>
    <w:rsid w:val="006E181C"/>
    <w:rsid w:val="006E184D"/>
    <w:rsid w:val="006E1862"/>
    <w:rsid w:val="006E18FD"/>
    <w:rsid w:val="006E191A"/>
    <w:rsid w:val="006E19A5"/>
    <w:rsid w:val="006E1A5A"/>
    <w:rsid w:val="006E1AA6"/>
    <w:rsid w:val="006E1B34"/>
    <w:rsid w:val="006E1BB3"/>
    <w:rsid w:val="006E1BD6"/>
    <w:rsid w:val="006E1C0D"/>
    <w:rsid w:val="006E1C88"/>
    <w:rsid w:val="006E1C92"/>
    <w:rsid w:val="006E1CB1"/>
    <w:rsid w:val="006E1D02"/>
    <w:rsid w:val="006E1D59"/>
    <w:rsid w:val="006E1D65"/>
    <w:rsid w:val="006E1D9F"/>
    <w:rsid w:val="006E1DB9"/>
    <w:rsid w:val="006E1EB7"/>
    <w:rsid w:val="006E1F5A"/>
    <w:rsid w:val="006E1FAA"/>
    <w:rsid w:val="006E1FB2"/>
    <w:rsid w:val="006E1FF5"/>
    <w:rsid w:val="006E2100"/>
    <w:rsid w:val="006E2135"/>
    <w:rsid w:val="006E213F"/>
    <w:rsid w:val="006E21A6"/>
    <w:rsid w:val="006E21E5"/>
    <w:rsid w:val="006E2241"/>
    <w:rsid w:val="006E22AA"/>
    <w:rsid w:val="006E22FF"/>
    <w:rsid w:val="006E2311"/>
    <w:rsid w:val="006E23B2"/>
    <w:rsid w:val="006E23B4"/>
    <w:rsid w:val="006E23E5"/>
    <w:rsid w:val="006E2425"/>
    <w:rsid w:val="006E242C"/>
    <w:rsid w:val="006E2480"/>
    <w:rsid w:val="006E24A9"/>
    <w:rsid w:val="006E25E2"/>
    <w:rsid w:val="006E25FC"/>
    <w:rsid w:val="006E2667"/>
    <w:rsid w:val="006E2726"/>
    <w:rsid w:val="006E281B"/>
    <w:rsid w:val="006E2849"/>
    <w:rsid w:val="006E2908"/>
    <w:rsid w:val="006E2A1E"/>
    <w:rsid w:val="006E2A41"/>
    <w:rsid w:val="006E2A45"/>
    <w:rsid w:val="006E2A8A"/>
    <w:rsid w:val="006E2A98"/>
    <w:rsid w:val="006E2AD1"/>
    <w:rsid w:val="006E2B26"/>
    <w:rsid w:val="006E2B58"/>
    <w:rsid w:val="006E2C6E"/>
    <w:rsid w:val="006E2CF1"/>
    <w:rsid w:val="006E2D8F"/>
    <w:rsid w:val="006E2EAF"/>
    <w:rsid w:val="006E2EBC"/>
    <w:rsid w:val="006E2EEA"/>
    <w:rsid w:val="006E2F08"/>
    <w:rsid w:val="006E2F77"/>
    <w:rsid w:val="006E300C"/>
    <w:rsid w:val="006E3067"/>
    <w:rsid w:val="006E3076"/>
    <w:rsid w:val="006E3099"/>
    <w:rsid w:val="006E312A"/>
    <w:rsid w:val="006E322B"/>
    <w:rsid w:val="006E3247"/>
    <w:rsid w:val="006E3250"/>
    <w:rsid w:val="006E3261"/>
    <w:rsid w:val="006E3338"/>
    <w:rsid w:val="006E3375"/>
    <w:rsid w:val="006E33DB"/>
    <w:rsid w:val="006E3481"/>
    <w:rsid w:val="006E348C"/>
    <w:rsid w:val="006E349B"/>
    <w:rsid w:val="006E34DD"/>
    <w:rsid w:val="006E3538"/>
    <w:rsid w:val="006E35BB"/>
    <w:rsid w:val="006E361D"/>
    <w:rsid w:val="006E3687"/>
    <w:rsid w:val="006E36B1"/>
    <w:rsid w:val="006E36E1"/>
    <w:rsid w:val="006E36F2"/>
    <w:rsid w:val="006E3710"/>
    <w:rsid w:val="006E3770"/>
    <w:rsid w:val="006E38A0"/>
    <w:rsid w:val="006E38C8"/>
    <w:rsid w:val="006E38D1"/>
    <w:rsid w:val="006E393C"/>
    <w:rsid w:val="006E3959"/>
    <w:rsid w:val="006E3983"/>
    <w:rsid w:val="006E399A"/>
    <w:rsid w:val="006E39D2"/>
    <w:rsid w:val="006E39E4"/>
    <w:rsid w:val="006E3A23"/>
    <w:rsid w:val="006E3A35"/>
    <w:rsid w:val="006E3A3B"/>
    <w:rsid w:val="006E3A54"/>
    <w:rsid w:val="006E3B8F"/>
    <w:rsid w:val="006E3C02"/>
    <w:rsid w:val="006E3C55"/>
    <w:rsid w:val="006E3C92"/>
    <w:rsid w:val="006E3D23"/>
    <w:rsid w:val="006E3D59"/>
    <w:rsid w:val="006E3D63"/>
    <w:rsid w:val="006E3DAA"/>
    <w:rsid w:val="006E3DEF"/>
    <w:rsid w:val="006E3E7A"/>
    <w:rsid w:val="006E3E89"/>
    <w:rsid w:val="006E3F0E"/>
    <w:rsid w:val="006E3FC5"/>
    <w:rsid w:val="006E3FFD"/>
    <w:rsid w:val="006E4042"/>
    <w:rsid w:val="006E406B"/>
    <w:rsid w:val="006E40E7"/>
    <w:rsid w:val="006E418C"/>
    <w:rsid w:val="006E41B0"/>
    <w:rsid w:val="006E41B6"/>
    <w:rsid w:val="006E41BE"/>
    <w:rsid w:val="006E41DF"/>
    <w:rsid w:val="006E41F2"/>
    <w:rsid w:val="006E41FE"/>
    <w:rsid w:val="006E4238"/>
    <w:rsid w:val="006E4247"/>
    <w:rsid w:val="006E42CF"/>
    <w:rsid w:val="006E432B"/>
    <w:rsid w:val="006E4522"/>
    <w:rsid w:val="006E45CD"/>
    <w:rsid w:val="006E45E1"/>
    <w:rsid w:val="006E4603"/>
    <w:rsid w:val="006E4692"/>
    <w:rsid w:val="006E469F"/>
    <w:rsid w:val="006E46FA"/>
    <w:rsid w:val="006E4707"/>
    <w:rsid w:val="006E4743"/>
    <w:rsid w:val="006E479C"/>
    <w:rsid w:val="006E47D0"/>
    <w:rsid w:val="006E498A"/>
    <w:rsid w:val="006E4999"/>
    <w:rsid w:val="006E49B4"/>
    <w:rsid w:val="006E4AB6"/>
    <w:rsid w:val="006E4BAE"/>
    <w:rsid w:val="006E4C02"/>
    <w:rsid w:val="006E4CC5"/>
    <w:rsid w:val="006E4D60"/>
    <w:rsid w:val="006E4E38"/>
    <w:rsid w:val="006E4EBB"/>
    <w:rsid w:val="006E4ED6"/>
    <w:rsid w:val="006E4EF9"/>
    <w:rsid w:val="006E4F08"/>
    <w:rsid w:val="006E4F58"/>
    <w:rsid w:val="006E4F6F"/>
    <w:rsid w:val="006E4F76"/>
    <w:rsid w:val="006E4F8C"/>
    <w:rsid w:val="006E4FCA"/>
    <w:rsid w:val="006E4FE3"/>
    <w:rsid w:val="006E4FF5"/>
    <w:rsid w:val="006E4FFC"/>
    <w:rsid w:val="006E501E"/>
    <w:rsid w:val="006E50F0"/>
    <w:rsid w:val="006E50FD"/>
    <w:rsid w:val="006E5107"/>
    <w:rsid w:val="006E515F"/>
    <w:rsid w:val="006E5211"/>
    <w:rsid w:val="006E528D"/>
    <w:rsid w:val="006E52BE"/>
    <w:rsid w:val="006E534F"/>
    <w:rsid w:val="006E535E"/>
    <w:rsid w:val="006E53E4"/>
    <w:rsid w:val="006E5417"/>
    <w:rsid w:val="006E5427"/>
    <w:rsid w:val="006E558E"/>
    <w:rsid w:val="006E55D1"/>
    <w:rsid w:val="006E567E"/>
    <w:rsid w:val="006E56F5"/>
    <w:rsid w:val="006E56F7"/>
    <w:rsid w:val="006E5703"/>
    <w:rsid w:val="006E574E"/>
    <w:rsid w:val="006E577D"/>
    <w:rsid w:val="006E5815"/>
    <w:rsid w:val="006E583B"/>
    <w:rsid w:val="006E5896"/>
    <w:rsid w:val="006E58D9"/>
    <w:rsid w:val="006E5956"/>
    <w:rsid w:val="006E5968"/>
    <w:rsid w:val="006E596F"/>
    <w:rsid w:val="006E59BD"/>
    <w:rsid w:val="006E5AB1"/>
    <w:rsid w:val="006E5AF3"/>
    <w:rsid w:val="006E5B15"/>
    <w:rsid w:val="006E5B25"/>
    <w:rsid w:val="006E5B59"/>
    <w:rsid w:val="006E5B9E"/>
    <w:rsid w:val="006E5BBD"/>
    <w:rsid w:val="006E5C27"/>
    <w:rsid w:val="006E5C28"/>
    <w:rsid w:val="006E5C36"/>
    <w:rsid w:val="006E5CA5"/>
    <w:rsid w:val="006E5CE1"/>
    <w:rsid w:val="006E5D21"/>
    <w:rsid w:val="006E5D73"/>
    <w:rsid w:val="006E5DEE"/>
    <w:rsid w:val="006E5E25"/>
    <w:rsid w:val="006E5E4B"/>
    <w:rsid w:val="006E5E53"/>
    <w:rsid w:val="006E5EB7"/>
    <w:rsid w:val="006E5FE8"/>
    <w:rsid w:val="006E6088"/>
    <w:rsid w:val="006E608A"/>
    <w:rsid w:val="006E60BE"/>
    <w:rsid w:val="006E61A8"/>
    <w:rsid w:val="006E61F9"/>
    <w:rsid w:val="006E620F"/>
    <w:rsid w:val="006E622C"/>
    <w:rsid w:val="006E623B"/>
    <w:rsid w:val="006E625F"/>
    <w:rsid w:val="006E62E8"/>
    <w:rsid w:val="006E6345"/>
    <w:rsid w:val="006E6375"/>
    <w:rsid w:val="006E63C3"/>
    <w:rsid w:val="006E6405"/>
    <w:rsid w:val="006E65EC"/>
    <w:rsid w:val="006E663A"/>
    <w:rsid w:val="006E6693"/>
    <w:rsid w:val="006E66C0"/>
    <w:rsid w:val="006E671C"/>
    <w:rsid w:val="006E6744"/>
    <w:rsid w:val="006E67AC"/>
    <w:rsid w:val="006E682D"/>
    <w:rsid w:val="006E6895"/>
    <w:rsid w:val="006E68A6"/>
    <w:rsid w:val="006E690B"/>
    <w:rsid w:val="006E694A"/>
    <w:rsid w:val="006E6A24"/>
    <w:rsid w:val="006E6A7C"/>
    <w:rsid w:val="006E6A7D"/>
    <w:rsid w:val="006E6C57"/>
    <w:rsid w:val="006E6CEC"/>
    <w:rsid w:val="006E6CFD"/>
    <w:rsid w:val="006E6D5E"/>
    <w:rsid w:val="006E6D69"/>
    <w:rsid w:val="006E6D72"/>
    <w:rsid w:val="006E6D7E"/>
    <w:rsid w:val="006E6DB8"/>
    <w:rsid w:val="006E6DD5"/>
    <w:rsid w:val="006E6E71"/>
    <w:rsid w:val="006E6EB5"/>
    <w:rsid w:val="006E6EE8"/>
    <w:rsid w:val="006E6EFD"/>
    <w:rsid w:val="006E6F33"/>
    <w:rsid w:val="006E6F68"/>
    <w:rsid w:val="006E6F72"/>
    <w:rsid w:val="006E700E"/>
    <w:rsid w:val="006E705A"/>
    <w:rsid w:val="006E7064"/>
    <w:rsid w:val="006E70CA"/>
    <w:rsid w:val="006E70D6"/>
    <w:rsid w:val="006E7113"/>
    <w:rsid w:val="006E711A"/>
    <w:rsid w:val="006E71D6"/>
    <w:rsid w:val="006E721D"/>
    <w:rsid w:val="006E72AE"/>
    <w:rsid w:val="006E7437"/>
    <w:rsid w:val="006E7471"/>
    <w:rsid w:val="006E754C"/>
    <w:rsid w:val="006E7569"/>
    <w:rsid w:val="006E758D"/>
    <w:rsid w:val="006E759E"/>
    <w:rsid w:val="006E760D"/>
    <w:rsid w:val="006E7627"/>
    <w:rsid w:val="006E762B"/>
    <w:rsid w:val="006E7633"/>
    <w:rsid w:val="006E7650"/>
    <w:rsid w:val="006E765D"/>
    <w:rsid w:val="006E7669"/>
    <w:rsid w:val="006E767D"/>
    <w:rsid w:val="006E7695"/>
    <w:rsid w:val="006E76AA"/>
    <w:rsid w:val="006E777E"/>
    <w:rsid w:val="006E77C3"/>
    <w:rsid w:val="006E7814"/>
    <w:rsid w:val="006E786D"/>
    <w:rsid w:val="006E7893"/>
    <w:rsid w:val="006E78A0"/>
    <w:rsid w:val="006E7966"/>
    <w:rsid w:val="006E79C1"/>
    <w:rsid w:val="006E79ED"/>
    <w:rsid w:val="006E7A36"/>
    <w:rsid w:val="006E7B0E"/>
    <w:rsid w:val="006E7B2F"/>
    <w:rsid w:val="006E7BEB"/>
    <w:rsid w:val="006E7C21"/>
    <w:rsid w:val="006E7C54"/>
    <w:rsid w:val="006E7D21"/>
    <w:rsid w:val="006E7D4A"/>
    <w:rsid w:val="006E7D90"/>
    <w:rsid w:val="006E7D98"/>
    <w:rsid w:val="006E7DE8"/>
    <w:rsid w:val="006E7DEC"/>
    <w:rsid w:val="006E7E88"/>
    <w:rsid w:val="006E7EFA"/>
    <w:rsid w:val="006E7F62"/>
    <w:rsid w:val="006E7FAE"/>
    <w:rsid w:val="006F005B"/>
    <w:rsid w:val="006F006A"/>
    <w:rsid w:val="006F0073"/>
    <w:rsid w:val="006F007B"/>
    <w:rsid w:val="006F0092"/>
    <w:rsid w:val="006F00B2"/>
    <w:rsid w:val="006F00F6"/>
    <w:rsid w:val="006F012F"/>
    <w:rsid w:val="006F01C1"/>
    <w:rsid w:val="006F0214"/>
    <w:rsid w:val="006F0301"/>
    <w:rsid w:val="006F0327"/>
    <w:rsid w:val="006F0342"/>
    <w:rsid w:val="006F03A0"/>
    <w:rsid w:val="006F0493"/>
    <w:rsid w:val="006F04EE"/>
    <w:rsid w:val="006F0572"/>
    <w:rsid w:val="006F05E3"/>
    <w:rsid w:val="006F05E6"/>
    <w:rsid w:val="006F0646"/>
    <w:rsid w:val="006F064A"/>
    <w:rsid w:val="006F0676"/>
    <w:rsid w:val="006F06B4"/>
    <w:rsid w:val="006F06DF"/>
    <w:rsid w:val="006F0748"/>
    <w:rsid w:val="006F0749"/>
    <w:rsid w:val="006F07F6"/>
    <w:rsid w:val="006F080E"/>
    <w:rsid w:val="006F0869"/>
    <w:rsid w:val="006F0875"/>
    <w:rsid w:val="006F08ED"/>
    <w:rsid w:val="006F095C"/>
    <w:rsid w:val="006F09A1"/>
    <w:rsid w:val="006F09B0"/>
    <w:rsid w:val="006F0A8B"/>
    <w:rsid w:val="006F0AB5"/>
    <w:rsid w:val="006F0ADF"/>
    <w:rsid w:val="006F0B19"/>
    <w:rsid w:val="006F0B9E"/>
    <w:rsid w:val="006F0C24"/>
    <w:rsid w:val="006F0CB0"/>
    <w:rsid w:val="006F0CB8"/>
    <w:rsid w:val="006F0CC5"/>
    <w:rsid w:val="006F0CDB"/>
    <w:rsid w:val="006F0D04"/>
    <w:rsid w:val="006F0DE6"/>
    <w:rsid w:val="006F0E38"/>
    <w:rsid w:val="006F0EE3"/>
    <w:rsid w:val="006F0EEC"/>
    <w:rsid w:val="006F0F7B"/>
    <w:rsid w:val="006F0FEC"/>
    <w:rsid w:val="006F1013"/>
    <w:rsid w:val="006F1165"/>
    <w:rsid w:val="006F11B1"/>
    <w:rsid w:val="006F11FA"/>
    <w:rsid w:val="006F123F"/>
    <w:rsid w:val="006F12B3"/>
    <w:rsid w:val="006F131F"/>
    <w:rsid w:val="006F13E2"/>
    <w:rsid w:val="006F14DB"/>
    <w:rsid w:val="006F1527"/>
    <w:rsid w:val="006F1531"/>
    <w:rsid w:val="006F168E"/>
    <w:rsid w:val="006F169E"/>
    <w:rsid w:val="006F186C"/>
    <w:rsid w:val="006F1882"/>
    <w:rsid w:val="006F18C4"/>
    <w:rsid w:val="006F19A6"/>
    <w:rsid w:val="006F19E0"/>
    <w:rsid w:val="006F19F8"/>
    <w:rsid w:val="006F1A62"/>
    <w:rsid w:val="006F1AFF"/>
    <w:rsid w:val="006F1B7B"/>
    <w:rsid w:val="006F1C50"/>
    <w:rsid w:val="006F1C7A"/>
    <w:rsid w:val="006F1C87"/>
    <w:rsid w:val="006F1C9A"/>
    <w:rsid w:val="006F1D54"/>
    <w:rsid w:val="006F1D67"/>
    <w:rsid w:val="006F1D6C"/>
    <w:rsid w:val="006F1E26"/>
    <w:rsid w:val="006F1EAF"/>
    <w:rsid w:val="006F1FA8"/>
    <w:rsid w:val="006F2016"/>
    <w:rsid w:val="006F2020"/>
    <w:rsid w:val="006F20BC"/>
    <w:rsid w:val="006F21F3"/>
    <w:rsid w:val="006F2241"/>
    <w:rsid w:val="006F2242"/>
    <w:rsid w:val="006F2264"/>
    <w:rsid w:val="006F2276"/>
    <w:rsid w:val="006F22DF"/>
    <w:rsid w:val="006F22FB"/>
    <w:rsid w:val="006F2322"/>
    <w:rsid w:val="006F23A5"/>
    <w:rsid w:val="006F23C2"/>
    <w:rsid w:val="006F240A"/>
    <w:rsid w:val="006F242D"/>
    <w:rsid w:val="006F2487"/>
    <w:rsid w:val="006F248B"/>
    <w:rsid w:val="006F25B0"/>
    <w:rsid w:val="006F269D"/>
    <w:rsid w:val="006F2736"/>
    <w:rsid w:val="006F275E"/>
    <w:rsid w:val="006F2768"/>
    <w:rsid w:val="006F2774"/>
    <w:rsid w:val="006F280B"/>
    <w:rsid w:val="006F28D4"/>
    <w:rsid w:val="006F28FB"/>
    <w:rsid w:val="006F2A3C"/>
    <w:rsid w:val="006F2ADF"/>
    <w:rsid w:val="006F2B3F"/>
    <w:rsid w:val="006F2BE8"/>
    <w:rsid w:val="006F2BED"/>
    <w:rsid w:val="006F2C6E"/>
    <w:rsid w:val="006F2CFD"/>
    <w:rsid w:val="006F2D31"/>
    <w:rsid w:val="006F2D6C"/>
    <w:rsid w:val="006F2D71"/>
    <w:rsid w:val="006F2DAA"/>
    <w:rsid w:val="006F2E0B"/>
    <w:rsid w:val="006F2E2B"/>
    <w:rsid w:val="006F2E49"/>
    <w:rsid w:val="006F2E70"/>
    <w:rsid w:val="006F2EA2"/>
    <w:rsid w:val="006F2EEC"/>
    <w:rsid w:val="006F2F8B"/>
    <w:rsid w:val="006F2FA5"/>
    <w:rsid w:val="006F2FB7"/>
    <w:rsid w:val="006F2FCB"/>
    <w:rsid w:val="006F3000"/>
    <w:rsid w:val="006F306A"/>
    <w:rsid w:val="006F3084"/>
    <w:rsid w:val="006F30DB"/>
    <w:rsid w:val="006F3149"/>
    <w:rsid w:val="006F319F"/>
    <w:rsid w:val="006F31AD"/>
    <w:rsid w:val="006F31C1"/>
    <w:rsid w:val="006F3278"/>
    <w:rsid w:val="006F331A"/>
    <w:rsid w:val="006F3325"/>
    <w:rsid w:val="006F3354"/>
    <w:rsid w:val="006F3364"/>
    <w:rsid w:val="006F3392"/>
    <w:rsid w:val="006F3395"/>
    <w:rsid w:val="006F33D0"/>
    <w:rsid w:val="006F347E"/>
    <w:rsid w:val="006F34F1"/>
    <w:rsid w:val="006F34F2"/>
    <w:rsid w:val="006F3506"/>
    <w:rsid w:val="006F3513"/>
    <w:rsid w:val="006F35FE"/>
    <w:rsid w:val="006F360F"/>
    <w:rsid w:val="006F366D"/>
    <w:rsid w:val="006F36C5"/>
    <w:rsid w:val="006F3709"/>
    <w:rsid w:val="006F3747"/>
    <w:rsid w:val="006F37A6"/>
    <w:rsid w:val="006F37B3"/>
    <w:rsid w:val="006F37D5"/>
    <w:rsid w:val="006F382E"/>
    <w:rsid w:val="006F384E"/>
    <w:rsid w:val="006F388A"/>
    <w:rsid w:val="006F388C"/>
    <w:rsid w:val="006F389F"/>
    <w:rsid w:val="006F3944"/>
    <w:rsid w:val="006F39F3"/>
    <w:rsid w:val="006F3A05"/>
    <w:rsid w:val="006F3A73"/>
    <w:rsid w:val="006F3AD6"/>
    <w:rsid w:val="006F3B2B"/>
    <w:rsid w:val="006F3B72"/>
    <w:rsid w:val="006F3C35"/>
    <w:rsid w:val="006F3CED"/>
    <w:rsid w:val="006F3D49"/>
    <w:rsid w:val="006F3D84"/>
    <w:rsid w:val="006F3F36"/>
    <w:rsid w:val="006F3F3C"/>
    <w:rsid w:val="006F3F73"/>
    <w:rsid w:val="006F3FFF"/>
    <w:rsid w:val="006F4028"/>
    <w:rsid w:val="006F4035"/>
    <w:rsid w:val="006F405F"/>
    <w:rsid w:val="006F407A"/>
    <w:rsid w:val="006F410B"/>
    <w:rsid w:val="006F413A"/>
    <w:rsid w:val="006F4180"/>
    <w:rsid w:val="006F41D7"/>
    <w:rsid w:val="006F4266"/>
    <w:rsid w:val="006F42C8"/>
    <w:rsid w:val="006F430F"/>
    <w:rsid w:val="006F4319"/>
    <w:rsid w:val="006F4484"/>
    <w:rsid w:val="006F4494"/>
    <w:rsid w:val="006F4579"/>
    <w:rsid w:val="006F457C"/>
    <w:rsid w:val="006F4612"/>
    <w:rsid w:val="006F46CD"/>
    <w:rsid w:val="006F4750"/>
    <w:rsid w:val="006F47D2"/>
    <w:rsid w:val="006F47E1"/>
    <w:rsid w:val="006F485A"/>
    <w:rsid w:val="006F48B3"/>
    <w:rsid w:val="006F48D9"/>
    <w:rsid w:val="006F497D"/>
    <w:rsid w:val="006F4A84"/>
    <w:rsid w:val="006F4B34"/>
    <w:rsid w:val="006F4B4E"/>
    <w:rsid w:val="006F4BD1"/>
    <w:rsid w:val="006F4C0A"/>
    <w:rsid w:val="006F4C12"/>
    <w:rsid w:val="006F4C13"/>
    <w:rsid w:val="006F4C92"/>
    <w:rsid w:val="006F4D3C"/>
    <w:rsid w:val="006F4D5F"/>
    <w:rsid w:val="006F4E48"/>
    <w:rsid w:val="006F4E64"/>
    <w:rsid w:val="006F4E79"/>
    <w:rsid w:val="006F4E8A"/>
    <w:rsid w:val="006F4F02"/>
    <w:rsid w:val="006F4F7F"/>
    <w:rsid w:val="006F4F88"/>
    <w:rsid w:val="006F4FA3"/>
    <w:rsid w:val="006F4FB0"/>
    <w:rsid w:val="006F4FDC"/>
    <w:rsid w:val="006F4FFA"/>
    <w:rsid w:val="006F505A"/>
    <w:rsid w:val="006F509B"/>
    <w:rsid w:val="006F50C2"/>
    <w:rsid w:val="006F5179"/>
    <w:rsid w:val="006F5190"/>
    <w:rsid w:val="006F5194"/>
    <w:rsid w:val="006F51F2"/>
    <w:rsid w:val="006F522A"/>
    <w:rsid w:val="006F528C"/>
    <w:rsid w:val="006F52CC"/>
    <w:rsid w:val="006F52D8"/>
    <w:rsid w:val="006F5389"/>
    <w:rsid w:val="006F542B"/>
    <w:rsid w:val="006F543A"/>
    <w:rsid w:val="006F545D"/>
    <w:rsid w:val="006F553B"/>
    <w:rsid w:val="006F553E"/>
    <w:rsid w:val="006F55CD"/>
    <w:rsid w:val="006F560D"/>
    <w:rsid w:val="006F5618"/>
    <w:rsid w:val="006F564C"/>
    <w:rsid w:val="006F56E0"/>
    <w:rsid w:val="006F5735"/>
    <w:rsid w:val="006F5804"/>
    <w:rsid w:val="006F581B"/>
    <w:rsid w:val="006F582D"/>
    <w:rsid w:val="006F583F"/>
    <w:rsid w:val="006F58CB"/>
    <w:rsid w:val="006F59A0"/>
    <w:rsid w:val="006F5A65"/>
    <w:rsid w:val="006F5A72"/>
    <w:rsid w:val="006F5A8B"/>
    <w:rsid w:val="006F5A9E"/>
    <w:rsid w:val="006F5AA5"/>
    <w:rsid w:val="006F5AB3"/>
    <w:rsid w:val="006F5AE8"/>
    <w:rsid w:val="006F5B2E"/>
    <w:rsid w:val="006F5C30"/>
    <w:rsid w:val="006F5C50"/>
    <w:rsid w:val="006F5C63"/>
    <w:rsid w:val="006F5CB0"/>
    <w:rsid w:val="006F5CCE"/>
    <w:rsid w:val="006F5CE8"/>
    <w:rsid w:val="006F5CEC"/>
    <w:rsid w:val="006F5DE3"/>
    <w:rsid w:val="006F5E85"/>
    <w:rsid w:val="006F5F03"/>
    <w:rsid w:val="006F5FB5"/>
    <w:rsid w:val="006F5FC1"/>
    <w:rsid w:val="006F6024"/>
    <w:rsid w:val="006F606A"/>
    <w:rsid w:val="006F60A6"/>
    <w:rsid w:val="006F60D3"/>
    <w:rsid w:val="006F60F3"/>
    <w:rsid w:val="006F613C"/>
    <w:rsid w:val="006F6150"/>
    <w:rsid w:val="006F6182"/>
    <w:rsid w:val="006F61BA"/>
    <w:rsid w:val="006F61D0"/>
    <w:rsid w:val="006F61D1"/>
    <w:rsid w:val="006F61EA"/>
    <w:rsid w:val="006F6207"/>
    <w:rsid w:val="006F62A9"/>
    <w:rsid w:val="006F62C5"/>
    <w:rsid w:val="006F635A"/>
    <w:rsid w:val="006F63AE"/>
    <w:rsid w:val="006F63BF"/>
    <w:rsid w:val="006F63E3"/>
    <w:rsid w:val="006F6445"/>
    <w:rsid w:val="006F6450"/>
    <w:rsid w:val="006F646C"/>
    <w:rsid w:val="006F654B"/>
    <w:rsid w:val="006F65D2"/>
    <w:rsid w:val="006F666C"/>
    <w:rsid w:val="006F66BB"/>
    <w:rsid w:val="006F66F4"/>
    <w:rsid w:val="006F66F5"/>
    <w:rsid w:val="006F672C"/>
    <w:rsid w:val="006F6786"/>
    <w:rsid w:val="006F67AE"/>
    <w:rsid w:val="006F67C6"/>
    <w:rsid w:val="006F67DC"/>
    <w:rsid w:val="006F680C"/>
    <w:rsid w:val="006F6887"/>
    <w:rsid w:val="006F68B0"/>
    <w:rsid w:val="006F6930"/>
    <w:rsid w:val="006F693F"/>
    <w:rsid w:val="006F6951"/>
    <w:rsid w:val="006F6972"/>
    <w:rsid w:val="006F69EC"/>
    <w:rsid w:val="006F69EE"/>
    <w:rsid w:val="006F6A80"/>
    <w:rsid w:val="006F6B38"/>
    <w:rsid w:val="006F6B5F"/>
    <w:rsid w:val="006F6B9A"/>
    <w:rsid w:val="006F6BAD"/>
    <w:rsid w:val="006F6BAE"/>
    <w:rsid w:val="006F6BB6"/>
    <w:rsid w:val="006F6C22"/>
    <w:rsid w:val="006F6C30"/>
    <w:rsid w:val="006F6C8F"/>
    <w:rsid w:val="006F6CC2"/>
    <w:rsid w:val="006F6D13"/>
    <w:rsid w:val="006F6E0D"/>
    <w:rsid w:val="006F6E1F"/>
    <w:rsid w:val="006F6EB7"/>
    <w:rsid w:val="006F6FB1"/>
    <w:rsid w:val="006F700E"/>
    <w:rsid w:val="006F7126"/>
    <w:rsid w:val="006F713F"/>
    <w:rsid w:val="006F7154"/>
    <w:rsid w:val="006F7164"/>
    <w:rsid w:val="006F7170"/>
    <w:rsid w:val="006F7189"/>
    <w:rsid w:val="006F71BB"/>
    <w:rsid w:val="006F72A6"/>
    <w:rsid w:val="006F72E7"/>
    <w:rsid w:val="006F72FB"/>
    <w:rsid w:val="006F7314"/>
    <w:rsid w:val="006F7332"/>
    <w:rsid w:val="006F7369"/>
    <w:rsid w:val="006F739C"/>
    <w:rsid w:val="006F73DA"/>
    <w:rsid w:val="006F73E6"/>
    <w:rsid w:val="006F747F"/>
    <w:rsid w:val="006F74AD"/>
    <w:rsid w:val="006F74F5"/>
    <w:rsid w:val="006F74FD"/>
    <w:rsid w:val="006F762F"/>
    <w:rsid w:val="006F7667"/>
    <w:rsid w:val="006F7699"/>
    <w:rsid w:val="006F76F0"/>
    <w:rsid w:val="006F772B"/>
    <w:rsid w:val="006F7793"/>
    <w:rsid w:val="006F77A9"/>
    <w:rsid w:val="006F77B8"/>
    <w:rsid w:val="006F7848"/>
    <w:rsid w:val="006F78BC"/>
    <w:rsid w:val="006F78CE"/>
    <w:rsid w:val="006F78F2"/>
    <w:rsid w:val="006F790C"/>
    <w:rsid w:val="006F7989"/>
    <w:rsid w:val="006F79C5"/>
    <w:rsid w:val="006F7A1B"/>
    <w:rsid w:val="006F7B01"/>
    <w:rsid w:val="006F7B3A"/>
    <w:rsid w:val="006F7B6B"/>
    <w:rsid w:val="006F7C04"/>
    <w:rsid w:val="006F7C32"/>
    <w:rsid w:val="006F7C78"/>
    <w:rsid w:val="006F7CB4"/>
    <w:rsid w:val="006F7CBB"/>
    <w:rsid w:val="006F7D1B"/>
    <w:rsid w:val="006F7E34"/>
    <w:rsid w:val="006F7EE2"/>
    <w:rsid w:val="006F7F4A"/>
    <w:rsid w:val="006F7F96"/>
    <w:rsid w:val="006F7FE0"/>
    <w:rsid w:val="00700000"/>
    <w:rsid w:val="0070003E"/>
    <w:rsid w:val="0070004B"/>
    <w:rsid w:val="0070008A"/>
    <w:rsid w:val="0070008E"/>
    <w:rsid w:val="007000E1"/>
    <w:rsid w:val="0070016B"/>
    <w:rsid w:val="00700272"/>
    <w:rsid w:val="007002E6"/>
    <w:rsid w:val="0070039E"/>
    <w:rsid w:val="00700427"/>
    <w:rsid w:val="00700452"/>
    <w:rsid w:val="00700466"/>
    <w:rsid w:val="007005B9"/>
    <w:rsid w:val="007005FE"/>
    <w:rsid w:val="0070069A"/>
    <w:rsid w:val="00700701"/>
    <w:rsid w:val="00700703"/>
    <w:rsid w:val="00700774"/>
    <w:rsid w:val="007009CD"/>
    <w:rsid w:val="00700A2D"/>
    <w:rsid w:val="00700AD5"/>
    <w:rsid w:val="00700B67"/>
    <w:rsid w:val="00700B72"/>
    <w:rsid w:val="00700C0B"/>
    <w:rsid w:val="00700C7C"/>
    <w:rsid w:val="00700C81"/>
    <w:rsid w:val="00700CC2"/>
    <w:rsid w:val="00700CF6"/>
    <w:rsid w:val="00700D17"/>
    <w:rsid w:val="00700D3E"/>
    <w:rsid w:val="00700D75"/>
    <w:rsid w:val="00700D87"/>
    <w:rsid w:val="00700D8E"/>
    <w:rsid w:val="00700E7D"/>
    <w:rsid w:val="00700EFA"/>
    <w:rsid w:val="00700F8A"/>
    <w:rsid w:val="00700FB5"/>
    <w:rsid w:val="00700FBB"/>
    <w:rsid w:val="00701027"/>
    <w:rsid w:val="00701065"/>
    <w:rsid w:val="00701071"/>
    <w:rsid w:val="007010E7"/>
    <w:rsid w:val="0070120B"/>
    <w:rsid w:val="0070126C"/>
    <w:rsid w:val="007012EF"/>
    <w:rsid w:val="0070138D"/>
    <w:rsid w:val="00701557"/>
    <w:rsid w:val="007015E6"/>
    <w:rsid w:val="007015E9"/>
    <w:rsid w:val="0070160A"/>
    <w:rsid w:val="00701644"/>
    <w:rsid w:val="00701663"/>
    <w:rsid w:val="00701760"/>
    <w:rsid w:val="00701767"/>
    <w:rsid w:val="007017CE"/>
    <w:rsid w:val="007017F8"/>
    <w:rsid w:val="00701820"/>
    <w:rsid w:val="0070182A"/>
    <w:rsid w:val="00701883"/>
    <w:rsid w:val="0070188F"/>
    <w:rsid w:val="00701923"/>
    <w:rsid w:val="007019BA"/>
    <w:rsid w:val="00701A02"/>
    <w:rsid w:val="00701A12"/>
    <w:rsid w:val="00701A23"/>
    <w:rsid w:val="00701A26"/>
    <w:rsid w:val="00701AB9"/>
    <w:rsid w:val="00701ACE"/>
    <w:rsid w:val="00701AD1"/>
    <w:rsid w:val="00701AD5"/>
    <w:rsid w:val="00701B61"/>
    <w:rsid w:val="00701D60"/>
    <w:rsid w:val="00701D7E"/>
    <w:rsid w:val="00701D93"/>
    <w:rsid w:val="00701DBB"/>
    <w:rsid w:val="00701DC1"/>
    <w:rsid w:val="00701E5E"/>
    <w:rsid w:val="00701EAB"/>
    <w:rsid w:val="00701EAD"/>
    <w:rsid w:val="00701EE2"/>
    <w:rsid w:val="00701FE7"/>
    <w:rsid w:val="00702002"/>
    <w:rsid w:val="00702017"/>
    <w:rsid w:val="00702109"/>
    <w:rsid w:val="00702132"/>
    <w:rsid w:val="00702280"/>
    <w:rsid w:val="007022BE"/>
    <w:rsid w:val="0070234F"/>
    <w:rsid w:val="00702389"/>
    <w:rsid w:val="0070242C"/>
    <w:rsid w:val="0070244D"/>
    <w:rsid w:val="00702475"/>
    <w:rsid w:val="007024B6"/>
    <w:rsid w:val="007024BE"/>
    <w:rsid w:val="0070252B"/>
    <w:rsid w:val="00702569"/>
    <w:rsid w:val="00702571"/>
    <w:rsid w:val="007025FF"/>
    <w:rsid w:val="00702664"/>
    <w:rsid w:val="00702685"/>
    <w:rsid w:val="00702716"/>
    <w:rsid w:val="00702721"/>
    <w:rsid w:val="00702754"/>
    <w:rsid w:val="00702783"/>
    <w:rsid w:val="00702798"/>
    <w:rsid w:val="007027AC"/>
    <w:rsid w:val="00702871"/>
    <w:rsid w:val="007028EE"/>
    <w:rsid w:val="00702944"/>
    <w:rsid w:val="00702952"/>
    <w:rsid w:val="00702982"/>
    <w:rsid w:val="00702990"/>
    <w:rsid w:val="00702A01"/>
    <w:rsid w:val="00702A7C"/>
    <w:rsid w:val="00702A82"/>
    <w:rsid w:val="00702AEA"/>
    <w:rsid w:val="00702BA6"/>
    <w:rsid w:val="00702BA7"/>
    <w:rsid w:val="00702BE6"/>
    <w:rsid w:val="00702BF8"/>
    <w:rsid w:val="00702C1F"/>
    <w:rsid w:val="00702D0D"/>
    <w:rsid w:val="00702D33"/>
    <w:rsid w:val="00702DD7"/>
    <w:rsid w:val="00702E45"/>
    <w:rsid w:val="00702E57"/>
    <w:rsid w:val="00702EC0"/>
    <w:rsid w:val="00702ED6"/>
    <w:rsid w:val="00702FE0"/>
    <w:rsid w:val="00703010"/>
    <w:rsid w:val="0070303A"/>
    <w:rsid w:val="00703057"/>
    <w:rsid w:val="0070308E"/>
    <w:rsid w:val="007030BC"/>
    <w:rsid w:val="007030C4"/>
    <w:rsid w:val="007030DE"/>
    <w:rsid w:val="00703184"/>
    <w:rsid w:val="007031B3"/>
    <w:rsid w:val="00703258"/>
    <w:rsid w:val="007032D2"/>
    <w:rsid w:val="00703338"/>
    <w:rsid w:val="0070337E"/>
    <w:rsid w:val="007033B3"/>
    <w:rsid w:val="007033D5"/>
    <w:rsid w:val="00703443"/>
    <w:rsid w:val="00703448"/>
    <w:rsid w:val="0070346C"/>
    <w:rsid w:val="007034AB"/>
    <w:rsid w:val="00703710"/>
    <w:rsid w:val="00703757"/>
    <w:rsid w:val="007037C7"/>
    <w:rsid w:val="00703805"/>
    <w:rsid w:val="00703810"/>
    <w:rsid w:val="007038AF"/>
    <w:rsid w:val="007039F2"/>
    <w:rsid w:val="00703B65"/>
    <w:rsid w:val="00703B71"/>
    <w:rsid w:val="00703BAE"/>
    <w:rsid w:val="00703BF3"/>
    <w:rsid w:val="00703C9F"/>
    <w:rsid w:val="00703CA9"/>
    <w:rsid w:val="00703D0B"/>
    <w:rsid w:val="00703D49"/>
    <w:rsid w:val="00703E35"/>
    <w:rsid w:val="00703E5C"/>
    <w:rsid w:val="00703E85"/>
    <w:rsid w:val="00703EC3"/>
    <w:rsid w:val="00703EE9"/>
    <w:rsid w:val="00703EF9"/>
    <w:rsid w:val="00703F68"/>
    <w:rsid w:val="00703FB9"/>
    <w:rsid w:val="00703FFB"/>
    <w:rsid w:val="00704006"/>
    <w:rsid w:val="0070400B"/>
    <w:rsid w:val="00704036"/>
    <w:rsid w:val="00704094"/>
    <w:rsid w:val="007040A4"/>
    <w:rsid w:val="007040BE"/>
    <w:rsid w:val="007040F2"/>
    <w:rsid w:val="007040FA"/>
    <w:rsid w:val="00704138"/>
    <w:rsid w:val="0070418C"/>
    <w:rsid w:val="00704226"/>
    <w:rsid w:val="00704276"/>
    <w:rsid w:val="007042B9"/>
    <w:rsid w:val="0070431E"/>
    <w:rsid w:val="00704321"/>
    <w:rsid w:val="0070441E"/>
    <w:rsid w:val="0070441F"/>
    <w:rsid w:val="00704425"/>
    <w:rsid w:val="0070445C"/>
    <w:rsid w:val="007044D1"/>
    <w:rsid w:val="00704529"/>
    <w:rsid w:val="00704559"/>
    <w:rsid w:val="00704680"/>
    <w:rsid w:val="0070478D"/>
    <w:rsid w:val="007047BD"/>
    <w:rsid w:val="00704802"/>
    <w:rsid w:val="00704812"/>
    <w:rsid w:val="00704877"/>
    <w:rsid w:val="007048F8"/>
    <w:rsid w:val="0070494B"/>
    <w:rsid w:val="00704A9F"/>
    <w:rsid w:val="00704B17"/>
    <w:rsid w:val="00704C35"/>
    <w:rsid w:val="00704CDE"/>
    <w:rsid w:val="00704CE3"/>
    <w:rsid w:val="00704D0C"/>
    <w:rsid w:val="00704D19"/>
    <w:rsid w:val="00704D82"/>
    <w:rsid w:val="00704DA5"/>
    <w:rsid w:val="00704E31"/>
    <w:rsid w:val="00704E54"/>
    <w:rsid w:val="00704E9F"/>
    <w:rsid w:val="00704EFB"/>
    <w:rsid w:val="00704F4B"/>
    <w:rsid w:val="007050F0"/>
    <w:rsid w:val="00705136"/>
    <w:rsid w:val="0070513F"/>
    <w:rsid w:val="007051C0"/>
    <w:rsid w:val="007051E2"/>
    <w:rsid w:val="007051F9"/>
    <w:rsid w:val="0070526B"/>
    <w:rsid w:val="007052A2"/>
    <w:rsid w:val="007052A4"/>
    <w:rsid w:val="007052C3"/>
    <w:rsid w:val="0070534C"/>
    <w:rsid w:val="0070539E"/>
    <w:rsid w:val="007053D2"/>
    <w:rsid w:val="00705478"/>
    <w:rsid w:val="00705488"/>
    <w:rsid w:val="00705557"/>
    <w:rsid w:val="00705569"/>
    <w:rsid w:val="00705578"/>
    <w:rsid w:val="007055BB"/>
    <w:rsid w:val="00705631"/>
    <w:rsid w:val="007056A5"/>
    <w:rsid w:val="007056B6"/>
    <w:rsid w:val="007056C3"/>
    <w:rsid w:val="00705704"/>
    <w:rsid w:val="007057FF"/>
    <w:rsid w:val="0070595C"/>
    <w:rsid w:val="007059EB"/>
    <w:rsid w:val="00705A17"/>
    <w:rsid w:val="00705A90"/>
    <w:rsid w:val="00705B01"/>
    <w:rsid w:val="00705B18"/>
    <w:rsid w:val="00705B2D"/>
    <w:rsid w:val="00705BA4"/>
    <w:rsid w:val="00705BF6"/>
    <w:rsid w:val="00705C64"/>
    <w:rsid w:val="00705CD9"/>
    <w:rsid w:val="00705CF7"/>
    <w:rsid w:val="00705D07"/>
    <w:rsid w:val="00705D0B"/>
    <w:rsid w:val="00705DB3"/>
    <w:rsid w:val="00705DFD"/>
    <w:rsid w:val="00705E52"/>
    <w:rsid w:val="00705EF8"/>
    <w:rsid w:val="00705F37"/>
    <w:rsid w:val="00705F4B"/>
    <w:rsid w:val="00705F6E"/>
    <w:rsid w:val="00705FC8"/>
    <w:rsid w:val="00706001"/>
    <w:rsid w:val="0070600C"/>
    <w:rsid w:val="00706051"/>
    <w:rsid w:val="0070606B"/>
    <w:rsid w:val="00706106"/>
    <w:rsid w:val="007061A7"/>
    <w:rsid w:val="00706211"/>
    <w:rsid w:val="00706223"/>
    <w:rsid w:val="00706229"/>
    <w:rsid w:val="0070622B"/>
    <w:rsid w:val="0070625D"/>
    <w:rsid w:val="00706281"/>
    <w:rsid w:val="007062AA"/>
    <w:rsid w:val="007062B5"/>
    <w:rsid w:val="007062E3"/>
    <w:rsid w:val="007062FA"/>
    <w:rsid w:val="00706356"/>
    <w:rsid w:val="00706424"/>
    <w:rsid w:val="0070646F"/>
    <w:rsid w:val="0070649D"/>
    <w:rsid w:val="00706520"/>
    <w:rsid w:val="00706546"/>
    <w:rsid w:val="00706576"/>
    <w:rsid w:val="007065F4"/>
    <w:rsid w:val="00706606"/>
    <w:rsid w:val="00706637"/>
    <w:rsid w:val="007066EC"/>
    <w:rsid w:val="007066FF"/>
    <w:rsid w:val="00706745"/>
    <w:rsid w:val="007067C3"/>
    <w:rsid w:val="0070684F"/>
    <w:rsid w:val="00706857"/>
    <w:rsid w:val="007068F9"/>
    <w:rsid w:val="00706926"/>
    <w:rsid w:val="00706956"/>
    <w:rsid w:val="007069C2"/>
    <w:rsid w:val="007069C6"/>
    <w:rsid w:val="007069FD"/>
    <w:rsid w:val="00706A2E"/>
    <w:rsid w:val="00706A90"/>
    <w:rsid w:val="00706AB4"/>
    <w:rsid w:val="00706B3F"/>
    <w:rsid w:val="00706BF1"/>
    <w:rsid w:val="00706CA3"/>
    <w:rsid w:val="00706D73"/>
    <w:rsid w:val="00706D99"/>
    <w:rsid w:val="00706DDF"/>
    <w:rsid w:val="00706DFC"/>
    <w:rsid w:val="00706E04"/>
    <w:rsid w:val="00706E69"/>
    <w:rsid w:val="00706EA4"/>
    <w:rsid w:val="00706EA9"/>
    <w:rsid w:val="00706ECD"/>
    <w:rsid w:val="00706EE2"/>
    <w:rsid w:val="00706F14"/>
    <w:rsid w:val="00706F5A"/>
    <w:rsid w:val="00706F88"/>
    <w:rsid w:val="00706FDB"/>
    <w:rsid w:val="00707055"/>
    <w:rsid w:val="007070CD"/>
    <w:rsid w:val="00707154"/>
    <w:rsid w:val="0070717E"/>
    <w:rsid w:val="0070718F"/>
    <w:rsid w:val="0070720B"/>
    <w:rsid w:val="00707214"/>
    <w:rsid w:val="00707218"/>
    <w:rsid w:val="0070728E"/>
    <w:rsid w:val="007072E9"/>
    <w:rsid w:val="007072F8"/>
    <w:rsid w:val="007073D6"/>
    <w:rsid w:val="007074A3"/>
    <w:rsid w:val="00707688"/>
    <w:rsid w:val="00707780"/>
    <w:rsid w:val="00707782"/>
    <w:rsid w:val="007077B0"/>
    <w:rsid w:val="00707874"/>
    <w:rsid w:val="00707925"/>
    <w:rsid w:val="007079F7"/>
    <w:rsid w:val="00707A26"/>
    <w:rsid w:val="00707B0F"/>
    <w:rsid w:val="00707B54"/>
    <w:rsid w:val="00707B85"/>
    <w:rsid w:val="00707BA7"/>
    <w:rsid w:val="00707BD6"/>
    <w:rsid w:val="00707BFB"/>
    <w:rsid w:val="00707C18"/>
    <w:rsid w:val="00707CEC"/>
    <w:rsid w:val="00707D24"/>
    <w:rsid w:val="00707D3A"/>
    <w:rsid w:val="00707D99"/>
    <w:rsid w:val="00707DF1"/>
    <w:rsid w:val="00707E03"/>
    <w:rsid w:val="00707E30"/>
    <w:rsid w:val="00707E5D"/>
    <w:rsid w:val="00707E89"/>
    <w:rsid w:val="00707EE2"/>
    <w:rsid w:val="00707F82"/>
    <w:rsid w:val="00707FAA"/>
    <w:rsid w:val="00707FC4"/>
    <w:rsid w:val="00707FE2"/>
    <w:rsid w:val="0071002D"/>
    <w:rsid w:val="00710048"/>
    <w:rsid w:val="0071006D"/>
    <w:rsid w:val="00710085"/>
    <w:rsid w:val="0071009F"/>
    <w:rsid w:val="0071014C"/>
    <w:rsid w:val="00710191"/>
    <w:rsid w:val="00710293"/>
    <w:rsid w:val="007102A2"/>
    <w:rsid w:val="0071034B"/>
    <w:rsid w:val="00710391"/>
    <w:rsid w:val="007103A3"/>
    <w:rsid w:val="00710406"/>
    <w:rsid w:val="00710438"/>
    <w:rsid w:val="0071049A"/>
    <w:rsid w:val="007104C6"/>
    <w:rsid w:val="007104DC"/>
    <w:rsid w:val="00710508"/>
    <w:rsid w:val="0071067D"/>
    <w:rsid w:val="00710686"/>
    <w:rsid w:val="00710688"/>
    <w:rsid w:val="0071069A"/>
    <w:rsid w:val="00710711"/>
    <w:rsid w:val="00710730"/>
    <w:rsid w:val="007107A7"/>
    <w:rsid w:val="0071086E"/>
    <w:rsid w:val="007108CD"/>
    <w:rsid w:val="0071093D"/>
    <w:rsid w:val="00710949"/>
    <w:rsid w:val="00710966"/>
    <w:rsid w:val="00710985"/>
    <w:rsid w:val="007109C7"/>
    <w:rsid w:val="007109DA"/>
    <w:rsid w:val="00710A2F"/>
    <w:rsid w:val="00710AD3"/>
    <w:rsid w:val="00710B0E"/>
    <w:rsid w:val="00710C2A"/>
    <w:rsid w:val="00710C2B"/>
    <w:rsid w:val="00710D6F"/>
    <w:rsid w:val="00710DCD"/>
    <w:rsid w:val="00710DF2"/>
    <w:rsid w:val="00710E33"/>
    <w:rsid w:val="00710E6C"/>
    <w:rsid w:val="00710E6F"/>
    <w:rsid w:val="00710E86"/>
    <w:rsid w:val="00710EE2"/>
    <w:rsid w:val="00710F5B"/>
    <w:rsid w:val="00711015"/>
    <w:rsid w:val="00711041"/>
    <w:rsid w:val="007110D2"/>
    <w:rsid w:val="00711214"/>
    <w:rsid w:val="0071123B"/>
    <w:rsid w:val="00711257"/>
    <w:rsid w:val="0071129F"/>
    <w:rsid w:val="007112C1"/>
    <w:rsid w:val="007112E5"/>
    <w:rsid w:val="007113EB"/>
    <w:rsid w:val="00711407"/>
    <w:rsid w:val="00711430"/>
    <w:rsid w:val="0071152B"/>
    <w:rsid w:val="007115C2"/>
    <w:rsid w:val="007115E6"/>
    <w:rsid w:val="00711601"/>
    <w:rsid w:val="00711630"/>
    <w:rsid w:val="00711651"/>
    <w:rsid w:val="00711671"/>
    <w:rsid w:val="00711696"/>
    <w:rsid w:val="0071169F"/>
    <w:rsid w:val="007116BC"/>
    <w:rsid w:val="007116C7"/>
    <w:rsid w:val="007117C2"/>
    <w:rsid w:val="007117C9"/>
    <w:rsid w:val="007117E3"/>
    <w:rsid w:val="00711804"/>
    <w:rsid w:val="007118B7"/>
    <w:rsid w:val="00711913"/>
    <w:rsid w:val="0071198E"/>
    <w:rsid w:val="007119F9"/>
    <w:rsid w:val="00711A5D"/>
    <w:rsid w:val="00711A93"/>
    <w:rsid w:val="00711B25"/>
    <w:rsid w:val="00711B37"/>
    <w:rsid w:val="00711B95"/>
    <w:rsid w:val="00711BBB"/>
    <w:rsid w:val="00711BCF"/>
    <w:rsid w:val="00711BD9"/>
    <w:rsid w:val="00711C00"/>
    <w:rsid w:val="00711C53"/>
    <w:rsid w:val="00711C79"/>
    <w:rsid w:val="00711CBD"/>
    <w:rsid w:val="00711DB7"/>
    <w:rsid w:val="00711E1A"/>
    <w:rsid w:val="00711E36"/>
    <w:rsid w:val="00711EA1"/>
    <w:rsid w:val="00711F0B"/>
    <w:rsid w:val="00711F3C"/>
    <w:rsid w:val="00711FA9"/>
    <w:rsid w:val="00711FC4"/>
    <w:rsid w:val="00711FDE"/>
    <w:rsid w:val="00712266"/>
    <w:rsid w:val="00712275"/>
    <w:rsid w:val="00712323"/>
    <w:rsid w:val="0071234A"/>
    <w:rsid w:val="007123A6"/>
    <w:rsid w:val="00712424"/>
    <w:rsid w:val="0071242F"/>
    <w:rsid w:val="007124D0"/>
    <w:rsid w:val="007124D1"/>
    <w:rsid w:val="00712503"/>
    <w:rsid w:val="00712553"/>
    <w:rsid w:val="007125B7"/>
    <w:rsid w:val="007125B8"/>
    <w:rsid w:val="007125C7"/>
    <w:rsid w:val="0071269F"/>
    <w:rsid w:val="007126BA"/>
    <w:rsid w:val="007126DB"/>
    <w:rsid w:val="00712738"/>
    <w:rsid w:val="007127C1"/>
    <w:rsid w:val="00712805"/>
    <w:rsid w:val="00712815"/>
    <w:rsid w:val="00712849"/>
    <w:rsid w:val="00712862"/>
    <w:rsid w:val="00712987"/>
    <w:rsid w:val="007129BC"/>
    <w:rsid w:val="007129E3"/>
    <w:rsid w:val="00712AF8"/>
    <w:rsid w:val="00712B4F"/>
    <w:rsid w:val="00712C18"/>
    <w:rsid w:val="00712C93"/>
    <w:rsid w:val="00712CCB"/>
    <w:rsid w:val="00712D7A"/>
    <w:rsid w:val="00712DDF"/>
    <w:rsid w:val="00712E45"/>
    <w:rsid w:val="00712E5E"/>
    <w:rsid w:val="00712FC0"/>
    <w:rsid w:val="00712FF3"/>
    <w:rsid w:val="00712FF6"/>
    <w:rsid w:val="00713080"/>
    <w:rsid w:val="00713081"/>
    <w:rsid w:val="0071309A"/>
    <w:rsid w:val="0071309B"/>
    <w:rsid w:val="007130C0"/>
    <w:rsid w:val="00713147"/>
    <w:rsid w:val="0071315B"/>
    <w:rsid w:val="00713295"/>
    <w:rsid w:val="007132FA"/>
    <w:rsid w:val="00713302"/>
    <w:rsid w:val="00713323"/>
    <w:rsid w:val="00713360"/>
    <w:rsid w:val="007133DE"/>
    <w:rsid w:val="00713417"/>
    <w:rsid w:val="0071345A"/>
    <w:rsid w:val="0071349C"/>
    <w:rsid w:val="007134A9"/>
    <w:rsid w:val="00713537"/>
    <w:rsid w:val="007135A0"/>
    <w:rsid w:val="007135A4"/>
    <w:rsid w:val="007135D2"/>
    <w:rsid w:val="0071360F"/>
    <w:rsid w:val="00713623"/>
    <w:rsid w:val="0071363A"/>
    <w:rsid w:val="0071371D"/>
    <w:rsid w:val="00713735"/>
    <w:rsid w:val="0071376A"/>
    <w:rsid w:val="00713791"/>
    <w:rsid w:val="007137AA"/>
    <w:rsid w:val="007137DB"/>
    <w:rsid w:val="007139CB"/>
    <w:rsid w:val="007139DB"/>
    <w:rsid w:val="00713A80"/>
    <w:rsid w:val="00713A99"/>
    <w:rsid w:val="00713AB3"/>
    <w:rsid w:val="00713B22"/>
    <w:rsid w:val="00713B99"/>
    <w:rsid w:val="00713C1B"/>
    <w:rsid w:val="00713C3B"/>
    <w:rsid w:val="00713CE0"/>
    <w:rsid w:val="00713CE6"/>
    <w:rsid w:val="00713E09"/>
    <w:rsid w:val="00713E4C"/>
    <w:rsid w:val="00713F5E"/>
    <w:rsid w:val="00713FC9"/>
    <w:rsid w:val="00713FCE"/>
    <w:rsid w:val="007140DB"/>
    <w:rsid w:val="0071415E"/>
    <w:rsid w:val="0071418E"/>
    <w:rsid w:val="007141F6"/>
    <w:rsid w:val="00714200"/>
    <w:rsid w:val="0071430E"/>
    <w:rsid w:val="00714313"/>
    <w:rsid w:val="00714320"/>
    <w:rsid w:val="00714342"/>
    <w:rsid w:val="0071434A"/>
    <w:rsid w:val="0071446E"/>
    <w:rsid w:val="007144CA"/>
    <w:rsid w:val="007145FC"/>
    <w:rsid w:val="00714682"/>
    <w:rsid w:val="0071474A"/>
    <w:rsid w:val="007147DA"/>
    <w:rsid w:val="00714817"/>
    <w:rsid w:val="0071481F"/>
    <w:rsid w:val="007148C6"/>
    <w:rsid w:val="0071494B"/>
    <w:rsid w:val="0071497F"/>
    <w:rsid w:val="00714A95"/>
    <w:rsid w:val="00714B19"/>
    <w:rsid w:val="00714BC6"/>
    <w:rsid w:val="00714CC3"/>
    <w:rsid w:val="00714DD8"/>
    <w:rsid w:val="00714E56"/>
    <w:rsid w:val="00714EB3"/>
    <w:rsid w:val="00714ED0"/>
    <w:rsid w:val="00714EEF"/>
    <w:rsid w:val="00714F2A"/>
    <w:rsid w:val="00714F36"/>
    <w:rsid w:val="00714F45"/>
    <w:rsid w:val="00714F57"/>
    <w:rsid w:val="00714FCB"/>
    <w:rsid w:val="00714FE5"/>
    <w:rsid w:val="0071504B"/>
    <w:rsid w:val="00715068"/>
    <w:rsid w:val="00715094"/>
    <w:rsid w:val="0071509E"/>
    <w:rsid w:val="007150D9"/>
    <w:rsid w:val="00715190"/>
    <w:rsid w:val="0071519A"/>
    <w:rsid w:val="007151B3"/>
    <w:rsid w:val="007151F5"/>
    <w:rsid w:val="00715268"/>
    <w:rsid w:val="0071531F"/>
    <w:rsid w:val="0071532B"/>
    <w:rsid w:val="00715348"/>
    <w:rsid w:val="0071536F"/>
    <w:rsid w:val="007153C3"/>
    <w:rsid w:val="007153F9"/>
    <w:rsid w:val="00715413"/>
    <w:rsid w:val="007154B3"/>
    <w:rsid w:val="007154DF"/>
    <w:rsid w:val="0071553E"/>
    <w:rsid w:val="00715652"/>
    <w:rsid w:val="00715684"/>
    <w:rsid w:val="007156E6"/>
    <w:rsid w:val="0071576B"/>
    <w:rsid w:val="007157E4"/>
    <w:rsid w:val="007157F7"/>
    <w:rsid w:val="00715817"/>
    <w:rsid w:val="0071581D"/>
    <w:rsid w:val="0071581F"/>
    <w:rsid w:val="0071588C"/>
    <w:rsid w:val="007158BA"/>
    <w:rsid w:val="007158C5"/>
    <w:rsid w:val="007159E7"/>
    <w:rsid w:val="007159EA"/>
    <w:rsid w:val="00715A2E"/>
    <w:rsid w:val="00715A50"/>
    <w:rsid w:val="00715AA3"/>
    <w:rsid w:val="00715B40"/>
    <w:rsid w:val="00715BA0"/>
    <w:rsid w:val="00715BAC"/>
    <w:rsid w:val="00715BDD"/>
    <w:rsid w:val="00715D2C"/>
    <w:rsid w:val="00715D46"/>
    <w:rsid w:val="00715D47"/>
    <w:rsid w:val="00715D6C"/>
    <w:rsid w:val="00715D85"/>
    <w:rsid w:val="00715E25"/>
    <w:rsid w:val="00715E3B"/>
    <w:rsid w:val="00715E70"/>
    <w:rsid w:val="00715EE3"/>
    <w:rsid w:val="00715FB6"/>
    <w:rsid w:val="00716045"/>
    <w:rsid w:val="007160BE"/>
    <w:rsid w:val="007160F1"/>
    <w:rsid w:val="0071619F"/>
    <w:rsid w:val="00716253"/>
    <w:rsid w:val="0071628B"/>
    <w:rsid w:val="007162B3"/>
    <w:rsid w:val="007162C5"/>
    <w:rsid w:val="007162DE"/>
    <w:rsid w:val="007162F0"/>
    <w:rsid w:val="007162F9"/>
    <w:rsid w:val="00716302"/>
    <w:rsid w:val="0071630C"/>
    <w:rsid w:val="00716337"/>
    <w:rsid w:val="007163BD"/>
    <w:rsid w:val="007163DF"/>
    <w:rsid w:val="007164EA"/>
    <w:rsid w:val="00716501"/>
    <w:rsid w:val="0071650A"/>
    <w:rsid w:val="007165D4"/>
    <w:rsid w:val="007165DA"/>
    <w:rsid w:val="0071664E"/>
    <w:rsid w:val="00716657"/>
    <w:rsid w:val="007166A1"/>
    <w:rsid w:val="0071675B"/>
    <w:rsid w:val="0071676C"/>
    <w:rsid w:val="007167F6"/>
    <w:rsid w:val="0071680B"/>
    <w:rsid w:val="00716822"/>
    <w:rsid w:val="00716848"/>
    <w:rsid w:val="00716935"/>
    <w:rsid w:val="00716AB1"/>
    <w:rsid w:val="00716B7A"/>
    <w:rsid w:val="00716BD0"/>
    <w:rsid w:val="00716C12"/>
    <w:rsid w:val="00716D04"/>
    <w:rsid w:val="00716D6E"/>
    <w:rsid w:val="00716DE1"/>
    <w:rsid w:val="00716DF4"/>
    <w:rsid w:val="00716E4B"/>
    <w:rsid w:val="00716E55"/>
    <w:rsid w:val="00716EF0"/>
    <w:rsid w:val="00716F1F"/>
    <w:rsid w:val="00716FAF"/>
    <w:rsid w:val="00716FC9"/>
    <w:rsid w:val="00716FF3"/>
    <w:rsid w:val="00717017"/>
    <w:rsid w:val="00717074"/>
    <w:rsid w:val="00717086"/>
    <w:rsid w:val="007170CB"/>
    <w:rsid w:val="007170DA"/>
    <w:rsid w:val="00717104"/>
    <w:rsid w:val="0071714A"/>
    <w:rsid w:val="00717181"/>
    <w:rsid w:val="00717199"/>
    <w:rsid w:val="007171D8"/>
    <w:rsid w:val="00717256"/>
    <w:rsid w:val="00717265"/>
    <w:rsid w:val="007172EC"/>
    <w:rsid w:val="00717340"/>
    <w:rsid w:val="00717378"/>
    <w:rsid w:val="00717395"/>
    <w:rsid w:val="007173B3"/>
    <w:rsid w:val="007173C3"/>
    <w:rsid w:val="0071750A"/>
    <w:rsid w:val="0071756C"/>
    <w:rsid w:val="0071759C"/>
    <w:rsid w:val="0071762B"/>
    <w:rsid w:val="007176AE"/>
    <w:rsid w:val="0071772E"/>
    <w:rsid w:val="00717739"/>
    <w:rsid w:val="00717746"/>
    <w:rsid w:val="00717778"/>
    <w:rsid w:val="007177A2"/>
    <w:rsid w:val="007177C2"/>
    <w:rsid w:val="00717830"/>
    <w:rsid w:val="0071786E"/>
    <w:rsid w:val="0071793D"/>
    <w:rsid w:val="0071797F"/>
    <w:rsid w:val="00717992"/>
    <w:rsid w:val="007179AA"/>
    <w:rsid w:val="007179EF"/>
    <w:rsid w:val="00717A0B"/>
    <w:rsid w:val="00717B0E"/>
    <w:rsid w:val="00717B59"/>
    <w:rsid w:val="00717BDF"/>
    <w:rsid w:val="00717C76"/>
    <w:rsid w:val="00717D0F"/>
    <w:rsid w:val="00717D6C"/>
    <w:rsid w:val="00717D79"/>
    <w:rsid w:val="00717DC7"/>
    <w:rsid w:val="00717DF2"/>
    <w:rsid w:val="00717E69"/>
    <w:rsid w:val="00717E6A"/>
    <w:rsid w:val="00717F07"/>
    <w:rsid w:val="00717FED"/>
    <w:rsid w:val="0071A1B9"/>
    <w:rsid w:val="0071A1D7"/>
    <w:rsid w:val="00720037"/>
    <w:rsid w:val="0072005F"/>
    <w:rsid w:val="0072006C"/>
    <w:rsid w:val="007200DE"/>
    <w:rsid w:val="00720144"/>
    <w:rsid w:val="00720204"/>
    <w:rsid w:val="00720270"/>
    <w:rsid w:val="007202C3"/>
    <w:rsid w:val="007202E9"/>
    <w:rsid w:val="007202EA"/>
    <w:rsid w:val="0072041C"/>
    <w:rsid w:val="00720422"/>
    <w:rsid w:val="00720424"/>
    <w:rsid w:val="00720465"/>
    <w:rsid w:val="007204AE"/>
    <w:rsid w:val="007204BA"/>
    <w:rsid w:val="007204C4"/>
    <w:rsid w:val="0072054C"/>
    <w:rsid w:val="0072054E"/>
    <w:rsid w:val="007205C2"/>
    <w:rsid w:val="00720684"/>
    <w:rsid w:val="007206B2"/>
    <w:rsid w:val="0072076E"/>
    <w:rsid w:val="00720787"/>
    <w:rsid w:val="007207F9"/>
    <w:rsid w:val="00720891"/>
    <w:rsid w:val="007208B4"/>
    <w:rsid w:val="007209F1"/>
    <w:rsid w:val="00720A17"/>
    <w:rsid w:val="00720A30"/>
    <w:rsid w:val="00720A3E"/>
    <w:rsid w:val="00720A40"/>
    <w:rsid w:val="00720A49"/>
    <w:rsid w:val="00720A5A"/>
    <w:rsid w:val="00720A98"/>
    <w:rsid w:val="00720AE6"/>
    <w:rsid w:val="00720AF1"/>
    <w:rsid w:val="00720B8F"/>
    <w:rsid w:val="00720BAA"/>
    <w:rsid w:val="00720BB1"/>
    <w:rsid w:val="00720D23"/>
    <w:rsid w:val="00720D24"/>
    <w:rsid w:val="00720D8A"/>
    <w:rsid w:val="00720E6E"/>
    <w:rsid w:val="00720E9D"/>
    <w:rsid w:val="00720EA2"/>
    <w:rsid w:val="00720EC4"/>
    <w:rsid w:val="00720EC6"/>
    <w:rsid w:val="00720FBA"/>
    <w:rsid w:val="00720FEE"/>
    <w:rsid w:val="00721044"/>
    <w:rsid w:val="00721046"/>
    <w:rsid w:val="00721047"/>
    <w:rsid w:val="00721099"/>
    <w:rsid w:val="007210C5"/>
    <w:rsid w:val="00721126"/>
    <w:rsid w:val="0072112F"/>
    <w:rsid w:val="0072114D"/>
    <w:rsid w:val="0072119D"/>
    <w:rsid w:val="007211C2"/>
    <w:rsid w:val="007211DD"/>
    <w:rsid w:val="00721223"/>
    <w:rsid w:val="00721234"/>
    <w:rsid w:val="00721259"/>
    <w:rsid w:val="007212C5"/>
    <w:rsid w:val="00721325"/>
    <w:rsid w:val="007213BE"/>
    <w:rsid w:val="0072144A"/>
    <w:rsid w:val="00721457"/>
    <w:rsid w:val="007214B2"/>
    <w:rsid w:val="00721647"/>
    <w:rsid w:val="007216DB"/>
    <w:rsid w:val="0072170A"/>
    <w:rsid w:val="0072174D"/>
    <w:rsid w:val="00721764"/>
    <w:rsid w:val="007217A7"/>
    <w:rsid w:val="007217DF"/>
    <w:rsid w:val="00721889"/>
    <w:rsid w:val="007218BA"/>
    <w:rsid w:val="00721907"/>
    <w:rsid w:val="0072192D"/>
    <w:rsid w:val="0072193F"/>
    <w:rsid w:val="00721944"/>
    <w:rsid w:val="00721980"/>
    <w:rsid w:val="00721984"/>
    <w:rsid w:val="0072198E"/>
    <w:rsid w:val="007219AC"/>
    <w:rsid w:val="00721A99"/>
    <w:rsid w:val="00721AC6"/>
    <w:rsid w:val="00721AFA"/>
    <w:rsid w:val="00721B3C"/>
    <w:rsid w:val="00721B44"/>
    <w:rsid w:val="00721BA8"/>
    <w:rsid w:val="00721BDD"/>
    <w:rsid w:val="00721C44"/>
    <w:rsid w:val="00721C9A"/>
    <w:rsid w:val="00721D4C"/>
    <w:rsid w:val="00721D6B"/>
    <w:rsid w:val="00721D9F"/>
    <w:rsid w:val="00721DA1"/>
    <w:rsid w:val="00721DB8"/>
    <w:rsid w:val="00721DDE"/>
    <w:rsid w:val="00721DFA"/>
    <w:rsid w:val="00721E8A"/>
    <w:rsid w:val="00721EC5"/>
    <w:rsid w:val="00721F1C"/>
    <w:rsid w:val="00721F1E"/>
    <w:rsid w:val="00721FED"/>
    <w:rsid w:val="007220B8"/>
    <w:rsid w:val="0072217A"/>
    <w:rsid w:val="007221A6"/>
    <w:rsid w:val="007221CD"/>
    <w:rsid w:val="00722218"/>
    <w:rsid w:val="0072225E"/>
    <w:rsid w:val="0072230E"/>
    <w:rsid w:val="0072231B"/>
    <w:rsid w:val="00722394"/>
    <w:rsid w:val="007223A1"/>
    <w:rsid w:val="00722412"/>
    <w:rsid w:val="0072242B"/>
    <w:rsid w:val="00722457"/>
    <w:rsid w:val="00722514"/>
    <w:rsid w:val="00722577"/>
    <w:rsid w:val="0072266D"/>
    <w:rsid w:val="007226D5"/>
    <w:rsid w:val="0072272F"/>
    <w:rsid w:val="00722752"/>
    <w:rsid w:val="007227B8"/>
    <w:rsid w:val="007227D3"/>
    <w:rsid w:val="007227D7"/>
    <w:rsid w:val="007227FD"/>
    <w:rsid w:val="0072280F"/>
    <w:rsid w:val="007228ED"/>
    <w:rsid w:val="007229E7"/>
    <w:rsid w:val="00722A4F"/>
    <w:rsid w:val="00722AA3"/>
    <w:rsid w:val="00722AB0"/>
    <w:rsid w:val="00722B17"/>
    <w:rsid w:val="00722B33"/>
    <w:rsid w:val="00722B53"/>
    <w:rsid w:val="00722B5F"/>
    <w:rsid w:val="00722B96"/>
    <w:rsid w:val="00722C4F"/>
    <w:rsid w:val="00722C54"/>
    <w:rsid w:val="00722C91"/>
    <w:rsid w:val="00722CA1"/>
    <w:rsid w:val="00722CAC"/>
    <w:rsid w:val="00722CD9"/>
    <w:rsid w:val="00722D3C"/>
    <w:rsid w:val="00722D52"/>
    <w:rsid w:val="00722E68"/>
    <w:rsid w:val="00722E8C"/>
    <w:rsid w:val="00722FAA"/>
    <w:rsid w:val="00722FC0"/>
    <w:rsid w:val="00722FD2"/>
    <w:rsid w:val="00722FEA"/>
    <w:rsid w:val="00723038"/>
    <w:rsid w:val="00723058"/>
    <w:rsid w:val="007230AA"/>
    <w:rsid w:val="007230B6"/>
    <w:rsid w:val="0072316E"/>
    <w:rsid w:val="007231A3"/>
    <w:rsid w:val="00723214"/>
    <w:rsid w:val="0072325D"/>
    <w:rsid w:val="00723315"/>
    <w:rsid w:val="00723324"/>
    <w:rsid w:val="0072333D"/>
    <w:rsid w:val="00723352"/>
    <w:rsid w:val="00723372"/>
    <w:rsid w:val="007233D3"/>
    <w:rsid w:val="007233D9"/>
    <w:rsid w:val="007234B4"/>
    <w:rsid w:val="007234DA"/>
    <w:rsid w:val="007234EA"/>
    <w:rsid w:val="00723539"/>
    <w:rsid w:val="00723545"/>
    <w:rsid w:val="00723605"/>
    <w:rsid w:val="00723612"/>
    <w:rsid w:val="00723623"/>
    <w:rsid w:val="0072365C"/>
    <w:rsid w:val="00723696"/>
    <w:rsid w:val="0072369B"/>
    <w:rsid w:val="007236DC"/>
    <w:rsid w:val="0072374D"/>
    <w:rsid w:val="00723784"/>
    <w:rsid w:val="0072386C"/>
    <w:rsid w:val="00723962"/>
    <w:rsid w:val="0072396B"/>
    <w:rsid w:val="0072399E"/>
    <w:rsid w:val="007239D2"/>
    <w:rsid w:val="007239F1"/>
    <w:rsid w:val="00723A07"/>
    <w:rsid w:val="00723A60"/>
    <w:rsid w:val="00723A73"/>
    <w:rsid w:val="00723AC0"/>
    <w:rsid w:val="00723B11"/>
    <w:rsid w:val="00723B4C"/>
    <w:rsid w:val="00723B84"/>
    <w:rsid w:val="00723DAA"/>
    <w:rsid w:val="00723DED"/>
    <w:rsid w:val="00723E15"/>
    <w:rsid w:val="00723E23"/>
    <w:rsid w:val="00723E3D"/>
    <w:rsid w:val="00723E76"/>
    <w:rsid w:val="00723EBF"/>
    <w:rsid w:val="00724003"/>
    <w:rsid w:val="00724007"/>
    <w:rsid w:val="00724069"/>
    <w:rsid w:val="00724170"/>
    <w:rsid w:val="00724175"/>
    <w:rsid w:val="007241C5"/>
    <w:rsid w:val="0072422F"/>
    <w:rsid w:val="00724248"/>
    <w:rsid w:val="0072427A"/>
    <w:rsid w:val="0072427C"/>
    <w:rsid w:val="00724297"/>
    <w:rsid w:val="007243E1"/>
    <w:rsid w:val="007243E3"/>
    <w:rsid w:val="007244B7"/>
    <w:rsid w:val="007245AB"/>
    <w:rsid w:val="0072463F"/>
    <w:rsid w:val="007246B4"/>
    <w:rsid w:val="0072471C"/>
    <w:rsid w:val="0072477E"/>
    <w:rsid w:val="007247EB"/>
    <w:rsid w:val="00724888"/>
    <w:rsid w:val="00724936"/>
    <w:rsid w:val="0072493B"/>
    <w:rsid w:val="0072498A"/>
    <w:rsid w:val="00724A05"/>
    <w:rsid w:val="00724A14"/>
    <w:rsid w:val="00724A1D"/>
    <w:rsid w:val="00724A4A"/>
    <w:rsid w:val="00724A96"/>
    <w:rsid w:val="00724AA9"/>
    <w:rsid w:val="00724B82"/>
    <w:rsid w:val="00724BF7"/>
    <w:rsid w:val="00724C1D"/>
    <w:rsid w:val="00724CA6"/>
    <w:rsid w:val="00724D37"/>
    <w:rsid w:val="00724D5B"/>
    <w:rsid w:val="00724D85"/>
    <w:rsid w:val="00724DA8"/>
    <w:rsid w:val="00724E16"/>
    <w:rsid w:val="00724E27"/>
    <w:rsid w:val="00724E2B"/>
    <w:rsid w:val="00724E47"/>
    <w:rsid w:val="00724E53"/>
    <w:rsid w:val="00724E86"/>
    <w:rsid w:val="00724E89"/>
    <w:rsid w:val="00724EB1"/>
    <w:rsid w:val="00724F19"/>
    <w:rsid w:val="00724F25"/>
    <w:rsid w:val="00724FA0"/>
    <w:rsid w:val="00725019"/>
    <w:rsid w:val="00725052"/>
    <w:rsid w:val="007250AE"/>
    <w:rsid w:val="007250FE"/>
    <w:rsid w:val="00725139"/>
    <w:rsid w:val="00725184"/>
    <w:rsid w:val="0072522F"/>
    <w:rsid w:val="00725263"/>
    <w:rsid w:val="00725350"/>
    <w:rsid w:val="00725358"/>
    <w:rsid w:val="007253FF"/>
    <w:rsid w:val="00725468"/>
    <w:rsid w:val="00725543"/>
    <w:rsid w:val="007255A2"/>
    <w:rsid w:val="00725651"/>
    <w:rsid w:val="00725756"/>
    <w:rsid w:val="0072588A"/>
    <w:rsid w:val="0072588D"/>
    <w:rsid w:val="007258D0"/>
    <w:rsid w:val="007258F6"/>
    <w:rsid w:val="007258F7"/>
    <w:rsid w:val="00725915"/>
    <w:rsid w:val="0072593D"/>
    <w:rsid w:val="00725944"/>
    <w:rsid w:val="0072594A"/>
    <w:rsid w:val="0072599E"/>
    <w:rsid w:val="007259A3"/>
    <w:rsid w:val="00725A05"/>
    <w:rsid w:val="00725A2C"/>
    <w:rsid w:val="00725A2D"/>
    <w:rsid w:val="00725A6E"/>
    <w:rsid w:val="00725B65"/>
    <w:rsid w:val="00725B81"/>
    <w:rsid w:val="00725BD1"/>
    <w:rsid w:val="00725CAD"/>
    <w:rsid w:val="00725D6A"/>
    <w:rsid w:val="00725DCE"/>
    <w:rsid w:val="00725DF2"/>
    <w:rsid w:val="00725DF3"/>
    <w:rsid w:val="00725E8A"/>
    <w:rsid w:val="00725E94"/>
    <w:rsid w:val="00725ED4"/>
    <w:rsid w:val="00725F8E"/>
    <w:rsid w:val="00725FF3"/>
    <w:rsid w:val="00726033"/>
    <w:rsid w:val="0072603A"/>
    <w:rsid w:val="00726123"/>
    <w:rsid w:val="007261E1"/>
    <w:rsid w:val="00726209"/>
    <w:rsid w:val="0072621E"/>
    <w:rsid w:val="0072622C"/>
    <w:rsid w:val="00726239"/>
    <w:rsid w:val="00726288"/>
    <w:rsid w:val="0072628E"/>
    <w:rsid w:val="007262BC"/>
    <w:rsid w:val="007262F8"/>
    <w:rsid w:val="007263EF"/>
    <w:rsid w:val="00726447"/>
    <w:rsid w:val="00726459"/>
    <w:rsid w:val="00726494"/>
    <w:rsid w:val="0072649C"/>
    <w:rsid w:val="007264C3"/>
    <w:rsid w:val="007264DF"/>
    <w:rsid w:val="007265BF"/>
    <w:rsid w:val="007265EC"/>
    <w:rsid w:val="0072668B"/>
    <w:rsid w:val="007266E1"/>
    <w:rsid w:val="007267B8"/>
    <w:rsid w:val="007267C2"/>
    <w:rsid w:val="007267DA"/>
    <w:rsid w:val="0072683E"/>
    <w:rsid w:val="007268D6"/>
    <w:rsid w:val="007268D8"/>
    <w:rsid w:val="007268E5"/>
    <w:rsid w:val="007268F3"/>
    <w:rsid w:val="0072699A"/>
    <w:rsid w:val="007269EA"/>
    <w:rsid w:val="00726A59"/>
    <w:rsid w:val="00726A7C"/>
    <w:rsid w:val="00726B27"/>
    <w:rsid w:val="00726B45"/>
    <w:rsid w:val="00726B92"/>
    <w:rsid w:val="00726BE3"/>
    <w:rsid w:val="00726C41"/>
    <w:rsid w:val="00726D9D"/>
    <w:rsid w:val="00726DB3"/>
    <w:rsid w:val="00726DC7"/>
    <w:rsid w:val="00726E1E"/>
    <w:rsid w:val="00726E48"/>
    <w:rsid w:val="00726E58"/>
    <w:rsid w:val="00726EBA"/>
    <w:rsid w:val="00726EC9"/>
    <w:rsid w:val="00726F20"/>
    <w:rsid w:val="00726F59"/>
    <w:rsid w:val="00726F8E"/>
    <w:rsid w:val="00726FB3"/>
    <w:rsid w:val="00726FFC"/>
    <w:rsid w:val="00727170"/>
    <w:rsid w:val="007271BB"/>
    <w:rsid w:val="007271F2"/>
    <w:rsid w:val="007271F8"/>
    <w:rsid w:val="0072724F"/>
    <w:rsid w:val="00727253"/>
    <w:rsid w:val="0072728B"/>
    <w:rsid w:val="00727298"/>
    <w:rsid w:val="007272FB"/>
    <w:rsid w:val="0072734B"/>
    <w:rsid w:val="00727362"/>
    <w:rsid w:val="00727395"/>
    <w:rsid w:val="00727424"/>
    <w:rsid w:val="00727435"/>
    <w:rsid w:val="00727449"/>
    <w:rsid w:val="007275B3"/>
    <w:rsid w:val="00727696"/>
    <w:rsid w:val="007276AD"/>
    <w:rsid w:val="00727735"/>
    <w:rsid w:val="00727765"/>
    <w:rsid w:val="007277A2"/>
    <w:rsid w:val="0072784A"/>
    <w:rsid w:val="00727871"/>
    <w:rsid w:val="007278C5"/>
    <w:rsid w:val="0072791E"/>
    <w:rsid w:val="0072795A"/>
    <w:rsid w:val="007279E9"/>
    <w:rsid w:val="00727A0F"/>
    <w:rsid w:val="00727A77"/>
    <w:rsid w:val="00727A8E"/>
    <w:rsid w:val="00727AB5"/>
    <w:rsid w:val="00727ADE"/>
    <w:rsid w:val="00727B34"/>
    <w:rsid w:val="00727B63"/>
    <w:rsid w:val="00727BCE"/>
    <w:rsid w:val="00727C98"/>
    <w:rsid w:val="00727C9E"/>
    <w:rsid w:val="00727CAB"/>
    <w:rsid w:val="00727CBE"/>
    <w:rsid w:val="00727D4D"/>
    <w:rsid w:val="00727D58"/>
    <w:rsid w:val="00727D91"/>
    <w:rsid w:val="00727DF4"/>
    <w:rsid w:val="00727DF5"/>
    <w:rsid w:val="00727E42"/>
    <w:rsid w:val="00727EB3"/>
    <w:rsid w:val="00727FD8"/>
    <w:rsid w:val="0073000C"/>
    <w:rsid w:val="0073008F"/>
    <w:rsid w:val="007300FF"/>
    <w:rsid w:val="0073015F"/>
    <w:rsid w:val="00730190"/>
    <w:rsid w:val="00730277"/>
    <w:rsid w:val="0073027A"/>
    <w:rsid w:val="007303BE"/>
    <w:rsid w:val="007303C2"/>
    <w:rsid w:val="007303D4"/>
    <w:rsid w:val="00730417"/>
    <w:rsid w:val="00730450"/>
    <w:rsid w:val="007304C2"/>
    <w:rsid w:val="00730566"/>
    <w:rsid w:val="007305A3"/>
    <w:rsid w:val="007305A7"/>
    <w:rsid w:val="007305B6"/>
    <w:rsid w:val="00730635"/>
    <w:rsid w:val="007306E6"/>
    <w:rsid w:val="0073078C"/>
    <w:rsid w:val="00730881"/>
    <w:rsid w:val="007308BB"/>
    <w:rsid w:val="00730912"/>
    <w:rsid w:val="00730988"/>
    <w:rsid w:val="00730A05"/>
    <w:rsid w:val="00730A32"/>
    <w:rsid w:val="00730A9C"/>
    <w:rsid w:val="00730AC5"/>
    <w:rsid w:val="00730AC7"/>
    <w:rsid w:val="00730ADB"/>
    <w:rsid w:val="00730B5F"/>
    <w:rsid w:val="00730B8D"/>
    <w:rsid w:val="00730C33"/>
    <w:rsid w:val="00730D08"/>
    <w:rsid w:val="00730D22"/>
    <w:rsid w:val="00730D30"/>
    <w:rsid w:val="00730D87"/>
    <w:rsid w:val="00730DB6"/>
    <w:rsid w:val="00730DE2"/>
    <w:rsid w:val="00730E22"/>
    <w:rsid w:val="00730E38"/>
    <w:rsid w:val="00730EF4"/>
    <w:rsid w:val="0073103F"/>
    <w:rsid w:val="00731040"/>
    <w:rsid w:val="00731053"/>
    <w:rsid w:val="00731082"/>
    <w:rsid w:val="007310B5"/>
    <w:rsid w:val="00731150"/>
    <w:rsid w:val="00731175"/>
    <w:rsid w:val="007311A8"/>
    <w:rsid w:val="00731275"/>
    <w:rsid w:val="007312C1"/>
    <w:rsid w:val="007312D6"/>
    <w:rsid w:val="007312EE"/>
    <w:rsid w:val="00731317"/>
    <w:rsid w:val="0073135E"/>
    <w:rsid w:val="0073138A"/>
    <w:rsid w:val="007313A7"/>
    <w:rsid w:val="007313DF"/>
    <w:rsid w:val="00731403"/>
    <w:rsid w:val="00731404"/>
    <w:rsid w:val="007314AC"/>
    <w:rsid w:val="00731578"/>
    <w:rsid w:val="0073164A"/>
    <w:rsid w:val="00731689"/>
    <w:rsid w:val="007316F1"/>
    <w:rsid w:val="00731772"/>
    <w:rsid w:val="007317C3"/>
    <w:rsid w:val="007317E9"/>
    <w:rsid w:val="00731858"/>
    <w:rsid w:val="00731891"/>
    <w:rsid w:val="0073189E"/>
    <w:rsid w:val="007318B5"/>
    <w:rsid w:val="00731938"/>
    <w:rsid w:val="00731A9C"/>
    <w:rsid w:val="00731BEF"/>
    <w:rsid w:val="00731C58"/>
    <w:rsid w:val="00731D29"/>
    <w:rsid w:val="00731D32"/>
    <w:rsid w:val="00731DBB"/>
    <w:rsid w:val="00731DDC"/>
    <w:rsid w:val="00731E89"/>
    <w:rsid w:val="00731ED2"/>
    <w:rsid w:val="00731ED8"/>
    <w:rsid w:val="00731F09"/>
    <w:rsid w:val="00731F35"/>
    <w:rsid w:val="00731FF2"/>
    <w:rsid w:val="00732017"/>
    <w:rsid w:val="0073204F"/>
    <w:rsid w:val="00732143"/>
    <w:rsid w:val="00732175"/>
    <w:rsid w:val="00732283"/>
    <w:rsid w:val="0073236E"/>
    <w:rsid w:val="007323B7"/>
    <w:rsid w:val="00732485"/>
    <w:rsid w:val="007324C0"/>
    <w:rsid w:val="007325F2"/>
    <w:rsid w:val="00732616"/>
    <w:rsid w:val="0073273E"/>
    <w:rsid w:val="0073277C"/>
    <w:rsid w:val="0073279B"/>
    <w:rsid w:val="007328D4"/>
    <w:rsid w:val="00732B36"/>
    <w:rsid w:val="00732B38"/>
    <w:rsid w:val="00732BF1"/>
    <w:rsid w:val="00732CDC"/>
    <w:rsid w:val="00732CE0"/>
    <w:rsid w:val="00732CED"/>
    <w:rsid w:val="00732DDE"/>
    <w:rsid w:val="00732DEB"/>
    <w:rsid w:val="00732DF0"/>
    <w:rsid w:val="00732DF8"/>
    <w:rsid w:val="00732E02"/>
    <w:rsid w:val="00732E05"/>
    <w:rsid w:val="00732E3E"/>
    <w:rsid w:val="00732E43"/>
    <w:rsid w:val="00732E62"/>
    <w:rsid w:val="00732E9D"/>
    <w:rsid w:val="00732F4D"/>
    <w:rsid w:val="0073300A"/>
    <w:rsid w:val="00733056"/>
    <w:rsid w:val="00733072"/>
    <w:rsid w:val="00733077"/>
    <w:rsid w:val="00733182"/>
    <w:rsid w:val="0073319B"/>
    <w:rsid w:val="00733218"/>
    <w:rsid w:val="0073322C"/>
    <w:rsid w:val="00733280"/>
    <w:rsid w:val="0073328A"/>
    <w:rsid w:val="007332E0"/>
    <w:rsid w:val="007333B2"/>
    <w:rsid w:val="007333B7"/>
    <w:rsid w:val="00733420"/>
    <w:rsid w:val="007334B1"/>
    <w:rsid w:val="007334B2"/>
    <w:rsid w:val="007334C6"/>
    <w:rsid w:val="00733511"/>
    <w:rsid w:val="00733520"/>
    <w:rsid w:val="007335DE"/>
    <w:rsid w:val="00733653"/>
    <w:rsid w:val="0073365B"/>
    <w:rsid w:val="0073366A"/>
    <w:rsid w:val="00733729"/>
    <w:rsid w:val="007337EC"/>
    <w:rsid w:val="007338BC"/>
    <w:rsid w:val="00733909"/>
    <w:rsid w:val="0073399F"/>
    <w:rsid w:val="007339F1"/>
    <w:rsid w:val="007339F7"/>
    <w:rsid w:val="00733A9E"/>
    <w:rsid w:val="00733AAA"/>
    <w:rsid w:val="00733AC7"/>
    <w:rsid w:val="00733B44"/>
    <w:rsid w:val="00733B52"/>
    <w:rsid w:val="00733B70"/>
    <w:rsid w:val="00733C01"/>
    <w:rsid w:val="00733C26"/>
    <w:rsid w:val="00733C9C"/>
    <w:rsid w:val="00733CA1"/>
    <w:rsid w:val="00733CD6"/>
    <w:rsid w:val="00733D75"/>
    <w:rsid w:val="00733DFA"/>
    <w:rsid w:val="00733E4C"/>
    <w:rsid w:val="00733E6A"/>
    <w:rsid w:val="00733E7F"/>
    <w:rsid w:val="00733EF1"/>
    <w:rsid w:val="00733F49"/>
    <w:rsid w:val="00733F6D"/>
    <w:rsid w:val="00733FB1"/>
    <w:rsid w:val="00733FF2"/>
    <w:rsid w:val="00734007"/>
    <w:rsid w:val="0073402D"/>
    <w:rsid w:val="00734128"/>
    <w:rsid w:val="0073417C"/>
    <w:rsid w:val="0073418B"/>
    <w:rsid w:val="007341F4"/>
    <w:rsid w:val="0073420D"/>
    <w:rsid w:val="007342CC"/>
    <w:rsid w:val="0073430F"/>
    <w:rsid w:val="0073438D"/>
    <w:rsid w:val="007343CC"/>
    <w:rsid w:val="00734433"/>
    <w:rsid w:val="0073445F"/>
    <w:rsid w:val="0073446A"/>
    <w:rsid w:val="007344B2"/>
    <w:rsid w:val="007344EB"/>
    <w:rsid w:val="00734563"/>
    <w:rsid w:val="00734564"/>
    <w:rsid w:val="007345A6"/>
    <w:rsid w:val="007345A7"/>
    <w:rsid w:val="007345B0"/>
    <w:rsid w:val="00734699"/>
    <w:rsid w:val="007346C9"/>
    <w:rsid w:val="007347F1"/>
    <w:rsid w:val="007347FE"/>
    <w:rsid w:val="00734869"/>
    <w:rsid w:val="00734B45"/>
    <w:rsid w:val="00734B57"/>
    <w:rsid w:val="00734BAF"/>
    <w:rsid w:val="00734BEF"/>
    <w:rsid w:val="00734CE0"/>
    <w:rsid w:val="00734D9C"/>
    <w:rsid w:val="00734E1E"/>
    <w:rsid w:val="00734E37"/>
    <w:rsid w:val="00734E4E"/>
    <w:rsid w:val="00734F48"/>
    <w:rsid w:val="00734F7B"/>
    <w:rsid w:val="00734FBF"/>
    <w:rsid w:val="00734FDF"/>
    <w:rsid w:val="00734FF6"/>
    <w:rsid w:val="00735042"/>
    <w:rsid w:val="0073509A"/>
    <w:rsid w:val="007350AF"/>
    <w:rsid w:val="007350BF"/>
    <w:rsid w:val="00735114"/>
    <w:rsid w:val="0073513C"/>
    <w:rsid w:val="00735184"/>
    <w:rsid w:val="007351C7"/>
    <w:rsid w:val="007351D4"/>
    <w:rsid w:val="00735292"/>
    <w:rsid w:val="0073532E"/>
    <w:rsid w:val="00735338"/>
    <w:rsid w:val="00735493"/>
    <w:rsid w:val="007354CB"/>
    <w:rsid w:val="007354D7"/>
    <w:rsid w:val="0073556D"/>
    <w:rsid w:val="007355B8"/>
    <w:rsid w:val="007355CE"/>
    <w:rsid w:val="007355E7"/>
    <w:rsid w:val="00735616"/>
    <w:rsid w:val="0073569E"/>
    <w:rsid w:val="007356DD"/>
    <w:rsid w:val="00735755"/>
    <w:rsid w:val="007357BA"/>
    <w:rsid w:val="007357C6"/>
    <w:rsid w:val="0073581A"/>
    <w:rsid w:val="00735850"/>
    <w:rsid w:val="007358B8"/>
    <w:rsid w:val="007358BE"/>
    <w:rsid w:val="007358C5"/>
    <w:rsid w:val="007358CE"/>
    <w:rsid w:val="00735969"/>
    <w:rsid w:val="00735985"/>
    <w:rsid w:val="00735994"/>
    <w:rsid w:val="007359DD"/>
    <w:rsid w:val="007359ED"/>
    <w:rsid w:val="00735A21"/>
    <w:rsid w:val="00735A93"/>
    <w:rsid w:val="00735AA3"/>
    <w:rsid w:val="00735AD7"/>
    <w:rsid w:val="00735B2B"/>
    <w:rsid w:val="00735BA9"/>
    <w:rsid w:val="00735BB0"/>
    <w:rsid w:val="00735BC9"/>
    <w:rsid w:val="00735C24"/>
    <w:rsid w:val="00735D7D"/>
    <w:rsid w:val="00735DE4"/>
    <w:rsid w:val="00735F53"/>
    <w:rsid w:val="0073602C"/>
    <w:rsid w:val="007360B2"/>
    <w:rsid w:val="007360D2"/>
    <w:rsid w:val="0073610D"/>
    <w:rsid w:val="00736124"/>
    <w:rsid w:val="00736148"/>
    <w:rsid w:val="007361A3"/>
    <w:rsid w:val="007361AB"/>
    <w:rsid w:val="007361B5"/>
    <w:rsid w:val="007361C5"/>
    <w:rsid w:val="007361FD"/>
    <w:rsid w:val="0073624D"/>
    <w:rsid w:val="007362AC"/>
    <w:rsid w:val="00736315"/>
    <w:rsid w:val="0073632D"/>
    <w:rsid w:val="00736378"/>
    <w:rsid w:val="0073638A"/>
    <w:rsid w:val="00736409"/>
    <w:rsid w:val="00736432"/>
    <w:rsid w:val="00736513"/>
    <w:rsid w:val="007365EC"/>
    <w:rsid w:val="00736661"/>
    <w:rsid w:val="007366D2"/>
    <w:rsid w:val="00736754"/>
    <w:rsid w:val="007368FD"/>
    <w:rsid w:val="00736908"/>
    <w:rsid w:val="00736941"/>
    <w:rsid w:val="00736956"/>
    <w:rsid w:val="0073698E"/>
    <w:rsid w:val="0073698F"/>
    <w:rsid w:val="00736A00"/>
    <w:rsid w:val="00736A6F"/>
    <w:rsid w:val="00736BBD"/>
    <w:rsid w:val="00736C2D"/>
    <w:rsid w:val="00736C74"/>
    <w:rsid w:val="00736CA7"/>
    <w:rsid w:val="00736D3B"/>
    <w:rsid w:val="00736E18"/>
    <w:rsid w:val="00736EC1"/>
    <w:rsid w:val="00736EC7"/>
    <w:rsid w:val="00736F2A"/>
    <w:rsid w:val="00736F38"/>
    <w:rsid w:val="00736FA5"/>
    <w:rsid w:val="00737002"/>
    <w:rsid w:val="0073700C"/>
    <w:rsid w:val="00737024"/>
    <w:rsid w:val="0073702D"/>
    <w:rsid w:val="00737081"/>
    <w:rsid w:val="00737082"/>
    <w:rsid w:val="007370A6"/>
    <w:rsid w:val="007370ED"/>
    <w:rsid w:val="0073710B"/>
    <w:rsid w:val="0073715C"/>
    <w:rsid w:val="007371E8"/>
    <w:rsid w:val="00737309"/>
    <w:rsid w:val="007373A9"/>
    <w:rsid w:val="0073747F"/>
    <w:rsid w:val="00737589"/>
    <w:rsid w:val="0073758B"/>
    <w:rsid w:val="007375EE"/>
    <w:rsid w:val="00737630"/>
    <w:rsid w:val="00737658"/>
    <w:rsid w:val="007377C9"/>
    <w:rsid w:val="00737829"/>
    <w:rsid w:val="00737846"/>
    <w:rsid w:val="00737852"/>
    <w:rsid w:val="0073787D"/>
    <w:rsid w:val="007378DC"/>
    <w:rsid w:val="00737962"/>
    <w:rsid w:val="00737AB8"/>
    <w:rsid w:val="00737B7E"/>
    <w:rsid w:val="00737C9A"/>
    <w:rsid w:val="00737CD6"/>
    <w:rsid w:val="00737D00"/>
    <w:rsid w:val="00737D2C"/>
    <w:rsid w:val="00737D4F"/>
    <w:rsid w:val="00737DAF"/>
    <w:rsid w:val="00737DEE"/>
    <w:rsid w:val="00737E54"/>
    <w:rsid w:val="00737ED1"/>
    <w:rsid w:val="00737FEC"/>
    <w:rsid w:val="00740091"/>
    <w:rsid w:val="007400D6"/>
    <w:rsid w:val="00740173"/>
    <w:rsid w:val="00740182"/>
    <w:rsid w:val="00740192"/>
    <w:rsid w:val="0074022F"/>
    <w:rsid w:val="00740250"/>
    <w:rsid w:val="00740283"/>
    <w:rsid w:val="0074033D"/>
    <w:rsid w:val="007403B5"/>
    <w:rsid w:val="007403F1"/>
    <w:rsid w:val="00740490"/>
    <w:rsid w:val="007404CA"/>
    <w:rsid w:val="00740518"/>
    <w:rsid w:val="0074052F"/>
    <w:rsid w:val="00740553"/>
    <w:rsid w:val="007406CB"/>
    <w:rsid w:val="00740728"/>
    <w:rsid w:val="0074074D"/>
    <w:rsid w:val="007407F0"/>
    <w:rsid w:val="007407F3"/>
    <w:rsid w:val="00740855"/>
    <w:rsid w:val="0074087A"/>
    <w:rsid w:val="00740896"/>
    <w:rsid w:val="0074089B"/>
    <w:rsid w:val="00740916"/>
    <w:rsid w:val="00740946"/>
    <w:rsid w:val="0074094D"/>
    <w:rsid w:val="007409B7"/>
    <w:rsid w:val="007409C0"/>
    <w:rsid w:val="00740AEC"/>
    <w:rsid w:val="00740AFD"/>
    <w:rsid w:val="00740B14"/>
    <w:rsid w:val="00740BB8"/>
    <w:rsid w:val="00740C34"/>
    <w:rsid w:val="00740C3A"/>
    <w:rsid w:val="00740C46"/>
    <w:rsid w:val="00740C57"/>
    <w:rsid w:val="00740CB4"/>
    <w:rsid w:val="00740DDA"/>
    <w:rsid w:val="00740E25"/>
    <w:rsid w:val="00740E62"/>
    <w:rsid w:val="00740E70"/>
    <w:rsid w:val="00740EC4"/>
    <w:rsid w:val="00740F33"/>
    <w:rsid w:val="00740F7A"/>
    <w:rsid w:val="00740F9A"/>
    <w:rsid w:val="007410C3"/>
    <w:rsid w:val="00741108"/>
    <w:rsid w:val="0074115E"/>
    <w:rsid w:val="007411CB"/>
    <w:rsid w:val="007411EE"/>
    <w:rsid w:val="007411FE"/>
    <w:rsid w:val="0074125E"/>
    <w:rsid w:val="007412C1"/>
    <w:rsid w:val="007412E4"/>
    <w:rsid w:val="00741327"/>
    <w:rsid w:val="0074132F"/>
    <w:rsid w:val="00741413"/>
    <w:rsid w:val="00741420"/>
    <w:rsid w:val="00741432"/>
    <w:rsid w:val="0074147B"/>
    <w:rsid w:val="00741489"/>
    <w:rsid w:val="007415C8"/>
    <w:rsid w:val="007415D1"/>
    <w:rsid w:val="007415E8"/>
    <w:rsid w:val="00741613"/>
    <w:rsid w:val="007416E9"/>
    <w:rsid w:val="007417C8"/>
    <w:rsid w:val="0074184D"/>
    <w:rsid w:val="0074189A"/>
    <w:rsid w:val="0074195B"/>
    <w:rsid w:val="00741966"/>
    <w:rsid w:val="007419AF"/>
    <w:rsid w:val="00741AB3"/>
    <w:rsid w:val="00741B30"/>
    <w:rsid w:val="00741B56"/>
    <w:rsid w:val="00741BC9"/>
    <w:rsid w:val="00741BD8"/>
    <w:rsid w:val="00741C60"/>
    <w:rsid w:val="00741C6A"/>
    <w:rsid w:val="00741D25"/>
    <w:rsid w:val="00741DB5"/>
    <w:rsid w:val="00741E17"/>
    <w:rsid w:val="00741E26"/>
    <w:rsid w:val="00741E31"/>
    <w:rsid w:val="00741E54"/>
    <w:rsid w:val="00741E60"/>
    <w:rsid w:val="00741F2A"/>
    <w:rsid w:val="00741FE1"/>
    <w:rsid w:val="00742048"/>
    <w:rsid w:val="0074208B"/>
    <w:rsid w:val="0074209C"/>
    <w:rsid w:val="007420A0"/>
    <w:rsid w:val="00742142"/>
    <w:rsid w:val="007421E0"/>
    <w:rsid w:val="007422CB"/>
    <w:rsid w:val="007422F3"/>
    <w:rsid w:val="00742352"/>
    <w:rsid w:val="007423AD"/>
    <w:rsid w:val="0074241F"/>
    <w:rsid w:val="0074245F"/>
    <w:rsid w:val="00742468"/>
    <w:rsid w:val="007424BB"/>
    <w:rsid w:val="0074253F"/>
    <w:rsid w:val="00742601"/>
    <w:rsid w:val="00742695"/>
    <w:rsid w:val="007426BB"/>
    <w:rsid w:val="007428F5"/>
    <w:rsid w:val="00742922"/>
    <w:rsid w:val="00742966"/>
    <w:rsid w:val="007429BA"/>
    <w:rsid w:val="007429BD"/>
    <w:rsid w:val="007429D1"/>
    <w:rsid w:val="00742ACC"/>
    <w:rsid w:val="00742AE5"/>
    <w:rsid w:val="00742B81"/>
    <w:rsid w:val="00742BA7"/>
    <w:rsid w:val="00742BDE"/>
    <w:rsid w:val="00742BE9"/>
    <w:rsid w:val="00742BF4"/>
    <w:rsid w:val="00742C44"/>
    <w:rsid w:val="00742C7A"/>
    <w:rsid w:val="00742D8C"/>
    <w:rsid w:val="00742E15"/>
    <w:rsid w:val="00742E70"/>
    <w:rsid w:val="00742F56"/>
    <w:rsid w:val="00742F5A"/>
    <w:rsid w:val="00742F6B"/>
    <w:rsid w:val="0074305C"/>
    <w:rsid w:val="0074308D"/>
    <w:rsid w:val="007430C3"/>
    <w:rsid w:val="00743125"/>
    <w:rsid w:val="0074315A"/>
    <w:rsid w:val="00743263"/>
    <w:rsid w:val="007433BD"/>
    <w:rsid w:val="007433EC"/>
    <w:rsid w:val="007433ED"/>
    <w:rsid w:val="00743454"/>
    <w:rsid w:val="0074348A"/>
    <w:rsid w:val="00743532"/>
    <w:rsid w:val="00743551"/>
    <w:rsid w:val="007435B1"/>
    <w:rsid w:val="007435EB"/>
    <w:rsid w:val="00743631"/>
    <w:rsid w:val="00743678"/>
    <w:rsid w:val="007436C4"/>
    <w:rsid w:val="00743733"/>
    <w:rsid w:val="00743797"/>
    <w:rsid w:val="0074381D"/>
    <w:rsid w:val="00743827"/>
    <w:rsid w:val="0074382E"/>
    <w:rsid w:val="0074386C"/>
    <w:rsid w:val="007438B7"/>
    <w:rsid w:val="007438C9"/>
    <w:rsid w:val="0074399A"/>
    <w:rsid w:val="007439ED"/>
    <w:rsid w:val="00743A0B"/>
    <w:rsid w:val="00743A0E"/>
    <w:rsid w:val="00743A11"/>
    <w:rsid w:val="00743A12"/>
    <w:rsid w:val="00743A2D"/>
    <w:rsid w:val="00743A4D"/>
    <w:rsid w:val="00743A5D"/>
    <w:rsid w:val="00743AB3"/>
    <w:rsid w:val="00743B4D"/>
    <w:rsid w:val="00743C7D"/>
    <w:rsid w:val="00743CCB"/>
    <w:rsid w:val="00743D8B"/>
    <w:rsid w:val="00743DE1"/>
    <w:rsid w:val="00743E3F"/>
    <w:rsid w:val="00743E59"/>
    <w:rsid w:val="00743E63"/>
    <w:rsid w:val="00743F24"/>
    <w:rsid w:val="00743F37"/>
    <w:rsid w:val="00744088"/>
    <w:rsid w:val="007440CA"/>
    <w:rsid w:val="0074418A"/>
    <w:rsid w:val="007441B1"/>
    <w:rsid w:val="007441DF"/>
    <w:rsid w:val="0074427F"/>
    <w:rsid w:val="00744280"/>
    <w:rsid w:val="007442C3"/>
    <w:rsid w:val="007442F7"/>
    <w:rsid w:val="007443A3"/>
    <w:rsid w:val="007443A7"/>
    <w:rsid w:val="007443DC"/>
    <w:rsid w:val="00744433"/>
    <w:rsid w:val="00744460"/>
    <w:rsid w:val="0074447D"/>
    <w:rsid w:val="007444D2"/>
    <w:rsid w:val="00744641"/>
    <w:rsid w:val="00744798"/>
    <w:rsid w:val="007447D3"/>
    <w:rsid w:val="00744870"/>
    <w:rsid w:val="00744879"/>
    <w:rsid w:val="00744896"/>
    <w:rsid w:val="007448D2"/>
    <w:rsid w:val="007449BC"/>
    <w:rsid w:val="007449D7"/>
    <w:rsid w:val="00744A11"/>
    <w:rsid w:val="00744A48"/>
    <w:rsid w:val="00744A61"/>
    <w:rsid w:val="00744A82"/>
    <w:rsid w:val="00744A8A"/>
    <w:rsid w:val="00744A9C"/>
    <w:rsid w:val="00744AC9"/>
    <w:rsid w:val="00744B0A"/>
    <w:rsid w:val="00744B5D"/>
    <w:rsid w:val="00744B6F"/>
    <w:rsid w:val="00744B8F"/>
    <w:rsid w:val="00744BE3"/>
    <w:rsid w:val="00744C07"/>
    <w:rsid w:val="00744C69"/>
    <w:rsid w:val="00744C70"/>
    <w:rsid w:val="00744CBE"/>
    <w:rsid w:val="00744D92"/>
    <w:rsid w:val="00744E78"/>
    <w:rsid w:val="00744F0A"/>
    <w:rsid w:val="00744F4C"/>
    <w:rsid w:val="00744FE3"/>
    <w:rsid w:val="00744FFF"/>
    <w:rsid w:val="00745001"/>
    <w:rsid w:val="00745009"/>
    <w:rsid w:val="00745039"/>
    <w:rsid w:val="007451E4"/>
    <w:rsid w:val="0074525D"/>
    <w:rsid w:val="0074528E"/>
    <w:rsid w:val="007452B1"/>
    <w:rsid w:val="00745411"/>
    <w:rsid w:val="007454D6"/>
    <w:rsid w:val="007454EF"/>
    <w:rsid w:val="0074552E"/>
    <w:rsid w:val="0074557D"/>
    <w:rsid w:val="0074560D"/>
    <w:rsid w:val="0074568E"/>
    <w:rsid w:val="007456C6"/>
    <w:rsid w:val="007457B0"/>
    <w:rsid w:val="007457FB"/>
    <w:rsid w:val="007458ED"/>
    <w:rsid w:val="00745903"/>
    <w:rsid w:val="00745930"/>
    <w:rsid w:val="007459B6"/>
    <w:rsid w:val="007459F3"/>
    <w:rsid w:val="00745A2C"/>
    <w:rsid w:val="00745B3A"/>
    <w:rsid w:val="00745B43"/>
    <w:rsid w:val="00745B51"/>
    <w:rsid w:val="00745B54"/>
    <w:rsid w:val="00745B83"/>
    <w:rsid w:val="00745C0E"/>
    <w:rsid w:val="00745CAD"/>
    <w:rsid w:val="00745E55"/>
    <w:rsid w:val="00745EBA"/>
    <w:rsid w:val="00745EC7"/>
    <w:rsid w:val="00745F4C"/>
    <w:rsid w:val="00746051"/>
    <w:rsid w:val="00746056"/>
    <w:rsid w:val="00746058"/>
    <w:rsid w:val="007460CD"/>
    <w:rsid w:val="007460D2"/>
    <w:rsid w:val="00746121"/>
    <w:rsid w:val="00746137"/>
    <w:rsid w:val="0074618F"/>
    <w:rsid w:val="0074619F"/>
    <w:rsid w:val="007461F2"/>
    <w:rsid w:val="0074632E"/>
    <w:rsid w:val="007463B9"/>
    <w:rsid w:val="007463BD"/>
    <w:rsid w:val="007464B3"/>
    <w:rsid w:val="00746509"/>
    <w:rsid w:val="00746583"/>
    <w:rsid w:val="007465FC"/>
    <w:rsid w:val="00746611"/>
    <w:rsid w:val="007466B1"/>
    <w:rsid w:val="00746782"/>
    <w:rsid w:val="007467E0"/>
    <w:rsid w:val="00746813"/>
    <w:rsid w:val="0074681B"/>
    <w:rsid w:val="00746822"/>
    <w:rsid w:val="007468E1"/>
    <w:rsid w:val="00746908"/>
    <w:rsid w:val="00746937"/>
    <w:rsid w:val="0074697C"/>
    <w:rsid w:val="00746A69"/>
    <w:rsid w:val="00746A77"/>
    <w:rsid w:val="00746AB6"/>
    <w:rsid w:val="00746B07"/>
    <w:rsid w:val="00746BD9"/>
    <w:rsid w:val="00746DDE"/>
    <w:rsid w:val="00746E91"/>
    <w:rsid w:val="00746EC2"/>
    <w:rsid w:val="00746F5E"/>
    <w:rsid w:val="00746F6C"/>
    <w:rsid w:val="00746F83"/>
    <w:rsid w:val="00746FAC"/>
    <w:rsid w:val="00746FEC"/>
    <w:rsid w:val="0074704F"/>
    <w:rsid w:val="00747091"/>
    <w:rsid w:val="007470BB"/>
    <w:rsid w:val="007470C0"/>
    <w:rsid w:val="007471AD"/>
    <w:rsid w:val="00747258"/>
    <w:rsid w:val="007472DC"/>
    <w:rsid w:val="007472E5"/>
    <w:rsid w:val="0074730F"/>
    <w:rsid w:val="0074733F"/>
    <w:rsid w:val="007473D0"/>
    <w:rsid w:val="007473F3"/>
    <w:rsid w:val="00747402"/>
    <w:rsid w:val="00747422"/>
    <w:rsid w:val="00747452"/>
    <w:rsid w:val="007474D2"/>
    <w:rsid w:val="007474FC"/>
    <w:rsid w:val="0074752B"/>
    <w:rsid w:val="00747535"/>
    <w:rsid w:val="00747560"/>
    <w:rsid w:val="007475F9"/>
    <w:rsid w:val="00747838"/>
    <w:rsid w:val="00747971"/>
    <w:rsid w:val="00747A32"/>
    <w:rsid w:val="00747A5D"/>
    <w:rsid w:val="00747AD4"/>
    <w:rsid w:val="00747C43"/>
    <w:rsid w:val="00747C4A"/>
    <w:rsid w:val="00747CA7"/>
    <w:rsid w:val="00747CDB"/>
    <w:rsid w:val="00747CF0"/>
    <w:rsid w:val="00747D1A"/>
    <w:rsid w:val="00747D45"/>
    <w:rsid w:val="00747D5C"/>
    <w:rsid w:val="00747E5B"/>
    <w:rsid w:val="00747E7D"/>
    <w:rsid w:val="00747E81"/>
    <w:rsid w:val="00747F04"/>
    <w:rsid w:val="00747F3B"/>
    <w:rsid w:val="00747F3C"/>
    <w:rsid w:val="00747F4A"/>
    <w:rsid w:val="00747FA5"/>
    <w:rsid w:val="0075000E"/>
    <w:rsid w:val="0075002E"/>
    <w:rsid w:val="00750112"/>
    <w:rsid w:val="00750119"/>
    <w:rsid w:val="0075012C"/>
    <w:rsid w:val="00750172"/>
    <w:rsid w:val="0075021F"/>
    <w:rsid w:val="00750246"/>
    <w:rsid w:val="0075024D"/>
    <w:rsid w:val="00750279"/>
    <w:rsid w:val="0075028D"/>
    <w:rsid w:val="007502A9"/>
    <w:rsid w:val="00750366"/>
    <w:rsid w:val="007503FF"/>
    <w:rsid w:val="00750400"/>
    <w:rsid w:val="00750415"/>
    <w:rsid w:val="00750419"/>
    <w:rsid w:val="00750429"/>
    <w:rsid w:val="0075042A"/>
    <w:rsid w:val="00750442"/>
    <w:rsid w:val="0075046E"/>
    <w:rsid w:val="00750484"/>
    <w:rsid w:val="007504FD"/>
    <w:rsid w:val="00750504"/>
    <w:rsid w:val="00750575"/>
    <w:rsid w:val="007505A9"/>
    <w:rsid w:val="007505AC"/>
    <w:rsid w:val="007505C4"/>
    <w:rsid w:val="007505E7"/>
    <w:rsid w:val="007506E2"/>
    <w:rsid w:val="00750725"/>
    <w:rsid w:val="00750742"/>
    <w:rsid w:val="007507FF"/>
    <w:rsid w:val="0075085C"/>
    <w:rsid w:val="007508E9"/>
    <w:rsid w:val="007509F5"/>
    <w:rsid w:val="00750A79"/>
    <w:rsid w:val="00750AC2"/>
    <w:rsid w:val="00750AE5"/>
    <w:rsid w:val="00750AF1"/>
    <w:rsid w:val="00750AFB"/>
    <w:rsid w:val="00750B16"/>
    <w:rsid w:val="00750BA9"/>
    <w:rsid w:val="00750BB4"/>
    <w:rsid w:val="00750C1B"/>
    <w:rsid w:val="00750C46"/>
    <w:rsid w:val="00750C97"/>
    <w:rsid w:val="00750D13"/>
    <w:rsid w:val="00750D49"/>
    <w:rsid w:val="00750D4A"/>
    <w:rsid w:val="00750DE5"/>
    <w:rsid w:val="00750E5E"/>
    <w:rsid w:val="00750E69"/>
    <w:rsid w:val="00750EAD"/>
    <w:rsid w:val="00750EC3"/>
    <w:rsid w:val="00750F32"/>
    <w:rsid w:val="00750FA9"/>
    <w:rsid w:val="00751002"/>
    <w:rsid w:val="007510AF"/>
    <w:rsid w:val="007510D6"/>
    <w:rsid w:val="00751111"/>
    <w:rsid w:val="00751119"/>
    <w:rsid w:val="0075114C"/>
    <w:rsid w:val="00751184"/>
    <w:rsid w:val="00751188"/>
    <w:rsid w:val="0075119F"/>
    <w:rsid w:val="00751201"/>
    <w:rsid w:val="00751293"/>
    <w:rsid w:val="0075135B"/>
    <w:rsid w:val="0075137A"/>
    <w:rsid w:val="0075140D"/>
    <w:rsid w:val="00751418"/>
    <w:rsid w:val="0075141A"/>
    <w:rsid w:val="0075143B"/>
    <w:rsid w:val="0075144B"/>
    <w:rsid w:val="00751533"/>
    <w:rsid w:val="0075156F"/>
    <w:rsid w:val="0075158C"/>
    <w:rsid w:val="007515CB"/>
    <w:rsid w:val="00751616"/>
    <w:rsid w:val="0075163D"/>
    <w:rsid w:val="0075169F"/>
    <w:rsid w:val="00751719"/>
    <w:rsid w:val="00751749"/>
    <w:rsid w:val="007517F5"/>
    <w:rsid w:val="0075188F"/>
    <w:rsid w:val="007518CD"/>
    <w:rsid w:val="00751943"/>
    <w:rsid w:val="00751944"/>
    <w:rsid w:val="007519CA"/>
    <w:rsid w:val="007519E5"/>
    <w:rsid w:val="00751A07"/>
    <w:rsid w:val="00751A55"/>
    <w:rsid w:val="00751A5C"/>
    <w:rsid w:val="00751A73"/>
    <w:rsid w:val="00751A7B"/>
    <w:rsid w:val="00751A88"/>
    <w:rsid w:val="00751AA0"/>
    <w:rsid w:val="00751AB9"/>
    <w:rsid w:val="00751B00"/>
    <w:rsid w:val="00751B46"/>
    <w:rsid w:val="00751B9A"/>
    <w:rsid w:val="00751BFD"/>
    <w:rsid w:val="00751BFF"/>
    <w:rsid w:val="00751C9D"/>
    <w:rsid w:val="00751D72"/>
    <w:rsid w:val="00751E29"/>
    <w:rsid w:val="00751E59"/>
    <w:rsid w:val="00751E5E"/>
    <w:rsid w:val="00751E69"/>
    <w:rsid w:val="00751E76"/>
    <w:rsid w:val="00751ED0"/>
    <w:rsid w:val="00751ED9"/>
    <w:rsid w:val="00751F22"/>
    <w:rsid w:val="0075204B"/>
    <w:rsid w:val="0075209A"/>
    <w:rsid w:val="007520D0"/>
    <w:rsid w:val="007521A6"/>
    <w:rsid w:val="007521AA"/>
    <w:rsid w:val="007521D1"/>
    <w:rsid w:val="00752219"/>
    <w:rsid w:val="00752222"/>
    <w:rsid w:val="00752242"/>
    <w:rsid w:val="0075225A"/>
    <w:rsid w:val="0075232A"/>
    <w:rsid w:val="0075233E"/>
    <w:rsid w:val="0075234B"/>
    <w:rsid w:val="00752456"/>
    <w:rsid w:val="00752486"/>
    <w:rsid w:val="007524AC"/>
    <w:rsid w:val="007524EF"/>
    <w:rsid w:val="00752507"/>
    <w:rsid w:val="0075250F"/>
    <w:rsid w:val="00752605"/>
    <w:rsid w:val="0075261F"/>
    <w:rsid w:val="00752804"/>
    <w:rsid w:val="00752817"/>
    <w:rsid w:val="00752896"/>
    <w:rsid w:val="007528B7"/>
    <w:rsid w:val="007528D6"/>
    <w:rsid w:val="00752951"/>
    <w:rsid w:val="007529B3"/>
    <w:rsid w:val="007529E1"/>
    <w:rsid w:val="00752A59"/>
    <w:rsid w:val="00752AF8"/>
    <w:rsid w:val="00752B79"/>
    <w:rsid w:val="00752BB1"/>
    <w:rsid w:val="00752BFD"/>
    <w:rsid w:val="00752C5F"/>
    <w:rsid w:val="00752CD3"/>
    <w:rsid w:val="00752CD8"/>
    <w:rsid w:val="00752CFA"/>
    <w:rsid w:val="00752D65"/>
    <w:rsid w:val="00752D74"/>
    <w:rsid w:val="00752D8D"/>
    <w:rsid w:val="00752DB1"/>
    <w:rsid w:val="00752DFA"/>
    <w:rsid w:val="00752E17"/>
    <w:rsid w:val="00752E7E"/>
    <w:rsid w:val="00752E8B"/>
    <w:rsid w:val="00752F2C"/>
    <w:rsid w:val="00752F2D"/>
    <w:rsid w:val="00752FD1"/>
    <w:rsid w:val="00752FE0"/>
    <w:rsid w:val="007530B4"/>
    <w:rsid w:val="007530CD"/>
    <w:rsid w:val="007530EB"/>
    <w:rsid w:val="007530EE"/>
    <w:rsid w:val="00753181"/>
    <w:rsid w:val="0075319E"/>
    <w:rsid w:val="007531BD"/>
    <w:rsid w:val="007531D2"/>
    <w:rsid w:val="0075320B"/>
    <w:rsid w:val="00753298"/>
    <w:rsid w:val="007532AD"/>
    <w:rsid w:val="007532B2"/>
    <w:rsid w:val="007532D9"/>
    <w:rsid w:val="007532F2"/>
    <w:rsid w:val="0075335C"/>
    <w:rsid w:val="0075338C"/>
    <w:rsid w:val="007533C0"/>
    <w:rsid w:val="007533CB"/>
    <w:rsid w:val="007533FA"/>
    <w:rsid w:val="00753467"/>
    <w:rsid w:val="00753507"/>
    <w:rsid w:val="00753514"/>
    <w:rsid w:val="0075351D"/>
    <w:rsid w:val="00753549"/>
    <w:rsid w:val="00753595"/>
    <w:rsid w:val="007535B2"/>
    <w:rsid w:val="007535E5"/>
    <w:rsid w:val="007535F5"/>
    <w:rsid w:val="00753635"/>
    <w:rsid w:val="00753721"/>
    <w:rsid w:val="00753737"/>
    <w:rsid w:val="0075375A"/>
    <w:rsid w:val="007537D2"/>
    <w:rsid w:val="007537E9"/>
    <w:rsid w:val="0075382A"/>
    <w:rsid w:val="00753852"/>
    <w:rsid w:val="00753887"/>
    <w:rsid w:val="0075399A"/>
    <w:rsid w:val="00753A67"/>
    <w:rsid w:val="00753A79"/>
    <w:rsid w:val="00753A90"/>
    <w:rsid w:val="00753A94"/>
    <w:rsid w:val="00753B28"/>
    <w:rsid w:val="00753BAD"/>
    <w:rsid w:val="00753BD2"/>
    <w:rsid w:val="00753BF5"/>
    <w:rsid w:val="00753C24"/>
    <w:rsid w:val="00753D4F"/>
    <w:rsid w:val="00753E07"/>
    <w:rsid w:val="00753EAC"/>
    <w:rsid w:val="00753F25"/>
    <w:rsid w:val="007540BC"/>
    <w:rsid w:val="007540C4"/>
    <w:rsid w:val="007540C7"/>
    <w:rsid w:val="007541F9"/>
    <w:rsid w:val="0075427B"/>
    <w:rsid w:val="00754290"/>
    <w:rsid w:val="0075437A"/>
    <w:rsid w:val="007543AA"/>
    <w:rsid w:val="007543F1"/>
    <w:rsid w:val="0075446C"/>
    <w:rsid w:val="0075449B"/>
    <w:rsid w:val="007544A5"/>
    <w:rsid w:val="007544CD"/>
    <w:rsid w:val="00754585"/>
    <w:rsid w:val="007545A2"/>
    <w:rsid w:val="00754639"/>
    <w:rsid w:val="00754664"/>
    <w:rsid w:val="00754687"/>
    <w:rsid w:val="007546BB"/>
    <w:rsid w:val="0075472D"/>
    <w:rsid w:val="00754735"/>
    <w:rsid w:val="00754785"/>
    <w:rsid w:val="007547A2"/>
    <w:rsid w:val="007547B9"/>
    <w:rsid w:val="00754821"/>
    <w:rsid w:val="00754833"/>
    <w:rsid w:val="00754998"/>
    <w:rsid w:val="007549A9"/>
    <w:rsid w:val="00754A8F"/>
    <w:rsid w:val="00754AE7"/>
    <w:rsid w:val="00754B1F"/>
    <w:rsid w:val="00754B2D"/>
    <w:rsid w:val="00754B43"/>
    <w:rsid w:val="00754B84"/>
    <w:rsid w:val="00754CB8"/>
    <w:rsid w:val="00754D37"/>
    <w:rsid w:val="00754D38"/>
    <w:rsid w:val="00754D4A"/>
    <w:rsid w:val="00754D58"/>
    <w:rsid w:val="00754D66"/>
    <w:rsid w:val="00754D93"/>
    <w:rsid w:val="00754D9B"/>
    <w:rsid w:val="00754DAE"/>
    <w:rsid w:val="00754DCD"/>
    <w:rsid w:val="00754DE6"/>
    <w:rsid w:val="00754E9C"/>
    <w:rsid w:val="00754EC6"/>
    <w:rsid w:val="00754ECC"/>
    <w:rsid w:val="00754F21"/>
    <w:rsid w:val="00754F3A"/>
    <w:rsid w:val="0075501B"/>
    <w:rsid w:val="00755079"/>
    <w:rsid w:val="007550DB"/>
    <w:rsid w:val="00755128"/>
    <w:rsid w:val="00755149"/>
    <w:rsid w:val="007551BE"/>
    <w:rsid w:val="007551C8"/>
    <w:rsid w:val="0075521A"/>
    <w:rsid w:val="00755223"/>
    <w:rsid w:val="0075524C"/>
    <w:rsid w:val="00755282"/>
    <w:rsid w:val="007552B6"/>
    <w:rsid w:val="007552EE"/>
    <w:rsid w:val="00755325"/>
    <w:rsid w:val="0075533D"/>
    <w:rsid w:val="00755346"/>
    <w:rsid w:val="0075534E"/>
    <w:rsid w:val="007554E0"/>
    <w:rsid w:val="00755565"/>
    <w:rsid w:val="007555DF"/>
    <w:rsid w:val="007555E6"/>
    <w:rsid w:val="007555F5"/>
    <w:rsid w:val="007557E8"/>
    <w:rsid w:val="00755846"/>
    <w:rsid w:val="0075588D"/>
    <w:rsid w:val="007558FF"/>
    <w:rsid w:val="00755A71"/>
    <w:rsid w:val="00755AD5"/>
    <w:rsid w:val="00755AE7"/>
    <w:rsid w:val="00755B11"/>
    <w:rsid w:val="00755B5C"/>
    <w:rsid w:val="00755BAB"/>
    <w:rsid w:val="00755C07"/>
    <w:rsid w:val="00755C40"/>
    <w:rsid w:val="00755C9A"/>
    <w:rsid w:val="00755CAD"/>
    <w:rsid w:val="00755CDA"/>
    <w:rsid w:val="00755D96"/>
    <w:rsid w:val="00755D9A"/>
    <w:rsid w:val="00755DA2"/>
    <w:rsid w:val="00755EB4"/>
    <w:rsid w:val="00755EDF"/>
    <w:rsid w:val="00755F22"/>
    <w:rsid w:val="00755F24"/>
    <w:rsid w:val="00755F6F"/>
    <w:rsid w:val="00755FFA"/>
    <w:rsid w:val="0075609E"/>
    <w:rsid w:val="0075612F"/>
    <w:rsid w:val="00756161"/>
    <w:rsid w:val="007561B3"/>
    <w:rsid w:val="0075624C"/>
    <w:rsid w:val="00756257"/>
    <w:rsid w:val="007562CB"/>
    <w:rsid w:val="00756307"/>
    <w:rsid w:val="0075635E"/>
    <w:rsid w:val="00756413"/>
    <w:rsid w:val="00756414"/>
    <w:rsid w:val="00756463"/>
    <w:rsid w:val="0075648E"/>
    <w:rsid w:val="007564D5"/>
    <w:rsid w:val="007564DE"/>
    <w:rsid w:val="007564F8"/>
    <w:rsid w:val="00756500"/>
    <w:rsid w:val="00756543"/>
    <w:rsid w:val="007565D0"/>
    <w:rsid w:val="007565E7"/>
    <w:rsid w:val="00756621"/>
    <w:rsid w:val="0075666E"/>
    <w:rsid w:val="00756686"/>
    <w:rsid w:val="007566FE"/>
    <w:rsid w:val="007567BF"/>
    <w:rsid w:val="0075684F"/>
    <w:rsid w:val="0075689F"/>
    <w:rsid w:val="007568AB"/>
    <w:rsid w:val="00756984"/>
    <w:rsid w:val="00756999"/>
    <w:rsid w:val="007569E6"/>
    <w:rsid w:val="00756A8A"/>
    <w:rsid w:val="00756A90"/>
    <w:rsid w:val="00756AE0"/>
    <w:rsid w:val="00756B0B"/>
    <w:rsid w:val="00756B16"/>
    <w:rsid w:val="00756B63"/>
    <w:rsid w:val="00756D28"/>
    <w:rsid w:val="00756D5D"/>
    <w:rsid w:val="00756DAA"/>
    <w:rsid w:val="00756E45"/>
    <w:rsid w:val="00756F16"/>
    <w:rsid w:val="00756FA3"/>
    <w:rsid w:val="00756FAB"/>
    <w:rsid w:val="00756FB0"/>
    <w:rsid w:val="007570B6"/>
    <w:rsid w:val="007570C1"/>
    <w:rsid w:val="007570C3"/>
    <w:rsid w:val="0075714C"/>
    <w:rsid w:val="0075715F"/>
    <w:rsid w:val="00757180"/>
    <w:rsid w:val="007571ED"/>
    <w:rsid w:val="00757202"/>
    <w:rsid w:val="0075721C"/>
    <w:rsid w:val="0075722E"/>
    <w:rsid w:val="0075727B"/>
    <w:rsid w:val="00757290"/>
    <w:rsid w:val="00757305"/>
    <w:rsid w:val="007573C5"/>
    <w:rsid w:val="007573D9"/>
    <w:rsid w:val="007573DB"/>
    <w:rsid w:val="00757413"/>
    <w:rsid w:val="007574A8"/>
    <w:rsid w:val="007574D4"/>
    <w:rsid w:val="007574D7"/>
    <w:rsid w:val="0075756E"/>
    <w:rsid w:val="007575D5"/>
    <w:rsid w:val="007575E6"/>
    <w:rsid w:val="0075762A"/>
    <w:rsid w:val="0075769E"/>
    <w:rsid w:val="007576FE"/>
    <w:rsid w:val="0075771A"/>
    <w:rsid w:val="0075774F"/>
    <w:rsid w:val="00757778"/>
    <w:rsid w:val="007577B0"/>
    <w:rsid w:val="00757809"/>
    <w:rsid w:val="0075784A"/>
    <w:rsid w:val="0075784B"/>
    <w:rsid w:val="0075793A"/>
    <w:rsid w:val="007579AF"/>
    <w:rsid w:val="00757A04"/>
    <w:rsid w:val="00757A79"/>
    <w:rsid w:val="00757A9A"/>
    <w:rsid w:val="00757AC9"/>
    <w:rsid w:val="00757AF3"/>
    <w:rsid w:val="00757B50"/>
    <w:rsid w:val="00757C0C"/>
    <w:rsid w:val="00757D0F"/>
    <w:rsid w:val="00757DB1"/>
    <w:rsid w:val="00757EF0"/>
    <w:rsid w:val="00757F03"/>
    <w:rsid w:val="0076001B"/>
    <w:rsid w:val="00760115"/>
    <w:rsid w:val="0076015E"/>
    <w:rsid w:val="00760242"/>
    <w:rsid w:val="00760326"/>
    <w:rsid w:val="0076034C"/>
    <w:rsid w:val="0076035A"/>
    <w:rsid w:val="007603B0"/>
    <w:rsid w:val="00760442"/>
    <w:rsid w:val="00760453"/>
    <w:rsid w:val="0076049F"/>
    <w:rsid w:val="007604B0"/>
    <w:rsid w:val="007604F8"/>
    <w:rsid w:val="00760511"/>
    <w:rsid w:val="00760748"/>
    <w:rsid w:val="00760793"/>
    <w:rsid w:val="007607D3"/>
    <w:rsid w:val="00760884"/>
    <w:rsid w:val="007608E8"/>
    <w:rsid w:val="00760926"/>
    <w:rsid w:val="00760939"/>
    <w:rsid w:val="00760953"/>
    <w:rsid w:val="00760957"/>
    <w:rsid w:val="007609E1"/>
    <w:rsid w:val="00760A44"/>
    <w:rsid w:val="00760AE6"/>
    <w:rsid w:val="00760BBD"/>
    <w:rsid w:val="00760C55"/>
    <w:rsid w:val="00760C7F"/>
    <w:rsid w:val="00760C9E"/>
    <w:rsid w:val="00760CB6"/>
    <w:rsid w:val="00760CB9"/>
    <w:rsid w:val="00760D3F"/>
    <w:rsid w:val="00760D58"/>
    <w:rsid w:val="00760D6E"/>
    <w:rsid w:val="00760D78"/>
    <w:rsid w:val="00760DB9"/>
    <w:rsid w:val="00760DBB"/>
    <w:rsid w:val="00760E3A"/>
    <w:rsid w:val="00760E49"/>
    <w:rsid w:val="00760E91"/>
    <w:rsid w:val="00760E9D"/>
    <w:rsid w:val="00760FC9"/>
    <w:rsid w:val="00760FCE"/>
    <w:rsid w:val="00760FFA"/>
    <w:rsid w:val="0076109B"/>
    <w:rsid w:val="007610AB"/>
    <w:rsid w:val="007610C5"/>
    <w:rsid w:val="007610C7"/>
    <w:rsid w:val="007610E8"/>
    <w:rsid w:val="007610FE"/>
    <w:rsid w:val="00761118"/>
    <w:rsid w:val="00761125"/>
    <w:rsid w:val="00761199"/>
    <w:rsid w:val="0076123E"/>
    <w:rsid w:val="007612B2"/>
    <w:rsid w:val="007612BB"/>
    <w:rsid w:val="007612F2"/>
    <w:rsid w:val="007613A2"/>
    <w:rsid w:val="007613C3"/>
    <w:rsid w:val="0076140B"/>
    <w:rsid w:val="007614BC"/>
    <w:rsid w:val="00761516"/>
    <w:rsid w:val="00761567"/>
    <w:rsid w:val="007615A5"/>
    <w:rsid w:val="007615A9"/>
    <w:rsid w:val="007615C8"/>
    <w:rsid w:val="007615C9"/>
    <w:rsid w:val="00761623"/>
    <w:rsid w:val="0076163D"/>
    <w:rsid w:val="00761643"/>
    <w:rsid w:val="00761666"/>
    <w:rsid w:val="00761753"/>
    <w:rsid w:val="007617BC"/>
    <w:rsid w:val="007617E8"/>
    <w:rsid w:val="007618F3"/>
    <w:rsid w:val="00761938"/>
    <w:rsid w:val="00761949"/>
    <w:rsid w:val="007619A0"/>
    <w:rsid w:val="00761A2B"/>
    <w:rsid w:val="00761B32"/>
    <w:rsid w:val="00761B58"/>
    <w:rsid w:val="00761B73"/>
    <w:rsid w:val="00761B9C"/>
    <w:rsid w:val="00761C1E"/>
    <w:rsid w:val="00761C3D"/>
    <w:rsid w:val="00761C8C"/>
    <w:rsid w:val="00761D32"/>
    <w:rsid w:val="00761D4E"/>
    <w:rsid w:val="00761D56"/>
    <w:rsid w:val="00761E32"/>
    <w:rsid w:val="00761F21"/>
    <w:rsid w:val="00761F3B"/>
    <w:rsid w:val="00762121"/>
    <w:rsid w:val="00762168"/>
    <w:rsid w:val="007621AD"/>
    <w:rsid w:val="007621B6"/>
    <w:rsid w:val="00762257"/>
    <w:rsid w:val="007622DD"/>
    <w:rsid w:val="00762334"/>
    <w:rsid w:val="00762383"/>
    <w:rsid w:val="00762397"/>
    <w:rsid w:val="007623E4"/>
    <w:rsid w:val="007623F0"/>
    <w:rsid w:val="0076240C"/>
    <w:rsid w:val="007625E7"/>
    <w:rsid w:val="00762612"/>
    <w:rsid w:val="00762698"/>
    <w:rsid w:val="007628AF"/>
    <w:rsid w:val="00762907"/>
    <w:rsid w:val="00762964"/>
    <w:rsid w:val="007629AD"/>
    <w:rsid w:val="00762A2D"/>
    <w:rsid w:val="00762ADF"/>
    <w:rsid w:val="00762AF2"/>
    <w:rsid w:val="00762B1A"/>
    <w:rsid w:val="00762B96"/>
    <w:rsid w:val="00762BCF"/>
    <w:rsid w:val="00762BD5"/>
    <w:rsid w:val="00762CAD"/>
    <w:rsid w:val="00762CCD"/>
    <w:rsid w:val="00762DDD"/>
    <w:rsid w:val="00762E12"/>
    <w:rsid w:val="00762E3C"/>
    <w:rsid w:val="00762E91"/>
    <w:rsid w:val="00762F2D"/>
    <w:rsid w:val="00762FDF"/>
    <w:rsid w:val="007630E5"/>
    <w:rsid w:val="0076319E"/>
    <w:rsid w:val="007631A3"/>
    <w:rsid w:val="007631D1"/>
    <w:rsid w:val="007631F5"/>
    <w:rsid w:val="00763225"/>
    <w:rsid w:val="00763244"/>
    <w:rsid w:val="0076326F"/>
    <w:rsid w:val="0076330F"/>
    <w:rsid w:val="007633E3"/>
    <w:rsid w:val="007633FE"/>
    <w:rsid w:val="00763454"/>
    <w:rsid w:val="00763465"/>
    <w:rsid w:val="0076347C"/>
    <w:rsid w:val="007634BA"/>
    <w:rsid w:val="007634CA"/>
    <w:rsid w:val="00763567"/>
    <w:rsid w:val="007635A9"/>
    <w:rsid w:val="007635B5"/>
    <w:rsid w:val="007635D1"/>
    <w:rsid w:val="007635DF"/>
    <w:rsid w:val="007635E5"/>
    <w:rsid w:val="0076364D"/>
    <w:rsid w:val="0076367A"/>
    <w:rsid w:val="0076368E"/>
    <w:rsid w:val="0076369F"/>
    <w:rsid w:val="007636B2"/>
    <w:rsid w:val="007637C0"/>
    <w:rsid w:val="007637EC"/>
    <w:rsid w:val="00763808"/>
    <w:rsid w:val="00763816"/>
    <w:rsid w:val="00763837"/>
    <w:rsid w:val="00763875"/>
    <w:rsid w:val="0076387B"/>
    <w:rsid w:val="00763890"/>
    <w:rsid w:val="00763999"/>
    <w:rsid w:val="007639C0"/>
    <w:rsid w:val="00763A0A"/>
    <w:rsid w:val="00763A50"/>
    <w:rsid w:val="00763A7A"/>
    <w:rsid w:val="00763B2D"/>
    <w:rsid w:val="00763B5F"/>
    <w:rsid w:val="00763B68"/>
    <w:rsid w:val="00763B9C"/>
    <w:rsid w:val="00763CE8"/>
    <w:rsid w:val="00763D4D"/>
    <w:rsid w:val="00763EB7"/>
    <w:rsid w:val="00763F14"/>
    <w:rsid w:val="00763F42"/>
    <w:rsid w:val="00763F72"/>
    <w:rsid w:val="00763FBF"/>
    <w:rsid w:val="00763FD4"/>
    <w:rsid w:val="007640EC"/>
    <w:rsid w:val="007640F9"/>
    <w:rsid w:val="00764139"/>
    <w:rsid w:val="00764168"/>
    <w:rsid w:val="0076428C"/>
    <w:rsid w:val="00764299"/>
    <w:rsid w:val="00764328"/>
    <w:rsid w:val="0076446F"/>
    <w:rsid w:val="00764489"/>
    <w:rsid w:val="00764534"/>
    <w:rsid w:val="00764561"/>
    <w:rsid w:val="007646CB"/>
    <w:rsid w:val="007646CF"/>
    <w:rsid w:val="00764728"/>
    <w:rsid w:val="00764760"/>
    <w:rsid w:val="00764762"/>
    <w:rsid w:val="007647C8"/>
    <w:rsid w:val="007647C9"/>
    <w:rsid w:val="00764843"/>
    <w:rsid w:val="007648EB"/>
    <w:rsid w:val="00764995"/>
    <w:rsid w:val="007649C6"/>
    <w:rsid w:val="007649CF"/>
    <w:rsid w:val="007649DC"/>
    <w:rsid w:val="00764AA4"/>
    <w:rsid w:val="00764B34"/>
    <w:rsid w:val="00764B7F"/>
    <w:rsid w:val="00764B9E"/>
    <w:rsid w:val="00764BF2"/>
    <w:rsid w:val="00764C6D"/>
    <w:rsid w:val="00764CE5"/>
    <w:rsid w:val="00764CFC"/>
    <w:rsid w:val="00764D61"/>
    <w:rsid w:val="00764E2E"/>
    <w:rsid w:val="00764E44"/>
    <w:rsid w:val="00764E89"/>
    <w:rsid w:val="00764EA2"/>
    <w:rsid w:val="00764F2C"/>
    <w:rsid w:val="00764F45"/>
    <w:rsid w:val="00764F77"/>
    <w:rsid w:val="00764FFD"/>
    <w:rsid w:val="0076504C"/>
    <w:rsid w:val="007650CC"/>
    <w:rsid w:val="007650D3"/>
    <w:rsid w:val="007650F5"/>
    <w:rsid w:val="0076513A"/>
    <w:rsid w:val="0076515A"/>
    <w:rsid w:val="00765167"/>
    <w:rsid w:val="00765234"/>
    <w:rsid w:val="0076527C"/>
    <w:rsid w:val="007652A7"/>
    <w:rsid w:val="007652CF"/>
    <w:rsid w:val="007652D1"/>
    <w:rsid w:val="00765318"/>
    <w:rsid w:val="0076532A"/>
    <w:rsid w:val="0076535D"/>
    <w:rsid w:val="0076537F"/>
    <w:rsid w:val="007653AC"/>
    <w:rsid w:val="007653DD"/>
    <w:rsid w:val="0076541B"/>
    <w:rsid w:val="00765458"/>
    <w:rsid w:val="007654E0"/>
    <w:rsid w:val="0076550C"/>
    <w:rsid w:val="00765539"/>
    <w:rsid w:val="00765557"/>
    <w:rsid w:val="00765604"/>
    <w:rsid w:val="0076567B"/>
    <w:rsid w:val="007656C2"/>
    <w:rsid w:val="00765782"/>
    <w:rsid w:val="007657C7"/>
    <w:rsid w:val="0076582D"/>
    <w:rsid w:val="007658A8"/>
    <w:rsid w:val="007658D0"/>
    <w:rsid w:val="00765962"/>
    <w:rsid w:val="007659FE"/>
    <w:rsid w:val="00765B0C"/>
    <w:rsid w:val="00765B80"/>
    <w:rsid w:val="00765B89"/>
    <w:rsid w:val="00765B90"/>
    <w:rsid w:val="00765B95"/>
    <w:rsid w:val="00765BAD"/>
    <w:rsid w:val="00765C6B"/>
    <w:rsid w:val="00765C93"/>
    <w:rsid w:val="00765CB3"/>
    <w:rsid w:val="00765CB7"/>
    <w:rsid w:val="00765CC8"/>
    <w:rsid w:val="00765CF1"/>
    <w:rsid w:val="00765D1D"/>
    <w:rsid w:val="00765D21"/>
    <w:rsid w:val="00765D49"/>
    <w:rsid w:val="00765D4A"/>
    <w:rsid w:val="00765D6E"/>
    <w:rsid w:val="00765DF5"/>
    <w:rsid w:val="00765E03"/>
    <w:rsid w:val="00765E4C"/>
    <w:rsid w:val="00765E4F"/>
    <w:rsid w:val="00765E77"/>
    <w:rsid w:val="00765E8A"/>
    <w:rsid w:val="00765F16"/>
    <w:rsid w:val="00765F82"/>
    <w:rsid w:val="00765FB6"/>
    <w:rsid w:val="00765FBC"/>
    <w:rsid w:val="00766013"/>
    <w:rsid w:val="007660C5"/>
    <w:rsid w:val="007660E1"/>
    <w:rsid w:val="007660FD"/>
    <w:rsid w:val="0076611C"/>
    <w:rsid w:val="00766167"/>
    <w:rsid w:val="007661DA"/>
    <w:rsid w:val="00766383"/>
    <w:rsid w:val="0076638E"/>
    <w:rsid w:val="0076639F"/>
    <w:rsid w:val="0076646D"/>
    <w:rsid w:val="0076656A"/>
    <w:rsid w:val="00766601"/>
    <w:rsid w:val="0076660B"/>
    <w:rsid w:val="0076670B"/>
    <w:rsid w:val="007667DD"/>
    <w:rsid w:val="00766847"/>
    <w:rsid w:val="00766937"/>
    <w:rsid w:val="00766966"/>
    <w:rsid w:val="0076696D"/>
    <w:rsid w:val="007669E1"/>
    <w:rsid w:val="00766A8D"/>
    <w:rsid w:val="00766AAB"/>
    <w:rsid w:val="00766AF6"/>
    <w:rsid w:val="00766AFE"/>
    <w:rsid w:val="00766B43"/>
    <w:rsid w:val="00766B76"/>
    <w:rsid w:val="00766BAA"/>
    <w:rsid w:val="00766C0D"/>
    <w:rsid w:val="00766C12"/>
    <w:rsid w:val="00766C29"/>
    <w:rsid w:val="00766C94"/>
    <w:rsid w:val="00766CC7"/>
    <w:rsid w:val="00766D0E"/>
    <w:rsid w:val="00766D1C"/>
    <w:rsid w:val="00766D6E"/>
    <w:rsid w:val="00766E2A"/>
    <w:rsid w:val="00766EC6"/>
    <w:rsid w:val="00766EFF"/>
    <w:rsid w:val="00766F07"/>
    <w:rsid w:val="00766F35"/>
    <w:rsid w:val="00766FC4"/>
    <w:rsid w:val="0076702A"/>
    <w:rsid w:val="00767115"/>
    <w:rsid w:val="00767186"/>
    <w:rsid w:val="007671AD"/>
    <w:rsid w:val="007671CC"/>
    <w:rsid w:val="007671F7"/>
    <w:rsid w:val="00767215"/>
    <w:rsid w:val="00767229"/>
    <w:rsid w:val="00767233"/>
    <w:rsid w:val="0076724D"/>
    <w:rsid w:val="007672C6"/>
    <w:rsid w:val="0076736D"/>
    <w:rsid w:val="0076738C"/>
    <w:rsid w:val="0076738D"/>
    <w:rsid w:val="00767605"/>
    <w:rsid w:val="00767613"/>
    <w:rsid w:val="00767672"/>
    <w:rsid w:val="00767685"/>
    <w:rsid w:val="00767744"/>
    <w:rsid w:val="00767799"/>
    <w:rsid w:val="007677BC"/>
    <w:rsid w:val="0076786A"/>
    <w:rsid w:val="007678A1"/>
    <w:rsid w:val="007678A4"/>
    <w:rsid w:val="0076793E"/>
    <w:rsid w:val="00767964"/>
    <w:rsid w:val="00767A02"/>
    <w:rsid w:val="00767A61"/>
    <w:rsid w:val="00767A8D"/>
    <w:rsid w:val="00767A92"/>
    <w:rsid w:val="00767AED"/>
    <w:rsid w:val="00767B70"/>
    <w:rsid w:val="00767BE6"/>
    <w:rsid w:val="00767C1C"/>
    <w:rsid w:val="00767CA7"/>
    <w:rsid w:val="00767CAD"/>
    <w:rsid w:val="00767CBC"/>
    <w:rsid w:val="00767CCD"/>
    <w:rsid w:val="00767CE1"/>
    <w:rsid w:val="00767D25"/>
    <w:rsid w:val="00767D81"/>
    <w:rsid w:val="00767D85"/>
    <w:rsid w:val="00767DA2"/>
    <w:rsid w:val="00767DC0"/>
    <w:rsid w:val="00767F93"/>
    <w:rsid w:val="00767FF2"/>
    <w:rsid w:val="0076D95A"/>
    <w:rsid w:val="00770009"/>
    <w:rsid w:val="00770082"/>
    <w:rsid w:val="007700EB"/>
    <w:rsid w:val="0077019B"/>
    <w:rsid w:val="00770295"/>
    <w:rsid w:val="007702DA"/>
    <w:rsid w:val="00770333"/>
    <w:rsid w:val="00770346"/>
    <w:rsid w:val="00770394"/>
    <w:rsid w:val="007703B7"/>
    <w:rsid w:val="0077045F"/>
    <w:rsid w:val="0077048E"/>
    <w:rsid w:val="007704A0"/>
    <w:rsid w:val="007704B7"/>
    <w:rsid w:val="007704CD"/>
    <w:rsid w:val="00770501"/>
    <w:rsid w:val="0077056C"/>
    <w:rsid w:val="007705C3"/>
    <w:rsid w:val="00770609"/>
    <w:rsid w:val="0077060A"/>
    <w:rsid w:val="0077068E"/>
    <w:rsid w:val="007706E9"/>
    <w:rsid w:val="00770770"/>
    <w:rsid w:val="00770779"/>
    <w:rsid w:val="0077078C"/>
    <w:rsid w:val="00770794"/>
    <w:rsid w:val="007708D8"/>
    <w:rsid w:val="0077091A"/>
    <w:rsid w:val="00770920"/>
    <w:rsid w:val="00770A8A"/>
    <w:rsid w:val="00770A95"/>
    <w:rsid w:val="00770AE8"/>
    <w:rsid w:val="00770BFA"/>
    <w:rsid w:val="00770C02"/>
    <w:rsid w:val="00770C77"/>
    <w:rsid w:val="00770D3C"/>
    <w:rsid w:val="00770D81"/>
    <w:rsid w:val="00770DEF"/>
    <w:rsid w:val="00770E4E"/>
    <w:rsid w:val="00770EA7"/>
    <w:rsid w:val="00770EB3"/>
    <w:rsid w:val="00770ED6"/>
    <w:rsid w:val="00770F8E"/>
    <w:rsid w:val="00770F98"/>
    <w:rsid w:val="00770FC9"/>
    <w:rsid w:val="00771047"/>
    <w:rsid w:val="00771064"/>
    <w:rsid w:val="0077111B"/>
    <w:rsid w:val="0077113B"/>
    <w:rsid w:val="00771165"/>
    <w:rsid w:val="00771203"/>
    <w:rsid w:val="0077120D"/>
    <w:rsid w:val="007712A1"/>
    <w:rsid w:val="00771328"/>
    <w:rsid w:val="00771371"/>
    <w:rsid w:val="007713BB"/>
    <w:rsid w:val="0077140C"/>
    <w:rsid w:val="00771431"/>
    <w:rsid w:val="00771454"/>
    <w:rsid w:val="007714A4"/>
    <w:rsid w:val="00771584"/>
    <w:rsid w:val="007715C3"/>
    <w:rsid w:val="0077166A"/>
    <w:rsid w:val="0077168F"/>
    <w:rsid w:val="007716A0"/>
    <w:rsid w:val="007716AB"/>
    <w:rsid w:val="007716B6"/>
    <w:rsid w:val="007716B8"/>
    <w:rsid w:val="00771707"/>
    <w:rsid w:val="0077177E"/>
    <w:rsid w:val="00771807"/>
    <w:rsid w:val="007718CB"/>
    <w:rsid w:val="0077191F"/>
    <w:rsid w:val="00771965"/>
    <w:rsid w:val="007719AA"/>
    <w:rsid w:val="007719BC"/>
    <w:rsid w:val="00771A1C"/>
    <w:rsid w:val="00771A9D"/>
    <w:rsid w:val="00771AA9"/>
    <w:rsid w:val="00771B66"/>
    <w:rsid w:val="00771B81"/>
    <w:rsid w:val="00771B8F"/>
    <w:rsid w:val="00771BE7"/>
    <w:rsid w:val="00771BF9"/>
    <w:rsid w:val="00771CD1"/>
    <w:rsid w:val="00771D0F"/>
    <w:rsid w:val="00771D14"/>
    <w:rsid w:val="00771D3F"/>
    <w:rsid w:val="00771D8A"/>
    <w:rsid w:val="00771EF2"/>
    <w:rsid w:val="00771F1E"/>
    <w:rsid w:val="00771F4E"/>
    <w:rsid w:val="00771F90"/>
    <w:rsid w:val="00771FC4"/>
    <w:rsid w:val="00771FD4"/>
    <w:rsid w:val="007720A8"/>
    <w:rsid w:val="00772139"/>
    <w:rsid w:val="007721AC"/>
    <w:rsid w:val="007721B3"/>
    <w:rsid w:val="007721C1"/>
    <w:rsid w:val="00772213"/>
    <w:rsid w:val="00772231"/>
    <w:rsid w:val="00772297"/>
    <w:rsid w:val="00772329"/>
    <w:rsid w:val="007723C8"/>
    <w:rsid w:val="007723D2"/>
    <w:rsid w:val="007723E6"/>
    <w:rsid w:val="0077240C"/>
    <w:rsid w:val="0077245D"/>
    <w:rsid w:val="007724B5"/>
    <w:rsid w:val="007724BD"/>
    <w:rsid w:val="0077253A"/>
    <w:rsid w:val="0077258C"/>
    <w:rsid w:val="007725D7"/>
    <w:rsid w:val="00772605"/>
    <w:rsid w:val="00772641"/>
    <w:rsid w:val="0077265C"/>
    <w:rsid w:val="0077267E"/>
    <w:rsid w:val="0077268F"/>
    <w:rsid w:val="0077284C"/>
    <w:rsid w:val="00772877"/>
    <w:rsid w:val="007728CA"/>
    <w:rsid w:val="007728D7"/>
    <w:rsid w:val="00772912"/>
    <w:rsid w:val="007729D2"/>
    <w:rsid w:val="00772A1E"/>
    <w:rsid w:val="00772A2A"/>
    <w:rsid w:val="00772A5A"/>
    <w:rsid w:val="00772A7B"/>
    <w:rsid w:val="00772A86"/>
    <w:rsid w:val="00772ACF"/>
    <w:rsid w:val="00772B79"/>
    <w:rsid w:val="00772BD3"/>
    <w:rsid w:val="00772BDF"/>
    <w:rsid w:val="00772BFA"/>
    <w:rsid w:val="00772BFF"/>
    <w:rsid w:val="00772C10"/>
    <w:rsid w:val="00772C17"/>
    <w:rsid w:val="00772C3C"/>
    <w:rsid w:val="00772C81"/>
    <w:rsid w:val="00772C93"/>
    <w:rsid w:val="00772D52"/>
    <w:rsid w:val="00772DC8"/>
    <w:rsid w:val="00772ECE"/>
    <w:rsid w:val="00772F65"/>
    <w:rsid w:val="00772F69"/>
    <w:rsid w:val="00772FD8"/>
    <w:rsid w:val="0077304C"/>
    <w:rsid w:val="007730C0"/>
    <w:rsid w:val="0077319E"/>
    <w:rsid w:val="0077325C"/>
    <w:rsid w:val="00773308"/>
    <w:rsid w:val="0077331D"/>
    <w:rsid w:val="0077333A"/>
    <w:rsid w:val="00773343"/>
    <w:rsid w:val="00773371"/>
    <w:rsid w:val="007734BB"/>
    <w:rsid w:val="007734F6"/>
    <w:rsid w:val="007735B0"/>
    <w:rsid w:val="00773618"/>
    <w:rsid w:val="0077376A"/>
    <w:rsid w:val="00773776"/>
    <w:rsid w:val="0077378D"/>
    <w:rsid w:val="0077379A"/>
    <w:rsid w:val="007737D6"/>
    <w:rsid w:val="0077383B"/>
    <w:rsid w:val="007738A6"/>
    <w:rsid w:val="007738BC"/>
    <w:rsid w:val="00773928"/>
    <w:rsid w:val="00773952"/>
    <w:rsid w:val="0077395E"/>
    <w:rsid w:val="0077397A"/>
    <w:rsid w:val="00773986"/>
    <w:rsid w:val="007739C5"/>
    <w:rsid w:val="007739FF"/>
    <w:rsid w:val="00773A50"/>
    <w:rsid w:val="00773A80"/>
    <w:rsid w:val="00773A98"/>
    <w:rsid w:val="00773A9F"/>
    <w:rsid w:val="00773AF1"/>
    <w:rsid w:val="00773AF9"/>
    <w:rsid w:val="00773B36"/>
    <w:rsid w:val="00773B63"/>
    <w:rsid w:val="00773BDB"/>
    <w:rsid w:val="00773CEE"/>
    <w:rsid w:val="00773D02"/>
    <w:rsid w:val="00773D75"/>
    <w:rsid w:val="00773DCA"/>
    <w:rsid w:val="00773DE1"/>
    <w:rsid w:val="00773F2F"/>
    <w:rsid w:val="00773F36"/>
    <w:rsid w:val="00773FA4"/>
    <w:rsid w:val="00774008"/>
    <w:rsid w:val="007740C8"/>
    <w:rsid w:val="007740D3"/>
    <w:rsid w:val="007740DD"/>
    <w:rsid w:val="007740F0"/>
    <w:rsid w:val="007741A0"/>
    <w:rsid w:val="00774200"/>
    <w:rsid w:val="0077421A"/>
    <w:rsid w:val="00774276"/>
    <w:rsid w:val="00774290"/>
    <w:rsid w:val="00774311"/>
    <w:rsid w:val="0077431A"/>
    <w:rsid w:val="00774320"/>
    <w:rsid w:val="0077436B"/>
    <w:rsid w:val="0077438D"/>
    <w:rsid w:val="007743B4"/>
    <w:rsid w:val="0077442E"/>
    <w:rsid w:val="00774464"/>
    <w:rsid w:val="007744CA"/>
    <w:rsid w:val="007744D7"/>
    <w:rsid w:val="00774547"/>
    <w:rsid w:val="00774587"/>
    <w:rsid w:val="007745E2"/>
    <w:rsid w:val="007745EB"/>
    <w:rsid w:val="0077462F"/>
    <w:rsid w:val="00774695"/>
    <w:rsid w:val="007746A5"/>
    <w:rsid w:val="007746D7"/>
    <w:rsid w:val="0077470F"/>
    <w:rsid w:val="007747A4"/>
    <w:rsid w:val="007747BB"/>
    <w:rsid w:val="00774866"/>
    <w:rsid w:val="00774881"/>
    <w:rsid w:val="00774904"/>
    <w:rsid w:val="00774991"/>
    <w:rsid w:val="007749A5"/>
    <w:rsid w:val="00774A0E"/>
    <w:rsid w:val="00774A16"/>
    <w:rsid w:val="00774B22"/>
    <w:rsid w:val="00774BB0"/>
    <w:rsid w:val="00774BBA"/>
    <w:rsid w:val="00774BC8"/>
    <w:rsid w:val="00774C39"/>
    <w:rsid w:val="00774C3D"/>
    <w:rsid w:val="00774C91"/>
    <w:rsid w:val="00774D15"/>
    <w:rsid w:val="00774D79"/>
    <w:rsid w:val="00774E03"/>
    <w:rsid w:val="00774E2D"/>
    <w:rsid w:val="00774EDD"/>
    <w:rsid w:val="00774F69"/>
    <w:rsid w:val="00774F6C"/>
    <w:rsid w:val="00774F92"/>
    <w:rsid w:val="007750E0"/>
    <w:rsid w:val="007751D9"/>
    <w:rsid w:val="007751F7"/>
    <w:rsid w:val="0077524E"/>
    <w:rsid w:val="00775285"/>
    <w:rsid w:val="007752B8"/>
    <w:rsid w:val="0077531B"/>
    <w:rsid w:val="00775349"/>
    <w:rsid w:val="00775378"/>
    <w:rsid w:val="007753A1"/>
    <w:rsid w:val="007753FD"/>
    <w:rsid w:val="00775433"/>
    <w:rsid w:val="0077546B"/>
    <w:rsid w:val="00775547"/>
    <w:rsid w:val="0077558F"/>
    <w:rsid w:val="007755DF"/>
    <w:rsid w:val="00775613"/>
    <w:rsid w:val="0077564A"/>
    <w:rsid w:val="00775673"/>
    <w:rsid w:val="007756C6"/>
    <w:rsid w:val="00775700"/>
    <w:rsid w:val="0077575E"/>
    <w:rsid w:val="007757A6"/>
    <w:rsid w:val="007757F4"/>
    <w:rsid w:val="007758A3"/>
    <w:rsid w:val="007758D6"/>
    <w:rsid w:val="00775903"/>
    <w:rsid w:val="00775956"/>
    <w:rsid w:val="0077596A"/>
    <w:rsid w:val="007759C2"/>
    <w:rsid w:val="00775A0C"/>
    <w:rsid w:val="00775A10"/>
    <w:rsid w:val="00775A66"/>
    <w:rsid w:val="00775AFD"/>
    <w:rsid w:val="00775B16"/>
    <w:rsid w:val="00775B1E"/>
    <w:rsid w:val="00775B35"/>
    <w:rsid w:val="00775BBF"/>
    <w:rsid w:val="00775BE1"/>
    <w:rsid w:val="00775BEB"/>
    <w:rsid w:val="00775C5B"/>
    <w:rsid w:val="00775D18"/>
    <w:rsid w:val="00775DAC"/>
    <w:rsid w:val="00775DB9"/>
    <w:rsid w:val="00775DE9"/>
    <w:rsid w:val="00775DFA"/>
    <w:rsid w:val="00775F62"/>
    <w:rsid w:val="00775FC5"/>
    <w:rsid w:val="00776030"/>
    <w:rsid w:val="0077603D"/>
    <w:rsid w:val="0077605F"/>
    <w:rsid w:val="00776070"/>
    <w:rsid w:val="00776081"/>
    <w:rsid w:val="00776092"/>
    <w:rsid w:val="007760C5"/>
    <w:rsid w:val="00776123"/>
    <w:rsid w:val="0077616B"/>
    <w:rsid w:val="00776235"/>
    <w:rsid w:val="00776255"/>
    <w:rsid w:val="0077625D"/>
    <w:rsid w:val="0077626B"/>
    <w:rsid w:val="007762A5"/>
    <w:rsid w:val="007762DE"/>
    <w:rsid w:val="007762F8"/>
    <w:rsid w:val="00776338"/>
    <w:rsid w:val="00776388"/>
    <w:rsid w:val="00776418"/>
    <w:rsid w:val="00776485"/>
    <w:rsid w:val="00776521"/>
    <w:rsid w:val="00776553"/>
    <w:rsid w:val="00776557"/>
    <w:rsid w:val="0077656B"/>
    <w:rsid w:val="007765B2"/>
    <w:rsid w:val="007765D0"/>
    <w:rsid w:val="007765EC"/>
    <w:rsid w:val="00776694"/>
    <w:rsid w:val="00776740"/>
    <w:rsid w:val="007767F1"/>
    <w:rsid w:val="00776842"/>
    <w:rsid w:val="00776872"/>
    <w:rsid w:val="00776924"/>
    <w:rsid w:val="00776939"/>
    <w:rsid w:val="00776955"/>
    <w:rsid w:val="00776984"/>
    <w:rsid w:val="00776A0D"/>
    <w:rsid w:val="00776AAB"/>
    <w:rsid w:val="00776B07"/>
    <w:rsid w:val="00776B14"/>
    <w:rsid w:val="00776B39"/>
    <w:rsid w:val="00776BA1"/>
    <w:rsid w:val="00776DD1"/>
    <w:rsid w:val="00776E3F"/>
    <w:rsid w:val="00776F61"/>
    <w:rsid w:val="00777035"/>
    <w:rsid w:val="0077706C"/>
    <w:rsid w:val="0077707F"/>
    <w:rsid w:val="00777099"/>
    <w:rsid w:val="0077713F"/>
    <w:rsid w:val="0077714D"/>
    <w:rsid w:val="007771DA"/>
    <w:rsid w:val="007771F3"/>
    <w:rsid w:val="007771F9"/>
    <w:rsid w:val="0077722C"/>
    <w:rsid w:val="007772B6"/>
    <w:rsid w:val="007772CA"/>
    <w:rsid w:val="00777322"/>
    <w:rsid w:val="0077742A"/>
    <w:rsid w:val="007774D7"/>
    <w:rsid w:val="007774DB"/>
    <w:rsid w:val="0077751D"/>
    <w:rsid w:val="0077755F"/>
    <w:rsid w:val="007775A5"/>
    <w:rsid w:val="007775B7"/>
    <w:rsid w:val="0077763C"/>
    <w:rsid w:val="0077763D"/>
    <w:rsid w:val="00777796"/>
    <w:rsid w:val="00777814"/>
    <w:rsid w:val="00777856"/>
    <w:rsid w:val="0077796C"/>
    <w:rsid w:val="0077798C"/>
    <w:rsid w:val="00777991"/>
    <w:rsid w:val="007779E5"/>
    <w:rsid w:val="00777A57"/>
    <w:rsid w:val="00777B00"/>
    <w:rsid w:val="00777BA5"/>
    <w:rsid w:val="00777C2E"/>
    <w:rsid w:val="00777CAE"/>
    <w:rsid w:val="00777D54"/>
    <w:rsid w:val="00777D76"/>
    <w:rsid w:val="00777DC4"/>
    <w:rsid w:val="00777DC7"/>
    <w:rsid w:val="00777E2D"/>
    <w:rsid w:val="00777ECE"/>
    <w:rsid w:val="00777F40"/>
    <w:rsid w:val="00777FD9"/>
    <w:rsid w:val="00777FED"/>
    <w:rsid w:val="00780050"/>
    <w:rsid w:val="007800BB"/>
    <w:rsid w:val="007800CA"/>
    <w:rsid w:val="0078010D"/>
    <w:rsid w:val="00780117"/>
    <w:rsid w:val="00780166"/>
    <w:rsid w:val="007801AB"/>
    <w:rsid w:val="00780283"/>
    <w:rsid w:val="007802EF"/>
    <w:rsid w:val="0078035B"/>
    <w:rsid w:val="00780391"/>
    <w:rsid w:val="00780409"/>
    <w:rsid w:val="00780415"/>
    <w:rsid w:val="00780427"/>
    <w:rsid w:val="00780431"/>
    <w:rsid w:val="007804F7"/>
    <w:rsid w:val="0078054D"/>
    <w:rsid w:val="007805AB"/>
    <w:rsid w:val="00780673"/>
    <w:rsid w:val="0078067A"/>
    <w:rsid w:val="00780685"/>
    <w:rsid w:val="007806A2"/>
    <w:rsid w:val="007806AD"/>
    <w:rsid w:val="0078071A"/>
    <w:rsid w:val="0078072A"/>
    <w:rsid w:val="00780742"/>
    <w:rsid w:val="007807DE"/>
    <w:rsid w:val="00780877"/>
    <w:rsid w:val="007808C7"/>
    <w:rsid w:val="00780953"/>
    <w:rsid w:val="00780964"/>
    <w:rsid w:val="0078098B"/>
    <w:rsid w:val="007809BA"/>
    <w:rsid w:val="007809FD"/>
    <w:rsid w:val="00780A11"/>
    <w:rsid w:val="00780AF3"/>
    <w:rsid w:val="00780B18"/>
    <w:rsid w:val="00780B7E"/>
    <w:rsid w:val="00780C30"/>
    <w:rsid w:val="00780C49"/>
    <w:rsid w:val="00780CBE"/>
    <w:rsid w:val="00780CDE"/>
    <w:rsid w:val="00780D08"/>
    <w:rsid w:val="00780D30"/>
    <w:rsid w:val="00780D4A"/>
    <w:rsid w:val="00780DC9"/>
    <w:rsid w:val="00780E25"/>
    <w:rsid w:val="00780E43"/>
    <w:rsid w:val="00780E54"/>
    <w:rsid w:val="00780EA3"/>
    <w:rsid w:val="00780EA6"/>
    <w:rsid w:val="00780EB4"/>
    <w:rsid w:val="00780F2D"/>
    <w:rsid w:val="00780F51"/>
    <w:rsid w:val="00780F7B"/>
    <w:rsid w:val="00780FE2"/>
    <w:rsid w:val="00780FEE"/>
    <w:rsid w:val="0078107C"/>
    <w:rsid w:val="00781097"/>
    <w:rsid w:val="007810A8"/>
    <w:rsid w:val="007810AD"/>
    <w:rsid w:val="007810CF"/>
    <w:rsid w:val="0078119C"/>
    <w:rsid w:val="007811C7"/>
    <w:rsid w:val="007811F3"/>
    <w:rsid w:val="00781222"/>
    <w:rsid w:val="00781334"/>
    <w:rsid w:val="00781336"/>
    <w:rsid w:val="007813B1"/>
    <w:rsid w:val="007813EF"/>
    <w:rsid w:val="00781418"/>
    <w:rsid w:val="00781423"/>
    <w:rsid w:val="0078145F"/>
    <w:rsid w:val="007814DF"/>
    <w:rsid w:val="007814F9"/>
    <w:rsid w:val="00781522"/>
    <w:rsid w:val="00781530"/>
    <w:rsid w:val="0078154D"/>
    <w:rsid w:val="007815AD"/>
    <w:rsid w:val="00781602"/>
    <w:rsid w:val="00781613"/>
    <w:rsid w:val="007816B0"/>
    <w:rsid w:val="0078172B"/>
    <w:rsid w:val="007817C5"/>
    <w:rsid w:val="00781889"/>
    <w:rsid w:val="0078189E"/>
    <w:rsid w:val="007818A2"/>
    <w:rsid w:val="007819B7"/>
    <w:rsid w:val="00781A12"/>
    <w:rsid w:val="00781A61"/>
    <w:rsid w:val="00781B68"/>
    <w:rsid w:val="00781B6A"/>
    <w:rsid w:val="00781B79"/>
    <w:rsid w:val="00781C16"/>
    <w:rsid w:val="00781C1A"/>
    <w:rsid w:val="00781C24"/>
    <w:rsid w:val="00781C9A"/>
    <w:rsid w:val="00781CCE"/>
    <w:rsid w:val="00781D40"/>
    <w:rsid w:val="00781D4C"/>
    <w:rsid w:val="00781D57"/>
    <w:rsid w:val="00781D6D"/>
    <w:rsid w:val="00781DD8"/>
    <w:rsid w:val="00781E1D"/>
    <w:rsid w:val="00781E31"/>
    <w:rsid w:val="00781E85"/>
    <w:rsid w:val="00781F01"/>
    <w:rsid w:val="00781FC3"/>
    <w:rsid w:val="007820EA"/>
    <w:rsid w:val="007820F1"/>
    <w:rsid w:val="0078210D"/>
    <w:rsid w:val="00782153"/>
    <w:rsid w:val="00782197"/>
    <w:rsid w:val="00782213"/>
    <w:rsid w:val="00782240"/>
    <w:rsid w:val="007822F5"/>
    <w:rsid w:val="00782483"/>
    <w:rsid w:val="0078254A"/>
    <w:rsid w:val="00782599"/>
    <w:rsid w:val="00782696"/>
    <w:rsid w:val="007826E3"/>
    <w:rsid w:val="0078277B"/>
    <w:rsid w:val="0078279C"/>
    <w:rsid w:val="007827C2"/>
    <w:rsid w:val="007827E3"/>
    <w:rsid w:val="007827E9"/>
    <w:rsid w:val="00782846"/>
    <w:rsid w:val="00782881"/>
    <w:rsid w:val="007828DE"/>
    <w:rsid w:val="007829FB"/>
    <w:rsid w:val="00782A11"/>
    <w:rsid w:val="00782AF2"/>
    <w:rsid w:val="00782B25"/>
    <w:rsid w:val="00782B53"/>
    <w:rsid w:val="00782BBF"/>
    <w:rsid w:val="00782C69"/>
    <w:rsid w:val="00782C91"/>
    <w:rsid w:val="00782D14"/>
    <w:rsid w:val="00782D43"/>
    <w:rsid w:val="00782D57"/>
    <w:rsid w:val="00782E28"/>
    <w:rsid w:val="00782E43"/>
    <w:rsid w:val="00782E7B"/>
    <w:rsid w:val="00782F21"/>
    <w:rsid w:val="00782F4D"/>
    <w:rsid w:val="00782FA5"/>
    <w:rsid w:val="00783014"/>
    <w:rsid w:val="00783038"/>
    <w:rsid w:val="00783079"/>
    <w:rsid w:val="007830A1"/>
    <w:rsid w:val="007830B5"/>
    <w:rsid w:val="0078319B"/>
    <w:rsid w:val="007831C3"/>
    <w:rsid w:val="0078320E"/>
    <w:rsid w:val="0078321D"/>
    <w:rsid w:val="0078328D"/>
    <w:rsid w:val="007832BC"/>
    <w:rsid w:val="00783349"/>
    <w:rsid w:val="007833D1"/>
    <w:rsid w:val="00783400"/>
    <w:rsid w:val="00783446"/>
    <w:rsid w:val="007834EC"/>
    <w:rsid w:val="00783537"/>
    <w:rsid w:val="007835C5"/>
    <w:rsid w:val="0078360F"/>
    <w:rsid w:val="007836BC"/>
    <w:rsid w:val="0078370A"/>
    <w:rsid w:val="0078373C"/>
    <w:rsid w:val="007837D3"/>
    <w:rsid w:val="00783826"/>
    <w:rsid w:val="00783846"/>
    <w:rsid w:val="00783885"/>
    <w:rsid w:val="00783889"/>
    <w:rsid w:val="0078389D"/>
    <w:rsid w:val="007838D0"/>
    <w:rsid w:val="0078390A"/>
    <w:rsid w:val="00783998"/>
    <w:rsid w:val="007839BA"/>
    <w:rsid w:val="007839D8"/>
    <w:rsid w:val="00783A1C"/>
    <w:rsid w:val="00783A6C"/>
    <w:rsid w:val="00783A89"/>
    <w:rsid w:val="00783A9A"/>
    <w:rsid w:val="00783AA0"/>
    <w:rsid w:val="00783AE1"/>
    <w:rsid w:val="00783B75"/>
    <w:rsid w:val="00783BCF"/>
    <w:rsid w:val="00783BE2"/>
    <w:rsid w:val="00783C16"/>
    <w:rsid w:val="00783C1B"/>
    <w:rsid w:val="00783C1D"/>
    <w:rsid w:val="00783C3E"/>
    <w:rsid w:val="00783C82"/>
    <w:rsid w:val="00783CA9"/>
    <w:rsid w:val="00783CBA"/>
    <w:rsid w:val="00783DE8"/>
    <w:rsid w:val="00783E07"/>
    <w:rsid w:val="00783E4C"/>
    <w:rsid w:val="00783EC1"/>
    <w:rsid w:val="00784057"/>
    <w:rsid w:val="00784099"/>
    <w:rsid w:val="007840CE"/>
    <w:rsid w:val="007841CD"/>
    <w:rsid w:val="00784278"/>
    <w:rsid w:val="007842BD"/>
    <w:rsid w:val="00784306"/>
    <w:rsid w:val="0078431C"/>
    <w:rsid w:val="00784384"/>
    <w:rsid w:val="00784391"/>
    <w:rsid w:val="007843C5"/>
    <w:rsid w:val="007844A3"/>
    <w:rsid w:val="0078454C"/>
    <w:rsid w:val="00784563"/>
    <w:rsid w:val="0078459B"/>
    <w:rsid w:val="00784602"/>
    <w:rsid w:val="00784659"/>
    <w:rsid w:val="00784680"/>
    <w:rsid w:val="007846EB"/>
    <w:rsid w:val="00784703"/>
    <w:rsid w:val="0078474E"/>
    <w:rsid w:val="0078474F"/>
    <w:rsid w:val="007847E2"/>
    <w:rsid w:val="007847E9"/>
    <w:rsid w:val="0078485D"/>
    <w:rsid w:val="0078488E"/>
    <w:rsid w:val="007848A6"/>
    <w:rsid w:val="007848EA"/>
    <w:rsid w:val="007848EC"/>
    <w:rsid w:val="007848FF"/>
    <w:rsid w:val="0078491C"/>
    <w:rsid w:val="007849AE"/>
    <w:rsid w:val="007849F4"/>
    <w:rsid w:val="007849F5"/>
    <w:rsid w:val="00784A09"/>
    <w:rsid w:val="00784AB1"/>
    <w:rsid w:val="00784B7C"/>
    <w:rsid w:val="00784C05"/>
    <w:rsid w:val="00784CFF"/>
    <w:rsid w:val="00784D11"/>
    <w:rsid w:val="00784D1D"/>
    <w:rsid w:val="00784E5F"/>
    <w:rsid w:val="00784E64"/>
    <w:rsid w:val="00784F18"/>
    <w:rsid w:val="00784F3E"/>
    <w:rsid w:val="00784F6C"/>
    <w:rsid w:val="00784F74"/>
    <w:rsid w:val="00784F7E"/>
    <w:rsid w:val="00784FDD"/>
    <w:rsid w:val="0078502A"/>
    <w:rsid w:val="007850C5"/>
    <w:rsid w:val="00785171"/>
    <w:rsid w:val="0078517E"/>
    <w:rsid w:val="00785189"/>
    <w:rsid w:val="007851CE"/>
    <w:rsid w:val="007851DF"/>
    <w:rsid w:val="00785212"/>
    <w:rsid w:val="0078525E"/>
    <w:rsid w:val="00785303"/>
    <w:rsid w:val="007853B0"/>
    <w:rsid w:val="007853F6"/>
    <w:rsid w:val="0078546D"/>
    <w:rsid w:val="00785579"/>
    <w:rsid w:val="00785589"/>
    <w:rsid w:val="007855B9"/>
    <w:rsid w:val="0078565B"/>
    <w:rsid w:val="00785689"/>
    <w:rsid w:val="00785818"/>
    <w:rsid w:val="0078598F"/>
    <w:rsid w:val="007859A0"/>
    <w:rsid w:val="007859BC"/>
    <w:rsid w:val="007859BE"/>
    <w:rsid w:val="007859E1"/>
    <w:rsid w:val="007859E5"/>
    <w:rsid w:val="007859F8"/>
    <w:rsid w:val="00785A67"/>
    <w:rsid w:val="00785AB2"/>
    <w:rsid w:val="00785AED"/>
    <w:rsid w:val="00785B00"/>
    <w:rsid w:val="00785C1E"/>
    <w:rsid w:val="00785C2C"/>
    <w:rsid w:val="00785D18"/>
    <w:rsid w:val="00785D9C"/>
    <w:rsid w:val="00785E22"/>
    <w:rsid w:val="00785E27"/>
    <w:rsid w:val="00785EC7"/>
    <w:rsid w:val="00785F02"/>
    <w:rsid w:val="00785FB5"/>
    <w:rsid w:val="00785FC5"/>
    <w:rsid w:val="00785FD6"/>
    <w:rsid w:val="0078608D"/>
    <w:rsid w:val="00786092"/>
    <w:rsid w:val="007860B4"/>
    <w:rsid w:val="007860C4"/>
    <w:rsid w:val="00786151"/>
    <w:rsid w:val="007861B2"/>
    <w:rsid w:val="007861BC"/>
    <w:rsid w:val="007861E7"/>
    <w:rsid w:val="007861EB"/>
    <w:rsid w:val="00786227"/>
    <w:rsid w:val="00786251"/>
    <w:rsid w:val="00786256"/>
    <w:rsid w:val="007862A1"/>
    <w:rsid w:val="007862F2"/>
    <w:rsid w:val="007862FD"/>
    <w:rsid w:val="00786392"/>
    <w:rsid w:val="00786417"/>
    <w:rsid w:val="0078644E"/>
    <w:rsid w:val="00786475"/>
    <w:rsid w:val="00786623"/>
    <w:rsid w:val="0078666B"/>
    <w:rsid w:val="00786745"/>
    <w:rsid w:val="0078689E"/>
    <w:rsid w:val="007868C5"/>
    <w:rsid w:val="007868E0"/>
    <w:rsid w:val="007868FB"/>
    <w:rsid w:val="00786932"/>
    <w:rsid w:val="007869C1"/>
    <w:rsid w:val="00786A09"/>
    <w:rsid w:val="00786A26"/>
    <w:rsid w:val="00786A9F"/>
    <w:rsid w:val="00786AA2"/>
    <w:rsid w:val="00786BE1"/>
    <w:rsid w:val="00786C1B"/>
    <w:rsid w:val="00786C6F"/>
    <w:rsid w:val="00786D72"/>
    <w:rsid w:val="00786D80"/>
    <w:rsid w:val="00786DC9"/>
    <w:rsid w:val="00786E13"/>
    <w:rsid w:val="00786E2A"/>
    <w:rsid w:val="00786F19"/>
    <w:rsid w:val="00786F26"/>
    <w:rsid w:val="00786FAB"/>
    <w:rsid w:val="00786FAC"/>
    <w:rsid w:val="00786FDF"/>
    <w:rsid w:val="00786FEB"/>
    <w:rsid w:val="0078701E"/>
    <w:rsid w:val="00787055"/>
    <w:rsid w:val="00787118"/>
    <w:rsid w:val="0078713A"/>
    <w:rsid w:val="00787141"/>
    <w:rsid w:val="00787183"/>
    <w:rsid w:val="00787192"/>
    <w:rsid w:val="007871AF"/>
    <w:rsid w:val="0078722D"/>
    <w:rsid w:val="0078725F"/>
    <w:rsid w:val="0078726B"/>
    <w:rsid w:val="00787338"/>
    <w:rsid w:val="0078736A"/>
    <w:rsid w:val="00787379"/>
    <w:rsid w:val="007873AE"/>
    <w:rsid w:val="00787468"/>
    <w:rsid w:val="007874C4"/>
    <w:rsid w:val="0078753C"/>
    <w:rsid w:val="0078755E"/>
    <w:rsid w:val="00787580"/>
    <w:rsid w:val="00787609"/>
    <w:rsid w:val="00787665"/>
    <w:rsid w:val="00787670"/>
    <w:rsid w:val="007876A1"/>
    <w:rsid w:val="007876BF"/>
    <w:rsid w:val="007876EF"/>
    <w:rsid w:val="007876FD"/>
    <w:rsid w:val="00787708"/>
    <w:rsid w:val="00787722"/>
    <w:rsid w:val="00787757"/>
    <w:rsid w:val="0078777C"/>
    <w:rsid w:val="007877C1"/>
    <w:rsid w:val="007877F0"/>
    <w:rsid w:val="00787839"/>
    <w:rsid w:val="00787840"/>
    <w:rsid w:val="00787845"/>
    <w:rsid w:val="00787848"/>
    <w:rsid w:val="0078786E"/>
    <w:rsid w:val="00787888"/>
    <w:rsid w:val="00787905"/>
    <w:rsid w:val="0078790C"/>
    <w:rsid w:val="007879E0"/>
    <w:rsid w:val="00787A25"/>
    <w:rsid w:val="00787AAB"/>
    <w:rsid w:val="00787B4C"/>
    <w:rsid w:val="00787B62"/>
    <w:rsid w:val="00787B94"/>
    <w:rsid w:val="00787D5B"/>
    <w:rsid w:val="00787D8D"/>
    <w:rsid w:val="00787E0F"/>
    <w:rsid w:val="00787E20"/>
    <w:rsid w:val="00787E25"/>
    <w:rsid w:val="00787E94"/>
    <w:rsid w:val="00787F3F"/>
    <w:rsid w:val="0079000A"/>
    <w:rsid w:val="00790011"/>
    <w:rsid w:val="00790013"/>
    <w:rsid w:val="00790055"/>
    <w:rsid w:val="007900A5"/>
    <w:rsid w:val="00790100"/>
    <w:rsid w:val="00790119"/>
    <w:rsid w:val="0079023A"/>
    <w:rsid w:val="0079025A"/>
    <w:rsid w:val="007902EC"/>
    <w:rsid w:val="00790358"/>
    <w:rsid w:val="007903A7"/>
    <w:rsid w:val="007903F1"/>
    <w:rsid w:val="007903F4"/>
    <w:rsid w:val="00790405"/>
    <w:rsid w:val="0079043E"/>
    <w:rsid w:val="00790447"/>
    <w:rsid w:val="00790480"/>
    <w:rsid w:val="00790488"/>
    <w:rsid w:val="00790491"/>
    <w:rsid w:val="00790622"/>
    <w:rsid w:val="0079062E"/>
    <w:rsid w:val="00790667"/>
    <w:rsid w:val="00790683"/>
    <w:rsid w:val="007906A3"/>
    <w:rsid w:val="007906EB"/>
    <w:rsid w:val="007906FD"/>
    <w:rsid w:val="00790706"/>
    <w:rsid w:val="00790730"/>
    <w:rsid w:val="00790740"/>
    <w:rsid w:val="00790765"/>
    <w:rsid w:val="007907E1"/>
    <w:rsid w:val="00790837"/>
    <w:rsid w:val="007908A9"/>
    <w:rsid w:val="007908AC"/>
    <w:rsid w:val="00790901"/>
    <w:rsid w:val="00790909"/>
    <w:rsid w:val="0079095F"/>
    <w:rsid w:val="007909CA"/>
    <w:rsid w:val="007909DF"/>
    <w:rsid w:val="007909E2"/>
    <w:rsid w:val="007909E5"/>
    <w:rsid w:val="00790A18"/>
    <w:rsid w:val="00790A22"/>
    <w:rsid w:val="00790A60"/>
    <w:rsid w:val="00790A9A"/>
    <w:rsid w:val="00790AE8"/>
    <w:rsid w:val="00790B81"/>
    <w:rsid w:val="00790B82"/>
    <w:rsid w:val="00790BAB"/>
    <w:rsid w:val="00790C2C"/>
    <w:rsid w:val="00790C77"/>
    <w:rsid w:val="00790CC1"/>
    <w:rsid w:val="00790CE9"/>
    <w:rsid w:val="00790D3C"/>
    <w:rsid w:val="00790D47"/>
    <w:rsid w:val="00790E11"/>
    <w:rsid w:val="00790E31"/>
    <w:rsid w:val="00790E7F"/>
    <w:rsid w:val="00790ED4"/>
    <w:rsid w:val="00790FA6"/>
    <w:rsid w:val="0079102C"/>
    <w:rsid w:val="00791090"/>
    <w:rsid w:val="007910A1"/>
    <w:rsid w:val="007910C5"/>
    <w:rsid w:val="00791175"/>
    <w:rsid w:val="007911A6"/>
    <w:rsid w:val="0079121C"/>
    <w:rsid w:val="0079124C"/>
    <w:rsid w:val="0079135E"/>
    <w:rsid w:val="007913C9"/>
    <w:rsid w:val="0079140C"/>
    <w:rsid w:val="0079144A"/>
    <w:rsid w:val="0079146F"/>
    <w:rsid w:val="00791491"/>
    <w:rsid w:val="00791530"/>
    <w:rsid w:val="00791562"/>
    <w:rsid w:val="00791591"/>
    <w:rsid w:val="0079160B"/>
    <w:rsid w:val="00791668"/>
    <w:rsid w:val="00791795"/>
    <w:rsid w:val="007918D1"/>
    <w:rsid w:val="0079197C"/>
    <w:rsid w:val="007919D9"/>
    <w:rsid w:val="00791A05"/>
    <w:rsid w:val="00791A79"/>
    <w:rsid w:val="00791AD6"/>
    <w:rsid w:val="00791B57"/>
    <w:rsid w:val="00791B77"/>
    <w:rsid w:val="00791B7A"/>
    <w:rsid w:val="00791B7C"/>
    <w:rsid w:val="00791BDC"/>
    <w:rsid w:val="00791BEB"/>
    <w:rsid w:val="00791C0D"/>
    <w:rsid w:val="00791CC2"/>
    <w:rsid w:val="00791D72"/>
    <w:rsid w:val="00791DA5"/>
    <w:rsid w:val="00791DE6"/>
    <w:rsid w:val="00791DF4"/>
    <w:rsid w:val="00791F17"/>
    <w:rsid w:val="00791F33"/>
    <w:rsid w:val="00792120"/>
    <w:rsid w:val="00792124"/>
    <w:rsid w:val="00792156"/>
    <w:rsid w:val="00792202"/>
    <w:rsid w:val="00792210"/>
    <w:rsid w:val="00792229"/>
    <w:rsid w:val="00792281"/>
    <w:rsid w:val="007922CF"/>
    <w:rsid w:val="007922D2"/>
    <w:rsid w:val="00792328"/>
    <w:rsid w:val="0079235C"/>
    <w:rsid w:val="0079238E"/>
    <w:rsid w:val="0079239D"/>
    <w:rsid w:val="007923A8"/>
    <w:rsid w:val="007923F0"/>
    <w:rsid w:val="00792434"/>
    <w:rsid w:val="00792456"/>
    <w:rsid w:val="0079250C"/>
    <w:rsid w:val="0079253C"/>
    <w:rsid w:val="0079254F"/>
    <w:rsid w:val="0079256F"/>
    <w:rsid w:val="007925D7"/>
    <w:rsid w:val="00792626"/>
    <w:rsid w:val="00792655"/>
    <w:rsid w:val="00792658"/>
    <w:rsid w:val="007927AF"/>
    <w:rsid w:val="007927B5"/>
    <w:rsid w:val="007927D5"/>
    <w:rsid w:val="007927E3"/>
    <w:rsid w:val="007927ED"/>
    <w:rsid w:val="00792810"/>
    <w:rsid w:val="00792860"/>
    <w:rsid w:val="007928A7"/>
    <w:rsid w:val="0079290E"/>
    <w:rsid w:val="00792929"/>
    <w:rsid w:val="00792973"/>
    <w:rsid w:val="007929F7"/>
    <w:rsid w:val="00792A5B"/>
    <w:rsid w:val="00792A64"/>
    <w:rsid w:val="00792AA4"/>
    <w:rsid w:val="00792B87"/>
    <w:rsid w:val="00792BB6"/>
    <w:rsid w:val="00792BB9"/>
    <w:rsid w:val="00792C49"/>
    <w:rsid w:val="00792C4B"/>
    <w:rsid w:val="00792C70"/>
    <w:rsid w:val="00792C8F"/>
    <w:rsid w:val="00792CAE"/>
    <w:rsid w:val="00792CC7"/>
    <w:rsid w:val="00792D26"/>
    <w:rsid w:val="00792D7D"/>
    <w:rsid w:val="00792DDE"/>
    <w:rsid w:val="00792E6F"/>
    <w:rsid w:val="00792E91"/>
    <w:rsid w:val="00792EE5"/>
    <w:rsid w:val="00792F10"/>
    <w:rsid w:val="00792F14"/>
    <w:rsid w:val="0079300E"/>
    <w:rsid w:val="00793024"/>
    <w:rsid w:val="0079302D"/>
    <w:rsid w:val="0079305F"/>
    <w:rsid w:val="00793085"/>
    <w:rsid w:val="00793120"/>
    <w:rsid w:val="0079313C"/>
    <w:rsid w:val="00793142"/>
    <w:rsid w:val="00793160"/>
    <w:rsid w:val="0079318C"/>
    <w:rsid w:val="0079327B"/>
    <w:rsid w:val="00793296"/>
    <w:rsid w:val="0079335F"/>
    <w:rsid w:val="007933A4"/>
    <w:rsid w:val="007933CA"/>
    <w:rsid w:val="00793400"/>
    <w:rsid w:val="00793401"/>
    <w:rsid w:val="00793417"/>
    <w:rsid w:val="00793446"/>
    <w:rsid w:val="00793488"/>
    <w:rsid w:val="007934B1"/>
    <w:rsid w:val="00793537"/>
    <w:rsid w:val="007935C8"/>
    <w:rsid w:val="007935DC"/>
    <w:rsid w:val="0079360E"/>
    <w:rsid w:val="0079363B"/>
    <w:rsid w:val="00793684"/>
    <w:rsid w:val="00793703"/>
    <w:rsid w:val="00793766"/>
    <w:rsid w:val="007937DE"/>
    <w:rsid w:val="00793839"/>
    <w:rsid w:val="00793842"/>
    <w:rsid w:val="00793849"/>
    <w:rsid w:val="00793867"/>
    <w:rsid w:val="0079387F"/>
    <w:rsid w:val="00793891"/>
    <w:rsid w:val="007938BC"/>
    <w:rsid w:val="0079390C"/>
    <w:rsid w:val="0079399F"/>
    <w:rsid w:val="007939D5"/>
    <w:rsid w:val="007939F6"/>
    <w:rsid w:val="00793A1C"/>
    <w:rsid w:val="00793A28"/>
    <w:rsid w:val="00793A8A"/>
    <w:rsid w:val="00793B23"/>
    <w:rsid w:val="00793B2B"/>
    <w:rsid w:val="00793B53"/>
    <w:rsid w:val="00793BB8"/>
    <w:rsid w:val="00793C26"/>
    <w:rsid w:val="00793C82"/>
    <w:rsid w:val="00793CA8"/>
    <w:rsid w:val="00793CC3"/>
    <w:rsid w:val="00793CDF"/>
    <w:rsid w:val="00793D11"/>
    <w:rsid w:val="00793D13"/>
    <w:rsid w:val="00793D7D"/>
    <w:rsid w:val="00793D8A"/>
    <w:rsid w:val="00793DC1"/>
    <w:rsid w:val="00793DDD"/>
    <w:rsid w:val="00793DED"/>
    <w:rsid w:val="00793E05"/>
    <w:rsid w:val="00793E48"/>
    <w:rsid w:val="00793E81"/>
    <w:rsid w:val="00793ED4"/>
    <w:rsid w:val="00793EDB"/>
    <w:rsid w:val="00793FA5"/>
    <w:rsid w:val="00793FAE"/>
    <w:rsid w:val="00793FBA"/>
    <w:rsid w:val="00794014"/>
    <w:rsid w:val="00794023"/>
    <w:rsid w:val="00794046"/>
    <w:rsid w:val="0079412E"/>
    <w:rsid w:val="00794175"/>
    <w:rsid w:val="00794188"/>
    <w:rsid w:val="0079418A"/>
    <w:rsid w:val="007941D9"/>
    <w:rsid w:val="00794205"/>
    <w:rsid w:val="00794214"/>
    <w:rsid w:val="0079421D"/>
    <w:rsid w:val="0079430A"/>
    <w:rsid w:val="0079431E"/>
    <w:rsid w:val="00794334"/>
    <w:rsid w:val="0079435F"/>
    <w:rsid w:val="0079436D"/>
    <w:rsid w:val="007944B1"/>
    <w:rsid w:val="007945A2"/>
    <w:rsid w:val="0079462E"/>
    <w:rsid w:val="0079462F"/>
    <w:rsid w:val="00794648"/>
    <w:rsid w:val="007946E9"/>
    <w:rsid w:val="00794735"/>
    <w:rsid w:val="0079473D"/>
    <w:rsid w:val="00794746"/>
    <w:rsid w:val="00794748"/>
    <w:rsid w:val="00794771"/>
    <w:rsid w:val="00794793"/>
    <w:rsid w:val="0079494B"/>
    <w:rsid w:val="00794978"/>
    <w:rsid w:val="007949AE"/>
    <w:rsid w:val="007949CD"/>
    <w:rsid w:val="00794A04"/>
    <w:rsid w:val="00794B27"/>
    <w:rsid w:val="00794B8C"/>
    <w:rsid w:val="00794C65"/>
    <w:rsid w:val="00794E15"/>
    <w:rsid w:val="00794E30"/>
    <w:rsid w:val="00794E87"/>
    <w:rsid w:val="00794E8B"/>
    <w:rsid w:val="00794EB2"/>
    <w:rsid w:val="00794EEE"/>
    <w:rsid w:val="00794F3D"/>
    <w:rsid w:val="00794FC0"/>
    <w:rsid w:val="007950C4"/>
    <w:rsid w:val="0079512C"/>
    <w:rsid w:val="00795146"/>
    <w:rsid w:val="00795191"/>
    <w:rsid w:val="007951A3"/>
    <w:rsid w:val="007951C7"/>
    <w:rsid w:val="007951DF"/>
    <w:rsid w:val="0079520E"/>
    <w:rsid w:val="00795251"/>
    <w:rsid w:val="00795275"/>
    <w:rsid w:val="007952E7"/>
    <w:rsid w:val="007952EF"/>
    <w:rsid w:val="00795320"/>
    <w:rsid w:val="00795367"/>
    <w:rsid w:val="007953AF"/>
    <w:rsid w:val="00795508"/>
    <w:rsid w:val="0079554F"/>
    <w:rsid w:val="00795613"/>
    <w:rsid w:val="00795643"/>
    <w:rsid w:val="0079566B"/>
    <w:rsid w:val="007956A7"/>
    <w:rsid w:val="007956E9"/>
    <w:rsid w:val="0079573E"/>
    <w:rsid w:val="007957AC"/>
    <w:rsid w:val="007957B3"/>
    <w:rsid w:val="007957D2"/>
    <w:rsid w:val="00795837"/>
    <w:rsid w:val="00795846"/>
    <w:rsid w:val="0079587E"/>
    <w:rsid w:val="0079588A"/>
    <w:rsid w:val="007958D1"/>
    <w:rsid w:val="007958D2"/>
    <w:rsid w:val="007958F9"/>
    <w:rsid w:val="007958FD"/>
    <w:rsid w:val="00795945"/>
    <w:rsid w:val="0079595A"/>
    <w:rsid w:val="00795A06"/>
    <w:rsid w:val="00795AB1"/>
    <w:rsid w:val="00795BB8"/>
    <w:rsid w:val="00795BE5"/>
    <w:rsid w:val="00795BE7"/>
    <w:rsid w:val="00795C6B"/>
    <w:rsid w:val="00795CEC"/>
    <w:rsid w:val="00795D73"/>
    <w:rsid w:val="00795DF0"/>
    <w:rsid w:val="00795E14"/>
    <w:rsid w:val="00795E79"/>
    <w:rsid w:val="00795F0D"/>
    <w:rsid w:val="00795F32"/>
    <w:rsid w:val="00795F7E"/>
    <w:rsid w:val="00795F98"/>
    <w:rsid w:val="00796083"/>
    <w:rsid w:val="007960A6"/>
    <w:rsid w:val="007960F8"/>
    <w:rsid w:val="00796101"/>
    <w:rsid w:val="00796139"/>
    <w:rsid w:val="00796172"/>
    <w:rsid w:val="00796235"/>
    <w:rsid w:val="00796294"/>
    <w:rsid w:val="007962B8"/>
    <w:rsid w:val="007962CE"/>
    <w:rsid w:val="007962D0"/>
    <w:rsid w:val="00796354"/>
    <w:rsid w:val="007963DE"/>
    <w:rsid w:val="007963F2"/>
    <w:rsid w:val="0079640B"/>
    <w:rsid w:val="00796466"/>
    <w:rsid w:val="00796467"/>
    <w:rsid w:val="007964B2"/>
    <w:rsid w:val="007964BF"/>
    <w:rsid w:val="007964CD"/>
    <w:rsid w:val="007964D4"/>
    <w:rsid w:val="007964D8"/>
    <w:rsid w:val="0079652B"/>
    <w:rsid w:val="00796576"/>
    <w:rsid w:val="00796676"/>
    <w:rsid w:val="00796682"/>
    <w:rsid w:val="00796688"/>
    <w:rsid w:val="007966BC"/>
    <w:rsid w:val="007966C4"/>
    <w:rsid w:val="00796716"/>
    <w:rsid w:val="0079677D"/>
    <w:rsid w:val="0079681E"/>
    <w:rsid w:val="007968D4"/>
    <w:rsid w:val="00796A0F"/>
    <w:rsid w:val="00796A4A"/>
    <w:rsid w:val="00796A58"/>
    <w:rsid w:val="00796B08"/>
    <w:rsid w:val="00796B6C"/>
    <w:rsid w:val="00796C41"/>
    <w:rsid w:val="00796C6A"/>
    <w:rsid w:val="00796CCF"/>
    <w:rsid w:val="00796CE7"/>
    <w:rsid w:val="00796D0A"/>
    <w:rsid w:val="00796DE0"/>
    <w:rsid w:val="00796DF4"/>
    <w:rsid w:val="00796E46"/>
    <w:rsid w:val="00796E68"/>
    <w:rsid w:val="00796F08"/>
    <w:rsid w:val="00796F9B"/>
    <w:rsid w:val="00797078"/>
    <w:rsid w:val="007970CB"/>
    <w:rsid w:val="00797108"/>
    <w:rsid w:val="00797188"/>
    <w:rsid w:val="0079725F"/>
    <w:rsid w:val="007972CA"/>
    <w:rsid w:val="007972F8"/>
    <w:rsid w:val="00797383"/>
    <w:rsid w:val="007973EE"/>
    <w:rsid w:val="0079741C"/>
    <w:rsid w:val="00797461"/>
    <w:rsid w:val="00797464"/>
    <w:rsid w:val="007974F9"/>
    <w:rsid w:val="0079752B"/>
    <w:rsid w:val="00797536"/>
    <w:rsid w:val="00797633"/>
    <w:rsid w:val="00797660"/>
    <w:rsid w:val="00797665"/>
    <w:rsid w:val="007976BE"/>
    <w:rsid w:val="007976E0"/>
    <w:rsid w:val="00797803"/>
    <w:rsid w:val="00797807"/>
    <w:rsid w:val="00797872"/>
    <w:rsid w:val="007978AB"/>
    <w:rsid w:val="007978F8"/>
    <w:rsid w:val="00797918"/>
    <w:rsid w:val="007979A5"/>
    <w:rsid w:val="007979BF"/>
    <w:rsid w:val="00797A3C"/>
    <w:rsid w:val="00797A53"/>
    <w:rsid w:val="00797B22"/>
    <w:rsid w:val="00797B43"/>
    <w:rsid w:val="00797C0F"/>
    <w:rsid w:val="00797C1E"/>
    <w:rsid w:val="00797C3C"/>
    <w:rsid w:val="00797C6D"/>
    <w:rsid w:val="00797CFB"/>
    <w:rsid w:val="00797D1A"/>
    <w:rsid w:val="00797D95"/>
    <w:rsid w:val="00797DDF"/>
    <w:rsid w:val="00797E5D"/>
    <w:rsid w:val="00797EB1"/>
    <w:rsid w:val="00797EBC"/>
    <w:rsid w:val="00797EF5"/>
    <w:rsid w:val="00797F6E"/>
    <w:rsid w:val="00797FC5"/>
    <w:rsid w:val="007A000B"/>
    <w:rsid w:val="007A011D"/>
    <w:rsid w:val="007A0126"/>
    <w:rsid w:val="007A01AF"/>
    <w:rsid w:val="007A022A"/>
    <w:rsid w:val="007A0238"/>
    <w:rsid w:val="007A029D"/>
    <w:rsid w:val="007A02C2"/>
    <w:rsid w:val="007A02F7"/>
    <w:rsid w:val="007A0310"/>
    <w:rsid w:val="007A034F"/>
    <w:rsid w:val="007A036C"/>
    <w:rsid w:val="007A03C5"/>
    <w:rsid w:val="007A03EE"/>
    <w:rsid w:val="007A042C"/>
    <w:rsid w:val="007A0431"/>
    <w:rsid w:val="007A045B"/>
    <w:rsid w:val="007A0478"/>
    <w:rsid w:val="007A04C3"/>
    <w:rsid w:val="007A04DA"/>
    <w:rsid w:val="007A05A3"/>
    <w:rsid w:val="007A05AB"/>
    <w:rsid w:val="007A05B0"/>
    <w:rsid w:val="007A05BE"/>
    <w:rsid w:val="007A0600"/>
    <w:rsid w:val="007A0616"/>
    <w:rsid w:val="007A0633"/>
    <w:rsid w:val="007A0699"/>
    <w:rsid w:val="007A073F"/>
    <w:rsid w:val="007A07E5"/>
    <w:rsid w:val="007A0820"/>
    <w:rsid w:val="007A089F"/>
    <w:rsid w:val="007A0911"/>
    <w:rsid w:val="007A0918"/>
    <w:rsid w:val="007A091A"/>
    <w:rsid w:val="007A0949"/>
    <w:rsid w:val="007A0A62"/>
    <w:rsid w:val="007A0A83"/>
    <w:rsid w:val="007A0AB9"/>
    <w:rsid w:val="007A0AE2"/>
    <w:rsid w:val="007A0B04"/>
    <w:rsid w:val="007A0B38"/>
    <w:rsid w:val="007A0BC9"/>
    <w:rsid w:val="007A0C40"/>
    <w:rsid w:val="007A0C57"/>
    <w:rsid w:val="007A0C76"/>
    <w:rsid w:val="007A0C80"/>
    <w:rsid w:val="007A0D13"/>
    <w:rsid w:val="007A0D14"/>
    <w:rsid w:val="007A0D56"/>
    <w:rsid w:val="007A0D72"/>
    <w:rsid w:val="007A0DE1"/>
    <w:rsid w:val="007A0DE2"/>
    <w:rsid w:val="007A0DEF"/>
    <w:rsid w:val="007A0E13"/>
    <w:rsid w:val="007A0EE6"/>
    <w:rsid w:val="007A0F58"/>
    <w:rsid w:val="007A11CB"/>
    <w:rsid w:val="007A11DD"/>
    <w:rsid w:val="007A1218"/>
    <w:rsid w:val="007A122E"/>
    <w:rsid w:val="007A1261"/>
    <w:rsid w:val="007A128A"/>
    <w:rsid w:val="007A12B0"/>
    <w:rsid w:val="007A12C2"/>
    <w:rsid w:val="007A1347"/>
    <w:rsid w:val="007A1360"/>
    <w:rsid w:val="007A1365"/>
    <w:rsid w:val="007A136E"/>
    <w:rsid w:val="007A13C9"/>
    <w:rsid w:val="007A13D5"/>
    <w:rsid w:val="007A146B"/>
    <w:rsid w:val="007A1487"/>
    <w:rsid w:val="007A1511"/>
    <w:rsid w:val="007A154A"/>
    <w:rsid w:val="007A154C"/>
    <w:rsid w:val="007A1584"/>
    <w:rsid w:val="007A15CD"/>
    <w:rsid w:val="007A1663"/>
    <w:rsid w:val="007A16B5"/>
    <w:rsid w:val="007A16EA"/>
    <w:rsid w:val="007A1712"/>
    <w:rsid w:val="007A1749"/>
    <w:rsid w:val="007A1767"/>
    <w:rsid w:val="007A1800"/>
    <w:rsid w:val="007A1874"/>
    <w:rsid w:val="007A18B3"/>
    <w:rsid w:val="007A18C7"/>
    <w:rsid w:val="007A1910"/>
    <w:rsid w:val="007A1983"/>
    <w:rsid w:val="007A1A09"/>
    <w:rsid w:val="007A1AB7"/>
    <w:rsid w:val="007A1B58"/>
    <w:rsid w:val="007A1B76"/>
    <w:rsid w:val="007A1B85"/>
    <w:rsid w:val="007A1BBA"/>
    <w:rsid w:val="007A1BF3"/>
    <w:rsid w:val="007A1C0A"/>
    <w:rsid w:val="007A1C5E"/>
    <w:rsid w:val="007A1CA9"/>
    <w:rsid w:val="007A1D02"/>
    <w:rsid w:val="007A1D16"/>
    <w:rsid w:val="007A1D24"/>
    <w:rsid w:val="007A1D61"/>
    <w:rsid w:val="007A1D92"/>
    <w:rsid w:val="007A1DAB"/>
    <w:rsid w:val="007A1DBE"/>
    <w:rsid w:val="007A1E3C"/>
    <w:rsid w:val="007A1E5C"/>
    <w:rsid w:val="007A1E5E"/>
    <w:rsid w:val="007A1E6D"/>
    <w:rsid w:val="007A1E7B"/>
    <w:rsid w:val="007A1EBC"/>
    <w:rsid w:val="007A1EC0"/>
    <w:rsid w:val="007A1F06"/>
    <w:rsid w:val="007A1F8C"/>
    <w:rsid w:val="007A2038"/>
    <w:rsid w:val="007A2084"/>
    <w:rsid w:val="007A20A0"/>
    <w:rsid w:val="007A2128"/>
    <w:rsid w:val="007A214A"/>
    <w:rsid w:val="007A2185"/>
    <w:rsid w:val="007A2222"/>
    <w:rsid w:val="007A2241"/>
    <w:rsid w:val="007A2242"/>
    <w:rsid w:val="007A226A"/>
    <w:rsid w:val="007A22DD"/>
    <w:rsid w:val="007A2337"/>
    <w:rsid w:val="007A2344"/>
    <w:rsid w:val="007A2355"/>
    <w:rsid w:val="007A2396"/>
    <w:rsid w:val="007A2397"/>
    <w:rsid w:val="007A23F3"/>
    <w:rsid w:val="007A2459"/>
    <w:rsid w:val="007A24FE"/>
    <w:rsid w:val="007A2582"/>
    <w:rsid w:val="007A2591"/>
    <w:rsid w:val="007A2623"/>
    <w:rsid w:val="007A26B0"/>
    <w:rsid w:val="007A2755"/>
    <w:rsid w:val="007A27D4"/>
    <w:rsid w:val="007A27E7"/>
    <w:rsid w:val="007A2945"/>
    <w:rsid w:val="007A2982"/>
    <w:rsid w:val="007A2999"/>
    <w:rsid w:val="007A2A1C"/>
    <w:rsid w:val="007A2A8D"/>
    <w:rsid w:val="007A2A93"/>
    <w:rsid w:val="007A2AC8"/>
    <w:rsid w:val="007A2AD7"/>
    <w:rsid w:val="007A2AF7"/>
    <w:rsid w:val="007A2BEF"/>
    <w:rsid w:val="007A2C87"/>
    <w:rsid w:val="007A2CCF"/>
    <w:rsid w:val="007A2CDB"/>
    <w:rsid w:val="007A2D05"/>
    <w:rsid w:val="007A2D31"/>
    <w:rsid w:val="007A2D52"/>
    <w:rsid w:val="007A2D57"/>
    <w:rsid w:val="007A2D73"/>
    <w:rsid w:val="007A2E12"/>
    <w:rsid w:val="007A2E13"/>
    <w:rsid w:val="007A2E68"/>
    <w:rsid w:val="007A2F66"/>
    <w:rsid w:val="007A2FAC"/>
    <w:rsid w:val="007A2FD5"/>
    <w:rsid w:val="007A30F2"/>
    <w:rsid w:val="007A3145"/>
    <w:rsid w:val="007A31CB"/>
    <w:rsid w:val="007A31E6"/>
    <w:rsid w:val="007A31F8"/>
    <w:rsid w:val="007A320A"/>
    <w:rsid w:val="007A32AA"/>
    <w:rsid w:val="007A32BC"/>
    <w:rsid w:val="007A335A"/>
    <w:rsid w:val="007A33C2"/>
    <w:rsid w:val="007A33EC"/>
    <w:rsid w:val="007A3400"/>
    <w:rsid w:val="007A3429"/>
    <w:rsid w:val="007A34BF"/>
    <w:rsid w:val="007A35A1"/>
    <w:rsid w:val="007A3630"/>
    <w:rsid w:val="007A368A"/>
    <w:rsid w:val="007A3700"/>
    <w:rsid w:val="007A3773"/>
    <w:rsid w:val="007A3790"/>
    <w:rsid w:val="007A379B"/>
    <w:rsid w:val="007A37A4"/>
    <w:rsid w:val="007A3801"/>
    <w:rsid w:val="007A3859"/>
    <w:rsid w:val="007A3917"/>
    <w:rsid w:val="007A3930"/>
    <w:rsid w:val="007A3967"/>
    <w:rsid w:val="007A397F"/>
    <w:rsid w:val="007A3980"/>
    <w:rsid w:val="007A39AD"/>
    <w:rsid w:val="007A39FF"/>
    <w:rsid w:val="007A3A11"/>
    <w:rsid w:val="007A3A7C"/>
    <w:rsid w:val="007A3A8F"/>
    <w:rsid w:val="007A3ABA"/>
    <w:rsid w:val="007A3AD9"/>
    <w:rsid w:val="007A3AFC"/>
    <w:rsid w:val="007A3B77"/>
    <w:rsid w:val="007A3BD0"/>
    <w:rsid w:val="007A3C2E"/>
    <w:rsid w:val="007A3C70"/>
    <w:rsid w:val="007A3C7F"/>
    <w:rsid w:val="007A3C94"/>
    <w:rsid w:val="007A3C9F"/>
    <w:rsid w:val="007A3CB1"/>
    <w:rsid w:val="007A3D30"/>
    <w:rsid w:val="007A3D4B"/>
    <w:rsid w:val="007A3D7F"/>
    <w:rsid w:val="007A3E36"/>
    <w:rsid w:val="007A3E8D"/>
    <w:rsid w:val="007A3EB2"/>
    <w:rsid w:val="007A3EBA"/>
    <w:rsid w:val="007A3ECF"/>
    <w:rsid w:val="007A3F42"/>
    <w:rsid w:val="007A3F5F"/>
    <w:rsid w:val="007A3F64"/>
    <w:rsid w:val="007A3F89"/>
    <w:rsid w:val="007A3FAF"/>
    <w:rsid w:val="007A4057"/>
    <w:rsid w:val="007A407F"/>
    <w:rsid w:val="007A4183"/>
    <w:rsid w:val="007A423B"/>
    <w:rsid w:val="007A4243"/>
    <w:rsid w:val="007A42AD"/>
    <w:rsid w:val="007A42B4"/>
    <w:rsid w:val="007A4442"/>
    <w:rsid w:val="007A44A2"/>
    <w:rsid w:val="007A44E1"/>
    <w:rsid w:val="007A450B"/>
    <w:rsid w:val="007A45C3"/>
    <w:rsid w:val="007A45E2"/>
    <w:rsid w:val="007A45E9"/>
    <w:rsid w:val="007A461A"/>
    <w:rsid w:val="007A462D"/>
    <w:rsid w:val="007A4639"/>
    <w:rsid w:val="007A4667"/>
    <w:rsid w:val="007A469F"/>
    <w:rsid w:val="007A46D3"/>
    <w:rsid w:val="007A4712"/>
    <w:rsid w:val="007A47B0"/>
    <w:rsid w:val="007A47D8"/>
    <w:rsid w:val="007A4838"/>
    <w:rsid w:val="007A4896"/>
    <w:rsid w:val="007A48A2"/>
    <w:rsid w:val="007A4906"/>
    <w:rsid w:val="007A494E"/>
    <w:rsid w:val="007A4979"/>
    <w:rsid w:val="007A49BF"/>
    <w:rsid w:val="007A4A43"/>
    <w:rsid w:val="007A4B03"/>
    <w:rsid w:val="007A4B09"/>
    <w:rsid w:val="007A4BF4"/>
    <w:rsid w:val="007A4BFE"/>
    <w:rsid w:val="007A4CD7"/>
    <w:rsid w:val="007A4CDB"/>
    <w:rsid w:val="007A4D0E"/>
    <w:rsid w:val="007A4DA1"/>
    <w:rsid w:val="007A4DBC"/>
    <w:rsid w:val="007A4DBE"/>
    <w:rsid w:val="007A4EA9"/>
    <w:rsid w:val="007A4EAA"/>
    <w:rsid w:val="007A4EB3"/>
    <w:rsid w:val="007A4F65"/>
    <w:rsid w:val="007A4FF2"/>
    <w:rsid w:val="007A5015"/>
    <w:rsid w:val="007A5033"/>
    <w:rsid w:val="007A504E"/>
    <w:rsid w:val="007A505D"/>
    <w:rsid w:val="007A506F"/>
    <w:rsid w:val="007A50CE"/>
    <w:rsid w:val="007A50D9"/>
    <w:rsid w:val="007A51D8"/>
    <w:rsid w:val="007A51D9"/>
    <w:rsid w:val="007A5235"/>
    <w:rsid w:val="007A526C"/>
    <w:rsid w:val="007A527B"/>
    <w:rsid w:val="007A529F"/>
    <w:rsid w:val="007A5367"/>
    <w:rsid w:val="007A53D5"/>
    <w:rsid w:val="007A54CD"/>
    <w:rsid w:val="007A54E4"/>
    <w:rsid w:val="007A5580"/>
    <w:rsid w:val="007A558F"/>
    <w:rsid w:val="007A5641"/>
    <w:rsid w:val="007A566E"/>
    <w:rsid w:val="007A5681"/>
    <w:rsid w:val="007A56AD"/>
    <w:rsid w:val="007A5700"/>
    <w:rsid w:val="007A5702"/>
    <w:rsid w:val="007A57DC"/>
    <w:rsid w:val="007A584F"/>
    <w:rsid w:val="007A58B0"/>
    <w:rsid w:val="007A58DE"/>
    <w:rsid w:val="007A5901"/>
    <w:rsid w:val="007A5942"/>
    <w:rsid w:val="007A596E"/>
    <w:rsid w:val="007A59D4"/>
    <w:rsid w:val="007A59DF"/>
    <w:rsid w:val="007A5A95"/>
    <w:rsid w:val="007A5A9F"/>
    <w:rsid w:val="007A5AB8"/>
    <w:rsid w:val="007A5B47"/>
    <w:rsid w:val="007A5B48"/>
    <w:rsid w:val="007A5B85"/>
    <w:rsid w:val="007A5BB7"/>
    <w:rsid w:val="007A5C2E"/>
    <w:rsid w:val="007A5C34"/>
    <w:rsid w:val="007A5C6F"/>
    <w:rsid w:val="007A5D35"/>
    <w:rsid w:val="007A5E61"/>
    <w:rsid w:val="007A5F30"/>
    <w:rsid w:val="007A5F57"/>
    <w:rsid w:val="007A602D"/>
    <w:rsid w:val="007A6038"/>
    <w:rsid w:val="007A6068"/>
    <w:rsid w:val="007A6115"/>
    <w:rsid w:val="007A6139"/>
    <w:rsid w:val="007A613C"/>
    <w:rsid w:val="007A618E"/>
    <w:rsid w:val="007A6267"/>
    <w:rsid w:val="007A627B"/>
    <w:rsid w:val="007A629F"/>
    <w:rsid w:val="007A62CD"/>
    <w:rsid w:val="007A6320"/>
    <w:rsid w:val="007A632D"/>
    <w:rsid w:val="007A6392"/>
    <w:rsid w:val="007A6394"/>
    <w:rsid w:val="007A63F0"/>
    <w:rsid w:val="007A640F"/>
    <w:rsid w:val="007A6450"/>
    <w:rsid w:val="007A64B3"/>
    <w:rsid w:val="007A64CC"/>
    <w:rsid w:val="007A655D"/>
    <w:rsid w:val="007A6561"/>
    <w:rsid w:val="007A65A2"/>
    <w:rsid w:val="007A65AB"/>
    <w:rsid w:val="007A65D1"/>
    <w:rsid w:val="007A65DA"/>
    <w:rsid w:val="007A669A"/>
    <w:rsid w:val="007A66B6"/>
    <w:rsid w:val="007A66F9"/>
    <w:rsid w:val="007A6762"/>
    <w:rsid w:val="007A678D"/>
    <w:rsid w:val="007A686D"/>
    <w:rsid w:val="007A6876"/>
    <w:rsid w:val="007A6890"/>
    <w:rsid w:val="007A68AB"/>
    <w:rsid w:val="007A68DD"/>
    <w:rsid w:val="007A6A42"/>
    <w:rsid w:val="007A6A48"/>
    <w:rsid w:val="007A6A4F"/>
    <w:rsid w:val="007A6A90"/>
    <w:rsid w:val="007A6B5B"/>
    <w:rsid w:val="007A6BB2"/>
    <w:rsid w:val="007A6C04"/>
    <w:rsid w:val="007A6CB8"/>
    <w:rsid w:val="007A6CBF"/>
    <w:rsid w:val="007A6CDD"/>
    <w:rsid w:val="007A6D39"/>
    <w:rsid w:val="007A6E4E"/>
    <w:rsid w:val="007A6E6F"/>
    <w:rsid w:val="007A6F12"/>
    <w:rsid w:val="007A6F5C"/>
    <w:rsid w:val="007A6F6F"/>
    <w:rsid w:val="007A6FD5"/>
    <w:rsid w:val="007A7021"/>
    <w:rsid w:val="007A7040"/>
    <w:rsid w:val="007A7047"/>
    <w:rsid w:val="007A7049"/>
    <w:rsid w:val="007A7079"/>
    <w:rsid w:val="007A70E6"/>
    <w:rsid w:val="007A714F"/>
    <w:rsid w:val="007A7153"/>
    <w:rsid w:val="007A7181"/>
    <w:rsid w:val="007A7195"/>
    <w:rsid w:val="007A71CB"/>
    <w:rsid w:val="007A71E7"/>
    <w:rsid w:val="007A7260"/>
    <w:rsid w:val="007A7283"/>
    <w:rsid w:val="007A72D0"/>
    <w:rsid w:val="007A72F4"/>
    <w:rsid w:val="007A7306"/>
    <w:rsid w:val="007A7368"/>
    <w:rsid w:val="007A741A"/>
    <w:rsid w:val="007A74B1"/>
    <w:rsid w:val="007A74BB"/>
    <w:rsid w:val="007A74CB"/>
    <w:rsid w:val="007A74F7"/>
    <w:rsid w:val="007A74FD"/>
    <w:rsid w:val="007A755B"/>
    <w:rsid w:val="007A7561"/>
    <w:rsid w:val="007A75AB"/>
    <w:rsid w:val="007A7646"/>
    <w:rsid w:val="007A7683"/>
    <w:rsid w:val="007A772D"/>
    <w:rsid w:val="007A7786"/>
    <w:rsid w:val="007A7800"/>
    <w:rsid w:val="007A78CC"/>
    <w:rsid w:val="007A78F0"/>
    <w:rsid w:val="007A797E"/>
    <w:rsid w:val="007A79F3"/>
    <w:rsid w:val="007A7A8A"/>
    <w:rsid w:val="007A7AA2"/>
    <w:rsid w:val="007A7B10"/>
    <w:rsid w:val="007A7B2F"/>
    <w:rsid w:val="007A7BC0"/>
    <w:rsid w:val="007A7BDC"/>
    <w:rsid w:val="007A7BFA"/>
    <w:rsid w:val="007A7C99"/>
    <w:rsid w:val="007A7CF9"/>
    <w:rsid w:val="007A7DAC"/>
    <w:rsid w:val="007A7E30"/>
    <w:rsid w:val="007A7E34"/>
    <w:rsid w:val="007A7E36"/>
    <w:rsid w:val="007A7F20"/>
    <w:rsid w:val="007B0021"/>
    <w:rsid w:val="007B009F"/>
    <w:rsid w:val="007B00EE"/>
    <w:rsid w:val="007B0155"/>
    <w:rsid w:val="007B0169"/>
    <w:rsid w:val="007B0170"/>
    <w:rsid w:val="007B019B"/>
    <w:rsid w:val="007B01A6"/>
    <w:rsid w:val="007B0230"/>
    <w:rsid w:val="007B023A"/>
    <w:rsid w:val="007B0240"/>
    <w:rsid w:val="007B03AA"/>
    <w:rsid w:val="007B03B9"/>
    <w:rsid w:val="007B0400"/>
    <w:rsid w:val="007B0424"/>
    <w:rsid w:val="007B0477"/>
    <w:rsid w:val="007B049D"/>
    <w:rsid w:val="007B04AB"/>
    <w:rsid w:val="007B04BF"/>
    <w:rsid w:val="007B04D2"/>
    <w:rsid w:val="007B0522"/>
    <w:rsid w:val="007B0603"/>
    <w:rsid w:val="007B064B"/>
    <w:rsid w:val="007B064E"/>
    <w:rsid w:val="007B0658"/>
    <w:rsid w:val="007B065D"/>
    <w:rsid w:val="007B067D"/>
    <w:rsid w:val="007B0680"/>
    <w:rsid w:val="007B0694"/>
    <w:rsid w:val="007B06D2"/>
    <w:rsid w:val="007B078D"/>
    <w:rsid w:val="007B07A9"/>
    <w:rsid w:val="007B07D2"/>
    <w:rsid w:val="007B083A"/>
    <w:rsid w:val="007B0899"/>
    <w:rsid w:val="007B08C8"/>
    <w:rsid w:val="007B08CA"/>
    <w:rsid w:val="007B08F1"/>
    <w:rsid w:val="007B08FD"/>
    <w:rsid w:val="007B0920"/>
    <w:rsid w:val="007B09A8"/>
    <w:rsid w:val="007B09CD"/>
    <w:rsid w:val="007B0A32"/>
    <w:rsid w:val="007B0ADF"/>
    <w:rsid w:val="007B0AE4"/>
    <w:rsid w:val="007B0BC2"/>
    <w:rsid w:val="007B0BC7"/>
    <w:rsid w:val="007B0C7C"/>
    <w:rsid w:val="007B0D0F"/>
    <w:rsid w:val="007B0D50"/>
    <w:rsid w:val="007B0D65"/>
    <w:rsid w:val="007B0E5E"/>
    <w:rsid w:val="007B0E81"/>
    <w:rsid w:val="007B0ED5"/>
    <w:rsid w:val="007B0EE8"/>
    <w:rsid w:val="007B0F0C"/>
    <w:rsid w:val="007B0F71"/>
    <w:rsid w:val="007B0FAF"/>
    <w:rsid w:val="007B0FEE"/>
    <w:rsid w:val="007B1040"/>
    <w:rsid w:val="007B10D6"/>
    <w:rsid w:val="007B11A8"/>
    <w:rsid w:val="007B11B6"/>
    <w:rsid w:val="007B127C"/>
    <w:rsid w:val="007B12EF"/>
    <w:rsid w:val="007B130F"/>
    <w:rsid w:val="007B13AA"/>
    <w:rsid w:val="007B13D8"/>
    <w:rsid w:val="007B1404"/>
    <w:rsid w:val="007B146A"/>
    <w:rsid w:val="007B1491"/>
    <w:rsid w:val="007B1497"/>
    <w:rsid w:val="007B14CC"/>
    <w:rsid w:val="007B151B"/>
    <w:rsid w:val="007B155D"/>
    <w:rsid w:val="007B156C"/>
    <w:rsid w:val="007B1573"/>
    <w:rsid w:val="007B1593"/>
    <w:rsid w:val="007B15C2"/>
    <w:rsid w:val="007B15C3"/>
    <w:rsid w:val="007B1623"/>
    <w:rsid w:val="007B16AB"/>
    <w:rsid w:val="007B1704"/>
    <w:rsid w:val="007B1708"/>
    <w:rsid w:val="007B1725"/>
    <w:rsid w:val="007B17F4"/>
    <w:rsid w:val="007B17F6"/>
    <w:rsid w:val="007B1800"/>
    <w:rsid w:val="007B186B"/>
    <w:rsid w:val="007B1879"/>
    <w:rsid w:val="007B18B5"/>
    <w:rsid w:val="007B18BB"/>
    <w:rsid w:val="007B1905"/>
    <w:rsid w:val="007B197C"/>
    <w:rsid w:val="007B198F"/>
    <w:rsid w:val="007B19A9"/>
    <w:rsid w:val="007B1A1E"/>
    <w:rsid w:val="007B1A4A"/>
    <w:rsid w:val="007B1AB6"/>
    <w:rsid w:val="007B1B07"/>
    <w:rsid w:val="007B1B26"/>
    <w:rsid w:val="007B1B50"/>
    <w:rsid w:val="007B1D5F"/>
    <w:rsid w:val="007B1D69"/>
    <w:rsid w:val="007B1EA5"/>
    <w:rsid w:val="007B1F2E"/>
    <w:rsid w:val="007B204B"/>
    <w:rsid w:val="007B20F0"/>
    <w:rsid w:val="007B2176"/>
    <w:rsid w:val="007B218D"/>
    <w:rsid w:val="007B21F4"/>
    <w:rsid w:val="007B223C"/>
    <w:rsid w:val="007B226B"/>
    <w:rsid w:val="007B22E8"/>
    <w:rsid w:val="007B22F1"/>
    <w:rsid w:val="007B2423"/>
    <w:rsid w:val="007B2488"/>
    <w:rsid w:val="007B24F1"/>
    <w:rsid w:val="007B24FF"/>
    <w:rsid w:val="007B2502"/>
    <w:rsid w:val="007B25C4"/>
    <w:rsid w:val="007B2617"/>
    <w:rsid w:val="007B2681"/>
    <w:rsid w:val="007B26FE"/>
    <w:rsid w:val="007B2769"/>
    <w:rsid w:val="007B2814"/>
    <w:rsid w:val="007B2844"/>
    <w:rsid w:val="007B28C0"/>
    <w:rsid w:val="007B28F5"/>
    <w:rsid w:val="007B295E"/>
    <w:rsid w:val="007B2960"/>
    <w:rsid w:val="007B29F1"/>
    <w:rsid w:val="007B2A29"/>
    <w:rsid w:val="007B2A5F"/>
    <w:rsid w:val="007B2AEB"/>
    <w:rsid w:val="007B2AF3"/>
    <w:rsid w:val="007B2C79"/>
    <w:rsid w:val="007B2DE2"/>
    <w:rsid w:val="007B2E24"/>
    <w:rsid w:val="007B2E36"/>
    <w:rsid w:val="007B2F28"/>
    <w:rsid w:val="007B2F30"/>
    <w:rsid w:val="007B2F5E"/>
    <w:rsid w:val="007B2F61"/>
    <w:rsid w:val="007B2FA9"/>
    <w:rsid w:val="007B2FC5"/>
    <w:rsid w:val="007B2FD0"/>
    <w:rsid w:val="007B2FF4"/>
    <w:rsid w:val="007B3000"/>
    <w:rsid w:val="007B30A6"/>
    <w:rsid w:val="007B30D6"/>
    <w:rsid w:val="007B311B"/>
    <w:rsid w:val="007B3189"/>
    <w:rsid w:val="007B31F9"/>
    <w:rsid w:val="007B31FF"/>
    <w:rsid w:val="007B329F"/>
    <w:rsid w:val="007B32CB"/>
    <w:rsid w:val="007B32DF"/>
    <w:rsid w:val="007B3308"/>
    <w:rsid w:val="007B335B"/>
    <w:rsid w:val="007B3384"/>
    <w:rsid w:val="007B33FA"/>
    <w:rsid w:val="007B3433"/>
    <w:rsid w:val="007B34B7"/>
    <w:rsid w:val="007B3500"/>
    <w:rsid w:val="007B3589"/>
    <w:rsid w:val="007B3590"/>
    <w:rsid w:val="007B35DE"/>
    <w:rsid w:val="007B3650"/>
    <w:rsid w:val="007B36A3"/>
    <w:rsid w:val="007B36B2"/>
    <w:rsid w:val="007B3709"/>
    <w:rsid w:val="007B377B"/>
    <w:rsid w:val="007B37D1"/>
    <w:rsid w:val="007B37DE"/>
    <w:rsid w:val="007B3811"/>
    <w:rsid w:val="007B38D3"/>
    <w:rsid w:val="007B3965"/>
    <w:rsid w:val="007B39CA"/>
    <w:rsid w:val="007B3A07"/>
    <w:rsid w:val="007B3AA3"/>
    <w:rsid w:val="007B3AAF"/>
    <w:rsid w:val="007B3B5F"/>
    <w:rsid w:val="007B3BA9"/>
    <w:rsid w:val="007B3BCD"/>
    <w:rsid w:val="007B3C22"/>
    <w:rsid w:val="007B3C73"/>
    <w:rsid w:val="007B3C84"/>
    <w:rsid w:val="007B3CC6"/>
    <w:rsid w:val="007B3CC8"/>
    <w:rsid w:val="007B3DE0"/>
    <w:rsid w:val="007B4045"/>
    <w:rsid w:val="007B40AE"/>
    <w:rsid w:val="007B40B0"/>
    <w:rsid w:val="007B411C"/>
    <w:rsid w:val="007B4193"/>
    <w:rsid w:val="007B4202"/>
    <w:rsid w:val="007B4238"/>
    <w:rsid w:val="007B4306"/>
    <w:rsid w:val="007B4337"/>
    <w:rsid w:val="007B435B"/>
    <w:rsid w:val="007B4384"/>
    <w:rsid w:val="007B4397"/>
    <w:rsid w:val="007B43B1"/>
    <w:rsid w:val="007B43FB"/>
    <w:rsid w:val="007B4436"/>
    <w:rsid w:val="007B4488"/>
    <w:rsid w:val="007B44C4"/>
    <w:rsid w:val="007B4540"/>
    <w:rsid w:val="007B4578"/>
    <w:rsid w:val="007B45D0"/>
    <w:rsid w:val="007B460B"/>
    <w:rsid w:val="007B4635"/>
    <w:rsid w:val="007B4674"/>
    <w:rsid w:val="007B4716"/>
    <w:rsid w:val="007B48B2"/>
    <w:rsid w:val="007B4981"/>
    <w:rsid w:val="007B49B9"/>
    <w:rsid w:val="007B49BA"/>
    <w:rsid w:val="007B4A0E"/>
    <w:rsid w:val="007B4A48"/>
    <w:rsid w:val="007B4B1C"/>
    <w:rsid w:val="007B4C35"/>
    <w:rsid w:val="007B4C3D"/>
    <w:rsid w:val="007B4C85"/>
    <w:rsid w:val="007B4C99"/>
    <w:rsid w:val="007B4C9A"/>
    <w:rsid w:val="007B4C9E"/>
    <w:rsid w:val="007B4D13"/>
    <w:rsid w:val="007B4D1D"/>
    <w:rsid w:val="007B4D4A"/>
    <w:rsid w:val="007B4D8D"/>
    <w:rsid w:val="007B4D92"/>
    <w:rsid w:val="007B4D9F"/>
    <w:rsid w:val="007B4DC3"/>
    <w:rsid w:val="007B4DD1"/>
    <w:rsid w:val="007B4DEB"/>
    <w:rsid w:val="007B4DF3"/>
    <w:rsid w:val="007B4E35"/>
    <w:rsid w:val="007B4FC2"/>
    <w:rsid w:val="007B5016"/>
    <w:rsid w:val="007B50B7"/>
    <w:rsid w:val="007B50E3"/>
    <w:rsid w:val="007B5103"/>
    <w:rsid w:val="007B5197"/>
    <w:rsid w:val="007B523B"/>
    <w:rsid w:val="007B5247"/>
    <w:rsid w:val="007B527D"/>
    <w:rsid w:val="007B52A1"/>
    <w:rsid w:val="007B52B4"/>
    <w:rsid w:val="007B5336"/>
    <w:rsid w:val="007B53A3"/>
    <w:rsid w:val="007B53B0"/>
    <w:rsid w:val="007B53F5"/>
    <w:rsid w:val="007B54A5"/>
    <w:rsid w:val="007B54C9"/>
    <w:rsid w:val="007B54F4"/>
    <w:rsid w:val="007B5572"/>
    <w:rsid w:val="007B557A"/>
    <w:rsid w:val="007B557F"/>
    <w:rsid w:val="007B55D9"/>
    <w:rsid w:val="007B561D"/>
    <w:rsid w:val="007B5650"/>
    <w:rsid w:val="007B5651"/>
    <w:rsid w:val="007B565B"/>
    <w:rsid w:val="007B56FE"/>
    <w:rsid w:val="007B56FF"/>
    <w:rsid w:val="007B5724"/>
    <w:rsid w:val="007B5739"/>
    <w:rsid w:val="007B57E8"/>
    <w:rsid w:val="007B5803"/>
    <w:rsid w:val="007B58AA"/>
    <w:rsid w:val="007B58B0"/>
    <w:rsid w:val="007B591A"/>
    <w:rsid w:val="007B596F"/>
    <w:rsid w:val="007B598C"/>
    <w:rsid w:val="007B59B6"/>
    <w:rsid w:val="007B59C2"/>
    <w:rsid w:val="007B59FB"/>
    <w:rsid w:val="007B5A62"/>
    <w:rsid w:val="007B5A71"/>
    <w:rsid w:val="007B5A9F"/>
    <w:rsid w:val="007B5AE4"/>
    <w:rsid w:val="007B5B16"/>
    <w:rsid w:val="007B5B31"/>
    <w:rsid w:val="007B5B90"/>
    <w:rsid w:val="007B5BF2"/>
    <w:rsid w:val="007B5C27"/>
    <w:rsid w:val="007B5C75"/>
    <w:rsid w:val="007B5CAC"/>
    <w:rsid w:val="007B5CE0"/>
    <w:rsid w:val="007B5D59"/>
    <w:rsid w:val="007B5D83"/>
    <w:rsid w:val="007B5E0A"/>
    <w:rsid w:val="007B5E13"/>
    <w:rsid w:val="007B5E86"/>
    <w:rsid w:val="007B5F2D"/>
    <w:rsid w:val="007B6005"/>
    <w:rsid w:val="007B6028"/>
    <w:rsid w:val="007B60BB"/>
    <w:rsid w:val="007B612D"/>
    <w:rsid w:val="007B6196"/>
    <w:rsid w:val="007B622B"/>
    <w:rsid w:val="007B6235"/>
    <w:rsid w:val="007B625E"/>
    <w:rsid w:val="007B6272"/>
    <w:rsid w:val="007B6340"/>
    <w:rsid w:val="007B635C"/>
    <w:rsid w:val="007B6418"/>
    <w:rsid w:val="007B644E"/>
    <w:rsid w:val="007B64B9"/>
    <w:rsid w:val="007B64E9"/>
    <w:rsid w:val="007B6536"/>
    <w:rsid w:val="007B6544"/>
    <w:rsid w:val="007B6546"/>
    <w:rsid w:val="007B658C"/>
    <w:rsid w:val="007B65AE"/>
    <w:rsid w:val="007B65B3"/>
    <w:rsid w:val="007B65D8"/>
    <w:rsid w:val="007B6647"/>
    <w:rsid w:val="007B668E"/>
    <w:rsid w:val="007B66CE"/>
    <w:rsid w:val="007B66E9"/>
    <w:rsid w:val="007B6717"/>
    <w:rsid w:val="007B67DB"/>
    <w:rsid w:val="007B67DC"/>
    <w:rsid w:val="007B6815"/>
    <w:rsid w:val="007B6824"/>
    <w:rsid w:val="007B6851"/>
    <w:rsid w:val="007B6905"/>
    <w:rsid w:val="007B6942"/>
    <w:rsid w:val="007B6996"/>
    <w:rsid w:val="007B6997"/>
    <w:rsid w:val="007B69ED"/>
    <w:rsid w:val="007B6AA7"/>
    <w:rsid w:val="007B6AAF"/>
    <w:rsid w:val="007B6AC4"/>
    <w:rsid w:val="007B6AF1"/>
    <w:rsid w:val="007B6B20"/>
    <w:rsid w:val="007B6B9A"/>
    <w:rsid w:val="007B6BF2"/>
    <w:rsid w:val="007B6C6B"/>
    <w:rsid w:val="007B6CE0"/>
    <w:rsid w:val="007B6D16"/>
    <w:rsid w:val="007B6D6C"/>
    <w:rsid w:val="007B6D8B"/>
    <w:rsid w:val="007B6F68"/>
    <w:rsid w:val="007B6FC1"/>
    <w:rsid w:val="007B705E"/>
    <w:rsid w:val="007B708D"/>
    <w:rsid w:val="007B714C"/>
    <w:rsid w:val="007B7194"/>
    <w:rsid w:val="007B71B3"/>
    <w:rsid w:val="007B7221"/>
    <w:rsid w:val="007B723B"/>
    <w:rsid w:val="007B72FE"/>
    <w:rsid w:val="007B7337"/>
    <w:rsid w:val="007B735B"/>
    <w:rsid w:val="007B7365"/>
    <w:rsid w:val="007B736F"/>
    <w:rsid w:val="007B73A2"/>
    <w:rsid w:val="007B73B1"/>
    <w:rsid w:val="007B73BA"/>
    <w:rsid w:val="007B73C0"/>
    <w:rsid w:val="007B73C6"/>
    <w:rsid w:val="007B73FA"/>
    <w:rsid w:val="007B749C"/>
    <w:rsid w:val="007B74F6"/>
    <w:rsid w:val="007B752F"/>
    <w:rsid w:val="007B7563"/>
    <w:rsid w:val="007B7577"/>
    <w:rsid w:val="007B758C"/>
    <w:rsid w:val="007B75A0"/>
    <w:rsid w:val="007B764E"/>
    <w:rsid w:val="007B765F"/>
    <w:rsid w:val="007B76BF"/>
    <w:rsid w:val="007B7750"/>
    <w:rsid w:val="007B7780"/>
    <w:rsid w:val="007B7781"/>
    <w:rsid w:val="007B778B"/>
    <w:rsid w:val="007B77A0"/>
    <w:rsid w:val="007B7849"/>
    <w:rsid w:val="007B788E"/>
    <w:rsid w:val="007B78DC"/>
    <w:rsid w:val="007B791B"/>
    <w:rsid w:val="007B7984"/>
    <w:rsid w:val="007B79C3"/>
    <w:rsid w:val="007B79EA"/>
    <w:rsid w:val="007B7A1C"/>
    <w:rsid w:val="007B7A45"/>
    <w:rsid w:val="007B7A56"/>
    <w:rsid w:val="007B7ACF"/>
    <w:rsid w:val="007B7B0E"/>
    <w:rsid w:val="007B7BD1"/>
    <w:rsid w:val="007B7C04"/>
    <w:rsid w:val="007B7C5F"/>
    <w:rsid w:val="007B7C96"/>
    <w:rsid w:val="007B7D00"/>
    <w:rsid w:val="007B7D7F"/>
    <w:rsid w:val="007B7D85"/>
    <w:rsid w:val="007B7F27"/>
    <w:rsid w:val="007C002C"/>
    <w:rsid w:val="007C0071"/>
    <w:rsid w:val="007C00EC"/>
    <w:rsid w:val="007C0156"/>
    <w:rsid w:val="007C01DE"/>
    <w:rsid w:val="007C0251"/>
    <w:rsid w:val="007C025B"/>
    <w:rsid w:val="007C0261"/>
    <w:rsid w:val="007C02A4"/>
    <w:rsid w:val="007C02A6"/>
    <w:rsid w:val="007C02B6"/>
    <w:rsid w:val="007C0338"/>
    <w:rsid w:val="007C0353"/>
    <w:rsid w:val="007C036F"/>
    <w:rsid w:val="007C038B"/>
    <w:rsid w:val="007C03C0"/>
    <w:rsid w:val="007C03F7"/>
    <w:rsid w:val="007C03FA"/>
    <w:rsid w:val="007C0412"/>
    <w:rsid w:val="007C042D"/>
    <w:rsid w:val="007C043C"/>
    <w:rsid w:val="007C04E3"/>
    <w:rsid w:val="007C054E"/>
    <w:rsid w:val="007C069D"/>
    <w:rsid w:val="007C06D4"/>
    <w:rsid w:val="007C06DB"/>
    <w:rsid w:val="007C0747"/>
    <w:rsid w:val="007C075B"/>
    <w:rsid w:val="007C078F"/>
    <w:rsid w:val="007C0799"/>
    <w:rsid w:val="007C0800"/>
    <w:rsid w:val="007C0913"/>
    <w:rsid w:val="007C0919"/>
    <w:rsid w:val="007C095D"/>
    <w:rsid w:val="007C0967"/>
    <w:rsid w:val="007C0995"/>
    <w:rsid w:val="007C09A9"/>
    <w:rsid w:val="007C09B9"/>
    <w:rsid w:val="007C0A1D"/>
    <w:rsid w:val="007C0AFB"/>
    <w:rsid w:val="007C0B14"/>
    <w:rsid w:val="007C0B1E"/>
    <w:rsid w:val="007C0B70"/>
    <w:rsid w:val="007C0BD6"/>
    <w:rsid w:val="007C0BEF"/>
    <w:rsid w:val="007C0BF7"/>
    <w:rsid w:val="007C0C78"/>
    <w:rsid w:val="007C0D5B"/>
    <w:rsid w:val="007C0DBE"/>
    <w:rsid w:val="007C0DE5"/>
    <w:rsid w:val="007C0DF6"/>
    <w:rsid w:val="007C0E7D"/>
    <w:rsid w:val="007C0EB9"/>
    <w:rsid w:val="007C0F70"/>
    <w:rsid w:val="007C0FD8"/>
    <w:rsid w:val="007C1113"/>
    <w:rsid w:val="007C115B"/>
    <w:rsid w:val="007C11CC"/>
    <w:rsid w:val="007C11FB"/>
    <w:rsid w:val="007C1230"/>
    <w:rsid w:val="007C1266"/>
    <w:rsid w:val="007C12DC"/>
    <w:rsid w:val="007C131B"/>
    <w:rsid w:val="007C1327"/>
    <w:rsid w:val="007C1346"/>
    <w:rsid w:val="007C1352"/>
    <w:rsid w:val="007C1380"/>
    <w:rsid w:val="007C13FA"/>
    <w:rsid w:val="007C1421"/>
    <w:rsid w:val="007C1423"/>
    <w:rsid w:val="007C1447"/>
    <w:rsid w:val="007C144E"/>
    <w:rsid w:val="007C14BF"/>
    <w:rsid w:val="007C14E0"/>
    <w:rsid w:val="007C14EF"/>
    <w:rsid w:val="007C1505"/>
    <w:rsid w:val="007C1514"/>
    <w:rsid w:val="007C1548"/>
    <w:rsid w:val="007C15DF"/>
    <w:rsid w:val="007C1645"/>
    <w:rsid w:val="007C171E"/>
    <w:rsid w:val="007C1770"/>
    <w:rsid w:val="007C186A"/>
    <w:rsid w:val="007C18AD"/>
    <w:rsid w:val="007C18D8"/>
    <w:rsid w:val="007C1B1D"/>
    <w:rsid w:val="007C1B9C"/>
    <w:rsid w:val="007C1BF8"/>
    <w:rsid w:val="007C1C85"/>
    <w:rsid w:val="007C1D0B"/>
    <w:rsid w:val="007C1D44"/>
    <w:rsid w:val="007C1D5E"/>
    <w:rsid w:val="007C1DFE"/>
    <w:rsid w:val="007C1EF8"/>
    <w:rsid w:val="007C1F79"/>
    <w:rsid w:val="007C1FCB"/>
    <w:rsid w:val="007C1FCD"/>
    <w:rsid w:val="007C1FF1"/>
    <w:rsid w:val="007C2057"/>
    <w:rsid w:val="007C207D"/>
    <w:rsid w:val="007C210F"/>
    <w:rsid w:val="007C213A"/>
    <w:rsid w:val="007C213F"/>
    <w:rsid w:val="007C21A2"/>
    <w:rsid w:val="007C220B"/>
    <w:rsid w:val="007C2244"/>
    <w:rsid w:val="007C2282"/>
    <w:rsid w:val="007C2298"/>
    <w:rsid w:val="007C233C"/>
    <w:rsid w:val="007C237C"/>
    <w:rsid w:val="007C23ED"/>
    <w:rsid w:val="007C23EE"/>
    <w:rsid w:val="007C245B"/>
    <w:rsid w:val="007C250A"/>
    <w:rsid w:val="007C2522"/>
    <w:rsid w:val="007C253F"/>
    <w:rsid w:val="007C263F"/>
    <w:rsid w:val="007C2644"/>
    <w:rsid w:val="007C26E2"/>
    <w:rsid w:val="007C279A"/>
    <w:rsid w:val="007C27E2"/>
    <w:rsid w:val="007C2845"/>
    <w:rsid w:val="007C28A6"/>
    <w:rsid w:val="007C2962"/>
    <w:rsid w:val="007C2B19"/>
    <w:rsid w:val="007C2B79"/>
    <w:rsid w:val="007C2C05"/>
    <w:rsid w:val="007C2CB9"/>
    <w:rsid w:val="007C2CC3"/>
    <w:rsid w:val="007C2CDA"/>
    <w:rsid w:val="007C2CE9"/>
    <w:rsid w:val="007C2D3D"/>
    <w:rsid w:val="007C2D69"/>
    <w:rsid w:val="007C2DED"/>
    <w:rsid w:val="007C2E1D"/>
    <w:rsid w:val="007C2E51"/>
    <w:rsid w:val="007C2F56"/>
    <w:rsid w:val="007C3004"/>
    <w:rsid w:val="007C3050"/>
    <w:rsid w:val="007C30F6"/>
    <w:rsid w:val="007C3108"/>
    <w:rsid w:val="007C311E"/>
    <w:rsid w:val="007C3121"/>
    <w:rsid w:val="007C31DA"/>
    <w:rsid w:val="007C31EC"/>
    <w:rsid w:val="007C3224"/>
    <w:rsid w:val="007C3236"/>
    <w:rsid w:val="007C3249"/>
    <w:rsid w:val="007C325B"/>
    <w:rsid w:val="007C3305"/>
    <w:rsid w:val="007C332E"/>
    <w:rsid w:val="007C333B"/>
    <w:rsid w:val="007C334F"/>
    <w:rsid w:val="007C33AB"/>
    <w:rsid w:val="007C33BF"/>
    <w:rsid w:val="007C3458"/>
    <w:rsid w:val="007C3464"/>
    <w:rsid w:val="007C3486"/>
    <w:rsid w:val="007C34CB"/>
    <w:rsid w:val="007C34EA"/>
    <w:rsid w:val="007C3586"/>
    <w:rsid w:val="007C359E"/>
    <w:rsid w:val="007C35C7"/>
    <w:rsid w:val="007C35F2"/>
    <w:rsid w:val="007C3693"/>
    <w:rsid w:val="007C3704"/>
    <w:rsid w:val="007C3800"/>
    <w:rsid w:val="007C381E"/>
    <w:rsid w:val="007C3903"/>
    <w:rsid w:val="007C3955"/>
    <w:rsid w:val="007C3983"/>
    <w:rsid w:val="007C399B"/>
    <w:rsid w:val="007C39B2"/>
    <w:rsid w:val="007C39F3"/>
    <w:rsid w:val="007C3A50"/>
    <w:rsid w:val="007C3AA1"/>
    <w:rsid w:val="007C3AB3"/>
    <w:rsid w:val="007C3ABB"/>
    <w:rsid w:val="007C3AE1"/>
    <w:rsid w:val="007C3B78"/>
    <w:rsid w:val="007C3BB0"/>
    <w:rsid w:val="007C3BCE"/>
    <w:rsid w:val="007C3C1F"/>
    <w:rsid w:val="007C3D3C"/>
    <w:rsid w:val="007C3DAA"/>
    <w:rsid w:val="007C3DD9"/>
    <w:rsid w:val="007C3FAF"/>
    <w:rsid w:val="007C3FCB"/>
    <w:rsid w:val="007C3FE8"/>
    <w:rsid w:val="007C4067"/>
    <w:rsid w:val="007C4077"/>
    <w:rsid w:val="007C409B"/>
    <w:rsid w:val="007C411A"/>
    <w:rsid w:val="007C4151"/>
    <w:rsid w:val="007C4153"/>
    <w:rsid w:val="007C4172"/>
    <w:rsid w:val="007C4193"/>
    <w:rsid w:val="007C41DC"/>
    <w:rsid w:val="007C4236"/>
    <w:rsid w:val="007C42F2"/>
    <w:rsid w:val="007C4337"/>
    <w:rsid w:val="007C444D"/>
    <w:rsid w:val="007C44C6"/>
    <w:rsid w:val="007C4501"/>
    <w:rsid w:val="007C453A"/>
    <w:rsid w:val="007C45DD"/>
    <w:rsid w:val="007C45F7"/>
    <w:rsid w:val="007C4693"/>
    <w:rsid w:val="007C4724"/>
    <w:rsid w:val="007C4800"/>
    <w:rsid w:val="007C4803"/>
    <w:rsid w:val="007C480D"/>
    <w:rsid w:val="007C48CB"/>
    <w:rsid w:val="007C48E5"/>
    <w:rsid w:val="007C491F"/>
    <w:rsid w:val="007C4930"/>
    <w:rsid w:val="007C4967"/>
    <w:rsid w:val="007C4973"/>
    <w:rsid w:val="007C4980"/>
    <w:rsid w:val="007C498C"/>
    <w:rsid w:val="007C49F6"/>
    <w:rsid w:val="007C49F9"/>
    <w:rsid w:val="007C4A25"/>
    <w:rsid w:val="007C4A5A"/>
    <w:rsid w:val="007C4A62"/>
    <w:rsid w:val="007C4A66"/>
    <w:rsid w:val="007C4A90"/>
    <w:rsid w:val="007C4BE6"/>
    <w:rsid w:val="007C4C68"/>
    <w:rsid w:val="007C4CE0"/>
    <w:rsid w:val="007C4CEF"/>
    <w:rsid w:val="007C4D70"/>
    <w:rsid w:val="007C4E11"/>
    <w:rsid w:val="007C4E46"/>
    <w:rsid w:val="007C4E8E"/>
    <w:rsid w:val="007C4EC1"/>
    <w:rsid w:val="007C4EEE"/>
    <w:rsid w:val="007C4F52"/>
    <w:rsid w:val="007C4F76"/>
    <w:rsid w:val="007C4F77"/>
    <w:rsid w:val="007C5002"/>
    <w:rsid w:val="007C5165"/>
    <w:rsid w:val="007C5196"/>
    <w:rsid w:val="007C51F5"/>
    <w:rsid w:val="007C5238"/>
    <w:rsid w:val="007C5258"/>
    <w:rsid w:val="007C52CF"/>
    <w:rsid w:val="007C531B"/>
    <w:rsid w:val="007C53C4"/>
    <w:rsid w:val="007C5412"/>
    <w:rsid w:val="007C5565"/>
    <w:rsid w:val="007C55B8"/>
    <w:rsid w:val="007C5623"/>
    <w:rsid w:val="007C5660"/>
    <w:rsid w:val="007C5721"/>
    <w:rsid w:val="007C5769"/>
    <w:rsid w:val="007C5924"/>
    <w:rsid w:val="007C59B0"/>
    <w:rsid w:val="007C5A0D"/>
    <w:rsid w:val="007C5A13"/>
    <w:rsid w:val="007C5A28"/>
    <w:rsid w:val="007C5A47"/>
    <w:rsid w:val="007C5AD4"/>
    <w:rsid w:val="007C5B0B"/>
    <w:rsid w:val="007C5B2D"/>
    <w:rsid w:val="007C5B7C"/>
    <w:rsid w:val="007C5BC2"/>
    <w:rsid w:val="007C5C2A"/>
    <w:rsid w:val="007C5C8E"/>
    <w:rsid w:val="007C5D16"/>
    <w:rsid w:val="007C5E2B"/>
    <w:rsid w:val="007C5EB4"/>
    <w:rsid w:val="007C5FAD"/>
    <w:rsid w:val="007C5FAF"/>
    <w:rsid w:val="007C6050"/>
    <w:rsid w:val="007C6053"/>
    <w:rsid w:val="007C6106"/>
    <w:rsid w:val="007C6133"/>
    <w:rsid w:val="007C6187"/>
    <w:rsid w:val="007C61B9"/>
    <w:rsid w:val="007C6204"/>
    <w:rsid w:val="007C6241"/>
    <w:rsid w:val="007C6461"/>
    <w:rsid w:val="007C6483"/>
    <w:rsid w:val="007C64E1"/>
    <w:rsid w:val="007C6502"/>
    <w:rsid w:val="007C65CA"/>
    <w:rsid w:val="007C6600"/>
    <w:rsid w:val="007C660B"/>
    <w:rsid w:val="007C6635"/>
    <w:rsid w:val="007C6643"/>
    <w:rsid w:val="007C6691"/>
    <w:rsid w:val="007C669E"/>
    <w:rsid w:val="007C66B9"/>
    <w:rsid w:val="007C67C1"/>
    <w:rsid w:val="007C6819"/>
    <w:rsid w:val="007C6859"/>
    <w:rsid w:val="007C68F6"/>
    <w:rsid w:val="007C690B"/>
    <w:rsid w:val="007C69E4"/>
    <w:rsid w:val="007C6A03"/>
    <w:rsid w:val="007C6A07"/>
    <w:rsid w:val="007C6A0E"/>
    <w:rsid w:val="007C6A42"/>
    <w:rsid w:val="007C6A79"/>
    <w:rsid w:val="007C6AC6"/>
    <w:rsid w:val="007C6AD7"/>
    <w:rsid w:val="007C6AED"/>
    <w:rsid w:val="007C6BAA"/>
    <w:rsid w:val="007C6BC7"/>
    <w:rsid w:val="007C6C3A"/>
    <w:rsid w:val="007C6C4D"/>
    <w:rsid w:val="007C6C4E"/>
    <w:rsid w:val="007C6CC1"/>
    <w:rsid w:val="007C6CD4"/>
    <w:rsid w:val="007C6CDB"/>
    <w:rsid w:val="007C6CE4"/>
    <w:rsid w:val="007C6D03"/>
    <w:rsid w:val="007C6DED"/>
    <w:rsid w:val="007C6E2C"/>
    <w:rsid w:val="007C6E72"/>
    <w:rsid w:val="007C6EDF"/>
    <w:rsid w:val="007C6F4C"/>
    <w:rsid w:val="007C6FC8"/>
    <w:rsid w:val="007C6FE4"/>
    <w:rsid w:val="007C70BC"/>
    <w:rsid w:val="007C70C4"/>
    <w:rsid w:val="007C70D8"/>
    <w:rsid w:val="007C7135"/>
    <w:rsid w:val="007C719A"/>
    <w:rsid w:val="007C71C7"/>
    <w:rsid w:val="007C7249"/>
    <w:rsid w:val="007C7275"/>
    <w:rsid w:val="007C7382"/>
    <w:rsid w:val="007C7383"/>
    <w:rsid w:val="007C73A9"/>
    <w:rsid w:val="007C756A"/>
    <w:rsid w:val="007C7641"/>
    <w:rsid w:val="007C768C"/>
    <w:rsid w:val="007C76DA"/>
    <w:rsid w:val="007C76E0"/>
    <w:rsid w:val="007C774E"/>
    <w:rsid w:val="007C790B"/>
    <w:rsid w:val="007C793E"/>
    <w:rsid w:val="007C7956"/>
    <w:rsid w:val="007C7B57"/>
    <w:rsid w:val="007C7B6B"/>
    <w:rsid w:val="007C7B8E"/>
    <w:rsid w:val="007C7BCC"/>
    <w:rsid w:val="007C7C1F"/>
    <w:rsid w:val="007C7D06"/>
    <w:rsid w:val="007C7D17"/>
    <w:rsid w:val="007C7E9A"/>
    <w:rsid w:val="007C7EBB"/>
    <w:rsid w:val="007C7FA3"/>
    <w:rsid w:val="007D000C"/>
    <w:rsid w:val="007D0062"/>
    <w:rsid w:val="007D0072"/>
    <w:rsid w:val="007D00D4"/>
    <w:rsid w:val="007D00F4"/>
    <w:rsid w:val="007D01DE"/>
    <w:rsid w:val="007D01DF"/>
    <w:rsid w:val="007D0354"/>
    <w:rsid w:val="007D0364"/>
    <w:rsid w:val="007D03DA"/>
    <w:rsid w:val="007D03E5"/>
    <w:rsid w:val="007D0417"/>
    <w:rsid w:val="007D04EC"/>
    <w:rsid w:val="007D04F6"/>
    <w:rsid w:val="007D0553"/>
    <w:rsid w:val="007D0588"/>
    <w:rsid w:val="007D05B8"/>
    <w:rsid w:val="007D05EA"/>
    <w:rsid w:val="007D0704"/>
    <w:rsid w:val="007D071E"/>
    <w:rsid w:val="007D081C"/>
    <w:rsid w:val="007D0863"/>
    <w:rsid w:val="007D08EA"/>
    <w:rsid w:val="007D093B"/>
    <w:rsid w:val="007D09DA"/>
    <w:rsid w:val="007D09F2"/>
    <w:rsid w:val="007D0A6D"/>
    <w:rsid w:val="007D0A7C"/>
    <w:rsid w:val="007D0A93"/>
    <w:rsid w:val="007D0AAA"/>
    <w:rsid w:val="007D0ABE"/>
    <w:rsid w:val="007D0AD0"/>
    <w:rsid w:val="007D0B37"/>
    <w:rsid w:val="007D0B67"/>
    <w:rsid w:val="007D0D6D"/>
    <w:rsid w:val="007D0DB5"/>
    <w:rsid w:val="007D0E0F"/>
    <w:rsid w:val="007D0E17"/>
    <w:rsid w:val="007D0E7D"/>
    <w:rsid w:val="007D0E82"/>
    <w:rsid w:val="007D0E8D"/>
    <w:rsid w:val="007D0EDE"/>
    <w:rsid w:val="007D0F70"/>
    <w:rsid w:val="007D0FA2"/>
    <w:rsid w:val="007D0FAE"/>
    <w:rsid w:val="007D100F"/>
    <w:rsid w:val="007D101F"/>
    <w:rsid w:val="007D1043"/>
    <w:rsid w:val="007D1132"/>
    <w:rsid w:val="007D1169"/>
    <w:rsid w:val="007D11DB"/>
    <w:rsid w:val="007D11E2"/>
    <w:rsid w:val="007D1247"/>
    <w:rsid w:val="007D124D"/>
    <w:rsid w:val="007D1258"/>
    <w:rsid w:val="007D127F"/>
    <w:rsid w:val="007D1293"/>
    <w:rsid w:val="007D133C"/>
    <w:rsid w:val="007D1404"/>
    <w:rsid w:val="007D143D"/>
    <w:rsid w:val="007D147C"/>
    <w:rsid w:val="007D14E5"/>
    <w:rsid w:val="007D14F1"/>
    <w:rsid w:val="007D1525"/>
    <w:rsid w:val="007D15C0"/>
    <w:rsid w:val="007D1671"/>
    <w:rsid w:val="007D167B"/>
    <w:rsid w:val="007D172B"/>
    <w:rsid w:val="007D17B3"/>
    <w:rsid w:val="007D17E2"/>
    <w:rsid w:val="007D1815"/>
    <w:rsid w:val="007D1859"/>
    <w:rsid w:val="007D192F"/>
    <w:rsid w:val="007D196A"/>
    <w:rsid w:val="007D19AD"/>
    <w:rsid w:val="007D19D7"/>
    <w:rsid w:val="007D19EE"/>
    <w:rsid w:val="007D1ABD"/>
    <w:rsid w:val="007D1AC0"/>
    <w:rsid w:val="007D1B0E"/>
    <w:rsid w:val="007D1C41"/>
    <w:rsid w:val="007D1CD6"/>
    <w:rsid w:val="007D1CEE"/>
    <w:rsid w:val="007D1D0C"/>
    <w:rsid w:val="007D1D10"/>
    <w:rsid w:val="007D1DBF"/>
    <w:rsid w:val="007D1DC7"/>
    <w:rsid w:val="007D1E03"/>
    <w:rsid w:val="007D1E0F"/>
    <w:rsid w:val="007D1EDA"/>
    <w:rsid w:val="007D1F19"/>
    <w:rsid w:val="007D1FA9"/>
    <w:rsid w:val="007D1FAE"/>
    <w:rsid w:val="007D1FFB"/>
    <w:rsid w:val="007D2033"/>
    <w:rsid w:val="007D2066"/>
    <w:rsid w:val="007D20AE"/>
    <w:rsid w:val="007D211E"/>
    <w:rsid w:val="007D21A5"/>
    <w:rsid w:val="007D21D8"/>
    <w:rsid w:val="007D22E8"/>
    <w:rsid w:val="007D22F9"/>
    <w:rsid w:val="007D232F"/>
    <w:rsid w:val="007D23B7"/>
    <w:rsid w:val="007D2463"/>
    <w:rsid w:val="007D2482"/>
    <w:rsid w:val="007D24F5"/>
    <w:rsid w:val="007D2512"/>
    <w:rsid w:val="007D2525"/>
    <w:rsid w:val="007D2591"/>
    <w:rsid w:val="007D25CD"/>
    <w:rsid w:val="007D264F"/>
    <w:rsid w:val="007D2654"/>
    <w:rsid w:val="007D266D"/>
    <w:rsid w:val="007D2676"/>
    <w:rsid w:val="007D26F1"/>
    <w:rsid w:val="007D2701"/>
    <w:rsid w:val="007D272C"/>
    <w:rsid w:val="007D2798"/>
    <w:rsid w:val="007D2819"/>
    <w:rsid w:val="007D2838"/>
    <w:rsid w:val="007D2861"/>
    <w:rsid w:val="007D28BD"/>
    <w:rsid w:val="007D28C5"/>
    <w:rsid w:val="007D28D6"/>
    <w:rsid w:val="007D295A"/>
    <w:rsid w:val="007D299C"/>
    <w:rsid w:val="007D29B5"/>
    <w:rsid w:val="007D29B6"/>
    <w:rsid w:val="007D29C6"/>
    <w:rsid w:val="007D29F9"/>
    <w:rsid w:val="007D2A50"/>
    <w:rsid w:val="007D2AB2"/>
    <w:rsid w:val="007D2B17"/>
    <w:rsid w:val="007D2B4E"/>
    <w:rsid w:val="007D2BDA"/>
    <w:rsid w:val="007D2BDF"/>
    <w:rsid w:val="007D2C6C"/>
    <w:rsid w:val="007D2CDA"/>
    <w:rsid w:val="007D2CFD"/>
    <w:rsid w:val="007D2D76"/>
    <w:rsid w:val="007D2DE8"/>
    <w:rsid w:val="007D2DFF"/>
    <w:rsid w:val="007D2E44"/>
    <w:rsid w:val="007D2E4E"/>
    <w:rsid w:val="007D2E4F"/>
    <w:rsid w:val="007D2E69"/>
    <w:rsid w:val="007D2E6B"/>
    <w:rsid w:val="007D2ECD"/>
    <w:rsid w:val="007D2F21"/>
    <w:rsid w:val="007D2F79"/>
    <w:rsid w:val="007D2F9B"/>
    <w:rsid w:val="007D2FD3"/>
    <w:rsid w:val="007D306D"/>
    <w:rsid w:val="007D308F"/>
    <w:rsid w:val="007D309F"/>
    <w:rsid w:val="007D310D"/>
    <w:rsid w:val="007D321F"/>
    <w:rsid w:val="007D3246"/>
    <w:rsid w:val="007D3288"/>
    <w:rsid w:val="007D32A3"/>
    <w:rsid w:val="007D32CB"/>
    <w:rsid w:val="007D32D0"/>
    <w:rsid w:val="007D32EC"/>
    <w:rsid w:val="007D33B5"/>
    <w:rsid w:val="007D33C7"/>
    <w:rsid w:val="007D3438"/>
    <w:rsid w:val="007D34AA"/>
    <w:rsid w:val="007D34D5"/>
    <w:rsid w:val="007D358D"/>
    <w:rsid w:val="007D362F"/>
    <w:rsid w:val="007D367C"/>
    <w:rsid w:val="007D36B3"/>
    <w:rsid w:val="007D3725"/>
    <w:rsid w:val="007D3754"/>
    <w:rsid w:val="007D3755"/>
    <w:rsid w:val="007D37C1"/>
    <w:rsid w:val="007D3826"/>
    <w:rsid w:val="007D38BA"/>
    <w:rsid w:val="007D3986"/>
    <w:rsid w:val="007D3A10"/>
    <w:rsid w:val="007D3AC1"/>
    <w:rsid w:val="007D3B8E"/>
    <w:rsid w:val="007D3BB7"/>
    <w:rsid w:val="007D3BB8"/>
    <w:rsid w:val="007D3C12"/>
    <w:rsid w:val="007D3C42"/>
    <w:rsid w:val="007D3C56"/>
    <w:rsid w:val="007D3C76"/>
    <w:rsid w:val="007D3CE1"/>
    <w:rsid w:val="007D3D58"/>
    <w:rsid w:val="007D3D6A"/>
    <w:rsid w:val="007D3DA6"/>
    <w:rsid w:val="007D3E63"/>
    <w:rsid w:val="007D3E68"/>
    <w:rsid w:val="007D3E94"/>
    <w:rsid w:val="007D3EAF"/>
    <w:rsid w:val="007D3F13"/>
    <w:rsid w:val="007D3F6C"/>
    <w:rsid w:val="007D3F92"/>
    <w:rsid w:val="007D40C9"/>
    <w:rsid w:val="007D412B"/>
    <w:rsid w:val="007D4151"/>
    <w:rsid w:val="007D4185"/>
    <w:rsid w:val="007D41B6"/>
    <w:rsid w:val="007D41CC"/>
    <w:rsid w:val="007D4220"/>
    <w:rsid w:val="007D426C"/>
    <w:rsid w:val="007D4275"/>
    <w:rsid w:val="007D42A3"/>
    <w:rsid w:val="007D431C"/>
    <w:rsid w:val="007D432D"/>
    <w:rsid w:val="007D4397"/>
    <w:rsid w:val="007D440C"/>
    <w:rsid w:val="007D441B"/>
    <w:rsid w:val="007D44DC"/>
    <w:rsid w:val="007D4548"/>
    <w:rsid w:val="007D457B"/>
    <w:rsid w:val="007D45E9"/>
    <w:rsid w:val="007D460F"/>
    <w:rsid w:val="007D4678"/>
    <w:rsid w:val="007D46C0"/>
    <w:rsid w:val="007D46D7"/>
    <w:rsid w:val="007D472D"/>
    <w:rsid w:val="007D4744"/>
    <w:rsid w:val="007D47C6"/>
    <w:rsid w:val="007D4816"/>
    <w:rsid w:val="007D4829"/>
    <w:rsid w:val="007D483D"/>
    <w:rsid w:val="007D497D"/>
    <w:rsid w:val="007D4ACB"/>
    <w:rsid w:val="007D4B26"/>
    <w:rsid w:val="007D4B86"/>
    <w:rsid w:val="007D4B87"/>
    <w:rsid w:val="007D4B9D"/>
    <w:rsid w:val="007D4BF6"/>
    <w:rsid w:val="007D4C02"/>
    <w:rsid w:val="007D4C10"/>
    <w:rsid w:val="007D4C50"/>
    <w:rsid w:val="007D4D12"/>
    <w:rsid w:val="007D4D43"/>
    <w:rsid w:val="007D4D47"/>
    <w:rsid w:val="007D4D4F"/>
    <w:rsid w:val="007D4DC5"/>
    <w:rsid w:val="007D4DDF"/>
    <w:rsid w:val="007D4DF8"/>
    <w:rsid w:val="007D4E83"/>
    <w:rsid w:val="007D4EA5"/>
    <w:rsid w:val="007D4EB0"/>
    <w:rsid w:val="007D4F28"/>
    <w:rsid w:val="007D4F76"/>
    <w:rsid w:val="007D4F95"/>
    <w:rsid w:val="007D4F9B"/>
    <w:rsid w:val="007D4FA6"/>
    <w:rsid w:val="007D50B9"/>
    <w:rsid w:val="007D50FE"/>
    <w:rsid w:val="007D51CC"/>
    <w:rsid w:val="007D51DA"/>
    <w:rsid w:val="007D51F0"/>
    <w:rsid w:val="007D52E3"/>
    <w:rsid w:val="007D52E4"/>
    <w:rsid w:val="007D52FF"/>
    <w:rsid w:val="007D533C"/>
    <w:rsid w:val="007D5419"/>
    <w:rsid w:val="007D54AD"/>
    <w:rsid w:val="007D54E6"/>
    <w:rsid w:val="007D5556"/>
    <w:rsid w:val="007D55E9"/>
    <w:rsid w:val="007D5651"/>
    <w:rsid w:val="007D5664"/>
    <w:rsid w:val="007D5666"/>
    <w:rsid w:val="007D5684"/>
    <w:rsid w:val="007D56FB"/>
    <w:rsid w:val="007D57F7"/>
    <w:rsid w:val="007D5876"/>
    <w:rsid w:val="007D5881"/>
    <w:rsid w:val="007D58FF"/>
    <w:rsid w:val="007D5975"/>
    <w:rsid w:val="007D59B8"/>
    <w:rsid w:val="007D5A34"/>
    <w:rsid w:val="007D5ACA"/>
    <w:rsid w:val="007D5B0A"/>
    <w:rsid w:val="007D5B99"/>
    <w:rsid w:val="007D5BBC"/>
    <w:rsid w:val="007D5C90"/>
    <w:rsid w:val="007D5CB8"/>
    <w:rsid w:val="007D5D2E"/>
    <w:rsid w:val="007D5DF2"/>
    <w:rsid w:val="007D5DF9"/>
    <w:rsid w:val="007D5E24"/>
    <w:rsid w:val="007D5EE4"/>
    <w:rsid w:val="007D5F2D"/>
    <w:rsid w:val="007D5F7E"/>
    <w:rsid w:val="007D5F88"/>
    <w:rsid w:val="007D5FC0"/>
    <w:rsid w:val="007D6126"/>
    <w:rsid w:val="007D6151"/>
    <w:rsid w:val="007D6157"/>
    <w:rsid w:val="007D61E2"/>
    <w:rsid w:val="007D6214"/>
    <w:rsid w:val="007D625F"/>
    <w:rsid w:val="007D62C2"/>
    <w:rsid w:val="007D62F1"/>
    <w:rsid w:val="007D6325"/>
    <w:rsid w:val="007D6339"/>
    <w:rsid w:val="007D6358"/>
    <w:rsid w:val="007D63E8"/>
    <w:rsid w:val="007D63EC"/>
    <w:rsid w:val="007D63F7"/>
    <w:rsid w:val="007D6405"/>
    <w:rsid w:val="007D64C4"/>
    <w:rsid w:val="007D64CD"/>
    <w:rsid w:val="007D64D6"/>
    <w:rsid w:val="007D6526"/>
    <w:rsid w:val="007D65BF"/>
    <w:rsid w:val="007D66FC"/>
    <w:rsid w:val="007D670E"/>
    <w:rsid w:val="007D6774"/>
    <w:rsid w:val="007D683E"/>
    <w:rsid w:val="007D6841"/>
    <w:rsid w:val="007D68C0"/>
    <w:rsid w:val="007D6919"/>
    <w:rsid w:val="007D693A"/>
    <w:rsid w:val="007D69CC"/>
    <w:rsid w:val="007D69ED"/>
    <w:rsid w:val="007D6AA6"/>
    <w:rsid w:val="007D6AD0"/>
    <w:rsid w:val="007D6ADD"/>
    <w:rsid w:val="007D6B10"/>
    <w:rsid w:val="007D6B36"/>
    <w:rsid w:val="007D6B38"/>
    <w:rsid w:val="007D6CBC"/>
    <w:rsid w:val="007D6D4B"/>
    <w:rsid w:val="007D6D78"/>
    <w:rsid w:val="007D6E0B"/>
    <w:rsid w:val="007D6E1C"/>
    <w:rsid w:val="007D6E25"/>
    <w:rsid w:val="007D6E3D"/>
    <w:rsid w:val="007D6E54"/>
    <w:rsid w:val="007D6EA4"/>
    <w:rsid w:val="007D6F16"/>
    <w:rsid w:val="007D6F58"/>
    <w:rsid w:val="007D6FB2"/>
    <w:rsid w:val="007D6FF1"/>
    <w:rsid w:val="007D7080"/>
    <w:rsid w:val="007D70CB"/>
    <w:rsid w:val="007D70EC"/>
    <w:rsid w:val="007D7129"/>
    <w:rsid w:val="007D719B"/>
    <w:rsid w:val="007D71D7"/>
    <w:rsid w:val="007D7248"/>
    <w:rsid w:val="007D7277"/>
    <w:rsid w:val="007D728C"/>
    <w:rsid w:val="007D72B2"/>
    <w:rsid w:val="007D734B"/>
    <w:rsid w:val="007D73B8"/>
    <w:rsid w:val="007D73D6"/>
    <w:rsid w:val="007D73E7"/>
    <w:rsid w:val="007D7493"/>
    <w:rsid w:val="007D7533"/>
    <w:rsid w:val="007D7540"/>
    <w:rsid w:val="007D7568"/>
    <w:rsid w:val="007D75AA"/>
    <w:rsid w:val="007D75F0"/>
    <w:rsid w:val="007D75FB"/>
    <w:rsid w:val="007D7633"/>
    <w:rsid w:val="007D7666"/>
    <w:rsid w:val="007D76C1"/>
    <w:rsid w:val="007D7754"/>
    <w:rsid w:val="007D77BA"/>
    <w:rsid w:val="007D77DB"/>
    <w:rsid w:val="007D77F7"/>
    <w:rsid w:val="007D7862"/>
    <w:rsid w:val="007D7A0C"/>
    <w:rsid w:val="007D7A50"/>
    <w:rsid w:val="007D7A6D"/>
    <w:rsid w:val="007D7A77"/>
    <w:rsid w:val="007D7ABF"/>
    <w:rsid w:val="007D7B2D"/>
    <w:rsid w:val="007D7B7A"/>
    <w:rsid w:val="007D7C56"/>
    <w:rsid w:val="007D7CD8"/>
    <w:rsid w:val="007D7D8A"/>
    <w:rsid w:val="007D7E8C"/>
    <w:rsid w:val="007D7EB0"/>
    <w:rsid w:val="007D7F3F"/>
    <w:rsid w:val="007D7F52"/>
    <w:rsid w:val="007D7FB0"/>
    <w:rsid w:val="007D7FD3"/>
    <w:rsid w:val="007D9CF0"/>
    <w:rsid w:val="007E001A"/>
    <w:rsid w:val="007E0065"/>
    <w:rsid w:val="007E00C0"/>
    <w:rsid w:val="007E011C"/>
    <w:rsid w:val="007E013E"/>
    <w:rsid w:val="007E0150"/>
    <w:rsid w:val="007E0185"/>
    <w:rsid w:val="007E020B"/>
    <w:rsid w:val="007E0220"/>
    <w:rsid w:val="007E023C"/>
    <w:rsid w:val="007E02B5"/>
    <w:rsid w:val="007E0329"/>
    <w:rsid w:val="007E0368"/>
    <w:rsid w:val="007E0383"/>
    <w:rsid w:val="007E0569"/>
    <w:rsid w:val="007E058E"/>
    <w:rsid w:val="007E05D0"/>
    <w:rsid w:val="007E05DC"/>
    <w:rsid w:val="007E061B"/>
    <w:rsid w:val="007E06B9"/>
    <w:rsid w:val="007E06C2"/>
    <w:rsid w:val="007E06DE"/>
    <w:rsid w:val="007E074D"/>
    <w:rsid w:val="007E07DE"/>
    <w:rsid w:val="007E083A"/>
    <w:rsid w:val="007E084D"/>
    <w:rsid w:val="007E0911"/>
    <w:rsid w:val="007E09BA"/>
    <w:rsid w:val="007E0A05"/>
    <w:rsid w:val="007E0A5C"/>
    <w:rsid w:val="007E0AE2"/>
    <w:rsid w:val="007E0B19"/>
    <w:rsid w:val="007E0BF3"/>
    <w:rsid w:val="007E0C82"/>
    <w:rsid w:val="007E0C92"/>
    <w:rsid w:val="007E0CF5"/>
    <w:rsid w:val="007E0D17"/>
    <w:rsid w:val="007E0D6B"/>
    <w:rsid w:val="007E0D94"/>
    <w:rsid w:val="007E0E0A"/>
    <w:rsid w:val="007E0E1B"/>
    <w:rsid w:val="007E0E5F"/>
    <w:rsid w:val="007E0E82"/>
    <w:rsid w:val="007E0E9B"/>
    <w:rsid w:val="007E0F01"/>
    <w:rsid w:val="007E0F1C"/>
    <w:rsid w:val="007E0F67"/>
    <w:rsid w:val="007E0FE7"/>
    <w:rsid w:val="007E1150"/>
    <w:rsid w:val="007E11B4"/>
    <w:rsid w:val="007E11CA"/>
    <w:rsid w:val="007E1214"/>
    <w:rsid w:val="007E1269"/>
    <w:rsid w:val="007E12C9"/>
    <w:rsid w:val="007E12D6"/>
    <w:rsid w:val="007E1301"/>
    <w:rsid w:val="007E1364"/>
    <w:rsid w:val="007E1424"/>
    <w:rsid w:val="007E145B"/>
    <w:rsid w:val="007E14B4"/>
    <w:rsid w:val="007E152E"/>
    <w:rsid w:val="007E1583"/>
    <w:rsid w:val="007E15A3"/>
    <w:rsid w:val="007E15EC"/>
    <w:rsid w:val="007E15F4"/>
    <w:rsid w:val="007E1664"/>
    <w:rsid w:val="007E16BA"/>
    <w:rsid w:val="007E16CA"/>
    <w:rsid w:val="007E16DB"/>
    <w:rsid w:val="007E1701"/>
    <w:rsid w:val="007E170F"/>
    <w:rsid w:val="007E1736"/>
    <w:rsid w:val="007E1760"/>
    <w:rsid w:val="007E180A"/>
    <w:rsid w:val="007E180C"/>
    <w:rsid w:val="007E1912"/>
    <w:rsid w:val="007E1937"/>
    <w:rsid w:val="007E194B"/>
    <w:rsid w:val="007E1985"/>
    <w:rsid w:val="007E1A65"/>
    <w:rsid w:val="007E1B45"/>
    <w:rsid w:val="007E1B9B"/>
    <w:rsid w:val="007E1BA9"/>
    <w:rsid w:val="007E1C00"/>
    <w:rsid w:val="007E1CA4"/>
    <w:rsid w:val="007E1CD1"/>
    <w:rsid w:val="007E1D6F"/>
    <w:rsid w:val="007E1DC2"/>
    <w:rsid w:val="007E1E82"/>
    <w:rsid w:val="007E1E99"/>
    <w:rsid w:val="007E1EA1"/>
    <w:rsid w:val="007E1EFF"/>
    <w:rsid w:val="007E1F4E"/>
    <w:rsid w:val="007E1F80"/>
    <w:rsid w:val="007E1FCA"/>
    <w:rsid w:val="007E20FD"/>
    <w:rsid w:val="007E20FE"/>
    <w:rsid w:val="007E211C"/>
    <w:rsid w:val="007E2141"/>
    <w:rsid w:val="007E21ED"/>
    <w:rsid w:val="007E21F1"/>
    <w:rsid w:val="007E2255"/>
    <w:rsid w:val="007E2263"/>
    <w:rsid w:val="007E229C"/>
    <w:rsid w:val="007E2327"/>
    <w:rsid w:val="007E238C"/>
    <w:rsid w:val="007E2487"/>
    <w:rsid w:val="007E249D"/>
    <w:rsid w:val="007E24AE"/>
    <w:rsid w:val="007E25B4"/>
    <w:rsid w:val="007E25EC"/>
    <w:rsid w:val="007E2783"/>
    <w:rsid w:val="007E2788"/>
    <w:rsid w:val="007E27EE"/>
    <w:rsid w:val="007E2830"/>
    <w:rsid w:val="007E28E3"/>
    <w:rsid w:val="007E28F3"/>
    <w:rsid w:val="007E2909"/>
    <w:rsid w:val="007E2935"/>
    <w:rsid w:val="007E2970"/>
    <w:rsid w:val="007E2A01"/>
    <w:rsid w:val="007E2A2D"/>
    <w:rsid w:val="007E2A42"/>
    <w:rsid w:val="007E2A8B"/>
    <w:rsid w:val="007E2AD4"/>
    <w:rsid w:val="007E2B11"/>
    <w:rsid w:val="007E2BB5"/>
    <w:rsid w:val="007E2BDA"/>
    <w:rsid w:val="007E2C24"/>
    <w:rsid w:val="007E2C29"/>
    <w:rsid w:val="007E2C49"/>
    <w:rsid w:val="007E2C69"/>
    <w:rsid w:val="007E2D0A"/>
    <w:rsid w:val="007E2DA7"/>
    <w:rsid w:val="007E2E1B"/>
    <w:rsid w:val="007E2E50"/>
    <w:rsid w:val="007E2E7B"/>
    <w:rsid w:val="007E2EA2"/>
    <w:rsid w:val="007E2EBC"/>
    <w:rsid w:val="007E2EC6"/>
    <w:rsid w:val="007E2F12"/>
    <w:rsid w:val="007E2F62"/>
    <w:rsid w:val="007E2FB2"/>
    <w:rsid w:val="007E302B"/>
    <w:rsid w:val="007E3053"/>
    <w:rsid w:val="007E3111"/>
    <w:rsid w:val="007E3112"/>
    <w:rsid w:val="007E3192"/>
    <w:rsid w:val="007E32A0"/>
    <w:rsid w:val="007E3394"/>
    <w:rsid w:val="007E33D4"/>
    <w:rsid w:val="007E33D8"/>
    <w:rsid w:val="007E33DA"/>
    <w:rsid w:val="007E344C"/>
    <w:rsid w:val="007E34B2"/>
    <w:rsid w:val="007E34E8"/>
    <w:rsid w:val="007E3522"/>
    <w:rsid w:val="007E3529"/>
    <w:rsid w:val="007E35AF"/>
    <w:rsid w:val="007E35D6"/>
    <w:rsid w:val="007E35F0"/>
    <w:rsid w:val="007E3644"/>
    <w:rsid w:val="007E3659"/>
    <w:rsid w:val="007E366F"/>
    <w:rsid w:val="007E367C"/>
    <w:rsid w:val="007E3734"/>
    <w:rsid w:val="007E3738"/>
    <w:rsid w:val="007E3773"/>
    <w:rsid w:val="007E386E"/>
    <w:rsid w:val="007E38C5"/>
    <w:rsid w:val="007E38F8"/>
    <w:rsid w:val="007E3958"/>
    <w:rsid w:val="007E3970"/>
    <w:rsid w:val="007E39A5"/>
    <w:rsid w:val="007E39AF"/>
    <w:rsid w:val="007E3AB2"/>
    <w:rsid w:val="007E3B52"/>
    <w:rsid w:val="007E3BA6"/>
    <w:rsid w:val="007E3BF8"/>
    <w:rsid w:val="007E3C15"/>
    <w:rsid w:val="007E3C42"/>
    <w:rsid w:val="007E3D82"/>
    <w:rsid w:val="007E3E27"/>
    <w:rsid w:val="007E3E7D"/>
    <w:rsid w:val="007E3E92"/>
    <w:rsid w:val="007E3EAD"/>
    <w:rsid w:val="007E3F0F"/>
    <w:rsid w:val="007E3F23"/>
    <w:rsid w:val="007E3FD7"/>
    <w:rsid w:val="007E3FE5"/>
    <w:rsid w:val="007E3FE8"/>
    <w:rsid w:val="007E40B7"/>
    <w:rsid w:val="007E40EA"/>
    <w:rsid w:val="007E40F2"/>
    <w:rsid w:val="007E4100"/>
    <w:rsid w:val="007E4120"/>
    <w:rsid w:val="007E41E5"/>
    <w:rsid w:val="007E4221"/>
    <w:rsid w:val="007E4315"/>
    <w:rsid w:val="007E4317"/>
    <w:rsid w:val="007E43A2"/>
    <w:rsid w:val="007E43BC"/>
    <w:rsid w:val="007E43D5"/>
    <w:rsid w:val="007E43EE"/>
    <w:rsid w:val="007E43F6"/>
    <w:rsid w:val="007E43FF"/>
    <w:rsid w:val="007E4413"/>
    <w:rsid w:val="007E447C"/>
    <w:rsid w:val="007E4490"/>
    <w:rsid w:val="007E44CA"/>
    <w:rsid w:val="007E44D4"/>
    <w:rsid w:val="007E4504"/>
    <w:rsid w:val="007E452F"/>
    <w:rsid w:val="007E457F"/>
    <w:rsid w:val="007E45CF"/>
    <w:rsid w:val="007E4647"/>
    <w:rsid w:val="007E4650"/>
    <w:rsid w:val="007E488D"/>
    <w:rsid w:val="007E48E7"/>
    <w:rsid w:val="007E4920"/>
    <w:rsid w:val="007E49E8"/>
    <w:rsid w:val="007E4AB5"/>
    <w:rsid w:val="007E4AC7"/>
    <w:rsid w:val="007E4AD7"/>
    <w:rsid w:val="007E4AFC"/>
    <w:rsid w:val="007E4B10"/>
    <w:rsid w:val="007E4B1B"/>
    <w:rsid w:val="007E4B48"/>
    <w:rsid w:val="007E4B66"/>
    <w:rsid w:val="007E4B8A"/>
    <w:rsid w:val="007E4B8C"/>
    <w:rsid w:val="007E4B9F"/>
    <w:rsid w:val="007E4BCC"/>
    <w:rsid w:val="007E4BE7"/>
    <w:rsid w:val="007E4C02"/>
    <w:rsid w:val="007E4C17"/>
    <w:rsid w:val="007E4C67"/>
    <w:rsid w:val="007E4C7D"/>
    <w:rsid w:val="007E4CA2"/>
    <w:rsid w:val="007E4CA8"/>
    <w:rsid w:val="007E4CF2"/>
    <w:rsid w:val="007E4CFD"/>
    <w:rsid w:val="007E4DB7"/>
    <w:rsid w:val="007E4DE6"/>
    <w:rsid w:val="007E4E42"/>
    <w:rsid w:val="007E4E67"/>
    <w:rsid w:val="007E4EAB"/>
    <w:rsid w:val="007E4FD6"/>
    <w:rsid w:val="007E504A"/>
    <w:rsid w:val="007E508E"/>
    <w:rsid w:val="007E50B1"/>
    <w:rsid w:val="007E51C0"/>
    <w:rsid w:val="007E51E6"/>
    <w:rsid w:val="007E521B"/>
    <w:rsid w:val="007E52CE"/>
    <w:rsid w:val="007E5312"/>
    <w:rsid w:val="007E533C"/>
    <w:rsid w:val="007E5359"/>
    <w:rsid w:val="007E535D"/>
    <w:rsid w:val="007E5383"/>
    <w:rsid w:val="007E53C1"/>
    <w:rsid w:val="007E53C6"/>
    <w:rsid w:val="007E5417"/>
    <w:rsid w:val="007E5445"/>
    <w:rsid w:val="007E549F"/>
    <w:rsid w:val="007E5513"/>
    <w:rsid w:val="007E558A"/>
    <w:rsid w:val="007E55D6"/>
    <w:rsid w:val="007E56EC"/>
    <w:rsid w:val="007E571D"/>
    <w:rsid w:val="007E5722"/>
    <w:rsid w:val="007E5876"/>
    <w:rsid w:val="007E589D"/>
    <w:rsid w:val="007E58A7"/>
    <w:rsid w:val="007E58B7"/>
    <w:rsid w:val="007E5936"/>
    <w:rsid w:val="007E593A"/>
    <w:rsid w:val="007E59FE"/>
    <w:rsid w:val="007E5A7A"/>
    <w:rsid w:val="007E5A7C"/>
    <w:rsid w:val="007E5A93"/>
    <w:rsid w:val="007E5A9D"/>
    <w:rsid w:val="007E5AA9"/>
    <w:rsid w:val="007E5AAF"/>
    <w:rsid w:val="007E5AD8"/>
    <w:rsid w:val="007E5B05"/>
    <w:rsid w:val="007E5C12"/>
    <w:rsid w:val="007E5C4F"/>
    <w:rsid w:val="007E5C66"/>
    <w:rsid w:val="007E5C98"/>
    <w:rsid w:val="007E5D0F"/>
    <w:rsid w:val="007E5D3F"/>
    <w:rsid w:val="007E5D81"/>
    <w:rsid w:val="007E5DCD"/>
    <w:rsid w:val="007E5DD6"/>
    <w:rsid w:val="007E5E23"/>
    <w:rsid w:val="007E5E3B"/>
    <w:rsid w:val="007E5E61"/>
    <w:rsid w:val="007E5EA6"/>
    <w:rsid w:val="007E5EDA"/>
    <w:rsid w:val="007E5EF1"/>
    <w:rsid w:val="007E5F07"/>
    <w:rsid w:val="007E5F12"/>
    <w:rsid w:val="007E5F8E"/>
    <w:rsid w:val="007E5FBE"/>
    <w:rsid w:val="007E5FCC"/>
    <w:rsid w:val="007E6078"/>
    <w:rsid w:val="007E6091"/>
    <w:rsid w:val="007E6158"/>
    <w:rsid w:val="007E62C6"/>
    <w:rsid w:val="007E6305"/>
    <w:rsid w:val="007E6320"/>
    <w:rsid w:val="007E6324"/>
    <w:rsid w:val="007E6348"/>
    <w:rsid w:val="007E6364"/>
    <w:rsid w:val="007E651C"/>
    <w:rsid w:val="007E6535"/>
    <w:rsid w:val="007E6564"/>
    <w:rsid w:val="007E65A0"/>
    <w:rsid w:val="007E65A1"/>
    <w:rsid w:val="007E65F3"/>
    <w:rsid w:val="007E6640"/>
    <w:rsid w:val="007E664C"/>
    <w:rsid w:val="007E669A"/>
    <w:rsid w:val="007E66E9"/>
    <w:rsid w:val="007E66FC"/>
    <w:rsid w:val="007E6744"/>
    <w:rsid w:val="007E6828"/>
    <w:rsid w:val="007E682A"/>
    <w:rsid w:val="007E6849"/>
    <w:rsid w:val="007E68A1"/>
    <w:rsid w:val="007E68B4"/>
    <w:rsid w:val="007E6987"/>
    <w:rsid w:val="007E69E8"/>
    <w:rsid w:val="007E6AB7"/>
    <w:rsid w:val="007E6ADB"/>
    <w:rsid w:val="007E6AE8"/>
    <w:rsid w:val="007E6AFE"/>
    <w:rsid w:val="007E6B3B"/>
    <w:rsid w:val="007E6B3C"/>
    <w:rsid w:val="007E6B44"/>
    <w:rsid w:val="007E6B9B"/>
    <w:rsid w:val="007E6BDA"/>
    <w:rsid w:val="007E6C31"/>
    <w:rsid w:val="007E6C77"/>
    <w:rsid w:val="007E6CB8"/>
    <w:rsid w:val="007E6CBF"/>
    <w:rsid w:val="007E6D10"/>
    <w:rsid w:val="007E6D41"/>
    <w:rsid w:val="007E6D94"/>
    <w:rsid w:val="007E6DC7"/>
    <w:rsid w:val="007E6DDD"/>
    <w:rsid w:val="007E6DEC"/>
    <w:rsid w:val="007E6EC9"/>
    <w:rsid w:val="007E6ED9"/>
    <w:rsid w:val="007E6F1D"/>
    <w:rsid w:val="007E7014"/>
    <w:rsid w:val="007E701B"/>
    <w:rsid w:val="007E713A"/>
    <w:rsid w:val="007E719F"/>
    <w:rsid w:val="007E71D8"/>
    <w:rsid w:val="007E71EA"/>
    <w:rsid w:val="007E7229"/>
    <w:rsid w:val="007E7299"/>
    <w:rsid w:val="007E7348"/>
    <w:rsid w:val="007E735D"/>
    <w:rsid w:val="007E73CC"/>
    <w:rsid w:val="007E73F1"/>
    <w:rsid w:val="007E73FB"/>
    <w:rsid w:val="007E7409"/>
    <w:rsid w:val="007E740A"/>
    <w:rsid w:val="007E740B"/>
    <w:rsid w:val="007E7429"/>
    <w:rsid w:val="007E74D6"/>
    <w:rsid w:val="007E74E1"/>
    <w:rsid w:val="007E75C6"/>
    <w:rsid w:val="007E75E4"/>
    <w:rsid w:val="007E75F5"/>
    <w:rsid w:val="007E7642"/>
    <w:rsid w:val="007E769E"/>
    <w:rsid w:val="007E77D4"/>
    <w:rsid w:val="007E781A"/>
    <w:rsid w:val="007E7833"/>
    <w:rsid w:val="007E786F"/>
    <w:rsid w:val="007E787C"/>
    <w:rsid w:val="007E78A1"/>
    <w:rsid w:val="007E7975"/>
    <w:rsid w:val="007E79B8"/>
    <w:rsid w:val="007E79BD"/>
    <w:rsid w:val="007E79FE"/>
    <w:rsid w:val="007E7A1A"/>
    <w:rsid w:val="007E7A43"/>
    <w:rsid w:val="007E7A4F"/>
    <w:rsid w:val="007E7A5D"/>
    <w:rsid w:val="007E7AE3"/>
    <w:rsid w:val="007E7AE7"/>
    <w:rsid w:val="007E7B28"/>
    <w:rsid w:val="007E7B7A"/>
    <w:rsid w:val="007E7BBA"/>
    <w:rsid w:val="007E7CB7"/>
    <w:rsid w:val="007E7D93"/>
    <w:rsid w:val="007E7DC0"/>
    <w:rsid w:val="007E7DCE"/>
    <w:rsid w:val="007E7DFF"/>
    <w:rsid w:val="007E7E0E"/>
    <w:rsid w:val="007E7E19"/>
    <w:rsid w:val="007E7E7F"/>
    <w:rsid w:val="007E7F10"/>
    <w:rsid w:val="007E7F30"/>
    <w:rsid w:val="007E7F42"/>
    <w:rsid w:val="007E7F8B"/>
    <w:rsid w:val="007E7FC4"/>
    <w:rsid w:val="007F002B"/>
    <w:rsid w:val="007F002E"/>
    <w:rsid w:val="007F0110"/>
    <w:rsid w:val="007F011A"/>
    <w:rsid w:val="007F0131"/>
    <w:rsid w:val="007F0209"/>
    <w:rsid w:val="007F0233"/>
    <w:rsid w:val="007F0266"/>
    <w:rsid w:val="007F02A5"/>
    <w:rsid w:val="007F02AC"/>
    <w:rsid w:val="007F02D9"/>
    <w:rsid w:val="007F02EB"/>
    <w:rsid w:val="007F0301"/>
    <w:rsid w:val="007F033E"/>
    <w:rsid w:val="007F0352"/>
    <w:rsid w:val="007F03AF"/>
    <w:rsid w:val="007F03DD"/>
    <w:rsid w:val="007F043D"/>
    <w:rsid w:val="007F0461"/>
    <w:rsid w:val="007F04C6"/>
    <w:rsid w:val="007F04C7"/>
    <w:rsid w:val="007F0586"/>
    <w:rsid w:val="007F064E"/>
    <w:rsid w:val="007F0695"/>
    <w:rsid w:val="007F0697"/>
    <w:rsid w:val="007F06AE"/>
    <w:rsid w:val="007F0738"/>
    <w:rsid w:val="007F07B7"/>
    <w:rsid w:val="007F07C6"/>
    <w:rsid w:val="007F07C7"/>
    <w:rsid w:val="007F07EC"/>
    <w:rsid w:val="007F083E"/>
    <w:rsid w:val="007F0843"/>
    <w:rsid w:val="007F0859"/>
    <w:rsid w:val="007F092F"/>
    <w:rsid w:val="007F0959"/>
    <w:rsid w:val="007F0990"/>
    <w:rsid w:val="007F09E4"/>
    <w:rsid w:val="007F0A09"/>
    <w:rsid w:val="007F0A65"/>
    <w:rsid w:val="007F0A7B"/>
    <w:rsid w:val="007F0A8A"/>
    <w:rsid w:val="007F0A93"/>
    <w:rsid w:val="007F0B10"/>
    <w:rsid w:val="007F0B64"/>
    <w:rsid w:val="007F0B7B"/>
    <w:rsid w:val="007F0C0B"/>
    <w:rsid w:val="007F0C21"/>
    <w:rsid w:val="007F0C5C"/>
    <w:rsid w:val="007F0D33"/>
    <w:rsid w:val="007F0D53"/>
    <w:rsid w:val="007F0E03"/>
    <w:rsid w:val="007F0EA1"/>
    <w:rsid w:val="007F0EC2"/>
    <w:rsid w:val="007F0EE1"/>
    <w:rsid w:val="007F0EF9"/>
    <w:rsid w:val="007F0F45"/>
    <w:rsid w:val="007F0FC7"/>
    <w:rsid w:val="007F0FF1"/>
    <w:rsid w:val="007F1025"/>
    <w:rsid w:val="007F105A"/>
    <w:rsid w:val="007F1089"/>
    <w:rsid w:val="007F109D"/>
    <w:rsid w:val="007F10BB"/>
    <w:rsid w:val="007F10C2"/>
    <w:rsid w:val="007F10DF"/>
    <w:rsid w:val="007F112C"/>
    <w:rsid w:val="007F1170"/>
    <w:rsid w:val="007F11CF"/>
    <w:rsid w:val="007F1218"/>
    <w:rsid w:val="007F1265"/>
    <w:rsid w:val="007F1311"/>
    <w:rsid w:val="007F1328"/>
    <w:rsid w:val="007F136D"/>
    <w:rsid w:val="007F1385"/>
    <w:rsid w:val="007F13AC"/>
    <w:rsid w:val="007F13C3"/>
    <w:rsid w:val="007F13DF"/>
    <w:rsid w:val="007F1497"/>
    <w:rsid w:val="007F163E"/>
    <w:rsid w:val="007F16B9"/>
    <w:rsid w:val="007F16CA"/>
    <w:rsid w:val="007F16DE"/>
    <w:rsid w:val="007F1706"/>
    <w:rsid w:val="007F1756"/>
    <w:rsid w:val="007F1758"/>
    <w:rsid w:val="007F1795"/>
    <w:rsid w:val="007F17A1"/>
    <w:rsid w:val="007F17B5"/>
    <w:rsid w:val="007F17E5"/>
    <w:rsid w:val="007F17FC"/>
    <w:rsid w:val="007F1826"/>
    <w:rsid w:val="007F1877"/>
    <w:rsid w:val="007F187E"/>
    <w:rsid w:val="007F18C6"/>
    <w:rsid w:val="007F18DF"/>
    <w:rsid w:val="007F190C"/>
    <w:rsid w:val="007F1924"/>
    <w:rsid w:val="007F1A2B"/>
    <w:rsid w:val="007F1A5D"/>
    <w:rsid w:val="007F1A96"/>
    <w:rsid w:val="007F1AAF"/>
    <w:rsid w:val="007F1B4D"/>
    <w:rsid w:val="007F1B5B"/>
    <w:rsid w:val="007F1B91"/>
    <w:rsid w:val="007F1BF0"/>
    <w:rsid w:val="007F1CD3"/>
    <w:rsid w:val="007F1CFA"/>
    <w:rsid w:val="007F1D15"/>
    <w:rsid w:val="007F1D37"/>
    <w:rsid w:val="007F1D59"/>
    <w:rsid w:val="007F1D70"/>
    <w:rsid w:val="007F1ED7"/>
    <w:rsid w:val="007F1EDC"/>
    <w:rsid w:val="007F1F20"/>
    <w:rsid w:val="007F1F79"/>
    <w:rsid w:val="007F1F8F"/>
    <w:rsid w:val="007F1FB7"/>
    <w:rsid w:val="007F200A"/>
    <w:rsid w:val="007F2043"/>
    <w:rsid w:val="007F204B"/>
    <w:rsid w:val="007F2071"/>
    <w:rsid w:val="007F2088"/>
    <w:rsid w:val="007F20A0"/>
    <w:rsid w:val="007F20C3"/>
    <w:rsid w:val="007F2124"/>
    <w:rsid w:val="007F2131"/>
    <w:rsid w:val="007F21C2"/>
    <w:rsid w:val="007F21FE"/>
    <w:rsid w:val="007F227D"/>
    <w:rsid w:val="007F2287"/>
    <w:rsid w:val="007F22F3"/>
    <w:rsid w:val="007F22F8"/>
    <w:rsid w:val="007F232C"/>
    <w:rsid w:val="007F2372"/>
    <w:rsid w:val="007F23CF"/>
    <w:rsid w:val="007F24FF"/>
    <w:rsid w:val="007F2504"/>
    <w:rsid w:val="007F254C"/>
    <w:rsid w:val="007F254D"/>
    <w:rsid w:val="007F2562"/>
    <w:rsid w:val="007F25BD"/>
    <w:rsid w:val="007F25C4"/>
    <w:rsid w:val="007F2615"/>
    <w:rsid w:val="007F264D"/>
    <w:rsid w:val="007F26EB"/>
    <w:rsid w:val="007F27A4"/>
    <w:rsid w:val="007F2820"/>
    <w:rsid w:val="007F2854"/>
    <w:rsid w:val="007F288D"/>
    <w:rsid w:val="007F289C"/>
    <w:rsid w:val="007F28AA"/>
    <w:rsid w:val="007F28F0"/>
    <w:rsid w:val="007F2911"/>
    <w:rsid w:val="007F2991"/>
    <w:rsid w:val="007F2A31"/>
    <w:rsid w:val="007F2A8C"/>
    <w:rsid w:val="007F2B67"/>
    <w:rsid w:val="007F2C55"/>
    <w:rsid w:val="007F2CDB"/>
    <w:rsid w:val="007F2D41"/>
    <w:rsid w:val="007F2DAF"/>
    <w:rsid w:val="007F2DCD"/>
    <w:rsid w:val="007F2E64"/>
    <w:rsid w:val="007F2EBE"/>
    <w:rsid w:val="007F2F0F"/>
    <w:rsid w:val="007F2F22"/>
    <w:rsid w:val="007F2F29"/>
    <w:rsid w:val="007F2F5B"/>
    <w:rsid w:val="007F2FB9"/>
    <w:rsid w:val="007F3021"/>
    <w:rsid w:val="007F305E"/>
    <w:rsid w:val="007F307C"/>
    <w:rsid w:val="007F308B"/>
    <w:rsid w:val="007F30B8"/>
    <w:rsid w:val="007F315B"/>
    <w:rsid w:val="007F31AA"/>
    <w:rsid w:val="007F31B2"/>
    <w:rsid w:val="007F3244"/>
    <w:rsid w:val="007F3294"/>
    <w:rsid w:val="007F32C7"/>
    <w:rsid w:val="007F32EB"/>
    <w:rsid w:val="007F32FD"/>
    <w:rsid w:val="007F33CD"/>
    <w:rsid w:val="007F3411"/>
    <w:rsid w:val="007F341B"/>
    <w:rsid w:val="007F3459"/>
    <w:rsid w:val="007F34E9"/>
    <w:rsid w:val="007F35B0"/>
    <w:rsid w:val="007F35E4"/>
    <w:rsid w:val="007F3623"/>
    <w:rsid w:val="007F363D"/>
    <w:rsid w:val="007F3645"/>
    <w:rsid w:val="007F36F9"/>
    <w:rsid w:val="007F370B"/>
    <w:rsid w:val="007F3738"/>
    <w:rsid w:val="007F375E"/>
    <w:rsid w:val="007F37C2"/>
    <w:rsid w:val="007F37E2"/>
    <w:rsid w:val="007F3812"/>
    <w:rsid w:val="007F3883"/>
    <w:rsid w:val="007F38AB"/>
    <w:rsid w:val="007F38E7"/>
    <w:rsid w:val="007F38EE"/>
    <w:rsid w:val="007F3901"/>
    <w:rsid w:val="007F391E"/>
    <w:rsid w:val="007F3954"/>
    <w:rsid w:val="007F39EE"/>
    <w:rsid w:val="007F3A43"/>
    <w:rsid w:val="007F3A4B"/>
    <w:rsid w:val="007F3A55"/>
    <w:rsid w:val="007F3A78"/>
    <w:rsid w:val="007F3AA7"/>
    <w:rsid w:val="007F3AAC"/>
    <w:rsid w:val="007F3C21"/>
    <w:rsid w:val="007F3C4B"/>
    <w:rsid w:val="007F3C5F"/>
    <w:rsid w:val="007F3D17"/>
    <w:rsid w:val="007F3D53"/>
    <w:rsid w:val="007F3D55"/>
    <w:rsid w:val="007F3D9A"/>
    <w:rsid w:val="007F3D9E"/>
    <w:rsid w:val="007F3E2C"/>
    <w:rsid w:val="007F3E5F"/>
    <w:rsid w:val="007F3ECE"/>
    <w:rsid w:val="007F3FA0"/>
    <w:rsid w:val="007F4006"/>
    <w:rsid w:val="007F4024"/>
    <w:rsid w:val="007F407C"/>
    <w:rsid w:val="007F41A9"/>
    <w:rsid w:val="007F41CD"/>
    <w:rsid w:val="007F422B"/>
    <w:rsid w:val="007F4248"/>
    <w:rsid w:val="007F4304"/>
    <w:rsid w:val="007F43DC"/>
    <w:rsid w:val="007F43E5"/>
    <w:rsid w:val="007F444D"/>
    <w:rsid w:val="007F4464"/>
    <w:rsid w:val="007F4477"/>
    <w:rsid w:val="007F447D"/>
    <w:rsid w:val="007F44C3"/>
    <w:rsid w:val="007F4617"/>
    <w:rsid w:val="007F4645"/>
    <w:rsid w:val="007F46A2"/>
    <w:rsid w:val="007F46AE"/>
    <w:rsid w:val="007F46B7"/>
    <w:rsid w:val="007F46C9"/>
    <w:rsid w:val="007F4702"/>
    <w:rsid w:val="007F473F"/>
    <w:rsid w:val="007F4756"/>
    <w:rsid w:val="007F475D"/>
    <w:rsid w:val="007F4779"/>
    <w:rsid w:val="007F47AE"/>
    <w:rsid w:val="007F4838"/>
    <w:rsid w:val="007F48EF"/>
    <w:rsid w:val="007F4942"/>
    <w:rsid w:val="007F494D"/>
    <w:rsid w:val="007F49FF"/>
    <w:rsid w:val="007F4A04"/>
    <w:rsid w:val="007F4A10"/>
    <w:rsid w:val="007F4A27"/>
    <w:rsid w:val="007F4A3D"/>
    <w:rsid w:val="007F4A76"/>
    <w:rsid w:val="007F4AA7"/>
    <w:rsid w:val="007F4AB0"/>
    <w:rsid w:val="007F4AB1"/>
    <w:rsid w:val="007F4AE3"/>
    <w:rsid w:val="007F4B0D"/>
    <w:rsid w:val="007F4B3D"/>
    <w:rsid w:val="007F4B7D"/>
    <w:rsid w:val="007F4B84"/>
    <w:rsid w:val="007F4BA4"/>
    <w:rsid w:val="007F4C05"/>
    <w:rsid w:val="007F4CE2"/>
    <w:rsid w:val="007F4D36"/>
    <w:rsid w:val="007F4D60"/>
    <w:rsid w:val="007F4D81"/>
    <w:rsid w:val="007F4E1A"/>
    <w:rsid w:val="007F4EDF"/>
    <w:rsid w:val="007F4F35"/>
    <w:rsid w:val="007F4F85"/>
    <w:rsid w:val="007F4FC8"/>
    <w:rsid w:val="007F4FDA"/>
    <w:rsid w:val="007F500D"/>
    <w:rsid w:val="007F502A"/>
    <w:rsid w:val="007F5064"/>
    <w:rsid w:val="007F5088"/>
    <w:rsid w:val="007F5111"/>
    <w:rsid w:val="007F5136"/>
    <w:rsid w:val="007F515B"/>
    <w:rsid w:val="007F5182"/>
    <w:rsid w:val="007F51B1"/>
    <w:rsid w:val="007F52C4"/>
    <w:rsid w:val="007F530B"/>
    <w:rsid w:val="007F5321"/>
    <w:rsid w:val="007F536C"/>
    <w:rsid w:val="007F53BC"/>
    <w:rsid w:val="007F5447"/>
    <w:rsid w:val="007F549C"/>
    <w:rsid w:val="007F54AE"/>
    <w:rsid w:val="007F5539"/>
    <w:rsid w:val="007F559B"/>
    <w:rsid w:val="007F561B"/>
    <w:rsid w:val="007F5621"/>
    <w:rsid w:val="007F5652"/>
    <w:rsid w:val="007F56C5"/>
    <w:rsid w:val="007F56C8"/>
    <w:rsid w:val="007F5767"/>
    <w:rsid w:val="007F57E9"/>
    <w:rsid w:val="007F581B"/>
    <w:rsid w:val="007F5846"/>
    <w:rsid w:val="007F5893"/>
    <w:rsid w:val="007F58A5"/>
    <w:rsid w:val="007F58BE"/>
    <w:rsid w:val="007F58F4"/>
    <w:rsid w:val="007F58F6"/>
    <w:rsid w:val="007F5908"/>
    <w:rsid w:val="007F5948"/>
    <w:rsid w:val="007F5951"/>
    <w:rsid w:val="007F599B"/>
    <w:rsid w:val="007F5A37"/>
    <w:rsid w:val="007F5A8D"/>
    <w:rsid w:val="007F5C15"/>
    <w:rsid w:val="007F5CC6"/>
    <w:rsid w:val="007F5CEE"/>
    <w:rsid w:val="007F5D01"/>
    <w:rsid w:val="007F5D5E"/>
    <w:rsid w:val="007F5D72"/>
    <w:rsid w:val="007F5D85"/>
    <w:rsid w:val="007F5DDC"/>
    <w:rsid w:val="007F5DE6"/>
    <w:rsid w:val="007F5E54"/>
    <w:rsid w:val="007F5EB8"/>
    <w:rsid w:val="007F5EED"/>
    <w:rsid w:val="007F5F22"/>
    <w:rsid w:val="007F5F2D"/>
    <w:rsid w:val="007F5FF1"/>
    <w:rsid w:val="007F5FF5"/>
    <w:rsid w:val="007F5FFA"/>
    <w:rsid w:val="007F600B"/>
    <w:rsid w:val="007F6032"/>
    <w:rsid w:val="007F6065"/>
    <w:rsid w:val="007F6097"/>
    <w:rsid w:val="007F60D1"/>
    <w:rsid w:val="007F60D3"/>
    <w:rsid w:val="007F616F"/>
    <w:rsid w:val="007F617F"/>
    <w:rsid w:val="007F6185"/>
    <w:rsid w:val="007F6186"/>
    <w:rsid w:val="007F6193"/>
    <w:rsid w:val="007F61CF"/>
    <w:rsid w:val="007F61E4"/>
    <w:rsid w:val="007F61F6"/>
    <w:rsid w:val="007F6222"/>
    <w:rsid w:val="007F6330"/>
    <w:rsid w:val="007F63F4"/>
    <w:rsid w:val="007F6403"/>
    <w:rsid w:val="007F6407"/>
    <w:rsid w:val="007F642D"/>
    <w:rsid w:val="007F643A"/>
    <w:rsid w:val="007F6493"/>
    <w:rsid w:val="007F6570"/>
    <w:rsid w:val="007F6592"/>
    <w:rsid w:val="007F65F1"/>
    <w:rsid w:val="007F6600"/>
    <w:rsid w:val="007F6670"/>
    <w:rsid w:val="007F66CB"/>
    <w:rsid w:val="007F67F2"/>
    <w:rsid w:val="007F67FB"/>
    <w:rsid w:val="007F6811"/>
    <w:rsid w:val="007F6816"/>
    <w:rsid w:val="007F6823"/>
    <w:rsid w:val="007F6904"/>
    <w:rsid w:val="007F6972"/>
    <w:rsid w:val="007F6A4A"/>
    <w:rsid w:val="007F6A4C"/>
    <w:rsid w:val="007F6AE2"/>
    <w:rsid w:val="007F6B16"/>
    <w:rsid w:val="007F6B40"/>
    <w:rsid w:val="007F6C14"/>
    <w:rsid w:val="007F6C3C"/>
    <w:rsid w:val="007F6C66"/>
    <w:rsid w:val="007F6CCE"/>
    <w:rsid w:val="007F6CD0"/>
    <w:rsid w:val="007F6CD5"/>
    <w:rsid w:val="007F6DDA"/>
    <w:rsid w:val="007F6E20"/>
    <w:rsid w:val="007F6E7B"/>
    <w:rsid w:val="007F6E98"/>
    <w:rsid w:val="007F6EB6"/>
    <w:rsid w:val="007F6EFD"/>
    <w:rsid w:val="007F6F33"/>
    <w:rsid w:val="007F6F4E"/>
    <w:rsid w:val="007F6F66"/>
    <w:rsid w:val="007F6F76"/>
    <w:rsid w:val="007F7043"/>
    <w:rsid w:val="007F70DC"/>
    <w:rsid w:val="007F710A"/>
    <w:rsid w:val="007F7165"/>
    <w:rsid w:val="007F71ED"/>
    <w:rsid w:val="007F7235"/>
    <w:rsid w:val="007F724A"/>
    <w:rsid w:val="007F72CA"/>
    <w:rsid w:val="007F72DF"/>
    <w:rsid w:val="007F733A"/>
    <w:rsid w:val="007F73A4"/>
    <w:rsid w:val="007F73E7"/>
    <w:rsid w:val="007F7423"/>
    <w:rsid w:val="007F753B"/>
    <w:rsid w:val="007F76C8"/>
    <w:rsid w:val="007F76D2"/>
    <w:rsid w:val="007F7711"/>
    <w:rsid w:val="007F7799"/>
    <w:rsid w:val="007F780E"/>
    <w:rsid w:val="007F783C"/>
    <w:rsid w:val="007F79A4"/>
    <w:rsid w:val="007F79B1"/>
    <w:rsid w:val="007F7A31"/>
    <w:rsid w:val="007F7A3A"/>
    <w:rsid w:val="007F7AB8"/>
    <w:rsid w:val="007F7B46"/>
    <w:rsid w:val="007F7B7B"/>
    <w:rsid w:val="007F7BA2"/>
    <w:rsid w:val="007F7C43"/>
    <w:rsid w:val="007F7C84"/>
    <w:rsid w:val="007F7CA3"/>
    <w:rsid w:val="007F7D0A"/>
    <w:rsid w:val="007F7D14"/>
    <w:rsid w:val="007F7D1D"/>
    <w:rsid w:val="007F7E0A"/>
    <w:rsid w:val="007F7E22"/>
    <w:rsid w:val="007F7E55"/>
    <w:rsid w:val="007F7F5C"/>
    <w:rsid w:val="00800055"/>
    <w:rsid w:val="00800177"/>
    <w:rsid w:val="00800223"/>
    <w:rsid w:val="00800258"/>
    <w:rsid w:val="00800329"/>
    <w:rsid w:val="00800381"/>
    <w:rsid w:val="008003A0"/>
    <w:rsid w:val="008003D1"/>
    <w:rsid w:val="00800419"/>
    <w:rsid w:val="00800459"/>
    <w:rsid w:val="0080056E"/>
    <w:rsid w:val="00800590"/>
    <w:rsid w:val="008005E0"/>
    <w:rsid w:val="00800696"/>
    <w:rsid w:val="0080069F"/>
    <w:rsid w:val="00800735"/>
    <w:rsid w:val="008007EB"/>
    <w:rsid w:val="00800803"/>
    <w:rsid w:val="0080083B"/>
    <w:rsid w:val="00800854"/>
    <w:rsid w:val="00800953"/>
    <w:rsid w:val="00800986"/>
    <w:rsid w:val="008009FC"/>
    <w:rsid w:val="00800A0C"/>
    <w:rsid w:val="00800AEE"/>
    <w:rsid w:val="00800AFE"/>
    <w:rsid w:val="00800BF1"/>
    <w:rsid w:val="00800C31"/>
    <w:rsid w:val="00800CDB"/>
    <w:rsid w:val="00800DB1"/>
    <w:rsid w:val="00800DE7"/>
    <w:rsid w:val="00800E2D"/>
    <w:rsid w:val="00800E30"/>
    <w:rsid w:val="00800E82"/>
    <w:rsid w:val="00800ECB"/>
    <w:rsid w:val="0080101D"/>
    <w:rsid w:val="0080103B"/>
    <w:rsid w:val="00801062"/>
    <w:rsid w:val="0080107C"/>
    <w:rsid w:val="0080119B"/>
    <w:rsid w:val="008011EB"/>
    <w:rsid w:val="0080120B"/>
    <w:rsid w:val="00801245"/>
    <w:rsid w:val="00801268"/>
    <w:rsid w:val="008012BD"/>
    <w:rsid w:val="008012CD"/>
    <w:rsid w:val="008012F6"/>
    <w:rsid w:val="008012FF"/>
    <w:rsid w:val="00801301"/>
    <w:rsid w:val="0080130D"/>
    <w:rsid w:val="00801397"/>
    <w:rsid w:val="008013D5"/>
    <w:rsid w:val="0080140F"/>
    <w:rsid w:val="008014BC"/>
    <w:rsid w:val="00801546"/>
    <w:rsid w:val="00801553"/>
    <w:rsid w:val="008015AF"/>
    <w:rsid w:val="008015BB"/>
    <w:rsid w:val="0080162C"/>
    <w:rsid w:val="00801654"/>
    <w:rsid w:val="0080166B"/>
    <w:rsid w:val="00801677"/>
    <w:rsid w:val="008016A9"/>
    <w:rsid w:val="008016BE"/>
    <w:rsid w:val="008016D9"/>
    <w:rsid w:val="008016E3"/>
    <w:rsid w:val="00801773"/>
    <w:rsid w:val="00801785"/>
    <w:rsid w:val="008017EC"/>
    <w:rsid w:val="0080186A"/>
    <w:rsid w:val="0080187A"/>
    <w:rsid w:val="008018A8"/>
    <w:rsid w:val="008018B8"/>
    <w:rsid w:val="008019EB"/>
    <w:rsid w:val="008019F5"/>
    <w:rsid w:val="00801A18"/>
    <w:rsid w:val="00801A59"/>
    <w:rsid w:val="00801AD7"/>
    <w:rsid w:val="00801AD8"/>
    <w:rsid w:val="00801B09"/>
    <w:rsid w:val="00801B11"/>
    <w:rsid w:val="00801B2D"/>
    <w:rsid w:val="00801B61"/>
    <w:rsid w:val="00801C58"/>
    <w:rsid w:val="00801C59"/>
    <w:rsid w:val="00801D8E"/>
    <w:rsid w:val="00801D9C"/>
    <w:rsid w:val="00801DBB"/>
    <w:rsid w:val="00801DBC"/>
    <w:rsid w:val="00801DD1"/>
    <w:rsid w:val="00801ED8"/>
    <w:rsid w:val="00801FF6"/>
    <w:rsid w:val="00802038"/>
    <w:rsid w:val="00802042"/>
    <w:rsid w:val="008020AC"/>
    <w:rsid w:val="008020D7"/>
    <w:rsid w:val="00802198"/>
    <w:rsid w:val="0080221B"/>
    <w:rsid w:val="0080223B"/>
    <w:rsid w:val="00802266"/>
    <w:rsid w:val="00802284"/>
    <w:rsid w:val="00802349"/>
    <w:rsid w:val="00802364"/>
    <w:rsid w:val="0080237F"/>
    <w:rsid w:val="008023BA"/>
    <w:rsid w:val="008024EE"/>
    <w:rsid w:val="008024F6"/>
    <w:rsid w:val="00802537"/>
    <w:rsid w:val="008025AE"/>
    <w:rsid w:val="00802606"/>
    <w:rsid w:val="0080268A"/>
    <w:rsid w:val="008026AE"/>
    <w:rsid w:val="008026D3"/>
    <w:rsid w:val="00802772"/>
    <w:rsid w:val="008027B4"/>
    <w:rsid w:val="0080283F"/>
    <w:rsid w:val="00802911"/>
    <w:rsid w:val="008029AA"/>
    <w:rsid w:val="008029C8"/>
    <w:rsid w:val="00802A4C"/>
    <w:rsid w:val="00802A54"/>
    <w:rsid w:val="00802A76"/>
    <w:rsid w:val="00802A82"/>
    <w:rsid w:val="00802A97"/>
    <w:rsid w:val="00802AAE"/>
    <w:rsid w:val="00802AF2"/>
    <w:rsid w:val="00802B44"/>
    <w:rsid w:val="00802B4D"/>
    <w:rsid w:val="00802C00"/>
    <w:rsid w:val="00802C21"/>
    <w:rsid w:val="00802C57"/>
    <w:rsid w:val="00802C65"/>
    <w:rsid w:val="00802C79"/>
    <w:rsid w:val="00802D5C"/>
    <w:rsid w:val="00802DB1"/>
    <w:rsid w:val="00802DDE"/>
    <w:rsid w:val="00802E13"/>
    <w:rsid w:val="00802E23"/>
    <w:rsid w:val="00802E5F"/>
    <w:rsid w:val="00802E71"/>
    <w:rsid w:val="00802EE5"/>
    <w:rsid w:val="00802EF6"/>
    <w:rsid w:val="00802F09"/>
    <w:rsid w:val="00802F10"/>
    <w:rsid w:val="00802F4B"/>
    <w:rsid w:val="00802FC2"/>
    <w:rsid w:val="0080306F"/>
    <w:rsid w:val="0080307F"/>
    <w:rsid w:val="008031B6"/>
    <w:rsid w:val="008031FC"/>
    <w:rsid w:val="0080323E"/>
    <w:rsid w:val="00803285"/>
    <w:rsid w:val="0080337E"/>
    <w:rsid w:val="00803392"/>
    <w:rsid w:val="008033B9"/>
    <w:rsid w:val="008033E6"/>
    <w:rsid w:val="0080351A"/>
    <w:rsid w:val="0080351B"/>
    <w:rsid w:val="00803591"/>
    <w:rsid w:val="008035AB"/>
    <w:rsid w:val="008035E0"/>
    <w:rsid w:val="008035E3"/>
    <w:rsid w:val="00803634"/>
    <w:rsid w:val="00803648"/>
    <w:rsid w:val="0080371D"/>
    <w:rsid w:val="008037A1"/>
    <w:rsid w:val="008037CB"/>
    <w:rsid w:val="008037EF"/>
    <w:rsid w:val="00803877"/>
    <w:rsid w:val="008038A0"/>
    <w:rsid w:val="008038C1"/>
    <w:rsid w:val="008038D2"/>
    <w:rsid w:val="008038FF"/>
    <w:rsid w:val="0080391C"/>
    <w:rsid w:val="0080392B"/>
    <w:rsid w:val="0080393B"/>
    <w:rsid w:val="00803987"/>
    <w:rsid w:val="0080399D"/>
    <w:rsid w:val="008039F4"/>
    <w:rsid w:val="00803A5B"/>
    <w:rsid w:val="00803A67"/>
    <w:rsid w:val="00803A80"/>
    <w:rsid w:val="00803A83"/>
    <w:rsid w:val="00803AC9"/>
    <w:rsid w:val="00803AD6"/>
    <w:rsid w:val="00803AF8"/>
    <w:rsid w:val="00803B18"/>
    <w:rsid w:val="00803BDE"/>
    <w:rsid w:val="00803C17"/>
    <w:rsid w:val="00803C3E"/>
    <w:rsid w:val="00803CA8"/>
    <w:rsid w:val="00803CF8"/>
    <w:rsid w:val="00803D52"/>
    <w:rsid w:val="00803DA1"/>
    <w:rsid w:val="00803E60"/>
    <w:rsid w:val="00803E6F"/>
    <w:rsid w:val="00803EE8"/>
    <w:rsid w:val="00803F0E"/>
    <w:rsid w:val="00803F1B"/>
    <w:rsid w:val="00803F30"/>
    <w:rsid w:val="00803F9A"/>
    <w:rsid w:val="0080404F"/>
    <w:rsid w:val="00804056"/>
    <w:rsid w:val="008040A5"/>
    <w:rsid w:val="008040D9"/>
    <w:rsid w:val="008040FA"/>
    <w:rsid w:val="00804174"/>
    <w:rsid w:val="00804182"/>
    <w:rsid w:val="0080422D"/>
    <w:rsid w:val="00804234"/>
    <w:rsid w:val="00804251"/>
    <w:rsid w:val="008042D3"/>
    <w:rsid w:val="0080435D"/>
    <w:rsid w:val="0080437C"/>
    <w:rsid w:val="008043E1"/>
    <w:rsid w:val="00804507"/>
    <w:rsid w:val="0080450A"/>
    <w:rsid w:val="00804526"/>
    <w:rsid w:val="00804574"/>
    <w:rsid w:val="0080457C"/>
    <w:rsid w:val="008046A3"/>
    <w:rsid w:val="008046CE"/>
    <w:rsid w:val="008047BF"/>
    <w:rsid w:val="0080499D"/>
    <w:rsid w:val="008049DC"/>
    <w:rsid w:val="008049F7"/>
    <w:rsid w:val="00804AD6"/>
    <w:rsid w:val="00804ADF"/>
    <w:rsid w:val="00804BC4"/>
    <w:rsid w:val="00804BEB"/>
    <w:rsid w:val="00804BF7"/>
    <w:rsid w:val="00804C1E"/>
    <w:rsid w:val="00804CA1"/>
    <w:rsid w:val="00804CB3"/>
    <w:rsid w:val="00804CE9"/>
    <w:rsid w:val="00804CF5"/>
    <w:rsid w:val="00804ED0"/>
    <w:rsid w:val="00804EFD"/>
    <w:rsid w:val="00804F2A"/>
    <w:rsid w:val="00804FB0"/>
    <w:rsid w:val="00804FC6"/>
    <w:rsid w:val="00804FC7"/>
    <w:rsid w:val="008050C2"/>
    <w:rsid w:val="008050E0"/>
    <w:rsid w:val="0080512A"/>
    <w:rsid w:val="00805208"/>
    <w:rsid w:val="0080528C"/>
    <w:rsid w:val="008053AB"/>
    <w:rsid w:val="008053BF"/>
    <w:rsid w:val="008053F8"/>
    <w:rsid w:val="0080540D"/>
    <w:rsid w:val="008054F3"/>
    <w:rsid w:val="008054FD"/>
    <w:rsid w:val="00805578"/>
    <w:rsid w:val="00805599"/>
    <w:rsid w:val="008056A7"/>
    <w:rsid w:val="008056B2"/>
    <w:rsid w:val="008056CC"/>
    <w:rsid w:val="008057CB"/>
    <w:rsid w:val="008057E2"/>
    <w:rsid w:val="008058D5"/>
    <w:rsid w:val="008058F3"/>
    <w:rsid w:val="00805924"/>
    <w:rsid w:val="00805999"/>
    <w:rsid w:val="00805A26"/>
    <w:rsid w:val="00805A2A"/>
    <w:rsid w:val="00805A63"/>
    <w:rsid w:val="00805A9B"/>
    <w:rsid w:val="00805AF4"/>
    <w:rsid w:val="00805AFD"/>
    <w:rsid w:val="00805B14"/>
    <w:rsid w:val="00805B56"/>
    <w:rsid w:val="00805B66"/>
    <w:rsid w:val="00805CA5"/>
    <w:rsid w:val="00805D87"/>
    <w:rsid w:val="00805E03"/>
    <w:rsid w:val="00805E6A"/>
    <w:rsid w:val="00805E71"/>
    <w:rsid w:val="00805ED5"/>
    <w:rsid w:val="00805EED"/>
    <w:rsid w:val="00805EF7"/>
    <w:rsid w:val="00805F7C"/>
    <w:rsid w:val="00805FA8"/>
    <w:rsid w:val="00805FF6"/>
    <w:rsid w:val="008060F0"/>
    <w:rsid w:val="008060F3"/>
    <w:rsid w:val="008060F4"/>
    <w:rsid w:val="00806165"/>
    <w:rsid w:val="00806281"/>
    <w:rsid w:val="00806293"/>
    <w:rsid w:val="008062E1"/>
    <w:rsid w:val="00806336"/>
    <w:rsid w:val="00806371"/>
    <w:rsid w:val="00806452"/>
    <w:rsid w:val="00806465"/>
    <w:rsid w:val="008064BE"/>
    <w:rsid w:val="0080655B"/>
    <w:rsid w:val="0080656D"/>
    <w:rsid w:val="0080660A"/>
    <w:rsid w:val="008066E2"/>
    <w:rsid w:val="0080673F"/>
    <w:rsid w:val="0080674E"/>
    <w:rsid w:val="008067A2"/>
    <w:rsid w:val="008067CF"/>
    <w:rsid w:val="00806839"/>
    <w:rsid w:val="00806846"/>
    <w:rsid w:val="0080684D"/>
    <w:rsid w:val="00806880"/>
    <w:rsid w:val="00806884"/>
    <w:rsid w:val="008068C8"/>
    <w:rsid w:val="0080690A"/>
    <w:rsid w:val="00806948"/>
    <w:rsid w:val="00806983"/>
    <w:rsid w:val="008069E7"/>
    <w:rsid w:val="00806ACB"/>
    <w:rsid w:val="00806AD1"/>
    <w:rsid w:val="00806AFE"/>
    <w:rsid w:val="00806B80"/>
    <w:rsid w:val="00806BB3"/>
    <w:rsid w:val="00806C49"/>
    <w:rsid w:val="00806C89"/>
    <w:rsid w:val="00806CE6"/>
    <w:rsid w:val="00806D08"/>
    <w:rsid w:val="00806D3C"/>
    <w:rsid w:val="00806D6B"/>
    <w:rsid w:val="00806D83"/>
    <w:rsid w:val="00806E23"/>
    <w:rsid w:val="00806E29"/>
    <w:rsid w:val="00806EBD"/>
    <w:rsid w:val="00806F13"/>
    <w:rsid w:val="00806F77"/>
    <w:rsid w:val="00806FFF"/>
    <w:rsid w:val="008070F5"/>
    <w:rsid w:val="00807140"/>
    <w:rsid w:val="00807142"/>
    <w:rsid w:val="00807145"/>
    <w:rsid w:val="0080718E"/>
    <w:rsid w:val="00807263"/>
    <w:rsid w:val="00807298"/>
    <w:rsid w:val="00807358"/>
    <w:rsid w:val="008073D8"/>
    <w:rsid w:val="00807551"/>
    <w:rsid w:val="008075E0"/>
    <w:rsid w:val="0080768B"/>
    <w:rsid w:val="008076C8"/>
    <w:rsid w:val="00807714"/>
    <w:rsid w:val="00807755"/>
    <w:rsid w:val="008078BA"/>
    <w:rsid w:val="00807955"/>
    <w:rsid w:val="00807986"/>
    <w:rsid w:val="008079C6"/>
    <w:rsid w:val="008079EF"/>
    <w:rsid w:val="008079F9"/>
    <w:rsid w:val="00807A01"/>
    <w:rsid w:val="00807B15"/>
    <w:rsid w:val="00807B43"/>
    <w:rsid w:val="00807B55"/>
    <w:rsid w:val="00807BE6"/>
    <w:rsid w:val="00807C46"/>
    <w:rsid w:val="00807DD6"/>
    <w:rsid w:val="00807E30"/>
    <w:rsid w:val="00807E4F"/>
    <w:rsid w:val="00807E57"/>
    <w:rsid w:val="00807E7B"/>
    <w:rsid w:val="00807EF4"/>
    <w:rsid w:val="00807EFC"/>
    <w:rsid w:val="00807F5D"/>
    <w:rsid w:val="00807FB9"/>
    <w:rsid w:val="0080DFDC"/>
    <w:rsid w:val="0081008A"/>
    <w:rsid w:val="008100F5"/>
    <w:rsid w:val="0081012A"/>
    <w:rsid w:val="008101B2"/>
    <w:rsid w:val="008101DA"/>
    <w:rsid w:val="0081020B"/>
    <w:rsid w:val="00810214"/>
    <w:rsid w:val="00810224"/>
    <w:rsid w:val="008102E3"/>
    <w:rsid w:val="00810369"/>
    <w:rsid w:val="00810388"/>
    <w:rsid w:val="008103D6"/>
    <w:rsid w:val="00810414"/>
    <w:rsid w:val="0081041A"/>
    <w:rsid w:val="00810444"/>
    <w:rsid w:val="00810447"/>
    <w:rsid w:val="008104C4"/>
    <w:rsid w:val="008104D9"/>
    <w:rsid w:val="008104DA"/>
    <w:rsid w:val="00810508"/>
    <w:rsid w:val="00810575"/>
    <w:rsid w:val="008105DC"/>
    <w:rsid w:val="00810600"/>
    <w:rsid w:val="00810621"/>
    <w:rsid w:val="008106A7"/>
    <w:rsid w:val="008106CA"/>
    <w:rsid w:val="008106F6"/>
    <w:rsid w:val="00810756"/>
    <w:rsid w:val="00810792"/>
    <w:rsid w:val="00810843"/>
    <w:rsid w:val="008108A7"/>
    <w:rsid w:val="008108B8"/>
    <w:rsid w:val="008108FD"/>
    <w:rsid w:val="008109FF"/>
    <w:rsid w:val="00810A1D"/>
    <w:rsid w:val="00810AC7"/>
    <w:rsid w:val="00810ADE"/>
    <w:rsid w:val="00810AEF"/>
    <w:rsid w:val="00810B17"/>
    <w:rsid w:val="00810B2E"/>
    <w:rsid w:val="00810B8E"/>
    <w:rsid w:val="00810BBD"/>
    <w:rsid w:val="00810C13"/>
    <w:rsid w:val="00810C42"/>
    <w:rsid w:val="00810D7C"/>
    <w:rsid w:val="00810D7D"/>
    <w:rsid w:val="00810DD8"/>
    <w:rsid w:val="00810DF6"/>
    <w:rsid w:val="00810F1E"/>
    <w:rsid w:val="00810F9D"/>
    <w:rsid w:val="00811062"/>
    <w:rsid w:val="00811088"/>
    <w:rsid w:val="008111B4"/>
    <w:rsid w:val="008111B8"/>
    <w:rsid w:val="00811223"/>
    <w:rsid w:val="0081122E"/>
    <w:rsid w:val="0081125A"/>
    <w:rsid w:val="0081126A"/>
    <w:rsid w:val="00811275"/>
    <w:rsid w:val="008112AC"/>
    <w:rsid w:val="00811377"/>
    <w:rsid w:val="008113CB"/>
    <w:rsid w:val="00811467"/>
    <w:rsid w:val="00811559"/>
    <w:rsid w:val="008115C9"/>
    <w:rsid w:val="008115DB"/>
    <w:rsid w:val="00811722"/>
    <w:rsid w:val="00811740"/>
    <w:rsid w:val="008117F1"/>
    <w:rsid w:val="0081188F"/>
    <w:rsid w:val="008118E8"/>
    <w:rsid w:val="00811931"/>
    <w:rsid w:val="00811A2F"/>
    <w:rsid w:val="00811A82"/>
    <w:rsid w:val="00811B89"/>
    <w:rsid w:val="00811BA0"/>
    <w:rsid w:val="00811BF5"/>
    <w:rsid w:val="00811D6A"/>
    <w:rsid w:val="00811D74"/>
    <w:rsid w:val="00811DD3"/>
    <w:rsid w:val="00811E42"/>
    <w:rsid w:val="00811E9E"/>
    <w:rsid w:val="00811F7D"/>
    <w:rsid w:val="00812023"/>
    <w:rsid w:val="00812080"/>
    <w:rsid w:val="008120DB"/>
    <w:rsid w:val="00812177"/>
    <w:rsid w:val="008121CB"/>
    <w:rsid w:val="008121FD"/>
    <w:rsid w:val="00812216"/>
    <w:rsid w:val="00812232"/>
    <w:rsid w:val="0081226D"/>
    <w:rsid w:val="008122A0"/>
    <w:rsid w:val="00812345"/>
    <w:rsid w:val="008123A8"/>
    <w:rsid w:val="00812402"/>
    <w:rsid w:val="00812451"/>
    <w:rsid w:val="008124C9"/>
    <w:rsid w:val="008124FD"/>
    <w:rsid w:val="00812525"/>
    <w:rsid w:val="00812537"/>
    <w:rsid w:val="00812577"/>
    <w:rsid w:val="008125FA"/>
    <w:rsid w:val="008125FB"/>
    <w:rsid w:val="0081266F"/>
    <w:rsid w:val="008126A6"/>
    <w:rsid w:val="008126EE"/>
    <w:rsid w:val="00812714"/>
    <w:rsid w:val="0081272E"/>
    <w:rsid w:val="00812744"/>
    <w:rsid w:val="00812782"/>
    <w:rsid w:val="008127D6"/>
    <w:rsid w:val="008127E1"/>
    <w:rsid w:val="00812813"/>
    <w:rsid w:val="00812856"/>
    <w:rsid w:val="00812886"/>
    <w:rsid w:val="008128A5"/>
    <w:rsid w:val="008128D7"/>
    <w:rsid w:val="008128EA"/>
    <w:rsid w:val="008128FA"/>
    <w:rsid w:val="00812916"/>
    <w:rsid w:val="00812A05"/>
    <w:rsid w:val="00812A09"/>
    <w:rsid w:val="00812A1B"/>
    <w:rsid w:val="00812A4A"/>
    <w:rsid w:val="00812A53"/>
    <w:rsid w:val="00812AB0"/>
    <w:rsid w:val="00812B52"/>
    <w:rsid w:val="00812B70"/>
    <w:rsid w:val="00812B78"/>
    <w:rsid w:val="00812C85"/>
    <w:rsid w:val="00812C99"/>
    <w:rsid w:val="00812E39"/>
    <w:rsid w:val="00812EA4"/>
    <w:rsid w:val="00812EBD"/>
    <w:rsid w:val="00812ED0"/>
    <w:rsid w:val="00812EE8"/>
    <w:rsid w:val="00812FBC"/>
    <w:rsid w:val="00813037"/>
    <w:rsid w:val="0081305A"/>
    <w:rsid w:val="008130C8"/>
    <w:rsid w:val="0081312E"/>
    <w:rsid w:val="00813137"/>
    <w:rsid w:val="00813191"/>
    <w:rsid w:val="008131C3"/>
    <w:rsid w:val="008131E5"/>
    <w:rsid w:val="0081339A"/>
    <w:rsid w:val="008133C0"/>
    <w:rsid w:val="008133E1"/>
    <w:rsid w:val="008134F5"/>
    <w:rsid w:val="0081365C"/>
    <w:rsid w:val="008136D9"/>
    <w:rsid w:val="008136F4"/>
    <w:rsid w:val="008136F8"/>
    <w:rsid w:val="0081372E"/>
    <w:rsid w:val="0081379D"/>
    <w:rsid w:val="008137CD"/>
    <w:rsid w:val="008138F3"/>
    <w:rsid w:val="0081392E"/>
    <w:rsid w:val="008139AB"/>
    <w:rsid w:val="008139FB"/>
    <w:rsid w:val="00813A45"/>
    <w:rsid w:val="00813B30"/>
    <w:rsid w:val="00813BD8"/>
    <w:rsid w:val="00813BFF"/>
    <w:rsid w:val="00813C0E"/>
    <w:rsid w:val="00813C5C"/>
    <w:rsid w:val="00813C76"/>
    <w:rsid w:val="00813D06"/>
    <w:rsid w:val="00813D52"/>
    <w:rsid w:val="00813DFC"/>
    <w:rsid w:val="00813E38"/>
    <w:rsid w:val="00813E8E"/>
    <w:rsid w:val="00813E90"/>
    <w:rsid w:val="00813F20"/>
    <w:rsid w:val="00813F33"/>
    <w:rsid w:val="00813F4B"/>
    <w:rsid w:val="00813F5A"/>
    <w:rsid w:val="00813F91"/>
    <w:rsid w:val="00813FF9"/>
    <w:rsid w:val="00814014"/>
    <w:rsid w:val="0081407A"/>
    <w:rsid w:val="008140DB"/>
    <w:rsid w:val="0081418A"/>
    <w:rsid w:val="008141B7"/>
    <w:rsid w:val="008141BF"/>
    <w:rsid w:val="008141EE"/>
    <w:rsid w:val="00814263"/>
    <w:rsid w:val="00814264"/>
    <w:rsid w:val="00814296"/>
    <w:rsid w:val="0081446F"/>
    <w:rsid w:val="00814539"/>
    <w:rsid w:val="0081453B"/>
    <w:rsid w:val="00814570"/>
    <w:rsid w:val="008145B4"/>
    <w:rsid w:val="008146D5"/>
    <w:rsid w:val="0081475D"/>
    <w:rsid w:val="008147EA"/>
    <w:rsid w:val="008147FA"/>
    <w:rsid w:val="00814804"/>
    <w:rsid w:val="008148C7"/>
    <w:rsid w:val="00814931"/>
    <w:rsid w:val="00814963"/>
    <w:rsid w:val="00814968"/>
    <w:rsid w:val="008149E1"/>
    <w:rsid w:val="00814A96"/>
    <w:rsid w:val="00814AB2"/>
    <w:rsid w:val="00814B4E"/>
    <w:rsid w:val="00814B70"/>
    <w:rsid w:val="00814BB0"/>
    <w:rsid w:val="00814C24"/>
    <w:rsid w:val="00814C3D"/>
    <w:rsid w:val="00814CBA"/>
    <w:rsid w:val="00814D3F"/>
    <w:rsid w:val="00814D55"/>
    <w:rsid w:val="00814DE5"/>
    <w:rsid w:val="00814E6C"/>
    <w:rsid w:val="00814E8F"/>
    <w:rsid w:val="00814F11"/>
    <w:rsid w:val="00814F62"/>
    <w:rsid w:val="00814FD8"/>
    <w:rsid w:val="0081504E"/>
    <w:rsid w:val="00815087"/>
    <w:rsid w:val="0081509C"/>
    <w:rsid w:val="0081514D"/>
    <w:rsid w:val="0081516B"/>
    <w:rsid w:val="0081519B"/>
    <w:rsid w:val="008151AE"/>
    <w:rsid w:val="0081522A"/>
    <w:rsid w:val="0081527C"/>
    <w:rsid w:val="008152DC"/>
    <w:rsid w:val="008152F5"/>
    <w:rsid w:val="00815352"/>
    <w:rsid w:val="00815378"/>
    <w:rsid w:val="00815381"/>
    <w:rsid w:val="00815386"/>
    <w:rsid w:val="00815406"/>
    <w:rsid w:val="00815482"/>
    <w:rsid w:val="00815486"/>
    <w:rsid w:val="008154FD"/>
    <w:rsid w:val="00815663"/>
    <w:rsid w:val="008156FF"/>
    <w:rsid w:val="00815708"/>
    <w:rsid w:val="00815726"/>
    <w:rsid w:val="008157DE"/>
    <w:rsid w:val="008157E1"/>
    <w:rsid w:val="00815884"/>
    <w:rsid w:val="008158D2"/>
    <w:rsid w:val="0081595B"/>
    <w:rsid w:val="008159C8"/>
    <w:rsid w:val="00815AAA"/>
    <w:rsid w:val="00815AD1"/>
    <w:rsid w:val="00815B58"/>
    <w:rsid w:val="00815BAA"/>
    <w:rsid w:val="00815BF9"/>
    <w:rsid w:val="00815C59"/>
    <w:rsid w:val="00815C6C"/>
    <w:rsid w:val="00815CB6"/>
    <w:rsid w:val="00815DC9"/>
    <w:rsid w:val="00815E85"/>
    <w:rsid w:val="00815EC6"/>
    <w:rsid w:val="00815EF3"/>
    <w:rsid w:val="00815F4A"/>
    <w:rsid w:val="00816009"/>
    <w:rsid w:val="0081602C"/>
    <w:rsid w:val="00816040"/>
    <w:rsid w:val="008160C3"/>
    <w:rsid w:val="00816115"/>
    <w:rsid w:val="00816153"/>
    <w:rsid w:val="008161C1"/>
    <w:rsid w:val="00816252"/>
    <w:rsid w:val="008162B2"/>
    <w:rsid w:val="008162D9"/>
    <w:rsid w:val="00816302"/>
    <w:rsid w:val="0081635C"/>
    <w:rsid w:val="00816372"/>
    <w:rsid w:val="008163A1"/>
    <w:rsid w:val="008163A3"/>
    <w:rsid w:val="008163B4"/>
    <w:rsid w:val="0081642D"/>
    <w:rsid w:val="00816443"/>
    <w:rsid w:val="00816489"/>
    <w:rsid w:val="00816535"/>
    <w:rsid w:val="00816566"/>
    <w:rsid w:val="0081657A"/>
    <w:rsid w:val="008165C6"/>
    <w:rsid w:val="008165EB"/>
    <w:rsid w:val="008165FF"/>
    <w:rsid w:val="00816644"/>
    <w:rsid w:val="0081668C"/>
    <w:rsid w:val="008166B0"/>
    <w:rsid w:val="008166BD"/>
    <w:rsid w:val="008166CE"/>
    <w:rsid w:val="008166DA"/>
    <w:rsid w:val="008166EA"/>
    <w:rsid w:val="00816838"/>
    <w:rsid w:val="00816844"/>
    <w:rsid w:val="00816847"/>
    <w:rsid w:val="008168C9"/>
    <w:rsid w:val="008168D9"/>
    <w:rsid w:val="00816902"/>
    <w:rsid w:val="0081697F"/>
    <w:rsid w:val="00816982"/>
    <w:rsid w:val="00816992"/>
    <w:rsid w:val="008169D1"/>
    <w:rsid w:val="00816A53"/>
    <w:rsid w:val="00816AB6"/>
    <w:rsid w:val="00816B11"/>
    <w:rsid w:val="00816B90"/>
    <w:rsid w:val="00816BA4"/>
    <w:rsid w:val="00816C06"/>
    <w:rsid w:val="00816C24"/>
    <w:rsid w:val="00816C68"/>
    <w:rsid w:val="00816C7E"/>
    <w:rsid w:val="00816CAC"/>
    <w:rsid w:val="00816D47"/>
    <w:rsid w:val="00816D76"/>
    <w:rsid w:val="00816D8C"/>
    <w:rsid w:val="00816E05"/>
    <w:rsid w:val="00816E39"/>
    <w:rsid w:val="00816E6B"/>
    <w:rsid w:val="00816E76"/>
    <w:rsid w:val="00816F44"/>
    <w:rsid w:val="00816F75"/>
    <w:rsid w:val="00816F8C"/>
    <w:rsid w:val="00816FA3"/>
    <w:rsid w:val="00816FD3"/>
    <w:rsid w:val="00816FF8"/>
    <w:rsid w:val="0081700F"/>
    <w:rsid w:val="008170B2"/>
    <w:rsid w:val="00817121"/>
    <w:rsid w:val="00817158"/>
    <w:rsid w:val="00817188"/>
    <w:rsid w:val="008171FD"/>
    <w:rsid w:val="00817233"/>
    <w:rsid w:val="00817252"/>
    <w:rsid w:val="0081726A"/>
    <w:rsid w:val="008172B0"/>
    <w:rsid w:val="00817396"/>
    <w:rsid w:val="00817422"/>
    <w:rsid w:val="00817485"/>
    <w:rsid w:val="008174B8"/>
    <w:rsid w:val="00817599"/>
    <w:rsid w:val="008175A6"/>
    <w:rsid w:val="008175F0"/>
    <w:rsid w:val="008175FD"/>
    <w:rsid w:val="00817634"/>
    <w:rsid w:val="0081769C"/>
    <w:rsid w:val="008176AF"/>
    <w:rsid w:val="008176B4"/>
    <w:rsid w:val="008176EF"/>
    <w:rsid w:val="008176F5"/>
    <w:rsid w:val="00817791"/>
    <w:rsid w:val="008177A6"/>
    <w:rsid w:val="008178C1"/>
    <w:rsid w:val="008178D6"/>
    <w:rsid w:val="008178EB"/>
    <w:rsid w:val="00817925"/>
    <w:rsid w:val="00817933"/>
    <w:rsid w:val="008179C3"/>
    <w:rsid w:val="00817B05"/>
    <w:rsid w:val="00817B57"/>
    <w:rsid w:val="00817B63"/>
    <w:rsid w:val="00817B6E"/>
    <w:rsid w:val="00817B93"/>
    <w:rsid w:val="00817BDF"/>
    <w:rsid w:val="00817C50"/>
    <w:rsid w:val="00817CE7"/>
    <w:rsid w:val="00817D16"/>
    <w:rsid w:val="00817D7A"/>
    <w:rsid w:val="00817E2D"/>
    <w:rsid w:val="00817E64"/>
    <w:rsid w:val="00817E6B"/>
    <w:rsid w:val="00817EB1"/>
    <w:rsid w:val="00817EC6"/>
    <w:rsid w:val="00817ECE"/>
    <w:rsid w:val="00817EFA"/>
    <w:rsid w:val="00817FDC"/>
    <w:rsid w:val="00820024"/>
    <w:rsid w:val="00820037"/>
    <w:rsid w:val="00820110"/>
    <w:rsid w:val="0082015D"/>
    <w:rsid w:val="008201CC"/>
    <w:rsid w:val="0082027A"/>
    <w:rsid w:val="008202CE"/>
    <w:rsid w:val="008202DA"/>
    <w:rsid w:val="008202F2"/>
    <w:rsid w:val="00820347"/>
    <w:rsid w:val="00820437"/>
    <w:rsid w:val="00820465"/>
    <w:rsid w:val="0082047D"/>
    <w:rsid w:val="008204DA"/>
    <w:rsid w:val="008204F6"/>
    <w:rsid w:val="00820512"/>
    <w:rsid w:val="00820539"/>
    <w:rsid w:val="0082054E"/>
    <w:rsid w:val="0082055D"/>
    <w:rsid w:val="00820577"/>
    <w:rsid w:val="008205D2"/>
    <w:rsid w:val="008205E6"/>
    <w:rsid w:val="0082060B"/>
    <w:rsid w:val="00820636"/>
    <w:rsid w:val="00820673"/>
    <w:rsid w:val="008206A9"/>
    <w:rsid w:val="00820702"/>
    <w:rsid w:val="008207F7"/>
    <w:rsid w:val="008209AA"/>
    <w:rsid w:val="00820AF0"/>
    <w:rsid w:val="00820B45"/>
    <w:rsid w:val="00820B88"/>
    <w:rsid w:val="00820BA1"/>
    <w:rsid w:val="00820C00"/>
    <w:rsid w:val="00820C37"/>
    <w:rsid w:val="00820C8A"/>
    <w:rsid w:val="00820CDD"/>
    <w:rsid w:val="00820CE2"/>
    <w:rsid w:val="00820D03"/>
    <w:rsid w:val="00820D3E"/>
    <w:rsid w:val="00820D5D"/>
    <w:rsid w:val="00820DF1"/>
    <w:rsid w:val="00820DFF"/>
    <w:rsid w:val="00820E04"/>
    <w:rsid w:val="00820E15"/>
    <w:rsid w:val="00820E2C"/>
    <w:rsid w:val="00820EBE"/>
    <w:rsid w:val="00820F32"/>
    <w:rsid w:val="00820F57"/>
    <w:rsid w:val="00820F7F"/>
    <w:rsid w:val="00820F9E"/>
    <w:rsid w:val="00820FE8"/>
    <w:rsid w:val="00821095"/>
    <w:rsid w:val="008210A0"/>
    <w:rsid w:val="008210B4"/>
    <w:rsid w:val="008210D0"/>
    <w:rsid w:val="008210F9"/>
    <w:rsid w:val="0082110E"/>
    <w:rsid w:val="0082111C"/>
    <w:rsid w:val="00821225"/>
    <w:rsid w:val="00821246"/>
    <w:rsid w:val="00821254"/>
    <w:rsid w:val="0082134D"/>
    <w:rsid w:val="008213CA"/>
    <w:rsid w:val="008213D2"/>
    <w:rsid w:val="008213E5"/>
    <w:rsid w:val="008213EA"/>
    <w:rsid w:val="00821426"/>
    <w:rsid w:val="00821483"/>
    <w:rsid w:val="008214DB"/>
    <w:rsid w:val="00821542"/>
    <w:rsid w:val="0082155F"/>
    <w:rsid w:val="0082157B"/>
    <w:rsid w:val="0082158A"/>
    <w:rsid w:val="008215B1"/>
    <w:rsid w:val="008215B2"/>
    <w:rsid w:val="008215C3"/>
    <w:rsid w:val="008215CF"/>
    <w:rsid w:val="008215DF"/>
    <w:rsid w:val="00821613"/>
    <w:rsid w:val="0082163C"/>
    <w:rsid w:val="0082177E"/>
    <w:rsid w:val="00821794"/>
    <w:rsid w:val="0082179B"/>
    <w:rsid w:val="0082180F"/>
    <w:rsid w:val="00821842"/>
    <w:rsid w:val="008218F7"/>
    <w:rsid w:val="008218FF"/>
    <w:rsid w:val="00821A18"/>
    <w:rsid w:val="00821A1C"/>
    <w:rsid w:val="00821A42"/>
    <w:rsid w:val="00821AA2"/>
    <w:rsid w:val="00821AB2"/>
    <w:rsid w:val="00821ACB"/>
    <w:rsid w:val="00821B78"/>
    <w:rsid w:val="00821D5E"/>
    <w:rsid w:val="00821DDE"/>
    <w:rsid w:val="00821E2C"/>
    <w:rsid w:val="00821EF2"/>
    <w:rsid w:val="00821F38"/>
    <w:rsid w:val="00821FC4"/>
    <w:rsid w:val="00821FFC"/>
    <w:rsid w:val="0082209F"/>
    <w:rsid w:val="008220BB"/>
    <w:rsid w:val="008220E4"/>
    <w:rsid w:val="008220E5"/>
    <w:rsid w:val="00822104"/>
    <w:rsid w:val="00822133"/>
    <w:rsid w:val="00822164"/>
    <w:rsid w:val="00822167"/>
    <w:rsid w:val="008221F0"/>
    <w:rsid w:val="00822209"/>
    <w:rsid w:val="00822240"/>
    <w:rsid w:val="00822281"/>
    <w:rsid w:val="008222CD"/>
    <w:rsid w:val="00822318"/>
    <w:rsid w:val="00822333"/>
    <w:rsid w:val="00822344"/>
    <w:rsid w:val="00822345"/>
    <w:rsid w:val="00822359"/>
    <w:rsid w:val="0082243C"/>
    <w:rsid w:val="008224C3"/>
    <w:rsid w:val="00822549"/>
    <w:rsid w:val="00822577"/>
    <w:rsid w:val="008225E0"/>
    <w:rsid w:val="008225E7"/>
    <w:rsid w:val="0082263D"/>
    <w:rsid w:val="00822721"/>
    <w:rsid w:val="00822771"/>
    <w:rsid w:val="0082279E"/>
    <w:rsid w:val="008227AD"/>
    <w:rsid w:val="00822830"/>
    <w:rsid w:val="0082283B"/>
    <w:rsid w:val="00822849"/>
    <w:rsid w:val="00822850"/>
    <w:rsid w:val="0082285D"/>
    <w:rsid w:val="00822878"/>
    <w:rsid w:val="008228D3"/>
    <w:rsid w:val="008228D8"/>
    <w:rsid w:val="008228E3"/>
    <w:rsid w:val="008228FE"/>
    <w:rsid w:val="0082293E"/>
    <w:rsid w:val="00822A68"/>
    <w:rsid w:val="00822A6F"/>
    <w:rsid w:val="00822A7E"/>
    <w:rsid w:val="00822AF8"/>
    <w:rsid w:val="00822B39"/>
    <w:rsid w:val="00822BAB"/>
    <w:rsid w:val="00822BE1"/>
    <w:rsid w:val="00822C0C"/>
    <w:rsid w:val="00822C7A"/>
    <w:rsid w:val="00822CA6"/>
    <w:rsid w:val="00822D2A"/>
    <w:rsid w:val="00822D48"/>
    <w:rsid w:val="00822DAE"/>
    <w:rsid w:val="00822E1F"/>
    <w:rsid w:val="00822EC1"/>
    <w:rsid w:val="00822EC7"/>
    <w:rsid w:val="00822F76"/>
    <w:rsid w:val="00822F9F"/>
    <w:rsid w:val="00822FD9"/>
    <w:rsid w:val="00822FE6"/>
    <w:rsid w:val="0082300E"/>
    <w:rsid w:val="0082300F"/>
    <w:rsid w:val="00823012"/>
    <w:rsid w:val="00823062"/>
    <w:rsid w:val="00823084"/>
    <w:rsid w:val="00823175"/>
    <w:rsid w:val="008231BC"/>
    <w:rsid w:val="008231E1"/>
    <w:rsid w:val="008231E9"/>
    <w:rsid w:val="008231EC"/>
    <w:rsid w:val="00823247"/>
    <w:rsid w:val="00823304"/>
    <w:rsid w:val="0082332C"/>
    <w:rsid w:val="0082336F"/>
    <w:rsid w:val="00823372"/>
    <w:rsid w:val="0082345B"/>
    <w:rsid w:val="008234F3"/>
    <w:rsid w:val="00823576"/>
    <w:rsid w:val="00823589"/>
    <w:rsid w:val="008235EE"/>
    <w:rsid w:val="0082366B"/>
    <w:rsid w:val="008236F9"/>
    <w:rsid w:val="00823708"/>
    <w:rsid w:val="00823730"/>
    <w:rsid w:val="00823753"/>
    <w:rsid w:val="00823796"/>
    <w:rsid w:val="008237D2"/>
    <w:rsid w:val="0082383A"/>
    <w:rsid w:val="0082383E"/>
    <w:rsid w:val="00823855"/>
    <w:rsid w:val="00823870"/>
    <w:rsid w:val="00823890"/>
    <w:rsid w:val="008238CF"/>
    <w:rsid w:val="00823903"/>
    <w:rsid w:val="00823969"/>
    <w:rsid w:val="00823A00"/>
    <w:rsid w:val="00823A25"/>
    <w:rsid w:val="00823A26"/>
    <w:rsid w:val="00823A63"/>
    <w:rsid w:val="00823A6D"/>
    <w:rsid w:val="00823A8A"/>
    <w:rsid w:val="00823AEF"/>
    <w:rsid w:val="00823AF4"/>
    <w:rsid w:val="00823B1A"/>
    <w:rsid w:val="00823B30"/>
    <w:rsid w:val="00823B3A"/>
    <w:rsid w:val="00823B3F"/>
    <w:rsid w:val="00823CE5"/>
    <w:rsid w:val="00823CEB"/>
    <w:rsid w:val="00823CFB"/>
    <w:rsid w:val="00823D0F"/>
    <w:rsid w:val="00823D13"/>
    <w:rsid w:val="00823D73"/>
    <w:rsid w:val="00823DD5"/>
    <w:rsid w:val="00823E93"/>
    <w:rsid w:val="00823EFF"/>
    <w:rsid w:val="00823F7E"/>
    <w:rsid w:val="00824016"/>
    <w:rsid w:val="00824177"/>
    <w:rsid w:val="008241BC"/>
    <w:rsid w:val="0082420C"/>
    <w:rsid w:val="00824235"/>
    <w:rsid w:val="00824248"/>
    <w:rsid w:val="0082428A"/>
    <w:rsid w:val="00824297"/>
    <w:rsid w:val="008242CA"/>
    <w:rsid w:val="008243A7"/>
    <w:rsid w:val="008243CC"/>
    <w:rsid w:val="00824415"/>
    <w:rsid w:val="008244FB"/>
    <w:rsid w:val="0082451E"/>
    <w:rsid w:val="0082454E"/>
    <w:rsid w:val="008245E5"/>
    <w:rsid w:val="00824655"/>
    <w:rsid w:val="008246D3"/>
    <w:rsid w:val="0082473F"/>
    <w:rsid w:val="008247C3"/>
    <w:rsid w:val="00824831"/>
    <w:rsid w:val="0082483C"/>
    <w:rsid w:val="00824871"/>
    <w:rsid w:val="008248AB"/>
    <w:rsid w:val="008248FB"/>
    <w:rsid w:val="0082494D"/>
    <w:rsid w:val="00824962"/>
    <w:rsid w:val="00824972"/>
    <w:rsid w:val="0082499A"/>
    <w:rsid w:val="008249B0"/>
    <w:rsid w:val="00824AB7"/>
    <w:rsid w:val="00824AC9"/>
    <w:rsid w:val="00824BE7"/>
    <w:rsid w:val="00824C17"/>
    <w:rsid w:val="00824C35"/>
    <w:rsid w:val="00824CC3"/>
    <w:rsid w:val="00824CF3"/>
    <w:rsid w:val="00824D6B"/>
    <w:rsid w:val="00824DCE"/>
    <w:rsid w:val="00824E3A"/>
    <w:rsid w:val="00824E7C"/>
    <w:rsid w:val="00824F33"/>
    <w:rsid w:val="00824F39"/>
    <w:rsid w:val="00824F9A"/>
    <w:rsid w:val="00825045"/>
    <w:rsid w:val="00825062"/>
    <w:rsid w:val="008250BB"/>
    <w:rsid w:val="008250EB"/>
    <w:rsid w:val="008250EF"/>
    <w:rsid w:val="0082511A"/>
    <w:rsid w:val="00825136"/>
    <w:rsid w:val="008251C1"/>
    <w:rsid w:val="0082521B"/>
    <w:rsid w:val="0082524F"/>
    <w:rsid w:val="008252BB"/>
    <w:rsid w:val="008252C7"/>
    <w:rsid w:val="008252EC"/>
    <w:rsid w:val="0082541D"/>
    <w:rsid w:val="00825460"/>
    <w:rsid w:val="00825493"/>
    <w:rsid w:val="00825509"/>
    <w:rsid w:val="0082550E"/>
    <w:rsid w:val="00825572"/>
    <w:rsid w:val="0082558F"/>
    <w:rsid w:val="00825591"/>
    <w:rsid w:val="008255A8"/>
    <w:rsid w:val="008255CB"/>
    <w:rsid w:val="008255F0"/>
    <w:rsid w:val="00825639"/>
    <w:rsid w:val="00825663"/>
    <w:rsid w:val="008256C8"/>
    <w:rsid w:val="008256CD"/>
    <w:rsid w:val="008256F0"/>
    <w:rsid w:val="0082571E"/>
    <w:rsid w:val="008257C8"/>
    <w:rsid w:val="008258E7"/>
    <w:rsid w:val="0082591F"/>
    <w:rsid w:val="00825922"/>
    <w:rsid w:val="00825A66"/>
    <w:rsid w:val="00825A7C"/>
    <w:rsid w:val="00825B04"/>
    <w:rsid w:val="00825B18"/>
    <w:rsid w:val="00825B81"/>
    <w:rsid w:val="00825C0C"/>
    <w:rsid w:val="00825C37"/>
    <w:rsid w:val="00825C40"/>
    <w:rsid w:val="00825D18"/>
    <w:rsid w:val="00825D39"/>
    <w:rsid w:val="00825D66"/>
    <w:rsid w:val="00825D74"/>
    <w:rsid w:val="00825DC3"/>
    <w:rsid w:val="00825DCF"/>
    <w:rsid w:val="00825DE3"/>
    <w:rsid w:val="00825E34"/>
    <w:rsid w:val="00825EAF"/>
    <w:rsid w:val="00825EB0"/>
    <w:rsid w:val="00825ECC"/>
    <w:rsid w:val="00825ED3"/>
    <w:rsid w:val="00825F3E"/>
    <w:rsid w:val="00825F76"/>
    <w:rsid w:val="00826022"/>
    <w:rsid w:val="00826052"/>
    <w:rsid w:val="008260AC"/>
    <w:rsid w:val="00826145"/>
    <w:rsid w:val="008261FA"/>
    <w:rsid w:val="008261FC"/>
    <w:rsid w:val="0082620D"/>
    <w:rsid w:val="0082626C"/>
    <w:rsid w:val="0082629E"/>
    <w:rsid w:val="0082631B"/>
    <w:rsid w:val="008263BE"/>
    <w:rsid w:val="008263EB"/>
    <w:rsid w:val="008264C6"/>
    <w:rsid w:val="0082650C"/>
    <w:rsid w:val="0082656E"/>
    <w:rsid w:val="00826696"/>
    <w:rsid w:val="008266D6"/>
    <w:rsid w:val="008266D8"/>
    <w:rsid w:val="008266D9"/>
    <w:rsid w:val="008266F3"/>
    <w:rsid w:val="008266FB"/>
    <w:rsid w:val="00826761"/>
    <w:rsid w:val="00826835"/>
    <w:rsid w:val="00826875"/>
    <w:rsid w:val="0082687C"/>
    <w:rsid w:val="0082699E"/>
    <w:rsid w:val="00826A0A"/>
    <w:rsid w:val="00826A59"/>
    <w:rsid w:val="00826AAE"/>
    <w:rsid w:val="00826AE0"/>
    <w:rsid w:val="00826B06"/>
    <w:rsid w:val="00826B2B"/>
    <w:rsid w:val="00826B90"/>
    <w:rsid w:val="00826B98"/>
    <w:rsid w:val="00826BC5"/>
    <w:rsid w:val="00826BF0"/>
    <w:rsid w:val="00826C5A"/>
    <w:rsid w:val="00826C88"/>
    <w:rsid w:val="00826CE5"/>
    <w:rsid w:val="00826D2A"/>
    <w:rsid w:val="00826DD9"/>
    <w:rsid w:val="00826E23"/>
    <w:rsid w:val="00826E53"/>
    <w:rsid w:val="00826E7E"/>
    <w:rsid w:val="00826E97"/>
    <w:rsid w:val="00826E99"/>
    <w:rsid w:val="00826EF7"/>
    <w:rsid w:val="00826EFE"/>
    <w:rsid w:val="00826F46"/>
    <w:rsid w:val="00826F7C"/>
    <w:rsid w:val="00826F88"/>
    <w:rsid w:val="00827044"/>
    <w:rsid w:val="008270C1"/>
    <w:rsid w:val="008270F3"/>
    <w:rsid w:val="008270FD"/>
    <w:rsid w:val="00827159"/>
    <w:rsid w:val="00827169"/>
    <w:rsid w:val="008271B5"/>
    <w:rsid w:val="00827270"/>
    <w:rsid w:val="0082727C"/>
    <w:rsid w:val="008273F1"/>
    <w:rsid w:val="00827411"/>
    <w:rsid w:val="00827422"/>
    <w:rsid w:val="00827425"/>
    <w:rsid w:val="00827599"/>
    <w:rsid w:val="008275C4"/>
    <w:rsid w:val="008275EA"/>
    <w:rsid w:val="00827640"/>
    <w:rsid w:val="00827692"/>
    <w:rsid w:val="00827693"/>
    <w:rsid w:val="0082771C"/>
    <w:rsid w:val="0082775D"/>
    <w:rsid w:val="00827794"/>
    <w:rsid w:val="008277D7"/>
    <w:rsid w:val="008277E1"/>
    <w:rsid w:val="008277E8"/>
    <w:rsid w:val="00827839"/>
    <w:rsid w:val="008279BA"/>
    <w:rsid w:val="00827A29"/>
    <w:rsid w:val="00827A3F"/>
    <w:rsid w:val="00827AA0"/>
    <w:rsid w:val="00827AE0"/>
    <w:rsid w:val="00827B63"/>
    <w:rsid w:val="00827BE5"/>
    <w:rsid w:val="00827BF9"/>
    <w:rsid w:val="00827BFD"/>
    <w:rsid w:val="00827C6D"/>
    <w:rsid w:val="00827CB7"/>
    <w:rsid w:val="00827E5D"/>
    <w:rsid w:val="00827E96"/>
    <w:rsid w:val="00827F14"/>
    <w:rsid w:val="00827F90"/>
    <w:rsid w:val="0083001A"/>
    <w:rsid w:val="0083016C"/>
    <w:rsid w:val="00830192"/>
    <w:rsid w:val="008301FF"/>
    <w:rsid w:val="00830232"/>
    <w:rsid w:val="00830245"/>
    <w:rsid w:val="00830278"/>
    <w:rsid w:val="00830281"/>
    <w:rsid w:val="0083037B"/>
    <w:rsid w:val="0083039B"/>
    <w:rsid w:val="008303B5"/>
    <w:rsid w:val="00830410"/>
    <w:rsid w:val="00830420"/>
    <w:rsid w:val="00830452"/>
    <w:rsid w:val="0083045D"/>
    <w:rsid w:val="008304B7"/>
    <w:rsid w:val="00830532"/>
    <w:rsid w:val="00830552"/>
    <w:rsid w:val="008305C1"/>
    <w:rsid w:val="008305FA"/>
    <w:rsid w:val="008306F4"/>
    <w:rsid w:val="00830816"/>
    <w:rsid w:val="0083085D"/>
    <w:rsid w:val="008308FB"/>
    <w:rsid w:val="008309EA"/>
    <w:rsid w:val="00830A24"/>
    <w:rsid w:val="00830A8C"/>
    <w:rsid w:val="00830ABF"/>
    <w:rsid w:val="00830AD1"/>
    <w:rsid w:val="00830B0E"/>
    <w:rsid w:val="00830BA8"/>
    <w:rsid w:val="00830C4A"/>
    <w:rsid w:val="00830CA5"/>
    <w:rsid w:val="00830D1C"/>
    <w:rsid w:val="00830D4B"/>
    <w:rsid w:val="00830D54"/>
    <w:rsid w:val="00830D5B"/>
    <w:rsid w:val="00830D8C"/>
    <w:rsid w:val="00830E2F"/>
    <w:rsid w:val="00830E9C"/>
    <w:rsid w:val="00830E9E"/>
    <w:rsid w:val="00830ED7"/>
    <w:rsid w:val="00830F1A"/>
    <w:rsid w:val="00830F5C"/>
    <w:rsid w:val="00830F64"/>
    <w:rsid w:val="00831045"/>
    <w:rsid w:val="0083106C"/>
    <w:rsid w:val="008310D4"/>
    <w:rsid w:val="008310E7"/>
    <w:rsid w:val="00831153"/>
    <w:rsid w:val="00831183"/>
    <w:rsid w:val="0083118A"/>
    <w:rsid w:val="008311C3"/>
    <w:rsid w:val="008311F2"/>
    <w:rsid w:val="00831203"/>
    <w:rsid w:val="008312DF"/>
    <w:rsid w:val="00831301"/>
    <w:rsid w:val="00831316"/>
    <w:rsid w:val="00831346"/>
    <w:rsid w:val="00831415"/>
    <w:rsid w:val="0083144A"/>
    <w:rsid w:val="008314AF"/>
    <w:rsid w:val="008314BA"/>
    <w:rsid w:val="008314F3"/>
    <w:rsid w:val="008315C8"/>
    <w:rsid w:val="008315E0"/>
    <w:rsid w:val="008315FB"/>
    <w:rsid w:val="00831644"/>
    <w:rsid w:val="0083166D"/>
    <w:rsid w:val="0083168A"/>
    <w:rsid w:val="008316C5"/>
    <w:rsid w:val="0083171A"/>
    <w:rsid w:val="0083172C"/>
    <w:rsid w:val="00831746"/>
    <w:rsid w:val="008317A7"/>
    <w:rsid w:val="008317EB"/>
    <w:rsid w:val="008317FD"/>
    <w:rsid w:val="00831818"/>
    <w:rsid w:val="00831864"/>
    <w:rsid w:val="0083188F"/>
    <w:rsid w:val="0083194C"/>
    <w:rsid w:val="008319BD"/>
    <w:rsid w:val="00831A77"/>
    <w:rsid w:val="00831A82"/>
    <w:rsid w:val="00831AA1"/>
    <w:rsid w:val="00831ABC"/>
    <w:rsid w:val="00831B64"/>
    <w:rsid w:val="00831B85"/>
    <w:rsid w:val="00831BAA"/>
    <w:rsid w:val="00831BFD"/>
    <w:rsid w:val="00831C06"/>
    <w:rsid w:val="00831C9A"/>
    <w:rsid w:val="00831D0F"/>
    <w:rsid w:val="00831D41"/>
    <w:rsid w:val="00831D63"/>
    <w:rsid w:val="00831D71"/>
    <w:rsid w:val="00831D8C"/>
    <w:rsid w:val="00831E60"/>
    <w:rsid w:val="00831F0D"/>
    <w:rsid w:val="00831F1D"/>
    <w:rsid w:val="00831F54"/>
    <w:rsid w:val="00831F56"/>
    <w:rsid w:val="00831FD6"/>
    <w:rsid w:val="0083200C"/>
    <w:rsid w:val="0083201D"/>
    <w:rsid w:val="0083208F"/>
    <w:rsid w:val="008320E6"/>
    <w:rsid w:val="008320F8"/>
    <w:rsid w:val="00832172"/>
    <w:rsid w:val="008321BF"/>
    <w:rsid w:val="008321D5"/>
    <w:rsid w:val="00832299"/>
    <w:rsid w:val="008322A1"/>
    <w:rsid w:val="008322A5"/>
    <w:rsid w:val="008322A8"/>
    <w:rsid w:val="008322DF"/>
    <w:rsid w:val="00832302"/>
    <w:rsid w:val="0083237A"/>
    <w:rsid w:val="0083238E"/>
    <w:rsid w:val="008323C4"/>
    <w:rsid w:val="00832414"/>
    <w:rsid w:val="0083241B"/>
    <w:rsid w:val="00832456"/>
    <w:rsid w:val="00832553"/>
    <w:rsid w:val="0083256F"/>
    <w:rsid w:val="008325AA"/>
    <w:rsid w:val="00832615"/>
    <w:rsid w:val="0083261E"/>
    <w:rsid w:val="0083263D"/>
    <w:rsid w:val="00832651"/>
    <w:rsid w:val="008326A0"/>
    <w:rsid w:val="008326F3"/>
    <w:rsid w:val="00832726"/>
    <w:rsid w:val="00832756"/>
    <w:rsid w:val="00832798"/>
    <w:rsid w:val="008327E0"/>
    <w:rsid w:val="00832802"/>
    <w:rsid w:val="008328DB"/>
    <w:rsid w:val="0083293F"/>
    <w:rsid w:val="008329CD"/>
    <w:rsid w:val="00832A34"/>
    <w:rsid w:val="00832A72"/>
    <w:rsid w:val="00832AB1"/>
    <w:rsid w:val="00832AC0"/>
    <w:rsid w:val="00832AF5"/>
    <w:rsid w:val="00832B4F"/>
    <w:rsid w:val="00832C5E"/>
    <w:rsid w:val="00832C8A"/>
    <w:rsid w:val="00832C9A"/>
    <w:rsid w:val="00832CF4"/>
    <w:rsid w:val="00832D1D"/>
    <w:rsid w:val="00832D2D"/>
    <w:rsid w:val="00832D9D"/>
    <w:rsid w:val="00832DB3"/>
    <w:rsid w:val="00832DBE"/>
    <w:rsid w:val="00832DEF"/>
    <w:rsid w:val="00832E65"/>
    <w:rsid w:val="00832E70"/>
    <w:rsid w:val="00833030"/>
    <w:rsid w:val="0083313E"/>
    <w:rsid w:val="008331C2"/>
    <w:rsid w:val="0083324C"/>
    <w:rsid w:val="0083326E"/>
    <w:rsid w:val="008332D0"/>
    <w:rsid w:val="00833309"/>
    <w:rsid w:val="00833321"/>
    <w:rsid w:val="0083334E"/>
    <w:rsid w:val="008333B0"/>
    <w:rsid w:val="008333CA"/>
    <w:rsid w:val="00833433"/>
    <w:rsid w:val="00833492"/>
    <w:rsid w:val="008334A9"/>
    <w:rsid w:val="008334B7"/>
    <w:rsid w:val="00833585"/>
    <w:rsid w:val="0083359D"/>
    <w:rsid w:val="00833611"/>
    <w:rsid w:val="00833626"/>
    <w:rsid w:val="00833694"/>
    <w:rsid w:val="008336B1"/>
    <w:rsid w:val="00833757"/>
    <w:rsid w:val="008337A1"/>
    <w:rsid w:val="008337C6"/>
    <w:rsid w:val="0083381B"/>
    <w:rsid w:val="00833832"/>
    <w:rsid w:val="0083386C"/>
    <w:rsid w:val="00833917"/>
    <w:rsid w:val="0083391E"/>
    <w:rsid w:val="0083399B"/>
    <w:rsid w:val="008339FE"/>
    <w:rsid w:val="00833A21"/>
    <w:rsid w:val="00833A43"/>
    <w:rsid w:val="00833C27"/>
    <w:rsid w:val="00833C70"/>
    <w:rsid w:val="00833D4B"/>
    <w:rsid w:val="00833D7D"/>
    <w:rsid w:val="00833D87"/>
    <w:rsid w:val="00833D8D"/>
    <w:rsid w:val="00833DAA"/>
    <w:rsid w:val="00833DEB"/>
    <w:rsid w:val="00833DEC"/>
    <w:rsid w:val="00833E36"/>
    <w:rsid w:val="00833E61"/>
    <w:rsid w:val="00833E88"/>
    <w:rsid w:val="00833F47"/>
    <w:rsid w:val="00833F8E"/>
    <w:rsid w:val="00833FE5"/>
    <w:rsid w:val="00833FE8"/>
    <w:rsid w:val="00833FF0"/>
    <w:rsid w:val="00834049"/>
    <w:rsid w:val="00834179"/>
    <w:rsid w:val="0083423F"/>
    <w:rsid w:val="00834292"/>
    <w:rsid w:val="00834466"/>
    <w:rsid w:val="008344AB"/>
    <w:rsid w:val="008344AD"/>
    <w:rsid w:val="008344B5"/>
    <w:rsid w:val="008344FB"/>
    <w:rsid w:val="00834520"/>
    <w:rsid w:val="00834551"/>
    <w:rsid w:val="00834591"/>
    <w:rsid w:val="008345A0"/>
    <w:rsid w:val="008345E4"/>
    <w:rsid w:val="008346E4"/>
    <w:rsid w:val="00834710"/>
    <w:rsid w:val="00834765"/>
    <w:rsid w:val="00834818"/>
    <w:rsid w:val="00834825"/>
    <w:rsid w:val="0083482A"/>
    <w:rsid w:val="008348E1"/>
    <w:rsid w:val="008348EF"/>
    <w:rsid w:val="00834919"/>
    <w:rsid w:val="0083499A"/>
    <w:rsid w:val="00834A07"/>
    <w:rsid w:val="00834A9D"/>
    <w:rsid w:val="00834AD3"/>
    <w:rsid w:val="00834B15"/>
    <w:rsid w:val="00834B25"/>
    <w:rsid w:val="00834B44"/>
    <w:rsid w:val="00834B62"/>
    <w:rsid w:val="00834BCB"/>
    <w:rsid w:val="00834BD8"/>
    <w:rsid w:val="00834BDE"/>
    <w:rsid w:val="00834C01"/>
    <w:rsid w:val="00834C13"/>
    <w:rsid w:val="00834C38"/>
    <w:rsid w:val="00834C70"/>
    <w:rsid w:val="00834CB3"/>
    <w:rsid w:val="00834D40"/>
    <w:rsid w:val="00834D9F"/>
    <w:rsid w:val="00834DA4"/>
    <w:rsid w:val="00834DA9"/>
    <w:rsid w:val="00834DAD"/>
    <w:rsid w:val="00834E2A"/>
    <w:rsid w:val="00834E3B"/>
    <w:rsid w:val="00834E4F"/>
    <w:rsid w:val="00834F0A"/>
    <w:rsid w:val="00834F3B"/>
    <w:rsid w:val="00834F55"/>
    <w:rsid w:val="00834F94"/>
    <w:rsid w:val="008350F6"/>
    <w:rsid w:val="00835112"/>
    <w:rsid w:val="00835120"/>
    <w:rsid w:val="00835140"/>
    <w:rsid w:val="0083515A"/>
    <w:rsid w:val="008352FF"/>
    <w:rsid w:val="00835310"/>
    <w:rsid w:val="00835333"/>
    <w:rsid w:val="0083533D"/>
    <w:rsid w:val="0083542F"/>
    <w:rsid w:val="00835446"/>
    <w:rsid w:val="008354A4"/>
    <w:rsid w:val="008354EF"/>
    <w:rsid w:val="0083555C"/>
    <w:rsid w:val="0083557E"/>
    <w:rsid w:val="008355C5"/>
    <w:rsid w:val="00835615"/>
    <w:rsid w:val="008356A8"/>
    <w:rsid w:val="008356AD"/>
    <w:rsid w:val="008356DB"/>
    <w:rsid w:val="00835716"/>
    <w:rsid w:val="00835731"/>
    <w:rsid w:val="00835819"/>
    <w:rsid w:val="0083585C"/>
    <w:rsid w:val="00835876"/>
    <w:rsid w:val="0083589C"/>
    <w:rsid w:val="00835943"/>
    <w:rsid w:val="008359E1"/>
    <w:rsid w:val="00835A3F"/>
    <w:rsid w:val="00835ABA"/>
    <w:rsid w:val="00835ACE"/>
    <w:rsid w:val="00835B6C"/>
    <w:rsid w:val="00835BBC"/>
    <w:rsid w:val="00835C3D"/>
    <w:rsid w:val="00835CCD"/>
    <w:rsid w:val="00835D7F"/>
    <w:rsid w:val="00835D82"/>
    <w:rsid w:val="00835DA1"/>
    <w:rsid w:val="00835DD9"/>
    <w:rsid w:val="00835E24"/>
    <w:rsid w:val="00835E33"/>
    <w:rsid w:val="00835E4D"/>
    <w:rsid w:val="00835E50"/>
    <w:rsid w:val="00835E93"/>
    <w:rsid w:val="00835EBC"/>
    <w:rsid w:val="00835FF7"/>
    <w:rsid w:val="00836105"/>
    <w:rsid w:val="0083615B"/>
    <w:rsid w:val="008362CA"/>
    <w:rsid w:val="00836386"/>
    <w:rsid w:val="00836444"/>
    <w:rsid w:val="00836447"/>
    <w:rsid w:val="00836487"/>
    <w:rsid w:val="00836556"/>
    <w:rsid w:val="0083655F"/>
    <w:rsid w:val="00836581"/>
    <w:rsid w:val="008365B4"/>
    <w:rsid w:val="008365EE"/>
    <w:rsid w:val="0083662E"/>
    <w:rsid w:val="008366E8"/>
    <w:rsid w:val="008366EA"/>
    <w:rsid w:val="00836733"/>
    <w:rsid w:val="00836740"/>
    <w:rsid w:val="00836759"/>
    <w:rsid w:val="008367EB"/>
    <w:rsid w:val="008367EC"/>
    <w:rsid w:val="00836804"/>
    <w:rsid w:val="0083680A"/>
    <w:rsid w:val="0083682A"/>
    <w:rsid w:val="00836833"/>
    <w:rsid w:val="0083685D"/>
    <w:rsid w:val="008368B2"/>
    <w:rsid w:val="008368D2"/>
    <w:rsid w:val="008368DF"/>
    <w:rsid w:val="00836965"/>
    <w:rsid w:val="008369A1"/>
    <w:rsid w:val="008369CF"/>
    <w:rsid w:val="00836A2E"/>
    <w:rsid w:val="00836A72"/>
    <w:rsid w:val="00836AC3"/>
    <w:rsid w:val="00836B04"/>
    <w:rsid w:val="00836B1E"/>
    <w:rsid w:val="00836B25"/>
    <w:rsid w:val="00836C26"/>
    <w:rsid w:val="00836C41"/>
    <w:rsid w:val="00836C6A"/>
    <w:rsid w:val="00836D73"/>
    <w:rsid w:val="00836DA1"/>
    <w:rsid w:val="00836DE4"/>
    <w:rsid w:val="00836E37"/>
    <w:rsid w:val="00836EAC"/>
    <w:rsid w:val="00836ECD"/>
    <w:rsid w:val="00836F11"/>
    <w:rsid w:val="00837019"/>
    <w:rsid w:val="00837097"/>
    <w:rsid w:val="0083710A"/>
    <w:rsid w:val="00837125"/>
    <w:rsid w:val="00837166"/>
    <w:rsid w:val="00837183"/>
    <w:rsid w:val="0083721B"/>
    <w:rsid w:val="00837280"/>
    <w:rsid w:val="0083730E"/>
    <w:rsid w:val="0083738E"/>
    <w:rsid w:val="0083747E"/>
    <w:rsid w:val="008374C6"/>
    <w:rsid w:val="008374C7"/>
    <w:rsid w:val="008375EC"/>
    <w:rsid w:val="0083761D"/>
    <w:rsid w:val="00837645"/>
    <w:rsid w:val="008376C7"/>
    <w:rsid w:val="0083775E"/>
    <w:rsid w:val="0083783F"/>
    <w:rsid w:val="008378E0"/>
    <w:rsid w:val="008379D7"/>
    <w:rsid w:val="008379ED"/>
    <w:rsid w:val="00837A77"/>
    <w:rsid w:val="00837ABD"/>
    <w:rsid w:val="00837B31"/>
    <w:rsid w:val="00837BCF"/>
    <w:rsid w:val="00837BD3"/>
    <w:rsid w:val="00837D21"/>
    <w:rsid w:val="00837D2D"/>
    <w:rsid w:val="00837D37"/>
    <w:rsid w:val="00837DD8"/>
    <w:rsid w:val="00837E89"/>
    <w:rsid w:val="00837E9F"/>
    <w:rsid w:val="00837EDD"/>
    <w:rsid w:val="00837F67"/>
    <w:rsid w:val="00837F84"/>
    <w:rsid w:val="00837F8B"/>
    <w:rsid w:val="00837FEB"/>
    <w:rsid w:val="00840097"/>
    <w:rsid w:val="008400AF"/>
    <w:rsid w:val="0084011A"/>
    <w:rsid w:val="00840151"/>
    <w:rsid w:val="00840194"/>
    <w:rsid w:val="008401B7"/>
    <w:rsid w:val="008401ED"/>
    <w:rsid w:val="00840202"/>
    <w:rsid w:val="00840269"/>
    <w:rsid w:val="008402D1"/>
    <w:rsid w:val="008402FD"/>
    <w:rsid w:val="00840380"/>
    <w:rsid w:val="00840424"/>
    <w:rsid w:val="0084045A"/>
    <w:rsid w:val="00840505"/>
    <w:rsid w:val="00840535"/>
    <w:rsid w:val="008405A4"/>
    <w:rsid w:val="0084068E"/>
    <w:rsid w:val="008406A2"/>
    <w:rsid w:val="00840726"/>
    <w:rsid w:val="00840748"/>
    <w:rsid w:val="00840758"/>
    <w:rsid w:val="00840766"/>
    <w:rsid w:val="00840798"/>
    <w:rsid w:val="008407F4"/>
    <w:rsid w:val="0084083D"/>
    <w:rsid w:val="00840842"/>
    <w:rsid w:val="008408A9"/>
    <w:rsid w:val="008408F3"/>
    <w:rsid w:val="00840911"/>
    <w:rsid w:val="00840948"/>
    <w:rsid w:val="00840977"/>
    <w:rsid w:val="0084097C"/>
    <w:rsid w:val="008409E5"/>
    <w:rsid w:val="00840A82"/>
    <w:rsid w:val="00840A87"/>
    <w:rsid w:val="00840ACA"/>
    <w:rsid w:val="00840B04"/>
    <w:rsid w:val="00840B37"/>
    <w:rsid w:val="00840B83"/>
    <w:rsid w:val="00840BA5"/>
    <w:rsid w:val="00840BA7"/>
    <w:rsid w:val="00840C24"/>
    <w:rsid w:val="00840C35"/>
    <w:rsid w:val="00840C53"/>
    <w:rsid w:val="00840C80"/>
    <w:rsid w:val="00840C91"/>
    <w:rsid w:val="00840DCC"/>
    <w:rsid w:val="00840E20"/>
    <w:rsid w:val="00840E89"/>
    <w:rsid w:val="00840F1C"/>
    <w:rsid w:val="00840F35"/>
    <w:rsid w:val="00840FA4"/>
    <w:rsid w:val="00840FB2"/>
    <w:rsid w:val="00841020"/>
    <w:rsid w:val="00841098"/>
    <w:rsid w:val="008410C6"/>
    <w:rsid w:val="008411AE"/>
    <w:rsid w:val="008412BB"/>
    <w:rsid w:val="00841333"/>
    <w:rsid w:val="0084133F"/>
    <w:rsid w:val="0084134F"/>
    <w:rsid w:val="0084136B"/>
    <w:rsid w:val="00841372"/>
    <w:rsid w:val="008413A9"/>
    <w:rsid w:val="008413EA"/>
    <w:rsid w:val="00841429"/>
    <w:rsid w:val="00841440"/>
    <w:rsid w:val="008415AA"/>
    <w:rsid w:val="0084166D"/>
    <w:rsid w:val="00841687"/>
    <w:rsid w:val="00841697"/>
    <w:rsid w:val="008416A7"/>
    <w:rsid w:val="008417AC"/>
    <w:rsid w:val="008417D1"/>
    <w:rsid w:val="008417F5"/>
    <w:rsid w:val="00841807"/>
    <w:rsid w:val="00841834"/>
    <w:rsid w:val="0084183C"/>
    <w:rsid w:val="008418C3"/>
    <w:rsid w:val="008418CB"/>
    <w:rsid w:val="008418E4"/>
    <w:rsid w:val="0084190E"/>
    <w:rsid w:val="00841912"/>
    <w:rsid w:val="0084194F"/>
    <w:rsid w:val="008419F2"/>
    <w:rsid w:val="00841A3B"/>
    <w:rsid w:val="00841A4F"/>
    <w:rsid w:val="00841A6A"/>
    <w:rsid w:val="00841AB5"/>
    <w:rsid w:val="00841B00"/>
    <w:rsid w:val="00841B9B"/>
    <w:rsid w:val="00841BC1"/>
    <w:rsid w:val="00841BC9"/>
    <w:rsid w:val="00841BD3"/>
    <w:rsid w:val="00841BD9"/>
    <w:rsid w:val="00841C53"/>
    <w:rsid w:val="00841D5E"/>
    <w:rsid w:val="00841DE7"/>
    <w:rsid w:val="00841DEE"/>
    <w:rsid w:val="00841E46"/>
    <w:rsid w:val="00841EDA"/>
    <w:rsid w:val="00841F44"/>
    <w:rsid w:val="00842020"/>
    <w:rsid w:val="00842046"/>
    <w:rsid w:val="0084206A"/>
    <w:rsid w:val="008420AB"/>
    <w:rsid w:val="008420B4"/>
    <w:rsid w:val="008421CF"/>
    <w:rsid w:val="008421EE"/>
    <w:rsid w:val="0084227F"/>
    <w:rsid w:val="008422A7"/>
    <w:rsid w:val="0084236B"/>
    <w:rsid w:val="0084236F"/>
    <w:rsid w:val="008423B8"/>
    <w:rsid w:val="008423D5"/>
    <w:rsid w:val="00842407"/>
    <w:rsid w:val="00842430"/>
    <w:rsid w:val="0084243A"/>
    <w:rsid w:val="008424D1"/>
    <w:rsid w:val="00842606"/>
    <w:rsid w:val="00842616"/>
    <w:rsid w:val="00842686"/>
    <w:rsid w:val="0084268A"/>
    <w:rsid w:val="008426C4"/>
    <w:rsid w:val="008426F1"/>
    <w:rsid w:val="00842798"/>
    <w:rsid w:val="008427E6"/>
    <w:rsid w:val="00842817"/>
    <w:rsid w:val="00842821"/>
    <w:rsid w:val="008428BE"/>
    <w:rsid w:val="008428E1"/>
    <w:rsid w:val="008428E5"/>
    <w:rsid w:val="008429D6"/>
    <w:rsid w:val="00842A42"/>
    <w:rsid w:val="00842A6E"/>
    <w:rsid w:val="00842B33"/>
    <w:rsid w:val="00842BA2"/>
    <w:rsid w:val="00842BFE"/>
    <w:rsid w:val="00842C89"/>
    <w:rsid w:val="00842CDD"/>
    <w:rsid w:val="00842D7F"/>
    <w:rsid w:val="00842D87"/>
    <w:rsid w:val="00842E54"/>
    <w:rsid w:val="00842F07"/>
    <w:rsid w:val="00842F63"/>
    <w:rsid w:val="00842FB2"/>
    <w:rsid w:val="00842FE9"/>
    <w:rsid w:val="00843037"/>
    <w:rsid w:val="0084309D"/>
    <w:rsid w:val="008430A0"/>
    <w:rsid w:val="008430F0"/>
    <w:rsid w:val="008430FA"/>
    <w:rsid w:val="00843134"/>
    <w:rsid w:val="00843176"/>
    <w:rsid w:val="008431BA"/>
    <w:rsid w:val="00843202"/>
    <w:rsid w:val="0084328A"/>
    <w:rsid w:val="008432B0"/>
    <w:rsid w:val="008432BE"/>
    <w:rsid w:val="008432E6"/>
    <w:rsid w:val="008432FA"/>
    <w:rsid w:val="00843311"/>
    <w:rsid w:val="00843343"/>
    <w:rsid w:val="0084335C"/>
    <w:rsid w:val="008433D0"/>
    <w:rsid w:val="008433E0"/>
    <w:rsid w:val="00843438"/>
    <w:rsid w:val="0084344C"/>
    <w:rsid w:val="00843526"/>
    <w:rsid w:val="0084355E"/>
    <w:rsid w:val="00843568"/>
    <w:rsid w:val="00843581"/>
    <w:rsid w:val="00843586"/>
    <w:rsid w:val="00843745"/>
    <w:rsid w:val="00843766"/>
    <w:rsid w:val="008437BC"/>
    <w:rsid w:val="008437D9"/>
    <w:rsid w:val="00843850"/>
    <w:rsid w:val="0084387A"/>
    <w:rsid w:val="0084388D"/>
    <w:rsid w:val="008439C2"/>
    <w:rsid w:val="00843A80"/>
    <w:rsid w:val="00843A9C"/>
    <w:rsid w:val="00843ABE"/>
    <w:rsid w:val="00843B0F"/>
    <w:rsid w:val="00843B48"/>
    <w:rsid w:val="00843B8F"/>
    <w:rsid w:val="00843BE5"/>
    <w:rsid w:val="00843BF5"/>
    <w:rsid w:val="00843CD4"/>
    <w:rsid w:val="00843D5B"/>
    <w:rsid w:val="00843D5C"/>
    <w:rsid w:val="00843E13"/>
    <w:rsid w:val="00843E26"/>
    <w:rsid w:val="00843F73"/>
    <w:rsid w:val="00843FBC"/>
    <w:rsid w:val="00843FD4"/>
    <w:rsid w:val="00843FE9"/>
    <w:rsid w:val="00843FF5"/>
    <w:rsid w:val="00844043"/>
    <w:rsid w:val="0084405B"/>
    <w:rsid w:val="0084407D"/>
    <w:rsid w:val="00844097"/>
    <w:rsid w:val="008440B2"/>
    <w:rsid w:val="00844135"/>
    <w:rsid w:val="00844147"/>
    <w:rsid w:val="008441B5"/>
    <w:rsid w:val="008441DF"/>
    <w:rsid w:val="008441FE"/>
    <w:rsid w:val="00844248"/>
    <w:rsid w:val="00844273"/>
    <w:rsid w:val="00844294"/>
    <w:rsid w:val="008442BC"/>
    <w:rsid w:val="008443ED"/>
    <w:rsid w:val="00844490"/>
    <w:rsid w:val="00844525"/>
    <w:rsid w:val="0084455D"/>
    <w:rsid w:val="00844569"/>
    <w:rsid w:val="00844570"/>
    <w:rsid w:val="00844598"/>
    <w:rsid w:val="008445DE"/>
    <w:rsid w:val="008445F3"/>
    <w:rsid w:val="00844636"/>
    <w:rsid w:val="008446DE"/>
    <w:rsid w:val="00844832"/>
    <w:rsid w:val="00844894"/>
    <w:rsid w:val="008448B1"/>
    <w:rsid w:val="0084490E"/>
    <w:rsid w:val="00844916"/>
    <w:rsid w:val="00844930"/>
    <w:rsid w:val="00844998"/>
    <w:rsid w:val="008449D6"/>
    <w:rsid w:val="008449DE"/>
    <w:rsid w:val="00844A3D"/>
    <w:rsid w:val="00844A74"/>
    <w:rsid w:val="00844BAB"/>
    <w:rsid w:val="00844BDC"/>
    <w:rsid w:val="00844C11"/>
    <w:rsid w:val="00844C1F"/>
    <w:rsid w:val="00844C44"/>
    <w:rsid w:val="00844C78"/>
    <w:rsid w:val="00844D05"/>
    <w:rsid w:val="00844D39"/>
    <w:rsid w:val="00844D66"/>
    <w:rsid w:val="00844DC8"/>
    <w:rsid w:val="00844DF2"/>
    <w:rsid w:val="00844E0B"/>
    <w:rsid w:val="00844E2C"/>
    <w:rsid w:val="00844F3F"/>
    <w:rsid w:val="00844F64"/>
    <w:rsid w:val="00844F6A"/>
    <w:rsid w:val="00844FA8"/>
    <w:rsid w:val="00844FB7"/>
    <w:rsid w:val="00845023"/>
    <w:rsid w:val="00845097"/>
    <w:rsid w:val="008450B5"/>
    <w:rsid w:val="008450F0"/>
    <w:rsid w:val="00845150"/>
    <w:rsid w:val="0084526D"/>
    <w:rsid w:val="00845289"/>
    <w:rsid w:val="00845295"/>
    <w:rsid w:val="00845296"/>
    <w:rsid w:val="008452C5"/>
    <w:rsid w:val="008452C7"/>
    <w:rsid w:val="0084539A"/>
    <w:rsid w:val="00845416"/>
    <w:rsid w:val="0084541B"/>
    <w:rsid w:val="00845441"/>
    <w:rsid w:val="0084546E"/>
    <w:rsid w:val="00845522"/>
    <w:rsid w:val="0084557A"/>
    <w:rsid w:val="00845584"/>
    <w:rsid w:val="008455A9"/>
    <w:rsid w:val="0084560F"/>
    <w:rsid w:val="00845654"/>
    <w:rsid w:val="008457D8"/>
    <w:rsid w:val="00845815"/>
    <w:rsid w:val="00845855"/>
    <w:rsid w:val="008458A7"/>
    <w:rsid w:val="008458F8"/>
    <w:rsid w:val="00845920"/>
    <w:rsid w:val="00845A1F"/>
    <w:rsid w:val="00845A89"/>
    <w:rsid w:val="00845AAF"/>
    <w:rsid w:val="00845B0D"/>
    <w:rsid w:val="00845B1D"/>
    <w:rsid w:val="00845B81"/>
    <w:rsid w:val="00845B98"/>
    <w:rsid w:val="00845BBC"/>
    <w:rsid w:val="00845BC6"/>
    <w:rsid w:val="00845C71"/>
    <w:rsid w:val="00845C93"/>
    <w:rsid w:val="00845CFA"/>
    <w:rsid w:val="00845D44"/>
    <w:rsid w:val="00845D60"/>
    <w:rsid w:val="00845E01"/>
    <w:rsid w:val="00845E15"/>
    <w:rsid w:val="00845E3F"/>
    <w:rsid w:val="00845E79"/>
    <w:rsid w:val="00845EE9"/>
    <w:rsid w:val="00845FB6"/>
    <w:rsid w:val="00845FBA"/>
    <w:rsid w:val="00845FF7"/>
    <w:rsid w:val="00845FFC"/>
    <w:rsid w:val="00846042"/>
    <w:rsid w:val="00846087"/>
    <w:rsid w:val="008460A3"/>
    <w:rsid w:val="008460AA"/>
    <w:rsid w:val="008460AE"/>
    <w:rsid w:val="008461EC"/>
    <w:rsid w:val="00846210"/>
    <w:rsid w:val="00846265"/>
    <w:rsid w:val="00846272"/>
    <w:rsid w:val="0084632B"/>
    <w:rsid w:val="00846367"/>
    <w:rsid w:val="00846379"/>
    <w:rsid w:val="008464A3"/>
    <w:rsid w:val="008464F8"/>
    <w:rsid w:val="00846504"/>
    <w:rsid w:val="00846556"/>
    <w:rsid w:val="00846582"/>
    <w:rsid w:val="00846590"/>
    <w:rsid w:val="00846697"/>
    <w:rsid w:val="00846702"/>
    <w:rsid w:val="00846735"/>
    <w:rsid w:val="0084675B"/>
    <w:rsid w:val="008467B0"/>
    <w:rsid w:val="008467DE"/>
    <w:rsid w:val="00846900"/>
    <w:rsid w:val="008469E8"/>
    <w:rsid w:val="008469FC"/>
    <w:rsid w:val="00846A29"/>
    <w:rsid w:val="00846B5B"/>
    <w:rsid w:val="00846C1C"/>
    <w:rsid w:val="00846C63"/>
    <w:rsid w:val="00846C77"/>
    <w:rsid w:val="00846CD0"/>
    <w:rsid w:val="00846D26"/>
    <w:rsid w:val="00846D4D"/>
    <w:rsid w:val="00846D6D"/>
    <w:rsid w:val="00846D74"/>
    <w:rsid w:val="00846D95"/>
    <w:rsid w:val="00846DED"/>
    <w:rsid w:val="00846E0A"/>
    <w:rsid w:val="00846E30"/>
    <w:rsid w:val="00846E8D"/>
    <w:rsid w:val="00846EC6"/>
    <w:rsid w:val="00846F19"/>
    <w:rsid w:val="00846FFA"/>
    <w:rsid w:val="00847117"/>
    <w:rsid w:val="00847137"/>
    <w:rsid w:val="00847149"/>
    <w:rsid w:val="00847225"/>
    <w:rsid w:val="00847392"/>
    <w:rsid w:val="008473F1"/>
    <w:rsid w:val="00847420"/>
    <w:rsid w:val="00847426"/>
    <w:rsid w:val="00847427"/>
    <w:rsid w:val="0084743D"/>
    <w:rsid w:val="008474AE"/>
    <w:rsid w:val="008474F2"/>
    <w:rsid w:val="008475E3"/>
    <w:rsid w:val="008476C4"/>
    <w:rsid w:val="00847711"/>
    <w:rsid w:val="00847799"/>
    <w:rsid w:val="008477A5"/>
    <w:rsid w:val="008477B6"/>
    <w:rsid w:val="0084780C"/>
    <w:rsid w:val="00847964"/>
    <w:rsid w:val="00847987"/>
    <w:rsid w:val="00847994"/>
    <w:rsid w:val="008479AF"/>
    <w:rsid w:val="008479E0"/>
    <w:rsid w:val="00847A2B"/>
    <w:rsid w:val="00847A2C"/>
    <w:rsid w:val="00847A7B"/>
    <w:rsid w:val="00847A9D"/>
    <w:rsid w:val="00847AF5"/>
    <w:rsid w:val="00847BD6"/>
    <w:rsid w:val="00847C83"/>
    <w:rsid w:val="00847CB4"/>
    <w:rsid w:val="00847D49"/>
    <w:rsid w:val="00847D4F"/>
    <w:rsid w:val="00847D53"/>
    <w:rsid w:val="00847D6D"/>
    <w:rsid w:val="00847DCE"/>
    <w:rsid w:val="00847E0E"/>
    <w:rsid w:val="00847E40"/>
    <w:rsid w:val="00847E78"/>
    <w:rsid w:val="00847EAB"/>
    <w:rsid w:val="00847EFF"/>
    <w:rsid w:val="00847F84"/>
    <w:rsid w:val="008500F2"/>
    <w:rsid w:val="00850102"/>
    <w:rsid w:val="00850127"/>
    <w:rsid w:val="00850142"/>
    <w:rsid w:val="008501A1"/>
    <w:rsid w:val="0085023E"/>
    <w:rsid w:val="0085025E"/>
    <w:rsid w:val="00850407"/>
    <w:rsid w:val="00850409"/>
    <w:rsid w:val="0085046A"/>
    <w:rsid w:val="00850566"/>
    <w:rsid w:val="008505B7"/>
    <w:rsid w:val="008505DD"/>
    <w:rsid w:val="00850656"/>
    <w:rsid w:val="008506DD"/>
    <w:rsid w:val="008506E5"/>
    <w:rsid w:val="00850765"/>
    <w:rsid w:val="00850786"/>
    <w:rsid w:val="00850819"/>
    <w:rsid w:val="00850898"/>
    <w:rsid w:val="00850963"/>
    <w:rsid w:val="008509CD"/>
    <w:rsid w:val="008509EC"/>
    <w:rsid w:val="00850A42"/>
    <w:rsid w:val="00850A4F"/>
    <w:rsid w:val="00850A59"/>
    <w:rsid w:val="00850A68"/>
    <w:rsid w:val="00850AE5"/>
    <w:rsid w:val="00850B38"/>
    <w:rsid w:val="00850B95"/>
    <w:rsid w:val="00850BCA"/>
    <w:rsid w:val="00850BEA"/>
    <w:rsid w:val="00850C31"/>
    <w:rsid w:val="00850C90"/>
    <w:rsid w:val="00850CD1"/>
    <w:rsid w:val="00850D16"/>
    <w:rsid w:val="00850D8B"/>
    <w:rsid w:val="00850DA2"/>
    <w:rsid w:val="00850DE5"/>
    <w:rsid w:val="00850E84"/>
    <w:rsid w:val="00850E9D"/>
    <w:rsid w:val="00850F15"/>
    <w:rsid w:val="00850F67"/>
    <w:rsid w:val="008510FC"/>
    <w:rsid w:val="00851117"/>
    <w:rsid w:val="00851157"/>
    <w:rsid w:val="008511A7"/>
    <w:rsid w:val="008511BF"/>
    <w:rsid w:val="0085123B"/>
    <w:rsid w:val="00851251"/>
    <w:rsid w:val="00851257"/>
    <w:rsid w:val="008513AC"/>
    <w:rsid w:val="00851458"/>
    <w:rsid w:val="00851542"/>
    <w:rsid w:val="00851596"/>
    <w:rsid w:val="008515B8"/>
    <w:rsid w:val="008515C0"/>
    <w:rsid w:val="008515C7"/>
    <w:rsid w:val="008516E8"/>
    <w:rsid w:val="008516E9"/>
    <w:rsid w:val="0085181D"/>
    <w:rsid w:val="008518A6"/>
    <w:rsid w:val="0085197A"/>
    <w:rsid w:val="00851980"/>
    <w:rsid w:val="008519E2"/>
    <w:rsid w:val="008519EC"/>
    <w:rsid w:val="00851A0D"/>
    <w:rsid w:val="00851A51"/>
    <w:rsid w:val="00851A9F"/>
    <w:rsid w:val="00851AA5"/>
    <w:rsid w:val="00851ABA"/>
    <w:rsid w:val="00851B75"/>
    <w:rsid w:val="00851B82"/>
    <w:rsid w:val="00851B90"/>
    <w:rsid w:val="00851BCB"/>
    <w:rsid w:val="00851BEF"/>
    <w:rsid w:val="00851C06"/>
    <w:rsid w:val="00851CC7"/>
    <w:rsid w:val="00851CD0"/>
    <w:rsid w:val="00851DBE"/>
    <w:rsid w:val="00851DDA"/>
    <w:rsid w:val="00851DE9"/>
    <w:rsid w:val="00851E8B"/>
    <w:rsid w:val="00851EF4"/>
    <w:rsid w:val="00851F11"/>
    <w:rsid w:val="00851F12"/>
    <w:rsid w:val="00851F3A"/>
    <w:rsid w:val="00851F46"/>
    <w:rsid w:val="00851FB4"/>
    <w:rsid w:val="00852025"/>
    <w:rsid w:val="00852029"/>
    <w:rsid w:val="0085209F"/>
    <w:rsid w:val="00852176"/>
    <w:rsid w:val="008521A3"/>
    <w:rsid w:val="008521AF"/>
    <w:rsid w:val="00852217"/>
    <w:rsid w:val="0085223A"/>
    <w:rsid w:val="0085224A"/>
    <w:rsid w:val="008522B3"/>
    <w:rsid w:val="008522FA"/>
    <w:rsid w:val="00852306"/>
    <w:rsid w:val="00852371"/>
    <w:rsid w:val="008523B7"/>
    <w:rsid w:val="008523D3"/>
    <w:rsid w:val="00852434"/>
    <w:rsid w:val="008524BA"/>
    <w:rsid w:val="0085253E"/>
    <w:rsid w:val="00852561"/>
    <w:rsid w:val="00852587"/>
    <w:rsid w:val="008525E8"/>
    <w:rsid w:val="008525F9"/>
    <w:rsid w:val="00852620"/>
    <w:rsid w:val="0085262B"/>
    <w:rsid w:val="008526B8"/>
    <w:rsid w:val="0085270D"/>
    <w:rsid w:val="0085270F"/>
    <w:rsid w:val="0085276E"/>
    <w:rsid w:val="00852778"/>
    <w:rsid w:val="0085279B"/>
    <w:rsid w:val="0085279D"/>
    <w:rsid w:val="008527D6"/>
    <w:rsid w:val="0085285A"/>
    <w:rsid w:val="00852862"/>
    <w:rsid w:val="008528FE"/>
    <w:rsid w:val="00852949"/>
    <w:rsid w:val="00852958"/>
    <w:rsid w:val="0085296D"/>
    <w:rsid w:val="00852973"/>
    <w:rsid w:val="008529A5"/>
    <w:rsid w:val="00852A4B"/>
    <w:rsid w:val="00852A6C"/>
    <w:rsid w:val="00852A8E"/>
    <w:rsid w:val="00852AA5"/>
    <w:rsid w:val="00852AF2"/>
    <w:rsid w:val="00852BA6"/>
    <w:rsid w:val="00852BF8"/>
    <w:rsid w:val="00852C35"/>
    <w:rsid w:val="00852C91"/>
    <w:rsid w:val="00852CA9"/>
    <w:rsid w:val="00852D7A"/>
    <w:rsid w:val="00852DBC"/>
    <w:rsid w:val="00852E4B"/>
    <w:rsid w:val="00852E74"/>
    <w:rsid w:val="00852EC3"/>
    <w:rsid w:val="00852EC8"/>
    <w:rsid w:val="00852EE1"/>
    <w:rsid w:val="00852EF3"/>
    <w:rsid w:val="00852F07"/>
    <w:rsid w:val="00852F20"/>
    <w:rsid w:val="00852F77"/>
    <w:rsid w:val="00852FA8"/>
    <w:rsid w:val="00852FC5"/>
    <w:rsid w:val="00852FD4"/>
    <w:rsid w:val="00852FE4"/>
    <w:rsid w:val="00853047"/>
    <w:rsid w:val="00853054"/>
    <w:rsid w:val="008530A9"/>
    <w:rsid w:val="008530C4"/>
    <w:rsid w:val="00853117"/>
    <w:rsid w:val="008531B2"/>
    <w:rsid w:val="00853210"/>
    <w:rsid w:val="0085324F"/>
    <w:rsid w:val="00853265"/>
    <w:rsid w:val="00853267"/>
    <w:rsid w:val="008532AE"/>
    <w:rsid w:val="008532BF"/>
    <w:rsid w:val="008532C0"/>
    <w:rsid w:val="0085332A"/>
    <w:rsid w:val="00853383"/>
    <w:rsid w:val="0085339B"/>
    <w:rsid w:val="008533A2"/>
    <w:rsid w:val="008533F2"/>
    <w:rsid w:val="00853430"/>
    <w:rsid w:val="0085345E"/>
    <w:rsid w:val="0085358B"/>
    <w:rsid w:val="00853642"/>
    <w:rsid w:val="0085365C"/>
    <w:rsid w:val="008536AC"/>
    <w:rsid w:val="008536D6"/>
    <w:rsid w:val="008536EF"/>
    <w:rsid w:val="00853700"/>
    <w:rsid w:val="00853709"/>
    <w:rsid w:val="00853782"/>
    <w:rsid w:val="008537E7"/>
    <w:rsid w:val="0085381C"/>
    <w:rsid w:val="0085383D"/>
    <w:rsid w:val="00853883"/>
    <w:rsid w:val="008538BF"/>
    <w:rsid w:val="008538FE"/>
    <w:rsid w:val="00853955"/>
    <w:rsid w:val="00853974"/>
    <w:rsid w:val="00853A95"/>
    <w:rsid w:val="00853A9B"/>
    <w:rsid w:val="00853AAF"/>
    <w:rsid w:val="00853AE1"/>
    <w:rsid w:val="00853AEE"/>
    <w:rsid w:val="00853AF6"/>
    <w:rsid w:val="00853B95"/>
    <w:rsid w:val="00853BD4"/>
    <w:rsid w:val="00853BDB"/>
    <w:rsid w:val="00853C06"/>
    <w:rsid w:val="00853CA6"/>
    <w:rsid w:val="00853CA9"/>
    <w:rsid w:val="00853D17"/>
    <w:rsid w:val="00853D82"/>
    <w:rsid w:val="00853D95"/>
    <w:rsid w:val="00853D9C"/>
    <w:rsid w:val="00853D9F"/>
    <w:rsid w:val="00853E00"/>
    <w:rsid w:val="00853EC1"/>
    <w:rsid w:val="00853F3B"/>
    <w:rsid w:val="00853FA1"/>
    <w:rsid w:val="00853FD4"/>
    <w:rsid w:val="00853FF1"/>
    <w:rsid w:val="0085403D"/>
    <w:rsid w:val="00854050"/>
    <w:rsid w:val="00854054"/>
    <w:rsid w:val="00854288"/>
    <w:rsid w:val="0085429A"/>
    <w:rsid w:val="008542C4"/>
    <w:rsid w:val="008542D8"/>
    <w:rsid w:val="00854350"/>
    <w:rsid w:val="008543A0"/>
    <w:rsid w:val="00854474"/>
    <w:rsid w:val="008544C6"/>
    <w:rsid w:val="008544D7"/>
    <w:rsid w:val="00854517"/>
    <w:rsid w:val="00854584"/>
    <w:rsid w:val="0085458E"/>
    <w:rsid w:val="008545E8"/>
    <w:rsid w:val="008545F6"/>
    <w:rsid w:val="008546AD"/>
    <w:rsid w:val="0085473C"/>
    <w:rsid w:val="0085480F"/>
    <w:rsid w:val="00854837"/>
    <w:rsid w:val="008548CD"/>
    <w:rsid w:val="008548DD"/>
    <w:rsid w:val="0085493A"/>
    <w:rsid w:val="00854969"/>
    <w:rsid w:val="00854994"/>
    <w:rsid w:val="00854A29"/>
    <w:rsid w:val="00854A2C"/>
    <w:rsid w:val="00854A87"/>
    <w:rsid w:val="00854AB2"/>
    <w:rsid w:val="00854AB6"/>
    <w:rsid w:val="00854B5C"/>
    <w:rsid w:val="00854C66"/>
    <w:rsid w:val="00854C9B"/>
    <w:rsid w:val="00854CBD"/>
    <w:rsid w:val="00854D2D"/>
    <w:rsid w:val="00854D79"/>
    <w:rsid w:val="00854F6B"/>
    <w:rsid w:val="00854F9F"/>
    <w:rsid w:val="00855119"/>
    <w:rsid w:val="00855121"/>
    <w:rsid w:val="0085519D"/>
    <w:rsid w:val="008551A8"/>
    <w:rsid w:val="008551B8"/>
    <w:rsid w:val="008551EA"/>
    <w:rsid w:val="00855208"/>
    <w:rsid w:val="0085526B"/>
    <w:rsid w:val="008552C5"/>
    <w:rsid w:val="008552CC"/>
    <w:rsid w:val="008552DB"/>
    <w:rsid w:val="008552E9"/>
    <w:rsid w:val="008552FA"/>
    <w:rsid w:val="00855387"/>
    <w:rsid w:val="0085538D"/>
    <w:rsid w:val="008553C4"/>
    <w:rsid w:val="008553DA"/>
    <w:rsid w:val="008553FB"/>
    <w:rsid w:val="00855429"/>
    <w:rsid w:val="0085543E"/>
    <w:rsid w:val="00855441"/>
    <w:rsid w:val="00855454"/>
    <w:rsid w:val="0085545F"/>
    <w:rsid w:val="008554AC"/>
    <w:rsid w:val="008554AD"/>
    <w:rsid w:val="0085555C"/>
    <w:rsid w:val="00855574"/>
    <w:rsid w:val="0085558B"/>
    <w:rsid w:val="008555F4"/>
    <w:rsid w:val="008555FC"/>
    <w:rsid w:val="00855662"/>
    <w:rsid w:val="00855675"/>
    <w:rsid w:val="008556FE"/>
    <w:rsid w:val="00855727"/>
    <w:rsid w:val="0085581E"/>
    <w:rsid w:val="00855878"/>
    <w:rsid w:val="00855909"/>
    <w:rsid w:val="00855944"/>
    <w:rsid w:val="00855951"/>
    <w:rsid w:val="00855964"/>
    <w:rsid w:val="0085599D"/>
    <w:rsid w:val="00855A12"/>
    <w:rsid w:val="00855A52"/>
    <w:rsid w:val="00855A77"/>
    <w:rsid w:val="00855A8B"/>
    <w:rsid w:val="00855A8F"/>
    <w:rsid w:val="00855A95"/>
    <w:rsid w:val="00855ACF"/>
    <w:rsid w:val="00855B7B"/>
    <w:rsid w:val="00855C88"/>
    <w:rsid w:val="00855CD9"/>
    <w:rsid w:val="00855D90"/>
    <w:rsid w:val="00855E05"/>
    <w:rsid w:val="00855E1B"/>
    <w:rsid w:val="00855E55"/>
    <w:rsid w:val="00855EF9"/>
    <w:rsid w:val="00855F07"/>
    <w:rsid w:val="00855F63"/>
    <w:rsid w:val="00856083"/>
    <w:rsid w:val="008561C9"/>
    <w:rsid w:val="008562B4"/>
    <w:rsid w:val="008562B8"/>
    <w:rsid w:val="008562DF"/>
    <w:rsid w:val="0085635A"/>
    <w:rsid w:val="00856381"/>
    <w:rsid w:val="0085638E"/>
    <w:rsid w:val="008563B2"/>
    <w:rsid w:val="008563D0"/>
    <w:rsid w:val="008563E8"/>
    <w:rsid w:val="008563F2"/>
    <w:rsid w:val="00856405"/>
    <w:rsid w:val="00856479"/>
    <w:rsid w:val="0085654E"/>
    <w:rsid w:val="0085657E"/>
    <w:rsid w:val="008565C7"/>
    <w:rsid w:val="00856629"/>
    <w:rsid w:val="00856637"/>
    <w:rsid w:val="008566A8"/>
    <w:rsid w:val="00856705"/>
    <w:rsid w:val="0085688B"/>
    <w:rsid w:val="008568F6"/>
    <w:rsid w:val="008569A0"/>
    <w:rsid w:val="008569B3"/>
    <w:rsid w:val="008569C6"/>
    <w:rsid w:val="00856A00"/>
    <w:rsid w:val="00856A72"/>
    <w:rsid w:val="00856AD3"/>
    <w:rsid w:val="00856B05"/>
    <w:rsid w:val="00856B49"/>
    <w:rsid w:val="00856BB0"/>
    <w:rsid w:val="00856BFF"/>
    <w:rsid w:val="00856C3A"/>
    <w:rsid w:val="00856CAC"/>
    <w:rsid w:val="00856D34"/>
    <w:rsid w:val="00856D5E"/>
    <w:rsid w:val="00856D9E"/>
    <w:rsid w:val="00856DBB"/>
    <w:rsid w:val="00856DC6"/>
    <w:rsid w:val="00856DC9"/>
    <w:rsid w:val="00856DFE"/>
    <w:rsid w:val="00856E37"/>
    <w:rsid w:val="00856ED8"/>
    <w:rsid w:val="00856EFE"/>
    <w:rsid w:val="00856F16"/>
    <w:rsid w:val="00857028"/>
    <w:rsid w:val="00857051"/>
    <w:rsid w:val="0085708F"/>
    <w:rsid w:val="008570B5"/>
    <w:rsid w:val="00857119"/>
    <w:rsid w:val="00857129"/>
    <w:rsid w:val="00857178"/>
    <w:rsid w:val="00857216"/>
    <w:rsid w:val="00857228"/>
    <w:rsid w:val="0085728B"/>
    <w:rsid w:val="008572C2"/>
    <w:rsid w:val="00857321"/>
    <w:rsid w:val="008573B3"/>
    <w:rsid w:val="008573CD"/>
    <w:rsid w:val="008573F1"/>
    <w:rsid w:val="00857440"/>
    <w:rsid w:val="0085749F"/>
    <w:rsid w:val="00857514"/>
    <w:rsid w:val="00857590"/>
    <w:rsid w:val="00857593"/>
    <w:rsid w:val="008575C7"/>
    <w:rsid w:val="00857603"/>
    <w:rsid w:val="00857690"/>
    <w:rsid w:val="00857695"/>
    <w:rsid w:val="008576A0"/>
    <w:rsid w:val="008577CA"/>
    <w:rsid w:val="008577DB"/>
    <w:rsid w:val="00857814"/>
    <w:rsid w:val="00857826"/>
    <w:rsid w:val="0085782B"/>
    <w:rsid w:val="00857840"/>
    <w:rsid w:val="0085785D"/>
    <w:rsid w:val="0085791E"/>
    <w:rsid w:val="00857967"/>
    <w:rsid w:val="0085799A"/>
    <w:rsid w:val="00857A0A"/>
    <w:rsid w:val="00857AB1"/>
    <w:rsid w:val="00857ABA"/>
    <w:rsid w:val="00857AEC"/>
    <w:rsid w:val="00857B9E"/>
    <w:rsid w:val="00857C45"/>
    <w:rsid w:val="00857CA0"/>
    <w:rsid w:val="00857CCB"/>
    <w:rsid w:val="00857D7F"/>
    <w:rsid w:val="00857D9C"/>
    <w:rsid w:val="00857DA9"/>
    <w:rsid w:val="00857E0C"/>
    <w:rsid w:val="00857E2E"/>
    <w:rsid w:val="00857E85"/>
    <w:rsid w:val="00857E9C"/>
    <w:rsid w:val="00857EAB"/>
    <w:rsid w:val="00857ECC"/>
    <w:rsid w:val="00857F02"/>
    <w:rsid w:val="0085A348"/>
    <w:rsid w:val="00860125"/>
    <w:rsid w:val="00860157"/>
    <w:rsid w:val="008601C7"/>
    <w:rsid w:val="008601F0"/>
    <w:rsid w:val="0086020C"/>
    <w:rsid w:val="00860263"/>
    <w:rsid w:val="00860264"/>
    <w:rsid w:val="00860274"/>
    <w:rsid w:val="008602D9"/>
    <w:rsid w:val="008602F8"/>
    <w:rsid w:val="0086034F"/>
    <w:rsid w:val="0086035E"/>
    <w:rsid w:val="00860367"/>
    <w:rsid w:val="008603A9"/>
    <w:rsid w:val="0086042A"/>
    <w:rsid w:val="008604A3"/>
    <w:rsid w:val="0086056B"/>
    <w:rsid w:val="008605AB"/>
    <w:rsid w:val="00860619"/>
    <w:rsid w:val="0086068E"/>
    <w:rsid w:val="00860722"/>
    <w:rsid w:val="00860749"/>
    <w:rsid w:val="00860983"/>
    <w:rsid w:val="008609AF"/>
    <w:rsid w:val="008609DB"/>
    <w:rsid w:val="008609E6"/>
    <w:rsid w:val="008609E7"/>
    <w:rsid w:val="00860A20"/>
    <w:rsid w:val="00860AC3"/>
    <w:rsid w:val="00860B0E"/>
    <w:rsid w:val="00860B22"/>
    <w:rsid w:val="00860B23"/>
    <w:rsid w:val="00860B5E"/>
    <w:rsid w:val="00860CA7"/>
    <w:rsid w:val="00860CB6"/>
    <w:rsid w:val="00860CE0"/>
    <w:rsid w:val="00860D23"/>
    <w:rsid w:val="00860D84"/>
    <w:rsid w:val="00860DE1"/>
    <w:rsid w:val="00860DFE"/>
    <w:rsid w:val="00860E72"/>
    <w:rsid w:val="00860F24"/>
    <w:rsid w:val="00860F32"/>
    <w:rsid w:val="00860F76"/>
    <w:rsid w:val="00860FD9"/>
    <w:rsid w:val="00860FF5"/>
    <w:rsid w:val="00861055"/>
    <w:rsid w:val="0086109D"/>
    <w:rsid w:val="00861120"/>
    <w:rsid w:val="00861185"/>
    <w:rsid w:val="00861251"/>
    <w:rsid w:val="008612A9"/>
    <w:rsid w:val="008612AE"/>
    <w:rsid w:val="00861327"/>
    <w:rsid w:val="00861390"/>
    <w:rsid w:val="00861405"/>
    <w:rsid w:val="0086141F"/>
    <w:rsid w:val="008614E3"/>
    <w:rsid w:val="008614E8"/>
    <w:rsid w:val="0086156B"/>
    <w:rsid w:val="00861582"/>
    <w:rsid w:val="008615D1"/>
    <w:rsid w:val="008615E4"/>
    <w:rsid w:val="0086167C"/>
    <w:rsid w:val="00861683"/>
    <w:rsid w:val="0086173C"/>
    <w:rsid w:val="00861780"/>
    <w:rsid w:val="008617E5"/>
    <w:rsid w:val="0086182D"/>
    <w:rsid w:val="0086186E"/>
    <w:rsid w:val="00861898"/>
    <w:rsid w:val="00861925"/>
    <w:rsid w:val="00861962"/>
    <w:rsid w:val="008619C3"/>
    <w:rsid w:val="008619F2"/>
    <w:rsid w:val="00861A12"/>
    <w:rsid w:val="00861A34"/>
    <w:rsid w:val="00861A59"/>
    <w:rsid w:val="00861A63"/>
    <w:rsid w:val="00861A93"/>
    <w:rsid w:val="00861AAF"/>
    <w:rsid w:val="00861AC9"/>
    <w:rsid w:val="00861B0C"/>
    <w:rsid w:val="00861B97"/>
    <w:rsid w:val="00861B9B"/>
    <w:rsid w:val="00861BF4"/>
    <w:rsid w:val="00861C05"/>
    <w:rsid w:val="00861C63"/>
    <w:rsid w:val="00861D59"/>
    <w:rsid w:val="00861D99"/>
    <w:rsid w:val="00861DA7"/>
    <w:rsid w:val="00861DDF"/>
    <w:rsid w:val="00861F34"/>
    <w:rsid w:val="00861FE1"/>
    <w:rsid w:val="00862010"/>
    <w:rsid w:val="00862021"/>
    <w:rsid w:val="00862030"/>
    <w:rsid w:val="00862074"/>
    <w:rsid w:val="0086207B"/>
    <w:rsid w:val="008620EF"/>
    <w:rsid w:val="008620FE"/>
    <w:rsid w:val="0086212D"/>
    <w:rsid w:val="008621B9"/>
    <w:rsid w:val="008621F5"/>
    <w:rsid w:val="00862283"/>
    <w:rsid w:val="0086232B"/>
    <w:rsid w:val="008623E6"/>
    <w:rsid w:val="0086249B"/>
    <w:rsid w:val="008624A3"/>
    <w:rsid w:val="008624C8"/>
    <w:rsid w:val="00862519"/>
    <w:rsid w:val="00862555"/>
    <w:rsid w:val="00862599"/>
    <w:rsid w:val="008625D4"/>
    <w:rsid w:val="008626A0"/>
    <w:rsid w:val="008626E3"/>
    <w:rsid w:val="008627C3"/>
    <w:rsid w:val="008627F8"/>
    <w:rsid w:val="00862823"/>
    <w:rsid w:val="0086285A"/>
    <w:rsid w:val="0086286E"/>
    <w:rsid w:val="008628B8"/>
    <w:rsid w:val="00862927"/>
    <w:rsid w:val="00862999"/>
    <w:rsid w:val="008629B3"/>
    <w:rsid w:val="008629B5"/>
    <w:rsid w:val="00862A57"/>
    <w:rsid w:val="00862ACE"/>
    <w:rsid w:val="00862B6A"/>
    <w:rsid w:val="00862B9A"/>
    <w:rsid w:val="00862BE9"/>
    <w:rsid w:val="00862BFC"/>
    <w:rsid w:val="00862C00"/>
    <w:rsid w:val="00862C26"/>
    <w:rsid w:val="00862C36"/>
    <w:rsid w:val="00862C4D"/>
    <w:rsid w:val="00862C5B"/>
    <w:rsid w:val="00862CF5"/>
    <w:rsid w:val="00862D11"/>
    <w:rsid w:val="00862D23"/>
    <w:rsid w:val="00862D47"/>
    <w:rsid w:val="00862D8B"/>
    <w:rsid w:val="00862EFE"/>
    <w:rsid w:val="00862F07"/>
    <w:rsid w:val="00862F43"/>
    <w:rsid w:val="00862FB9"/>
    <w:rsid w:val="00863010"/>
    <w:rsid w:val="00863026"/>
    <w:rsid w:val="00863027"/>
    <w:rsid w:val="00863052"/>
    <w:rsid w:val="0086306C"/>
    <w:rsid w:val="00863125"/>
    <w:rsid w:val="0086315F"/>
    <w:rsid w:val="00863265"/>
    <w:rsid w:val="00863283"/>
    <w:rsid w:val="008632D0"/>
    <w:rsid w:val="008632DC"/>
    <w:rsid w:val="00863307"/>
    <w:rsid w:val="00863353"/>
    <w:rsid w:val="00863404"/>
    <w:rsid w:val="00863458"/>
    <w:rsid w:val="00863465"/>
    <w:rsid w:val="008634B5"/>
    <w:rsid w:val="008634E1"/>
    <w:rsid w:val="0086352B"/>
    <w:rsid w:val="00863536"/>
    <w:rsid w:val="0086353D"/>
    <w:rsid w:val="0086361C"/>
    <w:rsid w:val="00863644"/>
    <w:rsid w:val="0086367B"/>
    <w:rsid w:val="008636FA"/>
    <w:rsid w:val="00863706"/>
    <w:rsid w:val="0086371B"/>
    <w:rsid w:val="0086375E"/>
    <w:rsid w:val="008637C3"/>
    <w:rsid w:val="00863824"/>
    <w:rsid w:val="0086399A"/>
    <w:rsid w:val="00863AC0"/>
    <w:rsid w:val="00863AD6"/>
    <w:rsid w:val="00863B07"/>
    <w:rsid w:val="00863B6F"/>
    <w:rsid w:val="00863B71"/>
    <w:rsid w:val="00863BDD"/>
    <w:rsid w:val="00863BFE"/>
    <w:rsid w:val="00863C52"/>
    <w:rsid w:val="00863C91"/>
    <w:rsid w:val="00863CF8"/>
    <w:rsid w:val="00863D0F"/>
    <w:rsid w:val="00863D29"/>
    <w:rsid w:val="00863D6E"/>
    <w:rsid w:val="00863E72"/>
    <w:rsid w:val="00863F2A"/>
    <w:rsid w:val="00863F3B"/>
    <w:rsid w:val="00863F49"/>
    <w:rsid w:val="00863F53"/>
    <w:rsid w:val="00863F87"/>
    <w:rsid w:val="00863FD1"/>
    <w:rsid w:val="00864052"/>
    <w:rsid w:val="00864086"/>
    <w:rsid w:val="00864187"/>
    <w:rsid w:val="00864194"/>
    <w:rsid w:val="00864197"/>
    <w:rsid w:val="008641B2"/>
    <w:rsid w:val="008642AB"/>
    <w:rsid w:val="008642F7"/>
    <w:rsid w:val="00864393"/>
    <w:rsid w:val="008643E0"/>
    <w:rsid w:val="008643EE"/>
    <w:rsid w:val="0086449B"/>
    <w:rsid w:val="008644CE"/>
    <w:rsid w:val="00864510"/>
    <w:rsid w:val="00864527"/>
    <w:rsid w:val="00864548"/>
    <w:rsid w:val="0086455D"/>
    <w:rsid w:val="008645B5"/>
    <w:rsid w:val="008645EC"/>
    <w:rsid w:val="0086465E"/>
    <w:rsid w:val="0086465F"/>
    <w:rsid w:val="008646A2"/>
    <w:rsid w:val="008646EF"/>
    <w:rsid w:val="0086472A"/>
    <w:rsid w:val="008647DD"/>
    <w:rsid w:val="008647DE"/>
    <w:rsid w:val="0086481B"/>
    <w:rsid w:val="0086482F"/>
    <w:rsid w:val="00864837"/>
    <w:rsid w:val="008648B3"/>
    <w:rsid w:val="00864916"/>
    <w:rsid w:val="00864924"/>
    <w:rsid w:val="00864928"/>
    <w:rsid w:val="00864931"/>
    <w:rsid w:val="0086499E"/>
    <w:rsid w:val="008649AC"/>
    <w:rsid w:val="008649CE"/>
    <w:rsid w:val="00864A0C"/>
    <w:rsid w:val="00864A25"/>
    <w:rsid w:val="00864A90"/>
    <w:rsid w:val="00864AD2"/>
    <w:rsid w:val="00864B7F"/>
    <w:rsid w:val="00864B84"/>
    <w:rsid w:val="00864BCB"/>
    <w:rsid w:val="00864C13"/>
    <w:rsid w:val="00864C48"/>
    <w:rsid w:val="00864C4E"/>
    <w:rsid w:val="00864C61"/>
    <w:rsid w:val="00864CBE"/>
    <w:rsid w:val="00864CEF"/>
    <w:rsid w:val="00864D24"/>
    <w:rsid w:val="00864D33"/>
    <w:rsid w:val="00864D44"/>
    <w:rsid w:val="00864D50"/>
    <w:rsid w:val="00864D76"/>
    <w:rsid w:val="00864DCA"/>
    <w:rsid w:val="00864E73"/>
    <w:rsid w:val="00864ED9"/>
    <w:rsid w:val="00864FB9"/>
    <w:rsid w:val="00864FFE"/>
    <w:rsid w:val="00865063"/>
    <w:rsid w:val="0086513A"/>
    <w:rsid w:val="008651FF"/>
    <w:rsid w:val="00865233"/>
    <w:rsid w:val="00865279"/>
    <w:rsid w:val="008652D3"/>
    <w:rsid w:val="00865441"/>
    <w:rsid w:val="00865462"/>
    <w:rsid w:val="008654C0"/>
    <w:rsid w:val="008654EE"/>
    <w:rsid w:val="0086553A"/>
    <w:rsid w:val="00865557"/>
    <w:rsid w:val="00865565"/>
    <w:rsid w:val="008655F8"/>
    <w:rsid w:val="00865646"/>
    <w:rsid w:val="0086566E"/>
    <w:rsid w:val="0086567A"/>
    <w:rsid w:val="00865689"/>
    <w:rsid w:val="00865701"/>
    <w:rsid w:val="0086571E"/>
    <w:rsid w:val="00865793"/>
    <w:rsid w:val="008657C3"/>
    <w:rsid w:val="008657C5"/>
    <w:rsid w:val="008657F6"/>
    <w:rsid w:val="00865878"/>
    <w:rsid w:val="0086593D"/>
    <w:rsid w:val="008659C6"/>
    <w:rsid w:val="008659E9"/>
    <w:rsid w:val="00865A07"/>
    <w:rsid w:val="00865ADC"/>
    <w:rsid w:val="00865B35"/>
    <w:rsid w:val="00865B46"/>
    <w:rsid w:val="00865B55"/>
    <w:rsid w:val="00865BEA"/>
    <w:rsid w:val="00865BF3"/>
    <w:rsid w:val="00865C01"/>
    <w:rsid w:val="00865C18"/>
    <w:rsid w:val="00865C74"/>
    <w:rsid w:val="00865D34"/>
    <w:rsid w:val="00865DEC"/>
    <w:rsid w:val="00865E08"/>
    <w:rsid w:val="00865E31"/>
    <w:rsid w:val="00865E32"/>
    <w:rsid w:val="00865EE3"/>
    <w:rsid w:val="00865F1F"/>
    <w:rsid w:val="00865F35"/>
    <w:rsid w:val="00865FAB"/>
    <w:rsid w:val="00866093"/>
    <w:rsid w:val="00866152"/>
    <w:rsid w:val="00866211"/>
    <w:rsid w:val="0086622C"/>
    <w:rsid w:val="00866232"/>
    <w:rsid w:val="00866252"/>
    <w:rsid w:val="00866272"/>
    <w:rsid w:val="0086628A"/>
    <w:rsid w:val="008662BA"/>
    <w:rsid w:val="008663AD"/>
    <w:rsid w:val="0086645A"/>
    <w:rsid w:val="00866589"/>
    <w:rsid w:val="008665BE"/>
    <w:rsid w:val="0086666B"/>
    <w:rsid w:val="008666F4"/>
    <w:rsid w:val="0086674D"/>
    <w:rsid w:val="0086677F"/>
    <w:rsid w:val="008667AC"/>
    <w:rsid w:val="0086680B"/>
    <w:rsid w:val="008668C8"/>
    <w:rsid w:val="008668D7"/>
    <w:rsid w:val="00866916"/>
    <w:rsid w:val="00866935"/>
    <w:rsid w:val="008669C8"/>
    <w:rsid w:val="008669C9"/>
    <w:rsid w:val="00866AFF"/>
    <w:rsid w:val="00866BAC"/>
    <w:rsid w:val="00866BF1"/>
    <w:rsid w:val="00866BFB"/>
    <w:rsid w:val="00866C8C"/>
    <w:rsid w:val="00866DA2"/>
    <w:rsid w:val="00866DAB"/>
    <w:rsid w:val="00866E36"/>
    <w:rsid w:val="00866E48"/>
    <w:rsid w:val="00866F20"/>
    <w:rsid w:val="00866F28"/>
    <w:rsid w:val="00866FCC"/>
    <w:rsid w:val="00866FDC"/>
    <w:rsid w:val="0086708E"/>
    <w:rsid w:val="008670B8"/>
    <w:rsid w:val="008670EE"/>
    <w:rsid w:val="00867107"/>
    <w:rsid w:val="0086714B"/>
    <w:rsid w:val="00867176"/>
    <w:rsid w:val="008671F9"/>
    <w:rsid w:val="00867221"/>
    <w:rsid w:val="0086723A"/>
    <w:rsid w:val="00867267"/>
    <w:rsid w:val="008672A9"/>
    <w:rsid w:val="008672B3"/>
    <w:rsid w:val="008672E5"/>
    <w:rsid w:val="00867312"/>
    <w:rsid w:val="008673FB"/>
    <w:rsid w:val="00867412"/>
    <w:rsid w:val="008674A9"/>
    <w:rsid w:val="008674D6"/>
    <w:rsid w:val="00867547"/>
    <w:rsid w:val="0086756B"/>
    <w:rsid w:val="00867572"/>
    <w:rsid w:val="0086759B"/>
    <w:rsid w:val="008675DD"/>
    <w:rsid w:val="008675F1"/>
    <w:rsid w:val="00867608"/>
    <w:rsid w:val="008676AA"/>
    <w:rsid w:val="00867706"/>
    <w:rsid w:val="0086770F"/>
    <w:rsid w:val="0086771B"/>
    <w:rsid w:val="0086775A"/>
    <w:rsid w:val="00867824"/>
    <w:rsid w:val="0086782F"/>
    <w:rsid w:val="00867837"/>
    <w:rsid w:val="00867845"/>
    <w:rsid w:val="008678AB"/>
    <w:rsid w:val="008678F4"/>
    <w:rsid w:val="0086791F"/>
    <w:rsid w:val="00867928"/>
    <w:rsid w:val="0086798C"/>
    <w:rsid w:val="0086798E"/>
    <w:rsid w:val="008679B1"/>
    <w:rsid w:val="00867A03"/>
    <w:rsid w:val="00867AA1"/>
    <w:rsid w:val="00867B42"/>
    <w:rsid w:val="00867B59"/>
    <w:rsid w:val="00867B64"/>
    <w:rsid w:val="00867B65"/>
    <w:rsid w:val="00867BD0"/>
    <w:rsid w:val="00867DB3"/>
    <w:rsid w:val="00867DB4"/>
    <w:rsid w:val="00867DC1"/>
    <w:rsid w:val="00867DEC"/>
    <w:rsid w:val="00867DF4"/>
    <w:rsid w:val="00867E18"/>
    <w:rsid w:val="00867EBB"/>
    <w:rsid w:val="00867F97"/>
    <w:rsid w:val="00867FAF"/>
    <w:rsid w:val="00870129"/>
    <w:rsid w:val="0087013F"/>
    <w:rsid w:val="008701CD"/>
    <w:rsid w:val="00870200"/>
    <w:rsid w:val="00870212"/>
    <w:rsid w:val="0087027C"/>
    <w:rsid w:val="00870360"/>
    <w:rsid w:val="008703C3"/>
    <w:rsid w:val="008703CA"/>
    <w:rsid w:val="00870410"/>
    <w:rsid w:val="00870430"/>
    <w:rsid w:val="008704AA"/>
    <w:rsid w:val="00870549"/>
    <w:rsid w:val="008705CC"/>
    <w:rsid w:val="00870600"/>
    <w:rsid w:val="0087062C"/>
    <w:rsid w:val="0087066B"/>
    <w:rsid w:val="0087066E"/>
    <w:rsid w:val="008706A4"/>
    <w:rsid w:val="008706C6"/>
    <w:rsid w:val="0087074D"/>
    <w:rsid w:val="00870750"/>
    <w:rsid w:val="0087075E"/>
    <w:rsid w:val="0087079F"/>
    <w:rsid w:val="008707C8"/>
    <w:rsid w:val="008707E5"/>
    <w:rsid w:val="00870866"/>
    <w:rsid w:val="0087095A"/>
    <w:rsid w:val="00870A30"/>
    <w:rsid w:val="00870A51"/>
    <w:rsid w:val="00870A6F"/>
    <w:rsid w:val="00870A83"/>
    <w:rsid w:val="00870A9A"/>
    <w:rsid w:val="00870B7D"/>
    <w:rsid w:val="00870C36"/>
    <w:rsid w:val="00870C41"/>
    <w:rsid w:val="00870CAB"/>
    <w:rsid w:val="00870CB6"/>
    <w:rsid w:val="00870CC3"/>
    <w:rsid w:val="00870D15"/>
    <w:rsid w:val="00870D5F"/>
    <w:rsid w:val="00870D6C"/>
    <w:rsid w:val="00870E22"/>
    <w:rsid w:val="00870F54"/>
    <w:rsid w:val="00870FD1"/>
    <w:rsid w:val="00871011"/>
    <w:rsid w:val="00871051"/>
    <w:rsid w:val="0087105F"/>
    <w:rsid w:val="00871212"/>
    <w:rsid w:val="00871213"/>
    <w:rsid w:val="0087121A"/>
    <w:rsid w:val="00871260"/>
    <w:rsid w:val="008712CB"/>
    <w:rsid w:val="008712F5"/>
    <w:rsid w:val="00871301"/>
    <w:rsid w:val="0087136A"/>
    <w:rsid w:val="008713BE"/>
    <w:rsid w:val="008713D9"/>
    <w:rsid w:val="0087145A"/>
    <w:rsid w:val="00871468"/>
    <w:rsid w:val="00871471"/>
    <w:rsid w:val="008714CC"/>
    <w:rsid w:val="008714E1"/>
    <w:rsid w:val="0087150D"/>
    <w:rsid w:val="0087151F"/>
    <w:rsid w:val="0087154F"/>
    <w:rsid w:val="00871573"/>
    <w:rsid w:val="00871574"/>
    <w:rsid w:val="00871586"/>
    <w:rsid w:val="00871690"/>
    <w:rsid w:val="00871700"/>
    <w:rsid w:val="00871720"/>
    <w:rsid w:val="00871745"/>
    <w:rsid w:val="00871798"/>
    <w:rsid w:val="008717CB"/>
    <w:rsid w:val="0087183C"/>
    <w:rsid w:val="00871884"/>
    <w:rsid w:val="008718B7"/>
    <w:rsid w:val="00871930"/>
    <w:rsid w:val="008719AB"/>
    <w:rsid w:val="00871A56"/>
    <w:rsid w:val="00871A6C"/>
    <w:rsid w:val="00871A77"/>
    <w:rsid w:val="00871A9A"/>
    <w:rsid w:val="00871B46"/>
    <w:rsid w:val="00871BAE"/>
    <w:rsid w:val="00871BCB"/>
    <w:rsid w:val="00871BCC"/>
    <w:rsid w:val="00871BFC"/>
    <w:rsid w:val="00871CB1"/>
    <w:rsid w:val="00871D77"/>
    <w:rsid w:val="00871D8E"/>
    <w:rsid w:val="00871D98"/>
    <w:rsid w:val="00871E1E"/>
    <w:rsid w:val="00871E84"/>
    <w:rsid w:val="00871EA0"/>
    <w:rsid w:val="00871EC2"/>
    <w:rsid w:val="00871EC9"/>
    <w:rsid w:val="00871EEC"/>
    <w:rsid w:val="00871F77"/>
    <w:rsid w:val="00871FE8"/>
    <w:rsid w:val="00871FF3"/>
    <w:rsid w:val="00872063"/>
    <w:rsid w:val="008720F2"/>
    <w:rsid w:val="00872140"/>
    <w:rsid w:val="0087214B"/>
    <w:rsid w:val="00872150"/>
    <w:rsid w:val="0087219A"/>
    <w:rsid w:val="008721E6"/>
    <w:rsid w:val="00872217"/>
    <w:rsid w:val="0087223E"/>
    <w:rsid w:val="00872248"/>
    <w:rsid w:val="00872272"/>
    <w:rsid w:val="00872301"/>
    <w:rsid w:val="00872306"/>
    <w:rsid w:val="0087231B"/>
    <w:rsid w:val="00872359"/>
    <w:rsid w:val="0087247A"/>
    <w:rsid w:val="008724B3"/>
    <w:rsid w:val="008724C1"/>
    <w:rsid w:val="00872506"/>
    <w:rsid w:val="00872526"/>
    <w:rsid w:val="00872612"/>
    <w:rsid w:val="00872683"/>
    <w:rsid w:val="008726E4"/>
    <w:rsid w:val="0087270F"/>
    <w:rsid w:val="008727E8"/>
    <w:rsid w:val="00872805"/>
    <w:rsid w:val="0087287A"/>
    <w:rsid w:val="0087291C"/>
    <w:rsid w:val="0087299B"/>
    <w:rsid w:val="008729F3"/>
    <w:rsid w:val="00872A64"/>
    <w:rsid w:val="00872A9C"/>
    <w:rsid w:val="00872AF4"/>
    <w:rsid w:val="00872B84"/>
    <w:rsid w:val="00872BAA"/>
    <w:rsid w:val="00872BC6"/>
    <w:rsid w:val="00872C1A"/>
    <w:rsid w:val="00872C6A"/>
    <w:rsid w:val="00872CA4"/>
    <w:rsid w:val="00872D80"/>
    <w:rsid w:val="00872D9E"/>
    <w:rsid w:val="00872E4A"/>
    <w:rsid w:val="00872EFA"/>
    <w:rsid w:val="00872EFD"/>
    <w:rsid w:val="00872F6D"/>
    <w:rsid w:val="00872F70"/>
    <w:rsid w:val="00872F9B"/>
    <w:rsid w:val="00872FCB"/>
    <w:rsid w:val="00873017"/>
    <w:rsid w:val="00873056"/>
    <w:rsid w:val="00873071"/>
    <w:rsid w:val="008730AD"/>
    <w:rsid w:val="008730DB"/>
    <w:rsid w:val="0087311B"/>
    <w:rsid w:val="00873192"/>
    <w:rsid w:val="008731A4"/>
    <w:rsid w:val="008731E4"/>
    <w:rsid w:val="00873256"/>
    <w:rsid w:val="00873264"/>
    <w:rsid w:val="008732D5"/>
    <w:rsid w:val="008732E4"/>
    <w:rsid w:val="00873308"/>
    <w:rsid w:val="00873330"/>
    <w:rsid w:val="0087342A"/>
    <w:rsid w:val="00873451"/>
    <w:rsid w:val="0087352A"/>
    <w:rsid w:val="00873546"/>
    <w:rsid w:val="0087357C"/>
    <w:rsid w:val="0087357E"/>
    <w:rsid w:val="008735D4"/>
    <w:rsid w:val="008735EC"/>
    <w:rsid w:val="008736CA"/>
    <w:rsid w:val="008736EA"/>
    <w:rsid w:val="00873708"/>
    <w:rsid w:val="0087372A"/>
    <w:rsid w:val="008737B4"/>
    <w:rsid w:val="008737BD"/>
    <w:rsid w:val="00873807"/>
    <w:rsid w:val="00873971"/>
    <w:rsid w:val="00873997"/>
    <w:rsid w:val="00873A50"/>
    <w:rsid w:val="00873A74"/>
    <w:rsid w:val="00873B03"/>
    <w:rsid w:val="00873B48"/>
    <w:rsid w:val="00873B55"/>
    <w:rsid w:val="00873B93"/>
    <w:rsid w:val="00873B9E"/>
    <w:rsid w:val="00873BD8"/>
    <w:rsid w:val="00873BED"/>
    <w:rsid w:val="00873C2C"/>
    <w:rsid w:val="00873C32"/>
    <w:rsid w:val="00873C58"/>
    <w:rsid w:val="00873C65"/>
    <w:rsid w:val="00873CBA"/>
    <w:rsid w:val="00873D1C"/>
    <w:rsid w:val="00873D2F"/>
    <w:rsid w:val="00873DD8"/>
    <w:rsid w:val="00873E1B"/>
    <w:rsid w:val="00873E1E"/>
    <w:rsid w:val="00873E79"/>
    <w:rsid w:val="00873F85"/>
    <w:rsid w:val="00873FC3"/>
    <w:rsid w:val="00873FED"/>
    <w:rsid w:val="00873FEF"/>
    <w:rsid w:val="00874026"/>
    <w:rsid w:val="0087413A"/>
    <w:rsid w:val="0087416D"/>
    <w:rsid w:val="00874181"/>
    <w:rsid w:val="00874193"/>
    <w:rsid w:val="008741E7"/>
    <w:rsid w:val="008742BB"/>
    <w:rsid w:val="00874415"/>
    <w:rsid w:val="008745E4"/>
    <w:rsid w:val="00874630"/>
    <w:rsid w:val="00874639"/>
    <w:rsid w:val="008747EC"/>
    <w:rsid w:val="0087484E"/>
    <w:rsid w:val="008748A2"/>
    <w:rsid w:val="008748A8"/>
    <w:rsid w:val="008748B3"/>
    <w:rsid w:val="008748FA"/>
    <w:rsid w:val="0087494F"/>
    <w:rsid w:val="00874991"/>
    <w:rsid w:val="008749A5"/>
    <w:rsid w:val="00874A99"/>
    <w:rsid w:val="00874AC1"/>
    <w:rsid w:val="00874AD9"/>
    <w:rsid w:val="00874B33"/>
    <w:rsid w:val="00874B7D"/>
    <w:rsid w:val="00874B89"/>
    <w:rsid w:val="00874BDA"/>
    <w:rsid w:val="00874BEA"/>
    <w:rsid w:val="00874C46"/>
    <w:rsid w:val="00874C81"/>
    <w:rsid w:val="00874CF3"/>
    <w:rsid w:val="00874D0E"/>
    <w:rsid w:val="00874D9A"/>
    <w:rsid w:val="00874DB4"/>
    <w:rsid w:val="00874DC8"/>
    <w:rsid w:val="00874DCA"/>
    <w:rsid w:val="00874DCF"/>
    <w:rsid w:val="00874E7C"/>
    <w:rsid w:val="00874E89"/>
    <w:rsid w:val="00874E91"/>
    <w:rsid w:val="00874EC7"/>
    <w:rsid w:val="00874ED9"/>
    <w:rsid w:val="00874EE8"/>
    <w:rsid w:val="00874F22"/>
    <w:rsid w:val="00874F3B"/>
    <w:rsid w:val="00875003"/>
    <w:rsid w:val="00875034"/>
    <w:rsid w:val="00875090"/>
    <w:rsid w:val="008750C6"/>
    <w:rsid w:val="00875105"/>
    <w:rsid w:val="008751FD"/>
    <w:rsid w:val="00875263"/>
    <w:rsid w:val="0087528E"/>
    <w:rsid w:val="00875298"/>
    <w:rsid w:val="0087529B"/>
    <w:rsid w:val="008752E0"/>
    <w:rsid w:val="008753F5"/>
    <w:rsid w:val="0087544B"/>
    <w:rsid w:val="00875457"/>
    <w:rsid w:val="0087562C"/>
    <w:rsid w:val="0087567E"/>
    <w:rsid w:val="008756A3"/>
    <w:rsid w:val="008756BD"/>
    <w:rsid w:val="008756E4"/>
    <w:rsid w:val="00875708"/>
    <w:rsid w:val="008757C3"/>
    <w:rsid w:val="008757F8"/>
    <w:rsid w:val="00875893"/>
    <w:rsid w:val="008758E0"/>
    <w:rsid w:val="00875910"/>
    <w:rsid w:val="00875950"/>
    <w:rsid w:val="0087596F"/>
    <w:rsid w:val="008759B4"/>
    <w:rsid w:val="008759DB"/>
    <w:rsid w:val="00875A0A"/>
    <w:rsid w:val="00875A8C"/>
    <w:rsid w:val="00875B38"/>
    <w:rsid w:val="00875B52"/>
    <w:rsid w:val="00875BC1"/>
    <w:rsid w:val="00875C3B"/>
    <w:rsid w:val="00875C56"/>
    <w:rsid w:val="00875CB5"/>
    <w:rsid w:val="00875CFE"/>
    <w:rsid w:val="00875D1C"/>
    <w:rsid w:val="00875D4E"/>
    <w:rsid w:val="00875DD1"/>
    <w:rsid w:val="00875E28"/>
    <w:rsid w:val="00875EC9"/>
    <w:rsid w:val="00875F70"/>
    <w:rsid w:val="00875F75"/>
    <w:rsid w:val="0087606E"/>
    <w:rsid w:val="008760A4"/>
    <w:rsid w:val="008760E9"/>
    <w:rsid w:val="0087611D"/>
    <w:rsid w:val="0087615D"/>
    <w:rsid w:val="0087617E"/>
    <w:rsid w:val="00876245"/>
    <w:rsid w:val="008762E1"/>
    <w:rsid w:val="00876363"/>
    <w:rsid w:val="0087638A"/>
    <w:rsid w:val="008763AC"/>
    <w:rsid w:val="008763EC"/>
    <w:rsid w:val="0087640A"/>
    <w:rsid w:val="008764A7"/>
    <w:rsid w:val="008764ED"/>
    <w:rsid w:val="00876535"/>
    <w:rsid w:val="00876585"/>
    <w:rsid w:val="00876675"/>
    <w:rsid w:val="00876676"/>
    <w:rsid w:val="0087669C"/>
    <w:rsid w:val="008766C6"/>
    <w:rsid w:val="008766F9"/>
    <w:rsid w:val="0087673B"/>
    <w:rsid w:val="008767DE"/>
    <w:rsid w:val="008767E3"/>
    <w:rsid w:val="00876886"/>
    <w:rsid w:val="00876951"/>
    <w:rsid w:val="0087695D"/>
    <w:rsid w:val="00876965"/>
    <w:rsid w:val="00876979"/>
    <w:rsid w:val="0087697C"/>
    <w:rsid w:val="0087697F"/>
    <w:rsid w:val="008769A2"/>
    <w:rsid w:val="00876A04"/>
    <w:rsid w:val="00876A0D"/>
    <w:rsid w:val="00876A1E"/>
    <w:rsid w:val="00876A1F"/>
    <w:rsid w:val="00876A55"/>
    <w:rsid w:val="00876A62"/>
    <w:rsid w:val="00876A6F"/>
    <w:rsid w:val="00876B0E"/>
    <w:rsid w:val="00876BC1"/>
    <w:rsid w:val="00876C40"/>
    <w:rsid w:val="00876D0B"/>
    <w:rsid w:val="00876D31"/>
    <w:rsid w:val="00876D3C"/>
    <w:rsid w:val="00876DAA"/>
    <w:rsid w:val="00876E1B"/>
    <w:rsid w:val="00876E34"/>
    <w:rsid w:val="00876EB2"/>
    <w:rsid w:val="00876EE4"/>
    <w:rsid w:val="00876EEC"/>
    <w:rsid w:val="00876F57"/>
    <w:rsid w:val="00876F84"/>
    <w:rsid w:val="00876F97"/>
    <w:rsid w:val="00876FB5"/>
    <w:rsid w:val="0087700D"/>
    <w:rsid w:val="00877079"/>
    <w:rsid w:val="008770B6"/>
    <w:rsid w:val="008770F0"/>
    <w:rsid w:val="00877108"/>
    <w:rsid w:val="00877158"/>
    <w:rsid w:val="008771C3"/>
    <w:rsid w:val="008771EC"/>
    <w:rsid w:val="008771EE"/>
    <w:rsid w:val="0087721C"/>
    <w:rsid w:val="00877244"/>
    <w:rsid w:val="00877278"/>
    <w:rsid w:val="0087728F"/>
    <w:rsid w:val="008772EB"/>
    <w:rsid w:val="00877338"/>
    <w:rsid w:val="00877364"/>
    <w:rsid w:val="00877380"/>
    <w:rsid w:val="008773DF"/>
    <w:rsid w:val="008773FA"/>
    <w:rsid w:val="0087743D"/>
    <w:rsid w:val="00877444"/>
    <w:rsid w:val="008774C7"/>
    <w:rsid w:val="008774E0"/>
    <w:rsid w:val="00877583"/>
    <w:rsid w:val="008775BB"/>
    <w:rsid w:val="00877687"/>
    <w:rsid w:val="008776CF"/>
    <w:rsid w:val="0087772F"/>
    <w:rsid w:val="0087779E"/>
    <w:rsid w:val="008777CD"/>
    <w:rsid w:val="008777EF"/>
    <w:rsid w:val="00877903"/>
    <w:rsid w:val="00877924"/>
    <w:rsid w:val="008779FE"/>
    <w:rsid w:val="00877B39"/>
    <w:rsid w:val="00877B88"/>
    <w:rsid w:val="00877BED"/>
    <w:rsid w:val="00877C4A"/>
    <w:rsid w:val="00877CB7"/>
    <w:rsid w:val="00877CD2"/>
    <w:rsid w:val="00877CF1"/>
    <w:rsid w:val="00877E22"/>
    <w:rsid w:val="00877E2F"/>
    <w:rsid w:val="00877EB8"/>
    <w:rsid w:val="00877EFE"/>
    <w:rsid w:val="00877F77"/>
    <w:rsid w:val="00880009"/>
    <w:rsid w:val="00880058"/>
    <w:rsid w:val="00880071"/>
    <w:rsid w:val="00880085"/>
    <w:rsid w:val="00880125"/>
    <w:rsid w:val="0088012F"/>
    <w:rsid w:val="008801B0"/>
    <w:rsid w:val="008801D0"/>
    <w:rsid w:val="008801E6"/>
    <w:rsid w:val="008801EC"/>
    <w:rsid w:val="00880439"/>
    <w:rsid w:val="00880474"/>
    <w:rsid w:val="00880475"/>
    <w:rsid w:val="0088049F"/>
    <w:rsid w:val="008804A6"/>
    <w:rsid w:val="008804C1"/>
    <w:rsid w:val="008804CE"/>
    <w:rsid w:val="008804FA"/>
    <w:rsid w:val="00880506"/>
    <w:rsid w:val="00880510"/>
    <w:rsid w:val="0088055A"/>
    <w:rsid w:val="008805AC"/>
    <w:rsid w:val="00880639"/>
    <w:rsid w:val="0088067E"/>
    <w:rsid w:val="00880712"/>
    <w:rsid w:val="00880773"/>
    <w:rsid w:val="008807C6"/>
    <w:rsid w:val="008807E0"/>
    <w:rsid w:val="0088084B"/>
    <w:rsid w:val="00880895"/>
    <w:rsid w:val="0088095C"/>
    <w:rsid w:val="00880974"/>
    <w:rsid w:val="00880A28"/>
    <w:rsid w:val="00880A5F"/>
    <w:rsid w:val="00880AC5"/>
    <w:rsid w:val="00880AE1"/>
    <w:rsid w:val="00880B0D"/>
    <w:rsid w:val="00880B13"/>
    <w:rsid w:val="00880B2F"/>
    <w:rsid w:val="00880C20"/>
    <w:rsid w:val="00880C85"/>
    <w:rsid w:val="00880CD7"/>
    <w:rsid w:val="00880CE5"/>
    <w:rsid w:val="00880CF8"/>
    <w:rsid w:val="00880E0D"/>
    <w:rsid w:val="00880E84"/>
    <w:rsid w:val="00880E9B"/>
    <w:rsid w:val="00880F12"/>
    <w:rsid w:val="00880F41"/>
    <w:rsid w:val="00880FB2"/>
    <w:rsid w:val="00881018"/>
    <w:rsid w:val="0088105E"/>
    <w:rsid w:val="00881250"/>
    <w:rsid w:val="00881267"/>
    <w:rsid w:val="008812D6"/>
    <w:rsid w:val="008812F1"/>
    <w:rsid w:val="00881322"/>
    <w:rsid w:val="008813DF"/>
    <w:rsid w:val="00881410"/>
    <w:rsid w:val="00881492"/>
    <w:rsid w:val="008814B5"/>
    <w:rsid w:val="0088154D"/>
    <w:rsid w:val="00881614"/>
    <w:rsid w:val="0088165A"/>
    <w:rsid w:val="00881687"/>
    <w:rsid w:val="00881713"/>
    <w:rsid w:val="00881728"/>
    <w:rsid w:val="00881787"/>
    <w:rsid w:val="008817EB"/>
    <w:rsid w:val="008817FD"/>
    <w:rsid w:val="0088184B"/>
    <w:rsid w:val="00881884"/>
    <w:rsid w:val="0088189B"/>
    <w:rsid w:val="008818E8"/>
    <w:rsid w:val="00881909"/>
    <w:rsid w:val="00881936"/>
    <w:rsid w:val="00881945"/>
    <w:rsid w:val="00881980"/>
    <w:rsid w:val="008819A6"/>
    <w:rsid w:val="008819EB"/>
    <w:rsid w:val="008819FF"/>
    <w:rsid w:val="00881A33"/>
    <w:rsid w:val="00881A3C"/>
    <w:rsid w:val="00881A4C"/>
    <w:rsid w:val="00881B25"/>
    <w:rsid w:val="00881B2C"/>
    <w:rsid w:val="00881B99"/>
    <w:rsid w:val="00881BAD"/>
    <w:rsid w:val="00881BAF"/>
    <w:rsid w:val="00881BE0"/>
    <w:rsid w:val="00881BEF"/>
    <w:rsid w:val="00881C57"/>
    <w:rsid w:val="00881D14"/>
    <w:rsid w:val="00881D1F"/>
    <w:rsid w:val="00881D72"/>
    <w:rsid w:val="00881DB8"/>
    <w:rsid w:val="00881DD7"/>
    <w:rsid w:val="00881DFB"/>
    <w:rsid w:val="00881F5B"/>
    <w:rsid w:val="00882051"/>
    <w:rsid w:val="008820B1"/>
    <w:rsid w:val="00882119"/>
    <w:rsid w:val="00882143"/>
    <w:rsid w:val="0088216F"/>
    <w:rsid w:val="00882175"/>
    <w:rsid w:val="00882184"/>
    <w:rsid w:val="008821A0"/>
    <w:rsid w:val="008821AA"/>
    <w:rsid w:val="008821E4"/>
    <w:rsid w:val="0088226F"/>
    <w:rsid w:val="0088230A"/>
    <w:rsid w:val="008823A0"/>
    <w:rsid w:val="00882527"/>
    <w:rsid w:val="0088257F"/>
    <w:rsid w:val="008825C9"/>
    <w:rsid w:val="008825DE"/>
    <w:rsid w:val="008825F7"/>
    <w:rsid w:val="0088271D"/>
    <w:rsid w:val="0088273F"/>
    <w:rsid w:val="0088276A"/>
    <w:rsid w:val="00882780"/>
    <w:rsid w:val="0088279F"/>
    <w:rsid w:val="008827B4"/>
    <w:rsid w:val="00882818"/>
    <w:rsid w:val="00882941"/>
    <w:rsid w:val="00882A14"/>
    <w:rsid w:val="00882A1D"/>
    <w:rsid w:val="00882A65"/>
    <w:rsid w:val="00882ADA"/>
    <w:rsid w:val="00882ADE"/>
    <w:rsid w:val="00882B0F"/>
    <w:rsid w:val="00882B3D"/>
    <w:rsid w:val="00882B5D"/>
    <w:rsid w:val="00882B70"/>
    <w:rsid w:val="00882C72"/>
    <w:rsid w:val="00882D30"/>
    <w:rsid w:val="00882DC0"/>
    <w:rsid w:val="00882EB7"/>
    <w:rsid w:val="00882ED8"/>
    <w:rsid w:val="00883008"/>
    <w:rsid w:val="0088300B"/>
    <w:rsid w:val="0088309D"/>
    <w:rsid w:val="008830B0"/>
    <w:rsid w:val="00883121"/>
    <w:rsid w:val="008831BF"/>
    <w:rsid w:val="00883233"/>
    <w:rsid w:val="0088326D"/>
    <w:rsid w:val="00883280"/>
    <w:rsid w:val="008832A4"/>
    <w:rsid w:val="008833A1"/>
    <w:rsid w:val="008833B5"/>
    <w:rsid w:val="00883445"/>
    <w:rsid w:val="0088348B"/>
    <w:rsid w:val="008834E4"/>
    <w:rsid w:val="00883597"/>
    <w:rsid w:val="008835D8"/>
    <w:rsid w:val="00883608"/>
    <w:rsid w:val="0088361F"/>
    <w:rsid w:val="00883638"/>
    <w:rsid w:val="00883694"/>
    <w:rsid w:val="008836DC"/>
    <w:rsid w:val="0088371D"/>
    <w:rsid w:val="00883809"/>
    <w:rsid w:val="00883828"/>
    <w:rsid w:val="0088384E"/>
    <w:rsid w:val="00883871"/>
    <w:rsid w:val="008838A9"/>
    <w:rsid w:val="008838CF"/>
    <w:rsid w:val="0088395D"/>
    <w:rsid w:val="0088396C"/>
    <w:rsid w:val="0088399A"/>
    <w:rsid w:val="008839D2"/>
    <w:rsid w:val="00883A0D"/>
    <w:rsid w:val="00883AB1"/>
    <w:rsid w:val="00883B13"/>
    <w:rsid w:val="00883B1B"/>
    <w:rsid w:val="00883B26"/>
    <w:rsid w:val="00883B4B"/>
    <w:rsid w:val="00883CBC"/>
    <w:rsid w:val="00883CBE"/>
    <w:rsid w:val="00883DC6"/>
    <w:rsid w:val="00883E29"/>
    <w:rsid w:val="00883EB7"/>
    <w:rsid w:val="00883EFB"/>
    <w:rsid w:val="00883FA3"/>
    <w:rsid w:val="00883FD4"/>
    <w:rsid w:val="00884013"/>
    <w:rsid w:val="00884034"/>
    <w:rsid w:val="0088407B"/>
    <w:rsid w:val="0088410F"/>
    <w:rsid w:val="00884197"/>
    <w:rsid w:val="008841B6"/>
    <w:rsid w:val="008841B9"/>
    <w:rsid w:val="00884284"/>
    <w:rsid w:val="008842C0"/>
    <w:rsid w:val="00884399"/>
    <w:rsid w:val="00884418"/>
    <w:rsid w:val="0088445A"/>
    <w:rsid w:val="008844C9"/>
    <w:rsid w:val="008844EA"/>
    <w:rsid w:val="00884516"/>
    <w:rsid w:val="0088455F"/>
    <w:rsid w:val="008845D7"/>
    <w:rsid w:val="008845DC"/>
    <w:rsid w:val="0088460C"/>
    <w:rsid w:val="008846F6"/>
    <w:rsid w:val="0088472A"/>
    <w:rsid w:val="00884795"/>
    <w:rsid w:val="00884817"/>
    <w:rsid w:val="0088483A"/>
    <w:rsid w:val="0088483F"/>
    <w:rsid w:val="00884897"/>
    <w:rsid w:val="008848A4"/>
    <w:rsid w:val="008849AD"/>
    <w:rsid w:val="008849C5"/>
    <w:rsid w:val="008849FA"/>
    <w:rsid w:val="00884A3D"/>
    <w:rsid w:val="00884A4F"/>
    <w:rsid w:val="00884A90"/>
    <w:rsid w:val="00884ABC"/>
    <w:rsid w:val="00884B14"/>
    <w:rsid w:val="00884B49"/>
    <w:rsid w:val="00884BD6"/>
    <w:rsid w:val="00884C5E"/>
    <w:rsid w:val="00884C6B"/>
    <w:rsid w:val="00884D35"/>
    <w:rsid w:val="00884D56"/>
    <w:rsid w:val="00884E03"/>
    <w:rsid w:val="00884E26"/>
    <w:rsid w:val="00884E65"/>
    <w:rsid w:val="00884E89"/>
    <w:rsid w:val="00884EFC"/>
    <w:rsid w:val="00884F99"/>
    <w:rsid w:val="00884FB2"/>
    <w:rsid w:val="008850B8"/>
    <w:rsid w:val="008850E2"/>
    <w:rsid w:val="00885126"/>
    <w:rsid w:val="00885143"/>
    <w:rsid w:val="008851E7"/>
    <w:rsid w:val="00885215"/>
    <w:rsid w:val="00885255"/>
    <w:rsid w:val="008852EA"/>
    <w:rsid w:val="008853C8"/>
    <w:rsid w:val="00885459"/>
    <w:rsid w:val="00885478"/>
    <w:rsid w:val="008854AF"/>
    <w:rsid w:val="008854CE"/>
    <w:rsid w:val="00885508"/>
    <w:rsid w:val="0088550A"/>
    <w:rsid w:val="0088552B"/>
    <w:rsid w:val="00885585"/>
    <w:rsid w:val="008855AB"/>
    <w:rsid w:val="008855B3"/>
    <w:rsid w:val="008856A5"/>
    <w:rsid w:val="008857C3"/>
    <w:rsid w:val="00885812"/>
    <w:rsid w:val="0088581F"/>
    <w:rsid w:val="008858D3"/>
    <w:rsid w:val="008858F5"/>
    <w:rsid w:val="0088593B"/>
    <w:rsid w:val="00885976"/>
    <w:rsid w:val="0088597E"/>
    <w:rsid w:val="008859AC"/>
    <w:rsid w:val="00885A40"/>
    <w:rsid w:val="00885B35"/>
    <w:rsid w:val="00885B5A"/>
    <w:rsid w:val="00885BA4"/>
    <w:rsid w:val="00885BAD"/>
    <w:rsid w:val="00885BFE"/>
    <w:rsid w:val="00885CD8"/>
    <w:rsid w:val="00885CDD"/>
    <w:rsid w:val="00885D01"/>
    <w:rsid w:val="00885D05"/>
    <w:rsid w:val="00885D5A"/>
    <w:rsid w:val="00885DB1"/>
    <w:rsid w:val="00885DD9"/>
    <w:rsid w:val="00885E00"/>
    <w:rsid w:val="00885E46"/>
    <w:rsid w:val="00885E6C"/>
    <w:rsid w:val="00885FD2"/>
    <w:rsid w:val="0088600F"/>
    <w:rsid w:val="008860B3"/>
    <w:rsid w:val="008860D6"/>
    <w:rsid w:val="00886126"/>
    <w:rsid w:val="0088618F"/>
    <w:rsid w:val="00886278"/>
    <w:rsid w:val="008862AA"/>
    <w:rsid w:val="00886390"/>
    <w:rsid w:val="0088647D"/>
    <w:rsid w:val="00886552"/>
    <w:rsid w:val="008865CF"/>
    <w:rsid w:val="008865E8"/>
    <w:rsid w:val="008865ED"/>
    <w:rsid w:val="00886609"/>
    <w:rsid w:val="00886749"/>
    <w:rsid w:val="0088683C"/>
    <w:rsid w:val="0088684F"/>
    <w:rsid w:val="00886938"/>
    <w:rsid w:val="00886985"/>
    <w:rsid w:val="008869AD"/>
    <w:rsid w:val="008869D0"/>
    <w:rsid w:val="00886A3A"/>
    <w:rsid w:val="00886A78"/>
    <w:rsid w:val="00886A7D"/>
    <w:rsid w:val="00886AA3"/>
    <w:rsid w:val="00886B38"/>
    <w:rsid w:val="00886B49"/>
    <w:rsid w:val="00886B77"/>
    <w:rsid w:val="00886BD2"/>
    <w:rsid w:val="00886C83"/>
    <w:rsid w:val="00886CD0"/>
    <w:rsid w:val="00886CE5"/>
    <w:rsid w:val="00886D74"/>
    <w:rsid w:val="00886DCC"/>
    <w:rsid w:val="00886E26"/>
    <w:rsid w:val="00886EAE"/>
    <w:rsid w:val="00886EF1"/>
    <w:rsid w:val="00886F23"/>
    <w:rsid w:val="00886F91"/>
    <w:rsid w:val="00886FA4"/>
    <w:rsid w:val="00886FDD"/>
    <w:rsid w:val="008870C5"/>
    <w:rsid w:val="00887115"/>
    <w:rsid w:val="00887127"/>
    <w:rsid w:val="00887183"/>
    <w:rsid w:val="008871AE"/>
    <w:rsid w:val="008871E2"/>
    <w:rsid w:val="00887238"/>
    <w:rsid w:val="00887260"/>
    <w:rsid w:val="00887261"/>
    <w:rsid w:val="0088727F"/>
    <w:rsid w:val="008872C6"/>
    <w:rsid w:val="008872CF"/>
    <w:rsid w:val="008873AC"/>
    <w:rsid w:val="008873F6"/>
    <w:rsid w:val="00887408"/>
    <w:rsid w:val="00887444"/>
    <w:rsid w:val="008874A3"/>
    <w:rsid w:val="008874E4"/>
    <w:rsid w:val="00887542"/>
    <w:rsid w:val="0088757E"/>
    <w:rsid w:val="008876A7"/>
    <w:rsid w:val="008876BC"/>
    <w:rsid w:val="0088774C"/>
    <w:rsid w:val="008877B9"/>
    <w:rsid w:val="0088782F"/>
    <w:rsid w:val="0088787E"/>
    <w:rsid w:val="00887892"/>
    <w:rsid w:val="008878BC"/>
    <w:rsid w:val="00887915"/>
    <w:rsid w:val="0088792F"/>
    <w:rsid w:val="0088795A"/>
    <w:rsid w:val="0088795C"/>
    <w:rsid w:val="00887964"/>
    <w:rsid w:val="00887992"/>
    <w:rsid w:val="008879D7"/>
    <w:rsid w:val="00887A6B"/>
    <w:rsid w:val="00887AB8"/>
    <w:rsid w:val="00887AE4"/>
    <w:rsid w:val="00887AE8"/>
    <w:rsid w:val="00887AF7"/>
    <w:rsid w:val="00887AFE"/>
    <w:rsid w:val="00887B5E"/>
    <w:rsid w:val="00887BD3"/>
    <w:rsid w:val="00887BD7"/>
    <w:rsid w:val="00887BEC"/>
    <w:rsid w:val="00887C40"/>
    <w:rsid w:val="00887CB1"/>
    <w:rsid w:val="00887CB6"/>
    <w:rsid w:val="00887CDF"/>
    <w:rsid w:val="00887D4C"/>
    <w:rsid w:val="00887DD4"/>
    <w:rsid w:val="00887E70"/>
    <w:rsid w:val="00890009"/>
    <w:rsid w:val="00890033"/>
    <w:rsid w:val="008900D3"/>
    <w:rsid w:val="0089013F"/>
    <w:rsid w:val="00890162"/>
    <w:rsid w:val="008901CB"/>
    <w:rsid w:val="00890259"/>
    <w:rsid w:val="0089026C"/>
    <w:rsid w:val="00890290"/>
    <w:rsid w:val="008902A0"/>
    <w:rsid w:val="008902A1"/>
    <w:rsid w:val="008902D3"/>
    <w:rsid w:val="00890327"/>
    <w:rsid w:val="008904DD"/>
    <w:rsid w:val="008904F2"/>
    <w:rsid w:val="00890502"/>
    <w:rsid w:val="00890528"/>
    <w:rsid w:val="008906DE"/>
    <w:rsid w:val="0089076C"/>
    <w:rsid w:val="008907FD"/>
    <w:rsid w:val="00890889"/>
    <w:rsid w:val="008908A7"/>
    <w:rsid w:val="008908D9"/>
    <w:rsid w:val="0089092C"/>
    <w:rsid w:val="00890999"/>
    <w:rsid w:val="008909C2"/>
    <w:rsid w:val="00890B11"/>
    <w:rsid w:val="00890B37"/>
    <w:rsid w:val="00890B46"/>
    <w:rsid w:val="00890B7C"/>
    <w:rsid w:val="00890BD0"/>
    <w:rsid w:val="00890BF2"/>
    <w:rsid w:val="00890C6F"/>
    <w:rsid w:val="00890C88"/>
    <w:rsid w:val="00890CA5"/>
    <w:rsid w:val="00890CAC"/>
    <w:rsid w:val="00890CC6"/>
    <w:rsid w:val="00890CDD"/>
    <w:rsid w:val="00890CFA"/>
    <w:rsid w:val="00890F60"/>
    <w:rsid w:val="00891003"/>
    <w:rsid w:val="0089102E"/>
    <w:rsid w:val="008910BB"/>
    <w:rsid w:val="008910FE"/>
    <w:rsid w:val="00891107"/>
    <w:rsid w:val="0089111A"/>
    <w:rsid w:val="0089119D"/>
    <w:rsid w:val="008911B1"/>
    <w:rsid w:val="008911D6"/>
    <w:rsid w:val="00891249"/>
    <w:rsid w:val="008912C1"/>
    <w:rsid w:val="008913F9"/>
    <w:rsid w:val="0089149A"/>
    <w:rsid w:val="008914D9"/>
    <w:rsid w:val="008914F7"/>
    <w:rsid w:val="008915B5"/>
    <w:rsid w:val="0089170B"/>
    <w:rsid w:val="0089172D"/>
    <w:rsid w:val="00891865"/>
    <w:rsid w:val="008918EB"/>
    <w:rsid w:val="008919C8"/>
    <w:rsid w:val="00891A79"/>
    <w:rsid w:val="00891AB2"/>
    <w:rsid w:val="00891AC5"/>
    <w:rsid w:val="00891AD2"/>
    <w:rsid w:val="00891BCE"/>
    <w:rsid w:val="00891CCC"/>
    <w:rsid w:val="00891CFD"/>
    <w:rsid w:val="00891D76"/>
    <w:rsid w:val="00891D98"/>
    <w:rsid w:val="00891DA4"/>
    <w:rsid w:val="00891DC5"/>
    <w:rsid w:val="00891E46"/>
    <w:rsid w:val="00891ED1"/>
    <w:rsid w:val="00891F2B"/>
    <w:rsid w:val="00891F58"/>
    <w:rsid w:val="00891FB5"/>
    <w:rsid w:val="0089206C"/>
    <w:rsid w:val="008920EA"/>
    <w:rsid w:val="0089216E"/>
    <w:rsid w:val="008921D6"/>
    <w:rsid w:val="00892220"/>
    <w:rsid w:val="0089222D"/>
    <w:rsid w:val="0089225B"/>
    <w:rsid w:val="0089233F"/>
    <w:rsid w:val="00892393"/>
    <w:rsid w:val="0089241C"/>
    <w:rsid w:val="00892430"/>
    <w:rsid w:val="00892584"/>
    <w:rsid w:val="0089272A"/>
    <w:rsid w:val="00892778"/>
    <w:rsid w:val="008927B4"/>
    <w:rsid w:val="0089280B"/>
    <w:rsid w:val="0089280C"/>
    <w:rsid w:val="00892845"/>
    <w:rsid w:val="00892941"/>
    <w:rsid w:val="00892948"/>
    <w:rsid w:val="00892956"/>
    <w:rsid w:val="00892A38"/>
    <w:rsid w:val="00892A88"/>
    <w:rsid w:val="00892AB8"/>
    <w:rsid w:val="00892ADE"/>
    <w:rsid w:val="00892BDF"/>
    <w:rsid w:val="00892C07"/>
    <w:rsid w:val="00892C2C"/>
    <w:rsid w:val="00892C3D"/>
    <w:rsid w:val="00892CA8"/>
    <w:rsid w:val="00892CD3"/>
    <w:rsid w:val="00892CF2"/>
    <w:rsid w:val="00892D71"/>
    <w:rsid w:val="00892DD0"/>
    <w:rsid w:val="00892E0A"/>
    <w:rsid w:val="00892F30"/>
    <w:rsid w:val="00892F44"/>
    <w:rsid w:val="00892FC6"/>
    <w:rsid w:val="0089301E"/>
    <w:rsid w:val="008930C7"/>
    <w:rsid w:val="0089316A"/>
    <w:rsid w:val="008931AF"/>
    <w:rsid w:val="008931BD"/>
    <w:rsid w:val="00893246"/>
    <w:rsid w:val="0089325E"/>
    <w:rsid w:val="00893329"/>
    <w:rsid w:val="008933B7"/>
    <w:rsid w:val="008934A1"/>
    <w:rsid w:val="008934BA"/>
    <w:rsid w:val="00893527"/>
    <w:rsid w:val="00893543"/>
    <w:rsid w:val="0089356D"/>
    <w:rsid w:val="008935FF"/>
    <w:rsid w:val="00893609"/>
    <w:rsid w:val="0089360A"/>
    <w:rsid w:val="0089360D"/>
    <w:rsid w:val="0089363F"/>
    <w:rsid w:val="00893651"/>
    <w:rsid w:val="00893683"/>
    <w:rsid w:val="0089371E"/>
    <w:rsid w:val="00893761"/>
    <w:rsid w:val="00893781"/>
    <w:rsid w:val="0089383E"/>
    <w:rsid w:val="008938CE"/>
    <w:rsid w:val="008938E3"/>
    <w:rsid w:val="008938F1"/>
    <w:rsid w:val="0089395E"/>
    <w:rsid w:val="00893988"/>
    <w:rsid w:val="00893B28"/>
    <w:rsid w:val="00893B63"/>
    <w:rsid w:val="00893BB5"/>
    <w:rsid w:val="00893BCA"/>
    <w:rsid w:val="00893BDC"/>
    <w:rsid w:val="00893CAD"/>
    <w:rsid w:val="00893D1E"/>
    <w:rsid w:val="00893D84"/>
    <w:rsid w:val="00893DDC"/>
    <w:rsid w:val="00893E34"/>
    <w:rsid w:val="00893E36"/>
    <w:rsid w:val="00893E59"/>
    <w:rsid w:val="00893EE5"/>
    <w:rsid w:val="00893EEB"/>
    <w:rsid w:val="00893EF9"/>
    <w:rsid w:val="00893F78"/>
    <w:rsid w:val="00893F92"/>
    <w:rsid w:val="00894018"/>
    <w:rsid w:val="00894025"/>
    <w:rsid w:val="00894047"/>
    <w:rsid w:val="00894061"/>
    <w:rsid w:val="008940C4"/>
    <w:rsid w:val="008940C6"/>
    <w:rsid w:val="008940E6"/>
    <w:rsid w:val="008941A6"/>
    <w:rsid w:val="008942BC"/>
    <w:rsid w:val="008942F6"/>
    <w:rsid w:val="00894319"/>
    <w:rsid w:val="008943D1"/>
    <w:rsid w:val="00894429"/>
    <w:rsid w:val="0089442A"/>
    <w:rsid w:val="00894435"/>
    <w:rsid w:val="008944DF"/>
    <w:rsid w:val="0089452F"/>
    <w:rsid w:val="00894532"/>
    <w:rsid w:val="00894597"/>
    <w:rsid w:val="0089461E"/>
    <w:rsid w:val="00894732"/>
    <w:rsid w:val="0089474E"/>
    <w:rsid w:val="008947E2"/>
    <w:rsid w:val="0089480B"/>
    <w:rsid w:val="0089480E"/>
    <w:rsid w:val="00894825"/>
    <w:rsid w:val="00894880"/>
    <w:rsid w:val="00894990"/>
    <w:rsid w:val="00894996"/>
    <w:rsid w:val="00894A5F"/>
    <w:rsid w:val="00894A80"/>
    <w:rsid w:val="00894B0A"/>
    <w:rsid w:val="00894C01"/>
    <w:rsid w:val="00894C09"/>
    <w:rsid w:val="00894C6E"/>
    <w:rsid w:val="00894D7E"/>
    <w:rsid w:val="00894D99"/>
    <w:rsid w:val="00894DB2"/>
    <w:rsid w:val="00894E72"/>
    <w:rsid w:val="00894E8F"/>
    <w:rsid w:val="00894ED3"/>
    <w:rsid w:val="00894ED4"/>
    <w:rsid w:val="00894FCE"/>
    <w:rsid w:val="00895021"/>
    <w:rsid w:val="0089504E"/>
    <w:rsid w:val="008950BD"/>
    <w:rsid w:val="00895159"/>
    <w:rsid w:val="00895190"/>
    <w:rsid w:val="00895193"/>
    <w:rsid w:val="008951A1"/>
    <w:rsid w:val="008951C0"/>
    <w:rsid w:val="008951E2"/>
    <w:rsid w:val="008953D1"/>
    <w:rsid w:val="008953E5"/>
    <w:rsid w:val="00895427"/>
    <w:rsid w:val="00895481"/>
    <w:rsid w:val="008954A0"/>
    <w:rsid w:val="008954B1"/>
    <w:rsid w:val="008954F4"/>
    <w:rsid w:val="0089551D"/>
    <w:rsid w:val="008955A9"/>
    <w:rsid w:val="00895602"/>
    <w:rsid w:val="0089577F"/>
    <w:rsid w:val="008957DA"/>
    <w:rsid w:val="0089581B"/>
    <w:rsid w:val="00895827"/>
    <w:rsid w:val="0089582E"/>
    <w:rsid w:val="0089589D"/>
    <w:rsid w:val="008958EE"/>
    <w:rsid w:val="00895A9F"/>
    <w:rsid w:val="00895AAC"/>
    <w:rsid w:val="00895C0B"/>
    <w:rsid w:val="00895C17"/>
    <w:rsid w:val="00895D8E"/>
    <w:rsid w:val="00895DE4"/>
    <w:rsid w:val="00895E72"/>
    <w:rsid w:val="00896023"/>
    <w:rsid w:val="0089605A"/>
    <w:rsid w:val="008960EC"/>
    <w:rsid w:val="008961A1"/>
    <w:rsid w:val="00896208"/>
    <w:rsid w:val="0089623F"/>
    <w:rsid w:val="00896257"/>
    <w:rsid w:val="00896284"/>
    <w:rsid w:val="008962C5"/>
    <w:rsid w:val="008962FF"/>
    <w:rsid w:val="00896303"/>
    <w:rsid w:val="00896316"/>
    <w:rsid w:val="0089631B"/>
    <w:rsid w:val="00896378"/>
    <w:rsid w:val="0089638A"/>
    <w:rsid w:val="00896393"/>
    <w:rsid w:val="008963A9"/>
    <w:rsid w:val="008963B4"/>
    <w:rsid w:val="00896420"/>
    <w:rsid w:val="008964AC"/>
    <w:rsid w:val="008964F6"/>
    <w:rsid w:val="0089650B"/>
    <w:rsid w:val="0089654D"/>
    <w:rsid w:val="0089655C"/>
    <w:rsid w:val="008965CE"/>
    <w:rsid w:val="0089663F"/>
    <w:rsid w:val="00896759"/>
    <w:rsid w:val="008967A4"/>
    <w:rsid w:val="008967A7"/>
    <w:rsid w:val="008967BD"/>
    <w:rsid w:val="008967F6"/>
    <w:rsid w:val="00896809"/>
    <w:rsid w:val="00896840"/>
    <w:rsid w:val="0089684E"/>
    <w:rsid w:val="00896884"/>
    <w:rsid w:val="008968B9"/>
    <w:rsid w:val="008968C9"/>
    <w:rsid w:val="00896912"/>
    <w:rsid w:val="00896913"/>
    <w:rsid w:val="0089691B"/>
    <w:rsid w:val="008969AA"/>
    <w:rsid w:val="00896A6B"/>
    <w:rsid w:val="00896BC8"/>
    <w:rsid w:val="00896C26"/>
    <w:rsid w:val="00896C6C"/>
    <w:rsid w:val="00896C86"/>
    <w:rsid w:val="00896D84"/>
    <w:rsid w:val="00896DCA"/>
    <w:rsid w:val="00896E59"/>
    <w:rsid w:val="00896F22"/>
    <w:rsid w:val="00896F38"/>
    <w:rsid w:val="00896F85"/>
    <w:rsid w:val="00896F87"/>
    <w:rsid w:val="008970BD"/>
    <w:rsid w:val="008970FB"/>
    <w:rsid w:val="0089710C"/>
    <w:rsid w:val="00897181"/>
    <w:rsid w:val="00897270"/>
    <w:rsid w:val="0089729B"/>
    <w:rsid w:val="008972B8"/>
    <w:rsid w:val="0089733C"/>
    <w:rsid w:val="008973F0"/>
    <w:rsid w:val="008974B0"/>
    <w:rsid w:val="008974E3"/>
    <w:rsid w:val="00897500"/>
    <w:rsid w:val="0089753B"/>
    <w:rsid w:val="00897625"/>
    <w:rsid w:val="008976A6"/>
    <w:rsid w:val="008976ED"/>
    <w:rsid w:val="0089775E"/>
    <w:rsid w:val="00897798"/>
    <w:rsid w:val="008977C2"/>
    <w:rsid w:val="008977C8"/>
    <w:rsid w:val="008977D1"/>
    <w:rsid w:val="0089784E"/>
    <w:rsid w:val="0089789E"/>
    <w:rsid w:val="008978E0"/>
    <w:rsid w:val="00897946"/>
    <w:rsid w:val="00897956"/>
    <w:rsid w:val="008979A8"/>
    <w:rsid w:val="008979CE"/>
    <w:rsid w:val="00897A9D"/>
    <w:rsid w:val="00897ACC"/>
    <w:rsid w:val="00897AD0"/>
    <w:rsid w:val="00897B1D"/>
    <w:rsid w:val="00897B72"/>
    <w:rsid w:val="00897BA6"/>
    <w:rsid w:val="00897BC2"/>
    <w:rsid w:val="00897C41"/>
    <w:rsid w:val="00897C5C"/>
    <w:rsid w:val="00897C83"/>
    <w:rsid w:val="00897D3A"/>
    <w:rsid w:val="00897D3D"/>
    <w:rsid w:val="00897D9E"/>
    <w:rsid w:val="00897DBA"/>
    <w:rsid w:val="00897DDB"/>
    <w:rsid w:val="00897E4B"/>
    <w:rsid w:val="00897E56"/>
    <w:rsid w:val="00897EAC"/>
    <w:rsid w:val="00897F01"/>
    <w:rsid w:val="00897F54"/>
    <w:rsid w:val="00897F5C"/>
    <w:rsid w:val="00897F96"/>
    <w:rsid w:val="00897FB7"/>
    <w:rsid w:val="008A004A"/>
    <w:rsid w:val="008A00E3"/>
    <w:rsid w:val="008A00F4"/>
    <w:rsid w:val="008A017C"/>
    <w:rsid w:val="008A0180"/>
    <w:rsid w:val="008A01BA"/>
    <w:rsid w:val="008A01EC"/>
    <w:rsid w:val="008A022E"/>
    <w:rsid w:val="008A02C5"/>
    <w:rsid w:val="008A0302"/>
    <w:rsid w:val="008A034D"/>
    <w:rsid w:val="008A035A"/>
    <w:rsid w:val="008A03BA"/>
    <w:rsid w:val="008A03C5"/>
    <w:rsid w:val="008A03CA"/>
    <w:rsid w:val="008A043F"/>
    <w:rsid w:val="008A047C"/>
    <w:rsid w:val="008A04A4"/>
    <w:rsid w:val="008A04BF"/>
    <w:rsid w:val="008A054F"/>
    <w:rsid w:val="008A0566"/>
    <w:rsid w:val="008A0573"/>
    <w:rsid w:val="008A05A4"/>
    <w:rsid w:val="008A05BC"/>
    <w:rsid w:val="008A05C0"/>
    <w:rsid w:val="008A066C"/>
    <w:rsid w:val="008A067D"/>
    <w:rsid w:val="008A0709"/>
    <w:rsid w:val="008A072C"/>
    <w:rsid w:val="008A0779"/>
    <w:rsid w:val="008A07C4"/>
    <w:rsid w:val="008A07E5"/>
    <w:rsid w:val="008A07ED"/>
    <w:rsid w:val="008A0801"/>
    <w:rsid w:val="008A081F"/>
    <w:rsid w:val="008A0880"/>
    <w:rsid w:val="008A091B"/>
    <w:rsid w:val="008A09C6"/>
    <w:rsid w:val="008A09DA"/>
    <w:rsid w:val="008A0A84"/>
    <w:rsid w:val="008A0B2D"/>
    <w:rsid w:val="008A0B56"/>
    <w:rsid w:val="008A0B96"/>
    <w:rsid w:val="008A0C15"/>
    <w:rsid w:val="008A0C20"/>
    <w:rsid w:val="008A0C29"/>
    <w:rsid w:val="008A0C93"/>
    <w:rsid w:val="008A0C99"/>
    <w:rsid w:val="008A0CC4"/>
    <w:rsid w:val="008A0D44"/>
    <w:rsid w:val="008A0ED5"/>
    <w:rsid w:val="008A0FFD"/>
    <w:rsid w:val="008A1013"/>
    <w:rsid w:val="008A1052"/>
    <w:rsid w:val="008A10A3"/>
    <w:rsid w:val="008A10ED"/>
    <w:rsid w:val="008A1141"/>
    <w:rsid w:val="008A114F"/>
    <w:rsid w:val="008A1177"/>
    <w:rsid w:val="008A1203"/>
    <w:rsid w:val="008A1355"/>
    <w:rsid w:val="008A137C"/>
    <w:rsid w:val="008A13A9"/>
    <w:rsid w:val="008A1400"/>
    <w:rsid w:val="008A1441"/>
    <w:rsid w:val="008A14C3"/>
    <w:rsid w:val="008A14E2"/>
    <w:rsid w:val="008A1536"/>
    <w:rsid w:val="008A155E"/>
    <w:rsid w:val="008A1596"/>
    <w:rsid w:val="008A15FE"/>
    <w:rsid w:val="008A160B"/>
    <w:rsid w:val="008A1650"/>
    <w:rsid w:val="008A1692"/>
    <w:rsid w:val="008A16CC"/>
    <w:rsid w:val="008A16DF"/>
    <w:rsid w:val="008A16E5"/>
    <w:rsid w:val="008A17B1"/>
    <w:rsid w:val="008A1814"/>
    <w:rsid w:val="008A1819"/>
    <w:rsid w:val="008A1823"/>
    <w:rsid w:val="008A1852"/>
    <w:rsid w:val="008A1867"/>
    <w:rsid w:val="008A1899"/>
    <w:rsid w:val="008A18CA"/>
    <w:rsid w:val="008A18D1"/>
    <w:rsid w:val="008A196D"/>
    <w:rsid w:val="008A19DA"/>
    <w:rsid w:val="008A1ADA"/>
    <w:rsid w:val="008A1B2B"/>
    <w:rsid w:val="008A1B97"/>
    <w:rsid w:val="008A1BD3"/>
    <w:rsid w:val="008A1C1C"/>
    <w:rsid w:val="008A1CAA"/>
    <w:rsid w:val="008A1CDD"/>
    <w:rsid w:val="008A1CEE"/>
    <w:rsid w:val="008A1CF1"/>
    <w:rsid w:val="008A1CF8"/>
    <w:rsid w:val="008A1CFC"/>
    <w:rsid w:val="008A1D02"/>
    <w:rsid w:val="008A1D03"/>
    <w:rsid w:val="008A1D3C"/>
    <w:rsid w:val="008A1D75"/>
    <w:rsid w:val="008A1E27"/>
    <w:rsid w:val="008A1E51"/>
    <w:rsid w:val="008A1E56"/>
    <w:rsid w:val="008A1EC4"/>
    <w:rsid w:val="008A1F4A"/>
    <w:rsid w:val="008A1F8C"/>
    <w:rsid w:val="008A1FDA"/>
    <w:rsid w:val="008A1FFB"/>
    <w:rsid w:val="008A206A"/>
    <w:rsid w:val="008A20A5"/>
    <w:rsid w:val="008A20BF"/>
    <w:rsid w:val="008A2125"/>
    <w:rsid w:val="008A21D8"/>
    <w:rsid w:val="008A21DC"/>
    <w:rsid w:val="008A21EA"/>
    <w:rsid w:val="008A2217"/>
    <w:rsid w:val="008A2231"/>
    <w:rsid w:val="008A2244"/>
    <w:rsid w:val="008A225B"/>
    <w:rsid w:val="008A22ED"/>
    <w:rsid w:val="008A2332"/>
    <w:rsid w:val="008A2375"/>
    <w:rsid w:val="008A23F2"/>
    <w:rsid w:val="008A23FA"/>
    <w:rsid w:val="008A23FF"/>
    <w:rsid w:val="008A2464"/>
    <w:rsid w:val="008A24EB"/>
    <w:rsid w:val="008A2517"/>
    <w:rsid w:val="008A25B0"/>
    <w:rsid w:val="008A25FF"/>
    <w:rsid w:val="008A264A"/>
    <w:rsid w:val="008A2716"/>
    <w:rsid w:val="008A2722"/>
    <w:rsid w:val="008A2735"/>
    <w:rsid w:val="008A276C"/>
    <w:rsid w:val="008A2776"/>
    <w:rsid w:val="008A27A9"/>
    <w:rsid w:val="008A27CB"/>
    <w:rsid w:val="008A27DF"/>
    <w:rsid w:val="008A2827"/>
    <w:rsid w:val="008A285B"/>
    <w:rsid w:val="008A2861"/>
    <w:rsid w:val="008A2885"/>
    <w:rsid w:val="008A28BF"/>
    <w:rsid w:val="008A28DB"/>
    <w:rsid w:val="008A28EF"/>
    <w:rsid w:val="008A2915"/>
    <w:rsid w:val="008A298A"/>
    <w:rsid w:val="008A29A9"/>
    <w:rsid w:val="008A29AA"/>
    <w:rsid w:val="008A29CB"/>
    <w:rsid w:val="008A2A46"/>
    <w:rsid w:val="008A2A7E"/>
    <w:rsid w:val="008A2AC4"/>
    <w:rsid w:val="008A2AD9"/>
    <w:rsid w:val="008A2B98"/>
    <w:rsid w:val="008A2BB9"/>
    <w:rsid w:val="008A2BEB"/>
    <w:rsid w:val="008A2C5F"/>
    <w:rsid w:val="008A2C6B"/>
    <w:rsid w:val="008A2C83"/>
    <w:rsid w:val="008A2CA3"/>
    <w:rsid w:val="008A2CF0"/>
    <w:rsid w:val="008A2D0F"/>
    <w:rsid w:val="008A2D7E"/>
    <w:rsid w:val="008A2D92"/>
    <w:rsid w:val="008A2DD8"/>
    <w:rsid w:val="008A2E11"/>
    <w:rsid w:val="008A2E39"/>
    <w:rsid w:val="008A2F1A"/>
    <w:rsid w:val="008A2F59"/>
    <w:rsid w:val="008A2FB9"/>
    <w:rsid w:val="008A300D"/>
    <w:rsid w:val="008A303B"/>
    <w:rsid w:val="008A3066"/>
    <w:rsid w:val="008A309D"/>
    <w:rsid w:val="008A31E1"/>
    <w:rsid w:val="008A32B2"/>
    <w:rsid w:val="008A32D7"/>
    <w:rsid w:val="008A333B"/>
    <w:rsid w:val="008A335F"/>
    <w:rsid w:val="008A3445"/>
    <w:rsid w:val="008A3487"/>
    <w:rsid w:val="008A34A0"/>
    <w:rsid w:val="008A34E9"/>
    <w:rsid w:val="008A353C"/>
    <w:rsid w:val="008A3545"/>
    <w:rsid w:val="008A3593"/>
    <w:rsid w:val="008A35C8"/>
    <w:rsid w:val="008A35FF"/>
    <w:rsid w:val="008A363F"/>
    <w:rsid w:val="008A366A"/>
    <w:rsid w:val="008A36AC"/>
    <w:rsid w:val="008A370C"/>
    <w:rsid w:val="008A3788"/>
    <w:rsid w:val="008A37C3"/>
    <w:rsid w:val="008A38E1"/>
    <w:rsid w:val="008A3914"/>
    <w:rsid w:val="008A3B01"/>
    <w:rsid w:val="008A3B2C"/>
    <w:rsid w:val="008A3BF7"/>
    <w:rsid w:val="008A3CA4"/>
    <w:rsid w:val="008A3D0E"/>
    <w:rsid w:val="008A3D88"/>
    <w:rsid w:val="008A3D9B"/>
    <w:rsid w:val="008A3DBA"/>
    <w:rsid w:val="008A3E50"/>
    <w:rsid w:val="008A3EBC"/>
    <w:rsid w:val="008A3F28"/>
    <w:rsid w:val="008A3F68"/>
    <w:rsid w:val="008A40BE"/>
    <w:rsid w:val="008A40F5"/>
    <w:rsid w:val="008A4122"/>
    <w:rsid w:val="008A412A"/>
    <w:rsid w:val="008A4168"/>
    <w:rsid w:val="008A426D"/>
    <w:rsid w:val="008A4285"/>
    <w:rsid w:val="008A4307"/>
    <w:rsid w:val="008A4350"/>
    <w:rsid w:val="008A43D9"/>
    <w:rsid w:val="008A4449"/>
    <w:rsid w:val="008A4455"/>
    <w:rsid w:val="008A449E"/>
    <w:rsid w:val="008A452A"/>
    <w:rsid w:val="008A46F3"/>
    <w:rsid w:val="008A4760"/>
    <w:rsid w:val="008A482C"/>
    <w:rsid w:val="008A486D"/>
    <w:rsid w:val="008A48B2"/>
    <w:rsid w:val="008A48C8"/>
    <w:rsid w:val="008A4913"/>
    <w:rsid w:val="008A49B5"/>
    <w:rsid w:val="008A49F6"/>
    <w:rsid w:val="008A4A5A"/>
    <w:rsid w:val="008A4AAD"/>
    <w:rsid w:val="008A4AD2"/>
    <w:rsid w:val="008A4B90"/>
    <w:rsid w:val="008A4BAF"/>
    <w:rsid w:val="008A4BBD"/>
    <w:rsid w:val="008A4BE9"/>
    <w:rsid w:val="008A4BFF"/>
    <w:rsid w:val="008A4C33"/>
    <w:rsid w:val="008A4C36"/>
    <w:rsid w:val="008A4C48"/>
    <w:rsid w:val="008A4CD0"/>
    <w:rsid w:val="008A4D2F"/>
    <w:rsid w:val="008A4D34"/>
    <w:rsid w:val="008A4DD9"/>
    <w:rsid w:val="008A4E17"/>
    <w:rsid w:val="008A4E9A"/>
    <w:rsid w:val="008A5007"/>
    <w:rsid w:val="008A5018"/>
    <w:rsid w:val="008A50B0"/>
    <w:rsid w:val="008A50DA"/>
    <w:rsid w:val="008A50DE"/>
    <w:rsid w:val="008A50E5"/>
    <w:rsid w:val="008A50FD"/>
    <w:rsid w:val="008A511E"/>
    <w:rsid w:val="008A5177"/>
    <w:rsid w:val="008A51F2"/>
    <w:rsid w:val="008A520B"/>
    <w:rsid w:val="008A5253"/>
    <w:rsid w:val="008A5321"/>
    <w:rsid w:val="008A533C"/>
    <w:rsid w:val="008A542A"/>
    <w:rsid w:val="008A54B8"/>
    <w:rsid w:val="008A54C0"/>
    <w:rsid w:val="008A5500"/>
    <w:rsid w:val="008A550A"/>
    <w:rsid w:val="008A5518"/>
    <w:rsid w:val="008A55AB"/>
    <w:rsid w:val="008A5613"/>
    <w:rsid w:val="008A5630"/>
    <w:rsid w:val="008A565E"/>
    <w:rsid w:val="008A56D4"/>
    <w:rsid w:val="008A5726"/>
    <w:rsid w:val="008A5757"/>
    <w:rsid w:val="008A5822"/>
    <w:rsid w:val="008A5855"/>
    <w:rsid w:val="008A58C4"/>
    <w:rsid w:val="008A5910"/>
    <w:rsid w:val="008A59E5"/>
    <w:rsid w:val="008A59EA"/>
    <w:rsid w:val="008A5A4C"/>
    <w:rsid w:val="008A5AA2"/>
    <w:rsid w:val="008A5B67"/>
    <w:rsid w:val="008A5B74"/>
    <w:rsid w:val="008A5C1E"/>
    <w:rsid w:val="008A5C75"/>
    <w:rsid w:val="008A5C8C"/>
    <w:rsid w:val="008A5D20"/>
    <w:rsid w:val="008A5D2D"/>
    <w:rsid w:val="008A5D8E"/>
    <w:rsid w:val="008A5DA4"/>
    <w:rsid w:val="008A5E1B"/>
    <w:rsid w:val="008A5E28"/>
    <w:rsid w:val="008A5EA7"/>
    <w:rsid w:val="008A5EBC"/>
    <w:rsid w:val="008A5EEB"/>
    <w:rsid w:val="008A5F45"/>
    <w:rsid w:val="008A5F5F"/>
    <w:rsid w:val="008A5FC2"/>
    <w:rsid w:val="008A5FF4"/>
    <w:rsid w:val="008A6079"/>
    <w:rsid w:val="008A6089"/>
    <w:rsid w:val="008A6102"/>
    <w:rsid w:val="008A6246"/>
    <w:rsid w:val="008A629A"/>
    <w:rsid w:val="008A62A6"/>
    <w:rsid w:val="008A62AD"/>
    <w:rsid w:val="008A62D5"/>
    <w:rsid w:val="008A64F3"/>
    <w:rsid w:val="008A6522"/>
    <w:rsid w:val="008A6548"/>
    <w:rsid w:val="008A6662"/>
    <w:rsid w:val="008A6742"/>
    <w:rsid w:val="008A6833"/>
    <w:rsid w:val="008A6867"/>
    <w:rsid w:val="008A68A1"/>
    <w:rsid w:val="008A6913"/>
    <w:rsid w:val="008A699A"/>
    <w:rsid w:val="008A69AE"/>
    <w:rsid w:val="008A69EF"/>
    <w:rsid w:val="008A6A23"/>
    <w:rsid w:val="008A6A6D"/>
    <w:rsid w:val="008A6A7F"/>
    <w:rsid w:val="008A6A8B"/>
    <w:rsid w:val="008A6AE0"/>
    <w:rsid w:val="008A6AE2"/>
    <w:rsid w:val="008A6B56"/>
    <w:rsid w:val="008A6B6C"/>
    <w:rsid w:val="008A6B8E"/>
    <w:rsid w:val="008A6BAF"/>
    <w:rsid w:val="008A6C2B"/>
    <w:rsid w:val="008A6C2C"/>
    <w:rsid w:val="008A6C4B"/>
    <w:rsid w:val="008A6C7D"/>
    <w:rsid w:val="008A6CAB"/>
    <w:rsid w:val="008A6D2A"/>
    <w:rsid w:val="008A6D89"/>
    <w:rsid w:val="008A6DFB"/>
    <w:rsid w:val="008A6E25"/>
    <w:rsid w:val="008A6E2E"/>
    <w:rsid w:val="008A6E5A"/>
    <w:rsid w:val="008A6ED3"/>
    <w:rsid w:val="008A6EE1"/>
    <w:rsid w:val="008A6EF4"/>
    <w:rsid w:val="008A6F9C"/>
    <w:rsid w:val="008A6FB7"/>
    <w:rsid w:val="008A6FC3"/>
    <w:rsid w:val="008A701E"/>
    <w:rsid w:val="008A7093"/>
    <w:rsid w:val="008A70D7"/>
    <w:rsid w:val="008A71B5"/>
    <w:rsid w:val="008A71DE"/>
    <w:rsid w:val="008A71DF"/>
    <w:rsid w:val="008A71FF"/>
    <w:rsid w:val="008A7256"/>
    <w:rsid w:val="008A7284"/>
    <w:rsid w:val="008A72A5"/>
    <w:rsid w:val="008A7303"/>
    <w:rsid w:val="008A7364"/>
    <w:rsid w:val="008A73F1"/>
    <w:rsid w:val="008A743D"/>
    <w:rsid w:val="008A7456"/>
    <w:rsid w:val="008A7511"/>
    <w:rsid w:val="008A751D"/>
    <w:rsid w:val="008A75BD"/>
    <w:rsid w:val="008A75F1"/>
    <w:rsid w:val="008A7650"/>
    <w:rsid w:val="008A766D"/>
    <w:rsid w:val="008A7682"/>
    <w:rsid w:val="008A7691"/>
    <w:rsid w:val="008A769F"/>
    <w:rsid w:val="008A76AE"/>
    <w:rsid w:val="008A76C7"/>
    <w:rsid w:val="008A7704"/>
    <w:rsid w:val="008A7798"/>
    <w:rsid w:val="008A77C3"/>
    <w:rsid w:val="008A77E0"/>
    <w:rsid w:val="008A7841"/>
    <w:rsid w:val="008A7872"/>
    <w:rsid w:val="008A7904"/>
    <w:rsid w:val="008A790C"/>
    <w:rsid w:val="008A7959"/>
    <w:rsid w:val="008A7A50"/>
    <w:rsid w:val="008A7A8A"/>
    <w:rsid w:val="008A7AB5"/>
    <w:rsid w:val="008A7BDD"/>
    <w:rsid w:val="008A7C30"/>
    <w:rsid w:val="008A7C36"/>
    <w:rsid w:val="008A7C52"/>
    <w:rsid w:val="008A7D8E"/>
    <w:rsid w:val="008A7D92"/>
    <w:rsid w:val="008A7E4A"/>
    <w:rsid w:val="008A7E4D"/>
    <w:rsid w:val="008A7E89"/>
    <w:rsid w:val="008A7EE0"/>
    <w:rsid w:val="008A7F29"/>
    <w:rsid w:val="008A7F44"/>
    <w:rsid w:val="008A7F47"/>
    <w:rsid w:val="008A7F51"/>
    <w:rsid w:val="008A7F9C"/>
    <w:rsid w:val="008A7FC2"/>
    <w:rsid w:val="008B0073"/>
    <w:rsid w:val="008B0094"/>
    <w:rsid w:val="008B00D9"/>
    <w:rsid w:val="008B0108"/>
    <w:rsid w:val="008B0132"/>
    <w:rsid w:val="008B01A6"/>
    <w:rsid w:val="008B01BE"/>
    <w:rsid w:val="008B01E6"/>
    <w:rsid w:val="008B0251"/>
    <w:rsid w:val="008B02B6"/>
    <w:rsid w:val="008B02BF"/>
    <w:rsid w:val="008B02FE"/>
    <w:rsid w:val="008B0303"/>
    <w:rsid w:val="008B0319"/>
    <w:rsid w:val="008B03AA"/>
    <w:rsid w:val="008B045D"/>
    <w:rsid w:val="008B0542"/>
    <w:rsid w:val="008B0582"/>
    <w:rsid w:val="008B05A0"/>
    <w:rsid w:val="008B0652"/>
    <w:rsid w:val="008B070A"/>
    <w:rsid w:val="008B070F"/>
    <w:rsid w:val="008B0719"/>
    <w:rsid w:val="008B079C"/>
    <w:rsid w:val="008B0832"/>
    <w:rsid w:val="008B085D"/>
    <w:rsid w:val="008B085E"/>
    <w:rsid w:val="008B0860"/>
    <w:rsid w:val="008B089F"/>
    <w:rsid w:val="008B0970"/>
    <w:rsid w:val="008B0979"/>
    <w:rsid w:val="008B099E"/>
    <w:rsid w:val="008B09AC"/>
    <w:rsid w:val="008B0A59"/>
    <w:rsid w:val="008B0A9B"/>
    <w:rsid w:val="008B0ADB"/>
    <w:rsid w:val="008B0AE5"/>
    <w:rsid w:val="008B0B41"/>
    <w:rsid w:val="008B0C88"/>
    <w:rsid w:val="008B0D0B"/>
    <w:rsid w:val="008B0D20"/>
    <w:rsid w:val="008B0DBE"/>
    <w:rsid w:val="008B0DD7"/>
    <w:rsid w:val="008B0DE8"/>
    <w:rsid w:val="008B0E17"/>
    <w:rsid w:val="008B0E87"/>
    <w:rsid w:val="008B0EC1"/>
    <w:rsid w:val="008B0ED7"/>
    <w:rsid w:val="008B0F23"/>
    <w:rsid w:val="008B0F79"/>
    <w:rsid w:val="008B0FB8"/>
    <w:rsid w:val="008B103A"/>
    <w:rsid w:val="008B10D7"/>
    <w:rsid w:val="008B10EA"/>
    <w:rsid w:val="008B1134"/>
    <w:rsid w:val="008B1191"/>
    <w:rsid w:val="008B1198"/>
    <w:rsid w:val="008B11B4"/>
    <w:rsid w:val="008B11F4"/>
    <w:rsid w:val="008B1232"/>
    <w:rsid w:val="008B12C0"/>
    <w:rsid w:val="008B134F"/>
    <w:rsid w:val="008B1356"/>
    <w:rsid w:val="008B13DC"/>
    <w:rsid w:val="008B13F0"/>
    <w:rsid w:val="008B1418"/>
    <w:rsid w:val="008B1451"/>
    <w:rsid w:val="008B14D3"/>
    <w:rsid w:val="008B14DB"/>
    <w:rsid w:val="008B150B"/>
    <w:rsid w:val="008B151C"/>
    <w:rsid w:val="008B153F"/>
    <w:rsid w:val="008B1598"/>
    <w:rsid w:val="008B159F"/>
    <w:rsid w:val="008B15C7"/>
    <w:rsid w:val="008B1639"/>
    <w:rsid w:val="008B1642"/>
    <w:rsid w:val="008B1663"/>
    <w:rsid w:val="008B1679"/>
    <w:rsid w:val="008B16CA"/>
    <w:rsid w:val="008B16E0"/>
    <w:rsid w:val="008B1707"/>
    <w:rsid w:val="008B17CD"/>
    <w:rsid w:val="008B17F5"/>
    <w:rsid w:val="008B17FB"/>
    <w:rsid w:val="008B1812"/>
    <w:rsid w:val="008B184F"/>
    <w:rsid w:val="008B1921"/>
    <w:rsid w:val="008B193B"/>
    <w:rsid w:val="008B19D6"/>
    <w:rsid w:val="008B19FA"/>
    <w:rsid w:val="008B1A1C"/>
    <w:rsid w:val="008B1A21"/>
    <w:rsid w:val="008B1A44"/>
    <w:rsid w:val="008B1AAB"/>
    <w:rsid w:val="008B1B8B"/>
    <w:rsid w:val="008B1BC5"/>
    <w:rsid w:val="008B1BEB"/>
    <w:rsid w:val="008B1BED"/>
    <w:rsid w:val="008B1CDC"/>
    <w:rsid w:val="008B1D07"/>
    <w:rsid w:val="008B1DDA"/>
    <w:rsid w:val="008B1E24"/>
    <w:rsid w:val="008B1F5F"/>
    <w:rsid w:val="008B1FC3"/>
    <w:rsid w:val="008B20BF"/>
    <w:rsid w:val="008B2143"/>
    <w:rsid w:val="008B21B5"/>
    <w:rsid w:val="008B21BA"/>
    <w:rsid w:val="008B2202"/>
    <w:rsid w:val="008B220C"/>
    <w:rsid w:val="008B22E2"/>
    <w:rsid w:val="008B23CB"/>
    <w:rsid w:val="008B2405"/>
    <w:rsid w:val="008B2408"/>
    <w:rsid w:val="008B2428"/>
    <w:rsid w:val="008B247B"/>
    <w:rsid w:val="008B2579"/>
    <w:rsid w:val="008B25C5"/>
    <w:rsid w:val="008B2616"/>
    <w:rsid w:val="008B2693"/>
    <w:rsid w:val="008B26EB"/>
    <w:rsid w:val="008B2822"/>
    <w:rsid w:val="008B2857"/>
    <w:rsid w:val="008B29E6"/>
    <w:rsid w:val="008B2A19"/>
    <w:rsid w:val="008B2B0C"/>
    <w:rsid w:val="008B2B47"/>
    <w:rsid w:val="008B2B89"/>
    <w:rsid w:val="008B2BCE"/>
    <w:rsid w:val="008B2BEC"/>
    <w:rsid w:val="008B2C33"/>
    <w:rsid w:val="008B2C74"/>
    <w:rsid w:val="008B2C8F"/>
    <w:rsid w:val="008B2CB6"/>
    <w:rsid w:val="008B2D1D"/>
    <w:rsid w:val="008B2D27"/>
    <w:rsid w:val="008B2D3E"/>
    <w:rsid w:val="008B2D56"/>
    <w:rsid w:val="008B2DDB"/>
    <w:rsid w:val="008B2E06"/>
    <w:rsid w:val="008B2E40"/>
    <w:rsid w:val="008B2ECA"/>
    <w:rsid w:val="008B2F0C"/>
    <w:rsid w:val="008B2F4D"/>
    <w:rsid w:val="008B2FEB"/>
    <w:rsid w:val="008B302D"/>
    <w:rsid w:val="008B314F"/>
    <w:rsid w:val="008B3166"/>
    <w:rsid w:val="008B3168"/>
    <w:rsid w:val="008B32E5"/>
    <w:rsid w:val="008B3400"/>
    <w:rsid w:val="008B3504"/>
    <w:rsid w:val="008B352A"/>
    <w:rsid w:val="008B35BA"/>
    <w:rsid w:val="008B35C1"/>
    <w:rsid w:val="008B35D7"/>
    <w:rsid w:val="008B362F"/>
    <w:rsid w:val="008B364E"/>
    <w:rsid w:val="008B3650"/>
    <w:rsid w:val="008B36AA"/>
    <w:rsid w:val="008B3713"/>
    <w:rsid w:val="008B373F"/>
    <w:rsid w:val="008B376B"/>
    <w:rsid w:val="008B3805"/>
    <w:rsid w:val="008B38C0"/>
    <w:rsid w:val="008B3916"/>
    <w:rsid w:val="008B3961"/>
    <w:rsid w:val="008B3A06"/>
    <w:rsid w:val="008B3A7F"/>
    <w:rsid w:val="008B3B06"/>
    <w:rsid w:val="008B3B88"/>
    <w:rsid w:val="008B3BC7"/>
    <w:rsid w:val="008B3C5D"/>
    <w:rsid w:val="008B3CBF"/>
    <w:rsid w:val="008B3D4E"/>
    <w:rsid w:val="008B3DFA"/>
    <w:rsid w:val="008B3E17"/>
    <w:rsid w:val="008B3E75"/>
    <w:rsid w:val="008B3F32"/>
    <w:rsid w:val="008B3F94"/>
    <w:rsid w:val="008B3FC5"/>
    <w:rsid w:val="008B4065"/>
    <w:rsid w:val="008B40AC"/>
    <w:rsid w:val="008B40F0"/>
    <w:rsid w:val="008B412F"/>
    <w:rsid w:val="008B4130"/>
    <w:rsid w:val="008B4137"/>
    <w:rsid w:val="008B418A"/>
    <w:rsid w:val="008B4220"/>
    <w:rsid w:val="008B4229"/>
    <w:rsid w:val="008B42CC"/>
    <w:rsid w:val="008B4304"/>
    <w:rsid w:val="008B4341"/>
    <w:rsid w:val="008B43D1"/>
    <w:rsid w:val="008B4400"/>
    <w:rsid w:val="008B440C"/>
    <w:rsid w:val="008B4437"/>
    <w:rsid w:val="008B4451"/>
    <w:rsid w:val="008B4473"/>
    <w:rsid w:val="008B448C"/>
    <w:rsid w:val="008B459A"/>
    <w:rsid w:val="008B45C2"/>
    <w:rsid w:val="008B4624"/>
    <w:rsid w:val="008B47CB"/>
    <w:rsid w:val="008B482E"/>
    <w:rsid w:val="008B48B6"/>
    <w:rsid w:val="008B48D0"/>
    <w:rsid w:val="008B48F0"/>
    <w:rsid w:val="008B4A66"/>
    <w:rsid w:val="008B4ADB"/>
    <w:rsid w:val="008B4AF9"/>
    <w:rsid w:val="008B4BAA"/>
    <w:rsid w:val="008B4BD8"/>
    <w:rsid w:val="008B4BED"/>
    <w:rsid w:val="008B4C34"/>
    <w:rsid w:val="008B4D12"/>
    <w:rsid w:val="008B4D6E"/>
    <w:rsid w:val="008B4D72"/>
    <w:rsid w:val="008B4D82"/>
    <w:rsid w:val="008B4E13"/>
    <w:rsid w:val="008B4E5E"/>
    <w:rsid w:val="008B4F41"/>
    <w:rsid w:val="008B50E2"/>
    <w:rsid w:val="008B50F9"/>
    <w:rsid w:val="008B5128"/>
    <w:rsid w:val="008B5202"/>
    <w:rsid w:val="008B5259"/>
    <w:rsid w:val="008B527B"/>
    <w:rsid w:val="008B529A"/>
    <w:rsid w:val="008B529D"/>
    <w:rsid w:val="008B52C6"/>
    <w:rsid w:val="008B52D4"/>
    <w:rsid w:val="008B5304"/>
    <w:rsid w:val="008B531F"/>
    <w:rsid w:val="008B532B"/>
    <w:rsid w:val="008B53A6"/>
    <w:rsid w:val="008B540C"/>
    <w:rsid w:val="008B5447"/>
    <w:rsid w:val="008B5477"/>
    <w:rsid w:val="008B5498"/>
    <w:rsid w:val="008B5527"/>
    <w:rsid w:val="008B554F"/>
    <w:rsid w:val="008B55E4"/>
    <w:rsid w:val="008B55FC"/>
    <w:rsid w:val="008B5619"/>
    <w:rsid w:val="008B56C6"/>
    <w:rsid w:val="008B577D"/>
    <w:rsid w:val="008B57E0"/>
    <w:rsid w:val="008B5930"/>
    <w:rsid w:val="008B59C1"/>
    <w:rsid w:val="008B5A36"/>
    <w:rsid w:val="008B5A79"/>
    <w:rsid w:val="008B5AA7"/>
    <w:rsid w:val="008B5B12"/>
    <w:rsid w:val="008B5B1C"/>
    <w:rsid w:val="008B5B2C"/>
    <w:rsid w:val="008B5B44"/>
    <w:rsid w:val="008B5B75"/>
    <w:rsid w:val="008B5B8F"/>
    <w:rsid w:val="008B5BBD"/>
    <w:rsid w:val="008B5BE9"/>
    <w:rsid w:val="008B5BF2"/>
    <w:rsid w:val="008B5C1B"/>
    <w:rsid w:val="008B5CA1"/>
    <w:rsid w:val="008B5CD2"/>
    <w:rsid w:val="008B5D79"/>
    <w:rsid w:val="008B5ECB"/>
    <w:rsid w:val="008B5F12"/>
    <w:rsid w:val="008B5F7D"/>
    <w:rsid w:val="008B5FB7"/>
    <w:rsid w:val="008B5FEB"/>
    <w:rsid w:val="008B5FFC"/>
    <w:rsid w:val="008B602E"/>
    <w:rsid w:val="008B6063"/>
    <w:rsid w:val="008B606C"/>
    <w:rsid w:val="008B60A8"/>
    <w:rsid w:val="008B60CA"/>
    <w:rsid w:val="008B618D"/>
    <w:rsid w:val="008B61A9"/>
    <w:rsid w:val="008B61F4"/>
    <w:rsid w:val="008B61F7"/>
    <w:rsid w:val="008B6207"/>
    <w:rsid w:val="008B624F"/>
    <w:rsid w:val="008B62BC"/>
    <w:rsid w:val="008B632F"/>
    <w:rsid w:val="008B6344"/>
    <w:rsid w:val="008B636A"/>
    <w:rsid w:val="008B6375"/>
    <w:rsid w:val="008B6421"/>
    <w:rsid w:val="008B6489"/>
    <w:rsid w:val="008B6556"/>
    <w:rsid w:val="008B655F"/>
    <w:rsid w:val="008B657A"/>
    <w:rsid w:val="008B65C3"/>
    <w:rsid w:val="008B65F1"/>
    <w:rsid w:val="008B65F5"/>
    <w:rsid w:val="008B661B"/>
    <w:rsid w:val="008B661E"/>
    <w:rsid w:val="008B667C"/>
    <w:rsid w:val="008B66BF"/>
    <w:rsid w:val="008B66F2"/>
    <w:rsid w:val="008B6801"/>
    <w:rsid w:val="008B682A"/>
    <w:rsid w:val="008B6871"/>
    <w:rsid w:val="008B68BB"/>
    <w:rsid w:val="008B6910"/>
    <w:rsid w:val="008B6A36"/>
    <w:rsid w:val="008B6A95"/>
    <w:rsid w:val="008B6AB5"/>
    <w:rsid w:val="008B6AE4"/>
    <w:rsid w:val="008B6B37"/>
    <w:rsid w:val="008B6B3B"/>
    <w:rsid w:val="008B6B7C"/>
    <w:rsid w:val="008B6BA3"/>
    <w:rsid w:val="008B6BB8"/>
    <w:rsid w:val="008B6BBD"/>
    <w:rsid w:val="008B6BE3"/>
    <w:rsid w:val="008B6C01"/>
    <w:rsid w:val="008B6C16"/>
    <w:rsid w:val="008B6C5E"/>
    <w:rsid w:val="008B6CAB"/>
    <w:rsid w:val="008B6D26"/>
    <w:rsid w:val="008B6D69"/>
    <w:rsid w:val="008B6D6E"/>
    <w:rsid w:val="008B6D99"/>
    <w:rsid w:val="008B6F98"/>
    <w:rsid w:val="008B6FA3"/>
    <w:rsid w:val="008B6FAF"/>
    <w:rsid w:val="008B7001"/>
    <w:rsid w:val="008B701A"/>
    <w:rsid w:val="008B708F"/>
    <w:rsid w:val="008B70EB"/>
    <w:rsid w:val="008B710E"/>
    <w:rsid w:val="008B71C8"/>
    <w:rsid w:val="008B71E3"/>
    <w:rsid w:val="008B71FF"/>
    <w:rsid w:val="008B7284"/>
    <w:rsid w:val="008B729B"/>
    <w:rsid w:val="008B729E"/>
    <w:rsid w:val="008B72FC"/>
    <w:rsid w:val="008B735B"/>
    <w:rsid w:val="008B735F"/>
    <w:rsid w:val="008B736A"/>
    <w:rsid w:val="008B7374"/>
    <w:rsid w:val="008B73F2"/>
    <w:rsid w:val="008B7406"/>
    <w:rsid w:val="008B748A"/>
    <w:rsid w:val="008B74D0"/>
    <w:rsid w:val="008B74F8"/>
    <w:rsid w:val="008B7572"/>
    <w:rsid w:val="008B7612"/>
    <w:rsid w:val="008B762E"/>
    <w:rsid w:val="008B7722"/>
    <w:rsid w:val="008B774E"/>
    <w:rsid w:val="008B7777"/>
    <w:rsid w:val="008B77D5"/>
    <w:rsid w:val="008B77F0"/>
    <w:rsid w:val="008B7829"/>
    <w:rsid w:val="008B7869"/>
    <w:rsid w:val="008B7877"/>
    <w:rsid w:val="008B7920"/>
    <w:rsid w:val="008B79AF"/>
    <w:rsid w:val="008B7A20"/>
    <w:rsid w:val="008B7B3D"/>
    <w:rsid w:val="008B7B54"/>
    <w:rsid w:val="008B7B64"/>
    <w:rsid w:val="008B7BA9"/>
    <w:rsid w:val="008B7C4A"/>
    <w:rsid w:val="008B7C5F"/>
    <w:rsid w:val="008B7C99"/>
    <w:rsid w:val="008B7D38"/>
    <w:rsid w:val="008B7DE5"/>
    <w:rsid w:val="008B7ED5"/>
    <w:rsid w:val="008B7F25"/>
    <w:rsid w:val="008B7F4F"/>
    <w:rsid w:val="008B7F6A"/>
    <w:rsid w:val="008B7F7B"/>
    <w:rsid w:val="008B7FAC"/>
    <w:rsid w:val="008B7FCC"/>
    <w:rsid w:val="008C0025"/>
    <w:rsid w:val="008C00AA"/>
    <w:rsid w:val="008C00E7"/>
    <w:rsid w:val="008C010D"/>
    <w:rsid w:val="008C027E"/>
    <w:rsid w:val="008C02B9"/>
    <w:rsid w:val="008C02BF"/>
    <w:rsid w:val="008C0302"/>
    <w:rsid w:val="008C0444"/>
    <w:rsid w:val="008C049B"/>
    <w:rsid w:val="008C049D"/>
    <w:rsid w:val="008C04D5"/>
    <w:rsid w:val="008C0570"/>
    <w:rsid w:val="008C058B"/>
    <w:rsid w:val="008C05E7"/>
    <w:rsid w:val="008C0679"/>
    <w:rsid w:val="008C067D"/>
    <w:rsid w:val="008C0681"/>
    <w:rsid w:val="008C06C0"/>
    <w:rsid w:val="008C06D5"/>
    <w:rsid w:val="008C06EE"/>
    <w:rsid w:val="008C0702"/>
    <w:rsid w:val="008C0711"/>
    <w:rsid w:val="008C07EA"/>
    <w:rsid w:val="008C0816"/>
    <w:rsid w:val="008C088C"/>
    <w:rsid w:val="008C09C7"/>
    <w:rsid w:val="008C0A41"/>
    <w:rsid w:val="008C0A8A"/>
    <w:rsid w:val="008C0A93"/>
    <w:rsid w:val="008C0AB6"/>
    <w:rsid w:val="008C0AEC"/>
    <w:rsid w:val="008C0B74"/>
    <w:rsid w:val="008C0B9C"/>
    <w:rsid w:val="008C0C01"/>
    <w:rsid w:val="008C0C42"/>
    <w:rsid w:val="008C0C99"/>
    <w:rsid w:val="008C0CB1"/>
    <w:rsid w:val="008C0CE2"/>
    <w:rsid w:val="008C0D17"/>
    <w:rsid w:val="008C0D3A"/>
    <w:rsid w:val="008C0D86"/>
    <w:rsid w:val="008C0DA0"/>
    <w:rsid w:val="008C0DD1"/>
    <w:rsid w:val="008C0E31"/>
    <w:rsid w:val="008C0E59"/>
    <w:rsid w:val="008C0E5F"/>
    <w:rsid w:val="008C0EFF"/>
    <w:rsid w:val="008C0F1A"/>
    <w:rsid w:val="008C0F2F"/>
    <w:rsid w:val="008C0F7C"/>
    <w:rsid w:val="008C0FC0"/>
    <w:rsid w:val="008C107B"/>
    <w:rsid w:val="008C109B"/>
    <w:rsid w:val="008C11B9"/>
    <w:rsid w:val="008C11BF"/>
    <w:rsid w:val="008C11EC"/>
    <w:rsid w:val="008C11EF"/>
    <w:rsid w:val="008C1220"/>
    <w:rsid w:val="008C1263"/>
    <w:rsid w:val="008C12BC"/>
    <w:rsid w:val="008C12E6"/>
    <w:rsid w:val="008C1321"/>
    <w:rsid w:val="008C136A"/>
    <w:rsid w:val="008C139E"/>
    <w:rsid w:val="008C1452"/>
    <w:rsid w:val="008C14E3"/>
    <w:rsid w:val="008C17D5"/>
    <w:rsid w:val="008C182C"/>
    <w:rsid w:val="008C183B"/>
    <w:rsid w:val="008C18BE"/>
    <w:rsid w:val="008C18DB"/>
    <w:rsid w:val="008C196E"/>
    <w:rsid w:val="008C1999"/>
    <w:rsid w:val="008C19C5"/>
    <w:rsid w:val="008C19FA"/>
    <w:rsid w:val="008C1A97"/>
    <w:rsid w:val="008C1AB8"/>
    <w:rsid w:val="008C1AF4"/>
    <w:rsid w:val="008C1B0C"/>
    <w:rsid w:val="008C1B1E"/>
    <w:rsid w:val="008C1B6F"/>
    <w:rsid w:val="008C1BDA"/>
    <w:rsid w:val="008C1C09"/>
    <w:rsid w:val="008C1C3C"/>
    <w:rsid w:val="008C1CCB"/>
    <w:rsid w:val="008C1CDC"/>
    <w:rsid w:val="008C1D6D"/>
    <w:rsid w:val="008C1D7F"/>
    <w:rsid w:val="008C1D8E"/>
    <w:rsid w:val="008C1E4D"/>
    <w:rsid w:val="008C1E68"/>
    <w:rsid w:val="008C1EBF"/>
    <w:rsid w:val="008C1EE4"/>
    <w:rsid w:val="008C1EF2"/>
    <w:rsid w:val="008C1EF9"/>
    <w:rsid w:val="008C1FAC"/>
    <w:rsid w:val="008C2097"/>
    <w:rsid w:val="008C209C"/>
    <w:rsid w:val="008C20C6"/>
    <w:rsid w:val="008C211F"/>
    <w:rsid w:val="008C2164"/>
    <w:rsid w:val="008C217D"/>
    <w:rsid w:val="008C21C2"/>
    <w:rsid w:val="008C220B"/>
    <w:rsid w:val="008C2210"/>
    <w:rsid w:val="008C2211"/>
    <w:rsid w:val="008C227A"/>
    <w:rsid w:val="008C2312"/>
    <w:rsid w:val="008C2389"/>
    <w:rsid w:val="008C2399"/>
    <w:rsid w:val="008C23B7"/>
    <w:rsid w:val="008C2452"/>
    <w:rsid w:val="008C2465"/>
    <w:rsid w:val="008C24ED"/>
    <w:rsid w:val="008C2546"/>
    <w:rsid w:val="008C2561"/>
    <w:rsid w:val="008C257B"/>
    <w:rsid w:val="008C2588"/>
    <w:rsid w:val="008C25A9"/>
    <w:rsid w:val="008C25DB"/>
    <w:rsid w:val="008C25FB"/>
    <w:rsid w:val="008C260F"/>
    <w:rsid w:val="008C2670"/>
    <w:rsid w:val="008C2689"/>
    <w:rsid w:val="008C26A5"/>
    <w:rsid w:val="008C26CA"/>
    <w:rsid w:val="008C26FA"/>
    <w:rsid w:val="008C2748"/>
    <w:rsid w:val="008C2759"/>
    <w:rsid w:val="008C2772"/>
    <w:rsid w:val="008C2835"/>
    <w:rsid w:val="008C2928"/>
    <w:rsid w:val="008C29A7"/>
    <w:rsid w:val="008C29E2"/>
    <w:rsid w:val="008C2A62"/>
    <w:rsid w:val="008C2AB0"/>
    <w:rsid w:val="008C2B13"/>
    <w:rsid w:val="008C2BD5"/>
    <w:rsid w:val="008C2C26"/>
    <w:rsid w:val="008C2C54"/>
    <w:rsid w:val="008C2D77"/>
    <w:rsid w:val="008C2D86"/>
    <w:rsid w:val="008C2DBC"/>
    <w:rsid w:val="008C2E75"/>
    <w:rsid w:val="008C2E86"/>
    <w:rsid w:val="008C2FCB"/>
    <w:rsid w:val="008C3077"/>
    <w:rsid w:val="008C30DE"/>
    <w:rsid w:val="008C3177"/>
    <w:rsid w:val="008C31CB"/>
    <w:rsid w:val="008C31D6"/>
    <w:rsid w:val="008C320D"/>
    <w:rsid w:val="008C3246"/>
    <w:rsid w:val="008C3276"/>
    <w:rsid w:val="008C32B4"/>
    <w:rsid w:val="008C32D5"/>
    <w:rsid w:val="008C3363"/>
    <w:rsid w:val="008C33A9"/>
    <w:rsid w:val="008C3434"/>
    <w:rsid w:val="008C3528"/>
    <w:rsid w:val="008C3578"/>
    <w:rsid w:val="008C3594"/>
    <w:rsid w:val="008C3620"/>
    <w:rsid w:val="008C3691"/>
    <w:rsid w:val="008C3702"/>
    <w:rsid w:val="008C3715"/>
    <w:rsid w:val="008C373E"/>
    <w:rsid w:val="008C37F6"/>
    <w:rsid w:val="008C3803"/>
    <w:rsid w:val="008C3810"/>
    <w:rsid w:val="008C38C9"/>
    <w:rsid w:val="008C391D"/>
    <w:rsid w:val="008C3995"/>
    <w:rsid w:val="008C399C"/>
    <w:rsid w:val="008C39D4"/>
    <w:rsid w:val="008C3A0E"/>
    <w:rsid w:val="008C3A2E"/>
    <w:rsid w:val="008C3A98"/>
    <w:rsid w:val="008C3B35"/>
    <w:rsid w:val="008C3B79"/>
    <w:rsid w:val="008C3C04"/>
    <w:rsid w:val="008C3C5B"/>
    <w:rsid w:val="008C3D10"/>
    <w:rsid w:val="008C3DE1"/>
    <w:rsid w:val="008C3DEA"/>
    <w:rsid w:val="008C3DF6"/>
    <w:rsid w:val="008C3E04"/>
    <w:rsid w:val="008C3EBF"/>
    <w:rsid w:val="008C3EF1"/>
    <w:rsid w:val="008C4012"/>
    <w:rsid w:val="008C4048"/>
    <w:rsid w:val="008C40B3"/>
    <w:rsid w:val="008C40B7"/>
    <w:rsid w:val="008C40D0"/>
    <w:rsid w:val="008C4195"/>
    <w:rsid w:val="008C419B"/>
    <w:rsid w:val="008C41B7"/>
    <w:rsid w:val="008C41E4"/>
    <w:rsid w:val="008C4253"/>
    <w:rsid w:val="008C4290"/>
    <w:rsid w:val="008C42A7"/>
    <w:rsid w:val="008C42CE"/>
    <w:rsid w:val="008C42D8"/>
    <w:rsid w:val="008C431E"/>
    <w:rsid w:val="008C439C"/>
    <w:rsid w:val="008C43B2"/>
    <w:rsid w:val="008C43F2"/>
    <w:rsid w:val="008C441F"/>
    <w:rsid w:val="008C4425"/>
    <w:rsid w:val="008C4479"/>
    <w:rsid w:val="008C4549"/>
    <w:rsid w:val="008C4550"/>
    <w:rsid w:val="008C458E"/>
    <w:rsid w:val="008C4665"/>
    <w:rsid w:val="008C467C"/>
    <w:rsid w:val="008C46F2"/>
    <w:rsid w:val="008C472C"/>
    <w:rsid w:val="008C4736"/>
    <w:rsid w:val="008C4749"/>
    <w:rsid w:val="008C478F"/>
    <w:rsid w:val="008C479B"/>
    <w:rsid w:val="008C47E0"/>
    <w:rsid w:val="008C481B"/>
    <w:rsid w:val="008C4823"/>
    <w:rsid w:val="008C4867"/>
    <w:rsid w:val="008C48D0"/>
    <w:rsid w:val="008C48EE"/>
    <w:rsid w:val="008C4977"/>
    <w:rsid w:val="008C497E"/>
    <w:rsid w:val="008C4992"/>
    <w:rsid w:val="008C4A5F"/>
    <w:rsid w:val="008C4B81"/>
    <w:rsid w:val="008C4B83"/>
    <w:rsid w:val="008C4BA5"/>
    <w:rsid w:val="008C4CBA"/>
    <w:rsid w:val="008C4D3C"/>
    <w:rsid w:val="008C4D8D"/>
    <w:rsid w:val="008C4DC8"/>
    <w:rsid w:val="008C4E54"/>
    <w:rsid w:val="008C4E96"/>
    <w:rsid w:val="008C4EDF"/>
    <w:rsid w:val="008C4EEA"/>
    <w:rsid w:val="008C4F1B"/>
    <w:rsid w:val="008C5046"/>
    <w:rsid w:val="008C5096"/>
    <w:rsid w:val="008C50BE"/>
    <w:rsid w:val="008C51DB"/>
    <w:rsid w:val="008C51FC"/>
    <w:rsid w:val="008C5200"/>
    <w:rsid w:val="008C5217"/>
    <w:rsid w:val="008C5275"/>
    <w:rsid w:val="008C5290"/>
    <w:rsid w:val="008C5297"/>
    <w:rsid w:val="008C532B"/>
    <w:rsid w:val="008C5363"/>
    <w:rsid w:val="008C53A3"/>
    <w:rsid w:val="008C540B"/>
    <w:rsid w:val="008C54C4"/>
    <w:rsid w:val="008C54DA"/>
    <w:rsid w:val="008C5517"/>
    <w:rsid w:val="008C5530"/>
    <w:rsid w:val="008C55C2"/>
    <w:rsid w:val="008C55CD"/>
    <w:rsid w:val="008C573E"/>
    <w:rsid w:val="008C5748"/>
    <w:rsid w:val="008C57F1"/>
    <w:rsid w:val="008C5841"/>
    <w:rsid w:val="008C586C"/>
    <w:rsid w:val="008C5899"/>
    <w:rsid w:val="008C5980"/>
    <w:rsid w:val="008C59A7"/>
    <w:rsid w:val="008C59C7"/>
    <w:rsid w:val="008C5A47"/>
    <w:rsid w:val="008C5A9C"/>
    <w:rsid w:val="008C5AFB"/>
    <w:rsid w:val="008C5B5C"/>
    <w:rsid w:val="008C5B62"/>
    <w:rsid w:val="008C5BA3"/>
    <w:rsid w:val="008C5BCD"/>
    <w:rsid w:val="008C5BF1"/>
    <w:rsid w:val="008C5C12"/>
    <w:rsid w:val="008C5C7D"/>
    <w:rsid w:val="008C5C89"/>
    <w:rsid w:val="008C5CC5"/>
    <w:rsid w:val="008C5D14"/>
    <w:rsid w:val="008C5D41"/>
    <w:rsid w:val="008C5D52"/>
    <w:rsid w:val="008C5D57"/>
    <w:rsid w:val="008C5D5F"/>
    <w:rsid w:val="008C5D9A"/>
    <w:rsid w:val="008C5E16"/>
    <w:rsid w:val="008C5E4C"/>
    <w:rsid w:val="008C5E65"/>
    <w:rsid w:val="008C5EEF"/>
    <w:rsid w:val="008C5F46"/>
    <w:rsid w:val="008C5FC3"/>
    <w:rsid w:val="008C6052"/>
    <w:rsid w:val="008C60D4"/>
    <w:rsid w:val="008C60FF"/>
    <w:rsid w:val="008C6121"/>
    <w:rsid w:val="008C6134"/>
    <w:rsid w:val="008C6180"/>
    <w:rsid w:val="008C6201"/>
    <w:rsid w:val="008C622A"/>
    <w:rsid w:val="008C6299"/>
    <w:rsid w:val="008C62B4"/>
    <w:rsid w:val="008C6324"/>
    <w:rsid w:val="008C63E9"/>
    <w:rsid w:val="008C6414"/>
    <w:rsid w:val="008C6429"/>
    <w:rsid w:val="008C653B"/>
    <w:rsid w:val="008C6575"/>
    <w:rsid w:val="008C658E"/>
    <w:rsid w:val="008C659B"/>
    <w:rsid w:val="008C6603"/>
    <w:rsid w:val="008C6668"/>
    <w:rsid w:val="008C66B3"/>
    <w:rsid w:val="008C66B8"/>
    <w:rsid w:val="008C677B"/>
    <w:rsid w:val="008C67CB"/>
    <w:rsid w:val="008C6839"/>
    <w:rsid w:val="008C6872"/>
    <w:rsid w:val="008C68A8"/>
    <w:rsid w:val="008C68C9"/>
    <w:rsid w:val="008C68D4"/>
    <w:rsid w:val="008C68D8"/>
    <w:rsid w:val="008C68EF"/>
    <w:rsid w:val="008C6935"/>
    <w:rsid w:val="008C6963"/>
    <w:rsid w:val="008C696F"/>
    <w:rsid w:val="008C6A08"/>
    <w:rsid w:val="008C6A6A"/>
    <w:rsid w:val="008C6A78"/>
    <w:rsid w:val="008C6AF1"/>
    <w:rsid w:val="008C6B01"/>
    <w:rsid w:val="008C6B14"/>
    <w:rsid w:val="008C6BE5"/>
    <w:rsid w:val="008C6CE5"/>
    <w:rsid w:val="008C6D3B"/>
    <w:rsid w:val="008C6D9E"/>
    <w:rsid w:val="008C6E04"/>
    <w:rsid w:val="008C6E26"/>
    <w:rsid w:val="008C6E70"/>
    <w:rsid w:val="008C6F33"/>
    <w:rsid w:val="008C6FB5"/>
    <w:rsid w:val="008C6FC4"/>
    <w:rsid w:val="008C7144"/>
    <w:rsid w:val="008C71BA"/>
    <w:rsid w:val="008C71F2"/>
    <w:rsid w:val="008C71F7"/>
    <w:rsid w:val="008C7255"/>
    <w:rsid w:val="008C7282"/>
    <w:rsid w:val="008C72B0"/>
    <w:rsid w:val="008C7315"/>
    <w:rsid w:val="008C735D"/>
    <w:rsid w:val="008C73AC"/>
    <w:rsid w:val="008C7409"/>
    <w:rsid w:val="008C742E"/>
    <w:rsid w:val="008C744F"/>
    <w:rsid w:val="008C7471"/>
    <w:rsid w:val="008C755C"/>
    <w:rsid w:val="008C75A4"/>
    <w:rsid w:val="008C75E0"/>
    <w:rsid w:val="008C76A2"/>
    <w:rsid w:val="008C771C"/>
    <w:rsid w:val="008C7752"/>
    <w:rsid w:val="008C7763"/>
    <w:rsid w:val="008C7768"/>
    <w:rsid w:val="008C7790"/>
    <w:rsid w:val="008C77A7"/>
    <w:rsid w:val="008C77C2"/>
    <w:rsid w:val="008C77E9"/>
    <w:rsid w:val="008C7886"/>
    <w:rsid w:val="008C78DC"/>
    <w:rsid w:val="008C7902"/>
    <w:rsid w:val="008C7919"/>
    <w:rsid w:val="008C7944"/>
    <w:rsid w:val="008C79D9"/>
    <w:rsid w:val="008C7AE8"/>
    <w:rsid w:val="008C7B1E"/>
    <w:rsid w:val="008C7B2F"/>
    <w:rsid w:val="008C7BF9"/>
    <w:rsid w:val="008C7CE9"/>
    <w:rsid w:val="008C7D4A"/>
    <w:rsid w:val="008C7E0D"/>
    <w:rsid w:val="008C7E79"/>
    <w:rsid w:val="008C7E87"/>
    <w:rsid w:val="008C7E8D"/>
    <w:rsid w:val="008C7ED4"/>
    <w:rsid w:val="008C7ED5"/>
    <w:rsid w:val="008C7EF5"/>
    <w:rsid w:val="008C7FD9"/>
    <w:rsid w:val="008C7FDA"/>
    <w:rsid w:val="008C7FF6"/>
    <w:rsid w:val="008D0020"/>
    <w:rsid w:val="008D004D"/>
    <w:rsid w:val="008D0058"/>
    <w:rsid w:val="008D006E"/>
    <w:rsid w:val="008D00EE"/>
    <w:rsid w:val="008D015B"/>
    <w:rsid w:val="008D019C"/>
    <w:rsid w:val="008D01B6"/>
    <w:rsid w:val="008D01CC"/>
    <w:rsid w:val="008D01DD"/>
    <w:rsid w:val="008D023F"/>
    <w:rsid w:val="008D024C"/>
    <w:rsid w:val="008D026E"/>
    <w:rsid w:val="008D0371"/>
    <w:rsid w:val="008D03A1"/>
    <w:rsid w:val="008D049D"/>
    <w:rsid w:val="008D04FE"/>
    <w:rsid w:val="008D0530"/>
    <w:rsid w:val="008D053B"/>
    <w:rsid w:val="008D0544"/>
    <w:rsid w:val="008D0596"/>
    <w:rsid w:val="008D068C"/>
    <w:rsid w:val="008D06B8"/>
    <w:rsid w:val="008D06CF"/>
    <w:rsid w:val="008D06D6"/>
    <w:rsid w:val="008D070E"/>
    <w:rsid w:val="008D0729"/>
    <w:rsid w:val="008D0745"/>
    <w:rsid w:val="008D08F3"/>
    <w:rsid w:val="008D09CF"/>
    <w:rsid w:val="008D0A63"/>
    <w:rsid w:val="008D0A6D"/>
    <w:rsid w:val="008D0A77"/>
    <w:rsid w:val="008D0A7E"/>
    <w:rsid w:val="008D0A85"/>
    <w:rsid w:val="008D0AB2"/>
    <w:rsid w:val="008D0AD8"/>
    <w:rsid w:val="008D0B3E"/>
    <w:rsid w:val="008D0B4C"/>
    <w:rsid w:val="008D0B88"/>
    <w:rsid w:val="008D0C67"/>
    <w:rsid w:val="008D0D02"/>
    <w:rsid w:val="008D0D07"/>
    <w:rsid w:val="008D0DE7"/>
    <w:rsid w:val="008D0E13"/>
    <w:rsid w:val="008D0E91"/>
    <w:rsid w:val="008D0EAD"/>
    <w:rsid w:val="008D0ED9"/>
    <w:rsid w:val="008D0F03"/>
    <w:rsid w:val="008D0F9A"/>
    <w:rsid w:val="008D0FE3"/>
    <w:rsid w:val="008D108B"/>
    <w:rsid w:val="008D10B2"/>
    <w:rsid w:val="008D10E2"/>
    <w:rsid w:val="008D1164"/>
    <w:rsid w:val="008D11DC"/>
    <w:rsid w:val="008D11E7"/>
    <w:rsid w:val="008D11F9"/>
    <w:rsid w:val="008D120A"/>
    <w:rsid w:val="008D1210"/>
    <w:rsid w:val="008D123B"/>
    <w:rsid w:val="008D1294"/>
    <w:rsid w:val="008D12F1"/>
    <w:rsid w:val="008D1334"/>
    <w:rsid w:val="008D138B"/>
    <w:rsid w:val="008D13A2"/>
    <w:rsid w:val="008D13C2"/>
    <w:rsid w:val="008D1457"/>
    <w:rsid w:val="008D147F"/>
    <w:rsid w:val="008D1484"/>
    <w:rsid w:val="008D1487"/>
    <w:rsid w:val="008D14AF"/>
    <w:rsid w:val="008D14E8"/>
    <w:rsid w:val="008D1507"/>
    <w:rsid w:val="008D1531"/>
    <w:rsid w:val="008D1553"/>
    <w:rsid w:val="008D1554"/>
    <w:rsid w:val="008D1569"/>
    <w:rsid w:val="008D158B"/>
    <w:rsid w:val="008D16B4"/>
    <w:rsid w:val="008D1711"/>
    <w:rsid w:val="008D1745"/>
    <w:rsid w:val="008D176B"/>
    <w:rsid w:val="008D178D"/>
    <w:rsid w:val="008D17B3"/>
    <w:rsid w:val="008D17F6"/>
    <w:rsid w:val="008D17F7"/>
    <w:rsid w:val="008D1823"/>
    <w:rsid w:val="008D1840"/>
    <w:rsid w:val="008D1908"/>
    <w:rsid w:val="008D190E"/>
    <w:rsid w:val="008D191C"/>
    <w:rsid w:val="008D192B"/>
    <w:rsid w:val="008D19B7"/>
    <w:rsid w:val="008D1A56"/>
    <w:rsid w:val="008D1ABF"/>
    <w:rsid w:val="008D1C3D"/>
    <w:rsid w:val="008D1CE2"/>
    <w:rsid w:val="008D1CEA"/>
    <w:rsid w:val="008D1CFA"/>
    <w:rsid w:val="008D1EB3"/>
    <w:rsid w:val="008D1EBF"/>
    <w:rsid w:val="008D1F43"/>
    <w:rsid w:val="008D1F98"/>
    <w:rsid w:val="008D2008"/>
    <w:rsid w:val="008D204E"/>
    <w:rsid w:val="008D208B"/>
    <w:rsid w:val="008D20B0"/>
    <w:rsid w:val="008D2110"/>
    <w:rsid w:val="008D2124"/>
    <w:rsid w:val="008D212A"/>
    <w:rsid w:val="008D216F"/>
    <w:rsid w:val="008D217E"/>
    <w:rsid w:val="008D2287"/>
    <w:rsid w:val="008D2307"/>
    <w:rsid w:val="008D2310"/>
    <w:rsid w:val="008D2385"/>
    <w:rsid w:val="008D2396"/>
    <w:rsid w:val="008D2444"/>
    <w:rsid w:val="008D246C"/>
    <w:rsid w:val="008D2475"/>
    <w:rsid w:val="008D2497"/>
    <w:rsid w:val="008D24AF"/>
    <w:rsid w:val="008D24D8"/>
    <w:rsid w:val="008D2513"/>
    <w:rsid w:val="008D25A9"/>
    <w:rsid w:val="008D25B5"/>
    <w:rsid w:val="008D2624"/>
    <w:rsid w:val="008D2675"/>
    <w:rsid w:val="008D27A1"/>
    <w:rsid w:val="008D27A4"/>
    <w:rsid w:val="008D27A9"/>
    <w:rsid w:val="008D286F"/>
    <w:rsid w:val="008D28AA"/>
    <w:rsid w:val="008D28D1"/>
    <w:rsid w:val="008D28EC"/>
    <w:rsid w:val="008D291A"/>
    <w:rsid w:val="008D2A3E"/>
    <w:rsid w:val="008D2A59"/>
    <w:rsid w:val="008D2A69"/>
    <w:rsid w:val="008D2B60"/>
    <w:rsid w:val="008D2B8D"/>
    <w:rsid w:val="008D2C03"/>
    <w:rsid w:val="008D2C2F"/>
    <w:rsid w:val="008D2C3A"/>
    <w:rsid w:val="008D2C71"/>
    <w:rsid w:val="008D2CBD"/>
    <w:rsid w:val="008D2CF8"/>
    <w:rsid w:val="008D2D11"/>
    <w:rsid w:val="008D2D3E"/>
    <w:rsid w:val="008D2D4C"/>
    <w:rsid w:val="008D2DA7"/>
    <w:rsid w:val="008D2DAD"/>
    <w:rsid w:val="008D2E31"/>
    <w:rsid w:val="008D2E4B"/>
    <w:rsid w:val="008D2E51"/>
    <w:rsid w:val="008D2E6D"/>
    <w:rsid w:val="008D2EDD"/>
    <w:rsid w:val="008D2EE0"/>
    <w:rsid w:val="008D2FFB"/>
    <w:rsid w:val="008D3094"/>
    <w:rsid w:val="008D30A7"/>
    <w:rsid w:val="008D3199"/>
    <w:rsid w:val="008D3274"/>
    <w:rsid w:val="008D32E2"/>
    <w:rsid w:val="008D337B"/>
    <w:rsid w:val="008D3399"/>
    <w:rsid w:val="008D33BD"/>
    <w:rsid w:val="008D33FF"/>
    <w:rsid w:val="008D342F"/>
    <w:rsid w:val="008D3442"/>
    <w:rsid w:val="008D3461"/>
    <w:rsid w:val="008D349E"/>
    <w:rsid w:val="008D34AC"/>
    <w:rsid w:val="008D34BA"/>
    <w:rsid w:val="008D34CB"/>
    <w:rsid w:val="008D34CD"/>
    <w:rsid w:val="008D3517"/>
    <w:rsid w:val="008D3534"/>
    <w:rsid w:val="008D3545"/>
    <w:rsid w:val="008D355B"/>
    <w:rsid w:val="008D3661"/>
    <w:rsid w:val="008D371C"/>
    <w:rsid w:val="008D371E"/>
    <w:rsid w:val="008D374F"/>
    <w:rsid w:val="008D37DB"/>
    <w:rsid w:val="008D37EF"/>
    <w:rsid w:val="008D384E"/>
    <w:rsid w:val="008D385D"/>
    <w:rsid w:val="008D391C"/>
    <w:rsid w:val="008D3973"/>
    <w:rsid w:val="008D3990"/>
    <w:rsid w:val="008D39C2"/>
    <w:rsid w:val="008D3A0C"/>
    <w:rsid w:val="008D3A94"/>
    <w:rsid w:val="008D3AEB"/>
    <w:rsid w:val="008D3B01"/>
    <w:rsid w:val="008D3B3D"/>
    <w:rsid w:val="008D3B6E"/>
    <w:rsid w:val="008D3CDB"/>
    <w:rsid w:val="008D3D62"/>
    <w:rsid w:val="008D3DFB"/>
    <w:rsid w:val="008D3E11"/>
    <w:rsid w:val="008D3E5F"/>
    <w:rsid w:val="008D3EA9"/>
    <w:rsid w:val="008D3F50"/>
    <w:rsid w:val="008D3FDE"/>
    <w:rsid w:val="008D4072"/>
    <w:rsid w:val="008D4082"/>
    <w:rsid w:val="008D4090"/>
    <w:rsid w:val="008D40BF"/>
    <w:rsid w:val="008D40C0"/>
    <w:rsid w:val="008D4145"/>
    <w:rsid w:val="008D4161"/>
    <w:rsid w:val="008D41EE"/>
    <w:rsid w:val="008D423A"/>
    <w:rsid w:val="008D43F5"/>
    <w:rsid w:val="008D44B7"/>
    <w:rsid w:val="008D4511"/>
    <w:rsid w:val="008D452E"/>
    <w:rsid w:val="008D4582"/>
    <w:rsid w:val="008D459E"/>
    <w:rsid w:val="008D45E4"/>
    <w:rsid w:val="008D4626"/>
    <w:rsid w:val="008D463B"/>
    <w:rsid w:val="008D4673"/>
    <w:rsid w:val="008D4695"/>
    <w:rsid w:val="008D4755"/>
    <w:rsid w:val="008D4796"/>
    <w:rsid w:val="008D47CA"/>
    <w:rsid w:val="008D481F"/>
    <w:rsid w:val="008D48F8"/>
    <w:rsid w:val="008D4924"/>
    <w:rsid w:val="008D4951"/>
    <w:rsid w:val="008D49B4"/>
    <w:rsid w:val="008D4A19"/>
    <w:rsid w:val="008D4A9D"/>
    <w:rsid w:val="008D4AB7"/>
    <w:rsid w:val="008D4B2D"/>
    <w:rsid w:val="008D4C50"/>
    <w:rsid w:val="008D4C56"/>
    <w:rsid w:val="008D4C85"/>
    <w:rsid w:val="008D4D3B"/>
    <w:rsid w:val="008D4DDE"/>
    <w:rsid w:val="008D4E00"/>
    <w:rsid w:val="008D4E22"/>
    <w:rsid w:val="008D4E34"/>
    <w:rsid w:val="008D4E76"/>
    <w:rsid w:val="008D4EEB"/>
    <w:rsid w:val="008D500C"/>
    <w:rsid w:val="008D502E"/>
    <w:rsid w:val="008D512A"/>
    <w:rsid w:val="008D51B2"/>
    <w:rsid w:val="008D5205"/>
    <w:rsid w:val="008D524A"/>
    <w:rsid w:val="008D5252"/>
    <w:rsid w:val="008D5272"/>
    <w:rsid w:val="008D5291"/>
    <w:rsid w:val="008D52F8"/>
    <w:rsid w:val="008D5309"/>
    <w:rsid w:val="008D5338"/>
    <w:rsid w:val="008D535C"/>
    <w:rsid w:val="008D538E"/>
    <w:rsid w:val="008D53F3"/>
    <w:rsid w:val="008D54A9"/>
    <w:rsid w:val="008D54B4"/>
    <w:rsid w:val="008D55A3"/>
    <w:rsid w:val="008D55CA"/>
    <w:rsid w:val="008D55F7"/>
    <w:rsid w:val="008D566E"/>
    <w:rsid w:val="008D5694"/>
    <w:rsid w:val="008D56B5"/>
    <w:rsid w:val="008D57C6"/>
    <w:rsid w:val="008D57DF"/>
    <w:rsid w:val="008D584A"/>
    <w:rsid w:val="008D587E"/>
    <w:rsid w:val="008D58AE"/>
    <w:rsid w:val="008D58C8"/>
    <w:rsid w:val="008D5909"/>
    <w:rsid w:val="008D5A9C"/>
    <w:rsid w:val="008D5AF7"/>
    <w:rsid w:val="008D5B75"/>
    <w:rsid w:val="008D5BA2"/>
    <w:rsid w:val="008D5BF8"/>
    <w:rsid w:val="008D5CD7"/>
    <w:rsid w:val="008D5E13"/>
    <w:rsid w:val="008D5E3B"/>
    <w:rsid w:val="008D5E9A"/>
    <w:rsid w:val="008D5F3C"/>
    <w:rsid w:val="008D5F4C"/>
    <w:rsid w:val="008D5F5B"/>
    <w:rsid w:val="008D6088"/>
    <w:rsid w:val="008D60A2"/>
    <w:rsid w:val="008D60A8"/>
    <w:rsid w:val="008D60B7"/>
    <w:rsid w:val="008D60EB"/>
    <w:rsid w:val="008D6124"/>
    <w:rsid w:val="008D614D"/>
    <w:rsid w:val="008D6160"/>
    <w:rsid w:val="008D6192"/>
    <w:rsid w:val="008D61AB"/>
    <w:rsid w:val="008D61AE"/>
    <w:rsid w:val="008D6239"/>
    <w:rsid w:val="008D6262"/>
    <w:rsid w:val="008D6284"/>
    <w:rsid w:val="008D62F1"/>
    <w:rsid w:val="008D6328"/>
    <w:rsid w:val="008D636F"/>
    <w:rsid w:val="008D63A6"/>
    <w:rsid w:val="008D63EC"/>
    <w:rsid w:val="008D6417"/>
    <w:rsid w:val="008D64B6"/>
    <w:rsid w:val="008D6565"/>
    <w:rsid w:val="008D6593"/>
    <w:rsid w:val="008D6595"/>
    <w:rsid w:val="008D65A2"/>
    <w:rsid w:val="008D65A5"/>
    <w:rsid w:val="008D65D6"/>
    <w:rsid w:val="008D65E8"/>
    <w:rsid w:val="008D65F3"/>
    <w:rsid w:val="008D663C"/>
    <w:rsid w:val="008D6668"/>
    <w:rsid w:val="008D667C"/>
    <w:rsid w:val="008D66AD"/>
    <w:rsid w:val="008D670E"/>
    <w:rsid w:val="008D67D9"/>
    <w:rsid w:val="008D6808"/>
    <w:rsid w:val="008D689B"/>
    <w:rsid w:val="008D690B"/>
    <w:rsid w:val="008D690E"/>
    <w:rsid w:val="008D6AC1"/>
    <w:rsid w:val="008D6ACB"/>
    <w:rsid w:val="008D6AFD"/>
    <w:rsid w:val="008D6B58"/>
    <w:rsid w:val="008D6BBE"/>
    <w:rsid w:val="008D6BE9"/>
    <w:rsid w:val="008D6C28"/>
    <w:rsid w:val="008D6C61"/>
    <w:rsid w:val="008D6CAB"/>
    <w:rsid w:val="008D6D31"/>
    <w:rsid w:val="008D6D5C"/>
    <w:rsid w:val="008D6ED9"/>
    <w:rsid w:val="008D6F0B"/>
    <w:rsid w:val="008D6FC4"/>
    <w:rsid w:val="008D6FEF"/>
    <w:rsid w:val="008D7041"/>
    <w:rsid w:val="008D706C"/>
    <w:rsid w:val="008D70D6"/>
    <w:rsid w:val="008D7120"/>
    <w:rsid w:val="008D7187"/>
    <w:rsid w:val="008D7258"/>
    <w:rsid w:val="008D72B5"/>
    <w:rsid w:val="008D72C9"/>
    <w:rsid w:val="008D7327"/>
    <w:rsid w:val="008D7350"/>
    <w:rsid w:val="008D736D"/>
    <w:rsid w:val="008D73CA"/>
    <w:rsid w:val="008D7484"/>
    <w:rsid w:val="008D74E5"/>
    <w:rsid w:val="008D7509"/>
    <w:rsid w:val="008D752C"/>
    <w:rsid w:val="008D75CB"/>
    <w:rsid w:val="008D75E0"/>
    <w:rsid w:val="008D7602"/>
    <w:rsid w:val="008D7638"/>
    <w:rsid w:val="008D7643"/>
    <w:rsid w:val="008D76EF"/>
    <w:rsid w:val="008D7775"/>
    <w:rsid w:val="008D77BB"/>
    <w:rsid w:val="008D7869"/>
    <w:rsid w:val="008D787A"/>
    <w:rsid w:val="008D789F"/>
    <w:rsid w:val="008D78E8"/>
    <w:rsid w:val="008D796D"/>
    <w:rsid w:val="008D7983"/>
    <w:rsid w:val="008D79CE"/>
    <w:rsid w:val="008D7A08"/>
    <w:rsid w:val="008D7A5F"/>
    <w:rsid w:val="008D7A91"/>
    <w:rsid w:val="008D7AD4"/>
    <w:rsid w:val="008D7B9C"/>
    <w:rsid w:val="008D7BA9"/>
    <w:rsid w:val="008D7BAC"/>
    <w:rsid w:val="008D7CA2"/>
    <w:rsid w:val="008D7CBE"/>
    <w:rsid w:val="008D7E76"/>
    <w:rsid w:val="008D7EF2"/>
    <w:rsid w:val="008D7F0E"/>
    <w:rsid w:val="008D7F84"/>
    <w:rsid w:val="008D7FA2"/>
    <w:rsid w:val="008E00E9"/>
    <w:rsid w:val="008E00EE"/>
    <w:rsid w:val="008E014C"/>
    <w:rsid w:val="008E015F"/>
    <w:rsid w:val="008E022F"/>
    <w:rsid w:val="008E02A2"/>
    <w:rsid w:val="008E0323"/>
    <w:rsid w:val="008E0324"/>
    <w:rsid w:val="008E034B"/>
    <w:rsid w:val="008E034F"/>
    <w:rsid w:val="008E03D7"/>
    <w:rsid w:val="008E03EB"/>
    <w:rsid w:val="008E0401"/>
    <w:rsid w:val="008E040A"/>
    <w:rsid w:val="008E040C"/>
    <w:rsid w:val="008E0484"/>
    <w:rsid w:val="008E0563"/>
    <w:rsid w:val="008E057B"/>
    <w:rsid w:val="008E05E5"/>
    <w:rsid w:val="008E062F"/>
    <w:rsid w:val="008E0677"/>
    <w:rsid w:val="008E0682"/>
    <w:rsid w:val="008E0689"/>
    <w:rsid w:val="008E06DF"/>
    <w:rsid w:val="008E0796"/>
    <w:rsid w:val="008E07A8"/>
    <w:rsid w:val="008E07B4"/>
    <w:rsid w:val="008E087E"/>
    <w:rsid w:val="008E08AF"/>
    <w:rsid w:val="008E08DA"/>
    <w:rsid w:val="008E08DC"/>
    <w:rsid w:val="008E098E"/>
    <w:rsid w:val="008E09DC"/>
    <w:rsid w:val="008E09E2"/>
    <w:rsid w:val="008E0A63"/>
    <w:rsid w:val="008E0ABC"/>
    <w:rsid w:val="008E0B03"/>
    <w:rsid w:val="008E0B04"/>
    <w:rsid w:val="008E0BE9"/>
    <w:rsid w:val="008E0C75"/>
    <w:rsid w:val="008E0CA1"/>
    <w:rsid w:val="008E0CC9"/>
    <w:rsid w:val="008E0D25"/>
    <w:rsid w:val="008E0D29"/>
    <w:rsid w:val="008E0D5F"/>
    <w:rsid w:val="008E0DBB"/>
    <w:rsid w:val="008E0E4A"/>
    <w:rsid w:val="008E0E4E"/>
    <w:rsid w:val="008E0E54"/>
    <w:rsid w:val="008E0E64"/>
    <w:rsid w:val="008E0F14"/>
    <w:rsid w:val="008E0F29"/>
    <w:rsid w:val="008E0F2E"/>
    <w:rsid w:val="008E0F85"/>
    <w:rsid w:val="008E0FC6"/>
    <w:rsid w:val="008E0FE2"/>
    <w:rsid w:val="008E0FE3"/>
    <w:rsid w:val="008E1002"/>
    <w:rsid w:val="008E1043"/>
    <w:rsid w:val="008E1064"/>
    <w:rsid w:val="008E10A8"/>
    <w:rsid w:val="008E10FF"/>
    <w:rsid w:val="008E111F"/>
    <w:rsid w:val="008E1164"/>
    <w:rsid w:val="008E118C"/>
    <w:rsid w:val="008E11B0"/>
    <w:rsid w:val="008E11B2"/>
    <w:rsid w:val="008E1219"/>
    <w:rsid w:val="008E121F"/>
    <w:rsid w:val="008E1295"/>
    <w:rsid w:val="008E1331"/>
    <w:rsid w:val="008E1351"/>
    <w:rsid w:val="008E1375"/>
    <w:rsid w:val="008E13DE"/>
    <w:rsid w:val="008E1448"/>
    <w:rsid w:val="008E1449"/>
    <w:rsid w:val="008E144C"/>
    <w:rsid w:val="008E1480"/>
    <w:rsid w:val="008E14D1"/>
    <w:rsid w:val="008E152D"/>
    <w:rsid w:val="008E1553"/>
    <w:rsid w:val="008E159F"/>
    <w:rsid w:val="008E16DD"/>
    <w:rsid w:val="008E1728"/>
    <w:rsid w:val="008E1754"/>
    <w:rsid w:val="008E1765"/>
    <w:rsid w:val="008E1787"/>
    <w:rsid w:val="008E17A1"/>
    <w:rsid w:val="008E17E0"/>
    <w:rsid w:val="008E17F2"/>
    <w:rsid w:val="008E180F"/>
    <w:rsid w:val="008E1874"/>
    <w:rsid w:val="008E1962"/>
    <w:rsid w:val="008E19B5"/>
    <w:rsid w:val="008E19F8"/>
    <w:rsid w:val="008E1A0C"/>
    <w:rsid w:val="008E1B9B"/>
    <w:rsid w:val="008E1BC3"/>
    <w:rsid w:val="008E1C92"/>
    <w:rsid w:val="008E1C96"/>
    <w:rsid w:val="008E1C9E"/>
    <w:rsid w:val="008E1CAE"/>
    <w:rsid w:val="008E1D1A"/>
    <w:rsid w:val="008E1DA2"/>
    <w:rsid w:val="008E1DCE"/>
    <w:rsid w:val="008E1DD9"/>
    <w:rsid w:val="008E1DDC"/>
    <w:rsid w:val="008E1DED"/>
    <w:rsid w:val="008E1DFD"/>
    <w:rsid w:val="008E1E64"/>
    <w:rsid w:val="008E1ED6"/>
    <w:rsid w:val="008E1EDF"/>
    <w:rsid w:val="008E1EE1"/>
    <w:rsid w:val="008E1F86"/>
    <w:rsid w:val="008E1FD2"/>
    <w:rsid w:val="008E202E"/>
    <w:rsid w:val="008E206B"/>
    <w:rsid w:val="008E2129"/>
    <w:rsid w:val="008E21AD"/>
    <w:rsid w:val="008E2223"/>
    <w:rsid w:val="008E2235"/>
    <w:rsid w:val="008E2342"/>
    <w:rsid w:val="008E2377"/>
    <w:rsid w:val="008E23A7"/>
    <w:rsid w:val="008E2433"/>
    <w:rsid w:val="008E24CA"/>
    <w:rsid w:val="008E24D7"/>
    <w:rsid w:val="008E24E0"/>
    <w:rsid w:val="008E25BF"/>
    <w:rsid w:val="008E263D"/>
    <w:rsid w:val="008E2706"/>
    <w:rsid w:val="008E2748"/>
    <w:rsid w:val="008E27C5"/>
    <w:rsid w:val="008E27C7"/>
    <w:rsid w:val="008E283F"/>
    <w:rsid w:val="008E2898"/>
    <w:rsid w:val="008E289E"/>
    <w:rsid w:val="008E2969"/>
    <w:rsid w:val="008E2A95"/>
    <w:rsid w:val="008E2B65"/>
    <w:rsid w:val="008E2B8D"/>
    <w:rsid w:val="008E2BC6"/>
    <w:rsid w:val="008E2CDB"/>
    <w:rsid w:val="008E2D90"/>
    <w:rsid w:val="008E2DD7"/>
    <w:rsid w:val="008E2E7F"/>
    <w:rsid w:val="008E2EDD"/>
    <w:rsid w:val="008E2EFF"/>
    <w:rsid w:val="008E2F1E"/>
    <w:rsid w:val="008E2F41"/>
    <w:rsid w:val="008E2F6F"/>
    <w:rsid w:val="008E2F7F"/>
    <w:rsid w:val="008E2F92"/>
    <w:rsid w:val="008E2F98"/>
    <w:rsid w:val="008E2FD5"/>
    <w:rsid w:val="008E2FDC"/>
    <w:rsid w:val="008E2FF6"/>
    <w:rsid w:val="008E2FFA"/>
    <w:rsid w:val="008E303B"/>
    <w:rsid w:val="008E305F"/>
    <w:rsid w:val="008E309C"/>
    <w:rsid w:val="008E30C5"/>
    <w:rsid w:val="008E310D"/>
    <w:rsid w:val="008E3164"/>
    <w:rsid w:val="008E318F"/>
    <w:rsid w:val="008E31B5"/>
    <w:rsid w:val="008E31CB"/>
    <w:rsid w:val="008E3222"/>
    <w:rsid w:val="008E3233"/>
    <w:rsid w:val="008E32B1"/>
    <w:rsid w:val="008E32BD"/>
    <w:rsid w:val="008E32E8"/>
    <w:rsid w:val="008E3371"/>
    <w:rsid w:val="008E33CB"/>
    <w:rsid w:val="008E3448"/>
    <w:rsid w:val="008E34D9"/>
    <w:rsid w:val="008E3511"/>
    <w:rsid w:val="008E356B"/>
    <w:rsid w:val="008E361C"/>
    <w:rsid w:val="008E36AE"/>
    <w:rsid w:val="008E36FC"/>
    <w:rsid w:val="008E373A"/>
    <w:rsid w:val="008E373F"/>
    <w:rsid w:val="008E3786"/>
    <w:rsid w:val="008E37D8"/>
    <w:rsid w:val="008E37E7"/>
    <w:rsid w:val="008E3813"/>
    <w:rsid w:val="008E3826"/>
    <w:rsid w:val="008E38B7"/>
    <w:rsid w:val="008E38B8"/>
    <w:rsid w:val="008E392F"/>
    <w:rsid w:val="008E3958"/>
    <w:rsid w:val="008E39D9"/>
    <w:rsid w:val="008E3A2F"/>
    <w:rsid w:val="008E3A43"/>
    <w:rsid w:val="008E3A61"/>
    <w:rsid w:val="008E3AB5"/>
    <w:rsid w:val="008E3AFD"/>
    <w:rsid w:val="008E3B3B"/>
    <w:rsid w:val="008E3B8D"/>
    <w:rsid w:val="008E3BCC"/>
    <w:rsid w:val="008E3BD8"/>
    <w:rsid w:val="008E3BE8"/>
    <w:rsid w:val="008E3BEE"/>
    <w:rsid w:val="008E3BFF"/>
    <w:rsid w:val="008E3C6A"/>
    <w:rsid w:val="008E3C77"/>
    <w:rsid w:val="008E3CB4"/>
    <w:rsid w:val="008E3CFB"/>
    <w:rsid w:val="008E3D0B"/>
    <w:rsid w:val="008E3E9F"/>
    <w:rsid w:val="008E3EF2"/>
    <w:rsid w:val="008E3F06"/>
    <w:rsid w:val="008E3F11"/>
    <w:rsid w:val="008E3F7C"/>
    <w:rsid w:val="008E3F89"/>
    <w:rsid w:val="008E400A"/>
    <w:rsid w:val="008E40DF"/>
    <w:rsid w:val="008E4126"/>
    <w:rsid w:val="008E41F6"/>
    <w:rsid w:val="008E4232"/>
    <w:rsid w:val="008E42AB"/>
    <w:rsid w:val="008E42F3"/>
    <w:rsid w:val="008E4350"/>
    <w:rsid w:val="008E4375"/>
    <w:rsid w:val="008E43B6"/>
    <w:rsid w:val="008E4564"/>
    <w:rsid w:val="008E4570"/>
    <w:rsid w:val="008E4717"/>
    <w:rsid w:val="008E4724"/>
    <w:rsid w:val="008E474D"/>
    <w:rsid w:val="008E4783"/>
    <w:rsid w:val="008E47D3"/>
    <w:rsid w:val="008E47E1"/>
    <w:rsid w:val="008E4838"/>
    <w:rsid w:val="008E48C8"/>
    <w:rsid w:val="008E48DD"/>
    <w:rsid w:val="008E4985"/>
    <w:rsid w:val="008E49A9"/>
    <w:rsid w:val="008E49FA"/>
    <w:rsid w:val="008E4A1C"/>
    <w:rsid w:val="008E4A6B"/>
    <w:rsid w:val="008E4AB7"/>
    <w:rsid w:val="008E4ACE"/>
    <w:rsid w:val="008E4B72"/>
    <w:rsid w:val="008E4B8A"/>
    <w:rsid w:val="008E4BCB"/>
    <w:rsid w:val="008E4C61"/>
    <w:rsid w:val="008E4C92"/>
    <w:rsid w:val="008E4CA8"/>
    <w:rsid w:val="008E4CFF"/>
    <w:rsid w:val="008E4D1C"/>
    <w:rsid w:val="008E4D1D"/>
    <w:rsid w:val="008E4D4A"/>
    <w:rsid w:val="008E4DD8"/>
    <w:rsid w:val="008E4DDC"/>
    <w:rsid w:val="008E4DE2"/>
    <w:rsid w:val="008E4ED7"/>
    <w:rsid w:val="008E4EE4"/>
    <w:rsid w:val="008E4F18"/>
    <w:rsid w:val="008E4F4C"/>
    <w:rsid w:val="008E4F93"/>
    <w:rsid w:val="008E5082"/>
    <w:rsid w:val="008E5087"/>
    <w:rsid w:val="008E5121"/>
    <w:rsid w:val="008E51EB"/>
    <w:rsid w:val="008E51F8"/>
    <w:rsid w:val="008E5249"/>
    <w:rsid w:val="008E52A1"/>
    <w:rsid w:val="008E52A7"/>
    <w:rsid w:val="008E52CD"/>
    <w:rsid w:val="008E53A9"/>
    <w:rsid w:val="008E53B3"/>
    <w:rsid w:val="008E5454"/>
    <w:rsid w:val="008E55E6"/>
    <w:rsid w:val="008E55F6"/>
    <w:rsid w:val="008E566B"/>
    <w:rsid w:val="008E56F9"/>
    <w:rsid w:val="008E5717"/>
    <w:rsid w:val="008E57AA"/>
    <w:rsid w:val="008E585D"/>
    <w:rsid w:val="008E58F5"/>
    <w:rsid w:val="008E5953"/>
    <w:rsid w:val="008E59A3"/>
    <w:rsid w:val="008E5A61"/>
    <w:rsid w:val="008E5A70"/>
    <w:rsid w:val="008E5A71"/>
    <w:rsid w:val="008E5AC1"/>
    <w:rsid w:val="008E5AE5"/>
    <w:rsid w:val="008E5AFB"/>
    <w:rsid w:val="008E5B02"/>
    <w:rsid w:val="008E5B06"/>
    <w:rsid w:val="008E5B1A"/>
    <w:rsid w:val="008E5B39"/>
    <w:rsid w:val="008E5B79"/>
    <w:rsid w:val="008E5B8E"/>
    <w:rsid w:val="008E5B9B"/>
    <w:rsid w:val="008E5C05"/>
    <w:rsid w:val="008E5C6A"/>
    <w:rsid w:val="008E5CC0"/>
    <w:rsid w:val="008E5CD4"/>
    <w:rsid w:val="008E5D24"/>
    <w:rsid w:val="008E5D61"/>
    <w:rsid w:val="008E5D7F"/>
    <w:rsid w:val="008E5DBA"/>
    <w:rsid w:val="008E5DDE"/>
    <w:rsid w:val="008E5DEF"/>
    <w:rsid w:val="008E5E03"/>
    <w:rsid w:val="008E5E42"/>
    <w:rsid w:val="008E5E61"/>
    <w:rsid w:val="008E5EBB"/>
    <w:rsid w:val="008E5F01"/>
    <w:rsid w:val="008E5F91"/>
    <w:rsid w:val="008E602C"/>
    <w:rsid w:val="008E60C8"/>
    <w:rsid w:val="008E611D"/>
    <w:rsid w:val="008E6160"/>
    <w:rsid w:val="008E616E"/>
    <w:rsid w:val="008E6203"/>
    <w:rsid w:val="008E6253"/>
    <w:rsid w:val="008E62A1"/>
    <w:rsid w:val="008E62CD"/>
    <w:rsid w:val="008E632F"/>
    <w:rsid w:val="008E6370"/>
    <w:rsid w:val="008E63A2"/>
    <w:rsid w:val="008E63E5"/>
    <w:rsid w:val="008E6441"/>
    <w:rsid w:val="008E6474"/>
    <w:rsid w:val="008E6554"/>
    <w:rsid w:val="008E65FE"/>
    <w:rsid w:val="008E6773"/>
    <w:rsid w:val="008E67A0"/>
    <w:rsid w:val="008E67BF"/>
    <w:rsid w:val="008E67F9"/>
    <w:rsid w:val="008E6859"/>
    <w:rsid w:val="008E685F"/>
    <w:rsid w:val="008E68C4"/>
    <w:rsid w:val="008E68DA"/>
    <w:rsid w:val="008E696C"/>
    <w:rsid w:val="008E69D5"/>
    <w:rsid w:val="008E6AE1"/>
    <w:rsid w:val="008E6AFD"/>
    <w:rsid w:val="008E6B03"/>
    <w:rsid w:val="008E6BF4"/>
    <w:rsid w:val="008E6C37"/>
    <w:rsid w:val="008E6D50"/>
    <w:rsid w:val="008E6D6A"/>
    <w:rsid w:val="008E6D82"/>
    <w:rsid w:val="008E6DF7"/>
    <w:rsid w:val="008E6EB8"/>
    <w:rsid w:val="008E6EDC"/>
    <w:rsid w:val="008E6FBE"/>
    <w:rsid w:val="008E6FC6"/>
    <w:rsid w:val="008E6FE5"/>
    <w:rsid w:val="008E6FE6"/>
    <w:rsid w:val="008E7089"/>
    <w:rsid w:val="008E70EB"/>
    <w:rsid w:val="008E7143"/>
    <w:rsid w:val="008E716C"/>
    <w:rsid w:val="008E716E"/>
    <w:rsid w:val="008E7186"/>
    <w:rsid w:val="008E71D4"/>
    <w:rsid w:val="008E71DA"/>
    <w:rsid w:val="008E71F8"/>
    <w:rsid w:val="008E7201"/>
    <w:rsid w:val="008E7289"/>
    <w:rsid w:val="008E728E"/>
    <w:rsid w:val="008E72FA"/>
    <w:rsid w:val="008E7314"/>
    <w:rsid w:val="008E73DA"/>
    <w:rsid w:val="008E73DB"/>
    <w:rsid w:val="008E73F1"/>
    <w:rsid w:val="008E73F2"/>
    <w:rsid w:val="008E7477"/>
    <w:rsid w:val="008E74E6"/>
    <w:rsid w:val="008E75D6"/>
    <w:rsid w:val="008E75FF"/>
    <w:rsid w:val="008E7608"/>
    <w:rsid w:val="008E761C"/>
    <w:rsid w:val="008E7656"/>
    <w:rsid w:val="008E778B"/>
    <w:rsid w:val="008E77A8"/>
    <w:rsid w:val="008E77BE"/>
    <w:rsid w:val="008E7990"/>
    <w:rsid w:val="008E79CA"/>
    <w:rsid w:val="008E79D4"/>
    <w:rsid w:val="008E7A28"/>
    <w:rsid w:val="008E7A92"/>
    <w:rsid w:val="008E7AAC"/>
    <w:rsid w:val="008E7ADA"/>
    <w:rsid w:val="008E7B50"/>
    <w:rsid w:val="008E7BBF"/>
    <w:rsid w:val="008E7BCD"/>
    <w:rsid w:val="008E7C3A"/>
    <w:rsid w:val="008E7C52"/>
    <w:rsid w:val="008E7C6E"/>
    <w:rsid w:val="008E7C7A"/>
    <w:rsid w:val="008E7CB0"/>
    <w:rsid w:val="008E7CF9"/>
    <w:rsid w:val="008E7CFF"/>
    <w:rsid w:val="008E7D00"/>
    <w:rsid w:val="008E7D1A"/>
    <w:rsid w:val="008E7D58"/>
    <w:rsid w:val="008E7DA6"/>
    <w:rsid w:val="008E7E64"/>
    <w:rsid w:val="008E7E77"/>
    <w:rsid w:val="008E7EFB"/>
    <w:rsid w:val="008E7F62"/>
    <w:rsid w:val="008E7FA5"/>
    <w:rsid w:val="008F0058"/>
    <w:rsid w:val="008F0128"/>
    <w:rsid w:val="008F0139"/>
    <w:rsid w:val="008F0159"/>
    <w:rsid w:val="008F019E"/>
    <w:rsid w:val="008F01F5"/>
    <w:rsid w:val="008F0374"/>
    <w:rsid w:val="008F0383"/>
    <w:rsid w:val="008F0399"/>
    <w:rsid w:val="008F03A3"/>
    <w:rsid w:val="008F042A"/>
    <w:rsid w:val="008F0455"/>
    <w:rsid w:val="008F0492"/>
    <w:rsid w:val="008F04B4"/>
    <w:rsid w:val="008F04B6"/>
    <w:rsid w:val="008F04CA"/>
    <w:rsid w:val="008F050F"/>
    <w:rsid w:val="008F05DA"/>
    <w:rsid w:val="008F0694"/>
    <w:rsid w:val="008F06AB"/>
    <w:rsid w:val="008F06F9"/>
    <w:rsid w:val="008F070B"/>
    <w:rsid w:val="008F0723"/>
    <w:rsid w:val="008F0755"/>
    <w:rsid w:val="008F077D"/>
    <w:rsid w:val="008F08E1"/>
    <w:rsid w:val="008F0900"/>
    <w:rsid w:val="008F091B"/>
    <w:rsid w:val="008F0924"/>
    <w:rsid w:val="008F092D"/>
    <w:rsid w:val="008F0A3A"/>
    <w:rsid w:val="008F0B4C"/>
    <w:rsid w:val="008F0B80"/>
    <w:rsid w:val="008F0D77"/>
    <w:rsid w:val="008F0D86"/>
    <w:rsid w:val="008F0D88"/>
    <w:rsid w:val="008F0D8A"/>
    <w:rsid w:val="008F0E0A"/>
    <w:rsid w:val="008F0E80"/>
    <w:rsid w:val="008F0EDD"/>
    <w:rsid w:val="008F0F88"/>
    <w:rsid w:val="008F0FDB"/>
    <w:rsid w:val="008F10FE"/>
    <w:rsid w:val="008F1142"/>
    <w:rsid w:val="008F125C"/>
    <w:rsid w:val="008F1268"/>
    <w:rsid w:val="008F12E6"/>
    <w:rsid w:val="008F12E7"/>
    <w:rsid w:val="008F12E8"/>
    <w:rsid w:val="008F1390"/>
    <w:rsid w:val="008F1415"/>
    <w:rsid w:val="008F141A"/>
    <w:rsid w:val="008F1449"/>
    <w:rsid w:val="008F1465"/>
    <w:rsid w:val="008F16AE"/>
    <w:rsid w:val="008F1701"/>
    <w:rsid w:val="008F1737"/>
    <w:rsid w:val="008F1760"/>
    <w:rsid w:val="008F17BF"/>
    <w:rsid w:val="008F180F"/>
    <w:rsid w:val="008F1839"/>
    <w:rsid w:val="008F18B2"/>
    <w:rsid w:val="008F194F"/>
    <w:rsid w:val="008F195C"/>
    <w:rsid w:val="008F19E5"/>
    <w:rsid w:val="008F1A0D"/>
    <w:rsid w:val="008F1A2B"/>
    <w:rsid w:val="008F1A69"/>
    <w:rsid w:val="008F1AD1"/>
    <w:rsid w:val="008F1B6F"/>
    <w:rsid w:val="008F1C30"/>
    <w:rsid w:val="008F1C47"/>
    <w:rsid w:val="008F1C71"/>
    <w:rsid w:val="008F1C81"/>
    <w:rsid w:val="008F1C86"/>
    <w:rsid w:val="008F1CD3"/>
    <w:rsid w:val="008F1DB5"/>
    <w:rsid w:val="008F1DC4"/>
    <w:rsid w:val="008F1E41"/>
    <w:rsid w:val="008F1E6E"/>
    <w:rsid w:val="008F1E7F"/>
    <w:rsid w:val="008F1EEB"/>
    <w:rsid w:val="008F1F04"/>
    <w:rsid w:val="008F1F24"/>
    <w:rsid w:val="008F1F2B"/>
    <w:rsid w:val="008F1F5F"/>
    <w:rsid w:val="008F1F68"/>
    <w:rsid w:val="008F1FAA"/>
    <w:rsid w:val="008F1FC6"/>
    <w:rsid w:val="008F1FCE"/>
    <w:rsid w:val="008F2024"/>
    <w:rsid w:val="008F2068"/>
    <w:rsid w:val="008F20FB"/>
    <w:rsid w:val="008F2100"/>
    <w:rsid w:val="008F2156"/>
    <w:rsid w:val="008F21A6"/>
    <w:rsid w:val="008F21C2"/>
    <w:rsid w:val="008F220C"/>
    <w:rsid w:val="008F2282"/>
    <w:rsid w:val="008F229C"/>
    <w:rsid w:val="008F22BF"/>
    <w:rsid w:val="008F236F"/>
    <w:rsid w:val="008F238E"/>
    <w:rsid w:val="008F241C"/>
    <w:rsid w:val="008F2442"/>
    <w:rsid w:val="008F245F"/>
    <w:rsid w:val="008F2463"/>
    <w:rsid w:val="008F2467"/>
    <w:rsid w:val="008F246D"/>
    <w:rsid w:val="008F2555"/>
    <w:rsid w:val="008F256D"/>
    <w:rsid w:val="008F259B"/>
    <w:rsid w:val="008F268C"/>
    <w:rsid w:val="008F26C5"/>
    <w:rsid w:val="008F2737"/>
    <w:rsid w:val="008F28B7"/>
    <w:rsid w:val="008F2951"/>
    <w:rsid w:val="008F2976"/>
    <w:rsid w:val="008F2991"/>
    <w:rsid w:val="008F29BD"/>
    <w:rsid w:val="008F2A1C"/>
    <w:rsid w:val="008F2A3C"/>
    <w:rsid w:val="008F2A6F"/>
    <w:rsid w:val="008F2A88"/>
    <w:rsid w:val="008F2A90"/>
    <w:rsid w:val="008F2A94"/>
    <w:rsid w:val="008F2B03"/>
    <w:rsid w:val="008F2B13"/>
    <w:rsid w:val="008F2C35"/>
    <w:rsid w:val="008F2C7E"/>
    <w:rsid w:val="008F2CEF"/>
    <w:rsid w:val="008F2E36"/>
    <w:rsid w:val="008F2EAE"/>
    <w:rsid w:val="008F2ED3"/>
    <w:rsid w:val="008F3012"/>
    <w:rsid w:val="008F301F"/>
    <w:rsid w:val="008F3043"/>
    <w:rsid w:val="008F30AB"/>
    <w:rsid w:val="008F3117"/>
    <w:rsid w:val="008F31DA"/>
    <w:rsid w:val="008F3201"/>
    <w:rsid w:val="008F3269"/>
    <w:rsid w:val="008F336D"/>
    <w:rsid w:val="008F33AE"/>
    <w:rsid w:val="008F33F7"/>
    <w:rsid w:val="008F33FD"/>
    <w:rsid w:val="008F346B"/>
    <w:rsid w:val="008F34CA"/>
    <w:rsid w:val="008F34F0"/>
    <w:rsid w:val="008F34F3"/>
    <w:rsid w:val="008F3531"/>
    <w:rsid w:val="008F3601"/>
    <w:rsid w:val="008F3618"/>
    <w:rsid w:val="008F361C"/>
    <w:rsid w:val="008F3654"/>
    <w:rsid w:val="008F3681"/>
    <w:rsid w:val="008F36AB"/>
    <w:rsid w:val="008F36CA"/>
    <w:rsid w:val="008F36F2"/>
    <w:rsid w:val="008F37A3"/>
    <w:rsid w:val="008F37DE"/>
    <w:rsid w:val="008F37F7"/>
    <w:rsid w:val="008F384C"/>
    <w:rsid w:val="008F3890"/>
    <w:rsid w:val="008F38C8"/>
    <w:rsid w:val="008F393D"/>
    <w:rsid w:val="008F395B"/>
    <w:rsid w:val="008F3979"/>
    <w:rsid w:val="008F39AF"/>
    <w:rsid w:val="008F3A9F"/>
    <w:rsid w:val="008F3AD0"/>
    <w:rsid w:val="008F3BB4"/>
    <w:rsid w:val="008F3C62"/>
    <w:rsid w:val="008F3D2F"/>
    <w:rsid w:val="008F3D4A"/>
    <w:rsid w:val="008F3D5C"/>
    <w:rsid w:val="008F3D60"/>
    <w:rsid w:val="008F3DA8"/>
    <w:rsid w:val="008F3DC0"/>
    <w:rsid w:val="008F3DD5"/>
    <w:rsid w:val="008F3E06"/>
    <w:rsid w:val="008F3EB3"/>
    <w:rsid w:val="008F3F24"/>
    <w:rsid w:val="008F3F64"/>
    <w:rsid w:val="008F3F89"/>
    <w:rsid w:val="008F3F97"/>
    <w:rsid w:val="008F3FD4"/>
    <w:rsid w:val="008F3FEE"/>
    <w:rsid w:val="008F4022"/>
    <w:rsid w:val="008F4068"/>
    <w:rsid w:val="008F4095"/>
    <w:rsid w:val="008F412E"/>
    <w:rsid w:val="008F412F"/>
    <w:rsid w:val="008F4137"/>
    <w:rsid w:val="008F413E"/>
    <w:rsid w:val="008F413F"/>
    <w:rsid w:val="008F420B"/>
    <w:rsid w:val="008F422E"/>
    <w:rsid w:val="008F425E"/>
    <w:rsid w:val="008F4321"/>
    <w:rsid w:val="008F4355"/>
    <w:rsid w:val="008F4375"/>
    <w:rsid w:val="008F43C8"/>
    <w:rsid w:val="008F44C0"/>
    <w:rsid w:val="008F44CE"/>
    <w:rsid w:val="008F4573"/>
    <w:rsid w:val="008F4586"/>
    <w:rsid w:val="008F45D0"/>
    <w:rsid w:val="008F4619"/>
    <w:rsid w:val="008F4635"/>
    <w:rsid w:val="008F4649"/>
    <w:rsid w:val="008F465B"/>
    <w:rsid w:val="008F467D"/>
    <w:rsid w:val="008F4769"/>
    <w:rsid w:val="008F476C"/>
    <w:rsid w:val="008F483E"/>
    <w:rsid w:val="008F4905"/>
    <w:rsid w:val="008F4957"/>
    <w:rsid w:val="008F4A0F"/>
    <w:rsid w:val="008F4AC0"/>
    <w:rsid w:val="008F4B39"/>
    <w:rsid w:val="008F4B57"/>
    <w:rsid w:val="008F4BAE"/>
    <w:rsid w:val="008F4C01"/>
    <w:rsid w:val="008F4C0C"/>
    <w:rsid w:val="008F4CC5"/>
    <w:rsid w:val="008F4D25"/>
    <w:rsid w:val="008F4D33"/>
    <w:rsid w:val="008F4D36"/>
    <w:rsid w:val="008F4E35"/>
    <w:rsid w:val="008F4E97"/>
    <w:rsid w:val="008F4EA2"/>
    <w:rsid w:val="008F4ED6"/>
    <w:rsid w:val="008F4F7A"/>
    <w:rsid w:val="008F4F95"/>
    <w:rsid w:val="008F500E"/>
    <w:rsid w:val="008F5021"/>
    <w:rsid w:val="008F5051"/>
    <w:rsid w:val="008F50A8"/>
    <w:rsid w:val="008F50EB"/>
    <w:rsid w:val="008F50F1"/>
    <w:rsid w:val="008F5138"/>
    <w:rsid w:val="008F51D0"/>
    <w:rsid w:val="008F520D"/>
    <w:rsid w:val="008F526C"/>
    <w:rsid w:val="008F5337"/>
    <w:rsid w:val="008F5375"/>
    <w:rsid w:val="008F53BA"/>
    <w:rsid w:val="008F544C"/>
    <w:rsid w:val="008F54DB"/>
    <w:rsid w:val="008F54EC"/>
    <w:rsid w:val="008F5584"/>
    <w:rsid w:val="008F55B3"/>
    <w:rsid w:val="008F55FE"/>
    <w:rsid w:val="008F5603"/>
    <w:rsid w:val="008F5641"/>
    <w:rsid w:val="008F5659"/>
    <w:rsid w:val="008F56BC"/>
    <w:rsid w:val="008F56CB"/>
    <w:rsid w:val="008F56DB"/>
    <w:rsid w:val="008F5848"/>
    <w:rsid w:val="008F58BD"/>
    <w:rsid w:val="008F5900"/>
    <w:rsid w:val="008F5914"/>
    <w:rsid w:val="008F5928"/>
    <w:rsid w:val="008F59A0"/>
    <w:rsid w:val="008F59B3"/>
    <w:rsid w:val="008F59D9"/>
    <w:rsid w:val="008F59DC"/>
    <w:rsid w:val="008F5A2E"/>
    <w:rsid w:val="008F5A7F"/>
    <w:rsid w:val="008F5ACD"/>
    <w:rsid w:val="008F5B28"/>
    <w:rsid w:val="008F5B54"/>
    <w:rsid w:val="008F5B84"/>
    <w:rsid w:val="008F5CBC"/>
    <w:rsid w:val="008F5CC2"/>
    <w:rsid w:val="008F5D41"/>
    <w:rsid w:val="008F5D54"/>
    <w:rsid w:val="008F5DFE"/>
    <w:rsid w:val="008F5E58"/>
    <w:rsid w:val="008F5E59"/>
    <w:rsid w:val="008F5EAE"/>
    <w:rsid w:val="008F5F0A"/>
    <w:rsid w:val="008F5F42"/>
    <w:rsid w:val="008F5F53"/>
    <w:rsid w:val="008F5FEC"/>
    <w:rsid w:val="008F6047"/>
    <w:rsid w:val="008F60A8"/>
    <w:rsid w:val="008F60AA"/>
    <w:rsid w:val="008F60D4"/>
    <w:rsid w:val="008F6146"/>
    <w:rsid w:val="008F6179"/>
    <w:rsid w:val="008F6192"/>
    <w:rsid w:val="008F61D2"/>
    <w:rsid w:val="008F6209"/>
    <w:rsid w:val="008F6227"/>
    <w:rsid w:val="008F6275"/>
    <w:rsid w:val="008F63E1"/>
    <w:rsid w:val="008F6428"/>
    <w:rsid w:val="008F642D"/>
    <w:rsid w:val="008F64B5"/>
    <w:rsid w:val="008F64B6"/>
    <w:rsid w:val="008F6559"/>
    <w:rsid w:val="008F659B"/>
    <w:rsid w:val="008F6613"/>
    <w:rsid w:val="008F670C"/>
    <w:rsid w:val="008F674D"/>
    <w:rsid w:val="008F677F"/>
    <w:rsid w:val="008F67A3"/>
    <w:rsid w:val="008F67B7"/>
    <w:rsid w:val="008F6806"/>
    <w:rsid w:val="008F68BF"/>
    <w:rsid w:val="008F68F6"/>
    <w:rsid w:val="008F6904"/>
    <w:rsid w:val="008F697F"/>
    <w:rsid w:val="008F6993"/>
    <w:rsid w:val="008F699A"/>
    <w:rsid w:val="008F69C0"/>
    <w:rsid w:val="008F6A0A"/>
    <w:rsid w:val="008F6AB9"/>
    <w:rsid w:val="008F6ABB"/>
    <w:rsid w:val="008F6B46"/>
    <w:rsid w:val="008F6BCE"/>
    <w:rsid w:val="008F6BD9"/>
    <w:rsid w:val="008F6BDA"/>
    <w:rsid w:val="008F6C3E"/>
    <w:rsid w:val="008F6C6C"/>
    <w:rsid w:val="008F6C85"/>
    <w:rsid w:val="008F6D09"/>
    <w:rsid w:val="008F6D47"/>
    <w:rsid w:val="008F6D79"/>
    <w:rsid w:val="008F6DD1"/>
    <w:rsid w:val="008F6DE7"/>
    <w:rsid w:val="008F6E16"/>
    <w:rsid w:val="008F6E70"/>
    <w:rsid w:val="008F6E80"/>
    <w:rsid w:val="008F6E84"/>
    <w:rsid w:val="008F6E9F"/>
    <w:rsid w:val="008F6FB1"/>
    <w:rsid w:val="008F6FD7"/>
    <w:rsid w:val="008F7057"/>
    <w:rsid w:val="008F7076"/>
    <w:rsid w:val="008F7085"/>
    <w:rsid w:val="008F7109"/>
    <w:rsid w:val="008F711D"/>
    <w:rsid w:val="008F725B"/>
    <w:rsid w:val="008F728A"/>
    <w:rsid w:val="008F72C4"/>
    <w:rsid w:val="008F72EA"/>
    <w:rsid w:val="008F736A"/>
    <w:rsid w:val="008F73BE"/>
    <w:rsid w:val="008F7419"/>
    <w:rsid w:val="008F7439"/>
    <w:rsid w:val="008F749D"/>
    <w:rsid w:val="008F74C6"/>
    <w:rsid w:val="008F751C"/>
    <w:rsid w:val="008F7549"/>
    <w:rsid w:val="008F757B"/>
    <w:rsid w:val="008F75EC"/>
    <w:rsid w:val="008F7643"/>
    <w:rsid w:val="008F76F1"/>
    <w:rsid w:val="008F78AA"/>
    <w:rsid w:val="008F78BD"/>
    <w:rsid w:val="008F7901"/>
    <w:rsid w:val="008F793C"/>
    <w:rsid w:val="008F7A10"/>
    <w:rsid w:val="008F7A48"/>
    <w:rsid w:val="008F7ADB"/>
    <w:rsid w:val="008F7B39"/>
    <w:rsid w:val="008F7B72"/>
    <w:rsid w:val="008F7B95"/>
    <w:rsid w:val="008F7C6F"/>
    <w:rsid w:val="008F7C95"/>
    <w:rsid w:val="008F7CD3"/>
    <w:rsid w:val="008F7D42"/>
    <w:rsid w:val="008F7DC9"/>
    <w:rsid w:val="008F7DF4"/>
    <w:rsid w:val="008F7E02"/>
    <w:rsid w:val="008F7E44"/>
    <w:rsid w:val="008F7F1A"/>
    <w:rsid w:val="00900025"/>
    <w:rsid w:val="00900076"/>
    <w:rsid w:val="009000C2"/>
    <w:rsid w:val="009000D5"/>
    <w:rsid w:val="009000FA"/>
    <w:rsid w:val="00900120"/>
    <w:rsid w:val="009001BF"/>
    <w:rsid w:val="009001EC"/>
    <w:rsid w:val="0090020C"/>
    <w:rsid w:val="0090021F"/>
    <w:rsid w:val="0090025E"/>
    <w:rsid w:val="00900262"/>
    <w:rsid w:val="00900276"/>
    <w:rsid w:val="0090028F"/>
    <w:rsid w:val="009002A9"/>
    <w:rsid w:val="009002E3"/>
    <w:rsid w:val="00900300"/>
    <w:rsid w:val="009003A4"/>
    <w:rsid w:val="00900400"/>
    <w:rsid w:val="0090045E"/>
    <w:rsid w:val="009004DE"/>
    <w:rsid w:val="00900520"/>
    <w:rsid w:val="00900570"/>
    <w:rsid w:val="0090061E"/>
    <w:rsid w:val="0090062C"/>
    <w:rsid w:val="0090068C"/>
    <w:rsid w:val="00900715"/>
    <w:rsid w:val="0090072F"/>
    <w:rsid w:val="0090076B"/>
    <w:rsid w:val="00900780"/>
    <w:rsid w:val="009007F4"/>
    <w:rsid w:val="00900807"/>
    <w:rsid w:val="00900910"/>
    <w:rsid w:val="0090093D"/>
    <w:rsid w:val="00900964"/>
    <w:rsid w:val="00900A03"/>
    <w:rsid w:val="00900A2A"/>
    <w:rsid w:val="00900B93"/>
    <w:rsid w:val="00900C5A"/>
    <w:rsid w:val="00900CEF"/>
    <w:rsid w:val="00900D23"/>
    <w:rsid w:val="00900D2B"/>
    <w:rsid w:val="00900D80"/>
    <w:rsid w:val="00900E4F"/>
    <w:rsid w:val="00900EA4"/>
    <w:rsid w:val="00900F7F"/>
    <w:rsid w:val="00900FE5"/>
    <w:rsid w:val="00900FE7"/>
    <w:rsid w:val="00900FF8"/>
    <w:rsid w:val="0090105F"/>
    <w:rsid w:val="00901072"/>
    <w:rsid w:val="009010E3"/>
    <w:rsid w:val="0090117E"/>
    <w:rsid w:val="00901182"/>
    <w:rsid w:val="009011A9"/>
    <w:rsid w:val="009011C1"/>
    <w:rsid w:val="009011E5"/>
    <w:rsid w:val="00901242"/>
    <w:rsid w:val="009012EE"/>
    <w:rsid w:val="0090130E"/>
    <w:rsid w:val="00901369"/>
    <w:rsid w:val="009013F6"/>
    <w:rsid w:val="0090140D"/>
    <w:rsid w:val="00901416"/>
    <w:rsid w:val="00901436"/>
    <w:rsid w:val="009014B1"/>
    <w:rsid w:val="009014F0"/>
    <w:rsid w:val="0090154A"/>
    <w:rsid w:val="00901580"/>
    <w:rsid w:val="009015A2"/>
    <w:rsid w:val="009015CC"/>
    <w:rsid w:val="00901647"/>
    <w:rsid w:val="00901648"/>
    <w:rsid w:val="0090171A"/>
    <w:rsid w:val="00901785"/>
    <w:rsid w:val="0090193D"/>
    <w:rsid w:val="0090194F"/>
    <w:rsid w:val="009019B4"/>
    <w:rsid w:val="00901A23"/>
    <w:rsid w:val="00901AD1"/>
    <w:rsid w:val="00901AE3"/>
    <w:rsid w:val="00901AE7"/>
    <w:rsid w:val="00901AEE"/>
    <w:rsid w:val="00901B90"/>
    <w:rsid w:val="00901BD5"/>
    <w:rsid w:val="00901BFD"/>
    <w:rsid w:val="00901D25"/>
    <w:rsid w:val="00901D61"/>
    <w:rsid w:val="00901D96"/>
    <w:rsid w:val="00901E0B"/>
    <w:rsid w:val="00901E7C"/>
    <w:rsid w:val="00901E8D"/>
    <w:rsid w:val="00901EEB"/>
    <w:rsid w:val="00901EF6"/>
    <w:rsid w:val="00901EFB"/>
    <w:rsid w:val="00901F22"/>
    <w:rsid w:val="00901F65"/>
    <w:rsid w:val="00901F99"/>
    <w:rsid w:val="0090203E"/>
    <w:rsid w:val="009020D4"/>
    <w:rsid w:val="009020F7"/>
    <w:rsid w:val="0090216B"/>
    <w:rsid w:val="009021B3"/>
    <w:rsid w:val="009021DB"/>
    <w:rsid w:val="009021FF"/>
    <w:rsid w:val="00902203"/>
    <w:rsid w:val="00902299"/>
    <w:rsid w:val="009022E7"/>
    <w:rsid w:val="00902312"/>
    <w:rsid w:val="00902355"/>
    <w:rsid w:val="00902371"/>
    <w:rsid w:val="00902381"/>
    <w:rsid w:val="00902398"/>
    <w:rsid w:val="009023C4"/>
    <w:rsid w:val="00902423"/>
    <w:rsid w:val="009024AB"/>
    <w:rsid w:val="009024B5"/>
    <w:rsid w:val="009024BE"/>
    <w:rsid w:val="009024F7"/>
    <w:rsid w:val="0090255C"/>
    <w:rsid w:val="00902589"/>
    <w:rsid w:val="009025A7"/>
    <w:rsid w:val="0090265F"/>
    <w:rsid w:val="00902670"/>
    <w:rsid w:val="009026EB"/>
    <w:rsid w:val="009026F1"/>
    <w:rsid w:val="009027CE"/>
    <w:rsid w:val="009027EE"/>
    <w:rsid w:val="00902820"/>
    <w:rsid w:val="009028AD"/>
    <w:rsid w:val="00902901"/>
    <w:rsid w:val="009029F2"/>
    <w:rsid w:val="009029F4"/>
    <w:rsid w:val="00902C17"/>
    <w:rsid w:val="00902C62"/>
    <w:rsid w:val="00902CA4"/>
    <w:rsid w:val="00902D25"/>
    <w:rsid w:val="00902D50"/>
    <w:rsid w:val="00902D99"/>
    <w:rsid w:val="00902DDE"/>
    <w:rsid w:val="00902E09"/>
    <w:rsid w:val="00902E8A"/>
    <w:rsid w:val="00902E96"/>
    <w:rsid w:val="00902E97"/>
    <w:rsid w:val="00902EA9"/>
    <w:rsid w:val="00902ED0"/>
    <w:rsid w:val="00902EE4"/>
    <w:rsid w:val="00902EEA"/>
    <w:rsid w:val="00902F10"/>
    <w:rsid w:val="00902F57"/>
    <w:rsid w:val="00902F82"/>
    <w:rsid w:val="00902FF1"/>
    <w:rsid w:val="00903012"/>
    <w:rsid w:val="0090304A"/>
    <w:rsid w:val="009030A4"/>
    <w:rsid w:val="0090310D"/>
    <w:rsid w:val="009031B0"/>
    <w:rsid w:val="009031D1"/>
    <w:rsid w:val="00903222"/>
    <w:rsid w:val="0090325E"/>
    <w:rsid w:val="0090328A"/>
    <w:rsid w:val="009032D1"/>
    <w:rsid w:val="009032D6"/>
    <w:rsid w:val="009032E2"/>
    <w:rsid w:val="0090331E"/>
    <w:rsid w:val="00903372"/>
    <w:rsid w:val="0090338C"/>
    <w:rsid w:val="00903393"/>
    <w:rsid w:val="00903400"/>
    <w:rsid w:val="00903591"/>
    <w:rsid w:val="0090359E"/>
    <w:rsid w:val="009035BD"/>
    <w:rsid w:val="009035C5"/>
    <w:rsid w:val="009035D2"/>
    <w:rsid w:val="009035E6"/>
    <w:rsid w:val="009035ED"/>
    <w:rsid w:val="009035F6"/>
    <w:rsid w:val="00903646"/>
    <w:rsid w:val="0090368E"/>
    <w:rsid w:val="0090378F"/>
    <w:rsid w:val="009038AD"/>
    <w:rsid w:val="009038BC"/>
    <w:rsid w:val="009038C7"/>
    <w:rsid w:val="0090391C"/>
    <w:rsid w:val="00903926"/>
    <w:rsid w:val="00903931"/>
    <w:rsid w:val="00903A08"/>
    <w:rsid w:val="00903A1A"/>
    <w:rsid w:val="00903A70"/>
    <w:rsid w:val="00903A83"/>
    <w:rsid w:val="00903AE4"/>
    <w:rsid w:val="00903B11"/>
    <w:rsid w:val="00903BCD"/>
    <w:rsid w:val="00903C02"/>
    <w:rsid w:val="00903C93"/>
    <w:rsid w:val="00903C9E"/>
    <w:rsid w:val="00903D14"/>
    <w:rsid w:val="00903D3E"/>
    <w:rsid w:val="00903D43"/>
    <w:rsid w:val="00903D55"/>
    <w:rsid w:val="00903DA2"/>
    <w:rsid w:val="00903FE6"/>
    <w:rsid w:val="00904004"/>
    <w:rsid w:val="00904018"/>
    <w:rsid w:val="00904081"/>
    <w:rsid w:val="009040AE"/>
    <w:rsid w:val="009040B5"/>
    <w:rsid w:val="0090414F"/>
    <w:rsid w:val="00904175"/>
    <w:rsid w:val="0090421D"/>
    <w:rsid w:val="00904268"/>
    <w:rsid w:val="0090427E"/>
    <w:rsid w:val="0090436E"/>
    <w:rsid w:val="00904478"/>
    <w:rsid w:val="009044B2"/>
    <w:rsid w:val="009044DF"/>
    <w:rsid w:val="009045DE"/>
    <w:rsid w:val="00904608"/>
    <w:rsid w:val="0090463D"/>
    <w:rsid w:val="0090464A"/>
    <w:rsid w:val="00904654"/>
    <w:rsid w:val="009046D2"/>
    <w:rsid w:val="009046EE"/>
    <w:rsid w:val="00904725"/>
    <w:rsid w:val="00904795"/>
    <w:rsid w:val="00904819"/>
    <w:rsid w:val="00904890"/>
    <w:rsid w:val="00904983"/>
    <w:rsid w:val="00904985"/>
    <w:rsid w:val="009049D7"/>
    <w:rsid w:val="009049F4"/>
    <w:rsid w:val="00904A02"/>
    <w:rsid w:val="00904A55"/>
    <w:rsid w:val="00904A78"/>
    <w:rsid w:val="00904ABA"/>
    <w:rsid w:val="00904B3F"/>
    <w:rsid w:val="00904B52"/>
    <w:rsid w:val="00904BCA"/>
    <w:rsid w:val="00904D00"/>
    <w:rsid w:val="00904D98"/>
    <w:rsid w:val="00904E64"/>
    <w:rsid w:val="00904E7C"/>
    <w:rsid w:val="00904F4B"/>
    <w:rsid w:val="00904F83"/>
    <w:rsid w:val="00904F8A"/>
    <w:rsid w:val="0090500D"/>
    <w:rsid w:val="0090501E"/>
    <w:rsid w:val="009050A2"/>
    <w:rsid w:val="00905117"/>
    <w:rsid w:val="009051B8"/>
    <w:rsid w:val="009051EE"/>
    <w:rsid w:val="009051FE"/>
    <w:rsid w:val="009052C8"/>
    <w:rsid w:val="009052E9"/>
    <w:rsid w:val="00905319"/>
    <w:rsid w:val="00905333"/>
    <w:rsid w:val="00905352"/>
    <w:rsid w:val="00905418"/>
    <w:rsid w:val="00905432"/>
    <w:rsid w:val="00905439"/>
    <w:rsid w:val="0090549B"/>
    <w:rsid w:val="009054DF"/>
    <w:rsid w:val="00905554"/>
    <w:rsid w:val="00905597"/>
    <w:rsid w:val="00905613"/>
    <w:rsid w:val="009056FE"/>
    <w:rsid w:val="00905739"/>
    <w:rsid w:val="0090574A"/>
    <w:rsid w:val="0090576E"/>
    <w:rsid w:val="00905778"/>
    <w:rsid w:val="0090579C"/>
    <w:rsid w:val="009057B5"/>
    <w:rsid w:val="00905873"/>
    <w:rsid w:val="0090589A"/>
    <w:rsid w:val="009058B0"/>
    <w:rsid w:val="0090591E"/>
    <w:rsid w:val="00905941"/>
    <w:rsid w:val="009059D2"/>
    <w:rsid w:val="00905A75"/>
    <w:rsid w:val="00905B43"/>
    <w:rsid w:val="00905B68"/>
    <w:rsid w:val="00905BCF"/>
    <w:rsid w:val="00905C02"/>
    <w:rsid w:val="00905C2C"/>
    <w:rsid w:val="00905C82"/>
    <w:rsid w:val="00905CD2"/>
    <w:rsid w:val="00905CE1"/>
    <w:rsid w:val="00905D63"/>
    <w:rsid w:val="00905DBA"/>
    <w:rsid w:val="00905E17"/>
    <w:rsid w:val="00905E28"/>
    <w:rsid w:val="00905FD1"/>
    <w:rsid w:val="00906012"/>
    <w:rsid w:val="00906026"/>
    <w:rsid w:val="00906062"/>
    <w:rsid w:val="009060E8"/>
    <w:rsid w:val="00906160"/>
    <w:rsid w:val="009061D9"/>
    <w:rsid w:val="00906220"/>
    <w:rsid w:val="00906308"/>
    <w:rsid w:val="00906367"/>
    <w:rsid w:val="009063B7"/>
    <w:rsid w:val="0090644F"/>
    <w:rsid w:val="009064C2"/>
    <w:rsid w:val="009064CD"/>
    <w:rsid w:val="0090656B"/>
    <w:rsid w:val="00906570"/>
    <w:rsid w:val="009065F6"/>
    <w:rsid w:val="0090669F"/>
    <w:rsid w:val="009066FA"/>
    <w:rsid w:val="00906721"/>
    <w:rsid w:val="0090679D"/>
    <w:rsid w:val="009067DC"/>
    <w:rsid w:val="009067E9"/>
    <w:rsid w:val="0090688E"/>
    <w:rsid w:val="009068D8"/>
    <w:rsid w:val="009068E3"/>
    <w:rsid w:val="009068E5"/>
    <w:rsid w:val="00906930"/>
    <w:rsid w:val="009069AA"/>
    <w:rsid w:val="009069FD"/>
    <w:rsid w:val="00906A0A"/>
    <w:rsid w:val="00906AA7"/>
    <w:rsid w:val="00906ACA"/>
    <w:rsid w:val="00906B2E"/>
    <w:rsid w:val="00906BA2"/>
    <w:rsid w:val="00906C67"/>
    <w:rsid w:val="00906CA8"/>
    <w:rsid w:val="00906CCD"/>
    <w:rsid w:val="00906CED"/>
    <w:rsid w:val="00906E0B"/>
    <w:rsid w:val="00906E8A"/>
    <w:rsid w:val="00906ECD"/>
    <w:rsid w:val="00906EDD"/>
    <w:rsid w:val="00906EF7"/>
    <w:rsid w:val="00906F43"/>
    <w:rsid w:val="00906F6E"/>
    <w:rsid w:val="00906FFB"/>
    <w:rsid w:val="0090702B"/>
    <w:rsid w:val="0090703F"/>
    <w:rsid w:val="00907056"/>
    <w:rsid w:val="0090721C"/>
    <w:rsid w:val="0090729E"/>
    <w:rsid w:val="009072CB"/>
    <w:rsid w:val="0090739F"/>
    <w:rsid w:val="009073B8"/>
    <w:rsid w:val="009073C7"/>
    <w:rsid w:val="009073DD"/>
    <w:rsid w:val="009074C5"/>
    <w:rsid w:val="00907530"/>
    <w:rsid w:val="00907609"/>
    <w:rsid w:val="00907637"/>
    <w:rsid w:val="0090766E"/>
    <w:rsid w:val="00907686"/>
    <w:rsid w:val="009076A0"/>
    <w:rsid w:val="00907766"/>
    <w:rsid w:val="0090779C"/>
    <w:rsid w:val="009077D1"/>
    <w:rsid w:val="00907820"/>
    <w:rsid w:val="00907887"/>
    <w:rsid w:val="009078EF"/>
    <w:rsid w:val="00907929"/>
    <w:rsid w:val="00907939"/>
    <w:rsid w:val="00907942"/>
    <w:rsid w:val="00907943"/>
    <w:rsid w:val="00907961"/>
    <w:rsid w:val="0090796B"/>
    <w:rsid w:val="0090799F"/>
    <w:rsid w:val="009079B0"/>
    <w:rsid w:val="00907AB1"/>
    <w:rsid w:val="00907AC5"/>
    <w:rsid w:val="00907AD6"/>
    <w:rsid w:val="00907BA1"/>
    <w:rsid w:val="00907BCB"/>
    <w:rsid w:val="00907BE3"/>
    <w:rsid w:val="00907BE6"/>
    <w:rsid w:val="00907C07"/>
    <w:rsid w:val="00907C58"/>
    <w:rsid w:val="00907CD4"/>
    <w:rsid w:val="00907D4F"/>
    <w:rsid w:val="00907D5E"/>
    <w:rsid w:val="00907D83"/>
    <w:rsid w:val="00907D84"/>
    <w:rsid w:val="00907DBE"/>
    <w:rsid w:val="00907DD0"/>
    <w:rsid w:val="00907E17"/>
    <w:rsid w:val="00907E54"/>
    <w:rsid w:val="00907E55"/>
    <w:rsid w:val="00907E74"/>
    <w:rsid w:val="00907F8E"/>
    <w:rsid w:val="00907FD3"/>
    <w:rsid w:val="0091000A"/>
    <w:rsid w:val="00910037"/>
    <w:rsid w:val="00910068"/>
    <w:rsid w:val="00910075"/>
    <w:rsid w:val="0091007A"/>
    <w:rsid w:val="009100A6"/>
    <w:rsid w:val="00910145"/>
    <w:rsid w:val="00910155"/>
    <w:rsid w:val="0091017B"/>
    <w:rsid w:val="0091018F"/>
    <w:rsid w:val="009101C7"/>
    <w:rsid w:val="009101F7"/>
    <w:rsid w:val="00910252"/>
    <w:rsid w:val="0091029B"/>
    <w:rsid w:val="009102A3"/>
    <w:rsid w:val="009102BE"/>
    <w:rsid w:val="00910361"/>
    <w:rsid w:val="00910370"/>
    <w:rsid w:val="009103CA"/>
    <w:rsid w:val="009103FD"/>
    <w:rsid w:val="00910407"/>
    <w:rsid w:val="0091049F"/>
    <w:rsid w:val="0091054E"/>
    <w:rsid w:val="009105A8"/>
    <w:rsid w:val="009105C3"/>
    <w:rsid w:val="009105D9"/>
    <w:rsid w:val="009105F5"/>
    <w:rsid w:val="00910652"/>
    <w:rsid w:val="00910653"/>
    <w:rsid w:val="0091070A"/>
    <w:rsid w:val="009107C4"/>
    <w:rsid w:val="009107C9"/>
    <w:rsid w:val="009108C8"/>
    <w:rsid w:val="00910968"/>
    <w:rsid w:val="00910986"/>
    <w:rsid w:val="00910A17"/>
    <w:rsid w:val="00910A3D"/>
    <w:rsid w:val="00910A56"/>
    <w:rsid w:val="00910A66"/>
    <w:rsid w:val="00910A93"/>
    <w:rsid w:val="00910B67"/>
    <w:rsid w:val="00910B81"/>
    <w:rsid w:val="00910C02"/>
    <w:rsid w:val="00910C64"/>
    <w:rsid w:val="00910C83"/>
    <w:rsid w:val="00910CDC"/>
    <w:rsid w:val="00910D6E"/>
    <w:rsid w:val="00910DBC"/>
    <w:rsid w:val="00910DEC"/>
    <w:rsid w:val="00910E11"/>
    <w:rsid w:val="00910E1D"/>
    <w:rsid w:val="00910E3E"/>
    <w:rsid w:val="00910E5A"/>
    <w:rsid w:val="00910EE5"/>
    <w:rsid w:val="00910EEE"/>
    <w:rsid w:val="00910F05"/>
    <w:rsid w:val="00910F46"/>
    <w:rsid w:val="00910F5C"/>
    <w:rsid w:val="00910F91"/>
    <w:rsid w:val="00911008"/>
    <w:rsid w:val="0091105B"/>
    <w:rsid w:val="0091114D"/>
    <w:rsid w:val="0091118B"/>
    <w:rsid w:val="00911204"/>
    <w:rsid w:val="009112AC"/>
    <w:rsid w:val="009112C4"/>
    <w:rsid w:val="009112CB"/>
    <w:rsid w:val="00911364"/>
    <w:rsid w:val="00911537"/>
    <w:rsid w:val="00911559"/>
    <w:rsid w:val="0091156F"/>
    <w:rsid w:val="00911573"/>
    <w:rsid w:val="009115B6"/>
    <w:rsid w:val="009115DA"/>
    <w:rsid w:val="009116EB"/>
    <w:rsid w:val="00911761"/>
    <w:rsid w:val="009117A9"/>
    <w:rsid w:val="009117E1"/>
    <w:rsid w:val="00911810"/>
    <w:rsid w:val="00911827"/>
    <w:rsid w:val="009118D0"/>
    <w:rsid w:val="00911910"/>
    <w:rsid w:val="00911965"/>
    <w:rsid w:val="009119E8"/>
    <w:rsid w:val="00911ACE"/>
    <w:rsid w:val="00911B43"/>
    <w:rsid w:val="00911B52"/>
    <w:rsid w:val="00911BCE"/>
    <w:rsid w:val="00911C82"/>
    <w:rsid w:val="00911C9A"/>
    <w:rsid w:val="00911CA0"/>
    <w:rsid w:val="00911CEE"/>
    <w:rsid w:val="00911D33"/>
    <w:rsid w:val="00911D72"/>
    <w:rsid w:val="00911DFB"/>
    <w:rsid w:val="00911EAB"/>
    <w:rsid w:val="00911F60"/>
    <w:rsid w:val="00911F8C"/>
    <w:rsid w:val="00911F99"/>
    <w:rsid w:val="00911FAC"/>
    <w:rsid w:val="00912022"/>
    <w:rsid w:val="009120DA"/>
    <w:rsid w:val="009120FA"/>
    <w:rsid w:val="0091210D"/>
    <w:rsid w:val="0091216A"/>
    <w:rsid w:val="00912266"/>
    <w:rsid w:val="00912268"/>
    <w:rsid w:val="009122E3"/>
    <w:rsid w:val="009123D0"/>
    <w:rsid w:val="009124FA"/>
    <w:rsid w:val="00912544"/>
    <w:rsid w:val="0091254A"/>
    <w:rsid w:val="0091254B"/>
    <w:rsid w:val="00912574"/>
    <w:rsid w:val="0091257B"/>
    <w:rsid w:val="00912580"/>
    <w:rsid w:val="00912592"/>
    <w:rsid w:val="00912676"/>
    <w:rsid w:val="00912678"/>
    <w:rsid w:val="009126DE"/>
    <w:rsid w:val="00912756"/>
    <w:rsid w:val="00912763"/>
    <w:rsid w:val="0091276D"/>
    <w:rsid w:val="0091277F"/>
    <w:rsid w:val="009127A3"/>
    <w:rsid w:val="009127D9"/>
    <w:rsid w:val="00912813"/>
    <w:rsid w:val="0091289C"/>
    <w:rsid w:val="009128AB"/>
    <w:rsid w:val="00912901"/>
    <w:rsid w:val="00912904"/>
    <w:rsid w:val="00912922"/>
    <w:rsid w:val="00912952"/>
    <w:rsid w:val="00912967"/>
    <w:rsid w:val="009129A1"/>
    <w:rsid w:val="009129B4"/>
    <w:rsid w:val="009129E1"/>
    <w:rsid w:val="009129E8"/>
    <w:rsid w:val="009129F9"/>
    <w:rsid w:val="00912A64"/>
    <w:rsid w:val="00912B64"/>
    <w:rsid w:val="00912BE5"/>
    <w:rsid w:val="00912C3E"/>
    <w:rsid w:val="00912C42"/>
    <w:rsid w:val="00912CE7"/>
    <w:rsid w:val="00912D20"/>
    <w:rsid w:val="00912D4B"/>
    <w:rsid w:val="00912DB2"/>
    <w:rsid w:val="00912DB4"/>
    <w:rsid w:val="00912E09"/>
    <w:rsid w:val="00912E1E"/>
    <w:rsid w:val="00912E35"/>
    <w:rsid w:val="00912E6B"/>
    <w:rsid w:val="00912EC6"/>
    <w:rsid w:val="00912F60"/>
    <w:rsid w:val="00912FA4"/>
    <w:rsid w:val="00913021"/>
    <w:rsid w:val="00913071"/>
    <w:rsid w:val="009130AD"/>
    <w:rsid w:val="00913100"/>
    <w:rsid w:val="0091311C"/>
    <w:rsid w:val="00913136"/>
    <w:rsid w:val="009131EF"/>
    <w:rsid w:val="009131F6"/>
    <w:rsid w:val="009132A7"/>
    <w:rsid w:val="0091334E"/>
    <w:rsid w:val="0091335C"/>
    <w:rsid w:val="0091336C"/>
    <w:rsid w:val="0091342A"/>
    <w:rsid w:val="00913479"/>
    <w:rsid w:val="009134A7"/>
    <w:rsid w:val="009135DE"/>
    <w:rsid w:val="00913653"/>
    <w:rsid w:val="009136B8"/>
    <w:rsid w:val="009136CE"/>
    <w:rsid w:val="009136D7"/>
    <w:rsid w:val="0091376A"/>
    <w:rsid w:val="009137A2"/>
    <w:rsid w:val="009137F7"/>
    <w:rsid w:val="009138CB"/>
    <w:rsid w:val="00913907"/>
    <w:rsid w:val="00913970"/>
    <w:rsid w:val="00913979"/>
    <w:rsid w:val="009139D2"/>
    <w:rsid w:val="009139FC"/>
    <w:rsid w:val="00913A20"/>
    <w:rsid w:val="00913AB0"/>
    <w:rsid w:val="00913AE7"/>
    <w:rsid w:val="00913B82"/>
    <w:rsid w:val="00913CBE"/>
    <w:rsid w:val="00913D26"/>
    <w:rsid w:val="00913D48"/>
    <w:rsid w:val="00913DA6"/>
    <w:rsid w:val="00913E4E"/>
    <w:rsid w:val="00913E8D"/>
    <w:rsid w:val="00913EFA"/>
    <w:rsid w:val="00913F07"/>
    <w:rsid w:val="00913F90"/>
    <w:rsid w:val="00914080"/>
    <w:rsid w:val="009141C4"/>
    <w:rsid w:val="009141F7"/>
    <w:rsid w:val="009141FD"/>
    <w:rsid w:val="00914209"/>
    <w:rsid w:val="00914354"/>
    <w:rsid w:val="009143DC"/>
    <w:rsid w:val="0091444C"/>
    <w:rsid w:val="00914454"/>
    <w:rsid w:val="00914466"/>
    <w:rsid w:val="009144CD"/>
    <w:rsid w:val="009144D2"/>
    <w:rsid w:val="00914558"/>
    <w:rsid w:val="009145CE"/>
    <w:rsid w:val="00914656"/>
    <w:rsid w:val="0091467B"/>
    <w:rsid w:val="0091468F"/>
    <w:rsid w:val="00914694"/>
    <w:rsid w:val="009146E2"/>
    <w:rsid w:val="0091472B"/>
    <w:rsid w:val="0091473C"/>
    <w:rsid w:val="00914766"/>
    <w:rsid w:val="0091485F"/>
    <w:rsid w:val="00914867"/>
    <w:rsid w:val="0091488A"/>
    <w:rsid w:val="0091488F"/>
    <w:rsid w:val="00914927"/>
    <w:rsid w:val="009149AB"/>
    <w:rsid w:val="009149C1"/>
    <w:rsid w:val="00914AEF"/>
    <w:rsid w:val="00914B2D"/>
    <w:rsid w:val="00914B6D"/>
    <w:rsid w:val="00914B78"/>
    <w:rsid w:val="00914BC9"/>
    <w:rsid w:val="00914BDB"/>
    <w:rsid w:val="00914C8D"/>
    <w:rsid w:val="00914CDE"/>
    <w:rsid w:val="00914D63"/>
    <w:rsid w:val="00914E33"/>
    <w:rsid w:val="00914E34"/>
    <w:rsid w:val="00914EA2"/>
    <w:rsid w:val="00914EAB"/>
    <w:rsid w:val="00914EE5"/>
    <w:rsid w:val="00914F1B"/>
    <w:rsid w:val="00914FAB"/>
    <w:rsid w:val="00915023"/>
    <w:rsid w:val="009150D2"/>
    <w:rsid w:val="009150E5"/>
    <w:rsid w:val="0091510F"/>
    <w:rsid w:val="0091514A"/>
    <w:rsid w:val="0091514E"/>
    <w:rsid w:val="00915180"/>
    <w:rsid w:val="00915266"/>
    <w:rsid w:val="00915273"/>
    <w:rsid w:val="0091528D"/>
    <w:rsid w:val="009152A6"/>
    <w:rsid w:val="009152E9"/>
    <w:rsid w:val="00915319"/>
    <w:rsid w:val="00915335"/>
    <w:rsid w:val="009153F7"/>
    <w:rsid w:val="00915461"/>
    <w:rsid w:val="00915473"/>
    <w:rsid w:val="00915481"/>
    <w:rsid w:val="009154AA"/>
    <w:rsid w:val="00915587"/>
    <w:rsid w:val="009155D3"/>
    <w:rsid w:val="00915684"/>
    <w:rsid w:val="009156A3"/>
    <w:rsid w:val="00915719"/>
    <w:rsid w:val="00915775"/>
    <w:rsid w:val="0091577D"/>
    <w:rsid w:val="00915780"/>
    <w:rsid w:val="0091579A"/>
    <w:rsid w:val="009157CC"/>
    <w:rsid w:val="0091593F"/>
    <w:rsid w:val="00915B84"/>
    <w:rsid w:val="00915B8E"/>
    <w:rsid w:val="00915BAD"/>
    <w:rsid w:val="00915BD6"/>
    <w:rsid w:val="00915C32"/>
    <w:rsid w:val="00915D17"/>
    <w:rsid w:val="00915D4E"/>
    <w:rsid w:val="00915D9D"/>
    <w:rsid w:val="00915E15"/>
    <w:rsid w:val="00915E49"/>
    <w:rsid w:val="00915E7D"/>
    <w:rsid w:val="00915E88"/>
    <w:rsid w:val="00915EF4"/>
    <w:rsid w:val="00915F33"/>
    <w:rsid w:val="00915F36"/>
    <w:rsid w:val="00915FDF"/>
    <w:rsid w:val="00915FE9"/>
    <w:rsid w:val="0091603E"/>
    <w:rsid w:val="00916060"/>
    <w:rsid w:val="009160A8"/>
    <w:rsid w:val="009160F7"/>
    <w:rsid w:val="0091613A"/>
    <w:rsid w:val="009161A2"/>
    <w:rsid w:val="0091624E"/>
    <w:rsid w:val="0091626E"/>
    <w:rsid w:val="009162BF"/>
    <w:rsid w:val="0091630A"/>
    <w:rsid w:val="0091635A"/>
    <w:rsid w:val="0091636C"/>
    <w:rsid w:val="0091638D"/>
    <w:rsid w:val="009163D0"/>
    <w:rsid w:val="009163D9"/>
    <w:rsid w:val="00916434"/>
    <w:rsid w:val="00916487"/>
    <w:rsid w:val="009164E3"/>
    <w:rsid w:val="0091652B"/>
    <w:rsid w:val="00916576"/>
    <w:rsid w:val="00916615"/>
    <w:rsid w:val="00916640"/>
    <w:rsid w:val="0091665E"/>
    <w:rsid w:val="0091670D"/>
    <w:rsid w:val="00916787"/>
    <w:rsid w:val="009167C9"/>
    <w:rsid w:val="009167D0"/>
    <w:rsid w:val="00916866"/>
    <w:rsid w:val="009168CE"/>
    <w:rsid w:val="0091690F"/>
    <w:rsid w:val="00916969"/>
    <w:rsid w:val="009169C3"/>
    <w:rsid w:val="009169FA"/>
    <w:rsid w:val="00916AF0"/>
    <w:rsid w:val="00916B6B"/>
    <w:rsid w:val="00916B85"/>
    <w:rsid w:val="00916B87"/>
    <w:rsid w:val="00916BD6"/>
    <w:rsid w:val="00916C2F"/>
    <w:rsid w:val="00916C49"/>
    <w:rsid w:val="00916C6C"/>
    <w:rsid w:val="00916CD5"/>
    <w:rsid w:val="00916D00"/>
    <w:rsid w:val="00916D14"/>
    <w:rsid w:val="00916D27"/>
    <w:rsid w:val="00916D36"/>
    <w:rsid w:val="00916D74"/>
    <w:rsid w:val="00916E15"/>
    <w:rsid w:val="00916E38"/>
    <w:rsid w:val="00916E7E"/>
    <w:rsid w:val="00916F10"/>
    <w:rsid w:val="00916F3B"/>
    <w:rsid w:val="00916F73"/>
    <w:rsid w:val="00916F7F"/>
    <w:rsid w:val="00916FD8"/>
    <w:rsid w:val="00917084"/>
    <w:rsid w:val="0091708D"/>
    <w:rsid w:val="0091708E"/>
    <w:rsid w:val="009170E9"/>
    <w:rsid w:val="009171C1"/>
    <w:rsid w:val="009171FB"/>
    <w:rsid w:val="0091725A"/>
    <w:rsid w:val="00917296"/>
    <w:rsid w:val="009172FF"/>
    <w:rsid w:val="00917303"/>
    <w:rsid w:val="00917387"/>
    <w:rsid w:val="009173FF"/>
    <w:rsid w:val="0091745D"/>
    <w:rsid w:val="009174B1"/>
    <w:rsid w:val="009175A0"/>
    <w:rsid w:val="009175E8"/>
    <w:rsid w:val="009175ED"/>
    <w:rsid w:val="00917619"/>
    <w:rsid w:val="00917623"/>
    <w:rsid w:val="00917628"/>
    <w:rsid w:val="0091762A"/>
    <w:rsid w:val="00917650"/>
    <w:rsid w:val="0091766D"/>
    <w:rsid w:val="0091768C"/>
    <w:rsid w:val="009176B6"/>
    <w:rsid w:val="00917712"/>
    <w:rsid w:val="00917728"/>
    <w:rsid w:val="00917787"/>
    <w:rsid w:val="009177AF"/>
    <w:rsid w:val="009177DD"/>
    <w:rsid w:val="009177E2"/>
    <w:rsid w:val="009177E6"/>
    <w:rsid w:val="009177E7"/>
    <w:rsid w:val="009178A5"/>
    <w:rsid w:val="009178F1"/>
    <w:rsid w:val="009179A6"/>
    <w:rsid w:val="009179E0"/>
    <w:rsid w:val="00917A51"/>
    <w:rsid w:val="00917B1B"/>
    <w:rsid w:val="00917B1F"/>
    <w:rsid w:val="00917B3B"/>
    <w:rsid w:val="00917B4B"/>
    <w:rsid w:val="00917B6B"/>
    <w:rsid w:val="00917B82"/>
    <w:rsid w:val="00917BBF"/>
    <w:rsid w:val="00917BDC"/>
    <w:rsid w:val="00917BE0"/>
    <w:rsid w:val="00917C06"/>
    <w:rsid w:val="00917D22"/>
    <w:rsid w:val="00917D48"/>
    <w:rsid w:val="00917DAC"/>
    <w:rsid w:val="00917DBA"/>
    <w:rsid w:val="00917E20"/>
    <w:rsid w:val="00917E23"/>
    <w:rsid w:val="00917EB2"/>
    <w:rsid w:val="00917F2A"/>
    <w:rsid w:val="00917F53"/>
    <w:rsid w:val="00917FFA"/>
    <w:rsid w:val="0092002C"/>
    <w:rsid w:val="00920076"/>
    <w:rsid w:val="00920178"/>
    <w:rsid w:val="009201BB"/>
    <w:rsid w:val="009201CD"/>
    <w:rsid w:val="009201DD"/>
    <w:rsid w:val="009201E6"/>
    <w:rsid w:val="009202E8"/>
    <w:rsid w:val="00920389"/>
    <w:rsid w:val="009203E3"/>
    <w:rsid w:val="00920414"/>
    <w:rsid w:val="00920418"/>
    <w:rsid w:val="009204C1"/>
    <w:rsid w:val="0092057C"/>
    <w:rsid w:val="00920588"/>
    <w:rsid w:val="0092059A"/>
    <w:rsid w:val="009205A6"/>
    <w:rsid w:val="009205AE"/>
    <w:rsid w:val="00920769"/>
    <w:rsid w:val="009207E6"/>
    <w:rsid w:val="009207EB"/>
    <w:rsid w:val="00920813"/>
    <w:rsid w:val="00920868"/>
    <w:rsid w:val="009208B1"/>
    <w:rsid w:val="009208C6"/>
    <w:rsid w:val="009208E9"/>
    <w:rsid w:val="009209F9"/>
    <w:rsid w:val="00920A43"/>
    <w:rsid w:val="00920A97"/>
    <w:rsid w:val="00920AB6"/>
    <w:rsid w:val="00920AD0"/>
    <w:rsid w:val="00920AD7"/>
    <w:rsid w:val="00920B34"/>
    <w:rsid w:val="00920B97"/>
    <w:rsid w:val="00920BC1"/>
    <w:rsid w:val="00920BF1"/>
    <w:rsid w:val="00920CD6"/>
    <w:rsid w:val="00920CE3"/>
    <w:rsid w:val="00920D54"/>
    <w:rsid w:val="00920DB5"/>
    <w:rsid w:val="00920DC9"/>
    <w:rsid w:val="00920DD9"/>
    <w:rsid w:val="00920E0B"/>
    <w:rsid w:val="00920E43"/>
    <w:rsid w:val="00920E81"/>
    <w:rsid w:val="00920E8D"/>
    <w:rsid w:val="00920E95"/>
    <w:rsid w:val="00920ED4"/>
    <w:rsid w:val="00920F1F"/>
    <w:rsid w:val="00920F3D"/>
    <w:rsid w:val="00920F77"/>
    <w:rsid w:val="009210BD"/>
    <w:rsid w:val="009210CF"/>
    <w:rsid w:val="00921199"/>
    <w:rsid w:val="009211D0"/>
    <w:rsid w:val="009211D4"/>
    <w:rsid w:val="0092120F"/>
    <w:rsid w:val="00921227"/>
    <w:rsid w:val="00921256"/>
    <w:rsid w:val="00921260"/>
    <w:rsid w:val="0092127A"/>
    <w:rsid w:val="009213D6"/>
    <w:rsid w:val="009213F7"/>
    <w:rsid w:val="0092143E"/>
    <w:rsid w:val="00921487"/>
    <w:rsid w:val="009214F2"/>
    <w:rsid w:val="009214F8"/>
    <w:rsid w:val="00921558"/>
    <w:rsid w:val="00921567"/>
    <w:rsid w:val="00921570"/>
    <w:rsid w:val="00921585"/>
    <w:rsid w:val="00921750"/>
    <w:rsid w:val="009217D1"/>
    <w:rsid w:val="009217EF"/>
    <w:rsid w:val="00921802"/>
    <w:rsid w:val="0092181E"/>
    <w:rsid w:val="00921857"/>
    <w:rsid w:val="00921907"/>
    <w:rsid w:val="009219EA"/>
    <w:rsid w:val="009219FE"/>
    <w:rsid w:val="00921A3A"/>
    <w:rsid w:val="00921AC0"/>
    <w:rsid w:val="00921AC9"/>
    <w:rsid w:val="00921CBA"/>
    <w:rsid w:val="00921CBE"/>
    <w:rsid w:val="00921CDF"/>
    <w:rsid w:val="00921D0A"/>
    <w:rsid w:val="00921D5A"/>
    <w:rsid w:val="00921D7D"/>
    <w:rsid w:val="00921D91"/>
    <w:rsid w:val="00921E29"/>
    <w:rsid w:val="00921E33"/>
    <w:rsid w:val="00921E3B"/>
    <w:rsid w:val="00921E64"/>
    <w:rsid w:val="00921EF5"/>
    <w:rsid w:val="00921F6F"/>
    <w:rsid w:val="00922012"/>
    <w:rsid w:val="0092209D"/>
    <w:rsid w:val="009220C2"/>
    <w:rsid w:val="009220CB"/>
    <w:rsid w:val="009220FC"/>
    <w:rsid w:val="009221B3"/>
    <w:rsid w:val="009221D4"/>
    <w:rsid w:val="009221FA"/>
    <w:rsid w:val="00922212"/>
    <w:rsid w:val="0092229C"/>
    <w:rsid w:val="009222A4"/>
    <w:rsid w:val="009222B9"/>
    <w:rsid w:val="00922312"/>
    <w:rsid w:val="00922343"/>
    <w:rsid w:val="00922373"/>
    <w:rsid w:val="0092237B"/>
    <w:rsid w:val="0092238C"/>
    <w:rsid w:val="009223BD"/>
    <w:rsid w:val="009223D7"/>
    <w:rsid w:val="0092244B"/>
    <w:rsid w:val="0092245E"/>
    <w:rsid w:val="009224E2"/>
    <w:rsid w:val="00922551"/>
    <w:rsid w:val="00922559"/>
    <w:rsid w:val="00922560"/>
    <w:rsid w:val="00922649"/>
    <w:rsid w:val="00922688"/>
    <w:rsid w:val="0092276A"/>
    <w:rsid w:val="00922775"/>
    <w:rsid w:val="009227D8"/>
    <w:rsid w:val="009227E5"/>
    <w:rsid w:val="0092288F"/>
    <w:rsid w:val="009228F4"/>
    <w:rsid w:val="0092294D"/>
    <w:rsid w:val="0092296A"/>
    <w:rsid w:val="00922A37"/>
    <w:rsid w:val="00922B0A"/>
    <w:rsid w:val="00922B0F"/>
    <w:rsid w:val="00922C78"/>
    <w:rsid w:val="00922CCF"/>
    <w:rsid w:val="00922CD4"/>
    <w:rsid w:val="00922D28"/>
    <w:rsid w:val="00922D53"/>
    <w:rsid w:val="00922D54"/>
    <w:rsid w:val="00922D59"/>
    <w:rsid w:val="00922DF9"/>
    <w:rsid w:val="00922E13"/>
    <w:rsid w:val="00922E16"/>
    <w:rsid w:val="00922E1C"/>
    <w:rsid w:val="00922E87"/>
    <w:rsid w:val="00922EDB"/>
    <w:rsid w:val="00922F15"/>
    <w:rsid w:val="00922F56"/>
    <w:rsid w:val="00922FE8"/>
    <w:rsid w:val="0092300D"/>
    <w:rsid w:val="00923025"/>
    <w:rsid w:val="009230C9"/>
    <w:rsid w:val="00923103"/>
    <w:rsid w:val="0092310A"/>
    <w:rsid w:val="00923151"/>
    <w:rsid w:val="0092316B"/>
    <w:rsid w:val="00923223"/>
    <w:rsid w:val="0092324F"/>
    <w:rsid w:val="0092325A"/>
    <w:rsid w:val="0092328F"/>
    <w:rsid w:val="00923342"/>
    <w:rsid w:val="0092334C"/>
    <w:rsid w:val="009233B5"/>
    <w:rsid w:val="009233C3"/>
    <w:rsid w:val="009233CA"/>
    <w:rsid w:val="009233D1"/>
    <w:rsid w:val="00923406"/>
    <w:rsid w:val="00923451"/>
    <w:rsid w:val="00923697"/>
    <w:rsid w:val="00923726"/>
    <w:rsid w:val="00923740"/>
    <w:rsid w:val="00923760"/>
    <w:rsid w:val="009237A5"/>
    <w:rsid w:val="009237D8"/>
    <w:rsid w:val="009237EE"/>
    <w:rsid w:val="0092380B"/>
    <w:rsid w:val="00923850"/>
    <w:rsid w:val="00923891"/>
    <w:rsid w:val="009238A9"/>
    <w:rsid w:val="009238C9"/>
    <w:rsid w:val="009238D4"/>
    <w:rsid w:val="00923901"/>
    <w:rsid w:val="009239BA"/>
    <w:rsid w:val="009239F0"/>
    <w:rsid w:val="00923A9E"/>
    <w:rsid w:val="00923ACB"/>
    <w:rsid w:val="00923B08"/>
    <w:rsid w:val="00923B34"/>
    <w:rsid w:val="00923B84"/>
    <w:rsid w:val="00923B89"/>
    <w:rsid w:val="00923BE4"/>
    <w:rsid w:val="00923CA7"/>
    <w:rsid w:val="00923D5D"/>
    <w:rsid w:val="00923D85"/>
    <w:rsid w:val="00923D87"/>
    <w:rsid w:val="00923D91"/>
    <w:rsid w:val="00923E0D"/>
    <w:rsid w:val="00923E24"/>
    <w:rsid w:val="00923E25"/>
    <w:rsid w:val="00923E2E"/>
    <w:rsid w:val="00923E8E"/>
    <w:rsid w:val="00923F94"/>
    <w:rsid w:val="0092400C"/>
    <w:rsid w:val="00924060"/>
    <w:rsid w:val="0092412E"/>
    <w:rsid w:val="00924130"/>
    <w:rsid w:val="00924138"/>
    <w:rsid w:val="00924142"/>
    <w:rsid w:val="00924254"/>
    <w:rsid w:val="009242E8"/>
    <w:rsid w:val="0092430E"/>
    <w:rsid w:val="00924356"/>
    <w:rsid w:val="00924389"/>
    <w:rsid w:val="009243E0"/>
    <w:rsid w:val="009243E6"/>
    <w:rsid w:val="0092442F"/>
    <w:rsid w:val="00924485"/>
    <w:rsid w:val="009244A5"/>
    <w:rsid w:val="009244AC"/>
    <w:rsid w:val="009245B7"/>
    <w:rsid w:val="009245B9"/>
    <w:rsid w:val="00924729"/>
    <w:rsid w:val="00924810"/>
    <w:rsid w:val="009248B2"/>
    <w:rsid w:val="0092495E"/>
    <w:rsid w:val="0092498A"/>
    <w:rsid w:val="009249BA"/>
    <w:rsid w:val="009249F0"/>
    <w:rsid w:val="009249FE"/>
    <w:rsid w:val="00924A08"/>
    <w:rsid w:val="00924A6B"/>
    <w:rsid w:val="00924AA6"/>
    <w:rsid w:val="00924AD0"/>
    <w:rsid w:val="00924ADC"/>
    <w:rsid w:val="00924B18"/>
    <w:rsid w:val="00924B4F"/>
    <w:rsid w:val="00924C60"/>
    <w:rsid w:val="00924C9B"/>
    <w:rsid w:val="00924CCF"/>
    <w:rsid w:val="00924D58"/>
    <w:rsid w:val="00924D5B"/>
    <w:rsid w:val="00924DD4"/>
    <w:rsid w:val="00924E30"/>
    <w:rsid w:val="00924E37"/>
    <w:rsid w:val="00924E79"/>
    <w:rsid w:val="00924EA5"/>
    <w:rsid w:val="00924EDE"/>
    <w:rsid w:val="00924EF6"/>
    <w:rsid w:val="00924F91"/>
    <w:rsid w:val="00924FA8"/>
    <w:rsid w:val="009250C4"/>
    <w:rsid w:val="009250D9"/>
    <w:rsid w:val="009250E8"/>
    <w:rsid w:val="009250FA"/>
    <w:rsid w:val="00925109"/>
    <w:rsid w:val="0092518C"/>
    <w:rsid w:val="00925242"/>
    <w:rsid w:val="00925244"/>
    <w:rsid w:val="0092526F"/>
    <w:rsid w:val="009252A8"/>
    <w:rsid w:val="009252AE"/>
    <w:rsid w:val="009252D2"/>
    <w:rsid w:val="009252E2"/>
    <w:rsid w:val="00925302"/>
    <w:rsid w:val="00925322"/>
    <w:rsid w:val="0092532E"/>
    <w:rsid w:val="00925367"/>
    <w:rsid w:val="00925397"/>
    <w:rsid w:val="009253F7"/>
    <w:rsid w:val="00925464"/>
    <w:rsid w:val="00925474"/>
    <w:rsid w:val="0092547A"/>
    <w:rsid w:val="009254C8"/>
    <w:rsid w:val="00925527"/>
    <w:rsid w:val="00925542"/>
    <w:rsid w:val="00925579"/>
    <w:rsid w:val="0092557C"/>
    <w:rsid w:val="0092565E"/>
    <w:rsid w:val="009256D8"/>
    <w:rsid w:val="0092572A"/>
    <w:rsid w:val="00925782"/>
    <w:rsid w:val="0092582E"/>
    <w:rsid w:val="00925A31"/>
    <w:rsid w:val="00925A36"/>
    <w:rsid w:val="00925A46"/>
    <w:rsid w:val="00925A6A"/>
    <w:rsid w:val="00925B12"/>
    <w:rsid w:val="00925B4F"/>
    <w:rsid w:val="00925B51"/>
    <w:rsid w:val="00925BF4"/>
    <w:rsid w:val="00925C6E"/>
    <w:rsid w:val="00925C87"/>
    <w:rsid w:val="00925C9F"/>
    <w:rsid w:val="00925D45"/>
    <w:rsid w:val="00925DA3"/>
    <w:rsid w:val="00925DAD"/>
    <w:rsid w:val="00925DE2"/>
    <w:rsid w:val="00925F16"/>
    <w:rsid w:val="00925F37"/>
    <w:rsid w:val="00925F60"/>
    <w:rsid w:val="00925F7A"/>
    <w:rsid w:val="00925FCD"/>
    <w:rsid w:val="0092600D"/>
    <w:rsid w:val="0092606B"/>
    <w:rsid w:val="0092608D"/>
    <w:rsid w:val="009260EB"/>
    <w:rsid w:val="00926205"/>
    <w:rsid w:val="00926213"/>
    <w:rsid w:val="0092621D"/>
    <w:rsid w:val="0092629C"/>
    <w:rsid w:val="00926304"/>
    <w:rsid w:val="00926319"/>
    <w:rsid w:val="0092632D"/>
    <w:rsid w:val="00926379"/>
    <w:rsid w:val="00926396"/>
    <w:rsid w:val="009263A4"/>
    <w:rsid w:val="009263C9"/>
    <w:rsid w:val="00926525"/>
    <w:rsid w:val="0092658A"/>
    <w:rsid w:val="0092662B"/>
    <w:rsid w:val="00926632"/>
    <w:rsid w:val="009266C7"/>
    <w:rsid w:val="009266E2"/>
    <w:rsid w:val="0092675C"/>
    <w:rsid w:val="0092679A"/>
    <w:rsid w:val="0092679C"/>
    <w:rsid w:val="00926822"/>
    <w:rsid w:val="00926830"/>
    <w:rsid w:val="00926872"/>
    <w:rsid w:val="0092688A"/>
    <w:rsid w:val="00926910"/>
    <w:rsid w:val="0092693A"/>
    <w:rsid w:val="00926951"/>
    <w:rsid w:val="00926AB6"/>
    <w:rsid w:val="00926ACB"/>
    <w:rsid w:val="00926AD1"/>
    <w:rsid w:val="00926AEB"/>
    <w:rsid w:val="00926B51"/>
    <w:rsid w:val="00926BD2"/>
    <w:rsid w:val="00926BD7"/>
    <w:rsid w:val="00926BDF"/>
    <w:rsid w:val="00926C00"/>
    <w:rsid w:val="00926C1C"/>
    <w:rsid w:val="00926C6E"/>
    <w:rsid w:val="00926CD9"/>
    <w:rsid w:val="00926CF6"/>
    <w:rsid w:val="00926D06"/>
    <w:rsid w:val="00926D34"/>
    <w:rsid w:val="00926D41"/>
    <w:rsid w:val="00926D60"/>
    <w:rsid w:val="00926DB7"/>
    <w:rsid w:val="00926E01"/>
    <w:rsid w:val="00926E4E"/>
    <w:rsid w:val="00926F6E"/>
    <w:rsid w:val="00926F8E"/>
    <w:rsid w:val="00926FA5"/>
    <w:rsid w:val="00926FE4"/>
    <w:rsid w:val="009270BA"/>
    <w:rsid w:val="00927139"/>
    <w:rsid w:val="0092714D"/>
    <w:rsid w:val="00927179"/>
    <w:rsid w:val="0092717D"/>
    <w:rsid w:val="009271CF"/>
    <w:rsid w:val="0092720B"/>
    <w:rsid w:val="0092722B"/>
    <w:rsid w:val="009272A3"/>
    <w:rsid w:val="00927331"/>
    <w:rsid w:val="009273A8"/>
    <w:rsid w:val="00927427"/>
    <w:rsid w:val="009274FB"/>
    <w:rsid w:val="00927505"/>
    <w:rsid w:val="00927515"/>
    <w:rsid w:val="0092761D"/>
    <w:rsid w:val="0092769D"/>
    <w:rsid w:val="009276C9"/>
    <w:rsid w:val="009276CA"/>
    <w:rsid w:val="00927718"/>
    <w:rsid w:val="00927739"/>
    <w:rsid w:val="00927745"/>
    <w:rsid w:val="00927805"/>
    <w:rsid w:val="0092787A"/>
    <w:rsid w:val="009278D0"/>
    <w:rsid w:val="009278DE"/>
    <w:rsid w:val="00927A0D"/>
    <w:rsid w:val="00927A8E"/>
    <w:rsid w:val="00927AA6"/>
    <w:rsid w:val="00927B30"/>
    <w:rsid w:val="00927B55"/>
    <w:rsid w:val="00927C38"/>
    <w:rsid w:val="00927C42"/>
    <w:rsid w:val="00927C8B"/>
    <w:rsid w:val="00927CD6"/>
    <w:rsid w:val="00927CD7"/>
    <w:rsid w:val="00927CDD"/>
    <w:rsid w:val="00927D50"/>
    <w:rsid w:val="00927D53"/>
    <w:rsid w:val="00927DA1"/>
    <w:rsid w:val="00927E02"/>
    <w:rsid w:val="00927EAC"/>
    <w:rsid w:val="00927EAF"/>
    <w:rsid w:val="00927EE8"/>
    <w:rsid w:val="00927EFE"/>
    <w:rsid w:val="00927FCC"/>
    <w:rsid w:val="00930001"/>
    <w:rsid w:val="0093003D"/>
    <w:rsid w:val="00930084"/>
    <w:rsid w:val="009300F4"/>
    <w:rsid w:val="009301B9"/>
    <w:rsid w:val="009301FA"/>
    <w:rsid w:val="00930216"/>
    <w:rsid w:val="00930217"/>
    <w:rsid w:val="00930240"/>
    <w:rsid w:val="00930272"/>
    <w:rsid w:val="009302E5"/>
    <w:rsid w:val="00930321"/>
    <w:rsid w:val="0093038D"/>
    <w:rsid w:val="009303B7"/>
    <w:rsid w:val="009303C2"/>
    <w:rsid w:val="009303F9"/>
    <w:rsid w:val="00930442"/>
    <w:rsid w:val="00930511"/>
    <w:rsid w:val="00930564"/>
    <w:rsid w:val="009305FC"/>
    <w:rsid w:val="00930754"/>
    <w:rsid w:val="0093081C"/>
    <w:rsid w:val="00930868"/>
    <w:rsid w:val="00930891"/>
    <w:rsid w:val="009308B3"/>
    <w:rsid w:val="0093092F"/>
    <w:rsid w:val="00930932"/>
    <w:rsid w:val="0093097B"/>
    <w:rsid w:val="00930AC3"/>
    <w:rsid w:val="00930AE8"/>
    <w:rsid w:val="00930B07"/>
    <w:rsid w:val="00930B0B"/>
    <w:rsid w:val="00930B14"/>
    <w:rsid w:val="00930B2A"/>
    <w:rsid w:val="00930B7D"/>
    <w:rsid w:val="00930BAA"/>
    <w:rsid w:val="00930BBB"/>
    <w:rsid w:val="00930CD4"/>
    <w:rsid w:val="00930CD5"/>
    <w:rsid w:val="00930EBC"/>
    <w:rsid w:val="00930F16"/>
    <w:rsid w:val="00930F44"/>
    <w:rsid w:val="00930F55"/>
    <w:rsid w:val="00930F89"/>
    <w:rsid w:val="00931094"/>
    <w:rsid w:val="009310A0"/>
    <w:rsid w:val="009310A2"/>
    <w:rsid w:val="009310E4"/>
    <w:rsid w:val="0093112D"/>
    <w:rsid w:val="0093114D"/>
    <w:rsid w:val="009311A9"/>
    <w:rsid w:val="009311BB"/>
    <w:rsid w:val="00931256"/>
    <w:rsid w:val="00931264"/>
    <w:rsid w:val="00931285"/>
    <w:rsid w:val="009316B8"/>
    <w:rsid w:val="00931796"/>
    <w:rsid w:val="009317AE"/>
    <w:rsid w:val="00931868"/>
    <w:rsid w:val="009318AE"/>
    <w:rsid w:val="009318CB"/>
    <w:rsid w:val="00931956"/>
    <w:rsid w:val="00931968"/>
    <w:rsid w:val="009319AC"/>
    <w:rsid w:val="009319CE"/>
    <w:rsid w:val="00931A22"/>
    <w:rsid w:val="00931A9A"/>
    <w:rsid w:val="00931AB0"/>
    <w:rsid w:val="00931AB7"/>
    <w:rsid w:val="00931AE4"/>
    <w:rsid w:val="00931B38"/>
    <w:rsid w:val="00931BEF"/>
    <w:rsid w:val="00931C75"/>
    <w:rsid w:val="00931C9D"/>
    <w:rsid w:val="00931C9E"/>
    <w:rsid w:val="00931CAE"/>
    <w:rsid w:val="00931D5C"/>
    <w:rsid w:val="00931DDC"/>
    <w:rsid w:val="00931DFB"/>
    <w:rsid w:val="00931E43"/>
    <w:rsid w:val="00931E47"/>
    <w:rsid w:val="00931FA4"/>
    <w:rsid w:val="00932001"/>
    <w:rsid w:val="00932020"/>
    <w:rsid w:val="00932049"/>
    <w:rsid w:val="0093207A"/>
    <w:rsid w:val="0093211D"/>
    <w:rsid w:val="0093215A"/>
    <w:rsid w:val="00932183"/>
    <w:rsid w:val="0093220F"/>
    <w:rsid w:val="00932308"/>
    <w:rsid w:val="00932341"/>
    <w:rsid w:val="00932367"/>
    <w:rsid w:val="00932391"/>
    <w:rsid w:val="009323CC"/>
    <w:rsid w:val="009323E9"/>
    <w:rsid w:val="009325C3"/>
    <w:rsid w:val="00932601"/>
    <w:rsid w:val="00932629"/>
    <w:rsid w:val="00932635"/>
    <w:rsid w:val="0093263A"/>
    <w:rsid w:val="00932657"/>
    <w:rsid w:val="009326E0"/>
    <w:rsid w:val="009327C2"/>
    <w:rsid w:val="0093284F"/>
    <w:rsid w:val="00932890"/>
    <w:rsid w:val="0093297D"/>
    <w:rsid w:val="009329BE"/>
    <w:rsid w:val="00932A04"/>
    <w:rsid w:val="00932A15"/>
    <w:rsid w:val="00932A36"/>
    <w:rsid w:val="00932A89"/>
    <w:rsid w:val="00932AB6"/>
    <w:rsid w:val="00932AFB"/>
    <w:rsid w:val="00932B1E"/>
    <w:rsid w:val="00932BAB"/>
    <w:rsid w:val="00932C89"/>
    <w:rsid w:val="00932CE3"/>
    <w:rsid w:val="00932CE7"/>
    <w:rsid w:val="00932D54"/>
    <w:rsid w:val="00932E2B"/>
    <w:rsid w:val="00932E33"/>
    <w:rsid w:val="00932E71"/>
    <w:rsid w:val="00932E85"/>
    <w:rsid w:val="00932F09"/>
    <w:rsid w:val="00933022"/>
    <w:rsid w:val="0093313C"/>
    <w:rsid w:val="0093316E"/>
    <w:rsid w:val="00933196"/>
    <w:rsid w:val="009331AD"/>
    <w:rsid w:val="0093324B"/>
    <w:rsid w:val="00933279"/>
    <w:rsid w:val="00933289"/>
    <w:rsid w:val="00933298"/>
    <w:rsid w:val="009332BA"/>
    <w:rsid w:val="009332F1"/>
    <w:rsid w:val="0093331D"/>
    <w:rsid w:val="0093339C"/>
    <w:rsid w:val="009333D1"/>
    <w:rsid w:val="00933419"/>
    <w:rsid w:val="00933493"/>
    <w:rsid w:val="00933503"/>
    <w:rsid w:val="00933547"/>
    <w:rsid w:val="00933562"/>
    <w:rsid w:val="0093356C"/>
    <w:rsid w:val="009335E4"/>
    <w:rsid w:val="0093360B"/>
    <w:rsid w:val="00933660"/>
    <w:rsid w:val="0093373A"/>
    <w:rsid w:val="0093382C"/>
    <w:rsid w:val="00933830"/>
    <w:rsid w:val="00933837"/>
    <w:rsid w:val="00933842"/>
    <w:rsid w:val="00933874"/>
    <w:rsid w:val="0093391E"/>
    <w:rsid w:val="00933940"/>
    <w:rsid w:val="00933962"/>
    <w:rsid w:val="009339AC"/>
    <w:rsid w:val="00933ACA"/>
    <w:rsid w:val="00933ACD"/>
    <w:rsid w:val="00933ACE"/>
    <w:rsid w:val="00933AE7"/>
    <w:rsid w:val="00933AF6"/>
    <w:rsid w:val="00933AFE"/>
    <w:rsid w:val="00933B59"/>
    <w:rsid w:val="00933B7C"/>
    <w:rsid w:val="00933BAE"/>
    <w:rsid w:val="00933BD7"/>
    <w:rsid w:val="00933C05"/>
    <w:rsid w:val="00933C6D"/>
    <w:rsid w:val="00933CE3"/>
    <w:rsid w:val="00933D18"/>
    <w:rsid w:val="00933D19"/>
    <w:rsid w:val="00933D3B"/>
    <w:rsid w:val="00933D44"/>
    <w:rsid w:val="00933DB5"/>
    <w:rsid w:val="00933E4B"/>
    <w:rsid w:val="00933EB1"/>
    <w:rsid w:val="00933F33"/>
    <w:rsid w:val="00933F3A"/>
    <w:rsid w:val="00933F45"/>
    <w:rsid w:val="00933F64"/>
    <w:rsid w:val="00933F9E"/>
    <w:rsid w:val="00933F9F"/>
    <w:rsid w:val="00933FDA"/>
    <w:rsid w:val="00934051"/>
    <w:rsid w:val="00934081"/>
    <w:rsid w:val="0093409A"/>
    <w:rsid w:val="009340E2"/>
    <w:rsid w:val="00934104"/>
    <w:rsid w:val="009341C1"/>
    <w:rsid w:val="009341F5"/>
    <w:rsid w:val="009342B4"/>
    <w:rsid w:val="009342EA"/>
    <w:rsid w:val="009343FB"/>
    <w:rsid w:val="00934420"/>
    <w:rsid w:val="0093442A"/>
    <w:rsid w:val="009344E5"/>
    <w:rsid w:val="0093457C"/>
    <w:rsid w:val="009345B1"/>
    <w:rsid w:val="009345CD"/>
    <w:rsid w:val="00934611"/>
    <w:rsid w:val="0093464D"/>
    <w:rsid w:val="00934658"/>
    <w:rsid w:val="009346EA"/>
    <w:rsid w:val="0093477E"/>
    <w:rsid w:val="00934799"/>
    <w:rsid w:val="00934818"/>
    <w:rsid w:val="00934829"/>
    <w:rsid w:val="0093484C"/>
    <w:rsid w:val="0093489A"/>
    <w:rsid w:val="009348A1"/>
    <w:rsid w:val="009348D8"/>
    <w:rsid w:val="0093496B"/>
    <w:rsid w:val="00934977"/>
    <w:rsid w:val="009349A4"/>
    <w:rsid w:val="009349AE"/>
    <w:rsid w:val="00934AAF"/>
    <w:rsid w:val="00934B3F"/>
    <w:rsid w:val="00934B72"/>
    <w:rsid w:val="00934B91"/>
    <w:rsid w:val="00934BA8"/>
    <w:rsid w:val="00934BEE"/>
    <w:rsid w:val="00934C91"/>
    <w:rsid w:val="00934CB8"/>
    <w:rsid w:val="00934E6B"/>
    <w:rsid w:val="00934F81"/>
    <w:rsid w:val="00934FAF"/>
    <w:rsid w:val="00934FF8"/>
    <w:rsid w:val="0093501E"/>
    <w:rsid w:val="00935084"/>
    <w:rsid w:val="0093510F"/>
    <w:rsid w:val="00935121"/>
    <w:rsid w:val="009351A7"/>
    <w:rsid w:val="00935229"/>
    <w:rsid w:val="00935231"/>
    <w:rsid w:val="009352A4"/>
    <w:rsid w:val="009352F3"/>
    <w:rsid w:val="00935338"/>
    <w:rsid w:val="009353C0"/>
    <w:rsid w:val="0093541B"/>
    <w:rsid w:val="00935477"/>
    <w:rsid w:val="0093549F"/>
    <w:rsid w:val="009354D2"/>
    <w:rsid w:val="0093551C"/>
    <w:rsid w:val="00935523"/>
    <w:rsid w:val="00935564"/>
    <w:rsid w:val="00935575"/>
    <w:rsid w:val="0093557E"/>
    <w:rsid w:val="00935613"/>
    <w:rsid w:val="0093562D"/>
    <w:rsid w:val="00935688"/>
    <w:rsid w:val="00935720"/>
    <w:rsid w:val="009357CD"/>
    <w:rsid w:val="009358E1"/>
    <w:rsid w:val="00935921"/>
    <w:rsid w:val="00935930"/>
    <w:rsid w:val="0093595C"/>
    <w:rsid w:val="0093597D"/>
    <w:rsid w:val="00935A0E"/>
    <w:rsid w:val="00935A9B"/>
    <w:rsid w:val="00935ABB"/>
    <w:rsid w:val="00935B76"/>
    <w:rsid w:val="00935C03"/>
    <w:rsid w:val="00935C7F"/>
    <w:rsid w:val="00935C9B"/>
    <w:rsid w:val="00935CB5"/>
    <w:rsid w:val="00935E8B"/>
    <w:rsid w:val="00935EA2"/>
    <w:rsid w:val="00935F47"/>
    <w:rsid w:val="00935FC1"/>
    <w:rsid w:val="00935FDD"/>
    <w:rsid w:val="00935FE5"/>
    <w:rsid w:val="0093602C"/>
    <w:rsid w:val="0093609B"/>
    <w:rsid w:val="00936182"/>
    <w:rsid w:val="009361A5"/>
    <w:rsid w:val="009361CA"/>
    <w:rsid w:val="00936252"/>
    <w:rsid w:val="00936317"/>
    <w:rsid w:val="0093632B"/>
    <w:rsid w:val="0093634C"/>
    <w:rsid w:val="009363C1"/>
    <w:rsid w:val="0093640E"/>
    <w:rsid w:val="00936424"/>
    <w:rsid w:val="0093642A"/>
    <w:rsid w:val="0093644E"/>
    <w:rsid w:val="009364DE"/>
    <w:rsid w:val="0093650D"/>
    <w:rsid w:val="0093652C"/>
    <w:rsid w:val="0093656A"/>
    <w:rsid w:val="009365CA"/>
    <w:rsid w:val="009365EC"/>
    <w:rsid w:val="0093665F"/>
    <w:rsid w:val="00936686"/>
    <w:rsid w:val="00936777"/>
    <w:rsid w:val="009367A4"/>
    <w:rsid w:val="009368BE"/>
    <w:rsid w:val="009368C9"/>
    <w:rsid w:val="009368EA"/>
    <w:rsid w:val="009369AE"/>
    <w:rsid w:val="009369BE"/>
    <w:rsid w:val="00936A05"/>
    <w:rsid w:val="00936ACD"/>
    <w:rsid w:val="00936B1A"/>
    <w:rsid w:val="00936B21"/>
    <w:rsid w:val="00936B95"/>
    <w:rsid w:val="00936B96"/>
    <w:rsid w:val="00936CB0"/>
    <w:rsid w:val="00936D07"/>
    <w:rsid w:val="00936D1B"/>
    <w:rsid w:val="00936D65"/>
    <w:rsid w:val="00936DB5"/>
    <w:rsid w:val="00936DD2"/>
    <w:rsid w:val="00936E5C"/>
    <w:rsid w:val="00936EBE"/>
    <w:rsid w:val="00936ECE"/>
    <w:rsid w:val="0093708A"/>
    <w:rsid w:val="009370BB"/>
    <w:rsid w:val="0093712E"/>
    <w:rsid w:val="00937185"/>
    <w:rsid w:val="009371F1"/>
    <w:rsid w:val="0093724E"/>
    <w:rsid w:val="00937254"/>
    <w:rsid w:val="00937256"/>
    <w:rsid w:val="009372C1"/>
    <w:rsid w:val="00937349"/>
    <w:rsid w:val="0093738F"/>
    <w:rsid w:val="00937393"/>
    <w:rsid w:val="009373AF"/>
    <w:rsid w:val="009373B1"/>
    <w:rsid w:val="009373DB"/>
    <w:rsid w:val="0093741F"/>
    <w:rsid w:val="00937456"/>
    <w:rsid w:val="009374A4"/>
    <w:rsid w:val="009374BD"/>
    <w:rsid w:val="009374EE"/>
    <w:rsid w:val="0093757C"/>
    <w:rsid w:val="009375B2"/>
    <w:rsid w:val="009375BC"/>
    <w:rsid w:val="00937604"/>
    <w:rsid w:val="0093765E"/>
    <w:rsid w:val="009376A5"/>
    <w:rsid w:val="009376B8"/>
    <w:rsid w:val="009376CA"/>
    <w:rsid w:val="009376D1"/>
    <w:rsid w:val="0093771F"/>
    <w:rsid w:val="00937729"/>
    <w:rsid w:val="00937743"/>
    <w:rsid w:val="00937809"/>
    <w:rsid w:val="00937846"/>
    <w:rsid w:val="00937856"/>
    <w:rsid w:val="009378A5"/>
    <w:rsid w:val="009378C9"/>
    <w:rsid w:val="00937901"/>
    <w:rsid w:val="00937981"/>
    <w:rsid w:val="00937989"/>
    <w:rsid w:val="009379A5"/>
    <w:rsid w:val="00937A1E"/>
    <w:rsid w:val="00937A6B"/>
    <w:rsid w:val="00937A75"/>
    <w:rsid w:val="00937A76"/>
    <w:rsid w:val="00937B18"/>
    <w:rsid w:val="00937B87"/>
    <w:rsid w:val="00937BAD"/>
    <w:rsid w:val="00937BF5"/>
    <w:rsid w:val="00937C2C"/>
    <w:rsid w:val="00937C2F"/>
    <w:rsid w:val="00937CFA"/>
    <w:rsid w:val="00937D05"/>
    <w:rsid w:val="00937D4A"/>
    <w:rsid w:val="00937D8B"/>
    <w:rsid w:val="00937EFE"/>
    <w:rsid w:val="00937F07"/>
    <w:rsid w:val="00937F09"/>
    <w:rsid w:val="00937F90"/>
    <w:rsid w:val="00937FA6"/>
    <w:rsid w:val="00940012"/>
    <w:rsid w:val="0094002A"/>
    <w:rsid w:val="0094013A"/>
    <w:rsid w:val="00940149"/>
    <w:rsid w:val="009401A3"/>
    <w:rsid w:val="009401C7"/>
    <w:rsid w:val="009401D1"/>
    <w:rsid w:val="009401FB"/>
    <w:rsid w:val="00940241"/>
    <w:rsid w:val="00940260"/>
    <w:rsid w:val="0094026A"/>
    <w:rsid w:val="00940282"/>
    <w:rsid w:val="009402CD"/>
    <w:rsid w:val="009402E5"/>
    <w:rsid w:val="00940309"/>
    <w:rsid w:val="0094030A"/>
    <w:rsid w:val="00940402"/>
    <w:rsid w:val="0094043A"/>
    <w:rsid w:val="00940471"/>
    <w:rsid w:val="0094050A"/>
    <w:rsid w:val="00940575"/>
    <w:rsid w:val="0094059B"/>
    <w:rsid w:val="009405D4"/>
    <w:rsid w:val="009405FE"/>
    <w:rsid w:val="009406C2"/>
    <w:rsid w:val="009406D1"/>
    <w:rsid w:val="00940791"/>
    <w:rsid w:val="009407AB"/>
    <w:rsid w:val="009407E5"/>
    <w:rsid w:val="00940803"/>
    <w:rsid w:val="0094080B"/>
    <w:rsid w:val="00940815"/>
    <w:rsid w:val="0094088D"/>
    <w:rsid w:val="00940944"/>
    <w:rsid w:val="0094095C"/>
    <w:rsid w:val="00940968"/>
    <w:rsid w:val="0094098D"/>
    <w:rsid w:val="009409B7"/>
    <w:rsid w:val="009409CB"/>
    <w:rsid w:val="009409F1"/>
    <w:rsid w:val="00940A47"/>
    <w:rsid w:val="00940AC2"/>
    <w:rsid w:val="00940B00"/>
    <w:rsid w:val="00940B38"/>
    <w:rsid w:val="00940B6E"/>
    <w:rsid w:val="00940BB6"/>
    <w:rsid w:val="00940BDC"/>
    <w:rsid w:val="00940C17"/>
    <w:rsid w:val="00940C21"/>
    <w:rsid w:val="00940C72"/>
    <w:rsid w:val="00940CE6"/>
    <w:rsid w:val="00940D1C"/>
    <w:rsid w:val="00940E2F"/>
    <w:rsid w:val="00940E40"/>
    <w:rsid w:val="00940E65"/>
    <w:rsid w:val="00940F12"/>
    <w:rsid w:val="00940F6E"/>
    <w:rsid w:val="00941011"/>
    <w:rsid w:val="009410C0"/>
    <w:rsid w:val="009410F8"/>
    <w:rsid w:val="00941105"/>
    <w:rsid w:val="00941174"/>
    <w:rsid w:val="00941200"/>
    <w:rsid w:val="00941220"/>
    <w:rsid w:val="0094126A"/>
    <w:rsid w:val="0094128B"/>
    <w:rsid w:val="009412A1"/>
    <w:rsid w:val="009412AC"/>
    <w:rsid w:val="009412C8"/>
    <w:rsid w:val="0094138D"/>
    <w:rsid w:val="009413E5"/>
    <w:rsid w:val="009413E8"/>
    <w:rsid w:val="009413FE"/>
    <w:rsid w:val="009414F1"/>
    <w:rsid w:val="009414FC"/>
    <w:rsid w:val="00941562"/>
    <w:rsid w:val="009415AA"/>
    <w:rsid w:val="009415FE"/>
    <w:rsid w:val="00941675"/>
    <w:rsid w:val="009416FB"/>
    <w:rsid w:val="00941769"/>
    <w:rsid w:val="0094176F"/>
    <w:rsid w:val="00941776"/>
    <w:rsid w:val="0094182C"/>
    <w:rsid w:val="00941848"/>
    <w:rsid w:val="0094188D"/>
    <w:rsid w:val="009418F8"/>
    <w:rsid w:val="00941946"/>
    <w:rsid w:val="00941A6A"/>
    <w:rsid w:val="00941A9B"/>
    <w:rsid w:val="00941AA6"/>
    <w:rsid w:val="00941ABD"/>
    <w:rsid w:val="00941B58"/>
    <w:rsid w:val="00941B74"/>
    <w:rsid w:val="00941DCB"/>
    <w:rsid w:val="00941DDE"/>
    <w:rsid w:val="00941E33"/>
    <w:rsid w:val="00941E44"/>
    <w:rsid w:val="00941E56"/>
    <w:rsid w:val="00941E82"/>
    <w:rsid w:val="00941EC6"/>
    <w:rsid w:val="00941F9D"/>
    <w:rsid w:val="00941FDB"/>
    <w:rsid w:val="00941FE9"/>
    <w:rsid w:val="00942011"/>
    <w:rsid w:val="009420B0"/>
    <w:rsid w:val="009420CE"/>
    <w:rsid w:val="00942134"/>
    <w:rsid w:val="009421F5"/>
    <w:rsid w:val="0094228E"/>
    <w:rsid w:val="00942300"/>
    <w:rsid w:val="0094232C"/>
    <w:rsid w:val="0094234B"/>
    <w:rsid w:val="0094237F"/>
    <w:rsid w:val="0094240D"/>
    <w:rsid w:val="0094245A"/>
    <w:rsid w:val="0094245D"/>
    <w:rsid w:val="009424AA"/>
    <w:rsid w:val="009424AF"/>
    <w:rsid w:val="009424F1"/>
    <w:rsid w:val="0094258E"/>
    <w:rsid w:val="00942684"/>
    <w:rsid w:val="00942793"/>
    <w:rsid w:val="0094279E"/>
    <w:rsid w:val="009427C5"/>
    <w:rsid w:val="00942862"/>
    <w:rsid w:val="00942879"/>
    <w:rsid w:val="0094289A"/>
    <w:rsid w:val="009428CA"/>
    <w:rsid w:val="009428E7"/>
    <w:rsid w:val="0094292F"/>
    <w:rsid w:val="00942936"/>
    <w:rsid w:val="00942937"/>
    <w:rsid w:val="0094296B"/>
    <w:rsid w:val="00942992"/>
    <w:rsid w:val="00942996"/>
    <w:rsid w:val="009429BF"/>
    <w:rsid w:val="009429EE"/>
    <w:rsid w:val="00942A67"/>
    <w:rsid w:val="00942AC6"/>
    <w:rsid w:val="00942AF1"/>
    <w:rsid w:val="00942B39"/>
    <w:rsid w:val="00942B3C"/>
    <w:rsid w:val="00942C83"/>
    <w:rsid w:val="00942CAA"/>
    <w:rsid w:val="00942D48"/>
    <w:rsid w:val="00942D73"/>
    <w:rsid w:val="00942D76"/>
    <w:rsid w:val="00942DBE"/>
    <w:rsid w:val="00942DFA"/>
    <w:rsid w:val="00942E7A"/>
    <w:rsid w:val="00942E83"/>
    <w:rsid w:val="00942E9D"/>
    <w:rsid w:val="00942EAF"/>
    <w:rsid w:val="00942EE0"/>
    <w:rsid w:val="00942F0F"/>
    <w:rsid w:val="00942F18"/>
    <w:rsid w:val="00942F91"/>
    <w:rsid w:val="00942FD8"/>
    <w:rsid w:val="00943006"/>
    <w:rsid w:val="00943018"/>
    <w:rsid w:val="009430DE"/>
    <w:rsid w:val="0094317F"/>
    <w:rsid w:val="009431A1"/>
    <w:rsid w:val="00943268"/>
    <w:rsid w:val="00943291"/>
    <w:rsid w:val="009432A7"/>
    <w:rsid w:val="009432BF"/>
    <w:rsid w:val="009432C1"/>
    <w:rsid w:val="009432FD"/>
    <w:rsid w:val="009432FF"/>
    <w:rsid w:val="00943333"/>
    <w:rsid w:val="00943445"/>
    <w:rsid w:val="00943449"/>
    <w:rsid w:val="009434D8"/>
    <w:rsid w:val="009434FC"/>
    <w:rsid w:val="00943503"/>
    <w:rsid w:val="0094351D"/>
    <w:rsid w:val="00943544"/>
    <w:rsid w:val="00943547"/>
    <w:rsid w:val="0094359C"/>
    <w:rsid w:val="0094369D"/>
    <w:rsid w:val="009436AE"/>
    <w:rsid w:val="0094377E"/>
    <w:rsid w:val="00943783"/>
    <w:rsid w:val="009437A1"/>
    <w:rsid w:val="009437CA"/>
    <w:rsid w:val="00943866"/>
    <w:rsid w:val="00943869"/>
    <w:rsid w:val="009438C2"/>
    <w:rsid w:val="0094394D"/>
    <w:rsid w:val="009439B9"/>
    <w:rsid w:val="00943A6D"/>
    <w:rsid w:val="00943A88"/>
    <w:rsid w:val="00943AB0"/>
    <w:rsid w:val="00943ACA"/>
    <w:rsid w:val="00943B37"/>
    <w:rsid w:val="00943B52"/>
    <w:rsid w:val="00943B65"/>
    <w:rsid w:val="00943B8E"/>
    <w:rsid w:val="00943BF1"/>
    <w:rsid w:val="00943E38"/>
    <w:rsid w:val="00943EB7"/>
    <w:rsid w:val="00943F1E"/>
    <w:rsid w:val="00943F5B"/>
    <w:rsid w:val="00943F6F"/>
    <w:rsid w:val="009440E3"/>
    <w:rsid w:val="00944162"/>
    <w:rsid w:val="009441A4"/>
    <w:rsid w:val="009441F4"/>
    <w:rsid w:val="009441F9"/>
    <w:rsid w:val="00944264"/>
    <w:rsid w:val="009442BD"/>
    <w:rsid w:val="00944408"/>
    <w:rsid w:val="0094440F"/>
    <w:rsid w:val="0094442B"/>
    <w:rsid w:val="0094443F"/>
    <w:rsid w:val="00944486"/>
    <w:rsid w:val="00944518"/>
    <w:rsid w:val="00944565"/>
    <w:rsid w:val="009445DF"/>
    <w:rsid w:val="009445EC"/>
    <w:rsid w:val="00944625"/>
    <w:rsid w:val="00944632"/>
    <w:rsid w:val="00944653"/>
    <w:rsid w:val="009446A3"/>
    <w:rsid w:val="00944745"/>
    <w:rsid w:val="00944782"/>
    <w:rsid w:val="009447B2"/>
    <w:rsid w:val="009447FA"/>
    <w:rsid w:val="0094480D"/>
    <w:rsid w:val="0094482E"/>
    <w:rsid w:val="0094488E"/>
    <w:rsid w:val="00944915"/>
    <w:rsid w:val="00944930"/>
    <w:rsid w:val="00944973"/>
    <w:rsid w:val="009449DE"/>
    <w:rsid w:val="009449EC"/>
    <w:rsid w:val="00944A22"/>
    <w:rsid w:val="00944A43"/>
    <w:rsid w:val="00944A5F"/>
    <w:rsid w:val="00944A79"/>
    <w:rsid w:val="00944AB4"/>
    <w:rsid w:val="00944AD6"/>
    <w:rsid w:val="00944BBA"/>
    <w:rsid w:val="00944BF1"/>
    <w:rsid w:val="00944C2D"/>
    <w:rsid w:val="00944C71"/>
    <w:rsid w:val="00944CB2"/>
    <w:rsid w:val="00944CC3"/>
    <w:rsid w:val="00944CCA"/>
    <w:rsid w:val="00944D2B"/>
    <w:rsid w:val="00944D7A"/>
    <w:rsid w:val="00944D8E"/>
    <w:rsid w:val="00944DC1"/>
    <w:rsid w:val="00944E44"/>
    <w:rsid w:val="00944E51"/>
    <w:rsid w:val="00944E5C"/>
    <w:rsid w:val="0094504A"/>
    <w:rsid w:val="00945071"/>
    <w:rsid w:val="00945104"/>
    <w:rsid w:val="0094513C"/>
    <w:rsid w:val="0094515F"/>
    <w:rsid w:val="00945192"/>
    <w:rsid w:val="0094520F"/>
    <w:rsid w:val="00945249"/>
    <w:rsid w:val="0094529B"/>
    <w:rsid w:val="009452A5"/>
    <w:rsid w:val="00945368"/>
    <w:rsid w:val="00945396"/>
    <w:rsid w:val="009453D4"/>
    <w:rsid w:val="009453DF"/>
    <w:rsid w:val="009454B7"/>
    <w:rsid w:val="009454E1"/>
    <w:rsid w:val="00945544"/>
    <w:rsid w:val="00945558"/>
    <w:rsid w:val="00945614"/>
    <w:rsid w:val="0094576B"/>
    <w:rsid w:val="00945895"/>
    <w:rsid w:val="009458ED"/>
    <w:rsid w:val="00945903"/>
    <w:rsid w:val="00945960"/>
    <w:rsid w:val="0094596C"/>
    <w:rsid w:val="0094598C"/>
    <w:rsid w:val="009459AB"/>
    <w:rsid w:val="00945A09"/>
    <w:rsid w:val="00945A3C"/>
    <w:rsid w:val="00945A97"/>
    <w:rsid w:val="00945B0C"/>
    <w:rsid w:val="00945B52"/>
    <w:rsid w:val="00945B84"/>
    <w:rsid w:val="00945BE0"/>
    <w:rsid w:val="00945C9E"/>
    <w:rsid w:val="00945CD2"/>
    <w:rsid w:val="00945D33"/>
    <w:rsid w:val="00945D37"/>
    <w:rsid w:val="00945D4B"/>
    <w:rsid w:val="00945DAC"/>
    <w:rsid w:val="00945E8B"/>
    <w:rsid w:val="00945EAD"/>
    <w:rsid w:val="00945F97"/>
    <w:rsid w:val="0094603B"/>
    <w:rsid w:val="009460DF"/>
    <w:rsid w:val="00946134"/>
    <w:rsid w:val="00946150"/>
    <w:rsid w:val="0094623A"/>
    <w:rsid w:val="0094625D"/>
    <w:rsid w:val="00946274"/>
    <w:rsid w:val="00946292"/>
    <w:rsid w:val="009462ED"/>
    <w:rsid w:val="00946325"/>
    <w:rsid w:val="009463A2"/>
    <w:rsid w:val="009463B3"/>
    <w:rsid w:val="009463D5"/>
    <w:rsid w:val="0094655E"/>
    <w:rsid w:val="0094658D"/>
    <w:rsid w:val="009465FE"/>
    <w:rsid w:val="009466AF"/>
    <w:rsid w:val="009466CD"/>
    <w:rsid w:val="0094670F"/>
    <w:rsid w:val="00946807"/>
    <w:rsid w:val="00946810"/>
    <w:rsid w:val="00946831"/>
    <w:rsid w:val="00946859"/>
    <w:rsid w:val="0094687F"/>
    <w:rsid w:val="00946884"/>
    <w:rsid w:val="00946898"/>
    <w:rsid w:val="00946910"/>
    <w:rsid w:val="0094692E"/>
    <w:rsid w:val="0094695E"/>
    <w:rsid w:val="009469BA"/>
    <w:rsid w:val="009469E6"/>
    <w:rsid w:val="00946A2E"/>
    <w:rsid w:val="00946AED"/>
    <w:rsid w:val="00946AFC"/>
    <w:rsid w:val="00946B18"/>
    <w:rsid w:val="00946BE8"/>
    <w:rsid w:val="00946C8C"/>
    <w:rsid w:val="00946CCA"/>
    <w:rsid w:val="00946D9B"/>
    <w:rsid w:val="00946DFD"/>
    <w:rsid w:val="00946E1D"/>
    <w:rsid w:val="00946E4A"/>
    <w:rsid w:val="00946E56"/>
    <w:rsid w:val="00946E8E"/>
    <w:rsid w:val="00946F04"/>
    <w:rsid w:val="00946F35"/>
    <w:rsid w:val="00946F3F"/>
    <w:rsid w:val="00946F50"/>
    <w:rsid w:val="00946F7E"/>
    <w:rsid w:val="00946F8D"/>
    <w:rsid w:val="00947026"/>
    <w:rsid w:val="00947079"/>
    <w:rsid w:val="009470E3"/>
    <w:rsid w:val="0094717B"/>
    <w:rsid w:val="00947195"/>
    <w:rsid w:val="009471A1"/>
    <w:rsid w:val="00947212"/>
    <w:rsid w:val="00947306"/>
    <w:rsid w:val="009473A7"/>
    <w:rsid w:val="0094746D"/>
    <w:rsid w:val="00947518"/>
    <w:rsid w:val="00947525"/>
    <w:rsid w:val="009475BA"/>
    <w:rsid w:val="0094762A"/>
    <w:rsid w:val="0094764F"/>
    <w:rsid w:val="00947651"/>
    <w:rsid w:val="009476A8"/>
    <w:rsid w:val="009476D2"/>
    <w:rsid w:val="009476EE"/>
    <w:rsid w:val="0094770F"/>
    <w:rsid w:val="00947799"/>
    <w:rsid w:val="0094779B"/>
    <w:rsid w:val="009477BD"/>
    <w:rsid w:val="00947813"/>
    <w:rsid w:val="0094787F"/>
    <w:rsid w:val="0094789E"/>
    <w:rsid w:val="009478B1"/>
    <w:rsid w:val="009478D8"/>
    <w:rsid w:val="00947916"/>
    <w:rsid w:val="00947930"/>
    <w:rsid w:val="0094795F"/>
    <w:rsid w:val="00947AFD"/>
    <w:rsid w:val="00947B5E"/>
    <w:rsid w:val="00947B75"/>
    <w:rsid w:val="00947C17"/>
    <w:rsid w:val="00947C19"/>
    <w:rsid w:val="00947CAE"/>
    <w:rsid w:val="00947D11"/>
    <w:rsid w:val="00947DAC"/>
    <w:rsid w:val="00947E1E"/>
    <w:rsid w:val="00947E26"/>
    <w:rsid w:val="00947E41"/>
    <w:rsid w:val="00947E44"/>
    <w:rsid w:val="00947E53"/>
    <w:rsid w:val="00947E88"/>
    <w:rsid w:val="00947EAE"/>
    <w:rsid w:val="00947EBC"/>
    <w:rsid w:val="00947F89"/>
    <w:rsid w:val="00947FDA"/>
    <w:rsid w:val="00947FF6"/>
    <w:rsid w:val="009500A5"/>
    <w:rsid w:val="00950117"/>
    <w:rsid w:val="00950123"/>
    <w:rsid w:val="00950156"/>
    <w:rsid w:val="00950177"/>
    <w:rsid w:val="009501BB"/>
    <w:rsid w:val="009501CC"/>
    <w:rsid w:val="00950255"/>
    <w:rsid w:val="00950290"/>
    <w:rsid w:val="009502D1"/>
    <w:rsid w:val="009502E9"/>
    <w:rsid w:val="0095030E"/>
    <w:rsid w:val="00950385"/>
    <w:rsid w:val="009503FD"/>
    <w:rsid w:val="0095043A"/>
    <w:rsid w:val="0095052D"/>
    <w:rsid w:val="0095053D"/>
    <w:rsid w:val="00950555"/>
    <w:rsid w:val="00950562"/>
    <w:rsid w:val="009505CA"/>
    <w:rsid w:val="009505DF"/>
    <w:rsid w:val="009505F6"/>
    <w:rsid w:val="0095062A"/>
    <w:rsid w:val="009506F9"/>
    <w:rsid w:val="009506FE"/>
    <w:rsid w:val="009507A6"/>
    <w:rsid w:val="00950807"/>
    <w:rsid w:val="00950942"/>
    <w:rsid w:val="00950A66"/>
    <w:rsid w:val="00950A9C"/>
    <w:rsid w:val="00950BA1"/>
    <w:rsid w:val="00950CF5"/>
    <w:rsid w:val="00950D8B"/>
    <w:rsid w:val="00950DB2"/>
    <w:rsid w:val="00950DBE"/>
    <w:rsid w:val="00950EF8"/>
    <w:rsid w:val="00950F41"/>
    <w:rsid w:val="00950FA6"/>
    <w:rsid w:val="00951062"/>
    <w:rsid w:val="009510A4"/>
    <w:rsid w:val="00951133"/>
    <w:rsid w:val="00951153"/>
    <w:rsid w:val="0095118A"/>
    <w:rsid w:val="00951211"/>
    <w:rsid w:val="0095127E"/>
    <w:rsid w:val="00951299"/>
    <w:rsid w:val="009512F6"/>
    <w:rsid w:val="0095132A"/>
    <w:rsid w:val="009513B7"/>
    <w:rsid w:val="009513D5"/>
    <w:rsid w:val="009513E8"/>
    <w:rsid w:val="0095141D"/>
    <w:rsid w:val="009514BD"/>
    <w:rsid w:val="00951506"/>
    <w:rsid w:val="00951512"/>
    <w:rsid w:val="00951552"/>
    <w:rsid w:val="009515AA"/>
    <w:rsid w:val="0095161C"/>
    <w:rsid w:val="0095164A"/>
    <w:rsid w:val="0095164E"/>
    <w:rsid w:val="009516AC"/>
    <w:rsid w:val="009516E9"/>
    <w:rsid w:val="009516F9"/>
    <w:rsid w:val="00951716"/>
    <w:rsid w:val="00951721"/>
    <w:rsid w:val="00951737"/>
    <w:rsid w:val="00951782"/>
    <w:rsid w:val="00951835"/>
    <w:rsid w:val="009518A2"/>
    <w:rsid w:val="009518AA"/>
    <w:rsid w:val="009518C2"/>
    <w:rsid w:val="00951960"/>
    <w:rsid w:val="00951968"/>
    <w:rsid w:val="00951A35"/>
    <w:rsid w:val="00951A74"/>
    <w:rsid w:val="00951A9B"/>
    <w:rsid w:val="00951ACE"/>
    <w:rsid w:val="00951AD1"/>
    <w:rsid w:val="00951B74"/>
    <w:rsid w:val="00951BB3"/>
    <w:rsid w:val="00951C15"/>
    <w:rsid w:val="00951CEA"/>
    <w:rsid w:val="00951D17"/>
    <w:rsid w:val="00951D89"/>
    <w:rsid w:val="00951DC8"/>
    <w:rsid w:val="00951DD8"/>
    <w:rsid w:val="00951DDA"/>
    <w:rsid w:val="00951E1F"/>
    <w:rsid w:val="00951EBB"/>
    <w:rsid w:val="00951EDD"/>
    <w:rsid w:val="00951F01"/>
    <w:rsid w:val="00951F06"/>
    <w:rsid w:val="00951FB2"/>
    <w:rsid w:val="00951FC0"/>
    <w:rsid w:val="00951FCB"/>
    <w:rsid w:val="00952041"/>
    <w:rsid w:val="00952099"/>
    <w:rsid w:val="009520B4"/>
    <w:rsid w:val="00952136"/>
    <w:rsid w:val="009521AA"/>
    <w:rsid w:val="00952236"/>
    <w:rsid w:val="00952286"/>
    <w:rsid w:val="0095228C"/>
    <w:rsid w:val="0095230C"/>
    <w:rsid w:val="009523F7"/>
    <w:rsid w:val="00952448"/>
    <w:rsid w:val="0095245A"/>
    <w:rsid w:val="0095247F"/>
    <w:rsid w:val="00952573"/>
    <w:rsid w:val="009525C3"/>
    <w:rsid w:val="00952602"/>
    <w:rsid w:val="00952722"/>
    <w:rsid w:val="00952758"/>
    <w:rsid w:val="00952786"/>
    <w:rsid w:val="009527FD"/>
    <w:rsid w:val="0095281F"/>
    <w:rsid w:val="00952853"/>
    <w:rsid w:val="00952887"/>
    <w:rsid w:val="0095296C"/>
    <w:rsid w:val="0095297B"/>
    <w:rsid w:val="00952A8C"/>
    <w:rsid w:val="00952AA3"/>
    <w:rsid w:val="00952B00"/>
    <w:rsid w:val="00952B0F"/>
    <w:rsid w:val="00952B2B"/>
    <w:rsid w:val="00952BED"/>
    <w:rsid w:val="00952C36"/>
    <w:rsid w:val="00952C48"/>
    <w:rsid w:val="00952C71"/>
    <w:rsid w:val="00952D63"/>
    <w:rsid w:val="00952E2B"/>
    <w:rsid w:val="00952E9A"/>
    <w:rsid w:val="0095300A"/>
    <w:rsid w:val="0095304A"/>
    <w:rsid w:val="009530B4"/>
    <w:rsid w:val="00953109"/>
    <w:rsid w:val="0095329F"/>
    <w:rsid w:val="0095334A"/>
    <w:rsid w:val="00953354"/>
    <w:rsid w:val="0095343E"/>
    <w:rsid w:val="0095349D"/>
    <w:rsid w:val="009534AD"/>
    <w:rsid w:val="009534B7"/>
    <w:rsid w:val="0095354C"/>
    <w:rsid w:val="00953598"/>
    <w:rsid w:val="009535E8"/>
    <w:rsid w:val="00953614"/>
    <w:rsid w:val="00953836"/>
    <w:rsid w:val="00953871"/>
    <w:rsid w:val="009538F8"/>
    <w:rsid w:val="00953909"/>
    <w:rsid w:val="00953957"/>
    <w:rsid w:val="009539BC"/>
    <w:rsid w:val="00953B26"/>
    <w:rsid w:val="00953B40"/>
    <w:rsid w:val="00953B51"/>
    <w:rsid w:val="00953B72"/>
    <w:rsid w:val="00953B85"/>
    <w:rsid w:val="00953BAF"/>
    <w:rsid w:val="00953C91"/>
    <w:rsid w:val="00953CC7"/>
    <w:rsid w:val="00953DEE"/>
    <w:rsid w:val="00953E08"/>
    <w:rsid w:val="00953E22"/>
    <w:rsid w:val="00953E53"/>
    <w:rsid w:val="00953E80"/>
    <w:rsid w:val="00953ED8"/>
    <w:rsid w:val="00953F75"/>
    <w:rsid w:val="00953FBB"/>
    <w:rsid w:val="00953FCC"/>
    <w:rsid w:val="0095400A"/>
    <w:rsid w:val="0095409F"/>
    <w:rsid w:val="009540D4"/>
    <w:rsid w:val="00954122"/>
    <w:rsid w:val="00954155"/>
    <w:rsid w:val="0095417F"/>
    <w:rsid w:val="0095424C"/>
    <w:rsid w:val="00954257"/>
    <w:rsid w:val="0095425E"/>
    <w:rsid w:val="0095426D"/>
    <w:rsid w:val="00954297"/>
    <w:rsid w:val="009542F4"/>
    <w:rsid w:val="0095432F"/>
    <w:rsid w:val="00954346"/>
    <w:rsid w:val="00954350"/>
    <w:rsid w:val="00954373"/>
    <w:rsid w:val="00954561"/>
    <w:rsid w:val="009545CF"/>
    <w:rsid w:val="0095467F"/>
    <w:rsid w:val="00954690"/>
    <w:rsid w:val="009546CD"/>
    <w:rsid w:val="009546FE"/>
    <w:rsid w:val="00954717"/>
    <w:rsid w:val="00954778"/>
    <w:rsid w:val="00954783"/>
    <w:rsid w:val="0095481D"/>
    <w:rsid w:val="0095485E"/>
    <w:rsid w:val="0095486D"/>
    <w:rsid w:val="00954945"/>
    <w:rsid w:val="0095496A"/>
    <w:rsid w:val="009549EA"/>
    <w:rsid w:val="00954AF4"/>
    <w:rsid w:val="00954B1B"/>
    <w:rsid w:val="00954BC2"/>
    <w:rsid w:val="00954BEB"/>
    <w:rsid w:val="00954CEE"/>
    <w:rsid w:val="00954CF0"/>
    <w:rsid w:val="00954EAD"/>
    <w:rsid w:val="00954F02"/>
    <w:rsid w:val="00954F0A"/>
    <w:rsid w:val="00954F2F"/>
    <w:rsid w:val="00954F56"/>
    <w:rsid w:val="00954F6D"/>
    <w:rsid w:val="00955012"/>
    <w:rsid w:val="0095508A"/>
    <w:rsid w:val="00955092"/>
    <w:rsid w:val="00955123"/>
    <w:rsid w:val="009551C1"/>
    <w:rsid w:val="0095526E"/>
    <w:rsid w:val="009552F0"/>
    <w:rsid w:val="00955364"/>
    <w:rsid w:val="0095538F"/>
    <w:rsid w:val="009553F3"/>
    <w:rsid w:val="009553FC"/>
    <w:rsid w:val="00955443"/>
    <w:rsid w:val="0095544B"/>
    <w:rsid w:val="0095545D"/>
    <w:rsid w:val="00955473"/>
    <w:rsid w:val="0095547E"/>
    <w:rsid w:val="00955497"/>
    <w:rsid w:val="009554E1"/>
    <w:rsid w:val="00955528"/>
    <w:rsid w:val="00955548"/>
    <w:rsid w:val="00955591"/>
    <w:rsid w:val="00955597"/>
    <w:rsid w:val="009555BF"/>
    <w:rsid w:val="009556A1"/>
    <w:rsid w:val="009556EF"/>
    <w:rsid w:val="00955721"/>
    <w:rsid w:val="009557C6"/>
    <w:rsid w:val="009557F9"/>
    <w:rsid w:val="0095580E"/>
    <w:rsid w:val="00955828"/>
    <w:rsid w:val="0095582B"/>
    <w:rsid w:val="00955831"/>
    <w:rsid w:val="0095589B"/>
    <w:rsid w:val="009558BC"/>
    <w:rsid w:val="009558D7"/>
    <w:rsid w:val="0095598B"/>
    <w:rsid w:val="009559A8"/>
    <w:rsid w:val="00955A16"/>
    <w:rsid w:val="00955A54"/>
    <w:rsid w:val="00955AA1"/>
    <w:rsid w:val="00955AC1"/>
    <w:rsid w:val="00955B22"/>
    <w:rsid w:val="00955B28"/>
    <w:rsid w:val="00955BA6"/>
    <w:rsid w:val="00955C30"/>
    <w:rsid w:val="00955C52"/>
    <w:rsid w:val="00955D03"/>
    <w:rsid w:val="00955D5C"/>
    <w:rsid w:val="00955D63"/>
    <w:rsid w:val="00955D91"/>
    <w:rsid w:val="00955DC5"/>
    <w:rsid w:val="00955E19"/>
    <w:rsid w:val="00955E3C"/>
    <w:rsid w:val="00955E63"/>
    <w:rsid w:val="00955E6B"/>
    <w:rsid w:val="00955EDB"/>
    <w:rsid w:val="00955F05"/>
    <w:rsid w:val="00955F0F"/>
    <w:rsid w:val="00955F56"/>
    <w:rsid w:val="00955F57"/>
    <w:rsid w:val="00955FC0"/>
    <w:rsid w:val="00955FD2"/>
    <w:rsid w:val="00955FD5"/>
    <w:rsid w:val="00955FF8"/>
    <w:rsid w:val="00956026"/>
    <w:rsid w:val="009560BB"/>
    <w:rsid w:val="009560C0"/>
    <w:rsid w:val="009560CC"/>
    <w:rsid w:val="009560E2"/>
    <w:rsid w:val="00956168"/>
    <w:rsid w:val="009561E9"/>
    <w:rsid w:val="009561FE"/>
    <w:rsid w:val="00956204"/>
    <w:rsid w:val="0095626E"/>
    <w:rsid w:val="009562C9"/>
    <w:rsid w:val="00956331"/>
    <w:rsid w:val="0095634F"/>
    <w:rsid w:val="00956447"/>
    <w:rsid w:val="0095644E"/>
    <w:rsid w:val="0095648D"/>
    <w:rsid w:val="009564C6"/>
    <w:rsid w:val="00956534"/>
    <w:rsid w:val="00956549"/>
    <w:rsid w:val="00956593"/>
    <w:rsid w:val="00956597"/>
    <w:rsid w:val="009565D3"/>
    <w:rsid w:val="00956651"/>
    <w:rsid w:val="009566DD"/>
    <w:rsid w:val="00956706"/>
    <w:rsid w:val="00956860"/>
    <w:rsid w:val="00956898"/>
    <w:rsid w:val="0095696E"/>
    <w:rsid w:val="0095699C"/>
    <w:rsid w:val="009569C0"/>
    <w:rsid w:val="009569E8"/>
    <w:rsid w:val="009569FE"/>
    <w:rsid w:val="00956A11"/>
    <w:rsid w:val="00956A75"/>
    <w:rsid w:val="00956A93"/>
    <w:rsid w:val="00956AD6"/>
    <w:rsid w:val="00956B6C"/>
    <w:rsid w:val="00956B8C"/>
    <w:rsid w:val="00956BC7"/>
    <w:rsid w:val="00956BFC"/>
    <w:rsid w:val="00956CB9"/>
    <w:rsid w:val="00956D69"/>
    <w:rsid w:val="00956D84"/>
    <w:rsid w:val="00956D96"/>
    <w:rsid w:val="00956DB7"/>
    <w:rsid w:val="00956DF2"/>
    <w:rsid w:val="00956E0F"/>
    <w:rsid w:val="00956E2F"/>
    <w:rsid w:val="00956E45"/>
    <w:rsid w:val="00956E60"/>
    <w:rsid w:val="00956F66"/>
    <w:rsid w:val="00956F71"/>
    <w:rsid w:val="00956F89"/>
    <w:rsid w:val="0095701B"/>
    <w:rsid w:val="0095707D"/>
    <w:rsid w:val="009570BB"/>
    <w:rsid w:val="00957117"/>
    <w:rsid w:val="00957120"/>
    <w:rsid w:val="0095715C"/>
    <w:rsid w:val="00957162"/>
    <w:rsid w:val="009571B4"/>
    <w:rsid w:val="00957241"/>
    <w:rsid w:val="00957250"/>
    <w:rsid w:val="00957255"/>
    <w:rsid w:val="009572BB"/>
    <w:rsid w:val="009572BF"/>
    <w:rsid w:val="0095733F"/>
    <w:rsid w:val="0095743E"/>
    <w:rsid w:val="0095744B"/>
    <w:rsid w:val="00957471"/>
    <w:rsid w:val="0095748F"/>
    <w:rsid w:val="009574FC"/>
    <w:rsid w:val="009574FF"/>
    <w:rsid w:val="00957565"/>
    <w:rsid w:val="00957574"/>
    <w:rsid w:val="00957581"/>
    <w:rsid w:val="009575DF"/>
    <w:rsid w:val="009576BF"/>
    <w:rsid w:val="0095773E"/>
    <w:rsid w:val="00957879"/>
    <w:rsid w:val="00957951"/>
    <w:rsid w:val="009579C8"/>
    <w:rsid w:val="009579D5"/>
    <w:rsid w:val="00957B86"/>
    <w:rsid w:val="00957B8E"/>
    <w:rsid w:val="00957BB6"/>
    <w:rsid w:val="00957CDF"/>
    <w:rsid w:val="00957CF2"/>
    <w:rsid w:val="00957D54"/>
    <w:rsid w:val="00957D6F"/>
    <w:rsid w:val="00957D8B"/>
    <w:rsid w:val="00957DA2"/>
    <w:rsid w:val="00957DB8"/>
    <w:rsid w:val="00957DDD"/>
    <w:rsid w:val="00957E63"/>
    <w:rsid w:val="00957E7B"/>
    <w:rsid w:val="00957EBF"/>
    <w:rsid w:val="00957ECF"/>
    <w:rsid w:val="00957EF5"/>
    <w:rsid w:val="00960082"/>
    <w:rsid w:val="00960097"/>
    <w:rsid w:val="009600D3"/>
    <w:rsid w:val="009600D9"/>
    <w:rsid w:val="009600E6"/>
    <w:rsid w:val="00960128"/>
    <w:rsid w:val="00960186"/>
    <w:rsid w:val="009601A2"/>
    <w:rsid w:val="009601E1"/>
    <w:rsid w:val="0096024A"/>
    <w:rsid w:val="0096026D"/>
    <w:rsid w:val="009602C9"/>
    <w:rsid w:val="009603A8"/>
    <w:rsid w:val="009603C6"/>
    <w:rsid w:val="0096049E"/>
    <w:rsid w:val="009604C8"/>
    <w:rsid w:val="00960575"/>
    <w:rsid w:val="009605F4"/>
    <w:rsid w:val="0096067C"/>
    <w:rsid w:val="0096075F"/>
    <w:rsid w:val="0096078D"/>
    <w:rsid w:val="00960845"/>
    <w:rsid w:val="0096086F"/>
    <w:rsid w:val="00960899"/>
    <w:rsid w:val="009608FE"/>
    <w:rsid w:val="00960986"/>
    <w:rsid w:val="00960A2C"/>
    <w:rsid w:val="00960AFA"/>
    <w:rsid w:val="00960C32"/>
    <w:rsid w:val="00960C9D"/>
    <w:rsid w:val="00960CA3"/>
    <w:rsid w:val="00960CB0"/>
    <w:rsid w:val="00960CBD"/>
    <w:rsid w:val="00960CC8"/>
    <w:rsid w:val="00960CED"/>
    <w:rsid w:val="00960DC2"/>
    <w:rsid w:val="00960E7B"/>
    <w:rsid w:val="00960E95"/>
    <w:rsid w:val="00960EAB"/>
    <w:rsid w:val="00960EFC"/>
    <w:rsid w:val="00960F0A"/>
    <w:rsid w:val="00960F7C"/>
    <w:rsid w:val="00960FA6"/>
    <w:rsid w:val="00960FE6"/>
    <w:rsid w:val="00960FF5"/>
    <w:rsid w:val="00961054"/>
    <w:rsid w:val="0096116B"/>
    <w:rsid w:val="009611E4"/>
    <w:rsid w:val="009612A7"/>
    <w:rsid w:val="009612A8"/>
    <w:rsid w:val="009612B2"/>
    <w:rsid w:val="009612D1"/>
    <w:rsid w:val="009612DB"/>
    <w:rsid w:val="009613AE"/>
    <w:rsid w:val="00961416"/>
    <w:rsid w:val="0096146A"/>
    <w:rsid w:val="009614A3"/>
    <w:rsid w:val="009614C0"/>
    <w:rsid w:val="009614E7"/>
    <w:rsid w:val="009616DC"/>
    <w:rsid w:val="00961747"/>
    <w:rsid w:val="00961765"/>
    <w:rsid w:val="0096177A"/>
    <w:rsid w:val="00961804"/>
    <w:rsid w:val="00961831"/>
    <w:rsid w:val="0096186E"/>
    <w:rsid w:val="00961951"/>
    <w:rsid w:val="0096197C"/>
    <w:rsid w:val="009619C8"/>
    <w:rsid w:val="00961A0D"/>
    <w:rsid w:val="00961CA0"/>
    <w:rsid w:val="00961CB1"/>
    <w:rsid w:val="00961CC4"/>
    <w:rsid w:val="00961E0C"/>
    <w:rsid w:val="00961EB5"/>
    <w:rsid w:val="00961ED3"/>
    <w:rsid w:val="00961EDA"/>
    <w:rsid w:val="00961EDD"/>
    <w:rsid w:val="00961F88"/>
    <w:rsid w:val="00961FB6"/>
    <w:rsid w:val="00961FF5"/>
    <w:rsid w:val="00962007"/>
    <w:rsid w:val="00962115"/>
    <w:rsid w:val="00962285"/>
    <w:rsid w:val="0096230A"/>
    <w:rsid w:val="0096231A"/>
    <w:rsid w:val="0096234B"/>
    <w:rsid w:val="00962396"/>
    <w:rsid w:val="009623C2"/>
    <w:rsid w:val="00962434"/>
    <w:rsid w:val="009624AC"/>
    <w:rsid w:val="00962538"/>
    <w:rsid w:val="009625BA"/>
    <w:rsid w:val="009625DE"/>
    <w:rsid w:val="0096260E"/>
    <w:rsid w:val="00962629"/>
    <w:rsid w:val="00962644"/>
    <w:rsid w:val="00962654"/>
    <w:rsid w:val="0096267E"/>
    <w:rsid w:val="009626BB"/>
    <w:rsid w:val="009626C0"/>
    <w:rsid w:val="0096270D"/>
    <w:rsid w:val="00962740"/>
    <w:rsid w:val="0096274E"/>
    <w:rsid w:val="00962792"/>
    <w:rsid w:val="009627BD"/>
    <w:rsid w:val="0096280F"/>
    <w:rsid w:val="009628E5"/>
    <w:rsid w:val="00962902"/>
    <w:rsid w:val="00962983"/>
    <w:rsid w:val="009629CE"/>
    <w:rsid w:val="00962A01"/>
    <w:rsid w:val="00962AB6"/>
    <w:rsid w:val="00962B47"/>
    <w:rsid w:val="00962B86"/>
    <w:rsid w:val="00962BCF"/>
    <w:rsid w:val="00962BFC"/>
    <w:rsid w:val="00962C21"/>
    <w:rsid w:val="00962C40"/>
    <w:rsid w:val="00962C76"/>
    <w:rsid w:val="00962CFF"/>
    <w:rsid w:val="00962D61"/>
    <w:rsid w:val="00962D86"/>
    <w:rsid w:val="00962E31"/>
    <w:rsid w:val="00962E32"/>
    <w:rsid w:val="00962E5A"/>
    <w:rsid w:val="00962E93"/>
    <w:rsid w:val="00962EBA"/>
    <w:rsid w:val="00962EF6"/>
    <w:rsid w:val="00962F28"/>
    <w:rsid w:val="00962F3C"/>
    <w:rsid w:val="00963073"/>
    <w:rsid w:val="009630EB"/>
    <w:rsid w:val="0096312D"/>
    <w:rsid w:val="009631FB"/>
    <w:rsid w:val="009631FF"/>
    <w:rsid w:val="0096324C"/>
    <w:rsid w:val="00963280"/>
    <w:rsid w:val="009632C9"/>
    <w:rsid w:val="009632EB"/>
    <w:rsid w:val="0096332C"/>
    <w:rsid w:val="00963345"/>
    <w:rsid w:val="0096348B"/>
    <w:rsid w:val="0096348D"/>
    <w:rsid w:val="009634B7"/>
    <w:rsid w:val="009634BF"/>
    <w:rsid w:val="009634DB"/>
    <w:rsid w:val="009634E6"/>
    <w:rsid w:val="009634F0"/>
    <w:rsid w:val="009634F2"/>
    <w:rsid w:val="009635BA"/>
    <w:rsid w:val="00963611"/>
    <w:rsid w:val="00963617"/>
    <w:rsid w:val="00963642"/>
    <w:rsid w:val="00963643"/>
    <w:rsid w:val="009636DE"/>
    <w:rsid w:val="009636E9"/>
    <w:rsid w:val="009636EF"/>
    <w:rsid w:val="00963766"/>
    <w:rsid w:val="009637AE"/>
    <w:rsid w:val="009637B3"/>
    <w:rsid w:val="009637B5"/>
    <w:rsid w:val="00963802"/>
    <w:rsid w:val="009638C6"/>
    <w:rsid w:val="00963912"/>
    <w:rsid w:val="0096391B"/>
    <w:rsid w:val="0096398D"/>
    <w:rsid w:val="00963992"/>
    <w:rsid w:val="009639A8"/>
    <w:rsid w:val="009639EA"/>
    <w:rsid w:val="00963A9A"/>
    <w:rsid w:val="00963B21"/>
    <w:rsid w:val="00963B2D"/>
    <w:rsid w:val="00963B3E"/>
    <w:rsid w:val="00963B4C"/>
    <w:rsid w:val="00963B5A"/>
    <w:rsid w:val="00963B9F"/>
    <w:rsid w:val="00963BCA"/>
    <w:rsid w:val="00963C06"/>
    <w:rsid w:val="00963C6C"/>
    <w:rsid w:val="00963C97"/>
    <w:rsid w:val="00963C9D"/>
    <w:rsid w:val="00963D45"/>
    <w:rsid w:val="00963D71"/>
    <w:rsid w:val="00963D8E"/>
    <w:rsid w:val="00963E12"/>
    <w:rsid w:val="00963E18"/>
    <w:rsid w:val="00963E3D"/>
    <w:rsid w:val="00963EB7"/>
    <w:rsid w:val="00963F82"/>
    <w:rsid w:val="00963FF6"/>
    <w:rsid w:val="00963FFF"/>
    <w:rsid w:val="00964112"/>
    <w:rsid w:val="0096412A"/>
    <w:rsid w:val="009641CC"/>
    <w:rsid w:val="009641D9"/>
    <w:rsid w:val="009641F3"/>
    <w:rsid w:val="00964207"/>
    <w:rsid w:val="0096428D"/>
    <w:rsid w:val="0096429E"/>
    <w:rsid w:val="00964303"/>
    <w:rsid w:val="0096433E"/>
    <w:rsid w:val="0096434F"/>
    <w:rsid w:val="00964350"/>
    <w:rsid w:val="0096435F"/>
    <w:rsid w:val="009643B8"/>
    <w:rsid w:val="00964521"/>
    <w:rsid w:val="00964562"/>
    <w:rsid w:val="009645BD"/>
    <w:rsid w:val="009645FB"/>
    <w:rsid w:val="009645FE"/>
    <w:rsid w:val="00964606"/>
    <w:rsid w:val="0096467A"/>
    <w:rsid w:val="009646A5"/>
    <w:rsid w:val="009646B6"/>
    <w:rsid w:val="009646D1"/>
    <w:rsid w:val="0096476D"/>
    <w:rsid w:val="00964777"/>
    <w:rsid w:val="009647DA"/>
    <w:rsid w:val="0096483E"/>
    <w:rsid w:val="0096484F"/>
    <w:rsid w:val="00964850"/>
    <w:rsid w:val="00964863"/>
    <w:rsid w:val="00964893"/>
    <w:rsid w:val="0096490B"/>
    <w:rsid w:val="0096493F"/>
    <w:rsid w:val="0096496F"/>
    <w:rsid w:val="009649A0"/>
    <w:rsid w:val="009649E1"/>
    <w:rsid w:val="00964A2D"/>
    <w:rsid w:val="00964AA8"/>
    <w:rsid w:val="00964ACB"/>
    <w:rsid w:val="00964B32"/>
    <w:rsid w:val="00964B40"/>
    <w:rsid w:val="00964B8E"/>
    <w:rsid w:val="00964BD9"/>
    <w:rsid w:val="00964D17"/>
    <w:rsid w:val="00964D53"/>
    <w:rsid w:val="00964D96"/>
    <w:rsid w:val="00964DA5"/>
    <w:rsid w:val="00964DCF"/>
    <w:rsid w:val="00964DDC"/>
    <w:rsid w:val="00964E01"/>
    <w:rsid w:val="00964E15"/>
    <w:rsid w:val="00964E1F"/>
    <w:rsid w:val="00964EB3"/>
    <w:rsid w:val="00964ED5"/>
    <w:rsid w:val="00964F50"/>
    <w:rsid w:val="00964F79"/>
    <w:rsid w:val="00964F8E"/>
    <w:rsid w:val="00964FAD"/>
    <w:rsid w:val="00964FB1"/>
    <w:rsid w:val="00964FD3"/>
    <w:rsid w:val="0096508E"/>
    <w:rsid w:val="009650D4"/>
    <w:rsid w:val="009650F1"/>
    <w:rsid w:val="009650FD"/>
    <w:rsid w:val="00965105"/>
    <w:rsid w:val="009651F3"/>
    <w:rsid w:val="009652BA"/>
    <w:rsid w:val="0096532D"/>
    <w:rsid w:val="00965375"/>
    <w:rsid w:val="00965623"/>
    <w:rsid w:val="00965627"/>
    <w:rsid w:val="009656F3"/>
    <w:rsid w:val="009657A2"/>
    <w:rsid w:val="009658E0"/>
    <w:rsid w:val="00965978"/>
    <w:rsid w:val="009659B2"/>
    <w:rsid w:val="009659BC"/>
    <w:rsid w:val="009659D9"/>
    <w:rsid w:val="009659E4"/>
    <w:rsid w:val="00965A71"/>
    <w:rsid w:val="00965B01"/>
    <w:rsid w:val="00965B4F"/>
    <w:rsid w:val="00965B8E"/>
    <w:rsid w:val="00965C1C"/>
    <w:rsid w:val="00965C5C"/>
    <w:rsid w:val="00965D1A"/>
    <w:rsid w:val="00965D5D"/>
    <w:rsid w:val="00965DC7"/>
    <w:rsid w:val="00965F11"/>
    <w:rsid w:val="00965FB4"/>
    <w:rsid w:val="00966097"/>
    <w:rsid w:val="0096617C"/>
    <w:rsid w:val="009661C5"/>
    <w:rsid w:val="009661D9"/>
    <w:rsid w:val="00966255"/>
    <w:rsid w:val="00966258"/>
    <w:rsid w:val="00966303"/>
    <w:rsid w:val="0096633A"/>
    <w:rsid w:val="00966394"/>
    <w:rsid w:val="00966398"/>
    <w:rsid w:val="009664AC"/>
    <w:rsid w:val="0096652F"/>
    <w:rsid w:val="00966556"/>
    <w:rsid w:val="009665D9"/>
    <w:rsid w:val="00966617"/>
    <w:rsid w:val="00966681"/>
    <w:rsid w:val="0096669E"/>
    <w:rsid w:val="00966792"/>
    <w:rsid w:val="009667D4"/>
    <w:rsid w:val="009667F6"/>
    <w:rsid w:val="0096680C"/>
    <w:rsid w:val="009668C9"/>
    <w:rsid w:val="00966905"/>
    <w:rsid w:val="0096697A"/>
    <w:rsid w:val="009669E9"/>
    <w:rsid w:val="00966A69"/>
    <w:rsid w:val="00966A6A"/>
    <w:rsid w:val="00966B33"/>
    <w:rsid w:val="00966B67"/>
    <w:rsid w:val="00966B79"/>
    <w:rsid w:val="00966B9D"/>
    <w:rsid w:val="00966BBA"/>
    <w:rsid w:val="00966BEC"/>
    <w:rsid w:val="00966BF5"/>
    <w:rsid w:val="00966C18"/>
    <w:rsid w:val="00966C1A"/>
    <w:rsid w:val="00966C52"/>
    <w:rsid w:val="00966CDB"/>
    <w:rsid w:val="00966DCF"/>
    <w:rsid w:val="00966E28"/>
    <w:rsid w:val="00966E35"/>
    <w:rsid w:val="00966E41"/>
    <w:rsid w:val="00966E44"/>
    <w:rsid w:val="00966E51"/>
    <w:rsid w:val="00966E68"/>
    <w:rsid w:val="00966EBF"/>
    <w:rsid w:val="00966F5B"/>
    <w:rsid w:val="00966F5D"/>
    <w:rsid w:val="00967026"/>
    <w:rsid w:val="00967032"/>
    <w:rsid w:val="0096709F"/>
    <w:rsid w:val="009670B4"/>
    <w:rsid w:val="00967190"/>
    <w:rsid w:val="009671A8"/>
    <w:rsid w:val="009671C4"/>
    <w:rsid w:val="009671E9"/>
    <w:rsid w:val="00967221"/>
    <w:rsid w:val="0096722C"/>
    <w:rsid w:val="00967257"/>
    <w:rsid w:val="009672A1"/>
    <w:rsid w:val="00967310"/>
    <w:rsid w:val="00967378"/>
    <w:rsid w:val="009673D1"/>
    <w:rsid w:val="00967496"/>
    <w:rsid w:val="0096749A"/>
    <w:rsid w:val="009674E2"/>
    <w:rsid w:val="009674E3"/>
    <w:rsid w:val="0096754A"/>
    <w:rsid w:val="009675DD"/>
    <w:rsid w:val="00967646"/>
    <w:rsid w:val="0096767A"/>
    <w:rsid w:val="009676D1"/>
    <w:rsid w:val="009676E9"/>
    <w:rsid w:val="0096773C"/>
    <w:rsid w:val="00967781"/>
    <w:rsid w:val="009677B8"/>
    <w:rsid w:val="009677E0"/>
    <w:rsid w:val="0096781E"/>
    <w:rsid w:val="0096785A"/>
    <w:rsid w:val="00967871"/>
    <w:rsid w:val="009678A2"/>
    <w:rsid w:val="009678B6"/>
    <w:rsid w:val="00967909"/>
    <w:rsid w:val="0096798F"/>
    <w:rsid w:val="00967A0D"/>
    <w:rsid w:val="00967A36"/>
    <w:rsid w:val="00967BD3"/>
    <w:rsid w:val="00967C38"/>
    <w:rsid w:val="00967DE2"/>
    <w:rsid w:val="00967EEE"/>
    <w:rsid w:val="00967FB4"/>
    <w:rsid w:val="00967FCC"/>
    <w:rsid w:val="0097003F"/>
    <w:rsid w:val="00970071"/>
    <w:rsid w:val="0097007D"/>
    <w:rsid w:val="00970083"/>
    <w:rsid w:val="009700AE"/>
    <w:rsid w:val="0097013F"/>
    <w:rsid w:val="009701E4"/>
    <w:rsid w:val="00970240"/>
    <w:rsid w:val="00970348"/>
    <w:rsid w:val="0097038C"/>
    <w:rsid w:val="009703BF"/>
    <w:rsid w:val="00970438"/>
    <w:rsid w:val="0097045A"/>
    <w:rsid w:val="00970492"/>
    <w:rsid w:val="00970497"/>
    <w:rsid w:val="009705D9"/>
    <w:rsid w:val="00970710"/>
    <w:rsid w:val="00970731"/>
    <w:rsid w:val="00970760"/>
    <w:rsid w:val="0097080D"/>
    <w:rsid w:val="00970827"/>
    <w:rsid w:val="00970869"/>
    <w:rsid w:val="0097086C"/>
    <w:rsid w:val="0097088F"/>
    <w:rsid w:val="009708CE"/>
    <w:rsid w:val="00970997"/>
    <w:rsid w:val="009709EF"/>
    <w:rsid w:val="009709FD"/>
    <w:rsid w:val="00970A10"/>
    <w:rsid w:val="00970A40"/>
    <w:rsid w:val="00970A8E"/>
    <w:rsid w:val="00970AC8"/>
    <w:rsid w:val="00970B17"/>
    <w:rsid w:val="00970C36"/>
    <w:rsid w:val="00970CD1"/>
    <w:rsid w:val="00970CD2"/>
    <w:rsid w:val="00970D50"/>
    <w:rsid w:val="00970D9C"/>
    <w:rsid w:val="00970DC6"/>
    <w:rsid w:val="00970DF4"/>
    <w:rsid w:val="00970E50"/>
    <w:rsid w:val="00970F30"/>
    <w:rsid w:val="00970FB9"/>
    <w:rsid w:val="00971015"/>
    <w:rsid w:val="00971087"/>
    <w:rsid w:val="009710B7"/>
    <w:rsid w:val="00971142"/>
    <w:rsid w:val="009711A3"/>
    <w:rsid w:val="009711DC"/>
    <w:rsid w:val="0097120C"/>
    <w:rsid w:val="0097123A"/>
    <w:rsid w:val="009712BF"/>
    <w:rsid w:val="009712E6"/>
    <w:rsid w:val="00971321"/>
    <w:rsid w:val="0097133A"/>
    <w:rsid w:val="00971344"/>
    <w:rsid w:val="00971353"/>
    <w:rsid w:val="009713D2"/>
    <w:rsid w:val="0097141B"/>
    <w:rsid w:val="00971422"/>
    <w:rsid w:val="009714A9"/>
    <w:rsid w:val="00971501"/>
    <w:rsid w:val="0097155E"/>
    <w:rsid w:val="0097155F"/>
    <w:rsid w:val="00971578"/>
    <w:rsid w:val="009715FE"/>
    <w:rsid w:val="00971607"/>
    <w:rsid w:val="00971688"/>
    <w:rsid w:val="009716B7"/>
    <w:rsid w:val="009716E8"/>
    <w:rsid w:val="00971700"/>
    <w:rsid w:val="00971720"/>
    <w:rsid w:val="00971762"/>
    <w:rsid w:val="00971788"/>
    <w:rsid w:val="00971798"/>
    <w:rsid w:val="009717A3"/>
    <w:rsid w:val="0097181B"/>
    <w:rsid w:val="009718D6"/>
    <w:rsid w:val="0097198A"/>
    <w:rsid w:val="009719FF"/>
    <w:rsid w:val="00971A03"/>
    <w:rsid w:val="00971A1F"/>
    <w:rsid w:val="00971B2A"/>
    <w:rsid w:val="00971B46"/>
    <w:rsid w:val="00971B7D"/>
    <w:rsid w:val="00971BE7"/>
    <w:rsid w:val="00971CB1"/>
    <w:rsid w:val="00971CD6"/>
    <w:rsid w:val="00971D47"/>
    <w:rsid w:val="00971F39"/>
    <w:rsid w:val="0097200E"/>
    <w:rsid w:val="00972047"/>
    <w:rsid w:val="009720FD"/>
    <w:rsid w:val="00972122"/>
    <w:rsid w:val="00972148"/>
    <w:rsid w:val="00972169"/>
    <w:rsid w:val="0097219F"/>
    <w:rsid w:val="009721C5"/>
    <w:rsid w:val="009721C9"/>
    <w:rsid w:val="0097221A"/>
    <w:rsid w:val="00972227"/>
    <w:rsid w:val="009722EA"/>
    <w:rsid w:val="009722F1"/>
    <w:rsid w:val="009722F2"/>
    <w:rsid w:val="00972332"/>
    <w:rsid w:val="0097240C"/>
    <w:rsid w:val="00972431"/>
    <w:rsid w:val="009724B5"/>
    <w:rsid w:val="00972528"/>
    <w:rsid w:val="00972530"/>
    <w:rsid w:val="00972536"/>
    <w:rsid w:val="00972539"/>
    <w:rsid w:val="009725B0"/>
    <w:rsid w:val="009725B3"/>
    <w:rsid w:val="009725B7"/>
    <w:rsid w:val="00972645"/>
    <w:rsid w:val="0097267E"/>
    <w:rsid w:val="00972680"/>
    <w:rsid w:val="009726AF"/>
    <w:rsid w:val="009726DE"/>
    <w:rsid w:val="00972720"/>
    <w:rsid w:val="00972765"/>
    <w:rsid w:val="0097279D"/>
    <w:rsid w:val="00972816"/>
    <w:rsid w:val="00972829"/>
    <w:rsid w:val="0097282E"/>
    <w:rsid w:val="00972843"/>
    <w:rsid w:val="0097286F"/>
    <w:rsid w:val="0097288D"/>
    <w:rsid w:val="0097289D"/>
    <w:rsid w:val="009728B6"/>
    <w:rsid w:val="00972910"/>
    <w:rsid w:val="00972965"/>
    <w:rsid w:val="009729C3"/>
    <w:rsid w:val="00972A71"/>
    <w:rsid w:val="00972A8A"/>
    <w:rsid w:val="00972AD2"/>
    <w:rsid w:val="00972AF8"/>
    <w:rsid w:val="00972AFB"/>
    <w:rsid w:val="00972B2D"/>
    <w:rsid w:val="00972B80"/>
    <w:rsid w:val="00972BEB"/>
    <w:rsid w:val="00972BFE"/>
    <w:rsid w:val="00972C5F"/>
    <w:rsid w:val="00972CF9"/>
    <w:rsid w:val="00972D42"/>
    <w:rsid w:val="00972D98"/>
    <w:rsid w:val="00972E03"/>
    <w:rsid w:val="00972E29"/>
    <w:rsid w:val="00972E40"/>
    <w:rsid w:val="00972EAB"/>
    <w:rsid w:val="00972EEB"/>
    <w:rsid w:val="00972F31"/>
    <w:rsid w:val="00972F55"/>
    <w:rsid w:val="0097300F"/>
    <w:rsid w:val="0097302D"/>
    <w:rsid w:val="00973078"/>
    <w:rsid w:val="009730F7"/>
    <w:rsid w:val="009731BF"/>
    <w:rsid w:val="00973223"/>
    <w:rsid w:val="009732F9"/>
    <w:rsid w:val="0097337E"/>
    <w:rsid w:val="0097340F"/>
    <w:rsid w:val="00973430"/>
    <w:rsid w:val="00973434"/>
    <w:rsid w:val="00973515"/>
    <w:rsid w:val="00973592"/>
    <w:rsid w:val="0097361E"/>
    <w:rsid w:val="00973679"/>
    <w:rsid w:val="00973681"/>
    <w:rsid w:val="00973725"/>
    <w:rsid w:val="0097379A"/>
    <w:rsid w:val="00973854"/>
    <w:rsid w:val="00973866"/>
    <w:rsid w:val="009738D6"/>
    <w:rsid w:val="00973947"/>
    <w:rsid w:val="00973991"/>
    <w:rsid w:val="009739D9"/>
    <w:rsid w:val="00973A59"/>
    <w:rsid w:val="00973B87"/>
    <w:rsid w:val="00973BBF"/>
    <w:rsid w:val="00973BEC"/>
    <w:rsid w:val="00973D53"/>
    <w:rsid w:val="00973D7D"/>
    <w:rsid w:val="00973D97"/>
    <w:rsid w:val="00973DAC"/>
    <w:rsid w:val="00973E31"/>
    <w:rsid w:val="00973E4B"/>
    <w:rsid w:val="00973EAA"/>
    <w:rsid w:val="00973EE5"/>
    <w:rsid w:val="00973F14"/>
    <w:rsid w:val="00973FA6"/>
    <w:rsid w:val="00974003"/>
    <w:rsid w:val="00974014"/>
    <w:rsid w:val="00974094"/>
    <w:rsid w:val="009740CC"/>
    <w:rsid w:val="0097411C"/>
    <w:rsid w:val="00974126"/>
    <w:rsid w:val="0097413A"/>
    <w:rsid w:val="0097419D"/>
    <w:rsid w:val="009741BB"/>
    <w:rsid w:val="009741C7"/>
    <w:rsid w:val="00974264"/>
    <w:rsid w:val="0097429E"/>
    <w:rsid w:val="009742D2"/>
    <w:rsid w:val="00974304"/>
    <w:rsid w:val="0097435A"/>
    <w:rsid w:val="0097436F"/>
    <w:rsid w:val="00974474"/>
    <w:rsid w:val="00974539"/>
    <w:rsid w:val="009745DE"/>
    <w:rsid w:val="0097460E"/>
    <w:rsid w:val="00974613"/>
    <w:rsid w:val="00974620"/>
    <w:rsid w:val="0097468B"/>
    <w:rsid w:val="009746B7"/>
    <w:rsid w:val="009746D6"/>
    <w:rsid w:val="009746D8"/>
    <w:rsid w:val="009746F3"/>
    <w:rsid w:val="009746F9"/>
    <w:rsid w:val="0097473C"/>
    <w:rsid w:val="009747D7"/>
    <w:rsid w:val="009747EC"/>
    <w:rsid w:val="00974839"/>
    <w:rsid w:val="0097486B"/>
    <w:rsid w:val="00974887"/>
    <w:rsid w:val="00974921"/>
    <w:rsid w:val="00974955"/>
    <w:rsid w:val="00974A49"/>
    <w:rsid w:val="00974AC6"/>
    <w:rsid w:val="00974AD9"/>
    <w:rsid w:val="00974B08"/>
    <w:rsid w:val="00974C10"/>
    <w:rsid w:val="00974C72"/>
    <w:rsid w:val="00974C7F"/>
    <w:rsid w:val="00974CA6"/>
    <w:rsid w:val="00974CEE"/>
    <w:rsid w:val="00974D6F"/>
    <w:rsid w:val="00974DFD"/>
    <w:rsid w:val="00974E00"/>
    <w:rsid w:val="00974E53"/>
    <w:rsid w:val="00974E86"/>
    <w:rsid w:val="00974EF1"/>
    <w:rsid w:val="00974F6F"/>
    <w:rsid w:val="00974F71"/>
    <w:rsid w:val="00974F93"/>
    <w:rsid w:val="00974FA2"/>
    <w:rsid w:val="00974FDD"/>
    <w:rsid w:val="00974FFB"/>
    <w:rsid w:val="00975026"/>
    <w:rsid w:val="00975106"/>
    <w:rsid w:val="00975114"/>
    <w:rsid w:val="00975167"/>
    <w:rsid w:val="009751C3"/>
    <w:rsid w:val="009751D0"/>
    <w:rsid w:val="00975242"/>
    <w:rsid w:val="00975243"/>
    <w:rsid w:val="00975278"/>
    <w:rsid w:val="00975288"/>
    <w:rsid w:val="0097529A"/>
    <w:rsid w:val="0097529B"/>
    <w:rsid w:val="009752B6"/>
    <w:rsid w:val="009752BF"/>
    <w:rsid w:val="009752CD"/>
    <w:rsid w:val="009752FD"/>
    <w:rsid w:val="00975300"/>
    <w:rsid w:val="0097534E"/>
    <w:rsid w:val="00975350"/>
    <w:rsid w:val="009753F7"/>
    <w:rsid w:val="009754AF"/>
    <w:rsid w:val="0097556F"/>
    <w:rsid w:val="00975581"/>
    <w:rsid w:val="009755C1"/>
    <w:rsid w:val="00975635"/>
    <w:rsid w:val="0097564B"/>
    <w:rsid w:val="0097568E"/>
    <w:rsid w:val="0097571F"/>
    <w:rsid w:val="0097579A"/>
    <w:rsid w:val="009757A9"/>
    <w:rsid w:val="009757C4"/>
    <w:rsid w:val="009757FE"/>
    <w:rsid w:val="0097581B"/>
    <w:rsid w:val="00975846"/>
    <w:rsid w:val="00975887"/>
    <w:rsid w:val="0097589E"/>
    <w:rsid w:val="009758E2"/>
    <w:rsid w:val="00975943"/>
    <w:rsid w:val="00975975"/>
    <w:rsid w:val="009759A5"/>
    <w:rsid w:val="009759CB"/>
    <w:rsid w:val="00975A6D"/>
    <w:rsid w:val="00975A95"/>
    <w:rsid w:val="00975AA6"/>
    <w:rsid w:val="00975B15"/>
    <w:rsid w:val="00975B18"/>
    <w:rsid w:val="00975BD8"/>
    <w:rsid w:val="00975CAB"/>
    <w:rsid w:val="00975CAF"/>
    <w:rsid w:val="00975CE6"/>
    <w:rsid w:val="00975D23"/>
    <w:rsid w:val="00975D38"/>
    <w:rsid w:val="00975DC7"/>
    <w:rsid w:val="00975DF8"/>
    <w:rsid w:val="00975EF2"/>
    <w:rsid w:val="00975F48"/>
    <w:rsid w:val="00975F94"/>
    <w:rsid w:val="00975FD4"/>
    <w:rsid w:val="00975FD5"/>
    <w:rsid w:val="00976003"/>
    <w:rsid w:val="009760E2"/>
    <w:rsid w:val="0097617B"/>
    <w:rsid w:val="009761B0"/>
    <w:rsid w:val="009761B4"/>
    <w:rsid w:val="009761BA"/>
    <w:rsid w:val="00976254"/>
    <w:rsid w:val="009762B9"/>
    <w:rsid w:val="009762E4"/>
    <w:rsid w:val="009763E7"/>
    <w:rsid w:val="009763EA"/>
    <w:rsid w:val="0097641F"/>
    <w:rsid w:val="00976476"/>
    <w:rsid w:val="0097647C"/>
    <w:rsid w:val="00976549"/>
    <w:rsid w:val="00976643"/>
    <w:rsid w:val="00976659"/>
    <w:rsid w:val="00976674"/>
    <w:rsid w:val="009766CB"/>
    <w:rsid w:val="009766E5"/>
    <w:rsid w:val="009766EA"/>
    <w:rsid w:val="00976780"/>
    <w:rsid w:val="009767FF"/>
    <w:rsid w:val="00976843"/>
    <w:rsid w:val="00976952"/>
    <w:rsid w:val="00976955"/>
    <w:rsid w:val="00976A18"/>
    <w:rsid w:val="00976A88"/>
    <w:rsid w:val="00976AB0"/>
    <w:rsid w:val="00976ADA"/>
    <w:rsid w:val="00976B06"/>
    <w:rsid w:val="00976B1F"/>
    <w:rsid w:val="00976B27"/>
    <w:rsid w:val="00976B71"/>
    <w:rsid w:val="00976B9D"/>
    <w:rsid w:val="00976C79"/>
    <w:rsid w:val="00976D6B"/>
    <w:rsid w:val="00976DA5"/>
    <w:rsid w:val="00976DD8"/>
    <w:rsid w:val="00976DFA"/>
    <w:rsid w:val="00976ED8"/>
    <w:rsid w:val="00976F35"/>
    <w:rsid w:val="00976FAF"/>
    <w:rsid w:val="0097702E"/>
    <w:rsid w:val="009770C1"/>
    <w:rsid w:val="009770CB"/>
    <w:rsid w:val="009771D1"/>
    <w:rsid w:val="009771FB"/>
    <w:rsid w:val="0097721B"/>
    <w:rsid w:val="00977275"/>
    <w:rsid w:val="00977285"/>
    <w:rsid w:val="00977326"/>
    <w:rsid w:val="009773FE"/>
    <w:rsid w:val="0097748B"/>
    <w:rsid w:val="009774C0"/>
    <w:rsid w:val="009774D1"/>
    <w:rsid w:val="00977566"/>
    <w:rsid w:val="009775B6"/>
    <w:rsid w:val="00977641"/>
    <w:rsid w:val="00977682"/>
    <w:rsid w:val="0097779B"/>
    <w:rsid w:val="009777E0"/>
    <w:rsid w:val="009777FD"/>
    <w:rsid w:val="00977801"/>
    <w:rsid w:val="009778D5"/>
    <w:rsid w:val="009778E8"/>
    <w:rsid w:val="0097794F"/>
    <w:rsid w:val="00977AC3"/>
    <w:rsid w:val="00977B20"/>
    <w:rsid w:val="00977B45"/>
    <w:rsid w:val="00977C14"/>
    <w:rsid w:val="00977C15"/>
    <w:rsid w:val="00977C48"/>
    <w:rsid w:val="00977D79"/>
    <w:rsid w:val="00977EAE"/>
    <w:rsid w:val="00977F04"/>
    <w:rsid w:val="00977F13"/>
    <w:rsid w:val="00977F9F"/>
    <w:rsid w:val="00980026"/>
    <w:rsid w:val="00980095"/>
    <w:rsid w:val="009800F1"/>
    <w:rsid w:val="00980215"/>
    <w:rsid w:val="0098024E"/>
    <w:rsid w:val="0098028C"/>
    <w:rsid w:val="00980291"/>
    <w:rsid w:val="0098029C"/>
    <w:rsid w:val="009803AF"/>
    <w:rsid w:val="009803BF"/>
    <w:rsid w:val="0098040B"/>
    <w:rsid w:val="00980449"/>
    <w:rsid w:val="0098044E"/>
    <w:rsid w:val="00980538"/>
    <w:rsid w:val="0098054A"/>
    <w:rsid w:val="00980619"/>
    <w:rsid w:val="009806A2"/>
    <w:rsid w:val="0098072D"/>
    <w:rsid w:val="00980789"/>
    <w:rsid w:val="009807D0"/>
    <w:rsid w:val="0098082F"/>
    <w:rsid w:val="00980854"/>
    <w:rsid w:val="00980892"/>
    <w:rsid w:val="009809E1"/>
    <w:rsid w:val="009809F0"/>
    <w:rsid w:val="00980A56"/>
    <w:rsid w:val="00980A93"/>
    <w:rsid w:val="00980ADB"/>
    <w:rsid w:val="00980B71"/>
    <w:rsid w:val="00980C62"/>
    <w:rsid w:val="00980CC7"/>
    <w:rsid w:val="00980CF0"/>
    <w:rsid w:val="00980D3C"/>
    <w:rsid w:val="00980D41"/>
    <w:rsid w:val="00980DCC"/>
    <w:rsid w:val="00980E1E"/>
    <w:rsid w:val="00980F1A"/>
    <w:rsid w:val="00980F20"/>
    <w:rsid w:val="00980F3F"/>
    <w:rsid w:val="00980F56"/>
    <w:rsid w:val="00980F5F"/>
    <w:rsid w:val="00980FE7"/>
    <w:rsid w:val="00981063"/>
    <w:rsid w:val="00981099"/>
    <w:rsid w:val="009810C2"/>
    <w:rsid w:val="009810E1"/>
    <w:rsid w:val="009811A2"/>
    <w:rsid w:val="009811F1"/>
    <w:rsid w:val="00981355"/>
    <w:rsid w:val="00981438"/>
    <w:rsid w:val="009814DF"/>
    <w:rsid w:val="009815AB"/>
    <w:rsid w:val="0098164A"/>
    <w:rsid w:val="00981738"/>
    <w:rsid w:val="00981782"/>
    <w:rsid w:val="00981787"/>
    <w:rsid w:val="0098186B"/>
    <w:rsid w:val="00981881"/>
    <w:rsid w:val="00981890"/>
    <w:rsid w:val="00981897"/>
    <w:rsid w:val="00981929"/>
    <w:rsid w:val="00981952"/>
    <w:rsid w:val="0098195B"/>
    <w:rsid w:val="00981A65"/>
    <w:rsid w:val="00981A70"/>
    <w:rsid w:val="00981A81"/>
    <w:rsid w:val="00981AB0"/>
    <w:rsid w:val="00981ACF"/>
    <w:rsid w:val="00981B50"/>
    <w:rsid w:val="00981B6D"/>
    <w:rsid w:val="00981B9F"/>
    <w:rsid w:val="00981BDD"/>
    <w:rsid w:val="00981CB7"/>
    <w:rsid w:val="00981CBB"/>
    <w:rsid w:val="00981D57"/>
    <w:rsid w:val="00981D6D"/>
    <w:rsid w:val="00981D75"/>
    <w:rsid w:val="00981DD1"/>
    <w:rsid w:val="00981DD3"/>
    <w:rsid w:val="00981E31"/>
    <w:rsid w:val="00981E32"/>
    <w:rsid w:val="00981E65"/>
    <w:rsid w:val="00981EA8"/>
    <w:rsid w:val="00981F4E"/>
    <w:rsid w:val="00981F7D"/>
    <w:rsid w:val="00981F9F"/>
    <w:rsid w:val="00981FD4"/>
    <w:rsid w:val="00981FEC"/>
    <w:rsid w:val="00982013"/>
    <w:rsid w:val="0098207E"/>
    <w:rsid w:val="009820CD"/>
    <w:rsid w:val="009820D8"/>
    <w:rsid w:val="0098221E"/>
    <w:rsid w:val="0098225E"/>
    <w:rsid w:val="0098229F"/>
    <w:rsid w:val="009822E4"/>
    <w:rsid w:val="0098230C"/>
    <w:rsid w:val="0098245C"/>
    <w:rsid w:val="0098246D"/>
    <w:rsid w:val="00982473"/>
    <w:rsid w:val="009824B9"/>
    <w:rsid w:val="009824ED"/>
    <w:rsid w:val="009825E4"/>
    <w:rsid w:val="0098262C"/>
    <w:rsid w:val="00982646"/>
    <w:rsid w:val="009826DA"/>
    <w:rsid w:val="009826FD"/>
    <w:rsid w:val="009827CE"/>
    <w:rsid w:val="00982854"/>
    <w:rsid w:val="009828A3"/>
    <w:rsid w:val="009829D1"/>
    <w:rsid w:val="009829DD"/>
    <w:rsid w:val="00982A1A"/>
    <w:rsid w:val="00982B4B"/>
    <w:rsid w:val="00982BD0"/>
    <w:rsid w:val="00982C12"/>
    <w:rsid w:val="00982C35"/>
    <w:rsid w:val="00982C5A"/>
    <w:rsid w:val="00982C83"/>
    <w:rsid w:val="00982D19"/>
    <w:rsid w:val="00982D27"/>
    <w:rsid w:val="00982DCF"/>
    <w:rsid w:val="00982DD6"/>
    <w:rsid w:val="00982E86"/>
    <w:rsid w:val="00982E94"/>
    <w:rsid w:val="00982EBE"/>
    <w:rsid w:val="00982ECF"/>
    <w:rsid w:val="00982F34"/>
    <w:rsid w:val="00982F40"/>
    <w:rsid w:val="00982F49"/>
    <w:rsid w:val="00982F5C"/>
    <w:rsid w:val="00982FE9"/>
    <w:rsid w:val="00982FF1"/>
    <w:rsid w:val="00983052"/>
    <w:rsid w:val="0098307A"/>
    <w:rsid w:val="009830FB"/>
    <w:rsid w:val="00983125"/>
    <w:rsid w:val="0098312A"/>
    <w:rsid w:val="00983139"/>
    <w:rsid w:val="009831F3"/>
    <w:rsid w:val="00983219"/>
    <w:rsid w:val="00983226"/>
    <w:rsid w:val="0098325A"/>
    <w:rsid w:val="0098328C"/>
    <w:rsid w:val="009832D1"/>
    <w:rsid w:val="00983389"/>
    <w:rsid w:val="00983406"/>
    <w:rsid w:val="00983413"/>
    <w:rsid w:val="0098348F"/>
    <w:rsid w:val="00983573"/>
    <w:rsid w:val="0098357C"/>
    <w:rsid w:val="00983645"/>
    <w:rsid w:val="0098365B"/>
    <w:rsid w:val="0098365C"/>
    <w:rsid w:val="00983692"/>
    <w:rsid w:val="009836EF"/>
    <w:rsid w:val="009836F9"/>
    <w:rsid w:val="00983803"/>
    <w:rsid w:val="0098381E"/>
    <w:rsid w:val="0098386A"/>
    <w:rsid w:val="009838A7"/>
    <w:rsid w:val="00983961"/>
    <w:rsid w:val="009839D3"/>
    <w:rsid w:val="009839E9"/>
    <w:rsid w:val="00983A71"/>
    <w:rsid w:val="00983A73"/>
    <w:rsid w:val="00983AB3"/>
    <w:rsid w:val="00983AE4"/>
    <w:rsid w:val="00983DAD"/>
    <w:rsid w:val="00983DD5"/>
    <w:rsid w:val="00983E15"/>
    <w:rsid w:val="00983EC5"/>
    <w:rsid w:val="00983EDA"/>
    <w:rsid w:val="00983F3B"/>
    <w:rsid w:val="00983F4F"/>
    <w:rsid w:val="00983F78"/>
    <w:rsid w:val="00984027"/>
    <w:rsid w:val="009840D6"/>
    <w:rsid w:val="009841BC"/>
    <w:rsid w:val="009841C4"/>
    <w:rsid w:val="0098423F"/>
    <w:rsid w:val="00984259"/>
    <w:rsid w:val="0098426F"/>
    <w:rsid w:val="0098430D"/>
    <w:rsid w:val="0098434C"/>
    <w:rsid w:val="00984368"/>
    <w:rsid w:val="00984371"/>
    <w:rsid w:val="00984398"/>
    <w:rsid w:val="009843D3"/>
    <w:rsid w:val="009844A7"/>
    <w:rsid w:val="00984549"/>
    <w:rsid w:val="009845CA"/>
    <w:rsid w:val="009845D2"/>
    <w:rsid w:val="0098460D"/>
    <w:rsid w:val="00984695"/>
    <w:rsid w:val="009846CB"/>
    <w:rsid w:val="009846ED"/>
    <w:rsid w:val="00984732"/>
    <w:rsid w:val="00984761"/>
    <w:rsid w:val="0098477D"/>
    <w:rsid w:val="009847D6"/>
    <w:rsid w:val="009847DD"/>
    <w:rsid w:val="009848F5"/>
    <w:rsid w:val="009849A1"/>
    <w:rsid w:val="009849C7"/>
    <w:rsid w:val="00984A56"/>
    <w:rsid w:val="00984AB1"/>
    <w:rsid w:val="00984AEA"/>
    <w:rsid w:val="00984AF4"/>
    <w:rsid w:val="00984B1E"/>
    <w:rsid w:val="00984B28"/>
    <w:rsid w:val="00984B9E"/>
    <w:rsid w:val="00984C12"/>
    <w:rsid w:val="00984D94"/>
    <w:rsid w:val="00984E12"/>
    <w:rsid w:val="00984E29"/>
    <w:rsid w:val="00984E40"/>
    <w:rsid w:val="00984F2D"/>
    <w:rsid w:val="00984FBC"/>
    <w:rsid w:val="00984FE9"/>
    <w:rsid w:val="0098500A"/>
    <w:rsid w:val="0098507B"/>
    <w:rsid w:val="009850DF"/>
    <w:rsid w:val="0098511B"/>
    <w:rsid w:val="00985133"/>
    <w:rsid w:val="009851B5"/>
    <w:rsid w:val="009851C3"/>
    <w:rsid w:val="009851FD"/>
    <w:rsid w:val="00985201"/>
    <w:rsid w:val="0098524E"/>
    <w:rsid w:val="0098525F"/>
    <w:rsid w:val="0098528A"/>
    <w:rsid w:val="00985296"/>
    <w:rsid w:val="009852E7"/>
    <w:rsid w:val="009853CD"/>
    <w:rsid w:val="009854B2"/>
    <w:rsid w:val="009854E3"/>
    <w:rsid w:val="00985527"/>
    <w:rsid w:val="00985531"/>
    <w:rsid w:val="00985549"/>
    <w:rsid w:val="00985568"/>
    <w:rsid w:val="0098558D"/>
    <w:rsid w:val="00985593"/>
    <w:rsid w:val="009855C5"/>
    <w:rsid w:val="009855F7"/>
    <w:rsid w:val="00985631"/>
    <w:rsid w:val="0098564D"/>
    <w:rsid w:val="009856AD"/>
    <w:rsid w:val="009856BF"/>
    <w:rsid w:val="009856C0"/>
    <w:rsid w:val="0098577B"/>
    <w:rsid w:val="00985862"/>
    <w:rsid w:val="00985973"/>
    <w:rsid w:val="0098598E"/>
    <w:rsid w:val="009859E0"/>
    <w:rsid w:val="00985ADB"/>
    <w:rsid w:val="00985B2F"/>
    <w:rsid w:val="00985C10"/>
    <w:rsid w:val="00985C53"/>
    <w:rsid w:val="00985CCC"/>
    <w:rsid w:val="00985CDA"/>
    <w:rsid w:val="00985D7C"/>
    <w:rsid w:val="00985DFC"/>
    <w:rsid w:val="00985E5B"/>
    <w:rsid w:val="00985EBE"/>
    <w:rsid w:val="00985F4D"/>
    <w:rsid w:val="00985F9F"/>
    <w:rsid w:val="00985FE1"/>
    <w:rsid w:val="0098604A"/>
    <w:rsid w:val="009860DD"/>
    <w:rsid w:val="00986147"/>
    <w:rsid w:val="0098614C"/>
    <w:rsid w:val="00986235"/>
    <w:rsid w:val="009862B0"/>
    <w:rsid w:val="009862CA"/>
    <w:rsid w:val="00986345"/>
    <w:rsid w:val="0098637D"/>
    <w:rsid w:val="009863C2"/>
    <w:rsid w:val="009863F5"/>
    <w:rsid w:val="00986433"/>
    <w:rsid w:val="0098644D"/>
    <w:rsid w:val="0098645A"/>
    <w:rsid w:val="009864F7"/>
    <w:rsid w:val="00986550"/>
    <w:rsid w:val="00986582"/>
    <w:rsid w:val="009865A6"/>
    <w:rsid w:val="009865E6"/>
    <w:rsid w:val="0098660A"/>
    <w:rsid w:val="00986650"/>
    <w:rsid w:val="0098667B"/>
    <w:rsid w:val="00986769"/>
    <w:rsid w:val="009867BE"/>
    <w:rsid w:val="009867C8"/>
    <w:rsid w:val="00986808"/>
    <w:rsid w:val="0098682E"/>
    <w:rsid w:val="00986872"/>
    <w:rsid w:val="00986873"/>
    <w:rsid w:val="0098695B"/>
    <w:rsid w:val="00986AA6"/>
    <w:rsid w:val="00986AE6"/>
    <w:rsid w:val="00986AEE"/>
    <w:rsid w:val="00986B74"/>
    <w:rsid w:val="00986BA3"/>
    <w:rsid w:val="00986C0E"/>
    <w:rsid w:val="00986C25"/>
    <w:rsid w:val="00986C5C"/>
    <w:rsid w:val="00986C67"/>
    <w:rsid w:val="00986D2C"/>
    <w:rsid w:val="00986D46"/>
    <w:rsid w:val="00986EA7"/>
    <w:rsid w:val="00986ED2"/>
    <w:rsid w:val="00986EDC"/>
    <w:rsid w:val="00986F27"/>
    <w:rsid w:val="00986F57"/>
    <w:rsid w:val="00986FE3"/>
    <w:rsid w:val="0098701F"/>
    <w:rsid w:val="00987027"/>
    <w:rsid w:val="00987056"/>
    <w:rsid w:val="00987058"/>
    <w:rsid w:val="00987062"/>
    <w:rsid w:val="0098706E"/>
    <w:rsid w:val="009870BC"/>
    <w:rsid w:val="0098718A"/>
    <w:rsid w:val="0098727D"/>
    <w:rsid w:val="009872F4"/>
    <w:rsid w:val="0098731D"/>
    <w:rsid w:val="0098732E"/>
    <w:rsid w:val="00987382"/>
    <w:rsid w:val="00987417"/>
    <w:rsid w:val="00987453"/>
    <w:rsid w:val="009874D2"/>
    <w:rsid w:val="00987601"/>
    <w:rsid w:val="00987690"/>
    <w:rsid w:val="00987695"/>
    <w:rsid w:val="009876CE"/>
    <w:rsid w:val="009876D7"/>
    <w:rsid w:val="009876DD"/>
    <w:rsid w:val="00987750"/>
    <w:rsid w:val="00987755"/>
    <w:rsid w:val="0098778F"/>
    <w:rsid w:val="0098779D"/>
    <w:rsid w:val="009878CA"/>
    <w:rsid w:val="009879DB"/>
    <w:rsid w:val="00987A49"/>
    <w:rsid w:val="00987A6D"/>
    <w:rsid w:val="00987AD5"/>
    <w:rsid w:val="00987B68"/>
    <w:rsid w:val="00987BAA"/>
    <w:rsid w:val="00987BC9"/>
    <w:rsid w:val="00987C62"/>
    <w:rsid w:val="00987C74"/>
    <w:rsid w:val="00987CA7"/>
    <w:rsid w:val="00987CDC"/>
    <w:rsid w:val="00987D69"/>
    <w:rsid w:val="00987D86"/>
    <w:rsid w:val="00987E1C"/>
    <w:rsid w:val="00987E43"/>
    <w:rsid w:val="00987E44"/>
    <w:rsid w:val="00987EA7"/>
    <w:rsid w:val="00987EB1"/>
    <w:rsid w:val="00987F02"/>
    <w:rsid w:val="00987F1F"/>
    <w:rsid w:val="00987F5A"/>
    <w:rsid w:val="00987FCA"/>
    <w:rsid w:val="00990049"/>
    <w:rsid w:val="00990050"/>
    <w:rsid w:val="0099006E"/>
    <w:rsid w:val="00990101"/>
    <w:rsid w:val="0099017E"/>
    <w:rsid w:val="00990187"/>
    <w:rsid w:val="009901E8"/>
    <w:rsid w:val="00990328"/>
    <w:rsid w:val="00990399"/>
    <w:rsid w:val="009903AF"/>
    <w:rsid w:val="009903D3"/>
    <w:rsid w:val="00990412"/>
    <w:rsid w:val="00990452"/>
    <w:rsid w:val="00990468"/>
    <w:rsid w:val="009904A7"/>
    <w:rsid w:val="009904CA"/>
    <w:rsid w:val="00990504"/>
    <w:rsid w:val="00990573"/>
    <w:rsid w:val="009906A6"/>
    <w:rsid w:val="0099073B"/>
    <w:rsid w:val="009907F1"/>
    <w:rsid w:val="00990870"/>
    <w:rsid w:val="00990949"/>
    <w:rsid w:val="0099096C"/>
    <w:rsid w:val="00990A21"/>
    <w:rsid w:val="00990A53"/>
    <w:rsid w:val="00990ABB"/>
    <w:rsid w:val="00990AEB"/>
    <w:rsid w:val="00990B25"/>
    <w:rsid w:val="00990B46"/>
    <w:rsid w:val="00990B48"/>
    <w:rsid w:val="00990BBD"/>
    <w:rsid w:val="00990C00"/>
    <w:rsid w:val="00990C4F"/>
    <w:rsid w:val="00990CAD"/>
    <w:rsid w:val="00990CB1"/>
    <w:rsid w:val="00990D40"/>
    <w:rsid w:val="00990DA2"/>
    <w:rsid w:val="00990DAB"/>
    <w:rsid w:val="00990DF5"/>
    <w:rsid w:val="00990E06"/>
    <w:rsid w:val="00990E17"/>
    <w:rsid w:val="00990E3A"/>
    <w:rsid w:val="00990E6D"/>
    <w:rsid w:val="00990ECF"/>
    <w:rsid w:val="00990EDE"/>
    <w:rsid w:val="00990F07"/>
    <w:rsid w:val="00990F1F"/>
    <w:rsid w:val="00990F28"/>
    <w:rsid w:val="00990F51"/>
    <w:rsid w:val="00991008"/>
    <w:rsid w:val="00991023"/>
    <w:rsid w:val="00991043"/>
    <w:rsid w:val="0099104B"/>
    <w:rsid w:val="00991101"/>
    <w:rsid w:val="00991114"/>
    <w:rsid w:val="009911E6"/>
    <w:rsid w:val="009912E0"/>
    <w:rsid w:val="0099131F"/>
    <w:rsid w:val="00991416"/>
    <w:rsid w:val="009914F1"/>
    <w:rsid w:val="00991552"/>
    <w:rsid w:val="00991626"/>
    <w:rsid w:val="00991632"/>
    <w:rsid w:val="0099169A"/>
    <w:rsid w:val="0099178E"/>
    <w:rsid w:val="009917D5"/>
    <w:rsid w:val="00991821"/>
    <w:rsid w:val="00991849"/>
    <w:rsid w:val="009918C0"/>
    <w:rsid w:val="009918CD"/>
    <w:rsid w:val="00991910"/>
    <w:rsid w:val="0099193F"/>
    <w:rsid w:val="00991965"/>
    <w:rsid w:val="009919F1"/>
    <w:rsid w:val="00991A1D"/>
    <w:rsid w:val="00991ACF"/>
    <w:rsid w:val="00991AEA"/>
    <w:rsid w:val="00991B44"/>
    <w:rsid w:val="00991B95"/>
    <w:rsid w:val="00991B96"/>
    <w:rsid w:val="00991C39"/>
    <w:rsid w:val="00991C51"/>
    <w:rsid w:val="00991C5C"/>
    <w:rsid w:val="00991D09"/>
    <w:rsid w:val="00991E85"/>
    <w:rsid w:val="00991EF2"/>
    <w:rsid w:val="00991FAD"/>
    <w:rsid w:val="0099204C"/>
    <w:rsid w:val="009922E8"/>
    <w:rsid w:val="00992348"/>
    <w:rsid w:val="0099234D"/>
    <w:rsid w:val="00992377"/>
    <w:rsid w:val="00992402"/>
    <w:rsid w:val="0099256C"/>
    <w:rsid w:val="00992572"/>
    <w:rsid w:val="00992582"/>
    <w:rsid w:val="00992627"/>
    <w:rsid w:val="00992635"/>
    <w:rsid w:val="009926E1"/>
    <w:rsid w:val="009926FD"/>
    <w:rsid w:val="00992762"/>
    <w:rsid w:val="00992782"/>
    <w:rsid w:val="00992814"/>
    <w:rsid w:val="00992842"/>
    <w:rsid w:val="0099284A"/>
    <w:rsid w:val="00992860"/>
    <w:rsid w:val="00992899"/>
    <w:rsid w:val="009928AC"/>
    <w:rsid w:val="009928DC"/>
    <w:rsid w:val="009928F5"/>
    <w:rsid w:val="00992902"/>
    <w:rsid w:val="0099294D"/>
    <w:rsid w:val="00992975"/>
    <w:rsid w:val="00992988"/>
    <w:rsid w:val="009929EC"/>
    <w:rsid w:val="00992A78"/>
    <w:rsid w:val="00992B0F"/>
    <w:rsid w:val="00992B1F"/>
    <w:rsid w:val="00992B24"/>
    <w:rsid w:val="00992B8C"/>
    <w:rsid w:val="00992CA8"/>
    <w:rsid w:val="00992D03"/>
    <w:rsid w:val="00992D85"/>
    <w:rsid w:val="00992DB0"/>
    <w:rsid w:val="00992DD1"/>
    <w:rsid w:val="00992E0D"/>
    <w:rsid w:val="00992E18"/>
    <w:rsid w:val="00992E72"/>
    <w:rsid w:val="00992EDD"/>
    <w:rsid w:val="00992EF5"/>
    <w:rsid w:val="00992F55"/>
    <w:rsid w:val="00992F94"/>
    <w:rsid w:val="00992FB9"/>
    <w:rsid w:val="00993044"/>
    <w:rsid w:val="00993179"/>
    <w:rsid w:val="0099325E"/>
    <w:rsid w:val="009932C2"/>
    <w:rsid w:val="009932DB"/>
    <w:rsid w:val="00993318"/>
    <w:rsid w:val="0099335B"/>
    <w:rsid w:val="00993455"/>
    <w:rsid w:val="0099346B"/>
    <w:rsid w:val="00993507"/>
    <w:rsid w:val="0099364B"/>
    <w:rsid w:val="00993650"/>
    <w:rsid w:val="00993697"/>
    <w:rsid w:val="00993796"/>
    <w:rsid w:val="009937C3"/>
    <w:rsid w:val="009937C6"/>
    <w:rsid w:val="00993802"/>
    <w:rsid w:val="0099389A"/>
    <w:rsid w:val="009938B4"/>
    <w:rsid w:val="009938D6"/>
    <w:rsid w:val="00993948"/>
    <w:rsid w:val="009939BF"/>
    <w:rsid w:val="00993A5A"/>
    <w:rsid w:val="00993AA8"/>
    <w:rsid w:val="00993AAF"/>
    <w:rsid w:val="00993B31"/>
    <w:rsid w:val="00993B75"/>
    <w:rsid w:val="00993BE9"/>
    <w:rsid w:val="00993C28"/>
    <w:rsid w:val="00993C2B"/>
    <w:rsid w:val="00993C4B"/>
    <w:rsid w:val="00993C66"/>
    <w:rsid w:val="00993CFD"/>
    <w:rsid w:val="00993D85"/>
    <w:rsid w:val="00993E47"/>
    <w:rsid w:val="00993EC8"/>
    <w:rsid w:val="00993ED6"/>
    <w:rsid w:val="00993F06"/>
    <w:rsid w:val="00993F18"/>
    <w:rsid w:val="00993F45"/>
    <w:rsid w:val="00993F60"/>
    <w:rsid w:val="00993F87"/>
    <w:rsid w:val="00993FBB"/>
    <w:rsid w:val="0099405D"/>
    <w:rsid w:val="009940B2"/>
    <w:rsid w:val="009940CC"/>
    <w:rsid w:val="00994194"/>
    <w:rsid w:val="009941ED"/>
    <w:rsid w:val="00994218"/>
    <w:rsid w:val="00994299"/>
    <w:rsid w:val="009943EB"/>
    <w:rsid w:val="009943EC"/>
    <w:rsid w:val="0099441A"/>
    <w:rsid w:val="00994431"/>
    <w:rsid w:val="00994467"/>
    <w:rsid w:val="009944B3"/>
    <w:rsid w:val="009945B0"/>
    <w:rsid w:val="009945C8"/>
    <w:rsid w:val="009945D9"/>
    <w:rsid w:val="009945E0"/>
    <w:rsid w:val="009945FF"/>
    <w:rsid w:val="00994637"/>
    <w:rsid w:val="00994649"/>
    <w:rsid w:val="00994678"/>
    <w:rsid w:val="00994698"/>
    <w:rsid w:val="009946B2"/>
    <w:rsid w:val="009946DB"/>
    <w:rsid w:val="009947B8"/>
    <w:rsid w:val="009947BB"/>
    <w:rsid w:val="009947BE"/>
    <w:rsid w:val="0099480D"/>
    <w:rsid w:val="00994822"/>
    <w:rsid w:val="00994834"/>
    <w:rsid w:val="00994843"/>
    <w:rsid w:val="0099485B"/>
    <w:rsid w:val="009948B4"/>
    <w:rsid w:val="009948B7"/>
    <w:rsid w:val="0099490C"/>
    <w:rsid w:val="00994959"/>
    <w:rsid w:val="009949A1"/>
    <w:rsid w:val="00994A37"/>
    <w:rsid w:val="00994A47"/>
    <w:rsid w:val="00994A92"/>
    <w:rsid w:val="00994AFD"/>
    <w:rsid w:val="00994B23"/>
    <w:rsid w:val="00994B7E"/>
    <w:rsid w:val="00994B9B"/>
    <w:rsid w:val="00994BB6"/>
    <w:rsid w:val="00994C52"/>
    <w:rsid w:val="00994C8E"/>
    <w:rsid w:val="00994CA6"/>
    <w:rsid w:val="00994CEF"/>
    <w:rsid w:val="00994D57"/>
    <w:rsid w:val="00994DA1"/>
    <w:rsid w:val="00994E43"/>
    <w:rsid w:val="00994E5A"/>
    <w:rsid w:val="00994E66"/>
    <w:rsid w:val="00994E67"/>
    <w:rsid w:val="00994E84"/>
    <w:rsid w:val="00994EC8"/>
    <w:rsid w:val="00994FDC"/>
    <w:rsid w:val="009951AA"/>
    <w:rsid w:val="009951C2"/>
    <w:rsid w:val="009951CF"/>
    <w:rsid w:val="00995233"/>
    <w:rsid w:val="00995250"/>
    <w:rsid w:val="009952A8"/>
    <w:rsid w:val="0099534C"/>
    <w:rsid w:val="009953A4"/>
    <w:rsid w:val="009953DB"/>
    <w:rsid w:val="0099540C"/>
    <w:rsid w:val="009954CD"/>
    <w:rsid w:val="009954F0"/>
    <w:rsid w:val="009954F4"/>
    <w:rsid w:val="009954FF"/>
    <w:rsid w:val="00995532"/>
    <w:rsid w:val="00995611"/>
    <w:rsid w:val="0099569C"/>
    <w:rsid w:val="009956AF"/>
    <w:rsid w:val="00995702"/>
    <w:rsid w:val="00995780"/>
    <w:rsid w:val="009957E7"/>
    <w:rsid w:val="00995850"/>
    <w:rsid w:val="00995860"/>
    <w:rsid w:val="00995902"/>
    <w:rsid w:val="00995942"/>
    <w:rsid w:val="009959A1"/>
    <w:rsid w:val="009959DB"/>
    <w:rsid w:val="009959DD"/>
    <w:rsid w:val="009959E1"/>
    <w:rsid w:val="00995A3D"/>
    <w:rsid w:val="00995A79"/>
    <w:rsid w:val="00995B63"/>
    <w:rsid w:val="00995BFE"/>
    <w:rsid w:val="00995CD8"/>
    <w:rsid w:val="00995D4B"/>
    <w:rsid w:val="00995D6F"/>
    <w:rsid w:val="00995D8A"/>
    <w:rsid w:val="00995E19"/>
    <w:rsid w:val="00995E48"/>
    <w:rsid w:val="00995E76"/>
    <w:rsid w:val="00995ED6"/>
    <w:rsid w:val="00995F1A"/>
    <w:rsid w:val="00995F2E"/>
    <w:rsid w:val="00995F32"/>
    <w:rsid w:val="00995F42"/>
    <w:rsid w:val="00995F8A"/>
    <w:rsid w:val="00995FE3"/>
    <w:rsid w:val="00996046"/>
    <w:rsid w:val="0099610D"/>
    <w:rsid w:val="0099610F"/>
    <w:rsid w:val="0099615F"/>
    <w:rsid w:val="0099619F"/>
    <w:rsid w:val="009961DA"/>
    <w:rsid w:val="00996241"/>
    <w:rsid w:val="0099625E"/>
    <w:rsid w:val="00996261"/>
    <w:rsid w:val="009962DB"/>
    <w:rsid w:val="00996534"/>
    <w:rsid w:val="00996574"/>
    <w:rsid w:val="009965BF"/>
    <w:rsid w:val="009965DC"/>
    <w:rsid w:val="009965DF"/>
    <w:rsid w:val="00996693"/>
    <w:rsid w:val="009966A9"/>
    <w:rsid w:val="009966E0"/>
    <w:rsid w:val="00996706"/>
    <w:rsid w:val="0099672E"/>
    <w:rsid w:val="0099674F"/>
    <w:rsid w:val="0099686B"/>
    <w:rsid w:val="009968B8"/>
    <w:rsid w:val="009968E1"/>
    <w:rsid w:val="009969C4"/>
    <w:rsid w:val="00996A02"/>
    <w:rsid w:val="00996A41"/>
    <w:rsid w:val="00996A95"/>
    <w:rsid w:val="00996A9E"/>
    <w:rsid w:val="00996AE9"/>
    <w:rsid w:val="00996C1B"/>
    <w:rsid w:val="00996C7D"/>
    <w:rsid w:val="00996D51"/>
    <w:rsid w:val="00996D69"/>
    <w:rsid w:val="00996D8B"/>
    <w:rsid w:val="00996DD3"/>
    <w:rsid w:val="00996E12"/>
    <w:rsid w:val="00996E19"/>
    <w:rsid w:val="00996E2F"/>
    <w:rsid w:val="00996E43"/>
    <w:rsid w:val="00996E4A"/>
    <w:rsid w:val="00996E67"/>
    <w:rsid w:val="00996F90"/>
    <w:rsid w:val="0099701A"/>
    <w:rsid w:val="009970BC"/>
    <w:rsid w:val="009971A9"/>
    <w:rsid w:val="009971D5"/>
    <w:rsid w:val="009971D6"/>
    <w:rsid w:val="00997212"/>
    <w:rsid w:val="00997250"/>
    <w:rsid w:val="009972ED"/>
    <w:rsid w:val="0099738E"/>
    <w:rsid w:val="009973AD"/>
    <w:rsid w:val="009974B6"/>
    <w:rsid w:val="00997528"/>
    <w:rsid w:val="00997538"/>
    <w:rsid w:val="00997618"/>
    <w:rsid w:val="00997621"/>
    <w:rsid w:val="00997637"/>
    <w:rsid w:val="00997655"/>
    <w:rsid w:val="00997665"/>
    <w:rsid w:val="009976FB"/>
    <w:rsid w:val="00997743"/>
    <w:rsid w:val="009977AB"/>
    <w:rsid w:val="009977B2"/>
    <w:rsid w:val="009977B9"/>
    <w:rsid w:val="0099788B"/>
    <w:rsid w:val="009978DE"/>
    <w:rsid w:val="00997900"/>
    <w:rsid w:val="00997926"/>
    <w:rsid w:val="00997992"/>
    <w:rsid w:val="009979C9"/>
    <w:rsid w:val="009979CB"/>
    <w:rsid w:val="009979DE"/>
    <w:rsid w:val="00997A19"/>
    <w:rsid w:val="00997A59"/>
    <w:rsid w:val="00997A83"/>
    <w:rsid w:val="00997ADA"/>
    <w:rsid w:val="00997AFA"/>
    <w:rsid w:val="00997BA4"/>
    <w:rsid w:val="00997BB9"/>
    <w:rsid w:val="00997BCC"/>
    <w:rsid w:val="00997C5A"/>
    <w:rsid w:val="00997C7B"/>
    <w:rsid w:val="00997E02"/>
    <w:rsid w:val="00997E09"/>
    <w:rsid w:val="00997E45"/>
    <w:rsid w:val="00997E5B"/>
    <w:rsid w:val="00997E65"/>
    <w:rsid w:val="00997E7E"/>
    <w:rsid w:val="00997F2C"/>
    <w:rsid w:val="00997FDD"/>
    <w:rsid w:val="00997FE9"/>
    <w:rsid w:val="00997FEA"/>
    <w:rsid w:val="009982A7"/>
    <w:rsid w:val="0099C88F"/>
    <w:rsid w:val="009A0001"/>
    <w:rsid w:val="009A002E"/>
    <w:rsid w:val="009A00A1"/>
    <w:rsid w:val="009A00CA"/>
    <w:rsid w:val="009A00CD"/>
    <w:rsid w:val="009A0163"/>
    <w:rsid w:val="009A01D4"/>
    <w:rsid w:val="009A01DA"/>
    <w:rsid w:val="009A021D"/>
    <w:rsid w:val="009A0228"/>
    <w:rsid w:val="009A02C0"/>
    <w:rsid w:val="009A0328"/>
    <w:rsid w:val="009A0343"/>
    <w:rsid w:val="009A046E"/>
    <w:rsid w:val="009A04D1"/>
    <w:rsid w:val="009A04EA"/>
    <w:rsid w:val="009A0507"/>
    <w:rsid w:val="009A0518"/>
    <w:rsid w:val="009A055A"/>
    <w:rsid w:val="009A055D"/>
    <w:rsid w:val="009A057C"/>
    <w:rsid w:val="009A05B2"/>
    <w:rsid w:val="009A05F1"/>
    <w:rsid w:val="009A06D0"/>
    <w:rsid w:val="009A06D1"/>
    <w:rsid w:val="009A074A"/>
    <w:rsid w:val="009A0752"/>
    <w:rsid w:val="009A0862"/>
    <w:rsid w:val="009A086B"/>
    <w:rsid w:val="009A087D"/>
    <w:rsid w:val="009A08B7"/>
    <w:rsid w:val="009A08D5"/>
    <w:rsid w:val="009A090B"/>
    <w:rsid w:val="009A0922"/>
    <w:rsid w:val="009A0969"/>
    <w:rsid w:val="009A0977"/>
    <w:rsid w:val="009A09A6"/>
    <w:rsid w:val="009A0A1C"/>
    <w:rsid w:val="009A0A31"/>
    <w:rsid w:val="009A0A4C"/>
    <w:rsid w:val="009A0BDB"/>
    <w:rsid w:val="009A0C11"/>
    <w:rsid w:val="009A0C1F"/>
    <w:rsid w:val="009A0C98"/>
    <w:rsid w:val="009A0CC7"/>
    <w:rsid w:val="009A0CE2"/>
    <w:rsid w:val="009A0D46"/>
    <w:rsid w:val="009A0D8D"/>
    <w:rsid w:val="009A0DA9"/>
    <w:rsid w:val="009A0DD9"/>
    <w:rsid w:val="009A0E6A"/>
    <w:rsid w:val="009A0ED9"/>
    <w:rsid w:val="009A0EE8"/>
    <w:rsid w:val="009A0EEB"/>
    <w:rsid w:val="009A0F1A"/>
    <w:rsid w:val="009A108C"/>
    <w:rsid w:val="009A109E"/>
    <w:rsid w:val="009A10D7"/>
    <w:rsid w:val="009A10DB"/>
    <w:rsid w:val="009A1170"/>
    <w:rsid w:val="009A1235"/>
    <w:rsid w:val="009A1270"/>
    <w:rsid w:val="009A1294"/>
    <w:rsid w:val="009A129A"/>
    <w:rsid w:val="009A1348"/>
    <w:rsid w:val="009A136C"/>
    <w:rsid w:val="009A1385"/>
    <w:rsid w:val="009A13F3"/>
    <w:rsid w:val="009A13F5"/>
    <w:rsid w:val="009A14C7"/>
    <w:rsid w:val="009A14FF"/>
    <w:rsid w:val="009A1540"/>
    <w:rsid w:val="009A156C"/>
    <w:rsid w:val="009A1595"/>
    <w:rsid w:val="009A15D2"/>
    <w:rsid w:val="009A1629"/>
    <w:rsid w:val="009A1663"/>
    <w:rsid w:val="009A1673"/>
    <w:rsid w:val="009A1693"/>
    <w:rsid w:val="009A16BD"/>
    <w:rsid w:val="009A173E"/>
    <w:rsid w:val="009A17B3"/>
    <w:rsid w:val="009A17C4"/>
    <w:rsid w:val="009A17E1"/>
    <w:rsid w:val="009A17E3"/>
    <w:rsid w:val="009A1829"/>
    <w:rsid w:val="009A1901"/>
    <w:rsid w:val="009A1911"/>
    <w:rsid w:val="009A1927"/>
    <w:rsid w:val="009A196C"/>
    <w:rsid w:val="009A19F8"/>
    <w:rsid w:val="009A1A8F"/>
    <w:rsid w:val="009A1AE6"/>
    <w:rsid w:val="009A1B11"/>
    <w:rsid w:val="009A1B95"/>
    <w:rsid w:val="009A1BA0"/>
    <w:rsid w:val="009A1BC0"/>
    <w:rsid w:val="009A1BE3"/>
    <w:rsid w:val="009A1BE5"/>
    <w:rsid w:val="009A1BEC"/>
    <w:rsid w:val="009A1DFC"/>
    <w:rsid w:val="009A1E4C"/>
    <w:rsid w:val="009A1EDD"/>
    <w:rsid w:val="009A1F51"/>
    <w:rsid w:val="009A1F6C"/>
    <w:rsid w:val="009A2011"/>
    <w:rsid w:val="009A204F"/>
    <w:rsid w:val="009A2073"/>
    <w:rsid w:val="009A2131"/>
    <w:rsid w:val="009A213D"/>
    <w:rsid w:val="009A2145"/>
    <w:rsid w:val="009A216B"/>
    <w:rsid w:val="009A21D8"/>
    <w:rsid w:val="009A21E8"/>
    <w:rsid w:val="009A2215"/>
    <w:rsid w:val="009A2244"/>
    <w:rsid w:val="009A2268"/>
    <w:rsid w:val="009A2302"/>
    <w:rsid w:val="009A232D"/>
    <w:rsid w:val="009A2330"/>
    <w:rsid w:val="009A23AB"/>
    <w:rsid w:val="009A2443"/>
    <w:rsid w:val="009A2448"/>
    <w:rsid w:val="009A247B"/>
    <w:rsid w:val="009A2572"/>
    <w:rsid w:val="009A25E4"/>
    <w:rsid w:val="009A2618"/>
    <w:rsid w:val="009A2622"/>
    <w:rsid w:val="009A265D"/>
    <w:rsid w:val="009A2671"/>
    <w:rsid w:val="009A26B8"/>
    <w:rsid w:val="009A2733"/>
    <w:rsid w:val="009A2744"/>
    <w:rsid w:val="009A27FB"/>
    <w:rsid w:val="009A284A"/>
    <w:rsid w:val="009A2871"/>
    <w:rsid w:val="009A28F7"/>
    <w:rsid w:val="009A28FD"/>
    <w:rsid w:val="009A2904"/>
    <w:rsid w:val="009A299F"/>
    <w:rsid w:val="009A29C7"/>
    <w:rsid w:val="009A2B91"/>
    <w:rsid w:val="009A2BB7"/>
    <w:rsid w:val="009A2BE4"/>
    <w:rsid w:val="009A2C0A"/>
    <w:rsid w:val="009A2C67"/>
    <w:rsid w:val="009A2C82"/>
    <w:rsid w:val="009A2C91"/>
    <w:rsid w:val="009A2DD8"/>
    <w:rsid w:val="009A2E11"/>
    <w:rsid w:val="009A2E46"/>
    <w:rsid w:val="009A2F04"/>
    <w:rsid w:val="009A30BD"/>
    <w:rsid w:val="009A30E4"/>
    <w:rsid w:val="009A3106"/>
    <w:rsid w:val="009A3158"/>
    <w:rsid w:val="009A325F"/>
    <w:rsid w:val="009A32C3"/>
    <w:rsid w:val="009A32D1"/>
    <w:rsid w:val="009A32DB"/>
    <w:rsid w:val="009A3369"/>
    <w:rsid w:val="009A33A3"/>
    <w:rsid w:val="009A33AA"/>
    <w:rsid w:val="009A33F1"/>
    <w:rsid w:val="009A33F9"/>
    <w:rsid w:val="009A343D"/>
    <w:rsid w:val="009A3476"/>
    <w:rsid w:val="009A347F"/>
    <w:rsid w:val="009A34D4"/>
    <w:rsid w:val="009A35BD"/>
    <w:rsid w:val="009A363E"/>
    <w:rsid w:val="009A364A"/>
    <w:rsid w:val="009A366A"/>
    <w:rsid w:val="009A3680"/>
    <w:rsid w:val="009A3699"/>
    <w:rsid w:val="009A36D0"/>
    <w:rsid w:val="009A36F1"/>
    <w:rsid w:val="009A36F5"/>
    <w:rsid w:val="009A3706"/>
    <w:rsid w:val="009A37A4"/>
    <w:rsid w:val="009A37EE"/>
    <w:rsid w:val="009A390C"/>
    <w:rsid w:val="009A395E"/>
    <w:rsid w:val="009A399C"/>
    <w:rsid w:val="009A3BCF"/>
    <w:rsid w:val="009A3BE3"/>
    <w:rsid w:val="009A3BE4"/>
    <w:rsid w:val="009A3C66"/>
    <w:rsid w:val="009A3C6E"/>
    <w:rsid w:val="009A3C96"/>
    <w:rsid w:val="009A3CB4"/>
    <w:rsid w:val="009A3CB8"/>
    <w:rsid w:val="009A3CF5"/>
    <w:rsid w:val="009A3D01"/>
    <w:rsid w:val="009A3D71"/>
    <w:rsid w:val="009A3D7D"/>
    <w:rsid w:val="009A3D97"/>
    <w:rsid w:val="009A3E38"/>
    <w:rsid w:val="009A3E65"/>
    <w:rsid w:val="009A3E67"/>
    <w:rsid w:val="009A3EC9"/>
    <w:rsid w:val="009A4072"/>
    <w:rsid w:val="009A40B9"/>
    <w:rsid w:val="009A4113"/>
    <w:rsid w:val="009A4145"/>
    <w:rsid w:val="009A416D"/>
    <w:rsid w:val="009A4192"/>
    <w:rsid w:val="009A4195"/>
    <w:rsid w:val="009A41F3"/>
    <w:rsid w:val="009A41FE"/>
    <w:rsid w:val="009A422E"/>
    <w:rsid w:val="009A4279"/>
    <w:rsid w:val="009A449E"/>
    <w:rsid w:val="009A4551"/>
    <w:rsid w:val="009A4576"/>
    <w:rsid w:val="009A4653"/>
    <w:rsid w:val="009A4668"/>
    <w:rsid w:val="009A46EF"/>
    <w:rsid w:val="009A475B"/>
    <w:rsid w:val="009A4765"/>
    <w:rsid w:val="009A47B8"/>
    <w:rsid w:val="009A485E"/>
    <w:rsid w:val="009A487D"/>
    <w:rsid w:val="009A487E"/>
    <w:rsid w:val="009A489F"/>
    <w:rsid w:val="009A48A5"/>
    <w:rsid w:val="009A48D0"/>
    <w:rsid w:val="009A48D2"/>
    <w:rsid w:val="009A4935"/>
    <w:rsid w:val="009A4976"/>
    <w:rsid w:val="009A49CC"/>
    <w:rsid w:val="009A49DC"/>
    <w:rsid w:val="009A4A07"/>
    <w:rsid w:val="009A4A74"/>
    <w:rsid w:val="009A4B1E"/>
    <w:rsid w:val="009A4B7B"/>
    <w:rsid w:val="009A4B8A"/>
    <w:rsid w:val="009A4C61"/>
    <w:rsid w:val="009A4C90"/>
    <w:rsid w:val="009A4C92"/>
    <w:rsid w:val="009A4CF8"/>
    <w:rsid w:val="009A4D69"/>
    <w:rsid w:val="009A4DDB"/>
    <w:rsid w:val="009A4DE8"/>
    <w:rsid w:val="009A4E37"/>
    <w:rsid w:val="009A4E72"/>
    <w:rsid w:val="009A4EC9"/>
    <w:rsid w:val="009A4F23"/>
    <w:rsid w:val="009A4F4B"/>
    <w:rsid w:val="009A4F9C"/>
    <w:rsid w:val="009A506E"/>
    <w:rsid w:val="009A5089"/>
    <w:rsid w:val="009A50B3"/>
    <w:rsid w:val="009A5147"/>
    <w:rsid w:val="009A515D"/>
    <w:rsid w:val="009A5183"/>
    <w:rsid w:val="009A51BB"/>
    <w:rsid w:val="009A51E0"/>
    <w:rsid w:val="009A5201"/>
    <w:rsid w:val="009A5228"/>
    <w:rsid w:val="009A52D8"/>
    <w:rsid w:val="009A52FC"/>
    <w:rsid w:val="009A5380"/>
    <w:rsid w:val="009A54D2"/>
    <w:rsid w:val="009A5512"/>
    <w:rsid w:val="009A5556"/>
    <w:rsid w:val="009A5559"/>
    <w:rsid w:val="009A5566"/>
    <w:rsid w:val="009A5567"/>
    <w:rsid w:val="009A5680"/>
    <w:rsid w:val="009A56CE"/>
    <w:rsid w:val="009A5733"/>
    <w:rsid w:val="009A5759"/>
    <w:rsid w:val="009A57C0"/>
    <w:rsid w:val="009A57E2"/>
    <w:rsid w:val="009A57FF"/>
    <w:rsid w:val="009A58FE"/>
    <w:rsid w:val="009A596C"/>
    <w:rsid w:val="009A59E2"/>
    <w:rsid w:val="009A5A00"/>
    <w:rsid w:val="009A5A87"/>
    <w:rsid w:val="009A5B90"/>
    <w:rsid w:val="009A5B96"/>
    <w:rsid w:val="009A5BAB"/>
    <w:rsid w:val="009A5BDA"/>
    <w:rsid w:val="009A5BEA"/>
    <w:rsid w:val="009A5C4D"/>
    <w:rsid w:val="009A5C91"/>
    <w:rsid w:val="009A5CA8"/>
    <w:rsid w:val="009A5CF8"/>
    <w:rsid w:val="009A5D30"/>
    <w:rsid w:val="009A5DBF"/>
    <w:rsid w:val="009A5DCB"/>
    <w:rsid w:val="009A5E63"/>
    <w:rsid w:val="009A5E6D"/>
    <w:rsid w:val="009A5F1C"/>
    <w:rsid w:val="009A5F31"/>
    <w:rsid w:val="009A5FD3"/>
    <w:rsid w:val="009A6054"/>
    <w:rsid w:val="009A6072"/>
    <w:rsid w:val="009A60A6"/>
    <w:rsid w:val="009A60C2"/>
    <w:rsid w:val="009A618A"/>
    <w:rsid w:val="009A6199"/>
    <w:rsid w:val="009A6208"/>
    <w:rsid w:val="009A6264"/>
    <w:rsid w:val="009A6269"/>
    <w:rsid w:val="009A628E"/>
    <w:rsid w:val="009A629D"/>
    <w:rsid w:val="009A62A7"/>
    <w:rsid w:val="009A62CC"/>
    <w:rsid w:val="009A6314"/>
    <w:rsid w:val="009A6368"/>
    <w:rsid w:val="009A6396"/>
    <w:rsid w:val="009A63AB"/>
    <w:rsid w:val="009A63B7"/>
    <w:rsid w:val="009A6487"/>
    <w:rsid w:val="009A64F1"/>
    <w:rsid w:val="009A660B"/>
    <w:rsid w:val="009A6621"/>
    <w:rsid w:val="009A663B"/>
    <w:rsid w:val="009A6688"/>
    <w:rsid w:val="009A6692"/>
    <w:rsid w:val="009A673E"/>
    <w:rsid w:val="009A67A6"/>
    <w:rsid w:val="009A67B9"/>
    <w:rsid w:val="009A67E3"/>
    <w:rsid w:val="009A6A15"/>
    <w:rsid w:val="009A6A8B"/>
    <w:rsid w:val="009A6A9B"/>
    <w:rsid w:val="009A6AE6"/>
    <w:rsid w:val="009A6B2C"/>
    <w:rsid w:val="009A6B7C"/>
    <w:rsid w:val="009A6B9C"/>
    <w:rsid w:val="009A6C15"/>
    <w:rsid w:val="009A6C2C"/>
    <w:rsid w:val="009A6C78"/>
    <w:rsid w:val="009A6C7A"/>
    <w:rsid w:val="009A6CB8"/>
    <w:rsid w:val="009A6D39"/>
    <w:rsid w:val="009A6D48"/>
    <w:rsid w:val="009A6D5D"/>
    <w:rsid w:val="009A6D8A"/>
    <w:rsid w:val="009A6DCD"/>
    <w:rsid w:val="009A6E20"/>
    <w:rsid w:val="009A6E4D"/>
    <w:rsid w:val="009A6F85"/>
    <w:rsid w:val="009A6FA0"/>
    <w:rsid w:val="009A6FBA"/>
    <w:rsid w:val="009A6FC1"/>
    <w:rsid w:val="009A7015"/>
    <w:rsid w:val="009A701A"/>
    <w:rsid w:val="009A70D4"/>
    <w:rsid w:val="009A70F6"/>
    <w:rsid w:val="009A720E"/>
    <w:rsid w:val="009A7229"/>
    <w:rsid w:val="009A723E"/>
    <w:rsid w:val="009A725A"/>
    <w:rsid w:val="009A727A"/>
    <w:rsid w:val="009A72A6"/>
    <w:rsid w:val="009A72F5"/>
    <w:rsid w:val="009A733C"/>
    <w:rsid w:val="009A7399"/>
    <w:rsid w:val="009A73C6"/>
    <w:rsid w:val="009A7463"/>
    <w:rsid w:val="009A7473"/>
    <w:rsid w:val="009A7523"/>
    <w:rsid w:val="009A752A"/>
    <w:rsid w:val="009A759A"/>
    <w:rsid w:val="009A75DB"/>
    <w:rsid w:val="009A7693"/>
    <w:rsid w:val="009A76D1"/>
    <w:rsid w:val="009A770B"/>
    <w:rsid w:val="009A772A"/>
    <w:rsid w:val="009A77D4"/>
    <w:rsid w:val="009A77D8"/>
    <w:rsid w:val="009A7851"/>
    <w:rsid w:val="009A78CB"/>
    <w:rsid w:val="009A791B"/>
    <w:rsid w:val="009A7948"/>
    <w:rsid w:val="009A7986"/>
    <w:rsid w:val="009A7B1C"/>
    <w:rsid w:val="009A7B6D"/>
    <w:rsid w:val="009A7B6E"/>
    <w:rsid w:val="009A7B81"/>
    <w:rsid w:val="009A7D17"/>
    <w:rsid w:val="009A7D47"/>
    <w:rsid w:val="009A7DE5"/>
    <w:rsid w:val="009A7DF9"/>
    <w:rsid w:val="009A7E6D"/>
    <w:rsid w:val="009A7EC3"/>
    <w:rsid w:val="009A7ED8"/>
    <w:rsid w:val="009A7F64"/>
    <w:rsid w:val="009A7F90"/>
    <w:rsid w:val="009AA544"/>
    <w:rsid w:val="009B00C8"/>
    <w:rsid w:val="009B00E9"/>
    <w:rsid w:val="009B00EE"/>
    <w:rsid w:val="009B0120"/>
    <w:rsid w:val="009B012D"/>
    <w:rsid w:val="009B01DE"/>
    <w:rsid w:val="009B01FD"/>
    <w:rsid w:val="009B024D"/>
    <w:rsid w:val="009B0253"/>
    <w:rsid w:val="009B0261"/>
    <w:rsid w:val="009B0302"/>
    <w:rsid w:val="009B0307"/>
    <w:rsid w:val="009B0328"/>
    <w:rsid w:val="009B0347"/>
    <w:rsid w:val="009B039F"/>
    <w:rsid w:val="009B041E"/>
    <w:rsid w:val="009B0458"/>
    <w:rsid w:val="009B0465"/>
    <w:rsid w:val="009B049A"/>
    <w:rsid w:val="009B04B2"/>
    <w:rsid w:val="009B0578"/>
    <w:rsid w:val="009B060F"/>
    <w:rsid w:val="009B061A"/>
    <w:rsid w:val="009B0644"/>
    <w:rsid w:val="009B0668"/>
    <w:rsid w:val="009B067A"/>
    <w:rsid w:val="009B0757"/>
    <w:rsid w:val="009B07AF"/>
    <w:rsid w:val="009B0847"/>
    <w:rsid w:val="009B0872"/>
    <w:rsid w:val="009B08F9"/>
    <w:rsid w:val="009B097B"/>
    <w:rsid w:val="009B09C2"/>
    <w:rsid w:val="009B0A0B"/>
    <w:rsid w:val="009B0A27"/>
    <w:rsid w:val="009B0A88"/>
    <w:rsid w:val="009B0B7E"/>
    <w:rsid w:val="009B0B9C"/>
    <w:rsid w:val="009B0BB9"/>
    <w:rsid w:val="009B0BE3"/>
    <w:rsid w:val="009B0C11"/>
    <w:rsid w:val="009B0C30"/>
    <w:rsid w:val="009B0C55"/>
    <w:rsid w:val="009B0C9D"/>
    <w:rsid w:val="009B0CA5"/>
    <w:rsid w:val="009B0CFF"/>
    <w:rsid w:val="009B0D08"/>
    <w:rsid w:val="009B0D1E"/>
    <w:rsid w:val="009B0E99"/>
    <w:rsid w:val="009B0EDC"/>
    <w:rsid w:val="009B0F13"/>
    <w:rsid w:val="009B0F5E"/>
    <w:rsid w:val="009B0FAD"/>
    <w:rsid w:val="009B1027"/>
    <w:rsid w:val="009B105F"/>
    <w:rsid w:val="009B1131"/>
    <w:rsid w:val="009B122B"/>
    <w:rsid w:val="009B122F"/>
    <w:rsid w:val="009B123F"/>
    <w:rsid w:val="009B124F"/>
    <w:rsid w:val="009B1269"/>
    <w:rsid w:val="009B129A"/>
    <w:rsid w:val="009B136E"/>
    <w:rsid w:val="009B13BD"/>
    <w:rsid w:val="009B13F4"/>
    <w:rsid w:val="009B143E"/>
    <w:rsid w:val="009B1445"/>
    <w:rsid w:val="009B1465"/>
    <w:rsid w:val="009B1482"/>
    <w:rsid w:val="009B14D4"/>
    <w:rsid w:val="009B159E"/>
    <w:rsid w:val="009B1690"/>
    <w:rsid w:val="009B16D9"/>
    <w:rsid w:val="009B1711"/>
    <w:rsid w:val="009B1735"/>
    <w:rsid w:val="009B1770"/>
    <w:rsid w:val="009B1790"/>
    <w:rsid w:val="009B17B2"/>
    <w:rsid w:val="009B17F8"/>
    <w:rsid w:val="009B1804"/>
    <w:rsid w:val="009B1839"/>
    <w:rsid w:val="009B1852"/>
    <w:rsid w:val="009B1941"/>
    <w:rsid w:val="009B198F"/>
    <w:rsid w:val="009B19B2"/>
    <w:rsid w:val="009B19DE"/>
    <w:rsid w:val="009B1A47"/>
    <w:rsid w:val="009B1AC6"/>
    <w:rsid w:val="009B1ADC"/>
    <w:rsid w:val="009B1AF9"/>
    <w:rsid w:val="009B1B83"/>
    <w:rsid w:val="009B1BEC"/>
    <w:rsid w:val="009B1C29"/>
    <w:rsid w:val="009B1C92"/>
    <w:rsid w:val="009B1C94"/>
    <w:rsid w:val="009B1C98"/>
    <w:rsid w:val="009B1C9C"/>
    <w:rsid w:val="009B1CAC"/>
    <w:rsid w:val="009B1D23"/>
    <w:rsid w:val="009B1D27"/>
    <w:rsid w:val="009B1D48"/>
    <w:rsid w:val="009B1D68"/>
    <w:rsid w:val="009B1E09"/>
    <w:rsid w:val="009B1EAA"/>
    <w:rsid w:val="009B1EFD"/>
    <w:rsid w:val="009B1F35"/>
    <w:rsid w:val="009B1F71"/>
    <w:rsid w:val="009B1FC6"/>
    <w:rsid w:val="009B2008"/>
    <w:rsid w:val="009B2079"/>
    <w:rsid w:val="009B207A"/>
    <w:rsid w:val="009B2126"/>
    <w:rsid w:val="009B2137"/>
    <w:rsid w:val="009B2157"/>
    <w:rsid w:val="009B2165"/>
    <w:rsid w:val="009B2185"/>
    <w:rsid w:val="009B2196"/>
    <w:rsid w:val="009B21B0"/>
    <w:rsid w:val="009B232A"/>
    <w:rsid w:val="009B2393"/>
    <w:rsid w:val="009B23E5"/>
    <w:rsid w:val="009B249A"/>
    <w:rsid w:val="009B24AF"/>
    <w:rsid w:val="009B24E8"/>
    <w:rsid w:val="009B252C"/>
    <w:rsid w:val="009B253E"/>
    <w:rsid w:val="009B256C"/>
    <w:rsid w:val="009B2584"/>
    <w:rsid w:val="009B2617"/>
    <w:rsid w:val="009B2652"/>
    <w:rsid w:val="009B26DE"/>
    <w:rsid w:val="009B2715"/>
    <w:rsid w:val="009B274C"/>
    <w:rsid w:val="009B2792"/>
    <w:rsid w:val="009B27AE"/>
    <w:rsid w:val="009B27F7"/>
    <w:rsid w:val="009B2807"/>
    <w:rsid w:val="009B283D"/>
    <w:rsid w:val="009B2913"/>
    <w:rsid w:val="009B291A"/>
    <w:rsid w:val="009B2961"/>
    <w:rsid w:val="009B2988"/>
    <w:rsid w:val="009B2995"/>
    <w:rsid w:val="009B29DD"/>
    <w:rsid w:val="009B29E5"/>
    <w:rsid w:val="009B2A05"/>
    <w:rsid w:val="009B2B22"/>
    <w:rsid w:val="009B2C18"/>
    <w:rsid w:val="009B2C4F"/>
    <w:rsid w:val="009B2C58"/>
    <w:rsid w:val="009B2C72"/>
    <w:rsid w:val="009B2C85"/>
    <w:rsid w:val="009B2CFA"/>
    <w:rsid w:val="009B2D01"/>
    <w:rsid w:val="009B2D15"/>
    <w:rsid w:val="009B2DD4"/>
    <w:rsid w:val="009B2DED"/>
    <w:rsid w:val="009B2E0C"/>
    <w:rsid w:val="009B2E2A"/>
    <w:rsid w:val="009B2F50"/>
    <w:rsid w:val="009B2FBD"/>
    <w:rsid w:val="009B2FCC"/>
    <w:rsid w:val="009B2FF8"/>
    <w:rsid w:val="009B30FA"/>
    <w:rsid w:val="009B312F"/>
    <w:rsid w:val="009B313A"/>
    <w:rsid w:val="009B3174"/>
    <w:rsid w:val="009B31A9"/>
    <w:rsid w:val="009B31C7"/>
    <w:rsid w:val="009B3217"/>
    <w:rsid w:val="009B326D"/>
    <w:rsid w:val="009B32D7"/>
    <w:rsid w:val="009B32EE"/>
    <w:rsid w:val="009B3313"/>
    <w:rsid w:val="009B3386"/>
    <w:rsid w:val="009B33D0"/>
    <w:rsid w:val="009B33E1"/>
    <w:rsid w:val="009B342C"/>
    <w:rsid w:val="009B3442"/>
    <w:rsid w:val="009B3458"/>
    <w:rsid w:val="009B3483"/>
    <w:rsid w:val="009B3510"/>
    <w:rsid w:val="009B3514"/>
    <w:rsid w:val="009B351A"/>
    <w:rsid w:val="009B3554"/>
    <w:rsid w:val="009B35C1"/>
    <w:rsid w:val="009B35C6"/>
    <w:rsid w:val="009B36C7"/>
    <w:rsid w:val="009B36D5"/>
    <w:rsid w:val="009B36DA"/>
    <w:rsid w:val="009B37FA"/>
    <w:rsid w:val="009B3813"/>
    <w:rsid w:val="009B3853"/>
    <w:rsid w:val="009B387A"/>
    <w:rsid w:val="009B38CE"/>
    <w:rsid w:val="009B38D6"/>
    <w:rsid w:val="009B393A"/>
    <w:rsid w:val="009B393D"/>
    <w:rsid w:val="009B395E"/>
    <w:rsid w:val="009B3961"/>
    <w:rsid w:val="009B3971"/>
    <w:rsid w:val="009B39D0"/>
    <w:rsid w:val="009B3ABA"/>
    <w:rsid w:val="009B3B59"/>
    <w:rsid w:val="009B3B8D"/>
    <w:rsid w:val="009B3B9D"/>
    <w:rsid w:val="009B3BE1"/>
    <w:rsid w:val="009B3C10"/>
    <w:rsid w:val="009B3CDB"/>
    <w:rsid w:val="009B3CF9"/>
    <w:rsid w:val="009B3D2E"/>
    <w:rsid w:val="009B3D6B"/>
    <w:rsid w:val="009B3D83"/>
    <w:rsid w:val="009B3DE1"/>
    <w:rsid w:val="009B3E73"/>
    <w:rsid w:val="009B3E82"/>
    <w:rsid w:val="009B3EC9"/>
    <w:rsid w:val="009B3EDC"/>
    <w:rsid w:val="009B3F5E"/>
    <w:rsid w:val="009B3F91"/>
    <w:rsid w:val="009B3FE2"/>
    <w:rsid w:val="009B3FEB"/>
    <w:rsid w:val="009B3FF4"/>
    <w:rsid w:val="009B40BB"/>
    <w:rsid w:val="009B40F8"/>
    <w:rsid w:val="009B411F"/>
    <w:rsid w:val="009B412B"/>
    <w:rsid w:val="009B41B8"/>
    <w:rsid w:val="009B4262"/>
    <w:rsid w:val="009B429F"/>
    <w:rsid w:val="009B42DA"/>
    <w:rsid w:val="009B4349"/>
    <w:rsid w:val="009B4370"/>
    <w:rsid w:val="009B4399"/>
    <w:rsid w:val="009B43A8"/>
    <w:rsid w:val="009B447B"/>
    <w:rsid w:val="009B4507"/>
    <w:rsid w:val="009B4647"/>
    <w:rsid w:val="009B4674"/>
    <w:rsid w:val="009B46C6"/>
    <w:rsid w:val="009B46CC"/>
    <w:rsid w:val="009B46D0"/>
    <w:rsid w:val="009B472F"/>
    <w:rsid w:val="009B479B"/>
    <w:rsid w:val="009B47A5"/>
    <w:rsid w:val="009B4992"/>
    <w:rsid w:val="009B49AC"/>
    <w:rsid w:val="009B4A13"/>
    <w:rsid w:val="009B4A23"/>
    <w:rsid w:val="009B4A4A"/>
    <w:rsid w:val="009B4AE0"/>
    <w:rsid w:val="009B4B4D"/>
    <w:rsid w:val="009B4B52"/>
    <w:rsid w:val="009B4D94"/>
    <w:rsid w:val="009B4DD3"/>
    <w:rsid w:val="009B4DE6"/>
    <w:rsid w:val="009B4DF6"/>
    <w:rsid w:val="009B4E58"/>
    <w:rsid w:val="009B4F59"/>
    <w:rsid w:val="009B4F6B"/>
    <w:rsid w:val="009B4F7A"/>
    <w:rsid w:val="009B4FA5"/>
    <w:rsid w:val="009B4FE0"/>
    <w:rsid w:val="009B507E"/>
    <w:rsid w:val="009B5108"/>
    <w:rsid w:val="009B5144"/>
    <w:rsid w:val="009B51CF"/>
    <w:rsid w:val="009B51DD"/>
    <w:rsid w:val="009B5226"/>
    <w:rsid w:val="009B533F"/>
    <w:rsid w:val="009B53B6"/>
    <w:rsid w:val="009B550E"/>
    <w:rsid w:val="009B5552"/>
    <w:rsid w:val="009B556B"/>
    <w:rsid w:val="009B55DA"/>
    <w:rsid w:val="009B55E7"/>
    <w:rsid w:val="009B55E9"/>
    <w:rsid w:val="009B55FB"/>
    <w:rsid w:val="009B564F"/>
    <w:rsid w:val="009B56AC"/>
    <w:rsid w:val="009B56E9"/>
    <w:rsid w:val="009B56EC"/>
    <w:rsid w:val="009B56F6"/>
    <w:rsid w:val="009B575E"/>
    <w:rsid w:val="009B576C"/>
    <w:rsid w:val="009B57BA"/>
    <w:rsid w:val="009B57DA"/>
    <w:rsid w:val="009B5847"/>
    <w:rsid w:val="009B5882"/>
    <w:rsid w:val="009B5908"/>
    <w:rsid w:val="009B5912"/>
    <w:rsid w:val="009B5919"/>
    <w:rsid w:val="009B591B"/>
    <w:rsid w:val="009B5995"/>
    <w:rsid w:val="009B59A0"/>
    <w:rsid w:val="009B59AC"/>
    <w:rsid w:val="009B5A05"/>
    <w:rsid w:val="009B5A1C"/>
    <w:rsid w:val="009B5A2B"/>
    <w:rsid w:val="009B5A54"/>
    <w:rsid w:val="009B5A81"/>
    <w:rsid w:val="009B5ADC"/>
    <w:rsid w:val="009B5B2F"/>
    <w:rsid w:val="009B5B32"/>
    <w:rsid w:val="009B5B52"/>
    <w:rsid w:val="009B5C3C"/>
    <w:rsid w:val="009B5C4C"/>
    <w:rsid w:val="009B5DD1"/>
    <w:rsid w:val="009B5E71"/>
    <w:rsid w:val="009B5E72"/>
    <w:rsid w:val="009B5EEF"/>
    <w:rsid w:val="009B5F6C"/>
    <w:rsid w:val="009B5FC7"/>
    <w:rsid w:val="009B600E"/>
    <w:rsid w:val="009B601B"/>
    <w:rsid w:val="009B6062"/>
    <w:rsid w:val="009B6093"/>
    <w:rsid w:val="009B60C3"/>
    <w:rsid w:val="009B60EC"/>
    <w:rsid w:val="009B6181"/>
    <w:rsid w:val="009B61E7"/>
    <w:rsid w:val="009B61EA"/>
    <w:rsid w:val="009B623C"/>
    <w:rsid w:val="009B6258"/>
    <w:rsid w:val="009B62F7"/>
    <w:rsid w:val="009B6356"/>
    <w:rsid w:val="009B638E"/>
    <w:rsid w:val="009B63FE"/>
    <w:rsid w:val="009B646C"/>
    <w:rsid w:val="009B6497"/>
    <w:rsid w:val="009B64A8"/>
    <w:rsid w:val="009B652E"/>
    <w:rsid w:val="009B6548"/>
    <w:rsid w:val="009B65BE"/>
    <w:rsid w:val="009B662D"/>
    <w:rsid w:val="009B6654"/>
    <w:rsid w:val="009B6656"/>
    <w:rsid w:val="009B6792"/>
    <w:rsid w:val="009B67FC"/>
    <w:rsid w:val="009B6807"/>
    <w:rsid w:val="009B6850"/>
    <w:rsid w:val="009B6895"/>
    <w:rsid w:val="009B6968"/>
    <w:rsid w:val="009B696B"/>
    <w:rsid w:val="009B69BF"/>
    <w:rsid w:val="009B69F0"/>
    <w:rsid w:val="009B6A53"/>
    <w:rsid w:val="009B6B79"/>
    <w:rsid w:val="009B6B96"/>
    <w:rsid w:val="009B6BE9"/>
    <w:rsid w:val="009B6C12"/>
    <w:rsid w:val="009B6C3B"/>
    <w:rsid w:val="009B6C43"/>
    <w:rsid w:val="009B6C48"/>
    <w:rsid w:val="009B6C54"/>
    <w:rsid w:val="009B6CD7"/>
    <w:rsid w:val="009B6CE6"/>
    <w:rsid w:val="009B6CE7"/>
    <w:rsid w:val="009B6CF2"/>
    <w:rsid w:val="009B6D44"/>
    <w:rsid w:val="009B6D56"/>
    <w:rsid w:val="009B6D94"/>
    <w:rsid w:val="009B6DBA"/>
    <w:rsid w:val="009B6E0F"/>
    <w:rsid w:val="009B6E78"/>
    <w:rsid w:val="009B6EF3"/>
    <w:rsid w:val="009B6F96"/>
    <w:rsid w:val="009B6F9D"/>
    <w:rsid w:val="009B6FB9"/>
    <w:rsid w:val="009B6FFE"/>
    <w:rsid w:val="009B7053"/>
    <w:rsid w:val="009B7066"/>
    <w:rsid w:val="009B7069"/>
    <w:rsid w:val="009B7070"/>
    <w:rsid w:val="009B70A9"/>
    <w:rsid w:val="009B7106"/>
    <w:rsid w:val="009B7126"/>
    <w:rsid w:val="009B717F"/>
    <w:rsid w:val="009B7184"/>
    <w:rsid w:val="009B720D"/>
    <w:rsid w:val="009B7215"/>
    <w:rsid w:val="009B729F"/>
    <w:rsid w:val="009B72E7"/>
    <w:rsid w:val="009B7343"/>
    <w:rsid w:val="009B738F"/>
    <w:rsid w:val="009B739B"/>
    <w:rsid w:val="009B73B2"/>
    <w:rsid w:val="009B73B8"/>
    <w:rsid w:val="009B73C5"/>
    <w:rsid w:val="009B7418"/>
    <w:rsid w:val="009B7468"/>
    <w:rsid w:val="009B753C"/>
    <w:rsid w:val="009B754B"/>
    <w:rsid w:val="009B7608"/>
    <w:rsid w:val="009B764C"/>
    <w:rsid w:val="009B7738"/>
    <w:rsid w:val="009B7763"/>
    <w:rsid w:val="009B7778"/>
    <w:rsid w:val="009B777D"/>
    <w:rsid w:val="009B7792"/>
    <w:rsid w:val="009B77CB"/>
    <w:rsid w:val="009B77FD"/>
    <w:rsid w:val="009B7813"/>
    <w:rsid w:val="009B781D"/>
    <w:rsid w:val="009B78BF"/>
    <w:rsid w:val="009B78C7"/>
    <w:rsid w:val="009B79E1"/>
    <w:rsid w:val="009B7A12"/>
    <w:rsid w:val="009B7AF8"/>
    <w:rsid w:val="009B7B0A"/>
    <w:rsid w:val="009B7B23"/>
    <w:rsid w:val="009B7B31"/>
    <w:rsid w:val="009B7B90"/>
    <w:rsid w:val="009B7BE9"/>
    <w:rsid w:val="009B7C03"/>
    <w:rsid w:val="009B7C93"/>
    <w:rsid w:val="009B7CD7"/>
    <w:rsid w:val="009B7CFF"/>
    <w:rsid w:val="009B7D11"/>
    <w:rsid w:val="009B7DE6"/>
    <w:rsid w:val="009B7F25"/>
    <w:rsid w:val="009B7F7E"/>
    <w:rsid w:val="009B958E"/>
    <w:rsid w:val="009C0011"/>
    <w:rsid w:val="009C0025"/>
    <w:rsid w:val="009C0039"/>
    <w:rsid w:val="009C0064"/>
    <w:rsid w:val="009C010E"/>
    <w:rsid w:val="009C02B7"/>
    <w:rsid w:val="009C02FF"/>
    <w:rsid w:val="009C0304"/>
    <w:rsid w:val="009C0493"/>
    <w:rsid w:val="009C04A8"/>
    <w:rsid w:val="009C04BC"/>
    <w:rsid w:val="009C0510"/>
    <w:rsid w:val="009C05E4"/>
    <w:rsid w:val="009C061F"/>
    <w:rsid w:val="009C0664"/>
    <w:rsid w:val="009C068E"/>
    <w:rsid w:val="009C06A0"/>
    <w:rsid w:val="009C06C3"/>
    <w:rsid w:val="009C074D"/>
    <w:rsid w:val="009C079F"/>
    <w:rsid w:val="009C07BA"/>
    <w:rsid w:val="009C07E0"/>
    <w:rsid w:val="009C08E2"/>
    <w:rsid w:val="009C08E5"/>
    <w:rsid w:val="009C0929"/>
    <w:rsid w:val="009C0AB6"/>
    <w:rsid w:val="009C0B15"/>
    <w:rsid w:val="009C0B7E"/>
    <w:rsid w:val="009C0B9B"/>
    <w:rsid w:val="009C0BD6"/>
    <w:rsid w:val="009C0C07"/>
    <w:rsid w:val="009C0CA8"/>
    <w:rsid w:val="009C0CD3"/>
    <w:rsid w:val="009C0CF0"/>
    <w:rsid w:val="009C0D44"/>
    <w:rsid w:val="009C0D72"/>
    <w:rsid w:val="009C0E65"/>
    <w:rsid w:val="009C0E66"/>
    <w:rsid w:val="009C0E97"/>
    <w:rsid w:val="009C0EA8"/>
    <w:rsid w:val="009C0F6A"/>
    <w:rsid w:val="009C1017"/>
    <w:rsid w:val="009C10BB"/>
    <w:rsid w:val="009C10D2"/>
    <w:rsid w:val="009C11A3"/>
    <w:rsid w:val="009C11DF"/>
    <w:rsid w:val="009C11F3"/>
    <w:rsid w:val="009C1353"/>
    <w:rsid w:val="009C13AD"/>
    <w:rsid w:val="009C13BE"/>
    <w:rsid w:val="009C13C8"/>
    <w:rsid w:val="009C13DD"/>
    <w:rsid w:val="009C143D"/>
    <w:rsid w:val="009C14A1"/>
    <w:rsid w:val="009C14F4"/>
    <w:rsid w:val="009C1500"/>
    <w:rsid w:val="009C1504"/>
    <w:rsid w:val="009C1541"/>
    <w:rsid w:val="009C1568"/>
    <w:rsid w:val="009C161D"/>
    <w:rsid w:val="009C16B0"/>
    <w:rsid w:val="009C16C5"/>
    <w:rsid w:val="009C17A3"/>
    <w:rsid w:val="009C17B2"/>
    <w:rsid w:val="009C1878"/>
    <w:rsid w:val="009C18A0"/>
    <w:rsid w:val="009C18B4"/>
    <w:rsid w:val="009C18E4"/>
    <w:rsid w:val="009C18EC"/>
    <w:rsid w:val="009C18EF"/>
    <w:rsid w:val="009C1946"/>
    <w:rsid w:val="009C196F"/>
    <w:rsid w:val="009C19C3"/>
    <w:rsid w:val="009C19CF"/>
    <w:rsid w:val="009C1AA8"/>
    <w:rsid w:val="009C1AF2"/>
    <w:rsid w:val="009C1B6C"/>
    <w:rsid w:val="009C1BCA"/>
    <w:rsid w:val="009C1BDC"/>
    <w:rsid w:val="009C1BDE"/>
    <w:rsid w:val="009C1BFC"/>
    <w:rsid w:val="009C1C0F"/>
    <w:rsid w:val="009C1C32"/>
    <w:rsid w:val="009C1C61"/>
    <w:rsid w:val="009C1C7D"/>
    <w:rsid w:val="009C1CAA"/>
    <w:rsid w:val="009C1CBC"/>
    <w:rsid w:val="009C1CED"/>
    <w:rsid w:val="009C1E77"/>
    <w:rsid w:val="009C1E8A"/>
    <w:rsid w:val="009C1EB1"/>
    <w:rsid w:val="009C1FC9"/>
    <w:rsid w:val="009C201E"/>
    <w:rsid w:val="009C20AA"/>
    <w:rsid w:val="009C20B3"/>
    <w:rsid w:val="009C2160"/>
    <w:rsid w:val="009C218A"/>
    <w:rsid w:val="009C21F9"/>
    <w:rsid w:val="009C2206"/>
    <w:rsid w:val="009C2214"/>
    <w:rsid w:val="009C226F"/>
    <w:rsid w:val="009C229D"/>
    <w:rsid w:val="009C22C6"/>
    <w:rsid w:val="009C22D1"/>
    <w:rsid w:val="009C22D3"/>
    <w:rsid w:val="009C22E4"/>
    <w:rsid w:val="009C233C"/>
    <w:rsid w:val="009C2378"/>
    <w:rsid w:val="009C23A8"/>
    <w:rsid w:val="009C23BA"/>
    <w:rsid w:val="009C24B1"/>
    <w:rsid w:val="009C24C9"/>
    <w:rsid w:val="009C24CA"/>
    <w:rsid w:val="009C2523"/>
    <w:rsid w:val="009C254C"/>
    <w:rsid w:val="009C2604"/>
    <w:rsid w:val="009C2654"/>
    <w:rsid w:val="009C26D8"/>
    <w:rsid w:val="009C2727"/>
    <w:rsid w:val="009C273C"/>
    <w:rsid w:val="009C2793"/>
    <w:rsid w:val="009C2800"/>
    <w:rsid w:val="009C2830"/>
    <w:rsid w:val="009C28AE"/>
    <w:rsid w:val="009C2907"/>
    <w:rsid w:val="009C2932"/>
    <w:rsid w:val="009C296E"/>
    <w:rsid w:val="009C2989"/>
    <w:rsid w:val="009C29D5"/>
    <w:rsid w:val="009C2A5F"/>
    <w:rsid w:val="009C2A89"/>
    <w:rsid w:val="009C2A8F"/>
    <w:rsid w:val="009C2B14"/>
    <w:rsid w:val="009C2B35"/>
    <w:rsid w:val="009C2B39"/>
    <w:rsid w:val="009C2B5C"/>
    <w:rsid w:val="009C2B89"/>
    <w:rsid w:val="009C2C25"/>
    <w:rsid w:val="009C2C87"/>
    <w:rsid w:val="009C2D69"/>
    <w:rsid w:val="009C2DC1"/>
    <w:rsid w:val="009C2E8C"/>
    <w:rsid w:val="009C2E90"/>
    <w:rsid w:val="009C2EA7"/>
    <w:rsid w:val="009C2F79"/>
    <w:rsid w:val="009C3033"/>
    <w:rsid w:val="009C3054"/>
    <w:rsid w:val="009C30B5"/>
    <w:rsid w:val="009C30B9"/>
    <w:rsid w:val="009C3199"/>
    <w:rsid w:val="009C3202"/>
    <w:rsid w:val="009C321B"/>
    <w:rsid w:val="009C32B9"/>
    <w:rsid w:val="009C32D3"/>
    <w:rsid w:val="009C332F"/>
    <w:rsid w:val="009C3333"/>
    <w:rsid w:val="009C335C"/>
    <w:rsid w:val="009C33CE"/>
    <w:rsid w:val="009C345A"/>
    <w:rsid w:val="009C34A4"/>
    <w:rsid w:val="009C34A5"/>
    <w:rsid w:val="009C3504"/>
    <w:rsid w:val="009C350C"/>
    <w:rsid w:val="009C351E"/>
    <w:rsid w:val="009C355F"/>
    <w:rsid w:val="009C35D4"/>
    <w:rsid w:val="009C35D5"/>
    <w:rsid w:val="009C3637"/>
    <w:rsid w:val="009C364B"/>
    <w:rsid w:val="009C364C"/>
    <w:rsid w:val="009C36A8"/>
    <w:rsid w:val="009C36DA"/>
    <w:rsid w:val="009C37AC"/>
    <w:rsid w:val="009C37CF"/>
    <w:rsid w:val="009C37E5"/>
    <w:rsid w:val="009C3853"/>
    <w:rsid w:val="009C38AC"/>
    <w:rsid w:val="009C38CC"/>
    <w:rsid w:val="009C38E7"/>
    <w:rsid w:val="009C394C"/>
    <w:rsid w:val="009C3958"/>
    <w:rsid w:val="009C39F8"/>
    <w:rsid w:val="009C3A10"/>
    <w:rsid w:val="009C3A54"/>
    <w:rsid w:val="009C3A63"/>
    <w:rsid w:val="009C3A7F"/>
    <w:rsid w:val="009C3AEF"/>
    <w:rsid w:val="009C3B4D"/>
    <w:rsid w:val="009C3B62"/>
    <w:rsid w:val="009C3C3D"/>
    <w:rsid w:val="009C3C8E"/>
    <w:rsid w:val="009C3CD4"/>
    <w:rsid w:val="009C3D25"/>
    <w:rsid w:val="009C3D26"/>
    <w:rsid w:val="009C3D78"/>
    <w:rsid w:val="009C3DDF"/>
    <w:rsid w:val="009C3E27"/>
    <w:rsid w:val="009C3E7B"/>
    <w:rsid w:val="009C3F2C"/>
    <w:rsid w:val="009C3F87"/>
    <w:rsid w:val="009C3FF1"/>
    <w:rsid w:val="009C4004"/>
    <w:rsid w:val="009C4070"/>
    <w:rsid w:val="009C4080"/>
    <w:rsid w:val="009C40ED"/>
    <w:rsid w:val="009C4183"/>
    <w:rsid w:val="009C4230"/>
    <w:rsid w:val="009C4258"/>
    <w:rsid w:val="009C4266"/>
    <w:rsid w:val="009C4269"/>
    <w:rsid w:val="009C42C6"/>
    <w:rsid w:val="009C438C"/>
    <w:rsid w:val="009C4394"/>
    <w:rsid w:val="009C4443"/>
    <w:rsid w:val="009C444A"/>
    <w:rsid w:val="009C447E"/>
    <w:rsid w:val="009C44F9"/>
    <w:rsid w:val="009C4518"/>
    <w:rsid w:val="009C458F"/>
    <w:rsid w:val="009C4598"/>
    <w:rsid w:val="009C45D2"/>
    <w:rsid w:val="009C45D8"/>
    <w:rsid w:val="009C462B"/>
    <w:rsid w:val="009C46BA"/>
    <w:rsid w:val="009C4722"/>
    <w:rsid w:val="009C4725"/>
    <w:rsid w:val="009C4813"/>
    <w:rsid w:val="009C4835"/>
    <w:rsid w:val="009C48E3"/>
    <w:rsid w:val="009C4960"/>
    <w:rsid w:val="009C4961"/>
    <w:rsid w:val="009C497F"/>
    <w:rsid w:val="009C49A6"/>
    <w:rsid w:val="009C4A3B"/>
    <w:rsid w:val="009C4A9D"/>
    <w:rsid w:val="009C4AA8"/>
    <w:rsid w:val="009C4ABE"/>
    <w:rsid w:val="009C4B0C"/>
    <w:rsid w:val="009C4B14"/>
    <w:rsid w:val="009C4C71"/>
    <w:rsid w:val="009C4C75"/>
    <w:rsid w:val="009C4C76"/>
    <w:rsid w:val="009C4CA4"/>
    <w:rsid w:val="009C4CF4"/>
    <w:rsid w:val="009C4D06"/>
    <w:rsid w:val="009C4D11"/>
    <w:rsid w:val="009C4E2A"/>
    <w:rsid w:val="009C4E48"/>
    <w:rsid w:val="009C4E93"/>
    <w:rsid w:val="009C4ECB"/>
    <w:rsid w:val="009C4EDE"/>
    <w:rsid w:val="009C4F0E"/>
    <w:rsid w:val="009C4F74"/>
    <w:rsid w:val="009C4FC0"/>
    <w:rsid w:val="009C4FEA"/>
    <w:rsid w:val="009C5089"/>
    <w:rsid w:val="009C50B6"/>
    <w:rsid w:val="009C50C8"/>
    <w:rsid w:val="009C511A"/>
    <w:rsid w:val="009C5124"/>
    <w:rsid w:val="009C5140"/>
    <w:rsid w:val="009C5160"/>
    <w:rsid w:val="009C51E5"/>
    <w:rsid w:val="009C51F8"/>
    <w:rsid w:val="009C52BE"/>
    <w:rsid w:val="009C5368"/>
    <w:rsid w:val="009C53F8"/>
    <w:rsid w:val="009C5401"/>
    <w:rsid w:val="009C5484"/>
    <w:rsid w:val="009C5490"/>
    <w:rsid w:val="009C54A4"/>
    <w:rsid w:val="009C54D4"/>
    <w:rsid w:val="009C5523"/>
    <w:rsid w:val="009C5549"/>
    <w:rsid w:val="009C55EA"/>
    <w:rsid w:val="009C55EC"/>
    <w:rsid w:val="009C55FD"/>
    <w:rsid w:val="009C5616"/>
    <w:rsid w:val="009C561B"/>
    <w:rsid w:val="009C567F"/>
    <w:rsid w:val="009C5779"/>
    <w:rsid w:val="009C584F"/>
    <w:rsid w:val="009C5919"/>
    <w:rsid w:val="009C5946"/>
    <w:rsid w:val="009C5AF6"/>
    <w:rsid w:val="009C5B12"/>
    <w:rsid w:val="009C5B6D"/>
    <w:rsid w:val="009C5B6E"/>
    <w:rsid w:val="009C5C32"/>
    <w:rsid w:val="009C5C65"/>
    <w:rsid w:val="009C5C77"/>
    <w:rsid w:val="009C5D6F"/>
    <w:rsid w:val="009C5E9E"/>
    <w:rsid w:val="009C5EBA"/>
    <w:rsid w:val="009C5EBD"/>
    <w:rsid w:val="009C5EC3"/>
    <w:rsid w:val="009C5EEE"/>
    <w:rsid w:val="009C5F73"/>
    <w:rsid w:val="009C5FA6"/>
    <w:rsid w:val="009C6047"/>
    <w:rsid w:val="009C6067"/>
    <w:rsid w:val="009C611C"/>
    <w:rsid w:val="009C612E"/>
    <w:rsid w:val="009C6132"/>
    <w:rsid w:val="009C6181"/>
    <w:rsid w:val="009C6233"/>
    <w:rsid w:val="009C62C3"/>
    <w:rsid w:val="009C62D2"/>
    <w:rsid w:val="009C6327"/>
    <w:rsid w:val="009C632D"/>
    <w:rsid w:val="009C6369"/>
    <w:rsid w:val="009C63AE"/>
    <w:rsid w:val="009C63B8"/>
    <w:rsid w:val="009C63F6"/>
    <w:rsid w:val="009C6425"/>
    <w:rsid w:val="009C6467"/>
    <w:rsid w:val="009C646F"/>
    <w:rsid w:val="009C647D"/>
    <w:rsid w:val="009C64BD"/>
    <w:rsid w:val="009C64C5"/>
    <w:rsid w:val="009C6587"/>
    <w:rsid w:val="009C6608"/>
    <w:rsid w:val="009C665C"/>
    <w:rsid w:val="009C6691"/>
    <w:rsid w:val="009C6713"/>
    <w:rsid w:val="009C6757"/>
    <w:rsid w:val="009C6799"/>
    <w:rsid w:val="009C67CE"/>
    <w:rsid w:val="009C67ED"/>
    <w:rsid w:val="009C689A"/>
    <w:rsid w:val="009C6939"/>
    <w:rsid w:val="009C6947"/>
    <w:rsid w:val="009C698F"/>
    <w:rsid w:val="009C6993"/>
    <w:rsid w:val="009C69A5"/>
    <w:rsid w:val="009C6A2D"/>
    <w:rsid w:val="009C6B55"/>
    <w:rsid w:val="009C6B99"/>
    <w:rsid w:val="009C6BF6"/>
    <w:rsid w:val="009C6C40"/>
    <w:rsid w:val="009C6C77"/>
    <w:rsid w:val="009C6C90"/>
    <w:rsid w:val="009C6CBA"/>
    <w:rsid w:val="009C6CD7"/>
    <w:rsid w:val="009C6D1C"/>
    <w:rsid w:val="009C6D91"/>
    <w:rsid w:val="009C6DEB"/>
    <w:rsid w:val="009C6DF3"/>
    <w:rsid w:val="009C6DFD"/>
    <w:rsid w:val="009C6E4B"/>
    <w:rsid w:val="009C6E58"/>
    <w:rsid w:val="009C6E79"/>
    <w:rsid w:val="009C6EDA"/>
    <w:rsid w:val="009C6F46"/>
    <w:rsid w:val="009C7000"/>
    <w:rsid w:val="009C704A"/>
    <w:rsid w:val="009C70D3"/>
    <w:rsid w:val="009C71EB"/>
    <w:rsid w:val="009C7233"/>
    <w:rsid w:val="009C7249"/>
    <w:rsid w:val="009C7256"/>
    <w:rsid w:val="009C7382"/>
    <w:rsid w:val="009C738E"/>
    <w:rsid w:val="009C742D"/>
    <w:rsid w:val="009C7494"/>
    <w:rsid w:val="009C74C4"/>
    <w:rsid w:val="009C74F1"/>
    <w:rsid w:val="009C75B4"/>
    <w:rsid w:val="009C75C2"/>
    <w:rsid w:val="009C7676"/>
    <w:rsid w:val="009C7698"/>
    <w:rsid w:val="009C76B3"/>
    <w:rsid w:val="009C76F5"/>
    <w:rsid w:val="009C772F"/>
    <w:rsid w:val="009C773D"/>
    <w:rsid w:val="009C7780"/>
    <w:rsid w:val="009C77B1"/>
    <w:rsid w:val="009C77C9"/>
    <w:rsid w:val="009C7809"/>
    <w:rsid w:val="009C79CD"/>
    <w:rsid w:val="009C79CE"/>
    <w:rsid w:val="009C7A6B"/>
    <w:rsid w:val="009C7A98"/>
    <w:rsid w:val="009C7B27"/>
    <w:rsid w:val="009C7B41"/>
    <w:rsid w:val="009C7C49"/>
    <w:rsid w:val="009C7C6D"/>
    <w:rsid w:val="009C7C82"/>
    <w:rsid w:val="009C7DCA"/>
    <w:rsid w:val="009C7E52"/>
    <w:rsid w:val="009C7E80"/>
    <w:rsid w:val="009C7F64"/>
    <w:rsid w:val="009C7F98"/>
    <w:rsid w:val="009C7FD6"/>
    <w:rsid w:val="009D000E"/>
    <w:rsid w:val="009D003F"/>
    <w:rsid w:val="009D0069"/>
    <w:rsid w:val="009D0076"/>
    <w:rsid w:val="009D0181"/>
    <w:rsid w:val="009D01E0"/>
    <w:rsid w:val="009D01F0"/>
    <w:rsid w:val="009D0215"/>
    <w:rsid w:val="009D0233"/>
    <w:rsid w:val="009D0235"/>
    <w:rsid w:val="009D024B"/>
    <w:rsid w:val="009D034A"/>
    <w:rsid w:val="009D03D1"/>
    <w:rsid w:val="009D03F7"/>
    <w:rsid w:val="009D043E"/>
    <w:rsid w:val="009D0462"/>
    <w:rsid w:val="009D04B2"/>
    <w:rsid w:val="009D04CB"/>
    <w:rsid w:val="009D050B"/>
    <w:rsid w:val="009D0568"/>
    <w:rsid w:val="009D06DC"/>
    <w:rsid w:val="009D077F"/>
    <w:rsid w:val="009D0837"/>
    <w:rsid w:val="009D08CE"/>
    <w:rsid w:val="009D08E4"/>
    <w:rsid w:val="009D0969"/>
    <w:rsid w:val="009D09A3"/>
    <w:rsid w:val="009D09FF"/>
    <w:rsid w:val="009D0A65"/>
    <w:rsid w:val="009D0A94"/>
    <w:rsid w:val="009D0BDF"/>
    <w:rsid w:val="009D0C49"/>
    <w:rsid w:val="009D0C8E"/>
    <w:rsid w:val="009D0D66"/>
    <w:rsid w:val="009D0DDC"/>
    <w:rsid w:val="009D0F95"/>
    <w:rsid w:val="009D0FA2"/>
    <w:rsid w:val="009D0FE4"/>
    <w:rsid w:val="009D1039"/>
    <w:rsid w:val="009D1068"/>
    <w:rsid w:val="009D106A"/>
    <w:rsid w:val="009D1087"/>
    <w:rsid w:val="009D1118"/>
    <w:rsid w:val="009D118E"/>
    <w:rsid w:val="009D11A0"/>
    <w:rsid w:val="009D11AA"/>
    <w:rsid w:val="009D127F"/>
    <w:rsid w:val="009D1299"/>
    <w:rsid w:val="009D129F"/>
    <w:rsid w:val="009D12DF"/>
    <w:rsid w:val="009D12E6"/>
    <w:rsid w:val="009D1334"/>
    <w:rsid w:val="009D13B3"/>
    <w:rsid w:val="009D1429"/>
    <w:rsid w:val="009D142E"/>
    <w:rsid w:val="009D1474"/>
    <w:rsid w:val="009D148C"/>
    <w:rsid w:val="009D14AC"/>
    <w:rsid w:val="009D1519"/>
    <w:rsid w:val="009D1538"/>
    <w:rsid w:val="009D15AA"/>
    <w:rsid w:val="009D163E"/>
    <w:rsid w:val="009D167E"/>
    <w:rsid w:val="009D1797"/>
    <w:rsid w:val="009D17B2"/>
    <w:rsid w:val="009D17E5"/>
    <w:rsid w:val="009D1814"/>
    <w:rsid w:val="009D1829"/>
    <w:rsid w:val="009D184A"/>
    <w:rsid w:val="009D1925"/>
    <w:rsid w:val="009D1947"/>
    <w:rsid w:val="009D1962"/>
    <w:rsid w:val="009D1992"/>
    <w:rsid w:val="009D1A1D"/>
    <w:rsid w:val="009D1A6F"/>
    <w:rsid w:val="009D1B37"/>
    <w:rsid w:val="009D1BBA"/>
    <w:rsid w:val="009D1BFE"/>
    <w:rsid w:val="009D1C63"/>
    <w:rsid w:val="009D1C6B"/>
    <w:rsid w:val="009D1C74"/>
    <w:rsid w:val="009D1CCE"/>
    <w:rsid w:val="009D1D36"/>
    <w:rsid w:val="009D1D75"/>
    <w:rsid w:val="009D1D9F"/>
    <w:rsid w:val="009D1EC1"/>
    <w:rsid w:val="009D2042"/>
    <w:rsid w:val="009D20A8"/>
    <w:rsid w:val="009D20A9"/>
    <w:rsid w:val="009D2199"/>
    <w:rsid w:val="009D22AB"/>
    <w:rsid w:val="009D22D1"/>
    <w:rsid w:val="009D2336"/>
    <w:rsid w:val="009D233A"/>
    <w:rsid w:val="009D2355"/>
    <w:rsid w:val="009D2458"/>
    <w:rsid w:val="009D24B7"/>
    <w:rsid w:val="009D2504"/>
    <w:rsid w:val="009D25F0"/>
    <w:rsid w:val="009D2615"/>
    <w:rsid w:val="009D2643"/>
    <w:rsid w:val="009D2663"/>
    <w:rsid w:val="009D2676"/>
    <w:rsid w:val="009D267E"/>
    <w:rsid w:val="009D268E"/>
    <w:rsid w:val="009D26D6"/>
    <w:rsid w:val="009D26FC"/>
    <w:rsid w:val="009D278C"/>
    <w:rsid w:val="009D27DB"/>
    <w:rsid w:val="009D2878"/>
    <w:rsid w:val="009D289C"/>
    <w:rsid w:val="009D292E"/>
    <w:rsid w:val="009D2949"/>
    <w:rsid w:val="009D2AA1"/>
    <w:rsid w:val="009D2B81"/>
    <w:rsid w:val="009D2BE3"/>
    <w:rsid w:val="009D2C30"/>
    <w:rsid w:val="009D2D7F"/>
    <w:rsid w:val="009D2DA9"/>
    <w:rsid w:val="009D2DBF"/>
    <w:rsid w:val="009D2DED"/>
    <w:rsid w:val="009D2F00"/>
    <w:rsid w:val="009D2F0F"/>
    <w:rsid w:val="009D2F22"/>
    <w:rsid w:val="009D2F30"/>
    <w:rsid w:val="009D2F32"/>
    <w:rsid w:val="009D2F3A"/>
    <w:rsid w:val="009D2F5F"/>
    <w:rsid w:val="009D2FF0"/>
    <w:rsid w:val="009D3068"/>
    <w:rsid w:val="009D308B"/>
    <w:rsid w:val="009D30A3"/>
    <w:rsid w:val="009D30FD"/>
    <w:rsid w:val="009D316E"/>
    <w:rsid w:val="009D31FA"/>
    <w:rsid w:val="009D3227"/>
    <w:rsid w:val="009D323E"/>
    <w:rsid w:val="009D3258"/>
    <w:rsid w:val="009D32AC"/>
    <w:rsid w:val="009D32F6"/>
    <w:rsid w:val="009D3312"/>
    <w:rsid w:val="009D3335"/>
    <w:rsid w:val="009D33D7"/>
    <w:rsid w:val="009D3401"/>
    <w:rsid w:val="009D34E2"/>
    <w:rsid w:val="009D351E"/>
    <w:rsid w:val="009D3527"/>
    <w:rsid w:val="009D354A"/>
    <w:rsid w:val="009D3550"/>
    <w:rsid w:val="009D359C"/>
    <w:rsid w:val="009D3670"/>
    <w:rsid w:val="009D36D7"/>
    <w:rsid w:val="009D3709"/>
    <w:rsid w:val="009D370E"/>
    <w:rsid w:val="009D372A"/>
    <w:rsid w:val="009D37FE"/>
    <w:rsid w:val="009D380F"/>
    <w:rsid w:val="009D390E"/>
    <w:rsid w:val="009D3931"/>
    <w:rsid w:val="009D3943"/>
    <w:rsid w:val="009D394F"/>
    <w:rsid w:val="009D3970"/>
    <w:rsid w:val="009D399A"/>
    <w:rsid w:val="009D39AC"/>
    <w:rsid w:val="009D3A8B"/>
    <w:rsid w:val="009D3A99"/>
    <w:rsid w:val="009D3BA3"/>
    <w:rsid w:val="009D3C00"/>
    <w:rsid w:val="009D3C4B"/>
    <w:rsid w:val="009D3C78"/>
    <w:rsid w:val="009D3D9F"/>
    <w:rsid w:val="009D3DA0"/>
    <w:rsid w:val="009D3E32"/>
    <w:rsid w:val="009D3E68"/>
    <w:rsid w:val="009D3EE1"/>
    <w:rsid w:val="009D3EE8"/>
    <w:rsid w:val="009D3F20"/>
    <w:rsid w:val="009D3F7D"/>
    <w:rsid w:val="009D3FB8"/>
    <w:rsid w:val="009D406F"/>
    <w:rsid w:val="009D4073"/>
    <w:rsid w:val="009D40DC"/>
    <w:rsid w:val="009D40F2"/>
    <w:rsid w:val="009D412B"/>
    <w:rsid w:val="009D4149"/>
    <w:rsid w:val="009D416E"/>
    <w:rsid w:val="009D41AA"/>
    <w:rsid w:val="009D41BA"/>
    <w:rsid w:val="009D4312"/>
    <w:rsid w:val="009D437A"/>
    <w:rsid w:val="009D43E0"/>
    <w:rsid w:val="009D43EF"/>
    <w:rsid w:val="009D440E"/>
    <w:rsid w:val="009D44AB"/>
    <w:rsid w:val="009D4510"/>
    <w:rsid w:val="009D452B"/>
    <w:rsid w:val="009D453D"/>
    <w:rsid w:val="009D4591"/>
    <w:rsid w:val="009D45B1"/>
    <w:rsid w:val="009D45D3"/>
    <w:rsid w:val="009D4631"/>
    <w:rsid w:val="009D4665"/>
    <w:rsid w:val="009D46DD"/>
    <w:rsid w:val="009D46E4"/>
    <w:rsid w:val="009D46ED"/>
    <w:rsid w:val="009D4735"/>
    <w:rsid w:val="009D4777"/>
    <w:rsid w:val="009D4793"/>
    <w:rsid w:val="009D47C0"/>
    <w:rsid w:val="009D4903"/>
    <w:rsid w:val="009D4976"/>
    <w:rsid w:val="009D4A48"/>
    <w:rsid w:val="009D4B35"/>
    <w:rsid w:val="009D4C15"/>
    <w:rsid w:val="009D4C45"/>
    <w:rsid w:val="009D4C47"/>
    <w:rsid w:val="009D4C49"/>
    <w:rsid w:val="009D4C79"/>
    <w:rsid w:val="009D4CA4"/>
    <w:rsid w:val="009D4D50"/>
    <w:rsid w:val="009D4D67"/>
    <w:rsid w:val="009D4E16"/>
    <w:rsid w:val="009D4E80"/>
    <w:rsid w:val="009D4EDE"/>
    <w:rsid w:val="009D4EF2"/>
    <w:rsid w:val="009D4F16"/>
    <w:rsid w:val="009D4F1E"/>
    <w:rsid w:val="009D4F55"/>
    <w:rsid w:val="009D50F1"/>
    <w:rsid w:val="009D5163"/>
    <w:rsid w:val="009D5164"/>
    <w:rsid w:val="009D529E"/>
    <w:rsid w:val="009D52A5"/>
    <w:rsid w:val="009D52C3"/>
    <w:rsid w:val="009D52F4"/>
    <w:rsid w:val="009D532F"/>
    <w:rsid w:val="009D5385"/>
    <w:rsid w:val="009D538C"/>
    <w:rsid w:val="009D53E4"/>
    <w:rsid w:val="009D5409"/>
    <w:rsid w:val="009D5491"/>
    <w:rsid w:val="009D5492"/>
    <w:rsid w:val="009D54E8"/>
    <w:rsid w:val="009D551B"/>
    <w:rsid w:val="009D551E"/>
    <w:rsid w:val="009D563F"/>
    <w:rsid w:val="009D5663"/>
    <w:rsid w:val="009D566C"/>
    <w:rsid w:val="009D56F2"/>
    <w:rsid w:val="009D5733"/>
    <w:rsid w:val="009D5747"/>
    <w:rsid w:val="009D576C"/>
    <w:rsid w:val="009D57B0"/>
    <w:rsid w:val="009D57D7"/>
    <w:rsid w:val="009D5816"/>
    <w:rsid w:val="009D59B5"/>
    <w:rsid w:val="009D59D2"/>
    <w:rsid w:val="009D59DD"/>
    <w:rsid w:val="009D59F3"/>
    <w:rsid w:val="009D5A1C"/>
    <w:rsid w:val="009D5A65"/>
    <w:rsid w:val="009D5AD8"/>
    <w:rsid w:val="009D5B62"/>
    <w:rsid w:val="009D5C0D"/>
    <w:rsid w:val="009D5C55"/>
    <w:rsid w:val="009D5D28"/>
    <w:rsid w:val="009D5D65"/>
    <w:rsid w:val="009D5D75"/>
    <w:rsid w:val="009D5D85"/>
    <w:rsid w:val="009D5DA7"/>
    <w:rsid w:val="009D5E1E"/>
    <w:rsid w:val="009D5E2B"/>
    <w:rsid w:val="009D5E37"/>
    <w:rsid w:val="009D5E78"/>
    <w:rsid w:val="009D5EF7"/>
    <w:rsid w:val="009D5F0C"/>
    <w:rsid w:val="009D6176"/>
    <w:rsid w:val="009D6192"/>
    <w:rsid w:val="009D6288"/>
    <w:rsid w:val="009D634A"/>
    <w:rsid w:val="009D6380"/>
    <w:rsid w:val="009D641A"/>
    <w:rsid w:val="009D648C"/>
    <w:rsid w:val="009D65A6"/>
    <w:rsid w:val="009D65F0"/>
    <w:rsid w:val="009D661E"/>
    <w:rsid w:val="009D6692"/>
    <w:rsid w:val="009D678C"/>
    <w:rsid w:val="009D67A2"/>
    <w:rsid w:val="009D67B7"/>
    <w:rsid w:val="009D67D7"/>
    <w:rsid w:val="009D6808"/>
    <w:rsid w:val="009D684F"/>
    <w:rsid w:val="009D6867"/>
    <w:rsid w:val="009D6888"/>
    <w:rsid w:val="009D68C8"/>
    <w:rsid w:val="009D6934"/>
    <w:rsid w:val="009D69AF"/>
    <w:rsid w:val="009D6A69"/>
    <w:rsid w:val="009D6AA4"/>
    <w:rsid w:val="009D6B42"/>
    <w:rsid w:val="009D6BDF"/>
    <w:rsid w:val="009D6CF5"/>
    <w:rsid w:val="009D6D4A"/>
    <w:rsid w:val="009D6DDF"/>
    <w:rsid w:val="009D6E08"/>
    <w:rsid w:val="009D6F52"/>
    <w:rsid w:val="009D6F59"/>
    <w:rsid w:val="009D6FA3"/>
    <w:rsid w:val="009D6FA7"/>
    <w:rsid w:val="009D6FAD"/>
    <w:rsid w:val="009D6FC2"/>
    <w:rsid w:val="009D6FF6"/>
    <w:rsid w:val="009D7063"/>
    <w:rsid w:val="009D7081"/>
    <w:rsid w:val="009D7247"/>
    <w:rsid w:val="009D7256"/>
    <w:rsid w:val="009D7331"/>
    <w:rsid w:val="009D7416"/>
    <w:rsid w:val="009D7481"/>
    <w:rsid w:val="009D7495"/>
    <w:rsid w:val="009D751C"/>
    <w:rsid w:val="009D7548"/>
    <w:rsid w:val="009D7554"/>
    <w:rsid w:val="009D757C"/>
    <w:rsid w:val="009D7588"/>
    <w:rsid w:val="009D75D5"/>
    <w:rsid w:val="009D75F9"/>
    <w:rsid w:val="009D7607"/>
    <w:rsid w:val="009D7624"/>
    <w:rsid w:val="009D762D"/>
    <w:rsid w:val="009D7666"/>
    <w:rsid w:val="009D767A"/>
    <w:rsid w:val="009D7700"/>
    <w:rsid w:val="009D775A"/>
    <w:rsid w:val="009D7777"/>
    <w:rsid w:val="009D77CC"/>
    <w:rsid w:val="009D77DE"/>
    <w:rsid w:val="009D785C"/>
    <w:rsid w:val="009D785F"/>
    <w:rsid w:val="009D78BD"/>
    <w:rsid w:val="009D78BF"/>
    <w:rsid w:val="009D78FC"/>
    <w:rsid w:val="009D7945"/>
    <w:rsid w:val="009D7992"/>
    <w:rsid w:val="009D7A0C"/>
    <w:rsid w:val="009D7A53"/>
    <w:rsid w:val="009D7BF1"/>
    <w:rsid w:val="009D7C57"/>
    <w:rsid w:val="009D7C60"/>
    <w:rsid w:val="009D7C93"/>
    <w:rsid w:val="009D7DAE"/>
    <w:rsid w:val="009D7DDA"/>
    <w:rsid w:val="009D7E9E"/>
    <w:rsid w:val="009D7EC6"/>
    <w:rsid w:val="009D7EE4"/>
    <w:rsid w:val="009D7F23"/>
    <w:rsid w:val="009D7FB5"/>
    <w:rsid w:val="009E001E"/>
    <w:rsid w:val="009E0032"/>
    <w:rsid w:val="009E005B"/>
    <w:rsid w:val="009E005C"/>
    <w:rsid w:val="009E0065"/>
    <w:rsid w:val="009E010D"/>
    <w:rsid w:val="009E012C"/>
    <w:rsid w:val="009E0187"/>
    <w:rsid w:val="009E0189"/>
    <w:rsid w:val="009E018D"/>
    <w:rsid w:val="009E01A8"/>
    <w:rsid w:val="009E01B1"/>
    <w:rsid w:val="009E0265"/>
    <w:rsid w:val="009E0288"/>
    <w:rsid w:val="009E0296"/>
    <w:rsid w:val="009E02B7"/>
    <w:rsid w:val="009E02BE"/>
    <w:rsid w:val="009E02C0"/>
    <w:rsid w:val="009E02C4"/>
    <w:rsid w:val="009E030F"/>
    <w:rsid w:val="009E034D"/>
    <w:rsid w:val="009E03AF"/>
    <w:rsid w:val="009E03CD"/>
    <w:rsid w:val="009E0413"/>
    <w:rsid w:val="009E048D"/>
    <w:rsid w:val="009E04BD"/>
    <w:rsid w:val="009E04D0"/>
    <w:rsid w:val="009E0596"/>
    <w:rsid w:val="009E0601"/>
    <w:rsid w:val="009E0609"/>
    <w:rsid w:val="009E0624"/>
    <w:rsid w:val="009E069E"/>
    <w:rsid w:val="009E06E2"/>
    <w:rsid w:val="009E073D"/>
    <w:rsid w:val="009E0752"/>
    <w:rsid w:val="009E0761"/>
    <w:rsid w:val="009E07EC"/>
    <w:rsid w:val="009E0805"/>
    <w:rsid w:val="009E082C"/>
    <w:rsid w:val="009E0832"/>
    <w:rsid w:val="009E0843"/>
    <w:rsid w:val="009E0877"/>
    <w:rsid w:val="009E08BF"/>
    <w:rsid w:val="009E09D6"/>
    <w:rsid w:val="009E09F0"/>
    <w:rsid w:val="009E0B08"/>
    <w:rsid w:val="009E0B43"/>
    <w:rsid w:val="009E0B67"/>
    <w:rsid w:val="009E0C39"/>
    <w:rsid w:val="009E0CC0"/>
    <w:rsid w:val="009E0CC8"/>
    <w:rsid w:val="009E0D0C"/>
    <w:rsid w:val="009E0D2A"/>
    <w:rsid w:val="009E0D4C"/>
    <w:rsid w:val="009E0D88"/>
    <w:rsid w:val="009E0DDE"/>
    <w:rsid w:val="009E0E50"/>
    <w:rsid w:val="009E0E88"/>
    <w:rsid w:val="009E0EFA"/>
    <w:rsid w:val="009E0F47"/>
    <w:rsid w:val="009E1008"/>
    <w:rsid w:val="009E1046"/>
    <w:rsid w:val="009E10DA"/>
    <w:rsid w:val="009E1115"/>
    <w:rsid w:val="009E112C"/>
    <w:rsid w:val="009E1148"/>
    <w:rsid w:val="009E114A"/>
    <w:rsid w:val="009E11AA"/>
    <w:rsid w:val="009E11E2"/>
    <w:rsid w:val="009E121E"/>
    <w:rsid w:val="009E12A8"/>
    <w:rsid w:val="009E1342"/>
    <w:rsid w:val="009E1343"/>
    <w:rsid w:val="009E1349"/>
    <w:rsid w:val="009E1393"/>
    <w:rsid w:val="009E13D8"/>
    <w:rsid w:val="009E1405"/>
    <w:rsid w:val="009E1494"/>
    <w:rsid w:val="009E14E3"/>
    <w:rsid w:val="009E1508"/>
    <w:rsid w:val="009E1520"/>
    <w:rsid w:val="009E1573"/>
    <w:rsid w:val="009E1576"/>
    <w:rsid w:val="009E15A1"/>
    <w:rsid w:val="009E15C5"/>
    <w:rsid w:val="009E1607"/>
    <w:rsid w:val="009E169F"/>
    <w:rsid w:val="009E16B3"/>
    <w:rsid w:val="009E16EF"/>
    <w:rsid w:val="009E16F5"/>
    <w:rsid w:val="009E1733"/>
    <w:rsid w:val="009E1760"/>
    <w:rsid w:val="009E1812"/>
    <w:rsid w:val="009E1832"/>
    <w:rsid w:val="009E1896"/>
    <w:rsid w:val="009E18C1"/>
    <w:rsid w:val="009E198B"/>
    <w:rsid w:val="009E19DD"/>
    <w:rsid w:val="009E1A0F"/>
    <w:rsid w:val="009E1A43"/>
    <w:rsid w:val="009E1A8E"/>
    <w:rsid w:val="009E1B87"/>
    <w:rsid w:val="009E1BCE"/>
    <w:rsid w:val="009E1C1B"/>
    <w:rsid w:val="009E1C2F"/>
    <w:rsid w:val="009E1C45"/>
    <w:rsid w:val="009E1C5A"/>
    <w:rsid w:val="009E1CD2"/>
    <w:rsid w:val="009E1D45"/>
    <w:rsid w:val="009E1E3A"/>
    <w:rsid w:val="009E1E59"/>
    <w:rsid w:val="009E1F37"/>
    <w:rsid w:val="009E1F39"/>
    <w:rsid w:val="009E1F59"/>
    <w:rsid w:val="009E1F9E"/>
    <w:rsid w:val="009E20B5"/>
    <w:rsid w:val="009E20D2"/>
    <w:rsid w:val="009E20E4"/>
    <w:rsid w:val="009E2103"/>
    <w:rsid w:val="009E222B"/>
    <w:rsid w:val="009E2324"/>
    <w:rsid w:val="009E2347"/>
    <w:rsid w:val="009E2376"/>
    <w:rsid w:val="009E237E"/>
    <w:rsid w:val="009E242F"/>
    <w:rsid w:val="009E244A"/>
    <w:rsid w:val="009E24BA"/>
    <w:rsid w:val="009E2504"/>
    <w:rsid w:val="009E2505"/>
    <w:rsid w:val="009E2512"/>
    <w:rsid w:val="009E2514"/>
    <w:rsid w:val="009E2520"/>
    <w:rsid w:val="009E2542"/>
    <w:rsid w:val="009E254E"/>
    <w:rsid w:val="009E2672"/>
    <w:rsid w:val="009E267E"/>
    <w:rsid w:val="009E2694"/>
    <w:rsid w:val="009E26F3"/>
    <w:rsid w:val="009E2701"/>
    <w:rsid w:val="009E2734"/>
    <w:rsid w:val="009E2776"/>
    <w:rsid w:val="009E27A8"/>
    <w:rsid w:val="009E2851"/>
    <w:rsid w:val="009E285A"/>
    <w:rsid w:val="009E28BE"/>
    <w:rsid w:val="009E28F7"/>
    <w:rsid w:val="009E298A"/>
    <w:rsid w:val="009E29EE"/>
    <w:rsid w:val="009E2A8A"/>
    <w:rsid w:val="009E2AA3"/>
    <w:rsid w:val="009E2C3F"/>
    <w:rsid w:val="009E2CBE"/>
    <w:rsid w:val="009E2CD1"/>
    <w:rsid w:val="009E2CDC"/>
    <w:rsid w:val="009E2D70"/>
    <w:rsid w:val="009E2DC5"/>
    <w:rsid w:val="009E2E05"/>
    <w:rsid w:val="009E2E09"/>
    <w:rsid w:val="009E2E13"/>
    <w:rsid w:val="009E2E7E"/>
    <w:rsid w:val="009E2EA5"/>
    <w:rsid w:val="009E2EA9"/>
    <w:rsid w:val="009E2F1D"/>
    <w:rsid w:val="009E2F27"/>
    <w:rsid w:val="009E2FDC"/>
    <w:rsid w:val="009E3016"/>
    <w:rsid w:val="009E30D2"/>
    <w:rsid w:val="009E30E3"/>
    <w:rsid w:val="009E3114"/>
    <w:rsid w:val="009E3157"/>
    <w:rsid w:val="009E32B9"/>
    <w:rsid w:val="009E32F5"/>
    <w:rsid w:val="009E3352"/>
    <w:rsid w:val="009E33A0"/>
    <w:rsid w:val="009E33E9"/>
    <w:rsid w:val="009E33FF"/>
    <w:rsid w:val="009E346C"/>
    <w:rsid w:val="009E351D"/>
    <w:rsid w:val="009E355F"/>
    <w:rsid w:val="009E3565"/>
    <w:rsid w:val="009E3574"/>
    <w:rsid w:val="009E3583"/>
    <w:rsid w:val="009E35EB"/>
    <w:rsid w:val="009E35F1"/>
    <w:rsid w:val="009E3616"/>
    <w:rsid w:val="009E36A9"/>
    <w:rsid w:val="009E370F"/>
    <w:rsid w:val="009E375F"/>
    <w:rsid w:val="009E376C"/>
    <w:rsid w:val="009E37FD"/>
    <w:rsid w:val="009E381B"/>
    <w:rsid w:val="009E387C"/>
    <w:rsid w:val="009E3965"/>
    <w:rsid w:val="009E3993"/>
    <w:rsid w:val="009E39A5"/>
    <w:rsid w:val="009E3AD0"/>
    <w:rsid w:val="009E3AD5"/>
    <w:rsid w:val="009E3AF2"/>
    <w:rsid w:val="009E3B45"/>
    <w:rsid w:val="009E3BA3"/>
    <w:rsid w:val="009E3D79"/>
    <w:rsid w:val="009E3D9D"/>
    <w:rsid w:val="009E3DA5"/>
    <w:rsid w:val="009E3DAA"/>
    <w:rsid w:val="009E3E50"/>
    <w:rsid w:val="009E3E5C"/>
    <w:rsid w:val="009E3EA0"/>
    <w:rsid w:val="009E3EC8"/>
    <w:rsid w:val="009E3ED4"/>
    <w:rsid w:val="009E3FB1"/>
    <w:rsid w:val="009E41CD"/>
    <w:rsid w:val="009E41D4"/>
    <w:rsid w:val="009E420F"/>
    <w:rsid w:val="009E4216"/>
    <w:rsid w:val="009E4310"/>
    <w:rsid w:val="009E4342"/>
    <w:rsid w:val="009E438F"/>
    <w:rsid w:val="009E443E"/>
    <w:rsid w:val="009E444E"/>
    <w:rsid w:val="009E447E"/>
    <w:rsid w:val="009E44BA"/>
    <w:rsid w:val="009E451B"/>
    <w:rsid w:val="009E4550"/>
    <w:rsid w:val="009E45BE"/>
    <w:rsid w:val="009E460C"/>
    <w:rsid w:val="009E4709"/>
    <w:rsid w:val="009E4765"/>
    <w:rsid w:val="009E4795"/>
    <w:rsid w:val="009E47A6"/>
    <w:rsid w:val="009E47EC"/>
    <w:rsid w:val="009E4817"/>
    <w:rsid w:val="009E4853"/>
    <w:rsid w:val="009E488C"/>
    <w:rsid w:val="009E48BC"/>
    <w:rsid w:val="009E492D"/>
    <w:rsid w:val="009E4A00"/>
    <w:rsid w:val="009E4A91"/>
    <w:rsid w:val="009E4B3F"/>
    <w:rsid w:val="009E4B82"/>
    <w:rsid w:val="009E4BAC"/>
    <w:rsid w:val="009E4BE6"/>
    <w:rsid w:val="009E4CA2"/>
    <w:rsid w:val="009E4D06"/>
    <w:rsid w:val="009E4D47"/>
    <w:rsid w:val="009E4D4A"/>
    <w:rsid w:val="009E4D62"/>
    <w:rsid w:val="009E4D7E"/>
    <w:rsid w:val="009E4DBA"/>
    <w:rsid w:val="009E4DDD"/>
    <w:rsid w:val="009E4E39"/>
    <w:rsid w:val="009E4E81"/>
    <w:rsid w:val="009E4EEA"/>
    <w:rsid w:val="009E4EED"/>
    <w:rsid w:val="009E4F6F"/>
    <w:rsid w:val="009E4F8F"/>
    <w:rsid w:val="009E4FCA"/>
    <w:rsid w:val="009E4FF2"/>
    <w:rsid w:val="009E500B"/>
    <w:rsid w:val="009E5061"/>
    <w:rsid w:val="009E5120"/>
    <w:rsid w:val="009E5133"/>
    <w:rsid w:val="009E5222"/>
    <w:rsid w:val="009E5288"/>
    <w:rsid w:val="009E52E3"/>
    <w:rsid w:val="009E534F"/>
    <w:rsid w:val="009E5365"/>
    <w:rsid w:val="009E5386"/>
    <w:rsid w:val="009E53B4"/>
    <w:rsid w:val="009E53CF"/>
    <w:rsid w:val="009E53F3"/>
    <w:rsid w:val="009E5428"/>
    <w:rsid w:val="009E5454"/>
    <w:rsid w:val="009E5490"/>
    <w:rsid w:val="009E5554"/>
    <w:rsid w:val="009E558C"/>
    <w:rsid w:val="009E5590"/>
    <w:rsid w:val="009E55BB"/>
    <w:rsid w:val="009E55BC"/>
    <w:rsid w:val="009E5648"/>
    <w:rsid w:val="009E56A5"/>
    <w:rsid w:val="009E577A"/>
    <w:rsid w:val="009E5789"/>
    <w:rsid w:val="009E5790"/>
    <w:rsid w:val="009E5795"/>
    <w:rsid w:val="009E586A"/>
    <w:rsid w:val="009E5885"/>
    <w:rsid w:val="009E5963"/>
    <w:rsid w:val="009E5989"/>
    <w:rsid w:val="009E59AA"/>
    <w:rsid w:val="009E59BB"/>
    <w:rsid w:val="009E5A51"/>
    <w:rsid w:val="009E5A64"/>
    <w:rsid w:val="009E5ACC"/>
    <w:rsid w:val="009E5AD9"/>
    <w:rsid w:val="009E5AF2"/>
    <w:rsid w:val="009E5B59"/>
    <w:rsid w:val="009E5C14"/>
    <w:rsid w:val="009E5C9B"/>
    <w:rsid w:val="009E5C9F"/>
    <w:rsid w:val="009E5D85"/>
    <w:rsid w:val="009E5DF2"/>
    <w:rsid w:val="009E5E2A"/>
    <w:rsid w:val="009E5F08"/>
    <w:rsid w:val="009E5F46"/>
    <w:rsid w:val="009E6006"/>
    <w:rsid w:val="009E6083"/>
    <w:rsid w:val="009E60B3"/>
    <w:rsid w:val="009E60C3"/>
    <w:rsid w:val="009E6173"/>
    <w:rsid w:val="009E6181"/>
    <w:rsid w:val="009E6388"/>
    <w:rsid w:val="009E63B4"/>
    <w:rsid w:val="009E641D"/>
    <w:rsid w:val="009E6432"/>
    <w:rsid w:val="009E649A"/>
    <w:rsid w:val="009E64B5"/>
    <w:rsid w:val="009E64BB"/>
    <w:rsid w:val="009E6520"/>
    <w:rsid w:val="009E661D"/>
    <w:rsid w:val="009E66D8"/>
    <w:rsid w:val="009E66E6"/>
    <w:rsid w:val="009E670B"/>
    <w:rsid w:val="009E6793"/>
    <w:rsid w:val="009E6797"/>
    <w:rsid w:val="009E681B"/>
    <w:rsid w:val="009E68F8"/>
    <w:rsid w:val="009E6955"/>
    <w:rsid w:val="009E697B"/>
    <w:rsid w:val="009E699F"/>
    <w:rsid w:val="009E69D5"/>
    <w:rsid w:val="009E6A5C"/>
    <w:rsid w:val="009E6AA5"/>
    <w:rsid w:val="009E6ACD"/>
    <w:rsid w:val="009E6B0D"/>
    <w:rsid w:val="009E6B39"/>
    <w:rsid w:val="009E6BA7"/>
    <w:rsid w:val="009E6C19"/>
    <w:rsid w:val="009E6C23"/>
    <w:rsid w:val="009E6C49"/>
    <w:rsid w:val="009E6D62"/>
    <w:rsid w:val="009E6D70"/>
    <w:rsid w:val="009E6E2B"/>
    <w:rsid w:val="009E6E59"/>
    <w:rsid w:val="009E6E6E"/>
    <w:rsid w:val="009E6E9D"/>
    <w:rsid w:val="009E6F13"/>
    <w:rsid w:val="009E6F67"/>
    <w:rsid w:val="009E6F99"/>
    <w:rsid w:val="009E6FAD"/>
    <w:rsid w:val="009E704D"/>
    <w:rsid w:val="009E7160"/>
    <w:rsid w:val="009E722F"/>
    <w:rsid w:val="009E7242"/>
    <w:rsid w:val="009E728F"/>
    <w:rsid w:val="009E7432"/>
    <w:rsid w:val="009E7481"/>
    <w:rsid w:val="009E7503"/>
    <w:rsid w:val="009E755B"/>
    <w:rsid w:val="009E757A"/>
    <w:rsid w:val="009E7598"/>
    <w:rsid w:val="009E76E7"/>
    <w:rsid w:val="009E76F6"/>
    <w:rsid w:val="009E7753"/>
    <w:rsid w:val="009E780C"/>
    <w:rsid w:val="009E7822"/>
    <w:rsid w:val="009E786B"/>
    <w:rsid w:val="009E78AF"/>
    <w:rsid w:val="009E78BE"/>
    <w:rsid w:val="009E7908"/>
    <w:rsid w:val="009E7918"/>
    <w:rsid w:val="009E7957"/>
    <w:rsid w:val="009E79D3"/>
    <w:rsid w:val="009E7AB9"/>
    <w:rsid w:val="009E7AF0"/>
    <w:rsid w:val="009E7B27"/>
    <w:rsid w:val="009E7B2A"/>
    <w:rsid w:val="009E7B8D"/>
    <w:rsid w:val="009E7C2C"/>
    <w:rsid w:val="009E7C54"/>
    <w:rsid w:val="009E7CF3"/>
    <w:rsid w:val="009E7D9F"/>
    <w:rsid w:val="009E7DAF"/>
    <w:rsid w:val="009E7FA3"/>
    <w:rsid w:val="009F0011"/>
    <w:rsid w:val="009F003B"/>
    <w:rsid w:val="009F007D"/>
    <w:rsid w:val="009F00CC"/>
    <w:rsid w:val="009F00F0"/>
    <w:rsid w:val="009F0189"/>
    <w:rsid w:val="009F01C6"/>
    <w:rsid w:val="009F01F5"/>
    <w:rsid w:val="009F024F"/>
    <w:rsid w:val="009F025F"/>
    <w:rsid w:val="009F0271"/>
    <w:rsid w:val="009F0283"/>
    <w:rsid w:val="009F0369"/>
    <w:rsid w:val="009F03B4"/>
    <w:rsid w:val="009F03C0"/>
    <w:rsid w:val="009F0404"/>
    <w:rsid w:val="009F0429"/>
    <w:rsid w:val="009F0468"/>
    <w:rsid w:val="009F046E"/>
    <w:rsid w:val="009F04C2"/>
    <w:rsid w:val="009F05DA"/>
    <w:rsid w:val="009F05ED"/>
    <w:rsid w:val="009F0623"/>
    <w:rsid w:val="009F06C2"/>
    <w:rsid w:val="009F06E3"/>
    <w:rsid w:val="009F0746"/>
    <w:rsid w:val="009F0830"/>
    <w:rsid w:val="009F08E0"/>
    <w:rsid w:val="009F08E4"/>
    <w:rsid w:val="009F095F"/>
    <w:rsid w:val="009F0971"/>
    <w:rsid w:val="009F09CC"/>
    <w:rsid w:val="009F0A07"/>
    <w:rsid w:val="009F0A23"/>
    <w:rsid w:val="009F0A5F"/>
    <w:rsid w:val="009F0A6E"/>
    <w:rsid w:val="009F0B55"/>
    <w:rsid w:val="009F0B59"/>
    <w:rsid w:val="009F0B8C"/>
    <w:rsid w:val="009F0BB5"/>
    <w:rsid w:val="009F0BB9"/>
    <w:rsid w:val="009F0C3E"/>
    <w:rsid w:val="009F0CDF"/>
    <w:rsid w:val="009F0CEA"/>
    <w:rsid w:val="009F0E54"/>
    <w:rsid w:val="009F0E58"/>
    <w:rsid w:val="009F0F4C"/>
    <w:rsid w:val="009F0F6E"/>
    <w:rsid w:val="009F1110"/>
    <w:rsid w:val="009F1204"/>
    <w:rsid w:val="009F1218"/>
    <w:rsid w:val="009F129F"/>
    <w:rsid w:val="009F1366"/>
    <w:rsid w:val="009F1380"/>
    <w:rsid w:val="009F1386"/>
    <w:rsid w:val="009F13B0"/>
    <w:rsid w:val="009F13C3"/>
    <w:rsid w:val="009F13CF"/>
    <w:rsid w:val="009F13E5"/>
    <w:rsid w:val="009F13EA"/>
    <w:rsid w:val="009F13F1"/>
    <w:rsid w:val="009F1422"/>
    <w:rsid w:val="009F1487"/>
    <w:rsid w:val="009F14E0"/>
    <w:rsid w:val="009F14F4"/>
    <w:rsid w:val="009F1533"/>
    <w:rsid w:val="009F1556"/>
    <w:rsid w:val="009F157D"/>
    <w:rsid w:val="009F1593"/>
    <w:rsid w:val="009F15C1"/>
    <w:rsid w:val="009F15CB"/>
    <w:rsid w:val="009F15FB"/>
    <w:rsid w:val="009F164A"/>
    <w:rsid w:val="009F1680"/>
    <w:rsid w:val="009F1708"/>
    <w:rsid w:val="009F17F0"/>
    <w:rsid w:val="009F197F"/>
    <w:rsid w:val="009F1997"/>
    <w:rsid w:val="009F1A1C"/>
    <w:rsid w:val="009F1A48"/>
    <w:rsid w:val="009F1A64"/>
    <w:rsid w:val="009F1ACE"/>
    <w:rsid w:val="009F1B9B"/>
    <w:rsid w:val="009F1BD1"/>
    <w:rsid w:val="009F1C0B"/>
    <w:rsid w:val="009F1C8F"/>
    <w:rsid w:val="009F1C9A"/>
    <w:rsid w:val="009F1D30"/>
    <w:rsid w:val="009F1D4E"/>
    <w:rsid w:val="009F1D71"/>
    <w:rsid w:val="009F1D7C"/>
    <w:rsid w:val="009F1E01"/>
    <w:rsid w:val="009F1E47"/>
    <w:rsid w:val="009F1F54"/>
    <w:rsid w:val="009F1F60"/>
    <w:rsid w:val="009F2134"/>
    <w:rsid w:val="009F215D"/>
    <w:rsid w:val="009F2204"/>
    <w:rsid w:val="009F220B"/>
    <w:rsid w:val="009F226C"/>
    <w:rsid w:val="009F22B2"/>
    <w:rsid w:val="009F22D3"/>
    <w:rsid w:val="009F2363"/>
    <w:rsid w:val="009F23B3"/>
    <w:rsid w:val="009F23E0"/>
    <w:rsid w:val="009F248C"/>
    <w:rsid w:val="009F2574"/>
    <w:rsid w:val="009F25C2"/>
    <w:rsid w:val="009F2609"/>
    <w:rsid w:val="009F265C"/>
    <w:rsid w:val="009F2707"/>
    <w:rsid w:val="009F2721"/>
    <w:rsid w:val="009F27D5"/>
    <w:rsid w:val="009F28D9"/>
    <w:rsid w:val="009F28E8"/>
    <w:rsid w:val="009F28F4"/>
    <w:rsid w:val="009F2941"/>
    <w:rsid w:val="009F29D3"/>
    <w:rsid w:val="009F2A66"/>
    <w:rsid w:val="009F2AAD"/>
    <w:rsid w:val="009F2AEA"/>
    <w:rsid w:val="009F2B1D"/>
    <w:rsid w:val="009F2B41"/>
    <w:rsid w:val="009F2BC7"/>
    <w:rsid w:val="009F2BEF"/>
    <w:rsid w:val="009F2BFC"/>
    <w:rsid w:val="009F2C09"/>
    <w:rsid w:val="009F2C7C"/>
    <w:rsid w:val="009F2DAB"/>
    <w:rsid w:val="009F2E19"/>
    <w:rsid w:val="009F2E1D"/>
    <w:rsid w:val="009F2F7B"/>
    <w:rsid w:val="009F3028"/>
    <w:rsid w:val="009F3073"/>
    <w:rsid w:val="009F30A2"/>
    <w:rsid w:val="009F3136"/>
    <w:rsid w:val="009F3137"/>
    <w:rsid w:val="009F3149"/>
    <w:rsid w:val="009F316F"/>
    <w:rsid w:val="009F31F9"/>
    <w:rsid w:val="009F325B"/>
    <w:rsid w:val="009F3263"/>
    <w:rsid w:val="009F3286"/>
    <w:rsid w:val="009F32E5"/>
    <w:rsid w:val="009F3301"/>
    <w:rsid w:val="009F3375"/>
    <w:rsid w:val="009F33BD"/>
    <w:rsid w:val="009F344C"/>
    <w:rsid w:val="009F35A8"/>
    <w:rsid w:val="009F3620"/>
    <w:rsid w:val="009F3651"/>
    <w:rsid w:val="009F3701"/>
    <w:rsid w:val="009F375D"/>
    <w:rsid w:val="009F378F"/>
    <w:rsid w:val="009F383C"/>
    <w:rsid w:val="009F3875"/>
    <w:rsid w:val="009F3928"/>
    <w:rsid w:val="009F393D"/>
    <w:rsid w:val="009F3968"/>
    <w:rsid w:val="009F39B4"/>
    <w:rsid w:val="009F3A23"/>
    <w:rsid w:val="009F3A3D"/>
    <w:rsid w:val="009F3A40"/>
    <w:rsid w:val="009F3B6E"/>
    <w:rsid w:val="009F3D4D"/>
    <w:rsid w:val="009F3D51"/>
    <w:rsid w:val="009F3E61"/>
    <w:rsid w:val="009F3E75"/>
    <w:rsid w:val="009F3F27"/>
    <w:rsid w:val="009F3FAE"/>
    <w:rsid w:val="009F3FBB"/>
    <w:rsid w:val="009F404E"/>
    <w:rsid w:val="009F4050"/>
    <w:rsid w:val="009F4063"/>
    <w:rsid w:val="009F4077"/>
    <w:rsid w:val="009F40EA"/>
    <w:rsid w:val="009F40F2"/>
    <w:rsid w:val="009F41B0"/>
    <w:rsid w:val="009F41C2"/>
    <w:rsid w:val="009F41FD"/>
    <w:rsid w:val="009F4224"/>
    <w:rsid w:val="009F42D4"/>
    <w:rsid w:val="009F4337"/>
    <w:rsid w:val="009F43CA"/>
    <w:rsid w:val="009F43F9"/>
    <w:rsid w:val="009F447D"/>
    <w:rsid w:val="009F4492"/>
    <w:rsid w:val="009F44A3"/>
    <w:rsid w:val="009F44B2"/>
    <w:rsid w:val="009F4552"/>
    <w:rsid w:val="009F4560"/>
    <w:rsid w:val="009F4578"/>
    <w:rsid w:val="009F4583"/>
    <w:rsid w:val="009F45C0"/>
    <w:rsid w:val="009F45DC"/>
    <w:rsid w:val="009F46D0"/>
    <w:rsid w:val="009F46D8"/>
    <w:rsid w:val="009F46D9"/>
    <w:rsid w:val="009F4769"/>
    <w:rsid w:val="009F47CB"/>
    <w:rsid w:val="009F4805"/>
    <w:rsid w:val="009F4808"/>
    <w:rsid w:val="009F480C"/>
    <w:rsid w:val="009F4843"/>
    <w:rsid w:val="009F4865"/>
    <w:rsid w:val="009F48CE"/>
    <w:rsid w:val="009F4924"/>
    <w:rsid w:val="009F4978"/>
    <w:rsid w:val="009F49A2"/>
    <w:rsid w:val="009F49FC"/>
    <w:rsid w:val="009F4A21"/>
    <w:rsid w:val="009F4B07"/>
    <w:rsid w:val="009F4B0A"/>
    <w:rsid w:val="009F4B1F"/>
    <w:rsid w:val="009F4B74"/>
    <w:rsid w:val="009F4CEB"/>
    <w:rsid w:val="009F4D78"/>
    <w:rsid w:val="009F4E60"/>
    <w:rsid w:val="009F4F08"/>
    <w:rsid w:val="009F4F70"/>
    <w:rsid w:val="009F5071"/>
    <w:rsid w:val="009F5135"/>
    <w:rsid w:val="009F51B5"/>
    <w:rsid w:val="009F51DD"/>
    <w:rsid w:val="009F5222"/>
    <w:rsid w:val="009F5246"/>
    <w:rsid w:val="009F5280"/>
    <w:rsid w:val="009F5327"/>
    <w:rsid w:val="009F5333"/>
    <w:rsid w:val="009F5346"/>
    <w:rsid w:val="009F5397"/>
    <w:rsid w:val="009F53D5"/>
    <w:rsid w:val="009F5416"/>
    <w:rsid w:val="009F5480"/>
    <w:rsid w:val="009F550D"/>
    <w:rsid w:val="009F5515"/>
    <w:rsid w:val="009F5600"/>
    <w:rsid w:val="009F560F"/>
    <w:rsid w:val="009F5611"/>
    <w:rsid w:val="009F5643"/>
    <w:rsid w:val="009F5711"/>
    <w:rsid w:val="009F574F"/>
    <w:rsid w:val="009F57E3"/>
    <w:rsid w:val="009F5819"/>
    <w:rsid w:val="009F5841"/>
    <w:rsid w:val="009F5892"/>
    <w:rsid w:val="009F58DF"/>
    <w:rsid w:val="009F5911"/>
    <w:rsid w:val="009F5965"/>
    <w:rsid w:val="009F596E"/>
    <w:rsid w:val="009F59A2"/>
    <w:rsid w:val="009F5A3D"/>
    <w:rsid w:val="009F5A89"/>
    <w:rsid w:val="009F5AA1"/>
    <w:rsid w:val="009F5AB7"/>
    <w:rsid w:val="009F5B12"/>
    <w:rsid w:val="009F5B43"/>
    <w:rsid w:val="009F5B66"/>
    <w:rsid w:val="009F5C0D"/>
    <w:rsid w:val="009F5C77"/>
    <w:rsid w:val="009F5C7D"/>
    <w:rsid w:val="009F5D7B"/>
    <w:rsid w:val="009F5DCF"/>
    <w:rsid w:val="009F5DD0"/>
    <w:rsid w:val="009F5DF0"/>
    <w:rsid w:val="009F5E65"/>
    <w:rsid w:val="009F5ECB"/>
    <w:rsid w:val="009F5F14"/>
    <w:rsid w:val="009F5F58"/>
    <w:rsid w:val="009F5F61"/>
    <w:rsid w:val="009F5F69"/>
    <w:rsid w:val="009F601D"/>
    <w:rsid w:val="009F6083"/>
    <w:rsid w:val="009F6112"/>
    <w:rsid w:val="009F611A"/>
    <w:rsid w:val="009F6182"/>
    <w:rsid w:val="009F61B0"/>
    <w:rsid w:val="009F61C5"/>
    <w:rsid w:val="009F61CA"/>
    <w:rsid w:val="009F61F1"/>
    <w:rsid w:val="009F61FE"/>
    <w:rsid w:val="009F6298"/>
    <w:rsid w:val="009F6321"/>
    <w:rsid w:val="009F6368"/>
    <w:rsid w:val="009F6415"/>
    <w:rsid w:val="009F6491"/>
    <w:rsid w:val="009F649F"/>
    <w:rsid w:val="009F64C9"/>
    <w:rsid w:val="009F64E9"/>
    <w:rsid w:val="009F65C7"/>
    <w:rsid w:val="009F66FD"/>
    <w:rsid w:val="009F6749"/>
    <w:rsid w:val="009F6782"/>
    <w:rsid w:val="009F6829"/>
    <w:rsid w:val="009F6888"/>
    <w:rsid w:val="009F68F5"/>
    <w:rsid w:val="009F6965"/>
    <w:rsid w:val="009F6968"/>
    <w:rsid w:val="009F6979"/>
    <w:rsid w:val="009F69DA"/>
    <w:rsid w:val="009F69DB"/>
    <w:rsid w:val="009F69FC"/>
    <w:rsid w:val="009F6A87"/>
    <w:rsid w:val="009F6AD4"/>
    <w:rsid w:val="009F6BC6"/>
    <w:rsid w:val="009F6C3F"/>
    <w:rsid w:val="009F6C70"/>
    <w:rsid w:val="009F6CAC"/>
    <w:rsid w:val="009F6D27"/>
    <w:rsid w:val="009F6D5C"/>
    <w:rsid w:val="009F6D8D"/>
    <w:rsid w:val="009F6D97"/>
    <w:rsid w:val="009F6DB5"/>
    <w:rsid w:val="009F6E4A"/>
    <w:rsid w:val="009F6EC9"/>
    <w:rsid w:val="009F6EE4"/>
    <w:rsid w:val="009F6EEE"/>
    <w:rsid w:val="009F6FC9"/>
    <w:rsid w:val="009F6FEF"/>
    <w:rsid w:val="009F702F"/>
    <w:rsid w:val="009F7073"/>
    <w:rsid w:val="009F70AE"/>
    <w:rsid w:val="009F7146"/>
    <w:rsid w:val="009F7157"/>
    <w:rsid w:val="009F718B"/>
    <w:rsid w:val="009F7226"/>
    <w:rsid w:val="009F7282"/>
    <w:rsid w:val="009F7295"/>
    <w:rsid w:val="009F72DC"/>
    <w:rsid w:val="009F72E5"/>
    <w:rsid w:val="009F72F4"/>
    <w:rsid w:val="009F7307"/>
    <w:rsid w:val="009F731D"/>
    <w:rsid w:val="009F7390"/>
    <w:rsid w:val="009F748C"/>
    <w:rsid w:val="009F7494"/>
    <w:rsid w:val="009F74EC"/>
    <w:rsid w:val="009F74F9"/>
    <w:rsid w:val="009F74FE"/>
    <w:rsid w:val="009F7539"/>
    <w:rsid w:val="009F7547"/>
    <w:rsid w:val="009F75E7"/>
    <w:rsid w:val="009F7662"/>
    <w:rsid w:val="009F76C7"/>
    <w:rsid w:val="009F76CD"/>
    <w:rsid w:val="009F76E8"/>
    <w:rsid w:val="009F76F9"/>
    <w:rsid w:val="009F7753"/>
    <w:rsid w:val="009F7775"/>
    <w:rsid w:val="009F7799"/>
    <w:rsid w:val="009F77A5"/>
    <w:rsid w:val="009F783C"/>
    <w:rsid w:val="009F786B"/>
    <w:rsid w:val="009F78DE"/>
    <w:rsid w:val="009F790C"/>
    <w:rsid w:val="009F7942"/>
    <w:rsid w:val="009F79BE"/>
    <w:rsid w:val="009F7A3A"/>
    <w:rsid w:val="009F7ACC"/>
    <w:rsid w:val="009F7B0C"/>
    <w:rsid w:val="009F7B70"/>
    <w:rsid w:val="009F7C23"/>
    <w:rsid w:val="009F7C6F"/>
    <w:rsid w:val="009F7C72"/>
    <w:rsid w:val="009F7C74"/>
    <w:rsid w:val="009F7D01"/>
    <w:rsid w:val="009F7D2A"/>
    <w:rsid w:val="009F7DB9"/>
    <w:rsid w:val="009F7DEE"/>
    <w:rsid w:val="009F7DFF"/>
    <w:rsid w:val="009F7F55"/>
    <w:rsid w:val="009F7FD3"/>
    <w:rsid w:val="00A0001D"/>
    <w:rsid w:val="00A000A1"/>
    <w:rsid w:val="00A000AB"/>
    <w:rsid w:val="00A000C8"/>
    <w:rsid w:val="00A0010E"/>
    <w:rsid w:val="00A00233"/>
    <w:rsid w:val="00A002BB"/>
    <w:rsid w:val="00A002FB"/>
    <w:rsid w:val="00A0047E"/>
    <w:rsid w:val="00A00485"/>
    <w:rsid w:val="00A00502"/>
    <w:rsid w:val="00A00530"/>
    <w:rsid w:val="00A00572"/>
    <w:rsid w:val="00A005CD"/>
    <w:rsid w:val="00A0060B"/>
    <w:rsid w:val="00A0065F"/>
    <w:rsid w:val="00A00665"/>
    <w:rsid w:val="00A00689"/>
    <w:rsid w:val="00A006ED"/>
    <w:rsid w:val="00A007AA"/>
    <w:rsid w:val="00A007B0"/>
    <w:rsid w:val="00A00804"/>
    <w:rsid w:val="00A00858"/>
    <w:rsid w:val="00A008AD"/>
    <w:rsid w:val="00A008E6"/>
    <w:rsid w:val="00A009A9"/>
    <w:rsid w:val="00A00A2F"/>
    <w:rsid w:val="00A00AE3"/>
    <w:rsid w:val="00A00AF5"/>
    <w:rsid w:val="00A00BD2"/>
    <w:rsid w:val="00A00BD4"/>
    <w:rsid w:val="00A00C84"/>
    <w:rsid w:val="00A00CE6"/>
    <w:rsid w:val="00A00D39"/>
    <w:rsid w:val="00A00E2F"/>
    <w:rsid w:val="00A00E4B"/>
    <w:rsid w:val="00A00E6D"/>
    <w:rsid w:val="00A00E70"/>
    <w:rsid w:val="00A00ED3"/>
    <w:rsid w:val="00A00EEA"/>
    <w:rsid w:val="00A00F09"/>
    <w:rsid w:val="00A00F34"/>
    <w:rsid w:val="00A00F49"/>
    <w:rsid w:val="00A01048"/>
    <w:rsid w:val="00A01087"/>
    <w:rsid w:val="00A01145"/>
    <w:rsid w:val="00A0115D"/>
    <w:rsid w:val="00A01206"/>
    <w:rsid w:val="00A0126F"/>
    <w:rsid w:val="00A012F0"/>
    <w:rsid w:val="00A01303"/>
    <w:rsid w:val="00A01336"/>
    <w:rsid w:val="00A01387"/>
    <w:rsid w:val="00A013B0"/>
    <w:rsid w:val="00A013CC"/>
    <w:rsid w:val="00A013DA"/>
    <w:rsid w:val="00A014A1"/>
    <w:rsid w:val="00A015A5"/>
    <w:rsid w:val="00A015C0"/>
    <w:rsid w:val="00A01633"/>
    <w:rsid w:val="00A01651"/>
    <w:rsid w:val="00A01661"/>
    <w:rsid w:val="00A01665"/>
    <w:rsid w:val="00A01758"/>
    <w:rsid w:val="00A01772"/>
    <w:rsid w:val="00A017B5"/>
    <w:rsid w:val="00A017C6"/>
    <w:rsid w:val="00A0186F"/>
    <w:rsid w:val="00A018AF"/>
    <w:rsid w:val="00A018CF"/>
    <w:rsid w:val="00A0199D"/>
    <w:rsid w:val="00A01A18"/>
    <w:rsid w:val="00A01AA0"/>
    <w:rsid w:val="00A01AD4"/>
    <w:rsid w:val="00A01AE0"/>
    <w:rsid w:val="00A01AE8"/>
    <w:rsid w:val="00A01C40"/>
    <w:rsid w:val="00A01C58"/>
    <w:rsid w:val="00A01C63"/>
    <w:rsid w:val="00A01DC4"/>
    <w:rsid w:val="00A01DF8"/>
    <w:rsid w:val="00A01E27"/>
    <w:rsid w:val="00A01E42"/>
    <w:rsid w:val="00A01E54"/>
    <w:rsid w:val="00A01E69"/>
    <w:rsid w:val="00A01F01"/>
    <w:rsid w:val="00A01F22"/>
    <w:rsid w:val="00A01F46"/>
    <w:rsid w:val="00A0203C"/>
    <w:rsid w:val="00A020A1"/>
    <w:rsid w:val="00A020B0"/>
    <w:rsid w:val="00A020EF"/>
    <w:rsid w:val="00A0212F"/>
    <w:rsid w:val="00A02149"/>
    <w:rsid w:val="00A02158"/>
    <w:rsid w:val="00A02179"/>
    <w:rsid w:val="00A021D9"/>
    <w:rsid w:val="00A02269"/>
    <w:rsid w:val="00A0227C"/>
    <w:rsid w:val="00A02294"/>
    <w:rsid w:val="00A02362"/>
    <w:rsid w:val="00A0238D"/>
    <w:rsid w:val="00A02481"/>
    <w:rsid w:val="00A02493"/>
    <w:rsid w:val="00A0256C"/>
    <w:rsid w:val="00A0257F"/>
    <w:rsid w:val="00A026C0"/>
    <w:rsid w:val="00A02785"/>
    <w:rsid w:val="00A027D8"/>
    <w:rsid w:val="00A02821"/>
    <w:rsid w:val="00A0288B"/>
    <w:rsid w:val="00A028A8"/>
    <w:rsid w:val="00A028F6"/>
    <w:rsid w:val="00A029FB"/>
    <w:rsid w:val="00A02AEE"/>
    <w:rsid w:val="00A02B08"/>
    <w:rsid w:val="00A02B7F"/>
    <w:rsid w:val="00A02B93"/>
    <w:rsid w:val="00A02B95"/>
    <w:rsid w:val="00A02C2D"/>
    <w:rsid w:val="00A02C7C"/>
    <w:rsid w:val="00A02D14"/>
    <w:rsid w:val="00A02DE8"/>
    <w:rsid w:val="00A02DFE"/>
    <w:rsid w:val="00A02F88"/>
    <w:rsid w:val="00A030B9"/>
    <w:rsid w:val="00A031D7"/>
    <w:rsid w:val="00A031E6"/>
    <w:rsid w:val="00A032BA"/>
    <w:rsid w:val="00A033E9"/>
    <w:rsid w:val="00A033FA"/>
    <w:rsid w:val="00A03462"/>
    <w:rsid w:val="00A03493"/>
    <w:rsid w:val="00A03633"/>
    <w:rsid w:val="00A036B7"/>
    <w:rsid w:val="00A036D1"/>
    <w:rsid w:val="00A036F3"/>
    <w:rsid w:val="00A03716"/>
    <w:rsid w:val="00A0371E"/>
    <w:rsid w:val="00A037A5"/>
    <w:rsid w:val="00A037E1"/>
    <w:rsid w:val="00A037FF"/>
    <w:rsid w:val="00A03908"/>
    <w:rsid w:val="00A03956"/>
    <w:rsid w:val="00A03AAF"/>
    <w:rsid w:val="00A03B09"/>
    <w:rsid w:val="00A03BC8"/>
    <w:rsid w:val="00A03C1B"/>
    <w:rsid w:val="00A03C2A"/>
    <w:rsid w:val="00A03D14"/>
    <w:rsid w:val="00A03D1A"/>
    <w:rsid w:val="00A03D58"/>
    <w:rsid w:val="00A03D96"/>
    <w:rsid w:val="00A03DA3"/>
    <w:rsid w:val="00A03ED1"/>
    <w:rsid w:val="00A03F02"/>
    <w:rsid w:val="00A03F1A"/>
    <w:rsid w:val="00A03FC3"/>
    <w:rsid w:val="00A03FE0"/>
    <w:rsid w:val="00A0407F"/>
    <w:rsid w:val="00A04141"/>
    <w:rsid w:val="00A0415C"/>
    <w:rsid w:val="00A0421F"/>
    <w:rsid w:val="00A04277"/>
    <w:rsid w:val="00A042FC"/>
    <w:rsid w:val="00A042FE"/>
    <w:rsid w:val="00A04327"/>
    <w:rsid w:val="00A0445E"/>
    <w:rsid w:val="00A04465"/>
    <w:rsid w:val="00A044D5"/>
    <w:rsid w:val="00A04514"/>
    <w:rsid w:val="00A04593"/>
    <w:rsid w:val="00A0459C"/>
    <w:rsid w:val="00A0459E"/>
    <w:rsid w:val="00A045BF"/>
    <w:rsid w:val="00A045C4"/>
    <w:rsid w:val="00A04614"/>
    <w:rsid w:val="00A04628"/>
    <w:rsid w:val="00A04643"/>
    <w:rsid w:val="00A04682"/>
    <w:rsid w:val="00A0469A"/>
    <w:rsid w:val="00A04766"/>
    <w:rsid w:val="00A04791"/>
    <w:rsid w:val="00A0479B"/>
    <w:rsid w:val="00A048CC"/>
    <w:rsid w:val="00A048FE"/>
    <w:rsid w:val="00A04914"/>
    <w:rsid w:val="00A04993"/>
    <w:rsid w:val="00A049DA"/>
    <w:rsid w:val="00A049FD"/>
    <w:rsid w:val="00A04A39"/>
    <w:rsid w:val="00A04AE1"/>
    <w:rsid w:val="00A04AF9"/>
    <w:rsid w:val="00A04B04"/>
    <w:rsid w:val="00A04B1D"/>
    <w:rsid w:val="00A04B7A"/>
    <w:rsid w:val="00A04B95"/>
    <w:rsid w:val="00A04C4D"/>
    <w:rsid w:val="00A04D08"/>
    <w:rsid w:val="00A04D0F"/>
    <w:rsid w:val="00A04D15"/>
    <w:rsid w:val="00A04D24"/>
    <w:rsid w:val="00A04DA2"/>
    <w:rsid w:val="00A04E3E"/>
    <w:rsid w:val="00A04E58"/>
    <w:rsid w:val="00A04E6B"/>
    <w:rsid w:val="00A0502A"/>
    <w:rsid w:val="00A05061"/>
    <w:rsid w:val="00A0508D"/>
    <w:rsid w:val="00A051F0"/>
    <w:rsid w:val="00A05292"/>
    <w:rsid w:val="00A052A7"/>
    <w:rsid w:val="00A05300"/>
    <w:rsid w:val="00A05348"/>
    <w:rsid w:val="00A05395"/>
    <w:rsid w:val="00A053A3"/>
    <w:rsid w:val="00A053A4"/>
    <w:rsid w:val="00A053EF"/>
    <w:rsid w:val="00A05402"/>
    <w:rsid w:val="00A05417"/>
    <w:rsid w:val="00A054A6"/>
    <w:rsid w:val="00A05501"/>
    <w:rsid w:val="00A0558D"/>
    <w:rsid w:val="00A05591"/>
    <w:rsid w:val="00A0563B"/>
    <w:rsid w:val="00A05645"/>
    <w:rsid w:val="00A0565C"/>
    <w:rsid w:val="00A0567D"/>
    <w:rsid w:val="00A05731"/>
    <w:rsid w:val="00A0576A"/>
    <w:rsid w:val="00A05834"/>
    <w:rsid w:val="00A058B3"/>
    <w:rsid w:val="00A058BB"/>
    <w:rsid w:val="00A0594A"/>
    <w:rsid w:val="00A05961"/>
    <w:rsid w:val="00A059FF"/>
    <w:rsid w:val="00A05A06"/>
    <w:rsid w:val="00A05A15"/>
    <w:rsid w:val="00A05A19"/>
    <w:rsid w:val="00A05A91"/>
    <w:rsid w:val="00A05AA0"/>
    <w:rsid w:val="00A05ADB"/>
    <w:rsid w:val="00A05B1E"/>
    <w:rsid w:val="00A05B44"/>
    <w:rsid w:val="00A05BAC"/>
    <w:rsid w:val="00A05BD9"/>
    <w:rsid w:val="00A05C2B"/>
    <w:rsid w:val="00A05C38"/>
    <w:rsid w:val="00A05C49"/>
    <w:rsid w:val="00A05CEE"/>
    <w:rsid w:val="00A05D62"/>
    <w:rsid w:val="00A05E04"/>
    <w:rsid w:val="00A05E41"/>
    <w:rsid w:val="00A05ED1"/>
    <w:rsid w:val="00A05F32"/>
    <w:rsid w:val="00A05F4B"/>
    <w:rsid w:val="00A05F9B"/>
    <w:rsid w:val="00A05FC6"/>
    <w:rsid w:val="00A05FCD"/>
    <w:rsid w:val="00A06028"/>
    <w:rsid w:val="00A060C2"/>
    <w:rsid w:val="00A060F7"/>
    <w:rsid w:val="00A06150"/>
    <w:rsid w:val="00A06185"/>
    <w:rsid w:val="00A062BF"/>
    <w:rsid w:val="00A062F2"/>
    <w:rsid w:val="00A06341"/>
    <w:rsid w:val="00A06387"/>
    <w:rsid w:val="00A06389"/>
    <w:rsid w:val="00A063AB"/>
    <w:rsid w:val="00A063C2"/>
    <w:rsid w:val="00A063FF"/>
    <w:rsid w:val="00A06458"/>
    <w:rsid w:val="00A0649D"/>
    <w:rsid w:val="00A064BF"/>
    <w:rsid w:val="00A06513"/>
    <w:rsid w:val="00A06519"/>
    <w:rsid w:val="00A0651B"/>
    <w:rsid w:val="00A0653F"/>
    <w:rsid w:val="00A0654E"/>
    <w:rsid w:val="00A06574"/>
    <w:rsid w:val="00A065C7"/>
    <w:rsid w:val="00A065F0"/>
    <w:rsid w:val="00A065FE"/>
    <w:rsid w:val="00A0668B"/>
    <w:rsid w:val="00A066BC"/>
    <w:rsid w:val="00A066BD"/>
    <w:rsid w:val="00A066E4"/>
    <w:rsid w:val="00A06715"/>
    <w:rsid w:val="00A06760"/>
    <w:rsid w:val="00A06898"/>
    <w:rsid w:val="00A06901"/>
    <w:rsid w:val="00A06937"/>
    <w:rsid w:val="00A06988"/>
    <w:rsid w:val="00A069AB"/>
    <w:rsid w:val="00A069B9"/>
    <w:rsid w:val="00A069FB"/>
    <w:rsid w:val="00A06A36"/>
    <w:rsid w:val="00A06A51"/>
    <w:rsid w:val="00A06A77"/>
    <w:rsid w:val="00A06A81"/>
    <w:rsid w:val="00A06AD9"/>
    <w:rsid w:val="00A06B18"/>
    <w:rsid w:val="00A06B3B"/>
    <w:rsid w:val="00A06C2D"/>
    <w:rsid w:val="00A06CA4"/>
    <w:rsid w:val="00A06D5F"/>
    <w:rsid w:val="00A06D85"/>
    <w:rsid w:val="00A06E09"/>
    <w:rsid w:val="00A06E28"/>
    <w:rsid w:val="00A06E60"/>
    <w:rsid w:val="00A06EDE"/>
    <w:rsid w:val="00A06F17"/>
    <w:rsid w:val="00A06F38"/>
    <w:rsid w:val="00A06F69"/>
    <w:rsid w:val="00A06FEC"/>
    <w:rsid w:val="00A07010"/>
    <w:rsid w:val="00A07030"/>
    <w:rsid w:val="00A07073"/>
    <w:rsid w:val="00A070F4"/>
    <w:rsid w:val="00A07130"/>
    <w:rsid w:val="00A07199"/>
    <w:rsid w:val="00A071C8"/>
    <w:rsid w:val="00A071D4"/>
    <w:rsid w:val="00A07232"/>
    <w:rsid w:val="00A0725B"/>
    <w:rsid w:val="00A0726C"/>
    <w:rsid w:val="00A0729D"/>
    <w:rsid w:val="00A072A8"/>
    <w:rsid w:val="00A072CC"/>
    <w:rsid w:val="00A0730C"/>
    <w:rsid w:val="00A07347"/>
    <w:rsid w:val="00A073B8"/>
    <w:rsid w:val="00A073F3"/>
    <w:rsid w:val="00A0745F"/>
    <w:rsid w:val="00A0746E"/>
    <w:rsid w:val="00A0747C"/>
    <w:rsid w:val="00A074E9"/>
    <w:rsid w:val="00A0751A"/>
    <w:rsid w:val="00A07547"/>
    <w:rsid w:val="00A07550"/>
    <w:rsid w:val="00A075BD"/>
    <w:rsid w:val="00A075D2"/>
    <w:rsid w:val="00A076C8"/>
    <w:rsid w:val="00A076D7"/>
    <w:rsid w:val="00A077BF"/>
    <w:rsid w:val="00A078FD"/>
    <w:rsid w:val="00A07950"/>
    <w:rsid w:val="00A079AE"/>
    <w:rsid w:val="00A079CB"/>
    <w:rsid w:val="00A07A24"/>
    <w:rsid w:val="00A07A42"/>
    <w:rsid w:val="00A07A71"/>
    <w:rsid w:val="00A07AD5"/>
    <w:rsid w:val="00A07B31"/>
    <w:rsid w:val="00A07BB7"/>
    <w:rsid w:val="00A07BE7"/>
    <w:rsid w:val="00A07C33"/>
    <w:rsid w:val="00A07C63"/>
    <w:rsid w:val="00A07C80"/>
    <w:rsid w:val="00A07CD1"/>
    <w:rsid w:val="00A07D71"/>
    <w:rsid w:val="00A07D77"/>
    <w:rsid w:val="00A07E20"/>
    <w:rsid w:val="00A07E26"/>
    <w:rsid w:val="00A07EBD"/>
    <w:rsid w:val="00A07ED1"/>
    <w:rsid w:val="00A07F02"/>
    <w:rsid w:val="00A07F75"/>
    <w:rsid w:val="00A07F79"/>
    <w:rsid w:val="00A100E6"/>
    <w:rsid w:val="00A1015B"/>
    <w:rsid w:val="00A10168"/>
    <w:rsid w:val="00A101B2"/>
    <w:rsid w:val="00A102F4"/>
    <w:rsid w:val="00A1030C"/>
    <w:rsid w:val="00A10384"/>
    <w:rsid w:val="00A103C5"/>
    <w:rsid w:val="00A10462"/>
    <w:rsid w:val="00A10631"/>
    <w:rsid w:val="00A106D7"/>
    <w:rsid w:val="00A106D9"/>
    <w:rsid w:val="00A10720"/>
    <w:rsid w:val="00A107CA"/>
    <w:rsid w:val="00A10853"/>
    <w:rsid w:val="00A108E4"/>
    <w:rsid w:val="00A109B8"/>
    <w:rsid w:val="00A10A01"/>
    <w:rsid w:val="00A10A05"/>
    <w:rsid w:val="00A10A43"/>
    <w:rsid w:val="00A10A44"/>
    <w:rsid w:val="00A10A6C"/>
    <w:rsid w:val="00A10ACD"/>
    <w:rsid w:val="00A10AD3"/>
    <w:rsid w:val="00A10B0C"/>
    <w:rsid w:val="00A10B85"/>
    <w:rsid w:val="00A10BC0"/>
    <w:rsid w:val="00A10C39"/>
    <w:rsid w:val="00A10C52"/>
    <w:rsid w:val="00A10CA6"/>
    <w:rsid w:val="00A10CAA"/>
    <w:rsid w:val="00A10D66"/>
    <w:rsid w:val="00A10D97"/>
    <w:rsid w:val="00A10E79"/>
    <w:rsid w:val="00A10E98"/>
    <w:rsid w:val="00A10F53"/>
    <w:rsid w:val="00A10FC2"/>
    <w:rsid w:val="00A11002"/>
    <w:rsid w:val="00A11032"/>
    <w:rsid w:val="00A110AF"/>
    <w:rsid w:val="00A110B3"/>
    <w:rsid w:val="00A110C8"/>
    <w:rsid w:val="00A110FC"/>
    <w:rsid w:val="00A1111D"/>
    <w:rsid w:val="00A1111F"/>
    <w:rsid w:val="00A1116F"/>
    <w:rsid w:val="00A11192"/>
    <w:rsid w:val="00A111E4"/>
    <w:rsid w:val="00A11249"/>
    <w:rsid w:val="00A1130C"/>
    <w:rsid w:val="00A1134B"/>
    <w:rsid w:val="00A113A3"/>
    <w:rsid w:val="00A113D4"/>
    <w:rsid w:val="00A11454"/>
    <w:rsid w:val="00A11468"/>
    <w:rsid w:val="00A1152B"/>
    <w:rsid w:val="00A11561"/>
    <w:rsid w:val="00A11572"/>
    <w:rsid w:val="00A115AD"/>
    <w:rsid w:val="00A115F1"/>
    <w:rsid w:val="00A1162F"/>
    <w:rsid w:val="00A1163D"/>
    <w:rsid w:val="00A11676"/>
    <w:rsid w:val="00A117C4"/>
    <w:rsid w:val="00A1188F"/>
    <w:rsid w:val="00A1199C"/>
    <w:rsid w:val="00A119A6"/>
    <w:rsid w:val="00A11A9A"/>
    <w:rsid w:val="00A11AA3"/>
    <w:rsid w:val="00A11BC4"/>
    <w:rsid w:val="00A11BC6"/>
    <w:rsid w:val="00A11BF2"/>
    <w:rsid w:val="00A11C03"/>
    <w:rsid w:val="00A11C23"/>
    <w:rsid w:val="00A11CD3"/>
    <w:rsid w:val="00A11CE1"/>
    <w:rsid w:val="00A11CEB"/>
    <w:rsid w:val="00A11DAE"/>
    <w:rsid w:val="00A11DD5"/>
    <w:rsid w:val="00A11DF2"/>
    <w:rsid w:val="00A11DF9"/>
    <w:rsid w:val="00A11E50"/>
    <w:rsid w:val="00A11E7E"/>
    <w:rsid w:val="00A11F49"/>
    <w:rsid w:val="00A11FC7"/>
    <w:rsid w:val="00A11FE3"/>
    <w:rsid w:val="00A1208B"/>
    <w:rsid w:val="00A120EE"/>
    <w:rsid w:val="00A12109"/>
    <w:rsid w:val="00A121BE"/>
    <w:rsid w:val="00A12270"/>
    <w:rsid w:val="00A12343"/>
    <w:rsid w:val="00A1247B"/>
    <w:rsid w:val="00A12573"/>
    <w:rsid w:val="00A1264D"/>
    <w:rsid w:val="00A1267B"/>
    <w:rsid w:val="00A126A0"/>
    <w:rsid w:val="00A126A2"/>
    <w:rsid w:val="00A126F3"/>
    <w:rsid w:val="00A1274E"/>
    <w:rsid w:val="00A1278C"/>
    <w:rsid w:val="00A127AD"/>
    <w:rsid w:val="00A12846"/>
    <w:rsid w:val="00A12870"/>
    <w:rsid w:val="00A12878"/>
    <w:rsid w:val="00A12943"/>
    <w:rsid w:val="00A12995"/>
    <w:rsid w:val="00A12A46"/>
    <w:rsid w:val="00A12A4A"/>
    <w:rsid w:val="00A12A59"/>
    <w:rsid w:val="00A12AD1"/>
    <w:rsid w:val="00A12B06"/>
    <w:rsid w:val="00A12B21"/>
    <w:rsid w:val="00A12B62"/>
    <w:rsid w:val="00A12BD5"/>
    <w:rsid w:val="00A12C0A"/>
    <w:rsid w:val="00A12C5A"/>
    <w:rsid w:val="00A12C98"/>
    <w:rsid w:val="00A12D00"/>
    <w:rsid w:val="00A12DC1"/>
    <w:rsid w:val="00A12E47"/>
    <w:rsid w:val="00A12EC9"/>
    <w:rsid w:val="00A12EF1"/>
    <w:rsid w:val="00A12F71"/>
    <w:rsid w:val="00A12FA9"/>
    <w:rsid w:val="00A12FC3"/>
    <w:rsid w:val="00A13179"/>
    <w:rsid w:val="00A1318C"/>
    <w:rsid w:val="00A131B9"/>
    <w:rsid w:val="00A131E2"/>
    <w:rsid w:val="00A1326A"/>
    <w:rsid w:val="00A13289"/>
    <w:rsid w:val="00A133BC"/>
    <w:rsid w:val="00A133C0"/>
    <w:rsid w:val="00A133C2"/>
    <w:rsid w:val="00A13418"/>
    <w:rsid w:val="00A134E6"/>
    <w:rsid w:val="00A13557"/>
    <w:rsid w:val="00A13643"/>
    <w:rsid w:val="00A13653"/>
    <w:rsid w:val="00A136A6"/>
    <w:rsid w:val="00A1370C"/>
    <w:rsid w:val="00A13775"/>
    <w:rsid w:val="00A1377B"/>
    <w:rsid w:val="00A137CE"/>
    <w:rsid w:val="00A13893"/>
    <w:rsid w:val="00A138A6"/>
    <w:rsid w:val="00A1399D"/>
    <w:rsid w:val="00A139CC"/>
    <w:rsid w:val="00A13AED"/>
    <w:rsid w:val="00A13C04"/>
    <w:rsid w:val="00A13C24"/>
    <w:rsid w:val="00A13C31"/>
    <w:rsid w:val="00A13D62"/>
    <w:rsid w:val="00A13D7A"/>
    <w:rsid w:val="00A13D93"/>
    <w:rsid w:val="00A13D95"/>
    <w:rsid w:val="00A13E5D"/>
    <w:rsid w:val="00A13E5F"/>
    <w:rsid w:val="00A13E75"/>
    <w:rsid w:val="00A13EC6"/>
    <w:rsid w:val="00A13EE3"/>
    <w:rsid w:val="00A13EFF"/>
    <w:rsid w:val="00A13F15"/>
    <w:rsid w:val="00A13F28"/>
    <w:rsid w:val="00A13FBF"/>
    <w:rsid w:val="00A140FB"/>
    <w:rsid w:val="00A14101"/>
    <w:rsid w:val="00A14134"/>
    <w:rsid w:val="00A1413E"/>
    <w:rsid w:val="00A1417D"/>
    <w:rsid w:val="00A14180"/>
    <w:rsid w:val="00A141B0"/>
    <w:rsid w:val="00A141C0"/>
    <w:rsid w:val="00A14226"/>
    <w:rsid w:val="00A14278"/>
    <w:rsid w:val="00A14293"/>
    <w:rsid w:val="00A142B4"/>
    <w:rsid w:val="00A142E3"/>
    <w:rsid w:val="00A1431B"/>
    <w:rsid w:val="00A1443F"/>
    <w:rsid w:val="00A14452"/>
    <w:rsid w:val="00A14459"/>
    <w:rsid w:val="00A14486"/>
    <w:rsid w:val="00A144F8"/>
    <w:rsid w:val="00A14526"/>
    <w:rsid w:val="00A14529"/>
    <w:rsid w:val="00A1468B"/>
    <w:rsid w:val="00A146EB"/>
    <w:rsid w:val="00A14712"/>
    <w:rsid w:val="00A14734"/>
    <w:rsid w:val="00A14736"/>
    <w:rsid w:val="00A14786"/>
    <w:rsid w:val="00A147A9"/>
    <w:rsid w:val="00A148AB"/>
    <w:rsid w:val="00A14903"/>
    <w:rsid w:val="00A1490A"/>
    <w:rsid w:val="00A1491C"/>
    <w:rsid w:val="00A149C1"/>
    <w:rsid w:val="00A149DE"/>
    <w:rsid w:val="00A149E8"/>
    <w:rsid w:val="00A14A53"/>
    <w:rsid w:val="00A14AEE"/>
    <w:rsid w:val="00A14B34"/>
    <w:rsid w:val="00A14B43"/>
    <w:rsid w:val="00A14B67"/>
    <w:rsid w:val="00A14BA0"/>
    <w:rsid w:val="00A14BB6"/>
    <w:rsid w:val="00A14BC7"/>
    <w:rsid w:val="00A14BFF"/>
    <w:rsid w:val="00A14C51"/>
    <w:rsid w:val="00A14CE8"/>
    <w:rsid w:val="00A14D6B"/>
    <w:rsid w:val="00A14E1D"/>
    <w:rsid w:val="00A14E79"/>
    <w:rsid w:val="00A14F40"/>
    <w:rsid w:val="00A14F60"/>
    <w:rsid w:val="00A14F98"/>
    <w:rsid w:val="00A14FA4"/>
    <w:rsid w:val="00A1500E"/>
    <w:rsid w:val="00A15078"/>
    <w:rsid w:val="00A1508A"/>
    <w:rsid w:val="00A150F6"/>
    <w:rsid w:val="00A15105"/>
    <w:rsid w:val="00A15111"/>
    <w:rsid w:val="00A15342"/>
    <w:rsid w:val="00A1545D"/>
    <w:rsid w:val="00A15469"/>
    <w:rsid w:val="00A15486"/>
    <w:rsid w:val="00A1549C"/>
    <w:rsid w:val="00A154C6"/>
    <w:rsid w:val="00A154C7"/>
    <w:rsid w:val="00A154F2"/>
    <w:rsid w:val="00A15531"/>
    <w:rsid w:val="00A15553"/>
    <w:rsid w:val="00A155B3"/>
    <w:rsid w:val="00A15644"/>
    <w:rsid w:val="00A156BB"/>
    <w:rsid w:val="00A156C7"/>
    <w:rsid w:val="00A15763"/>
    <w:rsid w:val="00A1578B"/>
    <w:rsid w:val="00A15871"/>
    <w:rsid w:val="00A158A8"/>
    <w:rsid w:val="00A158ED"/>
    <w:rsid w:val="00A1593A"/>
    <w:rsid w:val="00A15980"/>
    <w:rsid w:val="00A15A3B"/>
    <w:rsid w:val="00A15A52"/>
    <w:rsid w:val="00A15A5F"/>
    <w:rsid w:val="00A15A90"/>
    <w:rsid w:val="00A15A96"/>
    <w:rsid w:val="00A15B73"/>
    <w:rsid w:val="00A15BA6"/>
    <w:rsid w:val="00A15BFB"/>
    <w:rsid w:val="00A15C38"/>
    <w:rsid w:val="00A15CD3"/>
    <w:rsid w:val="00A15D1A"/>
    <w:rsid w:val="00A15D8A"/>
    <w:rsid w:val="00A15DC3"/>
    <w:rsid w:val="00A15E50"/>
    <w:rsid w:val="00A15E56"/>
    <w:rsid w:val="00A15F6C"/>
    <w:rsid w:val="00A15F76"/>
    <w:rsid w:val="00A15F94"/>
    <w:rsid w:val="00A15FD4"/>
    <w:rsid w:val="00A15FF1"/>
    <w:rsid w:val="00A1618B"/>
    <w:rsid w:val="00A161F1"/>
    <w:rsid w:val="00A1620E"/>
    <w:rsid w:val="00A16239"/>
    <w:rsid w:val="00A16267"/>
    <w:rsid w:val="00A16274"/>
    <w:rsid w:val="00A16330"/>
    <w:rsid w:val="00A1643B"/>
    <w:rsid w:val="00A1651D"/>
    <w:rsid w:val="00A165C4"/>
    <w:rsid w:val="00A165FF"/>
    <w:rsid w:val="00A16706"/>
    <w:rsid w:val="00A1670C"/>
    <w:rsid w:val="00A1675B"/>
    <w:rsid w:val="00A16805"/>
    <w:rsid w:val="00A1680F"/>
    <w:rsid w:val="00A16816"/>
    <w:rsid w:val="00A1691B"/>
    <w:rsid w:val="00A16928"/>
    <w:rsid w:val="00A1698D"/>
    <w:rsid w:val="00A169A8"/>
    <w:rsid w:val="00A16A18"/>
    <w:rsid w:val="00A16A55"/>
    <w:rsid w:val="00A16BA0"/>
    <w:rsid w:val="00A16BB1"/>
    <w:rsid w:val="00A16CA8"/>
    <w:rsid w:val="00A16CC3"/>
    <w:rsid w:val="00A16D35"/>
    <w:rsid w:val="00A16DD5"/>
    <w:rsid w:val="00A16E2A"/>
    <w:rsid w:val="00A16EAE"/>
    <w:rsid w:val="00A16EB8"/>
    <w:rsid w:val="00A16EDB"/>
    <w:rsid w:val="00A16EFB"/>
    <w:rsid w:val="00A16F87"/>
    <w:rsid w:val="00A16FE7"/>
    <w:rsid w:val="00A17020"/>
    <w:rsid w:val="00A1708A"/>
    <w:rsid w:val="00A17143"/>
    <w:rsid w:val="00A17205"/>
    <w:rsid w:val="00A17227"/>
    <w:rsid w:val="00A1724C"/>
    <w:rsid w:val="00A1734E"/>
    <w:rsid w:val="00A17354"/>
    <w:rsid w:val="00A173FC"/>
    <w:rsid w:val="00A17448"/>
    <w:rsid w:val="00A1748C"/>
    <w:rsid w:val="00A1749F"/>
    <w:rsid w:val="00A1754C"/>
    <w:rsid w:val="00A1756E"/>
    <w:rsid w:val="00A175CE"/>
    <w:rsid w:val="00A176BE"/>
    <w:rsid w:val="00A177B9"/>
    <w:rsid w:val="00A177BC"/>
    <w:rsid w:val="00A17820"/>
    <w:rsid w:val="00A17865"/>
    <w:rsid w:val="00A1788F"/>
    <w:rsid w:val="00A17895"/>
    <w:rsid w:val="00A179EC"/>
    <w:rsid w:val="00A179EF"/>
    <w:rsid w:val="00A17A15"/>
    <w:rsid w:val="00A17A45"/>
    <w:rsid w:val="00A17A6A"/>
    <w:rsid w:val="00A17A75"/>
    <w:rsid w:val="00A17A92"/>
    <w:rsid w:val="00A17AD7"/>
    <w:rsid w:val="00A17B4B"/>
    <w:rsid w:val="00A17BC8"/>
    <w:rsid w:val="00A17C50"/>
    <w:rsid w:val="00A17CA6"/>
    <w:rsid w:val="00A17CBA"/>
    <w:rsid w:val="00A17D6A"/>
    <w:rsid w:val="00A17D72"/>
    <w:rsid w:val="00A17DDB"/>
    <w:rsid w:val="00A17DE0"/>
    <w:rsid w:val="00A17E01"/>
    <w:rsid w:val="00A17E03"/>
    <w:rsid w:val="00A17E45"/>
    <w:rsid w:val="00A17E9F"/>
    <w:rsid w:val="00A17EEC"/>
    <w:rsid w:val="00A17F06"/>
    <w:rsid w:val="00A17F3F"/>
    <w:rsid w:val="00A17F43"/>
    <w:rsid w:val="00A1CFD8"/>
    <w:rsid w:val="00A2010F"/>
    <w:rsid w:val="00A20131"/>
    <w:rsid w:val="00A20149"/>
    <w:rsid w:val="00A2015C"/>
    <w:rsid w:val="00A20160"/>
    <w:rsid w:val="00A201CE"/>
    <w:rsid w:val="00A20220"/>
    <w:rsid w:val="00A2023C"/>
    <w:rsid w:val="00A202FC"/>
    <w:rsid w:val="00A20393"/>
    <w:rsid w:val="00A20394"/>
    <w:rsid w:val="00A2044D"/>
    <w:rsid w:val="00A2063B"/>
    <w:rsid w:val="00A2066C"/>
    <w:rsid w:val="00A206FF"/>
    <w:rsid w:val="00A207B4"/>
    <w:rsid w:val="00A20882"/>
    <w:rsid w:val="00A209DC"/>
    <w:rsid w:val="00A209EF"/>
    <w:rsid w:val="00A20A20"/>
    <w:rsid w:val="00A20AC5"/>
    <w:rsid w:val="00A20B21"/>
    <w:rsid w:val="00A20B90"/>
    <w:rsid w:val="00A20BE8"/>
    <w:rsid w:val="00A20BFD"/>
    <w:rsid w:val="00A20C41"/>
    <w:rsid w:val="00A20C8A"/>
    <w:rsid w:val="00A20D1D"/>
    <w:rsid w:val="00A20DBF"/>
    <w:rsid w:val="00A20E09"/>
    <w:rsid w:val="00A20E7F"/>
    <w:rsid w:val="00A20F8D"/>
    <w:rsid w:val="00A20F90"/>
    <w:rsid w:val="00A20FF3"/>
    <w:rsid w:val="00A20FFD"/>
    <w:rsid w:val="00A2100D"/>
    <w:rsid w:val="00A2109C"/>
    <w:rsid w:val="00A210A2"/>
    <w:rsid w:val="00A210B6"/>
    <w:rsid w:val="00A21109"/>
    <w:rsid w:val="00A21171"/>
    <w:rsid w:val="00A211E1"/>
    <w:rsid w:val="00A2125C"/>
    <w:rsid w:val="00A21298"/>
    <w:rsid w:val="00A212A3"/>
    <w:rsid w:val="00A21361"/>
    <w:rsid w:val="00A2138A"/>
    <w:rsid w:val="00A213A7"/>
    <w:rsid w:val="00A214AA"/>
    <w:rsid w:val="00A2154D"/>
    <w:rsid w:val="00A21573"/>
    <w:rsid w:val="00A215C9"/>
    <w:rsid w:val="00A215FF"/>
    <w:rsid w:val="00A2169D"/>
    <w:rsid w:val="00A216AF"/>
    <w:rsid w:val="00A216F3"/>
    <w:rsid w:val="00A21721"/>
    <w:rsid w:val="00A21729"/>
    <w:rsid w:val="00A21730"/>
    <w:rsid w:val="00A2173F"/>
    <w:rsid w:val="00A21748"/>
    <w:rsid w:val="00A21783"/>
    <w:rsid w:val="00A21917"/>
    <w:rsid w:val="00A21A6E"/>
    <w:rsid w:val="00A21A79"/>
    <w:rsid w:val="00A21AF8"/>
    <w:rsid w:val="00A21B05"/>
    <w:rsid w:val="00A21BC0"/>
    <w:rsid w:val="00A21BF1"/>
    <w:rsid w:val="00A21BFB"/>
    <w:rsid w:val="00A21C79"/>
    <w:rsid w:val="00A21CB3"/>
    <w:rsid w:val="00A21DE9"/>
    <w:rsid w:val="00A21DEB"/>
    <w:rsid w:val="00A21E48"/>
    <w:rsid w:val="00A21E4E"/>
    <w:rsid w:val="00A21E9E"/>
    <w:rsid w:val="00A21EEE"/>
    <w:rsid w:val="00A21F29"/>
    <w:rsid w:val="00A21FAD"/>
    <w:rsid w:val="00A21FE1"/>
    <w:rsid w:val="00A2201F"/>
    <w:rsid w:val="00A2202B"/>
    <w:rsid w:val="00A22044"/>
    <w:rsid w:val="00A22054"/>
    <w:rsid w:val="00A22073"/>
    <w:rsid w:val="00A220BF"/>
    <w:rsid w:val="00A220D3"/>
    <w:rsid w:val="00A2212D"/>
    <w:rsid w:val="00A2217C"/>
    <w:rsid w:val="00A2220D"/>
    <w:rsid w:val="00A22220"/>
    <w:rsid w:val="00A222CD"/>
    <w:rsid w:val="00A2231F"/>
    <w:rsid w:val="00A22362"/>
    <w:rsid w:val="00A22364"/>
    <w:rsid w:val="00A223B4"/>
    <w:rsid w:val="00A223D5"/>
    <w:rsid w:val="00A22421"/>
    <w:rsid w:val="00A22498"/>
    <w:rsid w:val="00A224F3"/>
    <w:rsid w:val="00A22522"/>
    <w:rsid w:val="00A2252F"/>
    <w:rsid w:val="00A2259A"/>
    <w:rsid w:val="00A2259C"/>
    <w:rsid w:val="00A2259F"/>
    <w:rsid w:val="00A225C1"/>
    <w:rsid w:val="00A225EB"/>
    <w:rsid w:val="00A225F9"/>
    <w:rsid w:val="00A22608"/>
    <w:rsid w:val="00A2270B"/>
    <w:rsid w:val="00A22770"/>
    <w:rsid w:val="00A227AA"/>
    <w:rsid w:val="00A227F3"/>
    <w:rsid w:val="00A22862"/>
    <w:rsid w:val="00A22881"/>
    <w:rsid w:val="00A22893"/>
    <w:rsid w:val="00A228CA"/>
    <w:rsid w:val="00A2297C"/>
    <w:rsid w:val="00A229E7"/>
    <w:rsid w:val="00A22A0B"/>
    <w:rsid w:val="00A22AAD"/>
    <w:rsid w:val="00A22B0D"/>
    <w:rsid w:val="00A22BF9"/>
    <w:rsid w:val="00A22C2C"/>
    <w:rsid w:val="00A22C54"/>
    <w:rsid w:val="00A22C8C"/>
    <w:rsid w:val="00A22CC5"/>
    <w:rsid w:val="00A22DAC"/>
    <w:rsid w:val="00A22DDE"/>
    <w:rsid w:val="00A22E16"/>
    <w:rsid w:val="00A22F3D"/>
    <w:rsid w:val="00A22F80"/>
    <w:rsid w:val="00A22F83"/>
    <w:rsid w:val="00A22F89"/>
    <w:rsid w:val="00A22FBF"/>
    <w:rsid w:val="00A22FD9"/>
    <w:rsid w:val="00A2302D"/>
    <w:rsid w:val="00A2303B"/>
    <w:rsid w:val="00A230C7"/>
    <w:rsid w:val="00A23178"/>
    <w:rsid w:val="00A231B1"/>
    <w:rsid w:val="00A23373"/>
    <w:rsid w:val="00A233E6"/>
    <w:rsid w:val="00A23473"/>
    <w:rsid w:val="00A23483"/>
    <w:rsid w:val="00A234CD"/>
    <w:rsid w:val="00A2350F"/>
    <w:rsid w:val="00A2351F"/>
    <w:rsid w:val="00A2361E"/>
    <w:rsid w:val="00A2366E"/>
    <w:rsid w:val="00A236FC"/>
    <w:rsid w:val="00A23744"/>
    <w:rsid w:val="00A23781"/>
    <w:rsid w:val="00A237F6"/>
    <w:rsid w:val="00A238AF"/>
    <w:rsid w:val="00A23906"/>
    <w:rsid w:val="00A239B2"/>
    <w:rsid w:val="00A239E0"/>
    <w:rsid w:val="00A23A63"/>
    <w:rsid w:val="00A23AA5"/>
    <w:rsid w:val="00A23B1F"/>
    <w:rsid w:val="00A23B6F"/>
    <w:rsid w:val="00A23C09"/>
    <w:rsid w:val="00A23C79"/>
    <w:rsid w:val="00A23D25"/>
    <w:rsid w:val="00A23DB1"/>
    <w:rsid w:val="00A23E1F"/>
    <w:rsid w:val="00A23E53"/>
    <w:rsid w:val="00A23E59"/>
    <w:rsid w:val="00A23E73"/>
    <w:rsid w:val="00A23F2B"/>
    <w:rsid w:val="00A23F3C"/>
    <w:rsid w:val="00A23FA0"/>
    <w:rsid w:val="00A2403E"/>
    <w:rsid w:val="00A24049"/>
    <w:rsid w:val="00A24064"/>
    <w:rsid w:val="00A2412A"/>
    <w:rsid w:val="00A24226"/>
    <w:rsid w:val="00A24261"/>
    <w:rsid w:val="00A242A2"/>
    <w:rsid w:val="00A2430F"/>
    <w:rsid w:val="00A24354"/>
    <w:rsid w:val="00A2437B"/>
    <w:rsid w:val="00A24380"/>
    <w:rsid w:val="00A2439C"/>
    <w:rsid w:val="00A243A9"/>
    <w:rsid w:val="00A24435"/>
    <w:rsid w:val="00A244AE"/>
    <w:rsid w:val="00A244B1"/>
    <w:rsid w:val="00A24544"/>
    <w:rsid w:val="00A24558"/>
    <w:rsid w:val="00A2456A"/>
    <w:rsid w:val="00A24595"/>
    <w:rsid w:val="00A245AA"/>
    <w:rsid w:val="00A245BB"/>
    <w:rsid w:val="00A24645"/>
    <w:rsid w:val="00A2469A"/>
    <w:rsid w:val="00A246A4"/>
    <w:rsid w:val="00A246D7"/>
    <w:rsid w:val="00A246E7"/>
    <w:rsid w:val="00A2470D"/>
    <w:rsid w:val="00A24720"/>
    <w:rsid w:val="00A24761"/>
    <w:rsid w:val="00A2477C"/>
    <w:rsid w:val="00A24809"/>
    <w:rsid w:val="00A2480E"/>
    <w:rsid w:val="00A248CA"/>
    <w:rsid w:val="00A2499D"/>
    <w:rsid w:val="00A249B5"/>
    <w:rsid w:val="00A249CA"/>
    <w:rsid w:val="00A24A1F"/>
    <w:rsid w:val="00A24A5C"/>
    <w:rsid w:val="00A24AE8"/>
    <w:rsid w:val="00A24B16"/>
    <w:rsid w:val="00A24B3B"/>
    <w:rsid w:val="00A24B95"/>
    <w:rsid w:val="00A24BA5"/>
    <w:rsid w:val="00A24C35"/>
    <w:rsid w:val="00A24C5B"/>
    <w:rsid w:val="00A24C98"/>
    <w:rsid w:val="00A24CB0"/>
    <w:rsid w:val="00A24CDF"/>
    <w:rsid w:val="00A24CF3"/>
    <w:rsid w:val="00A24D48"/>
    <w:rsid w:val="00A24D60"/>
    <w:rsid w:val="00A24D92"/>
    <w:rsid w:val="00A24E2C"/>
    <w:rsid w:val="00A24E3E"/>
    <w:rsid w:val="00A24E6E"/>
    <w:rsid w:val="00A24F1C"/>
    <w:rsid w:val="00A24FF3"/>
    <w:rsid w:val="00A25002"/>
    <w:rsid w:val="00A25032"/>
    <w:rsid w:val="00A25051"/>
    <w:rsid w:val="00A25060"/>
    <w:rsid w:val="00A250B7"/>
    <w:rsid w:val="00A250BB"/>
    <w:rsid w:val="00A250C8"/>
    <w:rsid w:val="00A25117"/>
    <w:rsid w:val="00A25136"/>
    <w:rsid w:val="00A25169"/>
    <w:rsid w:val="00A251E0"/>
    <w:rsid w:val="00A25339"/>
    <w:rsid w:val="00A2534F"/>
    <w:rsid w:val="00A25385"/>
    <w:rsid w:val="00A2548F"/>
    <w:rsid w:val="00A254EF"/>
    <w:rsid w:val="00A2555B"/>
    <w:rsid w:val="00A255DE"/>
    <w:rsid w:val="00A25608"/>
    <w:rsid w:val="00A25689"/>
    <w:rsid w:val="00A256D3"/>
    <w:rsid w:val="00A2574B"/>
    <w:rsid w:val="00A25778"/>
    <w:rsid w:val="00A25791"/>
    <w:rsid w:val="00A257A7"/>
    <w:rsid w:val="00A25822"/>
    <w:rsid w:val="00A25843"/>
    <w:rsid w:val="00A25897"/>
    <w:rsid w:val="00A258C4"/>
    <w:rsid w:val="00A258E6"/>
    <w:rsid w:val="00A2592B"/>
    <w:rsid w:val="00A25981"/>
    <w:rsid w:val="00A25993"/>
    <w:rsid w:val="00A25A51"/>
    <w:rsid w:val="00A25AC9"/>
    <w:rsid w:val="00A25AD2"/>
    <w:rsid w:val="00A25B04"/>
    <w:rsid w:val="00A25B23"/>
    <w:rsid w:val="00A25B5D"/>
    <w:rsid w:val="00A25BC2"/>
    <w:rsid w:val="00A25C3D"/>
    <w:rsid w:val="00A25C73"/>
    <w:rsid w:val="00A25C76"/>
    <w:rsid w:val="00A25C86"/>
    <w:rsid w:val="00A25C89"/>
    <w:rsid w:val="00A25C92"/>
    <w:rsid w:val="00A25CA9"/>
    <w:rsid w:val="00A25CBB"/>
    <w:rsid w:val="00A25CD4"/>
    <w:rsid w:val="00A25D13"/>
    <w:rsid w:val="00A25D3E"/>
    <w:rsid w:val="00A25D61"/>
    <w:rsid w:val="00A25D87"/>
    <w:rsid w:val="00A25D90"/>
    <w:rsid w:val="00A25E7F"/>
    <w:rsid w:val="00A25E88"/>
    <w:rsid w:val="00A26014"/>
    <w:rsid w:val="00A26017"/>
    <w:rsid w:val="00A2605B"/>
    <w:rsid w:val="00A2607C"/>
    <w:rsid w:val="00A26105"/>
    <w:rsid w:val="00A26151"/>
    <w:rsid w:val="00A26232"/>
    <w:rsid w:val="00A2627F"/>
    <w:rsid w:val="00A262E9"/>
    <w:rsid w:val="00A2632E"/>
    <w:rsid w:val="00A26335"/>
    <w:rsid w:val="00A26342"/>
    <w:rsid w:val="00A26391"/>
    <w:rsid w:val="00A26394"/>
    <w:rsid w:val="00A2639B"/>
    <w:rsid w:val="00A263F6"/>
    <w:rsid w:val="00A26436"/>
    <w:rsid w:val="00A2646B"/>
    <w:rsid w:val="00A264F8"/>
    <w:rsid w:val="00A2651C"/>
    <w:rsid w:val="00A2651E"/>
    <w:rsid w:val="00A2659E"/>
    <w:rsid w:val="00A265A1"/>
    <w:rsid w:val="00A26615"/>
    <w:rsid w:val="00A26623"/>
    <w:rsid w:val="00A26644"/>
    <w:rsid w:val="00A26729"/>
    <w:rsid w:val="00A26730"/>
    <w:rsid w:val="00A2673E"/>
    <w:rsid w:val="00A2677E"/>
    <w:rsid w:val="00A26833"/>
    <w:rsid w:val="00A2688B"/>
    <w:rsid w:val="00A2688F"/>
    <w:rsid w:val="00A268EA"/>
    <w:rsid w:val="00A2693A"/>
    <w:rsid w:val="00A2696D"/>
    <w:rsid w:val="00A2699D"/>
    <w:rsid w:val="00A26A1F"/>
    <w:rsid w:val="00A26A86"/>
    <w:rsid w:val="00A26AA5"/>
    <w:rsid w:val="00A26B0C"/>
    <w:rsid w:val="00A26B27"/>
    <w:rsid w:val="00A26B6C"/>
    <w:rsid w:val="00A26BA9"/>
    <w:rsid w:val="00A26BB2"/>
    <w:rsid w:val="00A26BB9"/>
    <w:rsid w:val="00A26BEB"/>
    <w:rsid w:val="00A26C08"/>
    <w:rsid w:val="00A26C42"/>
    <w:rsid w:val="00A26C97"/>
    <w:rsid w:val="00A26CF2"/>
    <w:rsid w:val="00A26D16"/>
    <w:rsid w:val="00A26D57"/>
    <w:rsid w:val="00A26D9D"/>
    <w:rsid w:val="00A26DC8"/>
    <w:rsid w:val="00A26E78"/>
    <w:rsid w:val="00A26E9C"/>
    <w:rsid w:val="00A26F2A"/>
    <w:rsid w:val="00A26F45"/>
    <w:rsid w:val="00A270C2"/>
    <w:rsid w:val="00A27133"/>
    <w:rsid w:val="00A27209"/>
    <w:rsid w:val="00A27240"/>
    <w:rsid w:val="00A272A0"/>
    <w:rsid w:val="00A27374"/>
    <w:rsid w:val="00A2739B"/>
    <w:rsid w:val="00A273E6"/>
    <w:rsid w:val="00A2741E"/>
    <w:rsid w:val="00A2744A"/>
    <w:rsid w:val="00A274B2"/>
    <w:rsid w:val="00A274C2"/>
    <w:rsid w:val="00A275BF"/>
    <w:rsid w:val="00A275C5"/>
    <w:rsid w:val="00A275DA"/>
    <w:rsid w:val="00A275E2"/>
    <w:rsid w:val="00A27601"/>
    <w:rsid w:val="00A2760E"/>
    <w:rsid w:val="00A2761F"/>
    <w:rsid w:val="00A27680"/>
    <w:rsid w:val="00A2769C"/>
    <w:rsid w:val="00A2770A"/>
    <w:rsid w:val="00A2770E"/>
    <w:rsid w:val="00A27725"/>
    <w:rsid w:val="00A27773"/>
    <w:rsid w:val="00A277AE"/>
    <w:rsid w:val="00A27824"/>
    <w:rsid w:val="00A2783A"/>
    <w:rsid w:val="00A278BB"/>
    <w:rsid w:val="00A278DE"/>
    <w:rsid w:val="00A278EA"/>
    <w:rsid w:val="00A27968"/>
    <w:rsid w:val="00A2797E"/>
    <w:rsid w:val="00A27991"/>
    <w:rsid w:val="00A27AC5"/>
    <w:rsid w:val="00A27B8E"/>
    <w:rsid w:val="00A27CD8"/>
    <w:rsid w:val="00A27D6E"/>
    <w:rsid w:val="00A27D94"/>
    <w:rsid w:val="00A27DB1"/>
    <w:rsid w:val="00A27DC5"/>
    <w:rsid w:val="00A27DCF"/>
    <w:rsid w:val="00A27DDC"/>
    <w:rsid w:val="00A27E5A"/>
    <w:rsid w:val="00A27EA6"/>
    <w:rsid w:val="00A27ED7"/>
    <w:rsid w:val="00A27F7F"/>
    <w:rsid w:val="00A27FE4"/>
    <w:rsid w:val="00A2F437"/>
    <w:rsid w:val="00A30006"/>
    <w:rsid w:val="00A3013B"/>
    <w:rsid w:val="00A301EF"/>
    <w:rsid w:val="00A30283"/>
    <w:rsid w:val="00A302FA"/>
    <w:rsid w:val="00A3035A"/>
    <w:rsid w:val="00A30385"/>
    <w:rsid w:val="00A3041F"/>
    <w:rsid w:val="00A304A7"/>
    <w:rsid w:val="00A304DC"/>
    <w:rsid w:val="00A304E4"/>
    <w:rsid w:val="00A30507"/>
    <w:rsid w:val="00A3050A"/>
    <w:rsid w:val="00A3056E"/>
    <w:rsid w:val="00A30593"/>
    <w:rsid w:val="00A3060B"/>
    <w:rsid w:val="00A3060F"/>
    <w:rsid w:val="00A30647"/>
    <w:rsid w:val="00A3066D"/>
    <w:rsid w:val="00A30689"/>
    <w:rsid w:val="00A3069D"/>
    <w:rsid w:val="00A30712"/>
    <w:rsid w:val="00A30780"/>
    <w:rsid w:val="00A307C0"/>
    <w:rsid w:val="00A307E3"/>
    <w:rsid w:val="00A307E5"/>
    <w:rsid w:val="00A30802"/>
    <w:rsid w:val="00A30854"/>
    <w:rsid w:val="00A308E5"/>
    <w:rsid w:val="00A3098B"/>
    <w:rsid w:val="00A309BB"/>
    <w:rsid w:val="00A30A13"/>
    <w:rsid w:val="00A30B59"/>
    <w:rsid w:val="00A30B5B"/>
    <w:rsid w:val="00A30B78"/>
    <w:rsid w:val="00A30C2A"/>
    <w:rsid w:val="00A30CA8"/>
    <w:rsid w:val="00A30CAB"/>
    <w:rsid w:val="00A30D01"/>
    <w:rsid w:val="00A30D48"/>
    <w:rsid w:val="00A30E5C"/>
    <w:rsid w:val="00A30EDA"/>
    <w:rsid w:val="00A30EF4"/>
    <w:rsid w:val="00A3102C"/>
    <w:rsid w:val="00A31060"/>
    <w:rsid w:val="00A3108F"/>
    <w:rsid w:val="00A310B1"/>
    <w:rsid w:val="00A310C1"/>
    <w:rsid w:val="00A310D3"/>
    <w:rsid w:val="00A3112B"/>
    <w:rsid w:val="00A3115A"/>
    <w:rsid w:val="00A31171"/>
    <w:rsid w:val="00A3117B"/>
    <w:rsid w:val="00A311AE"/>
    <w:rsid w:val="00A311B5"/>
    <w:rsid w:val="00A311E7"/>
    <w:rsid w:val="00A31283"/>
    <w:rsid w:val="00A3128D"/>
    <w:rsid w:val="00A31303"/>
    <w:rsid w:val="00A31337"/>
    <w:rsid w:val="00A3133F"/>
    <w:rsid w:val="00A313FE"/>
    <w:rsid w:val="00A31481"/>
    <w:rsid w:val="00A31487"/>
    <w:rsid w:val="00A314B0"/>
    <w:rsid w:val="00A314C7"/>
    <w:rsid w:val="00A315BA"/>
    <w:rsid w:val="00A315F7"/>
    <w:rsid w:val="00A31656"/>
    <w:rsid w:val="00A31670"/>
    <w:rsid w:val="00A316E2"/>
    <w:rsid w:val="00A31706"/>
    <w:rsid w:val="00A317A7"/>
    <w:rsid w:val="00A317C5"/>
    <w:rsid w:val="00A317E5"/>
    <w:rsid w:val="00A31837"/>
    <w:rsid w:val="00A3187C"/>
    <w:rsid w:val="00A318CD"/>
    <w:rsid w:val="00A318DB"/>
    <w:rsid w:val="00A318EB"/>
    <w:rsid w:val="00A318F0"/>
    <w:rsid w:val="00A31945"/>
    <w:rsid w:val="00A31953"/>
    <w:rsid w:val="00A31977"/>
    <w:rsid w:val="00A3198C"/>
    <w:rsid w:val="00A319F6"/>
    <w:rsid w:val="00A31A53"/>
    <w:rsid w:val="00A31A8F"/>
    <w:rsid w:val="00A31AD3"/>
    <w:rsid w:val="00A31AEE"/>
    <w:rsid w:val="00A31B06"/>
    <w:rsid w:val="00A31B63"/>
    <w:rsid w:val="00A31BCA"/>
    <w:rsid w:val="00A31C44"/>
    <w:rsid w:val="00A31C68"/>
    <w:rsid w:val="00A31CEA"/>
    <w:rsid w:val="00A31CF1"/>
    <w:rsid w:val="00A31D1D"/>
    <w:rsid w:val="00A31DC9"/>
    <w:rsid w:val="00A31DCC"/>
    <w:rsid w:val="00A31DEA"/>
    <w:rsid w:val="00A31E0B"/>
    <w:rsid w:val="00A31E44"/>
    <w:rsid w:val="00A31E90"/>
    <w:rsid w:val="00A31F04"/>
    <w:rsid w:val="00A31F1C"/>
    <w:rsid w:val="00A31F39"/>
    <w:rsid w:val="00A3212B"/>
    <w:rsid w:val="00A32143"/>
    <w:rsid w:val="00A32159"/>
    <w:rsid w:val="00A3216E"/>
    <w:rsid w:val="00A321CF"/>
    <w:rsid w:val="00A321D0"/>
    <w:rsid w:val="00A32216"/>
    <w:rsid w:val="00A3222D"/>
    <w:rsid w:val="00A32308"/>
    <w:rsid w:val="00A32337"/>
    <w:rsid w:val="00A32343"/>
    <w:rsid w:val="00A32356"/>
    <w:rsid w:val="00A323AA"/>
    <w:rsid w:val="00A323BF"/>
    <w:rsid w:val="00A3240A"/>
    <w:rsid w:val="00A32430"/>
    <w:rsid w:val="00A32440"/>
    <w:rsid w:val="00A32481"/>
    <w:rsid w:val="00A324C4"/>
    <w:rsid w:val="00A324C5"/>
    <w:rsid w:val="00A32527"/>
    <w:rsid w:val="00A3259E"/>
    <w:rsid w:val="00A325D4"/>
    <w:rsid w:val="00A32646"/>
    <w:rsid w:val="00A32687"/>
    <w:rsid w:val="00A32762"/>
    <w:rsid w:val="00A3281E"/>
    <w:rsid w:val="00A3285B"/>
    <w:rsid w:val="00A328B7"/>
    <w:rsid w:val="00A32908"/>
    <w:rsid w:val="00A329FB"/>
    <w:rsid w:val="00A32ADC"/>
    <w:rsid w:val="00A32AE8"/>
    <w:rsid w:val="00A32B0E"/>
    <w:rsid w:val="00A32B23"/>
    <w:rsid w:val="00A32B95"/>
    <w:rsid w:val="00A32BAF"/>
    <w:rsid w:val="00A32CB1"/>
    <w:rsid w:val="00A32CF2"/>
    <w:rsid w:val="00A32D57"/>
    <w:rsid w:val="00A32ED8"/>
    <w:rsid w:val="00A32F0C"/>
    <w:rsid w:val="00A32FD2"/>
    <w:rsid w:val="00A33052"/>
    <w:rsid w:val="00A33109"/>
    <w:rsid w:val="00A33130"/>
    <w:rsid w:val="00A33136"/>
    <w:rsid w:val="00A3313C"/>
    <w:rsid w:val="00A33164"/>
    <w:rsid w:val="00A3317B"/>
    <w:rsid w:val="00A331A0"/>
    <w:rsid w:val="00A3322D"/>
    <w:rsid w:val="00A33272"/>
    <w:rsid w:val="00A33293"/>
    <w:rsid w:val="00A332BB"/>
    <w:rsid w:val="00A332EB"/>
    <w:rsid w:val="00A333B4"/>
    <w:rsid w:val="00A333CE"/>
    <w:rsid w:val="00A333D2"/>
    <w:rsid w:val="00A3341A"/>
    <w:rsid w:val="00A33442"/>
    <w:rsid w:val="00A3344A"/>
    <w:rsid w:val="00A334D9"/>
    <w:rsid w:val="00A334ED"/>
    <w:rsid w:val="00A335AD"/>
    <w:rsid w:val="00A335BC"/>
    <w:rsid w:val="00A33667"/>
    <w:rsid w:val="00A336FE"/>
    <w:rsid w:val="00A3379A"/>
    <w:rsid w:val="00A337A6"/>
    <w:rsid w:val="00A337DD"/>
    <w:rsid w:val="00A33807"/>
    <w:rsid w:val="00A33878"/>
    <w:rsid w:val="00A338D3"/>
    <w:rsid w:val="00A33914"/>
    <w:rsid w:val="00A33922"/>
    <w:rsid w:val="00A33AA0"/>
    <w:rsid w:val="00A33AE0"/>
    <w:rsid w:val="00A33C32"/>
    <w:rsid w:val="00A33CAF"/>
    <w:rsid w:val="00A33DD8"/>
    <w:rsid w:val="00A33E57"/>
    <w:rsid w:val="00A33EDB"/>
    <w:rsid w:val="00A33F3C"/>
    <w:rsid w:val="00A33F8D"/>
    <w:rsid w:val="00A33FB6"/>
    <w:rsid w:val="00A33FBE"/>
    <w:rsid w:val="00A340BA"/>
    <w:rsid w:val="00A340DD"/>
    <w:rsid w:val="00A3414C"/>
    <w:rsid w:val="00A341B0"/>
    <w:rsid w:val="00A341CE"/>
    <w:rsid w:val="00A341D2"/>
    <w:rsid w:val="00A341F1"/>
    <w:rsid w:val="00A34231"/>
    <w:rsid w:val="00A342BA"/>
    <w:rsid w:val="00A342CE"/>
    <w:rsid w:val="00A3434D"/>
    <w:rsid w:val="00A34410"/>
    <w:rsid w:val="00A34421"/>
    <w:rsid w:val="00A3444C"/>
    <w:rsid w:val="00A34493"/>
    <w:rsid w:val="00A344AE"/>
    <w:rsid w:val="00A34524"/>
    <w:rsid w:val="00A34537"/>
    <w:rsid w:val="00A345A9"/>
    <w:rsid w:val="00A346D6"/>
    <w:rsid w:val="00A346DC"/>
    <w:rsid w:val="00A34715"/>
    <w:rsid w:val="00A34793"/>
    <w:rsid w:val="00A3480B"/>
    <w:rsid w:val="00A34825"/>
    <w:rsid w:val="00A34903"/>
    <w:rsid w:val="00A3493D"/>
    <w:rsid w:val="00A3494C"/>
    <w:rsid w:val="00A34985"/>
    <w:rsid w:val="00A349C1"/>
    <w:rsid w:val="00A349D3"/>
    <w:rsid w:val="00A349E5"/>
    <w:rsid w:val="00A34A6A"/>
    <w:rsid w:val="00A34AF2"/>
    <w:rsid w:val="00A34AF8"/>
    <w:rsid w:val="00A34B18"/>
    <w:rsid w:val="00A34BFA"/>
    <w:rsid w:val="00A34DA0"/>
    <w:rsid w:val="00A34E54"/>
    <w:rsid w:val="00A34F02"/>
    <w:rsid w:val="00A34F8C"/>
    <w:rsid w:val="00A34FD0"/>
    <w:rsid w:val="00A34FD6"/>
    <w:rsid w:val="00A35036"/>
    <w:rsid w:val="00A35067"/>
    <w:rsid w:val="00A35173"/>
    <w:rsid w:val="00A351E3"/>
    <w:rsid w:val="00A35216"/>
    <w:rsid w:val="00A35268"/>
    <w:rsid w:val="00A35273"/>
    <w:rsid w:val="00A352FF"/>
    <w:rsid w:val="00A3538A"/>
    <w:rsid w:val="00A353C8"/>
    <w:rsid w:val="00A353F6"/>
    <w:rsid w:val="00A35401"/>
    <w:rsid w:val="00A3546D"/>
    <w:rsid w:val="00A35474"/>
    <w:rsid w:val="00A3547F"/>
    <w:rsid w:val="00A354EC"/>
    <w:rsid w:val="00A354ED"/>
    <w:rsid w:val="00A35515"/>
    <w:rsid w:val="00A35575"/>
    <w:rsid w:val="00A3557C"/>
    <w:rsid w:val="00A35583"/>
    <w:rsid w:val="00A3562E"/>
    <w:rsid w:val="00A3563E"/>
    <w:rsid w:val="00A3565C"/>
    <w:rsid w:val="00A35692"/>
    <w:rsid w:val="00A356FB"/>
    <w:rsid w:val="00A3571A"/>
    <w:rsid w:val="00A357E1"/>
    <w:rsid w:val="00A357E6"/>
    <w:rsid w:val="00A35821"/>
    <w:rsid w:val="00A3582F"/>
    <w:rsid w:val="00A358A8"/>
    <w:rsid w:val="00A358CB"/>
    <w:rsid w:val="00A35983"/>
    <w:rsid w:val="00A35984"/>
    <w:rsid w:val="00A359F8"/>
    <w:rsid w:val="00A35AA5"/>
    <w:rsid w:val="00A35ABB"/>
    <w:rsid w:val="00A35B1B"/>
    <w:rsid w:val="00A35B2B"/>
    <w:rsid w:val="00A35B5A"/>
    <w:rsid w:val="00A35BC9"/>
    <w:rsid w:val="00A35BCC"/>
    <w:rsid w:val="00A35C0F"/>
    <w:rsid w:val="00A35C10"/>
    <w:rsid w:val="00A35CAB"/>
    <w:rsid w:val="00A35DBE"/>
    <w:rsid w:val="00A35DC7"/>
    <w:rsid w:val="00A35DCC"/>
    <w:rsid w:val="00A35E89"/>
    <w:rsid w:val="00A35F0E"/>
    <w:rsid w:val="00A3609A"/>
    <w:rsid w:val="00A360C0"/>
    <w:rsid w:val="00A360CB"/>
    <w:rsid w:val="00A3615D"/>
    <w:rsid w:val="00A3619B"/>
    <w:rsid w:val="00A361B5"/>
    <w:rsid w:val="00A36219"/>
    <w:rsid w:val="00A3623F"/>
    <w:rsid w:val="00A3637C"/>
    <w:rsid w:val="00A363D4"/>
    <w:rsid w:val="00A36472"/>
    <w:rsid w:val="00A36478"/>
    <w:rsid w:val="00A3647F"/>
    <w:rsid w:val="00A364FA"/>
    <w:rsid w:val="00A3659B"/>
    <w:rsid w:val="00A365AA"/>
    <w:rsid w:val="00A365E8"/>
    <w:rsid w:val="00A3663B"/>
    <w:rsid w:val="00A36646"/>
    <w:rsid w:val="00A36649"/>
    <w:rsid w:val="00A3667A"/>
    <w:rsid w:val="00A36694"/>
    <w:rsid w:val="00A366C5"/>
    <w:rsid w:val="00A3674A"/>
    <w:rsid w:val="00A36762"/>
    <w:rsid w:val="00A3678D"/>
    <w:rsid w:val="00A3679E"/>
    <w:rsid w:val="00A367A8"/>
    <w:rsid w:val="00A367AF"/>
    <w:rsid w:val="00A3681B"/>
    <w:rsid w:val="00A3681E"/>
    <w:rsid w:val="00A3686C"/>
    <w:rsid w:val="00A368B9"/>
    <w:rsid w:val="00A3691F"/>
    <w:rsid w:val="00A3692F"/>
    <w:rsid w:val="00A36965"/>
    <w:rsid w:val="00A36972"/>
    <w:rsid w:val="00A369BC"/>
    <w:rsid w:val="00A36A47"/>
    <w:rsid w:val="00A36B2A"/>
    <w:rsid w:val="00A36B8D"/>
    <w:rsid w:val="00A36C1B"/>
    <w:rsid w:val="00A36C95"/>
    <w:rsid w:val="00A36CEC"/>
    <w:rsid w:val="00A36D09"/>
    <w:rsid w:val="00A36D14"/>
    <w:rsid w:val="00A36D40"/>
    <w:rsid w:val="00A36D4D"/>
    <w:rsid w:val="00A36D50"/>
    <w:rsid w:val="00A36D54"/>
    <w:rsid w:val="00A36D65"/>
    <w:rsid w:val="00A36DF7"/>
    <w:rsid w:val="00A36E4F"/>
    <w:rsid w:val="00A36E7D"/>
    <w:rsid w:val="00A36EB4"/>
    <w:rsid w:val="00A36F2E"/>
    <w:rsid w:val="00A36F51"/>
    <w:rsid w:val="00A36FFE"/>
    <w:rsid w:val="00A37014"/>
    <w:rsid w:val="00A3701C"/>
    <w:rsid w:val="00A37034"/>
    <w:rsid w:val="00A37057"/>
    <w:rsid w:val="00A370B0"/>
    <w:rsid w:val="00A370DA"/>
    <w:rsid w:val="00A370E9"/>
    <w:rsid w:val="00A371FF"/>
    <w:rsid w:val="00A37232"/>
    <w:rsid w:val="00A37318"/>
    <w:rsid w:val="00A37327"/>
    <w:rsid w:val="00A37347"/>
    <w:rsid w:val="00A37459"/>
    <w:rsid w:val="00A37703"/>
    <w:rsid w:val="00A3774A"/>
    <w:rsid w:val="00A37767"/>
    <w:rsid w:val="00A377A2"/>
    <w:rsid w:val="00A377BD"/>
    <w:rsid w:val="00A377D7"/>
    <w:rsid w:val="00A37829"/>
    <w:rsid w:val="00A378A0"/>
    <w:rsid w:val="00A37941"/>
    <w:rsid w:val="00A37956"/>
    <w:rsid w:val="00A379B3"/>
    <w:rsid w:val="00A37A85"/>
    <w:rsid w:val="00A37ABB"/>
    <w:rsid w:val="00A37B0A"/>
    <w:rsid w:val="00A37D48"/>
    <w:rsid w:val="00A37D50"/>
    <w:rsid w:val="00A37D5E"/>
    <w:rsid w:val="00A37D61"/>
    <w:rsid w:val="00A37DD8"/>
    <w:rsid w:val="00A37E29"/>
    <w:rsid w:val="00A37EC9"/>
    <w:rsid w:val="00A37ED1"/>
    <w:rsid w:val="00A37ED7"/>
    <w:rsid w:val="00A37EDA"/>
    <w:rsid w:val="00A37F20"/>
    <w:rsid w:val="00A37F37"/>
    <w:rsid w:val="00A37F63"/>
    <w:rsid w:val="00A3B320"/>
    <w:rsid w:val="00A4002C"/>
    <w:rsid w:val="00A4003A"/>
    <w:rsid w:val="00A40086"/>
    <w:rsid w:val="00A4014A"/>
    <w:rsid w:val="00A40185"/>
    <w:rsid w:val="00A40198"/>
    <w:rsid w:val="00A401A5"/>
    <w:rsid w:val="00A402C8"/>
    <w:rsid w:val="00A402D2"/>
    <w:rsid w:val="00A4030C"/>
    <w:rsid w:val="00A4032D"/>
    <w:rsid w:val="00A40339"/>
    <w:rsid w:val="00A4040D"/>
    <w:rsid w:val="00A40484"/>
    <w:rsid w:val="00A404C9"/>
    <w:rsid w:val="00A4057D"/>
    <w:rsid w:val="00A40582"/>
    <w:rsid w:val="00A40634"/>
    <w:rsid w:val="00A406D3"/>
    <w:rsid w:val="00A4070C"/>
    <w:rsid w:val="00A407BC"/>
    <w:rsid w:val="00A407DD"/>
    <w:rsid w:val="00A4086D"/>
    <w:rsid w:val="00A4087D"/>
    <w:rsid w:val="00A408A2"/>
    <w:rsid w:val="00A40909"/>
    <w:rsid w:val="00A4090A"/>
    <w:rsid w:val="00A409A9"/>
    <w:rsid w:val="00A409D1"/>
    <w:rsid w:val="00A409D8"/>
    <w:rsid w:val="00A40A69"/>
    <w:rsid w:val="00A40B51"/>
    <w:rsid w:val="00A40B5D"/>
    <w:rsid w:val="00A40BDC"/>
    <w:rsid w:val="00A40BEE"/>
    <w:rsid w:val="00A40BFF"/>
    <w:rsid w:val="00A40C24"/>
    <w:rsid w:val="00A40C3D"/>
    <w:rsid w:val="00A40DCE"/>
    <w:rsid w:val="00A40E02"/>
    <w:rsid w:val="00A40E1D"/>
    <w:rsid w:val="00A40E4B"/>
    <w:rsid w:val="00A40E55"/>
    <w:rsid w:val="00A40EF3"/>
    <w:rsid w:val="00A40F8D"/>
    <w:rsid w:val="00A40FA4"/>
    <w:rsid w:val="00A41031"/>
    <w:rsid w:val="00A4109C"/>
    <w:rsid w:val="00A410C7"/>
    <w:rsid w:val="00A410FD"/>
    <w:rsid w:val="00A4128D"/>
    <w:rsid w:val="00A412AA"/>
    <w:rsid w:val="00A412BB"/>
    <w:rsid w:val="00A412E7"/>
    <w:rsid w:val="00A4139B"/>
    <w:rsid w:val="00A413BD"/>
    <w:rsid w:val="00A4147F"/>
    <w:rsid w:val="00A4149D"/>
    <w:rsid w:val="00A41504"/>
    <w:rsid w:val="00A4152D"/>
    <w:rsid w:val="00A415BC"/>
    <w:rsid w:val="00A415F0"/>
    <w:rsid w:val="00A41690"/>
    <w:rsid w:val="00A416A7"/>
    <w:rsid w:val="00A416B2"/>
    <w:rsid w:val="00A416D1"/>
    <w:rsid w:val="00A41701"/>
    <w:rsid w:val="00A4170B"/>
    <w:rsid w:val="00A4177E"/>
    <w:rsid w:val="00A4178D"/>
    <w:rsid w:val="00A41878"/>
    <w:rsid w:val="00A41894"/>
    <w:rsid w:val="00A41A04"/>
    <w:rsid w:val="00A41AD1"/>
    <w:rsid w:val="00A41B3C"/>
    <w:rsid w:val="00A41BB3"/>
    <w:rsid w:val="00A41BE3"/>
    <w:rsid w:val="00A41C65"/>
    <w:rsid w:val="00A41C9D"/>
    <w:rsid w:val="00A41CB6"/>
    <w:rsid w:val="00A41D95"/>
    <w:rsid w:val="00A41DA4"/>
    <w:rsid w:val="00A41EAD"/>
    <w:rsid w:val="00A41EC6"/>
    <w:rsid w:val="00A41ECE"/>
    <w:rsid w:val="00A41F1D"/>
    <w:rsid w:val="00A41F2D"/>
    <w:rsid w:val="00A41F8E"/>
    <w:rsid w:val="00A4203B"/>
    <w:rsid w:val="00A4218D"/>
    <w:rsid w:val="00A421F1"/>
    <w:rsid w:val="00A42214"/>
    <w:rsid w:val="00A42254"/>
    <w:rsid w:val="00A42369"/>
    <w:rsid w:val="00A423D6"/>
    <w:rsid w:val="00A423DD"/>
    <w:rsid w:val="00A423DF"/>
    <w:rsid w:val="00A423FE"/>
    <w:rsid w:val="00A42450"/>
    <w:rsid w:val="00A424DC"/>
    <w:rsid w:val="00A424EE"/>
    <w:rsid w:val="00A4250A"/>
    <w:rsid w:val="00A42518"/>
    <w:rsid w:val="00A4257A"/>
    <w:rsid w:val="00A425DC"/>
    <w:rsid w:val="00A42619"/>
    <w:rsid w:val="00A42621"/>
    <w:rsid w:val="00A426A2"/>
    <w:rsid w:val="00A426A5"/>
    <w:rsid w:val="00A426A7"/>
    <w:rsid w:val="00A42707"/>
    <w:rsid w:val="00A42757"/>
    <w:rsid w:val="00A4278E"/>
    <w:rsid w:val="00A42791"/>
    <w:rsid w:val="00A42870"/>
    <w:rsid w:val="00A428A8"/>
    <w:rsid w:val="00A428E8"/>
    <w:rsid w:val="00A428F6"/>
    <w:rsid w:val="00A42911"/>
    <w:rsid w:val="00A4293A"/>
    <w:rsid w:val="00A42954"/>
    <w:rsid w:val="00A429E3"/>
    <w:rsid w:val="00A429F7"/>
    <w:rsid w:val="00A42A2A"/>
    <w:rsid w:val="00A42B5B"/>
    <w:rsid w:val="00A42C20"/>
    <w:rsid w:val="00A42C84"/>
    <w:rsid w:val="00A42D30"/>
    <w:rsid w:val="00A42D54"/>
    <w:rsid w:val="00A42D63"/>
    <w:rsid w:val="00A42D6F"/>
    <w:rsid w:val="00A42DB1"/>
    <w:rsid w:val="00A42E40"/>
    <w:rsid w:val="00A42E82"/>
    <w:rsid w:val="00A42F20"/>
    <w:rsid w:val="00A43002"/>
    <w:rsid w:val="00A4308C"/>
    <w:rsid w:val="00A4316E"/>
    <w:rsid w:val="00A431C4"/>
    <w:rsid w:val="00A432F9"/>
    <w:rsid w:val="00A43338"/>
    <w:rsid w:val="00A4333C"/>
    <w:rsid w:val="00A4335B"/>
    <w:rsid w:val="00A4339E"/>
    <w:rsid w:val="00A433D7"/>
    <w:rsid w:val="00A43400"/>
    <w:rsid w:val="00A43420"/>
    <w:rsid w:val="00A43440"/>
    <w:rsid w:val="00A43445"/>
    <w:rsid w:val="00A43461"/>
    <w:rsid w:val="00A43523"/>
    <w:rsid w:val="00A43578"/>
    <w:rsid w:val="00A435A1"/>
    <w:rsid w:val="00A435B7"/>
    <w:rsid w:val="00A43619"/>
    <w:rsid w:val="00A43642"/>
    <w:rsid w:val="00A43677"/>
    <w:rsid w:val="00A436CD"/>
    <w:rsid w:val="00A436EC"/>
    <w:rsid w:val="00A43723"/>
    <w:rsid w:val="00A43762"/>
    <w:rsid w:val="00A43876"/>
    <w:rsid w:val="00A4389C"/>
    <w:rsid w:val="00A438B4"/>
    <w:rsid w:val="00A438E1"/>
    <w:rsid w:val="00A439E7"/>
    <w:rsid w:val="00A43A51"/>
    <w:rsid w:val="00A43B03"/>
    <w:rsid w:val="00A43C97"/>
    <w:rsid w:val="00A43CB6"/>
    <w:rsid w:val="00A43E00"/>
    <w:rsid w:val="00A43F7C"/>
    <w:rsid w:val="00A43FED"/>
    <w:rsid w:val="00A44079"/>
    <w:rsid w:val="00A440BB"/>
    <w:rsid w:val="00A4413B"/>
    <w:rsid w:val="00A44158"/>
    <w:rsid w:val="00A44242"/>
    <w:rsid w:val="00A44267"/>
    <w:rsid w:val="00A442F3"/>
    <w:rsid w:val="00A44309"/>
    <w:rsid w:val="00A4430F"/>
    <w:rsid w:val="00A443AC"/>
    <w:rsid w:val="00A443BD"/>
    <w:rsid w:val="00A443D3"/>
    <w:rsid w:val="00A44410"/>
    <w:rsid w:val="00A44463"/>
    <w:rsid w:val="00A44780"/>
    <w:rsid w:val="00A44829"/>
    <w:rsid w:val="00A44840"/>
    <w:rsid w:val="00A44863"/>
    <w:rsid w:val="00A4487F"/>
    <w:rsid w:val="00A4494C"/>
    <w:rsid w:val="00A449FA"/>
    <w:rsid w:val="00A44B03"/>
    <w:rsid w:val="00A44B4B"/>
    <w:rsid w:val="00A44B8E"/>
    <w:rsid w:val="00A44BE7"/>
    <w:rsid w:val="00A44C49"/>
    <w:rsid w:val="00A44CF7"/>
    <w:rsid w:val="00A44D0C"/>
    <w:rsid w:val="00A44D23"/>
    <w:rsid w:val="00A44D2C"/>
    <w:rsid w:val="00A44D8B"/>
    <w:rsid w:val="00A44DF4"/>
    <w:rsid w:val="00A44F9D"/>
    <w:rsid w:val="00A45018"/>
    <w:rsid w:val="00A4502A"/>
    <w:rsid w:val="00A4507B"/>
    <w:rsid w:val="00A450F1"/>
    <w:rsid w:val="00A45121"/>
    <w:rsid w:val="00A4513C"/>
    <w:rsid w:val="00A4517E"/>
    <w:rsid w:val="00A453DC"/>
    <w:rsid w:val="00A45408"/>
    <w:rsid w:val="00A45454"/>
    <w:rsid w:val="00A454A7"/>
    <w:rsid w:val="00A454C6"/>
    <w:rsid w:val="00A454CE"/>
    <w:rsid w:val="00A454FB"/>
    <w:rsid w:val="00A45571"/>
    <w:rsid w:val="00A45599"/>
    <w:rsid w:val="00A455E9"/>
    <w:rsid w:val="00A45678"/>
    <w:rsid w:val="00A456E5"/>
    <w:rsid w:val="00A45893"/>
    <w:rsid w:val="00A458BA"/>
    <w:rsid w:val="00A45970"/>
    <w:rsid w:val="00A45988"/>
    <w:rsid w:val="00A45A14"/>
    <w:rsid w:val="00A45A69"/>
    <w:rsid w:val="00A45A6A"/>
    <w:rsid w:val="00A45AC8"/>
    <w:rsid w:val="00A45C11"/>
    <w:rsid w:val="00A45C45"/>
    <w:rsid w:val="00A45D0D"/>
    <w:rsid w:val="00A45D58"/>
    <w:rsid w:val="00A45D94"/>
    <w:rsid w:val="00A45D9D"/>
    <w:rsid w:val="00A45DA3"/>
    <w:rsid w:val="00A45DC8"/>
    <w:rsid w:val="00A45ED3"/>
    <w:rsid w:val="00A45EDA"/>
    <w:rsid w:val="00A45EF1"/>
    <w:rsid w:val="00A45F56"/>
    <w:rsid w:val="00A45F75"/>
    <w:rsid w:val="00A45FC8"/>
    <w:rsid w:val="00A4600C"/>
    <w:rsid w:val="00A460EB"/>
    <w:rsid w:val="00A461B7"/>
    <w:rsid w:val="00A461BD"/>
    <w:rsid w:val="00A46213"/>
    <w:rsid w:val="00A4627F"/>
    <w:rsid w:val="00A463AB"/>
    <w:rsid w:val="00A463D0"/>
    <w:rsid w:val="00A463F9"/>
    <w:rsid w:val="00A46437"/>
    <w:rsid w:val="00A46493"/>
    <w:rsid w:val="00A464A8"/>
    <w:rsid w:val="00A464F9"/>
    <w:rsid w:val="00A46510"/>
    <w:rsid w:val="00A466C9"/>
    <w:rsid w:val="00A46779"/>
    <w:rsid w:val="00A467CB"/>
    <w:rsid w:val="00A467F0"/>
    <w:rsid w:val="00A46960"/>
    <w:rsid w:val="00A46994"/>
    <w:rsid w:val="00A469A4"/>
    <w:rsid w:val="00A469FE"/>
    <w:rsid w:val="00A46A74"/>
    <w:rsid w:val="00A46AFA"/>
    <w:rsid w:val="00A46C0D"/>
    <w:rsid w:val="00A46C32"/>
    <w:rsid w:val="00A46CBE"/>
    <w:rsid w:val="00A46CC7"/>
    <w:rsid w:val="00A46CDD"/>
    <w:rsid w:val="00A46DCE"/>
    <w:rsid w:val="00A46E96"/>
    <w:rsid w:val="00A46F25"/>
    <w:rsid w:val="00A46F39"/>
    <w:rsid w:val="00A46FAF"/>
    <w:rsid w:val="00A46FF5"/>
    <w:rsid w:val="00A4703F"/>
    <w:rsid w:val="00A47075"/>
    <w:rsid w:val="00A470AA"/>
    <w:rsid w:val="00A47101"/>
    <w:rsid w:val="00A471BF"/>
    <w:rsid w:val="00A47240"/>
    <w:rsid w:val="00A47276"/>
    <w:rsid w:val="00A472C5"/>
    <w:rsid w:val="00A472FF"/>
    <w:rsid w:val="00A47339"/>
    <w:rsid w:val="00A4733F"/>
    <w:rsid w:val="00A47341"/>
    <w:rsid w:val="00A4736E"/>
    <w:rsid w:val="00A47384"/>
    <w:rsid w:val="00A47411"/>
    <w:rsid w:val="00A474BA"/>
    <w:rsid w:val="00A474D8"/>
    <w:rsid w:val="00A474DF"/>
    <w:rsid w:val="00A474FF"/>
    <w:rsid w:val="00A47502"/>
    <w:rsid w:val="00A4762B"/>
    <w:rsid w:val="00A47721"/>
    <w:rsid w:val="00A47749"/>
    <w:rsid w:val="00A4781E"/>
    <w:rsid w:val="00A478CD"/>
    <w:rsid w:val="00A479D7"/>
    <w:rsid w:val="00A479DF"/>
    <w:rsid w:val="00A47B26"/>
    <w:rsid w:val="00A47C76"/>
    <w:rsid w:val="00A47CA7"/>
    <w:rsid w:val="00A47D19"/>
    <w:rsid w:val="00A47D20"/>
    <w:rsid w:val="00A47D28"/>
    <w:rsid w:val="00A47D4C"/>
    <w:rsid w:val="00A47D97"/>
    <w:rsid w:val="00A47DC7"/>
    <w:rsid w:val="00A47E1F"/>
    <w:rsid w:val="00A47E3B"/>
    <w:rsid w:val="00A47E76"/>
    <w:rsid w:val="00A47F3F"/>
    <w:rsid w:val="00A47F66"/>
    <w:rsid w:val="00A47FC4"/>
    <w:rsid w:val="00A50115"/>
    <w:rsid w:val="00A5028E"/>
    <w:rsid w:val="00A502D5"/>
    <w:rsid w:val="00A503AB"/>
    <w:rsid w:val="00A503BE"/>
    <w:rsid w:val="00A503DF"/>
    <w:rsid w:val="00A503F8"/>
    <w:rsid w:val="00A50444"/>
    <w:rsid w:val="00A50490"/>
    <w:rsid w:val="00A5049B"/>
    <w:rsid w:val="00A504F5"/>
    <w:rsid w:val="00A50546"/>
    <w:rsid w:val="00A50570"/>
    <w:rsid w:val="00A50585"/>
    <w:rsid w:val="00A5059D"/>
    <w:rsid w:val="00A505E0"/>
    <w:rsid w:val="00A505FB"/>
    <w:rsid w:val="00A5065C"/>
    <w:rsid w:val="00A506B0"/>
    <w:rsid w:val="00A506B8"/>
    <w:rsid w:val="00A50744"/>
    <w:rsid w:val="00A50782"/>
    <w:rsid w:val="00A507DB"/>
    <w:rsid w:val="00A50825"/>
    <w:rsid w:val="00A5087B"/>
    <w:rsid w:val="00A508E9"/>
    <w:rsid w:val="00A5090B"/>
    <w:rsid w:val="00A509AF"/>
    <w:rsid w:val="00A509C7"/>
    <w:rsid w:val="00A509D5"/>
    <w:rsid w:val="00A50A54"/>
    <w:rsid w:val="00A50AAE"/>
    <w:rsid w:val="00A50B86"/>
    <w:rsid w:val="00A50BB1"/>
    <w:rsid w:val="00A50BE2"/>
    <w:rsid w:val="00A50C75"/>
    <w:rsid w:val="00A50D19"/>
    <w:rsid w:val="00A50D1E"/>
    <w:rsid w:val="00A50D72"/>
    <w:rsid w:val="00A50E15"/>
    <w:rsid w:val="00A50E83"/>
    <w:rsid w:val="00A50E90"/>
    <w:rsid w:val="00A50F7A"/>
    <w:rsid w:val="00A50FAF"/>
    <w:rsid w:val="00A50FD1"/>
    <w:rsid w:val="00A51036"/>
    <w:rsid w:val="00A51087"/>
    <w:rsid w:val="00A5109E"/>
    <w:rsid w:val="00A510E9"/>
    <w:rsid w:val="00A5111B"/>
    <w:rsid w:val="00A51189"/>
    <w:rsid w:val="00A511B2"/>
    <w:rsid w:val="00A51250"/>
    <w:rsid w:val="00A512D3"/>
    <w:rsid w:val="00A51408"/>
    <w:rsid w:val="00A51490"/>
    <w:rsid w:val="00A514CC"/>
    <w:rsid w:val="00A51512"/>
    <w:rsid w:val="00A51528"/>
    <w:rsid w:val="00A51539"/>
    <w:rsid w:val="00A5154B"/>
    <w:rsid w:val="00A515D3"/>
    <w:rsid w:val="00A51621"/>
    <w:rsid w:val="00A51686"/>
    <w:rsid w:val="00A516EB"/>
    <w:rsid w:val="00A5171E"/>
    <w:rsid w:val="00A51750"/>
    <w:rsid w:val="00A5177D"/>
    <w:rsid w:val="00A51837"/>
    <w:rsid w:val="00A518D9"/>
    <w:rsid w:val="00A51947"/>
    <w:rsid w:val="00A51976"/>
    <w:rsid w:val="00A5198F"/>
    <w:rsid w:val="00A519AA"/>
    <w:rsid w:val="00A519C8"/>
    <w:rsid w:val="00A51AA9"/>
    <w:rsid w:val="00A51AEF"/>
    <w:rsid w:val="00A51B22"/>
    <w:rsid w:val="00A51B2B"/>
    <w:rsid w:val="00A51B90"/>
    <w:rsid w:val="00A51BC6"/>
    <w:rsid w:val="00A51C67"/>
    <w:rsid w:val="00A51CF2"/>
    <w:rsid w:val="00A51D00"/>
    <w:rsid w:val="00A51D9D"/>
    <w:rsid w:val="00A51DE5"/>
    <w:rsid w:val="00A51DED"/>
    <w:rsid w:val="00A51E0D"/>
    <w:rsid w:val="00A51EC5"/>
    <w:rsid w:val="00A51F6D"/>
    <w:rsid w:val="00A51F72"/>
    <w:rsid w:val="00A51F99"/>
    <w:rsid w:val="00A51FA5"/>
    <w:rsid w:val="00A5201E"/>
    <w:rsid w:val="00A52024"/>
    <w:rsid w:val="00A52090"/>
    <w:rsid w:val="00A52099"/>
    <w:rsid w:val="00A520FB"/>
    <w:rsid w:val="00A52128"/>
    <w:rsid w:val="00A5212E"/>
    <w:rsid w:val="00A52136"/>
    <w:rsid w:val="00A52163"/>
    <w:rsid w:val="00A521A7"/>
    <w:rsid w:val="00A52286"/>
    <w:rsid w:val="00A5228D"/>
    <w:rsid w:val="00A522A9"/>
    <w:rsid w:val="00A522D3"/>
    <w:rsid w:val="00A52301"/>
    <w:rsid w:val="00A52469"/>
    <w:rsid w:val="00A52488"/>
    <w:rsid w:val="00A525E2"/>
    <w:rsid w:val="00A52615"/>
    <w:rsid w:val="00A5269B"/>
    <w:rsid w:val="00A52757"/>
    <w:rsid w:val="00A5277D"/>
    <w:rsid w:val="00A5279C"/>
    <w:rsid w:val="00A527F2"/>
    <w:rsid w:val="00A52862"/>
    <w:rsid w:val="00A528D4"/>
    <w:rsid w:val="00A528E0"/>
    <w:rsid w:val="00A529A5"/>
    <w:rsid w:val="00A52A54"/>
    <w:rsid w:val="00A52A76"/>
    <w:rsid w:val="00A52B30"/>
    <w:rsid w:val="00A52C04"/>
    <w:rsid w:val="00A52C2E"/>
    <w:rsid w:val="00A52CE0"/>
    <w:rsid w:val="00A52D3A"/>
    <w:rsid w:val="00A52DA8"/>
    <w:rsid w:val="00A52DF5"/>
    <w:rsid w:val="00A52E0B"/>
    <w:rsid w:val="00A52E4D"/>
    <w:rsid w:val="00A53166"/>
    <w:rsid w:val="00A531FB"/>
    <w:rsid w:val="00A5323A"/>
    <w:rsid w:val="00A5326F"/>
    <w:rsid w:val="00A532DF"/>
    <w:rsid w:val="00A53310"/>
    <w:rsid w:val="00A53311"/>
    <w:rsid w:val="00A53313"/>
    <w:rsid w:val="00A5337B"/>
    <w:rsid w:val="00A53433"/>
    <w:rsid w:val="00A5344F"/>
    <w:rsid w:val="00A53451"/>
    <w:rsid w:val="00A53502"/>
    <w:rsid w:val="00A53506"/>
    <w:rsid w:val="00A53561"/>
    <w:rsid w:val="00A535EA"/>
    <w:rsid w:val="00A53791"/>
    <w:rsid w:val="00A5380B"/>
    <w:rsid w:val="00A53814"/>
    <w:rsid w:val="00A53869"/>
    <w:rsid w:val="00A538F9"/>
    <w:rsid w:val="00A53962"/>
    <w:rsid w:val="00A539B0"/>
    <w:rsid w:val="00A53A6E"/>
    <w:rsid w:val="00A53B19"/>
    <w:rsid w:val="00A53B21"/>
    <w:rsid w:val="00A53B41"/>
    <w:rsid w:val="00A53B9A"/>
    <w:rsid w:val="00A53BB3"/>
    <w:rsid w:val="00A53BD0"/>
    <w:rsid w:val="00A53BF8"/>
    <w:rsid w:val="00A53C58"/>
    <w:rsid w:val="00A53C5B"/>
    <w:rsid w:val="00A53CCC"/>
    <w:rsid w:val="00A53DCA"/>
    <w:rsid w:val="00A53E71"/>
    <w:rsid w:val="00A53E87"/>
    <w:rsid w:val="00A53F05"/>
    <w:rsid w:val="00A53F22"/>
    <w:rsid w:val="00A53F81"/>
    <w:rsid w:val="00A53F93"/>
    <w:rsid w:val="00A53FBE"/>
    <w:rsid w:val="00A5415D"/>
    <w:rsid w:val="00A5416E"/>
    <w:rsid w:val="00A541B0"/>
    <w:rsid w:val="00A5422A"/>
    <w:rsid w:val="00A54283"/>
    <w:rsid w:val="00A542D1"/>
    <w:rsid w:val="00A542E8"/>
    <w:rsid w:val="00A54304"/>
    <w:rsid w:val="00A54312"/>
    <w:rsid w:val="00A5431C"/>
    <w:rsid w:val="00A54367"/>
    <w:rsid w:val="00A54394"/>
    <w:rsid w:val="00A54439"/>
    <w:rsid w:val="00A544F8"/>
    <w:rsid w:val="00A54528"/>
    <w:rsid w:val="00A545CD"/>
    <w:rsid w:val="00A54603"/>
    <w:rsid w:val="00A54604"/>
    <w:rsid w:val="00A546B9"/>
    <w:rsid w:val="00A546FC"/>
    <w:rsid w:val="00A54701"/>
    <w:rsid w:val="00A5470B"/>
    <w:rsid w:val="00A5470E"/>
    <w:rsid w:val="00A5477B"/>
    <w:rsid w:val="00A54787"/>
    <w:rsid w:val="00A547B6"/>
    <w:rsid w:val="00A547C8"/>
    <w:rsid w:val="00A548B5"/>
    <w:rsid w:val="00A5490B"/>
    <w:rsid w:val="00A5499B"/>
    <w:rsid w:val="00A549E6"/>
    <w:rsid w:val="00A54A21"/>
    <w:rsid w:val="00A54A4A"/>
    <w:rsid w:val="00A54A7A"/>
    <w:rsid w:val="00A54AA0"/>
    <w:rsid w:val="00A54AA7"/>
    <w:rsid w:val="00A54B65"/>
    <w:rsid w:val="00A54B83"/>
    <w:rsid w:val="00A54BE4"/>
    <w:rsid w:val="00A54CF6"/>
    <w:rsid w:val="00A54E2A"/>
    <w:rsid w:val="00A54E4E"/>
    <w:rsid w:val="00A54E63"/>
    <w:rsid w:val="00A54E68"/>
    <w:rsid w:val="00A54E7B"/>
    <w:rsid w:val="00A54EC4"/>
    <w:rsid w:val="00A54EEE"/>
    <w:rsid w:val="00A54F30"/>
    <w:rsid w:val="00A54FE0"/>
    <w:rsid w:val="00A5505E"/>
    <w:rsid w:val="00A550C8"/>
    <w:rsid w:val="00A55114"/>
    <w:rsid w:val="00A55118"/>
    <w:rsid w:val="00A55196"/>
    <w:rsid w:val="00A551CB"/>
    <w:rsid w:val="00A551EE"/>
    <w:rsid w:val="00A55206"/>
    <w:rsid w:val="00A55231"/>
    <w:rsid w:val="00A5529B"/>
    <w:rsid w:val="00A552A3"/>
    <w:rsid w:val="00A552D3"/>
    <w:rsid w:val="00A55314"/>
    <w:rsid w:val="00A5537B"/>
    <w:rsid w:val="00A55540"/>
    <w:rsid w:val="00A5559A"/>
    <w:rsid w:val="00A555A8"/>
    <w:rsid w:val="00A555DA"/>
    <w:rsid w:val="00A555DF"/>
    <w:rsid w:val="00A555E2"/>
    <w:rsid w:val="00A55631"/>
    <w:rsid w:val="00A55659"/>
    <w:rsid w:val="00A5568F"/>
    <w:rsid w:val="00A556C2"/>
    <w:rsid w:val="00A55707"/>
    <w:rsid w:val="00A55768"/>
    <w:rsid w:val="00A557B8"/>
    <w:rsid w:val="00A557C5"/>
    <w:rsid w:val="00A557EB"/>
    <w:rsid w:val="00A557F1"/>
    <w:rsid w:val="00A558AC"/>
    <w:rsid w:val="00A558EF"/>
    <w:rsid w:val="00A5592F"/>
    <w:rsid w:val="00A55993"/>
    <w:rsid w:val="00A559BC"/>
    <w:rsid w:val="00A55A31"/>
    <w:rsid w:val="00A55A6B"/>
    <w:rsid w:val="00A55A75"/>
    <w:rsid w:val="00A55A80"/>
    <w:rsid w:val="00A55AE7"/>
    <w:rsid w:val="00A55B54"/>
    <w:rsid w:val="00A55BBC"/>
    <w:rsid w:val="00A55D80"/>
    <w:rsid w:val="00A55EF5"/>
    <w:rsid w:val="00A56009"/>
    <w:rsid w:val="00A5601C"/>
    <w:rsid w:val="00A56079"/>
    <w:rsid w:val="00A5607A"/>
    <w:rsid w:val="00A56096"/>
    <w:rsid w:val="00A560FB"/>
    <w:rsid w:val="00A56139"/>
    <w:rsid w:val="00A56235"/>
    <w:rsid w:val="00A562A0"/>
    <w:rsid w:val="00A56346"/>
    <w:rsid w:val="00A5639F"/>
    <w:rsid w:val="00A563A0"/>
    <w:rsid w:val="00A5646A"/>
    <w:rsid w:val="00A56538"/>
    <w:rsid w:val="00A5653B"/>
    <w:rsid w:val="00A56565"/>
    <w:rsid w:val="00A565BA"/>
    <w:rsid w:val="00A566C0"/>
    <w:rsid w:val="00A566C9"/>
    <w:rsid w:val="00A5671E"/>
    <w:rsid w:val="00A567C5"/>
    <w:rsid w:val="00A567F0"/>
    <w:rsid w:val="00A56804"/>
    <w:rsid w:val="00A56822"/>
    <w:rsid w:val="00A56854"/>
    <w:rsid w:val="00A56865"/>
    <w:rsid w:val="00A56881"/>
    <w:rsid w:val="00A5688C"/>
    <w:rsid w:val="00A5693E"/>
    <w:rsid w:val="00A5699F"/>
    <w:rsid w:val="00A569A2"/>
    <w:rsid w:val="00A56A32"/>
    <w:rsid w:val="00A56A57"/>
    <w:rsid w:val="00A56AE6"/>
    <w:rsid w:val="00A56B94"/>
    <w:rsid w:val="00A56C0D"/>
    <w:rsid w:val="00A56C3A"/>
    <w:rsid w:val="00A56C80"/>
    <w:rsid w:val="00A56D55"/>
    <w:rsid w:val="00A56D65"/>
    <w:rsid w:val="00A56D92"/>
    <w:rsid w:val="00A56E07"/>
    <w:rsid w:val="00A56E56"/>
    <w:rsid w:val="00A56E84"/>
    <w:rsid w:val="00A56E86"/>
    <w:rsid w:val="00A56E91"/>
    <w:rsid w:val="00A56ED5"/>
    <w:rsid w:val="00A56EE9"/>
    <w:rsid w:val="00A56F26"/>
    <w:rsid w:val="00A56F2A"/>
    <w:rsid w:val="00A56F83"/>
    <w:rsid w:val="00A56F95"/>
    <w:rsid w:val="00A56FE3"/>
    <w:rsid w:val="00A56FEB"/>
    <w:rsid w:val="00A57010"/>
    <w:rsid w:val="00A5701E"/>
    <w:rsid w:val="00A570BB"/>
    <w:rsid w:val="00A57117"/>
    <w:rsid w:val="00A57119"/>
    <w:rsid w:val="00A57129"/>
    <w:rsid w:val="00A5712E"/>
    <w:rsid w:val="00A57176"/>
    <w:rsid w:val="00A57312"/>
    <w:rsid w:val="00A573D8"/>
    <w:rsid w:val="00A573F5"/>
    <w:rsid w:val="00A573F7"/>
    <w:rsid w:val="00A5742F"/>
    <w:rsid w:val="00A57447"/>
    <w:rsid w:val="00A574DE"/>
    <w:rsid w:val="00A574EF"/>
    <w:rsid w:val="00A574F3"/>
    <w:rsid w:val="00A57592"/>
    <w:rsid w:val="00A575DC"/>
    <w:rsid w:val="00A575EC"/>
    <w:rsid w:val="00A575FF"/>
    <w:rsid w:val="00A57602"/>
    <w:rsid w:val="00A57604"/>
    <w:rsid w:val="00A5761A"/>
    <w:rsid w:val="00A5772F"/>
    <w:rsid w:val="00A5776B"/>
    <w:rsid w:val="00A57790"/>
    <w:rsid w:val="00A57819"/>
    <w:rsid w:val="00A578D0"/>
    <w:rsid w:val="00A578F3"/>
    <w:rsid w:val="00A5798E"/>
    <w:rsid w:val="00A579EB"/>
    <w:rsid w:val="00A57A1E"/>
    <w:rsid w:val="00A57A75"/>
    <w:rsid w:val="00A57AA0"/>
    <w:rsid w:val="00A57AE8"/>
    <w:rsid w:val="00A57B01"/>
    <w:rsid w:val="00A57C23"/>
    <w:rsid w:val="00A57C76"/>
    <w:rsid w:val="00A57C8F"/>
    <w:rsid w:val="00A57CCB"/>
    <w:rsid w:val="00A57CD2"/>
    <w:rsid w:val="00A57CD9"/>
    <w:rsid w:val="00A57D93"/>
    <w:rsid w:val="00A57DA2"/>
    <w:rsid w:val="00A57DB0"/>
    <w:rsid w:val="00A57E53"/>
    <w:rsid w:val="00A57E57"/>
    <w:rsid w:val="00A57ECB"/>
    <w:rsid w:val="00A57EF2"/>
    <w:rsid w:val="00A57F0A"/>
    <w:rsid w:val="00A57F26"/>
    <w:rsid w:val="00A57FA9"/>
    <w:rsid w:val="00A60032"/>
    <w:rsid w:val="00A6003E"/>
    <w:rsid w:val="00A60067"/>
    <w:rsid w:val="00A600D2"/>
    <w:rsid w:val="00A6011A"/>
    <w:rsid w:val="00A6011D"/>
    <w:rsid w:val="00A60176"/>
    <w:rsid w:val="00A6018C"/>
    <w:rsid w:val="00A601D9"/>
    <w:rsid w:val="00A60269"/>
    <w:rsid w:val="00A602B6"/>
    <w:rsid w:val="00A60301"/>
    <w:rsid w:val="00A60326"/>
    <w:rsid w:val="00A603C0"/>
    <w:rsid w:val="00A603C6"/>
    <w:rsid w:val="00A603C7"/>
    <w:rsid w:val="00A603E7"/>
    <w:rsid w:val="00A6040B"/>
    <w:rsid w:val="00A60411"/>
    <w:rsid w:val="00A60460"/>
    <w:rsid w:val="00A60461"/>
    <w:rsid w:val="00A604C8"/>
    <w:rsid w:val="00A605C7"/>
    <w:rsid w:val="00A605E4"/>
    <w:rsid w:val="00A6061B"/>
    <w:rsid w:val="00A60639"/>
    <w:rsid w:val="00A60647"/>
    <w:rsid w:val="00A60677"/>
    <w:rsid w:val="00A606AE"/>
    <w:rsid w:val="00A606F5"/>
    <w:rsid w:val="00A60746"/>
    <w:rsid w:val="00A60758"/>
    <w:rsid w:val="00A6075B"/>
    <w:rsid w:val="00A60834"/>
    <w:rsid w:val="00A60841"/>
    <w:rsid w:val="00A60857"/>
    <w:rsid w:val="00A6087E"/>
    <w:rsid w:val="00A608DE"/>
    <w:rsid w:val="00A608F5"/>
    <w:rsid w:val="00A60937"/>
    <w:rsid w:val="00A60983"/>
    <w:rsid w:val="00A60A45"/>
    <w:rsid w:val="00A60A85"/>
    <w:rsid w:val="00A60AA9"/>
    <w:rsid w:val="00A60B73"/>
    <w:rsid w:val="00A60BA3"/>
    <w:rsid w:val="00A60BED"/>
    <w:rsid w:val="00A60BEF"/>
    <w:rsid w:val="00A60C11"/>
    <w:rsid w:val="00A60CA0"/>
    <w:rsid w:val="00A60CEE"/>
    <w:rsid w:val="00A60D1E"/>
    <w:rsid w:val="00A60D3A"/>
    <w:rsid w:val="00A60D72"/>
    <w:rsid w:val="00A60D7A"/>
    <w:rsid w:val="00A60D94"/>
    <w:rsid w:val="00A60DEC"/>
    <w:rsid w:val="00A60E07"/>
    <w:rsid w:val="00A60E94"/>
    <w:rsid w:val="00A60EF5"/>
    <w:rsid w:val="00A60EFB"/>
    <w:rsid w:val="00A60F20"/>
    <w:rsid w:val="00A60F59"/>
    <w:rsid w:val="00A60F62"/>
    <w:rsid w:val="00A60FD9"/>
    <w:rsid w:val="00A60FED"/>
    <w:rsid w:val="00A6108B"/>
    <w:rsid w:val="00A6108F"/>
    <w:rsid w:val="00A610A2"/>
    <w:rsid w:val="00A61132"/>
    <w:rsid w:val="00A6118F"/>
    <w:rsid w:val="00A611F8"/>
    <w:rsid w:val="00A6126E"/>
    <w:rsid w:val="00A61287"/>
    <w:rsid w:val="00A613D9"/>
    <w:rsid w:val="00A61409"/>
    <w:rsid w:val="00A614BE"/>
    <w:rsid w:val="00A6156B"/>
    <w:rsid w:val="00A61577"/>
    <w:rsid w:val="00A61642"/>
    <w:rsid w:val="00A61649"/>
    <w:rsid w:val="00A61660"/>
    <w:rsid w:val="00A616EC"/>
    <w:rsid w:val="00A61702"/>
    <w:rsid w:val="00A6174E"/>
    <w:rsid w:val="00A61776"/>
    <w:rsid w:val="00A61808"/>
    <w:rsid w:val="00A618B1"/>
    <w:rsid w:val="00A619CD"/>
    <w:rsid w:val="00A61A67"/>
    <w:rsid w:val="00A61A68"/>
    <w:rsid w:val="00A61A6F"/>
    <w:rsid w:val="00A61AC2"/>
    <w:rsid w:val="00A61B03"/>
    <w:rsid w:val="00A61B2C"/>
    <w:rsid w:val="00A61B4D"/>
    <w:rsid w:val="00A61BB3"/>
    <w:rsid w:val="00A61C20"/>
    <w:rsid w:val="00A61D32"/>
    <w:rsid w:val="00A61DAF"/>
    <w:rsid w:val="00A61DDD"/>
    <w:rsid w:val="00A61E74"/>
    <w:rsid w:val="00A61ED5"/>
    <w:rsid w:val="00A61F21"/>
    <w:rsid w:val="00A61FAE"/>
    <w:rsid w:val="00A62010"/>
    <w:rsid w:val="00A6208A"/>
    <w:rsid w:val="00A62131"/>
    <w:rsid w:val="00A6219F"/>
    <w:rsid w:val="00A62220"/>
    <w:rsid w:val="00A62226"/>
    <w:rsid w:val="00A6231A"/>
    <w:rsid w:val="00A6232D"/>
    <w:rsid w:val="00A62356"/>
    <w:rsid w:val="00A6239A"/>
    <w:rsid w:val="00A623CF"/>
    <w:rsid w:val="00A623DF"/>
    <w:rsid w:val="00A62428"/>
    <w:rsid w:val="00A6246E"/>
    <w:rsid w:val="00A624A5"/>
    <w:rsid w:val="00A624FB"/>
    <w:rsid w:val="00A6254E"/>
    <w:rsid w:val="00A625A2"/>
    <w:rsid w:val="00A625C3"/>
    <w:rsid w:val="00A625C5"/>
    <w:rsid w:val="00A625F9"/>
    <w:rsid w:val="00A62622"/>
    <w:rsid w:val="00A626D3"/>
    <w:rsid w:val="00A62745"/>
    <w:rsid w:val="00A62799"/>
    <w:rsid w:val="00A62812"/>
    <w:rsid w:val="00A6284F"/>
    <w:rsid w:val="00A628CA"/>
    <w:rsid w:val="00A628E1"/>
    <w:rsid w:val="00A62933"/>
    <w:rsid w:val="00A6297D"/>
    <w:rsid w:val="00A629BA"/>
    <w:rsid w:val="00A62BD8"/>
    <w:rsid w:val="00A62D3A"/>
    <w:rsid w:val="00A62D4C"/>
    <w:rsid w:val="00A62D59"/>
    <w:rsid w:val="00A62DCF"/>
    <w:rsid w:val="00A62E4D"/>
    <w:rsid w:val="00A62E9F"/>
    <w:rsid w:val="00A62EC9"/>
    <w:rsid w:val="00A62EDA"/>
    <w:rsid w:val="00A62F1B"/>
    <w:rsid w:val="00A62F6B"/>
    <w:rsid w:val="00A62F7C"/>
    <w:rsid w:val="00A62FB0"/>
    <w:rsid w:val="00A62FC5"/>
    <w:rsid w:val="00A62FFD"/>
    <w:rsid w:val="00A6309A"/>
    <w:rsid w:val="00A63160"/>
    <w:rsid w:val="00A6317D"/>
    <w:rsid w:val="00A63190"/>
    <w:rsid w:val="00A63232"/>
    <w:rsid w:val="00A63237"/>
    <w:rsid w:val="00A632B6"/>
    <w:rsid w:val="00A632F4"/>
    <w:rsid w:val="00A632FE"/>
    <w:rsid w:val="00A633E0"/>
    <w:rsid w:val="00A63423"/>
    <w:rsid w:val="00A634DC"/>
    <w:rsid w:val="00A63574"/>
    <w:rsid w:val="00A6358F"/>
    <w:rsid w:val="00A635C2"/>
    <w:rsid w:val="00A635C4"/>
    <w:rsid w:val="00A635DD"/>
    <w:rsid w:val="00A63682"/>
    <w:rsid w:val="00A636D7"/>
    <w:rsid w:val="00A63720"/>
    <w:rsid w:val="00A63762"/>
    <w:rsid w:val="00A637D0"/>
    <w:rsid w:val="00A637F9"/>
    <w:rsid w:val="00A63806"/>
    <w:rsid w:val="00A638B9"/>
    <w:rsid w:val="00A638EC"/>
    <w:rsid w:val="00A63933"/>
    <w:rsid w:val="00A63941"/>
    <w:rsid w:val="00A63979"/>
    <w:rsid w:val="00A639B9"/>
    <w:rsid w:val="00A639DE"/>
    <w:rsid w:val="00A63A8B"/>
    <w:rsid w:val="00A63AEA"/>
    <w:rsid w:val="00A63C0B"/>
    <w:rsid w:val="00A63C1F"/>
    <w:rsid w:val="00A63C94"/>
    <w:rsid w:val="00A63CB6"/>
    <w:rsid w:val="00A63CE0"/>
    <w:rsid w:val="00A63DB4"/>
    <w:rsid w:val="00A63EB0"/>
    <w:rsid w:val="00A63ED2"/>
    <w:rsid w:val="00A63F88"/>
    <w:rsid w:val="00A6400D"/>
    <w:rsid w:val="00A64079"/>
    <w:rsid w:val="00A64089"/>
    <w:rsid w:val="00A640A6"/>
    <w:rsid w:val="00A640B5"/>
    <w:rsid w:val="00A641F4"/>
    <w:rsid w:val="00A64372"/>
    <w:rsid w:val="00A64398"/>
    <w:rsid w:val="00A64429"/>
    <w:rsid w:val="00A64481"/>
    <w:rsid w:val="00A644B6"/>
    <w:rsid w:val="00A6455B"/>
    <w:rsid w:val="00A645D5"/>
    <w:rsid w:val="00A64610"/>
    <w:rsid w:val="00A646AD"/>
    <w:rsid w:val="00A646B1"/>
    <w:rsid w:val="00A646CA"/>
    <w:rsid w:val="00A646DC"/>
    <w:rsid w:val="00A64742"/>
    <w:rsid w:val="00A64787"/>
    <w:rsid w:val="00A647DB"/>
    <w:rsid w:val="00A647E2"/>
    <w:rsid w:val="00A648AE"/>
    <w:rsid w:val="00A648B9"/>
    <w:rsid w:val="00A648FC"/>
    <w:rsid w:val="00A6499B"/>
    <w:rsid w:val="00A649AF"/>
    <w:rsid w:val="00A649C3"/>
    <w:rsid w:val="00A64A0B"/>
    <w:rsid w:val="00A64B4D"/>
    <w:rsid w:val="00A64C44"/>
    <w:rsid w:val="00A64C64"/>
    <w:rsid w:val="00A64C66"/>
    <w:rsid w:val="00A64C7E"/>
    <w:rsid w:val="00A64C8C"/>
    <w:rsid w:val="00A64C8E"/>
    <w:rsid w:val="00A64CBD"/>
    <w:rsid w:val="00A64CD1"/>
    <w:rsid w:val="00A64CED"/>
    <w:rsid w:val="00A64D9D"/>
    <w:rsid w:val="00A64DB4"/>
    <w:rsid w:val="00A64DB5"/>
    <w:rsid w:val="00A64E0E"/>
    <w:rsid w:val="00A64E60"/>
    <w:rsid w:val="00A64F1C"/>
    <w:rsid w:val="00A64FFA"/>
    <w:rsid w:val="00A65043"/>
    <w:rsid w:val="00A6506A"/>
    <w:rsid w:val="00A65124"/>
    <w:rsid w:val="00A651BB"/>
    <w:rsid w:val="00A651D9"/>
    <w:rsid w:val="00A651EE"/>
    <w:rsid w:val="00A6528D"/>
    <w:rsid w:val="00A652DE"/>
    <w:rsid w:val="00A652FA"/>
    <w:rsid w:val="00A6530C"/>
    <w:rsid w:val="00A654AA"/>
    <w:rsid w:val="00A6552C"/>
    <w:rsid w:val="00A6552D"/>
    <w:rsid w:val="00A65597"/>
    <w:rsid w:val="00A655DD"/>
    <w:rsid w:val="00A65636"/>
    <w:rsid w:val="00A65648"/>
    <w:rsid w:val="00A65662"/>
    <w:rsid w:val="00A65674"/>
    <w:rsid w:val="00A656B6"/>
    <w:rsid w:val="00A656F4"/>
    <w:rsid w:val="00A6577C"/>
    <w:rsid w:val="00A65785"/>
    <w:rsid w:val="00A6583A"/>
    <w:rsid w:val="00A65854"/>
    <w:rsid w:val="00A65876"/>
    <w:rsid w:val="00A6587E"/>
    <w:rsid w:val="00A65888"/>
    <w:rsid w:val="00A6589C"/>
    <w:rsid w:val="00A65912"/>
    <w:rsid w:val="00A65942"/>
    <w:rsid w:val="00A65A20"/>
    <w:rsid w:val="00A65A50"/>
    <w:rsid w:val="00A65AA5"/>
    <w:rsid w:val="00A65ABE"/>
    <w:rsid w:val="00A65AF2"/>
    <w:rsid w:val="00A65B10"/>
    <w:rsid w:val="00A65B48"/>
    <w:rsid w:val="00A65CA8"/>
    <w:rsid w:val="00A65CEE"/>
    <w:rsid w:val="00A65D22"/>
    <w:rsid w:val="00A65D23"/>
    <w:rsid w:val="00A65D6A"/>
    <w:rsid w:val="00A65D6B"/>
    <w:rsid w:val="00A65D96"/>
    <w:rsid w:val="00A65DCD"/>
    <w:rsid w:val="00A65DFF"/>
    <w:rsid w:val="00A65E24"/>
    <w:rsid w:val="00A65E71"/>
    <w:rsid w:val="00A65F4C"/>
    <w:rsid w:val="00A65F79"/>
    <w:rsid w:val="00A66022"/>
    <w:rsid w:val="00A66025"/>
    <w:rsid w:val="00A660A7"/>
    <w:rsid w:val="00A660BD"/>
    <w:rsid w:val="00A660FA"/>
    <w:rsid w:val="00A661EE"/>
    <w:rsid w:val="00A66216"/>
    <w:rsid w:val="00A6628E"/>
    <w:rsid w:val="00A662B1"/>
    <w:rsid w:val="00A662DD"/>
    <w:rsid w:val="00A662EB"/>
    <w:rsid w:val="00A6630B"/>
    <w:rsid w:val="00A66407"/>
    <w:rsid w:val="00A6640B"/>
    <w:rsid w:val="00A66491"/>
    <w:rsid w:val="00A664B6"/>
    <w:rsid w:val="00A664DA"/>
    <w:rsid w:val="00A66577"/>
    <w:rsid w:val="00A66650"/>
    <w:rsid w:val="00A666CD"/>
    <w:rsid w:val="00A66828"/>
    <w:rsid w:val="00A6682A"/>
    <w:rsid w:val="00A6683A"/>
    <w:rsid w:val="00A668B2"/>
    <w:rsid w:val="00A668C5"/>
    <w:rsid w:val="00A668CD"/>
    <w:rsid w:val="00A66945"/>
    <w:rsid w:val="00A669B0"/>
    <w:rsid w:val="00A669BC"/>
    <w:rsid w:val="00A66A24"/>
    <w:rsid w:val="00A66B7B"/>
    <w:rsid w:val="00A66C67"/>
    <w:rsid w:val="00A66DDB"/>
    <w:rsid w:val="00A66E64"/>
    <w:rsid w:val="00A66EE7"/>
    <w:rsid w:val="00A66EEB"/>
    <w:rsid w:val="00A66F2C"/>
    <w:rsid w:val="00A66F35"/>
    <w:rsid w:val="00A66FCC"/>
    <w:rsid w:val="00A67019"/>
    <w:rsid w:val="00A670CE"/>
    <w:rsid w:val="00A670D5"/>
    <w:rsid w:val="00A6710D"/>
    <w:rsid w:val="00A67202"/>
    <w:rsid w:val="00A67228"/>
    <w:rsid w:val="00A6728B"/>
    <w:rsid w:val="00A672D3"/>
    <w:rsid w:val="00A672DB"/>
    <w:rsid w:val="00A6738C"/>
    <w:rsid w:val="00A6742D"/>
    <w:rsid w:val="00A67443"/>
    <w:rsid w:val="00A67483"/>
    <w:rsid w:val="00A67488"/>
    <w:rsid w:val="00A674F3"/>
    <w:rsid w:val="00A67555"/>
    <w:rsid w:val="00A6758A"/>
    <w:rsid w:val="00A6763C"/>
    <w:rsid w:val="00A6769D"/>
    <w:rsid w:val="00A676B3"/>
    <w:rsid w:val="00A67735"/>
    <w:rsid w:val="00A6773E"/>
    <w:rsid w:val="00A677CD"/>
    <w:rsid w:val="00A67946"/>
    <w:rsid w:val="00A67994"/>
    <w:rsid w:val="00A67A3C"/>
    <w:rsid w:val="00A67AB6"/>
    <w:rsid w:val="00A67B26"/>
    <w:rsid w:val="00A67BAA"/>
    <w:rsid w:val="00A67BBB"/>
    <w:rsid w:val="00A67BE0"/>
    <w:rsid w:val="00A67C11"/>
    <w:rsid w:val="00A67CAB"/>
    <w:rsid w:val="00A67CD1"/>
    <w:rsid w:val="00A67DB6"/>
    <w:rsid w:val="00A67DC4"/>
    <w:rsid w:val="00A67DCA"/>
    <w:rsid w:val="00A67E6A"/>
    <w:rsid w:val="00A67E6D"/>
    <w:rsid w:val="00A67E91"/>
    <w:rsid w:val="00A67EBF"/>
    <w:rsid w:val="00A67EC6"/>
    <w:rsid w:val="00A67EE6"/>
    <w:rsid w:val="00A67F1B"/>
    <w:rsid w:val="00A67F52"/>
    <w:rsid w:val="00A67FD7"/>
    <w:rsid w:val="00A67FDE"/>
    <w:rsid w:val="00A70037"/>
    <w:rsid w:val="00A70049"/>
    <w:rsid w:val="00A700BA"/>
    <w:rsid w:val="00A7016F"/>
    <w:rsid w:val="00A70178"/>
    <w:rsid w:val="00A701FE"/>
    <w:rsid w:val="00A70234"/>
    <w:rsid w:val="00A70243"/>
    <w:rsid w:val="00A70255"/>
    <w:rsid w:val="00A7028B"/>
    <w:rsid w:val="00A702A3"/>
    <w:rsid w:val="00A702B5"/>
    <w:rsid w:val="00A7030E"/>
    <w:rsid w:val="00A7032C"/>
    <w:rsid w:val="00A7033B"/>
    <w:rsid w:val="00A703D7"/>
    <w:rsid w:val="00A7041F"/>
    <w:rsid w:val="00A7054E"/>
    <w:rsid w:val="00A705DF"/>
    <w:rsid w:val="00A705FD"/>
    <w:rsid w:val="00A70600"/>
    <w:rsid w:val="00A70657"/>
    <w:rsid w:val="00A706E4"/>
    <w:rsid w:val="00A707BD"/>
    <w:rsid w:val="00A7083F"/>
    <w:rsid w:val="00A7084A"/>
    <w:rsid w:val="00A7084E"/>
    <w:rsid w:val="00A70AB0"/>
    <w:rsid w:val="00A70AC3"/>
    <w:rsid w:val="00A70ACE"/>
    <w:rsid w:val="00A70B57"/>
    <w:rsid w:val="00A70B5D"/>
    <w:rsid w:val="00A70B83"/>
    <w:rsid w:val="00A70BBD"/>
    <w:rsid w:val="00A70BF8"/>
    <w:rsid w:val="00A70C20"/>
    <w:rsid w:val="00A70D16"/>
    <w:rsid w:val="00A70E1F"/>
    <w:rsid w:val="00A70E5E"/>
    <w:rsid w:val="00A70E86"/>
    <w:rsid w:val="00A70EB5"/>
    <w:rsid w:val="00A70F06"/>
    <w:rsid w:val="00A70FBD"/>
    <w:rsid w:val="00A7100D"/>
    <w:rsid w:val="00A71018"/>
    <w:rsid w:val="00A71080"/>
    <w:rsid w:val="00A71134"/>
    <w:rsid w:val="00A71238"/>
    <w:rsid w:val="00A712EC"/>
    <w:rsid w:val="00A71300"/>
    <w:rsid w:val="00A71335"/>
    <w:rsid w:val="00A71371"/>
    <w:rsid w:val="00A71467"/>
    <w:rsid w:val="00A7146C"/>
    <w:rsid w:val="00A714DB"/>
    <w:rsid w:val="00A71555"/>
    <w:rsid w:val="00A71560"/>
    <w:rsid w:val="00A7164D"/>
    <w:rsid w:val="00A71724"/>
    <w:rsid w:val="00A7174D"/>
    <w:rsid w:val="00A7176A"/>
    <w:rsid w:val="00A71774"/>
    <w:rsid w:val="00A717DB"/>
    <w:rsid w:val="00A717E9"/>
    <w:rsid w:val="00A71877"/>
    <w:rsid w:val="00A71892"/>
    <w:rsid w:val="00A71897"/>
    <w:rsid w:val="00A7189C"/>
    <w:rsid w:val="00A718B9"/>
    <w:rsid w:val="00A71939"/>
    <w:rsid w:val="00A719F9"/>
    <w:rsid w:val="00A71A24"/>
    <w:rsid w:val="00A71A45"/>
    <w:rsid w:val="00A71B25"/>
    <w:rsid w:val="00A71B4F"/>
    <w:rsid w:val="00A71BD8"/>
    <w:rsid w:val="00A71C6E"/>
    <w:rsid w:val="00A71D14"/>
    <w:rsid w:val="00A71D27"/>
    <w:rsid w:val="00A71D5D"/>
    <w:rsid w:val="00A71DF1"/>
    <w:rsid w:val="00A71E3D"/>
    <w:rsid w:val="00A71E70"/>
    <w:rsid w:val="00A71E96"/>
    <w:rsid w:val="00A71EAE"/>
    <w:rsid w:val="00A71EC2"/>
    <w:rsid w:val="00A71EE2"/>
    <w:rsid w:val="00A71F86"/>
    <w:rsid w:val="00A7200E"/>
    <w:rsid w:val="00A72043"/>
    <w:rsid w:val="00A7205D"/>
    <w:rsid w:val="00A7221C"/>
    <w:rsid w:val="00A72276"/>
    <w:rsid w:val="00A7229F"/>
    <w:rsid w:val="00A722B4"/>
    <w:rsid w:val="00A722B8"/>
    <w:rsid w:val="00A722E9"/>
    <w:rsid w:val="00A72324"/>
    <w:rsid w:val="00A72345"/>
    <w:rsid w:val="00A724A7"/>
    <w:rsid w:val="00A7260D"/>
    <w:rsid w:val="00A72644"/>
    <w:rsid w:val="00A7265C"/>
    <w:rsid w:val="00A726C9"/>
    <w:rsid w:val="00A7283E"/>
    <w:rsid w:val="00A728D4"/>
    <w:rsid w:val="00A728E5"/>
    <w:rsid w:val="00A728EB"/>
    <w:rsid w:val="00A7296E"/>
    <w:rsid w:val="00A72990"/>
    <w:rsid w:val="00A72A7C"/>
    <w:rsid w:val="00A72A82"/>
    <w:rsid w:val="00A72AD3"/>
    <w:rsid w:val="00A72BD4"/>
    <w:rsid w:val="00A72C1A"/>
    <w:rsid w:val="00A72C31"/>
    <w:rsid w:val="00A72C7F"/>
    <w:rsid w:val="00A72C92"/>
    <w:rsid w:val="00A72DBF"/>
    <w:rsid w:val="00A72DC6"/>
    <w:rsid w:val="00A72E34"/>
    <w:rsid w:val="00A72E39"/>
    <w:rsid w:val="00A72E50"/>
    <w:rsid w:val="00A72E68"/>
    <w:rsid w:val="00A72FB3"/>
    <w:rsid w:val="00A73024"/>
    <w:rsid w:val="00A73080"/>
    <w:rsid w:val="00A730AA"/>
    <w:rsid w:val="00A730CE"/>
    <w:rsid w:val="00A731FB"/>
    <w:rsid w:val="00A73200"/>
    <w:rsid w:val="00A73333"/>
    <w:rsid w:val="00A7336D"/>
    <w:rsid w:val="00A733B1"/>
    <w:rsid w:val="00A733BE"/>
    <w:rsid w:val="00A7342D"/>
    <w:rsid w:val="00A7344F"/>
    <w:rsid w:val="00A73538"/>
    <w:rsid w:val="00A735D1"/>
    <w:rsid w:val="00A735D6"/>
    <w:rsid w:val="00A7364B"/>
    <w:rsid w:val="00A736C3"/>
    <w:rsid w:val="00A736C9"/>
    <w:rsid w:val="00A73775"/>
    <w:rsid w:val="00A73808"/>
    <w:rsid w:val="00A73857"/>
    <w:rsid w:val="00A7385C"/>
    <w:rsid w:val="00A73951"/>
    <w:rsid w:val="00A739A4"/>
    <w:rsid w:val="00A739ED"/>
    <w:rsid w:val="00A73A6B"/>
    <w:rsid w:val="00A73ACA"/>
    <w:rsid w:val="00A73ACC"/>
    <w:rsid w:val="00A73B30"/>
    <w:rsid w:val="00A73B42"/>
    <w:rsid w:val="00A73B4B"/>
    <w:rsid w:val="00A73B4F"/>
    <w:rsid w:val="00A73BDF"/>
    <w:rsid w:val="00A73C0E"/>
    <w:rsid w:val="00A73C9E"/>
    <w:rsid w:val="00A73D21"/>
    <w:rsid w:val="00A73D2E"/>
    <w:rsid w:val="00A73D38"/>
    <w:rsid w:val="00A73D51"/>
    <w:rsid w:val="00A73DC7"/>
    <w:rsid w:val="00A73E11"/>
    <w:rsid w:val="00A73E2B"/>
    <w:rsid w:val="00A73E49"/>
    <w:rsid w:val="00A73EA9"/>
    <w:rsid w:val="00A73EB2"/>
    <w:rsid w:val="00A73EB8"/>
    <w:rsid w:val="00A73EEB"/>
    <w:rsid w:val="00A73EF0"/>
    <w:rsid w:val="00A73F21"/>
    <w:rsid w:val="00A73F8C"/>
    <w:rsid w:val="00A74065"/>
    <w:rsid w:val="00A7407C"/>
    <w:rsid w:val="00A74095"/>
    <w:rsid w:val="00A740AB"/>
    <w:rsid w:val="00A740F9"/>
    <w:rsid w:val="00A74101"/>
    <w:rsid w:val="00A74135"/>
    <w:rsid w:val="00A741D5"/>
    <w:rsid w:val="00A741FC"/>
    <w:rsid w:val="00A74261"/>
    <w:rsid w:val="00A74269"/>
    <w:rsid w:val="00A74283"/>
    <w:rsid w:val="00A7429A"/>
    <w:rsid w:val="00A74486"/>
    <w:rsid w:val="00A74508"/>
    <w:rsid w:val="00A745D8"/>
    <w:rsid w:val="00A7460A"/>
    <w:rsid w:val="00A7460E"/>
    <w:rsid w:val="00A74718"/>
    <w:rsid w:val="00A74755"/>
    <w:rsid w:val="00A74771"/>
    <w:rsid w:val="00A7484E"/>
    <w:rsid w:val="00A74895"/>
    <w:rsid w:val="00A74925"/>
    <w:rsid w:val="00A74939"/>
    <w:rsid w:val="00A74957"/>
    <w:rsid w:val="00A749A5"/>
    <w:rsid w:val="00A749EF"/>
    <w:rsid w:val="00A749FE"/>
    <w:rsid w:val="00A74C33"/>
    <w:rsid w:val="00A74C42"/>
    <w:rsid w:val="00A74C7C"/>
    <w:rsid w:val="00A74CCB"/>
    <w:rsid w:val="00A74CD7"/>
    <w:rsid w:val="00A74CF3"/>
    <w:rsid w:val="00A74D6C"/>
    <w:rsid w:val="00A74E43"/>
    <w:rsid w:val="00A74E61"/>
    <w:rsid w:val="00A74E9C"/>
    <w:rsid w:val="00A74ECD"/>
    <w:rsid w:val="00A74F44"/>
    <w:rsid w:val="00A75015"/>
    <w:rsid w:val="00A75064"/>
    <w:rsid w:val="00A750C9"/>
    <w:rsid w:val="00A751A8"/>
    <w:rsid w:val="00A75245"/>
    <w:rsid w:val="00A752C2"/>
    <w:rsid w:val="00A752FD"/>
    <w:rsid w:val="00A7530C"/>
    <w:rsid w:val="00A7536E"/>
    <w:rsid w:val="00A7537A"/>
    <w:rsid w:val="00A7539F"/>
    <w:rsid w:val="00A7540E"/>
    <w:rsid w:val="00A754AE"/>
    <w:rsid w:val="00A754EB"/>
    <w:rsid w:val="00A7551D"/>
    <w:rsid w:val="00A7553F"/>
    <w:rsid w:val="00A7555E"/>
    <w:rsid w:val="00A75646"/>
    <w:rsid w:val="00A756A0"/>
    <w:rsid w:val="00A756CF"/>
    <w:rsid w:val="00A756DB"/>
    <w:rsid w:val="00A75758"/>
    <w:rsid w:val="00A75802"/>
    <w:rsid w:val="00A75812"/>
    <w:rsid w:val="00A75828"/>
    <w:rsid w:val="00A75851"/>
    <w:rsid w:val="00A75860"/>
    <w:rsid w:val="00A758C0"/>
    <w:rsid w:val="00A758D0"/>
    <w:rsid w:val="00A758EA"/>
    <w:rsid w:val="00A7592B"/>
    <w:rsid w:val="00A75985"/>
    <w:rsid w:val="00A75A23"/>
    <w:rsid w:val="00A75A28"/>
    <w:rsid w:val="00A75ABC"/>
    <w:rsid w:val="00A75AE8"/>
    <w:rsid w:val="00A75B71"/>
    <w:rsid w:val="00A75BA6"/>
    <w:rsid w:val="00A75BC3"/>
    <w:rsid w:val="00A75BDA"/>
    <w:rsid w:val="00A75BF4"/>
    <w:rsid w:val="00A75C7B"/>
    <w:rsid w:val="00A75DC9"/>
    <w:rsid w:val="00A75F1E"/>
    <w:rsid w:val="00A75F4A"/>
    <w:rsid w:val="00A75F6D"/>
    <w:rsid w:val="00A76004"/>
    <w:rsid w:val="00A7600E"/>
    <w:rsid w:val="00A7609E"/>
    <w:rsid w:val="00A760D3"/>
    <w:rsid w:val="00A760E9"/>
    <w:rsid w:val="00A7611F"/>
    <w:rsid w:val="00A761A8"/>
    <w:rsid w:val="00A762A3"/>
    <w:rsid w:val="00A76300"/>
    <w:rsid w:val="00A76304"/>
    <w:rsid w:val="00A76320"/>
    <w:rsid w:val="00A76394"/>
    <w:rsid w:val="00A76396"/>
    <w:rsid w:val="00A7643B"/>
    <w:rsid w:val="00A76528"/>
    <w:rsid w:val="00A76620"/>
    <w:rsid w:val="00A76655"/>
    <w:rsid w:val="00A76680"/>
    <w:rsid w:val="00A766B2"/>
    <w:rsid w:val="00A7670B"/>
    <w:rsid w:val="00A76731"/>
    <w:rsid w:val="00A7674D"/>
    <w:rsid w:val="00A767F6"/>
    <w:rsid w:val="00A76833"/>
    <w:rsid w:val="00A7686B"/>
    <w:rsid w:val="00A768D7"/>
    <w:rsid w:val="00A76940"/>
    <w:rsid w:val="00A76944"/>
    <w:rsid w:val="00A769BB"/>
    <w:rsid w:val="00A769CD"/>
    <w:rsid w:val="00A769D1"/>
    <w:rsid w:val="00A76A4C"/>
    <w:rsid w:val="00A76A7B"/>
    <w:rsid w:val="00A76A8B"/>
    <w:rsid w:val="00A76B23"/>
    <w:rsid w:val="00A76B2F"/>
    <w:rsid w:val="00A76B4F"/>
    <w:rsid w:val="00A76C0E"/>
    <w:rsid w:val="00A76C4A"/>
    <w:rsid w:val="00A76C4D"/>
    <w:rsid w:val="00A76C93"/>
    <w:rsid w:val="00A76D1C"/>
    <w:rsid w:val="00A76D5A"/>
    <w:rsid w:val="00A76D7B"/>
    <w:rsid w:val="00A76D8C"/>
    <w:rsid w:val="00A76D97"/>
    <w:rsid w:val="00A76DB3"/>
    <w:rsid w:val="00A76DB8"/>
    <w:rsid w:val="00A76E18"/>
    <w:rsid w:val="00A76E51"/>
    <w:rsid w:val="00A76F50"/>
    <w:rsid w:val="00A76F6A"/>
    <w:rsid w:val="00A76F70"/>
    <w:rsid w:val="00A77004"/>
    <w:rsid w:val="00A77016"/>
    <w:rsid w:val="00A77039"/>
    <w:rsid w:val="00A7703C"/>
    <w:rsid w:val="00A77063"/>
    <w:rsid w:val="00A77125"/>
    <w:rsid w:val="00A77173"/>
    <w:rsid w:val="00A77224"/>
    <w:rsid w:val="00A7724E"/>
    <w:rsid w:val="00A77320"/>
    <w:rsid w:val="00A77337"/>
    <w:rsid w:val="00A7735A"/>
    <w:rsid w:val="00A7742A"/>
    <w:rsid w:val="00A7744D"/>
    <w:rsid w:val="00A774C2"/>
    <w:rsid w:val="00A77581"/>
    <w:rsid w:val="00A77599"/>
    <w:rsid w:val="00A775BA"/>
    <w:rsid w:val="00A775FC"/>
    <w:rsid w:val="00A7766F"/>
    <w:rsid w:val="00A776EF"/>
    <w:rsid w:val="00A7776C"/>
    <w:rsid w:val="00A777E7"/>
    <w:rsid w:val="00A77819"/>
    <w:rsid w:val="00A7781C"/>
    <w:rsid w:val="00A77931"/>
    <w:rsid w:val="00A77948"/>
    <w:rsid w:val="00A779A1"/>
    <w:rsid w:val="00A779E1"/>
    <w:rsid w:val="00A77A67"/>
    <w:rsid w:val="00A77A96"/>
    <w:rsid w:val="00A77AA7"/>
    <w:rsid w:val="00A77BEA"/>
    <w:rsid w:val="00A77C76"/>
    <w:rsid w:val="00A77D5D"/>
    <w:rsid w:val="00A77DCE"/>
    <w:rsid w:val="00A77E2D"/>
    <w:rsid w:val="00A77E52"/>
    <w:rsid w:val="00A77F69"/>
    <w:rsid w:val="00A77F8A"/>
    <w:rsid w:val="00A77FC0"/>
    <w:rsid w:val="00A77FD3"/>
    <w:rsid w:val="00A80064"/>
    <w:rsid w:val="00A800C2"/>
    <w:rsid w:val="00A800C6"/>
    <w:rsid w:val="00A80143"/>
    <w:rsid w:val="00A801A1"/>
    <w:rsid w:val="00A80206"/>
    <w:rsid w:val="00A80257"/>
    <w:rsid w:val="00A8027F"/>
    <w:rsid w:val="00A80294"/>
    <w:rsid w:val="00A8031E"/>
    <w:rsid w:val="00A80328"/>
    <w:rsid w:val="00A8035D"/>
    <w:rsid w:val="00A8037A"/>
    <w:rsid w:val="00A803EA"/>
    <w:rsid w:val="00A803F6"/>
    <w:rsid w:val="00A8044A"/>
    <w:rsid w:val="00A80453"/>
    <w:rsid w:val="00A8047A"/>
    <w:rsid w:val="00A80496"/>
    <w:rsid w:val="00A8056C"/>
    <w:rsid w:val="00A80584"/>
    <w:rsid w:val="00A805A9"/>
    <w:rsid w:val="00A805BE"/>
    <w:rsid w:val="00A805C1"/>
    <w:rsid w:val="00A805E2"/>
    <w:rsid w:val="00A80606"/>
    <w:rsid w:val="00A806C0"/>
    <w:rsid w:val="00A8072E"/>
    <w:rsid w:val="00A80770"/>
    <w:rsid w:val="00A80776"/>
    <w:rsid w:val="00A80780"/>
    <w:rsid w:val="00A807B9"/>
    <w:rsid w:val="00A80864"/>
    <w:rsid w:val="00A8091F"/>
    <w:rsid w:val="00A80926"/>
    <w:rsid w:val="00A8092E"/>
    <w:rsid w:val="00A80965"/>
    <w:rsid w:val="00A8097E"/>
    <w:rsid w:val="00A809E9"/>
    <w:rsid w:val="00A80A6A"/>
    <w:rsid w:val="00A80AA9"/>
    <w:rsid w:val="00A80AB6"/>
    <w:rsid w:val="00A80AF7"/>
    <w:rsid w:val="00A80B00"/>
    <w:rsid w:val="00A80B3F"/>
    <w:rsid w:val="00A80B61"/>
    <w:rsid w:val="00A80C6D"/>
    <w:rsid w:val="00A80D26"/>
    <w:rsid w:val="00A80D55"/>
    <w:rsid w:val="00A80D71"/>
    <w:rsid w:val="00A80D7A"/>
    <w:rsid w:val="00A80DD1"/>
    <w:rsid w:val="00A80DFE"/>
    <w:rsid w:val="00A80E02"/>
    <w:rsid w:val="00A80E1B"/>
    <w:rsid w:val="00A80E25"/>
    <w:rsid w:val="00A80E32"/>
    <w:rsid w:val="00A80EB9"/>
    <w:rsid w:val="00A80EEC"/>
    <w:rsid w:val="00A80F09"/>
    <w:rsid w:val="00A810B5"/>
    <w:rsid w:val="00A8118E"/>
    <w:rsid w:val="00A81192"/>
    <w:rsid w:val="00A811E6"/>
    <w:rsid w:val="00A8120E"/>
    <w:rsid w:val="00A81231"/>
    <w:rsid w:val="00A812FB"/>
    <w:rsid w:val="00A81411"/>
    <w:rsid w:val="00A8142E"/>
    <w:rsid w:val="00A81549"/>
    <w:rsid w:val="00A8154D"/>
    <w:rsid w:val="00A815EC"/>
    <w:rsid w:val="00A815F0"/>
    <w:rsid w:val="00A81622"/>
    <w:rsid w:val="00A8162E"/>
    <w:rsid w:val="00A8169D"/>
    <w:rsid w:val="00A816B4"/>
    <w:rsid w:val="00A81757"/>
    <w:rsid w:val="00A8175A"/>
    <w:rsid w:val="00A81760"/>
    <w:rsid w:val="00A817CA"/>
    <w:rsid w:val="00A817EC"/>
    <w:rsid w:val="00A81805"/>
    <w:rsid w:val="00A8183E"/>
    <w:rsid w:val="00A818AE"/>
    <w:rsid w:val="00A8197C"/>
    <w:rsid w:val="00A81B81"/>
    <w:rsid w:val="00A81BC9"/>
    <w:rsid w:val="00A81BE6"/>
    <w:rsid w:val="00A81BEB"/>
    <w:rsid w:val="00A81C00"/>
    <w:rsid w:val="00A81C07"/>
    <w:rsid w:val="00A81C31"/>
    <w:rsid w:val="00A81C48"/>
    <w:rsid w:val="00A81C4D"/>
    <w:rsid w:val="00A81D87"/>
    <w:rsid w:val="00A81DA6"/>
    <w:rsid w:val="00A81DF2"/>
    <w:rsid w:val="00A81DF3"/>
    <w:rsid w:val="00A81E0F"/>
    <w:rsid w:val="00A81E91"/>
    <w:rsid w:val="00A81E93"/>
    <w:rsid w:val="00A81F51"/>
    <w:rsid w:val="00A81FA2"/>
    <w:rsid w:val="00A81FEE"/>
    <w:rsid w:val="00A8203F"/>
    <w:rsid w:val="00A8207B"/>
    <w:rsid w:val="00A820C1"/>
    <w:rsid w:val="00A82110"/>
    <w:rsid w:val="00A82177"/>
    <w:rsid w:val="00A82190"/>
    <w:rsid w:val="00A821A9"/>
    <w:rsid w:val="00A8221D"/>
    <w:rsid w:val="00A82246"/>
    <w:rsid w:val="00A82255"/>
    <w:rsid w:val="00A82272"/>
    <w:rsid w:val="00A822CC"/>
    <w:rsid w:val="00A822FA"/>
    <w:rsid w:val="00A82329"/>
    <w:rsid w:val="00A8240A"/>
    <w:rsid w:val="00A82447"/>
    <w:rsid w:val="00A82466"/>
    <w:rsid w:val="00A82698"/>
    <w:rsid w:val="00A827D0"/>
    <w:rsid w:val="00A82895"/>
    <w:rsid w:val="00A828E1"/>
    <w:rsid w:val="00A828E8"/>
    <w:rsid w:val="00A8292B"/>
    <w:rsid w:val="00A82961"/>
    <w:rsid w:val="00A82968"/>
    <w:rsid w:val="00A8297F"/>
    <w:rsid w:val="00A82998"/>
    <w:rsid w:val="00A829B8"/>
    <w:rsid w:val="00A829FB"/>
    <w:rsid w:val="00A82A01"/>
    <w:rsid w:val="00A82A5B"/>
    <w:rsid w:val="00A82A6B"/>
    <w:rsid w:val="00A82A96"/>
    <w:rsid w:val="00A82A98"/>
    <w:rsid w:val="00A82AE4"/>
    <w:rsid w:val="00A82AF3"/>
    <w:rsid w:val="00A82B15"/>
    <w:rsid w:val="00A82B46"/>
    <w:rsid w:val="00A82B52"/>
    <w:rsid w:val="00A82B76"/>
    <w:rsid w:val="00A82C21"/>
    <w:rsid w:val="00A82D17"/>
    <w:rsid w:val="00A82D5D"/>
    <w:rsid w:val="00A82D5F"/>
    <w:rsid w:val="00A82DB3"/>
    <w:rsid w:val="00A82DBF"/>
    <w:rsid w:val="00A82E05"/>
    <w:rsid w:val="00A82E07"/>
    <w:rsid w:val="00A82E1F"/>
    <w:rsid w:val="00A82E29"/>
    <w:rsid w:val="00A82E7E"/>
    <w:rsid w:val="00A82E8D"/>
    <w:rsid w:val="00A82EDC"/>
    <w:rsid w:val="00A8306E"/>
    <w:rsid w:val="00A830C4"/>
    <w:rsid w:val="00A83156"/>
    <w:rsid w:val="00A83178"/>
    <w:rsid w:val="00A83192"/>
    <w:rsid w:val="00A8325D"/>
    <w:rsid w:val="00A832B6"/>
    <w:rsid w:val="00A832C0"/>
    <w:rsid w:val="00A8332C"/>
    <w:rsid w:val="00A83383"/>
    <w:rsid w:val="00A833AD"/>
    <w:rsid w:val="00A833AF"/>
    <w:rsid w:val="00A83409"/>
    <w:rsid w:val="00A83457"/>
    <w:rsid w:val="00A8349F"/>
    <w:rsid w:val="00A834E5"/>
    <w:rsid w:val="00A834F5"/>
    <w:rsid w:val="00A83504"/>
    <w:rsid w:val="00A8350F"/>
    <w:rsid w:val="00A83628"/>
    <w:rsid w:val="00A83633"/>
    <w:rsid w:val="00A8366F"/>
    <w:rsid w:val="00A83684"/>
    <w:rsid w:val="00A836DF"/>
    <w:rsid w:val="00A8370E"/>
    <w:rsid w:val="00A8376B"/>
    <w:rsid w:val="00A837DF"/>
    <w:rsid w:val="00A837FC"/>
    <w:rsid w:val="00A83800"/>
    <w:rsid w:val="00A83898"/>
    <w:rsid w:val="00A838B8"/>
    <w:rsid w:val="00A83915"/>
    <w:rsid w:val="00A83938"/>
    <w:rsid w:val="00A839E3"/>
    <w:rsid w:val="00A83A19"/>
    <w:rsid w:val="00A83A49"/>
    <w:rsid w:val="00A83A51"/>
    <w:rsid w:val="00A83B43"/>
    <w:rsid w:val="00A83BA6"/>
    <w:rsid w:val="00A83BAC"/>
    <w:rsid w:val="00A83BC7"/>
    <w:rsid w:val="00A83BD8"/>
    <w:rsid w:val="00A83BE6"/>
    <w:rsid w:val="00A83D0F"/>
    <w:rsid w:val="00A83D6D"/>
    <w:rsid w:val="00A83D70"/>
    <w:rsid w:val="00A83EBB"/>
    <w:rsid w:val="00A83F20"/>
    <w:rsid w:val="00A83FCD"/>
    <w:rsid w:val="00A83FEC"/>
    <w:rsid w:val="00A8406B"/>
    <w:rsid w:val="00A840CC"/>
    <w:rsid w:val="00A84101"/>
    <w:rsid w:val="00A8416A"/>
    <w:rsid w:val="00A84173"/>
    <w:rsid w:val="00A8419C"/>
    <w:rsid w:val="00A8419E"/>
    <w:rsid w:val="00A841E9"/>
    <w:rsid w:val="00A8422A"/>
    <w:rsid w:val="00A84340"/>
    <w:rsid w:val="00A843CF"/>
    <w:rsid w:val="00A843F9"/>
    <w:rsid w:val="00A843FC"/>
    <w:rsid w:val="00A84425"/>
    <w:rsid w:val="00A8446F"/>
    <w:rsid w:val="00A844A0"/>
    <w:rsid w:val="00A84527"/>
    <w:rsid w:val="00A8452D"/>
    <w:rsid w:val="00A84564"/>
    <w:rsid w:val="00A845A9"/>
    <w:rsid w:val="00A845C7"/>
    <w:rsid w:val="00A845D6"/>
    <w:rsid w:val="00A8463C"/>
    <w:rsid w:val="00A84645"/>
    <w:rsid w:val="00A84722"/>
    <w:rsid w:val="00A8480F"/>
    <w:rsid w:val="00A8486B"/>
    <w:rsid w:val="00A848E6"/>
    <w:rsid w:val="00A84984"/>
    <w:rsid w:val="00A84A0E"/>
    <w:rsid w:val="00A84A61"/>
    <w:rsid w:val="00A84A89"/>
    <w:rsid w:val="00A84AAC"/>
    <w:rsid w:val="00A84AD8"/>
    <w:rsid w:val="00A84B2E"/>
    <w:rsid w:val="00A84B79"/>
    <w:rsid w:val="00A84BE1"/>
    <w:rsid w:val="00A84CCE"/>
    <w:rsid w:val="00A84CD6"/>
    <w:rsid w:val="00A84CF1"/>
    <w:rsid w:val="00A84D51"/>
    <w:rsid w:val="00A84D78"/>
    <w:rsid w:val="00A84DD6"/>
    <w:rsid w:val="00A84E45"/>
    <w:rsid w:val="00A84E58"/>
    <w:rsid w:val="00A84EBE"/>
    <w:rsid w:val="00A8503A"/>
    <w:rsid w:val="00A8503E"/>
    <w:rsid w:val="00A85099"/>
    <w:rsid w:val="00A85192"/>
    <w:rsid w:val="00A85207"/>
    <w:rsid w:val="00A8528C"/>
    <w:rsid w:val="00A852A4"/>
    <w:rsid w:val="00A85326"/>
    <w:rsid w:val="00A853B1"/>
    <w:rsid w:val="00A853CA"/>
    <w:rsid w:val="00A85419"/>
    <w:rsid w:val="00A85507"/>
    <w:rsid w:val="00A8557E"/>
    <w:rsid w:val="00A85638"/>
    <w:rsid w:val="00A8565F"/>
    <w:rsid w:val="00A85663"/>
    <w:rsid w:val="00A856D3"/>
    <w:rsid w:val="00A8572F"/>
    <w:rsid w:val="00A8573E"/>
    <w:rsid w:val="00A85786"/>
    <w:rsid w:val="00A857BF"/>
    <w:rsid w:val="00A857FB"/>
    <w:rsid w:val="00A8581D"/>
    <w:rsid w:val="00A85849"/>
    <w:rsid w:val="00A858AE"/>
    <w:rsid w:val="00A858E0"/>
    <w:rsid w:val="00A85924"/>
    <w:rsid w:val="00A85928"/>
    <w:rsid w:val="00A859BF"/>
    <w:rsid w:val="00A859C1"/>
    <w:rsid w:val="00A85A2D"/>
    <w:rsid w:val="00A85A4E"/>
    <w:rsid w:val="00A85A87"/>
    <w:rsid w:val="00A85AC8"/>
    <w:rsid w:val="00A85AD4"/>
    <w:rsid w:val="00A85B29"/>
    <w:rsid w:val="00A85B47"/>
    <w:rsid w:val="00A85B92"/>
    <w:rsid w:val="00A85CB3"/>
    <w:rsid w:val="00A85CD8"/>
    <w:rsid w:val="00A85E0A"/>
    <w:rsid w:val="00A85EA2"/>
    <w:rsid w:val="00A85EE3"/>
    <w:rsid w:val="00A85F10"/>
    <w:rsid w:val="00A85F50"/>
    <w:rsid w:val="00A85F59"/>
    <w:rsid w:val="00A85F88"/>
    <w:rsid w:val="00A86047"/>
    <w:rsid w:val="00A86075"/>
    <w:rsid w:val="00A860BD"/>
    <w:rsid w:val="00A86112"/>
    <w:rsid w:val="00A8613B"/>
    <w:rsid w:val="00A86287"/>
    <w:rsid w:val="00A8628E"/>
    <w:rsid w:val="00A862BD"/>
    <w:rsid w:val="00A862FF"/>
    <w:rsid w:val="00A86358"/>
    <w:rsid w:val="00A8638E"/>
    <w:rsid w:val="00A86394"/>
    <w:rsid w:val="00A863F3"/>
    <w:rsid w:val="00A8647C"/>
    <w:rsid w:val="00A86486"/>
    <w:rsid w:val="00A864D4"/>
    <w:rsid w:val="00A864FF"/>
    <w:rsid w:val="00A8652A"/>
    <w:rsid w:val="00A86539"/>
    <w:rsid w:val="00A8658D"/>
    <w:rsid w:val="00A865CE"/>
    <w:rsid w:val="00A865F6"/>
    <w:rsid w:val="00A86621"/>
    <w:rsid w:val="00A86635"/>
    <w:rsid w:val="00A86661"/>
    <w:rsid w:val="00A866A8"/>
    <w:rsid w:val="00A866E5"/>
    <w:rsid w:val="00A866F3"/>
    <w:rsid w:val="00A866FE"/>
    <w:rsid w:val="00A86781"/>
    <w:rsid w:val="00A867BC"/>
    <w:rsid w:val="00A867DE"/>
    <w:rsid w:val="00A8695F"/>
    <w:rsid w:val="00A86A22"/>
    <w:rsid w:val="00A86AA2"/>
    <w:rsid w:val="00A86AA3"/>
    <w:rsid w:val="00A86AF7"/>
    <w:rsid w:val="00A86B3D"/>
    <w:rsid w:val="00A86B7C"/>
    <w:rsid w:val="00A86B9A"/>
    <w:rsid w:val="00A86BA8"/>
    <w:rsid w:val="00A86C96"/>
    <w:rsid w:val="00A86CA1"/>
    <w:rsid w:val="00A86CB9"/>
    <w:rsid w:val="00A86D19"/>
    <w:rsid w:val="00A86D46"/>
    <w:rsid w:val="00A86D50"/>
    <w:rsid w:val="00A86D98"/>
    <w:rsid w:val="00A86E18"/>
    <w:rsid w:val="00A86E24"/>
    <w:rsid w:val="00A8700D"/>
    <w:rsid w:val="00A87092"/>
    <w:rsid w:val="00A87094"/>
    <w:rsid w:val="00A8711D"/>
    <w:rsid w:val="00A8712C"/>
    <w:rsid w:val="00A8719F"/>
    <w:rsid w:val="00A87206"/>
    <w:rsid w:val="00A8727E"/>
    <w:rsid w:val="00A872C9"/>
    <w:rsid w:val="00A8738E"/>
    <w:rsid w:val="00A87400"/>
    <w:rsid w:val="00A87441"/>
    <w:rsid w:val="00A87486"/>
    <w:rsid w:val="00A874A3"/>
    <w:rsid w:val="00A87517"/>
    <w:rsid w:val="00A87573"/>
    <w:rsid w:val="00A875B5"/>
    <w:rsid w:val="00A87655"/>
    <w:rsid w:val="00A876D9"/>
    <w:rsid w:val="00A87715"/>
    <w:rsid w:val="00A8776C"/>
    <w:rsid w:val="00A877D8"/>
    <w:rsid w:val="00A87807"/>
    <w:rsid w:val="00A87815"/>
    <w:rsid w:val="00A878C7"/>
    <w:rsid w:val="00A8796B"/>
    <w:rsid w:val="00A879B3"/>
    <w:rsid w:val="00A87A0C"/>
    <w:rsid w:val="00A87A61"/>
    <w:rsid w:val="00A87A6E"/>
    <w:rsid w:val="00A87BD0"/>
    <w:rsid w:val="00A87BEA"/>
    <w:rsid w:val="00A87C43"/>
    <w:rsid w:val="00A87C97"/>
    <w:rsid w:val="00A87CC5"/>
    <w:rsid w:val="00A87EE4"/>
    <w:rsid w:val="00A87EEE"/>
    <w:rsid w:val="00A87EF1"/>
    <w:rsid w:val="00A87F00"/>
    <w:rsid w:val="00A87FC7"/>
    <w:rsid w:val="00A9003A"/>
    <w:rsid w:val="00A90057"/>
    <w:rsid w:val="00A90078"/>
    <w:rsid w:val="00A900A0"/>
    <w:rsid w:val="00A900CC"/>
    <w:rsid w:val="00A900E4"/>
    <w:rsid w:val="00A900ED"/>
    <w:rsid w:val="00A90101"/>
    <w:rsid w:val="00A9010A"/>
    <w:rsid w:val="00A901AB"/>
    <w:rsid w:val="00A901CA"/>
    <w:rsid w:val="00A90305"/>
    <w:rsid w:val="00A90332"/>
    <w:rsid w:val="00A903DE"/>
    <w:rsid w:val="00A9041D"/>
    <w:rsid w:val="00A904B8"/>
    <w:rsid w:val="00A904C8"/>
    <w:rsid w:val="00A90544"/>
    <w:rsid w:val="00A9056F"/>
    <w:rsid w:val="00A905B3"/>
    <w:rsid w:val="00A90600"/>
    <w:rsid w:val="00A9071A"/>
    <w:rsid w:val="00A90720"/>
    <w:rsid w:val="00A90728"/>
    <w:rsid w:val="00A90780"/>
    <w:rsid w:val="00A9079D"/>
    <w:rsid w:val="00A907B2"/>
    <w:rsid w:val="00A9083A"/>
    <w:rsid w:val="00A9084C"/>
    <w:rsid w:val="00A9087C"/>
    <w:rsid w:val="00A90959"/>
    <w:rsid w:val="00A9096E"/>
    <w:rsid w:val="00A9099B"/>
    <w:rsid w:val="00A90A65"/>
    <w:rsid w:val="00A90A70"/>
    <w:rsid w:val="00A90A8D"/>
    <w:rsid w:val="00A90AC3"/>
    <w:rsid w:val="00A90ACE"/>
    <w:rsid w:val="00A90B19"/>
    <w:rsid w:val="00A90BCC"/>
    <w:rsid w:val="00A90C08"/>
    <w:rsid w:val="00A90C36"/>
    <w:rsid w:val="00A90D01"/>
    <w:rsid w:val="00A90D8B"/>
    <w:rsid w:val="00A90E2E"/>
    <w:rsid w:val="00A90E32"/>
    <w:rsid w:val="00A90E51"/>
    <w:rsid w:val="00A90E70"/>
    <w:rsid w:val="00A90E9A"/>
    <w:rsid w:val="00A90EAB"/>
    <w:rsid w:val="00A90EE3"/>
    <w:rsid w:val="00A90F61"/>
    <w:rsid w:val="00A90F74"/>
    <w:rsid w:val="00A90F86"/>
    <w:rsid w:val="00A9100B"/>
    <w:rsid w:val="00A9101B"/>
    <w:rsid w:val="00A91041"/>
    <w:rsid w:val="00A910A2"/>
    <w:rsid w:val="00A9114C"/>
    <w:rsid w:val="00A9115C"/>
    <w:rsid w:val="00A91167"/>
    <w:rsid w:val="00A91183"/>
    <w:rsid w:val="00A91191"/>
    <w:rsid w:val="00A91234"/>
    <w:rsid w:val="00A91247"/>
    <w:rsid w:val="00A91263"/>
    <w:rsid w:val="00A912BA"/>
    <w:rsid w:val="00A9133D"/>
    <w:rsid w:val="00A9133E"/>
    <w:rsid w:val="00A91374"/>
    <w:rsid w:val="00A91391"/>
    <w:rsid w:val="00A913A2"/>
    <w:rsid w:val="00A913E1"/>
    <w:rsid w:val="00A9141F"/>
    <w:rsid w:val="00A9149F"/>
    <w:rsid w:val="00A915A1"/>
    <w:rsid w:val="00A9162E"/>
    <w:rsid w:val="00A91635"/>
    <w:rsid w:val="00A916A7"/>
    <w:rsid w:val="00A916AC"/>
    <w:rsid w:val="00A916E9"/>
    <w:rsid w:val="00A9173B"/>
    <w:rsid w:val="00A9178F"/>
    <w:rsid w:val="00A917E9"/>
    <w:rsid w:val="00A9186F"/>
    <w:rsid w:val="00A918EF"/>
    <w:rsid w:val="00A918FC"/>
    <w:rsid w:val="00A91957"/>
    <w:rsid w:val="00A91971"/>
    <w:rsid w:val="00A919CE"/>
    <w:rsid w:val="00A919FD"/>
    <w:rsid w:val="00A91A26"/>
    <w:rsid w:val="00A91A6B"/>
    <w:rsid w:val="00A91AD2"/>
    <w:rsid w:val="00A91AFF"/>
    <w:rsid w:val="00A91B55"/>
    <w:rsid w:val="00A91BEB"/>
    <w:rsid w:val="00A91D07"/>
    <w:rsid w:val="00A91F6F"/>
    <w:rsid w:val="00A91FB6"/>
    <w:rsid w:val="00A91FEB"/>
    <w:rsid w:val="00A9202E"/>
    <w:rsid w:val="00A9203C"/>
    <w:rsid w:val="00A9204F"/>
    <w:rsid w:val="00A9207E"/>
    <w:rsid w:val="00A92085"/>
    <w:rsid w:val="00A920CB"/>
    <w:rsid w:val="00A920CF"/>
    <w:rsid w:val="00A920D9"/>
    <w:rsid w:val="00A920F9"/>
    <w:rsid w:val="00A92109"/>
    <w:rsid w:val="00A9214D"/>
    <w:rsid w:val="00A9217E"/>
    <w:rsid w:val="00A92188"/>
    <w:rsid w:val="00A921AD"/>
    <w:rsid w:val="00A921C3"/>
    <w:rsid w:val="00A9222F"/>
    <w:rsid w:val="00A92266"/>
    <w:rsid w:val="00A9227D"/>
    <w:rsid w:val="00A9231A"/>
    <w:rsid w:val="00A92373"/>
    <w:rsid w:val="00A92445"/>
    <w:rsid w:val="00A924EE"/>
    <w:rsid w:val="00A9255B"/>
    <w:rsid w:val="00A92574"/>
    <w:rsid w:val="00A92626"/>
    <w:rsid w:val="00A92653"/>
    <w:rsid w:val="00A92658"/>
    <w:rsid w:val="00A9275F"/>
    <w:rsid w:val="00A92766"/>
    <w:rsid w:val="00A92768"/>
    <w:rsid w:val="00A9282B"/>
    <w:rsid w:val="00A928F1"/>
    <w:rsid w:val="00A92916"/>
    <w:rsid w:val="00A9291E"/>
    <w:rsid w:val="00A92925"/>
    <w:rsid w:val="00A92A12"/>
    <w:rsid w:val="00A92A39"/>
    <w:rsid w:val="00A92B2A"/>
    <w:rsid w:val="00A92B7F"/>
    <w:rsid w:val="00A92DB6"/>
    <w:rsid w:val="00A92DE2"/>
    <w:rsid w:val="00A92E00"/>
    <w:rsid w:val="00A92EA6"/>
    <w:rsid w:val="00A92F11"/>
    <w:rsid w:val="00A92F30"/>
    <w:rsid w:val="00A92F87"/>
    <w:rsid w:val="00A9307E"/>
    <w:rsid w:val="00A931BD"/>
    <w:rsid w:val="00A931C3"/>
    <w:rsid w:val="00A93265"/>
    <w:rsid w:val="00A93378"/>
    <w:rsid w:val="00A933B8"/>
    <w:rsid w:val="00A93402"/>
    <w:rsid w:val="00A9342F"/>
    <w:rsid w:val="00A93492"/>
    <w:rsid w:val="00A934AF"/>
    <w:rsid w:val="00A934F4"/>
    <w:rsid w:val="00A93531"/>
    <w:rsid w:val="00A93543"/>
    <w:rsid w:val="00A935E5"/>
    <w:rsid w:val="00A93608"/>
    <w:rsid w:val="00A93656"/>
    <w:rsid w:val="00A93731"/>
    <w:rsid w:val="00A937C8"/>
    <w:rsid w:val="00A937C9"/>
    <w:rsid w:val="00A9383B"/>
    <w:rsid w:val="00A93859"/>
    <w:rsid w:val="00A938E7"/>
    <w:rsid w:val="00A9390D"/>
    <w:rsid w:val="00A93A02"/>
    <w:rsid w:val="00A93A2A"/>
    <w:rsid w:val="00A93A6F"/>
    <w:rsid w:val="00A93AAA"/>
    <w:rsid w:val="00A93AC8"/>
    <w:rsid w:val="00A93B7D"/>
    <w:rsid w:val="00A93BA0"/>
    <w:rsid w:val="00A93C45"/>
    <w:rsid w:val="00A93C69"/>
    <w:rsid w:val="00A93C9A"/>
    <w:rsid w:val="00A93CB7"/>
    <w:rsid w:val="00A93CE7"/>
    <w:rsid w:val="00A93D0C"/>
    <w:rsid w:val="00A93D9F"/>
    <w:rsid w:val="00A93DC2"/>
    <w:rsid w:val="00A93DCA"/>
    <w:rsid w:val="00A93E7D"/>
    <w:rsid w:val="00A93EC9"/>
    <w:rsid w:val="00A93EEE"/>
    <w:rsid w:val="00A93F7C"/>
    <w:rsid w:val="00A93F89"/>
    <w:rsid w:val="00A93FD0"/>
    <w:rsid w:val="00A94008"/>
    <w:rsid w:val="00A94041"/>
    <w:rsid w:val="00A9404B"/>
    <w:rsid w:val="00A9407E"/>
    <w:rsid w:val="00A940A9"/>
    <w:rsid w:val="00A94146"/>
    <w:rsid w:val="00A9422F"/>
    <w:rsid w:val="00A942BB"/>
    <w:rsid w:val="00A942BF"/>
    <w:rsid w:val="00A942E5"/>
    <w:rsid w:val="00A94305"/>
    <w:rsid w:val="00A9431B"/>
    <w:rsid w:val="00A94332"/>
    <w:rsid w:val="00A9435F"/>
    <w:rsid w:val="00A94413"/>
    <w:rsid w:val="00A944A1"/>
    <w:rsid w:val="00A944BE"/>
    <w:rsid w:val="00A944D7"/>
    <w:rsid w:val="00A944FC"/>
    <w:rsid w:val="00A94501"/>
    <w:rsid w:val="00A9450C"/>
    <w:rsid w:val="00A94559"/>
    <w:rsid w:val="00A9456D"/>
    <w:rsid w:val="00A9457C"/>
    <w:rsid w:val="00A94592"/>
    <w:rsid w:val="00A9460D"/>
    <w:rsid w:val="00A946AD"/>
    <w:rsid w:val="00A946BC"/>
    <w:rsid w:val="00A946F7"/>
    <w:rsid w:val="00A94730"/>
    <w:rsid w:val="00A9473B"/>
    <w:rsid w:val="00A9485D"/>
    <w:rsid w:val="00A948EF"/>
    <w:rsid w:val="00A9493F"/>
    <w:rsid w:val="00A94A17"/>
    <w:rsid w:val="00A94A56"/>
    <w:rsid w:val="00A94A70"/>
    <w:rsid w:val="00A94AF6"/>
    <w:rsid w:val="00A94B2E"/>
    <w:rsid w:val="00A94B44"/>
    <w:rsid w:val="00A94B47"/>
    <w:rsid w:val="00A94BC5"/>
    <w:rsid w:val="00A94C14"/>
    <w:rsid w:val="00A94C35"/>
    <w:rsid w:val="00A94CFF"/>
    <w:rsid w:val="00A94D44"/>
    <w:rsid w:val="00A94D9A"/>
    <w:rsid w:val="00A94E12"/>
    <w:rsid w:val="00A94E75"/>
    <w:rsid w:val="00A94FC9"/>
    <w:rsid w:val="00A95010"/>
    <w:rsid w:val="00A9506B"/>
    <w:rsid w:val="00A9512B"/>
    <w:rsid w:val="00A9518E"/>
    <w:rsid w:val="00A951D6"/>
    <w:rsid w:val="00A951E3"/>
    <w:rsid w:val="00A9521B"/>
    <w:rsid w:val="00A95233"/>
    <w:rsid w:val="00A952F1"/>
    <w:rsid w:val="00A952F4"/>
    <w:rsid w:val="00A952F5"/>
    <w:rsid w:val="00A953CE"/>
    <w:rsid w:val="00A953D7"/>
    <w:rsid w:val="00A953EF"/>
    <w:rsid w:val="00A954BA"/>
    <w:rsid w:val="00A954CA"/>
    <w:rsid w:val="00A95514"/>
    <w:rsid w:val="00A95527"/>
    <w:rsid w:val="00A95532"/>
    <w:rsid w:val="00A95587"/>
    <w:rsid w:val="00A95614"/>
    <w:rsid w:val="00A95636"/>
    <w:rsid w:val="00A95734"/>
    <w:rsid w:val="00A9575B"/>
    <w:rsid w:val="00A95767"/>
    <w:rsid w:val="00A9591B"/>
    <w:rsid w:val="00A9596D"/>
    <w:rsid w:val="00A95A4E"/>
    <w:rsid w:val="00A95A63"/>
    <w:rsid w:val="00A95BDA"/>
    <w:rsid w:val="00A95C85"/>
    <w:rsid w:val="00A95D1E"/>
    <w:rsid w:val="00A95D28"/>
    <w:rsid w:val="00A95D45"/>
    <w:rsid w:val="00A95D48"/>
    <w:rsid w:val="00A95D5A"/>
    <w:rsid w:val="00A95D66"/>
    <w:rsid w:val="00A95DB0"/>
    <w:rsid w:val="00A95E5E"/>
    <w:rsid w:val="00A95EA0"/>
    <w:rsid w:val="00A95ECD"/>
    <w:rsid w:val="00A95F3C"/>
    <w:rsid w:val="00A95F95"/>
    <w:rsid w:val="00A95F9F"/>
    <w:rsid w:val="00A95FA9"/>
    <w:rsid w:val="00A96008"/>
    <w:rsid w:val="00A9606B"/>
    <w:rsid w:val="00A960B5"/>
    <w:rsid w:val="00A960CB"/>
    <w:rsid w:val="00A961B0"/>
    <w:rsid w:val="00A961EA"/>
    <w:rsid w:val="00A9629D"/>
    <w:rsid w:val="00A962A5"/>
    <w:rsid w:val="00A962E2"/>
    <w:rsid w:val="00A9634A"/>
    <w:rsid w:val="00A964FD"/>
    <w:rsid w:val="00A96588"/>
    <w:rsid w:val="00A9667A"/>
    <w:rsid w:val="00A96706"/>
    <w:rsid w:val="00A96748"/>
    <w:rsid w:val="00A967DA"/>
    <w:rsid w:val="00A9685B"/>
    <w:rsid w:val="00A96911"/>
    <w:rsid w:val="00A96959"/>
    <w:rsid w:val="00A9697C"/>
    <w:rsid w:val="00A96980"/>
    <w:rsid w:val="00A9699A"/>
    <w:rsid w:val="00A969E7"/>
    <w:rsid w:val="00A96A35"/>
    <w:rsid w:val="00A96AD6"/>
    <w:rsid w:val="00A96B39"/>
    <w:rsid w:val="00A96B48"/>
    <w:rsid w:val="00A96B7D"/>
    <w:rsid w:val="00A96C11"/>
    <w:rsid w:val="00A96C40"/>
    <w:rsid w:val="00A96C67"/>
    <w:rsid w:val="00A96C75"/>
    <w:rsid w:val="00A96CB4"/>
    <w:rsid w:val="00A96CE5"/>
    <w:rsid w:val="00A96D51"/>
    <w:rsid w:val="00A96D93"/>
    <w:rsid w:val="00A96DB9"/>
    <w:rsid w:val="00A96E86"/>
    <w:rsid w:val="00A96EA4"/>
    <w:rsid w:val="00A96EBD"/>
    <w:rsid w:val="00A96F1D"/>
    <w:rsid w:val="00A96F4D"/>
    <w:rsid w:val="00A96FEA"/>
    <w:rsid w:val="00A96FF9"/>
    <w:rsid w:val="00A9701C"/>
    <w:rsid w:val="00A9703D"/>
    <w:rsid w:val="00A97160"/>
    <w:rsid w:val="00A97177"/>
    <w:rsid w:val="00A971FD"/>
    <w:rsid w:val="00A972C9"/>
    <w:rsid w:val="00A972D7"/>
    <w:rsid w:val="00A97302"/>
    <w:rsid w:val="00A97339"/>
    <w:rsid w:val="00A9736A"/>
    <w:rsid w:val="00A97394"/>
    <w:rsid w:val="00A973EE"/>
    <w:rsid w:val="00A97442"/>
    <w:rsid w:val="00A97500"/>
    <w:rsid w:val="00A9758A"/>
    <w:rsid w:val="00A975F3"/>
    <w:rsid w:val="00A9762C"/>
    <w:rsid w:val="00A9763E"/>
    <w:rsid w:val="00A97798"/>
    <w:rsid w:val="00A977E8"/>
    <w:rsid w:val="00A977FE"/>
    <w:rsid w:val="00A9786E"/>
    <w:rsid w:val="00A9788D"/>
    <w:rsid w:val="00A978A0"/>
    <w:rsid w:val="00A979DE"/>
    <w:rsid w:val="00A979E8"/>
    <w:rsid w:val="00A97A57"/>
    <w:rsid w:val="00A97B0A"/>
    <w:rsid w:val="00A97BB6"/>
    <w:rsid w:val="00A97BF7"/>
    <w:rsid w:val="00A97C55"/>
    <w:rsid w:val="00A97CBE"/>
    <w:rsid w:val="00A97CDC"/>
    <w:rsid w:val="00A97D0E"/>
    <w:rsid w:val="00A97E86"/>
    <w:rsid w:val="00A97EC3"/>
    <w:rsid w:val="00A97F0F"/>
    <w:rsid w:val="00A97F3D"/>
    <w:rsid w:val="00A97F5F"/>
    <w:rsid w:val="00A97FE2"/>
    <w:rsid w:val="00AA00D7"/>
    <w:rsid w:val="00AA0114"/>
    <w:rsid w:val="00AA0179"/>
    <w:rsid w:val="00AA017A"/>
    <w:rsid w:val="00AA019B"/>
    <w:rsid w:val="00AA019E"/>
    <w:rsid w:val="00AA01A1"/>
    <w:rsid w:val="00AA01B2"/>
    <w:rsid w:val="00AA01EC"/>
    <w:rsid w:val="00AA0206"/>
    <w:rsid w:val="00AA0254"/>
    <w:rsid w:val="00AA02CE"/>
    <w:rsid w:val="00AA02CF"/>
    <w:rsid w:val="00AA02F3"/>
    <w:rsid w:val="00AA0311"/>
    <w:rsid w:val="00AA0319"/>
    <w:rsid w:val="00AA0359"/>
    <w:rsid w:val="00AA03E8"/>
    <w:rsid w:val="00AA0447"/>
    <w:rsid w:val="00AA045A"/>
    <w:rsid w:val="00AA0464"/>
    <w:rsid w:val="00AA04F5"/>
    <w:rsid w:val="00AA057A"/>
    <w:rsid w:val="00AA0583"/>
    <w:rsid w:val="00AA0590"/>
    <w:rsid w:val="00AA05B7"/>
    <w:rsid w:val="00AA05CB"/>
    <w:rsid w:val="00AA05E5"/>
    <w:rsid w:val="00AA064B"/>
    <w:rsid w:val="00AA0666"/>
    <w:rsid w:val="00AA0694"/>
    <w:rsid w:val="00AA06E4"/>
    <w:rsid w:val="00AA06F1"/>
    <w:rsid w:val="00AA0708"/>
    <w:rsid w:val="00AA075C"/>
    <w:rsid w:val="00AA0791"/>
    <w:rsid w:val="00AA07C3"/>
    <w:rsid w:val="00AA08A9"/>
    <w:rsid w:val="00AA08D7"/>
    <w:rsid w:val="00AA08F5"/>
    <w:rsid w:val="00AA09D6"/>
    <w:rsid w:val="00AA0ADA"/>
    <w:rsid w:val="00AA0B00"/>
    <w:rsid w:val="00AA0B14"/>
    <w:rsid w:val="00AA0B1B"/>
    <w:rsid w:val="00AA0B29"/>
    <w:rsid w:val="00AA0B80"/>
    <w:rsid w:val="00AA0B95"/>
    <w:rsid w:val="00AA0C9D"/>
    <w:rsid w:val="00AA0CF6"/>
    <w:rsid w:val="00AA0D2F"/>
    <w:rsid w:val="00AA0D7C"/>
    <w:rsid w:val="00AA0DB8"/>
    <w:rsid w:val="00AA0DBC"/>
    <w:rsid w:val="00AA0DF3"/>
    <w:rsid w:val="00AA0E42"/>
    <w:rsid w:val="00AA0E4A"/>
    <w:rsid w:val="00AA0ED9"/>
    <w:rsid w:val="00AA0EE0"/>
    <w:rsid w:val="00AA0EE9"/>
    <w:rsid w:val="00AA0F13"/>
    <w:rsid w:val="00AA0F6E"/>
    <w:rsid w:val="00AA1033"/>
    <w:rsid w:val="00AA110A"/>
    <w:rsid w:val="00AA11ED"/>
    <w:rsid w:val="00AA1221"/>
    <w:rsid w:val="00AA1272"/>
    <w:rsid w:val="00AA12C5"/>
    <w:rsid w:val="00AA12F0"/>
    <w:rsid w:val="00AA1304"/>
    <w:rsid w:val="00AA1384"/>
    <w:rsid w:val="00AA139F"/>
    <w:rsid w:val="00AA13C7"/>
    <w:rsid w:val="00AA1486"/>
    <w:rsid w:val="00AA148F"/>
    <w:rsid w:val="00AA149D"/>
    <w:rsid w:val="00AA156E"/>
    <w:rsid w:val="00AA1693"/>
    <w:rsid w:val="00AA16D4"/>
    <w:rsid w:val="00AA16F2"/>
    <w:rsid w:val="00AA172D"/>
    <w:rsid w:val="00AA1766"/>
    <w:rsid w:val="00AA17B9"/>
    <w:rsid w:val="00AA17BA"/>
    <w:rsid w:val="00AA1834"/>
    <w:rsid w:val="00AA18F0"/>
    <w:rsid w:val="00AA198F"/>
    <w:rsid w:val="00AA19A0"/>
    <w:rsid w:val="00AA19DE"/>
    <w:rsid w:val="00AA1A5D"/>
    <w:rsid w:val="00AA1A7A"/>
    <w:rsid w:val="00AA1A7C"/>
    <w:rsid w:val="00AA1AC9"/>
    <w:rsid w:val="00AA1B4C"/>
    <w:rsid w:val="00AA1C10"/>
    <w:rsid w:val="00AA1C49"/>
    <w:rsid w:val="00AA1D57"/>
    <w:rsid w:val="00AA1DF3"/>
    <w:rsid w:val="00AA1E33"/>
    <w:rsid w:val="00AA1F01"/>
    <w:rsid w:val="00AA1F72"/>
    <w:rsid w:val="00AA200E"/>
    <w:rsid w:val="00AA206D"/>
    <w:rsid w:val="00AA20FD"/>
    <w:rsid w:val="00AA2105"/>
    <w:rsid w:val="00AA21AC"/>
    <w:rsid w:val="00AA227C"/>
    <w:rsid w:val="00AA22E0"/>
    <w:rsid w:val="00AA230C"/>
    <w:rsid w:val="00AA2336"/>
    <w:rsid w:val="00AA2375"/>
    <w:rsid w:val="00AA239D"/>
    <w:rsid w:val="00AA2466"/>
    <w:rsid w:val="00AA2468"/>
    <w:rsid w:val="00AA248E"/>
    <w:rsid w:val="00AA24C5"/>
    <w:rsid w:val="00AA24FF"/>
    <w:rsid w:val="00AA269B"/>
    <w:rsid w:val="00AA26EC"/>
    <w:rsid w:val="00AA2729"/>
    <w:rsid w:val="00AA277B"/>
    <w:rsid w:val="00AA28DB"/>
    <w:rsid w:val="00AA28EF"/>
    <w:rsid w:val="00AA296C"/>
    <w:rsid w:val="00AA2A12"/>
    <w:rsid w:val="00AA2A57"/>
    <w:rsid w:val="00AA2AD5"/>
    <w:rsid w:val="00AA2B0E"/>
    <w:rsid w:val="00AA2B85"/>
    <w:rsid w:val="00AA2BA0"/>
    <w:rsid w:val="00AA2CB4"/>
    <w:rsid w:val="00AA2CE4"/>
    <w:rsid w:val="00AA2D23"/>
    <w:rsid w:val="00AA2D4F"/>
    <w:rsid w:val="00AA2D6B"/>
    <w:rsid w:val="00AA2D75"/>
    <w:rsid w:val="00AA2DAC"/>
    <w:rsid w:val="00AA2E00"/>
    <w:rsid w:val="00AA2EBC"/>
    <w:rsid w:val="00AA2EDA"/>
    <w:rsid w:val="00AA2F0A"/>
    <w:rsid w:val="00AA2F11"/>
    <w:rsid w:val="00AA2F4A"/>
    <w:rsid w:val="00AA2F55"/>
    <w:rsid w:val="00AA2F9B"/>
    <w:rsid w:val="00AA2FC1"/>
    <w:rsid w:val="00AA3029"/>
    <w:rsid w:val="00AA308D"/>
    <w:rsid w:val="00AA3167"/>
    <w:rsid w:val="00AA32CD"/>
    <w:rsid w:val="00AA32E7"/>
    <w:rsid w:val="00AA331C"/>
    <w:rsid w:val="00AA3346"/>
    <w:rsid w:val="00AA33DF"/>
    <w:rsid w:val="00AA3487"/>
    <w:rsid w:val="00AA3496"/>
    <w:rsid w:val="00AA34A7"/>
    <w:rsid w:val="00AA34F1"/>
    <w:rsid w:val="00AA3555"/>
    <w:rsid w:val="00AA3578"/>
    <w:rsid w:val="00AA3587"/>
    <w:rsid w:val="00AA364B"/>
    <w:rsid w:val="00AA36C9"/>
    <w:rsid w:val="00AA36EF"/>
    <w:rsid w:val="00AA380F"/>
    <w:rsid w:val="00AA3845"/>
    <w:rsid w:val="00AA38FC"/>
    <w:rsid w:val="00AA3929"/>
    <w:rsid w:val="00AA396F"/>
    <w:rsid w:val="00AA39B9"/>
    <w:rsid w:val="00AA3A34"/>
    <w:rsid w:val="00AA3A52"/>
    <w:rsid w:val="00AA3A6E"/>
    <w:rsid w:val="00AA3A75"/>
    <w:rsid w:val="00AA3B3B"/>
    <w:rsid w:val="00AA3B85"/>
    <w:rsid w:val="00AA3C8F"/>
    <w:rsid w:val="00AA3C9C"/>
    <w:rsid w:val="00AA3CD6"/>
    <w:rsid w:val="00AA3D26"/>
    <w:rsid w:val="00AA3D70"/>
    <w:rsid w:val="00AA3EE9"/>
    <w:rsid w:val="00AA3F36"/>
    <w:rsid w:val="00AA3F4A"/>
    <w:rsid w:val="00AA3F70"/>
    <w:rsid w:val="00AA4025"/>
    <w:rsid w:val="00AA407A"/>
    <w:rsid w:val="00AA40AA"/>
    <w:rsid w:val="00AA4108"/>
    <w:rsid w:val="00AA414A"/>
    <w:rsid w:val="00AA419D"/>
    <w:rsid w:val="00AA41EB"/>
    <w:rsid w:val="00AA41FF"/>
    <w:rsid w:val="00AA42CF"/>
    <w:rsid w:val="00AA42F1"/>
    <w:rsid w:val="00AA43AF"/>
    <w:rsid w:val="00AA43D2"/>
    <w:rsid w:val="00AA442B"/>
    <w:rsid w:val="00AA4444"/>
    <w:rsid w:val="00AA445C"/>
    <w:rsid w:val="00AA44FE"/>
    <w:rsid w:val="00AA4527"/>
    <w:rsid w:val="00AA4538"/>
    <w:rsid w:val="00AA4567"/>
    <w:rsid w:val="00AA45D4"/>
    <w:rsid w:val="00AA46B3"/>
    <w:rsid w:val="00AA46D9"/>
    <w:rsid w:val="00AA473A"/>
    <w:rsid w:val="00AA4759"/>
    <w:rsid w:val="00AA476D"/>
    <w:rsid w:val="00AA47BE"/>
    <w:rsid w:val="00AA48B0"/>
    <w:rsid w:val="00AA4933"/>
    <w:rsid w:val="00AA495B"/>
    <w:rsid w:val="00AA49F8"/>
    <w:rsid w:val="00AA4A22"/>
    <w:rsid w:val="00AA4A2D"/>
    <w:rsid w:val="00AA4B19"/>
    <w:rsid w:val="00AA4B29"/>
    <w:rsid w:val="00AA4BCF"/>
    <w:rsid w:val="00AA4BE5"/>
    <w:rsid w:val="00AA4C19"/>
    <w:rsid w:val="00AA4CFE"/>
    <w:rsid w:val="00AA4D0C"/>
    <w:rsid w:val="00AA4D1D"/>
    <w:rsid w:val="00AA4D37"/>
    <w:rsid w:val="00AA4D48"/>
    <w:rsid w:val="00AA4D4B"/>
    <w:rsid w:val="00AA4E34"/>
    <w:rsid w:val="00AA4E6A"/>
    <w:rsid w:val="00AA4E9B"/>
    <w:rsid w:val="00AA4F08"/>
    <w:rsid w:val="00AA4F19"/>
    <w:rsid w:val="00AA4FB9"/>
    <w:rsid w:val="00AA4FCA"/>
    <w:rsid w:val="00AA5040"/>
    <w:rsid w:val="00AA506A"/>
    <w:rsid w:val="00AA50C9"/>
    <w:rsid w:val="00AA511F"/>
    <w:rsid w:val="00AA512F"/>
    <w:rsid w:val="00AA5152"/>
    <w:rsid w:val="00AA532F"/>
    <w:rsid w:val="00AA538E"/>
    <w:rsid w:val="00AA543A"/>
    <w:rsid w:val="00AA5502"/>
    <w:rsid w:val="00AA5569"/>
    <w:rsid w:val="00AA55F8"/>
    <w:rsid w:val="00AA562E"/>
    <w:rsid w:val="00AA5699"/>
    <w:rsid w:val="00AA5702"/>
    <w:rsid w:val="00AA577D"/>
    <w:rsid w:val="00AA5788"/>
    <w:rsid w:val="00AA57C3"/>
    <w:rsid w:val="00AA57FB"/>
    <w:rsid w:val="00AA589C"/>
    <w:rsid w:val="00AA58F2"/>
    <w:rsid w:val="00AA58F3"/>
    <w:rsid w:val="00AA5908"/>
    <w:rsid w:val="00AA5971"/>
    <w:rsid w:val="00AA59A4"/>
    <w:rsid w:val="00AA59AC"/>
    <w:rsid w:val="00AA59EA"/>
    <w:rsid w:val="00AA5A61"/>
    <w:rsid w:val="00AA5A9B"/>
    <w:rsid w:val="00AA5ADF"/>
    <w:rsid w:val="00AA5AE8"/>
    <w:rsid w:val="00AA5AF4"/>
    <w:rsid w:val="00AA5B03"/>
    <w:rsid w:val="00AA5C11"/>
    <w:rsid w:val="00AA5C9F"/>
    <w:rsid w:val="00AA5CE0"/>
    <w:rsid w:val="00AA5DAB"/>
    <w:rsid w:val="00AA5DEA"/>
    <w:rsid w:val="00AA5E16"/>
    <w:rsid w:val="00AA5E17"/>
    <w:rsid w:val="00AA5E31"/>
    <w:rsid w:val="00AA5E45"/>
    <w:rsid w:val="00AA5F70"/>
    <w:rsid w:val="00AA5FF0"/>
    <w:rsid w:val="00AA5FF9"/>
    <w:rsid w:val="00AA6023"/>
    <w:rsid w:val="00AA609D"/>
    <w:rsid w:val="00AA60E1"/>
    <w:rsid w:val="00AA6123"/>
    <w:rsid w:val="00AA6201"/>
    <w:rsid w:val="00AA626D"/>
    <w:rsid w:val="00AA62BE"/>
    <w:rsid w:val="00AA637A"/>
    <w:rsid w:val="00AA63AA"/>
    <w:rsid w:val="00AA63E9"/>
    <w:rsid w:val="00AA642F"/>
    <w:rsid w:val="00AA6450"/>
    <w:rsid w:val="00AA6465"/>
    <w:rsid w:val="00AA6492"/>
    <w:rsid w:val="00AA64B2"/>
    <w:rsid w:val="00AA64CB"/>
    <w:rsid w:val="00AA6544"/>
    <w:rsid w:val="00AA65BC"/>
    <w:rsid w:val="00AA65D8"/>
    <w:rsid w:val="00AA65F3"/>
    <w:rsid w:val="00AA65F5"/>
    <w:rsid w:val="00AA6614"/>
    <w:rsid w:val="00AA6666"/>
    <w:rsid w:val="00AA6686"/>
    <w:rsid w:val="00AA6728"/>
    <w:rsid w:val="00AA675C"/>
    <w:rsid w:val="00AA6762"/>
    <w:rsid w:val="00AA678A"/>
    <w:rsid w:val="00AA681D"/>
    <w:rsid w:val="00AA6820"/>
    <w:rsid w:val="00AA6832"/>
    <w:rsid w:val="00AA68A6"/>
    <w:rsid w:val="00AA68C0"/>
    <w:rsid w:val="00AA68CF"/>
    <w:rsid w:val="00AA695A"/>
    <w:rsid w:val="00AA6966"/>
    <w:rsid w:val="00AA69BC"/>
    <w:rsid w:val="00AA69F0"/>
    <w:rsid w:val="00AA6A17"/>
    <w:rsid w:val="00AA6AD7"/>
    <w:rsid w:val="00AA6B34"/>
    <w:rsid w:val="00AA6B93"/>
    <w:rsid w:val="00AA6BD6"/>
    <w:rsid w:val="00AA6C82"/>
    <w:rsid w:val="00AA6D5C"/>
    <w:rsid w:val="00AA6DB1"/>
    <w:rsid w:val="00AA6DEB"/>
    <w:rsid w:val="00AA6E16"/>
    <w:rsid w:val="00AA6EBB"/>
    <w:rsid w:val="00AA6EF8"/>
    <w:rsid w:val="00AA6F1B"/>
    <w:rsid w:val="00AA6F58"/>
    <w:rsid w:val="00AA6F99"/>
    <w:rsid w:val="00AA6FEE"/>
    <w:rsid w:val="00AA7021"/>
    <w:rsid w:val="00AA704E"/>
    <w:rsid w:val="00AA7054"/>
    <w:rsid w:val="00AA7059"/>
    <w:rsid w:val="00AA709F"/>
    <w:rsid w:val="00AA70C4"/>
    <w:rsid w:val="00AA714A"/>
    <w:rsid w:val="00AA7189"/>
    <w:rsid w:val="00AA7205"/>
    <w:rsid w:val="00AA730C"/>
    <w:rsid w:val="00AA732E"/>
    <w:rsid w:val="00AA7338"/>
    <w:rsid w:val="00AA7358"/>
    <w:rsid w:val="00AA73E1"/>
    <w:rsid w:val="00AA73EF"/>
    <w:rsid w:val="00AA7401"/>
    <w:rsid w:val="00AA740F"/>
    <w:rsid w:val="00AA744B"/>
    <w:rsid w:val="00AA74F5"/>
    <w:rsid w:val="00AA7564"/>
    <w:rsid w:val="00AA7584"/>
    <w:rsid w:val="00AA75E8"/>
    <w:rsid w:val="00AA766C"/>
    <w:rsid w:val="00AA7675"/>
    <w:rsid w:val="00AA76B0"/>
    <w:rsid w:val="00AA77AA"/>
    <w:rsid w:val="00AA77D9"/>
    <w:rsid w:val="00AA7809"/>
    <w:rsid w:val="00AA7860"/>
    <w:rsid w:val="00AA78EB"/>
    <w:rsid w:val="00AA78EF"/>
    <w:rsid w:val="00AA78F8"/>
    <w:rsid w:val="00AA7987"/>
    <w:rsid w:val="00AA79A6"/>
    <w:rsid w:val="00AA7A1F"/>
    <w:rsid w:val="00AA7A7D"/>
    <w:rsid w:val="00AA7ADE"/>
    <w:rsid w:val="00AA7AE5"/>
    <w:rsid w:val="00AA7B32"/>
    <w:rsid w:val="00AA7B33"/>
    <w:rsid w:val="00AA7B65"/>
    <w:rsid w:val="00AA7C4F"/>
    <w:rsid w:val="00AA7C77"/>
    <w:rsid w:val="00AA7CEC"/>
    <w:rsid w:val="00AA7D05"/>
    <w:rsid w:val="00AA7D82"/>
    <w:rsid w:val="00AA7D8D"/>
    <w:rsid w:val="00AA7DA7"/>
    <w:rsid w:val="00AA7DC3"/>
    <w:rsid w:val="00AA7E73"/>
    <w:rsid w:val="00AA7E94"/>
    <w:rsid w:val="00AA7ED8"/>
    <w:rsid w:val="00AA7EEE"/>
    <w:rsid w:val="00AA7F0D"/>
    <w:rsid w:val="00AA7FFA"/>
    <w:rsid w:val="00AB00C7"/>
    <w:rsid w:val="00AB011A"/>
    <w:rsid w:val="00AB0129"/>
    <w:rsid w:val="00AB0171"/>
    <w:rsid w:val="00AB018D"/>
    <w:rsid w:val="00AB0204"/>
    <w:rsid w:val="00AB02B2"/>
    <w:rsid w:val="00AB02B7"/>
    <w:rsid w:val="00AB0320"/>
    <w:rsid w:val="00AB0368"/>
    <w:rsid w:val="00AB037D"/>
    <w:rsid w:val="00AB03ED"/>
    <w:rsid w:val="00AB040B"/>
    <w:rsid w:val="00AB0430"/>
    <w:rsid w:val="00AB0447"/>
    <w:rsid w:val="00AB044E"/>
    <w:rsid w:val="00AB04AD"/>
    <w:rsid w:val="00AB04DA"/>
    <w:rsid w:val="00AB0574"/>
    <w:rsid w:val="00AB05C6"/>
    <w:rsid w:val="00AB060F"/>
    <w:rsid w:val="00AB0624"/>
    <w:rsid w:val="00AB0625"/>
    <w:rsid w:val="00AB0627"/>
    <w:rsid w:val="00AB0655"/>
    <w:rsid w:val="00AB06BB"/>
    <w:rsid w:val="00AB06CC"/>
    <w:rsid w:val="00AB077E"/>
    <w:rsid w:val="00AB07C2"/>
    <w:rsid w:val="00AB0967"/>
    <w:rsid w:val="00AB0ABF"/>
    <w:rsid w:val="00AB0B6E"/>
    <w:rsid w:val="00AB0C37"/>
    <w:rsid w:val="00AB0CB2"/>
    <w:rsid w:val="00AB0D1F"/>
    <w:rsid w:val="00AB0D3D"/>
    <w:rsid w:val="00AB0D8D"/>
    <w:rsid w:val="00AB0DD0"/>
    <w:rsid w:val="00AB0E4E"/>
    <w:rsid w:val="00AB0ECA"/>
    <w:rsid w:val="00AB0F60"/>
    <w:rsid w:val="00AB0FBC"/>
    <w:rsid w:val="00AB0FD6"/>
    <w:rsid w:val="00AB0FFF"/>
    <w:rsid w:val="00AB106D"/>
    <w:rsid w:val="00AB1181"/>
    <w:rsid w:val="00AB118B"/>
    <w:rsid w:val="00AB11CB"/>
    <w:rsid w:val="00AB124B"/>
    <w:rsid w:val="00AB124F"/>
    <w:rsid w:val="00AB1287"/>
    <w:rsid w:val="00AB1426"/>
    <w:rsid w:val="00AB14EC"/>
    <w:rsid w:val="00AB1520"/>
    <w:rsid w:val="00AB1589"/>
    <w:rsid w:val="00AB158E"/>
    <w:rsid w:val="00AB15A1"/>
    <w:rsid w:val="00AB15A6"/>
    <w:rsid w:val="00AB15B0"/>
    <w:rsid w:val="00AB15CB"/>
    <w:rsid w:val="00AB1709"/>
    <w:rsid w:val="00AB170A"/>
    <w:rsid w:val="00AB1729"/>
    <w:rsid w:val="00AB1746"/>
    <w:rsid w:val="00AB1798"/>
    <w:rsid w:val="00AB179E"/>
    <w:rsid w:val="00AB17C5"/>
    <w:rsid w:val="00AB1862"/>
    <w:rsid w:val="00AB1872"/>
    <w:rsid w:val="00AB192A"/>
    <w:rsid w:val="00AB1930"/>
    <w:rsid w:val="00AB194F"/>
    <w:rsid w:val="00AB196B"/>
    <w:rsid w:val="00AB1985"/>
    <w:rsid w:val="00AB1A45"/>
    <w:rsid w:val="00AB1A69"/>
    <w:rsid w:val="00AB1A97"/>
    <w:rsid w:val="00AB1ACA"/>
    <w:rsid w:val="00AB1AEE"/>
    <w:rsid w:val="00AB1AF5"/>
    <w:rsid w:val="00AB1B94"/>
    <w:rsid w:val="00AB1B9F"/>
    <w:rsid w:val="00AB1C61"/>
    <w:rsid w:val="00AB1C7B"/>
    <w:rsid w:val="00AB1D47"/>
    <w:rsid w:val="00AB1D7C"/>
    <w:rsid w:val="00AB1E25"/>
    <w:rsid w:val="00AB1E38"/>
    <w:rsid w:val="00AB1E92"/>
    <w:rsid w:val="00AB1EBE"/>
    <w:rsid w:val="00AB1ECE"/>
    <w:rsid w:val="00AB1F1B"/>
    <w:rsid w:val="00AB1F63"/>
    <w:rsid w:val="00AB1FD2"/>
    <w:rsid w:val="00AB1FF6"/>
    <w:rsid w:val="00AB2047"/>
    <w:rsid w:val="00AB2060"/>
    <w:rsid w:val="00AB20C3"/>
    <w:rsid w:val="00AB2201"/>
    <w:rsid w:val="00AB221E"/>
    <w:rsid w:val="00AB2228"/>
    <w:rsid w:val="00AB2229"/>
    <w:rsid w:val="00AB224E"/>
    <w:rsid w:val="00AB227F"/>
    <w:rsid w:val="00AB2368"/>
    <w:rsid w:val="00AB2376"/>
    <w:rsid w:val="00AB2406"/>
    <w:rsid w:val="00AB2409"/>
    <w:rsid w:val="00AB243C"/>
    <w:rsid w:val="00AB24DD"/>
    <w:rsid w:val="00AB24E4"/>
    <w:rsid w:val="00AB258B"/>
    <w:rsid w:val="00AB25A8"/>
    <w:rsid w:val="00AB25C7"/>
    <w:rsid w:val="00AB2602"/>
    <w:rsid w:val="00AB2686"/>
    <w:rsid w:val="00AB2733"/>
    <w:rsid w:val="00AB2748"/>
    <w:rsid w:val="00AB2796"/>
    <w:rsid w:val="00AB27A1"/>
    <w:rsid w:val="00AB27DA"/>
    <w:rsid w:val="00AB283D"/>
    <w:rsid w:val="00AB2840"/>
    <w:rsid w:val="00AB285F"/>
    <w:rsid w:val="00AB2876"/>
    <w:rsid w:val="00AB2899"/>
    <w:rsid w:val="00AB28BA"/>
    <w:rsid w:val="00AB28CD"/>
    <w:rsid w:val="00AB28CE"/>
    <w:rsid w:val="00AB28DC"/>
    <w:rsid w:val="00AB291B"/>
    <w:rsid w:val="00AB2933"/>
    <w:rsid w:val="00AB2936"/>
    <w:rsid w:val="00AB2938"/>
    <w:rsid w:val="00AB294D"/>
    <w:rsid w:val="00AB29C9"/>
    <w:rsid w:val="00AB2A2C"/>
    <w:rsid w:val="00AB2A34"/>
    <w:rsid w:val="00AB2B57"/>
    <w:rsid w:val="00AB2BD7"/>
    <w:rsid w:val="00AB2C3C"/>
    <w:rsid w:val="00AB2CFD"/>
    <w:rsid w:val="00AB2D1E"/>
    <w:rsid w:val="00AB2D56"/>
    <w:rsid w:val="00AB2D5A"/>
    <w:rsid w:val="00AB2DBC"/>
    <w:rsid w:val="00AB2DC3"/>
    <w:rsid w:val="00AB2DDD"/>
    <w:rsid w:val="00AB2E03"/>
    <w:rsid w:val="00AB2E18"/>
    <w:rsid w:val="00AB2E3F"/>
    <w:rsid w:val="00AB2E4E"/>
    <w:rsid w:val="00AB2E71"/>
    <w:rsid w:val="00AB2E9D"/>
    <w:rsid w:val="00AB2EE3"/>
    <w:rsid w:val="00AB2F17"/>
    <w:rsid w:val="00AB3056"/>
    <w:rsid w:val="00AB3082"/>
    <w:rsid w:val="00AB31B5"/>
    <w:rsid w:val="00AB3241"/>
    <w:rsid w:val="00AB3254"/>
    <w:rsid w:val="00AB328F"/>
    <w:rsid w:val="00AB32C9"/>
    <w:rsid w:val="00AB32DE"/>
    <w:rsid w:val="00AB3318"/>
    <w:rsid w:val="00AB3344"/>
    <w:rsid w:val="00AB33B0"/>
    <w:rsid w:val="00AB33E5"/>
    <w:rsid w:val="00AB347D"/>
    <w:rsid w:val="00AB34A0"/>
    <w:rsid w:val="00AB34E7"/>
    <w:rsid w:val="00AB351C"/>
    <w:rsid w:val="00AB3527"/>
    <w:rsid w:val="00AB3565"/>
    <w:rsid w:val="00AB35A5"/>
    <w:rsid w:val="00AB35D1"/>
    <w:rsid w:val="00AB35FE"/>
    <w:rsid w:val="00AB3668"/>
    <w:rsid w:val="00AB3745"/>
    <w:rsid w:val="00AB3768"/>
    <w:rsid w:val="00AB3798"/>
    <w:rsid w:val="00AB3827"/>
    <w:rsid w:val="00AB3894"/>
    <w:rsid w:val="00AB38D4"/>
    <w:rsid w:val="00AB38DB"/>
    <w:rsid w:val="00AB390E"/>
    <w:rsid w:val="00AB3922"/>
    <w:rsid w:val="00AB3998"/>
    <w:rsid w:val="00AB3A1C"/>
    <w:rsid w:val="00AB3A56"/>
    <w:rsid w:val="00AB3A5F"/>
    <w:rsid w:val="00AB3A8F"/>
    <w:rsid w:val="00AB3ABA"/>
    <w:rsid w:val="00AB3ABD"/>
    <w:rsid w:val="00AB3B68"/>
    <w:rsid w:val="00AB3BDE"/>
    <w:rsid w:val="00AB3C57"/>
    <w:rsid w:val="00AB3C58"/>
    <w:rsid w:val="00AB3C74"/>
    <w:rsid w:val="00AB3C79"/>
    <w:rsid w:val="00AB3C94"/>
    <w:rsid w:val="00AB3CA4"/>
    <w:rsid w:val="00AB3DC1"/>
    <w:rsid w:val="00AB3E37"/>
    <w:rsid w:val="00AB3E3F"/>
    <w:rsid w:val="00AB3E5A"/>
    <w:rsid w:val="00AB3E7E"/>
    <w:rsid w:val="00AB3F57"/>
    <w:rsid w:val="00AB3FAF"/>
    <w:rsid w:val="00AB3FB5"/>
    <w:rsid w:val="00AB3FE7"/>
    <w:rsid w:val="00AB408F"/>
    <w:rsid w:val="00AB40B1"/>
    <w:rsid w:val="00AB40C5"/>
    <w:rsid w:val="00AB40D8"/>
    <w:rsid w:val="00AB40FD"/>
    <w:rsid w:val="00AB410A"/>
    <w:rsid w:val="00AB4172"/>
    <w:rsid w:val="00AB420B"/>
    <w:rsid w:val="00AB4226"/>
    <w:rsid w:val="00AB425F"/>
    <w:rsid w:val="00AB4262"/>
    <w:rsid w:val="00AB4278"/>
    <w:rsid w:val="00AB42D5"/>
    <w:rsid w:val="00AB42DD"/>
    <w:rsid w:val="00AB430C"/>
    <w:rsid w:val="00AB4397"/>
    <w:rsid w:val="00AB43A2"/>
    <w:rsid w:val="00AB43B9"/>
    <w:rsid w:val="00AB43C9"/>
    <w:rsid w:val="00AB43F1"/>
    <w:rsid w:val="00AB43FA"/>
    <w:rsid w:val="00AB44D2"/>
    <w:rsid w:val="00AB4504"/>
    <w:rsid w:val="00AB45B3"/>
    <w:rsid w:val="00AB4630"/>
    <w:rsid w:val="00AB463D"/>
    <w:rsid w:val="00AB464B"/>
    <w:rsid w:val="00AB4651"/>
    <w:rsid w:val="00AB46EC"/>
    <w:rsid w:val="00AB4743"/>
    <w:rsid w:val="00AB47AB"/>
    <w:rsid w:val="00AB47BA"/>
    <w:rsid w:val="00AB47C3"/>
    <w:rsid w:val="00AB47CF"/>
    <w:rsid w:val="00AB4849"/>
    <w:rsid w:val="00AB486F"/>
    <w:rsid w:val="00AB4880"/>
    <w:rsid w:val="00AB48E6"/>
    <w:rsid w:val="00AB48F0"/>
    <w:rsid w:val="00AB490F"/>
    <w:rsid w:val="00AB49FA"/>
    <w:rsid w:val="00AB4A41"/>
    <w:rsid w:val="00AB4A4D"/>
    <w:rsid w:val="00AB4A99"/>
    <w:rsid w:val="00AB4AA0"/>
    <w:rsid w:val="00AB4B28"/>
    <w:rsid w:val="00AB4BE4"/>
    <w:rsid w:val="00AB4C25"/>
    <w:rsid w:val="00AB4C50"/>
    <w:rsid w:val="00AB4C6F"/>
    <w:rsid w:val="00AB4C7E"/>
    <w:rsid w:val="00AB4C9B"/>
    <w:rsid w:val="00AB4CA4"/>
    <w:rsid w:val="00AB4CBF"/>
    <w:rsid w:val="00AB4CFD"/>
    <w:rsid w:val="00AB4D05"/>
    <w:rsid w:val="00AB4D3B"/>
    <w:rsid w:val="00AB4DF3"/>
    <w:rsid w:val="00AB4DF8"/>
    <w:rsid w:val="00AB4EB7"/>
    <w:rsid w:val="00AB4F02"/>
    <w:rsid w:val="00AB4F14"/>
    <w:rsid w:val="00AB4FCD"/>
    <w:rsid w:val="00AB5030"/>
    <w:rsid w:val="00AB5060"/>
    <w:rsid w:val="00AB50A4"/>
    <w:rsid w:val="00AB5153"/>
    <w:rsid w:val="00AB51EE"/>
    <w:rsid w:val="00AB5243"/>
    <w:rsid w:val="00AB5291"/>
    <w:rsid w:val="00AB52F8"/>
    <w:rsid w:val="00AB534C"/>
    <w:rsid w:val="00AB539F"/>
    <w:rsid w:val="00AB53A1"/>
    <w:rsid w:val="00AB53FF"/>
    <w:rsid w:val="00AB5425"/>
    <w:rsid w:val="00AB5478"/>
    <w:rsid w:val="00AB54CA"/>
    <w:rsid w:val="00AB54EA"/>
    <w:rsid w:val="00AB550A"/>
    <w:rsid w:val="00AB55AA"/>
    <w:rsid w:val="00AB56AA"/>
    <w:rsid w:val="00AB56B6"/>
    <w:rsid w:val="00AB56E9"/>
    <w:rsid w:val="00AB56EC"/>
    <w:rsid w:val="00AB576A"/>
    <w:rsid w:val="00AB577A"/>
    <w:rsid w:val="00AB5A43"/>
    <w:rsid w:val="00AB5AA9"/>
    <w:rsid w:val="00AB5B4E"/>
    <w:rsid w:val="00AB5B82"/>
    <w:rsid w:val="00AB5BDC"/>
    <w:rsid w:val="00AB5BEF"/>
    <w:rsid w:val="00AB5C15"/>
    <w:rsid w:val="00AB5C16"/>
    <w:rsid w:val="00AB5C4B"/>
    <w:rsid w:val="00AB5C5A"/>
    <w:rsid w:val="00AB5C8E"/>
    <w:rsid w:val="00AB5C91"/>
    <w:rsid w:val="00AB5CDC"/>
    <w:rsid w:val="00AB5D27"/>
    <w:rsid w:val="00AB5DC7"/>
    <w:rsid w:val="00AB5E81"/>
    <w:rsid w:val="00AB5EC2"/>
    <w:rsid w:val="00AB5ED5"/>
    <w:rsid w:val="00AB5F27"/>
    <w:rsid w:val="00AB6035"/>
    <w:rsid w:val="00AB60E2"/>
    <w:rsid w:val="00AB6175"/>
    <w:rsid w:val="00AB621F"/>
    <w:rsid w:val="00AB6231"/>
    <w:rsid w:val="00AB6241"/>
    <w:rsid w:val="00AB6315"/>
    <w:rsid w:val="00AB6337"/>
    <w:rsid w:val="00AB6361"/>
    <w:rsid w:val="00AB6366"/>
    <w:rsid w:val="00AB6369"/>
    <w:rsid w:val="00AB6424"/>
    <w:rsid w:val="00AB64C7"/>
    <w:rsid w:val="00AB652E"/>
    <w:rsid w:val="00AB653C"/>
    <w:rsid w:val="00AB6590"/>
    <w:rsid w:val="00AB6649"/>
    <w:rsid w:val="00AB66F9"/>
    <w:rsid w:val="00AB6714"/>
    <w:rsid w:val="00AB6744"/>
    <w:rsid w:val="00AB6830"/>
    <w:rsid w:val="00AB6834"/>
    <w:rsid w:val="00AB684A"/>
    <w:rsid w:val="00AB685E"/>
    <w:rsid w:val="00AB6879"/>
    <w:rsid w:val="00AB68A7"/>
    <w:rsid w:val="00AB68F1"/>
    <w:rsid w:val="00AB6979"/>
    <w:rsid w:val="00AB69C9"/>
    <w:rsid w:val="00AB6AC1"/>
    <w:rsid w:val="00AB6B40"/>
    <w:rsid w:val="00AB6B70"/>
    <w:rsid w:val="00AB6BA3"/>
    <w:rsid w:val="00AB6C3C"/>
    <w:rsid w:val="00AB6C4D"/>
    <w:rsid w:val="00AB6C83"/>
    <w:rsid w:val="00AB6C9C"/>
    <w:rsid w:val="00AB6CC9"/>
    <w:rsid w:val="00AB6D1D"/>
    <w:rsid w:val="00AB6DAE"/>
    <w:rsid w:val="00AB6E56"/>
    <w:rsid w:val="00AB6E83"/>
    <w:rsid w:val="00AB6F36"/>
    <w:rsid w:val="00AB6F61"/>
    <w:rsid w:val="00AB6F69"/>
    <w:rsid w:val="00AB6F9C"/>
    <w:rsid w:val="00AB715A"/>
    <w:rsid w:val="00AB71D8"/>
    <w:rsid w:val="00AB72C3"/>
    <w:rsid w:val="00AB72F0"/>
    <w:rsid w:val="00AB73A2"/>
    <w:rsid w:val="00AB73B7"/>
    <w:rsid w:val="00AB741B"/>
    <w:rsid w:val="00AB7447"/>
    <w:rsid w:val="00AB747D"/>
    <w:rsid w:val="00AB74E4"/>
    <w:rsid w:val="00AB7558"/>
    <w:rsid w:val="00AB758D"/>
    <w:rsid w:val="00AB7737"/>
    <w:rsid w:val="00AB7760"/>
    <w:rsid w:val="00AB779D"/>
    <w:rsid w:val="00AB77AF"/>
    <w:rsid w:val="00AB77FE"/>
    <w:rsid w:val="00AB781A"/>
    <w:rsid w:val="00AB7844"/>
    <w:rsid w:val="00AB792D"/>
    <w:rsid w:val="00AB795E"/>
    <w:rsid w:val="00AB7A19"/>
    <w:rsid w:val="00AB7A1C"/>
    <w:rsid w:val="00AB7AB9"/>
    <w:rsid w:val="00AB7AC4"/>
    <w:rsid w:val="00AB7B54"/>
    <w:rsid w:val="00AB7B5C"/>
    <w:rsid w:val="00AB7B62"/>
    <w:rsid w:val="00AB7BD9"/>
    <w:rsid w:val="00AB7C25"/>
    <w:rsid w:val="00AB7C61"/>
    <w:rsid w:val="00AB7C75"/>
    <w:rsid w:val="00AB7CD4"/>
    <w:rsid w:val="00AB7D16"/>
    <w:rsid w:val="00AB7DBD"/>
    <w:rsid w:val="00AB7E45"/>
    <w:rsid w:val="00AB7EDD"/>
    <w:rsid w:val="00AB7F8D"/>
    <w:rsid w:val="00ABB8F3"/>
    <w:rsid w:val="00AC0014"/>
    <w:rsid w:val="00AC00A6"/>
    <w:rsid w:val="00AC0112"/>
    <w:rsid w:val="00AC0145"/>
    <w:rsid w:val="00AC0261"/>
    <w:rsid w:val="00AC0292"/>
    <w:rsid w:val="00AC02FE"/>
    <w:rsid w:val="00AC039B"/>
    <w:rsid w:val="00AC03A7"/>
    <w:rsid w:val="00AC043E"/>
    <w:rsid w:val="00AC0488"/>
    <w:rsid w:val="00AC04C2"/>
    <w:rsid w:val="00AC05EA"/>
    <w:rsid w:val="00AC0660"/>
    <w:rsid w:val="00AC06A4"/>
    <w:rsid w:val="00AC06E7"/>
    <w:rsid w:val="00AC0731"/>
    <w:rsid w:val="00AC0780"/>
    <w:rsid w:val="00AC07D6"/>
    <w:rsid w:val="00AC07D7"/>
    <w:rsid w:val="00AC0896"/>
    <w:rsid w:val="00AC08A1"/>
    <w:rsid w:val="00AC0900"/>
    <w:rsid w:val="00AC0937"/>
    <w:rsid w:val="00AC095F"/>
    <w:rsid w:val="00AC09B5"/>
    <w:rsid w:val="00AC0A29"/>
    <w:rsid w:val="00AC0A53"/>
    <w:rsid w:val="00AC0AA6"/>
    <w:rsid w:val="00AC0B65"/>
    <w:rsid w:val="00AC0BFA"/>
    <w:rsid w:val="00AC0C32"/>
    <w:rsid w:val="00AC0C35"/>
    <w:rsid w:val="00AC0C7A"/>
    <w:rsid w:val="00AC0CD4"/>
    <w:rsid w:val="00AC0D16"/>
    <w:rsid w:val="00AC0D69"/>
    <w:rsid w:val="00AC0D73"/>
    <w:rsid w:val="00AC0DCD"/>
    <w:rsid w:val="00AC0EEB"/>
    <w:rsid w:val="00AC0F07"/>
    <w:rsid w:val="00AC0F48"/>
    <w:rsid w:val="00AC0F85"/>
    <w:rsid w:val="00AC0FAC"/>
    <w:rsid w:val="00AC1014"/>
    <w:rsid w:val="00AC1048"/>
    <w:rsid w:val="00AC10BF"/>
    <w:rsid w:val="00AC1143"/>
    <w:rsid w:val="00AC11F7"/>
    <w:rsid w:val="00AC1229"/>
    <w:rsid w:val="00AC1254"/>
    <w:rsid w:val="00AC12B5"/>
    <w:rsid w:val="00AC12D4"/>
    <w:rsid w:val="00AC132C"/>
    <w:rsid w:val="00AC13BF"/>
    <w:rsid w:val="00AC13DE"/>
    <w:rsid w:val="00AC13EC"/>
    <w:rsid w:val="00AC1408"/>
    <w:rsid w:val="00AC140F"/>
    <w:rsid w:val="00AC1418"/>
    <w:rsid w:val="00AC1450"/>
    <w:rsid w:val="00AC1465"/>
    <w:rsid w:val="00AC146F"/>
    <w:rsid w:val="00AC14A3"/>
    <w:rsid w:val="00AC14C8"/>
    <w:rsid w:val="00AC1535"/>
    <w:rsid w:val="00AC15C9"/>
    <w:rsid w:val="00AC162B"/>
    <w:rsid w:val="00AC16BD"/>
    <w:rsid w:val="00AC16D1"/>
    <w:rsid w:val="00AC1710"/>
    <w:rsid w:val="00AC1732"/>
    <w:rsid w:val="00AC17C2"/>
    <w:rsid w:val="00AC181C"/>
    <w:rsid w:val="00AC1825"/>
    <w:rsid w:val="00AC1852"/>
    <w:rsid w:val="00AC1899"/>
    <w:rsid w:val="00AC193A"/>
    <w:rsid w:val="00AC1991"/>
    <w:rsid w:val="00AC1AA9"/>
    <w:rsid w:val="00AC1B72"/>
    <w:rsid w:val="00AC1C18"/>
    <w:rsid w:val="00AC1C44"/>
    <w:rsid w:val="00AC1C82"/>
    <w:rsid w:val="00AC1CF4"/>
    <w:rsid w:val="00AC1D0E"/>
    <w:rsid w:val="00AC1DBE"/>
    <w:rsid w:val="00AC1E2E"/>
    <w:rsid w:val="00AC1E36"/>
    <w:rsid w:val="00AC1E7E"/>
    <w:rsid w:val="00AC1ED6"/>
    <w:rsid w:val="00AC1ED9"/>
    <w:rsid w:val="00AC1EE1"/>
    <w:rsid w:val="00AC1F48"/>
    <w:rsid w:val="00AC1FAA"/>
    <w:rsid w:val="00AC1FF2"/>
    <w:rsid w:val="00AC2015"/>
    <w:rsid w:val="00AC202B"/>
    <w:rsid w:val="00AC203F"/>
    <w:rsid w:val="00AC2084"/>
    <w:rsid w:val="00AC208D"/>
    <w:rsid w:val="00AC2103"/>
    <w:rsid w:val="00AC2109"/>
    <w:rsid w:val="00AC2114"/>
    <w:rsid w:val="00AC2129"/>
    <w:rsid w:val="00AC21A4"/>
    <w:rsid w:val="00AC223B"/>
    <w:rsid w:val="00AC235A"/>
    <w:rsid w:val="00AC238D"/>
    <w:rsid w:val="00AC2490"/>
    <w:rsid w:val="00AC24BE"/>
    <w:rsid w:val="00AC24D5"/>
    <w:rsid w:val="00AC24D7"/>
    <w:rsid w:val="00AC2560"/>
    <w:rsid w:val="00AC2584"/>
    <w:rsid w:val="00AC25AE"/>
    <w:rsid w:val="00AC2665"/>
    <w:rsid w:val="00AC2757"/>
    <w:rsid w:val="00AC27AE"/>
    <w:rsid w:val="00AC27E8"/>
    <w:rsid w:val="00AC27F1"/>
    <w:rsid w:val="00AC2869"/>
    <w:rsid w:val="00AC2898"/>
    <w:rsid w:val="00AC289D"/>
    <w:rsid w:val="00AC28A5"/>
    <w:rsid w:val="00AC28A9"/>
    <w:rsid w:val="00AC28EC"/>
    <w:rsid w:val="00AC2946"/>
    <w:rsid w:val="00AC2963"/>
    <w:rsid w:val="00AC29A1"/>
    <w:rsid w:val="00AC2A0D"/>
    <w:rsid w:val="00AC2AED"/>
    <w:rsid w:val="00AC2BE4"/>
    <w:rsid w:val="00AC2C45"/>
    <w:rsid w:val="00AC2C4F"/>
    <w:rsid w:val="00AC2C96"/>
    <w:rsid w:val="00AC2DF6"/>
    <w:rsid w:val="00AC2E56"/>
    <w:rsid w:val="00AC2E76"/>
    <w:rsid w:val="00AC2E90"/>
    <w:rsid w:val="00AC2EEF"/>
    <w:rsid w:val="00AC2F04"/>
    <w:rsid w:val="00AC2F8C"/>
    <w:rsid w:val="00AC2FA3"/>
    <w:rsid w:val="00AC2FB2"/>
    <w:rsid w:val="00AC2FD0"/>
    <w:rsid w:val="00AC30FA"/>
    <w:rsid w:val="00AC3130"/>
    <w:rsid w:val="00AC313B"/>
    <w:rsid w:val="00AC314F"/>
    <w:rsid w:val="00AC3183"/>
    <w:rsid w:val="00AC31C7"/>
    <w:rsid w:val="00AC325F"/>
    <w:rsid w:val="00AC32C0"/>
    <w:rsid w:val="00AC334D"/>
    <w:rsid w:val="00AC3371"/>
    <w:rsid w:val="00AC33B7"/>
    <w:rsid w:val="00AC33D9"/>
    <w:rsid w:val="00AC33EF"/>
    <w:rsid w:val="00AC348B"/>
    <w:rsid w:val="00AC3491"/>
    <w:rsid w:val="00AC35BC"/>
    <w:rsid w:val="00AC3611"/>
    <w:rsid w:val="00AC362E"/>
    <w:rsid w:val="00AC3700"/>
    <w:rsid w:val="00AC3847"/>
    <w:rsid w:val="00AC38CC"/>
    <w:rsid w:val="00AC3A3A"/>
    <w:rsid w:val="00AC3A4F"/>
    <w:rsid w:val="00AC3A89"/>
    <w:rsid w:val="00AC3A94"/>
    <w:rsid w:val="00AC3B6A"/>
    <w:rsid w:val="00AC3B99"/>
    <w:rsid w:val="00AC3C05"/>
    <w:rsid w:val="00AC3C69"/>
    <w:rsid w:val="00AC3CE5"/>
    <w:rsid w:val="00AC3D8D"/>
    <w:rsid w:val="00AC3DA2"/>
    <w:rsid w:val="00AC3DB2"/>
    <w:rsid w:val="00AC3E1C"/>
    <w:rsid w:val="00AC3E69"/>
    <w:rsid w:val="00AC3E84"/>
    <w:rsid w:val="00AC3F32"/>
    <w:rsid w:val="00AC3F56"/>
    <w:rsid w:val="00AC4066"/>
    <w:rsid w:val="00AC4092"/>
    <w:rsid w:val="00AC4122"/>
    <w:rsid w:val="00AC413F"/>
    <w:rsid w:val="00AC4158"/>
    <w:rsid w:val="00AC4180"/>
    <w:rsid w:val="00AC42B5"/>
    <w:rsid w:val="00AC42BA"/>
    <w:rsid w:val="00AC42D6"/>
    <w:rsid w:val="00AC441F"/>
    <w:rsid w:val="00AC443C"/>
    <w:rsid w:val="00AC4484"/>
    <w:rsid w:val="00AC44D0"/>
    <w:rsid w:val="00AC44FC"/>
    <w:rsid w:val="00AC4560"/>
    <w:rsid w:val="00AC45BE"/>
    <w:rsid w:val="00AC460B"/>
    <w:rsid w:val="00AC4644"/>
    <w:rsid w:val="00AC4696"/>
    <w:rsid w:val="00AC475B"/>
    <w:rsid w:val="00AC47A2"/>
    <w:rsid w:val="00AC47B8"/>
    <w:rsid w:val="00AC48C4"/>
    <w:rsid w:val="00AC48F2"/>
    <w:rsid w:val="00AC4931"/>
    <w:rsid w:val="00AC49D1"/>
    <w:rsid w:val="00AC49E3"/>
    <w:rsid w:val="00AC4A67"/>
    <w:rsid w:val="00AC4AA9"/>
    <w:rsid w:val="00AC4B30"/>
    <w:rsid w:val="00AC4B41"/>
    <w:rsid w:val="00AC4BFE"/>
    <w:rsid w:val="00AC4C18"/>
    <w:rsid w:val="00AC4C1E"/>
    <w:rsid w:val="00AC4C59"/>
    <w:rsid w:val="00AC4C67"/>
    <w:rsid w:val="00AC4CCB"/>
    <w:rsid w:val="00AC4CE3"/>
    <w:rsid w:val="00AC4D4A"/>
    <w:rsid w:val="00AC4E7A"/>
    <w:rsid w:val="00AC4E87"/>
    <w:rsid w:val="00AC4E90"/>
    <w:rsid w:val="00AC4EE5"/>
    <w:rsid w:val="00AC4F2C"/>
    <w:rsid w:val="00AC4F8F"/>
    <w:rsid w:val="00AC4F90"/>
    <w:rsid w:val="00AC4FB2"/>
    <w:rsid w:val="00AC4FCF"/>
    <w:rsid w:val="00AC4FEA"/>
    <w:rsid w:val="00AC50B5"/>
    <w:rsid w:val="00AC50C3"/>
    <w:rsid w:val="00AC50D6"/>
    <w:rsid w:val="00AC50F5"/>
    <w:rsid w:val="00AC510C"/>
    <w:rsid w:val="00AC514C"/>
    <w:rsid w:val="00AC5152"/>
    <w:rsid w:val="00AC518C"/>
    <w:rsid w:val="00AC51A1"/>
    <w:rsid w:val="00AC51BE"/>
    <w:rsid w:val="00AC5204"/>
    <w:rsid w:val="00AC522E"/>
    <w:rsid w:val="00AC52C2"/>
    <w:rsid w:val="00AC5310"/>
    <w:rsid w:val="00AC538E"/>
    <w:rsid w:val="00AC5397"/>
    <w:rsid w:val="00AC53D6"/>
    <w:rsid w:val="00AC5400"/>
    <w:rsid w:val="00AC54A5"/>
    <w:rsid w:val="00AC54BB"/>
    <w:rsid w:val="00AC54F7"/>
    <w:rsid w:val="00AC54FB"/>
    <w:rsid w:val="00AC5610"/>
    <w:rsid w:val="00AC5681"/>
    <w:rsid w:val="00AC5695"/>
    <w:rsid w:val="00AC56BE"/>
    <w:rsid w:val="00AC572F"/>
    <w:rsid w:val="00AC5758"/>
    <w:rsid w:val="00AC57B3"/>
    <w:rsid w:val="00AC57FD"/>
    <w:rsid w:val="00AC5836"/>
    <w:rsid w:val="00AC5854"/>
    <w:rsid w:val="00AC587D"/>
    <w:rsid w:val="00AC597B"/>
    <w:rsid w:val="00AC597E"/>
    <w:rsid w:val="00AC598F"/>
    <w:rsid w:val="00AC59BF"/>
    <w:rsid w:val="00AC59E9"/>
    <w:rsid w:val="00AC5A8D"/>
    <w:rsid w:val="00AC5B1E"/>
    <w:rsid w:val="00AC5B3B"/>
    <w:rsid w:val="00AC5B7C"/>
    <w:rsid w:val="00AC5BDD"/>
    <w:rsid w:val="00AC5CB6"/>
    <w:rsid w:val="00AC5D04"/>
    <w:rsid w:val="00AC5E4F"/>
    <w:rsid w:val="00AC5E65"/>
    <w:rsid w:val="00AC5EED"/>
    <w:rsid w:val="00AC5EF1"/>
    <w:rsid w:val="00AC5F0F"/>
    <w:rsid w:val="00AC5F16"/>
    <w:rsid w:val="00AC5F2E"/>
    <w:rsid w:val="00AC5F4D"/>
    <w:rsid w:val="00AC602F"/>
    <w:rsid w:val="00AC6057"/>
    <w:rsid w:val="00AC609B"/>
    <w:rsid w:val="00AC60B2"/>
    <w:rsid w:val="00AC6118"/>
    <w:rsid w:val="00AC618F"/>
    <w:rsid w:val="00AC61A1"/>
    <w:rsid w:val="00AC6226"/>
    <w:rsid w:val="00AC635E"/>
    <w:rsid w:val="00AC6413"/>
    <w:rsid w:val="00AC6450"/>
    <w:rsid w:val="00AC645C"/>
    <w:rsid w:val="00AC653A"/>
    <w:rsid w:val="00AC6584"/>
    <w:rsid w:val="00AC658E"/>
    <w:rsid w:val="00AC6593"/>
    <w:rsid w:val="00AC6637"/>
    <w:rsid w:val="00AC6645"/>
    <w:rsid w:val="00AC66D8"/>
    <w:rsid w:val="00AC6712"/>
    <w:rsid w:val="00AC674E"/>
    <w:rsid w:val="00AC67C5"/>
    <w:rsid w:val="00AC680B"/>
    <w:rsid w:val="00AC6828"/>
    <w:rsid w:val="00AC682F"/>
    <w:rsid w:val="00AC6903"/>
    <w:rsid w:val="00AC692A"/>
    <w:rsid w:val="00AC6974"/>
    <w:rsid w:val="00AC69AE"/>
    <w:rsid w:val="00AC69E9"/>
    <w:rsid w:val="00AC6A16"/>
    <w:rsid w:val="00AC6A27"/>
    <w:rsid w:val="00AC6A3C"/>
    <w:rsid w:val="00AC6A98"/>
    <w:rsid w:val="00AC6B2A"/>
    <w:rsid w:val="00AC6B43"/>
    <w:rsid w:val="00AC6BB3"/>
    <w:rsid w:val="00AC6C69"/>
    <w:rsid w:val="00AC6CD8"/>
    <w:rsid w:val="00AC6DD4"/>
    <w:rsid w:val="00AC6E37"/>
    <w:rsid w:val="00AC6E97"/>
    <w:rsid w:val="00AC6EB5"/>
    <w:rsid w:val="00AC7010"/>
    <w:rsid w:val="00AC706A"/>
    <w:rsid w:val="00AC717E"/>
    <w:rsid w:val="00AC71A9"/>
    <w:rsid w:val="00AC71D9"/>
    <w:rsid w:val="00AC71E9"/>
    <w:rsid w:val="00AC7230"/>
    <w:rsid w:val="00AC72BE"/>
    <w:rsid w:val="00AC7357"/>
    <w:rsid w:val="00AC73D3"/>
    <w:rsid w:val="00AC74C6"/>
    <w:rsid w:val="00AC7517"/>
    <w:rsid w:val="00AC75C2"/>
    <w:rsid w:val="00AC75F1"/>
    <w:rsid w:val="00AC763D"/>
    <w:rsid w:val="00AC7656"/>
    <w:rsid w:val="00AC7679"/>
    <w:rsid w:val="00AC7681"/>
    <w:rsid w:val="00AC76F0"/>
    <w:rsid w:val="00AC770E"/>
    <w:rsid w:val="00AC7773"/>
    <w:rsid w:val="00AC777A"/>
    <w:rsid w:val="00AC777E"/>
    <w:rsid w:val="00AC77C2"/>
    <w:rsid w:val="00AC77DF"/>
    <w:rsid w:val="00AC7836"/>
    <w:rsid w:val="00AC7868"/>
    <w:rsid w:val="00AC7977"/>
    <w:rsid w:val="00AC797C"/>
    <w:rsid w:val="00AC798F"/>
    <w:rsid w:val="00AC79DD"/>
    <w:rsid w:val="00AC7A31"/>
    <w:rsid w:val="00AC7A5D"/>
    <w:rsid w:val="00AC7AB3"/>
    <w:rsid w:val="00AC7B1A"/>
    <w:rsid w:val="00AC7B88"/>
    <w:rsid w:val="00AC7BBF"/>
    <w:rsid w:val="00AC7D07"/>
    <w:rsid w:val="00AC7D10"/>
    <w:rsid w:val="00AC7D1E"/>
    <w:rsid w:val="00AC7DCF"/>
    <w:rsid w:val="00AC7DF5"/>
    <w:rsid w:val="00AC7DFB"/>
    <w:rsid w:val="00AC7E08"/>
    <w:rsid w:val="00AC7EBB"/>
    <w:rsid w:val="00AC7F77"/>
    <w:rsid w:val="00AD00F5"/>
    <w:rsid w:val="00AD017C"/>
    <w:rsid w:val="00AD0199"/>
    <w:rsid w:val="00AD01C8"/>
    <w:rsid w:val="00AD01D6"/>
    <w:rsid w:val="00AD01EB"/>
    <w:rsid w:val="00AD01F5"/>
    <w:rsid w:val="00AD0230"/>
    <w:rsid w:val="00AD027A"/>
    <w:rsid w:val="00AD02DD"/>
    <w:rsid w:val="00AD0333"/>
    <w:rsid w:val="00AD0350"/>
    <w:rsid w:val="00AD03CD"/>
    <w:rsid w:val="00AD04C3"/>
    <w:rsid w:val="00AD0521"/>
    <w:rsid w:val="00AD052B"/>
    <w:rsid w:val="00AD05D5"/>
    <w:rsid w:val="00AD05EC"/>
    <w:rsid w:val="00AD0642"/>
    <w:rsid w:val="00AD0654"/>
    <w:rsid w:val="00AD0663"/>
    <w:rsid w:val="00AD06E2"/>
    <w:rsid w:val="00AD087D"/>
    <w:rsid w:val="00AD0889"/>
    <w:rsid w:val="00AD08A5"/>
    <w:rsid w:val="00AD08D9"/>
    <w:rsid w:val="00AD09D9"/>
    <w:rsid w:val="00AD0A5D"/>
    <w:rsid w:val="00AD0A5E"/>
    <w:rsid w:val="00AD0A62"/>
    <w:rsid w:val="00AD0AF1"/>
    <w:rsid w:val="00AD0B76"/>
    <w:rsid w:val="00AD0BA5"/>
    <w:rsid w:val="00AD0BAA"/>
    <w:rsid w:val="00AD0CC0"/>
    <w:rsid w:val="00AD0CD2"/>
    <w:rsid w:val="00AD0D3A"/>
    <w:rsid w:val="00AD0D45"/>
    <w:rsid w:val="00AD0DEE"/>
    <w:rsid w:val="00AD0E40"/>
    <w:rsid w:val="00AD0F1D"/>
    <w:rsid w:val="00AD1001"/>
    <w:rsid w:val="00AD1009"/>
    <w:rsid w:val="00AD10B4"/>
    <w:rsid w:val="00AD10C7"/>
    <w:rsid w:val="00AD1149"/>
    <w:rsid w:val="00AD1178"/>
    <w:rsid w:val="00AD124D"/>
    <w:rsid w:val="00AD1270"/>
    <w:rsid w:val="00AD12E7"/>
    <w:rsid w:val="00AD131C"/>
    <w:rsid w:val="00AD1320"/>
    <w:rsid w:val="00AD13D0"/>
    <w:rsid w:val="00AD140F"/>
    <w:rsid w:val="00AD1460"/>
    <w:rsid w:val="00AD146B"/>
    <w:rsid w:val="00AD14F3"/>
    <w:rsid w:val="00AD1547"/>
    <w:rsid w:val="00AD15E8"/>
    <w:rsid w:val="00AD164C"/>
    <w:rsid w:val="00AD16AC"/>
    <w:rsid w:val="00AD16D7"/>
    <w:rsid w:val="00AD16ED"/>
    <w:rsid w:val="00AD1711"/>
    <w:rsid w:val="00AD176B"/>
    <w:rsid w:val="00AD1787"/>
    <w:rsid w:val="00AD17BE"/>
    <w:rsid w:val="00AD17FF"/>
    <w:rsid w:val="00AD1816"/>
    <w:rsid w:val="00AD1831"/>
    <w:rsid w:val="00AD1833"/>
    <w:rsid w:val="00AD18F5"/>
    <w:rsid w:val="00AD193C"/>
    <w:rsid w:val="00AD1961"/>
    <w:rsid w:val="00AD19B7"/>
    <w:rsid w:val="00AD19D1"/>
    <w:rsid w:val="00AD1AC1"/>
    <w:rsid w:val="00AD1ACF"/>
    <w:rsid w:val="00AD1B18"/>
    <w:rsid w:val="00AD1BBA"/>
    <w:rsid w:val="00AD1BD7"/>
    <w:rsid w:val="00AD1BDE"/>
    <w:rsid w:val="00AD1C50"/>
    <w:rsid w:val="00AD1CBD"/>
    <w:rsid w:val="00AD1D79"/>
    <w:rsid w:val="00AD1E8D"/>
    <w:rsid w:val="00AD1EA8"/>
    <w:rsid w:val="00AD1EC7"/>
    <w:rsid w:val="00AD1EF7"/>
    <w:rsid w:val="00AD1F80"/>
    <w:rsid w:val="00AD1FEA"/>
    <w:rsid w:val="00AD1FFA"/>
    <w:rsid w:val="00AD20A3"/>
    <w:rsid w:val="00AD20C2"/>
    <w:rsid w:val="00AD20DB"/>
    <w:rsid w:val="00AD20EC"/>
    <w:rsid w:val="00AD21BA"/>
    <w:rsid w:val="00AD239E"/>
    <w:rsid w:val="00AD2474"/>
    <w:rsid w:val="00AD24E0"/>
    <w:rsid w:val="00AD256A"/>
    <w:rsid w:val="00AD25D6"/>
    <w:rsid w:val="00AD262C"/>
    <w:rsid w:val="00AD2638"/>
    <w:rsid w:val="00AD26EA"/>
    <w:rsid w:val="00AD274D"/>
    <w:rsid w:val="00AD27C7"/>
    <w:rsid w:val="00AD287C"/>
    <w:rsid w:val="00AD28AD"/>
    <w:rsid w:val="00AD2911"/>
    <w:rsid w:val="00AD29B8"/>
    <w:rsid w:val="00AD29FA"/>
    <w:rsid w:val="00AD29FB"/>
    <w:rsid w:val="00AD2AE8"/>
    <w:rsid w:val="00AD2B2B"/>
    <w:rsid w:val="00AD2B45"/>
    <w:rsid w:val="00AD2B46"/>
    <w:rsid w:val="00AD2B72"/>
    <w:rsid w:val="00AD2B90"/>
    <w:rsid w:val="00AD2B96"/>
    <w:rsid w:val="00AD2BA4"/>
    <w:rsid w:val="00AD2C21"/>
    <w:rsid w:val="00AD2CA6"/>
    <w:rsid w:val="00AD2D93"/>
    <w:rsid w:val="00AD2DBC"/>
    <w:rsid w:val="00AD2DFD"/>
    <w:rsid w:val="00AD2E62"/>
    <w:rsid w:val="00AD2E7B"/>
    <w:rsid w:val="00AD2ECF"/>
    <w:rsid w:val="00AD2EFA"/>
    <w:rsid w:val="00AD2EFD"/>
    <w:rsid w:val="00AD2F3D"/>
    <w:rsid w:val="00AD2F8C"/>
    <w:rsid w:val="00AD2F9F"/>
    <w:rsid w:val="00AD2FB6"/>
    <w:rsid w:val="00AD2FD1"/>
    <w:rsid w:val="00AD2FE9"/>
    <w:rsid w:val="00AD302B"/>
    <w:rsid w:val="00AD30B3"/>
    <w:rsid w:val="00AD3136"/>
    <w:rsid w:val="00AD3189"/>
    <w:rsid w:val="00AD31B2"/>
    <w:rsid w:val="00AD3209"/>
    <w:rsid w:val="00AD3218"/>
    <w:rsid w:val="00AD324F"/>
    <w:rsid w:val="00AD32C9"/>
    <w:rsid w:val="00AD32CD"/>
    <w:rsid w:val="00AD3353"/>
    <w:rsid w:val="00AD338A"/>
    <w:rsid w:val="00AD3391"/>
    <w:rsid w:val="00AD33E5"/>
    <w:rsid w:val="00AD33F7"/>
    <w:rsid w:val="00AD3425"/>
    <w:rsid w:val="00AD344A"/>
    <w:rsid w:val="00AD34FD"/>
    <w:rsid w:val="00AD351A"/>
    <w:rsid w:val="00AD353B"/>
    <w:rsid w:val="00AD358F"/>
    <w:rsid w:val="00AD35CE"/>
    <w:rsid w:val="00AD35DB"/>
    <w:rsid w:val="00AD3611"/>
    <w:rsid w:val="00AD3612"/>
    <w:rsid w:val="00AD361F"/>
    <w:rsid w:val="00AD366D"/>
    <w:rsid w:val="00AD3684"/>
    <w:rsid w:val="00AD368B"/>
    <w:rsid w:val="00AD36C7"/>
    <w:rsid w:val="00AD3725"/>
    <w:rsid w:val="00AD3770"/>
    <w:rsid w:val="00AD3787"/>
    <w:rsid w:val="00AD383F"/>
    <w:rsid w:val="00AD3874"/>
    <w:rsid w:val="00AD3877"/>
    <w:rsid w:val="00AD3921"/>
    <w:rsid w:val="00AD3991"/>
    <w:rsid w:val="00AD39D8"/>
    <w:rsid w:val="00AD3A69"/>
    <w:rsid w:val="00AD3AB4"/>
    <w:rsid w:val="00AD3ADD"/>
    <w:rsid w:val="00AD3B6F"/>
    <w:rsid w:val="00AD3BAA"/>
    <w:rsid w:val="00AD3C54"/>
    <w:rsid w:val="00AD3CAF"/>
    <w:rsid w:val="00AD3CCC"/>
    <w:rsid w:val="00AD3CD7"/>
    <w:rsid w:val="00AD3DA5"/>
    <w:rsid w:val="00AD3DE8"/>
    <w:rsid w:val="00AD3E61"/>
    <w:rsid w:val="00AD3E6D"/>
    <w:rsid w:val="00AD3EA1"/>
    <w:rsid w:val="00AD3F37"/>
    <w:rsid w:val="00AD3F6A"/>
    <w:rsid w:val="00AD3F96"/>
    <w:rsid w:val="00AD4069"/>
    <w:rsid w:val="00AD4071"/>
    <w:rsid w:val="00AD407C"/>
    <w:rsid w:val="00AD4087"/>
    <w:rsid w:val="00AD41C7"/>
    <w:rsid w:val="00AD41F4"/>
    <w:rsid w:val="00AD4201"/>
    <w:rsid w:val="00AD42B6"/>
    <w:rsid w:val="00AD438E"/>
    <w:rsid w:val="00AD43F0"/>
    <w:rsid w:val="00AD44A4"/>
    <w:rsid w:val="00AD44D9"/>
    <w:rsid w:val="00AD4564"/>
    <w:rsid w:val="00AD464D"/>
    <w:rsid w:val="00AD4662"/>
    <w:rsid w:val="00AD469B"/>
    <w:rsid w:val="00AD4718"/>
    <w:rsid w:val="00AD4728"/>
    <w:rsid w:val="00AD488F"/>
    <w:rsid w:val="00AD48B4"/>
    <w:rsid w:val="00AD490F"/>
    <w:rsid w:val="00AD4943"/>
    <w:rsid w:val="00AD4957"/>
    <w:rsid w:val="00AD4979"/>
    <w:rsid w:val="00AD49C9"/>
    <w:rsid w:val="00AD4A81"/>
    <w:rsid w:val="00AD4ABA"/>
    <w:rsid w:val="00AD4B21"/>
    <w:rsid w:val="00AD4BE2"/>
    <w:rsid w:val="00AD4C12"/>
    <w:rsid w:val="00AD4C2B"/>
    <w:rsid w:val="00AD4C96"/>
    <w:rsid w:val="00AD4CFC"/>
    <w:rsid w:val="00AD4D80"/>
    <w:rsid w:val="00AD4DD7"/>
    <w:rsid w:val="00AD4EB0"/>
    <w:rsid w:val="00AD4F8F"/>
    <w:rsid w:val="00AD4FE4"/>
    <w:rsid w:val="00AD50C7"/>
    <w:rsid w:val="00AD50E2"/>
    <w:rsid w:val="00AD511C"/>
    <w:rsid w:val="00AD5140"/>
    <w:rsid w:val="00AD5193"/>
    <w:rsid w:val="00AD523E"/>
    <w:rsid w:val="00AD527D"/>
    <w:rsid w:val="00AD528A"/>
    <w:rsid w:val="00AD529C"/>
    <w:rsid w:val="00AD52BC"/>
    <w:rsid w:val="00AD5320"/>
    <w:rsid w:val="00AD53C3"/>
    <w:rsid w:val="00AD53E8"/>
    <w:rsid w:val="00AD5448"/>
    <w:rsid w:val="00AD5454"/>
    <w:rsid w:val="00AD549C"/>
    <w:rsid w:val="00AD54B2"/>
    <w:rsid w:val="00AD5553"/>
    <w:rsid w:val="00AD55DC"/>
    <w:rsid w:val="00AD5608"/>
    <w:rsid w:val="00AD560B"/>
    <w:rsid w:val="00AD5692"/>
    <w:rsid w:val="00AD56D0"/>
    <w:rsid w:val="00AD56DE"/>
    <w:rsid w:val="00AD56F6"/>
    <w:rsid w:val="00AD571C"/>
    <w:rsid w:val="00AD5734"/>
    <w:rsid w:val="00AD5890"/>
    <w:rsid w:val="00AD5902"/>
    <w:rsid w:val="00AD592A"/>
    <w:rsid w:val="00AD5A42"/>
    <w:rsid w:val="00AD5AA3"/>
    <w:rsid w:val="00AD5AA7"/>
    <w:rsid w:val="00AD5AED"/>
    <w:rsid w:val="00AD5BCE"/>
    <w:rsid w:val="00AD5BCF"/>
    <w:rsid w:val="00AD5C2C"/>
    <w:rsid w:val="00AD5C4F"/>
    <w:rsid w:val="00AD5D44"/>
    <w:rsid w:val="00AD5D64"/>
    <w:rsid w:val="00AD5DE1"/>
    <w:rsid w:val="00AD5E24"/>
    <w:rsid w:val="00AD5EF5"/>
    <w:rsid w:val="00AD5FD8"/>
    <w:rsid w:val="00AD5FF6"/>
    <w:rsid w:val="00AD6022"/>
    <w:rsid w:val="00AD602E"/>
    <w:rsid w:val="00AD603D"/>
    <w:rsid w:val="00AD6083"/>
    <w:rsid w:val="00AD60B7"/>
    <w:rsid w:val="00AD623C"/>
    <w:rsid w:val="00AD624E"/>
    <w:rsid w:val="00AD62F6"/>
    <w:rsid w:val="00AD632F"/>
    <w:rsid w:val="00AD639B"/>
    <w:rsid w:val="00AD63D4"/>
    <w:rsid w:val="00AD63F5"/>
    <w:rsid w:val="00AD63FA"/>
    <w:rsid w:val="00AD642A"/>
    <w:rsid w:val="00AD6467"/>
    <w:rsid w:val="00AD64CD"/>
    <w:rsid w:val="00AD64DA"/>
    <w:rsid w:val="00AD6516"/>
    <w:rsid w:val="00AD653A"/>
    <w:rsid w:val="00AD65FA"/>
    <w:rsid w:val="00AD6606"/>
    <w:rsid w:val="00AD661B"/>
    <w:rsid w:val="00AD6654"/>
    <w:rsid w:val="00AD666E"/>
    <w:rsid w:val="00AD6670"/>
    <w:rsid w:val="00AD6686"/>
    <w:rsid w:val="00AD6797"/>
    <w:rsid w:val="00AD6798"/>
    <w:rsid w:val="00AD67A5"/>
    <w:rsid w:val="00AD67FC"/>
    <w:rsid w:val="00AD68D8"/>
    <w:rsid w:val="00AD6951"/>
    <w:rsid w:val="00AD695A"/>
    <w:rsid w:val="00AD6966"/>
    <w:rsid w:val="00AD697E"/>
    <w:rsid w:val="00AD6984"/>
    <w:rsid w:val="00AD69A2"/>
    <w:rsid w:val="00AD69AB"/>
    <w:rsid w:val="00AD6A3C"/>
    <w:rsid w:val="00AD6AB3"/>
    <w:rsid w:val="00AD6ACC"/>
    <w:rsid w:val="00AD6B19"/>
    <w:rsid w:val="00AD6B40"/>
    <w:rsid w:val="00AD6B9A"/>
    <w:rsid w:val="00AD6BE4"/>
    <w:rsid w:val="00AD6BE7"/>
    <w:rsid w:val="00AD6C39"/>
    <w:rsid w:val="00AD6C9F"/>
    <w:rsid w:val="00AD6D30"/>
    <w:rsid w:val="00AD6D4D"/>
    <w:rsid w:val="00AD6DE4"/>
    <w:rsid w:val="00AD6E5D"/>
    <w:rsid w:val="00AD6EA6"/>
    <w:rsid w:val="00AD6EB9"/>
    <w:rsid w:val="00AD6F0E"/>
    <w:rsid w:val="00AD6F8E"/>
    <w:rsid w:val="00AD6FA7"/>
    <w:rsid w:val="00AD6FBA"/>
    <w:rsid w:val="00AD6FE7"/>
    <w:rsid w:val="00AD6FFF"/>
    <w:rsid w:val="00AD7013"/>
    <w:rsid w:val="00AD704A"/>
    <w:rsid w:val="00AD706D"/>
    <w:rsid w:val="00AD709A"/>
    <w:rsid w:val="00AD70A2"/>
    <w:rsid w:val="00AD70D7"/>
    <w:rsid w:val="00AD70DF"/>
    <w:rsid w:val="00AD70E7"/>
    <w:rsid w:val="00AD713E"/>
    <w:rsid w:val="00AD7189"/>
    <w:rsid w:val="00AD71EC"/>
    <w:rsid w:val="00AD7210"/>
    <w:rsid w:val="00AD7271"/>
    <w:rsid w:val="00AD72BA"/>
    <w:rsid w:val="00AD7338"/>
    <w:rsid w:val="00AD7379"/>
    <w:rsid w:val="00AD73C6"/>
    <w:rsid w:val="00AD740E"/>
    <w:rsid w:val="00AD7446"/>
    <w:rsid w:val="00AD744D"/>
    <w:rsid w:val="00AD746D"/>
    <w:rsid w:val="00AD74A7"/>
    <w:rsid w:val="00AD74E3"/>
    <w:rsid w:val="00AD750D"/>
    <w:rsid w:val="00AD75DB"/>
    <w:rsid w:val="00AD760B"/>
    <w:rsid w:val="00AD767A"/>
    <w:rsid w:val="00AD7689"/>
    <w:rsid w:val="00AD76A0"/>
    <w:rsid w:val="00AD76BC"/>
    <w:rsid w:val="00AD777D"/>
    <w:rsid w:val="00AD7782"/>
    <w:rsid w:val="00AD77DB"/>
    <w:rsid w:val="00AD77E7"/>
    <w:rsid w:val="00AD783E"/>
    <w:rsid w:val="00AD789C"/>
    <w:rsid w:val="00AD78A1"/>
    <w:rsid w:val="00AD78B1"/>
    <w:rsid w:val="00AD78BA"/>
    <w:rsid w:val="00AD795C"/>
    <w:rsid w:val="00AD799B"/>
    <w:rsid w:val="00AD79E5"/>
    <w:rsid w:val="00AD79ED"/>
    <w:rsid w:val="00AD7A11"/>
    <w:rsid w:val="00AD7A89"/>
    <w:rsid w:val="00AD7B15"/>
    <w:rsid w:val="00AD7B37"/>
    <w:rsid w:val="00AD7B5D"/>
    <w:rsid w:val="00AD7BE4"/>
    <w:rsid w:val="00AD7C2C"/>
    <w:rsid w:val="00AD7C77"/>
    <w:rsid w:val="00AD7C78"/>
    <w:rsid w:val="00AD7D56"/>
    <w:rsid w:val="00AD7D9B"/>
    <w:rsid w:val="00AD7DB4"/>
    <w:rsid w:val="00AD7DD1"/>
    <w:rsid w:val="00AD7EA1"/>
    <w:rsid w:val="00AD7EB3"/>
    <w:rsid w:val="00AD7F08"/>
    <w:rsid w:val="00AD7F7E"/>
    <w:rsid w:val="00AD7FDA"/>
    <w:rsid w:val="00AE002F"/>
    <w:rsid w:val="00AE00BD"/>
    <w:rsid w:val="00AE00C4"/>
    <w:rsid w:val="00AE00E6"/>
    <w:rsid w:val="00AE011A"/>
    <w:rsid w:val="00AE0129"/>
    <w:rsid w:val="00AE01A3"/>
    <w:rsid w:val="00AE01F6"/>
    <w:rsid w:val="00AE0242"/>
    <w:rsid w:val="00AE028F"/>
    <w:rsid w:val="00AE0295"/>
    <w:rsid w:val="00AE02C9"/>
    <w:rsid w:val="00AE02E6"/>
    <w:rsid w:val="00AE03AE"/>
    <w:rsid w:val="00AE041B"/>
    <w:rsid w:val="00AE045C"/>
    <w:rsid w:val="00AE0476"/>
    <w:rsid w:val="00AE0498"/>
    <w:rsid w:val="00AE0549"/>
    <w:rsid w:val="00AE0559"/>
    <w:rsid w:val="00AE05CF"/>
    <w:rsid w:val="00AE05E2"/>
    <w:rsid w:val="00AE0677"/>
    <w:rsid w:val="00AE0698"/>
    <w:rsid w:val="00AE06C5"/>
    <w:rsid w:val="00AE0735"/>
    <w:rsid w:val="00AE0771"/>
    <w:rsid w:val="00AE0780"/>
    <w:rsid w:val="00AE0781"/>
    <w:rsid w:val="00AE07B6"/>
    <w:rsid w:val="00AE08DD"/>
    <w:rsid w:val="00AE0901"/>
    <w:rsid w:val="00AE0902"/>
    <w:rsid w:val="00AE099C"/>
    <w:rsid w:val="00AE09D8"/>
    <w:rsid w:val="00AE0A1E"/>
    <w:rsid w:val="00AE0A3E"/>
    <w:rsid w:val="00AE0A44"/>
    <w:rsid w:val="00AE0B47"/>
    <w:rsid w:val="00AE0B61"/>
    <w:rsid w:val="00AE0BA7"/>
    <w:rsid w:val="00AE0CAB"/>
    <w:rsid w:val="00AE0D5F"/>
    <w:rsid w:val="00AE0DB5"/>
    <w:rsid w:val="00AE0DD0"/>
    <w:rsid w:val="00AE0DD5"/>
    <w:rsid w:val="00AE0DF4"/>
    <w:rsid w:val="00AE0E0A"/>
    <w:rsid w:val="00AE0E62"/>
    <w:rsid w:val="00AE0EBF"/>
    <w:rsid w:val="00AE0EC4"/>
    <w:rsid w:val="00AE0EF8"/>
    <w:rsid w:val="00AE0F86"/>
    <w:rsid w:val="00AE101E"/>
    <w:rsid w:val="00AE1020"/>
    <w:rsid w:val="00AE10DF"/>
    <w:rsid w:val="00AE10EE"/>
    <w:rsid w:val="00AE1105"/>
    <w:rsid w:val="00AE1127"/>
    <w:rsid w:val="00AE117F"/>
    <w:rsid w:val="00AE118B"/>
    <w:rsid w:val="00AE11D6"/>
    <w:rsid w:val="00AE11EA"/>
    <w:rsid w:val="00AE1226"/>
    <w:rsid w:val="00AE1238"/>
    <w:rsid w:val="00AE124B"/>
    <w:rsid w:val="00AE1279"/>
    <w:rsid w:val="00AE1313"/>
    <w:rsid w:val="00AE135A"/>
    <w:rsid w:val="00AE13D8"/>
    <w:rsid w:val="00AE1498"/>
    <w:rsid w:val="00AE14B4"/>
    <w:rsid w:val="00AE1502"/>
    <w:rsid w:val="00AE1536"/>
    <w:rsid w:val="00AE1570"/>
    <w:rsid w:val="00AE159A"/>
    <w:rsid w:val="00AE15A1"/>
    <w:rsid w:val="00AE15D9"/>
    <w:rsid w:val="00AE15F6"/>
    <w:rsid w:val="00AE1632"/>
    <w:rsid w:val="00AE1679"/>
    <w:rsid w:val="00AE1696"/>
    <w:rsid w:val="00AE16A0"/>
    <w:rsid w:val="00AE1741"/>
    <w:rsid w:val="00AE1746"/>
    <w:rsid w:val="00AE17EA"/>
    <w:rsid w:val="00AE17FD"/>
    <w:rsid w:val="00AE1805"/>
    <w:rsid w:val="00AE180D"/>
    <w:rsid w:val="00AE1830"/>
    <w:rsid w:val="00AE1876"/>
    <w:rsid w:val="00AE18C2"/>
    <w:rsid w:val="00AE1911"/>
    <w:rsid w:val="00AE1947"/>
    <w:rsid w:val="00AE194E"/>
    <w:rsid w:val="00AE194F"/>
    <w:rsid w:val="00AE1952"/>
    <w:rsid w:val="00AE1971"/>
    <w:rsid w:val="00AE19DF"/>
    <w:rsid w:val="00AE1A19"/>
    <w:rsid w:val="00AE1AC8"/>
    <w:rsid w:val="00AE1AC9"/>
    <w:rsid w:val="00AE1C66"/>
    <w:rsid w:val="00AE1C6C"/>
    <w:rsid w:val="00AE1C6F"/>
    <w:rsid w:val="00AE1CC3"/>
    <w:rsid w:val="00AE1CCB"/>
    <w:rsid w:val="00AE1DA2"/>
    <w:rsid w:val="00AE1DFA"/>
    <w:rsid w:val="00AE1E18"/>
    <w:rsid w:val="00AE1E62"/>
    <w:rsid w:val="00AE1E87"/>
    <w:rsid w:val="00AE1F13"/>
    <w:rsid w:val="00AE1F2D"/>
    <w:rsid w:val="00AE1F5C"/>
    <w:rsid w:val="00AE1FB1"/>
    <w:rsid w:val="00AE20F1"/>
    <w:rsid w:val="00AE217B"/>
    <w:rsid w:val="00AE21A9"/>
    <w:rsid w:val="00AE21AF"/>
    <w:rsid w:val="00AE21F0"/>
    <w:rsid w:val="00AE2204"/>
    <w:rsid w:val="00AE220B"/>
    <w:rsid w:val="00AE225A"/>
    <w:rsid w:val="00AE2413"/>
    <w:rsid w:val="00AE2425"/>
    <w:rsid w:val="00AE2496"/>
    <w:rsid w:val="00AE24A3"/>
    <w:rsid w:val="00AE24AF"/>
    <w:rsid w:val="00AE24C3"/>
    <w:rsid w:val="00AE24F2"/>
    <w:rsid w:val="00AE2542"/>
    <w:rsid w:val="00AE25CD"/>
    <w:rsid w:val="00AE2632"/>
    <w:rsid w:val="00AE265B"/>
    <w:rsid w:val="00AE2694"/>
    <w:rsid w:val="00AE26CD"/>
    <w:rsid w:val="00AE2721"/>
    <w:rsid w:val="00AE27AC"/>
    <w:rsid w:val="00AE27F7"/>
    <w:rsid w:val="00AE2809"/>
    <w:rsid w:val="00AE284A"/>
    <w:rsid w:val="00AE2854"/>
    <w:rsid w:val="00AE28AE"/>
    <w:rsid w:val="00AE2904"/>
    <w:rsid w:val="00AE2966"/>
    <w:rsid w:val="00AE2981"/>
    <w:rsid w:val="00AE29AE"/>
    <w:rsid w:val="00AE2A51"/>
    <w:rsid w:val="00AE2A90"/>
    <w:rsid w:val="00AE2A95"/>
    <w:rsid w:val="00AE2AD6"/>
    <w:rsid w:val="00AE2B8C"/>
    <w:rsid w:val="00AE2C73"/>
    <w:rsid w:val="00AE2CB1"/>
    <w:rsid w:val="00AE2D98"/>
    <w:rsid w:val="00AE2DA6"/>
    <w:rsid w:val="00AE2DFF"/>
    <w:rsid w:val="00AE2E62"/>
    <w:rsid w:val="00AE2EAE"/>
    <w:rsid w:val="00AE2F63"/>
    <w:rsid w:val="00AE2F64"/>
    <w:rsid w:val="00AE2FA6"/>
    <w:rsid w:val="00AE2FC4"/>
    <w:rsid w:val="00AE3007"/>
    <w:rsid w:val="00AE3077"/>
    <w:rsid w:val="00AE307D"/>
    <w:rsid w:val="00AE3097"/>
    <w:rsid w:val="00AE30F6"/>
    <w:rsid w:val="00AE3126"/>
    <w:rsid w:val="00AE316E"/>
    <w:rsid w:val="00AE3187"/>
    <w:rsid w:val="00AE31FF"/>
    <w:rsid w:val="00AE3263"/>
    <w:rsid w:val="00AE3288"/>
    <w:rsid w:val="00AE3327"/>
    <w:rsid w:val="00AE33BF"/>
    <w:rsid w:val="00AE33FD"/>
    <w:rsid w:val="00AE3427"/>
    <w:rsid w:val="00AE343D"/>
    <w:rsid w:val="00AE3473"/>
    <w:rsid w:val="00AE348E"/>
    <w:rsid w:val="00AE34D1"/>
    <w:rsid w:val="00AE35DA"/>
    <w:rsid w:val="00AE35FD"/>
    <w:rsid w:val="00AE36EF"/>
    <w:rsid w:val="00AE3727"/>
    <w:rsid w:val="00AE37E8"/>
    <w:rsid w:val="00AE388F"/>
    <w:rsid w:val="00AE3898"/>
    <w:rsid w:val="00AE3902"/>
    <w:rsid w:val="00AE3903"/>
    <w:rsid w:val="00AE3957"/>
    <w:rsid w:val="00AE3966"/>
    <w:rsid w:val="00AE397F"/>
    <w:rsid w:val="00AE398B"/>
    <w:rsid w:val="00AE3B88"/>
    <w:rsid w:val="00AE3BCE"/>
    <w:rsid w:val="00AE3C9C"/>
    <w:rsid w:val="00AE3D47"/>
    <w:rsid w:val="00AE3DB6"/>
    <w:rsid w:val="00AE3DC2"/>
    <w:rsid w:val="00AE3E21"/>
    <w:rsid w:val="00AE3E46"/>
    <w:rsid w:val="00AE3EA7"/>
    <w:rsid w:val="00AE3F39"/>
    <w:rsid w:val="00AE3F8C"/>
    <w:rsid w:val="00AE3FC8"/>
    <w:rsid w:val="00AE3FCF"/>
    <w:rsid w:val="00AE400B"/>
    <w:rsid w:val="00AE404E"/>
    <w:rsid w:val="00AE405E"/>
    <w:rsid w:val="00AE40AB"/>
    <w:rsid w:val="00AE4114"/>
    <w:rsid w:val="00AE412F"/>
    <w:rsid w:val="00AE4177"/>
    <w:rsid w:val="00AE41D0"/>
    <w:rsid w:val="00AE4219"/>
    <w:rsid w:val="00AE4298"/>
    <w:rsid w:val="00AE42F2"/>
    <w:rsid w:val="00AE4333"/>
    <w:rsid w:val="00AE43F2"/>
    <w:rsid w:val="00AE4407"/>
    <w:rsid w:val="00AE442F"/>
    <w:rsid w:val="00AE4476"/>
    <w:rsid w:val="00AE44C0"/>
    <w:rsid w:val="00AE44C8"/>
    <w:rsid w:val="00AE4638"/>
    <w:rsid w:val="00AE463E"/>
    <w:rsid w:val="00AE4674"/>
    <w:rsid w:val="00AE46AB"/>
    <w:rsid w:val="00AE46BB"/>
    <w:rsid w:val="00AE4752"/>
    <w:rsid w:val="00AE478C"/>
    <w:rsid w:val="00AE478F"/>
    <w:rsid w:val="00AE4818"/>
    <w:rsid w:val="00AE4917"/>
    <w:rsid w:val="00AE49C2"/>
    <w:rsid w:val="00AE4A27"/>
    <w:rsid w:val="00AE4A7F"/>
    <w:rsid w:val="00AE4AA1"/>
    <w:rsid w:val="00AE4B87"/>
    <w:rsid w:val="00AE4C16"/>
    <w:rsid w:val="00AE4C2F"/>
    <w:rsid w:val="00AE4C6C"/>
    <w:rsid w:val="00AE4CF7"/>
    <w:rsid w:val="00AE4D0D"/>
    <w:rsid w:val="00AE4D2F"/>
    <w:rsid w:val="00AE4D91"/>
    <w:rsid w:val="00AE4ECF"/>
    <w:rsid w:val="00AE4F59"/>
    <w:rsid w:val="00AE501F"/>
    <w:rsid w:val="00AE506F"/>
    <w:rsid w:val="00AE50C7"/>
    <w:rsid w:val="00AE511A"/>
    <w:rsid w:val="00AE5198"/>
    <w:rsid w:val="00AE51E0"/>
    <w:rsid w:val="00AE521E"/>
    <w:rsid w:val="00AE523A"/>
    <w:rsid w:val="00AE5247"/>
    <w:rsid w:val="00AE526B"/>
    <w:rsid w:val="00AE53E0"/>
    <w:rsid w:val="00AE53E2"/>
    <w:rsid w:val="00AE5424"/>
    <w:rsid w:val="00AE5429"/>
    <w:rsid w:val="00AE5432"/>
    <w:rsid w:val="00AE5482"/>
    <w:rsid w:val="00AE5488"/>
    <w:rsid w:val="00AE54DC"/>
    <w:rsid w:val="00AE54EE"/>
    <w:rsid w:val="00AE5580"/>
    <w:rsid w:val="00AE55AA"/>
    <w:rsid w:val="00AE55C4"/>
    <w:rsid w:val="00AE55E5"/>
    <w:rsid w:val="00AE5686"/>
    <w:rsid w:val="00AE581C"/>
    <w:rsid w:val="00AE58CD"/>
    <w:rsid w:val="00AE58EA"/>
    <w:rsid w:val="00AE5900"/>
    <w:rsid w:val="00AE5907"/>
    <w:rsid w:val="00AE59E2"/>
    <w:rsid w:val="00AE59FD"/>
    <w:rsid w:val="00AE5A05"/>
    <w:rsid w:val="00AE5AFF"/>
    <w:rsid w:val="00AE5B01"/>
    <w:rsid w:val="00AE5B41"/>
    <w:rsid w:val="00AE5BFD"/>
    <w:rsid w:val="00AE5C01"/>
    <w:rsid w:val="00AE5C2D"/>
    <w:rsid w:val="00AE5C61"/>
    <w:rsid w:val="00AE5D00"/>
    <w:rsid w:val="00AE5D48"/>
    <w:rsid w:val="00AE5E4F"/>
    <w:rsid w:val="00AE5EEA"/>
    <w:rsid w:val="00AE5F2C"/>
    <w:rsid w:val="00AE5F6B"/>
    <w:rsid w:val="00AE5FB0"/>
    <w:rsid w:val="00AE5FB6"/>
    <w:rsid w:val="00AE6014"/>
    <w:rsid w:val="00AE6038"/>
    <w:rsid w:val="00AE6048"/>
    <w:rsid w:val="00AE6062"/>
    <w:rsid w:val="00AE6067"/>
    <w:rsid w:val="00AE615F"/>
    <w:rsid w:val="00AE618C"/>
    <w:rsid w:val="00AE61CB"/>
    <w:rsid w:val="00AE61E8"/>
    <w:rsid w:val="00AE6272"/>
    <w:rsid w:val="00AE62A8"/>
    <w:rsid w:val="00AE62CC"/>
    <w:rsid w:val="00AE6449"/>
    <w:rsid w:val="00AE64D2"/>
    <w:rsid w:val="00AE653B"/>
    <w:rsid w:val="00AE6543"/>
    <w:rsid w:val="00AE6574"/>
    <w:rsid w:val="00AE658E"/>
    <w:rsid w:val="00AE65A7"/>
    <w:rsid w:val="00AE65CC"/>
    <w:rsid w:val="00AE65F8"/>
    <w:rsid w:val="00AE671D"/>
    <w:rsid w:val="00AE6801"/>
    <w:rsid w:val="00AE684F"/>
    <w:rsid w:val="00AE6943"/>
    <w:rsid w:val="00AE6991"/>
    <w:rsid w:val="00AE699B"/>
    <w:rsid w:val="00AE69B8"/>
    <w:rsid w:val="00AE69E6"/>
    <w:rsid w:val="00AE6A39"/>
    <w:rsid w:val="00AE6A96"/>
    <w:rsid w:val="00AE6AD2"/>
    <w:rsid w:val="00AE6B4E"/>
    <w:rsid w:val="00AE6C34"/>
    <w:rsid w:val="00AE6C5F"/>
    <w:rsid w:val="00AE6C78"/>
    <w:rsid w:val="00AE6CFB"/>
    <w:rsid w:val="00AE6DE7"/>
    <w:rsid w:val="00AE6E7A"/>
    <w:rsid w:val="00AE6EAC"/>
    <w:rsid w:val="00AE6EFB"/>
    <w:rsid w:val="00AE6F21"/>
    <w:rsid w:val="00AE6F7F"/>
    <w:rsid w:val="00AE6FBC"/>
    <w:rsid w:val="00AE6FF0"/>
    <w:rsid w:val="00AE7004"/>
    <w:rsid w:val="00AE7059"/>
    <w:rsid w:val="00AE70D5"/>
    <w:rsid w:val="00AE7106"/>
    <w:rsid w:val="00AE7187"/>
    <w:rsid w:val="00AE719D"/>
    <w:rsid w:val="00AE71AA"/>
    <w:rsid w:val="00AE71B4"/>
    <w:rsid w:val="00AE71C2"/>
    <w:rsid w:val="00AE725A"/>
    <w:rsid w:val="00AE74B1"/>
    <w:rsid w:val="00AE7571"/>
    <w:rsid w:val="00AE75CA"/>
    <w:rsid w:val="00AE75D0"/>
    <w:rsid w:val="00AE7640"/>
    <w:rsid w:val="00AE764E"/>
    <w:rsid w:val="00AE7650"/>
    <w:rsid w:val="00AE7661"/>
    <w:rsid w:val="00AE7674"/>
    <w:rsid w:val="00AE767A"/>
    <w:rsid w:val="00AE76F6"/>
    <w:rsid w:val="00AE775E"/>
    <w:rsid w:val="00AE777E"/>
    <w:rsid w:val="00AE7792"/>
    <w:rsid w:val="00AE77CA"/>
    <w:rsid w:val="00AE77E6"/>
    <w:rsid w:val="00AE785D"/>
    <w:rsid w:val="00AE7867"/>
    <w:rsid w:val="00AE7873"/>
    <w:rsid w:val="00AE78DE"/>
    <w:rsid w:val="00AE78FB"/>
    <w:rsid w:val="00AE7966"/>
    <w:rsid w:val="00AE796C"/>
    <w:rsid w:val="00AE7983"/>
    <w:rsid w:val="00AE7985"/>
    <w:rsid w:val="00AE79DC"/>
    <w:rsid w:val="00AE7A8C"/>
    <w:rsid w:val="00AE7A9F"/>
    <w:rsid w:val="00AE7ADF"/>
    <w:rsid w:val="00AE7AF9"/>
    <w:rsid w:val="00AE7B84"/>
    <w:rsid w:val="00AE7BFC"/>
    <w:rsid w:val="00AE7C4A"/>
    <w:rsid w:val="00AE7C65"/>
    <w:rsid w:val="00AE7C7F"/>
    <w:rsid w:val="00AE7CC7"/>
    <w:rsid w:val="00AE7D18"/>
    <w:rsid w:val="00AE7DD3"/>
    <w:rsid w:val="00AE7DE8"/>
    <w:rsid w:val="00AE7EA7"/>
    <w:rsid w:val="00AE7EB4"/>
    <w:rsid w:val="00AE7FC0"/>
    <w:rsid w:val="00AE7FD6"/>
    <w:rsid w:val="00AF0041"/>
    <w:rsid w:val="00AF0091"/>
    <w:rsid w:val="00AF00B9"/>
    <w:rsid w:val="00AF00DA"/>
    <w:rsid w:val="00AF0110"/>
    <w:rsid w:val="00AF01CD"/>
    <w:rsid w:val="00AF02C4"/>
    <w:rsid w:val="00AF0398"/>
    <w:rsid w:val="00AF0410"/>
    <w:rsid w:val="00AF04B4"/>
    <w:rsid w:val="00AF04F4"/>
    <w:rsid w:val="00AF0590"/>
    <w:rsid w:val="00AF05B7"/>
    <w:rsid w:val="00AF05BE"/>
    <w:rsid w:val="00AF0614"/>
    <w:rsid w:val="00AF066C"/>
    <w:rsid w:val="00AF06EB"/>
    <w:rsid w:val="00AF0745"/>
    <w:rsid w:val="00AF0751"/>
    <w:rsid w:val="00AF07BA"/>
    <w:rsid w:val="00AF07EC"/>
    <w:rsid w:val="00AF07ED"/>
    <w:rsid w:val="00AF08D0"/>
    <w:rsid w:val="00AF0948"/>
    <w:rsid w:val="00AF096D"/>
    <w:rsid w:val="00AF099B"/>
    <w:rsid w:val="00AF09FD"/>
    <w:rsid w:val="00AF0A58"/>
    <w:rsid w:val="00AF0ACC"/>
    <w:rsid w:val="00AF0AF4"/>
    <w:rsid w:val="00AF0B19"/>
    <w:rsid w:val="00AF0BFD"/>
    <w:rsid w:val="00AF0C2B"/>
    <w:rsid w:val="00AF0C96"/>
    <w:rsid w:val="00AF0CB6"/>
    <w:rsid w:val="00AF0CE7"/>
    <w:rsid w:val="00AF0CEE"/>
    <w:rsid w:val="00AF0D19"/>
    <w:rsid w:val="00AF0D4F"/>
    <w:rsid w:val="00AF0D9A"/>
    <w:rsid w:val="00AF0E85"/>
    <w:rsid w:val="00AF0F77"/>
    <w:rsid w:val="00AF0FD6"/>
    <w:rsid w:val="00AF0FE8"/>
    <w:rsid w:val="00AF105F"/>
    <w:rsid w:val="00AF10B1"/>
    <w:rsid w:val="00AF1160"/>
    <w:rsid w:val="00AF1170"/>
    <w:rsid w:val="00AF1197"/>
    <w:rsid w:val="00AF1296"/>
    <w:rsid w:val="00AF12BD"/>
    <w:rsid w:val="00AF131A"/>
    <w:rsid w:val="00AF1398"/>
    <w:rsid w:val="00AF13BC"/>
    <w:rsid w:val="00AF1515"/>
    <w:rsid w:val="00AF15BD"/>
    <w:rsid w:val="00AF1620"/>
    <w:rsid w:val="00AF16CB"/>
    <w:rsid w:val="00AF16E1"/>
    <w:rsid w:val="00AF1714"/>
    <w:rsid w:val="00AF1755"/>
    <w:rsid w:val="00AF184A"/>
    <w:rsid w:val="00AF1852"/>
    <w:rsid w:val="00AF1853"/>
    <w:rsid w:val="00AF1857"/>
    <w:rsid w:val="00AF18E8"/>
    <w:rsid w:val="00AF193E"/>
    <w:rsid w:val="00AF1941"/>
    <w:rsid w:val="00AF198B"/>
    <w:rsid w:val="00AF1B4D"/>
    <w:rsid w:val="00AF1B5B"/>
    <w:rsid w:val="00AF1B62"/>
    <w:rsid w:val="00AF1BC0"/>
    <w:rsid w:val="00AF1BF7"/>
    <w:rsid w:val="00AF1C57"/>
    <w:rsid w:val="00AF1CB1"/>
    <w:rsid w:val="00AF1CF3"/>
    <w:rsid w:val="00AF1D31"/>
    <w:rsid w:val="00AF1D48"/>
    <w:rsid w:val="00AF1D5A"/>
    <w:rsid w:val="00AF1DA3"/>
    <w:rsid w:val="00AF1E5D"/>
    <w:rsid w:val="00AF1EAF"/>
    <w:rsid w:val="00AF1EC0"/>
    <w:rsid w:val="00AF1EE0"/>
    <w:rsid w:val="00AF1F87"/>
    <w:rsid w:val="00AF2022"/>
    <w:rsid w:val="00AF2114"/>
    <w:rsid w:val="00AF2129"/>
    <w:rsid w:val="00AF212A"/>
    <w:rsid w:val="00AF2138"/>
    <w:rsid w:val="00AF2148"/>
    <w:rsid w:val="00AF219F"/>
    <w:rsid w:val="00AF21D9"/>
    <w:rsid w:val="00AF21EB"/>
    <w:rsid w:val="00AF2232"/>
    <w:rsid w:val="00AF2263"/>
    <w:rsid w:val="00AF22C3"/>
    <w:rsid w:val="00AF231F"/>
    <w:rsid w:val="00AF232B"/>
    <w:rsid w:val="00AF234E"/>
    <w:rsid w:val="00AF2356"/>
    <w:rsid w:val="00AF238C"/>
    <w:rsid w:val="00AF2456"/>
    <w:rsid w:val="00AF2473"/>
    <w:rsid w:val="00AF2529"/>
    <w:rsid w:val="00AF2682"/>
    <w:rsid w:val="00AF26B7"/>
    <w:rsid w:val="00AF26BC"/>
    <w:rsid w:val="00AF270B"/>
    <w:rsid w:val="00AF2718"/>
    <w:rsid w:val="00AF2728"/>
    <w:rsid w:val="00AF2738"/>
    <w:rsid w:val="00AF27AF"/>
    <w:rsid w:val="00AF27BA"/>
    <w:rsid w:val="00AF27E1"/>
    <w:rsid w:val="00AF2827"/>
    <w:rsid w:val="00AF2832"/>
    <w:rsid w:val="00AF2855"/>
    <w:rsid w:val="00AF2859"/>
    <w:rsid w:val="00AF2878"/>
    <w:rsid w:val="00AF28AC"/>
    <w:rsid w:val="00AF2921"/>
    <w:rsid w:val="00AF2985"/>
    <w:rsid w:val="00AF29F3"/>
    <w:rsid w:val="00AF2A40"/>
    <w:rsid w:val="00AF2AC8"/>
    <w:rsid w:val="00AF2AEE"/>
    <w:rsid w:val="00AF2B24"/>
    <w:rsid w:val="00AF2B68"/>
    <w:rsid w:val="00AF2BDD"/>
    <w:rsid w:val="00AF2C0E"/>
    <w:rsid w:val="00AF2D12"/>
    <w:rsid w:val="00AF2D2B"/>
    <w:rsid w:val="00AF2D82"/>
    <w:rsid w:val="00AF2D83"/>
    <w:rsid w:val="00AF2DB7"/>
    <w:rsid w:val="00AF2DBB"/>
    <w:rsid w:val="00AF2F27"/>
    <w:rsid w:val="00AF2F37"/>
    <w:rsid w:val="00AF2F4F"/>
    <w:rsid w:val="00AF2FD3"/>
    <w:rsid w:val="00AF3038"/>
    <w:rsid w:val="00AF3056"/>
    <w:rsid w:val="00AF31AB"/>
    <w:rsid w:val="00AF323C"/>
    <w:rsid w:val="00AF3243"/>
    <w:rsid w:val="00AF325A"/>
    <w:rsid w:val="00AF327C"/>
    <w:rsid w:val="00AF3344"/>
    <w:rsid w:val="00AF33C1"/>
    <w:rsid w:val="00AF3401"/>
    <w:rsid w:val="00AF340C"/>
    <w:rsid w:val="00AF34A3"/>
    <w:rsid w:val="00AF34D1"/>
    <w:rsid w:val="00AF3542"/>
    <w:rsid w:val="00AF3634"/>
    <w:rsid w:val="00AF3671"/>
    <w:rsid w:val="00AF3690"/>
    <w:rsid w:val="00AF36DA"/>
    <w:rsid w:val="00AF3719"/>
    <w:rsid w:val="00AF372F"/>
    <w:rsid w:val="00AF3793"/>
    <w:rsid w:val="00AF37C3"/>
    <w:rsid w:val="00AF37D3"/>
    <w:rsid w:val="00AF37D6"/>
    <w:rsid w:val="00AF3805"/>
    <w:rsid w:val="00AF38BD"/>
    <w:rsid w:val="00AF394C"/>
    <w:rsid w:val="00AF39CB"/>
    <w:rsid w:val="00AF39F1"/>
    <w:rsid w:val="00AF39F9"/>
    <w:rsid w:val="00AF3A06"/>
    <w:rsid w:val="00AF3A9B"/>
    <w:rsid w:val="00AF3ADF"/>
    <w:rsid w:val="00AF3B3F"/>
    <w:rsid w:val="00AF3BA3"/>
    <w:rsid w:val="00AF3BE3"/>
    <w:rsid w:val="00AF3C6F"/>
    <w:rsid w:val="00AF3C93"/>
    <w:rsid w:val="00AF3CBB"/>
    <w:rsid w:val="00AF3D1A"/>
    <w:rsid w:val="00AF3D7F"/>
    <w:rsid w:val="00AF3DCA"/>
    <w:rsid w:val="00AF3DFE"/>
    <w:rsid w:val="00AF3E25"/>
    <w:rsid w:val="00AF3E3A"/>
    <w:rsid w:val="00AF3EDC"/>
    <w:rsid w:val="00AF3EDD"/>
    <w:rsid w:val="00AF3EED"/>
    <w:rsid w:val="00AF3F0F"/>
    <w:rsid w:val="00AF3F93"/>
    <w:rsid w:val="00AF3FA9"/>
    <w:rsid w:val="00AF3FB8"/>
    <w:rsid w:val="00AF3FCA"/>
    <w:rsid w:val="00AF3FF0"/>
    <w:rsid w:val="00AF4015"/>
    <w:rsid w:val="00AF40DE"/>
    <w:rsid w:val="00AF4253"/>
    <w:rsid w:val="00AF4343"/>
    <w:rsid w:val="00AF43A0"/>
    <w:rsid w:val="00AF43C1"/>
    <w:rsid w:val="00AF43CA"/>
    <w:rsid w:val="00AF43CF"/>
    <w:rsid w:val="00AF43DD"/>
    <w:rsid w:val="00AF4431"/>
    <w:rsid w:val="00AF448C"/>
    <w:rsid w:val="00AF4519"/>
    <w:rsid w:val="00AF4549"/>
    <w:rsid w:val="00AF46A7"/>
    <w:rsid w:val="00AF46CE"/>
    <w:rsid w:val="00AF477F"/>
    <w:rsid w:val="00AF4785"/>
    <w:rsid w:val="00AF486C"/>
    <w:rsid w:val="00AF4887"/>
    <w:rsid w:val="00AF488C"/>
    <w:rsid w:val="00AF48A1"/>
    <w:rsid w:val="00AF4953"/>
    <w:rsid w:val="00AF499F"/>
    <w:rsid w:val="00AF4A3B"/>
    <w:rsid w:val="00AF4A52"/>
    <w:rsid w:val="00AF4A63"/>
    <w:rsid w:val="00AF4AC8"/>
    <w:rsid w:val="00AF4AF7"/>
    <w:rsid w:val="00AF4B13"/>
    <w:rsid w:val="00AF4B55"/>
    <w:rsid w:val="00AF4BBE"/>
    <w:rsid w:val="00AF4BD7"/>
    <w:rsid w:val="00AF4C9B"/>
    <w:rsid w:val="00AF4D12"/>
    <w:rsid w:val="00AF4DB3"/>
    <w:rsid w:val="00AF4ED9"/>
    <w:rsid w:val="00AF4F24"/>
    <w:rsid w:val="00AF4F96"/>
    <w:rsid w:val="00AF4FF0"/>
    <w:rsid w:val="00AF5013"/>
    <w:rsid w:val="00AF5067"/>
    <w:rsid w:val="00AF506B"/>
    <w:rsid w:val="00AF50C9"/>
    <w:rsid w:val="00AF512E"/>
    <w:rsid w:val="00AF51C3"/>
    <w:rsid w:val="00AF520F"/>
    <w:rsid w:val="00AF523C"/>
    <w:rsid w:val="00AF524C"/>
    <w:rsid w:val="00AF5262"/>
    <w:rsid w:val="00AF5284"/>
    <w:rsid w:val="00AF5301"/>
    <w:rsid w:val="00AF531E"/>
    <w:rsid w:val="00AF5326"/>
    <w:rsid w:val="00AF5350"/>
    <w:rsid w:val="00AF537B"/>
    <w:rsid w:val="00AF53B5"/>
    <w:rsid w:val="00AF5460"/>
    <w:rsid w:val="00AF552F"/>
    <w:rsid w:val="00AF55D6"/>
    <w:rsid w:val="00AF56C1"/>
    <w:rsid w:val="00AF5780"/>
    <w:rsid w:val="00AF57B3"/>
    <w:rsid w:val="00AF5813"/>
    <w:rsid w:val="00AF584F"/>
    <w:rsid w:val="00AF588E"/>
    <w:rsid w:val="00AF58A4"/>
    <w:rsid w:val="00AF58C2"/>
    <w:rsid w:val="00AF591A"/>
    <w:rsid w:val="00AF59C0"/>
    <w:rsid w:val="00AF59CA"/>
    <w:rsid w:val="00AF59F7"/>
    <w:rsid w:val="00AF59FE"/>
    <w:rsid w:val="00AF5A03"/>
    <w:rsid w:val="00AF5A3E"/>
    <w:rsid w:val="00AF5A77"/>
    <w:rsid w:val="00AF5AE2"/>
    <w:rsid w:val="00AF5B3E"/>
    <w:rsid w:val="00AF5B9C"/>
    <w:rsid w:val="00AF5BBC"/>
    <w:rsid w:val="00AF5BCA"/>
    <w:rsid w:val="00AF5C0A"/>
    <w:rsid w:val="00AF5C2C"/>
    <w:rsid w:val="00AF5C32"/>
    <w:rsid w:val="00AF5C53"/>
    <w:rsid w:val="00AF5C58"/>
    <w:rsid w:val="00AF5C8A"/>
    <w:rsid w:val="00AF5C8C"/>
    <w:rsid w:val="00AF5CA0"/>
    <w:rsid w:val="00AF5CC8"/>
    <w:rsid w:val="00AF5CF5"/>
    <w:rsid w:val="00AF5DE9"/>
    <w:rsid w:val="00AF5E6E"/>
    <w:rsid w:val="00AF5EE6"/>
    <w:rsid w:val="00AF5F0A"/>
    <w:rsid w:val="00AF5F52"/>
    <w:rsid w:val="00AF5F7B"/>
    <w:rsid w:val="00AF6020"/>
    <w:rsid w:val="00AF606E"/>
    <w:rsid w:val="00AF609D"/>
    <w:rsid w:val="00AF6103"/>
    <w:rsid w:val="00AF6118"/>
    <w:rsid w:val="00AF611D"/>
    <w:rsid w:val="00AF6143"/>
    <w:rsid w:val="00AF6185"/>
    <w:rsid w:val="00AF6186"/>
    <w:rsid w:val="00AF618F"/>
    <w:rsid w:val="00AF622E"/>
    <w:rsid w:val="00AF624A"/>
    <w:rsid w:val="00AF62AA"/>
    <w:rsid w:val="00AF62BE"/>
    <w:rsid w:val="00AF6302"/>
    <w:rsid w:val="00AF6331"/>
    <w:rsid w:val="00AF6372"/>
    <w:rsid w:val="00AF638A"/>
    <w:rsid w:val="00AF640E"/>
    <w:rsid w:val="00AF641E"/>
    <w:rsid w:val="00AF64B4"/>
    <w:rsid w:val="00AF64D6"/>
    <w:rsid w:val="00AF6512"/>
    <w:rsid w:val="00AF6523"/>
    <w:rsid w:val="00AF6547"/>
    <w:rsid w:val="00AF65DB"/>
    <w:rsid w:val="00AF662F"/>
    <w:rsid w:val="00AF666B"/>
    <w:rsid w:val="00AF6670"/>
    <w:rsid w:val="00AF6673"/>
    <w:rsid w:val="00AF66AD"/>
    <w:rsid w:val="00AF66F5"/>
    <w:rsid w:val="00AF67A1"/>
    <w:rsid w:val="00AF67FD"/>
    <w:rsid w:val="00AF683C"/>
    <w:rsid w:val="00AF6848"/>
    <w:rsid w:val="00AF687E"/>
    <w:rsid w:val="00AF690B"/>
    <w:rsid w:val="00AF6971"/>
    <w:rsid w:val="00AF6984"/>
    <w:rsid w:val="00AF69DD"/>
    <w:rsid w:val="00AF6A18"/>
    <w:rsid w:val="00AF6A53"/>
    <w:rsid w:val="00AF6A91"/>
    <w:rsid w:val="00AF6AA9"/>
    <w:rsid w:val="00AF6B1E"/>
    <w:rsid w:val="00AF6B62"/>
    <w:rsid w:val="00AF6BA2"/>
    <w:rsid w:val="00AF6C1A"/>
    <w:rsid w:val="00AF6C40"/>
    <w:rsid w:val="00AF6CB5"/>
    <w:rsid w:val="00AF6D1C"/>
    <w:rsid w:val="00AF6D35"/>
    <w:rsid w:val="00AF6E4B"/>
    <w:rsid w:val="00AF6EA2"/>
    <w:rsid w:val="00AF6F35"/>
    <w:rsid w:val="00AF6F53"/>
    <w:rsid w:val="00AF7032"/>
    <w:rsid w:val="00AF7109"/>
    <w:rsid w:val="00AF710C"/>
    <w:rsid w:val="00AF7162"/>
    <w:rsid w:val="00AF71BC"/>
    <w:rsid w:val="00AF7241"/>
    <w:rsid w:val="00AF727D"/>
    <w:rsid w:val="00AF739D"/>
    <w:rsid w:val="00AF73A9"/>
    <w:rsid w:val="00AF73AB"/>
    <w:rsid w:val="00AF747B"/>
    <w:rsid w:val="00AF74BA"/>
    <w:rsid w:val="00AF752F"/>
    <w:rsid w:val="00AF7578"/>
    <w:rsid w:val="00AF7583"/>
    <w:rsid w:val="00AF7594"/>
    <w:rsid w:val="00AF7596"/>
    <w:rsid w:val="00AF7598"/>
    <w:rsid w:val="00AF7652"/>
    <w:rsid w:val="00AF76FD"/>
    <w:rsid w:val="00AF7701"/>
    <w:rsid w:val="00AF7708"/>
    <w:rsid w:val="00AF770B"/>
    <w:rsid w:val="00AF77BB"/>
    <w:rsid w:val="00AF77E5"/>
    <w:rsid w:val="00AF782D"/>
    <w:rsid w:val="00AF7877"/>
    <w:rsid w:val="00AF78F7"/>
    <w:rsid w:val="00AF79ED"/>
    <w:rsid w:val="00AF79FD"/>
    <w:rsid w:val="00AF7A04"/>
    <w:rsid w:val="00AF7A40"/>
    <w:rsid w:val="00AF7A51"/>
    <w:rsid w:val="00AF7A52"/>
    <w:rsid w:val="00AF7B8C"/>
    <w:rsid w:val="00AF7B9A"/>
    <w:rsid w:val="00AF7BB9"/>
    <w:rsid w:val="00AF7BE3"/>
    <w:rsid w:val="00AF7C24"/>
    <w:rsid w:val="00AF7CF3"/>
    <w:rsid w:val="00AF7D37"/>
    <w:rsid w:val="00AF7D9D"/>
    <w:rsid w:val="00AF7DC7"/>
    <w:rsid w:val="00AF7F68"/>
    <w:rsid w:val="00B00099"/>
    <w:rsid w:val="00B000BA"/>
    <w:rsid w:val="00B0010C"/>
    <w:rsid w:val="00B0012A"/>
    <w:rsid w:val="00B00140"/>
    <w:rsid w:val="00B00195"/>
    <w:rsid w:val="00B00265"/>
    <w:rsid w:val="00B002C1"/>
    <w:rsid w:val="00B002D7"/>
    <w:rsid w:val="00B002DF"/>
    <w:rsid w:val="00B00389"/>
    <w:rsid w:val="00B0038F"/>
    <w:rsid w:val="00B003A6"/>
    <w:rsid w:val="00B003EC"/>
    <w:rsid w:val="00B00540"/>
    <w:rsid w:val="00B00549"/>
    <w:rsid w:val="00B00562"/>
    <w:rsid w:val="00B00594"/>
    <w:rsid w:val="00B005AE"/>
    <w:rsid w:val="00B005B7"/>
    <w:rsid w:val="00B005FD"/>
    <w:rsid w:val="00B00602"/>
    <w:rsid w:val="00B00610"/>
    <w:rsid w:val="00B006DA"/>
    <w:rsid w:val="00B0076A"/>
    <w:rsid w:val="00B00795"/>
    <w:rsid w:val="00B007D0"/>
    <w:rsid w:val="00B007D4"/>
    <w:rsid w:val="00B007DC"/>
    <w:rsid w:val="00B00830"/>
    <w:rsid w:val="00B00859"/>
    <w:rsid w:val="00B008CE"/>
    <w:rsid w:val="00B00943"/>
    <w:rsid w:val="00B00976"/>
    <w:rsid w:val="00B00A21"/>
    <w:rsid w:val="00B00A40"/>
    <w:rsid w:val="00B00B13"/>
    <w:rsid w:val="00B00B1C"/>
    <w:rsid w:val="00B00B50"/>
    <w:rsid w:val="00B00B83"/>
    <w:rsid w:val="00B00BC5"/>
    <w:rsid w:val="00B00BE1"/>
    <w:rsid w:val="00B00C2E"/>
    <w:rsid w:val="00B00C62"/>
    <w:rsid w:val="00B00C69"/>
    <w:rsid w:val="00B00C8D"/>
    <w:rsid w:val="00B00CDA"/>
    <w:rsid w:val="00B00D7F"/>
    <w:rsid w:val="00B00E1C"/>
    <w:rsid w:val="00B00E7E"/>
    <w:rsid w:val="00B00EAC"/>
    <w:rsid w:val="00B00EC0"/>
    <w:rsid w:val="00B00F39"/>
    <w:rsid w:val="00B00F7B"/>
    <w:rsid w:val="00B00FBF"/>
    <w:rsid w:val="00B00FDF"/>
    <w:rsid w:val="00B00FE9"/>
    <w:rsid w:val="00B0101D"/>
    <w:rsid w:val="00B0104B"/>
    <w:rsid w:val="00B01081"/>
    <w:rsid w:val="00B010F4"/>
    <w:rsid w:val="00B01164"/>
    <w:rsid w:val="00B01261"/>
    <w:rsid w:val="00B01291"/>
    <w:rsid w:val="00B01296"/>
    <w:rsid w:val="00B01313"/>
    <w:rsid w:val="00B01333"/>
    <w:rsid w:val="00B0136D"/>
    <w:rsid w:val="00B013AC"/>
    <w:rsid w:val="00B013E7"/>
    <w:rsid w:val="00B01401"/>
    <w:rsid w:val="00B01433"/>
    <w:rsid w:val="00B01453"/>
    <w:rsid w:val="00B01535"/>
    <w:rsid w:val="00B015AC"/>
    <w:rsid w:val="00B0161F"/>
    <w:rsid w:val="00B01698"/>
    <w:rsid w:val="00B016EC"/>
    <w:rsid w:val="00B017E9"/>
    <w:rsid w:val="00B0180A"/>
    <w:rsid w:val="00B01842"/>
    <w:rsid w:val="00B01888"/>
    <w:rsid w:val="00B018A7"/>
    <w:rsid w:val="00B018B8"/>
    <w:rsid w:val="00B018B9"/>
    <w:rsid w:val="00B018CF"/>
    <w:rsid w:val="00B018E3"/>
    <w:rsid w:val="00B019A9"/>
    <w:rsid w:val="00B01A0E"/>
    <w:rsid w:val="00B01C5D"/>
    <w:rsid w:val="00B01D08"/>
    <w:rsid w:val="00B01DAF"/>
    <w:rsid w:val="00B01E15"/>
    <w:rsid w:val="00B01E3F"/>
    <w:rsid w:val="00B01EC9"/>
    <w:rsid w:val="00B02013"/>
    <w:rsid w:val="00B02034"/>
    <w:rsid w:val="00B02060"/>
    <w:rsid w:val="00B02140"/>
    <w:rsid w:val="00B0225D"/>
    <w:rsid w:val="00B022A4"/>
    <w:rsid w:val="00B0237A"/>
    <w:rsid w:val="00B023AA"/>
    <w:rsid w:val="00B024B2"/>
    <w:rsid w:val="00B024BF"/>
    <w:rsid w:val="00B024EC"/>
    <w:rsid w:val="00B02509"/>
    <w:rsid w:val="00B0250A"/>
    <w:rsid w:val="00B02516"/>
    <w:rsid w:val="00B02557"/>
    <w:rsid w:val="00B02579"/>
    <w:rsid w:val="00B025A7"/>
    <w:rsid w:val="00B026D2"/>
    <w:rsid w:val="00B027F5"/>
    <w:rsid w:val="00B02827"/>
    <w:rsid w:val="00B0285B"/>
    <w:rsid w:val="00B0288C"/>
    <w:rsid w:val="00B02890"/>
    <w:rsid w:val="00B02959"/>
    <w:rsid w:val="00B029DA"/>
    <w:rsid w:val="00B02A0E"/>
    <w:rsid w:val="00B02A3E"/>
    <w:rsid w:val="00B02A51"/>
    <w:rsid w:val="00B02A58"/>
    <w:rsid w:val="00B02A7F"/>
    <w:rsid w:val="00B02A86"/>
    <w:rsid w:val="00B02AE4"/>
    <w:rsid w:val="00B02AF0"/>
    <w:rsid w:val="00B02B23"/>
    <w:rsid w:val="00B02B38"/>
    <w:rsid w:val="00B02C52"/>
    <w:rsid w:val="00B02C91"/>
    <w:rsid w:val="00B02CD3"/>
    <w:rsid w:val="00B02D0F"/>
    <w:rsid w:val="00B02D2F"/>
    <w:rsid w:val="00B02D76"/>
    <w:rsid w:val="00B02D8F"/>
    <w:rsid w:val="00B02DCC"/>
    <w:rsid w:val="00B02DDE"/>
    <w:rsid w:val="00B02E26"/>
    <w:rsid w:val="00B02F94"/>
    <w:rsid w:val="00B02FF0"/>
    <w:rsid w:val="00B0316A"/>
    <w:rsid w:val="00B03215"/>
    <w:rsid w:val="00B03216"/>
    <w:rsid w:val="00B0328A"/>
    <w:rsid w:val="00B0332F"/>
    <w:rsid w:val="00B03362"/>
    <w:rsid w:val="00B03373"/>
    <w:rsid w:val="00B03398"/>
    <w:rsid w:val="00B0347D"/>
    <w:rsid w:val="00B034CF"/>
    <w:rsid w:val="00B0350A"/>
    <w:rsid w:val="00B0357A"/>
    <w:rsid w:val="00B03584"/>
    <w:rsid w:val="00B03682"/>
    <w:rsid w:val="00B03690"/>
    <w:rsid w:val="00B036C8"/>
    <w:rsid w:val="00B03731"/>
    <w:rsid w:val="00B03747"/>
    <w:rsid w:val="00B03833"/>
    <w:rsid w:val="00B03843"/>
    <w:rsid w:val="00B0384F"/>
    <w:rsid w:val="00B0385E"/>
    <w:rsid w:val="00B038E9"/>
    <w:rsid w:val="00B03A8A"/>
    <w:rsid w:val="00B03ACA"/>
    <w:rsid w:val="00B03B82"/>
    <w:rsid w:val="00B03B99"/>
    <w:rsid w:val="00B03BD1"/>
    <w:rsid w:val="00B03C26"/>
    <w:rsid w:val="00B03C88"/>
    <w:rsid w:val="00B03C95"/>
    <w:rsid w:val="00B03CB8"/>
    <w:rsid w:val="00B03CFA"/>
    <w:rsid w:val="00B03D22"/>
    <w:rsid w:val="00B03DD3"/>
    <w:rsid w:val="00B03E1A"/>
    <w:rsid w:val="00B03EB3"/>
    <w:rsid w:val="00B03EB6"/>
    <w:rsid w:val="00B03F15"/>
    <w:rsid w:val="00B03F8C"/>
    <w:rsid w:val="00B03FAE"/>
    <w:rsid w:val="00B03FC3"/>
    <w:rsid w:val="00B0407C"/>
    <w:rsid w:val="00B0408C"/>
    <w:rsid w:val="00B04112"/>
    <w:rsid w:val="00B04122"/>
    <w:rsid w:val="00B0414B"/>
    <w:rsid w:val="00B0414C"/>
    <w:rsid w:val="00B041DE"/>
    <w:rsid w:val="00B0422F"/>
    <w:rsid w:val="00B04234"/>
    <w:rsid w:val="00B0434C"/>
    <w:rsid w:val="00B0434D"/>
    <w:rsid w:val="00B043A2"/>
    <w:rsid w:val="00B0440F"/>
    <w:rsid w:val="00B04428"/>
    <w:rsid w:val="00B0442C"/>
    <w:rsid w:val="00B044B4"/>
    <w:rsid w:val="00B044CE"/>
    <w:rsid w:val="00B04517"/>
    <w:rsid w:val="00B0458A"/>
    <w:rsid w:val="00B045C9"/>
    <w:rsid w:val="00B04609"/>
    <w:rsid w:val="00B0469D"/>
    <w:rsid w:val="00B046B6"/>
    <w:rsid w:val="00B046C9"/>
    <w:rsid w:val="00B0470D"/>
    <w:rsid w:val="00B0472B"/>
    <w:rsid w:val="00B04802"/>
    <w:rsid w:val="00B04818"/>
    <w:rsid w:val="00B0482C"/>
    <w:rsid w:val="00B04A0A"/>
    <w:rsid w:val="00B04A79"/>
    <w:rsid w:val="00B04AA2"/>
    <w:rsid w:val="00B04AC9"/>
    <w:rsid w:val="00B04B3E"/>
    <w:rsid w:val="00B04B91"/>
    <w:rsid w:val="00B04BA2"/>
    <w:rsid w:val="00B04C26"/>
    <w:rsid w:val="00B04C3A"/>
    <w:rsid w:val="00B04C3C"/>
    <w:rsid w:val="00B04C4A"/>
    <w:rsid w:val="00B04C67"/>
    <w:rsid w:val="00B04C91"/>
    <w:rsid w:val="00B04CB1"/>
    <w:rsid w:val="00B04D14"/>
    <w:rsid w:val="00B04D36"/>
    <w:rsid w:val="00B04D68"/>
    <w:rsid w:val="00B04D88"/>
    <w:rsid w:val="00B04D8B"/>
    <w:rsid w:val="00B04DB4"/>
    <w:rsid w:val="00B04DF4"/>
    <w:rsid w:val="00B04E40"/>
    <w:rsid w:val="00B04EFE"/>
    <w:rsid w:val="00B04F74"/>
    <w:rsid w:val="00B0501E"/>
    <w:rsid w:val="00B05029"/>
    <w:rsid w:val="00B050A4"/>
    <w:rsid w:val="00B050AE"/>
    <w:rsid w:val="00B050EC"/>
    <w:rsid w:val="00B05128"/>
    <w:rsid w:val="00B05194"/>
    <w:rsid w:val="00B05377"/>
    <w:rsid w:val="00B05386"/>
    <w:rsid w:val="00B05439"/>
    <w:rsid w:val="00B0554B"/>
    <w:rsid w:val="00B055BC"/>
    <w:rsid w:val="00B0560B"/>
    <w:rsid w:val="00B05648"/>
    <w:rsid w:val="00B05654"/>
    <w:rsid w:val="00B05667"/>
    <w:rsid w:val="00B056F3"/>
    <w:rsid w:val="00B05712"/>
    <w:rsid w:val="00B0571E"/>
    <w:rsid w:val="00B057B8"/>
    <w:rsid w:val="00B057BE"/>
    <w:rsid w:val="00B057D7"/>
    <w:rsid w:val="00B057DF"/>
    <w:rsid w:val="00B0580A"/>
    <w:rsid w:val="00B058C6"/>
    <w:rsid w:val="00B058EF"/>
    <w:rsid w:val="00B05917"/>
    <w:rsid w:val="00B05920"/>
    <w:rsid w:val="00B05B41"/>
    <w:rsid w:val="00B05B57"/>
    <w:rsid w:val="00B05B6D"/>
    <w:rsid w:val="00B05B94"/>
    <w:rsid w:val="00B05BB6"/>
    <w:rsid w:val="00B05C43"/>
    <w:rsid w:val="00B05C49"/>
    <w:rsid w:val="00B05C4A"/>
    <w:rsid w:val="00B05D03"/>
    <w:rsid w:val="00B05D64"/>
    <w:rsid w:val="00B05E07"/>
    <w:rsid w:val="00B05E6F"/>
    <w:rsid w:val="00B05EA1"/>
    <w:rsid w:val="00B05F92"/>
    <w:rsid w:val="00B05FCC"/>
    <w:rsid w:val="00B06002"/>
    <w:rsid w:val="00B0600A"/>
    <w:rsid w:val="00B06024"/>
    <w:rsid w:val="00B061C6"/>
    <w:rsid w:val="00B061F3"/>
    <w:rsid w:val="00B0621E"/>
    <w:rsid w:val="00B0627A"/>
    <w:rsid w:val="00B0629B"/>
    <w:rsid w:val="00B062E3"/>
    <w:rsid w:val="00B062E5"/>
    <w:rsid w:val="00B06301"/>
    <w:rsid w:val="00B06347"/>
    <w:rsid w:val="00B06366"/>
    <w:rsid w:val="00B06380"/>
    <w:rsid w:val="00B06404"/>
    <w:rsid w:val="00B06459"/>
    <w:rsid w:val="00B0647E"/>
    <w:rsid w:val="00B0658A"/>
    <w:rsid w:val="00B065AA"/>
    <w:rsid w:val="00B06618"/>
    <w:rsid w:val="00B0663D"/>
    <w:rsid w:val="00B06649"/>
    <w:rsid w:val="00B06653"/>
    <w:rsid w:val="00B06656"/>
    <w:rsid w:val="00B06714"/>
    <w:rsid w:val="00B06745"/>
    <w:rsid w:val="00B067A6"/>
    <w:rsid w:val="00B067B9"/>
    <w:rsid w:val="00B068CB"/>
    <w:rsid w:val="00B0690D"/>
    <w:rsid w:val="00B06A3E"/>
    <w:rsid w:val="00B06A6F"/>
    <w:rsid w:val="00B06B05"/>
    <w:rsid w:val="00B06B32"/>
    <w:rsid w:val="00B06B76"/>
    <w:rsid w:val="00B06B78"/>
    <w:rsid w:val="00B06B7E"/>
    <w:rsid w:val="00B06BDB"/>
    <w:rsid w:val="00B06C26"/>
    <w:rsid w:val="00B06C36"/>
    <w:rsid w:val="00B06C3C"/>
    <w:rsid w:val="00B06C80"/>
    <w:rsid w:val="00B06D1B"/>
    <w:rsid w:val="00B06D94"/>
    <w:rsid w:val="00B06DEF"/>
    <w:rsid w:val="00B06E04"/>
    <w:rsid w:val="00B06E19"/>
    <w:rsid w:val="00B06EA2"/>
    <w:rsid w:val="00B06F02"/>
    <w:rsid w:val="00B06F16"/>
    <w:rsid w:val="00B06F2B"/>
    <w:rsid w:val="00B06F3A"/>
    <w:rsid w:val="00B06FB8"/>
    <w:rsid w:val="00B06FBF"/>
    <w:rsid w:val="00B06FC0"/>
    <w:rsid w:val="00B0704D"/>
    <w:rsid w:val="00B070E5"/>
    <w:rsid w:val="00B072B6"/>
    <w:rsid w:val="00B07365"/>
    <w:rsid w:val="00B0741C"/>
    <w:rsid w:val="00B0742A"/>
    <w:rsid w:val="00B07471"/>
    <w:rsid w:val="00B07497"/>
    <w:rsid w:val="00B074C3"/>
    <w:rsid w:val="00B07524"/>
    <w:rsid w:val="00B0759F"/>
    <w:rsid w:val="00B075DB"/>
    <w:rsid w:val="00B075E6"/>
    <w:rsid w:val="00B07676"/>
    <w:rsid w:val="00B0769C"/>
    <w:rsid w:val="00B076DD"/>
    <w:rsid w:val="00B076F1"/>
    <w:rsid w:val="00B077A7"/>
    <w:rsid w:val="00B077F3"/>
    <w:rsid w:val="00B077F6"/>
    <w:rsid w:val="00B078C6"/>
    <w:rsid w:val="00B07944"/>
    <w:rsid w:val="00B0795D"/>
    <w:rsid w:val="00B079DA"/>
    <w:rsid w:val="00B07AD1"/>
    <w:rsid w:val="00B07ADA"/>
    <w:rsid w:val="00B07AF0"/>
    <w:rsid w:val="00B07B2B"/>
    <w:rsid w:val="00B07B5A"/>
    <w:rsid w:val="00B07CCE"/>
    <w:rsid w:val="00B07CFB"/>
    <w:rsid w:val="00B07D59"/>
    <w:rsid w:val="00B07D6F"/>
    <w:rsid w:val="00B07D71"/>
    <w:rsid w:val="00B07DB3"/>
    <w:rsid w:val="00B07F13"/>
    <w:rsid w:val="00B07F61"/>
    <w:rsid w:val="00B07F78"/>
    <w:rsid w:val="00B07FA6"/>
    <w:rsid w:val="00B07FB5"/>
    <w:rsid w:val="00B10024"/>
    <w:rsid w:val="00B10030"/>
    <w:rsid w:val="00B10050"/>
    <w:rsid w:val="00B10062"/>
    <w:rsid w:val="00B1008E"/>
    <w:rsid w:val="00B100AE"/>
    <w:rsid w:val="00B10120"/>
    <w:rsid w:val="00B10130"/>
    <w:rsid w:val="00B10156"/>
    <w:rsid w:val="00B10165"/>
    <w:rsid w:val="00B101CE"/>
    <w:rsid w:val="00B101EA"/>
    <w:rsid w:val="00B10212"/>
    <w:rsid w:val="00B10274"/>
    <w:rsid w:val="00B10334"/>
    <w:rsid w:val="00B1035A"/>
    <w:rsid w:val="00B1035F"/>
    <w:rsid w:val="00B1036E"/>
    <w:rsid w:val="00B1037A"/>
    <w:rsid w:val="00B10384"/>
    <w:rsid w:val="00B103D0"/>
    <w:rsid w:val="00B10413"/>
    <w:rsid w:val="00B1041B"/>
    <w:rsid w:val="00B10603"/>
    <w:rsid w:val="00B1064A"/>
    <w:rsid w:val="00B10675"/>
    <w:rsid w:val="00B106AB"/>
    <w:rsid w:val="00B106C9"/>
    <w:rsid w:val="00B106E3"/>
    <w:rsid w:val="00B1081A"/>
    <w:rsid w:val="00B1083B"/>
    <w:rsid w:val="00B10905"/>
    <w:rsid w:val="00B1095A"/>
    <w:rsid w:val="00B109F8"/>
    <w:rsid w:val="00B10B16"/>
    <w:rsid w:val="00B10B6E"/>
    <w:rsid w:val="00B10BD6"/>
    <w:rsid w:val="00B10D01"/>
    <w:rsid w:val="00B10DD5"/>
    <w:rsid w:val="00B10ED9"/>
    <w:rsid w:val="00B10F90"/>
    <w:rsid w:val="00B10FE6"/>
    <w:rsid w:val="00B10FEE"/>
    <w:rsid w:val="00B1107B"/>
    <w:rsid w:val="00B11128"/>
    <w:rsid w:val="00B11135"/>
    <w:rsid w:val="00B1115E"/>
    <w:rsid w:val="00B11164"/>
    <w:rsid w:val="00B1118A"/>
    <w:rsid w:val="00B111B9"/>
    <w:rsid w:val="00B111DB"/>
    <w:rsid w:val="00B111F4"/>
    <w:rsid w:val="00B11200"/>
    <w:rsid w:val="00B1122D"/>
    <w:rsid w:val="00B1125D"/>
    <w:rsid w:val="00B11273"/>
    <w:rsid w:val="00B11279"/>
    <w:rsid w:val="00B112CE"/>
    <w:rsid w:val="00B1134B"/>
    <w:rsid w:val="00B1135F"/>
    <w:rsid w:val="00B113A6"/>
    <w:rsid w:val="00B11496"/>
    <w:rsid w:val="00B11564"/>
    <w:rsid w:val="00B11571"/>
    <w:rsid w:val="00B115DB"/>
    <w:rsid w:val="00B115DD"/>
    <w:rsid w:val="00B11680"/>
    <w:rsid w:val="00B116A1"/>
    <w:rsid w:val="00B116E6"/>
    <w:rsid w:val="00B11730"/>
    <w:rsid w:val="00B117CD"/>
    <w:rsid w:val="00B117E2"/>
    <w:rsid w:val="00B117EA"/>
    <w:rsid w:val="00B11894"/>
    <w:rsid w:val="00B118C0"/>
    <w:rsid w:val="00B118FE"/>
    <w:rsid w:val="00B119E5"/>
    <w:rsid w:val="00B11A17"/>
    <w:rsid w:val="00B11A26"/>
    <w:rsid w:val="00B11A9F"/>
    <w:rsid w:val="00B11AB0"/>
    <w:rsid w:val="00B11ACA"/>
    <w:rsid w:val="00B11B4E"/>
    <w:rsid w:val="00B11C04"/>
    <w:rsid w:val="00B11C65"/>
    <w:rsid w:val="00B11D3E"/>
    <w:rsid w:val="00B11D58"/>
    <w:rsid w:val="00B11D72"/>
    <w:rsid w:val="00B11D80"/>
    <w:rsid w:val="00B11E31"/>
    <w:rsid w:val="00B11F07"/>
    <w:rsid w:val="00B11F49"/>
    <w:rsid w:val="00B11F4F"/>
    <w:rsid w:val="00B11F61"/>
    <w:rsid w:val="00B11F72"/>
    <w:rsid w:val="00B12027"/>
    <w:rsid w:val="00B12061"/>
    <w:rsid w:val="00B120A4"/>
    <w:rsid w:val="00B120B7"/>
    <w:rsid w:val="00B12130"/>
    <w:rsid w:val="00B1217C"/>
    <w:rsid w:val="00B121EE"/>
    <w:rsid w:val="00B121F9"/>
    <w:rsid w:val="00B121FB"/>
    <w:rsid w:val="00B12280"/>
    <w:rsid w:val="00B122EA"/>
    <w:rsid w:val="00B122EB"/>
    <w:rsid w:val="00B12360"/>
    <w:rsid w:val="00B12375"/>
    <w:rsid w:val="00B123BA"/>
    <w:rsid w:val="00B123D6"/>
    <w:rsid w:val="00B12424"/>
    <w:rsid w:val="00B1244F"/>
    <w:rsid w:val="00B124B4"/>
    <w:rsid w:val="00B12514"/>
    <w:rsid w:val="00B1255B"/>
    <w:rsid w:val="00B12579"/>
    <w:rsid w:val="00B125EA"/>
    <w:rsid w:val="00B12615"/>
    <w:rsid w:val="00B1268E"/>
    <w:rsid w:val="00B12696"/>
    <w:rsid w:val="00B126A9"/>
    <w:rsid w:val="00B12733"/>
    <w:rsid w:val="00B12786"/>
    <w:rsid w:val="00B12810"/>
    <w:rsid w:val="00B12856"/>
    <w:rsid w:val="00B128AB"/>
    <w:rsid w:val="00B12901"/>
    <w:rsid w:val="00B12923"/>
    <w:rsid w:val="00B129C5"/>
    <w:rsid w:val="00B129E3"/>
    <w:rsid w:val="00B12B00"/>
    <w:rsid w:val="00B12B29"/>
    <w:rsid w:val="00B12B34"/>
    <w:rsid w:val="00B12B78"/>
    <w:rsid w:val="00B12B80"/>
    <w:rsid w:val="00B12BAB"/>
    <w:rsid w:val="00B12C0C"/>
    <w:rsid w:val="00B12C23"/>
    <w:rsid w:val="00B12C6D"/>
    <w:rsid w:val="00B12CB3"/>
    <w:rsid w:val="00B12D11"/>
    <w:rsid w:val="00B12D7C"/>
    <w:rsid w:val="00B12D9E"/>
    <w:rsid w:val="00B12DDE"/>
    <w:rsid w:val="00B12EB9"/>
    <w:rsid w:val="00B12ECE"/>
    <w:rsid w:val="00B12F40"/>
    <w:rsid w:val="00B12F44"/>
    <w:rsid w:val="00B12FB5"/>
    <w:rsid w:val="00B13027"/>
    <w:rsid w:val="00B1308C"/>
    <w:rsid w:val="00B13092"/>
    <w:rsid w:val="00B130AE"/>
    <w:rsid w:val="00B130B9"/>
    <w:rsid w:val="00B13103"/>
    <w:rsid w:val="00B13145"/>
    <w:rsid w:val="00B13182"/>
    <w:rsid w:val="00B131C6"/>
    <w:rsid w:val="00B131CB"/>
    <w:rsid w:val="00B13206"/>
    <w:rsid w:val="00B13208"/>
    <w:rsid w:val="00B13267"/>
    <w:rsid w:val="00B1328A"/>
    <w:rsid w:val="00B132EA"/>
    <w:rsid w:val="00B13368"/>
    <w:rsid w:val="00B133EB"/>
    <w:rsid w:val="00B133F6"/>
    <w:rsid w:val="00B13443"/>
    <w:rsid w:val="00B134B5"/>
    <w:rsid w:val="00B13524"/>
    <w:rsid w:val="00B13578"/>
    <w:rsid w:val="00B13680"/>
    <w:rsid w:val="00B137CF"/>
    <w:rsid w:val="00B137E7"/>
    <w:rsid w:val="00B13816"/>
    <w:rsid w:val="00B1385E"/>
    <w:rsid w:val="00B13924"/>
    <w:rsid w:val="00B13928"/>
    <w:rsid w:val="00B1393F"/>
    <w:rsid w:val="00B139A2"/>
    <w:rsid w:val="00B139A6"/>
    <w:rsid w:val="00B139AA"/>
    <w:rsid w:val="00B139C9"/>
    <w:rsid w:val="00B139D3"/>
    <w:rsid w:val="00B13A04"/>
    <w:rsid w:val="00B13AFC"/>
    <w:rsid w:val="00B13B3E"/>
    <w:rsid w:val="00B13B61"/>
    <w:rsid w:val="00B13BC9"/>
    <w:rsid w:val="00B13C78"/>
    <w:rsid w:val="00B13C9A"/>
    <w:rsid w:val="00B13D41"/>
    <w:rsid w:val="00B13D4E"/>
    <w:rsid w:val="00B13E19"/>
    <w:rsid w:val="00B13F07"/>
    <w:rsid w:val="00B13F44"/>
    <w:rsid w:val="00B140A0"/>
    <w:rsid w:val="00B140FE"/>
    <w:rsid w:val="00B14116"/>
    <w:rsid w:val="00B1411B"/>
    <w:rsid w:val="00B1417C"/>
    <w:rsid w:val="00B1417F"/>
    <w:rsid w:val="00B141E0"/>
    <w:rsid w:val="00B14220"/>
    <w:rsid w:val="00B14223"/>
    <w:rsid w:val="00B14278"/>
    <w:rsid w:val="00B142B3"/>
    <w:rsid w:val="00B142E0"/>
    <w:rsid w:val="00B1439D"/>
    <w:rsid w:val="00B143EB"/>
    <w:rsid w:val="00B14426"/>
    <w:rsid w:val="00B14538"/>
    <w:rsid w:val="00B14556"/>
    <w:rsid w:val="00B14571"/>
    <w:rsid w:val="00B14638"/>
    <w:rsid w:val="00B1469B"/>
    <w:rsid w:val="00B1469E"/>
    <w:rsid w:val="00B1474D"/>
    <w:rsid w:val="00B1475C"/>
    <w:rsid w:val="00B1476F"/>
    <w:rsid w:val="00B14787"/>
    <w:rsid w:val="00B14789"/>
    <w:rsid w:val="00B147DF"/>
    <w:rsid w:val="00B1483F"/>
    <w:rsid w:val="00B1486A"/>
    <w:rsid w:val="00B1488F"/>
    <w:rsid w:val="00B148A2"/>
    <w:rsid w:val="00B14937"/>
    <w:rsid w:val="00B14971"/>
    <w:rsid w:val="00B149AD"/>
    <w:rsid w:val="00B14A20"/>
    <w:rsid w:val="00B14BCC"/>
    <w:rsid w:val="00B14C4F"/>
    <w:rsid w:val="00B14C5B"/>
    <w:rsid w:val="00B14C64"/>
    <w:rsid w:val="00B14C98"/>
    <w:rsid w:val="00B14CDE"/>
    <w:rsid w:val="00B14D04"/>
    <w:rsid w:val="00B14D18"/>
    <w:rsid w:val="00B14D28"/>
    <w:rsid w:val="00B14D3D"/>
    <w:rsid w:val="00B14D74"/>
    <w:rsid w:val="00B14E0A"/>
    <w:rsid w:val="00B14E16"/>
    <w:rsid w:val="00B14F2C"/>
    <w:rsid w:val="00B14FAA"/>
    <w:rsid w:val="00B14FBD"/>
    <w:rsid w:val="00B1501D"/>
    <w:rsid w:val="00B15053"/>
    <w:rsid w:val="00B1505B"/>
    <w:rsid w:val="00B15074"/>
    <w:rsid w:val="00B150A4"/>
    <w:rsid w:val="00B150F8"/>
    <w:rsid w:val="00B1511C"/>
    <w:rsid w:val="00B1514F"/>
    <w:rsid w:val="00B1521E"/>
    <w:rsid w:val="00B15230"/>
    <w:rsid w:val="00B15232"/>
    <w:rsid w:val="00B15246"/>
    <w:rsid w:val="00B15299"/>
    <w:rsid w:val="00B152A7"/>
    <w:rsid w:val="00B152BA"/>
    <w:rsid w:val="00B152C6"/>
    <w:rsid w:val="00B15315"/>
    <w:rsid w:val="00B15366"/>
    <w:rsid w:val="00B15376"/>
    <w:rsid w:val="00B153EC"/>
    <w:rsid w:val="00B15410"/>
    <w:rsid w:val="00B15415"/>
    <w:rsid w:val="00B15473"/>
    <w:rsid w:val="00B154B8"/>
    <w:rsid w:val="00B156AA"/>
    <w:rsid w:val="00B15720"/>
    <w:rsid w:val="00B1578C"/>
    <w:rsid w:val="00B1588E"/>
    <w:rsid w:val="00B158FB"/>
    <w:rsid w:val="00B158FF"/>
    <w:rsid w:val="00B1594C"/>
    <w:rsid w:val="00B15964"/>
    <w:rsid w:val="00B159CF"/>
    <w:rsid w:val="00B15A98"/>
    <w:rsid w:val="00B15AAE"/>
    <w:rsid w:val="00B15AE0"/>
    <w:rsid w:val="00B15AE3"/>
    <w:rsid w:val="00B15AE9"/>
    <w:rsid w:val="00B15AF1"/>
    <w:rsid w:val="00B15B44"/>
    <w:rsid w:val="00B15B49"/>
    <w:rsid w:val="00B15B6F"/>
    <w:rsid w:val="00B15B8A"/>
    <w:rsid w:val="00B15B97"/>
    <w:rsid w:val="00B15C0A"/>
    <w:rsid w:val="00B15C39"/>
    <w:rsid w:val="00B15CF3"/>
    <w:rsid w:val="00B15D07"/>
    <w:rsid w:val="00B15D11"/>
    <w:rsid w:val="00B15D27"/>
    <w:rsid w:val="00B15D33"/>
    <w:rsid w:val="00B15E27"/>
    <w:rsid w:val="00B15E32"/>
    <w:rsid w:val="00B15E7B"/>
    <w:rsid w:val="00B15E9D"/>
    <w:rsid w:val="00B15ED4"/>
    <w:rsid w:val="00B15FA2"/>
    <w:rsid w:val="00B15FD4"/>
    <w:rsid w:val="00B16015"/>
    <w:rsid w:val="00B1608C"/>
    <w:rsid w:val="00B160F3"/>
    <w:rsid w:val="00B1612D"/>
    <w:rsid w:val="00B16139"/>
    <w:rsid w:val="00B16181"/>
    <w:rsid w:val="00B161B3"/>
    <w:rsid w:val="00B16254"/>
    <w:rsid w:val="00B16290"/>
    <w:rsid w:val="00B162AB"/>
    <w:rsid w:val="00B162D1"/>
    <w:rsid w:val="00B16343"/>
    <w:rsid w:val="00B16348"/>
    <w:rsid w:val="00B1643E"/>
    <w:rsid w:val="00B1651A"/>
    <w:rsid w:val="00B16532"/>
    <w:rsid w:val="00B16541"/>
    <w:rsid w:val="00B16580"/>
    <w:rsid w:val="00B165EE"/>
    <w:rsid w:val="00B1660A"/>
    <w:rsid w:val="00B16636"/>
    <w:rsid w:val="00B1669A"/>
    <w:rsid w:val="00B166FD"/>
    <w:rsid w:val="00B167AB"/>
    <w:rsid w:val="00B1680D"/>
    <w:rsid w:val="00B16845"/>
    <w:rsid w:val="00B16854"/>
    <w:rsid w:val="00B16869"/>
    <w:rsid w:val="00B16901"/>
    <w:rsid w:val="00B16950"/>
    <w:rsid w:val="00B16983"/>
    <w:rsid w:val="00B169BE"/>
    <w:rsid w:val="00B16A2E"/>
    <w:rsid w:val="00B16A4D"/>
    <w:rsid w:val="00B16A57"/>
    <w:rsid w:val="00B16A6F"/>
    <w:rsid w:val="00B16A8C"/>
    <w:rsid w:val="00B16AE4"/>
    <w:rsid w:val="00B16B4E"/>
    <w:rsid w:val="00B16B74"/>
    <w:rsid w:val="00B16B77"/>
    <w:rsid w:val="00B16B88"/>
    <w:rsid w:val="00B16C69"/>
    <w:rsid w:val="00B16C8D"/>
    <w:rsid w:val="00B16CAD"/>
    <w:rsid w:val="00B16D94"/>
    <w:rsid w:val="00B16DD4"/>
    <w:rsid w:val="00B16E5C"/>
    <w:rsid w:val="00B16EB3"/>
    <w:rsid w:val="00B16EBC"/>
    <w:rsid w:val="00B16F41"/>
    <w:rsid w:val="00B16F6C"/>
    <w:rsid w:val="00B17022"/>
    <w:rsid w:val="00B17033"/>
    <w:rsid w:val="00B1710D"/>
    <w:rsid w:val="00B17112"/>
    <w:rsid w:val="00B1712B"/>
    <w:rsid w:val="00B17131"/>
    <w:rsid w:val="00B17178"/>
    <w:rsid w:val="00B171B7"/>
    <w:rsid w:val="00B171BF"/>
    <w:rsid w:val="00B171DC"/>
    <w:rsid w:val="00B17217"/>
    <w:rsid w:val="00B17288"/>
    <w:rsid w:val="00B172F7"/>
    <w:rsid w:val="00B17355"/>
    <w:rsid w:val="00B174DB"/>
    <w:rsid w:val="00B17531"/>
    <w:rsid w:val="00B17595"/>
    <w:rsid w:val="00B175C8"/>
    <w:rsid w:val="00B175EF"/>
    <w:rsid w:val="00B17684"/>
    <w:rsid w:val="00B17697"/>
    <w:rsid w:val="00B176EB"/>
    <w:rsid w:val="00B17730"/>
    <w:rsid w:val="00B177E2"/>
    <w:rsid w:val="00B177ED"/>
    <w:rsid w:val="00B17893"/>
    <w:rsid w:val="00B178A7"/>
    <w:rsid w:val="00B178AF"/>
    <w:rsid w:val="00B178B2"/>
    <w:rsid w:val="00B178D6"/>
    <w:rsid w:val="00B178DB"/>
    <w:rsid w:val="00B17904"/>
    <w:rsid w:val="00B17915"/>
    <w:rsid w:val="00B17920"/>
    <w:rsid w:val="00B179FA"/>
    <w:rsid w:val="00B17A0C"/>
    <w:rsid w:val="00B17A0D"/>
    <w:rsid w:val="00B17A99"/>
    <w:rsid w:val="00B17AF8"/>
    <w:rsid w:val="00B17B19"/>
    <w:rsid w:val="00B17BAA"/>
    <w:rsid w:val="00B17BF8"/>
    <w:rsid w:val="00B17C10"/>
    <w:rsid w:val="00B17D02"/>
    <w:rsid w:val="00B17D07"/>
    <w:rsid w:val="00B17D2C"/>
    <w:rsid w:val="00B17DEF"/>
    <w:rsid w:val="00B17E04"/>
    <w:rsid w:val="00B17EAA"/>
    <w:rsid w:val="00B17EBC"/>
    <w:rsid w:val="00B17EFE"/>
    <w:rsid w:val="00B17F39"/>
    <w:rsid w:val="00B17F84"/>
    <w:rsid w:val="00B20019"/>
    <w:rsid w:val="00B2007F"/>
    <w:rsid w:val="00B200A6"/>
    <w:rsid w:val="00B200BE"/>
    <w:rsid w:val="00B20117"/>
    <w:rsid w:val="00B20122"/>
    <w:rsid w:val="00B20151"/>
    <w:rsid w:val="00B20166"/>
    <w:rsid w:val="00B2016C"/>
    <w:rsid w:val="00B201AF"/>
    <w:rsid w:val="00B201E3"/>
    <w:rsid w:val="00B2028D"/>
    <w:rsid w:val="00B20291"/>
    <w:rsid w:val="00B202DE"/>
    <w:rsid w:val="00B202FC"/>
    <w:rsid w:val="00B20314"/>
    <w:rsid w:val="00B20391"/>
    <w:rsid w:val="00B203B6"/>
    <w:rsid w:val="00B203C7"/>
    <w:rsid w:val="00B203F0"/>
    <w:rsid w:val="00B2042F"/>
    <w:rsid w:val="00B2049A"/>
    <w:rsid w:val="00B204DC"/>
    <w:rsid w:val="00B20507"/>
    <w:rsid w:val="00B20512"/>
    <w:rsid w:val="00B2055F"/>
    <w:rsid w:val="00B205CB"/>
    <w:rsid w:val="00B205D1"/>
    <w:rsid w:val="00B2062B"/>
    <w:rsid w:val="00B2074C"/>
    <w:rsid w:val="00B2075E"/>
    <w:rsid w:val="00B2081D"/>
    <w:rsid w:val="00B20842"/>
    <w:rsid w:val="00B2085F"/>
    <w:rsid w:val="00B20897"/>
    <w:rsid w:val="00B208E9"/>
    <w:rsid w:val="00B20910"/>
    <w:rsid w:val="00B20969"/>
    <w:rsid w:val="00B209BA"/>
    <w:rsid w:val="00B20A89"/>
    <w:rsid w:val="00B20AE1"/>
    <w:rsid w:val="00B20C1B"/>
    <w:rsid w:val="00B20C7F"/>
    <w:rsid w:val="00B20CBA"/>
    <w:rsid w:val="00B20CBE"/>
    <w:rsid w:val="00B20D1B"/>
    <w:rsid w:val="00B20D24"/>
    <w:rsid w:val="00B20D5D"/>
    <w:rsid w:val="00B20D8C"/>
    <w:rsid w:val="00B20E71"/>
    <w:rsid w:val="00B20FD4"/>
    <w:rsid w:val="00B210ED"/>
    <w:rsid w:val="00B2110F"/>
    <w:rsid w:val="00B21183"/>
    <w:rsid w:val="00B211BB"/>
    <w:rsid w:val="00B211C4"/>
    <w:rsid w:val="00B21262"/>
    <w:rsid w:val="00B212B2"/>
    <w:rsid w:val="00B212B3"/>
    <w:rsid w:val="00B212C2"/>
    <w:rsid w:val="00B212EC"/>
    <w:rsid w:val="00B21320"/>
    <w:rsid w:val="00B21344"/>
    <w:rsid w:val="00B21347"/>
    <w:rsid w:val="00B2134F"/>
    <w:rsid w:val="00B21354"/>
    <w:rsid w:val="00B21385"/>
    <w:rsid w:val="00B213BD"/>
    <w:rsid w:val="00B21435"/>
    <w:rsid w:val="00B2143F"/>
    <w:rsid w:val="00B2147C"/>
    <w:rsid w:val="00B21489"/>
    <w:rsid w:val="00B2149A"/>
    <w:rsid w:val="00B214A6"/>
    <w:rsid w:val="00B214C9"/>
    <w:rsid w:val="00B21531"/>
    <w:rsid w:val="00B2156C"/>
    <w:rsid w:val="00B2157F"/>
    <w:rsid w:val="00B215AA"/>
    <w:rsid w:val="00B215C6"/>
    <w:rsid w:val="00B215D0"/>
    <w:rsid w:val="00B21626"/>
    <w:rsid w:val="00B2164B"/>
    <w:rsid w:val="00B216B9"/>
    <w:rsid w:val="00B2177B"/>
    <w:rsid w:val="00B2183F"/>
    <w:rsid w:val="00B218D3"/>
    <w:rsid w:val="00B2192D"/>
    <w:rsid w:val="00B2196D"/>
    <w:rsid w:val="00B219EB"/>
    <w:rsid w:val="00B21A74"/>
    <w:rsid w:val="00B21A7A"/>
    <w:rsid w:val="00B21ABA"/>
    <w:rsid w:val="00B21AC0"/>
    <w:rsid w:val="00B21B33"/>
    <w:rsid w:val="00B21B69"/>
    <w:rsid w:val="00B21B99"/>
    <w:rsid w:val="00B21C33"/>
    <w:rsid w:val="00B21C7A"/>
    <w:rsid w:val="00B21C9F"/>
    <w:rsid w:val="00B21CDF"/>
    <w:rsid w:val="00B21CFB"/>
    <w:rsid w:val="00B21D26"/>
    <w:rsid w:val="00B21DC2"/>
    <w:rsid w:val="00B21DC5"/>
    <w:rsid w:val="00B21E25"/>
    <w:rsid w:val="00B21ED1"/>
    <w:rsid w:val="00B21EE8"/>
    <w:rsid w:val="00B21FBD"/>
    <w:rsid w:val="00B21FD6"/>
    <w:rsid w:val="00B21FE9"/>
    <w:rsid w:val="00B21FF1"/>
    <w:rsid w:val="00B22028"/>
    <w:rsid w:val="00B22156"/>
    <w:rsid w:val="00B2217B"/>
    <w:rsid w:val="00B221C3"/>
    <w:rsid w:val="00B2222C"/>
    <w:rsid w:val="00B222FE"/>
    <w:rsid w:val="00B223A5"/>
    <w:rsid w:val="00B223C8"/>
    <w:rsid w:val="00B223CA"/>
    <w:rsid w:val="00B223E4"/>
    <w:rsid w:val="00B22481"/>
    <w:rsid w:val="00B2249B"/>
    <w:rsid w:val="00B224D1"/>
    <w:rsid w:val="00B2254F"/>
    <w:rsid w:val="00B2259B"/>
    <w:rsid w:val="00B225C3"/>
    <w:rsid w:val="00B22647"/>
    <w:rsid w:val="00B226A6"/>
    <w:rsid w:val="00B22729"/>
    <w:rsid w:val="00B227BC"/>
    <w:rsid w:val="00B227DE"/>
    <w:rsid w:val="00B227F8"/>
    <w:rsid w:val="00B22862"/>
    <w:rsid w:val="00B22865"/>
    <w:rsid w:val="00B228C1"/>
    <w:rsid w:val="00B228E8"/>
    <w:rsid w:val="00B22903"/>
    <w:rsid w:val="00B22910"/>
    <w:rsid w:val="00B2291F"/>
    <w:rsid w:val="00B2295B"/>
    <w:rsid w:val="00B22A06"/>
    <w:rsid w:val="00B22A7D"/>
    <w:rsid w:val="00B22AB5"/>
    <w:rsid w:val="00B22AED"/>
    <w:rsid w:val="00B22B5B"/>
    <w:rsid w:val="00B22BD8"/>
    <w:rsid w:val="00B22BDD"/>
    <w:rsid w:val="00B22CA2"/>
    <w:rsid w:val="00B22CCE"/>
    <w:rsid w:val="00B22DA4"/>
    <w:rsid w:val="00B22DC3"/>
    <w:rsid w:val="00B22DC6"/>
    <w:rsid w:val="00B22DE9"/>
    <w:rsid w:val="00B22E20"/>
    <w:rsid w:val="00B22E22"/>
    <w:rsid w:val="00B22EB1"/>
    <w:rsid w:val="00B22F3A"/>
    <w:rsid w:val="00B22F9D"/>
    <w:rsid w:val="00B23020"/>
    <w:rsid w:val="00B23052"/>
    <w:rsid w:val="00B23072"/>
    <w:rsid w:val="00B2307F"/>
    <w:rsid w:val="00B23089"/>
    <w:rsid w:val="00B230B2"/>
    <w:rsid w:val="00B230E6"/>
    <w:rsid w:val="00B23226"/>
    <w:rsid w:val="00B23229"/>
    <w:rsid w:val="00B23296"/>
    <w:rsid w:val="00B232A8"/>
    <w:rsid w:val="00B23370"/>
    <w:rsid w:val="00B2340E"/>
    <w:rsid w:val="00B23477"/>
    <w:rsid w:val="00B234D4"/>
    <w:rsid w:val="00B234EF"/>
    <w:rsid w:val="00B234F4"/>
    <w:rsid w:val="00B23551"/>
    <w:rsid w:val="00B23626"/>
    <w:rsid w:val="00B23724"/>
    <w:rsid w:val="00B2372B"/>
    <w:rsid w:val="00B2375A"/>
    <w:rsid w:val="00B237A1"/>
    <w:rsid w:val="00B23855"/>
    <w:rsid w:val="00B23875"/>
    <w:rsid w:val="00B2389F"/>
    <w:rsid w:val="00B23964"/>
    <w:rsid w:val="00B23A0C"/>
    <w:rsid w:val="00B23A16"/>
    <w:rsid w:val="00B23A1B"/>
    <w:rsid w:val="00B23A29"/>
    <w:rsid w:val="00B23A34"/>
    <w:rsid w:val="00B23ABB"/>
    <w:rsid w:val="00B23AEB"/>
    <w:rsid w:val="00B23B49"/>
    <w:rsid w:val="00B23B57"/>
    <w:rsid w:val="00B23BDF"/>
    <w:rsid w:val="00B23BF1"/>
    <w:rsid w:val="00B23C0E"/>
    <w:rsid w:val="00B23C12"/>
    <w:rsid w:val="00B23CA6"/>
    <w:rsid w:val="00B23D49"/>
    <w:rsid w:val="00B23DA5"/>
    <w:rsid w:val="00B23E73"/>
    <w:rsid w:val="00B23E84"/>
    <w:rsid w:val="00B23ECA"/>
    <w:rsid w:val="00B23EFD"/>
    <w:rsid w:val="00B23F2B"/>
    <w:rsid w:val="00B23F64"/>
    <w:rsid w:val="00B23F91"/>
    <w:rsid w:val="00B23FBE"/>
    <w:rsid w:val="00B23FDC"/>
    <w:rsid w:val="00B23FEF"/>
    <w:rsid w:val="00B23FFA"/>
    <w:rsid w:val="00B240D2"/>
    <w:rsid w:val="00B240DA"/>
    <w:rsid w:val="00B24103"/>
    <w:rsid w:val="00B242B0"/>
    <w:rsid w:val="00B242C0"/>
    <w:rsid w:val="00B24314"/>
    <w:rsid w:val="00B2433A"/>
    <w:rsid w:val="00B24431"/>
    <w:rsid w:val="00B2443E"/>
    <w:rsid w:val="00B244C8"/>
    <w:rsid w:val="00B245E5"/>
    <w:rsid w:val="00B2465A"/>
    <w:rsid w:val="00B24674"/>
    <w:rsid w:val="00B2468C"/>
    <w:rsid w:val="00B246C0"/>
    <w:rsid w:val="00B247D1"/>
    <w:rsid w:val="00B24812"/>
    <w:rsid w:val="00B24820"/>
    <w:rsid w:val="00B24830"/>
    <w:rsid w:val="00B2490A"/>
    <w:rsid w:val="00B24919"/>
    <w:rsid w:val="00B24994"/>
    <w:rsid w:val="00B24A3C"/>
    <w:rsid w:val="00B24A50"/>
    <w:rsid w:val="00B24A52"/>
    <w:rsid w:val="00B24A5A"/>
    <w:rsid w:val="00B24ACD"/>
    <w:rsid w:val="00B24ACE"/>
    <w:rsid w:val="00B24AE3"/>
    <w:rsid w:val="00B24B71"/>
    <w:rsid w:val="00B24CCB"/>
    <w:rsid w:val="00B24D77"/>
    <w:rsid w:val="00B24D79"/>
    <w:rsid w:val="00B24D83"/>
    <w:rsid w:val="00B24D96"/>
    <w:rsid w:val="00B24D99"/>
    <w:rsid w:val="00B24DFE"/>
    <w:rsid w:val="00B24E21"/>
    <w:rsid w:val="00B24E27"/>
    <w:rsid w:val="00B24E7E"/>
    <w:rsid w:val="00B24E8F"/>
    <w:rsid w:val="00B24EDD"/>
    <w:rsid w:val="00B24F27"/>
    <w:rsid w:val="00B24F52"/>
    <w:rsid w:val="00B24F8E"/>
    <w:rsid w:val="00B24FAF"/>
    <w:rsid w:val="00B24FFA"/>
    <w:rsid w:val="00B25049"/>
    <w:rsid w:val="00B2504D"/>
    <w:rsid w:val="00B250A2"/>
    <w:rsid w:val="00B250D7"/>
    <w:rsid w:val="00B2510A"/>
    <w:rsid w:val="00B25137"/>
    <w:rsid w:val="00B25162"/>
    <w:rsid w:val="00B25199"/>
    <w:rsid w:val="00B251B5"/>
    <w:rsid w:val="00B25295"/>
    <w:rsid w:val="00B2532F"/>
    <w:rsid w:val="00B25395"/>
    <w:rsid w:val="00B253B9"/>
    <w:rsid w:val="00B25494"/>
    <w:rsid w:val="00B25698"/>
    <w:rsid w:val="00B2573F"/>
    <w:rsid w:val="00B2585E"/>
    <w:rsid w:val="00B25983"/>
    <w:rsid w:val="00B25A1D"/>
    <w:rsid w:val="00B25A3F"/>
    <w:rsid w:val="00B25A60"/>
    <w:rsid w:val="00B25A61"/>
    <w:rsid w:val="00B25AE9"/>
    <w:rsid w:val="00B25B04"/>
    <w:rsid w:val="00B25B26"/>
    <w:rsid w:val="00B25B3A"/>
    <w:rsid w:val="00B25B3D"/>
    <w:rsid w:val="00B25BB5"/>
    <w:rsid w:val="00B25C11"/>
    <w:rsid w:val="00B25C2E"/>
    <w:rsid w:val="00B25C32"/>
    <w:rsid w:val="00B25C7D"/>
    <w:rsid w:val="00B25CAF"/>
    <w:rsid w:val="00B25D0C"/>
    <w:rsid w:val="00B25D2D"/>
    <w:rsid w:val="00B25D49"/>
    <w:rsid w:val="00B25E4C"/>
    <w:rsid w:val="00B25E58"/>
    <w:rsid w:val="00B25E76"/>
    <w:rsid w:val="00B25E90"/>
    <w:rsid w:val="00B25F47"/>
    <w:rsid w:val="00B25F75"/>
    <w:rsid w:val="00B26090"/>
    <w:rsid w:val="00B260D5"/>
    <w:rsid w:val="00B261FD"/>
    <w:rsid w:val="00B26215"/>
    <w:rsid w:val="00B2625F"/>
    <w:rsid w:val="00B262BF"/>
    <w:rsid w:val="00B262E2"/>
    <w:rsid w:val="00B262ED"/>
    <w:rsid w:val="00B2631F"/>
    <w:rsid w:val="00B26345"/>
    <w:rsid w:val="00B2641A"/>
    <w:rsid w:val="00B26611"/>
    <w:rsid w:val="00B2664B"/>
    <w:rsid w:val="00B2666D"/>
    <w:rsid w:val="00B2672B"/>
    <w:rsid w:val="00B267DB"/>
    <w:rsid w:val="00B2680A"/>
    <w:rsid w:val="00B26871"/>
    <w:rsid w:val="00B26875"/>
    <w:rsid w:val="00B26877"/>
    <w:rsid w:val="00B26891"/>
    <w:rsid w:val="00B268A1"/>
    <w:rsid w:val="00B268F5"/>
    <w:rsid w:val="00B2690D"/>
    <w:rsid w:val="00B269F0"/>
    <w:rsid w:val="00B269FF"/>
    <w:rsid w:val="00B26A7C"/>
    <w:rsid w:val="00B26AF6"/>
    <w:rsid w:val="00B26C18"/>
    <w:rsid w:val="00B26CF3"/>
    <w:rsid w:val="00B26CFD"/>
    <w:rsid w:val="00B26D96"/>
    <w:rsid w:val="00B26DDE"/>
    <w:rsid w:val="00B26EA6"/>
    <w:rsid w:val="00B26FFB"/>
    <w:rsid w:val="00B27044"/>
    <w:rsid w:val="00B27046"/>
    <w:rsid w:val="00B2709B"/>
    <w:rsid w:val="00B27106"/>
    <w:rsid w:val="00B27128"/>
    <w:rsid w:val="00B27174"/>
    <w:rsid w:val="00B271A1"/>
    <w:rsid w:val="00B271E2"/>
    <w:rsid w:val="00B27256"/>
    <w:rsid w:val="00B272E2"/>
    <w:rsid w:val="00B2734F"/>
    <w:rsid w:val="00B27367"/>
    <w:rsid w:val="00B273C4"/>
    <w:rsid w:val="00B273EC"/>
    <w:rsid w:val="00B27448"/>
    <w:rsid w:val="00B27459"/>
    <w:rsid w:val="00B2749E"/>
    <w:rsid w:val="00B27528"/>
    <w:rsid w:val="00B27534"/>
    <w:rsid w:val="00B275BD"/>
    <w:rsid w:val="00B275DF"/>
    <w:rsid w:val="00B27602"/>
    <w:rsid w:val="00B27635"/>
    <w:rsid w:val="00B2779C"/>
    <w:rsid w:val="00B277E4"/>
    <w:rsid w:val="00B277E6"/>
    <w:rsid w:val="00B277F3"/>
    <w:rsid w:val="00B27865"/>
    <w:rsid w:val="00B27870"/>
    <w:rsid w:val="00B2793F"/>
    <w:rsid w:val="00B2795B"/>
    <w:rsid w:val="00B2796E"/>
    <w:rsid w:val="00B27975"/>
    <w:rsid w:val="00B279A5"/>
    <w:rsid w:val="00B279BD"/>
    <w:rsid w:val="00B279C4"/>
    <w:rsid w:val="00B27A33"/>
    <w:rsid w:val="00B27AF4"/>
    <w:rsid w:val="00B27B07"/>
    <w:rsid w:val="00B27B37"/>
    <w:rsid w:val="00B27B51"/>
    <w:rsid w:val="00B27B91"/>
    <w:rsid w:val="00B27BDD"/>
    <w:rsid w:val="00B27BE9"/>
    <w:rsid w:val="00B27BF1"/>
    <w:rsid w:val="00B27C15"/>
    <w:rsid w:val="00B27D3A"/>
    <w:rsid w:val="00B27D47"/>
    <w:rsid w:val="00B27E04"/>
    <w:rsid w:val="00B27E1A"/>
    <w:rsid w:val="00B27ED8"/>
    <w:rsid w:val="00B27EEE"/>
    <w:rsid w:val="00B27F76"/>
    <w:rsid w:val="00B27FD9"/>
    <w:rsid w:val="00B3005B"/>
    <w:rsid w:val="00B30073"/>
    <w:rsid w:val="00B3007E"/>
    <w:rsid w:val="00B300D0"/>
    <w:rsid w:val="00B3016A"/>
    <w:rsid w:val="00B3017C"/>
    <w:rsid w:val="00B301E5"/>
    <w:rsid w:val="00B3025B"/>
    <w:rsid w:val="00B30260"/>
    <w:rsid w:val="00B30279"/>
    <w:rsid w:val="00B302AB"/>
    <w:rsid w:val="00B302B5"/>
    <w:rsid w:val="00B302D5"/>
    <w:rsid w:val="00B303BE"/>
    <w:rsid w:val="00B30454"/>
    <w:rsid w:val="00B30482"/>
    <w:rsid w:val="00B30527"/>
    <w:rsid w:val="00B30560"/>
    <w:rsid w:val="00B30588"/>
    <w:rsid w:val="00B30610"/>
    <w:rsid w:val="00B30622"/>
    <w:rsid w:val="00B306DE"/>
    <w:rsid w:val="00B30777"/>
    <w:rsid w:val="00B307AF"/>
    <w:rsid w:val="00B307D5"/>
    <w:rsid w:val="00B307EF"/>
    <w:rsid w:val="00B30819"/>
    <w:rsid w:val="00B30842"/>
    <w:rsid w:val="00B30851"/>
    <w:rsid w:val="00B309AB"/>
    <w:rsid w:val="00B309F2"/>
    <w:rsid w:val="00B30A2B"/>
    <w:rsid w:val="00B30B5C"/>
    <w:rsid w:val="00B30BDC"/>
    <w:rsid w:val="00B30C0C"/>
    <w:rsid w:val="00B30C30"/>
    <w:rsid w:val="00B30C40"/>
    <w:rsid w:val="00B30C83"/>
    <w:rsid w:val="00B30CCD"/>
    <w:rsid w:val="00B30D5E"/>
    <w:rsid w:val="00B30D60"/>
    <w:rsid w:val="00B30DA4"/>
    <w:rsid w:val="00B30E2F"/>
    <w:rsid w:val="00B30E57"/>
    <w:rsid w:val="00B30E89"/>
    <w:rsid w:val="00B30E92"/>
    <w:rsid w:val="00B30ED5"/>
    <w:rsid w:val="00B30F06"/>
    <w:rsid w:val="00B30F1B"/>
    <w:rsid w:val="00B30F9E"/>
    <w:rsid w:val="00B30FB1"/>
    <w:rsid w:val="00B30FD0"/>
    <w:rsid w:val="00B30FF0"/>
    <w:rsid w:val="00B30FF8"/>
    <w:rsid w:val="00B31024"/>
    <w:rsid w:val="00B31275"/>
    <w:rsid w:val="00B3129B"/>
    <w:rsid w:val="00B312A0"/>
    <w:rsid w:val="00B312C1"/>
    <w:rsid w:val="00B3136A"/>
    <w:rsid w:val="00B31462"/>
    <w:rsid w:val="00B3146B"/>
    <w:rsid w:val="00B314D4"/>
    <w:rsid w:val="00B3152C"/>
    <w:rsid w:val="00B3155D"/>
    <w:rsid w:val="00B31571"/>
    <w:rsid w:val="00B3159E"/>
    <w:rsid w:val="00B315FC"/>
    <w:rsid w:val="00B31648"/>
    <w:rsid w:val="00B31684"/>
    <w:rsid w:val="00B316D0"/>
    <w:rsid w:val="00B316F8"/>
    <w:rsid w:val="00B3175D"/>
    <w:rsid w:val="00B31767"/>
    <w:rsid w:val="00B3176B"/>
    <w:rsid w:val="00B3178C"/>
    <w:rsid w:val="00B3188F"/>
    <w:rsid w:val="00B31894"/>
    <w:rsid w:val="00B318DF"/>
    <w:rsid w:val="00B318E2"/>
    <w:rsid w:val="00B318E4"/>
    <w:rsid w:val="00B318E5"/>
    <w:rsid w:val="00B3192E"/>
    <w:rsid w:val="00B3197C"/>
    <w:rsid w:val="00B31983"/>
    <w:rsid w:val="00B3199E"/>
    <w:rsid w:val="00B31ADE"/>
    <w:rsid w:val="00B31B90"/>
    <w:rsid w:val="00B31B96"/>
    <w:rsid w:val="00B31BFF"/>
    <w:rsid w:val="00B31D2C"/>
    <w:rsid w:val="00B31D4A"/>
    <w:rsid w:val="00B31D74"/>
    <w:rsid w:val="00B31D7D"/>
    <w:rsid w:val="00B31E07"/>
    <w:rsid w:val="00B31E28"/>
    <w:rsid w:val="00B31EDB"/>
    <w:rsid w:val="00B31F06"/>
    <w:rsid w:val="00B31F9A"/>
    <w:rsid w:val="00B31FAE"/>
    <w:rsid w:val="00B32017"/>
    <w:rsid w:val="00B320AB"/>
    <w:rsid w:val="00B320C3"/>
    <w:rsid w:val="00B320C5"/>
    <w:rsid w:val="00B321AA"/>
    <w:rsid w:val="00B321D4"/>
    <w:rsid w:val="00B32207"/>
    <w:rsid w:val="00B3225E"/>
    <w:rsid w:val="00B32295"/>
    <w:rsid w:val="00B32303"/>
    <w:rsid w:val="00B3241F"/>
    <w:rsid w:val="00B32446"/>
    <w:rsid w:val="00B324AE"/>
    <w:rsid w:val="00B324EB"/>
    <w:rsid w:val="00B324F9"/>
    <w:rsid w:val="00B32511"/>
    <w:rsid w:val="00B3253F"/>
    <w:rsid w:val="00B325A3"/>
    <w:rsid w:val="00B325FD"/>
    <w:rsid w:val="00B32644"/>
    <w:rsid w:val="00B32647"/>
    <w:rsid w:val="00B32665"/>
    <w:rsid w:val="00B32678"/>
    <w:rsid w:val="00B327A5"/>
    <w:rsid w:val="00B3285C"/>
    <w:rsid w:val="00B3293B"/>
    <w:rsid w:val="00B32942"/>
    <w:rsid w:val="00B3296C"/>
    <w:rsid w:val="00B3296D"/>
    <w:rsid w:val="00B32975"/>
    <w:rsid w:val="00B32997"/>
    <w:rsid w:val="00B329B1"/>
    <w:rsid w:val="00B329F1"/>
    <w:rsid w:val="00B32A0E"/>
    <w:rsid w:val="00B32A0F"/>
    <w:rsid w:val="00B32B24"/>
    <w:rsid w:val="00B32B51"/>
    <w:rsid w:val="00B32B77"/>
    <w:rsid w:val="00B32C00"/>
    <w:rsid w:val="00B32C22"/>
    <w:rsid w:val="00B32C50"/>
    <w:rsid w:val="00B32C73"/>
    <w:rsid w:val="00B32CCF"/>
    <w:rsid w:val="00B32D24"/>
    <w:rsid w:val="00B32E0E"/>
    <w:rsid w:val="00B32E62"/>
    <w:rsid w:val="00B32FEE"/>
    <w:rsid w:val="00B330A6"/>
    <w:rsid w:val="00B330ED"/>
    <w:rsid w:val="00B33162"/>
    <w:rsid w:val="00B3328F"/>
    <w:rsid w:val="00B333F7"/>
    <w:rsid w:val="00B33434"/>
    <w:rsid w:val="00B3343B"/>
    <w:rsid w:val="00B33469"/>
    <w:rsid w:val="00B334BE"/>
    <w:rsid w:val="00B334E7"/>
    <w:rsid w:val="00B335A4"/>
    <w:rsid w:val="00B3363B"/>
    <w:rsid w:val="00B336AB"/>
    <w:rsid w:val="00B3371A"/>
    <w:rsid w:val="00B337F4"/>
    <w:rsid w:val="00B3382A"/>
    <w:rsid w:val="00B3382B"/>
    <w:rsid w:val="00B33838"/>
    <w:rsid w:val="00B33852"/>
    <w:rsid w:val="00B33882"/>
    <w:rsid w:val="00B33970"/>
    <w:rsid w:val="00B339AC"/>
    <w:rsid w:val="00B339E5"/>
    <w:rsid w:val="00B339EE"/>
    <w:rsid w:val="00B33A39"/>
    <w:rsid w:val="00B33A4A"/>
    <w:rsid w:val="00B33A82"/>
    <w:rsid w:val="00B33AB7"/>
    <w:rsid w:val="00B33B00"/>
    <w:rsid w:val="00B33B4E"/>
    <w:rsid w:val="00B33BAA"/>
    <w:rsid w:val="00B33BCC"/>
    <w:rsid w:val="00B33C13"/>
    <w:rsid w:val="00B33C39"/>
    <w:rsid w:val="00B33CB2"/>
    <w:rsid w:val="00B33D06"/>
    <w:rsid w:val="00B33D4C"/>
    <w:rsid w:val="00B33D83"/>
    <w:rsid w:val="00B33E09"/>
    <w:rsid w:val="00B33F32"/>
    <w:rsid w:val="00B33F33"/>
    <w:rsid w:val="00B33F3D"/>
    <w:rsid w:val="00B34038"/>
    <w:rsid w:val="00B34068"/>
    <w:rsid w:val="00B340AC"/>
    <w:rsid w:val="00B3410C"/>
    <w:rsid w:val="00B3417C"/>
    <w:rsid w:val="00B34272"/>
    <w:rsid w:val="00B342BB"/>
    <w:rsid w:val="00B34316"/>
    <w:rsid w:val="00B3433B"/>
    <w:rsid w:val="00B34345"/>
    <w:rsid w:val="00B344DC"/>
    <w:rsid w:val="00B34517"/>
    <w:rsid w:val="00B3453A"/>
    <w:rsid w:val="00B345BF"/>
    <w:rsid w:val="00B346F1"/>
    <w:rsid w:val="00B3471F"/>
    <w:rsid w:val="00B3475E"/>
    <w:rsid w:val="00B3477B"/>
    <w:rsid w:val="00B34791"/>
    <w:rsid w:val="00B347BB"/>
    <w:rsid w:val="00B347E3"/>
    <w:rsid w:val="00B347E5"/>
    <w:rsid w:val="00B34843"/>
    <w:rsid w:val="00B3486E"/>
    <w:rsid w:val="00B3488E"/>
    <w:rsid w:val="00B349A8"/>
    <w:rsid w:val="00B349C7"/>
    <w:rsid w:val="00B34A01"/>
    <w:rsid w:val="00B34A3D"/>
    <w:rsid w:val="00B34A47"/>
    <w:rsid w:val="00B34A8B"/>
    <w:rsid w:val="00B34AE6"/>
    <w:rsid w:val="00B34B84"/>
    <w:rsid w:val="00B34BA4"/>
    <w:rsid w:val="00B34BF5"/>
    <w:rsid w:val="00B34C21"/>
    <w:rsid w:val="00B34C83"/>
    <w:rsid w:val="00B34D19"/>
    <w:rsid w:val="00B34D8B"/>
    <w:rsid w:val="00B34DD2"/>
    <w:rsid w:val="00B34E81"/>
    <w:rsid w:val="00B34E9D"/>
    <w:rsid w:val="00B34EBF"/>
    <w:rsid w:val="00B34F4A"/>
    <w:rsid w:val="00B34FEB"/>
    <w:rsid w:val="00B35071"/>
    <w:rsid w:val="00B350A1"/>
    <w:rsid w:val="00B351B8"/>
    <w:rsid w:val="00B351EF"/>
    <w:rsid w:val="00B351F3"/>
    <w:rsid w:val="00B3522C"/>
    <w:rsid w:val="00B352BE"/>
    <w:rsid w:val="00B352F0"/>
    <w:rsid w:val="00B3531E"/>
    <w:rsid w:val="00B3531F"/>
    <w:rsid w:val="00B35394"/>
    <w:rsid w:val="00B353B6"/>
    <w:rsid w:val="00B353C0"/>
    <w:rsid w:val="00B353ED"/>
    <w:rsid w:val="00B3541C"/>
    <w:rsid w:val="00B3541D"/>
    <w:rsid w:val="00B3546B"/>
    <w:rsid w:val="00B354C7"/>
    <w:rsid w:val="00B354DF"/>
    <w:rsid w:val="00B354FC"/>
    <w:rsid w:val="00B355C4"/>
    <w:rsid w:val="00B355E5"/>
    <w:rsid w:val="00B3562B"/>
    <w:rsid w:val="00B3563D"/>
    <w:rsid w:val="00B3569C"/>
    <w:rsid w:val="00B35797"/>
    <w:rsid w:val="00B357C7"/>
    <w:rsid w:val="00B357E9"/>
    <w:rsid w:val="00B357FE"/>
    <w:rsid w:val="00B35806"/>
    <w:rsid w:val="00B358BB"/>
    <w:rsid w:val="00B3596A"/>
    <w:rsid w:val="00B3598E"/>
    <w:rsid w:val="00B359B6"/>
    <w:rsid w:val="00B35A68"/>
    <w:rsid w:val="00B35BD3"/>
    <w:rsid w:val="00B35C74"/>
    <w:rsid w:val="00B35CC7"/>
    <w:rsid w:val="00B35CF6"/>
    <w:rsid w:val="00B35D4F"/>
    <w:rsid w:val="00B35DB9"/>
    <w:rsid w:val="00B35DBD"/>
    <w:rsid w:val="00B35DC8"/>
    <w:rsid w:val="00B35E3C"/>
    <w:rsid w:val="00B35E7F"/>
    <w:rsid w:val="00B35E8F"/>
    <w:rsid w:val="00B35ED9"/>
    <w:rsid w:val="00B35EEA"/>
    <w:rsid w:val="00B35FB2"/>
    <w:rsid w:val="00B3603D"/>
    <w:rsid w:val="00B3607D"/>
    <w:rsid w:val="00B3609E"/>
    <w:rsid w:val="00B3612D"/>
    <w:rsid w:val="00B3626F"/>
    <w:rsid w:val="00B3627F"/>
    <w:rsid w:val="00B362A6"/>
    <w:rsid w:val="00B362E0"/>
    <w:rsid w:val="00B3638E"/>
    <w:rsid w:val="00B36408"/>
    <w:rsid w:val="00B364E1"/>
    <w:rsid w:val="00B364E9"/>
    <w:rsid w:val="00B36523"/>
    <w:rsid w:val="00B3654F"/>
    <w:rsid w:val="00B3658A"/>
    <w:rsid w:val="00B365C2"/>
    <w:rsid w:val="00B365F0"/>
    <w:rsid w:val="00B365F9"/>
    <w:rsid w:val="00B36689"/>
    <w:rsid w:val="00B3674B"/>
    <w:rsid w:val="00B36769"/>
    <w:rsid w:val="00B367BC"/>
    <w:rsid w:val="00B367DD"/>
    <w:rsid w:val="00B3695D"/>
    <w:rsid w:val="00B369A2"/>
    <w:rsid w:val="00B369BC"/>
    <w:rsid w:val="00B369C7"/>
    <w:rsid w:val="00B36A44"/>
    <w:rsid w:val="00B36A7A"/>
    <w:rsid w:val="00B36A90"/>
    <w:rsid w:val="00B36AFD"/>
    <w:rsid w:val="00B36B08"/>
    <w:rsid w:val="00B36B50"/>
    <w:rsid w:val="00B36BA7"/>
    <w:rsid w:val="00B36C4F"/>
    <w:rsid w:val="00B36C9D"/>
    <w:rsid w:val="00B36D3B"/>
    <w:rsid w:val="00B36D44"/>
    <w:rsid w:val="00B36DCE"/>
    <w:rsid w:val="00B36E04"/>
    <w:rsid w:val="00B36E85"/>
    <w:rsid w:val="00B36EAC"/>
    <w:rsid w:val="00B36F53"/>
    <w:rsid w:val="00B36FA0"/>
    <w:rsid w:val="00B36FAA"/>
    <w:rsid w:val="00B36FF8"/>
    <w:rsid w:val="00B3702E"/>
    <w:rsid w:val="00B37047"/>
    <w:rsid w:val="00B37083"/>
    <w:rsid w:val="00B370E3"/>
    <w:rsid w:val="00B37109"/>
    <w:rsid w:val="00B3711C"/>
    <w:rsid w:val="00B371CB"/>
    <w:rsid w:val="00B372DA"/>
    <w:rsid w:val="00B372E0"/>
    <w:rsid w:val="00B3739E"/>
    <w:rsid w:val="00B373C8"/>
    <w:rsid w:val="00B3754E"/>
    <w:rsid w:val="00B3755D"/>
    <w:rsid w:val="00B37615"/>
    <w:rsid w:val="00B37628"/>
    <w:rsid w:val="00B37695"/>
    <w:rsid w:val="00B37711"/>
    <w:rsid w:val="00B37767"/>
    <w:rsid w:val="00B3781B"/>
    <w:rsid w:val="00B37843"/>
    <w:rsid w:val="00B37855"/>
    <w:rsid w:val="00B37869"/>
    <w:rsid w:val="00B3787C"/>
    <w:rsid w:val="00B378A1"/>
    <w:rsid w:val="00B378B3"/>
    <w:rsid w:val="00B378D7"/>
    <w:rsid w:val="00B379C1"/>
    <w:rsid w:val="00B379D2"/>
    <w:rsid w:val="00B37A20"/>
    <w:rsid w:val="00B37A30"/>
    <w:rsid w:val="00B37ADD"/>
    <w:rsid w:val="00B37BAF"/>
    <w:rsid w:val="00B37C5A"/>
    <w:rsid w:val="00B37C8E"/>
    <w:rsid w:val="00B37D6D"/>
    <w:rsid w:val="00B37DC8"/>
    <w:rsid w:val="00B37DEB"/>
    <w:rsid w:val="00B37E07"/>
    <w:rsid w:val="00B37EAB"/>
    <w:rsid w:val="00B37F0F"/>
    <w:rsid w:val="00B37F2D"/>
    <w:rsid w:val="00B37F84"/>
    <w:rsid w:val="00B37FBF"/>
    <w:rsid w:val="00B37FF9"/>
    <w:rsid w:val="00B4005D"/>
    <w:rsid w:val="00B40099"/>
    <w:rsid w:val="00B40130"/>
    <w:rsid w:val="00B40179"/>
    <w:rsid w:val="00B4019B"/>
    <w:rsid w:val="00B401CF"/>
    <w:rsid w:val="00B401FC"/>
    <w:rsid w:val="00B40220"/>
    <w:rsid w:val="00B40247"/>
    <w:rsid w:val="00B402E0"/>
    <w:rsid w:val="00B40363"/>
    <w:rsid w:val="00B403E0"/>
    <w:rsid w:val="00B40428"/>
    <w:rsid w:val="00B40449"/>
    <w:rsid w:val="00B40457"/>
    <w:rsid w:val="00B40497"/>
    <w:rsid w:val="00B404C4"/>
    <w:rsid w:val="00B404E9"/>
    <w:rsid w:val="00B40538"/>
    <w:rsid w:val="00B4057E"/>
    <w:rsid w:val="00B40591"/>
    <w:rsid w:val="00B405D5"/>
    <w:rsid w:val="00B405DD"/>
    <w:rsid w:val="00B40643"/>
    <w:rsid w:val="00B4064E"/>
    <w:rsid w:val="00B40660"/>
    <w:rsid w:val="00B4067A"/>
    <w:rsid w:val="00B40691"/>
    <w:rsid w:val="00B40699"/>
    <w:rsid w:val="00B406F5"/>
    <w:rsid w:val="00B40717"/>
    <w:rsid w:val="00B407B7"/>
    <w:rsid w:val="00B40807"/>
    <w:rsid w:val="00B40809"/>
    <w:rsid w:val="00B408B0"/>
    <w:rsid w:val="00B408DE"/>
    <w:rsid w:val="00B40900"/>
    <w:rsid w:val="00B40954"/>
    <w:rsid w:val="00B409B4"/>
    <w:rsid w:val="00B409BE"/>
    <w:rsid w:val="00B409D5"/>
    <w:rsid w:val="00B40A32"/>
    <w:rsid w:val="00B40A69"/>
    <w:rsid w:val="00B40A6B"/>
    <w:rsid w:val="00B40A70"/>
    <w:rsid w:val="00B40ADF"/>
    <w:rsid w:val="00B40AFA"/>
    <w:rsid w:val="00B40B23"/>
    <w:rsid w:val="00B40BA2"/>
    <w:rsid w:val="00B40BBE"/>
    <w:rsid w:val="00B40C32"/>
    <w:rsid w:val="00B40C4F"/>
    <w:rsid w:val="00B40C7E"/>
    <w:rsid w:val="00B40C90"/>
    <w:rsid w:val="00B40CAC"/>
    <w:rsid w:val="00B40D1C"/>
    <w:rsid w:val="00B40D20"/>
    <w:rsid w:val="00B40D37"/>
    <w:rsid w:val="00B40D54"/>
    <w:rsid w:val="00B40D6C"/>
    <w:rsid w:val="00B40DA0"/>
    <w:rsid w:val="00B40DD4"/>
    <w:rsid w:val="00B40EE2"/>
    <w:rsid w:val="00B40EE7"/>
    <w:rsid w:val="00B40F21"/>
    <w:rsid w:val="00B40F52"/>
    <w:rsid w:val="00B40F66"/>
    <w:rsid w:val="00B40F90"/>
    <w:rsid w:val="00B40F92"/>
    <w:rsid w:val="00B40F9B"/>
    <w:rsid w:val="00B40FC2"/>
    <w:rsid w:val="00B41008"/>
    <w:rsid w:val="00B4100C"/>
    <w:rsid w:val="00B4109E"/>
    <w:rsid w:val="00B410BC"/>
    <w:rsid w:val="00B41237"/>
    <w:rsid w:val="00B4138F"/>
    <w:rsid w:val="00B413B7"/>
    <w:rsid w:val="00B41437"/>
    <w:rsid w:val="00B4147E"/>
    <w:rsid w:val="00B414BF"/>
    <w:rsid w:val="00B41569"/>
    <w:rsid w:val="00B415B1"/>
    <w:rsid w:val="00B415BF"/>
    <w:rsid w:val="00B41635"/>
    <w:rsid w:val="00B41639"/>
    <w:rsid w:val="00B416D8"/>
    <w:rsid w:val="00B41749"/>
    <w:rsid w:val="00B417F2"/>
    <w:rsid w:val="00B4182E"/>
    <w:rsid w:val="00B4183A"/>
    <w:rsid w:val="00B4183C"/>
    <w:rsid w:val="00B41869"/>
    <w:rsid w:val="00B4186D"/>
    <w:rsid w:val="00B41875"/>
    <w:rsid w:val="00B41898"/>
    <w:rsid w:val="00B41922"/>
    <w:rsid w:val="00B41A4B"/>
    <w:rsid w:val="00B41A7B"/>
    <w:rsid w:val="00B41A8D"/>
    <w:rsid w:val="00B41AA9"/>
    <w:rsid w:val="00B41B02"/>
    <w:rsid w:val="00B41B11"/>
    <w:rsid w:val="00B41B3C"/>
    <w:rsid w:val="00B41BBF"/>
    <w:rsid w:val="00B41C00"/>
    <w:rsid w:val="00B41C39"/>
    <w:rsid w:val="00B41CD7"/>
    <w:rsid w:val="00B41CDF"/>
    <w:rsid w:val="00B41CF9"/>
    <w:rsid w:val="00B41D5E"/>
    <w:rsid w:val="00B41D8E"/>
    <w:rsid w:val="00B41D95"/>
    <w:rsid w:val="00B41DE5"/>
    <w:rsid w:val="00B41E0B"/>
    <w:rsid w:val="00B41E16"/>
    <w:rsid w:val="00B41E1D"/>
    <w:rsid w:val="00B41E2B"/>
    <w:rsid w:val="00B41E82"/>
    <w:rsid w:val="00B41EE0"/>
    <w:rsid w:val="00B41F41"/>
    <w:rsid w:val="00B41F58"/>
    <w:rsid w:val="00B4200D"/>
    <w:rsid w:val="00B4208B"/>
    <w:rsid w:val="00B4208C"/>
    <w:rsid w:val="00B42096"/>
    <w:rsid w:val="00B4209A"/>
    <w:rsid w:val="00B420A6"/>
    <w:rsid w:val="00B42105"/>
    <w:rsid w:val="00B42173"/>
    <w:rsid w:val="00B42188"/>
    <w:rsid w:val="00B4229E"/>
    <w:rsid w:val="00B422B8"/>
    <w:rsid w:val="00B422C1"/>
    <w:rsid w:val="00B42313"/>
    <w:rsid w:val="00B423DC"/>
    <w:rsid w:val="00B42431"/>
    <w:rsid w:val="00B424B6"/>
    <w:rsid w:val="00B424D6"/>
    <w:rsid w:val="00B425C1"/>
    <w:rsid w:val="00B425E6"/>
    <w:rsid w:val="00B425FE"/>
    <w:rsid w:val="00B42605"/>
    <w:rsid w:val="00B42692"/>
    <w:rsid w:val="00B42698"/>
    <w:rsid w:val="00B426D3"/>
    <w:rsid w:val="00B42744"/>
    <w:rsid w:val="00B4284B"/>
    <w:rsid w:val="00B4285C"/>
    <w:rsid w:val="00B428A3"/>
    <w:rsid w:val="00B428B7"/>
    <w:rsid w:val="00B42912"/>
    <w:rsid w:val="00B4292D"/>
    <w:rsid w:val="00B42981"/>
    <w:rsid w:val="00B429CE"/>
    <w:rsid w:val="00B429EE"/>
    <w:rsid w:val="00B42A5C"/>
    <w:rsid w:val="00B42A7C"/>
    <w:rsid w:val="00B42AF1"/>
    <w:rsid w:val="00B42BEB"/>
    <w:rsid w:val="00B42C0E"/>
    <w:rsid w:val="00B42C4A"/>
    <w:rsid w:val="00B42C92"/>
    <w:rsid w:val="00B42CF1"/>
    <w:rsid w:val="00B42E13"/>
    <w:rsid w:val="00B42F0A"/>
    <w:rsid w:val="00B42F43"/>
    <w:rsid w:val="00B42F4E"/>
    <w:rsid w:val="00B42FE5"/>
    <w:rsid w:val="00B42FF6"/>
    <w:rsid w:val="00B4304F"/>
    <w:rsid w:val="00B43075"/>
    <w:rsid w:val="00B430F2"/>
    <w:rsid w:val="00B43136"/>
    <w:rsid w:val="00B431AB"/>
    <w:rsid w:val="00B431D4"/>
    <w:rsid w:val="00B4329C"/>
    <w:rsid w:val="00B432C7"/>
    <w:rsid w:val="00B432FA"/>
    <w:rsid w:val="00B4332E"/>
    <w:rsid w:val="00B43357"/>
    <w:rsid w:val="00B433BD"/>
    <w:rsid w:val="00B4340A"/>
    <w:rsid w:val="00B4340D"/>
    <w:rsid w:val="00B43419"/>
    <w:rsid w:val="00B43429"/>
    <w:rsid w:val="00B4344D"/>
    <w:rsid w:val="00B43478"/>
    <w:rsid w:val="00B434C5"/>
    <w:rsid w:val="00B434D4"/>
    <w:rsid w:val="00B434E5"/>
    <w:rsid w:val="00B4354A"/>
    <w:rsid w:val="00B43565"/>
    <w:rsid w:val="00B4363B"/>
    <w:rsid w:val="00B436E1"/>
    <w:rsid w:val="00B4372D"/>
    <w:rsid w:val="00B43732"/>
    <w:rsid w:val="00B43788"/>
    <w:rsid w:val="00B43795"/>
    <w:rsid w:val="00B43883"/>
    <w:rsid w:val="00B438A4"/>
    <w:rsid w:val="00B4395D"/>
    <w:rsid w:val="00B43A56"/>
    <w:rsid w:val="00B43A5D"/>
    <w:rsid w:val="00B43A64"/>
    <w:rsid w:val="00B43AC0"/>
    <w:rsid w:val="00B43AEB"/>
    <w:rsid w:val="00B43B1D"/>
    <w:rsid w:val="00B43BDE"/>
    <w:rsid w:val="00B43C2C"/>
    <w:rsid w:val="00B43CB2"/>
    <w:rsid w:val="00B43D20"/>
    <w:rsid w:val="00B43D27"/>
    <w:rsid w:val="00B43D36"/>
    <w:rsid w:val="00B43D80"/>
    <w:rsid w:val="00B43EE9"/>
    <w:rsid w:val="00B43F0D"/>
    <w:rsid w:val="00B4404F"/>
    <w:rsid w:val="00B44088"/>
    <w:rsid w:val="00B44104"/>
    <w:rsid w:val="00B4422C"/>
    <w:rsid w:val="00B4426C"/>
    <w:rsid w:val="00B442FA"/>
    <w:rsid w:val="00B44305"/>
    <w:rsid w:val="00B44329"/>
    <w:rsid w:val="00B44392"/>
    <w:rsid w:val="00B443C1"/>
    <w:rsid w:val="00B443C9"/>
    <w:rsid w:val="00B443D6"/>
    <w:rsid w:val="00B443D9"/>
    <w:rsid w:val="00B44488"/>
    <w:rsid w:val="00B444C5"/>
    <w:rsid w:val="00B444CE"/>
    <w:rsid w:val="00B444D3"/>
    <w:rsid w:val="00B444FC"/>
    <w:rsid w:val="00B44516"/>
    <w:rsid w:val="00B44537"/>
    <w:rsid w:val="00B44540"/>
    <w:rsid w:val="00B44548"/>
    <w:rsid w:val="00B445AB"/>
    <w:rsid w:val="00B445C5"/>
    <w:rsid w:val="00B44602"/>
    <w:rsid w:val="00B4461C"/>
    <w:rsid w:val="00B44706"/>
    <w:rsid w:val="00B44743"/>
    <w:rsid w:val="00B44744"/>
    <w:rsid w:val="00B447A5"/>
    <w:rsid w:val="00B447BE"/>
    <w:rsid w:val="00B448BC"/>
    <w:rsid w:val="00B448D3"/>
    <w:rsid w:val="00B448F9"/>
    <w:rsid w:val="00B4493D"/>
    <w:rsid w:val="00B4498B"/>
    <w:rsid w:val="00B449DB"/>
    <w:rsid w:val="00B449DE"/>
    <w:rsid w:val="00B44A1F"/>
    <w:rsid w:val="00B44A65"/>
    <w:rsid w:val="00B44B9C"/>
    <w:rsid w:val="00B44C09"/>
    <w:rsid w:val="00B44C9E"/>
    <w:rsid w:val="00B44CAC"/>
    <w:rsid w:val="00B44CEA"/>
    <w:rsid w:val="00B44E39"/>
    <w:rsid w:val="00B44EAA"/>
    <w:rsid w:val="00B44F3B"/>
    <w:rsid w:val="00B44F9F"/>
    <w:rsid w:val="00B4506F"/>
    <w:rsid w:val="00B450AC"/>
    <w:rsid w:val="00B450B8"/>
    <w:rsid w:val="00B450C7"/>
    <w:rsid w:val="00B450CF"/>
    <w:rsid w:val="00B45171"/>
    <w:rsid w:val="00B451C8"/>
    <w:rsid w:val="00B4522F"/>
    <w:rsid w:val="00B4525B"/>
    <w:rsid w:val="00B45269"/>
    <w:rsid w:val="00B452B7"/>
    <w:rsid w:val="00B452D2"/>
    <w:rsid w:val="00B452D6"/>
    <w:rsid w:val="00B4538E"/>
    <w:rsid w:val="00B453C9"/>
    <w:rsid w:val="00B453D3"/>
    <w:rsid w:val="00B45424"/>
    <w:rsid w:val="00B45584"/>
    <w:rsid w:val="00B455E5"/>
    <w:rsid w:val="00B45632"/>
    <w:rsid w:val="00B4568D"/>
    <w:rsid w:val="00B456AC"/>
    <w:rsid w:val="00B456EF"/>
    <w:rsid w:val="00B456F7"/>
    <w:rsid w:val="00B45786"/>
    <w:rsid w:val="00B457C9"/>
    <w:rsid w:val="00B457D2"/>
    <w:rsid w:val="00B457DF"/>
    <w:rsid w:val="00B45832"/>
    <w:rsid w:val="00B45871"/>
    <w:rsid w:val="00B45895"/>
    <w:rsid w:val="00B458DA"/>
    <w:rsid w:val="00B459F2"/>
    <w:rsid w:val="00B459FF"/>
    <w:rsid w:val="00B45A5A"/>
    <w:rsid w:val="00B45B26"/>
    <w:rsid w:val="00B45B31"/>
    <w:rsid w:val="00B45B9F"/>
    <w:rsid w:val="00B45C60"/>
    <w:rsid w:val="00B45C68"/>
    <w:rsid w:val="00B45E0E"/>
    <w:rsid w:val="00B45E4A"/>
    <w:rsid w:val="00B45EF3"/>
    <w:rsid w:val="00B45FF7"/>
    <w:rsid w:val="00B4602C"/>
    <w:rsid w:val="00B4603A"/>
    <w:rsid w:val="00B460FA"/>
    <w:rsid w:val="00B461DC"/>
    <w:rsid w:val="00B46272"/>
    <w:rsid w:val="00B46331"/>
    <w:rsid w:val="00B46340"/>
    <w:rsid w:val="00B46473"/>
    <w:rsid w:val="00B464EF"/>
    <w:rsid w:val="00B465A4"/>
    <w:rsid w:val="00B46600"/>
    <w:rsid w:val="00B46632"/>
    <w:rsid w:val="00B46669"/>
    <w:rsid w:val="00B46781"/>
    <w:rsid w:val="00B4685E"/>
    <w:rsid w:val="00B46861"/>
    <w:rsid w:val="00B46874"/>
    <w:rsid w:val="00B468C3"/>
    <w:rsid w:val="00B4692F"/>
    <w:rsid w:val="00B469CD"/>
    <w:rsid w:val="00B46A28"/>
    <w:rsid w:val="00B46A46"/>
    <w:rsid w:val="00B46ADB"/>
    <w:rsid w:val="00B46B4A"/>
    <w:rsid w:val="00B46B66"/>
    <w:rsid w:val="00B46BCE"/>
    <w:rsid w:val="00B46BD4"/>
    <w:rsid w:val="00B46BD6"/>
    <w:rsid w:val="00B46C1E"/>
    <w:rsid w:val="00B46C3A"/>
    <w:rsid w:val="00B46C50"/>
    <w:rsid w:val="00B46C8F"/>
    <w:rsid w:val="00B46CDC"/>
    <w:rsid w:val="00B46E87"/>
    <w:rsid w:val="00B46F13"/>
    <w:rsid w:val="00B46F83"/>
    <w:rsid w:val="00B47024"/>
    <w:rsid w:val="00B4707B"/>
    <w:rsid w:val="00B47169"/>
    <w:rsid w:val="00B4717C"/>
    <w:rsid w:val="00B4727D"/>
    <w:rsid w:val="00B4728B"/>
    <w:rsid w:val="00B4730E"/>
    <w:rsid w:val="00B473C3"/>
    <w:rsid w:val="00B47442"/>
    <w:rsid w:val="00B474BE"/>
    <w:rsid w:val="00B474CA"/>
    <w:rsid w:val="00B4752B"/>
    <w:rsid w:val="00B47589"/>
    <w:rsid w:val="00B475D7"/>
    <w:rsid w:val="00B47650"/>
    <w:rsid w:val="00B4766A"/>
    <w:rsid w:val="00B47687"/>
    <w:rsid w:val="00B47725"/>
    <w:rsid w:val="00B4776F"/>
    <w:rsid w:val="00B477A5"/>
    <w:rsid w:val="00B477D6"/>
    <w:rsid w:val="00B47804"/>
    <w:rsid w:val="00B4780C"/>
    <w:rsid w:val="00B4784A"/>
    <w:rsid w:val="00B47868"/>
    <w:rsid w:val="00B47922"/>
    <w:rsid w:val="00B47975"/>
    <w:rsid w:val="00B479C3"/>
    <w:rsid w:val="00B479C7"/>
    <w:rsid w:val="00B47A00"/>
    <w:rsid w:val="00B47A47"/>
    <w:rsid w:val="00B47A57"/>
    <w:rsid w:val="00B47A60"/>
    <w:rsid w:val="00B47BA7"/>
    <w:rsid w:val="00B47C1F"/>
    <w:rsid w:val="00B47C76"/>
    <w:rsid w:val="00B47D85"/>
    <w:rsid w:val="00B47DD4"/>
    <w:rsid w:val="00B47DF2"/>
    <w:rsid w:val="00B47EE9"/>
    <w:rsid w:val="00B47F00"/>
    <w:rsid w:val="00B47F9D"/>
    <w:rsid w:val="00B47FA4"/>
    <w:rsid w:val="00B47FAE"/>
    <w:rsid w:val="00B47FCC"/>
    <w:rsid w:val="00B47FED"/>
    <w:rsid w:val="00B47FF8"/>
    <w:rsid w:val="00B50084"/>
    <w:rsid w:val="00B5012F"/>
    <w:rsid w:val="00B501B2"/>
    <w:rsid w:val="00B502FB"/>
    <w:rsid w:val="00B50303"/>
    <w:rsid w:val="00B50313"/>
    <w:rsid w:val="00B50318"/>
    <w:rsid w:val="00B503D3"/>
    <w:rsid w:val="00B50412"/>
    <w:rsid w:val="00B50436"/>
    <w:rsid w:val="00B50450"/>
    <w:rsid w:val="00B504F2"/>
    <w:rsid w:val="00B50581"/>
    <w:rsid w:val="00B50598"/>
    <w:rsid w:val="00B505B9"/>
    <w:rsid w:val="00B505E7"/>
    <w:rsid w:val="00B50614"/>
    <w:rsid w:val="00B50671"/>
    <w:rsid w:val="00B50675"/>
    <w:rsid w:val="00B506F9"/>
    <w:rsid w:val="00B50781"/>
    <w:rsid w:val="00B507F7"/>
    <w:rsid w:val="00B50865"/>
    <w:rsid w:val="00B50910"/>
    <w:rsid w:val="00B50925"/>
    <w:rsid w:val="00B509A2"/>
    <w:rsid w:val="00B509DA"/>
    <w:rsid w:val="00B509E6"/>
    <w:rsid w:val="00B509E8"/>
    <w:rsid w:val="00B50AC7"/>
    <w:rsid w:val="00B50BBE"/>
    <w:rsid w:val="00B50BFC"/>
    <w:rsid w:val="00B50D1C"/>
    <w:rsid w:val="00B50D38"/>
    <w:rsid w:val="00B50DB0"/>
    <w:rsid w:val="00B50DFA"/>
    <w:rsid w:val="00B50E36"/>
    <w:rsid w:val="00B50E3F"/>
    <w:rsid w:val="00B50FC5"/>
    <w:rsid w:val="00B50FD6"/>
    <w:rsid w:val="00B50FEF"/>
    <w:rsid w:val="00B51000"/>
    <w:rsid w:val="00B510A1"/>
    <w:rsid w:val="00B510D4"/>
    <w:rsid w:val="00B510F9"/>
    <w:rsid w:val="00B51129"/>
    <w:rsid w:val="00B511EE"/>
    <w:rsid w:val="00B51369"/>
    <w:rsid w:val="00B513BB"/>
    <w:rsid w:val="00B51494"/>
    <w:rsid w:val="00B514DA"/>
    <w:rsid w:val="00B515BC"/>
    <w:rsid w:val="00B515BD"/>
    <w:rsid w:val="00B515D1"/>
    <w:rsid w:val="00B51740"/>
    <w:rsid w:val="00B51860"/>
    <w:rsid w:val="00B5193C"/>
    <w:rsid w:val="00B51980"/>
    <w:rsid w:val="00B519A0"/>
    <w:rsid w:val="00B519BD"/>
    <w:rsid w:val="00B519D7"/>
    <w:rsid w:val="00B51A03"/>
    <w:rsid w:val="00B51A94"/>
    <w:rsid w:val="00B51B26"/>
    <w:rsid w:val="00B51B34"/>
    <w:rsid w:val="00B51BA0"/>
    <w:rsid w:val="00B51C08"/>
    <w:rsid w:val="00B51C2C"/>
    <w:rsid w:val="00B51C6E"/>
    <w:rsid w:val="00B51CA4"/>
    <w:rsid w:val="00B51CF7"/>
    <w:rsid w:val="00B51D2B"/>
    <w:rsid w:val="00B51D48"/>
    <w:rsid w:val="00B51E0A"/>
    <w:rsid w:val="00B51E11"/>
    <w:rsid w:val="00B51E1D"/>
    <w:rsid w:val="00B51E40"/>
    <w:rsid w:val="00B51F22"/>
    <w:rsid w:val="00B51F29"/>
    <w:rsid w:val="00B51F6A"/>
    <w:rsid w:val="00B51F8F"/>
    <w:rsid w:val="00B51FAB"/>
    <w:rsid w:val="00B52027"/>
    <w:rsid w:val="00B52077"/>
    <w:rsid w:val="00B5207D"/>
    <w:rsid w:val="00B520AF"/>
    <w:rsid w:val="00B52146"/>
    <w:rsid w:val="00B5214B"/>
    <w:rsid w:val="00B52183"/>
    <w:rsid w:val="00B521C5"/>
    <w:rsid w:val="00B521F1"/>
    <w:rsid w:val="00B521F5"/>
    <w:rsid w:val="00B5221C"/>
    <w:rsid w:val="00B522AE"/>
    <w:rsid w:val="00B5232D"/>
    <w:rsid w:val="00B52338"/>
    <w:rsid w:val="00B5236B"/>
    <w:rsid w:val="00B52388"/>
    <w:rsid w:val="00B5239A"/>
    <w:rsid w:val="00B523F1"/>
    <w:rsid w:val="00B52408"/>
    <w:rsid w:val="00B5242D"/>
    <w:rsid w:val="00B524AC"/>
    <w:rsid w:val="00B52538"/>
    <w:rsid w:val="00B52545"/>
    <w:rsid w:val="00B52575"/>
    <w:rsid w:val="00B525BA"/>
    <w:rsid w:val="00B526DC"/>
    <w:rsid w:val="00B526EA"/>
    <w:rsid w:val="00B52786"/>
    <w:rsid w:val="00B5278F"/>
    <w:rsid w:val="00B5279B"/>
    <w:rsid w:val="00B527B7"/>
    <w:rsid w:val="00B527E9"/>
    <w:rsid w:val="00B52840"/>
    <w:rsid w:val="00B528DA"/>
    <w:rsid w:val="00B528F0"/>
    <w:rsid w:val="00B52917"/>
    <w:rsid w:val="00B52936"/>
    <w:rsid w:val="00B5294C"/>
    <w:rsid w:val="00B52950"/>
    <w:rsid w:val="00B52968"/>
    <w:rsid w:val="00B52A88"/>
    <w:rsid w:val="00B52AA1"/>
    <w:rsid w:val="00B52AA7"/>
    <w:rsid w:val="00B52ABA"/>
    <w:rsid w:val="00B52AD1"/>
    <w:rsid w:val="00B52B0F"/>
    <w:rsid w:val="00B52B46"/>
    <w:rsid w:val="00B52B4B"/>
    <w:rsid w:val="00B52BC6"/>
    <w:rsid w:val="00B52C1A"/>
    <w:rsid w:val="00B52C9F"/>
    <w:rsid w:val="00B52CCF"/>
    <w:rsid w:val="00B52D5E"/>
    <w:rsid w:val="00B52D8F"/>
    <w:rsid w:val="00B52DC0"/>
    <w:rsid w:val="00B52E68"/>
    <w:rsid w:val="00B52E88"/>
    <w:rsid w:val="00B52E90"/>
    <w:rsid w:val="00B52FB6"/>
    <w:rsid w:val="00B52FC7"/>
    <w:rsid w:val="00B5304E"/>
    <w:rsid w:val="00B530D2"/>
    <w:rsid w:val="00B531AC"/>
    <w:rsid w:val="00B531CA"/>
    <w:rsid w:val="00B5321A"/>
    <w:rsid w:val="00B53234"/>
    <w:rsid w:val="00B53295"/>
    <w:rsid w:val="00B532AE"/>
    <w:rsid w:val="00B5332D"/>
    <w:rsid w:val="00B53352"/>
    <w:rsid w:val="00B5336E"/>
    <w:rsid w:val="00B5338B"/>
    <w:rsid w:val="00B533E8"/>
    <w:rsid w:val="00B5343B"/>
    <w:rsid w:val="00B53455"/>
    <w:rsid w:val="00B53498"/>
    <w:rsid w:val="00B5349F"/>
    <w:rsid w:val="00B53506"/>
    <w:rsid w:val="00B53543"/>
    <w:rsid w:val="00B535CB"/>
    <w:rsid w:val="00B53745"/>
    <w:rsid w:val="00B53768"/>
    <w:rsid w:val="00B537C3"/>
    <w:rsid w:val="00B537C8"/>
    <w:rsid w:val="00B537D5"/>
    <w:rsid w:val="00B538A6"/>
    <w:rsid w:val="00B538C7"/>
    <w:rsid w:val="00B53907"/>
    <w:rsid w:val="00B539B9"/>
    <w:rsid w:val="00B539EF"/>
    <w:rsid w:val="00B53A07"/>
    <w:rsid w:val="00B53A72"/>
    <w:rsid w:val="00B53A73"/>
    <w:rsid w:val="00B53AB3"/>
    <w:rsid w:val="00B53AF4"/>
    <w:rsid w:val="00B53B54"/>
    <w:rsid w:val="00B53BDC"/>
    <w:rsid w:val="00B53C10"/>
    <w:rsid w:val="00B53C33"/>
    <w:rsid w:val="00B53C68"/>
    <w:rsid w:val="00B53C69"/>
    <w:rsid w:val="00B53C97"/>
    <w:rsid w:val="00B53CCC"/>
    <w:rsid w:val="00B53D29"/>
    <w:rsid w:val="00B53D6D"/>
    <w:rsid w:val="00B53DA1"/>
    <w:rsid w:val="00B53EF2"/>
    <w:rsid w:val="00B53F2A"/>
    <w:rsid w:val="00B53F43"/>
    <w:rsid w:val="00B53F6E"/>
    <w:rsid w:val="00B54005"/>
    <w:rsid w:val="00B54017"/>
    <w:rsid w:val="00B5402A"/>
    <w:rsid w:val="00B54048"/>
    <w:rsid w:val="00B54067"/>
    <w:rsid w:val="00B5406B"/>
    <w:rsid w:val="00B541C8"/>
    <w:rsid w:val="00B5422B"/>
    <w:rsid w:val="00B5422F"/>
    <w:rsid w:val="00B54256"/>
    <w:rsid w:val="00B54287"/>
    <w:rsid w:val="00B542A5"/>
    <w:rsid w:val="00B5431E"/>
    <w:rsid w:val="00B543B4"/>
    <w:rsid w:val="00B543C7"/>
    <w:rsid w:val="00B54417"/>
    <w:rsid w:val="00B54446"/>
    <w:rsid w:val="00B544BB"/>
    <w:rsid w:val="00B544BC"/>
    <w:rsid w:val="00B544F2"/>
    <w:rsid w:val="00B5450F"/>
    <w:rsid w:val="00B54554"/>
    <w:rsid w:val="00B5456B"/>
    <w:rsid w:val="00B545BC"/>
    <w:rsid w:val="00B545FD"/>
    <w:rsid w:val="00B54658"/>
    <w:rsid w:val="00B54697"/>
    <w:rsid w:val="00B5470B"/>
    <w:rsid w:val="00B54794"/>
    <w:rsid w:val="00B547C3"/>
    <w:rsid w:val="00B547E1"/>
    <w:rsid w:val="00B54842"/>
    <w:rsid w:val="00B54904"/>
    <w:rsid w:val="00B549A3"/>
    <w:rsid w:val="00B54A6E"/>
    <w:rsid w:val="00B54A7E"/>
    <w:rsid w:val="00B54B32"/>
    <w:rsid w:val="00B54B3D"/>
    <w:rsid w:val="00B54B4F"/>
    <w:rsid w:val="00B54B58"/>
    <w:rsid w:val="00B54B70"/>
    <w:rsid w:val="00B54B88"/>
    <w:rsid w:val="00B54B98"/>
    <w:rsid w:val="00B54BA0"/>
    <w:rsid w:val="00B54BFE"/>
    <w:rsid w:val="00B54C88"/>
    <w:rsid w:val="00B54CB5"/>
    <w:rsid w:val="00B54D21"/>
    <w:rsid w:val="00B54D84"/>
    <w:rsid w:val="00B54E58"/>
    <w:rsid w:val="00B54E91"/>
    <w:rsid w:val="00B54ED4"/>
    <w:rsid w:val="00B54EFF"/>
    <w:rsid w:val="00B54F26"/>
    <w:rsid w:val="00B54F41"/>
    <w:rsid w:val="00B54F85"/>
    <w:rsid w:val="00B54FBD"/>
    <w:rsid w:val="00B54FFB"/>
    <w:rsid w:val="00B5505F"/>
    <w:rsid w:val="00B55126"/>
    <w:rsid w:val="00B55160"/>
    <w:rsid w:val="00B5516F"/>
    <w:rsid w:val="00B55225"/>
    <w:rsid w:val="00B553DC"/>
    <w:rsid w:val="00B554AC"/>
    <w:rsid w:val="00B55547"/>
    <w:rsid w:val="00B5559A"/>
    <w:rsid w:val="00B555D6"/>
    <w:rsid w:val="00B55637"/>
    <w:rsid w:val="00B55681"/>
    <w:rsid w:val="00B55687"/>
    <w:rsid w:val="00B556D5"/>
    <w:rsid w:val="00B556F8"/>
    <w:rsid w:val="00B55713"/>
    <w:rsid w:val="00B557C8"/>
    <w:rsid w:val="00B55832"/>
    <w:rsid w:val="00B55855"/>
    <w:rsid w:val="00B55898"/>
    <w:rsid w:val="00B55956"/>
    <w:rsid w:val="00B55967"/>
    <w:rsid w:val="00B5598A"/>
    <w:rsid w:val="00B55A4E"/>
    <w:rsid w:val="00B55A68"/>
    <w:rsid w:val="00B55ADF"/>
    <w:rsid w:val="00B55B2E"/>
    <w:rsid w:val="00B55B57"/>
    <w:rsid w:val="00B55C2B"/>
    <w:rsid w:val="00B55C54"/>
    <w:rsid w:val="00B55CA9"/>
    <w:rsid w:val="00B55E39"/>
    <w:rsid w:val="00B55EC0"/>
    <w:rsid w:val="00B55F40"/>
    <w:rsid w:val="00B55F4D"/>
    <w:rsid w:val="00B55F89"/>
    <w:rsid w:val="00B5602C"/>
    <w:rsid w:val="00B56074"/>
    <w:rsid w:val="00B560CB"/>
    <w:rsid w:val="00B5612F"/>
    <w:rsid w:val="00B56167"/>
    <w:rsid w:val="00B561A4"/>
    <w:rsid w:val="00B561D3"/>
    <w:rsid w:val="00B5621F"/>
    <w:rsid w:val="00B5623B"/>
    <w:rsid w:val="00B5624C"/>
    <w:rsid w:val="00B5626B"/>
    <w:rsid w:val="00B5628B"/>
    <w:rsid w:val="00B5635D"/>
    <w:rsid w:val="00B5637C"/>
    <w:rsid w:val="00B563F6"/>
    <w:rsid w:val="00B5645A"/>
    <w:rsid w:val="00B564EC"/>
    <w:rsid w:val="00B5653E"/>
    <w:rsid w:val="00B56616"/>
    <w:rsid w:val="00B56641"/>
    <w:rsid w:val="00B5665D"/>
    <w:rsid w:val="00B56686"/>
    <w:rsid w:val="00B5669C"/>
    <w:rsid w:val="00B56768"/>
    <w:rsid w:val="00B567A5"/>
    <w:rsid w:val="00B567BA"/>
    <w:rsid w:val="00B567EA"/>
    <w:rsid w:val="00B567EC"/>
    <w:rsid w:val="00B5683C"/>
    <w:rsid w:val="00B56893"/>
    <w:rsid w:val="00B5689F"/>
    <w:rsid w:val="00B568BA"/>
    <w:rsid w:val="00B5699B"/>
    <w:rsid w:val="00B5699D"/>
    <w:rsid w:val="00B569A4"/>
    <w:rsid w:val="00B56A10"/>
    <w:rsid w:val="00B56AD1"/>
    <w:rsid w:val="00B56B0B"/>
    <w:rsid w:val="00B56B0F"/>
    <w:rsid w:val="00B56B6F"/>
    <w:rsid w:val="00B56C2D"/>
    <w:rsid w:val="00B56C4B"/>
    <w:rsid w:val="00B56C53"/>
    <w:rsid w:val="00B56C5B"/>
    <w:rsid w:val="00B56DAE"/>
    <w:rsid w:val="00B56DB8"/>
    <w:rsid w:val="00B56DF4"/>
    <w:rsid w:val="00B56E40"/>
    <w:rsid w:val="00B56ECA"/>
    <w:rsid w:val="00B56EF1"/>
    <w:rsid w:val="00B56F95"/>
    <w:rsid w:val="00B56FA3"/>
    <w:rsid w:val="00B56FB1"/>
    <w:rsid w:val="00B57017"/>
    <w:rsid w:val="00B57035"/>
    <w:rsid w:val="00B5705F"/>
    <w:rsid w:val="00B57243"/>
    <w:rsid w:val="00B57285"/>
    <w:rsid w:val="00B572C3"/>
    <w:rsid w:val="00B572CF"/>
    <w:rsid w:val="00B5731D"/>
    <w:rsid w:val="00B5733C"/>
    <w:rsid w:val="00B57353"/>
    <w:rsid w:val="00B57379"/>
    <w:rsid w:val="00B5737A"/>
    <w:rsid w:val="00B57422"/>
    <w:rsid w:val="00B57432"/>
    <w:rsid w:val="00B5754D"/>
    <w:rsid w:val="00B57590"/>
    <w:rsid w:val="00B57595"/>
    <w:rsid w:val="00B57652"/>
    <w:rsid w:val="00B576AA"/>
    <w:rsid w:val="00B57716"/>
    <w:rsid w:val="00B5773F"/>
    <w:rsid w:val="00B57777"/>
    <w:rsid w:val="00B577BE"/>
    <w:rsid w:val="00B5783D"/>
    <w:rsid w:val="00B5785B"/>
    <w:rsid w:val="00B5789D"/>
    <w:rsid w:val="00B578BC"/>
    <w:rsid w:val="00B5794A"/>
    <w:rsid w:val="00B57A80"/>
    <w:rsid w:val="00B57A96"/>
    <w:rsid w:val="00B57AB6"/>
    <w:rsid w:val="00B57AD8"/>
    <w:rsid w:val="00B57AEF"/>
    <w:rsid w:val="00B57B2F"/>
    <w:rsid w:val="00B57C9A"/>
    <w:rsid w:val="00B57D86"/>
    <w:rsid w:val="00B57D89"/>
    <w:rsid w:val="00B57D8F"/>
    <w:rsid w:val="00B57E11"/>
    <w:rsid w:val="00B57E43"/>
    <w:rsid w:val="00B57EC8"/>
    <w:rsid w:val="00B57F53"/>
    <w:rsid w:val="00B57F5F"/>
    <w:rsid w:val="00B60017"/>
    <w:rsid w:val="00B600CD"/>
    <w:rsid w:val="00B600D6"/>
    <w:rsid w:val="00B601B9"/>
    <w:rsid w:val="00B601ED"/>
    <w:rsid w:val="00B602EC"/>
    <w:rsid w:val="00B60346"/>
    <w:rsid w:val="00B603A3"/>
    <w:rsid w:val="00B603B1"/>
    <w:rsid w:val="00B60414"/>
    <w:rsid w:val="00B6044F"/>
    <w:rsid w:val="00B604ED"/>
    <w:rsid w:val="00B6050C"/>
    <w:rsid w:val="00B60536"/>
    <w:rsid w:val="00B6054D"/>
    <w:rsid w:val="00B605CE"/>
    <w:rsid w:val="00B60625"/>
    <w:rsid w:val="00B60636"/>
    <w:rsid w:val="00B6063F"/>
    <w:rsid w:val="00B606FB"/>
    <w:rsid w:val="00B6078A"/>
    <w:rsid w:val="00B60796"/>
    <w:rsid w:val="00B607CE"/>
    <w:rsid w:val="00B60834"/>
    <w:rsid w:val="00B6083E"/>
    <w:rsid w:val="00B60869"/>
    <w:rsid w:val="00B6089D"/>
    <w:rsid w:val="00B608CC"/>
    <w:rsid w:val="00B608DE"/>
    <w:rsid w:val="00B609B9"/>
    <w:rsid w:val="00B60A21"/>
    <w:rsid w:val="00B60A51"/>
    <w:rsid w:val="00B60A82"/>
    <w:rsid w:val="00B60A84"/>
    <w:rsid w:val="00B60AEE"/>
    <w:rsid w:val="00B60BC3"/>
    <w:rsid w:val="00B60C01"/>
    <w:rsid w:val="00B60C15"/>
    <w:rsid w:val="00B60C73"/>
    <w:rsid w:val="00B60CF0"/>
    <w:rsid w:val="00B60D4F"/>
    <w:rsid w:val="00B60DCD"/>
    <w:rsid w:val="00B60DE9"/>
    <w:rsid w:val="00B60E32"/>
    <w:rsid w:val="00B60E37"/>
    <w:rsid w:val="00B60E89"/>
    <w:rsid w:val="00B60F84"/>
    <w:rsid w:val="00B61027"/>
    <w:rsid w:val="00B610D1"/>
    <w:rsid w:val="00B61103"/>
    <w:rsid w:val="00B611BF"/>
    <w:rsid w:val="00B611E6"/>
    <w:rsid w:val="00B61295"/>
    <w:rsid w:val="00B61296"/>
    <w:rsid w:val="00B612A8"/>
    <w:rsid w:val="00B61383"/>
    <w:rsid w:val="00B61386"/>
    <w:rsid w:val="00B613BB"/>
    <w:rsid w:val="00B613C2"/>
    <w:rsid w:val="00B6146D"/>
    <w:rsid w:val="00B61486"/>
    <w:rsid w:val="00B614BB"/>
    <w:rsid w:val="00B614FB"/>
    <w:rsid w:val="00B615B6"/>
    <w:rsid w:val="00B6161E"/>
    <w:rsid w:val="00B6172F"/>
    <w:rsid w:val="00B61781"/>
    <w:rsid w:val="00B617BE"/>
    <w:rsid w:val="00B617C9"/>
    <w:rsid w:val="00B617CF"/>
    <w:rsid w:val="00B61809"/>
    <w:rsid w:val="00B61877"/>
    <w:rsid w:val="00B6187C"/>
    <w:rsid w:val="00B6193D"/>
    <w:rsid w:val="00B6197C"/>
    <w:rsid w:val="00B61982"/>
    <w:rsid w:val="00B619CA"/>
    <w:rsid w:val="00B619FE"/>
    <w:rsid w:val="00B61A33"/>
    <w:rsid w:val="00B61A6B"/>
    <w:rsid w:val="00B61A95"/>
    <w:rsid w:val="00B61AE3"/>
    <w:rsid w:val="00B61B07"/>
    <w:rsid w:val="00B61B81"/>
    <w:rsid w:val="00B61CBF"/>
    <w:rsid w:val="00B61D6C"/>
    <w:rsid w:val="00B61DE2"/>
    <w:rsid w:val="00B61F45"/>
    <w:rsid w:val="00B61FB1"/>
    <w:rsid w:val="00B62010"/>
    <w:rsid w:val="00B620B3"/>
    <w:rsid w:val="00B62191"/>
    <w:rsid w:val="00B621B1"/>
    <w:rsid w:val="00B621BB"/>
    <w:rsid w:val="00B622C9"/>
    <w:rsid w:val="00B62348"/>
    <w:rsid w:val="00B6237B"/>
    <w:rsid w:val="00B62483"/>
    <w:rsid w:val="00B624DF"/>
    <w:rsid w:val="00B624F8"/>
    <w:rsid w:val="00B6253E"/>
    <w:rsid w:val="00B62585"/>
    <w:rsid w:val="00B626A7"/>
    <w:rsid w:val="00B626B6"/>
    <w:rsid w:val="00B62730"/>
    <w:rsid w:val="00B6280F"/>
    <w:rsid w:val="00B6285A"/>
    <w:rsid w:val="00B6295D"/>
    <w:rsid w:val="00B629D5"/>
    <w:rsid w:val="00B62A12"/>
    <w:rsid w:val="00B62A16"/>
    <w:rsid w:val="00B62A27"/>
    <w:rsid w:val="00B62ACE"/>
    <w:rsid w:val="00B62ADE"/>
    <w:rsid w:val="00B62B16"/>
    <w:rsid w:val="00B62B4A"/>
    <w:rsid w:val="00B62B4B"/>
    <w:rsid w:val="00B62B89"/>
    <w:rsid w:val="00B62BFD"/>
    <w:rsid w:val="00B62C55"/>
    <w:rsid w:val="00B62C8F"/>
    <w:rsid w:val="00B62CCF"/>
    <w:rsid w:val="00B62DB3"/>
    <w:rsid w:val="00B62DB8"/>
    <w:rsid w:val="00B62DCC"/>
    <w:rsid w:val="00B62DFD"/>
    <w:rsid w:val="00B62E6B"/>
    <w:rsid w:val="00B62E9A"/>
    <w:rsid w:val="00B62EC9"/>
    <w:rsid w:val="00B62FB1"/>
    <w:rsid w:val="00B62FDB"/>
    <w:rsid w:val="00B62FE1"/>
    <w:rsid w:val="00B630F4"/>
    <w:rsid w:val="00B63117"/>
    <w:rsid w:val="00B631BD"/>
    <w:rsid w:val="00B63254"/>
    <w:rsid w:val="00B632FE"/>
    <w:rsid w:val="00B63333"/>
    <w:rsid w:val="00B63334"/>
    <w:rsid w:val="00B63383"/>
    <w:rsid w:val="00B633D1"/>
    <w:rsid w:val="00B63496"/>
    <w:rsid w:val="00B63501"/>
    <w:rsid w:val="00B6354A"/>
    <w:rsid w:val="00B635D4"/>
    <w:rsid w:val="00B635E8"/>
    <w:rsid w:val="00B635F0"/>
    <w:rsid w:val="00B636C9"/>
    <w:rsid w:val="00B636E7"/>
    <w:rsid w:val="00B63776"/>
    <w:rsid w:val="00B637B1"/>
    <w:rsid w:val="00B6382A"/>
    <w:rsid w:val="00B6385E"/>
    <w:rsid w:val="00B638E0"/>
    <w:rsid w:val="00B63945"/>
    <w:rsid w:val="00B63A22"/>
    <w:rsid w:val="00B63A32"/>
    <w:rsid w:val="00B63A8D"/>
    <w:rsid w:val="00B63AB9"/>
    <w:rsid w:val="00B63AC1"/>
    <w:rsid w:val="00B63B24"/>
    <w:rsid w:val="00B63B35"/>
    <w:rsid w:val="00B63BB7"/>
    <w:rsid w:val="00B63C1E"/>
    <w:rsid w:val="00B63CFE"/>
    <w:rsid w:val="00B63D2B"/>
    <w:rsid w:val="00B63D59"/>
    <w:rsid w:val="00B63DB0"/>
    <w:rsid w:val="00B63DF8"/>
    <w:rsid w:val="00B63E56"/>
    <w:rsid w:val="00B63EA3"/>
    <w:rsid w:val="00B63EB3"/>
    <w:rsid w:val="00B63F10"/>
    <w:rsid w:val="00B63F14"/>
    <w:rsid w:val="00B63F16"/>
    <w:rsid w:val="00B63F4C"/>
    <w:rsid w:val="00B63FE1"/>
    <w:rsid w:val="00B64017"/>
    <w:rsid w:val="00B64073"/>
    <w:rsid w:val="00B640AF"/>
    <w:rsid w:val="00B6414B"/>
    <w:rsid w:val="00B6420F"/>
    <w:rsid w:val="00B642BC"/>
    <w:rsid w:val="00B642C4"/>
    <w:rsid w:val="00B64428"/>
    <w:rsid w:val="00B644B0"/>
    <w:rsid w:val="00B644E4"/>
    <w:rsid w:val="00B64552"/>
    <w:rsid w:val="00B64561"/>
    <w:rsid w:val="00B64570"/>
    <w:rsid w:val="00B64572"/>
    <w:rsid w:val="00B6460B"/>
    <w:rsid w:val="00B6460F"/>
    <w:rsid w:val="00B64618"/>
    <w:rsid w:val="00B64634"/>
    <w:rsid w:val="00B64665"/>
    <w:rsid w:val="00B64706"/>
    <w:rsid w:val="00B6472F"/>
    <w:rsid w:val="00B6474B"/>
    <w:rsid w:val="00B647B8"/>
    <w:rsid w:val="00B64829"/>
    <w:rsid w:val="00B6485A"/>
    <w:rsid w:val="00B648AD"/>
    <w:rsid w:val="00B648B3"/>
    <w:rsid w:val="00B64901"/>
    <w:rsid w:val="00B6491A"/>
    <w:rsid w:val="00B6492C"/>
    <w:rsid w:val="00B64934"/>
    <w:rsid w:val="00B6494E"/>
    <w:rsid w:val="00B6498A"/>
    <w:rsid w:val="00B64A4E"/>
    <w:rsid w:val="00B64A60"/>
    <w:rsid w:val="00B64B16"/>
    <w:rsid w:val="00B64C64"/>
    <w:rsid w:val="00B64CC2"/>
    <w:rsid w:val="00B64CF3"/>
    <w:rsid w:val="00B64D0A"/>
    <w:rsid w:val="00B64DD9"/>
    <w:rsid w:val="00B64E0A"/>
    <w:rsid w:val="00B64E17"/>
    <w:rsid w:val="00B64E92"/>
    <w:rsid w:val="00B64EE2"/>
    <w:rsid w:val="00B64F25"/>
    <w:rsid w:val="00B64F32"/>
    <w:rsid w:val="00B64F6C"/>
    <w:rsid w:val="00B64F85"/>
    <w:rsid w:val="00B64FA3"/>
    <w:rsid w:val="00B64FA9"/>
    <w:rsid w:val="00B64FC5"/>
    <w:rsid w:val="00B64FCC"/>
    <w:rsid w:val="00B64FCE"/>
    <w:rsid w:val="00B65038"/>
    <w:rsid w:val="00B6513D"/>
    <w:rsid w:val="00B65165"/>
    <w:rsid w:val="00B6518C"/>
    <w:rsid w:val="00B651B0"/>
    <w:rsid w:val="00B65285"/>
    <w:rsid w:val="00B6539F"/>
    <w:rsid w:val="00B653C6"/>
    <w:rsid w:val="00B65435"/>
    <w:rsid w:val="00B654FE"/>
    <w:rsid w:val="00B65505"/>
    <w:rsid w:val="00B65511"/>
    <w:rsid w:val="00B65607"/>
    <w:rsid w:val="00B65673"/>
    <w:rsid w:val="00B656A6"/>
    <w:rsid w:val="00B656D2"/>
    <w:rsid w:val="00B65703"/>
    <w:rsid w:val="00B65752"/>
    <w:rsid w:val="00B65753"/>
    <w:rsid w:val="00B6578F"/>
    <w:rsid w:val="00B65850"/>
    <w:rsid w:val="00B65856"/>
    <w:rsid w:val="00B6586D"/>
    <w:rsid w:val="00B658A1"/>
    <w:rsid w:val="00B658C9"/>
    <w:rsid w:val="00B658F0"/>
    <w:rsid w:val="00B65929"/>
    <w:rsid w:val="00B65962"/>
    <w:rsid w:val="00B659D8"/>
    <w:rsid w:val="00B65A97"/>
    <w:rsid w:val="00B65AD1"/>
    <w:rsid w:val="00B65B19"/>
    <w:rsid w:val="00B65B3F"/>
    <w:rsid w:val="00B65B7D"/>
    <w:rsid w:val="00B65B96"/>
    <w:rsid w:val="00B65BEF"/>
    <w:rsid w:val="00B65DD7"/>
    <w:rsid w:val="00B65E02"/>
    <w:rsid w:val="00B65EF4"/>
    <w:rsid w:val="00B65F4E"/>
    <w:rsid w:val="00B6601C"/>
    <w:rsid w:val="00B66116"/>
    <w:rsid w:val="00B66122"/>
    <w:rsid w:val="00B66182"/>
    <w:rsid w:val="00B66184"/>
    <w:rsid w:val="00B661C4"/>
    <w:rsid w:val="00B6623C"/>
    <w:rsid w:val="00B66245"/>
    <w:rsid w:val="00B662E0"/>
    <w:rsid w:val="00B6630C"/>
    <w:rsid w:val="00B663BC"/>
    <w:rsid w:val="00B663C4"/>
    <w:rsid w:val="00B663F0"/>
    <w:rsid w:val="00B6640D"/>
    <w:rsid w:val="00B6644B"/>
    <w:rsid w:val="00B66454"/>
    <w:rsid w:val="00B66491"/>
    <w:rsid w:val="00B664CC"/>
    <w:rsid w:val="00B664F7"/>
    <w:rsid w:val="00B66507"/>
    <w:rsid w:val="00B66565"/>
    <w:rsid w:val="00B66592"/>
    <w:rsid w:val="00B6664E"/>
    <w:rsid w:val="00B66665"/>
    <w:rsid w:val="00B66732"/>
    <w:rsid w:val="00B667A8"/>
    <w:rsid w:val="00B66802"/>
    <w:rsid w:val="00B6680D"/>
    <w:rsid w:val="00B66846"/>
    <w:rsid w:val="00B66862"/>
    <w:rsid w:val="00B66892"/>
    <w:rsid w:val="00B66895"/>
    <w:rsid w:val="00B668A2"/>
    <w:rsid w:val="00B66A40"/>
    <w:rsid w:val="00B66A45"/>
    <w:rsid w:val="00B66AC6"/>
    <w:rsid w:val="00B66B2A"/>
    <w:rsid w:val="00B66BDE"/>
    <w:rsid w:val="00B66BDF"/>
    <w:rsid w:val="00B66BF5"/>
    <w:rsid w:val="00B66C1F"/>
    <w:rsid w:val="00B66CC1"/>
    <w:rsid w:val="00B66D3C"/>
    <w:rsid w:val="00B66DDE"/>
    <w:rsid w:val="00B66E03"/>
    <w:rsid w:val="00B66E93"/>
    <w:rsid w:val="00B66E97"/>
    <w:rsid w:val="00B66ED2"/>
    <w:rsid w:val="00B66F0C"/>
    <w:rsid w:val="00B66F49"/>
    <w:rsid w:val="00B66F89"/>
    <w:rsid w:val="00B66FEC"/>
    <w:rsid w:val="00B6707D"/>
    <w:rsid w:val="00B670A8"/>
    <w:rsid w:val="00B670AA"/>
    <w:rsid w:val="00B670DB"/>
    <w:rsid w:val="00B670F3"/>
    <w:rsid w:val="00B671B2"/>
    <w:rsid w:val="00B67204"/>
    <w:rsid w:val="00B67241"/>
    <w:rsid w:val="00B672DD"/>
    <w:rsid w:val="00B67353"/>
    <w:rsid w:val="00B673E1"/>
    <w:rsid w:val="00B67405"/>
    <w:rsid w:val="00B6741A"/>
    <w:rsid w:val="00B67433"/>
    <w:rsid w:val="00B67446"/>
    <w:rsid w:val="00B67449"/>
    <w:rsid w:val="00B6750C"/>
    <w:rsid w:val="00B67566"/>
    <w:rsid w:val="00B6757E"/>
    <w:rsid w:val="00B675F9"/>
    <w:rsid w:val="00B676C2"/>
    <w:rsid w:val="00B6778B"/>
    <w:rsid w:val="00B6785A"/>
    <w:rsid w:val="00B679AD"/>
    <w:rsid w:val="00B67A0E"/>
    <w:rsid w:val="00B67A67"/>
    <w:rsid w:val="00B67B5B"/>
    <w:rsid w:val="00B67B86"/>
    <w:rsid w:val="00B67BB0"/>
    <w:rsid w:val="00B67BEF"/>
    <w:rsid w:val="00B67CA4"/>
    <w:rsid w:val="00B67CDF"/>
    <w:rsid w:val="00B67CEA"/>
    <w:rsid w:val="00B67D54"/>
    <w:rsid w:val="00B67D7D"/>
    <w:rsid w:val="00B67D89"/>
    <w:rsid w:val="00B67DB2"/>
    <w:rsid w:val="00B67DC1"/>
    <w:rsid w:val="00B67DE0"/>
    <w:rsid w:val="00B67E62"/>
    <w:rsid w:val="00B67E6F"/>
    <w:rsid w:val="00B67EAF"/>
    <w:rsid w:val="00B67F5D"/>
    <w:rsid w:val="00B67F77"/>
    <w:rsid w:val="00B67F91"/>
    <w:rsid w:val="00B67FC0"/>
    <w:rsid w:val="00B67FDA"/>
    <w:rsid w:val="00B67FFA"/>
    <w:rsid w:val="00B70037"/>
    <w:rsid w:val="00B70038"/>
    <w:rsid w:val="00B7008A"/>
    <w:rsid w:val="00B7022A"/>
    <w:rsid w:val="00B70230"/>
    <w:rsid w:val="00B702C1"/>
    <w:rsid w:val="00B702C8"/>
    <w:rsid w:val="00B702D1"/>
    <w:rsid w:val="00B703F8"/>
    <w:rsid w:val="00B704BE"/>
    <w:rsid w:val="00B705B2"/>
    <w:rsid w:val="00B7064E"/>
    <w:rsid w:val="00B706C7"/>
    <w:rsid w:val="00B706E0"/>
    <w:rsid w:val="00B7076E"/>
    <w:rsid w:val="00B7079F"/>
    <w:rsid w:val="00B707CB"/>
    <w:rsid w:val="00B7082E"/>
    <w:rsid w:val="00B7088B"/>
    <w:rsid w:val="00B7089A"/>
    <w:rsid w:val="00B709AE"/>
    <w:rsid w:val="00B709F4"/>
    <w:rsid w:val="00B70A19"/>
    <w:rsid w:val="00B70AA1"/>
    <w:rsid w:val="00B70ACB"/>
    <w:rsid w:val="00B70AF0"/>
    <w:rsid w:val="00B70B4A"/>
    <w:rsid w:val="00B70B69"/>
    <w:rsid w:val="00B70BD0"/>
    <w:rsid w:val="00B70BE1"/>
    <w:rsid w:val="00B70BE6"/>
    <w:rsid w:val="00B70C07"/>
    <w:rsid w:val="00B70C52"/>
    <w:rsid w:val="00B70D63"/>
    <w:rsid w:val="00B70DDE"/>
    <w:rsid w:val="00B70E24"/>
    <w:rsid w:val="00B70E34"/>
    <w:rsid w:val="00B70ED0"/>
    <w:rsid w:val="00B70F24"/>
    <w:rsid w:val="00B70F29"/>
    <w:rsid w:val="00B70FCE"/>
    <w:rsid w:val="00B71011"/>
    <w:rsid w:val="00B71059"/>
    <w:rsid w:val="00B7112B"/>
    <w:rsid w:val="00B71138"/>
    <w:rsid w:val="00B711B4"/>
    <w:rsid w:val="00B711C6"/>
    <w:rsid w:val="00B71231"/>
    <w:rsid w:val="00B7135F"/>
    <w:rsid w:val="00B7144D"/>
    <w:rsid w:val="00B714FA"/>
    <w:rsid w:val="00B7163E"/>
    <w:rsid w:val="00B716A2"/>
    <w:rsid w:val="00B716CE"/>
    <w:rsid w:val="00B716E2"/>
    <w:rsid w:val="00B71746"/>
    <w:rsid w:val="00B71754"/>
    <w:rsid w:val="00B71778"/>
    <w:rsid w:val="00B717BE"/>
    <w:rsid w:val="00B717E3"/>
    <w:rsid w:val="00B7182B"/>
    <w:rsid w:val="00B71857"/>
    <w:rsid w:val="00B71874"/>
    <w:rsid w:val="00B718E5"/>
    <w:rsid w:val="00B718F7"/>
    <w:rsid w:val="00B71902"/>
    <w:rsid w:val="00B7190A"/>
    <w:rsid w:val="00B71927"/>
    <w:rsid w:val="00B71A35"/>
    <w:rsid w:val="00B71AC8"/>
    <w:rsid w:val="00B71ACD"/>
    <w:rsid w:val="00B71AF6"/>
    <w:rsid w:val="00B71BCB"/>
    <w:rsid w:val="00B71BD7"/>
    <w:rsid w:val="00B71D00"/>
    <w:rsid w:val="00B71D27"/>
    <w:rsid w:val="00B71D2C"/>
    <w:rsid w:val="00B71D9C"/>
    <w:rsid w:val="00B71DB3"/>
    <w:rsid w:val="00B71E1B"/>
    <w:rsid w:val="00B71E5B"/>
    <w:rsid w:val="00B71EA3"/>
    <w:rsid w:val="00B71EA4"/>
    <w:rsid w:val="00B71FDD"/>
    <w:rsid w:val="00B72042"/>
    <w:rsid w:val="00B720E3"/>
    <w:rsid w:val="00B720FB"/>
    <w:rsid w:val="00B720FD"/>
    <w:rsid w:val="00B72104"/>
    <w:rsid w:val="00B7220D"/>
    <w:rsid w:val="00B7225A"/>
    <w:rsid w:val="00B72275"/>
    <w:rsid w:val="00B7229E"/>
    <w:rsid w:val="00B72335"/>
    <w:rsid w:val="00B72358"/>
    <w:rsid w:val="00B723A9"/>
    <w:rsid w:val="00B72421"/>
    <w:rsid w:val="00B7245B"/>
    <w:rsid w:val="00B7248C"/>
    <w:rsid w:val="00B72497"/>
    <w:rsid w:val="00B724FE"/>
    <w:rsid w:val="00B72515"/>
    <w:rsid w:val="00B7252D"/>
    <w:rsid w:val="00B7256C"/>
    <w:rsid w:val="00B7257B"/>
    <w:rsid w:val="00B72594"/>
    <w:rsid w:val="00B725B8"/>
    <w:rsid w:val="00B725F7"/>
    <w:rsid w:val="00B72622"/>
    <w:rsid w:val="00B72642"/>
    <w:rsid w:val="00B7264F"/>
    <w:rsid w:val="00B7267D"/>
    <w:rsid w:val="00B726B1"/>
    <w:rsid w:val="00B72756"/>
    <w:rsid w:val="00B72778"/>
    <w:rsid w:val="00B727B4"/>
    <w:rsid w:val="00B727F0"/>
    <w:rsid w:val="00B728DE"/>
    <w:rsid w:val="00B72A1B"/>
    <w:rsid w:val="00B72A32"/>
    <w:rsid w:val="00B72A36"/>
    <w:rsid w:val="00B72A9C"/>
    <w:rsid w:val="00B72CEC"/>
    <w:rsid w:val="00B72D00"/>
    <w:rsid w:val="00B72D73"/>
    <w:rsid w:val="00B72DF7"/>
    <w:rsid w:val="00B72DF8"/>
    <w:rsid w:val="00B72E20"/>
    <w:rsid w:val="00B72F27"/>
    <w:rsid w:val="00B72F44"/>
    <w:rsid w:val="00B72FA1"/>
    <w:rsid w:val="00B72FFC"/>
    <w:rsid w:val="00B7309C"/>
    <w:rsid w:val="00B730E1"/>
    <w:rsid w:val="00B730ED"/>
    <w:rsid w:val="00B731A9"/>
    <w:rsid w:val="00B731D7"/>
    <w:rsid w:val="00B7321D"/>
    <w:rsid w:val="00B73251"/>
    <w:rsid w:val="00B732AB"/>
    <w:rsid w:val="00B732C5"/>
    <w:rsid w:val="00B732FB"/>
    <w:rsid w:val="00B7339A"/>
    <w:rsid w:val="00B733EE"/>
    <w:rsid w:val="00B733F2"/>
    <w:rsid w:val="00B73420"/>
    <w:rsid w:val="00B734D0"/>
    <w:rsid w:val="00B73531"/>
    <w:rsid w:val="00B73561"/>
    <w:rsid w:val="00B7361F"/>
    <w:rsid w:val="00B73682"/>
    <w:rsid w:val="00B736B5"/>
    <w:rsid w:val="00B736B6"/>
    <w:rsid w:val="00B736C2"/>
    <w:rsid w:val="00B736C9"/>
    <w:rsid w:val="00B736FB"/>
    <w:rsid w:val="00B737A1"/>
    <w:rsid w:val="00B7381E"/>
    <w:rsid w:val="00B7385A"/>
    <w:rsid w:val="00B73864"/>
    <w:rsid w:val="00B7386E"/>
    <w:rsid w:val="00B73940"/>
    <w:rsid w:val="00B73979"/>
    <w:rsid w:val="00B739AC"/>
    <w:rsid w:val="00B739B8"/>
    <w:rsid w:val="00B739EA"/>
    <w:rsid w:val="00B73A3D"/>
    <w:rsid w:val="00B73A4A"/>
    <w:rsid w:val="00B73B06"/>
    <w:rsid w:val="00B73B48"/>
    <w:rsid w:val="00B73B89"/>
    <w:rsid w:val="00B73BB3"/>
    <w:rsid w:val="00B73BBB"/>
    <w:rsid w:val="00B73C38"/>
    <w:rsid w:val="00B73D79"/>
    <w:rsid w:val="00B73DFD"/>
    <w:rsid w:val="00B73E50"/>
    <w:rsid w:val="00B73E97"/>
    <w:rsid w:val="00B73ECC"/>
    <w:rsid w:val="00B73F7F"/>
    <w:rsid w:val="00B74021"/>
    <w:rsid w:val="00B74054"/>
    <w:rsid w:val="00B7408C"/>
    <w:rsid w:val="00B740A2"/>
    <w:rsid w:val="00B74111"/>
    <w:rsid w:val="00B74139"/>
    <w:rsid w:val="00B74195"/>
    <w:rsid w:val="00B742D7"/>
    <w:rsid w:val="00B7438C"/>
    <w:rsid w:val="00B743CC"/>
    <w:rsid w:val="00B743E0"/>
    <w:rsid w:val="00B7440F"/>
    <w:rsid w:val="00B7442C"/>
    <w:rsid w:val="00B744B4"/>
    <w:rsid w:val="00B744CA"/>
    <w:rsid w:val="00B7453C"/>
    <w:rsid w:val="00B745EE"/>
    <w:rsid w:val="00B74791"/>
    <w:rsid w:val="00B747A7"/>
    <w:rsid w:val="00B747F2"/>
    <w:rsid w:val="00B74816"/>
    <w:rsid w:val="00B74865"/>
    <w:rsid w:val="00B74875"/>
    <w:rsid w:val="00B7487A"/>
    <w:rsid w:val="00B748FD"/>
    <w:rsid w:val="00B7492E"/>
    <w:rsid w:val="00B74982"/>
    <w:rsid w:val="00B7499E"/>
    <w:rsid w:val="00B74A12"/>
    <w:rsid w:val="00B74AE5"/>
    <w:rsid w:val="00B74AF5"/>
    <w:rsid w:val="00B74B31"/>
    <w:rsid w:val="00B74B45"/>
    <w:rsid w:val="00B74BBF"/>
    <w:rsid w:val="00B74BDE"/>
    <w:rsid w:val="00B74C2E"/>
    <w:rsid w:val="00B74C3D"/>
    <w:rsid w:val="00B74C48"/>
    <w:rsid w:val="00B74C61"/>
    <w:rsid w:val="00B74C7B"/>
    <w:rsid w:val="00B74C83"/>
    <w:rsid w:val="00B74CE5"/>
    <w:rsid w:val="00B74D19"/>
    <w:rsid w:val="00B74D1D"/>
    <w:rsid w:val="00B74D36"/>
    <w:rsid w:val="00B74D59"/>
    <w:rsid w:val="00B74DB9"/>
    <w:rsid w:val="00B74DE0"/>
    <w:rsid w:val="00B74E98"/>
    <w:rsid w:val="00B74EB3"/>
    <w:rsid w:val="00B74FFA"/>
    <w:rsid w:val="00B75044"/>
    <w:rsid w:val="00B7504F"/>
    <w:rsid w:val="00B75052"/>
    <w:rsid w:val="00B7508F"/>
    <w:rsid w:val="00B750F0"/>
    <w:rsid w:val="00B750FF"/>
    <w:rsid w:val="00B75104"/>
    <w:rsid w:val="00B7513F"/>
    <w:rsid w:val="00B75211"/>
    <w:rsid w:val="00B75223"/>
    <w:rsid w:val="00B75231"/>
    <w:rsid w:val="00B75362"/>
    <w:rsid w:val="00B7537C"/>
    <w:rsid w:val="00B75389"/>
    <w:rsid w:val="00B75393"/>
    <w:rsid w:val="00B753ED"/>
    <w:rsid w:val="00B75410"/>
    <w:rsid w:val="00B75415"/>
    <w:rsid w:val="00B754C2"/>
    <w:rsid w:val="00B754EA"/>
    <w:rsid w:val="00B7565C"/>
    <w:rsid w:val="00B7568A"/>
    <w:rsid w:val="00B756A1"/>
    <w:rsid w:val="00B7579E"/>
    <w:rsid w:val="00B75934"/>
    <w:rsid w:val="00B7593D"/>
    <w:rsid w:val="00B7595F"/>
    <w:rsid w:val="00B759A2"/>
    <w:rsid w:val="00B759D2"/>
    <w:rsid w:val="00B75A07"/>
    <w:rsid w:val="00B75A32"/>
    <w:rsid w:val="00B75A6C"/>
    <w:rsid w:val="00B75AFF"/>
    <w:rsid w:val="00B75B63"/>
    <w:rsid w:val="00B75B6D"/>
    <w:rsid w:val="00B75B7B"/>
    <w:rsid w:val="00B75BAF"/>
    <w:rsid w:val="00B75BD2"/>
    <w:rsid w:val="00B75BE1"/>
    <w:rsid w:val="00B75C54"/>
    <w:rsid w:val="00B75CA7"/>
    <w:rsid w:val="00B75D42"/>
    <w:rsid w:val="00B75D92"/>
    <w:rsid w:val="00B75EFC"/>
    <w:rsid w:val="00B75F03"/>
    <w:rsid w:val="00B75F1F"/>
    <w:rsid w:val="00B76022"/>
    <w:rsid w:val="00B76046"/>
    <w:rsid w:val="00B7608D"/>
    <w:rsid w:val="00B760A2"/>
    <w:rsid w:val="00B760F1"/>
    <w:rsid w:val="00B76112"/>
    <w:rsid w:val="00B76146"/>
    <w:rsid w:val="00B76173"/>
    <w:rsid w:val="00B761E5"/>
    <w:rsid w:val="00B761F2"/>
    <w:rsid w:val="00B76203"/>
    <w:rsid w:val="00B76341"/>
    <w:rsid w:val="00B76364"/>
    <w:rsid w:val="00B763EA"/>
    <w:rsid w:val="00B7647A"/>
    <w:rsid w:val="00B76507"/>
    <w:rsid w:val="00B765D0"/>
    <w:rsid w:val="00B765FF"/>
    <w:rsid w:val="00B766EF"/>
    <w:rsid w:val="00B766FA"/>
    <w:rsid w:val="00B76700"/>
    <w:rsid w:val="00B76703"/>
    <w:rsid w:val="00B7670D"/>
    <w:rsid w:val="00B76736"/>
    <w:rsid w:val="00B767A7"/>
    <w:rsid w:val="00B768BA"/>
    <w:rsid w:val="00B76935"/>
    <w:rsid w:val="00B769C7"/>
    <w:rsid w:val="00B76B67"/>
    <w:rsid w:val="00B76B89"/>
    <w:rsid w:val="00B76B98"/>
    <w:rsid w:val="00B76BB7"/>
    <w:rsid w:val="00B76BEA"/>
    <w:rsid w:val="00B76C4A"/>
    <w:rsid w:val="00B76C64"/>
    <w:rsid w:val="00B76D41"/>
    <w:rsid w:val="00B76DA9"/>
    <w:rsid w:val="00B76DAB"/>
    <w:rsid w:val="00B76E16"/>
    <w:rsid w:val="00B76E69"/>
    <w:rsid w:val="00B76EA9"/>
    <w:rsid w:val="00B76F94"/>
    <w:rsid w:val="00B76FDB"/>
    <w:rsid w:val="00B76FF5"/>
    <w:rsid w:val="00B77087"/>
    <w:rsid w:val="00B7709F"/>
    <w:rsid w:val="00B77129"/>
    <w:rsid w:val="00B771AD"/>
    <w:rsid w:val="00B772DD"/>
    <w:rsid w:val="00B77319"/>
    <w:rsid w:val="00B7735D"/>
    <w:rsid w:val="00B77395"/>
    <w:rsid w:val="00B7743A"/>
    <w:rsid w:val="00B7744A"/>
    <w:rsid w:val="00B7749A"/>
    <w:rsid w:val="00B774BB"/>
    <w:rsid w:val="00B775D2"/>
    <w:rsid w:val="00B77626"/>
    <w:rsid w:val="00B7765A"/>
    <w:rsid w:val="00B776B0"/>
    <w:rsid w:val="00B77764"/>
    <w:rsid w:val="00B7777F"/>
    <w:rsid w:val="00B77782"/>
    <w:rsid w:val="00B777DF"/>
    <w:rsid w:val="00B7780B"/>
    <w:rsid w:val="00B7780F"/>
    <w:rsid w:val="00B7781F"/>
    <w:rsid w:val="00B7782B"/>
    <w:rsid w:val="00B77861"/>
    <w:rsid w:val="00B7788E"/>
    <w:rsid w:val="00B7790C"/>
    <w:rsid w:val="00B779BF"/>
    <w:rsid w:val="00B77A00"/>
    <w:rsid w:val="00B77AAE"/>
    <w:rsid w:val="00B77AD2"/>
    <w:rsid w:val="00B77AFB"/>
    <w:rsid w:val="00B77B0C"/>
    <w:rsid w:val="00B77BB4"/>
    <w:rsid w:val="00B77C22"/>
    <w:rsid w:val="00B77C45"/>
    <w:rsid w:val="00B77C5A"/>
    <w:rsid w:val="00B77C5F"/>
    <w:rsid w:val="00B77CD8"/>
    <w:rsid w:val="00B77CFA"/>
    <w:rsid w:val="00B77D36"/>
    <w:rsid w:val="00B77D76"/>
    <w:rsid w:val="00B77D78"/>
    <w:rsid w:val="00B77D82"/>
    <w:rsid w:val="00B77D9F"/>
    <w:rsid w:val="00B77DEB"/>
    <w:rsid w:val="00B77E1A"/>
    <w:rsid w:val="00B77E42"/>
    <w:rsid w:val="00B77EC6"/>
    <w:rsid w:val="00B77F06"/>
    <w:rsid w:val="00B77F11"/>
    <w:rsid w:val="00B77FB9"/>
    <w:rsid w:val="00B8002D"/>
    <w:rsid w:val="00B80078"/>
    <w:rsid w:val="00B801E6"/>
    <w:rsid w:val="00B801EF"/>
    <w:rsid w:val="00B801F3"/>
    <w:rsid w:val="00B80228"/>
    <w:rsid w:val="00B8025D"/>
    <w:rsid w:val="00B80281"/>
    <w:rsid w:val="00B802B7"/>
    <w:rsid w:val="00B80306"/>
    <w:rsid w:val="00B80336"/>
    <w:rsid w:val="00B80350"/>
    <w:rsid w:val="00B80356"/>
    <w:rsid w:val="00B80378"/>
    <w:rsid w:val="00B803CF"/>
    <w:rsid w:val="00B8046D"/>
    <w:rsid w:val="00B80501"/>
    <w:rsid w:val="00B80545"/>
    <w:rsid w:val="00B80552"/>
    <w:rsid w:val="00B805B2"/>
    <w:rsid w:val="00B80671"/>
    <w:rsid w:val="00B80772"/>
    <w:rsid w:val="00B8083D"/>
    <w:rsid w:val="00B80893"/>
    <w:rsid w:val="00B80924"/>
    <w:rsid w:val="00B80939"/>
    <w:rsid w:val="00B80972"/>
    <w:rsid w:val="00B80AAB"/>
    <w:rsid w:val="00B80B4A"/>
    <w:rsid w:val="00B80B5F"/>
    <w:rsid w:val="00B80BF4"/>
    <w:rsid w:val="00B80C1D"/>
    <w:rsid w:val="00B80C3E"/>
    <w:rsid w:val="00B80D7C"/>
    <w:rsid w:val="00B80E03"/>
    <w:rsid w:val="00B80E18"/>
    <w:rsid w:val="00B80E28"/>
    <w:rsid w:val="00B80EF7"/>
    <w:rsid w:val="00B80F41"/>
    <w:rsid w:val="00B8107A"/>
    <w:rsid w:val="00B810F2"/>
    <w:rsid w:val="00B81133"/>
    <w:rsid w:val="00B8118B"/>
    <w:rsid w:val="00B81234"/>
    <w:rsid w:val="00B81252"/>
    <w:rsid w:val="00B812F1"/>
    <w:rsid w:val="00B812FE"/>
    <w:rsid w:val="00B8131A"/>
    <w:rsid w:val="00B81335"/>
    <w:rsid w:val="00B8138D"/>
    <w:rsid w:val="00B813E5"/>
    <w:rsid w:val="00B81424"/>
    <w:rsid w:val="00B814AC"/>
    <w:rsid w:val="00B815B7"/>
    <w:rsid w:val="00B81607"/>
    <w:rsid w:val="00B816A7"/>
    <w:rsid w:val="00B816EB"/>
    <w:rsid w:val="00B81763"/>
    <w:rsid w:val="00B81772"/>
    <w:rsid w:val="00B817B1"/>
    <w:rsid w:val="00B817B8"/>
    <w:rsid w:val="00B817DD"/>
    <w:rsid w:val="00B817ED"/>
    <w:rsid w:val="00B81819"/>
    <w:rsid w:val="00B81849"/>
    <w:rsid w:val="00B81933"/>
    <w:rsid w:val="00B81954"/>
    <w:rsid w:val="00B819C1"/>
    <w:rsid w:val="00B819E7"/>
    <w:rsid w:val="00B81B8A"/>
    <w:rsid w:val="00B81BC4"/>
    <w:rsid w:val="00B81C17"/>
    <w:rsid w:val="00B81C51"/>
    <w:rsid w:val="00B81C57"/>
    <w:rsid w:val="00B81CDD"/>
    <w:rsid w:val="00B81D2C"/>
    <w:rsid w:val="00B81D76"/>
    <w:rsid w:val="00B81DA8"/>
    <w:rsid w:val="00B81DDE"/>
    <w:rsid w:val="00B81E03"/>
    <w:rsid w:val="00B81F42"/>
    <w:rsid w:val="00B81F61"/>
    <w:rsid w:val="00B81FA6"/>
    <w:rsid w:val="00B81FC8"/>
    <w:rsid w:val="00B81FCE"/>
    <w:rsid w:val="00B8206A"/>
    <w:rsid w:val="00B820D0"/>
    <w:rsid w:val="00B82113"/>
    <w:rsid w:val="00B82134"/>
    <w:rsid w:val="00B82141"/>
    <w:rsid w:val="00B8216A"/>
    <w:rsid w:val="00B821A3"/>
    <w:rsid w:val="00B821D6"/>
    <w:rsid w:val="00B82237"/>
    <w:rsid w:val="00B82288"/>
    <w:rsid w:val="00B822F3"/>
    <w:rsid w:val="00B82359"/>
    <w:rsid w:val="00B82383"/>
    <w:rsid w:val="00B82393"/>
    <w:rsid w:val="00B82466"/>
    <w:rsid w:val="00B824A8"/>
    <w:rsid w:val="00B824CF"/>
    <w:rsid w:val="00B82566"/>
    <w:rsid w:val="00B826A9"/>
    <w:rsid w:val="00B82772"/>
    <w:rsid w:val="00B82798"/>
    <w:rsid w:val="00B827BB"/>
    <w:rsid w:val="00B827FC"/>
    <w:rsid w:val="00B8282D"/>
    <w:rsid w:val="00B82856"/>
    <w:rsid w:val="00B82877"/>
    <w:rsid w:val="00B828A5"/>
    <w:rsid w:val="00B828C9"/>
    <w:rsid w:val="00B82980"/>
    <w:rsid w:val="00B82A21"/>
    <w:rsid w:val="00B82AB2"/>
    <w:rsid w:val="00B82B17"/>
    <w:rsid w:val="00B82B8E"/>
    <w:rsid w:val="00B82BC7"/>
    <w:rsid w:val="00B82C35"/>
    <w:rsid w:val="00B82D32"/>
    <w:rsid w:val="00B82D5A"/>
    <w:rsid w:val="00B82D92"/>
    <w:rsid w:val="00B82DCA"/>
    <w:rsid w:val="00B82E15"/>
    <w:rsid w:val="00B82E5C"/>
    <w:rsid w:val="00B82EDB"/>
    <w:rsid w:val="00B82EF5"/>
    <w:rsid w:val="00B82F1D"/>
    <w:rsid w:val="00B82F4D"/>
    <w:rsid w:val="00B8303F"/>
    <w:rsid w:val="00B8314C"/>
    <w:rsid w:val="00B831EF"/>
    <w:rsid w:val="00B8327A"/>
    <w:rsid w:val="00B832C3"/>
    <w:rsid w:val="00B832EC"/>
    <w:rsid w:val="00B8336C"/>
    <w:rsid w:val="00B8336E"/>
    <w:rsid w:val="00B83388"/>
    <w:rsid w:val="00B8359B"/>
    <w:rsid w:val="00B835F8"/>
    <w:rsid w:val="00B83678"/>
    <w:rsid w:val="00B836CF"/>
    <w:rsid w:val="00B83711"/>
    <w:rsid w:val="00B83870"/>
    <w:rsid w:val="00B83873"/>
    <w:rsid w:val="00B838C2"/>
    <w:rsid w:val="00B83912"/>
    <w:rsid w:val="00B83936"/>
    <w:rsid w:val="00B839F7"/>
    <w:rsid w:val="00B839F8"/>
    <w:rsid w:val="00B83A2D"/>
    <w:rsid w:val="00B83A92"/>
    <w:rsid w:val="00B83ACA"/>
    <w:rsid w:val="00B83B7A"/>
    <w:rsid w:val="00B83C29"/>
    <w:rsid w:val="00B83C48"/>
    <w:rsid w:val="00B83CA4"/>
    <w:rsid w:val="00B83CC4"/>
    <w:rsid w:val="00B83D50"/>
    <w:rsid w:val="00B83DAC"/>
    <w:rsid w:val="00B83DE4"/>
    <w:rsid w:val="00B83E44"/>
    <w:rsid w:val="00B83E5C"/>
    <w:rsid w:val="00B83E8E"/>
    <w:rsid w:val="00B83F05"/>
    <w:rsid w:val="00B83F26"/>
    <w:rsid w:val="00B83F31"/>
    <w:rsid w:val="00B83F6A"/>
    <w:rsid w:val="00B83FF1"/>
    <w:rsid w:val="00B84023"/>
    <w:rsid w:val="00B84066"/>
    <w:rsid w:val="00B840C6"/>
    <w:rsid w:val="00B84184"/>
    <w:rsid w:val="00B84297"/>
    <w:rsid w:val="00B842B6"/>
    <w:rsid w:val="00B842FF"/>
    <w:rsid w:val="00B84332"/>
    <w:rsid w:val="00B84358"/>
    <w:rsid w:val="00B84462"/>
    <w:rsid w:val="00B844AD"/>
    <w:rsid w:val="00B844BB"/>
    <w:rsid w:val="00B84557"/>
    <w:rsid w:val="00B84591"/>
    <w:rsid w:val="00B8459B"/>
    <w:rsid w:val="00B845AC"/>
    <w:rsid w:val="00B84643"/>
    <w:rsid w:val="00B84706"/>
    <w:rsid w:val="00B8475D"/>
    <w:rsid w:val="00B8479D"/>
    <w:rsid w:val="00B847CB"/>
    <w:rsid w:val="00B848A2"/>
    <w:rsid w:val="00B84929"/>
    <w:rsid w:val="00B849C1"/>
    <w:rsid w:val="00B849C7"/>
    <w:rsid w:val="00B849CE"/>
    <w:rsid w:val="00B849D4"/>
    <w:rsid w:val="00B84A3C"/>
    <w:rsid w:val="00B84A4E"/>
    <w:rsid w:val="00B84A75"/>
    <w:rsid w:val="00B84B58"/>
    <w:rsid w:val="00B84B9A"/>
    <w:rsid w:val="00B84BDB"/>
    <w:rsid w:val="00B84BF5"/>
    <w:rsid w:val="00B84C05"/>
    <w:rsid w:val="00B84CE3"/>
    <w:rsid w:val="00B84CFA"/>
    <w:rsid w:val="00B84D10"/>
    <w:rsid w:val="00B84D21"/>
    <w:rsid w:val="00B84DB5"/>
    <w:rsid w:val="00B84DBF"/>
    <w:rsid w:val="00B84E17"/>
    <w:rsid w:val="00B84EDB"/>
    <w:rsid w:val="00B8502A"/>
    <w:rsid w:val="00B85065"/>
    <w:rsid w:val="00B85067"/>
    <w:rsid w:val="00B850AE"/>
    <w:rsid w:val="00B850D1"/>
    <w:rsid w:val="00B85168"/>
    <w:rsid w:val="00B851AE"/>
    <w:rsid w:val="00B8525B"/>
    <w:rsid w:val="00B852B2"/>
    <w:rsid w:val="00B85338"/>
    <w:rsid w:val="00B85364"/>
    <w:rsid w:val="00B853F9"/>
    <w:rsid w:val="00B85613"/>
    <w:rsid w:val="00B85675"/>
    <w:rsid w:val="00B8567D"/>
    <w:rsid w:val="00B856B4"/>
    <w:rsid w:val="00B856D2"/>
    <w:rsid w:val="00B857DA"/>
    <w:rsid w:val="00B857F7"/>
    <w:rsid w:val="00B85892"/>
    <w:rsid w:val="00B85917"/>
    <w:rsid w:val="00B85A2B"/>
    <w:rsid w:val="00B85A6E"/>
    <w:rsid w:val="00B85A8E"/>
    <w:rsid w:val="00B85AA4"/>
    <w:rsid w:val="00B85BD9"/>
    <w:rsid w:val="00B85BEE"/>
    <w:rsid w:val="00B85C10"/>
    <w:rsid w:val="00B85C25"/>
    <w:rsid w:val="00B85C43"/>
    <w:rsid w:val="00B85C56"/>
    <w:rsid w:val="00B85CB9"/>
    <w:rsid w:val="00B85CDB"/>
    <w:rsid w:val="00B85D2A"/>
    <w:rsid w:val="00B85D75"/>
    <w:rsid w:val="00B85D78"/>
    <w:rsid w:val="00B85DA7"/>
    <w:rsid w:val="00B85DB9"/>
    <w:rsid w:val="00B85DD0"/>
    <w:rsid w:val="00B85DDD"/>
    <w:rsid w:val="00B85E54"/>
    <w:rsid w:val="00B85E96"/>
    <w:rsid w:val="00B85EB4"/>
    <w:rsid w:val="00B85ED6"/>
    <w:rsid w:val="00B85EEA"/>
    <w:rsid w:val="00B85EEF"/>
    <w:rsid w:val="00B8606B"/>
    <w:rsid w:val="00B8613F"/>
    <w:rsid w:val="00B86187"/>
    <w:rsid w:val="00B861F8"/>
    <w:rsid w:val="00B8622B"/>
    <w:rsid w:val="00B8623C"/>
    <w:rsid w:val="00B8626E"/>
    <w:rsid w:val="00B8635F"/>
    <w:rsid w:val="00B8642D"/>
    <w:rsid w:val="00B86454"/>
    <w:rsid w:val="00B86465"/>
    <w:rsid w:val="00B86488"/>
    <w:rsid w:val="00B864C4"/>
    <w:rsid w:val="00B8650F"/>
    <w:rsid w:val="00B86510"/>
    <w:rsid w:val="00B8655E"/>
    <w:rsid w:val="00B865A8"/>
    <w:rsid w:val="00B865B2"/>
    <w:rsid w:val="00B86629"/>
    <w:rsid w:val="00B86633"/>
    <w:rsid w:val="00B86713"/>
    <w:rsid w:val="00B86822"/>
    <w:rsid w:val="00B8686B"/>
    <w:rsid w:val="00B8688A"/>
    <w:rsid w:val="00B8688C"/>
    <w:rsid w:val="00B868DF"/>
    <w:rsid w:val="00B8692B"/>
    <w:rsid w:val="00B86961"/>
    <w:rsid w:val="00B86986"/>
    <w:rsid w:val="00B8698C"/>
    <w:rsid w:val="00B869B0"/>
    <w:rsid w:val="00B869D1"/>
    <w:rsid w:val="00B86A05"/>
    <w:rsid w:val="00B86A43"/>
    <w:rsid w:val="00B86A65"/>
    <w:rsid w:val="00B86AA7"/>
    <w:rsid w:val="00B86B91"/>
    <w:rsid w:val="00B86BD9"/>
    <w:rsid w:val="00B86C28"/>
    <w:rsid w:val="00B86C5A"/>
    <w:rsid w:val="00B86CA7"/>
    <w:rsid w:val="00B86CC9"/>
    <w:rsid w:val="00B86CCA"/>
    <w:rsid w:val="00B86CD3"/>
    <w:rsid w:val="00B86CFF"/>
    <w:rsid w:val="00B86DEE"/>
    <w:rsid w:val="00B86E0A"/>
    <w:rsid w:val="00B86E97"/>
    <w:rsid w:val="00B86ED0"/>
    <w:rsid w:val="00B86F61"/>
    <w:rsid w:val="00B86FD1"/>
    <w:rsid w:val="00B86FE4"/>
    <w:rsid w:val="00B87012"/>
    <w:rsid w:val="00B87029"/>
    <w:rsid w:val="00B87051"/>
    <w:rsid w:val="00B87076"/>
    <w:rsid w:val="00B870AD"/>
    <w:rsid w:val="00B870BC"/>
    <w:rsid w:val="00B87116"/>
    <w:rsid w:val="00B87122"/>
    <w:rsid w:val="00B87165"/>
    <w:rsid w:val="00B8716E"/>
    <w:rsid w:val="00B871A0"/>
    <w:rsid w:val="00B871F0"/>
    <w:rsid w:val="00B87252"/>
    <w:rsid w:val="00B8733B"/>
    <w:rsid w:val="00B87419"/>
    <w:rsid w:val="00B87430"/>
    <w:rsid w:val="00B8752E"/>
    <w:rsid w:val="00B875AB"/>
    <w:rsid w:val="00B875BA"/>
    <w:rsid w:val="00B875E4"/>
    <w:rsid w:val="00B875E9"/>
    <w:rsid w:val="00B87622"/>
    <w:rsid w:val="00B87630"/>
    <w:rsid w:val="00B87648"/>
    <w:rsid w:val="00B87661"/>
    <w:rsid w:val="00B876F0"/>
    <w:rsid w:val="00B87725"/>
    <w:rsid w:val="00B87740"/>
    <w:rsid w:val="00B87781"/>
    <w:rsid w:val="00B877B4"/>
    <w:rsid w:val="00B877DE"/>
    <w:rsid w:val="00B87813"/>
    <w:rsid w:val="00B87827"/>
    <w:rsid w:val="00B87870"/>
    <w:rsid w:val="00B87882"/>
    <w:rsid w:val="00B878B1"/>
    <w:rsid w:val="00B87951"/>
    <w:rsid w:val="00B87998"/>
    <w:rsid w:val="00B879CA"/>
    <w:rsid w:val="00B879CC"/>
    <w:rsid w:val="00B87B4B"/>
    <w:rsid w:val="00B87BAA"/>
    <w:rsid w:val="00B87BB2"/>
    <w:rsid w:val="00B87C95"/>
    <w:rsid w:val="00B87D1D"/>
    <w:rsid w:val="00B87D37"/>
    <w:rsid w:val="00B87E14"/>
    <w:rsid w:val="00B87E3E"/>
    <w:rsid w:val="00B87F47"/>
    <w:rsid w:val="00B9000D"/>
    <w:rsid w:val="00B90052"/>
    <w:rsid w:val="00B90063"/>
    <w:rsid w:val="00B90099"/>
    <w:rsid w:val="00B90100"/>
    <w:rsid w:val="00B90149"/>
    <w:rsid w:val="00B901BF"/>
    <w:rsid w:val="00B901E8"/>
    <w:rsid w:val="00B9026C"/>
    <w:rsid w:val="00B90382"/>
    <w:rsid w:val="00B90395"/>
    <w:rsid w:val="00B90396"/>
    <w:rsid w:val="00B903F6"/>
    <w:rsid w:val="00B90440"/>
    <w:rsid w:val="00B904CB"/>
    <w:rsid w:val="00B904F7"/>
    <w:rsid w:val="00B9051A"/>
    <w:rsid w:val="00B90586"/>
    <w:rsid w:val="00B9063F"/>
    <w:rsid w:val="00B90662"/>
    <w:rsid w:val="00B906FF"/>
    <w:rsid w:val="00B9072E"/>
    <w:rsid w:val="00B9077D"/>
    <w:rsid w:val="00B90812"/>
    <w:rsid w:val="00B90824"/>
    <w:rsid w:val="00B90937"/>
    <w:rsid w:val="00B909B9"/>
    <w:rsid w:val="00B90B21"/>
    <w:rsid w:val="00B90B62"/>
    <w:rsid w:val="00B90BD4"/>
    <w:rsid w:val="00B90C12"/>
    <w:rsid w:val="00B90C49"/>
    <w:rsid w:val="00B90CD0"/>
    <w:rsid w:val="00B90D45"/>
    <w:rsid w:val="00B90D4B"/>
    <w:rsid w:val="00B90D85"/>
    <w:rsid w:val="00B90DE5"/>
    <w:rsid w:val="00B90ECD"/>
    <w:rsid w:val="00B90EE1"/>
    <w:rsid w:val="00B90EFF"/>
    <w:rsid w:val="00B90F59"/>
    <w:rsid w:val="00B90F7E"/>
    <w:rsid w:val="00B90FAC"/>
    <w:rsid w:val="00B90FEC"/>
    <w:rsid w:val="00B91006"/>
    <w:rsid w:val="00B91033"/>
    <w:rsid w:val="00B9110E"/>
    <w:rsid w:val="00B91161"/>
    <w:rsid w:val="00B9118B"/>
    <w:rsid w:val="00B911E8"/>
    <w:rsid w:val="00B91231"/>
    <w:rsid w:val="00B912E9"/>
    <w:rsid w:val="00B9131A"/>
    <w:rsid w:val="00B91338"/>
    <w:rsid w:val="00B91387"/>
    <w:rsid w:val="00B913CA"/>
    <w:rsid w:val="00B9146D"/>
    <w:rsid w:val="00B91579"/>
    <w:rsid w:val="00B915B1"/>
    <w:rsid w:val="00B91602"/>
    <w:rsid w:val="00B9163F"/>
    <w:rsid w:val="00B91664"/>
    <w:rsid w:val="00B9168C"/>
    <w:rsid w:val="00B916AE"/>
    <w:rsid w:val="00B916B1"/>
    <w:rsid w:val="00B916FB"/>
    <w:rsid w:val="00B91700"/>
    <w:rsid w:val="00B917CE"/>
    <w:rsid w:val="00B917E1"/>
    <w:rsid w:val="00B91845"/>
    <w:rsid w:val="00B91887"/>
    <w:rsid w:val="00B9189B"/>
    <w:rsid w:val="00B918F1"/>
    <w:rsid w:val="00B91998"/>
    <w:rsid w:val="00B91B0B"/>
    <w:rsid w:val="00B91C3E"/>
    <w:rsid w:val="00B91CC0"/>
    <w:rsid w:val="00B91CDF"/>
    <w:rsid w:val="00B91CEA"/>
    <w:rsid w:val="00B91D71"/>
    <w:rsid w:val="00B91E4C"/>
    <w:rsid w:val="00B91E50"/>
    <w:rsid w:val="00B91E84"/>
    <w:rsid w:val="00B91EBA"/>
    <w:rsid w:val="00B91F8F"/>
    <w:rsid w:val="00B91FAD"/>
    <w:rsid w:val="00B92022"/>
    <w:rsid w:val="00B92032"/>
    <w:rsid w:val="00B9203B"/>
    <w:rsid w:val="00B92095"/>
    <w:rsid w:val="00B920A6"/>
    <w:rsid w:val="00B920FD"/>
    <w:rsid w:val="00B92173"/>
    <w:rsid w:val="00B9217F"/>
    <w:rsid w:val="00B921B1"/>
    <w:rsid w:val="00B921B2"/>
    <w:rsid w:val="00B921FE"/>
    <w:rsid w:val="00B9223C"/>
    <w:rsid w:val="00B92271"/>
    <w:rsid w:val="00B922C5"/>
    <w:rsid w:val="00B922EA"/>
    <w:rsid w:val="00B92329"/>
    <w:rsid w:val="00B9232A"/>
    <w:rsid w:val="00B9234A"/>
    <w:rsid w:val="00B92385"/>
    <w:rsid w:val="00B92390"/>
    <w:rsid w:val="00B923DE"/>
    <w:rsid w:val="00B9240C"/>
    <w:rsid w:val="00B92477"/>
    <w:rsid w:val="00B9251F"/>
    <w:rsid w:val="00B925DF"/>
    <w:rsid w:val="00B92719"/>
    <w:rsid w:val="00B92816"/>
    <w:rsid w:val="00B928A1"/>
    <w:rsid w:val="00B928DB"/>
    <w:rsid w:val="00B92935"/>
    <w:rsid w:val="00B9295B"/>
    <w:rsid w:val="00B92A20"/>
    <w:rsid w:val="00B92A4C"/>
    <w:rsid w:val="00B92A64"/>
    <w:rsid w:val="00B92ABA"/>
    <w:rsid w:val="00B92B7E"/>
    <w:rsid w:val="00B92C05"/>
    <w:rsid w:val="00B92CEA"/>
    <w:rsid w:val="00B92E39"/>
    <w:rsid w:val="00B92E72"/>
    <w:rsid w:val="00B92E9F"/>
    <w:rsid w:val="00B92ED1"/>
    <w:rsid w:val="00B92EF5"/>
    <w:rsid w:val="00B92F0A"/>
    <w:rsid w:val="00B92F11"/>
    <w:rsid w:val="00B92F7F"/>
    <w:rsid w:val="00B92FE8"/>
    <w:rsid w:val="00B93008"/>
    <w:rsid w:val="00B93040"/>
    <w:rsid w:val="00B930FD"/>
    <w:rsid w:val="00B9310C"/>
    <w:rsid w:val="00B93171"/>
    <w:rsid w:val="00B931BF"/>
    <w:rsid w:val="00B93270"/>
    <w:rsid w:val="00B9334D"/>
    <w:rsid w:val="00B93466"/>
    <w:rsid w:val="00B93471"/>
    <w:rsid w:val="00B9353E"/>
    <w:rsid w:val="00B93547"/>
    <w:rsid w:val="00B9354F"/>
    <w:rsid w:val="00B9357F"/>
    <w:rsid w:val="00B935A5"/>
    <w:rsid w:val="00B935BD"/>
    <w:rsid w:val="00B93635"/>
    <w:rsid w:val="00B93652"/>
    <w:rsid w:val="00B936C1"/>
    <w:rsid w:val="00B936FC"/>
    <w:rsid w:val="00B93726"/>
    <w:rsid w:val="00B9375C"/>
    <w:rsid w:val="00B9375E"/>
    <w:rsid w:val="00B93799"/>
    <w:rsid w:val="00B9383B"/>
    <w:rsid w:val="00B9388D"/>
    <w:rsid w:val="00B938E0"/>
    <w:rsid w:val="00B9393A"/>
    <w:rsid w:val="00B93963"/>
    <w:rsid w:val="00B9399E"/>
    <w:rsid w:val="00B939F9"/>
    <w:rsid w:val="00B939FE"/>
    <w:rsid w:val="00B93A65"/>
    <w:rsid w:val="00B93A71"/>
    <w:rsid w:val="00B93A81"/>
    <w:rsid w:val="00B93ADA"/>
    <w:rsid w:val="00B93B1E"/>
    <w:rsid w:val="00B93BBA"/>
    <w:rsid w:val="00B93C36"/>
    <w:rsid w:val="00B93C92"/>
    <w:rsid w:val="00B93C9C"/>
    <w:rsid w:val="00B93CF9"/>
    <w:rsid w:val="00B93D7C"/>
    <w:rsid w:val="00B93D7E"/>
    <w:rsid w:val="00B93D86"/>
    <w:rsid w:val="00B93E13"/>
    <w:rsid w:val="00B93E1A"/>
    <w:rsid w:val="00B93E44"/>
    <w:rsid w:val="00B93E52"/>
    <w:rsid w:val="00B93F2E"/>
    <w:rsid w:val="00B9402E"/>
    <w:rsid w:val="00B9408E"/>
    <w:rsid w:val="00B940AD"/>
    <w:rsid w:val="00B940B1"/>
    <w:rsid w:val="00B940B5"/>
    <w:rsid w:val="00B940C1"/>
    <w:rsid w:val="00B9410D"/>
    <w:rsid w:val="00B94187"/>
    <w:rsid w:val="00B941D5"/>
    <w:rsid w:val="00B9429C"/>
    <w:rsid w:val="00B94448"/>
    <w:rsid w:val="00B9449B"/>
    <w:rsid w:val="00B944A8"/>
    <w:rsid w:val="00B944D1"/>
    <w:rsid w:val="00B94510"/>
    <w:rsid w:val="00B94547"/>
    <w:rsid w:val="00B945AB"/>
    <w:rsid w:val="00B9461C"/>
    <w:rsid w:val="00B9472F"/>
    <w:rsid w:val="00B94788"/>
    <w:rsid w:val="00B94867"/>
    <w:rsid w:val="00B94878"/>
    <w:rsid w:val="00B9487C"/>
    <w:rsid w:val="00B948B0"/>
    <w:rsid w:val="00B948B7"/>
    <w:rsid w:val="00B948EA"/>
    <w:rsid w:val="00B9490B"/>
    <w:rsid w:val="00B94926"/>
    <w:rsid w:val="00B949BC"/>
    <w:rsid w:val="00B949BE"/>
    <w:rsid w:val="00B94A0A"/>
    <w:rsid w:val="00B94A38"/>
    <w:rsid w:val="00B94A5F"/>
    <w:rsid w:val="00B94A81"/>
    <w:rsid w:val="00B94A8A"/>
    <w:rsid w:val="00B94AD7"/>
    <w:rsid w:val="00B94CC8"/>
    <w:rsid w:val="00B94CD8"/>
    <w:rsid w:val="00B94CDD"/>
    <w:rsid w:val="00B94D88"/>
    <w:rsid w:val="00B94DCB"/>
    <w:rsid w:val="00B94E91"/>
    <w:rsid w:val="00B94F31"/>
    <w:rsid w:val="00B94F35"/>
    <w:rsid w:val="00B94F6D"/>
    <w:rsid w:val="00B94FCE"/>
    <w:rsid w:val="00B94FD5"/>
    <w:rsid w:val="00B95007"/>
    <w:rsid w:val="00B9503B"/>
    <w:rsid w:val="00B95116"/>
    <w:rsid w:val="00B95117"/>
    <w:rsid w:val="00B95137"/>
    <w:rsid w:val="00B9515B"/>
    <w:rsid w:val="00B952CE"/>
    <w:rsid w:val="00B9531E"/>
    <w:rsid w:val="00B95378"/>
    <w:rsid w:val="00B953BB"/>
    <w:rsid w:val="00B953F1"/>
    <w:rsid w:val="00B954A7"/>
    <w:rsid w:val="00B95643"/>
    <w:rsid w:val="00B9566A"/>
    <w:rsid w:val="00B95739"/>
    <w:rsid w:val="00B95765"/>
    <w:rsid w:val="00B95770"/>
    <w:rsid w:val="00B957C1"/>
    <w:rsid w:val="00B957C2"/>
    <w:rsid w:val="00B957EF"/>
    <w:rsid w:val="00B9582D"/>
    <w:rsid w:val="00B958A8"/>
    <w:rsid w:val="00B95935"/>
    <w:rsid w:val="00B95943"/>
    <w:rsid w:val="00B95950"/>
    <w:rsid w:val="00B95964"/>
    <w:rsid w:val="00B95A35"/>
    <w:rsid w:val="00B95ABE"/>
    <w:rsid w:val="00B95ACD"/>
    <w:rsid w:val="00B95AF7"/>
    <w:rsid w:val="00B95B6E"/>
    <w:rsid w:val="00B95BED"/>
    <w:rsid w:val="00B95BFE"/>
    <w:rsid w:val="00B95CBE"/>
    <w:rsid w:val="00B95D5F"/>
    <w:rsid w:val="00B95DAD"/>
    <w:rsid w:val="00B95DB3"/>
    <w:rsid w:val="00B95DF9"/>
    <w:rsid w:val="00B95E0A"/>
    <w:rsid w:val="00B95E1A"/>
    <w:rsid w:val="00B95E95"/>
    <w:rsid w:val="00B95E99"/>
    <w:rsid w:val="00B95EEE"/>
    <w:rsid w:val="00B95F6E"/>
    <w:rsid w:val="00B96007"/>
    <w:rsid w:val="00B96048"/>
    <w:rsid w:val="00B96079"/>
    <w:rsid w:val="00B9616E"/>
    <w:rsid w:val="00B96190"/>
    <w:rsid w:val="00B96196"/>
    <w:rsid w:val="00B96289"/>
    <w:rsid w:val="00B962B7"/>
    <w:rsid w:val="00B962BE"/>
    <w:rsid w:val="00B9630D"/>
    <w:rsid w:val="00B963A4"/>
    <w:rsid w:val="00B963E9"/>
    <w:rsid w:val="00B96463"/>
    <w:rsid w:val="00B964C9"/>
    <w:rsid w:val="00B9663A"/>
    <w:rsid w:val="00B9665D"/>
    <w:rsid w:val="00B966D3"/>
    <w:rsid w:val="00B9677B"/>
    <w:rsid w:val="00B967A6"/>
    <w:rsid w:val="00B967E2"/>
    <w:rsid w:val="00B967E4"/>
    <w:rsid w:val="00B967FF"/>
    <w:rsid w:val="00B968CF"/>
    <w:rsid w:val="00B969A9"/>
    <w:rsid w:val="00B969AE"/>
    <w:rsid w:val="00B969E5"/>
    <w:rsid w:val="00B96AC5"/>
    <w:rsid w:val="00B96B23"/>
    <w:rsid w:val="00B96B96"/>
    <w:rsid w:val="00B96BF2"/>
    <w:rsid w:val="00B96C56"/>
    <w:rsid w:val="00B96CA0"/>
    <w:rsid w:val="00B96CEF"/>
    <w:rsid w:val="00B96D41"/>
    <w:rsid w:val="00B96D8D"/>
    <w:rsid w:val="00B96DC4"/>
    <w:rsid w:val="00B96DDC"/>
    <w:rsid w:val="00B96E92"/>
    <w:rsid w:val="00B96E96"/>
    <w:rsid w:val="00B96ECF"/>
    <w:rsid w:val="00B96ED5"/>
    <w:rsid w:val="00B96F2D"/>
    <w:rsid w:val="00B96F30"/>
    <w:rsid w:val="00B96F90"/>
    <w:rsid w:val="00B96FD4"/>
    <w:rsid w:val="00B9700F"/>
    <w:rsid w:val="00B9703C"/>
    <w:rsid w:val="00B970DC"/>
    <w:rsid w:val="00B97154"/>
    <w:rsid w:val="00B971DC"/>
    <w:rsid w:val="00B97216"/>
    <w:rsid w:val="00B97247"/>
    <w:rsid w:val="00B9729A"/>
    <w:rsid w:val="00B972F5"/>
    <w:rsid w:val="00B972FA"/>
    <w:rsid w:val="00B9735C"/>
    <w:rsid w:val="00B973C7"/>
    <w:rsid w:val="00B973F5"/>
    <w:rsid w:val="00B97483"/>
    <w:rsid w:val="00B974E5"/>
    <w:rsid w:val="00B975A4"/>
    <w:rsid w:val="00B975C7"/>
    <w:rsid w:val="00B975DE"/>
    <w:rsid w:val="00B9762C"/>
    <w:rsid w:val="00B97653"/>
    <w:rsid w:val="00B976A7"/>
    <w:rsid w:val="00B97748"/>
    <w:rsid w:val="00B977D7"/>
    <w:rsid w:val="00B978A2"/>
    <w:rsid w:val="00B978D8"/>
    <w:rsid w:val="00B979F6"/>
    <w:rsid w:val="00B97A28"/>
    <w:rsid w:val="00B97A43"/>
    <w:rsid w:val="00B97A84"/>
    <w:rsid w:val="00B97BD1"/>
    <w:rsid w:val="00B97C10"/>
    <w:rsid w:val="00B97C25"/>
    <w:rsid w:val="00B97C3E"/>
    <w:rsid w:val="00B97CBA"/>
    <w:rsid w:val="00B97D1B"/>
    <w:rsid w:val="00B97D27"/>
    <w:rsid w:val="00B97E1A"/>
    <w:rsid w:val="00B97E34"/>
    <w:rsid w:val="00B97E42"/>
    <w:rsid w:val="00B97E6B"/>
    <w:rsid w:val="00B97ED8"/>
    <w:rsid w:val="00B97EDF"/>
    <w:rsid w:val="00B97F3A"/>
    <w:rsid w:val="00B97F9B"/>
    <w:rsid w:val="00B97FE5"/>
    <w:rsid w:val="00BA00AD"/>
    <w:rsid w:val="00BA00CD"/>
    <w:rsid w:val="00BA017A"/>
    <w:rsid w:val="00BA01B5"/>
    <w:rsid w:val="00BA0294"/>
    <w:rsid w:val="00BA02EF"/>
    <w:rsid w:val="00BA032E"/>
    <w:rsid w:val="00BA037C"/>
    <w:rsid w:val="00BA0451"/>
    <w:rsid w:val="00BA04A7"/>
    <w:rsid w:val="00BA04E6"/>
    <w:rsid w:val="00BA0513"/>
    <w:rsid w:val="00BA0524"/>
    <w:rsid w:val="00BA0533"/>
    <w:rsid w:val="00BA0542"/>
    <w:rsid w:val="00BA0563"/>
    <w:rsid w:val="00BA0591"/>
    <w:rsid w:val="00BA05CA"/>
    <w:rsid w:val="00BA0603"/>
    <w:rsid w:val="00BA064A"/>
    <w:rsid w:val="00BA06A8"/>
    <w:rsid w:val="00BA071E"/>
    <w:rsid w:val="00BA07C3"/>
    <w:rsid w:val="00BA0843"/>
    <w:rsid w:val="00BA085F"/>
    <w:rsid w:val="00BA0891"/>
    <w:rsid w:val="00BA08C9"/>
    <w:rsid w:val="00BA08D5"/>
    <w:rsid w:val="00BA08FF"/>
    <w:rsid w:val="00BA0983"/>
    <w:rsid w:val="00BA09AC"/>
    <w:rsid w:val="00BA0A35"/>
    <w:rsid w:val="00BA0AC4"/>
    <w:rsid w:val="00BA0B2D"/>
    <w:rsid w:val="00BA0B5D"/>
    <w:rsid w:val="00BA0C23"/>
    <w:rsid w:val="00BA0C92"/>
    <w:rsid w:val="00BA0CBA"/>
    <w:rsid w:val="00BA0CCA"/>
    <w:rsid w:val="00BA0CFC"/>
    <w:rsid w:val="00BA0D31"/>
    <w:rsid w:val="00BA0D5A"/>
    <w:rsid w:val="00BA0DE4"/>
    <w:rsid w:val="00BA0E35"/>
    <w:rsid w:val="00BA0E7D"/>
    <w:rsid w:val="00BA0F35"/>
    <w:rsid w:val="00BA0F42"/>
    <w:rsid w:val="00BA0F62"/>
    <w:rsid w:val="00BA0F65"/>
    <w:rsid w:val="00BA0F7A"/>
    <w:rsid w:val="00BA0FB6"/>
    <w:rsid w:val="00BA0FE8"/>
    <w:rsid w:val="00BA100D"/>
    <w:rsid w:val="00BA1027"/>
    <w:rsid w:val="00BA1067"/>
    <w:rsid w:val="00BA10E0"/>
    <w:rsid w:val="00BA10E8"/>
    <w:rsid w:val="00BA1114"/>
    <w:rsid w:val="00BA1121"/>
    <w:rsid w:val="00BA114D"/>
    <w:rsid w:val="00BA1177"/>
    <w:rsid w:val="00BA11A7"/>
    <w:rsid w:val="00BA1241"/>
    <w:rsid w:val="00BA1376"/>
    <w:rsid w:val="00BA143B"/>
    <w:rsid w:val="00BA1460"/>
    <w:rsid w:val="00BA1461"/>
    <w:rsid w:val="00BA15AA"/>
    <w:rsid w:val="00BA1632"/>
    <w:rsid w:val="00BA16B6"/>
    <w:rsid w:val="00BA16D7"/>
    <w:rsid w:val="00BA16E2"/>
    <w:rsid w:val="00BA1712"/>
    <w:rsid w:val="00BA1758"/>
    <w:rsid w:val="00BA18E7"/>
    <w:rsid w:val="00BA1976"/>
    <w:rsid w:val="00BA19A3"/>
    <w:rsid w:val="00BA1B44"/>
    <w:rsid w:val="00BA1C39"/>
    <w:rsid w:val="00BA1C67"/>
    <w:rsid w:val="00BA1D7A"/>
    <w:rsid w:val="00BA1EB7"/>
    <w:rsid w:val="00BA1EBB"/>
    <w:rsid w:val="00BA1EDA"/>
    <w:rsid w:val="00BA1F13"/>
    <w:rsid w:val="00BA1F27"/>
    <w:rsid w:val="00BA1F39"/>
    <w:rsid w:val="00BA1F84"/>
    <w:rsid w:val="00BA1F88"/>
    <w:rsid w:val="00BA1FD5"/>
    <w:rsid w:val="00BA1FF2"/>
    <w:rsid w:val="00BA201D"/>
    <w:rsid w:val="00BA207A"/>
    <w:rsid w:val="00BA20C9"/>
    <w:rsid w:val="00BA20DB"/>
    <w:rsid w:val="00BA20E8"/>
    <w:rsid w:val="00BA20EB"/>
    <w:rsid w:val="00BA212B"/>
    <w:rsid w:val="00BA2174"/>
    <w:rsid w:val="00BA2192"/>
    <w:rsid w:val="00BA226D"/>
    <w:rsid w:val="00BA22BD"/>
    <w:rsid w:val="00BA22C8"/>
    <w:rsid w:val="00BA23D8"/>
    <w:rsid w:val="00BA245B"/>
    <w:rsid w:val="00BA2469"/>
    <w:rsid w:val="00BA249F"/>
    <w:rsid w:val="00BA2566"/>
    <w:rsid w:val="00BA25B4"/>
    <w:rsid w:val="00BA2632"/>
    <w:rsid w:val="00BA2684"/>
    <w:rsid w:val="00BA26FC"/>
    <w:rsid w:val="00BA2794"/>
    <w:rsid w:val="00BA2845"/>
    <w:rsid w:val="00BA28C5"/>
    <w:rsid w:val="00BA28D5"/>
    <w:rsid w:val="00BA28D8"/>
    <w:rsid w:val="00BA2930"/>
    <w:rsid w:val="00BA297C"/>
    <w:rsid w:val="00BA29B4"/>
    <w:rsid w:val="00BA29D0"/>
    <w:rsid w:val="00BA29FE"/>
    <w:rsid w:val="00BA2A19"/>
    <w:rsid w:val="00BA2A78"/>
    <w:rsid w:val="00BA2AD4"/>
    <w:rsid w:val="00BA2ADC"/>
    <w:rsid w:val="00BA2AF2"/>
    <w:rsid w:val="00BA2B43"/>
    <w:rsid w:val="00BA2B5B"/>
    <w:rsid w:val="00BA2B9C"/>
    <w:rsid w:val="00BA2C03"/>
    <w:rsid w:val="00BA2C54"/>
    <w:rsid w:val="00BA2C7D"/>
    <w:rsid w:val="00BA2D3B"/>
    <w:rsid w:val="00BA2D5C"/>
    <w:rsid w:val="00BA2EBF"/>
    <w:rsid w:val="00BA2FBB"/>
    <w:rsid w:val="00BA2FCF"/>
    <w:rsid w:val="00BA301C"/>
    <w:rsid w:val="00BA3032"/>
    <w:rsid w:val="00BA30BB"/>
    <w:rsid w:val="00BA3138"/>
    <w:rsid w:val="00BA318F"/>
    <w:rsid w:val="00BA328E"/>
    <w:rsid w:val="00BA329D"/>
    <w:rsid w:val="00BA3328"/>
    <w:rsid w:val="00BA333C"/>
    <w:rsid w:val="00BA3363"/>
    <w:rsid w:val="00BA3372"/>
    <w:rsid w:val="00BA3395"/>
    <w:rsid w:val="00BA33BC"/>
    <w:rsid w:val="00BA3405"/>
    <w:rsid w:val="00BA3426"/>
    <w:rsid w:val="00BA3450"/>
    <w:rsid w:val="00BA345F"/>
    <w:rsid w:val="00BA35C2"/>
    <w:rsid w:val="00BA35ED"/>
    <w:rsid w:val="00BA360A"/>
    <w:rsid w:val="00BA3633"/>
    <w:rsid w:val="00BA3752"/>
    <w:rsid w:val="00BA37D0"/>
    <w:rsid w:val="00BA37E4"/>
    <w:rsid w:val="00BA394C"/>
    <w:rsid w:val="00BA3992"/>
    <w:rsid w:val="00BA39A0"/>
    <w:rsid w:val="00BA39B1"/>
    <w:rsid w:val="00BA39C1"/>
    <w:rsid w:val="00BA3A14"/>
    <w:rsid w:val="00BA3A41"/>
    <w:rsid w:val="00BA3ACB"/>
    <w:rsid w:val="00BA3B09"/>
    <w:rsid w:val="00BA3BB3"/>
    <w:rsid w:val="00BA3BD9"/>
    <w:rsid w:val="00BA3C23"/>
    <w:rsid w:val="00BA3C5E"/>
    <w:rsid w:val="00BA3C6B"/>
    <w:rsid w:val="00BA3CC8"/>
    <w:rsid w:val="00BA3CCD"/>
    <w:rsid w:val="00BA3D10"/>
    <w:rsid w:val="00BA3D8C"/>
    <w:rsid w:val="00BA3E2F"/>
    <w:rsid w:val="00BA3E8A"/>
    <w:rsid w:val="00BA3EB8"/>
    <w:rsid w:val="00BA3F69"/>
    <w:rsid w:val="00BA3F7D"/>
    <w:rsid w:val="00BA3FC9"/>
    <w:rsid w:val="00BA3FF4"/>
    <w:rsid w:val="00BA402E"/>
    <w:rsid w:val="00BA40A6"/>
    <w:rsid w:val="00BA40C7"/>
    <w:rsid w:val="00BA41B2"/>
    <w:rsid w:val="00BA41CC"/>
    <w:rsid w:val="00BA42F1"/>
    <w:rsid w:val="00BA4309"/>
    <w:rsid w:val="00BA43DD"/>
    <w:rsid w:val="00BA449B"/>
    <w:rsid w:val="00BA44A5"/>
    <w:rsid w:val="00BA44DE"/>
    <w:rsid w:val="00BA44F7"/>
    <w:rsid w:val="00BA451B"/>
    <w:rsid w:val="00BA4557"/>
    <w:rsid w:val="00BA4564"/>
    <w:rsid w:val="00BA467A"/>
    <w:rsid w:val="00BA468A"/>
    <w:rsid w:val="00BA46AC"/>
    <w:rsid w:val="00BA46B2"/>
    <w:rsid w:val="00BA4703"/>
    <w:rsid w:val="00BA4718"/>
    <w:rsid w:val="00BA4829"/>
    <w:rsid w:val="00BA483E"/>
    <w:rsid w:val="00BA4869"/>
    <w:rsid w:val="00BA492D"/>
    <w:rsid w:val="00BA4938"/>
    <w:rsid w:val="00BA49D7"/>
    <w:rsid w:val="00BA4A39"/>
    <w:rsid w:val="00BA4A87"/>
    <w:rsid w:val="00BA4B00"/>
    <w:rsid w:val="00BA4B01"/>
    <w:rsid w:val="00BA4B9E"/>
    <w:rsid w:val="00BA4BC7"/>
    <w:rsid w:val="00BA4C09"/>
    <w:rsid w:val="00BA4C58"/>
    <w:rsid w:val="00BA4C99"/>
    <w:rsid w:val="00BA4CC8"/>
    <w:rsid w:val="00BA4DAB"/>
    <w:rsid w:val="00BA4E16"/>
    <w:rsid w:val="00BA4E2D"/>
    <w:rsid w:val="00BA4E44"/>
    <w:rsid w:val="00BA4E54"/>
    <w:rsid w:val="00BA4E5C"/>
    <w:rsid w:val="00BA4E6C"/>
    <w:rsid w:val="00BA4E77"/>
    <w:rsid w:val="00BA4F12"/>
    <w:rsid w:val="00BA4F31"/>
    <w:rsid w:val="00BA4F49"/>
    <w:rsid w:val="00BA4FAD"/>
    <w:rsid w:val="00BA4FCC"/>
    <w:rsid w:val="00BA504E"/>
    <w:rsid w:val="00BA524C"/>
    <w:rsid w:val="00BA5256"/>
    <w:rsid w:val="00BA5278"/>
    <w:rsid w:val="00BA52A7"/>
    <w:rsid w:val="00BA52D6"/>
    <w:rsid w:val="00BA5309"/>
    <w:rsid w:val="00BA5329"/>
    <w:rsid w:val="00BA5399"/>
    <w:rsid w:val="00BA53B4"/>
    <w:rsid w:val="00BA552D"/>
    <w:rsid w:val="00BA556E"/>
    <w:rsid w:val="00BA5652"/>
    <w:rsid w:val="00BA56C1"/>
    <w:rsid w:val="00BA56C5"/>
    <w:rsid w:val="00BA5718"/>
    <w:rsid w:val="00BA5735"/>
    <w:rsid w:val="00BA5740"/>
    <w:rsid w:val="00BA5756"/>
    <w:rsid w:val="00BA58AE"/>
    <w:rsid w:val="00BA59F3"/>
    <w:rsid w:val="00BA5A75"/>
    <w:rsid w:val="00BA5A82"/>
    <w:rsid w:val="00BA5B72"/>
    <w:rsid w:val="00BA5B82"/>
    <w:rsid w:val="00BA5BB2"/>
    <w:rsid w:val="00BA5C1B"/>
    <w:rsid w:val="00BA5D00"/>
    <w:rsid w:val="00BA5D6A"/>
    <w:rsid w:val="00BA5E13"/>
    <w:rsid w:val="00BA5E6A"/>
    <w:rsid w:val="00BA5E6E"/>
    <w:rsid w:val="00BA5F21"/>
    <w:rsid w:val="00BA5F4E"/>
    <w:rsid w:val="00BA5F95"/>
    <w:rsid w:val="00BA5FFE"/>
    <w:rsid w:val="00BA6005"/>
    <w:rsid w:val="00BA603B"/>
    <w:rsid w:val="00BA60AB"/>
    <w:rsid w:val="00BA60D9"/>
    <w:rsid w:val="00BA6160"/>
    <w:rsid w:val="00BA6179"/>
    <w:rsid w:val="00BA618E"/>
    <w:rsid w:val="00BA621D"/>
    <w:rsid w:val="00BA6247"/>
    <w:rsid w:val="00BA62BD"/>
    <w:rsid w:val="00BA62ED"/>
    <w:rsid w:val="00BA62FA"/>
    <w:rsid w:val="00BA64CB"/>
    <w:rsid w:val="00BA64D1"/>
    <w:rsid w:val="00BA650D"/>
    <w:rsid w:val="00BA6537"/>
    <w:rsid w:val="00BA6579"/>
    <w:rsid w:val="00BA6597"/>
    <w:rsid w:val="00BA65A4"/>
    <w:rsid w:val="00BA65D8"/>
    <w:rsid w:val="00BA6621"/>
    <w:rsid w:val="00BA6688"/>
    <w:rsid w:val="00BA66BB"/>
    <w:rsid w:val="00BA66F4"/>
    <w:rsid w:val="00BA66FA"/>
    <w:rsid w:val="00BA671E"/>
    <w:rsid w:val="00BA675D"/>
    <w:rsid w:val="00BA6773"/>
    <w:rsid w:val="00BA6778"/>
    <w:rsid w:val="00BA6790"/>
    <w:rsid w:val="00BA67EE"/>
    <w:rsid w:val="00BA6897"/>
    <w:rsid w:val="00BA6963"/>
    <w:rsid w:val="00BA6971"/>
    <w:rsid w:val="00BA6999"/>
    <w:rsid w:val="00BA69A0"/>
    <w:rsid w:val="00BA6A02"/>
    <w:rsid w:val="00BA6A1C"/>
    <w:rsid w:val="00BA6A27"/>
    <w:rsid w:val="00BA6A60"/>
    <w:rsid w:val="00BA6AE1"/>
    <w:rsid w:val="00BA6BE8"/>
    <w:rsid w:val="00BA6BEC"/>
    <w:rsid w:val="00BA6C02"/>
    <w:rsid w:val="00BA6C0B"/>
    <w:rsid w:val="00BA6CA5"/>
    <w:rsid w:val="00BA6CB6"/>
    <w:rsid w:val="00BA6D7F"/>
    <w:rsid w:val="00BA6EA0"/>
    <w:rsid w:val="00BA6FA5"/>
    <w:rsid w:val="00BA6FBF"/>
    <w:rsid w:val="00BA6FD4"/>
    <w:rsid w:val="00BA7063"/>
    <w:rsid w:val="00BA70CD"/>
    <w:rsid w:val="00BA7116"/>
    <w:rsid w:val="00BA715A"/>
    <w:rsid w:val="00BA719F"/>
    <w:rsid w:val="00BA71CE"/>
    <w:rsid w:val="00BA72E1"/>
    <w:rsid w:val="00BA73E9"/>
    <w:rsid w:val="00BA74A6"/>
    <w:rsid w:val="00BA74B7"/>
    <w:rsid w:val="00BA752A"/>
    <w:rsid w:val="00BA7537"/>
    <w:rsid w:val="00BA75AD"/>
    <w:rsid w:val="00BA7621"/>
    <w:rsid w:val="00BA7657"/>
    <w:rsid w:val="00BA765A"/>
    <w:rsid w:val="00BA77B7"/>
    <w:rsid w:val="00BA7864"/>
    <w:rsid w:val="00BA78C5"/>
    <w:rsid w:val="00BA78E4"/>
    <w:rsid w:val="00BA7913"/>
    <w:rsid w:val="00BA7926"/>
    <w:rsid w:val="00BA7A07"/>
    <w:rsid w:val="00BA7A75"/>
    <w:rsid w:val="00BA7AD6"/>
    <w:rsid w:val="00BA7AD9"/>
    <w:rsid w:val="00BA7B07"/>
    <w:rsid w:val="00BA7B33"/>
    <w:rsid w:val="00BA7B4E"/>
    <w:rsid w:val="00BA7B83"/>
    <w:rsid w:val="00BA7C38"/>
    <w:rsid w:val="00BA7CCA"/>
    <w:rsid w:val="00BA7D0E"/>
    <w:rsid w:val="00BA7DEE"/>
    <w:rsid w:val="00BA7E8E"/>
    <w:rsid w:val="00BA7F20"/>
    <w:rsid w:val="00BA7F42"/>
    <w:rsid w:val="00BA7F51"/>
    <w:rsid w:val="00BA7F8B"/>
    <w:rsid w:val="00BA7F9A"/>
    <w:rsid w:val="00BA7FE5"/>
    <w:rsid w:val="00BA8180"/>
    <w:rsid w:val="00BB0055"/>
    <w:rsid w:val="00BB0079"/>
    <w:rsid w:val="00BB0084"/>
    <w:rsid w:val="00BB0100"/>
    <w:rsid w:val="00BB017A"/>
    <w:rsid w:val="00BB0185"/>
    <w:rsid w:val="00BB018D"/>
    <w:rsid w:val="00BB0199"/>
    <w:rsid w:val="00BB01E5"/>
    <w:rsid w:val="00BB0205"/>
    <w:rsid w:val="00BB0239"/>
    <w:rsid w:val="00BB025A"/>
    <w:rsid w:val="00BB02C3"/>
    <w:rsid w:val="00BB03B3"/>
    <w:rsid w:val="00BB03C3"/>
    <w:rsid w:val="00BB0407"/>
    <w:rsid w:val="00BB0485"/>
    <w:rsid w:val="00BB049F"/>
    <w:rsid w:val="00BB04A8"/>
    <w:rsid w:val="00BB0517"/>
    <w:rsid w:val="00BB0521"/>
    <w:rsid w:val="00BB065C"/>
    <w:rsid w:val="00BB06CC"/>
    <w:rsid w:val="00BB06CD"/>
    <w:rsid w:val="00BB06DD"/>
    <w:rsid w:val="00BB06E8"/>
    <w:rsid w:val="00BB06E9"/>
    <w:rsid w:val="00BB0754"/>
    <w:rsid w:val="00BB0836"/>
    <w:rsid w:val="00BB0856"/>
    <w:rsid w:val="00BB08D5"/>
    <w:rsid w:val="00BB08D9"/>
    <w:rsid w:val="00BB08DD"/>
    <w:rsid w:val="00BB08E3"/>
    <w:rsid w:val="00BB0930"/>
    <w:rsid w:val="00BB093F"/>
    <w:rsid w:val="00BB09DE"/>
    <w:rsid w:val="00BB0A34"/>
    <w:rsid w:val="00BB0A4F"/>
    <w:rsid w:val="00BB0AFE"/>
    <w:rsid w:val="00BB0B19"/>
    <w:rsid w:val="00BB0B2A"/>
    <w:rsid w:val="00BB0BF1"/>
    <w:rsid w:val="00BB0C3A"/>
    <w:rsid w:val="00BB0C9F"/>
    <w:rsid w:val="00BB0CEE"/>
    <w:rsid w:val="00BB0D4E"/>
    <w:rsid w:val="00BB0D52"/>
    <w:rsid w:val="00BB0D69"/>
    <w:rsid w:val="00BB0D77"/>
    <w:rsid w:val="00BB0E27"/>
    <w:rsid w:val="00BB0EDB"/>
    <w:rsid w:val="00BB0EFE"/>
    <w:rsid w:val="00BB0FEF"/>
    <w:rsid w:val="00BB1007"/>
    <w:rsid w:val="00BB1021"/>
    <w:rsid w:val="00BB1066"/>
    <w:rsid w:val="00BB10BC"/>
    <w:rsid w:val="00BB114D"/>
    <w:rsid w:val="00BB11AD"/>
    <w:rsid w:val="00BB11E6"/>
    <w:rsid w:val="00BB1286"/>
    <w:rsid w:val="00BB137A"/>
    <w:rsid w:val="00BB13C3"/>
    <w:rsid w:val="00BB1462"/>
    <w:rsid w:val="00BB14D6"/>
    <w:rsid w:val="00BB14F5"/>
    <w:rsid w:val="00BB1506"/>
    <w:rsid w:val="00BB1584"/>
    <w:rsid w:val="00BB15A1"/>
    <w:rsid w:val="00BB15BE"/>
    <w:rsid w:val="00BB1653"/>
    <w:rsid w:val="00BB1699"/>
    <w:rsid w:val="00BB16C1"/>
    <w:rsid w:val="00BB1759"/>
    <w:rsid w:val="00BB17BA"/>
    <w:rsid w:val="00BB17EB"/>
    <w:rsid w:val="00BB1865"/>
    <w:rsid w:val="00BB18A6"/>
    <w:rsid w:val="00BB18C9"/>
    <w:rsid w:val="00BB18F3"/>
    <w:rsid w:val="00BB1934"/>
    <w:rsid w:val="00BB1937"/>
    <w:rsid w:val="00BB198E"/>
    <w:rsid w:val="00BB19C2"/>
    <w:rsid w:val="00BB19E4"/>
    <w:rsid w:val="00BB1A01"/>
    <w:rsid w:val="00BB1A36"/>
    <w:rsid w:val="00BB1A87"/>
    <w:rsid w:val="00BB1AF4"/>
    <w:rsid w:val="00BB1B51"/>
    <w:rsid w:val="00BB1B89"/>
    <w:rsid w:val="00BB1BF2"/>
    <w:rsid w:val="00BB1C00"/>
    <w:rsid w:val="00BB1C46"/>
    <w:rsid w:val="00BB1CDB"/>
    <w:rsid w:val="00BB1CE5"/>
    <w:rsid w:val="00BB1D36"/>
    <w:rsid w:val="00BB1D45"/>
    <w:rsid w:val="00BB1DA3"/>
    <w:rsid w:val="00BB1DBF"/>
    <w:rsid w:val="00BB1DE0"/>
    <w:rsid w:val="00BB1DF4"/>
    <w:rsid w:val="00BB1E04"/>
    <w:rsid w:val="00BB1E58"/>
    <w:rsid w:val="00BB1ECE"/>
    <w:rsid w:val="00BB1ED9"/>
    <w:rsid w:val="00BB1EF2"/>
    <w:rsid w:val="00BB1F35"/>
    <w:rsid w:val="00BB1FC0"/>
    <w:rsid w:val="00BB1FC8"/>
    <w:rsid w:val="00BB202E"/>
    <w:rsid w:val="00BB20CF"/>
    <w:rsid w:val="00BB2122"/>
    <w:rsid w:val="00BB2132"/>
    <w:rsid w:val="00BB219C"/>
    <w:rsid w:val="00BB21C2"/>
    <w:rsid w:val="00BB21DA"/>
    <w:rsid w:val="00BB21F7"/>
    <w:rsid w:val="00BB2297"/>
    <w:rsid w:val="00BB2333"/>
    <w:rsid w:val="00BB237B"/>
    <w:rsid w:val="00BB2398"/>
    <w:rsid w:val="00BB23BC"/>
    <w:rsid w:val="00BB23BF"/>
    <w:rsid w:val="00BB23E5"/>
    <w:rsid w:val="00BB23FF"/>
    <w:rsid w:val="00BB245B"/>
    <w:rsid w:val="00BB2491"/>
    <w:rsid w:val="00BB24CA"/>
    <w:rsid w:val="00BB2545"/>
    <w:rsid w:val="00BB25EE"/>
    <w:rsid w:val="00BB26DC"/>
    <w:rsid w:val="00BB2705"/>
    <w:rsid w:val="00BB2764"/>
    <w:rsid w:val="00BB2798"/>
    <w:rsid w:val="00BB27E3"/>
    <w:rsid w:val="00BB2815"/>
    <w:rsid w:val="00BB2825"/>
    <w:rsid w:val="00BB28CD"/>
    <w:rsid w:val="00BB298B"/>
    <w:rsid w:val="00BB2A5B"/>
    <w:rsid w:val="00BB2C24"/>
    <w:rsid w:val="00BB2C31"/>
    <w:rsid w:val="00BB2C3E"/>
    <w:rsid w:val="00BB2D1F"/>
    <w:rsid w:val="00BB2D3D"/>
    <w:rsid w:val="00BB2DED"/>
    <w:rsid w:val="00BB2E13"/>
    <w:rsid w:val="00BB2E96"/>
    <w:rsid w:val="00BB2EA4"/>
    <w:rsid w:val="00BB2F88"/>
    <w:rsid w:val="00BB2FF7"/>
    <w:rsid w:val="00BB301B"/>
    <w:rsid w:val="00BB302A"/>
    <w:rsid w:val="00BB3034"/>
    <w:rsid w:val="00BB3062"/>
    <w:rsid w:val="00BB3087"/>
    <w:rsid w:val="00BB30DA"/>
    <w:rsid w:val="00BB30DB"/>
    <w:rsid w:val="00BB3112"/>
    <w:rsid w:val="00BB3199"/>
    <w:rsid w:val="00BB321D"/>
    <w:rsid w:val="00BB324E"/>
    <w:rsid w:val="00BB328C"/>
    <w:rsid w:val="00BB3350"/>
    <w:rsid w:val="00BB3362"/>
    <w:rsid w:val="00BB3431"/>
    <w:rsid w:val="00BB353B"/>
    <w:rsid w:val="00BB35A7"/>
    <w:rsid w:val="00BB35A8"/>
    <w:rsid w:val="00BB363D"/>
    <w:rsid w:val="00BB369D"/>
    <w:rsid w:val="00BB3722"/>
    <w:rsid w:val="00BB37E3"/>
    <w:rsid w:val="00BB3867"/>
    <w:rsid w:val="00BB395B"/>
    <w:rsid w:val="00BB395D"/>
    <w:rsid w:val="00BB396B"/>
    <w:rsid w:val="00BB3A5E"/>
    <w:rsid w:val="00BB3B02"/>
    <w:rsid w:val="00BB3B04"/>
    <w:rsid w:val="00BB3B0C"/>
    <w:rsid w:val="00BB3B71"/>
    <w:rsid w:val="00BB3BD3"/>
    <w:rsid w:val="00BB3BF1"/>
    <w:rsid w:val="00BB3C0C"/>
    <w:rsid w:val="00BB3C9B"/>
    <w:rsid w:val="00BB3D3B"/>
    <w:rsid w:val="00BB3DA4"/>
    <w:rsid w:val="00BB3E3C"/>
    <w:rsid w:val="00BB3E3F"/>
    <w:rsid w:val="00BB3E9B"/>
    <w:rsid w:val="00BB3EB9"/>
    <w:rsid w:val="00BB3EC4"/>
    <w:rsid w:val="00BB3EEE"/>
    <w:rsid w:val="00BB3FC8"/>
    <w:rsid w:val="00BB3FE3"/>
    <w:rsid w:val="00BB410A"/>
    <w:rsid w:val="00BB41A6"/>
    <w:rsid w:val="00BB41DD"/>
    <w:rsid w:val="00BB423A"/>
    <w:rsid w:val="00BB4261"/>
    <w:rsid w:val="00BB427C"/>
    <w:rsid w:val="00BB42E7"/>
    <w:rsid w:val="00BB430C"/>
    <w:rsid w:val="00BB430E"/>
    <w:rsid w:val="00BB4344"/>
    <w:rsid w:val="00BB434C"/>
    <w:rsid w:val="00BB434F"/>
    <w:rsid w:val="00BB4445"/>
    <w:rsid w:val="00BB4452"/>
    <w:rsid w:val="00BB44A5"/>
    <w:rsid w:val="00BB4572"/>
    <w:rsid w:val="00BB4630"/>
    <w:rsid w:val="00BB468B"/>
    <w:rsid w:val="00BB4723"/>
    <w:rsid w:val="00BB47AE"/>
    <w:rsid w:val="00BB4813"/>
    <w:rsid w:val="00BB481E"/>
    <w:rsid w:val="00BB4875"/>
    <w:rsid w:val="00BB4889"/>
    <w:rsid w:val="00BB4934"/>
    <w:rsid w:val="00BB4979"/>
    <w:rsid w:val="00BB498D"/>
    <w:rsid w:val="00BB4A6A"/>
    <w:rsid w:val="00BB4AA3"/>
    <w:rsid w:val="00BB4AAD"/>
    <w:rsid w:val="00BB4AB4"/>
    <w:rsid w:val="00BB4B3F"/>
    <w:rsid w:val="00BB4B45"/>
    <w:rsid w:val="00BB4B64"/>
    <w:rsid w:val="00BB4C16"/>
    <w:rsid w:val="00BB4C5D"/>
    <w:rsid w:val="00BB4C8F"/>
    <w:rsid w:val="00BB4C95"/>
    <w:rsid w:val="00BB4D46"/>
    <w:rsid w:val="00BB4D8C"/>
    <w:rsid w:val="00BB4DE5"/>
    <w:rsid w:val="00BB4DE7"/>
    <w:rsid w:val="00BB4E3B"/>
    <w:rsid w:val="00BB4E97"/>
    <w:rsid w:val="00BB4EC1"/>
    <w:rsid w:val="00BB4ED7"/>
    <w:rsid w:val="00BB4F49"/>
    <w:rsid w:val="00BB4FCD"/>
    <w:rsid w:val="00BB4FD2"/>
    <w:rsid w:val="00BB5008"/>
    <w:rsid w:val="00BB500E"/>
    <w:rsid w:val="00BB5223"/>
    <w:rsid w:val="00BB527A"/>
    <w:rsid w:val="00BB528F"/>
    <w:rsid w:val="00BB537F"/>
    <w:rsid w:val="00BB53E4"/>
    <w:rsid w:val="00BB5430"/>
    <w:rsid w:val="00BB5440"/>
    <w:rsid w:val="00BB5475"/>
    <w:rsid w:val="00BB54BF"/>
    <w:rsid w:val="00BB54EA"/>
    <w:rsid w:val="00BB5525"/>
    <w:rsid w:val="00BB557C"/>
    <w:rsid w:val="00BB55F4"/>
    <w:rsid w:val="00BB561E"/>
    <w:rsid w:val="00BB56F0"/>
    <w:rsid w:val="00BB5724"/>
    <w:rsid w:val="00BB573D"/>
    <w:rsid w:val="00BB57A5"/>
    <w:rsid w:val="00BB57C8"/>
    <w:rsid w:val="00BB582E"/>
    <w:rsid w:val="00BB5900"/>
    <w:rsid w:val="00BB599B"/>
    <w:rsid w:val="00BB5A07"/>
    <w:rsid w:val="00BB5ABB"/>
    <w:rsid w:val="00BB5B4E"/>
    <w:rsid w:val="00BB5B54"/>
    <w:rsid w:val="00BB5B6F"/>
    <w:rsid w:val="00BB5B8C"/>
    <w:rsid w:val="00BB5C17"/>
    <w:rsid w:val="00BB5C29"/>
    <w:rsid w:val="00BB5CEC"/>
    <w:rsid w:val="00BB5D1E"/>
    <w:rsid w:val="00BB5D3E"/>
    <w:rsid w:val="00BB5D67"/>
    <w:rsid w:val="00BB5D98"/>
    <w:rsid w:val="00BB5E0B"/>
    <w:rsid w:val="00BB5E2B"/>
    <w:rsid w:val="00BB5E3C"/>
    <w:rsid w:val="00BB5E6B"/>
    <w:rsid w:val="00BB5EB0"/>
    <w:rsid w:val="00BB5EC0"/>
    <w:rsid w:val="00BB5EF6"/>
    <w:rsid w:val="00BB5F50"/>
    <w:rsid w:val="00BB5FC3"/>
    <w:rsid w:val="00BB5FC9"/>
    <w:rsid w:val="00BB60B2"/>
    <w:rsid w:val="00BB60CB"/>
    <w:rsid w:val="00BB60DB"/>
    <w:rsid w:val="00BB6155"/>
    <w:rsid w:val="00BB6192"/>
    <w:rsid w:val="00BB6194"/>
    <w:rsid w:val="00BB62D8"/>
    <w:rsid w:val="00BB62F1"/>
    <w:rsid w:val="00BB6303"/>
    <w:rsid w:val="00BB6315"/>
    <w:rsid w:val="00BB637B"/>
    <w:rsid w:val="00BB63CF"/>
    <w:rsid w:val="00BB63ED"/>
    <w:rsid w:val="00BB64AD"/>
    <w:rsid w:val="00BB64B4"/>
    <w:rsid w:val="00BB64DC"/>
    <w:rsid w:val="00BB64FF"/>
    <w:rsid w:val="00BB6553"/>
    <w:rsid w:val="00BB65D2"/>
    <w:rsid w:val="00BB6632"/>
    <w:rsid w:val="00BB6659"/>
    <w:rsid w:val="00BB6781"/>
    <w:rsid w:val="00BB67A5"/>
    <w:rsid w:val="00BB682E"/>
    <w:rsid w:val="00BB685E"/>
    <w:rsid w:val="00BB692C"/>
    <w:rsid w:val="00BB693B"/>
    <w:rsid w:val="00BB6999"/>
    <w:rsid w:val="00BB6A25"/>
    <w:rsid w:val="00BB6A98"/>
    <w:rsid w:val="00BB6B96"/>
    <w:rsid w:val="00BB6B9E"/>
    <w:rsid w:val="00BB6BA9"/>
    <w:rsid w:val="00BB6C24"/>
    <w:rsid w:val="00BB6CD8"/>
    <w:rsid w:val="00BB6D13"/>
    <w:rsid w:val="00BB6D31"/>
    <w:rsid w:val="00BB6E65"/>
    <w:rsid w:val="00BB6E9A"/>
    <w:rsid w:val="00BB6FFE"/>
    <w:rsid w:val="00BB702E"/>
    <w:rsid w:val="00BB70D0"/>
    <w:rsid w:val="00BB7151"/>
    <w:rsid w:val="00BB7165"/>
    <w:rsid w:val="00BB725D"/>
    <w:rsid w:val="00BB73D0"/>
    <w:rsid w:val="00BB73E4"/>
    <w:rsid w:val="00BB7462"/>
    <w:rsid w:val="00BB748D"/>
    <w:rsid w:val="00BB749C"/>
    <w:rsid w:val="00BB74DC"/>
    <w:rsid w:val="00BB74EB"/>
    <w:rsid w:val="00BB7541"/>
    <w:rsid w:val="00BB7563"/>
    <w:rsid w:val="00BB75E1"/>
    <w:rsid w:val="00BB767D"/>
    <w:rsid w:val="00BB770C"/>
    <w:rsid w:val="00BB77EB"/>
    <w:rsid w:val="00BB7804"/>
    <w:rsid w:val="00BB78B8"/>
    <w:rsid w:val="00BB7977"/>
    <w:rsid w:val="00BB79A2"/>
    <w:rsid w:val="00BB79AE"/>
    <w:rsid w:val="00BB7AA1"/>
    <w:rsid w:val="00BB7AB9"/>
    <w:rsid w:val="00BB7AF9"/>
    <w:rsid w:val="00BB7B16"/>
    <w:rsid w:val="00BB7B2E"/>
    <w:rsid w:val="00BB7B4C"/>
    <w:rsid w:val="00BB7B9C"/>
    <w:rsid w:val="00BB7C10"/>
    <w:rsid w:val="00BB7D6C"/>
    <w:rsid w:val="00BB7D84"/>
    <w:rsid w:val="00BB7E3E"/>
    <w:rsid w:val="00BB7E3F"/>
    <w:rsid w:val="00BB7F1D"/>
    <w:rsid w:val="00BC00B2"/>
    <w:rsid w:val="00BC00D1"/>
    <w:rsid w:val="00BC00DD"/>
    <w:rsid w:val="00BC0125"/>
    <w:rsid w:val="00BC0184"/>
    <w:rsid w:val="00BC01FC"/>
    <w:rsid w:val="00BC0265"/>
    <w:rsid w:val="00BC0323"/>
    <w:rsid w:val="00BC05BB"/>
    <w:rsid w:val="00BC0646"/>
    <w:rsid w:val="00BC0690"/>
    <w:rsid w:val="00BC079A"/>
    <w:rsid w:val="00BC0893"/>
    <w:rsid w:val="00BC0939"/>
    <w:rsid w:val="00BC09B3"/>
    <w:rsid w:val="00BC09DA"/>
    <w:rsid w:val="00BC0A02"/>
    <w:rsid w:val="00BC0A30"/>
    <w:rsid w:val="00BC0B13"/>
    <w:rsid w:val="00BC0B29"/>
    <w:rsid w:val="00BC0B65"/>
    <w:rsid w:val="00BC0BBE"/>
    <w:rsid w:val="00BC0BCD"/>
    <w:rsid w:val="00BC0C04"/>
    <w:rsid w:val="00BC0C74"/>
    <w:rsid w:val="00BC0CAC"/>
    <w:rsid w:val="00BC0CF1"/>
    <w:rsid w:val="00BC0E82"/>
    <w:rsid w:val="00BC0EA4"/>
    <w:rsid w:val="00BC0EB2"/>
    <w:rsid w:val="00BC0EBB"/>
    <w:rsid w:val="00BC0F15"/>
    <w:rsid w:val="00BC0F79"/>
    <w:rsid w:val="00BC0FD5"/>
    <w:rsid w:val="00BC0FE5"/>
    <w:rsid w:val="00BC1067"/>
    <w:rsid w:val="00BC10B5"/>
    <w:rsid w:val="00BC10CD"/>
    <w:rsid w:val="00BC10DB"/>
    <w:rsid w:val="00BC1110"/>
    <w:rsid w:val="00BC11BD"/>
    <w:rsid w:val="00BC125C"/>
    <w:rsid w:val="00BC1273"/>
    <w:rsid w:val="00BC128B"/>
    <w:rsid w:val="00BC12ED"/>
    <w:rsid w:val="00BC1317"/>
    <w:rsid w:val="00BC1323"/>
    <w:rsid w:val="00BC135E"/>
    <w:rsid w:val="00BC137E"/>
    <w:rsid w:val="00BC1420"/>
    <w:rsid w:val="00BC14B9"/>
    <w:rsid w:val="00BC1556"/>
    <w:rsid w:val="00BC1624"/>
    <w:rsid w:val="00BC1629"/>
    <w:rsid w:val="00BC1668"/>
    <w:rsid w:val="00BC16B5"/>
    <w:rsid w:val="00BC175B"/>
    <w:rsid w:val="00BC17C4"/>
    <w:rsid w:val="00BC180F"/>
    <w:rsid w:val="00BC1935"/>
    <w:rsid w:val="00BC1A03"/>
    <w:rsid w:val="00BC1A62"/>
    <w:rsid w:val="00BC1AA3"/>
    <w:rsid w:val="00BC1B19"/>
    <w:rsid w:val="00BC1B62"/>
    <w:rsid w:val="00BC1B99"/>
    <w:rsid w:val="00BC1C62"/>
    <w:rsid w:val="00BC1C8C"/>
    <w:rsid w:val="00BC1C9C"/>
    <w:rsid w:val="00BC1D22"/>
    <w:rsid w:val="00BC1D5E"/>
    <w:rsid w:val="00BC1D7E"/>
    <w:rsid w:val="00BC1E9C"/>
    <w:rsid w:val="00BC1F48"/>
    <w:rsid w:val="00BC1FD5"/>
    <w:rsid w:val="00BC1FF7"/>
    <w:rsid w:val="00BC2004"/>
    <w:rsid w:val="00BC204E"/>
    <w:rsid w:val="00BC206A"/>
    <w:rsid w:val="00BC2073"/>
    <w:rsid w:val="00BC20A2"/>
    <w:rsid w:val="00BC20B8"/>
    <w:rsid w:val="00BC20E0"/>
    <w:rsid w:val="00BC20E8"/>
    <w:rsid w:val="00BC2136"/>
    <w:rsid w:val="00BC2139"/>
    <w:rsid w:val="00BC2202"/>
    <w:rsid w:val="00BC2211"/>
    <w:rsid w:val="00BC2258"/>
    <w:rsid w:val="00BC22B9"/>
    <w:rsid w:val="00BC22DB"/>
    <w:rsid w:val="00BC2385"/>
    <w:rsid w:val="00BC239A"/>
    <w:rsid w:val="00BC23A7"/>
    <w:rsid w:val="00BC23C3"/>
    <w:rsid w:val="00BC2402"/>
    <w:rsid w:val="00BC2404"/>
    <w:rsid w:val="00BC2468"/>
    <w:rsid w:val="00BC248B"/>
    <w:rsid w:val="00BC24D8"/>
    <w:rsid w:val="00BC2582"/>
    <w:rsid w:val="00BC268C"/>
    <w:rsid w:val="00BC26CE"/>
    <w:rsid w:val="00BC274D"/>
    <w:rsid w:val="00BC2793"/>
    <w:rsid w:val="00BC2880"/>
    <w:rsid w:val="00BC2881"/>
    <w:rsid w:val="00BC28FF"/>
    <w:rsid w:val="00BC295A"/>
    <w:rsid w:val="00BC29B0"/>
    <w:rsid w:val="00BC2A2A"/>
    <w:rsid w:val="00BC2A51"/>
    <w:rsid w:val="00BC2AF3"/>
    <w:rsid w:val="00BC2AFA"/>
    <w:rsid w:val="00BC2B9C"/>
    <w:rsid w:val="00BC2BA3"/>
    <w:rsid w:val="00BC2C28"/>
    <w:rsid w:val="00BC2CC6"/>
    <w:rsid w:val="00BC2DD5"/>
    <w:rsid w:val="00BC2F9E"/>
    <w:rsid w:val="00BC2FC2"/>
    <w:rsid w:val="00BC3014"/>
    <w:rsid w:val="00BC3044"/>
    <w:rsid w:val="00BC308E"/>
    <w:rsid w:val="00BC30CA"/>
    <w:rsid w:val="00BC3130"/>
    <w:rsid w:val="00BC31C4"/>
    <w:rsid w:val="00BC3222"/>
    <w:rsid w:val="00BC3246"/>
    <w:rsid w:val="00BC324C"/>
    <w:rsid w:val="00BC327B"/>
    <w:rsid w:val="00BC32E8"/>
    <w:rsid w:val="00BC332F"/>
    <w:rsid w:val="00BC3365"/>
    <w:rsid w:val="00BC33C8"/>
    <w:rsid w:val="00BC3432"/>
    <w:rsid w:val="00BC3445"/>
    <w:rsid w:val="00BC346F"/>
    <w:rsid w:val="00BC34BF"/>
    <w:rsid w:val="00BC3541"/>
    <w:rsid w:val="00BC36F9"/>
    <w:rsid w:val="00BC36FC"/>
    <w:rsid w:val="00BC3761"/>
    <w:rsid w:val="00BC3787"/>
    <w:rsid w:val="00BC378D"/>
    <w:rsid w:val="00BC3795"/>
    <w:rsid w:val="00BC37A5"/>
    <w:rsid w:val="00BC3878"/>
    <w:rsid w:val="00BC3939"/>
    <w:rsid w:val="00BC393E"/>
    <w:rsid w:val="00BC395C"/>
    <w:rsid w:val="00BC3ACB"/>
    <w:rsid w:val="00BC3AED"/>
    <w:rsid w:val="00BC3BC2"/>
    <w:rsid w:val="00BC3D93"/>
    <w:rsid w:val="00BC3DC3"/>
    <w:rsid w:val="00BC3DE0"/>
    <w:rsid w:val="00BC3E15"/>
    <w:rsid w:val="00BC3E3E"/>
    <w:rsid w:val="00BC3E59"/>
    <w:rsid w:val="00BC3E73"/>
    <w:rsid w:val="00BC3E83"/>
    <w:rsid w:val="00BC3EEF"/>
    <w:rsid w:val="00BC3F13"/>
    <w:rsid w:val="00BC3F3C"/>
    <w:rsid w:val="00BC3FBA"/>
    <w:rsid w:val="00BC3FE8"/>
    <w:rsid w:val="00BC4109"/>
    <w:rsid w:val="00BC410C"/>
    <w:rsid w:val="00BC413F"/>
    <w:rsid w:val="00BC4145"/>
    <w:rsid w:val="00BC4161"/>
    <w:rsid w:val="00BC41DD"/>
    <w:rsid w:val="00BC41E9"/>
    <w:rsid w:val="00BC4238"/>
    <w:rsid w:val="00BC4290"/>
    <w:rsid w:val="00BC42A1"/>
    <w:rsid w:val="00BC42CF"/>
    <w:rsid w:val="00BC42D9"/>
    <w:rsid w:val="00BC43B7"/>
    <w:rsid w:val="00BC43E8"/>
    <w:rsid w:val="00BC43F9"/>
    <w:rsid w:val="00BC4412"/>
    <w:rsid w:val="00BC44EA"/>
    <w:rsid w:val="00BC455A"/>
    <w:rsid w:val="00BC4662"/>
    <w:rsid w:val="00BC466D"/>
    <w:rsid w:val="00BC468F"/>
    <w:rsid w:val="00BC469B"/>
    <w:rsid w:val="00BC46F2"/>
    <w:rsid w:val="00BC46F5"/>
    <w:rsid w:val="00BC472B"/>
    <w:rsid w:val="00BC4887"/>
    <w:rsid w:val="00BC4891"/>
    <w:rsid w:val="00BC489C"/>
    <w:rsid w:val="00BC48AF"/>
    <w:rsid w:val="00BC48EB"/>
    <w:rsid w:val="00BC4927"/>
    <w:rsid w:val="00BC49CA"/>
    <w:rsid w:val="00BC49DA"/>
    <w:rsid w:val="00BC4A4F"/>
    <w:rsid w:val="00BC4A56"/>
    <w:rsid w:val="00BC4A8B"/>
    <w:rsid w:val="00BC4AAD"/>
    <w:rsid w:val="00BC4B51"/>
    <w:rsid w:val="00BC4BB1"/>
    <w:rsid w:val="00BC4BB9"/>
    <w:rsid w:val="00BC4BBE"/>
    <w:rsid w:val="00BC4BF3"/>
    <w:rsid w:val="00BC4C6C"/>
    <w:rsid w:val="00BC4CB1"/>
    <w:rsid w:val="00BC4D27"/>
    <w:rsid w:val="00BC4DC5"/>
    <w:rsid w:val="00BC4E9B"/>
    <w:rsid w:val="00BC4F48"/>
    <w:rsid w:val="00BC4FE2"/>
    <w:rsid w:val="00BC501E"/>
    <w:rsid w:val="00BC502C"/>
    <w:rsid w:val="00BC5036"/>
    <w:rsid w:val="00BC517B"/>
    <w:rsid w:val="00BC525F"/>
    <w:rsid w:val="00BC5286"/>
    <w:rsid w:val="00BC52C0"/>
    <w:rsid w:val="00BC52F7"/>
    <w:rsid w:val="00BC5318"/>
    <w:rsid w:val="00BC532F"/>
    <w:rsid w:val="00BC538C"/>
    <w:rsid w:val="00BC53B1"/>
    <w:rsid w:val="00BC53D6"/>
    <w:rsid w:val="00BC549C"/>
    <w:rsid w:val="00BC54A5"/>
    <w:rsid w:val="00BC54BC"/>
    <w:rsid w:val="00BC5549"/>
    <w:rsid w:val="00BC5575"/>
    <w:rsid w:val="00BC55C9"/>
    <w:rsid w:val="00BC572D"/>
    <w:rsid w:val="00BC5792"/>
    <w:rsid w:val="00BC582E"/>
    <w:rsid w:val="00BC5980"/>
    <w:rsid w:val="00BC59D2"/>
    <w:rsid w:val="00BC59D6"/>
    <w:rsid w:val="00BC59EE"/>
    <w:rsid w:val="00BC5A4B"/>
    <w:rsid w:val="00BC5A8E"/>
    <w:rsid w:val="00BC5B29"/>
    <w:rsid w:val="00BC5B9C"/>
    <w:rsid w:val="00BC5BA8"/>
    <w:rsid w:val="00BC5BB4"/>
    <w:rsid w:val="00BC5C61"/>
    <w:rsid w:val="00BC5CBA"/>
    <w:rsid w:val="00BC5CD0"/>
    <w:rsid w:val="00BC5CF0"/>
    <w:rsid w:val="00BC5D87"/>
    <w:rsid w:val="00BC5E44"/>
    <w:rsid w:val="00BC5FDB"/>
    <w:rsid w:val="00BC5FF2"/>
    <w:rsid w:val="00BC6048"/>
    <w:rsid w:val="00BC604F"/>
    <w:rsid w:val="00BC6136"/>
    <w:rsid w:val="00BC61BD"/>
    <w:rsid w:val="00BC621F"/>
    <w:rsid w:val="00BC62AF"/>
    <w:rsid w:val="00BC62BB"/>
    <w:rsid w:val="00BC62DC"/>
    <w:rsid w:val="00BC6362"/>
    <w:rsid w:val="00BC6518"/>
    <w:rsid w:val="00BC6526"/>
    <w:rsid w:val="00BC6568"/>
    <w:rsid w:val="00BC661E"/>
    <w:rsid w:val="00BC6630"/>
    <w:rsid w:val="00BC66BA"/>
    <w:rsid w:val="00BC6704"/>
    <w:rsid w:val="00BC674A"/>
    <w:rsid w:val="00BC6775"/>
    <w:rsid w:val="00BC677D"/>
    <w:rsid w:val="00BC67DD"/>
    <w:rsid w:val="00BC6817"/>
    <w:rsid w:val="00BC682A"/>
    <w:rsid w:val="00BC6906"/>
    <w:rsid w:val="00BC6955"/>
    <w:rsid w:val="00BC69DC"/>
    <w:rsid w:val="00BC6A94"/>
    <w:rsid w:val="00BC6AA4"/>
    <w:rsid w:val="00BC6AA9"/>
    <w:rsid w:val="00BC6AC0"/>
    <w:rsid w:val="00BC6B03"/>
    <w:rsid w:val="00BC6BE9"/>
    <w:rsid w:val="00BC6C39"/>
    <w:rsid w:val="00BC6C57"/>
    <w:rsid w:val="00BC6C8F"/>
    <w:rsid w:val="00BC6C96"/>
    <w:rsid w:val="00BC6CF4"/>
    <w:rsid w:val="00BC6D1E"/>
    <w:rsid w:val="00BC6D2E"/>
    <w:rsid w:val="00BC6DC4"/>
    <w:rsid w:val="00BC6DD4"/>
    <w:rsid w:val="00BC6DE2"/>
    <w:rsid w:val="00BC6EC1"/>
    <w:rsid w:val="00BC6F09"/>
    <w:rsid w:val="00BC6FAB"/>
    <w:rsid w:val="00BC7053"/>
    <w:rsid w:val="00BC707F"/>
    <w:rsid w:val="00BC70E7"/>
    <w:rsid w:val="00BC713A"/>
    <w:rsid w:val="00BC7214"/>
    <w:rsid w:val="00BC7218"/>
    <w:rsid w:val="00BC7255"/>
    <w:rsid w:val="00BC72BC"/>
    <w:rsid w:val="00BC72F1"/>
    <w:rsid w:val="00BC7312"/>
    <w:rsid w:val="00BC7332"/>
    <w:rsid w:val="00BC7359"/>
    <w:rsid w:val="00BC73EE"/>
    <w:rsid w:val="00BC7404"/>
    <w:rsid w:val="00BC74B3"/>
    <w:rsid w:val="00BC7545"/>
    <w:rsid w:val="00BC7571"/>
    <w:rsid w:val="00BC7589"/>
    <w:rsid w:val="00BC75A4"/>
    <w:rsid w:val="00BC75E6"/>
    <w:rsid w:val="00BC75E8"/>
    <w:rsid w:val="00BC7628"/>
    <w:rsid w:val="00BC7769"/>
    <w:rsid w:val="00BC77B3"/>
    <w:rsid w:val="00BC77D1"/>
    <w:rsid w:val="00BC786A"/>
    <w:rsid w:val="00BC788B"/>
    <w:rsid w:val="00BC78BC"/>
    <w:rsid w:val="00BC78F2"/>
    <w:rsid w:val="00BC793B"/>
    <w:rsid w:val="00BC7945"/>
    <w:rsid w:val="00BC7A3B"/>
    <w:rsid w:val="00BC7A62"/>
    <w:rsid w:val="00BC7BB9"/>
    <w:rsid w:val="00BC7BBB"/>
    <w:rsid w:val="00BC7C51"/>
    <w:rsid w:val="00BC7C84"/>
    <w:rsid w:val="00BC7CDF"/>
    <w:rsid w:val="00BC7DA5"/>
    <w:rsid w:val="00BC7DC7"/>
    <w:rsid w:val="00BC7E00"/>
    <w:rsid w:val="00BC7EF7"/>
    <w:rsid w:val="00BC7F01"/>
    <w:rsid w:val="00BC7F25"/>
    <w:rsid w:val="00BC7FB6"/>
    <w:rsid w:val="00BC7FC7"/>
    <w:rsid w:val="00BC7FD6"/>
    <w:rsid w:val="00BC7FDA"/>
    <w:rsid w:val="00BCEFD9"/>
    <w:rsid w:val="00BD0005"/>
    <w:rsid w:val="00BD000D"/>
    <w:rsid w:val="00BD0100"/>
    <w:rsid w:val="00BD0106"/>
    <w:rsid w:val="00BD012D"/>
    <w:rsid w:val="00BD0147"/>
    <w:rsid w:val="00BD01A7"/>
    <w:rsid w:val="00BD01DB"/>
    <w:rsid w:val="00BD02A6"/>
    <w:rsid w:val="00BD02C6"/>
    <w:rsid w:val="00BD0332"/>
    <w:rsid w:val="00BD03BB"/>
    <w:rsid w:val="00BD03E5"/>
    <w:rsid w:val="00BD04AE"/>
    <w:rsid w:val="00BD0536"/>
    <w:rsid w:val="00BD05C3"/>
    <w:rsid w:val="00BD0626"/>
    <w:rsid w:val="00BD0637"/>
    <w:rsid w:val="00BD0684"/>
    <w:rsid w:val="00BD069A"/>
    <w:rsid w:val="00BD07A7"/>
    <w:rsid w:val="00BD080E"/>
    <w:rsid w:val="00BD082E"/>
    <w:rsid w:val="00BD087A"/>
    <w:rsid w:val="00BD08CB"/>
    <w:rsid w:val="00BD08F2"/>
    <w:rsid w:val="00BD091F"/>
    <w:rsid w:val="00BD0936"/>
    <w:rsid w:val="00BD099B"/>
    <w:rsid w:val="00BD09E6"/>
    <w:rsid w:val="00BD0A1A"/>
    <w:rsid w:val="00BD0A37"/>
    <w:rsid w:val="00BD0AC6"/>
    <w:rsid w:val="00BD0AF2"/>
    <w:rsid w:val="00BD0BB6"/>
    <w:rsid w:val="00BD0C15"/>
    <w:rsid w:val="00BD0C93"/>
    <w:rsid w:val="00BD0CCC"/>
    <w:rsid w:val="00BD0CE0"/>
    <w:rsid w:val="00BD0D70"/>
    <w:rsid w:val="00BD0DCA"/>
    <w:rsid w:val="00BD0E5B"/>
    <w:rsid w:val="00BD0E60"/>
    <w:rsid w:val="00BD0EF3"/>
    <w:rsid w:val="00BD0F13"/>
    <w:rsid w:val="00BD0F19"/>
    <w:rsid w:val="00BD0F3E"/>
    <w:rsid w:val="00BD0F4C"/>
    <w:rsid w:val="00BD0F56"/>
    <w:rsid w:val="00BD0FAD"/>
    <w:rsid w:val="00BD0FC3"/>
    <w:rsid w:val="00BD105B"/>
    <w:rsid w:val="00BD10B3"/>
    <w:rsid w:val="00BD10F3"/>
    <w:rsid w:val="00BD1137"/>
    <w:rsid w:val="00BD1195"/>
    <w:rsid w:val="00BD11A8"/>
    <w:rsid w:val="00BD11DE"/>
    <w:rsid w:val="00BD11EC"/>
    <w:rsid w:val="00BD1260"/>
    <w:rsid w:val="00BD12D1"/>
    <w:rsid w:val="00BD139E"/>
    <w:rsid w:val="00BD13C7"/>
    <w:rsid w:val="00BD157F"/>
    <w:rsid w:val="00BD1590"/>
    <w:rsid w:val="00BD15EA"/>
    <w:rsid w:val="00BD1617"/>
    <w:rsid w:val="00BD1632"/>
    <w:rsid w:val="00BD172D"/>
    <w:rsid w:val="00BD174C"/>
    <w:rsid w:val="00BD1792"/>
    <w:rsid w:val="00BD17B1"/>
    <w:rsid w:val="00BD1838"/>
    <w:rsid w:val="00BD18F7"/>
    <w:rsid w:val="00BD1935"/>
    <w:rsid w:val="00BD1975"/>
    <w:rsid w:val="00BD19BE"/>
    <w:rsid w:val="00BD1A06"/>
    <w:rsid w:val="00BD1A1A"/>
    <w:rsid w:val="00BD1A83"/>
    <w:rsid w:val="00BD1AE2"/>
    <w:rsid w:val="00BD1B43"/>
    <w:rsid w:val="00BD1BE5"/>
    <w:rsid w:val="00BD1C60"/>
    <w:rsid w:val="00BD1CBD"/>
    <w:rsid w:val="00BD1D07"/>
    <w:rsid w:val="00BD1D5D"/>
    <w:rsid w:val="00BD1DC6"/>
    <w:rsid w:val="00BD1DCF"/>
    <w:rsid w:val="00BD1E16"/>
    <w:rsid w:val="00BD1E51"/>
    <w:rsid w:val="00BD1EC6"/>
    <w:rsid w:val="00BD1EFC"/>
    <w:rsid w:val="00BD1F27"/>
    <w:rsid w:val="00BD1F77"/>
    <w:rsid w:val="00BD1FC1"/>
    <w:rsid w:val="00BD2013"/>
    <w:rsid w:val="00BD20DF"/>
    <w:rsid w:val="00BD213D"/>
    <w:rsid w:val="00BD2149"/>
    <w:rsid w:val="00BD216E"/>
    <w:rsid w:val="00BD21A4"/>
    <w:rsid w:val="00BD21BE"/>
    <w:rsid w:val="00BD21C8"/>
    <w:rsid w:val="00BD21D7"/>
    <w:rsid w:val="00BD221E"/>
    <w:rsid w:val="00BD22A8"/>
    <w:rsid w:val="00BD22A9"/>
    <w:rsid w:val="00BD22AD"/>
    <w:rsid w:val="00BD230B"/>
    <w:rsid w:val="00BD2356"/>
    <w:rsid w:val="00BD2470"/>
    <w:rsid w:val="00BD2489"/>
    <w:rsid w:val="00BD2531"/>
    <w:rsid w:val="00BD2563"/>
    <w:rsid w:val="00BD25EE"/>
    <w:rsid w:val="00BD2635"/>
    <w:rsid w:val="00BD26BB"/>
    <w:rsid w:val="00BD2749"/>
    <w:rsid w:val="00BD2764"/>
    <w:rsid w:val="00BD27F5"/>
    <w:rsid w:val="00BD2892"/>
    <w:rsid w:val="00BD2916"/>
    <w:rsid w:val="00BD292D"/>
    <w:rsid w:val="00BD2956"/>
    <w:rsid w:val="00BD29F5"/>
    <w:rsid w:val="00BD2A0A"/>
    <w:rsid w:val="00BD2A34"/>
    <w:rsid w:val="00BD2A7C"/>
    <w:rsid w:val="00BD2A95"/>
    <w:rsid w:val="00BD2AC3"/>
    <w:rsid w:val="00BD2B53"/>
    <w:rsid w:val="00BD2BDC"/>
    <w:rsid w:val="00BD2C40"/>
    <w:rsid w:val="00BD2C7A"/>
    <w:rsid w:val="00BD2C8F"/>
    <w:rsid w:val="00BD2CC9"/>
    <w:rsid w:val="00BD2CDE"/>
    <w:rsid w:val="00BD2D66"/>
    <w:rsid w:val="00BD2D67"/>
    <w:rsid w:val="00BD2E4F"/>
    <w:rsid w:val="00BD2EAA"/>
    <w:rsid w:val="00BD2F86"/>
    <w:rsid w:val="00BD2F8E"/>
    <w:rsid w:val="00BD2FFA"/>
    <w:rsid w:val="00BD303E"/>
    <w:rsid w:val="00BD3076"/>
    <w:rsid w:val="00BD3078"/>
    <w:rsid w:val="00BD30DF"/>
    <w:rsid w:val="00BD30E5"/>
    <w:rsid w:val="00BD30E7"/>
    <w:rsid w:val="00BD3168"/>
    <w:rsid w:val="00BD3178"/>
    <w:rsid w:val="00BD3183"/>
    <w:rsid w:val="00BD3193"/>
    <w:rsid w:val="00BD3211"/>
    <w:rsid w:val="00BD3260"/>
    <w:rsid w:val="00BD332D"/>
    <w:rsid w:val="00BD3337"/>
    <w:rsid w:val="00BD3396"/>
    <w:rsid w:val="00BD33CB"/>
    <w:rsid w:val="00BD34B0"/>
    <w:rsid w:val="00BD34E0"/>
    <w:rsid w:val="00BD3541"/>
    <w:rsid w:val="00BD35CE"/>
    <w:rsid w:val="00BD35F4"/>
    <w:rsid w:val="00BD3678"/>
    <w:rsid w:val="00BD3750"/>
    <w:rsid w:val="00BD3773"/>
    <w:rsid w:val="00BD37DD"/>
    <w:rsid w:val="00BD3832"/>
    <w:rsid w:val="00BD387D"/>
    <w:rsid w:val="00BD389F"/>
    <w:rsid w:val="00BD397F"/>
    <w:rsid w:val="00BD39DE"/>
    <w:rsid w:val="00BD3A96"/>
    <w:rsid w:val="00BD3AB6"/>
    <w:rsid w:val="00BD3AD0"/>
    <w:rsid w:val="00BD3B90"/>
    <w:rsid w:val="00BD3C22"/>
    <w:rsid w:val="00BD3C59"/>
    <w:rsid w:val="00BD3D8D"/>
    <w:rsid w:val="00BD3DC9"/>
    <w:rsid w:val="00BD3DD4"/>
    <w:rsid w:val="00BD3E6A"/>
    <w:rsid w:val="00BD3E99"/>
    <w:rsid w:val="00BD3F57"/>
    <w:rsid w:val="00BD3F7E"/>
    <w:rsid w:val="00BD402D"/>
    <w:rsid w:val="00BD4061"/>
    <w:rsid w:val="00BD40B3"/>
    <w:rsid w:val="00BD40E5"/>
    <w:rsid w:val="00BD40FE"/>
    <w:rsid w:val="00BD4106"/>
    <w:rsid w:val="00BD4206"/>
    <w:rsid w:val="00BD4229"/>
    <w:rsid w:val="00BD4279"/>
    <w:rsid w:val="00BD4281"/>
    <w:rsid w:val="00BD43BB"/>
    <w:rsid w:val="00BD4412"/>
    <w:rsid w:val="00BD444E"/>
    <w:rsid w:val="00BD44C3"/>
    <w:rsid w:val="00BD44E3"/>
    <w:rsid w:val="00BD459F"/>
    <w:rsid w:val="00BD45BB"/>
    <w:rsid w:val="00BD46B2"/>
    <w:rsid w:val="00BD46DE"/>
    <w:rsid w:val="00BD470B"/>
    <w:rsid w:val="00BD4759"/>
    <w:rsid w:val="00BD475A"/>
    <w:rsid w:val="00BD47C3"/>
    <w:rsid w:val="00BD4819"/>
    <w:rsid w:val="00BD484B"/>
    <w:rsid w:val="00BD4880"/>
    <w:rsid w:val="00BD4977"/>
    <w:rsid w:val="00BD4984"/>
    <w:rsid w:val="00BD49A5"/>
    <w:rsid w:val="00BD49B6"/>
    <w:rsid w:val="00BD49CB"/>
    <w:rsid w:val="00BD49ED"/>
    <w:rsid w:val="00BD4A16"/>
    <w:rsid w:val="00BD4A17"/>
    <w:rsid w:val="00BD4A25"/>
    <w:rsid w:val="00BD4A2C"/>
    <w:rsid w:val="00BD4A30"/>
    <w:rsid w:val="00BD4B6D"/>
    <w:rsid w:val="00BD4BB3"/>
    <w:rsid w:val="00BD4BDD"/>
    <w:rsid w:val="00BD4C0D"/>
    <w:rsid w:val="00BD4CCE"/>
    <w:rsid w:val="00BD4D46"/>
    <w:rsid w:val="00BD4DD1"/>
    <w:rsid w:val="00BD4E05"/>
    <w:rsid w:val="00BD4EB3"/>
    <w:rsid w:val="00BD4F20"/>
    <w:rsid w:val="00BD4F47"/>
    <w:rsid w:val="00BD4F4B"/>
    <w:rsid w:val="00BD4F4C"/>
    <w:rsid w:val="00BD4F60"/>
    <w:rsid w:val="00BD501E"/>
    <w:rsid w:val="00BD50C3"/>
    <w:rsid w:val="00BD5163"/>
    <w:rsid w:val="00BD5164"/>
    <w:rsid w:val="00BD51A8"/>
    <w:rsid w:val="00BD5219"/>
    <w:rsid w:val="00BD5341"/>
    <w:rsid w:val="00BD5375"/>
    <w:rsid w:val="00BD54BE"/>
    <w:rsid w:val="00BD54F0"/>
    <w:rsid w:val="00BD55A6"/>
    <w:rsid w:val="00BD55B5"/>
    <w:rsid w:val="00BD564B"/>
    <w:rsid w:val="00BD566A"/>
    <w:rsid w:val="00BD56AB"/>
    <w:rsid w:val="00BD570E"/>
    <w:rsid w:val="00BD577D"/>
    <w:rsid w:val="00BD57DC"/>
    <w:rsid w:val="00BD5962"/>
    <w:rsid w:val="00BD5A2B"/>
    <w:rsid w:val="00BD5A68"/>
    <w:rsid w:val="00BD5A83"/>
    <w:rsid w:val="00BD5ADC"/>
    <w:rsid w:val="00BD5B94"/>
    <w:rsid w:val="00BD5C5B"/>
    <w:rsid w:val="00BD5C5C"/>
    <w:rsid w:val="00BD5C70"/>
    <w:rsid w:val="00BD5CA2"/>
    <w:rsid w:val="00BD5CFB"/>
    <w:rsid w:val="00BD5D21"/>
    <w:rsid w:val="00BD5D57"/>
    <w:rsid w:val="00BD5D71"/>
    <w:rsid w:val="00BD5DA2"/>
    <w:rsid w:val="00BD5DB8"/>
    <w:rsid w:val="00BD5E1B"/>
    <w:rsid w:val="00BD5EBC"/>
    <w:rsid w:val="00BD5F8D"/>
    <w:rsid w:val="00BD5FA9"/>
    <w:rsid w:val="00BD606A"/>
    <w:rsid w:val="00BD607C"/>
    <w:rsid w:val="00BD60FC"/>
    <w:rsid w:val="00BD6185"/>
    <w:rsid w:val="00BD619C"/>
    <w:rsid w:val="00BD61CD"/>
    <w:rsid w:val="00BD6256"/>
    <w:rsid w:val="00BD6306"/>
    <w:rsid w:val="00BD630A"/>
    <w:rsid w:val="00BD634D"/>
    <w:rsid w:val="00BD63C7"/>
    <w:rsid w:val="00BD63CD"/>
    <w:rsid w:val="00BD63EB"/>
    <w:rsid w:val="00BD6402"/>
    <w:rsid w:val="00BD640A"/>
    <w:rsid w:val="00BD6444"/>
    <w:rsid w:val="00BD6485"/>
    <w:rsid w:val="00BD64E2"/>
    <w:rsid w:val="00BD6508"/>
    <w:rsid w:val="00BD65C7"/>
    <w:rsid w:val="00BD6634"/>
    <w:rsid w:val="00BD6659"/>
    <w:rsid w:val="00BD66FE"/>
    <w:rsid w:val="00BD6711"/>
    <w:rsid w:val="00BD674A"/>
    <w:rsid w:val="00BD678D"/>
    <w:rsid w:val="00BD67ED"/>
    <w:rsid w:val="00BD683E"/>
    <w:rsid w:val="00BD68A3"/>
    <w:rsid w:val="00BD69BE"/>
    <w:rsid w:val="00BD69DE"/>
    <w:rsid w:val="00BD6A5A"/>
    <w:rsid w:val="00BD6B48"/>
    <w:rsid w:val="00BD6B90"/>
    <w:rsid w:val="00BD6BD0"/>
    <w:rsid w:val="00BD6C08"/>
    <w:rsid w:val="00BD6C36"/>
    <w:rsid w:val="00BD6C73"/>
    <w:rsid w:val="00BD6C8D"/>
    <w:rsid w:val="00BD6D45"/>
    <w:rsid w:val="00BD6D6D"/>
    <w:rsid w:val="00BD6DA9"/>
    <w:rsid w:val="00BD6E3C"/>
    <w:rsid w:val="00BD6E42"/>
    <w:rsid w:val="00BD6E80"/>
    <w:rsid w:val="00BD6EDD"/>
    <w:rsid w:val="00BD6F00"/>
    <w:rsid w:val="00BD6F0B"/>
    <w:rsid w:val="00BD70B5"/>
    <w:rsid w:val="00BD70BA"/>
    <w:rsid w:val="00BD7132"/>
    <w:rsid w:val="00BD7170"/>
    <w:rsid w:val="00BD719E"/>
    <w:rsid w:val="00BD7267"/>
    <w:rsid w:val="00BD7274"/>
    <w:rsid w:val="00BD7295"/>
    <w:rsid w:val="00BD72B2"/>
    <w:rsid w:val="00BD7376"/>
    <w:rsid w:val="00BD7396"/>
    <w:rsid w:val="00BD73E5"/>
    <w:rsid w:val="00BD7436"/>
    <w:rsid w:val="00BD74A6"/>
    <w:rsid w:val="00BD74E7"/>
    <w:rsid w:val="00BD7529"/>
    <w:rsid w:val="00BD7530"/>
    <w:rsid w:val="00BD7563"/>
    <w:rsid w:val="00BD75B4"/>
    <w:rsid w:val="00BD75C6"/>
    <w:rsid w:val="00BD75F0"/>
    <w:rsid w:val="00BD760C"/>
    <w:rsid w:val="00BD7644"/>
    <w:rsid w:val="00BD7682"/>
    <w:rsid w:val="00BD76FE"/>
    <w:rsid w:val="00BD774E"/>
    <w:rsid w:val="00BD788E"/>
    <w:rsid w:val="00BD78CF"/>
    <w:rsid w:val="00BD7922"/>
    <w:rsid w:val="00BD79BD"/>
    <w:rsid w:val="00BD7B2F"/>
    <w:rsid w:val="00BD7C4F"/>
    <w:rsid w:val="00BD7C53"/>
    <w:rsid w:val="00BD7C55"/>
    <w:rsid w:val="00BD7C6A"/>
    <w:rsid w:val="00BD7CAD"/>
    <w:rsid w:val="00BD7CC1"/>
    <w:rsid w:val="00BD7CC5"/>
    <w:rsid w:val="00BD7CD1"/>
    <w:rsid w:val="00BD7CFB"/>
    <w:rsid w:val="00BD7D1F"/>
    <w:rsid w:val="00BD7D4D"/>
    <w:rsid w:val="00BD7D4F"/>
    <w:rsid w:val="00BD7D5C"/>
    <w:rsid w:val="00BD7D63"/>
    <w:rsid w:val="00BD7E1E"/>
    <w:rsid w:val="00BD7EC0"/>
    <w:rsid w:val="00BD7EC2"/>
    <w:rsid w:val="00BD7F00"/>
    <w:rsid w:val="00BD7F0C"/>
    <w:rsid w:val="00BD7F74"/>
    <w:rsid w:val="00BD7FD7"/>
    <w:rsid w:val="00BD7FE4"/>
    <w:rsid w:val="00BD7FE9"/>
    <w:rsid w:val="00BE000D"/>
    <w:rsid w:val="00BE000E"/>
    <w:rsid w:val="00BE00AD"/>
    <w:rsid w:val="00BE0103"/>
    <w:rsid w:val="00BE0171"/>
    <w:rsid w:val="00BE01C1"/>
    <w:rsid w:val="00BE020B"/>
    <w:rsid w:val="00BE0261"/>
    <w:rsid w:val="00BE02A1"/>
    <w:rsid w:val="00BE0448"/>
    <w:rsid w:val="00BE0449"/>
    <w:rsid w:val="00BE0594"/>
    <w:rsid w:val="00BE0603"/>
    <w:rsid w:val="00BE0676"/>
    <w:rsid w:val="00BE069F"/>
    <w:rsid w:val="00BE06DA"/>
    <w:rsid w:val="00BE0789"/>
    <w:rsid w:val="00BE0829"/>
    <w:rsid w:val="00BE094D"/>
    <w:rsid w:val="00BE09C1"/>
    <w:rsid w:val="00BE09E7"/>
    <w:rsid w:val="00BE0A06"/>
    <w:rsid w:val="00BE0A17"/>
    <w:rsid w:val="00BE0B34"/>
    <w:rsid w:val="00BE0B4E"/>
    <w:rsid w:val="00BE0B95"/>
    <w:rsid w:val="00BE0BD7"/>
    <w:rsid w:val="00BE0C04"/>
    <w:rsid w:val="00BE0C22"/>
    <w:rsid w:val="00BE0C2C"/>
    <w:rsid w:val="00BE0C7A"/>
    <w:rsid w:val="00BE0D03"/>
    <w:rsid w:val="00BE0D18"/>
    <w:rsid w:val="00BE0D60"/>
    <w:rsid w:val="00BE0D8B"/>
    <w:rsid w:val="00BE0D9B"/>
    <w:rsid w:val="00BE0EEE"/>
    <w:rsid w:val="00BE0F10"/>
    <w:rsid w:val="00BE0F44"/>
    <w:rsid w:val="00BE1085"/>
    <w:rsid w:val="00BE1086"/>
    <w:rsid w:val="00BE10AA"/>
    <w:rsid w:val="00BE10E8"/>
    <w:rsid w:val="00BE1142"/>
    <w:rsid w:val="00BE117E"/>
    <w:rsid w:val="00BE129F"/>
    <w:rsid w:val="00BE1301"/>
    <w:rsid w:val="00BE1396"/>
    <w:rsid w:val="00BE1397"/>
    <w:rsid w:val="00BE139C"/>
    <w:rsid w:val="00BE13A4"/>
    <w:rsid w:val="00BE13C0"/>
    <w:rsid w:val="00BE1412"/>
    <w:rsid w:val="00BE14A7"/>
    <w:rsid w:val="00BE1593"/>
    <w:rsid w:val="00BE161B"/>
    <w:rsid w:val="00BE1626"/>
    <w:rsid w:val="00BE1636"/>
    <w:rsid w:val="00BE168E"/>
    <w:rsid w:val="00BE16FB"/>
    <w:rsid w:val="00BE171A"/>
    <w:rsid w:val="00BE1751"/>
    <w:rsid w:val="00BE1769"/>
    <w:rsid w:val="00BE179C"/>
    <w:rsid w:val="00BE17A7"/>
    <w:rsid w:val="00BE17AC"/>
    <w:rsid w:val="00BE1866"/>
    <w:rsid w:val="00BE18B7"/>
    <w:rsid w:val="00BE1913"/>
    <w:rsid w:val="00BE195F"/>
    <w:rsid w:val="00BE1997"/>
    <w:rsid w:val="00BE19AC"/>
    <w:rsid w:val="00BE1A87"/>
    <w:rsid w:val="00BE1AA6"/>
    <w:rsid w:val="00BE1ACC"/>
    <w:rsid w:val="00BE1BCC"/>
    <w:rsid w:val="00BE1CC1"/>
    <w:rsid w:val="00BE1CD4"/>
    <w:rsid w:val="00BE1D3B"/>
    <w:rsid w:val="00BE1D72"/>
    <w:rsid w:val="00BE1E3C"/>
    <w:rsid w:val="00BE1EF0"/>
    <w:rsid w:val="00BE1EF2"/>
    <w:rsid w:val="00BE1F12"/>
    <w:rsid w:val="00BE1F30"/>
    <w:rsid w:val="00BE1FC9"/>
    <w:rsid w:val="00BE1FD0"/>
    <w:rsid w:val="00BE201D"/>
    <w:rsid w:val="00BE202B"/>
    <w:rsid w:val="00BE209B"/>
    <w:rsid w:val="00BE20A6"/>
    <w:rsid w:val="00BE20E0"/>
    <w:rsid w:val="00BE2140"/>
    <w:rsid w:val="00BE21E0"/>
    <w:rsid w:val="00BE2223"/>
    <w:rsid w:val="00BE226D"/>
    <w:rsid w:val="00BE22A6"/>
    <w:rsid w:val="00BE22C4"/>
    <w:rsid w:val="00BE22DA"/>
    <w:rsid w:val="00BE22E7"/>
    <w:rsid w:val="00BE235B"/>
    <w:rsid w:val="00BE2363"/>
    <w:rsid w:val="00BE236B"/>
    <w:rsid w:val="00BE2385"/>
    <w:rsid w:val="00BE24D0"/>
    <w:rsid w:val="00BE251D"/>
    <w:rsid w:val="00BE2550"/>
    <w:rsid w:val="00BE259F"/>
    <w:rsid w:val="00BE25EE"/>
    <w:rsid w:val="00BE25FE"/>
    <w:rsid w:val="00BE2634"/>
    <w:rsid w:val="00BE26B4"/>
    <w:rsid w:val="00BE26E2"/>
    <w:rsid w:val="00BE270F"/>
    <w:rsid w:val="00BE2778"/>
    <w:rsid w:val="00BE2839"/>
    <w:rsid w:val="00BE28A7"/>
    <w:rsid w:val="00BE28A9"/>
    <w:rsid w:val="00BE28B0"/>
    <w:rsid w:val="00BE28FE"/>
    <w:rsid w:val="00BE290A"/>
    <w:rsid w:val="00BE294E"/>
    <w:rsid w:val="00BE2961"/>
    <w:rsid w:val="00BE2A2E"/>
    <w:rsid w:val="00BE2AB9"/>
    <w:rsid w:val="00BE2B21"/>
    <w:rsid w:val="00BE2B40"/>
    <w:rsid w:val="00BE2B51"/>
    <w:rsid w:val="00BE2C31"/>
    <w:rsid w:val="00BE2CF3"/>
    <w:rsid w:val="00BE2D0E"/>
    <w:rsid w:val="00BE2D7A"/>
    <w:rsid w:val="00BE2D7E"/>
    <w:rsid w:val="00BE2DAE"/>
    <w:rsid w:val="00BE2DD4"/>
    <w:rsid w:val="00BE2E38"/>
    <w:rsid w:val="00BE2E3A"/>
    <w:rsid w:val="00BE2E43"/>
    <w:rsid w:val="00BE2E75"/>
    <w:rsid w:val="00BE2E8A"/>
    <w:rsid w:val="00BE2EB1"/>
    <w:rsid w:val="00BE2EB4"/>
    <w:rsid w:val="00BE2F48"/>
    <w:rsid w:val="00BE2F53"/>
    <w:rsid w:val="00BE3005"/>
    <w:rsid w:val="00BE30A5"/>
    <w:rsid w:val="00BE30B8"/>
    <w:rsid w:val="00BE3133"/>
    <w:rsid w:val="00BE3283"/>
    <w:rsid w:val="00BE3377"/>
    <w:rsid w:val="00BE33EB"/>
    <w:rsid w:val="00BE33ED"/>
    <w:rsid w:val="00BE3429"/>
    <w:rsid w:val="00BE343F"/>
    <w:rsid w:val="00BE3488"/>
    <w:rsid w:val="00BE34A5"/>
    <w:rsid w:val="00BE34D2"/>
    <w:rsid w:val="00BE3504"/>
    <w:rsid w:val="00BE353C"/>
    <w:rsid w:val="00BE3540"/>
    <w:rsid w:val="00BE35D5"/>
    <w:rsid w:val="00BE363C"/>
    <w:rsid w:val="00BE36EC"/>
    <w:rsid w:val="00BE36EE"/>
    <w:rsid w:val="00BE36FD"/>
    <w:rsid w:val="00BE3730"/>
    <w:rsid w:val="00BE3776"/>
    <w:rsid w:val="00BE37A4"/>
    <w:rsid w:val="00BE37C1"/>
    <w:rsid w:val="00BE381A"/>
    <w:rsid w:val="00BE3858"/>
    <w:rsid w:val="00BE385D"/>
    <w:rsid w:val="00BE3866"/>
    <w:rsid w:val="00BE39C0"/>
    <w:rsid w:val="00BE3A74"/>
    <w:rsid w:val="00BE3B3F"/>
    <w:rsid w:val="00BE3BA2"/>
    <w:rsid w:val="00BE3C6C"/>
    <w:rsid w:val="00BE3C90"/>
    <w:rsid w:val="00BE3D26"/>
    <w:rsid w:val="00BE3D6F"/>
    <w:rsid w:val="00BE3D79"/>
    <w:rsid w:val="00BE3D7F"/>
    <w:rsid w:val="00BE3D99"/>
    <w:rsid w:val="00BE3E07"/>
    <w:rsid w:val="00BE3E0F"/>
    <w:rsid w:val="00BE3E41"/>
    <w:rsid w:val="00BE3E78"/>
    <w:rsid w:val="00BE3EA8"/>
    <w:rsid w:val="00BE3F23"/>
    <w:rsid w:val="00BE3F4E"/>
    <w:rsid w:val="00BE4028"/>
    <w:rsid w:val="00BE4037"/>
    <w:rsid w:val="00BE4078"/>
    <w:rsid w:val="00BE40B4"/>
    <w:rsid w:val="00BE410A"/>
    <w:rsid w:val="00BE4181"/>
    <w:rsid w:val="00BE41CD"/>
    <w:rsid w:val="00BE4201"/>
    <w:rsid w:val="00BE4281"/>
    <w:rsid w:val="00BE4325"/>
    <w:rsid w:val="00BE4373"/>
    <w:rsid w:val="00BE4419"/>
    <w:rsid w:val="00BE446F"/>
    <w:rsid w:val="00BE447C"/>
    <w:rsid w:val="00BE44A4"/>
    <w:rsid w:val="00BE44F8"/>
    <w:rsid w:val="00BE451E"/>
    <w:rsid w:val="00BE4578"/>
    <w:rsid w:val="00BE45C8"/>
    <w:rsid w:val="00BE462A"/>
    <w:rsid w:val="00BE462B"/>
    <w:rsid w:val="00BE4637"/>
    <w:rsid w:val="00BE463E"/>
    <w:rsid w:val="00BE4764"/>
    <w:rsid w:val="00BE47F8"/>
    <w:rsid w:val="00BE4814"/>
    <w:rsid w:val="00BE482E"/>
    <w:rsid w:val="00BE4842"/>
    <w:rsid w:val="00BE4849"/>
    <w:rsid w:val="00BE487F"/>
    <w:rsid w:val="00BE48CA"/>
    <w:rsid w:val="00BE48F1"/>
    <w:rsid w:val="00BE4940"/>
    <w:rsid w:val="00BE49B9"/>
    <w:rsid w:val="00BE4A32"/>
    <w:rsid w:val="00BE4A53"/>
    <w:rsid w:val="00BE4B03"/>
    <w:rsid w:val="00BE4B26"/>
    <w:rsid w:val="00BE4B37"/>
    <w:rsid w:val="00BE4B6A"/>
    <w:rsid w:val="00BE4B8B"/>
    <w:rsid w:val="00BE4BFF"/>
    <w:rsid w:val="00BE4C4F"/>
    <w:rsid w:val="00BE4C62"/>
    <w:rsid w:val="00BE4D24"/>
    <w:rsid w:val="00BE4D31"/>
    <w:rsid w:val="00BE4D67"/>
    <w:rsid w:val="00BE4DA7"/>
    <w:rsid w:val="00BE4DFC"/>
    <w:rsid w:val="00BE4E2A"/>
    <w:rsid w:val="00BE4EC7"/>
    <w:rsid w:val="00BE4EC8"/>
    <w:rsid w:val="00BE4F07"/>
    <w:rsid w:val="00BE4F2B"/>
    <w:rsid w:val="00BE4FD2"/>
    <w:rsid w:val="00BE5071"/>
    <w:rsid w:val="00BE50F9"/>
    <w:rsid w:val="00BE513A"/>
    <w:rsid w:val="00BE519B"/>
    <w:rsid w:val="00BE51A4"/>
    <w:rsid w:val="00BE523B"/>
    <w:rsid w:val="00BE524B"/>
    <w:rsid w:val="00BE526F"/>
    <w:rsid w:val="00BE529F"/>
    <w:rsid w:val="00BE5462"/>
    <w:rsid w:val="00BE54DC"/>
    <w:rsid w:val="00BE55CA"/>
    <w:rsid w:val="00BE55EB"/>
    <w:rsid w:val="00BE561C"/>
    <w:rsid w:val="00BE5630"/>
    <w:rsid w:val="00BE5638"/>
    <w:rsid w:val="00BE5688"/>
    <w:rsid w:val="00BE56D0"/>
    <w:rsid w:val="00BE5784"/>
    <w:rsid w:val="00BE57E4"/>
    <w:rsid w:val="00BE581C"/>
    <w:rsid w:val="00BE5837"/>
    <w:rsid w:val="00BE583D"/>
    <w:rsid w:val="00BE5876"/>
    <w:rsid w:val="00BE5959"/>
    <w:rsid w:val="00BE599D"/>
    <w:rsid w:val="00BE59B7"/>
    <w:rsid w:val="00BE59C5"/>
    <w:rsid w:val="00BE59F3"/>
    <w:rsid w:val="00BE5BBC"/>
    <w:rsid w:val="00BE5BE6"/>
    <w:rsid w:val="00BE5C3D"/>
    <w:rsid w:val="00BE5C79"/>
    <w:rsid w:val="00BE5DAE"/>
    <w:rsid w:val="00BE5DFE"/>
    <w:rsid w:val="00BE5E20"/>
    <w:rsid w:val="00BE5E93"/>
    <w:rsid w:val="00BE5E96"/>
    <w:rsid w:val="00BE5F32"/>
    <w:rsid w:val="00BE5FCE"/>
    <w:rsid w:val="00BE60A6"/>
    <w:rsid w:val="00BE6117"/>
    <w:rsid w:val="00BE6128"/>
    <w:rsid w:val="00BE6135"/>
    <w:rsid w:val="00BE614E"/>
    <w:rsid w:val="00BE61F8"/>
    <w:rsid w:val="00BE6227"/>
    <w:rsid w:val="00BE625E"/>
    <w:rsid w:val="00BE627A"/>
    <w:rsid w:val="00BE6362"/>
    <w:rsid w:val="00BE639F"/>
    <w:rsid w:val="00BE646A"/>
    <w:rsid w:val="00BE64EE"/>
    <w:rsid w:val="00BE64F5"/>
    <w:rsid w:val="00BE65DA"/>
    <w:rsid w:val="00BE6606"/>
    <w:rsid w:val="00BE660D"/>
    <w:rsid w:val="00BE6763"/>
    <w:rsid w:val="00BE6781"/>
    <w:rsid w:val="00BE6813"/>
    <w:rsid w:val="00BE6890"/>
    <w:rsid w:val="00BE68D6"/>
    <w:rsid w:val="00BE68EF"/>
    <w:rsid w:val="00BE6905"/>
    <w:rsid w:val="00BE695E"/>
    <w:rsid w:val="00BE69A1"/>
    <w:rsid w:val="00BE6BBB"/>
    <w:rsid w:val="00BE6BFC"/>
    <w:rsid w:val="00BE6C18"/>
    <w:rsid w:val="00BE6C33"/>
    <w:rsid w:val="00BE6C49"/>
    <w:rsid w:val="00BE6CF6"/>
    <w:rsid w:val="00BE6D35"/>
    <w:rsid w:val="00BE6D5F"/>
    <w:rsid w:val="00BE6D8B"/>
    <w:rsid w:val="00BE6E59"/>
    <w:rsid w:val="00BE6EB2"/>
    <w:rsid w:val="00BE6F1C"/>
    <w:rsid w:val="00BE6F27"/>
    <w:rsid w:val="00BE6F6D"/>
    <w:rsid w:val="00BE6F79"/>
    <w:rsid w:val="00BE6FD9"/>
    <w:rsid w:val="00BE701B"/>
    <w:rsid w:val="00BE707C"/>
    <w:rsid w:val="00BE7091"/>
    <w:rsid w:val="00BE7114"/>
    <w:rsid w:val="00BE719D"/>
    <w:rsid w:val="00BE71BF"/>
    <w:rsid w:val="00BE72D9"/>
    <w:rsid w:val="00BE7377"/>
    <w:rsid w:val="00BE738A"/>
    <w:rsid w:val="00BE73DB"/>
    <w:rsid w:val="00BE7421"/>
    <w:rsid w:val="00BE7432"/>
    <w:rsid w:val="00BE7440"/>
    <w:rsid w:val="00BE744D"/>
    <w:rsid w:val="00BE748E"/>
    <w:rsid w:val="00BE7494"/>
    <w:rsid w:val="00BE752C"/>
    <w:rsid w:val="00BE7569"/>
    <w:rsid w:val="00BE75AE"/>
    <w:rsid w:val="00BE7679"/>
    <w:rsid w:val="00BE7688"/>
    <w:rsid w:val="00BE76D0"/>
    <w:rsid w:val="00BE76FF"/>
    <w:rsid w:val="00BE7722"/>
    <w:rsid w:val="00BE7831"/>
    <w:rsid w:val="00BE7893"/>
    <w:rsid w:val="00BE789D"/>
    <w:rsid w:val="00BE790F"/>
    <w:rsid w:val="00BE795E"/>
    <w:rsid w:val="00BE7A02"/>
    <w:rsid w:val="00BE7AF2"/>
    <w:rsid w:val="00BE7B62"/>
    <w:rsid w:val="00BE7BD6"/>
    <w:rsid w:val="00BE7C21"/>
    <w:rsid w:val="00BE7D22"/>
    <w:rsid w:val="00BE7D27"/>
    <w:rsid w:val="00BE7D3D"/>
    <w:rsid w:val="00BE7D52"/>
    <w:rsid w:val="00BE7D85"/>
    <w:rsid w:val="00BE7E40"/>
    <w:rsid w:val="00BF004D"/>
    <w:rsid w:val="00BF00A1"/>
    <w:rsid w:val="00BF00FE"/>
    <w:rsid w:val="00BF012F"/>
    <w:rsid w:val="00BF014C"/>
    <w:rsid w:val="00BF015A"/>
    <w:rsid w:val="00BF02B0"/>
    <w:rsid w:val="00BF02F2"/>
    <w:rsid w:val="00BF039A"/>
    <w:rsid w:val="00BF03E3"/>
    <w:rsid w:val="00BF045B"/>
    <w:rsid w:val="00BF048D"/>
    <w:rsid w:val="00BF052F"/>
    <w:rsid w:val="00BF054E"/>
    <w:rsid w:val="00BF0588"/>
    <w:rsid w:val="00BF0591"/>
    <w:rsid w:val="00BF06A3"/>
    <w:rsid w:val="00BF079B"/>
    <w:rsid w:val="00BF07C0"/>
    <w:rsid w:val="00BF0862"/>
    <w:rsid w:val="00BF086E"/>
    <w:rsid w:val="00BF08BB"/>
    <w:rsid w:val="00BF09E6"/>
    <w:rsid w:val="00BF0A0C"/>
    <w:rsid w:val="00BF0A1A"/>
    <w:rsid w:val="00BF0A2D"/>
    <w:rsid w:val="00BF0A7D"/>
    <w:rsid w:val="00BF0B01"/>
    <w:rsid w:val="00BF0B10"/>
    <w:rsid w:val="00BF0B12"/>
    <w:rsid w:val="00BF0B5B"/>
    <w:rsid w:val="00BF0BF7"/>
    <w:rsid w:val="00BF0C16"/>
    <w:rsid w:val="00BF0C6E"/>
    <w:rsid w:val="00BF0CEF"/>
    <w:rsid w:val="00BF0D55"/>
    <w:rsid w:val="00BF0D79"/>
    <w:rsid w:val="00BF0DD0"/>
    <w:rsid w:val="00BF0E63"/>
    <w:rsid w:val="00BF0E99"/>
    <w:rsid w:val="00BF0EB7"/>
    <w:rsid w:val="00BF0F18"/>
    <w:rsid w:val="00BF0FB4"/>
    <w:rsid w:val="00BF0FDA"/>
    <w:rsid w:val="00BF0FF1"/>
    <w:rsid w:val="00BF1018"/>
    <w:rsid w:val="00BF10D1"/>
    <w:rsid w:val="00BF1101"/>
    <w:rsid w:val="00BF110F"/>
    <w:rsid w:val="00BF1130"/>
    <w:rsid w:val="00BF1132"/>
    <w:rsid w:val="00BF1149"/>
    <w:rsid w:val="00BF1159"/>
    <w:rsid w:val="00BF11A1"/>
    <w:rsid w:val="00BF11EB"/>
    <w:rsid w:val="00BF1226"/>
    <w:rsid w:val="00BF1325"/>
    <w:rsid w:val="00BF1339"/>
    <w:rsid w:val="00BF133A"/>
    <w:rsid w:val="00BF1392"/>
    <w:rsid w:val="00BF13A4"/>
    <w:rsid w:val="00BF1403"/>
    <w:rsid w:val="00BF1485"/>
    <w:rsid w:val="00BF153C"/>
    <w:rsid w:val="00BF1570"/>
    <w:rsid w:val="00BF15D3"/>
    <w:rsid w:val="00BF16A4"/>
    <w:rsid w:val="00BF1776"/>
    <w:rsid w:val="00BF185B"/>
    <w:rsid w:val="00BF1891"/>
    <w:rsid w:val="00BF18BD"/>
    <w:rsid w:val="00BF18BF"/>
    <w:rsid w:val="00BF18C7"/>
    <w:rsid w:val="00BF1947"/>
    <w:rsid w:val="00BF1993"/>
    <w:rsid w:val="00BF19B6"/>
    <w:rsid w:val="00BF19C2"/>
    <w:rsid w:val="00BF19E2"/>
    <w:rsid w:val="00BF1A87"/>
    <w:rsid w:val="00BF1A9D"/>
    <w:rsid w:val="00BF1ADE"/>
    <w:rsid w:val="00BF1B3A"/>
    <w:rsid w:val="00BF1BCB"/>
    <w:rsid w:val="00BF1CDC"/>
    <w:rsid w:val="00BF1E0A"/>
    <w:rsid w:val="00BF1EFA"/>
    <w:rsid w:val="00BF1FE8"/>
    <w:rsid w:val="00BF201E"/>
    <w:rsid w:val="00BF2034"/>
    <w:rsid w:val="00BF2086"/>
    <w:rsid w:val="00BF2104"/>
    <w:rsid w:val="00BF2115"/>
    <w:rsid w:val="00BF2120"/>
    <w:rsid w:val="00BF215B"/>
    <w:rsid w:val="00BF21C8"/>
    <w:rsid w:val="00BF2233"/>
    <w:rsid w:val="00BF224C"/>
    <w:rsid w:val="00BF2255"/>
    <w:rsid w:val="00BF2280"/>
    <w:rsid w:val="00BF235A"/>
    <w:rsid w:val="00BF23B5"/>
    <w:rsid w:val="00BF23D4"/>
    <w:rsid w:val="00BF2421"/>
    <w:rsid w:val="00BF2436"/>
    <w:rsid w:val="00BF2502"/>
    <w:rsid w:val="00BF25F1"/>
    <w:rsid w:val="00BF2627"/>
    <w:rsid w:val="00BF26B1"/>
    <w:rsid w:val="00BF2784"/>
    <w:rsid w:val="00BF2792"/>
    <w:rsid w:val="00BF27B3"/>
    <w:rsid w:val="00BF27F4"/>
    <w:rsid w:val="00BF2819"/>
    <w:rsid w:val="00BF2863"/>
    <w:rsid w:val="00BF28FA"/>
    <w:rsid w:val="00BF295D"/>
    <w:rsid w:val="00BF2AD8"/>
    <w:rsid w:val="00BF2B4C"/>
    <w:rsid w:val="00BF2BAC"/>
    <w:rsid w:val="00BF2BCF"/>
    <w:rsid w:val="00BF2C16"/>
    <w:rsid w:val="00BF2C5B"/>
    <w:rsid w:val="00BF2C6F"/>
    <w:rsid w:val="00BF2C94"/>
    <w:rsid w:val="00BF2C9E"/>
    <w:rsid w:val="00BF2CF8"/>
    <w:rsid w:val="00BF2D62"/>
    <w:rsid w:val="00BF2E5B"/>
    <w:rsid w:val="00BF2F02"/>
    <w:rsid w:val="00BF2F44"/>
    <w:rsid w:val="00BF2F57"/>
    <w:rsid w:val="00BF2F61"/>
    <w:rsid w:val="00BF2F84"/>
    <w:rsid w:val="00BF2FBF"/>
    <w:rsid w:val="00BF2FE3"/>
    <w:rsid w:val="00BF30BF"/>
    <w:rsid w:val="00BF31CC"/>
    <w:rsid w:val="00BF31FD"/>
    <w:rsid w:val="00BF3387"/>
    <w:rsid w:val="00BF338F"/>
    <w:rsid w:val="00BF33DE"/>
    <w:rsid w:val="00BF3417"/>
    <w:rsid w:val="00BF3447"/>
    <w:rsid w:val="00BF34D1"/>
    <w:rsid w:val="00BF34F8"/>
    <w:rsid w:val="00BF3503"/>
    <w:rsid w:val="00BF3551"/>
    <w:rsid w:val="00BF35B2"/>
    <w:rsid w:val="00BF3666"/>
    <w:rsid w:val="00BF3767"/>
    <w:rsid w:val="00BF3772"/>
    <w:rsid w:val="00BF37F0"/>
    <w:rsid w:val="00BF37FC"/>
    <w:rsid w:val="00BF3804"/>
    <w:rsid w:val="00BF380B"/>
    <w:rsid w:val="00BF3898"/>
    <w:rsid w:val="00BF38EF"/>
    <w:rsid w:val="00BF39BE"/>
    <w:rsid w:val="00BF39FF"/>
    <w:rsid w:val="00BF3AE1"/>
    <w:rsid w:val="00BF3AF3"/>
    <w:rsid w:val="00BF3B08"/>
    <w:rsid w:val="00BF3B33"/>
    <w:rsid w:val="00BF3B5D"/>
    <w:rsid w:val="00BF3BCC"/>
    <w:rsid w:val="00BF3C0F"/>
    <w:rsid w:val="00BF3C1D"/>
    <w:rsid w:val="00BF3CE9"/>
    <w:rsid w:val="00BF3D9F"/>
    <w:rsid w:val="00BF3DC5"/>
    <w:rsid w:val="00BF3E11"/>
    <w:rsid w:val="00BF3E37"/>
    <w:rsid w:val="00BF3E46"/>
    <w:rsid w:val="00BF3ED3"/>
    <w:rsid w:val="00BF3ED4"/>
    <w:rsid w:val="00BF3F32"/>
    <w:rsid w:val="00BF3F7B"/>
    <w:rsid w:val="00BF3F88"/>
    <w:rsid w:val="00BF3FD7"/>
    <w:rsid w:val="00BF404D"/>
    <w:rsid w:val="00BF4058"/>
    <w:rsid w:val="00BF4092"/>
    <w:rsid w:val="00BF40A3"/>
    <w:rsid w:val="00BF4109"/>
    <w:rsid w:val="00BF4160"/>
    <w:rsid w:val="00BF4175"/>
    <w:rsid w:val="00BF4225"/>
    <w:rsid w:val="00BF4247"/>
    <w:rsid w:val="00BF429D"/>
    <w:rsid w:val="00BF43CA"/>
    <w:rsid w:val="00BF4460"/>
    <w:rsid w:val="00BF455F"/>
    <w:rsid w:val="00BF4563"/>
    <w:rsid w:val="00BF4611"/>
    <w:rsid w:val="00BF46C0"/>
    <w:rsid w:val="00BF470B"/>
    <w:rsid w:val="00BF47EA"/>
    <w:rsid w:val="00BF4829"/>
    <w:rsid w:val="00BF4882"/>
    <w:rsid w:val="00BF4893"/>
    <w:rsid w:val="00BF4928"/>
    <w:rsid w:val="00BF49C4"/>
    <w:rsid w:val="00BF49F7"/>
    <w:rsid w:val="00BF4A20"/>
    <w:rsid w:val="00BF4A4F"/>
    <w:rsid w:val="00BF4A70"/>
    <w:rsid w:val="00BF4A71"/>
    <w:rsid w:val="00BF4AA4"/>
    <w:rsid w:val="00BF4AE3"/>
    <w:rsid w:val="00BF4B2E"/>
    <w:rsid w:val="00BF4B56"/>
    <w:rsid w:val="00BF4B77"/>
    <w:rsid w:val="00BF4C59"/>
    <w:rsid w:val="00BF4CCB"/>
    <w:rsid w:val="00BF4D22"/>
    <w:rsid w:val="00BF4D32"/>
    <w:rsid w:val="00BF4D3D"/>
    <w:rsid w:val="00BF4D98"/>
    <w:rsid w:val="00BF4E00"/>
    <w:rsid w:val="00BF4E71"/>
    <w:rsid w:val="00BF4E7F"/>
    <w:rsid w:val="00BF4EC4"/>
    <w:rsid w:val="00BF4F0E"/>
    <w:rsid w:val="00BF4F8F"/>
    <w:rsid w:val="00BF5009"/>
    <w:rsid w:val="00BF5019"/>
    <w:rsid w:val="00BF50EE"/>
    <w:rsid w:val="00BF514D"/>
    <w:rsid w:val="00BF5175"/>
    <w:rsid w:val="00BF5186"/>
    <w:rsid w:val="00BF5253"/>
    <w:rsid w:val="00BF5262"/>
    <w:rsid w:val="00BF5327"/>
    <w:rsid w:val="00BF5359"/>
    <w:rsid w:val="00BF535C"/>
    <w:rsid w:val="00BF5400"/>
    <w:rsid w:val="00BF540A"/>
    <w:rsid w:val="00BF5463"/>
    <w:rsid w:val="00BF553C"/>
    <w:rsid w:val="00BF55B7"/>
    <w:rsid w:val="00BF55F7"/>
    <w:rsid w:val="00BF560C"/>
    <w:rsid w:val="00BF5787"/>
    <w:rsid w:val="00BF57D9"/>
    <w:rsid w:val="00BF58E3"/>
    <w:rsid w:val="00BF5917"/>
    <w:rsid w:val="00BF598E"/>
    <w:rsid w:val="00BF5A7C"/>
    <w:rsid w:val="00BF5AE7"/>
    <w:rsid w:val="00BF5B4B"/>
    <w:rsid w:val="00BF5B6B"/>
    <w:rsid w:val="00BF5C44"/>
    <w:rsid w:val="00BF5CC5"/>
    <w:rsid w:val="00BF5CE4"/>
    <w:rsid w:val="00BF5D22"/>
    <w:rsid w:val="00BF5ECC"/>
    <w:rsid w:val="00BF5F16"/>
    <w:rsid w:val="00BF5F3E"/>
    <w:rsid w:val="00BF5F7A"/>
    <w:rsid w:val="00BF5FCF"/>
    <w:rsid w:val="00BF5FF1"/>
    <w:rsid w:val="00BF6034"/>
    <w:rsid w:val="00BF6062"/>
    <w:rsid w:val="00BF60B7"/>
    <w:rsid w:val="00BF619C"/>
    <w:rsid w:val="00BF6245"/>
    <w:rsid w:val="00BF625F"/>
    <w:rsid w:val="00BF631D"/>
    <w:rsid w:val="00BF636D"/>
    <w:rsid w:val="00BF63A3"/>
    <w:rsid w:val="00BF63B0"/>
    <w:rsid w:val="00BF63C3"/>
    <w:rsid w:val="00BF63F6"/>
    <w:rsid w:val="00BF6401"/>
    <w:rsid w:val="00BF640A"/>
    <w:rsid w:val="00BF6551"/>
    <w:rsid w:val="00BF65C0"/>
    <w:rsid w:val="00BF65C5"/>
    <w:rsid w:val="00BF65F3"/>
    <w:rsid w:val="00BF6601"/>
    <w:rsid w:val="00BF6854"/>
    <w:rsid w:val="00BF687B"/>
    <w:rsid w:val="00BF6A71"/>
    <w:rsid w:val="00BF6AD8"/>
    <w:rsid w:val="00BF6CB0"/>
    <w:rsid w:val="00BF6CC0"/>
    <w:rsid w:val="00BF6CF4"/>
    <w:rsid w:val="00BF6D10"/>
    <w:rsid w:val="00BF6D7E"/>
    <w:rsid w:val="00BF6D80"/>
    <w:rsid w:val="00BF6E49"/>
    <w:rsid w:val="00BF6E6D"/>
    <w:rsid w:val="00BF6EE8"/>
    <w:rsid w:val="00BF6F2B"/>
    <w:rsid w:val="00BF6F6E"/>
    <w:rsid w:val="00BF7154"/>
    <w:rsid w:val="00BF727E"/>
    <w:rsid w:val="00BF7289"/>
    <w:rsid w:val="00BF72DF"/>
    <w:rsid w:val="00BF7306"/>
    <w:rsid w:val="00BF7436"/>
    <w:rsid w:val="00BF743C"/>
    <w:rsid w:val="00BF7638"/>
    <w:rsid w:val="00BF7698"/>
    <w:rsid w:val="00BF772A"/>
    <w:rsid w:val="00BF77A4"/>
    <w:rsid w:val="00BF77F2"/>
    <w:rsid w:val="00BF7829"/>
    <w:rsid w:val="00BF7839"/>
    <w:rsid w:val="00BF78A2"/>
    <w:rsid w:val="00BF78E9"/>
    <w:rsid w:val="00BF78EA"/>
    <w:rsid w:val="00BF78FC"/>
    <w:rsid w:val="00BF7967"/>
    <w:rsid w:val="00BF7990"/>
    <w:rsid w:val="00BF7A05"/>
    <w:rsid w:val="00BF7AAC"/>
    <w:rsid w:val="00BF7B72"/>
    <w:rsid w:val="00BF7BD7"/>
    <w:rsid w:val="00BF7DD6"/>
    <w:rsid w:val="00BF7DE6"/>
    <w:rsid w:val="00BF7E1C"/>
    <w:rsid w:val="00BF7E27"/>
    <w:rsid w:val="00BF7E54"/>
    <w:rsid w:val="00BF7EC2"/>
    <w:rsid w:val="00BF7EE1"/>
    <w:rsid w:val="00BF7EEA"/>
    <w:rsid w:val="00BF7EFB"/>
    <w:rsid w:val="00BF7F0E"/>
    <w:rsid w:val="00BF7F70"/>
    <w:rsid w:val="00BF7FD4"/>
    <w:rsid w:val="00BF7FEB"/>
    <w:rsid w:val="00C000FB"/>
    <w:rsid w:val="00C001EF"/>
    <w:rsid w:val="00C002E4"/>
    <w:rsid w:val="00C002FC"/>
    <w:rsid w:val="00C003B1"/>
    <w:rsid w:val="00C00447"/>
    <w:rsid w:val="00C00458"/>
    <w:rsid w:val="00C00480"/>
    <w:rsid w:val="00C004E6"/>
    <w:rsid w:val="00C004F7"/>
    <w:rsid w:val="00C00503"/>
    <w:rsid w:val="00C0050F"/>
    <w:rsid w:val="00C0058A"/>
    <w:rsid w:val="00C0063C"/>
    <w:rsid w:val="00C006E2"/>
    <w:rsid w:val="00C00722"/>
    <w:rsid w:val="00C007C7"/>
    <w:rsid w:val="00C00870"/>
    <w:rsid w:val="00C008E7"/>
    <w:rsid w:val="00C0097D"/>
    <w:rsid w:val="00C00987"/>
    <w:rsid w:val="00C009D8"/>
    <w:rsid w:val="00C00AD8"/>
    <w:rsid w:val="00C00AFC"/>
    <w:rsid w:val="00C00BD8"/>
    <w:rsid w:val="00C00C41"/>
    <w:rsid w:val="00C00C4D"/>
    <w:rsid w:val="00C00CAE"/>
    <w:rsid w:val="00C00CF1"/>
    <w:rsid w:val="00C00D60"/>
    <w:rsid w:val="00C00DA4"/>
    <w:rsid w:val="00C00E5B"/>
    <w:rsid w:val="00C00E77"/>
    <w:rsid w:val="00C00EB6"/>
    <w:rsid w:val="00C0106C"/>
    <w:rsid w:val="00C010AB"/>
    <w:rsid w:val="00C01120"/>
    <w:rsid w:val="00C01186"/>
    <w:rsid w:val="00C0133F"/>
    <w:rsid w:val="00C01452"/>
    <w:rsid w:val="00C015EB"/>
    <w:rsid w:val="00C01617"/>
    <w:rsid w:val="00C01641"/>
    <w:rsid w:val="00C016DC"/>
    <w:rsid w:val="00C0171E"/>
    <w:rsid w:val="00C0172F"/>
    <w:rsid w:val="00C017DC"/>
    <w:rsid w:val="00C017F8"/>
    <w:rsid w:val="00C018E4"/>
    <w:rsid w:val="00C018F0"/>
    <w:rsid w:val="00C0194B"/>
    <w:rsid w:val="00C01A2C"/>
    <w:rsid w:val="00C01AC0"/>
    <w:rsid w:val="00C01B39"/>
    <w:rsid w:val="00C01BB1"/>
    <w:rsid w:val="00C01C44"/>
    <w:rsid w:val="00C01C7E"/>
    <w:rsid w:val="00C01D14"/>
    <w:rsid w:val="00C01D33"/>
    <w:rsid w:val="00C01D78"/>
    <w:rsid w:val="00C01DE3"/>
    <w:rsid w:val="00C01E0C"/>
    <w:rsid w:val="00C01F74"/>
    <w:rsid w:val="00C01FE1"/>
    <w:rsid w:val="00C01FF9"/>
    <w:rsid w:val="00C0203A"/>
    <w:rsid w:val="00C02096"/>
    <w:rsid w:val="00C020F7"/>
    <w:rsid w:val="00C0212E"/>
    <w:rsid w:val="00C0214F"/>
    <w:rsid w:val="00C02179"/>
    <w:rsid w:val="00C0217E"/>
    <w:rsid w:val="00C0219F"/>
    <w:rsid w:val="00C0220C"/>
    <w:rsid w:val="00C0222F"/>
    <w:rsid w:val="00C02244"/>
    <w:rsid w:val="00C022A3"/>
    <w:rsid w:val="00C02301"/>
    <w:rsid w:val="00C02323"/>
    <w:rsid w:val="00C023F0"/>
    <w:rsid w:val="00C024CF"/>
    <w:rsid w:val="00C0250E"/>
    <w:rsid w:val="00C0256D"/>
    <w:rsid w:val="00C02680"/>
    <w:rsid w:val="00C02692"/>
    <w:rsid w:val="00C02711"/>
    <w:rsid w:val="00C02726"/>
    <w:rsid w:val="00C027A9"/>
    <w:rsid w:val="00C02881"/>
    <w:rsid w:val="00C028D0"/>
    <w:rsid w:val="00C02916"/>
    <w:rsid w:val="00C02920"/>
    <w:rsid w:val="00C0292B"/>
    <w:rsid w:val="00C02931"/>
    <w:rsid w:val="00C0293C"/>
    <w:rsid w:val="00C029A7"/>
    <w:rsid w:val="00C02A0A"/>
    <w:rsid w:val="00C02A24"/>
    <w:rsid w:val="00C02A3D"/>
    <w:rsid w:val="00C02AA1"/>
    <w:rsid w:val="00C02ACB"/>
    <w:rsid w:val="00C02BC9"/>
    <w:rsid w:val="00C02C01"/>
    <w:rsid w:val="00C02C29"/>
    <w:rsid w:val="00C02C54"/>
    <w:rsid w:val="00C02C61"/>
    <w:rsid w:val="00C02CA4"/>
    <w:rsid w:val="00C02CB8"/>
    <w:rsid w:val="00C02CE3"/>
    <w:rsid w:val="00C02D32"/>
    <w:rsid w:val="00C02D8E"/>
    <w:rsid w:val="00C02DD3"/>
    <w:rsid w:val="00C02E39"/>
    <w:rsid w:val="00C02E4B"/>
    <w:rsid w:val="00C02E6A"/>
    <w:rsid w:val="00C02E81"/>
    <w:rsid w:val="00C02E9C"/>
    <w:rsid w:val="00C02EE8"/>
    <w:rsid w:val="00C02F80"/>
    <w:rsid w:val="00C02FF0"/>
    <w:rsid w:val="00C03073"/>
    <w:rsid w:val="00C0309F"/>
    <w:rsid w:val="00C030F7"/>
    <w:rsid w:val="00C0317B"/>
    <w:rsid w:val="00C03183"/>
    <w:rsid w:val="00C03226"/>
    <w:rsid w:val="00C0322B"/>
    <w:rsid w:val="00C03232"/>
    <w:rsid w:val="00C0329D"/>
    <w:rsid w:val="00C0329F"/>
    <w:rsid w:val="00C032C5"/>
    <w:rsid w:val="00C032CA"/>
    <w:rsid w:val="00C032D4"/>
    <w:rsid w:val="00C0333F"/>
    <w:rsid w:val="00C03349"/>
    <w:rsid w:val="00C033B4"/>
    <w:rsid w:val="00C033CA"/>
    <w:rsid w:val="00C034AD"/>
    <w:rsid w:val="00C034B5"/>
    <w:rsid w:val="00C034B8"/>
    <w:rsid w:val="00C034F6"/>
    <w:rsid w:val="00C0354B"/>
    <w:rsid w:val="00C0357B"/>
    <w:rsid w:val="00C035D0"/>
    <w:rsid w:val="00C035E9"/>
    <w:rsid w:val="00C036AC"/>
    <w:rsid w:val="00C036F9"/>
    <w:rsid w:val="00C03773"/>
    <w:rsid w:val="00C03787"/>
    <w:rsid w:val="00C03797"/>
    <w:rsid w:val="00C037D5"/>
    <w:rsid w:val="00C037EC"/>
    <w:rsid w:val="00C038AF"/>
    <w:rsid w:val="00C03947"/>
    <w:rsid w:val="00C0399C"/>
    <w:rsid w:val="00C03A27"/>
    <w:rsid w:val="00C03A8F"/>
    <w:rsid w:val="00C03AA3"/>
    <w:rsid w:val="00C03AAC"/>
    <w:rsid w:val="00C03AC5"/>
    <w:rsid w:val="00C03AE5"/>
    <w:rsid w:val="00C03B3C"/>
    <w:rsid w:val="00C03B9B"/>
    <w:rsid w:val="00C03BB3"/>
    <w:rsid w:val="00C03BD2"/>
    <w:rsid w:val="00C03C27"/>
    <w:rsid w:val="00C03C90"/>
    <w:rsid w:val="00C03D14"/>
    <w:rsid w:val="00C03DFE"/>
    <w:rsid w:val="00C03E36"/>
    <w:rsid w:val="00C03EBD"/>
    <w:rsid w:val="00C03F22"/>
    <w:rsid w:val="00C03FA1"/>
    <w:rsid w:val="00C04174"/>
    <w:rsid w:val="00C041A2"/>
    <w:rsid w:val="00C041CD"/>
    <w:rsid w:val="00C0424F"/>
    <w:rsid w:val="00C0434C"/>
    <w:rsid w:val="00C04423"/>
    <w:rsid w:val="00C04436"/>
    <w:rsid w:val="00C044B5"/>
    <w:rsid w:val="00C04607"/>
    <w:rsid w:val="00C04760"/>
    <w:rsid w:val="00C04791"/>
    <w:rsid w:val="00C047B5"/>
    <w:rsid w:val="00C0495D"/>
    <w:rsid w:val="00C04988"/>
    <w:rsid w:val="00C04A35"/>
    <w:rsid w:val="00C04A4F"/>
    <w:rsid w:val="00C04A56"/>
    <w:rsid w:val="00C04A77"/>
    <w:rsid w:val="00C04AE4"/>
    <w:rsid w:val="00C04B36"/>
    <w:rsid w:val="00C04B4B"/>
    <w:rsid w:val="00C04B8E"/>
    <w:rsid w:val="00C04BA7"/>
    <w:rsid w:val="00C04BBE"/>
    <w:rsid w:val="00C04CDD"/>
    <w:rsid w:val="00C04D78"/>
    <w:rsid w:val="00C04DBA"/>
    <w:rsid w:val="00C04E1D"/>
    <w:rsid w:val="00C04F00"/>
    <w:rsid w:val="00C04F85"/>
    <w:rsid w:val="00C04FD9"/>
    <w:rsid w:val="00C0500F"/>
    <w:rsid w:val="00C05070"/>
    <w:rsid w:val="00C050A5"/>
    <w:rsid w:val="00C050A9"/>
    <w:rsid w:val="00C0517F"/>
    <w:rsid w:val="00C051AC"/>
    <w:rsid w:val="00C051CD"/>
    <w:rsid w:val="00C052D3"/>
    <w:rsid w:val="00C05336"/>
    <w:rsid w:val="00C05342"/>
    <w:rsid w:val="00C0535D"/>
    <w:rsid w:val="00C0542E"/>
    <w:rsid w:val="00C05539"/>
    <w:rsid w:val="00C055D4"/>
    <w:rsid w:val="00C055E2"/>
    <w:rsid w:val="00C05600"/>
    <w:rsid w:val="00C05615"/>
    <w:rsid w:val="00C0563C"/>
    <w:rsid w:val="00C05644"/>
    <w:rsid w:val="00C056A4"/>
    <w:rsid w:val="00C056C1"/>
    <w:rsid w:val="00C0571D"/>
    <w:rsid w:val="00C057C5"/>
    <w:rsid w:val="00C057CE"/>
    <w:rsid w:val="00C057EA"/>
    <w:rsid w:val="00C057F1"/>
    <w:rsid w:val="00C057F4"/>
    <w:rsid w:val="00C05815"/>
    <w:rsid w:val="00C058A0"/>
    <w:rsid w:val="00C058BD"/>
    <w:rsid w:val="00C058C8"/>
    <w:rsid w:val="00C058EE"/>
    <w:rsid w:val="00C0593B"/>
    <w:rsid w:val="00C05970"/>
    <w:rsid w:val="00C059D7"/>
    <w:rsid w:val="00C059EA"/>
    <w:rsid w:val="00C05A4B"/>
    <w:rsid w:val="00C05A6C"/>
    <w:rsid w:val="00C05B13"/>
    <w:rsid w:val="00C05B3A"/>
    <w:rsid w:val="00C05B58"/>
    <w:rsid w:val="00C05B8B"/>
    <w:rsid w:val="00C05DA4"/>
    <w:rsid w:val="00C05E8C"/>
    <w:rsid w:val="00C05FFE"/>
    <w:rsid w:val="00C06015"/>
    <w:rsid w:val="00C060C0"/>
    <w:rsid w:val="00C06128"/>
    <w:rsid w:val="00C0618C"/>
    <w:rsid w:val="00C06199"/>
    <w:rsid w:val="00C061F9"/>
    <w:rsid w:val="00C06388"/>
    <w:rsid w:val="00C06398"/>
    <w:rsid w:val="00C063F3"/>
    <w:rsid w:val="00C06407"/>
    <w:rsid w:val="00C06437"/>
    <w:rsid w:val="00C06486"/>
    <w:rsid w:val="00C064DE"/>
    <w:rsid w:val="00C0653A"/>
    <w:rsid w:val="00C065B5"/>
    <w:rsid w:val="00C06627"/>
    <w:rsid w:val="00C06643"/>
    <w:rsid w:val="00C06739"/>
    <w:rsid w:val="00C06827"/>
    <w:rsid w:val="00C069E0"/>
    <w:rsid w:val="00C06A08"/>
    <w:rsid w:val="00C06A4E"/>
    <w:rsid w:val="00C06A96"/>
    <w:rsid w:val="00C06AAB"/>
    <w:rsid w:val="00C06AB6"/>
    <w:rsid w:val="00C06ABF"/>
    <w:rsid w:val="00C06B47"/>
    <w:rsid w:val="00C06B55"/>
    <w:rsid w:val="00C06B57"/>
    <w:rsid w:val="00C06B95"/>
    <w:rsid w:val="00C06BD0"/>
    <w:rsid w:val="00C06BEC"/>
    <w:rsid w:val="00C06C08"/>
    <w:rsid w:val="00C06C29"/>
    <w:rsid w:val="00C06C7F"/>
    <w:rsid w:val="00C06CA2"/>
    <w:rsid w:val="00C06CCA"/>
    <w:rsid w:val="00C06CF2"/>
    <w:rsid w:val="00C06CFD"/>
    <w:rsid w:val="00C06D02"/>
    <w:rsid w:val="00C06D5E"/>
    <w:rsid w:val="00C06D9E"/>
    <w:rsid w:val="00C06DED"/>
    <w:rsid w:val="00C06E2F"/>
    <w:rsid w:val="00C06E37"/>
    <w:rsid w:val="00C06E43"/>
    <w:rsid w:val="00C06EA8"/>
    <w:rsid w:val="00C06EFE"/>
    <w:rsid w:val="00C06F29"/>
    <w:rsid w:val="00C06F74"/>
    <w:rsid w:val="00C06FFD"/>
    <w:rsid w:val="00C07026"/>
    <w:rsid w:val="00C0702A"/>
    <w:rsid w:val="00C0703F"/>
    <w:rsid w:val="00C07092"/>
    <w:rsid w:val="00C070F0"/>
    <w:rsid w:val="00C070F4"/>
    <w:rsid w:val="00C07132"/>
    <w:rsid w:val="00C071BF"/>
    <w:rsid w:val="00C071F8"/>
    <w:rsid w:val="00C07203"/>
    <w:rsid w:val="00C0730E"/>
    <w:rsid w:val="00C07314"/>
    <w:rsid w:val="00C07331"/>
    <w:rsid w:val="00C07353"/>
    <w:rsid w:val="00C07399"/>
    <w:rsid w:val="00C073B3"/>
    <w:rsid w:val="00C07459"/>
    <w:rsid w:val="00C07475"/>
    <w:rsid w:val="00C074F6"/>
    <w:rsid w:val="00C07574"/>
    <w:rsid w:val="00C0757A"/>
    <w:rsid w:val="00C075E9"/>
    <w:rsid w:val="00C07602"/>
    <w:rsid w:val="00C0760C"/>
    <w:rsid w:val="00C07658"/>
    <w:rsid w:val="00C07786"/>
    <w:rsid w:val="00C07792"/>
    <w:rsid w:val="00C078DE"/>
    <w:rsid w:val="00C078F8"/>
    <w:rsid w:val="00C0791F"/>
    <w:rsid w:val="00C07922"/>
    <w:rsid w:val="00C079D7"/>
    <w:rsid w:val="00C079DE"/>
    <w:rsid w:val="00C079E5"/>
    <w:rsid w:val="00C079EA"/>
    <w:rsid w:val="00C079EE"/>
    <w:rsid w:val="00C07A04"/>
    <w:rsid w:val="00C07A35"/>
    <w:rsid w:val="00C07B44"/>
    <w:rsid w:val="00C07BE9"/>
    <w:rsid w:val="00C07C44"/>
    <w:rsid w:val="00C07C5E"/>
    <w:rsid w:val="00C07CCF"/>
    <w:rsid w:val="00C07CFC"/>
    <w:rsid w:val="00C07D0A"/>
    <w:rsid w:val="00C07D0F"/>
    <w:rsid w:val="00C07D19"/>
    <w:rsid w:val="00C07D2B"/>
    <w:rsid w:val="00C07DB9"/>
    <w:rsid w:val="00C07DF7"/>
    <w:rsid w:val="00C07E70"/>
    <w:rsid w:val="00C07E76"/>
    <w:rsid w:val="00C07E83"/>
    <w:rsid w:val="00C07E9D"/>
    <w:rsid w:val="00C07EFA"/>
    <w:rsid w:val="00C07F35"/>
    <w:rsid w:val="00C07F3F"/>
    <w:rsid w:val="00C07F4F"/>
    <w:rsid w:val="00C07FA8"/>
    <w:rsid w:val="00C07FE3"/>
    <w:rsid w:val="00C1001F"/>
    <w:rsid w:val="00C10044"/>
    <w:rsid w:val="00C1005D"/>
    <w:rsid w:val="00C10088"/>
    <w:rsid w:val="00C100DB"/>
    <w:rsid w:val="00C101F3"/>
    <w:rsid w:val="00C10236"/>
    <w:rsid w:val="00C10263"/>
    <w:rsid w:val="00C10318"/>
    <w:rsid w:val="00C1031B"/>
    <w:rsid w:val="00C1035E"/>
    <w:rsid w:val="00C10367"/>
    <w:rsid w:val="00C10368"/>
    <w:rsid w:val="00C10399"/>
    <w:rsid w:val="00C103C9"/>
    <w:rsid w:val="00C103D9"/>
    <w:rsid w:val="00C104E0"/>
    <w:rsid w:val="00C104FC"/>
    <w:rsid w:val="00C1053A"/>
    <w:rsid w:val="00C10543"/>
    <w:rsid w:val="00C10580"/>
    <w:rsid w:val="00C10586"/>
    <w:rsid w:val="00C1059D"/>
    <w:rsid w:val="00C105CC"/>
    <w:rsid w:val="00C105D7"/>
    <w:rsid w:val="00C1062C"/>
    <w:rsid w:val="00C10642"/>
    <w:rsid w:val="00C10724"/>
    <w:rsid w:val="00C107AE"/>
    <w:rsid w:val="00C107CD"/>
    <w:rsid w:val="00C107E2"/>
    <w:rsid w:val="00C10863"/>
    <w:rsid w:val="00C108DC"/>
    <w:rsid w:val="00C1090D"/>
    <w:rsid w:val="00C10957"/>
    <w:rsid w:val="00C1098D"/>
    <w:rsid w:val="00C109AB"/>
    <w:rsid w:val="00C10A99"/>
    <w:rsid w:val="00C10A9A"/>
    <w:rsid w:val="00C10AB6"/>
    <w:rsid w:val="00C10AD6"/>
    <w:rsid w:val="00C10B28"/>
    <w:rsid w:val="00C10BBD"/>
    <w:rsid w:val="00C10BD9"/>
    <w:rsid w:val="00C10BEE"/>
    <w:rsid w:val="00C10CBD"/>
    <w:rsid w:val="00C10D11"/>
    <w:rsid w:val="00C10DFC"/>
    <w:rsid w:val="00C10E36"/>
    <w:rsid w:val="00C10E44"/>
    <w:rsid w:val="00C10E9C"/>
    <w:rsid w:val="00C10EE3"/>
    <w:rsid w:val="00C10F0E"/>
    <w:rsid w:val="00C10F7A"/>
    <w:rsid w:val="00C10FA6"/>
    <w:rsid w:val="00C110E9"/>
    <w:rsid w:val="00C1110F"/>
    <w:rsid w:val="00C11133"/>
    <w:rsid w:val="00C11181"/>
    <w:rsid w:val="00C111B8"/>
    <w:rsid w:val="00C111BD"/>
    <w:rsid w:val="00C112A6"/>
    <w:rsid w:val="00C112B7"/>
    <w:rsid w:val="00C112F3"/>
    <w:rsid w:val="00C112F4"/>
    <w:rsid w:val="00C1134D"/>
    <w:rsid w:val="00C11363"/>
    <w:rsid w:val="00C1139A"/>
    <w:rsid w:val="00C113AC"/>
    <w:rsid w:val="00C113E7"/>
    <w:rsid w:val="00C11419"/>
    <w:rsid w:val="00C1152B"/>
    <w:rsid w:val="00C11553"/>
    <w:rsid w:val="00C115F9"/>
    <w:rsid w:val="00C1167C"/>
    <w:rsid w:val="00C116D0"/>
    <w:rsid w:val="00C11710"/>
    <w:rsid w:val="00C1175E"/>
    <w:rsid w:val="00C117C8"/>
    <w:rsid w:val="00C117D5"/>
    <w:rsid w:val="00C117FD"/>
    <w:rsid w:val="00C118B6"/>
    <w:rsid w:val="00C11907"/>
    <w:rsid w:val="00C1191F"/>
    <w:rsid w:val="00C11923"/>
    <w:rsid w:val="00C11989"/>
    <w:rsid w:val="00C119D1"/>
    <w:rsid w:val="00C11A68"/>
    <w:rsid w:val="00C11A82"/>
    <w:rsid w:val="00C11AC7"/>
    <w:rsid w:val="00C11B08"/>
    <w:rsid w:val="00C11B3D"/>
    <w:rsid w:val="00C11B5E"/>
    <w:rsid w:val="00C11BA3"/>
    <w:rsid w:val="00C11BEA"/>
    <w:rsid w:val="00C11C03"/>
    <w:rsid w:val="00C11C26"/>
    <w:rsid w:val="00C11C38"/>
    <w:rsid w:val="00C11C47"/>
    <w:rsid w:val="00C11D54"/>
    <w:rsid w:val="00C11DD1"/>
    <w:rsid w:val="00C11DDC"/>
    <w:rsid w:val="00C11E1B"/>
    <w:rsid w:val="00C11E49"/>
    <w:rsid w:val="00C11EB7"/>
    <w:rsid w:val="00C11F06"/>
    <w:rsid w:val="00C1201E"/>
    <w:rsid w:val="00C12055"/>
    <w:rsid w:val="00C120D7"/>
    <w:rsid w:val="00C12107"/>
    <w:rsid w:val="00C1210D"/>
    <w:rsid w:val="00C12152"/>
    <w:rsid w:val="00C121D1"/>
    <w:rsid w:val="00C1224D"/>
    <w:rsid w:val="00C122AB"/>
    <w:rsid w:val="00C122E7"/>
    <w:rsid w:val="00C12325"/>
    <w:rsid w:val="00C1233C"/>
    <w:rsid w:val="00C12352"/>
    <w:rsid w:val="00C1237B"/>
    <w:rsid w:val="00C123BB"/>
    <w:rsid w:val="00C123C4"/>
    <w:rsid w:val="00C123D8"/>
    <w:rsid w:val="00C12425"/>
    <w:rsid w:val="00C12496"/>
    <w:rsid w:val="00C12499"/>
    <w:rsid w:val="00C12522"/>
    <w:rsid w:val="00C1252A"/>
    <w:rsid w:val="00C12580"/>
    <w:rsid w:val="00C12594"/>
    <w:rsid w:val="00C125DF"/>
    <w:rsid w:val="00C125FE"/>
    <w:rsid w:val="00C126CB"/>
    <w:rsid w:val="00C127B1"/>
    <w:rsid w:val="00C127CF"/>
    <w:rsid w:val="00C127DD"/>
    <w:rsid w:val="00C127EE"/>
    <w:rsid w:val="00C12820"/>
    <w:rsid w:val="00C12834"/>
    <w:rsid w:val="00C12865"/>
    <w:rsid w:val="00C128D0"/>
    <w:rsid w:val="00C128EA"/>
    <w:rsid w:val="00C12924"/>
    <w:rsid w:val="00C12967"/>
    <w:rsid w:val="00C12976"/>
    <w:rsid w:val="00C12983"/>
    <w:rsid w:val="00C12A84"/>
    <w:rsid w:val="00C12A98"/>
    <w:rsid w:val="00C12AA1"/>
    <w:rsid w:val="00C12AA7"/>
    <w:rsid w:val="00C12AE7"/>
    <w:rsid w:val="00C12B15"/>
    <w:rsid w:val="00C12B7D"/>
    <w:rsid w:val="00C12B9C"/>
    <w:rsid w:val="00C12BB6"/>
    <w:rsid w:val="00C12BEF"/>
    <w:rsid w:val="00C12C18"/>
    <w:rsid w:val="00C12C26"/>
    <w:rsid w:val="00C12C35"/>
    <w:rsid w:val="00C12C53"/>
    <w:rsid w:val="00C12D4C"/>
    <w:rsid w:val="00C12F15"/>
    <w:rsid w:val="00C12FA6"/>
    <w:rsid w:val="00C12FE7"/>
    <w:rsid w:val="00C12FF7"/>
    <w:rsid w:val="00C13014"/>
    <w:rsid w:val="00C13015"/>
    <w:rsid w:val="00C13052"/>
    <w:rsid w:val="00C1306C"/>
    <w:rsid w:val="00C13099"/>
    <w:rsid w:val="00C131C8"/>
    <w:rsid w:val="00C131E5"/>
    <w:rsid w:val="00C131F5"/>
    <w:rsid w:val="00C1325A"/>
    <w:rsid w:val="00C1329E"/>
    <w:rsid w:val="00C132BF"/>
    <w:rsid w:val="00C133B0"/>
    <w:rsid w:val="00C13450"/>
    <w:rsid w:val="00C1345D"/>
    <w:rsid w:val="00C134DD"/>
    <w:rsid w:val="00C13591"/>
    <w:rsid w:val="00C1359D"/>
    <w:rsid w:val="00C135AC"/>
    <w:rsid w:val="00C13609"/>
    <w:rsid w:val="00C13648"/>
    <w:rsid w:val="00C136C4"/>
    <w:rsid w:val="00C1370C"/>
    <w:rsid w:val="00C1377D"/>
    <w:rsid w:val="00C13838"/>
    <w:rsid w:val="00C1386F"/>
    <w:rsid w:val="00C1389A"/>
    <w:rsid w:val="00C138D2"/>
    <w:rsid w:val="00C138EB"/>
    <w:rsid w:val="00C13963"/>
    <w:rsid w:val="00C1397E"/>
    <w:rsid w:val="00C13980"/>
    <w:rsid w:val="00C139D4"/>
    <w:rsid w:val="00C13A08"/>
    <w:rsid w:val="00C13A4F"/>
    <w:rsid w:val="00C13AB6"/>
    <w:rsid w:val="00C13AFC"/>
    <w:rsid w:val="00C13AFF"/>
    <w:rsid w:val="00C13B92"/>
    <w:rsid w:val="00C13B9C"/>
    <w:rsid w:val="00C13BE2"/>
    <w:rsid w:val="00C13C22"/>
    <w:rsid w:val="00C13C55"/>
    <w:rsid w:val="00C13C81"/>
    <w:rsid w:val="00C13CD3"/>
    <w:rsid w:val="00C13CFA"/>
    <w:rsid w:val="00C13D1E"/>
    <w:rsid w:val="00C13D36"/>
    <w:rsid w:val="00C13D37"/>
    <w:rsid w:val="00C13D5B"/>
    <w:rsid w:val="00C13E22"/>
    <w:rsid w:val="00C13EA0"/>
    <w:rsid w:val="00C13EAB"/>
    <w:rsid w:val="00C13EE6"/>
    <w:rsid w:val="00C13F35"/>
    <w:rsid w:val="00C13F8A"/>
    <w:rsid w:val="00C13FC5"/>
    <w:rsid w:val="00C13FF1"/>
    <w:rsid w:val="00C14083"/>
    <w:rsid w:val="00C140A1"/>
    <w:rsid w:val="00C140D0"/>
    <w:rsid w:val="00C140E2"/>
    <w:rsid w:val="00C14177"/>
    <w:rsid w:val="00C141D6"/>
    <w:rsid w:val="00C14261"/>
    <w:rsid w:val="00C142A4"/>
    <w:rsid w:val="00C143A2"/>
    <w:rsid w:val="00C143B6"/>
    <w:rsid w:val="00C143C3"/>
    <w:rsid w:val="00C144C4"/>
    <w:rsid w:val="00C14500"/>
    <w:rsid w:val="00C1453B"/>
    <w:rsid w:val="00C14554"/>
    <w:rsid w:val="00C145C7"/>
    <w:rsid w:val="00C14603"/>
    <w:rsid w:val="00C14748"/>
    <w:rsid w:val="00C147AD"/>
    <w:rsid w:val="00C147C2"/>
    <w:rsid w:val="00C147EC"/>
    <w:rsid w:val="00C14823"/>
    <w:rsid w:val="00C14892"/>
    <w:rsid w:val="00C149E3"/>
    <w:rsid w:val="00C14A26"/>
    <w:rsid w:val="00C14AC3"/>
    <w:rsid w:val="00C14ADF"/>
    <w:rsid w:val="00C14AF9"/>
    <w:rsid w:val="00C14B0B"/>
    <w:rsid w:val="00C14B65"/>
    <w:rsid w:val="00C14C9E"/>
    <w:rsid w:val="00C14CD8"/>
    <w:rsid w:val="00C14CF7"/>
    <w:rsid w:val="00C14D94"/>
    <w:rsid w:val="00C14D99"/>
    <w:rsid w:val="00C14DDF"/>
    <w:rsid w:val="00C14DFD"/>
    <w:rsid w:val="00C14F73"/>
    <w:rsid w:val="00C14F8A"/>
    <w:rsid w:val="00C15007"/>
    <w:rsid w:val="00C15040"/>
    <w:rsid w:val="00C15083"/>
    <w:rsid w:val="00C1508E"/>
    <w:rsid w:val="00C1509A"/>
    <w:rsid w:val="00C150B3"/>
    <w:rsid w:val="00C150C4"/>
    <w:rsid w:val="00C15123"/>
    <w:rsid w:val="00C15189"/>
    <w:rsid w:val="00C151D3"/>
    <w:rsid w:val="00C15205"/>
    <w:rsid w:val="00C15373"/>
    <w:rsid w:val="00C1539B"/>
    <w:rsid w:val="00C153D4"/>
    <w:rsid w:val="00C153D9"/>
    <w:rsid w:val="00C1542C"/>
    <w:rsid w:val="00C1544A"/>
    <w:rsid w:val="00C154A4"/>
    <w:rsid w:val="00C154BF"/>
    <w:rsid w:val="00C154CB"/>
    <w:rsid w:val="00C154EA"/>
    <w:rsid w:val="00C15531"/>
    <w:rsid w:val="00C1553E"/>
    <w:rsid w:val="00C15615"/>
    <w:rsid w:val="00C15653"/>
    <w:rsid w:val="00C15655"/>
    <w:rsid w:val="00C15766"/>
    <w:rsid w:val="00C15807"/>
    <w:rsid w:val="00C158DE"/>
    <w:rsid w:val="00C1596D"/>
    <w:rsid w:val="00C15A4F"/>
    <w:rsid w:val="00C15A52"/>
    <w:rsid w:val="00C15A5D"/>
    <w:rsid w:val="00C15A87"/>
    <w:rsid w:val="00C15AB5"/>
    <w:rsid w:val="00C15AC9"/>
    <w:rsid w:val="00C15AF8"/>
    <w:rsid w:val="00C15B72"/>
    <w:rsid w:val="00C15BBE"/>
    <w:rsid w:val="00C15BE2"/>
    <w:rsid w:val="00C15C43"/>
    <w:rsid w:val="00C15C83"/>
    <w:rsid w:val="00C15CE2"/>
    <w:rsid w:val="00C15CF5"/>
    <w:rsid w:val="00C15D37"/>
    <w:rsid w:val="00C15D41"/>
    <w:rsid w:val="00C15DDE"/>
    <w:rsid w:val="00C15E2E"/>
    <w:rsid w:val="00C15F45"/>
    <w:rsid w:val="00C16021"/>
    <w:rsid w:val="00C16056"/>
    <w:rsid w:val="00C1606D"/>
    <w:rsid w:val="00C16079"/>
    <w:rsid w:val="00C1609D"/>
    <w:rsid w:val="00C161CE"/>
    <w:rsid w:val="00C1625B"/>
    <w:rsid w:val="00C16284"/>
    <w:rsid w:val="00C1628D"/>
    <w:rsid w:val="00C1634D"/>
    <w:rsid w:val="00C163B0"/>
    <w:rsid w:val="00C163DE"/>
    <w:rsid w:val="00C16498"/>
    <w:rsid w:val="00C16529"/>
    <w:rsid w:val="00C16570"/>
    <w:rsid w:val="00C16640"/>
    <w:rsid w:val="00C16673"/>
    <w:rsid w:val="00C166C1"/>
    <w:rsid w:val="00C166F7"/>
    <w:rsid w:val="00C16738"/>
    <w:rsid w:val="00C1685E"/>
    <w:rsid w:val="00C168B2"/>
    <w:rsid w:val="00C16951"/>
    <w:rsid w:val="00C16987"/>
    <w:rsid w:val="00C16A29"/>
    <w:rsid w:val="00C16A2C"/>
    <w:rsid w:val="00C16A80"/>
    <w:rsid w:val="00C16AD8"/>
    <w:rsid w:val="00C16B3A"/>
    <w:rsid w:val="00C16BA1"/>
    <w:rsid w:val="00C16BDC"/>
    <w:rsid w:val="00C16C21"/>
    <w:rsid w:val="00C16C26"/>
    <w:rsid w:val="00C16C72"/>
    <w:rsid w:val="00C16C7E"/>
    <w:rsid w:val="00C16CF0"/>
    <w:rsid w:val="00C16D9E"/>
    <w:rsid w:val="00C16E12"/>
    <w:rsid w:val="00C16E34"/>
    <w:rsid w:val="00C16E94"/>
    <w:rsid w:val="00C16EB9"/>
    <w:rsid w:val="00C16F2C"/>
    <w:rsid w:val="00C16F94"/>
    <w:rsid w:val="00C16F95"/>
    <w:rsid w:val="00C16FAB"/>
    <w:rsid w:val="00C1701D"/>
    <w:rsid w:val="00C17048"/>
    <w:rsid w:val="00C17057"/>
    <w:rsid w:val="00C1707C"/>
    <w:rsid w:val="00C170E3"/>
    <w:rsid w:val="00C17104"/>
    <w:rsid w:val="00C171B2"/>
    <w:rsid w:val="00C17247"/>
    <w:rsid w:val="00C172BC"/>
    <w:rsid w:val="00C172FE"/>
    <w:rsid w:val="00C1736C"/>
    <w:rsid w:val="00C173A8"/>
    <w:rsid w:val="00C174C0"/>
    <w:rsid w:val="00C174C5"/>
    <w:rsid w:val="00C174C8"/>
    <w:rsid w:val="00C174CA"/>
    <w:rsid w:val="00C1752B"/>
    <w:rsid w:val="00C17605"/>
    <w:rsid w:val="00C1765C"/>
    <w:rsid w:val="00C1769A"/>
    <w:rsid w:val="00C176B4"/>
    <w:rsid w:val="00C176DE"/>
    <w:rsid w:val="00C176F3"/>
    <w:rsid w:val="00C17720"/>
    <w:rsid w:val="00C17721"/>
    <w:rsid w:val="00C17737"/>
    <w:rsid w:val="00C17787"/>
    <w:rsid w:val="00C17821"/>
    <w:rsid w:val="00C17854"/>
    <w:rsid w:val="00C178C4"/>
    <w:rsid w:val="00C178CA"/>
    <w:rsid w:val="00C17952"/>
    <w:rsid w:val="00C1796D"/>
    <w:rsid w:val="00C17974"/>
    <w:rsid w:val="00C17993"/>
    <w:rsid w:val="00C17994"/>
    <w:rsid w:val="00C179D7"/>
    <w:rsid w:val="00C179EB"/>
    <w:rsid w:val="00C17A45"/>
    <w:rsid w:val="00C17A74"/>
    <w:rsid w:val="00C17A92"/>
    <w:rsid w:val="00C17AC6"/>
    <w:rsid w:val="00C17B42"/>
    <w:rsid w:val="00C17B4A"/>
    <w:rsid w:val="00C17B53"/>
    <w:rsid w:val="00C17B5A"/>
    <w:rsid w:val="00C17BF6"/>
    <w:rsid w:val="00C17D3E"/>
    <w:rsid w:val="00C17D85"/>
    <w:rsid w:val="00C17DE3"/>
    <w:rsid w:val="00C17E18"/>
    <w:rsid w:val="00C17E20"/>
    <w:rsid w:val="00C17F8E"/>
    <w:rsid w:val="00C17FBE"/>
    <w:rsid w:val="00C1C590"/>
    <w:rsid w:val="00C2003D"/>
    <w:rsid w:val="00C20086"/>
    <w:rsid w:val="00C200D4"/>
    <w:rsid w:val="00C200D6"/>
    <w:rsid w:val="00C201FC"/>
    <w:rsid w:val="00C2027F"/>
    <w:rsid w:val="00C2028A"/>
    <w:rsid w:val="00C202BA"/>
    <w:rsid w:val="00C202C2"/>
    <w:rsid w:val="00C202CE"/>
    <w:rsid w:val="00C202E3"/>
    <w:rsid w:val="00C202F9"/>
    <w:rsid w:val="00C202FB"/>
    <w:rsid w:val="00C203EE"/>
    <w:rsid w:val="00C203EF"/>
    <w:rsid w:val="00C20469"/>
    <w:rsid w:val="00C204D2"/>
    <w:rsid w:val="00C205BF"/>
    <w:rsid w:val="00C205D3"/>
    <w:rsid w:val="00C205E6"/>
    <w:rsid w:val="00C205EB"/>
    <w:rsid w:val="00C2060E"/>
    <w:rsid w:val="00C20631"/>
    <w:rsid w:val="00C2066F"/>
    <w:rsid w:val="00C206B7"/>
    <w:rsid w:val="00C20726"/>
    <w:rsid w:val="00C2072B"/>
    <w:rsid w:val="00C207D5"/>
    <w:rsid w:val="00C20832"/>
    <w:rsid w:val="00C2083D"/>
    <w:rsid w:val="00C20840"/>
    <w:rsid w:val="00C20846"/>
    <w:rsid w:val="00C20858"/>
    <w:rsid w:val="00C2086E"/>
    <w:rsid w:val="00C208F8"/>
    <w:rsid w:val="00C20999"/>
    <w:rsid w:val="00C209C9"/>
    <w:rsid w:val="00C20A18"/>
    <w:rsid w:val="00C20AAE"/>
    <w:rsid w:val="00C20AAF"/>
    <w:rsid w:val="00C20AD6"/>
    <w:rsid w:val="00C20AED"/>
    <w:rsid w:val="00C20B06"/>
    <w:rsid w:val="00C20BA8"/>
    <w:rsid w:val="00C20BAF"/>
    <w:rsid w:val="00C20C06"/>
    <w:rsid w:val="00C20C84"/>
    <w:rsid w:val="00C20CE9"/>
    <w:rsid w:val="00C20CF9"/>
    <w:rsid w:val="00C20D9C"/>
    <w:rsid w:val="00C20DF4"/>
    <w:rsid w:val="00C20E44"/>
    <w:rsid w:val="00C20EA6"/>
    <w:rsid w:val="00C20F4A"/>
    <w:rsid w:val="00C2101A"/>
    <w:rsid w:val="00C210C0"/>
    <w:rsid w:val="00C21107"/>
    <w:rsid w:val="00C211F6"/>
    <w:rsid w:val="00C21262"/>
    <w:rsid w:val="00C212A6"/>
    <w:rsid w:val="00C212DF"/>
    <w:rsid w:val="00C21353"/>
    <w:rsid w:val="00C2136A"/>
    <w:rsid w:val="00C21392"/>
    <w:rsid w:val="00C213B0"/>
    <w:rsid w:val="00C213D8"/>
    <w:rsid w:val="00C214F1"/>
    <w:rsid w:val="00C214F8"/>
    <w:rsid w:val="00C21560"/>
    <w:rsid w:val="00C21586"/>
    <w:rsid w:val="00C2159A"/>
    <w:rsid w:val="00C215E1"/>
    <w:rsid w:val="00C21664"/>
    <w:rsid w:val="00C216F7"/>
    <w:rsid w:val="00C21780"/>
    <w:rsid w:val="00C21786"/>
    <w:rsid w:val="00C21792"/>
    <w:rsid w:val="00C21861"/>
    <w:rsid w:val="00C218B0"/>
    <w:rsid w:val="00C218D1"/>
    <w:rsid w:val="00C218DA"/>
    <w:rsid w:val="00C2192B"/>
    <w:rsid w:val="00C219C1"/>
    <w:rsid w:val="00C21A2C"/>
    <w:rsid w:val="00C21A70"/>
    <w:rsid w:val="00C21ABA"/>
    <w:rsid w:val="00C21C8E"/>
    <w:rsid w:val="00C21C9F"/>
    <w:rsid w:val="00C21D68"/>
    <w:rsid w:val="00C21DC3"/>
    <w:rsid w:val="00C21E3C"/>
    <w:rsid w:val="00C21E48"/>
    <w:rsid w:val="00C21E7E"/>
    <w:rsid w:val="00C21E96"/>
    <w:rsid w:val="00C21EDA"/>
    <w:rsid w:val="00C21EE9"/>
    <w:rsid w:val="00C21EFA"/>
    <w:rsid w:val="00C21F3C"/>
    <w:rsid w:val="00C21FCF"/>
    <w:rsid w:val="00C2211E"/>
    <w:rsid w:val="00C221F7"/>
    <w:rsid w:val="00C2221C"/>
    <w:rsid w:val="00C2221F"/>
    <w:rsid w:val="00C2223F"/>
    <w:rsid w:val="00C222B9"/>
    <w:rsid w:val="00C222C7"/>
    <w:rsid w:val="00C222DF"/>
    <w:rsid w:val="00C22352"/>
    <w:rsid w:val="00C22370"/>
    <w:rsid w:val="00C2237F"/>
    <w:rsid w:val="00C22391"/>
    <w:rsid w:val="00C2239A"/>
    <w:rsid w:val="00C223D3"/>
    <w:rsid w:val="00C22413"/>
    <w:rsid w:val="00C224A3"/>
    <w:rsid w:val="00C224ED"/>
    <w:rsid w:val="00C2254D"/>
    <w:rsid w:val="00C2255A"/>
    <w:rsid w:val="00C22561"/>
    <w:rsid w:val="00C22598"/>
    <w:rsid w:val="00C2262C"/>
    <w:rsid w:val="00C226E1"/>
    <w:rsid w:val="00C227AC"/>
    <w:rsid w:val="00C227D8"/>
    <w:rsid w:val="00C2280B"/>
    <w:rsid w:val="00C22815"/>
    <w:rsid w:val="00C228B6"/>
    <w:rsid w:val="00C2291A"/>
    <w:rsid w:val="00C22981"/>
    <w:rsid w:val="00C229AB"/>
    <w:rsid w:val="00C22A13"/>
    <w:rsid w:val="00C22A23"/>
    <w:rsid w:val="00C22A37"/>
    <w:rsid w:val="00C22A4D"/>
    <w:rsid w:val="00C22A9A"/>
    <w:rsid w:val="00C22AB4"/>
    <w:rsid w:val="00C22BB6"/>
    <w:rsid w:val="00C22C09"/>
    <w:rsid w:val="00C22C49"/>
    <w:rsid w:val="00C22C80"/>
    <w:rsid w:val="00C22CAF"/>
    <w:rsid w:val="00C22D05"/>
    <w:rsid w:val="00C22D0E"/>
    <w:rsid w:val="00C22D18"/>
    <w:rsid w:val="00C22D53"/>
    <w:rsid w:val="00C22D55"/>
    <w:rsid w:val="00C22F5B"/>
    <w:rsid w:val="00C22FA7"/>
    <w:rsid w:val="00C22FCB"/>
    <w:rsid w:val="00C2303E"/>
    <w:rsid w:val="00C2304C"/>
    <w:rsid w:val="00C23088"/>
    <w:rsid w:val="00C230BB"/>
    <w:rsid w:val="00C230E8"/>
    <w:rsid w:val="00C23118"/>
    <w:rsid w:val="00C2311E"/>
    <w:rsid w:val="00C2313A"/>
    <w:rsid w:val="00C2313D"/>
    <w:rsid w:val="00C23182"/>
    <w:rsid w:val="00C2324D"/>
    <w:rsid w:val="00C23299"/>
    <w:rsid w:val="00C23303"/>
    <w:rsid w:val="00C2337C"/>
    <w:rsid w:val="00C233E1"/>
    <w:rsid w:val="00C2341C"/>
    <w:rsid w:val="00C23444"/>
    <w:rsid w:val="00C2350D"/>
    <w:rsid w:val="00C2354A"/>
    <w:rsid w:val="00C236B4"/>
    <w:rsid w:val="00C236BA"/>
    <w:rsid w:val="00C23707"/>
    <w:rsid w:val="00C23771"/>
    <w:rsid w:val="00C23784"/>
    <w:rsid w:val="00C238B8"/>
    <w:rsid w:val="00C238D8"/>
    <w:rsid w:val="00C23913"/>
    <w:rsid w:val="00C23918"/>
    <w:rsid w:val="00C2398B"/>
    <w:rsid w:val="00C23990"/>
    <w:rsid w:val="00C239E6"/>
    <w:rsid w:val="00C23A2B"/>
    <w:rsid w:val="00C23A49"/>
    <w:rsid w:val="00C23ADC"/>
    <w:rsid w:val="00C23ADF"/>
    <w:rsid w:val="00C23B34"/>
    <w:rsid w:val="00C23CA0"/>
    <w:rsid w:val="00C23CD4"/>
    <w:rsid w:val="00C23D76"/>
    <w:rsid w:val="00C23D90"/>
    <w:rsid w:val="00C23DD7"/>
    <w:rsid w:val="00C23E51"/>
    <w:rsid w:val="00C23F12"/>
    <w:rsid w:val="00C24074"/>
    <w:rsid w:val="00C24087"/>
    <w:rsid w:val="00C2409A"/>
    <w:rsid w:val="00C24126"/>
    <w:rsid w:val="00C24174"/>
    <w:rsid w:val="00C2426F"/>
    <w:rsid w:val="00C24291"/>
    <w:rsid w:val="00C242A2"/>
    <w:rsid w:val="00C242CA"/>
    <w:rsid w:val="00C24433"/>
    <w:rsid w:val="00C24435"/>
    <w:rsid w:val="00C2446B"/>
    <w:rsid w:val="00C24515"/>
    <w:rsid w:val="00C245A1"/>
    <w:rsid w:val="00C245BE"/>
    <w:rsid w:val="00C24688"/>
    <w:rsid w:val="00C2473B"/>
    <w:rsid w:val="00C2485A"/>
    <w:rsid w:val="00C248E9"/>
    <w:rsid w:val="00C2490C"/>
    <w:rsid w:val="00C24957"/>
    <w:rsid w:val="00C249F3"/>
    <w:rsid w:val="00C24AC7"/>
    <w:rsid w:val="00C24AE1"/>
    <w:rsid w:val="00C24AEF"/>
    <w:rsid w:val="00C24C39"/>
    <w:rsid w:val="00C24CA3"/>
    <w:rsid w:val="00C24DBF"/>
    <w:rsid w:val="00C24E17"/>
    <w:rsid w:val="00C24EA2"/>
    <w:rsid w:val="00C24EF1"/>
    <w:rsid w:val="00C24F6D"/>
    <w:rsid w:val="00C24FF0"/>
    <w:rsid w:val="00C25063"/>
    <w:rsid w:val="00C25189"/>
    <w:rsid w:val="00C25249"/>
    <w:rsid w:val="00C252D0"/>
    <w:rsid w:val="00C25355"/>
    <w:rsid w:val="00C25365"/>
    <w:rsid w:val="00C253A7"/>
    <w:rsid w:val="00C253DD"/>
    <w:rsid w:val="00C25448"/>
    <w:rsid w:val="00C2547E"/>
    <w:rsid w:val="00C2552B"/>
    <w:rsid w:val="00C25563"/>
    <w:rsid w:val="00C25595"/>
    <w:rsid w:val="00C255CB"/>
    <w:rsid w:val="00C255D8"/>
    <w:rsid w:val="00C25600"/>
    <w:rsid w:val="00C25627"/>
    <w:rsid w:val="00C256A1"/>
    <w:rsid w:val="00C256EF"/>
    <w:rsid w:val="00C256FA"/>
    <w:rsid w:val="00C25749"/>
    <w:rsid w:val="00C25786"/>
    <w:rsid w:val="00C257D5"/>
    <w:rsid w:val="00C25826"/>
    <w:rsid w:val="00C2587C"/>
    <w:rsid w:val="00C258E8"/>
    <w:rsid w:val="00C2594A"/>
    <w:rsid w:val="00C25981"/>
    <w:rsid w:val="00C259A3"/>
    <w:rsid w:val="00C259AD"/>
    <w:rsid w:val="00C25A4C"/>
    <w:rsid w:val="00C25A57"/>
    <w:rsid w:val="00C25AD2"/>
    <w:rsid w:val="00C25BAA"/>
    <w:rsid w:val="00C25BB2"/>
    <w:rsid w:val="00C25C05"/>
    <w:rsid w:val="00C25CA1"/>
    <w:rsid w:val="00C25D2D"/>
    <w:rsid w:val="00C25D6F"/>
    <w:rsid w:val="00C25DA4"/>
    <w:rsid w:val="00C25DD0"/>
    <w:rsid w:val="00C25DF8"/>
    <w:rsid w:val="00C25E6F"/>
    <w:rsid w:val="00C25F9F"/>
    <w:rsid w:val="00C26041"/>
    <w:rsid w:val="00C2606B"/>
    <w:rsid w:val="00C26096"/>
    <w:rsid w:val="00C260B8"/>
    <w:rsid w:val="00C260C4"/>
    <w:rsid w:val="00C2613E"/>
    <w:rsid w:val="00C261DC"/>
    <w:rsid w:val="00C262BB"/>
    <w:rsid w:val="00C26368"/>
    <w:rsid w:val="00C26399"/>
    <w:rsid w:val="00C263ED"/>
    <w:rsid w:val="00C26456"/>
    <w:rsid w:val="00C2649A"/>
    <w:rsid w:val="00C264D8"/>
    <w:rsid w:val="00C26540"/>
    <w:rsid w:val="00C265BB"/>
    <w:rsid w:val="00C265C0"/>
    <w:rsid w:val="00C265FF"/>
    <w:rsid w:val="00C26632"/>
    <w:rsid w:val="00C26635"/>
    <w:rsid w:val="00C266E7"/>
    <w:rsid w:val="00C26756"/>
    <w:rsid w:val="00C2676B"/>
    <w:rsid w:val="00C26824"/>
    <w:rsid w:val="00C2685C"/>
    <w:rsid w:val="00C268A7"/>
    <w:rsid w:val="00C268D4"/>
    <w:rsid w:val="00C268D7"/>
    <w:rsid w:val="00C2698A"/>
    <w:rsid w:val="00C26A1D"/>
    <w:rsid w:val="00C26A40"/>
    <w:rsid w:val="00C26A64"/>
    <w:rsid w:val="00C26A66"/>
    <w:rsid w:val="00C26B3C"/>
    <w:rsid w:val="00C26B43"/>
    <w:rsid w:val="00C26CD8"/>
    <w:rsid w:val="00C26D17"/>
    <w:rsid w:val="00C26DF0"/>
    <w:rsid w:val="00C26E3B"/>
    <w:rsid w:val="00C26EA0"/>
    <w:rsid w:val="00C26EB2"/>
    <w:rsid w:val="00C26ECE"/>
    <w:rsid w:val="00C26F36"/>
    <w:rsid w:val="00C26F61"/>
    <w:rsid w:val="00C26FF6"/>
    <w:rsid w:val="00C27007"/>
    <w:rsid w:val="00C27053"/>
    <w:rsid w:val="00C2708C"/>
    <w:rsid w:val="00C27142"/>
    <w:rsid w:val="00C27219"/>
    <w:rsid w:val="00C2721B"/>
    <w:rsid w:val="00C27231"/>
    <w:rsid w:val="00C27336"/>
    <w:rsid w:val="00C27366"/>
    <w:rsid w:val="00C273DC"/>
    <w:rsid w:val="00C2744B"/>
    <w:rsid w:val="00C27458"/>
    <w:rsid w:val="00C274AB"/>
    <w:rsid w:val="00C274E1"/>
    <w:rsid w:val="00C274EC"/>
    <w:rsid w:val="00C27577"/>
    <w:rsid w:val="00C27716"/>
    <w:rsid w:val="00C2775D"/>
    <w:rsid w:val="00C277E0"/>
    <w:rsid w:val="00C27806"/>
    <w:rsid w:val="00C2782B"/>
    <w:rsid w:val="00C2783B"/>
    <w:rsid w:val="00C278A2"/>
    <w:rsid w:val="00C278BE"/>
    <w:rsid w:val="00C279A5"/>
    <w:rsid w:val="00C279A7"/>
    <w:rsid w:val="00C279BA"/>
    <w:rsid w:val="00C279D0"/>
    <w:rsid w:val="00C279DE"/>
    <w:rsid w:val="00C27A1C"/>
    <w:rsid w:val="00C27AA0"/>
    <w:rsid w:val="00C27ACB"/>
    <w:rsid w:val="00C27B58"/>
    <w:rsid w:val="00C27BC7"/>
    <w:rsid w:val="00C27C29"/>
    <w:rsid w:val="00C27C2E"/>
    <w:rsid w:val="00C27C39"/>
    <w:rsid w:val="00C27C50"/>
    <w:rsid w:val="00C27C5C"/>
    <w:rsid w:val="00C27CDE"/>
    <w:rsid w:val="00C27D4F"/>
    <w:rsid w:val="00C27D92"/>
    <w:rsid w:val="00C27DF9"/>
    <w:rsid w:val="00C27E09"/>
    <w:rsid w:val="00C27FF5"/>
    <w:rsid w:val="00C2EB8E"/>
    <w:rsid w:val="00C30089"/>
    <w:rsid w:val="00C300A2"/>
    <w:rsid w:val="00C301C4"/>
    <w:rsid w:val="00C3022E"/>
    <w:rsid w:val="00C3025B"/>
    <w:rsid w:val="00C30366"/>
    <w:rsid w:val="00C30376"/>
    <w:rsid w:val="00C30405"/>
    <w:rsid w:val="00C30444"/>
    <w:rsid w:val="00C30551"/>
    <w:rsid w:val="00C30567"/>
    <w:rsid w:val="00C30652"/>
    <w:rsid w:val="00C306BA"/>
    <w:rsid w:val="00C306ED"/>
    <w:rsid w:val="00C30704"/>
    <w:rsid w:val="00C30783"/>
    <w:rsid w:val="00C30786"/>
    <w:rsid w:val="00C30794"/>
    <w:rsid w:val="00C307B3"/>
    <w:rsid w:val="00C307F7"/>
    <w:rsid w:val="00C30814"/>
    <w:rsid w:val="00C308D2"/>
    <w:rsid w:val="00C30912"/>
    <w:rsid w:val="00C309A4"/>
    <w:rsid w:val="00C30A55"/>
    <w:rsid w:val="00C30A64"/>
    <w:rsid w:val="00C30AE0"/>
    <w:rsid w:val="00C30B77"/>
    <w:rsid w:val="00C30B81"/>
    <w:rsid w:val="00C30B98"/>
    <w:rsid w:val="00C30C0D"/>
    <w:rsid w:val="00C30C63"/>
    <w:rsid w:val="00C30C7B"/>
    <w:rsid w:val="00C30C98"/>
    <w:rsid w:val="00C30C9E"/>
    <w:rsid w:val="00C30CB1"/>
    <w:rsid w:val="00C30DD2"/>
    <w:rsid w:val="00C30E26"/>
    <w:rsid w:val="00C30E4F"/>
    <w:rsid w:val="00C30EC0"/>
    <w:rsid w:val="00C30EE1"/>
    <w:rsid w:val="00C30F7B"/>
    <w:rsid w:val="00C30F7F"/>
    <w:rsid w:val="00C30FA3"/>
    <w:rsid w:val="00C310B8"/>
    <w:rsid w:val="00C310E0"/>
    <w:rsid w:val="00C31189"/>
    <w:rsid w:val="00C31191"/>
    <w:rsid w:val="00C3119A"/>
    <w:rsid w:val="00C311EE"/>
    <w:rsid w:val="00C312A5"/>
    <w:rsid w:val="00C3136C"/>
    <w:rsid w:val="00C3142F"/>
    <w:rsid w:val="00C31497"/>
    <w:rsid w:val="00C314AE"/>
    <w:rsid w:val="00C314B6"/>
    <w:rsid w:val="00C31513"/>
    <w:rsid w:val="00C3153A"/>
    <w:rsid w:val="00C3154F"/>
    <w:rsid w:val="00C3155C"/>
    <w:rsid w:val="00C315A0"/>
    <w:rsid w:val="00C315CC"/>
    <w:rsid w:val="00C3168D"/>
    <w:rsid w:val="00C3169B"/>
    <w:rsid w:val="00C316A5"/>
    <w:rsid w:val="00C316AE"/>
    <w:rsid w:val="00C316D5"/>
    <w:rsid w:val="00C31732"/>
    <w:rsid w:val="00C3179F"/>
    <w:rsid w:val="00C317FA"/>
    <w:rsid w:val="00C31815"/>
    <w:rsid w:val="00C31843"/>
    <w:rsid w:val="00C3186B"/>
    <w:rsid w:val="00C3186C"/>
    <w:rsid w:val="00C31876"/>
    <w:rsid w:val="00C318F7"/>
    <w:rsid w:val="00C3192D"/>
    <w:rsid w:val="00C3196E"/>
    <w:rsid w:val="00C319C2"/>
    <w:rsid w:val="00C31A61"/>
    <w:rsid w:val="00C31AA0"/>
    <w:rsid w:val="00C31AC0"/>
    <w:rsid w:val="00C31AE0"/>
    <w:rsid w:val="00C31B0B"/>
    <w:rsid w:val="00C31B27"/>
    <w:rsid w:val="00C31B54"/>
    <w:rsid w:val="00C31C09"/>
    <w:rsid w:val="00C31C2C"/>
    <w:rsid w:val="00C31C54"/>
    <w:rsid w:val="00C31C78"/>
    <w:rsid w:val="00C31CB8"/>
    <w:rsid w:val="00C31CE0"/>
    <w:rsid w:val="00C31D3F"/>
    <w:rsid w:val="00C31D42"/>
    <w:rsid w:val="00C31D63"/>
    <w:rsid w:val="00C31D69"/>
    <w:rsid w:val="00C31DE6"/>
    <w:rsid w:val="00C31E66"/>
    <w:rsid w:val="00C31E89"/>
    <w:rsid w:val="00C31E92"/>
    <w:rsid w:val="00C31ED7"/>
    <w:rsid w:val="00C31F35"/>
    <w:rsid w:val="00C31F58"/>
    <w:rsid w:val="00C32050"/>
    <w:rsid w:val="00C3205B"/>
    <w:rsid w:val="00C32094"/>
    <w:rsid w:val="00C32133"/>
    <w:rsid w:val="00C3215E"/>
    <w:rsid w:val="00C32180"/>
    <w:rsid w:val="00C32200"/>
    <w:rsid w:val="00C3222E"/>
    <w:rsid w:val="00C32235"/>
    <w:rsid w:val="00C32280"/>
    <w:rsid w:val="00C32287"/>
    <w:rsid w:val="00C322D9"/>
    <w:rsid w:val="00C323C3"/>
    <w:rsid w:val="00C32423"/>
    <w:rsid w:val="00C32431"/>
    <w:rsid w:val="00C3245C"/>
    <w:rsid w:val="00C32495"/>
    <w:rsid w:val="00C324A6"/>
    <w:rsid w:val="00C324BD"/>
    <w:rsid w:val="00C324DB"/>
    <w:rsid w:val="00C3254A"/>
    <w:rsid w:val="00C32590"/>
    <w:rsid w:val="00C325E9"/>
    <w:rsid w:val="00C32602"/>
    <w:rsid w:val="00C3265F"/>
    <w:rsid w:val="00C32688"/>
    <w:rsid w:val="00C32704"/>
    <w:rsid w:val="00C32769"/>
    <w:rsid w:val="00C327C8"/>
    <w:rsid w:val="00C327ED"/>
    <w:rsid w:val="00C32848"/>
    <w:rsid w:val="00C32858"/>
    <w:rsid w:val="00C32891"/>
    <w:rsid w:val="00C328F9"/>
    <w:rsid w:val="00C3290F"/>
    <w:rsid w:val="00C3293D"/>
    <w:rsid w:val="00C329A8"/>
    <w:rsid w:val="00C32A29"/>
    <w:rsid w:val="00C32A56"/>
    <w:rsid w:val="00C32AE9"/>
    <w:rsid w:val="00C32B27"/>
    <w:rsid w:val="00C32B80"/>
    <w:rsid w:val="00C32BA1"/>
    <w:rsid w:val="00C32C18"/>
    <w:rsid w:val="00C32C5B"/>
    <w:rsid w:val="00C32D05"/>
    <w:rsid w:val="00C32D26"/>
    <w:rsid w:val="00C32D7B"/>
    <w:rsid w:val="00C32D9A"/>
    <w:rsid w:val="00C32DAA"/>
    <w:rsid w:val="00C32DB5"/>
    <w:rsid w:val="00C32DCA"/>
    <w:rsid w:val="00C32DD9"/>
    <w:rsid w:val="00C32ED5"/>
    <w:rsid w:val="00C32FE1"/>
    <w:rsid w:val="00C32FE5"/>
    <w:rsid w:val="00C3302A"/>
    <w:rsid w:val="00C33062"/>
    <w:rsid w:val="00C3309D"/>
    <w:rsid w:val="00C330AA"/>
    <w:rsid w:val="00C33110"/>
    <w:rsid w:val="00C3317B"/>
    <w:rsid w:val="00C331BF"/>
    <w:rsid w:val="00C331F2"/>
    <w:rsid w:val="00C331FC"/>
    <w:rsid w:val="00C33233"/>
    <w:rsid w:val="00C33243"/>
    <w:rsid w:val="00C33248"/>
    <w:rsid w:val="00C3324C"/>
    <w:rsid w:val="00C3327C"/>
    <w:rsid w:val="00C332D2"/>
    <w:rsid w:val="00C33305"/>
    <w:rsid w:val="00C333D1"/>
    <w:rsid w:val="00C3341A"/>
    <w:rsid w:val="00C3343F"/>
    <w:rsid w:val="00C33484"/>
    <w:rsid w:val="00C33619"/>
    <w:rsid w:val="00C3365F"/>
    <w:rsid w:val="00C33670"/>
    <w:rsid w:val="00C336A5"/>
    <w:rsid w:val="00C33737"/>
    <w:rsid w:val="00C3373C"/>
    <w:rsid w:val="00C33747"/>
    <w:rsid w:val="00C337BE"/>
    <w:rsid w:val="00C337F1"/>
    <w:rsid w:val="00C33A41"/>
    <w:rsid w:val="00C33A5C"/>
    <w:rsid w:val="00C33A7E"/>
    <w:rsid w:val="00C33A95"/>
    <w:rsid w:val="00C33B22"/>
    <w:rsid w:val="00C33B46"/>
    <w:rsid w:val="00C33BB9"/>
    <w:rsid w:val="00C33C2C"/>
    <w:rsid w:val="00C33D17"/>
    <w:rsid w:val="00C33D22"/>
    <w:rsid w:val="00C33DC5"/>
    <w:rsid w:val="00C33E4B"/>
    <w:rsid w:val="00C33E62"/>
    <w:rsid w:val="00C33E9B"/>
    <w:rsid w:val="00C33EDC"/>
    <w:rsid w:val="00C33F40"/>
    <w:rsid w:val="00C33F78"/>
    <w:rsid w:val="00C34039"/>
    <w:rsid w:val="00C3404B"/>
    <w:rsid w:val="00C34079"/>
    <w:rsid w:val="00C34109"/>
    <w:rsid w:val="00C34137"/>
    <w:rsid w:val="00C341D7"/>
    <w:rsid w:val="00C341DD"/>
    <w:rsid w:val="00C34218"/>
    <w:rsid w:val="00C342B7"/>
    <w:rsid w:val="00C34300"/>
    <w:rsid w:val="00C34319"/>
    <w:rsid w:val="00C34331"/>
    <w:rsid w:val="00C3433A"/>
    <w:rsid w:val="00C3434F"/>
    <w:rsid w:val="00C34376"/>
    <w:rsid w:val="00C3439D"/>
    <w:rsid w:val="00C343C1"/>
    <w:rsid w:val="00C34422"/>
    <w:rsid w:val="00C34424"/>
    <w:rsid w:val="00C34489"/>
    <w:rsid w:val="00C3449C"/>
    <w:rsid w:val="00C344B6"/>
    <w:rsid w:val="00C344CF"/>
    <w:rsid w:val="00C344DE"/>
    <w:rsid w:val="00C3452D"/>
    <w:rsid w:val="00C345F7"/>
    <w:rsid w:val="00C34604"/>
    <w:rsid w:val="00C34627"/>
    <w:rsid w:val="00C346CC"/>
    <w:rsid w:val="00C34745"/>
    <w:rsid w:val="00C34785"/>
    <w:rsid w:val="00C347FF"/>
    <w:rsid w:val="00C3483C"/>
    <w:rsid w:val="00C348B3"/>
    <w:rsid w:val="00C348F2"/>
    <w:rsid w:val="00C3490F"/>
    <w:rsid w:val="00C3495F"/>
    <w:rsid w:val="00C34985"/>
    <w:rsid w:val="00C34A34"/>
    <w:rsid w:val="00C34AE3"/>
    <w:rsid w:val="00C34AE4"/>
    <w:rsid w:val="00C34B58"/>
    <w:rsid w:val="00C34C82"/>
    <w:rsid w:val="00C34CC9"/>
    <w:rsid w:val="00C34CDE"/>
    <w:rsid w:val="00C34D25"/>
    <w:rsid w:val="00C34D4D"/>
    <w:rsid w:val="00C34D54"/>
    <w:rsid w:val="00C34D6A"/>
    <w:rsid w:val="00C34EED"/>
    <w:rsid w:val="00C34EF6"/>
    <w:rsid w:val="00C34F9F"/>
    <w:rsid w:val="00C34FA0"/>
    <w:rsid w:val="00C34FA4"/>
    <w:rsid w:val="00C35021"/>
    <w:rsid w:val="00C3506C"/>
    <w:rsid w:val="00C350DA"/>
    <w:rsid w:val="00C3518F"/>
    <w:rsid w:val="00C35207"/>
    <w:rsid w:val="00C3520E"/>
    <w:rsid w:val="00C35214"/>
    <w:rsid w:val="00C3524D"/>
    <w:rsid w:val="00C35266"/>
    <w:rsid w:val="00C35290"/>
    <w:rsid w:val="00C3539C"/>
    <w:rsid w:val="00C3540E"/>
    <w:rsid w:val="00C35453"/>
    <w:rsid w:val="00C354E9"/>
    <w:rsid w:val="00C3555B"/>
    <w:rsid w:val="00C355DB"/>
    <w:rsid w:val="00C35672"/>
    <w:rsid w:val="00C35683"/>
    <w:rsid w:val="00C356A6"/>
    <w:rsid w:val="00C356F6"/>
    <w:rsid w:val="00C35871"/>
    <w:rsid w:val="00C35873"/>
    <w:rsid w:val="00C358CE"/>
    <w:rsid w:val="00C358E8"/>
    <w:rsid w:val="00C358FC"/>
    <w:rsid w:val="00C35A85"/>
    <w:rsid w:val="00C35AFC"/>
    <w:rsid w:val="00C35AFD"/>
    <w:rsid w:val="00C35B61"/>
    <w:rsid w:val="00C35C5C"/>
    <w:rsid w:val="00C35C96"/>
    <w:rsid w:val="00C35CFE"/>
    <w:rsid w:val="00C35D2F"/>
    <w:rsid w:val="00C35DA5"/>
    <w:rsid w:val="00C35DAB"/>
    <w:rsid w:val="00C35E68"/>
    <w:rsid w:val="00C35F39"/>
    <w:rsid w:val="00C35F3E"/>
    <w:rsid w:val="00C36075"/>
    <w:rsid w:val="00C3609F"/>
    <w:rsid w:val="00C360AB"/>
    <w:rsid w:val="00C360CB"/>
    <w:rsid w:val="00C3617D"/>
    <w:rsid w:val="00C361B2"/>
    <w:rsid w:val="00C361F4"/>
    <w:rsid w:val="00C36236"/>
    <w:rsid w:val="00C3624F"/>
    <w:rsid w:val="00C36305"/>
    <w:rsid w:val="00C36378"/>
    <w:rsid w:val="00C3638E"/>
    <w:rsid w:val="00C363C7"/>
    <w:rsid w:val="00C3643F"/>
    <w:rsid w:val="00C36446"/>
    <w:rsid w:val="00C364C7"/>
    <w:rsid w:val="00C36520"/>
    <w:rsid w:val="00C365B5"/>
    <w:rsid w:val="00C365CF"/>
    <w:rsid w:val="00C36694"/>
    <w:rsid w:val="00C36749"/>
    <w:rsid w:val="00C36762"/>
    <w:rsid w:val="00C367A0"/>
    <w:rsid w:val="00C367AA"/>
    <w:rsid w:val="00C367D9"/>
    <w:rsid w:val="00C367FA"/>
    <w:rsid w:val="00C36805"/>
    <w:rsid w:val="00C3683E"/>
    <w:rsid w:val="00C3685D"/>
    <w:rsid w:val="00C3691C"/>
    <w:rsid w:val="00C3694B"/>
    <w:rsid w:val="00C3696D"/>
    <w:rsid w:val="00C36A1E"/>
    <w:rsid w:val="00C36A4B"/>
    <w:rsid w:val="00C36A5E"/>
    <w:rsid w:val="00C36A66"/>
    <w:rsid w:val="00C36A69"/>
    <w:rsid w:val="00C36A9B"/>
    <w:rsid w:val="00C36AA3"/>
    <w:rsid w:val="00C36AAC"/>
    <w:rsid w:val="00C36AE1"/>
    <w:rsid w:val="00C36B29"/>
    <w:rsid w:val="00C36B6F"/>
    <w:rsid w:val="00C36BCA"/>
    <w:rsid w:val="00C36CDA"/>
    <w:rsid w:val="00C36D4D"/>
    <w:rsid w:val="00C36D6F"/>
    <w:rsid w:val="00C36DD1"/>
    <w:rsid w:val="00C36E8E"/>
    <w:rsid w:val="00C36EA4"/>
    <w:rsid w:val="00C36EB1"/>
    <w:rsid w:val="00C36EE9"/>
    <w:rsid w:val="00C36FBD"/>
    <w:rsid w:val="00C36FF9"/>
    <w:rsid w:val="00C37057"/>
    <w:rsid w:val="00C3706C"/>
    <w:rsid w:val="00C3706F"/>
    <w:rsid w:val="00C37142"/>
    <w:rsid w:val="00C37191"/>
    <w:rsid w:val="00C37280"/>
    <w:rsid w:val="00C37296"/>
    <w:rsid w:val="00C3733B"/>
    <w:rsid w:val="00C37356"/>
    <w:rsid w:val="00C373D0"/>
    <w:rsid w:val="00C37498"/>
    <w:rsid w:val="00C3755F"/>
    <w:rsid w:val="00C3757D"/>
    <w:rsid w:val="00C375EA"/>
    <w:rsid w:val="00C37643"/>
    <w:rsid w:val="00C3772D"/>
    <w:rsid w:val="00C37769"/>
    <w:rsid w:val="00C37772"/>
    <w:rsid w:val="00C37795"/>
    <w:rsid w:val="00C377AB"/>
    <w:rsid w:val="00C37853"/>
    <w:rsid w:val="00C37897"/>
    <w:rsid w:val="00C378E6"/>
    <w:rsid w:val="00C3799B"/>
    <w:rsid w:val="00C379AE"/>
    <w:rsid w:val="00C37A8B"/>
    <w:rsid w:val="00C37B12"/>
    <w:rsid w:val="00C37B97"/>
    <w:rsid w:val="00C37BDE"/>
    <w:rsid w:val="00C37C13"/>
    <w:rsid w:val="00C37CC0"/>
    <w:rsid w:val="00C37CC6"/>
    <w:rsid w:val="00C37CDA"/>
    <w:rsid w:val="00C37D29"/>
    <w:rsid w:val="00C37D57"/>
    <w:rsid w:val="00C37E86"/>
    <w:rsid w:val="00C37EB9"/>
    <w:rsid w:val="00C37ED9"/>
    <w:rsid w:val="00C37EEB"/>
    <w:rsid w:val="00C37F07"/>
    <w:rsid w:val="00C37F41"/>
    <w:rsid w:val="00C37F77"/>
    <w:rsid w:val="00C37F78"/>
    <w:rsid w:val="00C37F81"/>
    <w:rsid w:val="00C40020"/>
    <w:rsid w:val="00C4004F"/>
    <w:rsid w:val="00C4008B"/>
    <w:rsid w:val="00C400B9"/>
    <w:rsid w:val="00C40168"/>
    <w:rsid w:val="00C40203"/>
    <w:rsid w:val="00C4021D"/>
    <w:rsid w:val="00C40269"/>
    <w:rsid w:val="00C402BD"/>
    <w:rsid w:val="00C402CC"/>
    <w:rsid w:val="00C402D8"/>
    <w:rsid w:val="00C402E5"/>
    <w:rsid w:val="00C4032C"/>
    <w:rsid w:val="00C40332"/>
    <w:rsid w:val="00C403CB"/>
    <w:rsid w:val="00C40438"/>
    <w:rsid w:val="00C4045A"/>
    <w:rsid w:val="00C4047E"/>
    <w:rsid w:val="00C404B6"/>
    <w:rsid w:val="00C405BE"/>
    <w:rsid w:val="00C405FB"/>
    <w:rsid w:val="00C406CA"/>
    <w:rsid w:val="00C406FA"/>
    <w:rsid w:val="00C40704"/>
    <w:rsid w:val="00C40841"/>
    <w:rsid w:val="00C408BA"/>
    <w:rsid w:val="00C408C1"/>
    <w:rsid w:val="00C408F2"/>
    <w:rsid w:val="00C40928"/>
    <w:rsid w:val="00C4093A"/>
    <w:rsid w:val="00C40941"/>
    <w:rsid w:val="00C4099C"/>
    <w:rsid w:val="00C40A3C"/>
    <w:rsid w:val="00C40AD0"/>
    <w:rsid w:val="00C40AD5"/>
    <w:rsid w:val="00C40AEB"/>
    <w:rsid w:val="00C40BBE"/>
    <w:rsid w:val="00C40BF4"/>
    <w:rsid w:val="00C40C34"/>
    <w:rsid w:val="00C40C42"/>
    <w:rsid w:val="00C40D26"/>
    <w:rsid w:val="00C40D80"/>
    <w:rsid w:val="00C40EC2"/>
    <w:rsid w:val="00C40EC9"/>
    <w:rsid w:val="00C40F54"/>
    <w:rsid w:val="00C40F6E"/>
    <w:rsid w:val="00C41008"/>
    <w:rsid w:val="00C41121"/>
    <w:rsid w:val="00C4113D"/>
    <w:rsid w:val="00C41285"/>
    <w:rsid w:val="00C41340"/>
    <w:rsid w:val="00C4136D"/>
    <w:rsid w:val="00C413C8"/>
    <w:rsid w:val="00C413D4"/>
    <w:rsid w:val="00C413D9"/>
    <w:rsid w:val="00C4148D"/>
    <w:rsid w:val="00C4149E"/>
    <w:rsid w:val="00C41519"/>
    <w:rsid w:val="00C4151C"/>
    <w:rsid w:val="00C4154E"/>
    <w:rsid w:val="00C41569"/>
    <w:rsid w:val="00C41587"/>
    <w:rsid w:val="00C415A4"/>
    <w:rsid w:val="00C41649"/>
    <w:rsid w:val="00C41698"/>
    <w:rsid w:val="00C416F4"/>
    <w:rsid w:val="00C4174B"/>
    <w:rsid w:val="00C41767"/>
    <w:rsid w:val="00C417EE"/>
    <w:rsid w:val="00C417F4"/>
    <w:rsid w:val="00C417FE"/>
    <w:rsid w:val="00C418B6"/>
    <w:rsid w:val="00C4191F"/>
    <w:rsid w:val="00C4193B"/>
    <w:rsid w:val="00C41A41"/>
    <w:rsid w:val="00C41AA0"/>
    <w:rsid w:val="00C41AA9"/>
    <w:rsid w:val="00C41ABD"/>
    <w:rsid w:val="00C41AD1"/>
    <w:rsid w:val="00C41ADD"/>
    <w:rsid w:val="00C41B07"/>
    <w:rsid w:val="00C41B6B"/>
    <w:rsid w:val="00C41BC7"/>
    <w:rsid w:val="00C41C47"/>
    <w:rsid w:val="00C41C8C"/>
    <w:rsid w:val="00C41CA7"/>
    <w:rsid w:val="00C41CB2"/>
    <w:rsid w:val="00C41CFB"/>
    <w:rsid w:val="00C41DA4"/>
    <w:rsid w:val="00C41DE1"/>
    <w:rsid w:val="00C41ECE"/>
    <w:rsid w:val="00C41F33"/>
    <w:rsid w:val="00C41F86"/>
    <w:rsid w:val="00C41FCC"/>
    <w:rsid w:val="00C41FD2"/>
    <w:rsid w:val="00C4200B"/>
    <w:rsid w:val="00C42032"/>
    <w:rsid w:val="00C4204B"/>
    <w:rsid w:val="00C42063"/>
    <w:rsid w:val="00C420A0"/>
    <w:rsid w:val="00C420AF"/>
    <w:rsid w:val="00C420E4"/>
    <w:rsid w:val="00C42100"/>
    <w:rsid w:val="00C4210A"/>
    <w:rsid w:val="00C42156"/>
    <w:rsid w:val="00C4216E"/>
    <w:rsid w:val="00C42174"/>
    <w:rsid w:val="00C421BF"/>
    <w:rsid w:val="00C4225C"/>
    <w:rsid w:val="00C422EA"/>
    <w:rsid w:val="00C42304"/>
    <w:rsid w:val="00C42355"/>
    <w:rsid w:val="00C4238A"/>
    <w:rsid w:val="00C4239B"/>
    <w:rsid w:val="00C423D5"/>
    <w:rsid w:val="00C42416"/>
    <w:rsid w:val="00C4243F"/>
    <w:rsid w:val="00C424D7"/>
    <w:rsid w:val="00C424D8"/>
    <w:rsid w:val="00C424D9"/>
    <w:rsid w:val="00C4250D"/>
    <w:rsid w:val="00C42667"/>
    <w:rsid w:val="00C426AC"/>
    <w:rsid w:val="00C42700"/>
    <w:rsid w:val="00C4277A"/>
    <w:rsid w:val="00C427C3"/>
    <w:rsid w:val="00C4284F"/>
    <w:rsid w:val="00C42854"/>
    <w:rsid w:val="00C4285C"/>
    <w:rsid w:val="00C428A5"/>
    <w:rsid w:val="00C429DC"/>
    <w:rsid w:val="00C42A6E"/>
    <w:rsid w:val="00C42A95"/>
    <w:rsid w:val="00C42A9D"/>
    <w:rsid w:val="00C42AF3"/>
    <w:rsid w:val="00C42B0B"/>
    <w:rsid w:val="00C42B24"/>
    <w:rsid w:val="00C42B64"/>
    <w:rsid w:val="00C42B95"/>
    <w:rsid w:val="00C42CD3"/>
    <w:rsid w:val="00C42D05"/>
    <w:rsid w:val="00C42D24"/>
    <w:rsid w:val="00C42D7F"/>
    <w:rsid w:val="00C42EFC"/>
    <w:rsid w:val="00C42FDD"/>
    <w:rsid w:val="00C43021"/>
    <w:rsid w:val="00C4304E"/>
    <w:rsid w:val="00C430AE"/>
    <w:rsid w:val="00C4315C"/>
    <w:rsid w:val="00C431DD"/>
    <w:rsid w:val="00C431EB"/>
    <w:rsid w:val="00C43259"/>
    <w:rsid w:val="00C432FF"/>
    <w:rsid w:val="00C43352"/>
    <w:rsid w:val="00C433B3"/>
    <w:rsid w:val="00C433B4"/>
    <w:rsid w:val="00C4345B"/>
    <w:rsid w:val="00C43487"/>
    <w:rsid w:val="00C434C2"/>
    <w:rsid w:val="00C4350C"/>
    <w:rsid w:val="00C43525"/>
    <w:rsid w:val="00C43554"/>
    <w:rsid w:val="00C43659"/>
    <w:rsid w:val="00C43687"/>
    <w:rsid w:val="00C43694"/>
    <w:rsid w:val="00C437B8"/>
    <w:rsid w:val="00C437E7"/>
    <w:rsid w:val="00C43831"/>
    <w:rsid w:val="00C4383F"/>
    <w:rsid w:val="00C43904"/>
    <w:rsid w:val="00C43A30"/>
    <w:rsid w:val="00C43A58"/>
    <w:rsid w:val="00C43A7B"/>
    <w:rsid w:val="00C43AC1"/>
    <w:rsid w:val="00C43B25"/>
    <w:rsid w:val="00C43B59"/>
    <w:rsid w:val="00C43B67"/>
    <w:rsid w:val="00C43BB1"/>
    <w:rsid w:val="00C43BC6"/>
    <w:rsid w:val="00C43C29"/>
    <w:rsid w:val="00C43C30"/>
    <w:rsid w:val="00C43C62"/>
    <w:rsid w:val="00C43D08"/>
    <w:rsid w:val="00C43D33"/>
    <w:rsid w:val="00C43DBD"/>
    <w:rsid w:val="00C43E34"/>
    <w:rsid w:val="00C43E53"/>
    <w:rsid w:val="00C43E6D"/>
    <w:rsid w:val="00C43EB0"/>
    <w:rsid w:val="00C43EC2"/>
    <w:rsid w:val="00C43ED8"/>
    <w:rsid w:val="00C43F66"/>
    <w:rsid w:val="00C43FAB"/>
    <w:rsid w:val="00C43FE1"/>
    <w:rsid w:val="00C44045"/>
    <w:rsid w:val="00C44114"/>
    <w:rsid w:val="00C44162"/>
    <w:rsid w:val="00C441FC"/>
    <w:rsid w:val="00C44235"/>
    <w:rsid w:val="00C442C1"/>
    <w:rsid w:val="00C442DF"/>
    <w:rsid w:val="00C44302"/>
    <w:rsid w:val="00C44367"/>
    <w:rsid w:val="00C443A6"/>
    <w:rsid w:val="00C443D9"/>
    <w:rsid w:val="00C444ED"/>
    <w:rsid w:val="00C44532"/>
    <w:rsid w:val="00C4456B"/>
    <w:rsid w:val="00C4459C"/>
    <w:rsid w:val="00C445AA"/>
    <w:rsid w:val="00C445B8"/>
    <w:rsid w:val="00C445DD"/>
    <w:rsid w:val="00C445E0"/>
    <w:rsid w:val="00C44605"/>
    <w:rsid w:val="00C44660"/>
    <w:rsid w:val="00C44680"/>
    <w:rsid w:val="00C44688"/>
    <w:rsid w:val="00C447B4"/>
    <w:rsid w:val="00C447EE"/>
    <w:rsid w:val="00C447F6"/>
    <w:rsid w:val="00C44884"/>
    <w:rsid w:val="00C44894"/>
    <w:rsid w:val="00C4489B"/>
    <w:rsid w:val="00C44937"/>
    <w:rsid w:val="00C4493F"/>
    <w:rsid w:val="00C44A04"/>
    <w:rsid w:val="00C44A14"/>
    <w:rsid w:val="00C44A4B"/>
    <w:rsid w:val="00C44AA4"/>
    <w:rsid w:val="00C44AB6"/>
    <w:rsid w:val="00C44C85"/>
    <w:rsid w:val="00C44CCE"/>
    <w:rsid w:val="00C44D63"/>
    <w:rsid w:val="00C44E13"/>
    <w:rsid w:val="00C44E33"/>
    <w:rsid w:val="00C44E37"/>
    <w:rsid w:val="00C44E8E"/>
    <w:rsid w:val="00C44F03"/>
    <w:rsid w:val="00C44F06"/>
    <w:rsid w:val="00C44F5A"/>
    <w:rsid w:val="00C44FBC"/>
    <w:rsid w:val="00C45057"/>
    <w:rsid w:val="00C450C9"/>
    <w:rsid w:val="00C450EF"/>
    <w:rsid w:val="00C45134"/>
    <w:rsid w:val="00C45166"/>
    <w:rsid w:val="00C451EE"/>
    <w:rsid w:val="00C451F3"/>
    <w:rsid w:val="00C452C6"/>
    <w:rsid w:val="00C452DD"/>
    <w:rsid w:val="00C45307"/>
    <w:rsid w:val="00C4539F"/>
    <w:rsid w:val="00C45404"/>
    <w:rsid w:val="00C45440"/>
    <w:rsid w:val="00C45475"/>
    <w:rsid w:val="00C454C2"/>
    <w:rsid w:val="00C4560D"/>
    <w:rsid w:val="00C4565C"/>
    <w:rsid w:val="00C45673"/>
    <w:rsid w:val="00C4576E"/>
    <w:rsid w:val="00C45782"/>
    <w:rsid w:val="00C457BE"/>
    <w:rsid w:val="00C45802"/>
    <w:rsid w:val="00C4586D"/>
    <w:rsid w:val="00C45935"/>
    <w:rsid w:val="00C459A0"/>
    <w:rsid w:val="00C45ADE"/>
    <w:rsid w:val="00C45B06"/>
    <w:rsid w:val="00C45B0B"/>
    <w:rsid w:val="00C45B3A"/>
    <w:rsid w:val="00C45C79"/>
    <w:rsid w:val="00C45C92"/>
    <w:rsid w:val="00C45CB1"/>
    <w:rsid w:val="00C45CD3"/>
    <w:rsid w:val="00C45D0E"/>
    <w:rsid w:val="00C45D4F"/>
    <w:rsid w:val="00C45E12"/>
    <w:rsid w:val="00C45E22"/>
    <w:rsid w:val="00C45E66"/>
    <w:rsid w:val="00C45E73"/>
    <w:rsid w:val="00C45E82"/>
    <w:rsid w:val="00C45E90"/>
    <w:rsid w:val="00C45EDE"/>
    <w:rsid w:val="00C45EF3"/>
    <w:rsid w:val="00C45F19"/>
    <w:rsid w:val="00C45FAE"/>
    <w:rsid w:val="00C45FDB"/>
    <w:rsid w:val="00C45FE5"/>
    <w:rsid w:val="00C46013"/>
    <w:rsid w:val="00C46034"/>
    <w:rsid w:val="00C46053"/>
    <w:rsid w:val="00C46135"/>
    <w:rsid w:val="00C461AE"/>
    <w:rsid w:val="00C461D4"/>
    <w:rsid w:val="00C46208"/>
    <w:rsid w:val="00C46281"/>
    <w:rsid w:val="00C462B9"/>
    <w:rsid w:val="00C46339"/>
    <w:rsid w:val="00C4638C"/>
    <w:rsid w:val="00C4638E"/>
    <w:rsid w:val="00C463C1"/>
    <w:rsid w:val="00C463F1"/>
    <w:rsid w:val="00C46467"/>
    <w:rsid w:val="00C464B9"/>
    <w:rsid w:val="00C4653D"/>
    <w:rsid w:val="00C465AB"/>
    <w:rsid w:val="00C4668F"/>
    <w:rsid w:val="00C466CD"/>
    <w:rsid w:val="00C4672F"/>
    <w:rsid w:val="00C467FA"/>
    <w:rsid w:val="00C4681A"/>
    <w:rsid w:val="00C46867"/>
    <w:rsid w:val="00C4687F"/>
    <w:rsid w:val="00C468AC"/>
    <w:rsid w:val="00C4690B"/>
    <w:rsid w:val="00C469A6"/>
    <w:rsid w:val="00C469DF"/>
    <w:rsid w:val="00C469FC"/>
    <w:rsid w:val="00C46A99"/>
    <w:rsid w:val="00C46AD1"/>
    <w:rsid w:val="00C46B43"/>
    <w:rsid w:val="00C46B46"/>
    <w:rsid w:val="00C46B5C"/>
    <w:rsid w:val="00C46B87"/>
    <w:rsid w:val="00C46BA4"/>
    <w:rsid w:val="00C46BEC"/>
    <w:rsid w:val="00C46C12"/>
    <w:rsid w:val="00C46C73"/>
    <w:rsid w:val="00C46CD5"/>
    <w:rsid w:val="00C46DA2"/>
    <w:rsid w:val="00C46DDC"/>
    <w:rsid w:val="00C46E49"/>
    <w:rsid w:val="00C46EA5"/>
    <w:rsid w:val="00C46ED8"/>
    <w:rsid w:val="00C46F73"/>
    <w:rsid w:val="00C46FA7"/>
    <w:rsid w:val="00C46FC2"/>
    <w:rsid w:val="00C46FFE"/>
    <w:rsid w:val="00C470AE"/>
    <w:rsid w:val="00C47184"/>
    <w:rsid w:val="00C47190"/>
    <w:rsid w:val="00C47239"/>
    <w:rsid w:val="00C4730A"/>
    <w:rsid w:val="00C4731B"/>
    <w:rsid w:val="00C473B1"/>
    <w:rsid w:val="00C473B5"/>
    <w:rsid w:val="00C473F4"/>
    <w:rsid w:val="00C47437"/>
    <w:rsid w:val="00C474B5"/>
    <w:rsid w:val="00C474FF"/>
    <w:rsid w:val="00C4750B"/>
    <w:rsid w:val="00C47555"/>
    <w:rsid w:val="00C47583"/>
    <w:rsid w:val="00C47588"/>
    <w:rsid w:val="00C475AC"/>
    <w:rsid w:val="00C47675"/>
    <w:rsid w:val="00C476C2"/>
    <w:rsid w:val="00C477DA"/>
    <w:rsid w:val="00C477F0"/>
    <w:rsid w:val="00C478B2"/>
    <w:rsid w:val="00C478EA"/>
    <w:rsid w:val="00C4793F"/>
    <w:rsid w:val="00C479A4"/>
    <w:rsid w:val="00C479E2"/>
    <w:rsid w:val="00C47A02"/>
    <w:rsid w:val="00C47A1B"/>
    <w:rsid w:val="00C47A27"/>
    <w:rsid w:val="00C47A7C"/>
    <w:rsid w:val="00C47AF5"/>
    <w:rsid w:val="00C47B3C"/>
    <w:rsid w:val="00C47B6C"/>
    <w:rsid w:val="00C47BAD"/>
    <w:rsid w:val="00C47BB3"/>
    <w:rsid w:val="00C47C0F"/>
    <w:rsid w:val="00C47C24"/>
    <w:rsid w:val="00C47C39"/>
    <w:rsid w:val="00C47C67"/>
    <w:rsid w:val="00C47C95"/>
    <w:rsid w:val="00C47CE4"/>
    <w:rsid w:val="00C47D4A"/>
    <w:rsid w:val="00C47E57"/>
    <w:rsid w:val="00C47E8D"/>
    <w:rsid w:val="00C47F75"/>
    <w:rsid w:val="00C47FA9"/>
    <w:rsid w:val="00C47FDC"/>
    <w:rsid w:val="00C47FF5"/>
    <w:rsid w:val="00C49A2E"/>
    <w:rsid w:val="00C4C4DE"/>
    <w:rsid w:val="00C50066"/>
    <w:rsid w:val="00C500A0"/>
    <w:rsid w:val="00C50103"/>
    <w:rsid w:val="00C50128"/>
    <w:rsid w:val="00C5014E"/>
    <w:rsid w:val="00C50186"/>
    <w:rsid w:val="00C5025D"/>
    <w:rsid w:val="00C50464"/>
    <w:rsid w:val="00C50490"/>
    <w:rsid w:val="00C50551"/>
    <w:rsid w:val="00C505A2"/>
    <w:rsid w:val="00C50628"/>
    <w:rsid w:val="00C50738"/>
    <w:rsid w:val="00C50777"/>
    <w:rsid w:val="00C50921"/>
    <w:rsid w:val="00C50945"/>
    <w:rsid w:val="00C50963"/>
    <w:rsid w:val="00C50A4A"/>
    <w:rsid w:val="00C50A85"/>
    <w:rsid w:val="00C50A97"/>
    <w:rsid w:val="00C50AC4"/>
    <w:rsid w:val="00C50B11"/>
    <w:rsid w:val="00C50B29"/>
    <w:rsid w:val="00C50BD6"/>
    <w:rsid w:val="00C50C23"/>
    <w:rsid w:val="00C50C37"/>
    <w:rsid w:val="00C50C4A"/>
    <w:rsid w:val="00C50C6B"/>
    <w:rsid w:val="00C50D3B"/>
    <w:rsid w:val="00C50D5A"/>
    <w:rsid w:val="00C50E0A"/>
    <w:rsid w:val="00C50E35"/>
    <w:rsid w:val="00C50E9C"/>
    <w:rsid w:val="00C50EA9"/>
    <w:rsid w:val="00C50EAD"/>
    <w:rsid w:val="00C50EB1"/>
    <w:rsid w:val="00C50F08"/>
    <w:rsid w:val="00C50F11"/>
    <w:rsid w:val="00C50F42"/>
    <w:rsid w:val="00C50FC7"/>
    <w:rsid w:val="00C50FFB"/>
    <w:rsid w:val="00C5106E"/>
    <w:rsid w:val="00C51151"/>
    <w:rsid w:val="00C511B4"/>
    <w:rsid w:val="00C511CF"/>
    <w:rsid w:val="00C51241"/>
    <w:rsid w:val="00C51256"/>
    <w:rsid w:val="00C512AC"/>
    <w:rsid w:val="00C512B9"/>
    <w:rsid w:val="00C512C9"/>
    <w:rsid w:val="00C5130C"/>
    <w:rsid w:val="00C51320"/>
    <w:rsid w:val="00C5135A"/>
    <w:rsid w:val="00C5138A"/>
    <w:rsid w:val="00C51485"/>
    <w:rsid w:val="00C514A0"/>
    <w:rsid w:val="00C514EE"/>
    <w:rsid w:val="00C5156C"/>
    <w:rsid w:val="00C516A8"/>
    <w:rsid w:val="00C516CB"/>
    <w:rsid w:val="00C516D3"/>
    <w:rsid w:val="00C5171B"/>
    <w:rsid w:val="00C517D5"/>
    <w:rsid w:val="00C51840"/>
    <w:rsid w:val="00C51911"/>
    <w:rsid w:val="00C51922"/>
    <w:rsid w:val="00C51937"/>
    <w:rsid w:val="00C5198A"/>
    <w:rsid w:val="00C51A11"/>
    <w:rsid w:val="00C51A49"/>
    <w:rsid w:val="00C51A78"/>
    <w:rsid w:val="00C51AE1"/>
    <w:rsid w:val="00C51AEB"/>
    <w:rsid w:val="00C51B21"/>
    <w:rsid w:val="00C51B85"/>
    <w:rsid w:val="00C51BEB"/>
    <w:rsid w:val="00C51C2A"/>
    <w:rsid w:val="00C51C34"/>
    <w:rsid w:val="00C51C72"/>
    <w:rsid w:val="00C51C88"/>
    <w:rsid w:val="00C51D10"/>
    <w:rsid w:val="00C51DFD"/>
    <w:rsid w:val="00C51E2F"/>
    <w:rsid w:val="00C51E4B"/>
    <w:rsid w:val="00C51E65"/>
    <w:rsid w:val="00C51E6E"/>
    <w:rsid w:val="00C51F0E"/>
    <w:rsid w:val="00C51F3F"/>
    <w:rsid w:val="00C51F78"/>
    <w:rsid w:val="00C51F92"/>
    <w:rsid w:val="00C52085"/>
    <w:rsid w:val="00C520A4"/>
    <w:rsid w:val="00C52119"/>
    <w:rsid w:val="00C52145"/>
    <w:rsid w:val="00C5215D"/>
    <w:rsid w:val="00C52170"/>
    <w:rsid w:val="00C5227D"/>
    <w:rsid w:val="00C522C6"/>
    <w:rsid w:val="00C52353"/>
    <w:rsid w:val="00C524B5"/>
    <w:rsid w:val="00C524C9"/>
    <w:rsid w:val="00C5255E"/>
    <w:rsid w:val="00C52580"/>
    <w:rsid w:val="00C525B4"/>
    <w:rsid w:val="00C525FC"/>
    <w:rsid w:val="00C52678"/>
    <w:rsid w:val="00C52692"/>
    <w:rsid w:val="00C52706"/>
    <w:rsid w:val="00C52709"/>
    <w:rsid w:val="00C5270D"/>
    <w:rsid w:val="00C5289D"/>
    <w:rsid w:val="00C52920"/>
    <w:rsid w:val="00C5292A"/>
    <w:rsid w:val="00C5293A"/>
    <w:rsid w:val="00C529C3"/>
    <w:rsid w:val="00C529FA"/>
    <w:rsid w:val="00C52A19"/>
    <w:rsid w:val="00C52A56"/>
    <w:rsid w:val="00C52B35"/>
    <w:rsid w:val="00C52B59"/>
    <w:rsid w:val="00C52B67"/>
    <w:rsid w:val="00C52C0D"/>
    <w:rsid w:val="00C52C9B"/>
    <w:rsid w:val="00C52CB4"/>
    <w:rsid w:val="00C52D5A"/>
    <w:rsid w:val="00C52D5D"/>
    <w:rsid w:val="00C52E18"/>
    <w:rsid w:val="00C52E3E"/>
    <w:rsid w:val="00C52E5B"/>
    <w:rsid w:val="00C52EBE"/>
    <w:rsid w:val="00C52F4B"/>
    <w:rsid w:val="00C52F75"/>
    <w:rsid w:val="00C52F83"/>
    <w:rsid w:val="00C52FA6"/>
    <w:rsid w:val="00C52FB7"/>
    <w:rsid w:val="00C53021"/>
    <w:rsid w:val="00C53033"/>
    <w:rsid w:val="00C531C3"/>
    <w:rsid w:val="00C531CE"/>
    <w:rsid w:val="00C5324B"/>
    <w:rsid w:val="00C53258"/>
    <w:rsid w:val="00C532FA"/>
    <w:rsid w:val="00C53303"/>
    <w:rsid w:val="00C5330B"/>
    <w:rsid w:val="00C5330C"/>
    <w:rsid w:val="00C53394"/>
    <w:rsid w:val="00C5342C"/>
    <w:rsid w:val="00C5350E"/>
    <w:rsid w:val="00C53534"/>
    <w:rsid w:val="00C535AF"/>
    <w:rsid w:val="00C535E2"/>
    <w:rsid w:val="00C53604"/>
    <w:rsid w:val="00C53687"/>
    <w:rsid w:val="00C53720"/>
    <w:rsid w:val="00C53721"/>
    <w:rsid w:val="00C53755"/>
    <w:rsid w:val="00C537BC"/>
    <w:rsid w:val="00C53926"/>
    <w:rsid w:val="00C5394D"/>
    <w:rsid w:val="00C53969"/>
    <w:rsid w:val="00C5399A"/>
    <w:rsid w:val="00C539BB"/>
    <w:rsid w:val="00C53A29"/>
    <w:rsid w:val="00C53ADD"/>
    <w:rsid w:val="00C53BDD"/>
    <w:rsid w:val="00C53C3D"/>
    <w:rsid w:val="00C53C86"/>
    <w:rsid w:val="00C53C9C"/>
    <w:rsid w:val="00C53D0E"/>
    <w:rsid w:val="00C53E71"/>
    <w:rsid w:val="00C53F69"/>
    <w:rsid w:val="00C53FA9"/>
    <w:rsid w:val="00C53FE1"/>
    <w:rsid w:val="00C53FE2"/>
    <w:rsid w:val="00C54071"/>
    <w:rsid w:val="00C541B3"/>
    <w:rsid w:val="00C54230"/>
    <w:rsid w:val="00C54247"/>
    <w:rsid w:val="00C542F9"/>
    <w:rsid w:val="00C54313"/>
    <w:rsid w:val="00C54351"/>
    <w:rsid w:val="00C54392"/>
    <w:rsid w:val="00C543B4"/>
    <w:rsid w:val="00C543D2"/>
    <w:rsid w:val="00C543E9"/>
    <w:rsid w:val="00C5447D"/>
    <w:rsid w:val="00C545B6"/>
    <w:rsid w:val="00C545DA"/>
    <w:rsid w:val="00C545EC"/>
    <w:rsid w:val="00C545FF"/>
    <w:rsid w:val="00C5469F"/>
    <w:rsid w:val="00C546A5"/>
    <w:rsid w:val="00C54747"/>
    <w:rsid w:val="00C5476F"/>
    <w:rsid w:val="00C547BE"/>
    <w:rsid w:val="00C5480C"/>
    <w:rsid w:val="00C54857"/>
    <w:rsid w:val="00C54888"/>
    <w:rsid w:val="00C548DB"/>
    <w:rsid w:val="00C54946"/>
    <w:rsid w:val="00C54985"/>
    <w:rsid w:val="00C54A03"/>
    <w:rsid w:val="00C54A07"/>
    <w:rsid w:val="00C54A28"/>
    <w:rsid w:val="00C54AE5"/>
    <w:rsid w:val="00C54B29"/>
    <w:rsid w:val="00C54BFA"/>
    <w:rsid w:val="00C54CA4"/>
    <w:rsid w:val="00C54D35"/>
    <w:rsid w:val="00C54D6E"/>
    <w:rsid w:val="00C54D8B"/>
    <w:rsid w:val="00C54DAB"/>
    <w:rsid w:val="00C54DB9"/>
    <w:rsid w:val="00C54DBD"/>
    <w:rsid w:val="00C54DDD"/>
    <w:rsid w:val="00C54E21"/>
    <w:rsid w:val="00C54E40"/>
    <w:rsid w:val="00C54E6F"/>
    <w:rsid w:val="00C55013"/>
    <w:rsid w:val="00C5502E"/>
    <w:rsid w:val="00C55049"/>
    <w:rsid w:val="00C550D2"/>
    <w:rsid w:val="00C55105"/>
    <w:rsid w:val="00C55116"/>
    <w:rsid w:val="00C55154"/>
    <w:rsid w:val="00C55197"/>
    <w:rsid w:val="00C5519F"/>
    <w:rsid w:val="00C55216"/>
    <w:rsid w:val="00C5521B"/>
    <w:rsid w:val="00C55250"/>
    <w:rsid w:val="00C552BC"/>
    <w:rsid w:val="00C552F1"/>
    <w:rsid w:val="00C55331"/>
    <w:rsid w:val="00C55382"/>
    <w:rsid w:val="00C553B0"/>
    <w:rsid w:val="00C553B4"/>
    <w:rsid w:val="00C553C8"/>
    <w:rsid w:val="00C553EA"/>
    <w:rsid w:val="00C55402"/>
    <w:rsid w:val="00C554BE"/>
    <w:rsid w:val="00C5558E"/>
    <w:rsid w:val="00C555BE"/>
    <w:rsid w:val="00C555D0"/>
    <w:rsid w:val="00C55808"/>
    <w:rsid w:val="00C5584B"/>
    <w:rsid w:val="00C558D5"/>
    <w:rsid w:val="00C5590D"/>
    <w:rsid w:val="00C55957"/>
    <w:rsid w:val="00C55977"/>
    <w:rsid w:val="00C55B05"/>
    <w:rsid w:val="00C55B8A"/>
    <w:rsid w:val="00C55BAC"/>
    <w:rsid w:val="00C55C10"/>
    <w:rsid w:val="00C55CA4"/>
    <w:rsid w:val="00C55CA6"/>
    <w:rsid w:val="00C55CAF"/>
    <w:rsid w:val="00C55CB6"/>
    <w:rsid w:val="00C55CF2"/>
    <w:rsid w:val="00C55D5D"/>
    <w:rsid w:val="00C55D83"/>
    <w:rsid w:val="00C55D98"/>
    <w:rsid w:val="00C55EAB"/>
    <w:rsid w:val="00C55FBC"/>
    <w:rsid w:val="00C55FCA"/>
    <w:rsid w:val="00C55FE9"/>
    <w:rsid w:val="00C56014"/>
    <w:rsid w:val="00C56024"/>
    <w:rsid w:val="00C56096"/>
    <w:rsid w:val="00C560A7"/>
    <w:rsid w:val="00C560B6"/>
    <w:rsid w:val="00C56105"/>
    <w:rsid w:val="00C56235"/>
    <w:rsid w:val="00C562E0"/>
    <w:rsid w:val="00C5631D"/>
    <w:rsid w:val="00C5635D"/>
    <w:rsid w:val="00C56393"/>
    <w:rsid w:val="00C563A4"/>
    <w:rsid w:val="00C5645D"/>
    <w:rsid w:val="00C5646E"/>
    <w:rsid w:val="00C56499"/>
    <w:rsid w:val="00C564CA"/>
    <w:rsid w:val="00C564DE"/>
    <w:rsid w:val="00C564F0"/>
    <w:rsid w:val="00C5658F"/>
    <w:rsid w:val="00C566B9"/>
    <w:rsid w:val="00C566E2"/>
    <w:rsid w:val="00C5686D"/>
    <w:rsid w:val="00C56872"/>
    <w:rsid w:val="00C5687D"/>
    <w:rsid w:val="00C56896"/>
    <w:rsid w:val="00C568FE"/>
    <w:rsid w:val="00C56912"/>
    <w:rsid w:val="00C56962"/>
    <w:rsid w:val="00C56979"/>
    <w:rsid w:val="00C56999"/>
    <w:rsid w:val="00C569BE"/>
    <w:rsid w:val="00C56A55"/>
    <w:rsid w:val="00C56AE1"/>
    <w:rsid w:val="00C56B2D"/>
    <w:rsid w:val="00C56BC5"/>
    <w:rsid w:val="00C56C22"/>
    <w:rsid w:val="00C56C43"/>
    <w:rsid w:val="00C56C92"/>
    <w:rsid w:val="00C56CFA"/>
    <w:rsid w:val="00C56CFB"/>
    <w:rsid w:val="00C56D1F"/>
    <w:rsid w:val="00C56D67"/>
    <w:rsid w:val="00C56E13"/>
    <w:rsid w:val="00C56E29"/>
    <w:rsid w:val="00C56EB7"/>
    <w:rsid w:val="00C56ED1"/>
    <w:rsid w:val="00C56F63"/>
    <w:rsid w:val="00C56FD4"/>
    <w:rsid w:val="00C56FDD"/>
    <w:rsid w:val="00C57025"/>
    <w:rsid w:val="00C57038"/>
    <w:rsid w:val="00C570B6"/>
    <w:rsid w:val="00C57158"/>
    <w:rsid w:val="00C571F5"/>
    <w:rsid w:val="00C5721F"/>
    <w:rsid w:val="00C57226"/>
    <w:rsid w:val="00C57291"/>
    <w:rsid w:val="00C572DB"/>
    <w:rsid w:val="00C572FF"/>
    <w:rsid w:val="00C57372"/>
    <w:rsid w:val="00C573BA"/>
    <w:rsid w:val="00C57471"/>
    <w:rsid w:val="00C5749C"/>
    <w:rsid w:val="00C5754F"/>
    <w:rsid w:val="00C5759E"/>
    <w:rsid w:val="00C575A3"/>
    <w:rsid w:val="00C575CA"/>
    <w:rsid w:val="00C575CD"/>
    <w:rsid w:val="00C575E7"/>
    <w:rsid w:val="00C57641"/>
    <w:rsid w:val="00C57670"/>
    <w:rsid w:val="00C57687"/>
    <w:rsid w:val="00C57689"/>
    <w:rsid w:val="00C576CE"/>
    <w:rsid w:val="00C576D0"/>
    <w:rsid w:val="00C576D8"/>
    <w:rsid w:val="00C577B8"/>
    <w:rsid w:val="00C577C1"/>
    <w:rsid w:val="00C578C7"/>
    <w:rsid w:val="00C578D7"/>
    <w:rsid w:val="00C57913"/>
    <w:rsid w:val="00C579A1"/>
    <w:rsid w:val="00C57B3B"/>
    <w:rsid w:val="00C57B8F"/>
    <w:rsid w:val="00C57BB3"/>
    <w:rsid w:val="00C57C00"/>
    <w:rsid w:val="00C57C5F"/>
    <w:rsid w:val="00C57C65"/>
    <w:rsid w:val="00C57C94"/>
    <w:rsid w:val="00C57CC2"/>
    <w:rsid w:val="00C57D27"/>
    <w:rsid w:val="00C57D3B"/>
    <w:rsid w:val="00C57D65"/>
    <w:rsid w:val="00C57DBB"/>
    <w:rsid w:val="00C57E42"/>
    <w:rsid w:val="00C57EC7"/>
    <w:rsid w:val="00C57EEA"/>
    <w:rsid w:val="00C57F19"/>
    <w:rsid w:val="00C57F1C"/>
    <w:rsid w:val="00C57F59"/>
    <w:rsid w:val="00C57F9A"/>
    <w:rsid w:val="00C57FB8"/>
    <w:rsid w:val="00C57FBB"/>
    <w:rsid w:val="00C60053"/>
    <w:rsid w:val="00C60054"/>
    <w:rsid w:val="00C60146"/>
    <w:rsid w:val="00C6019F"/>
    <w:rsid w:val="00C601A0"/>
    <w:rsid w:val="00C601B1"/>
    <w:rsid w:val="00C601F5"/>
    <w:rsid w:val="00C60214"/>
    <w:rsid w:val="00C6027A"/>
    <w:rsid w:val="00C6033F"/>
    <w:rsid w:val="00C60355"/>
    <w:rsid w:val="00C6037E"/>
    <w:rsid w:val="00C603CE"/>
    <w:rsid w:val="00C603FC"/>
    <w:rsid w:val="00C6040B"/>
    <w:rsid w:val="00C6041C"/>
    <w:rsid w:val="00C60457"/>
    <w:rsid w:val="00C60516"/>
    <w:rsid w:val="00C60539"/>
    <w:rsid w:val="00C60542"/>
    <w:rsid w:val="00C6056C"/>
    <w:rsid w:val="00C60572"/>
    <w:rsid w:val="00C60577"/>
    <w:rsid w:val="00C6057F"/>
    <w:rsid w:val="00C605F1"/>
    <w:rsid w:val="00C6060B"/>
    <w:rsid w:val="00C6069E"/>
    <w:rsid w:val="00C60706"/>
    <w:rsid w:val="00C6072C"/>
    <w:rsid w:val="00C60786"/>
    <w:rsid w:val="00C607B1"/>
    <w:rsid w:val="00C607FA"/>
    <w:rsid w:val="00C608B1"/>
    <w:rsid w:val="00C60926"/>
    <w:rsid w:val="00C6096E"/>
    <w:rsid w:val="00C609CE"/>
    <w:rsid w:val="00C60A28"/>
    <w:rsid w:val="00C60A45"/>
    <w:rsid w:val="00C60B24"/>
    <w:rsid w:val="00C60B31"/>
    <w:rsid w:val="00C60BEE"/>
    <w:rsid w:val="00C60BF4"/>
    <w:rsid w:val="00C60C1D"/>
    <w:rsid w:val="00C60C25"/>
    <w:rsid w:val="00C60C9A"/>
    <w:rsid w:val="00C60CB7"/>
    <w:rsid w:val="00C60CF8"/>
    <w:rsid w:val="00C60D74"/>
    <w:rsid w:val="00C60DB9"/>
    <w:rsid w:val="00C60DD7"/>
    <w:rsid w:val="00C60E4E"/>
    <w:rsid w:val="00C60E8B"/>
    <w:rsid w:val="00C60F24"/>
    <w:rsid w:val="00C61023"/>
    <w:rsid w:val="00C61031"/>
    <w:rsid w:val="00C610B5"/>
    <w:rsid w:val="00C61141"/>
    <w:rsid w:val="00C611F3"/>
    <w:rsid w:val="00C61216"/>
    <w:rsid w:val="00C61221"/>
    <w:rsid w:val="00C6124D"/>
    <w:rsid w:val="00C6129F"/>
    <w:rsid w:val="00C612B3"/>
    <w:rsid w:val="00C612BF"/>
    <w:rsid w:val="00C6131F"/>
    <w:rsid w:val="00C61399"/>
    <w:rsid w:val="00C613E2"/>
    <w:rsid w:val="00C6145B"/>
    <w:rsid w:val="00C6150E"/>
    <w:rsid w:val="00C6153D"/>
    <w:rsid w:val="00C6155D"/>
    <w:rsid w:val="00C61665"/>
    <w:rsid w:val="00C61712"/>
    <w:rsid w:val="00C61758"/>
    <w:rsid w:val="00C6175B"/>
    <w:rsid w:val="00C6175D"/>
    <w:rsid w:val="00C6177D"/>
    <w:rsid w:val="00C618D4"/>
    <w:rsid w:val="00C61932"/>
    <w:rsid w:val="00C6196E"/>
    <w:rsid w:val="00C6198D"/>
    <w:rsid w:val="00C619F0"/>
    <w:rsid w:val="00C619FB"/>
    <w:rsid w:val="00C61A30"/>
    <w:rsid w:val="00C61A8A"/>
    <w:rsid w:val="00C61AC5"/>
    <w:rsid w:val="00C61B8E"/>
    <w:rsid w:val="00C61C38"/>
    <w:rsid w:val="00C61C72"/>
    <w:rsid w:val="00C61E56"/>
    <w:rsid w:val="00C61E9A"/>
    <w:rsid w:val="00C61ECD"/>
    <w:rsid w:val="00C61EDE"/>
    <w:rsid w:val="00C61EF5"/>
    <w:rsid w:val="00C62115"/>
    <w:rsid w:val="00C6219B"/>
    <w:rsid w:val="00C621DC"/>
    <w:rsid w:val="00C621F0"/>
    <w:rsid w:val="00C621F8"/>
    <w:rsid w:val="00C62250"/>
    <w:rsid w:val="00C6229C"/>
    <w:rsid w:val="00C622E7"/>
    <w:rsid w:val="00C62441"/>
    <w:rsid w:val="00C6244C"/>
    <w:rsid w:val="00C624A0"/>
    <w:rsid w:val="00C6250F"/>
    <w:rsid w:val="00C62520"/>
    <w:rsid w:val="00C6257A"/>
    <w:rsid w:val="00C625A3"/>
    <w:rsid w:val="00C62609"/>
    <w:rsid w:val="00C62634"/>
    <w:rsid w:val="00C62682"/>
    <w:rsid w:val="00C6269B"/>
    <w:rsid w:val="00C626BE"/>
    <w:rsid w:val="00C62774"/>
    <w:rsid w:val="00C62787"/>
    <w:rsid w:val="00C627D2"/>
    <w:rsid w:val="00C62806"/>
    <w:rsid w:val="00C62811"/>
    <w:rsid w:val="00C628C3"/>
    <w:rsid w:val="00C62902"/>
    <w:rsid w:val="00C62941"/>
    <w:rsid w:val="00C62AA4"/>
    <w:rsid w:val="00C62B56"/>
    <w:rsid w:val="00C62BCB"/>
    <w:rsid w:val="00C62BE7"/>
    <w:rsid w:val="00C62C4A"/>
    <w:rsid w:val="00C62C9F"/>
    <w:rsid w:val="00C62CCD"/>
    <w:rsid w:val="00C62D0B"/>
    <w:rsid w:val="00C62D11"/>
    <w:rsid w:val="00C62D17"/>
    <w:rsid w:val="00C62D61"/>
    <w:rsid w:val="00C62D9C"/>
    <w:rsid w:val="00C62E93"/>
    <w:rsid w:val="00C62FFE"/>
    <w:rsid w:val="00C63002"/>
    <w:rsid w:val="00C6301F"/>
    <w:rsid w:val="00C6303B"/>
    <w:rsid w:val="00C630BE"/>
    <w:rsid w:val="00C630F9"/>
    <w:rsid w:val="00C63173"/>
    <w:rsid w:val="00C631CB"/>
    <w:rsid w:val="00C632AA"/>
    <w:rsid w:val="00C6335C"/>
    <w:rsid w:val="00C63389"/>
    <w:rsid w:val="00C633C2"/>
    <w:rsid w:val="00C6342C"/>
    <w:rsid w:val="00C63478"/>
    <w:rsid w:val="00C63533"/>
    <w:rsid w:val="00C635D2"/>
    <w:rsid w:val="00C635E5"/>
    <w:rsid w:val="00C63614"/>
    <w:rsid w:val="00C63653"/>
    <w:rsid w:val="00C63655"/>
    <w:rsid w:val="00C636EF"/>
    <w:rsid w:val="00C63701"/>
    <w:rsid w:val="00C6375C"/>
    <w:rsid w:val="00C637BC"/>
    <w:rsid w:val="00C63810"/>
    <w:rsid w:val="00C63835"/>
    <w:rsid w:val="00C638C8"/>
    <w:rsid w:val="00C63919"/>
    <w:rsid w:val="00C63944"/>
    <w:rsid w:val="00C6394D"/>
    <w:rsid w:val="00C63981"/>
    <w:rsid w:val="00C639CA"/>
    <w:rsid w:val="00C63AC2"/>
    <w:rsid w:val="00C63AD8"/>
    <w:rsid w:val="00C63B1E"/>
    <w:rsid w:val="00C63B3E"/>
    <w:rsid w:val="00C63B6C"/>
    <w:rsid w:val="00C63C38"/>
    <w:rsid w:val="00C63C43"/>
    <w:rsid w:val="00C63CBB"/>
    <w:rsid w:val="00C63CE4"/>
    <w:rsid w:val="00C63CE5"/>
    <w:rsid w:val="00C63CEF"/>
    <w:rsid w:val="00C63CF1"/>
    <w:rsid w:val="00C63D19"/>
    <w:rsid w:val="00C63D4A"/>
    <w:rsid w:val="00C63DF5"/>
    <w:rsid w:val="00C63E5E"/>
    <w:rsid w:val="00C63E6F"/>
    <w:rsid w:val="00C63E84"/>
    <w:rsid w:val="00C63ED5"/>
    <w:rsid w:val="00C63EE8"/>
    <w:rsid w:val="00C6400C"/>
    <w:rsid w:val="00C640AC"/>
    <w:rsid w:val="00C6411E"/>
    <w:rsid w:val="00C6418D"/>
    <w:rsid w:val="00C641E9"/>
    <w:rsid w:val="00C64259"/>
    <w:rsid w:val="00C64292"/>
    <w:rsid w:val="00C6434B"/>
    <w:rsid w:val="00C643EA"/>
    <w:rsid w:val="00C6442E"/>
    <w:rsid w:val="00C644BD"/>
    <w:rsid w:val="00C6450E"/>
    <w:rsid w:val="00C6454A"/>
    <w:rsid w:val="00C64552"/>
    <w:rsid w:val="00C64585"/>
    <w:rsid w:val="00C6459E"/>
    <w:rsid w:val="00C645E7"/>
    <w:rsid w:val="00C64618"/>
    <w:rsid w:val="00C6469B"/>
    <w:rsid w:val="00C647A1"/>
    <w:rsid w:val="00C647B2"/>
    <w:rsid w:val="00C647CF"/>
    <w:rsid w:val="00C6480D"/>
    <w:rsid w:val="00C648B6"/>
    <w:rsid w:val="00C6492E"/>
    <w:rsid w:val="00C64984"/>
    <w:rsid w:val="00C64A39"/>
    <w:rsid w:val="00C64A5D"/>
    <w:rsid w:val="00C64ABA"/>
    <w:rsid w:val="00C64B4D"/>
    <w:rsid w:val="00C64BD9"/>
    <w:rsid w:val="00C64C52"/>
    <w:rsid w:val="00C64C83"/>
    <w:rsid w:val="00C64C8A"/>
    <w:rsid w:val="00C64CAD"/>
    <w:rsid w:val="00C64D04"/>
    <w:rsid w:val="00C64D78"/>
    <w:rsid w:val="00C64D91"/>
    <w:rsid w:val="00C64E23"/>
    <w:rsid w:val="00C64EBA"/>
    <w:rsid w:val="00C64F9B"/>
    <w:rsid w:val="00C6507D"/>
    <w:rsid w:val="00C650BB"/>
    <w:rsid w:val="00C6513C"/>
    <w:rsid w:val="00C6522C"/>
    <w:rsid w:val="00C6535A"/>
    <w:rsid w:val="00C6538B"/>
    <w:rsid w:val="00C6539D"/>
    <w:rsid w:val="00C653AB"/>
    <w:rsid w:val="00C653E3"/>
    <w:rsid w:val="00C65588"/>
    <w:rsid w:val="00C6563C"/>
    <w:rsid w:val="00C6565F"/>
    <w:rsid w:val="00C65694"/>
    <w:rsid w:val="00C656A4"/>
    <w:rsid w:val="00C65721"/>
    <w:rsid w:val="00C657ED"/>
    <w:rsid w:val="00C657FA"/>
    <w:rsid w:val="00C65800"/>
    <w:rsid w:val="00C65875"/>
    <w:rsid w:val="00C658F0"/>
    <w:rsid w:val="00C65917"/>
    <w:rsid w:val="00C6592B"/>
    <w:rsid w:val="00C65930"/>
    <w:rsid w:val="00C65952"/>
    <w:rsid w:val="00C6596E"/>
    <w:rsid w:val="00C65A0D"/>
    <w:rsid w:val="00C65B14"/>
    <w:rsid w:val="00C65B26"/>
    <w:rsid w:val="00C65B51"/>
    <w:rsid w:val="00C65BA0"/>
    <w:rsid w:val="00C65BB2"/>
    <w:rsid w:val="00C65BEF"/>
    <w:rsid w:val="00C65BFF"/>
    <w:rsid w:val="00C65C0A"/>
    <w:rsid w:val="00C65C29"/>
    <w:rsid w:val="00C65C57"/>
    <w:rsid w:val="00C65C7C"/>
    <w:rsid w:val="00C65F12"/>
    <w:rsid w:val="00C65F36"/>
    <w:rsid w:val="00C65F81"/>
    <w:rsid w:val="00C65F8E"/>
    <w:rsid w:val="00C66009"/>
    <w:rsid w:val="00C66024"/>
    <w:rsid w:val="00C6602A"/>
    <w:rsid w:val="00C66111"/>
    <w:rsid w:val="00C66140"/>
    <w:rsid w:val="00C661B9"/>
    <w:rsid w:val="00C66321"/>
    <w:rsid w:val="00C6633E"/>
    <w:rsid w:val="00C66394"/>
    <w:rsid w:val="00C663E6"/>
    <w:rsid w:val="00C66492"/>
    <w:rsid w:val="00C6649F"/>
    <w:rsid w:val="00C66590"/>
    <w:rsid w:val="00C6662F"/>
    <w:rsid w:val="00C6666D"/>
    <w:rsid w:val="00C666AB"/>
    <w:rsid w:val="00C666B7"/>
    <w:rsid w:val="00C666CB"/>
    <w:rsid w:val="00C66719"/>
    <w:rsid w:val="00C66725"/>
    <w:rsid w:val="00C66819"/>
    <w:rsid w:val="00C668A5"/>
    <w:rsid w:val="00C6697F"/>
    <w:rsid w:val="00C66985"/>
    <w:rsid w:val="00C6698B"/>
    <w:rsid w:val="00C669AC"/>
    <w:rsid w:val="00C669D0"/>
    <w:rsid w:val="00C669FA"/>
    <w:rsid w:val="00C66A47"/>
    <w:rsid w:val="00C66A52"/>
    <w:rsid w:val="00C66A5F"/>
    <w:rsid w:val="00C66A91"/>
    <w:rsid w:val="00C66AFC"/>
    <w:rsid w:val="00C66B1F"/>
    <w:rsid w:val="00C66CC8"/>
    <w:rsid w:val="00C66D4B"/>
    <w:rsid w:val="00C66D91"/>
    <w:rsid w:val="00C66DBE"/>
    <w:rsid w:val="00C66DD7"/>
    <w:rsid w:val="00C66E5E"/>
    <w:rsid w:val="00C66E94"/>
    <w:rsid w:val="00C66EB3"/>
    <w:rsid w:val="00C66EB7"/>
    <w:rsid w:val="00C66ED4"/>
    <w:rsid w:val="00C66F21"/>
    <w:rsid w:val="00C66F76"/>
    <w:rsid w:val="00C66F90"/>
    <w:rsid w:val="00C67008"/>
    <w:rsid w:val="00C67062"/>
    <w:rsid w:val="00C670C8"/>
    <w:rsid w:val="00C67154"/>
    <w:rsid w:val="00C67170"/>
    <w:rsid w:val="00C67198"/>
    <w:rsid w:val="00C6733C"/>
    <w:rsid w:val="00C67371"/>
    <w:rsid w:val="00C673ED"/>
    <w:rsid w:val="00C67409"/>
    <w:rsid w:val="00C6740C"/>
    <w:rsid w:val="00C67457"/>
    <w:rsid w:val="00C67460"/>
    <w:rsid w:val="00C6753D"/>
    <w:rsid w:val="00C675BD"/>
    <w:rsid w:val="00C675E3"/>
    <w:rsid w:val="00C67648"/>
    <w:rsid w:val="00C6764A"/>
    <w:rsid w:val="00C67695"/>
    <w:rsid w:val="00C67697"/>
    <w:rsid w:val="00C676B3"/>
    <w:rsid w:val="00C6774F"/>
    <w:rsid w:val="00C67824"/>
    <w:rsid w:val="00C6784F"/>
    <w:rsid w:val="00C6787A"/>
    <w:rsid w:val="00C67883"/>
    <w:rsid w:val="00C678A6"/>
    <w:rsid w:val="00C678FA"/>
    <w:rsid w:val="00C67974"/>
    <w:rsid w:val="00C67AEB"/>
    <w:rsid w:val="00C67B08"/>
    <w:rsid w:val="00C67C0C"/>
    <w:rsid w:val="00C67C6E"/>
    <w:rsid w:val="00C67CBD"/>
    <w:rsid w:val="00C67CD2"/>
    <w:rsid w:val="00C67D6F"/>
    <w:rsid w:val="00C67D80"/>
    <w:rsid w:val="00C67E67"/>
    <w:rsid w:val="00C67F85"/>
    <w:rsid w:val="00C67FD3"/>
    <w:rsid w:val="00C67FD5"/>
    <w:rsid w:val="00C67FF9"/>
    <w:rsid w:val="00C70025"/>
    <w:rsid w:val="00C700E2"/>
    <w:rsid w:val="00C700F1"/>
    <w:rsid w:val="00C7022B"/>
    <w:rsid w:val="00C70256"/>
    <w:rsid w:val="00C70265"/>
    <w:rsid w:val="00C70272"/>
    <w:rsid w:val="00C70281"/>
    <w:rsid w:val="00C702E4"/>
    <w:rsid w:val="00C70355"/>
    <w:rsid w:val="00C70412"/>
    <w:rsid w:val="00C7044B"/>
    <w:rsid w:val="00C7047B"/>
    <w:rsid w:val="00C70488"/>
    <w:rsid w:val="00C704FE"/>
    <w:rsid w:val="00C705CB"/>
    <w:rsid w:val="00C70619"/>
    <w:rsid w:val="00C7066C"/>
    <w:rsid w:val="00C7067C"/>
    <w:rsid w:val="00C706AB"/>
    <w:rsid w:val="00C706B3"/>
    <w:rsid w:val="00C7072D"/>
    <w:rsid w:val="00C707C2"/>
    <w:rsid w:val="00C70817"/>
    <w:rsid w:val="00C70838"/>
    <w:rsid w:val="00C70868"/>
    <w:rsid w:val="00C708A9"/>
    <w:rsid w:val="00C708EE"/>
    <w:rsid w:val="00C70914"/>
    <w:rsid w:val="00C7096E"/>
    <w:rsid w:val="00C70A03"/>
    <w:rsid w:val="00C70A04"/>
    <w:rsid w:val="00C70ADC"/>
    <w:rsid w:val="00C70B10"/>
    <w:rsid w:val="00C70B47"/>
    <w:rsid w:val="00C70B64"/>
    <w:rsid w:val="00C70B93"/>
    <w:rsid w:val="00C70BA6"/>
    <w:rsid w:val="00C70CC3"/>
    <w:rsid w:val="00C70CD2"/>
    <w:rsid w:val="00C70CE1"/>
    <w:rsid w:val="00C70D05"/>
    <w:rsid w:val="00C70D2C"/>
    <w:rsid w:val="00C70D66"/>
    <w:rsid w:val="00C70D6C"/>
    <w:rsid w:val="00C70DB9"/>
    <w:rsid w:val="00C70E48"/>
    <w:rsid w:val="00C70E62"/>
    <w:rsid w:val="00C70ED0"/>
    <w:rsid w:val="00C70F3A"/>
    <w:rsid w:val="00C70F6F"/>
    <w:rsid w:val="00C70FBA"/>
    <w:rsid w:val="00C70FEE"/>
    <w:rsid w:val="00C71024"/>
    <w:rsid w:val="00C7104A"/>
    <w:rsid w:val="00C7107B"/>
    <w:rsid w:val="00C710A8"/>
    <w:rsid w:val="00C710CC"/>
    <w:rsid w:val="00C710E0"/>
    <w:rsid w:val="00C71105"/>
    <w:rsid w:val="00C71171"/>
    <w:rsid w:val="00C71173"/>
    <w:rsid w:val="00C712A6"/>
    <w:rsid w:val="00C712F9"/>
    <w:rsid w:val="00C71474"/>
    <w:rsid w:val="00C71496"/>
    <w:rsid w:val="00C714BC"/>
    <w:rsid w:val="00C716D0"/>
    <w:rsid w:val="00C716D4"/>
    <w:rsid w:val="00C716DD"/>
    <w:rsid w:val="00C71776"/>
    <w:rsid w:val="00C717C9"/>
    <w:rsid w:val="00C717F8"/>
    <w:rsid w:val="00C719E7"/>
    <w:rsid w:val="00C71A3B"/>
    <w:rsid w:val="00C71AC0"/>
    <w:rsid w:val="00C71B36"/>
    <w:rsid w:val="00C71C59"/>
    <w:rsid w:val="00C71C70"/>
    <w:rsid w:val="00C71C8B"/>
    <w:rsid w:val="00C71D29"/>
    <w:rsid w:val="00C71D40"/>
    <w:rsid w:val="00C71D6D"/>
    <w:rsid w:val="00C71D84"/>
    <w:rsid w:val="00C71D88"/>
    <w:rsid w:val="00C71DE2"/>
    <w:rsid w:val="00C71DF7"/>
    <w:rsid w:val="00C71E27"/>
    <w:rsid w:val="00C71E33"/>
    <w:rsid w:val="00C71E5E"/>
    <w:rsid w:val="00C71E95"/>
    <w:rsid w:val="00C71F0B"/>
    <w:rsid w:val="00C71F15"/>
    <w:rsid w:val="00C71FAF"/>
    <w:rsid w:val="00C720A2"/>
    <w:rsid w:val="00C720E1"/>
    <w:rsid w:val="00C720FC"/>
    <w:rsid w:val="00C72130"/>
    <w:rsid w:val="00C7214F"/>
    <w:rsid w:val="00C72159"/>
    <w:rsid w:val="00C721C3"/>
    <w:rsid w:val="00C72250"/>
    <w:rsid w:val="00C722D9"/>
    <w:rsid w:val="00C72301"/>
    <w:rsid w:val="00C7233E"/>
    <w:rsid w:val="00C723CD"/>
    <w:rsid w:val="00C723E4"/>
    <w:rsid w:val="00C724AC"/>
    <w:rsid w:val="00C724DD"/>
    <w:rsid w:val="00C7251E"/>
    <w:rsid w:val="00C72541"/>
    <w:rsid w:val="00C72595"/>
    <w:rsid w:val="00C725D9"/>
    <w:rsid w:val="00C72643"/>
    <w:rsid w:val="00C72735"/>
    <w:rsid w:val="00C7273C"/>
    <w:rsid w:val="00C7274A"/>
    <w:rsid w:val="00C727AC"/>
    <w:rsid w:val="00C727AE"/>
    <w:rsid w:val="00C727FE"/>
    <w:rsid w:val="00C7283B"/>
    <w:rsid w:val="00C72843"/>
    <w:rsid w:val="00C72853"/>
    <w:rsid w:val="00C7286D"/>
    <w:rsid w:val="00C72951"/>
    <w:rsid w:val="00C72991"/>
    <w:rsid w:val="00C7299A"/>
    <w:rsid w:val="00C729BB"/>
    <w:rsid w:val="00C72A3D"/>
    <w:rsid w:val="00C72A43"/>
    <w:rsid w:val="00C72AD1"/>
    <w:rsid w:val="00C72AEB"/>
    <w:rsid w:val="00C72B31"/>
    <w:rsid w:val="00C72BBA"/>
    <w:rsid w:val="00C72BE1"/>
    <w:rsid w:val="00C72C73"/>
    <w:rsid w:val="00C72C8C"/>
    <w:rsid w:val="00C72CA3"/>
    <w:rsid w:val="00C72CB0"/>
    <w:rsid w:val="00C72D42"/>
    <w:rsid w:val="00C72D93"/>
    <w:rsid w:val="00C72E82"/>
    <w:rsid w:val="00C72E89"/>
    <w:rsid w:val="00C72EB7"/>
    <w:rsid w:val="00C72F44"/>
    <w:rsid w:val="00C73022"/>
    <w:rsid w:val="00C73061"/>
    <w:rsid w:val="00C730FC"/>
    <w:rsid w:val="00C7313F"/>
    <w:rsid w:val="00C73165"/>
    <w:rsid w:val="00C73193"/>
    <w:rsid w:val="00C73204"/>
    <w:rsid w:val="00C73228"/>
    <w:rsid w:val="00C733AD"/>
    <w:rsid w:val="00C734B2"/>
    <w:rsid w:val="00C734BF"/>
    <w:rsid w:val="00C734E7"/>
    <w:rsid w:val="00C734FC"/>
    <w:rsid w:val="00C73574"/>
    <w:rsid w:val="00C73578"/>
    <w:rsid w:val="00C735CE"/>
    <w:rsid w:val="00C735DD"/>
    <w:rsid w:val="00C735EB"/>
    <w:rsid w:val="00C73621"/>
    <w:rsid w:val="00C73682"/>
    <w:rsid w:val="00C73716"/>
    <w:rsid w:val="00C737A5"/>
    <w:rsid w:val="00C7381B"/>
    <w:rsid w:val="00C73A3B"/>
    <w:rsid w:val="00C73A55"/>
    <w:rsid w:val="00C73A9E"/>
    <w:rsid w:val="00C73AFF"/>
    <w:rsid w:val="00C73B02"/>
    <w:rsid w:val="00C73B77"/>
    <w:rsid w:val="00C73B93"/>
    <w:rsid w:val="00C73C4D"/>
    <w:rsid w:val="00C73E50"/>
    <w:rsid w:val="00C73E57"/>
    <w:rsid w:val="00C73EB1"/>
    <w:rsid w:val="00C73EE5"/>
    <w:rsid w:val="00C73EED"/>
    <w:rsid w:val="00C73FCD"/>
    <w:rsid w:val="00C73FE1"/>
    <w:rsid w:val="00C7400A"/>
    <w:rsid w:val="00C7402D"/>
    <w:rsid w:val="00C7405E"/>
    <w:rsid w:val="00C74077"/>
    <w:rsid w:val="00C740E0"/>
    <w:rsid w:val="00C742E1"/>
    <w:rsid w:val="00C742EE"/>
    <w:rsid w:val="00C74302"/>
    <w:rsid w:val="00C7433C"/>
    <w:rsid w:val="00C743D0"/>
    <w:rsid w:val="00C74429"/>
    <w:rsid w:val="00C744E5"/>
    <w:rsid w:val="00C74536"/>
    <w:rsid w:val="00C745BB"/>
    <w:rsid w:val="00C745C8"/>
    <w:rsid w:val="00C747D5"/>
    <w:rsid w:val="00C7481C"/>
    <w:rsid w:val="00C748AE"/>
    <w:rsid w:val="00C748B6"/>
    <w:rsid w:val="00C748C0"/>
    <w:rsid w:val="00C74983"/>
    <w:rsid w:val="00C749DE"/>
    <w:rsid w:val="00C74A0D"/>
    <w:rsid w:val="00C74AE4"/>
    <w:rsid w:val="00C74B2E"/>
    <w:rsid w:val="00C74B42"/>
    <w:rsid w:val="00C74B45"/>
    <w:rsid w:val="00C74B89"/>
    <w:rsid w:val="00C74BDA"/>
    <w:rsid w:val="00C74BF8"/>
    <w:rsid w:val="00C74C0A"/>
    <w:rsid w:val="00C74C3B"/>
    <w:rsid w:val="00C74CF9"/>
    <w:rsid w:val="00C74DBB"/>
    <w:rsid w:val="00C74EC8"/>
    <w:rsid w:val="00C74EF5"/>
    <w:rsid w:val="00C74F76"/>
    <w:rsid w:val="00C74FE7"/>
    <w:rsid w:val="00C74FEB"/>
    <w:rsid w:val="00C75038"/>
    <w:rsid w:val="00C75080"/>
    <w:rsid w:val="00C750A2"/>
    <w:rsid w:val="00C750C6"/>
    <w:rsid w:val="00C750C7"/>
    <w:rsid w:val="00C750FA"/>
    <w:rsid w:val="00C752D9"/>
    <w:rsid w:val="00C75443"/>
    <w:rsid w:val="00C754C6"/>
    <w:rsid w:val="00C754CB"/>
    <w:rsid w:val="00C754F1"/>
    <w:rsid w:val="00C755A0"/>
    <w:rsid w:val="00C755C3"/>
    <w:rsid w:val="00C755D2"/>
    <w:rsid w:val="00C755DE"/>
    <w:rsid w:val="00C755EB"/>
    <w:rsid w:val="00C75602"/>
    <w:rsid w:val="00C75634"/>
    <w:rsid w:val="00C7569D"/>
    <w:rsid w:val="00C756DB"/>
    <w:rsid w:val="00C75708"/>
    <w:rsid w:val="00C757DB"/>
    <w:rsid w:val="00C757E4"/>
    <w:rsid w:val="00C757EC"/>
    <w:rsid w:val="00C75893"/>
    <w:rsid w:val="00C75920"/>
    <w:rsid w:val="00C75942"/>
    <w:rsid w:val="00C75977"/>
    <w:rsid w:val="00C759D2"/>
    <w:rsid w:val="00C75A69"/>
    <w:rsid w:val="00C75AB1"/>
    <w:rsid w:val="00C75B60"/>
    <w:rsid w:val="00C75B8E"/>
    <w:rsid w:val="00C75BD6"/>
    <w:rsid w:val="00C75D07"/>
    <w:rsid w:val="00C75E1A"/>
    <w:rsid w:val="00C75EA8"/>
    <w:rsid w:val="00C75ED5"/>
    <w:rsid w:val="00C75EE1"/>
    <w:rsid w:val="00C75F00"/>
    <w:rsid w:val="00C75F1D"/>
    <w:rsid w:val="00C75F9B"/>
    <w:rsid w:val="00C75FAA"/>
    <w:rsid w:val="00C75FB6"/>
    <w:rsid w:val="00C76061"/>
    <w:rsid w:val="00C760A0"/>
    <w:rsid w:val="00C76201"/>
    <w:rsid w:val="00C76221"/>
    <w:rsid w:val="00C76226"/>
    <w:rsid w:val="00C7623F"/>
    <w:rsid w:val="00C7626B"/>
    <w:rsid w:val="00C762BD"/>
    <w:rsid w:val="00C762CC"/>
    <w:rsid w:val="00C76318"/>
    <w:rsid w:val="00C76343"/>
    <w:rsid w:val="00C7636D"/>
    <w:rsid w:val="00C76377"/>
    <w:rsid w:val="00C7639B"/>
    <w:rsid w:val="00C763D1"/>
    <w:rsid w:val="00C763F7"/>
    <w:rsid w:val="00C76539"/>
    <w:rsid w:val="00C76552"/>
    <w:rsid w:val="00C7662E"/>
    <w:rsid w:val="00C7664A"/>
    <w:rsid w:val="00C76683"/>
    <w:rsid w:val="00C7669D"/>
    <w:rsid w:val="00C767AB"/>
    <w:rsid w:val="00C767B6"/>
    <w:rsid w:val="00C767E9"/>
    <w:rsid w:val="00C7682F"/>
    <w:rsid w:val="00C7685D"/>
    <w:rsid w:val="00C76860"/>
    <w:rsid w:val="00C76910"/>
    <w:rsid w:val="00C76922"/>
    <w:rsid w:val="00C7693E"/>
    <w:rsid w:val="00C76961"/>
    <w:rsid w:val="00C769ED"/>
    <w:rsid w:val="00C769EE"/>
    <w:rsid w:val="00C76ADC"/>
    <w:rsid w:val="00C76AE7"/>
    <w:rsid w:val="00C76BB9"/>
    <w:rsid w:val="00C76BE9"/>
    <w:rsid w:val="00C76BEF"/>
    <w:rsid w:val="00C76BF9"/>
    <w:rsid w:val="00C76C1B"/>
    <w:rsid w:val="00C76C2E"/>
    <w:rsid w:val="00C76CC9"/>
    <w:rsid w:val="00C76D19"/>
    <w:rsid w:val="00C76D4B"/>
    <w:rsid w:val="00C76D71"/>
    <w:rsid w:val="00C76DA8"/>
    <w:rsid w:val="00C76DDB"/>
    <w:rsid w:val="00C76E19"/>
    <w:rsid w:val="00C76E25"/>
    <w:rsid w:val="00C76E9A"/>
    <w:rsid w:val="00C76E9C"/>
    <w:rsid w:val="00C76EBF"/>
    <w:rsid w:val="00C76F2A"/>
    <w:rsid w:val="00C76F2B"/>
    <w:rsid w:val="00C76F2F"/>
    <w:rsid w:val="00C76F35"/>
    <w:rsid w:val="00C76F5E"/>
    <w:rsid w:val="00C76F6C"/>
    <w:rsid w:val="00C76F6F"/>
    <w:rsid w:val="00C76FA0"/>
    <w:rsid w:val="00C76FC1"/>
    <w:rsid w:val="00C76FC9"/>
    <w:rsid w:val="00C77081"/>
    <w:rsid w:val="00C770CC"/>
    <w:rsid w:val="00C77161"/>
    <w:rsid w:val="00C77171"/>
    <w:rsid w:val="00C77181"/>
    <w:rsid w:val="00C77229"/>
    <w:rsid w:val="00C77245"/>
    <w:rsid w:val="00C7729C"/>
    <w:rsid w:val="00C77309"/>
    <w:rsid w:val="00C77487"/>
    <w:rsid w:val="00C774DF"/>
    <w:rsid w:val="00C77505"/>
    <w:rsid w:val="00C7752F"/>
    <w:rsid w:val="00C77549"/>
    <w:rsid w:val="00C7758E"/>
    <w:rsid w:val="00C7769A"/>
    <w:rsid w:val="00C776FF"/>
    <w:rsid w:val="00C77828"/>
    <w:rsid w:val="00C77898"/>
    <w:rsid w:val="00C778EF"/>
    <w:rsid w:val="00C77986"/>
    <w:rsid w:val="00C779B0"/>
    <w:rsid w:val="00C77A05"/>
    <w:rsid w:val="00C77A44"/>
    <w:rsid w:val="00C77A9B"/>
    <w:rsid w:val="00C77B4B"/>
    <w:rsid w:val="00C77B4D"/>
    <w:rsid w:val="00C77B86"/>
    <w:rsid w:val="00C77C6E"/>
    <w:rsid w:val="00C77CBD"/>
    <w:rsid w:val="00C77CC0"/>
    <w:rsid w:val="00C77D39"/>
    <w:rsid w:val="00C77DCE"/>
    <w:rsid w:val="00C77E3C"/>
    <w:rsid w:val="00C77E91"/>
    <w:rsid w:val="00C77EE0"/>
    <w:rsid w:val="00C77FA8"/>
    <w:rsid w:val="00C77FC8"/>
    <w:rsid w:val="00C8000E"/>
    <w:rsid w:val="00C80037"/>
    <w:rsid w:val="00C80046"/>
    <w:rsid w:val="00C80085"/>
    <w:rsid w:val="00C800EC"/>
    <w:rsid w:val="00C800F2"/>
    <w:rsid w:val="00C8016E"/>
    <w:rsid w:val="00C80181"/>
    <w:rsid w:val="00C801B4"/>
    <w:rsid w:val="00C801D9"/>
    <w:rsid w:val="00C801E7"/>
    <w:rsid w:val="00C801F4"/>
    <w:rsid w:val="00C8033F"/>
    <w:rsid w:val="00C80344"/>
    <w:rsid w:val="00C803BB"/>
    <w:rsid w:val="00C803CF"/>
    <w:rsid w:val="00C80444"/>
    <w:rsid w:val="00C805DF"/>
    <w:rsid w:val="00C805E0"/>
    <w:rsid w:val="00C805F2"/>
    <w:rsid w:val="00C80635"/>
    <w:rsid w:val="00C80641"/>
    <w:rsid w:val="00C80719"/>
    <w:rsid w:val="00C807B3"/>
    <w:rsid w:val="00C808B8"/>
    <w:rsid w:val="00C809D5"/>
    <w:rsid w:val="00C80A71"/>
    <w:rsid w:val="00C80AA9"/>
    <w:rsid w:val="00C80B79"/>
    <w:rsid w:val="00C80C18"/>
    <w:rsid w:val="00C80C28"/>
    <w:rsid w:val="00C80C65"/>
    <w:rsid w:val="00C80D34"/>
    <w:rsid w:val="00C80E1B"/>
    <w:rsid w:val="00C80E3A"/>
    <w:rsid w:val="00C80E8B"/>
    <w:rsid w:val="00C80EC9"/>
    <w:rsid w:val="00C80ED4"/>
    <w:rsid w:val="00C80F47"/>
    <w:rsid w:val="00C80F6F"/>
    <w:rsid w:val="00C80FC7"/>
    <w:rsid w:val="00C80FD8"/>
    <w:rsid w:val="00C81017"/>
    <w:rsid w:val="00C8102E"/>
    <w:rsid w:val="00C81054"/>
    <w:rsid w:val="00C8105C"/>
    <w:rsid w:val="00C8105E"/>
    <w:rsid w:val="00C81074"/>
    <w:rsid w:val="00C810B7"/>
    <w:rsid w:val="00C810F2"/>
    <w:rsid w:val="00C810FE"/>
    <w:rsid w:val="00C8115E"/>
    <w:rsid w:val="00C811A4"/>
    <w:rsid w:val="00C811DB"/>
    <w:rsid w:val="00C811DD"/>
    <w:rsid w:val="00C811F5"/>
    <w:rsid w:val="00C81235"/>
    <w:rsid w:val="00C81245"/>
    <w:rsid w:val="00C8124F"/>
    <w:rsid w:val="00C8127F"/>
    <w:rsid w:val="00C81293"/>
    <w:rsid w:val="00C812A2"/>
    <w:rsid w:val="00C812F2"/>
    <w:rsid w:val="00C81382"/>
    <w:rsid w:val="00C81394"/>
    <w:rsid w:val="00C8146D"/>
    <w:rsid w:val="00C81564"/>
    <w:rsid w:val="00C815DB"/>
    <w:rsid w:val="00C815EA"/>
    <w:rsid w:val="00C8162D"/>
    <w:rsid w:val="00C81673"/>
    <w:rsid w:val="00C816F8"/>
    <w:rsid w:val="00C8171A"/>
    <w:rsid w:val="00C81782"/>
    <w:rsid w:val="00C8179D"/>
    <w:rsid w:val="00C817C4"/>
    <w:rsid w:val="00C81845"/>
    <w:rsid w:val="00C81851"/>
    <w:rsid w:val="00C81870"/>
    <w:rsid w:val="00C81884"/>
    <w:rsid w:val="00C8189E"/>
    <w:rsid w:val="00C818B2"/>
    <w:rsid w:val="00C818F6"/>
    <w:rsid w:val="00C81907"/>
    <w:rsid w:val="00C8191D"/>
    <w:rsid w:val="00C81966"/>
    <w:rsid w:val="00C81B4E"/>
    <w:rsid w:val="00C81B81"/>
    <w:rsid w:val="00C81C02"/>
    <w:rsid w:val="00C81CA3"/>
    <w:rsid w:val="00C81CC6"/>
    <w:rsid w:val="00C81D2A"/>
    <w:rsid w:val="00C81D78"/>
    <w:rsid w:val="00C81D8F"/>
    <w:rsid w:val="00C81D98"/>
    <w:rsid w:val="00C81DBB"/>
    <w:rsid w:val="00C81DE8"/>
    <w:rsid w:val="00C81DF6"/>
    <w:rsid w:val="00C81E5B"/>
    <w:rsid w:val="00C81E71"/>
    <w:rsid w:val="00C81EE4"/>
    <w:rsid w:val="00C81EFB"/>
    <w:rsid w:val="00C81F43"/>
    <w:rsid w:val="00C81F6E"/>
    <w:rsid w:val="00C82064"/>
    <w:rsid w:val="00C8209D"/>
    <w:rsid w:val="00C820B8"/>
    <w:rsid w:val="00C820D5"/>
    <w:rsid w:val="00C82169"/>
    <w:rsid w:val="00C8224E"/>
    <w:rsid w:val="00C82277"/>
    <w:rsid w:val="00C8232C"/>
    <w:rsid w:val="00C823E9"/>
    <w:rsid w:val="00C82479"/>
    <w:rsid w:val="00C82494"/>
    <w:rsid w:val="00C824E6"/>
    <w:rsid w:val="00C8258C"/>
    <w:rsid w:val="00C825B8"/>
    <w:rsid w:val="00C825BA"/>
    <w:rsid w:val="00C82666"/>
    <w:rsid w:val="00C8278B"/>
    <w:rsid w:val="00C82876"/>
    <w:rsid w:val="00C8287C"/>
    <w:rsid w:val="00C82891"/>
    <w:rsid w:val="00C828AA"/>
    <w:rsid w:val="00C82902"/>
    <w:rsid w:val="00C82962"/>
    <w:rsid w:val="00C82968"/>
    <w:rsid w:val="00C829EE"/>
    <w:rsid w:val="00C82A9F"/>
    <w:rsid w:val="00C82AC9"/>
    <w:rsid w:val="00C82AD8"/>
    <w:rsid w:val="00C82B60"/>
    <w:rsid w:val="00C82B6B"/>
    <w:rsid w:val="00C82B9D"/>
    <w:rsid w:val="00C82BD7"/>
    <w:rsid w:val="00C82BF5"/>
    <w:rsid w:val="00C82CEA"/>
    <w:rsid w:val="00C82D16"/>
    <w:rsid w:val="00C82D4C"/>
    <w:rsid w:val="00C82D51"/>
    <w:rsid w:val="00C82D6E"/>
    <w:rsid w:val="00C82F18"/>
    <w:rsid w:val="00C82FB9"/>
    <w:rsid w:val="00C82FF4"/>
    <w:rsid w:val="00C83008"/>
    <w:rsid w:val="00C8301B"/>
    <w:rsid w:val="00C83022"/>
    <w:rsid w:val="00C8310F"/>
    <w:rsid w:val="00C831A8"/>
    <w:rsid w:val="00C831D4"/>
    <w:rsid w:val="00C8325E"/>
    <w:rsid w:val="00C83295"/>
    <w:rsid w:val="00C83319"/>
    <w:rsid w:val="00C83355"/>
    <w:rsid w:val="00C8335E"/>
    <w:rsid w:val="00C833C5"/>
    <w:rsid w:val="00C83406"/>
    <w:rsid w:val="00C834D1"/>
    <w:rsid w:val="00C835A9"/>
    <w:rsid w:val="00C8362C"/>
    <w:rsid w:val="00C83641"/>
    <w:rsid w:val="00C83642"/>
    <w:rsid w:val="00C836DA"/>
    <w:rsid w:val="00C83700"/>
    <w:rsid w:val="00C8373E"/>
    <w:rsid w:val="00C83742"/>
    <w:rsid w:val="00C83748"/>
    <w:rsid w:val="00C83792"/>
    <w:rsid w:val="00C83945"/>
    <w:rsid w:val="00C83982"/>
    <w:rsid w:val="00C83AE4"/>
    <w:rsid w:val="00C83AFF"/>
    <w:rsid w:val="00C83BDB"/>
    <w:rsid w:val="00C83BFD"/>
    <w:rsid w:val="00C83C2D"/>
    <w:rsid w:val="00C83C6C"/>
    <w:rsid w:val="00C83C8C"/>
    <w:rsid w:val="00C83C9E"/>
    <w:rsid w:val="00C83CCF"/>
    <w:rsid w:val="00C83D89"/>
    <w:rsid w:val="00C83DB9"/>
    <w:rsid w:val="00C83E09"/>
    <w:rsid w:val="00C83E18"/>
    <w:rsid w:val="00C83E93"/>
    <w:rsid w:val="00C83F78"/>
    <w:rsid w:val="00C84065"/>
    <w:rsid w:val="00C84214"/>
    <w:rsid w:val="00C84216"/>
    <w:rsid w:val="00C84291"/>
    <w:rsid w:val="00C842DC"/>
    <w:rsid w:val="00C842E9"/>
    <w:rsid w:val="00C84326"/>
    <w:rsid w:val="00C843BE"/>
    <w:rsid w:val="00C843BF"/>
    <w:rsid w:val="00C843CC"/>
    <w:rsid w:val="00C843D1"/>
    <w:rsid w:val="00C843DA"/>
    <w:rsid w:val="00C843DB"/>
    <w:rsid w:val="00C8440F"/>
    <w:rsid w:val="00C84433"/>
    <w:rsid w:val="00C8446F"/>
    <w:rsid w:val="00C844EE"/>
    <w:rsid w:val="00C84506"/>
    <w:rsid w:val="00C8457A"/>
    <w:rsid w:val="00C845BB"/>
    <w:rsid w:val="00C8460C"/>
    <w:rsid w:val="00C846E2"/>
    <w:rsid w:val="00C84714"/>
    <w:rsid w:val="00C847CA"/>
    <w:rsid w:val="00C847EA"/>
    <w:rsid w:val="00C847EF"/>
    <w:rsid w:val="00C848CD"/>
    <w:rsid w:val="00C848D9"/>
    <w:rsid w:val="00C84959"/>
    <w:rsid w:val="00C849BE"/>
    <w:rsid w:val="00C84A12"/>
    <w:rsid w:val="00C84A40"/>
    <w:rsid w:val="00C84AF8"/>
    <w:rsid w:val="00C84B2B"/>
    <w:rsid w:val="00C84C0F"/>
    <w:rsid w:val="00C84C2F"/>
    <w:rsid w:val="00C84C5C"/>
    <w:rsid w:val="00C84C73"/>
    <w:rsid w:val="00C84CB7"/>
    <w:rsid w:val="00C84CBA"/>
    <w:rsid w:val="00C84D09"/>
    <w:rsid w:val="00C84D11"/>
    <w:rsid w:val="00C84DF3"/>
    <w:rsid w:val="00C84E3C"/>
    <w:rsid w:val="00C84E7F"/>
    <w:rsid w:val="00C84EAB"/>
    <w:rsid w:val="00C84EB2"/>
    <w:rsid w:val="00C84F52"/>
    <w:rsid w:val="00C84FA8"/>
    <w:rsid w:val="00C84FC6"/>
    <w:rsid w:val="00C85017"/>
    <w:rsid w:val="00C850EF"/>
    <w:rsid w:val="00C8516E"/>
    <w:rsid w:val="00C8527D"/>
    <w:rsid w:val="00C85346"/>
    <w:rsid w:val="00C853F0"/>
    <w:rsid w:val="00C8540C"/>
    <w:rsid w:val="00C85429"/>
    <w:rsid w:val="00C85477"/>
    <w:rsid w:val="00C8547B"/>
    <w:rsid w:val="00C85495"/>
    <w:rsid w:val="00C854D3"/>
    <w:rsid w:val="00C854FA"/>
    <w:rsid w:val="00C8551E"/>
    <w:rsid w:val="00C8566A"/>
    <w:rsid w:val="00C85671"/>
    <w:rsid w:val="00C856BF"/>
    <w:rsid w:val="00C85777"/>
    <w:rsid w:val="00C8579C"/>
    <w:rsid w:val="00C858AF"/>
    <w:rsid w:val="00C8594B"/>
    <w:rsid w:val="00C85957"/>
    <w:rsid w:val="00C85976"/>
    <w:rsid w:val="00C8597C"/>
    <w:rsid w:val="00C859FB"/>
    <w:rsid w:val="00C85AA1"/>
    <w:rsid w:val="00C85ABC"/>
    <w:rsid w:val="00C85AC2"/>
    <w:rsid w:val="00C85ACC"/>
    <w:rsid w:val="00C85ACF"/>
    <w:rsid w:val="00C85AD8"/>
    <w:rsid w:val="00C85B05"/>
    <w:rsid w:val="00C85B13"/>
    <w:rsid w:val="00C85C10"/>
    <w:rsid w:val="00C85C15"/>
    <w:rsid w:val="00C85D83"/>
    <w:rsid w:val="00C85E17"/>
    <w:rsid w:val="00C85E73"/>
    <w:rsid w:val="00C85EEE"/>
    <w:rsid w:val="00C85EFE"/>
    <w:rsid w:val="00C85F0F"/>
    <w:rsid w:val="00C85F2A"/>
    <w:rsid w:val="00C85F84"/>
    <w:rsid w:val="00C85FE5"/>
    <w:rsid w:val="00C86037"/>
    <w:rsid w:val="00C860A0"/>
    <w:rsid w:val="00C860BB"/>
    <w:rsid w:val="00C8618F"/>
    <w:rsid w:val="00C8625F"/>
    <w:rsid w:val="00C86288"/>
    <w:rsid w:val="00C862C6"/>
    <w:rsid w:val="00C862E7"/>
    <w:rsid w:val="00C8632B"/>
    <w:rsid w:val="00C86353"/>
    <w:rsid w:val="00C86367"/>
    <w:rsid w:val="00C8636D"/>
    <w:rsid w:val="00C863CF"/>
    <w:rsid w:val="00C863F2"/>
    <w:rsid w:val="00C863FA"/>
    <w:rsid w:val="00C8640B"/>
    <w:rsid w:val="00C86426"/>
    <w:rsid w:val="00C8645F"/>
    <w:rsid w:val="00C8648A"/>
    <w:rsid w:val="00C86510"/>
    <w:rsid w:val="00C865A6"/>
    <w:rsid w:val="00C865B5"/>
    <w:rsid w:val="00C865F7"/>
    <w:rsid w:val="00C86601"/>
    <w:rsid w:val="00C866A7"/>
    <w:rsid w:val="00C866C5"/>
    <w:rsid w:val="00C86788"/>
    <w:rsid w:val="00C867B2"/>
    <w:rsid w:val="00C867BB"/>
    <w:rsid w:val="00C867C8"/>
    <w:rsid w:val="00C867DE"/>
    <w:rsid w:val="00C8681B"/>
    <w:rsid w:val="00C86846"/>
    <w:rsid w:val="00C8684D"/>
    <w:rsid w:val="00C8688C"/>
    <w:rsid w:val="00C8690B"/>
    <w:rsid w:val="00C8699E"/>
    <w:rsid w:val="00C869A4"/>
    <w:rsid w:val="00C869DB"/>
    <w:rsid w:val="00C86A20"/>
    <w:rsid w:val="00C86A3A"/>
    <w:rsid w:val="00C86A4F"/>
    <w:rsid w:val="00C86B35"/>
    <w:rsid w:val="00C86B50"/>
    <w:rsid w:val="00C86B7C"/>
    <w:rsid w:val="00C86C3E"/>
    <w:rsid w:val="00C86C4E"/>
    <w:rsid w:val="00C86D41"/>
    <w:rsid w:val="00C86D4B"/>
    <w:rsid w:val="00C86D6F"/>
    <w:rsid w:val="00C86D73"/>
    <w:rsid w:val="00C86E60"/>
    <w:rsid w:val="00C86E90"/>
    <w:rsid w:val="00C86ED1"/>
    <w:rsid w:val="00C86F38"/>
    <w:rsid w:val="00C86F7D"/>
    <w:rsid w:val="00C86FDB"/>
    <w:rsid w:val="00C8708C"/>
    <w:rsid w:val="00C871A6"/>
    <w:rsid w:val="00C871BC"/>
    <w:rsid w:val="00C871CA"/>
    <w:rsid w:val="00C871CB"/>
    <w:rsid w:val="00C872C0"/>
    <w:rsid w:val="00C87327"/>
    <w:rsid w:val="00C87339"/>
    <w:rsid w:val="00C8737B"/>
    <w:rsid w:val="00C873A8"/>
    <w:rsid w:val="00C873D4"/>
    <w:rsid w:val="00C873E6"/>
    <w:rsid w:val="00C87454"/>
    <w:rsid w:val="00C874A3"/>
    <w:rsid w:val="00C874AE"/>
    <w:rsid w:val="00C87563"/>
    <w:rsid w:val="00C87579"/>
    <w:rsid w:val="00C875C1"/>
    <w:rsid w:val="00C875E9"/>
    <w:rsid w:val="00C87628"/>
    <w:rsid w:val="00C876D3"/>
    <w:rsid w:val="00C87790"/>
    <w:rsid w:val="00C877FA"/>
    <w:rsid w:val="00C87853"/>
    <w:rsid w:val="00C87894"/>
    <w:rsid w:val="00C878D1"/>
    <w:rsid w:val="00C87979"/>
    <w:rsid w:val="00C879C8"/>
    <w:rsid w:val="00C87AB2"/>
    <w:rsid w:val="00C87ABD"/>
    <w:rsid w:val="00C87AE2"/>
    <w:rsid w:val="00C87AF8"/>
    <w:rsid w:val="00C87B04"/>
    <w:rsid w:val="00C87B78"/>
    <w:rsid w:val="00C87B80"/>
    <w:rsid w:val="00C87B85"/>
    <w:rsid w:val="00C87BAB"/>
    <w:rsid w:val="00C87BE1"/>
    <w:rsid w:val="00C87C34"/>
    <w:rsid w:val="00C87CD3"/>
    <w:rsid w:val="00C87CDF"/>
    <w:rsid w:val="00C87D1D"/>
    <w:rsid w:val="00C87D98"/>
    <w:rsid w:val="00C87DA6"/>
    <w:rsid w:val="00C87DED"/>
    <w:rsid w:val="00C87DF1"/>
    <w:rsid w:val="00C87E33"/>
    <w:rsid w:val="00C87E86"/>
    <w:rsid w:val="00C87F22"/>
    <w:rsid w:val="00C87F3E"/>
    <w:rsid w:val="00C87F50"/>
    <w:rsid w:val="00C87FD0"/>
    <w:rsid w:val="00C87FE0"/>
    <w:rsid w:val="00C900C7"/>
    <w:rsid w:val="00C900D8"/>
    <w:rsid w:val="00C900EC"/>
    <w:rsid w:val="00C9019C"/>
    <w:rsid w:val="00C901B4"/>
    <w:rsid w:val="00C901C8"/>
    <w:rsid w:val="00C901F3"/>
    <w:rsid w:val="00C90225"/>
    <w:rsid w:val="00C9022E"/>
    <w:rsid w:val="00C90284"/>
    <w:rsid w:val="00C902EF"/>
    <w:rsid w:val="00C90306"/>
    <w:rsid w:val="00C9037D"/>
    <w:rsid w:val="00C903CF"/>
    <w:rsid w:val="00C90405"/>
    <w:rsid w:val="00C9047B"/>
    <w:rsid w:val="00C90498"/>
    <w:rsid w:val="00C904EC"/>
    <w:rsid w:val="00C90591"/>
    <w:rsid w:val="00C90641"/>
    <w:rsid w:val="00C90690"/>
    <w:rsid w:val="00C906BA"/>
    <w:rsid w:val="00C90716"/>
    <w:rsid w:val="00C9072F"/>
    <w:rsid w:val="00C90852"/>
    <w:rsid w:val="00C90874"/>
    <w:rsid w:val="00C908D3"/>
    <w:rsid w:val="00C908D5"/>
    <w:rsid w:val="00C9097D"/>
    <w:rsid w:val="00C90992"/>
    <w:rsid w:val="00C909C5"/>
    <w:rsid w:val="00C909D3"/>
    <w:rsid w:val="00C90B11"/>
    <w:rsid w:val="00C90B40"/>
    <w:rsid w:val="00C90BCB"/>
    <w:rsid w:val="00C90C06"/>
    <w:rsid w:val="00C90C39"/>
    <w:rsid w:val="00C90C50"/>
    <w:rsid w:val="00C90C5E"/>
    <w:rsid w:val="00C90CA7"/>
    <w:rsid w:val="00C90CB1"/>
    <w:rsid w:val="00C90CD2"/>
    <w:rsid w:val="00C90CFE"/>
    <w:rsid w:val="00C90D37"/>
    <w:rsid w:val="00C90D45"/>
    <w:rsid w:val="00C90D54"/>
    <w:rsid w:val="00C90DBB"/>
    <w:rsid w:val="00C90E00"/>
    <w:rsid w:val="00C90E35"/>
    <w:rsid w:val="00C90E61"/>
    <w:rsid w:val="00C90E8D"/>
    <w:rsid w:val="00C90EA6"/>
    <w:rsid w:val="00C90EB6"/>
    <w:rsid w:val="00C90EBE"/>
    <w:rsid w:val="00C90ECD"/>
    <w:rsid w:val="00C90EF6"/>
    <w:rsid w:val="00C90F90"/>
    <w:rsid w:val="00C90FDD"/>
    <w:rsid w:val="00C91024"/>
    <w:rsid w:val="00C91025"/>
    <w:rsid w:val="00C91103"/>
    <w:rsid w:val="00C912BE"/>
    <w:rsid w:val="00C9138D"/>
    <w:rsid w:val="00C9144C"/>
    <w:rsid w:val="00C914C2"/>
    <w:rsid w:val="00C9151F"/>
    <w:rsid w:val="00C9153D"/>
    <w:rsid w:val="00C9156B"/>
    <w:rsid w:val="00C91599"/>
    <w:rsid w:val="00C9162A"/>
    <w:rsid w:val="00C9167A"/>
    <w:rsid w:val="00C916CA"/>
    <w:rsid w:val="00C91861"/>
    <w:rsid w:val="00C918CE"/>
    <w:rsid w:val="00C91991"/>
    <w:rsid w:val="00C919FE"/>
    <w:rsid w:val="00C91A3D"/>
    <w:rsid w:val="00C91AE6"/>
    <w:rsid w:val="00C91AE8"/>
    <w:rsid w:val="00C91AF0"/>
    <w:rsid w:val="00C91B47"/>
    <w:rsid w:val="00C91B6B"/>
    <w:rsid w:val="00C91C98"/>
    <w:rsid w:val="00C91CA6"/>
    <w:rsid w:val="00C91CAB"/>
    <w:rsid w:val="00C91CF1"/>
    <w:rsid w:val="00C91DB2"/>
    <w:rsid w:val="00C91E6F"/>
    <w:rsid w:val="00C91F7C"/>
    <w:rsid w:val="00C91F89"/>
    <w:rsid w:val="00C91FF6"/>
    <w:rsid w:val="00C9212B"/>
    <w:rsid w:val="00C92135"/>
    <w:rsid w:val="00C921B9"/>
    <w:rsid w:val="00C921CF"/>
    <w:rsid w:val="00C922AA"/>
    <w:rsid w:val="00C922C0"/>
    <w:rsid w:val="00C922F9"/>
    <w:rsid w:val="00C922FE"/>
    <w:rsid w:val="00C9236F"/>
    <w:rsid w:val="00C923D5"/>
    <w:rsid w:val="00C92495"/>
    <w:rsid w:val="00C924E0"/>
    <w:rsid w:val="00C92550"/>
    <w:rsid w:val="00C925FC"/>
    <w:rsid w:val="00C92627"/>
    <w:rsid w:val="00C92645"/>
    <w:rsid w:val="00C92698"/>
    <w:rsid w:val="00C926BA"/>
    <w:rsid w:val="00C926CD"/>
    <w:rsid w:val="00C926F9"/>
    <w:rsid w:val="00C9271C"/>
    <w:rsid w:val="00C9272F"/>
    <w:rsid w:val="00C9275F"/>
    <w:rsid w:val="00C927C2"/>
    <w:rsid w:val="00C92841"/>
    <w:rsid w:val="00C92842"/>
    <w:rsid w:val="00C928CB"/>
    <w:rsid w:val="00C928EF"/>
    <w:rsid w:val="00C9291E"/>
    <w:rsid w:val="00C9295F"/>
    <w:rsid w:val="00C92969"/>
    <w:rsid w:val="00C929C8"/>
    <w:rsid w:val="00C92A17"/>
    <w:rsid w:val="00C92A2E"/>
    <w:rsid w:val="00C92A5F"/>
    <w:rsid w:val="00C92A76"/>
    <w:rsid w:val="00C92B2C"/>
    <w:rsid w:val="00C92B3A"/>
    <w:rsid w:val="00C92B3C"/>
    <w:rsid w:val="00C92BA5"/>
    <w:rsid w:val="00C92C04"/>
    <w:rsid w:val="00C92C49"/>
    <w:rsid w:val="00C92CB3"/>
    <w:rsid w:val="00C92CBD"/>
    <w:rsid w:val="00C92D53"/>
    <w:rsid w:val="00C92DD3"/>
    <w:rsid w:val="00C92E04"/>
    <w:rsid w:val="00C92E0A"/>
    <w:rsid w:val="00C92E55"/>
    <w:rsid w:val="00C92EA5"/>
    <w:rsid w:val="00C92F22"/>
    <w:rsid w:val="00C92F3E"/>
    <w:rsid w:val="00C92F62"/>
    <w:rsid w:val="00C9300C"/>
    <w:rsid w:val="00C93034"/>
    <w:rsid w:val="00C93038"/>
    <w:rsid w:val="00C930A5"/>
    <w:rsid w:val="00C93204"/>
    <w:rsid w:val="00C9325F"/>
    <w:rsid w:val="00C93295"/>
    <w:rsid w:val="00C932A2"/>
    <w:rsid w:val="00C932B2"/>
    <w:rsid w:val="00C932B3"/>
    <w:rsid w:val="00C9330D"/>
    <w:rsid w:val="00C93344"/>
    <w:rsid w:val="00C933AF"/>
    <w:rsid w:val="00C933B9"/>
    <w:rsid w:val="00C933BA"/>
    <w:rsid w:val="00C933D6"/>
    <w:rsid w:val="00C9349D"/>
    <w:rsid w:val="00C934B6"/>
    <w:rsid w:val="00C9354B"/>
    <w:rsid w:val="00C9358E"/>
    <w:rsid w:val="00C935E0"/>
    <w:rsid w:val="00C9362A"/>
    <w:rsid w:val="00C93693"/>
    <w:rsid w:val="00C936EE"/>
    <w:rsid w:val="00C93724"/>
    <w:rsid w:val="00C93781"/>
    <w:rsid w:val="00C937AB"/>
    <w:rsid w:val="00C93821"/>
    <w:rsid w:val="00C93834"/>
    <w:rsid w:val="00C93896"/>
    <w:rsid w:val="00C93967"/>
    <w:rsid w:val="00C939C7"/>
    <w:rsid w:val="00C939E6"/>
    <w:rsid w:val="00C93A2F"/>
    <w:rsid w:val="00C93A3B"/>
    <w:rsid w:val="00C93A9E"/>
    <w:rsid w:val="00C93AAA"/>
    <w:rsid w:val="00C93AFF"/>
    <w:rsid w:val="00C93B17"/>
    <w:rsid w:val="00C93B9C"/>
    <w:rsid w:val="00C93BBA"/>
    <w:rsid w:val="00C93BBC"/>
    <w:rsid w:val="00C93C04"/>
    <w:rsid w:val="00C93C37"/>
    <w:rsid w:val="00C93C40"/>
    <w:rsid w:val="00C93C9C"/>
    <w:rsid w:val="00C93CF8"/>
    <w:rsid w:val="00C93EBB"/>
    <w:rsid w:val="00C93EE0"/>
    <w:rsid w:val="00C93F7A"/>
    <w:rsid w:val="00C93F91"/>
    <w:rsid w:val="00C93FDA"/>
    <w:rsid w:val="00C9402B"/>
    <w:rsid w:val="00C94093"/>
    <w:rsid w:val="00C94175"/>
    <w:rsid w:val="00C94185"/>
    <w:rsid w:val="00C94288"/>
    <w:rsid w:val="00C94295"/>
    <w:rsid w:val="00C942C5"/>
    <w:rsid w:val="00C942CF"/>
    <w:rsid w:val="00C94304"/>
    <w:rsid w:val="00C9432C"/>
    <w:rsid w:val="00C9439D"/>
    <w:rsid w:val="00C943A3"/>
    <w:rsid w:val="00C943DA"/>
    <w:rsid w:val="00C94443"/>
    <w:rsid w:val="00C94482"/>
    <w:rsid w:val="00C9448D"/>
    <w:rsid w:val="00C944D0"/>
    <w:rsid w:val="00C9459B"/>
    <w:rsid w:val="00C945F0"/>
    <w:rsid w:val="00C94606"/>
    <w:rsid w:val="00C9460D"/>
    <w:rsid w:val="00C9461B"/>
    <w:rsid w:val="00C9463F"/>
    <w:rsid w:val="00C9464B"/>
    <w:rsid w:val="00C94669"/>
    <w:rsid w:val="00C946DF"/>
    <w:rsid w:val="00C946F7"/>
    <w:rsid w:val="00C94711"/>
    <w:rsid w:val="00C94736"/>
    <w:rsid w:val="00C9473D"/>
    <w:rsid w:val="00C947BE"/>
    <w:rsid w:val="00C947CE"/>
    <w:rsid w:val="00C947DE"/>
    <w:rsid w:val="00C94869"/>
    <w:rsid w:val="00C948D5"/>
    <w:rsid w:val="00C9495A"/>
    <w:rsid w:val="00C94990"/>
    <w:rsid w:val="00C949E9"/>
    <w:rsid w:val="00C94AC1"/>
    <w:rsid w:val="00C94B57"/>
    <w:rsid w:val="00C94B77"/>
    <w:rsid w:val="00C94BCF"/>
    <w:rsid w:val="00C94C75"/>
    <w:rsid w:val="00C94D13"/>
    <w:rsid w:val="00C94D2C"/>
    <w:rsid w:val="00C94D83"/>
    <w:rsid w:val="00C94E1D"/>
    <w:rsid w:val="00C94E26"/>
    <w:rsid w:val="00C94E60"/>
    <w:rsid w:val="00C94E71"/>
    <w:rsid w:val="00C94EBF"/>
    <w:rsid w:val="00C94F1D"/>
    <w:rsid w:val="00C9501B"/>
    <w:rsid w:val="00C9505F"/>
    <w:rsid w:val="00C95074"/>
    <w:rsid w:val="00C95280"/>
    <w:rsid w:val="00C952AA"/>
    <w:rsid w:val="00C952DB"/>
    <w:rsid w:val="00C952E8"/>
    <w:rsid w:val="00C95327"/>
    <w:rsid w:val="00C9532A"/>
    <w:rsid w:val="00C95387"/>
    <w:rsid w:val="00C953EA"/>
    <w:rsid w:val="00C95401"/>
    <w:rsid w:val="00C9542D"/>
    <w:rsid w:val="00C9548D"/>
    <w:rsid w:val="00C954A3"/>
    <w:rsid w:val="00C954E1"/>
    <w:rsid w:val="00C954F0"/>
    <w:rsid w:val="00C95518"/>
    <w:rsid w:val="00C9552F"/>
    <w:rsid w:val="00C955A3"/>
    <w:rsid w:val="00C955E7"/>
    <w:rsid w:val="00C9569A"/>
    <w:rsid w:val="00C95789"/>
    <w:rsid w:val="00C957A5"/>
    <w:rsid w:val="00C957FB"/>
    <w:rsid w:val="00C95855"/>
    <w:rsid w:val="00C958C0"/>
    <w:rsid w:val="00C9590A"/>
    <w:rsid w:val="00C95968"/>
    <w:rsid w:val="00C959DF"/>
    <w:rsid w:val="00C959E4"/>
    <w:rsid w:val="00C95A14"/>
    <w:rsid w:val="00C95A58"/>
    <w:rsid w:val="00C95A77"/>
    <w:rsid w:val="00C95AA6"/>
    <w:rsid w:val="00C95B1D"/>
    <w:rsid w:val="00C95B42"/>
    <w:rsid w:val="00C95BFB"/>
    <w:rsid w:val="00C95C41"/>
    <w:rsid w:val="00C95C89"/>
    <w:rsid w:val="00C95CA4"/>
    <w:rsid w:val="00C95D2B"/>
    <w:rsid w:val="00C95D40"/>
    <w:rsid w:val="00C95D67"/>
    <w:rsid w:val="00C95D74"/>
    <w:rsid w:val="00C95DA0"/>
    <w:rsid w:val="00C95E48"/>
    <w:rsid w:val="00C95EC0"/>
    <w:rsid w:val="00C95F13"/>
    <w:rsid w:val="00C95F19"/>
    <w:rsid w:val="00C95F5A"/>
    <w:rsid w:val="00C95FBD"/>
    <w:rsid w:val="00C95FE3"/>
    <w:rsid w:val="00C9604A"/>
    <w:rsid w:val="00C9611D"/>
    <w:rsid w:val="00C9615D"/>
    <w:rsid w:val="00C961C8"/>
    <w:rsid w:val="00C9622B"/>
    <w:rsid w:val="00C9623E"/>
    <w:rsid w:val="00C96241"/>
    <w:rsid w:val="00C9627F"/>
    <w:rsid w:val="00C962A0"/>
    <w:rsid w:val="00C96301"/>
    <w:rsid w:val="00C96477"/>
    <w:rsid w:val="00C964B1"/>
    <w:rsid w:val="00C964DA"/>
    <w:rsid w:val="00C964EC"/>
    <w:rsid w:val="00C9657E"/>
    <w:rsid w:val="00C965A5"/>
    <w:rsid w:val="00C96614"/>
    <w:rsid w:val="00C967B4"/>
    <w:rsid w:val="00C967BB"/>
    <w:rsid w:val="00C967E0"/>
    <w:rsid w:val="00C967EC"/>
    <w:rsid w:val="00C9682D"/>
    <w:rsid w:val="00C9683E"/>
    <w:rsid w:val="00C968D5"/>
    <w:rsid w:val="00C96900"/>
    <w:rsid w:val="00C96957"/>
    <w:rsid w:val="00C96959"/>
    <w:rsid w:val="00C969BA"/>
    <w:rsid w:val="00C96A28"/>
    <w:rsid w:val="00C96A4F"/>
    <w:rsid w:val="00C96A8B"/>
    <w:rsid w:val="00C96B62"/>
    <w:rsid w:val="00C96C4C"/>
    <w:rsid w:val="00C96CAE"/>
    <w:rsid w:val="00C96D5A"/>
    <w:rsid w:val="00C96DD8"/>
    <w:rsid w:val="00C96EC2"/>
    <w:rsid w:val="00C96F18"/>
    <w:rsid w:val="00C96F2C"/>
    <w:rsid w:val="00C96FEA"/>
    <w:rsid w:val="00C9701B"/>
    <w:rsid w:val="00C97041"/>
    <w:rsid w:val="00C97090"/>
    <w:rsid w:val="00C97123"/>
    <w:rsid w:val="00C971D2"/>
    <w:rsid w:val="00C97206"/>
    <w:rsid w:val="00C97217"/>
    <w:rsid w:val="00C9729E"/>
    <w:rsid w:val="00C972B8"/>
    <w:rsid w:val="00C97363"/>
    <w:rsid w:val="00C97407"/>
    <w:rsid w:val="00C97440"/>
    <w:rsid w:val="00C97450"/>
    <w:rsid w:val="00C9751C"/>
    <w:rsid w:val="00C97559"/>
    <w:rsid w:val="00C975C4"/>
    <w:rsid w:val="00C9767E"/>
    <w:rsid w:val="00C976AC"/>
    <w:rsid w:val="00C976B9"/>
    <w:rsid w:val="00C977A9"/>
    <w:rsid w:val="00C977C7"/>
    <w:rsid w:val="00C97899"/>
    <w:rsid w:val="00C978C4"/>
    <w:rsid w:val="00C978E2"/>
    <w:rsid w:val="00C97903"/>
    <w:rsid w:val="00C979C3"/>
    <w:rsid w:val="00C979E8"/>
    <w:rsid w:val="00C97B63"/>
    <w:rsid w:val="00C97BED"/>
    <w:rsid w:val="00C97BEE"/>
    <w:rsid w:val="00C97C52"/>
    <w:rsid w:val="00C97C6E"/>
    <w:rsid w:val="00C97D37"/>
    <w:rsid w:val="00C97DA2"/>
    <w:rsid w:val="00C97E7E"/>
    <w:rsid w:val="00C97ED1"/>
    <w:rsid w:val="00C97F13"/>
    <w:rsid w:val="00C97FC3"/>
    <w:rsid w:val="00C97FD2"/>
    <w:rsid w:val="00CA0017"/>
    <w:rsid w:val="00CA004C"/>
    <w:rsid w:val="00CA0070"/>
    <w:rsid w:val="00CA0076"/>
    <w:rsid w:val="00CA00AF"/>
    <w:rsid w:val="00CA0291"/>
    <w:rsid w:val="00CA029F"/>
    <w:rsid w:val="00CA02F2"/>
    <w:rsid w:val="00CA02F9"/>
    <w:rsid w:val="00CA037E"/>
    <w:rsid w:val="00CA03A7"/>
    <w:rsid w:val="00CA03B8"/>
    <w:rsid w:val="00CA03EE"/>
    <w:rsid w:val="00CA042D"/>
    <w:rsid w:val="00CA0430"/>
    <w:rsid w:val="00CA044A"/>
    <w:rsid w:val="00CA0491"/>
    <w:rsid w:val="00CA04D8"/>
    <w:rsid w:val="00CA0552"/>
    <w:rsid w:val="00CA05AB"/>
    <w:rsid w:val="00CA061D"/>
    <w:rsid w:val="00CA062A"/>
    <w:rsid w:val="00CA06B3"/>
    <w:rsid w:val="00CA071A"/>
    <w:rsid w:val="00CA077B"/>
    <w:rsid w:val="00CA07A8"/>
    <w:rsid w:val="00CA07B6"/>
    <w:rsid w:val="00CA07DD"/>
    <w:rsid w:val="00CA07E0"/>
    <w:rsid w:val="00CA07EA"/>
    <w:rsid w:val="00CA07FD"/>
    <w:rsid w:val="00CA0801"/>
    <w:rsid w:val="00CA0883"/>
    <w:rsid w:val="00CA08C8"/>
    <w:rsid w:val="00CA08FB"/>
    <w:rsid w:val="00CA091B"/>
    <w:rsid w:val="00CA091F"/>
    <w:rsid w:val="00CA0930"/>
    <w:rsid w:val="00CA0933"/>
    <w:rsid w:val="00CA095C"/>
    <w:rsid w:val="00CA096B"/>
    <w:rsid w:val="00CA09A3"/>
    <w:rsid w:val="00CA09AC"/>
    <w:rsid w:val="00CA09B9"/>
    <w:rsid w:val="00CA09D8"/>
    <w:rsid w:val="00CA0A11"/>
    <w:rsid w:val="00CA0A26"/>
    <w:rsid w:val="00CA0A7C"/>
    <w:rsid w:val="00CA0A99"/>
    <w:rsid w:val="00CA0AA1"/>
    <w:rsid w:val="00CA0AAB"/>
    <w:rsid w:val="00CA0B10"/>
    <w:rsid w:val="00CA0B68"/>
    <w:rsid w:val="00CA0C36"/>
    <w:rsid w:val="00CA0C80"/>
    <w:rsid w:val="00CA0CD2"/>
    <w:rsid w:val="00CA0CFF"/>
    <w:rsid w:val="00CA0D63"/>
    <w:rsid w:val="00CA0DB2"/>
    <w:rsid w:val="00CA0DB4"/>
    <w:rsid w:val="00CA0DBA"/>
    <w:rsid w:val="00CA0E35"/>
    <w:rsid w:val="00CA0E56"/>
    <w:rsid w:val="00CA0EBC"/>
    <w:rsid w:val="00CA100D"/>
    <w:rsid w:val="00CA100E"/>
    <w:rsid w:val="00CA10AA"/>
    <w:rsid w:val="00CA1163"/>
    <w:rsid w:val="00CA116C"/>
    <w:rsid w:val="00CA1233"/>
    <w:rsid w:val="00CA12DE"/>
    <w:rsid w:val="00CA12FF"/>
    <w:rsid w:val="00CA137C"/>
    <w:rsid w:val="00CA13C0"/>
    <w:rsid w:val="00CA1401"/>
    <w:rsid w:val="00CA1484"/>
    <w:rsid w:val="00CA14AF"/>
    <w:rsid w:val="00CA15AA"/>
    <w:rsid w:val="00CA15D2"/>
    <w:rsid w:val="00CA1609"/>
    <w:rsid w:val="00CA161D"/>
    <w:rsid w:val="00CA1674"/>
    <w:rsid w:val="00CA16F5"/>
    <w:rsid w:val="00CA1703"/>
    <w:rsid w:val="00CA1756"/>
    <w:rsid w:val="00CA17D3"/>
    <w:rsid w:val="00CA17D7"/>
    <w:rsid w:val="00CA1834"/>
    <w:rsid w:val="00CA1906"/>
    <w:rsid w:val="00CA1954"/>
    <w:rsid w:val="00CA19D5"/>
    <w:rsid w:val="00CA19FB"/>
    <w:rsid w:val="00CA1AA8"/>
    <w:rsid w:val="00CA1AB9"/>
    <w:rsid w:val="00CA1B7A"/>
    <w:rsid w:val="00CA1BB5"/>
    <w:rsid w:val="00CA1BBC"/>
    <w:rsid w:val="00CA1BCD"/>
    <w:rsid w:val="00CA1C24"/>
    <w:rsid w:val="00CA1C93"/>
    <w:rsid w:val="00CA1C94"/>
    <w:rsid w:val="00CA1D29"/>
    <w:rsid w:val="00CA1D4E"/>
    <w:rsid w:val="00CA1D71"/>
    <w:rsid w:val="00CA1D83"/>
    <w:rsid w:val="00CA1DB0"/>
    <w:rsid w:val="00CA1DBB"/>
    <w:rsid w:val="00CA1E29"/>
    <w:rsid w:val="00CA1E3A"/>
    <w:rsid w:val="00CA1E4A"/>
    <w:rsid w:val="00CA1E7E"/>
    <w:rsid w:val="00CA1ED8"/>
    <w:rsid w:val="00CA1F8C"/>
    <w:rsid w:val="00CA1F9B"/>
    <w:rsid w:val="00CA1FC1"/>
    <w:rsid w:val="00CA1FED"/>
    <w:rsid w:val="00CA202F"/>
    <w:rsid w:val="00CA204B"/>
    <w:rsid w:val="00CA20E5"/>
    <w:rsid w:val="00CA2102"/>
    <w:rsid w:val="00CA211D"/>
    <w:rsid w:val="00CA2125"/>
    <w:rsid w:val="00CA214E"/>
    <w:rsid w:val="00CA2175"/>
    <w:rsid w:val="00CA21CA"/>
    <w:rsid w:val="00CA2296"/>
    <w:rsid w:val="00CA230E"/>
    <w:rsid w:val="00CA233A"/>
    <w:rsid w:val="00CA238F"/>
    <w:rsid w:val="00CA23AD"/>
    <w:rsid w:val="00CA23B8"/>
    <w:rsid w:val="00CA2433"/>
    <w:rsid w:val="00CA2487"/>
    <w:rsid w:val="00CA24D1"/>
    <w:rsid w:val="00CA24E9"/>
    <w:rsid w:val="00CA24F3"/>
    <w:rsid w:val="00CA258A"/>
    <w:rsid w:val="00CA261A"/>
    <w:rsid w:val="00CA2652"/>
    <w:rsid w:val="00CA26E0"/>
    <w:rsid w:val="00CA27F4"/>
    <w:rsid w:val="00CA288C"/>
    <w:rsid w:val="00CA28CF"/>
    <w:rsid w:val="00CA28FB"/>
    <w:rsid w:val="00CA291E"/>
    <w:rsid w:val="00CA293B"/>
    <w:rsid w:val="00CA29D7"/>
    <w:rsid w:val="00CA29DD"/>
    <w:rsid w:val="00CA29FF"/>
    <w:rsid w:val="00CA2A84"/>
    <w:rsid w:val="00CA2AC3"/>
    <w:rsid w:val="00CA2AC9"/>
    <w:rsid w:val="00CA2B63"/>
    <w:rsid w:val="00CA2B88"/>
    <w:rsid w:val="00CA2BD4"/>
    <w:rsid w:val="00CA2BD7"/>
    <w:rsid w:val="00CA2C45"/>
    <w:rsid w:val="00CA2CD8"/>
    <w:rsid w:val="00CA2CEA"/>
    <w:rsid w:val="00CA2D70"/>
    <w:rsid w:val="00CA2DFF"/>
    <w:rsid w:val="00CA2E03"/>
    <w:rsid w:val="00CA2E19"/>
    <w:rsid w:val="00CA2E42"/>
    <w:rsid w:val="00CA2EFD"/>
    <w:rsid w:val="00CA2F8F"/>
    <w:rsid w:val="00CA3104"/>
    <w:rsid w:val="00CA313D"/>
    <w:rsid w:val="00CA318E"/>
    <w:rsid w:val="00CA320E"/>
    <w:rsid w:val="00CA324A"/>
    <w:rsid w:val="00CA325A"/>
    <w:rsid w:val="00CA3339"/>
    <w:rsid w:val="00CA3347"/>
    <w:rsid w:val="00CA33E1"/>
    <w:rsid w:val="00CA3547"/>
    <w:rsid w:val="00CA3552"/>
    <w:rsid w:val="00CA3572"/>
    <w:rsid w:val="00CA3573"/>
    <w:rsid w:val="00CA35AB"/>
    <w:rsid w:val="00CA35D5"/>
    <w:rsid w:val="00CA3631"/>
    <w:rsid w:val="00CA3642"/>
    <w:rsid w:val="00CA3652"/>
    <w:rsid w:val="00CA3665"/>
    <w:rsid w:val="00CA3671"/>
    <w:rsid w:val="00CA3673"/>
    <w:rsid w:val="00CA36A4"/>
    <w:rsid w:val="00CA36BE"/>
    <w:rsid w:val="00CA3711"/>
    <w:rsid w:val="00CA3888"/>
    <w:rsid w:val="00CA38C4"/>
    <w:rsid w:val="00CA38EE"/>
    <w:rsid w:val="00CA3914"/>
    <w:rsid w:val="00CA3944"/>
    <w:rsid w:val="00CA3A12"/>
    <w:rsid w:val="00CA3A8E"/>
    <w:rsid w:val="00CA3A9F"/>
    <w:rsid w:val="00CA3AE4"/>
    <w:rsid w:val="00CA3B71"/>
    <w:rsid w:val="00CA3C05"/>
    <w:rsid w:val="00CA3C11"/>
    <w:rsid w:val="00CA3D8C"/>
    <w:rsid w:val="00CA3E27"/>
    <w:rsid w:val="00CA3E54"/>
    <w:rsid w:val="00CA3ED6"/>
    <w:rsid w:val="00CA3EF3"/>
    <w:rsid w:val="00CA3EFC"/>
    <w:rsid w:val="00CA4074"/>
    <w:rsid w:val="00CA40CF"/>
    <w:rsid w:val="00CA4106"/>
    <w:rsid w:val="00CA4145"/>
    <w:rsid w:val="00CA4147"/>
    <w:rsid w:val="00CA41F8"/>
    <w:rsid w:val="00CA4220"/>
    <w:rsid w:val="00CA422A"/>
    <w:rsid w:val="00CA426A"/>
    <w:rsid w:val="00CA42EC"/>
    <w:rsid w:val="00CA4309"/>
    <w:rsid w:val="00CA4364"/>
    <w:rsid w:val="00CA43E1"/>
    <w:rsid w:val="00CA4459"/>
    <w:rsid w:val="00CA4468"/>
    <w:rsid w:val="00CA4478"/>
    <w:rsid w:val="00CA4527"/>
    <w:rsid w:val="00CA4567"/>
    <w:rsid w:val="00CA4575"/>
    <w:rsid w:val="00CA4727"/>
    <w:rsid w:val="00CA4749"/>
    <w:rsid w:val="00CA477D"/>
    <w:rsid w:val="00CA4788"/>
    <w:rsid w:val="00CA486F"/>
    <w:rsid w:val="00CA48DA"/>
    <w:rsid w:val="00CA4A7B"/>
    <w:rsid w:val="00CA4ABC"/>
    <w:rsid w:val="00CA4B10"/>
    <w:rsid w:val="00CA4B8D"/>
    <w:rsid w:val="00CA4C50"/>
    <w:rsid w:val="00CA4C8A"/>
    <w:rsid w:val="00CA4CC5"/>
    <w:rsid w:val="00CA4D0F"/>
    <w:rsid w:val="00CA4D1E"/>
    <w:rsid w:val="00CA4D5C"/>
    <w:rsid w:val="00CA4DB9"/>
    <w:rsid w:val="00CA4FE0"/>
    <w:rsid w:val="00CA5060"/>
    <w:rsid w:val="00CA50C0"/>
    <w:rsid w:val="00CA51E1"/>
    <w:rsid w:val="00CA51EE"/>
    <w:rsid w:val="00CA51F7"/>
    <w:rsid w:val="00CA5218"/>
    <w:rsid w:val="00CA5264"/>
    <w:rsid w:val="00CA52CF"/>
    <w:rsid w:val="00CA531B"/>
    <w:rsid w:val="00CA5440"/>
    <w:rsid w:val="00CA549E"/>
    <w:rsid w:val="00CA54B6"/>
    <w:rsid w:val="00CA54CD"/>
    <w:rsid w:val="00CA5609"/>
    <w:rsid w:val="00CA56F0"/>
    <w:rsid w:val="00CA57BE"/>
    <w:rsid w:val="00CA5815"/>
    <w:rsid w:val="00CA58E1"/>
    <w:rsid w:val="00CA598F"/>
    <w:rsid w:val="00CA59B6"/>
    <w:rsid w:val="00CA59D8"/>
    <w:rsid w:val="00CA59DC"/>
    <w:rsid w:val="00CA5A23"/>
    <w:rsid w:val="00CA5A25"/>
    <w:rsid w:val="00CA5A3C"/>
    <w:rsid w:val="00CA5A78"/>
    <w:rsid w:val="00CA5A9E"/>
    <w:rsid w:val="00CA5AC2"/>
    <w:rsid w:val="00CA5AC3"/>
    <w:rsid w:val="00CA5AD4"/>
    <w:rsid w:val="00CA5AFE"/>
    <w:rsid w:val="00CA5B1A"/>
    <w:rsid w:val="00CA5B3E"/>
    <w:rsid w:val="00CA5B8C"/>
    <w:rsid w:val="00CA5BC2"/>
    <w:rsid w:val="00CA5C1E"/>
    <w:rsid w:val="00CA5C76"/>
    <w:rsid w:val="00CA5CA8"/>
    <w:rsid w:val="00CA5CAA"/>
    <w:rsid w:val="00CA5CD4"/>
    <w:rsid w:val="00CA5E2B"/>
    <w:rsid w:val="00CA5E87"/>
    <w:rsid w:val="00CA5EDA"/>
    <w:rsid w:val="00CA5F4B"/>
    <w:rsid w:val="00CA600F"/>
    <w:rsid w:val="00CA6097"/>
    <w:rsid w:val="00CA60AA"/>
    <w:rsid w:val="00CA60C0"/>
    <w:rsid w:val="00CA6138"/>
    <w:rsid w:val="00CA6141"/>
    <w:rsid w:val="00CA62A1"/>
    <w:rsid w:val="00CA62F1"/>
    <w:rsid w:val="00CA6362"/>
    <w:rsid w:val="00CA640C"/>
    <w:rsid w:val="00CA6422"/>
    <w:rsid w:val="00CA642B"/>
    <w:rsid w:val="00CA6432"/>
    <w:rsid w:val="00CA6533"/>
    <w:rsid w:val="00CA6599"/>
    <w:rsid w:val="00CA6607"/>
    <w:rsid w:val="00CA661E"/>
    <w:rsid w:val="00CA66E1"/>
    <w:rsid w:val="00CA677B"/>
    <w:rsid w:val="00CA6862"/>
    <w:rsid w:val="00CA68E8"/>
    <w:rsid w:val="00CA694E"/>
    <w:rsid w:val="00CA6993"/>
    <w:rsid w:val="00CA69F7"/>
    <w:rsid w:val="00CA69FA"/>
    <w:rsid w:val="00CA6A2A"/>
    <w:rsid w:val="00CA6A87"/>
    <w:rsid w:val="00CA6ABA"/>
    <w:rsid w:val="00CA6AD7"/>
    <w:rsid w:val="00CA6B3C"/>
    <w:rsid w:val="00CA6B4F"/>
    <w:rsid w:val="00CA6B83"/>
    <w:rsid w:val="00CA6B9C"/>
    <w:rsid w:val="00CA6BE9"/>
    <w:rsid w:val="00CA6C07"/>
    <w:rsid w:val="00CA6D5D"/>
    <w:rsid w:val="00CA6E00"/>
    <w:rsid w:val="00CA6E99"/>
    <w:rsid w:val="00CA6F35"/>
    <w:rsid w:val="00CA6F64"/>
    <w:rsid w:val="00CA700C"/>
    <w:rsid w:val="00CA700D"/>
    <w:rsid w:val="00CA701F"/>
    <w:rsid w:val="00CA7105"/>
    <w:rsid w:val="00CA710C"/>
    <w:rsid w:val="00CA71DF"/>
    <w:rsid w:val="00CA7297"/>
    <w:rsid w:val="00CA7313"/>
    <w:rsid w:val="00CA7323"/>
    <w:rsid w:val="00CA73FB"/>
    <w:rsid w:val="00CA7474"/>
    <w:rsid w:val="00CA751E"/>
    <w:rsid w:val="00CA758E"/>
    <w:rsid w:val="00CA75D1"/>
    <w:rsid w:val="00CA7612"/>
    <w:rsid w:val="00CA7649"/>
    <w:rsid w:val="00CA7662"/>
    <w:rsid w:val="00CA7663"/>
    <w:rsid w:val="00CA7671"/>
    <w:rsid w:val="00CA76A8"/>
    <w:rsid w:val="00CA7722"/>
    <w:rsid w:val="00CA77A1"/>
    <w:rsid w:val="00CA7811"/>
    <w:rsid w:val="00CA786C"/>
    <w:rsid w:val="00CA78EE"/>
    <w:rsid w:val="00CA7998"/>
    <w:rsid w:val="00CA79C3"/>
    <w:rsid w:val="00CA7AD9"/>
    <w:rsid w:val="00CA7AFB"/>
    <w:rsid w:val="00CA7B43"/>
    <w:rsid w:val="00CA7B70"/>
    <w:rsid w:val="00CA7B7F"/>
    <w:rsid w:val="00CA7C3A"/>
    <w:rsid w:val="00CA7C79"/>
    <w:rsid w:val="00CA7CF2"/>
    <w:rsid w:val="00CA7D2B"/>
    <w:rsid w:val="00CA7D4A"/>
    <w:rsid w:val="00CA7D50"/>
    <w:rsid w:val="00CA7D76"/>
    <w:rsid w:val="00CA7D85"/>
    <w:rsid w:val="00CA7D9E"/>
    <w:rsid w:val="00CA7DE7"/>
    <w:rsid w:val="00CA7F6F"/>
    <w:rsid w:val="00CA7F82"/>
    <w:rsid w:val="00CAC80D"/>
    <w:rsid w:val="00CB006B"/>
    <w:rsid w:val="00CB013A"/>
    <w:rsid w:val="00CB0177"/>
    <w:rsid w:val="00CB01DC"/>
    <w:rsid w:val="00CB025F"/>
    <w:rsid w:val="00CB0277"/>
    <w:rsid w:val="00CB0285"/>
    <w:rsid w:val="00CB02E3"/>
    <w:rsid w:val="00CB03A4"/>
    <w:rsid w:val="00CB03E5"/>
    <w:rsid w:val="00CB03FE"/>
    <w:rsid w:val="00CB040F"/>
    <w:rsid w:val="00CB04AD"/>
    <w:rsid w:val="00CB0570"/>
    <w:rsid w:val="00CB0596"/>
    <w:rsid w:val="00CB05F6"/>
    <w:rsid w:val="00CB0715"/>
    <w:rsid w:val="00CB072B"/>
    <w:rsid w:val="00CB0738"/>
    <w:rsid w:val="00CB0761"/>
    <w:rsid w:val="00CB077D"/>
    <w:rsid w:val="00CB07B3"/>
    <w:rsid w:val="00CB07B9"/>
    <w:rsid w:val="00CB0842"/>
    <w:rsid w:val="00CB0873"/>
    <w:rsid w:val="00CB0988"/>
    <w:rsid w:val="00CB0AFB"/>
    <w:rsid w:val="00CB0B54"/>
    <w:rsid w:val="00CB0B88"/>
    <w:rsid w:val="00CB0C4B"/>
    <w:rsid w:val="00CB0CC3"/>
    <w:rsid w:val="00CB0D9A"/>
    <w:rsid w:val="00CB0DDD"/>
    <w:rsid w:val="00CB0DE0"/>
    <w:rsid w:val="00CB0E50"/>
    <w:rsid w:val="00CB0E8B"/>
    <w:rsid w:val="00CB0EE2"/>
    <w:rsid w:val="00CB0F22"/>
    <w:rsid w:val="00CB0F72"/>
    <w:rsid w:val="00CB0F76"/>
    <w:rsid w:val="00CB100F"/>
    <w:rsid w:val="00CB102F"/>
    <w:rsid w:val="00CB104A"/>
    <w:rsid w:val="00CB105A"/>
    <w:rsid w:val="00CB1099"/>
    <w:rsid w:val="00CB10E0"/>
    <w:rsid w:val="00CB10FB"/>
    <w:rsid w:val="00CB1173"/>
    <w:rsid w:val="00CB11E5"/>
    <w:rsid w:val="00CB124B"/>
    <w:rsid w:val="00CB127C"/>
    <w:rsid w:val="00CB1297"/>
    <w:rsid w:val="00CB12FA"/>
    <w:rsid w:val="00CB1329"/>
    <w:rsid w:val="00CB1411"/>
    <w:rsid w:val="00CB1418"/>
    <w:rsid w:val="00CB14B2"/>
    <w:rsid w:val="00CB14B7"/>
    <w:rsid w:val="00CB158F"/>
    <w:rsid w:val="00CB15CB"/>
    <w:rsid w:val="00CB15F2"/>
    <w:rsid w:val="00CB167A"/>
    <w:rsid w:val="00CB167E"/>
    <w:rsid w:val="00CB16AD"/>
    <w:rsid w:val="00CB1755"/>
    <w:rsid w:val="00CB1777"/>
    <w:rsid w:val="00CB17AA"/>
    <w:rsid w:val="00CB17B6"/>
    <w:rsid w:val="00CB1822"/>
    <w:rsid w:val="00CB1852"/>
    <w:rsid w:val="00CB18A3"/>
    <w:rsid w:val="00CB19CD"/>
    <w:rsid w:val="00CB1AD7"/>
    <w:rsid w:val="00CB1AD9"/>
    <w:rsid w:val="00CB1ADA"/>
    <w:rsid w:val="00CB1B4F"/>
    <w:rsid w:val="00CB1BB0"/>
    <w:rsid w:val="00CB1C7C"/>
    <w:rsid w:val="00CB1CD7"/>
    <w:rsid w:val="00CB1CED"/>
    <w:rsid w:val="00CB1DB8"/>
    <w:rsid w:val="00CB1DC1"/>
    <w:rsid w:val="00CB1E36"/>
    <w:rsid w:val="00CB1E3F"/>
    <w:rsid w:val="00CB1F3F"/>
    <w:rsid w:val="00CB1F59"/>
    <w:rsid w:val="00CB1F89"/>
    <w:rsid w:val="00CB2015"/>
    <w:rsid w:val="00CB202C"/>
    <w:rsid w:val="00CB2046"/>
    <w:rsid w:val="00CB2232"/>
    <w:rsid w:val="00CB2270"/>
    <w:rsid w:val="00CB229C"/>
    <w:rsid w:val="00CB22B7"/>
    <w:rsid w:val="00CB22C7"/>
    <w:rsid w:val="00CB22DA"/>
    <w:rsid w:val="00CB232A"/>
    <w:rsid w:val="00CB2355"/>
    <w:rsid w:val="00CB23F3"/>
    <w:rsid w:val="00CB2447"/>
    <w:rsid w:val="00CB24AE"/>
    <w:rsid w:val="00CB2515"/>
    <w:rsid w:val="00CB25AF"/>
    <w:rsid w:val="00CB262A"/>
    <w:rsid w:val="00CB262E"/>
    <w:rsid w:val="00CB2647"/>
    <w:rsid w:val="00CB2680"/>
    <w:rsid w:val="00CB26CC"/>
    <w:rsid w:val="00CB2771"/>
    <w:rsid w:val="00CB27EB"/>
    <w:rsid w:val="00CB27F9"/>
    <w:rsid w:val="00CB281A"/>
    <w:rsid w:val="00CB281D"/>
    <w:rsid w:val="00CB2832"/>
    <w:rsid w:val="00CB2953"/>
    <w:rsid w:val="00CB29EF"/>
    <w:rsid w:val="00CB2A21"/>
    <w:rsid w:val="00CB2A9F"/>
    <w:rsid w:val="00CB2AB9"/>
    <w:rsid w:val="00CB2B4E"/>
    <w:rsid w:val="00CB2B9A"/>
    <w:rsid w:val="00CB2B9B"/>
    <w:rsid w:val="00CB2CB4"/>
    <w:rsid w:val="00CB2CE9"/>
    <w:rsid w:val="00CB2D1F"/>
    <w:rsid w:val="00CB2D99"/>
    <w:rsid w:val="00CB2DBC"/>
    <w:rsid w:val="00CB2DEE"/>
    <w:rsid w:val="00CB2DF2"/>
    <w:rsid w:val="00CB2E03"/>
    <w:rsid w:val="00CB2E2A"/>
    <w:rsid w:val="00CB2F34"/>
    <w:rsid w:val="00CB2F6B"/>
    <w:rsid w:val="00CB2FA8"/>
    <w:rsid w:val="00CB300E"/>
    <w:rsid w:val="00CB312A"/>
    <w:rsid w:val="00CB3153"/>
    <w:rsid w:val="00CB31F5"/>
    <w:rsid w:val="00CB3237"/>
    <w:rsid w:val="00CB3249"/>
    <w:rsid w:val="00CB32FF"/>
    <w:rsid w:val="00CB335A"/>
    <w:rsid w:val="00CB335E"/>
    <w:rsid w:val="00CB3400"/>
    <w:rsid w:val="00CB34DE"/>
    <w:rsid w:val="00CB35A7"/>
    <w:rsid w:val="00CB3608"/>
    <w:rsid w:val="00CB3612"/>
    <w:rsid w:val="00CB361E"/>
    <w:rsid w:val="00CB363A"/>
    <w:rsid w:val="00CB3696"/>
    <w:rsid w:val="00CB36F4"/>
    <w:rsid w:val="00CB36F7"/>
    <w:rsid w:val="00CB37A5"/>
    <w:rsid w:val="00CB37FB"/>
    <w:rsid w:val="00CB3807"/>
    <w:rsid w:val="00CB384C"/>
    <w:rsid w:val="00CB385F"/>
    <w:rsid w:val="00CB38BC"/>
    <w:rsid w:val="00CB3984"/>
    <w:rsid w:val="00CB3A31"/>
    <w:rsid w:val="00CB3B3D"/>
    <w:rsid w:val="00CB3B7C"/>
    <w:rsid w:val="00CB3BE5"/>
    <w:rsid w:val="00CB3C46"/>
    <w:rsid w:val="00CB3C83"/>
    <w:rsid w:val="00CB3CEA"/>
    <w:rsid w:val="00CB3CEE"/>
    <w:rsid w:val="00CB3D7C"/>
    <w:rsid w:val="00CB3E10"/>
    <w:rsid w:val="00CB3E18"/>
    <w:rsid w:val="00CB3E2F"/>
    <w:rsid w:val="00CB3E3A"/>
    <w:rsid w:val="00CB3E5E"/>
    <w:rsid w:val="00CB3F54"/>
    <w:rsid w:val="00CB3F59"/>
    <w:rsid w:val="00CB3FB6"/>
    <w:rsid w:val="00CB3FD2"/>
    <w:rsid w:val="00CB3FE4"/>
    <w:rsid w:val="00CB401D"/>
    <w:rsid w:val="00CB4026"/>
    <w:rsid w:val="00CB407E"/>
    <w:rsid w:val="00CB40BD"/>
    <w:rsid w:val="00CB41D8"/>
    <w:rsid w:val="00CB42A5"/>
    <w:rsid w:val="00CB42C9"/>
    <w:rsid w:val="00CB437B"/>
    <w:rsid w:val="00CB4399"/>
    <w:rsid w:val="00CB43D4"/>
    <w:rsid w:val="00CB4439"/>
    <w:rsid w:val="00CB4442"/>
    <w:rsid w:val="00CB4443"/>
    <w:rsid w:val="00CB4451"/>
    <w:rsid w:val="00CB4478"/>
    <w:rsid w:val="00CB44CB"/>
    <w:rsid w:val="00CB44E7"/>
    <w:rsid w:val="00CB44EA"/>
    <w:rsid w:val="00CB450C"/>
    <w:rsid w:val="00CB45F6"/>
    <w:rsid w:val="00CB4689"/>
    <w:rsid w:val="00CB4704"/>
    <w:rsid w:val="00CB4709"/>
    <w:rsid w:val="00CB4717"/>
    <w:rsid w:val="00CB4742"/>
    <w:rsid w:val="00CB47AC"/>
    <w:rsid w:val="00CB4843"/>
    <w:rsid w:val="00CB4854"/>
    <w:rsid w:val="00CB48EA"/>
    <w:rsid w:val="00CB4941"/>
    <w:rsid w:val="00CB497A"/>
    <w:rsid w:val="00CB49B8"/>
    <w:rsid w:val="00CB49CD"/>
    <w:rsid w:val="00CB49FE"/>
    <w:rsid w:val="00CB4A2D"/>
    <w:rsid w:val="00CB4ABC"/>
    <w:rsid w:val="00CB4ADB"/>
    <w:rsid w:val="00CB4B39"/>
    <w:rsid w:val="00CB4C81"/>
    <w:rsid w:val="00CB4CAC"/>
    <w:rsid w:val="00CB4CBC"/>
    <w:rsid w:val="00CB4E03"/>
    <w:rsid w:val="00CB4E14"/>
    <w:rsid w:val="00CB4E48"/>
    <w:rsid w:val="00CB4F66"/>
    <w:rsid w:val="00CB4FCF"/>
    <w:rsid w:val="00CB503A"/>
    <w:rsid w:val="00CB5040"/>
    <w:rsid w:val="00CB5068"/>
    <w:rsid w:val="00CB5110"/>
    <w:rsid w:val="00CB5112"/>
    <w:rsid w:val="00CB513C"/>
    <w:rsid w:val="00CB5150"/>
    <w:rsid w:val="00CB515E"/>
    <w:rsid w:val="00CB5232"/>
    <w:rsid w:val="00CB5320"/>
    <w:rsid w:val="00CB5332"/>
    <w:rsid w:val="00CB5371"/>
    <w:rsid w:val="00CB538F"/>
    <w:rsid w:val="00CB5401"/>
    <w:rsid w:val="00CB5404"/>
    <w:rsid w:val="00CB5443"/>
    <w:rsid w:val="00CB5579"/>
    <w:rsid w:val="00CB55FD"/>
    <w:rsid w:val="00CB5660"/>
    <w:rsid w:val="00CB5666"/>
    <w:rsid w:val="00CB56F8"/>
    <w:rsid w:val="00CB5712"/>
    <w:rsid w:val="00CB57C9"/>
    <w:rsid w:val="00CB5829"/>
    <w:rsid w:val="00CB58E2"/>
    <w:rsid w:val="00CB58EB"/>
    <w:rsid w:val="00CB5919"/>
    <w:rsid w:val="00CB5986"/>
    <w:rsid w:val="00CB59F6"/>
    <w:rsid w:val="00CB5A82"/>
    <w:rsid w:val="00CB5A84"/>
    <w:rsid w:val="00CB5AA3"/>
    <w:rsid w:val="00CB5B69"/>
    <w:rsid w:val="00CB5B79"/>
    <w:rsid w:val="00CB5B7E"/>
    <w:rsid w:val="00CB5BC5"/>
    <w:rsid w:val="00CB5C2E"/>
    <w:rsid w:val="00CB5C95"/>
    <w:rsid w:val="00CB5D74"/>
    <w:rsid w:val="00CB5D9E"/>
    <w:rsid w:val="00CB5E26"/>
    <w:rsid w:val="00CB5EA2"/>
    <w:rsid w:val="00CB5ED5"/>
    <w:rsid w:val="00CB5EDE"/>
    <w:rsid w:val="00CB5F34"/>
    <w:rsid w:val="00CB5F4A"/>
    <w:rsid w:val="00CB5F4F"/>
    <w:rsid w:val="00CB5F54"/>
    <w:rsid w:val="00CB5F64"/>
    <w:rsid w:val="00CB5F68"/>
    <w:rsid w:val="00CB6135"/>
    <w:rsid w:val="00CB614B"/>
    <w:rsid w:val="00CB616A"/>
    <w:rsid w:val="00CB6182"/>
    <w:rsid w:val="00CB61A4"/>
    <w:rsid w:val="00CB61B9"/>
    <w:rsid w:val="00CB6219"/>
    <w:rsid w:val="00CB6227"/>
    <w:rsid w:val="00CB62BE"/>
    <w:rsid w:val="00CB63C9"/>
    <w:rsid w:val="00CB63E3"/>
    <w:rsid w:val="00CB63F2"/>
    <w:rsid w:val="00CB63F3"/>
    <w:rsid w:val="00CB6491"/>
    <w:rsid w:val="00CB6571"/>
    <w:rsid w:val="00CB6605"/>
    <w:rsid w:val="00CB660D"/>
    <w:rsid w:val="00CB66EA"/>
    <w:rsid w:val="00CB676C"/>
    <w:rsid w:val="00CB67F3"/>
    <w:rsid w:val="00CB685E"/>
    <w:rsid w:val="00CB6878"/>
    <w:rsid w:val="00CB68AD"/>
    <w:rsid w:val="00CB68BD"/>
    <w:rsid w:val="00CB68F0"/>
    <w:rsid w:val="00CB6941"/>
    <w:rsid w:val="00CB694E"/>
    <w:rsid w:val="00CB697B"/>
    <w:rsid w:val="00CB6988"/>
    <w:rsid w:val="00CB6994"/>
    <w:rsid w:val="00CB6A44"/>
    <w:rsid w:val="00CB6AD7"/>
    <w:rsid w:val="00CB6B1B"/>
    <w:rsid w:val="00CB6BA4"/>
    <w:rsid w:val="00CB6BD5"/>
    <w:rsid w:val="00CB6BE4"/>
    <w:rsid w:val="00CB6C05"/>
    <w:rsid w:val="00CB6C1D"/>
    <w:rsid w:val="00CB6C55"/>
    <w:rsid w:val="00CB6D12"/>
    <w:rsid w:val="00CB6D30"/>
    <w:rsid w:val="00CB6E42"/>
    <w:rsid w:val="00CB6E8F"/>
    <w:rsid w:val="00CB6E9E"/>
    <w:rsid w:val="00CB6FAB"/>
    <w:rsid w:val="00CB6FCF"/>
    <w:rsid w:val="00CB702D"/>
    <w:rsid w:val="00CB70CF"/>
    <w:rsid w:val="00CB70DD"/>
    <w:rsid w:val="00CB7147"/>
    <w:rsid w:val="00CB71D7"/>
    <w:rsid w:val="00CB71DD"/>
    <w:rsid w:val="00CB7279"/>
    <w:rsid w:val="00CB72B8"/>
    <w:rsid w:val="00CB731A"/>
    <w:rsid w:val="00CB73E2"/>
    <w:rsid w:val="00CB7477"/>
    <w:rsid w:val="00CB74C4"/>
    <w:rsid w:val="00CB74FD"/>
    <w:rsid w:val="00CB75AA"/>
    <w:rsid w:val="00CB75F5"/>
    <w:rsid w:val="00CB764F"/>
    <w:rsid w:val="00CB7652"/>
    <w:rsid w:val="00CB7674"/>
    <w:rsid w:val="00CB7685"/>
    <w:rsid w:val="00CB769B"/>
    <w:rsid w:val="00CB76CD"/>
    <w:rsid w:val="00CB76FB"/>
    <w:rsid w:val="00CB7707"/>
    <w:rsid w:val="00CB7708"/>
    <w:rsid w:val="00CB7733"/>
    <w:rsid w:val="00CB77D4"/>
    <w:rsid w:val="00CB77EF"/>
    <w:rsid w:val="00CB7843"/>
    <w:rsid w:val="00CB786B"/>
    <w:rsid w:val="00CB7916"/>
    <w:rsid w:val="00CB793E"/>
    <w:rsid w:val="00CB79E5"/>
    <w:rsid w:val="00CB7AB8"/>
    <w:rsid w:val="00CB7B2C"/>
    <w:rsid w:val="00CB7B62"/>
    <w:rsid w:val="00CB7BB4"/>
    <w:rsid w:val="00CB7BF5"/>
    <w:rsid w:val="00CB7C04"/>
    <w:rsid w:val="00CB7C65"/>
    <w:rsid w:val="00CB7D59"/>
    <w:rsid w:val="00CB7E22"/>
    <w:rsid w:val="00CB7E5D"/>
    <w:rsid w:val="00CB7F40"/>
    <w:rsid w:val="00CB7F44"/>
    <w:rsid w:val="00CB7F88"/>
    <w:rsid w:val="00CC000E"/>
    <w:rsid w:val="00CC00C4"/>
    <w:rsid w:val="00CC01D9"/>
    <w:rsid w:val="00CC01FE"/>
    <w:rsid w:val="00CC0248"/>
    <w:rsid w:val="00CC0378"/>
    <w:rsid w:val="00CC042C"/>
    <w:rsid w:val="00CC044F"/>
    <w:rsid w:val="00CC045B"/>
    <w:rsid w:val="00CC049E"/>
    <w:rsid w:val="00CC05C0"/>
    <w:rsid w:val="00CC0671"/>
    <w:rsid w:val="00CC06E4"/>
    <w:rsid w:val="00CC06FA"/>
    <w:rsid w:val="00CC079C"/>
    <w:rsid w:val="00CC082F"/>
    <w:rsid w:val="00CC0850"/>
    <w:rsid w:val="00CC086E"/>
    <w:rsid w:val="00CC0894"/>
    <w:rsid w:val="00CC08E8"/>
    <w:rsid w:val="00CC0905"/>
    <w:rsid w:val="00CC090D"/>
    <w:rsid w:val="00CC091A"/>
    <w:rsid w:val="00CC0921"/>
    <w:rsid w:val="00CC093D"/>
    <w:rsid w:val="00CC095A"/>
    <w:rsid w:val="00CC0A6D"/>
    <w:rsid w:val="00CC0A85"/>
    <w:rsid w:val="00CC0ABD"/>
    <w:rsid w:val="00CC0B0D"/>
    <w:rsid w:val="00CC0B36"/>
    <w:rsid w:val="00CC0B49"/>
    <w:rsid w:val="00CC0B6A"/>
    <w:rsid w:val="00CC0BA7"/>
    <w:rsid w:val="00CC0C35"/>
    <w:rsid w:val="00CC0CDC"/>
    <w:rsid w:val="00CC0D18"/>
    <w:rsid w:val="00CC0D42"/>
    <w:rsid w:val="00CC0D52"/>
    <w:rsid w:val="00CC0D62"/>
    <w:rsid w:val="00CC0E66"/>
    <w:rsid w:val="00CC0EF1"/>
    <w:rsid w:val="00CC0F3D"/>
    <w:rsid w:val="00CC0F56"/>
    <w:rsid w:val="00CC0FF9"/>
    <w:rsid w:val="00CC1086"/>
    <w:rsid w:val="00CC1224"/>
    <w:rsid w:val="00CC1395"/>
    <w:rsid w:val="00CC13EE"/>
    <w:rsid w:val="00CC140D"/>
    <w:rsid w:val="00CC1416"/>
    <w:rsid w:val="00CC1420"/>
    <w:rsid w:val="00CC1471"/>
    <w:rsid w:val="00CC14C8"/>
    <w:rsid w:val="00CC14CA"/>
    <w:rsid w:val="00CC14E3"/>
    <w:rsid w:val="00CC1535"/>
    <w:rsid w:val="00CC1570"/>
    <w:rsid w:val="00CC1604"/>
    <w:rsid w:val="00CC161A"/>
    <w:rsid w:val="00CC165D"/>
    <w:rsid w:val="00CC16A5"/>
    <w:rsid w:val="00CC16B1"/>
    <w:rsid w:val="00CC1744"/>
    <w:rsid w:val="00CC1761"/>
    <w:rsid w:val="00CC176C"/>
    <w:rsid w:val="00CC1794"/>
    <w:rsid w:val="00CC17C8"/>
    <w:rsid w:val="00CC18A3"/>
    <w:rsid w:val="00CC18FC"/>
    <w:rsid w:val="00CC1934"/>
    <w:rsid w:val="00CC193F"/>
    <w:rsid w:val="00CC1A3B"/>
    <w:rsid w:val="00CC1A58"/>
    <w:rsid w:val="00CC1A5C"/>
    <w:rsid w:val="00CC1B3C"/>
    <w:rsid w:val="00CC1B54"/>
    <w:rsid w:val="00CC1B6C"/>
    <w:rsid w:val="00CC1B78"/>
    <w:rsid w:val="00CC1B92"/>
    <w:rsid w:val="00CC1BAC"/>
    <w:rsid w:val="00CC1BE0"/>
    <w:rsid w:val="00CC1BE2"/>
    <w:rsid w:val="00CC1BED"/>
    <w:rsid w:val="00CC1C0A"/>
    <w:rsid w:val="00CC1C2D"/>
    <w:rsid w:val="00CC1C98"/>
    <w:rsid w:val="00CC1D95"/>
    <w:rsid w:val="00CC1DAB"/>
    <w:rsid w:val="00CC1DFF"/>
    <w:rsid w:val="00CC1E01"/>
    <w:rsid w:val="00CC1E31"/>
    <w:rsid w:val="00CC1E66"/>
    <w:rsid w:val="00CC1E97"/>
    <w:rsid w:val="00CC1EB7"/>
    <w:rsid w:val="00CC1EC8"/>
    <w:rsid w:val="00CC1EF3"/>
    <w:rsid w:val="00CC1F0D"/>
    <w:rsid w:val="00CC1F16"/>
    <w:rsid w:val="00CC1F32"/>
    <w:rsid w:val="00CC206B"/>
    <w:rsid w:val="00CC20EF"/>
    <w:rsid w:val="00CC2137"/>
    <w:rsid w:val="00CC2148"/>
    <w:rsid w:val="00CC215D"/>
    <w:rsid w:val="00CC21BF"/>
    <w:rsid w:val="00CC2252"/>
    <w:rsid w:val="00CC231D"/>
    <w:rsid w:val="00CC2338"/>
    <w:rsid w:val="00CC2339"/>
    <w:rsid w:val="00CC23AA"/>
    <w:rsid w:val="00CC23D4"/>
    <w:rsid w:val="00CC23E9"/>
    <w:rsid w:val="00CC2495"/>
    <w:rsid w:val="00CC25BE"/>
    <w:rsid w:val="00CC25D5"/>
    <w:rsid w:val="00CC2615"/>
    <w:rsid w:val="00CC262B"/>
    <w:rsid w:val="00CC267E"/>
    <w:rsid w:val="00CC2692"/>
    <w:rsid w:val="00CC2726"/>
    <w:rsid w:val="00CC280A"/>
    <w:rsid w:val="00CC2811"/>
    <w:rsid w:val="00CC2849"/>
    <w:rsid w:val="00CC2934"/>
    <w:rsid w:val="00CC2996"/>
    <w:rsid w:val="00CC299C"/>
    <w:rsid w:val="00CC29E9"/>
    <w:rsid w:val="00CC29EB"/>
    <w:rsid w:val="00CC2A27"/>
    <w:rsid w:val="00CC2A31"/>
    <w:rsid w:val="00CC2A38"/>
    <w:rsid w:val="00CC2A78"/>
    <w:rsid w:val="00CC2A7A"/>
    <w:rsid w:val="00CC2B42"/>
    <w:rsid w:val="00CC2B51"/>
    <w:rsid w:val="00CC2B75"/>
    <w:rsid w:val="00CC2C4F"/>
    <w:rsid w:val="00CC2C69"/>
    <w:rsid w:val="00CC2C89"/>
    <w:rsid w:val="00CC2CBC"/>
    <w:rsid w:val="00CC2D03"/>
    <w:rsid w:val="00CC2D04"/>
    <w:rsid w:val="00CC2D99"/>
    <w:rsid w:val="00CC2DE4"/>
    <w:rsid w:val="00CC2E8B"/>
    <w:rsid w:val="00CC2EDA"/>
    <w:rsid w:val="00CC2F17"/>
    <w:rsid w:val="00CC2F38"/>
    <w:rsid w:val="00CC2F76"/>
    <w:rsid w:val="00CC2F78"/>
    <w:rsid w:val="00CC2FC3"/>
    <w:rsid w:val="00CC2FFD"/>
    <w:rsid w:val="00CC3019"/>
    <w:rsid w:val="00CC3086"/>
    <w:rsid w:val="00CC30BD"/>
    <w:rsid w:val="00CC30D4"/>
    <w:rsid w:val="00CC3233"/>
    <w:rsid w:val="00CC3298"/>
    <w:rsid w:val="00CC32C2"/>
    <w:rsid w:val="00CC32E3"/>
    <w:rsid w:val="00CC32F0"/>
    <w:rsid w:val="00CC33C4"/>
    <w:rsid w:val="00CC34A1"/>
    <w:rsid w:val="00CC34B6"/>
    <w:rsid w:val="00CC34CD"/>
    <w:rsid w:val="00CC34FD"/>
    <w:rsid w:val="00CC3520"/>
    <w:rsid w:val="00CC35A7"/>
    <w:rsid w:val="00CC35B9"/>
    <w:rsid w:val="00CC363D"/>
    <w:rsid w:val="00CC3707"/>
    <w:rsid w:val="00CC370F"/>
    <w:rsid w:val="00CC37BD"/>
    <w:rsid w:val="00CC37C1"/>
    <w:rsid w:val="00CC3800"/>
    <w:rsid w:val="00CC387B"/>
    <w:rsid w:val="00CC38F0"/>
    <w:rsid w:val="00CC397C"/>
    <w:rsid w:val="00CC39AA"/>
    <w:rsid w:val="00CC3AAC"/>
    <w:rsid w:val="00CC3AE1"/>
    <w:rsid w:val="00CC3AE7"/>
    <w:rsid w:val="00CC3B68"/>
    <w:rsid w:val="00CC3B91"/>
    <w:rsid w:val="00CC3BAB"/>
    <w:rsid w:val="00CC3BAF"/>
    <w:rsid w:val="00CC3C12"/>
    <w:rsid w:val="00CC3C5D"/>
    <w:rsid w:val="00CC3CA7"/>
    <w:rsid w:val="00CC3CFB"/>
    <w:rsid w:val="00CC3D48"/>
    <w:rsid w:val="00CC3D5B"/>
    <w:rsid w:val="00CC3D6E"/>
    <w:rsid w:val="00CC3DE9"/>
    <w:rsid w:val="00CC3E31"/>
    <w:rsid w:val="00CC3E71"/>
    <w:rsid w:val="00CC3F86"/>
    <w:rsid w:val="00CC3FB5"/>
    <w:rsid w:val="00CC4008"/>
    <w:rsid w:val="00CC4017"/>
    <w:rsid w:val="00CC405B"/>
    <w:rsid w:val="00CC4080"/>
    <w:rsid w:val="00CC41E6"/>
    <w:rsid w:val="00CC4251"/>
    <w:rsid w:val="00CC4287"/>
    <w:rsid w:val="00CC42E1"/>
    <w:rsid w:val="00CC431C"/>
    <w:rsid w:val="00CC436F"/>
    <w:rsid w:val="00CC43DA"/>
    <w:rsid w:val="00CC4415"/>
    <w:rsid w:val="00CC4472"/>
    <w:rsid w:val="00CC4495"/>
    <w:rsid w:val="00CC44A7"/>
    <w:rsid w:val="00CC44B7"/>
    <w:rsid w:val="00CC4550"/>
    <w:rsid w:val="00CC45A0"/>
    <w:rsid w:val="00CC460C"/>
    <w:rsid w:val="00CC461F"/>
    <w:rsid w:val="00CC4681"/>
    <w:rsid w:val="00CC4685"/>
    <w:rsid w:val="00CC4695"/>
    <w:rsid w:val="00CC474F"/>
    <w:rsid w:val="00CC476D"/>
    <w:rsid w:val="00CC479A"/>
    <w:rsid w:val="00CC47F4"/>
    <w:rsid w:val="00CC4820"/>
    <w:rsid w:val="00CC485C"/>
    <w:rsid w:val="00CC4860"/>
    <w:rsid w:val="00CC4861"/>
    <w:rsid w:val="00CC48BE"/>
    <w:rsid w:val="00CC48FC"/>
    <w:rsid w:val="00CC4970"/>
    <w:rsid w:val="00CC49C4"/>
    <w:rsid w:val="00CC49CC"/>
    <w:rsid w:val="00CC49ED"/>
    <w:rsid w:val="00CC49EE"/>
    <w:rsid w:val="00CC4A5E"/>
    <w:rsid w:val="00CC4A8D"/>
    <w:rsid w:val="00CC4AC0"/>
    <w:rsid w:val="00CC4B1F"/>
    <w:rsid w:val="00CC4B41"/>
    <w:rsid w:val="00CC4BD1"/>
    <w:rsid w:val="00CC4C34"/>
    <w:rsid w:val="00CC4C92"/>
    <w:rsid w:val="00CC4C95"/>
    <w:rsid w:val="00CC4D22"/>
    <w:rsid w:val="00CC4D78"/>
    <w:rsid w:val="00CC4DD2"/>
    <w:rsid w:val="00CC4E3C"/>
    <w:rsid w:val="00CC4EE0"/>
    <w:rsid w:val="00CC4F28"/>
    <w:rsid w:val="00CC4F82"/>
    <w:rsid w:val="00CC4FA8"/>
    <w:rsid w:val="00CC4FF6"/>
    <w:rsid w:val="00CC5068"/>
    <w:rsid w:val="00CC50FC"/>
    <w:rsid w:val="00CC512C"/>
    <w:rsid w:val="00CC5184"/>
    <w:rsid w:val="00CC51E4"/>
    <w:rsid w:val="00CC5284"/>
    <w:rsid w:val="00CC52D1"/>
    <w:rsid w:val="00CC52ED"/>
    <w:rsid w:val="00CC5356"/>
    <w:rsid w:val="00CC53AF"/>
    <w:rsid w:val="00CC5452"/>
    <w:rsid w:val="00CC5494"/>
    <w:rsid w:val="00CC5546"/>
    <w:rsid w:val="00CC55C8"/>
    <w:rsid w:val="00CC5601"/>
    <w:rsid w:val="00CC561E"/>
    <w:rsid w:val="00CC5649"/>
    <w:rsid w:val="00CC566C"/>
    <w:rsid w:val="00CC5689"/>
    <w:rsid w:val="00CC572E"/>
    <w:rsid w:val="00CC5771"/>
    <w:rsid w:val="00CC57BE"/>
    <w:rsid w:val="00CC57E5"/>
    <w:rsid w:val="00CC5812"/>
    <w:rsid w:val="00CC588B"/>
    <w:rsid w:val="00CC58B5"/>
    <w:rsid w:val="00CC5923"/>
    <w:rsid w:val="00CC59DF"/>
    <w:rsid w:val="00CC5A51"/>
    <w:rsid w:val="00CC5AA0"/>
    <w:rsid w:val="00CC5AD3"/>
    <w:rsid w:val="00CC5B07"/>
    <w:rsid w:val="00CC5B57"/>
    <w:rsid w:val="00CC5B5E"/>
    <w:rsid w:val="00CC5B6A"/>
    <w:rsid w:val="00CC5B85"/>
    <w:rsid w:val="00CC5D34"/>
    <w:rsid w:val="00CC5EB2"/>
    <w:rsid w:val="00CC5ECB"/>
    <w:rsid w:val="00CC5EDF"/>
    <w:rsid w:val="00CC5F17"/>
    <w:rsid w:val="00CC5F4A"/>
    <w:rsid w:val="00CC5F6F"/>
    <w:rsid w:val="00CC5F8B"/>
    <w:rsid w:val="00CC60B6"/>
    <w:rsid w:val="00CC60F1"/>
    <w:rsid w:val="00CC615F"/>
    <w:rsid w:val="00CC62AE"/>
    <w:rsid w:val="00CC62B2"/>
    <w:rsid w:val="00CC62CF"/>
    <w:rsid w:val="00CC62F2"/>
    <w:rsid w:val="00CC6320"/>
    <w:rsid w:val="00CC6360"/>
    <w:rsid w:val="00CC643C"/>
    <w:rsid w:val="00CC64B8"/>
    <w:rsid w:val="00CC651D"/>
    <w:rsid w:val="00CC6563"/>
    <w:rsid w:val="00CC666C"/>
    <w:rsid w:val="00CC6674"/>
    <w:rsid w:val="00CC67A0"/>
    <w:rsid w:val="00CC67C3"/>
    <w:rsid w:val="00CC68E5"/>
    <w:rsid w:val="00CC69E2"/>
    <w:rsid w:val="00CC69F0"/>
    <w:rsid w:val="00CC6A22"/>
    <w:rsid w:val="00CC6A7A"/>
    <w:rsid w:val="00CC6B3A"/>
    <w:rsid w:val="00CC6B3B"/>
    <w:rsid w:val="00CC6B44"/>
    <w:rsid w:val="00CC6B67"/>
    <w:rsid w:val="00CC6B75"/>
    <w:rsid w:val="00CC6BC5"/>
    <w:rsid w:val="00CC6C23"/>
    <w:rsid w:val="00CC6C36"/>
    <w:rsid w:val="00CC6C99"/>
    <w:rsid w:val="00CC6CB2"/>
    <w:rsid w:val="00CC6CC3"/>
    <w:rsid w:val="00CC6CCF"/>
    <w:rsid w:val="00CC6D95"/>
    <w:rsid w:val="00CC6E2F"/>
    <w:rsid w:val="00CC6F61"/>
    <w:rsid w:val="00CC6FC5"/>
    <w:rsid w:val="00CC6FDE"/>
    <w:rsid w:val="00CC6FF6"/>
    <w:rsid w:val="00CC701A"/>
    <w:rsid w:val="00CC70EC"/>
    <w:rsid w:val="00CC7106"/>
    <w:rsid w:val="00CC71DF"/>
    <w:rsid w:val="00CC71E5"/>
    <w:rsid w:val="00CC7246"/>
    <w:rsid w:val="00CC724E"/>
    <w:rsid w:val="00CC725B"/>
    <w:rsid w:val="00CC72C0"/>
    <w:rsid w:val="00CC7386"/>
    <w:rsid w:val="00CC741D"/>
    <w:rsid w:val="00CC7420"/>
    <w:rsid w:val="00CC74FE"/>
    <w:rsid w:val="00CC74FF"/>
    <w:rsid w:val="00CC7594"/>
    <w:rsid w:val="00CC7596"/>
    <w:rsid w:val="00CC764F"/>
    <w:rsid w:val="00CC7653"/>
    <w:rsid w:val="00CC7656"/>
    <w:rsid w:val="00CC7695"/>
    <w:rsid w:val="00CC769F"/>
    <w:rsid w:val="00CC76A7"/>
    <w:rsid w:val="00CC7722"/>
    <w:rsid w:val="00CC7761"/>
    <w:rsid w:val="00CC784C"/>
    <w:rsid w:val="00CC78C8"/>
    <w:rsid w:val="00CC7914"/>
    <w:rsid w:val="00CC7922"/>
    <w:rsid w:val="00CC792F"/>
    <w:rsid w:val="00CC7982"/>
    <w:rsid w:val="00CC7A27"/>
    <w:rsid w:val="00CC7A4B"/>
    <w:rsid w:val="00CC7A52"/>
    <w:rsid w:val="00CC7CF8"/>
    <w:rsid w:val="00CC7CFB"/>
    <w:rsid w:val="00CC7D08"/>
    <w:rsid w:val="00CC7D2D"/>
    <w:rsid w:val="00CC7E98"/>
    <w:rsid w:val="00CD0014"/>
    <w:rsid w:val="00CD0076"/>
    <w:rsid w:val="00CD0089"/>
    <w:rsid w:val="00CD00A7"/>
    <w:rsid w:val="00CD016F"/>
    <w:rsid w:val="00CD0194"/>
    <w:rsid w:val="00CD01B6"/>
    <w:rsid w:val="00CD01B7"/>
    <w:rsid w:val="00CD0203"/>
    <w:rsid w:val="00CD02BF"/>
    <w:rsid w:val="00CD02D5"/>
    <w:rsid w:val="00CD02EC"/>
    <w:rsid w:val="00CD0577"/>
    <w:rsid w:val="00CD05E6"/>
    <w:rsid w:val="00CD05F7"/>
    <w:rsid w:val="00CD0629"/>
    <w:rsid w:val="00CD0680"/>
    <w:rsid w:val="00CD0694"/>
    <w:rsid w:val="00CD088E"/>
    <w:rsid w:val="00CD08EA"/>
    <w:rsid w:val="00CD0930"/>
    <w:rsid w:val="00CD094C"/>
    <w:rsid w:val="00CD09A7"/>
    <w:rsid w:val="00CD0A37"/>
    <w:rsid w:val="00CD0A9E"/>
    <w:rsid w:val="00CD0AA0"/>
    <w:rsid w:val="00CD0BFB"/>
    <w:rsid w:val="00CD0C9D"/>
    <w:rsid w:val="00CD0CBD"/>
    <w:rsid w:val="00CD0CD1"/>
    <w:rsid w:val="00CD0D5C"/>
    <w:rsid w:val="00CD0D7B"/>
    <w:rsid w:val="00CD0E06"/>
    <w:rsid w:val="00CD0E20"/>
    <w:rsid w:val="00CD0F93"/>
    <w:rsid w:val="00CD0FB5"/>
    <w:rsid w:val="00CD0FE5"/>
    <w:rsid w:val="00CD10B4"/>
    <w:rsid w:val="00CD110A"/>
    <w:rsid w:val="00CD116C"/>
    <w:rsid w:val="00CD11D9"/>
    <w:rsid w:val="00CD121E"/>
    <w:rsid w:val="00CD1241"/>
    <w:rsid w:val="00CD129C"/>
    <w:rsid w:val="00CD129E"/>
    <w:rsid w:val="00CD12B1"/>
    <w:rsid w:val="00CD133B"/>
    <w:rsid w:val="00CD1463"/>
    <w:rsid w:val="00CD1562"/>
    <w:rsid w:val="00CD15C2"/>
    <w:rsid w:val="00CD15E8"/>
    <w:rsid w:val="00CD15F9"/>
    <w:rsid w:val="00CD167E"/>
    <w:rsid w:val="00CD16E6"/>
    <w:rsid w:val="00CD17A8"/>
    <w:rsid w:val="00CD17CE"/>
    <w:rsid w:val="00CD1813"/>
    <w:rsid w:val="00CD1844"/>
    <w:rsid w:val="00CD1876"/>
    <w:rsid w:val="00CD187E"/>
    <w:rsid w:val="00CD1893"/>
    <w:rsid w:val="00CD1B11"/>
    <w:rsid w:val="00CD1D16"/>
    <w:rsid w:val="00CD1D38"/>
    <w:rsid w:val="00CD1D4D"/>
    <w:rsid w:val="00CD1D61"/>
    <w:rsid w:val="00CD1DB8"/>
    <w:rsid w:val="00CD1E69"/>
    <w:rsid w:val="00CD1E73"/>
    <w:rsid w:val="00CD1F29"/>
    <w:rsid w:val="00CD1F46"/>
    <w:rsid w:val="00CD1FED"/>
    <w:rsid w:val="00CD2033"/>
    <w:rsid w:val="00CD20C9"/>
    <w:rsid w:val="00CD21B2"/>
    <w:rsid w:val="00CD21C0"/>
    <w:rsid w:val="00CD2249"/>
    <w:rsid w:val="00CD2317"/>
    <w:rsid w:val="00CD2321"/>
    <w:rsid w:val="00CD2334"/>
    <w:rsid w:val="00CD2341"/>
    <w:rsid w:val="00CD2381"/>
    <w:rsid w:val="00CD2387"/>
    <w:rsid w:val="00CD23B6"/>
    <w:rsid w:val="00CD23EB"/>
    <w:rsid w:val="00CD24A8"/>
    <w:rsid w:val="00CD254C"/>
    <w:rsid w:val="00CD2579"/>
    <w:rsid w:val="00CD25F7"/>
    <w:rsid w:val="00CD2736"/>
    <w:rsid w:val="00CD2742"/>
    <w:rsid w:val="00CD275A"/>
    <w:rsid w:val="00CD27D2"/>
    <w:rsid w:val="00CD2803"/>
    <w:rsid w:val="00CD2834"/>
    <w:rsid w:val="00CD2848"/>
    <w:rsid w:val="00CD294E"/>
    <w:rsid w:val="00CD296C"/>
    <w:rsid w:val="00CD29EF"/>
    <w:rsid w:val="00CD2A28"/>
    <w:rsid w:val="00CD2A53"/>
    <w:rsid w:val="00CD2ACF"/>
    <w:rsid w:val="00CD2AE6"/>
    <w:rsid w:val="00CD2AFC"/>
    <w:rsid w:val="00CD2AFE"/>
    <w:rsid w:val="00CD2B0C"/>
    <w:rsid w:val="00CD2B35"/>
    <w:rsid w:val="00CD2B43"/>
    <w:rsid w:val="00CD2B59"/>
    <w:rsid w:val="00CD2B9B"/>
    <w:rsid w:val="00CD2B9F"/>
    <w:rsid w:val="00CD2BCC"/>
    <w:rsid w:val="00CD2C34"/>
    <w:rsid w:val="00CD2CE6"/>
    <w:rsid w:val="00CD2D48"/>
    <w:rsid w:val="00CD2D73"/>
    <w:rsid w:val="00CD2DA0"/>
    <w:rsid w:val="00CD2E18"/>
    <w:rsid w:val="00CD2E2A"/>
    <w:rsid w:val="00CD2E37"/>
    <w:rsid w:val="00CD2EE0"/>
    <w:rsid w:val="00CD2EFB"/>
    <w:rsid w:val="00CD2F5B"/>
    <w:rsid w:val="00CD2FB1"/>
    <w:rsid w:val="00CD317E"/>
    <w:rsid w:val="00CD31FF"/>
    <w:rsid w:val="00CD322B"/>
    <w:rsid w:val="00CD323D"/>
    <w:rsid w:val="00CD32AA"/>
    <w:rsid w:val="00CD3350"/>
    <w:rsid w:val="00CD3382"/>
    <w:rsid w:val="00CD3450"/>
    <w:rsid w:val="00CD349C"/>
    <w:rsid w:val="00CD34D2"/>
    <w:rsid w:val="00CD356C"/>
    <w:rsid w:val="00CD35C3"/>
    <w:rsid w:val="00CD363C"/>
    <w:rsid w:val="00CD3728"/>
    <w:rsid w:val="00CD3732"/>
    <w:rsid w:val="00CD3763"/>
    <w:rsid w:val="00CD3784"/>
    <w:rsid w:val="00CD386F"/>
    <w:rsid w:val="00CD3881"/>
    <w:rsid w:val="00CD3885"/>
    <w:rsid w:val="00CD38AF"/>
    <w:rsid w:val="00CD394F"/>
    <w:rsid w:val="00CD3981"/>
    <w:rsid w:val="00CD39BB"/>
    <w:rsid w:val="00CD39DC"/>
    <w:rsid w:val="00CD39E8"/>
    <w:rsid w:val="00CD3A34"/>
    <w:rsid w:val="00CD3AAE"/>
    <w:rsid w:val="00CD3B14"/>
    <w:rsid w:val="00CD3B42"/>
    <w:rsid w:val="00CD3B5E"/>
    <w:rsid w:val="00CD3C00"/>
    <w:rsid w:val="00CD3C1D"/>
    <w:rsid w:val="00CD3D02"/>
    <w:rsid w:val="00CD3D6F"/>
    <w:rsid w:val="00CD3D7C"/>
    <w:rsid w:val="00CD3DA7"/>
    <w:rsid w:val="00CD3DAD"/>
    <w:rsid w:val="00CD3DC1"/>
    <w:rsid w:val="00CD3E11"/>
    <w:rsid w:val="00CD3E82"/>
    <w:rsid w:val="00CD3EA1"/>
    <w:rsid w:val="00CD3F11"/>
    <w:rsid w:val="00CD3F1B"/>
    <w:rsid w:val="00CD3F6E"/>
    <w:rsid w:val="00CD3FCB"/>
    <w:rsid w:val="00CD4016"/>
    <w:rsid w:val="00CD401B"/>
    <w:rsid w:val="00CD4186"/>
    <w:rsid w:val="00CD41C0"/>
    <w:rsid w:val="00CD41D0"/>
    <w:rsid w:val="00CD41D6"/>
    <w:rsid w:val="00CD4243"/>
    <w:rsid w:val="00CD428F"/>
    <w:rsid w:val="00CD429B"/>
    <w:rsid w:val="00CD42B6"/>
    <w:rsid w:val="00CD42E0"/>
    <w:rsid w:val="00CD42FC"/>
    <w:rsid w:val="00CD434A"/>
    <w:rsid w:val="00CD4388"/>
    <w:rsid w:val="00CD4391"/>
    <w:rsid w:val="00CD43DB"/>
    <w:rsid w:val="00CD4406"/>
    <w:rsid w:val="00CD4417"/>
    <w:rsid w:val="00CD451E"/>
    <w:rsid w:val="00CD4589"/>
    <w:rsid w:val="00CD45D5"/>
    <w:rsid w:val="00CD45E5"/>
    <w:rsid w:val="00CD45EA"/>
    <w:rsid w:val="00CD4634"/>
    <w:rsid w:val="00CD464E"/>
    <w:rsid w:val="00CD471C"/>
    <w:rsid w:val="00CD472A"/>
    <w:rsid w:val="00CD4741"/>
    <w:rsid w:val="00CD47D6"/>
    <w:rsid w:val="00CD47EF"/>
    <w:rsid w:val="00CD4826"/>
    <w:rsid w:val="00CD4863"/>
    <w:rsid w:val="00CD48B8"/>
    <w:rsid w:val="00CD49A4"/>
    <w:rsid w:val="00CD4A2D"/>
    <w:rsid w:val="00CD4A84"/>
    <w:rsid w:val="00CD4AB2"/>
    <w:rsid w:val="00CD4AED"/>
    <w:rsid w:val="00CD4B21"/>
    <w:rsid w:val="00CD4B39"/>
    <w:rsid w:val="00CD4B7B"/>
    <w:rsid w:val="00CD4CE7"/>
    <w:rsid w:val="00CD4CEA"/>
    <w:rsid w:val="00CD4CFE"/>
    <w:rsid w:val="00CD4D44"/>
    <w:rsid w:val="00CD4D83"/>
    <w:rsid w:val="00CD4DF3"/>
    <w:rsid w:val="00CD4EA2"/>
    <w:rsid w:val="00CD4EBC"/>
    <w:rsid w:val="00CD4EF1"/>
    <w:rsid w:val="00CD4F3C"/>
    <w:rsid w:val="00CD4F77"/>
    <w:rsid w:val="00CD4FC1"/>
    <w:rsid w:val="00CD50C8"/>
    <w:rsid w:val="00CD50D5"/>
    <w:rsid w:val="00CD51F3"/>
    <w:rsid w:val="00CD524B"/>
    <w:rsid w:val="00CD52D5"/>
    <w:rsid w:val="00CD52E7"/>
    <w:rsid w:val="00CD5341"/>
    <w:rsid w:val="00CD5400"/>
    <w:rsid w:val="00CD5425"/>
    <w:rsid w:val="00CD54C1"/>
    <w:rsid w:val="00CD5530"/>
    <w:rsid w:val="00CD556A"/>
    <w:rsid w:val="00CD558A"/>
    <w:rsid w:val="00CD55AA"/>
    <w:rsid w:val="00CD5628"/>
    <w:rsid w:val="00CD56B8"/>
    <w:rsid w:val="00CD56BC"/>
    <w:rsid w:val="00CD5759"/>
    <w:rsid w:val="00CD5796"/>
    <w:rsid w:val="00CD582F"/>
    <w:rsid w:val="00CD5902"/>
    <w:rsid w:val="00CD594B"/>
    <w:rsid w:val="00CD5955"/>
    <w:rsid w:val="00CD596A"/>
    <w:rsid w:val="00CD59A2"/>
    <w:rsid w:val="00CD5B27"/>
    <w:rsid w:val="00CD5B30"/>
    <w:rsid w:val="00CD5B52"/>
    <w:rsid w:val="00CD5C3B"/>
    <w:rsid w:val="00CD5CA3"/>
    <w:rsid w:val="00CD5CDD"/>
    <w:rsid w:val="00CD5DD8"/>
    <w:rsid w:val="00CD5E02"/>
    <w:rsid w:val="00CD5E05"/>
    <w:rsid w:val="00CD5E21"/>
    <w:rsid w:val="00CD5EE0"/>
    <w:rsid w:val="00CD5EE5"/>
    <w:rsid w:val="00CD6035"/>
    <w:rsid w:val="00CD60C5"/>
    <w:rsid w:val="00CD61B9"/>
    <w:rsid w:val="00CD61F3"/>
    <w:rsid w:val="00CD6203"/>
    <w:rsid w:val="00CD622C"/>
    <w:rsid w:val="00CD6264"/>
    <w:rsid w:val="00CD6279"/>
    <w:rsid w:val="00CD62A1"/>
    <w:rsid w:val="00CD62B5"/>
    <w:rsid w:val="00CD6338"/>
    <w:rsid w:val="00CD638C"/>
    <w:rsid w:val="00CD63F1"/>
    <w:rsid w:val="00CD6419"/>
    <w:rsid w:val="00CD6429"/>
    <w:rsid w:val="00CD6450"/>
    <w:rsid w:val="00CD646F"/>
    <w:rsid w:val="00CD64B1"/>
    <w:rsid w:val="00CD650C"/>
    <w:rsid w:val="00CD65E8"/>
    <w:rsid w:val="00CD6653"/>
    <w:rsid w:val="00CD666A"/>
    <w:rsid w:val="00CD66B4"/>
    <w:rsid w:val="00CD66D5"/>
    <w:rsid w:val="00CD6708"/>
    <w:rsid w:val="00CD6734"/>
    <w:rsid w:val="00CD6765"/>
    <w:rsid w:val="00CD67A8"/>
    <w:rsid w:val="00CD67B2"/>
    <w:rsid w:val="00CD67BE"/>
    <w:rsid w:val="00CD6813"/>
    <w:rsid w:val="00CD685E"/>
    <w:rsid w:val="00CD68BC"/>
    <w:rsid w:val="00CD68CF"/>
    <w:rsid w:val="00CD68E1"/>
    <w:rsid w:val="00CD695F"/>
    <w:rsid w:val="00CD69D6"/>
    <w:rsid w:val="00CD6ABB"/>
    <w:rsid w:val="00CD6BF9"/>
    <w:rsid w:val="00CD6C50"/>
    <w:rsid w:val="00CD6CB1"/>
    <w:rsid w:val="00CD6CCF"/>
    <w:rsid w:val="00CD6D10"/>
    <w:rsid w:val="00CD6D97"/>
    <w:rsid w:val="00CD6DDE"/>
    <w:rsid w:val="00CD6E03"/>
    <w:rsid w:val="00CD6E29"/>
    <w:rsid w:val="00CD6E6B"/>
    <w:rsid w:val="00CD6E8B"/>
    <w:rsid w:val="00CD6ECE"/>
    <w:rsid w:val="00CD6ED4"/>
    <w:rsid w:val="00CD6EEC"/>
    <w:rsid w:val="00CD6FAA"/>
    <w:rsid w:val="00CD7002"/>
    <w:rsid w:val="00CD7047"/>
    <w:rsid w:val="00CD70B7"/>
    <w:rsid w:val="00CD70E0"/>
    <w:rsid w:val="00CD7106"/>
    <w:rsid w:val="00CD7113"/>
    <w:rsid w:val="00CD7137"/>
    <w:rsid w:val="00CD715D"/>
    <w:rsid w:val="00CD71B0"/>
    <w:rsid w:val="00CD71F2"/>
    <w:rsid w:val="00CD72BE"/>
    <w:rsid w:val="00CD7374"/>
    <w:rsid w:val="00CD73D2"/>
    <w:rsid w:val="00CD73EF"/>
    <w:rsid w:val="00CD74E0"/>
    <w:rsid w:val="00CD7563"/>
    <w:rsid w:val="00CD7564"/>
    <w:rsid w:val="00CD7614"/>
    <w:rsid w:val="00CD76BB"/>
    <w:rsid w:val="00CD7746"/>
    <w:rsid w:val="00CD7793"/>
    <w:rsid w:val="00CD77C5"/>
    <w:rsid w:val="00CD77FE"/>
    <w:rsid w:val="00CD7833"/>
    <w:rsid w:val="00CD7843"/>
    <w:rsid w:val="00CD78A1"/>
    <w:rsid w:val="00CD78C7"/>
    <w:rsid w:val="00CD78E1"/>
    <w:rsid w:val="00CD795A"/>
    <w:rsid w:val="00CD7967"/>
    <w:rsid w:val="00CD796C"/>
    <w:rsid w:val="00CD79E6"/>
    <w:rsid w:val="00CD79F7"/>
    <w:rsid w:val="00CD7A3F"/>
    <w:rsid w:val="00CD7A97"/>
    <w:rsid w:val="00CD7AD3"/>
    <w:rsid w:val="00CD7B7C"/>
    <w:rsid w:val="00CD7BE2"/>
    <w:rsid w:val="00CD7BE9"/>
    <w:rsid w:val="00CD7CF0"/>
    <w:rsid w:val="00CD7D00"/>
    <w:rsid w:val="00CD7DC3"/>
    <w:rsid w:val="00CD7DDB"/>
    <w:rsid w:val="00CD7E10"/>
    <w:rsid w:val="00CD7E12"/>
    <w:rsid w:val="00CD7E7C"/>
    <w:rsid w:val="00CD7E8B"/>
    <w:rsid w:val="00CD7EA7"/>
    <w:rsid w:val="00CD7F53"/>
    <w:rsid w:val="00CD7FD2"/>
    <w:rsid w:val="00CE0003"/>
    <w:rsid w:val="00CE0085"/>
    <w:rsid w:val="00CE00AB"/>
    <w:rsid w:val="00CE00EE"/>
    <w:rsid w:val="00CE0164"/>
    <w:rsid w:val="00CE01CF"/>
    <w:rsid w:val="00CE01E6"/>
    <w:rsid w:val="00CE01FF"/>
    <w:rsid w:val="00CE02A7"/>
    <w:rsid w:val="00CE02C0"/>
    <w:rsid w:val="00CE02D2"/>
    <w:rsid w:val="00CE02D7"/>
    <w:rsid w:val="00CE0330"/>
    <w:rsid w:val="00CE0414"/>
    <w:rsid w:val="00CE0452"/>
    <w:rsid w:val="00CE0492"/>
    <w:rsid w:val="00CE053C"/>
    <w:rsid w:val="00CE059A"/>
    <w:rsid w:val="00CE05AC"/>
    <w:rsid w:val="00CE05D5"/>
    <w:rsid w:val="00CE06E7"/>
    <w:rsid w:val="00CE0732"/>
    <w:rsid w:val="00CE074D"/>
    <w:rsid w:val="00CE0793"/>
    <w:rsid w:val="00CE089E"/>
    <w:rsid w:val="00CE0907"/>
    <w:rsid w:val="00CE0933"/>
    <w:rsid w:val="00CE099A"/>
    <w:rsid w:val="00CE09A2"/>
    <w:rsid w:val="00CE09BB"/>
    <w:rsid w:val="00CE0A24"/>
    <w:rsid w:val="00CE0A3E"/>
    <w:rsid w:val="00CE0A6A"/>
    <w:rsid w:val="00CE0A78"/>
    <w:rsid w:val="00CE0A84"/>
    <w:rsid w:val="00CE0AC9"/>
    <w:rsid w:val="00CE0B04"/>
    <w:rsid w:val="00CE0B14"/>
    <w:rsid w:val="00CE0B84"/>
    <w:rsid w:val="00CE0BFF"/>
    <w:rsid w:val="00CE0CEA"/>
    <w:rsid w:val="00CE0CF8"/>
    <w:rsid w:val="00CE0D2A"/>
    <w:rsid w:val="00CE0D46"/>
    <w:rsid w:val="00CE0DDD"/>
    <w:rsid w:val="00CE0E31"/>
    <w:rsid w:val="00CE0E34"/>
    <w:rsid w:val="00CE0E3F"/>
    <w:rsid w:val="00CE0ECA"/>
    <w:rsid w:val="00CE0EFE"/>
    <w:rsid w:val="00CE0F10"/>
    <w:rsid w:val="00CE0F18"/>
    <w:rsid w:val="00CE0F40"/>
    <w:rsid w:val="00CE101D"/>
    <w:rsid w:val="00CE10CD"/>
    <w:rsid w:val="00CE1104"/>
    <w:rsid w:val="00CE112B"/>
    <w:rsid w:val="00CE1165"/>
    <w:rsid w:val="00CE1171"/>
    <w:rsid w:val="00CE1180"/>
    <w:rsid w:val="00CE122A"/>
    <w:rsid w:val="00CE12F1"/>
    <w:rsid w:val="00CE137D"/>
    <w:rsid w:val="00CE1386"/>
    <w:rsid w:val="00CE13B1"/>
    <w:rsid w:val="00CE13D4"/>
    <w:rsid w:val="00CE150C"/>
    <w:rsid w:val="00CE1563"/>
    <w:rsid w:val="00CE1564"/>
    <w:rsid w:val="00CE15FF"/>
    <w:rsid w:val="00CE161A"/>
    <w:rsid w:val="00CE1626"/>
    <w:rsid w:val="00CE1678"/>
    <w:rsid w:val="00CE1706"/>
    <w:rsid w:val="00CE1713"/>
    <w:rsid w:val="00CE172B"/>
    <w:rsid w:val="00CE176D"/>
    <w:rsid w:val="00CE179A"/>
    <w:rsid w:val="00CE17AA"/>
    <w:rsid w:val="00CE17BD"/>
    <w:rsid w:val="00CE17C3"/>
    <w:rsid w:val="00CE17D0"/>
    <w:rsid w:val="00CE1841"/>
    <w:rsid w:val="00CE1865"/>
    <w:rsid w:val="00CE18D0"/>
    <w:rsid w:val="00CE1B23"/>
    <w:rsid w:val="00CE1B6A"/>
    <w:rsid w:val="00CE1BB5"/>
    <w:rsid w:val="00CE1BEF"/>
    <w:rsid w:val="00CE1C81"/>
    <w:rsid w:val="00CE1CC1"/>
    <w:rsid w:val="00CE1CC6"/>
    <w:rsid w:val="00CE1DBE"/>
    <w:rsid w:val="00CE1DDE"/>
    <w:rsid w:val="00CE1DE2"/>
    <w:rsid w:val="00CE1E3B"/>
    <w:rsid w:val="00CE1E3F"/>
    <w:rsid w:val="00CE1E6D"/>
    <w:rsid w:val="00CE1F25"/>
    <w:rsid w:val="00CE1F40"/>
    <w:rsid w:val="00CE1F63"/>
    <w:rsid w:val="00CE1F8E"/>
    <w:rsid w:val="00CE1FC9"/>
    <w:rsid w:val="00CE1FE6"/>
    <w:rsid w:val="00CE2083"/>
    <w:rsid w:val="00CE209D"/>
    <w:rsid w:val="00CE20C5"/>
    <w:rsid w:val="00CE20DD"/>
    <w:rsid w:val="00CE214C"/>
    <w:rsid w:val="00CE2154"/>
    <w:rsid w:val="00CE2185"/>
    <w:rsid w:val="00CE21A9"/>
    <w:rsid w:val="00CE21EE"/>
    <w:rsid w:val="00CE2282"/>
    <w:rsid w:val="00CE2287"/>
    <w:rsid w:val="00CE22A0"/>
    <w:rsid w:val="00CE22AF"/>
    <w:rsid w:val="00CE22E1"/>
    <w:rsid w:val="00CE2316"/>
    <w:rsid w:val="00CE23E2"/>
    <w:rsid w:val="00CE2493"/>
    <w:rsid w:val="00CE2497"/>
    <w:rsid w:val="00CE24C2"/>
    <w:rsid w:val="00CE2573"/>
    <w:rsid w:val="00CE257B"/>
    <w:rsid w:val="00CE25F3"/>
    <w:rsid w:val="00CE25FD"/>
    <w:rsid w:val="00CE2610"/>
    <w:rsid w:val="00CE2685"/>
    <w:rsid w:val="00CE26FA"/>
    <w:rsid w:val="00CE272B"/>
    <w:rsid w:val="00CE2747"/>
    <w:rsid w:val="00CE278F"/>
    <w:rsid w:val="00CE2816"/>
    <w:rsid w:val="00CE2827"/>
    <w:rsid w:val="00CE2830"/>
    <w:rsid w:val="00CE28E9"/>
    <w:rsid w:val="00CE2903"/>
    <w:rsid w:val="00CE29C5"/>
    <w:rsid w:val="00CE29CA"/>
    <w:rsid w:val="00CE29EA"/>
    <w:rsid w:val="00CE29F5"/>
    <w:rsid w:val="00CE2AB6"/>
    <w:rsid w:val="00CE2AC5"/>
    <w:rsid w:val="00CE2B72"/>
    <w:rsid w:val="00CE2C12"/>
    <w:rsid w:val="00CE2C6D"/>
    <w:rsid w:val="00CE2C81"/>
    <w:rsid w:val="00CE2CDD"/>
    <w:rsid w:val="00CE2CFE"/>
    <w:rsid w:val="00CE2D37"/>
    <w:rsid w:val="00CE2D6A"/>
    <w:rsid w:val="00CE2DE6"/>
    <w:rsid w:val="00CE2E67"/>
    <w:rsid w:val="00CE2E7B"/>
    <w:rsid w:val="00CE2FB5"/>
    <w:rsid w:val="00CE3077"/>
    <w:rsid w:val="00CE30FB"/>
    <w:rsid w:val="00CE314B"/>
    <w:rsid w:val="00CE31D2"/>
    <w:rsid w:val="00CE31E2"/>
    <w:rsid w:val="00CE3233"/>
    <w:rsid w:val="00CE32AE"/>
    <w:rsid w:val="00CE33C1"/>
    <w:rsid w:val="00CE341A"/>
    <w:rsid w:val="00CE345C"/>
    <w:rsid w:val="00CE3577"/>
    <w:rsid w:val="00CE35ED"/>
    <w:rsid w:val="00CE35FD"/>
    <w:rsid w:val="00CE3603"/>
    <w:rsid w:val="00CE365D"/>
    <w:rsid w:val="00CE3685"/>
    <w:rsid w:val="00CE36E0"/>
    <w:rsid w:val="00CE3715"/>
    <w:rsid w:val="00CE3790"/>
    <w:rsid w:val="00CE37FC"/>
    <w:rsid w:val="00CE3803"/>
    <w:rsid w:val="00CE3836"/>
    <w:rsid w:val="00CE383E"/>
    <w:rsid w:val="00CE38ED"/>
    <w:rsid w:val="00CE394E"/>
    <w:rsid w:val="00CE3A3D"/>
    <w:rsid w:val="00CE3A8D"/>
    <w:rsid w:val="00CE3AB1"/>
    <w:rsid w:val="00CE3ABE"/>
    <w:rsid w:val="00CE3ACF"/>
    <w:rsid w:val="00CE3B6D"/>
    <w:rsid w:val="00CE3B97"/>
    <w:rsid w:val="00CE3BB9"/>
    <w:rsid w:val="00CE3C57"/>
    <w:rsid w:val="00CE3CB6"/>
    <w:rsid w:val="00CE3D23"/>
    <w:rsid w:val="00CE3D4D"/>
    <w:rsid w:val="00CE3DCA"/>
    <w:rsid w:val="00CE3DF6"/>
    <w:rsid w:val="00CE3DFB"/>
    <w:rsid w:val="00CE3E52"/>
    <w:rsid w:val="00CE3F08"/>
    <w:rsid w:val="00CE3FB0"/>
    <w:rsid w:val="00CE40F4"/>
    <w:rsid w:val="00CE40FE"/>
    <w:rsid w:val="00CE4153"/>
    <w:rsid w:val="00CE4174"/>
    <w:rsid w:val="00CE422C"/>
    <w:rsid w:val="00CE422E"/>
    <w:rsid w:val="00CE4335"/>
    <w:rsid w:val="00CE440E"/>
    <w:rsid w:val="00CE4458"/>
    <w:rsid w:val="00CE4474"/>
    <w:rsid w:val="00CE44D9"/>
    <w:rsid w:val="00CE456A"/>
    <w:rsid w:val="00CE4590"/>
    <w:rsid w:val="00CE45F4"/>
    <w:rsid w:val="00CE476E"/>
    <w:rsid w:val="00CE4824"/>
    <w:rsid w:val="00CE4874"/>
    <w:rsid w:val="00CE4905"/>
    <w:rsid w:val="00CE4975"/>
    <w:rsid w:val="00CE4A0A"/>
    <w:rsid w:val="00CE4A81"/>
    <w:rsid w:val="00CE4A85"/>
    <w:rsid w:val="00CE4C02"/>
    <w:rsid w:val="00CE4C86"/>
    <w:rsid w:val="00CE4D64"/>
    <w:rsid w:val="00CE4D8F"/>
    <w:rsid w:val="00CE4DE8"/>
    <w:rsid w:val="00CE4DEE"/>
    <w:rsid w:val="00CE4FDE"/>
    <w:rsid w:val="00CE50D9"/>
    <w:rsid w:val="00CE517D"/>
    <w:rsid w:val="00CE51CB"/>
    <w:rsid w:val="00CE51D7"/>
    <w:rsid w:val="00CE520A"/>
    <w:rsid w:val="00CE5288"/>
    <w:rsid w:val="00CE529C"/>
    <w:rsid w:val="00CE52BB"/>
    <w:rsid w:val="00CE52CF"/>
    <w:rsid w:val="00CE52F6"/>
    <w:rsid w:val="00CE5363"/>
    <w:rsid w:val="00CE53FD"/>
    <w:rsid w:val="00CE541E"/>
    <w:rsid w:val="00CE5488"/>
    <w:rsid w:val="00CE5495"/>
    <w:rsid w:val="00CE54FD"/>
    <w:rsid w:val="00CE553B"/>
    <w:rsid w:val="00CE5569"/>
    <w:rsid w:val="00CE55A1"/>
    <w:rsid w:val="00CE55E0"/>
    <w:rsid w:val="00CE5623"/>
    <w:rsid w:val="00CE5637"/>
    <w:rsid w:val="00CE56DF"/>
    <w:rsid w:val="00CE5798"/>
    <w:rsid w:val="00CE57ED"/>
    <w:rsid w:val="00CE5860"/>
    <w:rsid w:val="00CE5937"/>
    <w:rsid w:val="00CE5992"/>
    <w:rsid w:val="00CE5A0B"/>
    <w:rsid w:val="00CE5A20"/>
    <w:rsid w:val="00CE5A62"/>
    <w:rsid w:val="00CE5AB0"/>
    <w:rsid w:val="00CE5AC9"/>
    <w:rsid w:val="00CE5AF8"/>
    <w:rsid w:val="00CE5B2B"/>
    <w:rsid w:val="00CE5B34"/>
    <w:rsid w:val="00CE5B53"/>
    <w:rsid w:val="00CE5BC5"/>
    <w:rsid w:val="00CE5BCD"/>
    <w:rsid w:val="00CE5C05"/>
    <w:rsid w:val="00CE5C45"/>
    <w:rsid w:val="00CE5C74"/>
    <w:rsid w:val="00CE5C8F"/>
    <w:rsid w:val="00CE5CB5"/>
    <w:rsid w:val="00CE5CD6"/>
    <w:rsid w:val="00CE5DE1"/>
    <w:rsid w:val="00CE5E12"/>
    <w:rsid w:val="00CE5E42"/>
    <w:rsid w:val="00CE5E9D"/>
    <w:rsid w:val="00CE5EE4"/>
    <w:rsid w:val="00CE5F1B"/>
    <w:rsid w:val="00CE5F26"/>
    <w:rsid w:val="00CE6005"/>
    <w:rsid w:val="00CE601E"/>
    <w:rsid w:val="00CE6036"/>
    <w:rsid w:val="00CE6038"/>
    <w:rsid w:val="00CE6089"/>
    <w:rsid w:val="00CE60A4"/>
    <w:rsid w:val="00CE615C"/>
    <w:rsid w:val="00CE61DE"/>
    <w:rsid w:val="00CE61E8"/>
    <w:rsid w:val="00CE62DB"/>
    <w:rsid w:val="00CE6304"/>
    <w:rsid w:val="00CE6372"/>
    <w:rsid w:val="00CE63A4"/>
    <w:rsid w:val="00CE63ED"/>
    <w:rsid w:val="00CE640F"/>
    <w:rsid w:val="00CE6411"/>
    <w:rsid w:val="00CE6446"/>
    <w:rsid w:val="00CE64A3"/>
    <w:rsid w:val="00CE64DA"/>
    <w:rsid w:val="00CE6569"/>
    <w:rsid w:val="00CE65CE"/>
    <w:rsid w:val="00CE6608"/>
    <w:rsid w:val="00CE667E"/>
    <w:rsid w:val="00CE66B3"/>
    <w:rsid w:val="00CE6700"/>
    <w:rsid w:val="00CE670E"/>
    <w:rsid w:val="00CE67E7"/>
    <w:rsid w:val="00CE682D"/>
    <w:rsid w:val="00CE685A"/>
    <w:rsid w:val="00CE6876"/>
    <w:rsid w:val="00CE6886"/>
    <w:rsid w:val="00CE68D4"/>
    <w:rsid w:val="00CE6900"/>
    <w:rsid w:val="00CE692C"/>
    <w:rsid w:val="00CE693D"/>
    <w:rsid w:val="00CE6983"/>
    <w:rsid w:val="00CE69CD"/>
    <w:rsid w:val="00CE6B18"/>
    <w:rsid w:val="00CE6B6A"/>
    <w:rsid w:val="00CE6B6C"/>
    <w:rsid w:val="00CE6BA0"/>
    <w:rsid w:val="00CE6C29"/>
    <w:rsid w:val="00CE6C35"/>
    <w:rsid w:val="00CE6CED"/>
    <w:rsid w:val="00CE6D3D"/>
    <w:rsid w:val="00CE6E49"/>
    <w:rsid w:val="00CE6E6F"/>
    <w:rsid w:val="00CE6EBA"/>
    <w:rsid w:val="00CE6EE3"/>
    <w:rsid w:val="00CE6FFD"/>
    <w:rsid w:val="00CE7034"/>
    <w:rsid w:val="00CE70F9"/>
    <w:rsid w:val="00CE717B"/>
    <w:rsid w:val="00CE71BF"/>
    <w:rsid w:val="00CE724B"/>
    <w:rsid w:val="00CE72BD"/>
    <w:rsid w:val="00CE72E6"/>
    <w:rsid w:val="00CE7362"/>
    <w:rsid w:val="00CE7395"/>
    <w:rsid w:val="00CE7465"/>
    <w:rsid w:val="00CE7470"/>
    <w:rsid w:val="00CE7498"/>
    <w:rsid w:val="00CE752D"/>
    <w:rsid w:val="00CE7581"/>
    <w:rsid w:val="00CE75BE"/>
    <w:rsid w:val="00CE75EF"/>
    <w:rsid w:val="00CE7616"/>
    <w:rsid w:val="00CE761C"/>
    <w:rsid w:val="00CE76D5"/>
    <w:rsid w:val="00CE76FC"/>
    <w:rsid w:val="00CE7705"/>
    <w:rsid w:val="00CE773D"/>
    <w:rsid w:val="00CE782A"/>
    <w:rsid w:val="00CE7843"/>
    <w:rsid w:val="00CE78AD"/>
    <w:rsid w:val="00CE78D4"/>
    <w:rsid w:val="00CE7948"/>
    <w:rsid w:val="00CE7973"/>
    <w:rsid w:val="00CE799B"/>
    <w:rsid w:val="00CE79A7"/>
    <w:rsid w:val="00CE7A4F"/>
    <w:rsid w:val="00CE7B14"/>
    <w:rsid w:val="00CE7B3E"/>
    <w:rsid w:val="00CE7BB6"/>
    <w:rsid w:val="00CE7C01"/>
    <w:rsid w:val="00CE7C21"/>
    <w:rsid w:val="00CE7CBF"/>
    <w:rsid w:val="00CE7CEB"/>
    <w:rsid w:val="00CE7D0B"/>
    <w:rsid w:val="00CE7D4C"/>
    <w:rsid w:val="00CE7D5A"/>
    <w:rsid w:val="00CE7D6B"/>
    <w:rsid w:val="00CE7DDF"/>
    <w:rsid w:val="00CE7E56"/>
    <w:rsid w:val="00CE7ED3"/>
    <w:rsid w:val="00CE7F0B"/>
    <w:rsid w:val="00CE7F5A"/>
    <w:rsid w:val="00CE7F6A"/>
    <w:rsid w:val="00CE7F8C"/>
    <w:rsid w:val="00CE7FB8"/>
    <w:rsid w:val="00CE7FE3"/>
    <w:rsid w:val="00CE7FEC"/>
    <w:rsid w:val="00CEE783"/>
    <w:rsid w:val="00CF0059"/>
    <w:rsid w:val="00CF0181"/>
    <w:rsid w:val="00CF01B7"/>
    <w:rsid w:val="00CF0207"/>
    <w:rsid w:val="00CF02D6"/>
    <w:rsid w:val="00CF030D"/>
    <w:rsid w:val="00CF030E"/>
    <w:rsid w:val="00CF0334"/>
    <w:rsid w:val="00CF0369"/>
    <w:rsid w:val="00CF03D7"/>
    <w:rsid w:val="00CF0408"/>
    <w:rsid w:val="00CF043C"/>
    <w:rsid w:val="00CF044F"/>
    <w:rsid w:val="00CF0483"/>
    <w:rsid w:val="00CF04E6"/>
    <w:rsid w:val="00CF0500"/>
    <w:rsid w:val="00CF0557"/>
    <w:rsid w:val="00CF05C0"/>
    <w:rsid w:val="00CF06EE"/>
    <w:rsid w:val="00CF070A"/>
    <w:rsid w:val="00CF0741"/>
    <w:rsid w:val="00CF07DD"/>
    <w:rsid w:val="00CF085F"/>
    <w:rsid w:val="00CF0868"/>
    <w:rsid w:val="00CF0879"/>
    <w:rsid w:val="00CF087B"/>
    <w:rsid w:val="00CF08A0"/>
    <w:rsid w:val="00CF0995"/>
    <w:rsid w:val="00CF0A17"/>
    <w:rsid w:val="00CF0A37"/>
    <w:rsid w:val="00CF0A45"/>
    <w:rsid w:val="00CF0A61"/>
    <w:rsid w:val="00CF0A77"/>
    <w:rsid w:val="00CF0A96"/>
    <w:rsid w:val="00CF0A99"/>
    <w:rsid w:val="00CF0AD7"/>
    <w:rsid w:val="00CF0AFD"/>
    <w:rsid w:val="00CF0B06"/>
    <w:rsid w:val="00CF0B26"/>
    <w:rsid w:val="00CF0B41"/>
    <w:rsid w:val="00CF0B80"/>
    <w:rsid w:val="00CF0C07"/>
    <w:rsid w:val="00CF0C0B"/>
    <w:rsid w:val="00CF0C1A"/>
    <w:rsid w:val="00CF0C7A"/>
    <w:rsid w:val="00CF0D62"/>
    <w:rsid w:val="00CF0D82"/>
    <w:rsid w:val="00CF0DE8"/>
    <w:rsid w:val="00CF0E10"/>
    <w:rsid w:val="00CF0E3E"/>
    <w:rsid w:val="00CF0EF9"/>
    <w:rsid w:val="00CF0FE6"/>
    <w:rsid w:val="00CF0FFF"/>
    <w:rsid w:val="00CF1047"/>
    <w:rsid w:val="00CF1077"/>
    <w:rsid w:val="00CF109C"/>
    <w:rsid w:val="00CF10BB"/>
    <w:rsid w:val="00CF110F"/>
    <w:rsid w:val="00CF113A"/>
    <w:rsid w:val="00CF1145"/>
    <w:rsid w:val="00CF1244"/>
    <w:rsid w:val="00CF1251"/>
    <w:rsid w:val="00CF129D"/>
    <w:rsid w:val="00CF12BF"/>
    <w:rsid w:val="00CF12C6"/>
    <w:rsid w:val="00CF12F6"/>
    <w:rsid w:val="00CF1319"/>
    <w:rsid w:val="00CF1436"/>
    <w:rsid w:val="00CF1479"/>
    <w:rsid w:val="00CF14E5"/>
    <w:rsid w:val="00CF1575"/>
    <w:rsid w:val="00CF15B1"/>
    <w:rsid w:val="00CF15EA"/>
    <w:rsid w:val="00CF1660"/>
    <w:rsid w:val="00CF168E"/>
    <w:rsid w:val="00CF16A7"/>
    <w:rsid w:val="00CF16B2"/>
    <w:rsid w:val="00CF16EF"/>
    <w:rsid w:val="00CF1715"/>
    <w:rsid w:val="00CF172F"/>
    <w:rsid w:val="00CF186B"/>
    <w:rsid w:val="00CF1871"/>
    <w:rsid w:val="00CF1934"/>
    <w:rsid w:val="00CF19A1"/>
    <w:rsid w:val="00CF19AC"/>
    <w:rsid w:val="00CF1A24"/>
    <w:rsid w:val="00CF1A59"/>
    <w:rsid w:val="00CF1A6D"/>
    <w:rsid w:val="00CF1A7F"/>
    <w:rsid w:val="00CF1AFE"/>
    <w:rsid w:val="00CF1B6D"/>
    <w:rsid w:val="00CF1B77"/>
    <w:rsid w:val="00CF1BA5"/>
    <w:rsid w:val="00CF1BFE"/>
    <w:rsid w:val="00CF1C16"/>
    <w:rsid w:val="00CF1CE2"/>
    <w:rsid w:val="00CF1D2F"/>
    <w:rsid w:val="00CF1D9F"/>
    <w:rsid w:val="00CF1DF9"/>
    <w:rsid w:val="00CF1E3D"/>
    <w:rsid w:val="00CF1E78"/>
    <w:rsid w:val="00CF1F07"/>
    <w:rsid w:val="00CF1F58"/>
    <w:rsid w:val="00CF1F66"/>
    <w:rsid w:val="00CF1FB5"/>
    <w:rsid w:val="00CF2072"/>
    <w:rsid w:val="00CF2140"/>
    <w:rsid w:val="00CF216B"/>
    <w:rsid w:val="00CF21DC"/>
    <w:rsid w:val="00CF2332"/>
    <w:rsid w:val="00CF2388"/>
    <w:rsid w:val="00CF2399"/>
    <w:rsid w:val="00CF23BA"/>
    <w:rsid w:val="00CF23CD"/>
    <w:rsid w:val="00CF2449"/>
    <w:rsid w:val="00CF2457"/>
    <w:rsid w:val="00CF2480"/>
    <w:rsid w:val="00CF2673"/>
    <w:rsid w:val="00CF274B"/>
    <w:rsid w:val="00CF275B"/>
    <w:rsid w:val="00CF277B"/>
    <w:rsid w:val="00CF27F4"/>
    <w:rsid w:val="00CF2882"/>
    <w:rsid w:val="00CF290A"/>
    <w:rsid w:val="00CF2ABF"/>
    <w:rsid w:val="00CF2AF8"/>
    <w:rsid w:val="00CF2B39"/>
    <w:rsid w:val="00CF2B61"/>
    <w:rsid w:val="00CF2B9E"/>
    <w:rsid w:val="00CF2BA2"/>
    <w:rsid w:val="00CF2BA3"/>
    <w:rsid w:val="00CF2BB0"/>
    <w:rsid w:val="00CF2C98"/>
    <w:rsid w:val="00CF2D27"/>
    <w:rsid w:val="00CF2D87"/>
    <w:rsid w:val="00CF2DA0"/>
    <w:rsid w:val="00CF2DAE"/>
    <w:rsid w:val="00CF2DB2"/>
    <w:rsid w:val="00CF2DCB"/>
    <w:rsid w:val="00CF2E31"/>
    <w:rsid w:val="00CF2E3B"/>
    <w:rsid w:val="00CF2F5E"/>
    <w:rsid w:val="00CF2F9B"/>
    <w:rsid w:val="00CF2FBF"/>
    <w:rsid w:val="00CF3013"/>
    <w:rsid w:val="00CF3021"/>
    <w:rsid w:val="00CF3029"/>
    <w:rsid w:val="00CF3083"/>
    <w:rsid w:val="00CF3112"/>
    <w:rsid w:val="00CF3127"/>
    <w:rsid w:val="00CF31DE"/>
    <w:rsid w:val="00CF31F1"/>
    <w:rsid w:val="00CF32D1"/>
    <w:rsid w:val="00CF32F1"/>
    <w:rsid w:val="00CF3352"/>
    <w:rsid w:val="00CF343A"/>
    <w:rsid w:val="00CF347B"/>
    <w:rsid w:val="00CF348C"/>
    <w:rsid w:val="00CF3594"/>
    <w:rsid w:val="00CF3595"/>
    <w:rsid w:val="00CF3597"/>
    <w:rsid w:val="00CF35AA"/>
    <w:rsid w:val="00CF35AD"/>
    <w:rsid w:val="00CF360E"/>
    <w:rsid w:val="00CF3618"/>
    <w:rsid w:val="00CF36C6"/>
    <w:rsid w:val="00CF372C"/>
    <w:rsid w:val="00CF379C"/>
    <w:rsid w:val="00CF37DF"/>
    <w:rsid w:val="00CF37E7"/>
    <w:rsid w:val="00CF384E"/>
    <w:rsid w:val="00CF3867"/>
    <w:rsid w:val="00CF38D1"/>
    <w:rsid w:val="00CF38E9"/>
    <w:rsid w:val="00CF3912"/>
    <w:rsid w:val="00CF3931"/>
    <w:rsid w:val="00CF3967"/>
    <w:rsid w:val="00CF396A"/>
    <w:rsid w:val="00CF3971"/>
    <w:rsid w:val="00CF398A"/>
    <w:rsid w:val="00CF39AA"/>
    <w:rsid w:val="00CF3A81"/>
    <w:rsid w:val="00CF3ADF"/>
    <w:rsid w:val="00CF3B69"/>
    <w:rsid w:val="00CF3BC0"/>
    <w:rsid w:val="00CF3BF2"/>
    <w:rsid w:val="00CF3C97"/>
    <w:rsid w:val="00CF3CD9"/>
    <w:rsid w:val="00CF3CDF"/>
    <w:rsid w:val="00CF3D79"/>
    <w:rsid w:val="00CF3D7F"/>
    <w:rsid w:val="00CF3E48"/>
    <w:rsid w:val="00CF3E76"/>
    <w:rsid w:val="00CF3ED4"/>
    <w:rsid w:val="00CF3FDF"/>
    <w:rsid w:val="00CF4027"/>
    <w:rsid w:val="00CF4118"/>
    <w:rsid w:val="00CF419A"/>
    <w:rsid w:val="00CF427E"/>
    <w:rsid w:val="00CF42C9"/>
    <w:rsid w:val="00CF42D4"/>
    <w:rsid w:val="00CF4376"/>
    <w:rsid w:val="00CF43E2"/>
    <w:rsid w:val="00CF4407"/>
    <w:rsid w:val="00CF44A2"/>
    <w:rsid w:val="00CF44FF"/>
    <w:rsid w:val="00CF45E2"/>
    <w:rsid w:val="00CF471B"/>
    <w:rsid w:val="00CF4742"/>
    <w:rsid w:val="00CF4769"/>
    <w:rsid w:val="00CF477B"/>
    <w:rsid w:val="00CF47AC"/>
    <w:rsid w:val="00CF47D6"/>
    <w:rsid w:val="00CF4818"/>
    <w:rsid w:val="00CF485D"/>
    <w:rsid w:val="00CF4901"/>
    <w:rsid w:val="00CF4A81"/>
    <w:rsid w:val="00CF4A9A"/>
    <w:rsid w:val="00CF4B04"/>
    <w:rsid w:val="00CF4BC8"/>
    <w:rsid w:val="00CF4C14"/>
    <w:rsid w:val="00CF4C86"/>
    <w:rsid w:val="00CF4C9C"/>
    <w:rsid w:val="00CF4CA8"/>
    <w:rsid w:val="00CF4DF7"/>
    <w:rsid w:val="00CF4E66"/>
    <w:rsid w:val="00CF4EC9"/>
    <w:rsid w:val="00CF4F2D"/>
    <w:rsid w:val="00CF4F76"/>
    <w:rsid w:val="00CF4FC1"/>
    <w:rsid w:val="00CF4FEE"/>
    <w:rsid w:val="00CF50CE"/>
    <w:rsid w:val="00CF50FA"/>
    <w:rsid w:val="00CF51EB"/>
    <w:rsid w:val="00CF5200"/>
    <w:rsid w:val="00CF5248"/>
    <w:rsid w:val="00CF52F6"/>
    <w:rsid w:val="00CF539E"/>
    <w:rsid w:val="00CF53F8"/>
    <w:rsid w:val="00CF5432"/>
    <w:rsid w:val="00CF553F"/>
    <w:rsid w:val="00CF55C2"/>
    <w:rsid w:val="00CF55DB"/>
    <w:rsid w:val="00CF560D"/>
    <w:rsid w:val="00CF568A"/>
    <w:rsid w:val="00CF56FF"/>
    <w:rsid w:val="00CF5751"/>
    <w:rsid w:val="00CF57A3"/>
    <w:rsid w:val="00CF5922"/>
    <w:rsid w:val="00CF5936"/>
    <w:rsid w:val="00CF593A"/>
    <w:rsid w:val="00CF5A91"/>
    <w:rsid w:val="00CF5B09"/>
    <w:rsid w:val="00CF5B17"/>
    <w:rsid w:val="00CF5B2C"/>
    <w:rsid w:val="00CF5B88"/>
    <w:rsid w:val="00CF5BB1"/>
    <w:rsid w:val="00CF5C0D"/>
    <w:rsid w:val="00CF5C2E"/>
    <w:rsid w:val="00CF5C52"/>
    <w:rsid w:val="00CF5C54"/>
    <w:rsid w:val="00CF5CC2"/>
    <w:rsid w:val="00CF5CC5"/>
    <w:rsid w:val="00CF5D0D"/>
    <w:rsid w:val="00CF5D4F"/>
    <w:rsid w:val="00CF5D80"/>
    <w:rsid w:val="00CF5E9D"/>
    <w:rsid w:val="00CF5EF2"/>
    <w:rsid w:val="00CF5F80"/>
    <w:rsid w:val="00CF6073"/>
    <w:rsid w:val="00CF6093"/>
    <w:rsid w:val="00CF60A6"/>
    <w:rsid w:val="00CF60C0"/>
    <w:rsid w:val="00CF60E2"/>
    <w:rsid w:val="00CF60F2"/>
    <w:rsid w:val="00CF6137"/>
    <w:rsid w:val="00CF6172"/>
    <w:rsid w:val="00CF617A"/>
    <w:rsid w:val="00CF619B"/>
    <w:rsid w:val="00CF62BA"/>
    <w:rsid w:val="00CF62ED"/>
    <w:rsid w:val="00CF63B3"/>
    <w:rsid w:val="00CF63BA"/>
    <w:rsid w:val="00CF644F"/>
    <w:rsid w:val="00CF646E"/>
    <w:rsid w:val="00CF655C"/>
    <w:rsid w:val="00CF659C"/>
    <w:rsid w:val="00CF65B3"/>
    <w:rsid w:val="00CF660B"/>
    <w:rsid w:val="00CF6610"/>
    <w:rsid w:val="00CF66F2"/>
    <w:rsid w:val="00CF6726"/>
    <w:rsid w:val="00CF6746"/>
    <w:rsid w:val="00CF6768"/>
    <w:rsid w:val="00CF676F"/>
    <w:rsid w:val="00CF6776"/>
    <w:rsid w:val="00CF683A"/>
    <w:rsid w:val="00CF6879"/>
    <w:rsid w:val="00CF691E"/>
    <w:rsid w:val="00CF6ABC"/>
    <w:rsid w:val="00CF6AC0"/>
    <w:rsid w:val="00CF6ACC"/>
    <w:rsid w:val="00CF6BDB"/>
    <w:rsid w:val="00CF6D4D"/>
    <w:rsid w:val="00CF6D73"/>
    <w:rsid w:val="00CF6E52"/>
    <w:rsid w:val="00CF6E6D"/>
    <w:rsid w:val="00CF6EF9"/>
    <w:rsid w:val="00CF6F00"/>
    <w:rsid w:val="00CF6FD9"/>
    <w:rsid w:val="00CF6FF4"/>
    <w:rsid w:val="00CF708B"/>
    <w:rsid w:val="00CF709C"/>
    <w:rsid w:val="00CF70FA"/>
    <w:rsid w:val="00CF71F3"/>
    <w:rsid w:val="00CF722E"/>
    <w:rsid w:val="00CF730F"/>
    <w:rsid w:val="00CF747F"/>
    <w:rsid w:val="00CF74B2"/>
    <w:rsid w:val="00CF764D"/>
    <w:rsid w:val="00CF7684"/>
    <w:rsid w:val="00CF76AC"/>
    <w:rsid w:val="00CF76B2"/>
    <w:rsid w:val="00CF7713"/>
    <w:rsid w:val="00CF779B"/>
    <w:rsid w:val="00CF7899"/>
    <w:rsid w:val="00CF78CE"/>
    <w:rsid w:val="00CF79A7"/>
    <w:rsid w:val="00CF79B6"/>
    <w:rsid w:val="00CF7A2E"/>
    <w:rsid w:val="00CF7A4D"/>
    <w:rsid w:val="00CF7A72"/>
    <w:rsid w:val="00CF7A7B"/>
    <w:rsid w:val="00CF7B64"/>
    <w:rsid w:val="00CF7B8A"/>
    <w:rsid w:val="00CF7BE5"/>
    <w:rsid w:val="00CF7BEB"/>
    <w:rsid w:val="00CF7C4C"/>
    <w:rsid w:val="00CF7C52"/>
    <w:rsid w:val="00CF7C73"/>
    <w:rsid w:val="00CF7CA5"/>
    <w:rsid w:val="00CF7CC6"/>
    <w:rsid w:val="00CF7CD1"/>
    <w:rsid w:val="00CF7D19"/>
    <w:rsid w:val="00CF7D4C"/>
    <w:rsid w:val="00CF7D5A"/>
    <w:rsid w:val="00CF7E1E"/>
    <w:rsid w:val="00CF7E44"/>
    <w:rsid w:val="00CF7E85"/>
    <w:rsid w:val="00CF7F71"/>
    <w:rsid w:val="00CF7F8E"/>
    <w:rsid w:val="00CF7FB7"/>
    <w:rsid w:val="00CF7FB8"/>
    <w:rsid w:val="00CF7FF1"/>
    <w:rsid w:val="00CF7FF3"/>
    <w:rsid w:val="00CF7FF5"/>
    <w:rsid w:val="00D00083"/>
    <w:rsid w:val="00D001BE"/>
    <w:rsid w:val="00D001C3"/>
    <w:rsid w:val="00D001CC"/>
    <w:rsid w:val="00D00202"/>
    <w:rsid w:val="00D00276"/>
    <w:rsid w:val="00D00327"/>
    <w:rsid w:val="00D0033B"/>
    <w:rsid w:val="00D00468"/>
    <w:rsid w:val="00D0048F"/>
    <w:rsid w:val="00D004B1"/>
    <w:rsid w:val="00D004E4"/>
    <w:rsid w:val="00D00553"/>
    <w:rsid w:val="00D0056C"/>
    <w:rsid w:val="00D005BA"/>
    <w:rsid w:val="00D005DD"/>
    <w:rsid w:val="00D0064B"/>
    <w:rsid w:val="00D006A0"/>
    <w:rsid w:val="00D006B4"/>
    <w:rsid w:val="00D00730"/>
    <w:rsid w:val="00D0079F"/>
    <w:rsid w:val="00D00807"/>
    <w:rsid w:val="00D00815"/>
    <w:rsid w:val="00D00823"/>
    <w:rsid w:val="00D00903"/>
    <w:rsid w:val="00D0095B"/>
    <w:rsid w:val="00D009A8"/>
    <w:rsid w:val="00D009C7"/>
    <w:rsid w:val="00D00A09"/>
    <w:rsid w:val="00D00A7C"/>
    <w:rsid w:val="00D00B4D"/>
    <w:rsid w:val="00D00B8F"/>
    <w:rsid w:val="00D00BA5"/>
    <w:rsid w:val="00D00BC5"/>
    <w:rsid w:val="00D00C3F"/>
    <w:rsid w:val="00D00C40"/>
    <w:rsid w:val="00D00C73"/>
    <w:rsid w:val="00D00CA1"/>
    <w:rsid w:val="00D00DED"/>
    <w:rsid w:val="00D00E15"/>
    <w:rsid w:val="00D00F06"/>
    <w:rsid w:val="00D00F26"/>
    <w:rsid w:val="00D00F29"/>
    <w:rsid w:val="00D00F3E"/>
    <w:rsid w:val="00D00F6C"/>
    <w:rsid w:val="00D00FBF"/>
    <w:rsid w:val="00D00FDE"/>
    <w:rsid w:val="00D00FF8"/>
    <w:rsid w:val="00D0106A"/>
    <w:rsid w:val="00D01084"/>
    <w:rsid w:val="00D010A6"/>
    <w:rsid w:val="00D01119"/>
    <w:rsid w:val="00D0112A"/>
    <w:rsid w:val="00D0116E"/>
    <w:rsid w:val="00D01174"/>
    <w:rsid w:val="00D011A2"/>
    <w:rsid w:val="00D011D4"/>
    <w:rsid w:val="00D01213"/>
    <w:rsid w:val="00D01258"/>
    <w:rsid w:val="00D01284"/>
    <w:rsid w:val="00D0128B"/>
    <w:rsid w:val="00D012EE"/>
    <w:rsid w:val="00D012F3"/>
    <w:rsid w:val="00D01346"/>
    <w:rsid w:val="00D01396"/>
    <w:rsid w:val="00D01463"/>
    <w:rsid w:val="00D01472"/>
    <w:rsid w:val="00D014D5"/>
    <w:rsid w:val="00D014F5"/>
    <w:rsid w:val="00D014F6"/>
    <w:rsid w:val="00D01525"/>
    <w:rsid w:val="00D01544"/>
    <w:rsid w:val="00D0157A"/>
    <w:rsid w:val="00D01593"/>
    <w:rsid w:val="00D015FF"/>
    <w:rsid w:val="00D01646"/>
    <w:rsid w:val="00D0166D"/>
    <w:rsid w:val="00D0168A"/>
    <w:rsid w:val="00D016F6"/>
    <w:rsid w:val="00D017FD"/>
    <w:rsid w:val="00D01850"/>
    <w:rsid w:val="00D0185F"/>
    <w:rsid w:val="00D0189B"/>
    <w:rsid w:val="00D018BB"/>
    <w:rsid w:val="00D0195B"/>
    <w:rsid w:val="00D01995"/>
    <w:rsid w:val="00D019EC"/>
    <w:rsid w:val="00D019FA"/>
    <w:rsid w:val="00D01A3C"/>
    <w:rsid w:val="00D01AE5"/>
    <w:rsid w:val="00D01AFE"/>
    <w:rsid w:val="00D01B25"/>
    <w:rsid w:val="00D01B33"/>
    <w:rsid w:val="00D01B8F"/>
    <w:rsid w:val="00D01BE1"/>
    <w:rsid w:val="00D01BF6"/>
    <w:rsid w:val="00D01C61"/>
    <w:rsid w:val="00D01C80"/>
    <w:rsid w:val="00D01D17"/>
    <w:rsid w:val="00D01D34"/>
    <w:rsid w:val="00D01E0F"/>
    <w:rsid w:val="00D01E23"/>
    <w:rsid w:val="00D01F15"/>
    <w:rsid w:val="00D01F95"/>
    <w:rsid w:val="00D01FDC"/>
    <w:rsid w:val="00D02040"/>
    <w:rsid w:val="00D020C9"/>
    <w:rsid w:val="00D020F3"/>
    <w:rsid w:val="00D0211A"/>
    <w:rsid w:val="00D02166"/>
    <w:rsid w:val="00D021D4"/>
    <w:rsid w:val="00D02249"/>
    <w:rsid w:val="00D02280"/>
    <w:rsid w:val="00D0231D"/>
    <w:rsid w:val="00D02333"/>
    <w:rsid w:val="00D02382"/>
    <w:rsid w:val="00D023A7"/>
    <w:rsid w:val="00D02411"/>
    <w:rsid w:val="00D0251F"/>
    <w:rsid w:val="00D0254A"/>
    <w:rsid w:val="00D025B1"/>
    <w:rsid w:val="00D025ED"/>
    <w:rsid w:val="00D0262C"/>
    <w:rsid w:val="00D02639"/>
    <w:rsid w:val="00D02648"/>
    <w:rsid w:val="00D026DE"/>
    <w:rsid w:val="00D02781"/>
    <w:rsid w:val="00D027C8"/>
    <w:rsid w:val="00D0283D"/>
    <w:rsid w:val="00D02879"/>
    <w:rsid w:val="00D028F0"/>
    <w:rsid w:val="00D028F9"/>
    <w:rsid w:val="00D029FC"/>
    <w:rsid w:val="00D02A41"/>
    <w:rsid w:val="00D02A7C"/>
    <w:rsid w:val="00D02A94"/>
    <w:rsid w:val="00D02AC9"/>
    <w:rsid w:val="00D02B1F"/>
    <w:rsid w:val="00D02B30"/>
    <w:rsid w:val="00D02B3A"/>
    <w:rsid w:val="00D02B64"/>
    <w:rsid w:val="00D02BA5"/>
    <w:rsid w:val="00D02BC7"/>
    <w:rsid w:val="00D02C00"/>
    <w:rsid w:val="00D02C1C"/>
    <w:rsid w:val="00D02C57"/>
    <w:rsid w:val="00D02C6B"/>
    <w:rsid w:val="00D02CF8"/>
    <w:rsid w:val="00D02D3D"/>
    <w:rsid w:val="00D02D91"/>
    <w:rsid w:val="00D02DA5"/>
    <w:rsid w:val="00D02E03"/>
    <w:rsid w:val="00D02E8A"/>
    <w:rsid w:val="00D02EAA"/>
    <w:rsid w:val="00D02EF4"/>
    <w:rsid w:val="00D02EFC"/>
    <w:rsid w:val="00D03038"/>
    <w:rsid w:val="00D03045"/>
    <w:rsid w:val="00D030C0"/>
    <w:rsid w:val="00D03179"/>
    <w:rsid w:val="00D03191"/>
    <w:rsid w:val="00D03236"/>
    <w:rsid w:val="00D03270"/>
    <w:rsid w:val="00D032A4"/>
    <w:rsid w:val="00D032CB"/>
    <w:rsid w:val="00D032FE"/>
    <w:rsid w:val="00D03382"/>
    <w:rsid w:val="00D03387"/>
    <w:rsid w:val="00D03477"/>
    <w:rsid w:val="00D034AB"/>
    <w:rsid w:val="00D034B3"/>
    <w:rsid w:val="00D034C0"/>
    <w:rsid w:val="00D034C2"/>
    <w:rsid w:val="00D03542"/>
    <w:rsid w:val="00D035AA"/>
    <w:rsid w:val="00D0368D"/>
    <w:rsid w:val="00D03758"/>
    <w:rsid w:val="00D03829"/>
    <w:rsid w:val="00D038D1"/>
    <w:rsid w:val="00D038F8"/>
    <w:rsid w:val="00D0390B"/>
    <w:rsid w:val="00D03917"/>
    <w:rsid w:val="00D0393A"/>
    <w:rsid w:val="00D03963"/>
    <w:rsid w:val="00D0398B"/>
    <w:rsid w:val="00D03995"/>
    <w:rsid w:val="00D039FE"/>
    <w:rsid w:val="00D03A3F"/>
    <w:rsid w:val="00D03A54"/>
    <w:rsid w:val="00D03AE5"/>
    <w:rsid w:val="00D03AF7"/>
    <w:rsid w:val="00D03C2B"/>
    <w:rsid w:val="00D03C39"/>
    <w:rsid w:val="00D03C81"/>
    <w:rsid w:val="00D03C8D"/>
    <w:rsid w:val="00D03CDA"/>
    <w:rsid w:val="00D03D17"/>
    <w:rsid w:val="00D03D94"/>
    <w:rsid w:val="00D03E1B"/>
    <w:rsid w:val="00D03E65"/>
    <w:rsid w:val="00D03E72"/>
    <w:rsid w:val="00D03EC7"/>
    <w:rsid w:val="00D03EEA"/>
    <w:rsid w:val="00D03F54"/>
    <w:rsid w:val="00D03FA6"/>
    <w:rsid w:val="00D03FC5"/>
    <w:rsid w:val="00D03FFD"/>
    <w:rsid w:val="00D04081"/>
    <w:rsid w:val="00D0408B"/>
    <w:rsid w:val="00D040C6"/>
    <w:rsid w:val="00D040CA"/>
    <w:rsid w:val="00D0411D"/>
    <w:rsid w:val="00D041B9"/>
    <w:rsid w:val="00D041EA"/>
    <w:rsid w:val="00D0425B"/>
    <w:rsid w:val="00D042C7"/>
    <w:rsid w:val="00D042F8"/>
    <w:rsid w:val="00D0435A"/>
    <w:rsid w:val="00D0435B"/>
    <w:rsid w:val="00D04362"/>
    <w:rsid w:val="00D043B4"/>
    <w:rsid w:val="00D04406"/>
    <w:rsid w:val="00D04474"/>
    <w:rsid w:val="00D044E6"/>
    <w:rsid w:val="00D044F5"/>
    <w:rsid w:val="00D04616"/>
    <w:rsid w:val="00D0462D"/>
    <w:rsid w:val="00D0465C"/>
    <w:rsid w:val="00D04672"/>
    <w:rsid w:val="00D04693"/>
    <w:rsid w:val="00D046AF"/>
    <w:rsid w:val="00D046E4"/>
    <w:rsid w:val="00D047AB"/>
    <w:rsid w:val="00D04847"/>
    <w:rsid w:val="00D04889"/>
    <w:rsid w:val="00D0489B"/>
    <w:rsid w:val="00D048E7"/>
    <w:rsid w:val="00D048EE"/>
    <w:rsid w:val="00D0495E"/>
    <w:rsid w:val="00D04982"/>
    <w:rsid w:val="00D0498B"/>
    <w:rsid w:val="00D04A34"/>
    <w:rsid w:val="00D04B18"/>
    <w:rsid w:val="00D04B2D"/>
    <w:rsid w:val="00D04B78"/>
    <w:rsid w:val="00D04B89"/>
    <w:rsid w:val="00D04BC4"/>
    <w:rsid w:val="00D04C41"/>
    <w:rsid w:val="00D04C52"/>
    <w:rsid w:val="00D04D68"/>
    <w:rsid w:val="00D04EA4"/>
    <w:rsid w:val="00D04F5A"/>
    <w:rsid w:val="00D04FBE"/>
    <w:rsid w:val="00D0500F"/>
    <w:rsid w:val="00D050AE"/>
    <w:rsid w:val="00D05114"/>
    <w:rsid w:val="00D05192"/>
    <w:rsid w:val="00D05217"/>
    <w:rsid w:val="00D05225"/>
    <w:rsid w:val="00D0527C"/>
    <w:rsid w:val="00D05280"/>
    <w:rsid w:val="00D052CE"/>
    <w:rsid w:val="00D05322"/>
    <w:rsid w:val="00D05374"/>
    <w:rsid w:val="00D0542D"/>
    <w:rsid w:val="00D05498"/>
    <w:rsid w:val="00D054A7"/>
    <w:rsid w:val="00D054D1"/>
    <w:rsid w:val="00D05573"/>
    <w:rsid w:val="00D05602"/>
    <w:rsid w:val="00D0560D"/>
    <w:rsid w:val="00D05622"/>
    <w:rsid w:val="00D05643"/>
    <w:rsid w:val="00D05652"/>
    <w:rsid w:val="00D0576C"/>
    <w:rsid w:val="00D05771"/>
    <w:rsid w:val="00D057BF"/>
    <w:rsid w:val="00D057F2"/>
    <w:rsid w:val="00D05855"/>
    <w:rsid w:val="00D05902"/>
    <w:rsid w:val="00D0596A"/>
    <w:rsid w:val="00D05990"/>
    <w:rsid w:val="00D05A3C"/>
    <w:rsid w:val="00D05AF4"/>
    <w:rsid w:val="00D05AFD"/>
    <w:rsid w:val="00D05B29"/>
    <w:rsid w:val="00D05B4D"/>
    <w:rsid w:val="00D05B81"/>
    <w:rsid w:val="00D05C34"/>
    <w:rsid w:val="00D05C4A"/>
    <w:rsid w:val="00D05C63"/>
    <w:rsid w:val="00D05C98"/>
    <w:rsid w:val="00D05C9D"/>
    <w:rsid w:val="00D05CF0"/>
    <w:rsid w:val="00D05CFF"/>
    <w:rsid w:val="00D05D06"/>
    <w:rsid w:val="00D05DA7"/>
    <w:rsid w:val="00D05E0D"/>
    <w:rsid w:val="00D05E6D"/>
    <w:rsid w:val="00D05EEF"/>
    <w:rsid w:val="00D05F1B"/>
    <w:rsid w:val="00D05F8B"/>
    <w:rsid w:val="00D05F8F"/>
    <w:rsid w:val="00D05FC0"/>
    <w:rsid w:val="00D0607F"/>
    <w:rsid w:val="00D0609D"/>
    <w:rsid w:val="00D060B3"/>
    <w:rsid w:val="00D060DB"/>
    <w:rsid w:val="00D06126"/>
    <w:rsid w:val="00D06174"/>
    <w:rsid w:val="00D0629C"/>
    <w:rsid w:val="00D06397"/>
    <w:rsid w:val="00D063E2"/>
    <w:rsid w:val="00D0642C"/>
    <w:rsid w:val="00D06452"/>
    <w:rsid w:val="00D064FA"/>
    <w:rsid w:val="00D06566"/>
    <w:rsid w:val="00D06597"/>
    <w:rsid w:val="00D065FD"/>
    <w:rsid w:val="00D066C7"/>
    <w:rsid w:val="00D0670B"/>
    <w:rsid w:val="00D06793"/>
    <w:rsid w:val="00D067E8"/>
    <w:rsid w:val="00D067FB"/>
    <w:rsid w:val="00D067FF"/>
    <w:rsid w:val="00D06838"/>
    <w:rsid w:val="00D06840"/>
    <w:rsid w:val="00D068B5"/>
    <w:rsid w:val="00D068F3"/>
    <w:rsid w:val="00D06913"/>
    <w:rsid w:val="00D069F1"/>
    <w:rsid w:val="00D06A24"/>
    <w:rsid w:val="00D06A34"/>
    <w:rsid w:val="00D06B06"/>
    <w:rsid w:val="00D06B3F"/>
    <w:rsid w:val="00D06BD5"/>
    <w:rsid w:val="00D06BF1"/>
    <w:rsid w:val="00D06BFF"/>
    <w:rsid w:val="00D06C1B"/>
    <w:rsid w:val="00D06C79"/>
    <w:rsid w:val="00D06DB9"/>
    <w:rsid w:val="00D06E40"/>
    <w:rsid w:val="00D06E43"/>
    <w:rsid w:val="00D06E55"/>
    <w:rsid w:val="00D06E8E"/>
    <w:rsid w:val="00D06EA6"/>
    <w:rsid w:val="00D06F3C"/>
    <w:rsid w:val="00D06F89"/>
    <w:rsid w:val="00D06FC7"/>
    <w:rsid w:val="00D06FD0"/>
    <w:rsid w:val="00D07010"/>
    <w:rsid w:val="00D07022"/>
    <w:rsid w:val="00D070CC"/>
    <w:rsid w:val="00D07143"/>
    <w:rsid w:val="00D07166"/>
    <w:rsid w:val="00D071E2"/>
    <w:rsid w:val="00D072E1"/>
    <w:rsid w:val="00D0734F"/>
    <w:rsid w:val="00D073B7"/>
    <w:rsid w:val="00D0740C"/>
    <w:rsid w:val="00D074CC"/>
    <w:rsid w:val="00D074DD"/>
    <w:rsid w:val="00D07534"/>
    <w:rsid w:val="00D0754E"/>
    <w:rsid w:val="00D0757D"/>
    <w:rsid w:val="00D075B6"/>
    <w:rsid w:val="00D075CD"/>
    <w:rsid w:val="00D07614"/>
    <w:rsid w:val="00D07629"/>
    <w:rsid w:val="00D0763E"/>
    <w:rsid w:val="00D07643"/>
    <w:rsid w:val="00D07693"/>
    <w:rsid w:val="00D07825"/>
    <w:rsid w:val="00D07850"/>
    <w:rsid w:val="00D07A10"/>
    <w:rsid w:val="00D07ABD"/>
    <w:rsid w:val="00D07AD8"/>
    <w:rsid w:val="00D07BF7"/>
    <w:rsid w:val="00D07C3C"/>
    <w:rsid w:val="00D07CCA"/>
    <w:rsid w:val="00D07D77"/>
    <w:rsid w:val="00D07D88"/>
    <w:rsid w:val="00D07E12"/>
    <w:rsid w:val="00D07E20"/>
    <w:rsid w:val="00D07E6B"/>
    <w:rsid w:val="00D07E76"/>
    <w:rsid w:val="00D07E88"/>
    <w:rsid w:val="00D07F00"/>
    <w:rsid w:val="00D0C375"/>
    <w:rsid w:val="00D1004F"/>
    <w:rsid w:val="00D10083"/>
    <w:rsid w:val="00D100C3"/>
    <w:rsid w:val="00D101D6"/>
    <w:rsid w:val="00D10239"/>
    <w:rsid w:val="00D10355"/>
    <w:rsid w:val="00D10358"/>
    <w:rsid w:val="00D103AE"/>
    <w:rsid w:val="00D10486"/>
    <w:rsid w:val="00D104AD"/>
    <w:rsid w:val="00D105CE"/>
    <w:rsid w:val="00D1062A"/>
    <w:rsid w:val="00D10653"/>
    <w:rsid w:val="00D1071D"/>
    <w:rsid w:val="00D10729"/>
    <w:rsid w:val="00D10755"/>
    <w:rsid w:val="00D107F6"/>
    <w:rsid w:val="00D1085A"/>
    <w:rsid w:val="00D10869"/>
    <w:rsid w:val="00D108A0"/>
    <w:rsid w:val="00D10954"/>
    <w:rsid w:val="00D1098A"/>
    <w:rsid w:val="00D109F7"/>
    <w:rsid w:val="00D10A1B"/>
    <w:rsid w:val="00D10AAC"/>
    <w:rsid w:val="00D10AB4"/>
    <w:rsid w:val="00D10B38"/>
    <w:rsid w:val="00D10BC4"/>
    <w:rsid w:val="00D10BCD"/>
    <w:rsid w:val="00D10BFF"/>
    <w:rsid w:val="00D10C37"/>
    <w:rsid w:val="00D10CC8"/>
    <w:rsid w:val="00D10D0A"/>
    <w:rsid w:val="00D10D15"/>
    <w:rsid w:val="00D10D17"/>
    <w:rsid w:val="00D10D65"/>
    <w:rsid w:val="00D10DD1"/>
    <w:rsid w:val="00D10E14"/>
    <w:rsid w:val="00D10E17"/>
    <w:rsid w:val="00D10E1A"/>
    <w:rsid w:val="00D10E29"/>
    <w:rsid w:val="00D10E64"/>
    <w:rsid w:val="00D10EBC"/>
    <w:rsid w:val="00D10EEB"/>
    <w:rsid w:val="00D10F0B"/>
    <w:rsid w:val="00D10FC3"/>
    <w:rsid w:val="00D10FE4"/>
    <w:rsid w:val="00D110A2"/>
    <w:rsid w:val="00D110A9"/>
    <w:rsid w:val="00D110F6"/>
    <w:rsid w:val="00D1112D"/>
    <w:rsid w:val="00D1115F"/>
    <w:rsid w:val="00D1118A"/>
    <w:rsid w:val="00D111DC"/>
    <w:rsid w:val="00D11216"/>
    <w:rsid w:val="00D1121A"/>
    <w:rsid w:val="00D11268"/>
    <w:rsid w:val="00D11288"/>
    <w:rsid w:val="00D1128E"/>
    <w:rsid w:val="00D113D8"/>
    <w:rsid w:val="00D114BF"/>
    <w:rsid w:val="00D1154F"/>
    <w:rsid w:val="00D1156D"/>
    <w:rsid w:val="00D11582"/>
    <w:rsid w:val="00D11632"/>
    <w:rsid w:val="00D11679"/>
    <w:rsid w:val="00D116BA"/>
    <w:rsid w:val="00D11710"/>
    <w:rsid w:val="00D11742"/>
    <w:rsid w:val="00D11792"/>
    <w:rsid w:val="00D117F2"/>
    <w:rsid w:val="00D117F8"/>
    <w:rsid w:val="00D11808"/>
    <w:rsid w:val="00D1183D"/>
    <w:rsid w:val="00D11851"/>
    <w:rsid w:val="00D118B1"/>
    <w:rsid w:val="00D118EB"/>
    <w:rsid w:val="00D1196F"/>
    <w:rsid w:val="00D119CC"/>
    <w:rsid w:val="00D11AD7"/>
    <w:rsid w:val="00D11BB0"/>
    <w:rsid w:val="00D11BF8"/>
    <w:rsid w:val="00D11C07"/>
    <w:rsid w:val="00D11C9C"/>
    <w:rsid w:val="00D11D04"/>
    <w:rsid w:val="00D11D34"/>
    <w:rsid w:val="00D11D38"/>
    <w:rsid w:val="00D11D44"/>
    <w:rsid w:val="00D11DD4"/>
    <w:rsid w:val="00D11DF8"/>
    <w:rsid w:val="00D11E38"/>
    <w:rsid w:val="00D11E6C"/>
    <w:rsid w:val="00D11EB0"/>
    <w:rsid w:val="00D11F3C"/>
    <w:rsid w:val="00D11F7B"/>
    <w:rsid w:val="00D1203F"/>
    <w:rsid w:val="00D12085"/>
    <w:rsid w:val="00D12139"/>
    <w:rsid w:val="00D121A0"/>
    <w:rsid w:val="00D121C4"/>
    <w:rsid w:val="00D121DA"/>
    <w:rsid w:val="00D121F4"/>
    <w:rsid w:val="00D1226B"/>
    <w:rsid w:val="00D12316"/>
    <w:rsid w:val="00D12329"/>
    <w:rsid w:val="00D12352"/>
    <w:rsid w:val="00D123EE"/>
    <w:rsid w:val="00D12444"/>
    <w:rsid w:val="00D125A4"/>
    <w:rsid w:val="00D125ED"/>
    <w:rsid w:val="00D126A0"/>
    <w:rsid w:val="00D126B4"/>
    <w:rsid w:val="00D1270D"/>
    <w:rsid w:val="00D12732"/>
    <w:rsid w:val="00D1274B"/>
    <w:rsid w:val="00D12793"/>
    <w:rsid w:val="00D127D7"/>
    <w:rsid w:val="00D1283E"/>
    <w:rsid w:val="00D12942"/>
    <w:rsid w:val="00D12A0B"/>
    <w:rsid w:val="00D12A10"/>
    <w:rsid w:val="00D12A1C"/>
    <w:rsid w:val="00D12A8C"/>
    <w:rsid w:val="00D12AC1"/>
    <w:rsid w:val="00D12B0E"/>
    <w:rsid w:val="00D12B58"/>
    <w:rsid w:val="00D12C2F"/>
    <w:rsid w:val="00D12C7F"/>
    <w:rsid w:val="00D12C90"/>
    <w:rsid w:val="00D12CD1"/>
    <w:rsid w:val="00D12D33"/>
    <w:rsid w:val="00D12D6F"/>
    <w:rsid w:val="00D12E58"/>
    <w:rsid w:val="00D12E96"/>
    <w:rsid w:val="00D12EB2"/>
    <w:rsid w:val="00D12F6A"/>
    <w:rsid w:val="00D12F80"/>
    <w:rsid w:val="00D1302F"/>
    <w:rsid w:val="00D13094"/>
    <w:rsid w:val="00D1324C"/>
    <w:rsid w:val="00D13278"/>
    <w:rsid w:val="00D13279"/>
    <w:rsid w:val="00D132C5"/>
    <w:rsid w:val="00D132CC"/>
    <w:rsid w:val="00D132CD"/>
    <w:rsid w:val="00D132F2"/>
    <w:rsid w:val="00D13338"/>
    <w:rsid w:val="00D13340"/>
    <w:rsid w:val="00D13369"/>
    <w:rsid w:val="00D13417"/>
    <w:rsid w:val="00D1346C"/>
    <w:rsid w:val="00D134D6"/>
    <w:rsid w:val="00D13550"/>
    <w:rsid w:val="00D135B6"/>
    <w:rsid w:val="00D135DA"/>
    <w:rsid w:val="00D13645"/>
    <w:rsid w:val="00D1366A"/>
    <w:rsid w:val="00D1368C"/>
    <w:rsid w:val="00D13709"/>
    <w:rsid w:val="00D13742"/>
    <w:rsid w:val="00D137A6"/>
    <w:rsid w:val="00D13810"/>
    <w:rsid w:val="00D13888"/>
    <w:rsid w:val="00D1391D"/>
    <w:rsid w:val="00D139D5"/>
    <w:rsid w:val="00D13A0A"/>
    <w:rsid w:val="00D13A18"/>
    <w:rsid w:val="00D13AA6"/>
    <w:rsid w:val="00D13AE8"/>
    <w:rsid w:val="00D13BF1"/>
    <w:rsid w:val="00D13C1D"/>
    <w:rsid w:val="00D13C7D"/>
    <w:rsid w:val="00D13C99"/>
    <w:rsid w:val="00D13DDF"/>
    <w:rsid w:val="00D13E15"/>
    <w:rsid w:val="00D13E19"/>
    <w:rsid w:val="00D13E4C"/>
    <w:rsid w:val="00D13E82"/>
    <w:rsid w:val="00D13F4A"/>
    <w:rsid w:val="00D13F7B"/>
    <w:rsid w:val="00D13FE4"/>
    <w:rsid w:val="00D14028"/>
    <w:rsid w:val="00D1403A"/>
    <w:rsid w:val="00D14071"/>
    <w:rsid w:val="00D1410A"/>
    <w:rsid w:val="00D1411C"/>
    <w:rsid w:val="00D141B8"/>
    <w:rsid w:val="00D141C2"/>
    <w:rsid w:val="00D14273"/>
    <w:rsid w:val="00D142AA"/>
    <w:rsid w:val="00D142DC"/>
    <w:rsid w:val="00D14321"/>
    <w:rsid w:val="00D143A1"/>
    <w:rsid w:val="00D143F1"/>
    <w:rsid w:val="00D14403"/>
    <w:rsid w:val="00D14435"/>
    <w:rsid w:val="00D144AD"/>
    <w:rsid w:val="00D145E0"/>
    <w:rsid w:val="00D14620"/>
    <w:rsid w:val="00D146CA"/>
    <w:rsid w:val="00D14751"/>
    <w:rsid w:val="00D1487D"/>
    <w:rsid w:val="00D148D0"/>
    <w:rsid w:val="00D14A0C"/>
    <w:rsid w:val="00D14A38"/>
    <w:rsid w:val="00D14A6F"/>
    <w:rsid w:val="00D14AD6"/>
    <w:rsid w:val="00D14BFE"/>
    <w:rsid w:val="00D14C03"/>
    <w:rsid w:val="00D14C4D"/>
    <w:rsid w:val="00D14D52"/>
    <w:rsid w:val="00D14D9E"/>
    <w:rsid w:val="00D14DAD"/>
    <w:rsid w:val="00D14DC5"/>
    <w:rsid w:val="00D14DCF"/>
    <w:rsid w:val="00D14E95"/>
    <w:rsid w:val="00D14EAB"/>
    <w:rsid w:val="00D14F17"/>
    <w:rsid w:val="00D14FA1"/>
    <w:rsid w:val="00D15052"/>
    <w:rsid w:val="00D1507E"/>
    <w:rsid w:val="00D150D2"/>
    <w:rsid w:val="00D15172"/>
    <w:rsid w:val="00D151A0"/>
    <w:rsid w:val="00D151AF"/>
    <w:rsid w:val="00D15282"/>
    <w:rsid w:val="00D152B9"/>
    <w:rsid w:val="00D152EF"/>
    <w:rsid w:val="00D15309"/>
    <w:rsid w:val="00D15314"/>
    <w:rsid w:val="00D15328"/>
    <w:rsid w:val="00D15331"/>
    <w:rsid w:val="00D153D4"/>
    <w:rsid w:val="00D155D2"/>
    <w:rsid w:val="00D155EC"/>
    <w:rsid w:val="00D15644"/>
    <w:rsid w:val="00D1564A"/>
    <w:rsid w:val="00D1564F"/>
    <w:rsid w:val="00D1568A"/>
    <w:rsid w:val="00D15814"/>
    <w:rsid w:val="00D15832"/>
    <w:rsid w:val="00D15878"/>
    <w:rsid w:val="00D158C1"/>
    <w:rsid w:val="00D158E0"/>
    <w:rsid w:val="00D15909"/>
    <w:rsid w:val="00D15963"/>
    <w:rsid w:val="00D15983"/>
    <w:rsid w:val="00D159D7"/>
    <w:rsid w:val="00D15A38"/>
    <w:rsid w:val="00D15AC0"/>
    <w:rsid w:val="00D15B34"/>
    <w:rsid w:val="00D15B53"/>
    <w:rsid w:val="00D15B55"/>
    <w:rsid w:val="00D15B56"/>
    <w:rsid w:val="00D15B73"/>
    <w:rsid w:val="00D15BEB"/>
    <w:rsid w:val="00D15C24"/>
    <w:rsid w:val="00D15D3D"/>
    <w:rsid w:val="00D15D4D"/>
    <w:rsid w:val="00D15D9C"/>
    <w:rsid w:val="00D15EC0"/>
    <w:rsid w:val="00D15F4B"/>
    <w:rsid w:val="00D15FC8"/>
    <w:rsid w:val="00D15FE9"/>
    <w:rsid w:val="00D15FED"/>
    <w:rsid w:val="00D16013"/>
    <w:rsid w:val="00D16035"/>
    <w:rsid w:val="00D160C6"/>
    <w:rsid w:val="00D160E8"/>
    <w:rsid w:val="00D16103"/>
    <w:rsid w:val="00D1614C"/>
    <w:rsid w:val="00D161A2"/>
    <w:rsid w:val="00D161CB"/>
    <w:rsid w:val="00D161E5"/>
    <w:rsid w:val="00D16238"/>
    <w:rsid w:val="00D16288"/>
    <w:rsid w:val="00D162A2"/>
    <w:rsid w:val="00D1639C"/>
    <w:rsid w:val="00D163CA"/>
    <w:rsid w:val="00D1647A"/>
    <w:rsid w:val="00D164BF"/>
    <w:rsid w:val="00D164DE"/>
    <w:rsid w:val="00D1655B"/>
    <w:rsid w:val="00D1659E"/>
    <w:rsid w:val="00D165A3"/>
    <w:rsid w:val="00D16640"/>
    <w:rsid w:val="00D166EA"/>
    <w:rsid w:val="00D1670E"/>
    <w:rsid w:val="00D16712"/>
    <w:rsid w:val="00D1672E"/>
    <w:rsid w:val="00D16783"/>
    <w:rsid w:val="00D167FE"/>
    <w:rsid w:val="00D1685A"/>
    <w:rsid w:val="00D168FD"/>
    <w:rsid w:val="00D168FF"/>
    <w:rsid w:val="00D16938"/>
    <w:rsid w:val="00D16972"/>
    <w:rsid w:val="00D1699D"/>
    <w:rsid w:val="00D169B0"/>
    <w:rsid w:val="00D169E4"/>
    <w:rsid w:val="00D16A26"/>
    <w:rsid w:val="00D16A5A"/>
    <w:rsid w:val="00D16AD7"/>
    <w:rsid w:val="00D16AE4"/>
    <w:rsid w:val="00D16B0F"/>
    <w:rsid w:val="00D16BD4"/>
    <w:rsid w:val="00D16C07"/>
    <w:rsid w:val="00D16C47"/>
    <w:rsid w:val="00D16C57"/>
    <w:rsid w:val="00D16C8E"/>
    <w:rsid w:val="00D16CCD"/>
    <w:rsid w:val="00D16D5B"/>
    <w:rsid w:val="00D16DC3"/>
    <w:rsid w:val="00D16E09"/>
    <w:rsid w:val="00D16E79"/>
    <w:rsid w:val="00D16EC0"/>
    <w:rsid w:val="00D16F44"/>
    <w:rsid w:val="00D16F72"/>
    <w:rsid w:val="00D16FB5"/>
    <w:rsid w:val="00D17043"/>
    <w:rsid w:val="00D1706C"/>
    <w:rsid w:val="00D17070"/>
    <w:rsid w:val="00D170B2"/>
    <w:rsid w:val="00D17117"/>
    <w:rsid w:val="00D171BC"/>
    <w:rsid w:val="00D1724B"/>
    <w:rsid w:val="00D17289"/>
    <w:rsid w:val="00D17298"/>
    <w:rsid w:val="00D172B5"/>
    <w:rsid w:val="00D172D9"/>
    <w:rsid w:val="00D1731E"/>
    <w:rsid w:val="00D17352"/>
    <w:rsid w:val="00D17372"/>
    <w:rsid w:val="00D173D9"/>
    <w:rsid w:val="00D17446"/>
    <w:rsid w:val="00D17460"/>
    <w:rsid w:val="00D17497"/>
    <w:rsid w:val="00D175B6"/>
    <w:rsid w:val="00D17680"/>
    <w:rsid w:val="00D176B9"/>
    <w:rsid w:val="00D176C4"/>
    <w:rsid w:val="00D176CD"/>
    <w:rsid w:val="00D1771F"/>
    <w:rsid w:val="00D17785"/>
    <w:rsid w:val="00D17883"/>
    <w:rsid w:val="00D178EE"/>
    <w:rsid w:val="00D17911"/>
    <w:rsid w:val="00D1797B"/>
    <w:rsid w:val="00D179B6"/>
    <w:rsid w:val="00D179F5"/>
    <w:rsid w:val="00D17A45"/>
    <w:rsid w:val="00D17AFA"/>
    <w:rsid w:val="00D17B21"/>
    <w:rsid w:val="00D17C05"/>
    <w:rsid w:val="00D17CFD"/>
    <w:rsid w:val="00D17D40"/>
    <w:rsid w:val="00D17E0B"/>
    <w:rsid w:val="00D17E77"/>
    <w:rsid w:val="00D17EDD"/>
    <w:rsid w:val="00D17EF9"/>
    <w:rsid w:val="00D17EFC"/>
    <w:rsid w:val="00D17F04"/>
    <w:rsid w:val="00D17F22"/>
    <w:rsid w:val="00D17F26"/>
    <w:rsid w:val="00D17F36"/>
    <w:rsid w:val="00D17F68"/>
    <w:rsid w:val="00D17FB2"/>
    <w:rsid w:val="00D17FB6"/>
    <w:rsid w:val="00D17FD1"/>
    <w:rsid w:val="00D17FD3"/>
    <w:rsid w:val="00D20056"/>
    <w:rsid w:val="00D2013C"/>
    <w:rsid w:val="00D20203"/>
    <w:rsid w:val="00D2024F"/>
    <w:rsid w:val="00D20265"/>
    <w:rsid w:val="00D20266"/>
    <w:rsid w:val="00D2026D"/>
    <w:rsid w:val="00D202AD"/>
    <w:rsid w:val="00D2031E"/>
    <w:rsid w:val="00D2039E"/>
    <w:rsid w:val="00D203A2"/>
    <w:rsid w:val="00D2047F"/>
    <w:rsid w:val="00D204F0"/>
    <w:rsid w:val="00D205DA"/>
    <w:rsid w:val="00D2060D"/>
    <w:rsid w:val="00D2063C"/>
    <w:rsid w:val="00D207CF"/>
    <w:rsid w:val="00D207FE"/>
    <w:rsid w:val="00D2080E"/>
    <w:rsid w:val="00D20822"/>
    <w:rsid w:val="00D20824"/>
    <w:rsid w:val="00D2084A"/>
    <w:rsid w:val="00D20860"/>
    <w:rsid w:val="00D208B1"/>
    <w:rsid w:val="00D208C3"/>
    <w:rsid w:val="00D208E8"/>
    <w:rsid w:val="00D208EF"/>
    <w:rsid w:val="00D2093C"/>
    <w:rsid w:val="00D209B3"/>
    <w:rsid w:val="00D209D1"/>
    <w:rsid w:val="00D20A21"/>
    <w:rsid w:val="00D20A82"/>
    <w:rsid w:val="00D20A88"/>
    <w:rsid w:val="00D20A96"/>
    <w:rsid w:val="00D20B1D"/>
    <w:rsid w:val="00D20B23"/>
    <w:rsid w:val="00D20B91"/>
    <w:rsid w:val="00D20C3B"/>
    <w:rsid w:val="00D20C85"/>
    <w:rsid w:val="00D20D08"/>
    <w:rsid w:val="00D20D40"/>
    <w:rsid w:val="00D20DF3"/>
    <w:rsid w:val="00D20EB5"/>
    <w:rsid w:val="00D20F45"/>
    <w:rsid w:val="00D20F6A"/>
    <w:rsid w:val="00D20FD1"/>
    <w:rsid w:val="00D21000"/>
    <w:rsid w:val="00D21006"/>
    <w:rsid w:val="00D210D4"/>
    <w:rsid w:val="00D21168"/>
    <w:rsid w:val="00D211D7"/>
    <w:rsid w:val="00D211EE"/>
    <w:rsid w:val="00D2122B"/>
    <w:rsid w:val="00D2125C"/>
    <w:rsid w:val="00D21296"/>
    <w:rsid w:val="00D21338"/>
    <w:rsid w:val="00D21432"/>
    <w:rsid w:val="00D2144F"/>
    <w:rsid w:val="00D21457"/>
    <w:rsid w:val="00D2145C"/>
    <w:rsid w:val="00D21497"/>
    <w:rsid w:val="00D21675"/>
    <w:rsid w:val="00D21685"/>
    <w:rsid w:val="00D21690"/>
    <w:rsid w:val="00D2169C"/>
    <w:rsid w:val="00D217B4"/>
    <w:rsid w:val="00D217F9"/>
    <w:rsid w:val="00D2181F"/>
    <w:rsid w:val="00D218ED"/>
    <w:rsid w:val="00D21910"/>
    <w:rsid w:val="00D21997"/>
    <w:rsid w:val="00D219B5"/>
    <w:rsid w:val="00D219DD"/>
    <w:rsid w:val="00D21A1A"/>
    <w:rsid w:val="00D21A1D"/>
    <w:rsid w:val="00D21A3B"/>
    <w:rsid w:val="00D21A3D"/>
    <w:rsid w:val="00D21A73"/>
    <w:rsid w:val="00D21A9C"/>
    <w:rsid w:val="00D21B79"/>
    <w:rsid w:val="00D21B83"/>
    <w:rsid w:val="00D21C0E"/>
    <w:rsid w:val="00D21C75"/>
    <w:rsid w:val="00D21C84"/>
    <w:rsid w:val="00D21C86"/>
    <w:rsid w:val="00D21D73"/>
    <w:rsid w:val="00D21D93"/>
    <w:rsid w:val="00D21DC0"/>
    <w:rsid w:val="00D21E27"/>
    <w:rsid w:val="00D21E78"/>
    <w:rsid w:val="00D21EDB"/>
    <w:rsid w:val="00D21F01"/>
    <w:rsid w:val="00D21F7E"/>
    <w:rsid w:val="00D21FBB"/>
    <w:rsid w:val="00D21FE3"/>
    <w:rsid w:val="00D22007"/>
    <w:rsid w:val="00D22107"/>
    <w:rsid w:val="00D2214D"/>
    <w:rsid w:val="00D22179"/>
    <w:rsid w:val="00D221F4"/>
    <w:rsid w:val="00D22231"/>
    <w:rsid w:val="00D22304"/>
    <w:rsid w:val="00D2234A"/>
    <w:rsid w:val="00D22373"/>
    <w:rsid w:val="00D223E6"/>
    <w:rsid w:val="00D223F2"/>
    <w:rsid w:val="00D2241A"/>
    <w:rsid w:val="00D22457"/>
    <w:rsid w:val="00D22491"/>
    <w:rsid w:val="00D224A0"/>
    <w:rsid w:val="00D224AF"/>
    <w:rsid w:val="00D224E0"/>
    <w:rsid w:val="00D224EA"/>
    <w:rsid w:val="00D22521"/>
    <w:rsid w:val="00D22543"/>
    <w:rsid w:val="00D2254B"/>
    <w:rsid w:val="00D22555"/>
    <w:rsid w:val="00D22560"/>
    <w:rsid w:val="00D2256D"/>
    <w:rsid w:val="00D2258E"/>
    <w:rsid w:val="00D2258F"/>
    <w:rsid w:val="00D225D3"/>
    <w:rsid w:val="00D226BF"/>
    <w:rsid w:val="00D22714"/>
    <w:rsid w:val="00D2281F"/>
    <w:rsid w:val="00D228C6"/>
    <w:rsid w:val="00D228D1"/>
    <w:rsid w:val="00D229CD"/>
    <w:rsid w:val="00D22A17"/>
    <w:rsid w:val="00D22A37"/>
    <w:rsid w:val="00D22B4D"/>
    <w:rsid w:val="00D22B50"/>
    <w:rsid w:val="00D22BBB"/>
    <w:rsid w:val="00D22C6F"/>
    <w:rsid w:val="00D22DFD"/>
    <w:rsid w:val="00D22E35"/>
    <w:rsid w:val="00D22E74"/>
    <w:rsid w:val="00D22EBC"/>
    <w:rsid w:val="00D22EBD"/>
    <w:rsid w:val="00D22F50"/>
    <w:rsid w:val="00D2302F"/>
    <w:rsid w:val="00D2305D"/>
    <w:rsid w:val="00D23082"/>
    <w:rsid w:val="00D230EB"/>
    <w:rsid w:val="00D231D2"/>
    <w:rsid w:val="00D23264"/>
    <w:rsid w:val="00D2331D"/>
    <w:rsid w:val="00D2336A"/>
    <w:rsid w:val="00D2337E"/>
    <w:rsid w:val="00D23391"/>
    <w:rsid w:val="00D233F9"/>
    <w:rsid w:val="00D23410"/>
    <w:rsid w:val="00D234B2"/>
    <w:rsid w:val="00D235C1"/>
    <w:rsid w:val="00D23642"/>
    <w:rsid w:val="00D23643"/>
    <w:rsid w:val="00D23657"/>
    <w:rsid w:val="00D236BE"/>
    <w:rsid w:val="00D236D7"/>
    <w:rsid w:val="00D2374D"/>
    <w:rsid w:val="00D237FB"/>
    <w:rsid w:val="00D2380B"/>
    <w:rsid w:val="00D2383F"/>
    <w:rsid w:val="00D238B2"/>
    <w:rsid w:val="00D238DD"/>
    <w:rsid w:val="00D238E3"/>
    <w:rsid w:val="00D238FE"/>
    <w:rsid w:val="00D2393C"/>
    <w:rsid w:val="00D23984"/>
    <w:rsid w:val="00D239DB"/>
    <w:rsid w:val="00D23A0C"/>
    <w:rsid w:val="00D23AD9"/>
    <w:rsid w:val="00D23B40"/>
    <w:rsid w:val="00D23B7B"/>
    <w:rsid w:val="00D23CA1"/>
    <w:rsid w:val="00D23CCE"/>
    <w:rsid w:val="00D23E95"/>
    <w:rsid w:val="00D23EEB"/>
    <w:rsid w:val="00D23FCD"/>
    <w:rsid w:val="00D24036"/>
    <w:rsid w:val="00D240E3"/>
    <w:rsid w:val="00D2411C"/>
    <w:rsid w:val="00D24186"/>
    <w:rsid w:val="00D24286"/>
    <w:rsid w:val="00D24358"/>
    <w:rsid w:val="00D243CF"/>
    <w:rsid w:val="00D2440C"/>
    <w:rsid w:val="00D2442E"/>
    <w:rsid w:val="00D24465"/>
    <w:rsid w:val="00D244B8"/>
    <w:rsid w:val="00D244D5"/>
    <w:rsid w:val="00D24681"/>
    <w:rsid w:val="00D24744"/>
    <w:rsid w:val="00D24770"/>
    <w:rsid w:val="00D24789"/>
    <w:rsid w:val="00D2478D"/>
    <w:rsid w:val="00D247AD"/>
    <w:rsid w:val="00D247F4"/>
    <w:rsid w:val="00D247FB"/>
    <w:rsid w:val="00D24832"/>
    <w:rsid w:val="00D2484D"/>
    <w:rsid w:val="00D248B0"/>
    <w:rsid w:val="00D248BB"/>
    <w:rsid w:val="00D24930"/>
    <w:rsid w:val="00D2493B"/>
    <w:rsid w:val="00D2496B"/>
    <w:rsid w:val="00D24971"/>
    <w:rsid w:val="00D249EB"/>
    <w:rsid w:val="00D24A72"/>
    <w:rsid w:val="00D24ABC"/>
    <w:rsid w:val="00D24AF9"/>
    <w:rsid w:val="00D24B4C"/>
    <w:rsid w:val="00D24BB2"/>
    <w:rsid w:val="00D24C23"/>
    <w:rsid w:val="00D24C50"/>
    <w:rsid w:val="00D24C62"/>
    <w:rsid w:val="00D24CE5"/>
    <w:rsid w:val="00D24D07"/>
    <w:rsid w:val="00D24D3F"/>
    <w:rsid w:val="00D24E58"/>
    <w:rsid w:val="00D24E6A"/>
    <w:rsid w:val="00D24E8A"/>
    <w:rsid w:val="00D24F43"/>
    <w:rsid w:val="00D24FB4"/>
    <w:rsid w:val="00D2502D"/>
    <w:rsid w:val="00D2505D"/>
    <w:rsid w:val="00D251C8"/>
    <w:rsid w:val="00D2523A"/>
    <w:rsid w:val="00D2523D"/>
    <w:rsid w:val="00D2528B"/>
    <w:rsid w:val="00D2536F"/>
    <w:rsid w:val="00D253A4"/>
    <w:rsid w:val="00D2543D"/>
    <w:rsid w:val="00D25545"/>
    <w:rsid w:val="00D255B6"/>
    <w:rsid w:val="00D255E0"/>
    <w:rsid w:val="00D25628"/>
    <w:rsid w:val="00D256AB"/>
    <w:rsid w:val="00D256E6"/>
    <w:rsid w:val="00D25791"/>
    <w:rsid w:val="00D257BE"/>
    <w:rsid w:val="00D257C0"/>
    <w:rsid w:val="00D25806"/>
    <w:rsid w:val="00D25887"/>
    <w:rsid w:val="00D258F0"/>
    <w:rsid w:val="00D258F8"/>
    <w:rsid w:val="00D2595E"/>
    <w:rsid w:val="00D25AAD"/>
    <w:rsid w:val="00D25AB6"/>
    <w:rsid w:val="00D25BF4"/>
    <w:rsid w:val="00D25C33"/>
    <w:rsid w:val="00D25C97"/>
    <w:rsid w:val="00D25D33"/>
    <w:rsid w:val="00D25D42"/>
    <w:rsid w:val="00D25E1F"/>
    <w:rsid w:val="00D25E5B"/>
    <w:rsid w:val="00D25EEE"/>
    <w:rsid w:val="00D25F64"/>
    <w:rsid w:val="00D25FA2"/>
    <w:rsid w:val="00D25FCC"/>
    <w:rsid w:val="00D2602A"/>
    <w:rsid w:val="00D26059"/>
    <w:rsid w:val="00D26069"/>
    <w:rsid w:val="00D26199"/>
    <w:rsid w:val="00D26279"/>
    <w:rsid w:val="00D262B7"/>
    <w:rsid w:val="00D262BB"/>
    <w:rsid w:val="00D26361"/>
    <w:rsid w:val="00D264B1"/>
    <w:rsid w:val="00D26558"/>
    <w:rsid w:val="00D2658F"/>
    <w:rsid w:val="00D265DE"/>
    <w:rsid w:val="00D265FC"/>
    <w:rsid w:val="00D2666A"/>
    <w:rsid w:val="00D2679D"/>
    <w:rsid w:val="00D267A1"/>
    <w:rsid w:val="00D26826"/>
    <w:rsid w:val="00D2682D"/>
    <w:rsid w:val="00D2691D"/>
    <w:rsid w:val="00D26993"/>
    <w:rsid w:val="00D269CC"/>
    <w:rsid w:val="00D26A19"/>
    <w:rsid w:val="00D26AC1"/>
    <w:rsid w:val="00D26B90"/>
    <w:rsid w:val="00D26BDD"/>
    <w:rsid w:val="00D26CC0"/>
    <w:rsid w:val="00D26D16"/>
    <w:rsid w:val="00D26D7B"/>
    <w:rsid w:val="00D26D99"/>
    <w:rsid w:val="00D26E08"/>
    <w:rsid w:val="00D26E12"/>
    <w:rsid w:val="00D26F16"/>
    <w:rsid w:val="00D26F3F"/>
    <w:rsid w:val="00D26F4B"/>
    <w:rsid w:val="00D2703A"/>
    <w:rsid w:val="00D27085"/>
    <w:rsid w:val="00D270C6"/>
    <w:rsid w:val="00D270CE"/>
    <w:rsid w:val="00D270DE"/>
    <w:rsid w:val="00D270EF"/>
    <w:rsid w:val="00D271B5"/>
    <w:rsid w:val="00D27250"/>
    <w:rsid w:val="00D2729F"/>
    <w:rsid w:val="00D272C5"/>
    <w:rsid w:val="00D2738B"/>
    <w:rsid w:val="00D273E6"/>
    <w:rsid w:val="00D27425"/>
    <w:rsid w:val="00D27501"/>
    <w:rsid w:val="00D2753D"/>
    <w:rsid w:val="00D2755E"/>
    <w:rsid w:val="00D275CB"/>
    <w:rsid w:val="00D276F4"/>
    <w:rsid w:val="00D27734"/>
    <w:rsid w:val="00D27776"/>
    <w:rsid w:val="00D2777B"/>
    <w:rsid w:val="00D277EA"/>
    <w:rsid w:val="00D27827"/>
    <w:rsid w:val="00D2782B"/>
    <w:rsid w:val="00D278AF"/>
    <w:rsid w:val="00D27900"/>
    <w:rsid w:val="00D2794D"/>
    <w:rsid w:val="00D27986"/>
    <w:rsid w:val="00D27996"/>
    <w:rsid w:val="00D279BF"/>
    <w:rsid w:val="00D27A83"/>
    <w:rsid w:val="00D27B53"/>
    <w:rsid w:val="00D27BB6"/>
    <w:rsid w:val="00D27BFA"/>
    <w:rsid w:val="00D27CA0"/>
    <w:rsid w:val="00D27CA4"/>
    <w:rsid w:val="00D27CBC"/>
    <w:rsid w:val="00D27CC2"/>
    <w:rsid w:val="00D27D96"/>
    <w:rsid w:val="00D27ECC"/>
    <w:rsid w:val="00D27EE7"/>
    <w:rsid w:val="00D27EFE"/>
    <w:rsid w:val="00D27F4C"/>
    <w:rsid w:val="00D27F67"/>
    <w:rsid w:val="00D27FD1"/>
    <w:rsid w:val="00D30045"/>
    <w:rsid w:val="00D30056"/>
    <w:rsid w:val="00D3008E"/>
    <w:rsid w:val="00D300D5"/>
    <w:rsid w:val="00D30103"/>
    <w:rsid w:val="00D30157"/>
    <w:rsid w:val="00D30176"/>
    <w:rsid w:val="00D3017D"/>
    <w:rsid w:val="00D301D6"/>
    <w:rsid w:val="00D30210"/>
    <w:rsid w:val="00D30261"/>
    <w:rsid w:val="00D30262"/>
    <w:rsid w:val="00D302AD"/>
    <w:rsid w:val="00D302C2"/>
    <w:rsid w:val="00D30353"/>
    <w:rsid w:val="00D30365"/>
    <w:rsid w:val="00D303C3"/>
    <w:rsid w:val="00D303D3"/>
    <w:rsid w:val="00D30417"/>
    <w:rsid w:val="00D3041C"/>
    <w:rsid w:val="00D3047E"/>
    <w:rsid w:val="00D304DC"/>
    <w:rsid w:val="00D3050C"/>
    <w:rsid w:val="00D30527"/>
    <w:rsid w:val="00D30559"/>
    <w:rsid w:val="00D305CB"/>
    <w:rsid w:val="00D305FC"/>
    <w:rsid w:val="00D3062D"/>
    <w:rsid w:val="00D30695"/>
    <w:rsid w:val="00D30734"/>
    <w:rsid w:val="00D3073A"/>
    <w:rsid w:val="00D30813"/>
    <w:rsid w:val="00D3082A"/>
    <w:rsid w:val="00D30872"/>
    <w:rsid w:val="00D30939"/>
    <w:rsid w:val="00D30979"/>
    <w:rsid w:val="00D30998"/>
    <w:rsid w:val="00D30AA8"/>
    <w:rsid w:val="00D30AB0"/>
    <w:rsid w:val="00D30B67"/>
    <w:rsid w:val="00D30B90"/>
    <w:rsid w:val="00D30BAC"/>
    <w:rsid w:val="00D30C28"/>
    <w:rsid w:val="00D30C8C"/>
    <w:rsid w:val="00D30CA4"/>
    <w:rsid w:val="00D30CE5"/>
    <w:rsid w:val="00D30D2F"/>
    <w:rsid w:val="00D30D35"/>
    <w:rsid w:val="00D30D63"/>
    <w:rsid w:val="00D30D69"/>
    <w:rsid w:val="00D30D72"/>
    <w:rsid w:val="00D30E29"/>
    <w:rsid w:val="00D30E3B"/>
    <w:rsid w:val="00D30E71"/>
    <w:rsid w:val="00D30E7C"/>
    <w:rsid w:val="00D30E8C"/>
    <w:rsid w:val="00D30EC1"/>
    <w:rsid w:val="00D30EE2"/>
    <w:rsid w:val="00D30EE9"/>
    <w:rsid w:val="00D30F0B"/>
    <w:rsid w:val="00D30F17"/>
    <w:rsid w:val="00D30F41"/>
    <w:rsid w:val="00D30F62"/>
    <w:rsid w:val="00D30FBE"/>
    <w:rsid w:val="00D30FF6"/>
    <w:rsid w:val="00D31049"/>
    <w:rsid w:val="00D31127"/>
    <w:rsid w:val="00D3115F"/>
    <w:rsid w:val="00D31189"/>
    <w:rsid w:val="00D311A3"/>
    <w:rsid w:val="00D311A9"/>
    <w:rsid w:val="00D311B6"/>
    <w:rsid w:val="00D31203"/>
    <w:rsid w:val="00D3125C"/>
    <w:rsid w:val="00D31268"/>
    <w:rsid w:val="00D31369"/>
    <w:rsid w:val="00D3137E"/>
    <w:rsid w:val="00D313B4"/>
    <w:rsid w:val="00D313E7"/>
    <w:rsid w:val="00D31415"/>
    <w:rsid w:val="00D3143D"/>
    <w:rsid w:val="00D3144E"/>
    <w:rsid w:val="00D3148B"/>
    <w:rsid w:val="00D314F0"/>
    <w:rsid w:val="00D31531"/>
    <w:rsid w:val="00D315D8"/>
    <w:rsid w:val="00D31607"/>
    <w:rsid w:val="00D3160F"/>
    <w:rsid w:val="00D31633"/>
    <w:rsid w:val="00D31678"/>
    <w:rsid w:val="00D31687"/>
    <w:rsid w:val="00D316F1"/>
    <w:rsid w:val="00D317DA"/>
    <w:rsid w:val="00D3181B"/>
    <w:rsid w:val="00D3185F"/>
    <w:rsid w:val="00D318EC"/>
    <w:rsid w:val="00D31923"/>
    <w:rsid w:val="00D3199E"/>
    <w:rsid w:val="00D319DE"/>
    <w:rsid w:val="00D31A0D"/>
    <w:rsid w:val="00D31A72"/>
    <w:rsid w:val="00D31AB7"/>
    <w:rsid w:val="00D31B00"/>
    <w:rsid w:val="00D31B0F"/>
    <w:rsid w:val="00D31B8C"/>
    <w:rsid w:val="00D31B9E"/>
    <w:rsid w:val="00D31BA7"/>
    <w:rsid w:val="00D31C03"/>
    <w:rsid w:val="00D31C63"/>
    <w:rsid w:val="00D31CE5"/>
    <w:rsid w:val="00D31CFE"/>
    <w:rsid w:val="00D31D35"/>
    <w:rsid w:val="00D31D3E"/>
    <w:rsid w:val="00D31D42"/>
    <w:rsid w:val="00D31F1C"/>
    <w:rsid w:val="00D31F31"/>
    <w:rsid w:val="00D31F4A"/>
    <w:rsid w:val="00D31FA7"/>
    <w:rsid w:val="00D32154"/>
    <w:rsid w:val="00D321E5"/>
    <w:rsid w:val="00D3222D"/>
    <w:rsid w:val="00D322E3"/>
    <w:rsid w:val="00D3236C"/>
    <w:rsid w:val="00D323AE"/>
    <w:rsid w:val="00D3242B"/>
    <w:rsid w:val="00D32441"/>
    <w:rsid w:val="00D32458"/>
    <w:rsid w:val="00D32471"/>
    <w:rsid w:val="00D324E7"/>
    <w:rsid w:val="00D325A4"/>
    <w:rsid w:val="00D325FC"/>
    <w:rsid w:val="00D32680"/>
    <w:rsid w:val="00D3268D"/>
    <w:rsid w:val="00D326D8"/>
    <w:rsid w:val="00D326D9"/>
    <w:rsid w:val="00D32722"/>
    <w:rsid w:val="00D3274A"/>
    <w:rsid w:val="00D32780"/>
    <w:rsid w:val="00D327A3"/>
    <w:rsid w:val="00D327EA"/>
    <w:rsid w:val="00D32825"/>
    <w:rsid w:val="00D3297E"/>
    <w:rsid w:val="00D32A3A"/>
    <w:rsid w:val="00D32A3F"/>
    <w:rsid w:val="00D32A9B"/>
    <w:rsid w:val="00D32AED"/>
    <w:rsid w:val="00D32B98"/>
    <w:rsid w:val="00D32BA4"/>
    <w:rsid w:val="00D32C94"/>
    <w:rsid w:val="00D32CB6"/>
    <w:rsid w:val="00D32CCA"/>
    <w:rsid w:val="00D32D0E"/>
    <w:rsid w:val="00D32D6C"/>
    <w:rsid w:val="00D32D7C"/>
    <w:rsid w:val="00D32DE6"/>
    <w:rsid w:val="00D32E54"/>
    <w:rsid w:val="00D32E79"/>
    <w:rsid w:val="00D32FF7"/>
    <w:rsid w:val="00D33019"/>
    <w:rsid w:val="00D3308E"/>
    <w:rsid w:val="00D330C4"/>
    <w:rsid w:val="00D330E1"/>
    <w:rsid w:val="00D33121"/>
    <w:rsid w:val="00D331CC"/>
    <w:rsid w:val="00D33226"/>
    <w:rsid w:val="00D332A7"/>
    <w:rsid w:val="00D332DA"/>
    <w:rsid w:val="00D332E7"/>
    <w:rsid w:val="00D332E8"/>
    <w:rsid w:val="00D333A6"/>
    <w:rsid w:val="00D3341C"/>
    <w:rsid w:val="00D334DE"/>
    <w:rsid w:val="00D33566"/>
    <w:rsid w:val="00D3357C"/>
    <w:rsid w:val="00D3357F"/>
    <w:rsid w:val="00D33592"/>
    <w:rsid w:val="00D335C2"/>
    <w:rsid w:val="00D33635"/>
    <w:rsid w:val="00D336A6"/>
    <w:rsid w:val="00D33726"/>
    <w:rsid w:val="00D3372F"/>
    <w:rsid w:val="00D3378F"/>
    <w:rsid w:val="00D337F6"/>
    <w:rsid w:val="00D3385F"/>
    <w:rsid w:val="00D33969"/>
    <w:rsid w:val="00D339AC"/>
    <w:rsid w:val="00D339B5"/>
    <w:rsid w:val="00D339EF"/>
    <w:rsid w:val="00D33A3A"/>
    <w:rsid w:val="00D33A5E"/>
    <w:rsid w:val="00D33AD2"/>
    <w:rsid w:val="00D33B36"/>
    <w:rsid w:val="00D33B60"/>
    <w:rsid w:val="00D33B6C"/>
    <w:rsid w:val="00D33B91"/>
    <w:rsid w:val="00D33BD6"/>
    <w:rsid w:val="00D33CAD"/>
    <w:rsid w:val="00D33CCC"/>
    <w:rsid w:val="00D33D2A"/>
    <w:rsid w:val="00D33E21"/>
    <w:rsid w:val="00D33E51"/>
    <w:rsid w:val="00D33E76"/>
    <w:rsid w:val="00D33E9A"/>
    <w:rsid w:val="00D33EAD"/>
    <w:rsid w:val="00D33ED1"/>
    <w:rsid w:val="00D33FA6"/>
    <w:rsid w:val="00D33FFE"/>
    <w:rsid w:val="00D340A1"/>
    <w:rsid w:val="00D340AD"/>
    <w:rsid w:val="00D340BD"/>
    <w:rsid w:val="00D34136"/>
    <w:rsid w:val="00D3414E"/>
    <w:rsid w:val="00D341A6"/>
    <w:rsid w:val="00D34225"/>
    <w:rsid w:val="00D34321"/>
    <w:rsid w:val="00D3433D"/>
    <w:rsid w:val="00D34342"/>
    <w:rsid w:val="00D3437F"/>
    <w:rsid w:val="00D3448A"/>
    <w:rsid w:val="00D344E9"/>
    <w:rsid w:val="00D34544"/>
    <w:rsid w:val="00D345AB"/>
    <w:rsid w:val="00D345C6"/>
    <w:rsid w:val="00D347F7"/>
    <w:rsid w:val="00D347FD"/>
    <w:rsid w:val="00D34884"/>
    <w:rsid w:val="00D348F9"/>
    <w:rsid w:val="00D34970"/>
    <w:rsid w:val="00D349D1"/>
    <w:rsid w:val="00D34AFA"/>
    <w:rsid w:val="00D34B31"/>
    <w:rsid w:val="00D34B35"/>
    <w:rsid w:val="00D34B3C"/>
    <w:rsid w:val="00D34B45"/>
    <w:rsid w:val="00D34C02"/>
    <w:rsid w:val="00D34C49"/>
    <w:rsid w:val="00D34C4B"/>
    <w:rsid w:val="00D34C71"/>
    <w:rsid w:val="00D34CD3"/>
    <w:rsid w:val="00D34D1D"/>
    <w:rsid w:val="00D34D8F"/>
    <w:rsid w:val="00D34D9F"/>
    <w:rsid w:val="00D34DAC"/>
    <w:rsid w:val="00D34EDE"/>
    <w:rsid w:val="00D34F3A"/>
    <w:rsid w:val="00D3502C"/>
    <w:rsid w:val="00D350BD"/>
    <w:rsid w:val="00D35261"/>
    <w:rsid w:val="00D35363"/>
    <w:rsid w:val="00D353A8"/>
    <w:rsid w:val="00D354EE"/>
    <w:rsid w:val="00D354F7"/>
    <w:rsid w:val="00D3555E"/>
    <w:rsid w:val="00D355B0"/>
    <w:rsid w:val="00D355CD"/>
    <w:rsid w:val="00D356E2"/>
    <w:rsid w:val="00D35723"/>
    <w:rsid w:val="00D35768"/>
    <w:rsid w:val="00D357E2"/>
    <w:rsid w:val="00D357F8"/>
    <w:rsid w:val="00D358A8"/>
    <w:rsid w:val="00D358E1"/>
    <w:rsid w:val="00D358E4"/>
    <w:rsid w:val="00D35909"/>
    <w:rsid w:val="00D3593E"/>
    <w:rsid w:val="00D35945"/>
    <w:rsid w:val="00D359B5"/>
    <w:rsid w:val="00D359BC"/>
    <w:rsid w:val="00D359CC"/>
    <w:rsid w:val="00D35A0F"/>
    <w:rsid w:val="00D35B34"/>
    <w:rsid w:val="00D35B4A"/>
    <w:rsid w:val="00D35BAD"/>
    <w:rsid w:val="00D35C34"/>
    <w:rsid w:val="00D35C65"/>
    <w:rsid w:val="00D35D03"/>
    <w:rsid w:val="00D35D54"/>
    <w:rsid w:val="00D35D5E"/>
    <w:rsid w:val="00D35E06"/>
    <w:rsid w:val="00D35E6E"/>
    <w:rsid w:val="00D35EB7"/>
    <w:rsid w:val="00D35EC5"/>
    <w:rsid w:val="00D35F44"/>
    <w:rsid w:val="00D35F90"/>
    <w:rsid w:val="00D35FD8"/>
    <w:rsid w:val="00D36051"/>
    <w:rsid w:val="00D3619C"/>
    <w:rsid w:val="00D361C7"/>
    <w:rsid w:val="00D361F5"/>
    <w:rsid w:val="00D361FE"/>
    <w:rsid w:val="00D3620E"/>
    <w:rsid w:val="00D3622D"/>
    <w:rsid w:val="00D36278"/>
    <w:rsid w:val="00D36394"/>
    <w:rsid w:val="00D363BF"/>
    <w:rsid w:val="00D363F5"/>
    <w:rsid w:val="00D36423"/>
    <w:rsid w:val="00D36428"/>
    <w:rsid w:val="00D36436"/>
    <w:rsid w:val="00D36465"/>
    <w:rsid w:val="00D364BE"/>
    <w:rsid w:val="00D364C7"/>
    <w:rsid w:val="00D364D4"/>
    <w:rsid w:val="00D364DF"/>
    <w:rsid w:val="00D364FF"/>
    <w:rsid w:val="00D365D2"/>
    <w:rsid w:val="00D36642"/>
    <w:rsid w:val="00D36681"/>
    <w:rsid w:val="00D366D4"/>
    <w:rsid w:val="00D366FF"/>
    <w:rsid w:val="00D3676F"/>
    <w:rsid w:val="00D36793"/>
    <w:rsid w:val="00D36807"/>
    <w:rsid w:val="00D3685E"/>
    <w:rsid w:val="00D36899"/>
    <w:rsid w:val="00D3689C"/>
    <w:rsid w:val="00D368F1"/>
    <w:rsid w:val="00D3694D"/>
    <w:rsid w:val="00D369C1"/>
    <w:rsid w:val="00D36A61"/>
    <w:rsid w:val="00D36A84"/>
    <w:rsid w:val="00D36ACB"/>
    <w:rsid w:val="00D36B09"/>
    <w:rsid w:val="00D36B3A"/>
    <w:rsid w:val="00D36BCC"/>
    <w:rsid w:val="00D36C49"/>
    <w:rsid w:val="00D36C77"/>
    <w:rsid w:val="00D36C98"/>
    <w:rsid w:val="00D36CDE"/>
    <w:rsid w:val="00D36CF6"/>
    <w:rsid w:val="00D36D0C"/>
    <w:rsid w:val="00D36D0E"/>
    <w:rsid w:val="00D36D1F"/>
    <w:rsid w:val="00D36D5D"/>
    <w:rsid w:val="00D36DA4"/>
    <w:rsid w:val="00D36DFC"/>
    <w:rsid w:val="00D36DFE"/>
    <w:rsid w:val="00D36E9B"/>
    <w:rsid w:val="00D36EE6"/>
    <w:rsid w:val="00D36F08"/>
    <w:rsid w:val="00D36FBB"/>
    <w:rsid w:val="00D36FE4"/>
    <w:rsid w:val="00D3701F"/>
    <w:rsid w:val="00D37026"/>
    <w:rsid w:val="00D3705C"/>
    <w:rsid w:val="00D37066"/>
    <w:rsid w:val="00D3709D"/>
    <w:rsid w:val="00D370DB"/>
    <w:rsid w:val="00D3710D"/>
    <w:rsid w:val="00D37146"/>
    <w:rsid w:val="00D3717E"/>
    <w:rsid w:val="00D3718A"/>
    <w:rsid w:val="00D37196"/>
    <w:rsid w:val="00D371AA"/>
    <w:rsid w:val="00D371CA"/>
    <w:rsid w:val="00D37235"/>
    <w:rsid w:val="00D37241"/>
    <w:rsid w:val="00D372BF"/>
    <w:rsid w:val="00D373CF"/>
    <w:rsid w:val="00D37447"/>
    <w:rsid w:val="00D37478"/>
    <w:rsid w:val="00D3748F"/>
    <w:rsid w:val="00D374DC"/>
    <w:rsid w:val="00D37660"/>
    <w:rsid w:val="00D37738"/>
    <w:rsid w:val="00D3780E"/>
    <w:rsid w:val="00D37818"/>
    <w:rsid w:val="00D3781A"/>
    <w:rsid w:val="00D3787F"/>
    <w:rsid w:val="00D378C2"/>
    <w:rsid w:val="00D37925"/>
    <w:rsid w:val="00D379B6"/>
    <w:rsid w:val="00D379E1"/>
    <w:rsid w:val="00D37A41"/>
    <w:rsid w:val="00D37B08"/>
    <w:rsid w:val="00D37B5E"/>
    <w:rsid w:val="00D37B86"/>
    <w:rsid w:val="00D37C06"/>
    <w:rsid w:val="00D37C34"/>
    <w:rsid w:val="00D37C7D"/>
    <w:rsid w:val="00D37CFE"/>
    <w:rsid w:val="00D37D06"/>
    <w:rsid w:val="00D37D50"/>
    <w:rsid w:val="00D37D57"/>
    <w:rsid w:val="00D37E2E"/>
    <w:rsid w:val="00D37E79"/>
    <w:rsid w:val="00D37F62"/>
    <w:rsid w:val="00D37F9D"/>
    <w:rsid w:val="00D37FE7"/>
    <w:rsid w:val="00D37FF5"/>
    <w:rsid w:val="00D400A7"/>
    <w:rsid w:val="00D400C6"/>
    <w:rsid w:val="00D400C9"/>
    <w:rsid w:val="00D40107"/>
    <w:rsid w:val="00D40167"/>
    <w:rsid w:val="00D40252"/>
    <w:rsid w:val="00D40288"/>
    <w:rsid w:val="00D40334"/>
    <w:rsid w:val="00D4038A"/>
    <w:rsid w:val="00D40556"/>
    <w:rsid w:val="00D40581"/>
    <w:rsid w:val="00D405B4"/>
    <w:rsid w:val="00D405C4"/>
    <w:rsid w:val="00D4065A"/>
    <w:rsid w:val="00D406C3"/>
    <w:rsid w:val="00D40706"/>
    <w:rsid w:val="00D40722"/>
    <w:rsid w:val="00D40744"/>
    <w:rsid w:val="00D4075F"/>
    <w:rsid w:val="00D40763"/>
    <w:rsid w:val="00D4078A"/>
    <w:rsid w:val="00D408F2"/>
    <w:rsid w:val="00D409C6"/>
    <w:rsid w:val="00D409D2"/>
    <w:rsid w:val="00D40AB9"/>
    <w:rsid w:val="00D40B68"/>
    <w:rsid w:val="00D40BB9"/>
    <w:rsid w:val="00D40C3F"/>
    <w:rsid w:val="00D40C50"/>
    <w:rsid w:val="00D40CC0"/>
    <w:rsid w:val="00D40D14"/>
    <w:rsid w:val="00D40D6D"/>
    <w:rsid w:val="00D40D74"/>
    <w:rsid w:val="00D40D86"/>
    <w:rsid w:val="00D40DB0"/>
    <w:rsid w:val="00D40DE2"/>
    <w:rsid w:val="00D40F3E"/>
    <w:rsid w:val="00D40F99"/>
    <w:rsid w:val="00D40F9F"/>
    <w:rsid w:val="00D40FA1"/>
    <w:rsid w:val="00D4101B"/>
    <w:rsid w:val="00D41042"/>
    <w:rsid w:val="00D41058"/>
    <w:rsid w:val="00D410D6"/>
    <w:rsid w:val="00D410E7"/>
    <w:rsid w:val="00D410F5"/>
    <w:rsid w:val="00D411AC"/>
    <w:rsid w:val="00D4120D"/>
    <w:rsid w:val="00D41290"/>
    <w:rsid w:val="00D412DF"/>
    <w:rsid w:val="00D412FB"/>
    <w:rsid w:val="00D413BE"/>
    <w:rsid w:val="00D413D4"/>
    <w:rsid w:val="00D4143C"/>
    <w:rsid w:val="00D4147C"/>
    <w:rsid w:val="00D4149C"/>
    <w:rsid w:val="00D414E7"/>
    <w:rsid w:val="00D4155B"/>
    <w:rsid w:val="00D4156D"/>
    <w:rsid w:val="00D415FA"/>
    <w:rsid w:val="00D41637"/>
    <w:rsid w:val="00D416DA"/>
    <w:rsid w:val="00D416E2"/>
    <w:rsid w:val="00D4172D"/>
    <w:rsid w:val="00D4174E"/>
    <w:rsid w:val="00D4178B"/>
    <w:rsid w:val="00D417B8"/>
    <w:rsid w:val="00D41826"/>
    <w:rsid w:val="00D41828"/>
    <w:rsid w:val="00D41896"/>
    <w:rsid w:val="00D418FE"/>
    <w:rsid w:val="00D41908"/>
    <w:rsid w:val="00D4190B"/>
    <w:rsid w:val="00D41911"/>
    <w:rsid w:val="00D4191B"/>
    <w:rsid w:val="00D41AC4"/>
    <w:rsid w:val="00D41B66"/>
    <w:rsid w:val="00D41B83"/>
    <w:rsid w:val="00D41B9A"/>
    <w:rsid w:val="00D41C49"/>
    <w:rsid w:val="00D41C60"/>
    <w:rsid w:val="00D41CC2"/>
    <w:rsid w:val="00D41CFE"/>
    <w:rsid w:val="00D41E58"/>
    <w:rsid w:val="00D41E75"/>
    <w:rsid w:val="00D41EDA"/>
    <w:rsid w:val="00D41F08"/>
    <w:rsid w:val="00D41F59"/>
    <w:rsid w:val="00D41F87"/>
    <w:rsid w:val="00D42003"/>
    <w:rsid w:val="00D42138"/>
    <w:rsid w:val="00D42202"/>
    <w:rsid w:val="00D42222"/>
    <w:rsid w:val="00D42236"/>
    <w:rsid w:val="00D422C6"/>
    <w:rsid w:val="00D422E1"/>
    <w:rsid w:val="00D42375"/>
    <w:rsid w:val="00D42451"/>
    <w:rsid w:val="00D42473"/>
    <w:rsid w:val="00D42557"/>
    <w:rsid w:val="00D425AD"/>
    <w:rsid w:val="00D425F0"/>
    <w:rsid w:val="00D4268D"/>
    <w:rsid w:val="00D426A6"/>
    <w:rsid w:val="00D426CD"/>
    <w:rsid w:val="00D426E1"/>
    <w:rsid w:val="00D42712"/>
    <w:rsid w:val="00D42729"/>
    <w:rsid w:val="00D428B4"/>
    <w:rsid w:val="00D42939"/>
    <w:rsid w:val="00D4297B"/>
    <w:rsid w:val="00D429AE"/>
    <w:rsid w:val="00D42A2D"/>
    <w:rsid w:val="00D42A8F"/>
    <w:rsid w:val="00D42A9D"/>
    <w:rsid w:val="00D42B60"/>
    <w:rsid w:val="00D42B71"/>
    <w:rsid w:val="00D42C2B"/>
    <w:rsid w:val="00D42C83"/>
    <w:rsid w:val="00D42C9A"/>
    <w:rsid w:val="00D42E32"/>
    <w:rsid w:val="00D42EB7"/>
    <w:rsid w:val="00D42ED7"/>
    <w:rsid w:val="00D42F65"/>
    <w:rsid w:val="00D42F7A"/>
    <w:rsid w:val="00D42FB0"/>
    <w:rsid w:val="00D4317C"/>
    <w:rsid w:val="00D431CF"/>
    <w:rsid w:val="00D431E9"/>
    <w:rsid w:val="00D43201"/>
    <w:rsid w:val="00D43258"/>
    <w:rsid w:val="00D4326B"/>
    <w:rsid w:val="00D432BE"/>
    <w:rsid w:val="00D4335A"/>
    <w:rsid w:val="00D433A0"/>
    <w:rsid w:val="00D433A6"/>
    <w:rsid w:val="00D43468"/>
    <w:rsid w:val="00D43495"/>
    <w:rsid w:val="00D434C3"/>
    <w:rsid w:val="00D43512"/>
    <w:rsid w:val="00D43563"/>
    <w:rsid w:val="00D435F6"/>
    <w:rsid w:val="00D4362A"/>
    <w:rsid w:val="00D4362E"/>
    <w:rsid w:val="00D43661"/>
    <w:rsid w:val="00D43687"/>
    <w:rsid w:val="00D4371B"/>
    <w:rsid w:val="00D4372E"/>
    <w:rsid w:val="00D43730"/>
    <w:rsid w:val="00D437DC"/>
    <w:rsid w:val="00D43804"/>
    <w:rsid w:val="00D43846"/>
    <w:rsid w:val="00D4399E"/>
    <w:rsid w:val="00D439A1"/>
    <w:rsid w:val="00D439C7"/>
    <w:rsid w:val="00D43A55"/>
    <w:rsid w:val="00D43AB6"/>
    <w:rsid w:val="00D43B2F"/>
    <w:rsid w:val="00D43BB9"/>
    <w:rsid w:val="00D43C23"/>
    <w:rsid w:val="00D43C55"/>
    <w:rsid w:val="00D43C9C"/>
    <w:rsid w:val="00D43CBF"/>
    <w:rsid w:val="00D43D42"/>
    <w:rsid w:val="00D43D4F"/>
    <w:rsid w:val="00D43D77"/>
    <w:rsid w:val="00D43D99"/>
    <w:rsid w:val="00D43DD1"/>
    <w:rsid w:val="00D43DEE"/>
    <w:rsid w:val="00D43E2C"/>
    <w:rsid w:val="00D43EAD"/>
    <w:rsid w:val="00D43EAE"/>
    <w:rsid w:val="00D43EE8"/>
    <w:rsid w:val="00D43EEF"/>
    <w:rsid w:val="00D43F65"/>
    <w:rsid w:val="00D43F77"/>
    <w:rsid w:val="00D43F87"/>
    <w:rsid w:val="00D43FE2"/>
    <w:rsid w:val="00D44034"/>
    <w:rsid w:val="00D44081"/>
    <w:rsid w:val="00D440B0"/>
    <w:rsid w:val="00D440ED"/>
    <w:rsid w:val="00D440F2"/>
    <w:rsid w:val="00D44142"/>
    <w:rsid w:val="00D441BC"/>
    <w:rsid w:val="00D44203"/>
    <w:rsid w:val="00D442F1"/>
    <w:rsid w:val="00D4437B"/>
    <w:rsid w:val="00D44388"/>
    <w:rsid w:val="00D443D7"/>
    <w:rsid w:val="00D44443"/>
    <w:rsid w:val="00D444BB"/>
    <w:rsid w:val="00D44525"/>
    <w:rsid w:val="00D4460C"/>
    <w:rsid w:val="00D44615"/>
    <w:rsid w:val="00D4461A"/>
    <w:rsid w:val="00D446E0"/>
    <w:rsid w:val="00D446EE"/>
    <w:rsid w:val="00D44718"/>
    <w:rsid w:val="00D4472B"/>
    <w:rsid w:val="00D44758"/>
    <w:rsid w:val="00D44804"/>
    <w:rsid w:val="00D44868"/>
    <w:rsid w:val="00D44890"/>
    <w:rsid w:val="00D448E2"/>
    <w:rsid w:val="00D448EF"/>
    <w:rsid w:val="00D448FA"/>
    <w:rsid w:val="00D448FE"/>
    <w:rsid w:val="00D44908"/>
    <w:rsid w:val="00D44927"/>
    <w:rsid w:val="00D44957"/>
    <w:rsid w:val="00D449B4"/>
    <w:rsid w:val="00D44A18"/>
    <w:rsid w:val="00D44B07"/>
    <w:rsid w:val="00D44B19"/>
    <w:rsid w:val="00D44B1A"/>
    <w:rsid w:val="00D44B57"/>
    <w:rsid w:val="00D44B8F"/>
    <w:rsid w:val="00D44C18"/>
    <w:rsid w:val="00D44C24"/>
    <w:rsid w:val="00D44C71"/>
    <w:rsid w:val="00D44CAF"/>
    <w:rsid w:val="00D44CB3"/>
    <w:rsid w:val="00D44DD9"/>
    <w:rsid w:val="00D44E63"/>
    <w:rsid w:val="00D44EE9"/>
    <w:rsid w:val="00D44F65"/>
    <w:rsid w:val="00D44F7B"/>
    <w:rsid w:val="00D4507C"/>
    <w:rsid w:val="00D4510C"/>
    <w:rsid w:val="00D45181"/>
    <w:rsid w:val="00D451F7"/>
    <w:rsid w:val="00D45209"/>
    <w:rsid w:val="00D4525C"/>
    <w:rsid w:val="00D4525E"/>
    <w:rsid w:val="00D452C8"/>
    <w:rsid w:val="00D45327"/>
    <w:rsid w:val="00D4532D"/>
    <w:rsid w:val="00D4535A"/>
    <w:rsid w:val="00D453B3"/>
    <w:rsid w:val="00D453C1"/>
    <w:rsid w:val="00D453C3"/>
    <w:rsid w:val="00D453DD"/>
    <w:rsid w:val="00D45572"/>
    <w:rsid w:val="00D455B9"/>
    <w:rsid w:val="00D456F5"/>
    <w:rsid w:val="00D45717"/>
    <w:rsid w:val="00D45732"/>
    <w:rsid w:val="00D45788"/>
    <w:rsid w:val="00D457A0"/>
    <w:rsid w:val="00D457AE"/>
    <w:rsid w:val="00D457C5"/>
    <w:rsid w:val="00D457C9"/>
    <w:rsid w:val="00D4589D"/>
    <w:rsid w:val="00D458E0"/>
    <w:rsid w:val="00D458E9"/>
    <w:rsid w:val="00D45922"/>
    <w:rsid w:val="00D4595E"/>
    <w:rsid w:val="00D45986"/>
    <w:rsid w:val="00D459AC"/>
    <w:rsid w:val="00D459C4"/>
    <w:rsid w:val="00D459EC"/>
    <w:rsid w:val="00D45A42"/>
    <w:rsid w:val="00D45BFD"/>
    <w:rsid w:val="00D45C76"/>
    <w:rsid w:val="00D45C79"/>
    <w:rsid w:val="00D45D08"/>
    <w:rsid w:val="00D45DA9"/>
    <w:rsid w:val="00D45EB7"/>
    <w:rsid w:val="00D45EF4"/>
    <w:rsid w:val="00D45EF6"/>
    <w:rsid w:val="00D45F4E"/>
    <w:rsid w:val="00D45F9D"/>
    <w:rsid w:val="00D46000"/>
    <w:rsid w:val="00D460E7"/>
    <w:rsid w:val="00D460F1"/>
    <w:rsid w:val="00D4611E"/>
    <w:rsid w:val="00D4620A"/>
    <w:rsid w:val="00D462CC"/>
    <w:rsid w:val="00D462E0"/>
    <w:rsid w:val="00D4633A"/>
    <w:rsid w:val="00D463A7"/>
    <w:rsid w:val="00D463A8"/>
    <w:rsid w:val="00D46446"/>
    <w:rsid w:val="00D4646C"/>
    <w:rsid w:val="00D464C9"/>
    <w:rsid w:val="00D464D4"/>
    <w:rsid w:val="00D464DD"/>
    <w:rsid w:val="00D464E0"/>
    <w:rsid w:val="00D46513"/>
    <w:rsid w:val="00D4651E"/>
    <w:rsid w:val="00D46534"/>
    <w:rsid w:val="00D46580"/>
    <w:rsid w:val="00D46635"/>
    <w:rsid w:val="00D46715"/>
    <w:rsid w:val="00D468D1"/>
    <w:rsid w:val="00D468D7"/>
    <w:rsid w:val="00D469C1"/>
    <w:rsid w:val="00D46A18"/>
    <w:rsid w:val="00D46A2C"/>
    <w:rsid w:val="00D46ACC"/>
    <w:rsid w:val="00D46AD8"/>
    <w:rsid w:val="00D46B15"/>
    <w:rsid w:val="00D46B89"/>
    <w:rsid w:val="00D46BA1"/>
    <w:rsid w:val="00D46C30"/>
    <w:rsid w:val="00D46C76"/>
    <w:rsid w:val="00D46C81"/>
    <w:rsid w:val="00D46CBA"/>
    <w:rsid w:val="00D46CD8"/>
    <w:rsid w:val="00D46D2A"/>
    <w:rsid w:val="00D46D6D"/>
    <w:rsid w:val="00D46EAD"/>
    <w:rsid w:val="00D46EE8"/>
    <w:rsid w:val="00D46F6E"/>
    <w:rsid w:val="00D4702E"/>
    <w:rsid w:val="00D47040"/>
    <w:rsid w:val="00D47071"/>
    <w:rsid w:val="00D47095"/>
    <w:rsid w:val="00D470E1"/>
    <w:rsid w:val="00D471D8"/>
    <w:rsid w:val="00D471DB"/>
    <w:rsid w:val="00D47201"/>
    <w:rsid w:val="00D4727B"/>
    <w:rsid w:val="00D47293"/>
    <w:rsid w:val="00D4735B"/>
    <w:rsid w:val="00D474A5"/>
    <w:rsid w:val="00D474CB"/>
    <w:rsid w:val="00D474F2"/>
    <w:rsid w:val="00D47539"/>
    <w:rsid w:val="00D4755F"/>
    <w:rsid w:val="00D475BE"/>
    <w:rsid w:val="00D475C8"/>
    <w:rsid w:val="00D475E5"/>
    <w:rsid w:val="00D475F3"/>
    <w:rsid w:val="00D47607"/>
    <w:rsid w:val="00D47671"/>
    <w:rsid w:val="00D476A9"/>
    <w:rsid w:val="00D476B2"/>
    <w:rsid w:val="00D477AF"/>
    <w:rsid w:val="00D4782C"/>
    <w:rsid w:val="00D479C6"/>
    <w:rsid w:val="00D47A66"/>
    <w:rsid w:val="00D47A68"/>
    <w:rsid w:val="00D47AC6"/>
    <w:rsid w:val="00D47B5E"/>
    <w:rsid w:val="00D47B6F"/>
    <w:rsid w:val="00D47B8D"/>
    <w:rsid w:val="00D47B9A"/>
    <w:rsid w:val="00D47BBD"/>
    <w:rsid w:val="00D47C96"/>
    <w:rsid w:val="00D47CBA"/>
    <w:rsid w:val="00D47D1E"/>
    <w:rsid w:val="00D47D40"/>
    <w:rsid w:val="00D47D41"/>
    <w:rsid w:val="00D47DB9"/>
    <w:rsid w:val="00D47E35"/>
    <w:rsid w:val="00D47E8A"/>
    <w:rsid w:val="00D47EEF"/>
    <w:rsid w:val="00D47F38"/>
    <w:rsid w:val="00D47F96"/>
    <w:rsid w:val="00D5008E"/>
    <w:rsid w:val="00D50127"/>
    <w:rsid w:val="00D5012B"/>
    <w:rsid w:val="00D50144"/>
    <w:rsid w:val="00D5015A"/>
    <w:rsid w:val="00D50218"/>
    <w:rsid w:val="00D5024F"/>
    <w:rsid w:val="00D5026C"/>
    <w:rsid w:val="00D5027C"/>
    <w:rsid w:val="00D50283"/>
    <w:rsid w:val="00D5030B"/>
    <w:rsid w:val="00D50310"/>
    <w:rsid w:val="00D50352"/>
    <w:rsid w:val="00D5038B"/>
    <w:rsid w:val="00D503A5"/>
    <w:rsid w:val="00D5043C"/>
    <w:rsid w:val="00D5045F"/>
    <w:rsid w:val="00D504C5"/>
    <w:rsid w:val="00D504E4"/>
    <w:rsid w:val="00D50535"/>
    <w:rsid w:val="00D505B0"/>
    <w:rsid w:val="00D505C5"/>
    <w:rsid w:val="00D5063E"/>
    <w:rsid w:val="00D50661"/>
    <w:rsid w:val="00D50693"/>
    <w:rsid w:val="00D508ED"/>
    <w:rsid w:val="00D509A0"/>
    <w:rsid w:val="00D509D3"/>
    <w:rsid w:val="00D509E6"/>
    <w:rsid w:val="00D50A2E"/>
    <w:rsid w:val="00D50A37"/>
    <w:rsid w:val="00D50AE1"/>
    <w:rsid w:val="00D50B4F"/>
    <w:rsid w:val="00D50B70"/>
    <w:rsid w:val="00D50B71"/>
    <w:rsid w:val="00D50C16"/>
    <w:rsid w:val="00D50CE9"/>
    <w:rsid w:val="00D50DB6"/>
    <w:rsid w:val="00D50DD2"/>
    <w:rsid w:val="00D50E13"/>
    <w:rsid w:val="00D50ED4"/>
    <w:rsid w:val="00D50F0B"/>
    <w:rsid w:val="00D50F9A"/>
    <w:rsid w:val="00D50FAE"/>
    <w:rsid w:val="00D5101D"/>
    <w:rsid w:val="00D51041"/>
    <w:rsid w:val="00D51060"/>
    <w:rsid w:val="00D51147"/>
    <w:rsid w:val="00D511DE"/>
    <w:rsid w:val="00D51227"/>
    <w:rsid w:val="00D5129F"/>
    <w:rsid w:val="00D512C7"/>
    <w:rsid w:val="00D5137A"/>
    <w:rsid w:val="00D513B2"/>
    <w:rsid w:val="00D51419"/>
    <w:rsid w:val="00D51449"/>
    <w:rsid w:val="00D5148E"/>
    <w:rsid w:val="00D514B3"/>
    <w:rsid w:val="00D51565"/>
    <w:rsid w:val="00D515C7"/>
    <w:rsid w:val="00D5160D"/>
    <w:rsid w:val="00D516A4"/>
    <w:rsid w:val="00D516B4"/>
    <w:rsid w:val="00D516E5"/>
    <w:rsid w:val="00D51743"/>
    <w:rsid w:val="00D51752"/>
    <w:rsid w:val="00D5178C"/>
    <w:rsid w:val="00D5179A"/>
    <w:rsid w:val="00D517BB"/>
    <w:rsid w:val="00D5185E"/>
    <w:rsid w:val="00D5186C"/>
    <w:rsid w:val="00D518CD"/>
    <w:rsid w:val="00D5198B"/>
    <w:rsid w:val="00D51994"/>
    <w:rsid w:val="00D51996"/>
    <w:rsid w:val="00D519E9"/>
    <w:rsid w:val="00D51B27"/>
    <w:rsid w:val="00D51B42"/>
    <w:rsid w:val="00D51BE6"/>
    <w:rsid w:val="00D51C3A"/>
    <w:rsid w:val="00D51D5C"/>
    <w:rsid w:val="00D51D67"/>
    <w:rsid w:val="00D51DD1"/>
    <w:rsid w:val="00D51E16"/>
    <w:rsid w:val="00D51E18"/>
    <w:rsid w:val="00D51EB2"/>
    <w:rsid w:val="00D51EBC"/>
    <w:rsid w:val="00D51EE9"/>
    <w:rsid w:val="00D51F89"/>
    <w:rsid w:val="00D51FB5"/>
    <w:rsid w:val="00D52098"/>
    <w:rsid w:val="00D52111"/>
    <w:rsid w:val="00D521C8"/>
    <w:rsid w:val="00D521E2"/>
    <w:rsid w:val="00D52219"/>
    <w:rsid w:val="00D52258"/>
    <w:rsid w:val="00D52260"/>
    <w:rsid w:val="00D52265"/>
    <w:rsid w:val="00D52333"/>
    <w:rsid w:val="00D52345"/>
    <w:rsid w:val="00D524A9"/>
    <w:rsid w:val="00D524AF"/>
    <w:rsid w:val="00D52645"/>
    <w:rsid w:val="00D5287C"/>
    <w:rsid w:val="00D528E2"/>
    <w:rsid w:val="00D528F6"/>
    <w:rsid w:val="00D528FA"/>
    <w:rsid w:val="00D5291B"/>
    <w:rsid w:val="00D5295C"/>
    <w:rsid w:val="00D529F1"/>
    <w:rsid w:val="00D52A27"/>
    <w:rsid w:val="00D52A61"/>
    <w:rsid w:val="00D52AD8"/>
    <w:rsid w:val="00D52AFA"/>
    <w:rsid w:val="00D52B1B"/>
    <w:rsid w:val="00D52B5E"/>
    <w:rsid w:val="00D52BA0"/>
    <w:rsid w:val="00D52C72"/>
    <w:rsid w:val="00D52D3E"/>
    <w:rsid w:val="00D52D43"/>
    <w:rsid w:val="00D52D6D"/>
    <w:rsid w:val="00D52DA5"/>
    <w:rsid w:val="00D52E5C"/>
    <w:rsid w:val="00D52E94"/>
    <w:rsid w:val="00D52ED3"/>
    <w:rsid w:val="00D52FA1"/>
    <w:rsid w:val="00D53008"/>
    <w:rsid w:val="00D53161"/>
    <w:rsid w:val="00D53257"/>
    <w:rsid w:val="00D5326C"/>
    <w:rsid w:val="00D5328C"/>
    <w:rsid w:val="00D532FB"/>
    <w:rsid w:val="00D53370"/>
    <w:rsid w:val="00D53450"/>
    <w:rsid w:val="00D5349B"/>
    <w:rsid w:val="00D53543"/>
    <w:rsid w:val="00D5356D"/>
    <w:rsid w:val="00D535B0"/>
    <w:rsid w:val="00D53663"/>
    <w:rsid w:val="00D53664"/>
    <w:rsid w:val="00D53715"/>
    <w:rsid w:val="00D53756"/>
    <w:rsid w:val="00D537CD"/>
    <w:rsid w:val="00D537D5"/>
    <w:rsid w:val="00D5388E"/>
    <w:rsid w:val="00D53890"/>
    <w:rsid w:val="00D538A3"/>
    <w:rsid w:val="00D538C8"/>
    <w:rsid w:val="00D5393D"/>
    <w:rsid w:val="00D53964"/>
    <w:rsid w:val="00D539A2"/>
    <w:rsid w:val="00D539B1"/>
    <w:rsid w:val="00D53A0F"/>
    <w:rsid w:val="00D53AD4"/>
    <w:rsid w:val="00D53ADD"/>
    <w:rsid w:val="00D53AFC"/>
    <w:rsid w:val="00D53B62"/>
    <w:rsid w:val="00D53C75"/>
    <w:rsid w:val="00D53C9B"/>
    <w:rsid w:val="00D53CEA"/>
    <w:rsid w:val="00D53E2B"/>
    <w:rsid w:val="00D53E59"/>
    <w:rsid w:val="00D53E61"/>
    <w:rsid w:val="00D53EC5"/>
    <w:rsid w:val="00D53F37"/>
    <w:rsid w:val="00D53FCC"/>
    <w:rsid w:val="00D53FFB"/>
    <w:rsid w:val="00D54010"/>
    <w:rsid w:val="00D54016"/>
    <w:rsid w:val="00D54084"/>
    <w:rsid w:val="00D5413E"/>
    <w:rsid w:val="00D54192"/>
    <w:rsid w:val="00D5426D"/>
    <w:rsid w:val="00D542A6"/>
    <w:rsid w:val="00D542AB"/>
    <w:rsid w:val="00D542CB"/>
    <w:rsid w:val="00D542F9"/>
    <w:rsid w:val="00D54348"/>
    <w:rsid w:val="00D54423"/>
    <w:rsid w:val="00D5448D"/>
    <w:rsid w:val="00D544C7"/>
    <w:rsid w:val="00D54509"/>
    <w:rsid w:val="00D54566"/>
    <w:rsid w:val="00D545A9"/>
    <w:rsid w:val="00D54644"/>
    <w:rsid w:val="00D5467F"/>
    <w:rsid w:val="00D54717"/>
    <w:rsid w:val="00D5476B"/>
    <w:rsid w:val="00D54778"/>
    <w:rsid w:val="00D54795"/>
    <w:rsid w:val="00D5482B"/>
    <w:rsid w:val="00D548E2"/>
    <w:rsid w:val="00D548FD"/>
    <w:rsid w:val="00D54978"/>
    <w:rsid w:val="00D549BF"/>
    <w:rsid w:val="00D54AC9"/>
    <w:rsid w:val="00D54AD1"/>
    <w:rsid w:val="00D54AF8"/>
    <w:rsid w:val="00D54B3C"/>
    <w:rsid w:val="00D54B95"/>
    <w:rsid w:val="00D54BF0"/>
    <w:rsid w:val="00D54C26"/>
    <w:rsid w:val="00D54C34"/>
    <w:rsid w:val="00D54C8C"/>
    <w:rsid w:val="00D54CC8"/>
    <w:rsid w:val="00D54D4D"/>
    <w:rsid w:val="00D54D66"/>
    <w:rsid w:val="00D54DB6"/>
    <w:rsid w:val="00D54DF0"/>
    <w:rsid w:val="00D54E2F"/>
    <w:rsid w:val="00D54E35"/>
    <w:rsid w:val="00D54E88"/>
    <w:rsid w:val="00D54ED4"/>
    <w:rsid w:val="00D54F75"/>
    <w:rsid w:val="00D550B5"/>
    <w:rsid w:val="00D55112"/>
    <w:rsid w:val="00D55169"/>
    <w:rsid w:val="00D551AC"/>
    <w:rsid w:val="00D5526A"/>
    <w:rsid w:val="00D55296"/>
    <w:rsid w:val="00D55302"/>
    <w:rsid w:val="00D5539F"/>
    <w:rsid w:val="00D553C4"/>
    <w:rsid w:val="00D5541A"/>
    <w:rsid w:val="00D5545A"/>
    <w:rsid w:val="00D5547D"/>
    <w:rsid w:val="00D5550F"/>
    <w:rsid w:val="00D55595"/>
    <w:rsid w:val="00D5560F"/>
    <w:rsid w:val="00D5569E"/>
    <w:rsid w:val="00D556C9"/>
    <w:rsid w:val="00D5575F"/>
    <w:rsid w:val="00D55789"/>
    <w:rsid w:val="00D5596C"/>
    <w:rsid w:val="00D559BC"/>
    <w:rsid w:val="00D55A19"/>
    <w:rsid w:val="00D55A28"/>
    <w:rsid w:val="00D55A3C"/>
    <w:rsid w:val="00D55AA4"/>
    <w:rsid w:val="00D55AA9"/>
    <w:rsid w:val="00D55B02"/>
    <w:rsid w:val="00D55B68"/>
    <w:rsid w:val="00D55C3E"/>
    <w:rsid w:val="00D55C9D"/>
    <w:rsid w:val="00D55D16"/>
    <w:rsid w:val="00D55D43"/>
    <w:rsid w:val="00D55DCA"/>
    <w:rsid w:val="00D55DEF"/>
    <w:rsid w:val="00D55DF7"/>
    <w:rsid w:val="00D55E0F"/>
    <w:rsid w:val="00D55E2B"/>
    <w:rsid w:val="00D55F3C"/>
    <w:rsid w:val="00D55FCC"/>
    <w:rsid w:val="00D560F6"/>
    <w:rsid w:val="00D5612B"/>
    <w:rsid w:val="00D561D7"/>
    <w:rsid w:val="00D561FE"/>
    <w:rsid w:val="00D5620F"/>
    <w:rsid w:val="00D56331"/>
    <w:rsid w:val="00D5638B"/>
    <w:rsid w:val="00D563CF"/>
    <w:rsid w:val="00D5649D"/>
    <w:rsid w:val="00D564C9"/>
    <w:rsid w:val="00D56551"/>
    <w:rsid w:val="00D5657F"/>
    <w:rsid w:val="00D5675A"/>
    <w:rsid w:val="00D56768"/>
    <w:rsid w:val="00D5679B"/>
    <w:rsid w:val="00D567C7"/>
    <w:rsid w:val="00D568F6"/>
    <w:rsid w:val="00D569E7"/>
    <w:rsid w:val="00D56A4A"/>
    <w:rsid w:val="00D56A97"/>
    <w:rsid w:val="00D56ADD"/>
    <w:rsid w:val="00D56AE1"/>
    <w:rsid w:val="00D56B88"/>
    <w:rsid w:val="00D56BF9"/>
    <w:rsid w:val="00D56C3D"/>
    <w:rsid w:val="00D56C55"/>
    <w:rsid w:val="00D56CA2"/>
    <w:rsid w:val="00D56DD8"/>
    <w:rsid w:val="00D56EF5"/>
    <w:rsid w:val="00D56F56"/>
    <w:rsid w:val="00D56FB1"/>
    <w:rsid w:val="00D5709C"/>
    <w:rsid w:val="00D5709E"/>
    <w:rsid w:val="00D570C2"/>
    <w:rsid w:val="00D57103"/>
    <w:rsid w:val="00D571AA"/>
    <w:rsid w:val="00D571DC"/>
    <w:rsid w:val="00D5723C"/>
    <w:rsid w:val="00D5724E"/>
    <w:rsid w:val="00D57264"/>
    <w:rsid w:val="00D5727A"/>
    <w:rsid w:val="00D572AD"/>
    <w:rsid w:val="00D5730B"/>
    <w:rsid w:val="00D57372"/>
    <w:rsid w:val="00D5737F"/>
    <w:rsid w:val="00D573A9"/>
    <w:rsid w:val="00D57410"/>
    <w:rsid w:val="00D57498"/>
    <w:rsid w:val="00D57530"/>
    <w:rsid w:val="00D57559"/>
    <w:rsid w:val="00D5758A"/>
    <w:rsid w:val="00D575A1"/>
    <w:rsid w:val="00D575CB"/>
    <w:rsid w:val="00D57609"/>
    <w:rsid w:val="00D57621"/>
    <w:rsid w:val="00D5762C"/>
    <w:rsid w:val="00D5765C"/>
    <w:rsid w:val="00D576A8"/>
    <w:rsid w:val="00D576C9"/>
    <w:rsid w:val="00D576E5"/>
    <w:rsid w:val="00D5773A"/>
    <w:rsid w:val="00D57788"/>
    <w:rsid w:val="00D577B2"/>
    <w:rsid w:val="00D57873"/>
    <w:rsid w:val="00D57893"/>
    <w:rsid w:val="00D578B6"/>
    <w:rsid w:val="00D57929"/>
    <w:rsid w:val="00D57941"/>
    <w:rsid w:val="00D57968"/>
    <w:rsid w:val="00D57ACA"/>
    <w:rsid w:val="00D57BDA"/>
    <w:rsid w:val="00D57C25"/>
    <w:rsid w:val="00D57C91"/>
    <w:rsid w:val="00D57CBE"/>
    <w:rsid w:val="00D57CE5"/>
    <w:rsid w:val="00D57D13"/>
    <w:rsid w:val="00D57D15"/>
    <w:rsid w:val="00D57D47"/>
    <w:rsid w:val="00D57D8A"/>
    <w:rsid w:val="00D57E2B"/>
    <w:rsid w:val="00D57E4C"/>
    <w:rsid w:val="00D57E6F"/>
    <w:rsid w:val="00D57FAF"/>
    <w:rsid w:val="00D57FCB"/>
    <w:rsid w:val="00D57FD1"/>
    <w:rsid w:val="00D57FEB"/>
    <w:rsid w:val="00D6008A"/>
    <w:rsid w:val="00D601CD"/>
    <w:rsid w:val="00D601DB"/>
    <w:rsid w:val="00D60252"/>
    <w:rsid w:val="00D6028D"/>
    <w:rsid w:val="00D6044B"/>
    <w:rsid w:val="00D60463"/>
    <w:rsid w:val="00D604E5"/>
    <w:rsid w:val="00D605AF"/>
    <w:rsid w:val="00D60746"/>
    <w:rsid w:val="00D60754"/>
    <w:rsid w:val="00D607C8"/>
    <w:rsid w:val="00D607E1"/>
    <w:rsid w:val="00D60855"/>
    <w:rsid w:val="00D60873"/>
    <w:rsid w:val="00D608F7"/>
    <w:rsid w:val="00D6095E"/>
    <w:rsid w:val="00D6096F"/>
    <w:rsid w:val="00D609AC"/>
    <w:rsid w:val="00D60A40"/>
    <w:rsid w:val="00D60A97"/>
    <w:rsid w:val="00D60B31"/>
    <w:rsid w:val="00D60B8C"/>
    <w:rsid w:val="00D60B92"/>
    <w:rsid w:val="00D60BE9"/>
    <w:rsid w:val="00D60C1E"/>
    <w:rsid w:val="00D60C40"/>
    <w:rsid w:val="00D60CAD"/>
    <w:rsid w:val="00D60CF7"/>
    <w:rsid w:val="00D60E43"/>
    <w:rsid w:val="00D60EDE"/>
    <w:rsid w:val="00D60F09"/>
    <w:rsid w:val="00D60F3A"/>
    <w:rsid w:val="00D60F75"/>
    <w:rsid w:val="00D61012"/>
    <w:rsid w:val="00D6113F"/>
    <w:rsid w:val="00D61166"/>
    <w:rsid w:val="00D611A4"/>
    <w:rsid w:val="00D611EC"/>
    <w:rsid w:val="00D61261"/>
    <w:rsid w:val="00D6128D"/>
    <w:rsid w:val="00D612E7"/>
    <w:rsid w:val="00D61305"/>
    <w:rsid w:val="00D61338"/>
    <w:rsid w:val="00D6134E"/>
    <w:rsid w:val="00D61464"/>
    <w:rsid w:val="00D61483"/>
    <w:rsid w:val="00D614E1"/>
    <w:rsid w:val="00D61547"/>
    <w:rsid w:val="00D615D4"/>
    <w:rsid w:val="00D6163A"/>
    <w:rsid w:val="00D61692"/>
    <w:rsid w:val="00D616BA"/>
    <w:rsid w:val="00D6173C"/>
    <w:rsid w:val="00D61762"/>
    <w:rsid w:val="00D61791"/>
    <w:rsid w:val="00D617B0"/>
    <w:rsid w:val="00D617C7"/>
    <w:rsid w:val="00D617DD"/>
    <w:rsid w:val="00D617E0"/>
    <w:rsid w:val="00D617F1"/>
    <w:rsid w:val="00D6187C"/>
    <w:rsid w:val="00D618BC"/>
    <w:rsid w:val="00D6193A"/>
    <w:rsid w:val="00D6199E"/>
    <w:rsid w:val="00D61A0F"/>
    <w:rsid w:val="00D61AA0"/>
    <w:rsid w:val="00D61AB4"/>
    <w:rsid w:val="00D61AB9"/>
    <w:rsid w:val="00D61B0A"/>
    <w:rsid w:val="00D61B53"/>
    <w:rsid w:val="00D61B59"/>
    <w:rsid w:val="00D61B67"/>
    <w:rsid w:val="00D61B68"/>
    <w:rsid w:val="00D61B9F"/>
    <w:rsid w:val="00D61BB3"/>
    <w:rsid w:val="00D61C18"/>
    <w:rsid w:val="00D61C4B"/>
    <w:rsid w:val="00D61C7A"/>
    <w:rsid w:val="00D61CD7"/>
    <w:rsid w:val="00D61CDC"/>
    <w:rsid w:val="00D61D06"/>
    <w:rsid w:val="00D61D43"/>
    <w:rsid w:val="00D61D59"/>
    <w:rsid w:val="00D61D77"/>
    <w:rsid w:val="00D61D9F"/>
    <w:rsid w:val="00D61DA4"/>
    <w:rsid w:val="00D61DDE"/>
    <w:rsid w:val="00D61E91"/>
    <w:rsid w:val="00D61EBB"/>
    <w:rsid w:val="00D61ECF"/>
    <w:rsid w:val="00D61F00"/>
    <w:rsid w:val="00D61F38"/>
    <w:rsid w:val="00D61FAC"/>
    <w:rsid w:val="00D61FCE"/>
    <w:rsid w:val="00D62013"/>
    <w:rsid w:val="00D62079"/>
    <w:rsid w:val="00D620C3"/>
    <w:rsid w:val="00D620CB"/>
    <w:rsid w:val="00D6212B"/>
    <w:rsid w:val="00D62137"/>
    <w:rsid w:val="00D62221"/>
    <w:rsid w:val="00D6224B"/>
    <w:rsid w:val="00D622CC"/>
    <w:rsid w:val="00D622DA"/>
    <w:rsid w:val="00D62310"/>
    <w:rsid w:val="00D62350"/>
    <w:rsid w:val="00D62351"/>
    <w:rsid w:val="00D62402"/>
    <w:rsid w:val="00D6240C"/>
    <w:rsid w:val="00D62431"/>
    <w:rsid w:val="00D6249E"/>
    <w:rsid w:val="00D62582"/>
    <w:rsid w:val="00D62636"/>
    <w:rsid w:val="00D6270E"/>
    <w:rsid w:val="00D6274B"/>
    <w:rsid w:val="00D62764"/>
    <w:rsid w:val="00D6279B"/>
    <w:rsid w:val="00D627F9"/>
    <w:rsid w:val="00D62850"/>
    <w:rsid w:val="00D62872"/>
    <w:rsid w:val="00D628EA"/>
    <w:rsid w:val="00D6291B"/>
    <w:rsid w:val="00D6291F"/>
    <w:rsid w:val="00D62A1F"/>
    <w:rsid w:val="00D62A2D"/>
    <w:rsid w:val="00D62B34"/>
    <w:rsid w:val="00D62BCC"/>
    <w:rsid w:val="00D62C24"/>
    <w:rsid w:val="00D62C2C"/>
    <w:rsid w:val="00D62C7F"/>
    <w:rsid w:val="00D62CB1"/>
    <w:rsid w:val="00D62CC3"/>
    <w:rsid w:val="00D62CDB"/>
    <w:rsid w:val="00D62D9F"/>
    <w:rsid w:val="00D62E41"/>
    <w:rsid w:val="00D62E51"/>
    <w:rsid w:val="00D62E5A"/>
    <w:rsid w:val="00D62E7B"/>
    <w:rsid w:val="00D62FE2"/>
    <w:rsid w:val="00D63020"/>
    <w:rsid w:val="00D63092"/>
    <w:rsid w:val="00D630B7"/>
    <w:rsid w:val="00D630C3"/>
    <w:rsid w:val="00D63100"/>
    <w:rsid w:val="00D63278"/>
    <w:rsid w:val="00D63298"/>
    <w:rsid w:val="00D632CE"/>
    <w:rsid w:val="00D63305"/>
    <w:rsid w:val="00D6330B"/>
    <w:rsid w:val="00D6337F"/>
    <w:rsid w:val="00D63390"/>
    <w:rsid w:val="00D634BC"/>
    <w:rsid w:val="00D63506"/>
    <w:rsid w:val="00D6350F"/>
    <w:rsid w:val="00D63522"/>
    <w:rsid w:val="00D63523"/>
    <w:rsid w:val="00D63524"/>
    <w:rsid w:val="00D63564"/>
    <w:rsid w:val="00D63586"/>
    <w:rsid w:val="00D635EA"/>
    <w:rsid w:val="00D635FA"/>
    <w:rsid w:val="00D636A0"/>
    <w:rsid w:val="00D636B6"/>
    <w:rsid w:val="00D636B8"/>
    <w:rsid w:val="00D63701"/>
    <w:rsid w:val="00D637D7"/>
    <w:rsid w:val="00D637F4"/>
    <w:rsid w:val="00D6383A"/>
    <w:rsid w:val="00D6384D"/>
    <w:rsid w:val="00D638B4"/>
    <w:rsid w:val="00D63909"/>
    <w:rsid w:val="00D63927"/>
    <w:rsid w:val="00D63A49"/>
    <w:rsid w:val="00D63B8A"/>
    <w:rsid w:val="00D63C3E"/>
    <w:rsid w:val="00D63CEB"/>
    <w:rsid w:val="00D63D52"/>
    <w:rsid w:val="00D63D81"/>
    <w:rsid w:val="00D63D92"/>
    <w:rsid w:val="00D63E37"/>
    <w:rsid w:val="00D63E4C"/>
    <w:rsid w:val="00D63EB6"/>
    <w:rsid w:val="00D63F0C"/>
    <w:rsid w:val="00D64029"/>
    <w:rsid w:val="00D6403D"/>
    <w:rsid w:val="00D64068"/>
    <w:rsid w:val="00D64078"/>
    <w:rsid w:val="00D6409B"/>
    <w:rsid w:val="00D64103"/>
    <w:rsid w:val="00D6410C"/>
    <w:rsid w:val="00D641B4"/>
    <w:rsid w:val="00D6420A"/>
    <w:rsid w:val="00D64217"/>
    <w:rsid w:val="00D64243"/>
    <w:rsid w:val="00D642B6"/>
    <w:rsid w:val="00D6430D"/>
    <w:rsid w:val="00D6432F"/>
    <w:rsid w:val="00D643B5"/>
    <w:rsid w:val="00D64425"/>
    <w:rsid w:val="00D6442B"/>
    <w:rsid w:val="00D64470"/>
    <w:rsid w:val="00D64482"/>
    <w:rsid w:val="00D64505"/>
    <w:rsid w:val="00D64536"/>
    <w:rsid w:val="00D64558"/>
    <w:rsid w:val="00D6458E"/>
    <w:rsid w:val="00D6467E"/>
    <w:rsid w:val="00D64685"/>
    <w:rsid w:val="00D646C2"/>
    <w:rsid w:val="00D646EE"/>
    <w:rsid w:val="00D64700"/>
    <w:rsid w:val="00D647F0"/>
    <w:rsid w:val="00D64841"/>
    <w:rsid w:val="00D6487E"/>
    <w:rsid w:val="00D64881"/>
    <w:rsid w:val="00D648A2"/>
    <w:rsid w:val="00D6491F"/>
    <w:rsid w:val="00D649C2"/>
    <w:rsid w:val="00D649FB"/>
    <w:rsid w:val="00D64A5D"/>
    <w:rsid w:val="00D64A6C"/>
    <w:rsid w:val="00D64A98"/>
    <w:rsid w:val="00D64AB9"/>
    <w:rsid w:val="00D64B01"/>
    <w:rsid w:val="00D64B1F"/>
    <w:rsid w:val="00D64B34"/>
    <w:rsid w:val="00D64B8D"/>
    <w:rsid w:val="00D64C33"/>
    <w:rsid w:val="00D64CFC"/>
    <w:rsid w:val="00D64D1E"/>
    <w:rsid w:val="00D64D40"/>
    <w:rsid w:val="00D64D80"/>
    <w:rsid w:val="00D64DDD"/>
    <w:rsid w:val="00D64DFB"/>
    <w:rsid w:val="00D64E65"/>
    <w:rsid w:val="00D64E6E"/>
    <w:rsid w:val="00D64F8E"/>
    <w:rsid w:val="00D65008"/>
    <w:rsid w:val="00D6502B"/>
    <w:rsid w:val="00D65051"/>
    <w:rsid w:val="00D65053"/>
    <w:rsid w:val="00D65075"/>
    <w:rsid w:val="00D65086"/>
    <w:rsid w:val="00D65098"/>
    <w:rsid w:val="00D65113"/>
    <w:rsid w:val="00D65146"/>
    <w:rsid w:val="00D6522F"/>
    <w:rsid w:val="00D6523A"/>
    <w:rsid w:val="00D6537C"/>
    <w:rsid w:val="00D65387"/>
    <w:rsid w:val="00D653C2"/>
    <w:rsid w:val="00D653C9"/>
    <w:rsid w:val="00D653DB"/>
    <w:rsid w:val="00D653E0"/>
    <w:rsid w:val="00D6544B"/>
    <w:rsid w:val="00D654E1"/>
    <w:rsid w:val="00D65594"/>
    <w:rsid w:val="00D655DB"/>
    <w:rsid w:val="00D6575D"/>
    <w:rsid w:val="00D6576B"/>
    <w:rsid w:val="00D6577B"/>
    <w:rsid w:val="00D65787"/>
    <w:rsid w:val="00D657C1"/>
    <w:rsid w:val="00D6582D"/>
    <w:rsid w:val="00D65842"/>
    <w:rsid w:val="00D6587C"/>
    <w:rsid w:val="00D658AA"/>
    <w:rsid w:val="00D65907"/>
    <w:rsid w:val="00D65A81"/>
    <w:rsid w:val="00D65A8D"/>
    <w:rsid w:val="00D65A99"/>
    <w:rsid w:val="00D65AAD"/>
    <w:rsid w:val="00D65AC6"/>
    <w:rsid w:val="00D65AEC"/>
    <w:rsid w:val="00D65B24"/>
    <w:rsid w:val="00D65B72"/>
    <w:rsid w:val="00D65B87"/>
    <w:rsid w:val="00D65CA0"/>
    <w:rsid w:val="00D65CBB"/>
    <w:rsid w:val="00D65CE4"/>
    <w:rsid w:val="00D65D73"/>
    <w:rsid w:val="00D65D86"/>
    <w:rsid w:val="00D65D88"/>
    <w:rsid w:val="00D65D91"/>
    <w:rsid w:val="00D65E7D"/>
    <w:rsid w:val="00D65EC3"/>
    <w:rsid w:val="00D65F9D"/>
    <w:rsid w:val="00D65FC7"/>
    <w:rsid w:val="00D65FF2"/>
    <w:rsid w:val="00D66035"/>
    <w:rsid w:val="00D661AE"/>
    <w:rsid w:val="00D6620F"/>
    <w:rsid w:val="00D662CC"/>
    <w:rsid w:val="00D66319"/>
    <w:rsid w:val="00D6634D"/>
    <w:rsid w:val="00D66392"/>
    <w:rsid w:val="00D66398"/>
    <w:rsid w:val="00D66442"/>
    <w:rsid w:val="00D66484"/>
    <w:rsid w:val="00D6649C"/>
    <w:rsid w:val="00D664AC"/>
    <w:rsid w:val="00D664FC"/>
    <w:rsid w:val="00D66594"/>
    <w:rsid w:val="00D665B2"/>
    <w:rsid w:val="00D665CC"/>
    <w:rsid w:val="00D667C0"/>
    <w:rsid w:val="00D6686A"/>
    <w:rsid w:val="00D6687F"/>
    <w:rsid w:val="00D66883"/>
    <w:rsid w:val="00D66956"/>
    <w:rsid w:val="00D66996"/>
    <w:rsid w:val="00D66A26"/>
    <w:rsid w:val="00D66A85"/>
    <w:rsid w:val="00D66A91"/>
    <w:rsid w:val="00D66A96"/>
    <w:rsid w:val="00D66AE4"/>
    <w:rsid w:val="00D66B23"/>
    <w:rsid w:val="00D66BB9"/>
    <w:rsid w:val="00D66BF5"/>
    <w:rsid w:val="00D66BFE"/>
    <w:rsid w:val="00D66C9E"/>
    <w:rsid w:val="00D66CA6"/>
    <w:rsid w:val="00D66D50"/>
    <w:rsid w:val="00D66D67"/>
    <w:rsid w:val="00D66DE9"/>
    <w:rsid w:val="00D66EA0"/>
    <w:rsid w:val="00D66EC0"/>
    <w:rsid w:val="00D66FA0"/>
    <w:rsid w:val="00D66FDE"/>
    <w:rsid w:val="00D6701A"/>
    <w:rsid w:val="00D67024"/>
    <w:rsid w:val="00D670F1"/>
    <w:rsid w:val="00D670F5"/>
    <w:rsid w:val="00D67109"/>
    <w:rsid w:val="00D6715D"/>
    <w:rsid w:val="00D67189"/>
    <w:rsid w:val="00D671F8"/>
    <w:rsid w:val="00D6722B"/>
    <w:rsid w:val="00D67251"/>
    <w:rsid w:val="00D67259"/>
    <w:rsid w:val="00D67286"/>
    <w:rsid w:val="00D67346"/>
    <w:rsid w:val="00D67354"/>
    <w:rsid w:val="00D67364"/>
    <w:rsid w:val="00D673AD"/>
    <w:rsid w:val="00D6740D"/>
    <w:rsid w:val="00D674B9"/>
    <w:rsid w:val="00D6755E"/>
    <w:rsid w:val="00D67593"/>
    <w:rsid w:val="00D67594"/>
    <w:rsid w:val="00D675C2"/>
    <w:rsid w:val="00D6762F"/>
    <w:rsid w:val="00D6763D"/>
    <w:rsid w:val="00D6766D"/>
    <w:rsid w:val="00D67678"/>
    <w:rsid w:val="00D67690"/>
    <w:rsid w:val="00D67692"/>
    <w:rsid w:val="00D676CF"/>
    <w:rsid w:val="00D6779E"/>
    <w:rsid w:val="00D67816"/>
    <w:rsid w:val="00D67863"/>
    <w:rsid w:val="00D678BF"/>
    <w:rsid w:val="00D678CE"/>
    <w:rsid w:val="00D67925"/>
    <w:rsid w:val="00D67935"/>
    <w:rsid w:val="00D67963"/>
    <w:rsid w:val="00D67B19"/>
    <w:rsid w:val="00D67B46"/>
    <w:rsid w:val="00D67BFC"/>
    <w:rsid w:val="00D67C06"/>
    <w:rsid w:val="00D67C29"/>
    <w:rsid w:val="00D67C75"/>
    <w:rsid w:val="00D67CCC"/>
    <w:rsid w:val="00D67CCF"/>
    <w:rsid w:val="00D67CEA"/>
    <w:rsid w:val="00D67D10"/>
    <w:rsid w:val="00D67D1E"/>
    <w:rsid w:val="00D67D23"/>
    <w:rsid w:val="00D67D76"/>
    <w:rsid w:val="00D67D79"/>
    <w:rsid w:val="00D67DC9"/>
    <w:rsid w:val="00D67E6C"/>
    <w:rsid w:val="00D67EB0"/>
    <w:rsid w:val="00D70072"/>
    <w:rsid w:val="00D70083"/>
    <w:rsid w:val="00D700F8"/>
    <w:rsid w:val="00D701AD"/>
    <w:rsid w:val="00D701AE"/>
    <w:rsid w:val="00D701F9"/>
    <w:rsid w:val="00D70250"/>
    <w:rsid w:val="00D7029A"/>
    <w:rsid w:val="00D7035F"/>
    <w:rsid w:val="00D703F8"/>
    <w:rsid w:val="00D704B4"/>
    <w:rsid w:val="00D70612"/>
    <w:rsid w:val="00D70617"/>
    <w:rsid w:val="00D70657"/>
    <w:rsid w:val="00D7065A"/>
    <w:rsid w:val="00D70707"/>
    <w:rsid w:val="00D70716"/>
    <w:rsid w:val="00D707BC"/>
    <w:rsid w:val="00D707D1"/>
    <w:rsid w:val="00D707F0"/>
    <w:rsid w:val="00D70840"/>
    <w:rsid w:val="00D70864"/>
    <w:rsid w:val="00D70886"/>
    <w:rsid w:val="00D7088F"/>
    <w:rsid w:val="00D7090C"/>
    <w:rsid w:val="00D7090D"/>
    <w:rsid w:val="00D7092A"/>
    <w:rsid w:val="00D70983"/>
    <w:rsid w:val="00D70985"/>
    <w:rsid w:val="00D70A03"/>
    <w:rsid w:val="00D70A07"/>
    <w:rsid w:val="00D70A77"/>
    <w:rsid w:val="00D70ADF"/>
    <w:rsid w:val="00D70AFD"/>
    <w:rsid w:val="00D70B49"/>
    <w:rsid w:val="00D70B7B"/>
    <w:rsid w:val="00D70BFE"/>
    <w:rsid w:val="00D70C5C"/>
    <w:rsid w:val="00D70D4E"/>
    <w:rsid w:val="00D70E29"/>
    <w:rsid w:val="00D70E8B"/>
    <w:rsid w:val="00D70ED0"/>
    <w:rsid w:val="00D70F5C"/>
    <w:rsid w:val="00D70F6A"/>
    <w:rsid w:val="00D70F83"/>
    <w:rsid w:val="00D70FCC"/>
    <w:rsid w:val="00D71121"/>
    <w:rsid w:val="00D71159"/>
    <w:rsid w:val="00D71168"/>
    <w:rsid w:val="00D711BB"/>
    <w:rsid w:val="00D711D3"/>
    <w:rsid w:val="00D711EC"/>
    <w:rsid w:val="00D71216"/>
    <w:rsid w:val="00D7121B"/>
    <w:rsid w:val="00D712BB"/>
    <w:rsid w:val="00D712C5"/>
    <w:rsid w:val="00D7138F"/>
    <w:rsid w:val="00D713AD"/>
    <w:rsid w:val="00D7140D"/>
    <w:rsid w:val="00D7150D"/>
    <w:rsid w:val="00D715FA"/>
    <w:rsid w:val="00D7164C"/>
    <w:rsid w:val="00D716C0"/>
    <w:rsid w:val="00D716C2"/>
    <w:rsid w:val="00D7171B"/>
    <w:rsid w:val="00D717CC"/>
    <w:rsid w:val="00D717E1"/>
    <w:rsid w:val="00D718A8"/>
    <w:rsid w:val="00D71903"/>
    <w:rsid w:val="00D71935"/>
    <w:rsid w:val="00D71936"/>
    <w:rsid w:val="00D7194C"/>
    <w:rsid w:val="00D719C9"/>
    <w:rsid w:val="00D71A03"/>
    <w:rsid w:val="00D71A80"/>
    <w:rsid w:val="00D71BDB"/>
    <w:rsid w:val="00D71C4D"/>
    <w:rsid w:val="00D71C80"/>
    <w:rsid w:val="00D71C8B"/>
    <w:rsid w:val="00D71DFC"/>
    <w:rsid w:val="00D71E3D"/>
    <w:rsid w:val="00D720DF"/>
    <w:rsid w:val="00D720FC"/>
    <w:rsid w:val="00D721E7"/>
    <w:rsid w:val="00D721FC"/>
    <w:rsid w:val="00D722D7"/>
    <w:rsid w:val="00D722DB"/>
    <w:rsid w:val="00D72317"/>
    <w:rsid w:val="00D72453"/>
    <w:rsid w:val="00D724A5"/>
    <w:rsid w:val="00D72567"/>
    <w:rsid w:val="00D72576"/>
    <w:rsid w:val="00D725AF"/>
    <w:rsid w:val="00D725D8"/>
    <w:rsid w:val="00D7261C"/>
    <w:rsid w:val="00D72662"/>
    <w:rsid w:val="00D7268A"/>
    <w:rsid w:val="00D72719"/>
    <w:rsid w:val="00D7271A"/>
    <w:rsid w:val="00D72801"/>
    <w:rsid w:val="00D72805"/>
    <w:rsid w:val="00D7282F"/>
    <w:rsid w:val="00D728B9"/>
    <w:rsid w:val="00D72926"/>
    <w:rsid w:val="00D7294D"/>
    <w:rsid w:val="00D72AA8"/>
    <w:rsid w:val="00D72B43"/>
    <w:rsid w:val="00D72B7A"/>
    <w:rsid w:val="00D72BAC"/>
    <w:rsid w:val="00D72BCF"/>
    <w:rsid w:val="00D72BDB"/>
    <w:rsid w:val="00D72BEA"/>
    <w:rsid w:val="00D72C97"/>
    <w:rsid w:val="00D72CAE"/>
    <w:rsid w:val="00D72D70"/>
    <w:rsid w:val="00D72DA8"/>
    <w:rsid w:val="00D72DD7"/>
    <w:rsid w:val="00D7301C"/>
    <w:rsid w:val="00D73030"/>
    <w:rsid w:val="00D73050"/>
    <w:rsid w:val="00D730A9"/>
    <w:rsid w:val="00D730CB"/>
    <w:rsid w:val="00D730E6"/>
    <w:rsid w:val="00D730EF"/>
    <w:rsid w:val="00D730F9"/>
    <w:rsid w:val="00D73216"/>
    <w:rsid w:val="00D7323D"/>
    <w:rsid w:val="00D73263"/>
    <w:rsid w:val="00D73292"/>
    <w:rsid w:val="00D7331E"/>
    <w:rsid w:val="00D73320"/>
    <w:rsid w:val="00D73324"/>
    <w:rsid w:val="00D733CB"/>
    <w:rsid w:val="00D7340A"/>
    <w:rsid w:val="00D73420"/>
    <w:rsid w:val="00D73457"/>
    <w:rsid w:val="00D73481"/>
    <w:rsid w:val="00D734B3"/>
    <w:rsid w:val="00D734CB"/>
    <w:rsid w:val="00D73508"/>
    <w:rsid w:val="00D7350E"/>
    <w:rsid w:val="00D73545"/>
    <w:rsid w:val="00D735B5"/>
    <w:rsid w:val="00D73631"/>
    <w:rsid w:val="00D736C9"/>
    <w:rsid w:val="00D736E0"/>
    <w:rsid w:val="00D736E5"/>
    <w:rsid w:val="00D737A5"/>
    <w:rsid w:val="00D737EA"/>
    <w:rsid w:val="00D737F3"/>
    <w:rsid w:val="00D73802"/>
    <w:rsid w:val="00D73814"/>
    <w:rsid w:val="00D73820"/>
    <w:rsid w:val="00D7384B"/>
    <w:rsid w:val="00D7386D"/>
    <w:rsid w:val="00D73921"/>
    <w:rsid w:val="00D739A5"/>
    <w:rsid w:val="00D739B1"/>
    <w:rsid w:val="00D73A4F"/>
    <w:rsid w:val="00D73AC2"/>
    <w:rsid w:val="00D73BFB"/>
    <w:rsid w:val="00D73C76"/>
    <w:rsid w:val="00D73C85"/>
    <w:rsid w:val="00D73CC2"/>
    <w:rsid w:val="00D73CCB"/>
    <w:rsid w:val="00D73CED"/>
    <w:rsid w:val="00D73D38"/>
    <w:rsid w:val="00D73DC8"/>
    <w:rsid w:val="00D73DCD"/>
    <w:rsid w:val="00D7401A"/>
    <w:rsid w:val="00D7406D"/>
    <w:rsid w:val="00D7411F"/>
    <w:rsid w:val="00D74125"/>
    <w:rsid w:val="00D7415A"/>
    <w:rsid w:val="00D741CC"/>
    <w:rsid w:val="00D741D7"/>
    <w:rsid w:val="00D74301"/>
    <w:rsid w:val="00D74315"/>
    <w:rsid w:val="00D74467"/>
    <w:rsid w:val="00D74468"/>
    <w:rsid w:val="00D744B6"/>
    <w:rsid w:val="00D744C0"/>
    <w:rsid w:val="00D744F8"/>
    <w:rsid w:val="00D74537"/>
    <w:rsid w:val="00D74587"/>
    <w:rsid w:val="00D74624"/>
    <w:rsid w:val="00D7468B"/>
    <w:rsid w:val="00D74697"/>
    <w:rsid w:val="00D7477C"/>
    <w:rsid w:val="00D747D7"/>
    <w:rsid w:val="00D747FD"/>
    <w:rsid w:val="00D7487B"/>
    <w:rsid w:val="00D7488D"/>
    <w:rsid w:val="00D74894"/>
    <w:rsid w:val="00D748A2"/>
    <w:rsid w:val="00D74946"/>
    <w:rsid w:val="00D749EC"/>
    <w:rsid w:val="00D74A15"/>
    <w:rsid w:val="00D74AC8"/>
    <w:rsid w:val="00D74AFD"/>
    <w:rsid w:val="00D74B0C"/>
    <w:rsid w:val="00D74B25"/>
    <w:rsid w:val="00D74C0B"/>
    <w:rsid w:val="00D74CAD"/>
    <w:rsid w:val="00D74CB1"/>
    <w:rsid w:val="00D74CBE"/>
    <w:rsid w:val="00D74CC1"/>
    <w:rsid w:val="00D74CCD"/>
    <w:rsid w:val="00D74CF0"/>
    <w:rsid w:val="00D74D04"/>
    <w:rsid w:val="00D74D98"/>
    <w:rsid w:val="00D74E02"/>
    <w:rsid w:val="00D74E06"/>
    <w:rsid w:val="00D74E8B"/>
    <w:rsid w:val="00D74EE4"/>
    <w:rsid w:val="00D74F07"/>
    <w:rsid w:val="00D74F40"/>
    <w:rsid w:val="00D74F52"/>
    <w:rsid w:val="00D74F6E"/>
    <w:rsid w:val="00D74F7A"/>
    <w:rsid w:val="00D74F7C"/>
    <w:rsid w:val="00D74F85"/>
    <w:rsid w:val="00D74F87"/>
    <w:rsid w:val="00D74FBB"/>
    <w:rsid w:val="00D74FCF"/>
    <w:rsid w:val="00D7502D"/>
    <w:rsid w:val="00D75040"/>
    <w:rsid w:val="00D75087"/>
    <w:rsid w:val="00D750D5"/>
    <w:rsid w:val="00D7513A"/>
    <w:rsid w:val="00D7516A"/>
    <w:rsid w:val="00D7516C"/>
    <w:rsid w:val="00D7525D"/>
    <w:rsid w:val="00D752AE"/>
    <w:rsid w:val="00D7534A"/>
    <w:rsid w:val="00D75368"/>
    <w:rsid w:val="00D75371"/>
    <w:rsid w:val="00D753C5"/>
    <w:rsid w:val="00D753E7"/>
    <w:rsid w:val="00D754B7"/>
    <w:rsid w:val="00D75530"/>
    <w:rsid w:val="00D755A4"/>
    <w:rsid w:val="00D75608"/>
    <w:rsid w:val="00D756C4"/>
    <w:rsid w:val="00D756F4"/>
    <w:rsid w:val="00D756F9"/>
    <w:rsid w:val="00D75776"/>
    <w:rsid w:val="00D75791"/>
    <w:rsid w:val="00D757AE"/>
    <w:rsid w:val="00D757FA"/>
    <w:rsid w:val="00D7584F"/>
    <w:rsid w:val="00D7589F"/>
    <w:rsid w:val="00D758A1"/>
    <w:rsid w:val="00D7590A"/>
    <w:rsid w:val="00D75933"/>
    <w:rsid w:val="00D75950"/>
    <w:rsid w:val="00D759BA"/>
    <w:rsid w:val="00D75A28"/>
    <w:rsid w:val="00D75A7B"/>
    <w:rsid w:val="00D75ABD"/>
    <w:rsid w:val="00D75B7C"/>
    <w:rsid w:val="00D75B8C"/>
    <w:rsid w:val="00D75C6C"/>
    <w:rsid w:val="00D75C96"/>
    <w:rsid w:val="00D75D5B"/>
    <w:rsid w:val="00D75D8B"/>
    <w:rsid w:val="00D75E42"/>
    <w:rsid w:val="00D75E61"/>
    <w:rsid w:val="00D75F60"/>
    <w:rsid w:val="00D75FF3"/>
    <w:rsid w:val="00D76014"/>
    <w:rsid w:val="00D76056"/>
    <w:rsid w:val="00D761A9"/>
    <w:rsid w:val="00D761FF"/>
    <w:rsid w:val="00D7624A"/>
    <w:rsid w:val="00D7630E"/>
    <w:rsid w:val="00D7631E"/>
    <w:rsid w:val="00D763B0"/>
    <w:rsid w:val="00D7645C"/>
    <w:rsid w:val="00D76614"/>
    <w:rsid w:val="00D7662A"/>
    <w:rsid w:val="00D7662D"/>
    <w:rsid w:val="00D76652"/>
    <w:rsid w:val="00D76691"/>
    <w:rsid w:val="00D76727"/>
    <w:rsid w:val="00D76751"/>
    <w:rsid w:val="00D76774"/>
    <w:rsid w:val="00D7680F"/>
    <w:rsid w:val="00D7683E"/>
    <w:rsid w:val="00D7684C"/>
    <w:rsid w:val="00D768C2"/>
    <w:rsid w:val="00D7690F"/>
    <w:rsid w:val="00D769A0"/>
    <w:rsid w:val="00D76A6D"/>
    <w:rsid w:val="00D76AEB"/>
    <w:rsid w:val="00D76B4C"/>
    <w:rsid w:val="00D76B80"/>
    <w:rsid w:val="00D76BC3"/>
    <w:rsid w:val="00D76BF7"/>
    <w:rsid w:val="00D76C13"/>
    <w:rsid w:val="00D76C2C"/>
    <w:rsid w:val="00D76C5D"/>
    <w:rsid w:val="00D76D6F"/>
    <w:rsid w:val="00D76E62"/>
    <w:rsid w:val="00D76E64"/>
    <w:rsid w:val="00D76E73"/>
    <w:rsid w:val="00D76E83"/>
    <w:rsid w:val="00D76E88"/>
    <w:rsid w:val="00D76E97"/>
    <w:rsid w:val="00D76EBE"/>
    <w:rsid w:val="00D76F7C"/>
    <w:rsid w:val="00D76FF6"/>
    <w:rsid w:val="00D77055"/>
    <w:rsid w:val="00D77096"/>
    <w:rsid w:val="00D770BA"/>
    <w:rsid w:val="00D770E5"/>
    <w:rsid w:val="00D770FB"/>
    <w:rsid w:val="00D77170"/>
    <w:rsid w:val="00D771B2"/>
    <w:rsid w:val="00D77237"/>
    <w:rsid w:val="00D7724D"/>
    <w:rsid w:val="00D7728D"/>
    <w:rsid w:val="00D772F9"/>
    <w:rsid w:val="00D77343"/>
    <w:rsid w:val="00D77349"/>
    <w:rsid w:val="00D7736E"/>
    <w:rsid w:val="00D77386"/>
    <w:rsid w:val="00D773FA"/>
    <w:rsid w:val="00D77401"/>
    <w:rsid w:val="00D77436"/>
    <w:rsid w:val="00D77471"/>
    <w:rsid w:val="00D77474"/>
    <w:rsid w:val="00D77532"/>
    <w:rsid w:val="00D7754C"/>
    <w:rsid w:val="00D775CB"/>
    <w:rsid w:val="00D776D2"/>
    <w:rsid w:val="00D777A4"/>
    <w:rsid w:val="00D777D3"/>
    <w:rsid w:val="00D777FB"/>
    <w:rsid w:val="00D77860"/>
    <w:rsid w:val="00D778C0"/>
    <w:rsid w:val="00D77918"/>
    <w:rsid w:val="00D7798A"/>
    <w:rsid w:val="00D77A37"/>
    <w:rsid w:val="00D77A65"/>
    <w:rsid w:val="00D77A66"/>
    <w:rsid w:val="00D77A85"/>
    <w:rsid w:val="00D77A9E"/>
    <w:rsid w:val="00D77AAE"/>
    <w:rsid w:val="00D77ABB"/>
    <w:rsid w:val="00D77B0A"/>
    <w:rsid w:val="00D77C00"/>
    <w:rsid w:val="00D77C39"/>
    <w:rsid w:val="00D77C93"/>
    <w:rsid w:val="00D77CED"/>
    <w:rsid w:val="00D77D91"/>
    <w:rsid w:val="00D77DE7"/>
    <w:rsid w:val="00D77E05"/>
    <w:rsid w:val="00D77EC6"/>
    <w:rsid w:val="00D77ECD"/>
    <w:rsid w:val="00D77F00"/>
    <w:rsid w:val="00D77F1B"/>
    <w:rsid w:val="00D77F4D"/>
    <w:rsid w:val="00D77F8A"/>
    <w:rsid w:val="00D77F9C"/>
    <w:rsid w:val="00D8005A"/>
    <w:rsid w:val="00D80071"/>
    <w:rsid w:val="00D800DA"/>
    <w:rsid w:val="00D8016A"/>
    <w:rsid w:val="00D801B4"/>
    <w:rsid w:val="00D80202"/>
    <w:rsid w:val="00D8026B"/>
    <w:rsid w:val="00D802D8"/>
    <w:rsid w:val="00D802DE"/>
    <w:rsid w:val="00D802FE"/>
    <w:rsid w:val="00D80324"/>
    <w:rsid w:val="00D8036A"/>
    <w:rsid w:val="00D803BF"/>
    <w:rsid w:val="00D80491"/>
    <w:rsid w:val="00D8049E"/>
    <w:rsid w:val="00D80588"/>
    <w:rsid w:val="00D80589"/>
    <w:rsid w:val="00D805AD"/>
    <w:rsid w:val="00D805F7"/>
    <w:rsid w:val="00D80685"/>
    <w:rsid w:val="00D80701"/>
    <w:rsid w:val="00D8071B"/>
    <w:rsid w:val="00D80768"/>
    <w:rsid w:val="00D807EE"/>
    <w:rsid w:val="00D80841"/>
    <w:rsid w:val="00D80846"/>
    <w:rsid w:val="00D80853"/>
    <w:rsid w:val="00D808C4"/>
    <w:rsid w:val="00D8093F"/>
    <w:rsid w:val="00D80982"/>
    <w:rsid w:val="00D80989"/>
    <w:rsid w:val="00D8098E"/>
    <w:rsid w:val="00D809B2"/>
    <w:rsid w:val="00D809C1"/>
    <w:rsid w:val="00D80BE2"/>
    <w:rsid w:val="00D80BF3"/>
    <w:rsid w:val="00D80C02"/>
    <w:rsid w:val="00D80C47"/>
    <w:rsid w:val="00D80C69"/>
    <w:rsid w:val="00D80D1B"/>
    <w:rsid w:val="00D80D54"/>
    <w:rsid w:val="00D80DA3"/>
    <w:rsid w:val="00D80E1A"/>
    <w:rsid w:val="00D80E44"/>
    <w:rsid w:val="00D80E6C"/>
    <w:rsid w:val="00D80EA2"/>
    <w:rsid w:val="00D80F11"/>
    <w:rsid w:val="00D80F56"/>
    <w:rsid w:val="00D80FE1"/>
    <w:rsid w:val="00D81030"/>
    <w:rsid w:val="00D810B9"/>
    <w:rsid w:val="00D81124"/>
    <w:rsid w:val="00D81164"/>
    <w:rsid w:val="00D81178"/>
    <w:rsid w:val="00D811DA"/>
    <w:rsid w:val="00D81279"/>
    <w:rsid w:val="00D812B8"/>
    <w:rsid w:val="00D8132A"/>
    <w:rsid w:val="00D81378"/>
    <w:rsid w:val="00D813A2"/>
    <w:rsid w:val="00D813A8"/>
    <w:rsid w:val="00D813B0"/>
    <w:rsid w:val="00D813BC"/>
    <w:rsid w:val="00D813C5"/>
    <w:rsid w:val="00D813DD"/>
    <w:rsid w:val="00D81406"/>
    <w:rsid w:val="00D81411"/>
    <w:rsid w:val="00D81435"/>
    <w:rsid w:val="00D81499"/>
    <w:rsid w:val="00D814C1"/>
    <w:rsid w:val="00D81578"/>
    <w:rsid w:val="00D81638"/>
    <w:rsid w:val="00D816BC"/>
    <w:rsid w:val="00D816CA"/>
    <w:rsid w:val="00D81790"/>
    <w:rsid w:val="00D817D9"/>
    <w:rsid w:val="00D81822"/>
    <w:rsid w:val="00D81824"/>
    <w:rsid w:val="00D81827"/>
    <w:rsid w:val="00D81878"/>
    <w:rsid w:val="00D81895"/>
    <w:rsid w:val="00D818AE"/>
    <w:rsid w:val="00D818BC"/>
    <w:rsid w:val="00D8191A"/>
    <w:rsid w:val="00D81937"/>
    <w:rsid w:val="00D8193A"/>
    <w:rsid w:val="00D81A28"/>
    <w:rsid w:val="00D81A7F"/>
    <w:rsid w:val="00D81ACF"/>
    <w:rsid w:val="00D81ADE"/>
    <w:rsid w:val="00D81B92"/>
    <w:rsid w:val="00D81CD3"/>
    <w:rsid w:val="00D81CF7"/>
    <w:rsid w:val="00D81DA3"/>
    <w:rsid w:val="00D81DB3"/>
    <w:rsid w:val="00D81DE9"/>
    <w:rsid w:val="00D81E5D"/>
    <w:rsid w:val="00D81F48"/>
    <w:rsid w:val="00D81F72"/>
    <w:rsid w:val="00D82010"/>
    <w:rsid w:val="00D820B4"/>
    <w:rsid w:val="00D820F9"/>
    <w:rsid w:val="00D820FD"/>
    <w:rsid w:val="00D82156"/>
    <w:rsid w:val="00D821B7"/>
    <w:rsid w:val="00D821CC"/>
    <w:rsid w:val="00D821EA"/>
    <w:rsid w:val="00D821EC"/>
    <w:rsid w:val="00D821F5"/>
    <w:rsid w:val="00D82239"/>
    <w:rsid w:val="00D822CE"/>
    <w:rsid w:val="00D82413"/>
    <w:rsid w:val="00D824C8"/>
    <w:rsid w:val="00D82562"/>
    <w:rsid w:val="00D82616"/>
    <w:rsid w:val="00D82646"/>
    <w:rsid w:val="00D82679"/>
    <w:rsid w:val="00D827F6"/>
    <w:rsid w:val="00D82864"/>
    <w:rsid w:val="00D8286D"/>
    <w:rsid w:val="00D828A2"/>
    <w:rsid w:val="00D828BD"/>
    <w:rsid w:val="00D82908"/>
    <w:rsid w:val="00D8290C"/>
    <w:rsid w:val="00D829C1"/>
    <w:rsid w:val="00D82A15"/>
    <w:rsid w:val="00D82AC2"/>
    <w:rsid w:val="00D82ADC"/>
    <w:rsid w:val="00D82ADD"/>
    <w:rsid w:val="00D82B3E"/>
    <w:rsid w:val="00D82B73"/>
    <w:rsid w:val="00D82B82"/>
    <w:rsid w:val="00D82BBF"/>
    <w:rsid w:val="00D82C24"/>
    <w:rsid w:val="00D82C37"/>
    <w:rsid w:val="00D82D33"/>
    <w:rsid w:val="00D82DAB"/>
    <w:rsid w:val="00D82DCF"/>
    <w:rsid w:val="00D82EF2"/>
    <w:rsid w:val="00D82F32"/>
    <w:rsid w:val="00D82FAB"/>
    <w:rsid w:val="00D82FC6"/>
    <w:rsid w:val="00D82FF7"/>
    <w:rsid w:val="00D8300B"/>
    <w:rsid w:val="00D83032"/>
    <w:rsid w:val="00D830C5"/>
    <w:rsid w:val="00D830E8"/>
    <w:rsid w:val="00D8314F"/>
    <w:rsid w:val="00D83233"/>
    <w:rsid w:val="00D83282"/>
    <w:rsid w:val="00D83290"/>
    <w:rsid w:val="00D83348"/>
    <w:rsid w:val="00D8335C"/>
    <w:rsid w:val="00D8337A"/>
    <w:rsid w:val="00D833C3"/>
    <w:rsid w:val="00D8341A"/>
    <w:rsid w:val="00D83466"/>
    <w:rsid w:val="00D834FA"/>
    <w:rsid w:val="00D83515"/>
    <w:rsid w:val="00D8354E"/>
    <w:rsid w:val="00D8358E"/>
    <w:rsid w:val="00D8359E"/>
    <w:rsid w:val="00D835AE"/>
    <w:rsid w:val="00D835B1"/>
    <w:rsid w:val="00D835F7"/>
    <w:rsid w:val="00D835FB"/>
    <w:rsid w:val="00D83683"/>
    <w:rsid w:val="00D836B5"/>
    <w:rsid w:val="00D836CB"/>
    <w:rsid w:val="00D83794"/>
    <w:rsid w:val="00D83858"/>
    <w:rsid w:val="00D8387C"/>
    <w:rsid w:val="00D8398B"/>
    <w:rsid w:val="00D839BF"/>
    <w:rsid w:val="00D839CC"/>
    <w:rsid w:val="00D839FF"/>
    <w:rsid w:val="00D83AB9"/>
    <w:rsid w:val="00D83AD8"/>
    <w:rsid w:val="00D83B76"/>
    <w:rsid w:val="00D83BB1"/>
    <w:rsid w:val="00D83D44"/>
    <w:rsid w:val="00D83D4A"/>
    <w:rsid w:val="00D83D5A"/>
    <w:rsid w:val="00D83D68"/>
    <w:rsid w:val="00D83D98"/>
    <w:rsid w:val="00D83DBA"/>
    <w:rsid w:val="00D83DF5"/>
    <w:rsid w:val="00D83E4F"/>
    <w:rsid w:val="00D83E8A"/>
    <w:rsid w:val="00D83F3D"/>
    <w:rsid w:val="00D83FAB"/>
    <w:rsid w:val="00D8404E"/>
    <w:rsid w:val="00D840B8"/>
    <w:rsid w:val="00D84208"/>
    <w:rsid w:val="00D84251"/>
    <w:rsid w:val="00D8426B"/>
    <w:rsid w:val="00D84296"/>
    <w:rsid w:val="00D8429C"/>
    <w:rsid w:val="00D842BB"/>
    <w:rsid w:val="00D842EB"/>
    <w:rsid w:val="00D843A8"/>
    <w:rsid w:val="00D843CC"/>
    <w:rsid w:val="00D84459"/>
    <w:rsid w:val="00D84502"/>
    <w:rsid w:val="00D84503"/>
    <w:rsid w:val="00D84522"/>
    <w:rsid w:val="00D8457B"/>
    <w:rsid w:val="00D8459A"/>
    <w:rsid w:val="00D845B1"/>
    <w:rsid w:val="00D84639"/>
    <w:rsid w:val="00D8464A"/>
    <w:rsid w:val="00D8467C"/>
    <w:rsid w:val="00D84680"/>
    <w:rsid w:val="00D84791"/>
    <w:rsid w:val="00D84795"/>
    <w:rsid w:val="00D848D2"/>
    <w:rsid w:val="00D848F5"/>
    <w:rsid w:val="00D848FB"/>
    <w:rsid w:val="00D84908"/>
    <w:rsid w:val="00D84943"/>
    <w:rsid w:val="00D84974"/>
    <w:rsid w:val="00D849AE"/>
    <w:rsid w:val="00D84A12"/>
    <w:rsid w:val="00D84A3B"/>
    <w:rsid w:val="00D84B28"/>
    <w:rsid w:val="00D84B53"/>
    <w:rsid w:val="00D84B90"/>
    <w:rsid w:val="00D84BEE"/>
    <w:rsid w:val="00D84C5E"/>
    <w:rsid w:val="00D84D13"/>
    <w:rsid w:val="00D84D7F"/>
    <w:rsid w:val="00D84D82"/>
    <w:rsid w:val="00D84E17"/>
    <w:rsid w:val="00D84E6D"/>
    <w:rsid w:val="00D84EA2"/>
    <w:rsid w:val="00D84F03"/>
    <w:rsid w:val="00D84F34"/>
    <w:rsid w:val="00D84F92"/>
    <w:rsid w:val="00D84F9C"/>
    <w:rsid w:val="00D84FA4"/>
    <w:rsid w:val="00D84FB9"/>
    <w:rsid w:val="00D84FCC"/>
    <w:rsid w:val="00D850EC"/>
    <w:rsid w:val="00D851AA"/>
    <w:rsid w:val="00D851CC"/>
    <w:rsid w:val="00D8530E"/>
    <w:rsid w:val="00D85342"/>
    <w:rsid w:val="00D85369"/>
    <w:rsid w:val="00D853C0"/>
    <w:rsid w:val="00D85413"/>
    <w:rsid w:val="00D85422"/>
    <w:rsid w:val="00D85476"/>
    <w:rsid w:val="00D854AB"/>
    <w:rsid w:val="00D85506"/>
    <w:rsid w:val="00D8561A"/>
    <w:rsid w:val="00D85622"/>
    <w:rsid w:val="00D85646"/>
    <w:rsid w:val="00D856BB"/>
    <w:rsid w:val="00D856F4"/>
    <w:rsid w:val="00D856F9"/>
    <w:rsid w:val="00D8574D"/>
    <w:rsid w:val="00D85752"/>
    <w:rsid w:val="00D857A4"/>
    <w:rsid w:val="00D857BF"/>
    <w:rsid w:val="00D857C6"/>
    <w:rsid w:val="00D8583E"/>
    <w:rsid w:val="00D85854"/>
    <w:rsid w:val="00D85934"/>
    <w:rsid w:val="00D8593E"/>
    <w:rsid w:val="00D859B4"/>
    <w:rsid w:val="00D85A36"/>
    <w:rsid w:val="00D85A5F"/>
    <w:rsid w:val="00D85AB5"/>
    <w:rsid w:val="00D85AD1"/>
    <w:rsid w:val="00D85AF3"/>
    <w:rsid w:val="00D85AFF"/>
    <w:rsid w:val="00D85B2E"/>
    <w:rsid w:val="00D85BD9"/>
    <w:rsid w:val="00D85C80"/>
    <w:rsid w:val="00D85D30"/>
    <w:rsid w:val="00D85D6C"/>
    <w:rsid w:val="00D85E36"/>
    <w:rsid w:val="00D85E5B"/>
    <w:rsid w:val="00D85E81"/>
    <w:rsid w:val="00D85EE8"/>
    <w:rsid w:val="00D85F13"/>
    <w:rsid w:val="00D8602B"/>
    <w:rsid w:val="00D8608B"/>
    <w:rsid w:val="00D860B4"/>
    <w:rsid w:val="00D860EC"/>
    <w:rsid w:val="00D86103"/>
    <w:rsid w:val="00D8610A"/>
    <w:rsid w:val="00D86160"/>
    <w:rsid w:val="00D86185"/>
    <w:rsid w:val="00D861D7"/>
    <w:rsid w:val="00D861F0"/>
    <w:rsid w:val="00D86233"/>
    <w:rsid w:val="00D8623B"/>
    <w:rsid w:val="00D8623F"/>
    <w:rsid w:val="00D862FE"/>
    <w:rsid w:val="00D8634B"/>
    <w:rsid w:val="00D86381"/>
    <w:rsid w:val="00D863BE"/>
    <w:rsid w:val="00D863CE"/>
    <w:rsid w:val="00D86469"/>
    <w:rsid w:val="00D8646E"/>
    <w:rsid w:val="00D8647F"/>
    <w:rsid w:val="00D864D5"/>
    <w:rsid w:val="00D86560"/>
    <w:rsid w:val="00D8656E"/>
    <w:rsid w:val="00D865CE"/>
    <w:rsid w:val="00D866CC"/>
    <w:rsid w:val="00D867EE"/>
    <w:rsid w:val="00D867F9"/>
    <w:rsid w:val="00D86854"/>
    <w:rsid w:val="00D8686F"/>
    <w:rsid w:val="00D868AB"/>
    <w:rsid w:val="00D868EE"/>
    <w:rsid w:val="00D868FE"/>
    <w:rsid w:val="00D86922"/>
    <w:rsid w:val="00D86947"/>
    <w:rsid w:val="00D8695C"/>
    <w:rsid w:val="00D86980"/>
    <w:rsid w:val="00D869B5"/>
    <w:rsid w:val="00D86A68"/>
    <w:rsid w:val="00D86AD8"/>
    <w:rsid w:val="00D86ADA"/>
    <w:rsid w:val="00D86B1F"/>
    <w:rsid w:val="00D86B3D"/>
    <w:rsid w:val="00D86BA5"/>
    <w:rsid w:val="00D86BBF"/>
    <w:rsid w:val="00D86BF9"/>
    <w:rsid w:val="00D86C0E"/>
    <w:rsid w:val="00D86C55"/>
    <w:rsid w:val="00D86C75"/>
    <w:rsid w:val="00D86CCE"/>
    <w:rsid w:val="00D86D8E"/>
    <w:rsid w:val="00D86D95"/>
    <w:rsid w:val="00D86E47"/>
    <w:rsid w:val="00D86EAA"/>
    <w:rsid w:val="00D86EC5"/>
    <w:rsid w:val="00D86F6D"/>
    <w:rsid w:val="00D8704B"/>
    <w:rsid w:val="00D870CC"/>
    <w:rsid w:val="00D870DE"/>
    <w:rsid w:val="00D87115"/>
    <w:rsid w:val="00D8713D"/>
    <w:rsid w:val="00D8721E"/>
    <w:rsid w:val="00D8725A"/>
    <w:rsid w:val="00D872DB"/>
    <w:rsid w:val="00D872FB"/>
    <w:rsid w:val="00D87318"/>
    <w:rsid w:val="00D873A1"/>
    <w:rsid w:val="00D873E8"/>
    <w:rsid w:val="00D87404"/>
    <w:rsid w:val="00D87492"/>
    <w:rsid w:val="00D874E8"/>
    <w:rsid w:val="00D87552"/>
    <w:rsid w:val="00D875BB"/>
    <w:rsid w:val="00D875BD"/>
    <w:rsid w:val="00D875F1"/>
    <w:rsid w:val="00D87681"/>
    <w:rsid w:val="00D87707"/>
    <w:rsid w:val="00D87712"/>
    <w:rsid w:val="00D8772F"/>
    <w:rsid w:val="00D8774F"/>
    <w:rsid w:val="00D878C3"/>
    <w:rsid w:val="00D8793B"/>
    <w:rsid w:val="00D879D0"/>
    <w:rsid w:val="00D87AAC"/>
    <w:rsid w:val="00D87AB0"/>
    <w:rsid w:val="00D87AB5"/>
    <w:rsid w:val="00D87AC3"/>
    <w:rsid w:val="00D87AD5"/>
    <w:rsid w:val="00D87ADF"/>
    <w:rsid w:val="00D87B2F"/>
    <w:rsid w:val="00D87B60"/>
    <w:rsid w:val="00D87B91"/>
    <w:rsid w:val="00D87BC2"/>
    <w:rsid w:val="00D87BD4"/>
    <w:rsid w:val="00D87BE2"/>
    <w:rsid w:val="00D87BF9"/>
    <w:rsid w:val="00D87C05"/>
    <w:rsid w:val="00D87C67"/>
    <w:rsid w:val="00D87C90"/>
    <w:rsid w:val="00D87CD4"/>
    <w:rsid w:val="00D87CDB"/>
    <w:rsid w:val="00D87D1D"/>
    <w:rsid w:val="00D87D58"/>
    <w:rsid w:val="00D87D67"/>
    <w:rsid w:val="00D87D68"/>
    <w:rsid w:val="00D87D89"/>
    <w:rsid w:val="00D87DB3"/>
    <w:rsid w:val="00D87E13"/>
    <w:rsid w:val="00D87E4C"/>
    <w:rsid w:val="00D87E9F"/>
    <w:rsid w:val="00D87ED7"/>
    <w:rsid w:val="00D900A8"/>
    <w:rsid w:val="00D90111"/>
    <w:rsid w:val="00D9013F"/>
    <w:rsid w:val="00D90219"/>
    <w:rsid w:val="00D90505"/>
    <w:rsid w:val="00D90521"/>
    <w:rsid w:val="00D9054C"/>
    <w:rsid w:val="00D90597"/>
    <w:rsid w:val="00D905A3"/>
    <w:rsid w:val="00D9062A"/>
    <w:rsid w:val="00D90697"/>
    <w:rsid w:val="00D906AF"/>
    <w:rsid w:val="00D906C3"/>
    <w:rsid w:val="00D906CE"/>
    <w:rsid w:val="00D906FE"/>
    <w:rsid w:val="00D9078C"/>
    <w:rsid w:val="00D908E5"/>
    <w:rsid w:val="00D9093B"/>
    <w:rsid w:val="00D90AA0"/>
    <w:rsid w:val="00D90B06"/>
    <w:rsid w:val="00D90B52"/>
    <w:rsid w:val="00D90C4A"/>
    <w:rsid w:val="00D90C6C"/>
    <w:rsid w:val="00D90D06"/>
    <w:rsid w:val="00D90E1B"/>
    <w:rsid w:val="00D90E21"/>
    <w:rsid w:val="00D90EBC"/>
    <w:rsid w:val="00D90FB1"/>
    <w:rsid w:val="00D91000"/>
    <w:rsid w:val="00D91004"/>
    <w:rsid w:val="00D910A1"/>
    <w:rsid w:val="00D910C0"/>
    <w:rsid w:val="00D910C3"/>
    <w:rsid w:val="00D9113F"/>
    <w:rsid w:val="00D9116A"/>
    <w:rsid w:val="00D911CD"/>
    <w:rsid w:val="00D91224"/>
    <w:rsid w:val="00D91249"/>
    <w:rsid w:val="00D912D9"/>
    <w:rsid w:val="00D9137F"/>
    <w:rsid w:val="00D91428"/>
    <w:rsid w:val="00D914A3"/>
    <w:rsid w:val="00D914C8"/>
    <w:rsid w:val="00D9150B"/>
    <w:rsid w:val="00D91563"/>
    <w:rsid w:val="00D915CE"/>
    <w:rsid w:val="00D91607"/>
    <w:rsid w:val="00D9161A"/>
    <w:rsid w:val="00D91679"/>
    <w:rsid w:val="00D916EE"/>
    <w:rsid w:val="00D9170B"/>
    <w:rsid w:val="00D91736"/>
    <w:rsid w:val="00D9176E"/>
    <w:rsid w:val="00D9186F"/>
    <w:rsid w:val="00D91880"/>
    <w:rsid w:val="00D918A3"/>
    <w:rsid w:val="00D918C7"/>
    <w:rsid w:val="00D918F4"/>
    <w:rsid w:val="00D91923"/>
    <w:rsid w:val="00D9195D"/>
    <w:rsid w:val="00D91971"/>
    <w:rsid w:val="00D919B6"/>
    <w:rsid w:val="00D919E9"/>
    <w:rsid w:val="00D91A4F"/>
    <w:rsid w:val="00D91A55"/>
    <w:rsid w:val="00D91A7A"/>
    <w:rsid w:val="00D91A89"/>
    <w:rsid w:val="00D91AE4"/>
    <w:rsid w:val="00D91B31"/>
    <w:rsid w:val="00D91C07"/>
    <w:rsid w:val="00D91CCB"/>
    <w:rsid w:val="00D91D7E"/>
    <w:rsid w:val="00D91D8D"/>
    <w:rsid w:val="00D91E0D"/>
    <w:rsid w:val="00D91E14"/>
    <w:rsid w:val="00D91E54"/>
    <w:rsid w:val="00D91E5C"/>
    <w:rsid w:val="00D91E79"/>
    <w:rsid w:val="00D91FB9"/>
    <w:rsid w:val="00D91FDF"/>
    <w:rsid w:val="00D91FE7"/>
    <w:rsid w:val="00D92047"/>
    <w:rsid w:val="00D92060"/>
    <w:rsid w:val="00D92123"/>
    <w:rsid w:val="00D92139"/>
    <w:rsid w:val="00D9214F"/>
    <w:rsid w:val="00D92234"/>
    <w:rsid w:val="00D9228F"/>
    <w:rsid w:val="00D92330"/>
    <w:rsid w:val="00D923C3"/>
    <w:rsid w:val="00D923E4"/>
    <w:rsid w:val="00D92430"/>
    <w:rsid w:val="00D92503"/>
    <w:rsid w:val="00D92591"/>
    <w:rsid w:val="00D925E4"/>
    <w:rsid w:val="00D92605"/>
    <w:rsid w:val="00D92644"/>
    <w:rsid w:val="00D9267C"/>
    <w:rsid w:val="00D92683"/>
    <w:rsid w:val="00D9271D"/>
    <w:rsid w:val="00D9272B"/>
    <w:rsid w:val="00D92747"/>
    <w:rsid w:val="00D92792"/>
    <w:rsid w:val="00D927DC"/>
    <w:rsid w:val="00D92928"/>
    <w:rsid w:val="00D929A1"/>
    <w:rsid w:val="00D92A16"/>
    <w:rsid w:val="00D92A64"/>
    <w:rsid w:val="00D92A80"/>
    <w:rsid w:val="00D92B80"/>
    <w:rsid w:val="00D92B8B"/>
    <w:rsid w:val="00D92C21"/>
    <w:rsid w:val="00D92C42"/>
    <w:rsid w:val="00D92C68"/>
    <w:rsid w:val="00D92C81"/>
    <w:rsid w:val="00D92C85"/>
    <w:rsid w:val="00D92D16"/>
    <w:rsid w:val="00D92E6E"/>
    <w:rsid w:val="00D92ECF"/>
    <w:rsid w:val="00D92ED8"/>
    <w:rsid w:val="00D92EE2"/>
    <w:rsid w:val="00D92F22"/>
    <w:rsid w:val="00D92F32"/>
    <w:rsid w:val="00D92F9F"/>
    <w:rsid w:val="00D92FD8"/>
    <w:rsid w:val="00D93008"/>
    <w:rsid w:val="00D93089"/>
    <w:rsid w:val="00D93090"/>
    <w:rsid w:val="00D930C4"/>
    <w:rsid w:val="00D93154"/>
    <w:rsid w:val="00D9317C"/>
    <w:rsid w:val="00D931A2"/>
    <w:rsid w:val="00D931D4"/>
    <w:rsid w:val="00D93227"/>
    <w:rsid w:val="00D932FC"/>
    <w:rsid w:val="00D93330"/>
    <w:rsid w:val="00D93394"/>
    <w:rsid w:val="00D933F6"/>
    <w:rsid w:val="00D93456"/>
    <w:rsid w:val="00D934DD"/>
    <w:rsid w:val="00D9355E"/>
    <w:rsid w:val="00D935C6"/>
    <w:rsid w:val="00D93702"/>
    <w:rsid w:val="00D93717"/>
    <w:rsid w:val="00D9372A"/>
    <w:rsid w:val="00D9373F"/>
    <w:rsid w:val="00D9378F"/>
    <w:rsid w:val="00D9379F"/>
    <w:rsid w:val="00D937A9"/>
    <w:rsid w:val="00D937C5"/>
    <w:rsid w:val="00D93870"/>
    <w:rsid w:val="00D93908"/>
    <w:rsid w:val="00D93912"/>
    <w:rsid w:val="00D93920"/>
    <w:rsid w:val="00D93A22"/>
    <w:rsid w:val="00D93A53"/>
    <w:rsid w:val="00D93A61"/>
    <w:rsid w:val="00D93A77"/>
    <w:rsid w:val="00D93AE3"/>
    <w:rsid w:val="00D93B5F"/>
    <w:rsid w:val="00D93BFA"/>
    <w:rsid w:val="00D93BFB"/>
    <w:rsid w:val="00D93C16"/>
    <w:rsid w:val="00D93C59"/>
    <w:rsid w:val="00D93C5A"/>
    <w:rsid w:val="00D93CE3"/>
    <w:rsid w:val="00D93D44"/>
    <w:rsid w:val="00D93D45"/>
    <w:rsid w:val="00D93D46"/>
    <w:rsid w:val="00D93D4B"/>
    <w:rsid w:val="00D93D76"/>
    <w:rsid w:val="00D93DB9"/>
    <w:rsid w:val="00D93E21"/>
    <w:rsid w:val="00D93E9A"/>
    <w:rsid w:val="00D93ED3"/>
    <w:rsid w:val="00D93F65"/>
    <w:rsid w:val="00D94003"/>
    <w:rsid w:val="00D94019"/>
    <w:rsid w:val="00D94078"/>
    <w:rsid w:val="00D94087"/>
    <w:rsid w:val="00D940C6"/>
    <w:rsid w:val="00D94183"/>
    <w:rsid w:val="00D941F7"/>
    <w:rsid w:val="00D94210"/>
    <w:rsid w:val="00D942EE"/>
    <w:rsid w:val="00D94309"/>
    <w:rsid w:val="00D94380"/>
    <w:rsid w:val="00D94433"/>
    <w:rsid w:val="00D9446E"/>
    <w:rsid w:val="00D944F8"/>
    <w:rsid w:val="00D944FB"/>
    <w:rsid w:val="00D944FF"/>
    <w:rsid w:val="00D9460C"/>
    <w:rsid w:val="00D94647"/>
    <w:rsid w:val="00D94660"/>
    <w:rsid w:val="00D9470C"/>
    <w:rsid w:val="00D94748"/>
    <w:rsid w:val="00D9474B"/>
    <w:rsid w:val="00D9475C"/>
    <w:rsid w:val="00D9477B"/>
    <w:rsid w:val="00D94846"/>
    <w:rsid w:val="00D948C5"/>
    <w:rsid w:val="00D9495B"/>
    <w:rsid w:val="00D949EC"/>
    <w:rsid w:val="00D94A02"/>
    <w:rsid w:val="00D94AA8"/>
    <w:rsid w:val="00D94AD8"/>
    <w:rsid w:val="00D94C09"/>
    <w:rsid w:val="00D94C13"/>
    <w:rsid w:val="00D94D99"/>
    <w:rsid w:val="00D94E39"/>
    <w:rsid w:val="00D94EAC"/>
    <w:rsid w:val="00D94F3A"/>
    <w:rsid w:val="00D94F57"/>
    <w:rsid w:val="00D94F90"/>
    <w:rsid w:val="00D94FB3"/>
    <w:rsid w:val="00D94FE1"/>
    <w:rsid w:val="00D94FF9"/>
    <w:rsid w:val="00D9503D"/>
    <w:rsid w:val="00D950A1"/>
    <w:rsid w:val="00D95113"/>
    <w:rsid w:val="00D95116"/>
    <w:rsid w:val="00D95196"/>
    <w:rsid w:val="00D951A6"/>
    <w:rsid w:val="00D951AA"/>
    <w:rsid w:val="00D951E6"/>
    <w:rsid w:val="00D951EA"/>
    <w:rsid w:val="00D95294"/>
    <w:rsid w:val="00D9529E"/>
    <w:rsid w:val="00D952B8"/>
    <w:rsid w:val="00D95320"/>
    <w:rsid w:val="00D95340"/>
    <w:rsid w:val="00D95349"/>
    <w:rsid w:val="00D95361"/>
    <w:rsid w:val="00D95362"/>
    <w:rsid w:val="00D95376"/>
    <w:rsid w:val="00D9538C"/>
    <w:rsid w:val="00D953F6"/>
    <w:rsid w:val="00D95454"/>
    <w:rsid w:val="00D95475"/>
    <w:rsid w:val="00D95479"/>
    <w:rsid w:val="00D95557"/>
    <w:rsid w:val="00D9561F"/>
    <w:rsid w:val="00D95766"/>
    <w:rsid w:val="00D9579C"/>
    <w:rsid w:val="00D95825"/>
    <w:rsid w:val="00D95845"/>
    <w:rsid w:val="00D958F1"/>
    <w:rsid w:val="00D9593B"/>
    <w:rsid w:val="00D959D9"/>
    <w:rsid w:val="00D95B14"/>
    <w:rsid w:val="00D95BC4"/>
    <w:rsid w:val="00D95BC6"/>
    <w:rsid w:val="00D95CA7"/>
    <w:rsid w:val="00D95CD9"/>
    <w:rsid w:val="00D95D5F"/>
    <w:rsid w:val="00D95E74"/>
    <w:rsid w:val="00D95EDA"/>
    <w:rsid w:val="00D95FDF"/>
    <w:rsid w:val="00D95FF2"/>
    <w:rsid w:val="00D960D3"/>
    <w:rsid w:val="00D960EB"/>
    <w:rsid w:val="00D96145"/>
    <w:rsid w:val="00D961DA"/>
    <w:rsid w:val="00D961E6"/>
    <w:rsid w:val="00D96212"/>
    <w:rsid w:val="00D964A5"/>
    <w:rsid w:val="00D964F7"/>
    <w:rsid w:val="00D964FC"/>
    <w:rsid w:val="00D965AA"/>
    <w:rsid w:val="00D965CE"/>
    <w:rsid w:val="00D966ED"/>
    <w:rsid w:val="00D9674D"/>
    <w:rsid w:val="00D9674E"/>
    <w:rsid w:val="00D967C2"/>
    <w:rsid w:val="00D967EE"/>
    <w:rsid w:val="00D96808"/>
    <w:rsid w:val="00D9695D"/>
    <w:rsid w:val="00D96960"/>
    <w:rsid w:val="00D969D7"/>
    <w:rsid w:val="00D96A1E"/>
    <w:rsid w:val="00D96A33"/>
    <w:rsid w:val="00D96A74"/>
    <w:rsid w:val="00D96A94"/>
    <w:rsid w:val="00D96AE6"/>
    <w:rsid w:val="00D96BA6"/>
    <w:rsid w:val="00D96C01"/>
    <w:rsid w:val="00D96C13"/>
    <w:rsid w:val="00D96C8D"/>
    <w:rsid w:val="00D96C93"/>
    <w:rsid w:val="00D96CDB"/>
    <w:rsid w:val="00D96E7B"/>
    <w:rsid w:val="00D96EC4"/>
    <w:rsid w:val="00D97031"/>
    <w:rsid w:val="00D9707E"/>
    <w:rsid w:val="00D97103"/>
    <w:rsid w:val="00D9716B"/>
    <w:rsid w:val="00D971B0"/>
    <w:rsid w:val="00D971C8"/>
    <w:rsid w:val="00D9720D"/>
    <w:rsid w:val="00D97220"/>
    <w:rsid w:val="00D9735A"/>
    <w:rsid w:val="00D9735C"/>
    <w:rsid w:val="00D973A0"/>
    <w:rsid w:val="00D973D7"/>
    <w:rsid w:val="00D9742C"/>
    <w:rsid w:val="00D97502"/>
    <w:rsid w:val="00D97531"/>
    <w:rsid w:val="00D9753F"/>
    <w:rsid w:val="00D9762B"/>
    <w:rsid w:val="00D97669"/>
    <w:rsid w:val="00D97698"/>
    <w:rsid w:val="00D9769F"/>
    <w:rsid w:val="00D976CA"/>
    <w:rsid w:val="00D97775"/>
    <w:rsid w:val="00D97787"/>
    <w:rsid w:val="00D97882"/>
    <w:rsid w:val="00D9788C"/>
    <w:rsid w:val="00D978C1"/>
    <w:rsid w:val="00D978DD"/>
    <w:rsid w:val="00D97926"/>
    <w:rsid w:val="00D97948"/>
    <w:rsid w:val="00D97952"/>
    <w:rsid w:val="00D9795D"/>
    <w:rsid w:val="00D97A5B"/>
    <w:rsid w:val="00D97A8A"/>
    <w:rsid w:val="00D97A94"/>
    <w:rsid w:val="00D97AD8"/>
    <w:rsid w:val="00D97B42"/>
    <w:rsid w:val="00D97B90"/>
    <w:rsid w:val="00D97C9C"/>
    <w:rsid w:val="00D97CBE"/>
    <w:rsid w:val="00D97CFC"/>
    <w:rsid w:val="00D97D0E"/>
    <w:rsid w:val="00D97DB3"/>
    <w:rsid w:val="00D97DE3"/>
    <w:rsid w:val="00D97E3E"/>
    <w:rsid w:val="00D97E4C"/>
    <w:rsid w:val="00D97E84"/>
    <w:rsid w:val="00D97F64"/>
    <w:rsid w:val="00D97F66"/>
    <w:rsid w:val="00DA0029"/>
    <w:rsid w:val="00DA0057"/>
    <w:rsid w:val="00DA0066"/>
    <w:rsid w:val="00DA011D"/>
    <w:rsid w:val="00DA01BD"/>
    <w:rsid w:val="00DA0279"/>
    <w:rsid w:val="00DA02CE"/>
    <w:rsid w:val="00DA02F8"/>
    <w:rsid w:val="00DA02FF"/>
    <w:rsid w:val="00DA0305"/>
    <w:rsid w:val="00DA0334"/>
    <w:rsid w:val="00DA0347"/>
    <w:rsid w:val="00DA03D6"/>
    <w:rsid w:val="00DA0433"/>
    <w:rsid w:val="00DA0455"/>
    <w:rsid w:val="00DA0487"/>
    <w:rsid w:val="00DA04E8"/>
    <w:rsid w:val="00DA0509"/>
    <w:rsid w:val="00DA0596"/>
    <w:rsid w:val="00DA05AC"/>
    <w:rsid w:val="00DA061F"/>
    <w:rsid w:val="00DA0672"/>
    <w:rsid w:val="00DA067A"/>
    <w:rsid w:val="00DA067E"/>
    <w:rsid w:val="00DA06B1"/>
    <w:rsid w:val="00DA06D9"/>
    <w:rsid w:val="00DA071F"/>
    <w:rsid w:val="00DA07F9"/>
    <w:rsid w:val="00DA0804"/>
    <w:rsid w:val="00DA0836"/>
    <w:rsid w:val="00DA0847"/>
    <w:rsid w:val="00DA0872"/>
    <w:rsid w:val="00DA08A7"/>
    <w:rsid w:val="00DA08D0"/>
    <w:rsid w:val="00DA08E7"/>
    <w:rsid w:val="00DA0964"/>
    <w:rsid w:val="00DA098A"/>
    <w:rsid w:val="00DA0A2F"/>
    <w:rsid w:val="00DA0A8B"/>
    <w:rsid w:val="00DA0B1B"/>
    <w:rsid w:val="00DA0C21"/>
    <w:rsid w:val="00DA0C39"/>
    <w:rsid w:val="00DA0C54"/>
    <w:rsid w:val="00DA0C69"/>
    <w:rsid w:val="00DA0C9E"/>
    <w:rsid w:val="00DA0CFA"/>
    <w:rsid w:val="00DA0DED"/>
    <w:rsid w:val="00DA0DFC"/>
    <w:rsid w:val="00DA0E3B"/>
    <w:rsid w:val="00DA0E83"/>
    <w:rsid w:val="00DA0EC0"/>
    <w:rsid w:val="00DA0F2E"/>
    <w:rsid w:val="00DA0F8C"/>
    <w:rsid w:val="00DA0FA9"/>
    <w:rsid w:val="00DA1003"/>
    <w:rsid w:val="00DA115B"/>
    <w:rsid w:val="00DA117F"/>
    <w:rsid w:val="00DA1180"/>
    <w:rsid w:val="00DA1187"/>
    <w:rsid w:val="00DA1196"/>
    <w:rsid w:val="00DA11C9"/>
    <w:rsid w:val="00DA1225"/>
    <w:rsid w:val="00DA123D"/>
    <w:rsid w:val="00DA1288"/>
    <w:rsid w:val="00DA12AF"/>
    <w:rsid w:val="00DA12C0"/>
    <w:rsid w:val="00DA1311"/>
    <w:rsid w:val="00DA1335"/>
    <w:rsid w:val="00DA134D"/>
    <w:rsid w:val="00DA13BA"/>
    <w:rsid w:val="00DA1540"/>
    <w:rsid w:val="00DA1557"/>
    <w:rsid w:val="00DA1561"/>
    <w:rsid w:val="00DA15C9"/>
    <w:rsid w:val="00DA1600"/>
    <w:rsid w:val="00DA160B"/>
    <w:rsid w:val="00DA161B"/>
    <w:rsid w:val="00DA1630"/>
    <w:rsid w:val="00DA16B0"/>
    <w:rsid w:val="00DA16C8"/>
    <w:rsid w:val="00DA16D7"/>
    <w:rsid w:val="00DA180B"/>
    <w:rsid w:val="00DA191F"/>
    <w:rsid w:val="00DA1968"/>
    <w:rsid w:val="00DA1999"/>
    <w:rsid w:val="00DA199E"/>
    <w:rsid w:val="00DA1A3E"/>
    <w:rsid w:val="00DA1A5C"/>
    <w:rsid w:val="00DA1B65"/>
    <w:rsid w:val="00DA1CE4"/>
    <w:rsid w:val="00DA1D95"/>
    <w:rsid w:val="00DA1DBB"/>
    <w:rsid w:val="00DA1DF7"/>
    <w:rsid w:val="00DA1DFE"/>
    <w:rsid w:val="00DA1E07"/>
    <w:rsid w:val="00DA1E6B"/>
    <w:rsid w:val="00DA1E7C"/>
    <w:rsid w:val="00DA1EA9"/>
    <w:rsid w:val="00DA1EBD"/>
    <w:rsid w:val="00DA1EC3"/>
    <w:rsid w:val="00DA1F5B"/>
    <w:rsid w:val="00DA1F68"/>
    <w:rsid w:val="00DA1FEA"/>
    <w:rsid w:val="00DA20AC"/>
    <w:rsid w:val="00DA2181"/>
    <w:rsid w:val="00DA21B3"/>
    <w:rsid w:val="00DA22DC"/>
    <w:rsid w:val="00DA22E5"/>
    <w:rsid w:val="00DA22F0"/>
    <w:rsid w:val="00DA235A"/>
    <w:rsid w:val="00DA2399"/>
    <w:rsid w:val="00DA23A4"/>
    <w:rsid w:val="00DA23CF"/>
    <w:rsid w:val="00DA23E6"/>
    <w:rsid w:val="00DA240D"/>
    <w:rsid w:val="00DA2417"/>
    <w:rsid w:val="00DA2652"/>
    <w:rsid w:val="00DA26F7"/>
    <w:rsid w:val="00DA2769"/>
    <w:rsid w:val="00DA27C5"/>
    <w:rsid w:val="00DA27E5"/>
    <w:rsid w:val="00DA27E7"/>
    <w:rsid w:val="00DA2853"/>
    <w:rsid w:val="00DA2854"/>
    <w:rsid w:val="00DA28C9"/>
    <w:rsid w:val="00DA28DF"/>
    <w:rsid w:val="00DA294B"/>
    <w:rsid w:val="00DA2961"/>
    <w:rsid w:val="00DA2987"/>
    <w:rsid w:val="00DA2A81"/>
    <w:rsid w:val="00DA2AD7"/>
    <w:rsid w:val="00DA2AF3"/>
    <w:rsid w:val="00DA2B1A"/>
    <w:rsid w:val="00DA2B57"/>
    <w:rsid w:val="00DA2BA9"/>
    <w:rsid w:val="00DA2D09"/>
    <w:rsid w:val="00DA2D0E"/>
    <w:rsid w:val="00DA2D13"/>
    <w:rsid w:val="00DA2D1D"/>
    <w:rsid w:val="00DA2D39"/>
    <w:rsid w:val="00DA2D49"/>
    <w:rsid w:val="00DA2D6E"/>
    <w:rsid w:val="00DA2D8D"/>
    <w:rsid w:val="00DA2D8E"/>
    <w:rsid w:val="00DA2D9E"/>
    <w:rsid w:val="00DA2DC9"/>
    <w:rsid w:val="00DA2E5D"/>
    <w:rsid w:val="00DA2E88"/>
    <w:rsid w:val="00DA2F38"/>
    <w:rsid w:val="00DA3012"/>
    <w:rsid w:val="00DA3082"/>
    <w:rsid w:val="00DA308A"/>
    <w:rsid w:val="00DA308C"/>
    <w:rsid w:val="00DA30AE"/>
    <w:rsid w:val="00DA319F"/>
    <w:rsid w:val="00DA31DA"/>
    <w:rsid w:val="00DA3242"/>
    <w:rsid w:val="00DA3278"/>
    <w:rsid w:val="00DA3294"/>
    <w:rsid w:val="00DA32EF"/>
    <w:rsid w:val="00DA3326"/>
    <w:rsid w:val="00DA335A"/>
    <w:rsid w:val="00DA345B"/>
    <w:rsid w:val="00DA34C3"/>
    <w:rsid w:val="00DA3597"/>
    <w:rsid w:val="00DA35A0"/>
    <w:rsid w:val="00DA360C"/>
    <w:rsid w:val="00DA3653"/>
    <w:rsid w:val="00DA365D"/>
    <w:rsid w:val="00DA3665"/>
    <w:rsid w:val="00DA36F4"/>
    <w:rsid w:val="00DA36FE"/>
    <w:rsid w:val="00DA37A2"/>
    <w:rsid w:val="00DA37B6"/>
    <w:rsid w:val="00DA37EB"/>
    <w:rsid w:val="00DA37F4"/>
    <w:rsid w:val="00DA381F"/>
    <w:rsid w:val="00DA3857"/>
    <w:rsid w:val="00DA3948"/>
    <w:rsid w:val="00DA39B4"/>
    <w:rsid w:val="00DA39CC"/>
    <w:rsid w:val="00DA3A3E"/>
    <w:rsid w:val="00DA3A41"/>
    <w:rsid w:val="00DA3A86"/>
    <w:rsid w:val="00DA3B17"/>
    <w:rsid w:val="00DA3B3C"/>
    <w:rsid w:val="00DA3B45"/>
    <w:rsid w:val="00DA3BE2"/>
    <w:rsid w:val="00DA3C0D"/>
    <w:rsid w:val="00DA3C70"/>
    <w:rsid w:val="00DA3D11"/>
    <w:rsid w:val="00DA3D4B"/>
    <w:rsid w:val="00DA3D9B"/>
    <w:rsid w:val="00DA3E5D"/>
    <w:rsid w:val="00DA3FD9"/>
    <w:rsid w:val="00DA409D"/>
    <w:rsid w:val="00DA40B2"/>
    <w:rsid w:val="00DA4161"/>
    <w:rsid w:val="00DA416B"/>
    <w:rsid w:val="00DA4222"/>
    <w:rsid w:val="00DA425F"/>
    <w:rsid w:val="00DA4324"/>
    <w:rsid w:val="00DA43DD"/>
    <w:rsid w:val="00DA43EC"/>
    <w:rsid w:val="00DA4474"/>
    <w:rsid w:val="00DA4618"/>
    <w:rsid w:val="00DA461D"/>
    <w:rsid w:val="00DA4684"/>
    <w:rsid w:val="00DA4696"/>
    <w:rsid w:val="00DA46D7"/>
    <w:rsid w:val="00DA471F"/>
    <w:rsid w:val="00DA475B"/>
    <w:rsid w:val="00DA4766"/>
    <w:rsid w:val="00DA47BC"/>
    <w:rsid w:val="00DA482C"/>
    <w:rsid w:val="00DA48C9"/>
    <w:rsid w:val="00DA48E6"/>
    <w:rsid w:val="00DA48F5"/>
    <w:rsid w:val="00DA4956"/>
    <w:rsid w:val="00DA49C8"/>
    <w:rsid w:val="00DA49F1"/>
    <w:rsid w:val="00DA4A66"/>
    <w:rsid w:val="00DA4ABC"/>
    <w:rsid w:val="00DA4B0E"/>
    <w:rsid w:val="00DA4C20"/>
    <w:rsid w:val="00DA4C4F"/>
    <w:rsid w:val="00DA4C7A"/>
    <w:rsid w:val="00DA4D38"/>
    <w:rsid w:val="00DA4DCB"/>
    <w:rsid w:val="00DA4E1E"/>
    <w:rsid w:val="00DA4E64"/>
    <w:rsid w:val="00DA4E83"/>
    <w:rsid w:val="00DA4E8D"/>
    <w:rsid w:val="00DA4E9A"/>
    <w:rsid w:val="00DA4E9E"/>
    <w:rsid w:val="00DA4EB9"/>
    <w:rsid w:val="00DA4EEE"/>
    <w:rsid w:val="00DA4FD0"/>
    <w:rsid w:val="00DA4FD8"/>
    <w:rsid w:val="00DA5097"/>
    <w:rsid w:val="00DA5119"/>
    <w:rsid w:val="00DA5176"/>
    <w:rsid w:val="00DA51F5"/>
    <w:rsid w:val="00DA524C"/>
    <w:rsid w:val="00DA5378"/>
    <w:rsid w:val="00DA53B5"/>
    <w:rsid w:val="00DA53FB"/>
    <w:rsid w:val="00DA5428"/>
    <w:rsid w:val="00DA546C"/>
    <w:rsid w:val="00DA553B"/>
    <w:rsid w:val="00DA554D"/>
    <w:rsid w:val="00DA559B"/>
    <w:rsid w:val="00DA5631"/>
    <w:rsid w:val="00DA5635"/>
    <w:rsid w:val="00DA5654"/>
    <w:rsid w:val="00DA56A1"/>
    <w:rsid w:val="00DA56FC"/>
    <w:rsid w:val="00DA5714"/>
    <w:rsid w:val="00DA5777"/>
    <w:rsid w:val="00DA5844"/>
    <w:rsid w:val="00DA5875"/>
    <w:rsid w:val="00DA58F1"/>
    <w:rsid w:val="00DA5928"/>
    <w:rsid w:val="00DA5959"/>
    <w:rsid w:val="00DA59E5"/>
    <w:rsid w:val="00DA5A16"/>
    <w:rsid w:val="00DA5A97"/>
    <w:rsid w:val="00DA5B05"/>
    <w:rsid w:val="00DA5B3D"/>
    <w:rsid w:val="00DA5B4E"/>
    <w:rsid w:val="00DA5BA2"/>
    <w:rsid w:val="00DA5C21"/>
    <w:rsid w:val="00DA5CF0"/>
    <w:rsid w:val="00DA5D08"/>
    <w:rsid w:val="00DA5D6E"/>
    <w:rsid w:val="00DA5E3F"/>
    <w:rsid w:val="00DA5E6F"/>
    <w:rsid w:val="00DA5F19"/>
    <w:rsid w:val="00DA5F46"/>
    <w:rsid w:val="00DA6055"/>
    <w:rsid w:val="00DA6103"/>
    <w:rsid w:val="00DA6131"/>
    <w:rsid w:val="00DA6146"/>
    <w:rsid w:val="00DA616F"/>
    <w:rsid w:val="00DA6195"/>
    <w:rsid w:val="00DA61B2"/>
    <w:rsid w:val="00DA61C0"/>
    <w:rsid w:val="00DA621A"/>
    <w:rsid w:val="00DA6231"/>
    <w:rsid w:val="00DA62D6"/>
    <w:rsid w:val="00DA6327"/>
    <w:rsid w:val="00DA6377"/>
    <w:rsid w:val="00DA6425"/>
    <w:rsid w:val="00DA6452"/>
    <w:rsid w:val="00DA64AC"/>
    <w:rsid w:val="00DA64FD"/>
    <w:rsid w:val="00DA661A"/>
    <w:rsid w:val="00DA6656"/>
    <w:rsid w:val="00DA6669"/>
    <w:rsid w:val="00DA66FC"/>
    <w:rsid w:val="00DA6708"/>
    <w:rsid w:val="00DA6776"/>
    <w:rsid w:val="00DA6856"/>
    <w:rsid w:val="00DA6903"/>
    <w:rsid w:val="00DA6960"/>
    <w:rsid w:val="00DA69B6"/>
    <w:rsid w:val="00DA6A39"/>
    <w:rsid w:val="00DA6AB2"/>
    <w:rsid w:val="00DA6ADD"/>
    <w:rsid w:val="00DA6B4B"/>
    <w:rsid w:val="00DA6B6E"/>
    <w:rsid w:val="00DA6BCD"/>
    <w:rsid w:val="00DA6CEA"/>
    <w:rsid w:val="00DA6D5E"/>
    <w:rsid w:val="00DA6D8C"/>
    <w:rsid w:val="00DA6D90"/>
    <w:rsid w:val="00DA6D9E"/>
    <w:rsid w:val="00DA6DE9"/>
    <w:rsid w:val="00DA6E06"/>
    <w:rsid w:val="00DA6E5A"/>
    <w:rsid w:val="00DA6E5E"/>
    <w:rsid w:val="00DA6EB6"/>
    <w:rsid w:val="00DA6F1E"/>
    <w:rsid w:val="00DA6F56"/>
    <w:rsid w:val="00DA6F6F"/>
    <w:rsid w:val="00DA706E"/>
    <w:rsid w:val="00DA70B5"/>
    <w:rsid w:val="00DA70C7"/>
    <w:rsid w:val="00DA7103"/>
    <w:rsid w:val="00DA7169"/>
    <w:rsid w:val="00DA7182"/>
    <w:rsid w:val="00DA7188"/>
    <w:rsid w:val="00DA71CF"/>
    <w:rsid w:val="00DA73C3"/>
    <w:rsid w:val="00DA73DD"/>
    <w:rsid w:val="00DA73F3"/>
    <w:rsid w:val="00DA740E"/>
    <w:rsid w:val="00DA74D3"/>
    <w:rsid w:val="00DA7577"/>
    <w:rsid w:val="00DA762E"/>
    <w:rsid w:val="00DA76B2"/>
    <w:rsid w:val="00DA76E5"/>
    <w:rsid w:val="00DA76F9"/>
    <w:rsid w:val="00DA7746"/>
    <w:rsid w:val="00DA77AA"/>
    <w:rsid w:val="00DA7810"/>
    <w:rsid w:val="00DA7839"/>
    <w:rsid w:val="00DA788E"/>
    <w:rsid w:val="00DA78C7"/>
    <w:rsid w:val="00DA7989"/>
    <w:rsid w:val="00DA7A07"/>
    <w:rsid w:val="00DA7A0B"/>
    <w:rsid w:val="00DA7A72"/>
    <w:rsid w:val="00DA7A91"/>
    <w:rsid w:val="00DA7B0D"/>
    <w:rsid w:val="00DA7B3F"/>
    <w:rsid w:val="00DA7B54"/>
    <w:rsid w:val="00DA7B9B"/>
    <w:rsid w:val="00DA7C01"/>
    <w:rsid w:val="00DA7CF3"/>
    <w:rsid w:val="00DA7D58"/>
    <w:rsid w:val="00DA7D97"/>
    <w:rsid w:val="00DA7E1C"/>
    <w:rsid w:val="00DA7E62"/>
    <w:rsid w:val="00DA7E84"/>
    <w:rsid w:val="00DA7EA7"/>
    <w:rsid w:val="00DA7EDB"/>
    <w:rsid w:val="00DA7F23"/>
    <w:rsid w:val="00DA7F43"/>
    <w:rsid w:val="00DA7FB6"/>
    <w:rsid w:val="00DB0035"/>
    <w:rsid w:val="00DB0114"/>
    <w:rsid w:val="00DB0143"/>
    <w:rsid w:val="00DB01CD"/>
    <w:rsid w:val="00DB01E3"/>
    <w:rsid w:val="00DB0242"/>
    <w:rsid w:val="00DB0298"/>
    <w:rsid w:val="00DB02BA"/>
    <w:rsid w:val="00DB0322"/>
    <w:rsid w:val="00DB0365"/>
    <w:rsid w:val="00DB03CF"/>
    <w:rsid w:val="00DB03FC"/>
    <w:rsid w:val="00DB04E3"/>
    <w:rsid w:val="00DB05B4"/>
    <w:rsid w:val="00DB069B"/>
    <w:rsid w:val="00DB06B3"/>
    <w:rsid w:val="00DB0707"/>
    <w:rsid w:val="00DB077C"/>
    <w:rsid w:val="00DB0787"/>
    <w:rsid w:val="00DB078E"/>
    <w:rsid w:val="00DB07B1"/>
    <w:rsid w:val="00DB07F6"/>
    <w:rsid w:val="00DB0880"/>
    <w:rsid w:val="00DB094F"/>
    <w:rsid w:val="00DB09CC"/>
    <w:rsid w:val="00DB0A30"/>
    <w:rsid w:val="00DB0A7F"/>
    <w:rsid w:val="00DB0ADA"/>
    <w:rsid w:val="00DB0AF7"/>
    <w:rsid w:val="00DB0B70"/>
    <w:rsid w:val="00DB0C00"/>
    <w:rsid w:val="00DB0C47"/>
    <w:rsid w:val="00DB0C94"/>
    <w:rsid w:val="00DB0CBA"/>
    <w:rsid w:val="00DB0CF4"/>
    <w:rsid w:val="00DB0D50"/>
    <w:rsid w:val="00DB0D6C"/>
    <w:rsid w:val="00DB0D6E"/>
    <w:rsid w:val="00DB0E81"/>
    <w:rsid w:val="00DB0EB0"/>
    <w:rsid w:val="00DB0ED4"/>
    <w:rsid w:val="00DB0F6A"/>
    <w:rsid w:val="00DB0FB6"/>
    <w:rsid w:val="00DB111E"/>
    <w:rsid w:val="00DB114E"/>
    <w:rsid w:val="00DB11EC"/>
    <w:rsid w:val="00DB1255"/>
    <w:rsid w:val="00DB13EE"/>
    <w:rsid w:val="00DB1489"/>
    <w:rsid w:val="00DB14A5"/>
    <w:rsid w:val="00DB14F3"/>
    <w:rsid w:val="00DB1514"/>
    <w:rsid w:val="00DB157E"/>
    <w:rsid w:val="00DB15D2"/>
    <w:rsid w:val="00DB1664"/>
    <w:rsid w:val="00DB168F"/>
    <w:rsid w:val="00DB1761"/>
    <w:rsid w:val="00DB176C"/>
    <w:rsid w:val="00DB17A6"/>
    <w:rsid w:val="00DB1805"/>
    <w:rsid w:val="00DB181C"/>
    <w:rsid w:val="00DB1862"/>
    <w:rsid w:val="00DB18F6"/>
    <w:rsid w:val="00DB1905"/>
    <w:rsid w:val="00DB1953"/>
    <w:rsid w:val="00DB1A5F"/>
    <w:rsid w:val="00DB1AA6"/>
    <w:rsid w:val="00DB1ABA"/>
    <w:rsid w:val="00DB1AEA"/>
    <w:rsid w:val="00DB1B52"/>
    <w:rsid w:val="00DB1B58"/>
    <w:rsid w:val="00DB1B82"/>
    <w:rsid w:val="00DB1BCE"/>
    <w:rsid w:val="00DB1BFA"/>
    <w:rsid w:val="00DB1CAB"/>
    <w:rsid w:val="00DB1CBC"/>
    <w:rsid w:val="00DB1D54"/>
    <w:rsid w:val="00DB1D5A"/>
    <w:rsid w:val="00DB1D6C"/>
    <w:rsid w:val="00DB1D9B"/>
    <w:rsid w:val="00DB1DD6"/>
    <w:rsid w:val="00DB1DD8"/>
    <w:rsid w:val="00DB1F32"/>
    <w:rsid w:val="00DB1F77"/>
    <w:rsid w:val="00DB1FA9"/>
    <w:rsid w:val="00DB2030"/>
    <w:rsid w:val="00DB207E"/>
    <w:rsid w:val="00DB20CA"/>
    <w:rsid w:val="00DB20EB"/>
    <w:rsid w:val="00DB210A"/>
    <w:rsid w:val="00DB211D"/>
    <w:rsid w:val="00DB2121"/>
    <w:rsid w:val="00DB2173"/>
    <w:rsid w:val="00DB2288"/>
    <w:rsid w:val="00DB22A4"/>
    <w:rsid w:val="00DB22AF"/>
    <w:rsid w:val="00DB2324"/>
    <w:rsid w:val="00DB2329"/>
    <w:rsid w:val="00DB2337"/>
    <w:rsid w:val="00DB236C"/>
    <w:rsid w:val="00DB2382"/>
    <w:rsid w:val="00DB24B3"/>
    <w:rsid w:val="00DB24D2"/>
    <w:rsid w:val="00DB2622"/>
    <w:rsid w:val="00DB263E"/>
    <w:rsid w:val="00DB2678"/>
    <w:rsid w:val="00DB26E5"/>
    <w:rsid w:val="00DB2710"/>
    <w:rsid w:val="00DB27E7"/>
    <w:rsid w:val="00DB2834"/>
    <w:rsid w:val="00DB283D"/>
    <w:rsid w:val="00DB288B"/>
    <w:rsid w:val="00DB28C3"/>
    <w:rsid w:val="00DB28C9"/>
    <w:rsid w:val="00DB2955"/>
    <w:rsid w:val="00DB295A"/>
    <w:rsid w:val="00DB29D4"/>
    <w:rsid w:val="00DB29DE"/>
    <w:rsid w:val="00DB2A20"/>
    <w:rsid w:val="00DB2A3A"/>
    <w:rsid w:val="00DB2AB3"/>
    <w:rsid w:val="00DB2B6C"/>
    <w:rsid w:val="00DB2B8F"/>
    <w:rsid w:val="00DB2B9D"/>
    <w:rsid w:val="00DB2D1D"/>
    <w:rsid w:val="00DB2D9B"/>
    <w:rsid w:val="00DB2DCE"/>
    <w:rsid w:val="00DB2E22"/>
    <w:rsid w:val="00DB2E3F"/>
    <w:rsid w:val="00DB2EC6"/>
    <w:rsid w:val="00DB2EE8"/>
    <w:rsid w:val="00DB2F70"/>
    <w:rsid w:val="00DB2FB4"/>
    <w:rsid w:val="00DB2FFB"/>
    <w:rsid w:val="00DB303D"/>
    <w:rsid w:val="00DB3062"/>
    <w:rsid w:val="00DB3075"/>
    <w:rsid w:val="00DB30DE"/>
    <w:rsid w:val="00DB30F5"/>
    <w:rsid w:val="00DB313E"/>
    <w:rsid w:val="00DB3171"/>
    <w:rsid w:val="00DB31A7"/>
    <w:rsid w:val="00DB31AE"/>
    <w:rsid w:val="00DB323F"/>
    <w:rsid w:val="00DB325C"/>
    <w:rsid w:val="00DB32DC"/>
    <w:rsid w:val="00DB3342"/>
    <w:rsid w:val="00DB33C5"/>
    <w:rsid w:val="00DB3406"/>
    <w:rsid w:val="00DB34BB"/>
    <w:rsid w:val="00DB34BC"/>
    <w:rsid w:val="00DB34C5"/>
    <w:rsid w:val="00DB352D"/>
    <w:rsid w:val="00DB3617"/>
    <w:rsid w:val="00DB3634"/>
    <w:rsid w:val="00DB3678"/>
    <w:rsid w:val="00DB376C"/>
    <w:rsid w:val="00DB377D"/>
    <w:rsid w:val="00DB37E8"/>
    <w:rsid w:val="00DB384D"/>
    <w:rsid w:val="00DB3898"/>
    <w:rsid w:val="00DB38C6"/>
    <w:rsid w:val="00DB38EF"/>
    <w:rsid w:val="00DB398B"/>
    <w:rsid w:val="00DB39D9"/>
    <w:rsid w:val="00DB3A94"/>
    <w:rsid w:val="00DB3AB4"/>
    <w:rsid w:val="00DB3AC7"/>
    <w:rsid w:val="00DB3B3A"/>
    <w:rsid w:val="00DB3B72"/>
    <w:rsid w:val="00DB3B89"/>
    <w:rsid w:val="00DB3BB7"/>
    <w:rsid w:val="00DB3C39"/>
    <w:rsid w:val="00DB3C61"/>
    <w:rsid w:val="00DB3D7E"/>
    <w:rsid w:val="00DB3E55"/>
    <w:rsid w:val="00DB3F1E"/>
    <w:rsid w:val="00DB3F79"/>
    <w:rsid w:val="00DB3FAA"/>
    <w:rsid w:val="00DB3FC2"/>
    <w:rsid w:val="00DB4054"/>
    <w:rsid w:val="00DB4064"/>
    <w:rsid w:val="00DB4083"/>
    <w:rsid w:val="00DB40B3"/>
    <w:rsid w:val="00DB40C1"/>
    <w:rsid w:val="00DB40DC"/>
    <w:rsid w:val="00DB411D"/>
    <w:rsid w:val="00DB4135"/>
    <w:rsid w:val="00DB41B2"/>
    <w:rsid w:val="00DB41BC"/>
    <w:rsid w:val="00DB41C7"/>
    <w:rsid w:val="00DB41CA"/>
    <w:rsid w:val="00DB4250"/>
    <w:rsid w:val="00DB4316"/>
    <w:rsid w:val="00DB4324"/>
    <w:rsid w:val="00DB4363"/>
    <w:rsid w:val="00DB4375"/>
    <w:rsid w:val="00DB43A5"/>
    <w:rsid w:val="00DB4421"/>
    <w:rsid w:val="00DB4455"/>
    <w:rsid w:val="00DB44C9"/>
    <w:rsid w:val="00DB44EF"/>
    <w:rsid w:val="00DB4503"/>
    <w:rsid w:val="00DB451A"/>
    <w:rsid w:val="00DB4593"/>
    <w:rsid w:val="00DB4618"/>
    <w:rsid w:val="00DB4624"/>
    <w:rsid w:val="00DB4699"/>
    <w:rsid w:val="00DB476E"/>
    <w:rsid w:val="00DB47DF"/>
    <w:rsid w:val="00DB488D"/>
    <w:rsid w:val="00DB48F2"/>
    <w:rsid w:val="00DB4954"/>
    <w:rsid w:val="00DB497E"/>
    <w:rsid w:val="00DB49CF"/>
    <w:rsid w:val="00DB4A3D"/>
    <w:rsid w:val="00DB4AB9"/>
    <w:rsid w:val="00DB4AFB"/>
    <w:rsid w:val="00DB4B08"/>
    <w:rsid w:val="00DB4B74"/>
    <w:rsid w:val="00DB4BC2"/>
    <w:rsid w:val="00DB4C50"/>
    <w:rsid w:val="00DB4CA9"/>
    <w:rsid w:val="00DB4CAA"/>
    <w:rsid w:val="00DB4CB2"/>
    <w:rsid w:val="00DB4CEF"/>
    <w:rsid w:val="00DB4D73"/>
    <w:rsid w:val="00DB4D7C"/>
    <w:rsid w:val="00DB4DB4"/>
    <w:rsid w:val="00DB4DDE"/>
    <w:rsid w:val="00DB4E47"/>
    <w:rsid w:val="00DB4E6A"/>
    <w:rsid w:val="00DB4FD4"/>
    <w:rsid w:val="00DB504B"/>
    <w:rsid w:val="00DB5076"/>
    <w:rsid w:val="00DB5084"/>
    <w:rsid w:val="00DB512A"/>
    <w:rsid w:val="00DB5140"/>
    <w:rsid w:val="00DB5164"/>
    <w:rsid w:val="00DB51FE"/>
    <w:rsid w:val="00DB52DD"/>
    <w:rsid w:val="00DB536A"/>
    <w:rsid w:val="00DB5399"/>
    <w:rsid w:val="00DB53AE"/>
    <w:rsid w:val="00DB5481"/>
    <w:rsid w:val="00DB54B3"/>
    <w:rsid w:val="00DB54DD"/>
    <w:rsid w:val="00DB55DB"/>
    <w:rsid w:val="00DB55FA"/>
    <w:rsid w:val="00DB569F"/>
    <w:rsid w:val="00DB56FF"/>
    <w:rsid w:val="00DB572B"/>
    <w:rsid w:val="00DB574B"/>
    <w:rsid w:val="00DB57C5"/>
    <w:rsid w:val="00DB5825"/>
    <w:rsid w:val="00DB58CF"/>
    <w:rsid w:val="00DB5901"/>
    <w:rsid w:val="00DB5B96"/>
    <w:rsid w:val="00DB5C2B"/>
    <w:rsid w:val="00DB5C47"/>
    <w:rsid w:val="00DB5C6F"/>
    <w:rsid w:val="00DB5C75"/>
    <w:rsid w:val="00DB5CAC"/>
    <w:rsid w:val="00DB5CBB"/>
    <w:rsid w:val="00DB5CCD"/>
    <w:rsid w:val="00DB5CDE"/>
    <w:rsid w:val="00DB5D30"/>
    <w:rsid w:val="00DB5DC2"/>
    <w:rsid w:val="00DB5DF8"/>
    <w:rsid w:val="00DB5E1D"/>
    <w:rsid w:val="00DB5E35"/>
    <w:rsid w:val="00DB5F04"/>
    <w:rsid w:val="00DB5F41"/>
    <w:rsid w:val="00DB5F8F"/>
    <w:rsid w:val="00DB5F9B"/>
    <w:rsid w:val="00DB602E"/>
    <w:rsid w:val="00DB608B"/>
    <w:rsid w:val="00DB6110"/>
    <w:rsid w:val="00DB6127"/>
    <w:rsid w:val="00DB6149"/>
    <w:rsid w:val="00DB615A"/>
    <w:rsid w:val="00DB61A2"/>
    <w:rsid w:val="00DB61DA"/>
    <w:rsid w:val="00DB61FB"/>
    <w:rsid w:val="00DB621F"/>
    <w:rsid w:val="00DB6229"/>
    <w:rsid w:val="00DB6234"/>
    <w:rsid w:val="00DB6268"/>
    <w:rsid w:val="00DB6285"/>
    <w:rsid w:val="00DB62D3"/>
    <w:rsid w:val="00DB6320"/>
    <w:rsid w:val="00DB635F"/>
    <w:rsid w:val="00DB6376"/>
    <w:rsid w:val="00DB6416"/>
    <w:rsid w:val="00DB643D"/>
    <w:rsid w:val="00DB64DD"/>
    <w:rsid w:val="00DB64F2"/>
    <w:rsid w:val="00DB6511"/>
    <w:rsid w:val="00DB6578"/>
    <w:rsid w:val="00DB65B5"/>
    <w:rsid w:val="00DB65EA"/>
    <w:rsid w:val="00DB661D"/>
    <w:rsid w:val="00DB6659"/>
    <w:rsid w:val="00DB66B2"/>
    <w:rsid w:val="00DB66B9"/>
    <w:rsid w:val="00DB66F2"/>
    <w:rsid w:val="00DB670C"/>
    <w:rsid w:val="00DB675B"/>
    <w:rsid w:val="00DB6784"/>
    <w:rsid w:val="00DB67A9"/>
    <w:rsid w:val="00DB67AF"/>
    <w:rsid w:val="00DB681A"/>
    <w:rsid w:val="00DB6827"/>
    <w:rsid w:val="00DB688B"/>
    <w:rsid w:val="00DB68FE"/>
    <w:rsid w:val="00DB692E"/>
    <w:rsid w:val="00DB6968"/>
    <w:rsid w:val="00DB6A5C"/>
    <w:rsid w:val="00DB6AE2"/>
    <w:rsid w:val="00DB6B01"/>
    <w:rsid w:val="00DB6B0C"/>
    <w:rsid w:val="00DB6B27"/>
    <w:rsid w:val="00DB6C1E"/>
    <w:rsid w:val="00DB6C44"/>
    <w:rsid w:val="00DB6CA0"/>
    <w:rsid w:val="00DB6D46"/>
    <w:rsid w:val="00DB6D7D"/>
    <w:rsid w:val="00DB6D93"/>
    <w:rsid w:val="00DB6DAB"/>
    <w:rsid w:val="00DB6E19"/>
    <w:rsid w:val="00DB6EE1"/>
    <w:rsid w:val="00DB6F0E"/>
    <w:rsid w:val="00DB6F5D"/>
    <w:rsid w:val="00DB6F67"/>
    <w:rsid w:val="00DB70A7"/>
    <w:rsid w:val="00DB70CE"/>
    <w:rsid w:val="00DB70E5"/>
    <w:rsid w:val="00DB7183"/>
    <w:rsid w:val="00DB71EE"/>
    <w:rsid w:val="00DB7234"/>
    <w:rsid w:val="00DB729C"/>
    <w:rsid w:val="00DB72C9"/>
    <w:rsid w:val="00DB72EA"/>
    <w:rsid w:val="00DB735B"/>
    <w:rsid w:val="00DB7377"/>
    <w:rsid w:val="00DB7389"/>
    <w:rsid w:val="00DB738C"/>
    <w:rsid w:val="00DB73AE"/>
    <w:rsid w:val="00DB73B5"/>
    <w:rsid w:val="00DB7460"/>
    <w:rsid w:val="00DB748A"/>
    <w:rsid w:val="00DB7510"/>
    <w:rsid w:val="00DB7541"/>
    <w:rsid w:val="00DB75B1"/>
    <w:rsid w:val="00DB75EC"/>
    <w:rsid w:val="00DB75EF"/>
    <w:rsid w:val="00DB7615"/>
    <w:rsid w:val="00DB7619"/>
    <w:rsid w:val="00DB775E"/>
    <w:rsid w:val="00DB77B3"/>
    <w:rsid w:val="00DB7807"/>
    <w:rsid w:val="00DB7825"/>
    <w:rsid w:val="00DB783A"/>
    <w:rsid w:val="00DB786E"/>
    <w:rsid w:val="00DB7881"/>
    <w:rsid w:val="00DB78C6"/>
    <w:rsid w:val="00DB78CC"/>
    <w:rsid w:val="00DB78E3"/>
    <w:rsid w:val="00DB7973"/>
    <w:rsid w:val="00DB7998"/>
    <w:rsid w:val="00DB79EC"/>
    <w:rsid w:val="00DB7A0E"/>
    <w:rsid w:val="00DB7B00"/>
    <w:rsid w:val="00DB7B2E"/>
    <w:rsid w:val="00DB7B75"/>
    <w:rsid w:val="00DB7B9E"/>
    <w:rsid w:val="00DB7BCC"/>
    <w:rsid w:val="00DB7BF5"/>
    <w:rsid w:val="00DB7C22"/>
    <w:rsid w:val="00DB7D73"/>
    <w:rsid w:val="00DB7D80"/>
    <w:rsid w:val="00DB7DAA"/>
    <w:rsid w:val="00DB7DE2"/>
    <w:rsid w:val="00DB7EF7"/>
    <w:rsid w:val="00DB7EF8"/>
    <w:rsid w:val="00DB7FAE"/>
    <w:rsid w:val="00DB7FD7"/>
    <w:rsid w:val="00DC010B"/>
    <w:rsid w:val="00DC0167"/>
    <w:rsid w:val="00DC0187"/>
    <w:rsid w:val="00DC0230"/>
    <w:rsid w:val="00DC02AD"/>
    <w:rsid w:val="00DC02FF"/>
    <w:rsid w:val="00DC0305"/>
    <w:rsid w:val="00DC035F"/>
    <w:rsid w:val="00DC0421"/>
    <w:rsid w:val="00DC0426"/>
    <w:rsid w:val="00DC0515"/>
    <w:rsid w:val="00DC0546"/>
    <w:rsid w:val="00DC0584"/>
    <w:rsid w:val="00DC05D5"/>
    <w:rsid w:val="00DC05EC"/>
    <w:rsid w:val="00DC067E"/>
    <w:rsid w:val="00DC06F8"/>
    <w:rsid w:val="00DC07C3"/>
    <w:rsid w:val="00DC087A"/>
    <w:rsid w:val="00DC088D"/>
    <w:rsid w:val="00DC0898"/>
    <w:rsid w:val="00DC089A"/>
    <w:rsid w:val="00DC08B7"/>
    <w:rsid w:val="00DC08F1"/>
    <w:rsid w:val="00DC0903"/>
    <w:rsid w:val="00DC0936"/>
    <w:rsid w:val="00DC0941"/>
    <w:rsid w:val="00DC0962"/>
    <w:rsid w:val="00DC09CC"/>
    <w:rsid w:val="00DC09E7"/>
    <w:rsid w:val="00DC0A8E"/>
    <w:rsid w:val="00DC0AD8"/>
    <w:rsid w:val="00DC0B01"/>
    <w:rsid w:val="00DC0B1D"/>
    <w:rsid w:val="00DC0BB3"/>
    <w:rsid w:val="00DC0BF7"/>
    <w:rsid w:val="00DC0CD5"/>
    <w:rsid w:val="00DC0D2C"/>
    <w:rsid w:val="00DC0D5D"/>
    <w:rsid w:val="00DC0DE7"/>
    <w:rsid w:val="00DC0E12"/>
    <w:rsid w:val="00DC0E4F"/>
    <w:rsid w:val="00DC0EA1"/>
    <w:rsid w:val="00DC0EDD"/>
    <w:rsid w:val="00DC0F68"/>
    <w:rsid w:val="00DC0FB9"/>
    <w:rsid w:val="00DC1057"/>
    <w:rsid w:val="00DC105E"/>
    <w:rsid w:val="00DC10A1"/>
    <w:rsid w:val="00DC10AB"/>
    <w:rsid w:val="00DC10EA"/>
    <w:rsid w:val="00DC11C3"/>
    <w:rsid w:val="00DC1226"/>
    <w:rsid w:val="00DC1246"/>
    <w:rsid w:val="00DC1251"/>
    <w:rsid w:val="00DC1271"/>
    <w:rsid w:val="00DC12F4"/>
    <w:rsid w:val="00DC138B"/>
    <w:rsid w:val="00DC13B8"/>
    <w:rsid w:val="00DC13F6"/>
    <w:rsid w:val="00DC142C"/>
    <w:rsid w:val="00DC150E"/>
    <w:rsid w:val="00DC1512"/>
    <w:rsid w:val="00DC1532"/>
    <w:rsid w:val="00DC156D"/>
    <w:rsid w:val="00DC15AE"/>
    <w:rsid w:val="00DC1611"/>
    <w:rsid w:val="00DC1669"/>
    <w:rsid w:val="00DC1689"/>
    <w:rsid w:val="00DC16A5"/>
    <w:rsid w:val="00DC175F"/>
    <w:rsid w:val="00DC17B2"/>
    <w:rsid w:val="00DC17E2"/>
    <w:rsid w:val="00DC1816"/>
    <w:rsid w:val="00DC1834"/>
    <w:rsid w:val="00DC18B7"/>
    <w:rsid w:val="00DC18E3"/>
    <w:rsid w:val="00DC1918"/>
    <w:rsid w:val="00DC1989"/>
    <w:rsid w:val="00DC1A2F"/>
    <w:rsid w:val="00DC1A33"/>
    <w:rsid w:val="00DC1A59"/>
    <w:rsid w:val="00DC1AC0"/>
    <w:rsid w:val="00DC1B36"/>
    <w:rsid w:val="00DC1B79"/>
    <w:rsid w:val="00DC1B89"/>
    <w:rsid w:val="00DC1BDE"/>
    <w:rsid w:val="00DC1C01"/>
    <w:rsid w:val="00DC1CE2"/>
    <w:rsid w:val="00DC1CEC"/>
    <w:rsid w:val="00DC1CF4"/>
    <w:rsid w:val="00DC1D41"/>
    <w:rsid w:val="00DC1D4C"/>
    <w:rsid w:val="00DC1D6D"/>
    <w:rsid w:val="00DC1D88"/>
    <w:rsid w:val="00DC1D97"/>
    <w:rsid w:val="00DC1D98"/>
    <w:rsid w:val="00DC1E01"/>
    <w:rsid w:val="00DC1E5A"/>
    <w:rsid w:val="00DC1E5B"/>
    <w:rsid w:val="00DC1E77"/>
    <w:rsid w:val="00DC1F60"/>
    <w:rsid w:val="00DC1FDE"/>
    <w:rsid w:val="00DC1FFF"/>
    <w:rsid w:val="00DC2019"/>
    <w:rsid w:val="00DC201B"/>
    <w:rsid w:val="00DC2030"/>
    <w:rsid w:val="00DC204D"/>
    <w:rsid w:val="00DC2060"/>
    <w:rsid w:val="00DC20CF"/>
    <w:rsid w:val="00DC2112"/>
    <w:rsid w:val="00DC21A6"/>
    <w:rsid w:val="00DC2218"/>
    <w:rsid w:val="00DC2245"/>
    <w:rsid w:val="00DC2288"/>
    <w:rsid w:val="00DC22D9"/>
    <w:rsid w:val="00DC22DA"/>
    <w:rsid w:val="00DC2338"/>
    <w:rsid w:val="00DC23DA"/>
    <w:rsid w:val="00DC23EE"/>
    <w:rsid w:val="00DC2438"/>
    <w:rsid w:val="00DC2453"/>
    <w:rsid w:val="00DC24A2"/>
    <w:rsid w:val="00DC24A9"/>
    <w:rsid w:val="00DC250E"/>
    <w:rsid w:val="00DC2512"/>
    <w:rsid w:val="00DC2536"/>
    <w:rsid w:val="00DC2542"/>
    <w:rsid w:val="00DC267D"/>
    <w:rsid w:val="00DC270B"/>
    <w:rsid w:val="00DC2745"/>
    <w:rsid w:val="00DC2792"/>
    <w:rsid w:val="00DC27CA"/>
    <w:rsid w:val="00DC27D7"/>
    <w:rsid w:val="00DC284F"/>
    <w:rsid w:val="00DC2996"/>
    <w:rsid w:val="00DC2AF7"/>
    <w:rsid w:val="00DC2AFE"/>
    <w:rsid w:val="00DC2B75"/>
    <w:rsid w:val="00DC2BBD"/>
    <w:rsid w:val="00DC2C30"/>
    <w:rsid w:val="00DC2CF7"/>
    <w:rsid w:val="00DC2D47"/>
    <w:rsid w:val="00DC2D74"/>
    <w:rsid w:val="00DC2D7A"/>
    <w:rsid w:val="00DC2D7C"/>
    <w:rsid w:val="00DC2DA2"/>
    <w:rsid w:val="00DC2DB1"/>
    <w:rsid w:val="00DC2E2A"/>
    <w:rsid w:val="00DC2E34"/>
    <w:rsid w:val="00DC2E4C"/>
    <w:rsid w:val="00DC2E5B"/>
    <w:rsid w:val="00DC2E76"/>
    <w:rsid w:val="00DC2F12"/>
    <w:rsid w:val="00DC2F1B"/>
    <w:rsid w:val="00DC2F90"/>
    <w:rsid w:val="00DC2FC3"/>
    <w:rsid w:val="00DC3002"/>
    <w:rsid w:val="00DC302B"/>
    <w:rsid w:val="00DC3035"/>
    <w:rsid w:val="00DC3087"/>
    <w:rsid w:val="00DC3127"/>
    <w:rsid w:val="00DC31B6"/>
    <w:rsid w:val="00DC3215"/>
    <w:rsid w:val="00DC3238"/>
    <w:rsid w:val="00DC323A"/>
    <w:rsid w:val="00DC3268"/>
    <w:rsid w:val="00DC32AE"/>
    <w:rsid w:val="00DC33CA"/>
    <w:rsid w:val="00DC342D"/>
    <w:rsid w:val="00DC3473"/>
    <w:rsid w:val="00DC347D"/>
    <w:rsid w:val="00DC34BE"/>
    <w:rsid w:val="00DC3521"/>
    <w:rsid w:val="00DC36E8"/>
    <w:rsid w:val="00DC36F7"/>
    <w:rsid w:val="00DC3759"/>
    <w:rsid w:val="00DC377F"/>
    <w:rsid w:val="00DC380F"/>
    <w:rsid w:val="00DC3830"/>
    <w:rsid w:val="00DC386D"/>
    <w:rsid w:val="00DC3874"/>
    <w:rsid w:val="00DC387F"/>
    <w:rsid w:val="00DC38B6"/>
    <w:rsid w:val="00DC38EC"/>
    <w:rsid w:val="00DC38F3"/>
    <w:rsid w:val="00DC3958"/>
    <w:rsid w:val="00DC398D"/>
    <w:rsid w:val="00DC39B9"/>
    <w:rsid w:val="00DC39EA"/>
    <w:rsid w:val="00DC3C07"/>
    <w:rsid w:val="00DC3D45"/>
    <w:rsid w:val="00DC3E32"/>
    <w:rsid w:val="00DC3E59"/>
    <w:rsid w:val="00DC3E81"/>
    <w:rsid w:val="00DC3E8F"/>
    <w:rsid w:val="00DC3ED7"/>
    <w:rsid w:val="00DC3EE9"/>
    <w:rsid w:val="00DC3F1A"/>
    <w:rsid w:val="00DC3F5D"/>
    <w:rsid w:val="00DC3FFB"/>
    <w:rsid w:val="00DC400E"/>
    <w:rsid w:val="00DC4048"/>
    <w:rsid w:val="00DC40FA"/>
    <w:rsid w:val="00DC41C3"/>
    <w:rsid w:val="00DC41C4"/>
    <w:rsid w:val="00DC430D"/>
    <w:rsid w:val="00DC4341"/>
    <w:rsid w:val="00DC4374"/>
    <w:rsid w:val="00DC4419"/>
    <w:rsid w:val="00DC4438"/>
    <w:rsid w:val="00DC447D"/>
    <w:rsid w:val="00DC4487"/>
    <w:rsid w:val="00DC44B3"/>
    <w:rsid w:val="00DC44D8"/>
    <w:rsid w:val="00DC46A4"/>
    <w:rsid w:val="00DC4723"/>
    <w:rsid w:val="00DC4738"/>
    <w:rsid w:val="00DC4771"/>
    <w:rsid w:val="00DC47A9"/>
    <w:rsid w:val="00DC47F1"/>
    <w:rsid w:val="00DC48EC"/>
    <w:rsid w:val="00DC4920"/>
    <w:rsid w:val="00DC492F"/>
    <w:rsid w:val="00DC494A"/>
    <w:rsid w:val="00DC495B"/>
    <w:rsid w:val="00DC4A35"/>
    <w:rsid w:val="00DC4A4F"/>
    <w:rsid w:val="00DC4AF5"/>
    <w:rsid w:val="00DC4BC3"/>
    <w:rsid w:val="00DC4BE5"/>
    <w:rsid w:val="00DC4BF4"/>
    <w:rsid w:val="00DC4C2D"/>
    <w:rsid w:val="00DC4CB5"/>
    <w:rsid w:val="00DC4CBC"/>
    <w:rsid w:val="00DC4D02"/>
    <w:rsid w:val="00DC4D8D"/>
    <w:rsid w:val="00DC4DF0"/>
    <w:rsid w:val="00DC4E54"/>
    <w:rsid w:val="00DC4F45"/>
    <w:rsid w:val="00DC4F61"/>
    <w:rsid w:val="00DC4FC6"/>
    <w:rsid w:val="00DC510D"/>
    <w:rsid w:val="00DC512C"/>
    <w:rsid w:val="00DC51AF"/>
    <w:rsid w:val="00DC51B6"/>
    <w:rsid w:val="00DC520E"/>
    <w:rsid w:val="00DC5217"/>
    <w:rsid w:val="00DC5264"/>
    <w:rsid w:val="00DC5274"/>
    <w:rsid w:val="00DC5288"/>
    <w:rsid w:val="00DC52A8"/>
    <w:rsid w:val="00DC52DA"/>
    <w:rsid w:val="00DC52F5"/>
    <w:rsid w:val="00DC53A2"/>
    <w:rsid w:val="00DC53A9"/>
    <w:rsid w:val="00DC53C4"/>
    <w:rsid w:val="00DC541B"/>
    <w:rsid w:val="00DC541C"/>
    <w:rsid w:val="00DC543F"/>
    <w:rsid w:val="00DC550A"/>
    <w:rsid w:val="00DC550E"/>
    <w:rsid w:val="00DC5525"/>
    <w:rsid w:val="00DC5561"/>
    <w:rsid w:val="00DC55E1"/>
    <w:rsid w:val="00DC5610"/>
    <w:rsid w:val="00DC561F"/>
    <w:rsid w:val="00DC5672"/>
    <w:rsid w:val="00DC5771"/>
    <w:rsid w:val="00DC5871"/>
    <w:rsid w:val="00DC5927"/>
    <w:rsid w:val="00DC595B"/>
    <w:rsid w:val="00DC5976"/>
    <w:rsid w:val="00DC5977"/>
    <w:rsid w:val="00DC597E"/>
    <w:rsid w:val="00DC59B1"/>
    <w:rsid w:val="00DC5BDB"/>
    <w:rsid w:val="00DC5C5B"/>
    <w:rsid w:val="00DC5C8E"/>
    <w:rsid w:val="00DC5CFD"/>
    <w:rsid w:val="00DC5D09"/>
    <w:rsid w:val="00DC5D4F"/>
    <w:rsid w:val="00DC5D98"/>
    <w:rsid w:val="00DC5DA5"/>
    <w:rsid w:val="00DC5DF2"/>
    <w:rsid w:val="00DC5E49"/>
    <w:rsid w:val="00DC5E5A"/>
    <w:rsid w:val="00DC5E79"/>
    <w:rsid w:val="00DC5EC4"/>
    <w:rsid w:val="00DC5F03"/>
    <w:rsid w:val="00DC5F45"/>
    <w:rsid w:val="00DC5F5A"/>
    <w:rsid w:val="00DC6072"/>
    <w:rsid w:val="00DC6120"/>
    <w:rsid w:val="00DC616E"/>
    <w:rsid w:val="00DC6185"/>
    <w:rsid w:val="00DC61F4"/>
    <w:rsid w:val="00DC6280"/>
    <w:rsid w:val="00DC62B2"/>
    <w:rsid w:val="00DC62E3"/>
    <w:rsid w:val="00DC6321"/>
    <w:rsid w:val="00DC6331"/>
    <w:rsid w:val="00DC639B"/>
    <w:rsid w:val="00DC6426"/>
    <w:rsid w:val="00DC64B0"/>
    <w:rsid w:val="00DC64C2"/>
    <w:rsid w:val="00DC64F2"/>
    <w:rsid w:val="00DC6509"/>
    <w:rsid w:val="00DC650A"/>
    <w:rsid w:val="00DC6567"/>
    <w:rsid w:val="00DC659B"/>
    <w:rsid w:val="00DC66CB"/>
    <w:rsid w:val="00DC674F"/>
    <w:rsid w:val="00DC67B8"/>
    <w:rsid w:val="00DC67DF"/>
    <w:rsid w:val="00DC6856"/>
    <w:rsid w:val="00DC68A5"/>
    <w:rsid w:val="00DC690A"/>
    <w:rsid w:val="00DC691B"/>
    <w:rsid w:val="00DC693D"/>
    <w:rsid w:val="00DC69B6"/>
    <w:rsid w:val="00DC69DE"/>
    <w:rsid w:val="00DC6A2B"/>
    <w:rsid w:val="00DC6AED"/>
    <w:rsid w:val="00DC6B0A"/>
    <w:rsid w:val="00DC6B93"/>
    <w:rsid w:val="00DC6BA1"/>
    <w:rsid w:val="00DC6BA2"/>
    <w:rsid w:val="00DC6BFD"/>
    <w:rsid w:val="00DC6CB5"/>
    <w:rsid w:val="00DC6CDD"/>
    <w:rsid w:val="00DC6D5E"/>
    <w:rsid w:val="00DC6D7A"/>
    <w:rsid w:val="00DC6EDE"/>
    <w:rsid w:val="00DC6EFC"/>
    <w:rsid w:val="00DC6F2E"/>
    <w:rsid w:val="00DC6F69"/>
    <w:rsid w:val="00DC6FA3"/>
    <w:rsid w:val="00DC6FAC"/>
    <w:rsid w:val="00DC6FCB"/>
    <w:rsid w:val="00DC70C7"/>
    <w:rsid w:val="00DC7148"/>
    <w:rsid w:val="00DC7169"/>
    <w:rsid w:val="00DC717A"/>
    <w:rsid w:val="00DC72A2"/>
    <w:rsid w:val="00DC72B6"/>
    <w:rsid w:val="00DC72C1"/>
    <w:rsid w:val="00DC7383"/>
    <w:rsid w:val="00DC7444"/>
    <w:rsid w:val="00DC74AF"/>
    <w:rsid w:val="00DC74D0"/>
    <w:rsid w:val="00DC74F3"/>
    <w:rsid w:val="00DC751B"/>
    <w:rsid w:val="00DC7529"/>
    <w:rsid w:val="00DC7536"/>
    <w:rsid w:val="00DC75C9"/>
    <w:rsid w:val="00DC762F"/>
    <w:rsid w:val="00DC7660"/>
    <w:rsid w:val="00DC76AA"/>
    <w:rsid w:val="00DC76DB"/>
    <w:rsid w:val="00DC76E6"/>
    <w:rsid w:val="00DC7793"/>
    <w:rsid w:val="00DC77DF"/>
    <w:rsid w:val="00DC786E"/>
    <w:rsid w:val="00DC78EE"/>
    <w:rsid w:val="00DC793C"/>
    <w:rsid w:val="00DC7999"/>
    <w:rsid w:val="00DC7A46"/>
    <w:rsid w:val="00DC7A5D"/>
    <w:rsid w:val="00DC7A69"/>
    <w:rsid w:val="00DC7AB9"/>
    <w:rsid w:val="00DC7AFC"/>
    <w:rsid w:val="00DC7B0B"/>
    <w:rsid w:val="00DC7B1A"/>
    <w:rsid w:val="00DC7B62"/>
    <w:rsid w:val="00DC7B6A"/>
    <w:rsid w:val="00DC7BB1"/>
    <w:rsid w:val="00DC7BEE"/>
    <w:rsid w:val="00DC7C97"/>
    <w:rsid w:val="00DC7CE2"/>
    <w:rsid w:val="00DC7CF8"/>
    <w:rsid w:val="00DC7D89"/>
    <w:rsid w:val="00DC7EAA"/>
    <w:rsid w:val="00DC7EBC"/>
    <w:rsid w:val="00DC7EC6"/>
    <w:rsid w:val="00DC7EF4"/>
    <w:rsid w:val="00DC7F18"/>
    <w:rsid w:val="00DC7F4E"/>
    <w:rsid w:val="00DC7F6D"/>
    <w:rsid w:val="00DC7FD0"/>
    <w:rsid w:val="00DD0004"/>
    <w:rsid w:val="00DD0006"/>
    <w:rsid w:val="00DD00A8"/>
    <w:rsid w:val="00DD00BC"/>
    <w:rsid w:val="00DD00F8"/>
    <w:rsid w:val="00DD0154"/>
    <w:rsid w:val="00DD0239"/>
    <w:rsid w:val="00DD0260"/>
    <w:rsid w:val="00DD02A2"/>
    <w:rsid w:val="00DD02CF"/>
    <w:rsid w:val="00DD031C"/>
    <w:rsid w:val="00DD035C"/>
    <w:rsid w:val="00DD0370"/>
    <w:rsid w:val="00DD0444"/>
    <w:rsid w:val="00DD0461"/>
    <w:rsid w:val="00DD04AD"/>
    <w:rsid w:val="00DD04EA"/>
    <w:rsid w:val="00DD0539"/>
    <w:rsid w:val="00DD054E"/>
    <w:rsid w:val="00DD0569"/>
    <w:rsid w:val="00DD0577"/>
    <w:rsid w:val="00DD0624"/>
    <w:rsid w:val="00DD0650"/>
    <w:rsid w:val="00DD06B7"/>
    <w:rsid w:val="00DD06EB"/>
    <w:rsid w:val="00DD07BA"/>
    <w:rsid w:val="00DD07E5"/>
    <w:rsid w:val="00DD07F0"/>
    <w:rsid w:val="00DD0816"/>
    <w:rsid w:val="00DD082E"/>
    <w:rsid w:val="00DD08D6"/>
    <w:rsid w:val="00DD08EA"/>
    <w:rsid w:val="00DD093D"/>
    <w:rsid w:val="00DD094B"/>
    <w:rsid w:val="00DD0A36"/>
    <w:rsid w:val="00DD0A4C"/>
    <w:rsid w:val="00DD0C28"/>
    <w:rsid w:val="00DD0C39"/>
    <w:rsid w:val="00DD0C3E"/>
    <w:rsid w:val="00DD0C88"/>
    <w:rsid w:val="00DD0D33"/>
    <w:rsid w:val="00DD0D3A"/>
    <w:rsid w:val="00DD0D3D"/>
    <w:rsid w:val="00DD0D3F"/>
    <w:rsid w:val="00DD0D7F"/>
    <w:rsid w:val="00DD0D99"/>
    <w:rsid w:val="00DD0DE9"/>
    <w:rsid w:val="00DD0E1F"/>
    <w:rsid w:val="00DD0E82"/>
    <w:rsid w:val="00DD0E98"/>
    <w:rsid w:val="00DD0EAA"/>
    <w:rsid w:val="00DD0F07"/>
    <w:rsid w:val="00DD0F5C"/>
    <w:rsid w:val="00DD0FC5"/>
    <w:rsid w:val="00DD101B"/>
    <w:rsid w:val="00DD10E8"/>
    <w:rsid w:val="00DD111D"/>
    <w:rsid w:val="00DD115E"/>
    <w:rsid w:val="00DD1182"/>
    <w:rsid w:val="00DD11BE"/>
    <w:rsid w:val="00DD1224"/>
    <w:rsid w:val="00DD135C"/>
    <w:rsid w:val="00DD13F4"/>
    <w:rsid w:val="00DD13F9"/>
    <w:rsid w:val="00DD143C"/>
    <w:rsid w:val="00DD1482"/>
    <w:rsid w:val="00DD14FA"/>
    <w:rsid w:val="00DD153D"/>
    <w:rsid w:val="00DD15FB"/>
    <w:rsid w:val="00DD162F"/>
    <w:rsid w:val="00DD1635"/>
    <w:rsid w:val="00DD16CA"/>
    <w:rsid w:val="00DD1704"/>
    <w:rsid w:val="00DD1781"/>
    <w:rsid w:val="00DD17D9"/>
    <w:rsid w:val="00DD185A"/>
    <w:rsid w:val="00DD19A2"/>
    <w:rsid w:val="00DD1A11"/>
    <w:rsid w:val="00DD1A13"/>
    <w:rsid w:val="00DD1A3F"/>
    <w:rsid w:val="00DD1A84"/>
    <w:rsid w:val="00DD1ADE"/>
    <w:rsid w:val="00DD1B0B"/>
    <w:rsid w:val="00DD1B3E"/>
    <w:rsid w:val="00DD1B55"/>
    <w:rsid w:val="00DD1B7A"/>
    <w:rsid w:val="00DD1C01"/>
    <w:rsid w:val="00DD1C1D"/>
    <w:rsid w:val="00DD1C27"/>
    <w:rsid w:val="00DD1CA3"/>
    <w:rsid w:val="00DD1CDC"/>
    <w:rsid w:val="00DD1D46"/>
    <w:rsid w:val="00DD1D49"/>
    <w:rsid w:val="00DD1D5C"/>
    <w:rsid w:val="00DD1DAF"/>
    <w:rsid w:val="00DD1E41"/>
    <w:rsid w:val="00DD1EE3"/>
    <w:rsid w:val="00DD1F00"/>
    <w:rsid w:val="00DD1F96"/>
    <w:rsid w:val="00DD1F9C"/>
    <w:rsid w:val="00DD1FB9"/>
    <w:rsid w:val="00DD2055"/>
    <w:rsid w:val="00DD20A0"/>
    <w:rsid w:val="00DD20E3"/>
    <w:rsid w:val="00DD20F3"/>
    <w:rsid w:val="00DD2197"/>
    <w:rsid w:val="00DD21DF"/>
    <w:rsid w:val="00DD2261"/>
    <w:rsid w:val="00DD227B"/>
    <w:rsid w:val="00DD22BF"/>
    <w:rsid w:val="00DD22C2"/>
    <w:rsid w:val="00DD22F3"/>
    <w:rsid w:val="00DD2369"/>
    <w:rsid w:val="00DD2379"/>
    <w:rsid w:val="00DD2399"/>
    <w:rsid w:val="00DD23F9"/>
    <w:rsid w:val="00DD23FC"/>
    <w:rsid w:val="00DD2499"/>
    <w:rsid w:val="00DD24C4"/>
    <w:rsid w:val="00DD24F8"/>
    <w:rsid w:val="00DD2523"/>
    <w:rsid w:val="00DD2581"/>
    <w:rsid w:val="00DD25B8"/>
    <w:rsid w:val="00DD25E8"/>
    <w:rsid w:val="00DD260C"/>
    <w:rsid w:val="00DD2620"/>
    <w:rsid w:val="00DD26BF"/>
    <w:rsid w:val="00DD26ED"/>
    <w:rsid w:val="00DD26FE"/>
    <w:rsid w:val="00DD2713"/>
    <w:rsid w:val="00DD271E"/>
    <w:rsid w:val="00DD278E"/>
    <w:rsid w:val="00DD27B6"/>
    <w:rsid w:val="00DD27EB"/>
    <w:rsid w:val="00DD2972"/>
    <w:rsid w:val="00DD2993"/>
    <w:rsid w:val="00DD2A90"/>
    <w:rsid w:val="00DD2ABA"/>
    <w:rsid w:val="00DD2B5B"/>
    <w:rsid w:val="00DD2B67"/>
    <w:rsid w:val="00DD2BA4"/>
    <w:rsid w:val="00DD2BB8"/>
    <w:rsid w:val="00DD2BB9"/>
    <w:rsid w:val="00DD2BFC"/>
    <w:rsid w:val="00DD2C35"/>
    <w:rsid w:val="00DD2C8D"/>
    <w:rsid w:val="00DD2CB0"/>
    <w:rsid w:val="00DD2CD5"/>
    <w:rsid w:val="00DD2CFD"/>
    <w:rsid w:val="00DD2D19"/>
    <w:rsid w:val="00DD2D79"/>
    <w:rsid w:val="00DD2DC2"/>
    <w:rsid w:val="00DD2DE1"/>
    <w:rsid w:val="00DD2EAA"/>
    <w:rsid w:val="00DD2EAF"/>
    <w:rsid w:val="00DD2F2B"/>
    <w:rsid w:val="00DD2FDD"/>
    <w:rsid w:val="00DD3036"/>
    <w:rsid w:val="00DD304F"/>
    <w:rsid w:val="00DD305B"/>
    <w:rsid w:val="00DD305D"/>
    <w:rsid w:val="00DD307D"/>
    <w:rsid w:val="00DD30AE"/>
    <w:rsid w:val="00DD30C8"/>
    <w:rsid w:val="00DD3149"/>
    <w:rsid w:val="00DD3152"/>
    <w:rsid w:val="00DD3181"/>
    <w:rsid w:val="00DD31CD"/>
    <w:rsid w:val="00DD320B"/>
    <w:rsid w:val="00DD32DA"/>
    <w:rsid w:val="00DD3463"/>
    <w:rsid w:val="00DD35DC"/>
    <w:rsid w:val="00DD35FB"/>
    <w:rsid w:val="00DD3611"/>
    <w:rsid w:val="00DD362A"/>
    <w:rsid w:val="00DD3678"/>
    <w:rsid w:val="00DD3687"/>
    <w:rsid w:val="00DD3699"/>
    <w:rsid w:val="00DD3727"/>
    <w:rsid w:val="00DD3735"/>
    <w:rsid w:val="00DD3859"/>
    <w:rsid w:val="00DD38B2"/>
    <w:rsid w:val="00DD3910"/>
    <w:rsid w:val="00DD397F"/>
    <w:rsid w:val="00DD3A18"/>
    <w:rsid w:val="00DD3B05"/>
    <w:rsid w:val="00DD3D27"/>
    <w:rsid w:val="00DD3D50"/>
    <w:rsid w:val="00DD3D6E"/>
    <w:rsid w:val="00DD3D7E"/>
    <w:rsid w:val="00DD3D9D"/>
    <w:rsid w:val="00DD3E15"/>
    <w:rsid w:val="00DD3E92"/>
    <w:rsid w:val="00DD3EB6"/>
    <w:rsid w:val="00DD3F50"/>
    <w:rsid w:val="00DD3F62"/>
    <w:rsid w:val="00DD3FB4"/>
    <w:rsid w:val="00DD3FD6"/>
    <w:rsid w:val="00DD3FDE"/>
    <w:rsid w:val="00DD4016"/>
    <w:rsid w:val="00DD40DD"/>
    <w:rsid w:val="00DD4182"/>
    <w:rsid w:val="00DD4185"/>
    <w:rsid w:val="00DD4193"/>
    <w:rsid w:val="00DD41D0"/>
    <w:rsid w:val="00DD4248"/>
    <w:rsid w:val="00DD42D7"/>
    <w:rsid w:val="00DD42DD"/>
    <w:rsid w:val="00DD4340"/>
    <w:rsid w:val="00DD4372"/>
    <w:rsid w:val="00DD4395"/>
    <w:rsid w:val="00DD43E3"/>
    <w:rsid w:val="00DD43F5"/>
    <w:rsid w:val="00DD44E3"/>
    <w:rsid w:val="00DD45DC"/>
    <w:rsid w:val="00DD460C"/>
    <w:rsid w:val="00DD4717"/>
    <w:rsid w:val="00DD471D"/>
    <w:rsid w:val="00DD472D"/>
    <w:rsid w:val="00DD4736"/>
    <w:rsid w:val="00DD478B"/>
    <w:rsid w:val="00DD4811"/>
    <w:rsid w:val="00DD4825"/>
    <w:rsid w:val="00DD483D"/>
    <w:rsid w:val="00DD484D"/>
    <w:rsid w:val="00DD4851"/>
    <w:rsid w:val="00DD49A4"/>
    <w:rsid w:val="00DD49C8"/>
    <w:rsid w:val="00DD49EF"/>
    <w:rsid w:val="00DD49FD"/>
    <w:rsid w:val="00DD4A8C"/>
    <w:rsid w:val="00DD4AAC"/>
    <w:rsid w:val="00DD4ACA"/>
    <w:rsid w:val="00DD4AFF"/>
    <w:rsid w:val="00DD4B05"/>
    <w:rsid w:val="00DD4B7E"/>
    <w:rsid w:val="00DD4C1F"/>
    <w:rsid w:val="00DD4CCD"/>
    <w:rsid w:val="00DD4CEE"/>
    <w:rsid w:val="00DD4E9E"/>
    <w:rsid w:val="00DD4EDB"/>
    <w:rsid w:val="00DD4F32"/>
    <w:rsid w:val="00DD4F40"/>
    <w:rsid w:val="00DD4FDD"/>
    <w:rsid w:val="00DD5012"/>
    <w:rsid w:val="00DD50FA"/>
    <w:rsid w:val="00DD528E"/>
    <w:rsid w:val="00DD52C1"/>
    <w:rsid w:val="00DD52FE"/>
    <w:rsid w:val="00DD5399"/>
    <w:rsid w:val="00DD53A9"/>
    <w:rsid w:val="00DD5405"/>
    <w:rsid w:val="00DD5426"/>
    <w:rsid w:val="00DD548A"/>
    <w:rsid w:val="00DD549A"/>
    <w:rsid w:val="00DD550A"/>
    <w:rsid w:val="00DD5546"/>
    <w:rsid w:val="00DD5568"/>
    <w:rsid w:val="00DD5605"/>
    <w:rsid w:val="00DD565D"/>
    <w:rsid w:val="00DD5672"/>
    <w:rsid w:val="00DD56CD"/>
    <w:rsid w:val="00DD572D"/>
    <w:rsid w:val="00DD5741"/>
    <w:rsid w:val="00DD5772"/>
    <w:rsid w:val="00DD57A1"/>
    <w:rsid w:val="00DD57D1"/>
    <w:rsid w:val="00DD57F8"/>
    <w:rsid w:val="00DD587D"/>
    <w:rsid w:val="00DD58F0"/>
    <w:rsid w:val="00DD59A2"/>
    <w:rsid w:val="00DD59BB"/>
    <w:rsid w:val="00DD59DB"/>
    <w:rsid w:val="00DD59F0"/>
    <w:rsid w:val="00DD5A50"/>
    <w:rsid w:val="00DD5A78"/>
    <w:rsid w:val="00DD5AD7"/>
    <w:rsid w:val="00DD5AE7"/>
    <w:rsid w:val="00DD5B12"/>
    <w:rsid w:val="00DD5B67"/>
    <w:rsid w:val="00DD5B86"/>
    <w:rsid w:val="00DD5C22"/>
    <w:rsid w:val="00DD5C32"/>
    <w:rsid w:val="00DD5C8A"/>
    <w:rsid w:val="00DD5C90"/>
    <w:rsid w:val="00DD5CD1"/>
    <w:rsid w:val="00DD5D96"/>
    <w:rsid w:val="00DD5D9F"/>
    <w:rsid w:val="00DD5E01"/>
    <w:rsid w:val="00DD5E05"/>
    <w:rsid w:val="00DD5EBB"/>
    <w:rsid w:val="00DD5ECA"/>
    <w:rsid w:val="00DD5F05"/>
    <w:rsid w:val="00DD5F18"/>
    <w:rsid w:val="00DD5F35"/>
    <w:rsid w:val="00DD5F86"/>
    <w:rsid w:val="00DD5F9A"/>
    <w:rsid w:val="00DD600A"/>
    <w:rsid w:val="00DD603C"/>
    <w:rsid w:val="00DD60CA"/>
    <w:rsid w:val="00DD60D8"/>
    <w:rsid w:val="00DD6107"/>
    <w:rsid w:val="00DD611C"/>
    <w:rsid w:val="00DD61B0"/>
    <w:rsid w:val="00DD61CE"/>
    <w:rsid w:val="00DD623A"/>
    <w:rsid w:val="00DD6301"/>
    <w:rsid w:val="00DD63C5"/>
    <w:rsid w:val="00DD6464"/>
    <w:rsid w:val="00DD64CC"/>
    <w:rsid w:val="00DD64D6"/>
    <w:rsid w:val="00DD6524"/>
    <w:rsid w:val="00DD65A9"/>
    <w:rsid w:val="00DD65AB"/>
    <w:rsid w:val="00DD667E"/>
    <w:rsid w:val="00DD669B"/>
    <w:rsid w:val="00DD66CD"/>
    <w:rsid w:val="00DD66D0"/>
    <w:rsid w:val="00DD6799"/>
    <w:rsid w:val="00DD6802"/>
    <w:rsid w:val="00DD685B"/>
    <w:rsid w:val="00DD6883"/>
    <w:rsid w:val="00DD68A3"/>
    <w:rsid w:val="00DD68CC"/>
    <w:rsid w:val="00DD68FA"/>
    <w:rsid w:val="00DD6903"/>
    <w:rsid w:val="00DD691C"/>
    <w:rsid w:val="00DD69F1"/>
    <w:rsid w:val="00DD6A01"/>
    <w:rsid w:val="00DD6A26"/>
    <w:rsid w:val="00DD6B49"/>
    <w:rsid w:val="00DD6C35"/>
    <w:rsid w:val="00DD6C38"/>
    <w:rsid w:val="00DD6D2A"/>
    <w:rsid w:val="00DD6DD1"/>
    <w:rsid w:val="00DD6DD7"/>
    <w:rsid w:val="00DD6E23"/>
    <w:rsid w:val="00DD6E4B"/>
    <w:rsid w:val="00DD6E61"/>
    <w:rsid w:val="00DD6E9E"/>
    <w:rsid w:val="00DD6F98"/>
    <w:rsid w:val="00DD6FAA"/>
    <w:rsid w:val="00DD6FF5"/>
    <w:rsid w:val="00DD6FF6"/>
    <w:rsid w:val="00DD7007"/>
    <w:rsid w:val="00DD7028"/>
    <w:rsid w:val="00DD7040"/>
    <w:rsid w:val="00DD7046"/>
    <w:rsid w:val="00DD7065"/>
    <w:rsid w:val="00DD70C2"/>
    <w:rsid w:val="00DD70D8"/>
    <w:rsid w:val="00DD712E"/>
    <w:rsid w:val="00DD7195"/>
    <w:rsid w:val="00DD719F"/>
    <w:rsid w:val="00DD71EA"/>
    <w:rsid w:val="00DD71EE"/>
    <w:rsid w:val="00DD7220"/>
    <w:rsid w:val="00DD7259"/>
    <w:rsid w:val="00DD7286"/>
    <w:rsid w:val="00DD72DF"/>
    <w:rsid w:val="00DD7308"/>
    <w:rsid w:val="00DD7383"/>
    <w:rsid w:val="00DD739A"/>
    <w:rsid w:val="00DD73CA"/>
    <w:rsid w:val="00DD73DD"/>
    <w:rsid w:val="00DD73E3"/>
    <w:rsid w:val="00DD7425"/>
    <w:rsid w:val="00DD7455"/>
    <w:rsid w:val="00DD7485"/>
    <w:rsid w:val="00DD752F"/>
    <w:rsid w:val="00DD7565"/>
    <w:rsid w:val="00DD75D3"/>
    <w:rsid w:val="00DD7632"/>
    <w:rsid w:val="00DD766F"/>
    <w:rsid w:val="00DD768A"/>
    <w:rsid w:val="00DD7742"/>
    <w:rsid w:val="00DD7778"/>
    <w:rsid w:val="00DD77A2"/>
    <w:rsid w:val="00DD77C2"/>
    <w:rsid w:val="00DD7810"/>
    <w:rsid w:val="00DD781E"/>
    <w:rsid w:val="00DD7862"/>
    <w:rsid w:val="00DD7910"/>
    <w:rsid w:val="00DD7998"/>
    <w:rsid w:val="00DD79B1"/>
    <w:rsid w:val="00DD79CC"/>
    <w:rsid w:val="00DD79DB"/>
    <w:rsid w:val="00DD7A34"/>
    <w:rsid w:val="00DD7B04"/>
    <w:rsid w:val="00DD7B58"/>
    <w:rsid w:val="00DD7C28"/>
    <w:rsid w:val="00DD7C2E"/>
    <w:rsid w:val="00DD7D44"/>
    <w:rsid w:val="00DD7D7B"/>
    <w:rsid w:val="00DD7D8C"/>
    <w:rsid w:val="00DD7DE2"/>
    <w:rsid w:val="00DD7E36"/>
    <w:rsid w:val="00DD7E73"/>
    <w:rsid w:val="00DD7E95"/>
    <w:rsid w:val="00DD7EE0"/>
    <w:rsid w:val="00DD7F03"/>
    <w:rsid w:val="00DD7FFB"/>
    <w:rsid w:val="00DE0006"/>
    <w:rsid w:val="00DE00F1"/>
    <w:rsid w:val="00DE016E"/>
    <w:rsid w:val="00DE01CF"/>
    <w:rsid w:val="00DE0285"/>
    <w:rsid w:val="00DE029B"/>
    <w:rsid w:val="00DE02A2"/>
    <w:rsid w:val="00DE02D9"/>
    <w:rsid w:val="00DE02E9"/>
    <w:rsid w:val="00DE02EC"/>
    <w:rsid w:val="00DE03D6"/>
    <w:rsid w:val="00DE04CD"/>
    <w:rsid w:val="00DE053A"/>
    <w:rsid w:val="00DE056B"/>
    <w:rsid w:val="00DE0641"/>
    <w:rsid w:val="00DE06D8"/>
    <w:rsid w:val="00DE0703"/>
    <w:rsid w:val="00DE0782"/>
    <w:rsid w:val="00DE07A8"/>
    <w:rsid w:val="00DE082D"/>
    <w:rsid w:val="00DE084F"/>
    <w:rsid w:val="00DE085B"/>
    <w:rsid w:val="00DE0928"/>
    <w:rsid w:val="00DE0939"/>
    <w:rsid w:val="00DE09E5"/>
    <w:rsid w:val="00DE0A57"/>
    <w:rsid w:val="00DE0A71"/>
    <w:rsid w:val="00DE0AD0"/>
    <w:rsid w:val="00DE0B11"/>
    <w:rsid w:val="00DE0B17"/>
    <w:rsid w:val="00DE0BCC"/>
    <w:rsid w:val="00DE0C7F"/>
    <w:rsid w:val="00DE0C8B"/>
    <w:rsid w:val="00DE0C8E"/>
    <w:rsid w:val="00DE0D0A"/>
    <w:rsid w:val="00DE0D20"/>
    <w:rsid w:val="00DE0D78"/>
    <w:rsid w:val="00DE0DB5"/>
    <w:rsid w:val="00DE0E23"/>
    <w:rsid w:val="00DE0F25"/>
    <w:rsid w:val="00DE0FB7"/>
    <w:rsid w:val="00DE0FFE"/>
    <w:rsid w:val="00DE102B"/>
    <w:rsid w:val="00DE1099"/>
    <w:rsid w:val="00DE110D"/>
    <w:rsid w:val="00DE1177"/>
    <w:rsid w:val="00DE117C"/>
    <w:rsid w:val="00DE11AA"/>
    <w:rsid w:val="00DE12F7"/>
    <w:rsid w:val="00DE1327"/>
    <w:rsid w:val="00DE1399"/>
    <w:rsid w:val="00DE13CE"/>
    <w:rsid w:val="00DE13D7"/>
    <w:rsid w:val="00DE144B"/>
    <w:rsid w:val="00DE1463"/>
    <w:rsid w:val="00DE14CC"/>
    <w:rsid w:val="00DE154B"/>
    <w:rsid w:val="00DE155C"/>
    <w:rsid w:val="00DE15C1"/>
    <w:rsid w:val="00DE15C3"/>
    <w:rsid w:val="00DE1612"/>
    <w:rsid w:val="00DE1650"/>
    <w:rsid w:val="00DE16A3"/>
    <w:rsid w:val="00DE17D1"/>
    <w:rsid w:val="00DE181F"/>
    <w:rsid w:val="00DE1861"/>
    <w:rsid w:val="00DE18BF"/>
    <w:rsid w:val="00DE1955"/>
    <w:rsid w:val="00DE19E4"/>
    <w:rsid w:val="00DE19EE"/>
    <w:rsid w:val="00DE19FF"/>
    <w:rsid w:val="00DE1B2A"/>
    <w:rsid w:val="00DE1B78"/>
    <w:rsid w:val="00DE1B7F"/>
    <w:rsid w:val="00DE1B89"/>
    <w:rsid w:val="00DE1BD1"/>
    <w:rsid w:val="00DE1C1F"/>
    <w:rsid w:val="00DE1C6F"/>
    <w:rsid w:val="00DE1C78"/>
    <w:rsid w:val="00DE1DA3"/>
    <w:rsid w:val="00DE1DC6"/>
    <w:rsid w:val="00DE1E6F"/>
    <w:rsid w:val="00DE1EA6"/>
    <w:rsid w:val="00DE1F09"/>
    <w:rsid w:val="00DE201D"/>
    <w:rsid w:val="00DE2044"/>
    <w:rsid w:val="00DE2060"/>
    <w:rsid w:val="00DE20E6"/>
    <w:rsid w:val="00DE2265"/>
    <w:rsid w:val="00DE22D5"/>
    <w:rsid w:val="00DE2390"/>
    <w:rsid w:val="00DE239A"/>
    <w:rsid w:val="00DE2466"/>
    <w:rsid w:val="00DE24B1"/>
    <w:rsid w:val="00DE24D0"/>
    <w:rsid w:val="00DE253B"/>
    <w:rsid w:val="00DE2542"/>
    <w:rsid w:val="00DE25B1"/>
    <w:rsid w:val="00DE25BB"/>
    <w:rsid w:val="00DE26AB"/>
    <w:rsid w:val="00DE2712"/>
    <w:rsid w:val="00DE275B"/>
    <w:rsid w:val="00DE2765"/>
    <w:rsid w:val="00DE27B7"/>
    <w:rsid w:val="00DE287E"/>
    <w:rsid w:val="00DE28EA"/>
    <w:rsid w:val="00DE28EE"/>
    <w:rsid w:val="00DE2972"/>
    <w:rsid w:val="00DE2A2D"/>
    <w:rsid w:val="00DE2A55"/>
    <w:rsid w:val="00DE2A6F"/>
    <w:rsid w:val="00DE2AAE"/>
    <w:rsid w:val="00DE2AB5"/>
    <w:rsid w:val="00DE2ACF"/>
    <w:rsid w:val="00DE2B1A"/>
    <w:rsid w:val="00DE2B2A"/>
    <w:rsid w:val="00DE2C55"/>
    <w:rsid w:val="00DE2CB1"/>
    <w:rsid w:val="00DE2CE1"/>
    <w:rsid w:val="00DE2D31"/>
    <w:rsid w:val="00DE2DA0"/>
    <w:rsid w:val="00DE2DAA"/>
    <w:rsid w:val="00DE2DD5"/>
    <w:rsid w:val="00DE2DDC"/>
    <w:rsid w:val="00DE2DE9"/>
    <w:rsid w:val="00DE2E24"/>
    <w:rsid w:val="00DE2E2E"/>
    <w:rsid w:val="00DE2E7F"/>
    <w:rsid w:val="00DE2F7B"/>
    <w:rsid w:val="00DE2F87"/>
    <w:rsid w:val="00DE2FAA"/>
    <w:rsid w:val="00DE3016"/>
    <w:rsid w:val="00DE30A7"/>
    <w:rsid w:val="00DE31D2"/>
    <w:rsid w:val="00DE321F"/>
    <w:rsid w:val="00DE323D"/>
    <w:rsid w:val="00DE3474"/>
    <w:rsid w:val="00DE3489"/>
    <w:rsid w:val="00DE3505"/>
    <w:rsid w:val="00DE35FA"/>
    <w:rsid w:val="00DE3761"/>
    <w:rsid w:val="00DE3784"/>
    <w:rsid w:val="00DE3846"/>
    <w:rsid w:val="00DE38C8"/>
    <w:rsid w:val="00DE38CC"/>
    <w:rsid w:val="00DE38D5"/>
    <w:rsid w:val="00DE38FA"/>
    <w:rsid w:val="00DE3924"/>
    <w:rsid w:val="00DE396B"/>
    <w:rsid w:val="00DE39EA"/>
    <w:rsid w:val="00DE3AAB"/>
    <w:rsid w:val="00DE3BAD"/>
    <w:rsid w:val="00DE3BBB"/>
    <w:rsid w:val="00DE3C1B"/>
    <w:rsid w:val="00DE3C1D"/>
    <w:rsid w:val="00DE3C65"/>
    <w:rsid w:val="00DE3CA5"/>
    <w:rsid w:val="00DE3DD9"/>
    <w:rsid w:val="00DE3DFE"/>
    <w:rsid w:val="00DE3F1E"/>
    <w:rsid w:val="00DE4011"/>
    <w:rsid w:val="00DE407E"/>
    <w:rsid w:val="00DE41CF"/>
    <w:rsid w:val="00DE4220"/>
    <w:rsid w:val="00DE4272"/>
    <w:rsid w:val="00DE4280"/>
    <w:rsid w:val="00DE42C2"/>
    <w:rsid w:val="00DE43CB"/>
    <w:rsid w:val="00DE4444"/>
    <w:rsid w:val="00DE444A"/>
    <w:rsid w:val="00DE444F"/>
    <w:rsid w:val="00DE4451"/>
    <w:rsid w:val="00DE44AC"/>
    <w:rsid w:val="00DE44F8"/>
    <w:rsid w:val="00DE4555"/>
    <w:rsid w:val="00DE4559"/>
    <w:rsid w:val="00DE45A8"/>
    <w:rsid w:val="00DE45DF"/>
    <w:rsid w:val="00DE46EC"/>
    <w:rsid w:val="00DE486A"/>
    <w:rsid w:val="00DE48DE"/>
    <w:rsid w:val="00DE49F2"/>
    <w:rsid w:val="00DE4A05"/>
    <w:rsid w:val="00DE4A09"/>
    <w:rsid w:val="00DE4A39"/>
    <w:rsid w:val="00DE4AB1"/>
    <w:rsid w:val="00DE4AB4"/>
    <w:rsid w:val="00DE4B09"/>
    <w:rsid w:val="00DE4B1E"/>
    <w:rsid w:val="00DE4B79"/>
    <w:rsid w:val="00DE4BF0"/>
    <w:rsid w:val="00DE4C0C"/>
    <w:rsid w:val="00DE4C88"/>
    <w:rsid w:val="00DE4CAD"/>
    <w:rsid w:val="00DE4CC8"/>
    <w:rsid w:val="00DE4CEF"/>
    <w:rsid w:val="00DE4CFD"/>
    <w:rsid w:val="00DE4D01"/>
    <w:rsid w:val="00DE4D8D"/>
    <w:rsid w:val="00DE4DF6"/>
    <w:rsid w:val="00DE4DFD"/>
    <w:rsid w:val="00DE4E04"/>
    <w:rsid w:val="00DE4E8A"/>
    <w:rsid w:val="00DE4E99"/>
    <w:rsid w:val="00DE4F14"/>
    <w:rsid w:val="00DE4F8B"/>
    <w:rsid w:val="00DE4F9F"/>
    <w:rsid w:val="00DE50C9"/>
    <w:rsid w:val="00DE5141"/>
    <w:rsid w:val="00DE5165"/>
    <w:rsid w:val="00DE5217"/>
    <w:rsid w:val="00DE5227"/>
    <w:rsid w:val="00DE5230"/>
    <w:rsid w:val="00DE524B"/>
    <w:rsid w:val="00DE5266"/>
    <w:rsid w:val="00DE52CD"/>
    <w:rsid w:val="00DE52F0"/>
    <w:rsid w:val="00DE5387"/>
    <w:rsid w:val="00DE540E"/>
    <w:rsid w:val="00DE5420"/>
    <w:rsid w:val="00DE5432"/>
    <w:rsid w:val="00DE544F"/>
    <w:rsid w:val="00DE545E"/>
    <w:rsid w:val="00DE5473"/>
    <w:rsid w:val="00DE54ED"/>
    <w:rsid w:val="00DE5551"/>
    <w:rsid w:val="00DE5588"/>
    <w:rsid w:val="00DE55CF"/>
    <w:rsid w:val="00DE55D5"/>
    <w:rsid w:val="00DE55FA"/>
    <w:rsid w:val="00DE5602"/>
    <w:rsid w:val="00DE562D"/>
    <w:rsid w:val="00DE566D"/>
    <w:rsid w:val="00DE5697"/>
    <w:rsid w:val="00DE56B7"/>
    <w:rsid w:val="00DE5786"/>
    <w:rsid w:val="00DE57BA"/>
    <w:rsid w:val="00DE57CA"/>
    <w:rsid w:val="00DE57E3"/>
    <w:rsid w:val="00DE5858"/>
    <w:rsid w:val="00DE5882"/>
    <w:rsid w:val="00DE5910"/>
    <w:rsid w:val="00DE591B"/>
    <w:rsid w:val="00DE5943"/>
    <w:rsid w:val="00DE597B"/>
    <w:rsid w:val="00DE59B7"/>
    <w:rsid w:val="00DE59FF"/>
    <w:rsid w:val="00DE5A3A"/>
    <w:rsid w:val="00DE5A9A"/>
    <w:rsid w:val="00DE5AE6"/>
    <w:rsid w:val="00DE5BC7"/>
    <w:rsid w:val="00DE5C8F"/>
    <w:rsid w:val="00DE5D2E"/>
    <w:rsid w:val="00DE5D72"/>
    <w:rsid w:val="00DE5D89"/>
    <w:rsid w:val="00DE5DA2"/>
    <w:rsid w:val="00DE5DB2"/>
    <w:rsid w:val="00DE5DC0"/>
    <w:rsid w:val="00DE5F51"/>
    <w:rsid w:val="00DE5FB9"/>
    <w:rsid w:val="00DE6070"/>
    <w:rsid w:val="00DE6088"/>
    <w:rsid w:val="00DE60BA"/>
    <w:rsid w:val="00DE60D4"/>
    <w:rsid w:val="00DE60FD"/>
    <w:rsid w:val="00DE6138"/>
    <w:rsid w:val="00DE613C"/>
    <w:rsid w:val="00DE616B"/>
    <w:rsid w:val="00DE61E6"/>
    <w:rsid w:val="00DE6234"/>
    <w:rsid w:val="00DE623B"/>
    <w:rsid w:val="00DE6248"/>
    <w:rsid w:val="00DE6322"/>
    <w:rsid w:val="00DE6574"/>
    <w:rsid w:val="00DE6602"/>
    <w:rsid w:val="00DE665D"/>
    <w:rsid w:val="00DE6704"/>
    <w:rsid w:val="00DE6795"/>
    <w:rsid w:val="00DE682E"/>
    <w:rsid w:val="00DE6842"/>
    <w:rsid w:val="00DE68A5"/>
    <w:rsid w:val="00DE68A7"/>
    <w:rsid w:val="00DE6911"/>
    <w:rsid w:val="00DE691C"/>
    <w:rsid w:val="00DE6951"/>
    <w:rsid w:val="00DE69BC"/>
    <w:rsid w:val="00DE69D4"/>
    <w:rsid w:val="00DE6A6D"/>
    <w:rsid w:val="00DE6AAB"/>
    <w:rsid w:val="00DE6ABD"/>
    <w:rsid w:val="00DE6AC9"/>
    <w:rsid w:val="00DE6B02"/>
    <w:rsid w:val="00DE6B72"/>
    <w:rsid w:val="00DE6BDE"/>
    <w:rsid w:val="00DE6C31"/>
    <w:rsid w:val="00DE6C7E"/>
    <w:rsid w:val="00DE6D32"/>
    <w:rsid w:val="00DE6D3B"/>
    <w:rsid w:val="00DE6D90"/>
    <w:rsid w:val="00DE6E03"/>
    <w:rsid w:val="00DE6EA8"/>
    <w:rsid w:val="00DE6F36"/>
    <w:rsid w:val="00DE6FB5"/>
    <w:rsid w:val="00DE6FF1"/>
    <w:rsid w:val="00DE7092"/>
    <w:rsid w:val="00DE710E"/>
    <w:rsid w:val="00DE7129"/>
    <w:rsid w:val="00DE7216"/>
    <w:rsid w:val="00DE722C"/>
    <w:rsid w:val="00DE727A"/>
    <w:rsid w:val="00DE729F"/>
    <w:rsid w:val="00DE7330"/>
    <w:rsid w:val="00DE7347"/>
    <w:rsid w:val="00DE73D4"/>
    <w:rsid w:val="00DE742F"/>
    <w:rsid w:val="00DE7437"/>
    <w:rsid w:val="00DE7461"/>
    <w:rsid w:val="00DE74C9"/>
    <w:rsid w:val="00DE7511"/>
    <w:rsid w:val="00DE75B0"/>
    <w:rsid w:val="00DE7648"/>
    <w:rsid w:val="00DE7671"/>
    <w:rsid w:val="00DE7673"/>
    <w:rsid w:val="00DE76F8"/>
    <w:rsid w:val="00DE7724"/>
    <w:rsid w:val="00DE77F2"/>
    <w:rsid w:val="00DE7863"/>
    <w:rsid w:val="00DE78B5"/>
    <w:rsid w:val="00DE79A4"/>
    <w:rsid w:val="00DE79CB"/>
    <w:rsid w:val="00DE7A20"/>
    <w:rsid w:val="00DE7A89"/>
    <w:rsid w:val="00DE7AB8"/>
    <w:rsid w:val="00DE7ABA"/>
    <w:rsid w:val="00DE7AC5"/>
    <w:rsid w:val="00DE7B17"/>
    <w:rsid w:val="00DE7B69"/>
    <w:rsid w:val="00DE7B71"/>
    <w:rsid w:val="00DE7C4E"/>
    <w:rsid w:val="00DE7C66"/>
    <w:rsid w:val="00DE7C9C"/>
    <w:rsid w:val="00DE7CE0"/>
    <w:rsid w:val="00DE7D0A"/>
    <w:rsid w:val="00DE7D80"/>
    <w:rsid w:val="00DE7DA7"/>
    <w:rsid w:val="00DE7DCB"/>
    <w:rsid w:val="00DE7E48"/>
    <w:rsid w:val="00DE7E85"/>
    <w:rsid w:val="00DE7E8D"/>
    <w:rsid w:val="00DE7EC8"/>
    <w:rsid w:val="00DE7ECC"/>
    <w:rsid w:val="00DE7ED1"/>
    <w:rsid w:val="00DE7F2C"/>
    <w:rsid w:val="00DE7F3C"/>
    <w:rsid w:val="00DE7F55"/>
    <w:rsid w:val="00DE7F9E"/>
    <w:rsid w:val="00DE7FD4"/>
    <w:rsid w:val="00DF0005"/>
    <w:rsid w:val="00DF000D"/>
    <w:rsid w:val="00DF001F"/>
    <w:rsid w:val="00DF01A2"/>
    <w:rsid w:val="00DF01AB"/>
    <w:rsid w:val="00DF0259"/>
    <w:rsid w:val="00DF02C5"/>
    <w:rsid w:val="00DF02D5"/>
    <w:rsid w:val="00DF02DE"/>
    <w:rsid w:val="00DF0334"/>
    <w:rsid w:val="00DF042D"/>
    <w:rsid w:val="00DF048C"/>
    <w:rsid w:val="00DF0492"/>
    <w:rsid w:val="00DF0537"/>
    <w:rsid w:val="00DF055B"/>
    <w:rsid w:val="00DF05C1"/>
    <w:rsid w:val="00DF065C"/>
    <w:rsid w:val="00DF0696"/>
    <w:rsid w:val="00DF0719"/>
    <w:rsid w:val="00DF0776"/>
    <w:rsid w:val="00DF07B9"/>
    <w:rsid w:val="00DF07E3"/>
    <w:rsid w:val="00DF07ED"/>
    <w:rsid w:val="00DF0879"/>
    <w:rsid w:val="00DF0884"/>
    <w:rsid w:val="00DF0923"/>
    <w:rsid w:val="00DF0933"/>
    <w:rsid w:val="00DF094B"/>
    <w:rsid w:val="00DF097F"/>
    <w:rsid w:val="00DF09FF"/>
    <w:rsid w:val="00DF0A16"/>
    <w:rsid w:val="00DF0A4A"/>
    <w:rsid w:val="00DF0A59"/>
    <w:rsid w:val="00DF0AB3"/>
    <w:rsid w:val="00DF0B25"/>
    <w:rsid w:val="00DF0B37"/>
    <w:rsid w:val="00DF0BA3"/>
    <w:rsid w:val="00DF0C07"/>
    <w:rsid w:val="00DF0C8B"/>
    <w:rsid w:val="00DF0D9C"/>
    <w:rsid w:val="00DF0E14"/>
    <w:rsid w:val="00DF0E70"/>
    <w:rsid w:val="00DF0ECF"/>
    <w:rsid w:val="00DF0F0E"/>
    <w:rsid w:val="00DF0F43"/>
    <w:rsid w:val="00DF0FA7"/>
    <w:rsid w:val="00DF1007"/>
    <w:rsid w:val="00DF111E"/>
    <w:rsid w:val="00DF11E4"/>
    <w:rsid w:val="00DF11E6"/>
    <w:rsid w:val="00DF1220"/>
    <w:rsid w:val="00DF1245"/>
    <w:rsid w:val="00DF1286"/>
    <w:rsid w:val="00DF133E"/>
    <w:rsid w:val="00DF13AB"/>
    <w:rsid w:val="00DF13BF"/>
    <w:rsid w:val="00DF13E9"/>
    <w:rsid w:val="00DF1470"/>
    <w:rsid w:val="00DF1476"/>
    <w:rsid w:val="00DF1479"/>
    <w:rsid w:val="00DF1494"/>
    <w:rsid w:val="00DF14A2"/>
    <w:rsid w:val="00DF14AD"/>
    <w:rsid w:val="00DF14FD"/>
    <w:rsid w:val="00DF152E"/>
    <w:rsid w:val="00DF1668"/>
    <w:rsid w:val="00DF1686"/>
    <w:rsid w:val="00DF1687"/>
    <w:rsid w:val="00DF16B7"/>
    <w:rsid w:val="00DF16D0"/>
    <w:rsid w:val="00DF16D2"/>
    <w:rsid w:val="00DF16ED"/>
    <w:rsid w:val="00DF1747"/>
    <w:rsid w:val="00DF1752"/>
    <w:rsid w:val="00DF176C"/>
    <w:rsid w:val="00DF17C5"/>
    <w:rsid w:val="00DF17EF"/>
    <w:rsid w:val="00DF17F0"/>
    <w:rsid w:val="00DF181C"/>
    <w:rsid w:val="00DF1854"/>
    <w:rsid w:val="00DF185B"/>
    <w:rsid w:val="00DF191B"/>
    <w:rsid w:val="00DF195A"/>
    <w:rsid w:val="00DF19B4"/>
    <w:rsid w:val="00DF19D5"/>
    <w:rsid w:val="00DF19DF"/>
    <w:rsid w:val="00DF19E3"/>
    <w:rsid w:val="00DF1A74"/>
    <w:rsid w:val="00DF1B92"/>
    <w:rsid w:val="00DF1BDF"/>
    <w:rsid w:val="00DF1C00"/>
    <w:rsid w:val="00DF1C04"/>
    <w:rsid w:val="00DF1C31"/>
    <w:rsid w:val="00DF1C82"/>
    <w:rsid w:val="00DF1CF6"/>
    <w:rsid w:val="00DF1D13"/>
    <w:rsid w:val="00DF1D26"/>
    <w:rsid w:val="00DF1D32"/>
    <w:rsid w:val="00DF1D4D"/>
    <w:rsid w:val="00DF1D63"/>
    <w:rsid w:val="00DF1DAF"/>
    <w:rsid w:val="00DF1DBE"/>
    <w:rsid w:val="00DF1DEB"/>
    <w:rsid w:val="00DF1E83"/>
    <w:rsid w:val="00DF1E8F"/>
    <w:rsid w:val="00DF1ED6"/>
    <w:rsid w:val="00DF200F"/>
    <w:rsid w:val="00DF2065"/>
    <w:rsid w:val="00DF20AA"/>
    <w:rsid w:val="00DF2189"/>
    <w:rsid w:val="00DF21B2"/>
    <w:rsid w:val="00DF21D1"/>
    <w:rsid w:val="00DF23AA"/>
    <w:rsid w:val="00DF2424"/>
    <w:rsid w:val="00DF2426"/>
    <w:rsid w:val="00DF24CE"/>
    <w:rsid w:val="00DF2521"/>
    <w:rsid w:val="00DF2525"/>
    <w:rsid w:val="00DF252F"/>
    <w:rsid w:val="00DF25AC"/>
    <w:rsid w:val="00DF25B0"/>
    <w:rsid w:val="00DF2661"/>
    <w:rsid w:val="00DF267F"/>
    <w:rsid w:val="00DF2687"/>
    <w:rsid w:val="00DF272F"/>
    <w:rsid w:val="00DF2852"/>
    <w:rsid w:val="00DF2866"/>
    <w:rsid w:val="00DF287C"/>
    <w:rsid w:val="00DF289B"/>
    <w:rsid w:val="00DF28BA"/>
    <w:rsid w:val="00DF2A01"/>
    <w:rsid w:val="00DF2A6A"/>
    <w:rsid w:val="00DF2B06"/>
    <w:rsid w:val="00DF2BA1"/>
    <w:rsid w:val="00DF2BB4"/>
    <w:rsid w:val="00DF2C4C"/>
    <w:rsid w:val="00DF2CC8"/>
    <w:rsid w:val="00DF2E0C"/>
    <w:rsid w:val="00DF2E9C"/>
    <w:rsid w:val="00DF2EA7"/>
    <w:rsid w:val="00DF2F47"/>
    <w:rsid w:val="00DF2F88"/>
    <w:rsid w:val="00DF2FA9"/>
    <w:rsid w:val="00DF2FF3"/>
    <w:rsid w:val="00DF3001"/>
    <w:rsid w:val="00DF3008"/>
    <w:rsid w:val="00DF3148"/>
    <w:rsid w:val="00DF3188"/>
    <w:rsid w:val="00DF3190"/>
    <w:rsid w:val="00DF32E5"/>
    <w:rsid w:val="00DF3327"/>
    <w:rsid w:val="00DF3376"/>
    <w:rsid w:val="00DF33C1"/>
    <w:rsid w:val="00DF3464"/>
    <w:rsid w:val="00DF352A"/>
    <w:rsid w:val="00DF3555"/>
    <w:rsid w:val="00DF359B"/>
    <w:rsid w:val="00DF3649"/>
    <w:rsid w:val="00DF3670"/>
    <w:rsid w:val="00DF36DB"/>
    <w:rsid w:val="00DF36F3"/>
    <w:rsid w:val="00DF36F4"/>
    <w:rsid w:val="00DF3714"/>
    <w:rsid w:val="00DF372D"/>
    <w:rsid w:val="00DF375A"/>
    <w:rsid w:val="00DF37B8"/>
    <w:rsid w:val="00DF37CB"/>
    <w:rsid w:val="00DF385D"/>
    <w:rsid w:val="00DF3885"/>
    <w:rsid w:val="00DF389E"/>
    <w:rsid w:val="00DF38A4"/>
    <w:rsid w:val="00DF3A03"/>
    <w:rsid w:val="00DF3A48"/>
    <w:rsid w:val="00DF3A62"/>
    <w:rsid w:val="00DF3AAA"/>
    <w:rsid w:val="00DF3ADB"/>
    <w:rsid w:val="00DF3AEE"/>
    <w:rsid w:val="00DF3B12"/>
    <w:rsid w:val="00DF3B39"/>
    <w:rsid w:val="00DF3B4D"/>
    <w:rsid w:val="00DF3B7E"/>
    <w:rsid w:val="00DF3BA7"/>
    <w:rsid w:val="00DF3BD1"/>
    <w:rsid w:val="00DF3C45"/>
    <w:rsid w:val="00DF3C9F"/>
    <w:rsid w:val="00DF3D9E"/>
    <w:rsid w:val="00DF3DD2"/>
    <w:rsid w:val="00DF3E02"/>
    <w:rsid w:val="00DF3E5C"/>
    <w:rsid w:val="00DF3EDF"/>
    <w:rsid w:val="00DF3F07"/>
    <w:rsid w:val="00DF3FAF"/>
    <w:rsid w:val="00DF3FCB"/>
    <w:rsid w:val="00DF3FFB"/>
    <w:rsid w:val="00DF401A"/>
    <w:rsid w:val="00DF402B"/>
    <w:rsid w:val="00DF40E0"/>
    <w:rsid w:val="00DF40E6"/>
    <w:rsid w:val="00DF4106"/>
    <w:rsid w:val="00DF413F"/>
    <w:rsid w:val="00DF4184"/>
    <w:rsid w:val="00DF41FC"/>
    <w:rsid w:val="00DF41FD"/>
    <w:rsid w:val="00DF4268"/>
    <w:rsid w:val="00DF42AE"/>
    <w:rsid w:val="00DF4304"/>
    <w:rsid w:val="00DF4318"/>
    <w:rsid w:val="00DF4348"/>
    <w:rsid w:val="00DF4355"/>
    <w:rsid w:val="00DF439D"/>
    <w:rsid w:val="00DF43DD"/>
    <w:rsid w:val="00DF4474"/>
    <w:rsid w:val="00DF44DE"/>
    <w:rsid w:val="00DF453B"/>
    <w:rsid w:val="00DF4599"/>
    <w:rsid w:val="00DF459D"/>
    <w:rsid w:val="00DF45DA"/>
    <w:rsid w:val="00DF45F4"/>
    <w:rsid w:val="00DF4662"/>
    <w:rsid w:val="00DF46DE"/>
    <w:rsid w:val="00DF46FD"/>
    <w:rsid w:val="00DF4722"/>
    <w:rsid w:val="00DF4766"/>
    <w:rsid w:val="00DF476B"/>
    <w:rsid w:val="00DF477B"/>
    <w:rsid w:val="00DF479C"/>
    <w:rsid w:val="00DF479F"/>
    <w:rsid w:val="00DF47A7"/>
    <w:rsid w:val="00DF47BC"/>
    <w:rsid w:val="00DF48D4"/>
    <w:rsid w:val="00DF4968"/>
    <w:rsid w:val="00DF499C"/>
    <w:rsid w:val="00DF49F2"/>
    <w:rsid w:val="00DF49FA"/>
    <w:rsid w:val="00DF4A2F"/>
    <w:rsid w:val="00DF4A4B"/>
    <w:rsid w:val="00DF4A6A"/>
    <w:rsid w:val="00DF4AF4"/>
    <w:rsid w:val="00DF4B51"/>
    <w:rsid w:val="00DF4B6E"/>
    <w:rsid w:val="00DF4C00"/>
    <w:rsid w:val="00DF4C5A"/>
    <w:rsid w:val="00DF4C90"/>
    <w:rsid w:val="00DF4CB2"/>
    <w:rsid w:val="00DF4CBE"/>
    <w:rsid w:val="00DF4CFE"/>
    <w:rsid w:val="00DF4D13"/>
    <w:rsid w:val="00DF4D40"/>
    <w:rsid w:val="00DF4D5F"/>
    <w:rsid w:val="00DF4DAF"/>
    <w:rsid w:val="00DF4DC5"/>
    <w:rsid w:val="00DF4DFF"/>
    <w:rsid w:val="00DF4E52"/>
    <w:rsid w:val="00DF4F0C"/>
    <w:rsid w:val="00DF4F2C"/>
    <w:rsid w:val="00DF503F"/>
    <w:rsid w:val="00DF5064"/>
    <w:rsid w:val="00DF5069"/>
    <w:rsid w:val="00DF506F"/>
    <w:rsid w:val="00DF509E"/>
    <w:rsid w:val="00DF50AE"/>
    <w:rsid w:val="00DF5177"/>
    <w:rsid w:val="00DF51A7"/>
    <w:rsid w:val="00DF51F4"/>
    <w:rsid w:val="00DF5209"/>
    <w:rsid w:val="00DF5225"/>
    <w:rsid w:val="00DF5367"/>
    <w:rsid w:val="00DF5373"/>
    <w:rsid w:val="00DF53FB"/>
    <w:rsid w:val="00DF5451"/>
    <w:rsid w:val="00DF5551"/>
    <w:rsid w:val="00DF5556"/>
    <w:rsid w:val="00DF55FF"/>
    <w:rsid w:val="00DF562F"/>
    <w:rsid w:val="00DF5664"/>
    <w:rsid w:val="00DF5704"/>
    <w:rsid w:val="00DF58EE"/>
    <w:rsid w:val="00DF5967"/>
    <w:rsid w:val="00DF5A0F"/>
    <w:rsid w:val="00DF5A6D"/>
    <w:rsid w:val="00DF5A79"/>
    <w:rsid w:val="00DF5B36"/>
    <w:rsid w:val="00DF5B8D"/>
    <w:rsid w:val="00DF5BF5"/>
    <w:rsid w:val="00DF5D09"/>
    <w:rsid w:val="00DF5E1E"/>
    <w:rsid w:val="00DF5E9E"/>
    <w:rsid w:val="00DF5ECC"/>
    <w:rsid w:val="00DF5F67"/>
    <w:rsid w:val="00DF5F78"/>
    <w:rsid w:val="00DF606F"/>
    <w:rsid w:val="00DF60F4"/>
    <w:rsid w:val="00DF60FE"/>
    <w:rsid w:val="00DF6142"/>
    <w:rsid w:val="00DF6151"/>
    <w:rsid w:val="00DF62B2"/>
    <w:rsid w:val="00DF632C"/>
    <w:rsid w:val="00DF636E"/>
    <w:rsid w:val="00DF63DC"/>
    <w:rsid w:val="00DF64A3"/>
    <w:rsid w:val="00DF64A7"/>
    <w:rsid w:val="00DF64F5"/>
    <w:rsid w:val="00DF651B"/>
    <w:rsid w:val="00DF652C"/>
    <w:rsid w:val="00DF6532"/>
    <w:rsid w:val="00DF6539"/>
    <w:rsid w:val="00DF6585"/>
    <w:rsid w:val="00DF6647"/>
    <w:rsid w:val="00DF681C"/>
    <w:rsid w:val="00DF6821"/>
    <w:rsid w:val="00DF683B"/>
    <w:rsid w:val="00DF689D"/>
    <w:rsid w:val="00DF6901"/>
    <w:rsid w:val="00DF694E"/>
    <w:rsid w:val="00DF69B8"/>
    <w:rsid w:val="00DF6B70"/>
    <w:rsid w:val="00DF6BD6"/>
    <w:rsid w:val="00DF6D69"/>
    <w:rsid w:val="00DF6D88"/>
    <w:rsid w:val="00DF6DBA"/>
    <w:rsid w:val="00DF6E46"/>
    <w:rsid w:val="00DF6EAB"/>
    <w:rsid w:val="00DF6F10"/>
    <w:rsid w:val="00DF6F47"/>
    <w:rsid w:val="00DF6F51"/>
    <w:rsid w:val="00DF6F62"/>
    <w:rsid w:val="00DF6F7D"/>
    <w:rsid w:val="00DF7094"/>
    <w:rsid w:val="00DF7095"/>
    <w:rsid w:val="00DF70D2"/>
    <w:rsid w:val="00DF70F4"/>
    <w:rsid w:val="00DF711C"/>
    <w:rsid w:val="00DF713D"/>
    <w:rsid w:val="00DF7141"/>
    <w:rsid w:val="00DF719E"/>
    <w:rsid w:val="00DF71D7"/>
    <w:rsid w:val="00DF7216"/>
    <w:rsid w:val="00DF7219"/>
    <w:rsid w:val="00DF722D"/>
    <w:rsid w:val="00DF72A1"/>
    <w:rsid w:val="00DF72B2"/>
    <w:rsid w:val="00DF73F0"/>
    <w:rsid w:val="00DF749F"/>
    <w:rsid w:val="00DF7540"/>
    <w:rsid w:val="00DF7542"/>
    <w:rsid w:val="00DF7578"/>
    <w:rsid w:val="00DF75E8"/>
    <w:rsid w:val="00DF761B"/>
    <w:rsid w:val="00DF7632"/>
    <w:rsid w:val="00DF768A"/>
    <w:rsid w:val="00DF768D"/>
    <w:rsid w:val="00DF768F"/>
    <w:rsid w:val="00DF76AB"/>
    <w:rsid w:val="00DF7763"/>
    <w:rsid w:val="00DF7783"/>
    <w:rsid w:val="00DF77E2"/>
    <w:rsid w:val="00DF77E8"/>
    <w:rsid w:val="00DF7890"/>
    <w:rsid w:val="00DF78CB"/>
    <w:rsid w:val="00DF78D7"/>
    <w:rsid w:val="00DF79C2"/>
    <w:rsid w:val="00DF7A05"/>
    <w:rsid w:val="00DF7A69"/>
    <w:rsid w:val="00DF7B11"/>
    <w:rsid w:val="00DF7B35"/>
    <w:rsid w:val="00DF7B84"/>
    <w:rsid w:val="00DF7B99"/>
    <w:rsid w:val="00DF7C2F"/>
    <w:rsid w:val="00DF7C35"/>
    <w:rsid w:val="00DF7C3F"/>
    <w:rsid w:val="00DF7D20"/>
    <w:rsid w:val="00DF7D3C"/>
    <w:rsid w:val="00DF7D9D"/>
    <w:rsid w:val="00DF7ED7"/>
    <w:rsid w:val="00DF7F2D"/>
    <w:rsid w:val="00DF7F76"/>
    <w:rsid w:val="00E0007C"/>
    <w:rsid w:val="00E0010B"/>
    <w:rsid w:val="00E00167"/>
    <w:rsid w:val="00E001CC"/>
    <w:rsid w:val="00E001F3"/>
    <w:rsid w:val="00E002AC"/>
    <w:rsid w:val="00E002AF"/>
    <w:rsid w:val="00E00354"/>
    <w:rsid w:val="00E00381"/>
    <w:rsid w:val="00E003A2"/>
    <w:rsid w:val="00E003D5"/>
    <w:rsid w:val="00E00480"/>
    <w:rsid w:val="00E0049B"/>
    <w:rsid w:val="00E004B0"/>
    <w:rsid w:val="00E004D6"/>
    <w:rsid w:val="00E0050C"/>
    <w:rsid w:val="00E0054C"/>
    <w:rsid w:val="00E005AF"/>
    <w:rsid w:val="00E00622"/>
    <w:rsid w:val="00E0064F"/>
    <w:rsid w:val="00E0065C"/>
    <w:rsid w:val="00E0067F"/>
    <w:rsid w:val="00E0077A"/>
    <w:rsid w:val="00E00783"/>
    <w:rsid w:val="00E00796"/>
    <w:rsid w:val="00E0081A"/>
    <w:rsid w:val="00E0082B"/>
    <w:rsid w:val="00E00854"/>
    <w:rsid w:val="00E00876"/>
    <w:rsid w:val="00E0089E"/>
    <w:rsid w:val="00E00A87"/>
    <w:rsid w:val="00E00BCD"/>
    <w:rsid w:val="00E00C8C"/>
    <w:rsid w:val="00E00C9B"/>
    <w:rsid w:val="00E00CED"/>
    <w:rsid w:val="00E00CFE"/>
    <w:rsid w:val="00E00D0A"/>
    <w:rsid w:val="00E00D4C"/>
    <w:rsid w:val="00E00D82"/>
    <w:rsid w:val="00E00D8C"/>
    <w:rsid w:val="00E00E27"/>
    <w:rsid w:val="00E00E2C"/>
    <w:rsid w:val="00E00E3D"/>
    <w:rsid w:val="00E00E51"/>
    <w:rsid w:val="00E00E53"/>
    <w:rsid w:val="00E00E73"/>
    <w:rsid w:val="00E00EAF"/>
    <w:rsid w:val="00E00ED6"/>
    <w:rsid w:val="00E00EEC"/>
    <w:rsid w:val="00E00F34"/>
    <w:rsid w:val="00E00F38"/>
    <w:rsid w:val="00E00F66"/>
    <w:rsid w:val="00E00FA2"/>
    <w:rsid w:val="00E00FF8"/>
    <w:rsid w:val="00E0108E"/>
    <w:rsid w:val="00E010C7"/>
    <w:rsid w:val="00E011F7"/>
    <w:rsid w:val="00E0124F"/>
    <w:rsid w:val="00E01284"/>
    <w:rsid w:val="00E01410"/>
    <w:rsid w:val="00E0149B"/>
    <w:rsid w:val="00E0155A"/>
    <w:rsid w:val="00E01676"/>
    <w:rsid w:val="00E016B8"/>
    <w:rsid w:val="00E01744"/>
    <w:rsid w:val="00E01759"/>
    <w:rsid w:val="00E017B2"/>
    <w:rsid w:val="00E018BA"/>
    <w:rsid w:val="00E018D3"/>
    <w:rsid w:val="00E018DC"/>
    <w:rsid w:val="00E01975"/>
    <w:rsid w:val="00E01A59"/>
    <w:rsid w:val="00E01A68"/>
    <w:rsid w:val="00E01AC1"/>
    <w:rsid w:val="00E01AC7"/>
    <w:rsid w:val="00E01B3A"/>
    <w:rsid w:val="00E01B65"/>
    <w:rsid w:val="00E01BAA"/>
    <w:rsid w:val="00E01BED"/>
    <w:rsid w:val="00E01C64"/>
    <w:rsid w:val="00E01CEA"/>
    <w:rsid w:val="00E01D34"/>
    <w:rsid w:val="00E01D67"/>
    <w:rsid w:val="00E01DF0"/>
    <w:rsid w:val="00E01DFE"/>
    <w:rsid w:val="00E01E29"/>
    <w:rsid w:val="00E01E73"/>
    <w:rsid w:val="00E01EA3"/>
    <w:rsid w:val="00E01EEC"/>
    <w:rsid w:val="00E01FC4"/>
    <w:rsid w:val="00E02014"/>
    <w:rsid w:val="00E02033"/>
    <w:rsid w:val="00E020BB"/>
    <w:rsid w:val="00E020DB"/>
    <w:rsid w:val="00E0214D"/>
    <w:rsid w:val="00E021E2"/>
    <w:rsid w:val="00E02291"/>
    <w:rsid w:val="00E022BB"/>
    <w:rsid w:val="00E022DA"/>
    <w:rsid w:val="00E022E3"/>
    <w:rsid w:val="00E022EE"/>
    <w:rsid w:val="00E02363"/>
    <w:rsid w:val="00E02433"/>
    <w:rsid w:val="00E0244E"/>
    <w:rsid w:val="00E024CD"/>
    <w:rsid w:val="00E024E2"/>
    <w:rsid w:val="00E024E7"/>
    <w:rsid w:val="00E0250B"/>
    <w:rsid w:val="00E0250E"/>
    <w:rsid w:val="00E02532"/>
    <w:rsid w:val="00E0253A"/>
    <w:rsid w:val="00E02565"/>
    <w:rsid w:val="00E025B1"/>
    <w:rsid w:val="00E025D4"/>
    <w:rsid w:val="00E02653"/>
    <w:rsid w:val="00E026B7"/>
    <w:rsid w:val="00E0274A"/>
    <w:rsid w:val="00E0274D"/>
    <w:rsid w:val="00E0275D"/>
    <w:rsid w:val="00E027A2"/>
    <w:rsid w:val="00E027ED"/>
    <w:rsid w:val="00E028E8"/>
    <w:rsid w:val="00E0292E"/>
    <w:rsid w:val="00E029FE"/>
    <w:rsid w:val="00E02AEC"/>
    <w:rsid w:val="00E02BE0"/>
    <w:rsid w:val="00E02CB3"/>
    <w:rsid w:val="00E02CBB"/>
    <w:rsid w:val="00E02D0C"/>
    <w:rsid w:val="00E02D54"/>
    <w:rsid w:val="00E02E40"/>
    <w:rsid w:val="00E02F34"/>
    <w:rsid w:val="00E02F4A"/>
    <w:rsid w:val="00E02F56"/>
    <w:rsid w:val="00E02F65"/>
    <w:rsid w:val="00E02F81"/>
    <w:rsid w:val="00E03105"/>
    <w:rsid w:val="00E03107"/>
    <w:rsid w:val="00E0318C"/>
    <w:rsid w:val="00E031F5"/>
    <w:rsid w:val="00E0324B"/>
    <w:rsid w:val="00E03266"/>
    <w:rsid w:val="00E03355"/>
    <w:rsid w:val="00E03388"/>
    <w:rsid w:val="00E033C7"/>
    <w:rsid w:val="00E03436"/>
    <w:rsid w:val="00E03453"/>
    <w:rsid w:val="00E03463"/>
    <w:rsid w:val="00E0353C"/>
    <w:rsid w:val="00E035B0"/>
    <w:rsid w:val="00E03617"/>
    <w:rsid w:val="00E03714"/>
    <w:rsid w:val="00E0378F"/>
    <w:rsid w:val="00E037BF"/>
    <w:rsid w:val="00E037DB"/>
    <w:rsid w:val="00E03817"/>
    <w:rsid w:val="00E038DC"/>
    <w:rsid w:val="00E03905"/>
    <w:rsid w:val="00E03B72"/>
    <w:rsid w:val="00E03BA0"/>
    <w:rsid w:val="00E03C4D"/>
    <w:rsid w:val="00E03C67"/>
    <w:rsid w:val="00E03C6F"/>
    <w:rsid w:val="00E03CAB"/>
    <w:rsid w:val="00E03CC4"/>
    <w:rsid w:val="00E03CFC"/>
    <w:rsid w:val="00E03D61"/>
    <w:rsid w:val="00E03DB2"/>
    <w:rsid w:val="00E03E38"/>
    <w:rsid w:val="00E03E6E"/>
    <w:rsid w:val="00E03EA1"/>
    <w:rsid w:val="00E03EBE"/>
    <w:rsid w:val="00E03EE9"/>
    <w:rsid w:val="00E03F0F"/>
    <w:rsid w:val="00E03F94"/>
    <w:rsid w:val="00E0407E"/>
    <w:rsid w:val="00E0413D"/>
    <w:rsid w:val="00E0419A"/>
    <w:rsid w:val="00E0420D"/>
    <w:rsid w:val="00E04289"/>
    <w:rsid w:val="00E042CC"/>
    <w:rsid w:val="00E042EB"/>
    <w:rsid w:val="00E0430D"/>
    <w:rsid w:val="00E04337"/>
    <w:rsid w:val="00E043F5"/>
    <w:rsid w:val="00E04563"/>
    <w:rsid w:val="00E046E2"/>
    <w:rsid w:val="00E04775"/>
    <w:rsid w:val="00E0477D"/>
    <w:rsid w:val="00E04850"/>
    <w:rsid w:val="00E04863"/>
    <w:rsid w:val="00E0486E"/>
    <w:rsid w:val="00E04912"/>
    <w:rsid w:val="00E0492C"/>
    <w:rsid w:val="00E04964"/>
    <w:rsid w:val="00E04A14"/>
    <w:rsid w:val="00E04A61"/>
    <w:rsid w:val="00E04A74"/>
    <w:rsid w:val="00E04A99"/>
    <w:rsid w:val="00E04AA0"/>
    <w:rsid w:val="00E04AB8"/>
    <w:rsid w:val="00E04ABA"/>
    <w:rsid w:val="00E04AC7"/>
    <w:rsid w:val="00E04ACE"/>
    <w:rsid w:val="00E04B48"/>
    <w:rsid w:val="00E04BF2"/>
    <w:rsid w:val="00E04C11"/>
    <w:rsid w:val="00E04D0A"/>
    <w:rsid w:val="00E04D41"/>
    <w:rsid w:val="00E04D50"/>
    <w:rsid w:val="00E04D64"/>
    <w:rsid w:val="00E04DAD"/>
    <w:rsid w:val="00E04DD5"/>
    <w:rsid w:val="00E04E5B"/>
    <w:rsid w:val="00E04E6A"/>
    <w:rsid w:val="00E04EA5"/>
    <w:rsid w:val="00E04EEC"/>
    <w:rsid w:val="00E04F4E"/>
    <w:rsid w:val="00E04F66"/>
    <w:rsid w:val="00E0508B"/>
    <w:rsid w:val="00E050FC"/>
    <w:rsid w:val="00E05125"/>
    <w:rsid w:val="00E051F0"/>
    <w:rsid w:val="00E05263"/>
    <w:rsid w:val="00E05269"/>
    <w:rsid w:val="00E052D5"/>
    <w:rsid w:val="00E0530B"/>
    <w:rsid w:val="00E05467"/>
    <w:rsid w:val="00E05487"/>
    <w:rsid w:val="00E054AA"/>
    <w:rsid w:val="00E054E0"/>
    <w:rsid w:val="00E0557D"/>
    <w:rsid w:val="00E05592"/>
    <w:rsid w:val="00E055C5"/>
    <w:rsid w:val="00E055F0"/>
    <w:rsid w:val="00E05647"/>
    <w:rsid w:val="00E0572E"/>
    <w:rsid w:val="00E05741"/>
    <w:rsid w:val="00E05745"/>
    <w:rsid w:val="00E0575E"/>
    <w:rsid w:val="00E0586E"/>
    <w:rsid w:val="00E05888"/>
    <w:rsid w:val="00E058EA"/>
    <w:rsid w:val="00E05B2F"/>
    <w:rsid w:val="00E05B67"/>
    <w:rsid w:val="00E05BD1"/>
    <w:rsid w:val="00E05C43"/>
    <w:rsid w:val="00E05C64"/>
    <w:rsid w:val="00E05C7B"/>
    <w:rsid w:val="00E05CE0"/>
    <w:rsid w:val="00E05CE5"/>
    <w:rsid w:val="00E05CF0"/>
    <w:rsid w:val="00E05D46"/>
    <w:rsid w:val="00E05E11"/>
    <w:rsid w:val="00E05E16"/>
    <w:rsid w:val="00E05EF1"/>
    <w:rsid w:val="00E05F57"/>
    <w:rsid w:val="00E05F68"/>
    <w:rsid w:val="00E05FA3"/>
    <w:rsid w:val="00E05FD8"/>
    <w:rsid w:val="00E05FF2"/>
    <w:rsid w:val="00E06026"/>
    <w:rsid w:val="00E0602F"/>
    <w:rsid w:val="00E06077"/>
    <w:rsid w:val="00E060D0"/>
    <w:rsid w:val="00E061BF"/>
    <w:rsid w:val="00E06227"/>
    <w:rsid w:val="00E062B3"/>
    <w:rsid w:val="00E06376"/>
    <w:rsid w:val="00E06391"/>
    <w:rsid w:val="00E0639F"/>
    <w:rsid w:val="00E06483"/>
    <w:rsid w:val="00E064A3"/>
    <w:rsid w:val="00E064BA"/>
    <w:rsid w:val="00E064C3"/>
    <w:rsid w:val="00E064FD"/>
    <w:rsid w:val="00E06500"/>
    <w:rsid w:val="00E06517"/>
    <w:rsid w:val="00E065E9"/>
    <w:rsid w:val="00E065EC"/>
    <w:rsid w:val="00E0664C"/>
    <w:rsid w:val="00E066A2"/>
    <w:rsid w:val="00E06740"/>
    <w:rsid w:val="00E0674B"/>
    <w:rsid w:val="00E0675A"/>
    <w:rsid w:val="00E06767"/>
    <w:rsid w:val="00E068B4"/>
    <w:rsid w:val="00E068C3"/>
    <w:rsid w:val="00E06A08"/>
    <w:rsid w:val="00E06A44"/>
    <w:rsid w:val="00E06AAA"/>
    <w:rsid w:val="00E06ACC"/>
    <w:rsid w:val="00E06AFC"/>
    <w:rsid w:val="00E06B0B"/>
    <w:rsid w:val="00E06B48"/>
    <w:rsid w:val="00E06B9A"/>
    <w:rsid w:val="00E06BBE"/>
    <w:rsid w:val="00E06C22"/>
    <w:rsid w:val="00E06C70"/>
    <w:rsid w:val="00E06D25"/>
    <w:rsid w:val="00E06D32"/>
    <w:rsid w:val="00E06D80"/>
    <w:rsid w:val="00E06DB5"/>
    <w:rsid w:val="00E06E0F"/>
    <w:rsid w:val="00E06E7F"/>
    <w:rsid w:val="00E06ECA"/>
    <w:rsid w:val="00E06ED4"/>
    <w:rsid w:val="00E06EE9"/>
    <w:rsid w:val="00E06EF9"/>
    <w:rsid w:val="00E06F05"/>
    <w:rsid w:val="00E0702F"/>
    <w:rsid w:val="00E07131"/>
    <w:rsid w:val="00E07156"/>
    <w:rsid w:val="00E07173"/>
    <w:rsid w:val="00E07190"/>
    <w:rsid w:val="00E071A7"/>
    <w:rsid w:val="00E071DA"/>
    <w:rsid w:val="00E0728A"/>
    <w:rsid w:val="00E07337"/>
    <w:rsid w:val="00E073D1"/>
    <w:rsid w:val="00E07448"/>
    <w:rsid w:val="00E07458"/>
    <w:rsid w:val="00E074EB"/>
    <w:rsid w:val="00E07518"/>
    <w:rsid w:val="00E07601"/>
    <w:rsid w:val="00E07786"/>
    <w:rsid w:val="00E077AB"/>
    <w:rsid w:val="00E07801"/>
    <w:rsid w:val="00E07806"/>
    <w:rsid w:val="00E07855"/>
    <w:rsid w:val="00E07869"/>
    <w:rsid w:val="00E07875"/>
    <w:rsid w:val="00E078A0"/>
    <w:rsid w:val="00E079F4"/>
    <w:rsid w:val="00E07A08"/>
    <w:rsid w:val="00E07A0C"/>
    <w:rsid w:val="00E07A3E"/>
    <w:rsid w:val="00E07A82"/>
    <w:rsid w:val="00E07B5B"/>
    <w:rsid w:val="00E07BB2"/>
    <w:rsid w:val="00E07BCC"/>
    <w:rsid w:val="00E07CC5"/>
    <w:rsid w:val="00E07D1F"/>
    <w:rsid w:val="00E07D5F"/>
    <w:rsid w:val="00E07D63"/>
    <w:rsid w:val="00E07DDF"/>
    <w:rsid w:val="00E07DED"/>
    <w:rsid w:val="00E07E1A"/>
    <w:rsid w:val="00E07E90"/>
    <w:rsid w:val="00E07E92"/>
    <w:rsid w:val="00E07EA2"/>
    <w:rsid w:val="00E07EC2"/>
    <w:rsid w:val="00E07EC9"/>
    <w:rsid w:val="00E07F3C"/>
    <w:rsid w:val="00E07F3E"/>
    <w:rsid w:val="00E07F94"/>
    <w:rsid w:val="00E07FB3"/>
    <w:rsid w:val="00E07FEC"/>
    <w:rsid w:val="00E07FEF"/>
    <w:rsid w:val="00E1001B"/>
    <w:rsid w:val="00E1002D"/>
    <w:rsid w:val="00E10054"/>
    <w:rsid w:val="00E10086"/>
    <w:rsid w:val="00E100E2"/>
    <w:rsid w:val="00E10156"/>
    <w:rsid w:val="00E101BF"/>
    <w:rsid w:val="00E1021F"/>
    <w:rsid w:val="00E1024C"/>
    <w:rsid w:val="00E102BF"/>
    <w:rsid w:val="00E102C2"/>
    <w:rsid w:val="00E102E1"/>
    <w:rsid w:val="00E10343"/>
    <w:rsid w:val="00E1038E"/>
    <w:rsid w:val="00E1039E"/>
    <w:rsid w:val="00E103F3"/>
    <w:rsid w:val="00E104B2"/>
    <w:rsid w:val="00E104C4"/>
    <w:rsid w:val="00E10561"/>
    <w:rsid w:val="00E10574"/>
    <w:rsid w:val="00E10599"/>
    <w:rsid w:val="00E10680"/>
    <w:rsid w:val="00E106AF"/>
    <w:rsid w:val="00E106CF"/>
    <w:rsid w:val="00E10715"/>
    <w:rsid w:val="00E1078E"/>
    <w:rsid w:val="00E107F2"/>
    <w:rsid w:val="00E107FC"/>
    <w:rsid w:val="00E10818"/>
    <w:rsid w:val="00E1087C"/>
    <w:rsid w:val="00E10942"/>
    <w:rsid w:val="00E10A14"/>
    <w:rsid w:val="00E10A2C"/>
    <w:rsid w:val="00E10AFB"/>
    <w:rsid w:val="00E10B3C"/>
    <w:rsid w:val="00E10B41"/>
    <w:rsid w:val="00E10BDE"/>
    <w:rsid w:val="00E10C0C"/>
    <w:rsid w:val="00E10C3F"/>
    <w:rsid w:val="00E10C6A"/>
    <w:rsid w:val="00E10CBA"/>
    <w:rsid w:val="00E10CC3"/>
    <w:rsid w:val="00E10CDF"/>
    <w:rsid w:val="00E10CE2"/>
    <w:rsid w:val="00E10CE9"/>
    <w:rsid w:val="00E10E22"/>
    <w:rsid w:val="00E10E8C"/>
    <w:rsid w:val="00E10EF6"/>
    <w:rsid w:val="00E10EFF"/>
    <w:rsid w:val="00E10F2E"/>
    <w:rsid w:val="00E10FEF"/>
    <w:rsid w:val="00E1103D"/>
    <w:rsid w:val="00E11060"/>
    <w:rsid w:val="00E1116D"/>
    <w:rsid w:val="00E111E6"/>
    <w:rsid w:val="00E11207"/>
    <w:rsid w:val="00E11287"/>
    <w:rsid w:val="00E112B7"/>
    <w:rsid w:val="00E112B9"/>
    <w:rsid w:val="00E112E8"/>
    <w:rsid w:val="00E112F4"/>
    <w:rsid w:val="00E112F7"/>
    <w:rsid w:val="00E1138A"/>
    <w:rsid w:val="00E11404"/>
    <w:rsid w:val="00E11405"/>
    <w:rsid w:val="00E11470"/>
    <w:rsid w:val="00E114B7"/>
    <w:rsid w:val="00E11527"/>
    <w:rsid w:val="00E11560"/>
    <w:rsid w:val="00E11568"/>
    <w:rsid w:val="00E115BE"/>
    <w:rsid w:val="00E11628"/>
    <w:rsid w:val="00E1166E"/>
    <w:rsid w:val="00E11684"/>
    <w:rsid w:val="00E11688"/>
    <w:rsid w:val="00E1169B"/>
    <w:rsid w:val="00E1179C"/>
    <w:rsid w:val="00E117FA"/>
    <w:rsid w:val="00E11896"/>
    <w:rsid w:val="00E118BC"/>
    <w:rsid w:val="00E118EE"/>
    <w:rsid w:val="00E11933"/>
    <w:rsid w:val="00E11955"/>
    <w:rsid w:val="00E11980"/>
    <w:rsid w:val="00E11A34"/>
    <w:rsid w:val="00E11A67"/>
    <w:rsid w:val="00E11B69"/>
    <w:rsid w:val="00E11B9A"/>
    <w:rsid w:val="00E11C57"/>
    <w:rsid w:val="00E11C91"/>
    <w:rsid w:val="00E11CE7"/>
    <w:rsid w:val="00E11D17"/>
    <w:rsid w:val="00E11D58"/>
    <w:rsid w:val="00E11DE8"/>
    <w:rsid w:val="00E11E11"/>
    <w:rsid w:val="00E11E2D"/>
    <w:rsid w:val="00E11E2E"/>
    <w:rsid w:val="00E11E89"/>
    <w:rsid w:val="00E11FAE"/>
    <w:rsid w:val="00E1200A"/>
    <w:rsid w:val="00E12082"/>
    <w:rsid w:val="00E120E5"/>
    <w:rsid w:val="00E121A7"/>
    <w:rsid w:val="00E121C7"/>
    <w:rsid w:val="00E121E7"/>
    <w:rsid w:val="00E121EB"/>
    <w:rsid w:val="00E12301"/>
    <w:rsid w:val="00E1230B"/>
    <w:rsid w:val="00E12318"/>
    <w:rsid w:val="00E123A1"/>
    <w:rsid w:val="00E1243B"/>
    <w:rsid w:val="00E12463"/>
    <w:rsid w:val="00E12470"/>
    <w:rsid w:val="00E124C0"/>
    <w:rsid w:val="00E124E9"/>
    <w:rsid w:val="00E12630"/>
    <w:rsid w:val="00E12654"/>
    <w:rsid w:val="00E126C0"/>
    <w:rsid w:val="00E12705"/>
    <w:rsid w:val="00E1272F"/>
    <w:rsid w:val="00E1273A"/>
    <w:rsid w:val="00E127B6"/>
    <w:rsid w:val="00E127C0"/>
    <w:rsid w:val="00E127D9"/>
    <w:rsid w:val="00E127DC"/>
    <w:rsid w:val="00E127FD"/>
    <w:rsid w:val="00E12813"/>
    <w:rsid w:val="00E128BE"/>
    <w:rsid w:val="00E128E3"/>
    <w:rsid w:val="00E12949"/>
    <w:rsid w:val="00E1296E"/>
    <w:rsid w:val="00E129B4"/>
    <w:rsid w:val="00E129E5"/>
    <w:rsid w:val="00E12A8F"/>
    <w:rsid w:val="00E12AA0"/>
    <w:rsid w:val="00E12AE2"/>
    <w:rsid w:val="00E12B12"/>
    <w:rsid w:val="00E12B93"/>
    <w:rsid w:val="00E12CC6"/>
    <w:rsid w:val="00E12D07"/>
    <w:rsid w:val="00E12D1D"/>
    <w:rsid w:val="00E12D24"/>
    <w:rsid w:val="00E12D47"/>
    <w:rsid w:val="00E12D5C"/>
    <w:rsid w:val="00E12D65"/>
    <w:rsid w:val="00E12D93"/>
    <w:rsid w:val="00E12E2C"/>
    <w:rsid w:val="00E12EBF"/>
    <w:rsid w:val="00E12F1D"/>
    <w:rsid w:val="00E13016"/>
    <w:rsid w:val="00E1301C"/>
    <w:rsid w:val="00E1304F"/>
    <w:rsid w:val="00E13066"/>
    <w:rsid w:val="00E1306F"/>
    <w:rsid w:val="00E1308E"/>
    <w:rsid w:val="00E130AF"/>
    <w:rsid w:val="00E13147"/>
    <w:rsid w:val="00E1314C"/>
    <w:rsid w:val="00E13173"/>
    <w:rsid w:val="00E1318F"/>
    <w:rsid w:val="00E13190"/>
    <w:rsid w:val="00E131C3"/>
    <w:rsid w:val="00E131C8"/>
    <w:rsid w:val="00E131CC"/>
    <w:rsid w:val="00E13246"/>
    <w:rsid w:val="00E13252"/>
    <w:rsid w:val="00E1329B"/>
    <w:rsid w:val="00E132F1"/>
    <w:rsid w:val="00E13367"/>
    <w:rsid w:val="00E1344A"/>
    <w:rsid w:val="00E134BB"/>
    <w:rsid w:val="00E1351F"/>
    <w:rsid w:val="00E13536"/>
    <w:rsid w:val="00E135E5"/>
    <w:rsid w:val="00E13631"/>
    <w:rsid w:val="00E13652"/>
    <w:rsid w:val="00E13655"/>
    <w:rsid w:val="00E13687"/>
    <w:rsid w:val="00E13691"/>
    <w:rsid w:val="00E13700"/>
    <w:rsid w:val="00E1378C"/>
    <w:rsid w:val="00E137F0"/>
    <w:rsid w:val="00E1380D"/>
    <w:rsid w:val="00E1383F"/>
    <w:rsid w:val="00E13858"/>
    <w:rsid w:val="00E138A2"/>
    <w:rsid w:val="00E138B0"/>
    <w:rsid w:val="00E138F1"/>
    <w:rsid w:val="00E13A06"/>
    <w:rsid w:val="00E13A41"/>
    <w:rsid w:val="00E13AA6"/>
    <w:rsid w:val="00E13B65"/>
    <w:rsid w:val="00E13C5A"/>
    <w:rsid w:val="00E13C68"/>
    <w:rsid w:val="00E13D48"/>
    <w:rsid w:val="00E13D4B"/>
    <w:rsid w:val="00E13D63"/>
    <w:rsid w:val="00E13DAC"/>
    <w:rsid w:val="00E13DE1"/>
    <w:rsid w:val="00E13E59"/>
    <w:rsid w:val="00E13E81"/>
    <w:rsid w:val="00E13EBD"/>
    <w:rsid w:val="00E13ED4"/>
    <w:rsid w:val="00E13F1A"/>
    <w:rsid w:val="00E13F4E"/>
    <w:rsid w:val="00E13FD9"/>
    <w:rsid w:val="00E13FEC"/>
    <w:rsid w:val="00E13FF7"/>
    <w:rsid w:val="00E14010"/>
    <w:rsid w:val="00E14064"/>
    <w:rsid w:val="00E14070"/>
    <w:rsid w:val="00E140EC"/>
    <w:rsid w:val="00E14143"/>
    <w:rsid w:val="00E141AB"/>
    <w:rsid w:val="00E14269"/>
    <w:rsid w:val="00E14280"/>
    <w:rsid w:val="00E14342"/>
    <w:rsid w:val="00E1434C"/>
    <w:rsid w:val="00E1435C"/>
    <w:rsid w:val="00E143EB"/>
    <w:rsid w:val="00E1442D"/>
    <w:rsid w:val="00E14433"/>
    <w:rsid w:val="00E14522"/>
    <w:rsid w:val="00E1455F"/>
    <w:rsid w:val="00E14574"/>
    <w:rsid w:val="00E14592"/>
    <w:rsid w:val="00E145A4"/>
    <w:rsid w:val="00E145BB"/>
    <w:rsid w:val="00E145C6"/>
    <w:rsid w:val="00E145D6"/>
    <w:rsid w:val="00E145EE"/>
    <w:rsid w:val="00E1460F"/>
    <w:rsid w:val="00E14632"/>
    <w:rsid w:val="00E14672"/>
    <w:rsid w:val="00E1468D"/>
    <w:rsid w:val="00E146E8"/>
    <w:rsid w:val="00E14706"/>
    <w:rsid w:val="00E14727"/>
    <w:rsid w:val="00E14837"/>
    <w:rsid w:val="00E14850"/>
    <w:rsid w:val="00E148AB"/>
    <w:rsid w:val="00E14924"/>
    <w:rsid w:val="00E14935"/>
    <w:rsid w:val="00E14A3A"/>
    <w:rsid w:val="00E14A75"/>
    <w:rsid w:val="00E14AAA"/>
    <w:rsid w:val="00E14AEA"/>
    <w:rsid w:val="00E14AF3"/>
    <w:rsid w:val="00E14B1B"/>
    <w:rsid w:val="00E14BE7"/>
    <w:rsid w:val="00E14C8D"/>
    <w:rsid w:val="00E14C92"/>
    <w:rsid w:val="00E14CD2"/>
    <w:rsid w:val="00E14CE4"/>
    <w:rsid w:val="00E14D59"/>
    <w:rsid w:val="00E14DED"/>
    <w:rsid w:val="00E14E8E"/>
    <w:rsid w:val="00E14ED6"/>
    <w:rsid w:val="00E14F4E"/>
    <w:rsid w:val="00E14FD7"/>
    <w:rsid w:val="00E15012"/>
    <w:rsid w:val="00E15068"/>
    <w:rsid w:val="00E1514D"/>
    <w:rsid w:val="00E15152"/>
    <w:rsid w:val="00E1517D"/>
    <w:rsid w:val="00E151E0"/>
    <w:rsid w:val="00E15227"/>
    <w:rsid w:val="00E15228"/>
    <w:rsid w:val="00E1526A"/>
    <w:rsid w:val="00E15315"/>
    <w:rsid w:val="00E1536B"/>
    <w:rsid w:val="00E153C9"/>
    <w:rsid w:val="00E153CC"/>
    <w:rsid w:val="00E1541D"/>
    <w:rsid w:val="00E1541F"/>
    <w:rsid w:val="00E15446"/>
    <w:rsid w:val="00E15481"/>
    <w:rsid w:val="00E154C1"/>
    <w:rsid w:val="00E15546"/>
    <w:rsid w:val="00E15623"/>
    <w:rsid w:val="00E15624"/>
    <w:rsid w:val="00E15653"/>
    <w:rsid w:val="00E156D2"/>
    <w:rsid w:val="00E156FD"/>
    <w:rsid w:val="00E15702"/>
    <w:rsid w:val="00E157FB"/>
    <w:rsid w:val="00E15815"/>
    <w:rsid w:val="00E1581A"/>
    <w:rsid w:val="00E15856"/>
    <w:rsid w:val="00E158FF"/>
    <w:rsid w:val="00E15967"/>
    <w:rsid w:val="00E1597C"/>
    <w:rsid w:val="00E159C0"/>
    <w:rsid w:val="00E159FF"/>
    <w:rsid w:val="00E15A42"/>
    <w:rsid w:val="00E15B83"/>
    <w:rsid w:val="00E15C36"/>
    <w:rsid w:val="00E15C51"/>
    <w:rsid w:val="00E15CB5"/>
    <w:rsid w:val="00E15CE4"/>
    <w:rsid w:val="00E15E19"/>
    <w:rsid w:val="00E15E23"/>
    <w:rsid w:val="00E15E57"/>
    <w:rsid w:val="00E15E8F"/>
    <w:rsid w:val="00E15E92"/>
    <w:rsid w:val="00E15EA1"/>
    <w:rsid w:val="00E15EF4"/>
    <w:rsid w:val="00E15F05"/>
    <w:rsid w:val="00E15F18"/>
    <w:rsid w:val="00E15F6B"/>
    <w:rsid w:val="00E16019"/>
    <w:rsid w:val="00E16066"/>
    <w:rsid w:val="00E16091"/>
    <w:rsid w:val="00E16097"/>
    <w:rsid w:val="00E160BD"/>
    <w:rsid w:val="00E16102"/>
    <w:rsid w:val="00E16105"/>
    <w:rsid w:val="00E161A7"/>
    <w:rsid w:val="00E16259"/>
    <w:rsid w:val="00E16266"/>
    <w:rsid w:val="00E162A3"/>
    <w:rsid w:val="00E162B8"/>
    <w:rsid w:val="00E1635A"/>
    <w:rsid w:val="00E1639A"/>
    <w:rsid w:val="00E163A2"/>
    <w:rsid w:val="00E16451"/>
    <w:rsid w:val="00E164EF"/>
    <w:rsid w:val="00E16550"/>
    <w:rsid w:val="00E1660E"/>
    <w:rsid w:val="00E1666F"/>
    <w:rsid w:val="00E166B4"/>
    <w:rsid w:val="00E166C0"/>
    <w:rsid w:val="00E1670B"/>
    <w:rsid w:val="00E167AA"/>
    <w:rsid w:val="00E167B8"/>
    <w:rsid w:val="00E168CD"/>
    <w:rsid w:val="00E168F9"/>
    <w:rsid w:val="00E169CD"/>
    <w:rsid w:val="00E169DA"/>
    <w:rsid w:val="00E16A8E"/>
    <w:rsid w:val="00E16B18"/>
    <w:rsid w:val="00E16B56"/>
    <w:rsid w:val="00E16B92"/>
    <w:rsid w:val="00E16BE5"/>
    <w:rsid w:val="00E16C26"/>
    <w:rsid w:val="00E16C84"/>
    <w:rsid w:val="00E16C8B"/>
    <w:rsid w:val="00E16CB3"/>
    <w:rsid w:val="00E16DC5"/>
    <w:rsid w:val="00E16DDA"/>
    <w:rsid w:val="00E16DFF"/>
    <w:rsid w:val="00E16E27"/>
    <w:rsid w:val="00E16E3E"/>
    <w:rsid w:val="00E16E62"/>
    <w:rsid w:val="00E16EEF"/>
    <w:rsid w:val="00E16F03"/>
    <w:rsid w:val="00E16F1A"/>
    <w:rsid w:val="00E16F8A"/>
    <w:rsid w:val="00E17050"/>
    <w:rsid w:val="00E17072"/>
    <w:rsid w:val="00E1712D"/>
    <w:rsid w:val="00E17176"/>
    <w:rsid w:val="00E1719E"/>
    <w:rsid w:val="00E171BD"/>
    <w:rsid w:val="00E17217"/>
    <w:rsid w:val="00E1724F"/>
    <w:rsid w:val="00E17312"/>
    <w:rsid w:val="00E17352"/>
    <w:rsid w:val="00E17389"/>
    <w:rsid w:val="00E17396"/>
    <w:rsid w:val="00E173D7"/>
    <w:rsid w:val="00E1743F"/>
    <w:rsid w:val="00E174DC"/>
    <w:rsid w:val="00E1751D"/>
    <w:rsid w:val="00E17542"/>
    <w:rsid w:val="00E17568"/>
    <w:rsid w:val="00E17597"/>
    <w:rsid w:val="00E175B1"/>
    <w:rsid w:val="00E17652"/>
    <w:rsid w:val="00E176D1"/>
    <w:rsid w:val="00E17725"/>
    <w:rsid w:val="00E17728"/>
    <w:rsid w:val="00E17737"/>
    <w:rsid w:val="00E1773C"/>
    <w:rsid w:val="00E1773E"/>
    <w:rsid w:val="00E1774C"/>
    <w:rsid w:val="00E177F8"/>
    <w:rsid w:val="00E1782B"/>
    <w:rsid w:val="00E178B1"/>
    <w:rsid w:val="00E178E4"/>
    <w:rsid w:val="00E179EB"/>
    <w:rsid w:val="00E17A07"/>
    <w:rsid w:val="00E17A92"/>
    <w:rsid w:val="00E17B3B"/>
    <w:rsid w:val="00E17BFB"/>
    <w:rsid w:val="00E17C5A"/>
    <w:rsid w:val="00E17CC0"/>
    <w:rsid w:val="00E17D2A"/>
    <w:rsid w:val="00E17D5E"/>
    <w:rsid w:val="00E17DC4"/>
    <w:rsid w:val="00E17E28"/>
    <w:rsid w:val="00E17E4F"/>
    <w:rsid w:val="00E17E69"/>
    <w:rsid w:val="00E17E8B"/>
    <w:rsid w:val="00E17ECD"/>
    <w:rsid w:val="00E17F96"/>
    <w:rsid w:val="00E20037"/>
    <w:rsid w:val="00E2006C"/>
    <w:rsid w:val="00E200C1"/>
    <w:rsid w:val="00E201E0"/>
    <w:rsid w:val="00E2022D"/>
    <w:rsid w:val="00E2023B"/>
    <w:rsid w:val="00E202FC"/>
    <w:rsid w:val="00E20308"/>
    <w:rsid w:val="00E2030F"/>
    <w:rsid w:val="00E20312"/>
    <w:rsid w:val="00E20335"/>
    <w:rsid w:val="00E203A8"/>
    <w:rsid w:val="00E203C1"/>
    <w:rsid w:val="00E203FA"/>
    <w:rsid w:val="00E2043B"/>
    <w:rsid w:val="00E20546"/>
    <w:rsid w:val="00E20554"/>
    <w:rsid w:val="00E20584"/>
    <w:rsid w:val="00E205CD"/>
    <w:rsid w:val="00E206B0"/>
    <w:rsid w:val="00E206BA"/>
    <w:rsid w:val="00E206C1"/>
    <w:rsid w:val="00E206F7"/>
    <w:rsid w:val="00E20732"/>
    <w:rsid w:val="00E2073A"/>
    <w:rsid w:val="00E20758"/>
    <w:rsid w:val="00E207CE"/>
    <w:rsid w:val="00E2093D"/>
    <w:rsid w:val="00E20968"/>
    <w:rsid w:val="00E209F9"/>
    <w:rsid w:val="00E20A15"/>
    <w:rsid w:val="00E20A8F"/>
    <w:rsid w:val="00E20AB7"/>
    <w:rsid w:val="00E20AF8"/>
    <w:rsid w:val="00E20B1D"/>
    <w:rsid w:val="00E20B1F"/>
    <w:rsid w:val="00E20C32"/>
    <w:rsid w:val="00E20C8A"/>
    <w:rsid w:val="00E20CCE"/>
    <w:rsid w:val="00E20CF6"/>
    <w:rsid w:val="00E20D8E"/>
    <w:rsid w:val="00E20D9F"/>
    <w:rsid w:val="00E20DC1"/>
    <w:rsid w:val="00E20DEB"/>
    <w:rsid w:val="00E20DF3"/>
    <w:rsid w:val="00E20FE6"/>
    <w:rsid w:val="00E21010"/>
    <w:rsid w:val="00E21030"/>
    <w:rsid w:val="00E2107E"/>
    <w:rsid w:val="00E21107"/>
    <w:rsid w:val="00E2112D"/>
    <w:rsid w:val="00E21142"/>
    <w:rsid w:val="00E2116F"/>
    <w:rsid w:val="00E2117E"/>
    <w:rsid w:val="00E211BD"/>
    <w:rsid w:val="00E211FC"/>
    <w:rsid w:val="00E2126D"/>
    <w:rsid w:val="00E212E2"/>
    <w:rsid w:val="00E2141D"/>
    <w:rsid w:val="00E21420"/>
    <w:rsid w:val="00E21458"/>
    <w:rsid w:val="00E214A5"/>
    <w:rsid w:val="00E21520"/>
    <w:rsid w:val="00E215BE"/>
    <w:rsid w:val="00E215C6"/>
    <w:rsid w:val="00E21635"/>
    <w:rsid w:val="00E21665"/>
    <w:rsid w:val="00E21677"/>
    <w:rsid w:val="00E217FB"/>
    <w:rsid w:val="00E21881"/>
    <w:rsid w:val="00E21906"/>
    <w:rsid w:val="00E21910"/>
    <w:rsid w:val="00E21971"/>
    <w:rsid w:val="00E21AE2"/>
    <w:rsid w:val="00E21B88"/>
    <w:rsid w:val="00E21C1A"/>
    <w:rsid w:val="00E21C3D"/>
    <w:rsid w:val="00E21C60"/>
    <w:rsid w:val="00E21C73"/>
    <w:rsid w:val="00E21CD3"/>
    <w:rsid w:val="00E21D1C"/>
    <w:rsid w:val="00E21D6A"/>
    <w:rsid w:val="00E21D79"/>
    <w:rsid w:val="00E21D9E"/>
    <w:rsid w:val="00E21DA2"/>
    <w:rsid w:val="00E21E2F"/>
    <w:rsid w:val="00E21E8C"/>
    <w:rsid w:val="00E21F29"/>
    <w:rsid w:val="00E21F3A"/>
    <w:rsid w:val="00E21F54"/>
    <w:rsid w:val="00E21FE4"/>
    <w:rsid w:val="00E22179"/>
    <w:rsid w:val="00E221AF"/>
    <w:rsid w:val="00E22209"/>
    <w:rsid w:val="00E22227"/>
    <w:rsid w:val="00E2227B"/>
    <w:rsid w:val="00E2229A"/>
    <w:rsid w:val="00E222EF"/>
    <w:rsid w:val="00E222F7"/>
    <w:rsid w:val="00E2230B"/>
    <w:rsid w:val="00E22434"/>
    <w:rsid w:val="00E2254D"/>
    <w:rsid w:val="00E22550"/>
    <w:rsid w:val="00E22584"/>
    <w:rsid w:val="00E22617"/>
    <w:rsid w:val="00E22672"/>
    <w:rsid w:val="00E22692"/>
    <w:rsid w:val="00E226AA"/>
    <w:rsid w:val="00E226C8"/>
    <w:rsid w:val="00E22746"/>
    <w:rsid w:val="00E22790"/>
    <w:rsid w:val="00E227D1"/>
    <w:rsid w:val="00E227EE"/>
    <w:rsid w:val="00E22855"/>
    <w:rsid w:val="00E228DC"/>
    <w:rsid w:val="00E228E9"/>
    <w:rsid w:val="00E2294C"/>
    <w:rsid w:val="00E22952"/>
    <w:rsid w:val="00E229DA"/>
    <w:rsid w:val="00E229FC"/>
    <w:rsid w:val="00E22A08"/>
    <w:rsid w:val="00E22A78"/>
    <w:rsid w:val="00E22B3A"/>
    <w:rsid w:val="00E22B64"/>
    <w:rsid w:val="00E22CBA"/>
    <w:rsid w:val="00E22CE2"/>
    <w:rsid w:val="00E22D15"/>
    <w:rsid w:val="00E22D9A"/>
    <w:rsid w:val="00E22DC2"/>
    <w:rsid w:val="00E22F47"/>
    <w:rsid w:val="00E22FB1"/>
    <w:rsid w:val="00E22FB8"/>
    <w:rsid w:val="00E22FE7"/>
    <w:rsid w:val="00E23034"/>
    <w:rsid w:val="00E23090"/>
    <w:rsid w:val="00E230A7"/>
    <w:rsid w:val="00E230B6"/>
    <w:rsid w:val="00E230D1"/>
    <w:rsid w:val="00E231A9"/>
    <w:rsid w:val="00E2321B"/>
    <w:rsid w:val="00E23246"/>
    <w:rsid w:val="00E23267"/>
    <w:rsid w:val="00E23286"/>
    <w:rsid w:val="00E232C7"/>
    <w:rsid w:val="00E232EF"/>
    <w:rsid w:val="00E23307"/>
    <w:rsid w:val="00E23343"/>
    <w:rsid w:val="00E23344"/>
    <w:rsid w:val="00E2335E"/>
    <w:rsid w:val="00E23380"/>
    <w:rsid w:val="00E233F2"/>
    <w:rsid w:val="00E234AA"/>
    <w:rsid w:val="00E234D2"/>
    <w:rsid w:val="00E23503"/>
    <w:rsid w:val="00E2350F"/>
    <w:rsid w:val="00E2359A"/>
    <w:rsid w:val="00E235BF"/>
    <w:rsid w:val="00E2369B"/>
    <w:rsid w:val="00E236BE"/>
    <w:rsid w:val="00E23767"/>
    <w:rsid w:val="00E23777"/>
    <w:rsid w:val="00E237CA"/>
    <w:rsid w:val="00E238A1"/>
    <w:rsid w:val="00E23A0A"/>
    <w:rsid w:val="00E23A14"/>
    <w:rsid w:val="00E23A7E"/>
    <w:rsid w:val="00E23A97"/>
    <w:rsid w:val="00E23AC7"/>
    <w:rsid w:val="00E23ACE"/>
    <w:rsid w:val="00E23B34"/>
    <w:rsid w:val="00E23B35"/>
    <w:rsid w:val="00E23C51"/>
    <w:rsid w:val="00E23C6B"/>
    <w:rsid w:val="00E23CC3"/>
    <w:rsid w:val="00E23CEE"/>
    <w:rsid w:val="00E23D1D"/>
    <w:rsid w:val="00E23DA9"/>
    <w:rsid w:val="00E23DE5"/>
    <w:rsid w:val="00E23DF4"/>
    <w:rsid w:val="00E23E48"/>
    <w:rsid w:val="00E23F22"/>
    <w:rsid w:val="00E23F79"/>
    <w:rsid w:val="00E23FCF"/>
    <w:rsid w:val="00E24106"/>
    <w:rsid w:val="00E2410F"/>
    <w:rsid w:val="00E241E9"/>
    <w:rsid w:val="00E241EB"/>
    <w:rsid w:val="00E2423A"/>
    <w:rsid w:val="00E2423F"/>
    <w:rsid w:val="00E24268"/>
    <w:rsid w:val="00E242F0"/>
    <w:rsid w:val="00E2434D"/>
    <w:rsid w:val="00E24359"/>
    <w:rsid w:val="00E24412"/>
    <w:rsid w:val="00E2443F"/>
    <w:rsid w:val="00E24446"/>
    <w:rsid w:val="00E24461"/>
    <w:rsid w:val="00E24498"/>
    <w:rsid w:val="00E244AA"/>
    <w:rsid w:val="00E24501"/>
    <w:rsid w:val="00E24543"/>
    <w:rsid w:val="00E24545"/>
    <w:rsid w:val="00E245DD"/>
    <w:rsid w:val="00E245E6"/>
    <w:rsid w:val="00E2463D"/>
    <w:rsid w:val="00E24659"/>
    <w:rsid w:val="00E2465E"/>
    <w:rsid w:val="00E24667"/>
    <w:rsid w:val="00E24680"/>
    <w:rsid w:val="00E24696"/>
    <w:rsid w:val="00E246B4"/>
    <w:rsid w:val="00E2471F"/>
    <w:rsid w:val="00E24722"/>
    <w:rsid w:val="00E2479D"/>
    <w:rsid w:val="00E24947"/>
    <w:rsid w:val="00E2494B"/>
    <w:rsid w:val="00E2498E"/>
    <w:rsid w:val="00E249EE"/>
    <w:rsid w:val="00E24A53"/>
    <w:rsid w:val="00E24AD6"/>
    <w:rsid w:val="00E24B61"/>
    <w:rsid w:val="00E24BCB"/>
    <w:rsid w:val="00E24C45"/>
    <w:rsid w:val="00E24C79"/>
    <w:rsid w:val="00E24C9D"/>
    <w:rsid w:val="00E24D06"/>
    <w:rsid w:val="00E24D3B"/>
    <w:rsid w:val="00E24D5C"/>
    <w:rsid w:val="00E24DA3"/>
    <w:rsid w:val="00E24DD9"/>
    <w:rsid w:val="00E24E05"/>
    <w:rsid w:val="00E24F53"/>
    <w:rsid w:val="00E250BF"/>
    <w:rsid w:val="00E25128"/>
    <w:rsid w:val="00E25131"/>
    <w:rsid w:val="00E2513D"/>
    <w:rsid w:val="00E2516C"/>
    <w:rsid w:val="00E2517B"/>
    <w:rsid w:val="00E251FF"/>
    <w:rsid w:val="00E25303"/>
    <w:rsid w:val="00E25382"/>
    <w:rsid w:val="00E25437"/>
    <w:rsid w:val="00E25441"/>
    <w:rsid w:val="00E2544A"/>
    <w:rsid w:val="00E2544C"/>
    <w:rsid w:val="00E25614"/>
    <w:rsid w:val="00E25728"/>
    <w:rsid w:val="00E257CD"/>
    <w:rsid w:val="00E2580B"/>
    <w:rsid w:val="00E258BC"/>
    <w:rsid w:val="00E25952"/>
    <w:rsid w:val="00E2598B"/>
    <w:rsid w:val="00E25A05"/>
    <w:rsid w:val="00E25AA6"/>
    <w:rsid w:val="00E25B7D"/>
    <w:rsid w:val="00E25B88"/>
    <w:rsid w:val="00E25B8D"/>
    <w:rsid w:val="00E25BBC"/>
    <w:rsid w:val="00E25C0C"/>
    <w:rsid w:val="00E25CD8"/>
    <w:rsid w:val="00E25CE7"/>
    <w:rsid w:val="00E25CFF"/>
    <w:rsid w:val="00E25D99"/>
    <w:rsid w:val="00E25DC1"/>
    <w:rsid w:val="00E25E09"/>
    <w:rsid w:val="00E25E7D"/>
    <w:rsid w:val="00E25EFA"/>
    <w:rsid w:val="00E25F0F"/>
    <w:rsid w:val="00E25FBE"/>
    <w:rsid w:val="00E26017"/>
    <w:rsid w:val="00E2602F"/>
    <w:rsid w:val="00E26046"/>
    <w:rsid w:val="00E2605D"/>
    <w:rsid w:val="00E2607F"/>
    <w:rsid w:val="00E260EB"/>
    <w:rsid w:val="00E260F6"/>
    <w:rsid w:val="00E26112"/>
    <w:rsid w:val="00E26129"/>
    <w:rsid w:val="00E26170"/>
    <w:rsid w:val="00E2617B"/>
    <w:rsid w:val="00E261D9"/>
    <w:rsid w:val="00E262D9"/>
    <w:rsid w:val="00E2633B"/>
    <w:rsid w:val="00E2639D"/>
    <w:rsid w:val="00E263F6"/>
    <w:rsid w:val="00E2641A"/>
    <w:rsid w:val="00E26421"/>
    <w:rsid w:val="00E26468"/>
    <w:rsid w:val="00E26479"/>
    <w:rsid w:val="00E264AB"/>
    <w:rsid w:val="00E264BA"/>
    <w:rsid w:val="00E264C3"/>
    <w:rsid w:val="00E264EA"/>
    <w:rsid w:val="00E2650A"/>
    <w:rsid w:val="00E26534"/>
    <w:rsid w:val="00E26624"/>
    <w:rsid w:val="00E26684"/>
    <w:rsid w:val="00E26712"/>
    <w:rsid w:val="00E26756"/>
    <w:rsid w:val="00E267B2"/>
    <w:rsid w:val="00E267E6"/>
    <w:rsid w:val="00E2680F"/>
    <w:rsid w:val="00E26862"/>
    <w:rsid w:val="00E26871"/>
    <w:rsid w:val="00E268B9"/>
    <w:rsid w:val="00E2697B"/>
    <w:rsid w:val="00E26998"/>
    <w:rsid w:val="00E269A2"/>
    <w:rsid w:val="00E26A10"/>
    <w:rsid w:val="00E26A28"/>
    <w:rsid w:val="00E26AB6"/>
    <w:rsid w:val="00E26AD2"/>
    <w:rsid w:val="00E26B97"/>
    <w:rsid w:val="00E26C1C"/>
    <w:rsid w:val="00E26C71"/>
    <w:rsid w:val="00E26CAB"/>
    <w:rsid w:val="00E26D2F"/>
    <w:rsid w:val="00E26D8E"/>
    <w:rsid w:val="00E26DD5"/>
    <w:rsid w:val="00E26E3A"/>
    <w:rsid w:val="00E26E4D"/>
    <w:rsid w:val="00E26EEA"/>
    <w:rsid w:val="00E26EF7"/>
    <w:rsid w:val="00E26F18"/>
    <w:rsid w:val="00E26F81"/>
    <w:rsid w:val="00E26F8E"/>
    <w:rsid w:val="00E26FB3"/>
    <w:rsid w:val="00E2703E"/>
    <w:rsid w:val="00E27064"/>
    <w:rsid w:val="00E270A7"/>
    <w:rsid w:val="00E27102"/>
    <w:rsid w:val="00E27138"/>
    <w:rsid w:val="00E2724C"/>
    <w:rsid w:val="00E27287"/>
    <w:rsid w:val="00E27299"/>
    <w:rsid w:val="00E272A3"/>
    <w:rsid w:val="00E27373"/>
    <w:rsid w:val="00E273BF"/>
    <w:rsid w:val="00E27413"/>
    <w:rsid w:val="00E27464"/>
    <w:rsid w:val="00E274A4"/>
    <w:rsid w:val="00E274C4"/>
    <w:rsid w:val="00E274E9"/>
    <w:rsid w:val="00E275D2"/>
    <w:rsid w:val="00E2760A"/>
    <w:rsid w:val="00E27681"/>
    <w:rsid w:val="00E27789"/>
    <w:rsid w:val="00E27848"/>
    <w:rsid w:val="00E27855"/>
    <w:rsid w:val="00E2786E"/>
    <w:rsid w:val="00E278A5"/>
    <w:rsid w:val="00E27912"/>
    <w:rsid w:val="00E2794B"/>
    <w:rsid w:val="00E2796E"/>
    <w:rsid w:val="00E27A8B"/>
    <w:rsid w:val="00E27ABA"/>
    <w:rsid w:val="00E27ACE"/>
    <w:rsid w:val="00E27B1F"/>
    <w:rsid w:val="00E27B9E"/>
    <w:rsid w:val="00E27BA6"/>
    <w:rsid w:val="00E27BEA"/>
    <w:rsid w:val="00E27BF7"/>
    <w:rsid w:val="00E27C7E"/>
    <w:rsid w:val="00E27CA9"/>
    <w:rsid w:val="00E27D11"/>
    <w:rsid w:val="00E27D41"/>
    <w:rsid w:val="00E27D64"/>
    <w:rsid w:val="00E27DAD"/>
    <w:rsid w:val="00E27ED8"/>
    <w:rsid w:val="00E27EDA"/>
    <w:rsid w:val="00E27EE1"/>
    <w:rsid w:val="00E27F4A"/>
    <w:rsid w:val="00E27F74"/>
    <w:rsid w:val="00E27FB2"/>
    <w:rsid w:val="00E3000A"/>
    <w:rsid w:val="00E300F1"/>
    <w:rsid w:val="00E3015F"/>
    <w:rsid w:val="00E301C1"/>
    <w:rsid w:val="00E301E5"/>
    <w:rsid w:val="00E30395"/>
    <w:rsid w:val="00E3049E"/>
    <w:rsid w:val="00E30535"/>
    <w:rsid w:val="00E3055A"/>
    <w:rsid w:val="00E3067E"/>
    <w:rsid w:val="00E3068C"/>
    <w:rsid w:val="00E306B7"/>
    <w:rsid w:val="00E306C8"/>
    <w:rsid w:val="00E3081D"/>
    <w:rsid w:val="00E3085C"/>
    <w:rsid w:val="00E308A1"/>
    <w:rsid w:val="00E308B4"/>
    <w:rsid w:val="00E308DE"/>
    <w:rsid w:val="00E308F6"/>
    <w:rsid w:val="00E3092C"/>
    <w:rsid w:val="00E3093F"/>
    <w:rsid w:val="00E30982"/>
    <w:rsid w:val="00E30AD0"/>
    <w:rsid w:val="00E30B0F"/>
    <w:rsid w:val="00E30B4D"/>
    <w:rsid w:val="00E30B6A"/>
    <w:rsid w:val="00E30BDE"/>
    <w:rsid w:val="00E30C0C"/>
    <w:rsid w:val="00E30C11"/>
    <w:rsid w:val="00E30C32"/>
    <w:rsid w:val="00E30CAD"/>
    <w:rsid w:val="00E30CBE"/>
    <w:rsid w:val="00E30CC7"/>
    <w:rsid w:val="00E30CD7"/>
    <w:rsid w:val="00E30D11"/>
    <w:rsid w:val="00E30D3E"/>
    <w:rsid w:val="00E30DCF"/>
    <w:rsid w:val="00E30E81"/>
    <w:rsid w:val="00E30F7B"/>
    <w:rsid w:val="00E30FBC"/>
    <w:rsid w:val="00E3105C"/>
    <w:rsid w:val="00E31103"/>
    <w:rsid w:val="00E31130"/>
    <w:rsid w:val="00E311BC"/>
    <w:rsid w:val="00E312CD"/>
    <w:rsid w:val="00E312E6"/>
    <w:rsid w:val="00E31332"/>
    <w:rsid w:val="00E313B3"/>
    <w:rsid w:val="00E31413"/>
    <w:rsid w:val="00E314F7"/>
    <w:rsid w:val="00E31505"/>
    <w:rsid w:val="00E3150A"/>
    <w:rsid w:val="00E3160E"/>
    <w:rsid w:val="00E31644"/>
    <w:rsid w:val="00E316EA"/>
    <w:rsid w:val="00E31722"/>
    <w:rsid w:val="00E3174C"/>
    <w:rsid w:val="00E31754"/>
    <w:rsid w:val="00E3176D"/>
    <w:rsid w:val="00E31795"/>
    <w:rsid w:val="00E317FB"/>
    <w:rsid w:val="00E3180A"/>
    <w:rsid w:val="00E31813"/>
    <w:rsid w:val="00E31859"/>
    <w:rsid w:val="00E31874"/>
    <w:rsid w:val="00E31986"/>
    <w:rsid w:val="00E31A7B"/>
    <w:rsid w:val="00E31A92"/>
    <w:rsid w:val="00E31AC1"/>
    <w:rsid w:val="00E31B1E"/>
    <w:rsid w:val="00E31B29"/>
    <w:rsid w:val="00E31B5B"/>
    <w:rsid w:val="00E31B8C"/>
    <w:rsid w:val="00E31C73"/>
    <w:rsid w:val="00E31CAA"/>
    <w:rsid w:val="00E31CDA"/>
    <w:rsid w:val="00E31D29"/>
    <w:rsid w:val="00E31DF9"/>
    <w:rsid w:val="00E31E35"/>
    <w:rsid w:val="00E31E59"/>
    <w:rsid w:val="00E31E85"/>
    <w:rsid w:val="00E31F73"/>
    <w:rsid w:val="00E31F9F"/>
    <w:rsid w:val="00E32172"/>
    <w:rsid w:val="00E321AE"/>
    <w:rsid w:val="00E321C9"/>
    <w:rsid w:val="00E3226E"/>
    <w:rsid w:val="00E32293"/>
    <w:rsid w:val="00E322F7"/>
    <w:rsid w:val="00E32370"/>
    <w:rsid w:val="00E3237D"/>
    <w:rsid w:val="00E32420"/>
    <w:rsid w:val="00E32447"/>
    <w:rsid w:val="00E32468"/>
    <w:rsid w:val="00E324B8"/>
    <w:rsid w:val="00E32507"/>
    <w:rsid w:val="00E32572"/>
    <w:rsid w:val="00E3260E"/>
    <w:rsid w:val="00E32632"/>
    <w:rsid w:val="00E326A0"/>
    <w:rsid w:val="00E3270D"/>
    <w:rsid w:val="00E3270E"/>
    <w:rsid w:val="00E3278D"/>
    <w:rsid w:val="00E3279B"/>
    <w:rsid w:val="00E327AF"/>
    <w:rsid w:val="00E327BD"/>
    <w:rsid w:val="00E3284A"/>
    <w:rsid w:val="00E32852"/>
    <w:rsid w:val="00E328EE"/>
    <w:rsid w:val="00E32967"/>
    <w:rsid w:val="00E329A3"/>
    <w:rsid w:val="00E329EA"/>
    <w:rsid w:val="00E32A00"/>
    <w:rsid w:val="00E32C09"/>
    <w:rsid w:val="00E32CAD"/>
    <w:rsid w:val="00E32D26"/>
    <w:rsid w:val="00E32D97"/>
    <w:rsid w:val="00E32DE0"/>
    <w:rsid w:val="00E32DF5"/>
    <w:rsid w:val="00E32E6A"/>
    <w:rsid w:val="00E32EF9"/>
    <w:rsid w:val="00E32F5A"/>
    <w:rsid w:val="00E32F5B"/>
    <w:rsid w:val="00E3301F"/>
    <w:rsid w:val="00E33064"/>
    <w:rsid w:val="00E33087"/>
    <w:rsid w:val="00E33099"/>
    <w:rsid w:val="00E330E7"/>
    <w:rsid w:val="00E331B1"/>
    <w:rsid w:val="00E33273"/>
    <w:rsid w:val="00E332AA"/>
    <w:rsid w:val="00E332B2"/>
    <w:rsid w:val="00E332EB"/>
    <w:rsid w:val="00E3330D"/>
    <w:rsid w:val="00E33341"/>
    <w:rsid w:val="00E3336A"/>
    <w:rsid w:val="00E33389"/>
    <w:rsid w:val="00E333C8"/>
    <w:rsid w:val="00E33425"/>
    <w:rsid w:val="00E334FE"/>
    <w:rsid w:val="00E335C2"/>
    <w:rsid w:val="00E33627"/>
    <w:rsid w:val="00E3363E"/>
    <w:rsid w:val="00E33661"/>
    <w:rsid w:val="00E336A1"/>
    <w:rsid w:val="00E336E2"/>
    <w:rsid w:val="00E33716"/>
    <w:rsid w:val="00E337D7"/>
    <w:rsid w:val="00E3393E"/>
    <w:rsid w:val="00E33999"/>
    <w:rsid w:val="00E339C5"/>
    <w:rsid w:val="00E339E6"/>
    <w:rsid w:val="00E339EE"/>
    <w:rsid w:val="00E33A69"/>
    <w:rsid w:val="00E33A80"/>
    <w:rsid w:val="00E33ABB"/>
    <w:rsid w:val="00E33B24"/>
    <w:rsid w:val="00E33B36"/>
    <w:rsid w:val="00E33C0A"/>
    <w:rsid w:val="00E33E87"/>
    <w:rsid w:val="00E33F0D"/>
    <w:rsid w:val="00E33F95"/>
    <w:rsid w:val="00E34060"/>
    <w:rsid w:val="00E34067"/>
    <w:rsid w:val="00E340B0"/>
    <w:rsid w:val="00E34154"/>
    <w:rsid w:val="00E34168"/>
    <w:rsid w:val="00E34193"/>
    <w:rsid w:val="00E34196"/>
    <w:rsid w:val="00E341B9"/>
    <w:rsid w:val="00E341F5"/>
    <w:rsid w:val="00E342B9"/>
    <w:rsid w:val="00E3436F"/>
    <w:rsid w:val="00E343A1"/>
    <w:rsid w:val="00E34468"/>
    <w:rsid w:val="00E34482"/>
    <w:rsid w:val="00E344E9"/>
    <w:rsid w:val="00E34631"/>
    <w:rsid w:val="00E34669"/>
    <w:rsid w:val="00E3467E"/>
    <w:rsid w:val="00E34682"/>
    <w:rsid w:val="00E346A0"/>
    <w:rsid w:val="00E34714"/>
    <w:rsid w:val="00E3478C"/>
    <w:rsid w:val="00E347DC"/>
    <w:rsid w:val="00E3485C"/>
    <w:rsid w:val="00E34899"/>
    <w:rsid w:val="00E348A3"/>
    <w:rsid w:val="00E34989"/>
    <w:rsid w:val="00E3498C"/>
    <w:rsid w:val="00E34A20"/>
    <w:rsid w:val="00E34B17"/>
    <w:rsid w:val="00E34B28"/>
    <w:rsid w:val="00E34B83"/>
    <w:rsid w:val="00E34B84"/>
    <w:rsid w:val="00E34CDC"/>
    <w:rsid w:val="00E34D41"/>
    <w:rsid w:val="00E34D53"/>
    <w:rsid w:val="00E34D57"/>
    <w:rsid w:val="00E34D6E"/>
    <w:rsid w:val="00E34E12"/>
    <w:rsid w:val="00E34F38"/>
    <w:rsid w:val="00E34F3D"/>
    <w:rsid w:val="00E34F72"/>
    <w:rsid w:val="00E34FE6"/>
    <w:rsid w:val="00E350AE"/>
    <w:rsid w:val="00E350B2"/>
    <w:rsid w:val="00E350DA"/>
    <w:rsid w:val="00E35119"/>
    <w:rsid w:val="00E35128"/>
    <w:rsid w:val="00E35174"/>
    <w:rsid w:val="00E35185"/>
    <w:rsid w:val="00E351A9"/>
    <w:rsid w:val="00E3522B"/>
    <w:rsid w:val="00E3523F"/>
    <w:rsid w:val="00E3524A"/>
    <w:rsid w:val="00E352B1"/>
    <w:rsid w:val="00E352BA"/>
    <w:rsid w:val="00E352F4"/>
    <w:rsid w:val="00E3533B"/>
    <w:rsid w:val="00E3538E"/>
    <w:rsid w:val="00E353EC"/>
    <w:rsid w:val="00E35418"/>
    <w:rsid w:val="00E35435"/>
    <w:rsid w:val="00E35441"/>
    <w:rsid w:val="00E35499"/>
    <w:rsid w:val="00E3550A"/>
    <w:rsid w:val="00E35512"/>
    <w:rsid w:val="00E3553D"/>
    <w:rsid w:val="00E35546"/>
    <w:rsid w:val="00E35588"/>
    <w:rsid w:val="00E355D7"/>
    <w:rsid w:val="00E356DE"/>
    <w:rsid w:val="00E35740"/>
    <w:rsid w:val="00E3577B"/>
    <w:rsid w:val="00E35786"/>
    <w:rsid w:val="00E35788"/>
    <w:rsid w:val="00E357D5"/>
    <w:rsid w:val="00E3583B"/>
    <w:rsid w:val="00E3587D"/>
    <w:rsid w:val="00E358A8"/>
    <w:rsid w:val="00E358CF"/>
    <w:rsid w:val="00E358FB"/>
    <w:rsid w:val="00E35922"/>
    <w:rsid w:val="00E35973"/>
    <w:rsid w:val="00E35A26"/>
    <w:rsid w:val="00E35A33"/>
    <w:rsid w:val="00E35A80"/>
    <w:rsid w:val="00E35AD1"/>
    <w:rsid w:val="00E35AD3"/>
    <w:rsid w:val="00E35AEF"/>
    <w:rsid w:val="00E35B88"/>
    <w:rsid w:val="00E35BE7"/>
    <w:rsid w:val="00E35C00"/>
    <w:rsid w:val="00E35C0D"/>
    <w:rsid w:val="00E35C5B"/>
    <w:rsid w:val="00E35D41"/>
    <w:rsid w:val="00E35D75"/>
    <w:rsid w:val="00E35DA3"/>
    <w:rsid w:val="00E35DB5"/>
    <w:rsid w:val="00E35DD0"/>
    <w:rsid w:val="00E35DE1"/>
    <w:rsid w:val="00E35DEA"/>
    <w:rsid w:val="00E35E10"/>
    <w:rsid w:val="00E35EB6"/>
    <w:rsid w:val="00E35EC4"/>
    <w:rsid w:val="00E35ED2"/>
    <w:rsid w:val="00E35EFE"/>
    <w:rsid w:val="00E35F12"/>
    <w:rsid w:val="00E35F2E"/>
    <w:rsid w:val="00E35F39"/>
    <w:rsid w:val="00E35FA6"/>
    <w:rsid w:val="00E35FA9"/>
    <w:rsid w:val="00E3600A"/>
    <w:rsid w:val="00E36030"/>
    <w:rsid w:val="00E36064"/>
    <w:rsid w:val="00E360AC"/>
    <w:rsid w:val="00E360BF"/>
    <w:rsid w:val="00E36125"/>
    <w:rsid w:val="00E3619C"/>
    <w:rsid w:val="00E361F8"/>
    <w:rsid w:val="00E36238"/>
    <w:rsid w:val="00E3626A"/>
    <w:rsid w:val="00E3633D"/>
    <w:rsid w:val="00E36362"/>
    <w:rsid w:val="00E36368"/>
    <w:rsid w:val="00E3644B"/>
    <w:rsid w:val="00E365C2"/>
    <w:rsid w:val="00E36633"/>
    <w:rsid w:val="00E366B5"/>
    <w:rsid w:val="00E36762"/>
    <w:rsid w:val="00E367EC"/>
    <w:rsid w:val="00E36852"/>
    <w:rsid w:val="00E3688A"/>
    <w:rsid w:val="00E36900"/>
    <w:rsid w:val="00E36908"/>
    <w:rsid w:val="00E3691C"/>
    <w:rsid w:val="00E3695A"/>
    <w:rsid w:val="00E36977"/>
    <w:rsid w:val="00E3698C"/>
    <w:rsid w:val="00E369F2"/>
    <w:rsid w:val="00E36B07"/>
    <w:rsid w:val="00E36B54"/>
    <w:rsid w:val="00E36C5D"/>
    <w:rsid w:val="00E36CBB"/>
    <w:rsid w:val="00E36CD7"/>
    <w:rsid w:val="00E36E18"/>
    <w:rsid w:val="00E36FCB"/>
    <w:rsid w:val="00E37089"/>
    <w:rsid w:val="00E3708E"/>
    <w:rsid w:val="00E370A9"/>
    <w:rsid w:val="00E3713B"/>
    <w:rsid w:val="00E37196"/>
    <w:rsid w:val="00E371B8"/>
    <w:rsid w:val="00E371F7"/>
    <w:rsid w:val="00E37208"/>
    <w:rsid w:val="00E3727D"/>
    <w:rsid w:val="00E372AB"/>
    <w:rsid w:val="00E372B6"/>
    <w:rsid w:val="00E372C8"/>
    <w:rsid w:val="00E372E8"/>
    <w:rsid w:val="00E372F3"/>
    <w:rsid w:val="00E37317"/>
    <w:rsid w:val="00E37390"/>
    <w:rsid w:val="00E373AD"/>
    <w:rsid w:val="00E373AE"/>
    <w:rsid w:val="00E373C7"/>
    <w:rsid w:val="00E37422"/>
    <w:rsid w:val="00E37437"/>
    <w:rsid w:val="00E37480"/>
    <w:rsid w:val="00E374BC"/>
    <w:rsid w:val="00E374F5"/>
    <w:rsid w:val="00E374FE"/>
    <w:rsid w:val="00E3750E"/>
    <w:rsid w:val="00E37526"/>
    <w:rsid w:val="00E37540"/>
    <w:rsid w:val="00E37547"/>
    <w:rsid w:val="00E37615"/>
    <w:rsid w:val="00E3765A"/>
    <w:rsid w:val="00E376BE"/>
    <w:rsid w:val="00E3770B"/>
    <w:rsid w:val="00E3772C"/>
    <w:rsid w:val="00E37737"/>
    <w:rsid w:val="00E37824"/>
    <w:rsid w:val="00E3783F"/>
    <w:rsid w:val="00E37927"/>
    <w:rsid w:val="00E37979"/>
    <w:rsid w:val="00E3798D"/>
    <w:rsid w:val="00E379AA"/>
    <w:rsid w:val="00E379B2"/>
    <w:rsid w:val="00E379B5"/>
    <w:rsid w:val="00E379E9"/>
    <w:rsid w:val="00E379FA"/>
    <w:rsid w:val="00E379FC"/>
    <w:rsid w:val="00E37A97"/>
    <w:rsid w:val="00E37AED"/>
    <w:rsid w:val="00E37B41"/>
    <w:rsid w:val="00E37BEA"/>
    <w:rsid w:val="00E37C2E"/>
    <w:rsid w:val="00E37C3E"/>
    <w:rsid w:val="00E37C53"/>
    <w:rsid w:val="00E37CA9"/>
    <w:rsid w:val="00E37D34"/>
    <w:rsid w:val="00E37D45"/>
    <w:rsid w:val="00E37D49"/>
    <w:rsid w:val="00E37D54"/>
    <w:rsid w:val="00E37E1C"/>
    <w:rsid w:val="00E37E4D"/>
    <w:rsid w:val="00E37E62"/>
    <w:rsid w:val="00E37E7D"/>
    <w:rsid w:val="00E37EC6"/>
    <w:rsid w:val="00E37EDC"/>
    <w:rsid w:val="00E37F2C"/>
    <w:rsid w:val="00E37F38"/>
    <w:rsid w:val="00E4008F"/>
    <w:rsid w:val="00E400B2"/>
    <w:rsid w:val="00E40136"/>
    <w:rsid w:val="00E40142"/>
    <w:rsid w:val="00E40163"/>
    <w:rsid w:val="00E4019D"/>
    <w:rsid w:val="00E401E8"/>
    <w:rsid w:val="00E40215"/>
    <w:rsid w:val="00E40257"/>
    <w:rsid w:val="00E40271"/>
    <w:rsid w:val="00E40276"/>
    <w:rsid w:val="00E402C9"/>
    <w:rsid w:val="00E402D0"/>
    <w:rsid w:val="00E40333"/>
    <w:rsid w:val="00E4037B"/>
    <w:rsid w:val="00E403D0"/>
    <w:rsid w:val="00E4046A"/>
    <w:rsid w:val="00E40482"/>
    <w:rsid w:val="00E404EE"/>
    <w:rsid w:val="00E404F8"/>
    <w:rsid w:val="00E40530"/>
    <w:rsid w:val="00E4055F"/>
    <w:rsid w:val="00E405B4"/>
    <w:rsid w:val="00E4067E"/>
    <w:rsid w:val="00E406B0"/>
    <w:rsid w:val="00E406E6"/>
    <w:rsid w:val="00E406F9"/>
    <w:rsid w:val="00E40745"/>
    <w:rsid w:val="00E4077A"/>
    <w:rsid w:val="00E407F8"/>
    <w:rsid w:val="00E407FE"/>
    <w:rsid w:val="00E408BB"/>
    <w:rsid w:val="00E408DB"/>
    <w:rsid w:val="00E409B8"/>
    <w:rsid w:val="00E409BF"/>
    <w:rsid w:val="00E40A4D"/>
    <w:rsid w:val="00E40A81"/>
    <w:rsid w:val="00E40AFC"/>
    <w:rsid w:val="00E40AFE"/>
    <w:rsid w:val="00E40B5F"/>
    <w:rsid w:val="00E40BB8"/>
    <w:rsid w:val="00E40C0C"/>
    <w:rsid w:val="00E40DC1"/>
    <w:rsid w:val="00E40DD6"/>
    <w:rsid w:val="00E40E15"/>
    <w:rsid w:val="00E40E2D"/>
    <w:rsid w:val="00E40E2E"/>
    <w:rsid w:val="00E40F12"/>
    <w:rsid w:val="00E40FEB"/>
    <w:rsid w:val="00E4102C"/>
    <w:rsid w:val="00E410B8"/>
    <w:rsid w:val="00E410D6"/>
    <w:rsid w:val="00E4110A"/>
    <w:rsid w:val="00E4115B"/>
    <w:rsid w:val="00E41279"/>
    <w:rsid w:val="00E41286"/>
    <w:rsid w:val="00E4129F"/>
    <w:rsid w:val="00E413C2"/>
    <w:rsid w:val="00E413DE"/>
    <w:rsid w:val="00E41441"/>
    <w:rsid w:val="00E4146D"/>
    <w:rsid w:val="00E4147F"/>
    <w:rsid w:val="00E414C8"/>
    <w:rsid w:val="00E414E3"/>
    <w:rsid w:val="00E41515"/>
    <w:rsid w:val="00E415EB"/>
    <w:rsid w:val="00E416B2"/>
    <w:rsid w:val="00E416BE"/>
    <w:rsid w:val="00E417AD"/>
    <w:rsid w:val="00E417B8"/>
    <w:rsid w:val="00E41819"/>
    <w:rsid w:val="00E41959"/>
    <w:rsid w:val="00E41986"/>
    <w:rsid w:val="00E419CD"/>
    <w:rsid w:val="00E419F7"/>
    <w:rsid w:val="00E41A3D"/>
    <w:rsid w:val="00E41A40"/>
    <w:rsid w:val="00E41A80"/>
    <w:rsid w:val="00E41AAC"/>
    <w:rsid w:val="00E41B09"/>
    <w:rsid w:val="00E41B22"/>
    <w:rsid w:val="00E41B50"/>
    <w:rsid w:val="00E41BA4"/>
    <w:rsid w:val="00E41BA6"/>
    <w:rsid w:val="00E41C25"/>
    <w:rsid w:val="00E41C9F"/>
    <w:rsid w:val="00E41CC8"/>
    <w:rsid w:val="00E41CEF"/>
    <w:rsid w:val="00E41D01"/>
    <w:rsid w:val="00E41D1E"/>
    <w:rsid w:val="00E41D64"/>
    <w:rsid w:val="00E41D66"/>
    <w:rsid w:val="00E41D9E"/>
    <w:rsid w:val="00E41DB7"/>
    <w:rsid w:val="00E41E0C"/>
    <w:rsid w:val="00E41E12"/>
    <w:rsid w:val="00E41EB6"/>
    <w:rsid w:val="00E41EDB"/>
    <w:rsid w:val="00E41EF4"/>
    <w:rsid w:val="00E41FEE"/>
    <w:rsid w:val="00E4206E"/>
    <w:rsid w:val="00E42099"/>
    <w:rsid w:val="00E420DF"/>
    <w:rsid w:val="00E42125"/>
    <w:rsid w:val="00E42169"/>
    <w:rsid w:val="00E4222F"/>
    <w:rsid w:val="00E422C3"/>
    <w:rsid w:val="00E42379"/>
    <w:rsid w:val="00E423B9"/>
    <w:rsid w:val="00E4242B"/>
    <w:rsid w:val="00E4249B"/>
    <w:rsid w:val="00E424A7"/>
    <w:rsid w:val="00E424B6"/>
    <w:rsid w:val="00E424EA"/>
    <w:rsid w:val="00E4255E"/>
    <w:rsid w:val="00E425BA"/>
    <w:rsid w:val="00E425FD"/>
    <w:rsid w:val="00E42629"/>
    <w:rsid w:val="00E4263C"/>
    <w:rsid w:val="00E42643"/>
    <w:rsid w:val="00E42681"/>
    <w:rsid w:val="00E426C4"/>
    <w:rsid w:val="00E4270B"/>
    <w:rsid w:val="00E427AC"/>
    <w:rsid w:val="00E42801"/>
    <w:rsid w:val="00E42825"/>
    <w:rsid w:val="00E428AB"/>
    <w:rsid w:val="00E428F2"/>
    <w:rsid w:val="00E42925"/>
    <w:rsid w:val="00E42AE4"/>
    <w:rsid w:val="00E42B0A"/>
    <w:rsid w:val="00E42C30"/>
    <w:rsid w:val="00E42C39"/>
    <w:rsid w:val="00E42C50"/>
    <w:rsid w:val="00E42C7D"/>
    <w:rsid w:val="00E42CA7"/>
    <w:rsid w:val="00E42CD3"/>
    <w:rsid w:val="00E42D51"/>
    <w:rsid w:val="00E42DCF"/>
    <w:rsid w:val="00E42DF4"/>
    <w:rsid w:val="00E42EE4"/>
    <w:rsid w:val="00E4302A"/>
    <w:rsid w:val="00E430F2"/>
    <w:rsid w:val="00E431B0"/>
    <w:rsid w:val="00E431B4"/>
    <w:rsid w:val="00E43237"/>
    <w:rsid w:val="00E43273"/>
    <w:rsid w:val="00E43340"/>
    <w:rsid w:val="00E433F1"/>
    <w:rsid w:val="00E43441"/>
    <w:rsid w:val="00E4349A"/>
    <w:rsid w:val="00E434B7"/>
    <w:rsid w:val="00E43525"/>
    <w:rsid w:val="00E4354B"/>
    <w:rsid w:val="00E43563"/>
    <w:rsid w:val="00E43570"/>
    <w:rsid w:val="00E435F4"/>
    <w:rsid w:val="00E43678"/>
    <w:rsid w:val="00E4368D"/>
    <w:rsid w:val="00E4368F"/>
    <w:rsid w:val="00E436DE"/>
    <w:rsid w:val="00E43727"/>
    <w:rsid w:val="00E4375D"/>
    <w:rsid w:val="00E4375E"/>
    <w:rsid w:val="00E43766"/>
    <w:rsid w:val="00E4377F"/>
    <w:rsid w:val="00E4378B"/>
    <w:rsid w:val="00E437DB"/>
    <w:rsid w:val="00E437EF"/>
    <w:rsid w:val="00E439DC"/>
    <w:rsid w:val="00E43A3C"/>
    <w:rsid w:val="00E43A5C"/>
    <w:rsid w:val="00E43A85"/>
    <w:rsid w:val="00E43BB7"/>
    <w:rsid w:val="00E43BB9"/>
    <w:rsid w:val="00E43BFF"/>
    <w:rsid w:val="00E43C91"/>
    <w:rsid w:val="00E43CC5"/>
    <w:rsid w:val="00E43D33"/>
    <w:rsid w:val="00E43D8E"/>
    <w:rsid w:val="00E43E68"/>
    <w:rsid w:val="00E43F8E"/>
    <w:rsid w:val="00E43FA2"/>
    <w:rsid w:val="00E440CB"/>
    <w:rsid w:val="00E44127"/>
    <w:rsid w:val="00E441BD"/>
    <w:rsid w:val="00E441C2"/>
    <w:rsid w:val="00E441D0"/>
    <w:rsid w:val="00E4429A"/>
    <w:rsid w:val="00E4433C"/>
    <w:rsid w:val="00E443BD"/>
    <w:rsid w:val="00E4445B"/>
    <w:rsid w:val="00E4447E"/>
    <w:rsid w:val="00E44480"/>
    <w:rsid w:val="00E44487"/>
    <w:rsid w:val="00E444A2"/>
    <w:rsid w:val="00E444D6"/>
    <w:rsid w:val="00E445E1"/>
    <w:rsid w:val="00E445EF"/>
    <w:rsid w:val="00E44647"/>
    <w:rsid w:val="00E44681"/>
    <w:rsid w:val="00E446E2"/>
    <w:rsid w:val="00E447B6"/>
    <w:rsid w:val="00E447F3"/>
    <w:rsid w:val="00E447F8"/>
    <w:rsid w:val="00E447FE"/>
    <w:rsid w:val="00E44806"/>
    <w:rsid w:val="00E44821"/>
    <w:rsid w:val="00E44849"/>
    <w:rsid w:val="00E448BA"/>
    <w:rsid w:val="00E448D0"/>
    <w:rsid w:val="00E44927"/>
    <w:rsid w:val="00E44A15"/>
    <w:rsid w:val="00E44ABC"/>
    <w:rsid w:val="00E44AEB"/>
    <w:rsid w:val="00E44B34"/>
    <w:rsid w:val="00E44B3C"/>
    <w:rsid w:val="00E44B77"/>
    <w:rsid w:val="00E44BC9"/>
    <w:rsid w:val="00E44C29"/>
    <w:rsid w:val="00E44C33"/>
    <w:rsid w:val="00E44C50"/>
    <w:rsid w:val="00E44C51"/>
    <w:rsid w:val="00E44C9A"/>
    <w:rsid w:val="00E44CFB"/>
    <w:rsid w:val="00E44D46"/>
    <w:rsid w:val="00E44D94"/>
    <w:rsid w:val="00E44D9A"/>
    <w:rsid w:val="00E44DAA"/>
    <w:rsid w:val="00E44DC0"/>
    <w:rsid w:val="00E44EAB"/>
    <w:rsid w:val="00E44EB5"/>
    <w:rsid w:val="00E44F48"/>
    <w:rsid w:val="00E44F72"/>
    <w:rsid w:val="00E4502A"/>
    <w:rsid w:val="00E45030"/>
    <w:rsid w:val="00E45090"/>
    <w:rsid w:val="00E450DA"/>
    <w:rsid w:val="00E451C1"/>
    <w:rsid w:val="00E452B1"/>
    <w:rsid w:val="00E45432"/>
    <w:rsid w:val="00E45451"/>
    <w:rsid w:val="00E45460"/>
    <w:rsid w:val="00E45487"/>
    <w:rsid w:val="00E454BF"/>
    <w:rsid w:val="00E454EA"/>
    <w:rsid w:val="00E455BD"/>
    <w:rsid w:val="00E455F2"/>
    <w:rsid w:val="00E45608"/>
    <w:rsid w:val="00E4561E"/>
    <w:rsid w:val="00E45638"/>
    <w:rsid w:val="00E4569C"/>
    <w:rsid w:val="00E456CA"/>
    <w:rsid w:val="00E45721"/>
    <w:rsid w:val="00E45756"/>
    <w:rsid w:val="00E4576D"/>
    <w:rsid w:val="00E45790"/>
    <w:rsid w:val="00E4582E"/>
    <w:rsid w:val="00E45899"/>
    <w:rsid w:val="00E4589D"/>
    <w:rsid w:val="00E458A8"/>
    <w:rsid w:val="00E45943"/>
    <w:rsid w:val="00E45946"/>
    <w:rsid w:val="00E45986"/>
    <w:rsid w:val="00E459D1"/>
    <w:rsid w:val="00E45A46"/>
    <w:rsid w:val="00E45AAE"/>
    <w:rsid w:val="00E45B17"/>
    <w:rsid w:val="00E45B39"/>
    <w:rsid w:val="00E45B78"/>
    <w:rsid w:val="00E45B9D"/>
    <w:rsid w:val="00E45C50"/>
    <w:rsid w:val="00E45C9E"/>
    <w:rsid w:val="00E45CAE"/>
    <w:rsid w:val="00E45CFA"/>
    <w:rsid w:val="00E45D55"/>
    <w:rsid w:val="00E45D56"/>
    <w:rsid w:val="00E45E6D"/>
    <w:rsid w:val="00E45E6E"/>
    <w:rsid w:val="00E45EDD"/>
    <w:rsid w:val="00E45EFD"/>
    <w:rsid w:val="00E45F59"/>
    <w:rsid w:val="00E45F60"/>
    <w:rsid w:val="00E46035"/>
    <w:rsid w:val="00E4607B"/>
    <w:rsid w:val="00E46141"/>
    <w:rsid w:val="00E4617A"/>
    <w:rsid w:val="00E4621F"/>
    <w:rsid w:val="00E46317"/>
    <w:rsid w:val="00E463F0"/>
    <w:rsid w:val="00E46411"/>
    <w:rsid w:val="00E4644B"/>
    <w:rsid w:val="00E46471"/>
    <w:rsid w:val="00E46488"/>
    <w:rsid w:val="00E464A5"/>
    <w:rsid w:val="00E464CC"/>
    <w:rsid w:val="00E4656C"/>
    <w:rsid w:val="00E46582"/>
    <w:rsid w:val="00E465F5"/>
    <w:rsid w:val="00E46694"/>
    <w:rsid w:val="00E466A1"/>
    <w:rsid w:val="00E466A7"/>
    <w:rsid w:val="00E4671B"/>
    <w:rsid w:val="00E46742"/>
    <w:rsid w:val="00E46750"/>
    <w:rsid w:val="00E467AD"/>
    <w:rsid w:val="00E467FF"/>
    <w:rsid w:val="00E4683C"/>
    <w:rsid w:val="00E4684F"/>
    <w:rsid w:val="00E46865"/>
    <w:rsid w:val="00E468C1"/>
    <w:rsid w:val="00E468F5"/>
    <w:rsid w:val="00E46AD2"/>
    <w:rsid w:val="00E46B17"/>
    <w:rsid w:val="00E46B36"/>
    <w:rsid w:val="00E46B44"/>
    <w:rsid w:val="00E46B5F"/>
    <w:rsid w:val="00E46C02"/>
    <w:rsid w:val="00E46C29"/>
    <w:rsid w:val="00E46C46"/>
    <w:rsid w:val="00E46C76"/>
    <w:rsid w:val="00E46C8E"/>
    <w:rsid w:val="00E46C8F"/>
    <w:rsid w:val="00E46D04"/>
    <w:rsid w:val="00E46D73"/>
    <w:rsid w:val="00E46D74"/>
    <w:rsid w:val="00E46D83"/>
    <w:rsid w:val="00E46E6B"/>
    <w:rsid w:val="00E46E7F"/>
    <w:rsid w:val="00E46F14"/>
    <w:rsid w:val="00E46F26"/>
    <w:rsid w:val="00E46F36"/>
    <w:rsid w:val="00E46F54"/>
    <w:rsid w:val="00E46F63"/>
    <w:rsid w:val="00E46FB2"/>
    <w:rsid w:val="00E47048"/>
    <w:rsid w:val="00E470EB"/>
    <w:rsid w:val="00E470FC"/>
    <w:rsid w:val="00E47144"/>
    <w:rsid w:val="00E472B3"/>
    <w:rsid w:val="00E472BB"/>
    <w:rsid w:val="00E472F8"/>
    <w:rsid w:val="00E4733D"/>
    <w:rsid w:val="00E47377"/>
    <w:rsid w:val="00E473BD"/>
    <w:rsid w:val="00E4740D"/>
    <w:rsid w:val="00E47422"/>
    <w:rsid w:val="00E47430"/>
    <w:rsid w:val="00E47432"/>
    <w:rsid w:val="00E47498"/>
    <w:rsid w:val="00E4749A"/>
    <w:rsid w:val="00E474B1"/>
    <w:rsid w:val="00E47516"/>
    <w:rsid w:val="00E4756D"/>
    <w:rsid w:val="00E475B1"/>
    <w:rsid w:val="00E475E4"/>
    <w:rsid w:val="00E475FB"/>
    <w:rsid w:val="00E476B4"/>
    <w:rsid w:val="00E476EF"/>
    <w:rsid w:val="00E47702"/>
    <w:rsid w:val="00E47724"/>
    <w:rsid w:val="00E4774D"/>
    <w:rsid w:val="00E4776D"/>
    <w:rsid w:val="00E477AE"/>
    <w:rsid w:val="00E477B6"/>
    <w:rsid w:val="00E477D0"/>
    <w:rsid w:val="00E477DD"/>
    <w:rsid w:val="00E47847"/>
    <w:rsid w:val="00E47850"/>
    <w:rsid w:val="00E4793E"/>
    <w:rsid w:val="00E479C6"/>
    <w:rsid w:val="00E479CD"/>
    <w:rsid w:val="00E47A76"/>
    <w:rsid w:val="00E47B02"/>
    <w:rsid w:val="00E47B27"/>
    <w:rsid w:val="00E47BB0"/>
    <w:rsid w:val="00E47BB5"/>
    <w:rsid w:val="00E47BCB"/>
    <w:rsid w:val="00E47C23"/>
    <w:rsid w:val="00E47D43"/>
    <w:rsid w:val="00E47D4D"/>
    <w:rsid w:val="00E47E9B"/>
    <w:rsid w:val="00E47ED5"/>
    <w:rsid w:val="00E47F05"/>
    <w:rsid w:val="00E47F2A"/>
    <w:rsid w:val="00E47FA1"/>
    <w:rsid w:val="00E47FAC"/>
    <w:rsid w:val="00E47FDE"/>
    <w:rsid w:val="00E50033"/>
    <w:rsid w:val="00E50058"/>
    <w:rsid w:val="00E50105"/>
    <w:rsid w:val="00E50165"/>
    <w:rsid w:val="00E50192"/>
    <w:rsid w:val="00E501CF"/>
    <w:rsid w:val="00E50212"/>
    <w:rsid w:val="00E50292"/>
    <w:rsid w:val="00E502E1"/>
    <w:rsid w:val="00E502F0"/>
    <w:rsid w:val="00E5030E"/>
    <w:rsid w:val="00E504FB"/>
    <w:rsid w:val="00E505A0"/>
    <w:rsid w:val="00E50602"/>
    <w:rsid w:val="00E5061A"/>
    <w:rsid w:val="00E5062E"/>
    <w:rsid w:val="00E506C7"/>
    <w:rsid w:val="00E50744"/>
    <w:rsid w:val="00E5077E"/>
    <w:rsid w:val="00E50790"/>
    <w:rsid w:val="00E5083B"/>
    <w:rsid w:val="00E50849"/>
    <w:rsid w:val="00E50956"/>
    <w:rsid w:val="00E509A9"/>
    <w:rsid w:val="00E509FD"/>
    <w:rsid w:val="00E50ADB"/>
    <w:rsid w:val="00E50B08"/>
    <w:rsid w:val="00E50B21"/>
    <w:rsid w:val="00E50B92"/>
    <w:rsid w:val="00E50C85"/>
    <w:rsid w:val="00E50C88"/>
    <w:rsid w:val="00E50CC5"/>
    <w:rsid w:val="00E50D16"/>
    <w:rsid w:val="00E50DCD"/>
    <w:rsid w:val="00E50DD3"/>
    <w:rsid w:val="00E50DD6"/>
    <w:rsid w:val="00E50DE3"/>
    <w:rsid w:val="00E50DFF"/>
    <w:rsid w:val="00E50E0A"/>
    <w:rsid w:val="00E50E0D"/>
    <w:rsid w:val="00E50E32"/>
    <w:rsid w:val="00E50EC7"/>
    <w:rsid w:val="00E50F98"/>
    <w:rsid w:val="00E50FCA"/>
    <w:rsid w:val="00E51030"/>
    <w:rsid w:val="00E51046"/>
    <w:rsid w:val="00E51053"/>
    <w:rsid w:val="00E51058"/>
    <w:rsid w:val="00E51070"/>
    <w:rsid w:val="00E510AB"/>
    <w:rsid w:val="00E510E8"/>
    <w:rsid w:val="00E510EF"/>
    <w:rsid w:val="00E51140"/>
    <w:rsid w:val="00E511AC"/>
    <w:rsid w:val="00E511F6"/>
    <w:rsid w:val="00E51207"/>
    <w:rsid w:val="00E51212"/>
    <w:rsid w:val="00E5121C"/>
    <w:rsid w:val="00E51378"/>
    <w:rsid w:val="00E51468"/>
    <w:rsid w:val="00E5147D"/>
    <w:rsid w:val="00E514CE"/>
    <w:rsid w:val="00E51677"/>
    <w:rsid w:val="00E516CA"/>
    <w:rsid w:val="00E51719"/>
    <w:rsid w:val="00E51747"/>
    <w:rsid w:val="00E51755"/>
    <w:rsid w:val="00E5185C"/>
    <w:rsid w:val="00E51869"/>
    <w:rsid w:val="00E51872"/>
    <w:rsid w:val="00E519D4"/>
    <w:rsid w:val="00E51A74"/>
    <w:rsid w:val="00E51AE8"/>
    <w:rsid w:val="00E51B3A"/>
    <w:rsid w:val="00E51B7D"/>
    <w:rsid w:val="00E51C6C"/>
    <w:rsid w:val="00E51CA8"/>
    <w:rsid w:val="00E51CA9"/>
    <w:rsid w:val="00E51D01"/>
    <w:rsid w:val="00E51D12"/>
    <w:rsid w:val="00E51DAE"/>
    <w:rsid w:val="00E51DC3"/>
    <w:rsid w:val="00E51E23"/>
    <w:rsid w:val="00E51E78"/>
    <w:rsid w:val="00E51E9B"/>
    <w:rsid w:val="00E51F07"/>
    <w:rsid w:val="00E51F2D"/>
    <w:rsid w:val="00E51F4D"/>
    <w:rsid w:val="00E51F65"/>
    <w:rsid w:val="00E51F7B"/>
    <w:rsid w:val="00E51F9D"/>
    <w:rsid w:val="00E51FB5"/>
    <w:rsid w:val="00E51FEA"/>
    <w:rsid w:val="00E5205D"/>
    <w:rsid w:val="00E5206F"/>
    <w:rsid w:val="00E5215C"/>
    <w:rsid w:val="00E52184"/>
    <w:rsid w:val="00E521C6"/>
    <w:rsid w:val="00E521FC"/>
    <w:rsid w:val="00E52223"/>
    <w:rsid w:val="00E522E3"/>
    <w:rsid w:val="00E522FE"/>
    <w:rsid w:val="00E523F6"/>
    <w:rsid w:val="00E52417"/>
    <w:rsid w:val="00E524A8"/>
    <w:rsid w:val="00E524F3"/>
    <w:rsid w:val="00E52502"/>
    <w:rsid w:val="00E52524"/>
    <w:rsid w:val="00E5253F"/>
    <w:rsid w:val="00E52592"/>
    <w:rsid w:val="00E525F3"/>
    <w:rsid w:val="00E52685"/>
    <w:rsid w:val="00E52687"/>
    <w:rsid w:val="00E52742"/>
    <w:rsid w:val="00E5275B"/>
    <w:rsid w:val="00E52793"/>
    <w:rsid w:val="00E52881"/>
    <w:rsid w:val="00E52922"/>
    <w:rsid w:val="00E52A0C"/>
    <w:rsid w:val="00E52A80"/>
    <w:rsid w:val="00E52AC0"/>
    <w:rsid w:val="00E52B1D"/>
    <w:rsid w:val="00E52B42"/>
    <w:rsid w:val="00E52BD5"/>
    <w:rsid w:val="00E52BEB"/>
    <w:rsid w:val="00E52C30"/>
    <w:rsid w:val="00E52C6A"/>
    <w:rsid w:val="00E52D27"/>
    <w:rsid w:val="00E52E13"/>
    <w:rsid w:val="00E52E2A"/>
    <w:rsid w:val="00E52E56"/>
    <w:rsid w:val="00E52EAE"/>
    <w:rsid w:val="00E52F69"/>
    <w:rsid w:val="00E52FFD"/>
    <w:rsid w:val="00E5306C"/>
    <w:rsid w:val="00E53074"/>
    <w:rsid w:val="00E5309B"/>
    <w:rsid w:val="00E531AE"/>
    <w:rsid w:val="00E531C1"/>
    <w:rsid w:val="00E53204"/>
    <w:rsid w:val="00E53294"/>
    <w:rsid w:val="00E532F9"/>
    <w:rsid w:val="00E53307"/>
    <w:rsid w:val="00E53309"/>
    <w:rsid w:val="00E5334A"/>
    <w:rsid w:val="00E53351"/>
    <w:rsid w:val="00E533D1"/>
    <w:rsid w:val="00E5340E"/>
    <w:rsid w:val="00E53476"/>
    <w:rsid w:val="00E5347A"/>
    <w:rsid w:val="00E534C7"/>
    <w:rsid w:val="00E53552"/>
    <w:rsid w:val="00E535CE"/>
    <w:rsid w:val="00E53643"/>
    <w:rsid w:val="00E53653"/>
    <w:rsid w:val="00E536C4"/>
    <w:rsid w:val="00E536D7"/>
    <w:rsid w:val="00E53701"/>
    <w:rsid w:val="00E53711"/>
    <w:rsid w:val="00E53726"/>
    <w:rsid w:val="00E53781"/>
    <w:rsid w:val="00E537A4"/>
    <w:rsid w:val="00E537A8"/>
    <w:rsid w:val="00E537AE"/>
    <w:rsid w:val="00E537CC"/>
    <w:rsid w:val="00E537EF"/>
    <w:rsid w:val="00E53807"/>
    <w:rsid w:val="00E5381E"/>
    <w:rsid w:val="00E538D1"/>
    <w:rsid w:val="00E53957"/>
    <w:rsid w:val="00E53986"/>
    <w:rsid w:val="00E539CD"/>
    <w:rsid w:val="00E53A29"/>
    <w:rsid w:val="00E53A2A"/>
    <w:rsid w:val="00E53A87"/>
    <w:rsid w:val="00E53AA3"/>
    <w:rsid w:val="00E53AF3"/>
    <w:rsid w:val="00E53B0E"/>
    <w:rsid w:val="00E53B33"/>
    <w:rsid w:val="00E53BB9"/>
    <w:rsid w:val="00E53BBB"/>
    <w:rsid w:val="00E53C5D"/>
    <w:rsid w:val="00E53D4A"/>
    <w:rsid w:val="00E53D87"/>
    <w:rsid w:val="00E53DB2"/>
    <w:rsid w:val="00E53DB4"/>
    <w:rsid w:val="00E53DBB"/>
    <w:rsid w:val="00E53DCD"/>
    <w:rsid w:val="00E53DF5"/>
    <w:rsid w:val="00E53DF6"/>
    <w:rsid w:val="00E53E06"/>
    <w:rsid w:val="00E53E4E"/>
    <w:rsid w:val="00E53E58"/>
    <w:rsid w:val="00E53E89"/>
    <w:rsid w:val="00E53F15"/>
    <w:rsid w:val="00E53FB8"/>
    <w:rsid w:val="00E5402F"/>
    <w:rsid w:val="00E540BB"/>
    <w:rsid w:val="00E540C1"/>
    <w:rsid w:val="00E54114"/>
    <w:rsid w:val="00E54158"/>
    <w:rsid w:val="00E54185"/>
    <w:rsid w:val="00E54207"/>
    <w:rsid w:val="00E5423C"/>
    <w:rsid w:val="00E54279"/>
    <w:rsid w:val="00E542B9"/>
    <w:rsid w:val="00E542C6"/>
    <w:rsid w:val="00E54304"/>
    <w:rsid w:val="00E54307"/>
    <w:rsid w:val="00E5434D"/>
    <w:rsid w:val="00E5437F"/>
    <w:rsid w:val="00E54386"/>
    <w:rsid w:val="00E54395"/>
    <w:rsid w:val="00E543A7"/>
    <w:rsid w:val="00E543EE"/>
    <w:rsid w:val="00E54429"/>
    <w:rsid w:val="00E544F4"/>
    <w:rsid w:val="00E54522"/>
    <w:rsid w:val="00E54575"/>
    <w:rsid w:val="00E545A0"/>
    <w:rsid w:val="00E5465D"/>
    <w:rsid w:val="00E54694"/>
    <w:rsid w:val="00E546B1"/>
    <w:rsid w:val="00E5478C"/>
    <w:rsid w:val="00E547F9"/>
    <w:rsid w:val="00E5480B"/>
    <w:rsid w:val="00E54873"/>
    <w:rsid w:val="00E54905"/>
    <w:rsid w:val="00E5493D"/>
    <w:rsid w:val="00E54984"/>
    <w:rsid w:val="00E54A45"/>
    <w:rsid w:val="00E54A87"/>
    <w:rsid w:val="00E54AED"/>
    <w:rsid w:val="00E54AFA"/>
    <w:rsid w:val="00E54BB1"/>
    <w:rsid w:val="00E54BCC"/>
    <w:rsid w:val="00E54C19"/>
    <w:rsid w:val="00E54CC2"/>
    <w:rsid w:val="00E54CDC"/>
    <w:rsid w:val="00E54D1E"/>
    <w:rsid w:val="00E54D64"/>
    <w:rsid w:val="00E54D96"/>
    <w:rsid w:val="00E54E16"/>
    <w:rsid w:val="00E54E90"/>
    <w:rsid w:val="00E54ECE"/>
    <w:rsid w:val="00E54F0B"/>
    <w:rsid w:val="00E54F2A"/>
    <w:rsid w:val="00E54F57"/>
    <w:rsid w:val="00E54F8F"/>
    <w:rsid w:val="00E54FBB"/>
    <w:rsid w:val="00E54FC5"/>
    <w:rsid w:val="00E54FFD"/>
    <w:rsid w:val="00E550E1"/>
    <w:rsid w:val="00E551CA"/>
    <w:rsid w:val="00E5525B"/>
    <w:rsid w:val="00E55282"/>
    <w:rsid w:val="00E5528C"/>
    <w:rsid w:val="00E553A9"/>
    <w:rsid w:val="00E553D9"/>
    <w:rsid w:val="00E553E2"/>
    <w:rsid w:val="00E553EB"/>
    <w:rsid w:val="00E553FC"/>
    <w:rsid w:val="00E5542A"/>
    <w:rsid w:val="00E5549C"/>
    <w:rsid w:val="00E55515"/>
    <w:rsid w:val="00E55517"/>
    <w:rsid w:val="00E55612"/>
    <w:rsid w:val="00E55648"/>
    <w:rsid w:val="00E55697"/>
    <w:rsid w:val="00E5570C"/>
    <w:rsid w:val="00E5571D"/>
    <w:rsid w:val="00E557C5"/>
    <w:rsid w:val="00E55913"/>
    <w:rsid w:val="00E559AD"/>
    <w:rsid w:val="00E559C2"/>
    <w:rsid w:val="00E55A5C"/>
    <w:rsid w:val="00E55B88"/>
    <w:rsid w:val="00E55BA8"/>
    <w:rsid w:val="00E55BF1"/>
    <w:rsid w:val="00E55CCA"/>
    <w:rsid w:val="00E55D3F"/>
    <w:rsid w:val="00E55E91"/>
    <w:rsid w:val="00E55F10"/>
    <w:rsid w:val="00E55F2F"/>
    <w:rsid w:val="00E55F5A"/>
    <w:rsid w:val="00E56026"/>
    <w:rsid w:val="00E560B0"/>
    <w:rsid w:val="00E560E2"/>
    <w:rsid w:val="00E5610B"/>
    <w:rsid w:val="00E56135"/>
    <w:rsid w:val="00E56152"/>
    <w:rsid w:val="00E56179"/>
    <w:rsid w:val="00E561A1"/>
    <w:rsid w:val="00E561AE"/>
    <w:rsid w:val="00E561E0"/>
    <w:rsid w:val="00E561EB"/>
    <w:rsid w:val="00E563C3"/>
    <w:rsid w:val="00E563D1"/>
    <w:rsid w:val="00E56458"/>
    <w:rsid w:val="00E56472"/>
    <w:rsid w:val="00E564B3"/>
    <w:rsid w:val="00E564BD"/>
    <w:rsid w:val="00E564CD"/>
    <w:rsid w:val="00E5660E"/>
    <w:rsid w:val="00E566C5"/>
    <w:rsid w:val="00E566D8"/>
    <w:rsid w:val="00E56734"/>
    <w:rsid w:val="00E56805"/>
    <w:rsid w:val="00E56978"/>
    <w:rsid w:val="00E5697E"/>
    <w:rsid w:val="00E56983"/>
    <w:rsid w:val="00E569B1"/>
    <w:rsid w:val="00E569D6"/>
    <w:rsid w:val="00E56A0E"/>
    <w:rsid w:val="00E56A43"/>
    <w:rsid w:val="00E56B89"/>
    <w:rsid w:val="00E56C05"/>
    <w:rsid w:val="00E56C65"/>
    <w:rsid w:val="00E56C70"/>
    <w:rsid w:val="00E56C81"/>
    <w:rsid w:val="00E56CB4"/>
    <w:rsid w:val="00E56CDA"/>
    <w:rsid w:val="00E56D7C"/>
    <w:rsid w:val="00E56DED"/>
    <w:rsid w:val="00E56DF8"/>
    <w:rsid w:val="00E56E1E"/>
    <w:rsid w:val="00E56E22"/>
    <w:rsid w:val="00E56E37"/>
    <w:rsid w:val="00E56E96"/>
    <w:rsid w:val="00E56E9F"/>
    <w:rsid w:val="00E56EE4"/>
    <w:rsid w:val="00E56F1D"/>
    <w:rsid w:val="00E56F58"/>
    <w:rsid w:val="00E56FE9"/>
    <w:rsid w:val="00E5705E"/>
    <w:rsid w:val="00E57060"/>
    <w:rsid w:val="00E57085"/>
    <w:rsid w:val="00E57190"/>
    <w:rsid w:val="00E571AF"/>
    <w:rsid w:val="00E571F7"/>
    <w:rsid w:val="00E57209"/>
    <w:rsid w:val="00E5722F"/>
    <w:rsid w:val="00E57242"/>
    <w:rsid w:val="00E57258"/>
    <w:rsid w:val="00E57269"/>
    <w:rsid w:val="00E572B4"/>
    <w:rsid w:val="00E57322"/>
    <w:rsid w:val="00E57434"/>
    <w:rsid w:val="00E57445"/>
    <w:rsid w:val="00E574A0"/>
    <w:rsid w:val="00E574C1"/>
    <w:rsid w:val="00E574D7"/>
    <w:rsid w:val="00E5750A"/>
    <w:rsid w:val="00E57577"/>
    <w:rsid w:val="00E57649"/>
    <w:rsid w:val="00E576F1"/>
    <w:rsid w:val="00E5773E"/>
    <w:rsid w:val="00E57760"/>
    <w:rsid w:val="00E57805"/>
    <w:rsid w:val="00E57816"/>
    <w:rsid w:val="00E57822"/>
    <w:rsid w:val="00E578CF"/>
    <w:rsid w:val="00E57974"/>
    <w:rsid w:val="00E57979"/>
    <w:rsid w:val="00E579A2"/>
    <w:rsid w:val="00E57A63"/>
    <w:rsid w:val="00E57A9D"/>
    <w:rsid w:val="00E57B21"/>
    <w:rsid w:val="00E57B4C"/>
    <w:rsid w:val="00E57B71"/>
    <w:rsid w:val="00E57B94"/>
    <w:rsid w:val="00E57C23"/>
    <w:rsid w:val="00E57C9D"/>
    <w:rsid w:val="00E57CA2"/>
    <w:rsid w:val="00E57D76"/>
    <w:rsid w:val="00E57DDA"/>
    <w:rsid w:val="00E57E37"/>
    <w:rsid w:val="00E57E55"/>
    <w:rsid w:val="00E57EC4"/>
    <w:rsid w:val="00E60092"/>
    <w:rsid w:val="00E6010A"/>
    <w:rsid w:val="00E6012C"/>
    <w:rsid w:val="00E601C3"/>
    <w:rsid w:val="00E60201"/>
    <w:rsid w:val="00E60277"/>
    <w:rsid w:val="00E60316"/>
    <w:rsid w:val="00E60324"/>
    <w:rsid w:val="00E6033B"/>
    <w:rsid w:val="00E6039D"/>
    <w:rsid w:val="00E60414"/>
    <w:rsid w:val="00E6045D"/>
    <w:rsid w:val="00E60472"/>
    <w:rsid w:val="00E604BC"/>
    <w:rsid w:val="00E604BF"/>
    <w:rsid w:val="00E604FA"/>
    <w:rsid w:val="00E60580"/>
    <w:rsid w:val="00E605EC"/>
    <w:rsid w:val="00E60664"/>
    <w:rsid w:val="00E6067E"/>
    <w:rsid w:val="00E606A3"/>
    <w:rsid w:val="00E6071D"/>
    <w:rsid w:val="00E60882"/>
    <w:rsid w:val="00E6091A"/>
    <w:rsid w:val="00E60922"/>
    <w:rsid w:val="00E60928"/>
    <w:rsid w:val="00E60942"/>
    <w:rsid w:val="00E6094A"/>
    <w:rsid w:val="00E609FA"/>
    <w:rsid w:val="00E60A42"/>
    <w:rsid w:val="00E60A81"/>
    <w:rsid w:val="00E60A87"/>
    <w:rsid w:val="00E60AA3"/>
    <w:rsid w:val="00E60B0A"/>
    <w:rsid w:val="00E60B59"/>
    <w:rsid w:val="00E60B7D"/>
    <w:rsid w:val="00E60BD6"/>
    <w:rsid w:val="00E60C6B"/>
    <w:rsid w:val="00E60CA4"/>
    <w:rsid w:val="00E60CE5"/>
    <w:rsid w:val="00E60CE7"/>
    <w:rsid w:val="00E60CF2"/>
    <w:rsid w:val="00E60D03"/>
    <w:rsid w:val="00E60D18"/>
    <w:rsid w:val="00E60DCB"/>
    <w:rsid w:val="00E60EA5"/>
    <w:rsid w:val="00E60F86"/>
    <w:rsid w:val="00E60FE8"/>
    <w:rsid w:val="00E610ED"/>
    <w:rsid w:val="00E61149"/>
    <w:rsid w:val="00E6115B"/>
    <w:rsid w:val="00E611A2"/>
    <w:rsid w:val="00E611E6"/>
    <w:rsid w:val="00E611FB"/>
    <w:rsid w:val="00E6123F"/>
    <w:rsid w:val="00E61317"/>
    <w:rsid w:val="00E61334"/>
    <w:rsid w:val="00E61351"/>
    <w:rsid w:val="00E61393"/>
    <w:rsid w:val="00E61426"/>
    <w:rsid w:val="00E61434"/>
    <w:rsid w:val="00E61483"/>
    <w:rsid w:val="00E61494"/>
    <w:rsid w:val="00E614B4"/>
    <w:rsid w:val="00E614BC"/>
    <w:rsid w:val="00E61501"/>
    <w:rsid w:val="00E615B7"/>
    <w:rsid w:val="00E615E9"/>
    <w:rsid w:val="00E615FD"/>
    <w:rsid w:val="00E6160D"/>
    <w:rsid w:val="00E61629"/>
    <w:rsid w:val="00E61737"/>
    <w:rsid w:val="00E61742"/>
    <w:rsid w:val="00E6177A"/>
    <w:rsid w:val="00E61789"/>
    <w:rsid w:val="00E61842"/>
    <w:rsid w:val="00E618E1"/>
    <w:rsid w:val="00E619AD"/>
    <w:rsid w:val="00E61ACF"/>
    <w:rsid w:val="00E61AF6"/>
    <w:rsid w:val="00E61B3D"/>
    <w:rsid w:val="00E61B97"/>
    <w:rsid w:val="00E61C54"/>
    <w:rsid w:val="00E61CBA"/>
    <w:rsid w:val="00E61D23"/>
    <w:rsid w:val="00E61D2A"/>
    <w:rsid w:val="00E61D7E"/>
    <w:rsid w:val="00E61DB1"/>
    <w:rsid w:val="00E61DC0"/>
    <w:rsid w:val="00E61DD0"/>
    <w:rsid w:val="00E61DE7"/>
    <w:rsid w:val="00E61E34"/>
    <w:rsid w:val="00E61E8B"/>
    <w:rsid w:val="00E61EAC"/>
    <w:rsid w:val="00E61F0A"/>
    <w:rsid w:val="00E61F2A"/>
    <w:rsid w:val="00E61F69"/>
    <w:rsid w:val="00E61F8E"/>
    <w:rsid w:val="00E61FAB"/>
    <w:rsid w:val="00E61FAD"/>
    <w:rsid w:val="00E6201B"/>
    <w:rsid w:val="00E6205F"/>
    <w:rsid w:val="00E6207F"/>
    <w:rsid w:val="00E620A0"/>
    <w:rsid w:val="00E620F6"/>
    <w:rsid w:val="00E62178"/>
    <w:rsid w:val="00E62206"/>
    <w:rsid w:val="00E6222F"/>
    <w:rsid w:val="00E6226D"/>
    <w:rsid w:val="00E622C7"/>
    <w:rsid w:val="00E622F6"/>
    <w:rsid w:val="00E623A0"/>
    <w:rsid w:val="00E623A9"/>
    <w:rsid w:val="00E623C0"/>
    <w:rsid w:val="00E62408"/>
    <w:rsid w:val="00E6241B"/>
    <w:rsid w:val="00E62445"/>
    <w:rsid w:val="00E6246F"/>
    <w:rsid w:val="00E62472"/>
    <w:rsid w:val="00E624CF"/>
    <w:rsid w:val="00E62542"/>
    <w:rsid w:val="00E6256B"/>
    <w:rsid w:val="00E625B0"/>
    <w:rsid w:val="00E625CC"/>
    <w:rsid w:val="00E6260E"/>
    <w:rsid w:val="00E626C6"/>
    <w:rsid w:val="00E626E8"/>
    <w:rsid w:val="00E62712"/>
    <w:rsid w:val="00E627B1"/>
    <w:rsid w:val="00E62846"/>
    <w:rsid w:val="00E62AA6"/>
    <w:rsid w:val="00E62BAD"/>
    <w:rsid w:val="00E62C76"/>
    <w:rsid w:val="00E62CE6"/>
    <w:rsid w:val="00E62D3D"/>
    <w:rsid w:val="00E62DBF"/>
    <w:rsid w:val="00E62E5E"/>
    <w:rsid w:val="00E62E62"/>
    <w:rsid w:val="00E62E94"/>
    <w:rsid w:val="00E62EAE"/>
    <w:rsid w:val="00E62ED3"/>
    <w:rsid w:val="00E62F06"/>
    <w:rsid w:val="00E62F77"/>
    <w:rsid w:val="00E62FDD"/>
    <w:rsid w:val="00E62FF6"/>
    <w:rsid w:val="00E63046"/>
    <w:rsid w:val="00E6305C"/>
    <w:rsid w:val="00E63141"/>
    <w:rsid w:val="00E6315F"/>
    <w:rsid w:val="00E6316C"/>
    <w:rsid w:val="00E6317F"/>
    <w:rsid w:val="00E6319A"/>
    <w:rsid w:val="00E631F4"/>
    <w:rsid w:val="00E63293"/>
    <w:rsid w:val="00E63294"/>
    <w:rsid w:val="00E632B0"/>
    <w:rsid w:val="00E632EB"/>
    <w:rsid w:val="00E632FC"/>
    <w:rsid w:val="00E63305"/>
    <w:rsid w:val="00E6331F"/>
    <w:rsid w:val="00E6332C"/>
    <w:rsid w:val="00E63398"/>
    <w:rsid w:val="00E633B0"/>
    <w:rsid w:val="00E633FC"/>
    <w:rsid w:val="00E63411"/>
    <w:rsid w:val="00E634CD"/>
    <w:rsid w:val="00E6354B"/>
    <w:rsid w:val="00E63579"/>
    <w:rsid w:val="00E6358D"/>
    <w:rsid w:val="00E6361E"/>
    <w:rsid w:val="00E63636"/>
    <w:rsid w:val="00E636A0"/>
    <w:rsid w:val="00E636B0"/>
    <w:rsid w:val="00E63725"/>
    <w:rsid w:val="00E637B7"/>
    <w:rsid w:val="00E637FE"/>
    <w:rsid w:val="00E6384B"/>
    <w:rsid w:val="00E6384E"/>
    <w:rsid w:val="00E638B3"/>
    <w:rsid w:val="00E6391D"/>
    <w:rsid w:val="00E63963"/>
    <w:rsid w:val="00E63999"/>
    <w:rsid w:val="00E63A36"/>
    <w:rsid w:val="00E63A73"/>
    <w:rsid w:val="00E63A93"/>
    <w:rsid w:val="00E63AB0"/>
    <w:rsid w:val="00E63AC3"/>
    <w:rsid w:val="00E63AC7"/>
    <w:rsid w:val="00E63AFA"/>
    <w:rsid w:val="00E63B54"/>
    <w:rsid w:val="00E63B77"/>
    <w:rsid w:val="00E63BB1"/>
    <w:rsid w:val="00E63BD4"/>
    <w:rsid w:val="00E63CA3"/>
    <w:rsid w:val="00E63CF1"/>
    <w:rsid w:val="00E63D58"/>
    <w:rsid w:val="00E63DA0"/>
    <w:rsid w:val="00E63DB8"/>
    <w:rsid w:val="00E63E56"/>
    <w:rsid w:val="00E63E5E"/>
    <w:rsid w:val="00E63ECA"/>
    <w:rsid w:val="00E63FAA"/>
    <w:rsid w:val="00E63FCB"/>
    <w:rsid w:val="00E6400F"/>
    <w:rsid w:val="00E64036"/>
    <w:rsid w:val="00E6407E"/>
    <w:rsid w:val="00E64086"/>
    <w:rsid w:val="00E640DC"/>
    <w:rsid w:val="00E64112"/>
    <w:rsid w:val="00E6416D"/>
    <w:rsid w:val="00E641E3"/>
    <w:rsid w:val="00E6429B"/>
    <w:rsid w:val="00E642FF"/>
    <w:rsid w:val="00E6433A"/>
    <w:rsid w:val="00E6439E"/>
    <w:rsid w:val="00E644AC"/>
    <w:rsid w:val="00E64566"/>
    <w:rsid w:val="00E64627"/>
    <w:rsid w:val="00E646A1"/>
    <w:rsid w:val="00E646A4"/>
    <w:rsid w:val="00E646B4"/>
    <w:rsid w:val="00E64725"/>
    <w:rsid w:val="00E64733"/>
    <w:rsid w:val="00E6475A"/>
    <w:rsid w:val="00E64786"/>
    <w:rsid w:val="00E647BD"/>
    <w:rsid w:val="00E648CB"/>
    <w:rsid w:val="00E6493B"/>
    <w:rsid w:val="00E649F9"/>
    <w:rsid w:val="00E64A06"/>
    <w:rsid w:val="00E64A4D"/>
    <w:rsid w:val="00E64A69"/>
    <w:rsid w:val="00E64A71"/>
    <w:rsid w:val="00E64A73"/>
    <w:rsid w:val="00E64B5E"/>
    <w:rsid w:val="00E64B98"/>
    <w:rsid w:val="00E64BB8"/>
    <w:rsid w:val="00E64C88"/>
    <w:rsid w:val="00E64C98"/>
    <w:rsid w:val="00E64CC8"/>
    <w:rsid w:val="00E64D2E"/>
    <w:rsid w:val="00E6500C"/>
    <w:rsid w:val="00E65039"/>
    <w:rsid w:val="00E6504A"/>
    <w:rsid w:val="00E65050"/>
    <w:rsid w:val="00E65087"/>
    <w:rsid w:val="00E6508A"/>
    <w:rsid w:val="00E650AB"/>
    <w:rsid w:val="00E65156"/>
    <w:rsid w:val="00E65162"/>
    <w:rsid w:val="00E6517A"/>
    <w:rsid w:val="00E65183"/>
    <w:rsid w:val="00E652A1"/>
    <w:rsid w:val="00E652F7"/>
    <w:rsid w:val="00E65306"/>
    <w:rsid w:val="00E6536F"/>
    <w:rsid w:val="00E654C1"/>
    <w:rsid w:val="00E655B9"/>
    <w:rsid w:val="00E655D9"/>
    <w:rsid w:val="00E655E8"/>
    <w:rsid w:val="00E6563C"/>
    <w:rsid w:val="00E65644"/>
    <w:rsid w:val="00E65701"/>
    <w:rsid w:val="00E65776"/>
    <w:rsid w:val="00E65789"/>
    <w:rsid w:val="00E657BE"/>
    <w:rsid w:val="00E657C8"/>
    <w:rsid w:val="00E6583F"/>
    <w:rsid w:val="00E658C9"/>
    <w:rsid w:val="00E6596E"/>
    <w:rsid w:val="00E65A0A"/>
    <w:rsid w:val="00E65A13"/>
    <w:rsid w:val="00E65B1B"/>
    <w:rsid w:val="00E65B2F"/>
    <w:rsid w:val="00E65B74"/>
    <w:rsid w:val="00E65B82"/>
    <w:rsid w:val="00E65BB4"/>
    <w:rsid w:val="00E65BF4"/>
    <w:rsid w:val="00E65C46"/>
    <w:rsid w:val="00E65D7E"/>
    <w:rsid w:val="00E65D92"/>
    <w:rsid w:val="00E65E30"/>
    <w:rsid w:val="00E65EE3"/>
    <w:rsid w:val="00E65F02"/>
    <w:rsid w:val="00E65F37"/>
    <w:rsid w:val="00E6603E"/>
    <w:rsid w:val="00E66050"/>
    <w:rsid w:val="00E66083"/>
    <w:rsid w:val="00E660D9"/>
    <w:rsid w:val="00E66109"/>
    <w:rsid w:val="00E66156"/>
    <w:rsid w:val="00E66193"/>
    <w:rsid w:val="00E66206"/>
    <w:rsid w:val="00E6628E"/>
    <w:rsid w:val="00E662AA"/>
    <w:rsid w:val="00E662B4"/>
    <w:rsid w:val="00E662E7"/>
    <w:rsid w:val="00E662EA"/>
    <w:rsid w:val="00E66309"/>
    <w:rsid w:val="00E663C1"/>
    <w:rsid w:val="00E663D6"/>
    <w:rsid w:val="00E66466"/>
    <w:rsid w:val="00E664E8"/>
    <w:rsid w:val="00E664FB"/>
    <w:rsid w:val="00E6656E"/>
    <w:rsid w:val="00E66570"/>
    <w:rsid w:val="00E665C3"/>
    <w:rsid w:val="00E665EC"/>
    <w:rsid w:val="00E665F6"/>
    <w:rsid w:val="00E665FC"/>
    <w:rsid w:val="00E666A5"/>
    <w:rsid w:val="00E666FA"/>
    <w:rsid w:val="00E66718"/>
    <w:rsid w:val="00E6677E"/>
    <w:rsid w:val="00E667A7"/>
    <w:rsid w:val="00E667DA"/>
    <w:rsid w:val="00E66807"/>
    <w:rsid w:val="00E6680E"/>
    <w:rsid w:val="00E66888"/>
    <w:rsid w:val="00E668EC"/>
    <w:rsid w:val="00E66901"/>
    <w:rsid w:val="00E669E1"/>
    <w:rsid w:val="00E66A48"/>
    <w:rsid w:val="00E66A7A"/>
    <w:rsid w:val="00E66B4C"/>
    <w:rsid w:val="00E66B55"/>
    <w:rsid w:val="00E66B66"/>
    <w:rsid w:val="00E66BA5"/>
    <w:rsid w:val="00E66BCE"/>
    <w:rsid w:val="00E66BE1"/>
    <w:rsid w:val="00E66BFF"/>
    <w:rsid w:val="00E66CC0"/>
    <w:rsid w:val="00E66D37"/>
    <w:rsid w:val="00E66DCB"/>
    <w:rsid w:val="00E66E08"/>
    <w:rsid w:val="00E66E2E"/>
    <w:rsid w:val="00E66E51"/>
    <w:rsid w:val="00E66E6B"/>
    <w:rsid w:val="00E66EDB"/>
    <w:rsid w:val="00E6701C"/>
    <w:rsid w:val="00E6705A"/>
    <w:rsid w:val="00E6706E"/>
    <w:rsid w:val="00E67091"/>
    <w:rsid w:val="00E67105"/>
    <w:rsid w:val="00E671A9"/>
    <w:rsid w:val="00E6723D"/>
    <w:rsid w:val="00E67241"/>
    <w:rsid w:val="00E672B4"/>
    <w:rsid w:val="00E67316"/>
    <w:rsid w:val="00E6732A"/>
    <w:rsid w:val="00E67397"/>
    <w:rsid w:val="00E67411"/>
    <w:rsid w:val="00E67564"/>
    <w:rsid w:val="00E67573"/>
    <w:rsid w:val="00E675CC"/>
    <w:rsid w:val="00E6767F"/>
    <w:rsid w:val="00E677BD"/>
    <w:rsid w:val="00E677D5"/>
    <w:rsid w:val="00E677E9"/>
    <w:rsid w:val="00E67820"/>
    <w:rsid w:val="00E67825"/>
    <w:rsid w:val="00E67869"/>
    <w:rsid w:val="00E67891"/>
    <w:rsid w:val="00E6789A"/>
    <w:rsid w:val="00E678BC"/>
    <w:rsid w:val="00E678E4"/>
    <w:rsid w:val="00E6793D"/>
    <w:rsid w:val="00E67946"/>
    <w:rsid w:val="00E6798D"/>
    <w:rsid w:val="00E679A9"/>
    <w:rsid w:val="00E679BD"/>
    <w:rsid w:val="00E679E4"/>
    <w:rsid w:val="00E67A14"/>
    <w:rsid w:val="00E67A4F"/>
    <w:rsid w:val="00E67A70"/>
    <w:rsid w:val="00E67B04"/>
    <w:rsid w:val="00E67B76"/>
    <w:rsid w:val="00E67B9D"/>
    <w:rsid w:val="00E67C16"/>
    <w:rsid w:val="00E67C46"/>
    <w:rsid w:val="00E67C77"/>
    <w:rsid w:val="00E67DB6"/>
    <w:rsid w:val="00E67E8A"/>
    <w:rsid w:val="00E67F0F"/>
    <w:rsid w:val="00E67F2F"/>
    <w:rsid w:val="00E67F67"/>
    <w:rsid w:val="00E70047"/>
    <w:rsid w:val="00E700EB"/>
    <w:rsid w:val="00E7011F"/>
    <w:rsid w:val="00E7015D"/>
    <w:rsid w:val="00E7017D"/>
    <w:rsid w:val="00E701FD"/>
    <w:rsid w:val="00E70258"/>
    <w:rsid w:val="00E70269"/>
    <w:rsid w:val="00E702F2"/>
    <w:rsid w:val="00E70328"/>
    <w:rsid w:val="00E703D1"/>
    <w:rsid w:val="00E70403"/>
    <w:rsid w:val="00E7042D"/>
    <w:rsid w:val="00E704D5"/>
    <w:rsid w:val="00E7052D"/>
    <w:rsid w:val="00E7057F"/>
    <w:rsid w:val="00E705C0"/>
    <w:rsid w:val="00E705DA"/>
    <w:rsid w:val="00E70699"/>
    <w:rsid w:val="00E7069E"/>
    <w:rsid w:val="00E706A9"/>
    <w:rsid w:val="00E706AA"/>
    <w:rsid w:val="00E70748"/>
    <w:rsid w:val="00E707B2"/>
    <w:rsid w:val="00E707C4"/>
    <w:rsid w:val="00E70827"/>
    <w:rsid w:val="00E7089D"/>
    <w:rsid w:val="00E70991"/>
    <w:rsid w:val="00E70ACB"/>
    <w:rsid w:val="00E70AD4"/>
    <w:rsid w:val="00E70AEC"/>
    <w:rsid w:val="00E70B95"/>
    <w:rsid w:val="00E70C4A"/>
    <w:rsid w:val="00E70C57"/>
    <w:rsid w:val="00E70CFA"/>
    <w:rsid w:val="00E70D0D"/>
    <w:rsid w:val="00E70D13"/>
    <w:rsid w:val="00E70D16"/>
    <w:rsid w:val="00E70DCC"/>
    <w:rsid w:val="00E70E05"/>
    <w:rsid w:val="00E70EF2"/>
    <w:rsid w:val="00E70F23"/>
    <w:rsid w:val="00E70F49"/>
    <w:rsid w:val="00E70F68"/>
    <w:rsid w:val="00E7102A"/>
    <w:rsid w:val="00E7102D"/>
    <w:rsid w:val="00E71045"/>
    <w:rsid w:val="00E71218"/>
    <w:rsid w:val="00E7125B"/>
    <w:rsid w:val="00E71264"/>
    <w:rsid w:val="00E71291"/>
    <w:rsid w:val="00E712A4"/>
    <w:rsid w:val="00E71309"/>
    <w:rsid w:val="00E7136A"/>
    <w:rsid w:val="00E7142B"/>
    <w:rsid w:val="00E714CF"/>
    <w:rsid w:val="00E714DD"/>
    <w:rsid w:val="00E715B5"/>
    <w:rsid w:val="00E715D5"/>
    <w:rsid w:val="00E715E5"/>
    <w:rsid w:val="00E715EF"/>
    <w:rsid w:val="00E71653"/>
    <w:rsid w:val="00E716AE"/>
    <w:rsid w:val="00E71708"/>
    <w:rsid w:val="00E7183E"/>
    <w:rsid w:val="00E718A9"/>
    <w:rsid w:val="00E718EB"/>
    <w:rsid w:val="00E718EF"/>
    <w:rsid w:val="00E7196A"/>
    <w:rsid w:val="00E71994"/>
    <w:rsid w:val="00E719B1"/>
    <w:rsid w:val="00E719F0"/>
    <w:rsid w:val="00E719FD"/>
    <w:rsid w:val="00E71A10"/>
    <w:rsid w:val="00E71A5C"/>
    <w:rsid w:val="00E71ADA"/>
    <w:rsid w:val="00E71B06"/>
    <w:rsid w:val="00E71B2B"/>
    <w:rsid w:val="00E71B51"/>
    <w:rsid w:val="00E71B73"/>
    <w:rsid w:val="00E71C67"/>
    <w:rsid w:val="00E71D26"/>
    <w:rsid w:val="00E71D64"/>
    <w:rsid w:val="00E71D68"/>
    <w:rsid w:val="00E71E04"/>
    <w:rsid w:val="00E71E0B"/>
    <w:rsid w:val="00E71E1B"/>
    <w:rsid w:val="00E71E30"/>
    <w:rsid w:val="00E71EB0"/>
    <w:rsid w:val="00E71EC7"/>
    <w:rsid w:val="00E71F19"/>
    <w:rsid w:val="00E71FDD"/>
    <w:rsid w:val="00E7200E"/>
    <w:rsid w:val="00E7209E"/>
    <w:rsid w:val="00E720FE"/>
    <w:rsid w:val="00E72112"/>
    <w:rsid w:val="00E72137"/>
    <w:rsid w:val="00E7219D"/>
    <w:rsid w:val="00E72203"/>
    <w:rsid w:val="00E7220D"/>
    <w:rsid w:val="00E7220F"/>
    <w:rsid w:val="00E722A9"/>
    <w:rsid w:val="00E72358"/>
    <w:rsid w:val="00E72370"/>
    <w:rsid w:val="00E7238F"/>
    <w:rsid w:val="00E724C3"/>
    <w:rsid w:val="00E724E1"/>
    <w:rsid w:val="00E724E8"/>
    <w:rsid w:val="00E7252D"/>
    <w:rsid w:val="00E7256F"/>
    <w:rsid w:val="00E725A4"/>
    <w:rsid w:val="00E725BB"/>
    <w:rsid w:val="00E72626"/>
    <w:rsid w:val="00E72627"/>
    <w:rsid w:val="00E72631"/>
    <w:rsid w:val="00E72693"/>
    <w:rsid w:val="00E7273A"/>
    <w:rsid w:val="00E7273C"/>
    <w:rsid w:val="00E7274D"/>
    <w:rsid w:val="00E72757"/>
    <w:rsid w:val="00E72797"/>
    <w:rsid w:val="00E727C5"/>
    <w:rsid w:val="00E72844"/>
    <w:rsid w:val="00E7288C"/>
    <w:rsid w:val="00E728DE"/>
    <w:rsid w:val="00E728E1"/>
    <w:rsid w:val="00E728FF"/>
    <w:rsid w:val="00E7294C"/>
    <w:rsid w:val="00E72998"/>
    <w:rsid w:val="00E729FC"/>
    <w:rsid w:val="00E72A8D"/>
    <w:rsid w:val="00E72AEF"/>
    <w:rsid w:val="00E72B47"/>
    <w:rsid w:val="00E72BFE"/>
    <w:rsid w:val="00E72C16"/>
    <w:rsid w:val="00E72CD4"/>
    <w:rsid w:val="00E72D03"/>
    <w:rsid w:val="00E72D21"/>
    <w:rsid w:val="00E72DF3"/>
    <w:rsid w:val="00E72EA8"/>
    <w:rsid w:val="00E72EDB"/>
    <w:rsid w:val="00E72EE0"/>
    <w:rsid w:val="00E72EE9"/>
    <w:rsid w:val="00E72F8A"/>
    <w:rsid w:val="00E72FC3"/>
    <w:rsid w:val="00E72FE4"/>
    <w:rsid w:val="00E7300E"/>
    <w:rsid w:val="00E7303A"/>
    <w:rsid w:val="00E73049"/>
    <w:rsid w:val="00E73064"/>
    <w:rsid w:val="00E730DE"/>
    <w:rsid w:val="00E73166"/>
    <w:rsid w:val="00E731D8"/>
    <w:rsid w:val="00E731EB"/>
    <w:rsid w:val="00E73236"/>
    <w:rsid w:val="00E7323A"/>
    <w:rsid w:val="00E73277"/>
    <w:rsid w:val="00E732A7"/>
    <w:rsid w:val="00E73311"/>
    <w:rsid w:val="00E733AC"/>
    <w:rsid w:val="00E7345B"/>
    <w:rsid w:val="00E73593"/>
    <w:rsid w:val="00E735F9"/>
    <w:rsid w:val="00E736A9"/>
    <w:rsid w:val="00E736AF"/>
    <w:rsid w:val="00E736D2"/>
    <w:rsid w:val="00E73757"/>
    <w:rsid w:val="00E73771"/>
    <w:rsid w:val="00E73819"/>
    <w:rsid w:val="00E738C4"/>
    <w:rsid w:val="00E7392E"/>
    <w:rsid w:val="00E7394E"/>
    <w:rsid w:val="00E739DF"/>
    <w:rsid w:val="00E73ABF"/>
    <w:rsid w:val="00E73AC4"/>
    <w:rsid w:val="00E73AF5"/>
    <w:rsid w:val="00E73AF8"/>
    <w:rsid w:val="00E73AFE"/>
    <w:rsid w:val="00E73B44"/>
    <w:rsid w:val="00E73B6F"/>
    <w:rsid w:val="00E73BD8"/>
    <w:rsid w:val="00E73C1B"/>
    <w:rsid w:val="00E73C2B"/>
    <w:rsid w:val="00E73D2D"/>
    <w:rsid w:val="00E73D82"/>
    <w:rsid w:val="00E73DD8"/>
    <w:rsid w:val="00E73DFC"/>
    <w:rsid w:val="00E73E09"/>
    <w:rsid w:val="00E73E8A"/>
    <w:rsid w:val="00E73F32"/>
    <w:rsid w:val="00E73F71"/>
    <w:rsid w:val="00E73FAB"/>
    <w:rsid w:val="00E74064"/>
    <w:rsid w:val="00E740E6"/>
    <w:rsid w:val="00E7428E"/>
    <w:rsid w:val="00E74299"/>
    <w:rsid w:val="00E74304"/>
    <w:rsid w:val="00E74318"/>
    <w:rsid w:val="00E74391"/>
    <w:rsid w:val="00E743AF"/>
    <w:rsid w:val="00E743F0"/>
    <w:rsid w:val="00E7447C"/>
    <w:rsid w:val="00E7449D"/>
    <w:rsid w:val="00E74536"/>
    <w:rsid w:val="00E74577"/>
    <w:rsid w:val="00E7457D"/>
    <w:rsid w:val="00E7459A"/>
    <w:rsid w:val="00E745ED"/>
    <w:rsid w:val="00E7462C"/>
    <w:rsid w:val="00E74675"/>
    <w:rsid w:val="00E746B2"/>
    <w:rsid w:val="00E746DC"/>
    <w:rsid w:val="00E74813"/>
    <w:rsid w:val="00E74845"/>
    <w:rsid w:val="00E74890"/>
    <w:rsid w:val="00E748BA"/>
    <w:rsid w:val="00E748F5"/>
    <w:rsid w:val="00E7499B"/>
    <w:rsid w:val="00E749A5"/>
    <w:rsid w:val="00E74A1D"/>
    <w:rsid w:val="00E74A69"/>
    <w:rsid w:val="00E74B27"/>
    <w:rsid w:val="00E74B3E"/>
    <w:rsid w:val="00E74C0F"/>
    <w:rsid w:val="00E74C31"/>
    <w:rsid w:val="00E74C65"/>
    <w:rsid w:val="00E74D63"/>
    <w:rsid w:val="00E74DF5"/>
    <w:rsid w:val="00E74E1D"/>
    <w:rsid w:val="00E74E8F"/>
    <w:rsid w:val="00E74E94"/>
    <w:rsid w:val="00E74EC0"/>
    <w:rsid w:val="00E74F51"/>
    <w:rsid w:val="00E74F54"/>
    <w:rsid w:val="00E74FE2"/>
    <w:rsid w:val="00E75009"/>
    <w:rsid w:val="00E75028"/>
    <w:rsid w:val="00E750BF"/>
    <w:rsid w:val="00E7510E"/>
    <w:rsid w:val="00E75127"/>
    <w:rsid w:val="00E7517B"/>
    <w:rsid w:val="00E75234"/>
    <w:rsid w:val="00E752EF"/>
    <w:rsid w:val="00E75306"/>
    <w:rsid w:val="00E75377"/>
    <w:rsid w:val="00E7540F"/>
    <w:rsid w:val="00E75431"/>
    <w:rsid w:val="00E754DC"/>
    <w:rsid w:val="00E755E2"/>
    <w:rsid w:val="00E7561F"/>
    <w:rsid w:val="00E75640"/>
    <w:rsid w:val="00E75643"/>
    <w:rsid w:val="00E75657"/>
    <w:rsid w:val="00E756D3"/>
    <w:rsid w:val="00E756EF"/>
    <w:rsid w:val="00E7570B"/>
    <w:rsid w:val="00E75733"/>
    <w:rsid w:val="00E7576F"/>
    <w:rsid w:val="00E757E5"/>
    <w:rsid w:val="00E757ED"/>
    <w:rsid w:val="00E757FE"/>
    <w:rsid w:val="00E7582B"/>
    <w:rsid w:val="00E758D1"/>
    <w:rsid w:val="00E758DA"/>
    <w:rsid w:val="00E75997"/>
    <w:rsid w:val="00E75A0A"/>
    <w:rsid w:val="00E75AC9"/>
    <w:rsid w:val="00E75B2F"/>
    <w:rsid w:val="00E75B8B"/>
    <w:rsid w:val="00E75C1E"/>
    <w:rsid w:val="00E75C29"/>
    <w:rsid w:val="00E75C95"/>
    <w:rsid w:val="00E75CC2"/>
    <w:rsid w:val="00E75D0D"/>
    <w:rsid w:val="00E75DAD"/>
    <w:rsid w:val="00E75DD7"/>
    <w:rsid w:val="00E75DEF"/>
    <w:rsid w:val="00E75E49"/>
    <w:rsid w:val="00E75EFD"/>
    <w:rsid w:val="00E75F03"/>
    <w:rsid w:val="00E75F49"/>
    <w:rsid w:val="00E75F62"/>
    <w:rsid w:val="00E76004"/>
    <w:rsid w:val="00E76043"/>
    <w:rsid w:val="00E76078"/>
    <w:rsid w:val="00E760E4"/>
    <w:rsid w:val="00E76189"/>
    <w:rsid w:val="00E7619C"/>
    <w:rsid w:val="00E761A6"/>
    <w:rsid w:val="00E761B0"/>
    <w:rsid w:val="00E761CC"/>
    <w:rsid w:val="00E762CC"/>
    <w:rsid w:val="00E76315"/>
    <w:rsid w:val="00E76345"/>
    <w:rsid w:val="00E76375"/>
    <w:rsid w:val="00E76396"/>
    <w:rsid w:val="00E763CA"/>
    <w:rsid w:val="00E76407"/>
    <w:rsid w:val="00E765B9"/>
    <w:rsid w:val="00E765D6"/>
    <w:rsid w:val="00E76611"/>
    <w:rsid w:val="00E76667"/>
    <w:rsid w:val="00E76697"/>
    <w:rsid w:val="00E76724"/>
    <w:rsid w:val="00E767D9"/>
    <w:rsid w:val="00E7687A"/>
    <w:rsid w:val="00E768ED"/>
    <w:rsid w:val="00E76926"/>
    <w:rsid w:val="00E769AB"/>
    <w:rsid w:val="00E769C4"/>
    <w:rsid w:val="00E76A03"/>
    <w:rsid w:val="00E76A6E"/>
    <w:rsid w:val="00E76AC3"/>
    <w:rsid w:val="00E76AF9"/>
    <w:rsid w:val="00E76B08"/>
    <w:rsid w:val="00E76B9A"/>
    <w:rsid w:val="00E76CA3"/>
    <w:rsid w:val="00E76CF8"/>
    <w:rsid w:val="00E76D10"/>
    <w:rsid w:val="00E76D42"/>
    <w:rsid w:val="00E76DAB"/>
    <w:rsid w:val="00E76E16"/>
    <w:rsid w:val="00E76E22"/>
    <w:rsid w:val="00E76F23"/>
    <w:rsid w:val="00E77066"/>
    <w:rsid w:val="00E770A8"/>
    <w:rsid w:val="00E770EA"/>
    <w:rsid w:val="00E77126"/>
    <w:rsid w:val="00E77184"/>
    <w:rsid w:val="00E771C2"/>
    <w:rsid w:val="00E771CD"/>
    <w:rsid w:val="00E771E6"/>
    <w:rsid w:val="00E771E7"/>
    <w:rsid w:val="00E771EA"/>
    <w:rsid w:val="00E77242"/>
    <w:rsid w:val="00E7728E"/>
    <w:rsid w:val="00E773B3"/>
    <w:rsid w:val="00E773B4"/>
    <w:rsid w:val="00E77499"/>
    <w:rsid w:val="00E774ED"/>
    <w:rsid w:val="00E77510"/>
    <w:rsid w:val="00E77559"/>
    <w:rsid w:val="00E77638"/>
    <w:rsid w:val="00E776C1"/>
    <w:rsid w:val="00E77712"/>
    <w:rsid w:val="00E7771B"/>
    <w:rsid w:val="00E77807"/>
    <w:rsid w:val="00E7784B"/>
    <w:rsid w:val="00E7788B"/>
    <w:rsid w:val="00E778AC"/>
    <w:rsid w:val="00E778C0"/>
    <w:rsid w:val="00E77903"/>
    <w:rsid w:val="00E7792A"/>
    <w:rsid w:val="00E77991"/>
    <w:rsid w:val="00E779ED"/>
    <w:rsid w:val="00E779FA"/>
    <w:rsid w:val="00E77A14"/>
    <w:rsid w:val="00E77A9B"/>
    <w:rsid w:val="00E77ADA"/>
    <w:rsid w:val="00E77AE7"/>
    <w:rsid w:val="00E77AF6"/>
    <w:rsid w:val="00E77BA9"/>
    <w:rsid w:val="00E77BD9"/>
    <w:rsid w:val="00E77C11"/>
    <w:rsid w:val="00E77C54"/>
    <w:rsid w:val="00E77C6C"/>
    <w:rsid w:val="00E77C78"/>
    <w:rsid w:val="00E77C95"/>
    <w:rsid w:val="00E77DE2"/>
    <w:rsid w:val="00E77DF8"/>
    <w:rsid w:val="00E77E0A"/>
    <w:rsid w:val="00E77E46"/>
    <w:rsid w:val="00E77E6A"/>
    <w:rsid w:val="00E77F3E"/>
    <w:rsid w:val="00E77F51"/>
    <w:rsid w:val="00E77F5A"/>
    <w:rsid w:val="00E77F5F"/>
    <w:rsid w:val="00E77FB0"/>
    <w:rsid w:val="00E77FEB"/>
    <w:rsid w:val="00E80022"/>
    <w:rsid w:val="00E8004F"/>
    <w:rsid w:val="00E80101"/>
    <w:rsid w:val="00E80161"/>
    <w:rsid w:val="00E80176"/>
    <w:rsid w:val="00E8018E"/>
    <w:rsid w:val="00E801CB"/>
    <w:rsid w:val="00E80284"/>
    <w:rsid w:val="00E802A5"/>
    <w:rsid w:val="00E802D5"/>
    <w:rsid w:val="00E802EE"/>
    <w:rsid w:val="00E8030F"/>
    <w:rsid w:val="00E803F7"/>
    <w:rsid w:val="00E80400"/>
    <w:rsid w:val="00E80420"/>
    <w:rsid w:val="00E8043F"/>
    <w:rsid w:val="00E80443"/>
    <w:rsid w:val="00E8044E"/>
    <w:rsid w:val="00E80480"/>
    <w:rsid w:val="00E804F8"/>
    <w:rsid w:val="00E8055D"/>
    <w:rsid w:val="00E80577"/>
    <w:rsid w:val="00E8063F"/>
    <w:rsid w:val="00E80640"/>
    <w:rsid w:val="00E80694"/>
    <w:rsid w:val="00E80720"/>
    <w:rsid w:val="00E8072C"/>
    <w:rsid w:val="00E807C3"/>
    <w:rsid w:val="00E807F1"/>
    <w:rsid w:val="00E8080C"/>
    <w:rsid w:val="00E80835"/>
    <w:rsid w:val="00E80841"/>
    <w:rsid w:val="00E80874"/>
    <w:rsid w:val="00E808D6"/>
    <w:rsid w:val="00E808FD"/>
    <w:rsid w:val="00E809B3"/>
    <w:rsid w:val="00E809FD"/>
    <w:rsid w:val="00E80A5B"/>
    <w:rsid w:val="00E80A60"/>
    <w:rsid w:val="00E80B3B"/>
    <w:rsid w:val="00E80BCA"/>
    <w:rsid w:val="00E80BDD"/>
    <w:rsid w:val="00E80C40"/>
    <w:rsid w:val="00E80C9C"/>
    <w:rsid w:val="00E80D64"/>
    <w:rsid w:val="00E80EAD"/>
    <w:rsid w:val="00E80F72"/>
    <w:rsid w:val="00E8103B"/>
    <w:rsid w:val="00E8112F"/>
    <w:rsid w:val="00E81202"/>
    <w:rsid w:val="00E812BE"/>
    <w:rsid w:val="00E81425"/>
    <w:rsid w:val="00E81585"/>
    <w:rsid w:val="00E815F9"/>
    <w:rsid w:val="00E8161E"/>
    <w:rsid w:val="00E81823"/>
    <w:rsid w:val="00E8182C"/>
    <w:rsid w:val="00E81869"/>
    <w:rsid w:val="00E8187A"/>
    <w:rsid w:val="00E8189B"/>
    <w:rsid w:val="00E818B3"/>
    <w:rsid w:val="00E8193D"/>
    <w:rsid w:val="00E81941"/>
    <w:rsid w:val="00E81A31"/>
    <w:rsid w:val="00E81A60"/>
    <w:rsid w:val="00E81A7B"/>
    <w:rsid w:val="00E81A8F"/>
    <w:rsid w:val="00E81B2D"/>
    <w:rsid w:val="00E81BE8"/>
    <w:rsid w:val="00E81C26"/>
    <w:rsid w:val="00E81CAC"/>
    <w:rsid w:val="00E81CE4"/>
    <w:rsid w:val="00E81CFE"/>
    <w:rsid w:val="00E81D26"/>
    <w:rsid w:val="00E81D34"/>
    <w:rsid w:val="00E81DA6"/>
    <w:rsid w:val="00E81E25"/>
    <w:rsid w:val="00E81E7E"/>
    <w:rsid w:val="00E81EA4"/>
    <w:rsid w:val="00E81EEF"/>
    <w:rsid w:val="00E81EF2"/>
    <w:rsid w:val="00E81EFE"/>
    <w:rsid w:val="00E81F04"/>
    <w:rsid w:val="00E81F29"/>
    <w:rsid w:val="00E81F90"/>
    <w:rsid w:val="00E81F9C"/>
    <w:rsid w:val="00E82086"/>
    <w:rsid w:val="00E820FE"/>
    <w:rsid w:val="00E8219F"/>
    <w:rsid w:val="00E821B0"/>
    <w:rsid w:val="00E821F6"/>
    <w:rsid w:val="00E82210"/>
    <w:rsid w:val="00E8227E"/>
    <w:rsid w:val="00E822BC"/>
    <w:rsid w:val="00E8232D"/>
    <w:rsid w:val="00E8235B"/>
    <w:rsid w:val="00E823DA"/>
    <w:rsid w:val="00E823E6"/>
    <w:rsid w:val="00E82403"/>
    <w:rsid w:val="00E82413"/>
    <w:rsid w:val="00E82422"/>
    <w:rsid w:val="00E82565"/>
    <w:rsid w:val="00E8256E"/>
    <w:rsid w:val="00E82596"/>
    <w:rsid w:val="00E825AD"/>
    <w:rsid w:val="00E825B5"/>
    <w:rsid w:val="00E825FB"/>
    <w:rsid w:val="00E82613"/>
    <w:rsid w:val="00E82651"/>
    <w:rsid w:val="00E8269C"/>
    <w:rsid w:val="00E8271C"/>
    <w:rsid w:val="00E8277B"/>
    <w:rsid w:val="00E8278C"/>
    <w:rsid w:val="00E827B9"/>
    <w:rsid w:val="00E82802"/>
    <w:rsid w:val="00E82852"/>
    <w:rsid w:val="00E828B2"/>
    <w:rsid w:val="00E828B8"/>
    <w:rsid w:val="00E82947"/>
    <w:rsid w:val="00E82A20"/>
    <w:rsid w:val="00E82A39"/>
    <w:rsid w:val="00E82A43"/>
    <w:rsid w:val="00E82A78"/>
    <w:rsid w:val="00E82A9C"/>
    <w:rsid w:val="00E82B75"/>
    <w:rsid w:val="00E82C67"/>
    <w:rsid w:val="00E82C9A"/>
    <w:rsid w:val="00E82E24"/>
    <w:rsid w:val="00E82E8D"/>
    <w:rsid w:val="00E82EB5"/>
    <w:rsid w:val="00E82EB8"/>
    <w:rsid w:val="00E82EBB"/>
    <w:rsid w:val="00E82F41"/>
    <w:rsid w:val="00E82F56"/>
    <w:rsid w:val="00E82FB1"/>
    <w:rsid w:val="00E83022"/>
    <w:rsid w:val="00E8302D"/>
    <w:rsid w:val="00E830AB"/>
    <w:rsid w:val="00E8313C"/>
    <w:rsid w:val="00E831B7"/>
    <w:rsid w:val="00E832B5"/>
    <w:rsid w:val="00E83391"/>
    <w:rsid w:val="00E833D4"/>
    <w:rsid w:val="00E83404"/>
    <w:rsid w:val="00E834C7"/>
    <w:rsid w:val="00E83524"/>
    <w:rsid w:val="00E8358F"/>
    <w:rsid w:val="00E83622"/>
    <w:rsid w:val="00E8364E"/>
    <w:rsid w:val="00E8368E"/>
    <w:rsid w:val="00E836B1"/>
    <w:rsid w:val="00E836D3"/>
    <w:rsid w:val="00E83785"/>
    <w:rsid w:val="00E83790"/>
    <w:rsid w:val="00E837BB"/>
    <w:rsid w:val="00E8380B"/>
    <w:rsid w:val="00E83874"/>
    <w:rsid w:val="00E838AE"/>
    <w:rsid w:val="00E83A3A"/>
    <w:rsid w:val="00E83ABD"/>
    <w:rsid w:val="00E83AC9"/>
    <w:rsid w:val="00E83AD9"/>
    <w:rsid w:val="00E83B69"/>
    <w:rsid w:val="00E83BEE"/>
    <w:rsid w:val="00E83C4F"/>
    <w:rsid w:val="00E83C6D"/>
    <w:rsid w:val="00E83C7D"/>
    <w:rsid w:val="00E83CE1"/>
    <w:rsid w:val="00E83D0E"/>
    <w:rsid w:val="00E83E50"/>
    <w:rsid w:val="00E83E7D"/>
    <w:rsid w:val="00E83F02"/>
    <w:rsid w:val="00E83F08"/>
    <w:rsid w:val="00E83F32"/>
    <w:rsid w:val="00E83F86"/>
    <w:rsid w:val="00E83F99"/>
    <w:rsid w:val="00E840AC"/>
    <w:rsid w:val="00E840B6"/>
    <w:rsid w:val="00E840D2"/>
    <w:rsid w:val="00E840E7"/>
    <w:rsid w:val="00E84186"/>
    <w:rsid w:val="00E8429F"/>
    <w:rsid w:val="00E842D4"/>
    <w:rsid w:val="00E842D9"/>
    <w:rsid w:val="00E84396"/>
    <w:rsid w:val="00E843B5"/>
    <w:rsid w:val="00E843D0"/>
    <w:rsid w:val="00E84400"/>
    <w:rsid w:val="00E8445D"/>
    <w:rsid w:val="00E84481"/>
    <w:rsid w:val="00E84551"/>
    <w:rsid w:val="00E84572"/>
    <w:rsid w:val="00E84629"/>
    <w:rsid w:val="00E8463E"/>
    <w:rsid w:val="00E84677"/>
    <w:rsid w:val="00E84680"/>
    <w:rsid w:val="00E846FE"/>
    <w:rsid w:val="00E84710"/>
    <w:rsid w:val="00E84730"/>
    <w:rsid w:val="00E84734"/>
    <w:rsid w:val="00E84736"/>
    <w:rsid w:val="00E8478D"/>
    <w:rsid w:val="00E847AC"/>
    <w:rsid w:val="00E847B0"/>
    <w:rsid w:val="00E847B1"/>
    <w:rsid w:val="00E847EB"/>
    <w:rsid w:val="00E84801"/>
    <w:rsid w:val="00E84852"/>
    <w:rsid w:val="00E848A4"/>
    <w:rsid w:val="00E848DC"/>
    <w:rsid w:val="00E84A6E"/>
    <w:rsid w:val="00E84AAC"/>
    <w:rsid w:val="00E84AC0"/>
    <w:rsid w:val="00E84ACB"/>
    <w:rsid w:val="00E84AF1"/>
    <w:rsid w:val="00E84B97"/>
    <w:rsid w:val="00E84B9A"/>
    <w:rsid w:val="00E84B9C"/>
    <w:rsid w:val="00E84BC1"/>
    <w:rsid w:val="00E84BD0"/>
    <w:rsid w:val="00E84C05"/>
    <w:rsid w:val="00E84CA8"/>
    <w:rsid w:val="00E84CD9"/>
    <w:rsid w:val="00E84D0B"/>
    <w:rsid w:val="00E84D0D"/>
    <w:rsid w:val="00E84D17"/>
    <w:rsid w:val="00E84D6B"/>
    <w:rsid w:val="00E84DF1"/>
    <w:rsid w:val="00E84E29"/>
    <w:rsid w:val="00E84E87"/>
    <w:rsid w:val="00E84FAA"/>
    <w:rsid w:val="00E85072"/>
    <w:rsid w:val="00E8507C"/>
    <w:rsid w:val="00E851CD"/>
    <w:rsid w:val="00E85224"/>
    <w:rsid w:val="00E8522F"/>
    <w:rsid w:val="00E85236"/>
    <w:rsid w:val="00E85322"/>
    <w:rsid w:val="00E85328"/>
    <w:rsid w:val="00E853CA"/>
    <w:rsid w:val="00E853D0"/>
    <w:rsid w:val="00E85432"/>
    <w:rsid w:val="00E854F6"/>
    <w:rsid w:val="00E855C6"/>
    <w:rsid w:val="00E855DF"/>
    <w:rsid w:val="00E8571B"/>
    <w:rsid w:val="00E85755"/>
    <w:rsid w:val="00E857F9"/>
    <w:rsid w:val="00E85974"/>
    <w:rsid w:val="00E8599D"/>
    <w:rsid w:val="00E859DA"/>
    <w:rsid w:val="00E859E3"/>
    <w:rsid w:val="00E85AE0"/>
    <w:rsid w:val="00E85B0E"/>
    <w:rsid w:val="00E85B59"/>
    <w:rsid w:val="00E85B99"/>
    <w:rsid w:val="00E85C6D"/>
    <w:rsid w:val="00E85D02"/>
    <w:rsid w:val="00E85DE0"/>
    <w:rsid w:val="00E85E4E"/>
    <w:rsid w:val="00E85E6A"/>
    <w:rsid w:val="00E85EE7"/>
    <w:rsid w:val="00E85EE9"/>
    <w:rsid w:val="00E85EFF"/>
    <w:rsid w:val="00E85F57"/>
    <w:rsid w:val="00E85F75"/>
    <w:rsid w:val="00E85F87"/>
    <w:rsid w:val="00E8607A"/>
    <w:rsid w:val="00E860CD"/>
    <w:rsid w:val="00E86121"/>
    <w:rsid w:val="00E8615E"/>
    <w:rsid w:val="00E8616A"/>
    <w:rsid w:val="00E8617C"/>
    <w:rsid w:val="00E861A5"/>
    <w:rsid w:val="00E86239"/>
    <w:rsid w:val="00E862AC"/>
    <w:rsid w:val="00E862E1"/>
    <w:rsid w:val="00E86358"/>
    <w:rsid w:val="00E8639A"/>
    <w:rsid w:val="00E863A2"/>
    <w:rsid w:val="00E863C5"/>
    <w:rsid w:val="00E863CB"/>
    <w:rsid w:val="00E863EF"/>
    <w:rsid w:val="00E8646A"/>
    <w:rsid w:val="00E86471"/>
    <w:rsid w:val="00E86497"/>
    <w:rsid w:val="00E86570"/>
    <w:rsid w:val="00E86577"/>
    <w:rsid w:val="00E8657A"/>
    <w:rsid w:val="00E865A5"/>
    <w:rsid w:val="00E865BE"/>
    <w:rsid w:val="00E865EA"/>
    <w:rsid w:val="00E865F6"/>
    <w:rsid w:val="00E865FC"/>
    <w:rsid w:val="00E86600"/>
    <w:rsid w:val="00E86657"/>
    <w:rsid w:val="00E8668D"/>
    <w:rsid w:val="00E866F7"/>
    <w:rsid w:val="00E867CE"/>
    <w:rsid w:val="00E867DC"/>
    <w:rsid w:val="00E86829"/>
    <w:rsid w:val="00E8685C"/>
    <w:rsid w:val="00E8686B"/>
    <w:rsid w:val="00E8689B"/>
    <w:rsid w:val="00E86917"/>
    <w:rsid w:val="00E869A8"/>
    <w:rsid w:val="00E86A26"/>
    <w:rsid w:val="00E86A67"/>
    <w:rsid w:val="00E86AE5"/>
    <w:rsid w:val="00E86B10"/>
    <w:rsid w:val="00E86B14"/>
    <w:rsid w:val="00E86B1F"/>
    <w:rsid w:val="00E86B79"/>
    <w:rsid w:val="00E86BE0"/>
    <w:rsid w:val="00E86C0C"/>
    <w:rsid w:val="00E86CB8"/>
    <w:rsid w:val="00E86CD3"/>
    <w:rsid w:val="00E86DDC"/>
    <w:rsid w:val="00E86F33"/>
    <w:rsid w:val="00E86F99"/>
    <w:rsid w:val="00E87038"/>
    <w:rsid w:val="00E87176"/>
    <w:rsid w:val="00E871F1"/>
    <w:rsid w:val="00E872A8"/>
    <w:rsid w:val="00E87344"/>
    <w:rsid w:val="00E8738C"/>
    <w:rsid w:val="00E873AD"/>
    <w:rsid w:val="00E87443"/>
    <w:rsid w:val="00E87496"/>
    <w:rsid w:val="00E87536"/>
    <w:rsid w:val="00E875B3"/>
    <w:rsid w:val="00E8762B"/>
    <w:rsid w:val="00E876C9"/>
    <w:rsid w:val="00E876D6"/>
    <w:rsid w:val="00E87744"/>
    <w:rsid w:val="00E87818"/>
    <w:rsid w:val="00E878EC"/>
    <w:rsid w:val="00E87A3A"/>
    <w:rsid w:val="00E87A42"/>
    <w:rsid w:val="00E87B11"/>
    <w:rsid w:val="00E87C40"/>
    <w:rsid w:val="00E87CA8"/>
    <w:rsid w:val="00E87CB7"/>
    <w:rsid w:val="00E87CFC"/>
    <w:rsid w:val="00E87D0C"/>
    <w:rsid w:val="00E87DF9"/>
    <w:rsid w:val="00E87E00"/>
    <w:rsid w:val="00E87E59"/>
    <w:rsid w:val="00E87E68"/>
    <w:rsid w:val="00E87E9F"/>
    <w:rsid w:val="00E87F1D"/>
    <w:rsid w:val="00E87F2E"/>
    <w:rsid w:val="00E87FC0"/>
    <w:rsid w:val="00E87FCB"/>
    <w:rsid w:val="00E90081"/>
    <w:rsid w:val="00E900A0"/>
    <w:rsid w:val="00E900F2"/>
    <w:rsid w:val="00E90162"/>
    <w:rsid w:val="00E90212"/>
    <w:rsid w:val="00E90214"/>
    <w:rsid w:val="00E90247"/>
    <w:rsid w:val="00E902AB"/>
    <w:rsid w:val="00E90370"/>
    <w:rsid w:val="00E903BA"/>
    <w:rsid w:val="00E903BB"/>
    <w:rsid w:val="00E903C4"/>
    <w:rsid w:val="00E90422"/>
    <w:rsid w:val="00E904A6"/>
    <w:rsid w:val="00E9057E"/>
    <w:rsid w:val="00E9058F"/>
    <w:rsid w:val="00E905CC"/>
    <w:rsid w:val="00E90629"/>
    <w:rsid w:val="00E9066A"/>
    <w:rsid w:val="00E90782"/>
    <w:rsid w:val="00E90795"/>
    <w:rsid w:val="00E907BD"/>
    <w:rsid w:val="00E90842"/>
    <w:rsid w:val="00E90891"/>
    <w:rsid w:val="00E908EC"/>
    <w:rsid w:val="00E9094D"/>
    <w:rsid w:val="00E9095D"/>
    <w:rsid w:val="00E909DC"/>
    <w:rsid w:val="00E909EF"/>
    <w:rsid w:val="00E909F1"/>
    <w:rsid w:val="00E90A1A"/>
    <w:rsid w:val="00E90A99"/>
    <w:rsid w:val="00E90BB8"/>
    <w:rsid w:val="00E90C3E"/>
    <w:rsid w:val="00E90C7E"/>
    <w:rsid w:val="00E90CA8"/>
    <w:rsid w:val="00E90CCB"/>
    <w:rsid w:val="00E90D0F"/>
    <w:rsid w:val="00E90D6E"/>
    <w:rsid w:val="00E90DB3"/>
    <w:rsid w:val="00E90DF6"/>
    <w:rsid w:val="00E90E2F"/>
    <w:rsid w:val="00E90E58"/>
    <w:rsid w:val="00E90EDD"/>
    <w:rsid w:val="00E90F15"/>
    <w:rsid w:val="00E90F58"/>
    <w:rsid w:val="00E90F72"/>
    <w:rsid w:val="00E91012"/>
    <w:rsid w:val="00E9108A"/>
    <w:rsid w:val="00E910D0"/>
    <w:rsid w:val="00E910F9"/>
    <w:rsid w:val="00E91139"/>
    <w:rsid w:val="00E9113A"/>
    <w:rsid w:val="00E91144"/>
    <w:rsid w:val="00E9114F"/>
    <w:rsid w:val="00E9115C"/>
    <w:rsid w:val="00E911E1"/>
    <w:rsid w:val="00E9124F"/>
    <w:rsid w:val="00E912A0"/>
    <w:rsid w:val="00E912C3"/>
    <w:rsid w:val="00E91392"/>
    <w:rsid w:val="00E913F2"/>
    <w:rsid w:val="00E91424"/>
    <w:rsid w:val="00E9146B"/>
    <w:rsid w:val="00E9149E"/>
    <w:rsid w:val="00E91530"/>
    <w:rsid w:val="00E915B3"/>
    <w:rsid w:val="00E9164F"/>
    <w:rsid w:val="00E917BC"/>
    <w:rsid w:val="00E917C6"/>
    <w:rsid w:val="00E917F4"/>
    <w:rsid w:val="00E9181A"/>
    <w:rsid w:val="00E91874"/>
    <w:rsid w:val="00E91895"/>
    <w:rsid w:val="00E918A4"/>
    <w:rsid w:val="00E918A7"/>
    <w:rsid w:val="00E918BB"/>
    <w:rsid w:val="00E9190B"/>
    <w:rsid w:val="00E91922"/>
    <w:rsid w:val="00E9195D"/>
    <w:rsid w:val="00E919A7"/>
    <w:rsid w:val="00E91A03"/>
    <w:rsid w:val="00E91A0E"/>
    <w:rsid w:val="00E91A8A"/>
    <w:rsid w:val="00E91AAC"/>
    <w:rsid w:val="00E91AE3"/>
    <w:rsid w:val="00E91AF7"/>
    <w:rsid w:val="00E91BEE"/>
    <w:rsid w:val="00E91D40"/>
    <w:rsid w:val="00E91D5B"/>
    <w:rsid w:val="00E91D99"/>
    <w:rsid w:val="00E91EAA"/>
    <w:rsid w:val="00E91EF5"/>
    <w:rsid w:val="00E91F65"/>
    <w:rsid w:val="00E91FDA"/>
    <w:rsid w:val="00E91FF9"/>
    <w:rsid w:val="00E92041"/>
    <w:rsid w:val="00E92094"/>
    <w:rsid w:val="00E920A0"/>
    <w:rsid w:val="00E920E6"/>
    <w:rsid w:val="00E921B6"/>
    <w:rsid w:val="00E921C6"/>
    <w:rsid w:val="00E921D6"/>
    <w:rsid w:val="00E9221B"/>
    <w:rsid w:val="00E9227A"/>
    <w:rsid w:val="00E922ED"/>
    <w:rsid w:val="00E92308"/>
    <w:rsid w:val="00E92364"/>
    <w:rsid w:val="00E9238C"/>
    <w:rsid w:val="00E9238D"/>
    <w:rsid w:val="00E923C8"/>
    <w:rsid w:val="00E924B3"/>
    <w:rsid w:val="00E9250D"/>
    <w:rsid w:val="00E92587"/>
    <w:rsid w:val="00E925AE"/>
    <w:rsid w:val="00E925BA"/>
    <w:rsid w:val="00E926D6"/>
    <w:rsid w:val="00E926D8"/>
    <w:rsid w:val="00E9270D"/>
    <w:rsid w:val="00E9273F"/>
    <w:rsid w:val="00E92788"/>
    <w:rsid w:val="00E927D9"/>
    <w:rsid w:val="00E927FD"/>
    <w:rsid w:val="00E928A6"/>
    <w:rsid w:val="00E928AD"/>
    <w:rsid w:val="00E928AF"/>
    <w:rsid w:val="00E928CF"/>
    <w:rsid w:val="00E928D0"/>
    <w:rsid w:val="00E9293E"/>
    <w:rsid w:val="00E92940"/>
    <w:rsid w:val="00E9297C"/>
    <w:rsid w:val="00E929E4"/>
    <w:rsid w:val="00E92A5C"/>
    <w:rsid w:val="00E92B2C"/>
    <w:rsid w:val="00E92B4A"/>
    <w:rsid w:val="00E92BBC"/>
    <w:rsid w:val="00E92BE3"/>
    <w:rsid w:val="00E92BED"/>
    <w:rsid w:val="00E92C1C"/>
    <w:rsid w:val="00E92CA9"/>
    <w:rsid w:val="00E92CE3"/>
    <w:rsid w:val="00E92D17"/>
    <w:rsid w:val="00E92D18"/>
    <w:rsid w:val="00E92D1C"/>
    <w:rsid w:val="00E92D57"/>
    <w:rsid w:val="00E92D7B"/>
    <w:rsid w:val="00E92D80"/>
    <w:rsid w:val="00E92DBE"/>
    <w:rsid w:val="00E92DD3"/>
    <w:rsid w:val="00E92FE3"/>
    <w:rsid w:val="00E9304C"/>
    <w:rsid w:val="00E93088"/>
    <w:rsid w:val="00E930D0"/>
    <w:rsid w:val="00E9311F"/>
    <w:rsid w:val="00E93166"/>
    <w:rsid w:val="00E93188"/>
    <w:rsid w:val="00E931B1"/>
    <w:rsid w:val="00E931E4"/>
    <w:rsid w:val="00E932CA"/>
    <w:rsid w:val="00E932D3"/>
    <w:rsid w:val="00E93321"/>
    <w:rsid w:val="00E93346"/>
    <w:rsid w:val="00E93378"/>
    <w:rsid w:val="00E933B3"/>
    <w:rsid w:val="00E933BB"/>
    <w:rsid w:val="00E933F9"/>
    <w:rsid w:val="00E9341F"/>
    <w:rsid w:val="00E93455"/>
    <w:rsid w:val="00E93483"/>
    <w:rsid w:val="00E93495"/>
    <w:rsid w:val="00E9349F"/>
    <w:rsid w:val="00E934D0"/>
    <w:rsid w:val="00E934F3"/>
    <w:rsid w:val="00E93533"/>
    <w:rsid w:val="00E93568"/>
    <w:rsid w:val="00E9359D"/>
    <w:rsid w:val="00E935C5"/>
    <w:rsid w:val="00E935DB"/>
    <w:rsid w:val="00E9363F"/>
    <w:rsid w:val="00E93650"/>
    <w:rsid w:val="00E93682"/>
    <w:rsid w:val="00E93684"/>
    <w:rsid w:val="00E936EF"/>
    <w:rsid w:val="00E936F3"/>
    <w:rsid w:val="00E937D0"/>
    <w:rsid w:val="00E93871"/>
    <w:rsid w:val="00E93902"/>
    <w:rsid w:val="00E939BA"/>
    <w:rsid w:val="00E93A6B"/>
    <w:rsid w:val="00E93B67"/>
    <w:rsid w:val="00E93BAC"/>
    <w:rsid w:val="00E93BD1"/>
    <w:rsid w:val="00E93BD2"/>
    <w:rsid w:val="00E93BD3"/>
    <w:rsid w:val="00E93BF1"/>
    <w:rsid w:val="00E93C80"/>
    <w:rsid w:val="00E93CBE"/>
    <w:rsid w:val="00E93D02"/>
    <w:rsid w:val="00E93DDC"/>
    <w:rsid w:val="00E93DFA"/>
    <w:rsid w:val="00E93E93"/>
    <w:rsid w:val="00E93FC8"/>
    <w:rsid w:val="00E93FCE"/>
    <w:rsid w:val="00E9401F"/>
    <w:rsid w:val="00E94052"/>
    <w:rsid w:val="00E94063"/>
    <w:rsid w:val="00E940EF"/>
    <w:rsid w:val="00E94100"/>
    <w:rsid w:val="00E94183"/>
    <w:rsid w:val="00E941A1"/>
    <w:rsid w:val="00E941C8"/>
    <w:rsid w:val="00E94213"/>
    <w:rsid w:val="00E942A7"/>
    <w:rsid w:val="00E94325"/>
    <w:rsid w:val="00E9437E"/>
    <w:rsid w:val="00E9440D"/>
    <w:rsid w:val="00E944D0"/>
    <w:rsid w:val="00E944D7"/>
    <w:rsid w:val="00E944EC"/>
    <w:rsid w:val="00E944F7"/>
    <w:rsid w:val="00E9472E"/>
    <w:rsid w:val="00E94771"/>
    <w:rsid w:val="00E948BB"/>
    <w:rsid w:val="00E94937"/>
    <w:rsid w:val="00E9495B"/>
    <w:rsid w:val="00E949C8"/>
    <w:rsid w:val="00E94A1E"/>
    <w:rsid w:val="00E94A37"/>
    <w:rsid w:val="00E94A94"/>
    <w:rsid w:val="00E94B18"/>
    <w:rsid w:val="00E94B54"/>
    <w:rsid w:val="00E94BAB"/>
    <w:rsid w:val="00E94BB2"/>
    <w:rsid w:val="00E94BCD"/>
    <w:rsid w:val="00E94BF0"/>
    <w:rsid w:val="00E94C0A"/>
    <w:rsid w:val="00E94CCF"/>
    <w:rsid w:val="00E94D31"/>
    <w:rsid w:val="00E94D33"/>
    <w:rsid w:val="00E94EA5"/>
    <w:rsid w:val="00E94ED9"/>
    <w:rsid w:val="00E94EF7"/>
    <w:rsid w:val="00E94F47"/>
    <w:rsid w:val="00E94FD2"/>
    <w:rsid w:val="00E9505C"/>
    <w:rsid w:val="00E95065"/>
    <w:rsid w:val="00E9506C"/>
    <w:rsid w:val="00E9508A"/>
    <w:rsid w:val="00E950AD"/>
    <w:rsid w:val="00E9511F"/>
    <w:rsid w:val="00E951AC"/>
    <w:rsid w:val="00E951D1"/>
    <w:rsid w:val="00E951D3"/>
    <w:rsid w:val="00E95214"/>
    <w:rsid w:val="00E9521F"/>
    <w:rsid w:val="00E95223"/>
    <w:rsid w:val="00E95230"/>
    <w:rsid w:val="00E952B4"/>
    <w:rsid w:val="00E95307"/>
    <w:rsid w:val="00E95484"/>
    <w:rsid w:val="00E9555A"/>
    <w:rsid w:val="00E9555F"/>
    <w:rsid w:val="00E95584"/>
    <w:rsid w:val="00E95630"/>
    <w:rsid w:val="00E95638"/>
    <w:rsid w:val="00E95658"/>
    <w:rsid w:val="00E9565D"/>
    <w:rsid w:val="00E9567B"/>
    <w:rsid w:val="00E956B1"/>
    <w:rsid w:val="00E95746"/>
    <w:rsid w:val="00E95753"/>
    <w:rsid w:val="00E95768"/>
    <w:rsid w:val="00E9589B"/>
    <w:rsid w:val="00E958C6"/>
    <w:rsid w:val="00E95965"/>
    <w:rsid w:val="00E959D1"/>
    <w:rsid w:val="00E95A92"/>
    <w:rsid w:val="00E95AA7"/>
    <w:rsid w:val="00E95AF8"/>
    <w:rsid w:val="00E95B74"/>
    <w:rsid w:val="00E95BB7"/>
    <w:rsid w:val="00E95CB9"/>
    <w:rsid w:val="00E95DA4"/>
    <w:rsid w:val="00E95E13"/>
    <w:rsid w:val="00E95E60"/>
    <w:rsid w:val="00E95F10"/>
    <w:rsid w:val="00E95F2A"/>
    <w:rsid w:val="00E95F35"/>
    <w:rsid w:val="00E95F4B"/>
    <w:rsid w:val="00E95F8A"/>
    <w:rsid w:val="00E95FB0"/>
    <w:rsid w:val="00E95FBC"/>
    <w:rsid w:val="00E96042"/>
    <w:rsid w:val="00E960D7"/>
    <w:rsid w:val="00E96108"/>
    <w:rsid w:val="00E96163"/>
    <w:rsid w:val="00E9620C"/>
    <w:rsid w:val="00E96260"/>
    <w:rsid w:val="00E962AE"/>
    <w:rsid w:val="00E962B5"/>
    <w:rsid w:val="00E962EE"/>
    <w:rsid w:val="00E962FF"/>
    <w:rsid w:val="00E96365"/>
    <w:rsid w:val="00E963DF"/>
    <w:rsid w:val="00E9646A"/>
    <w:rsid w:val="00E96522"/>
    <w:rsid w:val="00E96536"/>
    <w:rsid w:val="00E96538"/>
    <w:rsid w:val="00E9654C"/>
    <w:rsid w:val="00E9659C"/>
    <w:rsid w:val="00E965EA"/>
    <w:rsid w:val="00E9663D"/>
    <w:rsid w:val="00E9666E"/>
    <w:rsid w:val="00E966C8"/>
    <w:rsid w:val="00E966E2"/>
    <w:rsid w:val="00E9688C"/>
    <w:rsid w:val="00E9689D"/>
    <w:rsid w:val="00E968E4"/>
    <w:rsid w:val="00E96986"/>
    <w:rsid w:val="00E96A02"/>
    <w:rsid w:val="00E96A34"/>
    <w:rsid w:val="00E96ABA"/>
    <w:rsid w:val="00E96AC6"/>
    <w:rsid w:val="00E96AE0"/>
    <w:rsid w:val="00E96AF1"/>
    <w:rsid w:val="00E96B1F"/>
    <w:rsid w:val="00E96B23"/>
    <w:rsid w:val="00E96C4E"/>
    <w:rsid w:val="00E96D55"/>
    <w:rsid w:val="00E96E1F"/>
    <w:rsid w:val="00E96F9A"/>
    <w:rsid w:val="00E96FAC"/>
    <w:rsid w:val="00E96FC0"/>
    <w:rsid w:val="00E96FF0"/>
    <w:rsid w:val="00E9703D"/>
    <w:rsid w:val="00E97079"/>
    <w:rsid w:val="00E97081"/>
    <w:rsid w:val="00E970B6"/>
    <w:rsid w:val="00E970CE"/>
    <w:rsid w:val="00E97161"/>
    <w:rsid w:val="00E971AB"/>
    <w:rsid w:val="00E97265"/>
    <w:rsid w:val="00E97268"/>
    <w:rsid w:val="00E972B2"/>
    <w:rsid w:val="00E972E8"/>
    <w:rsid w:val="00E973E2"/>
    <w:rsid w:val="00E973E8"/>
    <w:rsid w:val="00E973F3"/>
    <w:rsid w:val="00E9740E"/>
    <w:rsid w:val="00E97483"/>
    <w:rsid w:val="00E97571"/>
    <w:rsid w:val="00E97603"/>
    <w:rsid w:val="00E97611"/>
    <w:rsid w:val="00E97631"/>
    <w:rsid w:val="00E97651"/>
    <w:rsid w:val="00E9767E"/>
    <w:rsid w:val="00E9768F"/>
    <w:rsid w:val="00E976A2"/>
    <w:rsid w:val="00E97749"/>
    <w:rsid w:val="00E9783E"/>
    <w:rsid w:val="00E9787E"/>
    <w:rsid w:val="00E978D3"/>
    <w:rsid w:val="00E97960"/>
    <w:rsid w:val="00E9799A"/>
    <w:rsid w:val="00E979A0"/>
    <w:rsid w:val="00E979EE"/>
    <w:rsid w:val="00E97A46"/>
    <w:rsid w:val="00E97AEB"/>
    <w:rsid w:val="00E97B26"/>
    <w:rsid w:val="00E97B40"/>
    <w:rsid w:val="00E97BC2"/>
    <w:rsid w:val="00E97BF8"/>
    <w:rsid w:val="00E97C31"/>
    <w:rsid w:val="00E97CC8"/>
    <w:rsid w:val="00E97D42"/>
    <w:rsid w:val="00E97D7B"/>
    <w:rsid w:val="00E97DCD"/>
    <w:rsid w:val="00E97DE2"/>
    <w:rsid w:val="00E97E74"/>
    <w:rsid w:val="00E97F6D"/>
    <w:rsid w:val="00EA0070"/>
    <w:rsid w:val="00EA0072"/>
    <w:rsid w:val="00EA0076"/>
    <w:rsid w:val="00EA008E"/>
    <w:rsid w:val="00EA013D"/>
    <w:rsid w:val="00EA01C5"/>
    <w:rsid w:val="00EA022A"/>
    <w:rsid w:val="00EA022F"/>
    <w:rsid w:val="00EA0246"/>
    <w:rsid w:val="00EA027C"/>
    <w:rsid w:val="00EA028B"/>
    <w:rsid w:val="00EA029D"/>
    <w:rsid w:val="00EA0313"/>
    <w:rsid w:val="00EA0320"/>
    <w:rsid w:val="00EA035E"/>
    <w:rsid w:val="00EA0365"/>
    <w:rsid w:val="00EA0384"/>
    <w:rsid w:val="00EA039D"/>
    <w:rsid w:val="00EA04A8"/>
    <w:rsid w:val="00EA0531"/>
    <w:rsid w:val="00EA057D"/>
    <w:rsid w:val="00EA0610"/>
    <w:rsid w:val="00EA0705"/>
    <w:rsid w:val="00EA072F"/>
    <w:rsid w:val="00EA074B"/>
    <w:rsid w:val="00EA0772"/>
    <w:rsid w:val="00EA077D"/>
    <w:rsid w:val="00EA0885"/>
    <w:rsid w:val="00EA0924"/>
    <w:rsid w:val="00EA097B"/>
    <w:rsid w:val="00EA09A5"/>
    <w:rsid w:val="00EA09FA"/>
    <w:rsid w:val="00EA0AA9"/>
    <w:rsid w:val="00EA0ADE"/>
    <w:rsid w:val="00EA0AE5"/>
    <w:rsid w:val="00EA0AF3"/>
    <w:rsid w:val="00EA0BA8"/>
    <w:rsid w:val="00EA0BC2"/>
    <w:rsid w:val="00EA0C2F"/>
    <w:rsid w:val="00EA0C52"/>
    <w:rsid w:val="00EA0C76"/>
    <w:rsid w:val="00EA0CC0"/>
    <w:rsid w:val="00EA0D1F"/>
    <w:rsid w:val="00EA0D7F"/>
    <w:rsid w:val="00EA0D94"/>
    <w:rsid w:val="00EA0DAA"/>
    <w:rsid w:val="00EA0E0F"/>
    <w:rsid w:val="00EA0E92"/>
    <w:rsid w:val="00EA0EB5"/>
    <w:rsid w:val="00EA0ECF"/>
    <w:rsid w:val="00EA0EDC"/>
    <w:rsid w:val="00EA0EFB"/>
    <w:rsid w:val="00EA0F55"/>
    <w:rsid w:val="00EA0F82"/>
    <w:rsid w:val="00EA105F"/>
    <w:rsid w:val="00EA10A7"/>
    <w:rsid w:val="00EA1109"/>
    <w:rsid w:val="00EA111B"/>
    <w:rsid w:val="00EA118C"/>
    <w:rsid w:val="00EA1204"/>
    <w:rsid w:val="00EA120E"/>
    <w:rsid w:val="00EA1234"/>
    <w:rsid w:val="00EA1272"/>
    <w:rsid w:val="00EA1291"/>
    <w:rsid w:val="00EA12B0"/>
    <w:rsid w:val="00EA12E2"/>
    <w:rsid w:val="00EA1301"/>
    <w:rsid w:val="00EA1365"/>
    <w:rsid w:val="00EA1368"/>
    <w:rsid w:val="00EA13A4"/>
    <w:rsid w:val="00EA144F"/>
    <w:rsid w:val="00EA1483"/>
    <w:rsid w:val="00EA1494"/>
    <w:rsid w:val="00EA14A0"/>
    <w:rsid w:val="00EA155B"/>
    <w:rsid w:val="00EA156D"/>
    <w:rsid w:val="00EA1596"/>
    <w:rsid w:val="00EA15D0"/>
    <w:rsid w:val="00EA15E4"/>
    <w:rsid w:val="00EA166C"/>
    <w:rsid w:val="00EA16CE"/>
    <w:rsid w:val="00EA172D"/>
    <w:rsid w:val="00EA1778"/>
    <w:rsid w:val="00EA17AF"/>
    <w:rsid w:val="00EA184D"/>
    <w:rsid w:val="00EA1893"/>
    <w:rsid w:val="00EA18EE"/>
    <w:rsid w:val="00EA1966"/>
    <w:rsid w:val="00EA19DD"/>
    <w:rsid w:val="00EA1A2C"/>
    <w:rsid w:val="00EA1A41"/>
    <w:rsid w:val="00EA1A49"/>
    <w:rsid w:val="00EA1A64"/>
    <w:rsid w:val="00EA1A98"/>
    <w:rsid w:val="00EA1AC2"/>
    <w:rsid w:val="00EA1AC5"/>
    <w:rsid w:val="00EA1B85"/>
    <w:rsid w:val="00EA1BCC"/>
    <w:rsid w:val="00EA1C3C"/>
    <w:rsid w:val="00EA1CAA"/>
    <w:rsid w:val="00EA1CE7"/>
    <w:rsid w:val="00EA1CF6"/>
    <w:rsid w:val="00EA1D55"/>
    <w:rsid w:val="00EA1D86"/>
    <w:rsid w:val="00EA1DA4"/>
    <w:rsid w:val="00EA1DBA"/>
    <w:rsid w:val="00EA1E5C"/>
    <w:rsid w:val="00EA1EB0"/>
    <w:rsid w:val="00EA1F46"/>
    <w:rsid w:val="00EA1FFB"/>
    <w:rsid w:val="00EA20EF"/>
    <w:rsid w:val="00EA2139"/>
    <w:rsid w:val="00EA2156"/>
    <w:rsid w:val="00EA221B"/>
    <w:rsid w:val="00EA226D"/>
    <w:rsid w:val="00EA227F"/>
    <w:rsid w:val="00EA238E"/>
    <w:rsid w:val="00EA23B7"/>
    <w:rsid w:val="00EA23BA"/>
    <w:rsid w:val="00EA23C1"/>
    <w:rsid w:val="00EA23EB"/>
    <w:rsid w:val="00EA2428"/>
    <w:rsid w:val="00EA246D"/>
    <w:rsid w:val="00EA24D0"/>
    <w:rsid w:val="00EA2566"/>
    <w:rsid w:val="00EA2586"/>
    <w:rsid w:val="00EA260D"/>
    <w:rsid w:val="00EA2673"/>
    <w:rsid w:val="00EA267C"/>
    <w:rsid w:val="00EA2704"/>
    <w:rsid w:val="00EA2738"/>
    <w:rsid w:val="00EA27C2"/>
    <w:rsid w:val="00EA28E8"/>
    <w:rsid w:val="00EA29DF"/>
    <w:rsid w:val="00EA29F2"/>
    <w:rsid w:val="00EA2A60"/>
    <w:rsid w:val="00EA2A62"/>
    <w:rsid w:val="00EA2AED"/>
    <w:rsid w:val="00EA2B2B"/>
    <w:rsid w:val="00EA2B74"/>
    <w:rsid w:val="00EA2B75"/>
    <w:rsid w:val="00EA2BAF"/>
    <w:rsid w:val="00EA2BC8"/>
    <w:rsid w:val="00EA2C06"/>
    <w:rsid w:val="00EA2C0B"/>
    <w:rsid w:val="00EA2D0E"/>
    <w:rsid w:val="00EA2D58"/>
    <w:rsid w:val="00EA2DB8"/>
    <w:rsid w:val="00EA2DC2"/>
    <w:rsid w:val="00EA2E5F"/>
    <w:rsid w:val="00EA2EB6"/>
    <w:rsid w:val="00EA2EF5"/>
    <w:rsid w:val="00EA2F26"/>
    <w:rsid w:val="00EA2FDE"/>
    <w:rsid w:val="00EA305D"/>
    <w:rsid w:val="00EA30C0"/>
    <w:rsid w:val="00EA31DE"/>
    <w:rsid w:val="00EA31E9"/>
    <w:rsid w:val="00EA31F5"/>
    <w:rsid w:val="00EA320E"/>
    <w:rsid w:val="00EA324C"/>
    <w:rsid w:val="00EA3277"/>
    <w:rsid w:val="00EA3388"/>
    <w:rsid w:val="00EA33BB"/>
    <w:rsid w:val="00EA341F"/>
    <w:rsid w:val="00EA3485"/>
    <w:rsid w:val="00EA34CB"/>
    <w:rsid w:val="00EA3618"/>
    <w:rsid w:val="00EA3642"/>
    <w:rsid w:val="00EA36F9"/>
    <w:rsid w:val="00EA382E"/>
    <w:rsid w:val="00EA3853"/>
    <w:rsid w:val="00EA3858"/>
    <w:rsid w:val="00EA386C"/>
    <w:rsid w:val="00EA38C8"/>
    <w:rsid w:val="00EA38D2"/>
    <w:rsid w:val="00EA38E8"/>
    <w:rsid w:val="00EA390D"/>
    <w:rsid w:val="00EA3971"/>
    <w:rsid w:val="00EA39C2"/>
    <w:rsid w:val="00EA39D8"/>
    <w:rsid w:val="00EA3A3A"/>
    <w:rsid w:val="00EA3ABA"/>
    <w:rsid w:val="00EA3AD4"/>
    <w:rsid w:val="00EA3AE0"/>
    <w:rsid w:val="00EA3BB3"/>
    <w:rsid w:val="00EA3BE6"/>
    <w:rsid w:val="00EA3C74"/>
    <w:rsid w:val="00EA3CBC"/>
    <w:rsid w:val="00EA3CC3"/>
    <w:rsid w:val="00EA3D1A"/>
    <w:rsid w:val="00EA3D3C"/>
    <w:rsid w:val="00EA3D91"/>
    <w:rsid w:val="00EA3DDF"/>
    <w:rsid w:val="00EA3E62"/>
    <w:rsid w:val="00EA3FA4"/>
    <w:rsid w:val="00EA3FE8"/>
    <w:rsid w:val="00EA3FF1"/>
    <w:rsid w:val="00EA4093"/>
    <w:rsid w:val="00EA413D"/>
    <w:rsid w:val="00EA417E"/>
    <w:rsid w:val="00EA4273"/>
    <w:rsid w:val="00EA42B0"/>
    <w:rsid w:val="00EA42F1"/>
    <w:rsid w:val="00EA4431"/>
    <w:rsid w:val="00EA4496"/>
    <w:rsid w:val="00EA455E"/>
    <w:rsid w:val="00EA4581"/>
    <w:rsid w:val="00EA45F9"/>
    <w:rsid w:val="00EA4636"/>
    <w:rsid w:val="00EA46AF"/>
    <w:rsid w:val="00EA4754"/>
    <w:rsid w:val="00EA475F"/>
    <w:rsid w:val="00EA47B1"/>
    <w:rsid w:val="00EA47C5"/>
    <w:rsid w:val="00EA47CD"/>
    <w:rsid w:val="00EA489D"/>
    <w:rsid w:val="00EA48B6"/>
    <w:rsid w:val="00EA48F1"/>
    <w:rsid w:val="00EA490A"/>
    <w:rsid w:val="00EA4982"/>
    <w:rsid w:val="00EA498A"/>
    <w:rsid w:val="00EA4AD2"/>
    <w:rsid w:val="00EA4C16"/>
    <w:rsid w:val="00EA4C55"/>
    <w:rsid w:val="00EA4C5F"/>
    <w:rsid w:val="00EA4C65"/>
    <w:rsid w:val="00EA4CE1"/>
    <w:rsid w:val="00EA4D89"/>
    <w:rsid w:val="00EA4F2C"/>
    <w:rsid w:val="00EA4F41"/>
    <w:rsid w:val="00EA4F81"/>
    <w:rsid w:val="00EA4FCF"/>
    <w:rsid w:val="00EA4FDE"/>
    <w:rsid w:val="00EA51A5"/>
    <w:rsid w:val="00EA51FA"/>
    <w:rsid w:val="00EA52D8"/>
    <w:rsid w:val="00EA53B2"/>
    <w:rsid w:val="00EA53E5"/>
    <w:rsid w:val="00EA5456"/>
    <w:rsid w:val="00EA54D4"/>
    <w:rsid w:val="00EA556D"/>
    <w:rsid w:val="00EA558D"/>
    <w:rsid w:val="00EA5596"/>
    <w:rsid w:val="00EA5597"/>
    <w:rsid w:val="00EA561B"/>
    <w:rsid w:val="00EA565E"/>
    <w:rsid w:val="00EA56CC"/>
    <w:rsid w:val="00EA570F"/>
    <w:rsid w:val="00EA5752"/>
    <w:rsid w:val="00EA57DA"/>
    <w:rsid w:val="00EA588D"/>
    <w:rsid w:val="00EA5900"/>
    <w:rsid w:val="00EA5936"/>
    <w:rsid w:val="00EA5A11"/>
    <w:rsid w:val="00EA5A69"/>
    <w:rsid w:val="00EA5AA2"/>
    <w:rsid w:val="00EA5AEB"/>
    <w:rsid w:val="00EA5AFB"/>
    <w:rsid w:val="00EA5B06"/>
    <w:rsid w:val="00EA5B3E"/>
    <w:rsid w:val="00EA5B82"/>
    <w:rsid w:val="00EA5BED"/>
    <w:rsid w:val="00EA5BFE"/>
    <w:rsid w:val="00EA5C0C"/>
    <w:rsid w:val="00EA5C49"/>
    <w:rsid w:val="00EA5C58"/>
    <w:rsid w:val="00EA5CB8"/>
    <w:rsid w:val="00EA5E00"/>
    <w:rsid w:val="00EA5E7F"/>
    <w:rsid w:val="00EA5ED5"/>
    <w:rsid w:val="00EA5F13"/>
    <w:rsid w:val="00EA5F44"/>
    <w:rsid w:val="00EA5F64"/>
    <w:rsid w:val="00EA5F94"/>
    <w:rsid w:val="00EA5FBE"/>
    <w:rsid w:val="00EA5FF3"/>
    <w:rsid w:val="00EA601B"/>
    <w:rsid w:val="00EA612C"/>
    <w:rsid w:val="00EA6144"/>
    <w:rsid w:val="00EA615E"/>
    <w:rsid w:val="00EA6200"/>
    <w:rsid w:val="00EA6212"/>
    <w:rsid w:val="00EA6246"/>
    <w:rsid w:val="00EA63C8"/>
    <w:rsid w:val="00EA6404"/>
    <w:rsid w:val="00EA6424"/>
    <w:rsid w:val="00EA6428"/>
    <w:rsid w:val="00EA64BC"/>
    <w:rsid w:val="00EA64D5"/>
    <w:rsid w:val="00EA6522"/>
    <w:rsid w:val="00EA654B"/>
    <w:rsid w:val="00EA6567"/>
    <w:rsid w:val="00EA6599"/>
    <w:rsid w:val="00EA65C2"/>
    <w:rsid w:val="00EA6699"/>
    <w:rsid w:val="00EA66B9"/>
    <w:rsid w:val="00EA6773"/>
    <w:rsid w:val="00EA6781"/>
    <w:rsid w:val="00EA67C5"/>
    <w:rsid w:val="00EA68F8"/>
    <w:rsid w:val="00EA6919"/>
    <w:rsid w:val="00EA69E3"/>
    <w:rsid w:val="00EA6A31"/>
    <w:rsid w:val="00EA6A8A"/>
    <w:rsid w:val="00EA6AA2"/>
    <w:rsid w:val="00EA6AB6"/>
    <w:rsid w:val="00EA6AE7"/>
    <w:rsid w:val="00EA6C86"/>
    <w:rsid w:val="00EA6CA2"/>
    <w:rsid w:val="00EA6CC6"/>
    <w:rsid w:val="00EA6D26"/>
    <w:rsid w:val="00EA6D62"/>
    <w:rsid w:val="00EA6D82"/>
    <w:rsid w:val="00EA6D8D"/>
    <w:rsid w:val="00EA6EF1"/>
    <w:rsid w:val="00EA6FB6"/>
    <w:rsid w:val="00EA7017"/>
    <w:rsid w:val="00EA7097"/>
    <w:rsid w:val="00EA70BE"/>
    <w:rsid w:val="00EA70DD"/>
    <w:rsid w:val="00EA70FD"/>
    <w:rsid w:val="00EA7107"/>
    <w:rsid w:val="00EA7137"/>
    <w:rsid w:val="00EA7150"/>
    <w:rsid w:val="00EA7174"/>
    <w:rsid w:val="00EA71F3"/>
    <w:rsid w:val="00EA7209"/>
    <w:rsid w:val="00EA7349"/>
    <w:rsid w:val="00EA738E"/>
    <w:rsid w:val="00EA73BE"/>
    <w:rsid w:val="00EA74F2"/>
    <w:rsid w:val="00EA74F3"/>
    <w:rsid w:val="00EA750A"/>
    <w:rsid w:val="00EA750D"/>
    <w:rsid w:val="00EA755D"/>
    <w:rsid w:val="00EA75C1"/>
    <w:rsid w:val="00EA7613"/>
    <w:rsid w:val="00EA76AE"/>
    <w:rsid w:val="00EA771E"/>
    <w:rsid w:val="00EA7785"/>
    <w:rsid w:val="00EA778A"/>
    <w:rsid w:val="00EA77AD"/>
    <w:rsid w:val="00EA7881"/>
    <w:rsid w:val="00EA7894"/>
    <w:rsid w:val="00EA78F0"/>
    <w:rsid w:val="00EA78F2"/>
    <w:rsid w:val="00EA78F3"/>
    <w:rsid w:val="00EA7970"/>
    <w:rsid w:val="00EA79A6"/>
    <w:rsid w:val="00EA79AF"/>
    <w:rsid w:val="00EA7A92"/>
    <w:rsid w:val="00EA7A9D"/>
    <w:rsid w:val="00EA7B84"/>
    <w:rsid w:val="00EA7C0A"/>
    <w:rsid w:val="00EA7C0D"/>
    <w:rsid w:val="00EA7D56"/>
    <w:rsid w:val="00EA7D8D"/>
    <w:rsid w:val="00EA7DC7"/>
    <w:rsid w:val="00EA7E01"/>
    <w:rsid w:val="00EA7E35"/>
    <w:rsid w:val="00EA7E6F"/>
    <w:rsid w:val="00EA7EC6"/>
    <w:rsid w:val="00EA7F5B"/>
    <w:rsid w:val="00EA7FC4"/>
    <w:rsid w:val="00EA7FFD"/>
    <w:rsid w:val="00EB001E"/>
    <w:rsid w:val="00EB0046"/>
    <w:rsid w:val="00EB007F"/>
    <w:rsid w:val="00EB00E7"/>
    <w:rsid w:val="00EB0103"/>
    <w:rsid w:val="00EB0134"/>
    <w:rsid w:val="00EB02C3"/>
    <w:rsid w:val="00EB0314"/>
    <w:rsid w:val="00EB0341"/>
    <w:rsid w:val="00EB0378"/>
    <w:rsid w:val="00EB03CA"/>
    <w:rsid w:val="00EB0475"/>
    <w:rsid w:val="00EB04A6"/>
    <w:rsid w:val="00EB04A9"/>
    <w:rsid w:val="00EB04E7"/>
    <w:rsid w:val="00EB04F0"/>
    <w:rsid w:val="00EB0500"/>
    <w:rsid w:val="00EB0514"/>
    <w:rsid w:val="00EB0519"/>
    <w:rsid w:val="00EB0551"/>
    <w:rsid w:val="00EB0601"/>
    <w:rsid w:val="00EB0602"/>
    <w:rsid w:val="00EB061B"/>
    <w:rsid w:val="00EB0653"/>
    <w:rsid w:val="00EB0677"/>
    <w:rsid w:val="00EB075D"/>
    <w:rsid w:val="00EB07FF"/>
    <w:rsid w:val="00EB08A5"/>
    <w:rsid w:val="00EB08A6"/>
    <w:rsid w:val="00EB08B2"/>
    <w:rsid w:val="00EB09A6"/>
    <w:rsid w:val="00EB09B4"/>
    <w:rsid w:val="00EB09CD"/>
    <w:rsid w:val="00EB09D8"/>
    <w:rsid w:val="00EB09F3"/>
    <w:rsid w:val="00EB09F4"/>
    <w:rsid w:val="00EB0A2D"/>
    <w:rsid w:val="00EB0A3F"/>
    <w:rsid w:val="00EB0AA4"/>
    <w:rsid w:val="00EB0AEC"/>
    <w:rsid w:val="00EB0AF6"/>
    <w:rsid w:val="00EB0B9E"/>
    <w:rsid w:val="00EB0BF2"/>
    <w:rsid w:val="00EB0C28"/>
    <w:rsid w:val="00EB0C3E"/>
    <w:rsid w:val="00EB0C82"/>
    <w:rsid w:val="00EB0D07"/>
    <w:rsid w:val="00EB0D2B"/>
    <w:rsid w:val="00EB0D9E"/>
    <w:rsid w:val="00EB0DE7"/>
    <w:rsid w:val="00EB0DEB"/>
    <w:rsid w:val="00EB0E0F"/>
    <w:rsid w:val="00EB0E88"/>
    <w:rsid w:val="00EB0E92"/>
    <w:rsid w:val="00EB0ECE"/>
    <w:rsid w:val="00EB0EE1"/>
    <w:rsid w:val="00EB0EE9"/>
    <w:rsid w:val="00EB0F54"/>
    <w:rsid w:val="00EB0F5E"/>
    <w:rsid w:val="00EB0F91"/>
    <w:rsid w:val="00EB0FC3"/>
    <w:rsid w:val="00EB0FF0"/>
    <w:rsid w:val="00EB103F"/>
    <w:rsid w:val="00EB1092"/>
    <w:rsid w:val="00EB10E4"/>
    <w:rsid w:val="00EB1118"/>
    <w:rsid w:val="00EB111C"/>
    <w:rsid w:val="00EB1230"/>
    <w:rsid w:val="00EB12DF"/>
    <w:rsid w:val="00EB1334"/>
    <w:rsid w:val="00EB135B"/>
    <w:rsid w:val="00EB1381"/>
    <w:rsid w:val="00EB13C5"/>
    <w:rsid w:val="00EB143B"/>
    <w:rsid w:val="00EB14BE"/>
    <w:rsid w:val="00EB1512"/>
    <w:rsid w:val="00EB157D"/>
    <w:rsid w:val="00EB158F"/>
    <w:rsid w:val="00EB15BC"/>
    <w:rsid w:val="00EB1606"/>
    <w:rsid w:val="00EB1618"/>
    <w:rsid w:val="00EB166D"/>
    <w:rsid w:val="00EB16A1"/>
    <w:rsid w:val="00EB170E"/>
    <w:rsid w:val="00EB1739"/>
    <w:rsid w:val="00EB1794"/>
    <w:rsid w:val="00EB17AE"/>
    <w:rsid w:val="00EB17CD"/>
    <w:rsid w:val="00EB17FC"/>
    <w:rsid w:val="00EB183F"/>
    <w:rsid w:val="00EB199D"/>
    <w:rsid w:val="00EB1A55"/>
    <w:rsid w:val="00EB1AC2"/>
    <w:rsid w:val="00EB1B2C"/>
    <w:rsid w:val="00EB1B4D"/>
    <w:rsid w:val="00EB1BB5"/>
    <w:rsid w:val="00EB1BEE"/>
    <w:rsid w:val="00EB1D73"/>
    <w:rsid w:val="00EB1D90"/>
    <w:rsid w:val="00EB1DC6"/>
    <w:rsid w:val="00EB1F20"/>
    <w:rsid w:val="00EB1F69"/>
    <w:rsid w:val="00EB1F71"/>
    <w:rsid w:val="00EB1F83"/>
    <w:rsid w:val="00EB1FFB"/>
    <w:rsid w:val="00EB2065"/>
    <w:rsid w:val="00EB2096"/>
    <w:rsid w:val="00EB20BC"/>
    <w:rsid w:val="00EB20E9"/>
    <w:rsid w:val="00EB20F1"/>
    <w:rsid w:val="00EB213B"/>
    <w:rsid w:val="00EB2243"/>
    <w:rsid w:val="00EB2244"/>
    <w:rsid w:val="00EB22D3"/>
    <w:rsid w:val="00EB23F3"/>
    <w:rsid w:val="00EB2407"/>
    <w:rsid w:val="00EB241E"/>
    <w:rsid w:val="00EB2420"/>
    <w:rsid w:val="00EB2458"/>
    <w:rsid w:val="00EB257E"/>
    <w:rsid w:val="00EB2583"/>
    <w:rsid w:val="00EB2622"/>
    <w:rsid w:val="00EB2701"/>
    <w:rsid w:val="00EB2778"/>
    <w:rsid w:val="00EB277E"/>
    <w:rsid w:val="00EB27FD"/>
    <w:rsid w:val="00EB281A"/>
    <w:rsid w:val="00EB2848"/>
    <w:rsid w:val="00EB2851"/>
    <w:rsid w:val="00EB2891"/>
    <w:rsid w:val="00EB2912"/>
    <w:rsid w:val="00EB2957"/>
    <w:rsid w:val="00EB2A66"/>
    <w:rsid w:val="00EB2AAC"/>
    <w:rsid w:val="00EB2ABE"/>
    <w:rsid w:val="00EB2AC4"/>
    <w:rsid w:val="00EB2B35"/>
    <w:rsid w:val="00EB2C16"/>
    <w:rsid w:val="00EB2CEA"/>
    <w:rsid w:val="00EB2CEE"/>
    <w:rsid w:val="00EB2CFB"/>
    <w:rsid w:val="00EB2D12"/>
    <w:rsid w:val="00EB2D3B"/>
    <w:rsid w:val="00EB2D81"/>
    <w:rsid w:val="00EB2D8E"/>
    <w:rsid w:val="00EB2D9D"/>
    <w:rsid w:val="00EB2DB5"/>
    <w:rsid w:val="00EB2E12"/>
    <w:rsid w:val="00EB2E64"/>
    <w:rsid w:val="00EB2E6F"/>
    <w:rsid w:val="00EB2E7D"/>
    <w:rsid w:val="00EB2E99"/>
    <w:rsid w:val="00EB2EDB"/>
    <w:rsid w:val="00EB2F05"/>
    <w:rsid w:val="00EB3091"/>
    <w:rsid w:val="00EB3096"/>
    <w:rsid w:val="00EB30A4"/>
    <w:rsid w:val="00EB30C6"/>
    <w:rsid w:val="00EB30FD"/>
    <w:rsid w:val="00EB314D"/>
    <w:rsid w:val="00EB31D5"/>
    <w:rsid w:val="00EB325F"/>
    <w:rsid w:val="00EB3287"/>
    <w:rsid w:val="00EB32D9"/>
    <w:rsid w:val="00EB335F"/>
    <w:rsid w:val="00EB33F9"/>
    <w:rsid w:val="00EB3476"/>
    <w:rsid w:val="00EB3499"/>
    <w:rsid w:val="00EB350B"/>
    <w:rsid w:val="00EB359F"/>
    <w:rsid w:val="00EB3639"/>
    <w:rsid w:val="00EB369C"/>
    <w:rsid w:val="00EB370C"/>
    <w:rsid w:val="00EB3732"/>
    <w:rsid w:val="00EB3766"/>
    <w:rsid w:val="00EB37A3"/>
    <w:rsid w:val="00EB382D"/>
    <w:rsid w:val="00EB3867"/>
    <w:rsid w:val="00EB38A1"/>
    <w:rsid w:val="00EB38B1"/>
    <w:rsid w:val="00EB38BD"/>
    <w:rsid w:val="00EB3974"/>
    <w:rsid w:val="00EB39A5"/>
    <w:rsid w:val="00EB3A13"/>
    <w:rsid w:val="00EB3B94"/>
    <w:rsid w:val="00EB3BAE"/>
    <w:rsid w:val="00EB3CD9"/>
    <w:rsid w:val="00EB3CF2"/>
    <w:rsid w:val="00EB3D04"/>
    <w:rsid w:val="00EB3D0B"/>
    <w:rsid w:val="00EB3E7C"/>
    <w:rsid w:val="00EB3F1E"/>
    <w:rsid w:val="00EB3F22"/>
    <w:rsid w:val="00EB3FD7"/>
    <w:rsid w:val="00EB3FE4"/>
    <w:rsid w:val="00EB3FFB"/>
    <w:rsid w:val="00EB4054"/>
    <w:rsid w:val="00EB4074"/>
    <w:rsid w:val="00EB40BF"/>
    <w:rsid w:val="00EB4106"/>
    <w:rsid w:val="00EB4107"/>
    <w:rsid w:val="00EB412C"/>
    <w:rsid w:val="00EB413E"/>
    <w:rsid w:val="00EB414D"/>
    <w:rsid w:val="00EB4166"/>
    <w:rsid w:val="00EB4171"/>
    <w:rsid w:val="00EB41E4"/>
    <w:rsid w:val="00EB4201"/>
    <w:rsid w:val="00EB4222"/>
    <w:rsid w:val="00EB4288"/>
    <w:rsid w:val="00EB4296"/>
    <w:rsid w:val="00EB4327"/>
    <w:rsid w:val="00EB4369"/>
    <w:rsid w:val="00EB43C0"/>
    <w:rsid w:val="00EB43D3"/>
    <w:rsid w:val="00EB443F"/>
    <w:rsid w:val="00EB44FF"/>
    <w:rsid w:val="00EB456F"/>
    <w:rsid w:val="00EB4575"/>
    <w:rsid w:val="00EB458D"/>
    <w:rsid w:val="00EB4634"/>
    <w:rsid w:val="00EB46A6"/>
    <w:rsid w:val="00EB4747"/>
    <w:rsid w:val="00EB477B"/>
    <w:rsid w:val="00EB47A9"/>
    <w:rsid w:val="00EB4843"/>
    <w:rsid w:val="00EB489C"/>
    <w:rsid w:val="00EB48E7"/>
    <w:rsid w:val="00EB4A05"/>
    <w:rsid w:val="00EB4A07"/>
    <w:rsid w:val="00EB4A6A"/>
    <w:rsid w:val="00EB4AD9"/>
    <w:rsid w:val="00EB4ADC"/>
    <w:rsid w:val="00EB4B9E"/>
    <w:rsid w:val="00EB4BA6"/>
    <w:rsid w:val="00EB4BAA"/>
    <w:rsid w:val="00EB4BB2"/>
    <w:rsid w:val="00EB4BBB"/>
    <w:rsid w:val="00EB4BE6"/>
    <w:rsid w:val="00EB4BED"/>
    <w:rsid w:val="00EB4C72"/>
    <w:rsid w:val="00EB4C83"/>
    <w:rsid w:val="00EB4D67"/>
    <w:rsid w:val="00EB4DB0"/>
    <w:rsid w:val="00EB4E2E"/>
    <w:rsid w:val="00EB4E5E"/>
    <w:rsid w:val="00EB4E7F"/>
    <w:rsid w:val="00EB4F07"/>
    <w:rsid w:val="00EB4FD4"/>
    <w:rsid w:val="00EB500E"/>
    <w:rsid w:val="00EB5029"/>
    <w:rsid w:val="00EB5048"/>
    <w:rsid w:val="00EB50B7"/>
    <w:rsid w:val="00EB50EE"/>
    <w:rsid w:val="00EB51CF"/>
    <w:rsid w:val="00EB5215"/>
    <w:rsid w:val="00EB52D8"/>
    <w:rsid w:val="00EB5379"/>
    <w:rsid w:val="00EB538D"/>
    <w:rsid w:val="00EB53A1"/>
    <w:rsid w:val="00EB54A4"/>
    <w:rsid w:val="00EB5543"/>
    <w:rsid w:val="00EB55AF"/>
    <w:rsid w:val="00EB5605"/>
    <w:rsid w:val="00EB560C"/>
    <w:rsid w:val="00EB5611"/>
    <w:rsid w:val="00EB563B"/>
    <w:rsid w:val="00EB5641"/>
    <w:rsid w:val="00EB57AF"/>
    <w:rsid w:val="00EB57B4"/>
    <w:rsid w:val="00EB57B9"/>
    <w:rsid w:val="00EB57DF"/>
    <w:rsid w:val="00EB5832"/>
    <w:rsid w:val="00EB5873"/>
    <w:rsid w:val="00EB594E"/>
    <w:rsid w:val="00EB5953"/>
    <w:rsid w:val="00EB5959"/>
    <w:rsid w:val="00EB59FA"/>
    <w:rsid w:val="00EB5A0D"/>
    <w:rsid w:val="00EB5A2D"/>
    <w:rsid w:val="00EB5B0D"/>
    <w:rsid w:val="00EB5B7F"/>
    <w:rsid w:val="00EB5BB3"/>
    <w:rsid w:val="00EB5BD2"/>
    <w:rsid w:val="00EB5CAB"/>
    <w:rsid w:val="00EB5D60"/>
    <w:rsid w:val="00EB5D82"/>
    <w:rsid w:val="00EB5D9C"/>
    <w:rsid w:val="00EB5DD5"/>
    <w:rsid w:val="00EB5E04"/>
    <w:rsid w:val="00EB5E60"/>
    <w:rsid w:val="00EB5E94"/>
    <w:rsid w:val="00EB5E9B"/>
    <w:rsid w:val="00EB5EAE"/>
    <w:rsid w:val="00EB5F4E"/>
    <w:rsid w:val="00EB5F7E"/>
    <w:rsid w:val="00EB5FFF"/>
    <w:rsid w:val="00EB6073"/>
    <w:rsid w:val="00EB608C"/>
    <w:rsid w:val="00EB608F"/>
    <w:rsid w:val="00EB60E0"/>
    <w:rsid w:val="00EB6288"/>
    <w:rsid w:val="00EB628A"/>
    <w:rsid w:val="00EB62FF"/>
    <w:rsid w:val="00EB6300"/>
    <w:rsid w:val="00EB631F"/>
    <w:rsid w:val="00EB6383"/>
    <w:rsid w:val="00EB639A"/>
    <w:rsid w:val="00EB63DF"/>
    <w:rsid w:val="00EB651A"/>
    <w:rsid w:val="00EB655C"/>
    <w:rsid w:val="00EB6576"/>
    <w:rsid w:val="00EB657D"/>
    <w:rsid w:val="00EB65D4"/>
    <w:rsid w:val="00EB6766"/>
    <w:rsid w:val="00EB6827"/>
    <w:rsid w:val="00EB687E"/>
    <w:rsid w:val="00EB6889"/>
    <w:rsid w:val="00EB68DA"/>
    <w:rsid w:val="00EB68E4"/>
    <w:rsid w:val="00EB6954"/>
    <w:rsid w:val="00EB6996"/>
    <w:rsid w:val="00EB699A"/>
    <w:rsid w:val="00EB6A38"/>
    <w:rsid w:val="00EB6B07"/>
    <w:rsid w:val="00EB6B7E"/>
    <w:rsid w:val="00EB6C0F"/>
    <w:rsid w:val="00EB6C20"/>
    <w:rsid w:val="00EB6C3B"/>
    <w:rsid w:val="00EB6C63"/>
    <w:rsid w:val="00EB6CBE"/>
    <w:rsid w:val="00EB6D39"/>
    <w:rsid w:val="00EB6D65"/>
    <w:rsid w:val="00EB6DC6"/>
    <w:rsid w:val="00EB6DD0"/>
    <w:rsid w:val="00EB6EBE"/>
    <w:rsid w:val="00EB6F04"/>
    <w:rsid w:val="00EB6F3A"/>
    <w:rsid w:val="00EB6FDD"/>
    <w:rsid w:val="00EB6FEC"/>
    <w:rsid w:val="00EB6FF8"/>
    <w:rsid w:val="00EB7041"/>
    <w:rsid w:val="00EB7058"/>
    <w:rsid w:val="00EB7091"/>
    <w:rsid w:val="00EB71E0"/>
    <w:rsid w:val="00EB71F4"/>
    <w:rsid w:val="00EB71F7"/>
    <w:rsid w:val="00EB721E"/>
    <w:rsid w:val="00EB722A"/>
    <w:rsid w:val="00EB725D"/>
    <w:rsid w:val="00EB726E"/>
    <w:rsid w:val="00EB7276"/>
    <w:rsid w:val="00EB72A3"/>
    <w:rsid w:val="00EB7331"/>
    <w:rsid w:val="00EB733E"/>
    <w:rsid w:val="00EB73D4"/>
    <w:rsid w:val="00EB747C"/>
    <w:rsid w:val="00EB74E4"/>
    <w:rsid w:val="00EB7540"/>
    <w:rsid w:val="00EB754A"/>
    <w:rsid w:val="00EB754D"/>
    <w:rsid w:val="00EB75BD"/>
    <w:rsid w:val="00EB7628"/>
    <w:rsid w:val="00EB773B"/>
    <w:rsid w:val="00EB7746"/>
    <w:rsid w:val="00EB774C"/>
    <w:rsid w:val="00EB77C1"/>
    <w:rsid w:val="00EB7858"/>
    <w:rsid w:val="00EB786A"/>
    <w:rsid w:val="00EB786F"/>
    <w:rsid w:val="00EB7889"/>
    <w:rsid w:val="00EB7911"/>
    <w:rsid w:val="00EB79AD"/>
    <w:rsid w:val="00EB7A16"/>
    <w:rsid w:val="00EB7A60"/>
    <w:rsid w:val="00EB7B1F"/>
    <w:rsid w:val="00EB7B58"/>
    <w:rsid w:val="00EB7B80"/>
    <w:rsid w:val="00EB7C26"/>
    <w:rsid w:val="00EB7C4F"/>
    <w:rsid w:val="00EB7E0F"/>
    <w:rsid w:val="00EB7E23"/>
    <w:rsid w:val="00EB7EA5"/>
    <w:rsid w:val="00EB7F35"/>
    <w:rsid w:val="00EB7F60"/>
    <w:rsid w:val="00EB7FA3"/>
    <w:rsid w:val="00EB7FBE"/>
    <w:rsid w:val="00EB7FE4"/>
    <w:rsid w:val="00EC004B"/>
    <w:rsid w:val="00EC004D"/>
    <w:rsid w:val="00EC0089"/>
    <w:rsid w:val="00EC00B6"/>
    <w:rsid w:val="00EC00DF"/>
    <w:rsid w:val="00EC0132"/>
    <w:rsid w:val="00EC013F"/>
    <w:rsid w:val="00EC0140"/>
    <w:rsid w:val="00EC0158"/>
    <w:rsid w:val="00EC017B"/>
    <w:rsid w:val="00EC023E"/>
    <w:rsid w:val="00EC02DE"/>
    <w:rsid w:val="00EC0315"/>
    <w:rsid w:val="00EC0356"/>
    <w:rsid w:val="00EC03C1"/>
    <w:rsid w:val="00EC041F"/>
    <w:rsid w:val="00EC0437"/>
    <w:rsid w:val="00EC057D"/>
    <w:rsid w:val="00EC0594"/>
    <w:rsid w:val="00EC05C0"/>
    <w:rsid w:val="00EC05D7"/>
    <w:rsid w:val="00EC0620"/>
    <w:rsid w:val="00EC062F"/>
    <w:rsid w:val="00EC06A7"/>
    <w:rsid w:val="00EC070A"/>
    <w:rsid w:val="00EC0777"/>
    <w:rsid w:val="00EC0779"/>
    <w:rsid w:val="00EC0781"/>
    <w:rsid w:val="00EC078B"/>
    <w:rsid w:val="00EC07C9"/>
    <w:rsid w:val="00EC0814"/>
    <w:rsid w:val="00EC08BA"/>
    <w:rsid w:val="00EC08C8"/>
    <w:rsid w:val="00EC08DA"/>
    <w:rsid w:val="00EC08E5"/>
    <w:rsid w:val="00EC0924"/>
    <w:rsid w:val="00EC0929"/>
    <w:rsid w:val="00EC0953"/>
    <w:rsid w:val="00EC09A8"/>
    <w:rsid w:val="00EC0AB5"/>
    <w:rsid w:val="00EC0AD2"/>
    <w:rsid w:val="00EC0AD3"/>
    <w:rsid w:val="00EC0AFE"/>
    <w:rsid w:val="00EC0B12"/>
    <w:rsid w:val="00EC0B3B"/>
    <w:rsid w:val="00EC0BE2"/>
    <w:rsid w:val="00EC0BE3"/>
    <w:rsid w:val="00EC0C6E"/>
    <w:rsid w:val="00EC0C82"/>
    <w:rsid w:val="00EC0D21"/>
    <w:rsid w:val="00EC0D74"/>
    <w:rsid w:val="00EC0E34"/>
    <w:rsid w:val="00EC0E8A"/>
    <w:rsid w:val="00EC0E8C"/>
    <w:rsid w:val="00EC0EFF"/>
    <w:rsid w:val="00EC0F3C"/>
    <w:rsid w:val="00EC0F4B"/>
    <w:rsid w:val="00EC0F8A"/>
    <w:rsid w:val="00EC100E"/>
    <w:rsid w:val="00EC106B"/>
    <w:rsid w:val="00EC1077"/>
    <w:rsid w:val="00EC10C1"/>
    <w:rsid w:val="00EC1115"/>
    <w:rsid w:val="00EC113B"/>
    <w:rsid w:val="00EC113D"/>
    <w:rsid w:val="00EC115E"/>
    <w:rsid w:val="00EC118D"/>
    <w:rsid w:val="00EC11A4"/>
    <w:rsid w:val="00EC11B5"/>
    <w:rsid w:val="00EC11C3"/>
    <w:rsid w:val="00EC11DB"/>
    <w:rsid w:val="00EC120D"/>
    <w:rsid w:val="00EC121C"/>
    <w:rsid w:val="00EC12A3"/>
    <w:rsid w:val="00EC1311"/>
    <w:rsid w:val="00EC1385"/>
    <w:rsid w:val="00EC13B8"/>
    <w:rsid w:val="00EC140F"/>
    <w:rsid w:val="00EC145D"/>
    <w:rsid w:val="00EC14EB"/>
    <w:rsid w:val="00EC152C"/>
    <w:rsid w:val="00EC1537"/>
    <w:rsid w:val="00EC1564"/>
    <w:rsid w:val="00EC1579"/>
    <w:rsid w:val="00EC15DB"/>
    <w:rsid w:val="00EC162E"/>
    <w:rsid w:val="00EC1681"/>
    <w:rsid w:val="00EC1689"/>
    <w:rsid w:val="00EC168B"/>
    <w:rsid w:val="00EC17AE"/>
    <w:rsid w:val="00EC17FC"/>
    <w:rsid w:val="00EC180F"/>
    <w:rsid w:val="00EC185D"/>
    <w:rsid w:val="00EC18EC"/>
    <w:rsid w:val="00EC1907"/>
    <w:rsid w:val="00EC19DE"/>
    <w:rsid w:val="00EC1A2C"/>
    <w:rsid w:val="00EC1AA3"/>
    <w:rsid w:val="00EC1B50"/>
    <w:rsid w:val="00EC1C11"/>
    <w:rsid w:val="00EC1C56"/>
    <w:rsid w:val="00EC1D12"/>
    <w:rsid w:val="00EC1D58"/>
    <w:rsid w:val="00EC1D83"/>
    <w:rsid w:val="00EC1E82"/>
    <w:rsid w:val="00EC1EC9"/>
    <w:rsid w:val="00EC1EE6"/>
    <w:rsid w:val="00EC1F24"/>
    <w:rsid w:val="00EC1F3B"/>
    <w:rsid w:val="00EC1F3C"/>
    <w:rsid w:val="00EC1F6D"/>
    <w:rsid w:val="00EC1FED"/>
    <w:rsid w:val="00EC2094"/>
    <w:rsid w:val="00EC2106"/>
    <w:rsid w:val="00EC2185"/>
    <w:rsid w:val="00EC2265"/>
    <w:rsid w:val="00EC22C9"/>
    <w:rsid w:val="00EC22E6"/>
    <w:rsid w:val="00EC2330"/>
    <w:rsid w:val="00EC23AB"/>
    <w:rsid w:val="00EC23BB"/>
    <w:rsid w:val="00EC2460"/>
    <w:rsid w:val="00EC24BC"/>
    <w:rsid w:val="00EC24C5"/>
    <w:rsid w:val="00EC24DA"/>
    <w:rsid w:val="00EC2554"/>
    <w:rsid w:val="00EC25B0"/>
    <w:rsid w:val="00EC25EE"/>
    <w:rsid w:val="00EC25F8"/>
    <w:rsid w:val="00EC263F"/>
    <w:rsid w:val="00EC2679"/>
    <w:rsid w:val="00EC26C6"/>
    <w:rsid w:val="00EC2705"/>
    <w:rsid w:val="00EC271B"/>
    <w:rsid w:val="00EC2726"/>
    <w:rsid w:val="00EC279E"/>
    <w:rsid w:val="00EC27B3"/>
    <w:rsid w:val="00EC27F7"/>
    <w:rsid w:val="00EC280B"/>
    <w:rsid w:val="00EC2830"/>
    <w:rsid w:val="00EC284D"/>
    <w:rsid w:val="00EC288C"/>
    <w:rsid w:val="00EC28BB"/>
    <w:rsid w:val="00EC2926"/>
    <w:rsid w:val="00EC29FF"/>
    <w:rsid w:val="00EC2A38"/>
    <w:rsid w:val="00EC2A3D"/>
    <w:rsid w:val="00EC2A4C"/>
    <w:rsid w:val="00EC2AAC"/>
    <w:rsid w:val="00EC2B2E"/>
    <w:rsid w:val="00EC2BBA"/>
    <w:rsid w:val="00EC2BF3"/>
    <w:rsid w:val="00EC2C22"/>
    <w:rsid w:val="00EC2C3F"/>
    <w:rsid w:val="00EC2DB1"/>
    <w:rsid w:val="00EC2DC2"/>
    <w:rsid w:val="00EC2E09"/>
    <w:rsid w:val="00EC2E56"/>
    <w:rsid w:val="00EC2E57"/>
    <w:rsid w:val="00EC2E7D"/>
    <w:rsid w:val="00EC2E8D"/>
    <w:rsid w:val="00EC2E99"/>
    <w:rsid w:val="00EC2E9A"/>
    <w:rsid w:val="00EC2EC6"/>
    <w:rsid w:val="00EC2F84"/>
    <w:rsid w:val="00EC3006"/>
    <w:rsid w:val="00EC3014"/>
    <w:rsid w:val="00EC304F"/>
    <w:rsid w:val="00EC307C"/>
    <w:rsid w:val="00EC313D"/>
    <w:rsid w:val="00EC3168"/>
    <w:rsid w:val="00EC3227"/>
    <w:rsid w:val="00EC3228"/>
    <w:rsid w:val="00EC3273"/>
    <w:rsid w:val="00EC333F"/>
    <w:rsid w:val="00EC339F"/>
    <w:rsid w:val="00EC33BD"/>
    <w:rsid w:val="00EC34A9"/>
    <w:rsid w:val="00EC34E9"/>
    <w:rsid w:val="00EC34F6"/>
    <w:rsid w:val="00EC3551"/>
    <w:rsid w:val="00EC3593"/>
    <w:rsid w:val="00EC3594"/>
    <w:rsid w:val="00EC3606"/>
    <w:rsid w:val="00EC3615"/>
    <w:rsid w:val="00EC365E"/>
    <w:rsid w:val="00EC3669"/>
    <w:rsid w:val="00EC37CC"/>
    <w:rsid w:val="00EC38F3"/>
    <w:rsid w:val="00EC3968"/>
    <w:rsid w:val="00EC3983"/>
    <w:rsid w:val="00EC3A59"/>
    <w:rsid w:val="00EC3B3F"/>
    <w:rsid w:val="00EC3B4A"/>
    <w:rsid w:val="00EC3B9A"/>
    <w:rsid w:val="00EC3B9C"/>
    <w:rsid w:val="00EC3C03"/>
    <w:rsid w:val="00EC3C4B"/>
    <w:rsid w:val="00EC3CE5"/>
    <w:rsid w:val="00EC3E18"/>
    <w:rsid w:val="00EC3E45"/>
    <w:rsid w:val="00EC3E75"/>
    <w:rsid w:val="00EC3F29"/>
    <w:rsid w:val="00EC3F65"/>
    <w:rsid w:val="00EC3F66"/>
    <w:rsid w:val="00EC3F78"/>
    <w:rsid w:val="00EC3FC1"/>
    <w:rsid w:val="00EC40AA"/>
    <w:rsid w:val="00EC40CE"/>
    <w:rsid w:val="00EC4153"/>
    <w:rsid w:val="00EC4178"/>
    <w:rsid w:val="00EC41B4"/>
    <w:rsid w:val="00EC41C8"/>
    <w:rsid w:val="00EC41C9"/>
    <w:rsid w:val="00EC41D8"/>
    <w:rsid w:val="00EC437D"/>
    <w:rsid w:val="00EC43F6"/>
    <w:rsid w:val="00EC4481"/>
    <w:rsid w:val="00EC448A"/>
    <w:rsid w:val="00EC451D"/>
    <w:rsid w:val="00EC4533"/>
    <w:rsid w:val="00EC4540"/>
    <w:rsid w:val="00EC459A"/>
    <w:rsid w:val="00EC45A3"/>
    <w:rsid w:val="00EC4630"/>
    <w:rsid w:val="00EC4652"/>
    <w:rsid w:val="00EC4669"/>
    <w:rsid w:val="00EC466E"/>
    <w:rsid w:val="00EC4763"/>
    <w:rsid w:val="00EC4772"/>
    <w:rsid w:val="00EC47ED"/>
    <w:rsid w:val="00EC487F"/>
    <w:rsid w:val="00EC4940"/>
    <w:rsid w:val="00EC4968"/>
    <w:rsid w:val="00EC49A7"/>
    <w:rsid w:val="00EC49FA"/>
    <w:rsid w:val="00EC4A5D"/>
    <w:rsid w:val="00EC4AAD"/>
    <w:rsid w:val="00EC4B47"/>
    <w:rsid w:val="00EC4B99"/>
    <w:rsid w:val="00EC4BF6"/>
    <w:rsid w:val="00EC4C1A"/>
    <w:rsid w:val="00EC4C29"/>
    <w:rsid w:val="00EC4CBE"/>
    <w:rsid w:val="00EC4D76"/>
    <w:rsid w:val="00EC4DD6"/>
    <w:rsid w:val="00EC4E40"/>
    <w:rsid w:val="00EC4EA2"/>
    <w:rsid w:val="00EC4F0C"/>
    <w:rsid w:val="00EC4FB4"/>
    <w:rsid w:val="00EC505D"/>
    <w:rsid w:val="00EC5096"/>
    <w:rsid w:val="00EC50D2"/>
    <w:rsid w:val="00EC511E"/>
    <w:rsid w:val="00EC5122"/>
    <w:rsid w:val="00EC5230"/>
    <w:rsid w:val="00EC5241"/>
    <w:rsid w:val="00EC529E"/>
    <w:rsid w:val="00EC5340"/>
    <w:rsid w:val="00EC5390"/>
    <w:rsid w:val="00EC53A8"/>
    <w:rsid w:val="00EC53FC"/>
    <w:rsid w:val="00EC541C"/>
    <w:rsid w:val="00EC5450"/>
    <w:rsid w:val="00EC54E9"/>
    <w:rsid w:val="00EC54EE"/>
    <w:rsid w:val="00EC55B3"/>
    <w:rsid w:val="00EC5618"/>
    <w:rsid w:val="00EC5637"/>
    <w:rsid w:val="00EC565F"/>
    <w:rsid w:val="00EC5671"/>
    <w:rsid w:val="00EC56AC"/>
    <w:rsid w:val="00EC56B3"/>
    <w:rsid w:val="00EC5889"/>
    <w:rsid w:val="00EC589B"/>
    <w:rsid w:val="00EC58B6"/>
    <w:rsid w:val="00EC591F"/>
    <w:rsid w:val="00EC5949"/>
    <w:rsid w:val="00EC5951"/>
    <w:rsid w:val="00EC5954"/>
    <w:rsid w:val="00EC597C"/>
    <w:rsid w:val="00EC59BE"/>
    <w:rsid w:val="00EC5A8F"/>
    <w:rsid w:val="00EC5B07"/>
    <w:rsid w:val="00EC5B28"/>
    <w:rsid w:val="00EC5C48"/>
    <w:rsid w:val="00EC5CF4"/>
    <w:rsid w:val="00EC5D07"/>
    <w:rsid w:val="00EC5D3F"/>
    <w:rsid w:val="00EC5E66"/>
    <w:rsid w:val="00EC5E80"/>
    <w:rsid w:val="00EC5ED7"/>
    <w:rsid w:val="00EC5EDA"/>
    <w:rsid w:val="00EC5EF4"/>
    <w:rsid w:val="00EC5F1A"/>
    <w:rsid w:val="00EC5F1D"/>
    <w:rsid w:val="00EC5F75"/>
    <w:rsid w:val="00EC5FA7"/>
    <w:rsid w:val="00EC5FB5"/>
    <w:rsid w:val="00EC5FDE"/>
    <w:rsid w:val="00EC6004"/>
    <w:rsid w:val="00EC601E"/>
    <w:rsid w:val="00EC60D6"/>
    <w:rsid w:val="00EC6137"/>
    <w:rsid w:val="00EC6197"/>
    <w:rsid w:val="00EC61C1"/>
    <w:rsid w:val="00EC61FF"/>
    <w:rsid w:val="00EC6203"/>
    <w:rsid w:val="00EC6275"/>
    <w:rsid w:val="00EC63A6"/>
    <w:rsid w:val="00EC63B6"/>
    <w:rsid w:val="00EC63C8"/>
    <w:rsid w:val="00EC645D"/>
    <w:rsid w:val="00EC647D"/>
    <w:rsid w:val="00EC650B"/>
    <w:rsid w:val="00EC653B"/>
    <w:rsid w:val="00EC6557"/>
    <w:rsid w:val="00EC6560"/>
    <w:rsid w:val="00EC6571"/>
    <w:rsid w:val="00EC6658"/>
    <w:rsid w:val="00EC667A"/>
    <w:rsid w:val="00EC66D9"/>
    <w:rsid w:val="00EC66EB"/>
    <w:rsid w:val="00EC674B"/>
    <w:rsid w:val="00EC67BA"/>
    <w:rsid w:val="00EC6880"/>
    <w:rsid w:val="00EC689B"/>
    <w:rsid w:val="00EC68A7"/>
    <w:rsid w:val="00EC68F5"/>
    <w:rsid w:val="00EC68F8"/>
    <w:rsid w:val="00EC690E"/>
    <w:rsid w:val="00EC6933"/>
    <w:rsid w:val="00EC6987"/>
    <w:rsid w:val="00EC69EC"/>
    <w:rsid w:val="00EC69FB"/>
    <w:rsid w:val="00EC6A40"/>
    <w:rsid w:val="00EC6A59"/>
    <w:rsid w:val="00EC6A98"/>
    <w:rsid w:val="00EC6AFB"/>
    <w:rsid w:val="00EC6B10"/>
    <w:rsid w:val="00EC6B6C"/>
    <w:rsid w:val="00EC6B73"/>
    <w:rsid w:val="00EC6BB2"/>
    <w:rsid w:val="00EC6C02"/>
    <w:rsid w:val="00EC6C32"/>
    <w:rsid w:val="00EC6C9D"/>
    <w:rsid w:val="00EC6D2C"/>
    <w:rsid w:val="00EC6D58"/>
    <w:rsid w:val="00EC6E15"/>
    <w:rsid w:val="00EC6E17"/>
    <w:rsid w:val="00EC6E88"/>
    <w:rsid w:val="00EC6F05"/>
    <w:rsid w:val="00EC6F36"/>
    <w:rsid w:val="00EC6F5F"/>
    <w:rsid w:val="00EC6F67"/>
    <w:rsid w:val="00EC6FD2"/>
    <w:rsid w:val="00EC70D9"/>
    <w:rsid w:val="00EC7179"/>
    <w:rsid w:val="00EC7203"/>
    <w:rsid w:val="00EC723D"/>
    <w:rsid w:val="00EC72F6"/>
    <w:rsid w:val="00EC73EE"/>
    <w:rsid w:val="00EC73F2"/>
    <w:rsid w:val="00EC743B"/>
    <w:rsid w:val="00EC7450"/>
    <w:rsid w:val="00EC74D8"/>
    <w:rsid w:val="00EC7507"/>
    <w:rsid w:val="00EC7511"/>
    <w:rsid w:val="00EC752A"/>
    <w:rsid w:val="00EC753D"/>
    <w:rsid w:val="00EC75A4"/>
    <w:rsid w:val="00EC75C2"/>
    <w:rsid w:val="00EC75E8"/>
    <w:rsid w:val="00EC7713"/>
    <w:rsid w:val="00EC7767"/>
    <w:rsid w:val="00EC77B2"/>
    <w:rsid w:val="00EC77B8"/>
    <w:rsid w:val="00EC77CD"/>
    <w:rsid w:val="00EC782A"/>
    <w:rsid w:val="00EC7892"/>
    <w:rsid w:val="00EC78D4"/>
    <w:rsid w:val="00EC78E4"/>
    <w:rsid w:val="00EC78EB"/>
    <w:rsid w:val="00EC7912"/>
    <w:rsid w:val="00EC7989"/>
    <w:rsid w:val="00EC79A4"/>
    <w:rsid w:val="00EC79C1"/>
    <w:rsid w:val="00EC79E0"/>
    <w:rsid w:val="00EC7A7C"/>
    <w:rsid w:val="00EC7B2C"/>
    <w:rsid w:val="00EC7B61"/>
    <w:rsid w:val="00EC7B7F"/>
    <w:rsid w:val="00EC7CE9"/>
    <w:rsid w:val="00EC7CF9"/>
    <w:rsid w:val="00EC7D0D"/>
    <w:rsid w:val="00EC7D5A"/>
    <w:rsid w:val="00EC7D5C"/>
    <w:rsid w:val="00EC7DA6"/>
    <w:rsid w:val="00EC7DE0"/>
    <w:rsid w:val="00EC7DEF"/>
    <w:rsid w:val="00EC7E04"/>
    <w:rsid w:val="00EC7E62"/>
    <w:rsid w:val="00EC7E91"/>
    <w:rsid w:val="00EC7ED0"/>
    <w:rsid w:val="00EC7EEA"/>
    <w:rsid w:val="00EC7F49"/>
    <w:rsid w:val="00EC7FE1"/>
    <w:rsid w:val="00EC8D8E"/>
    <w:rsid w:val="00ED003F"/>
    <w:rsid w:val="00ED0054"/>
    <w:rsid w:val="00ED00BA"/>
    <w:rsid w:val="00ED0106"/>
    <w:rsid w:val="00ED020C"/>
    <w:rsid w:val="00ED0243"/>
    <w:rsid w:val="00ED02B9"/>
    <w:rsid w:val="00ED02EE"/>
    <w:rsid w:val="00ED02F9"/>
    <w:rsid w:val="00ED032E"/>
    <w:rsid w:val="00ED034B"/>
    <w:rsid w:val="00ED0351"/>
    <w:rsid w:val="00ED037B"/>
    <w:rsid w:val="00ED0382"/>
    <w:rsid w:val="00ED0430"/>
    <w:rsid w:val="00ED0504"/>
    <w:rsid w:val="00ED0562"/>
    <w:rsid w:val="00ED056A"/>
    <w:rsid w:val="00ED05E5"/>
    <w:rsid w:val="00ED062B"/>
    <w:rsid w:val="00ED0668"/>
    <w:rsid w:val="00ED0674"/>
    <w:rsid w:val="00ED0685"/>
    <w:rsid w:val="00ED06AB"/>
    <w:rsid w:val="00ED06BC"/>
    <w:rsid w:val="00ED0703"/>
    <w:rsid w:val="00ED0740"/>
    <w:rsid w:val="00ED074E"/>
    <w:rsid w:val="00ED07FC"/>
    <w:rsid w:val="00ED0841"/>
    <w:rsid w:val="00ED0857"/>
    <w:rsid w:val="00ED08C2"/>
    <w:rsid w:val="00ED08CA"/>
    <w:rsid w:val="00ED0926"/>
    <w:rsid w:val="00ED0931"/>
    <w:rsid w:val="00ED0936"/>
    <w:rsid w:val="00ED096B"/>
    <w:rsid w:val="00ED0A40"/>
    <w:rsid w:val="00ED0A4E"/>
    <w:rsid w:val="00ED0A7E"/>
    <w:rsid w:val="00ED0B16"/>
    <w:rsid w:val="00ED0BA8"/>
    <w:rsid w:val="00ED0C56"/>
    <w:rsid w:val="00ED0C60"/>
    <w:rsid w:val="00ED0CA5"/>
    <w:rsid w:val="00ED0CCF"/>
    <w:rsid w:val="00ED0CD6"/>
    <w:rsid w:val="00ED0CE5"/>
    <w:rsid w:val="00ED0D08"/>
    <w:rsid w:val="00ED0D09"/>
    <w:rsid w:val="00ED0D8E"/>
    <w:rsid w:val="00ED0E8C"/>
    <w:rsid w:val="00ED0F89"/>
    <w:rsid w:val="00ED101F"/>
    <w:rsid w:val="00ED10CA"/>
    <w:rsid w:val="00ED1117"/>
    <w:rsid w:val="00ED11B4"/>
    <w:rsid w:val="00ED11C7"/>
    <w:rsid w:val="00ED11FB"/>
    <w:rsid w:val="00ED12A3"/>
    <w:rsid w:val="00ED1332"/>
    <w:rsid w:val="00ED1373"/>
    <w:rsid w:val="00ED1378"/>
    <w:rsid w:val="00ED1507"/>
    <w:rsid w:val="00ED1515"/>
    <w:rsid w:val="00ED153F"/>
    <w:rsid w:val="00ED1551"/>
    <w:rsid w:val="00ED15B6"/>
    <w:rsid w:val="00ED1615"/>
    <w:rsid w:val="00ED1653"/>
    <w:rsid w:val="00ED16D7"/>
    <w:rsid w:val="00ED1715"/>
    <w:rsid w:val="00ED17BA"/>
    <w:rsid w:val="00ED1804"/>
    <w:rsid w:val="00ED188A"/>
    <w:rsid w:val="00ED1896"/>
    <w:rsid w:val="00ED18F0"/>
    <w:rsid w:val="00ED1A0C"/>
    <w:rsid w:val="00ED1A1F"/>
    <w:rsid w:val="00ED1AC0"/>
    <w:rsid w:val="00ED1B15"/>
    <w:rsid w:val="00ED1B67"/>
    <w:rsid w:val="00ED1B88"/>
    <w:rsid w:val="00ED1BA9"/>
    <w:rsid w:val="00ED1BC6"/>
    <w:rsid w:val="00ED1BFA"/>
    <w:rsid w:val="00ED1C25"/>
    <w:rsid w:val="00ED1C58"/>
    <w:rsid w:val="00ED1CB3"/>
    <w:rsid w:val="00ED1CFA"/>
    <w:rsid w:val="00ED1D01"/>
    <w:rsid w:val="00ED1D90"/>
    <w:rsid w:val="00ED1DC4"/>
    <w:rsid w:val="00ED1DC8"/>
    <w:rsid w:val="00ED1E0C"/>
    <w:rsid w:val="00ED1EC3"/>
    <w:rsid w:val="00ED200B"/>
    <w:rsid w:val="00ED203B"/>
    <w:rsid w:val="00ED203F"/>
    <w:rsid w:val="00ED2084"/>
    <w:rsid w:val="00ED2134"/>
    <w:rsid w:val="00ED215B"/>
    <w:rsid w:val="00ED2198"/>
    <w:rsid w:val="00ED2235"/>
    <w:rsid w:val="00ED2276"/>
    <w:rsid w:val="00ED228F"/>
    <w:rsid w:val="00ED229E"/>
    <w:rsid w:val="00ED22C0"/>
    <w:rsid w:val="00ED22D1"/>
    <w:rsid w:val="00ED22E2"/>
    <w:rsid w:val="00ED2325"/>
    <w:rsid w:val="00ED23F8"/>
    <w:rsid w:val="00ED244E"/>
    <w:rsid w:val="00ED244F"/>
    <w:rsid w:val="00ED2468"/>
    <w:rsid w:val="00ED246A"/>
    <w:rsid w:val="00ED248C"/>
    <w:rsid w:val="00ED24B3"/>
    <w:rsid w:val="00ED24D7"/>
    <w:rsid w:val="00ED2538"/>
    <w:rsid w:val="00ED2595"/>
    <w:rsid w:val="00ED25AC"/>
    <w:rsid w:val="00ED261E"/>
    <w:rsid w:val="00ED2648"/>
    <w:rsid w:val="00ED26AC"/>
    <w:rsid w:val="00ED26CE"/>
    <w:rsid w:val="00ED2722"/>
    <w:rsid w:val="00ED2727"/>
    <w:rsid w:val="00ED272F"/>
    <w:rsid w:val="00ED2759"/>
    <w:rsid w:val="00ED27BF"/>
    <w:rsid w:val="00ED27CD"/>
    <w:rsid w:val="00ED27D3"/>
    <w:rsid w:val="00ED27F6"/>
    <w:rsid w:val="00ED28A9"/>
    <w:rsid w:val="00ED29A2"/>
    <w:rsid w:val="00ED2A31"/>
    <w:rsid w:val="00ED2A7E"/>
    <w:rsid w:val="00ED2A9D"/>
    <w:rsid w:val="00ED2AEA"/>
    <w:rsid w:val="00ED2B40"/>
    <w:rsid w:val="00ED2B71"/>
    <w:rsid w:val="00ED2C33"/>
    <w:rsid w:val="00ED2C9A"/>
    <w:rsid w:val="00ED2CE1"/>
    <w:rsid w:val="00ED2D0E"/>
    <w:rsid w:val="00ED2D70"/>
    <w:rsid w:val="00ED2D97"/>
    <w:rsid w:val="00ED2E71"/>
    <w:rsid w:val="00ED2F36"/>
    <w:rsid w:val="00ED2F47"/>
    <w:rsid w:val="00ED2F69"/>
    <w:rsid w:val="00ED2FE1"/>
    <w:rsid w:val="00ED302E"/>
    <w:rsid w:val="00ED3035"/>
    <w:rsid w:val="00ED30C1"/>
    <w:rsid w:val="00ED30DA"/>
    <w:rsid w:val="00ED3104"/>
    <w:rsid w:val="00ED312C"/>
    <w:rsid w:val="00ED3152"/>
    <w:rsid w:val="00ED318E"/>
    <w:rsid w:val="00ED31E9"/>
    <w:rsid w:val="00ED321F"/>
    <w:rsid w:val="00ED329F"/>
    <w:rsid w:val="00ED32DE"/>
    <w:rsid w:val="00ED32F1"/>
    <w:rsid w:val="00ED3522"/>
    <w:rsid w:val="00ED354A"/>
    <w:rsid w:val="00ED3563"/>
    <w:rsid w:val="00ED356A"/>
    <w:rsid w:val="00ED362B"/>
    <w:rsid w:val="00ED3645"/>
    <w:rsid w:val="00ED36DC"/>
    <w:rsid w:val="00ED37C9"/>
    <w:rsid w:val="00ED3884"/>
    <w:rsid w:val="00ED38B5"/>
    <w:rsid w:val="00ED3A98"/>
    <w:rsid w:val="00ED3AF9"/>
    <w:rsid w:val="00ED3B16"/>
    <w:rsid w:val="00ED3B32"/>
    <w:rsid w:val="00ED3B6D"/>
    <w:rsid w:val="00ED3B97"/>
    <w:rsid w:val="00ED3C65"/>
    <w:rsid w:val="00ED3CD2"/>
    <w:rsid w:val="00ED3D67"/>
    <w:rsid w:val="00ED3D99"/>
    <w:rsid w:val="00ED3DFE"/>
    <w:rsid w:val="00ED3E77"/>
    <w:rsid w:val="00ED3EA4"/>
    <w:rsid w:val="00ED3ED3"/>
    <w:rsid w:val="00ED3EEF"/>
    <w:rsid w:val="00ED3F75"/>
    <w:rsid w:val="00ED3F84"/>
    <w:rsid w:val="00ED3FB2"/>
    <w:rsid w:val="00ED3FC8"/>
    <w:rsid w:val="00ED3FE0"/>
    <w:rsid w:val="00ED407C"/>
    <w:rsid w:val="00ED40E6"/>
    <w:rsid w:val="00ED40E7"/>
    <w:rsid w:val="00ED412C"/>
    <w:rsid w:val="00ED416E"/>
    <w:rsid w:val="00ED418A"/>
    <w:rsid w:val="00ED41B9"/>
    <w:rsid w:val="00ED41C9"/>
    <w:rsid w:val="00ED4223"/>
    <w:rsid w:val="00ED425C"/>
    <w:rsid w:val="00ED42F8"/>
    <w:rsid w:val="00ED43C9"/>
    <w:rsid w:val="00ED4409"/>
    <w:rsid w:val="00ED4468"/>
    <w:rsid w:val="00ED44BC"/>
    <w:rsid w:val="00ED44FF"/>
    <w:rsid w:val="00ED4539"/>
    <w:rsid w:val="00ED4583"/>
    <w:rsid w:val="00ED45C2"/>
    <w:rsid w:val="00ED45DF"/>
    <w:rsid w:val="00ED460A"/>
    <w:rsid w:val="00ED4710"/>
    <w:rsid w:val="00ED474A"/>
    <w:rsid w:val="00ED4778"/>
    <w:rsid w:val="00ED47C9"/>
    <w:rsid w:val="00ED480C"/>
    <w:rsid w:val="00ED483D"/>
    <w:rsid w:val="00ED484E"/>
    <w:rsid w:val="00ED48B0"/>
    <w:rsid w:val="00ED48BF"/>
    <w:rsid w:val="00ED4904"/>
    <w:rsid w:val="00ED495C"/>
    <w:rsid w:val="00ED4A03"/>
    <w:rsid w:val="00ED4AA8"/>
    <w:rsid w:val="00ED4B55"/>
    <w:rsid w:val="00ED4BCC"/>
    <w:rsid w:val="00ED4C30"/>
    <w:rsid w:val="00ED4CAB"/>
    <w:rsid w:val="00ED4CB9"/>
    <w:rsid w:val="00ED4CF3"/>
    <w:rsid w:val="00ED4D0A"/>
    <w:rsid w:val="00ED4D20"/>
    <w:rsid w:val="00ED4D32"/>
    <w:rsid w:val="00ED4EA3"/>
    <w:rsid w:val="00ED4EA6"/>
    <w:rsid w:val="00ED4EB0"/>
    <w:rsid w:val="00ED4EBC"/>
    <w:rsid w:val="00ED5019"/>
    <w:rsid w:val="00ED503C"/>
    <w:rsid w:val="00ED509D"/>
    <w:rsid w:val="00ED5100"/>
    <w:rsid w:val="00ED51F6"/>
    <w:rsid w:val="00ED520D"/>
    <w:rsid w:val="00ED5262"/>
    <w:rsid w:val="00ED526D"/>
    <w:rsid w:val="00ED528B"/>
    <w:rsid w:val="00ED5296"/>
    <w:rsid w:val="00ED52AF"/>
    <w:rsid w:val="00ED52CD"/>
    <w:rsid w:val="00ED5304"/>
    <w:rsid w:val="00ED53AA"/>
    <w:rsid w:val="00ED53F8"/>
    <w:rsid w:val="00ED5454"/>
    <w:rsid w:val="00ED5495"/>
    <w:rsid w:val="00ED549E"/>
    <w:rsid w:val="00ED54B5"/>
    <w:rsid w:val="00ED54FB"/>
    <w:rsid w:val="00ED5532"/>
    <w:rsid w:val="00ED55B6"/>
    <w:rsid w:val="00ED55DF"/>
    <w:rsid w:val="00ED5603"/>
    <w:rsid w:val="00ED5612"/>
    <w:rsid w:val="00ED564A"/>
    <w:rsid w:val="00ED5715"/>
    <w:rsid w:val="00ED578C"/>
    <w:rsid w:val="00ED57F9"/>
    <w:rsid w:val="00ED5806"/>
    <w:rsid w:val="00ED5899"/>
    <w:rsid w:val="00ED58ED"/>
    <w:rsid w:val="00ED58EF"/>
    <w:rsid w:val="00ED59E7"/>
    <w:rsid w:val="00ED59FB"/>
    <w:rsid w:val="00ED5A0D"/>
    <w:rsid w:val="00ED5A13"/>
    <w:rsid w:val="00ED5AD8"/>
    <w:rsid w:val="00ED5AE7"/>
    <w:rsid w:val="00ED5B5E"/>
    <w:rsid w:val="00ED5B87"/>
    <w:rsid w:val="00ED5BE2"/>
    <w:rsid w:val="00ED5CC2"/>
    <w:rsid w:val="00ED5D1E"/>
    <w:rsid w:val="00ED5D27"/>
    <w:rsid w:val="00ED5D3F"/>
    <w:rsid w:val="00ED5DAC"/>
    <w:rsid w:val="00ED5DCE"/>
    <w:rsid w:val="00ED5DDE"/>
    <w:rsid w:val="00ED5DE9"/>
    <w:rsid w:val="00ED5E0F"/>
    <w:rsid w:val="00ED5EB8"/>
    <w:rsid w:val="00ED5F02"/>
    <w:rsid w:val="00ED5F4E"/>
    <w:rsid w:val="00ED5F6E"/>
    <w:rsid w:val="00ED5FB1"/>
    <w:rsid w:val="00ED5FF6"/>
    <w:rsid w:val="00ED60C6"/>
    <w:rsid w:val="00ED610D"/>
    <w:rsid w:val="00ED6135"/>
    <w:rsid w:val="00ED615A"/>
    <w:rsid w:val="00ED61F2"/>
    <w:rsid w:val="00ED6209"/>
    <w:rsid w:val="00ED623F"/>
    <w:rsid w:val="00ED6414"/>
    <w:rsid w:val="00ED643E"/>
    <w:rsid w:val="00ED6469"/>
    <w:rsid w:val="00ED6503"/>
    <w:rsid w:val="00ED6631"/>
    <w:rsid w:val="00ED664D"/>
    <w:rsid w:val="00ED6713"/>
    <w:rsid w:val="00ED671F"/>
    <w:rsid w:val="00ED67D7"/>
    <w:rsid w:val="00ED67E1"/>
    <w:rsid w:val="00ED680A"/>
    <w:rsid w:val="00ED6890"/>
    <w:rsid w:val="00ED68AE"/>
    <w:rsid w:val="00ED68F3"/>
    <w:rsid w:val="00ED698F"/>
    <w:rsid w:val="00ED699D"/>
    <w:rsid w:val="00ED69CB"/>
    <w:rsid w:val="00ED69F3"/>
    <w:rsid w:val="00ED69FE"/>
    <w:rsid w:val="00ED6A0F"/>
    <w:rsid w:val="00ED6AA1"/>
    <w:rsid w:val="00ED6AEC"/>
    <w:rsid w:val="00ED6B0A"/>
    <w:rsid w:val="00ED6B5D"/>
    <w:rsid w:val="00ED6B7A"/>
    <w:rsid w:val="00ED6BE5"/>
    <w:rsid w:val="00ED6C56"/>
    <w:rsid w:val="00ED6C69"/>
    <w:rsid w:val="00ED6CC0"/>
    <w:rsid w:val="00ED6CE8"/>
    <w:rsid w:val="00ED6D28"/>
    <w:rsid w:val="00ED6DDF"/>
    <w:rsid w:val="00ED6E50"/>
    <w:rsid w:val="00ED6E53"/>
    <w:rsid w:val="00ED6E7F"/>
    <w:rsid w:val="00ED6FDA"/>
    <w:rsid w:val="00ED701B"/>
    <w:rsid w:val="00ED7046"/>
    <w:rsid w:val="00ED7051"/>
    <w:rsid w:val="00ED7060"/>
    <w:rsid w:val="00ED70EF"/>
    <w:rsid w:val="00ED7191"/>
    <w:rsid w:val="00ED71D2"/>
    <w:rsid w:val="00ED7239"/>
    <w:rsid w:val="00ED7261"/>
    <w:rsid w:val="00ED7278"/>
    <w:rsid w:val="00ED727D"/>
    <w:rsid w:val="00ED728C"/>
    <w:rsid w:val="00ED72FC"/>
    <w:rsid w:val="00ED73A6"/>
    <w:rsid w:val="00ED73BD"/>
    <w:rsid w:val="00ED740E"/>
    <w:rsid w:val="00ED74F0"/>
    <w:rsid w:val="00ED7524"/>
    <w:rsid w:val="00ED7551"/>
    <w:rsid w:val="00ED7591"/>
    <w:rsid w:val="00ED7598"/>
    <w:rsid w:val="00ED75B3"/>
    <w:rsid w:val="00ED75DA"/>
    <w:rsid w:val="00ED762B"/>
    <w:rsid w:val="00ED7637"/>
    <w:rsid w:val="00ED7639"/>
    <w:rsid w:val="00ED7812"/>
    <w:rsid w:val="00ED78EF"/>
    <w:rsid w:val="00ED7982"/>
    <w:rsid w:val="00ED7998"/>
    <w:rsid w:val="00ED799A"/>
    <w:rsid w:val="00ED799F"/>
    <w:rsid w:val="00ED7B0D"/>
    <w:rsid w:val="00ED7B15"/>
    <w:rsid w:val="00ED7B51"/>
    <w:rsid w:val="00ED7BB4"/>
    <w:rsid w:val="00ED7BB8"/>
    <w:rsid w:val="00ED7C68"/>
    <w:rsid w:val="00ED7C90"/>
    <w:rsid w:val="00ED7D71"/>
    <w:rsid w:val="00ED7E6F"/>
    <w:rsid w:val="00ED7EA9"/>
    <w:rsid w:val="00ED7EDB"/>
    <w:rsid w:val="00ED7F2D"/>
    <w:rsid w:val="00ED7F66"/>
    <w:rsid w:val="00ED7F8C"/>
    <w:rsid w:val="00ED7F97"/>
    <w:rsid w:val="00ED7FB3"/>
    <w:rsid w:val="00ED7FF7"/>
    <w:rsid w:val="00EE0080"/>
    <w:rsid w:val="00EE00DC"/>
    <w:rsid w:val="00EE0243"/>
    <w:rsid w:val="00EE0263"/>
    <w:rsid w:val="00EE0319"/>
    <w:rsid w:val="00EE0325"/>
    <w:rsid w:val="00EE0424"/>
    <w:rsid w:val="00EE047E"/>
    <w:rsid w:val="00EE04EE"/>
    <w:rsid w:val="00EE0546"/>
    <w:rsid w:val="00EE056C"/>
    <w:rsid w:val="00EE059C"/>
    <w:rsid w:val="00EE0600"/>
    <w:rsid w:val="00EE0647"/>
    <w:rsid w:val="00EE067E"/>
    <w:rsid w:val="00EE0725"/>
    <w:rsid w:val="00EE0771"/>
    <w:rsid w:val="00EE07C4"/>
    <w:rsid w:val="00EE07E9"/>
    <w:rsid w:val="00EE0841"/>
    <w:rsid w:val="00EE089D"/>
    <w:rsid w:val="00EE092E"/>
    <w:rsid w:val="00EE09F5"/>
    <w:rsid w:val="00EE0A0C"/>
    <w:rsid w:val="00EE0AB0"/>
    <w:rsid w:val="00EE0AE7"/>
    <w:rsid w:val="00EE0AE8"/>
    <w:rsid w:val="00EE0B1F"/>
    <w:rsid w:val="00EE0B23"/>
    <w:rsid w:val="00EE0B26"/>
    <w:rsid w:val="00EE0B2D"/>
    <w:rsid w:val="00EE0B5F"/>
    <w:rsid w:val="00EE0B6C"/>
    <w:rsid w:val="00EE0B7D"/>
    <w:rsid w:val="00EE0C3E"/>
    <w:rsid w:val="00EE0CEA"/>
    <w:rsid w:val="00EE0D1D"/>
    <w:rsid w:val="00EE0D4C"/>
    <w:rsid w:val="00EE0DC4"/>
    <w:rsid w:val="00EE0E97"/>
    <w:rsid w:val="00EE0F0C"/>
    <w:rsid w:val="00EE0F95"/>
    <w:rsid w:val="00EE102D"/>
    <w:rsid w:val="00EE1118"/>
    <w:rsid w:val="00EE11AF"/>
    <w:rsid w:val="00EE11B6"/>
    <w:rsid w:val="00EE11C3"/>
    <w:rsid w:val="00EE11DD"/>
    <w:rsid w:val="00EE1370"/>
    <w:rsid w:val="00EE1383"/>
    <w:rsid w:val="00EE1395"/>
    <w:rsid w:val="00EE13A6"/>
    <w:rsid w:val="00EE13D4"/>
    <w:rsid w:val="00EE13F8"/>
    <w:rsid w:val="00EE1432"/>
    <w:rsid w:val="00EE14D3"/>
    <w:rsid w:val="00EE1528"/>
    <w:rsid w:val="00EE156D"/>
    <w:rsid w:val="00EE1575"/>
    <w:rsid w:val="00EE159C"/>
    <w:rsid w:val="00EE16AC"/>
    <w:rsid w:val="00EE172C"/>
    <w:rsid w:val="00EE1743"/>
    <w:rsid w:val="00EE1745"/>
    <w:rsid w:val="00EE1751"/>
    <w:rsid w:val="00EE17B6"/>
    <w:rsid w:val="00EE17B9"/>
    <w:rsid w:val="00EE17BF"/>
    <w:rsid w:val="00EE1834"/>
    <w:rsid w:val="00EE1868"/>
    <w:rsid w:val="00EE1966"/>
    <w:rsid w:val="00EE1AB2"/>
    <w:rsid w:val="00EE1B78"/>
    <w:rsid w:val="00EE1B88"/>
    <w:rsid w:val="00EE1BB1"/>
    <w:rsid w:val="00EE1BE7"/>
    <w:rsid w:val="00EE1CD3"/>
    <w:rsid w:val="00EE1CE1"/>
    <w:rsid w:val="00EE1DA6"/>
    <w:rsid w:val="00EE1DA9"/>
    <w:rsid w:val="00EE1DBD"/>
    <w:rsid w:val="00EE1E2B"/>
    <w:rsid w:val="00EE1E5C"/>
    <w:rsid w:val="00EE1E80"/>
    <w:rsid w:val="00EE1E91"/>
    <w:rsid w:val="00EE1E97"/>
    <w:rsid w:val="00EE1EAF"/>
    <w:rsid w:val="00EE1EF1"/>
    <w:rsid w:val="00EE1F63"/>
    <w:rsid w:val="00EE1FE5"/>
    <w:rsid w:val="00EE1FFC"/>
    <w:rsid w:val="00EE2035"/>
    <w:rsid w:val="00EE212A"/>
    <w:rsid w:val="00EE21AC"/>
    <w:rsid w:val="00EE21C6"/>
    <w:rsid w:val="00EE2214"/>
    <w:rsid w:val="00EE2222"/>
    <w:rsid w:val="00EE225F"/>
    <w:rsid w:val="00EE226C"/>
    <w:rsid w:val="00EE22EC"/>
    <w:rsid w:val="00EE22ED"/>
    <w:rsid w:val="00EE22F1"/>
    <w:rsid w:val="00EE2371"/>
    <w:rsid w:val="00EE23CE"/>
    <w:rsid w:val="00EE24A7"/>
    <w:rsid w:val="00EE24B9"/>
    <w:rsid w:val="00EE2524"/>
    <w:rsid w:val="00EE266C"/>
    <w:rsid w:val="00EE26B0"/>
    <w:rsid w:val="00EE26C9"/>
    <w:rsid w:val="00EE2710"/>
    <w:rsid w:val="00EE275E"/>
    <w:rsid w:val="00EE2781"/>
    <w:rsid w:val="00EE27F1"/>
    <w:rsid w:val="00EE28DA"/>
    <w:rsid w:val="00EE28E0"/>
    <w:rsid w:val="00EE290D"/>
    <w:rsid w:val="00EE2915"/>
    <w:rsid w:val="00EE297C"/>
    <w:rsid w:val="00EE2983"/>
    <w:rsid w:val="00EE29A9"/>
    <w:rsid w:val="00EE2A1B"/>
    <w:rsid w:val="00EE2A20"/>
    <w:rsid w:val="00EE2ADA"/>
    <w:rsid w:val="00EE2AFB"/>
    <w:rsid w:val="00EE2B4B"/>
    <w:rsid w:val="00EE2BE5"/>
    <w:rsid w:val="00EE2C67"/>
    <w:rsid w:val="00EE2D44"/>
    <w:rsid w:val="00EE2DE1"/>
    <w:rsid w:val="00EE2DE2"/>
    <w:rsid w:val="00EE2E74"/>
    <w:rsid w:val="00EE2F15"/>
    <w:rsid w:val="00EE2F5C"/>
    <w:rsid w:val="00EE2F8B"/>
    <w:rsid w:val="00EE308F"/>
    <w:rsid w:val="00EE3090"/>
    <w:rsid w:val="00EE31E7"/>
    <w:rsid w:val="00EE321E"/>
    <w:rsid w:val="00EE3306"/>
    <w:rsid w:val="00EE3310"/>
    <w:rsid w:val="00EE33BF"/>
    <w:rsid w:val="00EE33C2"/>
    <w:rsid w:val="00EE3462"/>
    <w:rsid w:val="00EE3508"/>
    <w:rsid w:val="00EE3534"/>
    <w:rsid w:val="00EE3589"/>
    <w:rsid w:val="00EE3597"/>
    <w:rsid w:val="00EE35D6"/>
    <w:rsid w:val="00EE3623"/>
    <w:rsid w:val="00EE364F"/>
    <w:rsid w:val="00EE3674"/>
    <w:rsid w:val="00EE36B3"/>
    <w:rsid w:val="00EE36D4"/>
    <w:rsid w:val="00EE36FC"/>
    <w:rsid w:val="00EE370D"/>
    <w:rsid w:val="00EE3727"/>
    <w:rsid w:val="00EE372B"/>
    <w:rsid w:val="00EE375B"/>
    <w:rsid w:val="00EE3815"/>
    <w:rsid w:val="00EE385E"/>
    <w:rsid w:val="00EE389E"/>
    <w:rsid w:val="00EE38AA"/>
    <w:rsid w:val="00EE3999"/>
    <w:rsid w:val="00EE39E2"/>
    <w:rsid w:val="00EE3A08"/>
    <w:rsid w:val="00EE3A2D"/>
    <w:rsid w:val="00EE3A73"/>
    <w:rsid w:val="00EE3A96"/>
    <w:rsid w:val="00EE3B29"/>
    <w:rsid w:val="00EE3B37"/>
    <w:rsid w:val="00EE3B5E"/>
    <w:rsid w:val="00EE3B60"/>
    <w:rsid w:val="00EE3BD6"/>
    <w:rsid w:val="00EE3C1F"/>
    <w:rsid w:val="00EE3CB7"/>
    <w:rsid w:val="00EE3CF8"/>
    <w:rsid w:val="00EE3D3A"/>
    <w:rsid w:val="00EE3DD4"/>
    <w:rsid w:val="00EE3DF9"/>
    <w:rsid w:val="00EE3E02"/>
    <w:rsid w:val="00EE3E32"/>
    <w:rsid w:val="00EE3E8D"/>
    <w:rsid w:val="00EE3EBA"/>
    <w:rsid w:val="00EE3EF0"/>
    <w:rsid w:val="00EE3F0C"/>
    <w:rsid w:val="00EE3F21"/>
    <w:rsid w:val="00EE3F55"/>
    <w:rsid w:val="00EE3FBE"/>
    <w:rsid w:val="00EE40FA"/>
    <w:rsid w:val="00EE4181"/>
    <w:rsid w:val="00EE41A1"/>
    <w:rsid w:val="00EE41C4"/>
    <w:rsid w:val="00EE41F0"/>
    <w:rsid w:val="00EE420F"/>
    <w:rsid w:val="00EE42C6"/>
    <w:rsid w:val="00EE4464"/>
    <w:rsid w:val="00EE4471"/>
    <w:rsid w:val="00EE44B4"/>
    <w:rsid w:val="00EE45AA"/>
    <w:rsid w:val="00EE461A"/>
    <w:rsid w:val="00EE464F"/>
    <w:rsid w:val="00EE4660"/>
    <w:rsid w:val="00EE4692"/>
    <w:rsid w:val="00EE46B1"/>
    <w:rsid w:val="00EE474A"/>
    <w:rsid w:val="00EE476C"/>
    <w:rsid w:val="00EE4781"/>
    <w:rsid w:val="00EE47D3"/>
    <w:rsid w:val="00EE48A5"/>
    <w:rsid w:val="00EE4930"/>
    <w:rsid w:val="00EE4932"/>
    <w:rsid w:val="00EE4942"/>
    <w:rsid w:val="00EE4953"/>
    <w:rsid w:val="00EE4A6C"/>
    <w:rsid w:val="00EE4B2A"/>
    <w:rsid w:val="00EE4C42"/>
    <w:rsid w:val="00EE4C65"/>
    <w:rsid w:val="00EE4CA6"/>
    <w:rsid w:val="00EE4CD2"/>
    <w:rsid w:val="00EE4DAF"/>
    <w:rsid w:val="00EE4E94"/>
    <w:rsid w:val="00EE4F05"/>
    <w:rsid w:val="00EE4F22"/>
    <w:rsid w:val="00EE4F2E"/>
    <w:rsid w:val="00EE4F36"/>
    <w:rsid w:val="00EE4F3F"/>
    <w:rsid w:val="00EE4FCE"/>
    <w:rsid w:val="00EE505D"/>
    <w:rsid w:val="00EE5077"/>
    <w:rsid w:val="00EE50BE"/>
    <w:rsid w:val="00EE50E7"/>
    <w:rsid w:val="00EE5149"/>
    <w:rsid w:val="00EE51A6"/>
    <w:rsid w:val="00EE51B8"/>
    <w:rsid w:val="00EE51C9"/>
    <w:rsid w:val="00EE51E1"/>
    <w:rsid w:val="00EE520F"/>
    <w:rsid w:val="00EE5242"/>
    <w:rsid w:val="00EE52E0"/>
    <w:rsid w:val="00EE5300"/>
    <w:rsid w:val="00EE535C"/>
    <w:rsid w:val="00EE5439"/>
    <w:rsid w:val="00EE5448"/>
    <w:rsid w:val="00EE5465"/>
    <w:rsid w:val="00EE5481"/>
    <w:rsid w:val="00EE551C"/>
    <w:rsid w:val="00EE5526"/>
    <w:rsid w:val="00EE558D"/>
    <w:rsid w:val="00EE55B9"/>
    <w:rsid w:val="00EE55DC"/>
    <w:rsid w:val="00EE55FF"/>
    <w:rsid w:val="00EE5649"/>
    <w:rsid w:val="00EE5656"/>
    <w:rsid w:val="00EE56EA"/>
    <w:rsid w:val="00EE571A"/>
    <w:rsid w:val="00EE57C9"/>
    <w:rsid w:val="00EE57D0"/>
    <w:rsid w:val="00EE57E7"/>
    <w:rsid w:val="00EE5869"/>
    <w:rsid w:val="00EE58D7"/>
    <w:rsid w:val="00EE58DF"/>
    <w:rsid w:val="00EE59B8"/>
    <w:rsid w:val="00EE59D1"/>
    <w:rsid w:val="00EE59F3"/>
    <w:rsid w:val="00EE5A26"/>
    <w:rsid w:val="00EE5A3D"/>
    <w:rsid w:val="00EE5A44"/>
    <w:rsid w:val="00EE5A4E"/>
    <w:rsid w:val="00EE5AF2"/>
    <w:rsid w:val="00EE5B2F"/>
    <w:rsid w:val="00EE5B4B"/>
    <w:rsid w:val="00EE5D3B"/>
    <w:rsid w:val="00EE5D72"/>
    <w:rsid w:val="00EE5D90"/>
    <w:rsid w:val="00EE5E72"/>
    <w:rsid w:val="00EE5F83"/>
    <w:rsid w:val="00EE5FA5"/>
    <w:rsid w:val="00EE5FB7"/>
    <w:rsid w:val="00EE6049"/>
    <w:rsid w:val="00EE60AE"/>
    <w:rsid w:val="00EE618D"/>
    <w:rsid w:val="00EE61E6"/>
    <w:rsid w:val="00EE61FB"/>
    <w:rsid w:val="00EE620D"/>
    <w:rsid w:val="00EE6259"/>
    <w:rsid w:val="00EE6313"/>
    <w:rsid w:val="00EE6346"/>
    <w:rsid w:val="00EE6394"/>
    <w:rsid w:val="00EE63C9"/>
    <w:rsid w:val="00EE6453"/>
    <w:rsid w:val="00EE64DF"/>
    <w:rsid w:val="00EE6507"/>
    <w:rsid w:val="00EE6522"/>
    <w:rsid w:val="00EE6543"/>
    <w:rsid w:val="00EE66E0"/>
    <w:rsid w:val="00EE6767"/>
    <w:rsid w:val="00EE67E3"/>
    <w:rsid w:val="00EE67F7"/>
    <w:rsid w:val="00EE6813"/>
    <w:rsid w:val="00EE688A"/>
    <w:rsid w:val="00EE6A10"/>
    <w:rsid w:val="00EE6A59"/>
    <w:rsid w:val="00EE6A64"/>
    <w:rsid w:val="00EE6ABE"/>
    <w:rsid w:val="00EE6AEA"/>
    <w:rsid w:val="00EE6B2C"/>
    <w:rsid w:val="00EE6B57"/>
    <w:rsid w:val="00EE6B6C"/>
    <w:rsid w:val="00EE6B77"/>
    <w:rsid w:val="00EE6BB0"/>
    <w:rsid w:val="00EE6BCF"/>
    <w:rsid w:val="00EE6BD2"/>
    <w:rsid w:val="00EE6BE7"/>
    <w:rsid w:val="00EE6D6B"/>
    <w:rsid w:val="00EE6D87"/>
    <w:rsid w:val="00EE6DD3"/>
    <w:rsid w:val="00EE6E03"/>
    <w:rsid w:val="00EE6E46"/>
    <w:rsid w:val="00EE6E69"/>
    <w:rsid w:val="00EE6E8F"/>
    <w:rsid w:val="00EE6EC7"/>
    <w:rsid w:val="00EE6EDC"/>
    <w:rsid w:val="00EE6EFE"/>
    <w:rsid w:val="00EE6F3E"/>
    <w:rsid w:val="00EE6F61"/>
    <w:rsid w:val="00EE6FB7"/>
    <w:rsid w:val="00EE7023"/>
    <w:rsid w:val="00EE711B"/>
    <w:rsid w:val="00EE7120"/>
    <w:rsid w:val="00EE71B0"/>
    <w:rsid w:val="00EE721F"/>
    <w:rsid w:val="00EE724C"/>
    <w:rsid w:val="00EE7253"/>
    <w:rsid w:val="00EE7284"/>
    <w:rsid w:val="00EE7291"/>
    <w:rsid w:val="00EE729E"/>
    <w:rsid w:val="00EE72AB"/>
    <w:rsid w:val="00EE72D2"/>
    <w:rsid w:val="00EE72E9"/>
    <w:rsid w:val="00EE73A5"/>
    <w:rsid w:val="00EE7426"/>
    <w:rsid w:val="00EE7454"/>
    <w:rsid w:val="00EE749B"/>
    <w:rsid w:val="00EE750F"/>
    <w:rsid w:val="00EE757E"/>
    <w:rsid w:val="00EE75BA"/>
    <w:rsid w:val="00EE76A0"/>
    <w:rsid w:val="00EE7734"/>
    <w:rsid w:val="00EE77B3"/>
    <w:rsid w:val="00EE7806"/>
    <w:rsid w:val="00EE78B5"/>
    <w:rsid w:val="00EE78C4"/>
    <w:rsid w:val="00EE78E9"/>
    <w:rsid w:val="00EE790D"/>
    <w:rsid w:val="00EE7959"/>
    <w:rsid w:val="00EE7968"/>
    <w:rsid w:val="00EE798C"/>
    <w:rsid w:val="00EE799D"/>
    <w:rsid w:val="00EE79D4"/>
    <w:rsid w:val="00EE7A13"/>
    <w:rsid w:val="00EE7A7C"/>
    <w:rsid w:val="00EE7AB6"/>
    <w:rsid w:val="00EE7B5D"/>
    <w:rsid w:val="00EE7B92"/>
    <w:rsid w:val="00EE7B94"/>
    <w:rsid w:val="00EE7BCD"/>
    <w:rsid w:val="00EE7BFC"/>
    <w:rsid w:val="00EE7C55"/>
    <w:rsid w:val="00EE7C75"/>
    <w:rsid w:val="00EE7DD2"/>
    <w:rsid w:val="00EE7DEA"/>
    <w:rsid w:val="00EE7EF8"/>
    <w:rsid w:val="00EE7F33"/>
    <w:rsid w:val="00EE7F51"/>
    <w:rsid w:val="00EE7FA1"/>
    <w:rsid w:val="00EE7FC8"/>
    <w:rsid w:val="00EE7FD8"/>
    <w:rsid w:val="00EF003C"/>
    <w:rsid w:val="00EF0087"/>
    <w:rsid w:val="00EF00D1"/>
    <w:rsid w:val="00EF00EF"/>
    <w:rsid w:val="00EF012B"/>
    <w:rsid w:val="00EF0153"/>
    <w:rsid w:val="00EF0183"/>
    <w:rsid w:val="00EF01F8"/>
    <w:rsid w:val="00EF020D"/>
    <w:rsid w:val="00EF0259"/>
    <w:rsid w:val="00EF0262"/>
    <w:rsid w:val="00EF0378"/>
    <w:rsid w:val="00EF0384"/>
    <w:rsid w:val="00EF03CB"/>
    <w:rsid w:val="00EF0477"/>
    <w:rsid w:val="00EF04CC"/>
    <w:rsid w:val="00EF058A"/>
    <w:rsid w:val="00EF05D2"/>
    <w:rsid w:val="00EF0626"/>
    <w:rsid w:val="00EF0636"/>
    <w:rsid w:val="00EF064B"/>
    <w:rsid w:val="00EF0697"/>
    <w:rsid w:val="00EF069B"/>
    <w:rsid w:val="00EF06D7"/>
    <w:rsid w:val="00EF0759"/>
    <w:rsid w:val="00EF078D"/>
    <w:rsid w:val="00EF0796"/>
    <w:rsid w:val="00EF07A8"/>
    <w:rsid w:val="00EF0802"/>
    <w:rsid w:val="00EF0804"/>
    <w:rsid w:val="00EF0810"/>
    <w:rsid w:val="00EF08D5"/>
    <w:rsid w:val="00EF08D7"/>
    <w:rsid w:val="00EF0909"/>
    <w:rsid w:val="00EF0919"/>
    <w:rsid w:val="00EF092C"/>
    <w:rsid w:val="00EF09BC"/>
    <w:rsid w:val="00EF09DA"/>
    <w:rsid w:val="00EF0A6C"/>
    <w:rsid w:val="00EF0A83"/>
    <w:rsid w:val="00EF0A95"/>
    <w:rsid w:val="00EF0AC8"/>
    <w:rsid w:val="00EF0BC4"/>
    <w:rsid w:val="00EF0BD0"/>
    <w:rsid w:val="00EF0C70"/>
    <w:rsid w:val="00EF0CB5"/>
    <w:rsid w:val="00EF0CE4"/>
    <w:rsid w:val="00EF0D27"/>
    <w:rsid w:val="00EF0D91"/>
    <w:rsid w:val="00EF0DA8"/>
    <w:rsid w:val="00EF0E21"/>
    <w:rsid w:val="00EF0E3E"/>
    <w:rsid w:val="00EF0E8A"/>
    <w:rsid w:val="00EF0F27"/>
    <w:rsid w:val="00EF106B"/>
    <w:rsid w:val="00EF1164"/>
    <w:rsid w:val="00EF11AA"/>
    <w:rsid w:val="00EF125C"/>
    <w:rsid w:val="00EF130E"/>
    <w:rsid w:val="00EF1373"/>
    <w:rsid w:val="00EF13CF"/>
    <w:rsid w:val="00EF13FE"/>
    <w:rsid w:val="00EF15F2"/>
    <w:rsid w:val="00EF1691"/>
    <w:rsid w:val="00EF17D6"/>
    <w:rsid w:val="00EF187F"/>
    <w:rsid w:val="00EF18F0"/>
    <w:rsid w:val="00EF1906"/>
    <w:rsid w:val="00EF1953"/>
    <w:rsid w:val="00EF1974"/>
    <w:rsid w:val="00EF19EE"/>
    <w:rsid w:val="00EF1A8E"/>
    <w:rsid w:val="00EF1ABA"/>
    <w:rsid w:val="00EF1AFA"/>
    <w:rsid w:val="00EF1B03"/>
    <w:rsid w:val="00EF1B18"/>
    <w:rsid w:val="00EF1CB7"/>
    <w:rsid w:val="00EF1D06"/>
    <w:rsid w:val="00EF1D4B"/>
    <w:rsid w:val="00EF1E11"/>
    <w:rsid w:val="00EF1EC2"/>
    <w:rsid w:val="00EF1FA1"/>
    <w:rsid w:val="00EF2040"/>
    <w:rsid w:val="00EF2051"/>
    <w:rsid w:val="00EF20AD"/>
    <w:rsid w:val="00EF20DB"/>
    <w:rsid w:val="00EF2144"/>
    <w:rsid w:val="00EF21C1"/>
    <w:rsid w:val="00EF21EF"/>
    <w:rsid w:val="00EF2250"/>
    <w:rsid w:val="00EF225F"/>
    <w:rsid w:val="00EF2274"/>
    <w:rsid w:val="00EF232F"/>
    <w:rsid w:val="00EF237A"/>
    <w:rsid w:val="00EF23D1"/>
    <w:rsid w:val="00EF2409"/>
    <w:rsid w:val="00EF2430"/>
    <w:rsid w:val="00EF2528"/>
    <w:rsid w:val="00EF2671"/>
    <w:rsid w:val="00EF281C"/>
    <w:rsid w:val="00EF2848"/>
    <w:rsid w:val="00EF2892"/>
    <w:rsid w:val="00EF28B0"/>
    <w:rsid w:val="00EF28E9"/>
    <w:rsid w:val="00EF2998"/>
    <w:rsid w:val="00EF2A0F"/>
    <w:rsid w:val="00EF2A10"/>
    <w:rsid w:val="00EF2A1C"/>
    <w:rsid w:val="00EF2A5E"/>
    <w:rsid w:val="00EF2A6D"/>
    <w:rsid w:val="00EF2AE2"/>
    <w:rsid w:val="00EF2B12"/>
    <w:rsid w:val="00EF2B85"/>
    <w:rsid w:val="00EF2BBB"/>
    <w:rsid w:val="00EF2BDC"/>
    <w:rsid w:val="00EF2C07"/>
    <w:rsid w:val="00EF2CB5"/>
    <w:rsid w:val="00EF2CC6"/>
    <w:rsid w:val="00EF2CE4"/>
    <w:rsid w:val="00EF2D3E"/>
    <w:rsid w:val="00EF2D47"/>
    <w:rsid w:val="00EF2D55"/>
    <w:rsid w:val="00EF2DDA"/>
    <w:rsid w:val="00EF2E11"/>
    <w:rsid w:val="00EF2E6B"/>
    <w:rsid w:val="00EF2EBD"/>
    <w:rsid w:val="00EF2F6D"/>
    <w:rsid w:val="00EF2FF0"/>
    <w:rsid w:val="00EF301C"/>
    <w:rsid w:val="00EF3027"/>
    <w:rsid w:val="00EF30E9"/>
    <w:rsid w:val="00EF30ED"/>
    <w:rsid w:val="00EF311C"/>
    <w:rsid w:val="00EF31A1"/>
    <w:rsid w:val="00EF31D7"/>
    <w:rsid w:val="00EF3218"/>
    <w:rsid w:val="00EF323C"/>
    <w:rsid w:val="00EF329D"/>
    <w:rsid w:val="00EF339F"/>
    <w:rsid w:val="00EF3493"/>
    <w:rsid w:val="00EF34EE"/>
    <w:rsid w:val="00EF3526"/>
    <w:rsid w:val="00EF35C9"/>
    <w:rsid w:val="00EF35E3"/>
    <w:rsid w:val="00EF364E"/>
    <w:rsid w:val="00EF3717"/>
    <w:rsid w:val="00EF37F4"/>
    <w:rsid w:val="00EF3830"/>
    <w:rsid w:val="00EF3873"/>
    <w:rsid w:val="00EF38C7"/>
    <w:rsid w:val="00EF3929"/>
    <w:rsid w:val="00EF39FD"/>
    <w:rsid w:val="00EF3A23"/>
    <w:rsid w:val="00EF3A2B"/>
    <w:rsid w:val="00EF3A7C"/>
    <w:rsid w:val="00EF3ABC"/>
    <w:rsid w:val="00EF3AF2"/>
    <w:rsid w:val="00EF3B89"/>
    <w:rsid w:val="00EF3BCB"/>
    <w:rsid w:val="00EF3BEB"/>
    <w:rsid w:val="00EF3C53"/>
    <w:rsid w:val="00EF3C6D"/>
    <w:rsid w:val="00EF3CA2"/>
    <w:rsid w:val="00EF3CB9"/>
    <w:rsid w:val="00EF3E19"/>
    <w:rsid w:val="00EF3E75"/>
    <w:rsid w:val="00EF3E76"/>
    <w:rsid w:val="00EF3E93"/>
    <w:rsid w:val="00EF3EA0"/>
    <w:rsid w:val="00EF3ED4"/>
    <w:rsid w:val="00EF3F91"/>
    <w:rsid w:val="00EF402D"/>
    <w:rsid w:val="00EF409A"/>
    <w:rsid w:val="00EF41D9"/>
    <w:rsid w:val="00EF41EC"/>
    <w:rsid w:val="00EF422B"/>
    <w:rsid w:val="00EF43A3"/>
    <w:rsid w:val="00EF43E2"/>
    <w:rsid w:val="00EF43E7"/>
    <w:rsid w:val="00EF4417"/>
    <w:rsid w:val="00EF442B"/>
    <w:rsid w:val="00EF44D5"/>
    <w:rsid w:val="00EF458E"/>
    <w:rsid w:val="00EF45F4"/>
    <w:rsid w:val="00EF4615"/>
    <w:rsid w:val="00EF4659"/>
    <w:rsid w:val="00EF46A6"/>
    <w:rsid w:val="00EF46DE"/>
    <w:rsid w:val="00EF4758"/>
    <w:rsid w:val="00EF476C"/>
    <w:rsid w:val="00EF481A"/>
    <w:rsid w:val="00EF481B"/>
    <w:rsid w:val="00EF48A1"/>
    <w:rsid w:val="00EF48B7"/>
    <w:rsid w:val="00EF48D8"/>
    <w:rsid w:val="00EF4964"/>
    <w:rsid w:val="00EF498E"/>
    <w:rsid w:val="00EF49A1"/>
    <w:rsid w:val="00EF49C1"/>
    <w:rsid w:val="00EF49ED"/>
    <w:rsid w:val="00EF4A05"/>
    <w:rsid w:val="00EF4B3D"/>
    <w:rsid w:val="00EF4B71"/>
    <w:rsid w:val="00EF4BAE"/>
    <w:rsid w:val="00EF4BF9"/>
    <w:rsid w:val="00EF4C11"/>
    <w:rsid w:val="00EF4D7A"/>
    <w:rsid w:val="00EF4DB5"/>
    <w:rsid w:val="00EF4DE7"/>
    <w:rsid w:val="00EF4E51"/>
    <w:rsid w:val="00EF4E84"/>
    <w:rsid w:val="00EF4EAD"/>
    <w:rsid w:val="00EF4EBE"/>
    <w:rsid w:val="00EF4F91"/>
    <w:rsid w:val="00EF4F95"/>
    <w:rsid w:val="00EF4FC0"/>
    <w:rsid w:val="00EF5027"/>
    <w:rsid w:val="00EF5033"/>
    <w:rsid w:val="00EF508A"/>
    <w:rsid w:val="00EF5136"/>
    <w:rsid w:val="00EF5156"/>
    <w:rsid w:val="00EF51B3"/>
    <w:rsid w:val="00EF51EA"/>
    <w:rsid w:val="00EF529D"/>
    <w:rsid w:val="00EF52B6"/>
    <w:rsid w:val="00EF536E"/>
    <w:rsid w:val="00EF538A"/>
    <w:rsid w:val="00EF5404"/>
    <w:rsid w:val="00EF5478"/>
    <w:rsid w:val="00EF54E8"/>
    <w:rsid w:val="00EF54EC"/>
    <w:rsid w:val="00EF55E0"/>
    <w:rsid w:val="00EF55F1"/>
    <w:rsid w:val="00EF5601"/>
    <w:rsid w:val="00EF56C4"/>
    <w:rsid w:val="00EF56DD"/>
    <w:rsid w:val="00EF5757"/>
    <w:rsid w:val="00EF5767"/>
    <w:rsid w:val="00EF584E"/>
    <w:rsid w:val="00EF585F"/>
    <w:rsid w:val="00EF5A5F"/>
    <w:rsid w:val="00EF5AC1"/>
    <w:rsid w:val="00EF5AEB"/>
    <w:rsid w:val="00EF5B88"/>
    <w:rsid w:val="00EF5B8A"/>
    <w:rsid w:val="00EF5B8C"/>
    <w:rsid w:val="00EF5BE9"/>
    <w:rsid w:val="00EF5BFF"/>
    <w:rsid w:val="00EF5C2D"/>
    <w:rsid w:val="00EF5C40"/>
    <w:rsid w:val="00EF5C71"/>
    <w:rsid w:val="00EF5CA3"/>
    <w:rsid w:val="00EF5D12"/>
    <w:rsid w:val="00EF5DCC"/>
    <w:rsid w:val="00EF5E90"/>
    <w:rsid w:val="00EF5F2A"/>
    <w:rsid w:val="00EF5F6D"/>
    <w:rsid w:val="00EF6041"/>
    <w:rsid w:val="00EF60B6"/>
    <w:rsid w:val="00EF60DE"/>
    <w:rsid w:val="00EF614D"/>
    <w:rsid w:val="00EF6228"/>
    <w:rsid w:val="00EF6238"/>
    <w:rsid w:val="00EF6253"/>
    <w:rsid w:val="00EF62A4"/>
    <w:rsid w:val="00EF62E5"/>
    <w:rsid w:val="00EF6336"/>
    <w:rsid w:val="00EF6386"/>
    <w:rsid w:val="00EF639D"/>
    <w:rsid w:val="00EF63C0"/>
    <w:rsid w:val="00EF63D7"/>
    <w:rsid w:val="00EF63E4"/>
    <w:rsid w:val="00EF63E6"/>
    <w:rsid w:val="00EF646E"/>
    <w:rsid w:val="00EF6470"/>
    <w:rsid w:val="00EF649B"/>
    <w:rsid w:val="00EF64C0"/>
    <w:rsid w:val="00EF656E"/>
    <w:rsid w:val="00EF674A"/>
    <w:rsid w:val="00EF67A6"/>
    <w:rsid w:val="00EF67AD"/>
    <w:rsid w:val="00EF67B9"/>
    <w:rsid w:val="00EF6816"/>
    <w:rsid w:val="00EF6873"/>
    <w:rsid w:val="00EF6878"/>
    <w:rsid w:val="00EF68A8"/>
    <w:rsid w:val="00EF68C1"/>
    <w:rsid w:val="00EF6936"/>
    <w:rsid w:val="00EF693C"/>
    <w:rsid w:val="00EF6956"/>
    <w:rsid w:val="00EF6978"/>
    <w:rsid w:val="00EF69A8"/>
    <w:rsid w:val="00EF6A49"/>
    <w:rsid w:val="00EF6B33"/>
    <w:rsid w:val="00EF6B3B"/>
    <w:rsid w:val="00EF6B68"/>
    <w:rsid w:val="00EF6BAA"/>
    <w:rsid w:val="00EF6BDC"/>
    <w:rsid w:val="00EF6CB0"/>
    <w:rsid w:val="00EF6D18"/>
    <w:rsid w:val="00EF6D4F"/>
    <w:rsid w:val="00EF6D55"/>
    <w:rsid w:val="00EF6E14"/>
    <w:rsid w:val="00EF6E51"/>
    <w:rsid w:val="00EF6E86"/>
    <w:rsid w:val="00EF6EB4"/>
    <w:rsid w:val="00EF6EB7"/>
    <w:rsid w:val="00EF6EBB"/>
    <w:rsid w:val="00EF6EBF"/>
    <w:rsid w:val="00EF6ED3"/>
    <w:rsid w:val="00EF6EE7"/>
    <w:rsid w:val="00EF6F60"/>
    <w:rsid w:val="00EF6F72"/>
    <w:rsid w:val="00EF6F8C"/>
    <w:rsid w:val="00EF6FD0"/>
    <w:rsid w:val="00EF70B0"/>
    <w:rsid w:val="00EF70C4"/>
    <w:rsid w:val="00EF70C9"/>
    <w:rsid w:val="00EF70F9"/>
    <w:rsid w:val="00EF7143"/>
    <w:rsid w:val="00EF7170"/>
    <w:rsid w:val="00EF71E9"/>
    <w:rsid w:val="00EF7209"/>
    <w:rsid w:val="00EF720A"/>
    <w:rsid w:val="00EF7216"/>
    <w:rsid w:val="00EF721D"/>
    <w:rsid w:val="00EF721F"/>
    <w:rsid w:val="00EF726D"/>
    <w:rsid w:val="00EF729E"/>
    <w:rsid w:val="00EF72AA"/>
    <w:rsid w:val="00EF72C6"/>
    <w:rsid w:val="00EF72D4"/>
    <w:rsid w:val="00EF72FB"/>
    <w:rsid w:val="00EF732B"/>
    <w:rsid w:val="00EF733C"/>
    <w:rsid w:val="00EF7385"/>
    <w:rsid w:val="00EF7498"/>
    <w:rsid w:val="00EF74BB"/>
    <w:rsid w:val="00EF7506"/>
    <w:rsid w:val="00EF7515"/>
    <w:rsid w:val="00EF754E"/>
    <w:rsid w:val="00EF757B"/>
    <w:rsid w:val="00EF7589"/>
    <w:rsid w:val="00EF75C3"/>
    <w:rsid w:val="00EF75D0"/>
    <w:rsid w:val="00EF7647"/>
    <w:rsid w:val="00EF765B"/>
    <w:rsid w:val="00EF7698"/>
    <w:rsid w:val="00EF7780"/>
    <w:rsid w:val="00EF77DF"/>
    <w:rsid w:val="00EF77E9"/>
    <w:rsid w:val="00EF7869"/>
    <w:rsid w:val="00EF7891"/>
    <w:rsid w:val="00EF78D2"/>
    <w:rsid w:val="00EF7954"/>
    <w:rsid w:val="00EF7965"/>
    <w:rsid w:val="00EF7AA8"/>
    <w:rsid w:val="00EF7AD3"/>
    <w:rsid w:val="00EF7B1F"/>
    <w:rsid w:val="00EF7B98"/>
    <w:rsid w:val="00EF7BA7"/>
    <w:rsid w:val="00EF7BB4"/>
    <w:rsid w:val="00EF7BDE"/>
    <w:rsid w:val="00EF7C4F"/>
    <w:rsid w:val="00EF7C91"/>
    <w:rsid w:val="00EF7CBB"/>
    <w:rsid w:val="00EF7D9F"/>
    <w:rsid w:val="00EF7E16"/>
    <w:rsid w:val="00EF7E35"/>
    <w:rsid w:val="00EF7FCD"/>
    <w:rsid w:val="00F00010"/>
    <w:rsid w:val="00F000C6"/>
    <w:rsid w:val="00F000FA"/>
    <w:rsid w:val="00F00104"/>
    <w:rsid w:val="00F001C2"/>
    <w:rsid w:val="00F001DE"/>
    <w:rsid w:val="00F002B9"/>
    <w:rsid w:val="00F00311"/>
    <w:rsid w:val="00F00388"/>
    <w:rsid w:val="00F00408"/>
    <w:rsid w:val="00F00433"/>
    <w:rsid w:val="00F00439"/>
    <w:rsid w:val="00F004CF"/>
    <w:rsid w:val="00F0051E"/>
    <w:rsid w:val="00F00548"/>
    <w:rsid w:val="00F00635"/>
    <w:rsid w:val="00F0077F"/>
    <w:rsid w:val="00F007B5"/>
    <w:rsid w:val="00F0086F"/>
    <w:rsid w:val="00F0089A"/>
    <w:rsid w:val="00F008BF"/>
    <w:rsid w:val="00F00920"/>
    <w:rsid w:val="00F0095A"/>
    <w:rsid w:val="00F00976"/>
    <w:rsid w:val="00F0097E"/>
    <w:rsid w:val="00F009D4"/>
    <w:rsid w:val="00F00A87"/>
    <w:rsid w:val="00F00AB0"/>
    <w:rsid w:val="00F00AC3"/>
    <w:rsid w:val="00F00B0B"/>
    <w:rsid w:val="00F00B14"/>
    <w:rsid w:val="00F00BA4"/>
    <w:rsid w:val="00F00CBB"/>
    <w:rsid w:val="00F00CD8"/>
    <w:rsid w:val="00F00CD9"/>
    <w:rsid w:val="00F00D03"/>
    <w:rsid w:val="00F00D77"/>
    <w:rsid w:val="00F00DD6"/>
    <w:rsid w:val="00F00DEF"/>
    <w:rsid w:val="00F00E14"/>
    <w:rsid w:val="00F00E1E"/>
    <w:rsid w:val="00F00E55"/>
    <w:rsid w:val="00F00E58"/>
    <w:rsid w:val="00F00E78"/>
    <w:rsid w:val="00F00EDC"/>
    <w:rsid w:val="00F00F29"/>
    <w:rsid w:val="00F00F47"/>
    <w:rsid w:val="00F00FC3"/>
    <w:rsid w:val="00F00FC7"/>
    <w:rsid w:val="00F0104E"/>
    <w:rsid w:val="00F010E9"/>
    <w:rsid w:val="00F01183"/>
    <w:rsid w:val="00F01198"/>
    <w:rsid w:val="00F011DB"/>
    <w:rsid w:val="00F0122D"/>
    <w:rsid w:val="00F0136C"/>
    <w:rsid w:val="00F013A4"/>
    <w:rsid w:val="00F013E1"/>
    <w:rsid w:val="00F013F1"/>
    <w:rsid w:val="00F01435"/>
    <w:rsid w:val="00F014F0"/>
    <w:rsid w:val="00F01513"/>
    <w:rsid w:val="00F01531"/>
    <w:rsid w:val="00F0162B"/>
    <w:rsid w:val="00F01643"/>
    <w:rsid w:val="00F0164A"/>
    <w:rsid w:val="00F01690"/>
    <w:rsid w:val="00F01709"/>
    <w:rsid w:val="00F0172A"/>
    <w:rsid w:val="00F01740"/>
    <w:rsid w:val="00F017E8"/>
    <w:rsid w:val="00F01820"/>
    <w:rsid w:val="00F0188F"/>
    <w:rsid w:val="00F01906"/>
    <w:rsid w:val="00F0193A"/>
    <w:rsid w:val="00F01959"/>
    <w:rsid w:val="00F01987"/>
    <w:rsid w:val="00F019A4"/>
    <w:rsid w:val="00F019F9"/>
    <w:rsid w:val="00F01ADD"/>
    <w:rsid w:val="00F01AE1"/>
    <w:rsid w:val="00F01B5A"/>
    <w:rsid w:val="00F01B90"/>
    <w:rsid w:val="00F01C15"/>
    <w:rsid w:val="00F01C47"/>
    <w:rsid w:val="00F01C5E"/>
    <w:rsid w:val="00F01D80"/>
    <w:rsid w:val="00F01E74"/>
    <w:rsid w:val="00F01E87"/>
    <w:rsid w:val="00F01F11"/>
    <w:rsid w:val="00F01F69"/>
    <w:rsid w:val="00F01FD6"/>
    <w:rsid w:val="00F01FEA"/>
    <w:rsid w:val="00F0207A"/>
    <w:rsid w:val="00F0214E"/>
    <w:rsid w:val="00F0215F"/>
    <w:rsid w:val="00F0216B"/>
    <w:rsid w:val="00F0218A"/>
    <w:rsid w:val="00F021AA"/>
    <w:rsid w:val="00F021D6"/>
    <w:rsid w:val="00F021D9"/>
    <w:rsid w:val="00F02283"/>
    <w:rsid w:val="00F022F2"/>
    <w:rsid w:val="00F022F9"/>
    <w:rsid w:val="00F0238D"/>
    <w:rsid w:val="00F023A6"/>
    <w:rsid w:val="00F023AD"/>
    <w:rsid w:val="00F023E0"/>
    <w:rsid w:val="00F023E8"/>
    <w:rsid w:val="00F0251C"/>
    <w:rsid w:val="00F02587"/>
    <w:rsid w:val="00F025F7"/>
    <w:rsid w:val="00F0260E"/>
    <w:rsid w:val="00F02635"/>
    <w:rsid w:val="00F02643"/>
    <w:rsid w:val="00F0264F"/>
    <w:rsid w:val="00F02763"/>
    <w:rsid w:val="00F027A9"/>
    <w:rsid w:val="00F02847"/>
    <w:rsid w:val="00F02860"/>
    <w:rsid w:val="00F02872"/>
    <w:rsid w:val="00F0287C"/>
    <w:rsid w:val="00F02884"/>
    <w:rsid w:val="00F028D0"/>
    <w:rsid w:val="00F028D3"/>
    <w:rsid w:val="00F02940"/>
    <w:rsid w:val="00F0296D"/>
    <w:rsid w:val="00F029F3"/>
    <w:rsid w:val="00F02A19"/>
    <w:rsid w:val="00F02A23"/>
    <w:rsid w:val="00F02ADB"/>
    <w:rsid w:val="00F02B99"/>
    <w:rsid w:val="00F02BE7"/>
    <w:rsid w:val="00F02BFC"/>
    <w:rsid w:val="00F02C08"/>
    <w:rsid w:val="00F02CC4"/>
    <w:rsid w:val="00F02D33"/>
    <w:rsid w:val="00F02D86"/>
    <w:rsid w:val="00F02DBB"/>
    <w:rsid w:val="00F02DCA"/>
    <w:rsid w:val="00F02DE2"/>
    <w:rsid w:val="00F02DE7"/>
    <w:rsid w:val="00F02E32"/>
    <w:rsid w:val="00F02F10"/>
    <w:rsid w:val="00F02F95"/>
    <w:rsid w:val="00F02FA2"/>
    <w:rsid w:val="00F03001"/>
    <w:rsid w:val="00F0305B"/>
    <w:rsid w:val="00F03127"/>
    <w:rsid w:val="00F031CC"/>
    <w:rsid w:val="00F03284"/>
    <w:rsid w:val="00F03287"/>
    <w:rsid w:val="00F032B2"/>
    <w:rsid w:val="00F032C3"/>
    <w:rsid w:val="00F03377"/>
    <w:rsid w:val="00F03393"/>
    <w:rsid w:val="00F033F4"/>
    <w:rsid w:val="00F03440"/>
    <w:rsid w:val="00F034E6"/>
    <w:rsid w:val="00F034F3"/>
    <w:rsid w:val="00F03502"/>
    <w:rsid w:val="00F03568"/>
    <w:rsid w:val="00F035FA"/>
    <w:rsid w:val="00F03660"/>
    <w:rsid w:val="00F036A8"/>
    <w:rsid w:val="00F03724"/>
    <w:rsid w:val="00F0379E"/>
    <w:rsid w:val="00F0381A"/>
    <w:rsid w:val="00F0385F"/>
    <w:rsid w:val="00F03895"/>
    <w:rsid w:val="00F038B0"/>
    <w:rsid w:val="00F03930"/>
    <w:rsid w:val="00F03968"/>
    <w:rsid w:val="00F0399B"/>
    <w:rsid w:val="00F039C5"/>
    <w:rsid w:val="00F039E4"/>
    <w:rsid w:val="00F03A0A"/>
    <w:rsid w:val="00F03A4A"/>
    <w:rsid w:val="00F03A73"/>
    <w:rsid w:val="00F03AA5"/>
    <w:rsid w:val="00F03B18"/>
    <w:rsid w:val="00F03B39"/>
    <w:rsid w:val="00F03BB1"/>
    <w:rsid w:val="00F03BFA"/>
    <w:rsid w:val="00F03BFD"/>
    <w:rsid w:val="00F03C01"/>
    <w:rsid w:val="00F03C58"/>
    <w:rsid w:val="00F03C64"/>
    <w:rsid w:val="00F03CBC"/>
    <w:rsid w:val="00F03D0E"/>
    <w:rsid w:val="00F03E6D"/>
    <w:rsid w:val="00F03E81"/>
    <w:rsid w:val="00F03E82"/>
    <w:rsid w:val="00F03ED3"/>
    <w:rsid w:val="00F03EFA"/>
    <w:rsid w:val="00F03F44"/>
    <w:rsid w:val="00F03F61"/>
    <w:rsid w:val="00F03F93"/>
    <w:rsid w:val="00F03FB7"/>
    <w:rsid w:val="00F040CF"/>
    <w:rsid w:val="00F040EA"/>
    <w:rsid w:val="00F04100"/>
    <w:rsid w:val="00F04132"/>
    <w:rsid w:val="00F04175"/>
    <w:rsid w:val="00F0418B"/>
    <w:rsid w:val="00F041B4"/>
    <w:rsid w:val="00F04202"/>
    <w:rsid w:val="00F04245"/>
    <w:rsid w:val="00F04288"/>
    <w:rsid w:val="00F04358"/>
    <w:rsid w:val="00F04363"/>
    <w:rsid w:val="00F0436C"/>
    <w:rsid w:val="00F04374"/>
    <w:rsid w:val="00F0439A"/>
    <w:rsid w:val="00F043C6"/>
    <w:rsid w:val="00F043CD"/>
    <w:rsid w:val="00F043EC"/>
    <w:rsid w:val="00F043F2"/>
    <w:rsid w:val="00F04426"/>
    <w:rsid w:val="00F0446E"/>
    <w:rsid w:val="00F0446F"/>
    <w:rsid w:val="00F044BE"/>
    <w:rsid w:val="00F0450C"/>
    <w:rsid w:val="00F04562"/>
    <w:rsid w:val="00F045C3"/>
    <w:rsid w:val="00F045D8"/>
    <w:rsid w:val="00F04685"/>
    <w:rsid w:val="00F046FD"/>
    <w:rsid w:val="00F0485A"/>
    <w:rsid w:val="00F0485F"/>
    <w:rsid w:val="00F048C4"/>
    <w:rsid w:val="00F04931"/>
    <w:rsid w:val="00F04949"/>
    <w:rsid w:val="00F049E9"/>
    <w:rsid w:val="00F049EE"/>
    <w:rsid w:val="00F04A23"/>
    <w:rsid w:val="00F04A8A"/>
    <w:rsid w:val="00F04B35"/>
    <w:rsid w:val="00F04B9D"/>
    <w:rsid w:val="00F04C00"/>
    <w:rsid w:val="00F04C22"/>
    <w:rsid w:val="00F04C7E"/>
    <w:rsid w:val="00F04C7F"/>
    <w:rsid w:val="00F04CAB"/>
    <w:rsid w:val="00F04CC5"/>
    <w:rsid w:val="00F04D88"/>
    <w:rsid w:val="00F04DDB"/>
    <w:rsid w:val="00F04EC7"/>
    <w:rsid w:val="00F04ECB"/>
    <w:rsid w:val="00F04ED6"/>
    <w:rsid w:val="00F04F01"/>
    <w:rsid w:val="00F04F5E"/>
    <w:rsid w:val="00F04F6A"/>
    <w:rsid w:val="00F05016"/>
    <w:rsid w:val="00F050FE"/>
    <w:rsid w:val="00F05116"/>
    <w:rsid w:val="00F0519F"/>
    <w:rsid w:val="00F051DC"/>
    <w:rsid w:val="00F051FF"/>
    <w:rsid w:val="00F05293"/>
    <w:rsid w:val="00F05543"/>
    <w:rsid w:val="00F05643"/>
    <w:rsid w:val="00F056CF"/>
    <w:rsid w:val="00F056F2"/>
    <w:rsid w:val="00F056FC"/>
    <w:rsid w:val="00F05818"/>
    <w:rsid w:val="00F058E8"/>
    <w:rsid w:val="00F058EF"/>
    <w:rsid w:val="00F058F2"/>
    <w:rsid w:val="00F05A45"/>
    <w:rsid w:val="00F05B16"/>
    <w:rsid w:val="00F05B77"/>
    <w:rsid w:val="00F05BC4"/>
    <w:rsid w:val="00F05BEE"/>
    <w:rsid w:val="00F05C3E"/>
    <w:rsid w:val="00F05C5E"/>
    <w:rsid w:val="00F05CA1"/>
    <w:rsid w:val="00F05D01"/>
    <w:rsid w:val="00F05D3E"/>
    <w:rsid w:val="00F05F16"/>
    <w:rsid w:val="00F05F48"/>
    <w:rsid w:val="00F05F4A"/>
    <w:rsid w:val="00F05FB5"/>
    <w:rsid w:val="00F05FD6"/>
    <w:rsid w:val="00F05FE7"/>
    <w:rsid w:val="00F05FED"/>
    <w:rsid w:val="00F06022"/>
    <w:rsid w:val="00F0603A"/>
    <w:rsid w:val="00F0607B"/>
    <w:rsid w:val="00F06086"/>
    <w:rsid w:val="00F060B6"/>
    <w:rsid w:val="00F0617D"/>
    <w:rsid w:val="00F061C0"/>
    <w:rsid w:val="00F061C9"/>
    <w:rsid w:val="00F061F6"/>
    <w:rsid w:val="00F0621E"/>
    <w:rsid w:val="00F06236"/>
    <w:rsid w:val="00F0623C"/>
    <w:rsid w:val="00F062BD"/>
    <w:rsid w:val="00F06303"/>
    <w:rsid w:val="00F0637D"/>
    <w:rsid w:val="00F063D5"/>
    <w:rsid w:val="00F063EB"/>
    <w:rsid w:val="00F063EF"/>
    <w:rsid w:val="00F0643D"/>
    <w:rsid w:val="00F06490"/>
    <w:rsid w:val="00F064D0"/>
    <w:rsid w:val="00F0660E"/>
    <w:rsid w:val="00F06676"/>
    <w:rsid w:val="00F06697"/>
    <w:rsid w:val="00F066CA"/>
    <w:rsid w:val="00F066DB"/>
    <w:rsid w:val="00F06825"/>
    <w:rsid w:val="00F06849"/>
    <w:rsid w:val="00F06869"/>
    <w:rsid w:val="00F06924"/>
    <w:rsid w:val="00F069E6"/>
    <w:rsid w:val="00F069EE"/>
    <w:rsid w:val="00F06A00"/>
    <w:rsid w:val="00F06A6D"/>
    <w:rsid w:val="00F06A7B"/>
    <w:rsid w:val="00F06A80"/>
    <w:rsid w:val="00F06A93"/>
    <w:rsid w:val="00F06A9E"/>
    <w:rsid w:val="00F06B7C"/>
    <w:rsid w:val="00F06C75"/>
    <w:rsid w:val="00F06CF0"/>
    <w:rsid w:val="00F06D39"/>
    <w:rsid w:val="00F06D9F"/>
    <w:rsid w:val="00F06DA7"/>
    <w:rsid w:val="00F06DD7"/>
    <w:rsid w:val="00F06DE1"/>
    <w:rsid w:val="00F06E2E"/>
    <w:rsid w:val="00F06E35"/>
    <w:rsid w:val="00F06E40"/>
    <w:rsid w:val="00F06ECC"/>
    <w:rsid w:val="00F06EEA"/>
    <w:rsid w:val="00F06F10"/>
    <w:rsid w:val="00F06F54"/>
    <w:rsid w:val="00F06F8A"/>
    <w:rsid w:val="00F06FAC"/>
    <w:rsid w:val="00F0709B"/>
    <w:rsid w:val="00F070B3"/>
    <w:rsid w:val="00F070DC"/>
    <w:rsid w:val="00F07127"/>
    <w:rsid w:val="00F07159"/>
    <w:rsid w:val="00F07197"/>
    <w:rsid w:val="00F071AE"/>
    <w:rsid w:val="00F071B3"/>
    <w:rsid w:val="00F071B8"/>
    <w:rsid w:val="00F071F6"/>
    <w:rsid w:val="00F07339"/>
    <w:rsid w:val="00F07342"/>
    <w:rsid w:val="00F073B5"/>
    <w:rsid w:val="00F0742E"/>
    <w:rsid w:val="00F07447"/>
    <w:rsid w:val="00F0744A"/>
    <w:rsid w:val="00F074F3"/>
    <w:rsid w:val="00F0750F"/>
    <w:rsid w:val="00F07569"/>
    <w:rsid w:val="00F0757D"/>
    <w:rsid w:val="00F075E7"/>
    <w:rsid w:val="00F07688"/>
    <w:rsid w:val="00F077F6"/>
    <w:rsid w:val="00F0784A"/>
    <w:rsid w:val="00F07867"/>
    <w:rsid w:val="00F07872"/>
    <w:rsid w:val="00F0789A"/>
    <w:rsid w:val="00F078B5"/>
    <w:rsid w:val="00F07988"/>
    <w:rsid w:val="00F079DA"/>
    <w:rsid w:val="00F07A34"/>
    <w:rsid w:val="00F07A5C"/>
    <w:rsid w:val="00F07A7E"/>
    <w:rsid w:val="00F07AFE"/>
    <w:rsid w:val="00F07B41"/>
    <w:rsid w:val="00F07B66"/>
    <w:rsid w:val="00F07BB1"/>
    <w:rsid w:val="00F07BB9"/>
    <w:rsid w:val="00F07D2F"/>
    <w:rsid w:val="00F07D97"/>
    <w:rsid w:val="00F07E68"/>
    <w:rsid w:val="00F07E70"/>
    <w:rsid w:val="00F07E8A"/>
    <w:rsid w:val="00F07EF8"/>
    <w:rsid w:val="00F07F35"/>
    <w:rsid w:val="00F07F49"/>
    <w:rsid w:val="00F07F4A"/>
    <w:rsid w:val="00F07F83"/>
    <w:rsid w:val="00F07F91"/>
    <w:rsid w:val="00F07FA7"/>
    <w:rsid w:val="00F10027"/>
    <w:rsid w:val="00F100B1"/>
    <w:rsid w:val="00F101D0"/>
    <w:rsid w:val="00F10256"/>
    <w:rsid w:val="00F102C1"/>
    <w:rsid w:val="00F1030B"/>
    <w:rsid w:val="00F1031C"/>
    <w:rsid w:val="00F10343"/>
    <w:rsid w:val="00F10369"/>
    <w:rsid w:val="00F10389"/>
    <w:rsid w:val="00F103EF"/>
    <w:rsid w:val="00F1042E"/>
    <w:rsid w:val="00F1048C"/>
    <w:rsid w:val="00F104C2"/>
    <w:rsid w:val="00F104F8"/>
    <w:rsid w:val="00F10583"/>
    <w:rsid w:val="00F105A7"/>
    <w:rsid w:val="00F105E6"/>
    <w:rsid w:val="00F10628"/>
    <w:rsid w:val="00F10683"/>
    <w:rsid w:val="00F10686"/>
    <w:rsid w:val="00F106CB"/>
    <w:rsid w:val="00F106D3"/>
    <w:rsid w:val="00F1079A"/>
    <w:rsid w:val="00F107D2"/>
    <w:rsid w:val="00F107DC"/>
    <w:rsid w:val="00F107FE"/>
    <w:rsid w:val="00F1090C"/>
    <w:rsid w:val="00F10965"/>
    <w:rsid w:val="00F109B5"/>
    <w:rsid w:val="00F10A06"/>
    <w:rsid w:val="00F10A36"/>
    <w:rsid w:val="00F10A6D"/>
    <w:rsid w:val="00F10AFD"/>
    <w:rsid w:val="00F10BE2"/>
    <w:rsid w:val="00F10CF2"/>
    <w:rsid w:val="00F10D49"/>
    <w:rsid w:val="00F10DCA"/>
    <w:rsid w:val="00F10E67"/>
    <w:rsid w:val="00F10EC5"/>
    <w:rsid w:val="00F10FCE"/>
    <w:rsid w:val="00F11021"/>
    <w:rsid w:val="00F11035"/>
    <w:rsid w:val="00F11046"/>
    <w:rsid w:val="00F1105A"/>
    <w:rsid w:val="00F11069"/>
    <w:rsid w:val="00F1106D"/>
    <w:rsid w:val="00F110AB"/>
    <w:rsid w:val="00F110CD"/>
    <w:rsid w:val="00F110EF"/>
    <w:rsid w:val="00F111DD"/>
    <w:rsid w:val="00F1120A"/>
    <w:rsid w:val="00F1120E"/>
    <w:rsid w:val="00F1121B"/>
    <w:rsid w:val="00F11297"/>
    <w:rsid w:val="00F112B8"/>
    <w:rsid w:val="00F11389"/>
    <w:rsid w:val="00F1140C"/>
    <w:rsid w:val="00F11436"/>
    <w:rsid w:val="00F11449"/>
    <w:rsid w:val="00F11457"/>
    <w:rsid w:val="00F114F0"/>
    <w:rsid w:val="00F115ED"/>
    <w:rsid w:val="00F11632"/>
    <w:rsid w:val="00F11668"/>
    <w:rsid w:val="00F117CD"/>
    <w:rsid w:val="00F1181A"/>
    <w:rsid w:val="00F11838"/>
    <w:rsid w:val="00F11857"/>
    <w:rsid w:val="00F1185B"/>
    <w:rsid w:val="00F118B3"/>
    <w:rsid w:val="00F118FB"/>
    <w:rsid w:val="00F11917"/>
    <w:rsid w:val="00F11945"/>
    <w:rsid w:val="00F119A5"/>
    <w:rsid w:val="00F11A6D"/>
    <w:rsid w:val="00F11A70"/>
    <w:rsid w:val="00F11AF3"/>
    <w:rsid w:val="00F11AF7"/>
    <w:rsid w:val="00F11AFA"/>
    <w:rsid w:val="00F11B1B"/>
    <w:rsid w:val="00F11B25"/>
    <w:rsid w:val="00F11C29"/>
    <w:rsid w:val="00F11D66"/>
    <w:rsid w:val="00F11D96"/>
    <w:rsid w:val="00F11DFE"/>
    <w:rsid w:val="00F11E02"/>
    <w:rsid w:val="00F11E57"/>
    <w:rsid w:val="00F11ED5"/>
    <w:rsid w:val="00F11EEA"/>
    <w:rsid w:val="00F11F1F"/>
    <w:rsid w:val="00F11F2B"/>
    <w:rsid w:val="00F11F55"/>
    <w:rsid w:val="00F11F7E"/>
    <w:rsid w:val="00F1200D"/>
    <w:rsid w:val="00F12027"/>
    <w:rsid w:val="00F12062"/>
    <w:rsid w:val="00F12074"/>
    <w:rsid w:val="00F12089"/>
    <w:rsid w:val="00F1215A"/>
    <w:rsid w:val="00F121DB"/>
    <w:rsid w:val="00F12272"/>
    <w:rsid w:val="00F1227D"/>
    <w:rsid w:val="00F1233F"/>
    <w:rsid w:val="00F12340"/>
    <w:rsid w:val="00F12406"/>
    <w:rsid w:val="00F12415"/>
    <w:rsid w:val="00F1244F"/>
    <w:rsid w:val="00F1249C"/>
    <w:rsid w:val="00F124E8"/>
    <w:rsid w:val="00F125DE"/>
    <w:rsid w:val="00F125E3"/>
    <w:rsid w:val="00F125EB"/>
    <w:rsid w:val="00F1264D"/>
    <w:rsid w:val="00F126B8"/>
    <w:rsid w:val="00F1277B"/>
    <w:rsid w:val="00F127C3"/>
    <w:rsid w:val="00F127D8"/>
    <w:rsid w:val="00F12803"/>
    <w:rsid w:val="00F12859"/>
    <w:rsid w:val="00F1289A"/>
    <w:rsid w:val="00F12956"/>
    <w:rsid w:val="00F129CC"/>
    <w:rsid w:val="00F129DF"/>
    <w:rsid w:val="00F12A1C"/>
    <w:rsid w:val="00F12A2E"/>
    <w:rsid w:val="00F12A5B"/>
    <w:rsid w:val="00F12A72"/>
    <w:rsid w:val="00F12AF5"/>
    <w:rsid w:val="00F12B2E"/>
    <w:rsid w:val="00F12B65"/>
    <w:rsid w:val="00F12B95"/>
    <w:rsid w:val="00F12BED"/>
    <w:rsid w:val="00F12C2B"/>
    <w:rsid w:val="00F12D74"/>
    <w:rsid w:val="00F12D7B"/>
    <w:rsid w:val="00F12D7D"/>
    <w:rsid w:val="00F12DC6"/>
    <w:rsid w:val="00F12E34"/>
    <w:rsid w:val="00F12E60"/>
    <w:rsid w:val="00F12E70"/>
    <w:rsid w:val="00F12ED8"/>
    <w:rsid w:val="00F12EE5"/>
    <w:rsid w:val="00F12F0D"/>
    <w:rsid w:val="00F12F11"/>
    <w:rsid w:val="00F12F2A"/>
    <w:rsid w:val="00F12FC7"/>
    <w:rsid w:val="00F12FD6"/>
    <w:rsid w:val="00F1304C"/>
    <w:rsid w:val="00F131A9"/>
    <w:rsid w:val="00F131DA"/>
    <w:rsid w:val="00F1321E"/>
    <w:rsid w:val="00F13291"/>
    <w:rsid w:val="00F1329F"/>
    <w:rsid w:val="00F132B2"/>
    <w:rsid w:val="00F132B6"/>
    <w:rsid w:val="00F132F4"/>
    <w:rsid w:val="00F13311"/>
    <w:rsid w:val="00F13360"/>
    <w:rsid w:val="00F13397"/>
    <w:rsid w:val="00F133AF"/>
    <w:rsid w:val="00F133BA"/>
    <w:rsid w:val="00F133E2"/>
    <w:rsid w:val="00F13419"/>
    <w:rsid w:val="00F13424"/>
    <w:rsid w:val="00F13527"/>
    <w:rsid w:val="00F13532"/>
    <w:rsid w:val="00F13542"/>
    <w:rsid w:val="00F13597"/>
    <w:rsid w:val="00F1369C"/>
    <w:rsid w:val="00F136ED"/>
    <w:rsid w:val="00F137AC"/>
    <w:rsid w:val="00F137DC"/>
    <w:rsid w:val="00F13833"/>
    <w:rsid w:val="00F13850"/>
    <w:rsid w:val="00F1385E"/>
    <w:rsid w:val="00F138AE"/>
    <w:rsid w:val="00F138FB"/>
    <w:rsid w:val="00F13916"/>
    <w:rsid w:val="00F13920"/>
    <w:rsid w:val="00F1393E"/>
    <w:rsid w:val="00F1397E"/>
    <w:rsid w:val="00F13994"/>
    <w:rsid w:val="00F139AA"/>
    <w:rsid w:val="00F139C5"/>
    <w:rsid w:val="00F139D4"/>
    <w:rsid w:val="00F13A0D"/>
    <w:rsid w:val="00F13A17"/>
    <w:rsid w:val="00F13A46"/>
    <w:rsid w:val="00F13A6F"/>
    <w:rsid w:val="00F13AD0"/>
    <w:rsid w:val="00F13AE7"/>
    <w:rsid w:val="00F13B1B"/>
    <w:rsid w:val="00F13B7B"/>
    <w:rsid w:val="00F13BD7"/>
    <w:rsid w:val="00F13BD9"/>
    <w:rsid w:val="00F13C63"/>
    <w:rsid w:val="00F13C76"/>
    <w:rsid w:val="00F13CBA"/>
    <w:rsid w:val="00F13CBE"/>
    <w:rsid w:val="00F13CD1"/>
    <w:rsid w:val="00F13CE6"/>
    <w:rsid w:val="00F13D72"/>
    <w:rsid w:val="00F13D97"/>
    <w:rsid w:val="00F13E37"/>
    <w:rsid w:val="00F13E6E"/>
    <w:rsid w:val="00F13E9A"/>
    <w:rsid w:val="00F13E9E"/>
    <w:rsid w:val="00F13EAD"/>
    <w:rsid w:val="00F13EC7"/>
    <w:rsid w:val="00F13ED4"/>
    <w:rsid w:val="00F13F30"/>
    <w:rsid w:val="00F13FB8"/>
    <w:rsid w:val="00F13FBF"/>
    <w:rsid w:val="00F13FE7"/>
    <w:rsid w:val="00F13FF4"/>
    <w:rsid w:val="00F1406E"/>
    <w:rsid w:val="00F14177"/>
    <w:rsid w:val="00F1417B"/>
    <w:rsid w:val="00F141FC"/>
    <w:rsid w:val="00F14204"/>
    <w:rsid w:val="00F1429F"/>
    <w:rsid w:val="00F142A5"/>
    <w:rsid w:val="00F142FE"/>
    <w:rsid w:val="00F14320"/>
    <w:rsid w:val="00F14371"/>
    <w:rsid w:val="00F144F7"/>
    <w:rsid w:val="00F1451A"/>
    <w:rsid w:val="00F145F2"/>
    <w:rsid w:val="00F146BB"/>
    <w:rsid w:val="00F1471A"/>
    <w:rsid w:val="00F1473D"/>
    <w:rsid w:val="00F1474F"/>
    <w:rsid w:val="00F147B6"/>
    <w:rsid w:val="00F14816"/>
    <w:rsid w:val="00F14849"/>
    <w:rsid w:val="00F148A3"/>
    <w:rsid w:val="00F148CF"/>
    <w:rsid w:val="00F14911"/>
    <w:rsid w:val="00F14970"/>
    <w:rsid w:val="00F14996"/>
    <w:rsid w:val="00F149E6"/>
    <w:rsid w:val="00F14A04"/>
    <w:rsid w:val="00F14A4D"/>
    <w:rsid w:val="00F14AF2"/>
    <w:rsid w:val="00F14B82"/>
    <w:rsid w:val="00F14BDB"/>
    <w:rsid w:val="00F14BFD"/>
    <w:rsid w:val="00F14C3C"/>
    <w:rsid w:val="00F14C67"/>
    <w:rsid w:val="00F14C97"/>
    <w:rsid w:val="00F14CB1"/>
    <w:rsid w:val="00F14D20"/>
    <w:rsid w:val="00F14D7D"/>
    <w:rsid w:val="00F14DAA"/>
    <w:rsid w:val="00F14DE7"/>
    <w:rsid w:val="00F14DE9"/>
    <w:rsid w:val="00F14EBE"/>
    <w:rsid w:val="00F14F1B"/>
    <w:rsid w:val="00F14F4B"/>
    <w:rsid w:val="00F14F7E"/>
    <w:rsid w:val="00F14F87"/>
    <w:rsid w:val="00F1500A"/>
    <w:rsid w:val="00F15022"/>
    <w:rsid w:val="00F15054"/>
    <w:rsid w:val="00F150A8"/>
    <w:rsid w:val="00F15117"/>
    <w:rsid w:val="00F15198"/>
    <w:rsid w:val="00F151B2"/>
    <w:rsid w:val="00F151EA"/>
    <w:rsid w:val="00F15203"/>
    <w:rsid w:val="00F15209"/>
    <w:rsid w:val="00F152B5"/>
    <w:rsid w:val="00F152D8"/>
    <w:rsid w:val="00F1535A"/>
    <w:rsid w:val="00F1536E"/>
    <w:rsid w:val="00F153AA"/>
    <w:rsid w:val="00F153D4"/>
    <w:rsid w:val="00F153E8"/>
    <w:rsid w:val="00F15403"/>
    <w:rsid w:val="00F15431"/>
    <w:rsid w:val="00F1547C"/>
    <w:rsid w:val="00F154BC"/>
    <w:rsid w:val="00F154C4"/>
    <w:rsid w:val="00F154F3"/>
    <w:rsid w:val="00F1555F"/>
    <w:rsid w:val="00F1558E"/>
    <w:rsid w:val="00F15612"/>
    <w:rsid w:val="00F156D7"/>
    <w:rsid w:val="00F156F1"/>
    <w:rsid w:val="00F157D9"/>
    <w:rsid w:val="00F157F0"/>
    <w:rsid w:val="00F15805"/>
    <w:rsid w:val="00F1585B"/>
    <w:rsid w:val="00F15867"/>
    <w:rsid w:val="00F1587B"/>
    <w:rsid w:val="00F1589B"/>
    <w:rsid w:val="00F158CD"/>
    <w:rsid w:val="00F15919"/>
    <w:rsid w:val="00F15935"/>
    <w:rsid w:val="00F1593E"/>
    <w:rsid w:val="00F15A56"/>
    <w:rsid w:val="00F15AB5"/>
    <w:rsid w:val="00F15BAE"/>
    <w:rsid w:val="00F15BE8"/>
    <w:rsid w:val="00F15C2A"/>
    <w:rsid w:val="00F15C41"/>
    <w:rsid w:val="00F15D1B"/>
    <w:rsid w:val="00F15D5B"/>
    <w:rsid w:val="00F15E3F"/>
    <w:rsid w:val="00F15E4F"/>
    <w:rsid w:val="00F15EEA"/>
    <w:rsid w:val="00F15F3D"/>
    <w:rsid w:val="00F15F80"/>
    <w:rsid w:val="00F15FC7"/>
    <w:rsid w:val="00F1602A"/>
    <w:rsid w:val="00F1603E"/>
    <w:rsid w:val="00F1613C"/>
    <w:rsid w:val="00F161B0"/>
    <w:rsid w:val="00F1620F"/>
    <w:rsid w:val="00F162C4"/>
    <w:rsid w:val="00F162C9"/>
    <w:rsid w:val="00F16303"/>
    <w:rsid w:val="00F16312"/>
    <w:rsid w:val="00F16361"/>
    <w:rsid w:val="00F163B7"/>
    <w:rsid w:val="00F1649D"/>
    <w:rsid w:val="00F164BC"/>
    <w:rsid w:val="00F164C4"/>
    <w:rsid w:val="00F164C8"/>
    <w:rsid w:val="00F1655F"/>
    <w:rsid w:val="00F16651"/>
    <w:rsid w:val="00F1665A"/>
    <w:rsid w:val="00F16675"/>
    <w:rsid w:val="00F16682"/>
    <w:rsid w:val="00F16696"/>
    <w:rsid w:val="00F16718"/>
    <w:rsid w:val="00F16809"/>
    <w:rsid w:val="00F16855"/>
    <w:rsid w:val="00F16866"/>
    <w:rsid w:val="00F16A48"/>
    <w:rsid w:val="00F16B1F"/>
    <w:rsid w:val="00F16B5A"/>
    <w:rsid w:val="00F16C0E"/>
    <w:rsid w:val="00F16C85"/>
    <w:rsid w:val="00F16CA0"/>
    <w:rsid w:val="00F16CBF"/>
    <w:rsid w:val="00F16CC3"/>
    <w:rsid w:val="00F16CCA"/>
    <w:rsid w:val="00F16CD8"/>
    <w:rsid w:val="00F16CF6"/>
    <w:rsid w:val="00F16D3F"/>
    <w:rsid w:val="00F16D51"/>
    <w:rsid w:val="00F16E4E"/>
    <w:rsid w:val="00F16E71"/>
    <w:rsid w:val="00F16E81"/>
    <w:rsid w:val="00F16E9B"/>
    <w:rsid w:val="00F16EEE"/>
    <w:rsid w:val="00F16F66"/>
    <w:rsid w:val="00F16FD7"/>
    <w:rsid w:val="00F16FEE"/>
    <w:rsid w:val="00F1704D"/>
    <w:rsid w:val="00F170CC"/>
    <w:rsid w:val="00F170E9"/>
    <w:rsid w:val="00F170FA"/>
    <w:rsid w:val="00F17164"/>
    <w:rsid w:val="00F17168"/>
    <w:rsid w:val="00F171C6"/>
    <w:rsid w:val="00F17228"/>
    <w:rsid w:val="00F1722D"/>
    <w:rsid w:val="00F17246"/>
    <w:rsid w:val="00F1727B"/>
    <w:rsid w:val="00F172A8"/>
    <w:rsid w:val="00F172AF"/>
    <w:rsid w:val="00F172BA"/>
    <w:rsid w:val="00F1739E"/>
    <w:rsid w:val="00F173BA"/>
    <w:rsid w:val="00F1741B"/>
    <w:rsid w:val="00F17420"/>
    <w:rsid w:val="00F174C5"/>
    <w:rsid w:val="00F174E0"/>
    <w:rsid w:val="00F17567"/>
    <w:rsid w:val="00F1757A"/>
    <w:rsid w:val="00F175E8"/>
    <w:rsid w:val="00F1762A"/>
    <w:rsid w:val="00F1763E"/>
    <w:rsid w:val="00F1765C"/>
    <w:rsid w:val="00F17689"/>
    <w:rsid w:val="00F1769F"/>
    <w:rsid w:val="00F176E0"/>
    <w:rsid w:val="00F177E7"/>
    <w:rsid w:val="00F17853"/>
    <w:rsid w:val="00F17867"/>
    <w:rsid w:val="00F1789E"/>
    <w:rsid w:val="00F178CA"/>
    <w:rsid w:val="00F178CD"/>
    <w:rsid w:val="00F17948"/>
    <w:rsid w:val="00F179B3"/>
    <w:rsid w:val="00F17A18"/>
    <w:rsid w:val="00F17A22"/>
    <w:rsid w:val="00F17A29"/>
    <w:rsid w:val="00F17A6C"/>
    <w:rsid w:val="00F17ABB"/>
    <w:rsid w:val="00F17ACD"/>
    <w:rsid w:val="00F17AD3"/>
    <w:rsid w:val="00F17AD5"/>
    <w:rsid w:val="00F17B85"/>
    <w:rsid w:val="00F17B94"/>
    <w:rsid w:val="00F17BA7"/>
    <w:rsid w:val="00F17BFB"/>
    <w:rsid w:val="00F17CAB"/>
    <w:rsid w:val="00F17CC3"/>
    <w:rsid w:val="00F17D32"/>
    <w:rsid w:val="00F17D98"/>
    <w:rsid w:val="00F17E56"/>
    <w:rsid w:val="00F17EAB"/>
    <w:rsid w:val="00F17FAB"/>
    <w:rsid w:val="00F17FDD"/>
    <w:rsid w:val="00F2000D"/>
    <w:rsid w:val="00F20093"/>
    <w:rsid w:val="00F200FA"/>
    <w:rsid w:val="00F20134"/>
    <w:rsid w:val="00F2019E"/>
    <w:rsid w:val="00F201FE"/>
    <w:rsid w:val="00F20227"/>
    <w:rsid w:val="00F2034E"/>
    <w:rsid w:val="00F2036D"/>
    <w:rsid w:val="00F2043F"/>
    <w:rsid w:val="00F20516"/>
    <w:rsid w:val="00F20546"/>
    <w:rsid w:val="00F20579"/>
    <w:rsid w:val="00F20600"/>
    <w:rsid w:val="00F2069F"/>
    <w:rsid w:val="00F206CD"/>
    <w:rsid w:val="00F206D4"/>
    <w:rsid w:val="00F206E0"/>
    <w:rsid w:val="00F20704"/>
    <w:rsid w:val="00F2073E"/>
    <w:rsid w:val="00F2074F"/>
    <w:rsid w:val="00F207C5"/>
    <w:rsid w:val="00F2084F"/>
    <w:rsid w:val="00F208A1"/>
    <w:rsid w:val="00F208BE"/>
    <w:rsid w:val="00F20935"/>
    <w:rsid w:val="00F20964"/>
    <w:rsid w:val="00F2098C"/>
    <w:rsid w:val="00F209DD"/>
    <w:rsid w:val="00F20A17"/>
    <w:rsid w:val="00F20A40"/>
    <w:rsid w:val="00F20AEE"/>
    <w:rsid w:val="00F20B00"/>
    <w:rsid w:val="00F20B41"/>
    <w:rsid w:val="00F20B4E"/>
    <w:rsid w:val="00F20B87"/>
    <w:rsid w:val="00F20B88"/>
    <w:rsid w:val="00F20BCA"/>
    <w:rsid w:val="00F20C36"/>
    <w:rsid w:val="00F20D70"/>
    <w:rsid w:val="00F20DA1"/>
    <w:rsid w:val="00F20DAE"/>
    <w:rsid w:val="00F20E1A"/>
    <w:rsid w:val="00F20EE9"/>
    <w:rsid w:val="00F20F29"/>
    <w:rsid w:val="00F21059"/>
    <w:rsid w:val="00F2105E"/>
    <w:rsid w:val="00F21078"/>
    <w:rsid w:val="00F210D9"/>
    <w:rsid w:val="00F21207"/>
    <w:rsid w:val="00F21250"/>
    <w:rsid w:val="00F212F5"/>
    <w:rsid w:val="00F21383"/>
    <w:rsid w:val="00F213A6"/>
    <w:rsid w:val="00F21466"/>
    <w:rsid w:val="00F21476"/>
    <w:rsid w:val="00F21529"/>
    <w:rsid w:val="00F2152F"/>
    <w:rsid w:val="00F2154F"/>
    <w:rsid w:val="00F2159F"/>
    <w:rsid w:val="00F215B3"/>
    <w:rsid w:val="00F215C7"/>
    <w:rsid w:val="00F215EC"/>
    <w:rsid w:val="00F21651"/>
    <w:rsid w:val="00F216B4"/>
    <w:rsid w:val="00F2170E"/>
    <w:rsid w:val="00F2174A"/>
    <w:rsid w:val="00F21831"/>
    <w:rsid w:val="00F21856"/>
    <w:rsid w:val="00F21857"/>
    <w:rsid w:val="00F21961"/>
    <w:rsid w:val="00F219E9"/>
    <w:rsid w:val="00F21A46"/>
    <w:rsid w:val="00F21A8B"/>
    <w:rsid w:val="00F21AB1"/>
    <w:rsid w:val="00F21AD0"/>
    <w:rsid w:val="00F21B63"/>
    <w:rsid w:val="00F21B8E"/>
    <w:rsid w:val="00F21BAA"/>
    <w:rsid w:val="00F21BCE"/>
    <w:rsid w:val="00F21BE0"/>
    <w:rsid w:val="00F21C59"/>
    <w:rsid w:val="00F21C5C"/>
    <w:rsid w:val="00F21CA6"/>
    <w:rsid w:val="00F21CD3"/>
    <w:rsid w:val="00F21D4A"/>
    <w:rsid w:val="00F21D95"/>
    <w:rsid w:val="00F21DC6"/>
    <w:rsid w:val="00F21E26"/>
    <w:rsid w:val="00F21E28"/>
    <w:rsid w:val="00F21E76"/>
    <w:rsid w:val="00F21E8E"/>
    <w:rsid w:val="00F21EC9"/>
    <w:rsid w:val="00F21F03"/>
    <w:rsid w:val="00F21F9B"/>
    <w:rsid w:val="00F21FBF"/>
    <w:rsid w:val="00F22069"/>
    <w:rsid w:val="00F2213F"/>
    <w:rsid w:val="00F22208"/>
    <w:rsid w:val="00F22253"/>
    <w:rsid w:val="00F22328"/>
    <w:rsid w:val="00F2234C"/>
    <w:rsid w:val="00F223DE"/>
    <w:rsid w:val="00F22456"/>
    <w:rsid w:val="00F2251A"/>
    <w:rsid w:val="00F22521"/>
    <w:rsid w:val="00F2256D"/>
    <w:rsid w:val="00F225E4"/>
    <w:rsid w:val="00F226C1"/>
    <w:rsid w:val="00F226C3"/>
    <w:rsid w:val="00F22733"/>
    <w:rsid w:val="00F227B1"/>
    <w:rsid w:val="00F22821"/>
    <w:rsid w:val="00F22881"/>
    <w:rsid w:val="00F22889"/>
    <w:rsid w:val="00F22920"/>
    <w:rsid w:val="00F22971"/>
    <w:rsid w:val="00F229B0"/>
    <w:rsid w:val="00F229B8"/>
    <w:rsid w:val="00F22A4C"/>
    <w:rsid w:val="00F22A90"/>
    <w:rsid w:val="00F22AFB"/>
    <w:rsid w:val="00F22B18"/>
    <w:rsid w:val="00F22B1C"/>
    <w:rsid w:val="00F22B71"/>
    <w:rsid w:val="00F22C67"/>
    <w:rsid w:val="00F22C7D"/>
    <w:rsid w:val="00F22C80"/>
    <w:rsid w:val="00F22C9F"/>
    <w:rsid w:val="00F22CAB"/>
    <w:rsid w:val="00F22CDC"/>
    <w:rsid w:val="00F22CE8"/>
    <w:rsid w:val="00F22D5E"/>
    <w:rsid w:val="00F22DFB"/>
    <w:rsid w:val="00F22E30"/>
    <w:rsid w:val="00F22E3F"/>
    <w:rsid w:val="00F22E5D"/>
    <w:rsid w:val="00F22EA7"/>
    <w:rsid w:val="00F22F3E"/>
    <w:rsid w:val="00F22FE9"/>
    <w:rsid w:val="00F2300D"/>
    <w:rsid w:val="00F23089"/>
    <w:rsid w:val="00F23097"/>
    <w:rsid w:val="00F230C9"/>
    <w:rsid w:val="00F2311B"/>
    <w:rsid w:val="00F23137"/>
    <w:rsid w:val="00F23229"/>
    <w:rsid w:val="00F23233"/>
    <w:rsid w:val="00F2328C"/>
    <w:rsid w:val="00F2333C"/>
    <w:rsid w:val="00F2336F"/>
    <w:rsid w:val="00F233A9"/>
    <w:rsid w:val="00F233AB"/>
    <w:rsid w:val="00F233FC"/>
    <w:rsid w:val="00F2354A"/>
    <w:rsid w:val="00F2354F"/>
    <w:rsid w:val="00F2356D"/>
    <w:rsid w:val="00F235DB"/>
    <w:rsid w:val="00F23642"/>
    <w:rsid w:val="00F23721"/>
    <w:rsid w:val="00F23737"/>
    <w:rsid w:val="00F23745"/>
    <w:rsid w:val="00F23892"/>
    <w:rsid w:val="00F238BF"/>
    <w:rsid w:val="00F238EA"/>
    <w:rsid w:val="00F239B8"/>
    <w:rsid w:val="00F23A44"/>
    <w:rsid w:val="00F23AED"/>
    <w:rsid w:val="00F23AF7"/>
    <w:rsid w:val="00F23B32"/>
    <w:rsid w:val="00F23B6B"/>
    <w:rsid w:val="00F23B97"/>
    <w:rsid w:val="00F23BFB"/>
    <w:rsid w:val="00F23C22"/>
    <w:rsid w:val="00F23C7A"/>
    <w:rsid w:val="00F23C9D"/>
    <w:rsid w:val="00F23CB6"/>
    <w:rsid w:val="00F23D4E"/>
    <w:rsid w:val="00F23D70"/>
    <w:rsid w:val="00F23DA9"/>
    <w:rsid w:val="00F23DBE"/>
    <w:rsid w:val="00F23DC1"/>
    <w:rsid w:val="00F23E16"/>
    <w:rsid w:val="00F23E5A"/>
    <w:rsid w:val="00F23E5D"/>
    <w:rsid w:val="00F23EA2"/>
    <w:rsid w:val="00F23F7A"/>
    <w:rsid w:val="00F23FE5"/>
    <w:rsid w:val="00F2416D"/>
    <w:rsid w:val="00F24171"/>
    <w:rsid w:val="00F24176"/>
    <w:rsid w:val="00F2417A"/>
    <w:rsid w:val="00F24223"/>
    <w:rsid w:val="00F24291"/>
    <w:rsid w:val="00F242F8"/>
    <w:rsid w:val="00F24314"/>
    <w:rsid w:val="00F2432A"/>
    <w:rsid w:val="00F24382"/>
    <w:rsid w:val="00F243A7"/>
    <w:rsid w:val="00F2440E"/>
    <w:rsid w:val="00F2446E"/>
    <w:rsid w:val="00F24498"/>
    <w:rsid w:val="00F244CB"/>
    <w:rsid w:val="00F244F4"/>
    <w:rsid w:val="00F245A8"/>
    <w:rsid w:val="00F245DF"/>
    <w:rsid w:val="00F24663"/>
    <w:rsid w:val="00F246C6"/>
    <w:rsid w:val="00F246F1"/>
    <w:rsid w:val="00F24812"/>
    <w:rsid w:val="00F2484A"/>
    <w:rsid w:val="00F248B0"/>
    <w:rsid w:val="00F248F6"/>
    <w:rsid w:val="00F248F9"/>
    <w:rsid w:val="00F248FC"/>
    <w:rsid w:val="00F249BE"/>
    <w:rsid w:val="00F24A18"/>
    <w:rsid w:val="00F24A4B"/>
    <w:rsid w:val="00F24AFB"/>
    <w:rsid w:val="00F24B2F"/>
    <w:rsid w:val="00F24B3D"/>
    <w:rsid w:val="00F24B59"/>
    <w:rsid w:val="00F24BB1"/>
    <w:rsid w:val="00F24BE0"/>
    <w:rsid w:val="00F24BE9"/>
    <w:rsid w:val="00F24C3C"/>
    <w:rsid w:val="00F24C3D"/>
    <w:rsid w:val="00F24D0C"/>
    <w:rsid w:val="00F24D54"/>
    <w:rsid w:val="00F24DBF"/>
    <w:rsid w:val="00F24E98"/>
    <w:rsid w:val="00F24F54"/>
    <w:rsid w:val="00F24FA9"/>
    <w:rsid w:val="00F24FC4"/>
    <w:rsid w:val="00F250E6"/>
    <w:rsid w:val="00F25190"/>
    <w:rsid w:val="00F2524D"/>
    <w:rsid w:val="00F25266"/>
    <w:rsid w:val="00F252BA"/>
    <w:rsid w:val="00F2532A"/>
    <w:rsid w:val="00F25357"/>
    <w:rsid w:val="00F253E9"/>
    <w:rsid w:val="00F25512"/>
    <w:rsid w:val="00F2552C"/>
    <w:rsid w:val="00F25548"/>
    <w:rsid w:val="00F255AD"/>
    <w:rsid w:val="00F255BA"/>
    <w:rsid w:val="00F2563B"/>
    <w:rsid w:val="00F25662"/>
    <w:rsid w:val="00F256AC"/>
    <w:rsid w:val="00F25726"/>
    <w:rsid w:val="00F25751"/>
    <w:rsid w:val="00F2582E"/>
    <w:rsid w:val="00F25848"/>
    <w:rsid w:val="00F258E3"/>
    <w:rsid w:val="00F258EB"/>
    <w:rsid w:val="00F25905"/>
    <w:rsid w:val="00F25907"/>
    <w:rsid w:val="00F25919"/>
    <w:rsid w:val="00F2598A"/>
    <w:rsid w:val="00F259FD"/>
    <w:rsid w:val="00F25A01"/>
    <w:rsid w:val="00F25A90"/>
    <w:rsid w:val="00F25BAF"/>
    <w:rsid w:val="00F25C99"/>
    <w:rsid w:val="00F25CC6"/>
    <w:rsid w:val="00F25E21"/>
    <w:rsid w:val="00F25E32"/>
    <w:rsid w:val="00F25E5A"/>
    <w:rsid w:val="00F25EBC"/>
    <w:rsid w:val="00F25EF1"/>
    <w:rsid w:val="00F25EF6"/>
    <w:rsid w:val="00F25EFA"/>
    <w:rsid w:val="00F25FD5"/>
    <w:rsid w:val="00F25FD9"/>
    <w:rsid w:val="00F25FEB"/>
    <w:rsid w:val="00F26012"/>
    <w:rsid w:val="00F2601C"/>
    <w:rsid w:val="00F260D1"/>
    <w:rsid w:val="00F2610A"/>
    <w:rsid w:val="00F26189"/>
    <w:rsid w:val="00F26225"/>
    <w:rsid w:val="00F262A6"/>
    <w:rsid w:val="00F262BA"/>
    <w:rsid w:val="00F262BE"/>
    <w:rsid w:val="00F262DC"/>
    <w:rsid w:val="00F26310"/>
    <w:rsid w:val="00F26325"/>
    <w:rsid w:val="00F26408"/>
    <w:rsid w:val="00F264B0"/>
    <w:rsid w:val="00F264F8"/>
    <w:rsid w:val="00F26548"/>
    <w:rsid w:val="00F2656B"/>
    <w:rsid w:val="00F265CE"/>
    <w:rsid w:val="00F266A4"/>
    <w:rsid w:val="00F266CE"/>
    <w:rsid w:val="00F26737"/>
    <w:rsid w:val="00F2674A"/>
    <w:rsid w:val="00F2674F"/>
    <w:rsid w:val="00F267D2"/>
    <w:rsid w:val="00F26836"/>
    <w:rsid w:val="00F2689F"/>
    <w:rsid w:val="00F268B1"/>
    <w:rsid w:val="00F2694B"/>
    <w:rsid w:val="00F269A8"/>
    <w:rsid w:val="00F26A9A"/>
    <w:rsid w:val="00F26AF4"/>
    <w:rsid w:val="00F26B3D"/>
    <w:rsid w:val="00F26B6A"/>
    <w:rsid w:val="00F26C1C"/>
    <w:rsid w:val="00F26C9A"/>
    <w:rsid w:val="00F26D63"/>
    <w:rsid w:val="00F26DA1"/>
    <w:rsid w:val="00F26DD7"/>
    <w:rsid w:val="00F26E40"/>
    <w:rsid w:val="00F26E4E"/>
    <w:rsid w:val="00F26E65"/>
    <w:rsid w:val="00F26F1A"/>
    <w:rsid w:val="00F26F1E"/>
    <w:rsid w:val="00F26F26"/>
    <w:rsid w:val="00F26F30"/>
    <w:rsid w:val="00F26F3B"/>
    <w:rsid w:val="00F26F43"/>
    <w:rsid w:val="00F27039"/>
    <w:rsid w:val="00F27044"/>
    <w:rsid w:val="00F270BF"/>
    <w:rsid w:val="00F270D6"/>
    <w:rsid w:val="00F270F1"/>
    <w:rsid w:val="00F2710F"/>
    <w:rsid w:val="00F271AE"/>
    <w:rsid w:val="00F271B7"/>
    <w:rsid w:val="00F271CE"/>
    <w:rsid w:val="00F27212"/>
    <w:rsid w:val="00F27222"/>
    <w:rsid w:val="00F27242"/>
    <w:rsid w:val="00F272DB"/>
    <w:rsid w:val="00F27316"/>
    <w:rsid w:val="00F2736C"/>
    <w:rsid w:val="00F27419"/>
    <w:rsid w:val="00F2748A"/>
    <w:rsid w:val="00F274C3"/>
    <w:rsid w:val="00F274E0"/>
    <w:rsid w:val="00F274E5"/>
    <w:rsid w:val="00F274EB"/>
    <w:rsid w:val="00F27546"/>
    <w:rsid w:val="00F27554"/>
    <w:rsid w:val="00F275DA"/>
    <w:rsid w:val="00F275EC"/>
    <w:rsid w:val="00F2762D"/>
    <w:rsid w:val="00F27636"/>
    <w:rsid w:val="00F2768C"/>
    <w:rsid w:val="00F276EB"/>
    <w:rsid w:val="00F27713"/>
    <w:rsid w:val="00F27780"/>
    <w:rsid w:val="00F277E0"/>
    <w:rsid w:val="00F277F9"/>
    <w:rsid w:val="00F27810"/>
    <w:rsid w:val="00F2784F"/>
    <w:rsid w:val="00F27896"/>
    <w:rsid w:val="00F278D1"/>
    <w:rsid w:val="00F2791D"/>
    <w:rsid w:val="00F27939"/>
    <w:rsid w:val="00F27953"/>
    <w:rsid w:val="00F27A10"/>
    <w:rsid w:val="00F27A17"/>
    <w:rsid w:val="00F27A3B"/>
    <w:rsid w:val="00F27A4F"/>
    <w:rsid w:val="00F27A8E"/>
    <w:rsid w:val="00F27B71"/>
    <w:rsid w:val="00F27C3D"/>
    <w:rsid w:val="00F27CE8"/>
    <w:rsid w:val="00F27CE9"/>
    <w:rsid w:val="00F27D00"/>
    <w:rsid w:val="00F27D0C"/>
    <w:rsid w:val="00F27D30"/>
    <w:rsid w:val="00F27D4A"/>
    <w:rsid w:val="00F27D4C"/>
    <w:rsid w:val="00F27E11"/>
    <w:rsid w:val="00F27E4E"/>
    <w:rsid w:val="00F27E57"/>
    <w:rsid w:val="00F27F96"/>
    <w:rsid w:val="00F27FD2"/>
    <w:rsid w:val="00F300FA"/>
    <w:rsid w:val="00F30114"/>
    <w:rsid w:val="00F30117"/>
    <w:rsid w:val="00F30126"/>
    <w:rsid w:val="00F3013C"/>
    <w:rsid w:val="00F30167"/>
    <w:rsid w:val="00F301D9"/>
    <w:rsid w:val="00F30214"/>
    <w:rsid w:val="00F302A6"/>
    <w:rsid w:val="00F302AC"/>
    <w:rsid w:val="00F30356"/>
    <w:rsid w:val="00F3041D"/>
    <w:rsid w:val="00F3044C"/>
    <w:rsid w:val="00F304E4"/>
    <w:rsid w:val="00F30512"/>
    <w:rsid w:val="00F30589"/>
    <w:rsid w:val="00F30593"/>
    <w:rsid w:val="00F30646"/>
    <w:rsid w:val="00F30665"/>
    <w:rsid w:val="00F3066A"/>
    <w:rsid w:val="00F30681"/>
    <w:rsid w:val="00F306DC"/>
    <w:rsid w:val="00F30732"/>
    <w:rsid w:val="00F30774"/>
    <w:rsid w:val="00F30815"/>
    <w:rsid w:val="00F30965"/>
    <w:rsid w:val="00F30988"/>
    <w:rsid w:val="00F309C5"/>
    <w:rsid w:val="00F309CC"/>
    <w:rsid w:val="00F309E1"/>
    <w:rsid w:val="00F30ADB"/>
    <w:rsid w:val="00F30ADF"/>
    <w:rsid w:val="00F30B01"/>
    <w:rsid w:val="00F30B12"/>
    <w:rsid w:val="00F30BBA"/>
    <w:rsid w:val="00F30BC7"/>
    <w:rsid w:val="00F30BD6"/>
    <w:rsid w:val="00F30C4F"/>
    <w:rsid w:val="00F30CBE"/>
    <w:rsid w:val="00F30D3B"/>
    <w:rsid w:val="00F30D53"/>
    <w:rsid w:val="00F30E57"/>
    <w:rsid w:val="00F30EAE"/>
    <w:rsid w:val="00F30EC4"/>
    <w:rsid w:val="00F30F34"/>
    <w:rsid w:val="00F30F67"/>
    <w:rsid w:val="00F30FAA"/>
    <w:rsid w:val="00F30FCD"/>
    <w:rsid w:val="00F3102F"/>
    <w:rsid w:val="00F3104B"/>
    <w:rsid w:val="00F31086"/>
    <w:rsid w:val="00F310E0"/>
    <w:rsid w:val="00F31127"/>
    <w:rsid w:val="00F312A2"/>
    <w:rsid w:val="00F31306"/>
    <w:rsid w:val="00F313BF"/>
    <w:rsid w:val="00F31409"/>
    <w:rsid w:val="00F314A0"/>
    <w:rsid w:val="00F31564"/>
    <w:rsid w:val="00F315B9"/>
    <w:rsid w:val="00F315DF"/>
    <w:rsid w:val="00F3164A"/>
    <w:rsid w:val="00F3168F"/>
    <w:rsid w:val="00F3176A"/>
    <w:rsid w:val="00F317B8"/>
    <w:rsid w:val="00F317EF"/>
    <w:rsid w:val="00F3186E"/>
    <w:rsid w:val="00F31872"/>
    <w:rsid w:val="00F31881"/>
    <w:rsid w:val="00F31888"/>
    <w:rsid w:val="00F318CF"/>
    <w:rsid w:val="00F31953"/>
    <w:rsid w:val="00F31958"/>
    <w:rsid w:val="00F31995"/>
    <w:rsid w:val="00F319C2"/>
    <w:rsid w:val="00F319D9"/>
    <w:rsid w:val="00F319DD"/>
    <w:rsid w:val="00F31A02"/>
    <w:rsid w:val="00F31A06"/>
    <w:rsid w:val="00F31A1F"/>
    <w:rsid w:val="00F31A93"/>
    <w:rsid w:val="00F31B9A"/>
    <w:rsid w:val="00F31B9D"/>
    <w:rsid w:val="00F31C7C"/>
    <w:rsid w:val="00F31CA5"/>
    <w:rsid w:val="00F31E28"/>
    <w:rsid w:val="00F31E93"/>
    <w:rsid w:val="00F31EE6"/>
    <w:rsid w:val="00F31F2E"/>
    <w:rsid w:val="00F31F5C"/>
    <w:rsid w:val="00F31FCE"/>
    <w:rsid w:val="00F31FD5"/>
    <w:rsid w:val="00F31FDF"/>
    <w:rsid w:val="00F3202D"/>
    <w:rsid w:val="00F32069"/>
    <w:rsid w:val="00F32107"/>
    <w:rsid w:val="00F32123"/>
    <w:rsid w:val="00F32190"/>
    <w:rsid w:val="00F321DF"/>
    <w:rsid w:val="00F321E6"/>
    <w:rsid w:val="00F321E7"/>
    <w:rsid w:val="00F322A8"/>
    <w:rsid w:val="00F322C4"/>
    <w:rsid w:val="00F32329"/>
    <w:rsid w:val="00F32357"/>
    <w:rsid w:val="00F323E3"/>
    <w:rsid w:val="00F32489"/>
    <w:rsid w:val="00F32497"/>
    <w:rsid w:val="00F324B6"/>
    <w:rsid w:val="00F3256D"/>
    <w:rsid w:val="00F325C9"/>
    <w:rsid w:val="00F325F7"/>
    <w:rsid w:val="00F32626"/>
    <w:rsid w:val="00F32749"/>
    <w:rsid w:val="00F327F3"/>
    <w:rsid w:val="00F3285B"/>
    <w:rsid w:val="00F3285D"/>
    <w:rsid w:val="00F329B2"/>
    <w:rsid w:val="00F32B36"/>
    <w:rsid w:val="00F32B54"/>
    <w:rsid w:val="00F32C57"/>
    <w:rsid w:val="00F32CE1"/>
    <w:rsid w:val="00F32D6F"/>
    <w:rsid w:val="00F32E46"/>
    <w:rsid w:val="00F32F9A"/>
    <w:rsid w:val="00F32FB0"/>
    <w:rsid w:val="00F32FB5"/>
    <w:rsid w:val="00F3303C"/>
    <w:rsid w:val="00F3306F"/>
    <w:rsid w:val="00F33072"/>
    <w:rsid w:val="00F33090"/>
    <w:rsid w:val="00F330FD"/>
    <w:rsid w:val="00F3312E"/>
    <w:rsid w:val="00F33196"/>
    <w:rsid w:val="00F33222"/>
    <w:rsid w:val="00F3325D"/>
    <w:rsid w:val="00F33311"/>
    <w:rsid w:val="00F3339D"/>
    <w:rsid w:val="00F333A0"/>
    <w:rsid w:val="00F33401"/>
    <w:rsid w:val="00F3343E"/>
    <w:rsid w:val="00F334BE"/>
    <w:rsid w:val="00F33538"/>
    <w:rsid w:val="00F33592"/>
    <w:rsid w:val="00F33594"/>
    <w:rsid w:val="00F3361D"/>
    <w:rsid w:val="00F33706"/>
    <w:rsid w:val="00F3377B"/>
    <w:rsid w:val="00F3380B"/>
    <w:rsid w:val="00F33871"/>
    <w:rsid w:val="00F338C3"/>
    <w:rsid w:val="00F338D1"/>
    <w:rsid w:val="00F338EF"/>
    <w:rsid w:val="00F33959"/>
    <w:rsid w:val="00F3397C"/>
    <w:rsid w:val="00F3398C"/>
    <w:rsid w:val="00F339AB"/>
    <w:rsid w:val="00F339B4"/>
    <w:rsid w:val="00F33A0D"/>
    <w:rsid w:val="00F33A19"/>
    <w:rsid w:val="00F33A56"/>
    <w:rsid w:val="00F33A5D"/>
    <w:rsid w:val="00F33A98"/>
    <w:rsid w:val="00F33AB8"/>
    <w:rsid w:val="00F33AC3"/>
    <w:rsid w:val="00F33B31"/>
    <w:rsid w:val="00F33B8F"/>
    <w:rsid w:val="00F33BAC"/>
    <w:rsid w:val="00F33C44"/>
    <w:rsid w:val="00F33C51"/>
    <w:rsid w:val="00F33C74"/>
    <w:rsid w:val="00F33CBB"/>
    <w:rsid w:val="00F33CCA"/>
    <w:rsid w:val="00F33CE4"/>
    <w:rsid w:val="00F33D39"/>
    <w:rsid w:val="00F33DE5"/>
    <w:rsid w:val="00F33DF5"/>
    <w:rsid w:val="00F33E58"/>
    <w:rsid w:val="00F33EE0"/>
    <w:rsid w:val="00F33F52"/>
    <w:rsid w:val="00F33F7A"/>
    <w:rsid w:val="00F33FC8"/>
    <w:rsid w:val="00F34002"/>
    <w:rsid w:val="00F3403D"/>
    <w:rsid w:val="00F3403F"/>
    <w:rsid w:val="00F340C1"/>
    <w:rsid w:val="00F34130"/>
    <w:rsid w:val="00F34151"/>
    <w:rsid w:val="00F34180"/>
    <w:rsid w:val="00F341C5"/>
    <w:rsid w:val="00F341F1"/>
    <w:rsid w:val="00F34230"/>
    <w:rsid w:val="00F342F1"/>
    <w:rsid w:val="00F34317"/>
    <w:rsid w:val="00F3440C"/>
    <w:rsid w:val="00F3444F"/>
    <w:rsid w:val="00F34467"/>
    <w:rsid w:val="00F34497"/>
    <w:rsid w:val="00F344CE"/>
    <w:rsid w:val="00F344DA"/>
    <w:rsid w:val="00F34518"/>
    <w:rsid w:val="00F3455F"/>
    <w:rsid w:val="00F345AC"/>
    <w:rsid w:val="00F34642"/>
    <w:rsid w:val="00F346B4"/>
    <w:rsid w:val="00F346E9"/>
    <w:rsid w:val="00F346FD"/>
    <w:rsid w:val="00F3471B"/>
    <w:rsid w:val="00F3474B"/>
    <w:rsid w:val="00F34808"/>
    <w:rsid w:val="00F34861"/>
    <w:rsid w:val="00F34875"/>
    <w:rsid w:val="00F34985"/>
    <w:rsid w:val="00F349D4"/>
    <w:rsid w:val="00F349ED"/>
    <w:rsid w:val="00F349F3"/>
    <w:rsid w:val="00F34A0E"/>
    <w:rsid w:val="00F34A35"/>
    <w:rsid w:val="00F34AB0"/>
    <w:rsid w:val="00F34B27"/>
    <w:rsid w:val="00F34BD0"/>
    <w:rsid w:val="00F34BDF"/>
    <w:rsid w:val="00F34C61"/>
    <w:rsid w:val="00F34C7D"/>
    <w:rsid w:val="00F34C89"/>
    <w:rsid w:val="00F34CD9"/>
    <w:rsid w:val="00F34D22"/>
    <w:rsid w:val="00F34D2D"/>
    <w:rsid w:val="00F34DFB"/>
    <w:rsid w:val="00F34E1A"/>
    <w:rsid w:val="00F34EB5"/>
    <w:rsid w:val="00F34F92"/>
    <w:rsid w:val="00F34F9B"/>
    <w:rsid w:val="00F34FEE"/>
    <w:rsid w:val="00F350FB"/>
    <w:rsid w:val="00F35165"/>
    <w:rsid w:val="00F352A0"/>
    <w:rsid w:val="00F352E4"/>
    <w:rsid w:val="00F352FF"/>
    <w:rsid w:val="00F353ED"/>
    <w:rsid w:val="00F35426"/>
    <w:rsid w:val="00F3547E"/>
    <w:rsid w:val="00F354AB"/>
    <w:rsid w:val="00F354AD"/>
    <w:rsid w:val="00F354BD"/>
    <w:rsid w:val="00F35541"/>
    <w:rsid w:val="00F3556D"/>
    <w:rsid w:val="00F355D5"/>
    <w:rsid w:val="00F3567B"/>
    <w:rsid w:val="00F356F4"/>
    <w:rsid w:val="00F3570F"/>
    <w:rsid w:val="00F3574A"/>
    <w:rsid w:val="00F357AB"/>
    <w:rsid w:val="00F357F0"/>
    <w:rsid w:val="00F35812"/>
    <w:rsid w:val="00F35858"/>
    <w:rsid w:val="00F3585A"/>
    <w:rsid w:val="00F3595F"/>
    <w:rsid w:val="00F359A8"/>
    <w:rsid w:val="00F359CB"/>
    <w:rsid w:val="00F35A5D"/>
    <w:rsid w:val="00F35A77"/>
    <w:rsid w:val="00F35AB8"/>
    <w:rsid w:val="00F35AF7"/>
    <w:rsid w:val="00F35B2E"/>
    <w:rsid w:val="00F35C14"/>
    <w:rsid w:val="00F35C20"/>
    <w:rsid w:val="00F35C65"/>
    <w:rsid w:val="00F35C86"/>
    <w:rsid w:val="00F35CE9"/>
    <w:rsid w:val="00F35D24"/>
    <w:rsid w:val="00F35D41"/>
    <w:rsid w:val="00F35D61"/>
    <w:rsid w:val="00F35DA2"/>
    <w:rsid w:val="00F35DCB"/>
    <w:rsid w:val="00F35E6E"/>
    <w:rsid w:val="00F35E83"/>
    <w:rsid w:val="00F35EFA"/>
    <w:rsid w:val="00F35F19"/>
    <w:rsid w:val="00F35F22"/>
    <w:rsid w:val="00F35F35"/>
    <w:rsid w:val="00F35F4E"/>
    <w:rsid w:val="00F35FF3"/>
    <w:rsid w:val="00F36040"/>
    <w:rsid w:val="00F3604D"/>
    <w:rsid w:val="00F3609A"/>
    <w:rsid w:val="00F36131"/>
    <w:rsid w:val="00F36221"/>
    <w:rsid w:val="00F362D6"/>
    <w:rsid w:val="00F362FD"/>
    <w:rsid w:val="00F36311"/>
    <w:rsid w:val="00F36359"/>
    <w:rsid w:val="00F36370"/>
    <w:rsid w:val="00F3639C"/>
    <w:rsid w:val="00F36576"/>
    <w:rsid w:val="00F365C9"/>
    <w:rsid w:val="00F36619"/>
    <w:rsid w:val="00F3668B"/>
    <w:rsid w:val="00F36760"/>
    <w:rsid w:val="00F367B8"/>
    <w:rsid w:val="00F367BD"/>
    <w:rsid w:val="00F367C7"/>
    <w:rsid w:val="00F3686B"/>
    <w:rsid w:val="00F36A65"/>
    <w:rsid w:val="00F36A95"/>
    <w:rsid w:val="00F36A9D"/>
    <w:rsid w:val="00F36A9E"/>
    <w:rsid w:val="00F36C49"/>
    <w:rsid w:val="00F36C87"/>
    <w:rsid w:val="00F36C88"/>
    <w:rsid w:val="00F36CC3"/>
    <w:rsid w:val="00F36D1C"/>
    <w:rsid w:val="00F36DA6"/>
    <w:rsid w:val="00F36EDB"/>
    <w:rsid w:val="00F37072"/>
    <w:rsid w:val="00F37123"/>
    <w:rsid w:val="00F37147"/>
    <w:rsid w:val="00F3727F"/>
    <w:rsid w:val="00F372E6"/>
    <w:rsid w:val="00F3735D"/>
    <w:rsid w:val="00F3740A"/>
    <w:rsid w:val="00F3743C"/>
    <w:rsid w:val="00F3743E"/>
    <w:rsid w:val="00F3744D"/>
    <w:rsid w:val="00F37484"/>
    <w:rsid w:val="00F374A3"/>
    <w:rsid w:val="00F374E9"/>
    <w:rsid w:val="00F37547"/>
    <w:rsid w:val="00F37585"/>
    <w:rsid w:val="00F37648"/>
    <w:rsid w:val="00F37673"/>
    <w:rsid w:val="00F3769B"/>
    <w:rsid w:val="00F376B9"/>
    <w:rsid w:val="00F3773C"/>
    <w:rsid w:val="00F37754"/>
    <w:rsid w:val="00F3775A"/>
    <w:rsid w:val="00F377AD"/>
    <w:rsid w:val="00F37801"/>
    <w:rsid w:val="00F37890"/>
    <w:rsid w:val="00F37906"/>
    <w:rsid w:val="00F37920"/>
    <w:rsid w:val="00F379BA"/>
    <w:rsid w:val="00F379D9"/>
    <w:rsid w:val="00F379EA"/>
    <w:rsid w:val="00F379F9"/>
    <w:rsid w:val="00F37A14"/>
    <w:rsid w:val="00F37A7B"/>
    <w:rsid w:val="00F37B4B"/>
    <w:rsid w:val="00F37B82"/>
    <w:rsid w:val="00F37BA7"/>
    <w:rsid w:val="00F37C1A"/>
    <w:rsid w:val="00F37C54"/>
    <w:rsid w:val="00F37C8C"/>
    <w:rsid w:val="00F37DC4"/>
    <w:rsid w:val="00F37E4D"/>
    <w:rsid w:val="00F37F44"/>
    <w:rsid w:val="00F37F80"/>
    <w:rsid w:val="00F37F8C"/>
    <w:rsid w:val="00F40097"/>
    <w:rsid w:val="00F400F1"/>
    <w:rsid w:val="00F400FA"/>
    <w:rsid w:val="00F400FC"/>
    <w:rsid w:val="00F4011A"/>
    <w:rsid w:val="00F40188"/>
    <w:rsid w:val="00F401D7"/>
    <w:rsid w:val="00F40234"/>
    <w:rsid w:val="00F402A2"/>
    <w:rsid w:val="00F402A8"/>
    <w:rsid w:val="00F402F9"/>
    <w:rsid w:val="00F4031B"/>
    <w:rsid w:val="00F40369"/>
    <w:rsid w:val="00F403E3"/>
    <w:rsid w:val="00F40400"/>
    <w:rsid w:val="00F404F9"/>
    <w:rsid w:val="00F40537"/>
    <w:rsid w:val="00F405D1"/>
    <w:rsid w:val="00F405DD"/>
    <w:rsid w:val="00F405FA"/>
    <w:rsid w:val="00F4063C"/>
    <w:rsid w:val="00F40699"/>
    <w:rsid w:val="00F40749"/>
    <w:rsid w:val="00F40771"/>
    <w:rsid w:val="00F4077F"/>
    <w:rsid w:val="00F407FC"/>
    <w:rsid w:val="00F40873"/>
    <w:rsid w:val="00F408FF"/>
    <w:rsid w:val="00F40907"/>
    <w:rsid w:val="00F40974"/>
    <w:rsid w:val="00F40A0F"/>
    <w:rsid w:val="00F40A8C"/>
    <w:rsid w:val="00F40B41"/>
    <w:rsid w:val="00F40B81"/>
    <w:rsid w:val="00F40BDE"/>
    <w:rsid w:val="00F40C9C"/>
    <w:rsid w:val="00F40CD7"/>
    <w:rsid w:val="00F40CF6"/>
    <w:rsid w:val="00F40D0F"/>
    <w:rsid w:val="00F40D65"/>
    <w:rsid w:val="00F40E53"/>
    <w:rsid w:val="00F40EAC"/>
    <w:rsid w:val="00F40EB8"/>
    <w:rsid w:val="00F40EC8"/>
    <w:rsid w:val="00F40ECC"/>
    <w:rsid w:val="00F40ECE"/>
    <w:rsid w:val="00F40F20"/>
    <w:rsid w:val="00F40F70"/>
    <w:rsid w:val="00F40F82"/>
    <w:rsid w:val="00F40F93"/>
    <w:rsid w:val="00F40F9F"/>
    <w:rsid w:val="00F40FBE"/>
    <w:rsid w:val="00F40FC1"/>
    <w:rsid w:val="00F4112F"/>
    <w:rsid w:val="00F4115A"/>
    <w:rsid w:val="00F411E0"/>
    <w:rsid w:val="00F411EB"/>
    <w:rsid w:val="00F411EE"/>
    <w:rsid w:val="00F4133F"/>
    <w:rsid w:val="00F413A2"/>
    <w:rsid w:val="00F41480"/>
    <w:rsid w:val="00F414C2"/>
    <w:rsid w:val="00F41509"/>
    <w:rsid w:val="00F41546"/>
    <w:rsid w:val="00F4155F"/>
    <w:rsid w:val="00F41568"/>
    <w:rsid w:val="00F417F2"/>
    <w:rsid w:val="00F41854"/>
    <w:rsid w:val="00F418B6"/>
    <w:rsid w:val="00F418F6"/>
    <w:rsid w:val="00F418FA"/>
    <w:rsid w:val="00F419D9"/>
    <w:rsid w:val="00F41A25"/>
    <w:rsid w:val="00F41A43"/>
    <w:rsid w:val="00F41AA2"/>
    <w:rsid w:val="00F41AE3"/>
    <w:rsid w:val="00F41B20"/>
    <w:rsid w:val="00F41B73"/>
    <w:rsid w:val="00F41B90"/>
    <w:rsid w:val="00F41BCE"/>
    <w:rsid w:val="00F41C08"/>
    <w:rsid w:val="00F41C1D"/>
    <w:rsid w:val="00F41C39"/>
    <w:rsid w:val="00F41CE2"/>
    <w:rsid w:val="00F41D35"/>
    <w:rsid w:val="00F41D48"/>
    <w:rsid w:val="00F41D7D"/>
    <w:rsid w:val="00F41E2A"/>
    <w:rsid w:val="00F41EFF"/>
    <w:rsid w:val="00F41F15"/>
    <w:rsid w:val="00F41F74"/>
    <w:rsid w:val="00F42144"/>
    <w:rsid w:val="00F4214A"/>
    <w:rsid w:val="00F42159"/>
    <w:rsid w:val="00F42206"/>
    <w:rsid w:val="00F42255"/>
    <w:rsid w:val="00F422BE"/>
    <w:rsid w:val="00F4235C"/>
    <w:rsid w:val="00F423DE"/>
    <w:rsid w:val="00F423E0"/>
    <w:rsid w:val="00F423EF"/>
    <w:rsid w:val="00F42425"/>
    <w:rsid w:val="00F42474"/>
    <w:rsid w:val="00F424DF"/>
    <w:rsid w:val="00F42560"/>
    <w:rsid w:val="00F426B4"/>
    <w:rsid w:val="00F426B5"/>
    <w:rsid w:val="00F42740"/>
    <w:rsid w:val="00F4276C"/>
    <w:rsid w:val="00F42807"/>
    <w:rsid w:val="00F4280F"/>
    <w:rsid w:val="00F42895"/>
    <w:rsid w:val="00F428E0"/>
    <w:rsid w:val="00F4290F"/>
    <w:rsid w:val="00F4291E"/>
    <w:rsid w:val="00F429F6"/>
    <w:rsid w:val="00F42A2C"/>
    <w:rsid w:val="00F42ADE"/>
    <w:rsid w:val="00F42AEB"/>
    <w:rsid w:val="00F42B13"/>
    <w:rsid w:val="00F42B7F"/>
    <w:rsid w:val="00F42B81"/>
    <w:rsid w:val="00F42B8F"/>
    <w:rsid w:val="00F42C03"/>
    <w:rsid w:val="00F42C07"/>
    <w:rsid w:val="00F42C2B"/>
    <w:rsid w:val="00F42D54"/>
    <w:rsid w:val="00F42D5B"/>
    <w:rsid w:val="00F42D95"/>
    <w:rsid w:val="00F42DA6"/>
    <w:rsid w:val="00F42DEA"/>
    <w:rsid w:val="00F42F97"/>
    <w:rsid w:val="00F42FC8"/>
    <w:rsid w:val="00F43013"/>
    <w:rsid w:val="00F4301B"/>
    <w:rsid w:val="00F4303C"/>
    <w:rsid w:val="00F43061"/>
    <w:rsid w:val="00F43082"/>
    <w:rsid w:val="00F43097"/>
    <w:rsid w:val="00F430AC"/>
    <w:rsid w:val="00F43118"/>
    <w:rsid w:val="00F4313B"/>
    <w:rsid w:val="00F43142"/>
    <w:rsid w:val="00F431F5"/>
    <w:rsid w:val="00F433C8"/>
    <w:rsid w:val="00F433DD"/>
    <w:rsid w:val="00F433F6"/>
    <w:rsid w:val="00F43420"/>
    <w:rsid w:val="00F43473"/>
    <w:rsid w:val="00F43522"/>
    <w:rsid w:val="00F435D5"/>
    <w:rsid w:val="00F4363A"/>
    <w:rsid w:val="00F437AE"/>
    <w:rsid w:val="00F43817"/>
    <w:rsid w:val="00F4383F"/>
    <w:rsid w:val="00F4384C"/>
    <w:rsid w:val="00F4385B"/>
    <w:rsid w:val="00F438A1"/>
    <w:rsid w:val="00F438B0"/>
    <w:rsid w:val="00F43944"/>
    <w:rsid w:val="00F43A8C"/>
    <w:rsid w:val="00F43AE1"/>
    <w:rsid w:val="00F43B57"/>
    <w:rsid w:val="00F43B5E"/>
    <w:rsid w:val="00F43B8B"/>
    <w:rsid w:val="00F43B91"/>
    <w:rsid w:val="00F43C21"/>
    <w:rsid w:val="00F43C3C"/>
    <w:rsid w:val="00F43C5A"/>
    <w:rsid w:val="00F43C83"/>
    <w:rsid w:val="00F43CD2"/>
    <w:rsid w:val="00F43D2E"/>
    <w:rsid w:val="00F43D99"/>
    <w:rsid w:val="00F43E0C"/>
    <w:rsid w:val="00F43F09"/>
    <w:rsid w:val="00F43FA7"/>
    <w:rsid w:val="00F44025"/>
    <w:rsid w:val="00F44051"/>
    <w:rsid w:val="00F4408F"/>
    <w:rsid w:val="00F440CF"/>
    <w:rsid w:val="00F4411F"/>
    <w:rsid w:val="00F441BD"/>
    <w:rsid w:val="00F441E4"/>
    <w:rsid w:val="00F44203"/>
    <w:rsid w:val="00F44242"/>
    <w:rsid w:val="00F442B0"/>
    <w:rsid w:val="00F442E4"/>
    <w:rsid w:val="00F44324"/>
    <w:rsid w:val="00F4434D"/>
    <w:rsid w:val="00F443AD"/>
    <w:rsid w:val="00F44439"/>
    <w:rsid w:val="00F4445B"/>
    <w:rsid w:val="00F44492"/>
    <w:rsid w:val="00F444C6"/>
    <w:rsid w:val="00F4452A"/>
    <w:rsid w:val="00F44538"/>
    <w:rsid w:val="00F445AD"/>
    <w:rsid w:val="00F445BC"/>
    <w:rsid w:val="00F44644"/>
    <w:rsid w:val="00F446AB"/>
    <w:rsid w:val="00F44787"/>
    <w:rsid w:val="00F44792"/>
    <w:rsid w:val="00F447AF"/>
    <w:rsid w:val="00F44897"/>
    <w:rsid w:val="00F448D7"/>
    <w:rsid w:val="00F44904"/>
    <w:rsid w:val="00F44992"/>
    <w:rsid w:val="00F449D6"/>
    <w:rsid w:val="00F449F6"/>
    <w:rsid w:val="00F449FF"/>
    <w:rsid w:val="00F44A4D"/>
    <w:rsid w:val="00F44A5D"/>
    <w:rsid w:val="00F44B27"/>
    <w:rsid w:val="00F44B79"/>
    <w:rsid w:val="00F44BE1"/>
    <w:rsid w:val="00F44C9C"/>
    <w:rsid w:val="00F44CB2"/>
    <w:rsid w:val="00F44D66"/>
    <w:rsid w:val="00F44D8E"/>
    <w:rsid w:val="00F44DE2"/>
    <w:rsid w:val="00F44E21"/>
    <w:rsid w:val="00F44E83"/>
    <w:rsid w:val="00F44EAC"/>
    <w:rsid w:val="00F44EFF"/>
    <w:rsid w:val="00F44F29"/>
    <w:rsid w:val="00F44F90"/>
    <w:rsid w:val="00F4508C"/>
    <w:rsid w:val="00F450A0"/>
    <w:rsid w:val="00F450B0"/>
    <w:rsid w:val="00F450B6"/>
    <w:rsid w:val="00F450EE"/>
    <w:rsid w:val="00F45123"/>
    <w:rsid w:val="00F45145"/>
    <w:rsid w:val="00F45196"/>
    <w:rsid w:val="00F453C1"/>
    <w:rsid w:val="00F45403"/>
    <w:rsid w:val="00F45416"/>
    <w:rsid w:val="00F45437"/>
    <w:rsid w:val="00F45455"/>
    <w:rsid w:val="00F45524"/>
    <w:rsid w:val="00F45639"/>
    <w:rsid w:val="00F4564E"/>
    <w:rsid w:val="00F45666"/>
    <w:rsid w:val="00F456AF"/>
    <w:rsid w:val="00F456B1"/>
    <w:rsid w:val="00F456B2"/>
    <w:rsid w:val="00F456C6"/>
    <w:rsid w:val="00F456E6"/>
    <w:rsid w:val="00F4571A"/>
    <w:rsid w:val="00F45787"/>
    <w:rsid w:val="00F4579B"/>
    <w:rsid w:val="00F457D7"/>
    <w:rsid w:val="00F4596F"/>
    <w:rsid w:val="00F45A0D"/>
    <w:rsid w:val="00F45A1F"/>
    <w:rsid w:val="00F45A29"/>
    <w:rsid w:val="00F45A3C"/>
    <w:rsid w:val="00F45B08"/>
    <w:rsid w:val="00F45B2A"/>
    <w:rsid w:val="00F45BA3"/>
    <w:rsid w:val="00F45BC1"/>
    <w:rsid w:val="00F45C65"/>
    <w:rsid w:val="00F45C98"/>
    <w:rsid w:val="00F45CEB"/>
    <w:rsid w:val="00F45DF2"/>
    <w:rsid w:val="00F45E4E"/>
    <w:rsid w:val="00F45F3B"/>
    <w:rsid w:val="00F45F65"/>
    <w:rsid w:val="00F45F72"/>
    <w:rsid w:val="00F46007"/>
    <w:rsid w:val="00F4603B"/>
    <w:rsid w:val="00F46043"/>
    <w:rsid w:val="00F4604C"/>
    <w:rsid w:val="00F460CB"/>
    <w:rsid w:val="00F46106"/>
    <w:rsid w:val="00F4613F"/>
    <w:rsid w:val="00F46158"/>
    <w:rsid w:val="00F46249"/>
    <w:rsid w:val="00F462B4"/>
    <w:rsid w:val="00F4635E"/>
    <w:rsid w:val="00F46395"/>
    <w:rsid w:val="00F463DC"/>
    <w:rsid w:val="00F464B2"/>
    <w:rsid w:val="00F464EC"/>
    <w:rsid w:val="00F4650A"/>
    <w:rsid w:val="00F4650F"/>
    <w:rsid w:val="00F46592"/>
    <w:rsid w:val="00F46712"/>
    <w:rsid w:val="00F4671A"/>
    <w:rsid w:val="00F4675A"/>
    <w:rsid w:val="00F4677E"/>
    <w:rsid w:val="00F46848"/>
    <w:rsid w:val="00F468FB"/>
    <w:rsid w:val="00F4692A"/>
    <w:rsid w:val="00F46935"/>
    <w:rsid w:val="00F4698A"/>
    <w:rsid w:val="00F46B4D"/>
    <w:rsid w:val="00F46B7D"/>
    <w:rsid w:val="00F46BA1"/>
    <w:rsid w:val="00F46BA3"/>
    <w:rsid w:val="00F46C88"/>
    <w:rsid w:val="00F46CB0"/>
    <w:rsid w:val="00F46CD4"/>
    <w:rsid w:val="00F46CDC"/>
    <w:rsid w:val="00F46CE2"/>
    <w:rsid w:val="00F46D90"/>
    <w:rsid w:val="00F46ED6"/>
    <w:rsid w:val="00F46F44"/>
    <w:rsid w:val="00F46F69"/>
    <w:rsid w:val="00F46F6D"/>
    <w:rsid w:val="00F46F89"/>
    <w:rsid w:val="00F46FD7"/>
    <w:rsid w:val="00F47035"/>
    <w:rsid w:val="00F47048"/>
    <w:rsid w:val="00F470F2"/>
    <w:rsid w:val="00F471B6"/>
    <w:rsid w:val="00F471EF"/>
    <w:rsid w:val="00F472A7"/>
    <w:rsid w:val="00F472C5"/>
    <w:rsid w:val="00F472F3"/>
    <w:rsid w:val="00F472F7"/>
    <w:rsid w:val="00F472FB"/>
    <w:rsid w:val="00F47343"/>
    <w:rsid w:val="00F4736E"/>
    <w:rsid w:val="00F47538"/>
    <w:rsid w:val="00F475BB"/>
    <w:rsid w:val="00F475FF"/>
    <w:rsid w:val="00F47624"/>
    <w:rsid w:val="00F47644"/>
    <w:rsid w:val="00F4764C"/>
    <w:rsid w:val="00F47712"/>
    <w:rsid w:val="00F47721"/>
    <w:rsid w:val="00F47729"/>
    <w:rsid w:val="00F4773A"/>
    <w:rsid w:val="00F4775B"/>
    <w:rsid w:val="00F4777B"/>
    <w:rsid w:val="00F477FC"/>
    <w:rsid w:val="00F47840"/>
    <w:rsid w:val="00F47852"/>
    <w:rsid w:val="00F47982"/>
    <w:rsid w:val="00F4799B"/>
    <w:rsid w:val="00F479C5"/>
    <w:rsid w:val="00F47A09"/>
    <w:rsid w:val="00F47A17"/>
    <w:rsid w:val="00F47A50"/>
    <w:rsid w:val="00F47A6C"/>
    <w:rsid w:val="00F47A97"/>
    <w:rsid w:val="00F47AC7"/>
    <w:rsid w:val="00F47B52"/>
    <w:rsid w:val="00F47B96"/>
    <w:rsid w:val="00F47C02"/>
    <w:rsid w:val="00F47C42"/>
    <w:rsid w:val="00F47C79"/>
    <w:rsid w:val="00F47CCA"/>
    <w:rsid w:val="00F47D10"/>
    <w:rsid w:val="00F47D58"/>
    <w:rsid w:val="00F47E4F"/>
    <w:rsid w:val="00F47F40"/>
    <w:rsid w:val="00F47FC1"/>
    <w:rsid w:val="00F47FF5"/>
    <w:rsid w:val="00F5002A"/>
    <w:rsid w:val="00F5003E"/>
    <w:rsid w:val="00F500AD"/>
    <w:rsid w:val="00F50113"/>
    <w:rsid w:val="00F501EA"/>
    <w:rsid w:val="00F501FC"/>
    <w:rsid w:val="00F50272"/>
    <w:rsid w:val="00F5027A"/>
    <w:rsid w:val="00F5027D"/>
    <w:rsid w:val="00F5028B"/>
    <w:rsid w:val="00F502EE"/>
    <w:rsid w:val="00F50338"/>
    <w:rsid w:val="00F5034F"/>
    <w:rsid w:val="00F503ED"/>
    <w:rsid w:val="00F5042D"/>
    <w:rsid w:val="00F5049C"/>
    <w:rsid w:val="00F504C9"/>
    <w:rsid w:val="00F5050B"/>
    <w:rsid w:val="00F5051E"/>
    <w:rsid w:val="00F50587"/>
    <w:rsid w:val="00F50607"/>
    <w:rsid w:val="00F5063A"/>
    <w:rsid w:val="00F5065D"/>
    <w:rsid w:val="00F5070D"/>
    <w:rsid w:val="00F5071A"/>
    <w:rsid w:val="00F50746"/>
    <w:rsid w:val="00F5075F"/>
    <w:rsid w:val="00F50782"/>
    <w:rsid w:val="00F5079F"/>
    <w:rsid w:val="00F507B2"/>
    <w:rsid w:val="00F507DE"/>
    <w:rsid w:val="00F507E5"/>
    <w:rsid w:val="00F507F1"/>
    <w:rsid w:val="00F50833"/>
    <w:rsid w:val="00F5099F"/>
    <w:rsid w:val="00F509E0"/>
    <w:rsid w:val="00F509F1"/>
    <w:rsid w:val="00F50B12"/>
    <w:rsid w:val="00F50B1A"/>
    <w:rsid w:val="00F50B22"/>
    <w:rsid w:val="00F50B27"/>
    <w:rsid w:val="00F50B43"/>
    <w:rsid w:val="00F50BE2"/>
    <w:rsid w:val="00F50C20"/>
    <w:rsid w:val="00F50C81"/>
    <w:rsid w:val="00F50CD4"/>
    <w:rsid w:val="00F50CDE"/>
    <w:rsid w:val="00F50D03"/>
    <w:rsid w:val="00F50E13"/>
    <w:rsid w:val="00F50E1D"/>
    <w:rsid w:val="00F50E34"/>
    <w:rsid w:val="00F50FB8"/>
    <w:rsid w:val="00F51035"/>
    <w:rsid w:val="00F510B4"/>
    <w:rsid w:val="00F51111"/>
    <w:rsid w:val="00F5111D"/>
    <w:rsid w:val="00F5115D"/>
    <w:rsid w:val="00F511EB"/>
    <w:rsid w:val="00F5129E"/>
    <w:rsid w:val="00F5137F"/>
    <w:rsid w:val="00F51475"/>
    <w:rsid w:val="00F514C1"/>
    <w:rsid w:val="00F514D3"/>
    <w:rsid w:val="00F514F6"/>
    <w:rsid w:val="00F51505"/>
    <w:rsid w:val="00F51606"/>
    <w:rsid w:val="00F5162C"/>
    <w:rsid w:val="00F516A0"/>
    <w:rsid w:val="00F517C5"/>
    <w:rsid w:val="00F517ED"/>
    <w:rsid w:val="00F51825"/>
    <w:rsid w:val="00F5185F"/>
    <w:rsid w:val="00F5186A"/>
    <w:rsid w:val="00F5188D"/>
    <w:rsid w:val="00F51890"/>
    <w:rsid w:val="00F51903"/>
    <w:rsid w:val="00F51927"/>
    <w:rsid w:val="00F5192C"/>
    <w:rsid w:val="00F51982"/>
    <w:rsid w:val="00F51A02"/>
    <w:rsid w:val="00F51A37"/>
    <w:rsid w:val="00F51AD8"/>
    <w:rsid w:val="00F51AFA"/>
    <w:rsid w:val="00F51BDF"/>
    <w:rsid w:val="00F51C24"/>
    <w:rsid w:val="00F51CB0"/>
    <w:rsid w:val="00F51CE9"/>
    <w:rsid w:val="00F51D99"/>
    <w:rsid w:val="00F51DCC"/>
    <w:rsid w:val="00F51E8F"/>
    <w:rsid w:val="00F51ED1"/>
    <w:rsid w:val="00F51F16"/>
    <w:rsid w:val="00F51F34"/>
    <w:rsid w:val="00F51F37"/>
    <w:rsid w:val="00F52007"/>
    <w:rsid w:val="00F520A7"/>
    <w:rsid w:val="00F520AC"/>
    <w:rsid w:val="00F520E5"/>
    <w:rsid w:val="00F52103"/>
    <w:rsid w:val="00F52158"/>
    <w:rsid w:val="00F52177"/>
    <w:rsid w:val="00F52188"/>
    <w:rsid w:val="00F521C8"/>
    <w:rsid w:val="00F521EA"/>
    <w:rsid w:val="00F52244"/>
    <w:rsid w:val="00F522B9"/>
    <w:rsid w:val="00F5238C"/>
    <w:rsid w:val="00F52536"/>
    <w:rsid w:val="00F52560"/>
    <w:rsid w:val="00F52586"/>
    <w:rsid w:val="00F52587"/>
    <w:rsid w:val="00F52595"/>
    <w:rsid w:val="00F525A2"/>
    <w:rsid w:val="00F52729"/>
    <w:rsid w:val="00F52731"/>
    <w:rsid w:val="00F52783"/>
    <w:rsid w:val="00F52850"/>
    <w:rsid w:val="00F528B4"/>
    <w:rsid w:val="00F528DA"/>
    <w:rsid w:val="00F52906"/>
    <w:rsid w:val="00F5290B"/>
    <w:rsid w:val="00F5292C"/>
    <w:rsid w:val="00F52939"/>
    <w:rsid w:val="00F5295A"/>
    <w:rsid w:val="00F5296C"/>
    <w:rsid w:val="00F529CA"/>
    <w:rsid w:val="00F529E0"/>
    <w:rsid w:val="00F529F0"/>
    <w:rsid w:val="00F52A02"/>
    <w:rsid w:val="00F52A06"/>
    <w:rsid w:val="00F52A63"/>
    <w:rsid w:val="00F52AF6"/>
    <w:rsid w:val="00F52B91"/>
    <w:rsid w:val="00F52BED"/>
    <w:rsid w:val="00F52C49"/>
    <w:rsid w:val="00F52C5C"/>
    <w:rsid w:val="00F52CF9"/>
    <w:rsid w:val="00F52D01"/>
    <w:rsid w:val="00F52D80"/>
    <w:rsid w:val="00F52DA4"/>
    <w:rsid w:val="00F52DF4"/>
    <w:rsid w:val="00F52E2A"/>
    <w:rsid w:val="00F52E3B"/>
    <w:rsid w:val="00F52E7A"/>
    <w:rsid w:val="00F52F50"/>
    <w:rsid w:val="00F53002"/>
    <w:rsid w:val="00F53039"/>
    <w:rsid w:val="00F53046"/>
    <w:rsid w:val="00F5305E"/>
    <w:rsid w:val="00F530D6"/>
    <w:rsid w:val="00F530F2"/>
    <w:rsid w:val="00F530F4"/>
    <w:rsid w:val="00F5323F"/>
    <w:rsid w:val="00F532A5"/>
    <w:rsid w:val="00F532E2"/>
    <w:rsid w:val="00F533B0"/>
    <w:rsid w:val="00F533C6"/>
    <w:rsid w:val="00F53430"/>
    <w:rsid w:val="00F5345D"/>
    <w:rsid w:val="00F53483"/>
    <w:rsid w:val="00F534D6"/>
    <w:rsid w:val="00F5352E"/>
    <w:rsid w:val="00F5354D"/>
    <w:rsid w:val="00F5355A"/>
    <w:rsid w:val="00F535B7"/>
    <w:rsid w:val="00F53661"/>
    <w:rsid w:val="00F536BC"/>
    <w:rsid w:val="00F536F7"/>
    <w:rsid w:val="00F53713"/>
    <w:rsid w:val="00F53725"/>
    <w:rsid w:val="00F53734"/>
    <w:rsid w:val="00F5375C"/>
    <w:rsid w:val="00F537AE"/>
    <w:rsid w:val="00F53883"/>
    <w:rsid w:val="00F53885"/>
    <w:rsid w:val="00F539D6"/>
    <w:rsid w:val="00F53A11"/>
    <w:rsid w:val="00F53A4B"/>
    <w:rsid w:val="00F53A84"/>
    <w:rsid w:val="00F53B04"/>
    <w:rsid w:val="00F53B6E"/>
    <w:rsid w:val="00F53BD0"/>
    <w:rsid w:val="00F53BFE"/>
    <w:rsid w:val="00F53C77"/>
    <w:rsid w:val="00F53C9B"/>
    <w:rsid w:val="00F53CA4"/>
    <w:rsid w:val="00F53CF1"/>
    <w:rsid w:val="00F53D68"/>
    <w:rsid w:val="00F53D81"/>
    <w:rsid w:val="00F53D95"/>
    <w:rsid w:val="00F53DB9"/>
    <w:rsid w:val="00F53DBF"/>
    <w:rsid w:val="00F53DCA"/>
    <w:rsid w:val="00F53F08"/>
    <w:rsid w:val="00F53F10"/>
    <w:rsid w:val="00F53F32"/>
    <w:rsid w:val="00F53F8D"/>
    <w:rsid w:val="00F53FD2"/>
    <w:rsid w:val="00F5402B"/>
    <w:rsid w:val="00F540ED"/>
    <w:rsid w:val="00F54148"/>
    <w:rsid w:val="00F541B1"/>
    <w:rsid w:val="00F541BA"/>
    <w:rsid w:val="00F54365"/>
    <w:rsid w:val="00F54380"/>
    <w:rsid w:val="00F543C5"/>
    <w:rsid w:val="00F5444B"/>
    <w:rsid w:val="00F544AC"/>
    <w:rsid w:val="00F544D9"/>
    <w:rsid w:val="00F544F6"/>
    <w:rsid w:val="00F54534"/>
    <w:rsid w:val="00F54583"/>
    <w:rsid w:val="00F545EC"/>
    <w:rsid w:val="00F546D6"/>
    <w:rsid w:val="00F54821"/>
    <w:rsid w:val="00F548B4"/>
    <w:rsid w:val="00F548C0"/>
    <w:rsid w:val="00F548E9"/>
    <w:rsid w:val="00F548F2"/>
    <w:rsid w:val="00F54933"/>
    <w:rsid w:val="00F54951"/>
    <w:rsid w:val="00F549F5"/>
    <w:rsid w:val="00F54A08"/>
    <w:rsid w:val="00F54A14"/>
    <w:rsid w:val="00F54A1D"/>
    <w:rsid w:val="00F54A32"/>
    <w:rsid w:val="00F54A34"/>
    <w:rsid w:val="00F54A71"/>
    <w:rsid w:val="00F54AA9"/>
    <w:rsid w:val="00F54AAE"/>
    <w:rsid w:val="00F54AEA"/>
    <w:rsid w:val="00F54B44"/>
    <w:rsid w:val="00F54BEE"/>
    <w:rsid w:val="00F54C0B"/>
    <w:rsid w:val="00F54C64"/>
    <w:rsid w:val="00F54D46"/>
    <w:rsid w:val="00F54D69"/>
    <w:rsid w:val="00F54D6D"/>
    <w:rsid w:val="00F54E13"/>
    <w:rsid w:val="00F54E3B"/>
    <w:rsid w:val="00F54E42"/>
    <w:rsid w:val="00F54E57"/>
    <w:rsid w:val="00F54F09"/>
    <w:rsid w:val="00F54F43"/>
    <w:rsid w:val="00F5502C"/>
    <w:rsid w:val="00F55074"/>
    <w:rsid w:val="00F5509B"/>
    <w:rsid w:val="00F550EC"/>
    <w:rsid w:val="00F55100"/>
    <w:rsid w:val="00F55196"/>
    <w:rsid w:val="00F5522E"/>
    <w:rsid w:val="00F55248"/>
    <w:rsid w:val="00F5524F"/>
    <w:rsid w:val="00F55272"/>
    <w:rsid w:val="00F55316"/>
    <w:rsid w:val="00F55385"/>
    <w:rsid w:val="00F553D7"/>
    <w:rsid w:val="00F55403"/>
    <w:rsid w:val="00F5542D"/>
    <w:rsid w:val="00F5545C"/>
    <w:rsid w:val="00F55494"/>
    <w:rsid w:val="00F554F5"/>
    <w:rsid w:val="00F55506"/>
    <w:rsid w:val="00F5554D"/>
    <w:rsid w:val="00F5557D"/>
    <w:rsid w:val="00F5559F"/>
    <w:rsid w:val="00F5560A"/>
    <w:rsid w:val="00F5569F"/>
    <w:rsid w:val="00F556A5"/>
    <w:rsid w:val="00F556BD"/>
    <w:rsid w:val="00F556F9"/>
    <w:rsid w:val="00F556FF"/>
    <w:rsid w:val="00F55787"/>
    <w:rsid w:val="00F5580F"/>
    <w:rsid w:val="00F55831"/>
    <w:rsid w:val="00F558CD"/>
    <w:rsid w:val="00F558E6"/>
    <w:rsid w:val="00F558FA"/>
    <w:rsid w:val="00F559B5"/>
    <w:rsid w:val="00F55A9A"/>
    <w:rsid w:val="00F55AE3"/>
    <w:rsid w:val="00F55B42"/>
    <w:rsid w:val="00F55C48"/>
    <w:rsid w:val="00F55C9D"/>
    <w:rsid w:val="00F55CA1"/>
    <w:rsid w:val="00F55CA2"/>
    <w:rsid w:val="00F55CDD"/>
    <w:rsid w:val="00F55D4C"/>
    <w:rsid w:val="00F55DC4"/>
    <w:rsid w:val="00F55DF6"/>
    <w:rsid w:val="00F55F79"/>
    <w:rsid w:val="00F55FBB"/>
    <w:rsid w:val="00F55FF7"/>
    <w:rsid w:val="00F56010"/>
    <w:rsid w:val="00F56060"/>
    <w:rsid w:val="00F560D3"/>
    <w:rsid w:val="00F56104"/>
    <w:rsid w:val="00F56118"/>
    <w:rsid w:val="00F56135"/>
    <w:rsid w:val="00F561AC"/>
    <w:rsid w:val="00F561AE"/>
    <w:rsid w:val="00F56223"/>
    <w:rsid w:val="00F562D5"/>
    <w:rsid w:val="00F56306"/>
    <w:rsid w:val="00F56334"/>
    <w:rsid w:val="00F5635F"/>
    <w:rsid w:val="00F56384"/>
    <w:rsid w:val="00F563B2"/>
    <w:rsid w:val="00F563E8"/>
    <w:rsid w:val="00F56436"/>
    <w:rsid w:val="00F564AD"/>
    <w:rsid w:val="00F56536"/>
    <w:rsid w:val="00F56576"/>
    <w:rsid w:val="00F56632"/>
    <w:rsid w:val="00F56683"/>
    <w:rsid w:val="00F566D8"/>
    <w:rsid w:val="00F56701"/>
    <w:rsid w:val="00F5670D"/>
    <w:rsid w:val="00F56744"/>
    <w:rsid w:val="00F5678C"/>
    <w:rsid w:val="00F5683E"/>
    <w:rsid w:val="00F5689D"/>
    <w:rsid w:val="00F568C9"/>
    <w:rsid w:val="00F569C3"/>
    <w:rsid w:val="00F56A17"/>
    <w:rsid w:val="00F56A85"/>
    <w:rsid w:val="00F56A88"/>
    <w:rsid w:val="00F56A95"/>
    <w:rsid w:val="00F56AE6"/>
    <w:rsid w:val="00F56AF7"/>
    <w:rsid w:val="00F56B11"/>
    <w:rsid w:val="00F56B77"/>
    <w:rsid w:val="00F56CCC"/>
    <w:rsid w:val="00F56D3B"/>
    <w:rsid w:val="00F56D48"/>
    <w:rsid w:val="00F56E87"/>
    <w:rsid w:val="00F56EBE"/>
    <w:rsid w:val="00F57031"/>
    <w:rsid w:val="00F57091"/>
    <w:rsid w:val="00F57169"/>
    <w:rsid w:val="00F57175"/>
    <w:rsid w:val="00F57181"/>
    <w:rsid w:val="00F571CB"/>
    <w:rsid w:val="00F571DC"/>
    <w:rsid w:val="00F571E8"/>
    <w:rsid w:val="00F57230"/>
    <w:rsid w:val="00F57249"/>
    <w:rsid w:val="00F572B5"/>
    <w:rsid w:val="00F572D3"/>
    <w:rsid w:val="00F572E9"/>
    <w:rsid w:val="00F572F4"/>
    <w:rsid w:val="00F57330"/>
    <w:rsid w:val="00F57332"/>
    <w:rsid w:val="00F573CF"/>
    <w:rsid w:val="00F5742C"/>
    <w:rsid w:val="00F574BE"/>
    <w:rsid w:val="00F57505"/>
    <w:rsid w:val="00F5753A"/>
    <w:rsid w:val="00F57559"/>
    <w:rsid w:val="00F5756C"/>
    <w:rsid w:val="00F5757D"/>
    <w:rsid w:val="00F575AE"/>
    <w:rsid w:val="00F57611"/>
    <w:rsid w:val="00F57677"/>
    <w:rsid w:val="00F5767E"/>
    <w:rsid w:val="00F576E3"/>
    <w:rsid w:val="00F5776B"/>
    <w:rsid w:val="00F5777F"/>
    <w:rsid w:val="00F5779A"/>
    <w:rsid w:val="00F577CC"/>
    <w:rsid w:val="00F5780F"/>
    <w:rsid w:val="00F57817"/>
    <w:rsid w:val="00F57858"/>
    <w:rsid w:val="00F5788A"/>
    <w:rsid w:val="00F578D7"/>
    <w:rsid w:val="00F5791B"/>
    <w:rsid w:val="00F57923"/>
    <w:rsid w:val="00F5794D"/>
    <w:rsid w:val="00F57A0C"/>
    <w:rsid w:val="00F57A77"/>
    <w:rsid w:val="00F57AA5"/>
    <w:rsid w:val="00F57B6D"/>
    <w:rsid w:val="00F57BA8"/>
    <w:rsid w:val="00F57BC4"/>
    <w:rsid w:val="00F57BC5"/>
    <w:rsid w:val="00F57C24"/>
    <w:rsid w:val="00F57C2E"/>
    <w:rsid w:val="00F57CA3"/>
    <w:rsid w:val="00F57D56"/>
    <w:rsid w:val="00F57D78"/>
    <w:rsid w:val="00F57D8F"/>
    <w:rsid w:val="00F57D9D"/>
    <w:rsid w:val="00F57DCD"/>
    <w:rsid w:val="00F57DD2"/>
    <w:rsid w:val="00F57DEA"/>
    <w:rsid w:val="00F57EC2"/>
    <w:rsid w:val="00F57EE4"/>
    <w:rsid w:val="00F57EED"/>
    <w:rsid w:val="00F57F0C"/>
    <w:rsid w:val="00F57F58"/>
    <w:rsid w:val="00F57F75"/>
    <w:rsid w:val="00F57FDA"/>
    <w:rsid w:val="00F6001B"/>
    <w:rsid w:val="00F60073"/>
    <w:rsid w:val="00F600A7"/>
    <w:rsid w:val="00F60120"/>
    <w:rsid w:val="00F60138"/>
    <w:rsid w:val="00F6017A"/>
    <w:rsid w:val="00F601E6"/>
    <w:rsid w:val="00F6022C"/>
    <w:rsid w:val="00F6023F"/>
    <w:rsid w:val="00F60286"/>
    <w:rsid w:val="00F60293"/>
    <w:rsid w:val="00F602D1"/>
    <w:rsid w:val="00F60337"/>
    <w:rsid w:val="00F60346"/>
    <w:rsid w:val="00F60352"/>
    <w:rsid w:val="00F6037D"/>
    <w:rsid w:val="00F603A7"/>
    <w:rsid w:val="00F60402"/>
    <w:rsid w:val="00F60411"/>
    <w:rsid w:val="00F60443"/>
    <w:rsid w:val="00F6044D"/>
    <w:rsid w:val="00F6050F"/>
    <w:rsid w:val="00F60542"/>
    <w:rsid w:val="00F605BC"/>
    <w:rsid w:val="00F605E0"/>
    <w:rsid w:val="00F6060D"/>
    <w:rsid w:val="00F60665"/>
    <w:rsid w:val="00F606EC"/>
    <w:rsid w:val="00F60706"/>
    <w:rsid w:val="00F60714"/>
    <w:rsid w:val="00F6074E"/>
    <w:rsid w:val="00F607DF"/>
    <w:rsid w:val="00F60800"/>
    <w:rsid w:val="00F6084E"/>
    <w:rsid w:val="00F6087A"/>
    <w:rsid w:val="00F608DB"/>
    <w:rsid w:val="00F60989"/>
    <w:rsid w:val="00F6099C"/>
    <w:rsid w:val="00F609C3"/>
    <w:rsid w:val="00F60A19"/>
    <w:rsid w:val="00F60A21"/>
    <w:rsid w:val="00F60A40"/>
    <w:rsid w:val="00F60ADF"/>
    <w:rsid w:val="00F60BE5"/>
    <w:rsid w:val="00F60C76"/>
    <w:rsid w:val="00F60CCC"/>
    <w:rsid w:val="00F60CDA"/>
    <w:rsid w:val="00F60CE2"/>
    <w:rsid w:val="00F60D42"/>
    <w:rsid w:val="00F60D6E"/>
    <w:rsid w:val="00F60E13"/>
    <w:rsid w:val="00F60E55"/>
    <w:rsid w:val="00F60EEB"/>
    <w:rsid w:val="00F60EEF"/>
    <w:rsid w:val="00F60F64"/>
    <w:rsid w:val="00F60FD0"/>
    <w:rsid w:val="00F61047"/>
    <w:rsid w:val="00F6106D"/>
    <w:rsid w:val="00F610A6"/>
    <w:rsid w:val="00F61145"/>
    <w:rsid w:val="00F611C4"/>
    <w:rsid w:val="00F611E1"/>
    <w:rsid w:val="00F61253"/>
    <w:rsid w:val="00F612EF"/>
    <w:rsid w:val="00F612FC"/>
    <w:rsid w:val="00F6133C"/>
    <w:rsid w:val="00F613D3"/>
    <w:rsid w:val="00F613F1"/>
    <w:rsid w:val="00F61466"/>
    <w:rsid w:val="00F61483"/>
    <w:rsid w:val="00F6154B"/>
    <w:rsid w:val="00F61621"/>
    <w:rsid w:val="00F6162C"/>
    <w:rsid w:val="00F616AC"/>
    <w:rsid w:val="00F616F3"/>
    <w:rsid w:val="00F61717"/>
    <w:rsid w:val="00F6174D"/>
    <w:rsid w:val="00F61771"/>
    <w:rsid w:val="00F6179B"/>
    <w:rsid w:val="00F61881"/>
    <w:rsid w:val="00F618C4"/>
    <w:rsid w:val="00F618F2"/>
    <w:rsid w:val="00F61909"/>
    <w:rsid w:val="00F61913"/>
    <w:rsid w:val="00F61997"/>
    <w:rsid w:val="00F619A0"/>
    <w:rsid w:val="00F619B2"/>
    <w:rsid w:val="00F619F0"/>
    <w:rsid w:val="00F61A21"/>
    <w:rsid w:val="00F61A24"/>
    <w:rsid w:val="00F61A4D"/>
    <w:rsid w:val="00F61AFB"/>
    <w:rsid w:val="00F61B08"/>
    <w:rsid w:val="00F61B20"/>
    <w:rsid w:val="00F61B2A"/>
    <w:rsid w:val="00F61B3A"/>
    <w:rsid w:val="00F61B5A"/>
    <w:rsid w:val="00F61B6C"/>
    <w:rsid w:val="00F61B73"/>
    <w:rsid w:val="00F61BD0"/>
    <w:rsid w:val="00F61C8A"/>
    <w:rsid w:val="00F61C8E"/>
    <w:rsid w:val="00F61D07"/>
    <w:rsid w:val="00F61D5C"/>
    <w:rsid w:val="00F61D80"/>
    <w:rsid w:val="00F61ED3"/>
    <w:rsid w:val="00F61F1B"/>
    <w:rsid w:val="00F61F37"/>
    <w:rsid w:val="00F61F81"/>
    <w:rsid w:val="00F62014"/>
    <w:rsid w:val="00F62048"/>
    <w:rsid w:val="00F62076"/>
    <w:rsid w:val="00F620DC"/>
    <w:rsid w:val="00F6219B"/>
    <w:rsid w:val="00F621A5"/>
    <w:rsid w:val="00F621C4"/>
    <w:rsid w:val="00F62241"/>
    <w:rsid w:val="00F62268"/>
    <w:rsid w:val="00F6227C"/>
    <w:rsid w:val="00F622D3"/>
    <w:rsid w:val="00F622F3"/>
    <w:rsid w:val="00F62404"/>
    <w:rsid w:val="00F6243A"/>
    <w:rsid w:val="00F6248E"/>
    <w:rsid w:val="00F62526"/>
    <w:rsid w:val="00F62529"/>
    <w:rsid w:val="00F62561"/>
    <w:rsid w:val="00F6257A"/>
    <w:rsid w:val="00F625D6"/>
    <w:rsid w:val="00F625E0"/>
    <w:rsid w:val="00F625FB"/>
    <w:rsid w:val="00F62656"/>
    <w:rsid w:val="00F6269B"/>
    <w:rsid w:val="00F62753"/>
    <w:rsid w:val="00F627B8"/>
    <w:rsid w:val="00F627C3"/>
    <w:rsid w:val="00F627DF"/>
    <w:rsid w:val="00F629A4"/>
    <w:rsid w:val="00F629D8"/>
    <w:rsid w:val="00F62A00"/>
    <w:rsid w:val="00F62A88"/>
    <w:rsid w:val="00F62AFF"/>
    <w:rsid w:val="00F62B2D"/>
    <w:rsid w:val="00F62B92"/>
    <w:rsid w:val="00F62BC5"/>
    <w:rsid w:val="00F62BE9"/>
    <w:rsid w:val="00F62C79"/>
    <w:rsid w:val="00F62CAF"/>
    <w:rsid w:val="00F62DD5"/>
    <w:rsid w:val="00F62E04"/>
    <w:rsid w:val="00F62EDD"/>
    <w:rsid w:val="00F62F6A"/>
    <w:rsid w:val="00F62FAB"/>
    <w:rsid w:val="00F62FF3"/>
    <w:rsid w:val="00F62FFE"/>
    <w:rsid w:val="00F63021"/>
    <w:rsid w:val="00F63061"/>
    <w:rsid w:val="00F630D2"/>
    <w:rsid w:val="00F630E8"/>
    <w:rsid w:val="00F63136"/>
    <w:rsid w:val="00F6318E"/>
    <w:rsid w:val="00F63233"/>
    <w:rsid w:val="00F63337"/>
    <w:rsid w:val="00F6337A"/>
    <w:rsid w:val="00F6339E"/>
    <w:rsid w:val="00F633D7"/>
    <w:rsid w:val="00F6346C"/>
    <w:rsid w:val="00F634A9"/>
    <w:rsid w:val="00F634E8"/>
    <w:rsid w:val="00F63622"/>
    <w:rsid w:val="00F63655"/>
    <w:rsid w:val="00F63666"/>
    <w:rsid w:val="00F63674"/>
    <w:rsid w:val="00F63737"/>
    <w:rsid w:val="00F638B2"/>
    <w:rsid w:val="00F638B7"/>
    <w:rsid w:val="00F638E6"/>
    <w:rsid w:val="00F6394E"/>
    <w:rsid w:val="00F6397E"/>
    <w:rsid w:val="00F639AB"/>
    <w:rsid w:val="00F639C8"/>
    <w:rsid w:val="00F63AA0"/>
    <w:rsid w:val="00F63ACB"/>
    <w:rsid w:val="00F63AD6"/>
    <w:rsid w:val="00F63B4A"/>
    <w:rsid w:val="00F63B89"/>
    <w:rsid w:val="00F63BAE"/>
    <w:rsid w:val="00F63C19"/>
    <w:rsid w:val="00F63C4A"/>
    <w:rsid w:val="00F63D5E"/>
    <w:rsid w:val="00F63DAE"/>
    <w:rsid w:val="00F63DE1"/>
    <w:rsid w:val="00F63DEE"/>
    <w:rsid w:val="00F63EAD"/>
    <w:rsid w:val="00F63F1A"/>
    <w:rsid w:val="00F63F1C"/>
    <w:rsid w:val="00F63F60"/>
    <w:rsid w:val="00F63F97"/>
    <w:rsid w:val="00F63FE5"/>
    <w:rsid w:val="00F64025"/>
    <w:rsid w:val="00F64054"/>
    <w:rsid w:val="00F640B1"/>
    <w:rsid w:val="00F640D9"/>
    <w:rsid w:val="00F64129"/>
    <w:rsid w:val="00F6412C"/>
    <w:rsid w:val="00F64263"/>
    <w:rsid w:val="00F642B0"/>
    <w:rsid w:val="00F642E1"/>
    <w:rsid w:val="00F642FA"/>
    <w:rsid w:val="00F6430C"/>
    <w:rsid w:val="00F6431F"/>
    <w:rsid w:val="00F64334"/>
    <w:rsid w:val="00F64378"/>
    <w:rsid w:val="00F6441F"/>
    <w:rsid w:val="00F64433"/>
    <w:rsid w:val="00F6443B"/>
    <w:rsid w:val="00F6449A"/>
    <w:rsid w:val="00F644D8"/>
    <w:rsid w:val="00F644E4"/>
    <w:rsid w:val="00F644F2"/>
    <w:rsid w:val="00F64509"/>
    <w:rsid w:val="00F64607"/>
    <w:rsid w:val="00F646BD"/>
    <w:rsid w:val="00F646EF"/>
    <w:rsid w:val="00F64819"/>
    <w:rsid w:val="00F64A75"/>
    <w:rsid w:val="00F64AF8"/>
    <w:rsid w:val="00F64AFA"/>
    <w:rsid w:val="00F64B07"/>
    <w:rsid w:val="00F64B38"/>
    <w:rsid w:val="00F64B8A"/>
    <w:rsid w:val="00F64BE4"/>
    <w:rsid w:val="00F64C0D"/>
    <w:rsid w:val="00F64CB8"/>
    <w:rsid w:val="00F64CC6"/>
    <w:rsid w:val="00F64CDE"/>
    <w:rsid w:val="00F64CF5"/>
    <w:rsid w:val="00F64D52"/>
    <w:rsid w:val="00F64DDC"/>
    <w:rsid w:val="00F64E3E"/>
    <w:rsid w:val="00F64F08"/>
    <w:rsid w:val="00F64F90"/>
    <w:rsid w:val="00F65025"/>
    <w:rsid w:val="00F650A2"/>
    <w:rsid w:val="00F650FF"/>
    <w:rsid w:val="00F65139"/>
    <w:rsid w:val="00F65164"/>
    <w:rsid w:val="00F6516B"/>
    <w:rsid w:val="00F651D8"/>
    <w:rsid w:val="00F651DE"/>
    <w:rsid w:val="00F65227"/>
    <w:rsid w:val="00F65256"/>
    <w:rsid w:val="00F65341"/>
    <w:rsid w:val="00F65369"/>
    <w:rsid w:val="00F65375"/>
    <w:rsid w:val="00F653FA"/>
    <w:rsid w:val="00F65403"/>
    <w:rsid w:val="00F654B8"/>
    <w:rsid w:val="00F6555F"/>
    <w:rsid w:val="00F655A8"/>
    <w:rsid w:val="00F655D2"/>
    <w:rsid w:val="00F65612"/>
    <w:rsid w:val="00F65652"/>
    <w:rsid w:val="00F65695"/>
    <w:rsid w:val="00F656C9"/>
    <w:rsid w:val="00F656E1"/>
    <w:rsid w:val="00F6572F"/>
    <w:rsid w:val="00F65773"/>
    <w:rsid w:val="00F65800"/>
    <w:rsid w:val="00F6585D"/>
    <w:rsid w:val="00F658B2"/>
    <w:rsid w:val="00F658C4"/>
    <w:rsid w:val="00F65915"/>
    <w:rsid w:val="00F6592E"/>
    <w:rsid w:val="00F65937"/>
    <w:rsid w:val="00F6593A"/>
    <w:rsid w:val="00F65960"/>
    <w:rsid w:val="00F6597B"/>
    <w:rsid w:val="00F65AE8"/>
    <w:rsid w:val="00F65B23"/>
    <w:rsid w:val="00F65C4D"/>
    <w:rsid w:val="00F65C65"/>
    <w:rsid w:val="00F65C85"/>
    <w:rsid w:val="00F65C8E"/>
    <w:rsid w:val="00F65DA3"/>
    <w:rsid w:val="00F65DDB"/>
    <w:rsid w:val="00F65E93"/>
    <w:rsid w:val="00F65F76"/>
    <w:rsid w:val="00F66023"/>
    <w:rsid w:val="00F66024"/>
    <w:rsid w:val="00F660C9"/>
    <w:rsid w:val="00F660FE"/>
    <w:rsid w:val="00F6610E"/>
    <w:rsid w:val="00F6612F"/>
    <w:rsid w:val="00F661C3"/>
    <w:rsid w:val="00F661DB"/>
    <w:rsid w:val="00F661DE"/>
    <w:rsid w:val="00F661F4"/>
    <w:rsid w:val="00F6622E"/>
    <w:rsid w:val="00F66244"/>
    <w:rsid w:val="00F663DF"/>
    <w:rsid w:val="00F66415"/>
    <w:rsid w:val="00F66499"/>
    <w:rsid w:val="00F664A6"/>
    <w:rsid w:val="00F664BC"/>
    <w:rsid w:val="00F6658C"/>
    <w:rsid w:val="00F666C4"/>
    <w:rsid w:val="00F6676E"/>
    <w:rsid w:val="00F667EC"/>
    <w:rsid w:val="00F6683B"/>
    <w:rsid w:val="00F6687E"/>
    <w:rsid w:val="00F668DA"/>
    <w:rsid w:val="00F66905"/>
    <w:rsid w:val="00F6695C"/>
    <w:rsid w:val="00F669CD"/>
    <w:rsid w:val="00F669ED"/>
    <w:rsid w:val="00F669F4"/>
    <w:rsid w:val="00F66A36"/>
    <w:rsid w:val="00F66A83"/>
    <w:rsid w:val="00F66A98"/>
    <w:rsid w:val="00F66ADF"/>
    <w:rsid w:val="00F66B38"/>
    <w:rsid w:val="00F66BBE"/>
    <w:rsid w:val="00F66C54"/>
    <w:rsid w:val="00F66C83"/>
    <w:rsid w:val="00F66CC4"/>
    <w:rsid w:val="00F66DA0"/>
    <w:rsid w:val="00F66DB3"/>
    <w:rsid w:val="00F66DBD"/>
    <w:rsid w:val="00F66DD1"/>
    <w:rsid w:val="00F66EAE"/>
    <w:rsid w:val="00F66EC6"/>
    <w:rsid w:val="00F66EE0"/>
    <w:rsid w:val="00F66F22"/>
    <w:rsid w:val="00F66F5A"/>
    <w:rsid w:val="00F66FC8"/>
    <w:rsid w:val="00F66FDB"/>
    <w:rsid w:val="00F66FF7"/>
    <w:rsid w:val="00F67006"/>
    <w:rsid w:val="00F6701D"/>
    <w:rsid w:val="00F6702A"/>
    <w:rsid w:val="00F67068"/>
    <w:rsid w:val="00F67093"/>
    <w:rsid w:val="00F670B9"/>
    <w:rsid w:val="00F67171"/>
    <w:rsid w:val="00F6722C"/>
    <w:rsid w:val="00F67236"/>
    <w:rsid w:val="00F6723A"/>
    <w:rsid w:val="00F672AE"/>
    <w:rsid w:val="00F6731B"/>
    <w:rsid w:val="00F67363"/>
    <w:rsid w:val="00F673AC"/>
    <w:rsid w:val="00F6746C"/>
    <w:rsid w:val="00F6748C"/>
    <w:rsid w:val="00F674F6"/>
    <w:rsid w:val="00F6759D"/>
    <w:rsid w:val="00F67629"/>
    <w:rsid w:val="00F67730"/>
    <w:rsid w:val="00F67768"/>
    <w:rsid w:val="00F677B3"/>
    <w:rsid w:val="00F67856"/>
    <w:rsid w:val="00F678A4"/>
    <w:rsid w:val="00F678B4"/>
    <w:rsid w:val="00F67933"/>
    <w:rsid w:val="00F67957"/>
    <w:rsid w:val="00F67995"/>
    <w:rsid w:val="00F679A4"/>
    <w:rsid w:val="00F67A0A"/>
    <w:rsid w:val="00F67A95"/>
    <w:rsid w:val="00F67B48"/>
    <w:rsid w:val="00F67B78"/>
    <w:rsid w:val="00F67B9C"/>
    <w:rsid w:val="00F67C8F"/>
    <w:rsid w:val="00F67CCD"/>
    <w:rsid w:val="00F67CE8"/>
    <w:rsid w:val="00F67CEF"/>
    <w:rsid w:val="00F67D42"/>
    <w:rsid w:val="00F67D49"/>
    <w:rsid w:val="00F67D5E"/>
    <w:rsid w:val="00F67E1D"/>
    <w:rsid w:val="00F67EF3"/>
    <w:rsid w:val="00F67F5A"/>
    <w:rsid w:val="00F67F66"/>
    <w:rsid w:val="00F6A75D"/>
    <w:rsid w:val="00F70006"/>
    <w:rsid w:val="00F700B5"/>
    <w:rsid w:val="00F70145"/>
    <w:rsid w:val="00F701FE"/>
    <w:rsid w:val="00F70328"/>
    <w:rsid w:val="00F70367"/>
    <w:rsid w:val="00F703D5"/>
    <w:rsid w:val="00F70410"/>
    <w:rsid w:val="00F70417"/>
    <w:rsid w:val="00F7043E"/>
    <w:rsid w:val="00F70455"/>
    <w:rsid w:val="00F7048D"/>
    <w:rsid w:val="00F704A8"/>
    <w:rsid w:val="00F704CD"/>
    <w:rsid w:val="00F70591"/>
    <w:rsid w:val="00F706CB"/>
    <w:rsid w:val="00F7072A"/>
    <w:rsid w:val="00F707E8"/>
    <w:rsid w:val="00F70877"/>
    <w:rsid w:val="00F708CA"/>
    <w:rsid w:val="00F708EB"/>
    <w:rsid w:val="00F709BA"/>
    <w:rsid w:val="00F709CD"/>
    <w:rsid w:val="00F70B1D"/>
    <w:rsid w:val="00F70B26"/>
    <w:rsid w:val="00F70B28"/>
    <w:rsid w:val="00F70B7E"/>
    <w:rsid w:val="00F70B8E"/>
    <w:rsid w:val="00F70B94"/>
    <w:rsid w:val="00F70BBE"/>
    <w:rsid w:val="00F70C67"/>
    <w:rsid w:val="00F70D35"/>
    <w:rsid w:val="00F70DD5"/>
    <w:rsid w:val="00F70DE5"/>
    <w:rsid w:val="00F70E33"/>
    <w:rsid w:val="00F70E59"/>
    <w:rsid w:val="00F70F0D"/>
    <w:rsid w:val="00F70F28"/>
    <w:rsid w:val="00F70F44"/>
    <w:rsid w:val="00F70F5D"/>
    <w:rsid w:val="00F70F67"/>
    <w:rsid w:val="00F70F73"/>
    <w:rsid w:val="00F70FC7"/>
    <w:rsid w:val="00F70FCE"/>
    <w:rsid w:val="00F71007"/>
    <w:rsid w:val="00F7102D"/>
    <w:rsid w:val="00F71064"/>
    <w:rsid w:val="00F710C3"/>
    <w:rsid w:val="00F71251"/>
    <w:rsid w:val="00F71278"/>
    <w:rsid w:val="00F712EF"/>
    <w:rsid w:val="00F71302"/>
    <w:rsid w:val="00F7131A"/>
    <w:rsid w:val="00F713A6"/>
    <w:rsid w:val="00F713DC"/>
    <w:rsid w:val="00F713F1"/>
    <w:rsid w:val="00F7143B"/>
    <w:rsid w:val="00F71498"/>
    <w:rsid w:val="00F71590"/>
    <w:rsid w:val="00F7160F"/>
    <w:rsid w:val="00F71646"/>
    <w:rsid w:val="00F716B5"/>
    <w:rsid w:val="00F716D0"/>
    <w:rsid w:val="00F716EE"/>
    <w:rsid w:val="00F71723"/>
    <w:rsid w:val="00F71727"/>
    <w:rsid w:val="00F71753"/>
    <w:rsid w:val="00F717A2"/>
    <w:rsid w:val="00F717E2"/>
    <w:rsid w:val="00F718E4"/>
    <w:rsid w:val="00F71913"/>
    <w:rsid w:val="00F71920"/>
    <w:rsid w:val="00F71923"/>
    <w:rsid w:val="00F7194F"/>
    <w:rsid w:val="00F71971"/>
    <w:rsid w:val="00F71A71"/>
    <w:rsid w:val="00F71B45"/>
    <w:rsid w:val="00F71B74"/>
    <w:rsid w:val="00F71B7E"/>
    <w:rsid w:val="00F71B82"/>
    <w:rsid w:val="00F71B9D"/>
    <w:rsid w:val="00F71BB2"/>
    <w:rsid w:val="00F71C53"/>
    <w:rsid w:val="00F71D45"/>
    <w:rsid w:val="00F71EA5"/>
    <w:rsid w:val="00F71EFA"/>
    <w:rsid w:val="00F71F0F"/>
    <w:rsid w:val="00F71F49"/>
    <w:rsid w:val="00F71FA1"/>
    <w:rsid w:val="00F71FD2"/>
    <w:rsid w:val="00F71FD4"/>
    <w:rsid w:val="00F72092"/>
    <w:rsid w:val="00F720EF"/>
    <w:rsid w:val="00F7215E"/>
    <w:rsid w:val="00F72276"/>
    <w:rsid w:val="00F722D6"/>
    <w:rsid w:val="00F72395"/>
    <w:rsid w:val="00F723C5"/>
    <w:rsid w:val="00F72402"/>
    <w:rsid w:val="00F72500"/>
    <w:rsid w:val="00F72513"/>
    <w:rsid w:val="00F72566"/>
    <w:rsid w:val="00F7257B"/>
    <w:rsid w:val="00F7259F"/>
    <w:rsid w:val="00F725C9"/>
    <w:rsid w:val="00F725EE"/>
    <w:rsid w:val="00F72615"/>
    <w:rsid w:val="00F72617"/>
    <w:rsid w:val="00F7263C"/>
    <w:rsid w:val="00F72656"/>
    <w:rsid w:val="00F72701"/>
    <w:rsid w:val="00F727FD"/>
    <w:rsid w:val="00F7281B"/>
    <w:rsid w:val="00F7282F"/>
    <w:rsid w:val="00F72856"/>
    <w:rsid w:val="00F72906"/>
    <w:rsid w:val="00F729C0"/>
    <w:rsid w:val="00F72AEB"/>
    <w:rsid w:val="00F72BA8"/>
    <w:rsid w:val="00F72C62"/>
    <w:rsid w:val="00F72C70"/>
    <w:rsid w:val="00F72CCD"/>
    <w:rsid w:val="00F72CF6"/>
    <w:rsid w:val="00F72D01"/>
    <w:rsid w:val="00F72D82"/>
    <w:rsid w:val="00F72DCD"/>
    <w:rsid w:val="00F72E08"/>
    <w:rsid w:val="00F72E5E"/>
    <w:rsid w:val="00F72E98"/>
    <w:rsid w:val="00F72ED4"/>
    <w:rsid w:val="00F72EE9"/>
    <w:rsid w:val="00F72EFA"/>
    <w:rsid w:val="00F72F4B"/>
    <w:rsid w:val="00F72F89"/>
    <w:rsid w:val="00F72FC2"/>
    <w:rsid w:val="00F72FE3"/>
    <w:rsid w:val="00F7310B"/>
    <w:rsid w:val="00F73122"/>
    <w:rsid w:val="00F731AB"/>
    <w:rsid w:val="00F731B6"/>
    <w:rsid w:val="00F731DD"/>
    <w:rsid w:val="00F73221"/>
    <w:rsid w:val="00F732AD"/>
    <w:rsid w:val="00F732C8"/>
    <w:rsid w:val="00F733D4"/>
    <w:rsid w:val="00F7342F"/>
    <w:rsid w:val="00F73460"/>
    <w:rsid w:val="00F73469"/>
    <w:rsid w:val="00F734E2"/>
    <w:rsid w:val="00F73569"/>
    <w:rsid w:val="00F7365D"/>
    <w:rsid w:val="00F737BA"/>
    <w:rsid w:val="00F73808"/>
    <w:rsid w:val="00F7387F"/>
    <w:rsid w:val="00F7388A"/>
    <w:rsid w:val="00F739A8"/>
    <w:rsid w:val="00F739C9"/>
    <w:rsid w:val="00F73A07"/>
    <w:rsid w:val="00F73A72"/>
    <w:rsid w:val="00F73A8E"/>
    <w:rsid w:val="00F73B28"/>
    <w:rsid w:val="00F73B40"/>
    <w:rsid w:val="00F73B5F"/>
    <w:rsid w:val="00F73BEC"/>
    <w:rsid w:val="00F73BF1"/>
    <w:rsid w:val="00F73C8B"/>
    <w:rsid w:val="00F73CCE"/>
    <w:rsid w:val="00F73CD8"/>
    <w:rsid w:val="00F73D08"/>
    <w:rsid w:val="00F73D21"/>
    <w:rsid w:val="00F73D5F"/>
    <w:rsid w:val="00F73DDE"/>
    <w:rsid w:val="00F73E8E"/>
    <w:rsid w:val="00F73E96"/>
    <w:rsid w:val="00F73ECC"/>
    <w:rsid w:val="00F73ED7"/>
    <w:rsid w:val="00F73EF5"/>
    <w:rsid w:val="00F73F0C"/>
    <w:rsid w:val="00F73FD5"/>
    <w:rsid w:val="00F74026"/>
    <w:rsid w:val="00F74030"/>
    <w:rsid w:val="00F74052"/>
    <w:rsid w:val="00F7408D"/>
    <w:rsid w:val="00F740D0"/>
    <w:rsid w:val="00F7412F"/>
    <w:rsid w:val="00F74144"/>
    <w:rsid w:val="00F741BF"/>
    <w:rsid w:val="00F741C2"/>
    <w:rsid w:val="00F74202"/>
    <w:rsid w:val="00F74260"/>
    <w:rsid w:val="00F742B4"/>
    <w:rsid w:val="00F7435C"/>
    <w:rsid w:val="00F7436F"/>
    <w:rsid w:val="00F743D3"/>
    <w:rsid w:val="00F74465"/>
    <w:rsid w:val="00F744B7"/>
    <w:rsid w:val="00F74527"/>
    <w:rsid w:val="00F74549"/>
    <w:rsid w:val="00F74566"/>
    <w:rsid w:val="00F74570"/>
    <w:rsid w:val="00F7459D"/>
    <w:rsid w:val="00F745DB"/>
    <w:rsid w:val="00F74601"/>
    <w:rsid w:val="00F74643"/>
    <w:rsid w:val="00F74684"/>
    <w:rsid w:val="00F747A9"/>
    <w:rsid w:val="00F747C0"/>
    <w:rsid w:val="00F747CD"/>
    <w:rsid w:val="00F747DE"/>
    <w:rsid w:val="00F74850"/>
    <w:rsid w:val="00F7485E"/>
    <w:rsid w:val="00F748FA"/>
    <w:rsid w:val="00F74920"/>
    <w:rsid w:val="00F749A9"/>
    <w:rsid w:val="00F749C3"/>
    <w:rsid w:val="00F749E4"/>
    <w:rsid w:val="00F74A02"/>
    <w:rsid w:val="00F74A4F"/>
    <w:rsid w:val="00F74A8C"/>
    <w:rsid w:val="00F74AD0"/>
    <w:rsid w:val="00F74B17"/>
    <w:rsid w:val="00F74BBD"/>
    <w:rsid w:val="00F74CC2"/>
    <w:rsid w:val="00F74CC9"/>
    <w:rsid w:val="00F74CD2"/>
    <w:rsid w:val="00F74DC1"/>
    <w:rsid w:val="00F74E43"/>
    <w:rsid w:val="00F74EA8"/>
    <w:rsid w:val="00F74ECE"/>
    <w:rsid w:val="00F74EFF"/>
    <w:rsid w:val="00F74F06"/>
    <w:rsid w:val="00F74F11"/>
    <w:rsid w:val="00F74FDC"/>
    <w:rsid w:val="00F75006"/>
    <w:rsid w:val="00F75014"/>
    <w:rsid w:val="00F75026"/>
    <w:rsid w:val="00F75027"/>
    <w:rsid w:val="00F75122"/>
    <w:rsid w:val="00F75152"/>
    <w:rsid w:val="00F7525D"/>
    <w:rsid w:val="00F75272"/>
    <w:rsid w:val="00F752BD"/>
    <w:rsid w:val="00F752F5"/>
    <w:rsid w:val="00F75354"/>
    <w:rsid w:val="00F7539E"/>
    <w:rsid w:val="00F753F5"/>
    <w:rsid w:val="00F753F9"/>
    <w:rsid w:val="00F75431"/>
    <w:rsid w:val="00F7552A"/>
    <w:rsid w:val="00F755C1"/>
    <w:rsid w:val="00F7561D"/>
    <w:rsid w:val="00F75676"/>
    <w:rsid w:val="00F756F8"/>
    <w:rsid w:val="00F75702"/>
    <w:rsid w:val="00F75721"/>
    <w:rsid w:val="00F75722"/>
    <w:rsid w:val="00F7577D"/>
    <w:rsid w:val="00F7583E"/>
    <w:rsid w:val="00F75868"/>
    <w:rsid w:val="00F758D4"/>
    <w:rsid w:val="00F75951"/>
    <w:rsid w:val="00F759E7"/>
    <w:rsid w:val="00F75A03"/>
    <w:rsid w:val="00F75A1C"/>
    <w:rsid w:val="00F75A20"/>
    <w:rsid w:val="00F75A38"/>
    <w:rsid w:val="00F75A4E"/>
    <w:rsid w:val="00F75AC4"/>
    <w:rsid w:val="00F75B38"/>
    <w:rsid w:val="00F75B44"/>
    <w:rsid w:val="00F75BE0"/>
    <w:rsid w:val="00F75BF1"/>
    <w:rsid w:val="00F75BFA"/>
    <w:rsid w:val="00F75C27"/>
    <w:rsid w:val="00F75C60"/>
    <w:rsid w:val="00F75C88"/>
    <w:rsid w:val="00F75C8E"/>
    <w:rsid w:val="00F75CE0"/>
    <w:rsid w:val="00F75D0D"/>
    <w:rsid w:val="00F75D26"/>
    <w:rsid w:val="00F75D2E"/>
    <w:rsid w:val="00F75DB3"/>
    <w:rsid w:val="00F75DEE"/>
    <w:rsid w:val="00F75E10"/>
    <w:rsid w:val="00F75EC0"/>
    <w:rsid w:val="00F75ED6"/>
    <w:rsid w:val="00F75F5C"/>
    <w:rsid w:val="00F75F5E"/>
    <w:rsid w:val="00F75F78"/>
    <w:rsid w:val="00F75FF2"/>
    <w:rsid w:val="00F7600F"/>
    <w:rsid w:val="00F76098"/>
    <w:rsid w:val="00F760E5"/>
    <w:rsid w:val="00F760F1"/>
    <w:rsid w:val="00F760FB"/>
    <w:rsid w:val="00F7610F"/>
    <w:rsid w:val="00F76131"/>
    <w:rsid w:val="00F761DF"/>
    <w:rsid w:val="00F762F4"/>
    <w:rsid w:val="00F76339"/>
    <w:rsid w:val="00F7636A"/>
    <w:rsid w:val="00F7642F"/>
    <w:rsid w:val="00F764C1"/>
    <w:rsid w:val="00F765C1"/>
    <w:rsid w:val="00F7663A"/>
    <w:rsid w:val="00F7669A"/>
    <w:rsid w:val="00F76743"/>
    <w:rsid w:val="00F76857"/>
    <w:rsid w:val="00F7685E"/>
    <w:rsid w:val="00F768D3"/>
    <w:rsid w:val="00F768E5"/>
    <w:rsid w:val="00F76942"/>
    <w:rsid w:val="00F76A1B"/>
    <w:rsid w:val="00F76AA8"/>
    <w:rsid w:val="00F76AE2"/>
    <w:rsid w:val="00F76B28"/>
    <w:rsid w:val="00F76B2D"/>
    <w:rsid w:val="00F76CB4"/>
    <w:rsid w:val="00F76CD9"/>
    <w:rsid w:val="00F76D18"/>
    <w:rsid w:val="00F76D71"/>
    <w:rsid w:val="00F76D90"/>
    <w:rsid w:val="00F76DA0"/>
    <w:rsid w:val="00F76DB3"/>
    <w:rsid w:val="00F76E4C"/>
    <w:rsid w:val="00F76E59"/>
    <w:rsid w:val="00F76EBC"/>
    <w:rsid w:val="00F76EDF"/>
    <w:rsid w:val="00F76EE2"/>
    <w:rsid w:val="00F76EF4"/>
    <w:rsid w:val="00F76F11"/>
    <w:rsid w:val="00F76F79"/>
    <w:rsid w:val="00F76F86"/>
    <w:rsid w:val="00F76FB0"/>
    <w:rsid w:val="00F7700E"/>
    <w:rsid w:val="00F7703D"/>
    <w:rsid w:val="00F770AD"/>
    <w:rsid w:val="00F77107"/>
    <w:rsid w:val="00F7710F"/>
    <w:rsid w:val="00F771BD"/>
    <w:rsid w:val="00F7721B"/>
    <w:rsid w:val="00F77275"/>
    <w:rsid w:val="00F7729C"/>
    <w:rsid w:val="00F772C9"/>
    <w:rsid w:val="00F77323"/>
    <w:rsid w:val="00F77331"/>
    <w:rsid w:val="00F77335"/>
    <w:rsid w:val="00F773D3"/>
    <w:rsid w:val="00F77496"/>
    <w:rsid w:val="00F774A1"/>
    <w:rsid w:val="00F774B0"/>
    <w:rsid w:val="00F774DB"/>
    <w:rsid w:val="00F77577"/>
    <w:rsid w:val="00F7757C"/>
    <w:rsid w:val="00F77580"/>
    <w:rsid w:val="00F775B5"/>
    <w:rsid w:val="00F775C5"/>
    <w:rsid w:val="00F7760A"/>
    <w:rsid w:val="00F7763F"/>
    <w:rsid w:val="00F77673"/>
    <w:rsid w:val="00F77679"/>
    <w:rsid w:val="00F776F0"/>
    <w:rsid w:val="00F7771B"/>
    <w:rsid w:val="00F778B5"/>
    <w:rsid w:val="00F77931"/>
    <w:rsid w:val="00F7794E"/>
    <w:rsid w:val="00F779F0"/>
    <w:rsid w:val="00F77A01"/>
    <w:rsid w:val="00F77A05"/>
    <w:rsid w:val="00F77B71"/>
    <w:rsid w:val="00F77B85"/>
    <w:rsid w:val="00F77BA9"/>
    <w:rsid w:val="00F77BC1"/>
    <w:rsid w:val="00F77C6D"/>
    <w:rsid w:val="00F77C80"/>
    <w:rsid w:val="00F77C94"/>
    <w:rsid w:val="00F77C9D"/>
    <w:rsid w:val="00F77D4B"/>
    <w:rsid w:val="00F77D83"/>
    <w:rsid w:val="00F77DA9"/>
    <w:rsid w:val="00F77E1E"/>
    <w:rsid w:val="00F77E3C"/>
    <w:rsid w:val="00F77E8C"/>
    <w:rsid w:val="00F77EAD"/>
    <w:rsid w:val="00F77ED3"/>
    <w:rsid w:val="00F77F80"/>
    <w:rsid w:val="00F77FEE"/>
    <w:rsid w:val="00F80004"/>
    <w:rsid w:val="00F80065"/>
    <w:rsid w:val="00F800EA"/>
    <w:rsid w:val="00F800F5"/>
    <w:rsid w:val="00F8012F"/>
    <w:rsid w:val="00F8014C"/>
    <w:rsid w:val="00F80156"/>
    <w:rsid w:val="00F80187"/>
    <w:rsid w:val="00F801AD"/>
    <w:rsid w:val="00F8024A"/>
    <w:rsid w:val="00F80259"/>
    <w:rsid w:val="00F80288"/>
    <w:rsid w:val="00F802D0"/>
    <w:rsid w:val="00F80307"/>
    <w:rsid w:val="00F8038C"/>
    <w:rsid w:val="00F80391"/>
    <w:rsid w:val="00F80427"/>
    <w:rsid w:val="00F80432"/>
    <w:rsid w:val="00F80437"/>
    <w:rsid w:val="00F80486"/>
    <w:rsid w:val="00F8049B"/>
    <w:rsid w:val="00F804D7"/>
    <w:rsid w:val="00F8053D"/>
    <w:rsid w:val="00F80556"/>
    <w:rsid w:val="00F805CC"/>
    <w:rsid w:val="00F805F7"/>
    <w:rsid w:val="00F80727"/>
    <w:rsid w:val="00F80730"/>
    <w:rsid w:val="00F80775"/>
    <w:rsid w:val="00F807DC"/>
    <w:rsid w:val="00F80880"/>
    <w:rsid w:val="00F808BC"/>
    <w:rsid w:val="00F8092C"/>
    <w:rsid w:val="00F80982"/>
    <w:rsid w:val="00F809AB"/>
    <w:rsid w:val="00F80B24"/>
    <w:rsid w:val="00F80B3D"/>
    <w:rsid w:val="00F80B71"/>
    <w:rsid w:val="00F80B82"/>
    <w:rsid w:val="00F80CBA"/>
    <w:rsid w:val="00F80D3C"/>
    <w:rsid w:val="00F80E67"/>
    <w:rsid w:val="00F80F26"/>
    <w:rsid w:val="00F80FB3"/>
    <w:rsid w:val="00F80FBC"/>
    <w:rsid w:val="00F81026"/>
    <w:rsid w:val="00F8102F"/>
    <w:rsid w:val="00F81075"/>
    <w:rsid w:val="00F81079"/>
    <w:rsid w:val="00F810EF"/>
    <w:rsid w:val="00F81112"/>
    <w:rsid w:val="00F81139"/>
    <w:rsid w:val="00F8116F"/>
    <w:rsid w:val="00F8117D"/>
    <w:rsid w:val="00F812CF"/>
    <w:rsid w:val="00F81301"/>
    <w:rsid w:val="00F81365"/>
    <w:rsid w:val="00F813A3"/>
    <w:rsid w:val="00F813F7"/>
    <w:rsid w:val="00F81421"/>
    <w:rsid w:val="00F8142E"/>
    <w:rsid w:val="00F81472"/>
    <w:rsid w:val="00F81476"/>
    <w:rsid w:val="00F814E2"/>
    <w:rsid w:val="00F81596"/>
    <w:rsid w:val="00F815CA"/>
    <w:rsid w:val="00F8167D"/>
    <w:rsid w:val="00F816CE"/>
    <w:rsid w:val="00F817B8"/>
    <w:rsid w:val="00F81859"/>
    <w:rsid w:val="00F8189B"/>
    <w:rsid w:val="00F818AD"/>
    <w:rsid w:val="00F81992"/>
    <w:rsid w:val="00F8199E"/>
    <w:rsid w:val="00F819B8"/>
    <w:rsid w:val="00F819BC"/>
    <w:rsid w:val="00F819BE"/>
    <w:rsid w:val="00F819E1"/>
    <w:rsid w:val="00F819E6"/>
    <w:rsid w:val="00F81A40"/>
    <w:rsid w:val="00F81B9E"/>
    <w:rsid w:val="00F81BAC"/>
    <w:rsid w:val="00F81C0D"/>
    <w:rsid w:val="00F81C82"/>
    <w:rsid w:val="00F81CED"/>
    <w:rsid w:val="00F81CFE"/>
    <w:rsid w:val="00F81D65"/>
    <w:rsid w:val="00F81D93"/>
    <w:rsid w:val="00F81E78"/>
    <w:rsid w:val="00F81EB6"/>
    <w:rsid w:val="00F81F2F"/>
    <w:rsid w:val="00F81F6D"/>
    <w:rsid w:val="00F81F82"/>
    <w:rsid w:val="00F82039"/>
    <w:rsid w:val="00F8204E"/>
    <w:rsid w:val="00F820C3"/>
    <w:rsid w:val="00F82132"/>
    <w:rsid w:val="00F821A0"/>
    <w:rsid w:val="00F821B3"/>
    <w:rsid w:val="00F821F7"/>
    <w:rsid w:val="00F8232D"/>
    <w:rsid w:val="00F82357"/>
    <w:rsid w:val="00F823D0"/>
    <w:rsid w:val="00F823D8"/>
    <w:rsid w:val="00F8243A"/>
    <w:rsid w:val="00F8246E"/>
    <w:rsid w:val="00F824BA"/>
    <w:rsid w:val="00F824FC"/>
    <w:rsid w:val="00F8250D"/>
    <w:rsid w:val="00F82548"/>
    <w:rsid w:val="00F82570"/>
    <w:rsid w:val="00F8257D"/>
    <w:rsid w:val="00F8259F"/>
    <w:rsid w:val="00F825CD"/>
    <w:rsid w:val="00F825F2"/>
    <w:rsid w:val="00F82603"/>
    <w:rsid w:val="00F82609"/>
    <w:rsid w:val="00F82626"/>
    <w:rsid w:val="00F8263C"/>
    <w:rsid w:val="00F8267B"/>
    <w:rsid w:val="00F826CA"/>
    <w:rsid w:val="00F826D6"/>
    <w:rsid w:val="00F826DA"/>
    <w:rsid w:val="00F8271D"/>
    <w:rsid w:val="00F827C1"/>
    <w:rsid w:val="00F827D2"/>
    <w:rsid w:val="00F828A3"/>
    <w:rsid w:val="00F828ED"/>
    <w:rsid w:val="00F82927"/>
    <w:rsid w:val="00F82961"/>
    <w:rsid w:val="00F8297A"/>
    <w:rsid w:val="00F82982"/>
    <w:rsid w:val="00F82991"/>
    <w:rsid w:val="00F8299A"/>
    <w:rsid w:val="00F82A7F"/>
    <w:rsid w:val="00F82AB9"/>
    <w:rsid w:val="00F82B1E"/>
    <w:rsid w:val="00F82B96"/>
    <w:rsid w:val="00F82BB2"/>
    <w:rsid w:val="00F82C07"/>
    <w:rsid w:val="00F82C21"/>
    <w:rsid w:val="00F82CD9"/>
    <w:rsid w:val="00F82CFE"/>
    <w:rsid w:val="00F82D2A"/>
    <w:rsid w:val="00F82DA6"/>
    <w:rsid w:val="00F82DCE"/>
    <w:rsid w:val="00F82E8F"/>
    <w:rsid w:val="00F82F6A"/>
    <w:rsid w:val="00F82F79"/>
    <w:rsid w:val="00F82F7A"/>
    <w:rsid w:val="00F8305B"/>
    <w:rsid w:val="00F83066"/>
    <w:rsid w:val="00F83088"/>
    <w:rsid w:val="00F83194"/>
    <w:rsid w:val="00F83196"/>
    <w:rsid w:val="00F8320B"/>
    <w:rsid w:val="00F8320D"/>
    <w:rsid w:val="00F8322D"/>
    <w:rsid w:val="00F8324D"/>
    <w:rsid w:val="00F83271"/>
    <w:rsid w:val="00F83296"/>
    <w:rsid w:val="00F832E9"/>
    <w:rsid w:val="00F83306"/>
    <w:rsid w:val="00F83341"/>
    <w:rsid w:val="00F83379"/>
    <w:rsid w:val="00F833AA"/>
    <w:rsid w:val="00F833BA"/>
    <w:rsid w:val="00F834A3"/>
    <w:rsid w:val="00F8350D"/>
    <w:rsid w:val="00F8354F"/>
    <w:rsid w:val="00F83572"/>
    <w:rsid w:val="00F835D0"/>
    <w:rsid w:val="00F83602"/>
    <w:rsid w:val="00F83678"/>
    <w:rsid w:val="00F836EA"/>
    <w:rsid w:val="00F8370E"/>
    <w:rsid w:val="00F83795"/>
    <w:rsid w:val="00F837BA"/>
    <w:rsid w:val="00F83832"/>
    <w:rsid w:val="00F83893"/>
    <w:rsid w:val="00F8395F"/>
    <w:rsid w:val="00F83A12"/>
    <w:rsid w:val="00F83A7C"/>
    <w:rsid w:val="00F83ABE"/>
    <w:rsid w:val="00F83AC5"/>
    <w:rsid w:val="00F83AEA"/>
    <w:rsid w:val="00F83AED"/>
    <w:rsid w:val="00F83C54"/>
    <w:rsid w:val="00F83C98"/>
    <w:rsid w:val="00F83D1A"/>
    <w:rsid w:val="00F83D63"/>
    <w:rsid w:val="00F83DC8"/>
    <w:rsid w:val="00F83E12"/>
    <w:rsid w:val="00F83EAA"/>
    <w:rsid w:val="00F83EB3"/>
    <w:rsid w:val="00F83F3B"/>
    <w:rsid w:val="00F83F52"/>
    <w:rsid w:val="00F83FB3"/>
    <w:rsid w:val="00F83FEB"/>
    <w:rsid w:val="00F8402F"/>
    <w:rsid w:val="00F84041"/>
    <w:rsid w:val="00F8404A"/>
    <w:rsid w:val="00F840F5"/>
    <w:rsid w:val="00F841AB"/>
    <w:rsid w:val="00F841FE"/>
    <w:rsid w:val="00F8423D"/>
    <w:rsid w:val="00F84404"/>
    <w:rsid w:val="00F84405"/>
    <w:rsid w:val="00F8443D"/>
    <w:rsid w:val="00F8447F"/>
    <w:rsid w:val="00F844B7"/>
    <w:rsid w:val="00F84536"/>
    <w:rsid w:val="00F84578"/>
    <w:rsid w:val="00F8457B"/>
    <w:rsid w:val="00F845A3"/>
    <w:rsid w:val="00F84724"/>
    <w:rsid w:val="00F84756"/>
    <w:rsid w:val="00F8475C"/>
    <w:rsid w:val="00F847F3"/>
    <w:rsid w:val="00F8480C"/>
    <w:rsid w:val="00F8484B"/>
    <w:rsid w:val="00F848A4"/>
    <w:rsid w:val="00F848BA"/>
    <w:rsid w:val="00F848F5"/>
    <w:rsid w:val="00F848FB"/>
    <w:rsid w:val="00F84914"/>
    <w:rsid w:val="00F84919"/>
    <w:rsid w:val="00F84945"/>
    <w:rsid w:val="00F84954"/>
    <w:rsid w:val="00F84994"/>
    <w:rsid w:val="00F849C5"/>
    <w:rsid w:val="00F849CC"/>
    <w:rsid w:val="00F849D7"/>
    <w:rsid w:val="00F84A24"/>
    <w:rsid w:val="00F84A3F"/>
    <w:rsid w:val="00F84AC8"/>
    <w:rsid w:val="00F84B69"/>
    <w:rsid w:val="00F84B86"/>
    <w:rsid w:val="00F84BBE"/>
    <w:rsid w:val="00F84C28"/>
    <w:rsid w:val="00F84C3D"/>
    <w:rsid w:val="00F84C91"/>
    <w:rsid w:val="00F84D51"/>
    <w:rsid w:val="00F84ECD"/>
    <w:rsid w:val="00F84EE9"/>
    <w:rsid w:val="00F84FA4"/>
    <w:rsid w:val="00F84FAA"/>
    <w:rsid w:val="00F84FDF"/>
    <w:rsid w:val="00F85010"/>
    <w:rsid w:val="00F85092"/>
    <w:rsid w:val="00F85095"/>
    <w:rsid w:val="00F85120"/>
    <w:rsid w:val="00F85128"/>
    <w:rsid w:val="00F851A2"/>
    <w:rsid w:val="00F851C6"/>
    <w:rsid w:val="00F852B4"/>
    <w:rsid w:val="00F85312"/>
    <w:rsid w:val="00F8535B"/>
    <w:rsid w:val="00F85480"/>
    <w:rsid w:val="00F85617"/>
    <w:rsid w:val="00F8563F"/>
    <w:rsid w:val="00F8567C"/>
    <w:rsid w:val="00F856C0"/>
    <w:rsid w:val="00F857A1"/>
    <w:rsid w:val="00F85874"/>
    <w:rsid w:val="00F85879"/>
    <w:rsid w:val="00F85895"/>
    <w:rsid w:val="00F8596C"/>
    <w:rsid w:val="00F85A0B"/>
    <w:rsid w:val="00F85A22"/>
    <w:rsid w:val="00F85A47"/>
    <w:rsid w:val="00F85A76"/>
    <w:rsid w:val="00F85AC6"/>
    <w:rsid w:val="00F85B40"/>
    <w:rsid w:val="00F85BE2"/>
    <w:rsid w:val="00F85BF4"/>
    <w:rsid w:val="00F85C13"/>
    <w:rsid w:val="00F85C1D"/>
    <w:rsid w:val="00F85C41"/>
    <w:rsid w:val="00F85CA6"/>
    <w:rsid w:val="00F85D71"/>
    <w:rsid w:val="00F85E28"/>
    <w:rsid w:val="00F85F10"/>
    <w:rsid w:val="00F85F39"/>
    <w:rsid w:val="00F85F46"/>
    <w:rsid w:val="00F85F4C"/>
    <w:rsid w:val="00F85FE2"/>
    <w:rsid w:val="00F85FF5"/>
    <w:rsid w:val="00F86059"/>
    <w:rsid w:val="00F8605E"/>
    <w:rsid w:val="00F86063"/>
    <w:rsid w:val="00F8606C"/>
    <w:rsid w:val="00F860F1"/>
    <w:rsid w:val="00F861B8"/>
    <w:rsid w:val="00F861C5"/>
    <w:rsid w:val="00F862E3"/>
    <w:rsid w:val="00F862EF"/>
    <w:rsid w:val="00F863C6"/>
    <w:rsid w:val="00F863EE"/>
    <w:rsid w:val="00F86402"/>
    <w:rsid w:val="00F86447"/>
    <w:rsid w:val="00F8646F"/>
    <w:rsid w:val="00F865D7"/>
    <w:rsid w:val="00F865D9"/>
    <w:rsid w:val="00F86625"/>
    <w:rsid w:val="00F86662"/>
    <w:rsid w:val="00F866E4"/>
    <w:rsid w:val="00F866F8"/>
    <w:rsid w:val="00F86706"/>
    <w:rsid w:val="00F86719"/>
    <w:rsid w:val="00F86766"/>
    <w:rsid w:val="00F86770"/>
    <w:rsid w:val="00F8677C"/>
    <w:rsid w:val="00F867BE"/>
    <w:rsid w:val="00F867CC"/>
    <w:rsid w:val="00F867CF"/>
    <w:rsid w:val="00F867F9"/>
    <w:rsid w:val="00F86846"/>
    <w:rsid w:val="00F86857"/>
    <w:rsid w:val="00F868CF"/>
    <w:rsid w:val="00F868EE"/>
    <w:rsid w:val="00F86909"/>
    <w:rsid w:val="00F86954"/>
    <w:rsid w:val="00F8695E"/>
    <w:rsid w:val="00F8696B"/>
    <w:rsid w:val="00F86978"/>
    <w:rsid w:val="00F8697B"/>
    <w:rsid w:val="00F86A43"/>
    <w:rsid w:val="00F86A87"/>
    <w:rsid w:val="00F86ADF"/>
    <w:rsid w:val="00F86AF8"/>
    <w:rsid w:val="00F86B1F"/>
    <w:rsid w:val="00F86CC3"/>
    <w:rsid w:val="00F86DA6"/>
    <w:rsid w:val="00F86EB5"/>
    <w:rsid w:val="00F86F29"/>
    <w:rsid w:val="00F86F4D"/>
    <w:rsid w:val="00F86FB6"/>
    <w:rsid w:val="00F87030"/>
    <w:rsid w:val="00F87036"/>
    <w:rsid w:val="00F8703C"/>
    <w:rsid w:val="00F870B7"/>
    <w:rsid w:val="00F8712F"/>
    <w:rsid w:val="00F871CE"/>
    <w:rsid w:val="00F8723C"/>
    <w:rsid w:val="00F8727C"/>
    <w:rsid w:val="00F872A1"/>
    <w:rsid w:val="00F872BF"/>
    <w:rsid w:val="00F87311"/>
    <w:rsid w:val="00F87404"/>
    <w:rsid w:val="00F87484"/>
    <w:rsid w:val="00F8750B"/>
    <w:rsid w:val="00F87591"/>
    <w:rsid w:val="00F875A0"/>
    <w:rsid w:val="00F87610"/>
    <w:rsid w:val="00F8762C"/>
    <w:rsid w:val="00F87655"/>
    <w:rsid w:val="00F87658"/>
    <w:rsid w:val="00F8767B"/>
    <w:rsid w:val="00F876B1"/>
    <w:rsid w:val="00F876C5"/>
    <w:rsid w:val="00F876EF"/>
    <w:rsid w:val="00F8770C"/>
    <w:rsid w:val="00F87975"/>
    <w:rsid w:val="00F87989"/>
    <w:rsid w:val="00F87A25"/>
    <w:rsid w:val="00F87A9D"/>
    <w:rsid w:val="00F87AAB"/>
    <w:rsid w:val="00F87AB3"/>
    <w:rsid w:val="00F87ACE"/>
    <w:rsid w:val="00F87B0D"/>
    <w:rsid w:val="00F87B14"/>
    <w:rsid w:val="00F87B73"/>
    <w:rsid w:val="00F87C2D"/>
    <w:rsid w:val="00F87C5D"/>
    <w:rsid w:val="00F87CAB"/>
    <w:rsid w:val="00F87D18"/>
    <w:rsid w:val="00F87D71"/>
    <w:rsid w:val="00F87D7C"/>
    <w:rsid w:val="00F87DA2"/>
    <w:rsid w:val="00F87DAE"/>
    <w:rsid w:val="00F87DAF"/>
    <w:rsid w:val="00F87DBD"/>
    <w:rsid w:val="00F87DD6"/>
    <w:rsid w:val="00F87DD8"/>
    <w:rsid w:val="00F87E2A"/>
    <w:rsid w:val="00F87E34"/>
    <w:rsid w:val="00F87E67"/>
    <w:rsid w:val="00F87EC3"/>
    <w:rsid w:val="00F87EFD"/>
    <w:rsid w:val="00F87F72"/>
    <w:rsid w:val="00F87FAF"/>
    <w:rsid w:val="00F87FDD"/>
    <w:rsid w:val="00F90043"/>
    <w:rsid w:val="00F90047"/>
    <w:rsid w:val="00F90063"/>
    <w:rsid w:val="00F90090"/>
    <w:rsid w:val="00F900C5"/>
    <w:rsid w:val="00F90182"/>
    <w:rsid w:val="00F9019E"/>
    <w:rsid w:val="00F901E1"/>
    <w:rsid w:val="00F902A4"/>
    <w:rsid w:val="00F90334"/>
    <w:rsid w:val="00F9037B"/>
    <w:rsid w:val="00F903A3"/>
    <w:rsid w:val="00F90419"/>
    <w:rsid w:val="00F90497"/>
    <w:rsid w:val="00F904A0"/>
    <w:rsid w:val="00F904FF"/>
    <w:rsid w:val="00F90526"/>
    <w:rsid w:val="00F90533"/>
    <w:rsid w:val="00F905E7"/>
    <w:rsid w:val="00F90655"/>
    <w:rsid w:val="00F906A2"/>
    <w:rsid w:val="00F906D3"/>
    <w:rsid w:val="00F906D7"/>
    <w:rsid w:val="00F907F3"/>
    <w:rsid w:val="00F90A1B"/>
    <w:rsid w:val="00F90A22"/>
    <w:rsid w:val="00F90A5A"/>
    <w:rsid w:val="00F90A5B"/>
    <w:rsid w:val="00F90AC1"/>
    <w:rsid w:val="00F90AC7"/>
    <w:rsid w:val="00F90B09"/>
    <w:rsid w:val="00F90B32"/>
    <w:rsid w:val="00F90B82"/>
    <w:rsid w:val="00F90B9E"/>
    <w:rsid w:val="00F90C83"/>
    <w:rsid w:val="00F90E84"/>
    <w:rsid w:val="00F90EB2"/>
    <w:rsid w:val="00F90EC3"/>
    <w:rsid w:val="00F90EF3"/>
    <w:rsid w:val="00F90F2D"/>
    <w:rsid w:val="00F90FD8"/>
    <w:rsid w:val="00F90FFE"/>
    <w:rsid w:val="00F910B3"/>
    <w:rsid w:val="00F910EA"/>
    <w:rsid w:val="00F9117C"/>
    <w:rsid w:val="00F91180"/>
    <w:rsid w:val="00F911E0"/>
    <w:rsid w:val="00F912AD"/>
    <w:rsid w:val="00F912AF"/>
    <w:rsid w:val="00F912D9"/>
    <w:rsid w:val="00F912E7"/>
    <w:rsid w:val="00F912F1"/>
    <w:rsid w:val="00F9132A"/>
    <w:rsid w:val="00F91350"/>
    <w:rsid w:val="00F913FC"/>
    <w:rsid w:val="00F914A6"/>
    <w:rsid w:val="00F914E7"/>
    <w:rsid w:val="00F91596"/>
    <w:rsid w:val="00F915B0"/>
    <w:rsid w:val="00F915F8"/>
    <w:rsid w:val="00F915FC"/>
    <w:rsid w:val="00F9172B"/>
    <w:rsid w:val="00F91844"/>
    <w:rsid w:val="00F91893"/>
    <w:rsid w:val="00F9192E"/>
    <w:rsid w:val="00F9197F"/>
    <w:rsid w:val="00F91A05"/>
    <w:rsid w:val="00F91A38"/>
    <w:rsid w:val="00F91AC6"/>
    <w:rsid w:val="00F91B55"/>
    <w:rsid w:val="00F91B5A"/>
    <w:rsid w:val="00F91B63"/>
    <w:rsid w:val="00F91B6A"/>
    <w:rsid w:val="00F91B7A"/>
    <w:rsid w:val="00F91B8B"/>
    <w:rsid w:val="00F91BE3"/>
    <w:rsid w:val="00F91C02"/>
    <w:rsid w:val="00F91C37"/>
    <w:rsid w:val="00F91CEC"/>
    <w:rsid w:val="00F91D04"/>
    <w:rsid w:val="00F91D15"/>
    <w:rsid w:val="00F91D79"/>
    <w:rsid w:val="00F91D8B"/>
    <w:rsid w:val="00F91D90"/>
    <w:rsid w:val="00F91DA7"/>
    <w:rsid w:val="00F91DE0"/>
    <w:rsid w:val="00F91DF7"/>
    <w:rsid w:val="00F91E69"/>
    <w:rsid w:val="00F91E8B"/>
    <w:rsid w:val="00F91EA7"/>
    <w:rsid w:val="00F91EB8"/>
    <w:rsid w:val="00F91EFF"/>
    <w:rsid w:val="00F91F07"/>
    <w:rsid w:val="00F91F17"/>
    <w:rsid w:val="00F91F65"/>
    <w:rsid w:val="00F91F8B"/>
    <w:rsid w:val="00F91F8C"/>
    <w:rsid w:val="00F91FC8"/>
    <w:rsid w:val="00F92013"/>
    <w:rsid w:val="00F92063"/>
    <w:rsid w:val="00F9207B"/>
    <w:rsid w:val="00F920A3"/>
    <w:rsid w:val="00F920C8"/>
    <w:rsid w:val="00F920E4"/>
    <w:rsid w:val="00F920FF"/>
    <w:rsid w:val="00F92136"/>
    <w:rsid w:val="00F92154"/>
    <w:rsid w:val="00F9215F"/>
    <w:rsid w:val="00F921AC"/>
    <w:rsid w:val="00F92226"/>
    <w:rsid w:val="00F9224A"/>
    <w:rsid w:val="00F9225A"/>
    <w:rsid w:val="00F9226F"/>
    <w:rsid w:val="00F922AB"/>
    <w:rsid w:val="00F9236D"/>
    <w:rsid w:val="00F92379"/>
    <w:rsid w:val="00F9238D"/>
    <w:rsid w:val="00F923E2"/>
    <w:rsid w:val="00F92460"/>
    <w:rsid w:val="00F92475"/>
    <w:rsid w:val="00F924F3"/>
    <w:rsid w:val="00F92551"/>
    <w:rsid w:val="00F925BC"/>
    <w:rsid w:val="00F925BD"/>
    <w:rsid w:val="00F92668"/>
    <w:rsid w:val="00F92686"/>
    <w:rsid w:val="00F92744"/>
    <w:rsid w:val="00F9274E"/>
    <w:rsid w:val="00F92803"/>
    <w:rsid w:val="00F92827"/>
    <w:rsid w:val="00F92859"/>
    <w:rsid w:val="00F9286D"/>
    <w:rsid w:val="00F92884"/>
    <w:rsid w:val="00F928E9"/>
    <w:rsid w:val="00F9291F"/>
    <w:rsid w:val="00F929AA"/>
    <w:rsid w:val="00F929AE"/>
    <w:rsid w:val="00F92A13"/>
    <w:rsid w:val="00F92A87"/>
    <w:rsid w:val="00F92A91"/>
    <w:rsid w:val="00F92AAA"/>
    <w:rsid w:val="00F92AF6"/>
    <w:rsid w:val="00F92B2F"/>
    <w:rsid w:val="00F92C49"/>
    <w:rsid w:val="00F92C5A"/>
    <w:rsid w:val="00F92CE9"/>
    <w:rsid w:val="00F92D08"/>
    <w:rsid w:val="00F92D52"/>
    <w:rsid w:val="00F92D6A"/>
    <w:rsid w:val="00F92E5C"/>
    <w:rsid w:val="00F92EAE"/>
    <w:rsid w:val="00F92EF4"/>
    <w:rsid w:val="00F92F0D"/>
    <w:rsid w:val="00F92F3A"/>
    <w:rsid w:val="00F92F57"/>
    <w:rsid w:val="00F92F59"/>
    <w:rsid w:val="00F92F69"/>
    <w:rsid w:val="00F92F96"/>
    <w:rsid w:val="00F930D3"/>
    <w:rsid w:val="00F930E0"/>
    <w:rsid w:val="00F9317C"/>
    <w:rsid w:val="00F9317D"/>
    <w:rsid w:val="00F931B5"/>
    <w:rsid w:val="00F931E1"/>
    <w:rsid w:val="00F93281"/>
    <w:rsid w:val="00F932DE"/>
    <w:rsid w:val="00F93300"/>
    <w:rsid w:val="00F93323"/>
    <w:rsid w:val="00F933A2"/>
    <w:rsid w:val="00F933BC"/>
    <w:rsid w:val="00F934A1"/>
    <w:rsid w:val="00F934C6"/>
    <w:rsid w:val="00F934CA"/>
    <w:rsid w:val="00F934F7"/>
    <w:rsid w:val="00F9351F"/>
    <w:rsid w:val="00F93542"/>
    <w:rsid w:val="00F937C7"/>
    <w:rsid w:val="00F937E1"/>
    <w:rsid w:val="00F938E8"/>
    <w:rsid w:val="00F9397C"/>
    <w:rsid w:val="00F939FE"/>
    <w:rsid w:val="00F93A16"/>
    <w:rsid w:val="00F93A28"/>
    <w:rsid w:val="00F93A49"/>
    <w:rsid w:val="00F93AAD"/>
    <w:rsid w:val="00F93AFD"/>
    <w:rsid w:val="00F93B35"/>
    <w:rsid w:val="00F93B60"/>
    <w:rsid w:val="00F93B74"/>
    <w:rsid w:val="00F93BA9"/>
    <w:rsid w:val="00F93BAB"/>
    <w:rsid w:val="00F93C18"/>
    <w:rsid w:val="00F93C3B"/>
    <w:rsid w:val="00F93C3F"/>
    <w:rsid w:val="00F93C48"/>
    <w:rsid w:val="00F93CBC"/>
    <w:rsid w:val="00F93D43"/>
    <w:rsid w:val="00F93D6A"/>
    <w:rsid w:val="00F93DA7"/>
    <w:rsid w:val="00F93DE5"/>
    <w:rsid w:val="00F93E01"/>
    <w:rsid w:val="00F93E97"/>
    <w:rsid w:val="00F93EAA"/>
    <w:rsid w:val="00F94013"/>
    <w:rsid w:val="00F94061"/>
    <w:rsid w:val="00F9406D"/>
    <w:rsid w:val="00F9422C"/>
    <w:rsid w:val="00F942BA"/>
    <w:rsid w:val="00F942E9"/>
    <w:rsid w:val="00F9430F"/>
    <w:rsid w:val="00F9431D"/>
    <w:rsid w:val="00F9445F"/>
    <w:rsid w:val="00F94465"/>
    <w:rsid w:val="00F944DB"/>
    <w:rsid w:val="00F945AD"/>
    <w:rsid w:val="00F946E0"/>
    <w:rsid w:val="00F94725"/>
    <w:rsid w:val="00F94752"/>
    <w:rsid w:val="00F947A0"/>
    <w:rsid w:val="00F94891"/>
    <w:rsid w:val="00F948BE"/>
    <w:rsid w:val="00F948E3"/>
    <w:rsid w:val="00F94937"/>
    <w:rsid w:val="00F94940"/>
    <w:rsid w:val="00F9497C"/>
    <w:rsid w:val="00F949FF"/>
    <w:rsid w:val="00F94BCC"/>
    <w:rsid w:val="00F94C65"/>
    <w:rsid w:val="00F94CC8"/>
    <w:rsid w:val="00F94D21"/>
    <w:rsid w:val="00F94D5A"/>
    <w:rsid w:val="00F94E1F"/>
    <w:rsid w:val="00F94E3E"/>
    <w:rsid w:val="00F94F52"/>
    <w:rsid w:val="00F94F76"/>
    <w:rsid w:val="00F94F8B"/>
    <w:rsid w:val="00F9505A"/>
    <w:rsid w:val="00F950FA"/>
    <w:rsid w:val="00F95186"/>
    <w:rsid w:val="00F95191"/>
    <w:rsid w:val="00F951D8"/>
    <w:rsid w:val="00F952B5"/>
    <w:rsid w:val="00F952E6"/>
    <w:rsid w:val="00F95361"/>
    <w:rsid w:val="00F9539D"/>
    <w:rsid w:val="00F953D8"/>
    <w:rsid w:val="00F953E0"/>
    <w:rsid w:val="00F95430"/>
    <w:rsid w:val="00F95435"/>
    <w:rsid w:val="00F954A3"/>
    <w:rsid w:val="00F954A6"/>
    <w:rsid w:val="00F954DD"/>
    <w:rsid w:val="00F954E3"/>
    <w:rsid w:val="00F954F4"/>
    <w:rsid w:val="00F95531"/>
    <w:rsid w:val="00F95569"/>
    <w:rsid w:val="00F955B0"/>
    <w:rsid w:val="00F955BB"/>
    <w:rsid w:val="00F955F8"/>
    <w:rsid w:val="00F9564F"/>
    <w:rsid w:val="00F95659"/>
    <w:rsid w:val="00F956A6"/>
    <w:rsid w:val="00F956D9"/>
    <w:rsid w:val="00F957B0"/>
    <w:rsid w:val="00F957C8"/>
    <w:rsid w:val="00F957F6"/>
    <w:rsid w:val="00F95803"/>
    <w:rsid w:val="00F95821"/>
    <w:rsid w:val="00F9582C"/>
    <w:rsid w:val="00F958EA"/>
    <w:rsid w:val="00F9596D"/>
    <w:rsid w:val="00F959CA"/>
    <w:rsid w:val="00F95A15"/>
    <w:rsid w:val="00F95B0E"/>
    <w:rsid w:val="00F95B6F"/>
    <w:rsid w:val="00F95B7D"/>
    <w:rsid w:val="00F95BBA"/>
    <w:rsid w:val="00F95CDA"/>
    <w:rsid w:val="00F95D5F"/>
    <w:rsid w:val="00F95DA3"/>
    <w:rsid w:val="00F95DBC"/>
    <w:rsid w:val="00F95E57"/>
    <w:rsid w:val="00F95FC3"/>
    <w:rsid w:val="00F9600A"/>
    <w:rsid w:val="00F96090"/>
    <w:rsid w:val="00F96091"/>
    <w:rsid w:val="00F9609B"/>
    <w:rsid w:val="00F96272"/>
    <w:rsid w:val="00F96273"/>
    <w:rsid w:val="00F96291"/>
    <w:rsid w:val="00F963F3"/>
    <w:rsid w:val="00F96429"/>
    <w:rsid w:val="00F96443"/>
    <w:rsid w:val="00F964EB"/>
    <w:rsid w:val="00F96549"/>
    <w:rsid w:val="00F9656B"/>
    <w:rsid w:val="00F96576"/>
    <w:rsid w:val="00F9658D"/>
    <w:rsid w:val="00F96591"/>
    <w:rsid w:val="00F9668A"/>
    <w:rsid w:val="00F966F9"/>
    <w:rsid w:val="00F9673F"/>
    <w:rsid w:val="00F9678E"/>
    <w:rsid w:val="00F967FB"/>
    <w:rsid w:val="00F967FC"/>
    <w:rsid w:val="00F96815"/>
    <w:rsid w:val="00F9681E"/>
    <w:rsid w:val="00F968CA"/>
    <w:rsid w:val="00F9696F"/>
    <w:rsid w:val="00F9699C"/>
    <w:rsid w:val="00F969B3"/>
    <w:rsid w:val="00F969DB"/>
    <w:rsid w:val="00F969F4"/>
    <w:rsid w:val="00F969FD"/>
    <w:rsid w:val="00F96AFB"/>
    <w:rsid w:val="00F96B13"/>
    <w:rsid w:val="00F96B34"/>
    <w:rsid w:val="00F96B6C"/>
    <w:rsid w:val="00F96B7A"/>
    <w:rsid w:val="00F96B99"/>
    <w:rsid w:val="00F96BB9"/>
    <w:rsid w:val="00F96C92"/>
    <w:rsid w:val="00F96CBE"/>
    <w:rsid w:val="00F96D00"/>
    <w:rsid w:val="00F96D06"/>
    <w:rsid w:val="00F96D59"/>
    <w:rsid w:val="00F96D77"/>
    <w:rsid w:val="00F96DB8"/>
    <w:rsid w:val="00F96DBF"/>
    <w:rsid w:val="00F96DDF"/>
    <w:rsid w:val="00F96E27"/>
    <w:rsid w:val="00F96ED2"/>
    <w:rsid w:val="00F97083"/>
    <w:rsid w:val="00F970B9"/>
    <w:rsid w:val="00F970BB"/>
    <w:rsid w:val="00F97113"/>
    <w:rsid w:val="00F9711D"/>
    <w:rsid w:val="00F97135"/>
    <w:rsid w:val="00F97136"/>
    <w:rsid w:val="00F9716D"/>
    <w:rsid w:val="00F971FB"/>
    <w:rsid w:val="00F97231"/>
    <w:rsid w:val="00F972A0"/>
    <w:rsid w:val="00F972A9"/>
    <w:rsid w:val="00F972CC"/>
    <w:rsid w:val="00F973B0"/>
    <w:rsid w:val="00F973C1"/>
    <w:rsid w:val="00F973EF"/>
    <w:rsid w:val="00F97495"/>
    <w:rsid w:val="00F974E5"/>
    <w:rsid w:val="00F97509"/>
    <w:rsid w:val="00F97531"/>
    <w:rsid w:val="00F97558"/>
    <w:rsid w:val="00F97595"/>
    <w:rsid w:val="00F975B3"/>
    <w:rsid w:val="00F9761D"/>
    <w:rsid w:val="00F97626"/>
    <w:rsid w:val="00F97641"/>
    <w:rsid w:val="00F97649"/>
    <w:rsid w:val="00F9773B"/>
    <w:rsid w:val="00F9782E"/>
    <w:rsid w:val="00F978EA"/>
    <w:rsid w:val="00F97970"/>
    <w:rsid w:val="00F979E6"/>
    <w:rsid w:val="00F97A22"/>
    <w:rsid w:val="00F97AAB"/>
    <w:rsid w:val="00F97AC3"/>
    <w:rsid w:val="00F97B41"/>
    <w:rsid w:val="00F97B86"/>
    <w:rsid w:val="00F97CA7"/>
    <w:rsid w:val="00F97CAC"/>
    <w:rsid w:val="00F97CE6"/>
    <w:rsid w:val="00F97D87"/>
    <w:rsid w:val="00F97DA5"/>
    <w:rsid w:val="00F97DE1"/>
    <w:rsid w:val="00F97DE8"/>
    <w:rsid w:val="00F97E5A"/>
    <w:rsid w:val="00F97FE6"/>
    <w:rsid w:val="00F97FFB"/>
    <w:rsid w:val="00FA006D"/>
    <w:rsid w:val="00FA0083"/>
    <w:rsid w:val="00FA008B"/>
    <w:rsid w:val="00FA00A9"/>
    <w:rsid w:val="00FA00C8"/>
    <w:rsid w:val="00FA0120"/>
    <w:rsid w:val="00FA0143"/>
    <w:rsid w:val="00FA0159"/>
    <w:rsid w:val="00FA01A6"/>
    <w:rsid w:val="00FA02E4"/>
    <w:rsid w:val="00FA0315"/>
    <w:rsid w:val="00FA0329"/>
    <w:rsid w:val="00FA033A"/>
    <w:rsid w:val="00FA0358"/>
    <w:rsid w:val="00FA0462"/>
    <w:rsid w:val="00FA0486"/>
    <w:rsid w:val="00FA04A7"/>
    <w:rsid w:val="00FA0539"/>
    <w:rsid w:val="00FA05C3"/>
    <w:rsid w:val="00FA06BB"/>
    <w:rsid w:val="00FA077C"/>
    <w:rsid w:val="00FA07AC"/>
    <w:rsid w:val="00FA07CD"/>
    <w:rsid w:val="00FA084B"/>
    <w:rsid w:val="00FA0853"/>
    <w:rsid w:val="00FA0854"/>
    <w:rsid w:val="00FA0898"/>
    <w:rsid w:val="00FA08C0"/>
    <w:rsid w:val="00FA0944"/>
    <w:rsid w:val="00FA0954"/>
    <w:rsid w:val="00FA0A57"/>
    <w:rsid w:val="00FA0AF6"/>
    <w:rsid w:val="00FA0B1A"/>
    <w:rsid w:val="00FA0B66"/>
    <w:rsid w:val="00FA0B70"/>
    <w:rsid w:val="00FA0B78"/>
    <w:rsid w:val="00FA0B9A"/>
    <w:rsid w:val="00FA0BBD"/>
    <w:rsid w:val="00FA0BD9"/>
    <w:rsid w:val="00FA0C19"/>
    <w:rsid w:val="00FA0CDA"/>
    <w:rsid w:val="00FA0CF3"/>
    <w:rsid w:val="00FA0D5A"/>
    <w:rsid w:val="00FA0DBC"/>
    <w:rsid w:val="00FA0DE5"/>
    <w:rsid w:val="00FA0E87"/>
    <w:rsid w:val="00FA0E95"/>
    <w:rsid w:val="00FA0EA3"/>
    <w:rsid w:val="00FA0F01"/>
    <w:rsid w:val="00FA0F1A"/>
    <w:rsid w:val="00FA0F4C"/>
    <w:rsid w:val="00FA0F95"/>
    <w:rsid w:val="00FA0FA6"/>
    <w:rsid w:val="00FA1037"/>
    <w:rsid w:val="00FA10D7"/>
    <w:rsid w:val="00FA118F"/>
    <w:rsid w:val="00FA11B7"/>
    <w:rsid w:val="00FA11CA"/>
    <w:rsid w:val="00FA11DD"/>
    <w:rsid w:val="00FA120B"/>
    <w:rsid w:val="00FA1278"/>
    <w:rsid w:val="00FA12D0"/>
    <w:rsid w:val="00FA12F5"/>
    <w:rsid w:val="00FA131C"/>
    <w:rsid w:val="00FA136B"/>
    <w:rsid w:val="00FA139E"/>
    <w:rsid w:val="00FA13C7"/>
    <w:rsid w:val="00FA143F"/>
    <w:rsid w:val="00FA1447"/>
    <w:rsid w:val="00FA151D"/>
    <w:rsid w:val="00FA1531"/>
    <w:rsid w:val="00FA15D5"/>
    <w:rsid w:val="00FA1675"/>
    <w:rsid w:val="00FA16DC"/>
    <w:rsid w:val="00FA1734"/>
    <w:rsid w:val="00FA17BF"/>
    <w:rsid w:val="00FA17D5"/>
    <w:rsid w:val="00FA184D"/>
    <w:rsid w:val="00FA185C"/>
    <w:rsid w:val="00FA1896"/>
    <w:rsid w:val="00FA18FA"/>
    <w:rsid w:val="00FA1B89"/>
    <w:rsid w:val="00FA1BBC"/>
    <w:rsid w:val="00FA1BD1"/>
    <w:rsid w:val="00FA1DC1"/>
    <w:rsid w:val="00FA1DCA"/>
    <w:rsid w:val="00FA1DE4"/>
    <w:rsid w:val="00FA1E38"/>
    <w:rsid w:val="00FA1EE1"/>
    <w:rsid w:val="00FA1EFA"/>
    <w:rsid w:val="00FA1FBC"/>
    <w:rsid w:val="00FA2011"/>
    <w:rsid w:val="00FA2089"/>
    <w:rsid w:val="00FA20B1"/>
    <w:rsid w:val="00FA21A0"/>
    <w:rsid w:val="00FA21B7"/>
    <w:rsid w:val="00FA21DA"/>
    <w:rsid w:val="00FA21FB"/>
    <w:rsid w:val="00FA220D"/>
    <w:rsid w:val="00FA2234"/>
    <w:rsid w:val="00FA2248"/>
    <w:rsid w:val="00FA225E"/>
    <w:rsid w:val="00FA226C"/>
    <w:rsid w:val="00FA22B8"/>
    <w:rsid w:val="00FA2372"/>
    <w:rsid w:val="00FA240C"/>
    <w:rsid w:val="00FA2411"/>
    <w:rsid w:val="00FA2483"/>
    <w:rsid w:val="00FA24D4"/>
    <w:rsid w:val="00FA2583"/>
    <w:rsid w:val="00FA2662"/>
    <w:rsid w:val="00FA26E3"/>
    <w:rsid w:val="00FA26E8"/>
    <w:rsid w:val="00FA26F4"/>
    <w:rsid w:val="00FA2746"/>
    <w:rsid w:val="00FA2759"/>
    <w:rsid w:val="00FA2789"/>
    <w:rsid w:val="00FA2807"/>
    <w:rsid w:val="00FA28AA"/>
    <w:rsid w:val="00FA28BC"/>
    <w:rsid w:val="00FA2913"/>
    <w:rsid w:val="00FA2972"/>
    <w:rsid w:val="00FA29BE"/>
    <w:rsid w:val="00FA29EE"/>
    <w:rsid w:val="00FA2A2A"/>
    <w:rsid w:val="00FA2A2C"/>
    <w:rsid w:val="00FA2A7E"/>
    <w:rsid w:val="00FA2B13"/>
    <w:rsid w:val="00FA2B8D"/>
    <w:rsid w:val="00FA2B9E"/>
    <w:rsid w:val="00FA2BD2"/>
    <w:rsid w:val="00FA2BDB"/>
    <w:rsid w:val="00FA2C1D"/>
    <w:rsid w:val="00FA2CDE"/>
    <w:rsid w:val="00FA2D6E"/>
    <w:rsid w:val="00FA2D91"/>
    <w:rsid w:val="00FA2DD5"/>
    <w:rsid w:val="00FA2E37"/>
    <w:rsid w:val="00FA2E3B"/>
    <w:rsid w:val="00FA2E40"/>
    <w:rsid w:val="00FA2E6A"/>
    <w:rsid w:val="00FA2EA2"/>
    <w:rsid w:val="00FA2F35"/>
    <w:rsid w:val="00FA2F3C"/>
    <w:rsid w:val="00FA2F44"/>
    <w:rsid w:val="00FA2F49"/>
    <w:rsid w:val="00FA2F87"/>
    <w:rsid w:val="00FA2F9D"/>
    <w:rsid w:val="00FA2FF6"/>
    <w:rsid w:val="00FA3037"/>
    <w:rsid w:val="00FA3060"/>
    <w:rsid w:val="00FA3065"/>
    <w:rsid w:val="00FA3066"/>
    <w:rsid w:val="00FA3092"/>
    <w:rsid w:val="00FA30AC"/>
    <w:rsid w:val="00FA3104"/>
    <w:rsid w:val="00FA32E6"/>
    <w:rsid w:val="00FA3344"/>
    <w:rsid w:val="00FA335B"/>
    <w:rsid w:val="00FA33DA"/>
    <w:rsid w:val="00FA3410"/>
    <w:rsid w:val="00FA34D3"/>
    <w:rsid w:val="00FA3521"/>
    <w:rsid w:val="00FA3581"/>
    <w:rsid w:val="00FA35D7"/>
    <w:rsid w:val="00FA35F8"/>
    <w:rsid w:val="00FA3635"/>
    <w:rsid w:val="00FA363C"/>
    <w:rsid w:val="00FA364B"/>
    <w:rsid w:val="00FA3685"/>
    <w:rsid w:val="00FA3688"/>
    <w:rsid w:val="00FA3753"/>
    <w:rsid w:val="00FA378D"/>
    <w:rsid w:val="00FA37AC"/>
    <w:rsid w:val="00FA37E2"/>
    <w:rsid w:val="00FA37EB"/>
    <w:rsid w:val="00FA3829"/>
    <w:rsid w:val="00FA3891"/>
    <w:rsid w:val="00FA391A"/>
    <w:rsid w:val="00FA3A1E"/>
    <w:rsid w:val="00FA3A33"/>
    <w:rsid w:val="00FA3A82"/>
    <w:rsid w:val="00FA3B17"/>
    <w:rsid w:val="00FA3B88"/>
    <w:rsid w:val="00FA3BA0"/>
    <w:rsid w:val="00FA3BAF"/>
    <w:rsid w:val="00FA3BE2"/>
    <w:rsid w:val="00FA3BE7"/>
    <w:rsid w:val="00FA3C27"/>
    <w:rsid w:val="00FA3C4F"/>
    <w:rsid w:val="00FA3C57"/>
    <w:rsid w:val="00FA3D0E"/>
    <w:rsid w:val="00FA3D34"/>
    <w:rsid w:val="00FA3DBE"/>
    <w:rsid w:val="00FA3E2C"/>
    <w:rsid w:val="00FA3E52"/>
    <w:rsid w:val="00FA3E76"/>
    <w:rsid w:val="00FA3EF1"/>
    <w:rsid w:val="00FA3FAA"/>
    <w:rsid w:val="00FA4110"/>
    <w:rsid w:val="00FA411C"/>
    <w:rsid w:val="00FA41A5"/>
    <w:rsid w:val="00FA4211"/>
    <w:rsid w:val="00FA4241"/>
    <w:rsid w:val="00FA4247"/>
    <w:rsid w:val="00FA42A5"/>
    <w:rsid w:val="00FA42BC"/>
    <w:rsid w:val="00FA42C9"/>
    <w:rsid w:val="00FA4436"/>
    <w:rsid w:val="00FA446D"/>
    <w:rsid w:val="00FA4494"/>
    <w:rsid w:val="00FA44A5"/>
    <w:rsid w:val="00FA45BB"/>
    <w:rsid w:val="00FA463C"/>
    <w:rsid w:val="00FA4655"/>
    <w:rsid w:val="00FA46B7"/>
    <w:rsid w:val="00FA4716"/>
    <w:rsid w:val="00FA471E"/>
    <w:rsid w:val="00FA478A"/>
    <w:rsid w:val="00FA47F1"/>
    <w:rsid w:val="00FA48C7"/>
    <w:rsid w:val="00FA48D1"/>
    <w:rsid w:val="00FA49CD"/>
    <w:rsid w:val="00FA49EF"/>
    <w:rsid w:val="00FA4AAB"/>
    <w:rsid w:val="00FA4B1F"/>
    <w:rsid w:val="00FA4B36"/>
    <w:rsid w:val="00FA4CA2"/>
    <w:rsid w:val="00FA4D20"/>
    <w:rsid w:val="00FA4E65"/>
    <w:rsid w:val="00FA4E72"/>
    <w:rsid w:val="00FA4EE5"/>
    <w:rsid w:val="00FA4F31"/>
    <w:rsid w:val="00FA4F69"/>
    <w:rsid w:val="00FA4F85"/>
    <w:rsid w:val="00FA4FC1"/>
    <w:rsid w:val="00FA4FC8"/>
    <w:rsid w:val="00FA5013"/>
    <w:rsid w:val="00FA503B"/>
    <w:rsid w:val="00FA5068"/>
    <w:rsid w:val="00FA509D"/>
    <w:rsid w:val="00FA50AB"/>
    <w:rsid w:val="00FA50D3"/>
    <w:rsid w:val="00FA5140"/>
    <w:rsid w:val="00FA5160"/>
    <w:rsid w:val="00FA51B5"/>
    <w:rsid w:val="00FA51FD"/>
    <w:rsid w:val="00FA5203"/>
    <w:rsid w:val="00FA5302"/>
    <w:rsid w:val="00FA534D"/>
    <w:rsid w:val="00FA5377"/>
    <w:rsid w:val="00FA53EA"/>
    <w:rsid w:val="00FA54B5"/>
    <w:rsid w:val="00FA54C4"/>
    <w:rsid w:val="00FA551B"/>
    <w:rsid w:val="00FA55A1"/>
    <w:rsid w:val="00FA5617"/>
    <w:rsid w:val="00FA564B"/>
    <w:rsid w:val="00FA5676"/>
    <w:rsid w:val="00FA56F5"/>
    <w:rsid w:val="00FA5719"/>
    <w:rsid w:val="00FA5727"/>
    <w:rsid w:val="00FA5771"/>
    <w:rsid w:val="00FA5792"/>
    <w:rsid w:val="00FA5801"/>
    <w:rsid w:val="00FA5847"/>
    <w:rsid w:val="00FA5850"/>
    <w:rsid w:val="00FA593B"/>
    <w:rsid w:val="00FA5948"/>
    <w:rsid w:val="00FA5997"/>
    <w:rsid w:val="00FA59B1"/>
    <w:rsid w:val="00FA5A28"/>
    <w:rsid w:val="00FA5A56"/>
    <w:rsid w:val="00FA5ABD"/>
    <w:rsid w:val="00FA5AD0"/>
    <w:rsid w:val="00FA5B81"/>
    <w:rsid w:val="00FA5C6F"/>
    <w:rsid w:val="00FA5D72"/>
    <w:rsid w:val="00FA5D94"/>
    <w:rsid w:val="00FA5DE9"/>
    <w:rsid w:val="00FA5E94"/>
    <w:rsid w:val="00FA5EA7"/>
    <w:rsid w:val="00FA5FAE"/>
    <w:rsid w:val="00FA5FDD"/>
    <w:rsid w:val="00FA6025"/>
    <w:rsid w:val="00FA60A8"/>
    <w:rsid w:val="00FA60CE"/>
    <w:rsid w:val="00FA624E"/>
    <w:rsid w:val="00FA6253"/>
    <w:rsid w:val="00FA62CD"/>
    <w:rsid w:val="00FA6302"/>
    <w:rsid w:val="00FA6313"/>
    <w:rsid w:val="00FA6325"/>
    <w:rsid w:val="00FA6488"/>
    <w:rsid w:val="00FA64F7"/>
    <w:rsid w:val="00FA6527"/>
    <w:rsid w:val="00FA659E"/>
    <w:rsid w:val="00FA6606"/>
    <w:rsid w:val="00FA6634"/>
    <w:rsid w:val="00FA66A5"/>
    <w:rsid w:val="00FA66D5"/>
    <w:rsid w:val="00FA6713"/>
    <w:rsid w:val="00FA676E"/>
    <w:rsid w:val="00FA67D4"/>
    <w:rsid w:val="00FA67DC"/>
    <w:rsid w:val="00FA6803"/>
    <w:rsid w:val="00FA688F"/>
    <w:rsid w:val="00FA68AE"/>
    <w:rsid w:val="00FA68EF"/>
    <w:rsid w:val="00FA6904"/>
    <w:rsid w:val="00FA692A"/>
    <w:rsid w:val="00FA6974"/>
    <w:rsid w:val="00FA6977"/>
    <w:rsid w:val="00FA6999"/>
    <w:rsid w:val="00FA69AA"/>
    <w:rsid w:val="00FA69E0"/>
    <w:rsid w:val="00FA6A0F"/>
    <w:rsid w:val="00FA6B08"/>
    <w:rsid w:val="00FA6B41"/>
    <w:rsid w:val="00FA6B68"/>
    <w:rsid w:val="00FA6B7A"/>
    <w:rsid w:val="00FA6B9A"/>
    <w:rsid w:val="00FA6BC7"/>
    <w:rsid w:val="00FA6C51"/>
    <w:rsid w:val="00FA6D88"/>
    <w:rsid w:val="00FA6DB5"/>
    <w:rsid w:val="00FA6E1F"/>
    <w:rsid w:val="00FA6E4D"/>
    <w:rsid w:val="00FA6ED4"/>
    <w:rsid w:val="00FA6EF8"/>
    <w:rsid w:val="00FA6FD4"/>
    <w:rsid w:val="00FA7015"/>
    <w:rsid w:val="00FA7067"/>
    <w:rsid w:val="00FA7100"/>
    <w:rsid w:val="00FA7115"/>
    <w:rsid w:val="00FA714A"/>
    <w:rsid w:val="00FA719D"/>
    <w:rsid w:val="00FA71D0"/>
    <w:rsid w:val="00FA7272"/>
    <w:rsid w:val="00FA727B"/>
    <w:rsid w:val="00FA72BC"/>
    <w:rsid w:val="00FA7350"/>
    <w:rsid w:val="00FA7388"/>
    <w:rsid w:val="00FA738F"/>
    <w:rsid w:val="00FA739D"/>
    <w:rsid w:val="00FA73F5"/>
    <w:rsid w:val="00FA7434"/>
    <w:rsid w:val="00FA752B"/>
    <w:rsid w:val="00FA7554"/>
    <w:rsid w:val="00FA758B"/>
    <w:rsid w:val="00FA7609"/>
    <w:rsid w:val="00FA7744"/>
    <w:rsid w:val="00FA7746"/>
    <w:rsid w:val="00FA7782"/>
    <w:rsid w:val="00FA7831"/>
    <w:rsid w:val="00FA7881"/>
    <w:rsid w:val="00FA78B3"/>
    <w:rsid w:val="00FA792D"/>
    <w:rsid w:val="00FA7952"/>
    <w:rsid w:val="00FA797D"/>
    <w:rsid w:val="00FA79C1"/>
    <w:rsid w:val="00FA79C7"/>
    <w:rsid w:val="00FA79CF"/>
    <w:rsid w:val="00FA79EC"/>
    <w:rsid w:val="00FA7A42"/>
    <w:rsid w:val="00FA7A83"/>
    <w:rsid w:val="00FA7B2C"/>
    <w:rsid w:val="00FA7BAB"/>
    <w:rsid w:val="00FA7BBE"/>
    <w:rsid w:val="00FA7BCB"/>
    <w:rsid w:val="00FA7C10"/>
    <w:rsid w:val="00FA7E4B"/>
    <w:rsid w:val="00FA7E5B"/>
    <w:rsid w:val="00FA7E88"/>
    <w:rsid w:val="00FA7E8A"/>
    <w:rsid w:val="00FA7ED1"/>
    <w:rsid w:val="00FA7F40"/>
    <w:rsid w:val="00FA7F42"/>
    <w:rsid w:val="00FA7F4C"/>
    <w:rsid w:val="00FA7F6E"/>
    <w:rsid w:val="00FA7F8A"/>
    <w:rsid w:val="00FA7F97"/>
    <w:rsid w:val="00FA7FDD"/>
    <w:rsid w:val="00FAD8C5"/>
    <w:rsid w:val="00FADBFF"/>
    <w:rsid w:val="00FB0002"/>
    <w:rsid w:val="00FB000C"/>
    <w:rsid w:val="00FB008F"/>
    <w:rsid w:val="00FB0091"/>
    <w:rsid w:val="00FB0114"/>
    <w:rsid w:val="00FB0145"/>
    <w:rsid w:val="00FB014E"/>
    <w:rsid w:val="00FB016A"/>
    <w:rsid w:val="00FB01CB"/>
    <w:rsid w:val="00FB0241"/>
    <w:rsid w:val="00FB02B9"/>
    <w:rsid w:val="00FB02F2"/>
    <w:rsid w:val="00FB042B"/>
    <w:rsid w:val="00FB04A4"/>
    <w:rsid w:val="00FB04D8"/>
    <w:rsid w:val="00FB0504"/>
    <w:rsid w:val="00FB0587"/>
    <w:rsid w:val="00FB05EB"/>
    <w:rsid w:val="00FB0614"/>
    <w:rsid w:val="00FB071F"/>
    <w:rsid w:val="00FB072B"/>
    <w:rsid w:val="00FB07A1"/>
    <w:rsid w:val="00FB07FF"/>
    <w:rsid w:val="00FB081F"/>
    <w:rsid w:val="00FB0825"/>
    <w:rsid w:val="00FB0831"/>
    <w:rsid w:val="00FB0887"/>
    <w:rsid w:val="00FB08CE"/>
    <w:rsid w:val="00FB08F4"/>
    <w:rsid w:val="00FB096A"/>
    <w:rsid w:val="00FB0A4B"/>
    <w:rsid w:val="00FB0A9F"/>
    <w:rsid w:val="00FB0AE4"/>
    <w:rsid w:val="00FB0B67"/>
    <w:rsid w:val="00FB0C77"/>
    <w:rsid w:val="00FB0CC5"/>
    <w:rsid w:val="00FB0CE8"/>
    <w:rsid w:val="00FB0D73"/>
    <w:rsid w:val="00FB0E1B"/>
    <w:rsid w:val="00FB0E3C"/>
    <w:rsid w:val="00FB0E4E"/>
    <w:rsid w:val="00FB0E6A"/>
    <w:rsid w:val="00FB0EC1"/>
    <w:rsid w:val="00FB0EC8"/>
    <w:rsid w:val="00FB0FE2"/>
    <w:rsid w:val="00FB106E"/>
    <w:rsid w:val="00FB10AC"/>
    <w:rsid w:val="00FB10B5"/>
    <w:rsid w:val="00FB1185"/>
    <w:rsid w:val="00FB1192"/>
    <w:rsid w:val="00FB119B"/>
    <w:rsid w:val="00FB119C"/>
    <w:rsid w:val="00FB1233"/>
    <w:rsid w:val="00FB124C"/>
    <w:rsid w:val="00FB12A6"/>
    <w:rsid w:val="00FB12E3"/>
    <w:rsid w:val="00FB1308"/>
    <w:rsid w:val="00FB1363"/>
    <w:rsid w:val="00FB13E0"/>
    <w:rsid w:val="00FB13FF"/>
    <w:rsid w:val="00FB1417"/>
    <w:rsid w:val="00FB1419"/>
    <w:rsid w:val="00FB1422"/>
    <w:rsid w:val="00FB1473"/>
    <w:rsid w:val="00FB154D"/>
    <w:rsid w:val="00FB1596"/>
    <w:rsid w:val="00FB15C3"/>
    <w:rsid w:val="00FB15C6"/>
    <w:rsid w:val="00FB165D"/>
    <w:rsid w:val="00FB1710"/>
    <w:rsid w:val="00FB1750"/>
    <w:rsid w:val="00FB175A"/>
    <w:rsid w:val="00FB179B"/>
    <w:rsid w:val="00FB17B9"/>
    <w:rsid w:val="00FB1846"/>
    <w:rsid w:val="00FB185C"/>
    <w:rsid w:val="00FB1891"/>
    <w:rsid w:val="00FB18AF"/>
    <w:rsid w:val="00FB1979"/>
    <w:rsid w:val="00FB19A3"/>
    <w:rsid w:val="00FB1A40"/>
    <w:rsid w:val="00FB1A52"/>
    <w:rsid w:val="00FB1A55"/>
    <w:rsid w:val="00FB1B46"/>
    <w:rsid w:val="00FB1B4B"/>
    <w:rsid w:val="00FB1B8A"/>
    <w:rsid w:val="00FB1C1A"/>
    <w:rsid w:val="00FB1C65"/>
    <w:rsid w:val="00FB1DE7"/>
    <w:rsid w:val="00FB1E0C"/>
    <w:rsid w:val="00FB1E3E"/>
    <w:rsid w:val="00FB1E56"/>
    <w:rsid w:val="00FB1F57"/>
    <w:rsid w:val="00FB1F61"/>
    <w:rsid w:val="00FB204A"/>
    <w:rsid w:val="00FB2065"/>
    <w:rsid w:val="00FB2077"/>
    <w:rsid w:val="00FB2095"/>
    <w:rsid w:val="00FB20B4"/>
    <w:rsid w:val="00FB20DB"/>
    <w:rsid w:val="00FB20FE"/>
    <w:rsid w:val="00FB21BE"/>
    <w:rsid w:val="00FB21CB"/>
    <w:rsid w:val="00FB22E0"/>
    <w:rsid w:val="00FB22FD"/>
    <w:rsid w:val="00FB2309"/>
    <w:rsid w:val="00FB2373"/>
    <w:rsid w:val="00FB240A"/>
    <w:rsid w:val="00FB2464"/>
    <w:rsid w:val="00FB2483"/>
    <w:rsid w:val="00FB2494"/>
    <w:rsid w:val="00FB24B0"/>
    <w:rsid w:val="00FB2501"/>
    <w:rsid w:val="00FB2556"/>
    <w:rsid w:val="00FB25A4"/>
    <w:rsid w:val="00FB25E6"/>
    <w:rsid w:val="00FB25E7"/>
    <w:rsid w:val="00FB25F7"/>
    <w:rsid w:val="00FB260F"/>
    <w:rsid w:val="00FB265B"/>
    <w:rsid w:val="00FB26D0"/>
    <w:rsid w:val="00FB270B"/>
    <w:rsid w:val="00FB2776"/>
    <w:rsid w:val="00FB2800"/>
    <w:rsid w:val="00FB285B"/>
    <w:rsid w:val="00FB2877"/>
    <w:rsid w:val="00FB2885"/>
    <w:rsid w:val="00FB2965"/>
    <w:rsid w:val="00FB2A05"/>
    <w:rsid w:val="00FB2A07"/>
    <w:rsid w:val="00FB2A32"/>
    <w:rsid w:val="00FB2A53"/>
    <w:rsid w:val="00FB2A57"/>
    <w:rsid w:val="00FB2AD0"/>
    <w:rsid w:val="00FB2B01"/>
    <w:rsid w:val="00FB2B25"/>
    <w:rsid w:val="00FB2BF6"/>
    <w:rsid w:val="00FB2C56"/>
    <w:rsid w:val="00FB2C93"/>
    <w:rsid w:val="00FB2D36"/>
    <w:rsid w:val="00FB2D62"/>
    <w:rsid w:val="00FB2D71"/>
    <w:rsid w:val="00FB2DC8"/>
    <w:rsid w:val="00FB2DD6"/>
    <w:rsid w:val="00FB2DFF"/>
    <w:rsid w:val="00FB2E5F"/>
    <w:rsid w:val="00FB2EAF"/>
    <w:rsid w:val="00FB2EC9"/>
    <w:rsid w:val="00FB2EE2"/>
    <w:rsid w:val="00FB2F20"/>
    <w:rsid w:val="00FB2F28"/>
    <w:rsid w:val="00FB2F2E"/>
    <w:rsid w:val="00FB2F61"/>
    <w:rsid w:val="00FB2FAC"/>
    <w:rsid w:val="00FB2FE7"/>
    <w:rsid w:val="00FB305C"/>
    <w:rsid w:val="00FB311E"/>
    <w:rsid w:val="00FB3189"/>
    <w:rsid w:val="00FB31DE"/>
    <w:rsid w:val="00FB326A"/>
    <w:rsid w:val="00FB32D3"/>
    <w:rsid w:val="00FB331A"/>
    <w:rsid w:val="00FB332A"/>
    <w:rsid w:val="00FB333C"/>
    <w:rsid w:val="00FB3377"/>
    <w:rsid w:val="00FB3396"/>
    <w:rsid w:val="00FB33BB"/>
    <w:rsid w:val="00FB33D0"/>
    <w:rsid w:val="00FB33E7"/>
    <w:rsid w:val="00FB34A3"/>
    <w:rsid w:val="00FB34C1"/>
    <w:rsid w:val="00FB34C4"/>
    <w:rsid w:val="00FB3520"/>
    <w:rsid w:val="00FB3587"/>
    <w:rsid w:val="00FB36C3"/>
    <w:rsid w:val="00FB36EC"/>
    <w:rsid w:val="00FB378B"/>
    <w:rsid w:val="00FB3797"/>
    <w:rsid w:val="00FB37BB"/>
    <w:rsid w:val="00FB37C5"/>
    <w:rsid w:val="00FB382E"/>
    <w:rsid w:val="00FB3899"/>
    <w:rsid w:val="00FB38D7"/>
    <w:rsid w:val="00FB3919"/>
    <w:rsid w:val="00FB3A29"/>
    <w:rsid w:val="00FB3A5D"/>
    <w:rsid w:val="00FB3B9F"/>
    <w:rsid w:val="00FB3BCE"/>
    <w:rsid w:val="00FB3C17"/>
    <w:rsid w:val="00FB3C2F"/>
    <w:rsid w:val="00FB3C39"/>
    <w:rsid w:val="00FB3C9F"/>
    <w:rsid w:val="00FB3D0C"/>
    <w:rsid w:val="00FB3D80"/>
    <w:rsid w:val="00FB3DEA"/>
    <w:rsid w:val="00FB3DEE"/>
    <w:rsid w:val="00FB3E37"/>
    <w:rsid w:val="00FB3EA6"/>
    <w:rsid w:val="00FB3EB8"/>
    <w:rsid w:val="00FB3F09"/>
    <w:rsid w:val="00FB3F80"/>
    <w:rsid w:val="00FB3F92"/>
    <w:rsid w:val="00FB404A"/>
    <w:rsid w:val="00FB4075"/>
    <w:rsid w:val="00FB416E"/>
    <w:rsid w:val="00FB41A7"/>
    <w:rsid w:val="00FB41BF"/>
    <w:rsid w:val="00FB4205"/>
    <w:rsid w:val="00FB424E"/>
    <w:rsid w:val="00FB42BD"/>
    <w:rsid w:val="00FB42E2"/>
    <w:rsid w:val="00FB4375"/>
    <w:rsid w:val="00FB4443"/>
    <w:rsid w:val="00FB45EB"/>
    <w:rsid w:val="00FB461B"/>
    <w:rsid w:val="00FB46A3"/>
    <w:rsid w:val="00FB4776"/>
    <w:rsid w:val="00FB47F3"/>
    <w:rsid w:val="00FB47FE"/>
    <w:rsid w:val="00FB4809"/>
    <w:rsid w:val="00FB4815"/>
    <w:rsid w:val="00FB48DD"/>
    <w:rsid w:val="00FB49C4"/>
    <w:rsid w:val="00FB49E0"/>
    <w:rsid w:val="00FB4A7B"/>
    <w:rsid w:val="00FB4B66"/>
    <w:rsid w:val="00FB4BAE"/>
    <w:rsid w:val="00FB4BD3"/>
    <w:rsid w:val="00FB4C16"/>
    <w:rsid w:val="00FB4C74"/>
    <w:rsid w:val="00FB4C8C"/>
    <w:rsid w:val="00FB4C97"/>
    <w:rsid w:val="00FB4D71"/>
    <w:rsid w:val="00FB4D90"/>
    <w:rsid w:val="00FB4E15"/>
    <w:rsid w:val="00FB4E22"/>
    <w:rsid w:val="00FB4EA7"/>
    <w:rsid w:val="00FB4EBA"/>
    <w:rsid w:val="00FB4EFE"/>
    <w:rsid w:val="00FB4F1C"/>
    <w:rsid w:val="00FB4F43"/>
    <w:rsid w:val="00FB4F60"/>
    <w:rsid w:val="00FB4FE3"/>
    <w:rsid w:val="00FB4FE4"/>
    <w:rsid w:val="00FB4FE5"/>
    <w:rsid w:val="00FB507F"/>
    <w:rsid w:val="00FB5101"/>
    <w:rsid w:val="00FB5175"/>
    <w:rsid w:val="00FB520C"/>
    <w:rsid w:val="00FB5270"/>
    <w:rsid w:val="00FB52D0"/>
    <w:rsid w:val="00FB53A6"/>
    <w:rsid w:val="00FB53B9"/>
    <w:rsid w:val="00FB53D4"/>
    <w:rsid w:val="00FB5423"/>
    <w:rsid w:val="00FB5428"/>
    <w:rsid w:val="00FB5450"/>
    <w:rsid w:val="00FB546C"/>
    <w:rsid w:val="00FB5582"/>
    <w:rsid w:val="00FB55BF"/>
    <w:rsid w:val="00FB5651"/>
    <w:rsid w:val="00FB5693"/>
    <w:rsid w:val="00FB5777"/>
    <w:rsid w:val="00FB57BB"/>
    <w:rsid w:val="00FB5811"/>
    <w:rsid w:val="00FB58BB"/>
    <w:rsid w:val="00FB59F3"/>
    <w:rsid w:val="00FB5A03"/>
    <w:rsid w:val="00FB5A38"/>
    <w:rsid w:val="00FB5A79"/>
    <w:rsid w:val="00FB5AB7"/>
    <w:rsid w:val="00FB5AF3"/>
    <w:rsid w:val="00FB5B3A"/>
    <w:rsid w:val="00FB5B61"/>
    <w:rsid w:val="00FB5BAC"/>
    <w:rsid w:val="00FB5BD7"/>
    <w:rsid w:val="00FB5C0C"/>
    <w:rsid w:val="00FB5C30"/>
    <w:rsid w:val="00FB5C7E"/>
    <w:rsid w:val="00FB5C7F"/>
    <w:rsid w:val="00FB5CBC"/>
    <w:rsid w:val="00FB5D87"/>
    <w:rsid w:val="00FB5DC0"/>
    <w:rsid w:val="00FB5F12"/>
    <w:rsid w:val="00FB5F4A"/>
    <w:rsid w:val="00FB5F84"/>
    <w:rsid w:val="00FB5FB9"/>
    <w:rsid w:val="00FB5FE9"/>
    <w:rsid w:val="00FB6069"/>
    <w:rsid w:val="00FB630E"/>
    <w:rsid w:val="00FB6323"/>
    <w:rsid w:val="00FB634A"/>
    <w:rsid w:val="00FB63B1"/>
    <w:rsid w:val="00FB646D"/>
    <w:rsid w:val="00FB647A"/>
    <w:rsid w:val="00FB64D6"/>
    <w:rsid w:val="00FB6564"/>
    <w:rsid w:val="00FB65A9"/>
    <w:rsid w:val="00FB65CE"/>
    <w:rsid w:val="00FB65FD"/>
    <w:rsid w:val="00FB661B"/>
    <w:rsid w:val="00FB6620"/>
    <w:rsid w:val="00FB66C8"/>
    <w:rsid w:val="00FB6733"/>
    <w:rsid w:val="00FB6768"/>
    <w:rsid w:val="00FB6783"/>
    <w:rsid w:val="00FB6854"/>
    <w:rsid w:val="00FB68C5"/>
    <w:rsid w:val="00FB68EF"/>
    <w:rsid w:val="00FB691A"/>
    <w:rsid w:val="00FB6927"/>
    <w:rsid w:val="00FB69AC"/>
    <w:rsid w:val="00FB69E3"/>
    <w:rsid w:val="00FB6A69"/>
    <w:rsid w:val="00FB6A78"/>
    <w:rsid w:val="00FB6A93"/>
    <w:rsid w:val="00FB6AD8"/>
    <w:rsid w:val="00FB6B59"/>
    <w:rsid w:val="00FB6B5B"/>
    <w:rsid w:val="00FB6B71"/>
    <w:rsid w:val="00FB6C25"/>
    <w:rsid w:val="00FB6D52"/>
    <w:rsid w:val="00FB6DE8"/>
    <w:rsid w:val="00FB6E4B"/>
    <w:rsid w:val="00FB6E50"/>
    <w:rsid w:val="00FB6E66"/>
    <w:rsid w:val="00FB6EC1"/>
    <w:rsid w:val="00FB6ECE"/>
    <w:rsid w:val="00FB6EED"/>
    <w:rsid w:val="00FB6F1E"/>
    <w:rsid w:val="00FB6F58"/>
    <w:rsid w:val="00FB6F84"/>
    <w:rsid w:val="00FB6F87"/>
    <w:rsid w:val="00FB6FC6"/>
    <w:rsid w:val="00FB7022"/>
    <w:rsid w:val="00FB7036"/>
    <w:rsid w:val="00FB7099"/>
    <w:rsid w:val="00FB716E"/>
    <w:rsid w:val="00FB71AF"/>
    <w:rsid w:val="00FB7209"/>
    <w:rsid w:val="00FB7231"/>
    <w:rsid w:val="00FB72BE"/>
    <w:rsid w:val="00FB7328"/>
    <w:rsid w:val="00FB734D"/>
    <w:rsid w:val="00FB736A"/>
    <w:rsid w:val="00FB7404"/>
    <w:rsid w:val="00FB7407"/>
    <w:rsid w:val="00FB7436"/>
    <w:rsid w:val="00FB74C3"/>
    <w:rsid w:val="00FB74D2"/>
    <w:rsid w:val="00FB7528"/>
    <w:rsid w:val="00FB7634"/>
    <w:rsid w:val="00FB7676"/>
    <w:rsid w:val="00FB76BB"/>
    <w:rsid w:val="00FB7745"/>
    <w:rsid w:val="00FB77A1"/>
    <w:rsid w:val="00FB7825"/>
    <w:rsid w:val="00FB7858"/>
    <w:rsid w:val="00FB786C"/>
    <w:rsid w:val="00FB78EA"/>
    <w:rsid w:val="00FB7924"/>
    <w:rsid w:val="00FB7A13"/>
    <w:rsid w:val="00FB7A3A"/>
    <w:rsid w:val="00FB7A60"/>
    <w:rsid w:val="00FB7B05"/>
    <w:rsid w:val="00FB7B20"/>
    <w:rsid w:val="00FB7B38"/>
    <w:rsid w:val="00FB7B4E"/>
    <w:rsid w:val="00FB7C01"/>
    <w:rsid w:val="00FB7C23"/>
    <w:rsid w:val="00FB7CA4"/>
    <w:rsid w:val="00FB7CB2"/>
    <w:rsid w:val="00FB7D0A"/>
    <w:rsid w:val="00FB7D23"/>
    <w:rsid w:val="00FB7D35"/>
    <w:rsid w:val="00FB7D50"/>
    <w:rsid w:val="00FB7D62"/>
    <w:rsid w:val="00FB7E0D"/>
    <w:rsid w:val="00FB7E97"/>
    <w:rsid w:val="00FB7EF6"/>
    <w:rsid w:val="00FB7F79"/>
    <w:rsid w:val="00FB7FDE"/>
    <w:rsid w:val="00FC0015"/>
    <w:rsid w:val="00FC002B"/>
    <w:rsid w:val="00FC004C"/>
    <w:rsid w:val="00FC0078"/>
    <w:rsid w:val="00FC00FE"/>
    <w:rsid w:val="00FC0172"/>
    <w:rsid w:val="00FC018A"/>
    <w:rsid w:val="00FC01B9"/>
    <w:rsid w:val="00FC0284"/>
    <w:rsid w:val="00FC02DC"/>
    <w:rsid w:val="00FC02E0"/>
    <w:rsid w:val="00FC0327"/>
    <w:rsid w:val="00FC03F7"/>
    <w:rsid w:val="00FC040B"/>
    <w:rsid w:val="00FC0603"/>
    <w:rsid w:val="00FC0620"/>
    <w:rsid w:val="00FC066D"/>
    <w:rsid w:val="00FC068B"/>
    <w:rsid w:val="00FC085B"/>
    <w:rsid w:val="00FC0909"/>
    <w:rsid w:val="00FC0960"/>
    <w:rsid w:val="00FC0974"/>
    <w:rsid w:val="00FC0982"/>
    <w:rsid w:val="00FC0A39"/>
    <w:rsid w:val="00FC0B1B"/>
    <w:rsid w:val="00FC0B25"/>
    <w:rsid w:val="00FC0B36"/>
    <w:rsid w:val="00FC0B6B"/>
    <w:rsid w:val="00FC0BE4"/>
    <w:rsid w:val="00FC0BE5"/>
    <w:rsid w:val="00FC0C04"/>
    <w:rsid w:val="00FC0C86"/>
    <w:rsid w:val="00FC0D17"/>
    <w:rsid w:val="00FC0D1B"/>
    <w:rsid w:val="00FC0D67"/>
    <w:rsid w:val="00FC0E74"/>
    <w:rsid w:val="00FC0F1B"/>
    <w:rsid w:val="00FC0FCB"/>
    <w:rsid w:val="00FC1047"/>
    <w:rsid w:val="00FC1096"/>
    <w:rsid w:val="00FC10BE"/>
    <w:rsid w:val="00FC10C2"/>
    <w:rsid w:val="00FC112B"/>
    <w:rsid w:val="00FC11E5"/>
    <w:rsid w:val="00FC12DD"/>
    <w:rsid w:val="00FC133B"/>
    <w:rsid w:val="00FC1361"/>
    <w:rsid w:val="00FC13C5"/>
    <w:rsid w:val="00FC13CC"/>
    <w:rsid w:val="00FC142B"/>
    <w:rsid w:val="00FC145D"/>
    <w:rsid w:val="00FC1465"/>
    <w:rsid w:val="00FC1475"/>
    <w:rsid w:val="00FC14D2"/>
    <w:rsid w:val="00FC14F5"/>
    <w:rsid w:val="00FC1605"/>
    <w:rsid w:val="00FC161C"/>
    <w:rsid w:val="00FC1638"/>
    <w:rsid w:val="00FC1654"/>
    <w:rsid w:val="00FC16A8"/>
    <w:rsid w:val="00FC16AF"/>
    <w:rsid w:val="00FC1721"/>
    <w:rsid w:val="00FC1749"/>
    <w:rsid w:val="00FC1782"/>
    <w:rsid w:val="00FC17F0"/>
    <w:rsid w:val="00FC1858"/>
    <w:rsid w:val="00FC1921"/>
    <w:rsid w:val="00FC192C"/>
    <w:rsid w:val="00FC192F"/>
    <w:rsid w:val="00FC197D"/>
    <w:rsid w:val="00FC1988"/>
    <w:rsid w:val="00FC19E8"/>
    <w:rsid w:val="00FC1A99"/>
    <w:rsid w:val="00FC1B1C"/>
    <w:rsid w:val="00FC1BBE"/>
    <w:rsid w:val="00FC1C05"/>
    <w:rsid w:val="00FC1C09"/>
    <w:rsid w:val="00FC1C5B"/>
    <w:rsid w:val="00FC1C66"/>
    <w:rsid w:val="00FC1CB2"/>
    <w:rsid w:val="00FC1D01"/>
    <w:rsid w:val="00FC1D1D"/>
    <w:rsid w:val="00FC1DF4"/>
    <w:rsid w:val="00FC1E5B"/>
    <w:rsid w:val="00FC1E5E"/>
    <w:rsid w:val="00FC1EDF"/>
    <w:rsid w:val="00FC1EF6"/>
    <w:rsid w:val="00FC1F1E"/>
    <w:rsid w:val="00FC1F7D"/>
    <w:rsid w:val="00FC1FA3"/>
    <w:rsid w:val="00FC1FD5"/>
    <w:rsid w:val="00FC2025"/>
    <w:rsid w:val="00FC2027"/>
    <w:rsid w:val="00FC2032"/>
    <w:rsid w:val="00FC203F"/>
    <w:rsid w:val="00FC2058"/>
    <w:rsid w:val="00FC2102"/>
    <w:rsid w:val="00FC21CC"/>
    <w:rsid w:val="00FC2205"/>
    <w:rsid w:val="00FC22C5"/>
    <w:rsid w:val="00FC2321"/>
    <w:rsid w:val="00FC232B"/>
    <w:rsid w:val="00FC2343"/>
    <w:rsid w:val="00FC2348"/>
    <w:rsid w:val="00FC2384"/>
    <w:rsid w:val="00FC23BA"/>
    <w:rsid w:val="00FC23FC"/>
    <w:rsid w:val="00FC2465"/>
    <w:rsid w:val="00FC250E"/>
    <w:rsid w:val="00FC2568"/>
    <w:rsid w:val="00FC2598"/>
    <w:rsid w:val="00FC259E"/>
    <w:rsid w:val="00FC2610"/>
    <w:rsid w:val="00FC263E"/>
    <w:rsid w:val="00FC263F"/>
    <w:rsid w:val="00FC2683"/>
    <w:rsid w:val="00FC26EE"/>
    <w:rsid w:val="00FC2789"/>
    <w:rsid w:val="00FC27D9"/>
    <w:rsid w:val="00FC27DC"/>
    <w:rsid w:val="00FC27E4"/>
    <w:rsid w:val="00FC2834"/>
    <w:rsid w:val="00FC28AA"/>
    <w:rsid w:val="00FC28E2"/>
    <w:rsid w:val="00FC2929"/>
    <w:rsid w:val="00FC295B"/>
    <w:rsid w:val="00FC29A9"/>
    <w:rsid w:val="00FC2B59"/>
    <w:rsid w:val="00FC2BD3"/>
    <w:rsid w:val="00FC2BD4"/>
    <w:rsid w:val="00FC2C01"/>
    <w:rsid w:val="00FC2C71"/>
    <w:rsid w:val="00FC2D50"/>
    <w:rsid w:val="00FC2E47"/>
    <w:rsid w:val="00FC2E9B"/>
    <w:rsid w:val="00FC2EE3"/>
    <w:rsid w:val="00FC2F2D"/>
    <w:rsid w:val="00FC2F3A"/>
    <w:rsid w:val="00FC2FD8"/>
    <w:rsid w:val="00FC3013"/>
    <w:rsid w:val="00FC3077"/>
    <w:rsid w:val="00FC3079"/>
    <w:rsid w:val="00FC307E"/>
    <w:rsid w:val="00FC3113"/>
    <w:rsid w:val="00FC3137"/>
    <w:rsid w:val="00FC32FD"/>
    <w:rsid w:val="00FC332A"/>
    <w:rsid w:val="00FC335C"/>
    <w:rsid w:val="00FC3417"/>
    <w:rsid w:val="00FC34DB"/>
    <w:rsid w:val="00FC351F"/>
    <w:rsid w:val="00FC35D3"/>
    <w:rsid w:val="00FC35E5"/>
    <w:rsid w:val="00FC3612"/>
    <w:rsid w:val="00FC3662"/>
    <w:rsid w:val="00FC3782"/>
    <w:rsid w:val="00FC38F6"/>
    <w:rsid w:val="00FC3977"/>
    <w:rsid w:val="00FC397A"/>
    <w:rsid w:val="00FC39A3"/>
    <w:rsid w:val="00FC3A00"/>
    <w:rsid w:val="00FC3A33"/>
    <w:rsid w:val="00FC3A9F"/>
    <w:rsid w:val="00FC3B1F"/>
    <w:rsid w:val="00FC3BA3"/>
    <w:rsid w:val="00FC3C17"/>
    <w:rsid w:val="00FC3C4C"/>
    <w:rsid w:val="00FC3C85"/>
    <w:rsid w:val="00FC3C98"/>
    <w:rsid w:val="00FC3CB2"/>
    <w:rsid w:val="00FC3CB6"/>
    <w:rsid w:val="00FC3CD6"/>
    <w:rsid w:val="00FC3EFD"/>
    <w:rsid w:val="00FC3F4B"/>
    <w:rsid w:val="00FC3F5A"/>
    <w:rsid w:val="00FC3F66"/>
    <w:rsid w:val="00FC3F93"/>
    <w:rsid w:val="00FC4021"/>
    <w:rsid w:val="00FC4065"/>
    <w:rsid w:val="00FC40E0"/>
    <w:rsid w:val="00FC40E8"/>
    <w:rsid w:val="00FC410B"/>
    <w:rsid w:val="00FC410D"/>
    <w:rsid w:val="00FC4110"/>
    <w:rsid w:val="00FC4114"/>
    <w:rsid w:val="00FC4181"/>
    <w:rsid w:val="00FC41C1"/>
    <w:rsid w:val="00FC41E8"/>
    <w:rsid w:val="00FC4220"/>
    <w:rsid w:val="00FC42C7"/>
    <w:rsid w:val="00FC430F"/>
    <w:rsid w:val="00FC4349"/>
    <w:rsid w:val="00FC4357"/>
    <w:rsid w:val="00FC436D"/>
    <w:rsid w:val="00FC43F5"/>
    <w:rsid w:val="00FC4574"/>
    <w:rsid w:val="00FC45FE"/>
    <w:rsid w:val="00FC4701"/>
    <w:rsid w:val="00FC4748"/>
    <w:rsid w:val="00FC478D"/>
    <w:rsid w:val="00FC48FE"/>
    <w:rsid w:val="00FC492E"/>
    <w:rsid w:val="00FC4995"/>
    <w:rsid w:val="00FC4A16"/>
    <w:rsid w:val="00FC4A32"/>
    <w:rsid w:val="00FC4AD7"/>
    <w:rsid w:val="00FC4B61"/>
    <w:rsid w:val="00FC4BB5"/>
    <w:rsid w:val="00FC4BD4"/>
    <w:rsid w:val="00FC4C1D"/>
    <w:rsid w:val="00FC4C5E"/>
    <w:rsid w:val="00FC4CBA"/>
    <w:rsid w:val="00FC4CC4"/>
    <w:rsid w:val="00FC4D11"/>
    <w:rsid w:val="00FC4D87"/>
    <w:rsid w:val="00FC4D89"/>
    <w:rsid w:val="00FC4DA9"/>
    <w:rsid w:val="00FC4DE7"/>
    <w:rsid w:val="00FC4E42"/>
    <w:rsid w:val="00FC4E70"/>
    <w:rsid w:val="00FC4F5B"/>
    <w:rsid w:val="00FC4FBF"/>
    <w:rsid w:val="00FC50D7"/>
    <w:rsid w:val="00FC511C"/>
    <w:rsid w:val="00FC5141"/>
    <w:rsid w:val="00FC51D4"/>
    <w:rsid w:val="00FC5222"/>
    <w:rsid w:val="00FC5266"/>
    <w:rsid w:val="00FC528B"/>
    <w:rsid w:val="00FC5326"/>
    <w:rsid w:val="00FC5383"/>
    <w:rsid w:val="00FC546B"/>
    <w:rsid w:val="00FC54F2"/>
    <w:rsid w:val="00FC5508"/>
    <w:rsid w:val="00FC5521"/>
    <w:rsid w:val="00FC5560"/>
    <w:rsid w:val="00FC55E7"/>
    <w:rsid w:val="00FC561E"/>
    <w:rsid w:val="00FC5644"/>
    <w:rsid w:val="00FC56D2"/>
    <w:rsid w:val="00FC56F8"/>
    <w:rsid w:val="00FC571E"/>
    <w:rsid w:val="00FC5794"/>
    <w:rsid w:val="00FC5878"/>
    <w:rsid w:val="00FC58A8"/>
    <w:rsid w:val="00FC58CC"/>
    <w:rsid w:val="00FC5908"/>
    <w:rsid w:val="00FC594A"/>
    <w:rsid w:val="00FC5986"/>
    <w:rsid w:val="00FC59A7"/>
    <w:rsid w:val="00FC59F1"/>
    <w:rsid w:val="00FC5A08"/>
    <w:rsid w:val="00FC5A2A"/>
    <w:rsid w:val="00FC5A41"/>
    <w:rsid w:val="00FC5A5C"/>
    <w:rsid w:val="00FC5A7E"/>
    <w:rsid w:val="00FC5B9B"/>
    <w:rsid w:val="00FC5BEE"/>
    <w:rsid w:val="00FC5C4B"/>
    <w:rsid w:val="00FC5C7C"/>
    <w:rsid w:val="00FC5C86"/>
    <w:rsid w:val="00FC5CA9"/>
    <w:rsid w:val="00FC5EC4"/>
    <w:rsid w:val="00FC5EFA"/>
    <w:rsid w:val="00FC5F3E"/>
    <w:rsid w:val="00FC6019"/>
    <w:rsid w:val="00FC6021"/>
    <w:rsid w:val="00FC6036"/>
    <w:rsid w:val="00FC6078"/>
    <w:rsid w:val="00FC6156"/>
    <w:rsid w:val="00FC619A"/>
    <w:rsid w:val="00FC61B7"/>
    <w:rsid w:val="00FC61D9"/>
    <w:rsid w:val="00FC626B"/>
    <w:rsid w:val="00FC6295"/>
    <w:rsid w:val="00FC62AE"/>
    <w:rsid w:val="00FC632B"/>
    <w:rsid w:val="00FC6364"/>
    <w:rsid w:val="00FC63AC"/>
    <w:rsid w:val="00FC6405"/>
    <w:rsid w:val="00FC641D"/>
    <w:rsid w:val="00FC644F"/>
    <w:rsid w:val="00FC6476"/>
    <w:rsid w:val="00FC64B1"/>
    <w:rsid w:val="00FC64E0"/>
    <w:rsid w:val="00FC65C0"/>
    <w:rsid w:val="00FC65EB"/>
    <w:rsid w:val="00FC65F0"/>
    <w:rsid w:val="00FC6655"/>
    <w:rsid w:val="00FC6676"/>
    <w:rsid w:val="00FC6714"/>
    <w:rsid w:val="00FC676E"/>
    <w:rsid w:val="00FC6797"/>
    <w:rsid w:val="00FC67EB"/>
    <w:rsid w:val="00FC6828"/>
    <w:rsid w:val="00FC6912"/>
    <w:rsid w:val="00FC6922"/>
    <w:rsid w:val="00FC6936"/>
    <w:rsid w:val="00FC697E"/>
    <w:rsid w:val="00FC69B5"/>
    <w:rsid w:val="00FC69C9"/>
    <w:rsid w:val="00FC6A2D"/>
    <w:rsid w:val="00FC6A51"/>
    <w:rsid w:val="00FC6AB8"/>
    <w:rsid w:val="00FC6B2F"/>
    <w:rsid w:val="00FC6BBC"/>
    <w:rsid w:val="00FC6BFE"/>
    <w:rsid w:val="00FC6C1A"/>
    <w:rsid w:val="00FC6C5B"/>
    <w:rsid w:val="00FC6CC6"/>
    <w:rsid w:val="00FC6CE6"/>
    <w:rsid w:val="00FC6CEE"/>
    <w:rsid w:val="00FC6D1A"/>
    <w:rsid w:val="00FC6D53"/>
    <w:rsid w:val="00FC6DDF"/>
    <w:rsid w:val="00FC6E08"/>
    <w:rsid w:val="00FC6E15"/>
    <w:rsid w:val="00FC6E19"/>
    <w:rsid w:val="00FC6E21"/>
    <w:rsid w:val="00FC6E2B"/>
    <w:rsid w:val="00FC6FC2"/>
    <w:rsid w:val="00FC6FD8"/>
    <w:rsid w:val="00FC6FEE"/>
    <w:rsid w:val="00FC7029"/>
    <w:rsid w:val="00FC70D4"/>
    <w:rsid w:val="00FC711E"/>
    <w:rsid w:val="00FC718A"/>
    <w:rsid w:val="00FC7198"/>
    <w:rsid w:val="00FC71A8"/>
    <w:rsid w:val="00FC71C1"/>
    <w:rsid w:val="00FC7234"/>
    <w:rsid w:val="00FC7350"/>
    <w:rsid w:val="00FC740A"/>
    <w:rsid w:val="00FC7448"/>
    <w:rsid w:val="00FC74EA"/>
    <w:rsid w:val="00FC7523"/>
    <w:rsid w:val="00FC753F"/>
    <w:rsid w:val="00FC7551"/>
    <w:rsid w:val="00FC7594"/>
    <w:rsid w:val="00FC75C1"/>
    <w:rsid w:val="00FC75EE"/>
    <w:rsid w:val="00FC7631"/>
    <w:rsid w:val="00FC7632"/>
    <w:rsid w:val="00FC7641"/>
    <w:rsid w:val="00FC7666"/>
    <w:rsid w:val="00FC7679"/>
    <w:rsid w:val="00FC7691"/>
    <w:rsid w:val="00FC76BC"/>
    <w:rsid w:val="00FC76C1"/>
    <w:rsid w:val="00FC76C7"/>
    <w:rsid w:val="00FC77C8"/>
    <w:rsid w:val="00FC77DC"/>
    <w:rsid w:val="00FC782A"/>
    <w:rsid w:val="00FC7931"/>
    <w:rsid w:val="00FC79A2"/>
    <w:rsid w:val="00FC79FD"/>
    <w:rsid w:val="00FC7A49"/>
    <w:rsid w:val="00FC7B1A"/>
    <w:rsid w:val="00FC7B9F"/>
    <w:rsid w:val="00FC7C3E"/>
    <w:rsid w:val="00FC7C98"/>
    <w:rsid w:val="00FC7CE9"/>
    <w:rsid w:val="00FC7D55"/>
    <w:rsid w:val="00FC7D8F"/>
    <w:rsid w:val="00FC7D9D"/>
    <w:rsid w:val="00FC7DBB"/>
    <w:rsid w:val="00FC7DCD"/>
    <w:rsid w:val="00FC7DF4"/>
    <w:rsid w:val="00FC7E43"/>
    <w:rsid w:val="00FC7E60"/>
    <w:rsid w:val="00FC7ED4"/>
    <w:rsid w:val="00FC7EE6"/>
    <w:rsid w:val="00FC7F20"/>
    <w:rsid w:val="00FC7F21"/>
    <w:rsid w:val="00FC7F6C"/>
    <w:rsid w:val="00FC7FA7"/>
    <w:rsid w:val="00FC7FB3"/>
    <w:rsid w:val="00FC7FBF"/>
    <w:rsid w:val="00FD00BF"/>
    <w:rsid w:val="00FD00C6"/>
    <w:rsid w:val="00FD00CC"/>
    <w:rsid w:val="00FD019E"/>
    <w:rsid w:val="00FD0386"/>
    <w:rsid w:val="00FD03CF"/>
    <w:rsid w:val="00FD0419"/>
    <w:rsid w:val="00FD041E"/>
    <w:rsid w:val="00FD045E"/>
    <w:rsid w:val="00FD050A"/>
    <w:rsid w:val="00FD0515"/>
    <w:rsid w:val="00FD052E"/>
    <w:rsid w:val="00FD058B"/>
    <w:rsid w:val="00FD05C7"/>
    <w:rsid w:val="00FD05DE"/>
    <w:rsid w:val="00FD061E"/>
    <w:rsid w:val="00FD0671"/>
    <w:rsid w:val="00FD0679"/>
    <w:rsid w:val="00FD068B"/>
    <w:rsid w:val="00FD06CC"/>
    <w:rsid w:val="00FD07C8"/>
    <w:rsid w:val="00FD0807"/>
    <w:rsid w:val="00FD0856"/>
    <w:rsid w:val="00FD0857"/>
    <w:rsid w:val="00FD086E"/>
    <w:rsid w:val="00FD08C4"/>
    <w:rsid w:val="00FD08DA"/>
    <w:rsid w:val="00FD0914"/>
    <w:rsid w:val="00FD0A27"/>
    <w:rsid w:val="00FD0A5E"/>
    <w:rsid w:val="00FD0AFB"/>
    <w:rsid w:val="00FD0B0B"/>
    <w:rsid w:val="00FD0BEA"/>
    <w:rsid w:val="00FD0BFE"/>
    <w:rsid w:val="00FD0C0D"/>
    <w:rsid w:val="00FD0C39"/>
    <w:rsid w:val="00FD0C65"/>
    <w:rsid w:val="00FD0D87"/>
    <w:rsid w:val="00FD0DC2"/>
    <w:rsid w:val="00FD0DE9"/>
    <w:rsid w:val="00FD0E5C"/>
    <w:rsid w:val="00FD0EA4"/>
    <w:rsid w:val="00FD0ECE"/>
    <w:rsid w:val="00FD0EEC"/>
    <w:rsid w:val="00FD0F19"/>
    <w:rsid w:val="00FD0F7F"/>
    <w:rsid w:val="00FD0FAB"/>
    <w:rsid w:val="00FD0FE5"/>
    <w:rsid w:val="00FD106A"/>
    <w:rsid w:val="00FD10B9"/>
    <w:rsid w:val="00FD10D8"/>
    <w:rsid w:val="00FD1176"/>
    <w:rsid w:val="00FD1270"/>
    <w:rsid w:val="00FD1283"/>
    <w:rsid w:val="00FD12E3"/>
    <w:rsid w:val="00FD1319"/>
    <w:rsid w:val="00FD131B"/>
    <w:rsid w:val="00FD136B"/>
    <w:rsid w:val="00FD13A6"/>
    <w:rsid w:val="00FD141F"/>
    <w:rsid w:val="00FD1439"/>
    <w:rsid w:val="00FD1472"/>
    <w:rsid w:val="00FD1489"/>
    <w:rsid w:val="00FD1544"/>
    <w:rsid w:val="00FD15A4"/>
    <w:rsid w:val="00FD15C1"/>
    <w:rsid w:val="00FD15DF"/>
    <w:rsid w:val="00FD1644"/>
    <w:rsid w:val="00FD16B5"/>
    <w:rsid w:val="00FD173C"/>
    <w:rsid w:val="00FD1753"/>
    <w:rsid w:val="00FD17B3"/>
    <w:rsid w:val="00FD1803"/>
    <w:rsid w:val="00FD182C"/>
    <w:rsid w:val="00FD1836"/>
    <w:rsid w:val="00FD183B"/>
    <w:rsid w:val="00FD186E"/>
    <w:rsid w:val="00FD192F"/>
    <w:rsid w:val="00FD195E"/>
    <w:rsid w:val="00FD1A0D"/>
    <w:rsid w:val="00FD1A3B"/>
    <w:rsid w:val="00FD1AA0"/>
    <w:rsid w:val="00FD1AF8"/>
    <w:rsid w:val="00FD1B18"/>
    <w:rsid w:val="00FD1BE7"/>
    <w:rsid w:val="00FD1C82"/>
    <w:rsid w:val="00FD1CD2"/>
    <w:rsid w:val="00FD1E25"/>
    <w:rsid w:val="00FD1E30"/>
    <w:rsid w:val="00FD1E6A"/>
    <w:rsid w:val="00FD1E75"/>
    <w:rsid w:val="00FD1EB0"/>
    <w:rsid w:val="00FD1F25"/>
    <w:rsid w:val="00FD1F83"/>
    <w:rsid w:val="00FD1FBB"/>
    <w:rsid w:val="00FD2006"/>
    <w:rsid w:val="00FD2094"/>
    <w:rsid w:val="00FD209A"/>
    <w:rsid w:val="00FD20CC"/>
    <w:rsid w:val="00FD212A"/>
    <w:rsid w:val="00FD212F"/>
    <w:rsid w:val="00FD21B4"/>
    <w:rsid w:val="00FD21C3"/>
    <w:rsid w:val="00FD21ED"/>
    <w:rsid w:val="00FD2232"/>
    <w:rsid w:val="00FD22CA"/>
    <w:rsid w:val="00FD2363"/>
    <w:rsid w:val="00FD23CB"/>
    <w:rsid w:val="00FD24B1"/>
    <w:rsid w:val="00FD2505"/>
    <w:rsid w:val="00FD2556"/>
    <w:rsid w:val="00FD262E"/>
    <w:rsid w:val="00FD26B2"/>
    <w:rsid w:val="00FD2707"/>
    <w:rsid w:val="00FD2764"/>
    <w:rsid w:val="00FD27E6"/>
    <w:rsid w:val="00FD27F3"/>
    <w:rsid w:val="00FD27FB"/>
    <w:rsid w:val="00FD281B"/>
    <w:rsid w:val="00FD2834"/>
    <w:rsid w:val="00FD286F"/>
    <w:rsid w:val="00FD28B4"/>
    <w:rsid w:val="00FD28E4"/>
    <w:rsid w:val="00FD2956"/>
    <w:rsid w:val="00FD2995"/>
    <w:rsid w:val="00FD2AD5"/>
    <w:rsid w:val="00FD2AD8"/>
    <w:rsid w:val="00FD2ADD"/>
    <w:rsid w:val="00FD2B02"/>
    <w:rsid w:val="00FD2B04"/>
    <w:rsid w:val="00FD2BDF"/>
    <w:rsid w:val="00FD2CF3"/>
    <w:rsid w:val="00FD2D2A"/>
    <w:rsid w:val="00FD2D31"/>
    <w:rsid w:val="00FD2D55"/>
    <w:rsid w:val="00FD2D98"/>
    <w:rsid w:val="00FD2E4E"/>
    <w:rsid w:val="00FD2E6E"/>
    <w:rsid w:val="00FD2EBF"/>
    <w:rsid w:val="00FD2F2B"/>
    <w:rsid w:val="00FD2F2F"/>
    <w:rsid w:val="00FD30F1"/>
    <w:rsid w:val="00FD319F"/>
    <w:rsid w:val="00FD31AC"/>
    <w:rsid w:val="00FD32C1"/>
    <w:rsid w:val="00FD331C"/>
    <w:rsid w:val="00FD3350"/>
    <w:rsid w:val="00FD33FC"/>
    <w:rsid w:val="00FD349B"/>
    <w:rsid w:val="00FD34B3"/>
    <w:rsid w:val="00FD3535"/>
    <w:rsid w:val="00FD3538"/>
    <w:rsid w:val="00FD3568"/>
    <w:rsid w:val="00FD35D5"/>
    <w:rsid w:val="00FD35F6"/>
    <w:rsid w:val="00FD36FE"/>
    <w:rsid w:val="00FD3740"/>
    <w:rsid w:val="00FD3766"/>
    <w:rsid w:val="00FD37A2"/>
    <w:rsid w:val="00FD37EC"/>
    <w:rsid w:val="00FD3844"/>
    <w:rsid w:val="00FD3870"/>
    <w:rsid w:val="00FD3894"/>
    <w:rsid w:val="00FD38CD"/>
    <w:rsid w:val="00FD391A"/>
    <w:rsid w:val="00FD395C"/>
    <w:rsid w:val="00FD39C3"/>
    <w:rsid w:val="00FD39EB"/>
    <w:rsid w:val="00FD3A30"/>
    <w:rsid w:val="00FD3A3A"/>
    <w:rsid w:val="00FD3A3C"/>
    <w:rsid w:val="00FD3BA1"/>
    <w:rsid w:val="00FD3C47"/>
    <w:rsid w:val="00FD3D19"/>
    <w:rsid w:val="00FD3D2D"/>
    <w:rsid w:val="00FD3D67"/>
    <w:rsid w:val="00FD3D8C"/>
    <w:rsid w:val="00FD3E09"/>
    <w:rsid w:val="00FD3E37"/>
    <w:rsid w:val="00FD3EF7"/>
    <w:rsid w:val="00FD3F68"/>
    <w:rsid w:val="00FD3F8A"/>
    <w:rsid w:val="00FD3F8E"/>
    <w:rsid w:val="00FD3F98"/>
    <w:rsid w:val="00FD3FD3"/>
    <w:rsid w:val="00FD4014"/>
    <w:rsid w:val="00FD4050"/>
    <w:rsid w:val="00FD4095"/>
    <w:rsid w:val="00FD409C"/>
    <w:rsid w:val="00FD41A4"/>
    <w:rsid w:val="00FD41E1"/>
    <w:rsid w:val="00FD41FD"/>
    <w:rsid w:val="00FD4250"/>
    <w:rsid w:val="00FD42C7"/>
    <w:rsid w:val="00FD43D4"/>
    <w:rsid w:val="00FD4428"/>
    <w:rsid w:val="00FD4442"/>
    <w:rsid w:val="00FD445A"/>
    <w:rsid w:val="00FD460B"/>
    <w:rsid w:val="00FD46B2"/>
    <w:rsid w:val="00FD4779"/>
    <w:rsid w:val="00FD47D4"/>
    <w:rsid w:val="00FD482C"/>
    <w:rsid w:val="00FD483C"/>
    <w:rsid w:val="00FD4855"/>
    <w:rsid w:val="00FD4894"/>
    <w:rsid w:val="00FD48DA"/>
    <w:rsid w:val="00FD48DB"/>
    <w:rsid w:val="00FD491D"/>
    <w:rsid w:val="00FD4978"/>
    <w:rsid w:val="00FD49CE"/>
    <w:rsid w:val="00FD4A0B"/>
    <w:rsid w:val="00FD4A56"/>
    <w:rsid w:val="00FD4A66"/>
    <w:rsid w:val="00FD4AEB"/>
    <w:rsid w:val="00FD4B7E"/>
    <w:rsid w:val="00FD4BAF"/>
    <w:rsid w:val="00FD4BC8"/>
    <w:rsid w:val="00FD4BE2"/>
    <w:rsid w:val="00FD4CB0"/>
    <w:rsid w:val="00FD4CF7"/>
    <w:rsid w:val="00FD4D5F"/>
    <w:rsid w:val="00FD4DB6"/>
    <w:rsid w:val="00FD4DD4"/>
    <w:rsid w:val="00FD4E86"/>
    <w:rsid w:val="00FD4EE6"/>
    <w:rsid w:val="00FD4F21"/>
    <w:rsid w:val="00FD4FFD"/>
    <w:rsid w:val="00FD5059"/>
    <w:rsid w:val="00FD5083"/>
    <w:rsid w:val="00FD508E"/>
    <w:rsid w:val="00FD50A7"/>
    <w:rsid w:val="00FD50CE"/>
    <w:rsid w:val="00FD5115"/>
    <w:rsid w:val="00FD51AD"/>
    <w:rsid w:val="00FD5218"/>
    <w:rsid w:val="00FD521A"/>
    <w:rsid w:val="00FD5258"/>
    <w:rsid w:val="00FD52A7"/>
    <w:rsid w:val="00FD52D6"/>
    <w:rsid w:val="00FD530D"/>
    <w:rsid w:val="00FD5345"/>
    <w:rsid w:val="00FD53C7"/>
    <w:rsid w:val="00FD53D2"/>
    <w:rsid w:val="00FD5480"/>
    <w:rsid w:val="00FD5514"/>
    <w:rsid w:val="00FD5633"/>
    <w:rsid w:val="00FD5636"/>
    <w:rsid w:val="00FD568F"/>
    <w:rsid w:val="00FD56C1"/>
    <w:rsid w:val="00FD56E5"/>
    <w:rsid w:val="00FD5734"/>
    <w:rsid w:val="00FD5748"/>
    <w:rsid w:val="00FD5790"/>
    <w:rsid w:val="00FD57AE"/>
    <w:rsid w:val="00FD57FB"/>
    <w:rsid w:val="00FD581D"/>
    <w:rsid w:val="00FD583B"/>
    <w:rsid w:val="00FD58D5"/>
    <w:rsid w:val="00FD599B"/>
    <w:rsid w:val="00FD59EB"/>
    <w:rsid w:val="00FD5A3C"/>
    <w:rsid w:val="00FD5A40"/>
    <w:rsid w:val="00FD5A72"/>
    <w:rsid w:val="00FD5AF4"/>
    <w:rsid w:val="00FD5B25"/>
    <w:rsid w:val="00FD5C0F"/>
    <w:rsid w:val="00FD5C2E"/>
    <w:rsid w:val="00FD5C31"/>
    <w:rsid w:val="00FD5CF9"/>
    <w:rsid w:val="00FD5E4C"/>
    <w:rsid w:val="00FD5F18"/>
    <w:rsid w:val="00FD5F9C"/>
    <w:rsid w:val="00FD5FBF"/>
    <w:rsid w:val="00FD5FEB"/>
    <w:rsid w:val="00FD6021"/>
    <w:rsid w:val="00FD60A1"/>
    <w:rsid w:val="00FD60C1"/>
    <w:rsid w:val="00FD60C6"/>
    <w:rsid w:val="00FD6168"/>
    <w:rsid w:val="00FD618E"/>
    <w:rsid w:val="00FD61E6"/>
    <w:rsid w:val="00FD61ED"/>
    <w:rsid w:val="00FD6314"/>
    <w:rsid w:val="00FD6465"/>
    <w:rsid w:val="00FD648E"/>
    <w:rsid w:val="00FD64CE"/>
    <w:rsid w:val="00FD64E0"/>
    <w:rsid w:val="00FD652F"/>
    <w:rsid w:val="00FD654F"/>
    <w:rsid w:val="00FD6558"/>
    <w:rsid w:val="00FD658D"/>
    <w:rsid w:val="00FD65DC"/>
    <w:rsid w:val="00FD65F7"/>
    <w:rsid w:val="00FD665E"/>
    <w:rsid w:val="00FD67E0"/>
    <w:rsid w:val="00FD67F1"/>
    <w:rsid w:val="00FD683E"/>
    <w:rsid w:val="00FD6841"/>
    <w:rsid w:val="00FD6859"/>
    <w:rsid w:val="00FD688A"/>
    <w:rsid w:val="00FD68BF"/>
    <w:rsid w:val="00FD68F1"/>
    <w:rsid w:val="00FD6945"/>
    <w:rsid w:val="00FD697E"/>
    <w:rsid w:val="00FD6A14"/>
    <w:rsid w:val="00FD6A40"/>
    <w:rsid w:val="00FD6AA3"/>
    <w:rsid w:val="00FD6AC1"/>
    <w:rsid w:val="00FD6B5E"/>
    <w:rsid w:val="00FD6B8F"/>
    <w:rsid w:val="00FD6BF1"/>
    <w:rsid w:val="00FD6C48"/>
    <w:rsid w:val="00FD6C53"/>
    <w:rsid w:val="00FD6CB1"/>
    <w:rsid w:val="00FD6CC6"/>
    <w:rsid w:val="00FD6D8C"/>
    <w:rsid w:val="00FD6DC7"/>
    <w:rsid w:val="00FD6DE0"/>
    <w:rsid w:val="00FD6DF7"/>
    <w:rsid w:val="00FD6E95"/>
    <w:rsid w:val="00FD6ED9"/>
    <w:rsid w:val="00FD6EE8"/>
    <w:rsid w:val="00FD6F33"/>
    <w:rsid w:val="00FD6F81"/>
    <w:rsid w:val="00FD6FC2"/>
    <w:rsid w:val="00FD7102"/>
    <w:rsid w:val="00FD7110"/>
    <w:rsid w:val="00FD7197"/>
    <w:rsid w:val="00FD71A0"/>
    <w:rsid w:val="00FD71B5"/>
    <w:rsid w:val="00FD71D3"/>
    <w:rsid w:val="00FD7236"/>
    <w:rsid w:val="00FD723A"/>
    <w:rsid w:val="00FD7261"/>
    <w:rsid w:val="00FD72D1"/>
    <w:rsid w:val="00FD72ED"/>
    <w:rsid w:val="00FD72F2"/>
    <w:rsid w:val="00FD73BE"/>
    <w:rsid w:val="00FD7402"/>
    <w:rsid w:val="00FD749A"/>
    <w:rsid w:val="00FD7566"/>
    <w:rsid w:val="00FD75A1"/>
    <w:rsid w:val="00FD7626"/>
    <w:rsid w:val="00FD7668"/>
    <w:rsid w:val="00FD7670"/>
    <w:rsid w:val="00FD76C5"/>
    <w:rsid w:val="00FD76D5"/>
    <w:rsid w:val="00FD774F"/>
    <w:rsid w:val="00FD7798"/>
    <w:rsid w:val="00FD77BF"/>
    <w:rsid w:val="00FD7830"/>
    <w:rsid w:val="00FD787C"/>
    <w:rsid w:val="00FD7918"/>
    <w:rsid w:val="00FD798A"/>
    <w:rsid w:val="00FD79CF"/>
    <w:rsid w:val="00FD7A39"/>
    <w:rsid w:val="00FD7A48"/>
    <w:rsid w:val="00FD7A64"/>
    <w:rsid w:val="00FD7AAF"/>
    <w:rsid w:val="00FD7ACA"/>
    <w:rsid w:val="00FD7BD2"/>
    <w:rsid w:val="00FD7C6A"/>
    <w:rsid w:val="00FD7C7D"/>
    <w:rsid w:val="00FD7C8D"/>
    <w:rsid w:val="00FD7C97"/>
    <w:rsid w:val="00FD7CFC"/>
    <w:rsid w:val="00FD7DD8"/>
    <w:rsid w:val="00FD7E3B"/>
    <w:rsid w:val="00FD7EC5"/>
    <w:rsid w:val="00FD7EC7"/>
    <w:rsid w:val="00FD7ECF"/>
    <w:rsid w:val="00FD7F2B"/>
    <w:rsid w:val="00FD7FDC"/>
    <w:rsid w:val="00FE0072"/>
    <w:rsid w:val="00FE0083"/>
    <w:rsid w:val="00FE0165"/>
    <w:rsid w:val="00FE01B0"/>
    <w:rsid w:val="00FE01CF"/>
    <w:rsid w:val="00FE0281"/>
    <w:rsid w:val="00FE02A8"/>
    <w:rsid w:val="00FE02C3"/>
    <w:rsid w:val="00FE054E"/>
    <w:rsid w:val="00FE0584"/>
    <w:rsid w:val="00FE05AD"/>
    <w:rsid w:val="00FE065E"/>
    <w:rsid w:val="00FE0673"/>
    <w:rsid w:val="00FE0713"/>
    <w:rsid w:val="00FE07CD"/>
    <w:rsid w:val="00FE07E1"/>
    <w:rsid w:val="00FE0800"/>
    <w:rsid w:val="00FE08E3"/>
    <w:rsid w:val="00FE0965"/>
    <w:rsid w:val="00FE09DF"/>
    <w:rsid w:val="00FE09EF"/>
    <w:rsid w:val="00FE0A28"/>
    <w:rsid w:val="00FE0A3E"/>
    <w:rsid w:val="00FE0A76"/>
    <w:rsid w:val="00FE0A93"/>
    <w:rsid w:val="00FE0AA7"/>
    <w:rsid w:val="00FE0AF7"/>
    <w:rsid w:val="00FE0B43"/>
    <w:rsid w:val="00FE0B65"/>
    <w:rsid w:val="00FE0C02"/>
    <w:rsid w:val="00FE0C2C"/>
    <w:rsid w:val="00FE0CC3"/>
    <w:rsid w:val="00FE0CD3"/>
    <w:rsid w:val="00FE0D1D"/>
    <w:rsid w:val="00FE0D36"/>
    <w:rsid w:val="00FE0E1A"/>
    <w:rsid w:val="00FE0E3C"/>
    <w:rsid w:val="00FE0E65"/>
    <w:rsid w:val="00FE0ECA"/>
    <w:rsid w:val="00FE0EF6"/>
    <w:rsid w:val="00FE0FFF"/>
    <w:rsid w:val="00FE10DD"/>
    <w:rsid w:val="00FE10ED"/>
    <w:rsid w:val="00FE1119"/>
    <w:rsid w:val="00FE11E0"/>
    <w:rsid w:val="00FE11ED"/>
    <w:rsid w:val="00FE1210"/>
    <w:rsid w:val="00FE1224"/>
    <w:rsid w:val="00FE124E"/>
    <w:rsid w:val="00FE1360"/>
    <w:rsid w:val="00FE136B"/>
    <w:rsid w:val="00FE13A5"/>
    <w:rsid w:val="00FE1410"/>
    <w:rsid w:val="00FE1441"/>
    <w:rsid w:val="00FE148D"/>
    <w:rsid w:val="00FE14DD"/>
    <w:rsid w:val="00FE14EB"/>
    <w:rsid w:val="00FE152A"/>
    <w:rsid w:val="00FE15A8"/>
    <w:rsid w:val="00FE15BA"/>
    <w:rsid w:val="00FE15BB"/>
    <w:rsid w:val="00FE15E5"/>
    <w:rsid w:val="00FE1622"/>
    <w:rsid w:val="00FE1648"/>
    <w:rsid w:val="00FE164D"/>
    <w:rsid w:val="00FE16B1"/>
    <w:rsid w:val="00FE16C5"/>
    <w:rsid w:val="00FE16D6"/>
    <w:rsid w:val="00FE16FD"/>
    <w:rsid w:val="00FE171F"/>
    <w:rsid w:val="00FE1734"/>
    <w:rsid w:val="00FE1774"/>
    <w:rsid w:val="00FE179F"/>
    <w:rsid w:val="00FE183E"/>
    <w:rsid w:val="00FE191F"/>
    <w:rsid w:val="00FE19C0"/>
    <w:rsid w:val="00FE19E2"/>
    <w:rsid w:val="00FE1A37"/>
    <w:rsid w:val="00FE1A97"/>
    <w:rsid w:val="00FE1AC3"/>
    <w:rsid w:val="00FE1B4C"/>
    <w:rsid w:val="00FE1B86"/>
    <w:rsid w:val="00FE1BCB"/>
    <w:rsid w:val="00FE1BE3"/>
    <w:rsid w:val="00FE1C1D"/>
    <w:rsid w:val="00FE1C35"/>
    <w:rsid w:val="00FE1C41"/>
    <w:rsid w:val="00FE1C5F"/>
    <w:rsid w:val="00FE1CAB"/>
    <w:rsid w:val="00FE1CB8"/>
    <w:rsid w:val="00FE1D28"/>
    <w:rsid w:val="00FE1D77"/>
    <w:rsid w:val="00FE1DA7"/>
    <w:rsid w:val="00FE1DB5"/>
    <w:rsid w:val="00FE1DBC"/>
    <w:rsid w:val="00FE1DCB"/>
    <w:rsid w:val="00FE1E8B"/>
    <w:rsid w:val="00FE1F3A"/>
    <w:rsid w:val="00FE1F54"/>
    <w:rsid w:val="00FE1F8A"/>
    <w:rsid w:val="00FE2001"/>
    <w:rsid w:val="00FE203F"/>
    <w:rsid w:val="00FE2054"/>
    <w:rsid w:val="00FE2091"/>
    <w:rsid w:val="00FE20B8"/>
    <w:rsid w:val="00FE20C7"/>
    <w:rsid w:val="00FE211D"/>
    <w:rsid w:val="00FE2179"/>
    <w:rsid w:val="00FE217C"/>
    <w:rsid w:val="00FE21A9"/>
    <w:rsid w:val="00FE21EB"/>
    <w:rsid w:val="00FE21F2"/>
    <w:rsid w:val="00FE225D"/>
    <w:rsid w:val="00FE229E"/>
    <w:rsid w:val="00FE22A9"/>
    <w:rsid w:val="00FE2345"/>
    <w:rsid w:val="00FE2437"/>
    <w:rsid w:val="00FE2548"/>
    <w:rsid w:val="00FE2595"/>
    <w:rsid w:val="00FE25C3"/>
    <w:rsid w:val="00FE2602"/>
    <w:rsid w:val="00FE2666"/>
    <w:rsid w:val="00FE26A3"/>
    <w:rsid w:val="00FE26CE"/>
    <w:rsid w:val="00FE272B"/>
    <w:rsid w:val="00FE272E"/>
    <w:rsid w:val="00FE27A7"/>
    <w:rsid w:val="00FE27D6"/>
    <w:rsid w:val="00FE2807"/>
    <w:rsid w:val="00FE281E"/>
    <w:rsid w:val="00FE28D9"/>
    <w:rsid w:val="00FE28F7"/>
    <w:rsid w:val="00FE2984"/>
    <w:rsid w:val="00FE2A63"/>
    <w:rsid w:val="00FE2B4D"/>
    <w:rsid w:val="00FE2B55"/>
    <w:rsid w:val="00FE2BCA"/>
    <w:rsid w:val="00FE2C25"/>
    <w:rsid w:val="00FE2C44"/>
    <w:rsid w:val="00FE2E1D"/>
    <w:rsid w:val="00FE2E24"/>
    <w:rsid w:val="00FE2F48"/>
    <w:rsid w:val="00FE2FD6"/>
    <w:rsid w:val="00FE312B"/>
    <w:rsid w:val="00FE31BB"/>
    <w:rsid w:val="00FE31EC"/>
    <w:rsid w:val="00FE3218"/>
    <w:rsid w:val="00FE3226"/>
    <w:rsid w:val="00FE32B4"/>
    <w:rsid w:val="00FE32FB"/>
    <w:rsid w:val="00FE3387"/>
    <w:rsid w:val="00FE3394"/>
    <w:rsid w:val="00FE33BD"/>
    <w:rsid w:val="00FE3425"/>
    <w:rsid w:val="00FE344F"/>
    <w:rsid w:val="00FE3464"/>
    <w:rsid w:val="00FE3466"/>
    <w:rsid w:val="00FE347A"/>
    <w:rsid w:val="00FE3502"/>
    <w:rsid w:val="00FE35AE"/>
    <w:rsid w:val="00FE35B1"/>
    <w:rsid w:val="00FE35B5"/>
    <w:rsid w:val="00FE35BA"/>
    <w:rsid w:val="00FE35F2"/>
    <w:rsid w:val="00FE3628"/>
    <w:rsid w:val="00FE36A9"/>
    <w:rsid w:val="00FE36D4"/>
    <w:rsid w:val="00FE3770"/>
    <w:rsid w:val="00FE37BB"/>
    <w:rsid w:val="00FE37CA"/>
    <w:rsid w:val="00FE38B8"/>
    <w:rsid w:val="00FE38FD"/>
    <w:rsid w:val="00FE38FE"/>
    <w:rsid w:val="00FE3918"/>
    <w:rsid w:val="00FE3950"/>
    <w:rsid w:val="00FE3A43"/>
    <w:rsid w:val="00FE3ADA"/>
    <w:rsid w:val="00FE3B25"/>
    <w:rsid w:val="00FE3B27"/>
    <w:rsid w:val="00FE3BC7"/>
    <w:rsid w:val="00FE3BFC"/>
    <w:rsid w:val="00FE3CA7"/>
    <w:rsid w:val="00FE3D0F"/>
    <w:rsid w:val="00FE3E16"/>
    <w:rsid w:val="00FE3E7A"/>
    <w:rsid w:val="00FE3EE0"/>
    <w:rsid w:val="00FE3F5C"/>
    <w:rsid w:val="00FE3F7B"/>
    <w:rsid w:val="00FE3F7C"/>
    <w:rsid w:val="00FE3FC6"/>
    <w:rsid w:val="00FE4053"/>
    <w:rsid w:val="00FE4059"/>
    <w:rsid w:val="00FE40C3"/>
    <w:rsid w:val="00FE413F"/>
    <w:rsid w:val="00FE428E"/>
    <w:rsid w:val="00FE42EA"/>
    <w:rsid w:val="00FE42F7"/>
    <w:rsid w:val="00FE42FD"/>
    <w:rsid w:val="00FE439A"/>
    <w:rsid w:val="00FE43EA"/>
    <w:rsid w:val="00FE4418"/>
    <w:rsid w:val="00FE4465"/>
    <w:rsid w:val="00FE44A8"/>
    <w:rsid w:val="00FE44B3"/>
    <w:rsid w:val="00FE465A"/>
    <w:rsid w:val="00FE46A2"/>
    <w:rsid w:val="00FE476A"/>
    <w:rsid w:val="00FE481E"/>
    <w:rsid w:val="00FE4892"/>
    <w:rsid w:val="00FE48A0"/>
    <w:rsid w:val="00FE49CE"/>
    <w:rsid w:val="00FE4A0E"/>
    <w:rsid w:val="00FE4A31"/>
    <w:rsid w:val="00FE4AA5"/>
    <w:rsid w:val="00FE4AAE"/>
    <w:rsid w:val="00FE4AE9"/>
    <w:rsid w:val="00FE4B9D"/>
    <w:rsid w:val="00FE4C32"/>
    <w:rsid w:val="00FE4C52"/>
    <w:rsid w:val="00FE4CF2"/>
    <w:rsid w:val="00FE4D2C"/>
    <w:rsid w:val="00FE4D31"/>
    <w:rsid w:val="00FE4D7E"/>
    <w:rsid w:val="00FE4DF8"/>
    <w:rsid w:val="00FE4E08"/>
    <w:rsid w:val="00FE4E16"/>
    <w:rsid w:val="00FE4EC1"/>
    <w:rsid w:val="00FE4EEB"/>
    <w:rsid w:val="00FE4EED"/>
    <w:rsid w:val="00FE4F09"/>
    <w:rsid w:val="00FE4F4F"/>
    <w:rsid w:val="00FE502F"/>
    <w:rsid w:val="00FE5030"/>
    <w:rsid w:val="00FE5049"/>
    <w:rsid w:val="00FE5081"/>
    <w:rsid w:val="00FE509C"/>
    <w:rsid w:val="00FE50B5"/>
    <w:rsid w:val="00FE5106"/>
    <w:rsid w:val="00FE5170"/>
    <w:rsid w:val="00FE51B3"/>
    <w:rsid w:val="00FE51BC"/>
    <w:rsid w:val="00FE51C4"/>
    <w:rsid w:val="00FE526C"/>
    <w:rsid w:val="00FE5329"/>
    <w:rsid w:val="00FE5387"/>
    <w:rsid w:val="00FE5427"/>
    <w:rsid w:val="00FE543E"/>
    <w:rsid w:val="00FE54E4"/>
    <w:rsid w:val="00FE557D"/>
    <w:rsid w:val="00FE5645"/>
    <w:rsid w:val="00FE5675"/>
    <w:rsid w:val="00FE569C"/>
    <w:rsid w:val="00FE56EC"/>
    <w:rsid w:val="00FE56ED"/>
    <w:rsid w:val="00FE5752"/>
    <w:rsid w:val="00FE575A"/>
    <w:rsid w:val="00FE584C"/>
    <w:rsid w:val="00FE58DD"/>
    <w:rsid w:val="00FE5AA4"/>
    <w:rsid w:val="00FE5B7C"/>
    <w:rsid w:val="00FE5B9F"/>
    <w:rsid w:val="00FE5BE4"/>
    <w:rsid w:val="00FE5C05"/>
    <w:rsid w:val="00FE5C7F"/>
    <w:rsid w:val="00FE5C81"/>
    <w:rsid w:val="00FE5C89"/>
    <w:rsid w:val="00FE5D27"/>
    <w:rsid w:val="00FE5DAE"/>
    <w:rsid w:val="00FE5EB1"/>
    <w:rsid w:val="00FE5EFF"/>
    <w:rsid w:val="00FE5F39"/>
    <w:rsid w:val="00FE5F66"/>
    <w:rsid w:val="00FE6024"/>
    <w:rsid w:val="00FE6081"/>
    <w:rsid w:val="00FE60D5"/>
    <w:rsid w:val="00FE6163"/>
    <w:rsid w:val="00FE6215"/>
    <w:rsid w:val="00FE626A"/>
    <w:rsid w:val="00FE62AD"/>
    <w:rsid w:val="00FE62DF"/>
    <w:rsid w:val="00FE62F3"/>
    <w:rsid w:val="00FE63C8"/>
    <w:rsid w:val="00FE63D1"/>
    <w:rsid w:val="00FE63F1"/>
    <w:rsid w:val="00FE6423"/>
    <w:rsid w:val="00FE6523"/>
    <w:rsid w:val="00FE6539"/>
    <w:rsid w:val="00FE655F"/>
    <w:rsid w:val="00FE65A0"/>
    <w:rsid w:val="00FE65D3"/>
    <w:rsid w:val="00FE6648"/>
    <w:rsid w:val="00FE668A"/>
    <w:rsid w:val="00FE66A0"/>
    <w:rsid w:val="00FE66B1"/>
    <w:rsid w:val="00FE66D2"/>
    <w:rsid w:val="00FE66D7"/>
    <w:rsid w:val="00FE6746"/>
    <w:rsid w:val="00FE682C"/>
    <w:rsid w:val="00FE6879"/>
    <w:rsid w:val="00FE688C"/>
    <w:rsid w:val="00FE68B0"/>
    <w:rsid w:val="00FE68C6"/>
    <w:rsid w:val="00FE68DA"/>
    <w:rsid w:val="00FE6933"/>
    <w:rsid w:val="00FE6A37"/>
    <w:rsid w:val="00FE6A4D"/>
    <w:rsid w:val="00FE6A69"/>
    <w:rsid w:val="00FE6A6A"/>
    <w:rsid w:val="00FE6B0A"/>
    <w:rsid w:val="00FE6BDD"/>
    <w:rsid w:val="00FE6C37"/>
    <w:rsid w:val="00FE6C6A"/>
    <w:rsid w:val="00FE6C98"/>
    <w:rsid w:val="00FE6CAA"/>
    <w:rsid w:val="00FE6D43"/>
    <w:rsid w:val="00FE6D74"/>
    <w:rsid w:val="00FE6DC3"/>
    <w:rsid w:val="00FE6DE8"/>
    <w:rsid w:val="00FE6E1C"/>
    <w:rsid w:val="00FE6E29"/>
    <w:rsid w:val="00FE6E77"/>
    <w:rsid w:val="00FE6EB8"/>
    <w:rsid w:val="00FE6EC8"/>
    <w:rsid w:val="00FE6EE8"/>
    <w:rsid w:val="00FE6F24"/>
    <w:rsid w:val="00FE6F64"/>
    <w:rsid w:val="00FE6F89"/>
    <w:rsid w:val="00FE6F9D"/>
    <w:rsid w:val="00FE6FA1"/>
    <w:rsid w:val="00FE6FB9"/>
    <w:rsid w:val="00FE700B"/>
    <w:rsid w:val="00FE704D"/>
    <w:rsid w:val="00FE7095"/>
    <w:rsid w:val="00FE7158"/>
    <w:rsid w:val="00FE7165"/>
    <w:rsid w:val="00FE7194"/>
    <w:rsid w:val="00FE71D5"/>
    <w:rsid w:val="00FE7287"/>
    <w:rsid w:val="00FE72F9"/>
    <w:rsid w:val="00FE7324"/>
    <w:rsid w:val="00FE7367"/>
    <w:rsid w:val="00FE7377"/>
    <w:rsid w:val="00FE739B"/>
    <w:rsid w:val="00FE73EB"/>
    <w:rsid w:val="00FE7468"/>
    <w:rsid w:val="00FE746B"/>
    <w:rsid w:val="00FE7472"/>
    <w:rsid w:val="00FE7478"/>
    <w:rsid w:val="00FE747C"/>
    <w:rsid w:val="00FE74C0"/>
    <w:rsid w:val="00FE74DF"/>
    <w:rsid w:val="00FE7546"/>
    <w:rsid w:val="00FE75E0"/>
    <w:rsid w:val="00FE7670"/>
    <w:rsid w:val="00FE76F0"/>
    <w:rsid w:val="00FE777D"/>
    <w:rsid w:val="00FE77B9"/>
    <w:rsid w:val="00FE7B24"/>
    <w:rsid w:val="00FE7B27"/>
    <w:rsid w:val="00FE7B6F"/>
    <w:rsid w:val="00FE7BD2"/>
    <w:rsid w:val="00FE7C6D"/>
    <w:rsid w:val="00FE7C7C"/>
    <w:rsid w:val="00FE7C8C"/>
    <w:rsid w:val="00FE7C94"/>
    <w:rsid w:val="00FE7CBE"/>
    <w:rsid w:val="00FE7D5E"/>
    <w:rsid w:val="00FE7D69"/>
    <w:rsid w:val="00FE7D89"/>
    <w:rsid w:val="00FE7DED"/>
    <w:rsid w:val="00FE7E2A"/>
    <w:rsid w:val="00FE7E43"/>
    <w:rsid w:val="00FE7E57"/>
    <w:rsid w:val="00FE7E82"/>
    <w:rsid w:val="00FE7EB4"/>
    <w:rsid w:val="00FE7ECE"/>
    <w:rsid w:val="00FE7EE3"/>
    <w:rsid w:val="00FE7F03"/>
    <w:rsid w:val="00FE7F06"/>
    <w:rsid w:val="00FE7F15"/>
    <w:rsid w:val="00FE7F1F"/>
    <w:rsid w:val="00FF0015"/>
    <w:rsid w:val="00FF00A4"/>
    <w:rsid w:val="00FF00B9"/>
    <w:rsid w:val="00FF0175"/>
    <w:rsid w:val="00FF017F"/>
    <w:rsid w:val="00FF0190"/>
    <w:rsid w:val="00FF01B8"/>
    <w:rsid w:val="00FF0220"/>
    <w:rsid w:val="00FF028C"/>
    <w:rsid w:val="00FF0332"/>
    <w:rsid w:val="00FF0345"/>
    <w:rsid w:val="00FF0373"/>
    <w:rsid w:val="00FF0386"/>
    <w:rsid w:val="00FF0413"/>
    <w:rsid w:val="00FF045F"/>
    <w:rsid w:val="00FF0474"/>
    <w:rsid w:val="00FF04EE"/>
    <w:rsid w:val="00FF05A3"/>
    <w:rsid w:val="00FF0663"/>
    <w:rsid w:val="00FF066F"/>
    <w:rsid w:val="00FF0671"/>
    <w:rsid w:val="00FF0706"/>
    <w:rsid w:val="00FF0732"/>
    <w:rsid w:val="00FF07CD"/>
    <w:rsid w:val="00FF08A3"/>
    <w:rsid w:val="00FF08C5"/>
    <w:rsid w:val="00FF08E1"/>
    <w:rsid w:val="00FF091F"/>
    <w:rsid w:val="00FF09A4"/>
    <w:rsid w:val="00FF09A7"/>
    <w:rsid w:val="00FF0A4E"/>
    <w:rsid w:val="00FF0AE0"/>
    <w:rsid w:val="00FF0AE8"/>
    <w:rsid w:val="00FF0B06"/>
    <w:rsid w:val="00FF0B20"/>
    <w:rsid w:val="00FF0B6A"/>
    <w:rsid w:val="00FF0B8F"/>
    <w:rsid w:val="00FF0B92"/>
    <w:rsid w:val="00FF0BC0"/>
    <w:rsid w:val="00FF0BCE"/>
    <w:rsid w:val="00FF0C3B"/>
    <w:rsid w:val="00FF0C4E"/>
    <w:rsid w:val="00FF0C96"/>
    <w:rsid w:val="00FF0D8B"/>
    <w:rsid w:val="00FF0DBD"/>
    <w:rsid w:val="00FF0E40"/>
    <w:rsid w:val="00FF0F4D"/>
    <w:rsid w:val="00FF0FB5"/>
    <w:rsid w:val="00FF1187"/>
    <w:rsid w:val="00FF11D0"/>
    <w:rsid w:val="00FF11D1"/>
    <w:rsid w:val="00FF11DE"/>
    <w:rsid w:val="00FF1253"/>
    <w:rsid w:val="00FF1277"/>
    <w:rsid w:val="00FF12A0"/>
    <w:rsid w:val="00FF12DB"/>
    <w:rsid w:val="00FF1308"/>
    <w:rsid w:val="00FF1401"/>
    <w:rsid w:val="00FF140F"/>
    <w:rsid w:val="00FF1535"/>
    <w:rsid w:val="00FF1547"/>
    <w:rsid w:val="00FF15E6"/>
    <w:rsid w:val="00FF1651"/>
    <w:rsid w:val="00FF1658"/>
    <w:rsid w:val="00FF16BD"/>
    <w:rsid w:val="00FF16F3"/>
    <w:rsid w:val="00FF1714"/>
    <w:rsid w:val="00FF171B"/>
    <w:rsid w:val="00FF1736"/>
    <w:rsid w:val="00FF1744"/>
    <w:rsid w:val="00FF17E5"/>
    <w:rsid w:val="00FF17EE"/>
    <w:rsid w:val="00FF1830"/>
    <w:rsid w:val="00FF18C6"/>
    <w:rsid w:val="00FF18D1"/>
    <w:rsid w:val="00FF18ED"/>
    <w:rsid w:val="00FF193E"/>
    <w:rsid w:val="00FF19B1"/>
    <w:rsid w:val="00FF1A14"/>
    <w:rsid w:val="00FF1A34"/>
    <w:rsid w:val="00FF1A9C"/>
    <w:rsid w:val="00FF1AF5"/>
    <w:rsid w:val="00FF1B16"/>
    <w:rsid w:val="00FF1B4D"/>
    <w:rsid w:val="00FF1BD4"/>
    <w:rsid w:val="00FF1BE7"/>
    <w:rsid w:val="00FF1C15"/>
    <w:rsid w:val="00FF1C56"/>
    <w:rsid w:val="00FF1C59"/>
    <w:rsid w:val="00FF1C87"/>
    <w:rsid w:val="00FF1D6D"/>
    <w:rsid w:val="00FF1DDC"/>
    <w:rsid w:val="00FF1DEF"/>
    <w:rsid w:val="00FF1E18"/>
    <w:rsid w:val="00FF1E1B"/>
    <w:rsid w:val="00FF1E47"/>
    <w:rsid w:val="00FF1E4E"/>
    <w:rsid w:val="00FF1EAB"/>
    <w:rsid w:val="00FF1F18"/>
    <w:rsid w:val="00FF1F30"/>
    <w:rsid w:val="00FF2076"/>
    <w:rsid w:val="00FF209F"/>
    <w:rsid w:val="00FF20C9"/>
    <w:rsid w:val="00FF20DD"/>
    <w:rsid w:val="00FF21BE"/>
    <w:rsid w:val="00FF21BF"/>
    <w:rsid w:val="00FF21DE"/>
    <w:rsid w:val="00FF224F"/>
    <w:rsid w:val="00FF2446"/>
    <w:rsid w:val="00FF2471"/>
    <w:rsid w:val="00FF24B5"/>
    <w:rsid w:val="00FF24D8"/>
    <w:rsid w:val="00FF2672"/>
    <w:rsid w:val="00FF26F9"/>
    <w:rsid w:val="00FF270F"/>
    <w:rsid w:val="00FF274A"/>
    <w:rsid w:val="00FF27AA"/>
    <w:rsid w:val="00FF27C3"/>
    <w:rsid w:val="00FF283B"/>
    <w:rsid w:val="00FF2869"/>
    <w:rsid w:val="00FF2888"/>
    <w:rsid w:val="00FF28DE"/>
    <w:rsid w:val="00FF2930"/>
    <w:rsid w:val="00FF2973"/>
    <w:rsid w:val="00FF2991"/>
    <w:rsid w:val="00FF29C3"/>
    <w:rsid w:val="00FF2A9A"/>
    <w:rsid w:val="00FF2B30"/>
    <w:rsid w:val="00FF2B64"/>
    <w:rsid w:val="00FF2BC5"/>
    <w:rsid w:val="00FF2C35"/>
    <w:rsid w:val="00FF2C3B"/>
    <w:rsid w:val="00FF2D70"/>
    <w:rsid w:val="00FF2E59"/>
    <w:rsid w:val="00FF2F28"/>
    <w:rsid w:val="00FF2F36"/>
    <w:rsid w:val="00FF2F6C"/>
    <w:rsid w:val="00FF2F82"/>
    <w:rsid w:val="00FF2F91"/>
    <w:rsid w:val="00FF2FBE"/>
    <w:rsid w:val="00FF301E"/>
    <w:rsid w:val="00FF3163"/>
    <w:rsid w:val="00FF3166"/>
    <w:rsid w:val="00FF3189"/>
    <w:rsid w:val="00FF31BC"/>
    <w:rsid w:val="00FF31BD"/>
    <w:rsid w:val="00FF31E2"/>
    <w:rsid w:val="00FF3239"/>
    <w:rsid w:val="00FF3245"/>
    <w:rsid w:val="00FF32F5"/>
    <w:rsid w:val="00FF332B"/>
    <w:rsid w:val="00FF33DD"/>
    <w:rsid w:val="00FF3408"/>
    <w:rsid w:val="00FF3509"/>
    <w:rsid w:val="00FF3541"/>
    <w:rsid w:val="00FF35EF"/>
    <w:rsid w:val="00FF3603"/>
    <w:rsid w:val="00FF3753"/>
    <w:rsid w:val="00FF3860"/>
    <w:rsid w:val="00FF38C4"/>
    <w:rsid w:val="00FF391E"/>
    <w:rsid w:val="00FF3937"/>
    <w:rsid w:val="00FF3968"/>
    <w:rsid w:val="00FF397A"/>
    <w:rsid w:val="00FF3A11"/>
    <w:rsid w:val="00FF3AA8"/>
    <w:rsid w:val="00FF3AEF"/>
    <w:rsid w:val="00FF3B12"/>
    <w:rsid w:val="00FF3B5C"/>
    <w:rsid w:val="00FF3B89"/>
    <w:rsid w:val="00FF3C0B"/>
    <w:rsid w:val="00FF3C31"/>
    <w:rsid w:val="00FF3C58"/>
    <w:rsid w:val="00FF3C8F"/>
    <w:rsid w:val="00FF3C9B"/>
    <w:rsid w:val="00FF3DA6"/>
    <w:rsid w:val="00FF3DC0"/>
    <w:rsid w:val="00FF3DEC"/>
    <w:rsid w:val="00FF3E00"/>
    <w:rsid w:val="00FF3E8D"/>
    <w:rsid w:val="00FF3EC5"/>
    <w:rsid w:val="00FF3EDA"/>
    <w:rsid w:val="00FF3F3C"/>
    <w:rsid w:val="00FF3F4F"/>
    <w:rsid w:val="00FF3FE9"/>
    <w:rsid w:val="00FF3FEC"/>
    <w:rsid w:val="00FF4028"/>
    <w:rsid w:val="00FF403C"/>
    <w:rsid w:val="00FF40A1"/>
    <w:rsid w:val="00FF4120"/>
    <w:rsid w:val="00FF4126"/>
    <w:rsid w:val="00FF4130"/>
    <w:rsid w:val="00FF413B"/>
    <w:rsid w:val="00FF4159"/>
    <w:rsid w:val="00FF4180"/>
    <w:rsid w:val="00FF4190"/>
    <w:rsid w:val="00FF4213"/>
    <w:rsid w:val="00FF424C"/>
    <w:rsid w:val="00FF4250"/>
    <w:rsid w:val="00FF4271"/>
    <w:rsid w:val="00FF42B1"/>
    <w:rsid w:val="00FF42C4"/>
    <w:rsid w:val="00FF432C"/>
    <w:rsid w:val="00FF4338"/>
    <w:rsid w:val="00FF4379"/>
    <w:rsid w:val="00FF437F"/>
    <w:rsid w:val="00FF4392"/>
    <w:rsid w:val="00FF43EA"/>
    <w:rsid w:val="00FF4565"/>
    <w:rsid w:val="00FF45A0"/>
    <w:rsid w:val="00FF45AE"/>
    <w:rsid w:val="00FF45D1"/>
    <w:rsid w:val="00FF4634"/>
    <w:rsid w:val="00FF4659"/>
    <w:rsid w:val="00FF466C"/>
    <w:rsid w:val="00FF468C"/>
    <w:rsid w:val="00FF46CC"/>
    <w:rsid w:val="00FF46D9"/>
    <w:rsid w:val="00FF4723"/>
    <w:rsid w:val="00FF474A"/>
    <w:rsid w:val="00FF47A7"/>
    <w:rsid w:val="00FF47BE"/>
    <w:rsid w:val="00FF4807"/>
    <w:rsid w:val="00FF4835"/>
    <w:rsid w:val="00FF4856"/>
    <w:rsid w:val="00FF4972"/>
    <w:rsid w:val="00FF4A64"/>
    <w:rsid w:val="00FF4A80"/>
    <w:rsid w:val="00FF4ACF"/>
    <w:rsid w:val="00FF4B44"/>
    <w:rsid w:val="00FF4B75"/>
    <w:rsid w:val="00FF4BD2"/>
    <w:rsid w:val="00FF4BE8"/>
    <w:rsid w:val="00FF4C8B"/>
    <w:rsid w:val="00FF4CB1"/>
    <w:rsid w:val="00FF4CDA"/>
    <w:rsid w:val="00FF4D30"/>
    <w:rsid w:val="00FF4D63"/>
    <w:rsid w:val="00FF4D78"/>
    <w:rsid w:val="00FF4DAE"/>
    <w:rsid w:val="00FF4DE6"/>
    <w:rsid w:val="00FF4E72"/>
    <w:rsid w:val="00FF4E81"/>
    <w:rsid w:val="00FF4EC3"/>
    <w:rsid w:val="00FF4F21"/>
    <w:rsid w:val="00FF4F25"/>
    <w:rsid w:val="00FF508C"/>
    <w:rsid w:val="00FF50AB"/>
    <w:rsid w:val="00FF5108"/>
    <w:rsid w:val="00FF5208"/>
    <w:rsid w:val="00FF523A"/>
    <w:rsid w:val="00FF5257"/>
    <w:rsid w:val="00FF5272"/>
    <w:rsid w:val="00FF530B"/>
    <w:rsid w:val="00FF5323"/>
    <w:rsid w:val="00FF5383"/>
    <w:rsid w:val="00FF53B0"/>
    <w:rsid w:val="00FF53C9"/>
    <w:rsid w:val="00FF53CE"/>
    <w:rsid w:val="00FF53D0"/>
    <w:rsid w:val="00FF53E2"/>
    <w:rsid w:val="00FF53EF"/>
    <w:rsid w:val="00FF5458"/>
    <w:rsid w:val="00FF54ED"/>
    <w:rsid w:val="00FF5501"/>
    <w:rsid w:val="00FF5517"/>
    <w:rsid w:val="00FF5566"/>
    <w:rsid w:val="00FF5578"/>
    <w:rsid w:val="00FF5610"/>
    <w:rsid w:val="00FF56B6"/>
    <w:rsid w:val="00FF56F4"/>
    <w:rsid w:val="00FF577B"/>
    <w:rsid w:val="00FF5796"/>
    <w:rsid w:val="00FF57C8"/>
    <w:rsid w:val="00FF57F4"/>
    <w:rsid w:val="00FF58C0"/>
    <w:rsid w:val="00FF59AC"/>
    <w:rsid w:val="00FF59B2"/>
    <w:rsid w:val="00FF59EE"/>
    <w:rsid w:val="00FF5A26"/>
    <w:rsid w:val="00FF5A65"/>
    <w:rsid w:val="00FF5A74"/>
    <w:rsid w:val="00FF5A7B"/>
    <w:rsid w:val="00FF5B24"/>
    <w:rsid w:val="00FF5B73"/>
    <w:rsid w:val="00FF5BF7"/>
    <w:rsid w:val="00FF5C58"/>
    <w:rsid w:val="00FF5CF5"/>
    <w:rsid w:val="00FF5E2B"/>
    <w:rsid w:val="00FF5EF9"/>
    <w:rsid w:val="00FF5F76"/>
    <w:rsid w:val="00FF5F7F"/>
    <w:rsid w:val="00FF6057"/>
    <w:rsid w:val="00FF60B2"/>
    <w:rsid w:val="00FF6126"/>
    <w:rsid w:val="00FF612E"/>
    <w:rsid w:val="00FF6131"/>
    <w:rsid w:val="00FF617A"/>
    <w:rsid w:val="00FF626D"/>
    <w:rsid w:val="00FF6274"/>
    <w:rsid w:val="00FF630A"/>
    <w:rsid w:val="00FF6326"/>
    <w:rsid w:val="00FF63F2"/>
    <w:rsid w:val="00FF6491"/>
    <w:rsid w:val="00FF64B6"/>
    <w:rsid w:val="00FF64BB"/>
    <w:rsid w:val="00FF65CB"/>
    <w:rsid w:val="00FF65EC"/>
    <w:rsid w:val="00FF6608"/>
    <w:rsid w:val="00FF6610"/>
    <w:rsid w:val="00FF661A"/>
    <w:rsid w:val="00FF6641"/>
    <w:rsid w:val="00FF6725"/>
    <w:rsid w:val="00FF67F1"/>
    <w:rsid w:val="00FF67F6"/>
    <w:rsid w:val="00FF68BE"/>
    <w:rsid w:val="00FF68F9"/>
    <w:rsid w:val="00FF6924"/>
    <w:rsid w:val="00FF696B"/>
    <w:rsid w:val="00FF6976"/>
    <w:rsid w:val="00FF697D"/>
    <w:rsid w:val="00FF6993"/>
    <w:rsid w:val="00FF69A3"/>
    <w:rsid w:val="00FF69C1"/>
    <w:rsid w:val="00FF6B7B"/>
    <w:rsid w:val="00FF6BE6"/>
    <w:rsid w:val="00FF6C92"/>
    <w:rsid w:val="00FF6CD5"/>
    <w:rsid w:val="00FF6CDC"/>
    <w:rsid w:val="00FF6CDD"/>
    <w:rsid w:val="00FF6D11"/>
    <w:rsid w:val="00FF6DB0"/>
    <w:rsid w:val="00FF6DF1"/>
    <w:rsid w:val="00FF6E37"/>
    <w:rsid w:val="00FF6E99"/>
    <w:rsid w:val="00FF6EBA"/>
    <w:rsid w:val="00FF6EE4"/>
    <w:rsid w:val="00FF6EEE"/>
    <w:rsid w:val="00FF6F28"/>
    <w:rsid w:val="00FF6F2E"/>
    <w:rsid w:val="00FF6FDC"/>
    <w:rsid w:val="00FF70E0"/>
    <w:rsid w:val="00FF70F5"/>
    <w:rsid w:val="00FF717A"/>
    <w:rsid w:val="00FF7201"/>
    <w:rsid w:val="00FF729B"/>
    <w:rsid w:val="00FF7301"/>
    <w:rsid w:val="00FF735F"/>
    <w:rsid w:val="00FF73A4"/>
    <w:rsid w:val="00FF750D"/>
    <w:rsid w:val="00FF7655"/>
    <w:rsid w:val="00FF76B0"/>
    <w:rsid w:val="00FF76FB"/>
    <w:rsid w:val="00FF7701"/>
    <w:rsid w:val="00FF771E"/>
    <w:rsid w:val="00FF77C1"/>
    <w:rsid w:val="00FF7936"/>
    <w:rsid w:val="00FF796D"/>
    <w:rsid w:val="00FF79B3"/>
    <w:rsid w:val="00FF79BA"/>
    <w:rsid w:val="00FF7A10"/>
    <w:rsid w:val="00FF7A67"/>
    <w:rsid w:val="00FF7AFD"/>
    <w:rsid w:val="00FF7B22"/>
    <w:rsid w:val="00FF7BA3"/>
    <w:rsid w:val="00FF7BB2"/>
    <w:rsid w:val="00FF7BBF"/>
    <w:rsid w:val="00FF7BDE"/>
    <w:rsid w:val="00FF7CF7"/>
    <w:rsid w:val="00FF7D12"/>
    <w:rsid w:val="00FF7DBE"/>
    <w:rsid w:val="00FF7E4F"/>
    <w:rsid w:val="00FF7E74"/>
    <w:rsid w:val="00FF7E7B"/>
    <w:rsid w:val="00FF7EC2"/>
    <w:rsid w:val="00FF7ED6"/>
    <w:rsid w:val="00FF7ED9"/>
    <w:rsid w:val="00FF7F35"/>
    <w:rsid w:val="00FF7F65"/>
    <w:rsid w:val="00FF7F7B"/>
    <w:rsid w:val="00FF7FDB"/>
    <w:rsid w:val="00FF8049"/>
    <w:rsid w:val="00FF8F11"/>
    <w:rsid w:val="010539B2"/>
    <w:rsid w:val="0108DFE3"/>
    <w:rsid w:val="010F4197"/>
    <w:rsid w:val="010FF139"/>
    <w:rsid w:val="0110F014"/>
    <w:rsid w:val="012066D6"/>
    <w:rsid w:val="0123FD9C"/>
    <w:rsid w:val="012D445A"/>
    <w:rsid w:val="013665AC"/>
    <w:rsid w:val="0138D04F"/>
    <w:rsid w:val="013BF08A"/>
    <w:rsid w:val="013C282E"/>
    <w:rsid w:val="0145E553"/>
    <w:rsid w:val="0146BC92"/>
    <w:rsid w:val="01483155"/>
    <w:rsid w:val="01505BAC"/>
    <w:rsid w:val="015149B7"/>
    <w:rsid w:val="0152D7F7"/>
    <w:rsid w:val="0158E07F"/>
    <w:rsid w:val="015B36AB"/>
    <w:rsid w:val="016454BC"/>
    <w:rsid w:val="01663B91"/>
    <w:rsid w:val="0166D60B"/>
    <w:rsid w:val="016776DD"/>
    <w:rsid w:val="016A4A10"/>
    <w:rsid w:val="016D2F34"/>
    <w:rsid w:val="017A40B5"/>
    <w:rsid w:val="017BED6E"/>
    <w:rsid w:val="017D2AA4"/>
    <w:rsid w:val="0187C41D"/>
    <w:rsid w:val="0188BC14"/>
    <w:rsid w:val="01895065"/>
    <w:rsid w:val="018E11C7"/>
    <w:rsid w:val="01908955"/>
    <w:rsid w:val="01952D2B"/>
    <w:rsid w:val="0198101B"/>
    <w:rsid w:val="0199AF9A"/>
    <w:rsid w:val="019B5BCE"/>
    <w:rsid w:val="01A579B5"/>
    <w:rsid w:val="01A5931E"/>
    <w:rsid w:val="01A70CA4"/>
    <w:rsid w:val="01ADFD36"/>
    <w:rsid w:val="01B5F247"/>
    <w:rsid w:val="01BAACE8"/>
    <w:rsid w:val="01BBF80A"/>
    <w:rsid w:val="01BF16CA"/>
    <w:rsid w:val="01BF5899"/>
    <w:rsid w:val="01C9D658"/>
    <w:rsid w:val="01D27CE0"/>
    <w:rsid w:val="01D3467D"/>
    <w:rsid w:val="01D3F08B"/>
    <w:rsid w:val="01DA55AE"/>
    <w:rsid w:val="01DEE637"/>
    <w:rsid w:val="01E27582"/>
    <w:rsid w:val="01E298BB"/>
    <w:rsid w:val="01EB9D48"/>
    <w:rsid w:val="01F10D92"/>
    <w:rsid w:val="01F6EAB7"/>
    <w:rsid w:val="01FBB159"/>
    <w:rsid w:val="01FDB8C5"/>
    <w:rsid w:val="01FF7B37"/>
    <w:rsid w:val="0208BF24"/>
    <w:rsid w:val="020BEA59"/>
    <w:rsid w:val="020CD08F"/>
    <w:rsid w:val="020F24E7"/>
    <w:rsid w:val="02165FFB"/>
    <w:rsid w:val="02177A8A"/>
    <w:rsid w:val="021D6411"/>
    <w:rsid w:val="021D6DF2"/>
    <w:rsid w:val="021FACAA"/>
    <w:rsid w:val="0223E218"/>
    <w:rsid w:val="0227F1A1"/>
    <w:rsid w:val="0228055F"/>
    <w:rsid w:val="022B080D"/>
    <w:rsid w:val="022C69CC"/>
    <w:rsid w:val="022D3129"/>
    <w:rsid w:val="02304233"/>
    <w:rsid w:val="0233D72F"/>
    <w:rsid w:val="023804A5"/>
    <w:rsid w:val="023BB38B"/>
    <w:rsid w:val="02404BB9"/>
    <w:rsid w:val="0241F599"/>
    <w:rsid w:val="02430FEC"/>
    <w:rsid w:val="024A89E9"/>
    <w:rsid w:val="024E97B2"/>
    <w:rsid w:val="0250C780"/>
    <w:rsid w:val="0257E021"/>
    <w:rsid w:val="025CD7E1"/>
    <w:rsid w:val="026AFA02"/>
    <w:rsid w:val="026CB57D"/>
    <w:rsid w:val="02718013"/>
    <w:rsid w:val="0278910E"/>
    <w:rsid w:val="0279110F"/>
    <w:rsid w:val="027E07DD"/>
    <w:rsid w:val="0282B05F"/>
    <w:rsid w:val="0284A30F"/>
    <w:rsid w:val="028A07A9"/>
    <w:rsid w:val="028A10EA"/>
    <w:rsid w:val="028D288C"/>
    <w:rsid w:val="0297802C"/>
    <w:rsid w:val="029C1A84"/>
    <w:rsid w:val="029C3A0C"/>
    <w:rsid w:val="029C74B1"/>
    <w:rsid w:val="02A108CF"/>
    <w:rsid w:val="02A47EF3"/>
    <w:rsid w:val="02B12B05"/>
    <w:rsid w:val="02B28CD0"/>
    <w:rsid w:val="02B4E919"/>
    <w:rsid w:val="02BC7DE3"/>
    <w:rsid w:val="02C0D9B9"/>
    <w:rsid w:val="02C5214C"/>
    <w:rsid w:val="02C8F77B"/>
    <w:rsid w:val="02C9AD42"/>
    <w:rsid w:val="02D07DE8"/>
    <w:rsid w:val="02D754FB"/>
    <w:rsid w:val="02DBFE81"/>
    <w:rsid w:val="02DDF6EF"/>
    <w:rsid w:val="02E2CF20"/>
    <w:rsid w:val="02E5FF2B"/>
    <w:rsid w:val="02E8DF4B"/>
    <w:rsid w:val="02E9CF91"/>
    <w:rsid w:val="02F4CACF"/>
    <w:rsid w:val="02F9C2F5"/>
    <w:rsid w:val="02F9DF8E"/>
    <w:rsid w:val="02FAABF7"/>
    <w:rsid w:val="03031F1D"/>
    <w:rsid w:val="0305B7D9"/>
    <w:rsid w:val="0309FF4A"/>
    <w:rsid w:val="030C7E45"/>
    <w:rsid w:val="0311E902"/>
    <w:rsid w:val="0312C0A3"/>
    <w:rsid w:val="0316C69F"/>
    <w:rsid w:val="031ACEC3"/>
    <w:rsid w:val="0329631C"/>
    <w:rsid w:val="032B4A71"/>
    <w:rsid w:val="0336AAF0"/>
    <w:rsid w:val="03426315"/>
    <w:rsid w:val="03468CA4"/>
    <w:rsid w:val="03483C7B"/>
    <w:rsid w:val="03487921"/>
    <w:rsid w:val="03504A83"/>
    <w:rsid w:val="03576592"/>
    <w:rsid w:val="0359967D"/>
    <w:rsid w:val="035C5491"/>
    <w:rsid w:val="0362AFAA"/>
    <w:rsid w:val="03709F93"/>
    <w:rsid w:val="03731AD4"/>
    <w:rsid w:val="0373BEE9"/>
    <w:rsid w:val="0375A1AE"/>
    <w:rsid w:val="038434C5"/>
    <w:rsid w:val="038B7623"/>
    <w:rsid w:val="038DCCC0"/>
    <w:rsid w:val="038DF320"/>
    <w:rsid w:val="038FD7AE"/>
    <w:rsid w:val="0394570E"/>
    <w:rsid w:val="039B8B4E"/>
    <w:rsid w:val="039F3650"/>
    <w:rsid w:val="03A24937"/>
    <w:rsid w:val="03A73C21"/>
    <w:rsid w:val="03A7FC52"/>
    <w:rsid w:val="03A99DAA"/>
    <w:rsid w:val="03B1CD98"/>
    <w:rsid w:val="03B2C75C"/>
    <w:rsid w:val="03B3D9A0"/>
    <w:rsid w:val="03B4E5BE"/>
    <w:rsid w:val="03B53031"/>
    <w:rsid w:val="03BBEDDF"/>
    <w:rsid w:val="03BBF6B7"/>
    <w:rsid w:val="03BD5098"/>
    <w:rsid w:val="03BF9A50"/>
    <w:rsid w:val="03C1CCCB"/>
    <w:rsid w:val="03C7EFD5"/>
    <w:rsid w:val="03CA5E07"/>
    <w:rsid w:val="03CD4233"/>
    <w:rsid w:val="03CE51DC"/>
    <w:rsid w:val="03D07B7D"/>
    <w:rsid w:val="03D5158D"/>
    <w:rsid w:val="03D66A31"/>
    <w:rsid w:val="03D67A64"/>
    <w:rsid w:val="03D68B21"/>
    <w:rsid w:val="03D84A06"/>
    <w:rsid w:val="03DD7C84"/>
    <w:rsid w:val="03E09444"/>
    <w:rsid w:val="03E0BFD7"/>
    <w:rsid w:val="03E2AA4E"/>
    <w:rsid w:val="03E48C65"/>
    <w:rsid w:val="03E63940"/>
    <w:rsid w:val="03EB4B81"/>
    <w:rsid w:val="03F2A7C3"/>
    <w:rsid w:val="03FDB500"/>
    <w:rsid w:val="03FE018F"/>
    <w:rsid w:val="0401A963"/>
    <w:rsid w:val="0403C2D9"/>
    <w:rsid w:val="040507E7"/>
    <w:rsid w:val="040519EC"/>
    <w:rsid w:val="040A7FA5"/>
    <w:rsid w:val="040DFF04"/>
    <w:rsid w:val="040E4265"/>
    <w:rsid w:val="0412E963"/>
    <w:rsid w:val="04141720"/>
    <w:rsid w:val="0417CA83"/>
    <w:rsid w:val="041E2D5A"/>
    <w:rsid w:val="0421FBAB"/>
    <w:rsid w:val="04227873"/>
    <w:rsid w:val="04255BF9"/>
    <w:rsid w:val="042CB8D2"/>
    <w:rsid w:val="042D5909"/>
    <w:rsid w:val="042D8928"/>
    <w:rsid w:val="04376BEE"/>
    <w:rsid w:val="043C38C2"/>
    <w:rsid w:val="04414BA1"/>
    <w:rsid w:val="04466A7C"/>
    <w:rsid w:val="044B5786"/>
    <w:rsid w:val="044BE4F0"/>
    <w:rsid w:val="044FB9C0"/>
    <w:rsid w:val="045B8D82"/>
    <w:rsid w:val="045DBA05"/>
    <w:rsid w:val="045EBE9B"/>
    <w:rsid w:val="045EFE2B"/>
    <w:rsid w:val="046410EE"/>
    <w:rsid w:val="04653B1E"/>
    <w:rsid w:val="04660385"/>
    <w:rsid w:val="0468AFAE"/>
    <w:rsid w:val="046C7F99"/>
    <w:rsid w:val="046CA81F"/>
    <w:rsid w:val="0472E817"/>
    <w:rsid w:val="047664C2"/>
    <w:rsid w:val="04795BCB"/>
    <w:rsid w:val="047CC0FB"/>
    <w:rsid w:val="047D23E9"/>
    <w:rsid w:val="047E6E40"/>
    <w:rsid w:val="048036EC"/>
    <w:rsid w:val="04806F2B"/>
    <w:rsid w:val="0485AB54"/>
    <w:rsid w:val="048CF326"/>
    <w:rsid w:val="048CFCF7"/>
    <w:rsid w:val="04901779"/>
    <w:rsid w:val="049141FA"/>
    <w:rsid w:val="04914DB5"/>
    <w:rsid w:val="049CB073"/>
    <w:rsid w:val="049CE8D3"/>
    <w:rsid w:val="049CF675"/>
    <w:rsid w:val="049F057C"/>
    <w:rsid w:val="04A0CD51"/>
    <w:rsid w:val="04A112C4"/>
    <w:rsid w:val="04A20BD5"/>
    <w:rsid w:val="04AF3D91"/>
    <w:rsid w:val="04BF94B9"/>
    <w:rsid w:val="04CAA475"/>
    <w:rsid w:val="04CD8E1C"/>
    <w:rsid w:val="04CEF992"/>
    <w:rsid w:val="04D8133F"/>
    <w:rsid w:val="04D84B08"/>
    <w:rsid w:val="04DC32DB"/>
    <w:rsid w:val="04DE5E8B"/>
    <w:rsid w:val="04F82E85"/>
    <w:rsid w:val="0505D3D2"/>
    <w:rsid w:val="05063F96"/>
    <w:rsid w:val="05083A88"/>
    <w:rsid w:val="05090B1E"/>
    <w:rsid w:val="0509CA13"/>
    <w:rsid w:val="051A14FF"/>
    <w:rsid w:val="051ECC34"/>
    <w:rsid w:val="05214A8C"/>
    <w:rsid w:val="0526B530"/>
    <w:rsid w:val="0530858F"/>
    <w:rsid w:val="05357B0C"/>
    <w:rsid w:val="053770EE"/>
    <w:rsid w:val="053BA893"/>
    <w:rsid w:val="053CC210"/>
    <w:rsid w:val="053D2039"/>
    <w:rsid w:val="0541244A"/>
    <w:rsid w:val="054391E1"/>
    <w:rsid w:val="0544B3BC"/>
    <w:rsid w:val="054E1643"/>
    <w:rsid w:val="0550E947"/>
    <w:rsid w:val="0552EF2D"/>
    <w:rsid w:val="05531614"/>
    <w:rsid w:val="05532816"/>
    <w:rsid w:val="05584167"/>
    <w:rsid w:val="0558720B"/>
    <w:rsid w:val="055A9E1B"/>
    <w:rsid w:val="055AAFDB"/>
    <w:rsid w:val="055DCD66"/>
    <w:rsid w:val="0562A737"/>
    <w:rsid w:val="05688B06"/>
    <w:rsid w:val="056D962A"/>
    <w:rsid w:val="056E00CC"/>
    <w:rsid w:val="05773612"/>
    <w:rsid w:val="057A5BB9"/>
    <w:rsid w:val="057D48F1"/>
    <w:rsid w:val="05815176"/>
    <w:rsid w:val="058B0CAE"/>
    <w:rsid w:val="059A39A2"/>
    <w:rsid w:val="059E62C1"/>
    <w:rsid w:val="05A34EDC"/>
    <w:rsid w:val="05B186E0"/>
    <w:rsid w:val="05BF4981"/>
    <w:rsid w:val="05D40917"/>
    <w:rsid w:val="05D51284"/>
    <w:rsid w:val="05D5A53B"/>
    <w:rsid w:val="05D7C985"/>
    <w:rsid w:val="05DD8B5E"/>
    <w:rsid w:val="05E0648A"/>
    <w:rsid w:val="05E50ED2"/>
    <w:rsid w:val="05E7C530"/>
    <w:rsid w:val="05EA8338"/>
    <w:rsid w:val="05EF46E4"/>
    <w:rsid w:val="05EFC4AB"/>
    <w:rsid w:val="05F14D1A"/>
    <w:rsid w:val="05F2C4D2"/>
    <w:rsid w:val="05F858A2"/>
    <w:rsid w:val="05FE4C84"/>
    <w:rsid w:val="0601A1D9"/>
    <w:rsid w:val="0606F7B8"/>
    <w:rsid w:val="06088043"/>
    <w:rsid w:val="060D1996"/>
    <w:rsid w:val="060E5A41"/>
    <w:rsid w:val="0610A0B1"/>
    <w:rsid w:val="061884D9"/>
    <w:rsid w:val="061C91C5"/>
    <w:rsid w:val="061C9EF6"/>
    <w:rsid w:val="061DFADF"/>
    <w:rsid w:val="06239002"/>
    <w:rsid w:val="062452AC"/>
    <w:rsid w:val="06250E7E"/>
    <w:rsid w:val="0626351D"/>
    <w:rsid w:val="062A6275"/>
    <w:rsid w:val="06308D0F"/>
    <w:rsid w:val="0634CC8C"/>
    <w:rsid w:val="06362D3B"/>
    <w:rsid w:val="0637274C"/>
    <w:rsid w:val="0638D4FE"/>
    <w:rsid w:val="063A1204"/>
    <w:rsid w:val="0643E622"/>
    <w:rsid w:val="064621B4"/>
    <w:rsid w:val="064D1B30"/>
    <w:rsid w:val="064F7A48"/>
    <w:rsid w:val="0656003F"/>
    <w:rsid w:val="065AE245"/>
    <w:rsid w:val="06611600"/>
    <w:rsid w:val="06644923"/>
    <w:rsid w:val="06670F65"/>
    <w:rsid w:val="06672919"/>
    <w:rsid w:val="066A7B6A"/>
    <w:rsid w:val="06705942"/>
    <w:rsid w:val="0672065C"/>
    <w:rsid w:val="0680F70C"/>
    <w:rsid w:val="0683397D"/>
    <w:rsid w:val="068487F4"/>
    <w:rsid w:val="068A7183"/>
    <w:rsid w:val="068CFB2E"/>
    <w:rsid w:val="069C477A"/>
    <w:rsid w:val="06A0B65A"/>
    <w:rsid w:val="06A56A5D"/>
    <w:rsid w:val="06AF56A0"/>
    <w:rsid w:val="06BBCC51"/>
    <w:rsid w:val="06BED5DE"/>
    <w:rsid w:val="06BEF4F7"/>
    <w:rsid w:val="06C10EE9"/>
    <w:rsid w:val="06C44BA7"/>
    <w:rsid w:val="06C84753"/>
    <w:rsid w:val="06CEA842"/>
    <w:rsid w:val="06D03E0D"/>
    <w:rsid w:val="06D05F4E"/>
    <w:rsid w:val="06D3F0FA"/>
    <w:rsid w:val="06D4986A"/>
    <w:rsid w:val="06D7EB93"/>
    <w:rsid w:val="06DE7F86"/>
    <w:rsid w:val="06DFF4A9"/>
    <w:rsid w:val="06E2814F"/>
    <w:rsid w:val="06E60EAE"/>
    <w:rsid w:val="06EB4813"/>
    <w:rsid w:val="06F42436"/>
    <w:rsid w:val="07072B69"/>
    <w:rsid w:val="0707B4FE"/>
    <w:rsid w:val="0709187A"/>
    <w:rsid w:val="070E3061"/>
    <w:rsid w:val="0718C39F"/>
    <w:rsid w:val="07215E43"/>
    <w:rsid w:val="0722EFF2"/>
    <w:rsid w:val="072529D2"/>
    <w:rsid w:val="07272EFE"/>
    <w:rsid w:val="0728037D"/>
    <w:rsid w:val="072F023F"/>
    <w:rsid w:val="07317DFE"/>
    <w:rsid w:val="0741524D"/>
    <w:rsid w:val="0741BBE3"/>
    <w:rsid w:val="0741D0D0"/>
    <w:rsid w:val="074DCE5E"/>
    <w:rsid w:val="074F1421"/>
    <w:rsid w:val="0751E106"/>
    <w:rsid w:val="07534960"/>
    <w:rsid w:val="0755BB35"/>
    <w:rsid w:val="07574E97"/>
    <w:rsid w:val="07580205"/>
    <w:rsid w:val="0765D5A8"/>
    <w:rsid w:val="076B6ECC"/>
    <w:rsid w:val="07714BB3"/>
    <w:rsid w:val="077A2C89"/>
    <w:rsid w:val="077C843C"/>
    <w:rsid w:val="077CB1E8"/>
    <w:rsid w:val="0787FD3F"/>
    <w:rsid w:val="0791BB34"/>
    <w:rsid w:val="07953187"/>
    <w:rsid w:val="0795DC67"/>
    <w:rsid w:val="079C3762"/>
    <w:rsid w:val="079DAFAC"/>
    <w:rsid w:val="07A37B16"/>
    <w:rsid w:val="07A54415"/>
    <w:rsid w:val="07A7684C"/>
    <w:rsid w:val="07B2425B"/>
    <w:rsid w:val="07B7F53E"/>
    <w:rsid w:val="07BBECC1"/>
    <w:rsid w:val="07BD264C"/>
    <w:rsid w:val="07C0715A"/>
    <w:rsid w:val="07C6A872"/>
    <w:rsid w:val="07C841D9"/>
    <w:rsid w:val="07DBBDE6"/>
    <w:rsid w:val="07DBEA0B"/>
    <w:rsid w:val="07DDE6B3"/>
    <w:rsid w:val="07E05037"/>
    <w:rsid w:val="07E49702"/>
    <w:rsid w:val="07E4D7A7"/>
    <w:rsid w:val="07E64BAD"/>
    <w:rsid w:val="07E99CDF"/>
    <w:rsid w:val="07E9A742"/>
    <w:rsid w:val="07ED996A"/>
    <w:rsid w:val="07ED9CE9"/>
    <w:rsid w:val="07F0D1FA"/>
    <w:rsid w:val="080D0CED"/>
    <w:rsid w:val="0814E25B"/>
    <w:rsid w:val="08280C90"/>
    <w:rsid w:val="0829EA36"/>
    <w:rsid w:val="08312F4B"/>
    <w:rsid w:val="08389603"/>
    <w:rsid w:val="083C7A3C"/>
    <w:rsid w:val="08417537"/>
    <w:rsid w:val="084244B8"/>
    <w:rsid w:val="08432BC8"/>
    <w:rsid w:val="08440B1C"/>
    <w:rsid w:val="0847A424"/>
    <w:rsid w:val="0858A06C"/>
    <w:rsid w:val="085A7B12"/>
    <w:rsid w:val="085AC034"/>
    <w:rsid w:val="085C4DD9"/>
    <w:rsid w:val="085FDBD9"/>
    <w:rsid w:val="08620C35"/>
    <w:rsid w:val="08680BCD"/>
    <w:rsid w:val="086A2D0E"/>
    <w:rsid w:val="086F8CF5"/>
    <w:rsid w:val="08771BDB"/>
    <w:rsid w:val="0880A5DB"/>
    <w:rsid w:val="0885B729"/>
    <w:rsid w:val="0885F5D0"/>
    <w:rsid w:val="0888C021"/>
    <w:rsid w:val="08899450"/>
    <w:rsid w:val="08971327"/>
    <w:rsid w:val="089ADE7F"/>
    <w:rsid w:val="089C6462"/>
    <w:rsid w:val="089E4489"/>
    <w:rsid w:val="089E5D87"/>
    <w:rsid w:val="089FE092"/>
    <w:rsid w:val="08A150EA"/>
    <w:rsid w:val="08A4E5FE"/>
    <w:rsid w:val="08A50CDD"/>
    <w:rsid w:val="08A986D1"/>
    <w:rsid w:val="08ABC7AA"/>
    <w:rsid w:val="08B8FAB2"/>
    <w:rsid w:val="08BFF1D5"/>
    <w:rsid w:val="08C00380"/>
    <w:rsid w:val="08C24B1D"/>
    <w:rsid w:val="08CD74C5"/>
    <w:rsid w:val="08D08C74"/>
    <w:rsid w:val="08D61DF2"/>
    <w:rsid w:val="08D6D044"/>
    <w:rsid w:val="08D7C936"/>
    <w:rsid w:val="08D7DA46"/>
    <w:rsid w:val="08DABBF5"/>
    <w:rsid w:val="08E0D8B3"/>
    <w:rsid w:val="08E82534"/>
    <w:rsid w:val="08EAAEC3"/>
    <w:rsid w:val="08EF62D9"/>
    <w:rsid w:val="08F394FF"/>
    <w:rsid w:val="08F5D0EB"/>
    <w:rsid w:val="08F76379"/>
    <w:rsid w:val="090747AB"/>
    <w:rsid w:val="0918438B"/>
    <w:rsid w:val="091F6DBB"/>
    <w:rsid w:val="0922D200"/>
    <w:rsid w:val="0925EEFD"/>
    <w:rsid w:val="09334B07"/>
    <w:rsid w:val="09383111"/>
    <w:rsid w:val="0941EA45"/>
    <w:rsid w:val="0942B9D8"/>
    <w:rsid w:val="094B8C08"/>
    <w:rsid w:val="0951474C"/>
    <w:rsid w:val="09528E1B"/>
    <w:rsid w:val="09556F32"/>
    <w:rsid w:val="095E00A6"/>
    <w:rsid w:val="09644174"/>
    <w:rsid w:val="096771CD"/>
    <w:rsid w:val="0967751D"/>
    <w:rsid w:val="0974EB40"/>
    <w:rsid w:val="09755372"/>
    <w:rsid w:val="0977DEFA"/>
    <w:rsid w:val="097C2DC6"/>
    <w:rsid w:val="098562B1"/>
    <w:rsid w:val="0986BB6D"/>
    <w:rsid w:val="098A3D32"/>
    <w:rsid w:val="098BE2D2"/>
    <w:rsid w:val="0990592A"/>
    <w:rsid w:val="0991CAAA"/>
    <w:rsid w:val="0994D34F"/>
    <w:rsid w:val="09961782"/>
    <w:rsid w:val="09970F1B"/>
    <w:rsid w:val="09994E71"/>
    <w:rsid w:val="09A4DBC6"/>
    <w:rsid w:val="09A9A42E"/>
    <w:rsid w:val="09AB0A3F"/>
    <w:rsid w:val="09AB76E8"/>
    <w:rsid w:val="09AD8FE3"/>
    <w:rsid w:val="09AE1477"/>
    <w:rsid w:val="09B87703"/>
    <w:rsid w:val="09B8C2F5"/>
    <w:rsid w:val="09BCE5DE"/>
    <w:rsid w:val="09BD4DF5"/>
    <w:rsid w:val="09BD7BC8"/>
    <w:rsid w:val="09BE2909"/>
    <w:rsid w:val="09BE422A"/>
    <w:rsid w:val="09C5113E"/>
    <w:rsid w:val="09C925A5"/>
    <w:rsid w:val="09D2AB14"/>
    <w:rsid w:val="09D53699"/>
    <w:rsid w:val="09E10C0D"/>
    <w:rsid w:val="09E35BB0"/>
    <w:rsid w:val="09E81CC2"/>
    <w:rsid w:val="09EF94FF"/>
    <w:rsid w:val="09EFB47E"/>
    <w:rsid w:val="09F3F1C1"/>
    <w:rsid w:val="09F6A20C"/>
    <w:rsid w:val="09F6E16D"/>
    <w:rsid w:val="09FADE23"/>
    <w:rsid w:val="0A033DC3"/>
    <w:rsid w:val="0A038933"/>
    <w:rsid w:val="0A03A63F"/>
    <w:rsid w:val="0A110433"/>
    <w:rsid w:val="0A15CC95"/>
    <w:rsid w:val="0A17545C"/>
    <w:rsid w:val="0A1A024E"/>
    <w:rsid w:val="0A1AEAEA"/>
    <w:rsid w:val="0A1EE0CF"/>
    <w:rsid w:val="0A21C227"/>
    <w:rsid w:val="0A2999E5"/>
    <w:rsid w:val="0A2DE4B6"/>
    <w:rsid w:val="0A2EB702"/>
    <w:rsid w:val="0A30106F"/>
    <w:rsid w:val="0A30B4C5"/>
    <w:rsid w:val="0A359495"/>
    <w:rsid w:val="0A3A5012"/>
    <w:rsid w:val="0A3B1060"/>
    <w:rsid w:val="0A4BA986"/>
    <w:rsid w:val="0A4C5C59"/>
    <w:rsid w:val="0A4EFA82"/>
    <w:rsid w:val="0A563FAD"/>
    <w:rsid w:val="0A58DDB3"/>
    <w:rsid w:val="0A5DABC8"/>
    <w:rsid w:val="0A60A498"/>
    <w:rsid w:val="0A60FB2D"/>
    <w:rsid w:val="0A67D130"/>
    <w:rsid w:val="0A6DDF4B"/>
    <w:rsid w:val="0A7408C1"/>
    <w:rsid w:val="0A76EE82"/>
    <w:rsid w:val="0A7D1FB0"/>
    <w:rsid w:val="0A81210D"/>
    <w:rsid w:val="0A82F1A5"/>
    <w:rsid w:val="0A8BCFB2"/>
    <w:rsid w:val="0A8FC4FB"/>
    <w:rsid w:val="0A93B5DF"/>
    <w:rsid w:val="0A95B0CB"/>
    <w:rsid w:val="0A982B42"/>
    <w:rsid w:val="0AA5A7E0"/>
    <w:rsid w:val="0AAA83B6"/>
    <w:rsid w:val="0AAD38A1"/>
    <w:rsid w:val="0AAD9686"/>
    <w:rsid w:val="0AAF5028"/>
    <w:rsid w:val="0AB09A9D"/>
    <w:rsid w:val="0AB5CE12"/>
    <w:rsid w:val="0AB89249"/>
    <w:rsid w:val="0AC0ED23"/>
    <w:rsid w:val="0AC70912"/>
    <w:rsid w:val="0ACB91E6"/>
    <w:rsid w:val="0ACF04F1"/>
    <w:rsid w:val="0AD4D04C"/>
    <w:rsid w:val="0AD67A8D"/>
    <w:rsid w:val="0AD7D2C6"/>
    <w:rsid w:val="0ADA1CD2"/>
    <w:rsid w:val="0ADC7E4D"/>
    <w:rsid w:val="0AE8B96E"/>
    <w:rsid w:val="0AEBB2AC"/>
    <w:rsid w:val="0AF07962"/>
    <w:rsid w:val="0AF567CF"/>
    <w:rsid w:val="0AF6721C"/>
    <w:rsid w:val="0AF6A3E1"/>
    <w:rsid w:val="0AF96215"/>
    <w:rsid w:val="0AFA666E"/>
    <w:rsid w:val="0AFD05B9"/>
    <w:rsid w:val="0AFD1CF9"/>
    <w:rsid w:val="0B06EDE4"/>
    <w:rsid w:val="0B0706E7"/>
    <w:rsid w:val="0B0E3B07"/>
    <w:rsid w:val="0B113C18"/>
    <w:rsid w:val="0B1331E3"/>
    <w:rsid w:val="0B13B463"/>
    <w:rsid w:val="0B13B8A6"/>
    <w:rsid w:val="0B13B8E0"/>
    <w:rsid w:val="0B1A5521"/>
    <w:rsid w:val="0B1BEF55"/>
    <w:rsid w:val="0B1DB701"/>
    <w:rsid w:val="0B238442"/>
    <w:rsid w:val="0B27F549"/>
    <w:rsid w:val="0B280C9A"/>
    <w:rsid w:val="0B287B93"/>
    <w:rsid w:val="0B2FDDF6"/>
    <w:rsid w:val="0B345250"/>
    <w:rsid w:val="0B364B05"/>
    <w:rsid w:val="0B3DD512"/>
    <w:rsid w:val="0B3F4874"/>
    <w:rsid w:val="0B3F5F58"/>
    <w:rsid w:val="0B40550B"/>
    <w:rsid w:val="0B4AB891"/>
    <w:rsid w:val="0B566DA5"/>
    <w:rsid w:val="0B5733AA"/>
    <w:rsid w:val="0B59B00E"/>
    <w:rsid w:val="0B5D3FB5"/>
    <w:rsid w:val="0B6405E7"/>
    <w:rsid w:val="0B6824DF"/>
    <w:rsid w:val="0B6B9A43"/>
    <w:rsid w:val="0B6F4388"/>
    <w:rsid w:val="0B7151E1"/>
    <w:rsid w:val="0B827CC4"/>
    <w:rsid w:val="0B885F9E"/>
    <w:rsid w:val="0B8C7FCB"/>
    <w:rsid w:val="0B8CE5B6"/>
    <w:rsid w:val="0B940453"/>
    <w:rsid w:val="0B954EAA"/>
    <w:rsid w:val="0B96EFD9"/>
    <w:rsid w:val="0B9966DF"/>
    <w:rsid w:val="0BA2C501"/>
    <w:rsid w:val="0BA5D097"/>
    <w:rsid w:val="0BA7382F"/>
    <w:rsid w:val="0BAAE377"/>
    <w:rsid w:val="0BABBB36"/>
    <w:rsid w:val="0BAF9936"/>
    <w:rsid w:val="0BB31EF0"/>
    <w:rsid w:val="0BB66EBC"/>
    <w:rsid w:val="0BB9BA50"/>
    <w:rsid w:val="0BBF305A"/>
    <w:rsid w:val="0BC682E2"/>
    <w:rsid w:val="0BC6FA1B"/>
    <w:rsid w:val="0BC71050"/>
    <w:rsid w:val="0BCAF14B"/>
    <w:rsid w:val="0BCFEC57"/>
    <w:rsid w:val="0BDE9F26"/>
    <w:rsid w:val="0BE9FDD1"/>
    <w:rsid w:val="0BEAE55C"/>
    <w:rsid w:val="0BF0569D"/>
    <w:rsid w:val="0BF83931"/>
    <w:rsid w:val="0C01ED2A"/>
    <w:rsid w:val="0C07001A"/>
    <w:rsid w:val="0C133727"/>
    <w:rsid w:val="0C17AFC6"/>
    <w:rsid w:val="0C1F363F"/>
    <w:rsid w:val="0C1FB911"/>
    <w:rsid w:val="0C2BC0D3"/>
    <w:rsid w:val="0C2F7E30"/>
    <w:rsid w:val="0C34858B"/>
    <w:rsid w:val="0C406C73"/>
    <w:rsid w:val="0C45279A"/>
    <w:rsid w:val="0C458FD6"/>
    <w:rsid w:val="0C474DD3"/>
    <w:rsid w:val="0C47EBC4"/>
    <w:rsid w:val="0C491CD0"/>
    <w:rsid w:val="0C58EA51"/>
    <w:rsid w:val="0C61D2E0"/>
    <w:rsid w:val="0C637BCD"/>
    <w:rsid w:val="0C6C7997"/>
    <w:rsid w:val="0C713A43"/>
    <w:rsid w:val="0C72EF44"/>
    <w:rsid w:val="0C769978"/>
    <w:rsid w:val="0C78D75A"/>
    <w:rsid w:val="0C804188"/>
    <w:rsid w:val="0C828AA9"/>
    <w:rsid w:val="0C884D84"/>
    <w:rsid w:val="0C8F9D2E"/>
    <w:rsid w:val="0C916EBF"/>
    <w:rsid w:val="0C923161"/>
    <w:rsid w:val="0C9712B2"/>
    <w:rsid w:val="0C97811F"/>
    <w:rsid w:val="0C9BC069"/>
    <w:rsid w:val="0C9EA438"/>
    <w:rsid w:val="0CA04C0F"/>
    <w:rsid w:val="0CA6D68E"/>
    <w:rsid w:val="0CB12DFF"/>
    <w:rsid w:val="0CBD3E00"/>
    <w:rsid w:val="0CBFCBEF"/>
    <w:rsid w:val="0CC216F8"/>
    <w:rsid w:val="0CC3831B"/>
    <w:rsid w:val="0CC47DDB"/>
    <w:rsid w:val="0CC60632"/>
    <w:rsid w:val="0CC84B7B"/>
    <w:rsid w:val="0CC8C2D8"/>
    <w:rsid w:val="0CCC64A1"/>
    <w:rsid w:val="0CD736B8"/>
    <w:rsid w:val="0CD81662"/>
    <w:rsid w:val="0CDCE5CB"/>
    <w:rsid w:val="0CE28902"/>
    <w:rsid w:val="0CE2BAD3"/>
    <w:rsid w:val="0CE4655E"/>
    <w:rsid w:val="0CE61276"/>
    <w:rsid w:val="0CE87F85"/>
    <w:rsid w:val="0CE8BB7F"/>
    <w:rsid w:val="0CE9DC2D"/>
    <w:rsid w:val="0CEAD5C9"/>
    <w:rsid w:val="0CFB85E0"/>
    <w:rsid w:val="0D009EE8"/>
    <w:rsid w:val="0D0265BA"/>
    <w:rsid w:val="0D04D2EA"/>
    <w:rsid w:val="0D04F89E"/>
    <w:rsid w:val="0D0D7905"/>
    <w:rsid w:val="0D0DD24B"/>
    <w:rsid w:val="0D0E0891"/>
    <w:rsid w:val="0D103CC0"/>
    <w:rsid w:val="0D10AF3E"/>
    <w:rsid w:val="0D12637E"/>
    <w:rsid w:val="0D1908EF"/>
    <w:rsid w:val="0D1BE88A"/>
    <w:rsid w:val="0D240F0D"/>
    <w:rsid w:val="0D2E8073"/>
    <w:rsid w:val="0D33BE20"/>
    <w:rsid w:val="0D375ECB"/>
    <w:rsid w:val="0D3B2D69"/>
    <w:rsid w:val="0D40EC93"/>
    <w:rsid w:val="0D40F785"/>
    <w:rsid w:val="0D465DC8"/>
    <w:rsid w:val="0D475AE2"/>
    <w:rsid w:val="0D49ADFD"/>
    <w:rsid w:val="0D532097"/>
    <w:rsid w:val="0D56F352"/>
    <w:rsid w:val="0D57206E"/>
    <w:rsid w:val="0D5AECDD"/>
    <w:rsid w:val="0D63E1B7"/>
    <w:rsid w:val="0D655919"/>
    <w:rsid w:val="0D710480"/>
    <w:rsid w:val="0D7109D1"/>
    <w:rsid w:val="0D721DBA"/>
    <w:rsid w:val="0D78736C"/>
    <w:rsid w:val="0D791B74"/>
    <w:rsid w:val="0D79244C"/>
    <w:rsid w:val="0D7D9BD8"/>
    <w:rsid w:val="0D81DE69"/>
    <w:rsid w:val="0D866EDF"/>
    <w:rsid w:val="0D91C767"/>
    <w:rsid w:val="0D929667"/>
    <w:rsid w:val="0D95BA2E"/>
    <w:rsid w:val="0D97708D"/>
    <w:rsid w:val="0D98EAEB"/>
    <w:rsid w:val="0DA308D8"/>
    <w:rsid w:val="0DA34186"/>
    <w:rsid w:val="0DA72061"/>
    <w:rsid w:val="0DA9DE1F"/>
    <w:rsid w:val="0DAC5AF0"/>
    <w:rsid w:val="0DADA755"/>
    <w:rsid w:val="0DADB579"/>
    <w:rsid w:val="0DB7DF3B"/>
    <w:rsid w:val="0DCA4EC4"/>
    <w:rsid w:val="0DCA6D8E"/>
    <w:rsid w:val="0DCAD530"/>
    <w:rsid w:val="0DCB39EF"/>
    <w:rsid w:val="0DD540F6"/>
    <w:rsid w:val="0DD6C9C6"/>
    <w:rsid w:val="0DDC3063"/>
    <w:rsid w:val="0DDF5519"/>
    <w:rsid w:val="0DE4F342"/>
    <w:rsid w:val="0DE6BE00"/>
    <w:rsid w:val="0DEDE035"/>
    <w:rsid w:val="0DF0E7EB"/>
    <w:rsid w:val="0DF2B615"/>
    <w:rsid w:val="0DF6DADF"/>
    <w:rsid w:val="0DFED145"/>
    <w:rsid w:val="0E0164C4"/>
    <w:rsid w:val="0E026A44"/>
    <w:rsid w:val="0E02E516"/>
    <w:rsid w:val="0E117393"/>
    <w:rsid w:val="0E18855F"/>
    <w:rsid w:val="0E18D5F1"/>
    <w:rsid w:val="0E1EA736"/>
    <w:rsid w:val="0E1F495F"/>
    <w:rsid w:val="0E1FA428"/>
    <w:rsid w:val="0E1FAAA8"/>
    <w:rsid w:val="0E27A0EC"/>
    <w:rsid w:val="0E2C2636"/>
    <w:rsid w:val="0E2EB94B"/>
    <w:rsid w:val="0E2F76DE"/>
    <w:rsid w:val="0E32F041"/>
    <w:rsid w:val="0E338AED"/>
    <w:rsid w:val="0E34BBC0"/>
    <w:rsid w:val="0E362259"/>
    <w:rsid w:val="0E36DCF5"/>
    <w:rsid w:val="0E37956A"/>
    <w:rsid w:val="0E37DF74"/>
    <w:rsid w:val="0E401B1C"/>
    <w:rsid w:val="0E434E42"/>
    <w:rsid w:val="0E468F61"/>
    <w:rsid w:val="0E4770B9"/>
    <w:rsid w:val="0E4A98C5"/>
    <w:rsid w:val="0E4D7927"/>
    <w:rsid w:val="0E4E23B5"/>
    <w:rsid w:val="0E513E70"/>
    <w:rsid w:val="0E55038D"/>
    <w:rsid w:val="0E5A3E15"/>
    <w:rsid w:val="0E5EA2F4"/>
    <w:rsid w:val="0E5F69CB"/>
    <w:rsid w:val="0E6A529E"/>
    <w:rsid w:val="0E6ACB65"/>
    <w:rsid w:val="0E723CDD"/>
    <w:rsid w:val="0E77F26F"/>
    <w:rsid w:val="0E7BCAF0"/>
    <w:rsid w:val="0E83E568"/>
    <w:rsid w:val="0E858479"/>
    <w:rsid w:val="0E876E2F"/>
    <w:rsid w:val="0E8FA19A"/>
    <w:rsid w:val="0E90DDF1"/>
    <w:rsid w:val="0E9721F2"/>
    <w:rsid w:val="0E9DAC4B"/>
    <w:rsid w:val="0E9E75A8"/>
    <w:rsid w:val="0EA46EEC"/>
    <w:rsid w:val="0EA4E7E8"/>
    <w:rsid w:val="0EA6475D"/>
    <w:rsid w:val="0EA76DB1"/>
    <w:rsid w:val="0EABA15C"/>
    <w:rsid w:val="0EABBC07"/>
    <w:rsid w:val="0EB236E0"/>
    <w:rsid w:val="0EC1643B"/>
    <w:rsid w:val="0EC68170"/>
    <w:rsid w:val="0ECB1C84"/>
    <w:rsid w:val="0ECCEB14"/>
    <w:rsid w:val="0EE56F15"/>
    <w:rsid w:val="0EE77EB1"/>
    <w:rsid w:val="0EEBDC57"/>
    <w:rsid w:val="0EECF32C"/>
    <w:rsid w:val="0EF0EA4F"/>
    <w:rsid w:val="0EF9A6EE"/>
    <w:rsid w:val="0EFC2592"/>
    <w:rsid w:val="0EFECDB4"/>
    <w:rsid w:val="0F004E2D"/>
    <w:rsid w:val="0F02789A"/>
    <w:rsid w:val="0F064CB8"/>
    <w:rsid w:val="0F0AC3B5"/>
    <w:rsid w:val="0F132380"/>
    <w:rsid w:val="0F186BC2"/>
    <w:rsid w:val="0F1BD2EC"/>
    <w:rsid w:val="0F20FD61"/>
    <w:rsid w:val="0F217FB1"/>
    <w:rsid w:val="0F27B8E5"/>
    <w:rsid w:val="0F283A69"/>
    <w:rsid w:val="0F284101"/>
    <w:rsid w:val="0F30CDE0"/>
    <w:rsid w:val="0F36A7FB"/>
    <w:rsid w:val="0F372732"/>
    <w:rsid w:val="0F3AFE8A"/>
    <w:rsid w:val="0F3DC610"/>
    <w:rsid w:val="0F46F637"/>
    <w:rsid w:val="0F4FD284"/>
    <w:rsid w:val="0F5273FF"/>
    <w:rsid w:val="0F52F079"/>
    <w:rsid w:val="0F52F71B"/>
    <w:rsid w:val="0F5536E0"/>
    <w:rsid w:val="0F57CC90"/>
    <w:rsid w:val="0F670E0C"/>
    <w:rsid w:val="0F6F2DB2"/>
    <w:rsid w:val="0F731ED3"/>
    <w:rsid w:val="0F732A14"/>
    <w:rsid w:val="0F76B7F3"/>
    <w:rsid w:val="0F79D195"/>
    <w:rsid w:val="0F7DFF8C"/>
    <w:rsid w:val="0F7F7CD8"/>
    <w:rsid w:val="0F829AAC"/>
    <w:rsid w:val="0F994D78"/>
    <w:rsid w:val="0F9F61F9"/>
    <w:rsid w:val="0FA7F1B4"/>
    <w:rsid w:val="0FACBE20"/>
    <w:rsid w:val="0FB72C23"/>
    <w:rsid w:val="0FB8B87D"/>
    <w:rsid w:val="0FB8EC36"/>
    <w:rsid w:val="0FBD1FAB"/>
    <w:rsid w:val="0FC695EE"/>
    <w:rsid w:val="0FC9E7FD"/>
    <w:rsid w:val="0FCB48DF"/>
    <w:rsid w:val="0FD218D5"/>
    <w:rsid w:val="0FD346F0"/>
    <w:rsid w:val="0FD3E188"/>
    <w:rsid w:val="0FD4D3C5"/>
    <w:rsid w:val="0FE2C8DE"/>
    <w:rsid w:val="0FE7FD26"/>
    <w:rsid w:val="0FED51B4"/>
    <w:rsid w:val="0FF15B47"/>
    <w:rsid w:val="0FF4D895"/>
    <w:rsid w:val="0FF60D6E"/>
    <w:rsid w:val="0FFCF491"/>
    <w:rsid w:val="0FFF1731"/>
    <w:rsid w:val="100442B9"/>
    <w:rsid w:val="100FB1F4"/>
    <w:rsid w:val="1011505C"/>
    <w:rsid w:val="10134060"/>
    <w:rsid w:val="1017AFC9"/>
    <w:rsid w:val="101A4BDE"/>
    <w:rsid w:val="101AFF15"/>
    <w:rsid w:val="101C0436"/>
    <w:rsid w:val="101F0F81"/>
    <w:rsid w:val="1026E7EA"/>
    <w:rsid w:val="1027A595"/>
    <w:rsid w:val="102F92D7"/>
    <w:rsid w:val="10342BDF"/>
    <w:rsid w:val="1040AA53"/>
    <w:rsid w:val="10418982"/>
    <w:rsid w:val="1042121D"/>
    <w:rsid w:val="10434CEE"/>
    <w:rsid w:val="10475D0A"/>
    <w:rsid w:val="1047BB18"/>
    <w:rsid w:val="104AC9AB"/>
    <w:rsid w:val="1052F787"/>
    <w:rsid w:val="1054F82E"/>
    <w:rsid w:val="1055751F"/>
    <w:rsid w:val="1056805E"/>
    <w:rsid w:val="105C19E9"/>
    <w:rsid w:val="106049D0"/>
    <w:rsid w:val="1064E7AD"/>
    <w:rsid w:val="106A75B7"/>
    <w:rsid w:val="106D6E45"/>
    <w:rsid w:val="106E6971"/>
    <w:rsid w:val="1072BCB4"/>
    <w:rsid w:val="10801296"/>
    <w:rsid w:val="108188B7"/>
    <w:rsid w:val="1084DB2B"/>
    <w:rsid w:val="10872E6A"/>
    <w:rsid w:val="10901E65"/>
    <w:rsid w:val="10917DB9"/>
    <w:rsid w:val="1092A7EF"/>
    <w:rsid w:val="10A4CC25"/>
    <w:rsid w:val="10AC30B7"/>
    <w:rsid w:val="10ADB3EF"/>
    <w:rsid w:val="10B20E26"/>
    <w:rsid w:val="10BD1C4B"/>
    <w:rsid w:val="10C405FA"/>
    <w:rsid w:val="10C56AE5"/>
    <w:rsid w:val="10C966ED"/>
    <w:rsid w:val="10CB7482"/>
    <w:rsid w:val="10CD267A"/>
    <w:rsid w:val="10D15B22"/>
    <w:rsid w:val="10D4DD2A"/>
    <w:rsid w:val="10DF260B"/>
    <w:rsid w:val="10E63DC3"/>
    <w:rsid w:val="10E92DC4"/>
    <w:rsid w:val="10F5554C"/>
    <w:rsid w:val="10F5C781"/>
    <w:rsid w:val="11014095"/>
    <w:rsid w:val="1105D7C0"/>
    <w:rsid w:val="11092C23"/>
    <w:rsid w:val="110E76E0"/>
    <w:rsid w:val="111342FF"/>
    <w:rsid w:val="11179D4A"/>
    <w:rsid w:val="111B0374"/>
    <w:rsid w:val="111B0646"/>
    <w:rsid w:val="111F1DEE"/>
    <w:rsid w:val="111F84D2"/>
    <w:rsid w:val="11240986"/>
    <w:rsid w:val="112B7B01"/>
    <w:rsid w:val="112BD3AA"/>
    <w:rsid w:val="11302E22"/>
    <w:rsid w:val="11304E37"/>
    <w:rsid w:val="1134D0AF"/>
    <w:rsid w:val="11351034"/>
    <w:rsid w:val="1139DCEF"/>
    <w:rsid w:val="11437FA0"/>
    <w:rsid w:val="114843E2"/>
    <w:rsid w:val="1149114E"/>
    <w:rsid w:val="114988EB"/>
    <w:rsid w:val="114E4FA8"/>
    <w:rsid w:val="114EDE76"/>
    <w:rsid w:val="11508D94"/>
    <w:rsid w:val="1153C960"/>
    <w:rsid w:val="1159A2F0"/>
    <w:rsid w:val="115AC214"/>
    <w:rsid w:val="116053F6"/>
    <w:rsid w:val="11610D01"/>
    <w:rsid w:val="116286DA"/>
    <w:rsid w:val="116EC25B"/>
    <w:rsid w:val="11798BEA"/>
    <w:rsid w:val="117C1A93"/>
    <w:rsid w:val="1183421A"/>
    <w:rsid w:val="1188CDF9"/>
    <w:rsid w:val="1192EBA4"/>
    <w:rsid w:val="1196E2B8"/>
    <w:rsid w:val="119D42B9"/>
    <w:rsid w:val="119F97CB"/>
    <w:rsid w:val="11A1C315"/>
    <w:rsid w:val="11A50732"/>
    <w:rsid w:val="11AA73BD"/>
    <w:rsid w:val="11AD6BA1"/>
    <w:rsid w:val="11AD82CB"/>
    <w:rsid w:val="11BEE8C6"/>
    <w:rsid w:val="11C808D7"/>
    <w:rsid w:val="11CE5562"/>
    <w:rsid w:val="11CF3368"/>
    <w:rsid w:val="11D53396"/>
    <w:rsid w:val="11D7FD1C"/>
    <w:rsid w:val="11D8A45D"/>
    <w:rsid w:val="11DC6E3D"/>
    <w:rsid w:val="11E0EB08"/>
    <w:rsid w:val="11E2C071"/>
    <w:rsid w:val="11E4F4C3"/>
    <w:rsid w:val="11E55FD1"/>
    <w:rsid w:val="11E82D42"/>
    <w:rsid w:val="11E9A4FF"/>
    <w:rsid w:val="11EB4FAC"/>
    <w:rsid w:val="11ECA651"/>
    <w:rsid w:val="11F14BB1"/>
    <w:rsid w:val="11F45D5A"/>
    <w:rsid w:val="1204D30B"/>
    <w:rsid w:val="12085369"/>
    <w:rsid w:val="120D6D5D"/>
    <w:rsid w:val="120EDDA2"/>
    <w:rsid w:val="120FC678"/>
    <w:rsid w:val="1212C36F"/>
    <w:rsid w:val="1216CF6B"/>
    <w:rsid w:val="1218457B"/>
    <w:rsid w:val="121C63E7"/>
    <w:rsid w:val="121D2710"/>
    <w:rsid w:val="122965E7"/>
    <w:rsid w:val="122E7344"/>
    <w:rsid w:val="1231B635"/>
    <w:rsid w:val="1249C82D"/>
    <w:rsid w:val="124A86BC"/>
    <w:rsid w:val="124AF3E0"/>
    <w:rsid w:val="12514B6B"/>
    <w:rsid w:val="12531583"/>
    <w:rsid w:val="1253E6F8"/>
    <w:rsid w:val="1257D75E"/>
    <w:rsid w:val="1258A92D"/>
    <w:rsid w:val="12596D7F"/>
    <w:rsid w:val="12618CD3"/>
    <w:rsid w:val="126696BF"/>
    <w:rsid w:val="1266EFDD"/>
    <w:rsid w:val="126A650A"/>
    <w:rsid w:val="126B0AE8"/>
    <w:rsid w:val="126DA65C"/>
    <w:rsid w:val="1274CE72"/>
    <w:rsid w:val="12828B65"/>
    <w:rsid w:val="1283F1E4"/>
    <w:rsid w:val="1286A397"/>
    <w:rsid w:val="128D5E89"/>
    <w:rsid w:val="128E65BF"/>
    <w:rsid w:val="128E9AB9"/>
    <w:rsid w:val="1293DD95"/>
    <w:rsid w:val="129F86E2"/>
    <w:rsid w:val="12A0BDAA"/>
    <w:rsid w:val="12B0359F"/>
    <w:rsid w:val="12BF3F57"/>
    <w:rsid w:val="12C2B369"/>
    <w:rsid w:val="12CAF315"/>
    <w:rsid w:val="12CD8A8D"/>
    <w:rsid w:val="12CF03CE"/>
    <w:rsid w:val="12D0F129"/>
    <w:rsid w:val="12D109F9"/>
    <w:rsid w:val="12D3496F"/>
    <w:rsid w:val="12DC0F36"/>
    <w:rsid w:val="12DDD86D"/>
    <w:rsid w:val="12DDEC79"/>
    <w:rsid w:val="12E197EE"/>
    <w:rsid w:val="12E39601"/>
    <w:rsid w:val="12E77D88"/>
    <w:rsid w:val="12E945D3"/>
    <w:rsid w:val="12EEF102"/>
    <w:rsid w:val="12EF71EE"/>
    <w:rsid w:val="12F12274"/>
    <w:rsid w:val="12FB112D"/>
    <w:rsid w:val="12FC0ECF"/>
    <w:rsid w:val="12FDBD72"/>
    <w:rsid w:val="12FEFC58"/>
    <w:rsid w:val="130921FF"/>
    <w:rsid w:val="13212864"/>
    <w:rsid w:val="13245CAB"/>
    <w:rsid w:val="1325CDE0"/>
    <w:rsid w:val="133220DB"/>
    <w:rsid w:val="1335EFB1"/>
    <w:rsid w:val="133BEC7D"/>
    <w:rsid w:val="133C8C0D"/>
    <w:rsid w:val="133D4F1B"/>
    <w:rsid w:val="1343DD4E"/>
    <w:rsid w:val="134832FA"/>
    <w:rsid w:val="13485AEF"/>
    <w:rsid w:val="134AF164"/>
    <w:rsid w:val="134BDD84"/>
    <w:rsid w:val="1350086D"/>
    <w:rsid w:val="135095CE"/>
    <w:rsid w:val="13548C04"/>
    <w:rsid w:val="13555B77"/>
    <w:rsid w:val="1359D28D"/>
    <w:rsid w:val="135BBA83"/>
    <w:rsid w:val="1360BAB5"/>
    <w:rsid w:val="13646C11"/>
    <w:rsid w:val="1376DCE8"/>
    <w:rsid w:val="137B7658"/>
    <w:rsid w:val="1383618A"/>
    <w:rsid w:val="13865BEC"/>
    <w:rsid w:val="138730BF"/>
    <w:rsid w:val="13927278"/>
    <w:rsid w:val="1392DCDF"/>
    <w:rsid w:val="1394C1DF"/>
    <w:rsid w:val="13950F8F"/>
    <w:rsid w:val="1396E690"/>
    <w:rsid w:val="139818A1"/>
    <w:rsid w:val="13991DB5"/>
    <w:rsid w:val="13A0734D"/>
    <w:rsid w:val="13A5476A"/>
    <w:rsid w:val="13A59395"/>
    <w:rsid w:val="13A9E278"/>
    <w:rsid w:val="13ABB1E5"/>
    <w:rsid w:val="13B012AC"/>
    <w:rsid w:val="13B22D00"/>
    <w:rsid w:val="13C2BC76"/>
    <w:rsid w:val="13C647FB"/>
    <w:rsid w:val="13C81AA8"/>
    <w:rsid w:val="13C9AE02"/>
    <w:rsid w:val="13CB385A"/>
    <w:rsid w:val="13CDA428"/>
    <w:rsid w:val="13D77D34"/>
    <w:rsid w:val="13DA6084"/>
    <w:rsid w:val="13E6663B"/>
    <w:rsid w:val="13E9DD72"/>
    <w:rsid w:val="13EAFC5D"/>
    <w:rsid w:val="13EF9AB7"/>
    <w:rsid w:val="13F07EE3"/>
    <w:rsid w:val="13F37853"/>
    <w:rsid w:val="13F7297A"/>
    <w:rsid w:val="13FE79FA"/>
    <w:rsid w:val="1402AC6E"/>
    <w:rsid w:val="1403EFDF"/>
    <w:rsid w:val="140422D7"/>
    <w:rsid w:val="1409D6BD"/>
    <w:rsid w:val="140C5E35"/>
    <w:rsid w:val="1418DE2D"/>
    <w:rsid w:val="14220E96"/>
    <w:rsid w:val="14247B68"/>
    <w:rsid w:val="1424CA11"/>
    <w:rsid w:val="1425B357"/>
    <w:rsid w:val="14283915"/>
    <w:rsid w:val="14358402"/>
    <w:rsid w:val="14379B3A"/>
    <w:rsid w:val="14424F92"/>
    <w:rsid w:val="14455C37"/>
    <w:rsid w:val="14465538"/>
    <w:rsid w:val="14486B09"/>
    <w:rsid w:val="1448B4AB"/>
    <w:rsid w:val="144D95D4"/>
    <w:rsid w:val="14501064"/>
    <w:rsid w:val="1450429B"/>
    <w:rsid w:val="14539E40"/>
    <w:rsid w:val="1458A3D5"/>
    <w:rsid w:val="145FEFA2"/>
    <w:rsid w:val="146133F0"/>
    <w:rsid w:val="14625AFD"/>
    <w:rsid w:val="14649B73"/>
    <w:rsid w:val="1466B18C"/>
    <w:rsid w:val="1469ACEB"/>
    <w:rsid w:val="147247E6"/>
    <w:rsid w:val="147D221F"/>
    <w:rsid w:val="148043FF"/>
    <w:rsid w:val="1480C74A"/>
    <w:rsid w:val="148644FC"/>
    <w:rsid w:val="1488CC6D"/>
    <w:rsid w:val="1489B86E"/>
    <w:rsid w:val="148AA5D7"/>
    <w:rsid w:val="148DF810"/>
    <w:rsid w:val="14992A0B"/>
    <w:rsid w:val="149C7A11"/>
    <w:rsid w:val="149F613C"/>
    <w:rsid w:val="14A3F635"/>
    <w:rsid w:val="14A418A8"/>
    <w:rsid w:val="14A48107"/>
    <w:rsid w:val="14AD6E94"/>
    <w:rsid w:val="14B53C14"/>
    <w:rsid w:val="14B8368E"/>
    <w:rsid w:val="14C0CFE6"/>
    <w:rsid w:val="14C2C7AA"/>
    <w:rsid w:val="14C942F0"/>
    <w:rsid w:val="14C9A504"/>
    <w:rsid w:val="14CF9285"/>
    <w:rsid w:val="14CFE2AE"/>
    <w:rsid w:val="14D67FA2"/>
    <w:rsid w:val="14E19BA8"/>
    <w:rsid w:val="14E3E83B"/>
    <w:rsid w:val="14E77FC4"/>
    <w:rsid w:val="14F2EDFA"/>
    <w:rsid w:val="14F76D50"/>
    <w:rsid w:val="14FAD5E0"/>
    <w:rsid w:val="14FB3E84"/>
    <w:rsid w:val="14FE6F05"/>
    <w:rsid w:val="1502DBFD"/>
    <w:rsid w:val="150909B8"/>
    <w:rsid w:val="150BD99D"/>
    <w:rsid w:val="15111664"/>
    <w:rsid w:val="1515C84A"/>
    <w:rsid w:val="15171571"/>
    <w:rsid w:val="1522B668"/>
    <w:rsid w:val="1523477F"/>
    <w:rsid w:val="1524E10D"/>
    <w:rsid w:val="1526FA88"/>
    <w:rsid w:val="15295059"/>
    <w:rsid w:val="1529A92F"/>
    <w:rsid w:val="152A48AC"/>
    <w:rsid w:val="152D416E"/>
    <w:rsid w:val="15371AC0"/>
    <w:rsid w:val="1539C0DB"/>
    <w:rsid w:val="153A994D"/>
    <w:rsid w:val="1541150B"/>
    <w:rsid w:val="154738A9"/>
    <w:rsid w:val="154811FC"/>
    <w:rsid w:val="1549B259"/>
    <w:rsid w:val="1551C942"/>
    <w:rsid w:val="1553C426"/>
    <w:rsid w:val="1563EA49"/>
    <w:rsid w:val="156F2879"/>
    <w:rsid w:val="1579A58C"/>
    <w:rsid w:val="157A2D32"/>
    <w:rsid w:val="157B4BFE"/>
    <w:rsid w:val="157C8553"/>
    <w:rsid w:val="1585C745"/>
    <w:rsid w:val="15891AE1"/>
    <w:rsid w:val="158A0469"/>
    <w:rsid w:val="158C3CE0"/>
    <w:rsid w:val="15986049"/>
    <w:rsid w:val="159AFE5C"/>
    <w:rsid w:val="159D05B9"/>
    <w:rsid w:val="159E0DAA"/>
    <w:rsid w:val="159F9798"/>
    <w:rsid w:val="159FCBB6"/>
    <w:rsid w:val="15A9B3B9"/>
    <w:rsid w:val="15ABE10D"/>
    <w:rsid w:val="15AC1BCD"/>
    <w:rsid w:val="15CDA56C"/>
    <w:rsid w:val="15CF455E"/>
    <w:rsid w:val="15D2F659"/>
    <w:rsid w:val="15D67177"/>
    <w:rsid w:val="15D88F5D"/>
    <w:rsid w:val="15DEC0F6"/>
    <w:rsid w:val="15DF9AF6"/>
    <w:rsid w:val="15E44360"/>
    <w:rsid w:val="15E69FE5"/>
    <w:rsid w:val="15E78712"/>
    <w:rsid w:val="15EB78E9"/>
    <w:rsid w:val="15EBD802"/>
    <w:rsid w:val="15F2E00F"/>
    <w:rsid w:val="15F4ADEF"/>
    <w:rsid w:val="15F92D2E"/>
    <w:rsid w:val="1604BECB"/>
    <w:rsid w:val="16052646"/>
    <w:rsid w:val="16084319"/>
    <w:rsid w:val="1608D2B3"/>
    <w:rsid w:val="1611CF31"/>
    <w:rsid w:val="161353C0"/>
    <w:rsid w:val="1613BBEB"/>
    <w:rsid w:val="1618D0A8"/>
    <w:rsid w:val="16196B05"/>
    <w:rsid w:val="161C0391"/>
    <w:rsid w:val="161E9A79"/>
    <w:rsid w:val="16200999"/>
    <w:rsid w:val="1620E41A"/>
    <w:rsid w:val="162337FB"/>
    <w:rsid w:val="16237C0E"/>
    <w:rsid w:val="1623A767"/>
    <w:rsid w:val="162B9E59"/>
    <w:rsid w:val="162D8D15"/>
    <w:rsid w:val="162E1B82"/>
    <w:rsid w:val="16388A43"/>
    <w:rsid w:val="163DA81E"/>
    <w:rsid w:val="163E7DE0"/>
    <w:rsid w:val="16404178"/>
    <w:rsid w:val="1640BBA3"/>
    <w:rsid w:val="1646FCAD"/>
    <w:rsid w:val="1652BCF7"/>
    <w:rsid w:val="16539C4F"/>
    <w:rsid w:val="1659F86B"/>
    <w:rsid w:val="165BA2BE"/>
    <w:rsid w:val="165D40DE"/>
    <w:rsid w:val="16681530"/>
    <w:rsid w:val="1668F62C"/>
    <w:rsid w:val="16798F4D"/>
    <w:rsid w:val="16808D98"/>
    <w:rsid w:val="1686F1D6"/>
    <w:rsid w:val="168C2069"/>
    <w:rsid w:val="1699792D"/>
    <w:rsid w:val="169E034C"/>
    <w:rsid w:val="16A02199"/>
    <w:rsid w:val="16A0B68A"/>
    <w:rsid w:val="16A28E82"/>
    <w:rsid w:val="16A46637"/>
    <w:rsid w:val="16A83043"/>
    <w:rsid w:val="16AC064E"/>
    <w:rsid w:val="16B424D4"/>
    <w:rsid w:val="16B498B2"/>
    <w:rsid w:val="16BBA807"/>
    <w:rsid w:val="16C2FBEF"/>
    <w:rsid w:val="16C3FD9E"/>
    <w:rsid w:val="16C4188A"/>
    <w:rsid w:val="16CA22FC"/>
    <w:rsid w:val="16CB6A4D"/>
    <w:rsid w:val="16CB9CC8"/>
    <w:rsid w:val="16CD8EA5"/>
    <w:rsid w:val="16D9B3A8"/>
    <w:rsid w:val="16E13BBC"/>
    <w:rsid w:val="16E24628"/>
    <w:rsid w:val="16ED85F3"/>
    <w:rsid w:val="16F1AFE6"/>
    <w:rsid w:val="16F2E37C"/>
    <w:rsid w:val="1705B6FC"/>
    <w:rsid w:val="17071ED7"/>
    <w:rsid w:val="170B645A"/>
    <w:rsid w:val="170C6407"/>
    <w:rsid w:val="1714FFB1"/>
    <w:rsid w:val="171B6855"/>
    <w:rsid w:val="171C7B2E"/>
    <w:rsid w:val="1724B95F"/>
    <w:rsid w:val="17272B2B"/>
    <w:rsid w:val="172A89BC"/>
    <w:rsid w:val="172EA163"/>
    <w:rsid w:val="172F82D5"/>
    <w:rsid w:val="1731C92E"/>
    <w:rsid w:val="17345DAA"/>
    <w:rsid w:val="173A3CB9"/>
    <w:rsid w:val="17445C24"/>
    <w:rsid w:val="174E7443"/>
    <w:rsid w:val="1751229A"/>
    <w:rsid w:val="175183A7"/>
    <w:rsid w:val="1751F1FF"/>
    <w:rsid w:val="1754332F"/>
    <w:rsid w:val="175E677E"/>
    <w:rsid w:val="1764A984"/>
    <w:rsid w:val="17684BB4"/>
    <w:rsid w:val="17775D02"/>
    <w:rsid w:val="1778C8EB"/>
    <w:rsid w:val="177A37D0"/>
    <w:rsid w:val="1781781F"/>
    <w:rsid w:val="1785249D"/>
    <w:rsid w:val="178643BD"/>
    <w:rsid w:val="1787174C"/>
    <w:rsid w:val="1787A2F7"/>
    <w:rsid w:val="17883BAE"/>
    <w:rsid w:val="178859F4"/>
    <w:rsid w:val="178896BE"/>
    <w:rsid w:val="178C0A63"/>
    <w:rsid w:val="178C8572"/>
    <w:rsid w:val="178D63F6"/>
    <w:rsid w:val="178E25F8"/>
    <w:rsid w:val="178F0B84"/>
    <w:rsid w:val="178F9A56"/>
    <w:rsid w:val="178FC168"/>
    <w:rsid w:val="1796223B"/>
    <w:rsid w:val="179AD27A"/>
    <w:rsid w:val="179C83D6"/>
    <w:rsid w:val="17A19A29"/>
    <w:rsid w:val="17A1B1DD"/>
    <w:rsid w:val="17A2A9DA"/>
    <w:rsid w:val="17A8AF09"/>
    <w:rsid w:val="17A98015"/>
    <w:rsid w:val="17A9BE2F"/>
    <w:rsid w:val="17B04153"/>
    <w:rsid w:val="17B19AF6"/>
    <w:rsid w:val="17B2E949"/>
    <w:rsid w:val="17B576A3"/>
    <w:rsid w:val="17B85FF2"/>
    <w:rsid w:val="17BB9CD6"/>
    <w:rsid w:val="17BC322C"/>
    <w:rsid w:val="17BD3BE6"/>
    <w:rsid w:val="17C31806"/>
    <w:rsid w:val="17C4853B"/>
    <w:rsid w:val="17C5040B"/>
    <w:rsid w:val="17C6C30C"/>
    <w:rsid w:val="17C99513"/>
    <w:rsid w:val="17CB764D"/>
    <w:rsid w:val="17D28821"/>
    <w:rsid w:val="17DAAE31"/>
    <w:rsid w:val="17DAD56C"/>
    <w:rsid w:val="17E58CFA"/>
    <w:rsid w:val="17ED8955"/>
    <w:rsid w:val="17F05A04"/>
    <w:rsid w:val="17F0ABA3"/>
    <w:rsid w:val="17F82267"/>
    <w:rsid w:val="17F8DCAD"/>
    <w:rsid w:val="17FAD349"/>
    <w:rsid w:val="17FC25AE"/>
    <w:rsid w:val="17FD839F"/>
    <w:rsid w:val="18008D29"/>
    <w:rsid w:val="18067CA0"/>
    <w:rsid w:val="180921C9"/>
    <w:rsid w:val="180C57EE"/>
    <w:rsid w:val="180DCD79"/>
    <w:rsid w:val="18146C86"/>
    <w:rsid w:val="18174E04"/>
    <w:rsid w:val="181C05F1"/>
    <w:rsid w:val="181E7967"/>
    <w:rsid w:val="181EAA32"/>
    <w:rsid w:val="18240077"/>
    <w:rsid w:val="18265E91"/>
    <w:rsid w:val="183289C2"/>
    <w:rsid w:val="1836D8C9"/>
    <w:rsid w:val="183835B2"/>
    <w:rsid w:val="183893A1"/>
    <w:rsid w:val="183E2859"/>
    <w:rsid w:val="1853A144"/>
    <w:rsid w:val="1855555D"/>
    <w:rsid w:val="1858DB2C"/>
    <w:rsid w:val="185F7237"/>
    <w:rsid w:val="1866BFC9"/>
    <w:rsid w:val="186920EB"/>
    <w:rsid w:val="18694138"/>
    <w:rsid w:val="186D3EE8"/>
    <w:rsid w:val="187184BE"/>
    <w:rsid w:val="18897107"/>
    <w:rsid w:val="188B664C"/>
    <w:rsid w:val="188B7F32"/>
    <w:rsid w:val="188E024B"/>
    <w:rsid w:val="188F833D"/>
    <w:rsid w:val="1890CA17"/>
    <w:rsid w:val="1890F344"/>
    <w:rsid w:val="18959055"/>
    <w:rsid w:val="1896151C"/>
    <w:rsid w:val="189777AE"/>
    <w:rsid w:val="189AB071"/>
    <w:rsid w:val="189B0639"/>
    <w:rsid w:val="18A6E3EB"/>
    <w:rsid w:val="18A93BC3"/>
    <w:rsid w:val="18ADB56D"/>
    <w:rsid w:val="18ADCFE6"/>
    <w:rsid w:val="18B6AA34"/>
    <w:rsid w:val="18BA3AB5"/>
    <w:rsid w:val="18BE4B91"/>
    <w:rsid w:val="18C59974"/>
    <w:rsid w:val="18C677A5"/>
    <w:rsid w:val="18CF44F0"/>
    <w:rsid w:val="18D22B31"/>
    <w:rsid w:val="18D2E44A"/>
    <w:rsid w:val="18DD5AB6"/>
    <w:rsid w:val="18E3DE90"/>
    <w:rsid w:val="18E44BAB"/>
    <w:rsid w:val="18E53265"/>
    <w:rsid w:val="18E69C33"/>
    <w:rsid w:val="18E9ECF2"/>
    <w:rsid w:val="18EF9941"/>
    <w:rsid w:val="18F15F3E"/>
    <w:rsid w:val="18F1C14F"/>
    <w:rsid w:val="18F40A16"/>
    <w:rsid w:val="18F66058"/>
    <w:rsid w:val="18F9F276"/>
    <w:rsid w:val="18FD7A0F"/>
    <w:rsid w:val="1902870C"/>
    <w:rsid w:val="1904AD0F"/>
    <w:rsid w:val="190D8527"/>
    <w:rsid w:val="190E4089"/>
    <w:rsid w:val="190FBC2D"/>
    <w:rsid w:val="1910BB31"/>
    <w:rsid w:val="19127D3D"/>
    <w:rsid w:val="191777ED"/>
    <w:rsid w:val="1918D5B4"/>
    <w:rsid w:val="1919C8AE"/>
    <w:rsid w:val="191A25FB"/>
    <w:rsid w:val="1927BBEC"/>
    <w:rsid w:val="192ECAA1"/>
    <w:rsid w:val="192F884E"/>
    <w:rsid w:val="19381881"/>
    <w:rsid w:val="19396206"/>
    <w:rsid w:val="193A40E7"/>
    <w:rsid w:val="193FF28D"/>
    <w:rsid w:val="19478F8E"/>
    <w:rsid w:val="194CA450"/>
    <w:rsid w:val="1950EDBA"/>
    <w:rsid w:val="19533DBA"/>
    <w:rsid w:val="19571D81"/>
    <w:rsid w:val="196425E2"/>
    <w:rsid w:val="1964D3F1"/>
    <w:rsid w:val="19662B37"/>
    <w:rsid w:val="196A31CF"/>
    <w:rsid w:val="197830D1"/>
    <w:rsid w:val="197A36D3"/>
    <w:rsid w:val="197D20A1"/>
    <w:rsid w:val="197F7B88"/>
    <w:rsid w:val="1987AF15"/>
    <w:rsid w:val="198EEE5D"/>
    <w:rsid w:val="1992F916"/>
    <w:rsid w:val="199EF4ED"/>
    <w:rsid w:val="199F14EE"/>
    <w:rsid w:val="19A0BC29"/>
    <w:rsid w:val="19A31010"/>
    <w:rsid w:val="19A75041"/>
    <w:rsid w:val="19A9CFCB"/>
    <w:rsid w:val="19AE13DD"/>
    <w:rsid w:val="19BAAF94"/>
    <w:rsid w:val="19BE840C"/>
    <w:rsid w:val="19BF5E41"/>
    <w:rsid w:val="19C1A024"/>
    <w:rsid w:val="19C6311A"/>
    <w:rsid w:val="19C9FA51"/>
    <w:rsid w:val="19D4DC89"/>
    <w:rsid w:val="19D63A8D"/>
    <w:rsid w:val="19D85069"/>
    <w:rsid w:val="19D8AA7E"/>
    <w:rsid w:val="19DC716C"/>
    <w:rsid w:val="19DFD9F9"/>
    <w:rsid w:val="19E18F75"/>
    <w:rsid w:val="19E4D7E7"/>
    <w:rsid w:val="19E852AA"/>
    <w:rsid w:val="19EDCD79"/>
    <w:rsid w:val="19F8EB33"/>
    <w:rsid w:val="19FB564E"/>
    <w:rsid w:val="19FD9EE0"/>
    <w:rsid w:val="1A167AF0"/>
    <w:rsid w:val="1A19963C"/>
    <w:rsid w:val="1A1BB7F4"/>
    <w:rsid w:val="1A1BEBF1"/>
    <w:rsid w:val="1A1D443B"/>
    <w:rsid w:val="1A1F1D9D"/>
    <w:rsid w:val="1A20075A"/>
    <w:rsid w:val="1A212C67"/>
    <w:rsid w:val="1A2229B3"/>
    <w:rsid w:val="1A223888"/>
    <w:rsid w:val="1A2A9337"/>
    <w:rsid w:val="1A4824BB"/>
    <w:rsid w:val="1A4BCFE0"/>
    <w:rsid w:val="1A5CF85C"/>
    <w:rsid w:val="1A5D27E7"/>
    <w:rsid w:val="1A6188FC"/>
    <w:rsid w:val="1A668554"/>
    <w:rsid w:val="1A68AA88"/>
    <w:rsid w:val="1A6BD21D"/>
    <w:rsid w:val="1A6BF137"/>
    <w:rsid w:val="1A6CE817"/>
    <w:rsid w:val="1A7477F5"/>
    <w:rsid w:val="1A7877D9"/>
    <w:rsid w:val="1A82D6EC"/>
    <w:rsid w:val="1A846726"/>
    <w:rsid w:val="1A871E54"/>
    <w:rsid w:val="1A8F8A20"/>
    <w:rsid w:val="1A917114"/>
    <w:rsid w:val="1A9220B0"/>
    <w:rsid w:val="1A95356D"/>
    <w:rsid w:val="1A95AD5B"/>
    <w:rsid w:val="1AA00302"/>
    <w:rsid w:val="1AA21414"/>
    <w:rsid w:val="1AA39E50"/>
    <w:rsid w:val="1AA4F945"/>
    <w:rsid w:val="1AA89CE4"/>
    <w:rsid w:val="1AAD05D6"/>
    <w:rsid w:val="1AB63B70"/>
    <w:rsid w:val="1ABEE00B"/>
    <w:rsid w:val="1AC5643B"/>
    <w:rsid w:val="1AC9423A"/>
    <w:rsid w:val="1ACB38A9"/>
    <w:rsid w:val="1ACF9A2B"/>
    <w:rsid w:val="1AD333E1"/>
    <w:rsid w:val="1AD8605A"/>
    <w:rsid w:val="1AD93947"/>
    <w:rsid w:val="1ADDBE0F"/>
    <w:rsid w:val="1ADF9181"/>
    <w:rsid w:val="1AE200A4"/>
    <w:rsid w:val="1AE209E1"/>
    <w:rsid w:val="1AE71872"/>
    <w:rsid w:val="1AEAAA7D"/>
    <w:rsid w:val="1AECDA37"/>
    <w:rsid w:val="1AED36BF"/>
    <w:rsid w:val="1B02C217"/>
    <w:rsid w:val="1B098805"/>
    <w:rsid w:val="1B0C38E7"/>
    <w:rsid w:val="1B0F41E9"/>
    <w:rsid w:val="1B11F568"/>
    <w:rsid w:val="1B143A46"/>
    <w:rsid w:val="1B19CF64"/>
    <w:rsid w:val="1B1C1F1B"/>
    <w:rsid w:val="1B1D3240"/>
    <w:rsid w:val="1B1EA045"/>
    <w:rsid w:val="1B2804D7"/>
    <w:rsid w:val="1B2F8333"/>
    <w:rsid w:val="1B335305"/>
    <w:rsid w:val="1B386348"/>
    <w:rsid w:val="1B3F899C"/>
    <w:rsid w:val="1B490F78"/>
    <w:rsid w:val="1B4A2A9D"/>
    <w:rsid w:val="1B4AE83D"/>
    <w:rsid w:val="1B4B9567"/>
    <w:rsid w:val="1B51FCC9"/>
    <w:rsid w:val="1B5AE985"/>
    <w:rsid w:val="1B5E8451"/>
    <w:rsid w:val="1B618D25"/>
    <w:rsid w:val="1B67E5C8"/>
    <w:rsid w:val="1B67FC8F"/>
    <w:rsid w:val="1B6ECE04"/>
    <w:rsid w:val="1B726850"/>
    <w:rsid w:val="1B7655DE"/>
    <w:rsid w:val="1B7B26C0"/>
    <w:rsid w:val="1B7C6437"/>
    <w:rsid w:val="1B7F2EE4"/>
    <w:rsid w:val="1B82CBBA"/>
    <w:rsid w:val="1B839560"/>
    <w:rsid w:val="1B8423AF"/>
    <w:rsid w:val="1B859E7D"/>
    <w:rsid w:val="1B8E01E8"/>
    <w:rsid w:val="1B8EC767"/>
    <w:rsid w:val="1B93BFB4"/>
    <w:rsid w:val="1B97BF29"/>
    <w:rsid w:val="1B9D2AAF"/>
    <w:rsid w:val="1B9E27FF"/>
    <w:rsid w:val="1BA29C72"/>
    <w:rsid w:val="1BA6B7BF"/>
    <w:rsid w:val="1BABD39F"/>
    <w:rsid w:val="1BAD337B"/>
    <w:rsid w:val="1BAD9D0C"/>
    <w:rsid w:val="1BB18BD2"/>
    <w:rsid w:val="1BB28AAC"/>
    <w:rsid w:val="1BB70755"/>
    <w:rsid w:val="1BBAA4EE"/>
    <w:rsid w:val="1BBE2230"/>
    <w:rsid w:val="1BBE97C4"/>
    <w:rsid w:val="1BC53C10"/>
    <w:rsid w:val="1BC810D6"/>
    <w:rsid w:val="1BC82A39"/>
    <w:rsid w:val="1BCA5CB5"/>
    <w:rsid w:val="1BCC937B"/>
    <w:rsid w:val="1BCD0837"/>
    <w:rsid w:val="1BCD9F23"/>
    <w:rsid w:val="1BDA50D5"/>
    <w:rsid w:val="1BDFF5E3"/>
    <w:rsid w:val="1BE0426A"/>
    <w:rsid w:val="1BE0F02D"/>
    <w:rsid w:val="1BE85635"/>
    <w:rsid w:val="1BE89F0C"/>
    <w:rsid w:val="1BEF5A70"/>
    <w:rsid w:val="1BF05828"/>
    <w:rsid w:val="1BF27FE5"/>
    <w:rsid w:val="1BF74E30"/>
    <w:rsid w:val="1BFB137D"/>
    <w:rsid w:val="1BFB9DA8"/>
    <w:rsid w:val="1C001371"/>
    <w:rsid w:val="1C058634"/>
    <w:rsid w:val="1C184688"/>
    <w:rsid w:val="1C1DC4BF"/>
    <w:rsid w:val="1C1E59CC"/>
    <w:rsid w:val="1C1F0219"/>
    <w:rsid w:val="1C2182D8"/>
    <w:rsid w:val="1C24F1FF"/>
    <w:rsid w:val="1C2BA825"/>
    <w:rsid w:val="1C2F131D"/>
    <w:rsid w:val="1C32A3BA"/>
    <w:rsid w:val="1C353058"/>
    <w:rsid w:val="1C36FD43"/>
    <w:rsid w:val="1C3B6EF9"/>
    <w:rsid w:val="1C3C3A1B"/>
    <w:rsid w:val="1C422D60"/>
    <w:rsid w:val="1C429A19"/>
    <w:rsid w:val="1C430BD1"/>
    <w:rsid w:val="1C44A66E"/>
    <w:rsid w:val="1C4839A6"/>
    <w:rsid w:val="1C4F6470"/>
    <w:rsid w:val="1C50590F"/>
    <w:rsid w:val="1C55216D"/>
    <w:rsid w:val="1C557F0C"/>
    <w:rsid w:val="1C6763B9"/>
    <w:rsid w:val="1C6C7EC4"/>
    <w:rsid w:val="1C6D29F8"/>
    <w:rsid w:val="1C6E54C5"/>
    <w:rsid w:val="1C6E8DE3"/>
    <w:rsid w:val="1C6F7FB7"/>
    <w:rsid w:val="1C75B698"/>
    <w:rsid w:val="1C7891AD"/>
    <w:rsid w:val="1C79C157"/>
    <w:rsid w:val="1C79FD95"/>
    <w:rsid w:val="1C7DD4DF"/>
    <w:rsid w:val="1C8DD6F0"/>
    <w:rsid w:val="1C911728"/>
    <w:rsid w:val="1C9AB963"/>
    <w:rsid w:val="1C9BC6DB"/>
    <w:rsid w:val="1C9DDD6F"/>
    <w:rsid w:val="1CA6556B"/>
    <w:rsid w:val="1CA7A2CE"/>
    <w:rsid w:val="1CAB2A3D"/>
    <w:rsid w:val="1CAB618C"/>
    <w:rsid w:val="1CAE0811"/>
    <w:rsid w:val="1CB4AF42"/>
    <w:rsid w:val="1CBA963F"/>
    <w:rsid w:val="1CBB12E3"/>
    <w:rsid w:val="1CBE7C1C"/>
    <w:rsid w:val="1CBF5525"/>
    <w:rsid w:val="1CBF9AA8"/>
    <w:rsid w:val="1CC1C0A5"/>
    <w:rsid w:val="1CC28D89"/>
    <w:rsid w:val="1CC4D227"/>
    <w:rsid w:val="1CC6CDB5"/>
    <w:rsid w:val="1CC7124D"/>
    <w:rsid w:val="1CC8B1E3"/>
    <w:rsid w:val="1CC8BDB4"/>
    <w:rsid w:val="1CC90641"/>
    <w:rsid w:val="1CC9BCCE"/>
    <w:rsid w:val="1CCD58B9"/>
    <w:rsid w:val="1CCDB2B3"/>
    <w:rsid w:val="1CCF5264"/>
    <w:rsid w:val="1CDCB744"/>
    <w:rsid w:val="1CDD27C6"/>
    <w:rsid w:val="1CDE01BF"/>
    <w:rsid w:val="1CE12B23"/>
    <w:rsid w:val="1CE422DE"/>
    <w:rsid w:val="1CE56FB0"/>
    <w:rsid w:val="1CE72B40"/>
    <w:rsid w:val="1CE96C3B"/>
    <w:rsid w:val="1CEC1BF6"/>
    <w:rsid w:val="1CFBBEEC"/>
    <w:rsid w:val="1CFF396C"/>
    <w:rsid w:val="1D04F222"/>
    <w:rsid w:val="1D1318C1"/>
    <w:rsid w:val="1D17C20A"/>
    <w:rsid w:val="1D17F8E2"/>
    <w:rsid w:val="1D259F95"/>
    <w:rsid w:val="1D2810AC"/>
    <w:rsid w:val="1D2BAC16"/>
    <w:rsid w:val="1D2C9459"/>
    <w:rsid w:val="1D2F5887"/>
    <w:rsid w:val="1D3016A7"/>
    <w:rsid w:val="1D32E481"/>
    <w:rsid w:val="1D347A22"/>
    <w:rsid w:val="1D36A45C"/>
    <w:rsid w:val="1D3AA6B4"/>
    <w:rsid w:val="1D4064A9"/>
    <w:rsid w:val="1D458320"/>
    <w:rsid w:val="1D4925E8"/>
    <w:rsid w:val="1D506FAF"/>
    <w:rsid w:val="1D5B91B5"/>
    <w:rsid w:val="1D5EE0FC"/>
    <w:rsid w:val="1D677255"/>
    <w:rsid w:val="1D863D1F"/>
    <w:rsid w:val="1D8991E5"/>
    <w:rsid w:val="1D8EC73A"/>
    <w:rsid w:val="1D95312C"/>
    <w:rsid w:val="1D9594C9"/>
    <w:rsid w:val="1D9621BE"/>
    <w:rsid w:val="1D9917B3"/>
    <w:rsid w:val="1D9CA15F"/>
    <w:rsid w:val="1D9EDEB3"/>
    <w:rsid w:val="1DA45D51"/>
    <w:rsid w:val="1DA620D7"/>
    <w:rsid w:val="1DAB54BA"/>
    <w:rsid w:val="1DAE0445"/>
    <w:rsid w:val="1DAE7EAC"/>
    <w:rsid w:val="1DAF866B"/>
    <w:rsid w:val="1DB0A8F5"/>
    <w:rsid w:val="1DB2226A"/>
    <w:rsid w:val="1DB4EBFA"/>
    <w:rsid w:val="1DB9FEFC"/>
    <w:rsid w:val="1DBB4A21"/>
    <w:rsid w:val="1DBEB76F"/>
    <w:rsid w:val="1DC4F457"/>
    <w:rsid w:val="1DC79ED8"/>
    <w:rsid w:val="1DC8FC35"/>
    <w:rsid w:val="1DC98CE4"/>
    <w:rsid w:val="1DCD5708"/>
    <w:rsid w:val="1DD17418"/>
    <w:rsid w:val="1DD3304D"/>
    <w:rsid w:val="1DDC4881"/>
    <w:rsid w:val="1DE34E1A"/>
    <w:rsid w:val="1DE57DB0"/>
    <w:rsid w:val="1DE94036"/>
    <w:rsid w:val="1DEC5983"/>
    <w:rsid w:val="1DF19FE4"/>
    <w:rsid w:val="1DF4AB37"/>
    <w:rsid w:val="1DF8132A"/>
    <w:rsid w:val="1DFA35E9"/>
    <w:rsid w:val="1DFC0862"/>
    <w:rsid w:val="1DFE1A1E"/>
    <w:rsid w:val="1DFFD496"/>
    <w:rsid w:val="1E00CD0E"/>
    <w:rsid w:val="1E01AEE9"/>
    <w:rsid w:val="1E04C06B"/>
    <w:rsid w:val="1E0687C3"/>
    <w:rsid w:val="1E07908A"/>
    <w:rsid w:val="1E09163C"/>
    <w:rsid w:val="1E0D0536"/>
    <w:rsid w:val="1E0EA9C1"/>
    <w:rsid w:val="1E0EE8DF"/>
    <w:rsid w:val="1E0F8792"/>
    <w:rsid w:val="1E0FDA21"/>
    <w:rsid w:val="1E14C96F"/>
    <w:rsid w:val="1E170AE0"/>
    <w:rsid w:val="1E1A4760"/>
    <w:rsid w:val="1E1BD116"/>
    <w:rsid w:val="1E24282A"/>
    <w:rsid w:val="1E277B4B"/>
    <w:rsid w:val="1E2887A6"/>
    <w:rsid w:val="1E2C5E71"/>
    <w:rsid w:val="1E3340D4"/>
    <w:rsid w:val="1E339ACA"/>
    <w:rsid w:val="1E3AD44D"/>
    <w:rsid w:val="1E3E00BF"/>
    <w:rsid w:val="1E3FDBA6"/>
    <w:rsid w:val="1E457014"/>
    <w:rsid w:val="1E479942"/>
    <w:rsid w:val="1E4D9692"/>
    <w:rsid w:val="1E52BA1C"/>
    <w:rsid w:val="1E56D89F"/>
    <w:rsid w:val="1E588AA7"/>
    <w:rsid w:val="1E5EFCFC"/>
    <w:rsid w:val="1E60F80A"/>
    <w:rsid w:val="1E66C11F"/>
    <w:rsid w:val="1E6DA3E2"/>
    <w:rsid w:val="1E741359"/>
    <w:rsid w:val="1E743317"/>
    <w:rsid w:val="1E79E6B1"/>
    <w:rsid w:val="1E7A3179"/>
    <w:rsid w:val="1E7ADA1A"/>
    <w:rsid w:val="1E84E72F"/>
    <w:rsid w:val="1E8982F4"/>
    <w:rsid w:val="1E8B0831"/>
    <w:rsid w:val="1E8CCB19"/>
    <w:rsid w:val="1E93378D"/>
    <w:rsid w:val="1E9A4B17"/>
    <w:rsid w:val="1E9A58A3"/>
    <w:rsid w:val="1E9BAD06"/>
    <w:rsid w:val="1E9F12CC"/>
    <w:rsid w:val="1EA79F9E"/>
    <w:rsid w:val="1EA7BDC6"/>
    <w:rsid w:val="1EAFE1EC"/>
    <w:rsid w:val="1EB6AA66"/>
    <w:rsid w:val="1EBC7F02"/>
    <w:rsid w:val="1EBF2FD3"/>
    <w:rsid w:val="1EC26BFD"/>
    <w:rsid w:val="1EC34A10"/>
    <w:rsid w:val="1ECD0B99"/>
    <w:rsid w:val="1ED351E9"/>
    <w:rsid w:val="1ED6CF25"/>
    <w:rsid w:val="1ED766B3"/>
    <w:rsid w:val="1EDBE191"/>
    <w:rsid w:val="1EDCFB3A"/>
    <w:rsid w:val="1EE06034"/>
    <w:rsid w:val="1EE1C9F9"/>
    <w:rsid w:val="1EE2CA09"/>
    <w:rsid w:val="1EE5939D"/>
    <w:rsid w:val="1EE7F622"/>
    <w:rsid w:val="1EF0C788"/>
    <w:rsid w:val="1EF12019"/>
    <w:rsid w:val="1EF436C1"/>
    <w:rsid w:val="1EF4827A"/>
    <w:rsid w:val="1EF85D30"/>
    <w:rsid w:val="1EFA1E06"/>
    <w:rsid w:val="1EFC8253"/>
    <w:rsid w:val="1F002A9C"/>
    <w:rsid w:val="1F12181D"/>
    <w:rsid w:val="1F123E66"/>
    <w:rsid w:val="1F181807"/>
    <w:rsid w:val="1F1D00BB"/>
    <w:rsid w:val="1F2942FB"/>
    <w:rsid w:val="1F2A9EE4"/>
    <w:rsid w:val="1F32AD7F"/>
    <w:rsid w:val="1F374AC1"/>
    <w:rsid w:val="1F3C7169"/>
    <w:rsid w:val="1F425357"/>
    <w:rsid w:val="1F487CC9"/>
    <w:rsid w:val="1F4A660B"/>
    <w:rsid w:val="1F4C3173"/>
    <w:rsid w:val="1F4C6306"/>
    <w:rsid w:val="1F4CEF1F"/>
    <w:rsid w:val="1F526212"/>
    <w:rsid w:val="1F5B52E9"/>
    <w:rsid w:val="1F5CF58A"/>
    <w:rsid w:val="1F636726"/>
    <w:rsid w:val="1F66F933"/>
    <w:rsid w:val="1F6777EC"/>
    <w:rsid w:val="1F67C3DE"/>
    <w:rsid w:val="1F67FF84"/>
    <w:rsid w:val="1F6E0637"/>
    <w:rsid w:val="1F6E31D4"/>
    <w:rsid w:val="1F72E5C1"/>
    <w:rsid w:val="1F75F5A7"/>
    <w:rsid w:val="1F78FB79"/>
    <w:rsid w:val="1F7CF74D"/>
    <w:rsid w:val="1F7D7A7B"/>
    <w:rsid w:val="1F86C8F2"/>
    <w:rsid w:val="1F88BE98"/>
    <w:rsid w:val="1F913700"/>
    <w:rsid w:val="1F975896"/>
    <w:rsid w:val="1F9B7071"/>
    <w:rsid w:val="1F9E1C63"/>
    <w:rsid w:val="1FA03FF3"/>
    <w:rsid w:val="1FA0A34C"/>
    <w:rsid w:val="1FA36168"/>
    <w:rsid w:val="1FABBA54"/>
    <w:rsid w:val="1FAC61A4"/>
    <w:rsid w:val="1FAE8CB9"/>
    <w:rsid w:val="1FB72C71"/>
    <w:rsid w:val="1FBB69D9"/>
    <w:rsid w:val="1FC8B131"/>
    <w:rsid w:val="1FCEE4BB"/>
    <w:rsid w:val="1FD1DEA3"/>
    <w:rsid w:val="1FD602AD"/>
    <w:rsid w:val="1FD6FA34"/>
    <w:rsid w:val="1FE306DC"/>
    <w:rsid w:val="1FE5580E"/>
    <w:rsid w:val="1FE63034"/>
    <w:rsid w:val="1FE9D24C"/>
    <w:rsid w:val="1FF1A8AF"/>
    <w:rsid w:val="1FF5F789"/>
    <w:rsid w:val="1FFE7180"/>
    <w:rsid w:val="2001B9CD"/>
    <w:rsid w:val="20085EFC"/>
    <w:rsid w:val="200E47D8"/>
    <w:rsid w:val="2011A48C"/>
    <w:rsid w:val="20148D08"/>
    <w:rsid w:val="2016B23E"/>
    <w:rsid w:val="201754B6"/>
    <w:rsid w:val="201B7C0B"/>
    <w:rsid w:val="20215616"/>
    <w:rsid w:val="202B7D9D"/>
    <w:rsid w:val="202CFBD6"/>
    <w:rsid w:val="2031E068"/>
    <w:rsid w:val="20323119"/>
    <w:rsid w:val="203518A4"/>
    <w:rsid w:val="203A2AA1"/>
    <w:rsid w:val="203CDA74"/>
    <w:rsid w:val="204B5F78"/>
    <w:rsid w:val="204D1E2E"/>
    <w:rsid w:val="20518507"/>
    <w:rsid w:val="20531A55"/>
    <w:rsid w:val="2058374E"/>
    <w:rsid w:val="2059C23C"/>
    <w:rsid w:val="205AA6D7"/>
    <w:rsid w:val="205FF0B7"/>
    <w:rsid w:val="2066CEBF"/>
    <w:rsid w:val="2076B97A"/>
    <w:rsid w:val="20792328"/>
    <w:rsid w:val="207BFD7D"/>
    <w:rsid w:val="207E3FA6"/>
    <w:rsid w:val="20834EEA"/>
    <w:rsid w:val="208B780C"/>
    <w:rsid w:val="209995D5"/>
    <w:rsid w:val="209C8C50"/>
    <w:rsid w:val="209DB7B4"/>
    <w:rsid w:val="20A03D0B"/>
    <w:rsid w:val="20A0FEB6"/>
    <w:rsid w:val="20A140CB"/>
    <w:rsid w:val="20ACAA06"/>
    <w:rsid w:val="20ACD53C"/>
    <w:rsid w:val="20BE1A2E"/>
    <w:rsid w:val="20BEF479"/>
    <w:rsid w:val="20C1CD94"/>
    <w:rsid w:val="20C5FE7F"/>
    <w:rsid w:val="20C687A0"/>
    <w:rsid w:val="20C6B0BC"/>
    <w:rsid w:val="20CBE95B"/>
    <w:rsid w:val="20D9B6FD"/>
    <w:rsid w:val="20DAFBE0"/>
    <w:rsid w:val="20DC63D6"/>
    <w:rsid w:val="20E077E0"/>
    <w:rsid w:val="20E4E2DB"/>
    <w:rsid w:val="20E578E1"/>
    <w:rsid w:val="2102F4A4"/>
    <w:rsid w:val="2104BFBD"/>
    <w:rsid w:val="210504C1"/>
    <w:rsid w:val="21099D0D"/>
    <w:rsid w:val="210B7400"/>
    <w:rsid w:val="210C509B"/>
    <w:rsid w:val="210F04CB"/>
    <w:rsid w:val="21198B6E"/>
    <w:rsid w:val="211B3167"/>
    <w:rsid w:val="211B712F"/>
    <w:rsid w:val="211C3D34"/>
    <w:rsid w:val="211C5224"/>
    <w:rsid w:val="211C9616"/>
    <w:rsid w:val="212BFC3F"/>
    <w:rsid w:val="21306F67"/>
    <w:rsid w:val="21333427"/>
    <w:rsid w:val="21348C0B"/>
    <w:rsid w:val="2138818A"/>
    <w:rsid w:val="213A9362"/>
    <w:rsid w:val="213F0D3E"/>
    <w:rsid w:val="213FD8BF"/>
    <w:rsid w:val="213FE58B"/>
    <w:rsid w:val="21444574"/>
    <w:rsid w:val="2144A398"/>
    <w:rsid w:val="21451B36"/>
    <w:rsid w:val="214E2AD2"/>
    <w:rsid w:val="21524D80"/>
    <w:rsid w:val="21582B16"/>
    <w:rsid w:val="216701F3"/>
    <w:rsid w:val="216B2EE0"/>
    <w:rsid w:val="216DBF9A"/>
    <w:rsid w:val="21717CE5"/>
    <w:rsid w:val="21785D9A"/>
    <w:rsid w:val="217D24D6"/>
    <w:rsid w:val="2180FCDF"/>
    <w:rsid w:val="218462B6"/>
    <w:rsid w:val="21857893"/>
    <w:rsid w:val="21872ACF"/>
    <w:rsid w:val="2187F9B3"/>
    <w:rsid w:val="2189EA8D"/>
    <w:rsid w:val="218C2CED"/>
    <w:rsid w:val="218F99F9"/>
    <w:rsid w:val="2191A88A"/>
    <w:rsid w:val="21997E66"/>
    <w:rsid w:val="219998A4"/>
    <w:rsid w:val="219CF39C"/>
    <w:rsid w:val="21AA0AD9"/>
    <w:rsid w:val="21AA3735"/>
    <w:rsid w:val="21AC1BDC"/>
    <w:rsid w:val="21AF5C87"/>
    <w:rsid w:val="21B0559E"/>
    <w:rsid w:val="21C19824"/>
    <w:rsid w:val="21C583DA"/>
    <w:rsid w:val="21C6EB36"/>
    <w:rsid w:val="21CA0CE2"/>
    <w:rsid w:val="21CB4A3E"/>
    <w:rsid w:val="21CE64F2"/>
    <w:rsid w:val="21D1F973"/>
    <w:rsid w:val="21D1FE20"/>
    <w:rsid w:val="21D48D52"/>
    <w:rsid w:val="21D6099F"/>
    <w:rsid w:val="21D6E09F"/>
    <w:rsid w:val="21D7905F"/>
    <w:rsid w:val="21D9DB11"/>
    <w:rsid w:val="21E26BCC"/>
    <w:rsid w:val="21EBC10A"/>
    <w:rsid w:val="21ED5BAE"/>
    <w:rsid w:val="21F0D677"/>
    <w:rsid w:val="21F4DB78"/>
    <w:rsid w:val="21F5F0C1"/>
    <w:rsid w:val="21F92452"/>
    <w:rsid w:val="2201A683"/>
    <w:rsid w:val="2202CCB0"/>
    <w:rsid w:val="22043348"/>
    <w:rsid w:val="22044DD2"/>
    <w:rsid w:val="2210E4D6"/>
    <w:rsid w:val="2211E5A2"/>
    <w:rsid w:val="2214E9FA"/>
    <w:rsid w:val="2217F9CC"/>
    <w:rsid w:val="2219D343"/>
    <w:rsid w:val="2224D654"/>
    <w:rsid w:val="2229A485"/>
    <w:rsid w:val="222A5E38"/>
    <w:rsid w:val="222D75B2"/>
    <w:rsid w:val="223CE874"/>
    <w:rsid w:val="2241EAEF"/>
    <w:rsid w:val="22421C3B"/>
    <w:rsid w:val="224D956A"/>
    <w:rsid w:val="224DA785"/>
    <w:rsid w:val="22520E4F"/>
    <w:rsid w:val="22548459"/>
    <w:rsid w:val="225CB19E"/>
    <w:rsid w:val="225E8EA3"/>
    <w:rsid w:val="22616A58"/>
    <w:rsid w:val="22644F47"/>
    <w:rsid w:val="22675953"/>
    <w:rsid w:val="226AB374"/>
    <w:rsid w:val="22708079"/>
    <w:rsid w:val="22722B6E"/>
    <w:rsid w:val="227B62AD"/>
    <w:rsid w:val="2280EBC2"/>
    <w:rsid w:val="2281B2AF"/>
    <w:rsid w:val="22857929"/>
    <w:rsid w:val="228C9CCD"/>
    <w:rsid w:val="228F835C"/>
    <w:rsid w:val="2290FE8C"/>
    <w:rsid w:val="2294BB4F"/>
    <w:rsid w:val="2296B807"/>
    <w:rsid w:val="229A0327"/>
    <w:rsid w:val="229C207E"/>
    <w:rsid w:val="22A1A05A"/>
    <w:rsid w:val="22A52B72"/>
    <w:rsid w:val="22A94C64"/>
    <w:rsid w:val="22AAAB83"/>
    <w:rsid w:val="22B01A87"/>
    <w:rsid w:val="22B2107A"/>
    <w:rsid w:val="22B28F31"/>
    <w:rsid w:val="22B51FDC"/>
    <w:rsid w:val="22B5C059"/>
    <w:rsid w:val="22B8F487"/>
    <w:rsid w:val="22BA9B19"/>
    <w:rsid w:val="22C046A2"/>
    <w:rsid w:val="22C705CC"/>
    <w:rsid w:val="22C8CB1D"/>
    <w:rsid w:val="22C9623F"/>
    <w:rsid w:val="22CE0432"/>
    <w:rsid w:val="22CEC379"/>
    <w:rsid w:val="22D137DA"/>
    <w:rsid w:val="22D83261"/>
    <w:rsid w:val="22DD02F4"/>
    <w:rsid w:val="22E21AAC"/>
    <w:rsid w:val="22E30809"/>
    <w:rsid w:val="22EA6B4B"/>
    <w:rsid w:val="22F1911A"/>
    <w:rsid w:val="22F7B30A"/>
    <w:rsid w:val="22F97811"/>
    <w:rsid w:val="22FB9118"/>
    <w:rsid w:val="22FE4D90"/>
    <w:rsid w:val="230138FD"/>
    <w:rsid w:val="23018605"/>
    <w:rsid w:val="230191C0"/>
    <w:rsid w:val="23035E33"/>
    <w:rsid w:val="2306A4BA"/>
    <w:rsid w:val="2306EE62"/>
    <w:rsid w:val="230A5E6B"/>
    <w:rsid w:val="230CEF58"/>
    <w:rsid w:val="230D5F03"/>
    <w:rsid w:val="23153A06"/>
    <w:rsid w:val="231B3FEE"/>
    <w:rsid w:val="233125E7"/>
    <w:rsid w:val="233244AB"/>
    <w:rsid w:val="233326C7"/>
    <w:rsid w:val="23354E9C"/>
    <w:rsid w:val="2338BD2A"/>
    <w:rsid w:val="233975D3"/>
    <w:rsid w:val="233ECC5D"/>
    <w:rsid w:val="2342AD8E"/>
    <w:rsid w:val="234BD40D"/>
    <w:rsid w:val="2350FF44"/>
    <w:rsid w:val="2354F79E"/>
    <w:rsid w:val="2355CDEA"/>
    <w:rsid w:val="235E400D"/>
    <w:rsid w:val="23632D14"/>
    <w:rsid w:val="2364ABEF"/>
    <w:rsid w:val="2373EC46"/>
    <w:rsid w:val="2379EBE4"/>
    <w:rsid w:val="237C83A2"/>
    <w:rsid w:val="23815E49"/>
    <w:rsid w:val="23830F8B"/>
    <w:rsid w:val="2385CFFD"/>
    <w:rsid w:val="238C26E8"/>
    <w:rsid w:val="238CC78B"/>
    <w:rsid w:val="238DE48B"/>
    <w:rsid w:val="238E1999"/>
    <w:rsid w:val="238F86C8"/>
    <w:rsid w:val="239071F1"/>
    <w:rsid w:val="23921E49"/>
    <w:rsid w:val="2393D2F0"/>
    <w:rsid w:val="239D8239"/>
    <w:rsid w:val="239D8F4F"/>
    <w:rsid w:val="239E17D1"/>
    <w:rsid w:val="23AD84C1"/>
    <w:rsid w:val="23B1135B"/>
    <w:rsid w:val="23BDB285"/>
    <w:rsid w:val="23C114EA"/>
    <w:rsid w:val="23C148F6"/>
    <w:rsid w:val="23C7B1FD"/>
    <w:rsid w:val="23CBD6BE"/>
    <w:rsid w:val="23D495A0"/>
    <w:rsid w:val="23D7AF11"/>
    <w:rsid w:val="23DB5644"/>
    <w:rsid w:val="23EAA517"/>
    <w:rsid w:val="23EAEE70"/>
    <w:rsid w:val="23EAF188"/>
    <w:rsid w:val="23ED8324"/>
    <w:rsid w:val="23F01BFC"/>
    <w:rsid w:val="23F24AD8"/>
    <w:rsid w:val="23F24D5C"/>
    <w:rsid w:val="23F38406"/>
    <w:rsid w:val="23F7AF68"/>
    <w:rsid w:val="23F7F046"/>
    <w:rsid w:val="23FC63EC"/>
    <w:rsid w:val="24060F0E"/>
    <w:rsid w:val="24090F7F"/>
    <w:rsid w:val="240A4254"/>
    <w:rsid w:val="24139D76"/>
    <w:rsid w:val="241981DC"/>
    <w:rsid w:val="241B8BB5"/>
    <w:rsid w:val="241CE378"/>
    <w:rsid w:val="2422A0B4"/>
    <w:rsid w:val="242452AC"/>
    <w:rsid w:val="242BFC99"/>
    <w:rsid w:val="242D3B74"/>
    <w:rsid w:val="243152CE"/>
    <w:rsid w:val="24343739"/>
    <w:rsid w:val="2434CB2D"/>
    <w:rsid w:val="243714C5"/>
    <w:rsid w:val="24396D45"/>
    <w:rsid w:val="244399D3"/>
    <w:rsid w:val="244697F6"/>
    <w:rsid w:val="2453A12E"/>
    <w:rsid w:val="245486B6"/>
    <w:rsid w:val="2454C615"/>
    <w:rsid w:val="24637724"/>
    <w:rsid w:val="2464526E"/>
    <w:rsid w:val="24650AC5"/>
    <w:rsid w:val="24664599"/>
    <w:rsid w:val="246997D2"/>
    <w:rsid w:val="2469E705"/>
    <w:rsid w:val="24747911"/>
    <w:rsid w:val="2475937B"/>
    <w:rsid w:val="247A86D0"/>
    <w:rsid w:val="247AE86F"/>
    <w:rsid w:val="247C9938"/>
    <w:rsid w:val="247E6CDF"/>
    <w:rsid w:val="247EE6B1"/>
    <w:rsid w:val="247F0387"/>
    <w:rsid w:val="248497C1"/>
    <w:rsid w:val="2485DF18"/>
    <w:rsid w:val="249D3FB2"/>
    <w:rsid w:val="24A5162F"/>
    <w:rsid w:val="24A5D23E"/>
    <w:rsid w:val="24A6E116"/>
    <w:rsid w:val="24AD551C"/>
    <w:rsid w:val="24AE5EA3"/>
    <w:rsid w:val="24B34439"/>
    <w:rsid w:val="24C3474C"/>
    <w:rsid w:val="24CAEA59"/>
    <w:rsid w:val="24CAF063"/>
    <w:rsid w:val="24CBD577"/>
    <w:rsid w:val="24CBEA2F"/>
    <w:rsid w:val="24D04CF3"/>
    <w:rsid w:val="24D0FA93"/>
    <w:rsid w:val="24D34801"/>
    <w:rsid w:val="24D63AB8"/>
    <w:rsid w:val="24D9464C"/>
    <w:rsid w:val="24D967DA"/>
    <w:rsid w:val="24DBF46F"/>
    <w:rsid w:val="24E31CFF"/>
    <w:rsid w:val="24E9EB8E"/>
    <w:rsid w:val="24EB39CA"/>
    <w:rsid w:val="24F09114"/>
    <w:rsid w:val="24F11D79"/>
    <w:rsid w:val="24F3D6DD"/>
    <w:rsid w:val="24FAFF45"/>
    <w:rsid w:val="24FD05C7"/>
    <w:rsid w:val="24FD4902"/>
    <w:rsid w:val="24FF37C8"/>
    <w:rsid w:val="250808D7"/>
    <w:rsid w:val="2509B105"/>
    <w:rsid w:val="2513543B"/>
    <w:rsid w:val="251DE44B"/>
    <w:rsid w:val="251EBC38"/>
    <w:rsid w:val="2520205D"/>
    <w:rsid w:val="25247332"/>
    <w:rsid w:val="25271261"/>
    <w:rsid w:val="252E0BD4"/>
    <w:rsid w:val="25322585"/>
    <w:rsid w:val="2536511C"/>
    <w:rsid w:val="254C5207"/>
    <w:rsid w:val="254C73EF"/>
    <w:rsid w:val="254EB426"/>
    <w:rsid w:val="2550BD2D"/>
    <w:rsid w:val="2552217B"/>
    <w:rsid w:val="2555F18B"/>
    <w:rsid w:val="255E4DD5"/>
    <w:rsid w:val="25601898"/>
    <w:rsid w:val="2566D6FE"/>
    <w:rsid w:val="2568DA4E"/>
    <w:rsid w:val="256D228A"/>
    <w:rsid w:val="256D8F6D"/>
    <w:rsid w:val="256FCF48"/>
    <w:rsid w:val="25733ED3"/>
    <w:rsid w:val="257A6324"/>
    <w:rsid w:val="257C4CDE"/>
    <w:rsid w:val="257C8396"/>
    <w:rsid w:val="257D9F64"/>
    <w:rsid w:val="258FF243"/>
    <w:rsid w:val="25948753"/>
    <w:rsid w:val="2597CD8D"/>
    <w:rsid w:val="259984D6"/>
    <w:rsid w:val="259ACCCA"/>
    <w:rsid w:val="259AE4C9"/>
    <w:rsid w:val="25B11198"/>
    <w:rsid w:val="25B26C7F"/>
    <w:rsid w:val="25B50C49"/>
    <w:rsid w:val="25B8EAC7"/>
    <w:rsid w:val="25BB3D49"/>
    <w:rsid w:val="25C3598F"/>
    <w:rsid w:val="25CA3298"/>
    <w:rsid w:val="25D45FE9"/>
    <w:rsid w:val="25D4C4AB"/>
    <w:rsid w:val="25D5FCC9"/>
    <w:rsid w:val="25D91177"/>
    <w:rsid w:val="25D9134A"/>
    <w:rsid w:val="25D9F614"/>
    <w:rsid w:val="25DCC127"/>
    <w:rsid w:val="25E02604"/>
    <w:rsid w:val="25ECA837"/>
    <w:rsid w:val="25F92BF6"/>
    <w:rsid w:val="26006628"/>
    <w:rsid w:val="2603F1C3"/>
    <w:rsid w:val="2605970E"/>
    <w:rsid w:val="260B3272"/>
    <w:rsid w:val="260BA4FA"/>
    <w:rsid w:val="260CE207"/>
    <w:rsid w:val="260E788A"/>
    <w:rsid w:val="260F63D8"/>
    <w:rsid w:val="26133CCC"/>
    <w:rsid w:val="2619B73D"/>
    <w:rsid w:val="2619E3B9"/>
    <w:rsid w:val="26211323"/>
    <w:rsid w:val="26212C6B"/>
    <w:rsid w:val="262245CB"/>
    <w:rsid w:val="2627B773"/>
    <w:rsid w:val="2628104F"/>
    <w:rsid w:val="262A416E"/>
    <w:rsid w:val="262B1042"/>
    <w:rsid w:val="26336576"/>
    <w:rsid w:val="26371492"/>
    <w:rsid w:val="263B0CC5"/>
    <w:rsid w:val="263BEE20"/>
    <w:rsid w:val="263DD1A3"/>
    <w:rsid w:val="263EF2DC"/>
    <w:rsid w:val="2646340B"/>
    <w:rsid w:val="26478A41"/>
    <w:rsid w:val="264AB19B"/>
    <w:rsid w:val="26579360"/>
    <w:rsid w:val="2657ECC5"/>
    <w:rsid w:val="2659CA46"/>
    <w:rsid w:val="26634911"/>
    <w:rsid w:val="2665A358"/>
    <w:rsid w:val="266E9733"/>
    <w:rsid w:val="2671F8B9"/>
    <w:rsid w:val="2677B859"/>
    <w:rsid w:val="268C9995"/>
    <w:rsid w:val="26939F83"/>
    <w:rsid w:val="26976959"/>
    <w:rsid w:val="269BE822"/>
    <w:rsid w:val="26A6B350"/>
    <w:rsid w:val="26A82EBC"/>
    <w:rsid w:val="26AA71F1"/>
    <w:rsid w:val="26ADE1F2"/>
    <w:rsid w:val="26B1A49B"/>
    <w:rsid w:val="26B49C7F"/>
    <w:rsid w:val="26B4BDB6"/>
    <w:rsid w:val="26B7E562"/>
    <w:rsid w:val="26BFE7D7"/>
    <w:rsid w:val="26CEC9DE"/>
    <w:rsid w:val="26D18FDB"/>
    <w:rsid w:val="26DB0DB3"/>
    <w:rsid w:val="26DD202A"/>
    <w:rsid w:val="26DD6D8A"/>
    <w:rsid w:val="26DFA2E4"/>
    <w:rsid w:val="26E2BC5D"/>
    <w:rsid w:val="26EA9A4B"/>
    <w:rsid w:val="26EAC284"/>
    <w:rsid w:val="26F3D21A"/>
    <w:rsid w:val="26FAF401"/>
    <w:rsid w:val="26FCD644"/>
    <w:rsid w:val="26FD11D4"/>
    <w:rsid w:val="26FD44D9"/>
    <w:rsid w:val="26FD82D9"/>
    <w:rsid w:val="26FE475B"/>
    <w:rsid w:val="27034C75"/>
    <w:rsid w:val="270B9B7A"/>
    <w:rsid w:val="270C2F95"/>
    <w:rsid w:val="271A4914"/>
    <w:rsid w:val="271A804A"/>
    <w:rsid w:val="271BA99C"/>
    <w:rsid w:val="272A7B7E"/>
    <w:rsid w:val="272E0982"/>
    <w:rsid w:val="27327C93"/>
    <w:rsid w:val="273390B4"/>
    <w:rsid w:val="273CA1E7"/>
    <w:rsid w:val="2748434A"/>
    <w:rsid w:val="27485481"/>
    <w:rsid w:val="274B1330"/>
    <w:rsid w:val="274C0013"/>
    <w:rsid w:val="274C0F2B"/>
    <w:rsid w:val="2750066D"/>
    <w:rsid w:val="27507FA4"/>
    <w:rsid w:val="275100A4"/>
    <w:rsid w:val="27528FDB"/>
    <w:rsid w:val="2759E5A4"/>
    <w:rsid w:val="275BB9AC"/>
    <w:rsid w:val="275E25DA"/>
    <w:rsid w:val="275FC4B0"/>
    <w:rsid w:val="276EA855"/>
    <w:rsid w:val="27727068"/>
    <w:rsid w:val="2775807D"/>
    <w:rsid w:val="277FD705"/>
    <w:rsid w:val="27840322"/>
    <w:rsid w:val="27895ACD"/>
    <w:rsid w:val="278AB72C"/>
    <w:rsid w:val="278D6DE8"/>
    <w:rsid w:val="2792B187"/>
    <w:rsid w:val="2794149A"/>
    <w:rsid w:val="279B15AD"/>
    <w:rsid w:val="279D99FC"/>
    <w:rsid w:val="27A0365B"/>
    <w:rsid w:val="27A145FA"/>
    <w:rsid w:val="27A37143"/>
    <w:rsid w:val="27AD61DE"/>
    <w:rsid w:val="27B87BD3"/>
    <w:rsid w:val="27BB57F6"/>
    <w:rsid w:val="27BBD8CB"/>
    <w:rsid w:val="27C1A6CE"/>
    <w:rsid w:val="27CF05AD"/>
    <w:rsid w:val="27DE1DF0"/>
    <w:rsid w:val="27DE6D51"/>
    <w:rsid w:val="27DE9E86"/>
    <w:rsid w:val="27E41141"/>
    <w:rsid w:val="27E4CA33"/>
    <w:rsid w:val="27F5B4E7"/>
    <w:rsid w:val="27F625B6"/>
    <w:rsid w:val="27F7479B"/>
    <w:rsid w:val="27FA7B29"/>
    <w:rsid w:val="27FB82C7"/>
    <w:rsid w:val="27FCD9F3"/>
    <w:rsid w:val="2803385D"/>
    <w:rsid w:val="280412EB"/>
    <w:rsid w:val="280501F8"/>
    <w:rsid w:val="280D1708"/>
    <w:rsid w:val="28179318"/>
    <w:rsid w:val="281907F1"/>
    <w:rsid w:val="281B5369"/>
    <w:rsid w:val="281C0272"/>
    <w:rsid w:val="281D2D94"/>
    <w:rsid w:val="2822F2D1"/>
    <w:rsid w:val="2828D87A"/>
    <w:rsid w:val="2829D69C"/>
    <w:rsid w:val="282A5C8E"/>
    <w:rsid w:val="28354791"/>
    <w:rsid w:val="2839C3CB"/>
    <w:rsid w:val="283AB6EA"/>
    <w:rsid w:val="283AE686"/>
    <w:rsid w:val="283F2B3F"/>
    <w:rsid w:val="28442C18"/>
    <w:rsid w:val="2844F63D"/>
    <w:rsid w:val="2846FF91"/>
    <w:rsid w:val="28472E22"/>
    <w:rsid w:val="28474966"/>
    <w:rsid w:val="28552972"/>
    <w:rsid w:val="285BC775"/>
    <w:rsid w:val="285BE515"/>
    <w:rsid w:val="2861A03F"/>
    <w:rsid w:val="28634E7A"/>
    <w:rsid w:val="286990E0"/>
    <w:rsid w:val="286A614B"/>
    <w:rsid w:val="286E9172"/>
    <w:rsid w:val="286F0A5D"/>
    <w:rsid w:val="28707F36"/>
    <w:rsid w:val="28753E8C"/>
    <w:rsid w:val="287C0869"/>
    <w:rsid w:val="28820B14"/>
    <w:rsid w:val="28856F9A"/>
    <w:rsid w:val="288738A5"/>
    <w:rsid w:val="2889950F"/>
    <w:rsid w:val="2889FE4D"/>
    <w:rsid w:val="288A797A"/>
    <w:rsid w:val="2890DA98"/>
    <w:rsid w:val="28966A80"/>
    <w:rsid w:val="289AFC66"/>
    <w:rsid w:val="289B2688"/>
    <w:rsid w:val="28A21A88"/>
    <w:rsid w:val="28A50A68"/>
    <w:rsid w:val="28A5655D"/>
    <w:rsid w:val="28A8E19E"/>
    <w:rsid w:val="28B2F14C"/>
    <w:rsid w:val="28B4DFF4"/>
    <w:rsid w:val="28BB7CF2"/>
    <w:rsid w:val="28BCD4EF"/>
    <w:rsid w:val="28C3A4BD"/>
    <w:rsid w:val="28CF346A"/>
    <w:rsid w:val="28D3CD5B"/>
    <w:rsid w:val="28D73444"/>
    <w:rsid w:val="28D7B50F"/>
    <w:rsid w:val="28DFD2D3"/>
    <w:rsid w:val="28E049FD"/>
    <w:rsid w:val="28E388C0"/>
    <w:rsid w:val="28E84F8B"/>
    <w:rsid w:val="28ECBB52"/>
    <w:rsid w:val="28ECC3E5"/>
    <w:rsid w:val="28EE7A65"/>
    <w:rsid w:val="28F723E8"/>
    <w:rsid w:val="28FAEF8A"/>
    <w:rsid w:val="29010353"/>
    <w:rsid w:val="290375B9"/>
    <w:rsid w:val="2903EB0F"/>
    <w:rsid w:val="290540C7"/>
    <w:rsid w:val="29058B86"/>
    <w:rsid w:val="290616EC"/>
    <w:rsid w:val="290D50AE"/>
    <w:rsid w:val="2910E610"/>
    <w:rsid w:val="291F2BBD"/>
    <w:rsid w:val="291FD51E"/>
    <w:rsid w:val="2921A62F"/>
    <w:rsid w:val="29233007"/>
    <w:rsid w:val="29240F3F"/>
    <w:rsid w:val="292412B5"/>
    <w:rsid w:val="292885F4"/>
    <w:rsid w:val="2928F32B"/>
    <w:rsid w:val="29292F70"/>
    <w:rsid w:val="292B641A"/>
    <w:rsid w:val="29397A73"/>
    <w:rsid w:val="293E4EDC"/>
    <w:rsid w:val="293E5476"/>
    <w:rsid w:val="293F32FD"/>
    <w:rsid w:val="2940A3FC"/>
    <w:rsid w:val="294186B4"/>
    <w:rsid w:val="29435145"/>
    <w:rsid w:val="29452E80"/>
    <w:rsid w:val="294ED722"/>
    <w:rsid w:val="294F4821"/>
    <w:rsid w:val="2953E2EF"/>
    <w:rsid w:val="295603DE"/>
    <w:rsid w:val="29586313"/>
    <w:rsid w:val="29590595"/>
    <w:rsid w:val="2961A773"/>
    <w:rsid w:val="2962E781"/>
    <w:rsid w:val="296C545E"/>
    <w:rsid w:val="29701DFD"/>
    <w:rsid w:val="2970BC50"/>
    <w:rsid w:val="2972A59B"/>
    <w:rsid w:val="2974D05F"/>
    <w:rsid w:val="2976819D"/>
    <w:rsid w:val="29788217"/>
    <w:rsid w:val="297EA043"/>
    <w:rsid w:val="298183C6"/>
    <w:rsid w:val="29820098"/>
    <w:rsid w:val="298637EC"/>
    <w:rsid w:val="29883969"/>
    <w:rsid w:val="2989BCCA"/>
    <w:rsid w:val="298B4789"/>
    <w:rsid w:val="298B8103"/>
    <w:rsid w:val="298E3B9B"/>
    <w:rsid w:val="298FE423"/>
    <w:rsid w:val="2992BE08"/>
    <w:rsid w:val="299443EC"/>
    <w:rsid w:val="2999FDC3"/>
    <w:rsid w:val="299A4FF0"/>
    <w:rsid w:val="299BA67A"/>
    <w:rsid w:val="299C3549"/>
    <w:rsid w:val="29A2D362"/>
    <w:rsid w:val="29A30FCF"/>
    <w:rsid w:val="29A3BDC7"/>
    <w:rsid w:val="29A6E5D8"/>
    <w:rsid w:val="29A7D22D"/>
    <w:rsid w:val="29A9947E"/>
    <w:rsid w:val="29AC9726"/>
    <w:rsid w:val="29ACED69"/>
    <w:rsid w:val="29B0A974"/>
    <w:rsid w:val="29B24753"/>
    <w:rsid w:val="29B325FD"/>
    <w:rsid w:val="29BD5615"/>
    <w:rsid w:val="29C21816"/>
    <w:rsid w:val="29CBED7A"/>
    <w:rsid w:val="29CCFC60"/>
    <w:rsid w:val="29D0C348"/>
    <w:rsid w:val="29D77061"/>
    <w:rsid w:val="29DA9EF2"/>
    <w:rsid w:val="29DB13B0"/>
    <w:rsid w:val="29DF24ED"/>
    <w:rsid w:val="29DFFF14"/>
    <w:rsid w:val="29E16241"/>
    <w:rsid w:val="29E6B6B9"/>
    <w:rsid w:val="29E7EDA9"/>
    <w:rsid w:val="29E8F935"/>
    <w:rsid w:val="29EC636D"/>
    <w:rsid w:val="29F55757"/>
    <w:rsid w:val="29FAA5F6"/>
    <w:rsid w:val="29FDB51B"/>
    <w:rsid w:val="2A016AE5"/>
    <w:rsid w:val="2A08415E"/>
    <w:rsid w:val="2A0A0F8C"/>
    <w:rsid w:val="2A0ED3D9"/>
    <w:rsid w:val="2A0FD442"/>
    <w:rsid w:val="2A0FDD2B"/>
    <w:rsid w:val="2A10775C"/>
    <w:rsid w:val="2A10C0C6"/>
    <w:rsid w:val="2A1AED72"/>
    <w:rsid w:val="2A1DC05A"/>
    <w:rsid w:val="2A20BAD4"/>
    <w:rsid w:val="2A234CC5"/>
    <w:rsid w:val="2A2A7400"/>
    <w:rsid w:val="2A2E590C"/>
    <w:rsid w:val="2A30D92A"/>
    <w:rsid w:val="2A3FAF76"/>
    <w:rsid w:val="2A40C700"/>
    <w:rsid w:val="2A412D8F"/>
    <w:rsid w:val="2A442C8C"/>
    <w:rsid w:val="2A4E162D"/>
    <w:rsid w:val="2A4E2084"/>
    <w:rsid w:val="2A4E8677"/>
    <w:rsid w:val="2A508076"/>
    <w:rsid w:val="2A5171C7"/>
    <w:rsid w:val="2A5398C7"/>
    <w:rsid w:val="2A54053E"/>
    <w:rsid w:val="2A5AF756"/>
    <w:rsid w:val="2A5BA0B6"/>
    <w:rsid w:val="2A6920F1"/>
    <w:rsid w:val="2A6BAEB1"/>
    <w:rsid w:val="2A6BDD46"/>
    <w:rsid w:val="2A6CE898"/>
    <w:rsid w:val="2A6EF93B"/>
    <w:rsid w:val="2A6FDAF8"/>
    <w:rsid w:val="2A731A9E"/>
    <w:rsid w:val="2A74590A"/>
    <w:rsid w:val="2A754DAB"/>
    <w:rsid w:val="2A777C9A"/>
    <w:rsid w:val="2A789142"/>
    <w:rsid w:val="2A7A6724"/>
    <w:rsid w:val="2A7B2920"/>
    <w:rsid w:val="2A848D83"/>
    <w:rsid w:val="2A86548A"/>
    <w:rsid w:val="2A874086"/>
    <w:rsid w:val="2A87FDF0"/>
    <w:rsid w:val="2A8CBE4A"/>
    <w:rsid w:val="2A902617"/>
    <w:rsid w:val="2AA7B6A8"/>
    <w:rsid w:val="2AAEAF86"/>
    <w:rsid w:val="2AAF185D"/>
    <w:rsid w:val="2AB35B3D"/>
    <w:rsid w:val="2AB3861B"/>
    <w:rsid w:val="2AB88ED2"/>
    <w:rsid w:val="2AB8CCF5"/>
    <w:rsid w:val="2AB8DCF1"/>
    <w:rsid w:val="2ABA947E"/>
    <w:rsid w:val="2ABEFC99"/>
    <w:rsid w:val="2AC521BB"/>
    <w:rsid w:val="2AC66B57"/>
    <w:rsid w:val="2ACA9A01"/>
    <w:rsid w:val="2ACD4502"/>
    <w:rsid w:val="2AD7430A"/>
    <w:rsid w:val="2AD7A1A3"/>
    <w:rsid w:val="2ADB96CB"/>
    <w:rsid w:val="2ADDA0BD"/>
    <w:rsid w:val="2AE48617"/>
    <w:rsid w:val="2AE52EA5"/>
    <w:rsid w:val="2AECE729"/>
    <w:rsid w:val="2AEE0770"/>
    <w:rsid w:val="2AF23215"/>
    <w:rsid w:val="2AFCA410"/>
    <w:rsid w:val="2AFDA5D4"/>
    <w:rsid w:val="2B002119"/>
    <w:rsid w:val="2B06990F"/>
    <w:rsid w:val="2B108921"/>
    <w:rsid w:val="2B109FA2"/>
    <w:rsid w:val="2B17F91A"/>
    <w:rsid w:val="2B1AE847"/>
    <w:rsid w:val="2B1F4C7D"/>
    <w:rsid w:val="2B204A66"/>
    <w:rsid w:val="2B20A442"/>
    <w:rsid w:val="2B2531B8"/>
    <w:rsid w:val="2B2712ED"/>
    <w:rsid w:val="2B2A94A4"/>
    <w:rsid w:val="2B3AAA9A"/>
    <w:rsid w:val="2B3D8C5F"/>
    <w:rsid w:val="2B49D4FC"/>
    <w:rsid w:val="2B5D9492"/>
    <w:rsid w:val="2B60E313"/>
    <w:rsid w:val="2B6251F0"/>
    <w:rsid w:val="2B685760"/>
    <w:rsid w:val="2B691F7C"/>
    <w:rsid w:val="2B6AA139"/>
    <w:rsid w:val="2B6AD34D"/>
    <w:rsid w:val="2B6C40B4"/>
    <w:rsid w:val="2B738CDD"/>
    <w:rsid w:val="2B73FF19"/>
    <w:rsid w:val="2B778105"/>
    <w:rsid w:val="2B7D13A3"/>
    <w:rsid w:val="2B7F744D"/>
    <w:rsid w:val="2B819754"/>
    <w:rsid w:val="2B84CCD5"/>
    <w:rsid w:val="2B8B08E5"/>
    <w:rsid w:val="2B8D7D81"/>
    <w:rsid w:val="2B9F7D45"/>
    <w:rsid w:val="2BA5BAFF"/>
    <w:rsid w:val="2BAF3E8F"/>
    <w:rsid w:val="2BBE0959"/>
    <w:rsid w:val="2BC0DC5E"/>
    <w:rsid w:val="2BC44801"/>
    <w:rsid w:val="2BC45C72"/>
    <w:rsid w:val="2BCDD749"/>
    <w:rsid w:val="2BD841B5"/>
    <w:rsid w:val="2BE638E4"/>
    <w:rsid w:val="2BE8E138"/>
    <w:rsid w:val="2BECDC79"/>
    <w:rsid w:val="2BEEA606"/>
    <w:rsid w:val="2BF17E17"/>
    <w:rsid w:val="2BF1A833"/>
    <w:rsid w:val="2BF1B8DA"/>
    <w:rsid w:val="2BF331CB"/>
    <w:rsid w:val="2BF34534"/>
    <w:rsid w:val="2BF5A84A"/>
    <w:rsid w:val="2BF5DAEB"/>
    <w:rsid w:val="2BF9B434"/>
    <w:rsid w:val="2BF9DB09"/>
    <w:rsid w:val="2BFDAEEA"/>
    <w:rsid w:val="2BFF69FD"/>
    <w:rsid w:val="2C07D265"/>
    <w:rsid w:val="2C08F6B9"/>
    <w:rsid w:val="2C0F4CF5"/>
    <w:rsid w:val="2C16BDBF"/>
    <w:rsid w:val="2C19EFA2"/>
    <w:rsid w:val="2C1EA58A"/>
    <w:rsid w:val="2C1F0234"/>
    <w:rsid w:val="2C2642E7"/>
    <w:rsid w:val="2C29BE56"/>
    <w:rsid w:val="2C2DB6CC"/>
    <w:rsid w:val="2C2E7B29"/>
    <w:rsid w:val="2C2FB8AC"/>
    <w:rsid w:val="2C349758"/>
    <w:rsid w:val="2C3A4353"/>
    <w:rsid w:val="2C3E9EFF"/>
    <w:rsid w:val="2C3EEFC6"/>
    <w:rsid w:val="2C3FDBCE"/>
    <w:rsid w:val="2C467FFA"/>
    <w:rsid w:val="2C4BFE78"/>
    <w:rsid w:val="2C503D1A"/>
    <w:rsid w:val="2C50E507"/>
    <w:rsid w:val="2C572A0C"/>
    <w:rsid w:val="2C5949A4"/>
    <w:rsid w:val="2C59947E"/>
    <w:rsid w:val="2C5E4417"/>
    <w:rsid w:val="2C5F06C3"/>
    <w:rsid w:val="2C60E906"/>
    <w:rsid w:val="2C66C86E"/>
    <w:rsid w:val="2C6CA504"/>
    <w:rsid w:val="2C6EE5A1"/>
    <w:rsid w:val="2C73D3F9"/>
    <w:rsid w:val="2C77C286"/>
    <w:rsid w:val="2C7B5839"/>
    <w:rsid w:val="2C7C7F0F"/>
    <w:rsid w:val="2C80AA3A"/>
    <w:rsid w:val="2C857EF8"/>
    <w:rsid w:val="2C903D08"/>
    <w:rsid w:val="2C92E530"/>
    <w:rsid w:val="2C948A26"/>
    <w:rsid w:val="2C95E67A"/>
    <w:rsid w:val="2C96C1A5"/>
    <w:rsid w:val="2C975A71"/>
    <w:rsid w:val="2C9A0165"/>
    <w:rsid w:val="2C9AAB13"/>
    <w:rsid w:val="2CA4BE28"/>
    <w:rsid w:val="2CA6A609"/>
    <w:rsid w:val="2CA7E56C"/>
    <w:rsid w:val="2CA8B3DD"/>
    <w:rsid w:val="2CB071B1"/>
    <w:rsid w:val="2CB16C68"/>
    <w:rsid w:val="2CB3987C"/>
    <w:rsid w:val="2CB85EEA"/>
    <w:rsid w:val="2CB9C484"/>
    <w:rsid w:val="2CBA29CB"/>
    <w:rsid w:val="2CBC7DD1"/>
    <w:rsid w:val="2CBD2368"/>
    <w:rsid w:val="2CC018E3"/>
    <w:rsid w:val="2CC050B8"/>
    <w:rsid w:val="2CC20BA1"/>
    <w:rsid w:val="2CC5860E"/>
    <w:rsid w:val="2CCB543E"/>
    <w:rsid w:val="2CD09ED2"/>
    <w:rsid w:val="2CD3A02C"/>
    <w:rsid w:val="2CDBF8C9"/>
    <w:rsid w:val="2CE901D7"/>
    <w:rsid w:val="2CEB56A0"/>
    <w:rsid w:val="2CEE5990"/>
    <w:rsid w:val="2CEFD15D"/>
    <w:rsid w:val="2CF56A4A"/>
    <w:rsid w:val="2D00526E"/>
    <w:rsid w:val="2D04D5F9"/>
    <w:rsid w:val="2D08EAF7"/>
    <w:rsid w:val="2D137885"/>
    <w:rsid w:val="2D161DD6"/>
    <w:rsid w:val="2D1E80FC"/>
    <w:rsid w:val="2D28E72D"/>
    <w:rsid w:val="2D32342B"/>
    <w:rsid w:val="2D37A0EC"/>
    <w:rsid w:val="2D46AA6D"/>
    <w:rsid w:val="2D476033"/>
    <w:rsid w:val="2D4791F3"/>
    <w:rsid w:val="2D47EEED"/>
    <w:rsid w:val="2D498343"/>
    <w:rsid w:val="2D4BFDDF"/>
    <w:rsid w:val="2D4D79A0"/>
    <w:rsid w:val="2D5016E1"/>
    <w:rsid w:val="2D51B912"/>
    <w:rsid w:val="2D540609"/>
    <w:rsid w:val="2D5F1B85"/>
    <w:rsid w:val="2D61E619"/>
    <w:rsid w:val="2D63EBA4"/>
    <w:rsid w:val="2D682F4C"/>
    <w:rsid w:val="2D689D35"/>
    <w:rsid w:val="2D70CA15"/>
    <w:rsid w:val="2D72801C"/>
    <w:rsid w:val="2D7343F1"/>
    <w:rsid w:val="2D73DA4A"/>
    <w:rsid w:val="2D76B64E"/>
    <w:rsid w:val="2D776575"/>
    <w:rsid w:val="2D78196D"/>
    <w:rsid w:val="2D7B015F"/>
    <w:rsid w:val="2D7B310A"/>
    <w:rsid w:val="2D930198"/>
    <w:rsid w:val="2D9D1214"/>
    <w:rsid w:val="2DA1F93A"/>
    <w:rsid w:val="2DA57887"/>
    <w:rsid w:val="2DA5E226"/>
    <w:rsid w:val="2DA6A85A"/>
    <w:rsid w:val="2DACB2E5"/>
    <w:rsid w:val="2DAEC650"/>
    <w:rsid w:val="2DAEF224"/>
    <w:rsid w:val="2DB483A5"/>
    <w:rsid w:val="2DBAA8B9"/>
    <w:rsid w:val="2DBE6AB6"/>
    <w:rsid w:val="2DC0FA41"/>
    <w:rsid w:val="2DCC7104"/>
    <w:rsid w:val="2DCED145"/>
    <w:rsid w:val="2DD1471C"/>
    <w:rsid w:val="2DD6A189"/>
    <w:rsid w:val="2DD81D08"/>
    <w:rsid w:val="2DDC2A1D"/>
    <w:rsid w:val="2DE20246"/>
    <w:rsid w:val="2DE2A866"/>
    <w:rsid w:val="2DE68F18"/>
    <w:rsid w:val="2DF38032"/>
    <w:rsid w:val="2DF994BC"/>
    <w:rsid w:val="2DFF149F"/>
    <w:rsid w:val="2E01EBF5"/>
    <w:rsid w:val="2E0B8D38"/>
    <w:rsid w:val="2E102AFC"/>
    <w:rsid w:val="2E141B4E"/>
    <w:rsid w:val="2E208BC6"/>
    <w:rsid w:val="2E2AA6B5"/>
    <w:rsid w:val="2E321BEF"/>
    <w:rsid w:val="2E3305D6"/>
    <w:rsid w:val="2E390739"/>
    <w:rsid w:val="2E3A713E"/>
    <w:rsid w:val="2E3D3C35"/>
    <w:rsid w:val="2E3ECE86"/>
    <w:rsid w:val="2E45A162"/>
    <w:rsid w:val="2E461D81"/>
    <w:rsid w:val="2E4BF137"/>
    <w:rsid w:val="2E4E0AE8"/>
    <w:rsid w:val="2E4E9FB1"/>
    <w:rsid w:val="2E51BD5C"/>
    <w:rsid w:val="2E541E57"/>
    <w:rsid w:val="2E5AD182"/>
    <w:rsid w:val="2E5C1202"/>
    <w:rsid w:val="2E6298C6"/>
    <w:rsid w:val="2E708048"/>
    <w:rsid w:val="2E74BD62"/>
    <w:rsid w:val="2E75A28C"/>
    <w:rsid w:val="2E7C3569"/>
    <w:rsid w:val="2E7CA071"/>
    <w:rsid w:val="2E81F0D9"/>
    <w:rsid w:val="2E8C0A0F"/>
    <w:rsid w:val="2E8DF7A9"/>
    <w:rsid w:val="2E8E5468"/>
    <w:rsid w:val="2E940860"/>
    <w:rsid w:val="2E954A45"/>
    <w:rsid w:val="2E9C6EED"/>
    <w:rsid w:val="2EA33036"/>
    <w:rsid w:val="2EA5776B"/>
    <w:rsid w:val="2EAD7D68"/>
    <w:rsid w:val="2EAE59F9"/>
    <w:rsid w:val="2EB36805"/>
    <w:rsid w:val="2EB6CDC1"/>
    <w:rsid w:val="2EC4C136"/>
    <w:rsid w:val="2ECBD2FB"/>
    <w:rsid w:val="2EDA324C"/>
    <w:rsid w:val="2EDCC8B3"/>
    <w:rsid w:val="2EEEBEC8"/>
    <w:rsid w:val="2EEF9914"/>
    <w:rsid w:val="2EF1380C"/>
    <w:rsid w:val="2EF7DE64"/>
    <w:rsid w:val="2EF9F704"/>
    <w:rsid w:val="2EFC3813"/>
    <w:rsid w:val="2EFFF93A"/>
    <w:rsid w:val="2F02E3CD"/>
    <w:rsid w:val="2F057772"/>
    <w:rsid w:val="2F0B909B"/>
    <w:rsid w:val="2F0CCF49"/>
    <w:rsid w:val="2F0EF2AA"/>
    <w:rsid w:val="2F13EA46"/>
    <w:rsid w:val="2F17D405"/>
    <w:rsid w:val="2F1C9C10"/>
    <w:rsid w:val="2F1ECAC8"/>
    <w:rsid w:val="2F1F7AF6"/>
    <w:rsid w:val="2F205C5C"/>
    <w:rsid w:val="2F208CB8"/>
    <w:rsid w:val="2F2403C5"/>
    <w:rsid w:val="2F2E012F"/>
    <w:rsid w:val="2F384F62"/>
    <w:rsid w:val="2F3DF1CD"/>
    <w:rsid w:val="2F43B257"/>
    <w:rsid w:val="2F45D4F1"/>
    <w:rsid w:val="2F47E2F3"/>
    <w:rsid w:val="2F513C8E"/>
    <w:rsid w:val="2F52B0EC"/>
    <w:rsid w:val="2F57CF1B"/>
    <w:rsid w:val="2F58ACB8"/>
    <w:rsid w:val="2F67AA64"/>
    <w:rsid w:val="2F67DFC1"/>
    <w:rsid w:val="2F6B4B67"/>
    <w:rsid w:val="2F6DE176"/>
    <w:rsid w:val="2F6FD8F9"/>
    <w:rsid w:val="2F814C48"/>
    <w:rsid w:val="2F835FB9"/>
    <w:rsid w:val="2F859AC8"/>
    <w:rsid w:val="2F8A54E0"/>
    <w:rsid w:val="2F8D622D"/>
    <w:rsid w:val="2F8EFD6D"/>
    <w:rsid w:val="2F929127"/>
    <w:rsid w:val="2F9538BF"/>
    <w:rsid w:val="2F9CAAC6"/>
    <w:rsid w:val="2FA0EE61"/>
    <w:rsid w:val="2FA1064F"/>
    <w:rsid w:val="2FA888C9"/>
    <w:rsid w:val="2FAB281B"/>
    <w:rsid w:val="2FADAC20"/>
    <w:rsid w:val="2FBF680F"/>
    <w:rsid w:val="2FBFED65"/>
    <w:rsid w:val="2FC0401D"/>
    <w:rsid w:val="2FC110AC"/>
    <w:rsid w:val="2FC540C1"/>
    <w:rsid w:val="2FC6D58B"/>
    <w:rsid w:val="2FC91DE4"/>
    <w:rsid w:val="2FCBEDBF"/>
    <w:rsid w:val="2FCE782A"/>
    <w:rsid w:val="2FD0D2DF"/>
    <w:rsid w:val="2FD11D39"/>
    <w:rsid w:val="2FD286AE"/>
    <w:rsid w:val="2FD2F1A0"/>
    <w:rsid w:val="2FD64F51"/>
    <w:rsid w:val="2FD7E15F"/>
    <w:rsid w:val="2FDADA22"/>
    <w:rsid w:val="2FDC817D"/>
    <w:rsid w:val="2FDD3120"/>
    <w:rsid w:val="2FE2508B"/>
    <w:rsid w:val="2FE625C1"/>
    <w:rsid w:val="2FE6E8BD"/>
    <w:rsid w:val="2FE7FA8B"/>
    <w:rsid w:val="2FEDA6EE"/>
    <w:rsid w:val="2FEEC2A4"/>
    <w:rsid w:val="2FF55416"/>
    <w:rsid w:val="2FF7CB8F"/>
    <w:rsid w:val="2FF8FA06"/>
    <w:rsid w:val="2FFD8C82"/>
    <w:rsid w:val="2FFE2081"/>
    <w:rsid w:val="2FFF0EDB"/>
    <w:rsid w:val="3002FC39"/>
    <w:rsid w:val="300324D8"/>
    <w:rsid w:val="30063B50"/>
    <w:rsid w:val="300815B8"/>
    <w:rsid w:val="300CD0F9"/>
    <w:rsid w:val="30160B16"/>
    <w:rsid w:val="30173AA1"/>
    <w:rsid w:val="301852DB"/>
    <w:rsid w:val="301BF52B"/>
    <w:rsid w:val="3029179E"/>
    <w:rsid w:val="302A81F7"/>
    <w:rsid w:val="302ABD6A"/>
    <w:rsid w:val="303EA9F8"/>
    <w:rsid w:val="30492E20"/>
    <w:rsid w:val="304ABF3C"/>
    <w:rsid w:val="304BA558"/>
    <w:rsid w:val="30513EEB"/>
    <w:rsid w:val="3052D748"/>
    <w:rsid w:val="30552326"/>
    <w:rsid w:val="3058011B"/>
    <w:rsid w:val="3067782B"/>
    <w:rsid w:val="306DA3CB"/>
    <w:rsid w:val="306E3BD9"/>
    <w:rsid w:val="30781AE0"/>
    <w:rsid w:val="3078D0F1"/>
    <w:rsid w:val="307C15C5"/>
    <w:rsid w:val="307D5CEB"/>
    <w:rsid w:val="308B3B99"/>
    <w:rsid w:val="308B9AA9"/>
    <w:rsid w:val="308BA9F7"/>
    <w:rsid w:val="308C3209"/>
    <w:rsid w:val="308F37F3"/>
    <w:rsid w:val="3091C2A2"/>
    <w:rsid w:val="3092B381"/>
    <w:rsid w:val="3093392A"/>
    <w:rsid w:val="3093D71A"/>
    <w:rsid w:val="309517CB"/>
    <w:rsid w:val="3095E44A"/>
    <w:rsid w:val="309A8598"/>
    <w:rsid w:val="309AF029"/>
    <w:rsid w:val="309D1F2C"/>
    <w:rsid w:val="30A872C3"/>
    <w:rsid w:val="30AE9732"/>
    <w:rsid w:val="30AECEB4"/>
    <w:rsid w:val="30AF8BE1"/>
    <w:rsid w:val="30B06B31"/>
    <w:rsid w:val="30CBD1EC"/>
    <w:rsid w:val="30CC4D94"/>
    <w:rsid w:val="30DA4E5D"/>
    <w:rsid w:val="30DAFFA8"/>
    <w:rsid w:val="30E596D0"/>
    <w:rsid w:val="30EA6BE5"/>
    <w:rsid w:val="30ED0CB8"/>
    <w:rsid w:val="30F5C16D"/>
    <w:rsid w:val="30F8E79E"/>
    <w:rsid w:val="30FA88F4"/>
    <w:rsid w:val="3103E5FB"/>
    <w:rsid w:val="3111359C"/>
    <w:rsid w:val="311B61A2"/>
    <w:rsid w:val="311E9698"/>
    <w:rsid w:val="3120DC1A"/>
    <w:rsid w:val="312112EE"/>
    <w:rsid w:val="312380F3"/>
    <w:rsid w:val="3123F549"/>
    <w:rsid w:val="3125DFEE"/>
    <w:rsid w:val="312E08EF"/>
    <w:rsid w:val="31305ED7"/>
    <w:rsid w:val="313265AF"/>
    <w:rsid w:val="313310CC"/>
    <w:rsid w:val="3135995D"/>
    <w:rsid w:val="31393A60"/>
    <w:rsid w:val="313D2D26"/>
    <w:rsid w:val="313F4CDD"/>
    <w:rsid w:val="31405EC2"/>
    <w:rsid w:val="31435BD4"/>
    <w:rsid w:val="314469B7"/>
    <w:rsid w:val="3145B1AB"/>
    <w:rsid w:val="3146CAF7"/>
    <w:rsid w:val="3150DAB8"/>
    <w:rsid w:val="315A20EF"/>
    <w:rsid w:val="315C709F"/>
    <w:rsid w:val="31620825"/>
    <w:rsid w:val="31626B1C"/>
    <w:rsid w:val="3164E588"/>
    <w:rsid w:val="31664901"/>
    <w:rsid w:val="316B41A2"/>
    <w:rsid w:val="316B65A5"/>
    <w:rsid w:val="316B8D27"/>
    <w:rsid w:val="31778251"/>
    <w:rsid w:val="3178A2B3"/>
    <w:rsid w:val="3178AD50"/>
    <w:rsid w:val="317B5AF9"/>
    <w:rsid w:val="317C80E6"/>
    <w:rsid w:val="317DF8D6"/>
    <w:rsid w:val="317E42D6"/>
    <w:rsid w:val="318559EB"/>
    <w:rsid w:val="3190B35B"/>
    <w:rsid w:val="3194E2E2"/>
    <w:rsid w:val="319AEB02"/>
    <w:rsid w:val="31A02C20"/>
    <w:rsid w:val="31A0CC20"/>
    <w:rsid w:val="31A24E94"/>
    <w:rsid w:val="31A4BCA1"/>
    <w:rsid w:val="31AF0D8C"/>
    <w:rsid w:val="31B08533"/>
    <w:rsid w:val="31B3248F"/>
    <w:rsid w:val="31B37D02"/>
    <w:rsid w:val="31B82DD2"/>
    <w:rsid w:val="31BB76FA"/>
    <w:rsid w:val="31BEA4FC"/>
    <w:rsid w:val="31BF537B"/>
    <w:rsid w:val="31C6D73B"/>
    <w:rsid w:val="31C6EC9B"/>
    <w:rsid w:val="31CD59E1"/>
    <w:rsid w:val="31CF6A23"/>
    <w:rsid w:val="31D7240A"/>
    <w:rsid w:val="31DCFBB1"/>
    <w:rsid w:val="31DFAB37"/>
    <w:rsid w:val="31DFD258"/>
    <w:rsid w:val="31F2F1CF"/>
    <w:rsid w:val="31F50950"/>
    <w:rsid w:val="31F8A096"/>
    <w:rsid w:val="31F9E7FB"/>
    <w:rsid w:val="31FB322A"/>
    <w:rsid w:val="31FB59F9"/>
    <w:rsid w:val="31FEA2EB"/>
    <w:rsid w:val="31FF469E"/>
    <w:rsid w:val="3200525F"/>
    <w:rsid w:val="3209FB8D"/>
    <w:rsid w:val="320A60AC"/>
    <w:rsid w:val="320BB404"/>
    <w:rsid w:val="320CCFE7"/>
    <w:rsid w:val="3210F866"/>
    <w:rsid w:val="3211A198"/>
    <w:rsid w:val="3212AC2B"/>
    <w:rsid w:val="32172172"/>
    <w:rsid w:val="322092AF"/>
    <w:rsid w:val="32222D3A"/>
    <w:rsid w:val="3227CCFB"/>
    <w:rsid w:val="3227D358"/>
    <w:rsid w:val="32313458"/>
    <w:rsid w:val="3233333B"/>
    <w:rsid w:val="32383267"/>
    <w:rsid w:val="323B5C49"/>
    <w:rsid w:val="323F61B3"/>
    <w:rsid w:val="32431D9B"/>
    <w:rsid w:val="3243AA42"/>
    <w:rsid w:val="3246DE66"/>
    <w:rsid w:val="3248AACF"/>
    <w:rsid w:val="324B4DA3"/>
    <w:rsid w:val="3253148D"/>
    <w:rsid w:val="32565BE1"/>
    <w:rsid w:val="3265AB4D"/>
    <w:rsid w:val="326DB5CE"/>
    <w:rsid w:val="326E2CCC"/>
    <w:rsid w:val="326FF1A3"/>
    <w:rsid w:val="32751610"/>
    <w:rsid w:val="327998AE"/>
    <w:rsid w:val="327DF458"/>
    <w:rsid w:val="327FD72A"/>
    <w:rsid w:val="3280ED8B"/>
    <w:rsid w:val="32851790"/>
    <w:rsid w:val="328E05DD"/>
    <w:rsid w:val="328F9AA1"/>
    <w:rsid w:val="32902D45"/>
    <w:rsid w:val="3292464C"/>
    <w:rsid w:val="32927803"/>
    <w:rsid w:val="3295992C"/>
    <w:rsid w:val="3298DFED"/>
    <w:rsid w:val="3299904E"/>
    <w:rsid w:val="329F4998"/>
    <w:rsid w:val="32A250A5"/>
    <w:rsid w:val="32A374F7"/>
    <w:rsid w:val="32A4A4B0"/>
    <w:rsid w:val="32A4AD1C"/>
    <w:rsid w:val="32A8014A"/>
    <w:rsid w:val="32A956B0"/>
    <w:rsid w:val="32B0F1C4"/>
    <w:rsid w:val="32B5A01D"/>
    <w:rsid w:val="32B7659C"/>
    <w:rsid w:val="32B7BBD2"/>
    <w:rsid w:val="32BA172C"/>
    <w:rsid w:val="32BE3D31"/>
    <w:rsid w:val="32C4CAA3"/>
    <w:rsid w:val="32D34153"/>
    <w:rsid w:val="32D446BD"/>
    <w:rsid w:val="32D5F885"/>
    <w:rsid w:val="32D71124"/>
    <w:rsid w:val="32DDDC3E"/>
    <w:rsid w:val="32EB3E5D"/>
    <w:rsid w:val="32EC1152"/>
    <w:rsid w:val="330000C8"/>
    <w:rsid w:val="3302FBFE"/>
    <w:rsid w:val="33069CFE"/>
    <w:rsid w:val="33080437"/>
    <w:rsid w:val="330BBB8A"/>
    <w:rsid w:val="3314800B"/>
    <w:rsid w:val="331F0535"/>
    <w:rsid w:val="33208FEB"/>
    <w:rsid w:val="33240D03"/>
    <w:rsid w:val="332AF177"/>
    <w:rsid w:val="332E2452"/>
    <w:rsid w:val="3334A0DE"/>
    <w:rsid w:val="3337D821"/>
    <w:rsid w:val="333A9069"/>
    <w:rsid w:val="333B540E"/>
    <w:rsid w:val="333DB862"/>
    <w:rsid w:val="3341E55A"/>
    <w:rsid w:val="33433324"/>
    <w:rsid w:val="33469D1B"/>
    <w:rsid w:val="334C3AB9"/>
    <w:rsid w:val="334DCF00"/>
    <w:rsid w:val="334EE1FD"/>
    <w:rsid w:val="334F1FF4"/>
    <w:rsid w:val="335C2A6E"/>
    <w:rsid w:val="335CD8DD"/>
    <w:rsid w:val="335FCEF4"/>
    <w:rsid w:val="3364BE44"/>
    <w:rsid w:val="3364D0E0"/>
    <w:rsid w:val="336DD313"/>
    <w:rsid w:val="336E5DAF"/>
    <w:rsid w:val="336EEAB5"/>
    <w:rsid w:val="3370F6B2"/>
    <w:rsid w:val="3373801E"/>
    <w:rsid w:val="33745663"/>
    <w:rsid w:val="337826EE"/>
    <w:rsid w:val="337C5AC7"/>
    <w:rsid w:val="337E895D"/>
    <w:rsid w:val="3384422B"/>
    <w:rsid w:val="338CB2C0"/>
    <w:rsid w:val="338D9E71"/>
    <w:rsid w:val="338EFDCC"/>
    <w:rsid w:val="33975774"/>
    <w:rsid w:val="339FADD2"/>
    <w:rsid w:val="33AA39D6"/>
    <w:rsid w:val="33AC557D"/>
    <w:rsid w:val="33AC6488"/>
    <w:rsid w:val="33ACD8BA"/>
    <w:rsid w:val="33B20035"/>
    <w:rsid w:val="33B3FF23"/>
    <w:rsid w:val="33B5406B"/>
    <w:rsid w:val="33B9EE4C"/>
    <w:rsid w:val="33BF2B17"/>
    <w:rsid w:val="33C3A5EB"/>
    <w:rsid w:val="33C70BD7"/>
    <w:rsid w:val="33C71F2D"/>
    <w:rsid w:val="33C752FE"/>
    <w:rsid w:val="33C84E87"/>
    <w:rsid w:val="33D14628"/>
    <w:rsid w:val="33D14662"/>
    <w:rsid w:val="33D14DB0"/>
    <w:rsid w:val="33D9FBBF"/>
    <w:rsid w:val="33E0B7A6"/>
    <w:rsid w:val="33E75A34"/>
    <w:rsid w:val="33EB5ED0"/>
    <w:rsid w:val="33EC1AD0"/>
    <w:rsid w:val="33ECD0AE"/>
    <w:rsid w:val="33F01BBD"/>
    <w:rsid w:val="33F05E4A"/>
    <w:rsid w:val="33F0730E"/>
    <w:rsid w:val="33F1F945"/>
    <w:rsid w:val="33F2B757"/>
    <w:rsid w:val="33F605B6"/>
    <w:rsid w:val="33F657CB"/>
    <w:rsid w:val="33FC3A63"/>
    <w:rsid w:val="33FC85EA"/>
    <w:rsid w:val="33FC9EED"/>
    <w:rsid w:val="33FCA026"/>
    <w:rsid w:val="340285E8"/>
    <w:rsid w:val="3402E14C"/>
    <w:rsid w:val="3408D4D8"/>
    <w:rsid w:val="3416296B"/>
    <w:rsid w:val="34168DFB"/>
    <w:rsid w:val="341AACFB"/>
    <w:rsid w:val="34220604"/>
    <w:rsid w:val="3427B909"/>
    <w:rsid w:val="342B2A2E"/>
    <w:rsid w:val="342C85C9"/>
    <w:rsid w:val="342D609C"/>
    <w:rsid w:val="342E1917"/>
    <w:rsid w:val="342E312B"/>
    <w:rsid w:val="34346B5B"/>
    <w:rsid w:val="3435A745"/>
    <w:rsid w:val="3439588D"/>
    <w:rsid w:val="3439E983"/>
    <w:rsid w:val="343A05D3"/>
    <w:rsid w:val="343D222B"/>
    <w:rsid w:val="34441520"/>
    <w:rsid w:val="3444672D"/>
    <w:rsid w:val="344A360D"/>
    <w:rsid w:val="344B4B54"/>
    <w:rsid w:val="344F43A1"/>
    <w:rsid w:val="3454A3D1"/>
    <w:rsid w:val="345AF4CC"/>
    <w:rsid w:val="345CE443"/>
    <w:rsid w:val="345CE7B8"/>
    <w:rsid w:val="34626199"/>
    <w:rsid w:val="3464E929"/>
    <w:rsid w:val="3471F4E5"/>
    <w:rsid w:val="34761B40"/>
    <w:rsid w:val="34763355"/>
    <w:rsid w:val="34778B9D"/>
    <w:rsid w:val="347F6C76"/>
    <w:rsid w:val="34842FA9"/>
    <w:rsid w:val="34862DBA"/>
    <w:rsid w:val="3487EA0C"/>
    <w:rsid w:val="34890DF4"/>
    <w:rsid w:val="348BC16F"/>
    <w:rsid w:val="348CF132"/>
    <w:rsid w:val="3490FFC3"/>
    <w:rsid w:val="3499AAF0"/>
    <w:rsid w:val="349A12B8"/>
    <w:rsid w:val="349EBE0D"/>
    <w:rsid w:val="34A8BBD9"/>
    <w:rsid w:val="34ABB266"/>
    <w:rsid w:val="34B05734"/>
    <w:rsid w:val="34B22EAD"/>
    <w:rsid w:val="34BA4A90"/>
    <w:rsid w:val="34BC5252"/>
    <w:rsid w:val="34BEDFF5"/>
    <w:rsid w:val="34BF4B61"/>
    <w:rsid w:val="34C1DA79"/>
    <w:rsid w:val="34C4A44F"/>
    <w:rsid w:val="34C52621"/>
    <w:rsid w:val="34C78E0E"/>
    <w:rsid w:val="34C9F6F5"/>
    <w:rsid w:val="34CA7B10"/>
    <w:rsid w:val="34CAA1E5"/>
    <w:rsid w:val="34CB733D"/>
    <w:rsid w:val="34CE4BA3"/>
    <w:rsid w:val="34D44367"/>
    <w:rsid w:val="34D9811C"/>
    <w:rsid w:val="34DE2A02"/>
    <w:rsid w:val="34E74212"/>
    <w:rsid w:val="34E7D1C8"/>
    <w:rsid w:val="34EB78D8"/>
    <w:rsid w:val="34EE40A0"/>
    <w:rsid w:val="34F233A1"/>
    <w:rsid w:val="34F66D45"/>
    <w:rsid w:val="34FE6971"/>
    <w:rsid w:val="3500E77A"/>
    <w:rsid w:val="3503EE34"/>
    <w:rsid w:val="35067B6C"/>
    <w:rsid w:val="35094FDD"/>
    <w:rsid w:val="3509FDE5"/>
    <w:rsid w:val="351B297D"/>
    <w:rsid w:val="3521DCB5"/>
    <w:rsid w:val="3522CB73"/>
    <w:rsid w:val="3522FD09"/>
    <w:rsid w:val="352479D1"/>
    <w:rsid w:val="35264C10"/>
    <w:rsid w:val="352B4F0A"/>
    <w:rsid w:val="352BFFD7"/>
    <w:rsid w:val="3533CCA1"/>
    <w:rsid w:val="3535CF88"/>
    <w:rsid w:val="3539285B"/>
    <w:rsid w:val="3539BDA2"/>
    <w:rsid w:val="353AAE20"/>
    <w:rsid w:val="354127E2"/>
    <w:rsid w:val="35413F1C"/>
    <w:rsid w:val="35486327"/>
    <w:rsid w:val="354C1C32"/>
    <w:rsid w:val="354C61CA"/>
    <w:rsid w:val="35521A86"/>
    <w:rsid w:val="3553EDB2"/>
    <w:rsid w:val="3555E68E"/>
    <w:rsid w:val="355687CC"/>
    <w:rsid w:val="355A4BE3"/>
    <w:rsid w:val="355BABBF"/>
    <w:rsid w:val="355D2C0F"/>
    <w:rsid w:val="3566D43F"/>
    <w:rsid w:val="356C9BEA"/>
    <w:rsid w:val="35759305"/>
    <w:rsid w:val="357620C6"/>
    <w:rsid w:val="3579A503"/>
    <w:rsid w:val="35829BBD"/>
    <w:rsid w:val="3584D0DB"/>
    <w:rsid w:val="358987C4"/>
    <w:rsid w:val="35955DA9"/>
    <w:rsid w:val="3595832F"/>
    <w:rsid w:val="359677E4"/>
    <w:rsid w:val="35989C01"/>
    <w:rsid w:val="359EFDD2"/>
    <w:rsid w:val="359F0DCA"/>
    <w:rsid w:val="35A2F76D"/>
    <w:rsid w:val="35A6FCEB"/>
    <w:rsid w:val="35AB3E3B"/>
    <w:rsid w:val="35B376AC"/>
    <w:rsid w:val="35B565FF"/>
    <w:rsid w:val="35B7C41A"/>
    <w:rsid w:val="35B95259"/>
    <w:rsid w:val="35BA9499"/>
    <w:rsid w:val="35BBA45C"/>
    <w:rsid w:val="35BFC91C"/>
    <w:rsid w:val="35C60DE8"/>
    <w:rsid w:val="35C802C9"/>
    <w:rsid w:val="35D96624"/>
    <w:rsid w:val="35DA527B"/>
    <w:rsid w:val="35E10A03"/>
    <w:rsid w:val="35E4B758"/>
    <w:rsid w:val="35E54352"/>
    <w:rsid w:val="35E658C6"/>
    <w:rsid w:val="35E6CF27"/>
    <w:rsid w:val="35F0A327"/>
    <w:rsid w:val="35F38E40"/>
    <w:rsid w:val="35F562C2"/>
    <w:rsid w:val="35FC488F"/>
    <w:rsid w:val="35FF0437"/>
    <w:rsid w:val="360341C1"/>
    <w:rsid w:val="361F0F0C"/>
    <w:rsid w:val="361F46AD"/>
    <w:rsid w:val="361FBCEF"/>
    <w:rsid w:val="3627296D"/>
    <w:rsid w:val="3628A372"/>
    <w:rsid w:val="3628BF76"/>
    <w:rsid w:val="362AE208"/>
    <w:rsid w:val="362CB608"/>
    <w:rsid w:val="362F4387"/>
    <w:rsid w:val="3630C1B4"/>
    <w:rsid w:val="3634732D"/>
    <w:rsid w:val="3644CCD8"/>
    <w:rsid w:val="3646EB52"/>
    <w:rsid w:val="36483FBA"/>
    <w:rsid w:val="364D4772"/>
    <w:rsid w:val="36510C23"/>
    <w:rsid w:val="3652E238"/>
    <w:rsid w:val="36547C9F"/>
    <w:rsid w:val="365CB227"/>
    <w:rsid w:val="365CD151"/>
    <w:rsid w:val="365CF7F9"/>
    <w:rsid w:val="366A1601"/>
    <w:rsid w:val="366FDBC9"/>
    <w:rsid w:val="367244CF"/>
    <w:rsid w:val="367724AB"/>
    <w:rsid w:val="367CF602"/>
    <w:rsid w:val="367E59BD"/>
    <w:rsid w:val="36824982"/>
    <w:rsid w:val="368BB09D"/>
    <w:rsid w:val="3693F9F6"/>
    <w:rsid w:val="36954050"/>
    <w:rsid w:val="369C1288"/>
    <w:rsid w:val="369C7470"/>
    <w:rsid w:val="369D167B"/>
    <w:rsid w:val="369E98AD"/>
    <w:rsid w:val="36A44592"/>
    <w:rsid w:val="36A91E89"/>
    <w:rsid w:val="36ABBA90"/>
    <w:rsid w:val="36ABE910"/>
    <w:rsid w:val="36AE5293"/>
    <w:rsid w:val="36B2CF7C"/>
    <w:rsid w:val="36B750C6"/>
    <w:rsid w:val="36BDC526"/>
    <w:rsid w:val="36CA43A6"/>
    <w:rsid w:val="36D1B590"/>
    <w:rsid w:val="36D50930"/>
    <w:rsid w:val="36D53567"/>
    <w:rsid w:val="36D61E43"/>
    <w:rsid w:val="36DB6057"/>
    <w:rsid w:val="36DE26B2"/>
    <w:rsid w:val="36DEF32C"/>
    <w:rsid w:val="36E6F758"/>
    <w:rsid w:val="36E7EF59"/>
    <w:rsid w:val="36E86E60"/>
    <w:rsid w:val="36F0DC57"/>
    <w:rsid w:val="36F0EFEE"/>
    <w:rsid w:val="36F2E928"/>
    <w:rsid w:val="36F4BECB"/>
    <w:rsid w:val="36F4EA69"/>
    <w:rsid w:val="36FB19E2"/>
    <w:rsid w:val="36FC6F3B"/>
    <w:rsid w:val="37058C95"/>
    <w:rsid w:val="37083CA9"/>
    <w:rsid w:val="370E9132"/>
    <w:rsid w:val="370F4612"/>
    <w:rsid w:val="370F672B"/>
    <w:rsid w:val="37128409"/>
    <w:rsid w:val="371B3BD0"/>
    <w:rsid w:val="371E275C"/>
    <w:rsid w:val="371EB39D"/>
    <w:rsid w:val="3723079D"/>
    <w:rsid w:val="3725DFF1"/>
    <w:rsid w:val="372985E3"/>
    <w:rsid w:val="3737EC53"/>
    <w:rsid w:val="373F7FC1"/>
    <w:rsid w:val="3740784A"/>
    <w:rsid w:val="374E1A97"/>
    <w:rsid w:val="374E2EC2"/>
    <w:rsid w:val="374F2AFB"/>
    <w:rsid w:val="37504C4E"/>
    <w:rsid w:val="37522B4B"/>
    <w:rsid w:val="37534F7C"/>
    <w:rsid w:val="3754ED85"/>
    <w:rsid w:val="375C02D2"/>
    <w:rsid w:val="37615596"/>
    <w:rsid w:val="376775EF"/>
    <w:rsid w:val="376BA0C4"/>
    <w:rsid w:val="376D1D25"/>
    <w:rsid w:val="376E4026"/>
    <w:rsid w:val="3773E759"/>
    <w:rsid w:val="377452EC"/>
    <w:rsid w:val="3774C9AA"/>
    <w:rsid w:val="37772CD6"/>
    <w:rsid w:val="377AD2AE"/>
    <w:rsid w:val="37802E04"/>
    <w:rsid w:val="37837345"/>
    <w:rsid w:val="3789A532"/>
    <w:rsid w:val="378B2AF3"/>
    <w:rsid w:val="378FE446"/>
    <w:rsid w:val="3792DF59"/>
    <w:rsid w:val="379EB14A"/>
    <w:rsid w:val="379EB9BF"/>
    <w:rsid w:val="37A1B468"/>
    <w:rsid w:val="37A3FC8E"/>
    <w:rsid w:val="37A46BF3"/>
    <w:rsid w:val="37A4F61F"/>
    <w:rsid w:val="37AF3544"/>
    <w:rsid w:val="37AF5CF6"/>
    <w:rsid w:val="37B1D2B7"/>
    <w:rsid w:val="37B265FC"/>
    <w:rsid w:val="37B5B5AD"/>
    <w:rsid w:val="37B93C01"/>
    <w:rsid w:val="37C0EB3C"/>
    <w:rsid w:val="37C2955A"/>
    <w:rsid w:val="37C39DC8"/>
    <w:rsid w:val="37CE9624"/>
    <w:rsid w:val="37D7329B"/>
    <w:rsid w:val="37D84ABB"/>
    <w:rsid w:val="37D85EF0"/>
    <w:rsid w:val="37DB247F"/>
    <w:rsid w:val="37DDD368"/>
    <w:rsid w:val="37E1939C"/>
    <w:rsid w:val="37EAB8E2"/>
    <w:rsid w:val="37EBE330"/>
    <w:rsid w:val="37F0DB0D"/>
    <w:rsid w:val="37F72D06"/>
    <w:rsid w:val="37FADE53"/>
    <w:rsid w:val="37FB00F6"/>
    <w:rsid w:val="37FC6372"/>
    <w:rsid w:val="380902D8"/>
    <w:rsid w:val="38097DD6"/>
    <w:rsid w:val="380BEB4A"/>
    <w:rsid w:val="3811E034"/>
    <w:rsid w:val="3815189B"/>
    <w:rsid w:val="38154623"/>
    <w:rsid w:val="3816F681"/>
    <w:rsid w:val="3819BA49"/>
    <w:rsid w:val="381EE58D"/>
    <w:rsid w:val="382225C1"/>
    <w:rsid w:val="38264B73"/>
    <w:rsid w:val="382C13D4"/>
    <w:rsid w:val="38358D94"/>
    <w:rsid w:val="383BFC6F"/>
    <w:rsid w:val="383C4B07"/>
    <w:rsid w:val="383EEC6E"/>
    <w:rsid w:val="384DB6BA"/>
    <w:rsid w:val="38510076"/>
    <w:rsid w:val="3852F676"/>
    <w:rsid w:val="38575E36"/>
    <w:rsid w:val="385C48D7"/>
    <w:rsid w:val="385E6AD9"/>
    <w:rsid w:val="3863CA59"/>
    <w:rsid w:val="386735D7"/>
    <w:rsid w:val="386A6253"/>
    <w:rsid w:val="386E17A7"/>
    <w:rsid w:val="3871ACA5"/>
    <w:rsid w:val="387654A4"/>
    <w:rsid w:val="38787F3E"/>
    <w:rsid w:val="387B61BF"/>
    <w:rsid w:val="3882DB97"/>
    <w:rsid w:val="3886A840"/>
    <w:rsid w:val="3886C5C1"/>
    <w:rsid w:val="38894892"/>
    <w:rsid w:val="388969C2"/>
    <w:rsid w:val="3889A9B3"/>
    <w:rsid w:val="388C477F"/>
    <w:rsid w:val="388C6EDE"/>
    <w:rsid w:val="388F30BC"/>
    <w:rsid w:val="3893A0FD"/>
    <w:rsid w:val="389667D1"/>
    <w:rsid w:val="38A18444"/>
    <w:rsid w:val="38A19D92"/>
    <w:rsid w:val="38A1F69A"/>
    <w:rsid w:val="38A411BF"/>
    <w:rsid w:val="38A7E3C7"/>
    <w:rsid w:val="38B1361D"/>
    <w:rsid w:val="38B1D19B"/>
    <w:rsid w:val="38C3FC3F"/>
    <w:rsid w:val="38C5B8B8"/>
    <w:rsid w:val="38C71571"/>
    <w:rsid w:val="38D1AEDE"/>
    <w:rsid w:val="38D4AD4E"/>
    <w:rsid w:val="38D4FB42"/>
    <w:rsid w:val="38D9CD05"/>
    <w:rsid w:val="38E07159"/>
    <w:rsid w:val="38E22DE4"/>
    <w:rsid w:val="38E8DC52"/>
    <w:rsid w:val="38EC0399"/>
    <w:rsid w:val="38F15F19"/>
    <w:rsid w:val="38F4A444"/>
    <w:rsid w:val="38FB1BA8"/>
    <w:rsid w:val="39046400"/>
    <w:rsid w:val="390E6088"/>
    <w:rsid w:val="3916D9E6"/>
    <w:rsid w:val="391FB808"/>
    <w:rsid w:val="392A24FD"/>
    <w:rsid w:val="392A40F6"/>
    <w:rsid w:val="392C6F94"/>
    <w:rsid w:val="392F3E9C"/>
    <w:rsid w:val="392F6F8C"/>
    <w:rsid w:val="3932ACED"/>
    <w:rsid w:val="39339FA4"/>
    <w:rsid w:val="3935A9F7"/>
    <w:rsid w:val="393D6F5F"/>
    <w:rsid w:val="393DAACB"/>
    <w:rsid w:val="39412CA3"/>
    <w:rsid w:val="3941931A"/>
    <w:rsid w:val="39419A4B"/>
    <w:rsid w:val="39450FF5"/>
    <w:rsid w:val="3951EAF0"/>
    <w:rsid w:val="39524EA3"/>
    <w:rsid w:val="3952CAB5"/>
    <w:rsid w:val="39535BFF"/>
    <w:rsid w:val="3955C4EC"/>
    <w:rsid w:val="39577ADF"/>
    <w:rsid w:val="395B718A"/>
    <w:rsid w:val="3963CC36"/>
    <w:rsid w:val="39673D92"/>
    <w:rsid w:val="3967B5EF"/>
    <w:rsid w:val="396B038C"/>
    <w:rsid w:val="3977C990"/>
    <w:rsid w:val="39839758"/>
    <w:rsid w:val="3985416C"/>
    <w:rsid w:val="398679C4"/>
    <w:rsid w:val="3992A05B"/>
    <w:rsid w:val="399BEBAA"/>
    <w:rsid w:val="399C5001"/>
    <w:rsid w:val="399D7395"/>
    <w:rsid w:val="39A50BBA"/>
    <w:rsid w:val="39AC6FA6"/>
    <w:rsid w:val="39ADB317"/>
    <w:rsid w:val="39AE74AF"/>
    <w:rsid w:val="39B0F51A"/>
    <w:rsid w:val="39B5F317"/>
    <w:rsid w:val="39BB2774"/>
    <w:rsid w:val="39C55380"/>
    <w:rsid w:val="39C8E5C7"/>
    <w:rsid w:val="39CC14A9"/>
    <w:rsid w:val="39D3520B"/>
    <w:rsid w:val="39D3EB67"/>
    <w:rsid w:val="39D9F342"/>
    <w:rsid w:val="39DC5268"/>
    <w:rsid w:val="39DEB5B9"/>
    <w:rsid w:val="39E2FDB4"/>
    <w:rsid w:val="39F14027"/>
    <w:rsid w:val="39F5A3C0"/>
    <w:rsid w:val="39FBF8F4"/>
    <w:rsid w:val="39FD777F"/>
    <w:rsid w:val="3A04D4C1"/>
    <w:rsid w:val="3A0746FF"/>
    <w:rsid w:val="3A101F4E"/>
    <w:rsid w:val="3A1167AE"/>
    <w:rsid w:val="3A124197"/>
    <w:rsid w:val="3A1373BB"/>
    <w:rsid w:val="3A14ABFE"/>
    <w:rsid w:val="3A15C81D"/>
    <w:rsid w:val="3A175B41"/>
    <w:rsid w:val="3A1FA998"/>
    <w:rsid w:val="3A2A1878"/>
    <w:rsid w:val="3A2AE1A6"/>
    <w:rsid w:val="3A2B94B7"/>
    <w:rsid w:val="3A2CB058"/>
    <w:rsid w:val="3A2E1D92"/>
    <w:rsid w:val="3A3672FA"/>
    <w:rsid w:val="3A3732C6"/>
    <w:rsid w:val="3A3850D6"/>
    <w:rsid w:val="3A3D3638"/>
    <w:rsid w:val="3A3F6BFB"/>
    <w:rsid w:val="3A412B72"/>
    <w:rsid w:val="3A41C85D"/>
    <w:rsid w:val="3A450218"/>
    <w:rsid w:val="3A471351"/>
    <w:rsid w:val="3A481289"/>
    <w:rsid w:val="3A4DC672"/>
    <w:rsid w:val="3A572C9B"/>
    <w:rsid w:val="3A5A1293"/>
    <w:rsid w:val="3A5FA017"/>
    <w:rsid w:val="3A65B025"/>
    <w:rsid w:val="3A66B91B"/>
    <w:rsid w:val="3A6712A9"/>
    <w:rsid w:val="3A70CF68"/>
    <w:rsid w:val="3A7CD4DC"/>
    <w:rsid w:val="3A7DA8D7"/>
    <w:rsid w:val="3A834C66"/>
    <w:rsid w:val="3A84C26F"/>
    <w:rsid w:val="3A859C9F"/>
    <w:rsid w:val="3A8D6261"/>
    <w:rsid w:val="3A8E0E66"/>
    <w:rsid w:val="3A8E78F4"/>
    <w:rsid w:val="3A8F33DF"/>
    <w:rsid w:val="3A943A49"/>
    <w:rsid w:val="3A97AAB9"/>
    <w:rsid w:val="3A9C8DCC"/>
    <w:rsid w:val="3A9D198C"/>
    <w:rsid w:val="3A9EA4C2"/>
    <w:rsid w:val="3AA11FEF"/>
    <w:rsid w:val="3AA41BD5"/>
    <w:rsid w:val="3AACA9CE"/>
    <w:rsid w:val="3AAE72D4"/>
    <w:rsid w:val="3AAF85F4"/>
    <w:rsid w:val="3AB2FA6C"/>
    <w:rsid w:val="3AC340CA"/>
    <w:rsid w:val="3AC6D588"/>
    <w:rsid w:val="3AC8510A"/>
    <w:rsid w:val="3AD21002"/>
    <w:rsid w:val="3AD3106C"/>
    <w:rsid w:val="3AD4FA73"/>
    <w:rsid w:val="3AD7DBB4"/>
    <w:rsid w:val="3AD7E3F7"/>
    <w:rsid w:val="3ADC1BA5"/>
    <w:rsid w:val="3AE0B563"/>
    <w:rsid w:val="3AEE9749"/>
    <w:rsid w:val="3AF4643F"/>
    <w:rsid w:val="3AF5F80A"/>
    <w:rsid w:val="3AF64465"/>
    <w:rsid w:val="3AFADDE2"/>
    <w:rsid w:val="3AFC46EC"/>
    <w:rsid w:val="3B014913"/>
    <w:rsid w:val="3B0204B0"/>
    <w:rsid w:val="3B0DE4F0"/>
    <w:rsid w:val="3B117FFB"/>
    <w:rsid w:val="3B13FB75"/>
    <w:rsid w:val="3B14D658"/>
    <w:rsid w:val="3B15BB5E"/>
    <w:rsid w:val="3B179DD5"/>
    <w:rsid w:val="3B1918CF"/>
    <w:rsid w:val="3B1CDAAF"/>
    <w:rsid w:val="3B1CDE58"/>
    <w:rsid w:val="3B1DCCD6"/>
    <w:rsid w:val="3B1EE21E"/>
    <w:rsid w:val="3B216FE4"/>
    <w:rsid w:val="3B236682"/>
    <w:rsid w:val="3B266DF9"/>
    <w:rsid w:val="3B285315"/>
    <w:rsid w:val="3B2C2565"/>
    <w:rsid w:val="3B31FEF5"/>
    <w:rsid w:val="3B326CC5"/>
    <w:rsid w:val="3B357D8B"/>
    <w:rsid w:val="3B3D578C"/>
    <w:rsid w:val="3B411DE5"/>
    <w:rsid w:val="3B476133"/>
    <w:rsid w:val="3B483F4A"/>
    <w:rsid w:val="3B48DBC0"/>
    <w:rsid w:val="3B4E9B6C"/>
    <w:rsid w:val="3B4F3E38"/>
    <w:rsid w:val="3B5026B9"/>
    <w:rsid w:val="3B542128"/>
    <w:rsid w:val="3B619ECF"/>
    <w:rsid w:val="3B678752"/>
    <w:rsid w:val="3B6E4D84"/>
    <w:rsid w:val="3B6E500A"/>
    <w:rsid w:val="3B719B8F"/>
    <w:rsid w:val="3B7631D6"/>
    <w:rsid w:val="3B7D769B"/>
    <w:rsid w:val="3B859737"/>
    <w:rsid w:val="3B85EB62"/>
    <w:rsid w:val="3B917E79"/>
    <w:rsid w:val="3B92888E"/>
    <w:rsid w:val="3B9782B4"/>
    <w:rsid w:val="3B99113F"/>
    <w:rsid w:val="3BA2CD82"/>
    <w:rsid w:val="3BA41CC1"/>
    <w:rsid w:val="3BA767E0"/>
    <w:rsid w:val="3BA9FEA8"/>
    <w:rsid w:val="3BB02226"/>
    <w:rsid w:val="3BB442BD"/>
    <w:rsid w:val="3BB544D5"/>
    <w:rsid w:val="3BC42AF7"/>
    <w:rsid w:val="3BCA3C0A"/>
    <w:rsid w:val="3BCD593F"/>
    <w:rsid w:val="3BD33CE8"/>
    <w:rsid w:val="3BD5FD40"/>
    <w:rsid w:val="3BDA158C"/>
    <w:rsid w:val="3BDDB427"/>
    <w:rsid w:val="3BE3BFBA"/>
    <w:rsid w:val="3BE663DD"/>
    <w:rsid w:val="3BF077F3"/>
    <w:rsid w:val="3BF12A03"/>
    <w:rsid w:val="3BF73CFF"/>
    <w:rsid w:val="3BF82AE3"/>
    <w:rsid w:val="3BFDC866"/>
    <w:rsid w:val="3C024421"/>
    <w:rsid w:val="3C0257AC"/>
    <w:rsid w:val="3C087082"/>
    <w:rsid w:val="3C0990F3"/>
    <w:rsid w:val="3C09E881"/>
    <w:rsid w:val="3C0A9946"/>
    <w:rsid w:val="3C0B5C18"/>
    <w:rsid w:val="3C11CB3C"/>
    <w:rsid w:val="3C124FB8"/>
    <w:rsid w:val="3C17B8B2"/>
    <w:rsid w:val="3C1B7ED3"/>
    <w:rsid w:val="3C1E1CAB"/>
    <w:rsid w:val="3C1EBD25"/>
    <w:rsid w:val="3C2112FF"/>
    <w:rsid w:val="3C21F8A0"/>
    <w:rsid w:val="3C267F91"/>
    <w:rsid w:val="3C27F86E"/>
    <w:rsid w:val="3C283C06"/>
    <w:rsid w:val="3C2D52DA"/>
    <w:rsid w:val="3C354169"/>
    <w:rsid w:val="3C3A33EC"/>
    <w:rsid w:val="3C3F4ED6"/>
    <w:rsid w:val="3C445F64"/>
    <w:rsid w:val="3C4BCACF"/>
    <w:rsid w:val="3C510B77"/>
    <w:rsid w:val="3C5B291E"/>
    <w:rsid w:val="3C5CE703"/>
    <w:rsid w:val="3C5CFFFE"/>
    <w:rsid w:val="3C646796"/>
    <w:rsid w:val="3C67D4BC"/>
    <w:rsid w:val="3C6B123A"/>
    <w:rsid w:val="3C722926"/>
    <w:rsid w:val="3C72F6B4"/>
    <w:rsid w:val="3C75EDEA"/>
    <w:rsid w:val="3C7B1554"/>
    <w:rsid w:val="3C81C3FC"/>
    <w:rsid w:val="3C834111"/>
    <w:rsid w:val="3C85AF62"/>
    <w:rsid w:val="3C86FB5D"/>
    <w:rsid w:val="3C8FC733"/>
    <w:rsid w:val="3C99ECD4"/>
    <w:rsid w:val="3C9E12D8"/>
    <w:rsid w:val="3CA296F2"/>
    <w:rsid w:val="3CA654FE"/>
    <w:rsid w:val="3CA6F9AE"/>
    <w:rsid w:val="3CA8B322"/>
    <w:rsid w:val="3CA92E23"/>
    <w:rsid w:val="3CAB8D6B"/>
    <w:rsid w:val="3CAEEC7E"/>
    <w:rsid w:val="3CB75F28"/>
    <w:rsid w:val="3CBC659A"/>
    <w:rsid w:val="3CBFE2CF"/>
    <w:rsid w:val="3CC3792B"/>
    <w:rsid w:val="3CC4E2C5"/>
    <w:rsid w:val="3CC5DDDC"/>
    <w:rsid w:val="3CCA53F0"/>
    <w:rsid w:val="3CCBBDD2"/>
    <w:rsid w:val="3CCD65BC"/>
    <w:rsid w:val="3CD13A65"/>
    <w:rsid w:val="3CD3F8D7"/>
    <w:rsid w:val="3CD3FCBF"/>
    <w:rsid w:val="3CDF49B1"/>
    <w:rsid w:val="3CE0BFD8"/>
    <w:rsid w:val="3CEA2E78"/>
    <w:rsid w:val="3CF468D0"/>
    <w:rsid w:val="3CF68673"/>
    <w:rsid w:val="3CFD1ADF"/>
    <w:rsid w:val="3D00676F"/>
    <w:rsid w:val="3D07D168"/>
    <w:rsid w:val="3D07DC2B"/>
    <w:rsid w:val="3D0A1C09"/>
    <w:rsid w:val="3D15AAF5"/>
    <w:rsid w:val="3D181910"/>
    <w:rsid w:val="3D1B23AC"/>
    <w:rsid w:val="3D21B5DD"/>
    <w:rsid w:val="3D22D232"/>
    <w:rsid w:val="3D26608B"/>
    <w:rsid w:val="3D2D3228"/>
    <w:rsid w:val="3D33E869"/>
    <w:rsid w:val="3D359DF8"/>
    <w:rsid w:val="3D383290"/>
    <w:rsid w:val="3D3EC3B3"/>
    <w:rsid w:val="3D3FF2C1"/>
    <w:rsid w:val="3D479682"/>
    <w:rsid w:val="3D4A5743"/>
    <w:rsid w:val="3D4DA79E"/>
    <w:rsid w:val="3D51DCB5"/>
    <w:rsid w:val="3D5553B9"/>
    <w:rsid w:val="3D571804"/>
    <w:rsid w:val="3D581EE4"/>
    <w:rsid w:val="3D5A34BC"/>
    <w:rsid w:val="3D5AE9CB"/>
    <w:rsid w:val="3D5CC419"/>
    <w:rsid w:val="3D5D4566"/>
    <w:rsid w:val="3D5EAC0F"/>
    <w:rsid w:val="3D5ED2F5"/>
    <w:rsid w:val="3D5F1858"/>
    <w:rsid w:val="3D6B1436"/>
    <w:rsid w:val="3D6BC523"/>
    <w:rsid w:val="3D6D69D9"/>
    <w:rsid w:val="3D70220F"/>
    <w:rsid w:val="3D72A0DA"/>
    <w:rsid w:val="3D7E1179"/>
    <w:rsid w:val="3D810265"/>
    <w:rsid w:val="3D891E55"/>
    <w:rsid w:val="3D8D50E1"/>
    <w:rsid w:val="3D8DC69E"/>
    <w:rsid w:val="3D8EBF34"/>
    <w:rsid w:val="3D965C68"/>
    <w:rsid w:val="3D9816B0"/>
    <w:rsid w:val="3D9A49E3"/>
    <w:rsid w:val="3D9AF40F"/>
    <w:rsid w:val="3D9F0C1D"/>
    <w:rsid w:val="3DA5B5FB"/>
    <w:rsid w:val="3DA5E4F0"/>
    <w:rsid w:val="3DAAE7D6"/>
    <w:rsid w:val="3DAF4FF9"/>
    <w:rsid w:val="3DB2F493"/>
    <w:rsid w:val="3DB6D270"/>
    <w:rsid w:val="3DB7A4A6"/>
    <w:rsid w:val="3DB7ADD7"/>
    <w:rsid w:val="3DBAE604"/>
    <w:rsid w:val="3DC1A629"/>
    <w:rsid w:val="3DC68FC9"/>
    <w:rsid w:val="3DCB7803"/>
    <w:rsid w:val="3DCC0FEA"/>
    <w:rsid w:val="3DCE8414"/>
    <w:rsid w:val="3DD378B2"/>
    <w:rsid w:val="3DD4A238"/>
    <w:rsid w:val="3DD775DD"/>
    <w:rsid w:val="3DD96725"/>
    <w:rsid w:val="3DDFB780"/>
    <w:rsid w:val="3DDFEE0E"/>
    <w:rsid w:val="3DE2F8C2"/>
    <w:rsid w:val="3DEBDA81"/>
    <w:rsid w:val="3DF0F792"/>
    <w:rsid w:val="3DF15BF5"/>
    <w:rsid w:val="3DF506FB"/>
    <w:rsid w:val="3DFC8D84"/>
    <w:rsid w:val="3E00297A"/>
    <w:rsid w:val="3E02206C"/>
    <w:rsid w:val="3E05D594"/>
    <w:rsid w:val="3E0E75C8"/>
    <w:rsid w:val="3E10A121"/>
    <w:rsid w:val="3E15384E"/>
    <w:rsid w:val="3E161BBA"/>
    <w:rsid w:val="3E1639DC"/>
    <w:rsid w:val="3E16E73A"/>
    <w:rsid w:val="3E188332"/>
    <w:rsid w:val="3E1BDB4C"/>
    <w:rsid w:val="3E211316"/>
    <w:rsid w:val="3E24C527"/>
    <w:rsid w:val="3E294DA1"/>
    <w:rsid w:val="3E2BB0C2"/>
    <w:rsid w:val="3E337413"/>
    <w:rsid w:val="3E39BE11"/>
    <w:rsid w:val="3E404727"/>
    <w:rsid w:val="3E43CD31"/>
    <w:rsid w:val="3E4B68FE"/>
    <w:rsid w:val="3E5D1E8B"/>
    <w:rsid w:val="3E6145C7"/>
    <w:rsid w:val="3E69564E"/>
    <w:rsid w:val="3E6C2A28"/>
    <w:rsid w:val="3E6C6CE8"/>
    <w:rsid w:val="3E75158F"/>
    <w:rsid w:val="3E77FAD7"/>
    <w:rsid w:val="3E7AC45A"/>
    <w:rsid w:val="3E7F9723"/>
    <w:rsid w:val="3E8D2A2B"/>
    <w:rsid w:val="3E90C2E1"/>
    <w:rsid w:val="3E98EF1E"/>
    <w:rsid w:val="3E99637B"/>
    <w:rsid w:val="3E9A4FED"/>
    <w:rsid w:val="3E9A9D0E"/>
    <w:rsid w:val="3E9C27E7"/>
    <w:rsid w:val="3E9F7D5E"/>
    <w:rsid w:val="3EA2F996"/>
    <w:rsid w:val="3EA37A0C"/>
    <w:rsid w:val="3EA6F64E"/>
    <w:rsid w:val="3EB22BB9"/>
    <w:rsid w:val="3EB523D6"/>
    <w:rsid w:val="3EB8D97F"/>
    <w:rsid w:val="3EB9DD2F"/>
    <w:rsid w:val="3EB9DD81"/>
    <w:rsid w:val="3EBA46F3"/>
    <w:rsid w:val="3EC00EC6"/>
    <w:rsid w:val="3EC64F74"/>
    <w:rsid w:val="3ECD6959"/>
    <w:rsid w:val="3ECE3AB0"/>
    <w:rsid w:val="3ED257E4"/>
    <w:rsid w:val="3ED33787"/>
    <w:rsid w:val="3ED88BCF"/>
    <w:rsid w:val="3EDC6ECC"/>
    <w:rsid w:val="3EE09995"/>
    <w:rsid w:val="3EE38917"/>
    <w:rsid w:val="3EE9888A"/>
    <w:rsid w:val="3EEABA81"/>
    <w:rsid w:val="3EEBFB1E"/>
    <w:rsid w:val="3EF3774C"/>
    <w:rsid w:val="3EF43A47"/>
    <w:rsid w:val="3EFC3E1E"/>
    <w:rsid w:val="3EFEDCB2"/>
    <w:rsid w:val="3EFFC2BA"/>
    <w:rsid w:val="3F00A02C"/>
    <w:rsid w:val="3F037E49"/>
    <w:rsid w:val="3F107475"/>
    <w:rsid w:val="3F126933"/>
    <w:rsid w:val="3F1B1978"/>
    <w:rsid w:val="3F1B6271"/>
    <w:rsid w:val="3F216796"/>
    <w:rsid w:val="3F28F23B"/>
    <w:rsid w:val="3F30C9C3"/>
    <w:rsid w:val="3F38181B"/>
    <w:rsid w:val="3F4356CA"/>
    <w:rsid w:val="3F4CDD90"/>
    <w:rsid w:val="3F55085C"/>
    <w:rsid w:val="3F5D6A16"/>
    <w:rsid w:val="3F5FFE8E"/>
    <w:rsid w:val="3F62E1AD"/>
    <w:rsid w:val="3F64F352"/>
    <w:rsid w:val="3F6951FD"/>
    <w:rsid w:val="3F70B8FF"/>
    <w:rsid w:val="3F712450"/>
    <w:rsid w:val="3F727978"/>
    <w:rsid w:val="3F732704"/>
    <w:rsid w:val="3F745D62"/>
    <w:rsid w:val="3F7FA1DC"/>
    <w:rsid w:val="3F889C6B"/>
    <w:rsid w:val="3F8B75B9"/>
    <w:rsid w:val="3F8DD2F0"/>
    <w:rsid w:val="3F8E519E"/>
    <w:rsid w:val="3F9642E4"/>
    <w:rsid w:val="3FA0055F"/>
    <w:rsid w:val="3FA2ADD8"/>
    <w:rsid w:val="3FA52A94"/>
    <w:rsid w:val="3FA67806"/>
    <w:rsid w:val="3FB1C240"/>
    <w:rsid w:val="3FB2A8B6"/>
    <w:rsid w:val="3FBE8825"/>
    <w:rsid w:val="3FC7818B"/>
    <w:rsid w:val="3FCF0846"/>
    <w:rsid w:val="3FD510CD"/>
    <w:rsid w:val="3FD6982D"/>
    <w:rsid w:val="3FD948F5"/>
    <w:rsid w:val="3FDAA051"/>
    <w:rsid w:val="3FDDE092"/>
    <w:rsid w:val="3FEDFDB3"/>
    <w:rsid w:val="3FF8788D"/>
    <w:rsid w:val="4003BEB4"/>
    <w:rsid w:val="400996D7"/>
    <w:rsid w:val="400E2D82"/>
    <w:rsid w:val="4013967C"/>
    <w:rsid w:val="401BEFA4"/>
    <w:rsid w:val="401C5118"/>
    <w:rsid w:val="40276DEE"/>
    <w:rsid w:val="402E542A"/>
    <w:rsid w:val="40301B14"/>
    <w:rsid w:val="403590A5"/>
    <w:rsid w:val="4039B6B9"/>
    <w:rsid w:val="403BF1C9"/>
    <w:rsid w:val="403D4EDC"/>
    <w:rsid w:val="40407E1F"/>
    <w:rsid w:val="40481DC5"/>
    <w:rsid w:val="405662BA"/>
    <w:rsid w:val="405B1842"/>
    <w:rsid w:val="405C5409"/>
    <w:rsid w:val="406504CE"/>
    <w:rsid w:val="4068C5EC"/>
    <w:rsid w:val="40716251"/>
    <w:rsid w:val="40778B20"/>
    <w:rsid w:val="4078D947"/>
    <w:rsid w:val="4079EFC3"/>
    <w:rsid w:val="407D160E"/>
    <w:rsid w:val="407DB6D4"/>
    <w:rsid w:val="407E286F"/>
    <w:rsid w:val="40843D3C"/>
    <w:rsid w:val="4084E612"/>
    <w:rsid w:val="408B4AC3"/>
    <w:rsid w:val="408F19FE"/>
    <w:rsid w:val="40901FB2"/>
    <w:rsid w:val="409090B7"/>
    <w:rsid w:val="40913810"/>
    <w:rsid w:val="40A2C549"/>
    <w:rsid w:val="40A34FF9"/>
    <w:rsid w:val="40A9848A"/>
    <w:rsid w:val="40A9C4F0"/>
    <w:rsid w:val="40ACB36D"/>
    <w:rsid w:val="40B12AE5"/>
    <w:rsid w:val="40B6A32C"/>
    <w:rsid w:val="40B6BFF1"/>
    <w:rsid w:val="40B6CA2C"/>
    <w:rsid w:val="40BB3BAA"/>
    <w:rsid w:val="40BECAC0"/>
    <w:rsid w:val="40BF2FEC"/>
    <w:rsid w:val="40C02CF1"/>
    <w:rsid w:val="40C779EF"/>
    <w:rsid w:val="40CA3FEB"/>
    <w:rsid w:val="40CD76BA"/>
    <w:rsid w:val="40D6B9C2"/>
    <w:rsid w:val="40D8F173"/>
    <w:rsid w:val="40D922D9"/>
    <w:rsid w:val="40DDC60B"/>
    <w:rsid w:val="40DF2F87"/>
    <w:rsid w:val="40E2018B"/>
    <w:rsid w:val="40E64C8F"/>
    <w:rsid w:val="40EB531F"/>
    <w:rsid w:val="40EB9C93"/>
    <w:rsid w:val="40EDA85F"/>
    <w:rsid w:val="40F118F0"/>
    <w:rsid w:val="40F5213D"/>
    <w:rsid w:val="40F63F74"/>
    <w:rsid w:val="40F82BAD"/>
    <w:rsid w:val="40FB8016"/>
    <w:rsid w:val="40FDFFE3"/>
    <w:rsid w:val="4103B07F"/>
    <w:rsid w:val="41041757"/>
    <w:rsid w:val="41052C55"/>
    <w:rsid w:val="4107F210"/>
    <w:rsid w:val="41085F13"/>
    <w:rsid w:val="410C3B68"/>
    <w:rsid w:val="41106091"/>
    <w:rsid w:val="411147C7"/>
    <w:rsid w:val="4113AF70"/>
    <w:rsid w:val="411536A7"/>
    <w:rsid w:val="411D2A9C"/>
    <w:rsid w:val="411D3C48"/>
    <w:rsid w:val="411D643A"/>
    <w:rsid w:val="411E1FD4"/>
    <w:rsid w:val="412DE307"/>
    <w:rsid w:val="412F8209"/>
    <w:rsid w:val="4131266D"/>
    <w:rsid w:val="41323A07"/>
    <w:rsid w:val="41350BFD"/>
    <w:rsid w:val="41358610"/>
    <w:rsid w:val="41374F3E"/>
    <w:rsid w:val="413A7BA2"/>
    <w:rsid w:val="413DAF62"/>
    <w:rsid w:val="413F140B"/>
    <w:rsid w:val="4143B262"/>
    <w:rsid w:val="414BE544"/>
    <w:rsid w:val="4150CA81"/>
    <w:rsid w:val="41523934"/>
    <w:rsid w:val="4155F743"/>
    <w:rsid w:val="415C02C9"/>
    <w:rsid w:val="4162476F"/>
    <w:rsid w:val="41666396"/>
    <w:rsid w:val="41677B92"/>
    <w:rsid w:val="4172BD63"/>
    <w:rsid w:val="417C3642"/>
    <w:rsid w:val="417D1613"/>
    <w:rsid w:val="41851CDD"/>
    <w:rsid w:val="41857BBF"/>
    <w:rsid w:val="4187E699"/>
    <w:rsid w:val="41895A58"/>
    <w:rsid w:val="419185E0"/>
    <w:rsid w:val="4191BE1E"/>
    <w:rsid w:val="41951325"/>
    <w:rsid w:val="41969426"/>
    <w:rsid w:val="419B9509"/>
    <w:rsid w:val="41A27E1D"/>
    <w:rsid w:val="41AEE145"/>
    <w:rsid w:val="41AF42E3"/>
    <w:rsid w:val="41B10E25"/>
    <w:rsid w:val="41B2B404"/>
    <w:rsid w:val="41BAEE3B"/>
    <w:rsid w:val="41C19E74"/>
    <w:rsid w:val="41C5B25D"/>
    <w:rsid w:val="41C97E23"/>
    <w:rsid w:val="41CFE80B"/>
    <w:rsid w:val="41D0310B"/>
    <w:rsid w:val="41D1CA4C"/>
    <w:rsid w:val="41D8E5F4"/>
    <w:rsid w:val="41DA9F33"/>
    <w:rsid w:val="41E2C7B8"/>
    <w:rsid w:val="41E3A6D5"/>
    <w:rsid w:val="41EB0C2C"/>
    <w:rsid w:val="41F63B33"/>
    <w:rsid w:val="41F87E12"/>
    <w:rsid w:val="41F8BE6C"/>
    <w:rsid w:val="41FA37FD"/>
    <w:rsid w:val="41FB8A67"/>
    <w:rsid w:val="420D697F"/>
    <w:rsid w:val="421033DA"/>
    <w:rsid w:val="4213D11C"/>
    <w:rsid w:val="421B1F7F"/>
    <w:rsid w:val="4221A173"/>
    <w:rsid w:val="42295236"/>
    <w:rsid w:val="422A44FC"/>
    <w:rsid w:val="422AE912"/>
    <w:rsid w:val="422F4578"/>
    <w:rsid w:val="422FC3C1"/>
    <w:rsid w:val="4236B356"/>
    <w:rsid w:val="4239F3C4"/>
    <w:rsid w:val="423F14FE"/>
    <w:rsid w:val="423F4CBD"/>
    <w:rsid w:val="423F71E5"/>
    <w:rsid w:val="423FD46D"/>
    <w:rsid w:val="42439EF9"/>
    <w:rsid w:val="424548F5"/>
    <w:rsid w:val="4246A854"/>
    <w:rsid w:val="424A1677"/>
    <w:rsid w:val="424B177D"/>
    <w:rsid w:val="4250DD25"/>
    <w:rsid w:val="425C5D39"/>
    <w:rsid w:val="425E60F5"/>
    <w:rsid w:val="4260F77E"/>
    <w:rsid w:val="42612F63"/>
    <w:rsid w:val="42652B22"/>
    <w:rsid w:val="42663245"/>
    <w:rsid w:val="426DEA46"/>
    <w:rsid w:val="426E261F"/>
    <w:rsid w:val="42712976"/>
    <w:rsid w:val="4273F661"/>
    <w:rsid w:val="4274F356"/>
    <w:rsid w:val="42752CF1"/>
    <w:rsid w:val="427C655E"/>
    <w:rsid w:val="427CFB64"/>
    <w:rsid w:val="4280996D"/>
    <w:rsid w:val="42839C24"/>
    <w:rsid w:val="4289A9C3"/>
    <w:rsid w:val="428E3347"/>
    <w:rsid w:val="42905291"/>
    <w:rsid w:val="42931C66"/>
    <w:rsid w:val="429903C0"/>
    <w:rsid w:val="42A55FCA"/>
    <w:rsid w:val="42A753A2"/>
    <w:rsid w:val="42A989C4"/>
    <w:rsid w:val="42AA5F81"/>
    <w:rsid w:val="42AC8770"/>
    <w:rsid w:val="42B07ED1"/>
    <w:rsid w:val="42B2D66A"/>
    <w:rsid w:val="42B49929"/>
    <w:rsid w:val="42B96928"/>
    <w:rsid w:val="42CCDFCE"/>
    <w:rsid w:val="42D0DC19"/>
    <w:rsid w:val="42D5E2B8"/>
    <w:rsid w:val="42D94302"/>
    <w:rsid w:val="42DB3292"/>
    <w:rsid w:val="42DC1707"/>
    <w:rsid w:val="42DD6C81"/>
    <w:rsid w:val="42E52CCD"/>
    <w:rsid w:val="42E93B38"/>
    <w:rsid w:val="42F15811"/>
    <w:rsid w:val="42F2B8E5"/>
    <w:rsid w:val="42F3BB84"/>
    <w:rsid w:val="42F642B8"/>
    <w:rsid w:val="43013582"/>
    <w:rsid w:val="4305DC8C"/>
    <w:rsid w:val="4307799E"/>
    <w:rsid w:val="43080030"/>
    <w:rsid w:val="43120717"/>
    <w:rsid w:val="431228EE"/>
    <w:rsid w:val="431D67CB"/>
    <w:rsid w:val="432445F5"/>
    <w:rsid w:val="4329D09E"/>
    <w:rsid w:val="432C21B5"/>
    <w:rsid w:val="4330A4B7"/>
    <w:rsid w:val="4336CA62"/>
    <w:rsid w:val="43375525"/>
    <w:rsid w:val="4339BA84"/>
    <w:rsid w:val="43468702"/>
    <w:rsid w:val="4348695A"/>
    <w:rsid w:val="4348E7DC"/>
    <w:rsid w:val="434E5BE4"/>
    <w:rsid w:val="43530F72"/>
    <w:rsid w:val="435981DC"/>
    <w:rsid w:val="4359EB22"/>
    <w:rsid w:val="435A00CD"/>
    <w:rsid w:val="435F8EA0"/>
    <w:rsid w:val="436010A0"/>
    <w:rsid w:val="4361AFAD"/>
    <w:rsid w:val="43717560"/>
    <w:rsid w:val="43762963"/>
    <w:rsid w:val="437E711A"/>
    <w:rsid w:val="438271FA"/>
    <w:rsid w:val="438360DC"/>
    <w:rsid w:val="4383D9ED"/>
    <w:rsid w:val="4386F785"/>
    <w:rsid w:val="438BA00A"/>
    <w:rsid w:val="438EEBD3"/>
    <w:rsid w:val="43990805"/>
    <w:rsid w:val="43A8736B"/>
    <w:rsid w:val="43A8FCF5"/>
    <w:rsid w:val="43AC0A73"/>
    <w:rsid w:val="43B04CD3"/>
    <w:rsid w:val="43B730EA"/>
    <w:rsid w:val="43B9449A"/>
    <w:rsid w:val="43C6C6B6"/>
    <w:rsid w:val="43CCEE26"/>
    <w:rsid w:val="43D30FF0"/>
    <w:rsid w:val="43DA81CF"/>
    <w:rsid w:val="43DE33F7"/>
    <w:rsid w:val="43E13A57"/>
    <w:rsid w:val="43E58808"/>
    <w:rsid w:val="43E984A6"/>
    <w:rsid w:val="43ED7B81"/>
    <w:rsid w:val="43F36993"/>
    <w:rsid w:val="440323D1"/>
    <w:rsid w:val="440A9010"/>
    <w:rsid w:val="440A95FF"/>
    <w:rsid w:val="440B5CA7"/>
    <w:rsid w:val="4410E98C"/>
    <w:rsid w:val="44135C3C"/>
    <w:rsid w:val="44199AD5"/>
    <w:rsid w:val="441E5275"/>
    <w:rsid w:val="441F3A1C"/>
    <w:rsid w:val="441F7A13"/>
    <w:rsid w:val="44204040"/>
    <w:rsid w:val="442DBCB2"/>
    <w:rsid w:val="442E3B6B"/>
    <w:rsid w:val="44321357"/>
    <w:rsid w:val="44321F16"/>
    <w:rsid w:val="443350CF"/>
    <w:rsid w:val="44375ABF"/>
    <w:rsid w:val="44376DEE"/>
    <w:rsid w:val="44385F61"/>
    <w:rsid w:val="4445D552"/>
    <w:rsid w:val="44467466"/>
    <w:rsid w:val="444948A4"/>
    <w:rsid w:val="444F388A"/>
    <w:rsid w:val="4453C4DD"/>
    <w:rsid w:val="445A6C45"/>
    <w:rsid w:val="4460DADC"/>
    <w:rsid w:val="44625408"/>
    <w:rsid w:val="4464785E"/>
    <w:rsid w:val="4468F131"/>
    <w:rsid w:val="446BA53F"/>
    <w:rsid w:val="446F9ED5"/>
    <w:rsid w:val="44740792"/>
    <w:rsid w:val="44794EFE"/>
    <w:rsid w:val="4479AA14"/>
    <w:rsid w:val="447BEBE0"/>
    <w:rsid w:val="447E2FE5"/>
    <w:rsid w:val="448AA178"/>
    <w:rsid w:val="44905D7D"/>
    <w:rsid w:val="449700CB"/>
    <w:rsid w:val="4499B646"/>
    <w:rsid w:val="449B710D"/>
    <w:rsid w:val="44AFFA47"/>
    <w:rsid w:val="44BABE2B"/>
    <w:rsid w:val="44CF7EAE"/>
    <w:rsid w:val="44D07BF3"/>
    <w:rsid w:val="44D2E1B6"/>
    <w:rsid w:val="44DCC271"/>
    <w:rsid w:val="44E37251"/>
    <w:rsid w:val="44E69429"/>
    <w:rsid w:val="44E7A7B9"/>
    <w:rsid w:val="44EBD567"/>
    <w:rsid w:val="44EFE448"/>
    <w:rsid w:val="44F34A78"/>
    <w:rsid w:val="44FAEE09"/>
    <w:rsid w:val="4508D650"/>
    <w:rsid w:val="450E4F70"/>
    <w:rsid w:val="45101B94"/>
    <w:rsid w:val="451201FD"/>
    <w:rsid w:val="4515C24E"/>
    <w:rsid w:val="4515E1E6"/>
    <w:rsid w:val="4515E7E6"/>
    <w:rsid w:val="451B957C"/>
    <w:rsid w:val="451F50AB"/>
    <w:rsid w:val="452098D1"/>
    <w:rsid w:val="4521068C"/>
    <w:rsid w:val="4528AA9A"/>
    <w:rsid w:val="45292B01"/>
    <w:rsid w:val="452BF17E"/>
    <w:rsid w:val="452E776E"/>
    <w:rsid w:val="45395525"/>
    <w:rsid w:val="453AC1FF"/>
    <w:rsid w:val="453DA8CD"/>
    <w:rsid w:val="45432923"/>
    <w:rsid w:val="4543E418"/>
    <w:rsid w:val="4544073E"/>
    <w:rsid w:val="4548F9B1"/>
    <w:rsid w:val="454A8A71"/>
    <w:rsid w:val="454E90DF"/>
    <w:rsid w:val="454F9407"/>
    <w:rsid w:val="4556A7AF"/>
    <w:rsid w:val="455C89F1"/>
    <w:rsid w:val="455D7391"/>
    <w:rsid w:val="45659AC5"/>
    <w:rsid w:val="4566B1C6"/>
    <w:rsid w:val="4569379F"/>
    <w:rsid w:val="456DC68A"/>
    <w:rsid w:val="4575088B"/>
    <w:rsid w:val="4577DCB3"/>
    <w:rsid w:val="45819382"/>
    <w:rsid w:val="4585BE08"/>
    <w:rsid w:val="45877B11"/>
    <w:rsid w:val="459ABDDE"/>
    <w:rsid w:val="459B8B77"/>
    <w:rsid w:val="459C5199"/>
    <w:rsid w:val="45A352AA"/>
    <w:rsid w:val="45A7FA28"/>
    <w:rsid w:val="45A94C2B"/>
    <w:rsid w:val="45AB58C6"/>
    <w:rsid w:val="45B09F97"/>
    <w:rsid w:val="45B53DEC"/>
    <w:rsid w:val="45BA9793"/>
    <w:rsid w:val="45BAEE5B"/>
    <w:rsid w:val="45BE4E5D"/>
    <w:rsid w:val="45BE5F4A"/>
    <w:rsid w:val="45C02C79"/>
    <w:rsid w:val="45C23D9F"/>
    <w:rsid w:val="45C37B80"/>
    <w:rsid w:val="45C3B380"/>
    <w:rsid w:val="45CCA253"/>
    <w:rsid w:val="45CCF607"/>
    <w:rsid w:val="45D1BF90"/>
    <w:rsid w:val="45D866EB"/>
    <w:rsid w:val="45DDA882"/>
    <w:rsid w:val="45DDD45D"/>
    <w:rsid w:val="45E3FABB"/>
    <w:rsid w:val="45E5FDD4"/>
    <w:rsid w:val="45E6D963"/>
    <w:rsid w:val="45E83DCB"/>
    <w:rsid w:val="45F86C8A"/>
    <w:rsid w:val="45F9846A"/>
    <w:rsid w:val="45FEDC3D"/>
    <w:rsid w:val="460AF30A"/>
    <w:rsid w:val="460D93C4"/>
    <w:rsid w:val="460EF78E"/>
    <w:rsid w:val="460F1E6F"/>
    <w:rsid w:val="46108097"/>
    <w:rsid w:val="4612AE12"/>
    <w:rsid w:val="4619C7F1"/>
    <w:rsid w:val="461B62F5"/>
    <w:rsid w:val="461D685C"/>
    <w:rsid w:val="462785E2"/>
    <w:rsid w:val="462898DD"/>
    <w:rsid w:val="462EEECF"/>
    <w:rsid w:val="46315B70"/>
    <w:rsid w:val="4633846A"/>
    <w:rsid w:val="46362791"/>
    <w:rsid w:val="463C2D44"/>
    <w:rsid w:val="463DCCE0"/>
    <w:rsid w:val="463E45EF"/>
    <w:rsid w:val="4641D8DA"/>
    <w:rsid w:val="46484068"/>
    <w:rsid w:val="464F00F0"/>
    <w:rsid w:val="464FEAF0"/>
    <w:rsid w:val="46513D9B"/>
    <w:rsid w:val="4651654F"/>
    <w:rsid w:val="4653EA9A"/>
    <w:rsid w:val="465699EF"/>
    <w:rsid w:val="466394E6"/>
    <w:rsid w:val="4663B11D"/>
    <w:rsid w:val="466821A3"/>
    <w:rsid w:val="4668CE80"/>
    <w:rsid w:val="466986E2"/>
    <w:rsid w:val="466D7377"/>
    <w:rsid w:val="466F57AB"/>
    <w:rsid w:val="466F9C16"/>
    <w:rsid w:val="4671A7C6"/>
    <w:rsid w:val="4677B7CE"/>
    <w:rsid w:val="467E0F83"/>
    <w:rsid w:val="468436EE"/>
    <w:rsid w:val="4684EBC9"/>
    <w:rsid w:val="468A7C99"/>
    <w:rsid w:val="468CD717"/>
    <w:rsid w:val="468EC681"/>
    <w:rsid w:val="46903BA1"/>
    <w:rsid w:val="469C7DFA"/>
    <w:rsid w:val="469E9560"/>
    <w:rsid w:val="46A23385"/>
    <w:rsid w:val="46A246DB"/>
    <w:rsid w:val="46A26803"/>
    <w:rsid w:val="46B6DB9A"/>
    <w:rsid w:val="46B89D10"/>
    <w:rsid w:val="46BCD84D"/>
    <w:rsid w:val="46BDB4A9"/>
    <w:rsid w:val="46C0ACDC"/>
    <w:rsid w:val="46C60233"/>
    <w:rsid w:val="46CB3A1C"/>
    <w:rsid w:val="46CBF0C6"/>
    <w:rsid w:val="46CC0B51"/>
    <w:rsid w:val="46CD2F0C"/>
    <w:rsid w:val="46CE3961"/>
    <w:rsid w:val="46D0150D"/>
    <w:rsid w:val="46D2C154"/>
    <w:rsid w:val="46E0378D"/>
    <w:rsid w:val="46E1D714"/>
    <w:rsid w:val="46E25BDF"/>
    <w:rsid w:val="46EB7A12"/>
    <w:rsid w:val="46F49BFC"/>
    <w:rsid w:val="46F52719"/>
    <w:rsid w:val="46F643D3"/>
    <w:rsid w:val="4700415D"/>
    <w:rsid w:val="47010DA0"/>
    <w:rsid w:val="470159BD"/>
    <w:rsid w:val="470CB284"/>
    <w:rsid w:val="4712EB94"/>
    <w:rsid w:val="47168655"/>
    <w:rsid w:val="471DA5A6"/>
    <w:rsid w:val="4726DE96"/>
    <w:rsid w:val="47294373"/>
    <w:rsid w:val="472C3D99"/>
    <w:rsid w:val="4730866E"/>
    <w:rsid w:val="47312089"/>
    <w:rsid w:val="4731C358"/>
    <w:rsid w:val="47332368"/>
    <w:rsid w:val="4735207C"/>
    <w:rsid w:val="473DB352"/>
    <w:rsid w:val="473F9080"/>
    <w:rsid w:val="4744D2AF"/>
    <w:rsid w:val="474DAE63"/>
    <w:rsid w:val="475605B1"/>
    <w:rsid w:val="4761948E"/>
    <w:rsid w:val="4765488C"/>
    <w:rsid w:val="4767EC41"/>
    <w:rsid w:val="476CD1C0"/>
    <w:rsid w:val="47724C72"/>
    <w:rsid w:val="47731BA1"/>
    <w:rsid w:val="4773571B"/>
    <w:rsid w:val="47748FE3"/>
    <w:rsid w:val="4775FE69"/>
    <w:rsid w:val="477650C3"/>
    <w:rsid w:val="477B8CE7"/>
    <w:rsid w:val="47815B45"/>
    <w:rsid w:val="4783D606"/>
    <w:rsid w:val="47888E3F"/>
    <w:rsid w:val="478DBC11"/>
    <w:rsid w:val="47968049"/>
    <w:rsid w:val="47989530"/>
    <w:rsid w:val="4798CBA2"/>
    <w:rsid w:val="479A94F8"/>
    <w:rsid w:val="47A99CBB"/>
    <w:rsid w:val="47A9B0BC"/>
    <w:rsid w:val="47B7AE89"/>
    <w:rsid w:val="47BC08F7"/>
    <w:rsid w:val="47BD1DD7"/>
    <w:rsid w:val="47C36E4B"/>
    <w:rsid w:val="47C4AC27"/>
    <w:rsid w:val="47C6AD3E"/>
    <w:rsid w:val="47D498F5"/>
    <w:rsid w:val="47D4CEDD"/>
    <w:rsid w:val="47D88DE2"/>
    <w:rsid w:val="47D8A726"/>
    <w:rsid w:val="47D901A0"/>
    <w:rsid w:val="47DA2BB8"/>
    <w:rsid w:val="47DB601A"/>
    <w:rsid w:val="47E2E555"/>
    <w:rsid w:val="47E8604C"/>
    <w:rsid w:val="47EED0C2"/>
    <w:rsid w:val="47F189E9"/>
    <w:rsid w:val="47F58D2B"/>
    <w:rsid w:val="47F74ACC"/>
    <w:rsid w:val="4801BEE1"/>
    <w:rsid w:val="4803040A"/>
    <w:rsid w:val="48040A1B"/>
    <w:rsid w:val="48097AC2"/>
    <w:rsid w:val="480E8B6F"/>
    <w:rsid w:val="48151D70"/>
    <w:rsid w:val="48210A8E"/>
    <w:rsid w:val="4830D77A"/>
    <w:rsid w:val="48362C22"/>
    <w:rsid w:val="4837D404"/>
    <w:rsid w:val="4838CD7B"/>
    <w:rsid w:val="48420063"/>
    <w:rsid w:val="484309AE"/>
    <w:rsid w:val="4845E83E"/>
    <w:rsid w:val="48463E32"/>
    <w:rsid w:val="4846718A"/>
    <w:rsid w:val="484B0D56"/>
    <w:rsid w:val="484F31B9"/>
    <w:rsid w:val="4851A6A3"/>
    <w:rsid w:val="4854E4F9"/>
    <w:rsid w:val="4855FCF8"/>
    <w:rsid w:val="4856A964"/>
    <w:rsid w:val="485B5E6D"/>
    <w:rsid w:val="4861589B"/>
    <w:rsid w:val="4862A35F"/>
    <w:rsid w:val="4863EA68"/>
    <w:rsid w:val="48649E65"/>
    <w:rsid w:val="4865A4DE"/>
    <w:rsid w:val="4868584A"/>
    <w:rsid w:val="48697876"/>
    <w:rsid w:val="486A342D"/>
    <w:rsid w:val="486A58C0"/>
    <w:rsid w:val="486B4139"/>
    <w:rsid w:val="4873F07B"/>
    <w:rsid w:val="487658CD"/>
    <w:rsid w:val="488A608D"/>
    <w:rsid w:val="488E59A3"/>
    <w:rsid w:val="48914E34"/>
    <w:rsid w:val="489A4224"/>
    <w:rsid w:val="48A0D0B6"/>
    <w:rsid w:val="48A6108E"/>
    <w:rsid w:val="48A8893E"/>
    <w:rsid w:val="48A8F3D2"/>
    <w:rsid w:val="48B80ADF"/>
    <w:rsid w:val="48B88F37"/>
    <w:rsid w:val="48B9CD62"/>
    <w:rsid w:val="48BE7F75"/>
    <w:rsid w:val="48C2FC27"/>
    <w:rsid w:val="48C5E5F1"/>
    <w:rsid w:val="48C752E8"/>
    <w:rsid w:val="48C8296A"/>
    <w:rsid w:val="48D1DF63"/>
    <w:rsid w:val="48D56B39"/>
    <w:rsid w:val="48D7280C"/>
    <w:rsid w:val="48D7C921"/>
    <w:rsid w:val="48E4D69B"/>
    <w:rsid w:val="48E519EF"/>
    <w:rsid w:val="48E546D8"/>
    <w:rsid w:val="48E6B8CA"/>
    <w:rsid w:val="48EAD01B"/>
    <w:rsid w:val="48EB3376"/>
    <w:rsid w:val="48ED4865"/>
    <w:rsid w:val="48EDCC88"/>
    <w:rsid w:val="48EDE5E5"/>
    <w:rsid w:val="48F04936"/>
    <w:rsid w:val="48F6A975"/>
    <w:rsid w:val="48F8F8FB"/>
    <w:rsid w:val="48FBFE3E"/>
    <w:rsid w:val="4901BC1B"/>
    <w:rsid w:val="4905D530"/>
    <w:rsid w:val="49088700"/>
    <w:rsid w:val="4909D1D9"/>
    <w:rsid w:val="490AE425"/>
    <w:rsid w:val="4910AC8D"/>
    <w:rsid w:val="49174F33"/>
    <w:rsid w:val="491A6422"/>
    <w:rsid w:val="491C441A"/>
    <w:rsid w:val="4921D88B"/>
    <w:rsid w:val="492F5B86"/>
    <w:rsid w:val="49359E2C"/>
    <w:rsid w:val="49437595"/>
    <w:rsid w:val="49462FD7"/>
    <w:rsid w:val="494ED43D"/>
    <w:rsid w:val="494F8C97"/>
    <w:rsid w:val="49516D95"/>
    <w:rsid w:val="49571377"/>
    <w:rsid w:val="495A0751"/>
    <w:rsid w:val="495E77B1"/>
    <w:rsid w:val="49696563"/>
    <w:rsid w:val="4979AA8D"/>
    <w:rsid w:val="49889A98"/>
    <w:rsid w:val="498A46F7"/>
    <w:rsid w:val="498C3368"/>
    <w:rsid w:val="499A097A"/>
    <w:rsid w:val="499D109F"/>
    <w:rsid w:val="499D4115"/>
    <w:rsid w:val="499F91D4"/>
    <w:rsid w:val="49A33A2C"/>
    <w:rsid w:val="49A3BD35"/>
    <w:rsid w:val="49A83390"/>
    <w:rsid w:val="49AC8788"/>
    <w:rsid w:val="49ADA38B"/>
    <w:rsid w:val="49AE5573"/>
    <w:rsid w:val="49B03303"/>
    <w:rsid w:val="49C3536C"/>
    <w:rsid w:val="49C693BB"/>
    <w:rsid w:val="49CC367B"/>
    <w:rsid w:val="49CCC414"/>
    <w:rsid w:val="49CD10A9"/>
    <w:rsid w:val="49D2204A"/>
    <w:rsid w:val="49D5062A"/>
    <w:rsid w:val="49D76EBF"/>
    <w:rsid w:val="49D77D7A"/>
    <w:rsid w:val="49E1D6DE"/>
    <w:rsid w:val="49E1EAFD"/>
    <w:rsid w:val="49E2709C"/>
    <w:rsid w:val="49E365F1"/>
    <w:rsid w:val="49ED7326"/>
    <w:rsid w:val="49EF65AC"/>
    <w:rsid w:val="49F6F8AB"/>
    <w:rsid w:val="49F9D14C"/>
    <w:rsid w:val="49FD393F"/>
    <w:rsid w:val="4A02DF77"/>
    <w:rsid w:val="4A08596C"/>
    <w:rsid w:val="4A1E49B2"/>
    <w:rsid w:val="4A238F28"/>
    <w:rsid w:val="4A2A5BDB"/>
    <w:rsid w:val="4A2A81B1"/>
    <w:rsid w:val="4A2AFC12"/>
    <w:rsid w:val="4A2C1C83"/>
    <w:rsid w:val="4A321E33"/>
    <w:rsid w:val="4A345803"/>
    <w:rsid w:val="4A3857FF"/>
    <w:rsid w:val="4A3A03EF"/>
    <w:rsid w:val="4A3B2037"/>
    <w:rsid w:val="4A4098F3"/>
    <w:rsid w:val="4A434C8A"/>
    <w:rsid w:val="4A44F905"/>
    <w:rsid w:val="4A4DCC2A"/>
    <w:rsid w:val="4A4EC3E8"/>
    <w:rsid w:val="4A4F13B8"/>
    <w:rsid w:val="4A510B52"/>
    <w:rsid w:val="4A546FAE"/>
    <w:rsid w:val="4A5CC093"/>
    <w:rsid w:val="4A605594"/>
    <w:rsid w:val="4A61BC6E"/>
    <w:rsid w:val="4A6CABCC"/>
    <w:rsid w:val="4A79BBC6"/>
    <w:rsid w:val="4A7CBDA6"/>
    <w:rsid w:val="4A8005A5"/>
    <w:rsid w:val="4A87A294"/>
    <w:rsid w:val="4A8CCC2B"/>
    <w:rsid w:val="4A9320EF"/>
    <w:rsid w:val="4A941D15"/>
    <w:rsid w:val="4A961640"/>
    <w:rsid w:val="4A9B314E"/>
    <w:rsid w:val="4A9B47EA"/>
    <w:rsid w:val="4A9D6FD0"/>
    <w:rsid w:val="4AA01283"/>
    <w:rsid w:val="4AA11319"/>
    <w:rsid w:val="4AA41A0A"/>
    <w:rsid w:val="4AA42646"/>
    <w:rsid w:val="4AA7A7EA"/>
    <w:rsid w:val="4AA929B7"/>
    <w:rsid w:val="4AAAD66E"/>
    <w:rsid w:val="4AAAE208"/>
    <w:rsid w:val="4AB2B554"/>
    <w:rsid w:val="4AB36A41"/>
    <w:rsid w:val="4ABA80D3"/>
    <w:rsid w:val="4ABC8EEC"/>
    <w:rsid w:val="4ABC8EF5"/>
    <w:rsid w:val="4ABCF91A"/>
    <w:rsid w:val="4AC26FED"/>
    <w:rsid w:val="4AC3F135"/>
    <w:rsid w:val="4AC693F4"/>
    <w:rsid w:val="4ACBFD05"/>
    <w:rsid w:val="4AD12439"/>
    <w:rsid w:val="4AD45088"/>
    <w:rsid w:val="4AD76CB2"/>
    <w:rsid w:val="4ADC855A"/>
    <w:rsid w:val="4AEFB731"/>
    <w:rsid w:val="4AF03D0C"/>
    <w:rsid w:val="4AF7704A"/>
    <w:rsid w:val="4AF99C04"/>
    <w:rsid w:val="4B074A24"/>
    <w:rsid w:val="4B08BD04"/>
    <w:rsid w:val="4B0902FC"/>
    <w:rsid w:val="4B0EDE80"/>
    <w:rsid w:val="4B11EA92"/>
    <w:rsid w:val="4B12D04A"/>
    <w:rsid w:val="4B1670AE"/>
    <w:rsid w:val="4B19D106"/>
    <w:rsid w:val="4B256B82"/>
    <w:rsid w:val="4B275579"/>
    <w:rsid w:val="4B28463F"/>
    <w:rsid w:val="4B29A3B8"/>
    <w:rsid w:val="4B343475"/>
    <w:rsid w:val="4B362092"/>
    <w:rsid w:val="4B392346"/>
    <w:rsid w:val="4B3A6BCB"/>
    <w:rsid w:val="4B43B606"/>
    <w:rsid w:val="4B43E81E"/>
    <w:rsid w:val="4B47DAA1"/>
    <w:rsid w:val="4B5230EF"/>
    <w:rsid w:val="4B53EEB6"/>
    <w:rsid w:val="4B5911CC"/>
    <w:rsid w:val="4B59FD26"/>
    <w:rsid w:val="4B5BE0FE"/>
    <w:rsid w:val="4B5CF135"/>
    <w:rsid w:val="4B5E7B23"/>
    <w:rsid w:val="4B5EC12D"/>
    <w:rsid w:val="4B68BD95"/>
    <w:rsid w:val="4B6AD2B8"/>
    <w:rsid w:val="4B6E0A01"/>
    <w:rsid w:val="4B7087F1"/>
    <w:rsid w:val="4B70F9C8"/>
    <w:rsid w:val="4B738D3B"/>
    <w:rsid w:val="4B77FB5B"/>
    <w:rsid w:val="4B79B532"/>
    <w:rsid w:val="4B7B1C6C"/>
    <w:rsid w:val="4B7EF285"/>
    <w:rsid w:val="4B8061BD"/>
    <w:rsid w:val="4B87C2EE"/>
    <w:rsid w:val="4B8A5930"/>
    <w:rsid w:val="4B8D96C7"/>
    <w:rsid w:val="4B902ED4"/>
    <w:rsid w:val="4B940BA6"/>
    <w:rsid w:val="4B96C3BE"/>
    <w:rsid w:val="4BA015A8"/>
    <w:rsid w:val="4BA250D1"/>
    <w:rsid w:val="4BA583CD"/>
    <w:rsid w:val="4BB3816F"/>
    <w:rsid w:val="4BB79D2D"/>
    <w:rsid w:val="4BBBCD65"/>
    <w:rsid w:val="4BC10A2E"/>
    <w:rsid w:val="4BCE989E"/>
    <w:rsid w:val="4BD83247"/>
    <w:rsid w:val="4BDCB50E"/>
    <w:rsid w:val="4BDD1D53"/>
    <w:rsid w:val="4BE25A39"/>
    <w:rsid w:val="4BF41E78"/>
    <w:rsid w:val="4BFAB3BF"/>
    <w:rsid w:val="4BFE3216"/>
    <w:rsid w:val="4C132C8A"/>
    <w:rsid w:val="4C13DE11"/>
    <w:rsid w:val="4C2176D2"/>
    <w:rsid w:val="4C2EBEAC"/>
    <w:rsid w:val="4C337A48"/>
    <w:rsid w:val="4C3C0A1E"/>
    <w:rsid w:val="4C3C1DAB"/>
    <w:rsid w:val="4C3E4FBF"/>
    <w:rsid w:val="4C3FF395"/>
    <w:rsid w:val="4C4CFE08"/>
    <w:rsid w:val="4C5038C4"/>
    <w:rsid w:val="4C59C643"/>
    <w:rsid w:val="4C66A224"/>
    <w:rsid w:val="4C689DD2"/>
    <w:rsid w:val="4C6B39B1"/>
    <w:rsid w:val="4C77B687"/>
    <w:rsid w:val="4C7838C5"/>
    <w:rsid w:val="4C81C157"/>
    <w:rsid w:val="4C89DA9D"/>
    <w:rsid w:val="4C8A8B7A"/>
    <w:rsid w:val="4C8B0905"/>
    <w:rsid w:val="4C8B4CDE"/>
    <w:rsid w:val="4C8C3CE1"/>
    <w:rsid w:val="4C9129BE"/>
    <w:rsid w:val="4C91BAA5"/>
    <w:rsid w:val="4C963183"/>
    <w:rsid w:val="4C972F5F"/>
    <w:rsid w:val="4C977535"/>
    <w:rsid w:val="4C98C282"/>
    <w:rsid w:val="4C9A0238"/>
    <w:rsid w:val="4C9FE8E9"/>
    <w:rsid w:val="4CA351E8"/>
    <w:rsid w:val="4CA77658"/>
    <w:rsid w:val="4CB6B3AE"/>
    <w:rsid w:val="4CB89346"/>
    <w:rsid w:val="4CB922DE"/>
    <w:rsid w:val="4CC63802"/>
    <w:rsid w:val="4CC9F685"/>
    <w:rsid w:val="4CCBFF86"/>
    <w:rsid w:val="4CCD76D7"/>
    <w:rsid w:val="4CD0EF3D"/>
    <w:rsid w:val="4CD40F1E"/>
    <w:rsid w:val="4CD704E7"/>
    <w:rsid w:val="4CD7FF14"/>
    <w:rsid w:val="4CE23AC2"/>
    <w:rsid w:val="4CE2D01D"/>
    <w:rsid w:val="4CE462C9"/>
    <w:rsid w:val="4CE6679C"/>
    <w:rsid w:val="4CEADF94"/>
    <w:rsid w:val="4CEC18DF"/>
    <w:rsid w:val="4CEFCD03"/>
    <w:rsid w:val="4CF2202F"/>
    <w:rsid w:val="4CF2CFEB"/>
    <w:rsid w:val="4CF43F64"/>
    <w:rsid w:val="4CF5974C"/>
    <w:rsid w:val="4D00FEC3"/>
    <w:rsid w:val="4D0138C7"/>
    <w:rsid w:val="4D03D5AE"/>
    <w:rsid w:val="4D064113"/>
    <w:rsid w:val="4D06AC6C"/>
    <w:rsid w:val="4D072DE9"/>
    <w:rsid w:val="4D0C9007"/>
    <w:rsid w:val="4D21FAF0"/>
    <w:rsid w:val="4D236E66"/>
    <w:rsid w:val="4D340526"/>
    <w:rsid w:val="4D36A680"/>
    <w:rsid w:val="4D397D86"/>
    <w:rsid w:val="4D4F9B03"/>
    <w:rsid w:val="4D518E32"/>
    <w:rsid w:val="4D5668E4"/>
    <w:rsid w:val="4D5A8EAC"/>
    <w:rsid w:val="4D5DF679"/>
    <w:rsid w:val="4D628D61"/>
    <w:rsid w:val="4D666C8B"/>
    <w:rsid w:val="4D6E8ABA"/>
    <w:rsid w:val="4D6FC168"/>
    <w:rsid w:val="4D7612D8"/>
    <w:rsid w:val="4D7EE9E2"/>
    <w:rsid w:val="4D853A82"/>
    <w:rsid w:val="4D8941C0"/>
    <w:rsid w:val="4D8D389E"/>
    <w:rsid w:val="4D8ED6E8"/>
    <w:rsid w:val="4D8FA644"/>
    <w:rsid w:val="4D927754"/>
    <w:rsid w:val="4D94F449"/>
    <w:rsid w:val="4D9D466A"/>
    <w:rsid w:val="4D9F0277"/>
    <w:rsid w:val="4DA8634A"/>
    <w:rsid w:val="4DAE5EC0"/>
    <w:rsid w:val="4DB8A0F6"/>
    <w:rsid w:val="4DBD20D6"/>
    <w:rsid w:val="4DBD7C16"/>
    <w:rsid w:val="4DC1718A"/>
    <w:rsid w:val="4DC4D1FF"/>
    <w:rsid w:val="4DD56752"/>
    <w:rsid w:val="4DD6D22A"/>
    <w:rsid w:val="4DDCD0BF"/>
    <w:rsid w:val="4DDE106D"/>
    <w:rsid w:val="4DE08EFC"/>
    <w:rsid w:val="4DE2C157"/>
    <w:rsid w:val="4DED9FA2"/>
    <w:rsid w:val="4DEE3118"/>
    <w:rsid w:val="4DF17E89"/>
    <w:rsid w:val="4DF81C9A"/>
    <w:rsid w:val="4DFD0E97"/>
    <w:rsid w:val="4E01AC5D"/>
    <w:rsid w:val="4E0EA58C"/>
    <w:rsid w:val="4E1578E2"/>
    <w:rsid w:val="4E1CC40D"/>
    <w:rsid w:val="4E1F6BAA"/>
    <w:rsid w:val="4E1FEF60"/>
    <w:rsid w:val="4E217DE8"/>
    <w:rsid w:val="4E2D5ED5"/>
    <w:rsid w:val="4E39BF9C"/>
    <w:rsid w:val="4E3F1EBF"/>
    <w:rsid w:val="4E41B26F"/>
    <w:rsid w:val="4E453E2E"/>
    <w:rsid w:val="4E4B4F28"/>
    <w:rsid w:val="4E4CB7EF"/>
    <w:rsid w:val="4E4D46BA"/>
    <w:rsid w:val="4E4F17CA"/>
    <w:rsid w:val="4E51E6C2"/>
    <w:rsid w:val="4E5523A6"/>
    <w:rsid w:val="4E58C033"/>
    <w:rsid w:val="4E5F222B"/>
    <w:rsid w:val="4E6A2F28"/>
    <w:rsid w:val="4E72825D"/>
    <w:rsid w:val="4E774696"/>
    <w:rsid w:val="4E80BE25"/>
    <w:rsid w:val="4E847870"/>
    <w:rsid w:val="4E85ED88"/>
    <w:rsid w:val="4E89EF99"/>
    <w:rsid w:val="4E8C79F2"/>
    <w:rsid w:val="4E9F3DD5"/>
    <w:rsid w:val="4EA0F6C7"/>
    <w:rsid w:val="4EA32F8B"/>
    <w:rsid w:val="4EA71BC6"/>
    <w:rsid w:val="4EA72898"/>
    <w:rsid w:val="4EA854F5"/>
    <w:rsid w:val="4EBC5676"/>
    <w:rsid w:val="4EBC946C"/>
    <w:rsid w:val="4ECB47F1"/>
    <w:rsid w:val="4ECCC73C"/>
    <w:rsid w:val="4ECCCDD9"/>
    <w:rsid w:val="4ED23EDF"/>
    <w:rsid w:val="4ED3819C"/>
    <w:rsid w:val="4ED3EBD3"/>
    <w:rsid w:val="4EDA843E"/>
    <w:rsid w:val="4EE068A3"/>
    <w:rsid w:val="4EE5ED7F"/>
    <w:rsid w:val="4EE637E3"/>
    <w:rsid w:val="4EE8DCB6"/>
    <w:rsid w:val="4EF00E8F"/>
    <w:rsid w:val="4EF50052"/>
    <w:rsid w:val="4EFF8143"/>
    <w:rsid w:val="4F05E932"/>
    <w:rsid w:val="4F0A2098"/>
    <w:rsid w:val="4F0D8B88"/>
    <w:rsid w:val="4F12FED5"/>
    <w:rsid w:val="4F154214"/>
    <w:rsid w:val="4F279778"/>
    <w:rsid w:val="4F2AA944"/>
    <w:rsid w:val="4F31172B"/>
    <w:rsid w:val="4F3343B3"/>
    <w:rsid w:val="4F338AF1"/>
    <w:rsid w:val="4F352E92"/>
    <w:rsid w:val="4F3AFBB1"/>
    <w:rsid w:val="4F43FB52"/>
    <w:rsid w:val="4F4437E1"/>
    <w:rsid w:val="4F4B65B2"/>
    <w:rsid w:val="4F5278C8"/>
    <w:rsid w:val="4F5DFE20"/>
    <w:rsid w:val="4F5E9AF3"/>
    <w:rsid w:val="4F5EF1B9"/>
    <w:rsid w:val="4F650AAA"/>
    <w:rsid w:val="4F66B70C"/>
    <w:rsid w:val="4F6DE0AC"/>
    <w:rsid w:val="4F6F225A"/>
    <w:rsid w:val="4F719504"/>
    <w:rsid w:val="4F74112E"/>
    <w:rsid w:val="4F8450C3"/>
    <w:rsid w:val="4F8A0F5A"/>
    <w:rsid w:val="4F8B6D6F"/>
    <w:rsid w:val="4F8D089A"/>
    <w:rsid w:val="4F8DBAB7"/>
    <w:rsid w:val="4F97DA80"/>
    <w:rsid w:val="4F9B40CF"/>
    <w:rsid w:val="4FA3E7E4"/>
    <w:rsid w:val="4FAF1D9F"/>
    <w:rsid w:val="4FB27431"/>
    <w:rsid w:val="4FB96845"/>
    <w:rsid w:val="4FBD0CD0"/>
    <w:rsid w:val="4FC3C5F8"/>
    <w:rsid w:val="4FCA56BE"/>
    <w:rsid w:val="4FCCF9F3"/>
    <w:rsid w:val="4FCE61C1"/>
    <w:rsid w:val="4FCF6F3F"/>
    <w:rsid w:val="4FD27ABB"/>
    <w:rsid w:val="4FD6AAA6"/>
    <w:rsid w:val="4FDFD8B8"/>
    <w:rsid w:val="4FE1DF5C"/>
    <w:rsid w:val="4FE243DE"/>
    <w:rsid w:val="4FE60D7E"/>
    <w:rsid w:val="4FE757F3"/>
    <w:rsid w:val="4FEC4991"/>
    <w:rsid w:val="4FEEC3F9"/>
    <w:rsid w:val="4FEF613D"/>
    <w:rsid w:val="4FF0BC71"/>
    <w:rsid w:val="4FF1E213"/>
    <w:rsid w:val="4FF52E48"/>
    <w:rsid w:val="4FFEAA70"/>
    <w:rsid w:val="50008C5A"/>
    <w:rsid w:val="500A7727"/>
    <w:rsid w:val="500B90B5"/>
    <w:rsid w:val="500D1744"/>
    <w:rsid w:val="500F8F15"/>
    <w:rsid w:val="5015B808"/>
    <w:rsid w:val="501637AE"/>
    <w:rsid w:val="5016B0BD"/>
    <w:rsid w:val="50177D25"/>
    <w:rsid w:val="5017ADF0"/>
    <w:rsid w:val="501BCD93"/>
    <w:rsid w:val="50277A17"/>
    <w:rsid w:val="5035AC44"/>
    <w:rsid w:val="503A1ADB"/>
    <w:rsid w:val="503B6B45"/>
    <w:rsid w:val="5042557B"/>
    <w:rsid w:val="5045DCD6"/>
    <w:rsid w:val="5046B453"/>
    <w:rsid w:val="5047EB3E"/>
    <w:rsid w:val="504A18AA"/>
    <w:rsid w:val="5051F987"/>
    <w:rsid w:val="505B62DF"/>
    <w:rsid w:val="505E0FF9"/>
    <w:rsid w:val="506EA3BD"/>
    <w:rsid w:val="50787EAA"/>
    <w:rsid w:val="507B5CF9"/>
    <w:rsid w:val="507C8A3F"/>
    <w:rsid w:val="507F5C5E"/>
    <w:rsid w:val="50826490"/>
    <w:rsid w:val="508F4A89"/>
    <w:rsid w:val="50A13355"/>
    <w:rsid w:val="50A94F82"/>
    <w:rsid w:val="50AD4E68"/>
    <w:rsid w:val="50B06605"/>
    <w:rsid w:val="50B58946"/>
    <w:rsid w:val="50BB7183"/>
    <w:rsid w:val="50C266AE"/>
    <w:rsid w:val="50C5F34F"/>
    <w:rsid w:val="50C95668"/>
    <w:rsid w:val="50CD8DD7"/>
    <w:rsid w:val="50CD979E"/>
    <w:rsid w:val="50CED864"/>
    <w:rsid w:val="50D4F268"/>
    <w:rsid w:val="50D801CF"/>
    <w:rsid w:val="50DF61BF"/>
    <w:rsid w:val="50E5D638"/>
    <w:rsid w:val="50E86929"/>
    <w:rsid w:val="50ED7B63"/>
    <w:rsid w:val="50EF3C10"/>
    <w:rsid w:val="50F02B03"/>
    <w:rsid w:val="50F8883A"/>
    <w:rsid w:val="50FA3609"/>
    <w:rsid w:val="50FBABA7"/>
    <w:rsid w:val="50FCBA91"/>
    <w:rsid w:val="510C0CD1"/>
    <w:rsid w:val="510DE3B0"/>
    <w:rsid w:val="5114C59F"/>
    <w:rsid w:val="511DC6CB"/>
    <w:rsid w:val="51237ABF"/>
    <w:rsid w:val="512890ED"/>
    <w:rsid w:val="512E0485"/>
    <w:rsid w:val="51375A46"/>
    <w:rsid w:val="5139BB42"/>
    <w:rsid w:val="513C9D0E"/>
    <w:rsid w:val="51421CA8"/>
    <w:rsid w:val="514386FF"/>
    <w:rsid w:val="51499E98"/>
    <w:rsid w:val="514B27FA"/>
    <w:rsid w:val="5159159E"/>
    <w:rsid w:val="515AF681"/>
    <w:rsid w:val="515DF01F"/>
    <w:rsid w:val="51600310"/>
    <w:rsid w:val="51607FA1"/>
    <w:rsid w:val="5160985D"/>
    <w:rsid w:val="5161B106"/>
    <w:rsid w:val="51621F3C"/>
    <w:rsid w:val="5162BE38"/>
    <w:rsid w:val="5168D931"/>
    <w:rsid w:val="516989BF"/>
    <w:rsid w:val="516ACDEE"/>
    <w:rsid w:val="516FF9FF"/>
    <w:rsid w:val="517793C4"/>
    <w:rsid w:val="517CAF7F"/>
    <w:rsid w:val="51870BB6"/>
    <w:rsid w:val="518B8A03"/>
    <w:rsid w:val="518D9A78"/>
    <w:rsid w:val="519877E5"/>
    <w:rsid w:val="519EEF3E"/>
    <w:rsid w:val="51A6583A"/>
    <w:rsid w:val="51A71B7A"/>
    <w:rsid w:val="51B94E59"/>
    <w:rsid w:val="51BAFE55"/>
    <w:rsid w:val="51C27667"/>
    <w:rsid w:val="51CA2912"/>
    <w:rsid w:val="51D03C89"/>
    <w:rsid w:val="51D51627"/>
    <w:rsid w:val="51D6A138"/>
    <w:rsid w:val="51D7D45C"/>
    <w:rsid w:val="51E21A6B"/>
    <w:rsid w:val="51EB719E"/>
    <w:rsid w:val="51F00F1E"/>
    <w:rsid w:val="51F1DEDC"/>
    <w:rsid w:val="51F70E17"/>
    <w:rsid w:val="51FCCB97"/>
    <w:rsid w:val="52009D67"/>
    <w:rsid w:val="5204FEE4"/>
    <w:rsid w:val="52093D77"/>
    <w:rsid w:val="520BCBF5"/>
    <w:rsid w:val="5226901C"/>
    <w:rsid w:val="5226DE8B"/>
    <w:rsid w:val="522D4C4D"/>
    <w:rsid w:val="522DC53D"/>
    <w:rsid w:val="522EED37"/>
    <w:rsid w:val="523F623E"/>
    <w:rsid w:val="52422E54"/>
    <w:rsid w:val="52444166"/>
    <w:rsid w:val="5247B5C2"/>
    <w:rsid w:val="5248F123"/>
    <w:rsid w:val="524B4E97"/>
    <w:rsid w:val="524DC4B1"/>
    <w:rsid w:val="524FE4ED"/>
    <w:rsid w:val="52514967"/>
    <w:rsid w:val="5254A573"/>
    <w:rsid w:val="5255F1D5"/>
    <w:rsid w:val="525773BA"/>
    <w:rsid w:val="5258C312"/>
    <w:rsid w:val="525AE45C"/>
    <w:rsid w:val="525AE7CA"/>
    <w:rsid w:val="5264B068"/>
    <w:rsid w:val="5268D0B5"/>
    <w:rsid w:val="526BF9D7"/>
    <w:rsid w:val="526C3EA5"/>
    <w:rsid w:val="526E9DC6"/>
    <w:rsid w:val="5274DA54"/>
    <w:rsid w:val="5277E93A"/>
    <w:rsid w:val="5286F941"/>
    <w:rsid w:val="528A3CC8"/>
    <w:rsid w:val="528CABEA"/>
    <w:rsid w:val="529526C4"/>
    <w:rsid w:val="5297638B"/>
    <w:rsid w:val="529A6F4C"/>
    <w:rsid w:val="529CEAF6"/>
    <w:rsid w:val="52A1B8BC"/>
    <w:rsid w:val="52A4CAC8"/>
    <w:rsid w:val="52A4CBE8"/>
    <w:rsid w:val="52A9E35A"/>
    <w:rsid w:val="52AD9A89"/>
    <w:rsid w:val="52C1443D"/>
    <w:rsid w:val="52C2F729"/>
    <w:rsid w:val="52C3591C"/>
    <w:rsid w:val="52CBBE7F"/>
    <w:rsid w:val="52D0E3D3"/>
    <w:rsid w:val="52D16673"/>
    <w:rsid w:val="52D2DD6C"/>
    <w:rsid w:val="52E08BD8"/>
    <w:rsid w:val="52E1B613"/>
    <w:rsid w:val="52EF228C"/>
    <w:rsid w:val="52F72836"/>
    <w:rsid w:val="52F99B10"/>
    <w:rsid w:val="52FDCD8F"/>
    <w:rsid w:val="53072CB6"/>
    <w:rsid w:val="5307B9AE"/>
    <w:rsid w:val="5309330A"/>
    <w:rsid w:val="530CB7BB"/>
    <w:rsid w:val="530DEC30"/>
    <w:rsid w:val="5318F514"/>
    <w:rsid w:val="5325627E"/>
    <w:rsid w:val="5326A454"/>
    <w:rsid w:val="532A1875"/>
    <w:rsid w:val="532C543B"/>
    <w:rsid w:val="532DC861"/>
    <w:rsid w:val="5332261F"/>
    <w:rsid w:val="5332BFD3"/>
    <w:rsid w:val="533387CE"/>
    <w:rsid w:val="5336B65F"/>
    <w:rsid w:val="533B991E"/>
    <w:rsid w:val="533FE172"/>
    <w:rsid w:val="53425F05"/>
    <w:rsid w:val="53493CF1"/>
    <w:rsid w:val="534D21C8"/>
    <w:rsid w:val="534F1F95"/>
    <w:rsid w:val="53558627"/>
    <w:rsid w:val="5356BB1D"/>
    <w:rsid w:val="53575584"/>
    <w:rsid w:val="5358C58F"/>
    <w:rsid w:val="5359A54A"/>
    <w:rsid w:val="535A6C2D"/>
    <w:rsid w:val="535BC295"/>
    <w:rsid w:val="53730C15"/>
    <w:rsid w:val="537476F3"/>
    <w:rsid w:val="53753A9F"/>
    <w:rsid w:val="537AB9A0"/>
    <w:rsid w:val="538506FA"/>
    <w:rsid w:val="5387DB1C"/>
    <w:rsid w:val="538CB1D3"/>
    <w:rsid w:val="538E06C1"/>
    <w:rsid w:val="5391854C"/>
    <w:rsid w:val="539721B1"/>
    <w:rsid w:val="539746E8"/>
    <w:rsid w:val="53A78D1A"/>
    <w:rsid w:val="53AAE9BA"/>
    <w:rsid w:val="53AC552D"/>
    <w:rsid w:val="53AD72F4"/>
    <w:rsid w:val="53B01C15"/>
    <w:rsid w:val="53B1D9DC"/>
    <w:rsid w:val="53B81939"/>
    <w:rsid w:val="53BEDC35"/>
    <w:rsid w:val="53C0418C"/>
    <w:rsid w:val="53C1C7DD"/>
    <w:rsid w:val="53C3CA4D"/>
    <w:rsid w:val="53C4AB9B"/>
    <w:rsid w:val="53C57573"/>
    <w:rsid w:val="53C9ABE7"/>
    <w:rsid w:val="53D2012A"/>
    <w:rsid w:val="53D6A440"/>
    <w:rsid w:val="53DC5321"/>
    <w:rsid w:val="53DEF21C"/>
    <w:rsid w:val="53E515EE"/>
    <w:rsid w:val="53E739A2"/>
    <w:rsid w:val="53EA08E5"/>
    <w:rsid w:val="53F3B70C"/>
    <w:rsid w:val="53F6AF9F"/>
    <w:rsid w:val="53F92D8C"/>
    <w:rsid w:val="53FCCBA2"/>
    <w:rsid w:val="53FCCC46"/>
    <w:rsid w:val="53FE05E6"/>
    <w:rsid w:val="54012CDE"/>
    <w:rsid w:val="54021B4B"/>
    <w:rsid w:val="54031B06"/>
    <w:rsid w:val="5403476A"/>
    <w:rsid w:val="5406B5BB"/>
    <w:rsid w:val="540C6528"/>
    <w:rsid w:val="541138F6"/>
    <w:rsid w:val="5417F7A5"/>
    <w:rsid w:val="541CCD0D"/>
    <w:rsid w:val="542049E6"/>
    <w:rsid w:val="542209A1"/>
    <w:rsid w:val="5424DB5A"/>
    <w:rsid w:val="54299BA4"/>
    <w:rsid w:val="5431EDBB"/>
    <w:rsid w:val="5435B72E"/>
    <w:rsid w:val="543639F5"/>
    <w:rsid w:val="5436AFB9"/>
    <w:rsid w:val="543C8D03"/>
    <w:rsid w:val="543F89D2"/>
    <w:rsid w:val="5449EBA8"/>
    <w:rsid w:val="544D0A67"/>
    <w:rsid w:val="5451D472"/>
    <w:rsid w:val="54568764"/>
    <w:rsid w:val="5459FE16"/>
    <w:rsid w:val="545C42D5"/>
    <w:rsid w:val="54604423"/>
    <w:rsid w:val="5466AB13"/>
    <w:rsid w:val="54671F4C"/>
    <w:rsid w:val="54672456"/>
    <w:rsid w:val="546D2AFA"/>
    <w:rsid w:val="547026CE"/>
    <w:rsid w:val="54730E21"/>
    <w:rsid w:val="5476318B"/>
    <w:rsid w:val="5477CCDA"/>
    <w:rsid w:val="547DC767"/>
    <w:rsid w:val="547DD553"/>
    <w:rsid w:val="548FA295"/>
    <w:rsid w:val="5491A9A7"/>
    <w:rsid w:val="5498896E"/>
    <w:rsid w:val="549B773B"/>
    <w:rsid w:val="54A2F042"/>
    <w:rsid w:val="54AB1507"/>
    <w:rsid w:val="54AD9960"/>
    <w:rsid w:val="54AFAEF2"/>
    <w:rsid w:val="54B2C347"/>
    <w:rsid w:val="54BB51D7"/>
    <w:rsid w:val="54BD0B0F"/>
    <w:rsid w:val="54BDFF0C"/>
    <w:rsid w:val="54BF2A5A"/>
    <w:rsid w:val="54C23595"/>
    <w:rsid w:val="54C3B897"/>
    <w:rsid w:val="54C6CE17"/>
    <w:rsid w:val="54C714DD"/>
    <w:rsid w:val="54CAD9F0"/>
    <w:rsid w:val="54CC2CB6"/>
    <w:rsid w:val="54CC8AA1"/>
    <w:rsid w:val="54CD4C37"/>
    <w:rsid w:val="54D1B469"/>
    <w:rsid w:val="54D2F13D"/>
    <w:rsid w:val="54D6DBB2"/>
    <w:rsid w:val="54D97BDC"/>
    <w:rsid w:val="54E4115E"/>
    <w:rsid w:val="54E76AF4"/>
    <w:rsid w:val="54EB539F"/>
    <w:rsid w:val="54EC0D51"/>
    <w:rsid w:val="54ED7311"/>
    <w:rsid w:val="54F684A6"/>
    <w:rsid w:val="54F8F947"/>
    <w:rsid w:val="55041B93"/>
    <w:rsid w:val="5508CB54"/>
    <w:rsid w:val="550AAFDC"/>
    <w:rsid w:val="550E1251"/>
    <w:rsid w:val="550E53A9"/>
    <w:rsid w:val="55131311"/>
    <w:rsid w:val="5513BF38"/>
    <w:rsid w:val="5515E538"/>
    <w:rsid w:val="551678FE"/>
    <w:rsid w:val="5518878B"/>
    <w:rsid w:val="551F86EE"/>
    <w:rsid w:val="5522A13C"/>
    <w:rsid w:val="5527C4C4"/>
    <w:rsid w:val="55291D27"/>
    <w:rsid w:val="55340D3A"/>
    <w:rsid w:val="55351AC5"/>
    <w:rsid w:val="553667B5"/>
    <w:rsid w:val="553D73BB"/>
    <w:rsid w:val="553DAD21"/>
    <w:rsid w:val="553E039A"/>
    <w:rsid w:val="5545408D"/>
    <w:rsid w:val="554B2637"/>
    <w:rsid w:val="55518BCE"/>
    <w:rsid w:val="5557EBD8"/>
    <w:rsid w:val="5558500F"/>
    <w:rsid w:val="5559FD33"/>
    <w:rsid w:val="555FC205"/>
    <w:rsid w:val="555FDF60"/>
    <w:rsid w:val="5561A9B7"/>
    <w:rsid w:val="5565EAC6"/>
    <w:rsid w:val="55681929"/>
    <w:rsid w:val="55714B82"/>
    <w:rsid w:val="55777844"/>
    <w:rsid w:val="557C277E"/>
    <w:rsid w:val="5580999C"/>
    <w:rsid w:val="5585340E"/>
    <w:rsid w:val="5589FE1E"/>
    <w:rsid w:val="558EFA4C"/>
    <w:rsid w:val="558FD991"/>
    <w:rsid w:val="559C24D0"/>
    <w:rsid w:val="559C92E4"/>
    <w:rsid w:val="559E16CC"/>
    <w:rsid w:val="55A69061"/>
    <w:rsid w:val="55AD8F9A"/>
    <w:rsid w:val="55AD9065"/>
    <w:rsid w:val="55AD914B"/>
    <w:rsid w:val="55AE3B74"/>
    <w:rsid w:val="55B51A19"/>
    <w:rsid w:val="55BAA3FF"/>
    <w:rsid w:val="55BB1693"/>
    <w:rsid w:val="55BCC57D"/>
    <w:rsid w:val="55C54701"/>
    <w:rsid w:val="55C8A35F"/>
    <w:rsid w:val="55D3C08F"/>
    <w:rsid w:val="55DCB75B"/>
    <w:rsid w:val="55DE6AFB"/>
    <w:rsid w:val="55DF25DA"/>
    <w:rsid w:val="55DFCBBE"/>
    <w:rsid w:val="55E07AA4"/>
    <w:rsid w:val="55E5ADDC"/>
    <w:rsid w:val="55EF007E"/>
    <w:rsid w:val="56086EE8"/>
    <w:rsid w:val="560E7CA2"/>
    <w:rsid w:val="560F4638"/>
    <w:rsid w:val="561275EE"/>
    <w:rsid w:val="561653C2"/>
    <w:rsid w:val="56190F94"/>
    <w:rsid w:val="561E9C35"/>
    <w:rsid w:val="561EBBB4"/>
    <w:rsid w:val="561FBE9F"/>
    <w:rsid w:val="56271A31"/>
    <w:rsid w:val="5629CDB6"/>
    <w:rsid w:val="562B5533"/>
    <w:rsid w:val="562BBFA8"/>
    <w:rsid w:val="5631D223"/>
    <w:rsid w:val="56366384"/>
    <w:rsid w:val="56369D81"/>
    <w:rsid w:val="563917CF"/>
    <w:rsid w:val="563CE274"/>
    <w:rsid w:val="563F0BE9"/>
    <w:rsid w:val="5644A468"/>
    <w:rsid w:val="5645284F"/>
    <w:rsid w:val="5645FB7E"/>
    <w:rsid w:val="56474622"/>
    <w:rsid w:val="56482F9D"/>
    <w:rsid w:val="564C091C"/>
    <w:rsid w:val="5651782B"/>
    <w:rsid w:val="56518502"/>
    <w:rsid w:val="56520250"/>
    <w:rsid w:val="565270A9"/>
    <w:rsid w:val="5652719D"/>
    <w:rsid w:val="5652D126"/>
    <w:rsid w:val="565670AD"/>
    <w:rsid w:val="565B5F2C"/>
    <w:rsid w:val="565DA4E4"/>
    <w:rsid w:val="565E9354"/>
    <w:rsid w:val="56641C85"/>
    <w:rsid w:val="5665665B"/>
    <w:rsid w:val="5665F561"/>
    <w:rsid w:val="56666F31"/>
    <w:rsid w:val="5668E3E9"/>
    <w:rsid w:val="566E3789"/>
    <w:rsid w:val="5671BBD8"/>
    <w:rsid w:val="56772120"/>
    <w:rsid w:val="56784958"/>
    <w:rsid w:val="5678F7AF"/>
    <w:rsid w:val="567FCA23"/>
    <w:rsid w:val="56833B61"/>
    <w:rsid w:val="568A35CE"/>
    <w:rsid w:val="568D6A71"/>
    <w:rsid w:val="56914D34"/>
    <w:rsid w:val="56939BBD"/>
    <w:rsid w:val="569728A1"/>
    <w:rsid w:val="56983AB2"/>
    <w:rsid w:val="56AA8371"/>
    <w:rsid w:val="56AB88F3"/>
    <w:rsid w:val="56AF675C"/>
    <w:rsid w:val="56B565AE"/>
    <w:rsid w:val="56BB69B2"/>
    <w:rsid w:val="56BD1DCB"/>
    <w:rsid w:val="56C1526C"/>
    <w:rsid w:val="56C3178B"/>
    <w:rsid w:val="56C79F1C"/>
    <w:rsid w:val="56D1B106"/>
    <w:rsid w:val="56DB896B"/>
    <w:rsid w:val="56DC0AF0"/>
    <w:rsid w:val="56DD4CFD"/>
    <w:rsid w:val="56E64828"/>
    <w:rsid w:val="56EDD149"/>
    <w:rsid w:val="56EDD811"/>
    <w:rsid w:val="56FAA7E6"/>
    <w:rsid w:val="56FD89F4"/>
    <w:rsid w:val="57027232"/>
    <w:rsid w:val="571657B2"/>
    <w:rsid w:val="5718DC82"/>
    <w:rsid w:val="571941A2"/>
    <w:rsid w:val="572E420E"/>
    <w:rsid w:val="5731ADF1"/>
    <w:rsid w:val="5734B694"/>
    <w:rsid w:val="57350B8F"/>
    <w:rsid w:val="573B30C1"/>
    <w:rsid w:val="57404216"/>
    <w:rsid w:val="57456021"/>
    <w:rsid w:val="574AEA62"/>
    <w:rsid w:val="57530DBA"/>
    <w:rsid w:val="5758319E"/>
    <w:rsid w:val="575958B8"/>
    <w:rsid w:val="575C5CCE"/>
    <w:rsid w:val="575DC7E6"/>
    <w:rsid w:val="575EA019"/>
    <w:rsid w:val="575F14D3"/>
    <w:rsid w:val="5764B2B9"/>
    <w:rsid w:val="576AE5A7"/>
    <w:rsid w:val="576E195F"/>
    <w:rsid w:val="576E73B3"/>
    <w:rsid w:val="57713DED"/>
    <w:rsid w:val="5773D59E"/>
    <w:rsid w:val="57762A37"/>
    <w:rsid w:val="5776A7F3"/>
    <w:rsid w:val="5779F118"/>
    <w:rsid w:val="577E801C"/>
    <w:rsid w:val="57875725"/>
    <w:rsid w:val="578CB3C2"/>
    <w:rsid w:val="578E7B4C"/>
    <w:rsid w:val="57928FBE"/>
    <w:rsid w:val="5792ABD8"/>
    <w:rsid w:val="57966079"/>
    <w:rsid w:val="579AFFB2"/>
    <w:rsid w:val="579EB259"/>
    <w:rsid w:val="579FBB94"/>
    <w:rsid w:val="57A3AE81"/>
    <w:rsid w:val="57A41CDD"/>
    <w:rsid w:val="57A643FF"/>
    <w:rsid w:val="57A859FE"/>
    <w:rsid w:val="57ACA462"/>
    <w:rsid w:val="57B33B6B"/>
    <w:rsid w:val="57B42E95"/>
    <w:rsid w:val="57B51CCB"/>
    <w:rsid w:val="57B69FBF"/>
    <w:rsid w:val="57B8CE27"/>
    <w:rsid w:val="57BD81D9"/>
    <w:rsid w:val="57C2C2C4"/>
    <w:rsid w:val="57C63B44"/>
    <w:rsid w:val="57CC6A59"/>
    <w:rsid w:val="57D152DF"/>
    <w:rsid w:val="57D320C5"/>
    <w:rsid w:val="57D4B48E"/>
    <w:rsid w:val="57E34749"/>
    <w:rsid w:val="57E56A8B"/>
    <w:rsid w:val="57F14D0F"/>
    <w:rsid w:val="57F32B3E"/>
    <w:rsid w:val="57F34B7D"/>
    <w:rsid w:val="57F49378"/>
    <w:rsid w:val="57FD9302"/>
    <w:rsid w:val="5801A417"/>
    <w:rsid w:val="5801DC48"/>
    <w:rsid w:val="58022CFB"/>
    <w:rsid w:val="5802C322"/>
    <w:rsid w:val="58044712"/>
    <w:rsid w:val="5809677F"/>
    <w:rsid w:val="5811A2A5"/>
    <w:rsid w:val="58132B10"/>
    <w:rsid w:val="5818A811"/>
    <w:rsid w:val="581AA6E8"/>
    <w:rsid w:val="581C2AC0"/>
    <w:rsid w:val="5822EBB9"/>
    <w:rsid w:val="582ADDF5"/>
    <w:rsid w:val="582B766A"/>
    <w:rsid w:val="582DF324"/>
    <w:rsid w:val="5832463B"/>
    <w:rsid w:val="5833D832"/>
    <w:rsid w:val="583985BF"/>
    <w:rsid w:val="583A63FD"/>
    <w:rsid w:val="583AB5AF"/>
    <w:rsid w:val="583AED8D"/>
    <w:rsid w:val="583CFB80"/>
    <w:rsid w:val="58493F06"/>
    <w:rsid w:val="58567A08"/>
    <w:rsid w:val="585A85C3"/>
    <w:rsid w:val="585A892C"/>
    <w:rsid w:val="5863F8CD"/>
    <w:rsid w:val="5865AB64"/>
    <w:rsid w:val="5867F320"/>
    <w:rsid w:val="586CBB34"/>
    <w:rsid w:val="586D11AC"/>
    <w:rsid w:val="586D65BC"/>
    <w:rsid w:val="586DED83"/>
    <w:rsid w:val="58701586"/>
    <w:rsid w:val="5873D990"/>
    <w:rsid w:val="587B39DA"/>
    <w:rsid w:val="5880097E"/>
    <w:rsid w:val="588037E3"/>
    <w:rsid w:val="5881016C"/>
    <w:rsid w:val="588A9EDF"/>
    <w:rsid w:val="588DD9FC"/>
    <w:rsid w:val="588F11AC"/>
    <w:rsid w:val="5895F2ED"/>
    <w:rsid w:val="589C7858"/>
    <w:rsid w:val="58A68F7F"/>
    <w:rsid w:val="58B13FB4"/>
    <w:rsid w:val="58B3326D"/>
    <w:rsid w:val="58BB4F79"/>
    <w:rsid w:val="58BD1609"/>
    <w:rsid w:val="58BF7E9D"/>
    <w:rsid w:val="58C0AA42"/>
    <w:rsid w:val="58C0D68B"/>
    <w:rsid w:val="58C457C6"/>
    <w:rsid w:val="58C4B582"/>
    <w:rsid w:val="58C4CB58"/>
    <w:rsid w:val="58C880BF"/>
    <w:rsid w:val="58CBC6DC"/>
    <w:rsid w:val="58D0741E"/>
    <w:rsid w:val="58D28C02"/>
    <w:rsid w:val="58D79E6F"/>
    <w:rsid w:val="58DBECB6"/>
    <w:rsid w:val="58E3FFBF"/>
    <w:rsid w:val="58E46E94"/>
    <w:rsid w:val="58F190EF"/>
    <w:rsid w:val="58F48F72"/>
    <w:rsid w:val="58F4AF32"/>
    <w:rsid w:val="58F9FED8"/>
    <w:rsid w:val="58FEEDD7"/>
    <w:rsid w:val="590288AD"/>
    <w:rsid w:val="5905EA1D"/>
    <w:rsid w:val="59068F92"/>
    <w:rsid w:val="59097DA0"/>
    <w:rsid w:val="592155F8"/>
    <w:rsid w:val="592529EC"/>
    <w:rsid w:val="592640EF"/>
    <w:rsid w:val="593773F1"/>
    <w:rsid w:val="59390C1C"/>
    <w:rsid w:val="593D848C"/>
    <w:rsid w:val="593E9CF5"/>
    <w:rsid w:val="593FB678"/>
    <w:rsid w:val="594060D9"/>
    <w:rsid w:val="59417AA4"/>
    <w:rsid w:val="59463A74"/>
    <w:rsid w:val="59482CA1"/>
    <w:rsid w:val="5956D41F"/>
    <w:rsid w:val="59574076"/>
    <w:rsid w:val="59589FF6"/>
    <w:rsid w:val="595E7772"/>
    <w:rsid w:val="595EE397"/>
    <w:rsid w:val="595F44C9"/>
    <w:rsid w:val="596266D6"/>
    <w:rsid w:val="5977BFF5"/>
    <w:rsid w:val="59809A3D"/>
    <w:rsid w:val="59837C8A"/>
    <w:rsid w:val="59886634"/>
    <w:rsid w:val="59890DA4"/>
    <w:rsid w:val="598C1EFD"/>
    <w:rsid w:val="598D06D3"/>
    <w:rsid w:val="5996C861"/>
    <w:rsid w:val="5997F797"/>
    <w:rsid w:val="59A2EE92"/>
    <w:rsid w:val="59A3F537"/>
    <w:rsid w:val="59A77B0D"/>
    <w:rsid w:val="59A7D374"/>
    <w:rsid w:val="59BA2283"/>
    <w:rsid w:val="59BC709D"/>
    <w:rsid w:val="59BE7636"/>
    <w:rsid w:val="59BE8BA6"/>
    <w:rsid w:val="59C557D1"/>
    <w:rsid w:val="59C8D012"/>
    <w:rsid w:val="59C9C0C2"/>
    <w:rsid w:val="59D1B8C8"/>
    <w:rsid w:val="59D59CD9"/>
    <w:rsid w:val="59D624F8"/>
    <w:rsid w:val="59D6C8FF"/>
    <w:rsid w:val="59DFF07A"/>
    <w:rsid w:val="59E2859E"/>
    <w:rsid w:val="59E2CD22"/>
    <w:rsid w:val="59E2CEAB"/>
    <w:rsid w:val="59E7A52D"/>
    <w:rsid w:val="59EC0DE5"/>
    <w:rsid w:val="59EDB4D8"/>
    <w:rsid w:val="59EE6213"/>
    <w:rsid w:val="59EF9F2F"/>
    <w:rsid w:val="59F0E0C2"/>
    <w:rsid w:val="59F41A8C"/>
    <w:rsid w:val="59F42714"/>
    <w:rsid w:val="59F551EC"/>
    <w:rsid w:val="59F74A23"/>
    <w:rsid w:val="59F7C389"/>
    <w:rsid w:val="59F9755E"/>
    <w:rsid w:val="59F990BD"/>
    <w:rsid w:val="59FB02C9"/>
    <w:rsid w:val="5A0152F6"/>
    <w:rsid w:val="5A01E845"/>
    <w:rsid w:val="5A0BD7F3"/>
    <w:rsid w:val="5A0F0B15"/>
    <w:rsid w:val="5A1873B1"/>
    <w:rsid w:val="5A1978DB"/>
    <w:rsid w:val="5A1D04B6"/>
    <w:rsid w:val="5A26A5D2"/>
    <w:rsid w:val="5A27478B"/>
    <w:rsid w:val="5A2D1C82"/>
    <w:rsid w:val="5A2D2CEE"/>
    <w:rsid w:val="5A37013A"/>
    <w:rsid w:val="5A38602D"/>
    <w:rsid w:val="5A489CA9"/>
    <w:rsid w:val="5A491053"/>
    <w:rsid w:val="5A4C84B8"/>
    <w:rsid w:val="5A4CB9F5"/>
    <w:rsid w:val="5A536263"/>
    <w:rsid w:val="5A54E714"/>
    <w:rsid w:val="5A5B1D03"/>
    <w:rsid w:val="5A5B43CF"/>
    <w:rsid w:val="5A5BF64B"/>
    <w:rsid w:val="5A6295DD"/>
    <w:rsid w:val="5A6466D1"/>
    <w:rsid w:val="5A671BE2"/>
    <w:rsid w:val="5A6D6030"/>
    <w:rsid w:val="5A704F40"/>
    <w:rsid w:val="5A7631C0"/>
    <w:rsid w:val="5A769583"/>
    <w:rsid w:val="5A76A902"/>
    <w:rsid w:val="5A7E344D"/>
    <w:rsid w:val="5A8370F7"/>
    <w:rsid w:val="5A84CB07"/>
    <w:rsid w:val="5A859D8A"/>
    <w:rsid w:val="5A887D16"/>
    <w:rsid w:val="5A8B4AFB"/>
    <w:rsid w:val="5A8C11EF"/>
    <w:rsid w:val="5A8CCF58"/>
    <w:rsid w:val="5A957AC8"/>
    <w:rsid w:val="5A9870BA"/>
    <w:rsid w:val="5A9A959C"/>
    <w:rsid w:val="5A9EEEE0"/>
    <w:rsid w:val="5A9F1CE7"/>
    <w:rsid w:val="5AA07B00"/>
    <w:rsid w:val="5AA8534E"/>
    <w:rsid w:val="5AB1C028"/>
    <w:rsid w:val="5AB2DC24"/>
    <w:rsid w:val="5AB49EC5"/>
    <w:rsid w:val="5AB5DC57"/>
    <w:rsid w:val="5ABA478A"/>
    <w:rsid w:val="5AC19902"/>
    <w:rsid w:val="5AC3138B"/>
    <w:rsid w:val="5AC4CD1E"/>
    <w:rsid w:val="5AC78366"/>
    <w:rsid w:val="5AC858A3"/>
    <w:rsid w:val="5AC92D33"/>
    <w:rsid w:val="5AD38C71"/>
    <w:rsid w:val="5AD49687"/>
    <w:rsid w:val="5AD7C934"/>
    <w:rsid w:val="5ADBA796"/>
    <w:rsid w:val="5AE7AB68"/>
    <w:rsid w:val="5AEC106F"/>
    <w:rsid w:val="5AEDC857"/>
    <w:rsid w:val="5AEE5893"/>
    <w:rsid w:val="5AEEED4F"/>
    <w:rsid w:val="5AF03462"/>
    <w:rsid w:val="5AF13513"/>
    <w:rsid w:val="5B042892"/>
    <w:rsid w:val="5B0719AA"/>
    <w:rsid w:val="5B091D38"/>
    <w:rsid w:val="5B0966B0"/>
    <w:rsid w:val="5B0C201D"/>
    <w:rsid w:val="5B0D9171"/>
    <w:rsid w:val="5B10CDC4"/>
    <w:rsid w:val="5B1594D6"/>
    <w:rsid w:val="5B198A78"/>
    <w:rsid w:val="5B1CBC97"/>
    <w:rsid w:val="5B2164E8"/>
    <w:rsid w:val="5B263456"/>
    <w:rsid w:val="5B2855CC"/>
    <w:rsid w:val="5B2B5FB2"/>
    <w:rsid w:val="5B339703"/>
    <w:rsid w:val="5B3A1E96"/>
    <w:rsid w:val="5B3BBBB0"/>
    <w:rsid w:val="5B416DF9"/>
    <w:rsid w:val="5B5416F9"/>
    <w:rsid w:val="5B59CB62"/>
    <w:rsid w:val="5B63D533"/>
    <w:rsid w:val="5B641A97"/>
    <w:rsid w:val="5B65742A"/>
    <w:rsid w:val="5B678316"/>
    <w:rsid w:val="5B6B163A"/>
    <w:rsid w:val="5B7408E2"/>
    <w:rsid w:val="5B758FC2"/>
    <w:rsid w:val="5B77D9EB"/>
    <w:rsid w:val="5B7CAFB6"/>
    <w:rsid w:val="5B8232E9"/>
    <w:rsid w:val="5B8EFD27"/>
    <w:rsid w:val="5B966B88"/>
    <w:rsid w:val="5B967FDB"/>
    <w:rsid w:val="5B99A1CD"/>
    <w:rsid w:val="5B9B122B"/>
    <w:rsid w:val="5B9CB2F7"/>
    <w:rsid w:val="5BA5921C"/>
    <w:rsid w:val="5BA6106A"/>
    <w:rsid w:val="5BAEE058"/>
    <w:rsid w:val="5BB462E9"/>
    <w:rsid w:val="5BB5E14D"/>
    <w:rsid w:val="5BBA7E6E"/>
    <w:rsid w:val="5BC17BA8"/>
    <w:rsid w:val="5BC30358"/>
    <w:rsid w:val="5BC56996"/>
    <w:rsid w:val="5BDC9DD5"/>
    <w:rsid w:val="5BDD7D14"/>
    <w:rsid w:val="5BE3246C"/>
    <w:rsid w:val="5BE96781"/>
    <w:rsid w:val="5BEBCE2B"/>
    <w:rsid w:val="5BF31F82"/>
    <w:rsid w:val="5BF5BECF"/>
    <w:rsid w:val="5BF68FD9"/>
    <w:rsid w:val="5BF7502A"/>
    <w:rsid w:val="5C01797D"/>
    <w:rsid w:val="5C0316AE"/>
    <w:rsid w:val="5C0B17C7"/>
    <w:rsid w:val="5C18F889"/>
    <w:rsid w:val="5C1D934C"/>
    <w:rsid w:val="5C235D83"/>
    <w:rsid w:val="5C2E9D94"/>
    <w:rsid w:val="5C30B9C3"/>
    <w:rsid w:val="5C3A5859"/>
    <w:rsid w:val="5C3A9C8F"/>
    <w:rsid w:val="5C45BD95"/>
    <w:rsid w:val="5C45E0F5"/>
    <w:rsid w:val="5C4CC854"/>
    <w:rsid w:val="5C5099B3"/>
    <w:rsid w:val="5C544DB4"/>
    <w:rsid w:val="5C564182"/>
    <w:rsid w:val="5C59EEC1"/>
    <w:rsid w:val="5C60F42A"/>
    <w:rsid w:val="5C66EEB5"/>
    <w:rsid w:val="5C6F4F54"/>
    <w:rsid w:val="5C7223DD"/>
    <w:rsid w:val="5C72958B"/>
    <w:rsid w:val="5C77824B"/>
    <w:rsid w:val="5C8676B9"/>
    <w:rsid w:val="5C885B69"/>
    <w:rsid w:val="5C8C33E9"/>
    <w:rsid w:val="5C9052E6"/>
    <w:rsid w:val="5C9092F8"/>
    <w:rsid w:val="5C95B78A"/>
    <w:rsid w:val="5C96B85C"/>
    <w:rsid w:val="5C9B31F6"/>
    <w:rsid w:val="5C9C9899"/>
    <w:rsid w:val="5C9F87F0"/>
    <w:rsid w:val="5CA7578F"/>
    <w:rsid w:val="5CAAA2F8"/>
    <w:rsid w:val="5CB4FA77"/>
    <w:rsid w:val="5CBA62DD"/>
    <w:rsid w:val="5CBBAF40"/>
    <w:rsid w:val="5CBF1815"/>
    <w:rsid w:val="5CC0435F"/>
    <w:rsid w:val="5CC7471C"/>
    <w:rsid w:val="5CC88C41"/>
    <w:rsid w:val="5CCA2F51"/>
    <w:rsid w:val="5CCC7F76"/>
    <w:rsid w:val="5CD25387"/>
    <w:rsid w:val="5CD357F9"/>
    <w:rsid w:val="5CD5D461"/>
    <w:rsid w:val="5CDC56E3"/>
    <w:rsid w:val="5CDCCE3F"/>
    <w:rsid w:val="5CDD6B98"/>
    <w:rsid w:val="5CEB47CC"/>
    <w:rsid w:val="5CEDFD1E"/>
    <w:rsid w:val="5CF33519"/>
    <w:rsid w:val="5CF5DD90"/>
    <w:rsid w:val="5CF60126"/>
    <w:rsid w:val="5CFF805A"/>
    <w:rsid w:val="5D00B9F5"/>
    <w:rsid w:val="5D020B6D"/>
    <w:rsid w:val="5D04DD9C"/>
    <w:rsid w:val="5D082FED"/>
    <w:rsid w:val="5D097410"/>
    <w:rsid w:val="5D09F200"/>
    <w:rsid w:val="5D0C5F06"/>
    <w:rsid w:val="5D11FA78"/>
    <w:rsid w:val="5D1222AE"/>
    <w:rsid w:val="5D19F4D1"/>
    <w:rsid w:val="5D1AD526"/>
    <w:rsid w:val="5D20CD06"/>
    <w:rsid w:val="5D26D554"/>
    <w:rsid w:val="5D2E2F25"/>
    <w:rsid w:val="5D3008C6"/>
    <w:rsid w:val="5D302504"/>
    <w:rsid w:val="5D311CD4"/>
    <w:rsid w:val="5D33B467"/>
    <w:rsid w:val="5D34C1B4"/>
    <w:rsid w:val="5D3662E4"/>
    <w:rsid w:val="5D3E0F4F"/>
    <w:rsid w:val="5D4595E4"/>
    <w:rsid w:val="5D4BF328"/>
    <w:rsid w:val="5D4C01E4"/>
    <w:rsid w:val="5D583EF7"/>
    <w:rsid w:val="5D60186A"/>
    <w:rsid w:val="5D620211"/>
    <w:rsid w:val="5D64D3C0"/>
    <w:rsid w:val="5D65D865"/>
    <w:rsid w:val="5D6A00C1"/>
    <w:rsid w:val="5D6A40CD"/>
    <w:rsid w:val="5D6E1EF9"/>
    <w:rsid w:val="5D6E23AC"/>
    <w:rsid w:val="5D73BAE4"/>
    <w:rsid w:val="5D76CC69"/>
    <w:rsid w:val="5D7784E0"/>
    <w:rsid w:val="5D82A7D7"/>
    <w:rsid w:val="5D8577BA"/>
    <w:rsid w:val="5D939333"/>
    <w:rsid w:val="5D9B22AE"/>
    <w:rsid w:val="5D9FC795"/>
    <w:rsid w:val="5DA87DFE"/>
    <w:rsid w:val="5DAF7B0D"/>
    <w:rsid w:val="5DB2F5B0"/>
    <w:rsid w:val="5DB70E53"/>
    <w:rsid w:val="5DB84086"/>
    <w:rsid w:val="5DC12F44"/>
    <w:rsid w:val="5DC4CD34"/>
    <w:rsid w:val="5DC61032"/>
    <w:rsid w:val="5DC87055"/>
    <w:rsid w:val="5DC90C73"/>
    <w:rsid w:val="5DC9EA0D"/>
    <w:rsid w:val="5DCCE23F"/>
    <w:rsid w:val="5DD22C44"/>
    <w:rsid w:val="5DD748E3"/>
    <w:rsid w:val="5DD952FA"/>
    <w:rsid w:val="5DDD67BD"/>
    <w:rsid w:val="5DDD689D"/>
    <w:rsid w:val="5DDEE8FB"/>
    <w:rsid w:val="5DE0167E"/>
    <w:rsid w:val="5DE3760D"/>
    <w:rsid w:val="5DE3D26D"/>
    <w:rsid w:val="5DE928B5"/>
    <w:rsid w:val="5DEA474A"/>
    <w:rsid w:val="5DEE6152"/>
    <w:rsid w:val="5DF0292D"/>
    <w:rsid w:val="5DF15E9D"/>
    <w:rsid w:val="5DF5355F"/>
    <w:rsid w:val="5E00D38F"/>
    <w:rsid w:val="5E00F448"/>
    <w:rsid w:val="5E032D57"/>
    <w:rsid w:val="5E0689EE"/>
    <w:rsid w:val="5E0DBC74"/>
    <w:rsid w:val="5E0DE371"/>
    <w:rsid w:val="5E137C18"/>
    <w:rsid w:val="5E1A3B4B"/>
    <w:rsid w:val="5E1CD550"/>
    <w:rsid w:val="5E1FBA06"/>
    <w:rsid w:val="5E233ABB"/>
    <w:rsid w:val="5E245443"/>
    <w:rsid w:val="5E246532"/>
    <w:rsid w:val="5E28A680"/>
    <w:rsid w:val="5E3220C2"/>
    <w:rsid w:val="5E392C96"/>
    <w:rsid w:val="5E46C8DC"/>
    <w:rsid w:val="5E5800BF"/>
    <w:rsid w:val="5E58385F"/>
    <w:rsid w:val="5E58991C"/>
    <w:rsid w:val="5E58B026"/>
    <w:rsid w:val="5E5C90CC"/>
    <w:rsid w:val="5E610406"/>
    <w:rsid w:val="5E6AD9CF"/>
    <w:rsid w:val="5E6CA79A"/>
    <w:rsid w:val="5E6ED121"/>
    <w:rsid w:val="5E7A9B18"/>
    <w:rsid w:val="5E7FD8F4"/>
    <w:rsid w:val="5E82BC2B"/>
    <w:rsid w:val="5E836F93"/>
    <w:rsid w:val="5E890A4B"/>
    <w:rsid w:val="5E8FDE23"/>
    <w:rsid w:val="5E94DB55"/>
    <w:rsid w:val="5E9BB9A3"/>
    <w:rsid w:val="5EA98AA3"/>
    <w:rsid w:val="5EAF44E0"/>
    <w:rsid w:val="5EB30659"/>
    <w:rsid w:val="5EB94FA9"/>
    <w:rsid w:val="5EB9F8B8"/>
    <w:rsid w:val="5EC50132"/>
    <w:rsid w:val="5EC8C54D"/>
    <w:rsid w:val="5EDA0BEB"/>
    <w:rsid w:val="5EDDD5FB"/>
    <w:rsid w:val="5EDE1FAF"/>
    <w:rsid w:val="5EE1458C"/>
    <w:rsid w:val="5EF0A710"/>
    <w:rsid w:val="5EF11064"/>
    <w:rsid w:val="5EFA74C4"/>
    <w:rsid w:val="5F026224"/>
    <w:rsid w:val="5F079853"/>
    <w:rsid w:val="5F13DE25"/>
    <w:rsid w:val="5F173E8F"/>
    <w:rsid w:val="5F1CB8BB"/>
    <w:rsid w:val="5F2164F8"/>
    <w:rsid w:val="5F266AE2"/>
    <w:rsid w:val="5F2975F1"/>
    <w:rsid w:val="5F30AE2D"/>
    <w:rsid w:val="5F399245"/>
    <w:rsid w:val="5F3ECA87"/>
    <w:rsid w:val="5F427C0A"/>
    <w:rsid w:val="5F4C4A8A"/>
    <w:rsid w:val="5F4C6668"/>
    <w:rsid w:val="5F51CDDD"/>
    <w:rsid w:val="5F528E1F"/>
    <w:rsid w:val="5F52FBC5"/>
    <w:rsid w:val="5F6033B6"/>
    <w:rsid w:val="5F636156"/>
    <w:rsid w:val="5F67E191"/>
    <w:rsid w:val="5F695CBF"/>
    <w:rsid w:val="5F703D0C"/>
    <w:rsid w:val="5F772165"/>
    <w:rsid w:val="5F78B506"/>
    <w:rsid w:val="5F7AE3F2"/>
    <w:rsid w:val="5F7AF212"/>
    <w:rsid w:val="5F843046"/>
    <w:rsid w:val="5F8473EF"/>
    <w:rsid w:val="5F861A05"/>
    <w:rsid w:val="5F887D00"/>
    <w:rsid w:val="5F8CDFDC"/>
    <w:rsid w:val="5F8D0594"/>
    <w:rsid w:val="5F95D64F"/>
    <w:rsid w:val="5F9C640E"/>
    <w:rsid w:val="5F9F657F"/>
    <w:rsid w:val="5FAA547F"/>
    <w:rsid w:val="5FAAED20"/>
    <w:rsid w:val="5FAB29D8"/>
    <w:rsid w:val="5FAC117B"/>
    <w:rsid w:val="5FB62CA0"/>
    <w:rsid w:val="5FB811F4"/>
    <w:rsid w:val="5FBFC47D"/>
    <w:rsid w:val="5FC64CC9"/>
    <w:rsid w:val="5FCD6304"/>
    <w:rsid w:val="5FD18D80"/>
    <w:rsid w:val="5FD829A8"/>
    <w:rsid w:val="5FDC05A1"/>
    <w:rsid w:val="5FE3C8BF"/>
    <w:rsid w:val="5FE8BE2A"/>
    <w:rsid w:val="5FEF6707"/>
    <w:rsid w:val="5FF4C2CC"/>
    <w:rsid w:val="5FF57204"/>
    <w:rsid w:val="5FF58592"/>
    <w:rsid w:val="5FF8CADF"/>
    <w:rsid w:val="5FFB4395"/>
    <w:rsid w:val="5FFCC1CB"/>
    <w:rsid w:val="60028A77"/>
    <w:rsid w:val="600B0047"/>
    <w:rsid w:val="600DA4ED"/>
    <w:rsid w:val="6010A881"/>
    <w:rsid w:val="6012920C"/>
    <w:rsid w:val="6014357F"/>
    <w:rsid w:val="601A1E08"/>
    <w:rsid w:val="601EA039"/>
    <w:rsid w:val="602153E6"/>
    <w:rsid w:val="6027A897"/>
    <w:rsid w:val="6027AB30"/>
    <w:rsid w:val="6028C719"/>
    <w:rsid w:val="6029849A"/>
    <w:rsid w:val="6029856A"/>
    <w:rsid w:val="6029C26F"/>
    <w:rsid w:val="602B4B5B"/>
    <w:rsid w:val="602DA789"/>
    <w:rsid w:val="602E6942"/>
    <w:rsid w:val="6031F6D7"/>
    <w:rsid w:val="6033C22E"/>
    <w:rsid w:val="603B702B"/>
    <w:rsid w:val="60408CF7"/>
    <w:rsid w:val="6043353F"/>
    <w:rsid w:val="6047F549"/>
    <w:rsid w:val="6049D3FD"/>
    <w:rsid w:val="604EC1FB"/>
    <w:rsid w:val="6056DCFB"/>
    <w:rsid w:val="60586789"/>
    <w:rsid w:val="605D0718"/>
    <w:rsid w:val="60615075"/>
    <w:rsid w:val="6067C3F7"/>
    <w:rsid w:val="6070F73B"/>
    <w:rsid w:val="6072C41B"/>
    <w:rsid w:val="6072F9E4"/>
    <w:rsid w:val="607488C4"/>
    <w:rsid w:val="607687F6"/>
    <w:rsid w:val="60810130"/>
    <w:rsid w:val="6081ED85"/>
    <w:rsid w:val="6081FB8A"/>
    <w:rsid w:val="60839BEE"/>
    <w:rsid w:val="60845A96"/>
    <w:rsid w:val="60880F73"/>
    <w:rsid w:val="609D823C"/>
    <w:rsid w:val="609E52AC"/>
    <w:rsid w:val="60A2B884"/>
    <w:rsid w:val="60A2C77A"/>
    <w:rsid w:val="60A5CA84"/>
    <w:rsid w:val="60A9CFB0"/>
    <w:rsid w:val="60AF9F88"/>
    <w:rsid w:val="60B04A72"/>
    <w:rsid w:val="60B1BB63"/>
    <w:rsid w:val="60B25D63"/>
    <w:rsid w:val="60B691D0"/>
    <w:rsid w:val="60B86ECE"/>
    <w:rsid w:val="60BAD7AA"/>
    <w:rsid w:val="60BC12FE"/>
    <w:rsid w:val="60BF300A"/>
    <w:rsid w:val="60BF3C03"/>
    <w:rsid w:val="60BF5BC8"/>
    <w:rsid w:val="60C82A1A"/>
    <w:rsid w:val="60CD512D"/>
    <w:rsid w:val="60CDFC44"/>
    <w:rsid w:val="60DA1CA7"/>
    <w:rsid w:val="60E19611"/>
    <w:rsid w:val="60E1B4A6"/>
    <w:rsid w:val="60E1C590"/>
    <w:rsid w:val="60E1EB52"/>
    <w:rsid w:val="60E52A8D"/>
    <w:rsid w:val="60E785CF"/>
    <w:rsid w:val="60EA5072"/>
    <w:rsid w:val="60EB040A"/>
    <w:rsid w:val="60EFBF23"/>
    <w:rsid w:val="60F00949"/>
    <w:rsid w:val="60F0953B"/>
    <w:rsid w:val="60F0998A"/>
    <w:rsid w:val="60F6DE82"/>
    <w:rsid w:val="60F9D86E"/>
    <w:rsid w:val="60FB58D7"/>
    <w:rsid w:val="60FBD695"/>
    <w:rsid w:val="6101BCBD"/>
    <w:rsid w:val="61064F0F"/>
    <w:rsid w:val="6106D6A9"/>
    <w:rsid w:val="61071D98"/>
    <w:rsid w:val="610F8518"/>
    <w:rsid w:val="610F8F34"/>
    <w:rsid w:val="6114A7FE"/>
    <w:rsid w:val="6118323B"/>
    <w:rsid w:val="611E695D"/>
    <w:rsid w:val="611FF0B7"/>
    <w:rsid w:val="6125788A"/>
    <w:rsid w:val="6129DE17"/>
    <w:rsid w:val="61330235"/>
    <w:rsid w:val="6135D14E"/>
    <w:rsid w:val="6136713F"/>
    <w:rsid w:val="61382C03"/>
    <w:rsid w:val="613899A7"/>
    <w:rsid w:val="613E9F88"/>
    <w:rsid w:val="613F56DC"/>
    <w:rsid w:val="61421F2B"/>
    <w:rsid w:val="61436333"/>
    <w:rsid w:val="61467052"/>
    <w:rsid w:val="6147D6F2"/>
    <w:rsid w:val="6148AA5E"/>
    <w:rsid w:val="614C2A48"/>
    <w:rsid w:val="6153FFA2"/>
    <w:rsid w:val="615C0334"/>
    <w:rsid w:val="61622579"/>
    <w:rsid w:val="6162DFBA"/>
    <w:rsid w:val="6167236B"/>
    <w:rsid w:val="616BA693"/>
    <w:rsid w:val="616BD0F1"/>
    <w:rsid w:val="61805156"/>
    <w:rsid w:val="6184CD2F"/>
    <w:rsid w:val="61885703"/>
    <w:rsid w:val="618974E1"/>
    <w:rsid w:val="6195DFB2"/>
    <w:rsid w:val="6197FA8E"/>
    <w:rsid w:val="619A220E"/>
    <w:rsid w:val="619EDAAE"/>
    <w:rsid w:val="61A4E831"/>
    <w:rsid w:val="61A71B59"/>
    <w:rsid w:val="61A8E5C7"/>
    <w:rsid w:val="61B30AC9"/>
    <w:rsid w:val="61B47CA7"/>
    <w:rsid w:val="61B55BC0"/>
    <w:rsid w:val="61BB6C30"/>
    <w:rsid w:val="61C504A7"/>
    <w:rsid w:val="61C70C9C"/>
    <w:rsid w:val="61CC951D"/>
    <w:rsid w:val="61CF307D"/>
    <w:rsid w:val="61D730B8"/>
    <w:rsid w:val="61DC103C"/>
    <w:rsid w:val="61DD39AD"/>
    <w:rsid w:val="61E2AF92"/>
    <w:rsid w:val="61EAF613"/>
    <w:rsid w:val="61EB997B"/>
    <w:rsid w:val="61F294B9"/>
    <w:rsid w:val="61F89E76"/>
    <w:rsid w:val="61F9EDDD"/>
    <w:rsid w:val="61FC6516"/>
    <w:rsid w:val="61FEAA7F"/>
    <w:rsid w:val="62040B68"/>
    <w:rsid w:val="620624CE"/>
    <w:rsid w:val="62070068"/>
    <w:rsid w:val="62131DD9"/>
    <w:rsid w:val="622452E0"/>
    <w:rsid w:val="622AABAB"/>
    <w:rsid w:val="623685FA"/>
    <w:rsid w:val="6237EEE1"/>
    <w:rsid w:val="62392C43"/>
    <w:rsid w:val="623AFB7A"/>
    <w:rsid w:val="623B5BD0"/>
    <w:rsid w:val="623C4EE6"/>
    <w:rsid w:val="624047EA"/>
    <w:rsid w:val="624FB7AE"/>
    <w:rsid w:val="62573CAA"/>
    <w:rsid w:val="625A2B95"/>
    <w:rsid w:val="6260FF82"/>
    <w:rsid w:val="62621D95"/>
    <w:rsid w:val="6264A8C9"/>
    <w:rsid w:val="626C41DE"/>
    <w:rsid w:val="6272B6FE"/>
    <w:rsid w:val="62776B29"/>
    <w:rsid w:val="627817E0"/>
    <w:rsid w:val="627C60F0"/>
    <w:rsid w:val="628186FE"/>
    <w:rsid w:val="628CDF56"/>
    <w:rsid w:val="628E6665"/>
    <w:rsid w:val="628E86B0"/>
    <w:rsid w:val="62927FD0"/>
    <w:rsid w:val="62979ACF"/>
    <w:rsid w:val="62A19CB5"/>
    <w:rsid w:val="62A37CBF"/>
    <w:rsid w:val="62A42A0C"/>
    <w:rsid w:val="62A7CDB2"/>
    <w:rsid w:val="62ABD263"/>
    <w:rsid w:val="62AFC7E4"/>
    <w:rsid w:val="62B10358"/>
    <w:rsid w:val="62BA834A"/>
    <w:rsid w:val="62BC91A3"/>
    <w:rsid w:val="62BF4063"/>
    <w:rsid w:val="62C42763"/>
    <w:rsid w:val="62C88D23"/>
    <w:rsid w:val="62C979F9"/>
    <w:rsid w:val="62E0198F"/>
    <w:rsid w:val="62E1059B"/>
    <w:rsid w:val="62E31A13"/>
    <w:rsid w:val="62E91D30"/>
    <w:rsid w:val="62EB118E"/>
    <w:rsid w:val="62EEB03E"/>
    <w:rsid w:val="62EFB341"/>
    <w:rsid w:val="62F4F5F0"/>
    <w:rsid w:val="62F566EF"/>
    <w:rsid w:val="62F824C6"/>
    <w:rsid w:val="62FB67EB"/>
    <w:rsid w:val="62FE1127"/>
    <w:rsid w:val="62FF4359"/>
    <w:rsid w:val="63051FA8"/>
    <w:rsid w:val="6305D1AA"/>
    <w:rsid w:val="630733D3"/>
    <w:rsid w:val="63083284"/>
    <w:rsid w:val="630B5377"/>
    <w:rsid w:val="630CA1AA"/>
    <w:rsid w:val="630E5901"/>
    <w:rsid w:val="6313D345"/>
    <w:rsid w:val="63143813"/>
    <w:rsid w:val="63194A35"/>
    <w:rsid w:val="63195294"/>
    <w:rsid w:val="631A06C6"/>
    <w:rsid w:val="632B4F2F"/>
    <w:rsid w:val="632D3E16"/>
    <w:rsid w:val="632DE2E6"/>
    <w:rsid w:val="6339C512"/>
    <w:rsid w:val="633BE8D2"/>
    <w:rsid w:val="634D92E7"/>
    <w:rsid w:val="634E568B"/>
    <w:rsid w:val="634F7598"/>
    <w:rsid w:val="63504C9A"/>
    <w:rsid w:val="6350F060"/>
    <w:rsid w:val="63570917"/>
    <w:rsid w:val="63573A73"/>
    <w:rsid w:val="635AF4C5"/>
    <w:rsid w:val="6361283A"/>
    <w:rsid w:val="63651790"/>
    <w:rsid w:val="6365D97F"/>
    <w:rsid w:val="6366648F"/>
    <w:rsid w:val="6369D797"/>
    <w:rsid w:val="6370DB3E"/>
    <w:rsid w:val="63760F0E"/>
    <w:rsid w:val="63765C14"/>
    <w:rsid w:val="63787301"/>
    <w:rsid w:val="637C383A"/>
    <w:rsid w:val="637C735C"/>
    <w:rsid w:val="63817A6C"/>
    <w:rsid w:val="63833267"/>
    <w:rsid w:val="638473C3"/>
    <w:rsid w:val="638BFB9E"/>
    <w:rsid w:val="6396DA85"/>
    <w:rsid w:val="6398B3BC"/>
    <w:rsid w:val="639EA922"/>
    <w:rsid w:val="639FF415"/>
    <w:rsid w:val="63A0F05B"/>
    <w:rsid w:val="63AC7F23"/>
    <w:rsid w:val="63AEE186"/>
    <w:rsid w:val="63C0354D"/>
    <w:rsid w:val="63C8B843"/>
    <w:rsid w:val="63CB3E07"/>
    <w:rsid w:val="63D4AE4D"/>
    <w:rsid w:val="63E4CF87"/>
    <w:rsid w:val="63E75637"/>
    <w:rsid w:val="63EAAE1D"/>
    <w:rsid w:val="63EB19FB"/>
    <w:rsid w:val="63ECE2FB"/>
    <w:rsid w:val="63F21057"/>
    <w:rsid w:val="63F94E2B"/>
    <w:rsid w:val="63F96018"/>
    <w:rsid w:val="63FBC273"/>
    <w:rsid w:val="640357F1"/>
    <w:rsid w:val="6410EE72"/>
    <w:rsid w:val="64117BB9"/>
    <w:rsid w:val="64175A3C"/>
    <w:rsid w:val="641A18C2"/>
    <w:rsid w:val="641A425F"/>
    <w:rsid w:val="641F8870"/>
    <w:rsid w:val="6426418F"/>
    <w:rsid w:val="642A48C4"/>
    <w:rsid w:val="642C2F62"/>
    <w:rsid w:val="642CE2C8"/>
    <w:rsid w:val="6432028C"/>
    <w:rsid w:val="643208FD"/>
    <w:rsid w:val="643279F0"/>
    <w:rsid w:val="6433D8B0"/>
    <w:rsid w:val="6434B3C5"/>
    <w:rsid w:val="64367A6F"/>
    <w:rsid w:val="6437736E"/>
    <w:rsid w:val="644DE0EF"/>
    <w:rsid w:val="64584AD9"/>
    <w:rsid w:val="6463B439"/>
    <w:rsid w:val="64645FB1"/>
    <w:rsid w:val="646715C8"/>
    <w:rsid w:val="6467A814"/>
    <w:rsid w:val="6467B8CB"/>
    <w:rsid w:val="64714B05"/>
    <w:rsid w:val="64735E35"/>
    <w:rsid w:val="6473E3B4"/>
    <w:rsid w:val="6473F114"/>
    <w:rsid w:val="647417E2"/>
    <w:rsid w:val="647D3FB3"/>
    <w:rsid w:val="647E021D"/>
    <w:rsid w:val="64809953"/>
    <w:rsid w:val="64811C6D"/>
    <w:rsid w:val="648A196B"/>
    <w:rsid w:val="648CE8F3"/>
    <w:rsid w:val="649B118F"/>
    <w:rsid w:val="64A3479E"/>
    <w:rsid w:val="64AD154E"/>
    <w:rsid w:val="64AD46A6"/>
    <w:rsid w:val="64AE289A"/>
    <w:rsid w:val="64B26CC3"/>
    <w:rsid w:val="64B32978"/>
    <w:rsid w:val="64B935A4"/>
    <w:rsid w:val="64BC12F0"/>
    <w:rsid w:val="64C5ED04"/>
    <w:rsid w:val="64C8448D"/>
    <w:rsid w:val="64D65697"/>
    <w:rsid w:val="64D7669F"/>
    <w:rsid w:val="64DA2B1D"/>
    <w:rsid w:val="64DD923E"/>
    <w:rsid w:val="64E6BF6F"/>
    <w:rsid w:val="64F641D6"/>
    <w:rsid w:val="64FA94BB"/>
    <w:rsid w:val="64FACF33"/>
    <w:rsid w:val="65007A24"/>
    <w:rsid w:val="65054446"/>
    <w:rsid w:val="65069437"/>
    <w:rsid w:val="6508AC3E"/>
    <w:rsid w:val="650A5C64"/>
    <w:rsid w:val="650BB6B5"/>
    <w:rsid w:val="650DAA8C"/>
    <w:rsid w:val="650F4A61"/>
    <w:rsid w:val="65157BD1"/>
    <w:rsid w:val="6517C569"/>
    <w:rsid w:val="6528D12F"/>
    <w:rsid w:val="652B9A4B"/>
    <w:rsid w:val="652DCEA0"/>
    <w:rsid w:val="6530AF2C"/>
    <w:rsid w:val="653391F5"/>
    <w:rsid w:val="65349B39"/>
    <w:rsid w:val="653B5E48"/>
    <w:rsid w:val="654444BB"/>
    <w:rsid w:val="65455FDA"/>
    <w:rsid w:val="65474E90"/>
    <w:rsid w:val="65478F0B"/>
    <w:rsid w:val="654DCF95"/>
    <w:rsid w:val="6550CC87"/>
    <w:rsid w:val="65512928"/>
    <w:rsid w:val="65596A1E"/>
    <w:rsid w:val="6559C123"/>
    <w:rsid w:val="655A6D12"/>
    <w:rsid w:val="65633466"/>
    <w:rsid w:val="6565B6A5"/>
    <w:rsid w:val="65709E7A"/>
    <w:rsid w:val="6570E815"/>
    <w:rsid w:val="657BCA12"/>
    <w:rsid w:val="6581E5ED"/>
    <w:rsid w:val="65847334"/>
    <w:rsid w:val="65857B4A"/>
    <w:rsid w:val="659117C5"/>
    <w:rsid w:val="6593587C"/>
    <w:rsid w:val="6595C1E4"/>
    <w:rsid w:val="65973C38"/>
    <w:rsid w:val="6599779D"/>
    <w:rsid w:val="6599C939"/>
    <w:rsid w:val="659B21E3"/>
    <w:rsid w:val="65A12111"/>
    <w:rsid w:val="65A1E7AC"/>
    <w:rsid w:val="65A6843B"/>
    <w:rsid w:val="65B76BAF"/>
    <w:rsid w:val="65B81939"/>
    <w:rsid w:val="65BE8A24"/>
    <w:rsid w:val="65C55A5D"/>
    <w:rsid w:val="65C93327"/>
    <w:rsid w:val="65CA8FBD"/>
    <w:rsid w:val="65CC846B"/>
    <w:rsid w:val="65D176B1"/>
    <w:rsid w:val="65DA6A79"/>
    <w:rsid w:val="65DB4B23"/>
    <w:rsid w:val="65E396D7"/>
    <w:rsid w:val="65EAE437"/>
    <w:rsid w:val="65EE7F8F"/>
    <w:rsid w:val="65EF8456"/>
    <w:rsid w:val="65F18751"/>
    <w:rsid w:val="65F50C52"/>
    <w:rsid w:val="65F80994"/>
    <w:rsid w:val="65FB42DF"/>
    <w:rsid w:val="6605E3A9"/>
    <w:rsid w:val="66079478"/>
    <w:rsid w:val="660B90A7"/>
    <w:rsid w:val="660C1596"/>
    <w:rsid w:val="661239FA"/>
    <w:rsid w:val="66152F66"/>
    <w:rsid w:val="66194848"/>
    <w:rsid w:val="661CED42"/>
    <w:rsid w:val="66284385"/>
    <w:rsid w:val="662A90AD"/>
    <w:rsid w:val="662AB8F5"/>
    <w:rsid w:val="662CF766"/>
    <w:rsid w:val="6630C55F"/>
    <w:rsid w:val="6632E4B8"/>
    <w:rsid w:val="66352210"/>
    <w:rsid w:val="6636CA40"/>
    <w:rsid w:val="66389B2E"/>
    <w:rsid w:val="663CB931"/>
    <w:rsid w:val="663FF063"/>
    <w:rsid w:val="6641D45E"/>
    <w:rsid w:val="6642C264"/>
    <w:rsid w:val="6646E101"/>
    <w:rsid w:val="66470EA4"/>
    <w:rsid w:val="6647F626"/>
    <w:rsid w:val="66488CAD"/>
    <w:rsid w:val="664DD7B0"/>
    <w:rsid w:val="6652F599"/>
    <w:rsid w:val="6654738C"/>
    <w:rsid w:val="6658A0FF"/>
    <w:rsid w:val="6658DF30"/>
    <w:rsid w:val="665AA8D0"/>
    <w:rsid w:val="665EDB64"/>
    <w:rsid w:val="6668919A"/>
    <w:rsid w:val="6669A69E"/>
    <w:rsid w:val="666C9583"/>
    <w:rsid w:val="666D2663"/>
    <w:rsid w:val="666F2CD7"/>
    <w:rsid w:val="6672FC25"/>
    <w:rsid w:val="6678BADC"/>
    <w:rsid w:val="6683AF30"/>
    <w:rsid w:val="668AA86B"/>
    <w:rsid w:val="6692B667"/>
    <w:rsid w:val="6693E33A"/>
    <w:rsid w:val="66940174"/>
    <w:rsid w:val="669DFFF7"/>
    <w:rsid w:val="669F5B74"/>
    <w:rsid w:val="669FECA5"/>
    <w:rsid w:val="66A0178E"/>
    <w:rsid w:val="66A34BED"/>
    <w:rsid w:val="66A4256E"/>
    <w:rsid w:val="66A51E18"/>
    <w:rsid w:val="66ACEEF9"/>
    <w:rsid w:val="66AE1ED4"/>
    <w:rsid w:val="66AF1A12"/>
    <w:rsid w:val="66B1B6DE"/>
    <w:rsid w:val="66B505C3"/>
    <w:rsid w:val="66B555E6"/>
    <w:rsid w:val="66BB53FD"/>
    <w:rsid w:val="66BB60CD"/>
    <w:rsid w:val="66C20BB9"/>
    <w:rsid w:val="66C32710"/>
    <w:rsid w:val="66D7B6A8"/>
    <w:rsid w:val="66DF48F9"/>
    <w:rsid w:val="66E7540E"/>
    <w:rsid w:val="66F6CA62"/>
    <w:rsid w:val="66FD4982"/>
    <w:rsid w:val="66FE9E02"/>
    <w:rsid w:val="66FF21A1"/>
    <w:rsid w:val="67041D0E"/>
    <w:rsid w:val="670AB73E"/>
    <w:rsid w:val="670EBA00"/>
    <w:rsid w:val="67143FDE"/>
    <w:rsid w:val="67190656"/>
    <w:rsid w:val="671B3EDB"/>
    <w:rsid w:val="671F3E9A"/>
    <w:rsid w:val="6724E91E"/>
    <w:rsid w:val="672B50EC"/>
    <w:rsid w:val="672E3FD2"/>
    <w:rsid w:val="67322591"/>
    <w:rsid w:val="67388E3A"/>
    <w:rsid w:val="673A7A89"/>
    <w:rsid w:val="673DF28C"/>
    <w:rsid w:val="67451EC6"/>
    <w:rsid w:val="6745685E"/>
    <w:rsid w:val="674820E8"/>
    <w:rsid w:val="674BB984"/>
    <w:rsid w:val="674CB1CF"/>
    <w:rsid w:val="6751A840"/>
    <w:rsid w:val="675213B0"/>
    <w:rsid w:val="67559600"/>
    <w:rsid w:val="6757A298"/>
    <w:rsid w:val="67582A85"/>
    <w:rsid w:val="6759A069"/>
    <w:rsid w:val="675BC448"/>
    <w:rsid w:val="675C884C"/>
    <w:rsid w:val="67686F3A"/>
    <w:rsid w:val="676F6EC2"/>
    <w:rsid w:val="677039FB"/>
    <w:rsid w:val="6771074F"/>
    <w:rsid w:val="67740ACD"/>
    <w:rsid w:val="6775AE81"/>
    <w:rsid w:val="6776953A"/>
    <w:rsid w:val="677C2B1E"/>
    <w:rsid w:val="678317F5"/>
    <w:rsid w:val="67861557"/>
    <w:rsid w:val="678D584F"/>
    <w:rsid w:val="6794EA4B"/>
    <w:rsid w:val="6798E2B3"/>
    <w:rsid w:val="6799D59B"/>
    <w:rsid w:val="67A4CB07"/>
    <w:rsid w:val="67AA2CDE"/>
    <w:rsid w:val="67AB1DD7"/>
    <w:rsid w:val="67ADB7AD"/>
    <w:rsid w:val="67B9D622"/>
    <w:rsid w:val="67BA2D55"/>
    <w:rsid w:val="67BBEA68"/>
    <w:rsid w:val="67BCAA68"/>
    <w:rsid w:val="67BD0971"/>
    <w:rsid w:val="67C0F758"/>
    <w:rsid w:val="67C12F69"/>
    <w:rsid w:val="67C2AB6D"/>
    <w:rsid w:val="67C5245A"/>
    <w:rsid w:val="67CA6EB2"/>
    <w:rsid w:val="67CAA26B"/>
    <w:rsid w:val="67CD4E78"/>
    <w:rsid w:val="67CDAD14"/>
    <w:rsid w:val="67D3C4D4"/>
    <w:rsid w:val="67D7E6BE"/>
    <w:rsid w:val="67DA2DDB"/>
    <w:rsid w:val="67DD2A82"/>
    <w:rsid w:val="67E19E3E"/>
    <w:rsid w:val="67EE2E1D"/>
    <w:rsid w:val="680B83C1"/>
    <w:rsid w:val="68172ECE"/>
    <w:rsid w:val="68192A73"/>
    <w:rsid w:val="681C7933"/>
    <w:rsid w:val="68302D64"/>
    <w:rsid w:val="683100BA"/>
    <w:rsid w:val="6831AA78"/>
    <w:rsid w:val="683296AA"/>
    <w:rsid w:val="68364839"/>
    <w:rsid w:val="6836D658"/>
    <w:rsid w:val="683C4F4D"/>
    <w:rsid w:val="683D0A2C"/>
    <w:rsid w:val="6841DA58"/>
    <w:rsid w:val="6844DC92"/>
    <w:rsid w:val="684C72B7"/>
    <w:rsid w:val="684D5624"/>
    <w:rsid w:val="6850467A"/>
    <w:rsid w:val="68504F05"/>
    <w:rsid w:val="6855427A"/>
    <w:rsid w:val="68569CA0"/>
    <w:rsid w:val="6857FF85"/>
    <w:rsid w:val="68580AEE"/>
    <w:rsid w:val="685A6F2A"/>
    <w:rsid w:val="685F227A"/>
    <w:rsid w:val="6861B178"/>
    <w:rsid w:val="6862584D"/>
    <w:rsid w:val="68661F18"/>
    <w:rsid w:val="686AC30E"/>
    <w:rsid w:val="686D6FBF"/>
    <w:rsid w:val="686F89D2"/>
    <w:rsid w:val="6873E11A"/>
    <w:rsid w:val="687A2857"/>
    <w:rsid w:val="687BA950"/>
    <w:rsid w:val="687D3393"/>
    <w:rsid w:val="6880C233"/>
    <w:rsid w:val="6880C368"/>
    <w:rsid w:val="68832B96"/>
    <w:rsid w:val="688652A6"/>
    <w:rsid w:val="6891D1D0"/>
    <w:rsid w:val="68923D08"/>
    <w:rsid w:val="6893014C"/>
    <w:rsid w:val="68A2A299"/>
    <w:rsid w:val="68A60604"/>
    <w:rsid w:val="68A90B4A"/>
    <w:rsid w:val="68AC905C"/>
    <w:rsid w:val="68AF6E5F"/>
    <w:rsid w:val="68B1F3D7"/>
    <w:rsid w:val="68B256DC"/>
    <w:rsid w:val="68B32A1D"/>
    <w:rsid w:val="68B338B6"/>
    <w:rsid w:val="68B439BB"/>
    <w:rsid w:val="68B82393"/>
    <w:rsid w:val="68BEA4F7"/>
    <w:rsid w:val="68BFBBDF"/>
    <w:rsid w:val="68CEE4DC"/>
    <w:rsid w:val="68CF57C9"/>
    <w:rsid w:val="68D6FA93"/>
    <w:rsid w:val="68D71939"/>
    <w:rsid w:val="68DBA4E1"/>
    <w:rsid w:val="68DE0217"/>
    <w:rsid w:val="68DEDA16"/>
    <w:rsid w:val="68DFA584"/>
    <w:rsid w:val="68E0884C"/>
    <w:rsid w:val="68E3775C"/>
    <w:rsid w:val="68E53FA9"/>
    <w:rsid w:val="68E65E56"/>
    <w:rsid w:val="68E724B9"/>
    <w:rsid w:val="68E7F8BB"/>
    <w:rsid w:val="68E8CCCA"/>
    <w:rsid w:val="68EAA330"/>
    <w:rsid w:val="68EE3381"/>
    <w:rsid w:val="68F252F0"/>
    <w:rsid w:val="68F8A22B"/>
    <w:rsid w:val="68F8B877"/>
    <w:rsid w:val="68F8F1A8"/>
    <w:rsid w:val="68FA3BFB"/>
    <w:rsid w:val="68FC6910"/>
    <w:rsid w:val="68FE5DB1"/>
    <w:rsid w:val="690368A6"/>
    <w:rsid w:val="6905C2A1"/>
    <w:rsid w:val="690B6B79"/>
    <w:rsid w:val="69106673"/>
    <w:rsid w:val="691180EA"/>
    <w:rsid w:val="69140DC6"/>
    <w:rsid w:val="691654C9"/>
    <w:rsid w:val="691DB7AF"/>
    <w:rsid w:val="691DE3E1"/>
    <w:rsid w:val="691F41A7"/>
    <w:rsid w:val="6923A107"/>
    <w:rsid w:val="6924C857"/>
    <w:rsid w:val="692D97F6"/>
    <w:rsid w:val="6934CBE5"/>
    <w:rsid w:val="6935CCBB"/>
    <w:rsid w:val="6938ACC3"/>
    <w:rsid w:val="693C12FB"/>
    <w:rsid w:val="6941641E"/>
    <w:rsid w:val="6951A145"/>
    <w:rsid w:val="6952568C"/>
    <w:rsid w:val="6953AA7C"/>
    <w:rsid w:val="6953D3DB"/>
    <w:rsid w:val="695D4111"/>
    <w:rsid w:val="695E1EE6"/>
    <w:rsid w:val="695F28BD"/>
    <w:rsid w:val="6964E7A8"/>
    <w:rsid w:val="696B5704"/>
    <w:rsid w:val="696CCA45"/>
    <w:rsid w:val="696DFC68"/>
    <w:rsid w:val="697244B5"/>
    <w:rsid w:val="6973BA56"/>
    <w:rsid w:val="6973BC6E"/>
    <w:rsid w:val="6977A6F5"/>
    <w:rsid w:val="69782E37"/>
    <w:rsid w:val="6979CBA2"/>
    <w:rsid w:val="697BDF59"/>
    <w:rsid w:val="697DEF8E"/>
    <w:rsid w:val="697F7B56"/>
    <w:rsid w:val="698095AB"/>
    <w:rsid w:val="69856935"/>
    <w:rsid w:val="698A8A1E"/>
    <w:rsid w:val="698F6F81"/>
    <w:rsid w:val="6991CC39"/>
    <w:rsid w:val="6993E62D"/>
    <w:rsid w:val="6995AC31"/>
    <w:rsid w:val="69963BFF"/>
    <w:rsid w:val="699D9FE0"/>
    <w:rsid w:val="699E1985"/>
    <w:rsid w:val="699F6278"/>
    <w:rsid w:val="699FF34A"/>
    <w:rsid w:val="69A12363"/>
    <w:rsid w:val="69A2F8E7"/>
    <w:rsid w:val="69A68977"/>
    <w:rsid w:val="69AB90E1"/>
    <w:rsid w:val="69B88FB5"/>
    <w:rsid w:val="69BC29D9"/>
    <w:rsid w:val="69BDB83C"/>
    <w:rsid w:val="69C31ECF"/>
    <w:rsid w:val="69D06B17"/>
    <w:rsid w:val="69D51B45"/>
    <w:rsid w:val="69D6084A"/>
    <w:rsid w:val="69D85703"/>
    <w:rsid w:val="69D8B851"/>
    <w:rsid w:val="69DDBB0E"/>
    <w:rsid w:val="69E00E9A"/>
    <w:rsid w:val="69E849BA"/>
    <w:rsid w:val="69E9FB7C"/>
    <w:rsid w:val="69F41A88"/>
    <w:rsid w:val="69FA1CAD"/>
    <w:rsid w:val="69FAF1D1"/>
    <w:rsid w:val="6A024A07"/>
    <w:rsid w:val="6A0646FC"/>
    <w:rsid w:val="6A0B4112"/>
    <w:rsid w:val="6A15B7C0"/>
    <w:rsid w:val="6A18538E"/>
    <w:rsid w:val="6A1B5C23"/>
    <w:rsid w:val="6A1C243B"/>
    <w:rsid w:val="6A1CB038"/>
    <w:rsid w:val="6A20C255"/>
    <w:rsid w:val="6A21A90C"/>
    <w:rsid w:val="6A275B4C"/>
    <w:rsid w:val="6A28984D"/>
    <w:rsid w:val="6A29567D"/>
    <w:rsid w:val="6A29D9B6"/>
    <w:rsid w:val="6A2DA75D"/>
    <w:rsid w:val="6A2E1AF0"/>
    <w:rsid w:val="6A32BCFB"/>
    <w:rsid w:val="6A3E8EB1"/>
    <w:rsid w:val="6A3F3283"/>
    <w:rsid w:val="6A412501"/>
    <w:rsid w:val="6A42333C"/>
    <w:rsid w:val="6A4522F5"/>
    <w:rsid w:val="6A480F1C"/>
    <w:rsid w:val="6A54C22B"/>
    <w:rsid w:val="6A63CB3E"/>
    <w:rsid w:val="6A6720B7"/>
    <w:rsid w:val="6A69B861"/>
    <w:rsid w:val="6A6BF7F3"/>
    <w:rsid w:val="6A6D78E3"/>
    <w:rsid w:val="6A6DB5CC"/>
    <w:rsid w:val="6A6EEA31"/>
    <w:rsid w:val="6A718869"/>
    <w:rsid w:val="6A731668"/>
    <w:rsid w:val="6A74A1F4"/>
    <w:rsid w:val="6A79775E"/>
    <w:rsid w:val="6A7B0156"/>
    <w:rsid w:val="6A801BDF"/>
    <w:rsid w:val="6A816A6A"/>
    <w:rsid w:val="6A854812"/>
    <w:rsid w:val="6A872C61"/>
    <w:rsid w:val="6A8A940B"/>
    <w:rsid w:val="6A9C0318"/>
    <w:rsid w:val="6A9E6C01"/>
    <w:rsid w:val="6AA4161A"/>
    <w:rsid w:val="6AA5D8C1"/>
    <w:rsid w:val="6AABF2E9"/>
    <w:rsid w:val="6AAC7FD3"/>
    <w:rsid w:val="6AADFC0C"/>
    <w:rsid w:val="6AB0B538"/>
    <w:rsid w:val="6AB9D327"/>
    <w:rsid w:val="6AC268B3"/>
    <w:rsid w:val="6AC6EE74"/>
    <w:rsid w:val="6ACE8CF1"/>
    <w:rsid w:val="6AD60A90"/>
    <w:rsid w:val="6ADC601D"/>
    <w:rsid w:val="6AE19731"/>
    <w:rsid w:val="6AE1EB5C"/>
    <w:rsid w:val="6AE4C1E5"/>
    <w:rsid w:val="6AE53651"/>
    <w:rsid w:val="6AE66487"/>
    <w:rsid w:val="6AE93974"/>
    <w:rsid w:val="6AEA312C"/>
    <w:rsid w:val="6AF6E7F9"/>
    <w:rsid w:val="6AFBB18C"/>
    <w:rsid w:val="6AFD5519"/>
    <w:rsid w:val="6B1429EB"/>
    <w:rsid w:val="6B1433F5"/>
    <w:rsid w:val="6B14BF78"/>
    <w:rsid w:val="6B180A5D"/>
    <w:rsid w:val="6B1F679E"/>
    <w:rsid w:val="6B300D2B"/>
    <w:rsid w:val="6B349CCF"/>
    <w:rsid w:val="6B364D72"/>
    <w:rsid w:val="6B3E8FA0"/>
    <w:rsid w:val="6B452A77"/>
    <w:rsid w:val="6B46288B"/>
    <w:rsid w:val="6B4CC9F6"/>
    <w:rsid w:val="6B4EF84F"/>
    <w:rsid w:val="6B56B5E6"/>
    <w:rsid w:val="6B5DFDA7"/>
    <w:rsid w:val="6B5E9B26"/>
    <w:rsid w:val="6B6106B7"/>
    <w:rsid w:val="6B65162A"/>
    <w:rsid w:val="6B65CCE1"/>
    <w:rsid w:val="6B6C572E"/>
    <w:rsid w:val="6B79EAA7"/>
    <w:rsid w:val="6B83EC44"/>
    <w:rsid w:val="6B8446E9"/>
    <w:rsid w:val="6B851BB2"/>
    <w:rsid w:val="6B86040A"/>
    <w:rsid w:val="6B89FB14"/>
    <w:rsid w:val="6B8C2059"/>
    <w:rsid w:val="6B8F17C4"/>
    <w:rsid w:val="6B8FA078"/>
    <w:rsid w:val="6B9238DB"/>
    <w:rsid w:val="6B98B8B0"/>
    <w:rsid w:val="6B99F71B"/>
    <w:rsid w:val="6B9E77BB"/>
    <w:rsid w:val="6B9F3019"/>
    <w:rsid w:val="6BA846A7"/>
    <w:rsid w:val="6BA858BD"/>
    <w:rsid w:val="6BAC2819"/>
    <w:rsid w:val="6BAC3AB1"/>
    <w:rsid w:val="6BB074FC"/>
    <w:rsid w:val="6BB0B306"/>
    <w:rsid w:val="6BB2CA18"/>
    <w:rsid w:val="6BB4F398"/>
    <w:rsid w:val="6BBDB0DD"/>
    <w:rsid w:val="6BC26430"/>
    <w:rsid w:val="6BC3BE45"/>
    <w:rsid w:val="6BC75B24"/>
    <w:rsid w:val="6BCF789D"/>
    <w:rsid w:val="6BCF8AC3"/>
    <w:rsid w:val="6BD2EBFD"/>
    <w:rsid w:val="6BD3E8F8"/>
    <w:rsid w:val="6BD61A84"/>
    <w:rsid w:val="6BE9E713"/>
    <w:rsid w:val="6BEA0960"/>
    <w:rsid w:val="6BEE522D"/>
    <w:rsid w:val="6BF217D0"/>
    <w:rsid w:val="6BF48171"/>
    <w:rsid w:val="6BF5C7F6"/>
    <w:rsid w:val="6BFE9064"/>
    <w:rsid w:val="6BFF49A0"/>
    <w:rsid w:val="6C015014"/>
    <w:rsid w:val="6C04F23A"/>
    <w:rsid w:val="6C068E9D"/>
    <w:rsid w:val="6C099FB7"/>
    <w:rsid w:val="6C0B5251"/>
    <w:rsid w:val="6C1197D4"/>
    <w:rsid w:val="6C13C452"/>
    <w:rsid w:val="6C13F04F"/>
    <w:rsid w:val="6C14CFA2"/>
    <w:rsid w:val="6C16D01B"/>
    <w:rsid w:val="6C197569"/>
    <w:rsid w:val="6C1E4FEC"/>
    <w:rsid w:val="6C22F62F"/>
    <w:rsid w:val="6C2422F7"/>
    <w:rsid w:val="6C2613F6"/>
    <w:rsid w:val="6C263303"/>
    <w:rsid w:val="6C26CDD8"/>
    <w:rsid w:val="6C2D7055"/>
    <w:rsid w:val="6C31D946"/>
    <w:rsid w:val="6C32168E"/>
    <w:rsid w:val="6C3403EC"/>
    <w:rsid w:val="6C368E7B"/>
    <w:rsid w:val="6C3985DB"/>
    <w:rsid w:val="6C417C15"/>
    <w:rsid w:val="6C419046"/>
    <w:rsid w:val="6C41C920"/>
    <w:rsid w:val="6C493188"/>
    <w:rsid w:val="6C4BC01C"/>
    <w:rsid w:val="6C55561E"/>
    <w:rsid w:val="6C5650CC"/>
    <w:rsid w:val="6C5F82A2"/>
    <w:rsid w:val="6C6BA219"/>
    <w:rsid w:val="6C712B09"/>
    <w:rsid w:val="6C72D808"/>
    <w:rsid w:val="6C770FD4"/>
    <w:rsid w:val="6C7833A1"/>
    <w:rsid w:val="6C7AB021"/>
    <w:rsid w:val="6C7B3559"/>
    <w:rsid w:val="6C7FC4F2"/>
    <w:rsid w:val="6C88BB01"/>
    <w:rsid w:val="6C8B81A5"/>
    <w:rsid w:val="6C8DC2AE"/>
    <w:rsid w:val="6C915B9D"/>
    <w:rsid w:val="6C934D6A"/>
    <w:rsid w:val="6C9480D4"/>
    <w:rsid w:val="6C989F3F"/>
    <w:rsid w:val="6C9DD926"/>
    <w:rsid w:val="6CA26B3A"/>
    <w:rsid w:val="6CA71745"/>
    <w:rsid w:val="6CA7952B"/>
    <w:rsid w:val="6CA9919F"/>
    <w:rsid w:val="6CB48F9D"/>
    <w:rsid w:val="6CB53F9F"/>
    <w:rsid w:val="6CB7C78D"/>
    <w:rsid w:val="6CBC64AF"/>
    <w:rsid w:val="6CBD81D8"/>
    <w:rsid w:val="6CC1B211"/>
    <w:rsid w:val="6CC1E63F"/>
    <w:rsid w:val="6CC34522"/>
    <w:rsid w:val="6CC87761"/>
    <w:rsid w:val="6CCDF562"/>
    <w:rsid w:val="6CCF12E2"/>
    <w:rsid w:val="6CD0BB36"/>
    <w:rsid w:val="6CD521F2"/>
    <w:rsid w:val="6CD94940"/>
    <w:rsid w:val="6CDC0602"/>
    <w:rsid w:val="6CDE2345"/>
    <w:rsid w:val="6CE20F3D"/>
    <w:rsid w:val="6CE6C1AA"/>
    <w:rsid w:val="6CE7FCB7"/>
    <w:rsid w:val="6CE8273C"/>
    <w:rsid w:val="6CEFDCDD"/>
    <w:rsid w:val="6CF191D9"/>
    <w:rsid w:val="6CF61DAF"/>
    <w:rsid w:val="6D04109F"/>
    <w:rsid w:val="6D0ECC78"/>
    <w:rsid w:val="6D102C8B"/>
    <w:rsid w:val="6D13675A"/>
    <w:rsid w:val="6D14AA80"/>
    <w:rsid w:val="6D166891"/>
    <w:rsid w:val="6D184BE3"/>
    <w:rsid w:val="6D186988"/>
    <w:rsid w:val="6D187BE0"/>
    <w:rsid w:val="6D18B726"/>
    <w:rsid w:val="6D1952BD"/>
    <w:rsid w:val="6D1B7EFC"/>
    <w:rsid w:val="6D1DA340"/>
    <w:rsid w:val="6D2B066E"/>
    <w:rsid w:val="6D2B2A53"/>
    <w:rsid w:val="6D2D8701"/>
    <w:rsid w:val="6D30ACC4"/>
    <w:rsid w:val="6D338FD0"/>
    <w:rsid w:val="6D36DCF4"/>
    <w:rsid w:val="6D3C5B1E"/>
    <w:rsid w:val="6D3F6C0D"/>
    <w:rsid w:val="6D3F9812"/>
    <w:rsid w:val="6D410B77"/>
    <w:rsid w:val="6D43BB7D"/>
    <w:rsid w:val="6D443B16"/>
    <w:rsid w:val="6D47508E"/>
    <w:rsid w:val="6D476F79"/>
    <w:rsid w:val="6D595B7A"/>
    <w:rsid w:val="6D59FA03"/>
    <w:rsid w:val="6D5AF0B0"/>
    <w:rsid w:val="6D5CCC73"/>
    <w:rsid w:val="6D5CD111"/>
    <w:rsid w:val="6D605056"/>
    <w:rsid w:val="6D611FB8"/>
    <w:rsid w:val="6D6B3A4D"/>
    <w:rsid w:val="6D6BADC7"/>
    <w:rsid w:val="6D6C7019"/>
    <w:rsid w:val="6D6DC8B8"/>
    <w:rsid w:val="6D787B38"/>
    <w:rsid w:val="6D7AECD2"/>
    <w:rsid w:val="6D7E6FB0"/>
    <w:rsid w:val="6D90DE11"/>
    <w:rsid w:val="6D91B49C"/>
    <w:rsid w:val="6D932566"/>
    <w:rsid w:val="6D93E359"/>
    <w:rsid w:val="6D9903AF"/>
    <w:rsid w:val="6D99302E"/>
    <w:rsid w:val="6D9A78C9"/>
    <w:rsid w:val="6DA0D63F"/>
    <w:rsid w:val="6DA7A773"/>
    <w:rsid w:val="6DAFEA6A"/>
    <w:rsid w:val="6DB1BD04"/>
    <w:rsid w:val="6DB49A39"/>
    <w:rsid w:val="6DBFB3FB"/>
    <w:rsid w:val="6DC24FDF"/>
    <w:rsid w:val="6DC73E20"/>
    <w:rsid w:val="6DC7614A"/>
    <w:rsid w:val="6DCE2359"/>
    <w:rsid w:val="6DCE4FCD"/>
    <w:rsid w:val="6DCE6C75"/>
    <w:rsid w:val="6DCFE93D"/>
    <w:rsid w:val="6DD281BA"/>
    <w:rsid w:val="6DE23BBC"/>
    <w:rsid w:val="6DE2A5D1"/>
    <w:rsid w:val="6DE51039"/>
    <w:rsid w:val="6DE5266D"/>
    <w:rsid w:val="6DE5558E"/>
    <w:rsid w:val="6DE84018"/>
    <w:rsid w:val="6DF6064E"/>
    <w:rsid w:val="6DF99F3B"/>
    <w:rsid w:val="6DFA8004"/>
    <w:rsid w:val="6E056BCB"/>
    <w:rsid w:val="6E06EBE3"/>
    <w:rsid w:val="6E0ECC6F"/>
    <w:rsid w:val="6E117C68"/>
    <w:rsid w:val="6E1386E5"/>
    <w:rsid w:val="6E14C2A9"/>
    <w:rsid w:val="6E1ECDFB"/>
    <w:rsid w:val="6E27BD5A"/>
    <w:rsid w:val="6E29D4C9"/>
    <w:rsid w:val="6E2A124B"/>
    <w:rsid w:val="6E31169E"/>
    <w:rsid w:val="6E33E883"/>
    <w:rsid w:val="6E362C30"/>
    <w:rsid w:val="6E386E6E"/>
    <w:rsid w:val="6E3DCA78"/>
    <w:rsid w:val="6E3DF936"/>
    <w:rsid w:val="6E3E79BF"/>
    <w:rsid w:val="6E3F3B86"/>
    <w:rsid w:val="6E43F3C6"/>
    <w:rsid w:val="6E44E822"/>
    <w:rsid w:val="6E485350"/>
    <w:rsid w:val="6E486115"/>
    <w:rsid w:val="6E4E0BB3"/>
    <w:rsid w:val="6E5216D0"/>
    <w:rsid w:val="6E57348B"/>
    <w:rsid w:val="6E59E4FE"/>
    <w:rsid w:val="6E636AEF"/>
    <w:rsid w:val="6E64E23D"/>
    <w:rsid w:val="6E68C302"/>
    <w:rsid w:val="6E69818E"/>
    <w:rsid w:val="6E71DA68"/>
    <w:rsid w:val="6E744EE1"/>
    <w:rsid w:val="6E77AA6E"/>
    <w:rsid w:val="6E781FA1"/>
    <w:rsid w:val="6E843A41"/>
    <w:rsid w:val="6E8706ED"/>
    <w:rsid w:val="6E870FA7"/>
    <w:rsid w:val="6E895AE8"/>
    <w:rsid w:val="6E8F96AD"/>
    <w:rsid w:val="6E96A6FC"/>
    <w:rsid w:val="6E9BB649"/>
    <w:rsid w:val="6E9F124F"/>
    <w:rsid w:val="6EA67FE1"/>
    <w:rsid w:val="6EA7A6DC"/>
    <w:rsid w:val="6EAA1B8B"/>
    <w:rsid w:val="6EB4BD6F"/>
    <w:rsid w:val="6EB8ACF2"/>
    <w:rsid w:val="6EBF0822"/>
    <w:rsid w:val="6EC39229"/>
    <w:rsid w:val="6EC76C44"/>
    <w:rsid w:val="6ECFB4B3"/>
    <w:rsid w:val="6ED08CB0"/>
    <w:rsid w:val="6ED459C7"/>
    <w:rsid w:val="6ED5ABD4"/>
    <w:rsid w:val="6ED8DA00"/>
    <w:rsid w:val="6EDAAE1D"/>
    <w:rsid w:val="6EDC36DD"/>
    <w:rsid w:val="6EDCD9DC"/>
    <w:rsid w:val="6EE12786"/>
    <w:rsid w:val="6EE6D787"/>
    <w:rsid w:val="6EF12CDC"/>
    <w:rsid w:val="6EF285DE"/>
    <w:rsid w:val="6EF49E64"/>
    <w:rsid w:val="6EF58A28"/>
    <w:rsid w:val="6EF823F3"/>
    <w:rsid w:val="6EF8ED3A"/>
    <w:rsid w:val="6EFD2E1A"/>
    <w:rsid w:val="6EFDC982"/>
    <w:rsid w:val="6F027464"/>
    <w:rsid w:val="6F047EF4"/>
    <w:rsid w:val="6F064823"/>
    <w:rsid w:val="6F081A4C"/>
    <w:rsid w:val="6F0F47B3"/>
    <w:rsid w:val="6F121C61"/>
    <w:rsid w:val="6F1803F1"/>
    <w:rsid w:val="6F1A7D3F"/>
    <w:rsid w:val="6F1AA186"/>
    <w:rsid w:val="6F216D8A"/>
    <w:rsid w:val="6F24BCC2"/>
    <w:rsid w:val="6F261F2C"/>
    <w:rsid w:val="6F28096D"/>
    <w:rsid w:val="6F313F8F"/>
    <w:rsid w:val="6F32B8FB"/>
    <w:rsid w:val="6F35A09C"/>
    <w:rsid w:val="6F387B59"/>
    <w:rsid w:val="6F3BD9D4"/>
    <w:rsid w:val="6F409607"/>
    <w:rsid w:val="6F416D27"/>
    <w:rsid w:val="6F4B390E"/>
    <w:rsid w:val="6F4B684E"/>
    <w:rsid w:val="6F4EEE41"/>
    <w:rsid w:val="6F560774"/>
    <w:rsid w:val="6F56AF48"/>
    <w:rsid w:val="6F5AC03C"/>
    <w:rsid w:val="6F5DC47F"/>
    <w:rsid w:val="6F640676"/>
    <w:rsid w:val="6F74CD27"/>
    <w:rsid w:val="6F79B8DE"/>
    <w:rsid w:val="6F7AE662"/>
    <w:rsid w:val="6F7C5CE0"/>
    <w:rsid w:val="6F8039B2"/>
    <w:rsid w:val="6F832743"/>
    <w:rsid w:val="6F83E2FE"/>
    <w:rsid w:val="6F8BB71A"/>
    <w:rsid w:val="6F901F5B"/>
    <w:rsid w:val="6F93E4ED"/>
    <w:rsid w:val="6F981ED1"/>
    <w:rsid w:val="6F9948E9"/>
    <w:rsid w:val="6FA01C44"/>
    <w:rsid w:val="6FA69314"/>
    <w:rsid w:val="6FA6E56E"/>
    <w:rsid w:val="6FA8A42B"/>
    <w:rsid w:val="6FACA04A"/>
    <w:rsid w:val="6FB6F763"/>
    <w:rsid w:val="6FBA22CD"/>
    <w:rsid w:val="6FBAE9A2"/>
    <w:rsid w:val="6FBB6B76"/>
    <w:rsid w:val="6FC1F162"/>
    <w:rsid w:val="6FC4D732"/>
    <w:rsid w:val="6FC7F92D"/>
    <w:rsid w:val="6FD2ECB9"/>
    <w:rsid w:val="6FD60B92"/>
    <w:rsid w:val="6FD6B933"/>
    <w:rsid w:val="6FD99C92"/>
    <w:rsid w:val="6FDA5406"/>
    <w:rsid w:val="6FE11683"/>
    <w:rsid w:val="6FE7D28B"/>
    <w:rsid w:val="6FEC0D99"/>
    <w:rsid w:val="6FF67608"/>
    <w:rsid w:val="6FFB6B86"/>
    <w:rsid w:val="6FFE3CE8"/>
    <w:rsid w:val="700286D2"/>
    <w:rsid w:val="700B47BB"/>
    <w:rsid w:val="700E1403"/>
    <w:rsid w:val="701CE909"/>
    <w:rsid w:val="701D4AD6"/>
    <w:rsid w:val="701FF728"/>
    <w:rsid w:val="70239A2E"/>
    <w:rsid w:val="7025250F"/>
    <w:rsid w:val="702724A9"/>
    <w:rsid w:val="7027BFCB"/>
    <w:rsid w:val="702D6112"/>
    <w:rsid w:val="7030C0CD"/>
    <w:rsid w:val="703162CA"/>
    <w:rsid w:val="7031CC07"/>
    <w:rsid w:val="70353EBB"/>
    <w:rsid w:val="70369991"/>
    <w:rsid w:val="70389F82"/>
    <w:rsid w:val="7039C417"/>
    <w:rsid w:val="703D8C2F"/>
    <w:rsid w:val="7047B03A"/>
    <w:rsid w:val="704BCCDA"/>
    <w:rsid w:val="704D1B16"/>
    <w:rsid w:val="704DB45A"/>
    <w:rsid w:val="7056A77E"/>
    <w:rsid w:val="70593CA7"/>
    <w:rsid w:val="7060DABD"/>
    <w:rsid w:val="706811FC"/>
    <w:rsid w:val="706C4E85"/>
    <w:rsid w:val="70733A20"/>
    <w:rsid w:val="7079486D"/>
    <w:rsid w:val="7079F3F8"/>
    <w:rsid w:val="707DC2A7"/>
    <w:rsid w:val="707DE666"/>
    <w:rsid w:val="708AB810"/>
    <w:rsid w:val="708D39C3"/>
    <w:rsid w:val="708E0325"/>
    <w:rsid w:val="708F3127"/>
    <w:rsid w:val="709271B0"/>
    <w:rsid w:val="709A5787"/>
    <w:rsid w:val="70A221DE"/>
    <w:rsid w:val="70A4BEA6"/>
    <w:rsid w:val="70A820B9"/>
    <w:rsid w:val="70ABD8DC"/>
    <w:rsid w:val="70B23FE3"/>
    <w:rsid w:val="70B68368"/>
    <w:rsid w:val="70B7DA4D"/>
    <w:rsid w:val="70B9A36C"/>
    <w:rsid w:val="70C0BDBD"/>
    <w:rsid w:val="70C721C8"/>
    <w:rsid w:val="70CAC8D1"/>
    <w:rsid w:val="70CE07B3"/>
    <w:rsid w:val="70D07598"/>
    <w:rsid w:val="70D08217"/>
    <w:rsid w:val="70D79EF7"/>
    <w:rsid w:val="70D904CF"/>
    <w:rsid w:val="70DD53B1"/>
    <w:rsid w:val="70DEE13E"/>
    <w:rsid w:val="70E315DC"/>
    <w:rsid w:val="70E9031F"/>
    <w:rsid w:val="70EFA622"/>
    <w:rsid w:val="70F4B50E"/>
    <w:rsid w:val="70F9C8D3"/>
    <w:rsid w:val="70FAFFBF"/>
    <w:rsid w:val="70FE0692"/>
    <w:rsid w:val="71056A0A"/>
    <w:rsid w:val="710FF492"/>
    <w:rsid w:val="71103BCC"/>
    <w:rsid w:val="711DD026"/>
    <w:rsid w:val="71224459"/>
    <w:rsid w:val="71227EC4"/>
    <w:rsid w:val="712425B0"/>
    <w:rsid w:val="712808F3"/>
    <w:rsid w:val="712BD41D"/>
    <w:rsid w:val="712EAC0D"/>
    <w:rsid w:val="713978AA"/>
    <w:rsid w:val="713AAF59"/>
    <w:rsid w:val="71405FB8"/>
    <w:rsid w:val="7142F175"/>
    <w:rsid w:val="714C530E"/>
    <w:rsid w:val="71524BA2"/>
    <w:rsid w:val="715992F2"/>
    <w:rsid w:val="7159A6DE"/>
    <w:rsid w:val="7159BD3E"/>
    <w:rsid w:val="715A3537"/>
    <w:rsid w:val="7162D6A5"/>
    <w:rsid w:val="7169F5AC"/>
    <w:rsid w:val="716B6C6B"/>
    <w:rsid w:val="71770755"/>
    <w:rsid w:val="717892D0"/>
    <w:rsid w:val="717ADD0C"/>
    <w:rsid w:val="717BDAEB"/>
    <w:rsid w:val="7183C992"/>
    <w:rsid w:val="718518C6"/>
    <w:rsid w:val="718621A0"/>
    <w:rsid w:val="718BAD2B"/>
    <w:rsid w:val="71906937"/>
    <w:rsid w:val="71958A36"/>
    <w:rsid w:val="719BF934"/>
    <w:rsid w:val="71A3EFBE"/>
    <w:rsid w:val="71A51462"/>
    <w:rsid w:val="71A5215C"/>
    <w:rsid w:val="71A8803B"/>
    <w:rsid w:val="71AF2B4F"/>
    <w:rsid w:val="71AF311B"/>
    <w:rsid w:val="71B1987B"/>
    <w:rsid w:val="71B3144A"/>
    <w:rsid w:val="71B90087"/>
    <w:rsid w:val="71BADC53"/>
    <w:rsid w:val="71C16469"/>
    <w:rsid w:val="71CE9D06"/>
    <w:rsid w:val="71DBAC16"/>
    <w:rsid w:val="71DFE35F"/>
    <w:rsid w:val="71E02DB4"/>
    <w:rsid w:val="71E10CE0"/>
    <w:rsid w:val="71E6A92E"/>
    <w:rsid w:val="71E81724"/>
    <w:rsid w:val="71EADD00"/>
    <w:rsid w:val="71EB49DB"/>
    <w:rsid w:val="71EE2190"/>
    <w:rsid w:val="71F0CF0A"/>
    <w:rsid w:val="71F88D97"/>
    <w:rsid w:val="71FEDEA7"/>
    <w:rsid w:val="7201260C"/>
    <w:rsid w:val="72027ED1"/>
    <w:rsid w:val="72081118"/>
    <w:rsid w:val="720CC137"/>
    <w:rsid w:val="720FEDE0"/>
    <w:rsid w:val="72131A7C"/>
    <w:rsid w:val="72154ACD"/>
    <w:rsid w:val="721BB07C"/>
    <w:rsid w:val="7222D498"/>
    <w:rsid w:val="7225E036"/>
    <w:rsid w:val="72270C80"/>
    <w:rsid w:val="722AF53E"/>
    <w:rsid w:val="722F27E4"/>
    <w:rsid w:val="723586BB"/>
    <w:rsid w:val="72525DF4"/>
    <w:rsid w:val="7252CF99"/>
    <w:rsid w:val="725345D1"/>
    <w:rsid w:val="72567B59"/>
    <w:rsid w:val="725AE9D3"/>
    <w:rsid w:val="725C5CDA"/>
    <w:rsid w:val="725CEF40"/>
    <w:rsid w:val="725EFE73"/>
    <w:rsid w:val="726194D0"/>
    <w:rsid w:val="7263A9D0"/>
    <w:rsid w:val="72655566"/>
    <w:rsid w:val="7267B84B"/>
    <w:rsid w:val="726AC77D"/>
    <w:rsid w:val="726DD584"/>
    <w:rsid w:val="7273500C"/>
    <w:rsid w:val="72746435"/>
    <w:rsid w:val="7277703D"/>
    <w:rsid w:val="727A6FE3"/>
    <w:rsid w:val="727CF5D3"/>
    <w:rsid w:val="7280E6F7"/>
    <w:rsid w:val="7281D049"/>
    <w:rsid w:val="7284F68E"/>
    <w:rsid w:val="72850456"/>
    <w:rsid w:val="7288ABC8"/>
    <w:rsid w:val="728BFC93"/>
    <w:rsid w:val="729B7195"/>
    <w:rsid w:val="729F3356"/>
    <w:rsid w:val="72A0F6B7"/>
    <w:rsid w:val="72A1A94B"/>
    <w:rsid w:val="72A1CE1A"/>
    <w:rsid w:val="72AD0A89"/>
    <w:rsid w:val="72AD6386"/>
    <w:rsid w:val="72AF8E9A"/>
    <w:rsid w:val="72B11F5C"/>
    <w:rsid w:val="72B5BE1A"/>
    <w:rsid w:val="72BD35AD"/>
    <w:rsid w:val="72C056F1"/>
    <w:rsid w:val="72C74B17"/>
    <w:rsid w:val="72C7DE52"/>
    <w:rsid w:val="72C8ACA7"/>
    <w:rsid w:val="72CAD24F"/>
    <w:rsid w:val="72D48A80"/>
    <w:rsid w:val="72E0E2E5"/>
    <w:rsid w:val="72EE04C3"/>
    <w:rsid w:val="72F6F2EA"/>
    <w:rsid w:val="72F84461"/>
    <w:rsid w:val="72FF5760"/>
    <w:rsid w:val="730A3C26"/>
    <w:rsid w:val="7312ACEB"/>
    <w:rsid w:val="73160D65"/>
    <w:rsid w:val="731AA354"/>
    <w:rsid w:val="7323C11C"/>
    <w:rsid w:val="732A0150"/>
    <w:rsid w:val="7332410F"/>
    <w:rsid w:val="7341084E"/>
    <w:rsid w:val="73478860"/>
    <w:rsid w:val="734B0293"/>
    <w:rsid w:val="734B602E"/>
    <w:rsid w:val="734C12A7"/>
    <w:rsid w:val="735472AE"/>
    <w:rsid w:val="7354AB8B"/>
    <w:rsid w:val="735A117B"/>
    <w:rsid w:val="735B2CF2"/>
    <w:rsid w:val="735D0DA9"/>
    <w:rsid w:val="735EAC96"/>
    <w:rsid w:val="735FEE27"/>
    <w:rsid w:val="73610C03"/>
    <w:rsid w:val="7363B1F3"/>
    <w:rsid w:val="73691957"/>
    <w:rsid w:val="736DA755"/>
    <w:rsid w:val="736FC233"/>
    <w:rsid w:val="73720C2B"/>
    <w:rsid w:val="7373FE82"/>
    <w:rsid w:val="7374A1C9"/>
    <w:rsid w:val="73756485"/>
    <w:rsid w:val="73780263"/>
    <w:rsid w:val="7380AE1E"/>
    <w:rsid w:val="73822A81"/>
    <w:rsid w:val="7389DF8A"/>
    <w:rsid w:val="738F9B28"/>
    <w:rsid w:val="7391BB66"/>
    <w:rsid w:val="739A0854"/>
    <w:rsid w:val="739F7E48"/>
    <w:rsid w:val="73A55F0F"/>
    <w:rsid w:val="73A6BAB3"/>
    <w:rsid w:val="73A78A7F"/>
    <w:rsid w:val="73A7F6D9"/>
    <w:rsid w:val="73ACF239"/>
    <w:rsid w:val="73AEF01D"/>
    <w:rsid w:val="73B0530D"/>
    <w:rsid w:val="73B8DE58"/>
    <w:rsid w:val="73B8E265"/>
    <w:rsid w:val="73B927C1"/>
    <w:rsid w:val="73BCBCD2"/>
    <w:rsid w:val="73BE25C6"/>
    <w:rsid w:val="73C105F4"/>
    <w:rsid w:val="73C7BD4B"/>
    <w:rsid w:val="73CBC03C"/>
    <w:rsid w:val="73DA9A48"/>
    <w:rsid w:val="73DFD4EE"/>
    <w:rsid w:val="73E10D23"/>
    <w:rsid w:val="73E32E43"/>
    <w:rsid w:val="73E3F494"/>
    <w:rsid w:val="73EBA59B"/>
    <w:rsid w:val="73EDA260"/>
    <w:rsid w:val="73EEA4A2"/>
    <w:rsid w:val="73F3E8E7"/>
    <w:rsid w:val="73F856CC"/>
    <w:rsid w:val="73FF2099"/>
    <w:rsid w:val="7410CB48"/>
    <w:rsid w:val="741131D9"/>
    <w:rsid w:val="7411BC66"/>
    <w:rsid w:val="74147BD4"/>
    <w:rsid w:val="74199BDF"/>
    <w:rsid w:val="74233F86"/>
    <w:rsid w:val="7423C40B"/>
    <w:rsid w:val="742A26D7"/>
    <w:rsid w:val="742E386B"/>
    <w:rsid w:val="74312BA2"/>
    <w:rsid w:val="74336C96"/>
    <w:rsid w:val="7433D8E7"/>
    <w:rsid w:val="74371D11"/>
    <w:rsid w:val="7440A224"/>
    <w:rsid w:val="7446490B"/>
    <w:rsid w:val="7453E7F2"/>
    <w:rsid w:val="74579969"/>
    <w:rsid w:val="74592AE7"/>
    <w:rsid w:val="745FC944"/>
    <w:rsid w:val="746598C5"/>
    <w:rsid w:val="74663729"/>
    <w:rsid w:val="7466DF9C"/>
    <w:rsid w:val="74682902"/>
    <w:rsid w:val="746EB984"/>
    <w:rsid w:val="7471637F"/>
    <w:rsid w:val="747A9E5C"/>
    <w:rsid w:val="747CFEC7"/>
    <w:rsid w:val="74849A2F"/>
    <w:rsid w:val="7484E29A"/>
    <w:rsid w:val="74895601"/>
    <w:rsid w:val="748F926A"/>
    <w:rsid w:val="7492AD36"/>
    <w:rsid w:val="74939D15"/>
    <w:rsid w:val="7495E08A"/>
    <w:rsid w:val="7498981D"/>
    <w:rsid w:val="7498E0EB"/>
    <w:rsid w:val="74A17037"/>
    <w:rsid w:val="74A1FCDD"/>
    <w:rsid w:val="74A3F66E"/>
    <w:rsid w:val="74A63B4C"/>
    <w:rsid w:val="74AF5232"/>
    <w:rsid w:val="74AFF517"/>
    <w:rsid w:val="74B49D72"/>
    <w:rsid w:val="74B81B1A"/>
    <w:rsid w:val="74B94B60"/>
    <w:rsid w:val="74BDAEA9"/>
    <w:rsid w:val="74BF32B8"/>
    <w:rsid w:val="74C64D4D"/>
    <w:rsid w:val="74CA2EAB"/>
    <w:rsid w:val="74D090E6"/>
    <w:rsid w:val="74D81EA7"/>
    <w:rsid w:val="74DB843E"/>
    <w:rsid w:val="74DEBDCE"/>
    <w:rsid w:val="74E2B43B"/>
    <w:rsid w:val="74EFF8F6"/>
    <w:rsid w:val="74F5CAEB"/>
    <w:rsid w:val="74FD78E2"/>
    <w:rsid w:val="75010E3F"/>
    <w:rsid w:val="75077352"/>
    <w:rsid w:val="750CADB4"/>
    <w:rsid w:val="75189F7A"/>
    <w:rsid w:val="751E2EBC"/>
    <w:rsid w:val="752D8984"/>
    <w:rsid w:val="75314E2A"/>
    <w:rsid w:val="753EE232"/>
    <w:rsid w:val="7540C941"/>
    <w:rsid w:val="7543D99E"/>
    <w:rsid w:val="754543D2"/>
    <w:rsid w:val="754BA9AB"/>
    <w:rsid w:val="754C7C95"/>
    <w:rsid w:val="7550D78B"/>
    <w:rsid w:val="7552443D"/>
    <w:rsid w:val="7553EDA7"/>
    <w:rsid w:val="75571577"/>
    <w:rsid w:val="7563266F"/>
    <w:rsid w:val="75657A26"/>
    <w:rsid w:val="75682684"/>
    <w:rsid w:val="75692F32"/>
    <w:rsid w:val="756C26EE"/>
    <w:rsid w:val="757086CB"/>
    <w:rsid w:val="75711BC6"/>
    <w:rsid w:val="7576D402"/>
    <w:rsid w:val="757A62BD"/>
    <w:rsid w:val="757A7B7B"/>
    <w:rsid w:val="757D4D8A"/>
    <w:rsid w:val="757F21CC"/>
    <w:rsid w:val="7585684F"/>
    <w:rsid w:val="75862847"/>
    <w:rsid w:val="75890129"/>
    <w:rsid w:val="758A1AA4"/>
    <w:rsid w:val="758B4BE8"/>
    <w:rsid w:val="758DB037"/>
    <w:rsid w:val="7590B2E5"/>
    <w:rsid w:val="75932929"/>
    <w:rsid w:val="75991FF6"/>
    <w:rsid w:val="75A1EB03"/>
    <w:rsid w:val="75A4520A"/>
    <w:rsid w:val="75A5414E"/>
    <w:rsid w:val="75A66FCA"/>
    <w:rsid w:val="75A6AAFF"/>
    <w:rsid w:val="75A7DB19"/>
    <w:rsid w:val="75A86DF7"/>
    <w:rsid w:val="75A9088A"/>
    <w:rsid w:val="75A920F9"/>
    <w:rsid w:val="75B3D2C7"/>
    <w:rsid w:val="75B4A181"/>
    <w:rsid w:val="75B6BFC0"/>
    <w:rsid w:val="75B6DE6B"/>
    <w:rsid w:val="75B6E370"/>
    <w:rsid w:val="75BC12A2"/>
    <w:rsid w:val="75C85676"/>
    <w:rsid w:val="75C98C5D"/>
    <w:rsid w:val="75CD5A79"/>
    <w:rsid w:val="75CDEF15"/>
    <w:rsid w:val="75D59592"/>
    <w:rsid w:val="75DCCCBF"/>
    <w:rsid w:val="75DF466B"/>
    <w:rsid w:val="75E29CCA"/>
    <w:rsid w:val="75EBE9BB"/>
    <w:rsid w:val="75ED1AC9"/>
    <w:rsid w:val="75F006D0"/>
    <w:rsid w:val="75F4DB99"/>
    <w:rsid w:val="75FD0433"/>
    <w:rsid w:val="7603C89D"/>
    <w:rsid w:val="7604EE1C"/>
    <w:rsid w:val="760666DD"/>
    <w:rsid w:val="7608B636"/>
    <w:rsid w:val="76096372"/>
    <w:rsid w:val="761365DF"/>
    <w:rsid w:val="7616063B"/>
    <w:rsid w:val="761654BD"/>
    <w:rsid w:val="761703BB"/>
    <w:rsid w:val="761B9A7D"/>
    <w:rsid w:val="7622C5B8"/>
    <w:rsid w:val="76253B81"/>
    <w:rsid w:val="762633ED"/>
    <w:rsid w:val="762F2B81"/>
    <w:rsid w:val="762F9076"/>
    <w:rsid w:val="7642624D"/>
    <w:rsid w:val="76428FBC"/>
    <w:rsid w:val="7644D469"/>
    <w:rsid w:val="7644D6F2"/>
    <w:rsid w:val="76454205"/>
    <w:rsid w:val="764BA6A8"/>
    <w:rsid w:val="764CFD1B"/>
    <w:rsid w:val="764D1AFE"/>
    <w:rsid w:val="764F14CE"/>
    <w:rsid w:val="765129C9"/>
    <w:rsid w:val="7651BF10"/>
    <w:rsid w:val="7652B8A5"/>
    <w:rsid w:val="7660D7EF"/>
    <w:rsid w:val="76634977"/>
    <w:rsid w:val="766376AA"/>
    <w:rsid w:val="76670789"/>
    <w:rsid w:val="766B3CD7"/>
    <w:rsid w:val="7670085B"/>
    <w:rsid w:val="7673AA0B"/>
    <w:rsid w:val="767A9DC2"/>
    <w:rsid w:val="767CEA02"/>
    <w:rsid w:val="76863CE8"/>
    <w:rsid w:val="7687AC73"/>
    <w:rsid w:val="768A3833"/>
    <w:rsid w:val="76934466"/>
    <w:rsid w:val="769440B8"/>
    <w:rsid w:val="76991255"/>
    <w:rsid w:val="769D5027"/>
    <w:rsid w:val="76A04F3D"/>
    <w:rsid w:val="76A1CE5C"/>
    <w:rsid w:val="76A634D9"/>
    <w:rsid w:val="76A9C431"/>
    <w:rsid w:val="76AA9DB6"/>
    <w:rsid w:val="76B7CA2A"/>
    <w:rsid w:val="76B869ED"/>
    <w:rsid w:val="76B8DB5C"/>
    <w:rsid w:val="76B8E8F4"/>
    <w:rsid w:val="76BB6F0A"/>
    <w:rsid w:val="76BD229E"/>
    <w:rsid w:val="76BD4A64"/>
    <w:rsid w:val="76C3DF1F"/>
    <w:rsid w:val="76CBDDFF"/>
    <w:rsid w:val="76D2B7D9"/>
    <w:rsid w:val="76D52FB0"/>
    <w:rsid w:val="76D72853"/>
    <w:rsid w:val="76DA4B11"/>
    <w:rsid w:val="76DC5C05"/>
    <w:rsid w:val="76DC7E75"/>
    <w:rsid w:val="76E1AFC3"/>
    <w:rsid w:val="76E4EA3D"/>
    <w:rsid w:val="76E5C8E0"/>
    <w:rsid w:val="76ECDEBB"/>
    <w:rsid w:val="76ED1299"/>
    <w:rsid w:val="76EDE705"/>
    <w:rsid w:val="76EF6250"/>
    <w:rsid w:val="76F7BDBD"/>
    <w:rsid w:val="7702406B"/>
    <w:rsid w:val="770AF769"/>
    <w:rsid w:val="770ED65D"/>
    <w:rsid w:val="770FC3DB"/>
    <w:rsid w:val="77102AA1"/>
    <w:rsid w:val="7711B2C1"/>
    <w:rsid w:val="7711E01C"/>
    <w:rsid w:val="77141036"/>
    <w:rsid w:val="77158F97"/>
    <w:rsid w:val="7717C0E3"/>
    <w:rsid w:val="771A31A7"/>
    <w:rsid w:val="771CC3A2"/>
    <w:rsid w:val="771CE3A1"/>
    <w:rsid w:val="7722FBC9"/>
    <w:rsid w:val="77289E80"/>
    <w:rsid w:val="773AFD9A"/>
    <w:rsid w:val="773FD4B8"/>
    <w:rsid w:val="774287BD"/>
    <w:rsid w:val="7743CE01"/>
    <w:rsid w:val="77456D9D"/>
    <w:rsid w:val="774AC5BD"/>
    <w:rsid w:val="77515151"/>
    <w:rsid w:val="77520775"/>
    <w:rsid w:val="77546829"/>
    <w:rsid w:val="77550367"/>
    <w:rsid w:val="77593733"/>
    <w:rsid w:val="7762D887"/>
    <w:rsid w:val="7767EA2D"/>
    <w:rsid w:val="7767FDE0"/>
    <w:rsid w:val="776E5DCA"/>
    <w:rsid w:val="7770B794"/>
    <w:rsid w:val="777756C5"/>
    <w:rsid w:val="777D1500"/>
    <w:rsid w:val="777D2D39"/>
    <w:rsid w:val="777E3EE7"/>
    <w:rsid w:val="777E71D5"/>
    <w:rsid w:val="777F0118"/>
    <w:rsid w:val="778413B7"/>
    <w:rsid w:val="7787EBCA"/>
    <w:rsid w:val="778A911C"/>
    <w:rsid w:val="778CEE7A"/>
    <w:rsid w:val="778F3349"/>
    <w:rsid w:val="7791189A"/>
    <w:rsid w:val="7792D064"/>
    <w:rsid w:val="77991FAD"/>
    <w:rsid w:val="779AB4BD"/>
    <w:rsid w:val="779B15EF"/>
    <w:rsid w:val="779C8BDF"/>
    <w:rsid w:val="779D5CC5"/>
    <w:rsid w:val="779D6E7D"/>
    <w:rsid w:val="779FEA70"/>
    <w:rsid w:val="77A0E6A6"/>
    <w:rsid w:val="77A2D637"/>
    <w:rsid w:val="77AFD5EC"/>
    <w:rsid w:val="77B2B168"/>
    <w:rsid w:val="77B5DE22"/>
    <w:rsid w:val="77B64EE1"/>
    <w:rsid w:val="77B65C82"/>
    <w:rsid w:val="77C06C00"/>
    <w:rsid w:val="77C45953"/>
    <w:rsid w:val="77C7491E"/>
    <w:rsid w:val="77C85073"/>
    <w:rsid w:val="77D35AEE"/>
    <w:rsid w:val="77D624F3"/>
    <w:rsid w:val="77DB63D7"/>
    <w:rsid w:val="77DF16EE"/>
    <w:rsid w:val="77E7B0F4"/>
    <w:rsid w:val="77F1C627"/>
    <w:rsid w:val="77F5B8A9"/>
    <w:rsid w:val="77FBD1A7"/>
    <w:rsid w:val="78077FA6"/>
    <w:rsid w:val="780ADC92"/>
    <w:rsid w:val="780CBD87"/>
    <w:rsid w:val="7812900A"/>
    <w:rsid w:val="78143D45"/>
    <w:rsid w:val="7817DC56"/>
    <w:rsid w:val="781F0624"/>
    <w:rsid w:val="78226729"/>
    <w:rsid w:val="782B838C"/>
    <w:rsid w:val="782DF057"/>
    <w:rsid w:val="7836D45A"/>
    <w:rsid w:val="783715B1"/>
    <w:rsid w:val="783759CC"/>
    <w:rsid w:val="7837D5B4"/>
    <w:rsid w:val="783CD065"/>
    <w:rsid w:val="78410F52"/>
    <w:rsid w:val="7841DD9C"/>
    <w:rsid w:val="784974D5"/>
    <w:rsid w:val="784ABD0C"/>
    <w:rsid w:val="784D6CE5"/>
    <w:rsid w:val="7850F350"/>
    <w:rsid w:val="78527B51"/>
    <w:rsid w:val="78561F8F"/>
    <w:rsid w:val="7858400F"/>
    <w:rsid w:val="7858A5AB"/>
    <w:rsid w:val="786C6753"/>
    <w:rsid w:val="787698C8"/>
    <w:rsid w:val="787C9EE6"/>
    <w:rsid w:val="787E22F1"/>
    <w:rsid w:val="7880BBC4"/>
    <w:rsid w:val="78821474"/>
    <w:rsid w:val="788A320B"/>
    <w:rsid w:val="788AC660"/>
    <w:rsid w:val="788E8791"/>
    <w:rsid w:val="7890677F"/>
    <w:rsid w:val="789079C1"/>
    <w:rsid w:val="78915501"/>
    <w:rsid w:val="7891D841"/>
    <w:rsid w:val="789EC425"/>
    <w:rsid w:val="78A6DAED"/>
    <w:rsid w:val="78C5571F"/>
    <w:rsid w:val="78CC0B92"/>
    <w:rsid w:val="78DB81EE"/>
    <w:rsid w:val="78DD4FAB"/>
    <w:rsid w:val="78DE053B"/>
    <w:rsid w:val="78E4654F"/>
    <w:rsid w:val="78E97867"/>
    <w:rsid w:val="78F8D1CC"/>
    <w:rsid w:val="78F9ABD9"/>
    <w:rsid w:val="78FA4143"/>
    <w:rsid w:val="78FCCBCE"/>
    <w:rsid w:val="78FDFDB2"/>
    <w:rsid w:val="79017F77"/>
    <w:rsid w:val="7901B61F"/>
    <w:rsid w:val="79045F8B"/>
    <w:rsid w:val="79053E2E"/>
    <w:rsid w:val="7905BD42"/>
    <w:rsid w:val="7909E53A"/>
    <w:rsid w:val="790AE117"/>
    <w:rsid w:val="790D3B94"/>
    <w:rsid w:val="790E7331"/>
    <w:rsid w:val="79173706"/>
    <w:rsid w:val="791A231B"/>
    <w:rsid w:val="791FEDA9"/>
    <w:rsid w:val="7923E54A"/>
    <w:rsid w:val="7925F1C8"/>
    <w:rsid w:val="7928F1F5"/>
    <w:rsid w:val="79297C5B"/>
    <w:rsid w:val="792B419D"/>
    <w:rsid w:val="792C74BF"/>
    <w:rsid w:val="792CE2C2"/>
    <w:rsid w:val="7930AFA6"/>
    <w:rsid w:val="79351F2F"/>
    <w:rsid w:val="793C6025"/>
    <w:rsid w:val="7942FB6B"/>
    <w:rsid w:val="79486486"/>
    <w:rsid w:val="794AACA9"/>
    <w:rsid w:val="794E51EB"/>
    <w:rsid w:val="7952D617"/>
    <w:rsid w:val="795323A4"/>
    <w:rsid w:val="795771D0"/>
    <w:rsid w:val="795FFF01"/>
    <w:rsid w:val="796248CB"/>
    <w:rsid w:val="79628DF3"/>
    <w:rsid w:val="7973C243"/>
    <w:rsid w:val="797478CD"/>
    <w:rsid w:val="79797B36"/>
    <w:rsid w:val="797C4A7A"/>
    <w:rsid w:val="797D30D7"/>
    <w:rsid w:val="7992017E"/>
    <w:rsid w:val="79967163"/>
    <w:rsid w:val="799C0FA8"/>
    <w:rsid w:val="799FA9B3"/>
    <w:rsid w:val="79A05EA0"/>
    <w:rsid w:val="79A4F74C"/>
    <w:rsid w:val="79AEEEF9"/>
    <w:rsid w:val="79B11053"/>
    <w:rsid w:val="79B4B4E3"/>
    <w:rsid w:val="79B95F71"/>
    <w:rsid w:val="79BA9142"/>
    <w:rsid w:val="79BCF5CE"/>
    <w:rsid w:val="79BE652B"/>
    <w:rsid w:val="79C01A84"/>
    <w:rsid w:val="79C1146A"/>
    <w:rsid w:val="79C2DEEA"/>
    <w:rsid w:val="79C3F19C"/>
    <w:rsid w:val="79C7C9B7"/>
    <w:rsid w:val="79CB9F00"/>
    <w:rsid w:val="79CCD207"/>
    <w:rsid w:val="79D20C27"/>
    <w:rsid w:val="79D825FB"/>
    <w:rsid w:val="79D940BF"/>
    <w:rsid w:val="79DD0368"/>
    <w:rsid w:val="79DDBDE5"/>
    <w:rsid w:val="79E55A95"/>
    <w:rsid w:val="79EA89DF"/>
    <w:rsid w:val="79F76E82"/>
    <w:rsid w:val="79F8B662"/>
    <w:rsid w:val="79FA5C65"/>
    <w:rsid w:val="79FDA653"/>
    <w:rsid w:val="7A00C9AB"/>
    <w:rsid w:val="7A0E8F47"/>
    <w:rsid w:val="7A12326E"/>
    <w:rsid w:val="7A13749C"/>
    <w:rsid w:val="7A144E02"/>
    <w:rsid w:val="7A1CAEC0"/>
    <w:rsid w:val="7A2480A2"/>
    <w:rsid w:val="7A2F1E17"/>
    <w:rsid w:val="7A31BBDE"/>
    <w:rsid w:val="7A332730"/>
    <w:rsid w:val="7A356FAA"/>
    <w:rsid w:val="7A35D065"/>
    <w:rsid w:val="7A37068F"/>
    <w:rsid w:val="7A376950"/>
    <w:rsid w:val="7A3BD4DD"/>
    <w:rsid w:val="7A471279"/>
    <w:rsid w:val="7A50086B"/>
    <w:rsid w:val="7A560093"/>
    <w:rsid w:val="7A56CDB2"/>
    <w:rsid w:val="7A5A3616"/>
    <w:rsid w:val="7A678A9D"/>
    <w:rsid w:val="7A67B043"/>
    <w:rsid w:val="7A75FBEB"/>
    <w:rsid w:val="7A76329E"/>
    <w:rsid w:val="7A76460B"/>
    <w:rsid w:val="7A768ABE"/>
    <w:rsid w:val="7A7A1552"/>
    <w:rsid w:val="7A87217F"/>
    <w:rsid w:val="7A88E326"/>
    <w:rsid w:val="7A8C6658"/>
    <w:rsid w:val="7A9E1113"/>
    <w:rsid w:val="7AA4DC8D"/>
    <w:rsid w:val="7AA6F7E4"/>
    <w:rsid w:val="7AAD5DD8"/>
    <w:rsid w:val="7AB0C06F"/>
    <w:rsid w:val="7AB1D560"/>
    <w:rsid w:val="7AB2D05C"/>
    <w:rsid w:val="7AB51139"/>
    <w:rsid w:val="7ABC2A7B"/>
    <w:rsid w:val="7ABEC984"/>
    <w:rsid w:val="7AC19ACB"/>
    <w:rsid w:val="7AC9EA7C"/>
    <w:rsid w:val="7ACA7454"/>
    <w:rsid w:val="7ACAC86E"/>
    <w:rsid w:val="7ACF2884"/>
    <w:rsid w:val="7AD83EEE"/>
    <w:rsid w:val="7ADB4D30"/>
    <w:rsid w:val="7AE00844"/>
    <w:rsid w:val="7AE92321"/>
    <w:rsid w:val="7AEBC83E"/>
    <w:rsid w:val="7AF04E4C"/>
    <w:rsid w:val="7AF3316B"/>
    <w:rsid w:val="7AF9FB8B"/>
    <w:rsid w:val="7B03C3F6"/>
    <w:rsid w:val="7B055ECE"/>
    <w:rsid w:val="7B060590"/>
    <w:rsid w:val="7B0618B5"/>
    <w:rsid w:val="7B070498"/>
    <w:rsid w:val="7B07F45E"/>
    <w:rsid w:val="7B08E550"/>
    <w:rsid w:val="7B16D110"/>
    <w:rsid w:val="7B1AA652"/>
    <w:rsid w:val="7B20A9EC"/>
    <w:rsid w:val="7B2AB976"/>
    <w:rsid w:val="7B2EC80C"/>
    <w:rsid w:val="7B2ED9A0"/>
    <w:rsid w:val="7B320639"/>
    <w:rsid w:val="7B3D1B87"/>
    <w:rsid w:val="7B3D9128"/>
    <w:rsid w:val="7B407743"/>
    <w:rsid w:val="7B440000"/>
    <w:rsid w:val="7B440F0B"/>
    <w:rsid w:val="7B477424"/>
    <w:rsid w:val="7B518CD9"/>
    <w:rsid w:val="7B527C5F"/>
    <w:rsid w:val="7B56554B"/>
    <w:rsid w:val="7B64558A"/>
    <w:rsid w:val="7B654882"/>
    <w:rsid w:val="7B69035B"/>
    <w:rsid w:val="7B6B3186"/>
    <w:rsid w:val="7B6B526A"/>
    <w:rsid w:val="7B6C8895"/>
    <w:rsid w:val="7B6D18CD"/>
    <w:rsid w:val="7B6DAAD8"/>
    <w:rsid w:val="7B718623"/>
    <w:rsid w:val="7B72AC7C"/>
    <w:rsid w:val="7B75ACD0"/>
    <w:rsid w:val="7B77056A"/>
    <w:rsid w:val="7B77F3E0"/>
    <w:rsid w:val="7B7FB506"/>
    <w:rsid w:val="7B817018"/>
    <w:rsid w:val="7B825307"/>
    <w:rsid w:val="7B844380"/>
    <w:rsid w:val="7B846883"/>
    <w:rsid w:val="7B8A1E62"/>
    <w:rsid w:val="7B8C257A"/>
    <w:rsid w:val="7B91F5C7"/>
    <w:rsid w:val="7B969962"/>
    <w:rsid w:val="7B9C5C4C"/>
    <w:rsid w:val="7B9D03CA"/>
    <w:rsid w:val="7BA0F35A"/>
    <w:rsid w:val="7BA3DAA9"/>
    <w:rsid w:val="7BB01D8B"/>
    <w:rsid w:val="7BB2F72D"/>
    <w:rsid w:val="7BBA61B8"/>
    <w:rsid w:val="7BBF0907"/>
    <w:rsid w:val="7BC03CD6"/>
    <w:rsid w:val="7BC3ACEF"/>
    <w:rsid w:val="7BC7B102"/>
    <w:rsid w:val="7BC8DA18"/>
    <w:rsid w:val="7BC94C45"/>
    <w:rsid w:val="7BC9EBC2"/>
    <w:rsid w:val="7BD0DF97"/>
    <w:rsid w:val="7BDA3A7B"/>
    <w:rsid w:val="7BE27AB1"/>
    <w:rsid w:val="7BE2C7D4"/>
    <w:rsid w:val="7BE6CE65"/>
    <w:rsid w:val="7BE9095F"/>
    <w:rsid w:val="7BEC6D99"/>
    <w:rsid w:val="7BF02016"/>
    <w:rsid w:val="7BF7B045"/>
    <w:rsid w:val="7BFCB0A3"/>
    <w:rsid w:val="7BFCDA6C"/>
    <w:rsid w:val="7C032B0F"/>
    <w:rsid w:val="7C18AD46"/>
    <w:rsid w:val="7C1A5202"/>
    <w:rsid w:val="7C2ACBFD"/>
    <w:rsid w:val="7C310184"/>
    <w:rsid w:val="7C380716"/>
    <w:rsid w:val="7C38A0FA"/>
    <w:rsid w:val="7C3A88B7"/>
    <w:rsid w:val="7C3C8D1B"/>
    <w:rsid w:val="7C3F6466"/>
    <w:rsid w:val="7C41B8CB"/>
    <w:rsid w:val="7C41BCCC"/>
    <w:rsid w:val="7C42247A"/>
    <w:rsid w:val="7C4318F9"/>
    <w:rsid w:val="7C4D0C1B"/>
    <w:rsid w:val="7C4DF91A"/>
    <w:rsid w:val="7C502534"/>
    <w:rsid w:val="7C50DD78"/>
    <w:rsid w:val="7C54138D"/>
    <w:rsid w:val="7C55F5B6"/>
    <w:rsid w:val="7C5B59A1"/>
    <w:rsid w:val="7C5C74FF"/>
    <w:rsid w:val="7C5E766A"/>
    <w:rsid w:val="7C76FD99"/>
    <w:rsid w:val="7C7B1C7B"/>
    <w:rsid w:val="7C7B9E70"/>
    <w:rsid w:val="7C7BA75B"/>
    <w:rsid w:val="7C7E03FA"/>
    <w:rsid w:val="7C7FC1FA"/>
    <w:rsid w:val="7C89ED8E"/>
    <w:rsid w:val="7C8B1579"/>
    <w:rsid w:val="7C9DC836"/>
    <w:rsid w:val="7C9E1763"/>
    <w:rsid w:val="7CA52EB6"/>
    <w:rsid w:val="7CA66924"/>
    <w:rsid w:val="7CA6C641"/>
    <w:rsid w:val="7CA9E93A"/>
    <w:rsid w:val="7CAA0526"/>
    <w:rsid w:val="7CB18E65"/>
    <w:rsid w:val="7CB98BAC"/>
    <w:rsid w:val="7CBABF45"/>
    <w:rsid w:val="7CBBA87C"/>
    <w:rsid w:val="7CC4E1A1"/>
    <w:rsid w:val="7CCD7EE0"/>
    <w:rsid w:val="7CD42A5A"/>
    <w:rsid w:val="7CD4937D"/>
    <w:rsid w:val="7CD96D37"/>
    <w:rsid w:val="7CDBCA69"/>
    <w:rsid w:val="7CE08CA2"/>
    <w:rsid w:val="7CF36BAA"/>
    <w:rsid w:val="7CF78BD4"/>
    <w:rsid w:val="7CFAEE21"/>
    <w:rsid w:val="7D0A8534"/>
    <w:rsid w:val="7D0D1DF5"/>
    <w:rsid w:val="7D10403F"/>
    <w:rsid w:val="7D21188B"/>
    <w:rsid w:val="7D250E27"/>
    <w:rsid w:val="7D2BD175"/>
    <w:rsid w:val="7D2CAA8C"/>
    <w:rsid w:val="7D2F1075"/>
    <w:rsid w:val="7D34B203"/>
    <w:rsid w:val="7D45F83F"/>
    <w:rsid w:val="7D48561B"/>
    <w:rsid w:val="7D48AED1"/>
    <w:rsid w:val="7D4CC7E3"/>
    <w:rsid w:val="7D51E82F"/>
    <w:rsid w:val="7D5242B6"/>
    <w:rsid w:val="7D566C9E"/>
    <w:rsid w:val="7D592A1E"/>
    <w:rsid w:val="7D5956B9"/>
    <w:rsid w:val="7D5E5610"/>
    <w:rsid w:val="7D6374CF"/>
    <w:rsid w:val="7D670A10"/>
    <w:rsid w:val="7D6FB00B"/>
    <w:rsid w:val="7D7D6BEC"/>
    <w:rsid w:val="7D81400D"/>
    <w:rsid w:val="7D814B66"/>
    <w:rsid w:val="7D8728A0"/>
    <w:rsid w:val="7D8E54D4"/>
    <w:rsid w:val="7D8E9AF3"/>
    <w:rsid w:val="7DA06EC7"/>
    <w:rsid w:val="7DAC8668"/>
    <w:rsid w:val="7DAE4950"/>
    <w:rsid w:val="7DB0C3E9"/>
    <w:rsid w:val="7DB56D4C"/>
    <w:rsid w:val="7DB978FE"/>
    <w:rsid w:val="7DBFA046"/>
    <w:rsid w:val="7DC65203"/>
    <w:rsid w:val="7DC92476"/>
    <w:rsid w:val="7DD113BD"/>
    <w:rsid w:val="7DD17083"/>
    <w:rsid w:val="7DDA1449"/>
    <w:rsid w:val="7DDE0836"/>
    <w:rsid w:val="7DDE66AD"/>
    <w:rsid w:val="7DE378F7"/>
    <w:rsid w:val="7DE4BD49"/>
    <w:rsid w:val="7DF1418F"/>
    <w:rsid w:val="7DF2CD58"/>
    <w:rsid w:val="7DF437E9"/>
    <w:rsid w:val="7DF43D77"/>
    <w:rsid w:val="7DFC2E3F"/>
    <w:rsid w:val="7E00393A"/>
    <w:rsid w:val="7E0CAEE0"/>
    <w:rsid w:val="7E0E0EA7"/>
    <w:rsid w:val="7E103969"/>
    <w:rsid w:val="7E110393"/>
    <w:rsid w:val="7E12BDA6"/>
    <w:rsid w:val="7E15391A"/>
    <w:rsid w:val="7E2CB2C8"/>
    <w:rsid w:val="7E3A1BFC"/>
    <w:rsid w:val="7E3B88C8"/>
    <w:rsid w:val="7E3DD1A8"/>
    <w:rsid w:val="7E45F26A"/>
    <w:rsid w:val="7E477454"/>
    <w:rsid w:val="7E4E4D3B"/>
    <w:rsid w:val="7E4F8EDC"/>
    <w:rsid w:val="7E517EBD"/>
    <w:rsid w:val="7E64D1F8"/>
    <w:rsid w:val="7E6B0836"/>
    <w:rsid w:val="7E751215"/>
    <w:rsid w:val="7E764D04"/>
    <w:rsid w:val="7E79BC1E"/>
    <w:rsid w:val="7E7B4788"/>
    <w:rsid w:val="7E83289E"/>
    <w:rsid w:val="7E8A9E1D"/>
    <w:rsid w:val="7E92CF73"/>
    <w:rsid w:val="7E94608D"/>
    <w:rsid w:val="7E948C1C"/>
    <w:rsid w:val="7E9E17C8"/>
    <w:rsid w:val="7EA0E295"/>
    <w:rsid w:val="7EA232C2"/>
    <w:rsid w:val="7EA36EB0"/>
    <w:rsid w:val="7EA4CFCE"/>
    <w:rsid w:val="7EA95B5D"/>
    <w:rsid w:val="7EB8FE27"/>
    <w:rsid w:val="7EBF5816"/>
    <w:rsid w:val="7EC1A954"/>
    <w:rsid w:val="7EC2049A"/>
    <w:rsid w:val="7EC65FEC"/>
    <w:rsid w:val="7EC97205"/>
    <w:rsid w:val="7ECC3E9A"/>
    <w:rsid w:val="7ECF1261"/>
    <w:rsid w:val="7ED48732"/>
    <w:rsid w:val="7ED66BB3"/>
    <w:rsid w:val="7ED7F242"/>
    <w:rsid w:val="7EDAB8FB"/>
    <w:rsid w:val="7EE0A09F"/>
    <w:rsid w:val="7EEA3A9E"/>
    <w:rsid w:val="7EF0CC48"/>
    <w:rsid w:val="7EF472B2"/>
    <w:rsid w:val="7EF61C0C"/>
    <w:rsid w:val="7EF9EF56"/>
    <w:rsid w:val="7EFB6069"/>
    <w:rsid w:val="7EFC0DF7"/>
    <w:rsid w:val="7F0107A4"/>
    <w:rsid w:val="7F03278A"/>
    <w:rsid w:val="7F048456"/>
    <w:rsid w:val="7F04CBFA"/>
    <w:rsid w:val="7F100F0C"/>
    <w:rsid w:val="7F124BB1"/>
    <w:rsid w:val="7F160BE8"/>
    <w:rsid w:val="7F1A7562"/>
    <w:rsid w:val="7F1D0C3A"/>
    <w:rsid w:val="7F1E0EE8"/>
    <w:rsid w:val="7F1FB645"/>
    <w:rsid w:val="7F206921"/>
    <w:rsid w:val="7F29BE5C"/>
    <w:rsid w:val="7F2C6111"/>
    <w:rsid w:val="7F2D620C"/>
    <w:rsid w:val="7F31269E"/>
    <w:rsid w:val="7F367F32"/>
    <w:rsid w:val="7F37C0DF"/>
    <w:rsid w:val="7F37D73D"/>
    <w:rsid w:val="7F3C3B83"/>
    <w:rsid w:val="7F450C97"/>
    <w:rsid w:val="7F47947C"/>
    <w:rsid w:val="7F497D5A"/>
    <w:rsid w:val="7F4AB268"/>
    <w:rsid w:val="7F4CA5D1"/>
    <w:rsid w:val="7F4D0738"/>
    <w:rsid w:val="7F57B2CB"/>
    <w:rsid w:val="7F58E453"/>
    <w:rsid w:val="7F5CE83C"/>
    <w:rsid w:val="7F5D16E4"/>
    <w:rsid w:val="7F60150A"/>
    <w:rsid w:val="7F648508"/>
    <w:rsid w:val="7F64C9E9"/>
    <w:rsid w:val="7F6884AC"/>
    <w:rsid w:val="7F689D58"/>
    <w:rsid w:val="7F68FBCB"/>
    <w:rsid w:val="7F72D097"/>
    <w:rsid w:val="7F791C35"/>
    <w:rsid w:val="7F798648"/>
    <w:rsid w:val="7F79CDEF"/>
    <w:rsid w:val="7F7B382D"/>
    <w:rsid w:val="7F83BA02"/>
    <w:rsid w:val="7F9604B4"/>
    <w:rsid w:val="7F9BB5B7"/>
    <w:rsid w:val="7F9C3237"/>
    <w:rsid w:val="7F9CB734"/>
    <w:rsid w:val="7FA45AC3"/>
    <w:rsid w:val="7FA6B20D"/>
    <w:rsid w:val="7FA8055A"/>
    <w:rsid w:val="7FAC5145"/>
    <w:rsid w:val="7FAFACB3"/>
    <w:rsid w:val="7FB0EE88"/>
    <w:rsid w:val="7FB1C85B"/>
    <w:rsid w:val="7FBA6D71"/>
    <w:rsid w:val="7FBBA61F"/>
    <w:rsid w:val="7FBEC179"/>
    <w:rsid w:val="7FC3828C"/>
    <w:rsid w:val="7FCAD8EA"/>
    <w:rsid w:val="7FCE0F5D"/>
    <w:rsid w:val="7FD46244"/>
    <w:rsid w:val="7FDB35D1"/>
    <w:rsid w:val="7FE9739A"/>
    <w:rsid w:val="7FF0319E"/>
    <w:rsid w:val="7FFA8D26"/>
    <w:rsid w:val="7FFAE8A2"/>
    <w:rsid w:val="7FFDB804"/>
    <w:rsid w:val="7FFFBB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0" w:unhideWhenUsed="1"/>
    <w:lsdException w:name="List Bullet 4" w:semiHidden="1" w:uiPriority="1" w:unhideWhenUsed="1"/>
    <w:lsdException w:name="List Bullet 5" w:semiHidden="1" w:unhideWhenUsed="1"/>
    <w:lsdException w:name="List Number 2" w:semiHidden="1" w:uiPriority="0" w:unhideWhenUsed="1"/>
    <w:lsdException w:name="List Number 3" w:semiHidden="1" w:uiPriority="1" w:unhideWhenUsed="1"/>
    <w:lsdException w:name="List Number 4" w:semiHidden="1" w:uiPriority="1" w:unhideWhenUsed="1"/>
    <w:lsdException w:name="List Number 5" w:semiHidden="1" w:unhideWhenUsed="1"/>
    <w:lsdException w:name="Title" w:uiPriority="0" w:qFormat="1"/>
    <w:lsdException w:name="Closing" w:semiHidden="1" w:uiPriority="2"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B06"/>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44"/>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44"/>
      </w:numPr>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44"/>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44"/>
      </w:numPr>
      <w:outlineLvl w:val="3"/>
    </w:pPr>
    <w:rPr>
      <w:rFonts w:eastAsia="Times New Roman"/>
      <w:szCs w:val="20"/>
    </w:rPr>
  </w:style>
  <w:style w:type="paragraph" w:styleId="Heading5">
    <w:name w:val="heading 5"/>
    <w:basedOn w:val="Normal"/>
    <w:next w:val="Normal"/>
    <w:link w:val="Heading5Char"/>
    <w:unhideWhenUsed/>
    <w:qFormat/>
    <w:rsid w:val="00FC7FB3"/>
    <w:pPr>
      <w:spacing w:before="120" w:after="120"/>
      <w:outlineLvl w:val="4"/>
    </w:pPr>
    <w:rPr>
      <w:i/>
      <w:iCs/>
      <w:color w:val="1F497D" w:themeColor="text2"/>
    </w:rPr>
  </w:style>
  <w:style w:type="paragraph" w:styleId="Heading6">
    <w:name w:val="heading 6"/>
    <w:basedOn w:val="Caption"/>
    <w:next w:val="Normal"/>
    <w:link w:val="Heading6Char"/>
    <w:unhideWhenUsed/>
    <w:qFormat/>
    <w:rsid w:val="00BE1769"/>
    <w:pPr>
      <w:jc w:val="center"/>
      <w:outlineLvl w:val="5"/>
    </w:pPr>
    <w:rPr>
      <w:sz w:val="22"/>
      <w:szCs w:val="22"/>
    </w:rPr>
  </w:style>
  <w:style w:type="paragraph" w:styleId="Heading7">
    <w:name w:val="heading 7"/>
    <w:basedOn w:val="Normal"/>
    <w:next w:val="Normal"/>
    <w:link w:val="Heading7Char"/>
    <w:unhideWhenUsed/>
    <w:qFormat/>
    <w:rsid w:val="00EE3DF9"/>
    <w:pPr>
      <w:keepNext/>
      <w:keepLines/>
      <w:spacing w:before="40" w:after="0" w:line="276" w:lineRule="auto"/>
      <w:jc w:val="left"/>
      <w:outlineLvl w:val="6"/>
    </w:pPr>
    <w:rPr>
      <w:rFonts w:asciiTheme="minorHAnsi" w:eastAsiaTheme="majorEastAsia" w:hAnsiTheme="minorHAnsi" w:cstheme="majorBidi"/>
      <w:color w:val="595959" w:themeColor="text1" w:themeTint="A6"/>
      <w:kern w:val="2"/>
      <w:sz w:val="22"/>
      <w:szCs w:val="22"/>
    </w:rPr>
  </w:style>
  <w:style w:type="paragraph" w:styleId="Heading8">
    <w:name w:val="heading 8"/>
    <w:basedOn w:val="Normal"/>
    <w:next w:val="Normal"/>
    <w:link w:val="Heading8Char"/>
    <w:semiHidden/>
    <w:unhideWhenUsed/>
    <w:qFormat/>
    <w:rsid w:val="00EE3DF9"/>
    <w:pPr>
      <w:keepNext/>
      <w:keepLines/>
      <w:spacing w:after="0" w:line="276" w:lineRule="auto"/>
      <w:jc w:val="left"/>
      <w:outlineLvl w:val="7"/>
    </w:pPr>
    <w:rPr>
      <w:rFonts w:asciiTheme="minorHAnsi" w:eastAsiaTheme="majorEastAsia" w:hAnsiTheme="minorHAnsi" w:cstheme="majorBidi"/>
      <w:i/>
      <w:iCs/>
      <w:color w:val="272727" w:themeColor="text1" w:themeTint="D8"/>
      <w:kern w:val="2"/>
      <w:sz w:val="22"/>
      <w:szCs w:val="22"/>
    </w:rPr>
  </w:style>
  <w:style w:type="paragraph" w:styleId="Heading9">
    <w:name w:val="heading 9"/>
    <w:basedOn w:val="Normal"/>
    <w:next w:val="Normal"/>
    <w:link w:val="Heading9Char"/>
    <w:semiHidden/>
    <w:unhideWhenUsed/>
    <w:qFormat/>
    <w:rsid w:val="00EE3DF9"/>
    <w:pPr>
      <w:keepNext/>
      <w:keepLines/>
      <w:spacing w:after="0" w:line="276" w:lineRule="auto"/>
      <w:jc w:val="left"/>
      <w:outlineLvl w:val="8"/>
    </w:pPr>
    <w:rPr>
      <w:rFonts w:asciiTheme="minorHAnsi" w:eastAsiaTheme="majorEastAsia" w:hAnsiTheme="minorHAnsi" w:cstheme="majorBidi"/>
      <w:color w:val="272727" w:themeColor="text1" w:themeTint="D8"/>
      <w:kern w:val="2"/>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qFormat/>
    <w:rsid w:val="006B087E"/>
    <w:pPr>
      <w:ind w:left="482"/>
    </w:pPr>
    <w:rPr>
      <w:rFonts w:eastAsia="Times New Roman"/>
      <w:szCs w:val="20"/>
    </w:rPr>
  </w:style>
  <w:style w:type="paragraph" w:customStyle="1" w:styleId="Text2">
    <w:name w:val="Text 2"/>
    <w:basedOn w:val="Normal"/>
    <w:uiPriority w:val="1"/>
    <w:qFormat/>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Table Format 1,HTG,TabelEcorys,Simple table,simple table,Smart Text Table,Deloitte Table Grid,Table Definitions Grid,Table Definitions Grid1,CV table,Deloitte,Tabellengitternetz,Tender Table 1,Table Grid IDEA,template"/>
    <w:basedOn w:val="TableNormal"/>
    <w:uiPriority w:val="39"/>
    <w:qFormat/>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0"/>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CC7A27"/>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FC7FB3"/>
    <w:rPr>
      <w:rFonts w:ascii="Times New Roman" w:hAnsi="Times New Roman" w:cs="Times New Roman"/>
      <w:i/>
      <w:iCs/>
      <w:color w:val="1F497D" w:themeColor="text2"/>
      <w:sz w:val="24"/>
      <w:szCs w:val="24"/>
    </w:rPr>
  </w:style>
  <w:style w:type="paragraph" w:styleId="Title">
    <w:name w:val="Title"/>
    <w:basedOn w:val="Normal"/>
    <w:next w:val="Normal"/>
    <w:link w:val="TitleChar"/>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aliases w:val="Caption (ALL),Caption - Centre Graphic,Caption (all),Inscription,Beschriftung Char Char Char,Beschriftung Char,Caption2,figura,figura1,figura2,ITT d,cp + Justified,Left:  2,5 cm,First ...,cp,ref,Fig &amp; Table Title,CaptionCFMU,Ca,C,Ch,Char Char Ch"/>
    <w:basedOn w:val="Normal"/>
    <w:next w:val="Normal"/>
    <w:link w:val="CaptionChar"/>
    <w:uiPriority w:val="35"/>
    <w:unhideWhenUsed/>
    <w:qFormat/>
    <w:rsid w:val="00F57D9D"/>
    <w:pPr>
      <w:spacing w:after="200"/>
    </w:pPr>
    <w:rPr>
      <w:i/>
      <w:iCs/>
      <w:color w:val="1F497D" w:themeColor="text2"/>
      <w:sz w:val="18"/>
      <w:szCs w:val="18"/>
    </w:rPr>
  </w:style>
  <w:style w:type="paragraph" w:customStyle="1" w:styleId="paragraph">
    <w:name w:val="paragraph"/>
    <w:basedOn w:val="Normal"/>
    <w:rsid w:val="00F57D9D"/>
    <w:pPr>
      <w:spacing w:before="100" w:beforeAutospacing="1" w:after="100" w:afterAutospacing="1"/>
      <w:jc w:val="left"/>
    </w:pPr>
    <w:rPr>
      <w:rFonts w:eastAsia="Times New Roman"/>
      <w:lang w:eastAsia="en-GB"/>
    </w:rPr>
  </w:style>
  <w:style w:type="character" w:customStyle="1" w:styleId="normaltextrun">
    <w:name w:val="normaltextrun"/>
    <w:basedOn w:val="DefaultParagraphFont"/>
    <w:rsid w:val="00F57D9D"/>
  </w:style>
  <w:style w:type="character" w:customStyle="1" w:styleId="eop">
    <w:name w:val="eop"/>
    <w:basedOn w:val="DefaultParagraphFont"/>
    <w:rsid w:val="00F57D9D"/>
  </w:style>
  <w:style w:type="character" w:customStyle="1" w:styleId="cf11">
    <w:name w:val="cf11"/>
    <w:basedOn w:val="DefaultParagraphFont"/>
    <w:rsid w:val="00F57D9D"/>
    <w:rPr>
      <w:rFonts w:asciiTheme="minorHAnsi" w:eastAsiaTheme="minorEastAsia" w:hAnsiTheme="minorHAnsi" w:cstheme="minorBidi"/>
      <w:sz w:val="18"/>
      <w:szCs w:val="18"/>
    </w:rPr>
  </w:style>
  <w:style w:type="character" w:customStyle="1" w:styleId="BodyPlaceholderText">
    <w:name w:val="BodyPlaceholderText"/>
    <w:basedOn w:val="DefaultParagraphFont"/>
    <w:semiHidden/>
    <w:rsid w:val="00F57D9D"/>
    <w:rPr>
      <w:rFonts w:asciiTheme="minorHAnsi" w:eastAsiaTheme="minorEastAsia" w:hAnsiTheme="minorHAnsi" w:cstheme="minorBidi"/>
      <w:color w:val="3366CC"/>
      <w:sz w:val="22"/>
      <w:szCs w:val="22"/>
    </w:rPr>
  </w:style>
  <w:style w:type="character" w:customStyle="1" w:styleId="cf01">
    <w:name w:val="cf01"/>
    <w:basedOn w:val="DefaultParagraphFont"/>
    <w:rsid w:val="00F57D9D"/>
    <w:rPr>
      <w:rFonts w:asciiTheme="minorHAnsi" w:eastAsiaTheme="minorEastAsia" w:hAnsiTheme="minorHAnsi" w:cstheme="minorBidi"/>
      <w:b/>
      <w:bCs/>
      <w:sz w:val="18"/>
      <w:szCs w:val="18"/>
    </w:rPr>
  </w:style>
  <w:style w:type="paragraph" w:styleId="TOC3">
    <w:name w:val="toc 3"/>
    <w:basedOn w:val="Normal"/>
    <w:next w:val="Normal"/>
    <w:autoRedefine/>
    <w:uiPriority w:val="39"/>
    <w:unhideWhenUsed/>
    <w:rsid w:val="00850566"/>
    <w:pPr>
      <w:spacing w:after="100"/>
      <w:ind w:left="480"/>
    </w:pPr>
  </w:style>
  <w:style w:type="character" w:customStyle="1" w:styleId="Mention">
    <w:name w:val="Mention"/>
    <w:basedOn w:val="DefaultParagraphFont"/>
    <w:uiPriority w:val="99"/>
    <w:unhideWhenUsed/>
    <w:rsid w:val="00AE7985"/>
    <w:rPr>
      <w:color w:val="2B579A"/>
      <w:shd w:val="clear" w:color="auto" w:fill="E1DFDD"/>
    </w:rPr>
  </w:style>
  <w:style w:type="paragraph" w:styleId="NormalWeb">
    <w:name w:val="Normal (Web)"/>
    <w:basedOn w:val="Normal"/>
    <w:uiPriority w:val="99"/>
    <w:unhideWhenUsed/>
    <w:rsid w:val="00E402C9"/>
    <w:pPr>
      <w:spacing w:before="100" w:beforeAutospacing="1" w:after="100" w:afterAutospacing="1"/>
      <w:jc w:val="left"/>
    </w:pPr>
    <w:rPr>
      <w:rFonts w:eastAsia="Times New Roman"/>
      <w:lang w:val="en-IE" w:eastAsia="en-IE"/>
    </w:rPr>
  </w:style>
  <w:style w:type="paragraph" w:styleId="TableofFigures">
    <w:name w:val="table of figures"/>
    <w:basedOn w:val="Normal"/>
    <w:next w:val="Normal"/>
    <w:uiPriority w:val="99"/>
    <w:unhideWhenUsed/>
    <w:rsid w:val="00100D64"/>
    <w:pPr>
      <w:spacing w:after="0"/>
      <w:ind w:left="480" w:hanging="480"/>
      <w:jc w:val="left"/>
    </w:pPr>
    <w:rPr>
      <w:rFonts w:asciiTheme="minorHAnsi" w:hAnsiTheme="minorHAnsi" w:cstheme="minorHAnsi"/>
      <w:cap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010004"/>
    <w:pPr>
      <w:spacing w:after="160" w:line="240" w:lineRule="exact"/>
    </w:pPr>
    <w:rPr>
      <w:rFonts w:eastAsia="Times New Roman"/>
      <w:szCs w:val="20"/>
      <w:vertAlign w:val="superscript"/>
      <w:lang w:eastAsia="en-GB"/>
    </w:rPr>
  </w:style>
  <w:style w:type="paragraph" w:styleId="BodyText">
    <w:name w:val="Body Text"/>
    <w:basedOn w:val="Normal"/>
    <w:link w:val="BodyTextChar"/>
    <w:uiPriority w:val="99"/>
    <w:rsid w:val="00043631"/>
    <w:pPr>
      <w:spacing w:after="120"/>
    </w:pPr>
    <w:rPr>
      <w:rFonts w:eastAsia="Times New Roman"/>
      <w:szCs w:val="20"/>
    </w:rPr>
  </w:style>
  <w:style w:type="character" w:customStyle="1" w:styleId="BodyTextChar">
    <w:name w:val="Body Text Char"/>
    <w:basedOn w:val="DefaultParagraphFont"/>
    <w:link w:val="BodyText"/>
    <w:uiPriority w:val="99"/>
    <w:rsid w:val="00043631"/>
    <w:rPr>
      <w:rFonts w:ascii="Times New Roman" w:eastAsia="Times New Roman" w:hAnsi="Times New Roman" w:cs="Times New Roman"/>
      <w:sz w:val="24"/>
      <w:szCs w:val="20"/>
    </w:rPr>
  </w:style>
  <w:style w:type="paragraph" w:styleId="ListNumber2">
    <w:name w:val="List Number 2"/>
    <w:basedOn w:val="Text2"/>
    <w:rsid w:val="00D31923"/>
    <w:pPr>
      <w:numPr>
        <w:numId w:val="12"/>
      </w:numPr>
      <w:tabs>
        <w:tab w:val="clear" w:pos="2302"/>
      </w:tabs>
    </w:pPr>
    <w:rPr>
      <w:lang w:eastAsia="en-GB"/>
    </w:rPr>
  </w:style>
  <w:style w:type="paragraph" w:customStyle="1" w:styleId="ListNumber2Level2">
    <w:name w:val="List Number 2 (Level 2)"/>
    <w:basedOn w:val="Text2"/>
    <w:rsid w:val="00D31923"/>
    <w:pPr>
      <w:numPr>
        <w:ilvl w:val="1"/>
        <w:numId w:val="12"/>
      </w:numPr>
      <w:tabs>
        <w:tab w:val="clear" w:pos="2302"/>
      </w:tabs>
    </w:pPr>
    <w:rPr>
      <w:lang w:eastAsia="en-GB"/>
    </w:rPr>
  </w:style>
  <w:style w:type="paragraph" w:customStyle="1" w:styleId="ListNumber2Level3">
    <w:name w:val="List Number 2 (Level 3)"/>
    <w:basedOn w:val="Text2"/>
    <w:unhideWhenUsed/>
    <w:rsid w:val="00D31923"/>
    <w:pPr>
      <w:numPr>
        <w:ilvl w:val="2"/>
        <w:numId w:val="12"/>
      </w:numPr>
      <w:tabs>
        <w:tab w:val="clear" w:pos="2302"/>
      </w:tabs>
    </w:pPr>
    <w:rPr>
      <w:lang w:eastAsia="en-GB"/>
    </w:rPr>
  </w:style>
  <w:style w:type="paragraph" w:customStyle="1" w:styleId="ListNumber2Level4">
    <w:name w:val="List Number 2 (Level 4)"/>
    <w:basedOn w:val="Text2"/>
    <w:unhideWhenUsed/>
    <w:rsid w:val="00D31923"/>
    <w:pPr>
      <w:numPr>
        <w:ilvl w:val="3"/>
        <w:numId w:val="12"/>
      </w:numPr>
      <w:tabs>
        <w:tab w:val="clear" w:pos="2302"/>
      </w:tabs>
    </w:pPr>
    <w:rPr>
      <w:lang w:eastAsia="en-GB"/>
    </w:rPr>
  </w:style>
  <w:style w:type="paragraph" w:customStyle="1" w:styleId="Default">
    <w:name w:val="Default"/>
    <w:rsid w:val="00D31923"/>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3">
    <w:name w:val="List Bullet 3"/>
    <w:basedOn w:val="Normal"/>
    <w:rsid w:val="00D31923"/>
    <w:pPr>
      <w:numPr>
        <w:numId w:val="13"/>
      </w:numPr>
    </w:pPr>
    <w:rPr>
      <w:rFonts w:eastAsia="Times New Roman"/>
      <w:szCs w:val="20"/>
      <w:lang w:eastAsia="en-GB"/>
    </w:rPr>
  </w:style>
  <w:style w:type="paragraph" w:customStyle="1" w:styleId="ListBullet3Level2">
    <w:name w:val="List Bullet 3 (Level 2)"/>
    <w:basedOn w:val="Normal"/>
    <w:rsid w:val="00D31923"/>
    <w:pPr>
      <w:numPr>
        <w:ilvl w:val="1"/>
        <w:numId w:val="13"/>
      </w:numPr>
    </w:pPr>
    <w:rPr>
      <w:rFonts w:eastAsia="Times New Roman"/>
      <w:szCs w:val="20"/>
      <w:lang w:eastAsia="en-GB"/>
    </w:rPr>
  </w:style>
  <w:style w:type="paragraph" w:customStyle="1" w:styleId="ListBullet3Level3">
    <w:name w:val="List Bullet 3 (Level 3)"/>
    <w:basedOn w:val="Normal"/>
    <w:semiHidden/>
    <w:unhideWhenUsed/>
    <w:rsid w:val="00D31923"/>
    <w:pPr>
      <w:numPr>
        <w:ilvl w:val="2"/>
        <w:numId w:val="13"/>
      </w:numPr>
    </w:pPr>
    <w:rPr>
      <w:rFonts w:eastAsia="Times New Roman"/>
      <w:szCs w:val="20"/>
      <w:lang w:eastAsia="en-GB"/>
    </w:rPr>
  </w:style>
  <w:style w:type="paragraph" w:customStyle="1" w:styleId="ListBullet3Level4">
    <w:name w:val="List Bullet 3 (Level 4)"/>
    <w:basedOn w:val="Normal"/>
    <w:semiHidden/>
    <w:unhideWhenUsed/>
    <w:rsid w:val="00D31923"/>
    <w:pPr>
      <w:numPr>
        <w:ilvl w:val="3"/>
        <w:numId w:val="13"/>
      </w:numPr>
    </w:pPr>
    <w:rPr>
      <w:rFonts w:eastAsia="Times New Roman"/>
      <w:szCs w:val="20"/>
      <w:lang w:eastAsia="en-GB"/>
    </w:rPr>
  </w:style>
  <w:style w:type="table" w:styleId="GridTable5Dark-Accent1">
    <w:name w:val="Grid Table 5 Dark Accent 1"/>
    <w:basedOn w:val="TableNormal"/>
    <w:uiPriority w:val="50"/>
    <w:rsid w:val="004206F3"/>
    <w:pPr>
      <w:spacing w:after="0" w:line="240" w:lineRule="auto"/>
    </w:pPr>
    <w:rPr>
      <w:kern w:val="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f0">
    <w:name w:val="pf0"/>
    <w:basedOn w:val="Normal"/>
    <w:rsid w:val="00F54E13"/>
    <w:pPr>
      <w:spacing w:before="100" w:beforeAutospacing="1" w:after="100" w:afterAutospacing="1"/>
      <w:jc w:val="left"/>
    </w:pPr>
    <w:rPr>
      <w:rFonts w:eastAsia="Times New Roman"/>
      <w:lang w:val="en-IE" w:eastAsia="en-IE"/>
    </w:rPr>
  </w:style>
  <w:style w:type="character" w:customStyle="1" w:styleId="superscript">
    <w:name w:val="superscript"/>
    <w:basedOn w:val="DefaultParagraphFont"/>
    <w:rsid w:val="0056025B"/>
  </w:style>
  <w:style w:type="table" w:customStyle="1" w:styleId="TableGrid1">
    <w:name w:val="Table Grid1"/>
    <w:basedOn w:val="TableNormal"/>
    <w:next w:val="TableGrid"/>
    <w:uiPriority w:val="39"/>
    <w:rsid w:val="008A2BB9"/>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mplate1">
    <w:name w:val="template1"/>
    <w:basedOn w:val="TableNormal"/>
    <w:next w:val="TableGrid"/>
    <w:uiPriority w:val="59"/>
    <w:qFormat/>
    <w:rsid w:val="00EF74B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BE1769"/>
    <w:rPr>
      <w:rFonts w:ascii="Times New Roman" w:hAnsi="Times New Roman" w:cs="Times New Roman"/>
      <w:i/>
      <w:iCs/>
      <w:color w:val="1F497D" w:themeColor="text2"/>
    </w:rPr>
  </w:style>
  <w:style w:type="paragraph" w:customStyle="1" w:styleId="Languesfaisantfoi">
    <w:name w:val="Langues faisant foi"/>
    <w:basedOn w:val="Normal"/>
    <w:next w:val="Normal"/>
    <w:rsid w:val="00D23AD9"/>
    <w:pPr>
      <w:spacing w:before="360"/>
      <w:jc w:val="center"/>
    </w:pPr>
    <w:rPr>
      <w:szCs w:val="22"/>
    </w:rPr>
  </w:style>
  <w:style w:type="paragraph" w:customStyle="1" w:styleId="LanguesfaisantfoiPagedecouverture">
    <w:name w:val="Langues faisant foi (Page de couverture)"/>
    <w:basedOn w:val="Normal"/>
    <w:next w:val="Normal"/>
    <w:rsid w:val="00D23AD9"/>
    <w:pPr>
      <w:spacing w:before="360"/>
      <w:jc w:val="center"/>
    </w:pPr>
    <w:rPr>
      <w:szCs w:val="22"/>
    </w:rPr>
  </w:style>
  <w:style w:type="paragraph" w:customStyle="1" w:styleId="IntrtEEE">
    <w:name w:val="Intérêt EEE"/>
    <w:basedOn w:val="Languesfaisantfoi"/>
    <w:next w:val="Normal"/>
    <w:rsid w:val="00D23AD9"/>
    <w:pPr>
      <w:spacing w:after="0"/>
    </w:pPr>
  </w:style>
  <w:style w:type="paragraph" w:customStyle="1" w:styleId="IntrtEEEPagedecouverture">
    <w:name w:val="Intérêt EEE (Page de couverture)"/>
    <w:basedOn w:val="IntrtEEE"/>
    <w:next w:val="Normal"/>
    <w:rsid w:val="00D23AD9"/>
  </w:style>
  <w:style w:type="character" w:customStyle="1" w:styleId="Heading7Char">
    <w:name w:val="Heading 7 Char"/>
    <w:basedOn w:val="DefaultParagraphFont"/>
    <w:link w:val="Heading7"/>
    <w:rsid w:val="00EE3DF9"/>
    <w:rPr>
      <w:rFonts w:eastAsiaTheme="majorEastAsia" w:cstheme="majorBidi"/>
      <w:color w:val="595959" w:themeColor="text1" w:themeTint="A6"/>
      <w:kern w:val="2"/>
    </w:rPr>
  </w:style>
  <w:style w:type="character" w:customStyle="1" w:styleId="Heading8Char">
    <w:name w:val="Heading 8 Char"/>
    <w:basedOn w:val="DefaultParagraphFont"/>
    <w:link w:val="Heading8"/>
    <w:semiHidden/>
    <w:rsid w:val="00EE3DF9"/>
    <w:rPr>
      <w:rFonts w:eastAsiaTheme="majorEastAsia" w:cstheme="majorBidi"/>
      <w:i/>
      <w:iCs/>
      <w:color w:val="272727" w:themeColor="text1" w:themeTint="D8"/>
      <w:kern w:val="2"/>
    </w:rPr>
  </w:style>
  <w:style w:type="character" w:customStyle="1" w:styleId="Heading9Char">
    <w:name w:val="Heading 9 Char"/>
    <w:basedOn w:val="DefaultParagraphFont"/>
    <w:link w:val="Heading9"/>
    <w:semiHidden/>
    <w:rsid w:val="00EE3DF9"/>
    <w:rPr>
      <w:rFonts w:eastAsiaTheme="majorEastAsia" w:cstheme="majorBidi"/>
      <w:color w:val="272727" w:themeColor="text1" w:themeTint="D8"/>
      <w:kern w:val="2"/>
    </w:rPr>
  </w:style>
  <w:style w:type="character" w:customStyle="1" w:styleId="wacimagecontainer">
    <w:name w:val="wacimagecontainer"/>
    <w:basedOn w:val="DefaultParagraphFont"/>
    <w:rsid w:val="00EE3DF9"/>
  </w:style>
  <w:style w:type="paragraph" w:styleId="Subtitle">
    <w:name w:val="Subtitle"/>
    <w:basedOn w:val="Normal"/>
    <w:next w:val="Normal"/>
    <w:link w:val="SubtitleChar"/>
    <w:uiPriority w:val="11"/>
    <w:qFormat/>
    <w:rsid w:val="00EE3DF9"/>
    <w:pPr>
      <w:numPr>
        <w:ilvl w:val="1"/>
      </w:numPr>
      <w:spacing w:after="160" w:line="276" w:lineRule="auto"/>
      <w:jc w:val="left"/>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EE3DF9"/>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EE3DF9"/>
    <w:pPr>
      <w:spacing w:before="160" w:after="160" w:line="276" w:lineRule="auto"/>
      <w:jc w:val="center"/>
    </w:pPr>
    <w:rPr>
      <w:rFonts w:ascii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EE3DF9"/>
    <w:rPr>
      <w:i/>
      <w:iCs/>
      <w:color w:val="404040" w:themeColor="text1" w:themeTint="BF"/>
      <w:kern w:val="2"/>
    </w:rPr>
  </w:style>
  <w:style w:type="character" w:styleId="IntenseEmphasis">
    <w:name w:val="Intense Emphasis"/>
    <w:basedOn w:val="DefaultParagraphFont"/>
    <w:uiPriority w:val="21"/>
    <w:qFormat/>
    <w:rsid w:val="00EE3DF9"/>
    <w:rPr>
      <w:i/>
      <w:iCs/>
      <w:color w:val="365F91" w:themeColor="accent1" w:themeShade="BF"/>
    </w:rPr>
  </w:style>
  <w:style w:type="paragraph" w:styleId="IntenseQuote">
    <w:name w:val="Intense Quote"/>
    <w:basedOn w:val="Normal"/>
    <w:next w:val="Normal"/>
    <w:link w:val="IntenseQuoteChar"/>
    <w:uiPriority w:val="30"/>
    <w:qFormat/>
    <w:rsid w:val="00EE3DF9"/>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30"/>
    <w:rsid w:val="00EE3DF9"/>
    <w:rPr>
      <w:i/>
      <w:iCs/>
      <w:color w:val="365F91" w:themeColor="accent1" w:themeShade="BF"/>
      <w:kern w:val="2"/>
    </w:rPr>
  </w:style>
  <w:style w:type="character" w:styleId="IntenseReference">
    <w:name w:val="Intense Reference"/>
    <w:basedOn w:val="DefaultParagraphFont"/>
    <w:uiPriority w:val="32"/>
    <w:qFormat/>
    <w:rsid w:val="00EE3DF9"/>
    <w:rPr>
      <w:b/>
      <w:bCs/>
      <w:smallCaps/>
      <w:color w:val="365F91" w:themeColor="accent1" w:themeShade="BF"/>
      <w:spacing w:val="5"/>
    </w:rPr>
  </w:style>
  <w:style w:type="character" w:styleId="PlaceholderText">
    <w:name w:val="Placeholder Text"/>
    <w:basedOn w:val="DefaultParagraphFont"/>
    <w:semiHidden/>
    <w:rsid w:val="00EE3DF9"/>
    <w:rPr>
      <w:color w:val="288061"/>
    </w:rPr>
  </w:style>
  <w:style w:type="character" w:customStyle="1" w:styleId="InstructionRed">
    <w:name w:val="InstructionRed"/>
    <w:uiPriority w:val="1"/>
    <w:rsid w:val="00EE3DF9"/>
    <w:rPr>
      <w:i/>
      <w:color w:val="CB3535"/>
    </w:rPr>
  </w:style>
  <w:style w:type="character" w:customStyle="1" w:styleId="InstructionBlue">
    <w:name w:val="InstructionBlue"/>
    <w:uiPriority w:val="1"/>
    <w:rsid w:val="00EE3DF9"/>
    <w:rPr>
      <w:i/>
      <w:color w:val="3366CC"/>
    </w:rPr>
  </w:style>
  <w:style w:type="character" w:customStyle="1" w:styleId="InstructionPlaceholder">
    <w:name w:val="InstructionPlaceholder"/>
    <w:uiPriority w:val="1"/>
    <w:rsid w:val="00EE3DF9"/>
    <w:rPr>
      <w:color w:val="CB3535"/>
    </w:rPr>
  </w:style>
  <w:style w:type="character" w:customStyle="1" w:styleId="MarkingLabel">
    <w:name w:val="MarkingLabel"/>
    <w:semiHidden/>
    <w:rsid w:val="00EE3DF9"/>
    <w:rPr>
      <w:b/>
      <w:caps/>
      <w:sz w:val="28"/>
    </w:rPr>
  </w:style>
  <w:style w:type="character" w:customStyle="1" w:styleId="MarkingText">
    <w:name w:val="MarkingText"/>
    <w:semiHidden/>
    <w:rsid w:val="00EE3DF9"/>
    <w:rPr>
      <w:i/>
      <w:sz w:val="28"/>
    </w:rPr>
  </w:style>
  <w:style w:type="character" w:customStyle="1" w:styleId="CrossReference">
    <w:name w:val="Cross Reference"/>
    <w:basedOn w:val="DefaultParagraphFont"/>
    <w:uiPriority w:val="2"/>
    <w:rsid w:val="00EE3DF9"/>
    <w:rPr>
      <w:i/>
    </w:rPr>
  </w:style>
  <w:style w:type="paragraph" w:customStyle="1" w:styleId="RegisteredLetter">
    <w:name w:val="Registered Letter"/>
    <w:basedOn w:val="Normal"/>
    <w:uiPriority w:val="2"/>
    <w:rsid w:val="00EE3DF9"/>
    <w:rPr>
      <w:rFonts w:eastAsia="Times New Roman"/>
      <w:szCs w:val="20"/>
      <w:u w:val="single"/>
      <w:lang w:eastAsia="en-GB"/>
    </w:rPr>
  </w:style>
  <w:style w:type="paragraph" w:customStyle="1" w:styleId="YReferences">
    <w:name w:val="YReferences"/>
    <w:basedOn w:val="Normal"/>
    <w:rsid w:val="00EE3DF9"/>
    <w:pPr>
      <w:ind w:left="1531" w:hanging="1531"/>
      <w:contextualSpacing/>
    </w:pPr>
    <w:rPr>
      <w:rFonts w:eastAsia="Times New Roman"/>
      <w:szCs w:val="20"/>
      <w:lang w:eastAsia="en-GB"/>
    </w:rPr>
  </w:style>
  <w:style w:type="paragraph" w:customStyle="1" w:styleId="References">
    <w:name w:val="References"/>
    <w:basedOn w:val="Normal"/>
    <w:uiPriority w:val="2"/>
    <w:rsid w:val="00EE3DF9"/>
    <w:pPr>
      <w:spacing w:after="360"/>
      <w:ind w:left="5102" w:right="-567"/>
      <w:contextualSpacing/>
      <w:jc w:val="left"/>
    </w:pPr>
    <w:rPr>
      <w:rFonts w:eastAsia="Times New Roman"/>
      <w:sz w:val="20"/>
      <w:szCs w:val="20"/>
      <w:lang w:eastAsia="en-GB"/>
    </w:rPr>
  </w:style>
  <w:style w:type="paragraph" w:customStyle="1" w:styleId="Subject">
    <w:name w:val="Subject"/>
    <w:basedOn w:val="Normal"/>
    <w:uiPriority w:val="2"/>
    <w:rsid w:val="00EE3DF9"/>
    <w:pPr>
      <w:ind w:left="1531" w:hanging="1531"/>
      <w:contextualSpacing/>
      <w:jc w:val="left"/>
    </w:pPr>
    <w:rPr>
      <w:rFonts w:eastAsia="Times New Roman"/>
      <w:b/>
      <w:szCs w:val="20"/>
      <w:lang w:eastAsia="en-GB"/>
    </w:rPr>
  </w:style>
  <w:style w:type="paragraph" w:customStyle="1" w:styleId="Opening">
    <w:name w:val="Opening"/>
    <w:basedOn w:val="Normal"/>
    <w:uiPriority w:val="2"/>
    <w:rsid w:val="00EE3DF9"/>
    <w:pPr>
      <w:spacing w:before="480" w:after="480"/>
      <w:jc w:val="left"/>
    </w:pPr>
    <w:rPr>
      <w:rFonts w:eastAsia="Times New Roman"/>
      <w:szCs w:val="20"/>
      <w:lang w:eastAsia="en-GB"/>
    </w:rPr>
  </w:style>
  <w:style w:type="paragraph" w:customStyle="1" w:styleId="AddressTR">
    <w:name w:val="AddressTR"/>
    <w:basedOn w:val="Normal"/>
    <w:uiPriority w:val="2"/>
    <w:rsid w:val="00EE3DF9"/>
    <w:pPr>
      <w:spacing w:after="840"/>
      <w:ind w:left="5102"/>
      <w:contextualSpacing/>
      <w:jc w:val="left"/>
    </w:pPr>
    <w:rPr>
      <w:rFonts w:eastAsia="Times New Roman"/>
      <w:szCs w:val="20"/>
      <w:lang w:eastAsia="en-GB"/>
    </w:rPr>
  </w:style>
  <w:style w:type="paragraph" w:customStyle="1" w:styleId="AddressTL">
    <w:name w:val="AddressTL"/>
    <w:basedOn w:val="Normal"/>
    <w:uiPriority w:val="2"/>
    <w:rsid w:val="00EE3DF9"/>
    <w:pPr>
      <w:spacing w:after="840"/>
      <w:contextualSpacing/>
      <w:jc w:val="left"/>
    </w:pPr>
    <w:rPr>
      <w:rFonts w:eastAsia="Times New Roman"/>
      <w:szCs w:val="20"/>
      <w:lang w:eastAsia="en-GB"/>
    </w:rPr>
  </w:style>
  <w:style w:type="paragraph" w:customStyle="1" w:styleId="Address">
    <w:name w:val="Address"/>
    <w:basedOn w:val="Normal"/>
    <w:uiPriority w:val="2"/>
    <w:rsid w:val="00EE3DF9"/>
    <w:pPr>
      <w:spacing w:after="0"/>
      <w:contextualSpacing/>
      <w:jc w:val="left"/>
    </w:pPr>
    <w:rPr>
      <w:rFonts w:eastAsia="Times New Roman"/>
      <w:szCs w:val="20"/>
      <w:lang w:eastAsia="en-GB"/>
    </w:rPr>
  </w:style>
  <w:style w:type="paragraph" w:customStyle="1" w:styleId="Text4">
    <w:name w:val="Text 4"/>
    <w:basedOn w:val="Normal"/>
    <w:uiPriority w:val="1"/>
    <w:qFormat/>
    <w:rsid w:val="00EE3DF9"/>
    <w:pPr>
      <w:ind w:left="2880"/>
    </w:pPr>
    <w:rPr>
      <w:rFonts w:eastAsia="Times New Roman"/>
      <w:szCs w:val="20"/>
      <w:lang w:eastAsia="en-GB"/>
    </w:rPr>
  </w:style>
  <w:style w:type="paragraph" w:customStyle="1" w:styleId="Text3">
    <w:name w:val="Text 3"/>
    <w:basedOn w:val="Normal"/>
    <w:uiPriority w:val="1"/>
    <w:qFormat/>
    <w:rsid w:val="00EE3DF9"/>
    <w:pPr>
      <w:ind w:left="1916"/>
    </w:pPr>
    <w:rPr>
      <w:rFonts w:eastAsia="Times New Roman"/>
      <w:szCs w:val="20"/>
      <w:lang w:eastAsia="en-GB"/>
    </w:rPr>
  </w:style>
  <w:style w:type="paragraph" w:customStyle="1" w:styleId="ZFlag">
    <w:name w:val="Z_Flag"/>
    <w:basedOn w:val="Normal"/>
    <w:next w:val="Normal"/>
    <w:uiPriority w:val="2"/>
    <w:rsid w:val="00EE3DF9"/>
    <w:pPr>
      <w:widowControl w:val="0"/>
      <w:spacing w:after="0"/>
      <w:ind w:right="85"/>
    </w:pPr>
    <w:rPr>
      <w:rFonts w:eastAsia="Times New Roman"/>
      <w:szCs w:val="20"/>
      <w:lang w:eastAsia="en-GB"/>
    </w:rPr>
  </w:style>
  <w:style w:type="paragraph" w:customStyle="1" w:styleId="ZCom">
    <w:name w:val="Z_Com"/>
    <w:basedOn w:val="Normal"/>
    <w:next w:val="Normal"/>
    <w:uiPriority w:val="2"/>
    <w:rsid w:val="00EE3DF9"/>
    <w:pPr>
      <w:widowControl w:val="0"/>
      <w:spacing w:before="90" w:after="0"/>
      <w:ind w:right="85"/>
    </w:pPr>
    <w:rPr>
      <w:rFonts w:eastAsia="Times New Roman"/>
      <w:szCs w:val="20"/>
      <w:lang w:eastAsia="en-GB"/>
    </w:rPr>
  </w:style>
  <w:style w:type="paragraph" w:customStyle="1" w:styleId="ZDGName">
    <w:name w:val="Z_DGName"/>
    <w:basedOn w:val="Normal"/>
    <w:uiPriority w:val="2"/>
    <w:rsid w:val="00EE3DF9"/>
    <w:pPr>
      <w:widowControl w:val="0"/>
      <w:spacing w:after="0"/>
      <w:ind w:right="85"/>
      <w:jc w:val="left"/>
    </w:pPr>
    <w:rPr>
      <w:rFonts w:eastAsia="Times New Roman"/>
      <w:sz w:val="16"/>
      <w:szCs w:val="20"/>
      <w:lang w:eastAsia="en-GB"/>
    </w:rPr>
  </w:style>
  <w:style w:type="paragraph" w:customStyle="1" w:styleId="Contact">
    <w:name w:val="Contact"/>
    <w:basedOn w:val="Normal"/>
    <w:uiPriority w:val="1"/>
    <w:rsid w:val="00EE3DF9"/>
    <w:pPr>
      <w:spacing w:before="480" w:after="0"/>
      <w:ind w:left="567" w:hanging="567"/>
      <w:contextualSpacing/>
      <w:jc w:val="left"/>
    </w:pPr>
    <w:rPr>
      <w:rFonts w:eastAsia="Times New Roman"/>
      <w:szCs w:val="20"/>
      <w:lang w:eastAsia="en-GB"/>
    </w:rPr>
  </w:style>
  <w:style w:type="paragraph" w:styleId="Date">
    <w:name w:val="Date"/>
    <w:basedOn w:val="Normal"/>
    <w:next w:val="References"/>
    <w:link w:val="DateChar"/>
    <w:uiPriority w:val="1"/>
    <w:rsid w:val="00EE3DF9"/>
    <w:pPr>
      <w:spacing w:after="0"/>
      <w:ind w:left="5102" w:right="-567"/>
      <w:jc w:val="left"/>
    </w:pPr>
    <w:rPr>
      <w:rFonts w:eastAsia="Times New Roman"/>
      <w:szCs w:val="20"/>
      <w:lang w:eastAsia="en-GB"/>
    </w:rPr>
  </w:style>
  <w:style w:type="character" w:customStyle="1" w:styleId="DateChar">
    <w:name w:val="Date Char"/>
    <w:basedOn w:val="DefaultParagraphFont"/>
    <w:link w:val="Date"/>
    <w:uiPriority w:val="1"/>
    <w:rsid w:val="00EE3DF9"/>
    <w:rPr>
      <w:rFonts w:ascii="Times New Roman" w:eastAsia="Times New Roman" w:hAnsi="Times New Roman" w:cs="Times New Roman"/>
      <w:sz w:val="24"/>
      <w:szCs w:val="20"/>
      <w:lang w:eastAsia="en-GB"/>
    </w:rPr>
  </w:style>
  <w:style w:type="paragraph" w:customStyle="1" w:styleId="Designator">
    <w:name w:val="Designator"/>
    <w:basedOn w:val="Normal"/>
    <w:semiHidden/>
    <w:rsid w:val="00EE3DF9"/>
    <w:pPr>
      <w:spacing w:after="0"/>
      <w:jc w:val="center"/>
    </w:pPr>
    <w:rPr>
      <w:rFonts w:eastAsia="Times New Roman"/>
      <w:b/>
      <w:caps/>
      <w:sz w:val="32"/>
      <w:szCs w:val="20"/>
      <w:lang w:eastAsia="en-GB"/>
    </w:rPr>
  </w:style>
  <w:style w:type="paragraph" w:customStyle="1" w:styleId="Releasable">
    <w:name w:val="Releasable"/>
    <w:basedOn w:val="Normal"/>
    <w:semiHidden/>
    <w:rsid w:val="00EE3DF9"/>
    <w:pPr>
      <w:spacing w:after="0"/>
      <w:jc w:val="center"/>
    </w:pPr>
    <w:rPr>
      <w:rFonts w:eastAsia="Times New Roman"/>
      <w:b/>
      <w:caps/>
      <w:sz w:val="32"/>
      <w:szCs w:val="20"/>
      <w:lang w:eastAsia="en-GB"/>
    </w:rPr>
  </w:style>
  <w:style w:type="paragraph" w:customStyle="1" w:styleId="RUE">
    <w:name w:val="RUE"/>
    <w:basedOn w:val="Normal"/>
    <w:semiHidden/>
    <w:rsid w:val="00EE3DF9"/>
    <w:pPr>
      <w:spacing w:after="0"/>
      <w:jc w:val="center"/>
    </w:pPr>
    <w:rPr>
      <w:rFonts w:eastAsia="Times New Roman"/>
      <w:b/>
      <w:caps/>
      <w:sz w:val="32"/>
      <w:szCs w:val="20"/>
      <w:bdr w:val="single" w:sz="18" w:space="0" w:color="auto"/>
      <w:lang w:eastAsia="en-GB"/>
    </w:rPr>
  </w:style>
  <w:style w:type="paragraph" w:customStyle="1" w:styleId="ConfidentialUE">
    <w:name w:val="Confidential UE"/>
    <w:basedOn w:val="Normal"/>
    <w:semiHidden/>
    <w:rsid w:val="00EE3DF9"/>
    <w:pPr>
      <w:spacing w:after="0"/>
      <w:jc w:val="center"/>
    </w:pPr>
    <w:rPr>
      <w:rFonts w:eastAsia="Times New Roman"/>
      <w:b/>
      <w:caps/>
      <w:sz w:val="32"/>
      <w:szCs w:val="20"/>
      <w:bdr w:val="single" w:sz="18" w:space="0" w:color="auto"/>
      <w:lang w:eastAsia="en-GB"/>
    </w:rPr>
  </w:style>
  <w:style w:type="paragraph" w:customStyle="1" w:styleId="SecretUE">
    <w:name w:val="Secret UE"/>
    <w:basedOn w:val="Normal"/>
    <w:semiHidden/>
    <w:rsid w:val="00EE3DF9"/>
    <w:pPr>
      <w:spacing w:after="0"/>
      <w:jc w:val="center"/>
    </w:pPr>
    <w:rPr>
      <w:rFonts w:eastAsia="Times New Roman"/>
      <w:b/>
      <w:caps/>
      <w:color w:val="FF0000"/>
      <w:sz w:val="32"/>
      <w:szCs w:val="20"/>
      <w:bdr w:val="single" w:sz="18" w:space="0" w:color="FF0000"/>
      <w:lang w:eastAsia="en-GB"/>
    </w:rPr>
  </w:style>
  <w:style w:type="paragraph" w:customStyle="1" w:styleId="TrsSecretUE">
    <w:name w:val="Très Secret UE"/>
    <w:basedOn w:val="Normal"/>
    <w:semiHidden/>
    <w:rsid w:val="00EE3DF9"/>
    <w:pPr>
      <w:spacing w:after="0"/>
      <w:jc w:val="center"/>
    </w:pPr>
    <w:rPr>
      <w:rFonts w:eastAsia="Times New Roman"/>
      <w:b/>
      <w:caps/>
      <w:color w:val="FF0000"/>
      <w:sz w:val="32"/>
      <w:szCs w:val="20"/>
      <w:bdr w:val="single" w:sz="18" w:space="0" w:color="FF0000"/>
      <w:lang w:eastAsia="en-GB"/>
    </w:rPr>
  </w:style>
  <w:style w:type="paragraph" w:styleId="EndnoteText">
    <w:name w:val="endnote text"/>
    <w:basedOn w:val="Normal"/>
    <w:link w:val="EndnoteTextChar"/>
    <w:semiHidden/>
    <w:unhideWhenUsed/>
    <w:rsid w:val="00EE3DF9"/>
    <w:rPr>
      <w:rFonts w:eastAsia="Times New Roman"/>
      <w:sz w:val="20"/>
      <w:szCs w:val="20"/>
      <w:lang w:eastAsia="en-GB"/>
    </w:rPr>
  </w:style>
  <w:style w:type="character" w:customStyle="1" w:styleId="EndnoteTextChar">
    <w:name w:val="Endnote Text Char"/>
    <w:basedOn w:val="DefaultParagraphFont"/>
    <w:link w:val="EndnoteText"/>
    <w:semiHidden/>
    <w:rsid w:val="00EE3DF9"/>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2"/>
    <w:rsid w:val="00EE3DF9"/>
    <w:pPr>
      <w:tabs>
        <w:tab w:val="clear" w:pos="4535"/>
        <w:tab w:val="clear" w:pos="9071"/>
        <w:tab w:val="clear" w:pos="9921"/>
        <w:tab w:val="right" w:pos="8646"/>
      </w:tabs>
      <w:spacing w:before="120"/>
      <w:ind w:left="0" w:right="0"/>
      <w:jc w:val="left"/>
    </w:pPr>
    <w:rPr>
      <w:rFonts w:eastAsia="Times New Roman"/>
      <w:sz w:val="16"/>
      <w:szCs w:val="20"/>
      <w:lang w:eastAsia="en-GB"/>
    </w:rPr>
  </w:style>
  <w:style w:type="paragraph" w:styleId="MacroText">
    <w:name w:val="macro"/>
    <w:basedOn w:val="Normal"/>
    <w:link w:val="MacroTextChar"/>
    <w:uiPriority w:val="1"/>
    <w:qFormat/>
    <w:rsid w:val="00EE3DF9"/>
    <w:pPr>
      <w:tabs>
        <w:tab w:val="left" w:pos="482"/>
        <w:tab w:val="left" w:pos="958"/>
        <w:tab w:val="left" w:pos="1440"/>
        <w:tab w:val="left" w:pos="1922"/>
        <w:tab w:val="left" w:pos="2398"/>
        <w:tab w:val="left" w:pos="2880"/>
        <w:tab w:val="left" w:pos="3362"/>
        <w:tab w:val="left" w:pos="3838"/>
        <w:tab w:val="left" w:pos="4320"/>
      </w:tabs>
    </w:pPr>
    <w:rPr>
      <w:rFonts w:ascii="Courier New" w:eastAsia="Times New Roman" w:hAnsi="Courier New"/>
      <w:sz w:val="22"/>
      <w:szCs w:val="20"/>
      <w:lang w:eastAsia="en-GB"/>
    </w:rPr>
  </w:style>
  <w:style w:type="character" w:customStyle="1" w:styleId="MacroTextChar">
    <w:name w:val="Macro Text Char"/>
    <w:basedOn w:val="DefaultParagraphFont"/>
    <w:link w:val="MacroText"/>
    <w:uiPriority w:val="1"/>
    <w:rsid w:val="00EE3DF9"/>
    <w:rPr>
      <w:rFonts w:ascii="Courier New" w:eastAsia="Times New Roman" w:hAnsi="Courier New" w:cs="Times New Roman"/>
      <w:szCs w:val="20"/>
      <w:lang w:eastAsia="en-GB"/>
    </w:rPr>
  </w:style>
  <w:style w:type="paragraph" w:customStyle="1" w:styleId="NumPar1">
    <w:name w:val="NumPar 1"/>
    <w:basedOn w:val="Heading1"/>
    <w:qFormat/>
    <w:rsid w:val="00EE3DF9"/>
    <w:pPr>
      <w:keepNext w:val="0"/>
      <w:numPr>
        <w:numId w:val="0"/>
      </w:numPr>
      <w:autoSpaceDE w:val="0"/>
      <w:autoSpaceDN w:val="0"/>
      <w:adjustRightInd w:val="0"/>
      <w:spacing w:before="0" w:after="120"/>
      <w:ind w:left="720" w:hanging="360"/>
      <w:outlineLvl w:val="9"/>
    </w:pPr>
    <w:rPr>
      <w:b w:val="0"/>
      <w:bCs/>
      <w:color w:val="000000"/>
      <w:szCs w:val="24"/>
    </w:rPr>
  </w:style>
  <w:style w:type="paragraph" w:customStyle="1" w:styleId="NumPar2">
    <w:name w:val="NumPar 2"/>
    <w:basedOn w:val="Heading2"/>
    <w:uiPriority w:val="1"/>
    <w:qFormat/>
    <w:rsid w:val="00EE3DF9"/>
    <w:pPr>
      <w:keepNext w:val="0"/>
      <w:numPr>
        <w:ilvl w:val="0"/>
        <w:numId w:val="0"/>
      </w:numPr>
      <w:autoSpaceDE w:val="0"/>
      <w:autoSpaceDN w:val="0"/>
      <w:adjustRightInd w:val="0"/>
      <w:spacing w:before="120" w:after="120"/>
      <w:ind w:left="720" w:hanging="360"/>
      <w:outlineLvl w:val="9"/>
    </w:pPr>
    <w:rPr>
      <w:rFonts w:eastAsiaTheme="minorHAnsi"/>
      <w:b w:val="0"/>
      <w:bCs/>
      <w:i/>
      <w:color w:val="000000"/>
      <w:szCs w:val="24"/>
    </w:rPr>
  </w:style>
  <w:style w:type="paragraph" w:customStyle="1" w:styleId="NumPar3">
    <w:name w:val="NumPar 3"/>
    <w:basedOn w:val="Heading3"/>
    <w:uiPriority w:val="1"/>
    <w:qFormat/>
    <w:rsid w:val="00EE3DF9"/>
    <w:pPr>
      <w:keepNext w:val="0"/>
      <w:numPr>
        <w:numId w:val="0"/>
      </w:numPr>
      <w:tabs>
        <w:tab w:val="num" w:pos="1922"/>
      </w:tabs>
      <w:ind w:left="1922" w:hanging="845"/>
      <w:outlineLvl w:val="9"/>
    </w:pPr>
    <w:rPr>
      <w:i w:val="0"/>
      <w:lang w:eastAsia="en-GB"/>
    </w:rPr>
  </w:style>
  <w:style w:type="paragraph" w:customStyle="1" w:styleId="NumPar4">
    <w:name w:val="NumPar 4"/>
    <w:basedOn w:val="Heading4"/>
    <w:uiPriority w:val="1"/>
    <w:qFormat/>
    <w:rsid w:val="00EE3DF9"/>
    <w:pPr>
      <w:keepNext w:val="0"/>
      <w:numPr>
        <w:numId w:val="0"/>
      </w:numPr>
      <w:tabs>
        <w:tab w:val="num" w:pos="2880"/>
      </w:tabs>
      <w:ind w:left="2880" w:hanging="958"/>
      <w:outlineLvl w:val="9"/>
    </w:pPr>
    <w:rPr>
      <w:u w:val="single"/>
      <w:lang w:eastAsia="en-GB"/>
    </w:rPr>
  </w:style>
  <w:style w:type="paragraph" w:customStyle="1" w:styleId="AnnexTitle">
    <w:name w:val="AnnexTitle"/>
    <w:basedOn w:val="Normal"/>
    <w:next w:val="Normal"/>
    <w:uiPriority w:val="1"/>
    <w:qFormat/>
    <w:rsid w:val="00EE3DF9"/>
    <w:pPr>
      <w:pageBreakBefore/>
      <w:numPr>
        <w:numId w:val="94"/>
      </w:numPr>
      <w:spacing w:after="480"/>
      <w:outlineLvl w:val="0"/>
    </w:pPr>
    <w:rPr>
      <w:rFonts w:eastAsia="Times New Roman"/>
      <w:b/>
      <w:sz w:val="32"/>
      <w:szCs w:val="20"/>
      <w:lang w:eastAsia="en-GB"/>
    </w:rPr>
  </w:style>
  <w:style w:type="paragraph" w:styleId="TOC4">
    <w:name w:val="toc 4"/>
    <w:basedOn w:val="Normal"/>
    <w:next w:val="Normal"/>
    <w:uiPriority w:val="39"/>
    <w:rsid w:val="00EE3DF9"/>
    <w:pPr>
      <w:tabs>
        <w:tab w:val="right" w:leader="dot" w:pos="8640"/>
      </w:tabs>
      <w:spacing w:before="60" w:after="60"/>
      <w:ind w:left="964" w:right="720" w:hanging="482"/>
    </w:pPr>
    <w:rPr>
      <w:rFonts w:eastAsia="Times New Roman"/>
      <w:noProof/>
      <w:szCs w:val="20"/>
      <w:lang w:eastAsia="en-GB"/>
    </w:rPr>
  </w:style>
  <w:style w:type="paragraph" w:styleId="TOC5">
    <w:name w:val="toc 5"/>
    <w:basedOn w:val="Normal"/>
    <w:next w:val="Normal"/>
    <w:uiPriority w:val="39"/>
    <w:rsid w:val="00EE3DF9"/>
    <w:pPr>
      <w:tabs>
        <w:tab w:val="right" w:leader="dot" w:pos="8640"/>
      </w:tabs>
      <w:spacing w:before="60" w:after="60"/>
      <w:ind w:left="964" w:right="720" w:hanging="482"/>
    </w:pPr>
    <w:rPr>
      <w:rFonts w:eastAsia="Times New Roman"/>
      <w:szCs w:val="20"/>
      <w:lang w:eastAsia="en-GB"/>
    </w:rPr>
  </w:style>
  <w:style w:type="paragraph" w:styleId="TOC6">
    <w:name w:val="toc 6"/>
    <w:basedOn w:val="Normal"/>
    <w:next w:val="Normal"/>
    <w:uiPriority w:val="39"/>
    <w:rsid w:val="00EE3DF9"/>
    <w:rPr>
      <w:rFonts w:eastAsia="Times New Roman"/>
      <w:caps/>
      <w:szCs w:val="20"/>
      <w:lang w:eastAsia="en-GB"/>
    </w:rPr>
  </w:style>
  <w:style w:type="paragraph" w:styleId="TOC7">
    <w:name w:val="toc 7"/>
    <w:basedOn w:val="Normal"/>
    <w:next w:val="Normal"/>
    <w:uiPriority w:val="39"/>
    <w:rsid w:val="00EE3DF9"/>
    <w:pPr>
      <w:tabs>
        <w:tab w:val="right" w:leader="dot" w:pos="8640"/>
      </w:tabs>
    </w:pPr>
    <w:rPr>
      <w:rFonts w:eastAsia="Times New Roman"/>
      <w:szCs w:val="20"/>
      <w:lang w:eastAsia="en-GB"/>
    </w:rPr>
  </w:style>
  <w:style w:type="paragraph" w:styleId="TOC8">
    <w:name w:val="toc 8"/>
    <w:basedOn w:val="Normal"/>
    <w:next w:val="Normal"/>
    <w:uiPriority w:val="39"/>
    <w:rsid w:val="00EE3DF9"/>
    <w:pPr>
      <w:tabs>
        <w:tab w:val="right" w:leader="dot" w:pos="8640"/>
      </w:tabs>
    </w:pPr>
    <w:rPr>
      <w:rFonts w:eastAsia="Times New Roman"/>
      <w:szCs w:val="20"/>
      <w:lang w:eastAsia="en-GB"/>
    </w:rPr>
  </w:style>
  <w:style w:type="paragraph" w:styleId="TOC9">
    <w:name w:val="toc 9"/>
    <w:basedOn w:val="Normal"/>
    <w:next w:val="Normal"/>
    <w:uiPriority w:val="39"/>
    <w:rsid w:val="00EE3DF9"/>
    <w:pPr>
      <w:tabs>
        <w:tab w:val="right" w:leader="dot" w:pos="8640"/>
      </w:tabs>
    </w:pPr>
    <w:rPr>
      <w:rFonts w:eastAsia="Times New Roman"/>
      <w:szCs w:val="20"/>
      <w:lang w:eastAsia="en-GB"/>
    </w:rPr>
  </w:style>
  <w:style w:type="paragraph" w:customStyle="1" w:styleId="ListBulletLevel2">
    <w:name w:val="List Bullet (Level 2)"/>
    <w:basedOn w:val="Text1"/>
    <w:uiPriority w:val="1"/>
    <w:rsid w:val="00EE3DF9"/>
    <w:pPr>
      <w:tabs>
        <w:tab w:val="num" w:pos="567"/>
      </w:tabs>
      <w:ind w:left="567" w:hanging="284"/>
    </w:pPr>
    <w:rPr>
      <w:lang w:eastAsia="en-GB"/>
    </w:rPr>
  </w:style>
  <w:style w:type="paragraph" w:customStyle="1" w:styleId="ListBulletLevel3">
    <w:name w:val="List Bullet (Level 3)"/>
    <w:basedOn w:val="Text1"/>
    <w:uiPriority w:val="1"/>
    <w:semiHidden/>
    <w:unhideWhenUsed/>
    <w:rsid w:val="00EE3DF9"/>
    <w:pPr>
      <w:tabs>
        <w:tab w:val="num" w:pos="850"/>
      </w:tabs>
      <w:ind w:left="850" w:hanging="283"/>
    </w:pPr>
    <w:rPr>
      <w:lang w:eastAsia="en-GB"/>
    </w:rPr>
  </w:style>
  <w:style w:type="paragraph" w:customStyle="1" w:styleId="ListBulletLevel4">
    <w:name w:val="List Bullet (Level 4)"/>
    <w:basedOn w:val="Text1"/>
    <w:uiPriority w:val="1"/>
    <w:semiHidden/>
    <w:unhideWhenUsed/>
    <w:rsid w:val="00EE3DF9"/>
    <w:pPr>
      <w:tabs>
        <w:tab w:val="num" w:pos="1134"/>
      </w:tabs>
      <w:ind w:left="1134" w:hanging="284"/>
    </w:pPr>
    <w:rPr>
      <w:lang w:eastAsia="en-GB"/>
    </w:rPr>
  </w:style>
  <w:style w:type="paragraph" w:customStyle="1" w:styleId="ListBullet1">
    <w:name w:val="List Bullet 1"/>
    <w:basedOn w:val="Text1"/>
    <w:uiPriority w:val="1"/>
    <w:rsid w:val="00EE3DF9"/>
    <w:pPr>
      <w:numPr>
        <w:numId w:val="91"/>
      </w:numPr>
    </w:pPr>
    <w:rPr>
      <w:lang w:eastAsia="en-GB"/>
    </w:rPr>
  </w:style>
  <w:style w:type="paragraph" w:customStyle="1" w:styleId="ListBullet1Level2">
    <w:name w:val="List Bullet 1 (Level 2)"/>
    <w:basedOn w:val="Text1"/>
    <w:uiPriority w:val="1"/>
    <w:rsid w:val="00EE3DF9"/>
    <w:pPr>
      <w:numPr>
        <w:ilvl w:val="1"/>
        <w:numId w:val="91"/>
      </w:numPr>
    </w:pPr>
    <w:rPr>
      <w:lang w:eastAsia="en-GB"/>
    </w:rPr>
  </w:style>
  <w:style w:type="paragraph" w:customStyle="1" w:styleId="ListBullet1Level3">
    <w:name w:val="List Bullet 1 (Level 3)"/>
    <w:basedOn w:val="Text1"/>
    <w:uiPriority w:val="1"/>
    <w:semiHidden/>
    <w:unhideWhenUsed/>
    <w:rsid w:val="00EE3DF9"/>
    <w:pPr>
      <w:numPr>
        <w:ilvl w:val="2"/>
        <w:numId w:val="91"/>
      </w:numPr>
    </w:pPr>
    <w:rPr>
      <w:lang w:eastAsia="en-GB"/>
    </w:rPr>
  </w:style>
  <w:style w:type="paragraph" w:customStyle="1" w:styleId="ListBullet1Level4">
    <w:name w:val="List Bullet 1 (Level 4)"/>
    <w:basedOn w:val="Text1"/>
    <w:uiPriority w:val="1"/>
    <w:semiHidden/>
    <w:unhideWhenUsed/>
    <w:rsid w:val="00EE3DF9"/>
    <w:pPr>
      <w:numPr>
        <w:ilvl w:val="3"/>
        <w:numId w:val="91"/>
      </w:numPr>
    </w:pPr>
    <w:rPr>
      <w:lang w:eastAsia="en-GB"/>
    </w:rPr>
  </w:style>
  <w:style w:type="paragraph" w:styleId="ListBullet2">
    <w:name w:val="List Bullet 2"/>
    <w:basedOn w:val="Text2"/>
    <w:uiPriority w:val="1"/>
    <w:rsid w:val="00EE3DF9"/>
    <w:pPr>
      <w:numPr>
        <w:numId w:val="90"/>
      </w:numPr>
      <w:tabs>
        <w:tab w:val="clear" w:pos="2302"/>
      </w:tabs>
    </w:pPr>
    <w:rPr>
      <w:lang w:eastAsia="en-GB"/>
    </w:rPr>
  </w:style>
  <w:style w:type="paragraph" w:customStyle="1" w:styleId="ListBullet2Level2">
    <w:name w:val="List Bullet 2 (Level 2)"/>
    <w:basedOn w:val="Text2"/>
    <w:uiPriority w:val="1"/>
    <w:rsid w:val="00EE3DF9"/>
    <w:pPr>
      <w:numPr>
        <w:ilvl w:val="1"/>
        <w:numId w:val="90"/>
      </w:numPr>
      <w:tabs>
        <w:tab w:val="clear" w:pos="2302"/>
      </w:tabs>
    </w:pPr>
    <w:rPr>
      <w:lang w:eastAsia="en-GB"/>
    </w:rPr>
  </w:style>
  <w:style w:type="paragraph" w:customStyle="1" w:styleId="ListBullet2Level3">
    <w:name w:val="List Bullet 2 (Level 3)"/>
    <w:basedOn w:val="Text2"/>
    <w:uiPriority w:val="1"/>
    <w:semiHidden/>
    <w:unhideWhenUsed/>
    <w:rsid w:val="00EE3DF9"/>
    <w:pPr>
      <w:numPr>
        <w:ilvl w:val="2"/>
        <w:numId w:val="90"/>
      </w:numPr>
      <w:tabs>
        <w:tab w:val="clear" w:pos="2302"/>
      </w:tabs>
    </w:pPr>
    <w:rPr>
      <w:lang w:eastAsia="en-GB"/>
    </w:rPr>
  </w:style>
  <w:style w:type="paragraph" w:customStyle="1" w:styleId="ListBullet2Level4">
    <w:name w:val="List Bullet 2 (Level 4)"/>
    <w:basedOn w:val="Text2"/>
    <w:uiPriority w:val="1"/>
    <w:semiHidden/>
    <w:unhideWhenUsed/>
    <w:rsid w:val="00EE3DF9"/>
    <w:pPr>
      <w:numPr>
        <w:ilvl w:val="3"/>
        <w:numId w:val="90"/>
      </w:numPr>
      <w:tabs>
        <w:tab w:val="clear" w:pos="2302"/>
      </w:tabs>
    </w:pPr>
    <w:rPr>
      <w:lang w:eastAsia="en-GB"/>
    </w:rPr>
  </w:style>
  <w:style w:type="paragraph" w:styleId="ListBullet4">
    <w:name w:val="List Bullet 4"/>
    <w:basedOn w:val="Text4"/>
    <w:uiPriority w:val="1"/>
    <w:rsid w:val="00EE3DF9"/>
    <w:pPr>
      <w:numPr>
        <w:numId w:val="89"/>
      </w:numPr>
    </w:pPr>
  </w:style>
  <w:style w:type="paragraph" w:customStyle="1" w:styleId="ListBullet4Level2">
    <w:name w:val="List Bullet 4 (Level 2)"/>
    <w:basedOn w:val="Text4"/>
    <w:uiPriority w:val="1"/>
    <w:rsid w:val="00EE3DF9"/>
    <w:pPr>
      <w:numPr>
        <w:ilvl w:val="1"/>
        <w:numId w:val="89"/>
      </w:numPr>
    </w:pPr>
  </w:style>
  <w:style w:type="paragraph" w:customStyle="1" w:styleId="ListBullet4Level3">
    <w:name w:val="List Bullet 4 (Level 3)"/>
    <w:basedOn w:val="Text4"/>
    <w:uiPriority w:val="1"/>
    <w:semiHidden/>
    <w:unhideWhenUsed/>
    <w:rsid w:val="00EE3DF9"/>
    <w:pPr>
      <w:numPr>
        <w:ilvl w:val="2"/>
        <w:numId w:val="89"/>
      </w:numPr>
    </w:pPr>
  </w:style>
  <w:style w:type="paragraph" w:customStyle="1" w:styleId="ListBullet4Level4">
    <w:name w:val="List Bullet 4 (Level 4)"/>
    <w:basedOn w:val="Text4"/>
    <w:uiPriority w:val="1"/>
    <w:semiHidden/>
    <w:unhideWhenUsed/>
    <w:rsid w:val="00EE3DF9"/>
    <w:pPr>
      <w:numPr>
        <w:ilvl w:val="3"/>
        <w:numId w:val="89"/>
      </w:numPr>
    </w:pPr>
  </w:style>
  <w:style w:type="paragraph" w:customStyle="1" w:styleId="ListDash">
    <w:name w:val="List Dash"/>
    <w:basedOn w:val="Normal"/>
    <w:uiPriority w:val="1"/>
    <w:rsid w:val="00EE3DF9"/>
    <w:pPr>
      <w:numPr>
        <w:numId w:val="85"/>
      </w:numPr>
    </w:pPr>
    <w:rPr>
      <w:rFonts w:eastAsia="Times New Roman"/>
      <w:szCs w:val="20"/>
      <w:lang w:eastAsia="en-GB"/>
    </w:rPr>
  </w:style>
  <w:style w:type="paragraph" w:customStyle="1" w:styleId="ListDashLevel2">
    <w:name w:val="List Dash (Level 2)"/>
    <w:basedOn w:val="Normal"/>
    <w:uiPriority w:val="1"/>
    <w:rsid w:val="00EE3DF9"/>
    <w:pPr>
      <w:numPr>
        <w:ilvl w:val="1"/>
        <w:numId w:val="85"/>
      </w:numPr>
    </w:pPr>
    <w:rPr>
      <w:rFonts w:eastAsia="Times New Roman"/>
      <w:szCs w:val="20"/>
      <w:lang w:eastAsia="en-GB"/>
    </w:rPr>
  </w:style>
  <w:style w:type="paragraph" w:customStyle="1" w:styleId="ListDashLevel3">
    <w:name w:val="List Dash (Level 3)"/>
    <w:basedOn w:val="Normal"/>
    <w:uiPriority w:val="1"/>
    <w:semiHidden/>
    <w:unhideWhenUsed/>
    <w:rsid w:val="00EE3DF9"/>
    <w:pPr>
      <w:numPr>
        <w:ilvl w:val="2"/>
        <w:numId w:val="85"/>
      </w:numPr>
    </w:pPr>
    <w:rPr>
      <w:rFonts w:eastAsia="Times New Roman"/>
      <w:szCs w:val="20"/>
      <w:lang w:eastAsia="en-GB"/>
    </w:rPr>
  </w:style>
  <w:style w:type="paragraph" w:customStyle="1" w:styleId="ListDashLevel4">
    <w:name w:val="List Dash (Level 4)"/>
    <w:basedOn w:val="Normal"/>
    <w:uiPriority w:val="1"/>
    <w:semiHidden/>
    <w:unhideWhenUsed/>
    <w:rsid w:val="00EE3DF9"/>
    <w:pPr>
      <w:numPr>
        <w:ilvl w:val="3"/>
        <w:numId w:val="85"/>
      </w:numPr>
    </w:pPr>
    <w:rPr>
      <w:rFonts w:eastAsia="Times New Roman"/>
      <w:szCs w:val="20"/>
      <w:lang w:eastAsia="en-GB"/>
    </w:rPr>
  </w:style>
  <w:style w:type="paragraph" w:customStyle="1" w:styleId="ListDash1Level2">
    <w:name w:val="List Dash 1 (Level 2)"/>
    <w:basedOn w:val="Text1"/>
    <w:uiPriority w:val="1"/>
    <w:rsid w:val="00EE3DF9"/>
    <w:pPr>
      <w:tabs>
        <w:tab w:val="num" w:pos="1049"/>
      </w:tabs>
      <w:ind w:left="1049" w:hanging="284"/>
    </w:pPr>
    <w:rPr>
      <w:lang w:eastAsia="en-GB"/>
    </w:rPr>
  </w:style>
  <w:style w:type="paragraph" w:customStyle="1" w:styleId="ListDash1Level3">
    <w:name w:val="List Dash 1 (Level 3)"/>
    <w:basedOn w:val="Text1"/>
    <w:uiPriority w:val="1"/>
    <w:semiHidden/>
    <w:unhideWhenUsed/>
    <w:rsid w:val="00EE3DF9"/>
    <w:pPr>
      <w:tabs>
        <w:tab w:val="num" w:pos="1332"/>
      </w:tabs>
      <w:ind w:left="1332" w:hanging="283"/>
    </w:pPr>
    <w:rPr>
      <w:lang w:eastAsia="en-GB"/>
    </w:rPr>
  </w:style>
  <w:style w:type="paragraph" w:customStyle="1" w:styleId="ListDash1Level4">
    <w:name w:val="List Dash 1 (Level 4)"/>
    <w:basedOn w:val="Text1"/>
    <w:uiPriority w:val="1"/>
    <w:semiHidden/>
    <w:unhideWhenUsed/>
    <w:rsid w:val="00EE3DF9"/>
    <w:pPr>
      <w:tabs>
        <w:tab w:val="num" w:pos="1616"/>
      </w:tabs>
      <w:ind w:left="1616" w:hanging="284"/>
    </w:pPr>
    <w:rPr>
      <w:lang w:eastAsia="en-GB"/>
    </w:rPr>
  </w:style>
  <w:style w:type="paragraph" w:customStyle="1" w:styleId="ListDash2">
    <w:name w:val="List Dash 2"/>
    <w:basedOn w:val="Text2"/>
    <w:uiPriority w:val="1"/>
    <w:rsid w:val="00EE3DF9"/>
    <w:pPr>
      <w:numPr>
        <w:numId w:val="84"/>
      </w:numPr>
      <w:tabs>
        <w:tab w:val="clear" w:pos="2302"/>
      </w:tabs>
    </w:pPr>
    <w:rPr>
      <w:lang w:eastAsia="en-GB"/>
    </w:rPr>
  </w:style>
  <w:style w:type="paragraph" w:customStyle="1" w:styleId="ListDash2Level2">
    <w:name w:val="List Dash 2 (Level 2)"/>
    <w:basedOn w:val="Text2"/>
    <w:uiPriority w:val="1"/>
    <w:rsid w:val="00EE3DF9"/>
    <w:pPr>
      <w:numPr>
        <w:ilvl w:val="1"/>
        <w:numId w:val="84"/>
      </w:numPr>
      <w:tabs>
        <w:tab w:val="clear" w:pos="2302"/>
      </w:tabs>
    </w:pPr>
    <w:rPr>
      <w:lang w:eastAsia="en-GB"/>
    </w:rPr>
  </w:style>
  <w:style w:type="paragraph" w:customStyle="1" w:styleId="ListDash2Level3">
    <w:name w:val="List Dash 2 (Level 3)"/>
    <w:basedOn w:val="Text2"/>
    <w:uiPriority w:val="1"/>
    <w:semiHidden/>
    <w:unhideWhenUsed/>
    <w:rsid w:val="00EE3DF9"/>
    <w:pPr>
      <w:numPr>
        <w:ilvl w:val="2"/>
        <w:numId w:val="84"/>
      </w:numPr>
      <w:tabs>
        <w:tab w:val="clear" w:pos="2302"/>
      </w:tabs>
    </w:pPr>
    <w:rPr>
      <w:lang w:eastAsia="en-GB"/>
    </w:rPr>
  </w:style>
  <w:style w:type="paragraph" w:customStyle="1" w:styleId="ListDash2Level4">
    <w:name w:val="List Dash 2 (Level 4)"/>
    <w:basedOn w:val="Text2"/>
    <w:uiPriority w:val="1"/>
    <w:semiHidden/>
    <w:unhideWhenUsed/>
    <w:rsid w:val="00EE3DF9"/>
    <w:pPr>
      <w:numPr>
        <w:ilvl w:val="3"/>
        <w:numId w:val="84"/>
      </w:numPr>
      <w:tabs>
        <w:tab w:val="clear" w:pos="2302"/>
      </w:tabs>
    </w:pPr>
    <w:rPr>
      <w:lang w:eastAsia="en-GB"/>
    </w:rPr>
  </w:style>
  <w:style w:type="paragraph" w:customStyle="1" w:styleId="ListDash3">
    <w:name w:val="List Dash 3"/>
    <w:basedOn w:val="Text3"/>
    <w:uiPriority w:val="1"/>
    <w:rsid w:val="00EE3DF9"/>
    <w:pPr>
      <w:numPr>
        <w:numId w:val="83"/>
      </w:numPr>
    </w:pPr>
  </w:style>
  <w:style w:type="paragraph" w:customStyle="1" w:styleId="ListDash3Level2">
    <w:name w:val="List Dash 3 (Level 2)"/>
    <w:basedOn w:val="Text3"/>
    <w:uiPriority w:val="1"/>
    <w:rsid w:val="00EE3DF9"/>
    <w:pPr>
      <w:numPr>
        <w:ilvl w:val="1"/>
        <w:numId w:val="83"/>
      </w:numPr>
    </w:pPr>
  </w:style>
  <w:style w:type="paragraph" w:customStyle="1" w:styleId="ListDash3Level3">
    <w:name w:val="List Dash 3 (Level 3)"/>
    <w:basedOn w:val="Text3"/>
    <w:uiPriority w:val="1"/>
    <w:semiHidden/>
    <w:unhideWhenUsed/>
    <w:rsid w:val="00EE3DF9"/>
    <w:pPr>
      <w:numPr>
        <w:ilvl w:val="2"/>
        <w:numId w:val="83"/>
      </w:numPr>
    </w:pPr>
  </w:style>
  <w:style w:type="paragraph" w:customStyle="1" w:styleId="ListDash3Level4">
    <w:name w:val="List Dash 3 (Level 4)"/>
    <w:basedOn w:val="Text3"/>
    <w:uiPriority w:val="1"/>
    <w:semiHidden/>
    <w:unhideWhenUsed/>
    <w:rsid w:val="00EE3DF9"/>
    <w:pPr>
      <w:numPr>
        <w:ilvl w:val="3"/>
        <w:numId w:val="83"/>
      </w:numPr>
    </w:pPr>
  </w:style>
  <w:style w:type="paragraph" w:customStyle="1" w:styleId="ListDash4">
    <w:name w:val="List Dash 4"/>
    <w:basedOn w:val="Text4"/>
    <w:uiPriority w:val="1"/>
    <w:rsid w:val="00EE3DF9"/>
    <w:pPr>
      <w:numPr>
        <w:numId w:val="82"/>
      </w:numPr>
    </w:pPr>
  </w:style>
  <w:style w:type="paragraph" w:customStyle="1" w:styleId="ListDash4Level2">
    <w:name w:val="List Dash 4 (Level 2)"/>
    <w:basedOn w:val="Text4"/>
    <w:uiPriority w:val="1"/>
    <w:rsid w:val="00EE3DF9"/>
    <w:pPr>
      <w:numPr>
        <w:ilvl w:val="1"/>
        <w:numId w:val="82"/>
      </w:numPr>
    </w:pPr>
  </w:style>
  <w:style w:type="paragraph" w:customStyle="1" w:styleId="ListDash4Level3">
    <w:name w:val="List Dash 4 (Level 3)"/>
    <w:basedOn w:val="Text4"/>
    <w:uiPriority w:val="1"/>
    <w:semiHidden/>
    <w:unhideWhenUsed/>
    <w:rsid w:val="00EE3DF9"/>
    <w:pPr>
      <w:numPr>
        <w:ilvl w:val="2"/>
        <w:numId w:val="82"/>
      </w:numPr>
    </w:pPr>
  </w:style>
  <w:style w:type="paragraph" w:customStyle="1" w:styleId="ListDash4Level4">
    <w:name w:val="List Dash 4 (Level 4)"/>
    <w:basedOn w:val="Text4"/>
    <w:uiPriority w:val="1"/>
    <w:semiHidden/>
    <w:unhideWhenUsed/>
    <w:rsid w:val="00EE3DF9"/>
    <w:pPr>
      <w:numPr>
        <w:ilvl w:val="3"/>
        <w:numId w:val="82"/>
      </w:numPr>
    </w:pPr>
  </w:style>
  <w:style w:type="paragraph" w:styleId="ListNumber">
    <w:name w:val="List Number"/>
    <w:basedOn w:val="Normal"/>
    <w:rsid w:val="00EE3DF9"/>
    <w:pPr>
      <w:numPr>
        <w:numId w:val="101"/>
      </w:numPr>
      <w:tabs>
        <w:tab w:val="num" w:pos="709"/>
      </w:tabs>
    </w:pPr>
    <w:rPr>
      <w:rFonts w:eastAsia="Times New Roman"/>
      <w:szCs w:val="20"/>
      <w:lang w:eastAsia="en-GB"/>
    </w:rPr>
  </w:style>
  <w:style w:type="paragraph" w:customStyle="1" w:styleId="ListNumberLevel2">
    <w:name w:val="List Number (Level 2)"/>
    <w:basedOn w:val="Normal"/>
    <w:rsid w:val="00EE3DF9"/>
    <w:pPr>
      <w:tabs>
        <w:tab w:val="num" w:pos="1417"/>
      </w:tabs>
      <w:ind w:left="1417" w:hanging="708"/>
    </w:pPr>
    <w:rPr>
      <w:rFonts w:eastAsia="Times New Roman"/>
      <w:szCs w:val="20"/>
      <w:lang w:eastAsia="en-GB"/>
    </w:rPr>
  </w:style>
  <w:style w:type="paragraph" w:customStyle="1" w:styleId="ListNumberLevel3">
    <w:name w:val="List Number (Level 3)"/>
    <w:basedOn w:val="Normal"/>
    <w:unhideWhenUsed/>
    <w:rsid w:val="00EE3DF9"/>
    <w:pPr>
      <w:tabs>
        <w:tab w:val="num" w:pos="2126"/>
      </w:tabs>
      <w:ind w:left="2126" w:hanging="709"/>
    </w:pPr>
    <w:rPr>
      <w:rFonts w:eastAsia="Times New Roman"/>
      <w:szCs w:val="20"/>
      <w:lang w:eastAsia="en-GB"/>
    </w:rPr>
  </w:style>
  <w:style w:type="paragraph" w:customStyle="1" w:styleId="ListNumberLevel4">
    <w:name w:val="List Number (Level 4)"/>
    <w:basedOn w:val="Normal"/>
    <w:unhideWhenUsed/>
    <w:rsid w:val="00EE3DF9"/>
    <w:pPr>
      <w:tabs>
        <w:tab w:val="num" w:pos="2835"/>
      </w:tabs>
      <w:ind w:left="2835" w:hanging="709"/>
    </w:pPr>
    <w:rPr>
      <w:rFonts w:eastAsia="Times New Roman"/>
      <w:szCs w:val="20"/>
      <w:lang w:eastAsia="en-GB"/>
    </w:rPr>
  </w:style>
  <w:style w:type="paragraph" w:customStyle="1" w:styleId="ListNumber1">
    <w:name w:val="List Number 1"/>
    <w:basedOn w:val="Text1"/>
    <w:rsid w:val="00EE3DF9"/>
    <w:pPr>
      <w:numPr>
        <w:numId w:val="88"/>
      </w:numPr>
    </w:pPr>
    <w:rPr>
      <w:lang w:eastAsia="en-GB"/>
    </w:rPr>
  </w:style>
  <w:style w:type="paragraph" w:customStyle="1" w:styleId="ListNumber1Level2">
    <w:name w:val="List Number 1 (Level 2)"/>
    <w:basedOn w:val="Text1"/>
    <w:rsid w:val="00EE3DF9"/>
    <w:pPr>
      <w:numPr>
        <w:ilvl w:val="1"/>
        <w:numId w:val="88"/>
      </w:numPr>
    </w:pPr>
    <w:rPr>
      <w:lang w:eastAsia="en-GB"/>
    </w:rPr>
  </w:style>
  <w:style w:type="paragraph" w:customStyle="1" w:styleId="ListNumber1Level3">
    <w:name w:val="List Number 1 (Level 3)"/>
    <w:basedOn w:val="Text1"/>
    <w:unhideWhenUsed/>
    <w:rsid w:val="00EE3DF9"/>
    <w:pPr>
      <w:numPr>
        <w:ilvl w:val="2"/>
        <w:numId w:val="88"/>
      </w:numPr>
    </w:pPr>
    <w:rPr>
      <w:lang w:eastAsia="en-GB"/>
    </w:rPr>
  </w:style>
  <w:style w:type="paragraph" w:customStyle="1" w:styleId="ListNumber1Level4">
    <w:name w:val="List Number 1 (Level 4)"/>
    <w:basedOn w:val="Text1"/>
    <w:unhideWhenUsed/>
    <w:rsid w:val="00EE3DF9"/>
    <w:pPr>
      <w:numPr>
        <w:ilvl w:val="3"/>
        <w:numId w:val="88"/>
      </w:numPr>
    </w:pPr>
    <w:rPr>
      <w:lang w:eastAsia="en-GB"/>
    </w:rPr>
  </w:style>
  <w:style w:type="paragraph" w:styleId="ListNumber3">
    <w:name w:val="List Number 3"/>
    <w:basedOn w:val="Text3"/>
    <w:uiPriority w:val="1"/>
    <w:rsid w:val="00EE3DF9"/>
    <w:pPr>
      <w:numPr>
        <w:numId w:val="87"/>
      </w:numPr>
    </w:pPr>
  </w:style>
  <w:style w:type="paragraph" w:customStyle="1" w:styleId="ListNumber3Level2">
    <w:name w:val="List Number 3 (Level 2)"/>
    <w:basedOn w:val="Text3"/>
    <w:uiPriority w:val="1"/>
    <w:rsid w:val="00EE3DF9"/>
    <w:pPr>
      <w:numPr>
        <w:ilvl w:val="1"/>
        <w:numId w:val="87"/>
      </w:numPr>
    </w:pPr>
  </w:style>
  <w:style w:type="paragraph" w:customStyle="1" w:styleId="ListNumber3Level3">
    <w:name w:val="List Number 3 (Level 3)"/>
    <w:basedOn w:val="Text3"/>
    <w:uiPriority w:val="1"/>
    <w:semiHidden/>
    <w:unhideWhenUsed/>
    <w:rsid w:val="00EE3DF9"/>
    <w:pPr>
      <w:numPr>
        <w:ilvl w:val="2"/>
        <w:numId w:val="87"/>
      </w:numPr>
    </w:pPr>
  </w:style>
  <w:style w:type="paragraph" w:customStyle="1" w:styleId="ListNumber3Level4">
    <w:name w:val="List Number 3 (Level 4)"/>
    <w:basedOn w:val="Text3"/>
    <w:uiPriority w:val="1"/>
    <w:semiHidden/>
    <w:unhideWhenUsed/>
    <w:rsid w:val="00EE3DF9"/>
    <w:pPr>
      <w:numPr>
        <w:ilvl w:val="3"/>
        <w:numId w:val="87"/>
      </w:numPr>
    </w:pPr>
  </w:style>
  <w:style w:type="paragraph" w:styleId="ListNumber4">
    <w:name w:val="List Number 4"/>
    <w:basedOn w:val="Text4"/>
    <w:uiPriority w:val="1"/>
    <w:rsid w:val="00EE3DF9"/>
    <w:pPr>
      <w:numPr>
        <w:numId w:val="86"/>
      </w:numPr>
    </w:pPr>
  </w:style>
  <w:style w:type="paragraph" w:customStyle="1" w:styleId="ListNumber4Level2">
    <w:name w:val="List Number 4 (Level 2)"/>
    <w:basedOn w:val="Text4"/>
    <w:uiPriority w:val="1"/>
    <w:rsid w:val="00EE3DF9"/>
    <w:pPr>
      <w:numPr>
        <w:ilvl w:val="1"/>
        <w:numId w:val="86"/>
      </w:numPr>
    </w:pPr>
  </w:style>
  <w:style w:type="paragraph" w:customStyle="1" w:styleId="ListNumber4Level3">
    <w:name w:val="List Number 4 (Level 3)"/>
    <w:basedOn w:val="Text4"/>
    <w:uiPriority w:val="1"/>
    <w:semiHidden/>
    <w:unhideWhenUsed/>
    <w:rsid w:val="00EE3DF9"/>
    <w:pPr>
      <w:numPr>
        <w:ilvl w:val="2"/>
        <w:numId w:val="86"/>
      </w:numPr>
    </w:pPr>
  </w:style>
  <w:style w:type="paragraph" w:customStyle="1" w:styleId="ListNumber4Level4">
    <w:name w:val="List Number 4 (Level 4)"/>
    <w:basedOn w:val="Text4"/>
    <w:uiPriority w:val="1"/>
    <w:semiHidden/>
    <w:unhideWhenUsed/>
    <w:rsid w:val="00EE3DF9"/>
    <w:pPr>
      <w:numPr>
        <w:ilvl w:val="3"/>
        <w:numId w:val="86"/>
      </w:numPr>
    </w:pPr>
  </w:style>
  <w:style w:type="paragraph" w:customStyle="1" w:styleId="Marking">
    <w:name w:val="Marking"/>
    <w:basedOn w:val="Normal"/>
    <w:semiHidden/>
    <w:rsid w:val="00EE3DF9"/>
    <w:pPr>
      <w:ind w:left="5102" w:right="-567"/>
      <w:contextualSpacing/>
      <w:jc w:val="left"/>
    </w:pPr>
    <w:rPr>
      <w:rFonts w:eastAsia="Times New Roman"/>
      <w:sz w:val="28"/>
      <w:szCs w:val="20"/>
      <w:lang w:eastAsia="en-GB"/>
    </w:rPr>
  </w:style>
  <w:style w:type="paragraph" w:customStyle="1" w:styleId="LegalNumPar">
    <w:name w:val="LegalNumPar"/>
    <w:basedOn w:val="Normal"/>
    <w:uiPriority w:val="1"/>
    <w:qFormat/>
    <w:rsid w:val="00EE3DF9"/>
    <w:pPr>
      <w:numPr>
        <w:numId w:val="92"/>
      </w:numPr>
      <w:spacing w:line="360" w:lineRule="auto"/>
    </w:pPr>
    <w:rPr>
      <w:rFonts w:eastAsia="Times New Roman"/>
      <w:szCs w:val="20"/>
      <w:lang w:eastAsia="en-GB"/>
    </w:rPr>
  </w:style>
  <w:style w:type="paragraph" w:customStyle="1" w:styleId="LegalNumPar2">
    <w:name w:val="LegalNumPar2"/>
    <w:basedOn w:val="Normal"/>
    <w:uiPriority w:val="1"/>
    <w:rsid w:val="00EE3DF9"/>
    <w:pPr>
      <w:numPr>
        <w:ilvl w:val="1"/>
        <w:numId w:val="92"/>
      </w:numPr>
      <w:spacing w:line="360" w:lineRule="auto"/>
    </w:pPr>
    <w:rPr>
      <w:rFonts w:eastAsia="Times New Roman"/>
      <w:szCs w:val="20"/>
      <w:lang w:eastAsia="en-GB"/>
    </w:rPr>
  </w:style>
  <w:style w:type="paragraph" w:customStyle="1" w:styleId="LegalNumPar3">
    <w:name w:val="LegalNumPar3"/>
    <w:basedOn w:val="Normal"/>
    <w:uiPriority w:val="1"/>
    <w:rsid w:val="00EE3DF9"/>
    <w:pPr>
      <w:numPr>
        <w:ilvl w:val="2"/>
        <w:numId w:val="92"/>
      </w:numPr>
      <w:spacing w:line="360" w:lineRule="auto"/>
    </w:pPr>
    <w:rPr>
      <w:rFonts w:eastAsia="Times New Roman"/>
      <w:szCs w:val="20"/>
      <w:lang w:eastAsia="en-GB"/>
    </w:rPr>
  </w:style>
  <w:style w:type="paragraph" w:customStyle="1" w:styleId="ContNum">
    <w:name w:val="ContNum"/>
    <w:basedOn w:val="Normal"/>
    <w:uiPriority w:val="1"/>
    <w:qFormat/>
    <w:rsid w:val="00EE3DF9"/>
    <w:pPr>
      <w:numPr>
        <w:numId w:val="93"/>
      </w:numPr>
    </w:pPr>
    <w:rPr>
      <w:rFonts w:eastAsia="Times New Roman"/>
      <w:szCs w:val="20"/>
      <w:lang w:eastAsia="en-GB"/>
    </w:rPr>
  </w:style>
  <w:style w:type="paragraph" w:customStyle="1" w:styleId="ContNumLevel2">
    <w:name w:val="ContNum (Level 2)"/>
    <w:basedOn w:val="Normal"/>
    <w:uiPriority w:val="1"/>
    <w:rsid w:val="00EE3DF9"/>
    <w:pPr>
      <w:numPr>
        <w:ilvl w:val="1"/>
        <w:numId w:val="93"/>
      </w:numPr>
    </w:pPr>
    <w:rPr>
      <w:rFonts w:eastAsia="Times New Roman"/>
      <w:szCs w:val="20"/>
      <w:lang w:eastAsia="en-GB"/>
    </w:rPr>
  </w:style>
  <w:style w:type="paragraph" w:customStyle="1" w:styleId="ContNumLevel3">
    <w:name w:val="ContNum (Level 3)"/>
    <w:basedOn w:val="Normal"/>
    <w:uiPriority w:val="1"/>
    <w:rsid w:val="00EE3DF9"/>
    <w:pPr>
      <w:numPr>
        <w:ilvl w:val="2"/>
        <w:numId w:val="93"/>
      </w:numPr>
    </w:pPr>
    <w:rPr>
      <w:rFonts w:eastAsia="Times New Roman"/>
      <w:szCs w:val="20"/>
      <w:lang w:eastAsia="en-GB"/>
    </w:rPr>
  </w:style>
  <w:style w:type="paragraph" w:customStyle="1" w:styleId="NoteHead">
    <w:name w:val="NoteHead"/>
    <w:basedOn w:val="Normal"/>
    <w:uiPriority w:val="2"/>
    <w:rsid w:val="00EE3DF9"/>
    <w:pPr>
      <w:spacing w:before="720" w:after="720"/>
      <w:contextualSpacing/>
      <w:jc w:val="center"/>
    </w:pPr>
    <w:rPr>
      <w:rFonts w:eastAsia="Times New Roman"/>
      <w:b/>
      <w:smallCaps/>
      <w:szCs w:val="20"/>
      <w:lang w:eastAsia="en-GB"/>
    </w:rPr>
  </w:style>
  <w:style w:type="paragraph" w:customStyle="1" w:styleId="NoteList">
    <w:name w:val="NoteList"/>
    <w:basedOn w:val="Normal"/>
    <w:uiPriority w:val="2"/>
    <w:rsid w:val="00EE3DF9"/>
    <w:pPr>
      <w:tabs>
        <w:tab w:val="left" w:pos="5822"/>
      </w:tabs>
      <w:spacing w:before="720" w:after="720"/>
      <w:ind w:left="5102" w:hanging="3118"/>
      <w:contextualSpacing/>
      <w:jc w:val="left"/>
    </w:pPr>
    <w:rPr>
      <w:rFonts w:eastAsia="Times New Roman"/>
      <w:b/>
      <w:smallCaps/>
      <w:szCs w:val="20"/>
      <w:lang w:eastAsia="en-GB"/>
    </w:rPr>
  </w:style>
  <w:style w:type="paragraph" w:customStyle="1" w:styleId="NoteColumn">
    <w:name w:val="NoteColumn"/>
    <w:basedOn w:val="Normal"/>
    <w:uiPriority w:val="2"/>
    <w:rsid w:val="00EE3DF9"/>
    <w:pPr>
      <w:tabs>
        <w:tab w:val="left" w:pos="850"/>
        <w:tab w:val="left" w:pos="1570"/>
        <w:tab w:val="left" w:pos="5102"/>
        <w:tab w:val="left" w:pos="5822"/>
      </w:tabs>
      <w:spacing w:after="720"/>
      <w:ind w:left="850"/>
      <w:jc w:val="left"/>
    </w:pPr>
    <w:rPr>
      <w:rFonts w:eastAsia="Times New Roman"/>
      <w:b/>
      <w:smallCaps/>
      <w:szCs w:val="20"/>
      <w:lang w:eastAsia="en-GB"/>
    </w:rPr>
  </w:style>
  <w:style w:type="paragraph" w:styleId="Closing">
    <w:name w:val="Closing"/>
    <w:basedOn w:val="Normal"/>
    <w:next w:val="Signature"/>
    <w:link w:val="ClosingChar"/>
    <w:uiPriority w:val="2"/>
    <w:rsid w:val="00EE3DF9"/>
    <w:pPr>
      <w:tabs>
        <w:tab w:val="left" w:pos="5102"/>
      </w:tabs>
      <w:spacing w:before="240"/>
      <w:ind w:left="5102"/>
      <w:jc w:val="left"/>
    </w:pPr>
    <w:rPr>
      <w:rFonts w:eastAsia="Times New Roman"/>
      <w:szCs w:val="20"/>
      <w:lang w:eastAsia="en-GB"/>
    </w:rPr>
  </w:style>
  <w:style w:type="character" w:customStyle="1" w:styleId="ClosingChar">
    <w:name w:val="Closing Char"/>
    <w:basedOn w:val="DefaultParagraphFont"/>
    <w:link w:val="Closing"/>
    <w:uiPriority w:val="2"/>
    <w:rsid w:val="00EE3DF9"/>
    <w:rPr>
      <w:rFonts w:ascii="Times New Roman" w:eastAsia="Times New Roman" w:hAnsi="Times New Roman" w:cs="Times New Roman"/>
      <w:sz w:val="24"/>
      <w:szCs w:val="20"/>
      <w:lang w:eastAsia="en-GB"/>
    </w:rPr>
  </w:style>
  <w:style w:type="paragraph" w:customStyle="1" w:styleId="ClosingL">
    <w:name w:val="ClosingL"/>
    <w:basedOn w:val="Normal"/>
    <w:next w:val="Signature"/>
    <w:uiPriority w:val="2"/>
    <w:rsid w:val="00EE3DF9"/>
    <w:pPr>
      <w:spacing w:before="240"/>
      <w:jc w:val="left"/>
    </w:pPr>
    <w:rPr>
      <w:rFonts w:eastAsia="Times New Roman"/>
      <w:szCs w:val="20"/>
      <w:lang w:eastAsia="en-GB"/>
    </w:rPr>
  </w:style>
  <w:style w:type="paragraph" w:styleId="Signature">
    <w:name w:val="Signature"/>
    <w:basedOn w:val="Normal"/>
    <w:next w:val="Contact"/>
    <w:link w:val="SignatureChar"/>
    <w:uiPriority w:val="2"/>
    <w:rsid w:val="00EE3DF9"/>
    <w:pPr>
      <w:tabs>
        <w:tab w:val="left" w:pos="5102"/>
      </w:tabs>
      <w:spacing w:before="1200" w:after="0"/>
      <w:ind w:left="5102"/>
      <w:jc w:val="center"/>
    </w:pPr>
    <w:rPr>
      <w:rFonts w:eastAsia="Times New Roman"/>
      <w:szCs w:val="20"/>
      <w:lang w:eastAsia="en-GB"/>
    </w:rPr>
  </w:style>
  <w:style w:type="character" w:customStyle="1" w:styleId="SignatureChar">
    <w:name w:val="Signature Char"/>
    <w:basedOn w:val="DefaultParagraphFont"/>
    <w:link w:val="Signature"/>
    <w:uiPriority w:val="2"/>
    <w:rsid w:val="00EE3DF9"/>
    <w:rPr>
      <w:rFonts w:ascii="Times New Roman" w:eastAsia="Times New Roman" w:hAnsi="Times New Roman" w:cs="Times New Roman"/>
      <w:sz w:val="24"/>
      <w:szCs w:val="20"/>
      <w:lang w:eastAsia="en-GB"/>
    </w:rPr>
  </w:style>
  <w:style w:type="paragraph" w:customStyle="1" w:styleId="SignatureL">
    <w:name w:val="SignatureL"/>
    <w:basedOn w:val="Normal"/>
    <w:next w:val="Contact"/>
    <w:uiPriority w:val="2"/>
    <w:rsid w:val="00EE3DF9"/>
    <w:pPr>
      <w:tabs>
        <w:tab w:val="left" w:pos="5102"/>
      </w:tabs>
      <w:spacing w:before="1200" w:after="0"/>
      <w:jc w:val="left"/>
    </w:pPr>
    <w:rPr>
      <w:rFonts w:eastAsia="Times New Roman"/>
      <w:szCs w:val="20"/>
      <w:lang w:eastAsia="en-GB"/>
    </w:rPr>
  </w:style>
  <w:style w:type="paragraph" w:customStyle="1" w:styleId="DoubSign">
    <w:name w:val="DoubSign"/>
    <w:basedOn w:val="Normal"/>
    <w:next w:val="Contact"/>
    <w:uiPriority w:val="2"/>
    <w:rsid w:val="00EE3DF9"/>
    <w:pPr>
      <w:tabs>
        <w:tab w:val="left" w:pos="5102"/>
      </w:tabs>
      <w:spacing w:before="1200" w:after="0"/>
      <w:jc w:val="left"/>
    </w:pPr>
    <w:rPr>
      <w:rFonts w:eastAsia="Times New Roman"/>
      <w:szCs w:val="20"/>
      <w:lang w:eastAsia="en-GB"/>
    </w:rPr>
  </w:style>
  <w:style w:type="paragraph" w:customStyle="1" w:styleId="Enclosures">
    <w:name w:val="Enclosures"/>
    <w:basedOn w:val="Normal"/>
    <w:uiPriority w:val="2"/>
    <w:rsid w:val="00EE3DF9"/>
    <w:pPr>
      <w:keepNext/>
      <w:keepLines/>
      <w:tabs>
        <w:tab w:val="left" w:pos="5669"/>
      </w:tabs>
      <w:spacing w:before="480" w:after="0"/>
      <w:ind w:left="1984" w:hanging="1984"/>
      <w:contextualSpacing/>
      <w:jc w:val="left"/>
    </w:pPr>
    <w:rPr>
      <w:rFonts w:eastAsia="Times New Roman"/>
      <w:szCs w:val="20"/>
      <w:lang w:eastAsia="en-GB"/>
    </w:rPr>
  </w:style>
  <w:style w:type="paragraph" w:customStyle="1" w:styleId="Participants">
    <w:name w:val="Participants"/>
    <w:basedOn w:val="Normal"/>
    <w:uiPriority w:val="2"/>
    <w:rsid w:val="00EE3DF9"/>
    <w:pPr>
      <w:tabs>
        <w:tab w:val="left" w:pos="2551"/>
        <w:tab w:val="left" w:pos="2835"/>
        <w:tab w:val="left" w:pos="5669"/>
        <w:tab w:val="left" w:pos="6378"/>
        <w:tab w:val="left" w:pos="6803"/>
      </w:tabs>
      <w:spacing w:before="480" w:after="0"/>
      <w:ind w:left="1984" w:hanging="1984"/>
      <w:contextualSpacing/>
      <w:jc w:val="left"/>
    </w:pPr>
    <w:rPr>
      <w:rFonts w:eastAsia="Times New Roman"/>
      <w:szCs w:val="20"/>
      <w:lang w:eastAsia="en-GB"/>
    </w:rPr>
  </w:style>
  <w:style w:type="paragraph" w:customStyle="1" w:styleId="Copies">
    <w:name w:val="Copies"/>
    <w:basedOn w:val="Normal"/>
    <w:uiPriority w:val="2"/>
    <w:rsid w:val="00EE3DF9"/>
    <w:pPr>
      <w:tabs>
        <w:tab w:val="left" w:pos="5669"/>
      </w:tabs>
      <w:spacing w:before="480" w:after="0"/>
      <w:ind w:left="1984" w:hanging="1984"/>
      <w:contextualSpacing/>
      <w:jc w:val="left"/>
    </w:pPr>
    <w:rPr>
      <w:rFonts w:eastAsia="Times New Roman"/>
      <w:szCs w:val="20"/>
      <w:lang w:eastAsia="en-GB"/>
    </w:rPr>
  </w:style>
  <w:style w:type="table" w:customStyle="1" w:styleId="TableLetterhead">
    <w:name w:val="Table Letterhead"/>
    <w:basedOn w:val="TableNormal"/>
    <w:semiHidden/>
    <w:rsid w:val="00EE3DF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styleId="Strong">
    <w:name w:val="Strong"/>
    <w:basedOn w:val="DefaultParagraphFont"/>
    <w:uiPriority w:val="22"/>
    <w:qFormat/>
    <w:rsid w:val="00EE3DF9"/>
    <w:rPr>
      <w:b/>
      <w:bCs/>
    </w:rPr>
  </w:style>
  <w:style w:type="paragraph" w:customStyle="1" w:styleId="FootnoteReference1">
    <w:name w:val="Footnote Reference1"/>
    <w:basedOn w:val="Normal"/>
    <w:uiPriority w:val="99"/>
    <w:rsid w:val="00EE3DF9"/>
    <w:pPr>
      <w:spacing w:after="160" w:line="240" w:lineRule="exact"/>
      <w:jc w:val="left"/>
    </w:pPr>
    <w:rPr>
      <w:rFonts w:eastAsia="Times New Roman"/>
      <w:szCs w:val="20"/>
      <w:vertAlign w:val="superscript"/>
      <w:lang w:eastAsia="en-GB"/>
    </w:rPr>
  </w:style>
  <w:style w:type="character" w:customStyle="1" w:styleId="italic">
    <w:name w:val="italic"/>
    <w:basedOn w:val="DefaultParagraphFont"/>
    <w:rsid w:val="00EE3DF9"/>
  </w:style>
  <w:style w:type="paragraph" w:customStyle="1" w:styleId="FootnoteTextEP-LC1">
    <w:name w:val="Footnote Text_EP-LC1"/>
    <w:basedOn w:val="Normal"/>
    <w:next w:val="FootnoteText"/>
    <w:uiPriority w:val="99"/>
    <w:unhideWhenUsed/>
    <w:qFormat/>
    <w:rsid w:val="00EE3DF9"/>
    <w:pPr>
      <w:spacing w:after="0"/>
    </w:pPr>
    <w:rPr>
      <w:rFonts w:eastAsia="SimSun"/>
      <w:sz w:val="20"/>
      <w:szCs w:val="20"/>
    </w:rPr>
  </w:style>
  <w:style w:type="paragraph" w:customStyle="1" w:styleId="TableBullet">
    <w:name w:val="TableBullet"/>
    <w:aliases w:val="Table Bullet 1"/>
    <w:basedOn w:val="Normal"/>
    <w:uiPriority w:val="6"/>
    <w:qFormat/>
    <w:rsid w:val="00EE3DF9"/>
    <w:pPr>
      <w:numPr>
        <w:numId w:val="96"/>
      </w:numPr>
      <w:tabs>
        <w:tab w:val="num" w:pos="397"/>
        <w:tab w:val="num" w:pos="2268"/>
      </w:tabs>
      <w:spacing w:after="0" w:line="220" w:lineRule="atLeast"/>
      <w:ind w:left="2268" w:right="57" w:hanging="2268"/>
      <w:jc w:val="left"/>
    </w:pPr>
    <w:rPr>
      <w:rFonts w:ascii="Arial" w:hAnsi="Arial"/>
      <w:sz w:val="20"/>
    </w:rPr>
  </w:style>
  <w:style w:type="numbering" w:customStyle="1" w:styleId="NumbLstTableBullet">
    <w:name w:val="NumbLstTableBullet"/>
    <w:uiPriority w:val="99"/>
    <w:rsid w:val="00EE3DF9"/>
    <w:pPr>
      <w:numPr>
        <w:numId w:val="95"/>
      </w:numPr>
    </w:pPr>
  </w:style>
  <w:style w:type="paragraph" w:customStyle="1" w:styleId="TableBullet2">
    <w:name w:val="TableBullet2"/>
    <w:basedOn w:val="TableBullet"/>
    <w:uiPriority w:val="6"/>
    <w:qFormat/>
    <w:rsid w:val="00EE3DF9"/>
    <w:pPr>
      <w:numPr>
        <w:ilvl w:val="1"/>
      </w:numPr>
      <w:tabs>
        <w:tab w:val="num" w:pos="2268"/>
      </w:tabs>
    </w:pPr>
  </w:style>
  <w:style w:type="paragraph" w:customStyle="1" w:styleId="BTBullet3Last">
    <w:name w:val="BTBullet3Last"/>
    <w:basedOn w:val="Normal"/>
    <w:next w:val="BodyText"/>
    <w:uiPriority w:val="6"/>
    <w:qFormat/>
    <w:rsid w:val="00EE3DF9"/>
    <w:pPr>
      <w:numPr>
        <w:ilvl w:val="2"/>
        <w:numId w:val="96"/>
      </w:numPr>
      <w:tabs>
        <w:tab w:val="num" w:pos="2268"/>
      </w:tabs>
      <w:spacing w:after="120" w:line="260" w:lineRule="atLeast"/>
      <w:ind w:left="2268" w:hanging="2268"/>
      <w:jc w:val="left"/>
    </w:pPr>
    <w:rPr>
      <w:rFonts w:ascii="Arial" w:hAnsi="Arial"/>
      <w:sz w:val="22"/>
    </w:rPr>
  </w:style>
  <w:style w:type="paragraph" w:customStyle="1" w:styleId="title-bold">
    <w:name w:val="title-bold"/>
    <w:basedOn w:val="Normal"/>
    <w:rsid w:val="00EE3DF9"/>
    <w:pPr>
      <w:spacing w:before="100" w:beforeAutospacing="1" w:after="100" w:afterAutospacing="1"/>
      <w:jc w:val="left"/>
    </w:pPr>
    <w:rPr>
      <w:rFonts w:eastAsia="Times New Roman"/>
      <w:lang w:val="en-US"/>
    </w:rPr>
  </w:style>
  <w:style w:type="character" w:customStyle="1" w:styleId="fa">
    <w:name w:val="fa"/>
    <w:basedOn w:val="DefaultParagraphFont"/>
    <w:rsid w:val="00EE3DF9"/>
  </w:style>
  <w:style w:type="character" w:customStyle="1" w:styleId="Hyperlink1">
    <w:name w:val="Hyperlink1"/>
    <w:basedOn w:val="DefaultParagraphFont"/>
    <w:uiPriority w:val="99"/>
    <w:unhideWhenUsed/>
    <w:qFormat/>
    <w:rsid w:val="00EE3DF9"/>
    <w:rPr>
      <w:color w:val="0000FF"/>
      <w:u w:val="single"/>
    </w:rPr>
  </w:style>
  <w:style w:type="paragraph" w:customStyle="1" w:styleId="Point0number">
    <w:name w:val="Point 0 (number)"/>
    <w:basedOn w:val="Normal"/>
    <w:rsid w:val="00EE3DF9"/>
    <w:pPr>
      <w:numPr>
        <w:ilvl w:val="2"/>
        <w:numId w:val="97"/>
      </w:numPr>
      <w:tabs>
        <w:tab w:val="clear" w:pos="1417"/>
        <w:tab w:val="num" w:pos="850"/>
      </w:tabs>
      <w:spacing w:before="120" w:after="120"/>
      <w:ind w:left="850" w:hanging="850"/>
    </w:pPr>
    <w:rPr>
      <w:szCs w:val="22"/>
    </w:rPr>
  </w:style>
  <w:style w:type="paragraph" w:customStyle="1" w:styleId="Point1letter">
    <w:name w:val="Point 1 (letter)"/>
    <w:basedOn w:val="Normal"/>
    <w:rsid w:val="00EE3DF9"/>
    <w:pPr>
      <w:numPr>
        <w:ilvl w:val="5"/>
        <w:numId w:val="97"/>
      </w:numPr>
      <w:tabs>
        <w:tab w:val="clear" w:pos="1984"/>
      </w:tabs>
      <w:spacing w:before="120" w:after="120"/>
      <w:ind w:left="4320" w:hanging="360"/>
    </w:pPr>
    <w:rPr>
      <w:szCs w:val="22"/>
    </w:rPr>
  </w:style>
  <w:style w:type="paragraph" w:customStyle="1" w:styleId="DocTitle">
    <w:name w:val="DocTitle"/>
    <w:basedOn w:val="Normal"/>
    <w:uiPriority w:val="21"/>
    <w:qFormat/>
    <w:rsid w:val="00EE3DF9"/>
    <w:pPr>
      <w:spacing w:after="120"/>
      <w:jc w:val="left"/>
    </w:pPr>
    <w:rPr>
      <w:rFonts w:ascii="Arial" w:hAnsi="Arial"/>
      <w:b/>
      <w:color w:val="4F81BD"/>
      <w:sz w:val="52"/>
    </w:rPr>
  </w:style>
  <w:style w:type="paragraph" w:customStyle="1" w:styleId="Point1number">
    <w:name w:val="Point 1 (number)"/>
    <w:basedOn w:val="Normal"/>
    <w:rsid w:val="00EE3DF9"/>
    <w:pPr>
      <w:tabs>
        <w:tab w:val="num" w:pos="1417"/>
      </w:tabs>
      <w:spacing w:before="120" w:after="120"/>
      <w:ind w:left="1417" w:hanging="567"/>
    </w:pPr>
    <w:rPr>
      <w:szCs w:val="22"/>
    </w:rPr>
  </w:style>
  <w:style w:type="paragraph" w:customStyle="1" w:styleId="Point2number">
    <w:name w:val="Point 2 (number)"/>
    <w:basedOn w:val="Normal"/>
    <w:rsid w:val="00EE3DF9"/>
    <w:pPr>
      <w:tabs>
        <w:tab w:val="num" w:pos="1984"/>
      </w:tabs>
      <w:spacing w:before="120" w:after="120"/>
      <w:ind w:left="1984" w:hanging="567"/>
    </w:pPr>
    <w:rPr>
      <w:szCs w:val="22"/>
    </w:rPr>
  </w:style>
  <w:style w:type="paragraph" w:customStyle="1" w:styleId="Point3number">
    <w:name w:val="Point 3 (number)"/>
    <w:basedOn w:val="Normal"/>
    <w:rsid w:val="00EE3DF9"/>
    <w:pPr>
      <w:tabs>
        <w:tab w:val="num" w:pos="2551"/>
      </w:tabs>
      <w:spacing w:before="120" w:after="120"/>
      <w:ind w:left="2551" w:hanging="567"/>
    </w:pPr>
    <w:rPr>
      <w:szCs w:val="22"/>
    </w:rPr>
  </w:style>
  <w:style w:type="paragraph" w:customStyle="1" w:styleId="Point0letter">
    <w:name w:val="Point 0 (letter)"/>
    <w:basedOn w:val="Normal"/>
    <w:rsid w:val="00EE3DF9"/>
    <w:pPr>
      <w:tabs>
        <w:tab w:val="num" w:pos="850"/>
      </w:tabs>
      <w:spacing w:before="120" w:after="120"/>
      <w:ind w:left="850" w:hanging="850"/>
    </w:pPr>
    <w:rPr>
      <w:szCs w:val="22"/>
    </w:rPr>
  </w:style>
  <w:style w:type="paragraph" w:customStyle="1" w:styleId="Point2letter">
    <w:name w:val="Point 2 (letter)"/>
    <w:basedOn w:val="Normal"/>
    <w:rsid w:val="00EE3DF9"/>
    <w:pPr>
      <w:tabs>
        <w:tab w:val="num" w:pos="1984"/>
      </w:tabs>
      <w:spacing w:before="120" w:after="120"/>
      <w:ind w:left="1984" w:hanging="567"/>
    </w:pPr>
    <w:rPr>
      <w:szCs w:val="22"/>
    </w:rPr>
  </w:style>
  <w:style w:type="paragraph" w:customStyle="1" w:styleId="Point3letter">
    <w:name w:val="Point 3 (letter)"/>
    <w:basedOn w:val="Normal"/>
    <w:rsid w:val="00EE3DF9"/>
    <w:pPr>
      <w:tabs>
        <w:tab w:val="num" w:pos="2551"/>
      </w:tabs>
      <w:spacing w:before="120" w:after="120"/>
      <w:ind w:left="2551" w:hanging="567"/>
    </w:pPr>
    <w:rPr>
      <w:szCs w:val="22"/>
    </w:rPr>
  </w:style>
  <w:style w:type="paragraph" w:customStyle="1" w:styleId="Point4letter">
    <w:name w:val="Point 4 (letter)"/>
    <w:basedOn w:val="Normal"/>
    <w:rsid w:val="00EE3DF9"/>
    <w:pPr>
      <w:tabs>
        <w:tab w:val="num" w:pos="3118"/>
      </w:tabs>
      <w:spacing w:before="120" w:after="120"/>
      <w:ind w:left="3118" w:hanging="567"/>
    </w:pPr>
    <w:rPr>
      <w:szCs w:val="22"/>
    </w:rPr>
  </w:style>
  <w:style w:type="character" w:customStyle="1" w:styleId="Bullet1Char">
    <w:name w:val="Bullet 1 Char"/>
    <w:aliases w:val="List Char,List1 Char"/>
    <w:uiPriority w:val="1"/>
    <w:qFormat/>
    <w:rsid w:val="00EE3DF9"/>
    <w:rPr>
      <w:rFonts w:ascii="Times New Roman" w:hAnsi="Times New Roman" w:cs="Times New Roman"/>
      <w:kern w:val="0"/>
      <w:sz w:val="24"/>
    </w:rPr>
  </w:style>
  <w:style w:type="paragraph" w:customStyle="1" w:styleId="PlainText1">
    <w:name w:val="Plain Text1"/>
    <w:basedOn w:val="Normal"/>
    <w:next w:val="PlainText"/>
    <w:link w:val="PlainTextChar"/>
    <w:uiPriority w:val="99"/>
    <w:unhideWhenUsed/>
    <w:rsid w:val="00EE3DF9"/>
    <w:pPr>
      <w:spacing w:after="0"/>
      <w:jc w:val="left"/>
    </w:pPr>
    <w:rPr>
      <w:rFonts w:ascii="Calibri" w:hAnsi="Calibri" w:cstheme="minorBidi"/>
      <w:szCs w:val="21"/>
      <w:lang w:val="en-US"/>
    </w:rPr>
  </w:style>
  <w:style w:type="character" w:customStyle="1" w:styleId="PlainTextChar">
    <w:name w:val="Plain Text Char"/>
    <w:basedOn w:val="DefaultParagraphFont"/>
    <w:link w:val="PlainText1"/>
    <w:uiPriority w:val="99"/>
    <w:rsid w:val="00EE3DF9"/>
    <w:rPr>
      <w:rFonts w:ascii="Calibri" w:hAnsi="Calibri"/>
      <w:sz w:val="24"/>
      <w:szCs w:val="21"/>
      <w:lang w:val="en-US"/>
    </w:rPr>
  </w:style>
  <w:style w:type="paragraph" w:styleId="PlainText">
    <w:name w:val="Plain Text"/>
    <w:basedOn w:val="Normal"/>
    <w:link w:val="PlainTextChar1"/>
    <w:semiHidden/>
    <w:rsid w:val="00EE3DF9"/>
    <w:pPr>
      <w:spacing w:after="0"/>
    </w:pPr>
    <w:rPr>
      <w:rFonts w:ascii="Consolas" w:eastAsia="Times New Roman" w:hAnsi="Consolas"/>
      <w:sz w:val="21"/>
      <w:szCs w:val="21"/>
      <w:lang w:eastAsia="en-GB"/>
    </w:rPr>
  </w:style>
  <w:style w:type="character" w:customStyle="1" w:styleId="PlainTextChar1">
    <w:name w:val="Plain Text Char1"/>
    <w:basedOn w:val="DefaultParagraphFont"/>
    <w:link w:val="PlainText"/>
    <w:semiHidden/>
    <w:rsid w:val="00EE3DF9"/>
    <w:rPr>
      <w:rFonts w:ascii="Consolas" w:eastAsia="Times New Roman" w:hAnsi="Consolas" w:cs="Times New Roman"/>
      <w:sz w:val="21"/>
      <w:szCs w:val="21"/>
      <w:lang w:eastAsia="en-GB"/>
    </w:rPr>
  </w:style>
  <w:style w:type="paragraph" w:customStyle="1" w:styleId="Body">
    <w:name w:val="Body"/>
    <w:basedOn w:val="Normal"/>
    <w:link w:val="BodyChar"/>
    <w:uiPriority w:val="1"/>
    <w:qFormat/>
    <w:rsid w:val="00EE3DF9"/>
    <w:rPr>
      <w:rFonts w:ascii="Arial" w:eastAsia="Times New Roman" w:hAnsi="Arial"/>
      <w:noProof/>
      <w:sz w:val="22"/>
      <w:szCs w:val="20"/>
    </w:rPr>
  </w:style>
  <w:style w:type="character" w:customStyle="1" w:styleId="BodyChar">
    <w:name w:val="Body Char"/>
    <w:link w:val="Body"/>
    <w:uiPriority w:val="1"/>
    <w:rsid w:val="00EE3DF9"/>
    <w:rPr>
      <w:rFonts w:ascii="Arial" w:eastAsia="Times New Roman" w:hAnsi="Arial" w:cs="Times New Roman"/>
      <w:noProof/>
      <w:szCs w:val="20"/>
    </w:rPr>
  </w:style>
  <w:style w:type="paragraph" w:customStyle="1" w:styleId="CommentText1">
    <w:name w:val="Comment Text1"/>
    <w:basedOn w:val="Normal"/>
    <w:next w:val="CommentText"/>
    <w:uiPriority w:val="99"/>
    <w:unhideWhenUsed/>
    <w:rsid w:val="00EE3DF9"/>
    <w:rPr>
      <w:rFonts w:eastAsiaTheme="minorEastAsia"/>
      <w:sz w:val="20"/>
      <w:szCs w:val="20"/>
      <w:lang w:val="en-US" w:eastAsia="ja-JP"/>
    </w:rPr>
  </w:style>
  <w:style w:type="character" w:customStyle="1" w:styleId="CommentTextChar1">
    <w:name w:val="Comment Text Char1"/>
    <w:basedOn w:val="DefaultParagraphFont"/>
    <w:uiPriority w:val="99"/>
    <w:rsid w:val="00EE3DF9"/>
    <w:rPr>
      <w:sz w:val="20"/>
      <w:szCs w:val="20"/>
    </w:rPr>
  </w:style>
  <w:style w:type="paragraph" w:customStyle="1" w:styleId="SubTitle1">
    <w:name w:val="SubTitle 1"/>
    <w:basedOn w:val="Normal"/>
    <w:next w:val="Normal"/>
    <w:rsid w:val="00D52AD8"/>
    <w:pPr>
      <w:jc w:val="center"/>
    </w:pPr>
    <w:rPr>
      <w:rFonts w:eastAsia="Times New Roman"/>
      <w:b/>
      <w:sz w:val="40"/>
      <w:szCs w:val="20"/>
    </w:rPr>
  </w:style>
  <w:style w:type="table" w:customStyle="1" w:styleId="CV111">
    <w:name w:val="CV111"/>
    <w:basedOn w:val="TableNormal"/>
    <w:next w:val="TableGrid"/>
    <w:uiPriority w:val="39"/>
    <w:rsid w:val="00D52AD8"/>
    <w:pPr>
      <w:spacing w:after="0" w:line="240" w:lineRule="auto"/>
    </w:pPr>
    <w:rPr>
      <w:rFonts w:ascii="Times New Roman" w:eastAsia="Times New Roman" w:hAnsi="Times New Roman" w:cs="Times New Roman"/>
      <w:sz w:val="20"/>
      <w:szCs w:val="20"/>
      <w:lang w:eastAsia="en-GB"/>
    </w:rPr>
    <w:tblPr/>
  </w:style>
  <w:style w:type="table" w:customStyle="1" w:styleId="CV112">
    <w:name w:val="CV112"/>
    <w:basedOn w:val="TableNormal"/>
    <w:next w:val="TableGrid"/>
    <w:uiPriority w:val="39"/>
    <w:rsid w:val="00D52AD8"/>
    <w:pPr>
      <w:spacing w:after="0" w:line="240" w:lineRule="auto"/>
    </w:pPr>
    <w:rPr>
      <w:rFonts w:ascii="Times New Roman" w:eastAsia="Times New Roman" w:hAnsi="Times New Roman" w:cs="Times New Roman"/>
      <w:sz w:val="20"/>
      <w:szCs w:val="20"/>
      <w:lang w:eastAsia="en-GB"/>
    </w:rPr>
    <w:tblPr/>
  </w:style>
  <w:style w:type="table" w:customStyle="1" w:styleId="CV113">
    <w:name w:val="CV113"/>
    <w:basedOn w:val="TableNormal"/>
    <w:next w:val="TableGrid"/>
    <w:uiPriority w:val="39"/>
    <w:rsid w:val="00D52AD8"/>
    <w:pPr>
      <w:spacing w:after="0" w:line="240" w:lineRule="auto"/>
    </w:pPr>
    <w:rPr>
      <w:rFonts w:ascii="Times New Roman" w:eastAsia="Times New Roman" w:hAnsi="Times New Roman" w:cs="Times New Roman"/>
      <w:sz w:val="20"/>
      <w:szCs w:val="20"/>
      <w:lang w:eastAsia="en-GB"/>
    </w:rPr>
    <w:tblPr/>
  </w:style>
  <w:style w:type="paragraph" w:customStyle="1" w:styleId="Disclaimer">
    <w:name w:val="Disclaimer"/>
    <w:basedOn w:val="Normal"/>
    <w:rsid w:val="00D52AD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lang w:val="fr-BE"/>
    </w:rPr>
  </w:style>
  <w:style w:type="paragraph" w:customStyle="1" w:styleId="SecurityMarking">
    <w:name w:val="SecurityMarking"/>
    <w:basedOn w:val="Normal"/>
    <w:rsid w:val="00CC7A27"/>
    <w:pPr>
      <w:spacing w:after="0" w:line="276" w:lineRule="auto"/>
      <w:ind w:left="5103"/>
      <w:jc w:val="left"/>
    </w:pPr>
    <w:rPr>
      <w:sz w:val="28"/>
      <w:szCs w:val="22"/>
    </w:rPr>
  </w:style>
  <w:style w:type="paragraph" w:customStyle="1" w:styleId="DateMarking">
    <w:name w:val="DateMarking"/>
    <w:basedOn w:val="Normal"/>
    <w:rsid w:val="00CC7A27"/>
    <w:pPr>
      <w:spacing w:after="0" w:line="276" w:lineRule="auto"/>
      <w:ind w:left="5103"/>
      <w:jc w:val="left"/>
    </w:pPr>
    <w:rPr>
      <w:i/>
      <w:sz w:val="28"/>
      <w:szCs w:val="22"/>
    </w:rPr>
  </w:style>
  <w:style w:type="paragraph" w:customStyle="1" w:styleId="ReleasableTo">
    <w:name w:val="ReleasableTo"/>
    <w:basedOn w:val="Normal"/>
    <w:rsid w:val="00CC7A27"/>
    <w:pPr>
      <w:spacing w:after="0" w:line="276" w:lineRule="auto"/>
      <w:ind w:left="5103"/>
      <w:jc w:val="left"/>
    </w:pPr>
    <w:rPr>
      <w:i/>
      <w:sz w:val="28"/>
      <w:szCs w:val="22"/>
    </w:rPr>
  </w:style>
  <w:style w:type="paragraph" w:customStyle="1" w:styleId="Footerapproval">
    <w:name w:val="Footer approval"/>
    <w:basedOn w:val="Footer"/>
    <w:link w:val="ApprovalfooterChar"/>
    <w:qFormat/>
    <w:rsid w:val="00D52AD8"/>
    <w:pPr>
      <w:tabs>
        <w:tab w:val="clear" w:pos="4535"/>
        <w:tab w:val="clear" w:pos="9071"/>
        <w:tab w:val="clear" w:pos="9921"/>
        <w:tab w:val="center" w:pos="4680"/>
        <w:tab w:val="left" w:pos="6804"/>
        <w:tab w:val="right" w:pos="9360"/>
      </w:tabs>
      <w:spacing w:before="0" w:after="240" w:line="270" w:lineRule="atLeast"/>
      <w:ind w:left="0" w:right="0"/>
    </w:pPr>
    <w:rPr>
      <w:rFonts w:ascii="Verdana" w:eastAsia="Times New Roman" w:hAnsi="Verdana"/>
      <w:color w:val="353332"/>
      <w:sz w:val="13"/>
      <w:lang w:val="fr-BE" w:eastAsia="en-GB"/>
    </w:rPr>
  </w:style>
  <w:style w:type="character" w:customStyle="1" w:styleId="ApprovalfooterChar">
    <w:name w:val="Approval_footer Char"/>
    <w:basedOn w:val="DefaultParagraphFont"/>
    <w:link w:val="Footerapproval"/>
    <w:rsid w:val="00D52AD8"/>
    <w:rPr>
      <w:rFonts w:ascii="Verdana" w:eastAsia="Times New Roman" w:hAnsi="Verdana" w:cs="Times New Roman"/>
      <w:color w:val="353332"/>
      <w:sz w:val="13"/>
      <w:szCs w:val="24"/>
      <w:lang w:val="fr-BE" w:eastAsia="en-GB"/>
    </w:rPr>
  </w:style>
  <w:style w:type="paragraph" w:customStyle="1" w:styleId="HeadingNumbered4">
    <w:name w:val="Heading Numbered 4"/>
    <w:next w:val="Normal"/>
    <w:uiPriority w:val="2"/>
    <w:unhideWhenUsed/>
    <w:qFormat/>
    <w:rsid w:val="00D52AD8"/>
    <w:pPr>
      <w:keepNext/>
      <w:numPr>
        <w:ilvl w:val="3"/>
        <w:numId w:val="147"/>
      </w:numPr>
      <w:tabs>
        <w:tab w:val="num" w:pos="360"/>
      </w:tabs>
      <w:spacing w:before="240" w:after="120" w:line="240" w:lineRule="auto"/>
      <w:ind w:left="0" w:firstLine="0"/>
      <w:outlineLvl w:val="3"/>
    </w:pPr>
    <w:rPr>
      <w:rFonts w:ascii="Arial" w:eastAsia="Times New Roman" w:hAnsi="Arial" w:cs="Times New Roman"/>
      <w:color w:val="325BAA"/>
      <w:lang w:eastAsia="en-GB"/>
    </w:rPr>
  </w:style>
  <w:style w:type="paragraph" w:customStyle="1" w:styleId="HeadingNumbered3">
    <w:name w:val="Heading Numbered 3"/>
    <w:next w:val="Normal"/>
    <w:uiPriority w:val="2"/>
    <w:unhideWhenUsed/>
    <w:qFormat/>
    <w:rsid w:val="00D52AD8"/>
    <w:pPr>
      <w:keepNext/>
      <w:numPr>
        <w:ilvl w:val="2"/>
        <w:numId w:val="147"/>
      </w:numPr>
      <w:tabs>
        <w:tab w:val="num" w:pos="360"/>
      </w:tabs>
      <w:spacing w:before="240" w:after="240" w:line="240" w:lineRule="auto"/>
      <w:ind w:left="0" w:firstLine="0"/>
      <w:outlineLvl w:val="2"/>
    </w:pPr>
    <w:rPr>
      <w:rFonts w:ascii="Arial" w:eastAsia="Times New Roman" w:hAnsi="Arial" w:cs="Times New Roman"/>
      <w:color w:val="325BAA"/>
      <w:sz w:val="24"/>
      <w:szCs w:val="24"/>
      <w:lang w:eastAsia="en-GB"/>
    </w:rPr>
  </w:style>
  <w:style w:type="paragraph" w:customStyle="1" w:styleId="HeadingNumbered2">
    <w:name w:val="Heading Numbered 2"/>
    <w:next w:val="Normal"/>
    <w:uiPriority w:val="2"/>
    <w:unhideWhenUsed/>
    <w:qFormat/>
    <w:rsid w:val="00D52AD8"/>
    <w:pPr>
      <w:keepNext/>
      <w:numPr>
        <w:ilvl w:val="1"/>
        <w:numId w:val="147"/>
      </w:numPr>
      <w:tabs>
        <w:tab w:val="num" w:pos="360"/>
      </w:tabs>
      <w:spacing w:before="240" w:after="360" w:line="240" w:lineRule="auto"/>
      <w:ind w:left="0" w:firstLine="0"/>
      <w:outlineLvl w:val="1"/>
    </w:pPr>
    <w:rPr>
      <w:rFonts w:ascii="Arial" w:eastAsia="Times New Roman" w:hAnsi="Arial" w:cs="Times New Roman"/>
      <w:color w:val="325BAA"/>
      <w:sz w:val="28"/>
      <w:szCs w:val="24"/>
      <w:lang w:eastAsia="en-GB"/>
    </w:rPr>
  </w:style>
  <w:style w:type="paragraph" w:customStyle="1" w:styleId="HeadingNumbered1">
    <w:name w:val="Heading Numbered 1"/>
    <w:next w:val="Normal"/>
    <w:uiPriority w:val="2"/>
    <w:unhideWhenUsed/>
    <w:qFormat/>
    <w:rsid w:val="00D52AD8"/>
    <w:pPr>
      <w:keepNext/>
      <w:pageBreakBefore/>
      <w:numPr>
        <w:numId w:val="147"/>
      </w:numPr>
      <w:tabs>
        <w:tab w:val="num" w:pos="360"/>
      </w:tabs>
      <w:spacing w:before="120" w:after="240" w:line="240" w:lineRule="auto"/>
      <w:ind w:left="0" w:firstLine="0"/>
      <w:outlineLvl w:val="0"/>
    </w:pPr>
    <w:rPr>
      <w:rFonts w:ascii="Arial" w:eastAsia="Times New Roman" w:hAnsi="Arial" w:cs="Times New Roman"/>
      <w:color w:val="325BAA"/>
      <w:kern w:val="24"/>
      <w:sz w:val="32"/>
      <w:szCs w:val="24"/>
      <w:lang w:eastAsia="en-GB"/>
    </w:rPr>
  </w:style>
  <w:style w:type="paragraph" w:customStyle="1" w:styleId="AppelnotedebasdepageCharCharCharCharCharCharChar">
    <w:name w:val="Appel note de bas de page Char Char Char Char Char Char Char"/>
    <w:basedOn w:val="Normal"/>
    <w:uiPriority w:val="99"/>
    <w:qFormat/>
    <w:rsid w:val="00D52AD8"/>
    <w:pPr>
      <w:spacing w:after="0" w:line="270" w:lineRule="atLeast"/>
      <w:jc w:val="left"/>
    </w:pPr>
    <w:rPr>
      <w:rFonts w:cstheme="minorBidi"/>
      <w:sz w:val="20"/>
      <w:szCs w:val="22"/>
      <w:vertAlign w:val="superscript"/>
      <w:lang w:val="fr-BE"/>
    </w:rPr>
  </w:style>
  <w:style w:type="paragraph" w:customStyle="1" w:styleId="HTABLE">
    <w:name w:val="H: TABLE"/>
    <w:basedOn w:val="Normal"/>
    <w:qFormat/>
    <w:rsid w:val="00D52AD8"/>
    <w:pPr>
      <w:spacing w:before="40" w:after="80"/>
      <w:jc w:val="left"/>
    </w:pPr>
    <w:rPr>
      <w:rFonts w:ascii="Arial" w:eastAsia="Times New Roman" w:hAnsi="Arial"/>
      <w:iCs/>
      <w:color w:val="353332"/>
      <w:sz w:val="16"/>
      <w:szCs w:val="19"/>
      <w:lang w:eastAsia="en-GB"/>
    </w:rPr>
  </w:style>
  <w:style w:type="table" w:customStyle="1" w:styleId="Standardtableforma2">
    <w:name w:val="Standard table forma2"/>
    <w:basedOn w:val="TableNormal"/>
    <w:next w:val="TableGrid"/>
    <w:uiPriority w:val="59"/>
    <w:qFormat/>
    <w:rsid w:val="00D52AD8"/>
    <w:pPr>
      <w:spacing w:after="0" w:line="240" w:lineRule="auto"/>
      <w:jc w:val="both"/>
    </w:pPr>
    <w:rPr>
      <w:rFonts w:ascii="Arial" w:eastAsia="Arial" w:hAnsi="Arial" w:cs="Arial"/>
      <w:sz w:val="20"/>
      <w:szCs w:val="20"/>
      <w:lang w:val="en-US" w:eastAsia="ja-JP"/>
    </w:rPr>
    <w:tblPr/>
  </w:style>
  <w:style w:type="table" w:customStyle="1" w:styleId="Standardtableforma7">
    <w:name w:val="Standard table forma7"/>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8">
    <w:name w:val="Standard table forma8"/>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9">
    <w:name w:val="Standard table forma9"/>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0">
    <w:name w:val="Standard table forma10"/>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1">
    <w:name w:val="Standard table forma11"/>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cp + Justified Char,Left:  2 Char"/>
    <w:basedOn w:val="DefaultParagraphFont"/>
    <w:link w:val="Caption"/>
    <w:uiPriority w:val="35"/>
    <w:qFormat/>
    <w:locked/>
    <w:rsid w:val="00D52AD8"/>
    <w:rPr>
      <w:rFonts w:ascii="Times New Roman" w:hAnsi="Times New Roman" w:cs="Times New Roman"/>
      <w:i/>
      <w:iCs/>
      <w:color w:val="1F497D" w:themeColor="text2"/>
      <w:sz w:val="18"/>
      <w:szCs w:val="18"/>
    </w:rPr>
  </w:style>
  <w:style w:type="table" w:customStyle="1" w:styleId="Standardtableforma13">
    <w:name w:val="Standard table forma13"/>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4">
    <w:name w:val="Standard table forma14"/>
    <w:basedOn w:val="TableNormal"/>
    <w:next w:val="TableGrid"/>
    <w:uiPriority w:val="39"/>
    <w:qFormat/>
    <w:rsid w:val="00D52AD8"/>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paragraph" w:customStyle="1" w:styleId="Source">
    <w:name w:val="Source"/>
    <w:link w:val="SourceChar"/>
    <w:uiPriority w:val="34"/>
    <w:qFormat/>
    <w:rsid w:val="00D52AD8"/>
    <w:pPr>
      <w:spacing w:after="120" w:line="240" w:lineRule="auto"/>
      <w:jc w:val="both"/>
    </w:pPr>
    <w:rPr>
      <w:rFonts w:ascii="Arial" w:eastAsia="Times New Roman" w:hAnsi="Arial" w:cs="Times New Roman"/>
      <w:sz w:val="16"/>
      <w:szCs w:val="20"/>
      <w:lang w:val="en-US" w:eastAsia="ja-JP"/>
    </w:rPr>
  </w:style>
  <w:style w:type="character" w:customStyle="1" w:styleId="SourceChar">
    <w:name w:val="Source Char"/>
    <w:basedOn w:val="DefaultParagraphFont"/>
    <w:link w:val="Source"/>
    <w:uiPriority w:val="34"/>
    <w:rsid w:val="00D52AD8"/>
    <w:rPr>
      <w:rFonts w:ascii="Arial" w:eastAsia="Times New Roman" w:hAnsi="Arial" w:cs="Times New Roman"/>
      <w:sz w:val="16"/>
      <w:szCs w:val="20"/>
      <w:lang w:val="en-US" w:eastAsia="ja-JP"/>
    </w:rPr>
  </w:style>
  <w:style w:type="paragraph" w:customStyle="1" w:styleId="TABLEFONT">
    <w:name w:val="TABLE FONT"/>
    <w:qFormat/>
    <w:rsid w:val="00D52AD8"/>
    <w:pPr>
      <w:spacing w:before="40" w:after="80" w:line="190" w:lineRule="exact"/>
    </w:pPr>
    <w:rPr>
      <w:rFonts w:ascii="Arial" w:eastAsia="Times New Roman" w:hAnsi="Arial" w:cs="Times New Roman"/>
      <w:iCs/>
      <w:color w:val="000000" w:themeColor="text1"/>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68357863">
      <w:bodyDiv w:val="1"/>
      <w:marLeft w:val="0"/>
      <w:marRight w:val="0"/>
      <w:marTop w:val="0"/>
      <w:marBottom w:val="0"/>
      <w:divBdr>
        <w:top w:val="none" w:sz="0" w:space="0" w:color="auto"/>
        <w:left w:val="none" w:sz="0" w:space="0" w:color="auto"/>
        <w:bottom w:val="none" w:sz="0" w:space="0" w:color="auto"/>
        <w:right w:val="none" w:sz="0" w:space="0" w:color="auto"/>
      </w:divBdr>
    </w:div>
    <w:div w:id="71633536">
      <w:bodyDiv w:val="1"/>
      <w:marLeft w:val="0"/>
      <w:marRight w:val="0"/>
      <w:marTop w:val="0"/>
      <w:marBottom w:val="0"/>
      <w:divBdr>
        <w:top w:val="none" w:sz="0" w:space="0" w:color="auto"/>
        <w:left w:val="none" w:sz="0" w:space="0" w:color="auto"/>
        <w:bottom w:val="none" w:sz="0" w:space="0" w:color="auto"/>
        <w:right w:val="none" w:sz="0" w:space="0" w:color="auto"/>
      </w:divBdr>
    </w:div>
    <w:div w:id="74864038">
      <w:bodyDiv w:val="1"/>
      <w:marLeft w:val="0"/>
      <w:marRight w:val="0"/>
      <w:marTop w:val="0"/>
      <w:marBottom w:val="0"/>
      <w:divBdr>
        <w:top w:val="none" w:sz="0" w:space="0" w:color="auto"/>
        <w:left w:val="none" w:sz="0" w:space="0" w:color="auto"/>
        <w:bottom w:val="none" w:sz="0" w:space="0" w:color="auto"/>
        <w:right w:val="none" w:sz="0" w:space="0" w:color="auto"/>
      </w:divBdr>
    </w:div>
    <w:div w:id="80489397">
      <w:bodyDiv w:val="1"/>
      <w:marLeft w:val="0"/>
      <w:marRight w:val="0"/>
      <w:marTop w:val="0"/>
      <w:marBottom w:val="0"/>
      <w:divBdr>
        <w:top w:val="none" w:sz="0" w:space="0" w:color="auto"/>
        <w:left w:val="none" w:sz="0" w:space="0" w:color="auto"/>
        <w:bottom w:val="none" w:sz="0" w:space="0" w:color="auto"/>
        <w:right w:val="none" w:sz="0" w:space="0" w:color="auto"/>
      </w:divBdr>
    </w:div>
    <w:div w:id="81925256">
      <w:bodyDiv w:val="1"/>
      <w:marLeft w:val="0"/>
      <w:marRight w:val="0"/>
      <w:marTop w:val="0"/>
      <w:marBottom w:val="0"/>
      <w:divBdr>
        <w:top w:val="none" w:sz="0" w:space="0" w:color="auto"/>
        <w:left w:val="none" w:sz="0" w:space="0" w:color="auto"/>
        <w:bottom w:val="none" w:sz="0" w:space="0" w:color="auto"/>
        <w:right w:val="none" w:sz="0" w:space="0" w:color="auto"/>
      </w:divBdr>
    </w:div>
    <w:div w:id="83185873">
      <w:bodyDiv w:val="1"/>
      <w:marLeft w:val="0"/>
      <w:marRight w:val="0"/>
      <w:marTop w:val="0"/>
      <w:marBottom w:val="0"/>
      <w:divBdr>
        <w:top w:val="none" w:sz="0" w:space="0" w:color="auto"/>
        <w:left w:val="none" w:sz="0" w:space="0" w:color="auto"/>
        <w:bottom w:val="none" w:sz="0" w:space="0" w:color="auto"/>
        <w:right w:val="none" w:sz="0" w:space="0" w:color="auto"/>
      </w:divBdr>
    </w:div>
    <w:div w:id="90661291">
      <w:bodyDiv w:val="1"/>
      <w:marLeft w:val="0"/>
      <w:marRight w:val="0"/>
      <w:marTop w:val="0"/>
      <w:marBottom w:val="0"/>
      <w:divBdr>
        <w:top w:val="none" w:sz="0" w:space="0" w:color="auto"/>
        <w:left w:val="none" w:sz="0" w:space="0" w:color="auto"/>
        <w:bottom w:val="none" w:sz="0" w:space="0" w:color="auto"/>
        <w:right w:val="none" w:sz="0" w:space="0" w:color="auto"/>
      </w:divBdr>
    </w:div>
    <w:div w:id="96025533">
      <w:bodyDiv w:val="1"/>
      <w:marLeft w:val="0"/>
      <w:marRight w:val="0"/>
      <w:marTop w:val="0"/>
      <w:marBottom w:val="0"/>
      <w:divBdr>
        <w:top w:val="none" w:sz="0" w:space="0" w:color="auto"/>
        <w:left w:val="none" w:sz="0" w:space="0" w:color="auto"/>
        <w:bottom w:val="none" w:sz="0" w:space="0" w:color="auto"/>
        <w:right w:val="none" w:sz="0" w:space="0" w:color="auto"/>
      </w:divBdr>
    </w:div>
    <w:div w:id="98529585">
      <w:bodyDiv w:val="1"/>
      <w:marLeft w:val="0"/>
      <w:marRight w:val="0"/>
      <w:marTop w:val="0"/>
      <w:marBottom w:val="0"/>
      <w:divBdr>
        <w:top w:val="none" w:sz="0" w:space="0" w:color="auto"/>
        <w:left w:val="none" w:sz="0" w:space="0" w:color="auto"/>
        <w:bottom w:val="none" w:sz="0" w:space="0" w:color="auto"/>
        <w:right w:val="none" w:sz="0" w:space="0" w:color="auto"/>
      </w:divBdr>
    </w:div>
    <w:div w:id="101655315">
      <w:bodyDiv w:val="1"/>
      <w:marLeft w:val="0"/>
      <w:marRight w:val="0"/>
      <w:marTop w:val="0"/>
      <w:marBottom w:val="0"/>
      <w:divBdr>
        <w:top w:val="none" w:sz="0" w:space="0" w:color="auto"/>
        <w:left w:val="none" w:sz="0" w:space="0" w:color="auto"/>
        <w:bottom w:val="none" w:sz="0" w:space="0" w:color="auto"/>
        <w:right w:val="none" w:sz="0" w:space="0" w:color="auto"/>
      </w:divBdr>
    </w:div>
    <w:div w:id="106238351">
      <w:bodyDiv w:val="1"/>
      <w:marLeft w:val="0"/>
      <w:marRight w:val="0"/>
      <w:marTop w:val="0"/>
      <w:marBottom w:val="0"/>
      <w:divBdr>
        <w:top w:val="none" w:sz="0" w:space="0" w:color="auto"/>
        <w:left w:val="none" w:sz="0" w:space="0" w:color="auto"/>
        <w:bottom w:val="none" w:sz="0" w:space="0" w:color="auto"/>
        <w:right w:val="none" w:sz="0" w:space="0" w:color="auto"/>
      </w:divBdr>
    </w:div>
    <w:div w:id="108671890">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3790438">
      <w:bodyDiv w:val="1"/>
      <w:marLeft w:val="0"/>
      <w:marRight w:val="0"/>
      <w:marTop w:val="0"/>
      <w:marBottom w:val="0"/>
      <w:divBdr>
        <w:top w:val="none" w:sz="0" w:space="0" w:color="auto"/>
        <w:left w:val="none" w:sz="0" w:space="0" w:color="auto"/>
        <w:bottom w:val="none" w:sz="0" w:space="0" w:color="auto"/>
        <w:right w:val="none" w:sz="0" w:space="0" w:color="auto"/>
      </w:divBdr>
    </w:div>
    <w:div w:id="176118126">
      <w:bodyDiv w:val="1"/>
      <w:marLeft w:val="0"/>
      <w:marRight w:val="0"/>
      <w:marTop w:val="0"/>
      <w:marBottom w:val="0"/>
      <w:divBdr>
        <w:top w:val="none" w:sz="0" w:space="0" w:color="auto"/>
        <w:left w:val="none" w:sz="0" w:space="0" w:color="auto"/>
        <w:bottom w:val="none" w:sz="0" w:space="0" w:color="auto"/>
        <w:right w:val="none" w:sz="0" w:space="0" w:color="auto"/>
      </w:divBdr>
    </w:div>
    <w:div w:id="176891296">
      <w:bodyDiv w:val="1"/>
      <w:marLeft w:val="0"/>
      <w:marRight w:val="0"/>
      <w:marTop w:val="0"/>
      <w:marBottom w:val="0"/>
      <w:divBdr>
        <w:top w:val="none" w:sz="0" w:space="0" w:color="auto"/>
        <w:left w:val="none" w:sz="0" w:space="0" w:color="auto"/>
        <w:bottom w:val="none" w:sz="0" w:space="0" w:color="auto"/>
        <w:right w:val="none" w:sz="0" w:space="0" w:color="auto"/>
      </w:divBdr>
    </w:div>
    <w:div w:id="200360991">
      <w:bodyDiv w:val="1"/>
      <w:marLeft w:val="0"/>
      <w:marRight w:val="0"/>
      <w:marTop w:val="0"/>
      <w:marBottom w:val="0"/>
      <w:divBdr>
        <w:top w:val="none" w:sz="0" w:space="0" w:color="auto"/>
        <w:left w:val="none" w:sz="0" w:space="0" w:color="auto"/>
        <w:bottom w:val="none" w:sz="0" w:space="0" w:color="auto"/>
        <w:right w:val="none" w:sz="0" w:space="0" w:color="auto"/>
      </w:divBdr>
    </w:div>
    <w:div w:id="212162567">
      <w:bodyDiv w:val="1"/>
      <w:marLeft w:val="0"/>
      <w:marRight w:val="0"/>
      <w:marTop w:val="0"/>
      <w:marBottom w:val="0"/>
      <w:divBdr>
        <w:top w:val="none" w:sz="0" w:space="0" w:color="auto"/>
        <w:left w:val="none" w:sz="0" w:space="0" w:color="auto"/>
        <w:bottom w:val="none" w:sz="0" w:space="0" w:color="auto"/>
        <w:right w:val="none" w:sz="0" w:space="0" w:color="auto"/>
      </w:divBdr>
      <w:divsChild>
        <w:div w:id="134034621">
          <w:marLeft w:val="0"/>
          <w:marRight w:val="0"/>
          <w:marTop w:val="0"/>
          <w:marBottom w:val="0"/>
          <w:divBdr>
            <w:top w:val="none" w:sz="0" w:space="0" w:color="auto"/>
            <w:left w:val="none" w:sz="0" w:space="0" w:color="auto"/>
            <w:bottom w:val="none" w:sz="0" w:space="0" w:color="auto"/>
            <w:right w:val="none" w:sz="0" w:space="0" w:color="auto"/>
          </w:divBdr>
          <w:divsChild>
            <w:div w:id="1615283031">
              <w:marLeft w:val="0"/>
              <w:marRight w:val="0"/>
              <w:marTop w:val="0"/>
              <w:marBottom w:val="0"/>
              <w:divBdr>
                <w:top w:val="none" w:sz="0" w:space="0" w:color="auto"/>
                <w:left w:val="none" w:sz="0" w:space="0" w:color="auto"/>
                <w:bottom w:val="none" w:sz="0" w:space="0" w:color="auto"/>
                <w:right w:val="none" w:sz="0" w:space="0" w:color="auto"/>
              </w:divBdr>
            </w:div>
          </w:divsChild>
        </w:div>
        <w:div w:id="152532459">
          <w:marLeft w:val="0"/>
          <w:marRight w:val="0"/>
          <w:marTop w:val="0"/>
          <w:marBottom w:val="0"/>
          <w:divBdr>
            <w:top w:val="none" w:sz="0" w:space="0" w:color="auto"/>
            <w:left w:val="none" w:sz="0" w:space="0" w:color="auto"/>
            <w:bottom w:val="none" w:sz="0" w:space="0" w:color="auto"/>
            <w:right w:val="none" w:sz="0" w:space="0" w:color="auto"/>
          </w:divBdr>
          <w:divsChild>
            <w:div w:id="590503">
              <w:marLeft w:val="0"/>
              <w:marRight w:val="0"/>
              <w:marTop w:val="0"/>
              <w:marBottom w:val="0"/>
              <w:divBdr>
                <w:top w:val="none" w:sz="0" w:space="0" w:color="auto"/>
                <w:left w:val="none" w:sz="0" w:space="0" w:color="auto"/>
                <w:bottom w:val="none" w:sz="0" w:space="0" w:color="auto"/>
                <w:right w:val="none" w:sz="0" w:space="0" w:color="auto"/>
              </w:divBdr>
            </w:div>
            <w:div w:id="1015419481">
              <w:marLeft w:val="0"/>
              <w:marRight w:val="0"/>
              <w:marTop w:val="0"/>
              <w:marBottom w:val="0"/>
              <w:divBdr>
                <w:top w:val="none" w:sz="0" w:space="0" w:color="auto"/>
                <w:left w:val="none" w:sz="0" w:space="0" w:color="auto"/>
                <w:bottom w:val="none" w:sz="0" w:space="0" w:color="auto"/>
                <w:right w:val="none" w:sz="0" w:space="0" w:color="auto"/>
              </w:divBdr>
            </w:div>
            <w:div w:id="1633826600">
              <w:marLeft w:val="0"/>
              <w:marRight w:val="0"/>
              <w:marTop w:val="0"/>
              <w:marBottom w:val="0"/>
              <w:divBdr>
                <w:top w:val="none" w:sz="0" w:space="0" w:color="auto"/>
                <w:left w:val="none" w:sz="0" w:space="0" w:color="auto"/>
                <w:bottom w:val="none" w:sz="0" w:space="0" w:color="auto"/>
                <w:right w:val="none" w:sz="0" w:space="0" w:color="auto"/>
              </w:divBdr>
            </w:div>
          </w:divsChild>
        </w:div>
        <w:div w:id="182942787">
          <w:marLeft w:val="0"/>
          <w:marRight w:val="0"/>
          <w:marTop w:val="0"/>
          <w:marBottom w:val="0"/>
          <w:divBdr>
            <w:top w:val="none" w:sz="0" w:space="0" w:color="auto"/>
            <w:left w:val="none" w:sz="0" w:space="0" w:color="auto"/>
            <w:bottom w:val="none" w:sz="0" w:space="0" w:color="auto"/>
            <w:right w:val="none" w:sz="0" w:space="0" w:color="auto"/>
          </w:divBdr>
          <w:divsChild>
            <w:div w:id="266541949">
              <w:marLeft w:val="0"/>
              <w:marRight w:val="0"/>
              <w:marTop w:val="0"/>
              <w:marBottom w:val="0"/>
              <w:divBdr>
                <w:top w:val="none" w:sz="0" w:space="0" w:color="auto"/>
                <w:left w:val="none" w:sz="0" w:space="0" w:color="auto"/>
                <w:bottom w:val="none" w:sz="0" w:space="0" w:color="auto"/>
                <w:right w:val="none" w:sz="0" w:space="0" w:color="auto"/>
              </w:divBdr>
            </w:div>
            <w:div w:id="375738908">
              <w:marLeft w:val="0"/>
              <w:marRight w:val="0"/>
              <w:marTop w:val="0"/>
              <w:marBottom w:val="0"/>
              <w:divBdr>
                <w:top w:val="none" w:sz="0" w:space="0" w:color="auto"/>
                <w:left w:val="none" w:sz="0" w:space="0" w:color="auto"/>
                <w:bottom w:val="none" w:sz="0" w:space="0" w:color="auto"/>
                <w:right w:val="none" w:sz="0" w:space="0" w:color="auto"/>
              </w:divBdr>
            </w:div>
            <w:div w:id="736131572">
              <w:marLeft w:val="0"/>
              <w:marRight w:val="0"/>
              <w:marTop w:val="0"/>
              <w:marBottom w:val="0"/>
              <w:divBdr>
                <w:top w:val="none" w:sz="0" w:space="0" w:color="auto"/>
                <w:left w:val="none" w:sz="0" w:space="0" w:color="auto"/>
                <w:bottom w:val="none" w:sz="0" w:space="0" w:color="auto"/>
                <w:right w:val="none" w:sz="0" w:space="0" w:color="auto"/>
              </w:divBdr>
            </w:div>
            <w:div w:id="908997496">
              <w:marLeft w:val="0"/>
              <w:marRight w:val="0"/>
              <w:marTop w:val="0"/>
              <w:marBottom w:val="0"/>
              <w:divBdr>
                <w:top w:val="none" w:sz="0" w:space="0" w:color="auto"/>
                <w:left w:val="none" w:sz="0" w:space="0" w:color="auto"/>
                <w:bottom w:val="none" w:sz="0" w:space="0" w:color="auto"/>
                <w:right w:val="none" w:sz="0" w:space="0" w:color="auto"/>
              </w:divBdr>
            </w:div>
          </w:divsChild>
        </w:div>
        <w:div w:id="203103005">
          <w:marLeft w:val="0"/>
          <w:marRight w:val="0"/>
          <w:marTop w:val="0"/>
          <w:marBottom w:val="0"/>
          <w:divBdr>
            <w:top w:val="none" w:sz="0" w:space="0" w:color="auto"/>
            <w:left w:val="none" w:sz="0" w:space="0" w:color="auto"/>
            <w:bottom w:val="none" w:sz="0" w:space="0" w:color="auto"/>
            <w:right w:val="none" w:sz="0" w:space="0" w:color="auto"/>
          </w:divBdr>
          <w:divsChild>
            <w:div w:id="174272643">
              <w:marLeft w:val="0"/>
              <w:marRight w:val="0"/>
              <w:marTop w:val="0"/>
              <w:marBottom w:val="0"/>
              <w:divBdr>
                <w:top w:val="none" w:sz="0" w:space="0" w:color="auto"/>
                <w:left w:val="none" w:sz="0" w:space="0" w:color="auto"/>
                <w:bottom w:val="none" w:sz="0" w:space="0" w:color="auto"/>
                <w:right w:val="none" w:sz="0" w:space="0" w:color="auto"/>
              </w:divBdr>
            </w:div>
            <w:div w:id="195848727">
              <w:marLeft w:val="0"/>
              <w:marRight w:val="0"/>
              <w:marTop w:val="0"/>
              <w:marBottom w:val="0"/>
              <w:divBdr>
                <w:top w:val="none" w:sz="0" w:space="0" w:color="auto"/>
                <w:left w:val="none" w:sz="0" w:space="0" w:color="auto"/>
                <w:bottom w:val="none" w:sz="0" w:space="0" w:color="auto"/>
                <w:right w:val="none" w:sz="0" w:space="0" w:color="auto"/>
              </w:divBdr>
            </w:div>
            <w:div w:id="235943269">
              <w:marLeft w:val="0"/>
              <w:marRight w:val="0"/>
              <w:marTop w:val="0"/>
              <w:marBottom w:val="0"/>
              <w:divBdr>
                <w:top w:val="none" w:sz="0" w:space="0" w:color="auto"/>
                <w:left w:val="none" w:sz="0" w:space="0" w:color="auto"/>
                <w:bottom w:val="none" w:sz="0" w:space="0" w:color="auto"/>
                <w:right w:val="none" w:sz="0" w:space="0" w:color="auto"/>
              </w:divBdr>
            </w:div>
            <w:div w:id="881021256">
              <w:marLeft w:val="0"/>
              <w:marRight w:val="0"/>
              <w:marTop w:val="0"/>
              <w:marBottom w:val="0"/>
              <w:divBdr>
                <w:top w:val="none" w:sz="0" w:space="0" w:color="auto"/>
                <w:left w:val="none" w:sz="0" w:space="0" w:color="auto"/>
                <w:bottom w:val="none" w:sz="0" w:space="0" w:color="auto"/>
                <w:right w:val="none" w:sz="0" w:space="0" w:color="auto"/>
              </w:divBdr>
            </w:div>
            <w:div w:id="1487893025">
              <w:marLeft w:val="0"/>
              <w:marRight w:val="0"/>
              <w:marTop w:val="0"/>
              <w:marBottom w:val="0"/>
              <w:divBdr>
                <w:top w:val="none" w:sz="0" w:space="0" w:color="auto"/>
                <w:left w:val="none" w:sz="0" w:space="0" w:color="auto"/>
                <w:bottom w:val="none" w:sz="0" w:space="0" w:color="auto"/>
                <w:right w:val="none" w:sz="0" w:space="0" w:color="auto"/>
              </w:divBdr>
            </w:div>
          </w:divsChild>
        </w:div>
        <w:div w:id="388841447">
          <w:marLeft w:val="0"/>
          <w:marRight w:val="0"/>
          <w:marTop w:val="0"/>
          <w:marBottom w:val="0"/>
          <w:divBdr>
            <w:top w:val="none" w:sz="0" w:space="0" w:color="auto"/>
            <w:left w:val="none" w:sz="0" w:space="0" w:color="auto"/>
            <w:bottom w:val="none" w:sz="0" w:space="0" w:color="auto"/>
            <w:right w:val="none" w:sz="0" w:space="0" w:color="auto"/>
          </w:divBdr>
          <w:divsChild>
            <w:div w:id="364062813">
              <w:marLeft w:val="0"/>
              <w:marRight w:val="0"/>
              <w:marTop w:val="0"/>
              <w:marBottom w:val="0"/>
              <w:divBdr>
                <w:top w:val="none" w:sz="0" w:space="0" w:color="auto"/>
                <w:left w:val="none" w:sz="0" w:space="0" w:color="auto"/>
                <w:bottom w:val="none" w:sz="0" w:space="0" w:color="auto"/>
                <w:right w:val="none" w:sz="0" w:space="0" w:color="auto"/>
              </w:divBdr>
            </w:div>
          </w:divsChild>
        </w:div>
        <w:div w:id="523635693">
          <w:marLeft w:val="0"/>
          <w:marRight w:val="0"/>
          <w:marTop w:val="0"/>
          <w:marBottom w:val="0"/>
          <w:divBdr>
            <w:top w:val="none" w:sz="0" w:space="0" w:color="auto"/>
            <w:left w:val="none" w:sz="0" w:space="0" w:color="auto"/>
            <w:bottom w:val="none" w:sz="0" w:space="0" w:color="auto"/>
            <w:right w:val="none" w:sz="0" w:space="0" w:color="auto"/>
          </w:divBdr>
          <w:divsChild>
            <w:div w:id="1365057148">
              <w:marLeft w:val="0"/>
              <w:marRight w:val="0"/>
              <w:marTop w:val="0"/>
              <w:marBottom w:val="0"/>
              <w:divBdr>
                <w:top w:val="none" w:sz="0" w:space="0" w:color="auto"/>
                <w:left w:val="none" w:sz="0" w:space="0" w:color="auto"/>
                <w:bottom w:val="none" w:sz="0" w:space="0" w:color="auto"/>
                <w:right w:val="none" w:sz="0" w:space="0" w:color="auto"/>
              </w:divBdr>
            </w:div>
          </w:divsChild>
        </w:div>
        <w:div w:id="745416993">
          <w:marLeft w:val="0"/>
          <w:marRight w:val="0"/>
          <w:marTop w:val="0"/>
          <w:marBottom w:val="0"/>
          <w:divBdr>
            <w:top w:val="none" w:sz="0" w:space="0" w:color="auto"/>
            <w:left w:val="none" w:sz="0" w:space="0" w:color="auto"/>
            <w:bottom w:val="none" w:sz="0" w:space="0" w:color="auto"/>
            <w:right w:val="none" w:sz="0" w:space="0" w:color="auto"/>
          </w:divBdr>
          <w:divsChild>
            <w:div w:id="42605105">
              <w:marLeft w:val="0"/>
              <w:marRight w:val="0"/>
              <w:marTop w:val="0"/>
              <w:marBottom w:val="0"/>
              <w:divBdr>
                <w:top w:val="none" w:sz="0" w:space="0" w:color="auto"/>
                <w:left w:val="none" w:sz="0" w:space="0" w:color="auto"/>
                <w:bottom w:val="none" w:sz="0" w:space="0" w:color="auto"/>
                <w:right w:val="none" w:sz="0" w:space="0" w:color="auto"/>
              </w:divBdr>
            </w:div>
            <w:div w:id="806120008">
              <w:marLeft w:val="0"/>
              <w:marRight w:val="0"/>
              <w:marTop w:val="0"/>
              <w:marBottom w:val="0"/>
              <w:divBdr>
                <w:top w:val="none" w:sz="0" w:space="0" w:color="auto"/>
                <w:left w:val="none" w:sz="0" w:space="0" w:color="auto"/>
                <w:bottom w:val="none" w:sz="0" w:space="0" w:color="auto"/>
                <w:right w:val="none" w:sz="0" w:space="0" w:color="auto"/>
              </w:divBdr>
            </w:div>
            <w:div w:id="1636326393">
              <w:marLeft w:val="0"/>
              <w:marRight w:val="0"/>
              <w:marTop w:val="0"/>
              <w:marBottom w:val="0"/>
              <w:divBdr>
                <w:top w:val="none" w:sz="0" w:space="0" w:color="auto"/>
                <w:left w:val="none" w:sz="0" w:space="0" w:color="auto"/>
                <w:bottom w:val="none" w:sz="0" w:space="0" w:color="auto"/>
                <w:right w:val="none" w:sz="0" w:space="0" w:color="auto"/>
              </w:divBdr>
            </w:div>
            <w:div w:id="2133085864">
              <w:marLeft w:val="0"/>
              <w:marRight w:val="0"/>
              <w:marTop w:val="0"/>
              <w:marBottom w:val="0"/>
              <w:divBdr>
                <w:top w:val="none" w:sz="0" w:space="0" w:color="auto"/>
                <w:left w:val="none" w:sz="0" w:space="0" w:color="auto"/>
                <w:bottom w:val="none" w:sz="0" w:space="0" w:color="auto"/>
                <w:right w:val="none" w:sz="0" w:space="0" w:color="auto"/>
              </w:divBdr>
            </w:div>
          </w:divsChild>
        </w:div>
        <w:div w:id="750659123">
          <w:marLeft w:val="0"/>
          <w:marRight w:val="0"/>
          <w:marTop w:val="0"/>
          <w:marBottom w:val="0"/>
          <w:divBdr>
            <w:top w:val="none" w:sz="0" w:space="0" w:color="auto"/>
            <w:left w:val="none" w:sz="0" w:space="0" w:color="auto"/>
            <w:bottom w:val="none" w:sz="0" w:space="0" w:color="auto"/>
            <w:right w:val="none" w:sz="0" w:space="0" w:color="auto"/>
          </w:divBdr>
          <w:divsChild>
            <w:div w:id="678895589">
              <w:marLeft w:val="0"/>
              <w:marRight w:val="0"/>
              <w:marTop w:val="0"/>
              <w:marBottom w:val="0"/>
              <w:divBdr>
                <w:top w:val="none" w:sz="0" w:space="0" w:color="auto"/>
                <w:left w:val="none" w:sz="0" w:space="0" w:color="auto"/>
                <w:bottom w:val="none" w:sz="0" w:space="0" w:color="auto"/>
                <w:right w:val="none" w:sz="0" w:space="0" w:color="auto"/>
              </w:divBdr>
            </w:div>
          </w:divsChild>
        </w:div>
        <w:div w:id="786703122">
          <w:marLeft w:val="0"/>
          <w:marRight w:val="0"/>
          <w:marTop w:val="0"/>
          <w:marBottom w:val="0"/>
          <w:divBdr>
            <w:top w:val="none" w:sz="0" w:space="0" w:color="auto"/>
            <w:left w:val="none" w:sz="0" w:space="0" w:color="auto"/>
            <w:bottom w:val="none" w:sz="0" w:space="0" w:color="auto"/>
            <w:right w:val="none" w:sz="0" w:space="0" w:color="auto"/>
          </w:divBdr>
          <w:divsChild>
            <w:div w:id="1154297862">
              <w:marLeft w:val="0"/>
              <w:marRight w:val="0"/>
              <w:marTop w:val="0"/>
              <w:marBottom w:val="0"/>
              <w:divBdr>
                <w:top w:val="none" w:sz="0" w:space="0" w:color="auto"/>
                <w:left w:val="none" w:sz="0" w:space="0" w:color="auto"/>
                <w:bottom w:val="none" w:sz="0" w:space="0" w:color="auto"/>
                <w:right w:val="none" w:sz="0" w:space="0" w:color="auto"/>
              </w:divBdr>
            </w:div>
            <w:div w:id="1813591783">
              <w:marLeft w:val="0"/>
              <w:marRight w:val="0"/>
              <w:marTop w:val="0"/>
              <w:marBottom w:val="0"/>
              <w:divBdr>
                <w:top w:val="none" w:sz="0" w:space="0" w:color="auto"/>
                <w:left w:val="none" w:sz="0" w:space="0" w:color="auto"/>
                <w:bottom w:val="none" w:sz="0" w:space="0" w:color="auto"/>
                <w:right w:val="none" w:sz="0" w:space="0" w:color="auto"/>
              </w:divBdr>
            </w:div>
            <w:div w:id="1832023873">
              <w:marLeft w:val="0"/>
              <w:marRight w:val="0"/>
              <w:marTop w:val="0"/>
              <w:marBottom w:val="0"/>
              <w:divBdr>
                <w:top w:val="none" w:sz="0" w:space="0" w:color="auto"/>
                <w:left w:val="none" w:sz="0" w:space="0" w:color="auto"/>
                <w:bottom w:val="none" w:sz="0" w:space="0" w:color="auto"/>
                <w:right w:val="none" w:sz="0" w:space="0" w:color="auto"/>
              </w:divBdr>
            </w:div>
          </w:divsChild>
        </w:div>
        <w:div w:id="824056084">
          <w:marLeft w:val="0"/>
          <w:marRight w:val="0"/>
          <w:marTop w:val="0"/>
          <w:marBottom w:val="0"/>
          <w:divBdr>
            <w:top w:val="none" w:sz="0" w:space="0" w:color="auto"/>
            <w:left w:val="none" w:sz="0" w:space="0" w:color="auto"/>
            <w:bottom w:val="none" w:sz="0" w:space="0" w:color="auto"/>
            <w:right w:val="none" w:sz="0" w:space="0" w:color="auto"/>
          </w:divBdr>
          <w:divsChild>
            <w:div w:id="1163350270">
              <w:marLeft w:val="0"/>
              <w:marRight w:val="0"/>
              <w:marTop w:val="0"/>
              <w:marBottom w:val="0"/>
              <w:divBdr>
                <w:top w:val="none" w:sz="0" w:space="0" w:color="auto"/>
                <w:left w:val="none" w:sz="0" w:space="0" w:color="auto"/>
                <w:bottom w:val="none" w:sz="0" w:space="0" w:color="auto"/>
                <w:right w:val="none" w:sz="0" w:space="0" w:color="auto"/>
              </w:divBdr>
            </w:div>
          </w:divsChild>
        </w:div>
        <w:div w:id="867259546">
          <w:marLeft w:val="0"/>
          <w:marRight w:val="0"/>
          <w:marTop w:val="0"/>
          <w:marBottom w:val="0"/>
          <w:divBdr>
            <w:top w:val="none" w:sz="0" w:space="0" w:color="auto"/>
            <w:left w:val="none" w:sz="0" w:space="0" w:color="auto"/>
            <w:bottom w:val="none" w:sz="0" w:space="0" w:color="auto"/>
            <w:right w:val="none" w:sz="0" w:space="0" w:color="auto"/>
          </w:divBdr>
          <w:divsChild>
            <w:div w:id="1004893887">
              <w:marLeft w:val="0"/>
              <w:marRight w:val="0"/>
              <w:marTop w:val="0"/>
              <w:marBottom w:val="0"/>
              <w:divBdr>
                <w:top w:val="none" w:sz="0" w:space="0" w:color="auto"/>
                <w:left w:val="none" w:sz="0" w:space="0" w:color="auto"/>
                <w:bottom w:val="none" w:sz="0" w:space="0" w:color="auto"/>
                <w:right w:val="none" w:sz="0" w:space="0" w:color="auto"/>
              </w:divBdr>
            </w:div>
          </w:divsChild>
        </w:div>
        <w:div w:id="918028686">
          <w:marLeft w:val="0"/>
          <w:marRight w:val="0"/>
          <w:marTop w:val="0"/>
          <w:marBottom w:val="0"/>
          <w:divBdr>
            <w:top w:val="none" w:sz="0" w:space="0" w:color="auto"/>
            <w:left w:val="none" w:sz="0" w:space="0" w:color="auto"/>
            <w:bottom w:val="none" w:sz="0" w:space="0" w:color="auto"/>
            <w:right w:val="none" w:sz="0" w:space="0" w:color="auto"/>
          </w:divBdr>
          <w:divsChild>
            <w:div w:id="2007248403">
              <w:marLeft w:val="0"/>
              <w:marRight w:val="0"/>
              <w:marTop w:val="0"/>
              <w:marBottom w:val="0"/>
              <w:divBdr>
                <w:top w:val="none" w:sz="0" w:space="0" w:color="auto"/>
                <w:left w:val="none" w:sz="0" w:space="0" w:color="auto"/>
                <w:bottom w:val="none" w:sz="0" w:space="0" w:color="auto"/>
                <w:right w:val="none" w:sz="0" w:space="0" w:color="auto"/>
              </w:divBdr>
            </w:div>
          </w:divsChild>
        </w:div>
        <w:div w:id="1074201394">
          <w:marLeft w:val="0"/>
          <w:marRight w:val="0"/>
          <w:marTop w:val="0"/>
          <w:marBottom w:val="0"/>
          <w:divBdr>
            <w:top w:val="none" w:sz="0" w:space="0" w:color="auto"/>
            <w:left w:val="none" w:sz="0" w:space="0" w:color="auto"/>
            <w:bottom w:val="none" w:sz="0" w:space="0" w:color="auto"/>
            <w:right w:val="none" w:sz="0" w:space="0" w:color="auto"/>
          </w:divBdr>
          <w:divsChild>
            <w:div w:id="136185347">
              <w:marLeft w:val="0"/>
              <w:marRight w:val="0"/>
              <w:marTop w:val="0"/>
              <w:marBottom w:val="0"/>
              <w:divBdr>
                <w:top w:val="none" w:sz="0" w:space="0" w:color="auto"/>
                <w:left w:val="none" w:sz="0" w:space="0" w:color="auto"/>
                <w:bottom w:val="none" w:sz="0" w:space="0" w:color="auto"/>
                <w:right w:val="none" w:sz="0" w:space="0" w:color="auto"/>
              </w:divBdr>
            </w:div>
            <w:div w:id="184558978">
              <w:marLeft w:val="0"/>
              <w:marRight w:val="0"/>
              <w:marTop w:val="0"/>
              <w:marBottom w:val="0"/>
              <w:divBdr>
                <w:top w:val="none" w:sz="0" w:space="0" w:color="auto"/>
                <w:left w:val="none" w:sz="0" w:space="0" w:color="auto"/>
                <w:bottom w:val="none" w:sz="0" w:space="0" w:color="auto"/>
                <w:right w:val="none" w:sz="0" w:space="0" w:color="auto"/>
              </w:divBdr>
            </w:div>
            <w:div w:id="584992444">
              <w:marLeft w:val="0"/>
              <w:marRight w:val="0"/>
              <w:marTop w:val="0"/>
              <w:marBottom w:val="0"/>
              <w:divBdr>
                <w:top w:val="none" w:sz="0" w:space="0" w:color="auto"/>
                <w:left w:val="none" w:sz="0" w:space="0" w:color="auto"/>
                <w:bottom w:val="none" w:sz="0" w:space="0" w:color="auto"/>
                <w:right w:val="none" w:sz="0" w:space="0" w:color="auto"/>
              </w:divBdr>
            </w:div>
            <w:div w:id="873159361">
              <w:marLeft w:val="0"/>
              <w:marRight w:val="0"/>
              <w:marTop w:val="0"/>
              <w:marBottom w:val="0"/>
              <w:divBdr>
                <w:top w:val="none" w:sz="0" w:space="0" w:color="auto"/>
                <w:left w:val="none" w:sz="0" w:space="0" w:color="auto"/>
                <w:bottom w:val="none" w:sz="0" w:space="0" w:color="auto"/>
                <w:right w:val="none" w:sz="0" w:space="0" w:color="auto"/>
              </w:divBdr>
            </w:div>
          </w:divsChild>
        </w:div>
        <w:div w:id="1080758413">
          <w:marLeft w:val="0"/>
          <w:marRight w:val="0"/>
          <w:marTop w:val="0"/>
          <w:marBottom w:val="0"/>
          <w:divBdr>
            <w:top w:val="none" w:sz="0" w:space="0" w:color="auto"/>
            <w:left w:val="none" w:sz="0" w:space="0" w:color="auto"/>
            <w:bottom w:val="none" w:sz="0" w:space="0" w:color="auto"/>
            <w:right w:val="none" w:sz="0" w:space="0" w:color="auto"/>
          </w:divBdr>
          <w:divsChild>
            <w:div w:id="510222310">
              <w:marLeft w:val="0"/>
              <w:marRight w:val="0"/>
              <w:marTop w:val="0"/>
              <w:marBottom w:val="0"/>
              <w:divBdr>
                <w:top w:val="none" w:sz="0" w:space="0" w:color="auto"/>
                <w:left w:val="none" w:sz="0" w:space="0" w:color="auto"/>
                <w:bottom w:val="none" w:sz="0" w:space="0" w:color="auto"/>
                <w:right w:val="none" w:sz="0" w:space="0" w:color="auto"/>
              </w:divBdr>
            </w:div>
            <w:div w:id="671832762">
              <w:marLeft w:val="0"/>
              <w:marRight w:val="0"/>
              <w:marTop w:val="0"/>
              <w:marBottom w:val="0"/>
              <w:divBdr>
                <w:top w:val="none" w:sz="0" w:space="0" w:color="auto"/>
                <w:left w:val="none" w:sz="0" w:space="0" w:color="auto"/>
                <w:bottom w:val="none" w:sz="0" w:space="0" w:color="auto"/>
                <w:right w:val="none" w:sz="0" w:space="0" w:color="auto"/>
              </w:divBdr>
            </w:div>
            <w:div w:id="704983053">
              <w:marLeft w:val="0"/>
              <w:marRight w:val="0"/>
              <w:marTop w:val="0"/>
              <w:marBottom w:val="0"/>
              <w:divBdr>
                <w:top w:val="none" w:sz="0" w:space="0" w:color="auto"/>
                <w:left w:val="none" w:sz="0" w:space="0" w:color="auto"/>
                <w:bottom w:val="none" w:sz="0" w:space="0" w:color="auto"/>
                <w:right w:val="none" w:sz="0" w:space="0" w:color="auto"/>
              </w:divBdr>
            </w:div>
            <w:div w:id="768551811">
              <w:marLeft w:val="0"/>
              <w:marRight w:val="0"/>
              <w:marTop w:val="0"/>
              <w:marBottom w:val="0"/>
              <w:divBdr>
                <w:top w:val="none" w:sz="0" w:space="0" w:color="auto"/>
                <w:left w:val="none" w:sz="0" w:space="0" w:color="auto"/>
                <w:bottom w:val="none" w:sz="0" w:space="0" w:color="auto"/>
                <w:right w:val="none" w:sz="0" w:space="0" w:color="auto"/>
              </w:divBdr>
            </w:div>
            <w:div w:id="1570798487">
              <w:marLeft w:val="0"/>
              <w:marRight w:val="0"/>
              <w:marTop w:val="0"/>
              <w:marBottom w:val="0"/>
              <w:divBdr>
                <w:top w:val="none" w:sz="0" w:space="0" w:color="auto"/>
                <w:left w:val="none" w:sz="0" w:space="0" w:color="auto"/>
                <w:bottom w:val="none" w:sz="0" w:space="0" w:color="auto"/>
                <w:right w:val="none" w:sz="0" w:space="0" w:color="auto"/>
              </w:divBdr>
            </w:div>
            <w:div w:id="1943999394">
              <w:marLeft w:val="0"/>
              <w:marRight w:val="0"/>
              <w:marTop w:val="0"/>
              <w:marBottom w:val="0"/>
              <w:divBdr>
                <w:top w:val="none" w:sz="0" w:space="0" w:color="auto"/>
                <w:left w:val="none" w:sz="0" w:space="0" w:color="auto"/>
                <w:bottom w:val="none" w:sz="0" w:space="0" w:color="auto"/>
                <w:right w:val="none" w:sz="0" w:space="0" w:color="auto"/>
              </w:divBdr>
            </w:div>
            <w:div w:id="2118212649">
              <w:marLeft w:val="0"/>
              <w:marRight w:val="0"/>
              <w:marTop w:val="0"/>
              <w:marBottom w:val="0"/>
              <w:divBdr>
                <w:top w:val="none" w:sz="0" w:space="0" w:color="auto"/>
                <w:left w:val="none" w:sz="0" w:space="0" w:color="auto"/>
                <w:bottom w:val="none" w:sz="0" w:space="0" w:color="auto"/>
                <w:right w:val="none" w:sz="0" w:space="0" w:color="auto"/>
              </w:divBdr>
            </w:div>
          </w:divsChild>
        </w:div>
        <w:div w:id="1278366222">
          <w:marLeft w:val="0"/>
          <w:marRight w:val="0"/>
          <w:marTop w:val="0"/>
          <w:marBottom w:val="0"/>
          <w:divBdr>
            <w:top w:val="none" w:sz="0" w:space="0" w:color="auto"/>
            <w:left w:val="none" w:sz="0" w:space="0" w:color="auto"/>
            <w:bottom w:val="none" w:sz="0" w:space="0" w:color="auto"/>
            <w:right w:val="none" w:sz="0" w:space="0" w:color="auto"/>
          </w:divBdr>
          <w:divsChild>
            <w:div w:id="472335083">
              <w:marLeft w:val="0"/>
              <w:marRight w:val="0"/>
              <w:marTop w:val="0"/>
              <w:marBottom w:val="0"/>
              <w:divBdr>
                <w:top w:val="none" w:sz="0" w:space="0" w:color="auto"/>
                <w:left w:val="none" w:sz="0" w:space="0" w:color="auto"/>
                <w:bottom w:val="none" w:sz="0" w:space="0" w:color="auto"/>
                <w:right w:val="none" w:sz="0" w:space="0" w:color="auto"/>
              </w:divBdr>
            </w:div>
            <w:div w:id="740296485">
              <w:marLeft w:val="0"/>
              <w:marRight w:val="0"/>
              <w:marTop w:val="0"/>
              <w:marBottom w:val="0"/>
              <w:divBdr>
                <w:top w:val="none" w:sz="0" w:space="0" w:color="auto"/>
                <w:left w:val="none" w:sz="0" w:space="0" w:color="auto"/>
                <w:bottom w:val="none" w:sz="0" w:space="0" w:color="auto"/>
                <w:right w:val="none" w:sz="0" w:space="0" w:color="auto"/>
              </w:divBdr>
            </w:div>
            <w:div w:id="1324969749">
              <w:marLeft w:val="0"/>
              <w:marRight w:val="0"/>
              <w:marTop w:val="0"/>
              <w:marBottom w:val="0"/>
              <w:divBdr>
                <w:top w:val="none" w:sz="0" w:space="0" w:color="auto"/>
                <w:left w:val="none" w:sz="0" w:space="0" w:color="auto"/>
                <w:bottom w:val="none" w:sz="0" w:space="0" w:color="auto"/>
                <w:right w:val="none" w:sz="0" w:space="0" w:color="auto"/>
              </w:divBdr>
            </w:div>
            <w:div w:id="1637442930">
              <w:marLeft w:val="0"/>
              <w:marRight w:val="0"/>
              <w:marTop w:val="0"/>
              <w:marBottom w:val="0"/>
              <w:divBdr>
                <w:top w:val="none" w:sz="0" w:space="0" w:color="auto"/>
                <w:left w:val="none" w:sz="0" w:space="0" w:color="auto"/>
                <w:bottom w:val="none" w:sz="0" w:space="0" w:color="auto"/>
                <w:right w:val="none" w:sz="0" w:space="0" w:color="auto"/>
              </w:divBdr>
            </w:div>
            <w:div w:id="1863929460">
              <w:marLeft w:val="0"/>
              <w:marRight w:val="0"/>
              <w:marTop w:val="0"/>
              <w:marBottom w:val="0"/>
              <w:divBdr>
                <w:top w:val="none" w:sz="0" w:space="0" w:color="auto"/>
                <w:left w:val="none" w:sz="0" w:space="0" w:color="auto"/>
                <w:bottom w:val="none" w:sz="0" w:space="0" w:color="auto"/>
                <w:right w:val="none" w:sz="0" w:space="0" w:color="auto"/>
              </w:divBdr>
            </w:div>
          </w:divsChild>
        </w:div>
        <w:div w:id="1317957888">
          <w:marLeft w:val="0"/>
          <w:marRight w:val="0"/>
          <w:marTop w:val="0"/>
          <w:marBottom w:val="0"/>
          <w:divBdr>
            <w:top w:val="none" w:sz="0" w:space="0" w:color="auto"/>
            <w:left w:val="none" w:sz="0" w:space="0" w:color="auto"/>
            <w:bottom w:val="none" w:sz="0" w:space="0" w:color="auto"/>
            <w:right w:val="none" w:sz="0" w:space="0" w:color="auto"/>
          </w:divBdr>
          <w:divsChild>
            <w:div w:id="29383765">
              <w:marLeft w:val="0"/>
              <w:marRight w:val="0"/>
              <w:marTop w:val="0"/>
              <w:marBottom w:val="0"/>
              <w:divBdr>
                <w:top w:val="none" w:sz="0" w:space="0" w:color="auto"/>
                <w:left w:val="none" w:sz="0" w:space="0" w:color="auto"/>
                <w:bottom w:val="none" w:sz="0" w:space="0" w:color="auto"/>
                <w:right w:val="none" w:sz="0" w:space="0" w:color="auto"/>
              </w:divBdr>
            </w:div>
            <w:div w:id="67116974">
              <w:marLeft w:val="0"/>
              <w:marRight w:val="0"/>
              <w:marTop w:val="0"/>
              <w:marBottom w:val="0"/>
              <w:divBdr>
                <w:top w:val="none" w:sz="0" w:space="0" w:color="auto"/>
                <w:left w:val="none" w:sz="0" w:space="0" w:color="auto"/>
                <w:bottom w:val="none" w:sz="0" w:space="0" w:color="auto"/>
                <w:right w:val="none" w:sz="0" w:space="0" w:color="auto"/>
              </w:divBdr>
            </w:div>
            <w:div w:id="293407337">
              <w:marLeft w:val="0"/>
              <w:marRight w:val="0"/>
              <w:marTop w:val="0"/>
              <w:marBottom w:val="0"/>
              <w:divBdr>
                <w:top w:val="none" w:sz="0" w:space="0" w:color="auto"/>
                <w:left w:val="none" w:sz="0" w:space="0" w:color="auto"/>
                <w:bottom w:val="none" w:sz="0" w:space="0" w:color="auto"/>
                <w:right w:val="none" w:sz="0" w:space="0" w:color="auto"/>
              </w:divBdr>
            </w:div>
            <w:div w:id="1225290705">
              <w:marLeft w:val="0"/>
              <w:marRight w:val="0"/>
              <w:marTop w:val="0"/>
              <w:marBottom w:val="0"/>
              <w:divBdr>
                <w:top w:val="none" w:sz="0" w:space="0" w:color="auto"/>
                <w:left w:val="none" w:sz="0" w:space="0" w:color="auto"/>
                <w:bottom w:val="none" w:sz="0" w:space="0" w:color="auto"/>
                <w:right w:val="none" w:sz="0" w:space="0" w:color="auto"/>
              </w:divBdr>
            </w:div>
            <w:div w:id="1371956064">
              <w:marLeft w:val="0"/>
              <w:marRight w:val="0"/>
              <w:marTop w:val="0"/>
              <w:marBottom w:val="0"/>
              <w:divBdr>
                <w:top w:val="none" w:sz="0" w:space="0" w:color="auto"/>
                <w:left w:val="none" w:sz="0" w:space="0" w:color="auto"/>
                <w:bottom w:val="none" w:sz="0" w:space="0" w:color="auto"/>
                <w:right w:val="none" w:sz="0" w:space="0" w:color="auto"/>
              </w:divBdr>
            </w:div>
            <w:div w:id="1818953472">
              <w:marLeft w:val="0"/>
              <w:marRight w:val="0"/>
              <w:marTop w:val="0"/>
              <w:marBottom w:val="0"/>
              <w:divBdr>
                <w:top w:val="none" w:sz="0" w:space="0" w:color="auto"/>
                <w:left w:val="none" w:sz="0" w:space="0" w:color="auto"/>
                <w:bottom w:val="none" w:sz="0" w:space="0" w:color="auto"/>
                <w:right w:val="none" w:sz="0" w:space="0" w:color="auto"/>
              </w:divBdr>
            </w:div>
            <w:div w:id="1994336507">
              <w:marLeft w:val="0"/>
              <w:marRight w:val="0"/>
              <w:marTop w:val="0"/>
              <w:marBottom w:val="0"/>
              <w:divBdr>
                <w:top w:val="none" w:sz="0" w:space="0" w:color="auto"/>
                <w:left w:val="none" w:sz="0" w:space="0" w:color="auto"/>
                <w:bottom w:val="none" w:sz="0" w:space="0" w:color="auto"/>
                <w:right w:val="none" w:sz="0" w:space="0" w:color="auto"/>
              </w:divBdr>
            </w:div>
          </w:divsChild>
        </w:div>
        <w:div w:id="1369376346">
          <w:marLeft w:val="0"/>
          <w:marRight w:val="0"/>
          <w:marTop w:val="0"/>
          <w:marBottom w:val="0"/>
          <w:divBdr>
            <w:top w:val="none" w:sz="0" w:space="0" w:color="auto"/>
            <w:left w:val="none" w:sz="0" w:space="0" w:color="auto"/>
            <w:bottom w:val="none" w:sz="0" w:space="0" w:color="auto"/>
            <w:right w:val="none" w:sz="0" w:space="0" w:color="auto"/>
          </w:divBdr>
          <w:divsChild>
            <w:div w:id="1646008250">
              <w:marLeft w:val="0"/>
              <w:marRight w:val="0"/>
              <w:marTop w:val="0"/>
              <w:marBottom w:val="0"/>
              <w:divBdr>
                <w:top w:val="none" w:sz="0" w:space="0" w:color="auto"/>
                <w:left w:val="none" w:sz="0" w:space="0" w:color="auto"/>
                <w:bottom w:val="none" w:sz="0" w:space="0" w:color="auto"/>
                <w:right w:val="none" w:sz="0" w:space="0" w:color="auto"/>
              </w:divBdr>
            </w:div>
          </w:divsChild>
        </w:div>
        <w:div w:id="1443375914">
          <w:marLeft w:val="0"/>
          <w:marRight w:val="0"/>
          <w:marTop w:val="0"/>
          <w:marBottom w:val="0"/>
          <w:divBdr>
            <w:top w:val="none" w:sz="0" w:space="0" w:color="auto"/>
            <w:left w:val="none" w:sz="0" w:space="0" w:color="auto"/>
            <w:bottom w:val="none" w:sz="0" w:space="0" w:color="auto"/>
            <w:right w:val="none" w:sz="0" w:space="0" w:color="auto"/>
          </w:divBdr>
          <w:divsChild>
            <w:div w:id="1008290677">
              <w:marLeft w:val="0"/>
              <w:marRight w:val="0"/>
              <w:marTop w:val="0"/>
              <w:marBottom w:val="0"/>
              <w:divBdr>
                <w:top w:val="none" w:sz="0" w:space="0" w:color="auto"/>
                <w:left w:val="none" w:sz="0" w:space="0" w:color="auto"/>
                <w:bottom w:val="none" w:sz="0" w:space="0" w:color="auto"/>
                <w:right w:val="none" w:sz="0" w:space="0" w:color="auto"/>
              </w:divBdr>
            </w:div>
            <w:div w:id="1721635253">
              <w:marLeft w:val="0"/>
              <w:marRight w:val="0"/>
              <w:marTop w:val="0"/>
              <w:marBottom w:val="0"/>
              <w:divBdr>
                <w:top w:val="none" w:sz="0" w:space="0" w:color="auto"/>
                <w:left w:val="none" w:sz="0" w:space="0" w:color="auto"/>
                <w:bottom w:val="none" w:sz="0" w:space="0" w:color="auto"/>
                <w:right w:val="none" w:sz="0" w:space="0" w:color="auto"/>
              </w:divBdr>
            </w:div>
          </w:divsChild>
        </w:div>
        <w:div w:id="1446147975">
          <w:marLeft w:val="0"/>
          <w:marRight w:val="0"/>
          <w:marTop w:val="0"/>
          <w:marBottom w:val="0"/>
          <w:divBdr>
            <w:top w:val="none" w:sz="0" w:space="0" w:color="auto"/>
            <w:left w:val="none" w:sz="0" w:space="0" w:color="auto"/>
            <w:bottom w:val="none" w:sz="0" w:space="0" w:color="auto"/>
            <w:right w:val="none" w:sz="0" w:space="0" w:color="auto"/>
          </w:divBdr>
          <w:divsChild>
            <w:div w:id="97261560">
              <w:marLeft w:val="0"/>
              <w:marRight w:val="0"/>
              <w:marTop w:val="0"/>
              <w:marBottom w:val="0"/>
              <w:divBdr>
                <w:top w:val="none" w:sz="0" w:space="0" w:color="auto"/>
                <w:left w:val="none" w:sz="0" w:space="0" w:color="auto"/>
                <w:bottom w:val="none" w:sz="0" w:space="0" w:color="auto"/>
                <w:right w:val="none" w:sz="0" w:space="0" w:color="auto"/>
              </w:divBdr>
            </w:div>
            <w:div w:id="264578722">
              <w:marLeft w:val="0"/>
              <w:marRight w:val="0"/>
              <w:marTop w:val="0"/>
              <w:marBottom w:val="0"/>
              <w:divBdr>
                <w:top w:val="none" w:sz="0" w:space="0" w:color="auto"/>
                <w:left w:val="none" w:sz="0" w:space="0" w:color="auto"/>
                <w:bottom w:val="none" w:sz="0" w:space="0" w:color="auto"/>
                <w:right w:val="none" w:sz="0" w:space="0" w:color="auto"/>
              </w:divBdr>
            </w:div>
            <w:div w:id="462312323">
              <w:marLeft w:val="0"/>
              <w:marRight w:val="0"/>
              <w:marTop w:val="0"/>
              <w:marBottom w:val="0"/>
              <w:divBdr>
                <w:top w:val="none" w:sz="0" w:space="0" w:color="auto"/>
                <w:left w:val="none" w:sz="0" w:space="0" w:color="auto"/>
                <w:bottom w:val="none" w:sz="0" w:space="0" w:color="auto"/>
                <w:right w:val="none" w:sz="0" w:space="0" w:color="auto"/>
              </w:divBdr>
            </w:div>
            <w:div w:id="602608800">
              <w:marLeft w:val="0"/>
              <w:marRight w:val="0"/>
              <w:marTop w:val="0"/>
              <w:marBottom w:val="0"/>
              <w:divBdr>
                <w:top w:val="none" w:sz="0" w:space="0" w:color="auto"/>
                <w:left w:val="none" w:sz="0" w:space="0" w:color="auto"/>
                <w:bottom w:val="none" w:sz="0" w:space="0" w:color="auto"/>
                <w:right w:val="none" w:sz="0" w:space="0" w:color="auto"/>
              </w:divBdr>
            </w:div>
            <w:div w:id="719864643">
              <w:marLeft w:val="0"/>
              <w:marRight w:val="0"/>
              <w:marTop w:val="0"/>
              <w:marBottom w:val="0"/>
              <w:divBdr>
                <w:top w:val="none" w:sz="0" w:space="0" w:color="auto"/>
                <w:left w:val="none" w:sz="0" w:space="0" w:color="auto"/>
                <w:bottom w:val="none" w:sz="0" w:space="0" w:color="auto"/>
                <w:right w:val="none" w:sz="0" w:space="0" w:color="auto"/>
              </w:divBdr>
            </w:div>
            <w:div w:id="1622375096">
              <w:marLeft w:val="0"/>
              <w:marRight w:val="0"/>
              <w:marTop w:val="0"/>
              <w:marBottom w:val="0"/>
              <w:divBdr>
                <w:top w:val="none" w:sz="0" w:space="0" w:color="auto"/>
                <w:left w:val="none" w:sz="0" w:space="0" w:color="auto"/>
                <w:bottom w:val="none" w:sz="0" w:space="0" w:color="auto"/>
                <w:right w:val="none" w:sz="0" w:space="0" w:color="auto"/>
              </w:divBdr>
            </w:div>
          </w:divsChild>
        </w:div>
        <w:div w:id="1472209873">
          <w:marLeft w:val="0"/>
          <w:marRight w:val="0"/>
          <w:marTop w:val="0"/>
          <w:marBottom w:val="0"/>
          <w:divBdr>
            <w:top w:val="none" w:sz="0" w:space="0" w:color="auto"/>
            <w:left w:val="none" w:sz="0" w:space="0" w:color="auto"/>
            <w:bottom w:val="none" w:sz="0" w:space="0" w:color="auto"/>
            <w:right w:val="none" w:sz="0" w:space="0" w:color="auto"/>
          </w:divBdr>
          <w:divsChild>
            <w:div w:id="1974826425">
              <w:marLeft w:val="0"/>
              <w:marRight w:val="0"/>
              <w:marTop w:val="0"/>
              <w:marBottom w:val="0"/>
              <w:divBdr>
                <w:top w:val="none" w:sz="0" w:space="0" w:color="auto"/>
                <w:left w:val="none" w:sz="0" w:space="0" w:color="auto"/>
                <w:bottom w:val="none" w:sz="0" w:space="0" w:color="auto"/>
                <w:right w:val="none" w:sz="0" w:space="0" w:color="auto"/>
              </w:divBdr>
            </w:div>
          </w:divsChild>
        </w:div>
        <w:div w:id="1536238120">
          <w:marLeft w:val="0"/>
          <w:marRight w:val="0"/>
          <w:marTop w:val="0"/>
          <w:marBottom w:val="0"/>
          <w:divBdr>
            <w:top w:val="none" w:sz="0" w:space="0" w:color="auto"/>
            <w:left w:val="none" w:sz="0" w:space="0" w:color="auto"/>
            <w:bottom w:val="none" w:sz="0" w:space="0" w:color="auto"/>
            <w:right w:val="none" w:sz="0" w:space="0" w:color="auto"/>
          </w:divBdr>
          <w:divsChild>
            <w:div w:id="738749069">
              <w:marLeft w:val="0"/>
              <w:marRight w:val="0"/>
              <w:marTop w:val="0"/>
              <w:marBottom w:val="0"/>
              <w:divBdr>
                <w:top w:val="none" w:sz="0" w:space="0" w:color="auto"/>
                <w:left w:val="none" w:sz="0" w:space="0" w:color="auto"/>
                <w:bottom w:val="none" w:sz="0" w:space="0" w:color="auto"/>
                <w:right w:val="none" w:sz="0" w:space="0" w:color="auto"/>
              </w:divBdr>
            </w:div>
            <w:div w:id="1023165322">
              <w:marLeft w:val="0"/>
              <w:marRight w:val="0"/>
              <w:marTop w:val="0"/>
              <w:marBottom w:val="0"/>
              <w:divBdr>
                <w:top w:val="none" w:sz="0" w:space="0" w:color="auto"/>
                <w:left w:val="none" w:sz="0" w:space="0" w:color="auto"/>
                <w:bottom w:val="none" w:sz="0" w:space="0" w:color="auto"/>
                <w:right w:val="none" w:sz="0" w:space="0" w:color="auto"/>
              </w:divBdr>
            </w:div>
            <w:div w:id="1093549365">
              <w:marLeft w:val="0"/>
              <w:marRight w:val="0"/>
              <w:marTop w:val="0"/>
              <w:marBottom w:val="0"/>
              <w:divBdr>
                <w:top w:val="none" w:sz="0" w:space="0" w:color="auto"/>
                <w:left w:val="none" w:sz="0" w:space="0" w:color="auto"/>
                <w:bottom w:val="none" w:sz="0" w:space="0" w:color="auto"/>
                <w:right w:val="none" w:sz="0" w:space="0" w:color="auto"/>
              </w:divBdr>
            </w:div>
            <w:div w:id="1094741245">
              <w:marLeft w:val="0"/>
              <w:marRight w:val="0"/>
              <w:marTop w:val="0"/>
              <w:marBottom w:val="0"/>
              <w:divBdr>
                <w:top w:val="none" w:sz="0" w:space="0" w:color="auto"/>
                <w:left w:val="none" w:sz="0" w:space="0" w:color="auto"/>
                <w:bottom w:val="none" w:sz="0" w:space="0" w:color="auto"/>
                <w:right w:val="none" w:sz="0" w:space="0" w:color="auto"/>
              </w:divBdr>
            </w:div>
          </w:divsChild>
        </w:div>
        <w:div w:id="1625817402">
          <w:marLeft w:val="0"/>
          <w:marRight w:val="0"/>
          <w:marTop w:val="0"/>
          <w:marBottom w:val="0"/>
          <w:divBdr>
            <w:top w:val="none" w:sz="0" w:space="0" w:color="auto"/>
            <w:left w:val="none" w:sz="0" w:space="0" w:color="auto"/>
            <w:bottom w:val="none" w:sz="0" w:space="0" w:color="auto"/>
            <w:right w:val="none" w:sz="0" w:space="0" w:color="auto"/>
          </w:divBdr>
          <w:divsChild>
            <w:div w:id="50538256">
              <w:marLeft w:val="0"/>
              <w:marRight w:val="0"/>
              <w:marTop w:val="0"/>
              <w:marBottom w:val="0"/>
              <w:divBdr>
                <w:top w:val="none" w:sz="0" w:space="0" w:color="auto"/>
                <w:left w:val="none" w:sz="0" w:space="0" w:color="auto"/>
                <w:bottom w:val="none" w:sz="0" w:space="0" w:color="auto"/>
                <w:right w:val="none" w:sz="0" w:space="0" w:color="auto"/>
              </w:divBdr>
            </w:div>
            <w:div w:id="109981806">
              <w:marLeft w:val="0"/>
              <w:marRight w:val="0"/>
              <w:marTop w:val="0"/>
              <w:marBottom w:val="0"/>
              <w:divBdr>
                <w:top w:val="none" w:sz="0" w:space="0" w:color="auto"/>
                <w:left w:val="none" w:sz="0" w:space="0" w:color="auto"/>
                <w:bottom w:val="none" w:sz="0" w:space="0" w:color="auto"/>
                <w:right w:val="none" w:sz="0" w:space="0" w:color="auto"/>
              </w:divBdr>
            </w:div>
            <w:div w:id="332950998">
              <w:marLeft w:val="0"/>
              <w:marRight w:val="0"/>
              <w:marTop w:val="0"/>
              <w:marBottom w:val="0"/>
              <w:divBdr>
                <w:top w:val="none" w:sz="0" w:space="0" w:color="auto"/>
                <w:left w:val="none" w:sz="0" w:space="0" w:color="auto"/>
                <w:bottom w:val="none" w:sz="0" w:space="0" w:color="auto"/>
                <w:right w:val="none" w:sz="0" w:space="0" w:color="auto"/>
              </w:divBdr>
            </w:div>
            <w:div w:id="872498270">
              <w:marLeft w:val="0"/>
              <w:marRight w:val="0"/>
              <w:marTop w:val="0"/>
              <w:marBottom w:val="0"/>
              <w:divBdr>
                <w:top w:val="none" w:sz="0" w:space="0" w:color="auto"/>
                <w:left w:val="none" w:sz="0" w:space="0" w:color="auto"/>
                <w:bottom w:val="none" w:sz="0" w:space="0" w:color="auto"/>
                <w:right w:val="none" w:sz="0" w:space="0" w:color="auto"/>
              </w:divBdr>
            </w:div>
            <w:div w:id="1287809265">
              <w:marLeft w:val="0"/>
              <w:marRight w:val="0"/>
              <w:marTop w:val="0"/>
              <w:marBottom w:val="0"/>
              <w:divBdr>
                <w:top w:val="none" w:sz="0" w:space="0" w:color="auto"/>
                <w:left w:val="none" w:sz="0" w:space="0" w:color="auto"/>
                <w:bottom w:val="none" w:sz="0" w:space="0" w:color="auto"/>
                <w:right w:val="none" w:sz="0" w:space="0" w:color="auto"/>
              </w:divBdr>
            </w:div>
            <w:div w:id="1511723132">
              <w:marLeft w:val="0"/>
              <w:marRight w:val="0"/>
              <w:marTop w:val="0"/>
              <w:marBottom w:val="0"/>
              <w:divBdr>
                <w:top w:val="none" w:sz="0" w:space="0" w:color="auto"/>
                <w:left w:val="none" w:sz="0" w:space="0" w:color="auto"/>
                <w:bottom w:val="none" w:sz="0" w:space="0" w:color="auto"/>
                <w:right w:val="none" w:sz="0" w:space="0" w:color="auto"/>
              </w:divBdr>
            </w:div>
          </w:divsChild>
        </w:div>
        <w:div w:id="1676613810">
          <w:marLeft w:val="0"/>
          <w:marRight w:val="0"/>
          <w:marTop w:val="0"/>
          <w:marBottom w:val="0"/>
          <w:divBdr>
            <w:top w:val="none" w:sz="0" w:space="0" w:color="auto"/>
            <w:left w:val="none" w:sz="0" w:space="0" w:color="auto"/>
            <w:bottom w:val="none" w:sz="0" w:space="0" w:color="auto"/>
            <w:right w:val="none" w:sz="0" w:space="0" w:color="auto"/>
          </w:divBdr>
          <w:divsChild>
            <w:div w:id="96826871">
              <w:marLeft w:val="0"/>
              <w:marRight w:val="0"/>
              <w:marTop w:val="0"/>
              <w:marBottom w:val="0"/>
              <w:divBdr>
                <w:top w:val="none" w:sz="0" w:space="0" w:color="auto"/>
                <w:left w:val="none" w:sz="0" w:space="0" w:color="auto"/>
                <w:bottom w:val="none" w:sz="0" w:space="0" w:color="auto"/>
                <w:right w:val="none" w:sz="0" w:space="0" w:color="auto"/>
              </w:divBdr>
            </w:div>
            <w:div w:id="295641549">
              <w:marLeft w:val="0"/>
              <w:marRight w:val="0"/>
              <w:marTop w:val="0"/>
              <w:marBottom w:val="0"/>
              <w:divBdr>
                <w:top w:val="none" w:sz="0" w:space="0" w:color="auto"/>
                <w:left w:val="none" w:sz="0" w:space="0" w:color="auto"/>
                <w:bottom w:val="none" w:sz="0" w:space="0" w:color="auto"/>
                <w:right w:val="none" w:sz="0" w:space="0" w:color="auto"/>
              </w:divBdr>
            </w:div>
            <w:div w:id="921842473">
              <w:marLeft w:val="0"/>
              <w:marRight w:val="0"/>
              <w:marTop w:val="0"/>
              <w:marBottom w:val="0"/>
              <w:divBdr>
                <w:top w:val="none" w:sz="0" w:space="0" w:color="auto"/>
                <w:left w:val="none" w:sz="0" w:space="0" w:color="auto"/>
                <w:bottom w:val="none" w:sz="0" w:space="0" w:color="auto"/>
                <w:right w:val="none" w:sz="0" w:space="0" w:color="auto"/>
              </w:divBdr>
            </w:div>
            <w:div w:id="1012293675">
              <w:marLeft w:val="0"/>
              <w:marRight w:val="0"/>
              <w:marTop w:val="0"/>
              <w:marBottom w:val="0"/>
              <w:divBdr>
                <w:top w:val="none" w:sz="0" w:space="0" w:color="auto"/>
                <w:left w:val="none" w:sz="0" w:space="0" w:color="auto"/>
                <w:bottom w:val="none" w:sz="0" w:space="0" w:color="auto"/>
                <w:right w:val="none" w:sz="0" w:space="0" w:color="auto"/>
              </w:divBdr>
            </w:div>
            <w:div w:id="1204824371">
              <w:marLeft w:val="0"/>
              <w:marRight w:val="0"/>
              <w:marTop w:val="0"/>
              <w:marBottom w:val="0"/>
              <w:divBdr>
                <w:top w:val="none" w:sz="0" w:space="0" w:color="auto"/>
                <w:left w:val="none" w:sz="0" w:space="0" w:color="auto"/>
                <w:bottom w:val="none" w:sz="0" w:space="0" w:color="auto"/>
                <w:right w:val="none" w:sz="0" w:space="0" w:color="auto"/>
              </w:divBdr>
            </w:div>
            <w:div w:id="1950236963">
              <w:marLeft w:val="0"/>
              <w:marRight w:val="0"/>
              <w:marTop w:val="0"/>
              <w:marBottom w:val="0"/>
              <w:divBdr>
                <w:top w:val="none" w:sz="0" w:space="0" w:color="auto"/>
                <w:left w:val="none" w:sz="0" w:space="0" w:color="auto"/>
                <w:bottom w:val="none" w:sz="0" w:space="0" w:color="auto"/>
                <w:right w:val="none" w:sz="0" w:space="0" w:color="auto"/>
              </w:divBdr>
            </w:div>
          </w:divsChild>
        </w:div>
        <w:div w:id="1832208369">
          <w:marLeft w:val="0"/>
          <w:marRight w:val="0"/>
          <w:marTop w:val="0"/>
          <w:marBottom w:val="0"/>
          <w:divBdr>
            <w:top w:val="none" w:sz="0" w:space="0" w:color="auto"/>
            <w:left w:val="none" w:sz="0" w:space="0" w:color="auto"/>
            <w:bottom w:val="none" w:sz="0" w:space="0" w:color="auto"/>
            <w:right w:val="none" w:sz="0" w:space="0" w:color="auto"/>
          </w:divBdr>
          <w:divsChild>
            <w:div w:id="139615287">
              <w:marLeft w:val="0"/>
              <w:marRight w:val="0"/>
              <w:marTop w:val="0"/>
              <w:marBottom w:val="0"/>
              <w:divBdr>
                <w:top w:val="none" w:sz="0" w:space="0" w:color="auto"/>
                <w:left w:val="none" w:sz="0" w:space="0" w:color="auto"/>
                <w:bottom w:val="none" w:sz="0" w:space="0" w:color="auto"/>
                <w:right w:val="none" w:sz="0" w:space="0" w:color="auto"/>
              </w:divBdr>
            </w:div>
            <w:div w:id="539781115">
              <w:marLeft w:val="0"/>
              <w:marRight w:val="0"/>
              <w:marTop w:val="0"/>
              <w:marBottom w:val="0"/>
              <w:divBdr>
                <w:top w:val="none" w:sz="0" w:space="0" w:color="auto"/>
                <w:left w:val="none" w:sz="0" w:space="0" w:color="auto"/>
                <w:bottom w:val="none" w:sz="0" w:space="0" w:color="auto"/>
                <w:right w:val="none" w:sz="0" w:space="0" w:color="auto"/>
              </w:divBdr>
            </w:div>
            <w:div w:id="776948811">
              <w:marLeft w:val="0"/>
              <w:marRight w:val="0"/>
              <w:marTop w:val="0"/>
              <w:marBottom w:val="0"/>
              <w:divBdr>
                <w:top w:val="none" w:sz="0" w:space="0" w:color="auto"/>
                <w:left w:val="none" w:sz="0" w:space="0" w:color="auto"/>
                <w:bottom w:val="none" w:sz="0" w:space="0" w:color="auto"/>
                <w:right w:val="none" w:sz="0" w:space="0" w:color="auto"/>
              </w:divBdr>
            </w:div>
            <w:div w:id="1138229601">
              <w:marLeft w:val="0"/>
              <w:marRight w:val="0"/>
              <w:marTop w:val="0"/>
              <w:marBottom w:val="0"/>
              <w:divBdr>
                <w:top w:val="none" w:sz="0" w:space="0" w:color="auto"/>
                <w:left w:val="none" w:sz="0" w:space="0" w:color="auto"/>
                <w:bottom w:val="none" w:sz="0" w:space="0" w:color="auto"/>
                <w:right w:val="none" w:sz="0" w:space="0" w:color="auto"/>
              </w:divBdr>
            </w:div>
            <w:div w:id="1761900892">
              <w:marLeft w:val="0"/>
              <w:marRight w:val="0"/>
              <w:marTop w:val="0"/>
              <w:marBottom w:val="0"/>
              <w:divBdr>
                <w:top w:val="none" w:sz="0" w:space="0" w:color="auto"/>
                <w:left w:val="none" w:sz="0" w:space="0" w:color="auto"/>
                <w:bottom w:val="none" w:sz="0" w:space="0" w:color="auto"/>
                <w:right w:val="none" w:sz="0" w:space="0" w:color="auto"/>
              </w:divBdr>
            </w:div>
            <w:div w:id="2147116307">
              <w:marLeft w:val="0"/>
              <w:marRight w:val="0"/>
              <w:marTop w:val="0"/>
              <w:marBottom w:val="0"/>
              <w:divBdr>
                <w:top w:val="none" w:sz="0" w:space="0" w:color="auto"/>
                <w:left w:val="none" w:sz="0" w:space="0" w:color="auto"/>
                <w:bottom w:val="none" w:sz="0" w:space="0" w:color="auto"/>
                <w:right w:val="none" w:sz="0" w:space="0" w:color="auto"/>
              </w:divBdr>
            </w:div>
          </w:divsChild>
        </w:div>
        <w:div w:id="1946648409">
          <w:marLeft w:val="0"/>
          <w:marRight w:val="0"/>
          <w:marTop w:val="0"/>
          <w:marBottom w:val="0"/>
          <w:divBdr>
            <w:top w:val="none" w:sz="0" w:space="0" w:color="auto"/>
            <w:left w:val="none" w:sz="0" w:space="0" w:color="auto"/>
            <w:bottom w:val="none" w:sz="0" w:space="0" w:color="auto"/>
            <w:right w:val="none" w:sz="0" w:space="0" w:color="auto"/>
          </w:divBdr>
          <w:divsChild>
            <w:div w:id="638267128">
              <w:marLeft w:val="0"/>
              <w:marRight w:val="0"/>
              <w:marTop w:val="0"/>
              <w:marBottom w:val="0"/>
              <w:divBdr>
                <w:top w:val="none" w:sz="0" w:space="0" w:color="auto"/>
                <w:left w:val="none" w:sz="0" w:space="0" w:color="auto"/>
                <w:bottom w:val="none" w:sz="0" w:space="0" w:color="auto"/>
                <w:right w:val="none" w:sz="0" w:space="0" w:color="auto"/>
              </w:divBdr>
            </w:div>
          </w:divsChild>
        </w:div>
        <w:div w:id="2029720832">
          <w:marLeft w:val="0"/>
          <w:marRight w:val="0"/>
          <w:marTop w:val="0"/>
          <w:marBottom w:val="0"/>
          <w:divBdr>
            <w:top w:val="none" w:sz="0" w:space="0" w:color="auto"/>
            <w:left w:val="none" w:sz="0" w:space="0" w:color="auto"/>
            <w:bottom w:val="none" w:sz="0" w:space="0" w:color="auto"/>
            <w:right w:val="none" w:sz="0" w:space="0" w:color="auto"/>
          </w:divBdr>
          <w:divsChild>
            <w:div w:id="935795340">
              <w:marLeft w:val="0"/>
              <w:marRight w:val="0"/>
              <w:marTop w:val="0"/>
              <w:marBottom w:val="0"/>
              <w:divBdr>
                <w:top w:val="none" w:sz="0" w:space="0" w:color="auto"/>
                <w:left w:val="none" w:sz="0" w:space="0" w:color="auto"/>
                <w:bottom w:val="none" w:sz="0" w:space="0" w:color="auto"/>
                <w:right w:val="none" w:sz="0" w:space="0" w:color="auto"/>
              </w:divBdr>
            </w:div>
          </w:divsChild>
        </w:div>
        <w:div w:id="2047413395">
          <w:marLeft w:val="0"/>
          <w:marRight w:val="0"/>
          <w:marTop w:val="0"/>
          <w:marBottom w:val="0"/>
          <w:divBdr>
            <w:top w:val="none" w:sz="0" w:space="0" w:color="auto"/>
            <w:left w:val="none" w:sz="0" w:space="0" w:color="auto"/>
            <w:bottom w:val="none" w:sz="0" w:space="0" w:color="auto"/>
            <w:right w:val="none" w:sz="0" w:space="0" w:color="auto"/>
          </w:divBdr>
          <w:divsChild>
            <w:div w:id="517935056">
              <w:marLeft w:val="0"/>
              <w:marRight w:val="0"/>
              <w:marTop w:val="0"/>
              <w:marBottom w:val="0"/>
              <w:divBdr>
                <w:top w:val="none" w:sz="0" w:space="0" w:color="auto"/>
                <w:left w:val="none" w:sz="0" w:space="0" w:color="auto"/>
                <w:bottom w:val="none" w:sz="0" w:space="0" w:color="auto"/>
                <w:right w:val="none" w:sz="0" w:space="0" w:color="auto"/>
              </w:divBdr>
            </w:div>
            <w:div w:id="855732712">
              <w:marLeft w:val="0"/>
              <w:marRight w:val="0"/>
              <w:marTop w:val="0"/>
              <w:marBottom w:val="0"/>
              <w:divBdr>
                <w:top w:val="none" w:sz="0" w:space="0" w:color="auto"/>
                <w:left w:val="none" w:sz="0" w:space="0" w:color="auto"/>
                <w:bottom w:val="none" w:sz="0" w:space="0" w:color="auto"/>
                <w:right w:val="none" w:sz="0" w:space="0" w:color="auto"/>
              </w:divBdr>
            </w:div>
            <w:div w:id="878468401">
              <w:marLeft w:val="0"/>
              <w:marRight w:val="0"/>
              <w:marTop w:val="0"/>
              <w:marBottom w:val="0"/>
              <w:divBdr>
                <w:top w:val="none" w:sz="0" w:space="0" w:color="auto"/>
                <w:left w:val="none" w:sz="0" w:space="0" w:color="auto"/>
                <w:bottom w:val="none" w:sz="0" w:space="0" w:color="auto"/>
                <w:right w:val="none" w:sz="0" w:space="0" w:color="auto"/>
              </w:divBdr>
            </w:div>
            <w:div w:id="1598053537">
              <w:marLeft w:val="0"/>
              <w:marRight w:val="0"/>
              <w:marTop w:val="0"/>
              <w:marBottom w:val="0"/>
              <w:divBdr>
                <w:top w:val="none" w:sz="0" w:space="0" w:color="auto"/>
                <w:left w:val="none" w:sz="0" w:space="0" w:color="auto"/>
                <w:bottom w:val="none" w:sz="0" w:space="0" w:color="auto"/>
                <w:right w:val="none" w:sz="0" w:space="0" w:color="auto"/>
              </w:divBdr>
            </w:div>
            <w:div w:id="2139493627">
              <w:marLeft w:val="0"/>
              <w:marRight w:val="0"/>
              <w:marTop w:val="0"/>
              <w:marBottom w:val="0"/>
              <w:divBdr>
                <w:top w:val="none" w:sz="0" w:space="0" w:color="auto"/>
                <w:left w:val="none" w:sz="0" w:space="0" w:color="auto"/>
                <w:bottom w:val="none" w:sz="0" w:space="0" w:color="auto"/>
                <w:right w:val="none" w:sz="0" w:space="0" w:color="auto"/>
              </w:divBdr>
            </w:div>
          </w:divsChild>
        </w:div>
        <w:div w:id="2121869758">
          <w:marLeft w:val="0"/>
          <w:marRight w:val="0"/>
          <w:marTop w:val="0"/>
          <w:marBottom w:val="0"/>
          <w:divBdr>
            <w:top w:val="none" w:sz="0" w:space="0" w:color="auto"/>
            <w:left w:val="none" w:sz="0" w:space="0" w:color="auto"/>
            <w:bottom w:val="none" w:sz="0" w:space="0" w:color="auto"/>
            <w:right w:val="none" w:sz="0" w:space="0" w:color="auto"/>
          </w:divBdr>
          <w:divsChild>
            <w:div w:id="94188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81649">
      <w:bodyDiv w:val="1"/>
      <w:marLeft w:val="0"/>
      <w:marRight w:val="0"/>
      <w:marTop w:val="0"/>
      <w:marBottom w:val="0"/>
      <w:divBdr>
        <w:top w:val="none" w:sz="0" w:space="0" w:color="auto"/>
        <w:left w:val="none" w:sz="0" w:space="0" w:color="auto"/>
        <w:bottom w:val="none" w:sz="0" w:space="0" w:color="auto"/>
        <w:right w:val="none" w:sz="0" w:space="0" w:color="auto"/>
      </w:divBdr>
    </w:div>
    <w:div w:id="243875476">
      <w:bodyDiv w:val="1"/>
      <w:marLeft w:val="0"/>
      <w:marRight w:val="0"/>
      <w:marTop w:val="0"/>
      <w:marBottom w:val="0"/>
      <w:divBdr>
        <w:top w:val="none" w:sz="0" w:space="0" w:color="auto"/>
        <w:left w:val="none" w:sz="0" w:space="0" w:color="auto"/>
        <w:bottom w:val="none" w:sz="0" w:space="0" w:color="auto"/>
        <w:right w:val="none" w:sz="0" w:space="0" w:color="auto"/>
      </w:divBdr>
    </w:div>
    <w:div w:id="252011957">
      <w:bodyDiv w:val="1"/>
      <w:marLeft w:val="0"/>
      <w:marRight w:val="0"/>
      <w:marTop w:val="0"/>
      <w:marBottom w:val="0"/>
      <w:divBdr>
        <w:top w:val="none" w:sz="0" w:space="0" w:color="auto"/>
        <w:left w:val="none" w:sz="0" w:space="0" w:color="auto"/>
        <w:bottom w:val="none" w:sz="0" w:space="0" w:color="auto"/>
        <w:right w:val="none" w:sz="0" w:space="0" w:color="auto"/>
      </w:divBdr>
      <w:divsChild>
        <w:div w:id="211963052">
          <w:marLeft w:val="0"/>
          <w:marRight w:val="0"/>
          <w:marTop w:val="0"/>
          <w:marBottom w:val="0"/>
          <w:divBdr>
            <w:top w:val="none" w:sz="0" w:space="0" w:color="auto"/>
            <w:left w:val="none" w:sz="0" w:space="0" w:color="auto"/>
            <w:bottom w:val="none" w:sz="0" w:space="0" w:color="auto"/>
            <w:right w:val="none" w:sz="0" w:space="0" w:color="auto"/>
          </w:divBdr>
        </w:div>
        <w:div w:id="225260345">
          <w:marLeft w:val="0"/>
          <w:marRight w:val="0"/>
          <w:marTop w:val="0"/>
          <w:marBottom w:val="0"/>
          <w:divBdr>
            <w:top w:val="none" w:sz="0" w:space="0" w:color="auto"/>
            <w:left w:val="none" w:sz="0" w:space="0" w:color="auto"/>
            <w:bottom w:val="none" w:sz="0" w:space="0" w:color="auto"/>
            <w:right w:val="none" w:sz="0" w:space="0" w:color="auto"/>
          </w:divBdr>
        </w:div>
        <w:div w:id="258412933">
          <w:marLeft w:val="0"/>
          <w:marRight w:val="0"/>
          <w:marTop w:val="0"/>
          <w:marBottom w:val="0"/>
          <w:divBdr>
            <w:top w:val="none" w:sz="0" w:space="0" w:color="auto"/>
            <w:left w:val="none" w:sz="0" w:space="0" w:color="auto"/>
            <w:bottom w:val="none" w:sz="0" w:space="0" w:color="auto"/>
            <w:right w:val="none" w:sz="0" w:space="0" w:color="auto"/>
          </w:divBdr>
        </w:div>
        <w:div w:id="290521347">
          <w:marLeft w:val="0"/>
          <w:marRight w:val="0"/>
          <w:marTop w:val="0"/>
          <w:marBottom w:val="0"/>
          <w:divBdr>
            <w:top w:val="none" w:sz="0" w:space="0" w:color="auto"/>
            <w:left w:val="none" w:sz="0" w:space="0" w:color="auto"/>
            <w:bottom w:val="none" w:sz="0" w:space="0" w:color="auto"/>
            <w:right w:val="none" w:sz="0" w:space="0" w:color="auto"/>
          </w:divBdr>
        </w:div>
        <w:div w:id="389690034">
          <w:marLeft w:val="0"/>
          <w:marRight w:val="0"/>
          <w:marTop w:val="0"/>
          <w:marBottom w:val="0"/>
          <w:divBdr>
            <w:top w:val="none" w:sz="0" w:space="0" w:color="auto"/>
            <w:left w:val="none" w:sz="0" w:space="0" w:color="auto"/>
            <w:bottom w:val="none" w:sz="0" w:space="0" w:color="auto"/>
            <w:right w:val="none" w:sz="0" w:space="0" w:color="auto"/>
          </w:divBdr>
        </w:div>
        <w:div w:id="467741740">
          <w:marLeft w:val="0"/>
          <w:marRight w:val="0"/>
          <w:marTop w:val="0"/>
          <w:marBottom w:val="0"/>
          <w:divBdr>
            <w:top w:val="none" w:sz="0" w:space="0" w:color="auto"/>
            <w:left w:val="none" w:sz="0" w:space="0" w:color="auto"/>
            <w:bottom w:val="none" w:sz="0" w:space="0" w:color="auto"/>
            <w:right w:val="none" w:sz="0" w:space="0" w:color="auto"/>
          </w:divBdr>
        </w:div>
        <w:div w:id="574164339">
          <w:marLeft w:val="0"/>
          <w:marRight w:val="0"/>
          <w:marTop w:val="0"/>
          <w:marBottom w:val="0"/>
          <w:divBdr>
            <w:top w:val="none" w:sz="0" w:space="0" w:color="auto"/>
            <w:left w:val="none" w:sz="0" w:space="0" w:color="auto"/>
            <w:bottom w:val="none" w:sz="0" w:space="0" w:color="auto"/>
            <w:right w:val="none" w:sz="0" w:space="0" w:color="auto"/>
          </w:divBdr>
        </w:div>
        <w:div w:id="660622492">
          <w:marLeft w:val="0"/>
          <w:marRight w:val="0"/>
          <w:marTop w:val="0"/>
          <w:marBottom w:val="0"/>
          <w:divBdr>
            <w:top w:val="none" w:sz="0" w:space="0" w:color="auto"/>
            <w:left w:val="none" w:sz="0" w:space="0" w:color="auto"/>
            <w:bottom w:val="none" w:sz="0" w:space="0" w:color="auto"/>
            <w:right w:val="none" w:sz="0" w:space="0" w:color="auto"/>
          </w:divBdr>
        </w:div>
        <w:div w:id="688261043">
          <w:marLeft w:val="0"/>
          <w:marRight w:val="0"/>
          <w:marTop w:val="0"/>
          <w:marBottom w:val="0"/>
          <w:divBdr>
            <w:top w:val="none" w:sz="0" w:space="0" w:color="auto"/>
            <w:left w:val="none" w:sz="0" w:space="0" w:color="auto"/>
            <w:bottom w:val="none" w:sz="0" w:space="0" w:color="auto"/>
            <w:right w:val="none" w:sz="0" w:space="0" w:color="auto"/>
          </w:divBdr>
        </w:div>
        <w:div w:id="746728055">
          <w:marLeft w:val="0"/>
          <w:marRight w:val="0"/>
          <w:marTop w:val="0"/>
          <w:marBottom w:val="0"/>
          <w:divBdr>
            <w:top w:val="none" w:sz="0" w:space="0" w:color="auto"/>
            <w:left w:val="none" w:sz="0" w:space="0" w:color="auto"/>
            <w:bottom w:val="none" w:sz="0" w:space="0" w:color="auto"/>
            <w:right w:val="none" w:sz="0" w:space="0" w:color="auto"/>
          </w:divBdr>
        </w:div>
        <w:div w:id="751243310">
          <w:marLeft w:val="0"/>
          <w:marRight w:val="0"/>
          <w:marTop w:val="0"/>
          <w:marBottom w:val="0"/>
          <w:divBdr>
            <w:top w:val="none" w:sz="0" w:space="0" w:color="auto"/>
            <w:left w:val="none" w:sz="0" w:space="0" w:color="auto"/>
            <w:bottom w:val="none" w:sz="0" w:space="0" w:color="auto"/>
            <w:right w:val="none" w:sz="0" w:space="0" w:color="auto"/>
          </w:divBdr>
        </w:div>
        <w:div w:id="752970896">
          <w:marLeft w:val="0"/>
          <w:marRight w:val="0"/>
          <w:marTop w:val="0"/>
          <w:marBottom w:val="0"/>
          <w:divBdr>
            <w:top w:val="none" w:sz="0" w:space="0" w:color="auto"/>
            <w:left w:val="none" w:sz="0" w:space="0" w:color="auto"/>
            <w:bottom w:val="none" w:sz="0" w:space="0" w:color="auto"/>
            <w:right w:val="none" w:sz="0" w:space="0" w:color="auto"/>
          </w:divBdr>
        </w:div>
        <w:div w:id="816579055">
          <w:marLeft w:val="0"/>
          <w:marRight w:val="0"/>
          <w:marTop w:val="0"/>
          <w:marBottom w:val="0"/>
          <w:divBdr>
            <w:top w:val="none" w:sz="0" w:space="0" w:color="auto"/>
            <w:left w:val="none" w:sz="0" w:space="0" w:color="auto"/>
            <w:bottom w:val="none" w:sz="0" w:space="0" w:color="auto"/>
            <w:right w:val="none" w:sz="0" w:space="0" w:color="auto"/>
          </w:divBdr>
        </w:div>
        <w:div w:id="833032406">
          <w:marLeft w:val="0"/>
          <w:marRight w:val="0"/>
          <w:marTop w:val="0"/>
          <w:marBottom w:val="0"/>
          <w:divBdr>
            <w:top w:val="none" w:sz="0" w:space="0" w:color="auto"/>
            <w:left w:val="none" w:sz="0" w:space="0" w:color="auto"/>
            <w:bottom w:val="none" w:sz="0" w:space="0" w:color="auto"/>
            <w:right w:val="none" w:sz="0" w:space="0" w:color="auto"/>
          </w:divBdr>
        </w:div>
        <w:div w:id="858006745">
          <w:marLeft w:val="0"/>
          <w:marRight w:val="0"/>
          <w:marTop w:val="0"/>
          <w:marBottom w:val="0"/>
          <w:divBdr>
            <w:top w:val="none" w:sz="0" w:space="0" w:color="auto"/>
            <w:left w:val="none" w:sz="0" w:space="0" w:color="auto"/>
            <w:bottom w:val="none" w:sz="0" w:space="0" w:color="auto"/>
            <w:right w:val="none" w:sz="0" w:space="0" w:color="auto"/>
          </w:divBdr>
        </w:div>
        <w:div w:id="993530013">
          <w:marLeft w:val="0"/>
          <w:marRight w:val="0"/>
          <w:marTop w:val="0"/>
          <w:marBottom w:val="0"/>
          <w:divBdr>
            <w:top w:val="none" w:sz="0" w:space="0" w:color="auto"/>
            <w:left w:val="none" w:sz="0" w:space="0" w:color="auto"/>
            <w:bottom w:val="none" w:sz="0" w:space="0" w:color="auto"/>
            <w:right w:val="none" w:sz="0" w:space="0" w:color="auto"/>
          </w:divBdr>
        </w:div>
        <w:div w:id="1118181664">
          <w:marLeft w:val="0"/>
          <w:marRight w:val="0"/>
          <w:marTop w:val="0"/>
          <w:marBottom w:val="0"/>
          <w:divBdr>
            <w:top w:val="none" w:sz="0" w:space="0" w:color="auto"/>
            <w:left w:val="none" w:sz="0" w:space="0" w:color="auto"/>
            <w:bottom w:val="none" w:sz="0" w:space="0" w:color="auto"/>
            <w:right w:val="none" w:sz="0" w:space="0" w:color="auto"/>
          </w:divBdr>
        </w:div>
        <w:div w:id="1448887058">
          <w:marLeft w:val="0"/>
          <w:marRight w:val="0"/>
          <w:marTop w:val="0"/>
          <w:marBottom w:val="0"/>
          <w:divBdr>
            <w:top w:val="none" w:sz="0" w:space="0" w:color="auto"/>
            <w:left w:val="none" w:sz="0" w:space="0" w:color="auto"/>
            <w:bottom w:val="none" w:sz="0" w:space="0" w:color="auto"/>
            <w:right w:val="none" w:sz="0" w:space="0" w:color="auto"/>
          </w:divBdr>
        </w:div>
        <w:div w:id="1510366431">
          <w:marLeft w:val="0"/>
          <w:marRight w:val="0"/>
          <w:marTop w:val="0"/>
          <w:marBottom w:val="0"/>
          <w:divBdr>
            <w:top w:val="none" w:sz="0" w:space="0" w:color="auto"/>
            <w:left w:val="none" w:sz="0" w:space="0" w:color="auto"/>
            <w:bottom w:val="none" w:sz="0" w:space="0" w:color="auto"/>
            <w:right w:val="none" w:sz="0" w:space="0" w:color="auto"/>
          </w:divBdr>
        </w:div>
        <w:div w:id="1566834911">
          <w:marLeft w:val="0"/>
          <w:marRight w:val="0"/>
          <w:marTop w:val="0"/>
          <w:marBottom w:val="0"/>
          <w:divBdr>
            <w:top w:val="none" w:sz="0" w:space="0" w:color="auto"/>
            <w:left w:val="none" w:sz="0" w:space="0" w:color="auto"/>
            <w:bottom w:val="none" w:sz="0" w:space="0" w:color="auto"/>
            <w:right w:val="none" w:sz="0" w:space="0" w:color="auto"/>
          </w:divBdr>
        </w:div>
        <w:div w:id="1686902899">
          <w:marLeft w:val="0"/>
          <w:marRight w:val="0"/>
          <w:marTop w:val="0"/>
          <w:marBottom w:val="0"/>
          <w:divBdr>
            <w:top w:val="none" w:sz="0" w:space="0" w:color="auto"/>
            <w:left w:val="none" w:sz="0" w:space="0" w:color="auto"/>
            <w:bottom w:val="none" w:sz="0" w:space="0" w:color="auto"/>
            <w:right w:val="none" w:sz="0" w:space="0" w:color="auto"/>
          </w:divBdr>
        </w:div>
        <w:div w:id="1768427177">
          <w:marLeft w:val="0"/>
          <w:marRight w:val="0"/>
          <w:marTop w:val="0"/>
          <w:marBottom w:val="0"/>
          <w:divBdr>
            <w:top w:val="none" w:sz="0" w:space="0" w:color="auto"/>
            <w:left w:val="none" w:sz="0" w:space="0" w:color="auto"/>
            <w:bottom w:val="none" w:sz="0" w:space="0" w:color="auto"/>
            <w:right w:val="none" w:sz="0" w:space="0" w:color="auto"/>
          </w:divBdr>
        </w:div>
        <w:div w:id="1781559450">
          <w:marLeft w:val="0"/>
          <w:marRight w:val="0"/>
          <w:marTop w:val="0"/>
          <w:marBottom w:val="0"/>
          <w:divBdr>
            <w:top w:val="none" w:sz="0" w:space="0" w:color="auto"/>
            <w:left w:val="none" w:sz="0" w:space="0" w:color="auto"/>
            <w:bottom w:val="none" w:sz="0" w:space="0" w:color="auto"/>
            <w:right w:val="none" w:sz="0" w:space="0" w:color="auto"/>
          </w:divBdr>
        </w:div>
        <w:div w:id="1792361234">
          <w:marLeft w:val="0"/>
          <w:marRight w:val="0"/>
          <w:marTop w:val="0"/>
          <w:marBottom w:val="0"/>
          <w:divBdr>
            <w:top w:val="none" w:sz="0" w:space="0" w:color="auto"/>
            <w:left w:val="none" w:sz="0" w:space="0" w:color="auto"/>
            <w:bottom w:val="none" w:sz="0" w:space="0" w:color="auto"/>
            <w:right w:val="none" w:sz="0" w:space="0" w:color="auto"/>
          </w:divBdr>
        </w:div>
        <w:div w:id="1838109398">
          <w:marLeft w:val="0"/>
          <w:marRight w:val="0"/>
          <w:marTop w:val="0"/>
          <w:marBottom w:val="0"/>
          <w:divBdr>
            <w:top w:val="none" w:sz="0" w:space="0" w:color="auto"/>
            <w:left w:val="none" w:sz="0" w:space="0" w:color="auto"/>
            <w:bottom w:val="none" w:sz="0" w:space="0" w:color="auto"/>
            <w:right w:val="none" w:sz="0" w:space="0" w:color="auto"/>
          </w:divBdr>
        </w:div>
        <w:div w:id="1848056197">
          <w:marLeft w:val="0"/>
          <w:marRight w:val="0"/>
          <w:marTop w:val="0"/>
          <w:marBottom w:val="0"/>
          <w:divBdr>
            <w:top w:val="none" w:sz="0" w:space="0" w:color="auto"/>
            <w:left w:val="none" w:sz="0" w:space="0" w:color="auto"/>
            <w:bottom w:val="none" w:sz="0" w:space="0" w:color="auto"/>
            <w:right w:val="none" w:sz="0" w:space="0" w:color="auto"/>
          </w:divBdr>
        </w:div>
        <w:div w:id="1892572998">
          <w:marLeft w:val="0"/>
          <w:marRight w:val="0"/>
          <w:marTop w:val="0"/>
          <w:marBottom w:val="0"/>
          <w:divBdr>
            <w:top w:val="none" w:sz="0" w:space="0" w:color="auto"/>
            <w:left w:val="none" w:sz="0" w:space="0" w:color="auto"/>
            <w:bottom w:val="none" w:sz="0" w:space="0" w:color="auto"/>
            <w:right w:val="none" w:sz="0" w:space="0" w:color="auto"/>
          </w:divBdr>
        </w:div>
        <w:div w:id="1934507539">
          <w:marLeft w:val="0"/>
          <w:marRight w:val="0"/>
          <w:marTop w:val="0"/>
          <w:marBottom w:val="0"/>
          <w:divBdr>
            <w:top w:val="none" w:sz="0" w:space="0" w:color="auto"/>
            <w:left w:val="none" w:sz="0" w:space="0" w:color="auto"/>
            <w:bottom w:val="none" w:sz="0" w:space="0" w:color="auto"/>
            <w:right w:val="none" w:sz="0" w:space="0" w:color="auto"/>
          </w:divBdr>
        </w:div>
        <w:div w:id="1945066713">
          <w:marLeft w:val="0"/>
          <w:marRight w:val="0"/>
          <w:marTop w:val="0"/>
          <w:marBottom w:val="0"/>
          <w:divBdr>
            <w:top w:val="none" w:sz="0" w:space="0" w:color="auto"/>
            <w:left w:val="none" w:sz="0" w:space="0" w:color="auto"/>
            <w:bottom w:val="none" w:sz="0" w:space="0" w:color="auto"/>
            <w:right w:val="none" w:sz="0" w:space="0" w:color="auto"/>
          </w:divBdr>
        </w:div>
        <w:div w:id="1980257454">
          <w:marLeft w:val="0"/>
          <w:marRight w:val="0"/>
          <w:marTop w:val="0"/>
          <w:marBottom w:val="0"/>
          <w:divBdr>
            <w:top w:val="none" w:sz="0" w:space="0" w:color="auto"/>
            <w:left w:val="none" w:sz="0" w:space="0" w:color="auto"/>
            <w:bottom w:val="none" w:sz="0" w:space="0" w:color="auto"/>
            <w:right w:val="none" w:sz="0" w:space="0" w:color="auto"/>
          </w:divBdr>
        </w:div>
        <w:div w:id="1981616413">
          <w:marLeft w:val="0"/>
          <w:marRight w:val="0"/>
          <w:marTop w:val="0"/>
          <w:marBottom w:val="0"/>
          <w:divBdr>
            <w:top w:val="none" w:sz="0" w:space="0" w:color="auto"/>
            <w:left w:val="none" w:sz="0" w:space="0" w:color="auto"/>
            <w:bottom w:val="none" w:sz="0" w:space="0" w:color="auto"/>
            <w:right w:val="none" w:sz="0" w:space="0" w:color="auto"/>
          </w:divBdr>
        </w:div>
        <w:div w:id="2046052909">
          <w:marLeft w:val="0"/>
          <w:marRight w:val="0"/>
          <w:marTop w:val="0"/>
          <w:marBottom w:val="0"/>
          <w:divBdr>
            <w:top w:val="none" w:sz="0" w:space="0" w:color="auto"/>
            <w:left w:val="none" w:sz="0" w:space="0" w:color="auto"/>
            <w:bottom w:val="none" w:sz="0" w:space="0" w:color="auto"/>
            <w:right w:val="none" w:sz="0" w:space="0" w:color="auto"/>
          </w:divBdr>
        </w:div>
      </w:divsChild>
    </w:div>
    <w:div w:id="266043032">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69245922">
      <w:bodyDiv w:val="1"/>
      <w:marLeft w:val="0"/>
      <w:marRight w:val="0"/>
      <w:marTop w:val="0"/>
      <w:marBottom w:val="0"/>
      <w:divBdr>
        <w:top w:val="none" w:sz="0" w:space="0" w:color="auto"/>
        <w:left w:val="none" w:sz="0" w:space="0" w:color="auto"/>
        <w:bottom w:val="none" w:sz="0" w:space="0" w:color="auto"/>
        <w:right w:val="none" w:sz="0" w:space="0" w:color="auto"/>
      </w:divBdr>
    </w:div>
    <w:div w:id="287055303">
      <w:bodyDiv w:val="1"/>
      <w:marLeft w:val="0"/>
      <w:marRight w:val="0"/>
      <w:marTop w:val="0"/>
      <w:marBottom w:val="0"/>
      <w:divBdr>
        <w:top w:val="none" w:sz="0" w:space="0" w:color="auto"/>
        <w:left w:val="none" w:sz="0" w:space="0" w:color="auto"/>
        <w:bottom w:val="none" w:sz="0" w:space="0" w:color="auto"/>
        <w:right w:val="none" w:sz="0" w:space="0" w:color="auto"/>
      </w:divBdr>
    </w:div>
    <w:div w:id="295069230">
      <w:bodyDiv w:val="1"/>
      <w:marLeft w:val="0"/>
      <w:marRight w:val="0"/>
      <w:marTop w:val="0"/>
      <w:marBottom w:val="0"/>
      <w:divBdr>
        <w:top w:val="none" w:sz="0" w:space="0" w:color="auto"/>
        <w:left w:val="none" w:sz="0" w:space="0" w:color="auto"/>
        <w:bottom w:val="none" w:sz="0" w:space="0" w:color="auto"/>
        <w:right w:val="none" w:sz="0" w:space="0" w:color="auto"/>
      </w:divBdr>
    </w:div>
    <w:div w:id="300888826">
      <w:bodyDiv w:val="1"/>
      <w:marLeft w:val="0"/>
      <w:marRight w:val="0"/>
      <w:marTop w:val="0"/>
      <w:marBottom w:val="0"/>
      <w:divBdr>
        <w:top w:val="none" w:sz="0" w:space="0" w:color="auto"/>
        <w:left w:val="none" w:sz="0" w:space="0" w:color="auto"/>
        <w:bottom w:val="none" w:sz="0" w:space="0" w:color="auto"/>
        <w:right w:val="none" w:sz="0" w:space="0" w:color="auto"/>
      </w:divBdr>
    </w:div>
    <w:div w:id="301933926">
      <w:bodyDiv w:val="1"/>
      <w:marLeft w:val="0"/>
      <w:marRight w:val="0"/>
      <w:marTop w:val="0"/>
      <w:marBottom w:val="0"/>
      <w:divBdr>
        <w:top w:val="none" w:sz="0" w:space="0" w:color="auto"/>
        <w:left w:val="none" w:sz="0" w:space="0" w:color="auto"/>
        <w:bottom w:val="none" w:sz="0" w:space="0" w:color="auto"/>
        <w:right w:val="none" w:sz="0" w:space="0" w:color="auto"/>
      </w:divBdr>
      <w:divsChild>
        <w:div w:id="500392566">
          <w:marLeft w:val="0"/>
          <w:marRight w:val="0"/>
          <w:marTop w:val="0"/>
          <w:marBottom w:val="0"/>
          <w:divBdr>
            <w:top w:val="none" w:sz="0" w:space="0" w:color="auto"/>
            <w:left w:val="none" w:sz="0" w:space="0" w:color="auto"/>
            <w:bottom w:val="none" w:sz="0" w:space="0" w:color="auto"/>
            <w:right w:val="none" w:sz="0" w:space="0" w:color="auto"/>
          </w:divBdr>
        </w:div>
      </w:divsChild>
    </w:div>
    <w:div w:id="308480498">
      <w:bodyDiv w:val="1"/>
      <w:marLeft w:val="0"/>
      <w:marRight w:val="0"/>
      <w:marTop w:val="0"/>
      <w:marBottom w:val="0"/>
      <w:divBdr>
        <w:top w:val="none" w:sz="0" w:space="0" w:color="auto"/>
        <w:left w:val="none" w:sz="0" w:space="0" w:color="auto"/>
        <w:bottom w:val="none" w:sz="0" w:space="0" w:color="auto"/>
        <w:right w:val="none" w:sz="0" w:space="0" w:color="auto"/>
      </w:divBdr>
    </w:div>
    <w:div w:id="316766698">
      <w:bodyDiv w:val="1"/>
      <w:marLeft w:val="0"/>
      <w:marRight w:val="0"/>
      <w:marTop w:val="0"/>
      <w:marBottom w:val="0"/>
      <w:divBdr>
        <w:top w:val="none" w:sz="0" w:space="0" w:color="auto"/>
        <w:left w:val="none" w:sz="0" w:space="0" w:color="auto"/>
        <w:bottom w:val="none" w:sz="0" w:space="0" w:color="auto"/>
        <w:right w:val="none" w:sz="0" w:space="0" w:color="auto"/>
      </w:divBdr>
    </w:div>
    <w:div w:id="318535321">
      <w:bodyDiv w:val="1"/>
      <w:marLeft w:val="0"/>
      <w:marRight w:val="0"/>
      <w:marTop w:val="0"/>
      <w:marBottom w:val="0"/>
      <w:divBdr>
        <w:top w:val="none" w:sz="0" w:space="0" w:color="auto"/>
        <w:left w:val="none" w:sz="0" w:space="0" w:color="auto"/>
        <w:bottom w:val="none" w:sz="0" w:space="0" w:color="auto"/>
        <w:right w:val="none" w:sz="0" w:space="0" w:color="auto"/>
      </w:divBdr>
      <w:divsChild>
        <w:div w:id="922489280">
          <w:marLeft w:val="0"/>
          <w:marRight w:val="0"/>
          <w:marTop w:val="0"/>
          <w:marBottom w:val="0"/>
          <w:divBdr>
            <w:top w:val="none" w:sz="0" w:space="0" w:color="auto"/>
            <w:left w:val="none" w:sz="0" w:space="0" w:color="auto"/>
            <w:bottom w:val="none" w:sz="0" w:space="0" w:color="auto"/>
            <w:right w:val="none" w:sz="0" w:space="0" w:color="auto"/>
          </w:divBdr>
        </w:div>
        <w:div w:id="975642215">
          <w:marLeft w:val="0"/>
          <w:marRight w:val="0"/>
          <w:marTop w:val="0"/>
          <w:marBottom w:val="0"/>
          <w:divBdr>
            <w:top w:val="none" w:sz="0" w:space="0" w:color="auto"/>
            <w:left w:val="none" w:sz="0" w:space="0" w:color="auto"/>
            <w:bottom w:val="none" w:sz="0" w:space="0" w:color="auto"/>
            <w:right w:val="none" w:sz="0" w:space="0" w:color="auto"/>
          </w:divBdr>
        </w:div>
        <w:div w:id="1624077508">
          <w:marLeft w:val="0"/>
          <w:marRight w:val="0"/>
          <w:marTop w:val="0"/>
          <w:marBottom w:val="0"/>
          <w:divBdr>
            <w:top w:val="none" w:sz="0" w:space="0" w:color="auto"/>
            <w:left w:val="none" w:sz="0" w:space="0" w:color="auto"/>
            <w:bottom w:val="none" w:sz="0" w:space="0" w:color="auto"/>
            <w:right w:val="none" w:sz="0" w:space="0" w:color="auto"/>
          </w:divBdr>
        </w:div>
        <w:div w:id="1698508408">
          <w:marLeft w:val="0"/>
          <w:marRight w:val="0"/>
          <w:marTop w:val="0"/>
          <w:marBottom w:val="0"/>
          <w:divBdr>
            <w:top w:val="none" w:sz="0" w:space="0" w:color="auto"/>
            <w:left w:val="none" w:sz="0" w:space="0" w:color="auto"/>
            <w:bottom w:val="none" w:sz="0" w:space="0" w:color="auto"/>
            <w:right w:val="none" w:sz="0" w:space="0" w:color="auto"/>
          </w:divBdr>
        </w:div>
      </w:divsChild>
    </w:div>
    <w:div w:id="343938409">
      <w:bodyDiv w:val="1"/>
      <w:marLeft w:val="0"/>
      <w:marRight w:val="0"/>
      <w:marTop w:val="0"/>
      <w:marBottom w:val="0"/>
      <w:divBdr>
        <w:top w:val="none" w:sz="0" w:space="0" w:color="auto"/>
        <w:left w:val="none" w:sz="0" w:space="0" w:color="auto"/>
        <w:bottom w:val="none" w:sz="0" w:space="0" w:color="auto"/>
        <w:right w:val="none" w:sz="0" w:space="0" w:color="auto"/>
      </w:divBdr>
    </w:div>
    <w:div w:id="361444099">
      <w:bodyDiv w:val="1"/>
      <w:marLeft w:val="0"/>
      <w:marRight w:val="0"/>
      <w:marTop w:val="0"/>
      <w:marBottom w:val="0"/>
      <w:divBdr>
        <w:top w:val="none" w:sz="0" w:space="0" w:color="auto"/>
        <w:left w:val="none" w:sz="0" w:space="0" w:color="auto"/>
        <w:bottom w:val="none" w:sz="0" w:space="0" w:color="auto"/>
        <w:right w:val="none" w:sz="0" w:space="0" w:color="auto"/>
      </w:divBdr>
    </w:div>
    <w:div w:id="375156787">
      <w:bodyDiv w:val="1"/>
      <w:marLeft w:val="0"/>
      <w:marRight w:val="0"/>
      <w:marTop w:val="0"/>
      <w:marBottom w:val="0"/>
      <w:divBdr>
        <w:top w:val="none" w:sz="0" w:space="0" w:color="auto"/>
        <w:left w:val="none" w:sz="0" w:space="0" w:color="auto"/>
        <w:bottom w:val="none" w:sz="0" w:space="0" w:color="auto"/>
        <w:right w:val="none" w:sz="0" w:space="0" w:color="auto"/>
      </w:divBdr>
      <w:divsChild>
        <w:div w:id="183440823">
          <w:marLeft w:val="0"/>
          <w:marRight w:val="0"/>
          <w:marTop w:val="0"/>
          <w:marBottom w:val="240"/>
          <w:divBdr>
            <w:top w:val="none" w:sz="0" w:space="0" w:color="auto"/>
            <w:left w:val="none" w:sz="0" w:space="0" w:color="auto"/>
            <w:bottom w:val="none" w:sz="0" w:space="0" w:color="auto"/>
            <w:right w:val="none" w:sz="0" w:space="0" w:color="auto"/>
          </w:divBdr>
        </w:div>
        <w:div w:id="2003072702">
          <w:marLeft w:val="0"/>
          <w:marRight w:val="0"/>
          <w:marTop w:val="0"/>
          <w:marBottom w:val="240"/>
          <w:divBdr>
            <w:top w:val="none" w:sz="0" w:space="0" w:color="auto"/>
            <w:left w:val="none" w:sz="0" w:space="0" w:color="auto"/>
            <w:bottom w:val="none" w:sz="0" w:space="0" w:color="auto"/>
            <w:right w:val="none" w:sz="0" w:space="0" w:color="auto"/>
          </w:divBdr>
        </w:div>
      </w:divsChild>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14666035">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42771658">
      <w:bodyDiv w:val="1"/>
      <w:marLeft w:val="0"/>
      <w:marRight w:val="0"/>
      <w:marTop w:val="0"/>
      <w:marBottom w:val="0"/>
      <w:divBdr>
        <w:top w:val="none" w:sz="0" w:space="0" w:color="auto"/>
        <w:left w:val="none" w:sz="0" w:space="0" w:color="auto"/>
        <w:bottom w:val="none" w:sz="0" w:space="0" w:color="auto"/>
        <w:right w:val="none" w:sz="0" w:space="0" w:color="auto"/>
      </w:divBdr>
    </w:div>
    <w:div w:id="444496454">
      <w:bodyDiv w:val="1"/>
      <w:marLeft w:val="0"/>
      <w:marRight w:val="0"/>
      <w:marTop w:val="0"/>
      <w:marBottom w:val="0"/>
      <w:divBdr>
        <w:top w:val="none" w:sz="0" w:space="0" w:color="auto"/>
        <w:left w:val="none" w:sz="0" w:space="0" w:color="auto"/>
        <w:bottom w:val="none" w:sz="0" w:space="0" w:color="auto"/>
        <w:right w:val="none" w:sz="0" w:space="0" w:color="auto"/>
      </w:divBdr>
    </w:div>
    <w:div w:id="445387231">
      <w:bodyDiv w:val="1"/>
      <w:marLeft w:val="0"/>
      <w:marRight w:val="0"/>
      <w:marTop w:val="0"/>
      <w:marBottom w:val="0"/>
      <w:divBdr>
        <w:top w:val="none" w:sz="0" w:space="0" w:color="auto"/>
        <w:left w:val="none" w:sz="0" w:space="0" w:color="auto"/>
        <w:bottom w:val="none" w:sz="0" w:space="0" w:color="auto"/>
        <w:right w:val="none" w:sz="0" w:space="0" w:color="auto"/>
      </w:divBdr>
    </w:div>
    <w:div w:id="450787472">
      <w:bodyDiv w:val="1"/>
      <w:marLeft w:val="0"/>
      <w:marRight w:val="0"/>
      <w:marTop w:val="0"/>
      <w:marBottom w:val="0"/>
      <w:divBdr>
        <w:top w:val="none" w:sz="0" w:space="0" w:color="auto"/>
        <w:left w:val="none" w:sz="0" w:space="0" w:color="auto"/>
        <w:bottom w:val="none" w:sz="0" w:space="0" w:color="auto"/>
        <w:right w:val="none" w:sz="0" w:space="0" w:color="auto"/>
      </w:divBdr>
      <w:divsChild>
        <w:div w:id="1753811688">
          <w:marLeft w:val="0"/>
          <w:marRight w:val="0"/>
          <w:marTop w:val="0"/>
          <w:marBottom w:val="240"/>
          <w:divBdr>
            <w:top w:val="none" w:sz="0" w:space="0" w:color="auto"/>
            <w:left w:val="none" w:sz="0" w:space="0" w:color="auto"/>
            <w:bottom w:val="none" w:sz="0" w:space="0" w:color="auto"/>
            <w:right w:val="none" w:sz="0" w:space="0" w:color="auto"/>
          </w:divBdr>
        </w:div>
        <w:div w:id="2016877100">
          <w:marLeft w:val="0"/>
          <w:marRight w:val="0"/>
          <w:marTop w:val="0"/>
          <w:marBottom w:val="240"/>
          <w:divBdr>
            <w:top w:val="none" w:sz="0" w:space="0" w:color="auto"/>
            <w:left w:val="none" w:sz="0" w:space="0" w:color="auto"/>
            <w:bottom w:val="none" w:sz="0" w:space="0" w:color="auto"/>
            <w:right w:val="none" w:sz="0" w:space="0" w:color="auto"/>
          </w:divBdr>
        </w:div>
      </w:divsChild>
    </w:div>
    <w:div w:id="458032030">
      <w:bodyDiv w:val="1"/>
      <w:marLeft w:val="0"/>
      <w:marRight w:val="0"/>
      <w:marTop w:val="0"/>
      <w:marBottom w:val="0"/>
      <w:divBdr>
        <w:top w:val="none" w:sz="0" w:space="0" w:color="auto"/>
        <w:left w:val="none" w:sz="0" w:space="0" w:color="auto"/>
        <w:bottom w:val="none" w:sz="0" w:space="0" w:color="auto"/>
        <w:right w:val="none" w:sz="0" w:space="0" w:color="auto"/>
      </w:divBdr>
    </w:div>
    <w:div w:id="474954492">
      <w:bodyDiv w:val="1"/>
      <w:marLeft w:val="0"/>
      <w:marRight w:val="0"/>
      <w:marTop w:val="0"/>
      <w:marBottom w:val="0"/>
      <w:divBdr>
        <w:top w:val="none" w:sz="0" w:space="0" w:color="auto"/>
        <w:left w:val="none" w:sz="0" w:space="0" w:color="auto"/>
        <w:bottom w:val="none" w:sz="0" w:space="0" w:color="auto"/>
        <w:right w:val="none" w:sz="0" w:space="0" w:color="auto"/>
      </w:divBdr>
    </w:div>
    <w:div w:id="497624691">
      <w:bodyDiv w:val="1"/>
      <w:marLeft w:val="0"/>
      <w:marRight w:val="0"/>
      <w:marTop w:val="0"/>
      <w:marBottom w:val="0"/>
      <w:divBdr>
        <w:top w:val="none" w:sz="0" w:space="0" w:color="auto"/>
        <w:left w:val="none" w:sz="0" w:space="0" w:color="auto"/>
        <w:bottom w:val="none" w:sz="0" w:space="0" w:color="auto"/>
        <w:right w:val="none" w:sz="0" w:space="0" w:color="auto"/>
      </w:divBdr>
    </w:div>
    <w:div w:id="511532148">
      <w:bodyDiv w:val="1"/>
      <w:marLeft w:val="0"/>
      <w:marRight w:val="0"/>
      <w:marTop w:val="0"/>
      <w:marBottom w:val="0"/>
      <w:divBdr>
        <w:top w:val="none" w:sz="0" w:space="0" w:color="auto"/>
        <w:left w:val="none" w:sz="0" w:space="0" w:color="auto"/>
        <w:bottom w:val="none" w:sz="0" w:space="0" w:color="auto"/>
        <w:right w:val="none" w:sz="0" w:space="0" w:color="auto"/>
      </w:divBdr>
    </w:div>
    <w:div w:id="512886256">
      <w:bodyDiv w:val="1"/>
      <w:marLeft w:val="0"/>
      <w:marRight w:val="0"/>
      <w:marTop w:val="0"/>
      <w:marBottom w:val="0"/>
      <w:divBdr>
        <w:top w:val="none" w:sz="0" w:space="0" w:color="auto"/>
        <w:left w:val="none" w:sz="0" w:space="0" w:color="auto"/>
        <w:bottom w:val="none" w:sz="0" w:space="0" w:color="auto"/>
        <w:right w:val="none" w:sz="0" w:space="0" w:color="auto"/>
      </w:divBdr>
    </w:div>
    <w:div w:id="527375781">
      <w:bodyDiv w:val="1"/>
      <w:marLeft w:val="0"/>
      <w:marRight w:val="0"/>
      <w:marTop w:val="0"/>
      <w:marBottom w:val="0"/>
      <w:divBdr>
        <w:top w:val="none" w:sz="0" w:space="0" w:color="auto"/>
        <w:left w:val="none" w:sz="0" w:space="0" w:color="auto"/>
        <w:bottom w:val="none" w:sz="0" w:space="0" w:color="auto"/>
        <w:right w:val="none" w:sz="0" w:space="0" w:color="auto"/>
      </w:divBdr>
    </w:div>
    <w:div w:id="546725663">
      <w:bodyDiv w:val="1"/>
      <w:marLeft w:val="0"/>
      <w:marRight w:val="0"/>
      <w:marTop w:val="0"/>
      <w:marBottom w:val="0"/>
      <w:divBdr>
        <w:top w:val="none" w:sz="0" w:space="0" w:color="auto"/>
        <w:left w:val="none" w:sz="0" w:space="0" w:color="auto"/>
        <w:bottom w:val="none" w:sz="0" w:space="0" w:color="auto"/>
        <w:right w:val="none" w:sz="0" w:space="0" w:color="auto"/>
      </w:divBdr>
    </w:div>
    <w:div w:id="557520653">
      <w:bodyDiv w:val="1"/>
      <w:marLeft w:val="0"/>
      <w:marRight w:val="0"/>
      <w:marTop w:val="0"/>
      <w:marBottom w:val="0"/>
      <w:divBdr>
        <w:top w:val="none" w:sz="0" w:space="0" w:color="auto"/>
        <w:left w:val="none" w:sz="0" w:space="0" w:color="auto"/>
        <w:bottom w:val="none" w:sz="0" w:space="0" w:color="auto"/>
        <w:right w:val="none" w:sz="0" w:space="0" w:color="auto"/>
      </w:divBdr>
    </w:div>
    <w:div w:id="568006022">
      <w:bodyDiv w:val="1"/>
      <w:marLeft w:val="0"/>
      <w:marRight w:val="0"/>
      <w:marTop w:val="0"/>
      <w:marBottom w:val="0"/>
      <w:divBdr>
        <w:top w:val="none" w:sz="0" w:space="0" w:color="auto"/>
        <w:left w:val="none" w:sz="0" w:space="0" w:color="auto"/>
        <w:bottom w:val="none" w:sz="0" w:space="0" w:color="auto"/>
        <w:right w:val="none" w:sz="0" w:space="0" w:color="auto"/>
      </w:divBdr>
    </w:div>
    <w:div w:id="591939877">
      <w:bodyDiv w:val="1"/>
      <w:marLeft w:val="0"/>
      <w:marRight w:val="0"/>
      <w:marTop w:val="0"/>
      <w:marBottom w:val="0"/>
      <w:divBdr>
        <w:top w:val="none" w:sz="0" w:space="0" w:color="auto"/>
        <w:left w:val="none" w:sz="0" w:space="0" w:color="auto"/>
        <w:bottom w:val="none" w:sz="0" w:space="0" w:color="auto"/>
        <w:right w:val="none" w:sz="0" w:space="0" w:color="auto"/>
      </w:divBdr>
    </w:div>
    <w:div w:id="604925885">
      <w:bodyDiv w:val="1"/>
      <w:marLeft w:val="0"/>
      <w:marRight w:val="0"/>
      <w:marTop w:val="0"/>
      <w:marBottom w:val="0"/>
      <w:divBdr>
        <w:top w:val="none" w:sz="0" w:space="0" w:color="auto"/>
        <w:left w:val="none" w:sz="0" w:space="0" w:color="auto"/>
        <w:bottom w:val="none" w:sz="0" w:space="0" w:color="auto"/>
        <w:right w:val="none" w:sz="0" w:space="0" w:color="auto"/>
      </w:divBdr>
    </w:div>
    <w:div w:id="626205780">
      <w:bodyDiv w:val="1"/>
      <w:marLeft w:val="0"/>
      <w:marRight w:val="0"/>
      <w:marTop w:val="0"/>
      <w:marBottom w:val="0"/>
      <w:divBdr>
        <w:top w:val="none" w:sz="0" w:space="0" w:color="auto"/>
        <w:left w:val="none" w:sz="0" w:space="0" w:color="auto"/>
        <w:bottom w:val="none" w:sz="0" w:space="0" w:color="auto"/>
        <w:right w:val="none" w:sz="0" w:space="0" w:color="auto"/>
      </w:divBdr>
    </w:div>
    <w:div w:id="641152539">
      <w:bodyDiv w:val="1"/>
      <w:marLeft w:val="0"/>
      <w:marRight w:val="0"/>
      <w:marTop w:val="0"/>
      <w:marBottom w:val="0"/>
      <w:divBdr>
        <w:top w:val="none" w:sz="0" w:space="0" w:color="auto"/>
        <w:left w:val="none" w:sz="0" w:space="0" w:color="auto"/>
        <w:bottom w:val="none" w:sz="0" w:space="0" w:color="auto"/>
        <w:right w:val="none" w:sz="0" w:space="0" w:color="auto"/>
      </w:divBdr>
      <w:divsChild>
        <w:div w:id="209462944">
          <w:marLeft w:val="0"/>
          <w:marRight w:val="0"/>
          <w:marTop w:val="0"/>
          <w:marBottom w:val="0"/>
          <w:divBdr>
            <w:top w:val="none" w:sz="0" w:space="0" w:color="auto"/>
            <w:left w:val="none" w:sz="0" w:space="0" w:color="auto"/>
            <w:bottom w:val="none" w:sz="0" w:space="0" w:color="auto"/>
            <w:right w:val="none" w:sz="0" w:space="0" w:color="auto"/>
          </w:divBdr>
          <w:divsChild>
            <w:div w:id="972053414">
              <w:marLeft w:val="0"/>
              <w:marRight w:val="0"/>
              <w:marTop w:val="0"/>
              <w:marBottom w:val="0"/>
              <w:divBdr>
                <w:top w:val="none" w:sz="0" w:space="0" w:color="auto"/>
                <w:left w:val="none" w:sz="0" w:space="0" w:color="auto"/>
                <w:bottom w:val="none" w:sz="0" w:space="0" w:color="auto"/>
                <w:right w:val="none" w:sz="0" w:space="0" w:color="auto"/>
              </w:divBdr>
            </w:div>
          </w:divsChild>
        </w:div>
        <w:div w:id="269558065">
          <w:marLeft w:val="0"/>
          <w:marRight w:val="0"/>
          <w:marTop w:val="0"/>
          <w:marBottom w:val="0"/>
          <w:divBdr>
            <w:top w:val="none" w:sz="0" w:space="0" w:color="auto"/>
            <w:left w:val="none" w:sz="0" w:space="0" w:color="auto"/>
            <w:bottom w:val="none" w:sz="0" w:space="0" w:color="auto"/>
            <w:right w:val="none" w:sz="0" w:space="0" w:color="auto"/>
          </w:divBdr>
          <w:divsChild>
            <w:div w:id="30619395">
              <w:marLeft w:val="0"/>
              <w:marRight w:val="0"/>
              <w:marTop w:val="0"/>
              <w:marBottom w:val="0"/>
              <w:divBdr>
                <w:top w:val="none" w:sz="0" w:space="0" w:color="auto"/>
                <w:left w:val="none" w:sz="0" w:space="0" w:color="auto"/>
                <w:bottom w:val="none" w:sz="0" w:space="0" w:color="auto"/>
                <w:right w:val="none" w:sz="0" w:space="0" w:color="auto"/>
              </w:divBdr>
            </w:div>
            <w:div w:id="942149036">
              <w:marLeft w:val="0"/>
              <w:marRight w:val="0"/>
              <w:marTop w:val="0"/>
              <w:marBottom w:val="0"/>
              <w:divBdr>
                <w:top w:val="none" w:sz="0" w:space="0" w:color="auto"/>
                <w:left w:val="none" w:sz="0" w:space="0" w:color="auto"/>
                <w:bottom w:val="none" w:sz="0" w:space="0" w:color="auto"/>
                <w:right w:val="none" w:sz="0" w:space="0" w:color="auto"/>
              </w:divBdr>
            </w:div>
            <w:div w:id="1290630358">
              <w:marLeft w:val="0"/>
              <w:marRight w:val="0"/>
              <w:marTop w:val="0"/>
              <w:marBottom w:val="0"/>
              <w:divBdr>
                <w:top w:val="none" w:sz="0" w:space="0" w:color="auto"/>
                <w:left w:val="none" w:sz="0" w:space="0" w:color="auto"/>
                <w:bottom w:val="none" w:sz="0" w:space="0" w:color="auto"/>
                <w:right w:val="none" w:sz="0" w:space="0" w:color="auto"/>
              </w:divBdr>
            </w:div>
            <w:div w:id="1497960404">
              <w:marLeft w:val="0"/>
              <w:marRight w:val="0"/>
              <w:marTop w:val="0"/>
              <w:marBottom w:val="0"/>
              <w:divBdr>
                <w:top w:val="none" w:sz="0" w:space="0" w:color="auto"/>
                <w:left w:val="none" w:sz="0" w:space="0" w:color="auto"/>
                <w:bottom w:val="none" w:sz="0" w:space="0" w:color="auto"/>
                <w:right w:val="none" w:sz="0" w:space="0" w:color="auto"/>
              </w:divBdr>
            </w:div>
          </w:divsChild>
        </w:div>
        <w:div w:id="399207240">
          <w:marLeft w:val="0"/>
          <w:marRight w:val="0"/>
          <w:marTop w:val="0"/>
          <w:marBottom w:val="0"/>
          <w:divBdr>
            <w:top w:val="none" w:sz="0" w:space="0" w:color="auto"/>
            <w:left w:val="none" w:sz="0" w:space="0" w:color="auto"/>
            <w:bottom w:val="none" w:sz="0" w:space="0" w:color="auto"/>
            <w:right w:val="none" w:sz="0" w:space="0" w:color="auto"/>
          </w:divBdr>
          <w:divsChild>
            <w:div w:id="189684210">
              <w:marLeft w:val="0"/>
              <w:marRight w:val="0"/>
              <w:marTop w:val="0"/>
              <w:marBottom w:val="0"/>
              <w:divBdr>
                <w:top w:val="none" w:sz="0" w:space="0" w:color="auto"/>
                <w:left w:val="none" w:sz="0" w:space="0" w:color="auto"/>
                <w:bottom w:val="none" w:sz="0" w:space="0" w:color="auto"/>
                <w:right w:val="none" w:sz="0" w:space="0" w:color="auto"/>
              </w:divBdr>
            </w:div>
            <w:div w:id="515272879">
              <w:marLeft w:val="0"/>
              <w:marRight w:val="0"/>
              <w:marTop w:val="0"/>
              <w:marBottom w:val="0"/>
              <w:divBdr>
                <w:top w:val="none" w:sz="0" w:space="0" w:color="auto"/>
                <w:left w:val="none" w:sz="0" w:space="0" w:color="auto"/>
                <w:bottom w:val="none" w:sz="0" w:space="0" w:color="auto"/>
                <w:right w:val="none" w:sz="0" w:space="0" w:color="auto"/>
              </w:divBdr>
            </w:div>
            <w:div w:id="867836798">
              <w:marLeft w:val="0"/>
              <w:marRight w:val="0"/>
              <w:marTop w:val="0"/>
              <w:marBottom w:val="0"/>
              <w:divBdr>
                <w:top w:val="none" w:sz="0" w:space="0" w:color="auto"/>
                <w:left w:val="none" w:sz="0" w:space="0" w:color="auto"/>
                <w:bottom w:val="none" w:sz="0" w:space="0" w:color="auto"/>
                <w:right w:val="none" w:sz="0" w:space="0" w:color="auto"/>
              </w:divBdr>
            </w:div>
            <w:div w:id="870188031">
              <w:marLeft w:val="0"/>
              <w:marRight w:val="0"/>
              <w:marTop w:val="0"/>
              <w:marBottom w:val="0"/>
              <w:divBdr>
                <w:top w:val="none" w:sz="0" w:space="0" w:color="auto"/>
                <w:left w:val="none" w:sz="0" w:space="0" w:color="auto"/>
                <w:bottom w:val="none" w:sz="0" w:space="0" w:color="auto"/>
                <w:right w:val="none" w:sz="0" w:space="0" w:color="auto"/>
              </w:divBdr>
            </w:div>
            <w:div w:id="1088502226">
              <w:marLeft w:val="0"/>
              <w:marRight w:val="0"/>
              <w:marTop w:val="0"/>
              <w:marBottom w:val="0"/>
              <w:divBdr>
                <w:top w:val="none" w:sz="0" w:space="0" w:color="auto"/>
                <w:left w:val="none" w:sz="0" w:space="0" w:color="auto"/>
                <w:bottom w:val="none" w:sz="0" w:space="0" w:color="auto"/>
                <w:right w:val="none" w:sz="0" w:space="0" w:color="auto"/>
              </w:divBdr>
            </w:div>
            <w:div w:id="1586571992">
              <w:marLeft w:val="0"/>
              <w:marRight w:val="0"/>
              <w:marTop w:val="0"/>
              <w:marBottom w:val="0"/>
              <w:divBdr>
                <w:top w:val="none" w:sz="0" w:space="0" w:color="auto"/>
                <w:left w:val="none" w:sz="0" w:space="0" w:color="auto"/>
                <w:bottom w:val="none" w:sz="0" w:space="0" w:color="auto"/>
                <w:right w:val="none" w:sz="0" w:space="0" w:color="auto"/>
              </w:divBdr>
            </w:div>
          </w:divsChild>
        </w:div>
        <w:div w:id="435634296">
          <w:marLeft w:val="0"/>
          <w:marRight w:val="0"/>
          <w:marTop w:val="0"/>
          <w:marBottom w:val="0"/>
          <w:divBdr>
            <w:top w:val="none" w:sz="0" w:space="0" w:color="auto"/>
            <w:left w:val="none" w:sz="0" w:space="0" w:color="auto"/>
            <w:bottom w:val="none" w:sz="0" w:space="0" w:color="auto"/>
            <w:right w:val="none" w:sz="0" w:space="0" w:color="auto"/>
          </w:divBdr>
          <w:divsChild>
            <w:div w:id="106314759">
              <w:marLeft w:val="0"/>
              <w:marRight w:val="0"/>
              <w:marTop w:val="0"/>
              <w:marBottom w:val="0"/>
              <w:divBdr>
                <w:top w:val="none" w:sz="0" w:space="0" w:color="auto"/>
                <w:left w:val="none" w:sz="0" w:space="0" w:color="auto"/>
                <w:bottom w:val="none" w:sz="0" w:space="0" w:color="auto"/>
                <w:right w:val="none" w:sz="0" w:space="0" w:color="auto"/>
              </w:divBdr>
            </w:div>
            <w:div w:id="777287215">
              <w:marLeft w:val="0"/>
              <w:marRight w:val="0"/>
              <w:marTop w:val="0"/>
              <w:marBottom w:val="0"/>
              <w:divBdr>
                <w:top w:val="none" w:sz="0" w:space="0" w:color="auto"/>
                <w:left w:val="none" w:sz="0" w:space="0" w:color="auto"/>
                <w:bottom w:val="none" w:sz="0" w:space="0" w:color="auto"/>
                <w:right w:val="none" w:sz="0" w:space="0" w:color="auto"/>
              </w:divBdr>
            </w:div>
            <w:div w:id="1806000266">
              <w:marLeft w:val="0"/>
              <w:marRight w:val="0"/>
              <w:marTop w:val="0"/>
              <w:marBottom w:val="0"/>
              <w:divBdr>
                <w:top w:val="none" w:sz="0" w:space="0" w:color="auto"/>
                <w:left w:val="none" w:sz="0" w:space="0" w:color="auto"/>
                <w:bottom w:val="none" w:sz="0" w:space="0" w:color="auto"/>
                <w:right w:val="none" w:sz="0" w:space="0" w:color="auto"/>
              </w:divBdr>
            </w:div>
          </w:divsChild>
        </w:div>
        <w:div w:id="449936164">
          <w:marLeft w:val="0"/>
          <w:marRight w:val="0"/>
          <w:marTop w:val="0"/>
          <w:marBottom w:val="0"/>
          <w:divBdr>
            <w:top w:val="none" w:sz="0" w:space="0" w:color="auto"/>
            <w:left w:val="none" w:sz="0" w:space="0" w:color="auto"/>
            <w:bottom w:val="none" w:sz="0" w:space="0" w:color="auto"/>
            <w:right w:val="none" w:sz="0" w:space="0" w:color="auto"/>
          </w:divBdr>
          <w:divsChild>
            <w:div w:id="301934474">
              <w:marLeft w:val="0"/>
              <w:marRight w:val="0"/>
              <w:marTop w:val="0"/>
              <w:marBottom w:val="0"/>
              <w:divBdr>
                <w:top w:val="none" w:sz="0" w:space="0" w:color="auto"/>
                <w:left w:val="none" w:sz="0" w:space="0" w:color="auto"/>
                <w:bottom w:val="none" w:sz="0" w:space="0" w:color="auto"/>
                <w:right w:val="none" w:sz="0" w:space="0" w:color="auto"/>
              </w:divBdr>
            </w:div>
            <w:div w:id="502208231">
              <w:marLeft w:val="0"/>
              <w:marRight w:val="0"/>
              <w:marTop w:val="0"/>
              <w:marBottom w:val="0"/>
              <w:divBdr>
                <w:top w:val="none" w:sz="0" w:space="0" w:color="auto"/>
                <w:left w:val="none" w:sz="0" w:space="0" w:color="auto"/>
                <w:bottom w:val="none" w:sz="0" w:space="0" w:color="auto"/>
                <w:right w:val="none" w:sz="0" w:space="0" w:color="auto"/>
              </w:divBdr>
            </w:div>
            <w:div w:id="605356598">
              <w:marLeft w:val="0"/>
              <w:marRight w:val="0"/>
              <w:marTop w:val="0"/>
              <w:marBottom w:val="0"/>
              <w:divBdr>
                <w:top w:val="none" w:sz="0" w:space="0" w:color="auto"/>
                <w:left w:val="none" w:sz="0" w:space="0" w:color="auto"/>
                <w:bottom w:val="none" w:sz="0" w:space="0" w:color="auto"/>
                <w:right w:val="none" w:sz="0" w:space="0" w:color="auto"/>
              </w:divBdr>
            </w:div>
            <w:div w:id="1305699485">
              <w:marLeft w:val="0"/>
              <w:marRight w:val="0"/>
              <w:marTop w:val="0"/>
              <w:marBottom w:val="0"/>
              <w:divBdr>
                <w:top w:val="none" w:sz="0" w:space="0" w:color="auto"/>
                <w:left w:val="none" w:sz="0" w:space="0" w:color="auto"/>
                <w:bottom w:val="none" w:sz="0" w:space="0" w:color="auto"/>
                <w:right w:val="none" w:sz="0" w:space="0" w:color="auto"/>
              </w:divBdr>
            </w:div>
            <w:div w:id="1610968796">
              <w:marLeft w:val="0"/>
              <w:marRight w:val="0"/>
              <w:marTop w:val="0"/>
              <w:marBottom w:val="0"/>
              <w:divBdr>
                <w:top w:val="none" w:sz="0" w:space="0" w:color="auto"/>
                <w:left w:val="none" w:sz="0" w:space="0" w:color="auto"/>
                <w:bottom w:val="none" w:sz="0" w:space="0" w:color="auto"/>
                <w:right w:val="none" w:sz="0" w:space="0" w:color="auto"/>
              </w:divBdr>
            </w:div>
            <w:div w:id="1893425610">
              <w:marLeft w:val="0"/>
              <w:marRight w:val="0"/>
              <w:marTop w:val="0"/>
              <w:marBottom w:val="0"/>
              <w:divBdr>
                <w:top w:val="none" w:sz="0" w:space="0" w:color="auto"/>
                <w:left w:val="none" w:sz="0" w:space="0" w:color="auto"/>
                <w:bottom w:val="none" w:sz="0" w:space="0" w:color="auto"/>
                <w:right w:val="none" w:sz="0" w:space="0" w:color="auto"/>
              </w:divBdr>
            </w:div>
          </w:divsChild>
        </w:div>
        <w:div w:id="461388876">
          <w:marLeft w:val="0"/>
          <w:marRight w:val="0"/>
          <w:marTop w:val="0"/>
          <w:marBottom w:val="0"/>
          <w:divBdr>
            <w:top w:val="none" w:sz="0" w:space="0" w:color="auto"/>
            <w:left w:val="none" w:sz="0" w:space="0" w:color="auto"/>
            <w:bottom w:val="none" w:sz="0" w:space="0" w:color="auto"/>
            <w:right w:val="none" w:sz="0" w:space="0" w:color="auto"/>
          </w:divBdr>
          <w:divsChild>
            <w:div w:id="1703020191">
              <w:marLeft w:val="0"/>
              <w:marRight w:val="0"/>
              <w:marTop w:val="0"/>
              <w:marBottom w:val="0"/>
              <w:divBdr>
                <w:top w:val="none" w:sz="0" w:space="0" w:color="auto"/>
                <w:left w:val="none" w:sz="0" w:space="0" w:color="auto"/>
                <w:bottom w:val="none" w:sz="0" w:space="0" w:color="auto"/>
                <w:right w:val="none" w:sz="0" w:space="0" w:color="auto"/>
              </w:divBdr>
            </w:div>
          </w:divsChild>
        </w:div>
        <w:div w:id="470246681">
          <w:marLeft w:val="0"/>
          <w:marRight w:val="0"/>
          <w:marTop w:val="0"/>
          <w:marBottom w:val="0"/>
          <w:divBdr>
            <w:top w:val="none" w:sz="0" w:space="0" w:color="auto"/>
            <w:left w:val="none" w:sz="0" w:space="0" w:color="auto"/>
            <w:bottom w:val="none" w:sz="0" w:space="0" w:color="auto"/>
            <w:right w:val="none" w:sz="0" w:space="0" w:color="auto"/>
          </w:divBdr>
          <w:divsChild>
            <w:div w:id="598375415">
              <w:marLeft w:val="0"/>
              <w:marRight w:val="0"/>
              <w:marTop w:val="0"/>
              <w:marBottom w:val="0"/>
              <w:divBdr>
                <w:top w:val="none" w:sz="0" w:space="0" w:color="auto"/>
                <w:left w:val="none" w:sz="0" w:space="0" w:color="auto"/>
                <w:bottom w:val="none" w:sz="0" w:space="0" w:color="auto"/>
                <w:right w:val="none" w:sz="0" w:space="0" w:color="auto"/>
              </w:divBdr>
            </w:div>
            <w:div w:id="1580141009">
              <w:marLeft w:val="0"/>
              <w:marRight w:val="0"/>
              <w:marTop w:val="0"/>
              <w:marBottom w:val="0"/>
              <w:divBdr>
                <w:top w:val="none" w:sz="0" w:space="0" w:color="auto"/>
                <w:left w:val="none" w:sz="0" w:space="0" w:color="auto"/>
                <w:bottom w:val="none" w:sz="0" w:space="0" w:color="auto"/>
                <w:right w:val="none" w:sz="0" w:space="0" w:color="auto"/>
              </w:divBdr>
            </w:div>
            <w:div w:id="1669097110">
              <w:marLeft w:val="0"/>
              <w:marRight w:val="0"/>
              <w:marTop w:val="0"/>
              <w:marBottom w:val="0"/>
              <w:divBdr>
                <w:top w:val="none" w:sz="0" w:space="0" w:color="auto"/>
                <w:left w:val="none" w:sz="0" w:space="0" w:color="auto"/>
                <w:bottom w:val="none" w:sz="0" w:space="0" w:color="auto"/>
                <w:right w:val="none" w:sz="0" w:space="0" w:color="auto"/>
              </w:divBdr>
            </w:div>
            <w:div w:id="1829664946">
              <w:marLeft w:val="0"/>
              <w:marRight w:val="0"/>
              <w:marTop w:val="0"/>
              <w:marBottom w:val="0"/>
              <w:divBdr>
                <w:top w:val="none" w:sz="0" w:space="0" w:color="auto"/>
                <w:left w:val="none" w:sz="0" w:space="0" w:color="auto"/>
                <w:bottom w:val="none" w:sz="0" w:space="0" w:color="auto"/>
                <w:right w:val="none" w:sz="0" w:space="0" w:color="auto"/>
              </w:divBdr>
            </w:div>
          </w:divsChild>
        </w:div>
        <w:div w:id="518811331">
          <w:marLeft w:val="0"/>
          <w:marRight w:val="0"/>
          <w:marTop w:val="0"/>
          <w:marBottom w:val="0"/>
          <w:divBdr>
            <w:top w:val="none" w:sz="0" w:space="0" w:color="auto"/>
            <w:left w:val="none" w:sz="0" w:space="0" w:color="auto"/>
            <w:bottom w:val="none" w:sz="0" w:space="0" w:color="auto"/>
            <w:right w:val="none" w:sz="0" w:space="0" w:color="auto"/>
          </w:divBdr>
          <w:divsChild>
            <w:div w:id="1492523728">
              <w:marLeft w:val="0"/>
              <w:marRight w:val="0"/>
              <w:marTop w:val="0"/>
              <w:marBottom w:val="0"/>
              <w:divBdr>
                <w:top w:val="none" w:sz="0" w:space="0" w:color="auto"/>
                <w:left w:val="none" w:sz="0" w:space="0" w:color="auto"/>
                <w:bottom w:val="none" w:sz="0" w:space="0" w:color="auto"/>
                <w:right w:val="none" w:sz="0" w:space="0" w:color="auto"/>
              </w:divBdr>
            </w:div>
          </w:divsChild>
        </w:div>
        <w:div w:id="529495142">
          <w:marLeft w:val="0"/>
          <w:marRight w:val="0"/>
          <w:marTop w:val="0"/>
          <w:marBottom w:val="0"/>
          <w:divBdr>
            <w:top w:val="none" w:sz="0" w:space="0" w:color="auto"/>
            <w:left w:val="none" w:sz="0" w:space="0" w:color="auto"/>
            <w:bottom w:val="none" w:sz="0" w:space="0" w:color="auto"/>
            <w:right w:val="none" w:sz="0" w:space="0" w:color="auto"/>
          </w:divBdr>
          <w:divsChild>
            <w:div w:id="95171645">
              <w:marLeft w:val="0"/>
              <w:marRight w:val="0"/>
              <w:marTop w:val="0"/>
              <w:marBottom w:val="0"/>
              <w:divBdr>
                <w:top w:val="none" w:sz="0" w:space="0" w:color="auto"/>
                <w:left w:val="none" w:sz="0" w:space="0" w:color="auto"/>
                <w:bottom w:val="none" w:sz="0" w:space="0" w:color="auto"/>
                <w:right w:val="none" w:sz="0" w:space="0" w:color="auto"/>
              </w:divBdr>
            </w:div>
            <w:div w:id="442967724">
              <w:marLeft w:val="0"/>
              <w:marRight w:val="0"/>
              <w:marTop w:val="0"/>
              <w:marBottom w:val="0"/>
              <w:divBdr>
                <w:top w:val="none" w:sz="0" w:space="0" w:color="auto"/>
                <w:left w:val="none" w:sz="0" w:space="0" w:color="auto"/>
                <w:bottom w:val="none" w:sz="0" w:space="0" w:color="auto"/>
                <w:right w:val="none" w:sz="0" w:space="0" w:color="auto"/>
              </w:divBdr>
            </w:div>
            <w:div w:id="1032149291">
              <w:marLeft w:val="0"/>
              <w:marRight w:val="0"/>
              <w:marTop w:val="0"/>
              <w:marBottom w:val="0"/>
              <w:divBdr>
                <w:top w:val="none" w:sz="0" w:space="0" w:color="auto"/>
                <w:left w:val="none" w:sz="0" w:space="0" w:color="auto"/>
                <w:bottom w:val="none" w:sz="0" w:space="0" w:color="auto"/>
                <w:right w:val="none" w:sz="0" w:space="0" w:color="auto"/>
              </w:divBdr>
            </w:div>
            <w:div w:id="1139686237">
              <w:marLeft w:val="0"/>
              <w:marRight w:val="0"/>
              <w:marTop w:val="0"/>
              <w:marBottom w:val="0"/>
              <w:divBdr>
                <w:top w:val="none" w:sz="0" w:space="0" w:color="auto"/>
                <w:left w:val="none" w:sz="0" w:space="0" w:color="auto"/>
                <w:bottom w:val="none" w:sz="0" w:space="0" w:color="auto"/>
                <w:right w:val="none" w:sz="0" w:space="0" w:color="auto"/>
              </w:divBdr>
            </w:div>
            <w:div w:id="1327711682">
              <w:marLeft w:val="0"/>
              <w:marRight w:val="0"/>
              <w:marTop w:val="0"/>
              <w:marBottom w:val="0"/>
              <w:divBdr>
                <w:top w:val="none" w:sz="0" w:space="0" w:color="auto"/>
                <w:left w:val="none" w:sz="0" w:space="0" w:color="auto"/>
                <w:bottom w:val="none" w:sz="0" w:space="0" w:color="auto"/>
                <w:right w:val="none" w:sz="0" w:space="0" w:color="auto"/>
              </w:divBdr>
            </w:div>
            <w:div w:id="1589726245">
              <w:marLeft w:val="0"/>
              <w:marRight w:val="0"/>
              <w:marTop w:val="0"/>
              <w:marBottom w:val="0"/>
              <w:divBdr>
                <w:top w:val="none" w:sz="0" w:space="0" w:color="auto"/>
                <w:left w:val="none" w:sz="0" w:space="0" w:color="auto"/>
                <w:bottom w:val="none" w:sz="0" w:space="0" w:color="auto"/>
                <w:right w:val="none" w:sz="0" w:space="0" w:color="auto"/>
              </w:divBdr>
            </w:div>
          </w:divsChild>
        </w:div>
        <w:div w:id="531724723">
          <w:marLeft w:val="0"/>
          <w:marRight w:val="0"/>
          <w:marTop w:val="0"/>
          <w:marBottom w:val="0"/>
          <w:divBdr>
            <w:top w:val="none" w:sz="0" w:space="0" w:color="auto"/>
            <w:left w:val="none" w:sz="0" w:space="0" w:color="auto"/>
            <w:bottom w:val="none" w:sz="0" w:space="0" w:color="auto"/>
            <w:right w:val="none" w:sz="0" w:space="0" w:color="auto"/>
          </w:divBdr>
          <w:divsChild>
            <w:div w:id="627125005">
              <w:marLeft w:val="0"/>
              <w:marRight w:val="0"/>
              <w:marTop w:val="0"/>
              <w:marBottom w:val="0"/>
              <w:divBdr>
                <w:top w:val="none" w:sz="0" w:space="0" w:color="auto"/>
                <w:left w:val="none" w:sz="0" w:space="0" w:color="auto"/>
                <w:bottom w:val="none" w:sz="0" w:space="0" w:color="auto"/>
                <w:right w:val="none" w:sz="0" w:space="0" w:color="auto"/>
              </w:divBdr>
            </w:div>
            <w:div w:id="653725139">
              <w:marLeft w:val="0"/>
              <w:marRight w:val="0"/>
              <w:marTop w:val="0"/>
              <w:marBottom w:val="0"/>
              <w:divBdr>
                <w:top w:val="none" w:sz="0" w:space="0" w:color="auto"/>
                <w:left w:val="none" w:sz="0" w:space="0" w:color="auto"/>
                <w:bottom w:val="none" w:sz="0" w:space="0" w:color="auto"/>
                <w:right w:val="none" w:sz="0" w:space="0" w:color="auto"/>
              </w:divBdr>
            </w:div>
            <w:div w:id="904873773">
              <w:marLeft w:val="0"/>
              <w:marRight w:val="0"/>
              <w:marTop w:val="0"/>
              <w:marBottom w:val="0"/>
              <w:divBdr>
                <w:top w:val="none" w:sz="0" w:space="0" w:color="auto"/>
                <w:left w:val="none" w:sz="0" w:space="0" w:color="auto"/>
                <w:bottom w:val="none" w:sz="0" w:space="0" w:color="auto"/>
                <w:right w:val="none" w:sz="0" w:space="0" w:color="auto"/>
              </w:divBdr>
            </w:div>
            <w:div w:id="1841310304">
              <w:marLeft w:val="0"/>
              <w:marRight w:val="0"/>
              <w:marTop w:val="0"/>
              <w:marBottom w:val="0"/>
              <w:divBdr>
                <w:top w:val="none" w:sz="0" w:space="0" w:color="auto"/>
                <w:left w:val="none" w:sz="0" w:space="0" w:color="auto"/>
                <w:bottom w:val="none" w:sz="0" w:space="0" w:color="auto"/>
                <w:right w:val="none" w:sz="0" w:space="0" w:color="auto"/>
              </w:divBdr>
            </w:div>
            <w:div w:id="2060008937">
              <w:marLeft w:val="0"/>
              <w:marRight w:val="0"/>
              <w:marTop w:val="0"/>
              <w:marBottom w:val="0"/>
              <w:divBdr>
                <w:top w:val="none" w:sz="0" w:space="0" w:color="auto"/>
                <w:left w:val="none" w:sz="0" w:space="0" w:color="auto"/>
                <w:bottom w:val="none" w:sz="0" w:space="0" w:color="auto"/>
                <w:right w:val="none" w:sz="0" w:space="0" w:color="auto"/>
              </w:divBdr>
            </w:div>
          </w:divsChild>
        </w:div>
        <w:div w:id="680622835">
          <w:marLeft w:val="0"/>
          <w:marRight w:val="0"/>
          <w:marTop w:val="0"/>
          <w:marBottom w:val="0"/>
          <w:divBdr>
            <w:top w:val="none" w:sz="0" w:space="0" w:color="auto"/>
            <w:left w:val="none" w:sz="0" w:space="0" w:color="auto"/>
            <w:bottom w:val="none" w:sz="0" w:space="0" w:color="auto"/>
            <w:right w:val="none" w:sz="0" w:space="0" w:color="auto"/>
          </w:divBdr>
          <w:divsChild>
            <w:div w:id="1776947909">
              <w:marLeft w:val="0"/>
              <w:marRight w:val="0"/>
              <w:marTop w:val="0"/>
              <w:marBottom w:val="0"/>
              <w:divBdr>
                <w:top w:val="none" w:sz="0" w:space="0" w:color="auto"/>
                <w:left w:val="none" w:sz="0" w:space="0" w:color="auto"/>
                <w:bottom w:val="none" w:sz="0" w:space="0" w:color="auto"/>
                <w:right w:val="none" w:sz="0" w:space="0" w:color="auto"/>
              </w:divBdr>
            </w:div>
          </w:divsChild>
        </w:div>
        <w:div w:id="695161874">
          <w:marLeft w:val="0"/>
          <w:marRight w:val="0"/>
          <w:marTop w:val="0"/>
          <w:marBottom w:val="0"/>
          <w:divBdr>
            <w:top w:val="none" w:sz="0" w:space="0" w:color="auto"/>
            <w:left w:val="none" w:sz="0" w:space="0" w:color="auto"/>
            <w:bottom w:val="none" w:sz="0" w:space="0" w:color="auto"/>
            <w:right w:val="none" w:sz="0" w:space="0" w:color="auto"/>
          </w:divBdr>
          <w:divsChild>
            <w:div w:id="487788993">
              <w:marLeft w:val="0"/>
              <w:marRight w:val="0"/>
              <w:marTop w:val="0"/>
              <w:marBottom w:val="0"/>
              <w:divBdr>
                <w:top w:val="none" w:sz="0" w:space="0" w:color="auto"/>
                <w:left w:val="none" w:sz="0" w:space="0" w:color="auto"/>
                <w:bottom w:val="none" w:sz="0" w:space="0" w:color="auto"/>
                <w:right w:val="none" w:sz="0" w:space="0" w:color="auto"/>
              </w:divBdr>
            </w:div>
            <w:div w:id="638845070">
              <w:marLeft w:val="0"/>
              <w:marRight w:val="0"/>
              <w:marTop w:val="0"/>
              <w:marBottom w:val="0"/>
              <w:divBdr>
                <w:top w:val="none" w:sz="0" w:space="0" w:color="auto"/>
                <w:left w:val="none" w:sz="0" w:space="0" w:color="auto"/>
                <w:bottom w:val="none" w:sz="0" w:space="0" w:color="auto"/>
                <w:right w:val="none" w:sz="0" w:space="0" w:color="auto"/>
              </w:divBdr>
            </w:div>
            <w:div w:id="758477553">
              <w:marLeft w:val="0"/>
              <w:marRight w:val="0"/>
              <w:marTop w:val="0"/>
              <w:marBottom w:val="0"/>
              <w:divBdr>
                <w:top w:val="none" w:sz="0" w:space="0" w:color="auto"/>
                <w:left w:val="none" w:sz="0" w:space="0" w:color="auto"/>
                <w:bottom w:val="none" w:sz="0" w:space="0" w:color="auto"/>
                <w:right w:val="none" w:sz="0" w:space="0" w:color="auto"/>
              </w:divBdr>
            </w:div>
            <w:div w:id="1099368513">
              <w:marLeft w:val="0"/>
              <w:marRight w:val="0"/>
              <w:marTop w:val="0"/>
              <w:marBottom w:val="0"/>
              <w:divBdr>
                <w:top w:val="none" w:sz="0" w:space="0" w:color="auto"/>
                <w:left w:val="none" w:sz="0" w:space="0" w:color="auto"/>
                <w:bottom w:val="none" w:sz="0" w:space="0" w:color="auto"/>
                <w:right w:val="none" w:sz="0" w:space="0" w:color="auto"/>
              </w:divBdr>
            </w:div>
            <w:div w:id="1943611282">
              <w:marLeft w:val="0"/>
              <w:marRight w:val="0"/>
              <w:marTop w:val="0"/>
              <w:marBottom w:val="0"/>
              <w:divBdr>
                <w:top w:val="none" w:sz="0" w:space="0" w:color="auto"/>
                <w:left w:val="none" w:sz="0" w:space="0" w:color="auto"/>
                <w:bottom w:val="none" w:sz="0" w:space="0" w:color="auto"/>
                <w:right w:val="none" w:sz="0" w:space="0" w:color="auto"/>
              </w:divBdr>
            </w:div>
          </w:divsChild>
        </w:div>
        <w:div w:id="771321187">
          <w:marLeft w:val="0"/>
          <w:marRight w:val="0"/>
          <w:marTop w:val="0"/>
          <w:marBottom w:val="0"/>
          <w:divBdr>
            <w:top w:val="none" w:sz="0" w:space="0" w:color="auto"/>
            <w:left w:val="none" w:sz="0" w:space="0" w:color="auto"/>
            <w:bottom w:val="none" w:sz="0" w:space="0" w:color="auto"/>
            <w:right w:val="none" w:sz="0" w:space="0" w:color="auto"/>
          </w:divBdr>
          <w:divsChild>
            <w:div w:id="1079988407">
              <w:marLeft w:val="0"/>
              <w:marRight w:val="0"/>
              <w:marTop w:val="0"/>
              <w:marBottom w:val="0"/>
              <w:divBdr>
                <w:top w:val="none" w:sz="0" w:space="0" w:color="auto"/>
                <w:left w:val="none" w:sz="0" w:space="0" w:color="auto"/>
                <w:bottom w:val="none" w:sz="0" w:space="0" w:color="auto"/>
                <w:right w:val="none" w:sz="0" w:space="0" w:color="auto"/>
              </w:divBdr>
            </w:div>
          </w:divsChild>
        </w:div>
        <w:div w:id="918173570">
          <w:marLeft w:val="0"/>
          <w:marRight w:val="0"/>
          <w:marTop w:val="0"/>
          <w:marBottom w:val="0"/>
          <w:divBdr>
            <w:top w:val="none" w:sz="0" w:space="0" w:color="auto"/>
            <w:left w:val="none" w:sz="0" w:space="0" w:color="auto"/>
            <w:bottom w:val="none" w:sz="0" w:space="0" w:color="auto"/>
            <w:right w:val="none" w:sz="0" w:space="0" w:color="auto"/>
          </w:divBdr>
          <w:divsChild>
            <w:div w:id="253589802">
              <w:marLeft w:val="0"/>
              <w:marRight w:val="0"/>
              <w:marTop w:val="0"/>
              <w:marBottom w:val="0"/>
              <w:divBdr>
                <w:top w:val="none" w:sz="0" w:space="0" w:color="auto"/>
                <w:left w:val="none" w:sz="0" w:space="0" w:color="auto"/>
                <w:bottom w:val="none" w:sz="0" w:space="0" w:color="auto"/>
                <w:right w:val="none" w:sz="0" w:space="0" w:color="auto"/>
              </w:divBdr>
            </w:div>
            <w:div w:id="491486274">
              <w:marLeft w:val="0"/>
              <w:marRight w:val="0"/>
              <w:marTop w:val="0"/>
              <w:marBottom w:val="0"/>
              <w:divBdr>
                <w:top w:val="none" w:sz="0" w:space="0" w:color="auto"/>
                <w:left w:val="none" w:sz="0" w:space="0" w:color="auto"/>
                <w:bottom w:val="none" w:sz="0" w:space="0" w:color="auto"/>
                <w:right w:val="none" w:sz="0" w:space="0" w:color="auto"/>
              </w:divBdr>
            </w:div>
            <w:div w:id="1780373969">
              <w:marLeft w:val="0"/>
              <w:marRight w:val="0"/>
              <w:marTop w:val="0"/>
              <w:marBottom w:val="0"/>
              <w:divBdr>
                <w:top w:val="none" w:sz="0" w:space="0" w:color="auto"/>
                <w:left w:val="none" w:sz="0" w:space="0" w:color="auto"/>
                <w:bottom w:val="none" w:sz="0" w:space="0" w:color="auto"/>
                <w:right w:val="none" w:sz="0" w:space="0" w:color="auto"/>
              </w:divBdr>
            </w:div>
          </w:divsChild>
        </w:div>
        <w:div w:id="929041110">
          <w:marLeft w:val="0"/>
          <w:marRight w:val="0"/>
          <w:marTop w:val="0"/>
          <w:marBottom w:val="0"/>
          <w:divBdr>
            <w:top w:val="none" w:sz="0" w:space="0" w:color="auto"/>
            <w:left w:val="none" w:sz="0" w:space="0" w:color="auto"/>
            <w:bottom w:val="none" w:sz="0" w:space="0" w:color="auto"/>
            <w:right w:val="none" w:sz="0" w:space="0" w:color="auto"/>
          </w:divBdr>
          <w:divsChild>
            <w:div w:id="738212192">
              <w:marLeft w:val="0"/>
              <w:marRight w:val="0"/>
              <w:marTop w:val="0"/>
              <w:marBottom w:val="0"/>
              <w:divBdr>
                <w:top w:val="none" w:sz="0" w:space="0" w:color="auto"/>
                <w:left w:val="none" w:sz="0" w:space="0" w:color="auto"/>
                <w:bottom w:val="none" w:sz="0" w:space="0" w:color="auto"/>
                <w:right w:val="none" w:sz="0" w:space="0" w:color="auto"/>
              </w:divBdr>
            </w:div>
            <w:div w:id="787163607">
              <w:marLeft w:val="0"/>
              <w:marRight w:val="0"/>
              <w:marTop w:val="0"/>
              <w:marBottom w:val="0"/>
              <w:divBdr>
                <w:top w:val="none" w:sz="0" w:space="0" w:color="auto"/>
                <w:left w:val="none" w:sz="0" w:space="0" w:color="auto"/>
                <w:bottom w:val="none" w:sz="0" w:space="0" w:color="auto"/>
                <w:right w:val="none" w:sz="0" w:space="0" w:color="auto"/>
              </w:divBdr>
            </w:div>
            <w:div w:id="819930459">
              <w:marLeft w:val="0"/>
              <w:marRight w:val="0"/>
              <w:marTop w:val="0"/>
              <w:marBottom w:val="0"/>
              <w:divBdr>
                <w:top w:val="none" w:sz="0" w:space="0" w:color="auto"/>
                <w:left w:val="none" w:sz="0" w:space="0" w:color="auto"/>
                <w:bottom w:val="none" w:sz="0" w:space="0" w:color="auto"/>
                <w:right w:val="none" w:sz="0" w:space="0" w:color="auto"/>
              </w:divBdr>
            </w:div>
            <w:div w:id="931620487">
              <w:marLeft w:val="0"/>
              <w:marRight w:val="0"/>
              <w:marTop w:val="0"/>
              <w:marBottom w:val="0"/>
              <w:divBdr>
                <w:top w:val="none" w:sz="0" w:space="0" w:color="auto"/>
                <w:left w:val="none" w:sz="0" w:space="0" w:color="auto"/>
                <w:bottom w:val="none" w:sz="0" w:space="0" w:color="auto"/>
                <w:right w:val="none" w:sz="0" w:space="0" w:color="auto"/>
              </w:divBdr>
            </w:div>
            <w:div w:id="1454905941">
              <w:marLeft w:val="0"/>
              <w:marRight w:val="0"/>
              <w:marTop w:val="0"/>
              <w:marBottom w:val="0"/>
              <w:divBdr>
                <w:top w:val="none" w:sz="0" w:space="0" w:color="auto"/>
                <w:left w:val="none" w:sz="0" w:space="0" w:color="auto"/>
                <w:bottom w:val="none" w:sz="0" w:space="0" w:color="auto"/>
                <w:right w:val="none" w:sz="0" w:space="0" w:color="auto"/>
              </w:divBdr>
            </w:div>
            <w:div w:id="1765224875">
              <w:marLeft w:val="0"/>
              <w:marRight w:val="0"/>
              <w:marTop w:val="0"/>
              <w:marBottom w:val="0"/>
              <w:divBdr>
                <w:top w:val="none" w:sz="0" w:space="0" w:color="auto"/>
                <w:left w:val="none" w:sz="0" w:space="0" w:color="auto"/>
                <w:bottom w:val="none" w:sz="0" w:space="0" w:color="auto"/>
                <w:right w:val="none" w:sz="0" w:space="0" w:color="auto"/>
              </w:divBdr>
            </w:div>
            <w:div w:id="2049527252">
              <w:marLeft w:val="0"/>
              <w:marRight w:val="0"/>
              <w:marTop w:val="0"/>
              <w:marBottom w:val="0"/>
              <w:divBdr>
                <w:top w:val="none" w:sz="0" w:space="0" w:color="auto"/>
                <w:left w:val="none" w:sz="0" w:space="0" w:color="auto"/>
                <w:bottom w:val="none" w:sz="0" w:space="0" w:color="auto"/>
                <w:right w:val="none" w:sz="0" w:space="0" w:color="auto"/>
              </w:divBdr>
            </w:div>
          </w:divsChild>
        </w:div>
        <w:div w:id="1241405462">
          <w:marLeft w:val="0"/>
          <w:marRight w:val="0"/>
          <w:marTop w:val="0"/>
          <w:marBottom w:val="0"/>
          <w:divBdr>
            <w:top w:val="none" w:sz="0" w:space="0" w:color="auto"/>
            <w:left w:val="none" w:sz="0" w:space="0" w:color="auto"/>
            <w:bottom w:val="none" w:sz="0" w:space="0" w:color="auto"/>
            <w:right w:val="none" w:sz="0" w:space="0" w:color="auto"/>
          </w:divBdr>
          <w:divsChild>
            <w:div w:id="2144156938">
              <w:marLeft w:val="0"/>
              <w:marRight w:val="0"/>
              <w:marTop w:val="0"/>
              <w:marBottom w:val="0"/>
              <w:divBdr>
                <w:top w:val="none" w:sz="0" w:space="0" w:color="auto"/>
                <w:left w:val="none" w:sz="0" w:space="0" w:color="auto"/>
                <w:bottom w:val="none" w:sz="0" w:space="0" w:color="auto"/>
                <w:right w:val="none" w:sz="0" w:space="0" w:color="auto"/>
              </w:divBdr>
            </w:div>
          </w:divsChild>
        </w:div>
        <w:div w:id="1293362537">
          <w:marLeft w:val="0"/>
          <w:marRight w:val="0"/>
          <w:marTop w:val="0"/>
          <w:marBottom w:val="0"/>
          <w:divBdr>
            <w:top w:val="none" w:sz="0" w:space="0" w:color="auto"/>
            <w:left w:val="none" w:sz="0" w:space="0" w:color="auto"/>
            <w:bottom w:val="none" w:sz="0" w:space="0" w:color="auto"/>
            <w:right w:val="none" w:sz="0" w:space="0" w:color="auto"/>
          </w:divBdr>
          <w:divsChild>
            <w:div w:id="391395297">
              <w:marLeft w:val="0"/>
              <w:marRight w:val="0"/>
              <w:marTop w:val="0"/>
              <w:marBottom w:val="0"/>
              <w:divBdr>
                <w:top w:val="none" w:sz="0" w:space="0" w:color="auto"/>
                <w:left w:val="none" w:sz="0" w:space="0" w:color="auto"/>
                <w:bottom w:val="none" w:sz="0" w:space="0" w:color="auto"/>
                <w:right w:val="none" w:sz="0" w:space="0" w:color="auto"/>
              </w:divBdr>
            </w:div>
          </w:divsChild>
        </w:div>
        <w:div w:id="1336224401">
          <w:marLeft w:val="0"/>
          <w:marRight w:val="0"/>
          <w:marTop w:val="0"/>
          <w:marBottom w:val="0"/>
          <w:divBdr>
            <w:top w:val="none" w:sz="0" w:space="0" w:color="auto"/>
            <w:left w:val="none" w:sz="0" w:space="0" w:color="auto"/>
            <w:bottom w:val="none" w:sz="0" w:space="0" w:color="auto"/>
            <w:right w:val="none" w:sz="0" w:space="0" w:color="auto"/>
          </w:divBdr>
          <w:divsChild>
            <w:div w:id="1668945433">
              <w:marLeft w:val="0"/>
              <w:marRight w:val="0"/>
              <w:marTop w:val="0"/>
              <w:marBottom w:val="0"/>
              <w:divBdr>
                <w:top w:val="none" w:sz="0" w:space="0" w:color="auto"/>
                <w:left w:val="none" w:sz="0" w:space="0" w:color="auto"/>
                <w:bottom w:val="none" w:sz="0" w:space="0" w:color="auto"/>
                <w:right w:val="none" w:sz="0" w:space="0" w:color="auto"/>
              </w:divBdr>
            </w:div>
            <w:div w:id="1715619981">
              <w:marLeft w:val="0"/>
              <w:marRight w:val="0"/>
              <w:marTop w:val="0"/>
              <w:marBottom w:val="0"/>
              <w:divBdr>
                <w:top w:val="none" w:sz="0" w:space="0" w:color="auto"/>
                <w:left w:val="none" w:sz="0" w:space="0" w:color="auto"/>
                <w:bottom w:val="none" w:sz="0" w:space="0" w:color="auto"/>
                <w:right w:val="none" w:sz="0" w:space="0" w:color="auto"/>
              </w:divBdr>
            </w:div>
          </w:divsChild>
        </w:div>
        <w:div w:id="1467888346">
          <w:marLeft w:val="0"/>
          <w:marRight w:val="0"/>
          <w:marTop w:val="0"/>
          <w:marBottom w:val="0"/>
          <w:divBdr>
            <w:top w:val="none" w:sz="0" w:space="0" w:color="auto"/>
            <w:left w:val="none" w:sz="0" w:space="0" w:color="auto"/>
            <w:bottom w:val="none" w:sz="0" w:space="0" w:color="auto"/>
            <w:right w:val="none" w:sz="0" w:space="0" w:color="auto"/>
          </w:divBdr>
          <w:divsChild>
            <w:div w:id="532496703">
              <w:marLeft w:val="0"/>
              <w:marRight w:val="0"/>
              <w:marTop w:val="0"/>
              <w:marBottom w:val="0"/>
              <w:divBdr>
                <w:top w:val="none" w:sz="0" w:space="0" w:color="auto"/>
                <w:left w:val="none" w:sz="0" w:space="0" w:color="auto"/>
                <w:bottom w:val="none" w:sz="0" w:space="0" w:color="auto"/>
                <w:right w:val="none" w:sz="0" w:space="0" w:color="auto"/>
              </w:divBdr>
            </w:div>
            <w:div w:id="550463374">
              <w:marLeft w:val="0"/>
              <w:marRight w:val="0"/>
              <w:marTop w:val="0"/>
              <w:marBottom w:val="0"/>
              <w:divBdr>
                <w:top w:val="none" w:sz="0" w:space="0" w:color="auto"/>
                <w:left w:val="none" w:sz="0" w:space="0" w:color="auto"/>
                <w:bottom w:val="none" w:sz="0" w:space="0" w:color="auto"/>
                <w:right w:val="none" w:sz="0" w:space="0" w:color="auto"/>
              </w:divBdr>
            </w:div>
            <w:div w:id="588732190">
              <w:marLeft w:val="0"/>
              <w:marRight w:val="0"/>
              <w:marTop w:val="0"/>
              <w:marBottom w:val="0"/>
              <w:divBdr>
                <w:top w:val="none" w:sz="0" w:space="0" w:color="auto"/>
                <w:left w:val="none" w:sz="0" w:space="0" w:color="auto"/>
                <w:bottom w:val="none" w:sz="0" w:space="0" w:color="auto"/>
                <w:right w:val="none" w:sz="0" w:space="0" w:color="auto"/>
              </w:divBdr>
            </w:div>
            <w:div w:id="863247772">
              <w:marLeft w:val="0"/>
              <w:marRight w:val="0"/>
              <w:marTop w:val="0"/>
              <w:marBottom w:val="0"/>
              <w:divBdr>
                <w:top w:val="none" w:sz="0" w:space="0" w:color="auto"/>
                <w:left w:val="none" w:sz="0" w:space="0" w:color="auto"/>
                <w:bottom w:val="none" w:sz="0" w:space="0" w:color="auto"/>
                <w:right w:val="none" w:sz="0" w:space="0" w:color="auto"/>
              </w:divBdr>
            </w:div>
            <w:div w:id="1097824665">
              <w:marLeft w:val="0"/>
              <w:marRight w:val="0"/>
              <w:marTop w:val="0"/>
              <w:marBottom w:val="0"/>
              <w:divBdr>
                <w:top w:val="none" w:sz="0" w:space="0" w:color="auto"/>
                <w:left w:val="none" w:sz="0" w:space="0" w:color="auto"/>
                <w:bottom w:val="none" w:sz="0" w:space="0" w:color="auto"/>
                <w:right w:val="none" w:sz="0" w:space="0" w:color="auto"/>
              </w:divBdr>
            </w:div>
            <w:div w:id="1372803713">
              <w:marLeft w:val="0"/>
              <w:marRight w:val="0"/>
              <w:marTop w:val="0"/>
              <w:marBottom w:val="0"/>
              <w:divBdr>
                <w:top w:val="none" w:sz="0" w:space="0" w:color="auto"/>
                <w:left w:val="none" w:sz="0" w:space="0" w:color="auto"/>
                <w:bottom w:val="none" w:sz="0" w:space="0" w:color="auto"/>
                <w:right w:val="none" w:sz="0" w:space="0" w:color="auto"/>
              </w:divBdr>
            </w:div>
            <w:div w:id="2001733985">
              <w:marLeft w:val="0"/>
              <w:marRight w:val="0"/>
              <w:marTop w:val="0"/>
              <w:marBottom w:val="0"/>
              <w:divBdr>
                <w:top w:val="none" w:sz="0" w:space="0" w:color="auto"/>
                <w:left w:val="none" w:sz="0" w:space="0" w:color="auto"/>
                <w:bottom w:val="none" w:sz="0" w:space="0" w:color="auto"/>
                <w:right w:val="none" w:sz="0" w:space="0" w:color="auto"/>
              </w:divBdr>
            </w:div>
          </w:divsChild>
        </w:div>
        <w:div w:id="1573079419">
          <w:marLeft w:val="0"/>
          <w:marRight w:val="0"/>
          <w:marTop w:val="0"/>
          <w:marBottom w:val="0"/>
          <w:divBdr>
            <w:top w:val="none" w:sz="0" w:space="0" w:color="auto"/>
            <w:left w:val="none" w:sz="0" w:space="0" w:color="auto"/>
            <w:bottom w:val="none" w:sz="0" w:space="0" w:color="auto"/>
            <w:right w:val="none" w:sz="0" w:space="0" w:color="auto"/>
          </w:divBdr>
          <w:divsChild>
            <w:div w:id="1419133412">
              <w:marLeft w:val="0"/>
              <w:marRight w:val="0"/>
              <w:marTop w:val="0"/>
              <w:marBottom w:val="0"/>
              <w:divBdr>
                <w:top w:val="none" w:sz="0" w:space="0" w:color="auto"/>
                <w:left w:val="none" w:sz="0" w:space="0" w:color="auto"/>
                <w:bottom w:val="none" w:sz="0" w:space="0" w:color="auto"/>
                <w:right w:val="none" w:sz="0" w:space="0" w:color="auto"/>
              </w:divBdr>
            </w:div>
          </w:divsChild>
        </w:div>
        <w:div w:id="1669819319">
          <w:marLeft w:val="0"/>
          <w:marRight w:val="0"/>
          <w:marTop w:val="0"/>
          <w:marBottom w:val="0"/>
          <w:divBdr>
            <w:top w:val="none" w:sz="0" w:space="0" w:color="auto"/>
            <w:left w:val="none" w:sz="0" w:space="0" w:color="auto"/>
            <w:bottom w:val="none" w:sz="0" w:space="0" w:color="auto"/>
            <w:right w:val="none" w:sz="0" w:space="0" w:color="auto"/>
          </w:divBdr>
          <w:divsChild>
            <w:div w:id="203829638">
              <w:marLeft w:val="0"/>
              <w:marRight w:val="0"/>
              <w:marTop w:val="0"/>
              <w:marBottom w:val="0"/>
              <w:divBdr>
                <w:top w:val="none" w:sz="0" w:space="0" w:color="auto"/>
                <w:left w:val="none" w:sz="0" w:space="0" w:color="auto"/>
                <w:bottom w:val="none" w:sz="0" w:space="0" w:color="auto"/>
                <w:right w:val="none" w:sz="0" w:space="0" w:color="auto"/>
              </w:divBdr>
            </w:div>
            <w:div w:id="803741180">
              <w:marLeft w:val="0"/>
              <w:marRight w:val="0"/>
              <w:marTop w:val="0"/>
              <w:marBottom w:val="0"/>
              <w:divBdr>
                <w:top w:val="none" w:sz="0" w:space="0" w:color="auto"/>
                <w:left w:val="none" w:sz="0" w:space="0" w:color="auto"/>
                <w:bottom w:val="none" w:sz="0" w:space="0" w:color="auto"/>
                <w:right w:val="none" w:sz="0" w:space="0" w:color="auto"/>
              </w:divBdr>
            </w:div>
            <w:div w:id="1019283418">
              <w:marLeft w:val="0"/>
              <w:marRight w:val="0"/>
              <w:marTop w:val="0"/>
              <w:marBottom w:val="0"/>
              <w:divBdr>
                <w:top w:val="none" w:sz="0" w:space="0" w:color="auto"/>
                <w:left w:val="none" w:sz="0" w:space="0" w:color="auto"/>
                <w:bottom w:val="none" w:sz="0" w:space="0" w:color="auto"/>
                <w:right w:val="none" w:sz="0" w:space="0" w:color="auto"/>
              </w:divBdr>
            </w:div>
            <w:div w:id="1778331252">
              <w:marLeft w:val="0"/>
              <w:marRight w:val="0"/>
              <w:marTop w:val="0"/>
              <w:marBottom w:val="0"/>
              <w:divBdr>
                <w:top w:val="none" w:sz="0" w:space="0" w:color="auto"/>
                <w:left w:val="none" w:sz="0" w:space="0" w:color="auto"/>
                <w:bottom w:val="none" w:sz="0" w:space="0" w:color="auto"/>
                <w:right w:val="none" w:sz="0" w:space="0" w:color="auto"/>
              </w:divBdr>
            </w:div>
            <w:div w:id="1891532041">
              <w:marLeft w:val="0"/>
              <w:marRight w:val="0"/>
              <w:marTop w:val="0"/>
              <w:marBottom w:val="0"/>
              <w:divBdr>
                <w:top w:val="none" w:sz="0" w:space="0" w:color="auto"/>
                <w:left w:val="none" w:sz="0" w:space="0" w:color="auto"/>
                <w:bottom w:val="none" w:sz="0" w:space="0" w:color="auto"/>
                <w:right w:val="none" w:sz="0" w:space="0" w:color="auto"/>
              </w:divBdr>
            </w:div>
            <w:div w:id="1902399510">
              <w:marLeft w:val="0"/>
              <w:marRight w:val="0"/>
              <w:marTop w:val="0"/>
              <w:marBottom w:val="0"/>
              <w:divBdr>
                <w:top w:val="none" w:sz="0" w:space="0" w:color="auto"/>
                <w:left w:val="none" w:sz="0" w:space="0" w:color="auto"/>
                <w:bottom w:val="none" w:sz="0" w:space="0" w:color="auto"/>
                <w:right w:val="none" w:sz="0" w:space="0" w:color="auto"/>
              </w:divBdr>
            </w:div>
          </w:divsChild>
        </w:div>
        <w:div w:id="1727340988">
          <w:marLeft w:val="0"/>
          <w:marRight w:val="0"/>
          <w:marTop w:val="0"/>
          <w:marBottom w:val="0"/>
          <w:divBdr>
            <w:top w:val="none" w:sz="0" w:space="0" w:color="auto"/>
            <w:left w:val="none" w:sz="0" w:space="0" w:color="auto"/>
            <w:bottom w:val="none" w:sz="0" w:space="0" w:color="auto"/>
            <w:right w:val="none" w:sz="0" w:space="0" w:color="auto"/>
          </w:divBdr>
          <w:divsChild>
            <w:div w:id="1993174029">
              <w:marLeft w:val="0"/>
              <w:marRight w:val="0"/>
              <w:marTop w:val="0"/>
              <w:marBottom w:val="0"/>
              <w:divBdr>
                <w:top w:val="none" w:sz="0" w:space="0" w:color="auto"/>
                <w:left w:val="none" w:sz="0" w:space="0" w:color="auto"/>
                <w:bottom w:val="none" w:sz="0" w:space="0" w:color="auto"/>
                <w:right w:val="none" w:sz="0" w:space="0" w:color="auto"/>
              </w:divBdr>
            </w:div>
          </w:divsChild>
        </w:div>
        <w:div w:id="1879929276">
          <w:marLeft w:val="0"/>
          <w:marRight w:val="0"/>
          <w:marTop w:val="0"/>
          <w:marBottom w:val="0"/>
          <w:divBdr>
            <w:top w:val="none" w:sz="0" w:space="0" w:color="auto"/>
            <w:left w:val="none" w:sz="0" w:space="0" w:color="auto"/>
            <w:bottom w:val="none" w:sz="0" w:space="0" w:color="auto"/>
            <w:right w:val="none" w:sz="0" w:space="0" w:color="auto"/>
          </w:divBdr>
          <w:divsChild>
            <w:div w:id="1732077428">
              <w:marLeft w:val="0"/>
              <w:marRight w:val="0"/>
              <w:marTop w:val="0"/>
              <w:marBottom w:val="0"/>
              <w:divBdr>
                <w:top w:val="none" w:sz="0" w:space="0" w:color="auto"/>
                <w:left w:val="none" w:sz="0" w:space="0" w:color="auto"/>
                <w:bottom w:val="none" w:sz="0" w:space="0" w:color="auto"/>
                <w:right w:val="none" w:sz="0" w:space="0" w:color="auto"/>
              </w:divBdr>
            </w:div>
          </w:divsChild>
        </w:div>
        <w:div w:id="1904560168">
          <w:marLeft w:val="0"/>
          <w:marRight w:val="0"/>
          <w:marTop w:val="0"/>
          <w:marBottom w:val="0"/>
          <w:divBdr>
            <w:top w:val="none" w:sz="0" w:space="0" w:color="auto"/>
            <w:left w:val="none" w:sz="0" w:space="0" w:color="auto"/>
            <w:bottom w:val="none" w:sz="0" w:space="0" w:color="auto"/>
            <w:right w:val="none" w:sz="0" w:space="0" w:color="auto"/>
          </w:divBdr>
          <w:divsChild>
            <w:div w:id="1584677749">
              <w:marLeft w:val="0"/>
              <w:marRight w:val="0"/>
              <w:marTop w:val="0"/>
              <w:marBottom w:val="0"/>
              <w:divBdr>
                <w:top w:val="none" w:sz="0" w:space="0" w:color="auto"/>
                <w:left w:val="none" w:sz="0" w:space="0" w:color="auto"/>
                <w:bottom w:val="none" w:sz="0" w:space="0" w:color="auto"/>
                <w:right w:val="none" w:sz="0" w:space="0" w:color="auto"/>
              </w:divBdr>
            </w:div>
          </w:divsChild>
        </w:div>
        <w:div w:id="1983193247">
          <w:marLeft w:val="0"/>
          <w:marRight w:val="0"/>
          <w:marTop w:val="0"/>
          <w:marBottom w:val="0"/>
          <w:divBdr>
            <w:top w:val="none" w:sz="0" w:space="0" w:color="auto"/>
            <w:left w:val="none" w:sz="0" w:space="0" w:color="auto"/>
            <w:bottom w:val="none" w:sz="0" w:space="0" w:color="auto"/>
            <w:right w:val="none" w:sz="0" w:space="0" w:color="auto"/>
          </w:divBdr>
          <w:divsChild>
            <w:div w:id="883753422">
              <w:marLeft w:val="0"/>
              <w:marRight w:val="0"/>
              <w:marTop w:val="0"/>
              <w:marBottom w:val="0"/>
              <w:divBdr>
                <w:top w:val="none" w:sz="0" w:space="0" w:color="auto"/>
                <w:left w:val="none" w:sz="0" w:space="0" w:color="auto"/>
                <w:bottom w:val="none" w:sz="0" w:space="0" w:color="auto"/>
                <w:right w:val="none" w:sz="0" w:space="0" w:color="auto"/>
              </w:divBdr>
            </w:div>
            <w:div w:id="934751296">
              <w:marLeft w:val="0"/>
              <w:marRight w:val="0"/>
              <w:marTop w:val="0"/>
              <w:marBottom w:val="0"/>
              <w:divBdr>
                <w:top w:val="none" w:sz="0" w:space="0" w:color="auto"/>
                <w:left w:val="none" w:sz="0" w:space="0" w:color="auto"/>
                <w:bottom w:val="none" w:sz="0" w:space="0" w:color="auto"/>
                <w:right w:val="none" w:sz="0" w:space="0" w:color="auto"/>
              </w:divBdr>
            </w:div>
            <w:div w:id="1330867223">
              <w:marLeft w:val="0"/>
              <w:marRight w:val="0"/>
              <w:marTop w:val="0"/>
              <w:marBottom w:val="0"/>
              <w:divBdr>
                <w:top w:val="none" w:sz="0" w:space="0" w:color="auto"/>
                <w:left w:val="none" w:sz="0" w:space="0" w:color="auto"/>
                <w:bottom w:val="none" w:sz="0" w:space="0" w:color="auto"/>
                <w:right w:val="none" w:sz="0" w:space="0" w:color="auto"/>
              </w:divBdr>
            </w:div>
            <w:div w:id="1762604209">
              <w:marLeft w:val="0"/>
              <w:marRight w:val="0"/>
              <w:marTop w:val="0"/>
              <w:marBottom w:val="0"/>
              <w:divBdr>
                <w:top w:val="none" w:sz="0" w:space="0" w:color="auto"/>
                <w:left w:val="none" w:sz="0" w:space="0" w:color="auto"/>
                <w:bottom w:val="none" w:sz="0" w:space="0" w:color="auto"/>
                <w:right w:val="none" w:sz="0" w:space="0" w:color="auto"/>
              </w:divBdr>
            </w:div>
          </w:divsChild>
        </w:div>
        <w:div w:id="2031099842">
          <w:marLeft w:val="0"/>
          <w:marRight w:val="0"/>
          <w:marTop w:val="0"/>
          <w:marBottom w:val="0"/>
          <w:divBdr>
            <w:top w:val="none" w:sz="0" w:space="0" w:color="auto"/>
            <w:left w:val="none" w:sz="0" w:space="0" w:color="auto"/>
            <w:bottom w:val="none" w:sz="0" w:space="0" w:color="auto"/>
            <w:right w:val="none" w:sz="0" w:space="0" w:color="auto"/>
          </w:divBdr>
          <w:divsChild>
            <w:div w:id="1011180494">
              <w:marLeft w:val="0"/>
              <w:marRight w:val="0"/>
              <w:marTop w:val="0"/>
              <w:marBottom w:val="0"/>
              <w:divBdr>
                <w:top w:val="none" w:sz="0" w:space="0" w:color="auto"/>
                <w:left w:val="none" w:sz="0" w:space="0" w:color="auto"/>
                <w:bottom w:val="none" w:sz="0" w:space="0" w:color="auto"/>
                <w:right w:val="none" w:sz="0" w:space="0" w:color="auto"/>
              </w:divBdr>
            </w:div>
            <w:div w:id="1345136055">
              <w:marLeft w:val="0"/>
              <w:marRight w:val="0"/>
              <w:marTop w:val="0"/>
              <w:marBottom w:val="0"/>
              <w:divBdr>
                <w:top w:val="none" w:sz="0" w:space="0" w:color="auto"/>
                <w:left w:val="none" w:sz="0" w:space="0" w:color="auto"/>
                <w:bottom w:val="none" w:sz="0" w:space="0" w:color="auto"/>
                <w:right w:val="none" w:sz="0" w:space="0" w:color="auto"/>
              </w:divBdr>
            </w:div>
            <w:div w:id="1777402722">
              <w:marLeft w:val="0"/>
              <w:marRight w:val="0"/>
              <w:marTop w:val="0"/>
              <w:marBottom w:val="0"/>
              <w:divBdr>
                <w:top w:val="none" w:sz="0" w:space="0" w:color="auto"/>
                <w:left w:val="none" w:sz="0" w:space="0" w:color="auto"/>
                <w:bottom w:val="none" w:sz="0" w:space="0" w:color="auto"/>
                <w:right w:val="none" w:sz="0" w:space="0" w:color="auto"/>
              </w:divBdr>
            </w:div>
            <w:div w:id="1782257534">
              <w:marLeft w:val="0"/>
              <w:marRight w:val="0"/>
              <w:marTop w:val="0"/>
              <w:marBottom w:val="0"/>
              <w:divBdr>
                <w:top w:val="none" w:sz="0" w:space="0" w:color="auto"/>
                <w:left w:val="none" w:sz="0" w:space="0" w:color="auto"/>
                <w:bottom w:val="none" w:sz="0" w:space="0" w:color="auto"/>
                <w:right w:val="none" w:sz="0" w:space="0" w:color="auto"/>
              </w:divBdr>
            </w:div>
          </w:divsChild>
        </w:div>
        <w:div w:id="2088460587">
          <w:marLeft w:val="0"/>
          <w:marRight w:val="0"/>
          <w:marTop w:val="0"/>
          <w:marBottom w:val="0"/>
          <w:divBdr>
            <w:top w:val="none" w:sz="0" w:space="0" w:color="auto"/>
            <w:left w:val="none" w:sz="0" w:space="0" w:color="auto"/>
            <w:bottom w:val="none" w:sz="0" w:space="0" w:color="auto"/>
            <w:right w:val="none" w:sz="0" w:space="0" w:color="auto"/>
          </w:divBdr>
          <w:divsChild>
            <w:div w:id="1244996991">
              <w:marLeft w:val="0"/>
              <w:marRight w:val="0"/>
              <w:marTop w:val="0"/>
              <w:marBottom w:val="0"/>
              <w:divBdr>
                <w:top w:val="none" w:sz="0" w:space="0" w:color="auto"/>
                <w:left w:val="none" w:sz="0" w:space="0" w:color="auto"/>
                <w:bottom w:val="none" w:sz="0" w:space="0" w:color="auto"/>
                <w:right w:val="none" w:sz="0" w:space="0" w:color="auto"/>
              </w:divBdr>
            </w:div>
          </w:divsChild>
        </w:div>
        <w:div w:id="2138865635">
          <w:marLeft w:val="0"/>
          <w:marRight w:val="0"/>
          <w:marTop w:val="0"/>
          <w:marBottom w:val="0"/>
          <w:divBdr>
            <w:top w:val="none" w:sz="0" w:space="0" w:color="auto"/>
            <w:left w:val="none" w:sz="0" w:space="0" w:color="auto"/>
            <w:bottom w:val="none" w:sz="0" w:space="0" w:color="auto"/>
            <w:right w:val="none" w:sz="0" w:space="0" w:color="auto"/>
          </w:divBdr>
          <w:divsChild>
            <w:div w:id="38944931">
              <w:marLeft w:val="0"/>
              <w:marRight w:val="0"/>
              <w:marTop w:val="0"/>
              <w:marBottom w:val="0"/>
              <w:divBdr>
                <w:top w:val="none" w:sz="0" w:space="0" w:color="auto"/>
                <w:left w:val="none" w:sz="0" w:space="0" w:color="auto"/>
                <w:bottom w:val="none" w:sz="0" w:space="0" w:color="auto"/>
                <w:right w:val="none" w:sz="0" w:space="0" w:color="auto"/>
              </w:divBdr>
            </w:div>
            <w:div w:id="1006588682">
              <w:marLeft w:val="0"/>
              <w:marRight w:val="0"/>
              <w:marTop w:val="0"/>
              <w:marBottom w:val="0"/>
              <w:divBdr>
                <w:top w:val="none" w:sz="0" w:space="0" w:color="auto"/>
                <w:left w:val="none" w:sz="0" w:space="0" w:color="auto"/>
                <w:bottom w:val="none" w:sz="0" w:space="0" w:color="auto"/>
                <w:right w:val="none" w:sz="0" w:space="0" w:color="auto"/>
              </w:divBdr>
            </w:div>
            <w:div w:id="1088039347">
              <w:marLeft w:val="0"/>
              <w:marRight w:val="0"/>
              <w:marTop w:val="0"/>
              <w:marBottom w:val="0"/>
              <w:divBdr>
                <w:top w:val="none" w:sz="0" w:space="0" w:color="auto"/>
                <w:left w:val="none" w:sz="0" w:space="0" w:color="auto"/>
                <w:bottom w:val="none" w:sz="0" w:space="0" w:color="auto"/>
                <w:right w:val="none" w:sz="0" w:space="0" w:color="auto"/>
              </w:divBdr>
            </w:div>
            <w:div w:id="1573848548">
              <w:marLeft w:val="0"/>
              <w:marRight w:val="0"/>
              <w:marTop w:val="0"/>
              <w:marBottom w:val="0"/>
              <w:divBdr>
                <w:top w:val="none" w:sz="0" w:space="0" w:color="auto"/>
                <w:left w:val="none" w:sz="0" w:space="0" w:color="auto"/>
                <w:bottom w:val="none" w:sz="0" w:space="0" w:color="auto"/>
                <w:right w:val="none" w:sz="0" w:space="0" w:color="auto"/>
              </w:divBdr>
            </w:div>
            <w:div w:id="19488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719">
      <w:bodyDiv w:val="1"/>
      <w:marLeft w:val="0"/>
      <w:marRight w:val="0"/>
      <w:marTop w:val="0"/>
      <w:marBottom w:val="0"/>
      <w:divBdr>
        <w:top w:val="none" w:sz="0" w:space="0" w:color="auto"/>
        <w:left w:val="none" w:sz="0" w:space="0" w:color="auto"/>
        <w:bottom w:val="none" w:sz="0" w:space="0" w:color="auto"/>
        <w:right w:val="none" w:sz="0" w:space="0" w:color="auto"/>
      </w:divBdr>
    </w:div>
    <w:div w:id="660891860">
      <w:bodyDiv w:val="1"/>
      <w:marLeft w:val="0"/>
      <w:marRight w:val="0"/>
      <w:marTop w:val="0"/>
      <w:marBottom w:val="0"/>
      <w:divBdr>
        <w:top w:val="none" w:sz="0" w:space="0" w:color="auto"/>
        <w:left w:val="none" w:sz="0" w:space="0" w:color="auto"/>
        <w:bottom w:val="none" w:sz="0" w:space="0" w:color="auto"/>
        <w:right w:val="none" w:sz="0" w:space="0" w:color="auto"/>
      </w:divBdr>
    </w:div>
    <w:div w:id="687828632">
      <w:bodyDiv w:val="1"/>
      <w:marLeft w:val="0"/>
      <w:marRight w:val="0"/>
      <w:marTop w:val="0"/>
      <w:marBottom w:val="0"/>
      <w:divBdr>
        <w:top w:val="none" w:sz="0" w:space="0" w:color="auto"/>
        <w:left w:val="none" w:sz="0" w:space="0" w:color="auto"/>
        <w:bottom w:val="none" w:sz="0" w:space="0" w:color="auto"/>
        <w:right w:val="none" w:sz="0" w:space="0" w:color="auto"/>
      </w:divBdr>
    </w:div>
    <w:div w:id="697581150">
      <w:bodyDiv w:val="1"/>
      <w:marLeft w:val="0"/>
      <w:marRight w:val="0"/>
      <w:marTop w:val="0"/>
      <w:marBottom w:val="0"/>
      <w:divBdr>
        <w:top w:val="none" w:sz="0" w:space="0" w:color="auto"/>
        <w:left w:val="none" w:sz="0" w:space="0" w:color="auto"/>
        <w:bottom w:val="none" w:sz="0" w:space="0" w:color="auto"/>
        <w:right w:val="none" w:sz="0" w:space="0" w:color="auto"/>
      </w:divBdr>
    </w:div>
    <w:div w:id="704018646">
      <w:bodyDiv w:val="1"/>
      <w:marLeft w:val="0"/>
      <w:marRight w:val="0"/>
      <w:marTop w:val="0"/>
      <w:marBottom w:val="0"/>
      <w:divBdr>
        <w:top w:val="none" w:sz="0" w:space="0" w:color="auto"/>
        <w:left w:val="none" w:sz="0" w:space="0" w:color="auto"/>
        <w:bottom w:val="none" w:sz="0" w:space="0" w:color="auto"/>
        <w:right w:val="none" w:sz="0" w:space="0" w:color="auto"/>
      </w:divBdr>
      <w:divsChild>
        <w:div w:id="535046353">
          <w:marLeft w:val="0"/>
          <w:marRight w:val="0"/>
          <w:marTop w:val="0"/>
          <w:marBottom w:val="240"/>
          <w:divBdr>
            <w:top w:val="none" w:sz="0" w:space="0" w:color="auto"/>
            <w:left w:val="none" w:sz="0" w:space="0" w:color="auto"/>
            <w:bottom w:val="none" w:sz="0" w:space="0" w:color="auto"/>
            <w:right w:val="none" w:sz="0" w:space="0" w:color="auto"/>
          </w:divBdr>
        </w:div>
        <w:div w:id="2100371249">
          <w:marLeft w:val="0"/>
          <w:marRight w:val="0"/>
          <w:marTop w:val="0"/>
          <w:marBottom w:val="240"/>
          <w:divBdr>
            <w:top w:val="none" w:sz="0" w:space="0" w:color="auto"/>
            <w:left w:val="none" w:sz="0" w:space="0" w:color="auto"/>
            <w:bottom w:val="none" w:sz="0" w:space="0" w:color="auto"/>
            <w:right w:val="none" w:sz="0" w:space="0" w:color="auto"/>
          </w:divBdr>
        </w:div>
      </w:divsChild>
    </w:div>
    <w:div w:id="710688122">
      <w:bodyDiv w:val="1"/>
      <w:marLeft w:val="0"/>
      <w:marRight w:val="0"/>
      <w:marTop w:val="0"/>
      <w:marBottom w:val="0"/>
      <w:divBdr>
        <w:top w:val="none" w:sz="0" w:space="0" w:color="auto"/>
        <w:left w:val="none" w:sz="0" w:space="0" w:color="auto"/>
        <w:bottom w:val="none" w:sz="0" w:space="0" w:color="auto"/>
        <w:right w:val="none" w:sz="0" w:space="0" w:color="auto"/>
      </w:divBdr>
    </w:div>
    <w:div w:id="711030846">
      <w:bodyDiv w:val="1"/>
      <w:marLeft w:val="0"/>
      <w:marRight w:val="0"/>
      <w:marTop w:val="0"/>
      <w:marBottom w:val="0"/>
      <w:divBdr>
        <w:top w:val="none" w:sz="0" w:space="0" w:color="auto"/>
        <w:left w:val="none" w:sz="0" w:space="0" w:color="auto"/>
        <w:bottom w:val="none" w:sz="0" w:space="0" w:color="auto"/>
        <w:right w:val="none" w:sz="0" w:space="0" w:color="auto"/>
      </w:divBdr>
    </w:div>
    <w:div w:id="729618864">
      <w:bodyDiv w:val="1"/>
      <w:marLeft w:val="0"/>
      <w:marRight w:val="0"/>
      <w:marTop w:val="0"/>
      <w:marBottom w:val="0"/>
      <w:divBdr>
        <w:top w:val="none" w:sz="0" w:space="0" w:color="auto"/>
        <w:left w:val="none" w:sz="0" w:space="0" w:color="auto"/>
        <w:bottom w:val="none" w:sz="0" w:space="0" w:color="auto"/>
        <w:right w:val="none" w:sz="0" w:space="0" w:color="auto"/>
      </w:divBdr>
    </w:div>
    <w:div w:id="776631799">
      <w:bodyDiv w:val="1"/>
      <w:marLeft w:val="0"/>
      <w:marRight w:val="0"/>
      <w:marTop w:val="0"/>
      <w:marBottom w:val="0"/>
      <w:divBdr>
        <w:top w:val="none" w:sz="0" w:space="0" w:color="auto"/>
        <w:left w:val="none" w:sz="0" w:space="0" w:color="auto"/>
        <w:bottom w:val="none" w:sz="0" w:space="0" w:color="auto"/>
        <w:right w:val="none" w:sz="0" w:space="0" w:color="auto"/>
      </w:divBdr>
    </w:div>
    <w:div w:id="783814649">
      <w:bodyDiv w:val="1"/>
      <w:marLeft w:val="0"/>
      <w:marRight w:val="0"/>
      <w:marTop w:val="0"/>
      <w:marBottom w:val="0"/>
      <w:divBdr>
        <w:top w:val="none" w:sz="0" w:space="0" w:color="auto"/>
        <w:left w:val="none" w:sz="0" w:space="0" w:color="auto"/>
        <w:bottom w:val="none" w:sz="0" w:space="0" w:color="auto"/>
        <w:right w:val="none" w:sz="0" w:space="0" w:color="auto"/>
      </w:divBdr>
    </w:div>
    <w:div w:id="798114499">
      <w:bodyDiv w:val="1"/>
      <w:marLeft w:val="0"/>
      <w:marRight w:val="0"/>
      <w:marTop w:val="0"/>
      <w:marBottom w:val="0"/>
      <w:divBdr>
        <w:top w:val="none" w:sz="0" w:space="0" w:color="auto"/>
        <w:left w:val="none" w:sz="0" w:space="0" w:color="auto"/>
        <w:bottom w:val="none" w:sz="0" w:space="0" w:color="auto"/>
        <w:right w:val="none" w:sz="0" w:space="0" w:color="auto"/>
      </w:divBdr>
    </w:div>
    <w:div w:id="804615642">
      <w:bodyDiv w:val="1"/>
      <w:marLeft w:val="0"/>
      <w:marRight w:val="0"/>
      <w:marTop w:val="0"/>
      <w:marBottom w:val="0"/>
      <w:divBdr>
        <w:top w:val="none" w:sz="0" w:space="0" w:color="auto"/>
        <w:left w:val="none" w:sz="0" w:space="0" w:color="auto"/>
        <w:bottom w:val="none" w:sz="0" w:space="0" w:color="auto"/>
        <w:right w:val="none" w:sz="0" w:space="0" w:color="auto"/>
      </w:divBdr>
    </w:div>
    <w:div w:id="855270126">
      <w:bodyDiv w:val="1"/>
      <w:marLeft w:val="0"/>
      <w:marRight w:val="0"/>
      <w:marTop w:val="0"/>
      <w:marBottom w:val="0"/>
      <w:divBdr>
        <w:top w:val="none" w:sz="0" w:space="0" w:color="auto"/>
        <w:left w:val="none" w:sz="0" w:space="0" w:color="auto"/>
        <w:bottom w:val="none" w:sz="0" w:space="0" w:color="auto"/>
        <w:right w:val="none" w:sz="0" w:space="0" w:color="auto"/>
      </w:divBdr>
    </w:div>
    <w:div w:id="863010573">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34901084">
      <w:bodyDiv w:val="1"/>
      <w:marLeft w:val="0"/>
      <w:marRight w:val="0"/>
      <w:marTop w:val="0"/>
      <w:marBottom w:val="0"/>
      <w:divBdr>
        <w:top w:val="none" w:sz="0" w:space="0" w:color="auto"/>
        <w:left w:val="none" w:sz="0" w:space="0" w:color="auto"/>
        <w:bottom w:val="none" w:sz="0" w:space="0" w:color="auto"/>
        <w:right w:val="none" w:sz="0" w:space="0" w:color="auto"/>
      </w:divBdr>
      <w:divsChild>
        <w:div w:id="1437216989">
          <w:marLeft w:val="547"/>
          <w:marRight w:val="29"/>
          <w:marTop w:val="0"/>
          <w:marBottom w:val="120"/>
          <w:divBdr>
            <w:top w:val="none" w:sz="0" w:space="0" w:color="auto"/>
            <w:left w:val="none" w:sz="0" w:space="0" w:color="auto"/>
            <w:bottom w:val="none" w:sz="0" w:space="0" w:color="auto"/>
            <w:right w:val="none" w:sz="0" w:space="0" w:color="auto"/>
          </w:divBdr>
        </w:div>
      </w:divsChild>
    </w:div>
    <w:div w:id="958026133">
      <w:bodyDiv w:val="1"/>
      <w:marLeft w:val="0"/>
      <w:marRight w:val="0"/>
      <w:marTop w:val="0"/>
      <w:marBottom w:val="0"/>
      <w:divBdr>
        <w:top w:val="none" w:sz="0" w:space="0" w:color="auto"/>
        <w:left w:val="none" w:sz="0" w:space="0" w:color="auto"/>
        <w:bottom w:val="none" w:sz="0" w:space="0" w:color="auto"/>
        <w:right w:val="none" w:sz="0" w:space="0" w:color="auto"/>
      </w:divBdr>
    </w:div>
    <w:div w:id="967473373">
      <w:bodyDiv w:val="1"/>
      <w:marLeft w:val="0"/>
      <w:marRight w:val="0"/>
      <w:marTop w:val="0"/>
      <w:marBottom w:val="0"/>
      <w:divBdr>
        <w:top w:val="none" w:sz="0" w:space="0" w:color="auto"/>
        <w:left w:val="none" w:sz="0" w:space="0" w:color="auto"/>
        <w:bottom w:val="none" w:sz="0" w:space="0" w:color="auto"/>
        <w:right w:val="none" w:sz="0" w:space="0" w:color="auto"/>
      </w:divBdr>
    </w:div>
    <w:div w:id="1011444907">
      <w:bodyDiv w:val="1"/>
      <w:marLeft w:val="0"/>
      <w:marRight w:val="0"/>
      <w:marTop w:val="0"/>
      <w:marBottom w:val="0"/>
      <w:divBdr>
        <w:top w:val="none" w:sz="0" w:space="0" w:color="auto"/>
        <w:left w:val="none" w:sz="0" w:space="0" w:color="auto"/>
        <w:bottom w:val="none" w:sz="0" w:space="0" w:color="auto"/>
        <w:right w:val="none" w:sz="0" w:space="0" w:color="auto"/>
      </w:divBdr>
    </w:div>
    <w:div w:id="1013727721">
      <w:bodyDiv w:val="1"/>
      <w:marLeft w:val="0"/>
      <w:marRight w:val="0"/>
      <w:marTop w:val="0"/>
      <w:marBottom w:val="0"/>
      <w:divBdr>
        <w:top w:val="none" w:sz="0" w:space="0" w:color="auto"/>
        <w:left w:val="none" w:sz="0" w:space="0" w:color="auto"/>
        <w:bottom w:val="none" w:sz="0" w:space="0" w:color="auto"/>
        <w:right w:val="none" w:sz="0" w:space="0" w:color="auto"/>
      </w:divBdr>
      <w:divsChild>
        <w:div w:id="672221874">
          <w:marLeft w:val="0"/>
          <w:marRight w:val="0"/>
          <w:marTop w:val="0"/>
          <w:marBottom w:val="0"/>
          <w:divBdr>
            <w:top w:val="none" w:sz="0" w:space="0" w:color="auto"/>
            <w:left w:val="none" w:sz="0" w:space="0" w:color="auto"/>
            <w:bottom w:val="none" w:sz="0" w:space="0" w:color="auto"/>
            <w:right w:val="none" w:sz="0" w:space="0" w:color="auto"/>
          </w:divBdr>
          <w:divsChild>
            <w:div w:id="188509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8141">
      <w:bodyDiv w:val="1"/>
      <w:marLeft w:val="0"/>
      <w:marRight w:val="0"/>
      <w:marTop w:val="0"/>
      <w:marBottom w:val="0"/>
      <w:divBdr>
        <w:top w:val="none" w:sz="0" w:space="0" w:color="auto"/>
        <w:left w:val="none" w:sz="0" w:space="0" w:color="auto"/>
        <w:bottom w:val="none" w:sz="0" w:space="0" w:color="auto"/>
        <w:right w:val="none" w:sz="0" w:space="0" w:color="auto"/>
      </w:divBdr>
    </w:div>
    <w:div w:id="1054305936">
      <w:bodyDiv w:val="1"/>
      <w:marLeft w:val="0"/>
      <w:marRight w:val="0"/>
      <w:marTop w:val="0"/>
      <w:marBottom w:val="0"/>
      <w:divBdr>
        <w:top w:val="none" w:sz="0" w:space="0" w:color="auto"/>
        <w:left w:val="none" w:sz="0" w:space="0" w:color="auto"/>
        <w:bottom w:val="none" w:sz="0" w:space="0" w:color="auto"/>
        <w:right w:val="none" w:sz="0" w:space="0" w:color="auto"/>
      </w:divBdr>
    </w:div>
    <w:div w:id="1068115796">
      <w:bodyDiv w:val="1"/>
      <w:marLeft w:val="0"/>
      <w:marRight w:val="0"/>
      <w:marTop w:val="0"/>
      <w:marBottom w:val="0"/>
      <w:divBdr>
        <w:top w:val="none" w:sz="0" w:space="0" w:color="auto"/>
        <w:left w:val="none" w:sz="0" w:space="0" w:color="auto"/>
        <w:bottom w:val="none" w:sz="0" w:space="0" w:color="auto"/>
        <w:right w:val="none" w:sz="0" w:space="0" w:color="auto"/>
      </w:divBdr>
    </w:div>
    <w:div w:id="1080830649">
      <w:bodyDiv w:val="1"/>
      <w:marLeft w:val="0"/>
      <w:marRight w:val="0"/>
      <w:marTop w:val="0"/>
      <w:marBottom w:val="0"/>
      <w:divBdr>
        <w:top w:val="none" w:sz="0" w:space="0" w:color="auto"/>
        <w:left w:val="none" w:sz="0" w:space="0" w:color="auto"/>
        <w:bottom w:val="none" w:sz="0" w:space="0" w:color="auto"/>
        <w:right w:val="none" w:sz="0" w:space="0" w:color="auto"/>
      </w:divBdr>
    </w:div>
    <w:div w:id="1082072174">
      <w:bodyDiv w:val="1"/>
      <w:marLeft w:val="0"/>
      <w:marRight w:val="0"/>
      <w:marTop w:val="0"/>
      <w:marBottom w:val="0"/>
      <w:divBdr>
        <w:top w:val="none" w:sz="0" w:space="0" w:color="auto"/>
        <w:left w:val="none" w:sz="0" w:space="0" w:color="auto"/>
        <w:bottom w:val="none" w:sz="0" w:space="0" w:color="auto"/>
        <w:right w:val="none" w:sz="0" w:space="0" w:color="auto"/>
      </w:divBdr>
    </w:div>
    <w:div w:id="1100569835">
      <w:bodyDiv w:val="1"/>
      <w:marLeft w:val="0"/>
      <w:marRight w:val="0"/>
      <w:marTop w:val="0"/>
      <w:marBottom w:val="0"/>
      <w:divBdr>
        <w:top w:val="none" w:sz="0" w:space="0" w:color="auto"/>
        <w:left w:val="none" w:sz="0" w:space="0" w:color="auto"/>
        <w:bottom w:val="none" w:sz="0" w:space="0" w:color="auto"/>
        <w:right w:val="none" w:sz="0" w:space="0" w:color="auto"/>
      </w:divBdr>
    </w:div>
    <w:div w:id="1115514656">
      <w:bodyDiv w:val="1"/>
      <w:marLeft w:val="0"/>
      <w:marRight w:val="0"/>
      <w:marTop w:val="0"/>
      <w:marBottom w:val="0"/>
      <w:divBdr>
        <w:top w:val="none" w:sz="0" w:space="0" w:color="auto"/>
        <w:left w:val="none" w:sz="0" w:space="0" w:color="auto"/>
        <w:bottom w:val="none" w:sz="0" w:space="0" w:color="auto"/>
        <w:right w:val="none" w:sz="0" w:space="0" w:color="auto"/>
      </w:divBdr>
    </w:div>
    <w:div w:id="1135483561">
      <w:bodyDiv w:val="1"/>
      <w:marLeft w:val="0"/>
      <w:marRight w:val="0"/>
      <w:marTop w:val="0"/>
      <w:marBottom w:val="0"/>
      <w:divBdr>
        <w:top w:val="none" w:sz="0" w:space="0" w:color="auto"/>
        <w:left w:val="none" w:sz="0" w:space="0" w:color="auto"/>
        <w:bottom w:val="none" w:sz="0" w:space="0" w:color="auto"/>
        <w:right w:val="none" w:sz="0" w:space="0" w:color="auto"/>
      </w:divBdr>
    </w:div>
    <w:div w:id="1136525511">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0702006">
      <w:bodyDiv w:val="1"/>
      <w:marLeft w:val="0"/>
      <w:marRight w:val="0"/>
      <w:marTop w:val="0"/>
      <w:marBottom w:val="0"/>
      <w:divBdr>
        <w:top w:val="none" w:sz="0" w:space="0" w:color="auto"/>
        <w:left w:val="none" w:sz="0" w:space="0" w:color="auto"/>
        <w:bottom w:val="none" w:sz="0" w:space="0" w:color="auto"/>
        <w:right w:val="none" w:sz="0" w:space="0" w:color="auto"/>
      </w:divBdr>
    </w:div>
    <w:div w:id="1180895015">
      <w:bodyDiv w:val="1"/>
      <w:marLeft w:val="0"/>
      <w:marRight w:val="0"/>
      <w:marTop w:val="0"/>
      <w:marBottom w:val="0"/>
      <w:divBdr>
        <w:top w:val="none" w:sz="0" w:space="0" w:color="auto"/>
        <w:left w:val="none" w:sz="0" w:space="0" w:color="auto"/>
        <w:bottom w:val="none" w:sz="0" w:space="0" w:color="auto"/>
        <w:right w:val="none" w:sz="0" w:space="0" w:color="auto"/>
      </w:divBdr>
      <w:divsChild>
        <w:div w:id="1172178889">
          <w:marLeft w:val="0"/>
          <w:marRight w:val="0"/>
          <w:marTop w:val="0"/>
          <w:marBottom w:val="240"/>
          <w:divBdr>
            <w:top w:val="none" w:sz="0" w:space="0" w:color="auto"/>
            <w:left w:val="none" w:sz="0" w:space="0" w:color="auto"/>
            <w:bottom w:val="none" w:sz="0" w:space="0" w:color="auto"/>
            <w:right w:val="none" w:sz="0" w:space="0" w:color="auto"/>
          </w:divBdr>
        </w:div>
        <w:div w:id="1909069657">
          <w:marLeft w:val="0"/>
          <w:marRight w:val="0"/>
          <w:marTop w:val="0"/>
          <w:marBottom w:val="240"/>
          <w:divBdr>
            <w:top w:val="none" w:sz="0" w:space="0" w:color="auto"/>
            <w:left w:val="none" w:sz="0" w:space="0" w:color="auto"/>
            <w:bottom w:val="none" w:sz="0" w:space="0" w:color="auto"/>
            <w:right w:val="none" w:sz="0" w:space="0" w:color="auto"/>
          </w:divBdr>
        </w:div>
      </w:divsChild>
    </w:div>
    <w:div w:id="1194491536">
      <w:bodyDiv w:val="1"/>
      <w:marLeft w:val="0"/>
      <w:marRight w:val="0"/>
      <w:marTop w:val="0"/>
      <w:marBottom w:val="0"/>
      <w:divBdr>
        <w:top w:val="none" w:sz="0" w:space="0" w:color="auto"/>
        <w:left w:val="none" w:sz="0" w:space="0" w:color="auto"/>
        <w:bottom w:val="none" w:sz="0" w:space="0" w:color="auto"/>
        <w:right w:val="none" w:sz="0" w:space="0" w:color="auto"/>
      </w:divBdr>
    </w:div>
    <w:div w:id="1221285136">
      <w:bodyDiv w:val="1"/>
      <w:marLeft w:val="0"/>
      <w:marRight w:val="0"/>
      <w:marTop w:val="0"/>
      <w:marBottom w:val="0"/>
      <w:divBdr>
        <w:top w:val="none" w:sz="0" w:space="0" w:color="auto"/>
        <w:left w:val="none" w:sz="0" w:space="0" w:color="auto"/>
        <w:bottom w:val="none" w:sz="0" w:space="0" w:color="auto"/>
        <w:right w:val="none" w:sz="0" w:space="0" w:color="auto"/>
      </w:divBdr>
      <w:divsChild>
        <w:div w:id="1302885652">
          <w:marLeft w:val="0"/>
          <w:marRight w:val="0"/>
          <w:marTop w:val="0"/>
          <w:marBottom w:val="0"/>
          <w:divBdr>
            <w:top w:val="none" w:sz="0" w:space="0" w:color="auto"/>
            <w:left w:val="none" w:sz="0" w:space="0" w:color="auto"/>
            <w:bottom w:val="none" w:sz="0" w:space="0" w:color="auto"/>
            <w:right w:val="none" w:sz="0" w:space="0" w:color="auto"/>
          </w:divBdr>
          <w:divsChild>
            <w:div w:id="191878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057353">
      <w:bodyDiv w:val="1"/>
      <w:marLeft w:val="0"/>
      <w:marRight w:val="0"/>
      <w:marTop w:val="0"/>
      <w:marBottom w:val="0"/>
      <w:divBdr>
        <w:top w:val="none" w:sz="0" w:space="0" w:color="auto"/>
        <w:left w:val="none" w:sz="0" w:space="0" w:color="auto"/>
        <w:bottom w:val="none" w:sz="0" w:space="0" w:color="auto"/>
        <w:right w:val="none" w:sz="0" w:space="0" w:color="auto"/>
      </w:divBdr>
      <w:divsChild>
        <w:div w:id="878780604">
          <w:marLeft w:val="0"/>
          <w:marRight w:val="0"/>
          <w:marTop w:val="0"/>
          <w:marBottom w:val="0"/>
          <w:divBdr>
            <w:top w:val="none" w:sz="0" w:space="0" w:color="auto"/>
            <w:left w:val="none" w:sz="0" w:space="0" w:color="auto"/>
            <w:bottom w:val="none" w:sz="0" w:space="0" w:color="auto"/>
            <w:right w:val="none" w:sz="0" w:space="0" w:color="auto"/>
          </w:divBdr>
        </w:div>
        <w:div w:id="1351642785">
          <w:marLeft w:val="0"/>
          <w:marRight w:val="0"/>
          <w:marTop w:val="0"/>
          <w:marBottom w:val="0"/>
          <w:divBdr>
            <w:top w:val="none" w:sz="0" w:space="0" w:color="auto"/>
            <w:left w:val="none" w:sz="0" w:space="0" w:color="auto"/>
            <w:bottom w:val="none" w:sz="0" w:space="0" w:color="auto"/>
            <w:right w:val="none" w:sz="0" w:space="0" w:color="auto"/>
          </w:divBdr>
        </w:div>
        <w:div w:id="1451557950">
          <w:marLeft w:val="0"/>
          <w:marRight w:val="0"/>
          <w:marTop w:val="0"/>
          <w:marBottom w:val="0"/>
          <w:divBdr>
            <w:top w:val="none" w:sz="0" w:space="0" w:color="auto"/>
            <w:left w:val="none" w:sz="0" w:space="0" w:color="auto"/>
            <w:bottom w:val="none" w:sz="0" w:space="0" w:color="auto"/>
            <w:right w:val="none" w:sz="0" w:space="0" w:color="auto"/>
          </w:divBdr>
        </w:div>
        <w:div w:id="1678190110">
          <w:marLeft w:val="0"/>
          <w:marRight w:val="0"/>
          <w:marTop w:val="0"/>
          <w:marBottom w:val="0"/>
          <w:divBdr>
            <w:top w:val="none" w:sz="0" w:space="0" w:color="auto"/>
            <w:left w:val="none" w:sz="0" w:space="0" w:color="auto"/>
            <w:bottom w:val="none" w:sz="0" w:space="0" w:color="auto"/>
            <w:right w:val="none" w:sz="0" w:space="0" w:color="auto"/>
          </w:divBdr>
        </w:div>
      </w:divsChild>
    </w:div>
    <w:div w:id="1239750650">
      <w:bodyDiv w:val="1"/>
      <w:marLeft w:val="0"/>
      <w:marRight w:val="0"/>
      <w:marTop w:val="0"/>
      <w:marBottom w:val="0"/>
      <w:divBdr>
        <w:top w:val="none" w:sz="0" w:space="0" w:color="auto"/>
        <w:left w:val="none" w:sz="0" w:space="0" w:color="auto"/>
        <w:bottom w:val="none" w:sz="0" w:space="0" w:color="auto"/>
        <w:right w:val="none" w:sz="0" w:space="0" w:color="auto"/>
      </w:divBdr>
    </w:div>
    <w:div w:id="1248152884">
      <w:bodyDiv w:val="1"/>
      <w:marLeft w:val="0"/>
      <w:marRight w:val="0"/>
      <w:marTop w:val="0"/>
      <w:marBottom w:val="0"/>
      <w:divBdr>
        <w:top w:val="none" w:sz="0" w:space="0" w:color="auto"/>
        <w:left w:val="none" w:sz="0" w:space="0" w:color="auto"/>
        <w:bottom w:val="none" w:sz="0" w:space="0" w:color="auto"/>
        <w:right w:val="none" w:sz="0" w:space="0" w:color="auto"/>
      </w:divBdr>
    </w:div>
    <w:div w:id="1258557687">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50018">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177328">
      <w:bodyDiv w:val="1"/>
      <w:marLeft w:val="0"/>
      <w:marRight w:val="0"/>
      <w:marTop w:val="0"/>
      <w:marBottom w:val="0"/>
      <w:divBdr>
        <w:top w:val="none" w:sz="0" w:space="0" w:color="auto"/>
        <w:left w:val="none" w:sz="0" w:space="0" w:color="auto"/>
        <w:bottom w:val="none" w:sz="0" w:space="0" w:color="auto"/>
        <w:right w:val="none" w:sz="0" w:space="0" w:color="auto"/>
      </w:divBdr>
    </w:div>
    <w:div w:id="1311137897">
      <w:bodyDiv w:val="1"/>
      <w:marLeft w:val="0"/>
      <w:marRight w:val="0"/>
      <w:marTop w:val="0"/>
      <w:marBottom w:val="0"/>
      <w:divBdr>
        <w:top w:val="none" w:sz="0" w:space="0" w:color="auto"/>
        <w:left w:val="none" w:sz="0" w:space="0" w:color="auto"/>
        <w:bottom w:val="none" w:sz="0" w:space="0" w:color="auto"/>
        <w:right w:val="none" w:sz="0" w:space="0" w:color="auto"/>
      </w:divBdr>
    </w:div>
    <w:div w:id="1321470703">
      <w:bodyDiv w:val="1"/>
      <w:marLeft w:val="0"/>
      <w:marRight w:val="0"/>
      <w:marTop w:val="0"/>
      <w:marBottom w:val="0"/>
      <w:divBdr>
        <w:top w:val="none" w:sz="0" w:space="0" w:color="auto"/>
        <w:left w:val="none" w:sz="0" w:space="0" w:color="auto"/>
        <w:bottom w:val="none" w:sz="0" w:space="0" w:color="auto"/>
        <w:right w:val="none" w:sz="0" w:space="0" w:color="auto"/>
      </w:divBdr>
    </w:div>
    <w:div w:id="1324551262">
      <w:bodyDiv w:val="1"/>
      <w:marLeft w:val="0"/>
      <w:marRight w:val="0"/>
      <w:marTop w:val="0"/>
      <w:marBottom w:val="0"/>
      <w:divBdr>
        <w:top w:val="none" w:sz="0" w:space="0" w:color="auto"/>
        <w:left w:val="none" w:sz="0" w:space="0" w:color="auto"/>
        <w:bottom w:val="none" w:sz="0" w:space="0" w:color="auto"/>
        <w:right w:val="none" w:sz="0" w:space="0" w:color="auto"/>
      </w:divBdr>
    </w:div>
    <w:div w:id="1325864745">
      <w:bodyDiv w:val="1"/>
      <w:marLeft w:val="0"/>
      <w:marRight w:val="0"/>
      <w:marTop w:val="0"/>
      <w:marBottom w:val="0"/>
      <w:divBdr>
        <w:top w:val="none" w:sz="0" w:space="0" w:color="auto"/>
        <w:left w:val="none" w:sz="0" w:space="0" w:color="auto"/>
        <w:bottom w:val="none" w:sz="0" w:space="0" w:color="auto"/>
        <w:right w:val="none" w:sz="0" w:space="0" w:color="auto"/>
      </w:divBdr>
    </w:div>
    <w:div w:id="1334988230">
      <w:bodyDiv w:val="1"/>
      <w:marLeft w:val="0"/>
      <w:marRight w:val="0"/>
      <w:marTop w:val="0"/>
      <w:marBottom w:val="0"/>
      <w:divBdr>
        <w:top w:val="none" w:sz="0" w:space="0" w:color="auto"/>
        <w:left w:val="none" w:sz="0" w:space="0" w:color="auto"/>
        <w:bottom w:val="none" w:sz="0" w:space="0" w:color="auto"/>
        <w:right w:val="none" w:sz="0" w:space="0" w:color="auto"/>
      </w:divBdr>
    </w:div>
    <w:div w:id="1350714867">
      <w:bodyDiv w:val="1"/>
      <w:marLeft w:val="0"/>
      <w:marRight w:val="0"/>
      <w:marTop w:val="0"/>
      <w:marBottom w:val="0"/>
      <w:divBdr>
        <w:top w:val="none" w:sz="0" w:space="0" w:color="auto"/>
        <w:left w:val="none" w:sz="0" w:space="0" w:color="auto"/>
        <w:bottom w:val="none" w:sz="0" w:space="0" w:color="auto"/>
        <w:right w:val="none" w:sz="0" w:space="0" w:color="auto"/>
      </w:divBdr>
      <w:divsChild>
        <w:div w:id="179783703">
          <w:marLeft w:val="0"/>
          <w:marRight w:val="0"/>
          <w:marTop w:val="0"/>
          <w:marBottom w:val="0"/>
          <w:divBdr>
            <w:top w:val="none" w:sz="0" w:space="0" w:color="auto"/>
            <w:left w:val="none" w:sz="0" w:space="0" w:color="auto"/>
            <w:bottom w:val="none" w:sz="0" w:space="0" w:color="auto"/>
            <w:right w:val="none" w:sz="0" w:space="0" w:color="auto"/>
          </w:divBdr>
        </w:div>
        <w:div w:id="207761573">
          <w:marLeft w:val="0"/>
          <w:marRight w:val="0"/>
          <w:marTop w:val="0"/>
          <w:marBottom w:val="0"/>
          <w:divBdr>
            <w:top w:val="none" w:sz="0" w:space="0" w:color="auto"/>
            <w:left w:val="none" w:sz="0" w:space="0" w:color="auto"/>
            <w:bottom w:val="none" w:sz="0" w:space="0" w:color="auto"/>
            <w:right w:val="none" w:sz="0" w:space="0" w:color="auto"/>
          </w:divBdr>
        </w:div>
        <w:div w:id="278225913">
          <w:marLeft w:val="0"/>
          <w:marRight w:val="0"/>
          <w:marTop w:val="0"/>
          <w:marBottom w:val="0"/>
          <w:divBdr>
            <w:top w:val="none" w:sz="0" w:space="0" w:color="auto"/>
            <w:left w:val="none" w:sz="0" w:space="0" w:color="auto"/>
            <w:bottom w:val="none" w:sz="0" w:space="0" w:color="auto"/>
            <w:right w:val="none" w:sz="0" w:space="0" w:color="auto"/>
          </w:divBdr>
        </w:div>
        <w:div w:id="590049247">
          <w:marLeft w:val="0"/>
          <w:marRight w:val="0"/>
          <w:marTop w:val="0"/>
          <w:marBottom w:val="0"/>
          <w:divBdr>
            <w:top w:val="none" w:sz="0" w:space="0" w:color="auto"/>
            <w:left w:val="none" w:sz="0" w:space="0" w:color="auto"/>
            <w:bottom w:val="none" w:sz="0" w:space="0" w:color="auto"/>
            <w:right w:val="none" w:sz="0" w:space="0" w:color="auto"/>
          </w:divBdr>
        </w:div>
        <w:div w:id="854922413">
          <w:marLeft w:val="0"/>
          <w:marRight w:val="0"/>
          <w:marTop w:val="0"/>
          <w:marBottom w:val="0"/>
          <w:divBdr>
            <w:top w:val="none" w:sz="0" w:space="0" w:color="auto"/>
            <w:left w:val="none" w:sz="0" w:space="0" w:color="auto"/>
            <w:bottom w:val="none" w:sz="0" w:space="0" w:color="auto"/>
            <w:right w:val="none" w:sz="0" w:space="0" w:color="auto"/>
          </w:divBdr>
        </w:div>
        <w:div w:id="867717940">
          <w:marLeft w:val="0"/>
          <w:marRight w:val="0"/>
          <w:marTop w:val="0"/>
          <w:marBottom w:val="0"/>
          <w:divBdr>
            <w:top w:val="none" w:sz="0" w:space="0" w:color="auto"/>
            <w:left w:val="none" w:sz="0" w:space="0" w:color="auto"/>
            <w:bottom w:val="none" w:sz="0" w:space="0" w:color="auto"/>
            <w:right w:val="none" w:sz="0" w:space="0" w:color="auto"/>
          </w:divBdr>
        </w:div>
        <w:div w:id="1292053889">
          <w:marLeft w:val="0"/>
          <w:marRight w:val="0"/>
          <w:marTop w:val="0"/>
          <w:marBottom w:val="0"/>
          <w:divBdr>
            <w:top w:val="none" w:sz="0" w:space="0" w:color="auto"/>
            <w:left w:val="none" w:sz="0" w:space="0" w:color="auto"/>
            <w:bottom w:val="none" w:sz="0" w:space="0" w:color="auto"/>
            <w:right w:val="none" w:sz="0" w:space="0" w:color="auto"/>
          </w:divBdr>
        </w:div>
        <w:div w:id="1728529295">
          <w:marLeft w:val="0"/>
          <w:marRight w:val="0"/>
          <w:marTop w:val="0"/>
          <w:marBottom w:val="0"/>
          <w:divBdr>
            <w:top w:val="none" w:sz="0" w:space="0" w:color="auto"/>
            <w:left w:val="none" w:sz="0" w:space="0" w:color="auto"/>
            <w:bottom w:val="none" w:sz="0" w:space="0" w:color="auto"/>
            <w:right w:val="none" w:sz="0" w:space="0" w:color="auto"/>
          </w:divBdr>
        </w:div>
        <w:div w:id="1790274361">
          <w:marLeft w:val="0"/>
          <w:marRight w:val="0"/>
          <w:marTop w:val="0"/>
          <w:marBottom w:val="0"/>
          <w:divBdr>
            <w:top w:val="none" w:sz="0" w:space="0" w:color="auto"/>
            <w:left w:val="none" w:sz="0" w:space="0" w:color="auto"/>
            <w:bottom w:val="none" w:sz="0" w:space="0" w:color="auto"/>
            <w:right w:val="none" w:sz="0" w:space="0" w:color="auto"/>
          </w:divBdr>
        </w:div>
        <w:div w:id="1790510826">
          <w:marLeft w:val="0"/>
          <w:marRight w:val="0"/>
          <w:marTop w:val="0"/>
          <w:marBottom w:val="0"/>
          <w:divBdr>
            <w:top w:val="none" w:sz="0" w:space="0" w:color="auto"/>
            <w:left w:val="none" w:sz="0" w:space="0" w:color="auto"/>
            <w:bottom w:val="none" w:sz="0" w:space="0" w:color="auto"/>
            <w:right w:val="none" w:sz="0" w:space="0" w:color="auto"/>
          </w:divBdr>
        </w:div>
        <w:div w:id="1849369324">
          <w:marLeft w:val="0"/>
          <w:marRight w:val="0"/>
          <w:marTop w:val="0"/>
          <w:marBottom w:val="0"/>
          <w:divBdr>
            <w:top w:val="none" w:sz="0" w:space="0" w:color="auto"/>
            <w:left w:val="none" w:sz="0" w:space="0" w:color="auto"/>
            <w:bottom w:val="none" w:sz="0" w:space="0" w:color="auto"/>
            <w:right w:val="none" w:sz="0" w:space="0" w:color="auto"/>
          </w:divBdr>
        </w:div>
        <w:div w:id="1920942695">
          <w:marLeft w:val="0"/>
          <w:marRight w:val="0"/>
          <w:marTop w:val="0"/>
          <w:marBottom w:val="0"/>
          <w:divBdr>
            <w:top w:val="none" w:sz="0" w:space="0" w:color="auto"/>
            <w:left w:val="none" w:sz="0" w:space="0" w:color="auto"/>
            <w:bottom w:val="none" w:sz="0" w:space="0" w:color="auto"/>
            <w:right w:val="none" w:sz="0" w:space="0" w:color="auto"/>
          </w:divBdr>
        </w:div>
        <w:div w:id="2043821724">
          <w:marLeft w:val="0"/>
          <w:marRight w:val="0"/>
          <w:marTop w:val="0"/>
          <w:marBottom w:val="0"/>
          <w:divBdr>
            <w:top w:val="none" w:sz="0" w:space="0" w:color="auto"/>
            <w:left w:val="none" w:sz="0" w:space="0" w:color="auto"/>
            <w:bottom w:val="none" w:sz="0" w:space="0" w:color="auto"/>
            <w:right w:val="none" w:sz="0" w:space="0" w:color="auto"/>
          </w:divBdr>
        </w:div>
      </w:divsChild>
    </w:div>
    <w:div w:id="1374769644">
      <w:bodyDiv w:val="1"/>
      <w:marLeft w:val="0"/>
      <w:marRight w:val="0"/>
      <w:marTop w:val="0"/>
      <w:marBottom w:val="0"/>
      <w:divBdr>
        <w:top w:val="none" w:sz="0" w:space="0" w:color="auto"/>
        <w:left w:val="none" w:sz="0" w:space="0" w:color="auto"/>
        <w:bottom w:val="none" w:sz="0" w:space="0" w:color="auto"/>
        <w:right w:val="none" w:sz="0" w:space="0" w:color="auto"/>
      </w:divBdr>
    </w:div>
    <w:div w:id="1375691345">
      <w:bodyDiv w:val="1"/>
      <w:marLeft w:val="0"/>
      <w:marRight w:val="0"/>
      <w:marTop w:val="0"/>
      <w:marBottom w:val="0"/>
      <w:divBdr>
        <w:top w:val="none" w:sz="0" w:space="0" w:color="auto"/>
        <w:left w:val="none" w:sz="0" w:space="0" w:color="auto"/>
        <w:bottom w:val="none" w:sz="0" w:space="0" w:color="auto"/>
        <w:right w:val="none" w:sz="0" w:space="0" w:color="auto"/>
      </w:divBdr>
    </w:div>
    <w:div w:id="1381368936">
      <w:bodyDiv w:val="1"/>
      <w:marLeft w:val="0"/>
      <w:marRight w:val="0"/>
      <w:marTop w:val="0"/>
      <w:marBottom w:val="0"/>
      <w:divBdr>
        <w:top w:val="none" w:sz="0" w:space="0" w:color="auto"/>
        <w:left w:val="none" w:sz="0" w:space="0" w:color="auto"/>
        <w:bottom w:val="none" w:sz="0" w:space="0" w:color="auto"/>
        <w:right w:val="none" w:sz="0" w:space="0" w:color="auto"/>
      </w:divBdr>
    </w:div>
    <w:div w:id="1385913143">
      <w:bodyDiv w:val="1"/>
      <w:marLeft w:val="0"/>
      <w:marRight w:val="0"/>
      <w:marTop w:val="0"/>
      <w:marBottom w:val="0"/>
      <w:divBdr>
        <w:top w:val="none" w:sz="0" w:space="0" w:color="auto"/>
        <w:left w:val="none" w:sz="0" w:space="0" w:color="auto"/>
        <w:bottom w:val="none" w:sz="0" w:space="0" w:color="auto"/>
        <w:right w:val="none" w:sz="0" w:space="0" w:color="auto"/>
      </w:divBdr>
      <w:divsChild>
        <w:div w:id="103040379">
          <w:marLeft w:val="0"/>
          <w:marRight w:val="0"/>
          <w:marTop w:val="0"/>
          <w:marBottom w:val="0"/>
          <w:divBdr>
            <w:top w:val="none" w:sz="0" w:space="0" w:color="auto"/>
            <w:left w:val="none" w:sz="0" w:space="0" w:color="auto"/>
            <w:bottom w:val="none" w:sz="0" w:space="0" w:color="auto"/>
            <w:right w:val="none" w:sz="0" w:space="0" w:color="auto"/>
          </w:divBdr>
        </w:div>
        <w:div w:id="129327557">
          <w:marLeft w:val="0"/>
          <w:marRight w:val="0"/>
          <w:marTop w:val="0"/>
          <w:marBottom w:val="0"/>
          <w:divBdr>
            <w:top w:val="none" w:sz="0" w:space="0" w:color="auto"/>
            <w:left w:val="none" w:sz="0" w:space="0" w:color="auto"/>
            <w:bottom w:val="none" w:sz="0" w:space="0" w:color="auto"/>
            <w:right w:val="none" w:sz="0" w:space="0" w:color="auto"/>
          </w:divBdr>
        </w:div>
        <w:div w:id="434518067">
          <w:marLeft w:val="0"/>
          <w:marRight w:val="0"/>
          <w:marTop w:val="0"/>
          <w:marBottom w:val="0"/>
          <w:divBdr>
            <w:top w:val="none" w:sz="0" w:space="0" w:color="auto"/>
            <w:left w:val="none" w:sz="0" w:space="0" w:color="auto"/>
            <w:bottom w:val="none" w:sz="0" w:space="0" w:color="auto"/>
            <w:right w:val="none" w:sz="0" w:space="0" w:color="auto"/>
          </w:divBdr>
        </w:div>
        <w:div w:id="446702163">
          <w:marLeft w:val="0"/>
          <w:marRight w:val="0"/>
          <w:marTop w:val="0"/>
          <w:marBottom w:val="0"/>
          <w:divBdr>
            <w:top w:val="none" w:sz="0" w:space="0" w:color="auto"/>
            <w:left w:val="none" w:sz="0" w:space="0" w:color="auto"/>
            <w:bottom w:val="none" w:sz="0" w:space="0" w:color="auto"/>
            <w:right w:val="none" w:sz="0" w:space="0" w:color="auto"/>
          </w:divBdr>
        </w:div>
        <w:div w:id="473448334">
          <w:marLeft w:val="0"/>
          <w:marRight w:val="0"/>
          <w:marTop w:val="0"/>
          <w:marBottom w:val="0"/>
          <w:divBdr>
            <w:top w:val="none" w:sz="0" w:space="0" w:color="auto"/>
            <w:left w:val="none" w:sz="0" w:space="0" w:color="auto"/>
            <w:bottom w:val="none" w:sz="0" w:space="0" w:color="auto"/>
            <w:right w:val="none" w:sz="0" w:space="0" w:color="auto"/>
          </w:divBdr>
        </w:div>
        <w:div w:id="478498984">
          <w:marLeft w:val="0"/>
          <w:marRight w:val="0"/>
          <w:marTop w:val="0"/>
          <w:marBottom w:val="0"/>
          <w:divBdr>
            <w:top w:val="none" w:sz="0" w:space="0" w:color="auto"/>
            <w:left w:val="none" w:sz="0" w:space="0" w:color="auto"/>
            <w:bottom w:val="none" w:sz="0" w:space="0" w:color="auto"/>
            <w:right w:val="none" w:sz="0" w:space="0" w:color="auto"/>
          </w:divBdr>
        </w:div>
        <w:div w:id="491262862">
          <w:marLeft w:val="0"/>
          <w:marRight w:val="0"/>
          <w:marTop w:val="0"/>
          <w:marBottom w:val="0"/>
          <w:divBdr>
            <w:top w:val="none" w:sz="0" w:space="0" w:color="auto"/>
            <w:left w:val="none" w:sz="0" w:space="0" w:color="auto"/>
            <w:bottom w:val="none" w:sz="0" w:space="0" w:color="auto"/>
            <w:right w:val="none" w:sz="0" w:space="0" w:color="auto"/>
          </w:divBdr>
        </w:div>
        <w:div w:id="765156712">
          <w:marLeft w:val="0"/>
          <w:marRight w:val="0"/>
          <w:marTop w:val="0"/>
          <w:marBottom w:val="0"/>
          <w:divBdr>
            <w:top w:val="none" w:sz="0" w:space="0" w:color="auto"/>
            <w:left w:val="none" w:sz="0" w:space="0" w:color="auto"/>
            <w:bottom w:val="none" w:sz="0" w:space="0" w:color="auto"/>
            <w:right w:val="none" w:sz="0" w:space="0" w:color="auto"/>
          </w:divBdr>
        </w:div>
        <w:div w:id="806433230">
          <w:marLeft w:val="0"/>
          <w:marRight w:val="0"/>
          <w:marTop w:val="0"/>
          <w:marBottom w:val="0"/>
          <w:divBdr>
            <w:top w:val="none" w:sz="0" w:space="0" w:color="auto"/>
            <w:left w:val="none" w:sz="0" w:space="0" w:color="auto"/>
            <w:bottom w:val="none" w:sz="0" w:space="0" w:color="auto"/>
            <w:right w:val="none" w:sz="0" w:space="0" w:color="auto"/>
          </w:divBdr>
        </w:div>
        <w:div w:id="900747109">
          <w:marLeft w:val="0"/>
          <w:marRight w:val="0"/>
          <w:marTop w:val="0"/>
          <w:marBottom w:val="0"/>
          <w:divBdr>
            <w:top w:val="none" w:sz="0" w:space="0" w:color="auto"/>
            <w:left w:val="none" w:sz="0" w:space="0" w:color="auto"/>
            <w:bottom w:val="none" w:sz="0" w:space="0" w:color="auto"/>
            <w:right w:val="none" w:sz="0" w:space="0" w:color="auto"/>
          </w:divBdr>
        </w:div>
        <w:div w:id="936790293">
          <w:marLeft w:val="0"/>
          <w:marRight w:val="0"/>
          <w:marTop w:val="0"/>
          <w:marBottom w:val="0"/>
          <w:divBdr>
            <w:top w:val="none" w:sz="0" w:space="0" w:color="auto"/>
            <w:left w:val="none" w:sz="0" w:space="0" w:color="auto"/>
            <w:bottom w:val="none" w:sz="0" w:space="0" w:color="auto"/>
            <w:right w:val="none" w:sz="0" w:space="0" w:color="auto"/>
          </w:divBdr>
        </w:div>
        <w:div w:id="967590834">
          <w:marLeft w:val="0"/>
          <w:marRight w:val="0"/>
          <w:marTop w:val="0"/>
          <w:marBottom w:val="0"/>
          <w:divBdr>
            <w:top w:val="none" w:sz="0" w:space="0" w:color="auto"/>
            <w:left w:val="none" w:sz="0" w:space="0" w:color="auto"/>
            <w:bottom w:val="none" w:sz="0" w:space="0" w:color="auto"/>
            <w:right w:val="none" w:sz="0" w:space="0" w:color="auto"/>
          </w:divBdr>
        </w:div>
        <w:div w:id="1030955653">
          <w:marLeft w:val="0"/>
          <w:marRight w:val="0"/>
          <w:marTop w:val="0"/>
          <w:marBottom w:val="0"/>
          <w:divBdr>
            <w:top w:val="none" w:sz="0" w:space="0" w:color="auto"/>
            <w:left w:val="none" w:sz="0" w:space="0" w:color="auto"/>
            <w:bottom w:val="none" w:sz="0" w:space="0" w:color="auto"/>
            <w:right w:val="none" w:sz="0" w:space="0" w:color="auto"/>
          </w:divBdr>
        </w:div>
        <w:div w:id="1035085789">
          <w:marLeft w:val="0"/>
          <w:marRight w:val="0"/>
          <w:marTop w:val="0"/>
          <w:marBottom w:val="0"/>
          <w:divBdr>
            <w:top w:val="none" w:sz="0" w:space="0" w:color="auto"/>
            <w:left w:val="none" w:sz="0" w:space="0" w:color="auto"/>
            <w:bottom w:val="none" w:sz="0" w:space="0" w:color="auto"/>
            <w:right w:val="none" w:sz="0" w:space="0" w:color="auto"/>
          </w:divBdr>
        </w:div>
        <w:div w:id="1125197714">
          <w:marLeft w:val="0"/>
          <w:marRight w:val="0"/>
          <w:marTop w:val="0"/>
          <w:marBottom w:val="0"/>
          <w:divBdr>
            <w:top w:val="none" w:sz="0" w:space="0" w:color="auto"/>
            <w:left w:val="none" w:sz="0" w:space="0" w:color="auto"/>
            <w:bottom w:val="none" w:sz="0" w:space="0" w:color="auto"/>
            <w:right w:val="none" w:sz="0" w:space="0" w:color="auto"/>
          </w:divBdr>
        </w:div>
        <w:div w:id="1204440831">
          <w:marLeft w:val="0"/>
          <w:marRight w:val="0"/>
          <w:marTop w:val="0"/>
          <w:marBottom w:val="0"/>
          <w:divBdr>
            <w:top w:val="none" w:sz="0" w:space="0" w:color="auto"/>
            <w:left w:val="none" w:sz="0" w:space="0" w:color="auto"/>
            <w:bottom w:val="none" w:sz="0" w:space="0" w:color="auto"/>
            <w:right w:val="none" w:sz="0" w:space="0" w:color="auto"/>
          </w:divBdr>
        </w:div>
        <w:div w:id="1350763731">
          <w:marLeft w:val="0"/>
          <w:marRight w:val="0"/>
          <w:marTop w:val="0"/>
          <w:marBottom w:val="0"/>
          <w:divBdr>
            <w:top w:val="none" w:sz="0" w:space="0" w:color="auto"/>
            <w:left w:val="none" w:sz="0" w:space="0" w:color="auto"/>
            <w:bottom w:val="none" w:sz="0" w:space="0" w:color="auto"/>
            <w:right w:val="none" w:sz="0" w:space="0" w:color="auto"/>
          </w:divBdr>
        </w:div>
        <w:div w:id="1379012254">
          <w:marLeft w:val="0"/>
          <w:marRight w:val="0"/>
          <w:marTop w:val="0"/>
          <w:marBottom w:val="0"/>
          <w:divBdr>
            <w:top w:val="none" w:sz="0" w:space="0" w:color="auto"/>
            <w:left w:val="none" w:sz="0" w:space="0" w:color="auto"/>
            <w:bottom w:val="none" w:sz="0" w:space="0" w:color="auto"/>
            <w:right w:val="none" w:sz="0" w:space="0" w:color="auto"/>
          </w:divBdr>
        </w:div>
        <w:div w:id="1471052437">
          <w:marLeft w:val="0"/>
          <w:marRight w:val="0"/>
          <w:marTop w:val="0"/>
          <w:marBottom w:val="0"/>
          <w:divBdr>
            <w:top w:val="none" w:sz="0" w:space="0" w:color="auto"/>
            <w:left w:val="none" w:sz="0" w:space="0" w:color="auto"/>
            <w:bottom w:val="none" w:sz="0" w:space="0" w:color="auto"/>
            <w:right w:val="none" w:sz="0" w:space="0" w:color="auto"/>
          </w:divBdr>
        </w:div>
        <w:div w:id="1486387248">
          <w:marLeft w:val="0"/>
          <w:marRight w:val="0"/>
          <w:marTop w:val="0"/>
          <w:marBottom w:val="0"/>
          <w:divBdr>
            <w:top w:val="none" w:sz="0" w:space="0" w:color="auto"/>
            <w:left w:val="none" w:sz="0" w:space="0" w:color="auto"/>
            <w:bottom w:val="none" w:sz="0" w:space="0" w:color="auto"/>
            <w:right w:val="none" w:sz="0" w:space="0" w:color="auto"/>
          </w:divBdr>
        </w:div>
        <w:div w:id="1552305304">
          <w:marLeft w:val="0"/>
          <w:marRight w:val="0"/>
          <w:marTop w:val="0"/>
          <w:marBottom w:val="0"/>
          <w:divBdr>
            <w:top w:val="none" w:sz="0" w:space="0" w:color="auto"/>
            <w:left w:val="none" w:sz="0" w:space="0" w:color="auto"/>
            <w:bottom w:val="none" w:sz="0" w:space="0" w:color="auto"/>
            <w:right w:val="none" w:sz="0" w:space="0" w:color="auto"/>
          </w:divBdr>
        </w:div>
        <w:div w:id="1561595527">
          <w:marLeft w:val="0"/>
          <w:marRight w:val="0"/>
          <w:marTop w:val="0"/>
          <w:marBottom w:val="0"/>
          <w:divBdr>
            <w:top w:val="none" w:sz="0" w:space="0" w:color="auto"/>
            <w:left w:val="none" w:sz="0" w:space="0" w:color="auto"/>
            <w:bottom w:val="none" w:sz="0" w:space="0" w:color="auto"/>
            <w:right w:val="none" w:sz="0" w:space="0" w:color="auto"/>
          </w:divBdr>
        </w:div>
        <w:div w:id="1639142668">
          <w:marLeft w:val="0"/>
          <w:marRight w:val="0"/>
          <w:marTop w:val="0"/>
          <w:marBottom w:val="0"/>
          <w:divBdr>
            <w:top w:val="none" w:sz="0" w:space="0" w:color="auto"/>
            <w:left w:val="none" w:sz="0" w:space="0" w:color="auto"/>
            <w:bottom w:val="none" w:sz="0" w:space="0" w:color="auto"/>
            <w:right w:val="none" w:sz="0" w:space="0" w:color="auto"/>
          </w:divBdr>
        </w:div>
        <w:div w:id="1661470882">
          <w:marLeft w:val="0"/>
          <w:marRight w:val="0"/>
          <w:marTop w:val="0"/>
          <w:marBottom w:val="0"/>
          <w:divBdr>
            <w:top w:val="none" w:sz="0" w:space="0" w:color="auto"/>
            <w:left w:val="none" w:sz="0" w:space="0" w:color="auto"/>
            <w:bottom w:val="none" w:sz="0" w:space="0" w:color="auto"/>
            <w:right w:val="none" w:sz="0" w:space="0" w:color="auto"/>
          </w:divBdr>
        </w:div>
        <w:div w:id="1773011155">
          <w:marLeft w:val="0"/>
          <w:marRight w:val="0"/>
          <w:marTop w:val="0"/>
          <w:marBottom w:val="0"/>
          <w:divBdr>
            <w:top w:val="none" w:sz="0" w:space="0" w:color="auto"/>
            <w:left w:val="none" w:sz="0" w:space="0" w:color="auto"/>
            <w:bottom w:val="none" w:sz="0" w:space="0" w:color="auto"/>
            <w:right w:val="none" w:sz="0" w:space="0" w:color="auto"/>
          </w:divBdr>
        </w:div>
        <w:div w:id="1826362408">
          <w:marLeft w:val="0"/>
          <w:marRight w:val="0"/>
          <w:marTop w:val="0"/>
          <w:marBottom w:val="0"/>
          <w:divBdr>
            <w:top w:val="none" w:sz="0" w:space="0" w:color="auto"/>
            <w:left w:val="none" w:sz="0" w:space="0" w:color="auto"/>
            <w:bottom w:val="none" w:sz="0" w:space="0" w:color="auto"/>
            <w:right w:val="none" w:sz="0" w:space="0" w:color="auto"/>
          </w:divBdr>
        </w:div>
        <w:div w:id="1910190414">
          <w:marLeft w:val="0"/>
          <w:marRight w:val="0"/>
          <w:marTop w:val="0"/>
          <w:marBottom w:val="0"/>
          <w:divBdr>
            <w:top w:val="none" w:sz="0" w:space="0" w:color="auto"/>
            <w:left w:val="none" w:sz="0" w:space="0" w:color="auto"/>
            <w:bottom w:val="none" w:sz="0" w:space="0" w:color="auto"/>
            <w:right w:val="none" w:sz="0" w:space="0" w:color="auto"/>
          </w:divBdr>
        </w:div>
        <w:div w:id="1949464418">
          <w:marLeft w:val="0"/>
          <w:marRight w:val="0"/>
          <w:marTop w:val="0"/>
          <w:marBottom w:val="0"/>
          <w:divBdr>
            <w:top w:val="none" w:sz="0" w:space="0" w:color="auto"/>
            <w:left w:val="none" w:sz="0" w:space="0" w:color="auto"/>
            <w:bottom w:val="none" w:sz="0" w:space="0" w:color="auto"/>
            <w:right w:val="none" w:sz="0" w:space="0" w:color="auto"/>
          </w:divBdr>
        </w:div>
        <w:div w:id="1972708136">
          <w:marLeft w:val="0"/>
          <w:marRight w:val="0"/>
          <w:marTop w:val="0"/>
          <w:marBottom w:val="0"/>
          <w:divBdr>
            <w:top w:val="none" w:sz="0" w:space="0" w:color="auto"/>
            <w:left w:val="none" w:sz="0" w:space="0" w:color="auto"/>
            <w:bottom w:val="none" w:sz="0" w:space="0" w:color="auto"/>
            <w:right w:val="none" w:sz="0" w:space="0" w:color="auto"/>
          </w:divBdr>
        </w:div>
        <w:div w:id="1975216478">
          <w:marLeft w:val="0"/>
          <w:marRight w:val="0"/>
          <w:marTop w:val="0"/>
          <w:marBottom w:val="0"/>
          <w:divBdr>
            <w:top w:val="none" w:sz="0" w:space="0" w:color="auto"/>
            <w:left w:val="none" w:sz="0" w:space="0" w:color="auto"/>
            <w:bottom w:val="none" w:sz="0" w:space="0" w:color="auto"/>
            <w:right w:val="none" w:sz="0" w:space="0" w:color="auto"/>
          </w:divBdr>
        </w:div>
        <w:div w:id="2043632568">
          <w:marLeft w:val="0"/>
          <w:marRight w:val="0"/>
          <w:marTop w:val="0"/>
          <w:marBottom w:val="0"/>
          <w:divBdr>
            <w:top w:val="none" w:sz="0" w:space="0" w:color="auto"/>
            <w:left w:val="none" w:sz="0" w:space="0" w:color="auto"/>
            <w:bottom w:val="none" w:sz="0" w:space="0" w:color="auto"/>
            <w:right w:val="none" w:sz="0" w:space="0" w:color="auto"/>
          </w:divBdr>
        </w:div>
        <w:div w:id="2145807684">
          <w:marLeft w:val="0"/>
          <w:marRight w:val="0"/>
          <w:marTop w:val="0"/>
          <w:marBottom w:val="0"/>
          <w:divBdr>
            <w:top w:val="none" w:sz="0" w:space="0" w:color="auto"/>
            <w:left w:val="none" w:sz="0" w:space="0" w:color="auto"/>
            <w:bottom w:val="none" w:sz="0" w:space="0" w:color="auto"/>
            <w:right w:val="none" w:sz="0" w:space="0" w:color="auto"/>
          </w:divBdr>
        </w:div>
      </w:divsChild>
    </w:div>
    <w:div w:id="1395852122">
      <w:bodyDiv w:val="1"/>
      <w:marLeft w:val="0"/>
      <w:marRight w:val="0"/>
      <w:marTop w:val="0"/>
      <w:marBottom w:val="0"/>
      <w:divBdr>
        <w:top w:val="none" w:sz="0" w:space="0" w:color="auto"/>
        <w:left w:val="none" w:sz="0" w:space="0" w:color="auto"/>
        <w:bottom w:val="none" w:sz="0" w:space="0" w:color="auto"/>
        <w:right w:val="none" w:sz="0" w:space="0" w:color="auto"/>
      </w:divBdr>
    </w:div>
    <w:div w:id="1418209126">
      <w:bodyDiv w:val="1"/>
      <w:marLeft w:val="0"/>
      <w:marRight w:val="0"/>
      <w:marTop w:val="0"/>
      <w:marBottom w:val="0"/>
      <w:divBdr>
        <w:top w:val="none" w:sz="0" w:space="0" w:color="auto"/>
        <w:left w:val="none" w:sz="0" w:space="0" w:color="auto"/>
        <w:bottom w:val="none" w:sz="0" w:space="0" w:color="auto"/>
        <w:right w:val="none" w:sz="0" w:space="0" w:color="auto"/>
      </w:divBdr>
    </w:div>
    <w:div w:id="1479420945">
      <w:bodyDiv w:val="1"/>
      <w:marLeft w:val="0"/>
      <w:marRight w:val="0"/>
      <w:marTop w:val="0"/>
      <w:marBottom w:val="0"/>
      <w:divBdr>
        <w:top w:val="none" w:sz="0" w:space="0" w:color="auto"/>
        <w:left w:val="none" w:sz="0" w:space="0" w:color="auto"/>
        <w:bottom w:val="none" w:sz="0" w:space="0" w:color="auto"/>
        <w:right w:val="none" w:sz="0" w:space="0" w:color="auto"/>
      </w:divBdr>
    </w:div>
    <w:div w:id="1499226916">
      <w:bodyDiv w:val="1"/>
      <w:marLeft w:val="0"/>
      <w:marRight w:val="0"/>
      <w:marTop w:val="0"/>
      <w:marBottom w:val="0"/>
      <w:divBdr>
        <w:top w:val="none" w:sz="0" w:space="0" w:color="auto"/>
        <w:left w:val="none" w:sz="0" w:space="0" w:color="auto"/>
        <w:bottom w:val="none" w:sz="0" w:space="0" w:color="auto"/>
        <w:right w:val="none" w:sz="0" w:space="0" w:color="auto"/>
      </w:divBdr>
    </w:div>
    <w:div w:id="1505976321">
      <w:bodyDiv w:val="1"/>
      <w:marLeft w:val="0"/>
      <w:marRight w:val="0"/>
      <w:marTop w:val="0"/>
      <w:marBottom w:val="0"/>
      <w:divBdr>
        <w:top w:val="none" w:sz="0" w:space="0" w:color="auto"/>
        <w:left w:val="none" w:sz="0" w:space="0" w:color="auto"/>
        <w:bottom w:val="none" w:sz="0" w:space="0" w:color="auto"/>
        <w:right w:val="none" w:sz="0" w:space="0" w:color="auto"/>
      </w:divBdr>
    </w:div>
    <w:div w:id="1512060548">
      <w:bodyDiv w:val="1"/>
      <w:marLeft w:val="0"/>
      <w:marRight w:val="0"/>
      <w:marTop w:val="0"/>
      <w:marBottom w:val="0"/>
      <w:divBdr>
        <w:top w:val="none" w:sz="0" w:space="0" w:color="auto"/>
        <w:left w:val="none" w:sz="0" w:space="0" w:color="auto"/>
        <w:bottom w:val="none" w:sz="0" w:space="0" w:color="auto"/>
        <w:right w:val="none" w:sz="0" w:space="0" w:color="auto"/>
      </w:divBdr>
    </w:div>
    <w:div w:id="1512404745">
      <w:bodyDiv w:val="1"/>
      <w:marLeft w:val="0"/>
      <w:marRight w:val="0"/>
      <w:marTop w:val="0"/>
      <w:marBottom w:val="0"/>
      <w:divBdr>
        <w:top w:val="none" w:sz="0" w:space="0" w:color="auto"/>
        <w:left w:val="none" w:sz="0" w:space="0" w:color="auto"/>
        <w:bottom w:val="none" w:sz="0" w:space="0" w:color="auto"/>
        <w:right w:val="none" w:sz="0" w:space="0" w:color="auto"/>
      </w:divBdr>
      <w:divsChild>
        <w:div w:id="36635236">
          <w:marLeft w:val="0"/>
          <w:marRight w:val="0"/>
          <w:marTop w:val="0"/>
          <w:marBottom w:val="0"/>
          <w:divBdr>
            <w:top w:val="none" w:sz="0" w:space="0" w:color="auto"/>
            <w:left w:val="none" w:sz="0" w:space="0" w:color="auto"/>
            <w:bottom w:val="none" w:sz="0" w:space="0" w:color="auto"/>
            <w:right w:val="none" w:sz="0" w:space="0" w:color="auto"/>
          </w:divBdr>
        </w:div>
        <w:div w:id="229199363">
          <w:marLeft w:val="0"/>
          <w:marRight w:val="0"/>
          <w:marTop w:val="0"/>
          <w:marBottom w:val="0"/>
          <w:divBdr>
            <w:top w:val="none" w:sz="0" w:space="0" w:color="auto"/>
            <w:left w:val="none" w:sz="0" w:space="0" w:color="auto"/>
            <w:bottom w:val="none" w:sz="0" w:space="0" w:color="auto"/>
            <w:right w:val="none" w:sz="0" w:space="0" w:color="auto"/>
          </w:divBdr>
        </w:div>
        <w:div w:id="376517233">
          <w:marLeft w:val="0"/>
          <w:marRight w:val="0"/>
          <w:marTop w:val="0"/>
          <w:marBottom w:val="0"/>
          <w:divBdr>
            <w:top w:val="none" w:sz="0" w:space="0" w:color="auto"/>
            <w:left w:val="none" w:sz="0" w:space="0" w:color="auto"/>
            <w:bottom w:val="none" w:sz="0" w:space="0" w:color="auto"/>
            <w:right w:val="none" w:sz="0" w:space="0" w:color="auto"/>
          </w:divBdr>
        </w:div>
        <w:div w:id="488710356">
          <w:marLeft w:val="0"/>
          <w:marRight w:val="0"/>
          <w:marTop w:val="0"/>
          <w:marBottom w:val="0"/>
          <w:divBdr>
            <w:top w:val="none" w:sz="0" w:space="0" w:color="auto"/>
            <w:left w:val="none" w:sz="0" w:space="0" w:color="auto"/>
            <w:bottom w:val="none" w:sz="0" w:space="0" w:color="auto"/>
            <w:right w:val="none" w:sz="0" w:space="0" w:color="auto"/>
          </w:divBdr>
        </w:div>
        <w:div w:id="938029784">
          <w:marLeft w:val="0"/>
          <w:marRight w:val="0"/>
          <w:marTop w:val="0"/>
          <w:marBottom w:val="0"/>
          <w:divBdr>
            <w:top w:val="none" w:sz="0" w:space="0" w:color="auto"/>
            <w:left w:val="none" w:sz="0" w:space="0" w:color="auto"/>
            <w:bottom w:val="none" w:sz="0" w:space="0" w:color="auto"/>
            <w:right w:val="none" w:sz="0" w:space="0" w:color="auto"/>
          </w:divBdr>
        </w:div>
        <w:div w:id="1057357927">
          <w:marLeft w:val="0"/>
          <w:marRight w:val="0"/>
          <w:marTop w:val="0"/>
          <w:marBottom w:val="0"/>
          <w:divBdr>
            <w:top w:val="none" w:sz="0" w:space="0" w:color="auto"/>
            <w:left w:val="none" w:sz="0" w:space="0" w:color="auto"/>
            <w:bottom w:val="none" w:sz="0" w:space="0" w:color="auto"/>
            <w:right w:val="none" w:sz="0" w:space="0" w:color="auto"/>
          </w:divBdr>
        </w:div>
        <w:div w:id="1265915488">
          <w:marLeft w:val="0"/>
          <w:marRight w:val="0"/>
          <w:marTop w:val="0"/>
          <w:marBottom w:val="0"/>
          <w:divBdr>
            <w:top w:val="none" w:sz="0" w:space="0" w:color="auto"/>
            <w:left w:val="none" w:sz="0" w:space="0" w:color="auto"/>
            <w:bottom w:val="none" w:sz="0" w:space="0" w:color="auto"/>
            <w:right w:val="none" w:sz="0" w:space="0" w:color="auto"/>
          </w:divBdr>
        </w:div>
        <w:div w:id="1428235129">
          <w:marLeft w:val="0"/>
          <w:marRight w:val="0"/>
          <w:marTop w:val="0"/>
          <w:marBottom w:val="0"/>
          <w:divBdr>
            <w:top w:val="none" w:sz="0" w:space="0" w:color="auto"/>
            <w:left w:val="none" w:sz="0" w:space="0" w:color="auto"/>
            <w:bottom w:val="none" w:sz="0" w:space="0" w:color="auto"/>
            <w:right w:val="none" w:sz="0" w:space="0" w:color="auto"/>
          </w:divBdr>
        </w:div>
        <w:div w:id="1482383662">
          <w:marLeft w:val="0"/>
          <w:marRight w:val="0"/>
          <w:marTop w:val="0"/>
          <w:marBottom w:val="0"/>
          <w:divBdr>
            <w:top w:val="none" w:sz="0" w:space="0" w:color="auto"/>
            <w:left w:val="none" w:sz="0" w:space="0" w:color="auto"/>
            <w:bottom w:val="none" w:sz="0" w:space="0" w:color="auto"/>
            <w:right w:val="none" w:sz="0" w:space="0" w:color="auto"/>
          </w:divBdr>
        </w:div>
        <w:div w:id="1553276015">
          <w:marLeft w:val="0"/>
          <w:marRight w:val="0"/>
          <w:marTop w:val="0"/>
          <w:marBottom w:val="0"/>
          <w:divBdr>
            <w:top w:val="none" w:sz="0" w:space="0" w:color="auto"/>
            <w:left w:val="none" w:sz="0" w:space="0" w:color="auto"/>
            <w:bottom w:val="none" w:sz="0" w:space="0" w:color="auto"/>
            <w:right w:val="none" w:sz="0" w:space="0" w:color="auto"/>
          </w:divBdr>
        </w:div>
        <w:div w:id="1611668612">
          <w:marLeft w:val="0"/>
          <w:marRight w:val="0"/>
          <w:marTop w:val="0"/>
          <w:marBottom w:val="0"/>
          <w:divBdr>
            <w:top w:val="none" w:sz="0" w:space="0" w:color="auto"/>
            <w:left w:val="none" w:sz="0" w:space="0" w:color="auto"/>
            <w:bottom w:val="none" w:sz="0" w:space="0" w:color="auto"/>
            <w:right w:val="none" w:sz="0" w:space="0" w:color="auto"/>
          </w:divBdr>
        </w:div>
        <w:div w:id="1929120137">
          <w:marLeft w:val="0"/>
          <w:marRight w:val="0"/>
          <w:marTop w:val="0"/>
          <w:marBottom w:val="0"/>
          <w:divBdr>
            <w:top w:val="none" w:sz="0" w:space="0" w:color="auto"/>
            <w:left w:val="none" w:sz="0" w:space="0" w:color="auto"/>
            <w:bottom w:val="none" w:sz="0" w:space="0" w:color="auto"/>
            <w:right w:val="none" w:sz="0" w:space="0" w:color="auto"/>
          </w:divBdr>
        </w:div>
        <w:div w:id="2079665476">
          <w:marLeft w:val="0"/>
          <w:marRight w:val="0"/>
          <w:marTop w:val="0"/>
          <w:marBottom w:val="0"/>
          <w:divBdr>
            <w:top w:val="none" w:sz="0" w:space="0" w:color="auto"/>
            <w:left w:val="none" w:sz="0" w:space="0" w:color="auto"/>
            <w:bottom w:val="none" w:sz="0" w:space="0" w:color="auto"/>
            <w:right w:val="none" w:sz="0" w:space="0" w:color="auto"/>
          </w:divBdr>
        </w:div>
      </w:divsChild>
    </w:div>
    <w:div w:id="1528910077">
      <w:bodyDiv w:val="1"/>
      <w:marLeft w:val="0"/>
      <w:marRight w:val="0"/>
      <w:marTop w:val="0"/>
      <w:marBottom w:val="0"/>
      <w:divBdr>
        <w:top w:val="none" w:sz="0" w:space="0" w:color="auto"/>
        <w:left w:val="none" w:sz="0" w:space="0" w:color="auto"/>
        <w:bottom w:val="none" w:sz="0" w:space="0" w:color="auto"/>
        <w:right w:val="none" w:sz="0" w:space="0" w:color="auto"/>
      </w:divBdr>
    </w:div>
    <w:div w:id="1534027750">
      <w:bodyDiv w:val="1"/>
      <w:marLeft w:val="0"/>
      <w:marRight w:val="0"/>
      <w:marTop w:val="0"/>
      <w:marBottom w:val="0"/>
      <w:divBdr>
        <w:top w:val="none" w:sz="0" w:space="0" w:color="auto"/>
        <w:left w:val="none" w:sz="0" w:space="0" w:color="auto"/>
        <w:bottom w:val="none" w:sz="0" w:space="0" w:color="auto"/>
        <w:right w:val="none" w:sz="0" w:space="0" w:color="auto"/>
      </w:divBdr>
    </w:div>
    <w:div w:id="1535121928">
      <w:bodyDiv w:val="1"/>
      <w:marLeft w:val="0"/>
      <w:marRight w:val="0"/>
      <w:marTop w:val="0"/>
      <w:marBottom w:val="0"/>
      <w:divBdr>
        <w:top w:val="none" w:sz="0" w:space="0" w:color="auto"/>
        <w:left w:val="none" w:sz="0" w:space="0" w:color="auto"/>
        <w:bottom w:val="none" w:sz="0" w:space="0" w:color="auto"/>
        <w:right w:val="none" w:sz="0" w:space="0" w:color="auto"/>
      </w:divBdr>
      <w:divsChild>
        <w:div w:id="221982749">
          <w:marLeft w:val="0"/>
          <w:marRight w:val="0"/>
          <w:marTop w:val="0"/>
          <w:marBottom w:val="0"/>
          <w:divBdr>
            <w:top w:val="none" w:sz="0" w:space="0" w:color="auto"/>
            <w:left w:val="none" w:sz="0" w:space="0" w:color="auto"/>
            <w:bottom w:val="none" w:sz="0" w:space="0" w:color="auto"/>
            <w:right w:val="none" w:sz="0" w:space="0" w:color="auto"/>
          </w:divBdr>
        </w:div>
        <w:div w:id="1458910992">
          <w:marLeft w:val="0"/>
          <w:marRight w:val="0"/>
          <w:marTop w:val="0"/>
          <w:marBottom w:val="0"/>
          <w:divBdr>
            <w:top w:val="none" w:sz="0" w:space="0" w:color="auto"/>
            <w:left w:val="none" w:sz="0" w:space="0" w:color="auto"/>
            <w:bottom w:val="none" w:sz="0" w:space="0" w:color="auto"/>
            <w:right w:val="none" w:sz="0" w:space="0" w:color="auto"/>
          </w:divBdr>
        </w:div>
        <w:div w:id="1464081158">
          <w:marLeft w:val="0"/>
          <w:marRight w:val="0"/>
          <w:marTop w:val="0"/>
          <w:marBottom w:val="0"/>
          <w:divBdr>
            <w:top w:val="none" w:sz="0" w:space="0" w:color="auto"/>
            <w:left w:val="none" w:sz="0" w:space="0" w:color="auto"/>
            <w:bottom w:val="none" w:sz="0" w:space="0" w:color="auto"/>
            <w:right w:val="none" w:sz="0" w:space="0" w:color="auto"/>
          </w:divBdr>
        </w:div>
        <w:div w:id="1800611415">
          <w:marLeft w:val="0"/>
          <w:marRight w:val="0"/>
          <w:marTop w:val="0"/>
          <w:marBottom w:val="0"/>
          <w:divBdr>
            <w:top w:val="none" w:sz="0" w:space="0" w:color="auto"/>
            <w:left w:val="none" w:sz="0" w:space="0" w:color="auto"/>
            <w:bottom w:val="none" w:sz="0" w:space="0" w:color="auto"/>
            <w:right w:val="none" w:sz="0" w:space="0" w:color="auto"/>
          </w:divBdr>
        </w:div>
      </w:divsChild>
    </w:div>
    <w:div w:id="1538617653">
      <w:bodyDiv w:val="1"/>
      <w:marLeft w:val="0"/>
      <w:marRight w:val="0"/>
      <w:marTop w:val="0"/>
      <w:marBottom w:val="0"/>
      <w:divBdr>
        <w:top w:val="none" w:sz="0" w:space="0" w:color="auto"/>
        <w:left w:val="none" w:sz="0" w:space="0" w:color="auto"/>
        <w:bottom w:val="none" w:sz="0" w:space="0" w:color="auto"/>
        <w:right w:val="none" w:sz="0" w:space="0" w:color="auto"/>
      </w:divBdr>
    </w:div>
    <w:div w:id="1541437590">
      <w:bodyDiv w:val="1"/>
      <w:marLeft w:val="0"/>
      <w:marRight w:val="0"/>
      <w:marTop w:val="0"/>
      <w:marBottom w:val="0"/>
      <w:divBdr>
        <w:top w:val="none" w:sz="0" w:space="0" w:color="auto"/>
        <w:left w:val="none" w:sz="0" w:space="0" w:color="auto"/>
        <w:bottom w:val="none" w:sz="0" w:space="0" w:color="auto"/>
        <w:right w:val="none" w:sz="0" w:space="0" w:color="auto"/>
      </w:divBdr>
    </w:div>
    <w:div w:id="1569615330">
      <w:bodyDiv w:val="1"/>
      <w:marLeft w:val="0"/>
      <w:marRight w:val="0"/>
      <w:marTop w:val="0"/>
      <w:marBottom w:val="0"/>
      <w:divBdr>
        <w:top w:val="none" w:sz="0" w:space="0" w:color="auto"/>
        <w:left w:val="none" w:sz="0" w:space="0" w:color="auto"/>
        <w:bottom w:val="none" w:sz="0" w:space="0" w:color="auto"/>
        <w:right w:val="none" w:sz="0" w:space="0" w:color="auto"/>
      </w:divBdr>
    </w:div>
    <w:div w:id="1582760877">
      <w:bodyDiv w:val="1"/>
      <w:marLeft w:val="0"/>
      <w:marRight w:val="0"/>
      <w:marTop w:val="0"/>
      <w:marBottom w:val="0"/>
      <w:divBdr>
        <w:top w:val="none" w:sz="0" w:space="0" w:color="auto"/>
        <w:left w:val="none" w:sz="0" w:space="0" w:color="auto"/>
        <w:bottom w:val="none" w:sz="0" w:space="0" w:color="auto"/>
        <w:right w:val="none" w:sz="0" w:space="0" w:color="auto"/>
      </w:divBdr>
    </w:div>
    <w:div w:id="1597517973">
      <w:bodyDiv w:val="1"/>
      <w:marLeft w:val="0"/>
      <w:marRight w:val="0"/>
      <w:marTop w:val="0"/>
      <w:marBottom w:val="0"/>
      <w:divBdr>
        <w:top w:val="none" w:sz="0" w:space="0" w:color="auto"/>
        <w:left w:val="none" w:sz="0" w:space="0" w:color="auto"/>
        <w:bottom w:val="none" w:sz="0" w:space="0" w:color="auto"/>
        <w:right w:val="none" w:sz="0" w:space="0" w:color="auto"/>
      </w:divBdr>
    </w:div>
    <w:div w:id="1598095574">
      <w:bodyDiv w:val="1"/>
      <w:marLeft w:val="0"/>
      <w:marRight w:val="0"/>
      <w:marTop w:val="0"/>
      <w:marBottom w:val="0"/>
      <w:divBdr>
        <w:top w:val="none" w:sz="0" w:space="0" w:color="auto"/>
        <w:left w:val="none" w:sz="0" w:space="0" w:color="auto"/>
        <w:bottom w:val="none" w:sz="0" w:space="0" w:color="auto"/>
        <w:right w:val="none" w:sz="0" w:space="0" w:color="auto"/>
      </w:divBdr>
    </w:div>
    <w:div w:id="1607039005">
      <w:bodyDiv w:val="1"/>
      <w:marLeft w:val="0"/>
      <w:marRight w:val="0"/>
      <w:marTop w:val="0"/>
      <w:marBottom w:val="0"/>
      <w:divBdr>
        <w:top w:val="none" w:sz="0" w:space="0" w:color="auto"/>
        <w:left w:val="none" w:sz="0" w:space="0" w:color="auto"/>
        <w:bottom w:val="none" w:sz="0" w:space="0" w:color="auto"/>
        <w:right w:val="none" w:sz="0" w:space="0" w:color="auto"/>
      </w:divBdr>
    </w:div>
    <w:div w:id="1613904693">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825923">
      <w:bodyDiv w:val="1"/>
      <w:marLeft w:val="0"/>
      <w:marRight w:val="0"/>
      <w:marTop w:val="0"/>
      <w:marBottom w:val="0"/>
      <w:divBdr>
        <w:top w:val="none" w:sz="0" w:space="0" w:color="auto"/>
        <w:left w:val="none" w:sz="0" w:space="0" w:color="auto"/>
        <w:bottom w:val="none" w:sz="0" w:space="0" w:color="auto"/>
        <w:right w:val="none" w:sz="0" w:space="0" w:color="auto"/>
      </w:divBdr>
    </w:div>
    <w:div w:id="1671176205">
      <w:bodyDiv w:val="1"/>
      <w:marLeft w:val="0"/>
      <w:marRight w:val="0"/>
      <w:marTop w:val="0"/>
      <w:marBottom w:val="0"/>
      <w:divBdr>
        <w:top w:val="none" w:sz="0" w:space="0" w:color="auto"/>
        <w:left w:val="none" w:sz="0" w:space="0" w:color="auto"/>
        <w:bottom w:val="none" w:sz="0" w:space="0" w:color="auto"/>
        <w:right w:val="none" w:sz="0" w:space="0" w:color="auto"/>
      </w:divBdr>
    </w:div>
    <w:div w:id="1680351373">
      <w:bodyDiv w:val="1"/>
      <w:marLeft w:val="0"/>
      <w:marRight w:val="0"/>
      <w:marTop w:val="0"/>
      <w:marBottom w:val="0"/>
      <w:divBdr>
        <w:top w:val="none" w:sz="0" w:space="0" w:color="auto"/>
        <w:left w:val="none" w:sz="0" w:space="0" w:color="auto"/>
        <w:bottom w:val="none" w:sz="0" w:space="0" w:color="auto"/>
        <w:right w:val="none" w:sz="0" w:space="0" w:color="auto"/>
      </w:divBdr>
    </w:div>
    <w:div w:id="1682197945">
      <w:bodyDiv w:val="1"/>
      <w:marLeft w:val="0"/>
      <w:marRight w:val="0"/>
      <w:marTop w:val="0"/>
      <w:marBottom w:val="0"/>
      <w:divBdr>
        <w:top w:val="none" w:sz="0" w:space="0" w:color="auto"/>
        <w:left w:val="none" w:sz="0" w:space="0" w:color="auto"/>
        <w:bottom w:val="none" w:sz="0" w:space="0" w:color="auto"/>
        <w:right w:val="none" w:sz="0" w:space="0" w:color="auto"/>
      </w:divBdr>
    </w:div>
    <w:div w:id="1684820666">
      <w:bodyDiv w:val="1"/>
      <w:marLeft w:val="0"/>
      <w:marRight w:val="0"/>
      <w:marTop w:val="0"/>
      <w:marBottom w:val="0"/>
      <w:divBdr>
        <w:top w:val="none" w:sz="0" w:space="0" w:color="auto"/>
        <w:left w:val="none" w:sz="0" w:space="0" w:color="auto"/>
        <w:bottom w:val="none" w:sz="0" w:space="0" w:color="auto"/>
        <w:right w:val="none" w:sz="0" w:space="0" w:color="auto"/>
      </w:divBdr>
    </w:div>
    <w:div w:id="1714236474">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6100465">
      <w:bodyDiv w:val="1"/>
      <w:marLeft w:val="0"/>
      <w:marRight w:val="0"/>
      <w:marTop w:val="0"/>
      <w:marBottom w:val="0"/>
      <w:divBdr>
        <w:top w:val="none" w:sz="0" w:space="0" w:color="auto"/>
        <w:left w:val="none" w:sz="0" w:space="0" w:color="auto"/>
        <w:bottom w:val="none" w:sz="0" w:space="0" w:color="auto"/>
        <w:right w:val="none" w:sz="0" w:space="0" w:color="auto"/>
      </w:divBdr>
    </w:div>
    <w:div w:id="1746804376">
      <w:bodyDiv w:val="1"/>
      <w:marLeft w:val="0"/>
      <w:marRight w:val="0"/>
      <w:marTop w:val="0"/>
      <w:marBottom w:val="0"/>
      <w:divBdr>
        <w:top w:val="none" w:sz="0" w:space="0" w:color="auto"/>
        <w:left w:val="none" w:sz="0" w:space="0" w:color="auto"/>
        <w:bottom w:val="none" w:sz="0" w:space="0" w:color="auto"/>
        <w:right w:val="none" w:sz="0" w:space="0" w:color="auto"/>
      </w:divBdr>
    </w:div>
    <w:div w:id="1762683720">
      <w:bodyDiv w:val="1"/>
      <w:marLeft w:val="0"/>
      <w:marRight w:val="0"/>
      <w:marTop w:val="0"/>
      <w:marBottom w:val="0"/>
      <w:divBdr>
        <w:top w:val="none" w:sz="0" w:space="0" w:color="auto"/>
        <w:left w:val="none" w:sz="0" w:space="0" w:color="auto"/>
        <w:bottom w:val="none" w:sz="0" w:space="0" w:color="auto"/>
        <w:right w:val="none" w:sz="0" w:space="0" w:color="auto"/>
      </w:divBdr>
    </w:div>
    <w:div w:id="1774400745">
      <w:bodyDiv w:val="1"/>
      <w:marLeft w:val="0"/>
      <w:marRight w:val="0"/>
      <w:marTop w:val="0"/>
      <w:marBottom w:val="0"/>
      <w:divBdr>
        <w:top w:val="none" w:sz="0" w:space="0" w:color="auto"/>
        <w:left w:val="none" w:sz="0" w:space="0" w:color="auto"/>
        <w:bottom w:val="none" w:sz="0" w:space="0" w:color="auto"/>
        <w:right w:val="none" w:sz="0" w:space="0" w:color="auto"/>
      </w:divBdr>
    </w:div>
    <w:div w:id="1799107656">
      <w:bodyDiv w:val="1"/>
      <w:marLeft w:val="0"/>
      <w:marRight w:val="0"/>
      <w:marTop w:val="0"/>
      <w:marBottom w:val="0"/>
      <w:divBdr>
        <w:top w:val="none" w:sz="0" w:space="0" w:color="auto"/>
        <w:left w:val="none" w:sz="0" w:space="0" w:color="auto"/>
        <w:bottom w:val="none" w:sz="0" w:space="0" w:color="auto"/>
        <w:right w:val="none" w:sz="0" w:space="0" w:color="auto"/>
      </w:divBdr>
    </w:div>
    <w:div w:id="1800027206">
      <w:bodyDiv w:val="1"/>
      <w:marLeft w:val="0"/>
      <w:marRight w:val="0"/>
      <w:marTop w:val="0"/>
      <w:marBottom w:val="0"/>
      <w:divBdr>
        <w:top w:val="none" w:sz="0" w:space="0" w:color="auto"/>
        <w:left w:val="none" w:sz="0" w:space="0" w:color="auto"/>
        <w:bottom w:val="none" w:sz="0" w:space="0" w:color="auto"/>
        <w:right w:val="none" w:sz="0" w:space="0" w:color="auto"/>
      </w:divBdr>
    </w:div>
    <w:div w:id="1801335711">
      <w:bodyDiv w:val="1"/>
      <w:marLeft w:val="0"/>
      <w:marRight w:val="0"/>
      <w:marTop w:val="0"/>
      <w:marBottom w:val="0"/>
      <w:divBdr>
        <w:top w:val="none" w:sz="0" w:space="0" w:color="auto"/>
        <w:left w:val="none" w:sz="0" w:space="0" w:color="auto"/>
        <w:bottom w:val="none" w:sz="0" w:space="0" w:color="auto"/>
        <w:right w:val="none" w:sz="0" w:space="0" w:color="auto"/>
      </w:divBdr>
    </w:div>
    <w:div w:id="1812165234">
      <w:bodyDiv w:val="1"/>
      <w:marLeft w:val="0"/>
      <w:marRight w:val="0"/>
      <w:marTop w:val="0"/>
      <w:marBottom w:val="0"/>
      <w:divBdr>
        <w:top w:val="none" w:sz="0" w:space="0" w:color="auto"/>
        <w:left w:val="none" w:sz="0" w:space="0" w:color="auto"/>
        <w:bottom w:val="none" w:sz="0" w:space="0" w:color="auto"/>
        <w:right w:val="none" w:sz="0" w:space="0" w:color="auto"/>
      </w:divBdr>
    </w:div>
    <w:div w:id="1839417939">
      <w:bodyDiv w:val="1"/>
      <w:marLeft w:val="0"/>
      <w:marRight w:val="0"/>
      <w:marTop w:val="0"/>
      <w:marBottom w:val="0"/>
      <w:divBdr>
        <w:top w:val="none" w:sz="0" w:space="0" w:color="auto"/>
        <w:left w:val="none" w:sz="0" w:space="0" w:color="auto"/>
        <w:bottom w:val="none" w:sz="0" w:space="0" w:color="auto"/>
        <w:right w:val="none" w:sz="0" w:space="0" w:color="auto"/>
      </w:divBdr>
    </w:div>
    <w:div w:id="1871339054">
      <w:bodyDiv w:val="1"/>
      <w:marLeft w:val="0"/>
      <w:marRight w:val="0"/>
      <w:marTop w:val="0"/>
      <w:marBottom w:val="0"/>
      <w:divBdr>
        <w:top w:val="none" w:sz="0" w:space="0" w:color="auto"/>
        <w:left w:val="none" w:sz="0" w:space="0" w:color="auto"/>
        <w:bottom w:val="none" w:sz="0" w:space="0" w:color="auto"/>
        <w:right w:val="none" w:sz="0" w:space="0" w:color="auto"/>
      </w:divBdr>
    </w:div>
    <w:div w:id="1872570680">
      <w:bodyDiv w:val="1"/>
      <w:marLeft w:val="0"/>
      <w:marRight w:val="0"/>
      <w:marTop w:val="0"/>
      <w:marBottom w:val="0"/>
      <w:divBdr>
        <w:top w:val="none" w:sz="0" w:space="0" w:color="auto"/>
        <w:left w:val="none" w:sz="0" w:space="0" w:color="auto"/>
        <w:bottom w:val="none" w:sz="0" w:space="0" w:color="auto"/>
        <w:right w:val="none" w:sz="0" w:space="0" w:color="auto"/>
      </w:divBdr>
    </w:div>
    <w:div w:id="1884822908">
      <w:bodyDiv w:val="1"/>
      <w:marLeft w:val="0"/>
      <w:marRight w:val="0"/>
      <w:marTop w:val="0"/>
      <w:marBottom w:val="0"/>
      <w:divBdr>
        <w:top w:val="none" w:sz="0" w:space="0" w:color="auto"/>
        <w:left w:val="none" w:sz="0" w:space="0" w:color="auto"/>
        <w:bottom w:val="none" w:sz="0" w:space="0" w:color="auto"/>
        <w:right w:val="none" w:sz="0" w:space="0" w:color="auto"/>
      </w:divBdr>
      <w:divsChild>
        <w:div w:id="52513203">
          <w:marLeft w:val="0"/>
          <w:marRight w:val="0"/>
          <w:marTop w:val="0"/>
          <w:marBottom w:val="0"/>
          <w:divBdr>
            <w:top w:val="none" w:sz="0" w:space="0" w:color="auto"/>
            <w:left w:val="none" w:sz="0" w:space="0" w:color="auto"/>
            <w:bottom w:val="none" w:sz="0" w:space="0" w:color="auto"/>
            <w:right w:val="none" w:sz="0" w:space="0" w:color="auto"/>
          </w:divBdr>
        </w:div>
        <w:div w:id="379863011">
          <w:marLeft w:val="0"/>
          <w:marRight w:val="0"/>
          <w:marTop w:val="0"/>
          <w:marBottom w:val="0"/>
          <w:divBdr>
            <w:top w:val="none" w:sz="0" w:space="0" w:color="auto"/>
            <w:left w:val="none" w:sz="0" w:space="0" w:color="auto"/>
            <w:bottom w:val="none" w:sz="0" w:space="0" w:color="auto"/>
            <w:right w:val="none" w:sz="0" w:space="0" w:color="auto"/>
          </w:divBdr>
        </w:div>
        <w:div w:id="960302839">
          <w:marLeft w:val="0"/>
          <w:marRight w:val="0"/>
          <w:marTop w:val="0"/>
          <w:marBottom w:val="0"/>
          <w:divBdr>
            <w:top w:val="none" w:sz="0" w:space="0" w:color="auto"/>
            <w:left w:val="none" w:sz="0" w:space="0" w:color="auto"/>
            <w:bottom w:val="none" w:sz="0" w:space="0" w:color="auto"/>
            <w:right w:val="none" w:sz="0" w:space="0" w:color="auto"/>
          </w:divBdr>
        </w:div>
        <w:div w:id="1775516928">
          <w:marLeft w:val="0"/>
          <w:marRight w:val="0"/>
          <w:marTop w:val="0"/>
          <w:marBottom w:val="0"/>
          <w:divBdr>
            <w:top w:val="none" w:sz="0" w:space="0" w:color="auto"/>
            <w:left w:val="none" w:sz="0" w:space="0" w:color="auto"/>
            <w:bottom w:val="none" w:sz="0" w:space="0" w:color="auto"/>
            <w:right w:val="none" w:sz="0" w:space="0" w:color="auto"/>
          </w:divBdr>
        </w:div>
      </w:divsChild>
    </w:div>
    <w:div w:id="1888296659">
      <w:bodyDiv w:val="1"/>
      <w:marLeft w:val="0"/>
      <w:marRight w:val="0"/>
      <w:marTop w:val="0"/>
      <w:marBottom w:val="0"/>
      <w:divBdr>
        <w:top w:val="none" w:sz="0" w:space="0" w:color="auto"/>
        <w:left w:val="none" w:sz="0" w:space="0" w:color="auto"/>
        <w:bottom w:val="none" w:sz="0" w:space="0" w:color="auto"/>
        <w:right w:val="none" w:sz="0" w:space="0" w:color="auto"/>
      </w:divBdr>
    </w:div>
    <w:div w:id="1925843071">
      <w:bodyDiv w:val="1"/>
      <w:marLeft w:val="0"/>
      <w:marRight w:val="0"/>
      <w:marTop w:val="0"/>
      <w:marBottom w:val="0"/>
      <w:divBdr>
        <w:top w:val="none" w:sz="0" w:space="0" w:color="auto"/>
        <w:left w:val="none" w:sz="0" w:space="0" w:color="auto"/>
        <w:bottom w:val="none" w:sz="0" w:space="0" w:color="auto"/>
        <w:right w:val="none" w:sz="0" w:space="0" w:color="auto"/>
      </w:divBdr>
    </w:div>
    <w:div w:id="1957372197">
      <w:bodyDiv w:val="1"/>
      <w:marLeft w:val="0"/>
      <w:marRight w:val="0"/>
      <w:marTop w:val="0"/>
      <w:marBottom w:val="0"/>
      <w:divBdr>
        <w:top w:val="none" w:sz="0" w:space="0" w:color="auto"/>
        <w:left w:val="none" w:sz="0" w:space="0" w:color="auto"/>
        <w:bottom w:val="none" w:sz="0" w:space="0" w:color="auto"/>
        <w:right w:val="none" w:sz="0" w:space="0" w:color="auto"/>
      </w:divBdr>
    </w:div>
    <w:div w:id="1967587597">
      <w:bodyDiv w:val="1"/>
      <w:marLeft w:val="0"/>
      <w:marRight w:val="0"/>
      <w:marTop w:val="0"/>
      <w:marBottom w:val="0"/>
      <w:divBdr>
        <w:top w:val="none" w:sz="0" w:space="0" w:color="auto"/>
        <w:left w:val="none" w:sz="0" w:space="0" w:color="auto"/>
        <w:bottom w:val="none" w:sz="0" w:space="0" w:color="auto"/>
        <w:right w:val="none" w:sz="0" w:space="0" w:color="auto"/>
      </w:divBdr>
    </w:div>
    <w:div w:id="1970935304">
      <w:bodyDiv w:val="1"/>
      <w:marLeft w:val="0"/>
      <w:marRight w:val="0"/>
      <w:marTop w:val="0"/>
      <w:marBottom w:val="0"/>
      <w:divBdr>
        <w:top w:val="none" w:sz="0" w:space="0" w:color="auto"/>
        <w:left w:val="none" w:sz="0" w:space="0" w:color="auto"/>
        <w:bottom w:val="none" w:sz="0" w:space="0" w:color="auto"/>
        <w:right w:val="none" w:sz="0" w:space="0" w:color="auto"/>
      </w:divBdr>
    </w:div>
    <w:div w:id="1973124339">
      <w:bodyDiv w:val="1"/>
      <w:marLeft w:val="0"/>
      <w:marRight w:val="0"/>
      <w:marTop w:val="0"/>
      <w:marBottom w:val="0"/>
      <w:divBdr>
        <w:top w:val="none" w:sz="0" w:space="0" w:color="auto"/>
        <w:left w:val="none" w:sz="0" w:space="0" w:color="auto"/>
        <w:bottom w:val="none" w:sz="0" w:space="0" w:color="auto"/>
        <w:right w:val="none" w:sz="0" w:space="0" w:color="auto"/>
      </w:divBdr>
    </w:div>
    <w:div w:id="1975328401">
      <w:bodyDiv w:val="1"/>
      <w:marLeft w:val="0"/>
      <w:marRight w:val="0"/>
      <w:marTop w:val="0"/>
      <w:marBottom w:val="0"/>
      <w:divBdr>
        <w:top w:val="none" w:sz="0" w:space="0" w:color="auto"/>
        <w:left w:val="none" w:sz="0" w:space="0" w:color="auto"/>
        <w:bottom w:val="none" w:sz="0" w:space="0" w:color="auto"/>
        <w:right w:val="none" w:sz="0" w:space="0" w:color="auto"/>
      </w:divBdr>
    </w:div>
    <w:div w:id="1978098873">
      <w:bodyDiv w:val="1"/>
      <w:marLeft w:val="0"/>
      <w:marRight w:val="0"/>
      <w:marTop w:val="0"/>
      <w:marBottom w:val="0"/>
      <w:divBdr>
        <w:top w:val="none" w:sz="0" w:space="0" w:color="auto"/>
        <w:left w:val="none" w:sz="0" w:space="0" w:color="auto"/>
        <w:bottom w:val="none" w:sz="0" w:space="0" w:color="auto"/>
        <w:right w:val="none" w:sz="0" w:space="0" w:color="auto"/>
      </w:divBdr>
    </w:div>
    <w:div w:id="1994138654">
      <w:bodyDiv w:val="1"/>
      <w:marLeft w:val="0"/>
      <w:marRight w:val="0"/>
      <w:marTop w:val="0"/>
      <w:marBottom w:val="0"/>
      <w:divBdr>
        <w:top w:val="none" w:sz="0" w:space="0" w:color="auto"/>
        <w:left w:val="none" w:sz="0" w:space="0" w:color="auto"/>
        <w:bottom w:val="none" w:sz="0" w:space="0" w:color="auto"/>
        <w:right w:val="none" w:sz="0" w:space="0" w:color="auto"/>
      </w:divBdr>
    </w:div>
    <w:div w:id="2014069980">
      <w:bodyDiv w:val="1"/>
      <w:marLeft w:val="0"/>
      <w:marRight w:val="0"/>
      <w:marTop w:val="0"/>
      <w:marBottom w:val="0"/>
      <w:divBdr>
        <w:top w:val="none" w:sz="0" w:space="0" w:color="auto"/>
        <w:left w:val="none" w:sz="0" w:space="0" w:color="auto"/>
        <w:bottom w:val="none" w:sz="0" w:space="0" w:color="auto"/>
        <w:right w:val="none" w:sz="0" w:space="0" w:color="auto"/>
      </w:divBdr>
    </w:div>
    <w:div w:id="2060322278">
      <w:bodyDiv w:val="1"/>
      <w:marLeft w:val="0"/>
      <w:marRight w:val="0"/>
      <w:marTop w:val="0"/>
      <w:marBottom w:val="0"/>
      <w:divBdr>
        <w:top w:val="none" w:sz="0" w:space="0" w:color="auto"/>
        <w:left w:val="none" w:sz="0" w:space="0" w:color="auto"/>
        <w:bottom w:val="none" w:sz="0" w:space="0" w:color="auto"/>
        <w:right w:val="none" w:sz="0" w:space="0" w:color="auto"/>
      </w:divBdr>
    </w:div>
    <w:div w:id="2084180266">
      <w:bodyDiv w:val="1"/>
      <w:marLeft w:val="0"/>
      <w:marRight w:val="0"/>
      <w:marTop w:val="0"/>
      <w:marBottom w:val="0"/>
      <w:divBdr>
        <w:top w:val="none" w:sz="0" w:space="0" w:color="auto"/>
        <w:left w:val="none" w:sz="0" w:space="0" w:color="auto"/>
        <w:bottom w:val="none" w:sz="0" w:space="0" w:color="auto"/>
        <w:right w:val="none" w:sz="0" w:space="0" w:color="auto"/>
      </w:divBdr>
      <w:divsChild>
        <w:div w:id="310326437">
          <w:marLeft w:val="0"/>
          <w:marRight w:val="0"/>
          <w:marTop w:val="0"/>
          <w:marBottom w:val="0"/>
          <w:divBdr>
            <w:top w:val="none" w:sz="0" w:space="0" w:color="auto"/>
            <w:left w:val="none" w:sz="0" w:space="0" w:color="auto"/>
            <w:bottom w:val="none" w:sz="0" w:space="0" w:color="auto"/>
            <w:right w:val="none" w:sz="0" w:space="0" w:color="auto"/>
          </w:divBdr>
        </w:div>
        <w:div w:id="434176442">
          <w:marLeft w:val="0"/>
          <w:marRight w:val="0"/>
          <w:marTop w:val="0"/>
          <w:marBottom w:val="0"/>
          <w:divBdr>
            <w:top w:val="none" w:sz="0" w:space="0" w:color="auto"/>
            <w:left w:val="none" w:sz="0" w:space="0" w:color="auto"/>
            <w:bottom w:val="none" w:sz="0" w:space="0" w:color="auto"/>
            <w:right w:val="none" w:sz="0" w:space="0" w:color="auto"/>
          </w:divBdr>
        </w:div>
        <w:div w:id="567232297">
          <w:marLeft w:val="0"/>
          <w:marRight w:val="0"/>
          <w:marTop w:val="0"/>
          <w:marBottom w:val="0"/>
          <w:divBdr>
            <w:top w:val="none" w:sz="0" w:space="0" w:color="auto"/>
            <w:left w:val="none" w:sz="0" w:space="0" w:color="auto"/>
            <w:bottom w:val="none" w:sz="0" w:space="0" w:color="auto"/>
            <w:right w:val="none" w:sz="0" w:space="0" w:color="auto"/>
          </w:divBdr>
        </w:div>
        <w:div w:id="889463819">
          <w:marLeft w:val="0"/>
          <w:marRight w:val="0"/>
          <w:marTop w:val="0"/>
          <w:marBottom w:val="0"/>
          <w:divBdr>
            <w:top w:val="none" w:sz="0" w:space="0" w:color="auto"/>
            <w:left w:val="none" w:sz="0" w:space="0" w:color="auto"/>
            <w:bottom w:val="none" w:sz="0" w:space="0" w:color="auto"/>
            <w:right w:val="none" w:sz="0" w:space="0" w:color="auto"/>
          </w:divBdr>
        </w:div>
        <w:div w:id="1070930323">
          <w:marLeft w:val="0"/>
          <w:marRight w:val="0"/>
          <w:marTop w:val="0"/>
          <w:marBottom w:val="0"/>
          <w:divBdr>
            <w:top w:val="none" w:sz="0" w:space="0" w:color="auto"/>
            <w:left w:val="none" w:sz="0" w:space="0" w:color="auto"/>
            <w:bottom w:val="none" w:sz="0" w:space="0" w:color="auto"/>
            <w:right w:val="none" w:sz="0" w:space="0" w:color="auto"/>
          </w:divBdr>
        </w:div>
        <w:div w:id="1151949494">
          <w:marLeft w:val="0"/>
          <w:marRight w:val="0"/>
          <w:marTop w:val="0"/>
          <w:marBottom w:val="0"/>
          <w:divBdr>
            <w:top w:val="none" w:sz="0" w:space="0" w:color="auto"/>
            <w:left w:val="none" w:sz="0" w:space="0" w:color="auto"/>
            <w:bottom w:val="none" w:sz="0" w:space="0" w:color="auto"/>
            <w:right w:val="none" w:sz="0" w:space="0" w:color="auto"/>
          </w:divBdr>
        </w:div>
        <w:div w:id="1281106546">
          <w:marLeft w:val="0"/>
          <w:marRight w:val="0"/>
          <w:marTop w:val="0"/>
          <w:marBottom w:val="0"/>
          <w:divBdr>
            <w:top w:val="none" w:sz="0" w:space="0" w:color="auto"/>
            <w:left w:val="none" w:sz="0" w:space="0" w:color="auto"/>
            <w:bottom w:val="none" w:sz="0" w:space="0" w:color="auto"/>
            <w:right w:val="none" w:sz="0" w:space="0" w:color="auto"/>
          </w:divBdr>
        </w:div>
      </w:divsChild>
    </w:div>
    <w:div w:id="2085952370">
      <w:bodyDiv w:val="1"/>
      <w:marLeft w:val="0"/>
      <w:marRight w:val="0"/>
      <w:marTop w:val="0"/>
      <w:marBottom w:val="0"/>
      <w:divBdr>
        <w:top w:val="none" w:sz="0" w:space="0" w:color="auto"/>
        <w:left w:val="none" w:sz="0" w:space="0" w:color="auto"/>
        <w:bottom w:val="none" w:sz="0" w:space="0" w:color="auto"/>
        <w:right w:val="none" w:sz="0" w:space="0" w:color="auto"/>
      </w:divBdr>
    </w:div>
    <w:div w:id="2107531350">
      <w:bodyDiv w:val="1"/>
      <w:marLeft w:val="0"/>
      <w:marRight w:val="0"/>
      <w:marTop w:val="0"/>
      <w:marBottom w:val="0"/>
      <w:divBdr>
        <w:top w:val="none" w:sz="0" w:space="0" w:color="auto"/>
        <w:left w:val="none" w:sz="0" w:space="0" w:color="auto"/>
        <w:bottom w:val="none" w:sz="0" w:space="0" w:color="auto"/>
        <w:right w:val="none" w:sz="0" w:space="0" w:color="auto"/>
      </w:divBdr>
    </w:div>
    <w:div w:id="2115442397">
      <w:bodyDiv w:val="1"/>
      <w:marLeft w:val="0"/>
      <w:marRight w:val="0"/>
      <w:marTop w:val="0"/>
      <w:marBottom w:val="0"/>
      <w:divBdr>
        <w:top w:val="none" w:sz="0" w:space="0" w:color="auto"/>
        <w:left w:val="none" w:sz="0" w:space="0" w:color="auto"/>
        <w:bottom w:val="none" w:sz="0" w:space="0" w:color="auto"/>
        <w:right w:val="none" w:sz="0" w:space="0" w:color="auto"/>
      </w:divBdr>
    </w:div>
    <w:div w:id="2120369586">
      <w:bodyDiv w:val="1"/>
      <w:marLeft w:val="0"/>
      <w:marRight w:val="0"/>
      <w:marTop w:val="0"/>
      <w:marBottom w:val="0"/>
      <w:divBdr>
        <w:top w:val="none" w:sz="0" w:space="0" w:color="auto"/>
        <w:left w:val="none" w:sz="0" w:space="0" w:color="auto"/>
        <w:bottom w:val="none" w:sz="0" w:space="0" w:color="auto"/>
        <w:right w:val="none" w:sz="0" w:space="0" w:color="auto"/>
      </w:divBdr>
    </w:div>
    <w:div w:id="2145847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8.xml"/><Relationship Id="rId21" Type="http://schemas.openxmlformats.org/officeDocument/2006/relationships/header" Target="header5.xml"/><Relationship Id="rId42" Type="http://schemas.openxmlformats.org/officeDocument/2006/relationships/image" Target="media/image8.png"/><Relationship Id="rId63" Type="http://schemas.openxmlformats.org/officeDocument/2006/relationships/hyperlink" Target="https://www.chino.io/post/c5-certification-digital-health-compliance-guide?utm" TargetMode="External"/><Relationship Id="rId84" Type="http://schemas.openxmlformats.org/officeDocument/2006/relationships/header" Target="header23.xml"/><Relationship Id="rId138" Type="http://schemas.openxmlformats.org/officeDocument/2006/relationships/footer" Target="footer38.xml"/><Relationship Id="rId159" Type="http://schemas.openxmlformats.org/officeDocument/2006/relationships/header" Target="header40.xml"/><Relationship Id="rId170" Type="http://schemas.openxmlformats.org/officeDocument/2006/relationships/footer" Target="footer45.xml"/><Relationship Id="rId191" Type="http://schemas.openxmlformats.org/officeDocument/2006/relationships/header" Target="header51.xml"/><Relationship Id="rId205" Type="http://schemas.openxmlformats.org/officeDocument/2006/relationships/fontTable" Target="fontTable.xml"/><Relationship Id="rId16" Type="http://schemas.openxmlformats.org/officeDocument/2006/relationships/image" Target="media/image3.png"/><Relationship Id="rId107" Type="http://schemas.openxmlformats.org/officeDocument/2006/relationships/hyperlink" Target="https://academic.oup.com/cybersecurity/article/7/1/tyab021/6362163" TargetMode="External"/><Relationship Id="rId11" Type="http://schemas.openxmlformats.org/officeDocument/2006/relationships/footer" Target="footer1.xml"/><Relationship Id="rId32" Type="http://schemas.openxmlformats.org/officeDocument/2006/relationships/header" Target="header10.xml"/><Relationship Id="rId37" Type="http://schemas.openxmlformats.org/officeDocument/2006/relationships/footer" Target="footer12.xml"/><Relationship Id="rId53" Type="http://schemas.openxmlformats.org/officeDocument/2006/relationships/footer" Target="footer15.xml"/><Relationship Id="rId58" Type="http://schemas.openxmlformats.org/officeDocument/2006/relationships/footer" Target="footer16.xml"/><Relationship Id="rId74" Type="http://schemas.openxmlformats.org/officeDocument/2006/relationships/hyperlink" Target="https://op.europa.eu/en/publication-detail/-/publication/7860ea6e-f003-11ef-981b-01aa75ed71a1/language-en" TargetMode="External"/><Relationship Id="rId79" Type="http://schemas.openxmlformats.org/officeDocument/2006/relationships/footer" Target="footer21.xml"/><Relationship Id="rId102" Type="http://schemas.openxmlformats.org/officeDocument/2006/relationships/hyperlink" Target="https://www.consilium.europa.eu/en/press/press-releases/2025/01/27/cyber-attacks-three-individuals-added-to-eu-sanctions-list-for-malicious-cyber-activities-against-estonia/?utm_campaign=AUTOMATED+-+Alert+-+Newsletter&amp;utm_id=3318&amp;utm_medium=email&amp;utm_source=chatgpt.com" TargetMode="External"/><Relationship Id="rId123" Type="http://schemas.openxmlformats.org/officeDocument/2006/relationships/header" Target="header31.xml"/><Relationship Id="rId128" Type="http://schemas.openxmlformats.org/officeDocument/2006/relationships/footer" Target="footer33.xml"/><Relationship Id="rId144" Type="http://schemas.openxmlformats.org/officeDocument/2006/relationships/chart" Target="charts/chart4.xml"/><Relationship Id="rId149" Type="http://schemas.openxmlformats.org/officeDocument/2006/relationships/chart" Target="charts/chart9.xml"/><Relationship Id="rId5" Type="http://schemas.openxmlformats.org/officeDocument/2006/relationships/webSettings" Target="webSettings.xml"/><Relationship Id="rId90" Type="http://schemas.openxmlformats.org/officeDocument/2006/relationships/footer" Target="footer25.xml"/><Relationship Id="rId95" Type="http://schemas.openxmlformats.org/officeDocument/2006/relationships/hyperlink" Target="https://www.bbc.com/news/articles/cgl15ykerlro" TargetMode="External"/><Relationship Id="rId160" Type="http://schemas.openxmlformats.org/officeDocument/2006/relationships/footer" Target="footer40.xml"/><Relationship Id="rId165" Type="http://schemas.openxmlformats.org/officeDocument/2006/relationships/header" Target="header43.xml"/><Relationship Id="rId181" Type="http://schemas.openxmlformats.org/officeDocument/2006/relationships/image" Target="media/image24.png"/><Relationship Id="rId186" Type="http://schemas.openxmlformats.org/officeDocument/2006/relationships/header" Target="header49.xml"/><Relationship Id="rId22" Type="http://schemas.openxmlformats.org/officeDocument/2006/relationships/footer" Target="footer4.xml"/><Relationship Id="rId27" Type="http://schemas.openxmlformats.org/officeDocument/2006/relationships/footer" Target="footer7.xml"/><Relationship Id="rId43" Type="http://schemas.openxmlformats.org/officeDocument/2006/relationships/image" Target="media/image9.png"/><Relationship Id="rId48" Type="http://schemas.openxmlformats.org/officeDocument/2006/relationships/image" Target="media/image14.png"/><Relationship Id="rId64" Type="http://schemas.openxmlformats.org/officeDocument/2006/relationships/hyperlink" Target="https://simpliant.eu/insights/neues-digital-gesetz-pflicht-zu-c5-testierung-fuer-saas-anbieter-im-gesundheitswesen" TargetMode="External"/><Relationship Id="rId69" Type="http://schemas.openxmlformats.org/officeDocument/2006/relationships/hyperlink" Target="https://www.acn.gov.it/portale/cloud/qualificazione-e-adeguamento" TargetMode="External"/><Relationship Id="rId113" Type="http://schemas.openxmlformats.org/officeDocument/2006/relationships/header" Target="header26.xml"/><Relationship Id="rId118" Type="http://schemas.openxmlformats.org/officeDocument/2006/relationships/footer" Target="footer28.xml"/><Relationship Id="rId134" Type="http://schemas.openxmlformats.org/officeDocument/2006/relationships/footer" Target="footer36.xml"/><Relationship Id="rId139" Type="http://schemas.openxmlformats.org/officeDocument/2006/relationships/header" Target="header39.xml"/><Relationship Id="rId80" Type="http://schemas.openxmlformats.org/officeDocument/2006/relationships/hyperlink" Target="https://www.google.com/search?client=firefox-b-e&amp;channel=entpr&amp;cs=0&amp;sca_esv=3a35777a407e1553&amp;sxsrf=AE3TifPEPY1NOBr2dXXftENDeZY0-s1O5g%3A1759928198264&amp;q=8517.69&amp;sa=X&amp;ved=2ahUKEwiyk7y405SQAxXugv0HHaZRMUAQxccNegQIAxAB&amp;mstk=AUtExfC3cMFcRaiQVCcD19sDU39rXVUdtja44yKM63NRuqPitEjHfBUaRjAY2HD6w7pXaRCPvHizeHtM2vi1-LGx852b6YBKcZfoQf-P4jQ4daqy_AVz81ezjrXVer5nr0OmfGiiLmM5j5MZBaGUN3wzm_DCvVQnRiyD8boQnvxyzDbWNWZodBWPPjqE7lhpoBPF6yCyESNivk-vDXt0mxw6nJzUKDWLbJZkuuY92qajGpcKFYjjicY_UfjTetS2vXknm2qEjC5MyWs7wjDDe91g07Yt&amp;csui=3" TargetMode="External"/><Relationship Id="rId85" Type="http://schemas.openxmlformats.org/officeDocument/2006/relationships/footer" Target="footer23.xml"/><Relationship Id="rId150" Type="http://schemas.openxmlformats.org/officeDocument/2006/relationships/chart" Target="charts/chart10.xml"/><Relationship Id="rId155" Type="http://schemas.openxmlformats.org/officeDocument/2006/relationships/chart" Target="charts/chart14.xml"/><Relationship Id="rId171" Type="http://schemas.openxmlformats.org/officeDocument/2006/relationships/image" Target="media/image20.png"/><Relationship Id="rId176" Type="http://schemas.openxmlformats.org/officeDocument/2006/relationships/image" Target="media/image21.png"/><Relationship Id="rId192" Type="http://schemas.openxmlformats.org/officeDocument/2006/relationships/footer" Target="footer51.xml"/><Relationship Id="rId197" Type="http://schemas.openxmlformats.org/officeDocument/2006/relationships/footer" Target="footer53.xml"/><Relationship Id="rId206" Type="http://schemas.openxmlformats.org/officeDocument/2006/relationships/theme" Target="theme/theme1.xml"/><Relationship Id="rId201" Type="http://schemas.openxmlformats.org/officeDocument/2006/relationships/header" Target="header56.xml"/><Relationship Id="rId12" Type="http://schemas.openxmlformats.org/officeDocument/2006/relationships/footer" Target="footer2.xml"/><Relationship Id="rId17" Type="http://schemas.openxmlformats.org/officeDocument/2006/relationships/image" Target="media/image4.png"/><Relationship Id="rId33" Type="http://schemas.openxmlformats.org/officeDocument/2006/relationships/footer" Target="footer10.xml"/><Relationship Id="rId38" Type="http://schemas.openxmlformats.org/officeDocument/2006/relationships/header" Target="header13.xml"/><Relationship Id="rId59" Type="http://schemas.openxmlformats.org/officeDocument/2006/relationships/header" Target="header17.xml"/><Relationship Id="rId103" Type="http://schemas.openxmlformats.org/officeDocument/2006/relationships/hyperlink" Target="https://www.reuters.com/en/cyberattack-causes-flight-delays-cancellations-brussels-airport-2025-09-20/?utm_source=chatgpt.com" TargetMode="External"/><Relationship Id="rId108" Type="http://schemas.openxmlformats.org/officeDocument/2006/relationships/hyperlink" Target="https://cyberhubs.eu/wp-content/uploads/2024/11/Summary-report_Cybersecurity-Skills-Needs-Analysis-1.pdf" TargetMode="External"/><Relationship Id="rId124" Type="http://schemas.openxmlformats.org/officeDocument/2006/relationships/footer" Target="footer31.xml"/><Relationship Id="rId129" Type="http://schemas.openxmlformats.org/officeDocument/2006/relationships/header" Target="header34.xml"/><Relationship Id="rId54" Type="http://schemas.openxmlformats.org/officeDocument/2006/relationships/hyperlink" Target="https://ted.europa.eu/en/notice/-/detail/18139-2023" TargetMode="External"/><Relationship Id="rId70" Type="http://schemas.openxmlformats.org/officeDocument/2006/relationships/header" Target="header18.xml"/><Relationship Id="rId75" Type="http://schemas.openxmlformats.org/officeDocument/2006/relationships/hyperlink" Target="https://www.pwc.com/mt/en/services/pwc-digital-services/cyber-security-and-privacy/cyber-security-services/dora.html" TargetMode="External"/><Relationship Id="rId91" Type="http://schemas.openxmlformats.org/officeDocument/2006/relationships/hyperlink" Target="https://eurepoc.eu/publication_type/major-cyber-incidents/?utm_source=chatgpt.com" TargetMode="External"/><Relationship Id="rId96" Type="http://schemas.openxmlformats.org/officeDocument/2006/relationships/hyperlink" Target="https://cert.europa.eu/publications/security-advisories/2020-060/" TargetMode="External"/><Relationship Id="rId140" Type="http://schemas.openxmlformats.org/officeDocument/2006/relationships/footer" Target="footer39.xml"/><Relationship Id="rId145" Type="http://schemas.openxmlformats.org/officeDocument/2006/relationships/chart" Target="charts/chart5.xml"/><Relationship Id="rId161" Type="http://schemas.openxmlformats.org/officeDocument/2006/relationships/header" Target="header41.xml"/><Relationship Id="rId166" Type="http://schemas.openxmlformats.org/officeDocument/2006/relationships/header" Target="header44.xml"/><Relationship Id="rId182" Type="http://schemas.openxmlformats.org/officeDocument/2006/relationships/image" Target="media/image29.svg"/><Relationship Id="rId187" Type="http://schemas.openxmlformats.org/officeDocument/2006/relationships/footer" Target="footer48.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5.xml"/><Relationship Id="rId28" Type="http://schemas.openxmlformats.org/officeDocument/2006/relationships/header" Target="header8.xml"/><Relationship Id="rId49" Type="http://schemas.openxmlformats.org/officeDocument/2006/relationships/image" Target="media/image15.png"/><Relationship Id="rId114" Type="http://schemas.openxmlformats.org/officeDocument/2006/relationships/footer" Target="footer26.xml"/><Relationship Id="rId119" Type="http://schemas.openxmlformats.org/officeDocument/2006/relationships/header" Target="header29.xml"/><Relationship Id="rId44" Type="http://schemas.openxmlformats.org/officeDocument/2006/relationships/image" Target="media/image10.png"/><Relationship Id="rId60" Type="http://schemas.openxmlformats.org/officeDocument/2006/relationships/footer" Target="footer17.xml"/><Relationship Id="rId65" Type="http://schemas.openxmlformats.org/officeDocument/2006/relationships/hyperlink" Target="https://www.bsi.bund.de/SharedDocs/Downloads/EN/BSI/CloudComputing/ComplianceControlsCatalogue/2020/C5_2020.pdf?__blob=publicationFile&amp;v=3" TargetMode="External"/><Relationship Id="rId81" Type="http://schemas.openxmlformats.org/officeDocument/2006/relationships/hyperlink" Target="https://www.google.com/search?client=firefox-b-e&amp;channel=entpr&amp;cs=0&amp;sca_esv=3a35777a407e1553&amp;sxsrf=AE3TifPEPY1NOBr2dXXftENDeZY0-s1O5g%3A1759928198264&amp;q=8517.61&amp;sa=X&amp;ved=2ahUKEwiyk7y405SQAxXugv0HHaZRMUAQxccNegQIAxAC&amp;mstk=AUtExfC3cMFcRaiQVCcD19sDU39rXVUdtja44yKM63NRuqPitEjHfBUaRjAY2HD6w7pXaRCPvHizeHtM2vi1-LGx852b6YBKcZfoQf-P4jQ4daqy_AVz81ezjrXVer5nr0OmfGiiLmM5j5MZBaGUN3wzm_DCvVQnRiyD8boQnvxyzDbWNWZodBWPPjqE7lhpoBPF6yCyESNivk-vDXt0mxw6nJzUKDWLbJZkuuY92qajGpcKFYjjicY_UfjTetS2vXknm2qEjC5MyWs7wjDDe91g07Yt&amp;csui=3" TargetMode="External"/><Relationship Id="rId86" Type="http://schemas.openxmlformats.org/officeDocument/2006/relationships/image" Target="media/image17.png"/><Relationship Id="rId130" Type="http://schemas.openxmlformats.org/officeDocument/2006/relationships/footer" Target="footer34.xml"/><Relationship Id="rId135" Type="http://schemas.openxmlformats.org/officeDocument/2006/relationships/header" Target="header37.xml"/><Relationship Id="rId151" Type="http://schemas.openxmlformats.org/officeDocument/2006/relationships/chart" Target="charts/chart11.xml"/><Relationship Id="rId156" Type="http://schemas.openxmlformats.org/officeDocument/2006/relationships/chart" Target="charts/chart15.xml"/><Relationship Id="rId177" Type="http://schemas.openxmlformats.org/officeDocument/2006/relationships/image" Target="media/image22.png"/><Relationship Id="rId198" Type="http://schemas.openxmlformats.org/officeDocument/2006/relationships/footer" Target="footer54.xml"/><Relationship Id="rId172" Type="http://schemas.openxmlformats.org/officeDocument/2006/relationships/header" Target="header46.xml"/><Relationship Id="rId193" Type="http://schemas.openxmlformats.org/officeDocument/2006/relationships/header" Target="header52.xml"/><Relationship Id="rId202" Type="http://schemas.openxmlformats.org/officeDocument/2006/relationships/footer" Target="footer56.xml"/><Relationship Id="rId13" Type="http://schemas.openxmlformats.org/officeDocument/2006/relationships/header" Target="header3.xml"/><Relationship Id="rId18" Type="http://schemas.openxmlformats.org/officeDocument/2006/relationships/image" Target="media/image5.svg"/><Relationship Id="rId39" Type="http://schemas.openxmlformats.org/officeDocument/2006/relationships/footer" Target="footer13.xml"/><Relationship Id="rId109" Type="http://schemas.openxmlformats.org/officeDocument/2006/relationships/hyperlink" Target="https://www.enisa.europa.eu/sites/default/files/2024-11/CSPA%20-%20NIS%20Investments%20-%202024_0.pdf" TargetMode="External"/><Relationship Id="rId34"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hyperlink" Target="https://www.nicybersecuritycentre.gov.uk/files/nicybersecuritycentre/2023-06/Course%20Details%20and%20Certification%20Body%20Requirements%20v6-1%20pdf%20%282%29.pdf" TargetMode="External"/><Relationship Id="rId76" Type="http://schemas.openxmlformats.org/officeDocument/2006/relationships/header" Target="header20.xml"/><Relationship Id="rId97" Type="http://schemas.openxmlformats.org/officeDocument/2006/relationships/hyperlink" Target="https://eurepoc.eu/publication_type/major-cyber-incidents/?utm_source=chatgpt.com" TargetMode="External"/><Relationship Id="rId104" Type="http://schemas.openxmlformats.org/officeDocument/2006/relationships/hyperlink" Target="https://www.enisa.europa.eu/sites/default/files/publications/ENISA%20Transport%20Threat%20Landscape_RECAST2.pdf" TargetMode="External"/><Relationship Id="rId120" Type="http://schemas.openxmlformats.org/officeDocument/2006/relationships/header" Target="header30.xml"/><Relationship Id="rId125" Type="http://schemas.openxmlformats.org/officeDocument/2006/relationships/header" Target="header32.xml"/><Relationship Id="rId141" Type="http://schemas.openxmlformats.org/officeDocument/2006/relationships/chart" Target="charts/chart1.xml"/><Relationship Id="rId146" Type="http://schemas.openxmlformats.org/officeDocument/2006/relationships/chart" Target="charts/chart6.xml"/><Relationship Id="rId167" Type="http://schemas.openxmlformats.org/officeDocument/2006/relationships/footer" Target="footer43.xml"/><Relationship Id="rId188" Type="http://schemas.openxmlformats.org/officeDocument/2006/relationships/footer" Target="footer49.xml"/><Relationship Id="rId7" Type="http://schemas.openxmlformats.org/officeDocument/2006/relationships/endnotes" Target="endnotes.xml"/><Relationship Id="rId71" Type="http://schemas.openxmlformats.org/officeDocument/2006/relationships/footer" Target="footer18.xml"/><Relationship Id="rId92" Type="http://schemas.openxmlformats.org/officeDocument/2006/relationships/hyperlink" Target="https://www.wired.com/story/how-wannacry-spread-around-the-world/" TargetMode="External"/><Relationship Id="rId162" Type="http://schemas.openxmlformats.org/officeDocument/2006/relationships/footer" Target="footer41.xml"/><Relationship Id="rId183" Type="http://schemas.openxmlformats.org/officeDocument/2006/relationships/image" Target="media/image25.png"/><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header" Target="header6.xml"/><Relationship Id="rId40" Type="http://schemas.openxmlformats.org/officeDocument/2006/relationships/image" Target="media/image6.png"/><Relationship Id="rId45" Type="http://schemas.openxmlformats.org/officeDocument/2006/relationships/image" Target="media/image11.png"/><Relationship Id="rId66" Type="http://schemas.openxmlformats.org/officeDocument/2006/relationships/hyperlink" Target="https://www.audidat.com/blog/esquema-nacional-de-seguridad/certificacion-ens-precio/" TargetMode="External"/><Relationship Id="rId87" Type="http://schemas.openxmlformats.org/officeDocument/2006/relationships/header" Target="header24.xml"/><Relationship Id="rId110" Type="http://schemas.openxmlformats.org/officeDocument/2006/relationships/hyperlink" Target="https://reports.weforum.org/docs/WEF_Global_Cybersecurity_Outlook_2025.pdf" TargetMode="External"/><Relationship Id="rId115" Type="http://schemas.openxmlformats.org/officeDocument/2006/relationships/header" Target="header27.xml"/><Relationship Id="rId131" Type="http://schemas.openxmlformats.org/officeDocument/2006/relationships/header" Target="header35.xml"/><Relationship Id="rId136" Type="http://schemas.openxmlformats.org/officeDocument/2006/relationships/footer" Target="footer37.xml"/><Relationship Id="rId157" Type="http://schemas.openxmlformats.org/officeDocument/2006/relationships/image" Target="media/image19.png"/><Relationship Id="rId178" Type="http://schemas.openxmlformats.org/officeDocument/2006/relationships/image" Target="media/image25.svg"/><Relationship Id="rId61" Type="http://schemas.openxmlformats.org/officeDocument/2006/relationships/hyperlink" Target="https://blog.avangarde-consulting.com/secnumcloud" TargetMode="External"/><Relationship Id="rId82" Type="http://schemas.openxmlformats.org/officeDocument/2006/relationships/header" Target="header22.xml"/><Relationship Id="rId152" Type="http://schemas.openxmlformats.org/officeDocument/2006/relationships/chart" Target="charts/chart12.xml"/><Relationship Id="rId173" Type="http://schemas.openxmlformats.org/officeDocument/2006/relationships/footer" Target="footer46.xml"/><Relationship Id="rId194" Type="http://schemas.openxmlformats.org/officeDocument/2006/relationships/footer" Target="footer52.xml"/><Relationship Id="rId199" Type="http://schemas.openxmlformats.org/officeDocument/2006/relationships/header" Target="header55.xml"/><Relationship Id="rId203" Type="http://schemas.openxmlformats.org/officeDocument/2006/relationships/header" Target="header57.xml"/><Relationship Id="rId19" Type="http://schemas.openxmlformats.org/officeDocument/2006/relationships/image" Target="media/image5.png"/><Relationship Id="rId14" Type="http://schemas.openxmlformats.org/officeDocument/2006/relationships/footer" Target="footer3.xml"/><Relationship Id="rId30" Type="http://schemas.openxmlformats.org/officeDocument/2006/relationships/header" Target="header9.xml"/><Relationship Id="rId35" Type="http://schemas.openxmlformats.org/officeDocument/2006/relationships/header" Target="header12.xml"/><Relationship Id="rId56" Type="http://schemas.openxmlformats.org/officeDocument/2006/relationships/image" Target="media/image16.png"/><Relationship Id="rId77" Type="http://schemas.openxmlformats.org/officeDocument/2006/relationships/footer" Target="footer20.xml"/><Relationship Id="rId100" Type="http://schemas.openxmlformats.org/officeDocument/2006/relationships/hyperlink" Target="https://www.enisa.europa.eu/sites/default/files/publications/ENISA%20Transport%20Threat%20Landscape_RECAST2.pdf" TargetMode="External"/><Relationship Id="rId105" Type="http://schemas.openxmlformats.org/officeDocument/2006/relationships/hyperlink" Target="https://www.wa.de/hamm/hacker-richten-millionenschaden-in-hamm-an-und-stuerzen-firma-in-die-pleite-insolvenz-93845354.html" TargetMode="External"/><Relationship Id="rId126" Type="http://schemas.openxmlformats.org/officeDocument/2006/relationships/header" Target="header33.xml"/><Relationship Id="rId147" Type="http://schemas.openxmlformats.org/officeDocument/2006/relationships/chart" Target="charts/chart7.xml"/><Relationship Id="rId168" Type="http://schemas.openxmlformats.org/officeDocument/2006/relationships/footer" Target="footer44.xml"/><Relationship Id="rId8" Type="http://schemas.openxmlformats.org/officeDocument/2006/relationships/image" Target="media/image1.emf"/><Relationship Id="rId51" Type="http://schemas.openxmlformats.org/officeDocument/2006/relationships/footer" Target="footer14.xml"/><Relationship Id="rId72" Type="http://schemas.openxmlformats.org/officeDocument/2006/relationships/header" Target="header19.xml"/><Relationship Id="rId93" Type="http://schemas.openxmlformats.org/officeDocument/2006/relationships/hyperlink" Target="https://www.energy.gov/ceser/colonial-pipeline-cyber-incident" TargetMode="External"/><Relationship Id="rId98" Type="http://schemas.openxmlformats.org/officeDocument/2006/relationships/hyperlink" Target="https://www.ironnet.com/hubfs/IronNet-2021-Cybersecurity-Impact-Report-June2021.pdf?hsLang=en&amp;submissionGuid=39c8446a-6789-41e5-8652-a7dd61b8af94." TargetMode="External"/><Relationship Id="rId121" Type="http://schemas.openxmlformats.org/officeDocument/2006/relationships/footer" Target="footer29.xml"/><Relationship Id="rId142" Type="http://schemas.openxmlformats.org/officeDocument/2006/relationships/chart" Target="charts/chart2.xml"/><Relationship Id="rId163" Type="http://schemas.openxmlformats.org/officeDocument/2006/relationships/header" Target="header42.xml"/><Relationship Id="rId184" Type="http://schemas.openxmlformats.org/officeDocument/2006/relationships/image" Target="media/image31.svg"/><Relationship Id="rId189" Type="http://schemas.openxmlformats.org/officeDocument/2006/relationships/header" Target="header50.xml"/><Relationship Id="rId3" Type="http://schemas.openxmlformats.org/officeDocument/2006/relationships/styles" Target="styles.xml"/><Relationship Id="rId25" Type="http://schemas.openxmlformats.org/officeDocument/2006/relationships/footer" Target="footer6.xml"/><Relationship Id="rId46" Type="http://schemas.openxmlformats.org/officeDocument/2006/relationships/image" Target="media/image12.png"/><Relationship Id="rId67" Type="http://schemas.openxmlformats.org/officeDocument/2006/relationships/hyperlink" Target="https://doiser.com/que-precio-tiene-la-certificacion-del-esquema-nacional-de-seguridad" TargetMode="External"/><Relationship Id="rId116" Type="http://schemas.openxmlformats.org/officeDocument/2006/relationships/footer" Target="footer27.xml"/><Relationship Id="rId137" Type="http://schemas.openxmlformats.org/officeDocument/2006/relationships/header" Target="header38.xml"/><Relationship Id="rId158" Type="http://schemas.openxmlformats.org/officeDocument/2006/relationships/image" Target="media/image21.svg"/><Relationship Id="rId20" Type="http://schemas.openxmlformats.org/officeDocument/2006/relationships/header" Target="header4.xml"/><Relationship Id="rId41" Type="http://schemas.openxmlformats.org/officeDocument/2006/relationships/image" Target="media/image7.png"/><Relationship Id="rId62" Type="http://schemas.openxmlformats.org/officeDocument/2006/relationships/hyperlink" Target="https://www.bpifrance.fr/nos-appels-a-projets-concours/guichet-dacces-au-dispositif-daccompagnement-a-la-qualification-secnumcloud" TargetMode="External"/><Relationship Id="rId83" Type="http://schemas.openxmlformats.org/officeDocument/2006/relationships/footer" Target="footer22.xml"/><Relationship Id="rId88" Type="http://schemas.openxmlformats.org/officeDocument/2006/relationships/footer" Target="footer24.xml"/><Relationship Id="rId111" Type="http://schemas.openxmlformats.org/officeDocument/2006/relationships/hyperlink" Target="https://academic.oup.com/cybersecurity/article/8/1/tyac001/6516499" TargetMode="External"/><Relationship Id="rId132" Type="http://schemas.openxmlformats.org/officeDocument/2006/relationships/header" Target="header36.xml"/><Relationship Id="rId153" Type="http://schemas.openxmlformats.org/officeDocument/2006/relationships/image" Target="media/image18.png"/><Relationship Id="rId174" Type="http://schemas.openxmlformats.org/officeDocument/2006/relationships/header" Target="header47.xml"/><Relationship Id="rId179" Type="http://schemas.openxmlformats.org/officeDocument/2006/relationships/image" Target="media/image23.png"/><Relationship Id="rId195" Type="http://schemas.openxmlformats.org/officeDocument/2006/relationships/header" Target="header53.xml"/><Relationship Id="rId190" Type="http://schemas.openxmlformats.org/officeDocument/2006/relationships/footer" Target="footer50.xml"/><Relationship Id="rId204" Type="http://schemas.openxmlformats.org/officeDocument/2006/relationships/footer" Target="footer57.xml"/><Relationship Id="rId15" Type="http://schemas.openxmlformats.org/officeDocument/2006/relationships/image" Target="media/image2.png"/><Relationship Id="rId36" Type="http://schemas.openxmlformats.org/officeDocument/2006/relationships/footer" Target="footer11.xml"/><Relationship Id="rId57" Type="http://schemas.openxmlformats.org/officeDocument/2006/relationships/header" Target="header16.xml"/><Relationship Id="rId106" Type="http://schemas.openxmlformats.org/officeDocument/2006/relationships/hyperlink" Target="https://www.ksta.de/region/euskirchen-eifel/stadt-euskirchen/euskirchen-stotzheim-fasana-stellt-nach-cyberangriff-insolvenzantrag-1042377" TargetMode="External"/><Relationship Id="rId127" Type="http://schemas.openxmlformats.org/officeDocument/2006/relationships/footer" Target="footer32.xml"/><Relationship Id="rId10" Type="http://schemas.openxmlformats.org/officeDocument/2006/relationships/header" Target="header2.xml"/><Relationship Id="rId31" Type="http://schemas.openxmlformats.org/officeDocument/2006/relationships/footer" Target="footer9.xml"/><Relationship Id="rId52" Type="http://schemas.openxmlformats.org/officeDocument/2006/relationships/header" Target="header15.xml"/><Relationship Id="rId73" Type="http://schemas.openxmlformats.org/officeDocument/2006/relationships/footer" Target="footer19.xml"/><Relationship Id="rId78" Type="http://schemas.openxmlformats.org/officeDocument/2006/relationships/header" Target="header21.xml"/><Relationship Id="rId94" Type="http://schemas.openxmlformats.org/officeDocument/2006/relationships/hyperlink" Target="https://www.theguardian.com/business/2025/sep/16/jaguar-land-rover-production-shutdown-cyber-attack" TargetMode="External"/><Relationship Id="rId99" Type="http://schemas.openxmlformats.org/officeDocument/2006/relationships/hyperlink" Target="https://www.incibe.es/index.php/en/incibe-cert/publications/cybersecurity-highlights/denmarks-rail-transport-paralysed-due-cyberattack?utm_source=chatgpt.com" TargetMode="External"/><Relationship Id="rId101" Type="http://schemas.openxmlformats.org/officeDocument/2006/relationships/hyperlink" Target="https://www.enisa.europa.eu/sites/default/files/publications/Health%20Threat%20Landscape.pdf" TargetMode="External"/><Relationship Id="rId122" Type="http://schemas.openxmlformats.org/officeDocument/2006/relationships/footer" Target="footer30.xml"/><Relationship Id="rId143" Type="http://schemas.openxmlformats.org/officeDocument/2006/relationships/chart" Target="charts/chart3.xml"/><Relationship Id="rId148" Type="http://schemas.openxmlformats.org/officeDocument/2006/relationships/chart" Target="charts/chart8.xml"/><Relationship Id="rId164" Type="http://schemas.openxmlformats.org/officeDocument/2006/relationships/footer" Target="footer42.xml"/><Relationship Id="rId169" Type="http://schemas.openxmlformats.org/officeDocument/2006/relationships/header" Target="header45.xml"/><Relationship Id="rId185" Type="http://schemas.openxmlformats.org/officeDocument/2006/relationships/header" Target="header48.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27.svg"/><Relationship Id="rId26" Type="http://schemas.openxmlformats.org/officeDocument/2006/relationships/header" Target="header7.xml"/><Relationship Id="rId47" Type="http://schemas.openxmlformats.org/officeDocument/2006/relationships/image" Target="media/image13.png"/><Relationship Id="rId68" Type="http://schemas.openxmlformats.org/officeDocument/2006/relationships/hyperlink" Target="https://consulenza.isgroup.it/kb/migliori-normative-acn-agid-italia-2025/?utm_source=chatgpt.com" TargetMode="External"/><Relationship Id="rId89" Type="http://schemas.openxmlformats.org/officeDocument/2006/relationships/header" Target="header25.xml"/><Relationship Id="rId112" Type="http://schemas.openxmlformats.org/officeDocument/2006/relationships/hyperlink" Target="https://www.enisa.europa.eu/sites/default/files/publications/ENISA%20Threat%20Landscape%202023.pdf" TargetMode="External"/><Relationship Id="rId133" Type="http://schemas.openxmlformats.org/officeDocument/2006/relationships/footer" Target="footer35.xml"/><Relationship Id="rId154" Type="http://schemas.openxmlformats.org/officeDocument/2006/relationships/chart" Target="charts/chart13.xml"/><Relationship Id="rId175" Type="http://schemas.openxmlformats.org/officeDocument/2006/relationships/footer" Target="footer47.xml"/><Relationship Id="rId196" Type="http://schemas.openxmlformats.org/officeDocument/2006/relationships/header" Target="header54.xml"/><Relationship Id="rId200" Type="http://schemas.openxmlformats.org/officeDocument/2006/relationships/footer" Target="footer55.xml"/></Relationships>
</file>

<file path=word/_rels/footnotes.xml.rels><?xml version="1.0" encoding="UTF-8" standalone="yes"?>
<Relationships xmlns="http://schemas.openxmlformats.org/package/2006/relationships"><Relationship Id="rId117" Type="http://schemas.openxmlformats.org/officeDocument/2006/relationships/hyperlink" Target="https://www.fortinet.com/content/dam/fortinet/assets/reports/2023-cybersecurity-skills-gap-report.pdf" TargetMode="External"/><Relationship Id="rId21" Type="http://schemas.openxmlformats.org/officeDocument/2006/relationships/hyperlink" Target="https://cyber.gouv.fr/publications/observatoire-des-metiers-2025" TargetMode="External"/><Relationship Id="rId42" Type="http://schemas.openxmlformats.org/officeDocument/2006/relationships/hyperlink" Target="https://blog.google/threat-analysis-group/active-north-korean-campaign-targeting-security-researchers/" TargetMode="External"/><Relationship Id="rId63" Type="http://schemas.openxmlformats.org/officeDocument/2006/relationships/hyperlink" Target="https://enisa.europa.eu/sites/default/files/2025-07/Consolidated%20Annual%20Activity%20Report%202024.pdf" TargetMode="External"/><Relationship Id="rId84" Type="http://schemas.openxmlformats.org/officeDocument/2006/relationships/hyperlink" Target="https://eur-lex.europa.eu/legal-content/EN/TXT/?uri=celex:52017SC0500" TargetMode="External"/><Relationship Id="rId138" Type="http://schemas.openxmlformats.org/officeDocument/2006/relationships/hyperlink" Target="https://www.enisa.europa.eu/publications/enisa-threat-landscape-2024" TargetMode="External"/><Relationship Id="rId159" Type="http://schemas.openxmlformats.org/officeDocument/2006/relationships/hyperlink" Target="https://www.axios.com/newsletters/axios-ai-plus-eafb70c7-71fb-4dab-ba52-5006df10529e" TargetMode="External"/><Relationship Id="rId170" Type="http://schemas.openxmlformats.org/officeDocument/2006/relationships/hyperlink" Target="https://www.g7germany.de/resource/blob/974430/2062292/fbdb2c7e996205aee402386aae057c5e/2022-07-14-leaders-communique-data.pdf?download=1" TargetMode="External"/><Relationship Id="rId191" Type="http://schemas.openxmlformats.org/officeDocument/2006/relationships/hyperlink" Target="https://www.enisa.europa.eu/topics/national-cyber-security-strategies/ncss-map/national-cyber-security-strategies-interactive-map" TargetMode="External"/><Relationship Id="rId205" Type="http://schemas.openxmlformats.org/officeDocument/2006/relationships/hyperlink" Target="https://marketplace.fedramp.gov/products?status=authorized" TargetMode="External"/><Relationship Id="rId107" Type="http://schemas.openxmlformats.org/officeDocument/2006/relationships/hyperlink" Target="https://www.europarl.europa.eu/RegData/etudes/ATAG/2023/745710/EPRS_ATA(2023)745710_EN.pdf" TargetMode="External"/><Relationship Id="rId11" Type="http://schemas.openxmlformats.org/officeDocument/2006/relationships/hyperlink" Target="https://www.enisa.europa.eu/publications/2024-report-on-the-state-of-the-cybersecurity-in-the-union" TargetMode="External"/><Relationship Id="rId32" Type="http://schemas.openxmlformats.org/officeDocument/2006/relationships/hyperlink" Target="https://www.fbcinc.com/source/virtualhall_images/2023_Virtual_Events/DISA_JSP_(July)/Black_Kite/Black_Kite_Concentration_and_Cascading_Risk_EBook.pdf" TargetMode="External"/><Relationship Id="rId37" Type="http://schemas.openxmlformats.org/officeDocument/2006/relationships/hyperlink" Target="https://www.theguardian.com/business/2025/sep/16/jaguar-land-rover-production-shutdown-cyber-attack" TargetMode="External"/><Relationship Id="rId53" Type="http://schemas.openxmlformats.org/officeDocument/2006/relationships/hyperlink" Target="https://strandconsult.dk/the-market-for-5g-ran-in-europe-share-of-chinese-and-non-chinese-vendors-in-31-european-countries/" TargetMode="External"/><Relationship Id="rId58" Type="http://schemas.openxmlformats.org/officeDocument/2006/relationships/hyperlink" Target="https://api.solarpowereurope.org/uploads/SPE_2025_Solutions_for_PV_Cyber_Risks_to_Grid_Stability_032dc2ae5a.pdf?updated_at=2025-04-29T07:11:32.315Z" TargetMode="External"/><Relationship Id="rId74" Type="http://schemas.openxmlformats.org/officeDocument/2006/relationships/hyperlink" Target="https://www.enisa.europa.eu/publications/enisa-threat-landscape-2024" TargetMode="External"/><Relationship Id="rId79" Type="http://schemas.openxmlformats.org/officeDocument/2006/relationships/hyperlink" Target="https://op.europa.eu/en/publication-detail/-/publication/990fe2a6-8f52-11ef-a130-01aa75ed71a1/language-en" TargetMode="External"/><Relationship Id="rId102" Type="http://schemas.openxmlformats.org/officeDocument/2006/relationships/hyperlink" Target="https://www.howdengroupholdings.com/sites/default/files/2024-06/howden-2024-cyber-report.pdf" TargetMode="External"/><Relationship Id="rId123" Type="http://schemas.openxmlformats.org/officeDocument/2006/relationships/hyperlink" Target="https://ec.europa.eu/info/funding-tenders/opportunities/portal/screen/opportunities/tender-details/46439658-5635-4465-ae7d-0a40e6e8e546-CN?order=DESC&amp;pageNumber=1&amp;pageSize=50&amp;sortBy=startDate&amp;isExactMatch=true&amp;cftPartyLegalEntityId=47352382" TargetMode="External"/><Relationship Id="rId128" Type="http://schemas.openxmlformats.org/officeDocument/2006/relationships/hyperlink" Target="https://qualysec.com/it-security-audit-cost/" TargetMode="External"/><Relationship Id="rId144" Type="http://schemas.openxmlformats.org/officeDocument/2006/relationships/hyperlink" Target="https://www.ibm.com/reports/data-breach" TargetMode="External"/><Relationship Id="rId149" Type="http://schemas.openxmlformats.org/officeDocument/2006/relationships/hyperlink" Target="https://documents1.worldbank.org/curated/en/099092324164536687/pdf/P17876919ffee4079180e81701969ad0a18.pdf" TargetMode="External"/><Relationship Id="rId5" Type="http://schemas.openxmlformats.org/officeDocument/2006/relationships/hyperlink" Target="https://www.europarl.europa.eu/doceo/document/A-10-2025-0107_EN.html" TargetMode="External"/><Relationship Id="rId90" Type="http://schemas.openxmlformats.org/officeDocument/2006/relationships/hyperlink" Target="https://www.giac.org/pricing/" TargetMode="External"/><Relationship Id="rId95" Type="http://schemas.openxmlformats.org/officeDocument/2006/relationships/hyperlink" Target="https://www.ibm.com/think/insights/cost-of-a-data-breach-2024-financial-industry" TargetMode="External"/><Relationship Id="rId160" Type="http://schemas.openxmlformats.org/officeDocument/2006/relationships/hyperlink" Target="https://doi.org/10.1016/j.cose.2025.104329" TargetMode="External"/><Relationship Id="rId165" Type="http://schemas.openxmlformats.org/officeDocument/2006/relationships/hyperlink" Target="https://commission.europa.eu/topics/eu-competitiveness/draghi-report_en" TargetMode="External"/><Relationship Id="rId181" Type="http://schemas.openxmlformats.org/officeDocument/2006/relationships/hyperlink" Target="http://data.europa.eu/eli/dir/2022/2555/oj" TargetMode="External"/><Relationship Id="rId186" Type="http://schemas.openxmlformats.org/officeDocument/2006/relationships/hyperlink" Target="https://certification.enisa.europa.eu/certification-library/eucc-certification-scheme_en" TargetMode="External"/><Relationship Id="rId211" Type="http://schemas.openxmlformats.org/officeDocument/2006/relationships/hyperlink" Target="https://www.nisc.go.jp/pdf/press/G7_Statement_on_IoT_Security.pdf" TargetMode="External"/><Relationship Id="rId22" Type="http://schemas.openxmlformats.org/officeDocument/2006/relationships/hyperlink" Target="https://publications.jrc.ec.europa.eu/repository/handle/JRC138344" TargetMode="External"/><Relationship Id="rId27" Type="http://schemas.openxmlformats.org/officeDocument/2006/relationships/hyperlink" Target="https://www.enisa.europa.eu/sites/default/files/publications/Good%20Practices%20for%20Supply%20Chain%20Cybersecurity.pdf" TargetMode="External"/><Relationship Id="rId43" Type="http://schemas.openxmlformats.org/officeDocument/2006/relationships/hyperlink" Target="https://blog.talosintelligence.com/arcanedoor-new-espionage%20focused-campaign-found-targeting-perimeter-network-devices/" TargetMode="External"/><Relationship Id="rId48" Type="http://schemas.openxmlformats.org/officeDocument/2006/relationships/hyperlink" Target="https://www.cfr.org/china-global-governance/" TargetMode="External"/><Relationship Id="rId64" Type="http://schemas.openxmlformats.org/officeDocument/2006/relationships/hyperlink" Target="https://www.enisa.europa.eu/sites/default/files/all_files/ENISA%202019%20Annual%20Budget.pdf" TargetMode="External"/><Relationship Id="rId69" Type="http://schemas.openxmlformats.org/officeDocument/2006/relationships/hyperlink" Target="https://privacymatters.dlapiper.com/2025/06/italy-ransomware-and-crime-a-proposal-to-tackle-cyber-extortion-in-italy/" TargetMode="External"/><Relationship Id="rId113" Type="http://schemas.openxmlformats.org/officeDocument/2006/relationships/hyperlink" Target="https://www.oecd.org/content/dam/oecd/en/publications/reports/2024/02/building-a-skilled-cyber-security-workforce-in-europe_6abaf769/3673cd60-en.pdf" TargetMode="External"/><Relationship Id="rId118" Type="http://schemas.openxmlformats.org/officeDocument/2006/relationships/hyperlink" Target="https://www.gesetze-im-internet.de/bmibgebv/BJNR135900019.html" TargetMode="External"/><Relationship Id="rId134" Type="http://schemas.openxmlformats.org/officeDocument/2006/relationships/hyperlink" Target="https://www.lightreading.com/5g/huawei-defies-us-to-grow-market-share-as-ran-decline-ends-omdia" TargetMode="External"/><Relationship Id="rId139" Type="http://schemas.openxmlformats.org/officeDocument/2006/relationships/hyperlink" Target="https://www.cisa.gov/sites/default/files/publications/CISA_OCE_Cost_of_Cyber_Incidents_Study-FINAL_508.pdf" TargetMode="External"/><Relationship Id="rId80" Type="http://schemas.openxmlformats.org/officeDocument/2006/relationships/hyperlink" Target="https://digital-strategy.ec.europa.eu/en/library/final-report-evaluation-european-union-agency-network-and-information-security-enisa" TargetMode="External"/><Relationship Id="rId85" Type="http://schemas.openxmlformats.org/officeDocument/2006/relationships/hyperlink" Target="https://www.snas.sk/storage/app/uploads/public/677/e79/e4c/677e79e4cac62903312474.pdf" TargetMode="External"/><Relationship Id="rId150" Type="http://schemas.openxmlformats.org/officeDocument/2006/relationships/hyperlink" Target="https://www.enisa.europa.eu/publications/enisa-threat-landscape-2024" TargetMode="External"/><Relationship Id="rId155" Type="http://schemas.openxmlformats.org/officeDocument/2006/relationships/hyperlink" Target="https://digital-skills-jobs.europa.eu/system/files/2024-12/ISC2_Workfoce-Study-Findings-EU.pdf" TargetMode="External"/><Relationship Id="rId171" Type="http://schemas.openxmlformats.org/officeDocument/2006/relationships/hyperlink" Target="https://commission.europa.eu/topics/eu-competitiveness/draghi-report_en" TargetMode="External"/><Relationship Id="rId176" Type="http://schemas.openxmlformats.org/officeDocument/2006/relationships/hyperlink" Target="https://www.consilium.europa.eu/en/press/press-releases/2022/05/10/russian-cyber-operations-against-ukraine-declaration-by-the-high-representative-on-behalf-of-the-european-union/" TargetMode="External"/><Relationship Id="rId192" Type="http://schemas.openxmlformats.org/officeDocument/2006/relationships/hyperlink" Target="https://digital-strategy.ec.europa.eu/en/policies/nis-cooperation-group" TargetMode="External"/><Relationship Id="rId197" Type="http://schemas.openxmlformats.org/officeDocument/2006/relationships/hyperlink" Target="https://www.eca.europa.eu/en/publications/SR22_05" TargetMode="External"/><Relationship Id="rId206" Type="http://schemas.openxmlformats.org/officeDocument/2006/relationships/hyperlink" Target="https://www.csa.gov.sg/our-programmes/certification-and-labelling-schemes/cybersecurity-labelling-scheme/about" TargetMode="External"/><Relationship Id="rId201" Type="http://schemas.openxmlformats.org/officeDocument/2006/relationships/hyperlink" Target="https://enisa.europa.eu/sites/default/files/2025-02/17_02_2025_ENISA%20Single%20Programming%20Document%202025-2027.pdf" TargetMode="External"/><Relationship Id="rId12" Type="http://schemas.openxmlformats.org/officeDocument/2006/relationships/hyperlink" Target="https://enisa.europa.eu/sites/default/files/2025-07/Consolidated%20Annual%20Activity%20Report%202024.pdf" TargetMode="External"/><Relationship Id="rId17" Type="http://schemas.openxmlformats.org/officeDocument/2006/relationships/hyperlink" Target="https://www.enisa.europa.eu/tools/cyberhead-cybersecurity-higher-education-database" TargetMode="External"/><Relationship Id="rId33" Type="http://schemas.openxmlformats.org/officeDocument/2006/relationships/hyperlink" Target="https://www.ibm.com/reports/data-breach" TargetMode="External"/><Relationship Id="rId38" Type="http://schemas.openxmlformats.org/officeDocument/2006/relationships/hyperlink" Target="https://www.bbc.com/news/articles/cgl15ykerlro" TargetMode="External"/><Relationship Id="rId59" Type="http://schemas.openxmlformats.org/officeDocument/2006/relationships/hyperlink" Target="https://esmc.solar/restrict-remote-access-of-pv-inverters-from-high-risk-vendors/" TargetMode="External"/><Relationship Id="rId103" Type="http://schemas.openxmlformats.org/officeDocument/2006/relationships/hyperlink" Target="https://www.pwc.com/mt/en/services/pwc-digital-services/cyber-security-and-privacy/cyber-security-services/dora.html" TargetMode="External"/><Relationship Id="rId108" Type="http://schemas.openxmlformats.org/officeDocument/2006/relationships/hyperlink" Target="https://www.enisa.europa.eu/publications/enisa-threat-landscape-2024" TargetMode="External"/><Relationship Id="rId124" Type="http://schemas.openxmlformats.org/officeDocument/2006/relationships/hyperlink" Target="https://www.snas.sk/storage/app/uploads/public/677/e79/e4c/677e79e4cac62903312474.pdf" TargetMode="External"/><Relationship Id="rId129" Type="http://schemas.openxmlformats.org/officeDocument/2006/relationships/hyperlink" Target="https://atlantsecurity.com/blog/cost-of-cybersecurity-due-diligence/" TargetMode="External"/><Relationship Id="rId54" Type="http://schemas.openxmlformats.org/officeDocument/2006/relationships/hyperlink" Target="https://digital-strategy.ec.europa.eu/en/news/risk-assessment-report-cyber-resilience-eus-telecommunications-and-electricity-sectors" TargetMode="External"/><Relationship Id="rId70" Type="http://schemas.openxmlformats.org/officeDocument/2006/relationships/hyperlink" Target="https://digital-strategy.ec.europa.eu/en/library/second-report-member-states-progress-implementing-eu-toolbox-5g-cybersecurity" TargetMode="External"/><Relationship Id="rId75" Type="http://schemas.openxmlformats.org/officeDocument/2006/relationships/hyperlink" Target="https://www.enisa.europa.eu/sites/default/files/2024-11/Foresight%20Cybersecurity%20Threats%20For%202030%20Update%202024_0.pdf" TargetMode="External"/><Relationship Id="rId91" Type="http://schemas.openxmlformats.org/officeDocument/2006/relationships/hyperlink" Target="https://digital-strategy.ec.europa.eu/en/library/final-report-evaluation-european-union-agency-network-and-information-security-enisa" TargetMode="External"/><Relationship Id="rId96" Type="http://schemas.openxmlformats.org/officeDocument/2006/relationships/hyperlink" Target="https://cyber.gouv.fr/sites/default/files/document/Etude_des_professionnels_de_la_cybers%C3%A9curit%C3%A9_VF2.pdf" TargetMode="External"/><Relationship Id="rId140" Type="http://schemas.openxmlformats.org/officeDocument/2006/relationships/hyperlink" Target="https://www.cisa.gov/sites/default/files/publications/CISA-OCE_Cost_of_Cyber_Incidents_Study-FINAL_508.pdf" TargetMode="External"/><Relationship Id="rId145" Type="http://schemas.openxmlformats.org/officeDocument/2006/relationships/hyperlink" Target="https://assets.sophos.com/X24WTUEQ/at/9brgj5n44hqvgsp5f5bqcps/sophos-state-of-ransomware-2025.pdf" TargetMode="External"/><Relationship Id="rId161" Type="http://schemas.openxmlformats.org/officeDocument/2006/relationships/hyperlink" Target="https://digital-skills-jobs.europa.eu/system/files/2024-12/ISC2_Workfoce-Study-Findings-EU.pdf" TargetMode="External"/><Relationship Id="rId166" Type="http://schemas.openxmlformats.org/officeDocument/2006/relationships/hyperlink" Target="https://www.enisa.europa.eu/sites/default/files/publications/Cybersecurity%20Certification%20Statistics%20Report.pdf" TargetMode="External"/><Relationship Id="rId182" Type="http://schemas.openxmlformats.org/officeDocument/2006/relationships/hyperlink" Target="https://eur-lex.europa.eu/legal-content/EN/TXT/?uri=celex:52017SC0500" TargetMode="External"/><Relationship Id="rId187" Type="http://schemas.openxmlformats.org/officeDocument/2006/relationships/hyperlink" Target="https://digital-strategy.ec.europa.eu/en/library/second-report-member-states-progress-implementing-eu-toolbox-5g-cybersecurity" TargetMode="External"/><Relationship Id="rId1" Type="http://schemas.openxmlformats.org/officeDocument/2006/relationships/hyperlink" Target="https://www.enisa.europa.eu/publications/enisa-threat-landscape-2024" TargetMode="External"/><Relationship Id="rId6" Type="http://schemas.openxmlformats.org/officeDocument/2006/relationships/hyperlink" Target="https://www.euronews.com/next/2025/03/19/lawmakers-call-for-binding-5g-security-measures-in-wake-of-huawei-scandal" TargetMode="External"/><Relationship Id="rId23" Type="http://schemas.openxmlformats.org/officeDocument/2006/relationships/hyperlink" Target="https://www.frontier-economics.com/media/izyk5rgz/assessing-the-economic-cost-of-eu-initiatives-on-cybersecurity.pdf" TargetMode="External"/><Relationship Id="rId28" Type="http://schemas.openxmlformats.org/officeDocument/2006/relationships/hyperlink" Target="https://www.weforum.org/publications/global-cybersecurity-outlook-2022/" TargetMode="External"/><Relationship Id="rId49" Type="http://schemas.openxmlformats.org/officeDocument/2006/relationships/hyperlink" Target="https://www.enisa.europa.eu/publications/enisa-threat-landscape-2024" TargetMode="External"/><Relationship Id="rId114" Type="http://schemas.openxmlformats.org/officeDocument/2006/relationships/hyperlink" Target="https://ec.europa.eu/eurostat/databrowser/view/nama_10_fte__custom_13597179/bookmark/table?lang=en&amp;bookmarkId=c29eed24-377e-4763-aaf0-0419906d2ecd" TargetMode="External"/><Relationship Id="rId119" Type="http://schemas.openxmlformats.org/officeDocument/2006/relationships/hyperlink" Target="https://www.ukcybersecuritycouncil.org.uk/professional-registration/" TargetMode="External"/><Relationship Id="rId44" Type="http://schemas.openxmlformats.org/officeDocument/2006/relationships/hyperlink" Target="https://unit42.paloaltonetworks.com/agonizing-serpens-targets-israeli-tech-higher-ed-sectors/" TargetMode="External"/><Relationship Id="rId60" Type="http://schemas.openxmlformats.org/officeDocument/2006/relationships/hyperlink" Target="https://www.reuters.com/sustainability/climate-energy/ghost-machine-rogue-communication-devices-found-chinese-inverters-2025-05-14/" TargetMode="External"/><Relationship Id="rId65" Type="http://schemas.openxmlformats.org/officeDocument/2006/relationships/hyperlink" Target="https://www.europarl.europa.eu/cmsdata/294501/ENISA%20RBFM%202024.pdf" TargetMode="External"/><Relationship Id="rId81" Type="http://schemas.openxmlformats.org/officeDocument/2006/relationships/hyperlink" Target="https://www.enisa.europa.eu/sites/default/files/2025-07/ENISA%20Final%20Annual%20Accounts%202024%20%28V1%20-%20e-signed%20%29.pdf" TargetMode="External"/><Relationship Id="rId86" Type="http://schemas.openxmlformats.org/officeDocument/2006/relationships/hyperlink" Target="https://www.isc2.org/training/isc2-certification-coverage-of-ecsf-roles" TargetMode="External"/><Relationship Id="rId130" Type="http://schemas.openxmlformats.org/officeDocument/2006/relationships/hyperlink" Target="https://cyberupgrade.net/blog/compliance-regulations/iso-27001-cost-understanding-certification-audit-and-implementation-expenses-in-2025/" TargetMode="External"/><Relationship Id="rId135" Type="http://schemas.openxmlformats.org/officeDocument/2006/relationships/hyperlink" Target="https://ec.europa.eu/eurostat/web/products-eurostat-news/w/ddn-20241004-1" TargetMode="External"/><Relationship Id="rId151" Type="http://schemas.openxmlformats.org/officeDocument/2006/relationships/hyperlink" Target="https://www.getastra.com/blog/security-audit/ransomware-attack-statistics/" TargetMode="External"/><Relationship Id="rId156" Type="http://schemas.openxmlformats.org/officeDocument/2006/relationships/hyperlink" Target="https://www.enisa.europa.eu/sites/default/files/2024-11/CSPA%20-%20NIS%20Investments%20-%202024_0.pdf" TargetMode="External"/><Relationship Id="rId177" Type="http://schemas.openxmlformats.org/officeDocument/2006/relationships/hyperlink" Target="https://www.enisa.europa.eu/sites/default/files/publications/ENISA%20Threat%20Landscape%202022.pdf" TargetMode="External"/><Relationship Id="rId198" Type="http://schemas.openxmlformats.org/officeDocument/2006/relationships/hyperlink" Target="https://enisa.europa.eu/sites/default/files/2025-07/Consolidated%20Annual%20Activity%20Report%202024.pdf" TargetMode="External"/><Relationship Id="rId172" Type="http://schemas.openxmlformats.org/officeDocument/2006/relationships/hyperlink" Target="https://commission.europa.eu/document/download/5bb2881f-9e29-42f2-8b77-8739b19d047c_en?filename=2024_Niinisto-report_Book_VF.pdf" TargetMode="External"/><Relationship Id="rId193" Type="http://schemas.openxmlformats.org/officeDocument/2006/relationships/hyperlink" Target="https://enisa.europa.eu/sites/default/files/2025-02/17_02_2025_ENISA%20Single%20Programming%20Document%202025-2027.pdf" TargetMode="External"/><Relationship Id="rId202" Type="http://schemas.openxmlformats.org/officeDocument/2006/relationships/hyperlink" Target="https://www.nist.gov/itl/applied-cybersecurity/nist-cybersecurity-iot-program/consumer-iot-cybersecurity" TargetMode="External"/><Relationship Id="rId207" Type="http://schemas.openxmlformats.org/officeDocument/2006/relationships/hyperlink" Target="https://www.gov.uk/government/publications/the-uk-product-security-and-telecommunications-infrastructure-product-security-regime" TargetMode="External"/><Relationship Id="rId13" Type="http://schemas.openxmlformats.org/officeDocument/2006/relationships/hyperlink" Target="https://enisa.europa.eu/sites/default/files/2025-02/17_02_2025_ENISA%20Single%20Programming%20Document%202025-2027.pdf" TargetMode="External"/><Relationship Id="rId18" Type="http://schemas.openxmlformats.org/officeDocument/2006/relationships/hyperlink" Target="https://digital-skills-jobs.europa.eu/en/opportunities/training?f%5B0%5D=digital_technology%3Ahttp%3A//data.europa.eu/uxp/c_04ae3ba8" TargetMode="External"/><Relationship Id="rId39" Type="http://schemas.openxmlformats.org/officeDocument/2006/relationships/hyperlink" Target="https://www.consilium.europa.eu/media/64501/g7-statement-on-economic-resilience-and-economic-security.pdf" TargetMode="External"/><Relationship Id="rId109" Type="http://schemas.openxmlformats.org/officeDocument/2006/relationships/hyperlink" Target="https://www.jtsec.es/files/2022%20CC%20Statistics%20Report.pdf" TargetMode="External"/><Relationship Id="rId34" Type="http://schemas.openxmlformats.org/officeDocument/2006/relationships/hyperlink" Target="https://www.cybersecurity-insiders.com/the-domino-effect-of-cyber-incidents-understanding-the-ripple-impact-of-cybersecurity-breaches/" TargetMode="External"/><Relationship Id="rId50" Type="http://schemas.openxmlformats.org/officeDocument/2006/relationships/hyperlink" Target="https://digital-skills-jobs.europa.eu/system/files/2024-12/ISC2_Workfoce-Study-Findings-EU.pdf" TargetMode="External"/><Relationship Id="rId55" Type="http://schemas.openxmlformats.org/officeDocument/2006/relationships/hyperlink" Target="https://strandconsult.dk/the-market-for-5g-ran-in-europe-share-of-chinese-and-non-chinese-vendors-in-31-european-countries/" TargetMode="External"/><Relationship Id="rId76" Type="http://schemas.openxmlformats.org/officeDocument/2006/relationships/hyperlink" Target="https://www.enisa.europa.eu/publications/cybersecurity-market-assessments" TargetMode="External"/><Relationship Id="rId97" Type="http://schemas.openxmlformats.org/officeDocument/2006/relationships/hyperlink" Target="https://www.fortinet.com/content/dam/fortinet/assets/reports/2023-cybersecurity-skills-gap-report.pdf" TargetMode="External"/><Relationship Id="rId104" Type="http://schemas.openxmlformats.org/officeDocument/2006/relationships/hyperlink" Target="https://strandconsult.dk/the-market-for-5g-ran-in-europe-share-of-chinese-and-non-chinese-vendors-in-31-european-countries/" TargetMode="External"/><Relationship Id="rId120" Type="http://schemas.openxmlformats.org/officeDocument/2006/relationships/hyperlink" Target="https://www.isc2.org/register-for-exam/isc2-exam-pricing),%20ISACA%20(Source:%20https:/www.isacaprep.com/how-much-is-the-cism-exam/" TargetMode="External"/><Relationship Id="rId125" Type="http://schemas.openxmlformats.org/officeDocument/2006/relationships/hyperlink" Target="https://www.snas.sk/storage/app/uploads/public/677/e79/e4c/677e79e4cac62903312474.pdf" TargetMode="External"/><Relationship Id="rId141" Type="http://schemas.openxmlformats.org/officeDocument/2006/relationships/hyperlink" Target="https://www.ic3.gov/" TargetMode="External"/><Relationship Id="rId146" Type="http://schemas.openxmlformats.org/officeDocument/2006/relationships/hyperlink" Target="https://www.sophos.com/en-us/content/state-of-ransomware" TargetMode="External"/><Relationship Id="rId167" Type="http://schemas.openxmlformats.org/officeDocument/2006/relationships/hyperlink" Target="https://www.enisa.europa.eu/sites/default/files/2024-11/2024%20Report%20on%20the%20State%20of%20Cybersecurity%20in%20the%20Union%20-%20Condensed%20version.pdf" TargetMode="External"/><Relationship Id="rId188" Type="http://schemas.openxmlformats.org/officeDocument/2006/relationships/hyperlink" Target="https://enisa.europa.eu/sites/default/files/2025-02/17_02_2025_ENISA%20Single%20Programming%20Document%202025-2027.pdf" TargetMode="External"/><Relationship Id="rId7"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71" Type="http://schemas.openxmlformats.org/officeDocument/2006/relationships/hyperlink" Target="https://www.eca.europa.eu/en/publications?did=60614" TargetMode="External"/><Relationship Id="rId92" Type="http://schemas.openxmlformats.org/officeDocument/2006/relationships/hyperlink" Target="https://www.enisa.europa.eu/publications/corporate-documents/enisa-consolidated-annual-activity-report-2023" TargetMode="External"/><Relationship Id="rId162" Type="http://schemas.openxmlformats.org/officeDocument/2006/relationships/hyperlink" Target="https://europa.eu/eurobarometer/surveys/detail/3176" TargetMode="External"/><Relationship Id="rId183" Type="http://schemas.openxmlformats.org/officeDocument/2006/relationships/hyperlink" Target="https://www.checkpoint.com/cyber-hub/threat-prevention/what-is-a-supply-chain-attack/" TargetMode="External"/><Relationship Id="rId2" Type="http://schemas.openxmlformats.org/officeDocument/2006/relationships/hyperlink" Target="https://www.scribd.com/document/686103633/q2-2023-Whos-Who-in-Ransomware-Report" TargetMode="External"/><Relationship Id="rId29" Type="http://schemas.openxmlformats.org/officeDocument/2006/relationships/hyperlink" Target="https://anchore.com/blog/2022-security-trends-software-supply-chain-survey/" TargetMode="External"/><Relationship Id="rId24" Type="http://schemas.openxmlformats.org/officeDocument/2006/relationships/hyperlink" Target="https://ecs-org.eu/ecso-uploads/2025/07/Streamlining-Regulatory-Obligations_Action-Plan_v2.pdf" TargetMode="External"/><Relationship Id="rId40" Type="http://schemas.openxmlformats.org/officeDocument/2006/relationships/hyperlink" Target="https://www.cyber.gc.ca/en/news-events/chairs-statement-g7-cybersecurity-working-group-meeting" TargetMode="External"/><Relationship Id="rId45" Type="http://schemas.openxmlformats.org/officeDocument/2006/relationships/hyperlink" Target="https://www.mandiant.com/resources/blog/gru-disruptive-playbook" TargetMode="External"/><Relationship Id="rId66" Type="http://schemas.openxmlformats.org/officeDocument/2006/relationships/hyperlink" Target="https://webgate.ec.europa.eu/single-market-compliance-space/notified-bodies/free-search?filter=notificationStatusId:1,notificationLegislationId:164702" TargetMode="External"/><Relationship Id="rId87" Type="http://schemas.openxmlformats.org/officeDocument/2006/relationships/hyperlink" Target="https://lecbyo.files.cmp.optimizely.com/download/451be51c2a9511f0a2b97252cf4a59ca" TargetMode="External"/><Relationship Id="rId110" Type="http://schemas.openxmlformats.org/officeDocument/2006/relationships/hyperlink" Target="https://www.lightreading.com/5g/huawei-has-hardly-been-weakened-in-european-5g-data-shows" TargetMode="External"/><Relationship Id="rId115" Type="http://schemas.openxmlformats.org/officeDocument/2006/relationships/hyperlink" Target="https://ec.europa.eu/eurostat/statistics-explained/SEPDF/cache/9132.pdf" TargetMode="External"/><Relationship Id="rId131" Type="http://schemas.openxmlformats.org/officeDocument/2006/relationships/hyperlink" Target="https://digital-strategy.ec.europa.eu/en/policies/5g-observatory" TargetMode="External"/><Relationship Id="rId136" Type="http://schemas.openxmlformats.org/officeDocument/2006/relationships/hyperlink" Target="https://ec.europa.eu/eurostat/web/products-manuals-and-guidelines/-/ks-ra-07-015" TargetMode="External"/><Relationship Id="rId157" Type="http://schemas.openxmlformats.org/officeDocument/2006/relationships/hyperlink" Target="https://digital-skills-jobs.europa.eu/system/files/2024-12/ISC2_Workfoce-Study-Findings-EU.pdf" TargetMode="External"/><Relationship Id="rId178" Type="http://schemas.openxmlformats.org/officeDocument/2006/relationships/hyperlink" Target="https://cyberconflicts.cyberpeaceinstitute.org/law-and-policy/cases/viasat" TargetMode="External"/><Relationship Id="rId61" Type="http://schemas.openxmlformats.org/officeDocument/2006/relationships/hyperlink" Target="https://www.hstoday.us/subject-matter-areas/cybersecurity/china-is-studying-how-to-hack-and-crash-our-power-grids" TargetMode="External"/><Relationship Id="rId82" Type="http://schemas.openxmlformats.org/officeDocument/2006/relationships/hyperlink" Target="https://digital-strategy.ec.europa.eu/en/library/final-report-evaluation-european-union-agency-network-and-information-security-enisa" TargetMode="External"/><Relationship Id="rId152" Type="http://schemas.openxmlformats.org/officeDocument/2006/relationships/hyperlink" Target="https://www.verfassungsschutz.de/SharedDocs/kurzmeldungen/DE/2024/2024-08-28-studie-bitkom.html" TargetMode="External"/><Relationship Id="rId173" Type="http://schemas.openxmlformats.org/officeDocument/2006/relationships/hyperlink" Target="https://qualysec.com/it-security-audit-cost/" TargetMode="External"/><Relationship Id="rId194" Type="http://schemas.openxmlformats.org/officeDocument/2006/relationships/hyperlink" Target="https://enisa.europa.eu/sites/default/files/2025-07/Consolidated%20Annual%20Activity%20Report%202024.pdf" TargetMode="External"/><Relationship Id="rId199" Type="http://schemas.openxmlformats.org/officeDocument/2006/relationships/hyperlink" Target="https://www.enisa.europa.eu/tools/cyberhead-cybersecurity-higher-education-database" TargetMode="External"/><Relationship Id="rId203" Type="http://schemas.openxmlformats.org/officeDocument/2006/relationships/hyperlink" Target="https://www.cisa.gov/securebydesign" TargetMode="External"/><Relationship Id="rId208" Type="http://schemas.openxmlformats.org/officeDocument/2006/relationships/hyperlink" Target="https://counter-ransomware.org/aboutus" TargetMode="External"/><Relationship Id="rId19" Type="http://schemas.openxmlformats.org/officeDocument/2006/relationships/hyperlink" Target="https://education.ec.europa.eu/focus-topics/stem" TargetMode="External"/><Relationship Id="rId14" Type="http://schemas.openxmlformats.org/officeDocument/2006/relationships/hyperlink" Target="https://digital-skills-jobs.europa.eu/system/files/2024-12/ISC2_Workfoce-Study-Findings-EU.pdf" TargetMode="External"/><Relationship Id="rId30" Type="http://schemas.openxmlformats.org/officeDocument/2006/relationships/hyperlink" Target="https://www.enisa.europa.eu/publications/enisa-threat-landscape-2024" TargetMode="External"/><Relationship Id="rId35" Type="http://schemas.openxmlformats.org/officeDocument/2006/relationships/hyperlink" Target="https://cert.europa.eu/publications/security-advisories/2020-060/" TargetMode="External"/><Relationship Id="rId56" Type="http://schemas.openxmlformats.org/officeDocument/2006/relationships/hyperlink" Target="https://www.solarpowereurope.org/advocacy/position-papers/inverters-explained" TargetMode="External"/><Relationship Id="rId77" Type="http://schemas.openxmlformats.org/officeDocument/2006/relationships/hyperlink" Target="https://digital-strategy.ec.europa.eu/en/news/eu-wide-coordinated-risk-assessment-5g-networks-security" TargetMode="External"/><Relationship Id="rId100" Type="http://schemas.openxmlformats.org/officeDocument/2006/relationships/hyperlink" Target="https://www.marsh.com/en/services/cyber-risk/expertise/cyber-self-assessment.html" TargetMode="External"/><Relationship Id="rId105" Type="http://schemas.openxmlformats.org/officeDocument/2006/relationships/hyperlink" Target="https://www.lightreading.com/5g/huawei-has-hardly-been-weakened-in-european-5g-data-shows" TargetMode="External"/><Relationship Id="rId126" Type="http://schemas.openxmlformats.org/officeDocument/2006/relationships/hyperlink" Target="https://digital-strategy.ec.europa.eu/en/library/final-report-evaluation-european-union-agency-network-and-information-security-enisa" TargetMode="External"/><Relationship Id="rId147" Type="http://schemas.openxmlformats.org/officeDocument/2006/relationships/hyperlink" Target="https://urldefense.com/v3/__https:/csrc.nist.gov/glossary/term/malicious_cyber_activity__;!!DOxrgLBm!GtNvfnGExIMMhzaBChWXD8r4BKeZjXeKdnCCC8JiBPsOof4IEIOduD1ioDrm1dUioIjayuEbeFC9U7mpl8KwEp4Gt0n97Emg$" TargetMode="External"/><Relationship Id="rId168" Type="http://schemas.openxmlformats.org/officeDocument/2006/relationships/hyperlink" Target="https://cpl.thalesgroup.com/about-us/newsroom/digital-trust-index-2025" TargetMode="External"/><Relationship Id="rId8" Type="http://schemas.openxmlformats.org/officeDocument/2006/relationships/hyperlink" Target="https://single-market-economy.ec.europa.eu/news/commission-launches-call-evidence-and-public-consultation-evaluation-public-procurement-directives-2024-12-13_en" TargetMode="External"/><Relationship Id="rId51" Type="http://schemas.openxmlformats.org/officeDocument/2006/relationships/hyperlink" Target="https://reports.weforum.org/docs/WEF_Global_Cybersecurity_Outlook_2025.pdf" TargetMode="External"/><Relationship Id="rId72" Type="http://schemas.openxmlformats.org/officeDocument/2006/relationships/hyperlink" Target="https://www.e-sbirka.cz/sb/2025/264/2025-11-01?zalozka=text" TargetMode="External"/><Relationship Id="rId93" Type="http://schemas.openxmlformats.org/officeDocument/2006/relationships/hyperlink" Target="https://www.enisa.europa.eu/publications/corporate-documents/enisa-consolidated-annual-activity-report-2023" TargetMode="External"/><Relationship Id="rId98" Type="http://schemas.openxmlformats.org/officeDocument/2006/relationships/hyperlink" Target="https://www.enisa.europa.eu/sites/default/files/publications/ENISA%20Report%20-%20Conformity%20Assessment%20of%20Qualified%20Trust%20Service%20Providers.pdf" TargetMode="External"/><Relationship Id="rId121" Type="http://schemas.openxmlformats.org/officeDocument/2006/relationships/hyperlink" Target="https://www.giac.org/pricing/" TargetMode="External"/><Relationship Id="rId142" Type="http://schemas.openxmlformats.org/officeDocument/2006/relationships/hyperlink" Target="https://www.ibm.com/downloads/documents/us-en/131cf87b20b31c91" TargetMode="External"/><Relationship Id="rId163" Type="http://schemas.openxmlformats.org/officeDocument/2006/relationships/hyperlink" Target="https://europa.eu/eurobarometer/surveys/detail/3176" TargetMode="External"/><Relationship Id="rId184" Type="http://schemas.openxmlformats.org/officeDocument/2006/relationships/hyperlink" Target="https://digital-skills-jobs.europa.eu/system/files/2024-12/ISC2_Workfoce-Study-Findings-EU.pdf" TargetMode="External"/><Relationship Id="rId189" Type="http://schemas.openxmlformats.org/officeDocument/2006/relationships/hyperlink" Target="https://enisa.europa.eu/sites/default/files/2025-07/Consolidated%20Annual%20Activity%20Report%202024.pdf" TargetMode="External"/><Relationship Id="rId3" Type="http://schemas.openxmlformats.org/officeDocument/2006/relationships/hyperlink" Target="https://www.bbc.com/news/articles/cqjeej85452o" TargetMode="External"/><Relationship Id="rId25" Type="http://schemas.openxmlformats.org/officeDocument/2006/relationships/hyperlink" Target="https://csrc.nist.gov/glossary/term/malicious_cyber_activity" TargetMode="External"/><Relationship Id="rId46" Type="http://schemas.openxmlformats.org/officeDocument/2006/relationships/hyperlink" Target="https://www.reuters.com/technology/cybersecurity/north-korea-hacking-teams-hack-south-korea-defence-contractors-police-2024-04-23/" TargetMode="External"/><Relationship Id="rId67" Type="http://schemas.openxmlformats.org/officeDocument/2006/relationships/hyperlink" Target="https://www.enisa.europa.eu/sites/default/files/publications/Cybersecurity%20Certification%20Statistics%20Report.pdf" TargetMode="External"/><Relationship Id="rId116" Type="http://schemas.openxmlformats.org/officeDocument/2006/relationships/hyperlink" Target="https://cyber.gouv.fr/sites/default/files/document/Etude_des_professionnels_de_la_cybers%C3%A9curit%C3%A9_VF2.pdf" TargetMode="External"/><Relationship Id="rId137" Type="http://schemas.openxmlformats.org/officeDocument/2006/relationships/hyperlink" Target="https://europa.eu/eurobarometer/surveys/detail/3176" TargetMode="External"/><Relationship Id="rId158" Type="http://schemas.openxmlformats.org/officeDocument/2006/relationships/hyperlink" Target="https://cyber.gouv.fr/publications/observatoire-des-metiers-2025" TargetMode="External"/><Relationship Id="rId20" Type="http://schemas.openxmlformats.org/officeDocument/2006/relationships/hyperlink" Target="https://europa.eu/eurobarometer/surveys/detail/3176" TargetMode="External"/><Relationship Id="rId41" Type="http://schemas.openxmlformats.org/officeDocument/2006/relationships/hyperlink" Target="https://go.crowdstrike.com/rs/281-OBQ-266/images/GlobalThreatReport2024.pdf" TargetMode="External"/><Relationship Id="rId62" Type="http://schemas.openxmlformats.org/officeDocument/2006/relationships/hyperlink" Target="https://europa.eu/eurobarometer/surveys/detail/3176" TargetMode="External"/><Relationship Id="rId83" Type="http://schemas.openxmlformats.org/officeDocument/2006/relationships/hyperlink" Target="https://www.era.europa.eu/library/documents-regulations/era-work-programmes-activity-reports" TargetMode="External"/><Relationship Id="rId88" Type="http://schemas.openxmlformats.org/officeDocument/2006/relationships/hyperlink" Target="https://www.isc2.org/register-for-exam/isc2-exam-pricing" TargetMode="External"/><Relationship Id="rId111" Type="http://schemas.openxmlformats.org/officeDocument/2006/relationships/hyperlink" Target="https://www.enisa.europa.eu/sites/default/files/publications/Cybersecurity%20Certification%20Statistics%20Report.pdf" TargetMode="External"/><Relationship Id="rId132" Type="http://schemas.openxmlformats.org/officeDocument/2006/relationships/hyperlink" Target="https://www.lightreading.com/5g/huawei-has-hardly-been-weakened-in-european-5g-data-shows" TargetMode="External"/><Relationship Id="rId153" Type="http://schemas.openxmlformats.org/officeDocument/2006/relationships/hyperlink" Target="https://digital-skills-jobs.europa.eu/system/files/2024-12/ISC2_Workfoce-Study-Findings-EU.pdf" TargetMode="External"/><Relationship Id="rId174" Type="http://schemas.openxmlformats.org/officeDocument/2006/relationships/hyperlink" Target="https://atlantsecurity.com/blog/cost-of-cybersecurity-due-diligence/" TargetMode="External"/><Relationship Id="rId179" Type="http://schemas.openxmlformats.org/officeDocument/2006/relationships/hyperlink" Target="https://www.cert.ssi.gouv.fr/uploads/CERTFR-2024-CTI-001.pdf" TargetMode="External"/><Relationship Id="rId195" Type="http://schemas.openxmlformats.org/officeDocument/2006/relationships/hyperlink" Target="https://enisa.europa.eu/sites/default/files/2025-07/Consolidated%20Annual%20Activity%20Report%202024.pdf" TargetMode="External"/><Relationship Id="rId209" Type="http://schemas.openxmlformats.org/officeDocument/2006/relationships/hyperlink" Target="https://www.gov.uk/government/consultations/ransomware-proposals-to-increase-incident-reporting-and-reduce-payments-to-criminals/ransomware-legislative-proposals-reducing-payments-to-cyber-criminals-and-increasing-incident-reporting-accessible" TargetMode="External"/><Relationship Id="rId190" Type="http://schemas.openxmlformats.org/officeDocument/2006/relationships/hyperlink" Target="https://www.enisa.europa.eu/publications/corporate-documents/enisa-consolidated-annual-activity-report-2023" TargetMode="External"/><Relationship Id="rId204" Type="http://schemas.openxmlformats.org/officeDocument/2006/relationships/hyperlink" Target="https://www.cisa.gov/resources-tools/resources/2025-minimum-elements-software-bill-materials-sbom" TargetMode="External"/><Relationship Id="rId15" Type="http://schemas.openxmlformats.org/officeDocument/2006/relationships/hyperlink" Target="https://www.eurochambres.eu/wp-content/uploads/2022/09/Eurochambres-Twin-Transition-Survey.pdf" TargetMode="External"/><Relationship Id="rId36" Type="http://schemas.openxmlformats.org/officeDocument/2006/relationships/hyperlink" Target="https://www.ironnet.com/hubfs/IronNet-2021-Cybersecurity-Impact-Report-June2021.pdf?hsLang=en&amp;submissionGuid=39c8446a-6789-41e5-8652-a7dd61b8af94" TargetMode="External"/><Relationship Id="rId57" Type="http://schemas.openxmlformats.org/officeDocument/2006/relationships/hyperlink" Target="https://www.woodmac.com/press-releases/2024-press-releases/global-pv-inverter-shipments-grew-by-56-in-2023-to-536-gwac" TargetMode="External"/><Relationship Id="rId106" Type="http://schemas.openxmlformats.org/officeDocument/2006/relationships/hyperlink" Target="https://www.europarl.europa.eu/RegData/etudes/ATAG/2023/745710/EPRS_ATA(2023)745710_EN.pdf" TargetMode="External"/><Relationship Id="rId127" Type="http://schemas.openxmlformats.org/officeDocument/2006/relationships/hyperlink" Target="https://www.enisa.europa.eu/sites/default/files/publications/ENISA%20Report%20-%20Conformity%20Assessment%20of%20Qualified%20Trust%20Service%20Providers.pdf" TargetMode="External"/><Relationship Id="rId10" Type="http://schemas.openxmlformats.org/officeDocument/2006/relationships/hyperlink" Target="https://enisa.europa.eu/sites/default/files/2025-07/Consolidated%20Annual%20Activity%20Report%202024.pdf" TargetMode="External"/><Relationship Id="rId31" Type="http://schemas.openxmlformats.org/officeDocument/2006/relationships/hyperlink" Target="https://www.ibm.com/reports/data-breach" TargetMode="External"/><Relationship Id="rId52" Type="http://schemas.openxmlformats.org/officeDocument/2006/relationships/hyperlink" Target="https://cerre.eu/publications/digital-industrial-policy-for-europe" TargetMode="External"/><Relationship Id="rId73" Type="http://schemas.openxmlformats.org/officeDocument/2006/relationships/hyperlink" Target="https://www.stradalex.com/nl/sl_src_publ_jur_be/document/rvst_256.645" TargetMode="External"/><Relationship Id="rId78" Type="http://schemas.openxmlformats.org/officeDocument/2006/relationships/hyperlink" Target="https://digital-strategy.ec.europa.eu/en/news/eu-wide-coordinated-risk-assessment-5g-networks-security" TargetMode="External"/><Relationship Id="rId94" Type="http://schemas.openxmlformats.org/officeDocument/2006/relationships/hyperlink" Target="https://www.ibm.com/downloads/documents/us-en/131cf87b20b31c91" TargetMode="External"/><Relationship Id="rId99" Type="http://schemas.openxmlformats.org/officeDocument/2006/relationships/hyperlink" Target="https://www.embroker.com/blog/cyber-insurance-cost/" TargetMode="External"/><Relationship Id="rId101" Type="http://schemas.openxmlformats.org/officeDocument/2006/relationships/hyperlink" Target="https://affinity.marsh.com/cyber-accelerate/application-requirements.html" TargetMode="External"/><Relationship Id="rId122" Type="http://schemas.openxmlformats.org/officeDocument/2006/relationships/hyperlink" Target="https://digital-strategy.ec.europa.eu/en/library/final-report-evaluation-european-union-agency-network-and-information-security-enisa" TargetMode="External"/><Relationship Id="rId143" Type="http://schemas.openxmlformats.org/officeDocument/2006/relationships/hyperlink" Target="https://www.ibm.com/think/insights/cost-of-a-data-breach-2024-financial-industry" TargetMode="External"/><Relationship Id="rId148" Type="http://schemas.openxmlformats.org/officeDocument/2006/relationships/hyperlink" Target="https://www.fema.gov/sites/default/files/documents/fema_planning-considerations-cyber-incidents_2023.pdf" TargetMode="External"/><Relationship Id="rId164" Type="http://schemas.openxmlformats.org/officeDocument/2006/relationships/hyperlink" Target="https://www.enisa.europa.eu/sites/default/files/2024-11/CSPA%20-%20NIS%20Investments%20-%202024_0.pdf" TargetMode="External"/><Relationship Id="rId169" Type="http://schemas.openxmlformats.org/officeDocument/2006/relationships/hyperlink" Target="https://www.euronews.com/next/2025/06/12/survey-most-europeans-are-worried-about-their-digital-privacy-and-its-impacting-how-they-u?utm_source=chatgpt.com" TargetMode="External"/><Relationship Id="rId185" Type="http://schemas.openxmlformats.org/officeDocument/2006/relationships/hyperlink" Target="https://europa.eu/eurobarometer/surveys/detail/3176" TargetMode="External"/><Relationship Id="rId4" Type="http://schemas.openxmlformats.org/officeDocument/2006/relationships/hyperlink" Target="https://digital-strategy.ec.europa.eu/en/library/cybersecurity-5g-networks-eu-toolbox-risk-mitigating-measures" TargetMode="External"/><Relationship Id="rId9" Type="http://schemas.openxmlformats.org/officeDocument/2006/relationships/hyperlink" Target="https://www.enisa.europa.eu/publications/enisa-threat-landscape-2024" TargetMode="External"/><Relationship Id="rId180" Type="http://schemas.openxmlformats.org/officeDocument/2006/relationships/hyperlink" Target="http://data.europa.eu/eli/reg/2013/526/oj" TargetMode="External"/><Relationship Id="rId210" Type="http://schemas.openxmlformats.org/officeDocument/2006/relationships/hyperlink" Target="https://www.homeaffairs.gov.au/cyber-security-subsite/files/factsheet-ransomware-payment-reporting.pdf" TargetMode="External"/><Relationship Id="rId26" Type="http://schemas.openxmlformats.org/officeDocument/2006/relationships/hyperlink" Target="https://www.enisa.europa.eu/publications/enisa-threat-landscape-2024" TargetMode="External"/><Relationship Id="rId47" Type="http://schemas.openxmlformats.org/officeDocument/2006/relationships/hyperlink" Target="https://www.cisa.gov/news-events/cybersecurity-advisories/aa23-144a" TargetMode="External"/><Relationship Id="rId68" Type="http://schemas.openxmlformats.org/officeDocument/2006/relationships/hyperlink" Target="https://ecs-org.eu/ecso-uploads/2025/01/ECSO-White-Paper-NIS2-Implementation.pdf" TargetMode="External"/><Relationship Id="rId89" Type="http://schemas.openxmlformats.org/officeDocument/2006/relationships/hyperlink" Target="https://www.comptia.org/en-eu/certifications/" TargetMode="External"/><Relationship Id="rId112" Type="http://schemas.openxmlformats.org/officeDocument/2006/relationships/hyperlink" Target="https://digital-strategy.ec.europa.eu/en/library/final-report-evaluation-european-union-agency-network-and-information-security-enisa" TargetMode="External"/><Relationship Id="rId133" Type="http://schemas.openxmlformats.org/officeDocument/2006/relationships/hyperlink" Target="https://www.lightreading.com/5g/huawei-has-hardly-been-weakened-in-european-5g-data-shows" TargetMode="External"/><Relationship Id="rId154" Type="http://schemas.openxmlformats.org/officeDocument/2006/relationships/hyperlink" Target="https://www.verfassungsschutz.de/SharedDocs/kurzmeldungen/DE/2024/2024-08-28-studie-bitkom.html" TargetMode="External"/><Relationship Id="rId175" Type="http://schemas.openxmlformats.org/officeDocument/2006/relationships/hyperlink" Target="https://drata.com/blog/introducing-2023-compliance-trends-report" TargetMode="External"/><Relationship Id="rId196" Type="http://schemas.openxmlformats.org/officeDocument/2006/relationships/hyperlink" Target="https://enisa.europa.eu/sites/default/files/2025-07/Consolidated%20Annual%20Activity%20Report%202024.pdf" TargetMode="External"/><Relationship Id="rId200" Type="http://schemas.openxmlformats.org/officeDocument/2006/relationships/hyperlink" Target="https://enisa.europa.eu/sites/default/files/2025-02/17_02_2025_ENISA%20Single%20Programming%20Document%202025-2027.pdf" TargetMode="External"/><Relationship Id="rId16" Type="http://schemas.openxmlformats.org/officeDocument/2006/relationships/hyperlink" Target="https://www.enisa.europa.eu/sites/default/files/2024-11/CSPA%20-%20NIS%20Investments%20-%202024_0.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ppmigroup.sharepoint.com/sites/ENISAevaluation_allpartners/Bendrai%20naudojami%20dokumentai/General/Collected%20data/Survey%20data/ENISA_survey_resul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ppmigroup.sharepoint.com/sites/ENISAevaluation_allpartners/Bendrai%20naudojami%20dokumentai/General/Collected%20data/Survey%20data/ENISA_survey_resul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01A0-4E03-A0C7-DE9FC671C9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Sheet1!$B$2:$B$6</c:f>
              <c:numCache>
                <c:formatCode>0%</c:formatCode>
                <c:ptCount val="5"/>
                <c:pt idx="0">
                  <c:v>7.6923076923076927E-2</c:v>
                </c:pt>
                <c:pt idx="1">
                  <c:v>0.25</c:v>
                </c:pt>
                <c:pt idx="2">
                  <c:v>7.9365079365079361E-2</c:v>
                </c:pt>
                <c:pt idx="3">
                  <c:v>5.8139534883720929E-2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01A0-4E03-A0C7-DE9FC671C91A}"/>
            </c:ext>
          </c:extLst>
        </c:ser>
        <c:ser>
          <c:idx val="1"/>
          <c:order val="1"/>
          <c:tx>
            <c:strRef>
              <c:f>Sheet1!$C$1</c:f>
              <c:strCache>
                <c:ptCount val="1"/>
                <c:pt idx="0">
                  <c:v>To a small extent</c:v>
                </c:pt>
              </c:strCache>
            </c:strRef>
          </c:tx>
          <c:spPr>
            <a:solidFill>
              <a:schemeClr val="accent2"/>
            </a:solidFill>
            <a:ln>
              <a:noFill/>
            </a:ln>
            <a:effectLst/>
          </c:spPr>
          <c:invertIfNegative val="0"/>
          <c:dLbls>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01A0-4E03-A0C7-DE9FC671C9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Sheet1!$C$2:$C$6</c:f>
              <c:numCache>
                <c:formatCode>0%</c:formatCode>
                <c:ptCount val="5"/>
                <c:pt idx="0">
                  <c:v>0.15384615384615385</c:v>
                </c:pt>
                <c:pt idx="1">
                  <c:v>0.5</c:v>
                </c:pt>
                <c:pt idx="2">
                  <c:v>0.17460317460317459</c:v>
                </c:pt>
                <c:pt idx="3">
                  <c:v>8.1395348837209308E-2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3-01A0-4E03-A0C7-DE9FC671C91A}"/>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Sheet1!$D$2:$D$6</c:f>
              <c:numCache>
                <c:formatCode>0%</c:formatCode>
                <c:ptCount val="5"/>
                <c:pt idx="0">
                  <c:v>0.15384615384615385</c:v>
                </c:pt>
                <c:pt idx="1">
                  <c:v>0.25</c:v>
                </c:pt>
                <c:pt idx="2">
                  <c:v>0.26984126984126983</c:v>
                </c:pt>
                <c:pt idx="3">
                  <c:v>0.33720930232558138</c:v>
                </c:pt>
                <c:pt idx="4">
                  <c:v>0.16666666666666666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01A0-4E03-A0C7-DE9FC671C91A}"/>
            </c:ext>
          </c:extLst>
        </c:ser>
        <c:ser>
          <c:idx val="3"/>
          <c:order val="3"/>
          <c:tx>
            <c:strRef>
              <c:f>Sheet1!$E$1</c:f>
              <c:strCache>
                <c:ptCount val="1"/>
                <c:pt idx="0">
                  <c:v>To a large extent</c:v>
                </c:pt>
              </c:strCache>
            </c:strRef>
          </c:tx>
          <c:spPr>
            <a:solidFill>
              <a:schemeClr val="accent4"/>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01A0-4E03-A0C7-DE9FC671C9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Sheet1!$E$2:$E$6</c:f>
              <c:numCache>
                <c:formatCode>0%</c:formatCode>
                <c:ptCount val="5"/>
                <c:pt idx="0">
                  <c:v>0.38461538461538464</c:v>
                </c:pt>
                <c:pt idx="1">
                  <c:v>0</c:v>
                </c:pt>
                <c:pt idx="2">
                  <c:v>0.23809523809523808</c:v>
                </c:pt>
                <c:pt idx="3">
                  <c:v>0.32558139534883723</c:v>
                </c:pt>
                <c:pt idx="4">
                  <c:v>0.58333333333333337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01A0-4E03-A0C7-DE9FC671C91A}"/>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7-01A0-4E03-A0C7-DE9FC671C91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Sheet1!$F$2:$F$6</c:f>
              <c:numCache>
                <c:formatCode>0%</c:formatCode>
                <c:ptCount val="5"/>
                <c:pt idx="0">
                  <c:v>0.23076923076923078</c:v>
                </c:pt>
                <c:pt idx="1">
                  <c:v>0</c:v>
                </c:pt>
                <c:pt idx="2">
                  <c:v>0.23809523809523808</c:v>
                </c:pt>
                <c:pt idx="3">
                  <c:v>0.19767441860465115</c:v>
                </c:pt>
                <c:pt idx="4">
                  <c:v>0.25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01A0-4E03-A0C7-DE9FC671C91A}"/>
            </c:ext>
          </c:extLst>
        </c:ser>
        <c:dLbls>
          <c:dLblPos val="ctr"/>
          <c:showLegendKey val="0"/>
          <c:showVal val="1"/>
          <c:showCatName val="0"/>
          <c:showSerName val="0"/>
          <c:showPercent val="0"/>
          <c:showBubbleSize val="0"/>
        </c:dLbls>
        <c:gapWidth val="150"/>
        <c:overlap val="100"/>
        <c:axId val="779881471"/>
        <c:axId val="779886271"/>
      </c:barChart>
      <c:catAx>
        <c:axId val="779881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886271"/>
        <c:crosses val="autoZero"/>
        <c:auto val="1"/>
        <c:lblAlgn val="ctr"/>
        <c:lblOffset val="100"/>
        <c:noMultiLvlLbl val="0"/>
      </c:catAx>
      <c:valAx>
        <c:axId val="7798862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881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F775-4283-B6EB-7F96A73BF775}"/>
                </c:ext>
              </c:extLst>
            </c:dLbl>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F775-4283-B6EB-7F96A73BF775}"/>
                </c:ext>
              </c:extLst>
            </c:dLbl>
            <c:dLbl>
              <c:idx val="2"/>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F775-4283-B6EB-7F96A73BF775}"/>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F775-4283-B6EB-7F96A73BF7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Sheet1!$B$2:$B$6</c:f>
              <c:numCache>
                <c:formatCode>0%</c:formatCode>
                <c:ptCount val="5"/>
                <c:pt idx="0">
                  <c:v>0</c:v>
                </c:pt>
                <c:pt idx="1">
                  <c:v>0</c:v>
                </c:pt>
                <c:pt idx="2">
                  <c:v>0</c:v>
                </c:pt>
                <c:pt idx="3">
                  <c:v>7.5471698113207544E-2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F775-4283-B6EB-7F96A73BF775}"/>
            </c:ext>
          </c:extLst>
        </c:ser>
        <c:ser>
          <c:idx val="1"/>
          <c:order val="1"/>
          <c:tx>
            <c:strRef>
              <c:f>Sheet1!$C$1</c:f>
              <c:strCache>
                <c:ptCount val="1"/>
                <c:pt idx="0">
                  <c:v>To a small extent</c:v>
                </c:pt>
              </c:strCache>
            </c:strRef>
          </c:tx>
          <c:spPr>
            <a:solidFill>
              <a:schemeClr val="accent2"/>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F775-4283-B6EB-7F96A73BF7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Sheet1!$C$2:$C$6</c:f>
              <c:numCache>
                <c:formatCode>0%</c:formatCode>
                <c:ptCount val="5"/>
                <c:pt idx="0">
                  <c:v>9.0909090909090912E-2</c:v>
                </c:pt>
                <c:pt idx="1">
                  <c:v>0</c:v>
                </c:pt>
                <c:pt idx="2">
                  <c:v>0.1</c:v>
                </c:pt>
                <c:pt idx="3">
                  <c:v>1.8867924528301886E-2</c:v>
                </c:pt>
                <c:pt idx="4">
                  <c:v>0.16666666666666666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F775-4283-B6EB-7F96A73BF775}"/>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Sheet1!$D$2:$D$6</c:f>
              <c:numCache>
                <c:formatCode>0%</c:formatCode>
                <c:ptCount val="5"/>
                <c:pt idx="0">
                  <c:v>0.27272727272727271</c:v>
                </c:pt>
                <c:pt idx="1">
                  <c:v>0.75</c:v>
                </c:pt>
                <c:pt idx="2">
                  <c:v>0.4</c:v>
                </c:pt>
                <c:pt idx="3">
                  <c:v>0.32075471698113206</c:v>
                </c:pt>
                <c:pt idx="4">
                  <c:v>0.2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F775-4283-B6EB-7F96A73BF775}"/>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Sheet1!$E$2:$E$6</c:f>
              <c:numCache>
                <c:formatCode>0%</c:formatCode>
                <c:ptCount val="5"/>
                <c:pt idx="0">
                  <c:v>0.45454545454545453</c:v>
                </c:pt>
                <c:pt idx="1">
                  <c:v>0.25</c:v>
                </c:pt>
                <c:pt idx="2">
                  <c:v>0.5</c:v>
                </c:pt>
                <c:pt idx="3">
                  <c:v>0.50943396226415094</c:v>
                </c:pt>
                <c:pt idx="4">
                  <c:v>0.56666666666666665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F775-4283-B6EB-7F96A73BF775}"/>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9-F775-4283-B6EB-7F96A73BF775}"/>
                </c:ext>
              </c:extLst>
            </c:dLbl>
            <c:dLbl>
              <c:idx val="2"/>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A-F775-4283-B6EB-7F96A73BF7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Sheet1!$F$2:$F$6</c:f>
              <c:numCache>
                <c:formatCode>0%</c:formatCode>
                <c:ptCount val="5"/>
                <c:pt idx="0">
                  <c:v>0.18181818181818182</c:v>
                </c:pt>
                <c:pt idx="1">
                  <c:v>0</c:v>
                </c:pt>
                <c:pt idx="2">
                  <c:v>0</c:v>
                </c:pt>
                <c:pt idx="3">
                  <c:v>7.5471698113207544E-2</c:v>
                </c:pt>
                <c:pt idx="4">
                  <c:v>6.6666666666666666E-2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B-F775-4283-B6EB-7F96A73BF775}"/>
            </c:ext>
          </c:extLst>
        </c:ser>
        <c:dLbls>
          <c:dLblPos val="ctr"/>
          <c:showLegendKey val="0"/>
          <c:showVal val="1"/>
          <c:showCatName val="0"/>
          <c:showSerName val="0"/>
          <c:showPercent val="0"/>
          <c:showBubbleSize val="0"/>
        </c:dLbls>
        <c:gapWidth val="150"/>
        <c:overlap val="100"/>
        <c:axId val="1072541279"/>
        <c:axId val="1072539359"/>
      </c:barChart>
      <c:catAx>
        <c:axId val="1072541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539359"/>
        <c:crosses val="autoZero"/>
        <c:auto val="1"/>
        <c:lblAlgn val="ctr"/>
        <c:lblOffset val="100"/>
        <c:noMultiLvlLbl val="0"/>
      </c:catAx>
      <c:valAx>
        <c:axId val="10725393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541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4"/>
          <c:order val="0"/>
          <c:tx>
            <c:strRef>
              <c:f>Sheet1!$F$1</c:f>
              <c:strCache>
                <c:ptCount val="1"/>
                <c:pt idx="0">
                  <c:v>Not at all</c:v>
                </c:pt>
              </c:strCache>
            </c:strRef>
          </c:tx>
          <c:spPr>
            <a:solidFill>
              <a:schemeClr val="accent1"/>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955B-4A7D-9BCC-0CA9C35F91B3}"/>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955B-4A7D-9BCC-0CA9C35F91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Sheet1!$F$2:$F$6</c:f>
              <c:numCache>
                <c:formatCode>0%</c:formatCode>
                <c:ptCount val="5"/>
                <c:pt idx="0">
                  <c:v>0</c:v>
                </c:pt>
                <c:pt idx="1">
                  <c:v>0.16666666666666666</c:v>
                </c:pt>
                <c:pt idx="2">
                  <c:v>4.7619047619047616E-2</c:v>
                </c:pt>
                <c:pt idx="3">
                  <c:v>4.6511627906976744E-2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955B-4A7D-9BCC-0CA9C35F91B3}"/>
            </c:ext>
          </c:extLst>
        </c:ser>
        <c:ser>
          <c:idx val="3"/>
          <c:order val="1"/>
          <c:tx>
            <c:strRef>
              <c:f>Sheet1!$E$1</c:f>
              <c:strCache>
                <c:ptCount val="1"/>
                <c:pt idx="0">
                  <c:v>To a small extent</c:v>
                </c:pt>
              </c:strCache>
            </c:strRef>
          </c:tx>
          <c:spPr>
            <a:solidFill>
              <a:schemeClr val="accent2"/>
            </a:solidFill>
            <a:ln>
              <a:noFill/>
            </a:ln>
            <a:effectLst/>
          </c:spPr>
          <c:invertIfNegative val="0"/>
          <c:dLbls>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955B-4A7D-9BCC-0CA9C35F91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Sheet1!$E$2:$E$6</c:f>
              <c:numCache>
                <c:formatCode>0%</c:formatCode>
                <c:ptCount val="5"/>
                <c:pt idx="0">
                  <c:v>7.6923076923076927E-2</c:v>
                </c:pt>
                <c:pt idx="1">
                  <c:v>0.33333333333333331</c:v>
                </c:pt>
                <c:pt idx="2">
                  <c:v>0.19047619047619047</c:v>
                </c:pt>
                <c:pt idx="3">
                  <c:v>3.4883720930232558E-2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955B-4A7D-9BCC-0CA9C35F91B3}"/>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Sheet1!$D$2:$D$6</c:f>
              <c:numCache>
                <c:formatCode>0%</c:formatCode>
                <c:ptCount val="5"/>
                <c:pt idx="0">
                  <c:v>0.38461538461538464</c:v>
                </c:pt>
                <c:pt idx="1">
                  <c:v>0.33333333333333331</c:v>
                </c:pt>
                <c:pt idx="2">
                  <c:v>0.26984126984126983</c:v>
                </c:pt>
                <c:pt idx="3">
                  <c:v>0.31395348837209303</c:v>
                </c:pt>
                <c:pt idx="4">
                  <c:v>0.18181818181818182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5-955B-4A7D-9BCC-0CA9C35F91B3}"/>
            </c:ext>
          </c:extLst>
        </c:ser>
        <c:ser>
          <c:idx val="1"/>
          <c:order val="3"/>
          <c:tx>
            <c:strRef>
              <c:f>Sheet1!$C$1</c:f>
              <c:strCache>
                <c:ptCount val="1"/>
                <c:pt idx="0">
                  <c:v>To a large extent</c:v>
                </c:pt>
              </c:strCache>
            </c:strRef>
          </c:tx>
          <c:spPr>
            <a:solidFill>
              <a:schemeClr val="accent4"/>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6-955B-4A7D-9BCC-0CA9C35F91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Sheet1!$C$2:$C$6</c:f>
              <c:numCache>
                <c:formatCode>0%</c:formatCode>
                <c:ptCount val="5"/>
                <c:pt idx="0">
                  <c:v>0.30769230769230771</c:v>
                </c:pt>
                <c:pt idx="1">
                  <c:v>0</c:v>
                </c:pt>
                <c:pt idx="2">
                  <c:v>0.33333333333333331</c:v>
                </c:pt>
                <c:pt idx="3">
                  <c:v>0.43023255813953487</c:v>
                </c:pt>
                <c:pt idx="4">
                  <c:v>0.72727272727272729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955B-4A7D-9BCC-0CA9C35F91B3}"/>
            </c:ext>
          </c:extLst>
        </c:ser>
        <c:ser>
          <c:idx val="0"/>
          <c:order val="4"/>
          <c:tx>
            <c:strRef>
              <c:f>Sheet1!$B$1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Sheet1!$B$2:$B$6</c:f>
              <c:numCache>
                <c:formatCode>0%</c:formatCode>
                <c:ptCount val="5"/>
                <c:pt idx="0">
                  <c:v>0.23076923076923078</c:v>
                </c:pt>
                <c:pt idx="1">
                  <c:v>0.16666666666666666</c:v>
                </c:pt>
                <c:pt idx="2">
                  <c:v>0.15873015873015872</c:v>
                </c:pt>
                <c:pt idx="3">
                  <c:v>0.1744186046511628</c:v>
                </c:pt>
                <c:pt idx="4">
                  <c:v>9.0909090909090912E-2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955B-4A7D-9BCC-0CA9C35F91B3}"/>
            </c:ext>
          </c:extLst>
        </c:ser>
        <c:dLbls>
          <c:dLblPos val="ctr"/>
          <c:showLegendKey val="0"/>
          <c:showVal val="1"/>
          <c:showCatName val="0"/>
          <c:showSerName val="0"/>
          <c:showPercent val="0"/>
          <c:showBubbleSize val="0"/>
        </c:dLbls>
        <c:gapWidth val="150"/>
        <c:overlap val="100"/>
        <c:axId val="1436079824"/>
        <c:axId val="1441148368"/>
      </c:barChart>
      <c:catAx>
        <c:axId val="1436079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148368"/>
        <c:crosses val="autoZero"/>
        <c:auto val="1"/>
        <c:lblAlgn val="ctr"/>
        <c:lblOffset val="100"/>
        <c:noMultiLvlLbl val="0"/>
      </c:catAx>
      <c:valAx>
        <c:axId val="144114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607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Strongly disagree</c:v>
                </c:pt>
              </c:strCache>
            </c:strRef>
          </c:tx>
          <c:spPr>
            <a:solidFill>
              <a:schemeClr val="accent1"/>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3D62-461B-8D50-E6BD51313153}"/>
                </c:ext>
              </c:extLst>
            </c:dLbl>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3D62-461B-8D50-E6BD51313153}"/>
                </c:ext>
              </c:extLst>
            </c:dLbl>
            <c:dLbl>
              <c:idx val="3"/>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3D62-461B-8D50-E6BD51313153}"/>
                </c:ext>
              </c:extLst>
            </c:dLbl>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3D62-461B-8D50-E6BD513131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Sheet1!$B$2:$B$7</c:f>
              <c:numCache>
                <c:formatCode>0%</c:formatCode>
                <c:ptCount val="6"/>
                <c:pt idx="0">
                  <c:v>0</c:v>
                </c:pt>
                <c:pt idx="1">
                  <c:v>0</c:v>
                </c:pt>
                <c:pt idx="2">
                  <c:v>6.4516129032258063E-2</c:v>
                </c:pt>
                <c:pt idx="3">
                  <c:v>0</c:v>
                </c:pt>
                <c:pt idx="4">
                  <c:v>7.6923076923076927E-2</c:v>
                </c:pt>
                <c:pt idx="5">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3D62-461B-8D50-E6BD51313153}"/>
            </c:ext>
          </c:extLst>
        </c:ser>
        <c:ser>
          <c:idx val="1"/>
          <c:order val="1"/>
          <c:tx>
            <c:strRef>
              <c:f>Sheet1!$C$1</c:f>
              <c:strCache>
                <c:ptCount val="1"/>
                <c:pt idx="0">
                  <c:v>Mostly disagree</c:v>
                </c:pt>
              </c:strCache>
            </c:strRef>
          </c:tx>
          <c:spPr>
            <a:solidFill>
              <a:schemeClr val="accent2"/>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3D62-461B-8D50-E6BD51313153}"/>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6-3D62-461B-8D50-E6BD51313153}"/>
                </c:ext>
              </c:extLst>
            </c:dLbl>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7-3D62-461B-8D50-E6BD513131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Sheet1!$C$2:$C$7</c:f>
              <c:numCache>
                <c:formatCode>0%</c:formatCode>
                <c:ptCount val="6"/>
                <c:pt idx="0">
                  <c:v>0</c:v>
                </c:pt>
                <c:pt idx="1">
                  <c:v>0.5</c:v>
                </c:pt>
                <c:pt idx="2">
                  <c:v>6.4516129032258063E-2</c:v>
                </c:pt>
                <c:pt idx="3">
                  <c:v>8.3333333333333329E-2</c:v>
                </c:pt>
                <c:pt idx="4">
                  <c:v>0</c:v>
                </c:pt>
                <c:pt idx="5">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3D62-461B-8D50-E6BD51313153}"/>
            </c:ext>
          </c:extLst>
        </c:ser>
        <c:ser>
          <c:idx val="2"/>
          <c:order val="2"/>
          <c:tx>
            <c:strRef>
              <c:f>Sheet1!$D$1</c:f>
              <c:strCache>
                <c:ptCount val="1"/>
                <c:pt idx="0">
                  <c:v>Partly agree, partly disagree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Sheet1!$D$2:$D$7</c:f>
              <c:numCache>
                <c:formatCode>0%</c:formatCode>
                <c:ptCount val="6"/>
                <c:pt idx="0">
                  <c:v>8.3333333333333329E-2</c:v>
                </c:pt>
                <c:pt idx="1">
                  <c:v>0.25</c:v>
                </c:pt>
                <c:pt idx="2">
                  <c:v>0.22580645161290322</c:v>
                </c:pt>
                <c:pt idx="3">
                  <c:v>0.15277777777777779</c:v>
                </c:pt>
                <c:pt idx="4">
                  <c:v>7.6923076923076927E-2</c:v>
                </c:pt>
                <c:pt idx="5">
                  <c:v>9.0909090909090912E-2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3D62-461B-8D50-E6BD51313153}"/>
            </c:ext>
          </c:extLst>
        </c:ser>
        <c:ser>
          <c:idx val="3"/>
          <c:order val="3"/>
          <c:tx>
            <c:strRef>
              <c:f>Sheet1!$E$1</c:f>
              <c:strCache>
                <c:ptCount val="1"/>
                <c:pt idx="0">
                  <c:v>Mostly 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Sheet1!$E$2:$E$7</c:f>
              <c:numCache>
                <c:formatCode>0%</c:formatCode>
                <c:ptCount val="6"/>
                <c:pt idx="0">
                  <c:v>0.66666666666666663</c:v>
                </c:pt>
                <c:pt idx="1">
                  <c:v>0</c:v>
                </c:pt>
                <c:pt idx="2">
                  <c:v>0.45161290322580644</c:v>
                </c:pt>
                <c:pt idx="3">
                  <c:v>0.47222222222222221</c:v>
                </c:pt>
                <c:pt idx="4">
                  <c:v>0.46153846153846156</c:v>
                </c:pt>
                <c:pt idx="5">
                  <c:v>0.63636363636363635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A-3D62-461B-8D50-E6BD51313153}"/>
            </c:ext>
          </c:extLst>
        </c:ser>
        <c:ser>
          <c:idx val="4"/>
          <c:order val="4"/>
          <c:tx>
            <c:strRef>
              <c:f>Sheet1!$F$1</c:f>
              <c:strCache>
                <c:ptCount val="1"/>
                <c:pt idx="0">
                  <c:v>Strongly 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Sheet1!$F$2:$F$7</c:f>
              <c:numCache>
                <c:formatCode>0%</c:formatCode>
                <c:ptCount val="6"/>
                <c:pt idx="0">
                  <c:v>0.25</c:v>
                </c:pt>
                <c:pt idx="1">
                  <c:v>0.25</c:v>
                </c:pt>
                <c:pt idx="2">
                  <c:v>0.19354838709677419</c:v>
                </c:pt>
                <c:pt idx="3">
                  <c:v>0.29166666666666669</c:v>
                </c:pt>
                <c:pt idx="4">
                  <c:v>0.38461538461538464</c:v>
                </c:pt>
                <c:pt idx="5">
                  <c:v>0.27272727272727271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B-3D62-461B-8D50-E6BD51313153}"/>
            </c:ext>
          </c:extLst>
        </c:ser>
        <c:dLbls>
          <c:dLblPos val="ctr"/>
          <c:showLegendKey val="0"/>
          <c:showVal val="1"/>
          <c:showCatName val="0"/>
          <c:showSerName val="0"/>
          <c:showPercent val="0"/>
          <c:showBubbleSize val="0"/>
        </c:dLbls>
        <c:gapWidth val="150"/>
        <c:overlap val="100"/>
        <c:axId val="1243591695"/>
        <c:axId val="1243589775"/>
      </c:barChart>
      <c:catAx>
        <c:axId val="1243591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3589775"/>
        <c:crosses val="autoZero"/>
        <c:auto val="1"/>
        <c:lblAlgn val="ctr"/>
        <c:lblOffset val="100"/>
        <c:noMultiLvlLbl val="0"/>
      </c:catAx>
      <c:valAx>
        <c:axId val="12435897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3591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33553057776175"/>
          <c:y val="3.4289276807980051E-2"/>
          <c:w val="0.47061552897490866"/>
          <c:h val="0.82209044318338009"/>
        </c:manualLayout>
      </c:layout>
      <c:barChart>
        <c:barDir val="bar"/>
        <c:grouping val="percentStacked"/>
        <c:varyColors val="0"/>
        <c:ser>
          <c:idx val="4"/>
          <c:order val="0"/>
          <c:tx>
            <c:strRef>
              <c:f>Sheet1!$B$1</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Sheet1!$B$2:$B$9</c:f>
              <c:numCache>
                <c:formatCode>0%</c:formatCode>
                <c:ptCount val="8"/>
                <c:pt idx="0">
                  <c:v>0.2</c:v>
                </c:pt>
                <c:pt idx="1">
                  <c:v>0.19489999999999999</c:v>
                </c:pt>
                <c:pt idx="2">
                  <c:v>0.2414</c:v>
                </c:pt>
                <c:pt idx="3">
                  <c:v>0.2913</c:v>
                </c:pt>
                <c:pt idx="4">
                  <c:v>0.31969999999999998</c:v>
                </c:pt>
                <c:pt idx="5">
                  <c:v>0.31080000000000002</c:v>
                </c:pt>
                <c:pt idx="6">
                  <c:v>0.43059999999999998</c:v>
                </c:pt>
                <c:pt idx="7">
                  <c:v>0.45050000000000001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9D93-4415-AAB5-45BA1805EBCF}"/>
            </c:ext>
          </c:extLst>
        </c:ser>
        <c:ser>
          <c:idx val="3"/>
          <c:order val="1"/>
          <c:tx>
            <c:strRef>
              <c:f>Sheet1!$C$1</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Sheet1!$C$2:$C$9</c:f>
              <c:numCache>
                <c:formatCode>0%</c:formatCode>
                <c:ptCount val="8"/>
                <c:pt idx="0">
                  <c:v>0.27429999999999999</c:v>
                </c:pt>
                <c:pt idx="1">
                  <c:v>0.33050000000000002</c:v>
                </c:pt>
                <c:pt idx="2">
                  <c:v>0.28449999999999998</c:v>
                </c:pt>
                <c:pt idx="3">
                  <c:v>0.25240000000000001</c:v>
                </c:pt>
                <c:pt idx="4">
                  <c:v>0.30609999999999998</c:v>
                </c:pt>
                <c:pt idx="5">
                  <c:v>0.39190000000000003</c:v>
                </c:pt>
                <c:pt idx="6">
                  <c:v>0.30559999999999998</c:v>
                </c:pt>
                <c:pt idx="7">
                  <c:v>0.37359999999999999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9D93-4415-AAB5-45BA1805EBCF}"/>
            </c:ext>
          </c:extLst>
        </c:ser>
        <c:ser>
          <c:idx val="2"/>
          <c:order val="2"/>
          <c:tx>
            <c:strRef>
              <c:f>Sheet1!$L$1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Sheet1!$L$2:$L$9</c:f>
              <c:numCache>
                <c:formatCode>0%</c:formatCode>
                <c:ptCount val="8"/>
                <c:pt idx="0">
                  <c:v>0.32</c:v>
                </c:pt>
                <c:pt idx="1">
                  <c:v>0.31359999999999999</c:v>
                </c:pt>
                <c:pt idx="2">
                  <c:v>0.3448</c:v>
                </c:pt>
                <c:pt idx="3">
                  <c:v>0.33979999999999999</c:v>
                </c:pt>
                <c:pt idx="4">
                  <c:v>0.25169999999999998</c:v>
                </c:pt>
                <c:pt idx="5">
                  <c:v>0.18920000000000001</c:v>
                </c:pt>
                <c:pt idx="6">
                  <c:v>0.18060000000000001</c:v>
                </c:pt>
                <c:pt idx="7">
                  <c:v>0.12089999999999999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9D93-4415-AAB5-45BA1805EBCF}"/>
            </c:ext>
          </c:extLst>
        </c:ser>
        <c:ser>
          <c:idx val="1"/>
          <c:order val="3"/>
          <c:tx>
            <c:strRef>
              <c:f>Sheet1!$E$1</c:f>
              <c:strCache>
                <c:ptCount val="1"/>
                <c:pt idx="0">
                  <c:v>To a large extent</c:v>
                </c:pt>
              </c:strCache>
            </c:strRef>
          </c:tx>
          <c:spPr>
            <a:solidFill>
              <a:schemeClr val="accent4"/>
            </a:solidFill>
            <a:ln>
              <a:noFill/>
            </a:ln>
            <a:effectLst/>
          </c:spPr>
          <c:invertIfNegative val="0"/>
          <c:dLbls>
            <c:dLbl>
              <c:idx val="7"/>
              <c:layout>
                <c:manualLayout>
                  <c:x val="6.3613231552162846E-3"/>
                  <c:y val="0"/>
                </c:manualLayout>
              </c:layout>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9D93-4415-AAB5-45BA1805EB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Sheet1!$E$2:$E$9</c:f>
              <c:numCache>
                <c:formatCode>0%</c:formatCode>
                <c:ptCount val="8"/>
                <c:pt idx="0">
                  <c:v>0.16569999999999999</c:v>
                </c:pt>
                <c:pt idx="1">
                  <c:v>0.12709999999999999</c:v>
                </c:pt>
                <c:pt idx="2">
                  <c:v>9.4799999999999995E-2</c:v>
                </c:pt>
                <c:pt idx="3">
                  <c:v>7.7700000000000005E-2</c:v>
                </c:pt>
                <c:pt idx="4">
                  <c:v>8.8400000000000006E-2</c:v>
                </c:pt>
                <c:pt idx="5">
                  <c:v>9.4600000000000004E-2</c:v>
                </c:pt>
                <c:pt idx="6">
                  <c:v>6.9400000000000003E-2</c:v>
                </c:pt>
                <c:pt idx="7">
                  <c:v>3.3000000000000002E-2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9D93-4415-AAB5-45BA1805EBCF}"/>
            </c:ext>
          </c:extLst>
        </c:ser>
        <c:ser>
          <c:idx val="0"/>
          <c:order val="4"/>
          <c:tx>
            <c:strRef>
              <c:f>Sheet1!$F$1</c:f>
              <c:strCache>
                <c:ptCount val="1"/>
                <c:pt idx="0">
                  <c:v>Completely</c:v>
                </c:pt>
              </c:strCache>
            </c:strRef>
          </c:tx>
          <c:spPr>
            <a:solidFill>
              <a:schemeClr val="accent5"/>
            </a:solidFill>
            <a:ln>
              <a:noFill/>
            </a:ln>
            <a:effectLst/>
          </c:spPr>
          <c:invertIfNegative val="0"/>
          <c:dLbls>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9D93-4415-AAB5-45BA1805EBCF}"/>
                </c:ext>
              </c:extLst>
            </c:dLbl>
            <c:dLbl>
              <c:idx val="6"/>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6-9D93-4415-AAB5-45BA1805EBCF}"/>
                </c:ext>
              </c:extLst>
            </c:dLbl>
            <c:dLbl>
              <c:idx val="7"/>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7-9D93-4415-AAB5-45BA1805EB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Sheet1!$F$2:$F$9</c:f>
              <c:numCache>
                <c:formatCode>0%</c:formatCode>
                <c:ptCount val="8"/>
                <c:pt idx="0">
                  <c:v>0.04</c:v>
                </c:pt>
                <c:pt idx="1">
                  <c:v>3.39E-2</c:v>
                </c:pt>
                <c:pt idx="2">
                  <c:v>3.4500000000000003E-2</c:v>
                </c:pt>
                <c:pt idx="3">
                  <c:v>3.8800000000000001E-2</c:v>
                </c:pt>
                <c:pt idx="4">
                  <c:v>3.4000000000000002E-2</c:v>
                </c:pt>
                <c:pt idx="5">
                  <c:v>1.35E-2</c:v>
                </c:pt>
                <c:pt idx="6">
                  <c:v>1.3899999999999999E-2</c:v>
                </c:pt>
                <c:pt idx="7">
                  <c:v>2.1999999999999999E-2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9D93-4415-AAB5-45BA1805EBCF}"/>
            </c:ext>
          </c:extLst>
        </c:ser>
        <c:dLbls>
          <c:dLblPos val="ctr"/>
          <c:showLegendKey val="0"/>
          <c:showVal val="1"/>
          <c:showCatName val="0"/>
          <c:showSerName val="0"/>
          <c:showPercent val="0"/>
          <c:showBubbleSize val="0"/>
        </c:dLbls>
        <c:gapWidth val="150"/>
        <c:overlap val="100"/>
        <c:axId val="2018670575"/>
        <c:axId val="2018669615"/>
      </c:barChart>
      <c:catAx>
        <c:axId val="20186705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669615"/>
        <c:crosses val="autoZero"/>
        <c:auto val="1"/>
        <c:lblAlgn val="ctr"/>
        <c:lblOffset val="100"/>
        <c:noMultiLvlLbl val="0"/>
      </c:catAx>
      <c:valAx>
        <c:axId val="20186696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6705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elete val="1"/>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Sheet1!$B$2:$B$7</c:f>
              <c:numCache>
                <c:formatCode>0%</c:formatCode>
                <c:ptCount val="6"/>
                <c:pt idx="0">
                  <c:v>0</c:v>
                </c:pt>
                <c:pt idx="1">
                  <c:v>1.6393442622950821E-2</c:v>
                </c:pt>
                <c:pt idx="2">
                  <c:v>0</c:v>
                </c:pt>
                <c:pt idx="3">
                  <c:v>0</c:v>
                </c:pt>
                <c:pt idx="4">
                  <c:v>0</c:v>
                </c:pt>
                <c:pt idx="5">
                  <c:v>0</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0-2B71-4F53-BDAD-B424AD328B27}"/>
            </c:ext>
          </c:extLst>
        </c:ser>
        <c:ser>
          <c:idx val="1"/>
          <c:order val="1"/>
          <c:tx>
            <c:strRef>
              <c:f>Sheet1!$C$1</c:f>
              <c:strCache>
                <c:ptCount val="1"/>
                <c:pt idx="0">
                  <c:v>To a small extent</c:v>
                </c:pt>
              </c:strCache>
            </c:strRef>
          </c:tx>
          <c:spPr>
            <a:solidFill>
              <a:schemeClr val="accent2"/>
            </a:solidFill>
            <a:ln>
              <a:noFill/>
            </a:ln>
            <a:effectLst/>
          </c:spPr>
          <c:invertIfNegative val="0"/>
          <c:dLbls>
            <c:dLbl>
              <c:idx val="0"/>
              <c:delete val="1"/>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1-2B71-4F53-BDAD-B424AD328B27}"/>
                </c:ext>
              </c:extLst>
            </c:dLbl>
            <c:dLbl>
              <c:idx val="2"/>
              <c:delete val="1"/>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2-2B71-4F53-BDAD-B424AD328B27}"/>
                </c:ext>
              </c:extLst>
            </c:dLbl>
            <c:dLbl>
              <c:idx val="4"/>
              <c:delete val="1"/>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3-2B71-4F53-BDAD-B424AD328B27}"/>
                </c:ext>
              </c:extLst>
            </c:dLbl>
            <c:dLbl>
              <c:idx val="5"/>
              <c:delete val="1"/>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4-2B71-4F53-BDAD-B424AD328B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Sheet1!$C$2:$C$7</c:f>
              <c:numCache>
                <c:formatCode>0%</c:formatCode>
                <c:ptCount val="6"/>
                <c:pt idx="0">
                  <c:v>0</c:v>
                </c:pt>
                <c:pt idx="1">
                  <c:v>6.5573770491803282E-2</c:v>
                </c:pt>
                <c:pt idx="2">
                  <c:v>0</c:v>
                </c:pt>
                <c:pt idx="3">
                  <c:v>0.2</c:v>
                </c:pt>
                <c:pt idx="4">
                  <c:v>1.1235955056179775E-2</c:v>
                </c:pt>
                <c:pt idx="5">
                  <c:v>0</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2B71-4F53-BDAD-B424AD328B27}"/>
            </c:ext>
          </c:extLst>
        </c:ser>
        <c:ser>
          <c:idx val="2"/>
          <c:order val="2"/>
          <c:tx>
            <c:strRef>
              <c:f>Sheet1!$D$1</c:f>
              <c:strCache>
                <c:ptCount val="1"/>
                <c:pt idx="0">
                  <c:v>Somewhat</c:v>
                </c:pt>
              </c:strCache>
            </c:strRef>
          </c:tx>
          <c:spPr>
            <a:solidFill>
              <a:schemeClr val="accent3"/>
            </a:solidFill>
            <a:ln>
              <a:noFill/>
            </a:ln>
            <a:effectLst/>
          </c:spPr>
          <c:invertIfNegative val="0"/>
          <c:dLbls>
            <c:dLbl>
              <c:idx val="3"/>
              <c:delete val="1"/>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 xmlns:c16="http://schemas.microsoft.com/office/drawing/2014/chart" uri="{C3380CC4-5D6E-409C-BE32-E72D297353CC}">
                  <c16:uniqueId val="{00000006-2B71-4F53-BDAD-B424AD328B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Sheet1!$D$2:$D$7</c:f>
              <c:numCache>
                <c:formatCode>0%</c:formatCode>
                <c:ptCount val="6"/>
                <c:pt idx="0">
                  <c:v>0.23076923076923078</c:v>
                </c:pt>
                <c:pt idx="1">
                  <c:v>0.22950819672131148</c:v>
                </c:pt>
                <c:pt idx="2">
                  <c:v>0.23076923076923078</c:v>
                </c:pt>
                <c:pt idx="3">
                  <c:v>0</c:v>
                </c:pt>
                <c:pt idx="4">
                  <c:v>0.15730337078651685</c:v>
                </c:pt>
                <c:pt idx="5">
                  <c:v>8.3333333333333329E-2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7-2B71-4F53-BDAD-B424AD328B27}"/>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Sheet1!$E$2:$E$7</c:f>
              <c:numCache>
                <c:formatCode>0%</c:formatCode>
                <c:ptCount val="6"/>
                <c:pt idx="0">
                  <c:v>0.53846153846153844</c:v>
                </c:pt>
                <c:pt idx="1">
                  <c:v>0.4098360655737705</c:v>
                </c:pt>
                <c:pt idx="2">
                  <c:v>0.53846153846153844</c:v>
                </c:pt>
                <c:pt idx="3">
                  <c:v>0.4</c:v>
                </c:pt>
                <c:pt idx="4">
                  <c:v>0.4943820224719101</c:v>
                </c:pt>
                <c:pt idx="5">
                  <c:v>0.66666666666666663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8-2B71-4F53-BDAD-B424AD328B27}"/>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Sheet1!$F$2:$F$7</c:f>
              <c:numCache>
                <c:formatCode>0%</c:formatCode>
                <c:ptCount val="6"/>
                <c:pt idx="0">
                  <c:v>0.23076923076923078</c:v>
                </c:pt>
                <c:pt idx="1">
                  <c:v>0.27868852459016391</c:v>
                </c:pt>
                <c:pt idx="2">
                  <c:v>0.23076923076923078</c:v>
                </c:pt>
                <c:pt idx="3">
                  <c:v>0.4</c:v>
                </c:pt>
                <c:pt idx="4">
                  <c:v>0.33707865168539325</c:v>
                </c:pt>
                <c:pt idx="5">
                  <c:v>0.25</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9-2B71-4F53-BDAD-B424AD328B27}"/>
            </c:ext>
          </c:extLst>
        </c:ser>
        <c:dLbls>
          <c:dLblPos val="ctr"/>
          <c:showLegendKey val="0"/>
          <c:showVal val="1"/>
          <c:showCatName val="0"/>
          <c:showSerName val="0"/>
          <c:showPercent val="0"/>
          <c:showBubbleSize val="0"/>
        </c:dLbls>
        <c:gapWidth val="150"/>
        <c:overlap val="100"/>
        <c:axId val="963468047"/>
        <c:axId val="963467567"/>
      </c:barChart>
      <c:catAx>
        <c:axId val="963468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467567"/>
        <c:crosses val="autoZero"/>
        <c:auto val="1"/>
        <c:lblAlgn val="ctr"/>
        <c:lblOffset val="100"/>
        <c:noMultiLvlLbl val="0"/>
      </c:catAx>
      <c:valAx>
        <c:axId val="9634675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468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A834-4415-B40B-4478B6768D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Sheet1!$B$2:$B$6</c:f>
              <c:numCache>
                <c:formatCode>0%</c:formatCode>
                <c:ptCount val="5"/>
                <c:pt idx="0">
                  <c:v>0.15384615384615385</c:v>
                </c:pt>
                <c:pt idx="1">
                  <c:v>0.2</c:v>
                </c:pt>
                <c:pt idx="2">
                  <c:v>0.14516129032258066</c:v>
                </c:pt>
                <c:pt idx="3">
                  <c:v>8.3333333333333329E-2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A834-4415-B40B-4478B6768D85}"/>
            </c:ext>
          </c:extLst>
        </c:ser>
        <c:ser>
          <c:idx val="1"/>
          <c:order val="1"/>
          <c:tx>
            <c:strRef>
              <c:f>Sheet1!$C$1</c:f>
              <c:strCache>
                <c:ptCount val="1"/>
                <c:pt idx="0">
                  <c:v>To a small extent</c:v>
                </c:pt>
              </c:strCache>
            </c:strRef>
          </c:tx>
          <c:spPr>
            <a:solidFill>
              <a:schemeClr val="accent2"/>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A834-4415-B40B-4478B6768D85}"/>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A834-4415-B40B-4478B6768D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Sheet1!$C$2:$C$6</c:f>
              <c:numCache>
                <c:formatCode>0%</c:formatCode>
                <c:ptCount val="5"/>
                <c:pt idx="0">
                  <c:v>7.6923076923076927E-2</c:v>
                </c:pt>
                <c:pt idx="1">
                  <c:v>0</c:v>
                </c:pt>
                <c:pt idx="2">
                  <c:v>0.14516129032258066</c:v>
                </c:pt>
                <c:pt idx="3">
                  <c:v>4.7619047619047616E-2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A834-4415-B40B-4478B6768D85}"/>
            </c:ext>
          </c:extLst>
        </c:ser>
        <c:ser>
          <c:idx val="2"/>
          <c:order val="2"/>
          <c:tx>
            <c:strRef>
              <c:f>Sheet1!$D$1</c:f>
              <c:strCache>
                <c:ptCount val="1"/>
                <c:pt idx="0">
                  <c:v>Somewhat</c:v>
                </c:pt>
              </c:strCache>
            </c:strRef>
          </c:tx>
          <c:spPr>
            <a:solidFill>
              <a:schemeClr val="accent3"/>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A834-4415-B40B-4478B6768D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Sheet1!$D$2:$D$6</c:f>
              <c:numCache>
                <c:formatCode>0%</c:formatCode>
                <c:ptCount val="5"/>
                <c:pt idx="0">
                  <c:v>0</c:v>
                </c:pt>
                <c:pt idx="1">
                  <c:v>0.4</c:v>
                </c:pt>
                <c:pt idx="2">
                  <c:v>0.25806451612903225</c:v>
                </c:pt>
                <c:pt idx="3">
                  <c:v>0.23809523809523808</c:v>
                </c:pt>
                <c:pt idx="4">
                  <c:v>0.16666666666666666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A834-4415-B40B-4478B6768D85}"/>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Sheet1!$E$2:$E$6</c:f>
              <c:numCache>
                <c:formatCode>0%</c:formatCode>
                <c:ptCount val="5"/>
                <c:pt idx="0">
                  <c:v>0.61538461538461542</c:v>
                </c:pt>
                <c:pt idx="1">
                  <c:v>0.4</c:v>
                </c:pt>
                <c:pt idx="2">
                  <c:v>0.29032258064516131</c:v>
                </c:pt>
                <c:pt idx="3">
                  <c:v>0.44047619047619047</c:v>
                </c:pt>
                <c:pt idx="4">
                  <c:v>0.5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A834-4415-B40B-4478B6768D85}"/>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8-A834-4415-B40B-4478B6768D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Sheet1!$F$2:$F$6</c:f>
              <c:numCache>
                <c:formatCode>0%</c:formatCode>
                <c:ptCount val="5"/>
                <c:pt idx="0">
                  <c:v>0.15384615384615385</c:v>
                </c:pt>
                <c:pt idx="1">
                  <c:v>0</c:v>
                </c:pt>
                <c:pt idx="2">
                  <c:v>0.16129032258064516</c:v>
                </c:pt>
                <c:pt idx="3">
                  <c:v>0.19047619047619047</c:v>
                </c:pt>
                <c:pt idx="4">
                  <c:v>0.33333333333333331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A834-4415-B40B-4478B6768D85}"/>
            </c:ext>
          </c:extLst>
        </c:ser>
        <c:dLbls>
          <c:dLblPos val="ctr"/>
          <c:showLegendKey val="0"/>
          <c:showVal val="1"/>
          <c:showCatName val="0"/>
          <c:showSerName val="0"/>
          <c:showPercent val="0"/>
          <c:showBubbleSize val="0"/>
        </c:dLbls>
        <c:gapWidth val="150"/>
        <c:overlap val="100"/>
        <c:axId val="1396134048"/>
        <c:axId val="1396122048"/>
      </c:barChart>
      <c:catAx>
        <c:axId val="1396134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122048"/>
        <c:crosses val="autoZero"/>
        <c:auto val="1"/>
        <c:lblAlgn val="ctr"/>
        <c:lblOffset val="100"/>
        <c:noMultiLvlLbl val="0"/>
      </c:catAx>
      <c:valAx>
        <c:axId val="1396122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13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0"/>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2829-4C68-A069-0E1B1700BF7D}"/>
                </c:ext>
              </c:extLst>
            </c:dLbl>
            <c:dLbl>
              <c:idx val="1"/>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2829-4C68-A069-0E1B1700BF7D}"/>
                </c:ext>
              </c:extLst>
            </c:dLbl>
            <c:dLbl>
              <c:idx val="2"/>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2829-4C68-A069-0E1B1700BF7D}"/>
                </c:ext>
              </c:extLst>
            </c:dLbl>
            <c:dLbl>
              <c:idx val="3"/>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2829-4C68-A069-0E1B1700BF7D}"/>
                </c:ext>
              </c:extLst>
            </c:dLbl>
            <c:dLbl>
              <c:idx val="4"/>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4-2829-4C68-A069-0E1B1700BF7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Sheet1!$B$2:$B$10</c:f>
              <c:numCache>
                <c:formatCode>0%</c:formatCode>
                <c:ptCount val="9"/>
                <c:pt idx="0">
                  <c:v>0.10948905109489052</c:v>
                </c:pt>
                <c:pt idx="1">
                  <c:v>7.0422535211267609E-2</c:v>
                </c:pt>
                <c:pt idx="2">
                  <c:v>7.407407407407407E-2</c:v>
                </c:pt>
                <c:pt idx="3">
                  <c:v>4.2944785276073622E-2</c:v>
                </c:pt>
                <c:pt idx="4">
                  <c:v>3.6363636363636362E-2</c:v>
                </c:pt>
                <c:pt idx="5">
                  <c:v>3.0303030303030304E-2</c:v>
                </c:pt>
                <c:pt idx="6">
                  <c:v>2.3952095808383235E-2</c:v>
                </c:pt>
                <c:pt idx="7">
                  <c:v>1.2345679012345678E-2</c:v>
                </c:pt>
                <c:pt idx="8">
                  <c:v>1.1976047904191617E-2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5-2829-4C68-A069-0E1B1700BF7D}"/>
            </c:ext>
          </c:extLst>
        </c:ser>
        <c:ser>
          <c:idx val="1"/>
          <c:order val="1"/>
          <c:tx>
            <c:strRef>
              <c:f>Sheet1!$C$1</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Sheet1!$C$2:$C$10</c:f>
              <c:numCache>
                <c:formatCode>0%</c:formatCode>
                <c:ptCount val="9"/>
                <c:pt idx="0">
                  <c:v>0.40145985401459855</c:v>
                </c:pt>
                <c:pt idx="1">
                  <c:v>0.45070422535211269</c:v>
                </c:pt>
                <c:pt idx="2">
                  <c:v>0.4567901234567901</c:v>
                </c:pt>
                <c:pt idx="3">
                  <c:v>0.28834355828220859</c:v>
                </c:pt>
                <c:pt idx="4">
                  <c:v>0.27272727272727271</c:v>
                </c:pt>
                <c:pt idx="5">
                  <c:v>0.28484848484848485</c:v>
                </c:pt>
                <c:pt idx="6">
                  <c:v>0.23353293413173654</c:v>
                </c:pt>
                <c:pt idx="7">
                  <c:v>0.20987654320987653</c:v>
                </c:pt>
                <c:pt idx="8">
                  <c:v>0.22155688622754491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2829-4C68-A069-0E1B1700BF7D}"/>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Sheet1!$D$2:$D$10</c:f>
              <c:numCache>
                <c:formatCode>0%</c:formatCode>
                <c:ptCount val="9"/>
                <c:pt idx="0">
                  <c:v>0.29927007299270075</c:v>
                </c:pt>
                <c:pt idx="1">
                  <c:v>0.27464788732394368</c:v>
                </c:pt>
                <c:pt idx="2">
                  <c:v>0.20987654320987653</c:v>
                </c:pt>
                <c:pt idx="3">
                  <c:v>0.3987730061349693</c:v>
                </c:pt>
                <c:pt idx="4">
                  <c:v>0.37575757575757573</c:v>
                </c:pt>
                <c:pt idx="5">
                  <c:v>0.36969696969696969</c:v>
                </c:pt>
                <c:pt idx="6">
                  <c:v>0.3712574850299401</c:v>
                </c:pt>
                <c:pt idx="7">
                  <c:v>0.3888888888888889</c:v>
                </c:pt>
                <c:pt idx="8">
                  <c:v>0.3413173652694611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2829-4C68-A069-0E1B1700BF7D}"/>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Sheet1!$E$2:$E$10</c:f>
              <c:numCache>
                <c:formatCode>0%</c:formatCode>
                <c:ptCount val="9"/>
                <c:pt idx="0">
                  <c:v>0.11678832116788321</c:v>
                </c:pt>
                <c:pt idx="1">
                  <c:v>0.11267605633802817</c:v>
                </c:pt>
                <c:pt idx="2">
                  <c:v>0.18518518518518517</c:v>
                </c:pt>
                <c:pt idx="3">
                  <c:v>0.17791411042944785</c:v>
                </c:pt>
                <c:pt idx="4">
                  <c:v>0.22424242424242424</c:v>
                </c:pt>
                <c:pt idx="5">
                  <c:v>0.21212121212121213</c:v>
                </c:pt>
                <c:pt idx="6">
                  <c:v>0.24550898203592814</c:v>
                </c:pt>
                <c:pt idx="7">
                  <c:v>0.30246913580246915</c:v>
                </c:pt>
                <c:pt idx="8">
                  <c:v>0.29341317365269459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2829-4C68-A069-0E1B1700BF7D}"/>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Sheet1!$F$2:$F$10</c:f>
              <c:numCache>
                <c:formatCode>0%</c:formatCode>
                <c:ptCount val="9"/>
                <c:pt idx="0">
                  <c:v>7.2992700729927001E-2</c:v>
                </c:pt>
                <c:pt idx="1">
                  <c:v>9.154929577464789E-2</c:v>
                </c:pt>
                <c:pt idx="2">
                  <c:v>7.407407407407407E-2</c:v>
                </c:pt>
                <c:pt idx="3">
                  <c:v>9.202453987730061E-2</c:v>
                </c:pt>
                <c:pt idx="4">
                  <c:v>9.0909090909090912E-2</c:v>
                </c:pt>
                <c:pt idx="5">
                  <c:v>0.10303030303030303</c:v>
                </c:pt>
                <c:pt idx="6">
                  <c:v>0.12574850299401197</c:v>
                </c:pt>
                <c:pt idx="7">
                  <c:v>8.6419753086419748E-2</c:v>
                </c:pt>
                <c:pt idx="8">
                  <c:v>0.1317365269461078</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2829-4C68-A069-0E1B1700BF7D}"/>
            </c:ext>
          </c:extLst>
        </c:ser>
        <c:dLbls>
          <c:showLegendKey val="0"/>
          <c:showVal val="0"/>
          <c:showCatName val="0"/>
          <c:showSerName val="0"/>
          <c:showPercent val="0"/>
          <c:showBubbleSize val="0"/>
        </c:dLbls>
        <c:gapWidth val="150"/>
        <c:overlap val="100"/>
        <c:axId val="1436079824"/>
        <c:axId val="1441148368"/>
      </c:barChart>
      <c:catAx>
        <c:axId val="1436079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148368"/>
        <c:crosses val="autoZero"/>
        <c:auto val="1"/>
        <c:lblAlgn val="ctr"/>
        <c:lblOffset val="100"/>
        <c:noMultiLvlLbl val="0"/>
      </c:catAx>
      <c:valAx>
        <c:axId val="144114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607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2"/>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1D47-4EA5-A7D0-C50363B074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Sheet1!$B$2:$B$6</c:f>
              <c:numCache>
                <c:formatCode>0%</c:formatCode>
                <c:ptCount val="5"/>
                <c:pt idx="0">
                  <c:v>0</c:v>
                </c:pt>
                <c:pt idx="1">
                  <c:v>0</c:v>
                </c:pt>
                <c:pt idx="2">
                  <c:v>6.0606060606060608E-2</c:v>
                </c:pt>
                <c:pt idx="3">
                  <c:v>1.1764705882352941E-2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1D47-4EA5-A7D0-C50363B074DF}"/>
            </c:ext>
          </c:extLst>
        </c:ser>
        <c:ser>
          <c:idx val="1"/>
          <c:order val="1"/>
          <c:tx>
            <c:strRef>
              <c:f>Sheet1!$C$1</c:f>
              <c:strCache>
                <c:ptCount val="1"/>
                <c:pt idx="0">
                  <c:v>To a small extent</c:v>
                </c:pt>
              </c:strCache>
            </c:strRef>
          </c:tx>
          <c:spPr>
            <a:solidFill>
              <a:schemeClr val="accent2"/>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1D47-4EA5-A7D0-C50363B074DF}"/>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1D47-4EA5-A7D0-C50363B074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Sheet1!$C$2:$C$6</c:f>
              <c:numCache>
                <c:formatCode>0%</c:formatCode>
                <c:ptCount val="5"/>
                <c:pt idx="0">
                  <c:v>0</c:v>
                </c:pt>
                <c:pt idx="1">
                  <c:v>7.6923076923076927E-2</c:v>
                </c:pt>
                <c:pt idx="2">
                  <c:v>0.13636363636363635</c:v>
                </c:pt>
                <c:pt idx="3">
                  <c:v>0.10588235294117647</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4-1D47-4EA5-A7D0-C50363B074DF}"/>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Sheet1!$D$2:$D$6</c:f>
              <c:numCache>
                <c:formatCode>0%</c:formatCode>
                <c:ptCount val="5"/>
                <c:pt idx="0">
                  <c:v>0.6</c:v>
                </c:pt>
                <c:pt idx="1">
                  <c:v>0.38461538461538464</c:v>
                </c:pt>
                <c:pt idx="2">
                  <c:v>0.25757575757575757</c:v>
                </c:pt>
                <c:pt idx="3">
                  <c:v>0.28235294117647058</c:v>
                </c:pt>
                <c:pt idx="4">
                  <c:v>0.36363636363636365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5-1D47-4EA5-A7D0-C50363B074DF}"/>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Sheet1!$E$2:$E$6</c:f>
              <c:numCache>
                <c:formatCode>0%</c:formatCode>
                <c:ptCount val="5"/>
                <c:pt idx="0">
                  <c:v>0.2</c:v>
                </c:pt>
                <c:pt idx="1">
                  <c:v>0.30769230769230771</c:v>
                </c:pt>
                <c:pt idx="2">
                  <c:v>0.48484848484848486</c:v>
                </c:pt>
                <c:pt idx="3">
                  <c:v>0.54117647058823526</c:v>
                </c:pt>
                <c:pt idx="4">
                  <c:v>0.63636363636363635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1D47-4EA5-A7D0-C50363B074DF}"/>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Sheet1!$F$2:$F$6</c:f>
              <c:numCache>
                <c:formatCode>0%</c:formatCode>
                <c:ptCount val="5"/>
                <c:pt idx="0">
                  <c:v>0.2</c:v>
                </c:pt>
                <c:pt idx="1">
                  <c:v>0.23076923076923078</c:v>
                </c:pt>
                <c:pt idx="2">
                  <c:v>6.0606060606060608E-2</c:v>
                </c:pt>
                <c:pt idx="3">
                  <c:v>5.8823529411764705E-2</c:v>
                </c:pt>
                <c:pt idx="4">
                  <c:v>0</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1D47-4EA5-A7D0-C50363B074DF}"/>
            </c:ext>
          </c:extLst>
        </c:ser>
        <c:dLbls>
          <c:dLblPos val="ctr"/>
          <c:showLegendKey val="0"/>
          <c:showVal val="1"/>
          <c:showCatName val="0"/>
          <c:showSerName val="0"/>
          <c:showPercent val="0"/>
          <c:showBubbleSize val="0"/>
        </c:dLbls>
        <c:gapWidth val="150"/>
        <c:overlap val="100"/>
        <c:axId val="47836047"/>
        <c:axId val="47840367"/>
      </c:barChart>
      <c:catAx>
        <c:axId val="47836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40367"/>
        <c:crosses val="autoZero"/>
        <c:auto val="1"/>
        <c:lblAlgn val="ctr"/>
        <c:lblOffset val="100"/>
        <c:noMultiLvlLbl val="0"/>
      </c:catAx>
      <c:valAx>
        <c:axId val="478403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36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objectives'!$M$95</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objectives'!$M$96:$M$98</c:f>
              <c:numCache>
                <c:formatCode>0%</c:formatCode>
                <c:ptCount val="3"/>
                <c:pt idx="0">
                  <c:v>9.6799999999999997E-2</c:v>
                </c:pt>
                <c:pt idx="1">
                  <c:v>6.3500000000000001E-2</c:v>
                </c:pt>
                <c:pt idx="2">
                  <c:v>5.1700000000000003E-2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8554-49A7-A316-DED2C26758A9}"/>
            </c:ext>
          </c:extLst>
        </c:ser>
        <c:ser>
          <c:idx val="1"/>
          <c:order val="1"/>
          <c:tx>
            <c:strRef>
              <c:f>'ECCF objectives'!$N$95</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objectives'!$N$96:$N$98</c:f>
              <c:numCache>
                <c:formatCode>0%</c:formatCode>
                <c:ptCount val="3"/>
                <c:pt idx="0">
                  <c:v>0.1129</c:v>
                </c:pt>
                <c:pt idx="1">
                  <c:v>9.5200000000000007E-2</c:v>
                </c:pt>
                <c:pt idx="2">
                  <c:v>0.1207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8554-49A7-A316-DED2C26758A9}"/>
            </c:ext>
          </c:extLst>
        </c:ser>
        <c:ser>
          <c:idx val="2"/>
          <c:order val="2"/>
          <c:tx>
            <c:strRef>
              <c:f>'ECCF objectives'!$O$95</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objectives'!$O$96:$O$98</c:f>
              <c:numCache>
                <c:formatCode>0%</c:formatCode>
                <c:ptCount val="3"/>
                <c:pt idx="0">
                  <c:v>0.2419</c:v>
                </c:pt>
                <c:pt idx="1">
                  <c:v>0.23810000000000001</c:v>
                </c:pt>
                <c:pt idx="2">
                  <c:v>0.29310000000000003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8554-49A7-A316-DED2C26758A9}"/>
            </c:ext>
          </c:extLst>
        </c:ser>
        <c:ser>
          <c:idx val="3"/>
          <c:order val="3"/>
          <c:tx>
            <c:strRef>
              <c:f>'ECCF objectives'!$P$95</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objectives'!$P$96:$P$98</c:f>
              <c:numCache>
                <c:formatCode>0%</c:formatCode>
                <c:ptCount val="3"/>
                <c:pt idx="0">
                  <c:v>0.3226</c:v>
                </c:pt>
                <c:pt idx="1">
                  <c:v>0.3175</c:v>
                </c:pt>
                <c:pt idx="2">
                  <c:v>0.2414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8554-49A7-A316-DED2C26758A9}"/>
            </c:ext>
          </c:extLst>
        </c:ser>
        <c:ser>
          <c:idx val="4"/>
          <c:order val="4"/>
          <c:tx>
            <c:strRef>
              <c:f>'ECCF objectives'!$Q$95</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objectives'!$Q$96:$Q$98</c:f>
              <c:numCache>
                <c:formatCode>0%</c:formatCode>
                <c:ptCount val="3"/>
                <c:pt idx="0">
                  <c:v>0.2258</c:v>
                </c:pt>
                <c:pt idx="1">
                  <c:v>0.28570000000000001</c:v>
                </c:pt>
                <c:pt idx="2">
                  <c:v>0.29310000000000003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8554-49A7-A316-DED2C26758A9}"/>
            </c:ext>
          </c:extLst>
        </c:ser>
        <c:dLbls>
          <c:dLblPos val="ctr"/>
          <c:showLegendKey val="0"/>
          <c:showVal val="1"/>
          <c:showCatName val="0"/>
          <c:showSerName val="0"/>
          <c:showPercent val="0"/>
          <c:showBubbleSize val="0"/>
        </c:dLbls>
        <c:gapWidth val="150"/>
        <c:overlap val="100"/>
        <c:axId val="1679997471"/>
        <c:axId val="1638351375"/>
      </c:barChart>
      <c:catAx>
        <c:axId val="1679997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351375"/>
        <c:crosses val="autoZero"/>
        <c:auto val="1"/>
        <c:lblAlgn val="ctr"/>
        <c:lblOffset val="100"/>
        <c:noMultiLvlLbl val="0"/>
      </c:catAx>
      <c:valAx>
        <c:axId val="16383513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9997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objectives'!$L$132</c:f>
              <c:strCache>
                <c:ptCount val="1"/>
                <c:pt idx="0">
                  <c:v>Highly negatively</c:v>
                </c:pt>
              </c:strCache>
            </c:strRef>
          </c:tx>
          <c:spPr>
            <a:solidFill>
              <a:schemeClr val="accent1"/>
            </a:solidFill>
            <a:ln>
              <a:noFill/>
            </a:ln>
            <a:effectLst/>
          </c:spPr>
          <c:invertIfNegative val="0"/>
          <c:dLbls>
            <c:dLbl>
              <c:idx val="0"/>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F6D8-4326-9143-374CCF9779B3}"/>
                </c:ext>
              </c:extLst>
            </c:dLbl>
            <c:dLbl>
              <c:idx val="1"/>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F6D8-4326-9143-374CCF9779B3}"/>
                </c:ext>
              </c:extLst>
            </c:dLbl>
            <c:dLbl>
              <c:idx val="2"/>
              <c:layout>
                <c:manualLayout>
                  <c:x val="4.9361826724440561E-3"/>
                  <c:y val="0"/>
                </c:manualLayout>
              </c:layout>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F6D8-4326-9143-374CCF9779B3}"/>
                </c:ext>
              </c:extLst>
            </c:dLbl>
            <c:dLbl>
              <c:idx val="3"/>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3-F6D8-4326-9143-374CCF9779B3}"/>
                </c:ext>
              </c:extLst>
            </c:dLbl>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4-F6D8-4326-9143-374CCF9779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objectives'!$L$133:$L$139</c:f>
              <c:numCache>
                <c:formatCode>0%</c:formatCode>
                <c:ptCount val="7"/>
                <c:pt idx="0">
                  <c:v>0</c:v>
                </c:pt>
                <c:pt idx="1">
                  <c:v>1.5599999999999999E-2</c:v>
                </c:pt>
                <c:pt idx="2">
                  <c:v>3.1199999999999999E-2</c:v>
                </c:pt>
                <c:pt idx="3">
                  <c:v>0</c:v>
                </c:pt>
                <c:pt idx="4">
                  <c:v>0.17460000000000001</c:v>
                </c:pt>
                <c:pt idx="5" formatCode="0.00">
                  <c:v>0</c:v>
                </c:pt>
                <c:pt idx="6">
                  <c:v>6.25E-2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5-F6D8-4326-9143-374CCF9779B3}"/>
            </c:ext>
          </c:extLst>
        </c:ser>
        <c:ser>
          <c:idx val="1"/>
          <c:order val="1"/>
          <c:tx>
            <c:strRef>
              <c:f>'ECCF objectives'!$M$132</c:f>
              <c:strCache>
                <c:ptCount val="1"/>
                <c:pt idx="0">
                  <c:v>Negatively</c:v>
                </c:pt>
              </c:strCache>
            </c:strRef>
          </c:tx>
          <c:spPr>
            <a:solidFill>
              <a:schemeClr val="accent2"/>
            </a:solidFill>
            <a:ln>
              <a:noFill/>
            </a:ln>
            <a:effectLst/>
          </c:spPr>
          <c:invertIfNegative val="0"/>
          <c:dLbls>
            <c:dLbl>
              <c:idx val="0"/>
              <c:layout>
                <c:manualLayout>
                  <c:x val="4.9361826724440561E-3"/>
                  <c:y val="-8.5631613198283776E-17"/>
                </c:manualLayout>
              </c:layout>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6-F6D8-4326-9143-374CCF9779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objectives'!$M$133:$M$139</c:f>
              <c:numCache>
                <c:formatCode>0%</c:formatCode>
                <c:ptCount val="7"/>
                <c:pt idx="0">
                  <c:v>4.7600000000000003E-2</c:v>
                </c:pt>
                <c:pt idx="1">
                  <c:v>0.2344</c:v>
                </c:pt>
                <c:pt idx="2">
                  <c:v>0.3125</c:v>
                </c:pt>
                <c:pt idx="3">
                  <c:v>7.8100000000000003E-2</c:v>
                </c:pt>
                <c:pt idx="4">
                  <c:v>0.3175</c:v>
                </c:pt>
                <c:pt idx="5">
                  <c:v>0.17460000000000001</c:v>
                </c:pt>
                <c:pt idx="6">
                  <c:v>0.3906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F6D8-4326-9143-374CCF9779B3}"/>
            </c:ext>
          </c:extLst>
        </c:ser>
        <c:ser>
          <c:idx val="2"/>
          <c:order val="2"/>
          <c:tx>
            <c:strRef>
              <c:f>'ECCF objectives'!$N$132</c:f>
              <c:strCache>
                <c:ptCount val="1"/>
                <c:pt idx="0">
                  <c:v>Neither positively, nor negatively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objectives'!$N$133:$N$139</c:f>
              <c:numCache>
                <c:formatCode>0%</c:formatCode>
                <c:ptCount val="7"/>
                <c:pt idx="0">
                  <c:v>0.41270000000000001</c:v>
                </c:pt>
                <c:pt idx="1">
                  <c:v>0.4531</c:v>
                </c:pt>
                <c:pt idx="2">
                  <c:v>0.40620000000000001</c:v>
                </c:pt>
                <c:pt idx="3">
                  <c:v>0.46879999999999999</c:v>
                </c:pt>
                <c:pt idx="4">
                  <c:v>0.28570000000000001</c:v>
                </c:pt>
                <c:pt idx="5">
                  <c:v>0.49209999999999998</c:v>
                </c:pt>
                <c:pt idx="6">
                  <c:v>0.2656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F6D8-4326-9143-374CCF9779B3}"/>
            </c:ext>
          </c:extLst>
        </c:ser>
        <c:ser>
          <c:idx val="3"/>
          <c:order val="3"/>
          <c:tx>
            <c:strRef>
              <c:f>'ECCF objectives'!$O$132</c:f>
              <c:strCache>
                <c:ptCount val="1"/>
                <c:pt idx="0">
                  <c:v>Positively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objectives'!$O$133:$O$139</c:f>
              <c:numCache>
                <c:formatCode>0%</c:formatCode>
                <c:ptCount val="7"/>
                <c:pt idx="0">
                  <c:v>0.46029999999999999</c:v>
                </c:pt>
                <c:pt idx="1">
                  <c:v>0.2656</c:v>
                </c:pt>
                <c:pt idx="2">
                  <c:v>0.2031</c:v>
                </c:pt>
                <c:pt idx="3">
                  <c:v>0.4219</c:v>
                </c:pt>
                <c:pt idx="4">
                  <c:v>0.20630000000000001</c:v>
                </c:pt>
                <c:pt idx="5">
                  <c:v>0.30159999999999998</c:v>
                </c:pt>
                <c:pt idx="6">
                  <c:v>0.25</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F6D8-4326-9143-374CCF9779B3}"/>
            </c:ext>
          </c:extLst>
        </c:ser>
        <c:ser>
          <c:idx val="4"/>
          <c:order val="4"/>
          <c:tx>
            <c:strRef>
              <c:f>'ECCF objectives'!$P$132</c:f>
              <c:strCache>
                <c:ptCount val="1"/>
                <c:pt idx="0">
                  <c:v>Highly positively</c:v>
                </c:pt>
              </c:strCache>
            </c:strRef>
          </c:tx>
          <c:spPr>
            <a:solidFill>
              <a:schemeClr val="accent5"/>
            </a:solidFill>
            <a:ln>
              <a:noFill/>
            </a:ln>
            <a:effectLst/>
          </c:spPr>
          <c:invertIfNegative val="0"/>
          <c:dLbls>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A-F6D8-4326-9143-374CCF9779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objectives'!$P$133:$P$139</c:f>
              <c:numCache>
                <c:formatCode>0%</c:formatCode>
                <c:ptCount val="7"/>
                <c:pt idx="0">
                  <c:v>7.9399999999999998E-2</c:v>
                </c:pt>
                <c:pt idx="1">
                  <c:v>3.1199999999999999E-2</c:v>
                </c:pt>
                <c:pt idx="2">
                  <c:v>4.6899999999999997E-2</c:v>
                </c:pt>
                <c:pt idx="3">
                  <c:v>3.1199999999999999E-2</c:v>
                </c:pt>
                <c:pt idx="4">
                  <c:v>1.5900000000000001E-2</c:v>
                </c:pt>
                <c:pt idx="5">
                  <c:v>3.1699999999999999E-2</c:v>
                </c:pt>
                <c:pt idx="6">
                  <c:v>3.1199999999999999E-2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B-F6D8-4326-9143-374CCF9779B3}"/>
            </c:ext>
          </c:extLst>
        </c:ser>
        <c:dLbls>
          <c:dLblPos val="ctr"/>
          <c:showLegendKey val="0"/>
          <c:showVal val="1"/>
          <c:showCatName val="0"/>
          <c:showSerName val="0"/>
          <c:showPercent val="0"/>
          <c:showBubbleSize val="0"/>
        </c:dLbls>
        <c:gapWidth val="150"/>
        <c:overlap val="100"/>
        <c:axId val="1649556095"/>
        <c:axId val="1644226607"/>
      </c:barChart>
      <c:catAx>
        <c:axId val="16495560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4226607"/>
        <c:crosses val="autoZero"/>
        <c:auto val="1"/>
        <c:lblAlgn val="ctr"/>
        <c:lblOffset val="100"/>
        <c:noMultiLvlLbl val="0"/>
      </c:catAx>
      <c:valAx>
        <c:axId val="16442266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9556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efficiency'!$T$45</c:f>
              <c:strCache>
                <c:ptCount val="1"/>
                <c:pt idx="0">
                  <c:v>Not at all</c:v>
                </c:pt>
              </c:strCache>
            </c:strRef>
          </c:tx>
          <c:spPr>
            <a:solidFill>
              <a:schemeClr val="accent1"/>
            </a:solidFill>
            <a:ln>
              <a:noFill/>
            </a:ln>
            <a:effectLst/>
          </c:spPr>
          <c:invertIfNegative val="0"/>
          <c:dLbls>
            <c:dLbl>
              <c:idx val="3"/>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0-8CF8-4E41-8BAE-6E143226E6A9}"/>
                </c:ext>
              </c:extLst>
            </c:dLbl>
            <c:dLbl>
              <c:idx val="4"/>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1-8CF8-4E41-8BAE-6E143226E6A9}"/>
                </c:ext>
              </c:extLst>
            </c:dLbl>
            <c:dLbl>
              <c:idx val="5"/>
              <c:delete val="1"/>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2-8CF8-4E41-8BAE-6E143226E6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efficiency'!$T$46:$T$51</c:f>
              <c:numCache>
                <c:formatCode>0%</c:formatCode>
                <c:ptCount val="6"/>
                <c:pt idx="0">
                  <c:v>4.3499999999999997E-2</c:v>
                </c:pt>
                <c:pt idx="1">
                  <c:v>3.7699999999999997E-2</c:v>
                </c:pt>
                <c:pt idx="2">
                  <c:v>0.1091</c:v>
                </c:pt>
                <c:pt idx="3">
                  <c:v>1.8200000000000001E-2</c:v>
                </c:pt>
                <c:pt idx="4">
                  <c:v>0</c:v>
                </c:pt>
                <c:pt idx="5">
                  <c:v>1.6400000000000001E-2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3-8CF8-4E41-8BAE-6E143226E6A9}"/>
            </c:ext>
          </c:extLst>
        </c:ser>
        <c:ser>
          <c:idx val="1"/>
          <c:order val="1"/>
          <c:tx>
            <c:strRef>
              <c:f>'ECCF efficiency'!$U$45</c:f>
              <c:strCache>
                <c:ptCount val="1"/>
                <c:pt idx="0">
                  <c:v>To a small extent</c:v>
                </c:pt>
              </c:strCache>
            </c:strRef>
          </c:tx>
          <c:spPr>
            <a:solidFill>
              <a:schemeClr val="accent2"/>
            </a:solidFill>
            <a:ln>
              <a:noFill/>
            </a:ln>
            <a:effectLst/>
          </c:spPr>
          <c:invertIfNegative val="0"/>
          <c:dLbls>
            <c:dLbl>
              <c:idx val="4"/>
              <c:layout>
                <c:manualLayout>
                  <c:x val="-2.0986358866737389E-3"/>
                  <c:y val="4.6296296296295869E-3"/>
                </c:manualLayout>
              </c:layout>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4-8CF8-4E41-8BAE-6E143226E6A9}"/>
                </c:ext>
              </c:extLst>
            </c:dLbl>
            <c:dLbl>
              <c:idx val="5"/>
              <c:layout>
                <c:manualLayout>
                  <c:x val="6.2959076600209865E-3"/>
                  <c:y val="0"/>
                </c:manualLayout>
              </c:layout>
              <c:dLblPos val="ctr"/>
              <c:showLegendKey val="0"/>
              <c:showVal val="1"/>
              <c:showCatName val="0"/>
              <c:showSerName val="0"/>
              <c:showPercent val="0"/>
              <c:showBubbleSize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ext xmlns:c16="http://schemas.microsoft.com/office/drawing/2014/chart" uri="{C3380CC4-5D6E-409C-BE32-E72D297353CC}">
                  <c16:uniqueId val="{00000005-8CF8-4E41-8BAE-6E143226E6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efficiency'!$U$46:$U$51</c:f>
              <c:numCache>
                <c:formatCode>0%</c:formatCode>
                <c:ptCount val="6"/>
                <c:pt idx="0">
                  <c:v>8.6999999999999994E-2</c:v>
                </c:pt>
                <c:pt idx="1">
                  <c:v>7.5499999999999998E-2</c:v>
                </c:pt>
                <c:pt idx="2">
                  <c:v>0.18179999999999999</c:v>
                </c:pt>
                <c:pt idx="3">
                  <c:v>0.18179999999999999</c:v>
                </c:pt>
                <c:pt idx="4">
                  <c:v>3.3300000000000003E-2</c:v>
                </c:pt>
                <c:pt idx="5">
                  <c:v>3.2800000000000003E-2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6-8CF8-4E41-8BAE-6E143226E6A9}"/>
            </c:ext>
          </c:extLst>
        </c:ser>
        <c:ser>
          <c:idx val="2"/>
          <c:order val="2"/>
          <c:tx>
            <c:strRef>
              <c:f>'ECCF efficiency'!$V$45</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efficiency'!$V$46:$V$51</c:f>
              <c:numCache>
                <c:formatCode>0%</c:formatCode>
                <c:ptCount val="6"/>
                <c:pt idx="0">
                  <c:v>0.28260000000000002</c:v>
                </c:pt>
                <c:pt idx="1">
                  <c:v>0.3019</c:v>
                </c:pt>
                <c:pt idx="2">
                  <c:v>0.2727</c:v>
                </c:pt>
                <c:pt idx="3">
                  <c:v>0.21820000000000001</c:v>
                </c:pt>
                <c:pt idx="4">
                  <c:v>8.3299999999999999E-2</c:v>
                </c:pt>
                <c:pt idx="5">
                  <c:v>0.18029999999999999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7-8CF8-4E41-8BAE-6E143226E6A9}"/>
            </c:ext>
          </c:extLst>
        </c:ser>
        <c:ser>
          <c:idx val="3"/>
          <c:order val="3"/>
          <c:tx>
            <c:strRef>
              <c:f>'ECCF efficiency'!$W$45</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efficiency'!$W$46:$W$51</c:f>
              <c:numCache>
                <c:formatCode>0%</c:formatCode>
                <c:ptCount val="6"/>
                <c:pt idx="0">
                  <c:v>0.41299999999999998</c:v>
                </c:pt>
                <c:pt idx="1">
                  <c:v>0.434</c:v>
                </c:pt>
                <c:pt idx="2">
                  <c:v>0.29089999999999999</c:v>
                </c:pt>
                <c:pt idx="3">
                  <c:v>0.38179999999999997</c:v>
                </c:pt>
                <c:pt idx="4">
                  <c:v>0.55000000000000004</c:v>
                </c:pt>
                <c:pt idx="5">
                  <c:v>0.4098</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8-8CF8-4E41-8BAE-6E143226E6A9}"/>
            </c:ext>
          </c:extLst>
        </c:ser>
        <c:ser>
          <c:idx val="4"/>
          <c:order val="4"/>
          <c:tx>
            <c:strRef>
              <c:f>'ECCF efficiency'!$X$45</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efficiency'!$X$46:$X$51</c:f>
              <c:numCache>
                <c:formatCode>0%</c:formatCode>
                <c:ptCount val="6"/>
                <c:pt idx="0">
                  <c:v>0.1739</c:v>
                </c:pt>
                <c:pt idx="1">
                  <c:v>0.15090000000000001</c:v>
                </c:pt>
                <c:pt idx="2">
                  <c:v>0.14549999999999999</c:v>
                </c:pt>
                <c:pt idx="3">
                  <c:v>0.2</c:v>
                </c:pt>
                <c:pt idx="4">
                  <c:v>0.33329999999999999</c:v>
                </c:pt>
                <c:pt idx="5">
                  <c:v>0.36070000000000002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9-8CF8-4E41-8BAE-6E143226E6A9}"/>
            </c:ext>
          </c:extLst>
        </c:ser>
        <c:dLbls>
          <c:dLblPos val="ctr"/>
          <c:showLegendKey val="0"/>
          <c:showVal val="1"/>
          <c:showCatName val="0"/>
          <c:showSerName val="0"/>
          <c:showPercent val="0"/>
          <c:showBubbleSize val="0"/>
        </c:dLbls>
        <c:gapWidth val="150"/>
        <c:overlap val="100"/>
        <c:axId val="1478441439"/>
        <c:axId val="1478444319"/>
      </c:barChart>
      <c:catAx>
        <c:axId val="1478441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8444319"/>
        <c:crosses val="autoZero"/>
        <c:auto val="1"/>
        <c:lblAlgn val="ctr"/>
        <c:lblOffset val="100"/>
        <c:noMultiLvlLbl val="0"/>
      </c:catAx>
      <c:valAx>
        <c:axId val="147844431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8441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value'!$E$110</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value'!$E$111</c:f>
              <c:numCache>
                <c:formatCode>0%</c:formatCode>
                <c:ptCount val="1"/>
                <c:pt idx="0">
                  <c:v>0.04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CBFF-42AC-8D42-1466B65FE4A4}"/>
            </c:ext>
          </c:extLst>
        </c:ser>
        <c:ser>
          <c:idx val="1"/>
          <c:order val="1"/>
          <c:tx>
            <c:strRef>
              <c:f>'ECCF added value'!$F$110</c:f>
              <c:strCache>
                <c:ptCount val="1"/>
                <c:pt idx="0">
                  <c:v>To a small extent</c:v>
                </c:pt>
              </c:strCache>
            </c:strRef>
          </c:tx>
          <c:spPr>
            <a:solidFill>
              <a:schemeClr val="accent2"/>
            </a:solidFill>
            <a:ln>
              <a:noFill/>
            </a:ln>
            <a:effectLst/>
          </c:spPr>
          <c:invertIfNegative val="0"/>
          <c:dLbls>
            <c:delete val="1"/>
          </c:dLbls>
          <c:cat>
            <c:strRef>
              <c:f>'ECCF added value'!$D$111</c:f>
              <c:strCache>
                <c:ptCount val="1"/>
                <c:pt idx="0">
                  <c:v>To what extent will the impact of the ECCF increase because of the adoption of the proposed Cyber Resilience Act (CRA)?</c:v>
                </c:pt>
              </c:strCache>
            </c:strRef>
          </c:cat>
          <c:val>
            <c:numRef>
              <c:f>'ECCF added value'!$F$111</c:f>
              <c:numCache>
                <c:formatCode>0%</c:formatCode>
                <c:ptCount val="1"/>
                <c:pt idx="0">
                  <c:v>0.02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CBFF-42AC-8D42-1466B65FE4A4}"/>
            </c:ext>
          </c:extLst>
        </c:ser>
        <c:ser>
          <c:idx val="2"/>
          <c:order val="2"/>
          <c:tx>
            <c:strRef>
              <c:f>'ECCF added value'!$G$110</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value'!$G$111</c:f>
              <c:numCache>
                <c:formatCode>0%</c:formatCode>
                <c:ptCount val="1"/>
                <c:pt idx="0">
                  <c:v>0.22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CBFF-42AC-8D42-1466B65FE4A4}"/>
            </c:ext>
          </c:extLst>
        </c:ser>
        <c:ser>
          <c:idx val="3"/>
          <c:order val="3"/>
          <c:tx>
            <c:strRef>
              <c:f>'ECCF added value'!$H$110</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value'!$H$111</c:f>
              <c:numCache>
                <c:formatCode>0%</c:formatCode>
                <c:ptCount val="1"/>
                <c:pt idx="0">
                  <c:v>0.67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CBFF-42AC-8D42-1466B65FE4A4}"/>
            </c:ext>
          </c:extLst>
        </c:ser>
        <c:ser>
          <c:idx val="4"/>
          <c:order val="4"/>
          <c:tx>
            <c:strRef>
              <c:f>'ECCF added value'!$I$110</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value'!$I$111</c:f>
              <c:numCache>
                <c:formatCode>0%</c:formatCode>
                <c:ptCount val="1"/>
                <c:pt idx="0">
                  <c:v>0.05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CBFF-42AC-8D42-1466B65FE4A4}"/>
            </c:ext>
          </c:extLst>
        </c:ser>
        <c:dLbls>
          <c:dLblPos val="ctr"/>
          <c:showLegendKey val="0"/>
          <c:showVal val="1"/>
          <c:showCatName val="0"/>
          <c:showSerName val="0"/>
          <c:showPercent val="0"/>
          <c:showBubbleSize val="0"/>
        </c:dLbls>
        <c:gapWidth val="150"/>
        <c:overlap val="100"/>
        <c:axId val="763913695"/>
        <c:axId val="763902175"/>
      </c:barChart>
      <c:catAx>
        <c:axId val="763913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902175"/>
        <c:crosses val="autoZero"/>
        <c:auto val="1"/>
        <c:lblAlgn val="ctr"/>
        <c:lblOffset val="100"/>
        <c:noMultiLvlLbl val="0"/>
      </c:catAx>
      <c:valAx>
        <c:axId val="7639021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913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value'!$Z$30</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value'!$Z$31:$Z$32</c:f>
              <c:numCache>
                <c:formatCode>0%</c:formatCode>
                <c:ptCount val="2"/>
                <c:pt idx="0">
                  <c:v>0.25530000000000003</c:v>
                </c:pt>
                <c:pt idx="1">
                  <c:v>0.40820000000000001</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A3CC-40AE-B6AE-C4DC4D53A34F}"/>
            </c:ext>
          </c:extLst>
        </c:ser>
        <c:ser>
          <c:idx val="1"/>
          <c:order val="1"/>
          <c:tx>
            <c:strRef>
              <c:f>'ECCF added value'!$AA$30</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value'!$AA$31:$AA$32</c:f>
              <c:numCache>
                <c:formatCode>0%</c:formatCode>
                <c:ptCount val="2"/>
                <c:pt idx="0">
                  <c:v>0.31909999999999999</c:v>
                </c:pt>
                <c:pt idx="1">
                  <c:v>0.32650000000000001</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A3CC-40AE-B6AE-C4DC4D53A34F}"/>
            </c:ext>
          </c:extLst>
        </c:ser>
        <c:ser>
          <c:idx val="2"/>
          <c:order val="2"/>
          <c:tx>
            <c:strRef>
              <c:f>'ECCF added value'!$AB$30</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value'!$AB$31:$AB$32</c:f>
              <c:numCache>
                <c:formatCode>0%</c:formatCode>
                <c:ptCount val="2"/>
                <c:pt idx="0">
                  <c:v>0.25530000000000003</c:v>
                </c:pt>
                <c:pt idx="1">
                  <c:v>0.1837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A3CC-40AE-B6AE-C4DC4D53A34F}"/>
            </c:ext>
          </c:extLst>
        </c:ser>
        <c:ser>
          <c:idx val="3"/>
          <c:order val="3"/>
          <c:tx>
            <c:strRef>
              <c:f>'ECCF added value'!$AC$30</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value'!$AC$31:$AC$32</c:f>
              <c:numCache>
                <c:formatCode>0%</c:formatCode>
                <c:ptCount val="2"/>
                <c:pt idx="0">
                  <c:v>0.12770000000000001</c:v>
                </c:pt>
                <c:pt idx="1">
                  <c:v>8.1600000000000006E-2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A3CC-40AE-B6AE-C4DC4D53A34F}"/>
            </c:ext>
          </c:extLst>
        </c:ser>
        <c:ser>
          <c:idx val="4"/>
          <c:order val="4"/>
          <c:tx>
            <c:strRef>
              <c:f>'ECCF added value'!$AD$30</c:f>
              <c:strCache>
                <c:ptCount val="1"/>
                <c:pt idx="0">
                  <c:v>Completely</c:v>
                </c:pt>
              </c:strCache>
            </c:strRef>
          </c:tx>
          <c:spPr>
            <a:solidFill>
              <a:schemeClr val="accent5"/>
            </a:solidFill>
            <a:ln>
              <a:noFill/>
            </a:ln>
            <a:effectLst/>
          </c:spPr>
          <c:invertIfNegative val="0"/>
          <c:dLbls>
            <c:dLbl>
              <c:idx val="1"/>
              <c:delete val="1"/>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ext xmlns:c16="http://schemas.microsoft.com/office/drawing/2014/chart" uri="{C3380CC4-5D6E-409C-BE32-E72D297353CC}">
                  <c16:uniqueId val="{00000004-A3CC-40AE-B6AE-C4DC4D53A34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value'!$AD$31:$AD$32</c:f>
              <c:numCache>
                <c:formatCode>0%</c:formatCode>
                <c:ptCount val="2"/>
                <c:pt idx="0">
                  <c:v>4.2599999999999999E-2</c:v>
                </c:pt>
                <c:pt idx="1">
                  <c:v>0</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A3CC-40AE-B6AE-C4DC4D53A34F}"/>
            </c:ext>
          </c:extLst>
        </c:ser>
        <c:dLbls>
          <c:dLblPos val="ctr"/>
          <c:showLegendKey val="0"/>
          <c:showVal val="1"/>
          <c:showCatName val="0"/>
          <c:showSerName val="0"/>
          <c:showPercent val="0"/>
          <c:showBubbleSize val="0"/>
        </c:dLbls>
        <c:gapWidth val="150"/>
        <c:overlap val="100"/>
        <c:axId val="45868688"/>
        <c:axId val="45873968"/>
      </c:barChart>
      <c:catAx>
        <c:axId val="45868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73968"/>
        <c:crosses val="autoZero"/>
        <c:auto val="1"/>
        <c:lblAlgn val="ctr"/>
        <c:lblOffset val="100"/>
        <c:noMultiLvlLbl val="0"/>
      </c:catAx>
      <c:valAx>
        <c:axId val="458739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6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value'!$N$12</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value'!$N$13:$N$15</c:f>
              <c:numCache>
                <c:formatCode>0%</c:formatCode>
                <c:ptCount val="3"/>
                <c:pt idx="0">
                  <c:v>0.2</c:v>
                </c:pt>
                <c:pt idx="1">
                  <c:v>0.48</c:v>
                </c:pt>
                <c:pt idx="2">
                  <c:v>0.2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73C6-45B0-8925-0D0712B1415C}"/>
            </c:ext>
          </c:extLst>
        </c:ser>
        <c:ser>
          <c:idx val="1"/>
          <c:order val="1"/>
          <c:tx>
            <c:strRef>
              <c:f>'ECCF added value'!$O$12</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value'!$O$13:$O$15</c:f>
              <c:numCache>
                <c:formatCode>0%</c:formatCode>
                <c:ptCount val="3"/>
                <c:pt idx="0">
                  <c:v>0.4</c:v>
                </c:pt>
                <c:pt idx="1">
                  <c:v>0.28000000000000003</c:v>
                </c:pt>
                <c:pt idx="2">
                  <c:v>0.4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73C6-45B0-8925-0D0712B1415C}"/>
            </c:ext>
          </c:extLst>
        </c:ser>
        <c:ser>
          <c:idx val="2"/>
          <c:order val="2"/>
          <c:tx>
            <c:strRef>
              <c:f>'ECCF added value'!$P$12</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value'!$P$13:$P$15</c:f>
              <c:numCache>
                <c:formatCode>0%</c:formatCode>
                <c:ptCount val="3"/>
                <c:pt idx="0">
                  <c:v>0.28000000000000003</c:v>
                </c:pt>
                <c:pt idx="1">
                  <c:v>0.16</c:v>
                </c:pt>
                <c:pt idx="2">
                  <c:v>0.28000000000000003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73C6-45B0-8925-0D0712B1415C}"/>
            </c:ext>
          </c:extLst>
        </c:ser>
        <c:ser>
          <c:idx val="3"/>
          <c:order val="3"/>
          <c:tx>
            <c:strRef>
              <c:f>'ECCF added value'!$Q$12</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value'!$Q$13:$Q$15</c:f>
              <c:numCache>
                <c:formatCode>0%</c:formatCode>
                <c:ptCount val="3"/>
                <c:pt idx="0">
                  <c:v>0.12</c:v>
                </c:pt>
                <c:pt idx="1">
                  <c:v>0.06</c:v>
                </c:pt>
                <c:pt idx="2">
                  <c:v>0.12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73C6-45B0-8925-0D0712B1415C}"/>
            </c:ext>
          </c:extLst>
        </c:ser>
        <c:ser>
          <c:idx val="4"/>
          <c:order val="4"/>
          <c:tx>
            <c:strRef>
              <c:f>'ECCF added value'!$R$12</c:f>
              <c:strCache>
                <c:ptCount val="1"/>
                <c:pt idx="0">
                  <c:v>Completely</c:v>
                </c:pt>
              </c:strCache>
            </c:strRef>
          </c:tx>
          <c:spPr>
            <a:solidFill>
              <a:schemeClr val="accent5"/>
            </a:solidFill>
            <a:ln>
              <a:noFill/>
            </a:ln>
            <a:effectLst/>
          </c:spPr>
          <c:invertIfNegative val="0"/>
          <c:dLbls>
            <c:delete val="1"/>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value'!$R$13:$R$15</c:f>
              <c:numCache>
                <c:formatCode>0%</c:formatCode>
                <c:ptCount val="3"/>
                <c:pt idx="0">
                  <c:v>0</c:v>
                </c:pt>
                <c:pt idx="1">
                  <c:v>0.02</c:v>
                </c:pt>
                <c:pt idx="2">
                  <c:v>0</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73C6-45B0-8925-0D0712B1415C}"/>
            </c:ext>
          </c:extLst>
        </c:ser>
        <c:dLbls>
          <c:dLblPos val="ctr"/>
          <c:showLegendKey val="0"/>
          <c:showVal val="1"/>
          <c:showCatName val="0"/>
          <c:showSerName val="0"/>
          <c:showPercent val="0"/>
          <c:showBubbleSize val="0"/>
        </c:dLbls>
        <c:gapWidth val="150"/>
        <c:overlap val="100"/>
        <c:axId val="772945263"/>
        <c:axId val="308056559"/>
      </c:barChart>
      <c:catAx>
        <c:axId val="7729452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8056559"/>
        <c:crosses val="autoZero"/>
        <c:auto val="1"/>
        <c:lblAlgn val="ctr"/>
        <c:lblOffset val="100"/>
        <c:noMultiLvlLbl val="0"/>
      </c:catAx>
      <c:valAx>
        <c:axId val="3080565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29452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2EAC2-389A-44E7-B8D6-D12A08FFA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127604</Words>
  <Characters>727344</Characters>
  <Application>Microsoft Office Word</Application>
  <DocSecurity>0</DocSecurity>
  <Lines>6061</Lines>
  <Paragraphs>1706</Paragraphs>
  <ScaleCrop>false</ScaleCrop>
  <Manager/>
  <Company/>
  <LinksUpToDate>false</LinksUpToDate>
  <CharactersWithSpaces>853242</CharactersWithSpaces>
  <SharedDoc>false</SharedDoc>
  <HLinks>
    <vt:vector size="2418" baseType="variant">
      <vt:variant>
        <vt:i4>1441878</vt:i4>
      </vt:variant>
      <vt:variant>
        <vt:i4>1053</vt:i4>
      </vt:variant>
      <vt:variant>
        <vt:i4>0</vt:i4>
      </vt:variant>
      <vt:variant>
        <vt:i4>5</vt:i4>
      </vt:variant>
      <vt:variant>
        <vt:lpwstr>https://www.enisa.europa.eu/sites/default/files/publications/ENISA Threat Landscape 2023.pdf</vt:lpwstr>
      </vt:variant>
      <vt:variant>
        <vt:lpwstr/>
      </vt:variant>
      <vt:variant>
        <vt:i4>8257595</vt:i4>
      </vt:variant>
      <vt:variant>
        <vt:i4>1050</vt:i4>
      </vt:variant>
      <vt:variant>
        <vt:i4>0</vt:i4>
      </vt:variant>
      <vt:variant>
        <vt:i4>5</vt:i4>
      </vt:variant>
      <vt:variant>
        <vt:lpwstr>https://academic.oup.com/cybersecurity/article/8/1/tyac001/6516499</vt:lpwstr>
      </vt:variant>
      <vt:variant>
        <vt:lpwstr/>
      </vt:variant>
      <vt:variant>
        <vt:i4>1638419</vt:i4>
      </vt:variant>
      <vt:variant>
        <vt:i4>1047</vt:i4>
      </vt:variant>
      <vt:variant>
        <vt:i4>0</vt:i4>
      </vt:variant>
      <vt:variant>
        <vt:i4>5</vt:i4>
      </vt:variant>
      <vt:variant>
        <vt:lpwstr>https://reports.weforum.org/docs/WEF_Global_Cybersecurity_Outlook_2025.pdf</vt:lpwstr>
      </vt:variant>
      <vt:variant>
        <vt:lpwstr/>
      </vt:variant>
      <vt:variant>
        <vt:i4>1114227</vt:i4>
      </vt:variant>
      <vt:variant>
        <vt:i4>1044</vt:i4>
      </vt:variant>
      <vt:variant>
        <vt:i4>0</vt:i4>
      </vt:variant>
      <vt:variant>
        <vt:i4>5</vt:i4>
      </vt:variant>
      <vt:variant>
        <vt:lpwstr>https://www.enisa.europa.eu/sites/default/files/2024-11/CSPA - NIS Investments - 2024_0.pdf</vt:lpwstr>
      </vt:variant>
      <vt:variant>
        <vt:lpwstr/>
      </vt:variant>
      <vt:variant>
        <vt:i4>655475</vt:i4>
      </vt:variant>
      <vt:variant>
        <vt:i4>1041</vt:i4>
      </vt:variant>
      <vt:variant>
        <vt:i4>0</vt:i4>
      </vt:variant>
      <vt:variant>
        <vt:i4>5</vt:i4>
      </vt:variant>
      <vt:variant>
        <vt:lpwstr>https://cyberhubs.eu/wp-content/uploads/2024/11/Summary-report_Cybersecurity-Skills-Needs-Analysis-1.pdf</vt:lpwstr>
      </vt:variant>
      <vt:variant>
        <vt:lpwstr/>
      </vt:variant>
      <vt:variant>
        <vt:i4>7929909</vt:i4>
      </vt:variant>
      <vt:variant>
        <vt:i4>1038</vt:i4>
      </vt:variant>
      <vt:variant>
        <vt:i4>0</vt:i4>
      </vt:variant>
      <vt:variant>
        <vt:i4>5</vt:i4>
      </vt:variant>
      <vt:variant>
        <vt:lpwstr>https://academic.oup.com/cybersecurity/article/7/1/tyab021/6362163</vt:lpwstr>
      </vt:variant>
      <vt:variant>
        <vt:lpwstr/>
      </vt:variant>
      <vt:variant>
        <vt:i4>4522075</vt:i4>
      </vt:variant>
      <vt:variant>
        <vt:i4>1035</vt:i4>
      </vt:variant>
      <vt:variant>
        <vt:i4>0</vt:i4>
      </vt:variant>
      <vt:variant>
        <vt:i4>5</vt:i4>
      </vt:variant>
      <vt:variant>
        <vt:lpwstr>https://www.ksta.de/region/euskirchen-eifel/stadt-euskirchen/euskirchen-stotzheim-fasana-stellt-nach-cyberangriff-insolvenzantrag-1042377</vt:lpwstr>
      </vt:variant>
      <vt:variant>
        <vt:lpwstr/>
      </vt:variant>
      <vt:variant>
        <vt:i4>7536697</vt:i4>
      </vt:variant>
      <vt:variant>
        <vt:i4>1032</vt:i4>
      </vt:variant>
      <vt:variant>
        <vt:i4>0</vt:i4>
      </vt:variant>
      <vt:variant>
        <vt:i4>5</vt:i4>
      </vt:variant>
      <vt:variant>
        <vt:lpwstr>https://www.wa.de/hamm/hacker-richten-millionenschaden-in-hamm-an-und-stuerzen-firma-in-die-pleite-insolvenz-93845354.html</vt:lpwstr>
      </vt:variant>
      <vt:variant>
        <vt:lpwstr/>
      </vt:variant>
      <vt:variant>
        <vt:i4>3866626</vt:i4>
      </vt:variant>
      <vt:variant>
        <vt:i4>1029</vt:i4>
      </vt:variant>
      <vt:variant>
        <vt:i4>0</vt:i4>
      </vt:variant>
      <vt:variant>
        <vt:i4>5</vt:i4>
      </vt:variant>
      <vt:variant>
        <vt:lpwstr>https://www.enisa.europa.eu/sites/default/files/publications/ENISA Transport Threat Landscape_RECAST2.pdf</vt:lpwstr>
      </vt:variant>
      <vt:variant>
        <vt:lpwstr/>
      </vt:variant>
      <vt:variant>
        <vt:i4>327735</vt:i4>
      </vt:variant>
      <vt:variant>
        <vt:i4>1026</vt:i4>
      </vt:variant>
      <vt:variant>
        <vt:i4>0</vt:i4>
      </vt:variant>
      <vt:variant>
        <vt:i4>5</vt:i4>
      </vt:variant>
      <vt:variant>
        <vt:lpwstr>https://www.reuters.com/en/cyberattack-causes-flight-delays-cancellations-brussels-airport-2025-09-20/?utm_source=chatgpt.com</vt:lpwstr>
      </vt:variant>
      <vt:variant>
        <vt:lpwstr/>
      </vt:variant>
      <vt:variant>
        <vt:i4>917533</vt:i4>
      </vt:variant>
      <vt:variant>
        <vt:i4>1023</vt:i4>
      </vt:variant>
      <vt:variant>
        <vt:i4>0</vt:i4>
      </vt:variant>
      <vt:variant>
        <vt:i4>5</vt:i4>
      </vt:variant>
      <vt:variant>
        <vt:lpwstr>https://www.consilium.europa.eu/en/press/press-releases/2025/01/27/cyber-attacks-three-individuals-added-to-eu-sanctions-list-for-malicious-cyber-activities-against-estonia/?utm_campaign=AUTOMATED+-+Alert+-+Newsletter&amp;utm_id=3318&amp;utm_medium=email&amp;utm_source=chatgpt.com</vt:lpwstr>
      </vt:variant>
      <vt:variant>
        <vt:lpwstr/>
      </vt:variant>
      <vt:variant>
        <vt:i4>5767255</vt:i4>
      </vt:variant>
      <vt:variant>
        <vt:i4>1020</vt:i4>
      </vt:variant>
      <vt:variant>
        <vt:i4>0</vt:i4>
      </vt:variant>
      <vt:variant>
        <vt:i4>5</vt:i4>
      </vt:variant>
      <vt:variant>
        <vt:lpwstr>https://www.enisa.europa.eu/sites/default/files/publications/Health Threat Landscape.pdf</vt:lpwstr>
      </vt:variant>
      <vt:variant>
        <vt:lpwstr/>
      </vt:variant>
      <vt:variant>
        <vt:i4>3866626</vt:i4>
      </vt:variant>
      <vt:variant>
        <vt:i4>1017</vt:i4>
      </vt:variant>
      <vt:variant>
        <vt:i4>0</vt:i4>
      </vt:variant>
      <vt:variant>
        <vt:i4>5</vt:i4>
      </vt:variant>
      <vt:variant>
        <vt:lpwstr>https://www.enisa.europa.eu/sites/default/files/publications/ENISA Transport Threat Landscape_RECAST2.pdf</vt:lpwstr>
      </vt:variant>
      <vt:variant>
        <vt:lpwstr/>
      </vt:variant>
      <vt:variant>
        <vt:i4>1769529</vt:i4>
      </vt:variant>
      <vt:variant>
        <vt:i4>1014</vt:i4>
      </vt:variant>
      <vt:variant>
        <vt:i4>0</vt:i4>
      </vt:variant>
      <vt:variant>
        <vt:i4>5</vt:i4>
      </vt:variant>
      <vt:variant>
        <vt:lpwstr>https://www.incibe.es/index.php/en/incibe-cert/publications/cybersecurity-highlights/denmarks-rail-transport-paralysed-due-cyberattack?utm_source=chatgpt.com</vt:lpwstr>
      </vt:variant>
      <vt:variant>
        <vt:lpwstr/>
      </vt:variant>
      <vt:variant>
        <vt:i4>7864362</vt:i4>
      </vt:variant>
      <vt:variant>
        <vt:i4>1011</vt:i4>
      </vt:variant>
      <vt:variant>
        <vt:i4>0</vt:i4>
      </vt:variant>
      <vt:variant>
        <vt:i4>5</vt:i4>
      </vt:variant>
      <vt:variant>
        <vt:lpwstr>https://www.ironnet.com/hubfs/IronNet-2021-Cybersecurity-Impact-Report-June2021.pdf?hsLang=en&amp;submissionGuid=39c8446a-6789-41e5-8652-a7dd61b8af94.</vt:lpwstr>
      </vt:variant>
      <vt:variant>
        <vt:lpwstr/>
      </vt:variant>
      <vt:variant>
        <vt:i4>4522055</vt:i4>
      </vt:variant>
      <vt:variant>
        <vt:i4>1008</vt:i4>
      </vt:variant>
      <vt:variant>
        <vt:i4>0</vt:i4>
      </vt:variant>
      <vt:variant>
        <vt:i4>5</vt:i4>
      </vt:variant>
      <vt:variant>
        <vt:lpwstr>https://eurepoc.eu/publication_type/major-cyber-incidents/?utm_source=chatgpt.com</vt:lpwstr>
      </vt:variant>
      <vt:variant>
        <vt:lpwstr/>
      </vt:variant>
      <vt:variant>
        <vt:i4>5373956</vt:i4>
      </vt:variant>
      <vt:variant>
        <vt:i4>1005</vt:i4>
      </vt:variant>
      <vt:variant>
        <vt:i4>0</vt:i4>
      </vt:variant>
      <vt:variant>
        <vt:i4>5</vt:i4>
      </vt:variant>
      <vt:variant>
        <vt:lpwstr>https://cert.europa.eu/publications/security-advisories/2020-060/</vt:lpwstr>
      </vt:variant>
      <vt:variant>
        <vt:lpwstr/>
      </vt:variant>
      <vt:variant>
        <vt:i4>2555948</vt:i4>
      </vt:variant>
      <vt:variant>
        <vt:i4>1002</vt:i4>
      </vt:variant>
      <vt:variant>
        <vt:i4>0</vt:i4>
      </vt:variant>
      <vt:variant>
        <vt:i4>5</vt:i4>
      </vt:variant>
      <vt:variant>
        <vt:lpwstr>https://www.bbc.com/news/articles/cgl15ykerlro</vt:lpwstr>
      </vt:variant>
      <vt:variant>
        <vt:lpwstr/>
      </vt:variant>
      <vt:variant>
        <vt:i4>6422628</vt:i4>
      </vt:variant>
      <vt:variant>
        <vt:i4>999</vt:i4>
      </vt:variant>
      <vt:variant>
        <vt:i4>0</vt:i4>
      </vt:variant>
      <vt:variant>
        <vt:i4>5</vt:i4>
      </vt:variant>
      <vt:variant>
        <vt:lpwstr>https://www.theguardian.com/business/2025/sep/16/jaguar-land-rover-production-shutdown-cyber-attack</vt:lpwstr>
      </vt:variant>
      <vt:variant>
        <vt:lpwstr/>
      </vt:variant>
      <vt:variant>
        <vt:i4>31</vt:i4>
      </vt:variant>
      <vt:variant>
        <vt:i4>996</vt:i4>
      </vt:variant>
      <vt:variant>
        <vt:i4>0</vt:i4>
      </vt:variant>
      <vt:variant>
        <vt:i4>5</vt:i4>
      </vt:variant>
      <vt:variant>
        <vt:lpwstr>https://www.energy.gov/ceser/colonial-pipeline-cyber-incident</vt:lpwstr>
      </vt:variant>
      <vt:variant>
        <vt:lpwstr/>
      </vt:variant>
      <vt:variant>
        <vt:i4>655368</vt:i4>
      </vt:variant>
      <vt:variant>
        <vt:i4>993</vt:i4>
      </vt:variant>
      <vt:variant>
        <vt:i4>0</vt:i4>
      </vt:variant>
      <vt:variant>
        <vt:i4>5</vt:i4>
      </vt:variant>
      <vt:variant>
        <vt:lpwstr>https://www.wired.com/story/how-wannacry-spread-around-the-world/</vt:lpwstr>
      </vt:variant>
      <vt:variant>
        <vt:lpwstr/>
      </vt:variant>
      <vt:variant>
        <vt:i4>4522055</vt:i4>
      </vt:variant>
      <vt:variant>
        <vt:i4>990</vt:i4>
      </vt:variant>
      <vt:variant>
        <vt:i4>0</vt:i4>
      </vt:variant>
      <vt:variant>
        <vt:i4>5</vt:i4>
      </vt:variant>
      <vt:variant>
        <vt:lpwstr>https://eurepoc.eu/publication_type/major-cyber-incidents/?utm_source=chatgpt.com</vt:lpwstr>
      </vt:variant>
      <vt:variant>
        <vt:lpwstr/>
      </vt:variant>
      <vt:variant>
        <vt:i4>1376258</vt:i4>
      </vt:variant>
      <vt:variant>
        <vt:i4>987</vt:i4>
      </vt:variant>
      <vt:variant>
        <vt:i4>0</vt:i4>
      </vt:variant>
      <vt:variant>
        <vt:i4>5</vt:i4>
      </vt:variant>
      <vt:variant>
        <vt:lpwstr/>
      </vt:variant>
      <vt:variant>
        <vt:lpwstr>Part5</vt:lpwstr>
      </vt:variant>
      <vt:variant>
        <vt:i4>1376258</vt:i4>
      </vt:variant>
      <vt:variant>
        <vt:i4>984</vt:i4>
      </vt:variant>
      <vt:variant>
        <vt:i4>0</vt:i4>
      </vt:variant>
      <vt:variant>
        <vt:i4>5</vt:i4>
      </vt:variant>
      <vt:variant>
        <vt:lpwstr/>
      </vt:variant>
      <vt:variant>
        <vt:lpwstr>Part4</vt:lpwstr>
      </vt:variant>
      <vt:variant>
        <vt:i4>1376258</vt:i4>
      </vt:variant>
      <vt:variant>
        <vt:i4>981</vt:i4>
      </vt:variant>
      <vt:variant>
        <vt:i4>0</vt:i4>
      </vt:variant>
      <vt:variant>
        <vt:i4>5</vt:i4>
      </vt:variant>
      <vt:variant>
        <vt:lpwstr/>
      </vt:variant>
      <vt:variant>
        <vt:lpwstr>Part3</vt:lpwstr>
      </vt:variant>
      <vt:variant>
        <vt:i4>1376258</vt:i4>
      </vt:variant>
      <vt:variant>
        <vt:i4>978</vt:i4>
      </vt:variant>
      <vt:variant>
        <vt:i4>0</vt:i4>
      </vt:variant>
      <vt:variant>
        <vt:i4>5</vt:i4>
      </vt:variant>
      <vt:variant>
        <vt:lpwstr/>
      </vt:variant>
      <vt:variant>
        <vt:lpwstr>Part2</vt:lpwstr>
      </vt:variant>
      <vt:variant>
        <vt:i4>1376258</vt:i4>
      </vt:variant>
      <vt:variant>
        <vt:i4>975</vt:i4>
      </vt:variant>
      <vt:variant>
        <vt:i4>0</vt:i4>
      </vt:variant>
      <vt:variant>
        <vt:i4>5</vt:i4>
      </vt:variant>
      <vt:variant>
        <vt:lpwstr/>
      </vt:variant>
      <vt:variant>
        <vt:lpwstr>Part1</vt:lpwstr>
      </vt:variant>
      <vt:variant>
        <vt:i4>5374052</vt:i4>
      </vt:variant>
      <vt:variant>
        <vt:i4>972</vt:i4>
      </vt:variant>
      <vt:variant>
        <vt:i4>0</vt:i4>
      </vt:variant>
      <vt:variant>
        <vt:i4>5</vt:i4>
      </vt:variant>
      <vt:variant>
        <vt:lpwstr>https://www.google.com/search?client=firefox-b-e&amp;channel=entpr&amp;cs=0&amp;sca_esv=3a35777a407e1553&amp;sxsrf=AE3TifPEPY1NOBr2dXXftENDeZY0-s1O5g%3A1759928198264&amp;q=8517.61&amp;sa=X&amp;ved=2ahUKEwiyk7y405SQAxXugv0HHaZRMUAQxccNegQIAxAC&amp;mstk=AUtExfC3cMFcRaiQVCcD19sDU39rXVUdtja44yKM63NRuqPitEjHfBUaRjAY2HD6w7pXaRCPvHizeHtM2vi1-LGx852b6YBKcZfoQf-P4jQ4daqy_AVz81ezjrXVer5nr0OmfGiiLmM5j5MZBaGUN3wzm_DCvVQnRiyD8boQnvxyzDbWNWZodBWPPjqE7lhpoBPF6yCyESNivk-vDXt0mxw6nJzUKDWLbJZkuuY92qajGpcKFYjjicY_UfjTetS2vXknm2qEjC5MyWs7wjDDe91g07Yt&amp;csui=3</vt:lpwstr>
      </vt:variant>
      <vt:variant>
        <vt:lpwstr/>
      </vt:variant>
      <vt:variant>
        <vt:i4>5439596</vt:i4>
      </vt:variant>
      <vt:variant>
        <vt:i4>969</vt:i4>
      </vt:variant>
      <vt:variant>
        <vt:i4>0</vt:i4>
      </vt:variant>
      <vt:variant>
        <vt:i4>5</vt:i4>
      </vt:variant>
      <vt:variant>
        <vt:lpwstr>https://www.google.com/search?client=firefox-b-e&amp;channel=entpr&amp;cs=0&amp;sca_esv=3a35777a407e1553&amp;sxsrf=AE3TifPEPY1NOBr2dXXftENDeZY0-s1O5g%3A1759928198264&amp;q=8517.69&amp;sa=X&amp;ved=2ahUKEwiyk7y405SQAxXugv0HHaZRMUAQxccNegQIAxAB&amp;mstk=AUtExfC3cMFcRaiQVCcD19sDU39rXVUdtja44yKM63NRuqPitEjHfBUaRjAY2HD6w7pXaRCPvHizeHtM2vi1-LGx852b6YBKcZfoQf-P4jQ4daqy_AVz81ezjrXVer5nr0OmfGiiLmM5j5MZBaGUN3wzm_DCvVQnRiyD8boQnvxyzDbWNWZodBWPPjqE7lhpoBPF6yCyESNivk-vDXt0mxw6nJzUKDWLbJZkuuY92qajGpcKFYjjicY_UfjTetS2vXknm2qEjC5MyWs7wjDDe91g07Yt&amp;csui=3</vt:lpwstr>
      </vt:variant>
      <vt:variant>
        <vt:lpwstr/>
      </vt:variant>
      <vt:variant>
        <vt:i4>1572893</vt:i4>
      </vt:variant>
      <vt:variant>
        <vt:i4>966</vt:i4>
      </vt:variant>
      <vt:variant>
        <vt:i4>0</vt:i4>
      </vt:variant>
      <vt:variant>
        <vt:i4>5</vt:i4>
      </vt:variant>
      <vt:variant>
        <vt:lpwstr>https://www.pwc.com/mt/en/services/pwc-digital-services/cyber-security-and-privacy/cyber-security-services/dora.html</vt:lpwstr>
      </vt:variant>
      <vt:variant>
        <vt:lpwstr/>
      </vt:variant>
      <vt:variant>
        <vt:i4>4259917</vt:i4>
      </vt:variant>
      <vt:variant>
        <vt:i4>963</vt:i4>
      </vt:variant>
      <vt:variant>
        <vt:i4>0</vt:i4>
      </vt:variant>
      <vt:variant>
        <vt:i4>5</vt:i4>
      </vt:variant>
      <vt:variant>
        <vt:lpwstr>https://op.europa.eu/en/publication-detail/-/publication/7860ea6e-f003-11ef-981b-01aa75ed71a1/language-en</vt:lpwstr>
      </vt:variant>
      <vt:variant>
        <vt:lpwstr/>
      </vt:variant>
      <vt:variant>
        <vt:i4>5963789</vt:i4>
      </vt:variant>
      <vt:variant>
        <vt:i4>960</vt:i4>
      </vt:variant>
      <vt:variant>
        <vt:i4>0</vt:i4>
      </vt:variant>
      <vt:variant>
        <vt:i4>5</vt:i4>
      </vt:variant>
      <vt:variant>
        <vt:lpwstr>https://www.acn.gov.it/portale/cloud/qualificazione-e-adeguamento</vt:lpwstr>
      </vt:variant>
      <vt:variant>
        <vt:lpwstr/>
      </vt:variant>
      <vt:variant>
        <vt:i4>3997696</vt:i4>
      </vt:variant>
      <vt:variant>
        <vt:i4>957</vt:i4>
      </vt:variant>
      <vt:variant>
        <vt:i4>0</vt:i4>
      </vt:variant>
      <vt:variant>
        <vt:i4>5</vt:i4>
      </vt:variant>
      <vt:variant>
        <vt:lpwstr>https://consulenza.isgroup.it/kb/migliori-normative-acn-agid-italia-2025/?utm_source=chatgpt.com</vt:lpwstr>
      </vt:variant>
      <vt:variant>
        <vt:lpwstr/>
      </vt:variant>
      <vt:variant>
        <vt:i4>3997749</vt:i4>
      </vt:variant>
      <vt:variant>
        <vt:i4>954</vt:i4>
      </vt:variant>
      <vt:variant>
        <vt:i4>0</vt:i4>
      </vt:variant>
      <vt:variant>
        <vt:i4>5</vt:i4>
      </vt:variant>
      <vt:variant>
        <vt:lpwstr>https://doiser.com/que-precio-tiene-la-certificacion-del-esquema-nacional-de-seguridad</vt:lpwstr>
      </vt:variant>
      <vt:variant>
        <vt:lpwstr/>
      </vt:variant>
      <vt:variant>
        <vt:i4>6225987</vt:i4>
      </vt:variant>
      <vt:variant>
        <vt:i4>951</vt:i4>
      </vt:variant>
      <vt:variant>
        <vt:i4>0</vt:i4>
      </vt:variant>
      <vt:variant>
        <vt:i4>5</vt:i4>
      </vt:variant>
      <vt:variant>
        <vt:lpwstr>https://www.audidat.com/blog/esquema-nacional-de-seguridad/certificacion-ens-precio/</vt:lpwstr>
      </vt:variant>
      <vt:variant>
        <vt:lpwstr/>
      </vt:variant>
      <vt:variant>
        <vt:i4>5898283</vt:i4>
      </vt:variant>
      <vt:variant>
        <vt:i4>948</vt:i4>
      </vt:variant>
      <vt:variant>
        <vt:i4>0</vt:i4>
      </vt:variant>
      <vt:variant>
        <vt:i4>5</vt:i4>
      </vt:variant>
      <vt:variant>
        <vt:lpwstr>https://www.bsi.bund.de/SharedDocs/Downloads/EN/BSI/CloudComputing/ComplianceControlsCatalogue/2020/C5_2020.pdf?__blob=publicationFile&amp;v=3</vt:lpwstr>
      </vt:variant>
      <vt:variant>
        <vt:lpwstr/>
      </vt:variant>
      <vt:variant>
        <vt:i4>2949167</vt:i4>
      </vt:variant>
      <vt:variant>
        <vt:i4>945</vt:i4>
      </vt:variant>
      <vt:variant>
        <vt:i4>0</vt:i4>
      </vt:variant>
      <vt:variant>
        <vt:i4>5</vt:i4>
      </vt:variant>
      <vt:variant>
        <vt:lpwstr>https://simpliant.eu/insights/neues-digital-gesetz-pflicht-zu-c5-testierung-fuer-saas-anbieter-im-gesundheitswesen</vt:lpwstr>
      </vt:variant>
      <vt:variant>
        <vt:lpwstr/>
      </vt:variant>
      <vt:variant>
        <vt:i4>2359342</vt:i4>
      </vt:variant>
      <vt:variant>
        <vt:i4>942</vt:i4>
      </vt:variant>
      <vt:variant>
        <vt:i4>0</vt:i4>
      </vt:variant>
      <vt:variant>
        <vt:i4>5</vt:i4>
      </vt:variant>
      <vt:variant>
        <vt:lpwstr>https://www.chino.io/post/c5-certification-digital-health-compliance-guide?utm</vt:lpwstr>
      </vt:variant>
      <vt:variant>
        <vt:lpwstr/>
      </vt:variant>
      <vt:variant>
        <vt:i4>3080301</vt:i4>
      </vt:variant>
      <vt:variant>
        <vt:i4>939</vt:i4>
      </vt:variant>
      <vt:variant>
        <vt:i4>0</vt:i4>
      </vt:variant>
      <vt:variant>
        <vt:i4>5</vt:i4>
      </vt:variant>
      <vt:variant>
        <vt:lpwstr>https://www.bpifrance.fr/nos-appels-a-projets-concours/guichet-dacces-au-dispositif-daccompagnement-a-la-qualification-secnumcloud</vt:lpwstr>
      </vt:variant>
      <vt:variant>
        <vt:lpwstr/>
      </vt:variant>
      <vt:variant>
        <vt:i4>1638474</vt:i4>
      </vt:variant>
      <vt:variant>
        <vt:i4>936</vt:i4>
      </vt:variant>
      <vt:variant>
        <vt:i4>0</vt:i4>
      </vt:variant>
      <vt:variant>
        <vt:i4>5</vt:i4>
      </vt:variant>
      <vt:variant>
        <vt:lpwstr>https://blog.avangarde-consulting.com/secnumcloud</vt:lpwstr>
      </vt:variant>
      <vt:variant>
        <vt:lpwstr/>
      </vt:variant>
      <vt:variant>
        <vt:i4>1638429</vt:i4>
      </vt:variant>
      <vt:variant>
        <vt:i4>933</vt:i4>
      </vt:variant>
      <vt:variant>
        <vt:i4>0</vt:i4>
      </vt:variant>
      <vt:variant>
        <vt:i4>5</vt:i4>
      </vt:variant>
      <vt:variant>
        <vt:lpwstr>https://www.nicybersecuritycentre.gov.uk/files/nicybersecuritycentre/2023-06/Course Details and Certification Body Requirements v6-1 pdf %282%29.pdf</vt:lpwstr>
      </vt:variant>
      <vt:variant>
        <vt:lpwstr/>
      </vt:variant>
      <vt:variant>
        <vt:i4>2949160</vt:i4>
      </vt:variant>
      <vt:variant>
        <vt:i4>930</vt:i4>
      </vt:variant>
      <vt:variant>
        <vt:i4>0</vt:i4>
      </vt:variant>
      <vt:variant>
        <vt:i4>5</vt:i4>
      </vt:variant>
      <vt:variant>
        <vt:lpwstr>https://ted.europa.eu/en/notice/-/detail/18139-2023</vt:lpwstr>
      </vt:variant>
      <vt:variant>
        <vt:lpwstr/>
      </vt:variant>
      <vt:variant>
        <vt:i4>1376314</vt:i4>
      </vt:variant>
      <vt:variant>
        <vt:i4>908</vt:i4>
      </vt:variant>
      <vt:variant>
        <vt:i4>0</vt:i4>
      </vt:variant>
      <vt:variant>
        <vt:i4>5</vt:i4>
      </vt:variant>
      <vt:variant>
        <vt:lpwstr/>
      </vt:variant>
      <vt:variant>
        <vt:lpwstr>_Toc219447501</vt:lpwstr>
      </vt:variant>
      <vt:variant>
        <vt:i4>1376314</vt:i4>
      </vt:variant>
      <vt:variant>
        <vt:i4>902</vt:i4>
      </vt:variant>
      <vt:variant>
        <vt:i4>0</vt:i4>
      </vt:variant>
      <vt:variant>
        <vt:i4>5</vt:i4>
      </vt:variant>
      <vt:variant>
        <vt:lpwstr/>
      </vt:variant>
      <vt:variant>
        <vt:lpwstr>_Toc219447500</vt:lpwstr>
      </vt:variant>
      <vt:variant>
        <vt:i4>1835067</vt:i4>
      </vt:variant>
      <vt:variant>
        <vt:i4>896</vt:i4>
      </vt:variant>
      <vt:variant>
        <vt:i4>0</vt:i4>
      </vt:variant>
      <vt:variant>
        <vt:i4>5</vt:i4>
      </vt:variant>
      <vt:variant>
        <vt:lpwstr/>
      </vt:variant>
      <vt:variant>
        <vt:lpwstr>_Toc219447499</vt:lpwstr>
      </vt:variant>
      <vt:variant>
        <vt:i4>1835067</vt:i4>
      </vt:variant>
      <vt:variant>
        <vt:i4>890</vt:i4>
      </vt:variant>
      <vt:variant>
        <vt:i4>0</vt:i4>
      </vt:variant>
      <vt:variant>
        <vt:i4>5</vt:i4>
      </vt:variant>
      <vt:variant>
        <vt:lpwstr/>
      </vt:variant>
      <vt:variant>
        <vt:lpwstr>_Toc219447498</vt:lpwstr>
      </vt:variant>
      <vt:variant>
        <vt:i4>1835067</vt:i4>
      </vt:variant>
      <vt:variant>
        <vt:i4>884</vt:i4>
      </vt:variant>
      <vt:variant>
        <vt:i4>0</vt:i4>
      </vt:variant>
      <vt:variant>
        <vt:i4>5</vt:i4>
      </vt:variant>
      <vt:variant>
        <vt:lpwstr/>
      </vt:variant>
      <vt:variant>
        <vt:lpwstr>_Toc219447497</vt:lpwstr>
      </vt:variant>
      <vt:variant>
        <vt:i4>1835067</vt:i4>
      </vt:variant>
      <vt:variant>
        <vt:i4>878</vt:i4>
      </vt:variant>
      <vt:variant>
        <vt:i4>0</vt:i4>
      </vt:variant>
      <vt:variant>
        <vt:i4>5</vt:i4>
      </vt:variant>
      <vt:variant>
        <vt:lpwstr/>
      </vt:variant>
      <vt:variant>
        <vt:lpwstr>_Toc219447496</vt:lpwstr>
      </vt:variant>
      <vt:variant>
        <vt:i4>1835067</vt:i4>
      </vt:variant>
      <vt:variant>
        <vt:i4>872</vt:i4>
      </vt:variant>
      <vt:variant>
        <vt:i4>0</vt:i4>
      </vt:variant>
      <vt:variant>
        <vt:i4>5</vt:i4>
      </vt:variant>
      <vt:variant>
        <vt:lpwstr/>
      </vt:variant>
      <vt:variant>
        <vt:lpwstr>_Toc219447495</vt:lpwstr>
      </vt:variant>
      <vt:variant>
        <vt:i4>1835067</vt:i4>
      </vt:variant>
      <vt:variant>
        <vt:i4>866</vt:i4>
      </vt:variant>
      <vt:variant>
        <vt:i4>0</vt:i4>
      </vt:variant>
      <vt:variant>
        <vt:i4>5</vt:i4>
      </vt:variant>
      <vt:variant>
        <vt:lpwstr/>
      </vt:variant>
      <vt:variant>
        <vt:lpwstr>_Toc219447494</vt:lpwstr>
      </vt:variant>
      <vt:variant>
        <vt:i4>1835067</vt:i4>
      </vt:variant>
      <vt:variant>
        <vt:i4>860</vt:i4>
      </vt:variant>
      <vt:variant>
        <vt:i4>0</vt:i4>
      </vt:variant>
      <vt:variant>
        <vt:i4>5</vt:i4>
      </vt:variant>
      <vt:variant>
        <vt:lpwstr/>
      </vt:variant>
      <vt:variant>
        <vt:lpwstr>_Toc219447493</vt:lpwstr>
      </vt:variant>
      <vt:variant>
        <vt:i4>1835067</vt:i4>
      </vt:variant>
      <vt:variant>
        <vt:i4>854</vt:i4>
      </vt:variant>
      <vt:variant>
        <vt:i4>0</vt:i4>
      </vt:variant>
      <vt:variant>
        <vt:i4>5</vt:i4>
      </vt:variant>
      <vt:variant>
        <vt:lpwstr/>
      </vt:variant>
      <vt:variant>
        <vt:lpwstr>_Toc219447492</vt:lpwstr>
      </vt:variant>
      <vt:variant>
        <vt:i4>1835067</vt:i4>
      </vt:variant>
      <vt:variant>
        <vt:i4>848</vt:i4>
      </vt:variant>
      <vt:variant>
        <vt:i4>0</vt:i4>
      </vt:variant>
      <vt:variant>
        <vt:i4>5</vt:i4>
      </vt:variant>
      <vt:variant>
        <vt:lpwstr/>
      </vt:variant>
      <vt:variant>
        <vt:lpwstr>_Toc219447491</vt:lpwstr>
      </vt:variant>
      <vt:variant>
        <vt:i4>1835067</vt:i4>
      </vt:variant>
      <vt:variant>
        <vt:i4>842</vt:i4>
      </vt:variant>
      <vt:variant>
        <vt:i4>0</vt:i4>
      </vt:variant>
      <vt:variant>
        <vt:i4>5</vt:i4>
      </vt:variant>
      <vt:variant>
        <vt:lpwstr/>
      </vt:variant>
      <vt:variant>
        <vt:lpwstr>_Toc219447490</vt:lpwstr>
      </vt:variant>
      <vt:variant>
        <vt:i4>1900603</vt:i4>
      </vt:variant>
      <vt:variant>
        <vt:i4>836</vt:i4>
      </vt:variant>
      <vt:variant>
        <vt:i4>0</vt:i4>
      </vt:variant>
      <vt:variant>
        <vt:i4>5</vt:i4>
      </vt:variant>
      <vt:variant>
        <vt:lpwstr/>
      </vt:variant>
      <vt:variant>
        <vt:lpwstr>_Toc219447489</vt:lpwstr>
      </vt:variant>
      <vt:variant>
        <vt:i4>1900603</vt:i4>
      </vt:variant>
      <vt:variant>
        <vt:i4>830</vt:i4>
      </vt:variant>
      <vt:variant>
        <vt:i4>0</vt:i4>
      </vt:variant>
      <vt:variant>
        <vt:i4>5</vt:i4>
      </vt:variant>
      <vt:variant>
        <vt:lpwstr/>
      </vt:variant>
      <vt:variant>
        <vt:lpwstr>_Toc219447488</vt:lpwstr>
      </vt:variant>
      <vt:variant>
        <vt:i4>1900603</vt:i4>
      </vt:variant>
      <vt:variant>
        <vt:i4>824</vt:i4>
      </vt:variant>
      <vt:variant>
        <vt:i4>0</vt:i4>
      </vt:variant>
      <vt:variant>
        <vt:i4>5</vt:i4>
      </vt:variant>
      <vt:variant>
        <vt:lpwstr/>
      </vt:variant>
      <vt:variant>
        <vt:lpwstr>_Toc219447487</vt:lpwstr>
      </vt:variant>
      <vt:variant>
        <vt:i4>1900603</vt:i4>
      </vt:variant>
      <vt:variant>
        <vt:i4>818</vt:i4>
      </vt:variant>
      <vt:variant>
        <vt:i4>0</vt:i4>
      </vt:variant>
      <vt:variant>
        <vt:i4>5</vt:i4>
      </vt:variant>
      <vt:variant>
        <vt:lpwstr/>
      </vt:variant>
      <vt:variant>
        <vt:lpwstr>_Toc219447486</vt:lpwstr>
      </vt:variant>
      <vt:variant>
        <vt:i4>1900603</vt:i4>
      </vt:variant>
      <vt:variant>
        <vt:i4>812</vt:i4>
      </vt:variant>
      <vt:variant>
        <vt:i4>0</vt:i4>
      </vt:variant>
      <vt:variant>
        <vt:i4>5</vt:i4>
      </vt:variant>
      <vt:variant>
        <vt:lpwstr/>
      </vt:variant>
      <vt:variant>
        <vt:lpwstr>_Toc219447485</vt:lpwstr>
      </vt:variant>
      <vt:variant>
        <vt:i4>1900603</vt:i4>
      </vt:variant>
      <vt:variant>
        <vt:i4>806</vt:i4>
      </vt:variant>
      <vt:variant>
        <vt:i4>0</vt:i4>
      </vt:variant>
      <vt:variant>
        <vt:i4>5</vt:i4>
      </vt:variant>
      <vt:variant>
        <vt:lpwstr/>
      </vt:variant>
      <vt:variant>
        <vt:lpwstr>_Toc219447484</vt:lpwstr>
      </vt:variant>
      <vt:variant>
        <vt:i4>1900603</vt:i4>
      </vt:variant>
      <vt:variant>
        <vt:i4>800</vt:i4>
      </vt:variant>
      <vt:variant>
        <vt:i4>0</vt:i4>
      </vt:variant>
      <vt:variant>
        <vt:i4>5</vt:i4>
      </vt:variant>
      <vt:variant>
        <vt:lpwstr/>
      </vt:variant>
      <vt:variant>
        <vt:lpwstr>_Toc219447483</vt:lpwstr>
      </vt:variant>
      <vt:variant>
        <vt:i4>1900603</vt:i4>
      </vt:variant>
      <vt:variant>
        <vt:i4>794</vt:i4>
      </vt:variant>
      <vt:variant>
        <vt:i4>0</vt:i4>
      </vt:variant>
      <vt:variant>
        <vt:i4>5</vt:i4>
      </vt:variant>
      <vt:variant>
        <vt:lpwstr/>
      </vt:variant>
      <vt:variant>
        <vt:lpwstr>_Toc219447482</vt:lpwstr>
      </vt:variant>
      <vt:variant>
        <vt:i4>1900603</vt:i4>
      </vt:variant>
      <vt:variant>
        <vt:i4>788</vt:i4>
      </vt:variant>
      <vt:variant>
        <vt:i4>0</vt:i4>
      </vt:variant>
      <vt:variant>
        <vt:i4>5</vt:i4>
      </vt:variant>
      <vt:variant>
        <vt:lpwstr/>
      </vt:variant>
      <vt:variant>
        <vt:lpwstr>_Toc219447481</vt:lpwstr>
      </vt:variant>
      <vt:variant>
        <vt:i4>1900603</vt:i4>
      </vt:variant>
      <vt:variant>
        <vt:i4>782</vt:i4>
      </vt:variant>
      <vt:variant>
        <vt:i4>0</vt:i4>
      </vt:variant>
      <vt:variant>
        <vt:i4>5</vt:i4>
      </vt:variant>
      <vt:variant>
        <vt:lpwstr/>
      </vt:variant>
      <vt:variant>
        <vt:lpwstr>_Toc219447480</vt:lpwstr>
      </vt:variant>
      <vt:variant>
        <vt:i4>1179707</vt:i4>
      </vt:variant>
      <vt:variant>
        <vt:i4>776</vt:i4>
      </vt:variant>
      <vt:variant>
        <vt:i4>0</vt:i4>
      </vt:variant>
      <vt:variant>
        <vt:i4>5</vt:i4>
      </vt:variant>
      <vt:variant>
        <vt:lpwstr/>
      </vt:variant>
      <vt:variant>
        <vt:lpwstr>_Toc219447479</vt:lpwstr>
      </vt:variant>
      <vt:variant>
        <vt:i4>1179707</vt:i4>
      </vt:variant>
      <vt:variant>
        <vt:i4>770</vt:i4>
      </vt:variant>
      <vt:variant>
        <vt:i4>0</vt:i4>
      </vt:variant>
      <vt:variant>
        <vt:i4>5</vt:i4>
      </vt:variant>
      <vt:variant>
        <vt:lpwstr/>
      </vt:variant>
      <vt:variant>
        <vt:lpwstr>_Toc219447478</vt:lpwstr>
      </vt:variant>
      <vt:variant>
        <vt:i4>1179707</vt:i4>
      </vt:variant>
      <vt:variant>
        <vt:i4>764</vt:i4>
      </vt:variant>
      <vt:variant>
        <vt:i4>0</vt:i4>
      </vt:variant>
      <vt:variant>
        <vt:i4>5</vt:i4>
      </vt:variant>
      <vt:variant>
        <vt:lpwstr/>
      </vt:variant>
      <vt:variant>
        <vt:lpwstr>_Toc219447477</vt:lpwstr>
      </vt:variant>
      <vt:variant>
        <vt:i4>1179707</vt:i4>
      </vt:variant>
      <vt:variant>
        <vt:i4>758</vt:i4>
      </vt:variant>
      <vt:variant>
        <vt:i4>0</vt:i4>
      </vt:variant>
      <vt:variant>
        <vt:i4>5</vt:i4>
      </vt:variant>
      <vt:variant>
        <vt:lpwstr/>
      </vt:variant>
      <vt:variant>
        <vt:lpwstr>_Toc219447476</vt:lpwstr>
      </vt:variant>
      <vt:variant>
        <vt:i4>1179707</vt:i4>
      </vt:variant>
      <vt:variant>
        <vt:i4>752</vt:i4>
      </vt:variant>
      <vt:variant>
        <vt:i4>0</vt:i4>
      </vt:variant>
      <vt:variant>
        <vt:i4>5</vt:i4>
      </vt:variant>
      <vt:variant>
        <vt:lpwstr/>
      </vt:variant>
      <vt:variant>
        <vt:lpwstr>_Toc219447475</vt:lpwstr>
      </vt:variant>
      <vt:variant>
        <vt:i4>1179707</vt:i4>
      </vt:variant>
      <vt:variant>
        <vt:i4>746</vt:i4>
      </vt:variant>
      <vt:variant>
        <vt:i4>0</vt:i4>
      </vt:variant>
      <vt:variant>
        <vt:i4>5</vt:i4>
      </vt:variant>
      <vt:variant>
        <vt:lpwstr/>
      </vt:variant>
      <vt:variant>
        <vt:lpwstr>_Toc219447474</vt:lpwstr>
      </vt:variant>
      <vt:variant>
        <vt:i4>1179707</vt:i4>
      </vt:variant>
      <vt:variant>
        <vt:i4>740</vt:i4>
      </vt:variant>
      <vt:variant>
        <vt:i4>0</vt:i4>
      </vt:variant>
      <vt:variant>
        <vt:i4>5</vt:i4>
      </vt:variant>
      <vt:variant>
        <vt:lpwstr/>
      </vt:variant>
      <vt:variant>
        <vt:lpwstr>_Toc219447473</vt:lpwstr>
      </vt:variant>
      <vt:variant>
        <vt:i4>1310772</vt:i4>
      </vt:variant>
      <vt:variant>
        <vt:i4>731</vt:i4>
      </vt:variant>
      <vt:variant>
        <vt:i4>0</vt:i4>
      </vt:variant>
      <vt:variant>
        <vt:i4>5</vt:i4>
      </vt:variant>
      <vt:variant>
        <vt:lpwstr/>
      </vt:variant>
      <vt:variant>
        <vt:lpwstr>_Toc218767827</vt:lpwstr>
      </vt:variant>
      <vt:variant>
        <vt:i4>1310772</vt:i4>
      </vt:variant>
      <vt:variant>
        <vt:i4>725</vt:i4>
      </vt:variant>
      <vt:variant>
        <vt:i4>0</vt:i4>
      </vt:variant>
      <vt:variant>
        <vt:i4>5</vt:i4>
      </vt:variant>
      <vt:variant>
        <vt:lpwstr/>
      </vt:variant>
      <vt:variant>
        <vt:lpwstr>_Toc218767826</vt:lpwstr>
      </vt:variant>
      <vt:variant>
        <vt:i4>1310772</vt:i4>
      </vt:variant>
      <vt:variant>
        <vt:i4>719</vt:i4>
      </vt:variant>
      <vt:variant>
        <vt:i4>0</vt:i4>
      </vt:variant>
      <vt:variant>
        <vt:i4>5</vt:i4>
      </vt:variant>
      <vt:variant>
        <vt:lpwstr/>
      </vt:variant>
      <vt:variant>
        <vt:lpwstr>_Toc218767825</vt:lpwstr>
      </vt:variant>
      <vt:variant>
        <vt:i4>1310772</vt:i4>
      </vt:variant>
      <vt:variant>
        <vt:i4>713</vt:i4>
      </vt:variant>
      <vt:variant>
        <vt:i4>0</vt:i4>
      </vt:variant>
      <vt:variant>
        <vt:i4>5</vt:i4>
      </vt:variant>
      <vt:variant>
        <vt:lpwstr/>
      </vt:variant>
      <vt:variant>
        <vt:lpwstr>_Toc218767824</vt:lpwstr>
      </vt:variant>
      <vt:variant>
        <vt:i4>1310772</vt:i4>
      </vt:variant>
      <vt:variant>
        <vt:i4>707</vt:i4>
      </vt:variant>
      <vt:variant>
        <vt:i4>0</vt:i4>
      </vt:variant>
      <vt:variant>
        <vt:i4>5</vt:i4>
      </vt:variant>
      <vt:variant>
        <vt:lpwstr/>
      </vt:variant>
      <vt:variant>
        <vt:lpwstr>_Toc218767823</vt:lpwstr>
      </vt:variant>
      <vt:variant>
        <vt:i4>1310772</vt:i4>
      </vt:variant>
      <vt:variant>
        <vt:i4>701</vt:i4>
      </vt:variant>
      <vt:variant>
        <vt:i4>0</vt:i4>
      </vt:variant>
      <vt:variant>
        <vt:i4>5</vt:i4>
      </vt:variant>
      <vt:variant>
        <vt:lpwstr/>
      </vt:variant>
      <vt:variant>
        <vt:lpwstr>_Toc218767822</vt:lpwstr>
      </vt:variant>
      <vt:variant>
        <vt:i4>1310772</vt:i4>
      </vt:variant>
      <vt:variant>
        <vt:i4>695</vt:i4>
      </vt:variant>
      <vt:variant>
        <vt:i4>0</vt:i4>
      </vt:variant>
      <vt:variant>
        <vt:i4>5</vt:i4>
      </vt:variant>
      <vt:variant>
        <vt:lpwstr/>
      </vt:variant>
      <vt:variant>
        <vt:lpwstr>_Toc218767821</vt:lpwstr>
      </vt:variant>
      <vt:variant>
        <vt:i4>1310772</vt:i4>
      </vt:variant>
      <vt:variant>
        <vt:i4>689</vt:i4>
      </vt:variant>
      <vt:variant>
        <vt:i4>0</vt:i4>
      </vt:variant>
      <vt:variant>
        <vt:i4>5</vt:i4>
      </vt:variant>
      <vt:variant>
        <vt:lpwstr/>
      </vt:variant>
      <vt:variant>
        <vt:lpwstr>_Toc218767820</vt:lpwstr>
      </vt:variant>
      <vt:variant>
        <vt:i4>1507380</vt:i4>
      </vt:variant>
      <vt:variant>
        <vt:i4>683</vt:i4>
      </vt:variant>
      <vt:variant>
        <vt:i4>0</vt:i4>
      </vt:variant>
      <vt:variant>
        <vt:i4>5</vt:i4>
      </vt:variant>
      <vt:variant>
        <vt:lpwstr/>
      </vt:variant>
      <vt:variant>
        <vt:lpwstr>_Toc218767819</vt:lpwstr>
      </vt:variant>
      <vt:variant>
        <vt:i4>1507380</vt:i4>
      </vt:variant>
      <vt:variant>
        <vt:i4>677</vt:i4>
      </vt:variant>
      <vt:variant>
        <vt:i4>0</vt:i4>
      </vt:variant>
      <vt:variant>
        <vt:i4>5</vt:i4>
      </vt:variant>
      <vt:variant>
        <vt:lpwstr/>
      </vt:variant>
      <vt:variant>
        <vt:lpwstr>_Toc218767818</vt:lpwstr>
      </vt:variant>
      <vt:variant>
        <vt:i4>1507380</vt:i4>
      </vt:variant>
      <vt:variant>
        <vt:i4>671</vt:i4>
      </vt:variant>
      <vt:variant>
        <vt:i4>0</vt:i4>
      </vt:variant>
      <vt:variant>
        <vt:i4>5</vt:i4>
      </vt:variant>
      <vt:variant>
        <vt:lpwstr/>
      </vt:variant>
      <vt:variant>
        <vt:lpwstr>_Toc218767817</vt:lpwstr>
      </vt:variant>
      <vt:variant>
        <vt:i4>1507380</vt:i4>
      </vt:variant>
      <vt:variant>
        <vt:i4>665</vt:i4>
      </vt:variant>
      <vt:variant>
        <vt:i4>0</vt:i4>
      </vt:variant>
      <vt:variant>
        <vt:i4>5</vt:i4>
      </vt:variant>
      <vt:variant>
        <vt:lpwstr/>
      </vt:variant>
      <vt:variant>
        <vt:lpwstr>_Toc218767816</vt:lpwstr>
      </vt:variant>
      <vt:variant>
        <vt:i4>1507380</vt:i4>
      </vt:variant>
      <vt:variant>
        <vt:i4>659</vt:i4>
      </vt:variant>
      <vt:variant>
        <vt:i4>0</vt:i4>
      </vt:variant>
      <vt:variant>
        <vt:i4>5</vt:i4>
      </vt:variant>
      <vt:variant>
        <vt:lpwstr/>
      </vt:variant>
      <vt:variant>
        <vt:lpwstr>_Toc218767815</vt:lpwstr>
      </vt:variant>
      <vt:variant>
        <vt:i4>1507380</vt:i4>
      </vt:variant>
      <vt:variant>
        <vt:i4>653</vt:i4>
      </vt:variant>
      <vt:variant>
        <vt:i4>0</vt:i4>
      </vt:variant>
      <vt:variant>
        <vt:i4>5</vt:i4>
      </vt:variant>
      <vt:variant>
        <vt:lpwstr/>
      </vt:variant>
      <vt:variant>
        <vt:lpwstr>_Toc218767814</vt:lpwstr>
      </vt:variant>
      <vt:variant>
        <vt:i4>1507380</vt:i4>
      </vt:variant>
      <vt:variant>
        <vt:i4>647</vt:i4>
      </vt:variant>
      <vt:variant>
        <vt:i4>0</vt:i4>
      </vt:variant>
      <vt:variant>
        <vt:i4>5</vt:i4>
      </vt:variant>
      <vt:variant>
        <vt:lpwstr/>
      </vt:variant>
      <vt:variant>
        <vt:lpwstr>_Toc218767813</vt:lpwstr>
      </vt:variant>
      <vt:variant>
        <vt:i4>1507380</vt:i4>
      </vt:variant>
      <vt:variant>
        <vt:i4>641</vt:i4>
      </vt:variant>
      <vt:variant>
        <vt:i4>0</vt:i4>
      </vt:variant>
      <vt:variant>
        <vt:i4>5</vt:i4>
      </vt:variant>
      <vt:variant>
        <vt:lpwstr/>
      </vt:variant>
      <vt:variant>
        <vt:lpwstr>_Toc218767812</vt:lpwstr>
      </vt:variant>
      <vt:variant>
        <vt:i4>1507380</vt:i4>
      </vt:variant>
      <vt:variant>
        <vt:i4>635</vt:i4>
      </vt:variant>
      <vt:variant>
        <vt:i4>0</vt:i4>
      </vt:variant>
      <vt:variant>
        <vt:i4>5</vt:i4>
      </vt:variant>
      <vt:variant>
        <vt:lpwstr/>
      </vt:variant>
      <vt:variant>
        <vt:lpwstr>_Toc218767811</vt:lpwstr>
      </vt:variant>
      <vt:variant>
        <vt:i4>1507380</vt:i4>
      </vt:variant>
      <vt:variant>
        <vt:i4>629</vt:i4>
      </vt:variant>
      <vt:variant>
        <vt:i4>0</vt:i4>
      </vt:variant>
      <vt:variant>
        <vt:i4>5</vt:i4>
      </vt:variant>
      <vt:variant>
        <vt:lpwstr/>
      </vt:variant>
      <vt:variant>
        <vt:lpwstr>_Toc218767810</vt:lpwstr>
      </vt:variant>
      <vt:variant>
        <vt:i4>1441844</vt:i4>
      </vt:variant>
      <vt:variant>
        <vt:i4>623</vt:i4>
      </vt:variant>
      <vt:variant>
        <vt:i4>0</vt:i4>
      </vt:variant>
      <vt:variant>
        <vt:i4>5</vt:i4>
      </vt:variant>
      <vt:variant>
        <vt:lpwstr/>
      </vt:variant>
      <vt:variant>
        <vt:lpwstr>_Toc218767809</vt:lpwstr>
      </vt:variant>
      <vt:variant>
        <vt:i4>1441844</vt:i4>
      </vt:variant>
      <vt:variant>
        <vt:i4>617</vt:i4>
      </vt:variant>
      <vt:variant>
        <vt:i4>0</vt:i4>
      </vt:variant>
      <vt:variant>
        <vt:i4>5</vt:i4>
      </vt:variant>
      <vt:variant>
        <vt:lpwstr/>
      </vt:variant>
      <vt:variant>
        <vt:lpwstr>_Toc218767808</vt:lpwstr>
      </vt:variant>
      <vt:variant>
        <vt:i4>1441844</vt:i4>
      </vt:variant>
      <vt:variant>
        <vt:i4>611</vt:i4>
      </vt:variant>
      <vt:variant>
        <vt:i4>0</vt:i4>
      </vt:variant>
      <vt:variant>
        <vt:i4>5</vt:i4>
      </vt:variant>
      <vt:variant>
        <vt:lpwstr/>
      </vt:variant>
      <vt:variant>
        <vt:lpwstr>_Toc218767807</vt:lpwstr>
      </vt:variant>
      <vt:variant>
        <vt:i4>1441844</vt:i4>
      </vt:variant>
      <vt:variant>
        <vt:i4>605</vt:i4>
      </vt:variant>
      <vt:variant>
        <vt:i4>0</vt:i4>
      </vt:variant>
      <vt:variant>
        <vt:i4>5</vt:i4>
      </vt:variant>
      <vt:variant>
        <vt:lpwstr/>
      </vt:variant>
      <vt:variant>
        <vt:lpwstr>_Toc218767806</vt:lpwstr>
      </vt:variant>
      <vt:variant>
        <vt:i4>1441844</vt:i4>
      </vt:variant>
      <vt:variant>
        <vt:i4>599</vt:i4>
      </vt:variant>
      <vt:variant>
        <vt:i4>0</vt:i4>
      </vt:variant>
      <vt:variant>
        <vt:i4>5</vt:i4>
      </vt:variant>
      <vt:variant>
        <vt:lpwstr/>
      </vt:variant>
      <vt:variant>
        <vt:lpwstr>_Toc218767805</vt:lpwstr>
      </vt:variant>
      <vt:variant>
        <vt:i4>1441844</vt:i4>
      </vt:variant>
      <vt:variant>
        <vt:i4>593</vt:i4>
      </vt:variant>
      <vt:variant>
        <vt:i4>0</vt:i4>
      </vt:variant>
      <vt:variant>
        <vt:i4>5</vt:i4>
      </vt:variant>
      <vt:variant>
        <vt:lpwstr/>
      </vt:variant>
      <vt:variant>
        <vt:lpwstr>_Toc218767804</vt:lpwstr>
      </vt:variant>
      <vt:variant>
        <vt:i4>1441844</vt:i4>
      </vt:variant>
      <vt:variant>
        <vt:i4>587</vt:i4>
      </vt:variant>
      <vt:variant>
        <vt:i4>0</vt:i4>
      </vt:variant>
      <vt:variant>
        <vt:i4>5</vt:i4>
      </vt:variant>
      <vt:variant>
        <vt:lpwstr/>
      </vt:variant>
      <vt:variant>
        <vt:lpwstr>_Toc218767803</vt:lpwstr>
      </vt:variant>
      <vt:variant>
        <vt:i4>1441844</vt:i4>
      </vt:variant>
      <vt:variant>
        <vt:i4>581</vt:i4>
      </vt:variant>
      <vt:variant>
        <vt:i4>0</vt:i4>
      </vt:variant>
      <vt:variant>
        <vt:i4>5</vt:i4>
      </vt:variant>
      <vt:variant>
        <vt:lpwstr/>
      </vt:variant>
      <vt:variant>
        <vt:lpwstr>_Toc218767802</vt:lpwstr>
      </vt:variant>
      <vt:variant>
        <vt:i4>1441844</vt:i4>
      </vt:variant>
      <vt:variant>
        <vt:i4>575</vt:i4>
      </vt:variant>
      <vt:variant>
        <vt:i4>0</vt:i4>
      </vt:variant>
      <vt:variant>
        <vt:i4>5</vt:i4>
      </vt:variant>
      <vt:variant>
        <vt:lpwstr/>
      </vt:variant>
      <vt:variant>
        <vt:lpwstr>_Toc218767801</vt:lpwstr>
      </vt:variant>
      <vt:variant>
        <vt:i4>1441844</vt:i4>
      </vt:variant>
      <vt:variant>
        <vt:i4>569</vt:i4>
      </vt:variant>
      <vt:variant>
        <vt:i4>0</vt:i4>
      </vt:variant>
      <vt:variant>
        <vt:i4>5</vt:i4>
      </vt:variant>
      <vt:variant>
        <vt:lpwstr/>
      </vt:variant>
      <vt:variant>
        <vt:lpwstr>_Toc218767800</vt:lpwstr>
      </vt:variant>
      <vt:variant>
        <vt:i4>2031675</vt:i4>
      </vt:variant>
      <vt:variant>
        <vt:i4>563</vt:i4>
      </vt:variant>
      <vt:variant>
        <vt:i4>0</vt:i4>
      </vt:variant>
      <vt:variant>
        <vt:i4>5</vt:i4>
      </vt:variant>
      <vt:variant>
        <vt:lpwstr/>
      </vt:variant>
      <vt:variant>
        <vt:lpwstr>_Toc218767799</vt:lpwstr>
      </vt:variant>
      <vt:variant>
        <vt:i4>2031675</vt:i4>
      </vt:variant>
      <vt:variant>
        <vt:i4>557</vt:i4>
      </vt:variant>
      <vt:variant>
        <vt:i4>0</vt:i4>
      </vt:variant>
      <vt:variant>
        <vt:i4>5</vt:i4>
      </vt:variant>
      <vt:variant>
        <vt:lpwstr/>
      </vt:variant>
      <vt:variant>
        <vt:lpwstr>_Toc218767798</vt:lpwstr>
      </vt:variant>
      <vt:variant>
        <vt:i4>2031675</vt:i4>
      </vt:variant>
      <vt:variant>
        <vt:i4>551</vt:i4>
      </vt:variant>
      <vt:variant>
        <vt:i4>0</vt:i4>
      </vt:variant>
      <vt:variant>
        <vt:i4>5</vt:i4>
      </vt:variant>
      <vt:variant>
        <vt:lpwstr/>
      </vt:variant>
      <vt:variant>
        <vt:lpwstr>_Toc218767797</vt:lpwstr>
      </vt:variant>
      <vt:variant>
        <vt:i4>2031675</vt:i4>
      </vt:variant>
      <vt:variant>
        <vt:i4>545</vt:i4>
      </vt:variant>
      <vt:variant>
        <vt:i4>0</vt:i4>
      </vt:variant>
      <vt:variant>
        <vt:i4>5</vt:i4>
      </vt:variant>
      <vt:variant>
        <vt:lpwstr/>
      </vt:variant>
      <vt:variant>
        <vt:lpwstr>_Toc218767796</vt:lpwstr>
      </vt:variant>
      <vt:variant>
        <vt:i4>2031675</vt:i4>
      </vt:variant>
      <vt:variant>
        <vt:i4>536</vt:i4>
      </vt:variant>
      <vt:variant>
        <vt:i4>0</vt:i4>
      </vt:variant>
      <vt:variant>
        <vt:i4>5</vt:i4>
      </vt:variant>
      <vt:variant>
        <vt:lpwstr/>
      </vt:variant>
      <vt:variant>
        <vt:lpwstr>_Toc218767795</vt:lpwstr>
      </vt:variant>
      <vt:variant>
        <vt:i4>2031675</vt:i4>
      </vt:variant>
      <vt:variant>
        <vt:i4>530</vt:i4>
      </vt:variant>
      <vt:variant>
        <vt:i4>0</vt:i4>
      </vt:variant>
      <vt:variant>
        <vt:i4>5</vt:i4>
      </vt:variant>
      <vt:variant>
        <vt:lpwstr/>
      </vt:variant>
      <vt:variant>
        <vt:lpwstr>_Toc218767794</vt:lpwstr>
      </vt:variant>
      <vt:variant>
        <vt:i4>2031675</vt:i4>
      </vt:variant>
      <vt:variant>
        <vt:i4>524</vt:i4>
      </vt:variant>
      <vt:variant>
        <vt:i4>0</vt:i4>
      </vt:variant>
      <vt:variant>
        <vt:i4>5</vt:i4>
      </vt:variant>
      <vt:variant>
        <vt:lpwstr/>
      </vt:variant>
      <vt:variant>
        <vt:lpwstr>_Toc218767793</vt:lpwstr>
      </vt:variant>
      <vt:variant>
        <vt:i4>2031675</vt:i4>
      </vt:variant>
      <vt:variant>
        <vt:i4>518</vt:i4>
      </vt:variant>
      <vt:variant>
        <vt:i4>0</vt:i4>
      </vt:variant>
      <vt:variant>
        <vt:i4>5</vt:i4>
      </vt:variant>
      <vt:variant>
        <vt:lpwstr/>
      </vt:variant>
      <vt:variant>
        <vt:lpwstr>_Toc218767792</vt:lpwstr>
      </vt:variant>
      <vt:variant>
        <vt:i4>2031675</vt:i4>
      </vt:variant>
      <vt:variant>
        <vt:i4>512</vt:i4>
      </vt:variant>
      <vt:variant>
        <vt:i4>0</vt:i4>
      </vt:variant>
      <vt:variant>
        <vt:i4>5</vt:i4>
      </vt:variant>
      <vt:variant>
        <vt:lpwstr/>
      </vt:variant>
      <vt:variant>
        <vt:lpwstr>_Toc218767791</vt:lpwstr>
      </vt:variant>
      <vt:variant>
        <vt:i4>2031675</vt:i4>
      </vt:variant>
      <vt:variant>
        <vt:i4>506</vt:i4>
      </vt:variant>
      <vt:variant>
        <vt:i4>0</vt:i4>
      </vt:variant>
      <vt:variant>
        <vt:i4>5</vt:i4>
      </vt:variant>
      <vt:variant>
        <vt:lpwstr/>
      </vt:variant>
      <vt:variant>
        <vt:lpwstr>_Toc218767790</vt:lpwstr>
      </vt:variant>
      <vt:variant>
        <vt:i4>1966139</vt:i4>
      </vt:variant>
      <vt:variant>
        <vt:i4>500</vt:i4>
      </vt:variant>
      <vt:variant>
        <vt:i4>0</vt:i4>
      </vt:variant>
      <vt:variant>
        <vt:i4>5</vt:i4>
      </vt:variant>
      <vt:variant>
        <vt:lpwstr/>
      </vt:variant>
      <vt:variant>
        <vt:lpwstr>_Toc218767789</vt:lpwstr>
      </vt:variant>
      <vt:variant>
        <vt:i4>1966139</vt:i4>
      </vt:variant>
      <vt:variant>
        <vt:i4>494</vt:i4>
      </vt:variant>
      <vt:variant>
        <vt:i4>0</vt:i4>
      </vt:variant>
      <vt:variant>
        <vt:i4>5</vt:i4>
      </vt:variant>
      <vt:variant>
        <vt:lpwstr/>
      </vt:variant>
      <vt:variant>
        <vt:lpwstr>_Toc218767788</vt:lpwstr>
      </vt:variant>
      <vt:variant>
        <vt:i4>1966139</vt:i4>
      </vt:variant>
      <vt:variant>
        <vt:i4>488</vt:i4>
      </vt:variant>
      <vt:variant>
        <vt:i4>0</vt:i4>
      </vt:variant>
      <vt:variant>
        <vt:i4>5</vt:i4>
      </vt:variant>
      <vt:variant>
        <vt:lpwstr/>
      </vt:variant>
      <vt:variant>
        <vt:lpwstr>_Toc218767787</vt:lpwstr>
      </vt:variant>
      <vt:variant>
        <vt:i4>1966139</vt:i4>
      </vt:variant>
      <vt:variant>
        <vt:i4>482</vt:i4>
      </vt:variant>
      <vt:variant>
        <vt:i4>0</vt:i4>
      </vt:variant>
      <vt:variant>
        <vt:i4>5</vt:i4>
      </vt:variant>
      <vt:variant>
        <vt:lpwstr/>
      </vt:variant>
      <vt:variant>
        <vt:lpwstr>_Toc218767786</vt:lpwstr>
      </vt:variant>
      <vt:variant>
        <vt:i4>1966139</vt:i4>
      </vt:variant>
      <vt:variant>
        <vt:i4>476</vt:i4>
      </vt:variant>
      <vt:variant>
        <vt:i4>0</vt:i4>
      </vt:variant>
      <vt:variant>
        <vt:i4>5</vt:i4>
      </vt:variant>
      <vt:variant>
        <vt:lpwstr/>
      </vt:variant>
      <vt:variant>
        <vt:lpwstr>_Toc218767785</vt:lpwstr>
      </vt:variant>
      <vt:variant>
        <vt:i4>1966139</vt:i4>
      </vt:variant>
      <vt:variant>
        <vt:i4>470</vt:i4>
      </vt:variant>
      <vt:variant>
        <vt:i4>0</vt:i4>
      </vt:variant>
      <vt:variant>
        <vt:i4>5</vt:i4>
      </vt:variant>
      <vt:variant>
        <vt:lpwstr/>
      </vt:variant>
      <vt:variant>
        <vt:lpwstr>_Toc218767784</vt:lpwstr>
      </vt:variant>
      <vt:variant>
        <vt:i4>1966139</vt:i4>
      </vt:variant>
      <vt:variant>
        <vt:i4>464</vt:i4>
      </vt:variant>
      <vt:variant>
        <vt:i4>0</vt:i4>
      </vt:variant>
      <vt:variant>
        <vt:i4>5</vt:i4>
      </vt:variant>
      <vt:variant>
        <vt:lpwstr/>
      </vt:variant>
      <vt:variant>
        <vt:lpwstr>_Toc218767783</vt:lpwstr>
      </vt:variant>
      <vt:variant>
        <vt:i4>1966139</vt:i4>
      </vt:variant>
      <vt:variant>
        <vt:i4>458</vt:i4>
      </vt:variant>
      <vt:variant>
        <vt:i4>0</vt:i4>
      </vt:variant>
      <vt:variant>
        <vt:i4>5</vt:i4>
      </vt:variant>
      <vt:variant>
        <vt:lpwstr/>
      </vt:variant>
      <vt:variant>
        <vt:lpwstr>_Toc218767782</vt:lpwstr>
      </vt:variant>
      <vt:variant>
        <vt:i4>1966139</vt:i4>
      </vt:variant>
      <vt:variant>
        <vt:i4>452</vt:i4>
      </vt:variant>
      <vt:variant>
        <vt:i4>0</vt:i4>
      </vt:variant>
      <vt:variant>
        <vt:i4>5</vt:i4>
      </vt:variant>
      <vt:variant>
        <vt:lpwstr/>
      </vt:variant>
      <vt:variant>
        <vt:lpwstr>_Toc218767781</vt:lpwstr>
      </vt:variant>
      <vt:variant>
        <vt:i4>1966139</vt:i4>
      </vt:variant>
      <vt:variant>
        <vt:i4>443</vt:i4>
      </vt:variant>
      <vt:variant>
        <vt:i4>0</vt:i4>
      </vt:variant>
      <vt:variant>
        <vt:i4>5</vt:i4>
      </vt:variant>
      <vt:variant>
        <vt:lpwstr/>
      </vt:variant>
      <vt:variant>
        <vt:lpwstr>_Toc218767780</vt:lpwstr>
      </vt:variant>
      <vt:variant>
        <vt:i4>1114171</vt:i4>
      </vt:variant>
      <vt:variant>
        <vt:i4>437</vt:i4>
      </vt:variant>
      <vt:variant>
        <vt:i4>0</vt:i4>
      </vt:variant>
      <vt:variant>
        <vt:i4>5</vt:i4>
      </vt:variant>
      <vt:variant>
        <vt:lpwstr/>
      </vt:variant>
      <vt:variant>
        <vt:lpwstr>_Toc218767779</vt:lpwstr>
      </vt:variant>
      <vt:variant>
        <vt:i4>1114171</vt:i4>
      </vt:variant>
      <vt:variant>
        <vt:i4>431</vt:i4>
      </vt:variant>
      <vt:variant>
        <vt:i4>0</vt:i4>
      </vt:variant>
      <vt:variant>
        <vt:i4>5</vt:i4>
      </vt:variant>
      <vt:variant>
        <vt:lpwstr/>
      </vt:variant>
      <vt:variant>
        <vt:lpwstr>_Toc218767778</vt:lpwstr>
      </vt:variant>
      <vt:variant>
        <vt:i4>1114171</vt:i4>
      </vt:variant>
      <vt:variant>
        <vt:i4>425</vt:i4>
      </vt:variant>
      <vt:variant>
        <vt:i4>0</vt:i4>
      </vt:variant>
      <vt:variant>
        <vt:i4>5</vt:i4>
      </vt:variant>
      <vt:variant>
        <vt:lpwstr/>
      </vt:variant>
      <vt:variant>
        <vt:lpwstr>_Toc218767775</vt:lpwstr>
      </vt:variant>
      <vt:variant>
        <vt:i4>1114171</vt:i4>
      </vt:variant>
      <vt:variant>
        <vt:i4>419</vt:i4>
      </vt:variant>
      <vt:variant>
        <vt:i4>0</vt:i4>
      </vt:variant>
      <vt:variant>
        <vt:i4>5</vt:i4>
      </vt:variant>
      <vt:variant>
        <vt:lpwstr/>
      </vt:variant>
      <vt:variant>
        <vt:lpwstr>_Toc218767774</vt:lpwstr>
      </vt:variant>
      <vt:variant>
        <vt:i4>1114171</vt:i4>
      </vt:variant>
      <vt:variant>
        <vt:i4>413</vt:i4>
      </vt:variant>
      <vt:variant>
        <vt:i4>0</vt:i4>
      </vt:variant>
      <vt:variant>
        <vt:i4>5</vt:i4>
      </vt:variant>
      <vt:variant>
        <vt:lpwstr/>
      </vt:variant>
      <vt:variant>
        <vt:lpwstr>_Toc218767773</vt:lpwstr>
      </vt:variant>
      <vt:variant>
        <vt:i4>1114171</vt:i4>
      </vt:variant>
      <vt:variant>
        <vt:i4>407</vt:i4>
      </vt:variant>
      <vt:variant>
        <vt:i4>0</vt:i4>
      </vt:variant>
      <vt:variant>
        <vt:i4>5</vt:i4>
      </vt:variant>
      <vt:variant>
        <vt:lpwstr/>
      </vt:variant>
      <vt:variant>
        <vt:lpwstr>_Toc218767772</vt:lpwstr>
      </vt:variant>
      <vt:variant>
        <vt:i4>1114171</vt:i4>
      </vt:variant>
      <vt:variant>
        <vt:i4>401</vt:i4>
      </vt:variant>
      <vt:variant>
        <vt:i4>0</vt:i4>
      </vt:variant>
      <vt:variant>
        <vt:i4>5</vt:i4>
      </vt:variant>
      <vt:variant>
        <vt:lpwstr/>
      </vt:variant>
      <vt:variant>
        <vt:lpwstr>_Toc218767771</vt:lpwstr>
      </vt:variant>
      <vt:variant>
        <vt:i4>1114171</vt:i4>
      </vt:variant>
      <vt:variant>
        <vt:i4>395</vt:i4>
      </vt:variant>
      <vt:variant>
        <vt:i4>0</vt:i4>
      </vt:variant>
      <vt:variant>
        <vt:i4>5</vt:i4>
      </vt:variant>
      <vt:variant>
        <vt:lpwstr/>
      </vt:variant>
      <vt:variant>
        <vt:lpwstr>_Toc218767770</vt:lpwstr>
      </vt:variant>
      <vt:variant>
        <vt:i4>1048635</vt:i4>
      </vt:variant>
      <vt:variant>
        <vt:i4>389</vt:i4>
      </vt:variant>
      <vt:variant>
        <vt:i4>0</vt:i4>
      </vt:variant>
      <vt:variant>
        <vt:i4>5</vt:i4>
      </vt:variant>
      <vt:variant>
        <vt:lpwstr/>
      </vt:variant>
      <vt:variant>
        <vt:lpwstr>_Toc218767769</vt:lpwstr>
      </vt:variant>
      <vt:variant>
        <vt:i4>1048635</vt:i4>
      </vt:variant>
      <vt:variant>
        <vt:i4>383</vt:i4>
      </vt:variant>
      <vt:variant>
        <vt:i4>0</vt:i4>
      </vt:variant>
      <vt:variant>
        <vt:i4>5</vt:i4>
      </vt:variant>
      <vt:variant>
        <vt:lpwstr/>
      </vt:variant>
      <vt:variant>
        <vt:lpwstr>_Toc218767768</vt:lpwstr>
      </vt:variant>
      <vt:variant>
        <vt:i4>1048635</vt:i4>
      </vt:variant>
      <vt:variant>
        <vt:i4>377</vt:i4>
      </vt:variant>
      <vt:variant>
        <vt:i4>0</vt:i4>
      </vt:variant>
      <vt:variant>
        <vt:i4>5</vt:i4>
      </vt:variant>
      <vt:variant>
        <vt:lpwstr/>
      </vt:variant>
      <vt:variant>
        <vt:lpwstr>_Toc218767767</vt:lpwstr>
      </vt:variant>
      <vt:variant>
        <vt:i4>1048635</vt:i4>
      </vt:variant>
      <vt:variant>
        <vt:i4>371</vt:i4>
      </vt:variant>
      <vt:variant>
        <vt:i4>0</vt:i4>
      </vt:variant>
      <vt:variant>
        <vt:i4>5</vt:i4>
      </vt:variant>
      <vt:variant>
        <vt:lpwstr/>
      </vt:variant>
      <vt:variant>
        <vt:lpwstr>_Toc218767766</vt:lpwstr>
      </vt:variant>
      <vt:variant>
        <vt:i4>1048635</vt:i4>
      </vt:variant>
      <vt:variant>
        <vt:i4>365</vt:i4>
      </vt:variant>
      <vt:variant>
        <vt:i4>0</vt:i4>
      </vt:variant>
      <vt:variant>
        <vt:i4>5</vt:i4>
      </vt:variant>
      <vt:variant>
        <vt:lpwstr/>
      </vt:variant>
      <vt:variant>
        <vt:lpwstr>_Toc218767765</vt:lpwstr>
      </vt:variant>
      <vt:variant>
        <vt:i4>1048635</vt:i4>
      </vt:variant>
      <vt:variant>
        <vt:i4>359</vt:i4>
      </vt:variant>
      <vt:variant>
        <vt:i4>0</vt:i4>
      </vt:variant>
      <vt:variant>
        <vt:i4>5</vt:i4>
      </vt:variant>
      <vt:variant>
        <vt:lpwstr/>
      </vt:variant>
      <vt:variant>
        <vt:lpwstr>_Toc218767764</vt:lpwstr>
      </vt:variant>
      <vt:variant>
        <vt:i4>1048635</vt:i4>
      </vt:variant>
      <vt:variant>
        <vt:i4>353</vt:i4>
      </vt:variant>
      <vt:variant>
        <vt:i4>0</vt:i4>
      </vt:variant>
      <vt:variant>
        <vt:i4>5</vt:i4>
      </vt:variant>
      <vt:variant>
        <vt:lpwstr/>
      </vt:variant>
      <vt:variant>
        <vt:lpwstr>_Toc218767763</vt:lpwstr>
      </vt:variant>
      <vt:variant>
        <vt:i4>1835068</vt:i4>
      </vt:variant>
      <vt:variant>
        <vt:i4>344</vt:i4>
      </vt:variant>
      <vt:variant>
        <vt:i4>0</vt:i4>
      </vt:variant>
      <vt:variant>
        <vt:i4>5</vt:i4>
      </vt:variant>
      <vt:variant>
        <vt:lpwstr/>
      </vt:variant>
      <vt:variant>
        <vt:lpwstr>_Toc219447391</vt:lpwstr>
      </vt:variant>
      <vt:variant>
        <vt:i4>1835068</vt:i4>
      </vt:variant>
      <vt:variant>
        <vt:i4>338</vt:i4>
      </vt:variant>
      <vt:variant>
        <vt:i4>0</vt:i4>
      </vt:variant>
      <vt:variant>
        <vt:i4>5</vt:i4>
      </vt:variant>
      <vt:variant>
        <vt:lpwstr/>
      </vt:variant>
      <vt:variant>
        <vt:lpwstr>_Toc219447390</vt:lpwstr>
      </vt:variant>
      <vt:variant>
        <vt:i4>1900604</vt:i4>
      </vt:variant>
      <vt:variant>
        <vt:i4>332</vt:i4>
      </vt:variant>
      <vt:variant>
        <vt:i4>0</vt:i4>
      </vt:variant>
      <vt:variant>
        <vt:i4>5</vt:i4>
      </vt:variant>
      <vt:variant>
        <vt:lpwstr/>
      </vt:variant>
      <vt:variant>
        <vt:lpwstr>_Toc219447389</vt:lpwstr>
      </vt:variant>
      <vt:variant>
        <vt:i4>1900604</vt:i4>
      </vt:variant>
      <vt:variant>
        <vt:i4>326</vt:i4>
      </vt:variant>
      <vt:variant>
        <vt:i4>0</vt:i4>
      </vt:variant>
      <vt:variant>
        <vt:i4>5</vt:i4>
      </vt:variant>
      <vt:variant>
        <vt:lpwstr/>
      </vt:variant>
      <vt:variant>
        <vt:lpwstr>_Toc219447388</vt:lpwstr>
      </vt:variant>
      <vt:variant>
        <vt:i4>1900604</vt:i4>
      </vt:variant>
      <vt:variant>
        <vt:i4>320</vt:i4>
      </vt:variant>
      <vt:variant>
        <vt:i4>0</vt:i4>
      </vt:variant>
      <vt:variant>
        <vt:i4>5</vt:i4>
      </vt:variant>
      <vt:variant>
        <vt:lpwstr/>
      </vt:variant>
      <vt:variant>
        <vt:lpwstr>_Toc219447387</vt:lpwstr>
      </vt:variant>
      <vt:variant>
        <vt:i4>1900604</vt:i4>
      </vt:variant>
      <vt:variant>
        <vt:i4>314</vt:i4>
      </vt:variant>
      <vt:variant>
        <vt:i4>0</vt:i4>
      </vt:variant>
      <vt:variant>
        <vt:i4>5</vt:i4>
      </vt:variant>
      <vt:variant>
        <vt:lpwstr/>
      </vt:variant>
      <vt:variant>
        <vt:lpwstr>_Toc219447386</vt:lpwstr>
      </vt:variant>
      <vt:variant>
        <vt:i4>1900604</vt:i4>
      </vt:variant>
      <vt:variant>
        <vt:i4>308</vt:i4>
      </vt:variant>
      <vt:variant>
        <vt:i4>0</vt:i4>
      </vt:variant>
      <vt:variant>
        <vt:i4>5</vt:i4>
      </vt:variant>
      <vt:variant>
        <vt:lpwstr/>
      </vt:variant>
      <vt:variant>
        <vt:lpwstr>_Toc219447385</vt:lpwstr>
      </vt:variant>
      <vt:variant>
        <vt:i4>1900604</vt:i4>
      </vt:variant>
      <vt:variant>
        <vt:i4>302</vt:i4>
      </vt:variant>
      <vt:variant>
        <vt:i4>0</vt:i4>
      </vt:variant>
      <vt:variant>
        <vt:i4>5</vt:i4>
      </vt:variant>
      <vt:variant>
        <vt:lpwstr/>
      </vt:variant>
      <vt:variant>
        <vt:lpwstr>_Toc219447384</vt:lpwstr>
      </vt:variant>
      <vt:variant>
        <vt:i4>1900604</vt:i4>
      </vt:variant>
      <vt:variant>
        <vt:i4>296</vt:i4>
      </vt:variant>
      <vt:variant>
        <vt:i4>0</vt:i4>
      </vt:variant>
      <vt:variant>
        <vt:i4>5</vt:i4>
      </vt:variant>
      <vt:variant>
        <vt:lpwstr/>
      </vt:variant>
      <vt:variant>
        <vt:lpwstr>_Toc219447383</vt:lpwstr>
      </vt:variant>
      <vt:variant>
        <vt:i4>1900604</vt:i4>
      </vt:variant>
      <vt:variant>
        <vt:i4>290</vt:i4>
      </vt:variant>
      <vt:variant>
        <vt:i4>0</vt:i4>
      </vt:variant>
      <vt:variant>
        <vt:i4>5</vt:i4>
      </vt:variant>
      <vt:variant>
        <vt:lpwstr/>
      </vt:variant>
      <vt:variant>
        <vt:lpwstr>_Toc219447382</vt:lpwstr>
      </vt:variant>
      <vt:variant>
        <vt:i4>1900604</vt:i4>
      </vt:variant>
      <vt:variant>
        <vt:i4>284</vt:i4>
      </vt:variant>
      <vt:variant>
        <vt:i4>0</vt:i4>
      </vt:variant>
      <vt:variant>
        <vt:i4>5</vt:i4>
      </vt:variant>
      <vt:variant>
        <vt:lpwstr/>
      </vt:variant>
      <vt:variant>
        <vt:lpwstr>_Toc219447381</vt:lpwstr>
      </vt:variant>
      <vt:variant>
        <vt:i4>1900604</vt:i4>
      </vt:variant>
      <vt:variant>
        <vt:i4>278</vt:i4>
      </vt:variant>
      <vt:variant>
        <vt:i4>0</vt:i4>
      </vt:variant>
      <vt:variant>
        <vt:i4>5</vt:i4>
      </vt:variant>
      <vt:variant>
        <vt:lpwstr/>
      </vt:variant>
      <vt:variant>
        <vt:lpwstr>_Toc219447380</vt:lpwstr>
      </vt:variant>
      <vt:variant>
        <vt:i4>1179708</vt:i4>
      </vt:variant>
      <vt:variant>
        <vt:i4>272</vt:i4>
      </vt:variant>
      <vt:variant>
        <vt:i4>0</vt:i4>
      </vt:variant>
      <vt:variant>
        <vt:i4>5</vt:i4>
      </vt:variant>
      <vt:variant>
        <vt:lpwstr/>
      </vt:variant>
      <vt:variant>
        <vt:lpwstr>_Toc219447379</vt:lpwstr>
      </vt:variant>
      <vt:variant>
        <vt:i4>1179708</vt:i4>
      </vt:variant>
      <vt:variant>
        <vt:i4>266</vt:i4>
      </vt:variant>
      <vt:variant>
        <vt:i4>0</vt:i4>
      </vt:variant>
      <vt:variant>
        <vt:i4>5</vt:i4>
      </vt:variant>
      <vt:variant>
        <vt:lpwstr/>
      </vt:variant>
      <vt:variant>
        <vt:lpwstr>_Toc219447378</vt:lpwstr>
      </vt:variant>
      <vt:variant>
        <vt:i4>1179708</vt:i4>
      </vt:variant>
      <vt:variant>
        <vt:i4>260</vt:i4>
      </vt:variant>
      <vt:variant>
        <vt:i4>0</vt:i4>
      </vt:variant>
      <vt:variant>
        <vt:i4>5</vt:i4>
      </vt:variant>
      <vt:variant>
        <vt:lpwstr/>
      </vt:variant>
      <vt:variant>
        <vt:lpwstr>_Toc219447377</vt:lpwstr>
      </vt:variant>
      <vt:variant>
        <vt:i4>1179708</vt:i4>
      </vt:variant>
      <vt:variant>
        <vt:i4>254</vt:i4>
      </vt:variant>
      <vt:variant>
        <vt:i4>0</vt:i4>
      </vt:variant>
      <vt:variant>
        <vt:i4>5</vt:i4>
      </vt:variant>
      <vt:variant>
        <vt:lpwstr/>
      </vt:variant>
      <vt:variant>
        <vt:lpwstr>_Toc219447376</vt:lpwstr>
      </vt:variant>
      <vt:variant>
        <vt:i4>1179708</vt:i4>
      </vt:variant>
      <vt:variant>
        <vt:i4>248</vt:i4>
      </vt:variant>
      <vt:variant>
        <vt:i4>0</vt:i4>
      </vt:variant>
      <vt:variant>
        <vt:i4>5</vt:i4>
      </vt:variant>
      <vt:variant>
        <vt:lpwstr/>
      </vt:variant>
      <vt:variant>
        <vt:lpwstr>_Toc219447375</vt:lpwstr>
      </vt:variant>
      <vt:variant>
        <vt:i4>1179708</vt:i4>
      </vt:variant>
      <vt:variant>
        <vt:i4>242</vt:i4>
      </vt:variant>
      <vt:variant>
        <vt:i4>0</vt:i4>
      </vt:variant>
      <vt:variant>
        <vt:i4>5</vt:i4>
      </vt:variant>
      <vt:variant>
        <vt:lpwstr/>
      </vt:variant>
      <vt:variant>
        <vt:lpwstr>_Toc219447374</vt:lpwstr>
      </vt:variant>
      <vt:variant>
        <vt:i4>1179708</vt:i4>
      </vt:variant>
      <vt:variant>
        <vt:i4>236</vt:i4>
      </vt:variant>
      <vt:variant>
        <vt:i4>0</vt:i4>
      </vt:variant>
      <vt:variant>
        <vt:i4>5</vt:i4>
      </vt:variant>
      <vt:variant>
        <vt:lpwstr/>
      </vt:variant>
      <vt:variant>
        <vt:lpwstr>_Toc219447373</vt:lpwstr>
      </vt:variant>
      <vt:variant>
        <vt:i4>1179708</vt:i4>
      </vt:variant>
      <vt:variant>
        <vt:i4>230</vt:i4>
      </vt:variant>
      <vt:variant>
        <vt:i4>0</vt:i4>
      </vt:variant>
      <vt:variant>
        <vt:i4>5</vt:i4>
      </vt:variant>
      <vt:variant>
        <vt:lpwstr/>
      </vt:variant>
      <vt:variant>
        <vt:lpwstr>_Toc219447372</vt:lpwstr>
      </vt:variant>
      <vt:variant>
        <vt:i4>1179708</vt:i4>
      </vt:variant>
      <vt:variant>
        <vt:i4>224</vt:i4>
      </vt:variant>
      <vt:variant>
        <vt:i4>0</vt:i4>
      </vt:variant>
      <vt:variant>
        <vt:i4>5</vt:i4>
      </vt:variant>
      <vt:variant>
        <vt:lpwstr/>
      </vt:variant>
      <vt:variant>
        <vt:lpwstr>_Toc219447371</vt:lpwstr>
      </vt:variant>
      <vt:variant>
        <vt:i4>1179708</vt:i4>
      </vt:variant>
      <vt:variant>
        <vt:i4>218</vt:i4>
      </vt:variant>
      <vt:variant>
        <vt:i4>0</vt:i4>
      </vt:variant>
      <vt:variant>
        <vt:i4>5</vt:i4>
      </vt:variant>
      <vt:variant>
        <vt:lpwstr/>
      </vt:variant>
      <vt:variant>
        <vt:lpwstr>_Toc219447370</vt:lpwstr>
      </vt:variant>
      <vt:variant>
        <vt:i4>1245244</vt:i4>
      </vt:variant>
      <vt:variant>
        <vt:i4>212</vt:i4>
      </vt:variant>
      <vt:variant>
        <vt:i4>0</vt:i4>
      </vt:variant>
      <vt:variant>
        <vt:i4>5</vt:i4>
      </vt:variant>
      <vt:variant>
        <vt:lpwstr/>
      </vt:variant>
      <vt:variant>
        <vt:lpwstr>_Toc219447369</vt:lpwstr>
      </vt:variant>
      <vt:variant>
        <vt:i4>1245244</vt:i4>
      </vt:variant>
      <vt:variant>
        <vt:i4>206</vt:i4>
      </vt:variant>
      <vt:variant>
        <vt:i4>0</vt:i4>
      </vt:variant>
      <vt:variant>
        <vt:i4>5</vt:i4>
      </vt:variant>
      <vt:variant>
        <vt:lpwstr/>
      </vt:variant>
      <vt:variant>
        <vt:lpwstr>_Toc219447368</vt:lpwstr>
      </vt:variant>
      <vt:variant>
        <vt:i4>1245244</vt:i4>
      </vt:variant>
      <vt:variant>
        <vt:i4>200</vt:i4>
      </vt:variant>
      <vt:variant>
        <vt:i4>0</vt:i4>
      </vt:variant>
      <vt:variant>
        <vt:i4>5</vt:i4>
      </vt:variant>
      <vt:variant>
        <vt:lpwstr/>
      </vt:variant>
      <vt:variant>
        <vt:lpwstr>_Toc219447367</vt:lpwstr>
      </vt:variant>
      <vt:variant>
        <vt:i4>1245244</vt:i4>
      </vt:variant>
      <vt:variant>
        <vt:i4>194</vt:i4>
      </vt:variant>
      <vt:variant>
        <vt:i4>0</vt:i4>
      </vt:variant>
      <vt:variant>
        <vt:i4>5</vt:i4>
      </vt:variant>
      <vt:variant>
        <vt:lpwstr/>
      </vt:variant>
      <vt:variant>
        <vt:lpwstr>_Toc219447366</vt:lpwstr>
      </vt:variant>
      <vt:variant>
        <vt:i4>1245244</vt:i4>
      </vt:variant>
      <vt:variant>
        <vt:i4>188</vt:i4>
      </vt:variant>
      <vt:variant>
        <vt:i4>0</vt:i4>
      </vt:variant>
      <vt:variant>
        <vt:i4>5</vt:i4>
      </vt:variant>
      <vt:variant>
        <vt:lpwstr/>
      </vt:variant>
      <vt:variant>
        <vt:lpwstr>_Toc219447365</vt:lpwstr>
      </vt:variant>
      <vt:variant>
        <vt:i4>1245244</vt:i4>
      </vt:variant>
      <vt:variant>
        <vt:i4>182</vt:i4>
      </vt:variant>
      <vt:variant>
        <vt:i4>0</vt:i4>
      </vt:variant>
      <vt:variant>
        <vt:i4>5</vt:i4>
      </vt:variant>
      <vt:variant>
        <vt:lpwstr/>
      </vt:variant>
      <vt:variant>
        <vt:lpwstr>_Toc219447364</vt:lpwstr>
      </vt:variant>
      <vt:variant>
        <vt:i4>1245244</vt:i4>
      </vt:variant>
      <vt:variant>
        <vt:i4>176</vt:i4>
      </vt:variant>
      <vt:variant>
        <vt:i4>0</vt:i4>
      </vt:variant>
      <vt:variant>
        <vt:i4>5</vt:i4>
      </vt:variant>
      <vt:variant>
        <vt:lpwstr/>
      </vt:variant>
      <vt:variant>
        <vt:lpwstr>_Toc219447363</vt:lpwstr>
      </vt:variant>
      <vt:variant>
        <vt:i4>1245244</vt:i4>
      </vt:variant>
      <vt:variant>
        <vt:i4>170</vt:i4>
      </vt:variant>
      <vt:variant>
        <vt:i4>0</vt:i4>
      </vt:variant>
      <vt:variant>
        <vt:i4>5</vt:i4>
      </vt:variant>
      <vt:variant>
        <vt:lpwstr/>
      </vt:variant>
      <vt:variant>
        <vt:lpwstr>_Toc219447362</vt:lpwstr>
      </vt:variant>
      <vt:variant>
        <vt:i4>1245244</vt:i4>
      </vt:variant>
      <vt:variant>
        <vt:i4>164</vt:i4>
      </vt:variant>
      <vt:variant>
        <vt:i4>0</vt:i4>
      </vt:variant>
      <vt:variant>
        <vt:i4>5</vt:i4>
      </vt:variant>
      <vt:variant>
        <vt:lpwstr/>
      </vt:variant>
      <vt:variant>
        <vt:lpwstr>_Toc219447361</vt:lpwstr>
      </vt:variant>
      <vt:variant>
        <vt:i4>1245244</vt:i4>
      </vt:variant>
      <vt:variant>
        <vt:i4>158</vt:i4>
      </vt:variant>
      <vt:variant>
        <vt:i4>0</vt:i4>
      </vt:variant>
      <vt:variant>
        <vt:i4>5</vt:i4>
      </vt:variant>
      <vt:variant>
        <vt:lpwstr/>
      </vt:variant>
      <vt:variant>
        <vt:lpwstr>_Toc219447360</vt:lpwstr>
      </vt:variant>
      <vt:variant>
        <vt:i4>1048636</vt:i4>
      </vt:variant>
      <vt:variant>
        <vt:i4>152</vt:i4>
      </vt:variant>
      <vt:variant>
        <vt:i4>0</vt:i4>
      </vt:variant>
      <vt:variant>
        <vt:i4>5</vt:i4>
      </vt:variant>
      <vt:variant>
        <vt:lpwstr/>
      </vt:variant>
      <vt:variant>
        <vt:lpwstr>_Toc219447359</vt:lpwstr>
      </vt:variant>
      <vt:variant>
        <vt:i4>1048636</vt:i4>
      </vt:variant>
      <vt:variant>
        <vt:i4>146</vt:i4>
      </vt:variant>
      <vt:variant>
        <vt:i4>0</vt:i4>
      </vt:variant>
      <vt:variant>
        <vt:i4>5</vt:i4>
      </vt:variant>
      <vt:variant>
        <vt:lpwstr/>
      </vt:variant>
      <vt:variant>
        <vt:lpwstr>_Toc219447358</vt:lpwstr>
      </vt:variant>
      <vt:variant>
        <vt:i4>1048636</vt:i4>
      </vt:variant>
      <vt:variant>
        <vt:i4>140</vt:i4>
      </vt:variant>
      <vt:variant>
        <vt:i4>0</vt:i4>
      </vt:variant>
      <vt:variant>
        <vt:i4>5</vt:i4>
      </vt:variant>
      <vt:variant>
        <vt:lpwstr/>
      </vt:variant>
      <vt:variant>
        <vt:lpwstr>_Toc219447357</vt:lpwstr>
      </vt:variant>
      <vt:variant>
        <vt:i4>1048636</vt:i4>
      </vt:variant>
      <vt:variant>
        <vt:i4>134</vt:i4>
      </vt:variant>
      <vt:variant>
        <vt:i4>0</vt:i4>
      </vt:variant>
      <vt:variant>
        <vt:i4>5</vt:i4>
      </vt:variant>
      <vt:variant>
        <vt:lpwstr/>
      </vt:variant>
      <vt:variant>
        <vt:lpwstr>_Toc219447356</vt:lpwstr>
      </vt:variant>
      <vt:variant>
        <vt:i4>1048636</vt:i4>
      </vt:variant>
      <vt:variant>
        <vt:i4>128</vt:i4>
      </vt:variant>
      <vt:variant>
        <vt:i4>0</vt:i4>
      </vt:variant>
      <vt:variant>
        <vt:i4>5</vt:i4>
      </vt:variant>
      <vt:variant>
        <vt:lpwstr/>
      </vt:variant>
      <vt:variant>
        <vt:lpwstr>_Toc219447355</vt:lpwstr>
      </vt:variant>
      <vt:variant>
        <vt:i4>1048636</vt:i4>
      </vt:variant>
      <vt:variant>
        <vt:i4>122</vt:i4>
      </vt:variant>
      <vt:variant>
        <vt:i4>0</vt:i4>
      </vt:variant>
      <vt:variant>
        <vt:i4>5</vt:i4>
      </vt:variant>
      <vt:variant>
        <vt:lpwstr/>
      </vt:variant>
      <vt:variant>
        <vt:lpwstr>_Toc219447354</vt:lpwstr>
      </vt:variant>
      <vt:variant>
        <vt:i4>1048636</vt:i4>
      </vt:variant>
      <vt:variant>
        <vt:i4>116</vt:i4>
      </vt:variant>
      <vt:variant>
        <vt:i4>0</vt:i4>
      </vt:variant>
      <vt:variant>
        <vt:i4>5</vt:i4>
      </vt:variant>
      <vt:variant>
        <vt:lpwstr/>
      </vt:variant>
      <vt:variant>
        <vt:lpwstr>_Toc219447353</vt:lpwstr>
      </vt:variant>
      <vt:variant>
        <vt:i4>1048636</vt:i4>
      </vt:variant>
      <vt:variant>
        <vt:i4>110</vt:i4>
      </vt:variant>
      <vt:variant>
        <vt:i4>0</vt:i4>
      </vt:variant>
      <vt:variant>
        <vt:i4>5</vt:i4>
      </vt:variant>
      <vt:variant>
        <vt:lpwstr/>
      </vt:variant>
      <vt:variant>
        <vt:lpwstr>_Toc219447352</vt:lpwstr>
      </vt:variant>
      <vt:variant>
        <vt:i4>1048636</vt:i4>
      </vt:variant>
      <vt:variant>
        <vt:i4>104</vt:i4>
      </vt:variant>
      <vt:variant>
        <vt:i4>0</vt:i4>
      </vt:variant>
      <vt:variant>
        <vt:i4>5</vt:i4>
      </vt:variant>
      <vt:variant>
        <vt:lpwstr/>
      </vt:variant>
      <vt:variant>
        <vt:lpwstr>_Toc219447351</vt:lpwstr>
      </vt:variant>
      <vt:variant>
        <vt:i4>1048636</vt:i4>
      </vt:variant>
      <vt:variant>
        <vt:i4>98</vt:i4>
      </vt:variant>
      <vt:variant>
        <vt:i4>0</vt:i4>
      </vt:variant>
      <vt:variant>
        <vt:i4>5</vt:i4>
      </vt:variant>
      <vt:variant>
        <vt:lpwstr/>
      </vt:variant>
      <vt:variant>
        <vt:lpwstr>_Toc219447350</vt:lpwstr>
      </vt:variant>
      <vt:variant>
        <vt:i4>1114172</vt:i4>
      </vt:variant>
      <vt:variant>
        <vt:i4>92</vt:i4>
      </vt:variant>
      <vt:variant>
        <vt:i4>0</vt:i4>
      </vt:variant>
      <vt:variant>
        <vt:i4>5</vt:i4>
      </vt:variant>
      <vt:variant>
        <vt:lpwstr/>
      </vt:variant>
      <vt:variant>
        <vt:lpwstr>_Toc219447349</vt:lpwstr>
      </vt:variant>
      <vt:variant>
        <vt:i4>1114172</vt:i4>
      </vt:variant>
      <vt:variant>
        <vt:i4>86</vt:i4>
      </vt:variant>
      <vt:variant>
        <vt:i4>0</vt:i4>
      </vt:variant>
      <vt:variant>
        <vt:i4>5</vt:i4>
      </vt:variant>
      <vt:variant>
        <vt:lpwstr/>
      </vt:variant>
      <vt:variant>
        <vt:lpwstr>_Toc219447348</vt:lpwstr>
      </vt:variant>
      <vt:variant>
        <vt:i4>1114172</vt:i4>
      </vt:variant>
      <vt:variant>
        <vt:i4>80</vt:i4>
      </vt:variant>
      <vt:variant>
        <vt:i4>0</vt:i4>
      </vt:variant>
      <vt:variant>
        <vt:i4>5</vt:i4>
      </vt:variant>
      <vt:variant>
        <vt:lpwstr/>
      </vt:variant>
      <vt:variant>
        <vt:lpwstr>_Toc219447347</vt:lpwstr>
      </vt:variant>
      <vt:variant>
        <vt:i4>1114172</vt:i4>
      </vt:variant>
      <vt:variant>
        <vt:i4>74</vt:i4>
      </vt:variant>
      <vt:variant>
        <vt:i4>0</vt:i4>
      </vt:variant>
      <vt:variant>
        <vt:i4>5</vt:i4>
      </vt:variant>
      <vt:variant>
        <vt:lpwstr/>
      </vt:variant>
      <vt:variant>
        <vt:lpwstr>_Toc219447346</vt:lpwstr>
      </vt:variant>
      <vt:variant>
        <vt:i4>1114172</vt:i4>
      </vt:variant>
      <vt:variant>
        <vt:i4>68</vt:i4>
      </vt:variant>
      <vt:variant>
        <vt:i4>0</vt:i4>
      </vt:variant>
      <vt:variant>
        <vt:i4>5</vt:i4>
      </vt:variant>
      <vt:variant>
        <vt:lpwstr/>
      </vt:variant>
      <vt:variant>
        <vt:lpwstr>_Toc219447345</vt:lpwstr>
      </vt:variant>
      <vt:variant>
        <vt:i4>1114172</vt:i4>
      </vt:variant>
      <vt:variant>
        <vt:i4>62</vt:i4>
      </vt:variant>
      <vt:variant>
        <vt:i4>0</vt:i4>
      </vt:variant>
      <vt:variant>
        <vt:i4>5</vt:i4>
      </vt:variant>
      <vt:variant>
        <vt:lpwstr/>
      </vt:variant>
      <vt:variant>
        <vt:lpwstr>_Toc219447344</vt:lpwstr>
      </vt:variant>
      <vt:variant>
        <vt:i4>1114172</vt:i4>
      </vt:variant>
      <vt:variant>
        <vt:i4>56</vt:i4>
      </vt:variant>
      <vt:variant>
        <vt:i4>0</vt:i4>
      </vt:variant>
      <vt:variant>
        <vt:i4>5</vt:i4>
      </vt:variant>
      <vt:variant>
        <vt:lpwstr/>
      </vt:variant>
      <vt:variant>
        <vt:lpwstr>_Toc219447343</vt:lpwstr>
      </vt:variant>
      <vt:variant>
        <vt:i4>1114172</vt:i4>
      </vt:variant>
      <vt:variant>
        <vt:i4>50</vt:i4>
      </vt:variant>
      <vt:variant>
        <vt:i4>0</vt:i4>
      </vt:variant>
      <vt:variant>
        <vt:i4>5</vt:i4>
      </vt:variant>
      <vt:variant>
        <vt:lpwstr/>
      </vt:variant>
      <vt:variant>
        <vt:lpwstr>_Toc219447342</vt:lpwstr>
      </vt:variant>
      <vt:variant>
        <vt:i4>1114172</vt:i4>
      </vt:variant>
      <vt:variant>
        <vt:i4>44</vt:i4>
      </vt:variant>
      <vt:variant>
        <vt:i4>0</vt:i4>
      </vt:variant>
      <vt:variant>
        <vt:i4>5</vt:i4>
      </vt:variant>
      <vt:variant>
        <vt:lpwstr/>
      </vt:variant>
      <vt:variant>
        <vt:lpwstr>_Toc219447341</vt:lpwstr>
      </vt:variant>
      <vt:variant>
        <vt:i4>1114172</vt:i4>
      </vt:variant>
      <vt:variant>
        <vt:i4>38</vt:i4>
      </vt:variant>
      <vt:variant>
        <vt:i4>0</vt:i4>
      </vt:variant>
      <vt:variant>
        <vt:i4>5</vt:i4>
      </vt:variant>
      <vt:variant>
        <vt:lpwstr/>
      </vt:variant>
      <vt:variant>
        <vt:lpwstr>_Toc219447340</vt:lpwstr>
      </vt:variant>
      <vt:variant>
        <vt:i4>1441852</vt:i4>
      </vt:variant>
      <vt:variant>
        <vt:i4>32</vt:i4>
      </vt:variant>
      <vt:variant>
        <vt:i4>0</vt:i4>
      </vt:variant>
      <vt:variant>
        <vt:i4>5</vt:i4>
      </vt:variant>
      <vt:variant>
        <vt:lpwstr/>
      </vt:variant>
      <vt:variant>
        <vt:lpwstr>_Toc219447339</vt:lpwstr>
      </vt:variant>
      <vt:variant>
        <vt:i4>1441852</vt:i4>
      </vt:variant>
      <vt:variant>
        <vt:i4>26</vt:i4>
      </vt:variant>
      <vt:variant>
        <vt:i4>0</vt:i4>
      </vt:variant>
      <vt:variant>
        <vt:i4>5</vt:i4>
      </vt:variant>
      <vt:variant>
        <vt:lpwstr/>
      </vt:variant>
      <vt:variant>
        <vt:lpwstr>_Toc219447338</vt:lpwstr>
      </vt:variant>
      <vt:variant>
        <vt:i4>1441852</vt:i4>
      </vt:variant>
      <vt:variant>
        <vt:i4>20</vt:i4>
      </vt:variant>
      <vt:variant>
        <vt:i4>0</vt:i4>
      </vt:variant>
      <vt:variant>
        <vt:i4>5</vt:i4>
      </vt:variant>
      <vt:variant>
        <vt:lpwstr/>
      </vt:variant>
      <vt:variant>
        <vt:lpwstr>_Toc219447337</vt:lpwstr>
      </vt:variant>
      <vt:variant>
        <vt:i4>1441852</vt:i4>
      </vt:variant>
      <vt:variant>
        <vt:i4>14</vt:i4>
      </vt:variant>
      <vt:variant>
        <vt:i4>0</vt:i4>
      </vt:variant>
      <vt:variant>
        <vt:i4>5</vt:i4>
      </vt:variant>
      <vt:variant>
        <vt:lpwstr/>
      </vt:variant>
      <vt:variant>
        <vt:lpwstr>_Toc219447336</vt:lpwstr>
      </vt:variant>
      <vt:variant>
        <vt:i4>1441852</vt:i4>
      </vt:variant>
      <vt:variant>
        <vt:i4>8</vt:i4>
      </vt:variant>
      <vt:variant>
        <vt:i4>0</vt:i4>
      </vt:variant>
      <vt:variant>
        <vt:i4>5</vt:i4>
      </vt:variant>
      <vt:variant>
        <vt:lpwstr/>
      </vt:variant>
      <vt:variant>
        <vt:lpwstr>_Toc219447335</vt:lpwstr>
      </vt:variant>
      <vt:variant>
        <vt:i4>1441852</vt:i4>
      </vt:variant>
      <vt:variant>
        <vt:i4>2</vt:i4>
      </vt:variant>
      <vt:variant>
        <vt:i4>0</vt:i4>
      </vt:variant>
      <vt:variant>
        <vt:i4>5</vt:i4>
      </vt:variant>
      <vt:variant>
        <vt:lpwstr/>
      </vt:variant>
      <vt:variant>
        <vt:lpwstr>_Toc219447334</vt:lpwstr>
      </vt:variant>
      <vt:variant>
        <vt:i4>4194333</vt:i4>
      </vt:variant>
      <vt:variant>
        <vt:i4>630</vt:i4>
      </vt:variant>
      <vt:variant>
        <vt:i4>0</vt:i4>
      </vt:variant>
      <vt:variant>
        <vt:i4>5</vt:i4>
      </vt:variant>
      <vt:variant>
        <vt:lpwstr>https://www.nisc.go.jp/pdf/press/G7_Statement_on_IoT_Security.pdf</vt:lpwstr>
      </vt:variant>
      <vt:variant>
        <vt:lpwstr/>
      </vt:variant>
      <vt:variant>
        <vt:i4>2424955</vt:i4>
      </vt:variant>
      <vt:variant>
        <vt:i4>627</vt:i4>
      </vt:variant>
      <vt:variant>
        <vt:i4>0</vt:i4>
      </vt:variant>
      <vt:variant>
        <vt:i4>5</vt:i4>
      </vt:variant>
      <vt:variant>
        <vt:lpwstr>https://www.homeaffairs.gov.au/cyber-security-subsite/files/factsheet-ransomware-payment-reporting.pdf</vt:lpwstr>
      </vt:variant>
      <vt:variant>
        <vt:lpwstr/>
      </vt:variant>
      <vt:variant>
        <vt:i4>6357119</vt:i4>
      </vt:variant>
      <vt:variant>
        <vt:i4>624</vt:i4>
      </vt:variant>
      <vt:variant>
        <vt:i4>0</vt:i4>
      </vt:variant>
      <vt:variant>
        <vt:i4>5</vt:i4>
      </vt:variant>
      <vt:variant>
        <vt:lpwstr>https://www.gov.uk/government/consultations/ransomware-proposals-to-increase-incident-reporting-and-reduce-payments-to-criminals/ransomware-legislative-proposals-reducing-payments-to-cyber-criminals-and-increasing-incident-reporting-accessible</vt:lpwstr>
      </vt:variant>
      <vt:variant>
        <vt:lpwstr>proposal-3-a-ransomware-incident-reporting-regime</vt:lpwstr>
      </vt:variant>
      <vt:variant>
        <vt:i4>2228279</vt:i4>
      </vt:variant>
      <vt:variant>
        <vt:i4>621</vt:i4>
      </vt:variant>
      <vt:variant>
        <vt:i4>0</vt:i4>
      </vt:variant>
      <vt:variant>
        <vt:i4>5</vt:i4>
      </vt:variant>
      <vt:variant>
        <vt:lpwstr>https://counter-ransomware.org/aboutus</vt:lpwstr>
      </vt:variant>
      <vt:variant>
        <vt:lpwstr/>
      </vt:variant>
      <vt:variant>
        <vt:i4>4718599</vt:i4>
      </vt:variant>
      <vt:variant>
        <vt:i4>618</vt:i4>
      </vt:variant>
      <vt:variant>
        <vt:i4>0</vt:i4>
      </vt:variant>
      <vt:variant>
        <vt:i4>5</vt:i4>
      </vt:variant>
      <vt:variant>
        <vt:lpwstr>https://www.gov.uk/government/publications/the-uk-product-security-and-telecommunications-infrastructure-product-security-regime</vt:lpwstr>
      </vt:variant>
      <vt:variant>
        <vt:lpwstr/>
      </vt:variant>
      <vt:variant>
        <vt:i4>7798903</vt:i4>
      </vt:variant>
      <vt:variant>
        <vt:i4>615</vt:i4>
      </vt:variant>
      <vt:variant>
        <vt:i4>0</vt:i4>
      </vt:variant>
      <vt:variant>
        <vt:i4>5</vt:i4>
      </vt:variant>
      <vt:variant>
        <vt:lpwstr>https://www.csa.gov.sg/our-programmes/certification-and-labelling-schemes/cybersecurity-labelling-scheme/about</vt:lpwstr>
      </vt:variant>
      <vt:variant>
        <vt:lpwstr/>
      </vt:variant>
      <vt:variant>
        <vt:i4>7798888</vt:i4>
      </vt:variant>
      <vt:variant>
        <vt:i4>612</vt:i4>
      </vt:variant>
      <vt:variant>
        <vt:i4>0</vt:i4>
      </vt:variant>
      <vt:variant>
        <vt:i4>5</vt:i4>
      </vt:variant>
      <vt:variant>
        <vt:lpwstr>https://marketplace.fedramp.gov/products?status=authorized</vt:lpwstr>
      </vt:variant>
      <vt:variant>
        <vt:lpwstr/>
      </vt:variant>
      <vt:variant>
        <vt:i4>852056</vt:i4>
      </vt:variant>
      <vt:variant>
        <vt:i4>609</vt:i4>
      </vt:variant>
      <vt:variant>
        <vt:i4>0</vt:i4>
      </vt:variant>
      <vt:variant>
        <vt:i4>5</vt:i4>
      </vt:variant>
      <vt:variant>
        <vt:lpwstr>https://www.cisa.gov/resources-tools/resources/2025-minimum-elements-software-bill-materials-sbom</vt:lpwstr>
      </vt:variant>
      <vt:variant>
        <vt:lpwstr/>
      </vt:variant>
      <vt:variant>
        <vt:i4>2162750</vt:i4>
      </vt:variant>
      <vt:variant>
        <vt:i4>606</vt:i4>
      </vt:variant>
      <vt:variant>
        <vt:i4>0</vt:i4>
      </vt:variant>
      <vt:variant>
        <vt:i4>5</vt:i4>
      </vt:variant>
      <vt:variant>
        <vt:lpwstr>https://www.cisa.gov/securebydesign</vt:lpwstr>
      </vt:variant>
      <vt:variant>
        <vt:lpwstr/>
      </vt:variant>
      <vt:variant>
        <vt:i4>5046290</vt:i4>
      </vt:variant>
      <vt:variant>
        <vt:i4>603</vt:i4>
      </vt:variant>
      <vt:variant>
        <vt:i4>0</vt:i4>
      </vt:variant>
      <vt:variant>
        <vt:i4>5</vt:i4>
      </vt:variant>
      <vt:variant>
        <vt:lpwstr>https://www.nist.gov/itl/applied-cybersecurity/nist-cybersecurity-iot-program/consumer-iot-cybersecurity</vt:lpwstr>
      </vt:variant>
      <vt:variant>
        <vt:lpwstr/>
      </vt:variant>
      <vt:variant>
        <vt:i4>5177392</vt:i4>
      </vt:variant>
      <vt:variant>
        <vt:i4>600</vt:i4>
      </vt:variant>
      <vt:variant>
        <vt:i4>0</vt:i4>
      </vt:variant>
      <vt:variant>
        <vt:i4>5</vt:i4>
      </vt:variant>
      <vt:variant>
        <vt:lpwstr>https://enisa.europa.eu/sites/default/files/2025-02/17_02_2025_ENISA Single Programming Document 2025-2027.pdf</vt:lpwstr>
      </vt:variant>
      <vt:variant>
        <vt:lpwstr/>
      </vt:variant>
      <vt:variant>
        <vt:i4>5177392</vt:i4>
      </vt:variant>
      <vt:variant>
        <vt:i4>597</vt:i4>
      </vt:variant>
      <vt:variant>
        <vt:i4>0</vt:i4>
      </vt:variant>
      <vt:variant>
        <vt:i4>5</vt:i4>
      </vt:variant>
      <vt:variant>
        <vt:lpwstr>https://enisa.europa.eu/sites/default/files/2025-02/17_02_2025_ENISA Single Programming Document 2025-2027.pdf</vt:lpwstr>
      </vt:variant>
      <vt:variant>
        <vt:lpwstr/>
      </vt:variant>
      <vt:variant>
        <vt:i4>8192111</vt:i4>
      </vt:variant>
      <vt:variant>
        <vt:i4>594</vt:i4>
      </vt:variant>
      <vt:variant>
        <vt:i4>0</vt:i4>
      </vt:variant>
      <vt:variant>
        <vt:i4>5</vt:i4>
      </vt:variant>
      <vt:variant>
        <vt:lpwstr>https://www.enisa.europa.eu/tools/cyberhead-cybersecurity-higher-education-database</vt:lpwstr>
      </vt:variant>
      <vt:variant>
        <vt:lpwstr/>
      </vt:variant>
      <vt:variant>
        <vt:i4>6029406</vt:i4>
      </vt:variant>
      <vt:variant>
        <vt:i4>591</vt:i4>
      </vt:variant>
      <vt:variant>
        <vt:i4>0</vt:i4>
      </vt:variant>
      <vt:variant>
        <vt:i4>5</vt:i4>
      </vt:variant>
      <vt:variant>
        <vt:lpwstr>https://enisa.europa.eu/sites/default/files/2025-07/Consolidated Annual Activity Report 2024.pdf</vt:lpwstr>
      </vt:variant>
      <vt:variant>
        <vt:lpwstr/>
      </vt:variant>
      <vt:variant>
        <vt:i4>1572926</vt:i4>
      </vt:variant>
      <vt:variant>
        <vt:i4>588</vt:i4>
      </vt:variant>
      <vt:variant>
        <vt:i4>0</vt:i4>
      </vt:variant>
      <vt:variant>
        <vt:i4>5</vt:i4>
      </vt:variant>
      <vt:variant>
        <vt:lpwstr>https://www.eca.europa.eu/en/publications/SR22_05</vt:lpwstr>
      </vt:variant>
      <vt:variant>
        <vt:lpwstr/>
      </vt:variant>
      <vt:variant>
        <vt:i4>6029406</vt:i4>
      </vt:variant>
      <vt:variant>
        <vt:i4>585</vt:i4>
      </vt:variant>
      <vt:variant>
        <vt:i4>0</vt:i4>
      </vt:variant>
      <vt:variant>
        <vt:i4>5</vt:i4>
      </vt:variant>
      <vt:variant>
        <vt:lpwstr>https://enisa.europa.eu/sites/default/files/2025-07/Consolidated Annual Activity Report 2024.pdf</vt:lpwstr>
      </vt:variant>
      <vt:variant>
        <vt:lpwstr/>
      </vt:variant>
      <vt:variant>
        <vt:i4>6029406</vt:i4>
      </vt:variant>
      <vt:variant>
        <vt:i4>582</vt:i4>
      </vt:variant>
      <vt:variant>
        <vt:i4>0</vt:i4>
      </vt:variant>
      <vt:variant>
        <vt:i4>5</vt:i4>
      </vt:variant>
      <vt:variant>
        <vt:lpwstr>https://enisa.europa.eu/sites/default/files/2025-07/Consolidated Annual Activity Report 2024.pdf</vt:lpwstr>
      </vt:variant>
      <vt:variant>
        <vt:lpwstr/>
      </vt:variant>
      <vt:variant>
        <vt:i4>6029406</vt:i4>
      </vt:variant>
      <vt:variant>
        <vt:i4>579</vt:i4>
      </vt:variant>
      <vt:variant>
        <vt:i4>0</vt:i4>
      </vt:variant>
      <vt:variant>
        <vt:i4>5</vt:i4>
      </vt:variant>
      <vt:variant>
        <vt:lpwstr>https://enisa.europa.eu/sites/default/files/2025-07/Consolidated Annual Activity Report 2024.pdf</vt:lpwstr>
      </vt:variant>
      <vt:variant>
        <vt:lpwstr/>
      </vt:variant>
      <vt:variant>
        <vt:i4>5177392</vt:i4>
      </vt:variant>
      <vt:variant>
        <vt:i4>576</vt:i4>
      </vt:variant>
      <vt:variant>
        <vt:i4>0</vt:i4>
      </vt:variant>
      <vt:variant>
        <vt:i4>5</vt:i4>
      </vt:variant>
      <vt:variant>
        <vt:lpwstr>https://enisa.europa.eu/sites/default/files/2025-02/17_02_2025_ENISA Single Programming Document 2025-2027.pdf</vt:lpwstr>
      </vt:variant>
      <vt:variant>
        <vt:lpwstr/>
      </vt:variant>
      <vt:variant>
        <vt:i4>7143540</vt:i4>
      </vt:variant>
      <vt:variant>
        <vt:i4>573</vt:i4>
      </vt:variant>
      <vt:variant>
        <vt:i4>0</vt:i4>
      </vt:variant>
      <vt:variant>
        <vt:i4>5</vt:i4>
      </vt:variant>
      <vt:variant>
        <vt:lpwstr>https://digital-strategy.ec.europa.eu/en/policies/nis-cooperation-group</vt:lpwstr>
      </vt:variant>
      <vt:variant>
        <vt:lpwstr/>
      </vt:variant>
      <vt:variant>
        <vt:i4>1310794</vt:i4>
      </vt:variant>
      <vt:variant>
        <vt:i4>570</vt:i4>
      </vt:variant>
      <vt:variant>
        <vt:i4>0</vt:i4>
      </vt:variant>
      <vt:variant>
        <vt:i4>5</vt:i4>
      </vt:variant>
      <vt:variant>
        <vt:lpwstr>https://www.enisa.europa.eu/topics/national-cyber-security-strategies/ncss-map/national-cyber-security-strategies-interactive-map</vt:lpwstr>
      </vt:variant>
      <vt:variant>
        <vt:lpwstr/>
      </vt:variant>
      <vt:variant>
        <vt:i4>2687027</vt:i4>
      </vt:variant>
      <vt:variant>
        <vt:i4>567</vt:i4>
      </vt:variant>
      <vt:variant>
        <vt:i4>0</vt:i4>
      </vt:variant>
      <vt:variant>
        <vt:i4>5</vt:i4>
      </vt:variant>
      <vt:variant>
        <vt:lpwstr>https://www.enisa.europa.eu/publications/corporate-documents/enisa-consolidated-annual-activity-report-2023</vt:lpwstr>
      </vt:variant>
      <vt:variant>
        <vt:lpwstr/>
      </vt:variant>
      <vt:variant>
        <vt:i4>6029406</vt:i4>
      </vt:variant>
      <vt:variant>
        <vt:i4>564</vt:i4>
      </vt:variant>
      <vt:variant>
        <vt:i4>0</vt:i4>
      </vt:variant>
      <vt:variant>
        <vt:i4>5</vt:i4>
      </vt:variant>
      <vt:variant>
        <vt:lpwstr>https://enisa.europa.eu/sites/default/files/2025-07/Consolidated Annual Activity Report 2024.pdf</vt:lpwstr>
      </vt:variant>
      <vt:variant>
        <vt:lpwstr/>
      </vt:variant>
      <vt:variant>
        <vt:i4>5177392</vt:i4>
      </vt:variant>
      <vt:variant>
        <vt:i4>561</vt:i4>
      </vt:variant>
      <vt:variant>
        <vt:i4>0</vt:i4>
      </vt:variant>
      <vt:variant>
        <vt:i4>5</vt:i4>
      </vt:variant>
      <vt:variant>
        <vt:lpwstr>https://enisa.europa.eu/sites/default/files/2025-02/17_02_2025_ENISA Single Programming Document 2025-2027.pdf</vt:lpwstr>
      </vt:variant>
      <vt:variant>
        <vt:lpwstr/>
      </vt:variant>
      <vt:variant>
        <vt:i4>6422627</vt:i4>
      </vt:variant>
      <vt:variant>
        <vt:i4>558</vt:i4>
      </vt:variant>
      <vt:variant>
        <vt:i4>0</vt:i4>
      </vt:variant>
      <vt:variant>
        <vt:i4>5</vt:i4>
      </vt:variant>
      <vt:variant>
        <vt:lpwstr>https://digital-strategy.ec.europa.eu/en/library/second-report-member-states-progress-implementing-eu-toolbox-5g-cybersecurity</vt:lpwstr>
      </vt:variant>
      <vt:variant>
        <vt:lpwstr/>
      </vt:variant>
      <vt:variant>
        <vt:i4>5898294</vt:i4>
      </vt:variant>
      <vt:variant>
        <vt:i4>555</vt:i4>
      </vt:variant>
      <vt:variant>
        <vt:i4>0</vt:i4>
      </vt:variant>
      <vt:variant>
        <vt:i4>5</vt:i4>
      </vt:variant>
      <vt:variant>
        <vt:lpwstr>https://certification.enisa.europa.eu/certification-library/eucc-certification-scheme_en</vt:lpwstr>
      </vt:variant>
      <vt:variant>
        <vt:lpwstr>state-of-the-art-documents-for-eucc</vt:lpwstr>
      </vt:variant>
      <vt:variant>
        <vt:i4>2228320</vt:i4>
      </vt:variant>
      <vt:variant>
        <vt:i4>552</vt:i4>
      </vt:variant>
      <vt:variant>
        <vt:i4>0</vt:i4>
      </vt:variant>
      <vt:variant>
        <vt:i4>5</vt:i4>
      </vt:variant>
      <vt:variant>
        <vt:lpwstr>https://europa.eu/eurobarometer/surveys/detail/3176</vt:lpwstr>
      </vt:variant>
      <vt:variant>
        <vt:lpwstr/>
      </vt:variant>
      <vt:variant>
        <vt:i4>5505085</vt:i4>
      </vt:variant>
      <vt:variant>
        <vt:i4>549</vt:i4>
      </vt:variant>
      <vt:variant>
        <vt:i4>0</vt:i4>
      </vt:variant>
      <vt:variant>
        <vt:i4>5</vt:i4>
      </vt:variant>
      <vt:variant>
        <vt:lpwstr>https://digital-skills-jobs.europa.eu/system/files/2024-12/ISC2_Workfoce-Study-Findings-EU.pdf</vt:lpwstr>
      </vt:variant>
      <vt:variant>
        <vt:lpwstr/>
      </vt:variant>
      <vt:variant>
        <vt:i4>1638471</vt:i4>
      </vt:variant>
      <vt:variant>
        <vt:i4>546</vt:i4>
      </vt:variant>
      <vt:variant>
        <vt:i4>0</vt:i4>
      </vt:variant>
      <vt:variant>
        <vt:i4>5</vt:i4>
      </vt:variant>
      <vt:variant>
        <vt:lpwstr>https://www.checkpoint.com/cyber-hub/threat-prevention/what-is-a-supply-chain-attack/</vt:lpwstr>
      </vt:variant>
      <vt:variant>
        <vt:lpwstr>:~:text=Supply%20Chain%20Attacks%20Are%20Surging,semiconductor%20companies%20increased%20by%20179%25</vt:lpwstr>
      </vt:variant>
      <vt:variant>
        <vt:i4>1310742</vt:i4>
      </vt:variant>
      <vt:variant>
        <vt:i4>543</vt:i4>
      </vt:variant>
      <vt:variant>
        <vt:i4>0</vt:i4>
      </vt:variant>
      <vt:variant>
        <vt:i4>5</vt:i4>
      </vt:variant>
      <vt:variant>
        <vt:lpwstr>https://eur-lex.europa.eu/legal-content/EN/TXT/?uri=celex:52017SC0500</vt:lpwstr>
      </vt:variant>
      <vt:variant>
        <vt:lpwstr/>
      </vt:variant>
      <vt:variant>
        <vt:i4>6357103</vt:i4>
      </vt:variant>
      <vt:variant>
        <vt:i4>540</vt:i4>
      </vt:variant>
      <vt:variant>
        <vt:i4>0</vt:i4>
      </vt:variant>
      <vt:variant>
        <vt:i4>5</vt:i4>
      </vt:variant>
      <vt:variant>
        <vt:lpwstr>http://data.europa.eu/eli/dir/2022/2555/oj</vt:lpwstr>
      </vt:variant>
      <vt:variant>
        <vt:lpwstr/>
      </vt:variant>
      <vt:variant>
        <vt:i4>4325405</vt:i4>
      </vt:variant>
      <vt:variant>
        <vt:i4>537</vt:i4>
      </vt:variant>
      <vt:variant>
        <vt:i4>0</vt:i4>
      </vt:variant>
      <vt:variant>
        <vt:i4>5</vt:i4>
      </vt:variant>
      <vt:variant>
        <vt:lpwstr>http://data.europa.eu/eli/reg/2013/526/oj</vt:lpwstr>
      </vt:variant>
      <vt:variant>
        <vt:lpwstr/>
      </vt:variant>
      <vt:variant>
        <vt:i4>4522059</vt:i4>
      </vt:variant>
      <vt:variant>
        <vt:i4>534</vt:i4>
      </vt:variant>
      <vt:variant>
        <vt:i4>0</vt:i4>
      </vt:variant>
      <vt:variant>
        <vt:i4>5</vt:i4>
      </vt:variant>
      <vt:variant>
        <vt:lpwstr>https://www.cert.ssi.gouv.fr/uploads/CERTFR-2024-CTI-001.pdf</vt:lpwstr>
      </vt:variant>
      <vt:variant>
        <vt:lpwstr/>
      </vt:variant>
      <vt:variant>
        <vt:i4>6881389</vt:i4>
      </vt:variant>
      <vt:variant>
        <vt:i4>531</vt:i4>
      </vt:variant>
      <vt:variant>
        <vt:i4>0</vt:i4>
      </vt:variant>
      <vt:variant>
        <vt:i4>5</vt:i4>
      </vt:variant>
      <vt:variant>
        <vt:lpwstr>https://cyberconflicts.cyberpeaceinstitute.org/law-and-policy/cases/viasat</vt:lpwstr>
      </vt:variant>
      <vt:variant>
        <vt:lpwstr/>
      </vt:variant>
      <vt:variant>
        <vt:i4>1507414</vt:i4>
      </vt:variant>
      <vt:variant>
        <vt:i4>528</vt:i4>
      </vt:variant>
      <vt:variant>
        <vt:i4>0</vt:i4>
      </vt:variant>
      <vt:variant>
        <vt:i4>5</vt:i4>
      </vt:variant>
      <vt:variant>
        <vt:lpwstr>https://www.enisa.europa.eu/sites/default/files/publications/ENISA Threat Landscape 2022.pdf</vt:lpwstr>
      </vt:variant>
      <vt:variant>
        <vt:lpwstr/>
      </vt:variant>
      <vt:variant>
        <vt:i4>2949242</vt:i4>
      </vt:variant>
      <vt:variant>
        <vt:i4>525</vt:i4>
      </vt:variant>
      <vt:variant>
        <vt:i4>0</vt:i4>
      </vt:variant>
      <vt:variant>
        <vt:i4>5</vt:i4>
      </vt:variant>
      <vt:variant>
        <vt:lpwstr>https://www.consilium.europa.eu/en/press/press-releases/2022/05/10/russian-cyber-operations-against-ukraine-declaration-by-the-high-representative-on-behalf-of-the-european-union/</vt:lpwstr>
      </vt:variant>
      <vt:variant>
        <vt:lpwstr/>
      </vt:variant>
      <vt:variant>
        <vt:i4>851969</vt:i4>
      </vt:variant>
      <vt:variant>
        <vt:i4>522</vt:i4>
      </vt:variant>
      <vt:variant>
        <vt:i4>0</vt:i4>
      </vt:variant>
      <vt:variant>
        <vt:i4>5</vt:i4>
      </vt:variant>
      <vt:variant>
        <vt:lpwstr>https://drata.com/blog/introducing-2023-compliance-trends-report</vt:lpwstr>
      </vt:variant>
      <vt:variant>
        <vt:lpwstr/>
      </vt:variant>
      <vt:variant>
        <vt:i4>3670066</vt:i4>
      </vt:variant>
      <vt:variant>
        <vt:i4>519</vt:i4>
      </vt:variant>
      <vt:variant>
        <vt:i4>0</vt:i4>
      </vt:variant>
      <vt:variant>
        <vt:i4>5</vt:i4>
      </vt:variant>
      <vt:variant>
        <vt:lpwstr>https://atlantsecurity.com/blog/cost-of-cybersecurity-due-diligence/</vt:lpwstr>
      </vt:variant>
      <vt:variant>
        <vt:lpwstr>elementor-toc__heading-anchor-21</vt:lpwstr>
      </vt:variant>
      <vt:variant>
        <vt:i4>1835079</vt:i4>
      </vt:variant>
      <vt:variant>
        <vt:i4>516</vt:i4>
      </vt:variant>
      <vt:variant>
        <vt:i4>0</vt:i4>
      </vt:variant>
      <vt:variant>
        <vt:i4>5</vt:i4>
      </vt:variant>
      <vt:variant>
        <vt:lpwstr>https://qualysec.com/it-security-audit-cost/</vt:lpwstr>
      </vt:variant>
      <vt:variant>
        <vt:lpwstr/>
      </vt:variant>
      <vt:variant>
        <vt:i4>4325401</vt:i4>
      </vt:variant>
      <vt:variant>
        <vt:i4>513</vt:i4>
      </vt:variant>
      <vt:variant>
        <vt:i4>0</vt:i4>
      </vt:variant>
      <vt:variant>
        <vt:i4>5</vt:i4>
      </vt:variant>
      <vt:variant>
        <vt:lpwstr>https://commission.europa.eu/document/download/5bb2881f-9e29-42f2-8b77-8739b19d047c_en?filename=2024_Niinisto-report_Book_VF.pdf</vt:lpwstr>
      </vt:variant>
      <vt:variant>
        <vt:lpwstr/>
      </vt:variant>
      <vt:variant>
        <vt:i4>2424849</vt:i4>
      </vt:variant>
      <vt:variant>
        <vt:i4>510</vt:i4>
      </vt:variant>
      <vt:variant>
        <vt:i4>0</vt:i4>
      </vt:variant>
      <vt:variant>
        <vt:i4>5</vt:i4>
      </vt:variant>
      <vt:variant>
        <vt:lpwstr>https://commission.europa.eu/topics/eu-competitiveness/draghi-report_en</vt:lpwstr>
      </vt:variant>
      <vt:variant>
        <vt:lpwstr/>
      </vt:variant>
      <vt:variant>
        <vt:i4>4915283</vt:i4>
      </vt:variant>
      <vt:variant>
        <vt:i4>507</vt:i4>
      </vt:variant>
      <vt:variant>
        <vt:i4>0</vt:i4>
      </vt:variant>
      <vt:variant>
        <vt:i4>5</vt:i4>
      </vt:variant>
      <vt:variant>
        <vt:lpwstr>https://www.g7germany.de/resource/blob/974430/2062292/fbdb2c7e996205aee402386aae057c5e/2022-07-14-leaders-communique-data.pdf?download=1</vt:lpwstr>
      </vt:variant>
      <vt:variant>
        <vt:lpwstr/>
      </vt:variant>
      <vt:variant>
        <vt:i4>4718643</vt:i4>
      </vt:variant>
      <vt:variant>
        <vt:i4>504</vt:i4>
      </vt:variant>
      <vt:variant>
        <vt:i4>0</vt:i4>
      </vt:variant>
      <vt:variant>
        <vt:i4>5</vt:i4>
      </vt:variant>
      <vt:variant>
        <vt:lpwstr>https://www.euronews.com/next/2025/06/12/survey-most-europeans-are-worried-about-their-digital-privacy-and-its-impacting-how-they-u?utm_source=chatgpt.com</vt:lpwstr>
      </vt:variant>
      <vt:variant>
        <vt:lpwstr/>
      </vt:variant>
      <vt:variant>
        <vt:i4>7340134</vt:i4>
      </vt:variant>
      <vt:variant>
        <vt:i4>501</vt:i4>
      </vt:variant>
      <vt:variant>
        <vt:i4>0</vt:i4>
      </vt:variant>
      <vt:variant>
        <vt:i4>5</vt:i4>
      </vt:variant>
      <vt:variant>
        <vt:lpwstr>https://cpl.thalesgroup.com/about-us/newsroom/digital-trust-index-2025</vt:lpwstr>
      </vt:variant>
      <vt:variant>
        <vt:lpwstr/>
      </vt:variant>
      <vt:variant>
        <vt:i4>6553724</vt:i4>
      </vt:variant>
      <vt:variant>
        <vt:i4>498</vt:i4>
      </vt:variant>
      <vt:variant>
        <vt:i4>0</vt:i4>
      </vt:variant>
      <vt:variant>
        <vt:i4>5</vt:i4>
      </vt:variant>
      <vt:variant>
        <vt:lpwstr>https://www.enisa.europa.eu/sites/default/files/2024-11/2024 Report on the State of Cybersecurity in the Union - Condensed version.pdf</vt:lpwstr>
      </vt:variant>
      <vt:variant>
        <vt:lpwstr/>
      </vt:variant>
      <vt:variant>
        <vt:i4>4128891</vt:i4>
      </vt:variant>
      <vt:variant>
        <vt:i4>495</vt:i4>
      </vt:variant>
      <vt:variant>
        <vt:i4>0</vt:i4>
      </vt:variant>
      <vt:variant>
        <vt:i4>5</vt:i4>
      </vt:variant>
      <vt:variant>
        <vt:lpwstr>https://www.enisa.europa.eu/sites/default/files/publications/Cybersecurity Certification Statistics Report.pdf</vt:lpwstr>
      </vt:variant>
      <vt:variant>
        <vt:lpwstr/>
      </vt:variant>
      <vt:variant>
        <vt:i4>2424849</vt:i4>
      </vt:variant>
      <vt:variant>
        <vt:i4>492</vt:i4>
      </vt:variant>
      <vt:variant>
        <vt:i4>0</vt:i4>
      </vt:variant>
      <vt:variant>
        <vt:i4>5</vt:i4>
      </vt:variant>
      <vt:variant>
        <vt:lpwstr>https://commission.europa.eu/topics/eu-competitiveness/draghi-report_en</vt:lpwstr>
      </vt:variant>
      <vt:variant>
        <vt:lpwstr/>
      </vt:variant>
      <vt:variant>
        <vt:i4>1114227</vt:i4>
      </vt:variant>
      <vt:variant>
        <vt:i4>489</vt:i4>
      </vt:variant>
      <vt:variant>
        <vt:i4>0</vt:i4>
      </vt:variant>
      <vt:variant>
        <vt:i4>5</vt:i4>
      </vt:variant>
      <vt:variant>
        <vt:lpwstr>https://www.enisa.europa.eu/sites/default/files/2024-11/CSPA - NIS Investments - 2024_0.pdf</vt:lpwstr>
      </vt:variant>
      <vt:variant>
        <vt:lpwstr/>
      </vt:variant>
      <vt:variant>
        <vt:i4>2228320</vt:i4>
      </vt:variant>
      <vt:variant>
        <vt:i4>486</vt:i4>
      </vt:variant>
      <vt:variant>
        <vt:i4>0</vt:i4>
      </vt:variant>
      <vt:variant>
        <vt:i4>5</vt:i4>
      </vt:variant>
      <vt:variant>
        <vt:lpwstr>https://europa.eu/eurobarometer/surveys/detail/3176</vt:lpwstr>
      </vt:variant>
      <vt:variant>
        <vt:lpwstr/>
      </vt:variant>
      <vt:variant>
        <vt:i4>2228320</vt:i4>
      </vt:variant>
      <vt:variant>
        <vt:i4>483</vt:i4>
      </vt:variant>
      <vt:variant>
        <vt:i4>0</vt:i4>
      </vt:variant>
      <vt:variant>
        <vt:i4>5</vt:i4>
      </vt:variant>
      <vt:variant>
        <vt:lpwstr>https://europa.eu/eurobarometer/surveys/detail/3176</vt:lpwstr>
      </vt:variant>
      <vt:variant>
        <vt:lpwstr/>
      </vt:variant>
      <vt:variant>
        <vt:i4>5505085</vt:i4>
      </vt:variant>
      <vt:variant>
        <vt:i4>480</vt:i4>
      </vt:variant>
      <vt:variant>
        <vt:i4>0</vt:i4>
      </vt:variant>
      <vt:variant>
        <vt:i4>5</vt:i4>
      </vt:variant>
      <vt:variant>
        <vt:lpwstr>https://digital-skills-jobs.europa.eu/system/files/2024-12/ISC2_Workfoce-Study-Findings-EU.pdf</vt:lpwstr>
      </vt:variant>
      <vt:variant>
        <vt:lpwstr/>
      </vt:variant>
      <vt:variant>
        <vt:i4>2228282</vt:i4>
      </vt:variant>
      <vt:variant>
        <vt:i4>477</vt:i4>
      </vt:variant>
      <vt:variant>
        <vt:i4>0</vt:i4>
      </vt:variant>
      <vt:variant>
        <vt:i4>5</vt:i4>
      </vt:variant>
      <vt:variant>
        <vt:lpwstr>https://doi.org/10.1016/j.cose.2025.104329</vt:lpwstr>
      </vt:variant>
      <vt:variant>
        <vt:lpwstr/>
      </vt:variant>
      <vt:variant>
        <vt:i4>1245268</vt:i4>
      </vt:variant>
      <vt:variant>
        <vt:i4>474</vt:i4>
      </vt:variant>
      <vt:variant>
        <vt:i4>0</vt:i4>
      </vt:variant>
      <vt:variant>
        <vt:i4>5</vt:i4>
      </vt:variant>
      <vt:variant>
        <vt:lpwstr>https://www.axios.com/newsletters/axios-ai-plus-eafb70c7-71fb-4dab-ba52-5006df10529e</vt:lpwstr>
      </vt:variant>
      <vt:variant>
        <vt:lpwstr/>
      </vt:variant>
      <vt:variant>
        <vt:i4>4194398</vt:i4>
      </vt:variant>
      <vt:variant>
        <vt:i4>471</vt:i4>
      </vt:variant>
      <vt:variant>
        <vt:i4>0</vt:i4>
      </vt:variant>
      <vt:variant>
        <vt:i4>5</vt:i4>
      </vt:variant>
      <vt:variant>
        <vt:lpwstr>https://cyber.gouv.fr/publications/observatoire-des-metiers-2025</vt:lpwstr>
      </vt:variant>
      <vt:variant>
        <vt:lpwstr/>
      </vt:variant>
      <vt:variant>
        <vt:i4>5505085</vt:i4>
      </vt:variant>
      <vt:variant>
        <vt:i4>468</vt:i4>
      </vt:variant>
      <vt:variant>
        <vt:i4>0</vt:i4>
      </vt:variant>
      <vt:variant>
        <vt:i4>5</vt:i4>
      </vt:variant>
      <vt:variant>
        <vt:lpwstr>https://digital-skills-jobs.europa.eu/system/files/2024-12/ISC2_Workfoce-Study-Findings-EU.pdf</vt:lpwstr>
      </vt:variant>
      <vt:variant>
        <vt:lpwstr/>
      </vt:variant>
      <vt:variant>
        <vt:i4>1114227</vt:i4>
      </vt:variant>
      <vt:variant>
        <vt:i4>465</vt:i4>
      </vt:variant>
      <vt:variant>
        <vt:i4>0</vt:i4>
      </vt:variant>
      <vt:variant>
        <vt:i4>5</vt:i4>
      </vt:variant>
      <vt:variant>
        <vt:lpwstr>https://www.enisa.europa.eu/sites/default/files/2024-11/CSPA - NIS Investments - 2024_0.pdf</vt:lpwstr>
      </vt:variant>
      <vt:variant>
        <vt:lpwstr/>
      </vt:variant>
      <vt:variant>
        <vt:i4>5505085</vt:i4>
      </vt:variant>
      <vt:variant>
        <vt:i4>462</vt:i4>
      </vt:variant>
      <vt:variant>
        <vt:i4>0</vt:i4>
      </vt:variant>
      <vt:variant>
        <vt:i4>5</vt:i4>
      </vt:variant>
      <vt:variant>
        <vt:lpwstr>https://digital-skills-jobs.europa.eu/system/files/2024-12/ISC2_Workfoce-Study-Findings-EU.pdf</vt:lpwstr>
      </vt:variant>
      <vt:variant>
        <vt:lpwstr/>
      </vt:variant>
      <vt:variant>
        <vt:i4>3670137</vt:i4>
      </vt:variant>
      <vt:variant>
        <vt:i4>459</vt:i4>
      </vt:variant>
      <vt:variant>
        <vt:i4>0</vt:i4>
      </vt:variant>
      <vt:variant>
        <vt:i4>5</vt:i4>
      </vt:variant>
      <vt:variant>
        <vt:lpwstr>https://www.verfassungsschutz.de/SharedDocs/kurzmeldungen/DE/2024/2024-08-28-studie-bitkom.html</vt:lpwstr>
      </vt:variant>
      <vt:variant>
        <vt:lpwstr/>
      </vt:variant>
      <vt:variant>
        <vt:i4>5505085</vt:i4>
      </vt:variant>
      <vt:variant>
        <vt:i4>456</vt:i4>
      </vt:variant>
      <vt:variant>
        <vt:i4>0</vt:i4>
      </vt:variant>
      <vt:variant>
        <vt:i4>5</vt:i4>
      </vt:variant>
      <vt:variant>
        <vt:lpwstr>https://digital-skills-jobs.europa.eu/system/files/2024-12/ISC2_Workfoce-Study-Findings-EU.pdf</vt:lpwstr>
      </vt:variant>
      <vt:variant>
        <vt:lpwstr/>
      </vt:variant>
      <vt:variant>
        <vt:i4>3670137</vt:i4>
      </vt:variant>
      <vt:variant>
        <vt:i4>453</vt:i4>
      </vt:variant>
      <vt:variant>
        <vt:i4>0</vt:i4>
      </vt:variant>
      <vt:variant>
        <vt:i4>5</vt:i4>
      </vt:variant>
      <vt:variant>
        <vt:lpwstr>https://www.verfassungsschutz.de/SharedDocs/kurzmeldungen/DE/2024/2024-08-28-studie-bitkom.html</vt:lpwstr>
      </vt:variant>
      <vt:variant>
        <vt:lpwstr/>
      </vt:variant>
      <vt:variant>
        <vt:i4>6422646</vt:i4>
      </vt:variant>
      <vt:variant>
        <vt:i4>450</vt:i4>
      </vt:variant>
      <vt:variant>
        <vt:i4>0</vt:i4>
      </vt:variant>
      <vt:variant>
        <vt:i4>5</vt:i4>
      </vt:variant>
      <vt:variant>
        <vt:lpwstr>https://www.getastra.com/blog/security-audit/ransomware-attack-statistics/</vt:lpwstr>
      </vt:variant>
      <vt:variant>
        <vt:lpwstr/>
      </vt:variant>
      <vt:variant>
        <vt:i4>4194335</vt:i4>
      </vt:variant>
      <vt:variant>
        <vt:i4>447</vt:i4>
      </vt:variant>
      <vt:variant>
        <vt:i4>0</vt:i4>
      </vt:variant>
      <vt:variant>
        <vt:i4>5</vt:i4>
      </vt:variant>
      <vt:variant>
        <vt:lpwstr>https://www.enisa.europa.eu/publications/enisa-threat-landscape-2024</vt:lpwstr>
      </vt:variant>
      <vt:variant>
        <vt:lpwstr/>
      </vt:variant>
      <vt:variant>
        <vt:i4>4391004</vt:i4>
      </vt:variant>
      <vt:variant>
        <vt:i4>444</vt:i4>
      </vt:variant>
      <vt:variant>
        <vt:i4>0</vt:i4>
      </vt:variant>
      <vt:variant>
        <vt:i4>5</vt:i4>
      </vt:variant>
      <vt:variant>
        <vt:lpwstr>https://documents1.worldbank.org/curated/en/099092324164536687/pdf/P17876919ffee4079180e81701969ad0a18.pdf</vt:lpwstr>
      </vt:variant>
      <vt:variant>
        <vt:lpwstr>:~:text=This%20paper%20presents%20a%20comprehensive%20review%20of%20the,those%20from%20cascading%20effects%20and%20long-term%20reputational%20damages.</vt:lpwstr>
      </vt:variant>
      <vt:variant>
        <vt:i4>5963862</vt:i4>
      </vt:variant>
      <vt:variant>
        <vt:i4>441</vt:i4>
      </vt:variant>
      <vt:variant>
        <vt:i4>0</vt:i4>
      </vt:variant>
      <vt:variant>
        <vt:i4>5</vt:i4>
      </vt:variant>
      <vt:variant>
        <vt:lpwstr>https://www.fema.gov/sites/default/files/documents/fema_planning-considerations-cyber-incidents_2023.pdf</vt:lpwstr>
      </vt:variant>
      <vt:variant>
        <vt:lpwstr/>
      </vt:variant>
      <vt:variant>
        <vt:i4>7995494</vt:i4>
      </vt:variant>
      <vt:variant>
        <vt:i4>438</vt:i4>
      </vt:variant>
      <vt:variant>
        <vt:i4>0</vt:i4>
      </vt:variant>
      <vt:variant>
        <vt:i4>5</vt:i4>
      </vt:variant>
      <vt:variant>
        <vt:lpwstr>https://urldefense.com/v3/__https:/csrc.nist.gov/glossary/term/malicious_cyber_activity__;!!DOxrgLBm!GtNvfnGExIMMhzaBChWXD8r4BKeZjXeKdnCCC8JiBPsOof4IEIOduD1ioDrm1dUioIjayuEbeFC9U7mpl8KwEp4Gt0n97Emg$</vt:lpwstr>
      </vt:variant>
      <vt:variant>
        <vt:lpwstr/>
      </vt:variant>
      <vt:variant>
        <vt:i4>8061050</vt:i4>
      </vt:variant>
      <vt:variant>
        <vt:i4>435</vt:i4>
      </vt:variant>
      <vt:variant>
        <vt:i4>0</vt:i4>
      </vt:variant>
      <vt:variant>
        <vt:i4>5</vt:i4>
      </vt:variant>
      <vt:variant>
        <vt:lpwstr>https://www.sophos.com/en-us/content/state-of-ransomware</vt:lpwstr>
      </vt:variant>
      <vt:variant>
        <vt:lpwstr>country-reports</vt:lpwstr>
      </vt:variant>
      <vt:variant>
        <vt:i4>5111897</vt:i4>
      </vt:variant>
      <vt:variant>
        <vt:i4>432</vt:i4>
      </vt:variant>
      <vt:variant>
        <vt:i4>0</vt:i4>
      </vt:variant>
      <vt:variant>
        <vt:i4>5</vt:i4>
      </vt:variant>
      <vt:variant>
        <vt:lpwstr>https://assets.sophos.com/X24WTUEQ/at/9brgj5n44hqvgsp5f5bqcps/sophos-state-of-ransomware-2025.pdf</vt:lpwstr>
      </vt:variant>
      <vt:variant>
        <vt:lpwstr/>
      </vt:variant>
      <vt:variant>
        <vt:i4>7405671</vt:i4>
      </vt:variant>
      <vt:variant>
        <vt:i4>429</vt:i4>
      </vt:variant>
      <vt:variant>
        <vt:i4>0</vt:i4>
      </vt:variant>
      <vt:variant>
        <vt:i4>5</vt:i4>
      </vt:variant>
      <vt:variant>
        <vt:lpwstr>https://www.ibm.com/reports/data-breach</vt:lpwstr>
      </vt:variant>
      <vt:variant>
        <vt:lpwstr/>
      </vt:variant>
      <vt:variant>
        <vt:i4>1114188</vt:i4>
      </vt:variant>
      <vt:variant>
        <vt:i4>426</vt:i4>
      </vt:variant>
      <vt:variant>
        <vt:i4>0</vt:i4>
      </vt:variant>
      <vt:variant>
        <vt:i4>5</vt:i4>
      </vt:variant>
      <vt:variant>
        <vt:lpwstr>https://www.ibm.com/think/insights/cost-of-a-data-breach-2024-financial-industry</vt:lpwstr>
      </vt:variant>
      <vt:variant>
        <vt:lpwstr/>
      </vt:variant>
      <vt:variant>
        <vt:i4>2556015</vt:i4>
      </vt:variant>
      <vt:variant>
        <vt:i4>423</vt:i4>
      </vt:variant>
      <vt:variant>
        <vt:i4>0</vt:i4>
      </vt:variant>
      <vt:variant>
        <vt:i4>5</vt:i4>
      </vt:variant>
      <vt:variant>
        <vt:lpwstr>https://www.ibm.com/downloads/documents/us-en/131cf87b20b31c91</vt:lpwstr>
      </vt:variant>
      <vt:variant>
        <vt:lpwstr/>
      </vt:variant>
      <vt:variant>
        <vt:i4>4521995</vt:i4>
      </vt:variant>
      <vt:variant>
        <vt:i4>420</vt:i4>
      </vt:variant>
      <vt:variant>
        <vt:i4>0</vt:i4>
      </vt:variant>
      <vt:variant>
        <vt:i4>5</vt:i4>
      </vt:variant>
      <vt:variant>
        <vt:lpwstr>https://www.ic3.gov/</vt:lpwstr>
      </vt:variant>
      <vt:variant>
        <vt:lpwstr/>
      </vt:variant>
      <vt:variant>
        <vt:i4>4587611</vt:i4>
      </vt:variant>
      <vt:variant>
        <vt:i4>417</vt:i4>
      </vt:variant>
      <vt:variant>
        <vt:i4>0</vt:i4>
      </vt:variant>
      <vt:variant>
        <vt:i4>5</vt:i4>
      </vt:variant>
      <vt:variant>
        <vt:lpwstr>https://www.cisa.gov/sites/default/files/publications/CISA-OCE_Cost_of_Cyber_Incidents_Study-FINAL_508.pdf</vt:lpwstr>
      </vt:variant>
      <vt:variant>
        <vt:lpwstr/>
      </vt:variant>
      <vt:variant>
        <vt:i4>4587561</vt:i4>
      </vt:variant>
      <vt:variant>
        <vt:i4>414</vt:i4>
      </vt:variant>
      <vt:variant>
        <vt:i4>0</vt:i4>
      </vt:variant>
      <vt:variant>
        <vt:i4>5</vt:i4>
      </vt:variant>
      <vt:variant>
        <vt:lpwstr>https://www.cisa.gov/sites/default/files/publications/CISA_OCE_Cost_of_Cyber_Incidents_Study-FINAL_508.pdf</vt:lpwstr>
      </vt:variant>
      <vt:variant>
        <vt:lpwstr/>
      </vt:variant>
      <vt:variant>
        <vt:i4>4194335</vt:i4>
      </vt:variant>
      <vt:variant>
        <vt:i4>411</vt:i4>
      </vt:variant>
      <vt:variant>
        <vt:i4>0</vt:i4>
      </vt:variant>
      <vt:variant>
        <vt:i4>5</vt:i4>
      </vt:variant>
      <vt:variant>
        <vt:lpwstr>https://www.enisa.europa.eu/publications/enisa-threat-landscape-2024</vt:lpwstr>
      </vt:variant>
      <vt:variant>
        <vt:lpwstr/>
      </vt:variant>
      <vt:variant>
        <vt:i4>2228320</vt:i4>
      </vt:variant>
      <vt:variant>
        <vt:i4>408</vt:i4>
      </vt:variant>
      <vt:variant>
        <vt:i4>0</vt:i4>
      </vt:variant>
      <vt:variant>
        <vt:i4>5</vt:i4>
      </vt:variant>
      <vt:variant>
        <vt:lpwstr>https://europa.eu/eurobarometer/surveys/detail/3176</vt:lpwstr>
      </vt:variant>
      <vt:variant>
        <vt:lpwstr/>
      </vt:variant>
      <vt:variant>
        <vt:i4>4522070</vt:i4>
      </vt:variant>
      <vt:variant>
        <vt:i4>405</vt:i4>
      </vt:variant>
      <vt:variant>
        <vt:i4>0</vt:i4>
      </vt:variant>
      <vt:variant>
        <vt:i4>5</vt:i4>
      </vt:variant>
      <vt:variant>
        <vt:lpwstr>https://ec.europa.eu/eurostat/web/products-manuals-and-guidelines/-/ks-ra-07-015</vt:lpwstr>
      </vt:variant>
      <vt:variant>
        <vt:lpwstr/>
      </vt:variant>
      <vt:variant>
        <vt:i4>4653132</vt:i4>
      </vt:variant>
      <vt:variant>
        <vt:i4>402</vt:i4>
      </vt:variant>
      <vt:variant>
        <vt:i4>0</vt:i4>
      </vt:variant>
      <vt:variant>
        <vt:i4>5</vt:i4>
      </vt:variant>
      <vt:variant>
        <vt:lpwstr>https://ec.europa.eu/eurostat/web/products-eurostat-news/w/ddn-20241004-1</vt:lpwstr>
      </vt:variant>
      <vt:variant>
        <vt:lpwstr/>
      </vt:variant>
      <vt:variant>
        <vt:i4>6422560</vt:i4>
      </vt:variant>
      <vt:variant>
        <vt:i4>399</vt:i4>
      </vt:variant>
      <vt:variant>
        <vt:i4>0</vt:i4>
      </vt:variant>
      <vt:variant>
        <vt:i4>5</vt:i4>
      </vt:variant>
      <vt:variant>
        <vt:lpwstr>https://www.lightreading.com/5g/huawei-defies-us-to-grow-market-share-as-ran-decline-ends-omdia</vt:lpwstr>
      </vt:variant>
      <vt:variant>
        <vt:lpwstr/>
      </vt:variant>
      <vt:variant>
        <vt:i4>5963863</vt:i4>
      </vt:variant>
      <vt:variant>
        <vt:i4>396</vt:i4>
      </vt:variant>
      <vt:variant>
        <vt:i4>0</vt:i4>
      </vt:variant>
      <vt:variant>
        <vt:i4>5</vt:i4>
      </vt:variant>
      <vt:variant>
        <vt:lpwstr>https://www.lightreading.com/5g/huawei-has-hardly-been-weakened-in-european-5g-data-shows</vt:lpwstr>
      </vt:variant>
      <vt:variant>
        <vt:lpwstr/>
      </vt:variant>
      <vt:variant>
        <vt:i4>5963863</vt:i4>
      </vt:variant>
      <vt:variant>
        <vt:i4>393</vt:i4>
      </vt:variant>
      <vt:variant>
        <vt:i4>0</vt:i4>
      </vt:variant>
      <vt:variant>
        <vt:i4>5</vt:i4>
      </vt:variant>
      <vt:variant>
        <vt:lpwstr>https://www.lightreading.com/5g/huawei-has-hardly-been-weakened-in-european-5g-data-shows</vt:lpwstr>
      </vt:variant>
      <vt:variant>
        <vt:lpwstr/>
      </vt:variant>
      <vt:variant>
        <vt:i4>720897</vt:i4>
      </vt:variant>
      <vt:variant>
        <vt:i4>390</vt:i4>
      </vt:variant>
      <vt:variant>
        <vt:i4>0</vt:i4>
      </vt:variant>
      <vt:variant>
        <vt:i4>5</vt:i4>
      </vt:variant>
      <vt:variant>
        <vt:lpwstr>https://digital-strategy.ec.europa.eu/en/policies/5g-observatory</vt:lpwstr>
      </vt:variant>
      <vt:variant>
        <vt:lpwstr/>
      </vt:variant>
      <vt:variant>
        <vt:i4>4128818</vt:i4>
      </vt:variant>
      <vt:variant>
        <vt:i4>387</vt:i4>
      </vt:variant>
      <vt:variant>
        <vt:i4>0</vt:i4>
      </vt:variant>
      <vt:variant>
        <vt:i4>5</vt:i4>
      </vt:variant>
      <vt:variant>
        <vt:lpwstr>https://cyberupgrade.net/blog/compliance-regulations/iso-27001-cost-understanding-certification-audit-and-implementation-expenses-in-2025/</vt:lpwstr>
      </vt:variant>
      <vt:variant>
        <vt:lpwstr/>
      </vt:variant>
      <vt:variant>
        <vt:i4>3670066</vt:i4>
      </vt:variant>
      <vt:variant>
        <vt:i4>384</vt:i4>
      </vt:variant>
      <vt:variant>
        <vt:i4>0</vt:i4>
      </vt:variant>
      <vt:variant>
        <vt:i4>5</vt:i4>
      </vt:variant>
      <vt:variant>
        <vt:lpwstr>https://atlantsecurity.com/blog/cost-of-cybersecurity-due-diligence/</vt:lpwstr>
      </vt:variant>
      <vt:variant>
        <vt:lpwstr>elementor-toc__heading-anchor-21</vt:lpwstr>
      </vt:variant>
      <vt:variant>
        <vt:i4>1835079</vt:i4>
      </vt:variant>
      <vt:variant>
        <vt:i4>381</vt:i4>
      </vt:variant>
      <vt:variant>
        <vt:i4>0</vt:i4>
      </vt:variant>
      <vt:variant>
        <vt:i4>5</vt:i4>
      </vt:variant>
      <vt:variant>
        <vt:lpwstr>https://qualysec.com/it-security-audit-cost/</vt:lpwstr>
      </vt:variant>
      <vt:variant>
        <vt:lpwstr/>
      </vt:variant>
      <vt:variant>
        <vt:i4>3604528</vt:i4>
      </vt:variant>
      <vt:variant>
        <vt:i4>378</vt:i4>
      </vt:variant>
      <vt:variant>
        <vt:i4>0</vt:i4>
      </vt:variant>
      <vt:variant>
        <vt:i4>5</vt:i4>
      </vt:variant>
      <vt:variant>
        <vt:lpwstr>https://www.enisa.europa.eu/sites/default/files/publications/ENISA Report - Conformity Assessment of Qualified Trust Service Providers.pdf</vt:lpwstr>
      </vt:variant>
      <vt:variant>
        <vt:lpwstr/>
      </vt:variant>
      <vt:variant>
        <vt:i4>4325465</vt:i4>
      </vt:variant>
      <vt:variant>
        <vt:i4>375</vt:i4>
      </vt:variant>
      <vt:variant>
        <vt:i4>0</vt:i4>
      </vt:variant>
      <vt:variant>
        <vt:i4>5</vt:i4>
      </vt:variant>
      <vt:variant>
        <vt:lpwstr>https://digital-strategy.ec.europa.eu/en/library/final-report-evaluation-european-union-agency-network-and-information-security-enisa</vt:lpwstr>
      </vt:variant>
      <vt:variant>
        <vt:lpwstr/>
      </vt:variant>
      <vt:variant>
        <vt:i4>4194329</vt:i4>
      </vt:variant>
      <vt:variant>
        <vt:i4>372</vt:i4>
      </vt:variant>
      <vt:variant>
        <vt:i4>0</vt:i4>
      </vt:variant>
      <vt:variant>
        <vt:i4>5</vt:i4>
      </vt:variant>
      <vt:variant>
        <vt:lpwstr>https://www.snas.sk/storage/app/uploads/public/677/e79/e4c/677e79e4cac62903312474.pdf</vt:lpwstr>
      </vt:variant>
      <vt:variant>
        <vt:lpwstr/>
      </vt:variant>
      <vt:variant>
        <vt:i4>4194329</vt:i4>
      </vt:variant>
      <vt:variant>
        <vt:i4>369</vt:i4>
      </vt:variant>
      <vt:variant>
        <vt:i4>0</vt:i4>
      </vt:variant>
      <vt:variant>
        <vt:i4>5</vt:i4>
      </vt:variant>
      <vt:variant>
        <vt:lpwstr>https://www.snas.sk/storage/app/uploads/public/677/e79/e4c/677e79e4cac62903312474.pdf</vt:lpwstr>
      </vt:variant>
      <vt:variant>
        <vt:lpwstr/>
      </vt:variant>
      <vt:variant>
        <vt:i4>5177412</vt:i4>
      </vt:variant>
      <vt:variant>
        <vt:i4>366</vt:i4>
      </vt:variant>
      <vt:variant>
        <vt:i4>0</vt:i4>
      </vt:variant>
      <vt:variant>
        <vt:i4>5</vt:i4>
      </vt:variant>
      <vt:variant>
        <vt:lpwstr>https://ec.europa.eu/info/funding-tenders/opportunities/portal/screen/opportunities/tender-details/46439658-5635-4465-ae7d-0a40e6e8e546-CN?order=DESC&amp;pageNumber=1&amp;pageSize=50&amp;sortBy=startDate&amp;isExactMatch=true&amp;cftPartyLegalEntityId=47352382</vt:lpwstr>
      </vt:variant>
      <vt:variant>
        <vt:lpwstr/>
      </vt:variant>
      <vt:variant>
        <vt:i4>4325465</vt:i4>
      </vt:variant>
      <vt:variant>
        <vt:i4>363</vt:i4>
      </vt:variant>
      <vt:variant>
        <vt:i4>0</vt:i4>
      </vt:variant>
      <vt:variant>
        <vt:i4>5</vt:i4>
      </vt:variant>
      <vt:variant>
        <vt:lpwstr>https://digital-strategy.ec.europa.eu/en/library/final-report-evaluation-european-union-agency-network-and-information-security-enisa</vt:lpwstr>
      </vt:variant>
      <vt:variant>
        <vt:lpwstr/>
      </vt:variant>
      <vt:variant>
        <vt:i4>6094922</vt:i4>
      </vt:variant>
      <vt:variant>
        <vt:i4>360</vt:i4>
      </vt:variant>
      <vt:variant>
        <vt:i4>0</vt:i4>
      </vt:variant>
      <vt:variant>
        <vt:i4>5</vt:i4>
      </vt:variant>
      <vt:variant>
        <vt:lpwstr>https://www.giac.org/pricing/</vt:lpwstr>
      </vt:variant>
      <vt:variant>
        <vt:lpwstr/>
      </vt:variant>
      <vt:variant>
        <vt:i4>4522065</vt:i4>
      </vt:variant>
      <vt:variant>
        <vt:i4>357</vt:i4>
      </vt:variant>
      <vt:variant>
        <vt:i4>0</vt:i4>
      </vt:variant>
      <vt:variant>
        <vt:i4>5</vt:i4>
      </vt:variant>
      <vt:variant>
        <vt:lpwstr>https://www.isc2.org/register-for-exam/isc2-exam-pricing), ISACA (Source: https:/www.isacaprep.com/how-much-is-the-cism-exam/</vt:lpwstr>
      </vt:variant>
      <vt:variant>
        <vt:lpwstr/>
      </vt:variant>
      <vt:variant>
        <vt:i4>5111811</vt:i4>
      </vt:variant>
      <vt:variant>
        <vt:i4>354</vt:i4>
      </vt:variant>
      <vt:variant>
        <vt:i4>0</vt:i4>
      </vt:variant>
      <vt:variant>
        <vt:i4>5</vt:i4>
      </vt:variant>
      <vt:variant>
        <vt:lpwstr>https://www.ukcybersecuritycouncil.org.uk/professional-registration/</vt:lpwstr>
      </vt:variant>
      <vt:variant>
        <vt:lpwstr/>
      </vt:variant>
      <vt:variant>
        <vt:i4>3604595</vt:i4>
      </vt:variant>
      <vt:variant>
        <vt:i4>351</vt:i4>
      </vt:variant>
      <vt:variant>
        <vt:i4>0</vt:i4>
      </vt:variant>
      <vt:variant>
        <vt:i4>5</vt:i4>
      </vt:variant>
      <vt:variant>
        <vt:lpwstr>https://www.gesetze-im-internet.de/bmibgebv/BJNR135900019.html</vt:lpwstr>
      </vt:variant>
      <vt:variant>
        <vt:lpwstr/>
      </vt:variant>
      <vt:variant>
        <vt:i4>5242962</vt:i4>
      </vt:variant>
      <vt:variant>
        <vt:i4>348</vt:i4>
      </vt:variant>
      <vt:variant>
        <vt:i4>0</vt:i4>
      </vt:variant>
      <vt:variant>
        <vt:i4>5</vt:i4>
      </vt:variant>
      <vt:variant>
        <vt:lpwstr>https://www.fortinet.com/content/dam/fortinet/assets/reports/2023-cybersecurity-skills-gap-report.pdf</vt:lpwstr>
      </vt:variant>
      <vt:variant>
        <vt:lpwstr/>
      </vt:variant>
      <vt:variant>
        <vt:i4>3670059</vt:i4>
      </vt:variant>
      <vt:variant>
        <vt:i4>345</vt:i4>
      </vt:variant>
      <vt:variant>
        <vt:i4>0</vt:i4>
      </vt:variant>
      <vt:variant>
        <vt:i4>5</vt:i4>
      </vt:variant>
      <vt:variant>
        <vt:lpwstr>https://cyber.gouv.fr/sites/default/files/document/Etude_des_professionnels_de_la_cybers%C3%A9curit%C3%A9_VF2.pdf</vt:lpwstr>
      </vt:variant>
      <vt:variant>
        <vt:lpwstr/>
      </vt:variant>
      <vt:variant>
        <vt:i4>3342381</vt:i4>
      </vt:variant>
      <vt:variant>
        <vt:i4>342</vt:i4>
      </vt:variant>
      <vt:variant>
        <vt:i4>0</vt:i4>
      </vt:variant>
      <vt:variant>
        <vt:i4>5</vt:i4>
      </vt:variant>
      <vt:variant>
        <vt:lpwstr>https://ec.europa.eu/eurostat/statistics-explained/SEPDF/cache/9132.pdf</vt:lpwstr>
      </vt:variant>
      <vt:variant>
        <vt:lpwstr/>
      </vt:variant>
      <vt:variant>
        <vt:i4>7340052</vt:i4>
      </vt:variant>
      <vt:variant>
        <vt:i4>339</vt:i4>
      </vt:variant>
      <vt:variant>
        <vt:i4>0</vt:i4>
      </vt:variant>
      <vt:variant>
        <vt:i4>5</vt:i4>
      </vt:variant>
      <vt:variant>
        <vt:lpwstr>https://ec.europa.eu/eurostat/databrowser/view/nama_10_fte__custom_13597179/bookmark/table?lang=en&amp;bookmarkId=c29eed24-377e-4763-aaf0-0419906d2ecd</vt:lpwstr>
      </vt:variant>
      <vt:variant>
        <vt:lpwstr/>
      </vt:variant>
      <vt:variant>
        <vt:i4>3407881</vt:i4>
      </vt:variant>
      <vt:variant>
        <vt:i4>336</vt:i4>
      </vt:variant>
      <vt:variant>
        <vt:i4>0</vt:i4>
      </vt:variant>
      <vt:variant>
        <vt:i4>5</vt:i4>
      </vt:variant>
      <vt:variant>
        <vt:lpwstr>https://www.oecd.org/content/dam/oecd/en/publications/reports/2024/02/building-a-skilled-cyber-security-workforce-in-europe_6abaf769/3673cd60-en.pdf</vt:lpwstr>
      </vt:variant>
      <vt:variant>
        <vt:lpwstr/>
      </vt:variant>
      <vt:variant>
        <vt:i4>4325465</vt:i4>
      </vt:variant>
      <vt:variant>
        <vt:i4>333</vt:i4>
      </vt:variant>
      <vt:variant>
        <vt:i4>0</vt:i4>
      </vt:variant>
      <vt:variant>
        <vt:i4>5</vt:i4>
      </vt:variant>
      <vt:variant>
        <vt:lpwstr>https://digital-strategy.ec.europa.eu/en/library/final-report-evaluation-european-union-agency-network-and-information-security-enisa</vt:lpwstr>
      </vt:variant>
      <vt:variant>
        <vt:lpwstr/>
      </vt:variant>
      <vt:variant>
        <vt:i4>4128891</vt:i4>
      </vt:variant>
      <vt:variant>
        <vt:i4>330</vt:i4>
      </vt:variant>
      <vt:variant>
        <vt:i4>0</vt:i4>
      </vt:variant>
      <vt:variant>
        <vt:i4>5</vt:i4>
      </vt:variant>
      <vt:variant>
        <vt:lpwstr>https://www.enisa.europa.eu/sites/default/files/publications/Cybersecurity Certification Statistics Report.pdf</vt:lpwstr>
      </vt:variant>
      <vt:variant>
        <vt:lpwstr/>
      </vt:variant>
      <vt:variant>
        <vt:i4>5963863</vt:i4>
      </vt:variant>
      <vt:variant>
        <vt:i4>327</vt:i4>
      </vt:variant>
      <vt:variant>
        <vt:i4>0</vt:i4>
      </vt:variant>
      <vt:variant>
        <vt:i4>5</vt:i4>
      </vt:variant>
      <vt:variant>
        <vt:lpwstr>https://www.lightreading.com/5g/huawei-has-hardly-been-weakened-in-european-5g-data-shows</vt:lpwstr>
      </vt:variant>
      <vt:variant>
        <vt:lpwstr/>
      </vt:variant>
      <vt:variant>
        <vt:i4>1704001</vt:i4>
      </vt:variant>
      <vt:variant>
        <vt:i4>324</vt:i4>
      </vt:variant>
      <vt:variant>
        <vt:i4>0</vt:i4>
      </vt:variant>
      <vt:variant>
        <vt:i4>5</vt:i4>
      </vt:variant>
      <vt:variant>
        <vt:lpwstr>https://www.jtsec.es/files/2022 CC Statistics Report.pdf</vt:lpwstr>
      </vt:variant>
      <vt:variant>
        <vt:lpwstr/>
      </vt:variant>
      <vt:variant>
        <vt:i4>4194335</vt:i4>
      </vt:variant>
      <vt:variant>
        <vt:i4>321</vt:i4>
      </vt:variant>
      <vt:variant>
        <vt:i4>0</vt:i4>
      </vt:variant>
      <vt:variant>
        <vt:i4>5</vt:i4>
      </vt:variant>
      <vt:variant>
        <vt:lpwstr>https://www.enisa.europa.eu/publications/enisa-threat-landscape-2024</vt:lpwstr>
      </vt:variant>
      <vt:variant>
        <vt:lpwstr/>
      </vt:variant>
      <vt:variant>
        <vt:i4>2097269</vt:i4>
      </vt:variant>
      <vt:variant>
        <vt:i4>318</vt:i4>
      </vt:variant>
      <vt:variant>
        <vt:i4>0</vt:i4>
      </vt:variant>
      <vt:variant>
        <vt:i4>5</vt:i4>
      </vt:variant>
      <vt:variant>
        <vt:lpwstr>https://www.europarl.europa.eu/RegData/etudes/ATAG/2023/745710/EPRS_ATA(2023)745710_EN.pdf</vt:lpwstr>
      </vt:variant>
      <vt:variant>
        <vt:lpwstr/>
      </vt:variant>
      <vt:variant>
        <vt:i4>2097269</vt:i4>
      </vt:variant>
      <vt:variant>
        <vt:i4>315</vt:i4>
      </vt:variant>
      <vt:variant>
        <vt:i4>0</vt:i4>
      </vt:variant>
      <vt:variant>
        <vt:i4>5</vt:i4>
      </vt:variant>
      <vt:variant>
        <vt:lpwstr>https://www.europarl.europa.eu/RegData/etudes/ATAG/2023/745710/EPRS_ATA(2023)745710_EN.pdf</vt:lpwstr>
      </vt:variant>
      <vt:variant>
        <vt:lpwstr/>
      </vt:variant>
      <vt:variant>
        <vt:i4>5963863</vt:i4>
      </vt:variant>
      <vt:variant>
        <vt:i4>312</vt:i4>
      </vt:variant>
      <vt:variant>
        <vt:i4>0</vt:i4>
      </vt:variant>
      <vt:variant>
        <vt:i4>5</vt:i4>
      </vt:variant>
      <vt:variant>
        <vt:lpwstr>https://www.lightreading.com/5g/huawei-has-hardly-been-weakened-in-european-5g-data-shows</vt:lpwstr>
      </vt:variant>
      <vt:variant>
        <vt:lpwstr/>
      </vt:variant>
      <vt:variant>
        <vt:i4>6422575</vt:i4>
      </vt:variant>
      <vt:variant>
        <vt:i4>309</vt:i4>
      </vt:variant>
      <vt:variant>
        <vt:i4>0</vt:i4>
      </vt:variant>
      <vt:variant>
        <vt:i4>5</vt:i4>
      </vt:variant>
      <vt:variant>
        <vt:lpwstr>https://strandconsult.dk/the-market-for-5g-ran-in-europe-share-of-chinese-and-non-chinese-vendors-in-31-european-countries/</vt:lpwstr>
      </vt:variant>
      <vt:variant>
        <vt:lpwstr/>
      </vt:variant>
      <vt:variant>
        <vt:i4>1572893</vt:i4>
      </vt:variant>
      <vt:variant>
        <vt:i4>306</vt:i4>
      </vt:variant>
      <vt:variant>
        <vt:i4>0</vt:i4>
      </vt:variant>
      <vt:variant>
        <vt:i4>5</vt:i4>
      </vt:variant>
      <vt:variant>
        <vt:lpwstr>https://www.pwc.com/mt/en/services/pwc-digital-services/cyber-security-and-privacy/cyber-security-services/dora.html</vt:lpwstr>
      </vt:variant>
      <vt:variant>
        <vt:lpwstr/>
      </vt:variant>
      <vt:variant>
        <vt:i4>196693</vt:i4>
      </vt:variant>
      <vt:variant>
        <vt:i4>303</vt:i4>
      </vt:variant>
      <vt:variant>
        <vt:i4>0</vt:i4>
      </vt:variant>
      <vt:variant>
        <vt:i4>5</vt:i4>
      </vt:variant>
      <vt:variant>
        <vt:lpwstr>https://www.howdengroupholdings.com/sites/default/files/2024-06/howden-2024-cyber-report.pdf</vt:lpwstr>
      </vt:variant>
      <vt:variant>
        <vt:lpwstr/>
      </vt:variant>
      <vt:variant>
        <vt:i4>1900547</vt:i4>
      </vt:variant>
      <vt:variant>
        <vt:i4>300</vt:i4>
      </vt:variant>
      <vt:variant>
        <vt:i4>0</vt:i4>
      </vt:variant>
      <vt:variant>
        <vt:i4>5</vt:i4>
      </vt:variant>
      <vt:variant>
        <vt:lpwstr>https://affinity.marsh.com/cyber-accelerate/application-requirements.html</vt:lpwstr>
      </vt:variant>
      <vt:variant>
        <vt:lpwstr/>
      </vt:variant>
      <vt:variant>
        <vt:i4>1048594</vt:i4>
      </vt:variant>
      <vt:variant>
        <vt:i4>297</vt:i4>
      </vt:variant>
      <vt:variant>
        <vt:i4>0</vt:i4>
      </vt:variant>
      <vt:variant>
        <vt:i4>5</vt:i4>
      </vt:variant>
      <vt:variant>
        <vt:lpwstr>https://www.marsh.com/en/services/cyber-risk/expertise/cyber-self-assessment.html</vt:lpwstr>
      </vt:variant>
      <vt:variant>
        <vt:lpwstr/>
      </vt:variant>
      <vt:variant>
        <vt:i4>8126504</vt:i4>
      </vt:variant>
      <vt:variant>
        <vt:i4>294</vt:i4>
      </vt:variant>
      <vt:variant>
        <vt:i4>0</vt:i4>
      </vt:variant>
      <vt:variant>
        <vt:i4>5</vt:i4>
      </vt:variant>
      <vt:variant>
        <vt:lpwstr>https://www.embroker.com/blog/cyber-insurance-cost/</vt:lpwstr>
      </vt:variant>
      <vt:variant>
        <vt:lpwstr/>
      </vt:variant>
      <vt:variant>
        <vt:i4>3604528</vt:i4>
      </vt:variant>
      <vt:variant>
        <vt:i4>291</vt:i4>
      </vt:variant>
      <vt:variant>
        <vt:i4>0</vt:i4>
      </vt:variant>
      <vt:variant>
        <vt:i4>5</vt:i4>
      </vt:variant>
      <vt:variant>
        <vt:lpwstr>https://www.enisa.europa.eu/sites/default/files/publications/ENISA Report - Conformity Assessment of Qualified Trust Service Providers.pdf</vt:lpwstr>
      </vt:variant>
      <vt:variant>
        <vt:lpwstr/>
      </vt:variant>
      <vt:variant>
        <vt:i4>5242962</vt:i4>
      </vt:variant>
      <vt:variant>
        <vt:i4>288</vt:i4>
      </vt:variant>
      <vt:variant>
        <vt:i4>0</vt:i4>
      </vt:variant>
      <vt:variant>
        <vt:i4>5</vt:i4>
      </vt:variant>
      <vt:variant>
        <vt:lpwstr>https://www.fortinet.com/content/dam/fortinet/assets/reports/2023-cybersecurity-skills-gap-report.pdf</vt:lpwstr>
      </vt:variant>
      <vt:variant>
        <vt:lpwstr/>
      </vt:variant>
      <vt:variant>
        <vt:i4>3670059</vt:i4>
      </vt:variant>
      <vt:variant>
        <vt:i4>285</vt:i4>
      </vt:variant>
      <vt:variant>
        <vt:i4>0</vt:i4>
      </vt:variant>
      <vt:variant>
        <vt:i4>5</vt:i4>
      </vt:variant>
      <vt:variant>
        <vt:lpwstr>https://cyber.gouv.fr/sites/default/files/document/Etude_des_professionnels_de_la_cybers%C3%A9curit%C3%A9_VF2.pdf</vt:lpwstr>
      </vt:variant>
      <vt:variant>
        <vt:lpwstr/>
      </vt:variant>
      <vt:variant>
        <vt:i4>1114188</vt:i4>
      </vt:variant>
      <vt:variant>
        <vt:i4>282</vt:i4>
      </vt:variant>
      <vt:variant>
        <vt:i4>0</vt:i4>
      </vt:variant>
      <vt:variant>
        <vt:i4>5</vt:i4>
      </vt:variant>
      <vt:variant>
        <vt:lpwstr>https://www.ibm.com/think/insights/cost-of-a-data-breach-2024-financial-industry</vt:lpwstr>
      </vt:variant>
      <vt:variant>
        <vt:lpwstr/>
      </vt:variant>
      <vt:variant>
        <vt:i4>2556015</vt:i4>
      </vt:variant>
      <vt:variant>
        <vt:i4>279</vt:i4>
      </vt:variant>
      <vt:variant>
        <vt:i4>0</vt:i4>
      </vt:variant>
      <vt:variant>
        <vt:i4>5</vt:i4>
      </vt:variant>
      <vt:variant>
        <vt:lpwstr>https://www.ibm.com/downloads/documents/us-en/131cf87b20b31c91</vt:lpwstr>
      </vt:variant>
      <vt:variant>
        <vt:lpwstr/>
      </vt:variant>
      <vt:variant>
        <vt:i4>2687027</vt:i4>
      </vt:variant>
      <vt:variant>
        <vt:i4>276</vt:i4>
      </vt:variant>
      <vt:variant>
        <vt:i4>0</vt:i4>
      </vt:variant>
      <vt:variant>
        <vt:i4>5</vt:i4>
      </vt:variant>
      <vt:variant>
        <vt:lpwstr>https://www.enisa.europa.eu/publications/corporate-documents/enisa-consolidated-annual-activity-report-2023</vt:lpwstr>
      </vt:variant>
      <vt:variant>
        <vt:lpwstr/>
      </vt:variant>
      <vt:variant>
        <vt:i4>2687027</vt:i4>
      </vt:variant>
      <vt:variant>
        <vt:i4>273</vt:i4>
      </vt:variant>
      <vt:variant>
        <vt:i4>0</vt:i4>
      </vt:variant>
      <vt:variant>
        <vt:i4>5</vt:i4>
      </vt:variant>
      <vt:variant>
        <vt:lpwstr>https://www.enisa.europa.eu/publications/corporate-documents/enisa-consolidated-annual-activity-report-2023</vt:lpwstr>
      </vt:variant>
      <vt:variant>
        <vt:lpwstr/>
      </vt:variant>
      <vt:variant>
        <vt:i4>4325465</vt:i4>
      </vt:variant>
      <vt:variant>
        <vt:i4>270</vt:i4>
      </vt:variant>
      <vt:variant>
        <vt:i4>0</vt:i4>
      </vt:variant>
      <vt:variant>
        <vt:i4>5</vt:i4>
      </vt:variant>
      <vt:variant>
        <vt:lpwstr>https://digital-strategy.ec.europa.eu/en/library/final-report-evaluation-european-union-agency-network-and-information-security-enisa</vt:lpwstr>
      </vt:variant>
      <vt:variant>
        <vt:lpwstr/>
      </vt:variant>
      <vt:variant>
        <vt:i4>6094922</vt:i4>
      </vt:variant>
      <vt:variant>
        <vt:i4>267</vt:i4>
      </vt:variant>
      <vt:variant>
        <vt:i4>0</vt:i4>
      </vt:variant>
      <vt:variant>
        <vt:i4>5</vt:i4>
      </vt:variant>
      <vt:variant>
        <vt:lpwstr>https://www.giac.org/pricing/</vt:lpwstr>
      </vt:variant>
      <vt:variant>
        <vt:lpwstr/>
      </vt:variant>
      <vt:variant>
        <vt:i4>589848</vt:i4>
      </vt:variant>
      <vt:variant>
        <vt:i4>264</vt:i4>
      </vt:variant>
      <vt:variant>
        <vt:i4>0</vt:i4>
      </vt:variant>
      <vt:variant>
        <vt:i4>5</vt:i4>
      </vt:variant>
      <vt:variant>
        <vt:lpwstr>https://www.comptia.org/en-eu/certifications/</vt:lpwstr>
      </vt:variant>
      <vt:variant>
        <vt:lpwstr>cyber</vt:lpwstr>
      </vt:variant>
      <vt:variant>
        <vt:i4>6094875</vt:i4>
      </vt:variant>
      <vt:variant>
        <vt:i4>261</vt:i4>
      </vt:variant>
      <vt:variant>
        <vt:i4>0</vt:i4>
      </vt:variant>
      <vt:variant>
        <vt:i4>5</vt:i4>
      </vt:variant>
      <vt:variant>
        <vt:lpwstr>https://www.isc2.org/register-for-exam/isc2-exam-pricing</vt:lpwstr>
      </vt:variant>
      <vt:variant>
        <vt:lpwstr/>
      </vt:variant>
      <vt:variant>
        <vt:i4>1704011</vt:i4>
      </vt:variant>
      <vt:variant>
        <vt:i4>258</vt:i4>
      </vt:variant>
      <vt:variant>
        <vt:i4>0</vt:i4>
      </vt:variant>
      <vt:variant>
        <vt:i4>5</vt:i4>
      </vt:variant>
      <vt:variant>
        <vt:lpwstr>https://lecbyo.files.cmp.optimizely.com/download/451be51c2a9511f0a2b97252cf4a59ca</vt:lpwstr>
      </vt:variant>
      <vt:variant>
        <vt:lpwstr/>
      </vt:variant>
      <vt:variant>
        <vt:i4>7798910</vt:i4>
      </vt:variant>
      <vt:variant>
        <vt:i4>255</vt:i4>
      </vt:variant>
      <vt:variant>
        <vt:i4>0</vt:i4>
      </vt:variant>
      <vt:variant>
        <vt:i4>5</vt:i4>
      </vt:variant>
      <vt:variant>
        <vt:lpwstr>https://www.isc2.org/training/isc2-certification-coverage-of-ecsf-roles</vt:lpwstr>
      </vt:variant>
      <vt:variant>
        <vt:lpwstr/>
      </vt:variant>
      <vt:variant>
        <vt:i4>4194329</vt:i4>
      </vt:variant>
      <vt:variant>
        <vt:i4>252</vt:i4>
      </vt:variant>
      <vt:variant>
        <vt:i4>0</vt:i4>
      </vt:variant>
      <vt:variant>
        <vt:i4>5</vt:i4>
      </vt:variant>
      <vt:variant>
        <vt:lpwstr>https://www.snas.sk/storage/app/uploads/public/677/e79/e4c/677e79e4cac62903312474.pdf</vt:lpwstr>
      </vt:variant>
      <vt:variant>
        <vt:lpwstr/>
      </vt:variant>
      <vt:variant>
        <vt:i4>1310742</vt:i4>
      </vt:variant>
      <vt:variant>
        <vt:i4>249</vt:i4>
      </vt:variant>
      <vt:variant>
        <vt:i4>0</vt:i4>
      </vt:variant>
      <vt:variant>
        <vt:i4>5</vt:i4>
      </vt:variant>
      <vt:variant>
        <vt:lpwstr>https://eur-lex.europa.eu/legal-content/EN/TXT/?uri=celex:52017SC0500</vt:lpwstr>
      </vt:variant>
      <vt:variant>
        <vt:lpwstr/>
      </vt:variant>
      <vt:variant>
        <vt:i4>1441802</vt:i4>
      </vt:variant>
      <vt:variant>
        <vt:i4>246</vt:i4>
      </vt:variant>
      <vt:variant>
        <vt:i4>0</vt:i4>
      </vt:variant>
      <vt:variant>
        <vt:i4>5</vt:i4>
      </vt:variant>
      <vt:variant>
        <vt:lpwstr>https://www.era.europa.eu/library/documents-regulations/era-work-programmes-activity-reports</vt:lpwstr>
      </vt:variant>
      <vt:variant>
        <vt:lpwstr/>
      </vt:variant>
      <vt:variant>
        <vt:i4>4325465</vt:i4>
      </vt:variant>
      <vt:variant>
        <vt:i4>243</vt:i4>
      </vt:variant>
      <vt:variant>
        <vt:i4>0</vt:i4>
      </vt:variant>
      <vt:variant>
        <vt:i4>5</vt:i4>
      </vt:variant>
      <vt:variant>
        <vt:lpwstr>https://digital-strategy.ec.europa.eu/en/library/final-report-evaluation-european-union-agency-network-and-information-security-enisa</vt:lpwstr>
      </vt:variant>
      <vt:variant>
        <vt:lpwstr/>
      </vt:variant>
      <vt:variant>
        <vt:i4>2031637</vt:i4>
      </vt:variant>
      <vt:variant>
        <vt:i4>240</vt:i4>
      </vt:variant>
      <vt:variant>
        <vt:i4>0</vt:i4>
      </vt:variant>
      <vt:variant>
        <vt:i4>5</vt:i4>
      </vt:variant>
      <vt:variant>
        <vt:lpwstr>https://www.enisa.europa.eu/sites/default/files/2025-07/ENISA Final Annual Accounts 2024 %28V1 - e-signed %29.pdf</vt:lpwstr>
      </vt:variant>
      <vt:variant>
        <vt:lpwstr/>
      </vt:variant>
      <vt:variant>
        <vt:i4>4325465</vt:i4>
      </vt:variant>
      <vt:variant>
        <vt:i4>237</vt:i4>
      </vt:variant>
      <vt:variant>
        <vt:i4>0</vt:i4>
      </vt:variant>
      <vt:variant>
        <vt:i4>5</vt:i4>
      </vt:variant>
      <vt:variant>
        <vt:lpwstr>https://digital-strategy.ec.europa.eu/en/library/final-report-evaluation-european-union-agency-network-and-information-security-enisa</vt:lpwstr>
      </vt:variant>
      <vt:variant>
        <vt:lpwstr/>
      </vt:variant>
      <vt:variant>
        <vt:i4>1179675</vt:i4>
      </vt:variant>
      <vt:variant>
        <vt:i4>234</vt:i4>
      </vt:variant>
      <vt:variant>
        <vt:i4>0</vt:i4>
      </vt:variant>
      <vt:variant>
        <vt:i4>5</vt:i4>
      </vt:variant>
      <vt:variant>
        <vt:lpwstr>https://op.europa.eu/en/publication-detail/-/publication/990fe2a6-8f52-11ef-a130-01aa75ed71a1/language-en</vt:lpwstr>
      </vt:variant>
      <vt:variant>
        <vt:lpwstr/>
      </vt:variant>
      <vt:variant>
        <vt:i4>7929971</vt:i4>
      </vt:variant>
      <vt:variant>
        <vt:i4>231</vt:i4>
      </vt:variant>
      <vt:variant>
        <vt:i4>0</vt:i4>
      </vt:variant>
      <vt:variant>
        <vt:i4>5</vt:i4>
      </vt:variant>
      <vt:variant>
        <vt:lpwstr>https://digital-strategy.ec.europa.eu/en/news/eu-wide-coordinated-risk-assessment-5g-networks-security</vt:lpwstr>
      </vt:variant>
      <vt:variant>
        <vt:lpwstr/>
      </vt:variant>
      <vt:variant>
        <vt:i4>7929971</vt:i4>
      </vt:variant>
      <vt:variant>
        <vt:i4>228</vt:i4>
      </vt:variant>
      <vt:variant>
        <vt:i4>0</vt:i4>
      </vt:variant>
      <vt:variant>
        <vt:i4>5</vt:i4>
      </vt:variant>
      <vt:variant>
        <vt:lpwstr>https://digital-strategy.ec.europa.eu/en/news/eu-wide-coordinated-risk-assessment-5g-networks-security</vt:lpwstr>
      </vt:variant>
      <vt:variant>
        <vt:lpwstr/>
      </vt:variant>
      <vt:variant>
        <vt:i4>524312</vt:i4>
      </vt:variant>
      <vt:variant>
        <vt:i4>225</vt:i4>
      </vt:variant>
      <vt:variant>
        <vt:i4>0</vt:i4>
      </vt:variant>
      <vt:variant>
        <vt:i4>5</vt:i4>
      </vt:variant>
      <vt:variant>
        <vt:lpwstr>https://www.enisa.europa.eu/publications/cybersecurity-market-assessments</vt:lpwstr>
      </vt:variant>
      <vt:variant>
        <vt:lpwstr/>
      </vt:variant>
      <vt:variant>
        <vt:i4>6750276</vt:i4>
      </vt:variant>
      <vt:variant>
        <vt:i4>222</vt:i4>
      </vt:variant>
      <vt:variant>
        <vt:i4>0</vt:i4>
      </vt:variant>
      <vt:variant>
        <vt:i4>5</vt:i4>
      </vt:variant>
      <vt:variant>
        <vt:lpwstr>https://www.enisa.europa.eu/sites/default/files/2024-11/Foresight Cybersecurity Threats For 2030 Update 2024_0.pdf</vt:lpwstr>
      </vt:variant>
      <vt:variant>
        <vt:lpwstr/>
      </vt:variant>
      <vt:variant>
        <vt:i4>4194335</vt:i4>
      </vt:variant>
      <vt:variant>
        <vt:i4>219</vt:i4>
      </vt:variant>
      <vt:variant>
        <vt:i4>0</vt:i4>
      </vt:variant>
      <vt:variant>
        <vt:i4>5</vt:i4>
      </vt:variant>
      <vt:variant>
        <vt:lpwstr>https://www.enisa.europa.eu/publications/enisa-threat-landscape-2024</vt:lpwstr>
      </vt:variant>
      <vt:variant>
        <vt:lpwstr/>
      </vt:variant>
      <vt:variant>
        <vt:i4>7077915</vt:i4>
      </vt:variant>
      <vt:variant>
        <vt:i4>216</vt:i4>
      </vt:variant>
      <vt:variant>
        <vt:i4>0</vt:i4>
      </vt:variant>
      <vt:variant>
        <vt:i4>5</vt:i4>
      </vt:variant>
      <vt:variant>
        <vt:lpwstr>https://www.stradalex.com/nl/sl_src_publ_jur_be/document/rvst_256.645</vt:lpwstr>
      </vt:variant>
      <vt:variant>
        <vt:lpwstr/>
      </vt:variant>
      <vt:variant>
        <vt:i4>2424945</vt:i4>
      </vt:variant>
      <vt:variant>
        <vt:i4>213</vt:i4>
      </vt:variant>
      <vt:variant>
        <vt:i4>0</vt:i4>
      </vt:variant>
      <vt:variant>
        <vt:i4>5</vt:i4>
      </vt:variant>
      <vt:variant>
        <vt:lpwstr>https://www.e-sbirka.cz/sb/2025/264/2025-11-01?zalozka=text</vt:lpwstr>
      </vt:variant>
      <vt:variant>
        <vt:lpwstr/>
      </vt:variant>
      <vt:variant>
        <vt:i4>2949152</vt:i4>
      </vt:variant>
      <vt:variant>
        <vt:i4>210</vt:i4>
      </vt:variant>
      <vt:variant>
        <vt:i4>0</vt:i4>
      </vt:variant>
      <vt:variant>
        <vt:i4>5</vt:i4>
      </vt:variant>
      <vt:variant>
        <vt:lpwstr>https://www.eca.europa.eu/en/publications?did=60614</vt:lpwstr>
      </vt:variant>
      <vt:variant>
        <vt:lpwstr/>
      </vt:variant>
      <vt:variant>
        <vt:i4>6422627</vt:i4>
      </vt:variant>
      <vt:variant>
        <vt:i4>207</vt:i4>
      </vt:variant>
      <vt:variant>
        <vt:i4>0</vt:i4>
      </vt:variant>
      <vt:variant>
        <vt:i4>5</vt:i4>
      </vt:variant>
      <vt:variant>
        <vt:lpwstr>https://digital-strategy.ec.europa.eu/en/library/second-report-member-states-progress-implementing-eu-toolbox-5g-cybersecurity</vt:lpwstr>
      </vt:variant>
      <vt:variant>
        <vt:lpwstr/>
      </vt:variant>
      <vt:variant>
        <vt:i4>4915223</vt:i4>
      </vt:variant>
      <vt:variant>
        <vt:i4>204</vt:i4>
      </vt:variant>
      <vt:variant>
        <vt:i4>0</vt:i4>
      </vt:variant>
      <vt:variant>
        <vt:i4>5</vt:i4>
      </vt:variant>
      <vt:variant>
        <vt:lpwstr>https://privacymatters.dlapiper.com/2025/06/italy-ransomware-and-crime-a-proposal-to-tackle-cyber-extortion-in-italy/</vt:lpwstr>
      </vt:variant>
      <vt:variant>
        <vt:lpwstr/>
      </vt:variant>
      <vt:variant>
        <vt:i4>4456521</vt:i4>
      </vt:variant>
      <vt:variant>
        <vt:i4>201</vt:i4>
      </vt:variant>
      <vt:variant>
        <vt:i4>0</vt:i4>
      </vt:variant>
      <vt:variant>
        <vt:i4>5</vt:i4>
      </vt:variant>
      <vt:variant>
        <vt:lpwstr>https://ecs-org.eu/ecso-uploads/2025/01/ECSO-White-Paper-NIS2-Implementation.pdf</vt:lpwstr>
      </vt:variant>
      <vt:variant>
        <vt:lpwstr/>
      </vt:variant>
      <vt:variant>
        <vt:i4>4128891</vt:i4>
      </vt:variant>
      <vt:variant>
        <vt:i4>198</vt:i4>
      </vt:variant>
      <vt:variant>
        <vt:i4>0</vt:i4>
      </vt:variant>
      <vt:variant>
        <vt:i4>5</vt:i4>
      </vt:variant>
      <vt:variant>
        <vt:lpwstr>https://www.enisa.europa.eu/sites/default/files/publications/Cybersecurity Certification Statistics Report.pdf</vt:lpwstr>
      </vt:variant>
      <vt:variant>
        <vt:lpwstr/>
      </vt:variant>
      <vt:variant>
        <vt:i4>3801147</vt:i4>
      </vt:variant>
      <vt:variant>
        <vt:i4>195</vt:i4>
      </vt:variant>
      <vt:variant>
        <vt:i4>0</vt:i4>
      </vt:variant>
      <vt:variant>
        <vt:i4>5</vt:i4>
      </vt:variant>
      <vt:variant>
        <vt:lpwstr>https://webgate.ec.europa.eu/single-market-compliance-space/notified-bodies/free-search?filter=notificationStatusId:1,notificationLegislationId:164702</vt:lpwstr>
      </vt:variant>
      <vt:variant>
        <vt:lpwstr/>
      </vt:variant>
      <vt:variant>
        <vt:i4>1179656</vt:i4>
      </vt:variant>
      <vt:variant>
        <vt:i4>192</vt:i4>
      </vt:variant>
      <vt:variant>
        <vt:i4>0</vt:i4>
      </vt:variant>
      <vt:variant>
        <vt:i4>5</vt:i4>
      </vt:variant>
      <vt:variant>
        <vt:lpwstr>https://www.europarl.europa.eu/cmsdata/294501/ENISA RBFM 2024.pdf</vt:lpwstr>
      </vt:variant>
      <vt:variant>
        <vt:lpwstr/>
      </vt:variant>
      <vt:variant>
        <vt:i4>1507451</vt:i4>
      </vt:variant>
      <vt:variant>
        <vt:i4>189</vt:i4>
      </vt:variant>
      <vt:variant>
        <vt:i4>0</vt:i4>
      </vt:variant>
      <vt:variant>
        <vt:i4>5</vt:i4>
      </vt:variant>
      <vt:variant>
        <vt:lpwstr>https://www.enisa.europa.eu/sites/default/files/all_files/ENISA 2019 Annual Budget.pdf</vt:lpwstr>
      </vt:variant>
      <vt:variant>
        <vt:lpwstr/>
      </vt:variant>
      <vt:variant>
        <vt:i4>6029406</vt:i4>
      </vt:variant>
      <vt:variant>
        <vt:i4>186</vt:i4>
      </vt:variant>
      <vt:variant>
        <vt:i4>0</vt:i4>
      </vt:variant>
      <vt:variant>
        <vt:i4>5</vt:i4>
      </vt:variant>
      <vt:variant>
        <vt:lpwstr>https://enisa.europa.eu/sites/default/files/2025-07/Consolidated Annual Activity Report 2024.pdf</vt:lpwstr>
      </vt:variant>
      <vt:variant>
        <vt:lpwstr/>
      </vt:variant>
      <vt:variant>
        <vt:i4>2228320</vt:i4>
      </vt:variant>
      <vt:variant>
        <vt:i4>183</vt:i4>
      </vt:variant>
      <vt:variant>
        <vt:i4>0</vt:i4>
      </vt:variant>
      <vt:variant>
        <vt:i4>5</vt:i4>
      </vt:variant>
      <vt:variant>
        <vt:lpwstr>https://europa.eu/eurobarometer/surveys/detail/3176</vt:lpwstr>
      </vt:variant>
      <vt:variant>
        <vt:lpwstr/>
      </vt:variant>
      <vt:variant>
        <vt:i4>4784221</vt:i4>
      </vt:variant>
      <vt:variant>
        <vt:i4>180</vt:i4>
      </vt:variant>
      <vt:variant>
        <vt:i4>0</vt:i4>
      </vt:variant>
      <vt:variant>
        <vt:i4>5</vt:i4>
      </vt:variant>
      <vt:variant>
        <vt:lpwstr>https://www.hstoday.us/subject-matter-areas/cybersecurity/china-is-studying-how-to-hack-and-crash-our-power-grids</vt:lpwstr>
      </vt:variant>
      <vt:variant>
        <vt:lpwstr/>
      </vt:variant>
      <vt:variant>
        <vt:i4>3997807</vt:i4>
      </vt:variant>
      <vt:variant>
        <vt:i4>177</vt:i4>
      </vt:variant>
      <vt:variant>
        <vt:i4>0</vt:i4>
      </vt:variant>
      <vt:variant>
        <vt:i4>5</vt:i4>
      </vt:variant>
      <vt:variant>
        <vt:lpwstr>https://www.reuters.com/sustainability/climate-energy/ghost-machine-rogue-communication-devices-found-chinese-inverters-2025-05-14/</vt:lpwstr>
      </vt:variant>
      <vt:variant>
        <vt:lpwstr/>
      </vt:variant>
      <vt:variant>
        <vt:i4>4325453</vt:i4>
      </vt:variant>
      <vt:variant>
        <vt:i4>174</vt:i4>
      </vt:variant>
      <vt:variant>
        <vt:i4>0</vt:i4>
      </vt:variant>
      <vt:variant>
        <vt:i4>5</vt:i4>
      </vt:variant>
      <vt:variant>
        <vt:lpwstr>https://esmc.solar/restrict-remote-access-of-pv-inverters-from-high-risk-vendors/</vt:lpwstr>
      </vt:variant>
      <vt:variant>
        <vt:lpwstr/>
      </vt:variant>
      <vt:variant>
        <vt:i4>1704036</vt:i4>
      </vt:variant>
      <vt:variant>
        <vt:i4>171</vt:i4>
      </vt:variant>
      <vt:variant>
        <vt:i4>0</vt:i4>
      </vt:variant>
      <vt:variant>
        <vt:i4>5</vt:i4>
      </vt:variant>
      <vt:variant>
        <vt:lpwstr>https://api.solarpowereurope.org/uploads/SPE_2025_Solutions_for_PV_Cyber_Risks_to_Grid_Stability_032dc2ae5a.pdf?updated_at=2025-04-29T07:11:32.315Z</vt:lpwstr>
      </vt:variant>
      <vt:variant>
        <vt:lpwstr/>
      </vt:variant>
      <vt:variant>
        <vt:i4>3801187</vt:i4>
      </vt:variant>
      <vt:variant>
        <vt:i4>168</vt:i4>
      </vt:variant>
      <vt:variant>
        <vt:i4>0</vt:i4>
      </vt:variant>
      <vt:variant>
        <vt:i4>5</vt:i4>
      </vt:variant>
      <vt:variant>
        <vt:lpwstr>https://www.woodmac.com/press-releases/2024-press-releases/global-pv-inverter-shipments-grew-by-56-in-2023-to-536-gwac</vt:lpwstr>
      </vt:variant>
      <vt:variant>
        <vt:lpwstr/>
      </vt:variant>
      <vt:variant>
        <vt:i4>1572867</vt:i4>
      </vt:variant>
      <vt:variant>
        <vt:i4>165</vt:i4>
      </vt:variant>
      <vt:variant>
        <vt:i4>0</vt:i4>
      </vt:variant>
      <vt:variant>
        <vt:i4>5</vt:i4>
      </vt:variant>
      <vt:variant>
        <vt:lpwstr>https://www.solarpowereurope.org/advocacy/position-papers/inverters-explained</vt:lpwstr>
      </vt:variant>
      <vt:variant>
        <vt:lpwstr/>
      </vt:variant>
      <vt:variant>
        <vt:i4>6422575</vt:i4>
      </vt:variant>
      <vt:variant>
        <vt:i4>162</vt:i4>
      </vt:variant>
      <vt:variant>
        <vt:i4>0</vt:i4>
      </vt:variant>
      <vt:variant>
        <vt:i4>5</vt:i4>
      </vt:variant>
      <vt:variant>
        <vt:lpwstr>https://strandconsult.dk/the-market-for-5g-ran-in-europe-share-of-chinese-and-non-chinese-vendors-in-31-european-countries/</vt:lpwstr>
      </vt:variant>
      <vt:variant>
        <vt:lpwstr/>
      </vt:variant>
      <vt:variant>
        <vt:i4>4915214</vt:i4>
      </vt:variant>
      <vt:variant>
        <vt:i4>159</vt:i4>
      </vt:variant>
      <vt:variant>
        <vt:i4>0</vt:i4>
      </vt:variant>
      <vt:variant>
        <vt:i4>5</vt:i4>
      </vt:variant>
      <vt:variant>
        <vt:lpwstr>https://digital-strategy.ec.europa.eu/en/news/risk-assessment-report-cyber-resilience-eus-telecommunications-and-electricity-sectors</vt:lpwstr>
      </vt:variant>
      <vt:variant>
        <vt:lpwstr/>
      </vt:variant>
      <vt:variant>
        <vt:i4>6422575</vt:i4>
      </vt:variant>
      <vt:variant>
        <vt:i4>156</vt:i4>
      </vt:variant>
      <vt:variant>
        <vt:i4>0</vt:i4>
      </vt:variant>
      <vt:variant>
        <vt:i4>5</vt:i4>
      </vt:variant>
      <vt:variant>
        <vt:lpwstr>https://strandconsult.dk/the-market-for-5g-ran-in-europe-share-of-chinese-and-non-chinese-vendors-in-31-european-countries/</vt:lpwstr>
      </vt:variant>
      <vt:variant>
        <vt:lpwstr/>
      </vt:variant>
      <vt:variant>
        <vt:i4>2490427</vt:i4>
      </vt:variant>
      <vt:variant>
        <vt:i4>153</vt:i4>
      </vt:variant>
      <vt:variant>
        <vt:i4>0</vt:i4>
      </vt:variant>
      <vt:variant>
        <vt:i4>5</vt:i4>
      </vt:variant>
      <vt:variant>
        <vt:lpwstr>https://cerre.eu/publications/digital-industrial-policy-for-europe</vt:lpwstr>
      </vt:variant>
      <vt:variant>
        <vt:lpwstr/>
      </vt:variant>
      <vt:variant>
        <vt:i4>1638419</vt:i4>
      </vt:variant>
      <vt:variant>
        <vt:i4>150</vt:i4>
      </vt:variant>
      <vt:variant>
        <vt:i4>0</vt:i4>
      </vt:variant>
      <vt:variant>
        <vt:i4>5</vt:i4>
      </vt:variant>
      <vt:variant>
        <vt:lpwstr>https://reports.weforum.org/docs/WEF_Global_Cybersecurity_Outlook_2025.pdf</vt:lpwstr>
      </vt:variant>
      <vt:variant>
        <vt:lpwstr/>
      </vt:variant>
      <vt:variant>
        <vt:i4>5505085</vt:i4>
      </vt:variant>
      <vt:variant>
        <vt:i4>147</vt:i4>
      </vt:variant>
      <vt:variant>
        <vt:i4>0</vt:i4>
      </vt:variant>
      <vt:variant>
        <vt:i4>5</vt:i4>
      </vt:variant>
      <vt:variant>
        <vt:lpwstr>https://digital-skills-jobs.europa.eu/system/files/2024-12/ISC2_Workfoce-Study-Findings-EU.pdf</vt:lpwstr>
      </vt:variant>
      <vt:variant>
        <vt:lpwstr/>
      </vt:variant>
      <vt:variant>
        <vt:i4>4194335</vt:i4>
      </vt:variant>
      <vt:variant>
        <vt:i4>144</vt:i4>
      </vt:variant>
      <vt:variant>
        <vt:i4>0</vt:i4>
      </vt:variant>
      <vt:variant>
        <vt:i4>5</vt:i4>
      </vt:variant>
      <vt:variant>
        <vt:lpwstr>https://www.enisa.europa.eu/publications/enisa-threat-landscape-2024</vt:lpwstr>
      </vt:variant>
      <vt:variant>
        <vt:lpwstr/>
      </vt:variant>
      <vt:variant>
        <vt:i4>5898265</vt:i4>
      </vt:variant>
      <vt:variant>
        <vt:i4>141</vt:i4>
      </vt:variant>
      <vt:variant>
        <vt:i4>0</vt:i4>
      </vt:variant>
      <vt:variant>
        <vt:i4>5</vt:i4>
      </vt:variant>
      <vt:variant>
        <vt:lpwstr>https://www.cfr.org/china-global-governance/</vt:lpwstr>
      </vt:variant>
      <vt:variant>
        <vt:lpwstr/>
      </vt:variant>
      <vt:variant>
        <vt:i4>7733350</vt:i4>
      </vt:variant>
      <vt:variant>
        <vt:i4>138</vt:i4>
      </vt:variant>
      <vt:variant>
        <vt:i4>0</vt:i4>
      </vt:variant>
      <vt:variant>
        <vt:i4>5</vt:i4>
      </vt:variant>
      <vt:variant>
        <vt:lpwstr>https://www.cisa.gov/news-events/cybersecurity-advisories/aa23-144a</vt:lpwstr>
      </vt:variant>
      <vt:variant>
        <vt:lpwstr/>
      </vt:variant>
      <vt:variant>
        <vt:i4>6422583</vt:i4>
      </vt:variant>
      <vt:variant>
        <vt:i4>135</vt:i4>
      </vt:variant>
      <vt:variant>
        <vt:i4>0</vt:i4>
      </vt:variant>
      <vt:variant>
        <vt:i4>5</vt:i4>
      </vt:variant>
      <vt:variant>
        <vt:lpwstr>https://www.reuters.com/technology/cybersecurity/north-korea-hacking-teams-hack-south-korea-defence-contractors-police-2024-04-23/</vt:lpwstr>
      </vt:variant>
      <vt:variant>
        <vt:lpwstr/>
      </vt:variant>
      <vt:variant>
        <vt:i4>3407926</vt:i4>
      </vt:variant>
      <vt:variant>
        <vt:i4>132</vt:i4>
      </vt:variant>
      <vt:variant>
        <vt:i4>0</vt:i4>
      </vt:variant>
      <vt:variant>
        <vt:i4>5</vt:i4>
      </vt:variant>
      <vt:variant>
        <vt:lpwstr>https://www.mandiant.com/resources/blog/gru-disruptive-playbook</vt:lpwstr>
      </vt:variant>
      <vt:variant>
        <vt:lpwstr/>
      </vt:variant>
      <vt:variant>
        <vt:i4>524365</vt:i4>
      </vt:variant>
      <vt:variant>
        <vt:i4>129</vt:i4>
      </vt:variant>
      <vt:variant>
        <vt:i4>0</vt:i4>
      </vt:variant>
      <vt:variant>
        <vt:i4>5</vt:i4>
      </vt:variant>
      <vt:variant>
        <vt:lpwstr>https://unit42.paloaltonetworks.com/agonizing-serpens-targets-israeli-tech-higher-ed-sectors/</vt:lpwstr>
      </vt:variant>
      <vt:variant>
        <vt:lpwstr/>
      </vt:variant>
      <vt:variant>
        <vt:i4>7209022</vt:i4>
      </vt:variant>
      <vt:variant>
        <vt:i4>126</vt:i4>
      </vt:variant>
      <vt:variant>
        <vt:i4>0</vt:i4>
      </vt:variant>
      <vt:variant>
        <vt:i4>5</vt:i4>
      </vt:variant>
      <vt:variant>
        <vt:lpwstr>https://blog.talosintelligence.com/arcanedoor-new-espionage focused-campaign-found-targeting-perimeter-network-devices/</vt:lpwstr>
      </vt:variant>
      <vt:variant>
        <vt:lpwstr/>
      </vt:variant>
      <vt:variant>
        <vt:i4>7602211</vt:i4>
      </vt:variant>
      <vt:variant>
        <vt:i4>123</vt:i4>
      </vt:variant>
      <vt:variant>
        <vt:i4>0</vt:i4>
      </vt:variant>
      <vt:variant>
        <vt:i4>5</vt:i4>
      </vt:variant>
      <vt:variant>
        <vt:lpwstr>https://blog.google/threat-analysis-group/active-north-korean-campaign-targeting-security-researchers/</vt:lpwstr>
      </vt:variant>
      <vt:variant>
        <vt:lpwstr/>
      </vt:variant>
      <vt:variant>
        <vt:i4>3342385</vt:i4>
      </vt:variant>
      <vt:variant>
        <vt:i4>120</vt:i4>
      </vt:variant>
      <vt:variant>
        <vt:i4>0</vt:i4>
      </vt:variant>
      <vt:variant>
        <vt:i4>5</vt:i4>
      </vt:variant>
      <vt:variant>
        <vt:lpwstr>https://go.crowdstrike.com/rs/281-OBQ-266/images/GlobalThreatReport2024.pdf</vt:lpwstr>
      </vt:variant>
      <vt:variant>
        <vt:lpwstr/>
      </vt:variant>
      <vt:variant>
        <vt:i4>2490487</vt:i4>
      </vt:variant>
      <vt:variant>
        <vt:i4>117</vt:i4>
      </vt:variant>
      <vt:variant>
        <vt:i4>0</vt:i4>
      </vt:variant>
      <vt:variant>
        <vt:i4>5</vt:i4>
      </vt:variant>
      <vt:variant>
        <vt:lpwstr>https://www.cyber.gc.ca/en/news-events/chairs-statement-g7-cybersecurity-working-group-meeting</vt:lpwstr>
      </vt:variant>
      <vt:variant>
        <vt:lpwstr/>
      </vt:variant>
      <vt:variant>
        <vt:i4>1048663</vt:i4>
      </vt:variant>
      <vt:variant>
        <vt:i4>114</vt:i4>
      </vt:variant>
      <vt:variant>
        <vt:i4>0</vt:i4>
      </vt:variant>
      <vt:variant>
        <vt:i4>5</vt:i4>
      </vt:variant>
      <vt:variant>
        <vt:lpwstr>https://www.consilium.europa.eu/media/64501/g7-statement-on-economic-resilience-and-economic-security.pdf</vt:lpwstr>
      </vt:variant>
      <vt:variant>
        <vt:lpwstr/>
      </vt:variant>
      <vt:variant>
        <vt:i4>2555948</vt:i4>
      </vt:variant>
      <vt:variant>
        <vt:i4>111</vt:i4>
      </vt:variant>
      <vt:variant>
        <vt:i4>0</vt:i4>
      </vt:variant>
      <vt:variant>
        <vt:i4>5</vt:i4>
      </vt:variant>
      <vt:variant>
        <vt:lpwstr>https://www.bbc.com/news/articles/cgl15ykerlro</vt:lpwstr>
      </vt:variant>
      <vt:variant>
        <vt:lpwstr/>
      </vt:variant>
      <vt:variant>
        <vt:i4>6422628</vt:i4>
      </vt:variant>
      <vt:variant>
        <vt:i4>108</vt:i4>
      </vt:variant>
      <vt:variant>
        <vt:i4>0</vt:i4>
      </vt:variant>
      <vt:variant>
        <vt:i4>5</vt:i4>
      </vt:variant>
      <vt:variant>
        <vt:lpwstr>https://www.theguardian.com/business/2025/sep/16/jaguar-land-rover-production-shutdown-cyber-attack</vt:lpwstr>
      </vt:variant>
      <vt:variant>
        <vt:lpwstr/>
      </vt:variant>
      <vt:variant>
        <vt:i4>5636126</vt:i4>
      </vt:variant>
      <vt:variant>
        <vt:i4>105</vt:i4>
      </vt:variant>
      <vt:variant>
        <vt:i4>0</vt:i4>
      </vt:variant>
      <vt:variant>
        <vt:i4>5</vt:i4>
      </vt:variant>
      <vt:variant>
        <vt:lpwstr>https://www.ironnet.com/hubfs/IronNet-2021-Cybersecurity-Impact-Report-June2021.pdf?hsLang=en&amp;submissionGuid=39c8446a-6789-41e5-8652-a7dd61b8af94</vt:lpwstr>
      </vt:variant>
      <vt:variant>
        <vt:lpwstr/>
      </vt:variant>
      <vt:variant>
        <vt:i4>5373956</vt:i4>
      </vt:variant>
      <vt:variant>
        <vt:i4>102</vt:i4>
      </vt:variant>
      <vt:variant>
        <vt:i4>0</vt:i4>
      </vt:variant>
      <vt:variant>
        <vt:i4>5</vt:i4>
      </vt:variant>
      <vt:variant>
        <vt:lpwstr>https://cert.europa.eu/publications/security-advisories/2020-060/</vt:lpwstr>
      </vt:variant>
      <vt:variant>
        <vt:lpwstr/>
      </vt:variant>
      <vt:variant>
        <vt:i4>8323174</vt:i4>
      </vt:variant>
      <vt:variant>
        <vt:i4>99</vt:i4>
      </vt:variant>
      <vt:variant>
        <vt:i4>0</vt:i4>
      </vt:variant>
      <vt:variant>
        <vt:i4>5</vt:i4>
      </vt:variant>
      <vt:variant>
        <vt:lpwstr>https://www.cybersecurity-insiders.com/the-domino-effect-of-cyber-incidents-understanding-the-ripple-impact-of-cybersecurity-breaches/</vt:lpwstr>
      </vt:variant>
      <vt:variant>
        <vt:lpwstr/>
      </vt:variant>
      <vt:variant>
        <vt:i4>7405671</vt:i4>
      </vt:variant>
      <vt:variant>
        <vt:i4>96</vt:i4>
      </vt:variant>
      <vt:variant>
        <vt:i4>0</vt:i4>
      </vt:variant>
      <vt:variant>
        <vt:i4>5</vt:i4>
      </vt:variant>
      <vt:variant>
        <vt:lpwstr>https://www.ibm.com/reports/data-breach</vt:lpwstr>
      </vt:variant>
      <vt:variant>
        <vt:lpwstr/>
      </vt:variant>
      <vt:variant>
        <vt:i4>8061030</vt:i4>
      </vt:variant>
      <vt:variant>
        <vt:i4>93</vt:i4>
      </vt:variant>
      <vt:variant>
        <vt:i4>0</vt:i4>
      </vt:variant>
      <vt:variant>
        <vt:i4>5</vt:i4>
      </vt:variant>
      <vt:variant>
        <vt:lpwstr>https://www.fbcinc.com/source/virtualhall_images/2023_Virtual_Events/DISA_JSP_(July)/Black_Kite/Black_Kite_Concentration_and_Cascading_Risk_EBook.pdf</vt:lpwstr>
      </vt:variant>
      <vt:variant>
        <vt:lpwstr/>
      </vt:variant>
      <vt:variant>
        <vt:i4>7405671</vt:i4>
      </vt:variant>
      <vt:variant>
        <vt:i4>90</vt:i4>
      </vt:variant>
      <vt:variant>
        <vt:i4>0</vt:i4>
      </vt:variant>
      <vt:variant>
        <vt:i4>5</vt:i4>
      </vt:variant>
      <vt:variant>
        <vt:lpwstr>https://www.ibm.com/reports/data-breach</vt:lpwstr>
      </vt:variant>
      <vt:variant>
        <vt:lpwstr/>
      </vt:variant>
      <vt:variant>
        <vt:i4>4194335</vt:i4>
      </vt:variant>
      <vt:variant>
        <vt:i4>87</vt:i4>
      </vt:variant>
      <vt:variant>
        <vt:i4>0</vt:i4>
      </vt:variant>
      <vt:variant>
        <vt:i4>5</vt:i4>
      </vt:variant>
      <vt:variant>
        <vt:lpwstr>https://www.enisa.europa.eu/publications/enisa-threat-landscape-2024</vt:lpwstr>
      </vt:variant>
      <vt:variant>
        <vt:lpwstr/>
      </vt:variant>
      <vt:variant>
        <vt:i4>8257659</vt:i4>
      </vt:variant>
      <vt:variant>
        <vt:i4>84</vt:i4>
      </vt:variant>
      <vt:variant>
        <vt:i4>0</vt:i4>
      </vt:variant>
      <vt:variant>
        <vt:i4>5</vt:i4>
      </vt:variant>
      <vt:variant>
        <vt:lpwstr>https://anchore.com/blog/2022-security-trends-software-supply-chain-survey/</vt:lpwstr>
      </vt:variant>
      <vt:variant>
        <vt:lpwstr/>
      </vt:variant>
      <vt:variant>
        <vt:i4>7078010</vt:i4>
      </vt:variant>
      <vt:variant>
        <vt:i4>81</vt:i4>
      </vt:variant>
      <vt:variant>
        <vt:i4>0</vt:i4>
      </vt:variant>
      <vt:variant>
        <vt:i4>5</vt:i4>
      </vt:variant>
      <vt:variant>
        <vt:lpwstr>https://www.weforum.org/publications/global-cybersecurity-outlook-2022/</vt:lpwstr>
      </vt:variant>
      <vt:variant>
        <vt:lpwstr/>
      </vt:variant>
      <vt:variant>
        <vt:i4>3145833</vt:i4>
      </vt:variant>
      <vt:variant>
        <vt:i4>78</vt:i4>
      </vt:variant>
      <vt:variant>
        <vt:i4>0</vt:i4>
      </vt:variant>
      <vt:variant>
        <vt:i4>5</vt:i4>
      </vt:variant>
      <vt:variant>
        <vt:lpwstr>https://www.enisa.europa.eu/sites/default/files/publications/Good Practices for Supply Chain Cybersecurity.pdf</vt:lpwstr>
      </vt:variant>
      <vt:variant>
        <vt:lpwstr/>
      </vt:variant>
      <vt:variant>
        <vt:i4>4194335</vt:i4>
      </vt:variant>
      <vt:variant>
        <vt:i4>75</vt:i4>
      </vt:variant>
      <vt:variant>
        <vt:i4>0</vt:i4>
      </vt:variant>
      <vt:variant>
        <vt:i4>5</vt:i4>
      </vt:variant>
      <vt:variant>
        <vt:lpwstr>https://www.enisa.europa.eu/publications/enisa-threat-landscape-2024</vt:lpwstr>
      </vt:variant>
      <vt:variant>
        <vt:lpwstr/>
      </vt:variant>
      <vt:variant>
        <vt:i4>5111879</vt:i4>
      </vt:variant>
      <vt:variant>
        <vt:i4>72</vt:i4>
      </vt:variant>
      <vt:variant>
        <vt:i4>0</vt:i4>
      </vt:variant>
      <vt:variant>
        <vt:i4>5</vt:i4>
      </vt:variant>
      <vt:variant>
        <vt:lpwstr>https://csrc.nist.gov/glossary/term/malicious_cyber_activity</vt:lpwstr>
      </vt:variant>
      <vt:variant>
        <vt:lpwstr/>
      </vt:variant>
      <vt:variant>
        <vt:i4>7733288</vt:i4>
      </vt:variant>
      <vt:variant>
        <vt:i4>69</vt:i4>
      </vt:variant>
      <vt:variant>
        <vt:i4>0</vt:i4>
      </vt:variant>
      <vt:variant>
        <vt:i4>5</vt:i4>
      </vt:variant>
      <vt:variant>
        <vt:lpwstr>https://ecs-org.eu/ecso-uploads/2025/07/Streamlining-Regulatory-Obligations_Action-Plan_v2.pdf</vt:lpwstr>
      </vt:variant>
      <vt:variant>
        <vt:lpwstr/>
      </vt:variant>
      <vt:variant>
        <vt:i4>1638475</vt:i4>
      </vt:variant>
      <vt:variant>
        <vt:i4>66</vt:i4>
      </vt:variant>
      <vt:variant>
        <vt:i4>0</vt:i4>
      </vt:variant>
      <vt:variant>
        <vt:i4>5</vt:i4>
      </vt:variant>
      <vt:variant>
        <vt:lpwstr>https://www.frontier-economics.com/media/izyk5rgz/assessing-the-economic-cost-of-eu-initiatives-on-cybersecurity.pdf</vt:lpwstr>
      </vt:variant>
      <vt:variant>
        <vt:lpwstr/>
      </vt:variant>
      <vt:variant>
        <vt:i4>983105</vt:i4>
      </vt:variant>
      <vt:variant>
        <vt:i4>63</vt:i4>
      </vt:variant>
      <vt:variant>
        <vt:i4>0</vt:i4>
      </vt:variant>
      <vt:variant>
        <vt:i4>5</vt:i4>
      </vt:variant>
      <vt:variant>
        <vt:lpwstr>https://publications.jrc.ec.europa.eu/repository/handle/JRC138344</vt:lpwstr>
      </vt:variant>
      <vt:variant>
        <vt:lpwstr/>
      </vt:variant>
      <vt:variant>
        <vt:i4>4194398</vt:i4>
      </vt:variant>
      <vt:variant>
        <vt:i4>60</vt:i4>
      </vt:variant>
      <vt:variant>
        <vt:i4>0</vt:i4>
      </vt:variant>
      <vt:variant>
        <vt:i4>5</vt:i4>
      </vt:variant>
      <vt:variant>
        <vt:lpwstr>https://cyber.gouv.fr/publications/observatoire-des-metiers-2025</vt:lpwstr>
      </vt:variant>
      <vt:variant>
        <vt:lpwstr/>
      </vt:variant>
      <vt:variant>
        <vt:i4>2228320</vt:i4>
      </vt:variant>
      <vt:variant>
        <vt:i4>57</vt:i4>
      </vt:variant>
      <vt:variant>
        <vt:i4>0</vt:i4>
      </vt:variant>
      <vt:variant>
        <vt:i4>5</vt:i4>
      </vt:variant>
      <vt:variant>
        <vt:lpwstr>https://europa.eu/eurobarometer/surveys/detail/3176</vt:lpwstr>
      </vt:variant>
      <vt:variant>
        <vt:lpwstr/>
      </vt:variant>
      <vt:variant>
        <vt:i4>5963800</vt:i4>
      </vt:variant>
      <vt:variant>
        <vt:i4>54</vt:i4>
      </vt:variant>
      <vt:variant>
        <vt:i4>0</vt:i4>
      </vt:variant>
      <vt:variant>
        <vt:i4>5</vt:i4>
      </vt:variant>
      <vt:variant>
        <vt:lpwstr>https://education.ec.europa.eu/focus-topics/stem</vt:lpwstr>
      </vt:variant>
      <vt:variant>
        <vt:lpwstr/>
      </vt:variant>
      <vt:variant>
        <vt:i4>3014776</vt:i4>
      </vt:variant>
      <vt:variant>
        <vt:i4>51</vt:i4>
      </vt:variant>
      <vt:variant>
        <vt:i4>0</vt:i4>
      </vt:variant>
      <vt:variant>
        <vt:i4>5</vt:i4>
      </vt:variant>
      <vt:variant>
        <vt:lpwstr>https://digital-skills-jobs.europa.eu/en/opportunities/training?f%5B0%5D=digital_technology%3Ahttp%3A//data.europa.eu/uxp/c_04ae3ba8</vt:lpwstr>
      </vt:variant>
      <vt:variant>
        <vt:lpwstr/>
      </vt:variant>
      <vt:variant>
        <vt:i4>8192111</vt:i4>
      </vt:variant>
      <vt:variant>
        <vt:i4>48</vt:i4>
      </vt:variant>
      <vt:variant>
        <vt:i4>0</vt:i4>
      </vt:variant>
      <vt:variant>
        <vt:i4>5</vt:i4>
      </vt:variant>
      <vt:variant>
        <vt:lpwstr>https://www.enisa.europa.eu/tools/cyberhead-cybersecurity-higher-education-database</vt:lpwstr>
      </vt:variant>
      <vt:variant>
        <vt:lpwstr/>
      </vt:variant>
      <vt:variant>
        <vt:i4>1114227</vt:i4>
      </vt:variant>
      <vt:variant>
        <vt:i4>45</vt:i4>
      </vt:variant>
      <vt:variant>
        <vt:i4>0</vt:i4>
      </vt:variant>
      <vt:variant>
        <vt:i4>5</vt:i4>
      </vt:variant>
      <vt:variant>
        <vt:lpwstr>https://www.enisa.europa.eu/sites/default/files/2024-11/CSPA - NIS Investments - 2024_0.pdf</vt:lpwstr>
      </vt:variant>
      <vt:variant>
        <vt:lpwstr/>
      </vt:variant>
      <vt:variant>
        <vt:i4>7798834</vt:i4>
      </vt:variant>
      <vt:variant>
        <vt:i4>42</vt:i4>
      </vt:variant>
      <vt:variant>
        <vt:i4>0</vt:i4>
      </vt:variant>
      <vt:variant>
        <vt:i4>5</vt:i4>
      </vt:variant>
      <vt:variant>
        <vt:lpwstr>https://www.eurochambres.eu/wp-content/uploads/2022/09/Eurochambres-Twin-Transition-Survey.pdf</vt:lpwstr>
      </vt:variant>
      <vt:variant>
        <vt:lpwstr/>
      </vt:variant>
      <vt:variant>
        <vt:i4>5505085</vt:i4>
      </vt:variant>
      <vt:variant>
        <vt:i4>39</vt:i4>
      </vt:variant>
      <vt:variant>
        <vt:i4>0</vt:i4>
      </vt:variant>
      <vt:variant>
        <vt:i4>5</vt:i4>
      </vt:variant>
      <vt:variant>
        <vt:lpwstr>https://digital-skills-jobs.europa.eu/system/files/2024-12/ISC2_Workfoce-Study-Findings-EU.pdf</vt:lpwstr>
      </vt:variant>
      <vt:variant>
        <vt:lpwstr/>
      </vt:variant>
      <vt:variant>
        <vt:i4>5177392</vt:i4>
      </vt:variant>
      <vt:variant>
        <vt:i4>36</vt:i4>
      </vt:variant>
      <vt:variant>
        <vt:i4>0</vt:i4>
      </vt:variant>
      <vt:variant>
        <vt:i4>5</vt:i4>
      </vt:variant>
      <vt:variant>
        <vt:lpwstr>https://enisa.europa.eu/sites/default/files/2025-02/17_02_2025_ENISA Single Programming Document 2025-2027.pdf</vt:lpwstr>
      </vt:variant>
      <vt:variant>
        <vt:lpwstr/>
      </vt:variant>
      <vt:variant>
        <vt:i4>6029406</vt:i4>
      </vt:variant>
      <vt:variant>
        <vt:i4>33</vt:i4>
      </vt:variant>
      <vt:variant>
        <vt:i4>0</vt:i4>
      </vt:variant>
      <vt:variant>
        <vt:i4>5</vt:i4>
      </vt:variant>
      <vt:variant>
        <vt:lpwstr>https://enisa.europa.eu/sites/default/files/2025-07/Consolidated Annual Activity Report 2024.pdf</vt:lpwstr>
      </vt:variant>
      <vt:variant>
        <vt:lpwstr/>
      </vt:variant>
      <vt:variant>
        <vt:i4>2424881</vt:i4>
      </vt:variant>
      <vt:variant>
        <vt:i4>30</vt:i4>
      </vt:variant>
      <vt:variant>
        <vt:i4>0</vt:i4>
      </vt:variant>
      <vt:variant>
        <vt:i4>5</vt:i4>
      </vt:variant>
      <vt:variant>
        <vt:lpwstr>https://www.enisa.europa.eu/publications/2024-report-on-the-state-of-the-cybersecurity-in-the-union</vt:lpwstr>
      </vt:variant>
      <vt:variant>
        <vt:lpwstr/>
      </vt:variant>
      <vt:variant>
        <vt:i4>6029406</vt:i4>
      </vt:variant>
      <vt:variant>
        <vt:i4>27</vt:i4>
      </vt:variant>
      <vt:variant>
        <vt:i4>0</vt:i4>
      </vt:variant>
      <vt:variant>
        <vt:i4>5</vt:i4>
      </vt:variant>
      <vt:variant>
        <vt:lpwstr>https://enisa.europa.eu/sites/default/files/2025-07/Consolidated Annual Activity Report 2024.pdf</vt:lpwstr>
      </vt:variant>
      <vt:variant>
        <vt:lpwstr/>
      </vt:variant>
      <vt:variant>
        <vt:i4>4194335</vt:i4>
      </vt:variant>
      <vt:variant>
        <vt:i4>24</vt:i4>
      </vt:variant>
      <vt:variant>
        <vt:i4>0</vt:i4>
      </vt:variant>
      <vt:variant>
        <vt:i4>5</vt:i4>
      </vt:variant>
      <vt:variant>
        <vt:lpwstr>https://www.enisa.europa.eu/publications/enisa-threat-landscape-2024</vt:lpwstr>
      </vt:variant>
      <vt:variant>
        <vt:lpwstr/>
      </vt:variant>
      <vt:variant>
        <vt:i4>6422551</vt:i4>
      </vt:variant>
      <vt:variant>
        <vt:i4>21</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7798889</vt:i4>
      </vt:variant>
      <vt:variant>
        <vt:i4>18</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2752557</vt:i4>
      </vt:variant>
      <vt:variant>
        <vt:i4>15</vt:i4>
      </vt:variant>
      <vt:variant>
        <vt:i4>0</vt:i4>
      </vt:variant>
      <vt:variant>
        <vt:i4>5</vt:i4>
      </vt:variant>
      <vt:variant>
        <vt:lpwstr>https://www.euronews.com/next/2025/03/19/lawmakers-call-for-binding-5g-security-measures-in-wake-of-huawei-scandal</vt:lpwstr>
      </vt:variant>
      <vt:variant>
        <vt:lpwstr/>
      </vt:variant>
      <vt:variant>
        <vt:i4>4522024</vt:i4>
      </vt:variant>
      <vt:variant>
        <vt:i4>12</vt:i4>
      </vt:variant>
      <vt:variant>
        <vt:i4>0</vt:i4>
      </vt:variant>
      <vt:variant>
        <vt:i4>5</vt:i4>
      </vt:variant>
      <vt:variant>
        <vt:lpwstr>https://www.europarl.europa.eu/doceo/document/A-10-2025-0107_EN.html</vt:lpwstr>
      </vt:variant>
      <vt:variant>
        <vt:lpwstr/>
      </vt:variant>
      <vt:variant>
        <vt:i4>8061036</vt:i4>
      </vt:variant>
      <vt:variant>
        <vt:i4>9</vt:i4>
      </vt:variant>
      <vt:variant>
        <vt:i4>0</vt:i4>
      </vt:variant>
      <vt:variant>
        <vt:i4>5</vt:i4>
      </vt:variant>
      <vt:variant>
        <vt:lpwstr>https://digital-strategy.ec.europa.eu/en/library/cybersecurity-5g-networks-eu-toolbox-risk-mitigating-measures</vt:lpwstr>
      </vt:variant>
      <vt:variant>
        <vt:lpwstr/>
      </vt:variant>
      <vt:variant>
        <vt:i4>8323119</vt:i4>
      </vt:variant>
      <vt:variant>
        <vt:i4>6</vt:i4>
      </vt:variant>
      <vt:variant>
        <vt:i4>0</vt:i4>
      </vt:variant>
      <vt:variant>
        <vt:i4>5</vt:i4>
      </vt:variant>
      <vt:variant>
        <vt:lpwstr>https://www.bbc.com/news/articles/cqjeej85452o</vt:lpwstr>
      </vt:variant>
      <vt:variant>
        <vt:lpwstr/>
      </vt:variant>
      <vt:variant>
        <vt:i4>7733347</vt:i4>
      </vt:variant>
      <vt:variant>
        <vt:i4>3</vt:i4>
      </vt:variant>
      <vt:variant>
        <vt:i4>0</vt:i4>
      </vt:variant>
      <vt:variant>
        <vt:i4>5</vt:i4>
      </vt:variant>
      <vt:variant>
        <vt:lpwstr>https://www.scribd.com/document/686103633/q2-2023-Whos-Who-in-Ransomware-Report</vt:lpwstr>
      </vt:variant>
      <vt:variant>
        <vt:lpwstr/>
      </vt:variant>
      <vt:variant>
        <vt:i4>4194335</vt:i4>
      </vt:variant>
      <vt:variant>
        <vt:i4>0</vt:i4>
      </vt:variant>
      <vt:variant>
        <vt:i4>0</vt:i4>
      </vt:variant>
      <vt:variant>
        <vt:i4>5</vt:i4>
      </vt:variant>
      <vt:variant>
        <vt:lpwstr>https://www.enisa.europa.eu/publications/enisa-threat-landscape-2024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2026-01-18T16:16:00Z</dcterms:created>
  <dcterms:modified xsi:type="dcterms:W3CDTF">2026-01-19T15:53:00Z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2026-01-16T13:08:34Z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d0fa6450-dbf1-45f3-8d2d-3ca19665aab4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CP-026</vt:lpwstr>
  </property>
</Properties>
</file>